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tiff" ContentType="image/tiff"/>
  <Default Extension="xlsx" ContentType="application/vnd.openxmlformats-officedocument.spreadsheetml.sheet"/>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charts/chart1.xml" ContentType="application/vnd.openxmlformats-officedocument.drawingml.chart+xml"/>
  <Override PartName="/word/charts/chart2.xml" ContentType="application/vnd.openxmlformats-officedocument.drawingml.chart+xml"/>
  <Override PartName="/word/drawings/drawing1.xml" ContentType="application/vnd.openxmlformats-officedocument.drawingml.chartshapes+xml"/>
  <Override PartName="/word/charts/chart3.xml" ContentType="application/vnd.openxmlformats-officedocument.drawingml.chart+xml"/>
  <Override PartName="/word/charts/chart4.xml" ContentType="application/vnd.openxmlformats-officedocument.drawingml.chart+xml"/>
  <Override PartName="/word/charts/chart5.xml" ContentType="application/vnd.openxmlformats-officedocument.drawingml.chart+xml"/>
  <Override PartName="/word/charts/chart6.xml" ContentType="application/vnd.openxmlformats-officedocument.drawingml.chart+xml"/>
  <Override PartName="/word/charts/style1.xml" ContentType="application/vnd.ms-office.chartstyle+xml"/>
  <Override PartName="/word/charts/colors1.xml" ContentType="application/vnd.ms-office.chartcolorstyle+xml"/>
  <Override PartName="/word/drawings/drawing2.xml" ContentType="application/vnd.openxmlformats-officedocument.drawingml.chartshapes+xml"/>
  <Override PartName="/word/charts/chart7.xml" ContentType="application/vnd.openxmlformats-officedocument.drawingml.chart+xml"/>
  <Override PartName="/word/charts/style2.xml" ContentType="application/vnd.ms-office.chartstyle+xml"/>
  <Override PartName="/word/charts/colors2.xml" ContentType="application/vnd.ms-office.chartcolorstyle+xml"/>
  <Override PartName="/word/drawings/drawing3.xml" ContentType="application/vnd.openxmlformats-officedocument.drawingml.chartshapes+xml"/>
  <Override PartName="/word/charts/chart8.xml" ContentType="application/vnd.openxmlformats-officedocument.drawingml.chart+xml"/>
  <Override PartName="/word/charts/style3.xml" ContentType="application/vnd.ms-office.chartstyle+xml"/>
  <Override PartName="/word/charts/colors3.xml" ContentType="application/vnd.ms-office.chartcolorstyle+xml"/>
  <Override PartName="/word/drawings/drawing4.xml" ContentType="application/vnd.openxmlformats-officedocument.drawingml.chartshapes+xml"/>
  <Override PartName="/word/charts/chart9.xml" ContentType="application/vnd.openxmlformats-officedocument.drawingml.chart+xml"/>
  <Override PartName="/word/charts/style4.xml" ContentType="application/vnd.ms-office.chartstyle+xml"/>
  <Override PartName="/word/charts/colors4.xml" ContentType="application/vnd.ms-office.chartcolorstyle+xml"/>
  <Override PartName="/word/drawings/drawing5.xml" ContentType="application/vnd.openxmlformats-officedocument.drawingml.chartshapes+xml"/>
  <Override PartName="/word/charts/chart10.xml" ContentType="application/vnd.openxmlformats-officedocument.drawingml.chart+xml"/>
  <Override PartName="/word/charts/style5.xml" ContentType="application/vnd.ms-office.chartstyle+xml"/>
  <Override PartName="/word/charts/colors5.xml" ContentType="application/vnd.ms-office.chartcolorstyle+xml"/>
  <Override PartName="/word/drawings/drawing6.xml" ContentType="application/vnd.openxmlformats-officedocument.drawingml.chartshapes+xml"/>
  <Override PartName="/word/charts/chart11.xml" ContentType="application/vnd.openxmlformats-officedocument.drawingml.chart+xml"/>
  <Override PartName="/word/charts/style6.xml" ContentType="application/vnd.ms-office.chartstyle+xml"/>
  <Override PartName="/word/charts/colors6.xml" ContentType="application/vnd.ms-office.chartcolorstyle+xml"/>
  <Override PartName="/word/drawings/drawing7.xml" ContentType="application/vnd.openxmlformats-officedocument.drawingml.chartshapes+xml"/>
  <Override PartName="/word/charts/chart12.xml" ContentType="application/vnd.openxmlformats-officedocument.drawingml.chart+xml"/>
  <Override PartName="/word/charts/style7.xml" ContentType="application/vnd.ms-office.chartstyle+xml"/>
  <Override PartName="/word/charts/colors7.xml" ContentType="application/vnd.ms-office.chartcolorstyle+xml"/>
  <Override PartName="/word/drawings/drawing8.xml" ContentType="application/vnd.openxmlformats-officedocument.drawingml.chartshapes+xml"/>
  <Override PartName="/word/charts/chart13.xml" ContentType="application/vnd.openxmlformats-officedocument.drawingml.chart+xml"/>
  <Override PartName="/word/charts/style8.xml" ContentType="application/vnd.ms-office.chartstyle+xml"/>
  <Override PartName="/word/charts/colors8.xml" ContentType="application/vnd.ms-office.chartcolorstyle+xml"/>
  <Override PartName="/word/drawings/drawing9.xml" ContentType="application/vnd.openxmlformats-officedocument.drawingml.chartshapes+xml"/>
  <Override PartName="/word/charts/chart14.xml" ContentType="application/vnd.openxmlformats-officedocument.drawingml.chart+xml"/>
  <Override PartName="/word/charts/style9.xml" ContentType="application/vnd.ms-office.chartstyle+xml"/>
  <Override PartName="/word/charts/colors9.xml" ContentType="application/vnd.ms-office.chartcolorstyle+xml"/>
  <Override PartName="/word/drawings/drawing10.xml" ContentType="application/vnd.openxmlformats-officedocument.drawingml.chartshapes+xml"/>
  <Override PartName="/word/charts/chart15.xml" ContentType="application/vnd.openxmlformats-officedocument.drawingml.chart+xml"/>
  <Override PartName="/word/charts/style10.xml" ContentType="application/vnd.ms-office.chartstyle+xml"/>
  <Override PartName="/word/charts/colors10.xml" ContentType="application/vnd.ms-office.chartcolorstyle+xml"/>
  <Override PartName="/word/drawings/drawing11.xml" ContentType="application/vnd.openxmlformats-officedocument.drawingml.chartshapes+xml"/>
  <Override PartName="/word/charts/chart16.xml" ContentType="application/vnd.openxmlformats-officedocument.drawingml.chart+xml"/>
  <Override PartName="/word/charts/style11.xml" ContentType="application/vnd.ms-office.chartstyle+xml"/>
  <Override PartName="/word/charts/colors11.xml" ContentType="application/vnd.ms-office.chartcolorstyle+xml"/>
  <Override PartName="/word/drawings/drawing12.xml" ContentType="application/vnd.openxmlformats-officedocument.drawingml.chartshapes+xml"/>
  <Override PartName="/word/charts/chart17.xml" ContentType="application/vnd.openxmlformats-officedocument.drawingml.chart+xml"/>
  <Override PartName="/word/charts/style12.xml" ContentType="application/vnd.ms-office.chartstyle+xml"/>
  <Override PartName="/word/charts/colors12.xml" ContentType="application/vnd.ms-office.chartcolorstyle+xml"/>
  <Override PartName="/word/drawings/drawing13.xml" ContentType="application/vnd.openxmlformats-officedocument.drawingml.chartshapes+xml"/>
  <Override PartName="/word/charts/chart18.xml" ContentType="application/vnd.openxmlformats-officedocument.drawingml.chart+xml"/>
  <Override PartName="/word/charts/style13.xml" ContentType="application/vnd.ms-office.chartstyle+xml"/>
  <Override PartName="/word/charts/colors13.xml" ContentType="application/vnd.ms-office.chartcolorstyle+xml"/>
  <Override PartName="/word/drawings/drawing14.xml" ContentType="application/vnd.openxmlformats-officedocument.drawingml.chartshapes+xml"/>
  <Override PartName="/word/charts/chart19.xml" ContentType="application/vnd.openxmlformats-officedocument.drawingml.chart+xml"/>
  <Override PartName="/word/charts/style14.xml" ContentType="application/vnd.ms-office.chartstyle+xml"/>
  <Override PartName="/word/charts/colors14.xml" ContentType="application/vnd.ms-office.chartcolorstyle+xml"/>
  <Override PartName="/word/drawings/drawing15.xml" ContentType="application/vnd.openxmlformats-officedocument.drawingml.chartshapes+xml"/>
  <Override PartName="/word/charts/chart20.xml" ContentType="application/vnd.openxmlformats-officedocument.drawingml.chart+xml"/>
  <Override PartName="/word/charts/chart21.xml" ContentType="application/vnd.openxmlformats-officedocument.drawingml.chart+xml"/>
  <Override PartName="/word/charts/chart22.xml" ContentType="application/vnd.openxmlformats-officedocument.drawingml.chart+xml"/>
  <Override PartName="/word/charts/chart23.xml" ContentType="application/vnd.openxmlformats-officedocument.drawingml.chart+xml"/>
  <Override PartName="/word/footer3.xml" ContentType="application/vnd.openxmlformats-officedocument.wordprocessingml.footer+xml"/>
  <Override PartName="/word/charts/chart24.xml" ContentType="application/vnd.openxmlformats-officedocument.drawingml.chart+xml"/>
  <Override PartName="/word/charts/style15.xml" ContentType="application/vnd.ms-office.chartstyle+xml"/>
  <Override PartName="/word/charts/colors15.xml" ContentType="application/vnd.ms-office.chartcolorstyle+xml"/>
  <Override PartName="/word/drawings/drawing16.xml" ContentType="application/vnd.openxmlformats-officedocument.drawingml.chartshapes+xml"/>
  <Override PartName="/word/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C47F950" w14:textId="77777777" w:rsidR="00126D8D" w:rsidRPr="007F77C5" w:rsidRDefault="00126D8D" w:rsidP="00FB571A">
      <w:pPr>
        <w:jc w:val="center"/>
        <w:rPr>
          <w:rFonts w:cs="Times New Roman"/>
        </w:rPr>
      </w:pPr>
      <w:r w:rsidRPr="007F77C5">
        <w:rPr>
          <w:rFonts w:cs="Times New Roman"/>
        </w:rPr>
        <w:t>The Influence of Spectral Quality on Primary and Secondary Metabolism of Hydroponically Grown Basil</w:t>
      </w:r>
    </w:p>
    <w:p w14:paraId="50346168" w14:textId="77777777" w:rsidR="00126D8D" w:rsidRPr="007F77C5" w:rsidRDefault="00126D8D" w:rsidP="00FB571A">
      <w:pPr>
        <w:jc w:val="center"/>
        <w:rPr>
          <w:rFonts w:cs="Times New Roman"/>
        </w:rPr>
      </w:pPr>
    </w:p>
    <w:p w14:paraId="0489A97A" w14:textId="77777777" w:rsidR="00126D8D" w:rsidRPr="007F77C5" w:rsidRDefault="00126D8D" w:rsidP="00FB571A">
      <w:pPr>
        <w:jc w:val="center"/>
        <w:rPr>
          <w:rFonts w:cs="Times New Roman"/>
        </w:rPr>
      </w:pPr>
    </w:p>
    <w:p w14:paraId="303766DE" w14:textId="77777777" w:rsidR="00126D8D" w:rsidRPr="007F77C5" w:rsidRDefault="00126D8D" w:rsidP="00FB571A">
      <w:pPr>
        <w:jc w:val="center"/>
        <w:rPr>
          <w:rFonts w:cs="Times New Roman"/>
        </w:rPr>
      </w:pPr>
    </w:p>
    <w:p w14:paraId="5872194E" w14:textId="77777777" w:rsidR="00126D8D" w:rsidRPr="007F77C5" w:rsidRDefault="00126D8D" w:rsidP="00FB571A">
      <w:pPr>
        <w:jc w:val="center"/>
        <w:rPr>
          <w:rFonts w:cs="Times New Roman"/>
        </w:rPr>
      </w:pPr>
    </w:p>
    <w:p w14:paraId="2C41AA31" w14:textId="77777777" w:rsidR="00126D8D" w:rsidRPr="007F77C5" w:rsidRDefault="00126D8D" w:rsidP="00FB571A">
      <w:pPr>
        <w:jc w:val="center"/>
        <w:rPr>
          <w:rFonts w:cs="Times New Roman"/>
        </w:rPr>
      </w:pPr>
    </w:p>
    <w:p w14:paraId="6E2AE002" w14:textId="77777777" w:rsidR="00126D8D" w:rsidRPr="007F77C5" w:rsidRDefault="00126D8D" w:rsidP="00FB571A">
      <w:pPr>
        <w:jc w:val="center"/>
        <w:rPr>
          <w:rFonts w:cs="Times New Roman"/>
        </w:rPr>
      </w:pPr>
    </w:p>
    <w:p w14:paraId="7DE08E21" w14:textId="77777777" w:rsidR="00126D8D" w:rsidRPr="007F77C5" w:rsidRDefault="00126D8D" w:rsidP="00FB571A">
      <w:pPr>
        <w:jc w:val="center"/>
        <w:rPr>
          <w:rFonts w:cs="Times New Roman"/>
        </w:rPr>
      </w:pPr>
    </w:p>
    <w:p w14:paraId="2AB98D4A" w14:textId="77777777" w:rsidR="00126D8D" w:rsidRPr="007F77C5" w:rsidRDefault="00126D8D" w:rsidP="00FB571A">
      <w:pPr>
        <w:jc w:val="center"/>
        <w:outlineLvl w:val="0"/>
        <w:rPr>
          <w:rFonts w:cs="Times New Roman"/>
        </w:rPr>
      </w:pPr>
      <w:r w:rsidRPr="007F77C5">
        <w:rPr>
          <w:rFonts w:cs="Times New Roman"/>
        </w:rPr>
        <w:t>A Dissertation Presented for the</w:t>
      </w:r>
    </w:p>
    <w:p w14:paraId="2B6E08C1" w14:textId="7F8C1263" w:rsidR="00126D8D" w:rsidRPr="007F77C5" w:rsidRDefault="00126D8D" w:rsidP="00FB571A">
      <w:pPr>
        <w:jc w:val="center"/>
        <w:outlineLvl w:val="0"/>
        <w:rPr>
          <w:rFonts w:cs="Times New Roman"/>
        </w:rPr>
      </w:pPr>
      <w:r w:rsidRPr="007F77C5">
        <w:rPr>
          <w:rFonts w:cs="Times New Roman"/>
        </w:rPr>
        <w:t xml:space="preserve">Doctor of </w:t>
      </w:r>
      <w:r w:rsidR="006E3E31">
        <w:rPr>
          <w:rFonts w:cs="Times New Roman"/>
        </w:rPr>
        <w:t>Philosophy</w:t>
      </w:r>
    </w:p>
    <w:p w14:paraId="3752A8C8" w14:textId="77777777" w:rsidR="00126D8D" w:rsidRPr="007F77C5" w:rsidRDefault="00126D8D" w:rsidP="00FB571A">
      <w:pPr>
        <w:jc w:val="center"/>
        <w:outlineLvl w:val="0"/>
        <w:rPr>
          <w:rFonts w:cs="Times New Roman"/>
        </w:rPr>
      </w:pPr>
      <w:r w:rsidRPr="007F77C5">
        <w:rPr>
          <w:rFonts w:cs="Times New Roman"/>
        </w:rPr>
        <w:t>Degree</w:t>
      </w:r>
    </w:p>
    <w:p w14:paraId="7921E43C" w14:textId="77777777" w:rsidR="00126D8D" w:rsidRPr="007F77C5" w:rsidRDefault="00126D8D" w:rsidP="00FB571A">
      <w:pPr>
        <w:jc w:val="center"/>
        <w:outlineLvl w:val="0"/>
        <w:rPr>
          <w:rFonts w:cs="Times New Roman"/>
        </w:rPr>
      </w:pPr>
      <w:r w:rsidRPr="007F77C5">
        <w:rPr>
          <w:rFonts w:cs="Times New Roman"/>
        </w:rPr>
        <w:t>The University of Tennessee, Knoxville</w:t>
      </w:r>
    </w:p>
    <w:p w14:paraId="243DBB00" w14:textId="77777777" w:rsidR="00126D8D" w:rsidRPr="007F77C5" w:rsidRDefault="00126D8D" w:rsidP="00FB571A">
      <w:pPr>
        <w:jc w:val="center"/>
        <w:rPr>
          <w:rFonts w:cs="Times New Roman"/>
        </w:rPr>
      </w:pPr>
    </w:p>
    <w:p w14:paraId="6F3BA35F" w14:textId="77777777" w:rsidR="00126D8D" w:rsidRPr="007F77C5" w:rsidRDefault="00126D8D" w:rsidP="00FB571A">
      <w:pPr>
        <w:jc w:val="center"/>
        <w:rPr>
          <w:rFonts w:cs="Times New Roman"/>
        </w:rPr>
      </w:pPr>
    </w:p>
    <w:p w14:paraId="5DF77270" w14:textId="77777777" w:rsidR="00126D8D" w:rsidRPr="007F77C5" w:rsidRDefault="00126D8D" w:rsidP="00FB571A">
      <w:pPr>
        <w:jc w:val="center"/>
        <w:rPr>
          <w:rFonts w:cs="Times New Roman"/>
        </w:rPr>
      </w:pPr>
    </w:p>
    <w:p w14:paraId="78EE277F" w14:textId="77777777" w:rsidR="00126D8D" w:rsidRPr="007F77C5" w:rsidRDefault="00126D8D" w:rsidP="00FB571A">
      <w:pPr>
        <w:jc w:val="center"/>
        <w:rPr>
          <w:rFonts w:cs="Times New Roman"/>
        </w:rPr>
      </w:pPr>
    </w:p>
    <w:p w14:paraId="636E3A28" w14:textId="77777777" w:rsidR="00126D8D" w:rsidRPr="007F77C5" w:rsidRDefault="00126D8D" w:rsidP="00FB571A">
      <w:pPr>
        <w:jc w:val="center"/>
        <w:rPr>
          <w:rFonts w:cs="Times New Roman"/>
        </w:rPr>
      </w:pPr>
    </w:p>
    <w:p w14:paraId="16B9F6A9" w14:textId="77777777" w:rsidR="00126D8D" w:rsidRPr="007F77C5" w:rsidRDefault="00126D8D" w:rsidP="00FB571A">
      <w:pPr>
        <w:jc w:val="center"/>
        <w:rPr>
          <w:rFonts w:cs="Times New Roman"/>
        </w:rPr>
      </w:pPr>
    </w:p>
    <w:p w14:paraId="77387AF9" w14:textId="77777777" w:rsidR="00126D8D" w:rsidRPr="007F77C5" w:rsidRDefault="00126D8D" w:rsidP="00FB571A">
      <w:pPr>
        <w:jc w:val="center"/>
        <w:rPr>
          <w:rFonts w:cs="Times New Roman"/>
        </w:rPr>
      </w:pPr>
    </w:p>
    <w:p w14:paraId="4CD28A88" w14:textId="77777777" w:rsidR="00126D8D" w:rsidRPr="007F77C5" w:rsidRDefault="00126D8D" w:rsidP="00FB571A">
      <w:pPr>
        <w:jc w:val="center"/>
        <w:rPr>
          <w:rFonts w:cs="Times New Roman"/>
        </w:rPr>
      </w:pPr>
    </w:p>
    <w:p w14:paraId="441968C9" w14:textId="77777777" w:rsidR="00126D8D" w:rsidRPr="007F77C5" w:rsidRDefault="00126D8D" w:rsidP="00FB571A">
      <w:pPr>
        <w:jc w:val="center"/>
        <w:outlineLvl w:val="0"/>
        <w:rPr>
          <w:rFonts w:cs="Times New Roman"/>
        </w:rPr>
      </w:pPr>
      <w:r w:rsidRPr="007F77C5">
        <w:rPr>
          <w:rFonts w:cs="Times New Roman"/>
        </w:rPr>
        <w:t>Hunter Albright Hammock</w:t>
      </w:r>
    </w:p>
    <w:p w14:paraId="1DD5B7A5" w14:textId="77777777" w:rsidR="00126D8D" w:rsidRPr="007F77C5" w:rsidRDefault="00126D8D" w:rsidP="00E7673B">
      <w:pPr>
        <w:jc w:val="center"/>
        <w:rPr>
          <w:rFonts w:cs="Times New Roman"/>
        </w:rPr>
      </w:pPr>
      <w:r>
        <w:rPr>
          <w:rFonts w:cs="Times New Roman"/>
        </w:rPr>
        <w:t>August</w:t>
      </w:r>
      <w:r w:rsidRPr="007F77C5">
        <w:rPr>
          <w:rFonts w:cs="Times New Roman"/>
        </w:rPr>
        <w:t xml:space="preserve"> 2023</w:t>
      </w:r>
    </w:p>
    <w:p w14:paraId="29D9E9A1" w14:textId="77777777" w:rsidR="001768B7" w:rsidRPr="009C56FB" w:rsidRDefault="001768B7" w:rsidP="00E94DE1">
      <w:bookmarkStart w:id="0" w:name="_Toc139574763"/>
      <w:bookmarkStart w:id="1" w:name="_Toc485219704"/>
      <w:bookmarkStart w:id="2" w:name="_Toc485219843"/>
      <w:bookmarkStart w:id="3" w:name="_Toc498547839"/>
      <w:bookmarkStart w:id="4" w:name="_Toc499735555"/>
      <w:bookmarkStart w:id="5" w:name="_Toc501479839"/>
      <w:bookmarkStart w:id="6" w:name="_Toc501647063"/>
      <w:bookmarkStart w:id="7" w:name="_Toc501658872"/>
      <w:bookmarkStart w:id="8" w:name="_Toc502751637"/>
      <w:r w:rsidRPr="00E94DE1">
        <w:rPr>
          <w:b/>
          <w:sz w:val="28"/>
        </w:rPr>
        <w:lastRenderedPageBreak/>
        <w:t>Dedication</w:t>
      </w:r>
      <w:bookmarkEnd w:id="0"/>
    </w:p>
    <w:p w14:paraId="6341FB69" w14:textId="35A36E4A" w:rsidR="00FF7350" w:rsidRDefault="00FF7350" w:rsidP="00FF7350">
      <w:pPr>
        <w:pStyle w:val="MSThesisBodyTextJustified"/>
      </w:pPr>
      <w:r>
        <w:t xml:space="preserve">This dissertation is dedicated to my beloved parents, whose love, support, and guidance have been the driving forces behind my academic journey. From the very beginning, you instilled in me a thirst for knowledge and an unwavering belief in my abilities. </w:t>
      </w:r>
      <w:r w:rsidR="00904D0F">
        <w:t xml:space="preserve">You made me question how the world works and gave me the desire to find out. </w:t>
      </w:r>
      <w:r>
        <w:t>Your constant encouragement has not only fueled my academic pursuits but also molded me into the person I am today.</w:t>
      </w:r>
    </w:p>
    <w:p w14:paraId="1F67CB59" w14:textId="13187C60" w:rsidR="00FF7350" w:rsidRDefault="00FF7350" w:rsidP="00FF7350">
      <w:pPr>
        <w:pStyle w:val="MSThesisBodyTextJustified"/>
      </w:pPr>
      <w:r>
        <w:t>To my mother, whose nurturing spirit and unwavering faith in my capabilities have always been my source of strength. You’re a teacher at heart</w:t>
      </w:r>
      <w:r w:rsidR="00904D0F">
        <w:t xml:space="preserve"> </w:t>
      </w:r>
      <w:r>
        <w:t>and gifted me with your drive to help others learn. Your tireless efforts to provide me with the best opportunities and your ceaseless prayers for my success have been the backbone of my journey. Your wisdom, resilience, and grace continue to inspire me every day.</w:t>
      </w:r>
    </w:p>
    <w:p w14:paraId="1057333C" w14:textId="6A3879C6" w:rsidR="00FF7350" w:rsidRDefault="00FF7350" w:rsidP="00054F5F">
      <w:pPr>
        <w:pStyle w:val="MSThesisBodyTextJustified"/>
      </w:pPr>
      <w:r>
        <w:t xml:space="preserve">To my father, who taught me the value of hard work and perseverance. Your dedication to your own career has always been a model for my own academic endeavors. </w:t>
      </w:r>
      <w:r w:rsidR="006E3E31">
        <w:t>You taught me that w</w:t>
      </w:r>
      <w:r>
        <w:t>orking overtime and burning the midnight oil</w:t>
      </w:r>
      <w:r w:rsidR="006E3E31">
        <w:t xml:space="preserve"> is required sometimes to be successful. </w:t>
      </w:r>
      <w:r>
        <w:t>Your insightful advice, patient teaching, and endless encouragement have guided me through every challenge and setback.</w:t>
      </w:r>
    </w:p>
    <w:p w14:paraId="6E3411E4" w14:textId="5B98751C" w:rsidR="00FF7350" w:rsidRDefault="006E3E31" w:rsidP="006E3E31">
      <w:pPr>
        <w:pStyle w:val="MSThesisBodyTextJustified"/>
      </w:pPr>
      <w:r>
        <w:t xml:space="preserve">You have been my greatest cheerleaders, my strongest supporters, </w:t>
      </w:r>
      <w:r w:rsidR="00D11992">
        <w:t xml:space="preserve">and </w:t>
      </w:r>
      <w:r>
        <w:t xml:space="preserve">my most trusted advisors, always </w:t>
      </w:r>
      <w:r w:rsidR="00D11992">
        <w:t>holding</w:t>
      </w:r>
      <w:r>
        <w:t xml:space="preserve"> my best interest to heart. </w:t>
      </w:r>
      <w:r w:rsidR="00FF7350">
        <w:t xml:space="preserve">Your </w:t>
      </w:r>
      <w:r w:rsidR="00D11992">
        <w:t>consistent</w:t>
      </w:r>
      <w:r w:rsidR="00FF7350">
        <w:t xml:space="preserve"> belief in my </w:t>
      </w:r>
      <w:r w:rsidR="00D11992">
        <w:t>abilities</w:t>
      </w:r>
      <w:r w:rsidR="00FF7350">
        <w:t xml:space="preserve"> </w:t>
      </w:r>
      <w:r w:rsidR="00CA0542">
        <w:t>have helped to propel</w:t>
      </w:r>
      <w:r w:rsidR="00FF7350">
        <w:t xml:space="preserve"> me forward</w:t>
      </w:r>
      <w:r w:rsidR="00CA0542">
        <w:t>,</w:t>
      </w:r>
      <w:r w:rsidR="00FF7350">
        <w:t xml:space="preserve"> even when the journey seemed insurmountable.</w:t>
      </w:r>
      <w:r>
        <w:t xml:space="preserve"> </w:t>
      </w:r>
      <w:r w:rsidR="00CA0542">
        <w:t xml:space="preserve">You kept me motivated through the blood, sweat and tears (sometime all three working in </w:t>
      </w:r>
      <w:r>
        <w:t>the</w:t>
      </w:r>
      <w:r w:rsidR="00CA0542">
        <w:t xml:space="preserve"> greenhouse). </w:t>
      </w:r>
      <w:r w:rsidR="00FF7350">
        <w:t xml:space="preserve">You have both sacrificed so much to give me an opportunity to pursue my dreams, and I will never take that for granted. </w:t>
      </w:r>
    </w:p>
    <w:p w14:paraId="1E69260A" w14:textId="4188BC65" w:rsidR="00FF7350" w:rsidRDefault="00FF7350" w:rsidP="00FF7350">
      <w:pPr>
        <w:pStyle w:val="MSThesisBodyTextJustified"/>
      </w:pPr>
      <w:r>
        <w:lastRenderedPageBreak/>
        <w:t xml:space="preserve">The road to earning this PhD was paved with </w:t>
      </w:r>
      <w:r w:rsidR="00DD6E25">
        <w:t xml:space="preserve">many </w:t>
      </w:r>
      <w:r>
        <w:t xml:space="preserve">challenges and trials, but your love and support have made every hurdle surmountable. </w:t>
      </w:r>
      <w:r w:rsidR="006E3E31">
        <w:t xml:space="preserve">You have remined me to take small steps up steep slopes. </w:t>
      </w:r>
      <w:r>
        <w:t xml:space="preserve">This achievement is not just mine, but ours. For every late-night </w:t>
      </w:r>
      <w:r w:rsidR="00DD6E25">
        <w:t>writing</w:t>
      </w:r>
      <w:r>
        <w:t xml:space="preserve"> </w:t>
      </w:r>
      <w:r w:rsidR="00D01571">
        <w:t xml:space="preserve">session </w:t>
      </w:r>
      <w:r>
        <w:t xml:space="preserve">you stayed up with me, for every word of encouragement during moments of self-doubt, for every sacrifice you've made for my education </w:t>
      </w:r>
      <w:r w:rsidR="00054F5F">
        <w:t>-</w:t>
      </w:r>
      <w:r>
        <w:t>- I dedicate this dissertation to you.</w:t>
      </w:r>
    </w:p>
    <w:p w14:paraId="698A5CC2" w14:textId="40BEA85A" w:rsidR="00FF7350" w:rsidRDefault="00FF7350" w:rsidP="00054F5F">
      <w:pPr>
        <w:pStyle w:val="MSThesisBodyTextJustified"/>
      </w:pPr>
      <w:r>
        <w:t xml:space="preserve">In the pages of this </w:t>
      </w:r>
      <w:r w:rsidR="006E3E31">
        <w:t>document</w:t>
      </w:r>
      <w:r>
        <w:t xml:space="preserve">, in every discovery and conclusion, </w:t>
      </w:r>
      <w:r w:rsidR="00D11992">
        <w:t xml:space="preserve">through every word typed into existence, </w:t>
      </w:r>
      <w:r>
        <w:t xml:space="preserve">your influence is evident. </w:t>
      </w:r>
      <w:r w:rsidR="00D11992">
        <w:t>None of this</w:t>
      </w:r>
      <w:r w:rsidR="007F6712">
        <w:t xml:space="preserve"> would have been possible without you. </w:t>
      </w:r>
      <w:r>
        <w:t>As I stand on the threshold of my future, ready to use the knowledge and skills I've acquired, I carry with me the lessons you've taught me. Your love, guidance, and support continue to inspire me to reach for greater heights.</w:t>
      </w:r>
    </w:p>
    <w:p w14:paraId="0DC9D312" w14:textId="5E8E9EB7" w:rsidR="001768B7" w:rsidRDefault="00FF7350" w:rsidP="00FF7350">
      <w:pPr>
        <w:pStyle w:val="MSThesisBodyTextJustified"/>
      </w:pPr>
      <w:r>
        <w:t xml:space="preserve">Thank you, Mom and Dad, for everything. </w:t>
      </w:r>
      <w:r w:rsidR="007F6712">
        <w:t xml:space="preserve">I hope to be one day give my children </w:t>
      </w:r>
      <w:r w:rsidR="0092415F">
        <w:t xml:space="preserve">the same unwavering love and support you’ve given me. </w:t>
      </w:r>
      <w:r>
        <w:t>This PhD is a testament to your love, and a tribute to your unwavering faith in me. I hope to make you prouder still in all my future endeavors.</w:t>
      </w:r>
      <w:r w:rsidR="001768B7">
        <w:br w:type="page"/>
      </w:r>
    </w:p>
    <w:p w14:paraId="2AF2F981" w14:textId="14D6C17F" w:rsidR="00126D8D" w:rsidRPr="00EF6679" w:rsidRDefault="00126D8D" w:rsidP="00EF6679">
      <w:pPr>
        <w:rPr>
          <w:b/>
          <w:bCs/>
          <w:sz w:val="28"/>
          <w:szCs w:val="28"/>
        </w:rPr>
      </w:pPr>
      <w:bookmarkStart w:id="9" w:name="_Toc139574764"/>
      <w:r w:rsidRPr="00EF6679">
        <w:rPr>
          <w:b/>
          <w:bCs/>
          <w:sz w:val="28"/>
          <w:szCs w:val="28"/>
        </w:rPr>
        <w:lastRenderedPageBreak/>
        <w:t>Acknowledgements</w:t>
      </w:r>
      <w:bookmarkEnd w:id="1"/>
      <w:bookmarkEnd w:id="2"/>
      <w:bookmarkEnd w:id="3"/>
      <w:bookmarkEnd w:id="4"/>
      <w:bookmarkEnd w:id="5"/>
      <w:bookmarkEnd w:id="6"/>
      <w:bookmarkEnd w:id="7"/>
      <w:bookmarkEnd w:id="8"/>
      <w:bookmarkEnd w:id="9"/>
    </w:p>
    <w:p w14:paraId="465A850E" w14:textId="77777777" w:rsidR="00126D8D" w:rsidRPr="00902258" w:rsidRDefault="00126D8D" w:rsidP="00182739">
      <w:pPr>
        <w:pStyle w:val="MSThesisBodyTextJustified"/>
      </w:pPr>
      <w:r w:rsidRPr="00902258">
        <w:t>I would like to express my deepest gratitude to everyone who has supported and guided me throughout my academic journey at the University of Tennessee. I am humbled by the wealth of knowledge and kindness I have received, and I am sincerely appreciative of each contribution that has shaped my growth and success.</w:t>
      </w:r>
      <w:r>
        <w:tab/>
      </w:r>
    </w:p>
    <w:p w14:paraId="19AF56F6" w14:textId="77777777" w:rsidR="00126D8D" w:rsidRPr="00902258" w:rsidRDefault="00126D8D" w:rsidP="00902258">
      <w:pPr>
        <w:ind w:firstLine="720"/>
        <w:jc w:val="both"/>
        <w:rPr>
          <w:rFonts w:cs="Times New Roman"/>
        </w:rPr>
      </w:pPr>
      <w:r w:rsidRPr="00902258">
        <w:rPr>
          <w:rFonts w:cs="Times New Roman"/>
        </w:rPr>
        <w:t>First and foremost, I extend my heartfelt thanks to my primary mentor, Dr. Carl Sams. Your guidance, expertise, and unwavering support throughout this research process have been invaluable. I am profoundly grateful for your mentorship and the wisdom you have imparted.</w:t>
      </w:r>
    </w:p>
    <w:p w14:paraId="76A7CBEB" w14:textId="77777777" w:rsidR="00126D8D" w:rsidRPr="00902258" w:rsidRDefault="00126D8D" w:rsidP="00902258">
      <w:pPr>
        <w:ind w:firstLine="720"/>
        <w:jc w:val="both"/>
        <w:rPr>
          <w:rFonts w:cs="Times New Roman"/>
        </w:rPr>
      </w:pPr>
      <w:r w:rsidRPr="00902258">
        <w:rPr>
          <w:rFonts w:cs="Times New Roman"/>
        </w:rPr>
        <w:t>To my PhD committee members, Drs. Dennis Deyton, John Munafo, and Curtis Luckett, thank you for your valuable feedback, support, and encouragement. Your collective insights and perspectives have greatly enriched my research and academic experience.</w:t>
      </w:r>
    </w:p>
    <w:p w14:paraId="1E46EB30" w14:textId="097A36C0" w:rsidR="00126D8D" w:rsidRPr="00902258" w:rsidRDefault="00126D8D" w:rsidP="00902258">
      <w:pPr>
        <w:ind w:firstLine="720"/>
        <w:jc w:val="both"/>
        <w:rPr>
          <w:rFonts w:cs="Times New Roman"/>
        </w:rPr>
      </w:pPr>
      <w:r w:rsidRPr="00902258">
        <w:rPr>
          <w:rFonts w:cs="Times New Roman"/>
        </w:rPr>
        <w:t xml:space="preserve">I am equally grateful for my peers at UT, who have challenged me, inspired me, and helped me grow as a researcher. A special thanks </w:t>
      </w:r>
      <w:r>
        <w:rPr>
          <w:rFonts w:cs="Times New Roman"/>
        </w:rPr>
        <w:t>go</w:t>
      </w:r>
      <w:r w:rsidRPr="00902258">
        <w:rPr>
          <w:rFonts w:cs="Times New Roman"/>
        </w:rPr>
        <w:t xml:space="preserve"> to </w:t>
      </w:r>
      <w:r>
        <w:rPr>
          <w:rFonts w:cs="Times New Roman"/>
        </w:rPr>
        <w:t xml:space="preserve">my </w:t>
      </w:r>
      <w:r w:rsidRPr="00902258">
        <w:rPr>
          <w:rFonts w:cs="Times New Roman"/>
        </w:rPr>
        <w:t xml:space="preserve">lab </w:t>
      </w:r>
      <w:r>
        <w:rPr>
          <w:rFonts w:cs="Times New Roman"/>
        </w:rPr>
        <w:t>supervisors/</w:t>
      </w:r>
      <w:r w:rsidRPr="00902258">
        <w:rPr>
          <w:rFonts w:cs="Times New Roman"/>
        </w:rPr>
        <w:t>assistants</w:t>
      </w:r>
      <w:r>
        <w:rPr>
          <w:rFonts w:cs="Times New Roman"/>
        </w:rPr>
        <w:t>/colleagues</w:t>
      </w:r>
      <w:r w:rsidRPr="00902258">
        <w:rPr>
          <w:rFonts w:cs="Times New Roman"/>
        </w:rPr>
        <w:t xml:space="preserve"> Jennifer Wheeler, Jonathan Chase, Nick Ballew, Ben Levine, Maddie Spradley, </w:t>
      </w:r>
      <w:r w:rsidR="00FD08BD">
        <w:rPr>
          <w:rFonts w:cs="Times New Roman"/>
        </w:rPr>
        <w:t xml:space="preserve">Sara Burns, </w:t>
      </w:r>
      <w:r w:rsidRPr="00902258">
        <w:rPr>
          <w:rFonts w:cs="Times New Roman"/>
        </w:rPr>
        <w:t>Skyler Brazel, Katelynn Rector</w:t>
      </w:r>
      <w:r>
        <w:rPr>
          <w:rFonts w:cs="Times New Roman"/>
        </w:rPr>
        <w:t xml:space="preserve">, </w:t>
      </w:r>
      <w:r w:rsidR="00FD08BD">
        <w:rPr>
          <w:rFonts w:cs="Times New Roman"/>
        </w:rPr>
        <w:t xml:space="preserve">Tracy Hawk, </w:t>
      </w:r>
      <w:r>
        <w:rPr>
          <w:rFonts w:cs="Times New Roman"/>
        </w:rPr>
        <w:t>Brooke Keadle, and Benjamin Prichard</w:t>
      </w:r>
      <w:r w:rsidRPr="00902258">
        <w:rPr>
          <w:rFonts w:cs="Times New Roman"/>
        </w:rPr>
        <w:t>. Your dedication, hard work, and camaraderie have made our shared journey both productive and enjoyable.</w:t>
      </w:r>
    </w:p>
    <w:p w14:paraId="21B94ACF" w14:textId="77777777" w:rsidR="00126D8D" w:rsidRPr="00902258" w:rsidRDefault="00126D8D" w:rsidP="00902258">
      <w:pPr>
        <w:ind w:firstLine="720"/>
        <w:jc w:val="both"/>
        <w:rPr>
          <w:rFonts w:cs="Times New Roman"/>
        </w:rPr>
      </w:pPr>
      <w:r w:rsidRPr="00902258">
        <w:rPr>
          <w:rFonts w:cs="Times New Roman"/>
        </w:rPr>
        <w:t>My sincere appreciation extends to the staff and the resources provided by the University of Tennessee Institute of Agriculture (UTIA). Your support has been instrumental in my success. I would also like to acknowledge the Graduate Student Senate, the National Society of Leadership and Success, the American Society for Horticultural Science, and Leadership Knoxville Scholars for providing opportunities for leadership, service, and professional growth.</w:t>
      </w:r>
    </w:p>
    <w:p w14:paraId="5C77ADC8" w14:textId="77777777" w:rsidR="00126D8D" w:rsidRPr="00902258" w:rsidRDefault="00126D8D" w:rsidP="00902258">
      <w:pPr>
        <w:ind w:firstLine="720"/>
        <w:jc w:val="both"/>
        <w:rPr>
          <w:rFonts w:cs="Times New Roman"/>
        </w:rPr>
      </w:pPr>
      <w:r w:rsidRPr="00902258">
        <w:rPr>
          <w:rFonts w:cs="Times New Roman"/>
        </w:rPr>
        <w:t xml:space="preserve">Last but certainly not least, I want to express my deepest gratitude to my parents, family, and friends. Your unwavering belief in me, your constant encouragement, and your love have been </w:t>
      </w:r>
      <w:r w:rsidRPr="00902258">
        <w:rPr>
          <w:rFonts w:cs="Times New Roman"/>
        </w:rPr>
        <w:lastRenderedPageBreak/>
        <w:t>my source of strength throughout this journey. You have celebrated my successes, lifted me during challenging times, and stood by me every step of the way.</w:t>
      </w:r>
    </w:p>
    <w:p w14:paraId="7652AF8A" w14:textId="2EF81922" w:rsidR="00126D8D" w:rsidRPr="007F77C5" w:rsidRDefault="00126D8D" w:rsidP="00902258">
      <w:pPr>
        <w:ind w:firstLine="720"/>
        <w:jc w:val="both"/>
        <w:rPr>
          <w:rFonts w:cs="Times New Roman"/>
        </w:rPr>
      </w:pPr>
      <w:r w:rsidRPr="00902258">
        <w:rPr>
          <w:rFonts w:cs="Times New Roman"/>
        </w:rPr>
        <w:t xml:space="preserve">As I reflect on my time at UT, I am filled with gratitude for the experiences I have had, the lessons I have learned, and the relationships I have built. The knowledge and skills I have acquired here have not only shaped my academic journey but also laid a strong foundation for my professional career. </w:t>
      </w:r>
      <w:r>
        <w:rPr>
          <w:rFonts w:cs="Times New Roman"/>
        </w:rPr>
        <w:t xml:space="preserve">I hope to use these skills to help feed future generations. </w:t>
      </w:r>
      <w:r w:rsidRPr="00902258">
        <w:rPr>
          <w:rFonts w:cs="Times New Roman"/>
        </w:rPr>
        <w:t xml:space="preserve">I am deeply grateful for the opportunity to learn, grow, and contribute </w:t>
      </w:r>
      <w:r>
        <w:rPr>
          <w:rFonts w:cs="Times New Roman"/>
        </w:rPr>
        <w:t>to</w:t>
      </w:r>
      <w:r w:rsidRPr="00902258">
        <w:rPr>
          <w:rFonts w:cs="Times New Roman"/>
        </w:rPr>
        <w:t xml:space="preserve"> such a vibrant academic community. Thank you</w:t>
      </w:r>
      <w:r w:rsidR="0092415F">
        <w:rPr>
          <w:rFonts w:cs="Times New Roman"/>
        </w:rPr>
        <w:t>, Rocky Top</w:t>
      </w:r>
      <w:r>
        <w:rPr>
          <w:rFonts w:cs="Times New Roman"/>
        </w:rPr>
        <w:t>.</w:t>
      </w:r>
      <w:r w:rsidR="0092415F">
        <w:rPr>
          <w:rFonts w:cs="Times New Roman"/>
        </w:rPr>
        <w:t xml:space="preserve"> </w:t>
      </w:r>
    </w:p>
    <w:p w14:paraId="5D2531D3" w14:textId="77777777" w:rsidR="00126D8D" w:rsidRPr="007F77C5" w:rsidRDefault="00126D8D" w:rsidP="00293615">
      <w:pPr>
        <w:spacing w:line="240" w:lineRule="auto"/>
        <w:jc w:val="both"/>
        <w:rPr>
          <w:rFonts w:cs="Times New Roman"/>
          <w:b/>
          <w:sz w:val="28"/>
        </w:rPr>
      </w:pPr>
      <w:bookmarkStart w:id="10" w:name="_Toc485219705"/>
      <w:bookmarkStart w:id="11" w:name="_Toc485219844"/>
      <w:bookmarkStart w:id="12" w:name="_Toc498547840"/>
      <w:bookmarkStart w:id="13" w:name="_Toc499735556"/>
      <w:r w:rsidRPr="007F77C5">
        <w:rPr>
          <w:rFonts w:cs="Times New Roman"/>
        </w:rPr>
        <w:br w:type="page"/>
      </w:r>
    </w:p>
    <w:p w14:paraId="76F54CAE" w14:textId="77777777" w:rsidR="00126D8D" w:rsidRPr="00EF6679" w:rsidRDefault="00126D8D" w:rsidP="00EF6679">
      <w:pPr>
        <w:rPr>
          <w:b/>
          <w:bCs/>
          <w:sz w:val="28"/>
          <w:szCs w:val="28"/>
        </w:rPr>
      </w:pPr>
      <w:bookmarkStart w:id="14" w:name="_Toc501647064"/>
      <w:bookmarkStart w:id="15" w:name="_Toc501658873"/>
      <w:bookmarkStart w:id="16" w:name="_Toc502751638"/>
      <w:bookmarkStart w:id="17" w:name="_Toc139574765"/>
      <w:bookmarkEnd w:id="10"/>
      <w:bookmarkEnd w:id="11"/>
      <w:bookmarkEnd w:id="12"/>
      <w:bookmarkEnd w:id="13"/>
      <w:r w:rsidRPr="00EF6679">
        <w:rPr>
          <w:b/>
          <w:bCs/>
          <w:sz w:val="28"/>
          <w:szCs w:val="28"/>
        </w:rPr>
        <w:lastRenderedPageBreak/>
        <w:t>Abstract</w:t>
      </w:r>
      <w:bookmarkEnd w:id="14"/>
      <w:bookmarkEnd w:id="15"/>
      <w:bookmarkEnd w:id="16"/>
      <w:bookmarkEnd w:id="17"/>
    </w:p>
    <w:p w14:paraId="32BFDA45" w14:textId="72353224" w:rsidR="00126D8D" w:rsidRPr="007F77C5" w:rsidRDefault="00126D8D" w:rsidP="00E94DE1">
      <w:pPr>
        <w:ind w:firstLine="720"/>
        <w:jc w:val="both"/>
        <w:rPr>
          <w:rFonts w:cs="Times New Roman"/>
        </w:rPr>
      </w:pPr>
      <w:r w:rsidRPr="00164A32">
        <w:rPr>
          <w:rFonts w:cs="Times New Roman"/>
        </w:rPr>
        <w:t xml:space="preserve">This dissertation explores the influence of spectral quality from supplemental lighting and seasonal changes on primary and secondary metabolism in hydroponically grown greenhouse basil. </w:t>
      </w:r>
      <w:r w:rsidR="006753BF">
        <w:rPr>
          <w:rFonts w:cs="Times New Roman"/>
        </w:rPr>
        <w:t>It</w:t>
      </w:r>
      <w:r w:rsidRPr="00164A32">
        <w:rPr>
          <w:rFonts w:cs="Times New Roman"/>
        </w:rPr>
        <w:t xml:space="preserve"> aims to enhance understanding of plant/light interactions and provide practical insights for </w:t>
      </w:r>
      <w:r w:rsidR="00E94DE1">
        <w:rPr>
          <w:rFonts w:cs="Times New Roman"/>
        </w:rPr>
        <w:t>light emitting diode (LED) m</w:t>
      </w:r>
      <w:r w:rsidRPr="00164A32">
        <w:rPr>
          <w:rFonts w:cs="Times New Roman"/>
        </w:rPr>
        <w:t>anufacturers and commercial growers. The research is premised on the hypothesis that altering spectral quality can significantly impact primary and secondary metabolism, potentially improving flavor and increasing phytonutrients with health benefits.</w:t>
      </w:r>
      <w:r w:rsidR="006753BF">
        <w:rPr>
          <w:rFonts w:cs="Times New Roman"/>
        </w:rPr>
        <w:t xml:space="preserve"> </w:t>
      </w:r>
      <w:r w:rsidRPr="00164A32">
        <w:rPr>
          <w:rFonts w:cs="Times New Roman"/>
        </w:rPr>
        <w:t xml:space="preserve">This project involved </w:t>
      </w:r>
      <w:r>
        <w:rPr>
          <w:rFonts w:cs="Times New Roman"/>
        </w:rPr>
        <w:t>four</w:t>
      </w:r>
      <w:r w:rsidRPr="00164A32">
        <w:rPr>
          <w:rFonts w:cs="Times New Roman"/>
        </w:rPr>
        <w:t xml:space="preserve"> phases, each building on the results of the previous ones. </w:t>
      </w:r>
      <w:r>
        <w:rPr>
          <w:rFonts w:cs="Times New Roman"/>
        </w:rPr>
        <w:t xml:space="preserve">In Phase 1, different basil varieties were evaluated to determine aroma volatile profiles and concentrations of key secondary metabolites. </w:t>
      </w:r>
      <w:r w:rsidRPr="00164A32">
        <w:rPr>
          <w:rFonts w:cs="Times New Roman"/>
        </w:rPr>
        <w:t xml:space="preserve">In Phase </w:t>
      </w:r>
      <w:r>
        <w:rPr>
          <w:rFonts w:cs="Times New Roman"/>
        </w:rPr>
        <w:t>2</w:t>
      </w:r>
      <w:r w:rsidRPr="00164A32">
        <w:rPr>
          <w:rFonts w:cs="Times New Roman"/>
        </w:rPr>
        <w:t xml:space="preserve">, discrete narrow-band blue/red (B/R) wavelengths were used to investigate their impact on aroma volatile concentrations and secondary metabolic resource partitioning in basil, revealing the influence of both seasonal and supplemental lighting effects on plant metabolism. Phase </w:t>
      </w:r>
      <w:r>
        <w:rPr>
          <w:rFonts w:cs="Times New Roman"/>
        </w:rPr>
        <w:t>3</w:t>
      </w:r>
      <w:r w:rsidRPr="00164A32">
        <w:rPr>
          <w:rFonts w:cs="Times New Roman"/>
        </w:rPr>
        <w:t xml:space="preserve"> explored the impacts of full spectrum white LEDs </w:t>
      </w:r>
      <w:r>
        <w:rPr>
          <w:rFonts w:cs="Times New Roman"/>
        </w:rPr>
        <w:t xml:space="preserve">and </w:t>
      </w:r>
      <w:r w:rsidR="00E94DE1">
        <w:rPr>
          <w:rFonts w:cs="Times New Roman"/>
        </w:rPr>
        <w:t>high pressure sodium (HPS)</w:t>
      </w:r>
      <w:r>
        <w:rPr>
          <w:rFonts w:cs="Times New Roman"/>
        </w:rPr>
        <w:t xml:space="preserve"> </w:t>
      </w:r>
      <w:r w:rsidRPr="00164A32">
        <w:rPr>
          <w:rFonts w:cs="Times New Roman"/>
        </w:rPr>
        <w:t xml:space="preserve">on yield and </w:t>
      </w:r>
      <w:r>
        <w:rPr>
          <w:rFonts w:cs="Times New Roman"/>
        </w:rPr>
        <w:t>nutrient accumulation</w:t>
      </w:r>
      <w:r w:rsidRPr="00164A32">
        <w:rPr>
          <w:rFonts w:cs="Times New Roman"/>
        </w:rPr>
        <w:t xml:space="preserve">, comparing these to the optimal narrowband B/R identified in Phase </w:t>
      </w:r>
      <w:r>
        <w:rPr>
          <w:rFonts w:cs="Times New Roman"/>
        </w:rPr>
        <w:t>2</w:t>
      </w:r>
      <w:r w:rsidRPr="00164A32">
        <w:rPr>
          <w:rFonts w:cs="Times New Roman"/>
        </w:rPr>
        <w:t>.</w:t>
      </w:r>
      <w:r w:rsidR="006753BF">
        <w:rPr>
          <w:rFonts w:cs="Times New Roman"/>
        </w:rPr>
        <w:t xml:space="preserve"> </w:t>
      </w:r>
      <w:r w:rsidRPr="00164A32">
        <w:rPr>
          <w:rFonts w:cs="Times New Roman"/>
        </w:rPr>
        <w:t xml:space="preserve">The final phase connected all </w:t>
      </w:r>
      <w:r>
        <w:rPr>
          <w:rFonts w:cs="Times New Roman"/>
        </w:rPr>
        <w:t>phases</w:t>
      </w:r>
      <w:r w:rsidRPr="00164A32">
        <w:rPr>
          <w:rFonts w:cs="Times New Roman"/>
        </w:rPr>
        <w:t xml:space="preserve">, comparing the best narrowband and full spectrum treatments to a traditional HPS treatment and natural light control. These treatments were tested across various parameters, with photosynthesis and primary metabolic data recorded, yields and biometric data taken, </w:t>
      </w:r>
      <w:r w:rsidR="00E94DE1">
        <w:rPr>
          <w:rFonts w:cs="Times New Roman"/>
        </w:rPr>
        <w:t>aroma compound</w:t>
      </w:r>
      <w:r w:rsidRPr="00164A32">
        <w:rPr>
          <w:rFonts w:cs="Times New Roman"/>
        </w:rPr>
        <w:t xml:space="preserve"> concentrations, </w:t>
      </w:r>
      <w:r>
        <w:rPr>
          <w:rFonts w:cs="Times New Roman"/>
        </w:rPr>
        <w:t xml:space="preserve">and </w:t>
      </w:r>
      <w:r w:rsidRPr="00164A32">
        <w:rPr>
          <w:rFonts w:cs="Times New Roman"/>
        </w:rPr>
        <w:t>other secondary metabolic data collected. A sensory panel was conducted, and mRNA sequencing performed to determine differences in metabolic pathway expression based on lighting treatment. Analytical data from the different light treatments, sensory panel, and mRNA data were evaluated to determine which lighting regime had the most positive impact on plant physiology and biochemistry.</w:t>
      </w:r>
      <w:r>
        <w:rPr>
          <w:rFonts w:cs="Times New Roman"/>
        </w:rPr>
        <w:t xml:space="preserve"> Variation in spectral quality across seasons influences primary and secondary </w:t>
      </w:r>
      <w:r>
        <w:rPr>
          <w:rFonts w:cs="Times New Roman"/>
        </w:rPr>
        <w:lastRenderedPageBreak/>
        <w:t>metabolism, in addition to the spectral qualities of different types of supplemental lighting treatments. This</w:t>
      </w:r>
      <w:r w:rsidRPr="00164A32">
        <w:rPr>
          <w:rFonts w:cs="Times New Roman"/>
        </w:rPr>
        <w:t xml:space="preserve"> holistic, interdisciplinary approach </w:t>
      </w:r>
      <w:r>
        <w:rPr>
          <w:rFonts w:cs="Times New Roman"/>
        </w:rPr>
        <w:t xml:space="preserve">revealed a light </w:t>
      </w:r>
      <w:r w:rsidRPr="00164A32">
        <w:rPr>
          <w:rFonts w:cs="Times New Roman"/>
        </w:rPr>
        <w:t xml:space="preserve">treatment that balances yield, nutrient content, and flavor preference, providing a superior product highly preferred by consumers. </w:t>
      </w:r>
      <w:r w:rsidR="006753BF">
        <w:rPr>
          <w:rFonts w:cs="Times New Roman"/>
        </w:rPr>
        <w:t>The</w:t>
      </w:r>
      <w:r w:rsidRPr="00164A32">
        <w:rPr>
          <w:rFonts w:cs="Times New Roman"/>
        </w:rPr>
        <w:t xml:space="preserve"> research</w:t>
      </w:r>
      <w:r w:rsidR="006753BF">
        <w:rPr>
          <w:rFonts w:cs="Times New Roman"/>
        </w:rPr>
        <w:t xml:space="preserve"> presented in this document</w:t>
      </w:r>
      <w:r w:rsidRPr="00164A32">
        <w:rPr>
          <w:rFonts w:cs="Times New Roman"/>
        </w:rPr>
        <w:t xml:space="preserve"> significantly expands our understanding of the complex interplay between light conditions and plant physiology, with implications for improving crop yield and quality in controlled environment agriculture.</w:t>
      </w:r>
    </w:p>
    <w:p w14:paraId="052553EC" w14:textId="77777777" w:rsidR="00126D8D" w:rsidRPr="007F77C5" w:rsidRDefault="00126D8D" w:rsidP="00FB571A">
      <w:pPr>
        <w:rPr>
          <w:rFonts w:cs="Times New Roman"/>
        </w:rPr>
      </w:pPr>
    </w:p>
    <w:p w14:paraId="041149D2" w14:textId="77777777" w:rsidR="00126D8D" w:rsidRPr="007F77C5" w:rsidRDefault="00126D8D" w:rsidP="00FB571A">
      <w:pPr>
        <w:rPr>
          <w:rFonts w:cs="Times New Roman"/>
        </w:rPr>
      </w:pPr>
    </w:p>
    <w:p w14:paraId="2649C2E6" w14:textId="77777777" w:rsidR="00126D8D" w:rsidRPr="007F77C5" w:rsidRDefault="00126D8D">
      <w:pPr>
        <w:spacing w:line="240" w:lineRule="auto"/>
        <w:rPr>
          <w:rFonts w:cs="Times New Roman"/>
        </w:rPr>
      </w:pPr>
      <w:r w:rsidRPr="007F77C5">
        <w:rPr>
          <w:rFonts w:cs="Times New Roman"/>
        </w:rPr>
        <w:br w:type="page"/>
      </w:r>
    </w:p>
    <w:p w14:paraId="6D67D934" w14:textId="77777777" w:rsidR="006C6A26" w:rsidRDefault="00126D8D" w:rsidP="006753BF">
      <w:pPr>
        <w:rPr>
          <w:noProof/>
        </w:rPr>
      </w:pPr>
      <w:r w:rsidRPr="006753BF">
        <w:rPr>
          <w:b/>
          <w:bCs/>
          <w:sz w:val="28"/>
          <w:szCs w:val="28"/>
        </w:rPr>
        <w:lastRenderedPageBreak/>
        <w:t>Table of Contents</w:t>
      </w:r>
      <w:r w:rsidRPr="007F77C5">
        <w:rPr>
          <w:b/>
          <w:bCs/>
          <w:sz w:val="28"/>
          <w:szCs w:val="28"/>
        </w:rPr>
        <w:fldChar w:fldCharType="begin"/>
      </w:r>
      <w:r w:rsidRPr="006753BF">
        <w:rPr>
          <w:b/>
          <w:bCs/>
          <w:sz w:val="28"/>
          <w:szCs w:val="28"/>
        </w:rPr>
        <w:instrText xml:space="preserve"> TOC \t "Master's Thesis: Chapter,1,Master's Thesis: Section Header,3,Master's Thesis: Subsection,4,Master's Thesis: Subsection 2,5,Master's Thesis: Main Title,2" </w:instrText>
      </w:r>
      <w:r w:rsidRPr="007F77C5">
        <w:rPr>
          <w:b/>
          <w:bCs/>
          <w:sz w:val="28"/>
          <w:szCs w:val="28"/>
        </w:rPr>
        <w:fldChar w:fldCharType="separate"/>
      </w:r>
    </w:p>
    <w:p w14:paraId="44049EE5" w14:textId="24556A35" w:rsidR="006C6A26" w:rsidRDefault="006C6A26">
      <w:pPr>
        <w:pStyle w:val="TOC1"/>
        <w:rPr>
          <w:rFonts w:asciiTheme="minorHAnsi" w:eastAsiaTheme="minorEastAsia" w:hAnsiTheme="minorHAnsi"/>
          <w:bCs w:val="0"/>
          <w:noProof/>
          <w:kern w:val="2"/>
          <w14:ligatures w14:val="standardContextual"/>
        </w:rPr>
      </w:pPr>
      <w:r w:rsidRPr="00196763">
        <w:rPr>
          <w:rFonts w:cs="Times New Roman"/>
          <w:noProof/>
        </w:rPr>
        <w:t>CHAPTER 1: INTRODUCTION</w:t>
      </w:r>
      <w:r>
        <w:rPr>
          <w:noProof/>
        </w:rPr>
        <w:tab/>
      </w:r>
      <w:r>
        <w:rPr>
          <w:noProof/>
        </w:rPr>
        <w:fldChar w:fldCharType="begin"/>
      </w:r>
      <w:r>
        <w:rPr>
          <w:noProof/>
        </w:rPr>
        <w:instrText xml:space="preserve"> PAGEREF _Toc141478639 \h </w:instrText>
      </w:r>
      <w:r>
        <w:rPr>
          <w:noProof/>
        </w:rPr>
      </w:r>
      <w:r>
        <w:rPr>
          <w:noProof/>
        </w:rPr>
        <w:fldChar w:fldCharType="separate"/>
      </w:r>
      <w:r>
        <w:rPr>
          <w:noProof/>
        </w:rPr>
        <w:t>1</w:t>
      </w:r>
      <w:r>
        <w:rPr>
          <w:noProof/>
        </w:rPr>
        <w:fldChar w:fldCharType="end"/>
      </w:r>
    </w:p>
    <w:p w14:paraId="00508C8A" w14:textId="09874370" w:rsidR="006C6A26" w:rsidRDefault="006C6A26">
      <w:pPr>
        <w:pStyle w:val="TOC2"/>
        <w:rPr>
          <w:rFonts w:asciiTheme="minorHAnsi" w:eastAsiaTheme="minorEastAsia" w:hAnsiTheme="minorHAnsi"/>
          <w:bCs w:val="0"/>
          <w:noProof/>
          <w:kern w:val="2"/>
          <w:sz w:val="24"/>
          <w:szCs w:val="24"/>
          <w14:ligatures w14:val="standardContextual"/>
        </w:rPr>
      </w:pPr>
      <w:r>
        <w:rPr>
          <w:noProof/>
        </w:rPr>
        <w:t>Controlled Environment Agriculture</w:t>
      </w:r>
      <w:r>
        <w:rPr>
          <w:noProof/>
        </w:rPr>
        <w:tab/>
      </w:r>
      <w:r>
        <w:rPr>
          <w:noProof/>
        </w:rPr>
        <w:fldChar w:fldCharType="begin"/>
      </w:r>
      <w:r>
        <w:rPr>
          <w:noProof/>
        </w:rPr>
        <w:instrText xml:space="preserve"> PAGEREF _Toc141478640 \h </w:instrText>
      </w:r>
      <w:r>
        <w:rPr>
          <w:noProof/>
        </w:rPr>
      </w:r>
      <w:r>
        <w:rPr>
          <w:noProof/>
        </w:rPr>
        <w:fldChar w:fldCharType="separate"/>
      </w:r>
      <w:r>
        <w:rPr>
          <w:noProof/>
        </w:rPr>
        <w:t>2</w:t>
      </w:r>
      <w:r>
        <w:rPr>
          <w:noProof/>
        </w:rPr>
        <w:fldChar w:fldCharType="end"/>
      </w:r>
    </w:p>
    <w:p w14:paraId="2D2C3957" w14:textId="24635765" w:rsidR="006C6A26" w:rsidRDefault="006C6A26">
      <w:pPr>
        <w:pStyle w:val="TOC2"/>
        <w:rPr>
          <w:rFonts w:asciiTheme="minorHAnsi" w:eastAsiaTheme="minorEastAsia" w:hAnsiTheme="minorHAnsi"/>
          <w:bCs w:val="0"/>
          <w:noProof/>
          <w:kern w:val="2"/>
          <w:sz w:val="24"/>
          <w:szCs w:val="24"/>
          <w14:ligatures w14:val="standardContextual"/>
        </w:rPr>
      </w:pPr>
      <w:r>
        <w:rPr>
          <w:noProof/>
        </w:rPr>
        <w:t>Supplemental Lighting in Horticulture</w:t>
      </w:r>
      <w:r>
        <w:rPr>
          <w:noProof/>
        </w:rPr>
        <w:tab/>
      </w:r>
      <w:r>
        <w:rPr>
          <w:noProof/>
        </w:rPr>
        <w:fldChar w:fldCharType="begin"/>
      </w:r>
      <w:r>
        <w:rPr>
          <w:noProof/>
        </w:rPr>
        <w:instrText xml:space="preserve"> PAGEREF _Toc141478641 \h </w:instrText>
      </w:r>
      <w:r>
        <w:rPr>
          <w:noProof/>
        </w:rPr>
      </w:r>
      <w:r>
        <w:rPr>
          <w:noProof/>
        </w:rPr>
        <w:fldChar w:fldCharType="separate"/>
      </w:r>
      <w:r>
        <w:rPr>
          <w:noProof/>
        </w:rPr>
        <w:t>5</w:t>
      </w:r>
      <w:r>
        <w:rPr>
          <w:noProof/>
        </w:rPr>
        <w:fldChar w:fldCharType="end"/>
      </w:r>
    </w:p>
    <w:p w14:paraId="14A082B8" w14:textId="33E78855" w:rsidR="006C6A26" w:rsidRDefault="006C6A26">
      <w:pPr>
        <w:pStyle w:val="TOC2"/>
        <w:rPr>
          <w:rFonts w:asciiTheme="minorHAnsi" w:eastAsiaTheme="minorEastAsia" w:hAnsiTheme="minorHAnsi"/>
          <w:bCs w:val="0"/>
          <w:noProof/>
          <w:kern w:val="2"/>
          <w:sz w:val="24"/>
          <w:szCs w:val="24"/>
          <w14:ligatures w14:val="standardContextual"/>
        </w:rPr>
      </w:pPr>
      <w:r>
        <w:rPr>
          <w:noProof/>
        </w:rPr>
        <w:t>Fundamentals of Light and Its Interaction with Plants</w:t>
      </w:r>
      <w:r>
        <w:rPr>
          <w:noProof/>
        </w:rPr>
        <w:tab/>
      </w:r>
      <w:r>
        <w:rPr>
          <w:noProof/>
        </w:rPr>
        <w:fldChar w:fldCharType="begin"/>
      </w:r>
      <w:r>
        <w:rPr>
          <w:noProof/>
        </w:rPr>
        <w:instrText xml:space="preserve"> PAGEREF _Toc141478642 \h </w:instrText>
      </w:r>
      <w:r>
        <w:rPr>
          <w:noProof/>
        </w:rPr>
      </w:r>
      <w:r>
        <w:rPr>
          <w:noProof/>
        </w:rPr>
        <w:fldChar w:fldCharType="separate"/>
      </w:r>
      <w:r>
        <w:rPr>
          <w:noProof/>
        </w:rPr>
        <w:t>9</w:t>
      </w:r>
      <w:r>
        <w:rPr>
          <w:noProof/>
        </w:rPr>
        <w:fldChar w:fldCharType="end"/>
      </w:r>
    </w:p>
    <w:p w14:paraId="6CC392F9" w14:textId="0C839EBB" w:rsidR="006C6A26" w:rsidRDefault="006C6A26">
      <w:pPr>
        <w:pStyle w:val="TOC2"/>
        <w:rPr>
          <w:rFonts w:asciiTheme="minorHAnsi" w:eastAsiaTheme="minorEastAsia" w:hAnsiTheme="minorHAnsi"/>
          <w:bCs w:val="0"/>
          <w:noProof/>
          <w:kern w:val="2"/>
          <w:sz w:val="24"/>
          <w:szCs w:val="24"/>
          <w14:ligatures w14:val="standardContextual"/>
        </w:rPr>
      </w:pPr>
      <w:r>
        <w:rPr>
          <w:noProof/>
        </w:rPr>
        <w:t>Brief Overview of Primary Metabolism in Higher Plants</w:t>
      </w:r>
      <w:r>
        <w:rPr>
          <w:noProof/>
        </w:rPr>
        <w:tab/>
      </w:r>
      <w:r>
        <w:rPr>
          <w:noProof/>
        </w:rPr>
        <w:fldChar w:fldCharType="begin"/>
      </w:r>
      <w:r>
        <w:rPr>
          <w:noProof/>
        </w:rPr>
        <w:instrText xml:space="preserve"> PAGEREF _Toc141478643 \h </w:instrText>
      </w:r>
      <w:r>
        <w:rPr>
          <w:noProof/>
        </w:rPr>
      </w:r>
      <w:r>
        <w:rPr>
          <w:noProof/>
        </w:rPr>
        <w:fldChar w:fldCharType="separate"/>
      </w:r>
      <w:r>
        <w:rPr>
          <w:noProof/>
        </w:rPr>
        <w:t>12</w:t>
      </w:r>
      <w:r>
        <w:rPr>
          <w:noProof/>
        </w:rPr>
        <w:fldChar w:fldCharType="end"/>
      </w:r>
    </w:p>
    <w:p w14:paraId="25EA5B43" w14:textId="48645739" w:rsidR="006C6A26" w:rsidRDefault="006C6A26">
      <w:pPr>
        <w:pStyle w:val="TOC2"/>
        <w:rPr>
          <w:rFonts w:asciiTheme="minorHAnsi" w:eastAsiaTheme="minorEastAsia" w:hAnsiTheme="minorHAnsi"/>
          <w:bCs w:val="0"/>
          <w:noProof/>
          <w:kern w:val="2"/>
          <w:sz w:val="24"/>
          <w:szCs w:val="24"/>
          <w14:ligatures w14:val="standardContextual"/>
        </w:rPr>
      </w:pPr>
      <w:r>
        <w:rPr>
          <w:noProof/>
        </w:rPr>
        <w:t>Secondary Metabolism in Higher Plants</w:t>
      </w:r>
      <w:r>
        <w:rPr>
          <w:noProof/>
        </w:rPr>
        <w:tab/>
      </w:r>
      <w:r>
        <w:rPr>
          <w:noProof/>
        </w:rPr>
        <w:fldChar w:fldCharType="begin"/>
      </w:r>
      <w:r>
        <w:rPr>
          <w:noProof/>
        </w:rPr>
        <w:instrText xml:space="preserve"> PAGEREF _Toc141478644 \h </w:instrText>
      </w:r>
      <w:r>
        <w:rPr>
          <w:noProof/>
        </w:rPr>
      </w:r>
      <w:r>
        <w:rPr>
          <w:noProof/>
        </w:rPr>
        <w:fldChar w:fldCharType="separate"/>
      </w:r>
      <w:r>
        <w:rPr>
          <w:noProof/>
        </w:rPr>
        <w:t>17</w:t>
      </w:r>
      <w:r>
        <w:rPr>
          <w:noProof/>
        </w:rPr>
        <w:fldChar w:fldCharType="end"/>
      </w:r>
    </w:p>
    <w:p w14:paraId="2ABBD61C" w14:textId="45607C4A" w:rsidR="006C6A26" w:rsidRDefault="006C6A26">
      <w:pPr>
        <w:pStyle w:val="TOC3"/>
        <w:rPr>
          <w:rFonts w:asciiTheme="minorHAnsi" w:eastAsiaTheme="minorEastAsia" w:hAnsiTheme="minorHAnsi"/>
          <w:noProof/>
          <w:kern w:val="2"/>
          <w:sz w:val="24"/>
          <w:szCs w:val="24"/>
          <w14:ligatures w14:val="standardContextual"/>
        </w:rPr>
      </w:pPr>
      <w:r>
        <w:rPr>
          <w:noProof/>
        </w:rPr>
        <w:t>Isoprenoids</w:t>
      </w:r>
      <w:r>
        <w:rPr>
          <w:noProof/>
        </w:rPr>
        <w:tab/>
      </w:r>
      <w:r>
        <w:rPr>
          <w:noProof/>
        </w:rPr>
        <w:fldChar w:fldCharType="begin"/>
      </w:r>
      <w:r>
        <w:rPr>
          <w:noProof/>
        </w:rPr>
        <w:instrText xml:space="preserve"> PAGEREF _Toc141478645 \h </w:instrText>
      </w:r>
      <w:r>
        <w:rPr>
          <w:noProof/>
        </w:rPr>
      </w:r>
      <w:r>
        <w:rPr>
          <w:noProof/>
        </w:rPr>
        <w:fldChar w:fldCharType="separate"/>
      </w:r>
      <w:r>
        <w:rPr>
          <w:noProof/>
        </w:rPr>
        <w:t>21</w:t>
      </w:r>
      <w:r>
        <w:rPr>
          <w:noProof/>
        </w:rPr>
        <w:fldChar w:fldCharType="end"/>
      </w:r>
    </w:p>
    <w:p w14:paraId="0311AF91" w14:textId="22878A80" w:rsidR="006C6A26" w:rsidRDefault="006C6A26">
      <w:pPr>
        <w:pStyle w:val="TOC3"/>
        <w:rPr>
          <w:rFonts w:asciiTheme="minorHAnsi" w:eastAsiaTheme="minorEastAsia" w:hAnsiTheme="minorHAnsi"/>
          <w:noProof/>
          <w:kern w:val="2"/>
          <w:sz w:val="24"/>
          <w:szCs w:val="24"/>
          <w14:ligatures w14:val="standardContextual"/>
        </w:rPr>
      </w:pPr>
      <w:r>
        <w:rPr>
          <w:noProof/>
        </w:rPr>
        <w:t>Carotenoids</w:t>
      </w:r>
      <w:r>
        <w:rPr>
          <w:noProof/>
        </w:rPr>
        <w:tab/>
      </w:r>
      <w:r>
        <w:rPr>
          <w:noProof/>
        </w:rPr>
        <w:fldChar w:fldCharType="begin"/>
      </w:r>
      <w:r>
        <w:rPr>
          <w:noProof/>
        </w:rPr>
        <w:instrText xml:space="preserve"> PAGEREF _Toc141478646 \h </w:instrText>
      </w:r>
      <w:r>
        <w:rPr>
          <w:noProof/>
        </w:rPr>
      </w:r>
      <w:r>
        <w:rPr>
          <w:noProof/>
        </w:rPr>
        <w:fldChar w:fldCharType="separate"/>
      </w:r>
      <w:r>
        <w:rPr>
          <w:noProof/>
        </w:rPr>
        <w:t>25</w:t>
      </w:r>
      <w:r>
        <w:rPr>
          <w:noProof/>
        </w:rPr>
        <w:fldChar w:fldCharType="end"/>
      </w:r>
    </w:p>
    <w:p w14:paraId="5888F46A" w14:textId="4BAC9A01" w:rsidR="006C6A26" w:rsidRDefault="006C6A26">
      <w:pPr>
        <w:pStyle w:val="TOC2"/>
        <w:rPr>
          <w:rFonts w:asciiTheme="minorHAnsi" w:eastAsiaTheme="minorEastAsia" w:hAnsiTheme="minorHAnsi"/>
          <w:bCs w:val="0"/>
          <w:noProof/>
          <w:kern w:val="2"/>
          <w:sz w:val="24"/>
          <w:szCs w:val="24"/>
          <w14:ligatures w14:val="standardContextual"/>
        </w:rPr>
      </w:pPr>
      <w:r>
        <w:rPr>
          <w:noProof/>
        </w:rPr>
        <w:t>Sensory Analysis and Food Science Fundamentals</w:t>
      </w:r>
      <w:r>
        <w:rPr>
          <w:noProof/>
        </w:rPr>
        <w:tab/>
      </w:r>
      <w:r>
        <w:rPr>
          <w:noProof/>
        </w:rPr>
        <w:fldChar w:fldCharType="begin"/>
      </w:r>
      <w:r>
        <w:rPr>
          <w:noProof/>
        </w:rPr>
        <w:instrText xml:space="preserve"> PAGEREF _Toc141478647 \h </w:instrText>
      </w:r>
      <w:r>
        <w:rPr>
          <w:noProof/>
        </w:rPr>
      </w:r>
      <w:r>
        <w:rPr>
          <w:noProof/>
        </w:rPr>
        <w:fldChar w:fldCharType="separate"/>
      </w:r>
      <w:r>
        <w:rPr>
          <w:noProof/>
        </w:rPr>
        <w:t>29</w:t>
      </w:r>
      <w:r>
        <w:rPr>
          <w:noProof/>
        </w:rPr>
        <w:fldChar w:fldCharType="end"/>
      </w:r>
    </w:p>
    <w:p w14:paraId="19155CD5" w14:textId="5A8571CC" w:rsidR="006C6A26" w:rsidRDefault="006C6A26">
      <w:pPr>
        <w:pStyle w:val="TOC2"/>
        <w:rPr>
          <w:rFonts w:asciiTheme="minorHAnsi" w:eastAsiaTheme="minorEastAsia" w:hAnsiTheme="minorHAnsi"/>
          <w:bCs w:val="0"/>
          <w:noProof/>
          <w:kern w:val="2"/>
          <w:sz w:val="24"/>
          <w:szCs w:val="24"/>
          <w14:ligatures w14:val="standardContextual"/>
        </w:rPr>
      </w:pPr>
      <w:r>
        <w:rPr>
          <w:noProof/>
        </w:rPr>
        <w:t>Molecular Techniques</w:t>
      </w:r>
      <w:r>
        <w:rPr>
          <w:noProof/>
        </w:rPr>
        <w:tab/>
      </w:r>
      <w:r>
        <w:rPr>
          <w:noProof/>
        </w:rPr>
        <w:fldChar w:fldCharType="begin"/>
      </w:r>
      <w:r>
        <w:rPr>
          <w:noProof/>
        </w:rPr>
        <w:instrText xml:space="preserve"> PAGEREF _Toc141478648 \h </w:instrText>
      </w:r>
      <w:r>
        <w:rPr>
          <w:noProof/>
        </w:rPr>
      </w:r>
      <w:r>
        <w:rPr>
          <w:noProof/>
        </w:rPr>
        <w:fldChar w:fldCharType="separate"/>
      </w:r>
      <w:r>
        <w:rPr>
          <w:noProof/>
        </w:rPr>
        <w:t>42</w:t>
      </w:r>
      <w:r>
        <w:rPr>
          <w:noProof/>
        </w:rPr>
        <w:fldChar w:fldCharType="end"/>
      </w:r>
    </w:p>
    <w:p w14:paraId="63970515" w14:textId="34707C18" w:rsidR="006C6A26" w:rsidRDefault="006C6A26">
      <w:pPr>
        <w:pStyle w:val="TOC2"/>
        <w:rPr>
          <w:rFonts w:asciiTheme="minorHAnsi" w:eastAsiaTheme="minorEastAsia" w:hAnsiTheme="minorHAnsi"/>
          <w:bCs w:val="0"/>
          <w:noProof/>
          <w:kern w:val="2"/>
          <w:sz w:val="24"/>
          <w:szCs w:val="24"/>
          <w14:ligatures w14:val="standardContextual"/>
        </w:rPr>
      </w:pPr>
      <w:r>
        <w:rPr>
          <w:noProof/>
        </w:rPr>
        <w:t>Basil Background</w:t>
      </w:r>
      <w:r>
        <w:rPr>
          <w:noProof/>
        </w:rPr>
        <w:tab/>
      </w:r>
      <w:r>
        <w:rPr>
          <w:noProof/>
        </w:rPr>
        <w:fldChar w:fldCharType="begin"/>
      </w:r>
      <w:r>
        <w:rPr>
          <w:noProof/>
        </w:rPr>
        <w:instrText xml:space="preserve"> PAGEREF _Toc141478649 \h </w:instrText>
      </w:r>
      <w:r>
        <w:rPr>
          <w:noProof/>
        </w:rPr>
      </w:r>
      <w:r>
        <w:rPr>
          <w:noProof/>
        </w:rPr>
        <w:fldChar w:fldCharType="separate"/>
      </w:r>
      <w:r>
        <w:rPr>
          <w:noProof/>
        </w:rPr>
        <w:t>46</w:t>
      </w:r>
      <w:r>
        <w:rPr>
          <w:noProof/>
        </w:rPr>
        <w:fldChar w:fldCharType="end"/>
      </w:r>
    </w:p>
    <w:p w14:paraId="33AAEF31" w14:textId="77C77035" w:rsidR="006C6A26" w:rsidRDefault="006C6A26">
      <w:pPr>
        <w:pStyle w:val="TOC2"/>
        <w:rPr>
          <w:rFonts w:asciiTheme="minorHAnsi" w:eastAsiaTheme="minorEastAsia" w:hAnsiTheme="minorHAnsi"/>
          <w:bCs w:val="0"/>
          <w:noProof/>
          <w:kern w:val="2"/>
          <w:sz w:val="24"/>
          <w:szCs w:val="24"/>
          <w14:ligatures w14:val="standardContextual"/>
        </w:rPr>
      </w:pPr>
      <w:r>
        <w:rPr>
          <w:noProof/>
        </w:rPr>
        <w:t>Research Objectives</w:t>
      </w:r>
      <w:r>
        <w:rPr>
          <w:noProof/>
        </w:rPr>
        <w:tab/>
      </w:r>
      <w:r>
        <w:rPr>
          <w:noProof/>
        </w:rPr>
        <w:fldChar w:fldCharType="begin"/>
      </w:r>
      <w:r>
        <w:rPr>
          <w:noProof/>
        </w:rPr>
        <w:instrText xml:space="preserve"> PAGEREF _Toc141478650 \h </w:instrText>
      </w:r>
      <w:r>
        <w:rPr>
          <w:noProof/>
        </w:rPr>
      </w:r>
      <w:r>
        <w:rPr>
          <w:noProof/>
        </w:rPr>
        <w:fldChar w:fldCharType="separate"/>
      </w:r>
      <w:r>
        <w:rPr>
          <w:noProof/>
        </w:rPr>
        <w:t>48</w:t>
      </w:r>
      <w:r>
        <w:rPr>
          <w:noProof/>
        </w:rPr>
        <w:fldChar w:fldCharType="end"/>
      </w:r>
    </w:p>
    <w:p w14:paraId="3FA6E83E" w14:textId="16E51800" w:rsidR="006C6A26" w:rsidRDefault="006C6A26">
      <w:pPr>
        <w:pStyle w:val="TOC3"/>
        <w:rPr>
          <w:rFonts w:asciiTheme="minorHAnsi" w:eastAsiaTheme="minorEastAsia" w:hAnsiTheme="minorHAnsi"/>
          <w:noProof/>
          <w:kern w:val="2"/>
          <w:sz w:val="24"/>
          <w:szCs w:val="24"/>
          <w14:ligatures w14:val="standardContextual"/>
        </w:rPr>
      </w:pPr>
      <w:r>
        <w:rPr>
          <w:noProof/>
        </w:rPr>
        <w:t>Phase 1 -- B/R Narrowband Light</w:t>
      </w:r>
      <w:r>
        <w:rPr>
          <w:noProof/>
        </w:rPr>
        <w:tab/>
      </w:r>
      <w:r>
        <w:rPr>
          <w:noProof/>
        </w:rPr>
        <w:fldChar w:fldCharType="begin"/>
      </w:r>
      <w:r>
        <w:rPr>
          <w:noProof/>
        </w:rPr>
        <w:instrText xml:space="preserve"> PAGEREF _Toc141478651 \h </w:instrText>
      </w:r>
      <w:r>
        <w:rPr>
          <w:noProof/>
        </w:rPr>
      </w:r>
      <w:r>
        <w:rPr>
          <w:noProof/>
        </w:rPr>
        <w:fldChar w:fldCharType="separate"/>
      </w:r>
      <w:r>
        <w:rPr>
          <w:noProof/>
        </w:rPr>
        <w:t>50</w:t>
      </w:r>
      <w:r>
        <w:rPr>
          <w:noProof/>
        </w:rPr>
        <w:fldChar w:fldCharType="end"/>
      </w:r>
    </w:p>
    <w:p w14:paraId="01286A45" w14:textId="6FEC6EF4" w:rsidR="006C6A26" w:rsidRDefault="006C6A26">
      <w:pPr>
        <w:pStyle w:val="TOC3"/>
        <w:rPr>
          <w:rFonts w:asciiTheme="minorHAnsi" w:eastAsiaTheme="minorEastAsia" w:hAnsiTheme="minorHAnsi"/>
          <w:noProof/>
          <w:kern w:val="2"/>
          <w:sz w:val="24"/>
          <w:szCs w:val="24"/>
          <w14:ligatures w14:val="standardContextual"/>
        </w:rPr>
      </w:pPr>
      <w:r>
        <w:rPr>
          <w:noProof/>
        </w:rPr>
        <w:t>Phase 2 -- Warm/Cool Full Spectrum White Light</w:t>
      </w:r>
      <w:r>
        <w:rPr>
          <w:noProof/>
        </w:rPr>
        <w:tab/>
      </w:r>
      <w:r>
        <w:rPr>
          <w:noProof/>
        </w:rPr>
        <w:fldChar w:fldCharType="begin"/>
      </w:r>
      <w:r>
        <w:rPr>
          <w:noProof/>
        </w:rPr>
        <w:instrText xml:space="preserve"> PAGEREF _Toc141478652 \h </w:instrText>
      </w:r>
      <w:r>
        <w:rPr>
          <w:noProof/>
        </w:rPr>
      </w:r>
      <w:r>
        <w:rPr>
          <w:noProof/>
        </w:rPr>
        <w:fldChar w:fldCharType="separate"/>
      </w:r>
      <w:r>
        <w:rPr>
          <w:noProof/>
        </w:rPr>
        <w:t>50</w:t>
      </w:r>
      <w:r>
        <w:rPr>
          <w:noProof/>
        </w:rPr>
        <w:fldChar w:fldCharType="end"/>
      </w:r>
    </w:p>
    <w:p w14:paraId="06818115" w14:textId="28255193" w:rsidR="006C6A26" w:rsidRDefault="006C6A26">
      <w:pPr>
        <w:pStyle w:val="TOC3"/>
        <w:rPr>
          <w:rFonts w:asciiTheme="minorHAnsi" w:eastAsiaTheme="minorEastAsia" w:hAnsiTheme="minorHAnsi"/>
          <w:noProof/>
          <w:kern w:val="2"/>
          <w:sz w:val="24"/>
          <w:szCs w:val="24"/>
          <w14:ligatures w14:val="standardContextual"/>
        </w:rPr>
      </w:pPr>
      <w:r>
        <w:rPr>
          <w:noProof/>
        </w:rPr>
        <w:t>Phase 3 -- Sensory Panel, mRNA, and Analytical Data Analysis</w:t>
      </w:r>
      <w:r>
        <w:rPr>
          <w:noProof/>
        </w:rPr>
        <w:tab/>
      </w:r>
      <w:r>
        <w:rPr>
          <w:noProof/>
        </w:rPr>
        <w:fldChar w:fldCharType="begin"/>
      </w:r>
      <w:r>
        <w:rPr>
          <w:noProof/>
        </w:rPr>
        <w:instrText xml:space="preserve"> PAGEREF _Toc141478653 \h </w:instrText>
      </w:r>
      <w:r>
        <w:rPr>
          <w:noProof/>
        </w:rPr>
      </w:r>
      <w:r>
        <w:rPr>
          <w:noProof/>
        </w:rPr>
        <w:fldChar w:fldCharType="separate"/>
      </w:r>
      <w:r>
        <w:rPr>
          <w:noProof/>
        </w:rPr>
        <w:t>51</w:t>
      </w:r>
      <w:r>
        <w:rPr>
          <w:noProof/>
        </w:rPr>
        <w:fldChar w:fldCharType="end"/>
      </w:r>
    </w:p>
    <w:p w14:paraId="3141B5F5" w14:textId="4DB4BF52" w:rsidR="006C6A26" w:rsidRDefault="006C6A26">
      <w:pPr>
        <w:pStyle w:val="TOC2"/>
        <w:rPr>
          <w:rFonts w:asciiTheme="minorHAnsi" w:eastAsiaTheme="minorEastAsia" w:hAnsiTheme="minorHAnsi"/>
          <w:bCs w:val="0"/>
          <w:noProof/>
          <w:kern w:val="2"/>
          <w:sz w:val="24"/>
          <w:szCs w:val="24"/>
          <w14:ligatures w14:val="standardContextual"/>
        </w:rPr>
      </w:pPr>
      <w:r>
        <w:rPr>
          <w:noProof/>
        </w:rPr>
        <w:t>References</w:t>
      </w:r>
      <w:r>
        <w:rPr>
          <w:noProof/>
        </w:rPr>
        <w:tab/>
      </w:r>
      <w:r>
        <w:rPr>
          <w:noProof/>
        </w:rPr>
        <w:fldChar w:fldCharType="begin"/>
      </w:r>
      <w:r>
        <w:rPr>
          <w:noProof/>
        </w:rPr>
        <w:instrText xml:space="preserve"> PAGEREF _Toc141478654 \h </w:instrText>
      </w:r>
      <w:r>
        <w:rPr>
          <w:noProof/>
        </w:rPr>
      </w:r>
      <w:r>
        <w:rPr>
          <w:noProof/>
        </w:rPr>
        <w:fldChar w:fldCharType="separate"/>
      </w:r>
      <w:r>
        <w:rPr>
          <w:noProof/>
        </w:rPr>
        <w:t>53</w:t>
      </w:r>
      <w:r>
        <w:rPr>
          <w:noProof/>
        </w:rPr>
        <w:fldChar w:fldCharType="end"/>
      </w:r>
    </w:p>
    <w:p w14:paraId="40EE473C" w14:textId="3A111625" w:rsidR="006C6A26" w:rsidRDefault="006C6A26">
      <w:pPr>
        <w:pStyle w:val="TOC2"/>
        <w:rPr>
          <w:rFonts w:asciiTheme="minorHAnsi" w:eastAsiaTheme="minorEastAsia" w:hAnsiTheme="minorHAnsi"/>
          <w:bCs w:val="0"/>
          <w:noProof/>
          <w:kern w:val="2"/>
          <w:sz w:val="24"/>
          <w:szCs w:val="24"/>
          <w14:ligatures w14:val="standardContextual"/>
        </w:rPr>
      </w:pPr>
      <w:r>
        <w:rPr>
          <w:noProof/>
        </w:rPr>
        <w:t>Appendix A</w:t>
      </w:r>
      <w:r>
        <w:rPr>
          <w:noProof/>
        </w:rPr>
        <w:tab/>
      </w:r>
      <w:r>
        <w:rPr>
          <w:noProof/>
        </w:rPr>
        <w:fldChar w:fldCharType="begin"/>
      </w:r>
      <w:r>
        <w:rPr>
          <w:noProof/>
        </w:rPr>
        <w:instrText xml:space="preserve"> PAGEREF _Toc141478655 \h </w:instrText>
      </w:r>
      <w:r>
        <w:rPr>
          <w:noProof/>
        </w:rPr>
      </w:r>
      <w:r>
        <w:rPr>
          <w:noProof/>
        </w:rPr>
        <w:fldChar w:fldCharType="separate"/>
      </w:r>
      <w:r>
        <w:rPr>
          <w:noProof/>
        </w:rPr>
        <w:t>80</w:t>
      </w:r>
      <w:r>
        <w:rPr>
          <w:noProof/>
        </w:rPr>
        <w:fldChar w:fldCharType="end"/>
      </w:r>
    </w:p>
    <w:p w14:paraId="102FB170" w14:textId="604662A5" w:rsidR="006C6A26" w:rsidRDefault="006C6A26">
      <w:pPr>
        <w:pStyle w:val="TOC1"/>
        <w:rPr>
          <w:rFonts w:asciiTheme="minorHAnsi" w:eastAsiaTheme="minorEastAsia" w:hAnsiTheme="minorHAnsi"/>
          <w:bCs w:val="0"/>
          <w:noProof/>
          <w:kern w:val="2"/>
          <w14:ligatures w14:val="standardContextual"/>
        </w:rPr>
      </w:pPr>
      <w:r w:rsidRPr="00196763">
        <w:rPr>
          <w:rFonts w:cs="Times New Roman"/>
          <w:noProof/>
        </w:rPr>
        <w:t>CHAPTER 2: QUANTIFICATION OF MEDICINALLY IMPORTANT VOLATILE ORGANIC COMPOUNDS IN COMMON BASIL VARIETIES</w:t>
      </w:r>
      <w:r>
        <w:rPr>
          <w:noProof/>
        </w:rPr>
        <w:tab/>
      </w:r>
      <w:r>
        <w:rPr>
          <w:noProof/>
        </w:rPr>
        <w:fldChar w:fldCharType="begin"/>
      </w:r>
      <w:r>
        <w:rPr>
          <w:noProof/>
        </w:rPr>
        <w:instrText xml:space="preserve"> PAGEREF _Toc141478656 \h </w:instrText>
      </w:r>
      <w:r>
        <w:rPr>
          <w:noProof/>
        </w:rPr>
      </w:r>
      <w:r>
        <w:rPr>
          <w:noProof/>
        </w:rPr>
        <w:fldChar w:fldCharType="separate"/>
      </w:r>
      <w:r>
        <w:rPr>
          <w:noProof/>
        </w:rPr>
        <w:t>87</w:t>
      </w:r>
      <w:r>
        <w:rPr>
          <w:noProof/>
        </w:rPr>
        <w:fldChar w:fldCharType="end"/>
      </w:r>
    </w:p>
    <w:p w14:paraId="10B6CF63" w14:textId="2A61051E" w:rsidR="006C6A26" w:rsidRDefault="006C6A26">
      <w:pPr>
        <w:pStyle w:val="TOC2"/>
        <w:rPr>
          <w:rFonts w:asciiTheme="minorHAnsi" w:eastAsiaTheme="minorEastAsia" w:hAnsiTheme="minorHAnsi"/>
          <w:bCs w:val="0"/>
          <w:noProof/>
          <w:kern w:val="2"/>
          <w:sz w:val="24"/>
          <w:szCs w:val="24"/>
          <w14:ligatures w14:val="standardContextual"/>
        </w:rPr>
      </w:pPr>
      <w:r>
        <w:rPr>
          <w:noProof/>
        </w:rPr>
        <w:t>Abstract</w:t>
      </w:r>
      <w:r>
        <w:rPr>
          <w:noProof/>
        </w:rPr>
        <w:tab/>
      </w:r>
      <w:r>
        <w:rPr>
          <w:noProof/>
        </w:rPr>
        <w:fldChar w:fldCharType="begin"/>
      </w:r>
      <w:r>
        <w:rPr>
          <w:noProof/>
        </w:rPr>
        <w:instrText xml:space="preserve"> PAGEREF _Toc141478657 \h </w:instrText>
      </w:r>
      <w:r>
        <w:rPr>
          <w:noProof/>
        </w:rPr>
      </w:r>
      <w:r>
        <w:rPr>
          <w:noProof/>
        </w:rPr>
        <w:fldChar w:fldCharType="separate"/>
      </w:r>
      <w:r>
        <w:rPr>
          <w:noProof/>
        </w:rPr>
        <w:t>89</w:t>
      </w:r>
      <w:r>
        <w:rPr>
          <w:noProof/>
        </w:rPr>
        <w:fldChar w:fldCharType="end"/>
      </w:r>
    </w:p>
    <w:p w14:paraId="503EB732" w14:textId="0269853B" w:rsidR="006C6A26" w:rsidRDefault="006C6A26">
      <w:pPr>
        <w:pStyle w:val="TOC2"/>
        <w:rPr>
          <w:rFonts w:asciiTheme="minorHAnsi" w:eastAsiaTheme="minorEastAsia" w:hAnsiTheme="minorHAnsi"/>
          <w:bCs w:val="0"/>
          <w:noProof/>
          <w:kern w:val="2"/>
          <w:sz w:val="24"/>
          <w:szCs w:val="24"/>
          <w14:ligatures w14:val="standardContextual"/>
        </w:rPr>
      </w:pPr>
      <w:r>
        <w:rPr>
          <w:noProof/>
        </w:rPr>
        <w:t>Introduction</w:t>
      </w:r>
      <w:r>
        <w:rPr>
          <w:noProof/>
        </w:rPr>
        <w:tab/>
      </w:r>
      <w:r>
        <w:rPr>
          <w:noProof/>
        </w:rPr>
        <w:fldChar w:fldCharType="begin"/>
      </w:r>
      <w:r>
        <w:rPr>
          <w:noProof/>
        </w:rPr>
        <w:instrText xml:space="preserve"> PAGEREF _Toc141478658 \h </w:instrText>
      </w:r>
      <w:r>
        <w:rPr>
          <w:noProof/>
        </w:rPr>
      </w:r>
      <w:r>
        <w:rPr>
          <w:noProof/>
        </w:rPr>
        <w:fldChar w:fldCharType="separate"/>
      </w:r>
      <w:r>
        <w:rPr>
          <w:noProof/>
        </w:rPr>
        <w:t>90</w:t>
      </w:r>
      <w:r>
        <w:rPr>
          <w:noProof/>
        </w:rPr>
        <w:fldChar w:fldCharType="end"/>
      </w:r>
    </w:p>
    <w:p w14:paraId="1106D5C7" w14:textId="0A21DF9E" w:rsidR="006C6A26" w:rsidRDefault="006C6A26">
      <w:pPr>
        <w:pStyle w:val="TOC2"/>
        <w:rPr>
          <w:rFonts w:asciiTheme="minorHAnsi" w:eastAsiaTheme="minorEastAsia" w:hAnsiTheme="minorHAnsi"/>
          <w:bCs w:val="0"/>
          <w:noProof/>
          <w:kern w:val="2"/>
          <w:sz w:val="24"/>
          <w:szCs w:val="24"/>
          <w14:ligatures w14:val="standardContextual"/>
        </w:rPr>
      </w:pPr>
      <w:r>
        <w:rPr>
          <w:noProof/>
        </w:rPr>
        <w:t>Materials and Methods</w:t>
      </w:r>
      <w:r>
        <w:rPr>
          <w:noProof/>
        </w:rPr>
        <w:tab/>
      </w:r>
      <w:r>
        <w:rPr>
          <w:noProof/>
        </w:rPr>
        <w:fldChar w:fldCharType="begin"/>
      </w:r>
      <w:r>
        <w:rPr>
          <w:noProof/>
        </w:rPr>
        <w:instrText xml:space="preserve"> PAGEREF _Toc141478659 \h </w:instrText>
      </w:r>
      <w:r>
        <w:rPr>
          <w:noProof/>
        </w:rPr>
      </w:r>
      <w:r>
        <w:rPr>
          <w:noProof/>
        </w:rPr>
        <w:fldChar w:fldCharType="separate"/>
      </w:r>
      <w:r>
        <w:rPr>
          <w:noProof/>
        </w:rPr>
        <w:t>92</w:t>
      </w:r>
      <w:r>
        <w:rPr>
          <w:noProof/>
        </w:rPr>
        <w:fldChar w:fldCharType="end"/>
      </w:r>
    </w:p>
    <w:p w14:paraId="4E43FA40" w14:textId="77F5B5EE" w:rsidR="006C6A26" w:rsidRDefault="006C6A26">
      <w:pPr>
        <w:pStyle w:val="TOC3"/>
        <w:rPr>
          <w:rFonts w:asciiTheme="minorHAnsi" w:eastAsiaTheme="minorEastAsia" w:hAnsiTheme="minorHAnsi"/>
          <w:noProof/>
          <w:kern w:val="2"/>
          <w:sz w:val="24"/>
          <w:szCs w:val="24"/>
          <w14:ligatures w14:val="standardContextual"/>
        </w:rPr>
      </w:pPr>
      <w:r>
        <w:rPr>
          <w:noProof/>
        </w:rPr>
        <w:t>Cultural Techniques and Environmental Growing Conditions</w:t>
      </w:r>
      <w:r>
        <w:rPr>
          <w:noProof/>
        </w:rPr>
        <w:tab/>
      </w:r>
      <w:r>
        <w:rPr>
          <w:noProof/>
        </w:rPr>
        <w:fldChar w:fldCharType="begin"/>
      </w:r>
      <w:r>
        <w:rPr>
          <w:noProof/>
        </w:rPr>
        <w:instrText xml:space="preserve"> PAGEREF _Toc141478660 \h </w:instrText>
      </w:r>
      <w:r>
        <w:rPr>
          <w:noProof/>
        </w:rPr>
      </w:r>
      <w:r>
        <w:rPr>
          <w:noProof/>
        </w:rPr>
        <w:fldChar w:fldCharType="separate"/>
      </w:r>
      <w:r>
        <w:rPr>
          <w:noProof/>
        </w:rPr>
        <w:t>92</w:t>
      </w:r>
      <w:r>
        <w:rPr>
          <w:noProof/>
        </w:rPr>
        <w:fldChar w:fldCharType="end"/>
      </w:r>
    </w:p>
    <w:p w14:paraId="20E4439E" w14:textId="172DD907" w:rsidR="006C6A26" w:rsidRDefault="006C6A26">
      <w:pPr>
        <w:pStyle w:val="TOC3"/>
        <w:rPr>
          <w:rFonts w:asciiTheme="minorHAnsi" w:eastAsiaTheme="minorEastAsia" w:hAnsiTheme="minorHAnsi"/>
          <w:noProof/>
          <w:kern w:val="2"/>
          <w:sz w:val="24"/>
          <w:szCs w:val="24"/>
          <w14:ligatures w14:val="standardContextual"/>
        </w:rPr>
      </w:pPr>
      <w:r>
        <w:rPr>
          <w:noProof/>
        </w:rPr>
        <w:t>GC-MS Headspace Volatile Analysis</w:t>
      </w:r>
      <w:r>
        <w:rPr>
          <w:noProof/>
        </w:rPr>
        <w:tab/>
      </w:r>
      <w:r>
        <w:rPr>
          <w:noProof/>
        </w:rPr>
        <w:fldChar w:fldCharType="begin"/>
      </w:r>
      <w:r>
        <w:rPr>
          <w:noProof/>
        </w:rPr>
        <w:instrText xml:space="preserve"> PAGEREF _Toc141478661 \h </w:instrText>
      </w:r>
      <w:r>
        <w:rPr>
          <w:noProof/>
        </w:rPr>
      </w:r>
      <w:r>
        <w:rPr>
          <w:noProof/>
        </w:rPr>
        <w:fldChar w:fldCharType="separate"/>
      </w:r>
      <w:r>
        <w:rPr>
          <w:noProof/>
        </w:rPr>
        <w:t>93</w:t>
      </w:r>
      <w:r>
        <w:rPr>
          <w:noProof/>
        </w:rPr>
        <w:fldChar w:fldCharType="end"/>
      </w:r>
    </w:p>
    <w:p w14:paraId="7002BA1F" w14:textId="1BB4A2D7" w:rsidR="006C6A26" w:rsidRDefault="006C6A26">
      <w:pPr>
        <w:pStyle w:val="TOC3"/>
        <w:rPr>
          <w:rFonts w:asciiTheme="minorHAnsi" w:eastAsiaTheme="minorEastAsia" w:hAnsiTheme="minorHAnsi"/>
          <w:noProof/>
          <w:kern w:val="2"/>
          <w:sz w:val="24"/>
          <w:szCs w:val="24"/>
          <w14:ligatures w14:val="standardContextual"/>
        </w:rPr>
      </w:pPr>
      <w:r>
        <w:rPr>
          <w:noProof/>
        </w:rPr>
        <w:t>Statistical Analyses</w:t>
      </w:r>
      <w:r>
        <w:rPr>
          <w:noProof/>
        </w:rPr>
        <w:tab/>
      </w:r>
      <w:r>
        <w:rPr>
          <w:noProof/>
        </w:rPr>
        <w:fldChar w:fldCharType="begin"/>
      </w:r>
      <w:r>
        <w:rPr>
          <w:noProof/>
        </w:rPr>
        <w:instrText xml:space="preserve"> PAGEREF _Toc141478662 \h </w:instrText>
      </w:r>
      <w:r>
        <w:rPr>
          <w:noProof/>
        </w:rPr>
      </w:r>
      <w:r>
        <w:rPr>
          <w:noProof/>
        </w:rPr>
        <w:fldChar w:fldCharType="separate"/>
      </w:r>
      <w:r>
        <w:rPr>
          <w:noProof/>
        </w:rPr>
        <w:t>94</w:t>
      </w:r>
      <w:r>
        <w:rPr>
          <w:noProof/>
        </w:rPr>
        <w:fldChar w:fldCharType="end"/>
      </w:r>
    </w:p>
    <w:p w14:paraId="33AB1A2B" w14:textId="43E32904" w:rsidR="006C6A26" w:rsidRDefault="006C6A26">
      <w:pPr>
        <w:pStyle w:val="TOC2"/>
        <w:rPr>
          <w:rFonts w:asciiTheme="minorHAnsi" w:eastAsiaTheme="minorEastAsia" w:hAnsiTheme="minorHAnsi"/>
          <w:bCs w:val="0"/>
          <w:noProof/>
          <w:kern w:val="2"/>
          <w:sz w:val="24"/>
          <w:szCs w:val="24"/>
          <w14:ligatures w14:val="standardContextual"/>
        </w:rPr>
      </w:pPr>
      <w:r>
        <w:rPr>
          <w:noProof/>
        </w:rPr>
        <w:lastRenderedPageBreak/>
        <w:t>Results and Discussion</w:t>
      </w:r>
      <w:r>
        <w:rPr>
          <w:noProof/>
        </w:rPr>
        <w:tab/>
      </w:r>
      <w:r>
        <w:rPr>
          <w:noProof/>
        </w:rPr>
        <w:fldChar w:fldCharType="begin"/>
      </w:r>
      <w:r>
        <w:rPr>
          <w:noProof/>
        </w:rPr>
        <w:instrText xml:space="preserve"> PAGEREF _Toc141478663 \h </w:instrText>
      </w:r>
      <w:r>
        <w:rPr>
          <w:noProof/>
        </w:rPr>
      </w:r>
      <w:r>
        <w:rPr>
          <w:noProof/>
        </w:rPr>
        <w:fldChar w:fldCharType="separate"/>
      </w:r>
      <w:r>
        <w:rPr>
          <w:noProof/>
        </w:rPr>
        <w:t>95</w:t>
      </w:r>
      <w:r>
        <w:rPr>
          <w:noProof/>
        </w:rPr>
        <w:fldChar w:fldCharType="end"/>
      </w:r>
    </w:p>
    <w:p w14:paraId="4617B478" w14:textId="39A6A670" w:rsidR="006C6A26" w:rsidRDefault="006C6A26">
      <w:pPr>
        <w:pStyle w:val="TOC2"/>
        <w:rPr>
          <w:rFonts w:asciiTheme="minorHAnsi" w:eastAsiaTheme="minorEastAsia" w:hAnsiTheme="minorHAnsi"/>
          <w:bCs w:val="0"/>
          <w:noProof/>
          <w:kern w:val="2"/>
          <w:sz w:val="24"/>
          <w:szCs w:val="24"/>
          <w14:ligatures w14:val="standardContextual"/>
        </w:rPr>
      </w:pPr>
      <w:r>
        <w:rPr>
          <w:noProof/>
        </w:rPr>
        <w:t>Conclusion</w:t>
      </w:r>
      <w:r>
        <w:rPr>
          <w:noProof/>
        </w:rPr>
        <w:tab/>
      </w:r>
      <w:r>
        <w:rPr>
          <w:noProof/>
        </w:rPr>
        <w:fldChar w:fldCharType="begin"/>
      </w:r>
      <w:r>
        <w:rPr>
          <w:noProof/>
        </w:rPr>
        <w:instrText xml:space="preserve"> PAGEREF _Toc141478664 \h </w:instrText>
      </w:r>
      <w:r>
        <w:rPr>
          <w:noProof/>
        </w:rPr>
      </w:r>
      <w:r>
        <w:rPr>
          <w:noProof/>
        </w:rPr>
        <w:fldChar w:fldCharType="separate"/>
      </w:r>
      <w:r>
        <w:rPr>
          <w:noProof/>
        </w:rPr>
        <w:t>100</w:t>
      </w:r>
      <w:r>
        <w:rPr>
          <w:noProof/>
        </w:rPr>
        <w:fldChar w:fldCharType="end"/>
      </w:r>
    </w:p>
    <w:p w14:paraId="16733910" w14:textId="2BF002B5" w:rsidR="006C6A26" w:rsidRDefault="006C6A26">
      <w:pPr>
        <w:pStyle w:val="TOC2"/>
        <w:rPr>
          <w:rFonts w:asciiTheme="minorHAnsi" w:eastAsiaTheme="minorEastAsia" w:hAnsiTheme="minorHAnsi"/>
          <w:bCs w:val="0"/>
          <w:noProof/>
          <w:kern w:val="2"/>
          <w:sz w:val="24"/>
          <w:szCs w:val="24"/>
          <w14:ligatures w14:val="standardContextual"/>
        </w:rPr>
      </w:pPr>
      <w:r>
        <w:rPr>
          <w:noProof/>
        </w:rPr>
        <w:t>References</w:t>
      </w:r>
      <w:r>
        <w:rPr>
          <w:noProof/>
        </w:rPr>
        <w:tab/>
      </w:r>
      <w:r>
        <w:rPr>
          <w:noProof/>
        </w:rPr>
        <w:fldChar w:fldCharType="begin"/>
      </w:r>
      <w:r>
        <w:rPr>
          <w:noProof/>
        </w:rPr>
        <w:instrText xml:space="preserve"> PAGEREF _Toc141478665 \h </w:instrText>
      </w:r>
      <w:r>
        <w:rPr>
          <w:noProof/>
        </w:rPr>
      </w:r>
      <w:r>
        <w:rPr>
          <w:noProof/>
        </w:rPr>
        <w:fldChar w:fldCharType="separate"/>
      </w:r>
      <w:r>
        <w:rPr>
          <w:noProof/>
        </w:rPr>
        <w:t>101</w:t>
      </w:r>
      <w:r>
        <w:rPr>
          <w:noProof/>
        </w:rPr>
        <w:fldChar w:fldCharType="end"/>
      </w:r>
    </w:p>
    <w:p w14:paraId="5D60C9A4" w14:textId="2A384698" w:rsidR="006C6A26" w:rsidRDefault="006C6A26">
      <w:pPr>
        <w:pStyle w:val="TOC2"/>
        <w:rPr>
          <w:rFonts w:asciiTheme="minorHAnsi" w:eastAsiaTheme="minorEastAsia" w:hAnsiTheme="minorHAnsi"/>
          <w:bCs w:val="0"/>
          <w:noProof/>
          <w:kern w:val="2"/>
          <w:sz w:val="24"/>
          <w:szCs w:val="24"/>
          <w14:ligatures w14:val="standardContextual"/>
        </w:rPr>
      </w:pPr>
      <w:r>
        <w:rPr>
          <w:noProof/>
        </w:rPr>
        <w:t>Appendix B</w:t>
      </w:r>
      <w:r>
        <w:rPr>
          <w:noProof/>
        </w:rPr>
        <w:tab/>
      </w:r>
      <w:r>
        <w:rPr>
          <w:noProof/>
        </w:rPr>
        <w:fldChar w:fldCharType="begin"/>
      </w:r>
      <w:r>
        <w:rPr>
          <w:noProof/>
        </w:rPr>
        <w:instrText xml:space="preserve"> PAGEREF _Toc141478666 \h </w:instrText>
      </w:r>
      <w:r>
        <w:rPr>
          <w:noProof/>
        </w:rPr>
      </w:r>
      <w:r>
        <w:rPr>
          <w:noProof/>
        </w:rPr>
        <w:fldChar w:fldCharType="separate"/>
      </w:r>
      <w:r>
        <w:rPr>
          <w:noProof/>
        </w:rPr>
        <w:t>108</w:t>
      </w:r>
      <w:r>
        <w:rPr>
          <w:noProof/>
        </w:rPr>
        <w:fldChar w:fldCharType="end"/>
      </w:r>
    </w:p>
    <w:p w14:paraId="65248692" w14:textId="758925DD" w:rsidR="006C6A26" w:rsidRDefault="006C6A26">
      <w:pPr>
        <w:pStyle w:val="TOC1"/>
        <w:rPr>
          <w:rFonts w:asciiTheme="minorHAnsi" w:eastAsiaTheme="minorEastAsia" w:hAnsiTheme="minorHAnsi"/>
          <w:bCs w:val="0"/>
          <w:noProof/>
          <w:kern w:val="2"/>
          <w14:ligatures w14:val="standardContextual"/>
        </w:rPr>
      </w:pPr>
      <w:r>
        <w:rPr>
          <w:noProof/>
        </w:rPr>
        <w:t>CHAPTER 3: VARIATION IN SUPPLEMENTAL LIGHTING QUALITY INFLUENCES KEY AROMA VOLATILES IN HYDROPONICALLY GROWN ‘ITALIAN LARGE LEAF’ BASIL</w:t>
      </w:r>
      <w:r>
        <w:rPr>
          <w:noProof/>
        </w:rPr>
        <w:tab/>
      </w:r>
      <w:r>
        <w:rPr>
          <w:noProof/>
        </w:rPr>
        <w:fldChar w:fldCharType="begin"/>
      </w:r>
      <w:r>
        <w:rPr>
          <w:noProof/>
        </w:rPr>
        <w:instrText xml:space="preserve"> PAGEREF _Toc141478667 \h </w:instrText>
      </w:r>
      <w:r>
        <w:rPr>
          <w:noProof/>
        </w:rPr>
      </w:r>
      <w:r>
        <w:rPr>
          <w:noProof/>
        </w:rPr>
        <w:fldChar w:fldCharType="separate"/>
      </w:r>
      <w:r>
        <w:rPr>
          <w:noProof/>
        </w:rPr>
        <w:t>113</w:t>
      </w:r>
      <w:r>
        <w:rPr>
          <w:noProof/>
        </w:rPr>
        <w:fldChar w:fldCharType="end"/>
      </w:r>
    </w:p>
    <w:p w14:paraId="454B81C1" w14:textId="7AD869CE" w:rsidR="006C6A26" w:rsidRDefault="006C6A26">
      <w:pPr>
        <w:pStyle w:val="TOC2"/>
        <w:rPr>
          <w:rFonts w:asciiTheme="minorHAnsi" w:eastAsiaTheme="minorEastAsia" w:hAnsiTheme="minorHAnsi"/>
          <w:bCs w:val="0"/>
          <w:noProof/>
          <w:kern w:val="2"/>
          <w:sz w:val="24"/>
          <w:szCs w:val="24"/>
          <w14:ligatures w14:val="standardContextual"/>
        </w:rPr>
      </w:pPr>
      <w:r w:rsidRPr="00196763">
        <w:rPr>
          <w:noProof/>
          <w:color w:val="000000" w:themeColor="text1"/>
        </w:rPr>
        <w:t>Abstract</w:t>
      </w:r>
      <w:r>
        <w:rPr>
          <w:noProof/>
        </w:rPr>
        <w:tab/>
      </w:r>
      <w:r>
        <w:rPr>
          <w:noProof/>
        </w:rPr>
        <w:fldChar w:fldCharType="begin"/>
      </w:r>
      <w:r>
        <w:rPr>
          <w:noProof/>
        </w:rPr>
        <w:instrText xml:space="preserve"> PAGEREF _Toc141478668 \h </w:instrText>
      </w:r>
      <w:r>
        <w:rPr>
          <w:noProof/>
        </w:rPr>
      </w:r>
      <w:r>
        <w:rPr>
          <w:noProof/>
        </w:rPr>
        <w:fldChar w:fldCharType="separate"/>
      </w:r>
      <w:r>
        <w:rPr>
          <w:noProof/>
        </w:rPr>
        <w:t>115</w:t>
      </w:r>
      <w:r>
        <w:rPr>
          <w:noProof/>
        </w:rPr>
        <w:fldChar w:fldCharType="end"/>
      </w:r>
    </w:p>
    <w:p w14:paraId="7CBDA678" w14:textId="09770898" w:rsidR="006C6A26" w:rsidRDefault="006C6A26">
      <w:pPr>
        <w:pStyle w:val="TOC2"/>
        <w:rPr>
          <w:rFonts w:asciiTheme="minorHAnsi" w:eastAsiaTheme="minorEastAsia" w:hAnsiTheme="minorHAnsi"/>
          <w:bCs w:val="0"/>
          <w:noProof/>
          <w:kern w:val="2"/>
          <w:sz w:val="24"/>
          <w:szCs w:val="24"/>
          <w14:ligatures w14:val="standardContextual"/>
        </w:rPr>
      </w:pPr>
      <w:r w:rsidRPr="00196763">
        <w:rPr>
          <w:noProof/>
          <w:color w:val="000000" w:themeColor="text1"/>
        </w:rPr>
        <w:t>Introduction</w:t>
      </w:r>
      <w:r>
        <w:rPr>
          <w:noProof/>
        </w:rPr>
        <w:tab/>
      </w:r>
      <w:r>
        <w:rPr>
          <w:noProof/>
        </w:rPr>
        <w:fldChar w:fldCharType="begin"/>
      </w:r>
      <w:r>
        <w:rPr>
          <w:noProof/>
        </w:rPr>
        <w:instrText xml:space="preserve"> PAGEREF _Toc141478669 \h </w:instrText>
      </w:r>
      <w:r>
        <w:rPr>
          <w:noProof/>
        </w:rPr>
      </w:r>
      <w:r>
        <w:rPr>
          <w:noProof/>
        </w:rPr>
        <w:fldChar w:fldCharType="separate"/>
      </w:r>
      <w:r>
        <w:rPr>
          <w:noProof/>
        </w:rPr>
        <w:t>116</w:t>
      </w:r>
      <w:r>
        <w:rPr>
          <w:noProof/>
        </w:rPr>
        <w:fldChar w:fldCharType="end"/>
      </w:r>
    </w:p>
    <w:p w14:paraId="12A8563D" w14:textId="14826D9C" w:rsidR="006C6A26" w:rsidRDefault="006C6A26">
      <w:pPr>
        <w:pStyle w:val="TOC2"/>
        <w:rPr>
          <w:rFonts w:asciiTheme="minorHAnsi" w:eastAsiaTheme="minorEastAsia" w:hAnsiTheme="minorHAnsi"/>
          <w:bCs w:val="0"/>
          <w:noProof/>
          <w:kern w:val="2"/>
          <w:sz w:val="24"/>
          <w:szCs w:val="24"/>
          <w14:ligatures w14:val="standardContextual"/>
        </w:rPr>
      </w:pPr>
      <w:r w:rsidRPr="00196763">
        <w:rPr>
          <w:noProof/>
          <w:color w:val="000000" w:themeColor="text1"/>
        </w:rPr>
        <w:t>Materials and Methods</w:t>
      </w:r>
      <w:r>
        <w:rPr>
          <w:noProof/>
        </w:rPr>
        <w:tab/>
      </w:r>
      <w:r>
        <w:rPr>
          <w:noProof/>
        </w:rPr>
        <w:fldChar w:fldCharType="begin"/>
      </w:r>
      <w:r>
        <w:rPr>
          <w:noProof/>
        </w:rPr>
        <w:instrText xml:space="preserve"> PAGEREF _Toc141478670 \h </w:instrText>
      </w:r>
      <w:r>
        <w:rPr>
          <w:noProof/>
        </w:rPr>
      </w:r>
      <w:r>
        <w:rPr>
          <w:noProof/>
        </w:rPr>
        <w:fldChar w:fldCharType="separate"/>
      </w:r>
      <w:r>
        <w:rPr>
          <w:noProof/>
        </w:rPr>
        <w:t>121</w:t>
      </w:r>
      <w:r>
        <w:rPr>
          <w:noProof/>
        </w:rPr>
        <w:fldChar w:fldCharType="end"/>
      </w:r>
    </w:p>
    <w:p w14:paraId="5F011363" w14:textId="22EC8584" w:rsidR="006C6A26" w:rsidRDefault="006C6A26">
      <w:pPr>
        <w:pStyle w:val="TOC3"/>
        <w:rPr>
          <w:rFonts w:asciiTheme="minorHAnsi" w:eastAsiaTheme="minorEastAsia" w:hAnsiTheme="minorHAnsi"/>
          <w:noProof/>
          <w:kern w:val="2"/>
          <w:sz w:val="24"/>
          <w:szCs w:val="24"/>
          <w14:ligatures w14:val="standardContextual"/>
        </w:rPr>
      </w:pPr>
      <w:r>
        <w:rPr>
          <w:noProof/>
        </w:rPr>
        <w:t>Cultural Techniques and Environmental Growing Conditions</w:t>
      </w:r>
      <w:r>
        <w:rPr>
          <w:noProof/>
        </w:rPr>
        <w:tab/>
      </w:r>
      <w:r>
        <w:rPr>
          <w:noProof/>
        </w:rPr>
        <w:fldChar w:fldCharType="begin"/>
      </w:r>
      <w:r>
        <w:rPr>
          <w:noProof/>
        </w:rPr>
        <w:instrText xml:space="preserve"> PAGEREF _Toc141478671 \h </w:instrText>
      </w:r>
      <w:r>
        <w:rPr>
          <w:noProof/>
        </w:rPr>
      </w:r>
      <w:r>
        <w:rPr>
          <w:noProof/>
        </w:rPr>
        <w:fldChar w:fldCharType="separate"/>
      </w:r>
      <w:r>
        <w:rPr>
          <w:noProof/>
        </w:rPr>
        <w:t>121</w:t>
      </w:r>
      <w:r>
        <w:rPr>
          <w:noProof/>
        </w:rPr>
        <w:fldChar w:fldCharType="end"/>
      </w:r>
    </w:p>
    <w:p w14:paraId="4751A3C4" w14:textId="57C63731" w:rsidR="006C6A26" w:rsidRDefault="006C6A26">
      <w:pPr>
        <w:pStyle w:val="TOC3"/>
        <w:rPr>
          <w:rFonts w:asciiTheme="minorHAnsi" w:eastAsiaTheme="minorEastAsia" w:hAnsiTheme="minorHAnsi"/>
          <w:noProof/>
          <w:kern w:val="2"/>
          <w:sz w:val="24"/>
          <w:szCs w:val="24"/>
          <w14:ligatures w14:val="standardContextual"/>
        </w:rPr>
      </w:pPr>
      <w:r>
        <w:rPr>
          <w:noProof/>
        </w:rPr>
        <w:t>Gas Chromatography and Mass Spectrometry Method</w:t>
      </w:r>
      <w:r>
        <w:rPr>
          <w:noProof/>
        </w:rPr>
        <w:tab/>
      </w:r>
      <w:r>
        <w:rPr>
          <w:noProof/>
        </w:rPr>
        <w:fldChar w:fldCharType="begin"/>
      </w:r>
      <w:r>
        <w:rPr>
          <w:noProof/>
        </w:rPr>
        <w:instrText xml:space="preserve"> PAGEREF _Toc141478672 \h </w:instrText>
      </w:r>
      <w:r>
        <w:rPr>
          <w:noProof/>
        </w:rPr>
      </w:r>
      <w:r>
        <w:rPr>
          <w:noProof/>
        </w:rPr>
        <w:fldChar w:fldCharType="separate"/>
      </w:r>
      <w:r>
        <w:rPr>
          <w:noProof/>
        </w:rPr>
        <w:t>123</w:t>
      </w:r>
      <w:r>
        <w:rPr>
          <w:noProof/>
        </w:rPr>
        <w:fldChar w:fldCharType="end"/>
      </w:r>
    </w:p>
    <w:p w14:paraId="22047823" w14:textId="4102F248" w:rsidR="006C6A26" w:rsidRDefault="006C6A26">
      <w:pPr>
        <w:pStyle w:val="TOC3"/>
        <w:rPr>
          <w:rFonts w:asciiTheme="minorHAnsi" w:eastAsiaTheme="minorEastAsia" w:hAnsiTheme="minorHAnsi"/>
          <w:noProof/>
          <w:kern w:val="2"/>
          <w:sz w:val="24"/>
          <w:szCs w:val="24"/>
          <w14:ligatures w14:val="standardContextual"/>
        </w:rPr>
      </w:pPr>
      <w:r>
        <w:rPr>
          <w:noProof/>
        </w:rPr>
        <w:t>Statistical Analyses</w:t>
      </w:r>
      <w:r>
        <w:rPr>
          <w:noProof/>
        </w:rPr>
        <w:tab/>
      </w:r>
      <w:r>
        <w:rPr>
          <w:noProof/>
        </w:rPr>
        <w:fldChar w:fldCharType="begin"/>
      </w:r>
      <w:r>
        <w:rPr>
          <w:noProof/>
        </w:rPr>
        <w:instrText xml:space="preserve"> PAGEREF _Toc141478673 \h </w:instrText>
      </w:r>
      <w:r>
        <w:rPr>
          <w:noProof/>
        </w:rPr>
      </w:r>
      <w:r>
        <w:rPr>
          <w:noProof/>
        </w:rPr>
        <w:fldChar w:fldCharType="separate"/>
      </w:r>
      <w:r>
        <w:rPr>
          <w:noProof/>
        </w:rPr>
        <w:t>125</w:t>
      </w:r>
      <w:r>
        <w:rPr>
          <w:noProof/>
        </w:rPr>
        <w:fldChar w:fldCharType="end"/>
      </w:r>
    </w:p>
    <w:p w14:paraId="208199B4" w14:textId="32988740" w:rsidR="006C6A26" w:rsidRDefault="006C6A26">
      <w:pPr>
        <w:pStyle w:val="TOC2"/>
        <w:rPr>
          <w:rFonts w:asciiTheme="minorHAnsi" w:eastAsiaTheme="minorEastAsia" w:hAnsiTheme="minorHAnsi"/>
          <w:bCs w:val="0"/>
          <w:noProof/>
          <w:kern w:val="2"/>
          <w:sz w:val="24"/>
          <w:szCs w:val="24"/>
          <w14:ligatures w14:val="standardContextual"/>
        </w:rPr>
      </w:pPr>
      <w:r w:rsidRPr="00196763">
        <w:rPr>
          <w:noProof/>
          <w:color w:val="000000" w:themeColor="text1"/>
        </w:rPr>
        <w:t>Results</w:t>
      </w:r>
      <w:r>
        <w:rPr>
          <w:noProof/>
        </w:rPr>
        <w:tab/>
      </w:r>
      <w:r>
        <w:rPr>
          <w:noProof/>
        </w:rPr>
        <w:fldChar w:fldCharType="begin"/>
      </w:r>
      <w:r>
        <w:rPr>
          <w:noProof/>
        </w:rPr>
        <w:instrText xml:space="preserve"> PAGEREF _Toc141478674 \h </w:instrText>
      </w:r>
      <w:r>
        <w:rPr>
          <w:noProof/>
        </w:rPr>
      </w:r>
      <w:r>
        <w:rPr>
          <w:noProof/>
        </w:rPr>
        <w:fldChar w:fldCharType="separate"/>
      </w:r>
      <w:r>
        <w:rPr>
          <w:noProof/>
        </w:rPr>
        <w:t>126</w:t>
      </w:r>
      <w:r>
        <w:rPr>
          <w:noProof/>
        </w:rPr>
        <w:fldChar w:fldCharType="end"/>
      </w:r>
    </w:p>
    <w:p w14:paraId="26F250B4" w14:textId="70DD33A8" w:rsidR="006C6A26" w:rsidRDefault="006C6A26">
      <w:pPr>
        <w:pStyle w:val="TOC3"/>
        <w:rPr>
          <w:rFonts w:asciiTheme="minorHAnsi" w:eastAsiaTheme="minorEastAsia" w:hAnsiTheme="minorHAnsi"/>
          <w:noProof/>
          <w:kern w:val="2"/>
          <w:sz w:val="24"/>
          <w:szCs w:val="24"/>
          <w14:ligatures w14:val="standardContextual"/>
        </w:rPr>
      </w:pPr>
      <w:r>
        <w:rPr>
          <w:noProof/>
        </w:rPr>
        <w:t>Alcohols</w:t>
      </w:r>
      <w:r>
        <w:rPr>
          <w:noProof/>
        </w:rPr>
        <w:tab/>
      </w:r>
      <w:r>
        <w:rPr>
          <w:noProof/>
        </w:rPr>
        <w:fldChar w:fldCharType="begin"/>
      </w:r>
      <w:r>
        <w:rPr>
          <w:noProof/>
        </w:rPr>
        <w:instrText xml:space="preserve"> PAGEREF _Toc141478675 \h </w:instrText>
      </w:r>
      <w:r>
        <w:rPr>
          <w:noProof/>
        </w:rPr>
      </w:r>
      <w:r>
        <w:rPr>
          <w:noProof/>
        </w:rPr>
        <w:fldChar w:fldCharType="separate"/>
      </w:r>
      <w:r>
        <w:rPr>
          <w:noProof/>
        </w:rPr>
        <w:t>126</w:t>
      </w:r>
      <w:r>
        <w:rPr>
          <w:noProof/>
        </w:rPr>
        <w:fldChar w:fldCharType="end"/>
      </w:r>
    </w:p>
    <w:p w14:paraId="390ED9B7" w14:textId="43BAE38C" w:rsidR="006C6A26" w:rsidRDefault="006C6A26">
      <w:pPr>
        <w:pStyle w:val="TOC3"/>
        <w:rPr>
          <w:rFonts w:asciiTheme="minorHAnsi" w:eastAsiaTheme="minorEastAsia" w:hAnsiTheme="minorHAnsi"/>
          <w:noProof/>
          <w:kern w:val="2"/>
          <w:sz w:val="24"/>
          <w:szCs w:val="24"/>
          <w14:ligatures w14:val="standardContextual"/>
        </w:rPr>
      </w:pPr>
      <w:r>
        <w:rPr>
          <w:noProof/>
        </w:rPr>
        <w:t>Benzyl Aldehydes</w:t>
      </w:r>
      <w:r>
        <w:rPr>
          <w:noProof/>
        </w:rPr>
        <w:tab/>
      </w:r>
      <w:r>
        <w:rPr>
          <w:noProof/>
        </w:rPr>
        <w:fldChar w:fldCharType="begin"/>
      </w:r>
      <w:r>
        <w:rPr>
          <w:noProof/>
        </w:rPr>
        <w:instrText xml:space="preserve"> PAGEREF _Toc141478676 \h </w:instrText>
      </w:r>
      <w:r>
        <w:rPr>
          <w:noProof/>
        </w:rPr>
      </w:r>
      <w:r>
        <w:rPr>
          <w:noProof/>
        </w:rPr>
        <w:fldChar w:fldCharType="separate"/>
      </w:r>
      <w:r>
        <w:rPr>
          <w:noProof/>
        </w:rPr>
        <w:t>128</w:t>
      </w:r>
      <w:r>
        <w:rPr>
          <w:noProof/>
        </w:rPr>
        <w:fldChar w:fldCharType="end"/>
      </w:r>
    </w:p>
    <w:p w14:paraId="09C31089" w14:textId="35629468" w:rsidR="006C6A26" w:rsidRDefault="006C6A26">
      <w:pPr>
        <w:pStyle w:val="TOC3"/>
        <w:rPr>
          <w:rFonts w:asciiTheme="minorHAnsi" w:eastAsiaTheme="minorEastAsia" w:hAnsiTheme="minorHAnsi"/>
          <w:noProof/>
          <w:kern w:val="2"/>
          <w:sz w:val="24"/>
          <w:szCs w:val="24"/>
          <w14:ligatures w14:val="standardContextual"/>
        </w:rPr>
      </w:pPr>
      <w:r>
        <w:rPr>
          <w:noProof/>
        </w:rPr>
        <w:t>Hydrocarbons</w:t>
      </w:r>
      <w:r>
        <w:rPr>
          <w:noProof/>
        </w:rPr>
        <w:tab/>
      </w:r>
      <w:r>
        <w:rPr>
          <w:noProof/>
        </w:rPr>
        <w:fldChar w:fldCharType="begin"/>
      </w:r>
      <w:r>
        <w:rPr>
          <w:noProof/>
        </w:rPr>
        <w:instrText xml:space="preserve"> PAGEREF _Toc141478677 \h </w:instrText>
      </w:r>
      <w:r>
        <w:rPr>
          <w:noProof/>
        </w:rPr>
      </w:r>
      <w:r>
        <w:rPr>
          <w:noProof/>
        </w:rPr>
        <w:fldChar w:fldCharType="separate"/>
      </w:r>
      <w:r>
        <w:rPr>
          <w:noProof/>
        </w:rPr>
        <w:t>129</w:t>
      </w:r>
      <w:r>
        <w:rPr>
          <w:noProof/>
        </w:rPr>
        <w:fldChar w:fldCharType="end"/>
      </w:r>
    </w:p>
    <w:p w14:paraId="1B5DFD16" w14:textId="41B30100" w:rsidR="006C6A26" w:rsidRDefault="006C6A26">
      <w:pPr>
        <w:pStyle w:val="TOC3"/>
        <w:rPr>
          <w:rFonts w:asciiTheme="minorHAnsi" w:eastAsiaTheme="minorEastAsia" w:hAnsiTheme="minorHAnsi"/>
          <w:noProof/>
          <w:kern w:val="2"/>
          <w:sz w:val="24"/>
          <w:szCs w:val="24"/>
          <w14:ligatures w14:val="standardContextual"/>
        </w:rPr>
      </w:pPr>
      <w:r>
        <w:rPr>
          <w:noProof/>
        </w:rPr>
        <w:t>Acyclic Monoterpenes</w:t>
      </w:r>
      <w:r>
        <w:rPr>
          <w:noProof/>
        </w:rPr>
        <w:tab/>
      </w:r>
      <w:r>
        <w:rPr>
          <w:noProof/>
        </w:rPr>
        <w:fldChar w:fldCharType="begin"/>
      </w:r>
      <w:r>
        <w:rPr>
          <w:noProof/>
        </w:rPr>
        <w:instrText xml:space="preserve"> PAGEREF _Toc141478678 \h </w:instrText>
      </w:r>
      <w:r>
        <w:rPr>
          <w:noProof/>
        </w:rPr>
      </w:r>
      <w:r>
        <w:rPr>
          <w:noProof/>
        </w:rPr>
        <w:fldChar w:fldCharType="separate"/>
      </w:r>
      <w:r>
        <w:rPr>
          <w:noProof/>
        </w:rPr>
        <w:t>132</w:t>
      </w:r>
      <w:r>
        <w:rPr>
          <w:noProof/>
        </w:rPr>
        <w:fldChar w:fldCharType="end"/>
      </w:r>
    </w:p>
    <w:p w14:paraId="7FC2F9FF" w14:textId="7FC02008" w:rsidR="006C6A26" w:rsidRDefault="006C6A26">
      <w:pPr>
        <w:pStyle w:val="TOC3"/>
        <w:rPr>
          <w:rFonts w:asciiTheme="minorHAnsi" w:eastAsiaTheme="minorEastAsia" w:hAnsiTheme="minorHAnsi"/>
          <w:noProof/>
          <w:kern w:val="2"/>
          <w:sz w:val="24"/>
          <w:szCs w:val="24"/>
          <w14:ligatures w14:val="standardContextual"/>
        </w:rPr>
      </w:pPr>
      <w:r>
        <w:rPr>
          <w:noProof/>
        </w:rPr>
        <w:t>Bicyclic Monoterpenes</w:t>
      </w:r>
      <w:r>
        <w:rPr>
          <w:noProof/>
        </w:rPr>
        <w:tab/>
      </w:r>
      <w:r>
        <w:rPr>
          <w:noProof/>
        </w:rPr>
        <w:fldChar w:fldCharType="begin"/>
      </w:r>
      <w:r>
        <w:rPr>
          <w:noProof/>
        </w:rPr>
        <w:instrText xml:space="preserve"> PAGEREF _Toc141478679 \h </w:instrText>
      </w:r>
      <w:r>
        <w:rPr>
          <w:noProof/>
        </w:rPr>
      </w:r>
      <w:r>
        <w:rPr>
          <w:noProof/>
        </w:rPr>
        <w:fldChar w:fldCharType="separate"/>
      </w:r>
      <w:r>
        <w:rPr>
          <w:noProof/>
        </w:rPr>
        <w:t>135</w:t>
      </w:r>
      <w:r>
        <w:rPr>
          <w:noProof/>
        </w:rPr>
        <w:fldChar w:fldCharType="end"/>
      </w:r>
    </w:p>
    <w:p w14:paraId="75FDB700" w14:textId="50F73B7A" w:rsidR="006C6A26" w:rsidRDefault="006C6A26">
      <w:pPr>
        <w:pStyle w:val="TOC3"/>
        <w:rPr>
          <w:rFonts w:asciiTheme="minorHAnsi" w:eastAsiaTheme="minorEastAsia" w:hAnsiTheme="minorHAnsi"/>
          <w:noProof/>
          <w:kern w:val="2"/>
          <w:sz w:val="24"/>
          <w:szCs w:val="24"/>
          <w14:ligatures w14:val="standardContextual"/>
        </w:rPr>
      </w:pPr>
      <w:r>
        <w:rPr>
          <w:noProof/>
        </w:rPr>
        <w:t>Cyclic Monoterpenes</w:t>
      </w:r>
      <w:r>
        <w:rPr>
          <w:noProof/>
        </w:rPr>
        <w:tab/>
      </w:r>
      <w:r>
        <w:rPr>
          <w:noProof/>
        </w:rPr>
        <w:fldChar w:fldCharType="begin"/>
      </w:r>
      <w:r>
        <w:rPr>
          <w:noProof/>
        </w:rPr>
        <w:instrText xml:space="preserve"> PAGEREF _Toc141478680 \h </w:instrText>
      </w:r>
      <w:r>
        <w:rPr>
          <w:noProof/>
        </w:rPr>
      </w:r>
      <w:r>
        <w:rPr>
          <w:noProof/>
        </w:rPr>
        <w:fldChar w:fldCharType="separate"/>
      </w:r>
      <w:r>
        <w:rPr>
          <w:noProof/>
        </w:rPr>
        <w:t>139</w:t>
      </w:r>
      <w:r>
        <w:rPr>
          <w:noProof/>
        </w:rPr>
        <w:fldChar w:fldCharType="end"/>
      </w:r>
    </w:p>
    <w:p w14:paraId="21627583" w14:textId="64119ECA" w:rsidR="006C6A26" w:rsidRDefault="006C6A26">
      <w:pPr>
        <w:pStyle w:val="TOC3"/>
        <w:rPr>
          <w:rFonts w:asciiTheme="minorHAnsi" w:eastAsiaTheme="minorEastAsia" w:hAnsiTheme="minorHAnsi"/>
          <w:noProof/>
          <w:kern w:val="2"/>
          <w:sz w:val="24"/>
          <w:szCs w:val="24"/>
          <w14:ligatures w14:val="standardContextual"/>
        </w:rPr>
      </w:pPr>
      <w:r>
        <w:rPr>
          <w:noProof/>
        </w:rPr>
        <w:t>Sesquiterpenes</w:t>
      </w:r>
      <w:r>
        <w:rPr>
          <w:noProof/>
        </w:rPr>
        <w:tab/>
      </w:r>
      <w:r>
        <w:rPr>
          <w:noProof/>
        </w:rPr>
        <w:fldChar w:fldCharType="begin"/>
      </w:r>
      <w:r>
        <w:rPr>
          <w:noProof/>
        </w:rPr>
        <w:instrText xml:space="preserve"> PAGEREF _Toc141478681 \h </w:instrText>
      </w:r>
      <w:r>
        <w:rPr>
          <w:noProof/>
        </w:rPr>
      </w:r>
      <w:r>
        <w:rPr>
          <w:noProof/>
        </w:rPr>
        <w:fldChar w:fldCharType="separate"/>
      </w:r>
      <w:r>
        <w:rPr>
          <w:noProof/>
        </w:rPr>
        <w:t>141</w:t>
      </w:r>
      <w:r>
        <w:rPr>
          <w:noProof/>
        </w:rPr>
        <w:fldChar w:fldCharType="end"/>
      </w:r>
    </w:p>
    <w:p w14:paraId="5942D577" w14:textId="2EE57931" w:rsidR="006C6A26" w:rsidRDefault="006C6A26">
      <w:pPr>
        <w:pStyle w:val="TOC3"/>
        <w:rPr>
          <w:rFonts w:asciiTheme="minorHAnsi" w:eastAsiaTheme="minorEastAsia" w:hAnsiTheme="minorHAnsi"/>
          <w:noProof/>
          <w:kern w:val="2"/>
          <w:sz w:val="24"/>
          <w:szCs w:val="24"/>
          <w14:ligatures w14:val="standardContextual"/>
        </w:rPr>
      </w:pPr>
      <w:r>
        <w:rPr>
          <w:noProof/>
        </w:rPr>
        <w:t>Organosulfur</w:t>
      </w:r>
      <w:r>
        <w:rPr>
          <w:noProof/>
        </w:rPr>
        <w:tab/>
      </w:r>
      <w:r>
        <w:rPr>
          <w:noProof/>
        </w:rPr>
        <w:fldChar w:fldCharType="begin"/>
      </w:r>
      <w:r>
        <w:rPr>
          <w:noProof/>
        </w:rPr>
        <w:instrText xml:space="preserve"> PAGEREF _Toc141478682 \h </w:instrText>
      </w:r>
      <w:r>
        <w:rPr>
          <w:noProof/>
        </w:rPr>
      </w:r>
      <w:r>
        <w:rPr>
          <w:noProof/>
        </w:rPr>
        <w:fldChar w:fldCharType="separate"/>
      </w:r>
      <w:r>
        <w:rPr>
          <w:noProof/>
        </w:rPr>
        <w:t>142</w:t>
      </w:r>
      <w:r>
        <w:rPr>
          <w:noProof/>
        </w:rPr>
        <w:fldChar w:fldCharType="end"/>
      </w:r>
    </w:p>
    <w:p w14:paraId="74041CE1" w14:textId="5601EE54" w:rsidR="006C6A26" w:rsidRDefault="006C6A26">
      <w:pPr>
        <w:pStyle w:val="TOC3"/>
        <w:rPr>
          <w:rFonts w:asciiTheme="minorHAnsi" w:eastAsiaTheme="minorEastAsia" w:hAnsiTheme="minorHAnsi"/>
          <w:noProof/>
          <w:kern w:val="2"/>
          <w:sz w:val="24"/>
          <w:szCs w:val="24"/>
          <w14:ligatures w14:val="standardContextual"/>
        </w:rPr>
      </w:pPr>
      <w:r>
        <w:rPr>
          <w:noProof/>
        </w:rPr>
        <w:t>Phenylpropanoids</w:t>
      </w:r>
      <w:r>
        <w:rPr>
          <w:noProof/>
        </w:rPr>
        <w:tab/>
      </w:r>
      <w:r>
        <w:rPr>
          <w:noProof/>
        </w:rPr>
        <w:fldChar w:fldCharType="begin"/>
      </w:r>
      <w:r>
        <w:rPr>
          <w:noProof/>
        </w:rPr>
        <w:instrText xml:space="preserve"> PAGEREF _Toc141478683 \h </w:instrText>
      </w:r>
      <w:r>
        <w:rPr>
          <w:noProof/>
        </w:rPr>
      </w:r>
      <w:r>
        <w:rPr>
          <w:noProof/>
        </w:rPr>
        <w:fldChar w:fldCharType="separate"/>
      </w:r>
      <w:r>
        <w:rPr>
          <w:noProof/>
        </w:rPr>
        <w:t>143</w:t>
      </w:r>
      <w:r>
        <w:rPr>
          <w:noProof/>
        </w:rPr>
        <w:fldChar w:fldCharType="end"/>
      </w:r>
    </w:p>
    <w:p w14:paraId="5CD4DE18" w14:textId="5BC4B799" w:rsidR="006C6A26" w:rsidRDefault="006C6A26">
      <w:pPr>
        <w:pStyle w:val="TOC3"/>
        <w:rPr>
          <w:rFonts w:asciiTheme="minorHAnsi" w:eastAsiaTheme="minorEastAsia" w:hAnsiTheme="minorHAnsi"/>
          <w:noProof/>
          <w:kern w:val="2"/>
          <w:sz w:val="24"/>
          <w:szCs w:val="24"/>
          <w14:ligatures w14:val="standardContextual"/>
        </w:rPr>
      </w:pPr>
      <w:r>
        <w:rPr>
          <w:noProof/>
        </w:rPr>
        <w:t>Principal Component Analysis</w:t>
      </w:r>
      <w:r>
        <w:rPr>
          <w:noProof/>
        </w:rPr>
        <w:tab/>
      </w:r>
      <w:r>
        <w:rPr>
          <w:noProof/>
        </w:rPr>
        <w:fldChar w:fldCharType="begin"/>
      </w:r>
      <w:r>
        <w:rPr>
          <w:noProof/>
        </w:rPr>
        <w:instrText xml:space="preserve"> PAGEREF _Toc141478684 \h </w:instrText>
      </w:r>
      <w:r>
        <w:rPr>
          <w:noProof/>
        </w:rPr>
      </w:r>
      <w:r>
        <w:rPr>
          <w:noProof/>
        </w:rPr>
        <w:fldChar w:fldCharType="separate"/>
      </w:r>
      <w:r>
        <w:rPr>
          <w:noProof/>
        </w:rPr>
        <w:t>143</w:t>
      </w:r>
      <w:r>
        <w:rPr>
          <w:noProof/>
        </w:rPr>
        <w:fldChar w:fldCharType="end"/>
      </w:r>
    </w:p>
    <w:p w14:paraId="6D593062" w14:textId="23497A0C" w:rsidR="006C6A26" w:rsidRDefault="006C6A26">
      <w:pPr>
        <w:pStyle w:val="TOC2"/>
        <w:rPr>
          <w:rFonts w:asciiTheme="minorHAnsi" w:eastAsiaTheme="minorEastAsia" w:hAnsiTheme="minorHAnsi"/>
          <w:bCs w:val="0"/>
          <w:noProof/>
          <w:kern w:val="2"/>
          <w:sz w:val="24"/>
          <w:szCs w:val="24"/>
          <w14:ligatures w14:val="standardContextual"/>
        </w:rPr>
      </w:pPr>
      <w:r w:rsidRPr="00196763">
        <w:rPr>
          <w:noProof/>
          <w:color w:val="000000" w:themeColor="text1"/>
        </w:rPr>
        <w:t>Discussion</w:t>
      </w:r>
      <w:r>
        <w:rPr>
          <w:noProof/>
        </w:rPr>
        <w:tab/>
      </w:r>
      <w:r>
        <w:rPr>
          <w:noProof/>
        </w:rPr>
        <w:fldChar w:fldCharType="begin"/>
      </w:r>
      <w:r>
        <w:rPr>
          <w:noProof/>
        </w:rPr>
        <w:instrText xml:space="preserve"> PAGEREF _Toc141478685 \h </w:instrText>
      </w:r>
      <w:r>
        <w:rPr>
          <w:noProof/>
        </w:rPr>
      </w:r>
      <w:r>
        <w:rPr>
          <w:noProof/>
        </w:rPr>
        <w:fldChar w:fldCharType="separate"/>
      </w:r>
      <w:r>
        <w:rPr>
          <w:noProof/>
        </w:rPr>
        <w:t>144</w:t>
      </w:r>
      <w:r>
        <w:rPr>
          <w:noProof/>
        </w:rPr>
        <w:fldChar w:fldCharType="end"/>
      </w:r>
    </w:p>
    <w:p w14:paraId="11A20E80" w14:textId="709F0AA8" w:rsidR="006C6A26" w:rsidRDefault="006C6A26">
      <w:pPr>
        <w:pStyle w:val="TOC2"/>
        <w:rPr>
          <w:rFonts w:asciiTheme="minorHAnsi" w:eastAsiaTheme="minorEastAsia" w:hAnsiTheme="minorHAnsi"/>
          <w:bCs w:val="0"/>
          <w:noProof/>
          <w:kern w:val="2"/>
          <w:sz w:val="24"/>
          <w:szCs w:val="24"/>
          <w14:ligatures w14:val="standardContextual"/>
        </w:rPr>
      </w:pPr>
      <w:r w:rsidRPr="00196763">
        <w:rPr>
          <w:noProof/>
          <w:color w:val="000000" w:themeColor="text1"/>
        </w:rPr>
        <w:t>Conclusions</w:t>
      </w:r>
      <w:r>
        <w:rPr>
          <w:noProof/>
        </w:rPr>
        <w:tab/>
      </w:r>
      <w:r>
        <w:rPr>
          <w:noProof/>
        </w:rPr>
        <w:fldChar w:fldCharType="begin"/>
      </w:r>
      <w:r>
        <w:rPr>
          <w:noProof/>
        </w:rPr>
        <w:instrText xml:space="preserve"> PAGEREF _Toc141478686 \h </w:instrText>
      </w:r>
      <w:r>
        <w:rPr>
          <w:noProof/>
        </w:rPr>
      </w:r>
      <w:r>
        <w:rPr>
          <w:noProof/>
        </w:rPr>
        <w:fldChar w:fldCharType="separate"/>
      </w:r>
      <w:r>
        <w:rPr>
          <w:noProof/>
        </w:rPr>
        <w:t>156</w:t>
      </w:r>
      <w:r>
        <w:rPr>
          <w:noProof/>
        </w:rPr>
        <w:fldChar w:fldCharType="end"/>
      </w:r>
    </w:p>
    <w:p w14:paraId="1112F163" w14:textId="49D9D3AE" w:rsidR="006C6A26" w:rsidRDefault="006C6A26">
      <w:pPr>
        <w:pStyle w:val="TOC2"/>
        <w:rPr>
          <w:rFonts w:asciiTheme="minorHAnsi" w:eastAsiaTheme="minorEastAsia" w:hAnsiTheme="minorHAnsi"/>
          <w:bCs w:val="0"/>
          <w:noProof/>
          <w:kern w:val="2"/>
          <w:sz w:val="24"/>
          <w:szCs w:val="24"/>
          <w14:ligatures w14:val="standardContextual"/>
        </w:rPr>
      </w:pPr>
      <w:r w:rsidRPr="00196763">
        <w:rPr>
          <w:noProof/>
          <w:color w:val="000000" w:themeColor="text1"/>
        </w:rPr>
        <w:t>References</w:t>
      </w:r>
      <w:r>
        <w:rPr>
          <w:noProof/>
        </w:rPr>
        <w:tab/>
      </w:r>
      <w:r>
        <w:rPr>
          <w:noProof/>
        </w:rPr>
        <w:fldChar w:fldCharType="begin"/>
      </w:r>
      <w:r>
        <w:rPr>
          <w:noProof/>
        </w:rPr>
        <w:instrText xml:space="preserve"> PAGEREF _Toc141478687 \h </w:instrText>
      </w:r>
      <w:r>
        <w:rPr>
          <w:noProof/>
        </w:rPr>
      </w:r>
      <w:r>
        <w:rPr>
          <w:noProof/>
        </w:rPr>
        <w:fldChar w:fldCharType="separate"/>
      </w:r>
      <w:r>
        <w:rPr>
          <w:noProof/>
        </w:rPr>
        <w:t>157</w:t>
      </w:r>
      <w:r>
        <w:rPr>
          <w:noProof/>
        </w:rPr>
        <w:fldChar w:fldCharType="end"/>
      </w:r>
    </w:p>
    <w:p w14:paraId="1EC30EE0" w14:textId="6D9A0254" w:rsidR="006C6A26" w:rsidRDefault="006C6A26">
      <w:pPr>
        <w:pStyle w:val="TOC2"/>
        <w:rPr>
          <w:rFonts w:asciiTheme="minorHAnsi" w:eastAsiaTheme="minorEastAsia" w:hAnsiTheme="minorHAnsi"/>
          <w:bCs w:val="0"/>
          <w:noProof/>
          <w:kern w:val="2"/>
          <w:sz w:val="24"/>
          <w:szCs w:val="24"/>
          <w14:ligatures w14:val="standardContextual"/>
        </w:rPr>
      </w:pPr>
      <w:r>
        <w:rPr>
          <w:noProof/>
        </w:rPr>
        <w:lastRenderedPageBreak/>
        <w:t>Appendix C</w:t>
      </w:r>
      <w:r>
        <w:rPr>
          <w:noProof/>
        </w:rPr>
        <w:tab/>
      </w:r>
      <w:r>
        <w:rPr>
          <w:noProof/>
        </w:rPr>
        <w:fldChar w:fldCharType="begin"/>
      </w:r>
      <w:r>
        <w:rPr>
          <w:noProof/>
        </w:rPr>
        <w:instrText xml:space="preserve"> PAGEREF _Toc141478688 \h </w:instrText>
      </w:r>
      <w:r>
        <w:rPr>
          <w:noProof/>
        </w:rPr>
      </w:r>
      <w:r>
        <w:rPr>
          <w:noProof/>
        </w:rPr>
        <w:fldChar w:fldCharType="separate"/>
      </w:r>
      <w:r>
        <w:rPr>
          <w:noProof/>
        </w:rPr>
        <w:t>169</w:t>
      </w:r>
      <w:r>
        <w:rPr>
          <w:noProof/>
        </w:rPr>
        <w:fldChar w:fldCharType="end"/>
      </w:r>
    </w:p>
    <w:p w14:paraId="3C1E6BC9" w14:textId="47B4094E" w:rsidR="006C6A26" w:rsidRDefault="006C6A26">
      <w:pPr>
        <w:pStyle w:val="TOC1"/>
        <w:rPr>
          <w:rFonts w:asciiTheme="minorHAnsi" w:eastAsiaTheme="minorEastAsia" w:hAnsiTheme="minorHAnsi"/>
          <w:bCs w:val="0"/>
          <w:noProof/>
          <w:kern w:val="2"/>
          <w14:ligatures w14:val="standardContextual"/>
        </w:rPr>
      </w:pPr>
      <w:r>
        <w:rPr>
          <w:noProof/>
        </w:rPr>
        <w:t>CHAPTER 4: TRANSCRIPTOME SEQUENCING SUBSTANTIATES ROLE OF SPECTRAL QUALITY IN YIELD AND NUTRIENT BIOACCUMULATION OF HYDROPONICALLY GROWN SWEET BASIL</w:t>
      </w:r>
      <w:r>
        <w:rPr>
          <w:noProof/>
        </w:rPr>
        <w:tab/>
      </w:r>
      <w:r>
        <w:rPr>
          <w:noProof/>
        </w:rPr>
        <w:fldChar w:fldCharType="begin"/>
      </w:r>
      <w:r>
        <w:rPr>
          <w:noProof/>
        </w:rPr>
        <w:instrText xml:space="preserve"> PAGEREF _Toc141478689 \h </w:instrText>
      </w:r>
      <w:r>
        <w:rPr>
          <w:noProof/>
        </w:rPr>
      </w:r>
      <w:r>
        <w:rPr>
          <w:noProof/>
        </w:rPr>
        <w:fldChar w:fldCharType="separate"/>
      </w:r>
      <w:r>
        <w:rPr>
          <w:noProof/>
        </w:rPr>
        <w:t>188</w:t>
      </w:r>
      <w:r>
        <w:rPr>
          <w:noProof/>
        </w:rPr>
        <w:fldChar w:fldCharType="end"/>
      </w:r>
    </w:p>
    <w:p w14:paraId="7619D1A3" w14:textId="60874FA4" w:rsidR="006C6A26" w:rsidRDefault="006C6A26">
      <w:pPr>
        <w:pStyle w:val="TOC2"/>
        <w:rPr>
          <w:rFonts w:asciiTheme="minorHAnsi" w:eastAsiaTheme="minorEastAsia" w:hAnsiTheme="minorHAnsi"/>
          <w:bCs w:val="0"/>
          <w:noProof/>
          <w:kern w:val="2"/>
          <w:sz w:val="24"/>
          <w:szCs w:val="24"/>
          <w14:ligatures w14:val="standardContextual"/>
        </w:rPr>
      </w:pPr>
      <w:r w:rsidRPr="00196763">
        <w:rPr>
          <w:noProof/>
          <w:color w:val="000000" w:themeColor="text1"/>
        </w:rPr>
        <w:t>Abstract</w:t>
      </w:r>
      <w:r>
        <w:rPr>
          <w:noProof/>
        </w:rPr>
        <w:tab/>
      </w:r>
      <w:r>
        <w:rPr>
          <w:noProof/>
        </w:rPr>
        <w:fldChar w:fldCharType="begin"/>
      </w:r>
      <w:r>
        <w:rPr>
          <w:noProof/>
        </w:rPr>
        <w:instrText xml:space="preserve"> PAGEREF _Toc141478690 \h </w:instrText>
      </w:r>
      <w:r>
        <w:rPr>
          <w:noProof/>
        </w:rPr>
      </w:r>
      <w:r>
        <w:rPr>
          <w:noProof/>
        </w:rPr>
        <w:fldChar w:fldCharType="separate"/>
      </w:r>
      <w:r>
        <w:rPr>
          <w:noProof/>
        </w:rPr>
        <w:t>190</w:t>
      </w:r>
      <w:r>
        <w:rPr>
          <w:noProof/>
        </w:rPr>
        <w:fldChar w:fldCharType="end"/>
      </w:r>
    </w:p>
    <w:p w14:paraId="578C4F54" w14:textId="09DE0808" w:rsidR="006C6A26" w:rsidRDefault="006C6A26">
      <w:pPr>
        <w:pStyle w:val="TOC2"/>
        <w:rPr>
          <w:rFonts w:asciiTheme="minorHAnsi" w:eastAsiaTheme="minorEastAsia" w:hAnsiTheme="minorHAnsi"/>
          <w:bCs w:val="0"/>
          <w:noProof/>
          <w:kern w:val="2"/>
          <w:sz w:val="24"/>
          <w:szCs w:val="24"/>
          <w14:ligatures w14:val="standardContextual"/>
        </w:rPr>
      </w:pPr>
      <w:r w:rsidRPr="00196763">
        <w:rPr>
          <w:noProof/>
          <w:color w:val="000000" w:themeColor="text1"/>
        </w:rPr>
        <w:t>Introduction</w:t>
      </w:r>
      <w:r>
        <w:rPr>
          <w:noProof/>
        </w:rPr>
        <w:tab/>
      </w:r>
      <w:r>
        <w:rPr>
          <w:noProof/>
        </w:rPr>
        <w:fldChar w:fldCharType="begin"/>
      </w:r>
      <w:r>
        <w:rPr>
          <w:noProof/>
        </w:rPr>
        <w:instrText xml:space="preserve"> PAGEREF _Toc141478691 \h </w:instrText>
      </w:r>
      <w:r>
        <w:rPr>
          <w:noProof/>
        </w:rPr>
      </w:r>
      <w:r>
        <w:rPr>
          <w:noProof/>
        </w:rPr>
        <w:fldChar w:fldCharType="separate"/>
      </w:r>
      <w:r>
        <w:rPr>
          <w:noProof/>
        </w:rPr>
        <w:t>191</w:t>
      </w:r>
      <w:r>
        <w:rPr>
          <w:noProof/>
        </w:rPr>
        <w:fldChar w:fldCharType="end"/>
      </w:r>
    </w:p>
    <w:p w14:paraId="3CCC1FC2" w14:textId="3C47FD79" w:rsidR="006C6A26" w:rsidRDefault="006C6A26">
      <w:pPr>
        <w:pStyle w:val="TOC2"/>
        <w:rPr>
          <w:rFonts w:asciiTheme="minorHAnsi" w:eastAsiaTheme="minorEastAsia" w:hAnsiTheme="minorHAnsi"/>
          <w:bCs w:val="0"/>
          <w:noProof/>
          <w:kern w:val="2"/>
          <w:sz w:val="24"/>
          <w:szCs w:val="24"/>
          <w14:ligatures w14:val="standardContextual"/>
        </w:rPr>
      </w:pPr>
      <w:r w:rsidRPr="00196763">
        <w:rPr>
          <w:noProof/>
          <w:color w:val="000000" w:themeColor="text1"/>
        </w:rPr>
        <w:t>Materials and Methods</w:t>
      </w:r>
      <w:r>
        <w:rPr>
          <w:noProof/>
        </w:rPr>
        <w:tab/>
      </w:r>
      <w:r>
        <w:rPr>
          <w:noProof/>
        </w:rPr>
        <w:fldChar w:fldCharType="begin"/>
      </w:r>
      <w:r>
        <w:rPr>
          <w:noProof/>
        </w:rPr>
        <w:instrText xml:space="preserve"> PAGEREF _Toc141478692 \h </w:instrText>
      </w:r>
      <w:r>
        <w:rPr>
          <w:noProof/>
        </w:rPr>
      </w:r>
      <w:r>
        <w:rPr>
          <w:noProof/>
        </w:rPr>
        <w:fldChar w:fldCharType="separate"/>
      </w:r>
      <w:r>
        <w:rPr>
          <w:noProof/>
        </w:rPr>
        <w:t>193</w:t>
      </w:r>
      <w:r>
        <w:rPr>
          <w:noProof/>
        </w:rPr>
        <w:fldChar w:fldCharType="end"/>
      </w:r>
    </w:p>
    <w:p w14:paraId="7DEB31EF" w14:textId="503EB248" w:rsidR="006C6A26" w:rsidRDefault="006C6A26">
      <w:pPr>
        <w:pStyle w:val="TOC3"/>
        <w:rPr>
          <w:rFonts w:asciiTheme="minorHAnsi" w:eastAsiaTheme="minorEastAsia" w:hAnsiTheme="minorHAnsi"/>
          <w:noProof/>
          <w:kern w:val="2"/>
          <w:sz w:val="24"/>
          <w:szCs w:val="24"/>
          <w14:ligatures w14:val="standardContextual"/>
        </w:rPr>
      </w:pPr>
      <w:r w:rsidRPr="00196763">
        <w:rPr>
          <w:noProof/>
          <w:color w:val="000000" w:themeColor="text1"/>
        </w:rPr>
        <w:t>Cultural Techniques and Environmental Growing Conditions</w:t>
      </w:r>
      <w:r>
        <w:rPr>
          <w:noProof/>
        </w:rPr>
        <w:tab/>
      </w:r>
      <w:r>
        <w:rPr>
          <w:noProof/>
        </w:rPr>
        <w:fldChar w:fldCharType="begin"/>
      </w:r>
      <w:r>
        <w:rPr>
          <w:noProof/>
        </w:rPr>
        <w:instrText xml:space="preserve"> PAGEREF _Toc141478693 \h </w:instrText>
      </w:r>
      <w:r>
        <w:rPr>
          <w:noProof/>
        </w:rPr>
      </w:r>
      <w:r>
        <w:rPr>
          <w:noProof/>
        </w:rPr>
        <w:fldChar w:fldCharType="separate"/>
      </w:r>
      <w:r>
        <w:rPr>
          <w:noProof/>
        </w:rPr>
        <w:t>193</w:t>
      </w:r>
      <w:r>
        <w:rPr>
          <w:noProof/>
        </w:rPr>
        <w:fldChar w:fldCharType="end"/>
      </w:r>
    </w:p>
    <w:p w14:paraId="42E7A392" w14:textId="77006A35" w:rsidR="006C6A26" w:rsidRDefault="006C6A26">
      <w:pPr>
        <w:pStyle w:val="TOC3"/>
        <w:rPr>
          <w:rFonts w:asciiTheme="minorHAnsi" w:eastAsiaTheme="minorEastAsia" w:hAnsiTheme="minorHAnsi"/>
          <w:noProof/>
          <w:kern w:val="2"/>
          <w:sz w:val="24"/>
          <w:szCs w:val="24"/>
          <w14:ligatures w14:val="standardContextual"/>
        </w:rPr>
      </w:pPr>
      <w:r w:rsidRPr="00196763">
        <w:rPr>
          <w:noProof/>
          <w:color w:val="000000" w:themeColor="text1"/>
        </w:rPr>
        <w:t>Light Treatments</w:t>
      </w:r>
      <w:r>
        <w:rPr>
          <w:noProof/>
        </w:rPr>
        <w:tab/>
      </w:r>
      <w:r>
        <w:rPr>
          <w:noProof/>
        </w:rPr>
        <w:fldChar w:fldCharType="begin"/>
      </w:r>
      <w:r>
        <w:rPr>
          <w:noProof/>
        </w:rPr>
        <w:instrText xml:space="preserve"> PAGEREF _Toc141478694 \h </w:instrText>
      </w:r>
      <w:r>
        <w:rPr>
          <w:noProof/>
        </w:rPr>
      </w:r>
      <w:r>
        <w:rPr>
          <w:noProof/>
        </w:rPr>
        <w:fldChar w:fldCharType="separate"/>
      </w:r>
      <w:r>
        <w:rPr>
          <w:noProof/>
        </w:rPr>
        <w:t>195</w:t>
      </w:r>
      <w:r>
        <w:rPr>
          <w:noProof/>
        </w:rPr>
        <w:fldChar w:fldCharType="end"/>
      </w:r>
    </w:p>
    <w:p w14:paraId="4B7AFAB8" w14:textId="55D0114E" w:rsidR="006C6A26" w:rsidRDefault="006C6A26">
      <w:pPr>
        <w:pStyle w:val="TOC3"/>
        <w:rPr>
          <w:rFonts w:asciiTheme="minorHAnsi" w:eastAsiaTheme="minorEastAsia" w:hAnsiTheme="minorHAnsi"/>
          <w:noProof/>
          <w:kern w:val="2"/>
          <w:sz w:val="24"/>
          <w:szCs w:val="24"/>
          <w14:ligatures w14:val="standardContextual"/>
        </w:rPr>
      </w:pPr>
      <w:r>
        <w:rPr>
          <w:noProof/>
        </w:rPr>
        <w:t>Sample Harvest and Biomass Data Collection</w:t>
      </w:r>
      <w:r>
        <w:rPr>
          <w:noProof/>
        </w:rPr>
        <w:tab/>
      </w:r>
      <w:r>
        <w:rPr>
          <w:noProof/>
        </w:rPr>
        <w:fldChar w:fldCharType="begin"/>
      </w:r>
      <w:r>
        <w:rPr>
          <w:noProof/>
        </w:rPr>
        <w:instrText xml:space="preserve"> PAGEREF _Toc141478695 \h </w:instrText>
      </w:r>
      <w:r>
        <w:rPr>
          <w:noProof/>
        </w:rPr>
      </w:r>
      <w:r>
        <w:rPr>
          <w:noProof/>
        </w:rPr>
        <w:fldChar w:fldCharType="separate"/>
      </w:r>
      <w:r>
        <w:rPr>
          <w:noProof/>
        </w:rPr>
        <w:t>196</w:t>
      </w:r>
      <w:r>
        <w:rPr>
          <w:noProof/>
        </w:rPr>
        <w:fldChar w:fldCharType="end"/>
      </w:r>
    </w:p>
    <w:p w14:paraId="47F14726" w14:textId="71B0420E" w:rsidR="006C6A26" w:rsidRDefault="006C6A26">
      <w:pPr>
        <w:pStyle w:val="TOC3"/>
        <w:rPr>
          <w:rFonts w:asciiTheme="minorHAnsi" w:eastAsiaTheme="minorEastAsia" w:hAnsiTheme="minorHAnsi"/>
          <w:noProof/>
          <w:kern w:val="2"/>
          <w:sz w:val="24"/>
          <w:szCs w:val="24"/>
          <w14:ligatures w14:val="standardContextual"/>
        </w:rPr>
      </w:pPr>
      <w:r>
        <w:rPr>
          <w:noProof/>
        </w:rPr>
        <w:t>Mineral Extraction and Analysis</w:t>
      </w:r>
      <w:r>
        <w:rPr>
          <w:noProof/>
        </w:rPr>
        <w:tab/>
      </w:r>
      <w:r>
        <w:rPr>
          <w:noProof/>
        </w:rPr>
        <w:fldChar w:fldCharType="begin"/>
      </w:r>
      <w:r>
        <w:rPr>
          <w:noProof/>
        </w:rPr>
        <w:instrText xml:space="preserve"> PAGEREF _Toc141478696 \h </w:instrText>
      </w:r>
      <w:r>
        <w:rPr>
          <w:noProof/>
        </w:rPr>
      </w:r>
      <w:r>
        <w:rPr>
          <w:noProof/>
        </w:rPr>
        <w:fldChar w:fldCharType="separate"/>
      </w:r>
      <w:r>
        <w:rPr>
          <w:noProof/>
        </w:rPr>
        <w:t>197</w:t>
      </w:r>
      <w:r>
        <w:rPr>
          <w:noProof/>
        </w:rPr>
        <w:fldChar w:fldCharType="end"/>
      </w:r>
    </w:p>
    <w:p w14:paraId="0E4362A3" w14:textId="0699B7E1" w:rsidR="006C6A26" w:rsidRDefault="006C6A26">
      <w:pPr>
        <w:pStyle w:val="TOC3"/>
        <w:rPr>
          <w:rFonts w:asciiTheme="minorHAnsi" w:eastAsiaTheme="minorEastAsia" w:hAnsiTheme="minorHAnsi"/>
          <w:noProof/>
          <w:kern w:val="2"/>
          <w:sz w:val="24"/>
          <w:szCs w:val="24"/>
          <w14:ligatures w14:val="standardContextual"/>
        </w:rPr>
      </w:pPr>
      <w:r>
        <w:rPr>
          <w:noProof/>
        </w:rPr>
        <w:t>Biomass and Nutrient Bioaccumulation Statistical Analyses</w:t>
      </w:r>
      <w:r>
        <w:rPr>
          <w:noProof/>
        </w:rPr>
        <w:tab/>
      </w:r>
      <w:r>
        <w:rPr>
          <w:noProof/>
        </w:rPr>
        <w:fldChar w:fldCharType="begin"/>
      </w:r>
      <w:r>
        <w:rPr>
          <w:noProof/>
        </w:rPr>
        <w:instrText xml:space="preserve"> PAGEREF _Toc141478697 \h </w:instrText>
      </w:r>
      <w:r>
        <w:rPr>
          <w:noProof/>
        </w:rPr>
      </w:r>
      <w:r>
        <w:rPr>
          <w:noProof/>
        </w:rPr>
        <w:fldChar w:fldCharType="separate"/>
      </w:r>
      <w:r>
        <w:rPr>
          <w:noProof/>
        </w:rPr>
        <w:t>198</w:t>
      </w:r>
      <w:r>
        <w:rPr>
          <w:noProof/>
        </w:rPr>
        <w:fldChar w:fldCharType="end"/>
      </w:r>
    </w:p>
    <w:p w14:paraId="4A2BB4EC" w14:textId="6EE3A0E6" w:rsidR="006C6A26" w:rsidRDefault="006C6A26">
      <w:pPr>
        <w:pStyle w:val="TOC3"/>
        <w:rPr>
          <w:rFonts w:asciiTheme="minorHAnsi" w:eastAsiaTheme="minorEastAsia" w:hAnsiTheme="minorHAnsi"/>
          <w:noProof/>
          <w:kern w:val="2"/>
          <w:sz w:val="24"/>
          <w:szCs w:val="24"/>
          <w14:ligatures w14:val="standardContextual"/>
        </w:rPr>
      </w:pPr>
      <w:r>
        <w:rPr>
          <w:noProof/>
        </w:rPr>
        <w:t>RNA Extraction</w:t>
      </w:r>
      <w:r>
        <w:rPr>
          <w:noProof/>
        </w:rPr>
        <w:tab/>
      </w:r>
      <w:r>
        <w:rPr>
          <w:noProof/>
        </w:rPr>
        <w:fldChar w:fldCharType="begin"/>
      </w:r>
      <w:r>
        <w:rPr>
          <w:noProof/>
        </w:rPr>
        <w:instrText xml:space="preserve"> PAGEREF _Toc141478698 \h </w:instrText>
      </w:r>
      <w:r>
        <w:rPr>
          <w:noProof/>
        </w:rPr>
      </w:r>
      <w:r>
        <w:rPr>
          <w:noProof/>
        </w:rPr>
        <w:fldChar w:fldCharType="separate"/>
      </w:r>
      <w:r>
        <w:rPr>
          <w:noProof/>
        </w:rPr>
        <w:t>199</w:t>
      </w:r>
      <w:r>
        <w:rPr>
          <w:noProof/>
        </w:rPr>
        <w:fldChar w:fldCharType="end"/>
      </w:r>
    </w:p>
    <w:p w14:paraId="09C893EF" w14:textId="505A281C" w:rsidR="006C6A26" w:rsidRDefault="006C6A26">
      <w:pPr>
        <w:pStyle w:val="TOC3"/>
        <w:rPr>
          <w:rFonts w:asciiTheme="minorHAnsi" w:eastAsiaTheme="minorEastAsia" w:hAnsiTheme="minorHAnsi"/>
          <w:noProof/>
          <w:kern w:val="2"/>
          <w:sz w:val="24"/>
          <w:szCs w:val="24"/>
          <w14:ligatures w14:val="standardContextual"/>
        </w:rPr>
      </w:pPr>
      <w:r w:rsidRPr="00196763">
        <w:rPr>
          <w:noProof/>
          <w:color w:val="000000" w:themeColor="text1"/>
        </w:rPr>
        <w:t>Library Preparation with PolyA Selection and Illumina Sequencing</w:t>
      </w:r>
      <w:r>
        <w:rPr>
          <w:noProof/>
        </w:rPr>
        <w:tab/>
      </w:r>
      <w:r>
        <w:rPr>
          <w:noProof/>
        </w:rPr>
        <w:fldChar w:fldCharType="begin"/>
      </w:r>
      <w:r>
        <w:rPr>
          <w:noProof/>
        </w:rPr>
        <w:instrText xml:space="preserve"> PAGEREF _Toc141478699 \h </w:instrText>
      </w:r>
      <w:r>
        <w:rPr>
          <w:noProof/>
        </w:rPr>
      </w:r>
      <w:r>
        <w:rPr>
          <w:noProof/>
        </w:rPr>
        <w:fldChar w:fldCharType="separate"/>
      </w:r>
      <w:r>
        <w:rPr>
          <w:noProof/>
        </w:rPr>
        <w:t>199</w:t>
      </w:r>
      <w:r>
        <w:rPr>
          <w:noProof/>
        </w:rPr>
        <w:fldChar w:fldCharType="end"/>
      </w:r>
    </w:p>
    <w:p w14:paraId="6EDFF543" w14:textId="6593C011" w:rsidR="006C6A26" w:rsidRDefault="006C6A26">
      <w:pPr>
        <w:pStyle w:val="TOC3"/>
        <w:rPr>
          <w:rFonts w:asciiTheme="minorHAnsi" w:eastAsiaTheme="minorEastAsia" w:hAnsiTheme="minorHAnsi"/>
          <w:noProof/>
          <w:kern w:val="2"/>
          <w:sz w:val="24"/>
          <w:szCs w:val="24"/>
          <w14:ligatures w14:val="standardContextual"/>
        </w:rPr>
      </w:pPr>
      <w:r w:rsidRPr="00196763">
        <w:rPr>
          <w:noProof/>
          <w:color w:val="000000" w:themeColor="text1"/>
        </w:rPr>
        <w:t>Transcriptome Analysis</w:t>
      </w:r>
      <w:r>
        <w:rPr>
          <w:noProof/>
        </w:rPr>
        <w:tab/>
      </w:r>
      <w:r>
        <w:rPr>
          <w:noProof/>
        </w:rPr>
        <w:fldChar w:fldCharType="begin"/>
      </w:r>
      <w:r>
        <w:rPr>
          <w:noProof/>
        </w:rPr>
        <w:instrText xml:space="preserve"> PAGEREF _Toc141478700 \h </w:instrText>
      </w:r>
      <w:r>
        <w:rPr>
          <w:noProof/>
        </w:rPr>
      </w:r>
      <w:r>
        <w:rPr>
          <w:noProof/>
        </w:rPr>
        <w:fldChar w:fldCharType="separate"/>
      </w:r>
      <w:r>
        <w:rPr>
          <w:noProof/>
        </w:rPr>
        <w:t>200</w:t>
      </w:r>
      <w:r>
        <w:rPr>
          <w:noProof/>
        </w:rPr>
        <w:fldChar w:fldCharType="end"/>
      </w:r>
    </w:p>
    <w:p w14:paraId="20D10972" w14:textId="39A1143E" w:rsidR="006C6A26" w:rsidRDefault="006C6A26">
      <w:pPr>
        <w:pStyle w:val="TOC2"/>
        <w:rPr>
          <w:rFonts w:asciiTheme="minorHAnsi" w:eastAsiaTheme="minorEastAsia" w:hAnsiTheme="minorHAnsi"/>
          <w:bCs w:val="0"/>
          <w:noProof/>
          <w:kern w:val="2"/>
          <w:sz w:val="24"/>
          <w:szCs w:val="24"/>
          <w14:ligatures w14:val="standardContextual"/>
        </w:rPr>
      </w:pPr>
      <w:r w:rsidRPr="00196763">
        <w:rPr>
          <w:noProof/>
          <w:color w:val="000000" w:themeColor="text1"/>
        </w:rPr>
        <w:t>Results</w:t>
      </w:r>
      <w:r>
        <w:rPr>
          <w:noProof/>
        </w:rPr>
        <w:tab/>
      </w:r>
      <w:r>
        <w:rPr>
          <w:noProof/>
        </w:rPr>
        <w:fldChar w:fldCharType="begin"/>
      </w:r>
      <w:r>
        <w:rPr>
          <w:noProof/>
        </w:rPr>
        <w:instrText xml:space="preserve"> PAGEREF _Toc141478701 \h </w:instrText>
      </w:r>
      <w:r>
        <w:rPr>
          <w:noProof/>
        </w:rPr>
      </w:r>
      <w:r>
        <w:rPr>
          <w:noProof/>
        </w:rPr>
        <w:fldChar w:fldCharType="separate"/>
      </w:r>
      <w:r>
        <w:rPr>
          <w:noProof/>
        </w:rPr>
        <w:t>202</w:t>
      </w:r>
      <w:r>
        <w:rPr>
          <w:noProof/>
        </w:rPr>
        <w:fldChar w:fldCharType="end"/>
      </w:r>
    </w:p>
    <w:p w14:paraId="0E6428DE" w14:textId="1A0C7BE5" w:rsidR="006C6A26" w:rsidRDefault="006C6A26">
      <w:pPr>
        <w:pStyle w:val="TOC3"/>
        <w:rPr>
          <w:rFonts w:asciiTheme="minorHAnsi" w:eastAsiaTheme="minorEastAsia" w:hAnsiTheme="minorHAnsi"/>
          <w:noProof/>
          <w:kern w:val="2"/>
          <w:sz w:val="24"/>
          <w:szCs w:val="24"/>
          <w14:ligatures w14:val="standardContextual"/>
        </w:rPr>
      </w:pPr>
      <w:r w:rsidRPr="00196763">
        <w:rPr>
          <w:noProof/>
          <w:color w:val="000000" w:themeColor="text1"/>
        </w:rPr>
        <w:t>Fresh and Dry Mass</w:t>
      </w:r>
      <w:r>
        <w:rPr>
          <w:noProof/>
        </w:rPr>
        <w:tab/>
      </w:r>
      <w:r>
        <w:rPr>
          <w:noProof/>
        </w:rPr>
        <w:fldChar w:fldCharType="begin"/>
      </w:r>
      <w:r>
        <w:rPr>
          <w:noProof/>
        </w:rPr>
        <w:instrText xml:space="preserve"> PAGEREF _Toc141478702 \h </w:instrText>
      </w:r>
      <w:r>
        <w:rPr>
          <w:noProof/>
        </w:rPr>
      </w:r>
      <w:r>
        <w:rPr>
          <w:noProof/>
        </w:rPr>
        <w:fldChar w:fldCharType="separate"/>
      </w:r>
      <w:r>
        <w:rPr>
          <w:noProof/>
        </w:rPr>
        <w:t>202</w:t>
      </w:r>
      <w:r>
        <w:rPr>
          <w:noProof/>
        </w:rPr>
        <w:fldChar w:fldCharType="end"/>
      </w:r>
    </w:p>
    <w:p w14:paraId="338086F2" w14:textId="6934E09D" w:rsidR="006C6A26" w:rsidRDefault="006C6A26">
      <w:pPr>
        <w:pStyle w:val="TOC3"/>
        <w:rPr>
          <w:rFonts w:asciiTheme="minorHAnsi" w:eastAsiaTheme="minorEastAsia" w:hAnsiTheme="minorHAnsi"/>
          <w:noProof/>
          <w:kern w:val="2"/>
          <w:sz w:val="24"/>
          <w:szCs w:val="24"/>
          <w14:ligatures w14:val="standardContextual"/>
        </w:rPr>
      </w:pPr>
      <w:r w:rsidRPr="00196763">
        <w:rPr>
          <w:noProof/>
          <w:color w:val="000000" w:themeColor="text1"/>
        </w:rPr>
        <w:t>Elemental Nutrient Tissue Analysis</w:t>
      </w:r>
      <w:r>
        <w:rPr>
          <w:noProof/>
        </w:rPr>
        <w:tab/>
      </w:r>
      <w:r>
        <w:rPr>
          <w:noProof/>
        </w:rPr>
        <w:fldChar w:fldCharType="begin"/>
      </w:r>
      <w:r>
        <w:rPr>
          <w:noProof/>
        </w:rPr>
        <w:instrText xml:space="preserve"> PAGEREF _Toc141478703 \h </w:instrText>
      </w:r>
      <w:r>
        <w:rPr>
          <w:noProof/>
        </w:rPr>
      </w:r>
      <w:r>
        <w:rPr>
          <w:noProof/>
        </w:rPr>
        <w:fldChar w:fldCharType="separate"/>
      </w:r>
      <w:r>
        <w:rPr>
          <w:noProof/>
        </w:rPr>
        <w:t>203</w:t>
      </w:r>
      <w:r>
        <w:rPr>
          <w:noProof/>
        </w:rPr>
        <w:fldChar w:fldCharType="end"/>
      </w:r>
    </w:p>
    <w:p w14:paraId="64C5B187" w14:textId="1501707E" w:rsidR="006C6A26" w:rsidRDefault="006C6A26">
      <w:pPr>
        <w:pStyle w:val="TOC3"/>
        <w:rPr>
          <w:rFonts w:asciiTheme="minorHAnsi" w:eastAsiaTheme="minorEastAsia" w:hAnsiTheme="minorHAnsi"/>
          <w:noProof/>
          <w:kern w:val="2"/>
          <w:sz w:val="24"/>
          <w:szCs w:val="24"/>
          <w14:ligatures w14:val="standardContextual"/>
        </w:rPr>
      </w:pPr>
      <w:r w:rsidRPr="00196763">
        <w:rPr>
          <w:noProof/>
          <w:color w:val="000000" w:themeColor="text1"/>
        </w:rPr>
        <w:t>Principal Component Analysis of Biomass and Tissue Nutrient Concentrations</w:t>
      </w:r>
      <w:r>
        <w:rPr>
          <w:noProof/>
        </w:rPr>
        <w:tab/>
      </w:r>
      <w:r>
        <w:rPr>
          <w:noProof/>
        </w:rPr>
        <w:fldChar w:fldCharType="begin"/>
      </w:r>
      <w:r>
        <w:rPr>
          <w:noProof/>
        </w:rPr>
        <w:instrText xml:space="preserve"> PAGEREF _Toc141478704 \h </w:instrText>
      </w:r>
      <w:r>
        <w:rPr>
          <w:noProof/>
        </w:rPr>
      </w:r>
      <w:r>
        <w:rPr>
          <w:noProof/>
        </w:rPr>
        <w:fldChar w:fldCharType="separate"/>
      </w:r>
      <w:r>
        <w:rPr>
          <w:noProof/>
        </w:rPr>
        <w:t>205</w:t>
      </w:r>
      <w:r>
        <w:rPr>
          <w:noProof/>
        </w:rPr>
        <w:fldChar w:fldCharType="end"/>
      </w:r>
    </w:p>
    <w:p w14:paraId="0F386A0D" w14:textId="444DA9E8" w:rsidR="006C6A26" w:rsidRDefault="006C6A26">
      <w:pPr>
        <w:pStyle w:val="TOC3"/>
        <w:rPr>
          <w:rFonts w:asciiTheme="minorHAnsi" w:eastAsiaTheme="minorEastAsia" w:hAnsiTheme="minorHAnsi"/>
          <w:noProof/>
          <w:kern w:val="2"/>
          <w:sz w:val="24"/>
          <w:szCs w:val="24"/>
          <w14:ligatures w14:val="standardContextual"/>
        </w:rPr>
      </w:pPr>
      <w:r w:rsidRPr="00196763">
        <w:rPr>
          <w:noProof/>
          <w:color w:val="000000" w:themeColor="text1"/>
        </w:rPr>
        <w:t>Transcriptome Analysis</w:t>
      </w:r>
      <w:r>
        <w:rPr>
          <w:noProof/>
        </w:rPr>
        <w:tab/>
      </w:r>
      <w:r>
        <w:rPr>
          <w:noProof/>
        </w:rPr>
        <w:fldChar w:fldCharType="begin"/>
      </w:r>
      <w:r>
        <w:rPr>
          <w:noProof/>
        </w:rPr>
        <w:instrText xml:space="preserve"> PAGEREF _Toc141478705 \h </w:instrText>
      </w:r>
      <w:r>
        <w:rPr>
          <w:noProof/>
        </w:rPr>
      </w:r>
      <w:r>
        <w:rPr>
          <w:noProof/>
        </w:rPr>
        <w:fldChar w:fldCharType="separate"/>
      </w:r>
      <w:r>
        <w:rPr>
          <w:noProof/>
        </w:rPr>
        <w:t>206</w:t>
      </w:r>
      <w:r>
        <w:rPr>
          <w:noProof/>
        </w:rPr>
        <w:fldChar w:fldCharType="end"/>
      </w:r>
    </w:p>
    <w:p w14:paraId="02493EAE" w14:textId="4E8C9A04" w:rsidR="006C6A26" w:rsidRDefault="006C6A26">
      <w:pPr>
        <w:pStyle w:val="TOC3"/>
        <w:rPr>
          <w:rFonts w:asciiTheme="minorHAnsi" w:eastAsiaTheme="minorEastAsia" w:hAnsiTheme="minorHAnsi"/>
          <w:noProof/>
          <w:kern w:val="2"/>
          <w:sz w:val="24"/>
          <w:szCs w:val="24"/>
          <w14:ligatures w14:val="standardContextual"/>
        </w:rPr>
      </w:pPr>
      <w:r>
        <w:rPr>
          <w:noProof/>
        </w:rPr>
        <w:t>Principal Component Analysis of DEGs</w:t>
      </w:r>
      <w:r>
        <w:rPr>
          <w:noProof/>
        </w:rPr>
        <w:tab/>
      </w:r>
      <w:r>
        <w:rPr>
          <w:noProof/>
        </w:rPr>
        <w:fldChar w:fldCharType="begin"/>
      </w:r>
      <w:r>
        <w:rPr>
          <w:noProof/>
        </w:rPr>
        <w:instrText xml:space="preserve"> PAGEREF _Toc141478706 \h </w:instrText>
      </w:r>
      <w:r>
        <w:rPr>
          <w:noProof/>
        </w:rPr>
      </w:r>
      <w:r>
        <w:rPr>
          <w:noProof/>
        </w:rPr>
        <w:fldChar w:fldCharType="separate"/>
      </w:r>
      <w:r>
        <w:rPr>
          <w:noProof/>
        </w:rPr>
        <w:t>207</w:t>
      </w:r>
      <w:r>
        <w:rPr>
          <w:noProof/>
        </w:rPr>
        <w:fldChar w:fldCharType="end"/>
      </w:r>
    </w:p>
    <w:p w14:paraId="4EF65767" w14:textId="28B5F03A" w:rsidR="006C6A26" w:rsidRDefault="006C6A26">
      <w:pPr>
        <w:pStyle w:val="TOC3"/>
        <w:rPr>
          <w:rFonts w:asciiTheme="minorHAnsi" w:eastAsiaTheme="minorEastAsia" w:hAnsiTheme="minorHAnsi"/>
          <w:noProof/>
          <w:kern w:val="2"/>
          <w:sz w:val="24"/>
          <w:szCs w:val="24"/>
          <w14:ligatures w14:val="standardContextual"/>
        </w:rPr>
      </w:pPr>
      <w:r>
        <w:rPr>
          <w:noProof/>
        </w:rPr>
        <w:t>Biclustering Heatmaps Comparing DEGs</w:t>
      </w:r>
      <w:r>
        <w:rPr>
          <w:noProof/>
        </w:rPr>
        <w:tab/>
      </w:r>
      <w:r>
        <w:rPr>
          <w:noProof/>
        </w:rPr>
        <w:fldChar w:fldCharType="begin"/>
      </w:r>
      <w:r>
        <w:rPr>
          <w:noProof/>
        </w:rPr>
        <w:instrText xml:space="preserve"> PAGEREF _Toc141478707 \h </w:instrText>
      </w:r>
      <w:r>
        <w:rPr>
          <w:noProof/>
        </w:rPr>
      </w:r>
      <w:r>
        <w:rPr>
          <w:noProof/>
        </w:rPr>
        <w:fldChar w:fldCharType="separate"/>
      </w:r>
      <w:r>
        <w:rPr>
          <w:noProof/>
        </w:rPr>
        <w:t>210</w:t>
      </w:r>
      <w:r>
        <w:rPr>
          <w:noProof/>
        </w:rPr>
        <w:fldChar w:fldCharType="end"/>
      </w:r>
    </w:p>
    <w:p w14:paraId="5B83DB1E" w14:textId="11724872" w:rsidR="006C6A26" w:rsidRDefault="006C6A26">
      <w:pPr>
        <w:pStyle w:val="TOC3"/>
        <w:rPr>
          <w:rFonts w:asciiTheme="minorHAnsi" w:eastAsiaTheme="minorEastAsia" w:hAnsiTheme="minorHAnsi"/>
          <w:noProof/>
          <w:kern w:val="2"/>
          <w:sz w:val="24"/>
          <w:szCs w:val="24"/>
          <w14:ligatures w14:val="standardContextual"/>
        </w:rPr>
      </w:pPr>
      <w:r>
        <w:rPr>
          <w:noProof/>
        </w:rPr>
        <w:t>Volcano Plots Comparing DEGs</w:t>
      </w:r>
      <w:r>
        <w:rPr>
          <w:noProof/>
        </w:rPr>
        <w:tab/>
      </w:r>
      <w:r>
        <w:rPr>
          <w:noProof/>
        </w:rPr>
        <w:fldChar w:fldCharType="begin"/>
      </w:r>
      <w:r>
        <w:rPr>
          <w:noProof/>
        </w:rPr>
        <w:instrText xml:space="preserve"> PAGEREF _Toc141478708 \h </w:instrText>
      </w:r>
      <w:r>
        <w:rPr>
          <w:noProof/>
        </w:rPr>
      </w:r>
      <w:r>
        <w:rPr>
          <w:noProof/>
        </w:rPr>
        <w:fldChar w:fldCharType="separate"/>
      </w:r>
      <w:r>
        <w:rPr>
          <w:noProof/>
        </w:rPr>
        <w:t>211</w:t>
      </w:r>
      <w:r>
        <w:rPr>
          <w:noProof/>
        </w:rPr>
        <w:fldChar w:fldCharType="end"/>
      </w:r>
    </w:p>
    <w:p w14:paraId="6C79F06D" w14:textId="579DA6D2" w:rsidR="006C6A26" w:rsidRDefault="006C6A26">
      <w:pPr>
        <w:pStyle w:val="TOC2"/>
        <w:rPr>
          <w:rFonts w:asciiTheme="minorHAnsi" w:eastAsiaTheme="minorEastAsia" w:hAnsiTheme="minorHAnsi"/>
          <w:bCs w:val="0"/>
          <w:noProof/>
          <w:kern w:val="2"/>
          <w:sz w:val="24"/>
          <w:szCs w:val="24"/>
          <w14:ligatures w14:val="standardContextual"/>
        </w:rPr>
      </w:pPr>
      <w:r w:rsidRPr="00196763">
        <w:rPr>
          <w:noProof/>
          <w:color w:val="000000" w:themeColor="text1"/>
        </w:rPr>
        <w:t>Discussion</w:t>
      </w:r>
      <w:r>
        <w:rPr>
          <w:noProof/>
        </w:rPr>
        <w:tab/>
      </w:r>
      <w:r>
        <w:rPr>
          <w:noProof/>
        </w:rPr>
        <w:fldChar w:fldCharType="begin"/>
      </w:r>
      <w:r>
        <w:rPr>
          <w:noProof/>
        </w:rPr>
        <w:instrText xml:space="preserve"> PAGEREF _Toc141478709 \h </w:instrText>
      </w:r>
      <w:r>
        <w:rPr>
          <w:noProof/>
        </w:rPr>
      </w:r>
      <w:r>
        <w:rPr>
          <w:noProof/>
        </w:rPr>
        <w:fldChar w:fldCharType="separate"/>
      </w:r>
      <w:r>
        <w:rPr>
          <w:noProof/>
        </w:rPr>
        <w:t>214</w:t>
      </w:r>
      <w:r>
        <w:rPr>
          <w:noProof/>
        </w:rPr>
        <w:fldChar w:fldCharType="end"/>
      </w:r>
    </w:p>
    <w:p w14:paraId="1D098055" w14:textId="75254570" w:rsidR="006C6A26" w:rsidRDefault="006C6A26">
      <w:pPr>
        <w:pStyle w:val="TOC3"/>
        <w:rPr>
          <w:rFonts w:asciiTheme="minorHAnsi" w:eastAsiaTheme="minorEastAsia" w:hAnsiTheme="minorHAnsi"/>
          <w:noProof/>
          <w:kern w:val="2"/>
          <w:sz w:val="24"/>
          <w:szCs w:val="24"/>
          <w14:ligatures w14:val="standardContextual"/>
        </w:rPr>
      </w:pPr>
      <w:r>
        <w:rPr>
          <w:noProof/>
        </w:rPr>
        <w:t>Influence of Season and Treatment on Biomass</w:t>
      </w:r>
      <w:r>
        <w:rPr>
          <w:noProof/>
        </w:rPr>
        <w:tab/>
      </w:r>
      <w:r>
        <w:rPr>
          <w:noProof/>
        </w:rPr>
        <w:fldChar w:fldCharType="begin"/>
      </w:r>
      <w:r>
        <w:rPr>
          <w:noProof/>
        </w:rPr>
        <w:instrText xml:space="preserve"> PAGEREF _Toc141478710 \h </w:instrText>
      </w:r>
      <w:r>
        <w:rPr>
          <w:noProof/>
        </w:rPr>
      </w:r>
      <w:r>
        <w:rPr>
          <w:noProof/>
        </w:rPr>
        <w:fldChar w:fldCharType="separate"/>
      </w:r>
      <w:r>
        <w:rPr>
          <w:noProof/>
        </w:rPr>
        <w:t>214</w:t>
      </w:r>
      <w:r>
        <w:rPr>
          <w:noProof/>
        </w:rPr>
        <w:fldChar w:fldCharType="end"/>
      </w:r>
    </w:p>
    <w:p w14:paraId="108D04BD" w14:textId="03D0BFE8" w:rsidR="006C6A26" w:rsidRDefault="006C6A26">
      <w:pPr>
        <w:pStyle w:val="TOC3"/>
        <w:rPr>
          <w:rFonts w:asciiTheme="minorHAnsi" w:eastAsiaTheme="minorEastAsia" w:hAnsiTheme="minorHAnsi"/>
          <w:noProof/>
          <w:kern w:val="2"/>
          <w:sz w:val="24"/>
          <w:szCs w:val="24"/>
          <w14:ligatures w14:val="standardContextual"/>
        </w:rPr>
      </w:pPr>
      <w:r>
        <w:rPr>
          <w:noProof/>
        </w:rPr>
        <w:t>Elemental Nutrient Tissue Analysis</w:t>
      </w:r>
      <w:r>
        <w:rPr>
          <w:noProof/>
        </w:rPr>
        <w:tab/>
      </w:r>
      <w:r>
        <w:rPr>
          <w:noProof/>
        </w:rPr>
        <w:fldChar w:fldCharType="begin"/>
      </w:r>
      <w:r>
        <w:rPr>
          <w:noProof/>
        </w:rPr>
        <w:instrText xml:space="preserve"> PAGEREF _Toc141478711 \h </w:instrText>
      </w:r>
      <w:r>
        <w:rPr>
          <w:noProof/>
        </w:rPr>
      </w:r>
      <w:r>
        <w:rPr>
          <w:noProof/>
        </w:rPr>
        <w:fldChar w:fldCharType="separate"/>
      </w:r>
      <w:r>
        <w:rPr>
          <w:noProof/>
        </w:rPr>
        <w:t>215</w:t>
      </w:r>
      <w:r>
        <w:rPr>
          <w:noProof/>
        </w:rPr>
        <w:fldChar w:fldCharType="end"/>
      </w:r>
    </w:p>
    <w:p w14:paraId="0CFB818F" w14:textId="1FC16419" w:rsidR="006C6A26" w:rsidRDefault="006C6A26">
      <w:pPr>
        <w:pStyle w:val="TOC3"/>
        <w:rPr>
          <w:rFonts w:asciiTheme="minorHAnsi" w:eastAsiaTheme="minorEastAsia" w:hAnsiTheme="minorHAnsi"/>
          <w:noProof/>
          <w:kern w:val="2"/>
          <w:sz w:val="24"/>
          <w:szCs w:val="24"/>
          <w14:ligatures w14:val="standardContextual"/>
        </w:rPr>
      </w:pPr>
      <w:r>
        <w:rPr>
          <w:noProof/>
        </w:rPr>
        <w:t>Principal Component Analysis of Biomass and Nutrient Analysis</w:t>
      </w:r>
      <w:r>
        <w:rPr>
          <w:noProof/>
        </w:rPr>
        <w:tab/>
      </w:r>
      <w:r>
        <w:rPr>
          <w:noProof/>
        </w:rPr>
        <w:fldChar w:fldCharType="begin"/>
      </w:r>
      <w:r>
        <w:rPr>
          <w:noProof/>
        </w:rPr>
        <w:instrText xml:space="preserve"> PAGEREF _Toc141478712 \h </w:instrText>
      </w:r>
      <w:r>
        <w:rPr>
          <w:noProof/>
        </w:rPr>
      </w:r>
      <w:r>
        <w:rPr>
          <w:noProof/>
        </w:rPr>
        <w:fldChar w:fldCharType="separate"/>
      </w:r>
      <w:r>
        <w:rPr>
          <w:noProof/>
        </w:rPr>
        <w:t>217</w:t>
      </w:r>
      <w:r>
        <w:rPr>
          <w:noProof/>
        </w:rPr>
        <w:fldChar w:fldCharType="end"/>
      </w:r>
    </w:p>
    <w:p w14:paraId="27A5F596" w14:textId="5B741E85" w:rsidR="006C6A26" w:rsidRDefault="006C6A26">
      <w:pPr>
        <w:pStyle w:val="TOC3"/>
        <w:rPr>
          <w:rFonts w:asciiTheme="minorHAnsi" w:eastAsiaTheme="minorEastAsia" w:hAnsiTheme="minorHAnsi"/>
          <w:noProof/>
          <w:kern w:val="2"/>
          <w:sz w:val="24"/>
          <w:szCs w:val="24"/>
          <w14:ligatures w14:val="standardContextual"/>
        </w:rPr>
      </w:pPr>
      <w:r>
        <w:rPr>
          <w:noProof/>
        </w:rPr>
        <w:lastRenderedPageBreak/>
        <w:t>Transcriptome Analysis</w:t>
      </w:r>
      <w:r>
        <w:rPr>
          <w:noProof/>
        </w:rPr>
        <w:tab/>
      </w:r>
      <w:r>
        <w:rPr>
          <w:noProof/>
        </w:rPr>
        <w:fldChar w:fldCharType="begin"/>
      </w:r>
      <w:r>
        <w:rPr>
          <w:noProof/>
        </w:rPr>
        <w:instrText xml:space="preserve"> PAGEREF _Toc141478713 \h </w:instrText>
      </w:r>
      <w:r>
        <w:rPr>
          <w:noProof/>
        </w:rPr>
      </w:r>
      <w:r>
        <w:rPr>
          <w:noProof/>
        </w:rPr>
        <w:fldChar w:fldCharType="separate"/>
      </w:r>
      <w:r>
        <w:rPr>
          <w:noProof/>
        </w:rPr>
        <w:t>218</w:t>
      </w:r>
      <w:r>
        <w:rPr>
          <w:noProof/>
        </w:rPr>
        <w:fldChar w:fldCharType="end"/>
      </w:r>
    </w:p>
    <w:p w14:paraId="24CB3C88" w14:textId="7F4C9F09" w:rsidR="006C6A26" w:rsidRDefault="006C6A26">
      <w:pPr>
        <w:pStyle w:val="TOC3"/>
        <w:rPr>
          <w:rFonts w:asciiTheme="minorHAnsi" w:eastAsiaTheme="minorEastAsia" w:hAnsiTheme="minorHAnsi"/>
          <w:noProof/>
          <w:kern w:val="2"/>
          <w:sz w:val="24"/>
          <w:szCs w:val="24"/>
          <w14:ligatures w14:val="standardContextual"/>
        </w:rPr>
      </w:pPr>
      <w:r>
        <w:rPr>
          <w:noProof/>
        </w:rPr>
        <w:t>Principal Component Analysis of DEGs</w:t>
      </w:r>
      <w:r>
        <w:rPr>
          <w:noProof/>
        </w:rPr>
        <w:tab/>
      </w:r>
      <w:r>
        <w:rPr>
          <w:noProof/>
        </w:rPr>
        <w:fldChar w:fldCharType="begin"/>
      </w:r>
      <w:r>
        <w:rPr>
          <w:noProof/>
        </w:rPr>
        <w:instrText xml:space="preserve"> PAGEREF _Toc141478714 \h </w:instrText>
      </w:r>
      <w:r>
        <w:rPr>
          <w:noProof/>
        </w:rPr>
      </w:r>
      <w:r>
        <w:rPr>
          <w:noProof/>
        </w:rPr>
        <w:fldChar w:fldCharType="separate"/>
      </w:r>
      <w:r>
        <w:rPr>
          <w:noProof/>
        </w:rPr>
        <w:t>219</w:t>
      </w:r>
      <w:r>
        <w:rPr>
          <w:noProof/>
        </w:rPr>
        <w:fldChar w:fldCharType="end"/>
      </w:r>
    </w:p>
    <w:p w14:paraId="23DDFA5C" w14:textId="63E78F91" w:rsidR="006C6A26" w:rsidRDefault="006C6A26">
      <w:pPr>
        <w:pStyle w:val="TOC3"/>
        <w:rPr>
          <w:rFonts w:asciiTheme="minorHAnsi" w:eastAsiaTheme="minorEastAsia" w:hAnsiTheme="minorHAnsi"/>
          <w:noProof/>
          <w:kern w:val="2"/>
          <w:sz w:val="24"/>
          <w:szCs w:val="24"/>
          <w14:ligatures w14:val="standardContextual"/>
        </w:rPr>
      </w:pPr>
      <w:r>
        <w:rPr>
          <w:noProof/>
        </w:rPr>
        <w:t>Biclustering Heat Maps and Volcano Plots</w:t>
      </w:r>
      <w:r>
        <w:rPr>
          <w:noProof/>
        </w:rPr>
        <w:tab/>
      </w:r>
      <w:r>
        <w:rPr>
          <w:noProof/>
        </w:rPr>
        <w:fldChar w:fldCharType="begin"/>
      </w:r>
      <w:r>
        <w:rPr>
          <w:noProof/>
        </w:rPr>
        <w:instrText xml:space="preserve"> PAGEREF _Toc141478715 \h </w:instrText>
      </w:r>
      <w:r>
        <w:rPr>
          <w:noProof/>
        </w:rPr>
      </w:r>
      <w:r>
        <w:rPr>
          <w:noProof/>
        </w:rPr>
        <w:fldChar w:fldCharType="separate"/>
      </w:r>
      <w:r>
        <w:rPr>
          <w:noProof/>
        </w:rPr>
        <w:t>220</w:t>
      </w:r>
      <w:r>
        <w:rPr>
          <w:noProof/>
        </w:rPr>
        <w:fldChar w:fldCharType="end"/>
      </w:r>
    </w:p>
    <w:p w14:paraId="15DA63CE" w14:textId="37D30800" w:rsidR="006C6A26" w:rsidRDefault="006C6A26">
      <w:pPr>
        <w:pStyle w:val="TOC2"/>
        <w:rPr>
          <w:rFonts w:asciiTheme="minorHAnsi" w:eastAsiaTheme="minorEastAsia" w:hAnsiTheme="minorHAnsi"/>
          <w:bCs w:val="0"/>
          <w:noProof/>
          <w:kern w:val="2"/>
          <w:sz w:val="24"/>
          <w:szCs w:val="24"/>
          <w14:ligatures w14:val="standardContextual"/>
        </w:rPr>
      </w:pPr>
      <w:r w:rsidRPr="00196763">
        <w:rPr>
          <w:noProof/>
          <w:color w:val="000000" w:themeColor="text1"/>
        </w:rPr>
        <w:t>Conclusions</w:t>
      </w:r>
      <w:r>
        <w:rPr>
          <w:noProof/>
        </w:rPr>
        <w:tab/>
      </w:r>
      <w:r>
        <w:rPr>
          <w:noProof/>
        </w:rPr>
        <w:fldChar w:fldCharType="begin"/>
      </w:r>
      <w:r>
        <w:rPr>
          <w:noProof/>
        </w:rPr>
        <w:instrText xml:space="preserve"> PAGEREF _Toc141478716 \h </w:instrText>
      </w:r>
      <w:r>
        <w:rPr>
          <w:noProof/>
        </w:rPr>
      </w:r>
      <w:r>
        <w:rPr>
          <w:noProof/>
        </w:rPr>
        <w:fldChar w:fldCharType="separate"/>
      </w:r>
      <w:r>
        <w:rPr>
          <w:noProof/>
        </w:rPr>
        <w:t>222</w:t>
      </w:r>
      <w:r>
        <w:rPr>
          <w:noProof/>
        </w:rPr>
        <w:fldChar w:fldCharType="end"/>
      </w:r>
    </w:p>
    <w:p w14:paraId="76339B24" w14:textId="16F15EF9" w:rsidR="006C6A26" w:rsidRDefault="006C6A26">
      <w:pPr>
        <w:pStyle w:val="TOC2"/>
        <w:rPr>
          <w:rFonts w:asciiTheme="minorHAnsi" w:eastAsiaTheme="minorEastAsia" w:hAnsiTheme="minorHAnsi"/>
          <w:bCs w:val="0"/>
          <w:noProof/>
          <w:kern w:val="2"/>
          <w:sz w:val="24"/>
          <w:szCs w:val="24"/>
          <w14:ligatures w14:val="standardContextual"/>
        </w:rPr>
      </w:pPr>
      <w:r w:rsidRPr="00196763">
        <w:rPr>
          <w:noProof/>
          <w:color w:val="000000" w:themeColor="text1"/>
        </w:rPr>
        <w:t>References</w:t>
      </w:r>
      <w:r>
        <w:rPr>
          <w:noProof/>
        </w:rPr>
        <w:tab/>
      </w:r>
      <w:r>
        <w:rPr>
          <w:noProof/>
        </w:rPr>
        <w:fldChar w:fldCharType="begin"/>
      </w:r>
      <w:r>
        <w:rPr>
          <w:noProof/>
        </w:rPr>
        <w:instrText xml:space="preserve"> PAGEREF _Toc141478717 \h </w:instrText>
      </w:r>
      <w:r>
        <w:rPr>
          <w:noProof/>
        </w:rPr>
      </w:r>
      <w:r>
        <w:rPr>
          <w:noProof/>
        </w:rPr>
        <w:fldChar w:fldCharType="separate"/>
      </w:r>
      <w:r>
        <w:rPr>
          <w:noProof/>
        </w:rPr>
        <w:t>223</w:t>
      </w:r>
      <w:r>
        <w:rPr>
          <w:noProof/>
        </w:rPr>
        <w:fldChar w:fldCharType="end"/>
      </w:r>
    </w:p>
    <w:p w14:paraId="34D3B4F5" w14:textId="5463A1FA" w:rsidR="006C6A26" w:rsidRDefault="006C6A26">
      <w:pPr>
        <w:pStyle w:val="TOC2"/>
        <w:rPr>
          <w:rFonts w:asciiTheme="minorHAnsi" w:eastAsiaTheme="minorEastAsia" w:hAnsiTheme="minorHAnsi"/>
          <w:bCs w:val="0"/>
          <w:noProof/>
          <w:kern w:val="2"/>
          <w:sz w:val="24"/>
          <w:szCs w:val="24"/>
          <w14:ligatures w14:val="standardContextual"/>
        </w:rPr>
      </w:pPr>
      <w:r>
        <w:rPr>
          <w:noProof/>
        </w:rPr>
        <w:t>Appendix D</w:t>
      </w:r>
      <w:r>
        <w:rPr>
          <w:noProof/>
        </w:rPr>
        <w:tab/>
      </w:r>
      <w:r>
        <w:rPr>
          <w:noProof/>
        </w:rPr>
        <w:fldChar w:fldCharType="begin"/>
      </w:r>
      <w:r>
        <w:rPr>
          <w:noProof/>
        </w:rPr>
        <w:instrText xml:space="preserve"> PAGEREF _Toc141478718 \h </w:instrText>
      </w:r>
      <w:r>
        <w:rPr>
          <w:noProof/>
        </w:rPr>
      </w:r>
      <w:r>
        <w:rPr>
          <w:noProof/>
        </w:rPr>
        <w:fldChar w:fldCharType="separate"/>
      </w:r>
      <w:r>
        <w:rPr>
          <w:noProof/>
        </w:rPr>
        <w:t>229</w:t>
      </w:r>
      <w:r>
        <w:rPr>
          <w:noProof/>
        </w:rPr>
        <w:fldChar w:fldCharType="end"/>
      </w:r>
    </w:p>
    <w:p w14:paraId="38D1DEAA" w14:textId="2F2BE1B4" w:rsidR="006C6A26" w:rsidRDefault="006C6A26">
      <w:pPr>
        <w:pStyle w:val="TOC1"/>
        <w:rPr>
          <w:rFonts w:asciiTheme="minorHAnsi" w:eastAsiaTheme="minorEastAsia" w:hAnsiTheme="minorHAnsi"/>
          <w:bCs w:val="0"/>
          <w:noProof/>
          <w:kern w:val="2"/>
          <w14:ligatures w14:val="standardContextual"/>
        </w:rPr>
      </w:pPr>
      <w:r w:rsidRPr="00196763">
        <w:rPr>
          <w:rFonts w:cs="Times New Roman"/>
          <w:noProof/>
        </w:rPr>
        <w:t xml:space="preserve">CHAPTER 5: </w:t>
      </w:r>
      <w:r w:rsidRPr="00196763">
        <w:rPr>
          <w:rFonts w:cs="Times New Roman"/>
          <w:noProof/>
          <w:color w:val="000000" w:themeColor="text1"/>
        </w:rPr>
        <w:t>HEADSPACE GAS CHROMATOGRAPHY AND TRANSCRIPTOME ANALYSIS CONFIRMS SENSORY PANEL ASSESSMENT THAT SPECTRAL QUALITY INFLUENCES BIOACCUMULATION OF IMPORTANT AROMA VOLATILES IN SWEET BASIL</w:t>
      </w:r>
      <w:r>
        <w:rPr>
          <w:noProof/>
        </w:rPr>
        <w:tab/>
      </w:r>
      <w:r>
        <w:rPr>
          <w:noProof/>
        </w:rPr>
        <w:fldChar w:fldCharType="begin"/>
      </w:r>
      <w:r>
        <w:rPr>
          <w:noProof/>
        </w:rPr>
        <w:instrText xml:space="preserve"> PAGEREF _Toc141478719 \h </w:instrText>
      </w:r>
      <w:r>
        <w:rPr>
          <w:noProof/>
        </w:rPr>
      </w:r>
      <w:r>
        <w:rPr>
          <w:noProof/>
        </w:rPr>
        <w:fldChar w:fldCharType="separate"/>
      </w:r>
      <w:r>
        <w:rPr>
          <w:noProof/>
        </w:rPr>
        <w:t>253</w:t>
      </w:r>
      <w:r>
        <w:rPr>
          <w:noProof/>
        </w:rPr>
        <w:fldChar w:fldCharType="end"/>
      </w:r>
    </w:p>
    <w:p w14:paraId="6657FA6B" w14:textId="2B3E73D9" w:rsidR="006C6A26" w:rsidRDefault="006C6A26">
      <w:pPr>
        <w:pStyle w:val="TOC2"/>
        <w:rPr>
          <w:rFonts w:asciiTheme="minorHAnsi" w:eastAsiaTheme="minorEastAsia" w:hAnsiTheme="minorHAnsi"/>
          <w:bCs w:val="0"/>
          <w:noProof/>
          <w:kern w:val="2"/>
          <w:sz w:val="24"/>
          <w:szCs w:val="24"/>
          <w14:ligatures w14:val="standardContextual"/>
        </w:rPr>
      </w:pPr>
      <w:r w:rsidRPr="00196763">
        <w:rPr>
          <w:noProof/>
          <w:color w:val="000000" w:themeColor="text1"/>
        </w:rPr>
        <w:t>Abstract</w:t>
      </w:r>
      <w:r>
        <w:rPr>
          <w:noProof/>
        </w:rPr>
        <w:tab/>
      </w:r>
      <w:r>
        <w:rPr>
          <w:noProof/>
        </w:rPr>
        <w:fldChar w:fldCharType="begin"/>
      </w:r>
      <w:r>
        <w:rPr>
          <w:noProof/>
        </w:rPr>
        <w:instrText xml:space="preserve"> PAGEREF _Toc141478720 \h </w:instrText>
      </w:r>
      <w:r>
        <w:rPr>
          <w:noProof/>
        </w:rPr>
      </w:r>
      <w:r>
        <w:rPr>
          <w:noProof/>
        </w:rPr>
        <w:fldChar w:fldCharType="separate"/>
      </w:r>
      <w:r>
        <w:rPr>
          <w:noProof/>
        </w:rPr>
        <w:t>255</w:t>
      </w:r>
      <w:r>
        <w:rPr>
          <w:noProof/>
        </w:rPr>
        <w:fldChar w:fldCharType="end"/>
      </w:r>
    </w:p>
    <w:p w14:paraId="582ED2D5" w14:textId="75751026" w:rsidR="006C6A26" w:rsidRDefault="006C6A26">
      <w:pPr>
        <w:pStyle w:val="TOC2"/>
        <w:rPr>
          <w:rFonts w:asciiTheme="minorHAnsi" w:eastAsiaTheme="minorEastAsia" w:hAnsiTheme="minorHAnsi"/>
          <w:bCs w:val="0"/>
          <w:noProof/>
          <w:kern w:val="2"/>
          <w:sz w:val="24"/>
          <w:szCs w:val="24"/>
          <w14:ligatures w14:val="standardContextual"/>
        </w:rPr>
      </w:pPr>
      <w:r w:rsidRPr="00196763">
        <w:rPr>
          <w:noProof/>
          <w:color w:val="000000" w:themeColor="text1"/>
        </w:rPr>
        <w:t>Introduction</w:t>
      </w:r>
      <w:r>
        <w:rPr>
          <w:noProof/>
        </w:rPr>
        <w:tab/>
      </w:r>
      <w:r>
        <w:rPr>
          <w:noProof/>
        </w:rPr>
        <w:fldChar w:fldCharType="begin"/>
      </w:r>
      <w:r>
        <w:rPr>
          <w:noProof/>
        </w:rPr>
        <w:instrText xml:space="preserve"> PAGEREF _Toc141478721 \h </w:instrText>
      </w:r>
      <w:r>
        <w:rPr>
          <w:noProof/>
        </w:rPr>
      </w:r>
      <w:r>
        <w:rPr>
          <w:noProof/>
        </w:rPr>
        <w:fldChar w:fldCharType="separate"/>
      </w:r>
      <w:r>
        <w:rPr>
          <w:noProof/>
        </w:rPr>
        <w:t>256</w:t>
      </w:r>
      <w:r>
        <w:rPr>
          <w:noProof/>
        </w:rPr>
        <w:fldChar w:fldCharType="end"/>
      </w:r>
    </w:p>
    <w:p w14:paraId="175B07CE" w14:textId="5A01656E" w:rsidR="006C6A26" w:rsidRDefault="006C6A26">
      <w:pPr>
        <w:pStyle w:val="TOC2"/>
        <w:rPr>
          <w:rFonts w:asciiTheme="minorHAnsi" w:eastAsiaTheme="minorEastAsia" w:hAnsiTheme="minorHAnsi"/>
          <w:bCs w:val="0"/>
          <w:noProof/>
          <w:kern w:val="2"/>
          <w:sz w:val="24"/>
          <w:szCs w:val="24"/>
          <w14:ligatures w14:val="standardContextual"/>
        </w:rPr>
      </w:pPr>
      <w:r w:rsidRPr="00196763">
        <w:rPr>
          <w:noProof/>
          <w:color w:val="000000" w:themeColor="text1"/>
        </w:rPr>
        <w:t>Materials and Methods</w:t>
      </w:r>
      <w:r>
        <w:rPr>
          <w:noProof/>
        </w:rPr>
        <w:tab/>
      </w:r>
      <w:r>
        <w:rPr>
          <w:noProof/>
        </w:rPr>
        <w:fldChar w:fldCharType="begin"/>
      </w:r>
      <w:r>
        <w:rPr>
          <w:noProof/>
        </w:rPr>
        <w:instrText xml:space="preserve"> PAGEREF _Toc141478722 \h </w:instrText>
      </w:r>
      <w:r>
        <w:rPr>
          <w:noProof/>
        </w:rPr>
      </w:r>
      <w:r>
        <w:rPr>
          <w:noProof/>
        </w:rPr>
        <w:fldChar w:fldCharType="separate"/>
      </w:r>
      <w:r>
        <w:rPr>
          <w:noProof/>
        </w:rPr>
        <w:t>258</w:t>
      </w:r>
      <w:r>
        <w:rPr>
          <w:noProof/>
        </w:rPr>
        <w:fldChar w:fldCharType="end"/>
      </w:r>
    </w:p>
    <w:p w14:paraId="1A4715D2" w14:textId="70BECF6D" w:rsidR="006C6A26" w:rsidRDefault="006C6A26">
      <w:pPr>
        <w:pStyle w:val="TOC3"/>
        <w:rPr>
          <w:rFonts w:asciiTheme="minorHAnsi" w:eastAsiaTheme="minorEastAsia" w:hAnsiTheme="minorHAnsi"/>
          <w:noProof/>
          <w:kern w:val="2"/>
          <w:sz w:val="24"/>
          <w:szCs w:val="24"/>
          <w14:ligatures w14:val="standardContextual"/>
        </w:rPr>
      </w:pPr>
      <w:r w:rsidRPr="00196763">
        <w:rPr>
          <w:noProof/>
          <w:color w:val="000000" w:themeColor="text1"/>
        </w:rPr>
        <w:t>Cultural Techniques and Environmental Growing Conditions</w:t>
      </w:r>
      <w:r>
        <w:rPr>
          <w:noProof/>
        </w:rPr>
        <w:tab/>
      </w:r>
      <w:r>
        <w:rPr>
          <w:noProof/>
        </w:rPr>
        <w:fldChar w:fldCharType="begin"/>
      </w:r>
      <w:r>
        <w:rPr>
          <w:noProof/>
        </w:rPr>
        <w:instrText xml:space="preserve"> PAGEREF _Toc141478723 \h </w:instrText>
      </w:r>
      <w:r>
        <w:rPr>
          <w:noProof/>
        </w:rPr>
      </w:r>
      <w:r>
        <w:rPr>
          <w:noProof/>
        </w:rPr>
        <w:fldChar w:fldCharType="separate"/>
      </w:r>
      <w:r>
        <w:rPr>
          <w:noProof/>
        </w:rPr>
        <w:t>258</w:t>
      </w:r>
      <w:r>
        <w:rPr>
          <w:noProof/>
        </w:rPr>
        <w:fldChar w:fldCharType="end"/>
      </w:r>
    </w:p>
    <w:p w14:paraId="341CE4AB" w14:textId="56DE230C" w:rsidR="006C6A26" w:rsidRDefault="006C6A26">
      <w:pPr>
        <w:pStyle w:val="TOC3"/>
        <w:rPr>
          <w:rFonts w:asciiTheme="minorHAnsi" w:eastAsiaTheme="minorEastAsia" w:hAnsiTheme="minorHAnsi"/>
          <w:noProof/>
          <w:kern w:val="2"/>
          <w:sz w:val="24"/>
          <w:szCs w:val="24"/>
          <w14:ligatures w14:val="standardContextual"/>
        </w:rPr>
      </w:pPr>
      <w:r w:rsidRPr="00196763">
        <w:rPr>
          <w:noProof/>
          <w:color w:val="000000" w:themeColor="text1"/>
        </w:rPr>
        <w:t>Light Treatments</w:t>
      </w:r>
      <w:r>
        <w:rPr>
          <w:noProof/>
        </w:rPr>
        <w:tab/>
      </w:r>
      <w:r>
        <w:rPr>
          <w:noProof/>
        </w:rPr>
        <w:fldChar w:fldCharType="begin"/>
      </w:r>
      <w:r>
        <w:rPr>
          <w:noProof/>
        </w:rPr>
        <w:instrText xml:space="preserve"> PAGEREF _Toc141478724 \h </w:instrText>
      </w:r>
      <w:r>
        <w:rPr>
          <w:noProof/>
        </w:rPr>
      </w:r>
      <w:r>
        <w:rPr>
          <w:noProof/>
        </w:rPr>
        <w:fldChar w:fldCharType="separate"/>
      </w:r>
      <w:r>
        <w:rPr>
          <w:noProof/>
        </w:rPr>
        <w:t>259</w:t>
      </w:r>
      <w:r>
        <w:rPr>
          <w:noProof/>
        </w:rPr>
        <w:fldChar w:fldCharType="end"/>
      </w:r>
    </w:p>
    <w:p w14:paraId="537D439F" w14:textId="4946499C" w:rsidR="006C6A26" w:rsidRDefault="006C6A26">
      <w:pPr>
        <w:pStyle w:val="TOC3"/>
        <w:rPr>
          <w:rFonts w:asciiTheme="minorHAnsi" w:eastAsiaTheme="minorEastAsia" w:hAnsiTheme="minorHAnsi"/>
          <w:noProof/>
          <w:kern w:val="2"/>
          <w:sz w:val="24"/>
          <w:szCs w:val="24"/>
          <w14:ligatures w14:val="standardContextual"/>
        </w:rPr>
      </w:pPr>
      <w:r w:rsidRPr="00196763">
        <w:rPr>
          <w:noProof/>
          <w:color w:val="000000" w:themeColor="text1"/>
        </w:rPr>
        <w:t>Headspace Gas Chromatography and Mass Spectrometry Method</w:t>
      </w:r>
      <w:r>
        <w:rPr>
          <w:noProof/>
        </w:rPr>
        <w:tab/>
      </w:r>
      <w:r>
        <w:rPr>
          <w:noProof/>
        </w:rPr>
        <w:fldChar w:fldCharType="begin"/>
      </w:r>
      <w:r>
        <w:rPr>
          <w:noProof/>
        </w:rPr>
        <w:instrText xml:space="preserve"> PAGEREF _Toc141478725 \h </w:instrText>
      </w:r>
      <w:r>
        <w:rPr>
          <w:noProof/>
        </w:rPr>
      </w:r>
      <w:r>
        <w:rPr>
          <w:noProof/>
        </w:rPr>
        <w:fldChar w:fldCharType="separate"/>
      </w:r>
      <w:r>
        <w:rPr>
          <w:noProof/>
        </w:rPr>
        <w:t>261</w:t>
      </w:r>
      <w:r>
        <w:rPr>
          <w:noProof/>
        </w:rPr>
        <w:fldChar w:fldCharType="end"/>
      </w:r>
    </w:p>
    <w:p w14:paraId="0797F9E4" w14:textId="42F7B203" w:rsidR="006C6A26" w:rsidRDefault="006C6A26">
      <w:pPr>
        <w:pStyle w:val="TOC3"/>
        <w:rPr>
          <w:rFonts w:asciiTheme="minorHAnsi" w:eastAsiaTheme="minorEastAsia" w:hAnsiTheme="minorHAnsi"/>
          <w:noProof/>
          <w:kern w:val="2"/>
          <w:sz w:val="24"/>
          <w:szCs w:val="24"/>
          <w14:ligatures w14:val="standardContextual"/>
        </w:rPr>
      </w:pPr>
      <w:r w:rsidRPr="00196763">
        <w:rPr>
          <w:noProof/>
          <w:color w:val="000000" w:themeColor="text1"/>
        </w:rPr>
        <w:t>Consumer Sensory Evaluation</w:t>
      </w:r>
      <w:r>
        <w:rPr>
          <w:noProof/>
        </w:rPr>
        <w:tab/>
      </w:r>
      <w:r>
        <w:rPr>
          <w:noProof/>
        </w:rPr>
        <w:fldChar w:fldCharType="begin"/>
      </w:r>
      <w:r>
        <w:rPr>
          <w:noProof/>
        </w:rPr>
        <w:instrText xml:space="preserve"> PAGEREF _Toc141478726 \h </w:instrText>
      </w:r>
      <w:r>
        <w:rPr>
          <w:noProof/>
        </w:rPr>
      </w:r>
      <w:r>
        <w:rPr>
          <w:noProof/>
        </w:rPr>
        <w:fldChar w:fldCharType="separate"/>
      </w:r>
      <w:r>
        <w:rPr>
          <w:noProof/>
        </w:rPr>
        <w:t>264</w:t>
      </w:r>
      <w:r>
        <w:rPr>
          <w:noProof/>
        </w:rPr>
        <w:fldChar w:fldCharType="end"/>
      </w:r>
    </w:p>
    <w:p w14:paraId="6C5A4C1C" w14:textId="6EAA5819" w:rsidR="006C6A26" w:rsidRDefault="006C6A26">
      <w:pPr>
        <w:pStyle w:val="TOC3"/>
        <w:rPr>
          <w:rFonts w:asciiTheme="minorHAnsi" w:eastAsiaTheme="minorEastAsia" w:hAnsiTheme="minorHAnsi"/>
          <w:noProof/>
          <w:kern w:val="2"/>
          <w:sz w:val="24"/>
          <w:szCs w:val="24"/>
          <w14:ligatures w14:val="standardContextual"/>
        </w:rPr>
      </w:pPr>
      <w:r>
        <w:rPr>
          <w:noProof/>
        </w:rPr>
        <w:t>RNA Extraction</w:t>
      </w:r>
      <w:r>
        <w:rPr>
          <w:noProof/>
        </w:rPr>
        <w:tab/>
      </w:r>
      <w:r>
        <w:rPr>
          <w:noProof/>
        </w:rPr>
        <w:fldChar w:fldCharType="begin"/>
      </w:r>
      <w:r>
        <w:rPr>
          <w:noProof/>
        </w:rPr>
        <w:instrText xml:space="preserve"> PAGEREF _Toc141478727 \h </w:instrText>
      </w:r>
      <w:r>
        <w:rPr>
          <w:noProof/>
        </w:rPr>
      </w:r>
      <w:r>
        <w:rPr>
          <w:noProof/>
        </w:rPr>
        <w:fldChar w:fldCharType="separate"/>
      </w:r>
      <w:r>
        <w:rPr>
          <w:noProof/>
        </w:rPr>
        <w:t>266</w:t>
      </w:r>
      <w:r>
        <w:rPr>
          <w:noProof/>
        </w:rPr>
        <w:fldChar w:fldCharType="end"/>
      </w:r>
    </w:p>
    <w:p w14:paraId="5F26B56C" w14:textId="67C022CE" w:rsidR="006C6A26" w:rsidRDefault="006C6A26">
      <w:pPr>
        <w:pStyle w:val="TOC3"/>
        <w:rPr>
          <w:rFonts w:asciiTheme="minorHAnsi" w:eastAsiaTheme="minorEastAsia" w:hAnsiTheme="minorHAnsi"/>
          <w:noProof/>
          <w:kern w:val="2"/>
          <w:sz w:val="24"/>
          <w:szCs w:val="24"/>
          <w14:ligatures w14:val="standardContextual"/>
        </w:rPr>
      </w:pPr>
      <w:r w:rsidRPr="00196763">
        <w:rPr>
          <w:noProof/>
          <w:color w:val="000000" w:themeColor="text1"/>
        </w:rPr>
        <w:t>Library Preparation with PolyA Selection and Illumina Sequencing</w:t>
      </w:r>
      <w:r>
        <w:rPr>
          <w:noProof/>
        </w:rPr>
        <w:tab/>
      </w:r>
      <w:r>
        <w:rPr>
          <w:noProof/>
        </w:rPr>
        <w:fldChar w:fldCharType="begin"/>
      </w:r>
      <w:r>
        <w:rPr>
          <w:noProof/>
        </w:rPr>
        <w:instrText xml:space="preserve"> PAGEREF _Toc141478728 \h </w:instrText>
      </w:r>
      <w:r>
        <w:rPr>
          <w:noProof/>
        </w:rPr>
      </w:r>
      <w:r>
        <w:rPr>
          <w:noProof/>
        </w:rPr>
        <w:fldChar w:fldCharType="separate"/>
      </w:r>
      <w:r>
        <w:rPr>
          <w:noProof/>
        </w:rPr>
        <w:t>267</w:t>
      </w:r>
      <w:r>
        <w:rPr>
          <w:noProof/>
        </w:rPr>
        <w:fldChar w:fldCharType="end"/>
      </w:r>
    </w:p>
    <w:p w14:paraId="6B0AD5C3" w14:textId="19C32E71" w:rsidR="006C6A26" w:rsidRDefault="006C6A26">
      <w:pPr>
        <w:pStyle w:val="TOC3"/>
        <w:rPr>
          <w:rFonts w:asciiTheme="minorHAnsi" w:eastAsiaTheme="minorEastAsia" w:hAnsiTheme="minorHAnsi"/>
          <w:noProof/>
          <w:kern w:val="2"/>
          <w:sz w:val="24"/>
          <w:szCs w:val="24"/>
          <w14:ligatures w14:val="standardContextual"/>
        </w:rPr>
      </w:pPr>
      <w:r w:rsidRPr="00196763">
        <w:rPr>
          <w:noProof/>
          <w:color w:val="000000" w:themeColor="text1"/>
        </w:rPr>
        <w:t>Transcriptome Analysis</w:t>
      </w:r>
      <w:r>
        <w:rPr>
          <w:noProof/>
        </w:rPr>
        <w:tab/>
      </w:r>
      <w:r>
        <w:rPr>
          <w:noProof/>
        </w:rPr>
        <w:fldChar w:fldCharType="begin"/>
      </w:r>
      <w:r>
        <w:rPr>
          <w:noProof/>
        </w:rPr>
        <w:instrText xml:space="preserve"> PAGEREF _Toc141478729 \h </w:instrText>
      </w:r>
      <w:r>
        <w:rPr>
          <w:noProof/>
        </w:rPr>
      </w:r>
      <w:r>
        <w:rPr>
          <w:noProof/>
        </w:rPr>
        <w:fldChar w:fldCharType="separate"/>
      </w:r>
      <w:r>
        <w:rPr>
          <w:noProof/>
        </w:rPr>
        <w:t>268</w:t>
      </w:r>
      <w:r>
        <w:rPr>
          <w:noProof/>
        </w:rPr>
        <w:fldChar w:fldCharType="end"/>
      </w:r>
    </w:p>
    <w:p w14:paraId="19B77867" w14:textId="0FCE7E82" w:rsidR="006C6A26" w:rsidRDefault="006C6A26">
      <w:pPr>
        <w:pStyle w:val="TOC2"/>
        <w:rPr>
          <w:rFonts w:asciiTheme="minorHAnsi" w:eastAsiaTheme="minorEastAsia" w:hAnsiTheme="minorHAnsi"/>
          <w:bCs w:val="0"/>
          <w:noProof/>
          <w:kern w:val="2"/>
          <w:sz w:val="24"/>
          <w:szCs w:val="24"/>
          <w14:ligatures w14:val="standardContextual"/>
        </w:rPr>
      </w:pPr>
      <w:r w:rsidRPr="00196763">
        <w:rPr>
          <w:noProof/>
          <w:color w:val="000000" w:themeColor="text1"/>
        </w:rPr>
        <w:t>Results</w:t>
      </w:r>
      <w:r>
        <w:rPr>
          <w:noProof/>
        </w:rPr>
        <w:tab/>
      </w:r>
      <w:r>
        <w:rPr>
          <w:noProof/>
        </w:rPr>
        <w:fldChar w:fldCharType="begin"/>
      </w:r>
      <w:r>
        <w:rPr>
          <w:noProof/>
        </w:rPr>
        <w:instrText xml:space="preserve"> PAGEREF _Toc141478730 \h </w:instrText>
      </w:r>
      <w:r>
        <w:rPr>
          <w:noProof/>
        </w:rPr>
      </w:r>
      <w:r>
        <w:rPr>
          <w:noProof/>
        </w:rPr>
        <w:fldChar w:fldCharType="separate"/>
      </w:r>
      <w:r>
        <w:rPr>
          <w:noProof/>
        </w:rPr>
        <w:t>269</w:t>
      </w:r>
      <w:r>
        <w:rPr>
          <w:noProof/>
        </w:rPr>
        <w:fldChar w:fldCharType="end"/>
      </w:r>
    </w:p>
    <w:p w14:paraId="2E92C3E3" w14:textId="2C096BCE" w:rsidR="006C6A26" w:rsidRDefault="006C6A26">
      <w:pPr>
        <w:pStyle w:val="TOC3"/>
        <w:rPr>
          <w:rFonts w:asciiTheme="minorHAnsi" w:eastAsiaTheme="minorEastAsia" w:hAnsiTheme="minorHAnsi"/>
          <w:noProof/>
          <w:kern w:val="2"/>
          <w:sz w:val="24"/>
          <w:szCs w:val="24"/>
          <w14:ligatures w14:val="standardContextual"/>
        </w:rPr>
      </w:pPr>
      <w:r w:rsidRPr="00196763">
        <w:rPr>
          <w:noProof/>
          <w:color w:val="000000" w:themeColor="text1"/>
        </w:rPr>
        <w:t>Volatile Organic Compound Profiles</w:t>
      </w:r>
      <w:r>
        <w:rPr>
          <w:noProof/>
        </w:rPr>
        <w:tab/>
      </w:r>
      <w:r>
        <w:rPr>
          <w:noProof/>
        </w:rPr>
        <w:fldChar w:fldCharType="begin"/>
      </w:r>
      <w:r>
        <w:rPr>
          <w:noProof/>
        </w:rPr>
        <w:instrText xml:space="preserve"> PAGEREF _Toc141478731 \h </w:instrText>
      </w:r>
      <w:r>
        <w:rPr>
          <w:noProof/>
        </w:rPr>
      </w:r>
      <w:r>
        <w:rPr>
          <w:noProof/>
        </w:rPr>
        <w:fldChar w:fldCharType="separate"/>
      </w:r>
      <w:r>
        <w:rPr>
          <w:noProof/>
        </w:rPr>
        <w:t>269</w:t>
      </w:r>
      <w:r>
        <w:rPr>
          <w:noProof/>
        </w:rPr>
        <w:fldChar w:fldCharType="end"/>
      </w:r>
    </w:p>
    <w:p w14:paraId="4F71A558" w14:textId="58459F10" w:rsidR="006C6A26" w:rsidRDefault="006C6A26">
      <w:pPr>
        <w:pStyle w:val="TOC3"/>
        <w:rPr>
          <w:rFonts w:asciiTheme="minorHAnsi" w:eastAsiaTheme="minorEastAsia" w:hAnsiTheme="minorHAnsi"/>
          <w:noProof/>
          <w:kern w:val="2"/>
          <w:sz w:val="24"/>
          <w:szCs w:val="24"/>
          <w14:ligatures w14:val="standardContextual"/>
        </w:rPr>
      </w:pPr>
      <w:r>
        <w:rPr>
          <w:noProof/>
        </w:rPr>
        <w:t>Sensory Evaluation</w:t>
      </w:r>
      <w:r>
        <w:rPr>
          <w:noProof/>
        </w:rPr>
        <w:tab/>
      </w:r>
      <w:r>
        <w:rPr>
          <w:noProof/>
        </w:rPr>
        <w:fldChar w:fldCharType="begin"/>
      </w:r>
      <w:r>
        <w:rPr>
          <w:noProof/>
        </w:rPr>
        <w:instrText xml:space="preserve"> PAGEREF _Toc141478732 \h </w:instrText>
      </w:r>
      <w:r>
        <w:rPr>
          <w:noProof/>
        </w:rPr>
      </w:r>
      <w:r>
        <w:rPr>
          <w:noProof/>
        </w:rPr>
        <w:fldChar w:fldCharType="separate"/>
      </w:r>
      <w:r>
        <w:rPr>
          <w:noProof/>
        </w:rPr>
        <w:t>271</w:t>
      </w:r>
      <w:r>
        <w:rPr>
          <w:noProof/>
        </w:rPr>
        <w:fldChar w:fldCharType="end"/>
      </w:r>
    </w:p>
    <w:p w14:paraId="55E0FE8E" w14:textId="10D82D04" w:rsidR="006C6A26" w:rsidRDefault="006C6A26">
      <w:pPr>
        <w:pStyle w:val="TOC3"/>
        <w:rPr>
          <w:rFonts w:asciiTheme="minorHAnsi" w:eastAsiaTheme="minorEastAsia" w:hAnsiTheme="minorHAnsi"/>
          <w:noProof/>
          <w:kern w:val="2"/>
          <w:sz w:val="24"/>
          <w:szCs w:val="24"/>
          <w14:ligatures w14:val="standardContextual"/>
        </w:rPr>
      </w:pPr>
      <w:r w:rsidRPr="00196763">
        <w:rPr>
          <w:noProof/>
          <w:color w:val="000000" w:themeColor="text1"/>
        </w:rPr>
        <w:t>Transcriptome Analysis</w:t>
      </w:r>
      <w:r>
        <w:rPr>
          <w:noProof/>
        </w:rPr>
        <w:tab/>
      </w:r>
      <w:r>
        <w:rPr>
          <w:noProof/>
        </w:rPr>
        <w:fldChar w:fldCharType="begin"/>
      </w:r>
      <w:r>
        <w:rPr>
          <w:noProof/>
        </w:rPr>
        <w:instrText xml:space="preserve"> PAGEREF _Toc141478733 \h </w:instrText>
      </w:r>
      <w:r>
        <w:rPr>
          <w:noProof/>
        </w:rPr>
      </w:r>
      <w:r>
        <w:rPr>
          <w:noProof/>
        </w:rPr>
        <w:fldChar w:fldCharType="separate"/>
      </w:r>
      <w:r>
        <w:rPr>
          <w:noProof/>
        </w:rPr>
        <w:t>273</w:t>
      </w:r>
      <w:r>
        <w:rPr>
          <w:noProof/>
        </w:rPr>
        <w:fldChar w:fldCharType="end"/>
      </w:r>
    </w:p>
    <w:p w14:paraId="33926268" w14:textId="356738E7" w:rsidR="006C6A26" w:rsidRDefault="006C6A26">
      <w:pPr>
        <w:pStyle w:val="TOC3"/>
        <w:rPr>
          <w:rFonts w:asciiTheme="minorHAnsi" w:eastAsiaTheme="minorEastAsia" w:hAnsiTheme="minorHAnsi"/>
          <w:noProof/>
          <w:kern w:val="2"/>
          <w:sz w:val="24"/>
          <w:szCs w:val="24"/>
          <w14:ligatures w14:val="standardContextual"/>
        </w:rPr>
      </w:pPr>
      <w:r>
        <w:rPr>
          <w:noProof/>
        </w:rPr>
        <w:t>Principal Component Analysis of DEGs</w:t>
      </w:r>
      <w:r>
        <w:rPr>
          <w:noProof/>
        </w:rPr>
        <w:tab/>
      </w:r>
      <w:r>
        <w:rPr>
          <w:noProof/>
        </w:rPr>
        <w:fldChar w:fldCharType="begin"/>
      </w:r>
      <w:r>
        <w:rPr>
          <w:noProof/>
        </w:rPr>
        <w:instrText xml:space="preserve"> PAGEREF _Toc141478734 \h </w:instrText>
      </w:r>
      <w:r>
        <w:rPr>
          <w:noProof/>
        </w:rPr>
      </w:r>
      <w:r>
        <w:rPr>
          <w:noProof/>
        </w:rPr>
        <w:fldChar w:fldCharType="separate"/>
      </w:r>
      <w:r>
        <w:rPr>
          <w:noProof/>
        </w:rPr>
        <w:t>275</w:t>
      </w:r>
      <w:r>
        <w:rPr>
          <w:noProof/>
        </w:rPr>
        <w:fldChar w:fldCharType="end"/>
      </w:r>
    </w:p>
    <w:p w14:paraId="11D5FAF0" w14:textId="3C9A5F4E" w:rsidR="006C6A26" w:rsidRDefault="006C6A26">
      <w:pPr>
        <w:pStyle w:val="TOC3"/>
        <w:rPr>
          <w:rFonts w:asciiTheme="minorHAnsi" w:eastAsiaTheme="minorEastAsia" w:hAnsiTheme="minorHAnsi"/>
          <w:noProof/>
          <w:kern w:val="2"/>
          <w:sz w:val="24"/>
          <w:szCs w:val="24"/>
          <w14:ligatures w14:val="standardContextual"/>
        </w:rPr>
      </w:pPr>
      <w:r>
        <w:rPr>
          <w:noProof/>
        </w:rPr>
        <w:t>Biclustering Heatmaps Comparing DEGs</w:t>
      </w:r>
      <w:r>
        <w:rPr>
          <w:noProof/>
        </w:rPr>
        <w:tab/>
      </w:r>
      <w:r>
        <w:rPr>
          <w:noProof/>
        </w:rPr>
        <w:fldChar w:fldCharType="begin"/>
      </w:r>
      <w:r>
        <w:rPr>
          <w:noProof/>
        </w:rPr>
        <w:instrText xml:space="preserve"> PAGEREF _Toc141478735 \h </w:instrText>
      </w:r>
      <w:r>
        <w:rPr>
          <w:noProof/>
        </w:rPr>
      </w:r>
      <w:r>
        <w:rPr>
          <w:noProof/>
        </w:rPr>
        <w:fldChar w:fldCharType="separate"/>
      </w:r>
      <w:r>
        <w:rPr>
          <w:noProof/>
        </w:rPr>
        <w:t>278</w:t>
      </w:r>
      <w:r>
        <w:rPr>
          <w:noProof/>
        </w:rPr>
        <w:fldChar w:fldCharType="end"/>
      </w:r>
    </w:p>
    <w:p w14:paraId="590883C8" w14:textId="50C4E8AD" w:rsidR="006C6A26" w:rsidRDefault="006C6A26">
      <w:pPr>
        <w:pStyle w:val="TOC3"/>
        <w:rPr>
          <w:rFonts w:asciiTheme="minorHAnsi" w:eastAsiaTheme="minorEastAsia" w:hAnsiTheme="minorHAnsi"/>
          <w:noProof/>
          <w:kern w:val="2"/>
          <w:sz w:val="24"/>
          <w:szCs w:val="24"/>
          <w14:ligatures w14:val="standardContextual"/>
        </w:rPr>
      </w:pPr>
      <w:r>
        <w:rPr>
          <w:noProof/>
        </w:rPr>
        <w:t>Volcano Plots Comparing DEGs</w:t>
      </w:r>
      <w:r>
        <w:rPr>
          <w:noProof/>
        </w:rPr>
        <w:tab/>
      </w:r>
      <w:r>
        <w:rPr>
          <w:noProof/>
        </w:rPr>
        <w:fldChar w:fldCharType="begin"/>
      </w:r>
      <w:r>
        <w:rPr>
          <w:noProof/>
        </w:rPr>
        <w:instrText xml:space="preserve"> PAGEREF _Toc141478736 \h </w:instrText>
      </w:r>
      <w:r>
        <w:rPr>
          <w:noProof/>
        </w:rPr>
      </w:r>
      <w:r>
        <w:rPr>
          <w:noProof/>
        </w:rPr>
        <w:fldChar w:fldCharType="separate"/>
      </w:r>
      <w:r>
        <w:rPr>
          <w:noProof/>
        </w:rPr>
        <w:t>280</w:t>
      </w:r>
      <w:r>
        <w:rPr>
          <w:noProof/>
        </w:rPr>
        <w:fldChar w:fldCharType="end"/>
      </w:r>
    </w:p>
    <w:p w14:paraId="36B46B25" w14:textId="78FDDC5A" w:rsidR="006C6A26" w:rsidRDefault="006C6A26">
      <w:pPr>
        <w:pStyle w:val="TOC2"/>
        <w:rPr>
          <w:rFonts w:asciiTheme="minorHAnsi" w:eastAsiaTheme="minorEastAsia" w:hAnsiTheme="minorHAnsi"/>
          <w:bCs w:val="0"/>
          <w:noProof/>
          <w:kern w:val="2"/>
          <w:sz w:val="24"/>
          <w:szCs w:val="24"/>
          <w14:ligatures w14:val="standardContextual"/>
        </w:rPr>
      </w:pPr>
      <w:r w:rsidRPr="00196763">
        <w:rPr>
          <w:noProof/>
          <w:color w:val="000000" w:themeColor="text1"/>
        </w:rPr>
        <w:lastRenderedPageBreak/>
        <w:t>Discussion</w:t>
      </w:r>
      <w:r>
        <w:rPr>
          <w:noProof/>
        </w:rPr>
        <w:tab/>
      </w:r>
      <w:r>
        <w:rPr>
          <w:noProof/>
        </w:rPr>
        <w:fldChar w:fldCharType="begin"/>
      </w:r>
      <w:r>
        <w:rPr>
          <w:noProof/>
        </w:rPr>
        <w:instrText xml:space="preserve"> PAGEREF _Toc141478737 \h </w:instrText>
      </w:r>
      <w:r>
        <w:rPr>
          <w:noProof/>
        </w:rPr>
      </w:r>
      <w:r>
        <w:rPr>
          <w:noProof/>
        </w:rPr>
        <w:fldChar w:fldCharType="separate"/>
      </w:r>
      <w:r>
        <w:rPr>
          <w:noProof/>
        </w:rPr>
        <w:t>282</w:t>
      </w:r>
      <w:r>
        <w:rPr>
          <w:noProof/>
        </w:rPr>
        <w:fldChar w:fldCharType="end"/>
      </w:r>
    </w:p>
    <w:p w14:paraId="427F3BF7" w14:textId="139476C5" w:rsidR="006C6A26" w:rsidRDefault="006C6A26">
      <w:pPr>
        <w:pStyle w:val="TOC3"/>
        <w:rPr>
          <w:rFonts w:asciiTheme="minorHAnsi" w:eastAsiaTheme="minorEastAsia" w:hAnsiTheme="minorHAnsi"/>
          <w:noProof/>
          <w:kern w:val="2"/>
          <w:sz w:val="24"/>
          <w:szCs w:val="24"/>
          <w14:ligatures w14:val="standardContextual"/>
        </w:rPr>
      </w:pPr>
      <w:r>
        <w:rPr>
          <w:noProof/>
        </w:rPr>
        <w:t>Influence of Season on VOC Profiles</w:t>
      </w:r>
      <w:r>
        <w:rPr>
          <w:noProof/>
        </w:rPr>
        <w:tab/>
      </w:r>
      <w:r>
        <w:rPr>
          <w:noProof/>
        </w:rPr>
        <w:fldChar w:fldCharType="begin"/>
      </w:r>
      <w:r>
        <w:rPr>
          <w:noProof/>
        </w:rPr>
        <w:instrText xml:space="preserve"> PAGEREF _Toc141478738 \h </w:instrText>
      </w:r>
      <w:r>
        <w:rPr>
          <w:noProof/>
        </w:rPr>
      </w:r>
      <w:r>
        <w:rPr>
          <w:noProof/>
        </w:rPr>
        <w:fldChar w:fldCharType="separate"/>
      </w:r>
      <w:r>
        <w:rPr>
          <w:noProof/>
        </w:rPr>
        <w:t>282</w:t>
      </w:r>
      <w:r>
        <w:rPr>
          <w:noProof/>
        </w:rPr>
        <w:fldChar w:fldCharType="end"/>
      </w:r>
    </w:p>
    <w:p w14:paraId="262C3E2F" w14:textId="3A7CDF73" w:rsidR="006C6A26" w:rsidRDefault="006C6A26">
      <w:pPr>
        <w:pStyle w:val="TOC3"/>
        <w:rPr>
          <w:rFonts w:asciiTheme="minorHAnsi" w:eastAsiaTheme="minorEastAsia" w:hAnsiTheme="minorHAnsi"/>
          <w:noProof/>
          <w:kern w:val="2"/>
          <w:sz w:val="24"/>
          <w:szCs w:val="24"/>
          <w14:ligatures w14:val="standardContextual"/>
        </w:rPr>
      </w:pPr>
      <w:r>
        <w:rPr>
          <w:noProof/>
        </w:rPr>
        <w:t>Influence of Light Treatment on VOC Profiles</w:t>
      </w:r>
      <w:r>
        <w:rPr>
          <w:noProof/>
        </w:rPr>
        <w:tab/>
      </w:r>
      <w:r>
        <w:rPr>
          <w:noProof/>
        </w:rPr>
        <w:fldChar w:fldCharType="begin"/>
      </w:r>
      <w:r>
        <w:rPr>
          <w:noProof/>
        </w:rPr>
        <w:instrText xml:space="preserve"> PAGEREF _Toc141478739 \h </w:instrText>
      </w:r>
      <w:r>
        <w:rPr>
          <w:noProof/>
        </w:rPr>
      </w:r>
      <w:r>
        <w:rPr>
          <w:noProof/>
        </w:rPr>
        <w:fldChar w:fldCharType="separate"/>
      </w:r>
      <w:r>
        <w:rPr>
          <w:noProof/>
        </w:rPr>
        <w:t>285</w:t>
      </w:r>
      <w:r>
        <w:rPr>
          <w:noProof/>
        </w:rPr>
        <w:fldChar w:fldCharType="end"/>
      </w:r>
    </w:p>
    <w:p w14:paraId="0A5A678C" w14:textId="3ECEF58F" w:rsidR="006C6A26" w:rsidRDefault="006C6A26">
      <w:pPr>
        <w:pStyle w:val="TOC3"/>
        <w:rPr>
          <w:rFonts w:asciiTheme="minorHAnsi" w:eastAsiaTheme="minorEastAsia" w:hAnsiTheme="minorHAnsi"/>
          <w:noProof/>
          <w:kern w:val="2"/>
          <w:sz w:val="24"/>
          <w:szCs w:val="24"/>
          <w14:ligatures w14:val="standardContextual"/>
        </w:rPr>
      </w:pPr>
      <w:r>
        <w:rPr>
          <w:noProof/>
        </w:rPr>
        <w:t>Sensory Panel Analysis</w:t>
      </w:r>
      <w:r>
        <w:rPr>
          <w:noProof/>
        </w:rPr>
        <w:tab/>
      </w:r>
      <w:r>
        <w:rPr>
          <w:noProof/>
        </w:rPr>
        <w:fldChar w:fldCharType="begin"/>
      </w:r>
      <w:r>
        <w:rPr>
          <w:noProof/>
        </w:rPr>
        <w:instrText xml:space="preserve"> PAGEREF _Toc141478740 \h </w:instrText>
      </w:r>
      <w:r>
        <w:rPr>
          <w:noProof/>
        </w:rPr>
      </w:r>
      <w:r>
        <w:rPr>
          <w:noProof/>
        </w:rPr>
        <w:fldChar w:fldCharType="separate"/>
      </w:r>
      <w:r>
        <w:rPr>
          <w:noProof/>
        </w:rPr>
        <w:t>290</w:t>
      </w:r>
      <w:r>
        <w:rPr>
          <w:noProof/>
        </w:rPr>
        <w:fldChar w:fldCharType="end"/>
      </w:r>
    </w:p>
    <w:p w14:paraId="49430A80" w14:textId="280A399F" w:rsidR="006C6A26" w:rsidRDefault="006C6A26">
      <w:pPr>
        <w:pStyle w:val="TOC3"/>
        <w:rPr>
          <w:rFonts w:asciiTheme="minorHAnsi" w:eastAsiaTheme="minorEastAsia" w:hAnsiTheme="minorHAnsi"/>
          <w:noProof/>
          <w:kern w:val="2"/>
          <w:sz w:val="24"/>
          <w:szCs w:val="24"/>
          <w14:ligatures w14:val="standardContextual"/>
        </w:rPr>
      </w:pPr>
      <w:r>
        <w:rPr>
          <w:noProof/>
        </w:rPr>
        <w:t>Transcriptome Analysis</w:t>
      </w:r>
      <w:r>
        <w:rPr>
          <w:noProof/>
        </w:rPr>
        <w:tab/>
      </w:r>
      <w:r>
        <w:rPr>
          <w:noProof/>
        </w:rPr>
        <w:fldChar w:fldCharType="begin"/>
      </w:r>
      <w:r>
        <w:rPr>
          <w:noProof/>
        </w:rPr>
        <w:instrText xml:space="preserve"> PAGEREF _Toc141478741 \h </w:instrText>
      </w:r>
      <w:r>
        <w:rPr>
          <w:noProof/>
        </w:rPr>
      </w:r>
      <w:r>
        <w:rPr>
          <w:noProof/>
        </w:rPr>
        <w:fldChar w:fldCharType="separate"/>
      </w:r>
      <w:r>
        <w:rPr>
          <w:noProof/>
        </w:rPr>
        <w:t>297</w:t>
      </w:r>
      <w:r>
        <w:rPr>
          <w:noProof/>
        </w:rPr>
        <w:fldChar w:fldCharType="end"/>
      </w:r>
    </w:p>
    <w:p w14:paraId="2BF6A386" w14:textId="1938436A" w:rsidR="006C6A26" w:rsidRDefault="006C6A26">
      <w:pPr>
        <w:pStyle w:val="TOC3"/>
        <w:rPr>
          <w:rFonts w:asciiTheme="minorHAnsi" w:eastAsiaTheme="minorEastAsia" w:hAnsiTheme="minorHAnsi"/>
          <w:noProof/>
          <w:kern w:val="2"/>
          <w:sz w:val="24"/>
          <w:szCs w:val="24"/>
          <w14:ligatures w14:val="standardContextual"/>
        </w:rPr>
      </w:pPr>
      <w:r>
        <w:rPr>
          <w:noProof/>
        </w:rPr>
        <w:t>Principal Component Analysis</w:t>
      </w:r>
      <w:r>
        <w:rPr>
          <w:noProof/>
        </w:rPr>
        <w:tab/>
      </w:r>
      <w:r>
        <w:rPr>
          <w:noProof/>
        </w:rPr>
        <w:fldChar w:fldCharType="begin"/>
      </w:r>
      <w:r>
        <w:rPr>
          <w:noProof/>
        </w:rPr>
        <w:instrText xml:space="preserve"> PAGEREF _Toc141478742 \h </w:instrText>
      </w:r>
      <w:r>
        <w:rPr>
          <w:noProof/>
        </w:rPr>
      </w:r>
      <w:r>
        <w:rPr>
          <w:noProof/>
        </w:rPr>
        <w:fldChar w:fldCharType="separate"/>
      </w:r>
      <w:r>
        <w:rPr>
          <w:noProof/>
        </w:rPr>
        <w:t>298</w:t>
      </w:r>
      <w:r>
        <w:rPr>
          <w:noProof/>
        </w:rPr>
        <w:fldChar w:fldCharType="end"/>
      </w:r>
    </w:p>
    <w:p w14:paraId="2FEC090C" w14:textId="65E8BFB2" w:rsidR="006C6A26" w:rsidRDefault="006C6A26">
      <w:pPr>
        <w:pStyle w:val="TOC3"/>
        <w:rPr>
          <w:rFonts w:asciiTheme="minorHAnsi" w:eastAsiaTheme="minorEastAsia" w:hAnsiTheme="minorHAnsi"/>
          <w:noProof/>
          <w:kern w:val="2"/>
          <w:sz w:val="24"/>
          <w:szCs w:val="24"/>
          <w14:ligatures w14:val="standardContextual"/>
        </w:rPr>
      </w:pPr>
      <w:r>
        <w:rPr>
          <w:noProof/>
        </w:rPr>
        <w:t>Biclustering Heat Maps and Volcano Plots</w:t>
      </w:r>
      <w:r>
        <w:rPr>
          <w:noProof/>
        </w:rPr>
        <w:tab/>
      </w:r>
      <w:r>
        <w:rPr>
          <w:noProof/>
        </w:rPr>
        <w:fldChar w:fldCharType="begin"/>
      </w:r>
      <w:r>
        <w:rPr>
          <w:noProof/>
        </w:rPr>
        <w:instrText xml:space="preserve"> PAGEREF _Toc141478743 \h </w:instrText>
      </w:r>
      <w:r>
        <w:rPr>
          <w:noProof/>
        </w:rPr>
      </w:r>
      <w:r>
        <w:rPr>
          <w:noProof/>
        </w:rPr>
        <w:fldChar w:fldCharType="separate"/>
      </w:r>
      <w:r>
        <w:rPr>
          <w:noProof/>
        </w:rPr>
        <w:t>300</w:t>
      </w:r>
      <w:r>
        <w:rPr>
          <w:noProof/>
        </w:rPr>
        <w:fldChar w:fldCharType="end"/>
      </w:r>
    </w:p>
    <w:p w14:paraId="0D23E223" w14:textId="2D6CFBFA" w:rsidR="006C6A26" w:rsidRDefault="006C6A26">
      <w:pPr>
        <w:pStyle w:val="TOC3"/>
        <w:rPr>
          <w:rFonts w:asciiTheme="minorHAnsi" w:eastAsiaTheme="minorEastAsia" w:hAnsiTheme="minorHAnsi"/>
          <w:noProof/>
          <w:kern w:val="2"/>
          <w:sz w:val="24"/>
          <w:szCs w:val="24"/>
          <w14:ligatures w14:val="standardContextual"/>
        </w:rPr>
      </w:pPr>
      <w:r>
        <w:rPr>
          <w:noProof/>
        </w:rPr>
        <w:t>Supplemental Lighting Influences Key Odorants and Sensory Perception</w:t>
      </w:r>
      <w:r>
        <w:rPr>
          <w:noProof/>
        </w:rPr>
        <w:tab/>
      </w:r>
      <w:r>
        <w:rPr>
          <w:noProof/>
        </w:rPr>
        <w:fldChar w:fldCharType="begin"/>
      </w:r>
      <w:r>
        <w:rPr>
          <w:noProof/>
        </w:rPr>
        <w:instrText xml:space="preserve"> PAGEREF _Toc141478744 \h </w:instrText>
      </w:r>
      <w:r>
        <w:rPr>
          <w:noProof/>
        </w:rPr>
      </w:r>
      <w:r>
        <w:rPr>
          <w:noProof/>
        </w:rPr>
        <w:fldChar w:fldCharType="separate"/>
      </w:r>
      <w:r>
        <w:rPr>
          <w:noProof/>
        </w:rPr>
        <w:t>302</w:t>
      </w:r>
      <w:r>
        <w:rPr>
          <w:noProof/>
        </w:rPr>
        <w:fldChar w:fldCharType="end"/>
      </w:r>
    </w:p>
    <w:p w14:paraId="34A704D9" w14:textId="4DACD37C" w:rsidR="006C6A26" w:rsidRDefault="006C6A26">
      <w:pPr>
        <w:pStyle w:val="TOC3"/>
        <w:rPr>
          <w:rFonts w:asciiTheme="minorHAnsi" w:eastAsiaTheme="minorEastAsia" w:hAnsiTheme="minorHAnsi"/>
          <w:noProof/>
          <w:kern w:val="2"/>
          <w:sz w:val="24"/>
          <w:szCs w:val="24"/>
          <w14:ligatures w14:val="standardContextual"/>
        </w:rPr>
      </w:pPr>
      <w:r>
        <w:rPr>
          <w:noProof/>
        </w:rPr>
        <w:t>Limitations and Future Outlooks</w:t>
      </w:r>
      <w:r>
        <w:rPr>
          <w:noProof/>
        </w:rPr>
        <w:tab/>
      </w:r>
      <w:r>
        <w:rPr>
          <w:noProof/>
        </w:rPr>
        <w:fldChar w:fldCharType="begin"/>
      </w:r>
      <w:r>
        <w:rPr>
          <w:noProof/>
        </w:rPr>
        <w:instrText xml:space="preserve"> PAGEREF _Toc141478745 \h </w:instrText>
      </w:r>
      <w:r>
        <w:rPr>
          <w:noProof/>
        </w:rPr>
      </w:r>
      <w:r>
        <w:rPr>
          <w:noProof/>
        </w:rPr>
        <w:fldChar w:fldCharType="separate"/>
      </w:r>
      <w:r>
        <w:rPr>
          <w:noProof/>
        </w:rPr>
        <w:t>303</w:t>
      </w:r>
      <w:r>
        <w:rPr>
          <w:noProof/>
        </w:rPr>
        <w:fldChar w:fldCharType="end"/>
      </w:r>
    </w:p>
    <w:p w14:paraId="0671D227" w14:textId="54D97BD5" w:rsidR="006C6A26" w:rsidRDefault="006C6A26">
      <w:pPr>
        <w:pStyle w:val="TOC2"/>
        <w:rPr>
          <w:rFonts w:asciiTheme="minorHAnsi" w:eastAsiaTheme="minorEastAsia" w:hAnsiTheme="minorHAnsi"/>
          <w:bCs w:val="0"/>
          <w:noProof/>
          <w:kern w:val="2"/>
          <w:sz w:val="24"/>
          <w:szCs w:val="24"/>
          <w14:ligatures w14:val="standardContextual"/>
        </w:rPr>
      </w:pPr>
      <w:r w:rsidRPr="00196763">
        <w:rPr>
          <w:noProof/>
          <w:color w:val="000000" w:themeColor="text1"/>
        </w:rPr>
        <w:t>Conclusions</w:t>
      </w:r>
      <w:r>
        <w:rPr>
          <w:noProof/>
        </w:rPr>
        <w:tab/>
      </w:r>
      <w:r>
        <w:rPr>
          <w:noProof/>
        </w:rPr>
        <w:fldChar w:fldCharType="begin"/>
      </w:r>
      <w:r>
        <w:rPr>
          <w:noProof/>
        </w:rPr>
        <w:instrText xml:space="preserve"> PAGEREF _Toc141478746 \h </w:instrText>
      </w:r>
      <w:r>
        <w:rPr>
          <w:noProof/>
        </w:rPr>
      </w:r>
      <w:r>
        <w:rPr>
          <w:noProof/>
        </w:rPr>
        <w:fldChar w:fldCharType="separate"/>
      </w:r>
      <w:r>
        <w:rPr>
          <w:noProof/>
        </w:rPr>
        <w:t>306</w:t>
      </w:r>
      <w:r>
        <w:rPr>
          <w:noProof/>
        </w:rPr>
        <w:fldChar w:fldCharType="end"/>
      </w:r>
    </w:p>
    <w:p w14:paraId="5797C30F" w14:textId="75A0F2D2" w:rsidR="006C6A26" w:rsidRDefault="006C6A26">
      <w:pPr>
        <w:pStyle w:val="TOC2"/>
        <w:rPr>
          <w:rFonts w:asciiTheme="minorHAnsi" w:eastAsiaTheme="minorEastAsia" w:hAnsiTheme="minorHAnsi"/>
          <w:bCs w:val="0"/>
          <w:noProof/>
          <w:kern w:val="2"/>
          <w:sz w:val="24"/>
          <w:szCs w:val="24"/>
          <w14:ligatures w14:val="standardContextual"/>
        </w:rPr>
      </w:pPr>
      <w:r w:rsidRPr="00196763">
        <w:rPr>
          <w:noProof/>
          <w:color w:val="000000" w:themeColor="text1"/>
        </w:rPr>
        <w:t>References</w:t>
      </w:r>
      <w:r>
        <w:rPr>
          <w:noProof/>
        </w:rPr>
        <w:tab/>
      </w:r>
      <w:r>
        <w:rPr>
          <w:noProof/>
        </w:rPr>
        <w:fldChar w:fldCharType="begin"/>
      </w:r>
      <w:r>
        <w:rPr>
          <w:noProof/>
        </w:rPr>
        <w:instrText xml:space="preserve"> PAGEREF _Toc141478747 \h </w:instrText>
      </w:r>
      <w:r>
        <w:rPr>
          <w:noProof/>
        </w:rPr>
      </w:r>
      <w:r>
        <w:rPr>
          <w:noProof/>
        </w:rPr>
        <w:fldChar w:fldCharType="separate"/>
      </w:r>
      <w:r>
        <w:rPr>
          <w:noProof/>
        </w:rPr>
        <w:t>307</w:t>
      </w:r>
      <w:r>
        <w:rPr>
          <w:noProof/>
        </w:rPr>
        <w:fldChar w:fldCharType="end"/>
      </w:r>
    </w:p>
    <w:p w14:paraId="74230CAF" w14:textId="69BA788C" w:rsidR="006C6A26" w:rsidRDefault="006C6A26">
      <w:pPr>
        <w:pStyle w:val="TOC2"/>
        <w:rPr>
          <w:rFonts w:asciiTheme="minorHAnsi" w:eastAsiaTheme="minorEastAsia" w:hAnsiTheme="minorHAnsi"/>
          <w:bCs w:val="0"/>
          <w:noProof/>
          <w:kern w:val="2"/>
          <w:sz w:val="24"/>
          <w:szCs w:val="24"/>
          <w14:ligatures w14:val="standardContextual"/>
        </w:rPr>
      </w:pPr>
      <w:r w:rsidRPr="00196763">
        <w:rPr>
          <w:noProof/>
          <w:color w:val="000000" w:themeColor="text1"/>
        </w:rPr>
        <w:t>Appendix E</w:t>
      </w:r>
      <w:r>
        <w:rPr>
          <w:noProof/>
        </w:rPr>
        <w:tab/>
      </w:r>
      <w:r>
        <w:rPr>
          <w:noProof/>
        </w:rPr>
        <w:fldChar w:fldCharType="begin"/>
      </w:r>
      <w:r>
        <w:rPr>
          <w:noProof/>
        </w:rPr>
        <w:instrText xml:space="preserve"> PAGEREF _Toc141478748 \h </w:instrText>
      </w:r>
      <w:r>
        <w:rPr>
          <w:noProof/>
        </w:rPr>
      </w:r>
      <w:r>
        <w:rPr>
          <w:noProof/>
        </w:rPr>
        <w:fldChar w:fldCharType="separate"/>
      </w:r>
      <w:r>
        <w:rPr>
          <w:noProof/>
        </w:rPr>
        <w:t>313</w:t>
      </w:r>
      <w:r>
        <w:rPr>
          <w:noProof/>
        </w:rPr>
        <w:fldChar w:fldCharType="end"/>
      </w:r>
    </w:p>
    <w:p w14:paraId="7FAA8789" w14:textId="506E6BC5" w:rsidR="006C6A26" w:rsidRDefault="006C6A26">
      <w:pPr>
        <w:pStyle w:val="TOC1"/>
        <w:rPr>
          <w:rFonts w:asciiTheme="minorHAnsi" w:eastAsiaTheme="minorEastAsia" w:hAnsiTheme="minorHAnsi"/>
          <w:bCs w:val="0"/>
          <w:noProof/>
          <w:kern w:val="2"/>
          <w14:ligatures w14:val="standardContextual"/>
        </w:rPr>
      </w:pPr>
      <w:r>
        <w:rPr>
          <w:noProof/>
        </w:rPr>
        <w:t>CHAPTER 6: CONCLUSION</w:t>
      </w:r>
      <w:r>
        <w:rPr>
          <w:noProof/>
        </w:rPr>
        <w:tab/>
      </w:r>
      <w:r>
        <w:rPr>
          <w:noProof/>
        </w:rPr>
        <w:fldChar w:fldCharType="begin"/>
      </w:r>
      <w:r>
        <w:rPr>
          <w:noProof/>
        </w:rPr>
        <w:instrText xml:space="preserve"> PAGEREF _Toc141478749 \h </w:instrText>
      </w:r>
      <w:r>
        <w:rPr>
          <w:noProof/>
        </w:rPr>
      </w:r>
      <w:r>
        <w:rPr>
          <w:noProof/>
        </w:rPr>
        <w:fldChar w:fldCharType="separate"/>
      </w:r>
      <w:r>
        <w:rPr>
          <w:noProof/>
        </w:rPr>
        <w:t>338</w:t>
      </w:r>
      <w:r>
        <w:rPr>
          <w:noProof/>
        </w:rPr>
        <w:fldChar w:fldCharType="end"/>
      </w:r>
    </w:p>
    <w:p w14:paraId="4C1E9D9C" w14:textId="1DE98436" w:rsidR="006C6A26" w:rsidRDefault="006C6A26">
      <w:pPr>
        <w:pStyle w:val="TOC2"/>
        <w:rPr>
          <w:rFonts w:asciiTheme="minorHAnsi" w:eastAsiaTheme="minorEastAsia" w:hAnsiTheme="minorHAnsi"/>
          <w:bCs w:val="0"/>
          <w:noProof/>
          <w:kern w:val="2"/>
          <w:sz w:val="24"/>
          <w:szCs w:val="24"/>
          <w14:ligatures w14:val="standardContextual"/>
        </w:rPr>
      </w:pPr>
      <w:r>
        <w:rPr>
          <w:noProof/>
        </w:rPr>
        <w:t>Conclusion</w:t>
      </w:r>
      <w:r>
        <w:rPr>
          <w:noProof/>
        </w:rPr>
        <w:tab/>
      </w:r>
      <w:r>
        <w:rPr>
          <w:noProof/>
        </w:rPr>
        <w:fldChar w:fldCharType="begin"/>
      </w:r>
      <w:r>
        <w:rPr>
          <w:noProof/>
        </w:rPr>
        <w:instrText xml:space="preserve"> PAGEREF _Toc141478750 \h </w:instrText>
      </w:r>
      <w:r>
        <w:rPr>
          <w:noProof/>
        </w:rPr>
      </w:r>
      <w:r>
        <w:rPr>
          <w:noProof/>
        </w:rPr>
        <w:fldChar w:fldCharType="separate"/>
      </w:r>
      <w:r>
        <w:rPr>
          <w:noProof/>
        </w:rPr>
        <w:t>339</w:t>
      </w:r>
      <w:r>
        <w:rPr>
          <w:noProof/>
        </w:rPr>
        <w:fldChar w:fldCharType="end"/>
      </w:r>
    </w:p>
    <w:p w14:paraId="4D9159D7" w14:textId="17635808" w:rsidR="006C6A26" w:rsidRDefault="006C6A26">
      <w:pPr>
        <w:pStyle w:val="TOC2"/>
        <w:rPr>
          <w:rFonts w:asciiTheme="minorHAnsi" w:eastAsiaTheme="minorEastAsia" w:hAnsiTheme="minorHAnsi"/>
          <w:bCs w:val="0"/>
          <w:noProof/>
          <w:kern w:val="2"/>
          <w:sz w:val="24"/>
          <w:szCs w:val="24"/>
          <w14:ligatures w14:val="standardContextual"/>
        </w:rPr>
      </w:pPr>
      <w:r>
        <w:rPr>
          <w:noProof/>
        </w:rPr>
        <w:t>VITA</w:t>
      </w:r>
      <w:r>
        <w:rPr>
          <w:noProof/>
        </w:rPr>
        <w:tab/>
      </w:r>
      <w:r>
        <w:rPr>
          <w:noProof/>
        </w:rPr>
        <w:fldChar w:fldCharType="begin"/>
      </w:r>
      <w:r>
        <w:rPr>
          <w:noProof/>
        </w:rPr>
        <w:instrText xml:space="preserve"> PAGEREF _Toc141478751 \h </w:instrText>
      </w:r>
      <w:r>
        <w:rPr>
          <w:noProof/>
        </w:rPr>
      </w:r>
      <w:r>
        <w:rPr>
          <w:noProof/>
        </w:rPr>
        <w:fldChar w:fldCharType="separate"/>
      </w:r>
      <w:r>
        <w:rPr>
          <w:noProof/>
        </w:rPr>
        <w:t>341</w:t>
      </w:r>
      <w:r>
        <w:rPr>
          <w:noProof/>
        </w:rPr>
        <w:fldChar w:fldCharType="end"/>
      </w:r>
    </w:p>
    <w:p w14:paraId="2B678E41" w14:textId="77777777" w:rsidR="00126D8D" w:rsidRPr="007F77C5" w:rsidRDefault="00126D8D" w:rsidP="00FD7CBD">
      <w:pPr>
        <w:spacing w:line="240" w:lineRule="auto"/>
        <w:rPr>
          <w:rFonts w:cs="Times New Roman"/>
          <w:b/>
          <w:sz w:val="28"/>
        </w:rPr>
      </w:pPr>
      <w:r w:rsidRPr="007F77C5">
        <w:rPr>
          <w:rFonts w:cs="Times New Roman"/>
        </w:rPr>
        <w:fldChar w:fldCharType="end"/>
      </w:r>
    </w:p>
    <w:p w14:paraId="3EC92463" w14:textId="77777777" w:rsidR="00126D8D" w:rsidRPr="007F77C5" w:rsidRDefault="00126D8D">
      <w:pPr>
        <w:spacing w:line="240" w:lineRule="auto"/>
        <w:rPr>
          <w:rFonts w:cs="Times New Roman"/>
          <w:b/>
          <w:sz w:val="28"/>
        </w:rPr>
      </w:pPr>
      <w:bookmarkStart w:id="18" w:name="_Toc498547841"/>
      <w:r w:rsidRPr="007F77C5">
        <w:rPr>
          <w:rFonts w:cs="Times New Roman"/>
        </w:rPr>
        <w:br w:type="page"/>
      </w:r>
    </w:p>
    <w:p w14:paraId="4585BC76" w14:textId="193B7F0F" w:rsidR="00126D8D" w:rsidRPr="00EF6679" w:rsidRDefault="00126D8D" w:rsidP="00EF6679">
      <w:pPr>
        <w:rPr>
          <w:b/>
          <w:bCs/>
          <w:sz w:val="28"/>
          <w:szCs w:val="28"/>
        </w:rPr>
      </w:pPr>
      <w:bookmarkStart w:id="19" w:name="_Toc499735557"/>
      <w:bookmarkStart w:id="20" w:name="_Toc501479841"/>
      <w:bookmarkStart w:id="21" w:name="_Toc501647065"/>
      <w:bookmarkStart w:id="22" w:name="_Toc501658874"/>
      <w:bookmarkStart w:id="23" w:name="_Toc502751639"/>
      <w:bookmarkStart w:id="24" w:name="_Toc139574767"/>
      <w:r w:rsidRPr="00EF6679">
        <w:rPr>
          <w:b/>
          <w:bCs/>
          <w:sz w:val="28"/>
          <w:szCs w:val="28"/>
        </w:rPr>
        <w:lastRenderedPageBreak/>
        <w:t>List of Tables</w:t>
      </w:r>
      <w:bookmarkEnd w:id="18"/>
      <w:bookmarkEnd w:id="19"/>
      <w:bookmarkEnd w:id="20"/>
      <w:bookmarkEnd w:id="21"/>
      <w:bookmarkEnd w:id="22"/>
      <w:bookmarkEnd w:id="23"/>
      <w:bookmarkEnd w:id="24"/>
    </w:p>
    <w:bookmarkStart w:id="25" w:name="_Toc498547842"/>
    <w:p w14:paraId="74D5CC98" w14:textId="3580790B" w:rsidR="006C6A26" w:rsidRDefault="00126D8D">
      <w:pPr>
        <w:pStyle w:val="TableofFigures"/>
        <w:tabs>
          <w:tab w:val="right" w:leader="dot" w:pos="9350"/>
        </w:tabs>
        <w:rPr>
          <w:rFonts w:asciiTheme="minorHAnsi" w:eastAsiaTheme="minorEastAsia" w:hAnsiTheme="minorHAnsi"/>
          <w:noProof/>
          <w:kern w:val="2"/>
          <w14:ligatures w14:val="standardContextual"/>
        </w:rPr>
      </w:pPr>
      <w:r w:rsidRPr="007F77C5">
        <w:rPr>
          <w:rFonts w:cs="Times New Roman"/>
        </w:rPr>
        <w:fldChar w:fldCharType="begin"/>
      </w:r>
      <w:r w:rsidRPr="007F77C5">
        <w:rPr>
          <w:rFonts w:cs="Times New Roman"/>
        </w:rPr>
        <w:instrText xml:space="preserve"> TOC \h \z \t "Table TOC" \c </w:instrText>
      </w:r>
      <w:r w:rsidRPr="007F77C5">
        <w:rPr>
          <w:rFonts w:cs="Times New Roman"/>
        </w:rPr>
        <w:fldChar w:fldCharType="separate"/>
      </w:r>
      <w:hyperlink w:anchor="_Toc141478774" w:history="1">
        <w:r w:rsidR="006C6A26" w:rsidRPr="00BD099C">
          <w:rPr>
            <w:rStyle w:val="Hyperlink"/>
            <w:rFonts w:cs="Times New Roman"/>
            <w:b/>
            <w:noProof/>
          </w:rPr>
          <w:t xml:space="preserve">Table 3.1. </w:t>
        </w:r>
        <w:r w:rsidR="006C6A26" w:rsidRPr="00BD099C">
          <w:rPr>
            <w:rStyle w:val="Hyperlink"/>
            <w:rFonts w:cs="Times New Roman"/>
            <w:noProof/>
          </w:rPr>
          <w:t>Important environmental parameters across growing cycles. All crops grown under greenhouse conditions at The University of Tennessee Institute of Agriculture (UTIA) in Knoxville, TN, USA (35°56'44.5"N, 83°56'17.3"W).</w:t>
        </w:r>
        <w:r w:rsidR="006C6A26">
          <w:rPr>
            <w:noProof/>
            <w:webHidden/>
          </w:rPr>
          <w:tab/>
        </w:r>
        <w:r w:rsidR="006C6A26">
          <w:rPr>
            <w:noProof/>
            <w:webHidden/>
          </w:rPr>
          <w:fldChar w:fldCharType="begin"/>
        </w:r>
        <w:r w:rsidR="006C6A26">
          <w:rPr>
            <w:noProof/>
            <w:webHidden/>
          </w:rPr>
          <w:instrText xml:space="preserve"> PAGEREF _Toc141478774 \h </w:instrText>
        </w:r>
        <w:r w:rsidR="006C6A26">
          <w:rPr>
            <w:noProof/>
            <w:webHidden/>
          </w:rPr>
        </w:r>
        <w:r w:rsidR="006C6A26">
          <w:rPr>
            <w:noProof/>
            <w:webHidden/>
          </w:rPr>
          <w:fldChar w:fldCharType="separate"/>
        </w:r>
        <w:r w:rsidR="006C6A26">
          <w:rPr>
            <w:noProof/>
            <w:webHidden/>
          </w:rPr>
          <w:t>169</w:t>
        </w:r>
        <w:r w:rsidR="006C6A26">
          <w:rPr>
            <w:noProof/>
            <w:webHidden/>
          </w:rPr>
          <w:fldChar w:fldCharType="end"/>
        </w:r>
      </w:hyperlink>
    </w:p>
    <w:p w14:paraId="4916D9C1" w14:textId="083213B6" w:rsidR="006C6A26" w:rsidRDefault="00000000">
      <w:pPr>
        <w:pStyle w:val="TableofFigures"/>
        <w:tabs>
          <w:tab w:val="right" w:leader="dot" w:pos="9350"/>
        </w:tabs>
        <w:rPr>
          <w:rFonts w:asciiTheme="minorHAnsi" w:eastAsiaTheme="minorEastAsia" w:hAnsiTheme="minorHAnsi"/>
          <w:noProof/>
          <w:kern w:val="2"/>
          <w14:ligatures w14:val="standardContextual"/>
        </w:rPr>
      </w:pPr>
      <w:hyperlink w:anchor="_Toc141478775" w:history="1">
        <w:r w:rsidR="006C6A26" w:rsidRPr="00BD099C">
          <w:rPr>
            <w:rStyle w:val="Hyperlink"/>
            <w:rFonts w:cs="Times New Roman"/>
            <w:b/>
            <w:noProof/>
          </w:rPr>
          <w:t>Table 3.2.</w:t>
        </w:r>
        <w:r w:rsidR="006C6A26" w:rsidRPr="00BD099C">
          <w:rPr>
            <w:rStyle w:val="Hyperlink"/>
            <w:rFonts w:cs="Times New Roman"/>
            <w:noProof/>
          </w:rPr>
          <w:t xml:space="preserve"> Summary of statistical results for pertinent aroma volatile compounds detected using headspace gas chromatography-mass spectrometry.</w:t>
        </w:r>
        <w:r w:rsidR="006C6A26">
          <w:rPr>
            <w:noProof/>
            <w:webHidden/>
          </w:rPr>
          <w:tab/>
        </w:r>
        <w:r w:rsidR="006C6A26">
          <w:rPr>
            <w:noProof/>
            <w:webHidden/>
          </w:rPr>
          <w:fldChar w:fldCharType="begin"/>
        </w:r>
        <w:r w:rsidR="006C6A26">
          <w:rPr>
            <w:noProof/>
            <w:webHidden/>
          </w:rPr>
          <w:instrText xml:space="preserve"> PAGEREF _Toc141478775 \h </w:instrText>
        </w:r>
        <w:r w:rsidR="006C6A26">
          <w:rPr>
            <w:noProof/>
            <w:webHidden/>
          </w:rPr>
        </w:r>
        <w:r w:rsidR="006C6A26">
          <w:rPr>
            <w:noProof/>
            <w:webHidden/>
          </w:rPr>
          <w:fldChar w:fldCharType="separate"/>
        </w:r>
        <w:r w:rsidR="006C6A26">
          <w:rPr>
            <w:noProof/>
            <w:webHidden/>
          </w:rPr>
          <w:t>170</w:t>
        </w:r>
        <w:r w:rsidR="006C6A26">
          <w:rPr>
            <w:noProof/>
            <w:webHidden/>
          </w:rPr>
          <w:fldChar w:fldCharType="end"/>
        </w:r>
      </w:hyperlink>
    </w:p>
    <w:p w14:paraId="0CACA8BE" w14:textId="5065C73D" w:rsidR="006C6A26" w:rsidRDefault="00000000">
      <w:pPr>
        <w:pStyle w:val="TableofFigures"/>
        <w:tabs>
          <w:tab w:val="right" w:leader="dot" w:pos="9350"/>
        </w:tabs>
        <w:rPr>
          <w:rFonts w:asciiTheme="minorHAnsi" w:eastAsiaTheme="minorEastAsia" w:hAnsiTheme="minorHAnsi"/>
          <w:noProof/>
          <w:kern w:val="2"/>
          <w14:ligatures w14:val="standardContextual"/>
        </w:rPr>
      </w:pPr>
      <w:hyperlink w:anchor="_Toc141478776" w:history="1">
        <w:r w:rsidR="006C6A26" w:rsidRPr="00BD099C">
          <w:rPr>
            <w:rStyle w:val="Hyperlink"/>
            <w:b/>
            <w:bCs/>
            <w:noProof/>
          </w:rPr>
          <w:t xml:space="preserve">Table 3.3. </w:t>
        </w:r>
        <w:r w:rsidR="006C6A26" w:rsidRPr="00BD099C">
          <w:rPr>
            <w:rStyle w:val="Hyperlink"/>
            <w:noProof/>
          </w:rPr>
          <w:t>Influence of growing season on aroma volatile tissue concentrations in hydroponically grown greenhouse sweet basil (</w:t>
        </w:r>
        <w:r w:rsidR="006C6A26" w:rsidRPr="00BD099C">
          <w:rPr>
            <w:rStyle w:val="Hyperlink"/>
            <w:i/>
            <w:iCs/>
            <w:noProof/>
          </w:rPr>
          <w:t xml:space="preserve">Ocimum basilicum </w:t>
        </w:r>
        <w:r w:rsidR="006C6A26" w:rsidRPr="00BD099C">
          <w:rPr>
            <w:rStyle w:val="Hyperlink"/>
            <w:noProof/>
          </w:rPr>
          <w:t>var. Italian Large Leaf).</w:t>
        </w:r>
        <w:r w:rsidR="006C6A26">
          <w:rPr>
            <w:noProof/>
            <w:webHidden/>
          </w:rPr>
          <w:tab/>
        </w:r>
        <w:r w:rsidR="006C6A26">
          <w:rPr>
            <w:noProof/>
            <w:webHidden/>
          </w:rPr>
          <w:fldChar w:fldCharType="begin"/>
        </w:r>
        <w:r w:rsidR="006C6A26">
          <w:rPr>
            <w:noProof/>
            <w:webHidden/>
          </w:rPr>
          <w:instrText xml:space="preserve"> PAGEREF _Toc141478776 \h </w:instrText>
        </w:r>
        <w:r w:rsidR="006C6A26">
          <w:rPr>
            <w:noProof/>
            <w:webHidden/>
          </w:rPr>
        </w:r>
        <w:r w:rsidR="006C6A26">
          <w:rPr>
            <w:noProof/>
            <w:webHidden/>
          </w:rPr>
          <w:fldChar w:fldCharType="separate"/>
        </w:r>
        <w:r w:rsidR="006C6A26">
          <w:rPr>
            <w:noProof/>
            <w:webHidden/>
          </w:rPr>
          <w:t>171</w:t>
        </w:r>
        <w:r w:rsidR="006C6A26">
          <w:rPr>
            <w:noProof/>
            <w:webHidden/>
          </w:rPr>
          <w:fldChar w:fldCharType="end"/>
        </w:r>
      </w:hyperlink>
    </w:p>
    <w:p w14:paraId="56D23C84" w14:textId="109423D7" w:rsidR="006C6A26" w:rsidRDefault="00000000">
      <w:pPr>
        <w:pStyle w:val="TableofFigures"/>
        <w:tabs>
          <w:tab w:val="right" w:leader="dot" w:pos="9350"/>
        </w:tabs>
        <w:rPr>
          <w:rFonts w:asciiTheme="minorHAnsi" w:eastAsiaTheme="minorEastAsia" w:hAnsiTheme="minorHAnsi"/>
          <w:noProof/>
          <w:kern w:val="2"/>
          <w14:ligatures w14:val="standardContextual"/>
        </w:rPr>
      </w:pPr>
      <w:hyperlink w:anchor="_Toc141478777" w:history="1">
        <w:r w:rsidR="006C6A26" w:rsidRPr="00BD099C">
          <w:rPr>
            <w:rStyle w:val="Hyperlink"/>
            <w:b/>
            <w:bCs/>
            <w:noProof/>
          </w:rPr>
          <w:t xml:space="preserve">Table 3.4. </w:t>
        </w:r>
        <w:r w:rsidR="006C6A26" w:rsidRPr="00BD099C">
          <w:rPr>
            <w:rStyle w:val="Hyperlink"/>
            <w:noProof/>
          </w:rPr>
          <w:t>Influence of light treatment on aroma volatile tissue concentrations in hydroponically grown greenhouse sweet basil (</w:t>
        </w:r>
        <w:r w:rsidR="006C6A26" w:rsidRPr="00BD099C">
          <w:rPr>
            <w:rStyle w:val="Hyperlink"/>
            <w:i/>
            <w:iCs/>
            <w:noProof/>
          </w:rPr>
          <w:t xml:space="preserve">Ocimum basilicum </w:t>
        </w:r>
        <w:r w:rsidR="006C6A26" w:rsidRPr="00BD099C">
          <w:rPr>
            <w:rStyle w:val="Hyperlink"/>
            <w:noProof/>
          </w:rPr>
          <w:t>var. Italian Large Leaf).</w:t>
        </w:r>
        <w:r w:rsidR="006C6A26">
          <w:rPr>
            <w:noProof/>
            <w:webHidden/>
          </w:rPr>
          <w:tab/>
        </w:r>
        <w:r w:rsidR="006C6A26">
          <w:rPr>
            <w:noProof/>
            <w:webHidden/>
          </w:rPr>
          <w:fldChar w:fldCharType="begin"/>
        </w:r>
        <w:r w:rsidR="006C6A26">
          <w:rPr>
            <w:noProof/>
            <w:webHidden/>
          </w:rPr>
          <w:instrText xml:space="preserve"> PAGEREF _Toc141478777 \h </w:instrText>
        </w:r>
        <w:r w:rsidR="006C6A26">
          <w:rPr>
            <w:noProof/>
            <w:webHidden/>
          </w:rPr>
        </w:r>
        <w:r w:rsidR="006C6A26">
          <w:rPr>
            <w:noProof/>
            <w:webHidden/>
          </w:rPr>
          <w:fldChar w:fldCharType="separate"/>
        </w:r>
        <w:r w:rsidR="006C6A26">
          <w:rPr>
            <w:noProof/>
            <w:webHidden/>
          </w:rPr>
          <w:t>172</w:t>
        </w:r>
        <w:r w:rsidR="006C6A26">
          <w:rPr>
            <w:noProof/>
            <w:webHidden/>
          </w:rPr>
          <w:fldChar w:fldCharType="end"/>
        </w:r>
      </w:hyperlink>
    </w:p>
    <w:p w14:paraId="5A687655" w14:textId="46BCCE6E" w:rsidR="006C6A26" w:rsidRDefault="00000000">
      <w:pPr>
        <w:pStyle w:val="TableofFigures"/>
        <w:tabs>
          <w:tab w:val="right" w:leader="dot" w:pos="9350"/>
        </w:tabs>
        <w:rPr>
          <w:rFonts w:asciiTheme="minorHAnsi" w:eastAsiaTheme="minorEastAsia" w:hAnsiTheme="minorHAnsi"/>
          <w:noProof/>
          <w:kern w:val="2"/>
          <w14:ligatures w14:val="standardContextual"/>
        </w:rPr>
      </w:pPr>
      <w:hyperlink w:anchor="_Toc141478778" w:history="1">
        <w:r w:rsidR="006C6A26" w:rsidRPr="00BD099C">
          <w:rPr>
            <w:rStyle w:val="Hyperlink"/>
            <w:rFonts w:cs="Times New Roman"/>
            <w:b/>
            <w:noProof/>
          </w:rPr>
          <w:t xml:space="preserve">Table 4.1. </w:t>
        </w:r>
        <w:r w:rsidR="006C6A26" w:rsidRPr="00BD099C">
          <w:rPr>
            <w:rStyle w:val="Hyperlink"/>
            <w:rFonts w:cs="Times New Roman"/>
            <w:noProof/>
          </w:rPr>
          <w:t>Important environmental parameters across growing cycles. All crops grown under greenhouse conditions at The University of Tennessee Institute of Agriculture (UTIA) in Knoxville, TN, USA (35°56'44.5"N, 83°56'17.3"W).</w:t>
        </w:r>
        <w:r w:rsidR="006C6A26">
          <w:rPr>
            <w:noProof/>
            <w:webHidden/>
          </w:rPr>
          <w:tab/>
        </w:r>
        <w:r w:rsidR="006C6A26">
          <w:rPr>
            <w:noProof/>
            <w:webHidden/>
          </w:rPr>
          <w:fldChar w:fldCharType="begin"/>
        </w:r>
        <w:r w:rsidR="006C6A26">
          <w:rPr>
            <w:noProof/>
            <w:webHidden/>
          </w:rPr>
          <w:instrText xml:space="preserve"> PAGEREF _Toc141478778 \h </w:instrText>
        </w:r>
        <w:r w:rsidR="006C6A26">
          <w:rPr>
            <w:noProof/>
            <w:webHidden/>
          </w:rPr>
        </w:r>
        <w:r w:rsidR="006C6A26">
          <w:rPr>
            <w:noProof/>
            <w:webHidden/>
          </w:rPr>
          <w:fldChar w:fldCharType="separate"/>
        </w:r>
        <w:r w:rsidR="006C6A26">
          <w:rPr>
            <w:noProof/>
            <w:webHidden/>
          </w:rPr>
          <w:t>229</w:t>
        </w:r>
        <w:r w:rsidR="006C6A26">
          <w:rPr>
            <w:noProof/>
            <w:webHidden/>
          </w:rPr>
          <w:fldChar w:fldCharType="end"/>
        </w:r>
      </w:hyperlink>
    </w:p>
    <w:p w14:paraId="749087AC" w14:textId="75DB6498" w:rsidR="006C6A26" w:rsidRDefault="00000000">
      <w:pPr>
        <w:pStyle w:val="TableofFigures"/>
        <w:tabs>
          <w:tab w:val="right" w:leader="dot" w:pos="9350"/>
        </w:tabs>
        <w:rPr>
          <w:rFonts w:asciiTheme="minorHAnsi" w:eastAsiaTheme="minorEastAsia" w:hAnsiTheme="minorHAnsi"/>
          <w:noProof/>
          <w:kern w:val="2"/>
          <w14:ligatures w14:val="standardContextual"/>
        </w:rPr>
      </w:pPr>
      <w:hyperlink w:anchor="_Toc141478779" w:history="1">
        <w:r w:rsidR="006C6A26" w:rsidRPr="00BD099C">
          <w:rPr>
            <w:rStyle w:val="Hyperlink"/>
            <w:rFonts w:cs="Times New Roman"/>
            <w:b/>
            <w:noProof/>
          </w:rPr>
          <w:t>Table 4.2.</w:t>
        </w:r>
        <w:r w:rsidR="006C6A26" w:rsidRPr="00BD099C">
          <w:rPr>
            <w:rStyle w:val="Hyperlink"/>
            <w:rFonts w:cs="Times New Roman"/>
            <w:noProof/>
          </w:rPr>
          <w:t xml:space="preserve"> Summary of statistical results for pertinent experimental parameters.</w:t>
        </w:r>
        <w:r w:rsidR="006C6A26">
          <w:rPr>
            <w:noProof/>
            <w:webHidden/>
          </w:rPr>
          <w:tab/>
        </w:r>
        <w:r w:rsidR="006C6A26">
          <w:rPr>
            <w:noProof/>
            <w:webHidden/>
          </w:rPr>
          <w:fldChar w:fldCharType="begin"/>
        </w:r>
        <w:r w:rsidR="006C6A26">
          <w:rPr>
            <w:noProof/>
            <w:webHidden/>
          </w:rPr>
          <w:instrText xml:space="preserve"> PAGEREF _Toc141478779 \h </w:instrText>
        </w:r>
        <w:r w:rsidR="006C6A26">
          <w:rPr>
            <w:noProof/>
            <w:webHidden/>
          </w:rPr>
        </w:r>
        <w:r w:rsidR="006C6A26">
          <w:rPr>
            <w:noProof/>
            <w:webHidden/>
          </w:rPr>
          <w:fldChar w:fldCharType="separate"/>
        </w:r>
        <w:r w:rsidR="006C6A26">
          <w:rPr>
            <w:noProof/>
            <w:webHidden/>
          </w:rPr>
          <w:t>230</w:t>
        </w:r>
        <w:r w:rsidR="006C6A26">
          <w:rPr>
            <w:noProof/>
            <w:webHidden/>
          </w:rPr>
          <w:fldChar w:fldCharType="end"/>
        </w:r>
      </w:hyperlink>
    </w:p>
    <w:p w14:paraId="67B1C7CB" w14:textId="1870ED2D" w:rsidR="006C6A26" w:rsidRDefault="00000000">
      <w:pPr>
        <w:pStyle w:val="TableofFigures"/>
        <w:tabs>
          <w:tab w:val="right" w:leader="dot" w:pos="9350"/>
        </w:tabs>
        <w:rPr>
          <w:rFonts w:asciiTheme="minorHAnsi" w:eastAsiaTheme="minorEastAsia" w:hAnsiTheme="minorHAnsi"/>
          <w:noProof/>
          <w:kern w:val="2"/>
          <w14:ligatures w14:val="standardContextual"/>
        </w:rPr>
      </w:pPr>
      <w:hyperlink w:anchor="_Toc141478780" w:history="1">
        <w:r w:rsidR="006C6A26" w:rsidRPr="00BD099C">
          <w:rPr>
            <w:rStyle w:val="Hyperlink"/>
            <w:b/>
            <w:noProof/>
          </w:rPr>
          <w:t>Table 4.3.</w:t>
        </w:r>
        <w:r w:rsidR="006C6A26" w:rsidRPr="00BD099C">
          <w:rPr>
            <w:rStyle w:val="Hyperlink"/>
            <w:noProof/>
          </w:rPr>
          <w:t xml:space="preserve"> Influence of season on macronutrient mineral dry weight concentrations of hydroponically grown 'Genovese' basil (</w:t>
        </w:r>
        <w:r w:rsidR="006C6A26" w:rsidRPr="00BD099C">
          <w:rPr>
            <w:rStyle w:val="Hyperlink"/>
            <w:i/>
            <w:noProof/>
          </w:rPr>
          <w:t>Ocimum basilicum</w:t>
        </w:r>
        <w:r w:rsidR="006C6A26" w:rsidRPr="00BD099C">
          <w:rPr>
            <w:rStyle w:val="Hyperlink"/>
            <w:noProof/>
          </w:rPr>
          <w:t xml:space="preserve"> var. 'Genovese').</w:t>
        </w:r>
        <w:r w:rsidR="006C6A26">
          <w:rPr>
            <w:noProof/>
            <w:webHidden/>
          </w:rPr>
          <w:tab/>
        </w:r>
        <w:r w:rsidR="006C6A26">
          <w:rPr>
            <w:noProof/>
            <w:webHidden/>
          </w:rPr>
          <w:fldChar w:fldCharType="begin"/>
        </w:r>
        <w:r w:rsidR="006C6A26">
          <w:rPr>
            <w:noProof/>
            <w:webHidden/>
          </w:rPr>
          <w:instrText xml:space="preserve"> PAGEREF _Toc141478780 \h </w:instrText>
        </w:r>
        <w:r w:rsidR="006C6A26">
          <w:rPr>
            <w:noProof/>
            <w:webHidden/>
          </w:rPr>
        </w:r>
        <w:r w:rsidR="006C6A26">
          <w:rPr>
            <w:noProof/>
            <w:webHidden/>
          </w:rPr>
          <w:fldChar w:fldCharType="separate"/>
        </w:r>
        <w:r w:rsidR="006C6A26">
          <w:rPr>
            <w:noProof/>
            <w:webHidden/>
          </w:rPr>
          <w:t>231</w:t>
        </w:r>
        <w:r w:rsidR="006C6A26">
          <w:rPr>
            <w:noProof/>
            <w:webHidden/>
          </w:rPr>
          <w:fldChar w:fldCharType="end"/>
        </w:r>
      </w:hyperlink>
    </w:p>
    <w:p w14:paraId="2A4AAFC2" w14:textId="51D7AD26" w:rsidR="006C6A26" w:rsidRDefault="00000000">
      <w:pPr>
        <w:pStyle w:val="TableofFigures"/>
        <w:tabs>
          <w:tab w:val="right" w:leader="dot" w:pos="9350"/>
        </w:tabs>
        <w:rPr>
          <w:rFonts w:asciiTheme="minorHAnsi" w:eastAsiaTheme="minorEastAsia" w:hAnsiTheme="minorHAnsi"/>
          <w:noProof/>
          <w:kern w:val="2"/>
          <w14:ligatures w14:val="standardContextual"/>
        </w:rPr>
      </w:pPr>
      <w:hyperlink w:anchor="_Toc141478781" w:history="1">
        <w:r w:rsidR="006C6A26" w:rsidRPr="00BD099C">
          <w:rPr>
            <w:rStyle w:val="Hyperlink"/>
            <w:b/>
            <w:noProof/>
          </w:rPr>
          <w:t>Table 4.4.</w:t>
        </w:r>
        <w:r w:rsidR="006C6A26" w:rsidRPr="00BD099C">
          <w:rPr>
            <w:rStyle w:val="Hyperlink"/>
            <w:noProof/>
          </w:rPr>
          <w:t xml:space="preserve"> Influence of season on micronutrient mineral dry weight concentrations of hydroponically grown 'Genovese' basil (</w:t>
        </w:r>
        <w:r w:rsidR="006C6A26" w:rsidRPr="00BD099C">
          <w:rPr>
            <w:rStyle w:val="Hyperlink"/>
            <w:i/>
            <w:noProof/>
          </w:rPr>
          <w:t>Ocimum basilicum</w:t>
        </w:r>
        <w:r w:rsidR="006C6A26" w:rsidRPr="00BD099C">
          <w:rPr>
            <w:rStyle w:val="Hyperlink"/>
            <w:noProof/>
          </w:rPr>
          <w:t xml:space="preserve"> var. 'Genovese').</w:t>
        </w:r>
        <w:r w:rsidR="006C6A26">
          <w:rPr>
            <w:noProof/>
            <w:webHidden/>
          </w:rPr>
          <w:tab/>
        </w:r>
        <w:r w:rsidR="006C6A26">
          <w:rPr>
            <w:noProof/>
            <w:webHidden/>
          </w:rPr>
          <w:fldChar w:fldCharType="begin"/>
        </w:r>
        <w:r w:rsidR="006C6A26">
          <w:rPr>
            <w:noProof/>
            <w:webHidden/>
          </w:rPr>
          <w:instrText xml:space="preserve"> PAGEREF _Toc141478781 \h </w:instrText>
        </w:r>
        <w:r w:rsidR="006C6A26">
          <w:rPr>
            <w:noProof/>
            <w:webHidden/>
          </w:rPr>
        </w:r>
        <w:r w:rsidR="006C6A26">
          <w:rPr>
            <w:noProof/>
            <w:webHidden/>
          </w:rPr>
          <w:fldChar w:fldCharType="separate"/>
        </w:r>
        <w:r w:rsidR="006C6A26">
          <w:rPr>
            <w:noProof/>
            <w:webHidden/>
          </w:rPr>
          <w:t>232</w:t>
        </w:r>
        <w:r w:rsidR="006C6A26">
          <w:rPr>
            <w:noProof/>
            <w:webHidden/>
          </w:rPr>
          <w:fldChar w:fldCharType="end"/>
        </w:r>
      </w:hyperlink>
    </w:p>
    <w:p w14:paraId="0E45665E" w14:textId="15C5CE6F" w:rsidR="006C6A26" w:rsidRDefault="00000000">
      <w:pPr>
        <w:pStyle w:val="TableofFigures"/>
        <w:tabs>
          <w:tab w:val="right" w:leader="dot" w:pos="9350"/>
        </w:tabs>
        <w:rPr>
          <w:rFonts w:asciiTheme="minorHAnsi" w:eastAsiaTheme="minorEastAsia" w:hAnsiTheme="minorHAnsi"/>
          <w:noProof/>
          <w:kern w:val="2"/>
          <w14:ligatures w14:val="standardContextual"/>
        </w:rPr>
      </w:pPr>
      <w:hyperlink w:anchor="_Toc141478782" w:history="1">
        <w:r w:rsidR="006C6A26" w:rsidRPr="00BD099C">
          <w:rPr>
            <w:rStyle w:val="Hyperlink"/>
            <w:rFonts w:cs="Times New Roman"/>
            <w:b/>
            <w:noProof/>
          </w:rPr>
          <w:t>Table 4.5.</w:t>
        </w:r>
        <w:r w:rsidR="006C6A26" w:rsidRPr="00BD099C">
          <w:rPr>
            <w:rStyle w:val="Hyperlink"/>
            <w:rFonts w:cs="Times New Roman"/>
            <w:noProof/>
          </w:rPr>
          <w:t xml:space="preserve"> Influence of supplemental lighting treatments on macronutrient dry weight concentrations of hydroponically grown 'Genovese' basil (</w:t>
        </w:r>
        <w:r w:rsidR="006C6A26" w:rsidRPr="00BD099C">
          <w:rPr>
            <w:rStyle w:val="Hyperlink"/>
            <w:rFonts w:cs="Times New Roman"/>
            <w:i/>
            <w:noProof/>
          </w:rPr>
          <w:t>Ocimum basilicum</w:t>
        </w:r>
        <w:r w:rsidR="006C6A26" w:rsidRPr="00BD099C">
          <w:rPr>
            <w:rStyle w:val="Hyperlink"/>
            <w:rFonts w:cs="Times New Roman"/>
            <w:noProof/>
          </w:rPr>
          <w:t xml:space="preserve"> var. 'Genovese'). A total of four light treatments were added immediately after seedling transplant: Narrowband B/R LED, Broadband White LED, high pressure sodium, and non-supplemented natural light (NL) control.</w:t>
        </w:r>
        <w:r w:rsidR="006C6A26">
          <w:rPr>
            <w:noProof/>
            <w:webHidden/>
          </w:rPr>
          <w:tab/>
        </w:r>
        <w:r w:rsidR="006C6A26">
          <w:rPr>
            <w:noProof/>
            <w:webHidden/>
          </w:rPr>
          <w:fldChar w:fldCharType="begin"/>
        </w:r>
        <w:r w:rsidR="006C6A26">
          <w:rPr>
            <w:noProof/>
            <w:webHidden/>
          </w:rPr>
          <w:instrText xml:space="preserve"> PAGEREF _Toc141478782 \h </w:instrText>
        </w:r>
        <w:r w:rsidR="006C6A26">
          <w:rPr>
            <w:noProof/>
            <w:webHidden/>
          </w:rPr>
        </w:r>
        <w:r w:rsidR="006C6A26">
          <w:rPr>
            <w:noProof/>
            <w:webHidden/>
          </w:rPr>
          <w:fldChar w:fldCharType="separate"/>
        </w:r>
        <w:r w:rsidR="006C6A26">
          <w:rPr>
            <w:noProof/>
            <w:webHidden/>
          </w:rPr>
          <w:t>233</w:t>
        </w:r>
        <w:r w:rsidR="006C6A26">
          <w:rPr>
            <w:noProof/>
            <w:webHidden/>
          </w:rPr>
          <w:fldChar w:fldCharType="end"/>
        </w:r>
      </w:hyperlink>
    </w:p>
    <w:p w14:paraId="1774E32A" w14:textId="438C7BCC" w:rsidR="006C6A26" w:rsidRDefault="00000000">
      <w:pPr>
        <w:pStyle w:val="TableofFigures"/>
        <w:tabs>
          <w:tab w:val="right" w:leader="dot" w:pos="9350"/>
        </w:tabs>
        <w:rPr>
          <w:rFonts w:asciiTheme="minorHAnsi" w:eastAsiaTheme="minorEastAsia" w:hAnsiTheme="minorHAnsi"/>
          <w:noProof/>
          <w:kern w:val="2"/>
          <w14:ligatures w14:val="standardContextual"/>
        </w:rPr>
      </w:pPr>
      <w:hyperlink w:anchor="_Toc141478783" w:history="1">
        <w:r w:rsidR="006C6A26" w:rsidRPr="00BD099C">
          <w:rPr>
            <w:rStyle w:val="Hyperlink"/>
            <w:b/>
            <w:noProof/>
          </w:rPr>
          <w:t>Table 4.6.</w:t>
        </w:r>
        <w:r w:rsidR="006C6A26" w:rsidRPr="00BD099C">
          <w:rPr>
            <w:rStyle w:val="Hyperlink"/>
            <w:noProof/>
          </w:rPr>
          <w:t xml:space="preserve"> Influence of supplemental lighting treatments on micronutrient mineral concentrations of hydroponically grown 'Genovese' basil (</w:t>
        </w:r>
        <w:r w:rsidR="006C6A26" w:rsidRPr="00BD099C">
          <w:rPr>
            <w:rStyle w:val="Hyperlink"/>
            <w:i/>
            <w:noProof/>
          </w:rPr>
          <w:t>Ocimum basilicum</w:t>
        </w:r>
        <w:r w:rsidR="006C6A26" w:rsidRPr="00BD099C">
          <w:rPr>
            <w:rStyle w:val="Hyperlink"/>
            <w:noProof/>
          </w:rPr>
          <w:t xml:space="preserve"> var. 'Genovese'). A total of four light treatments were added immediately after seedling transplant: Narrowband B/R LED, Broadband White LED, high pressure sodium, and non-supplemented natural light (NL) control.</w:t>
        </w:r>
        <w:r w:rsidR="006C6A26">
          <w:rPr>
            <w:noProof/>
            <w:webHidden/>
          </w:rPr>
          <w:tab/>
        </w:r>
        <w:r w:rsidR="006C6A26">
          <w:rPr>
            <w:noProof/>
            <w:webHidden/>
          </w:rPr>
          <w:fldChar w:fldCharType="begin"/>
        </w:r>
        <w:r w:rsidR="006C6A26">
          <w:rPr>
            <w:noProof/>
            <w:webHidden/>
          </w:rPr>
          <w:instrText xml:space="preserve"> PAGEREF _Toc141478783 \h </w:instrText>
        </w:r>
        <w:r w:rsidR="006C6A26">
          <w:rPr>
            <w:noProof/>
            <w:webHidden/>
          </w:rPr>
        </w:r>
        <w:r w:rsidR="006C6A26">
          <w:rPr>
            <w:noProof/>
            <w:webHidden/>
          </w:rPr>
          <w:fldChar w:fldCharType="separate"/>
        </w:r>
        <w:r w:rsidR="006C6A26">
          <w:rPr>
            <w:noProof/>
            <w:webHidden/>
          </w:rPr>
          <w:t>234</w:t>
        </w:r>
        <w:r w:rsidR="006C6A26">
          <w:rPr>
            <w:noProof/>
            <w:webHidden/>
          </w:rPr>
          <w:fldChar w:fldCharType="end"/>
        </w:r>
      </w:hyperlink>
    </w:p>
    <w:p w14:paraId="7A3B92E1" w14:textId="1B98A161" w:rsidR="006C6A26" w:rsidRDefault="00000000">
      <w:pPr>
        <w:pStyle w:val="TableofFigures"/>
        <w:tabs>
          <w:tab w:val="right" w:leader="dot" w:pos="9350"/>
        </w:tabs>
        <w:rPr>
          <w:rFonts w:asciiTheme="minorHAnsi" w:eastAsiaTheme="minorEastAsia" w:hAnsiTheme="minorHAnsi"/>
          <w:noProof/>
          <w:kern w:val="2"/>
          <w14:ligatures w14:val="standardContextual"/>
        </w:rPr>
      </w:pPr>
      <w:hyperlink w:anchor="_Toc141478784" w:history="1">
        <w:r w:rsidR="006C6A26" w:rsidRPr="00BD099C">
          <w:rPr>
            <w:rStyle w:val="Hyperlink"/>
            <w:b/>
            <w:bCs/>
            <w:noProof/>
          </w:rPr>
          <w:t>Table 4.7.</w:t>
        </w:r>
        <w:r w:rsidR="006C6A26" w:rsidRPr="00BD099C">
          <w:rPr>
            <w:rStyle w:val="Hyperlink"/>
            <w:noProof/>
          </w:rPr>
          <w:t xml:space="preserve"> Differentially expressed genes (DEGs) based on comparisons between supplemental lighting treatment and natural light (NL) control.</w:t>
        </w:r>
        <w:r w:rsidR="006C6A26">
          <w:rPr>
            <w:noProof/>
            <w:webHidden/>
          </w:rPr>
          <w:tab/>
        </w:r>
        <w:r w:rsidR="006C6A26">
          <w:rPr>
            <w:noProof/>
            <w:webHidden/>
          </w:rPr>
          <w:fldChar w:fldCharType="begin"/>
        </w:r>
        <w:r w:rsidR="006C6A26">
          <w:rPr>
            <w:noProof/>
            <w:webHidden/>
          </w:rPr>
          <w:instrText xml:space="preserve"> PAGEREF _Toc141478784 \h </w:instrText>
        </w:r>
        <w:r w:rsidR="006C6A26">
          <w:rPr>
            <w:noProof/>
            <w:webHidden/>
          </w:rPr>
        </w:r>
        <w:r w:rsidR="006C6A26">
          <w:rPr>
            <w:noProof/>
            <w:webHidden/>
          </w:rPr>
          <w:fldChar w:fldCharType="separate"/>
        </w:r>
        <w:r w:rsidR="006C6A26">
          <w:rPr>
            <w:noProof/>
            <w:webHidden/>
          </w:rPr>
          <w:t>235</w:t>
        </w:r>
        <w:r w:rsidR="006C6A26">
          <w:rPr>
            <w:noProof/>
            <w:webHidden/>
          </w:rPr>
          <w:fldChar w:fldCharType="end"/>
        </w:r>
      </w:hyperlink>
    </w:p>
    <w:p w14:paraId="5A7EACA9" w14:textId="21A6B502" w:rsidR="006C6A26" w:rsidRDefault="00000000">
      <w:pPr>
        <w:pStyle w:val="TableofFigures"/>
        <w:tabs>
          <w:tab w:val="right" w:leader="dot" w:pos="9350"/>
        </w:tabs>
        <w:rPr>
          <w:rFonts w:asciiTheme="minorHAnsi" w:eastAsiaTheme="minorEastAsia" w:hAnsiTheme="minorHAnsi"/>
          <w:noProof/>
          <w:kern w:val="2"/>
          <w14:ligatures w14:val="standardContextual"/>
        </w:rPr>
      </w:pPr>
      <w:hyperlink w:anchor="_Toc141478785" w:history="1">
        <w:r w:rsidR="006C6A26" w:rsidRPr="00BD099C">
          <w:rPr>
            <w:rStyle w:val="Hyperlink"/>
            <w:rFonts w:cs="Times New Roman"/>
            <w:b/>
            <w:noProof/>
          </w:rPr>
          <w:t xml:space="preserve">Table </w:t>
        </w:r>
        <w:r w:rsidR="006C6A26" w:rsidRPr="00BD099C">
          <w:rPr>
            <w:rStyle w:val="Hyperlink"/>
            <w:rFonts w:cs="Times New Roman"/>
            <w:b/>
            <w:bCs/>
            <w:noProof/>
          </w:rPr>
          <w:t>5.</w:t>
        </w:r>
        <w:r w:rsidR="006C6A26" w:rsidRPr="00BD099C">
          <w:rPr>
            <w:rStyle w:val="Hyperlink"/>
            <w:rFonts w:cs="Times New Roman"/>
            <w:b/>
            <w:noProof/>
          </w:rPr>
          <w:t xml:space="preserve">1. </w:t>
        </w:r>
        <w:r w:rsidR="006C6A26" w:rsidRPr="00BD099C">
          <w:rPr>
            <w:rStyle w:val="Hyperlink"/>
            <w:rFonts w:cs="Times New Roman"/>
            <w:noProof/>
          </w:rPr>
          <w:t>Important environmental parameters across growing cycles. All crops grown under greenhouse conditions at The University of Tennessee Institute of Agriculture (UTIA) in Knoxville, TN, USA (35°56'44.5"N, 83°56'17.3"W).</w:t>
        </w:r>
        <w:r w:rsidR="006C6A26">
          <w:rPr>
            <w:noProof/>
            <w:webHidden/>
          </w:rPr>
          <w:tab/>
        </w:r>
        <w:r w:rsidR="006C6A26">
          <w:rPr>
            <w:noProof/>
            <w:webHidden/>
          </w:rPr>
          <w:fldChar w:fldCharType="begin"/>
        </w:r>
        <w:r w:rsidR="006C6A26">
          <w:rPr>
            <w:noProof/>
            <w:webHidden/>
          </w:rPr>
          <w:instrText xml:space="preserve"> PAGEREF _Toc141478785 \h </w:instrText>
        </w:r>
        <w:r w:rsidR="006C6A26">
          <w:rPr>
            <w:noProof/>
            <w:webHidden/>
          </w:rPr>
        </w:r>
        <w:r w:rsidR="006C6A26">
          <w:rPr>
            <w:noProof/>
            <w:webHidden/>
          </w:rPr>
          <w:fldChar w:fldCharType="separate"/>
        </w:r>
        <w:r w:rsidR="006C6A26">
          <w:rPr>
            <w:noProof/>
            <w:webHidden/>
          </w:rPr>
          <w:t>313</w:t>
        </w:r>
        <w:r w:rsidR="006C6A26">
          <w:rPr>
            <w:noProof/>
            <w:webHidden/>
          </w:rPr>
          <w:fldChar w:fldCharType="end"/>
        </w:r>
      </w:hyperlink>
    </w:p>
    <w:p w14:paraId="48B2B107" w14:textId="3E338DBD" w:rsidR="006C6A26" w:rsidRDefault="00000000">
      <w:pPr>
        <w:pStyle w:val="TableofFigures"/>
        <w:tabs>
          <w:tab w:val="right" w:leader="dot" w:pos="9350"/>
        </w:tabs>
        <w:rPr>
          <w:rFonts w:asciiTheme="minorHAnsi" w:eastAsiaTheme="minorEastAsia" w:hAnsiTheme="minorHAnsi"/>
          <w:noProof/>
          <w:kern w:val="2"/>
          <w14:ligatures w14:val="standardContextual"/>
        </w:rPr>
      </w:pPr>
      <w:hyperlink w:anchor="_Toc141478786" w:history="1">
        <w:r w:rsidR="006C6A26" w:rsidRPr="00BD099C">
          <w:rPr>
            <w:rStyle w:val="Hyperlink"/>
            <w:rFonts w:cs="Times New Roman"/>
            <w:b/>
            <w:noProof/>
          </w:rPr>
          <w:t xml:space="preserve">Table </w:t>
        </w:r>
        <w:r w:rsidR="006C6A26" w:rsidRPr="00BD099C">
          <w:rPr>
            <w:rStyle w:val="Hyperlink"/>
            <w:rFonts w:cs="Times New Roman"/>
            <w:b/>
            <w:bCs/>
            <w:noProof/>
          </w:rPr>
          <w:t>5.</w:t>
        </w:r>
        <w:r w:rsidR="006C6A26" w:rsidRPr="00BD099C">
          <w:rPr>
            <w:rStyle w:val="Hyperlink"/>
            <w:rFonts w:cs="Times New Roman"/>
            <w:b/>
            <w:noProof/>
          </w:rPr>
          <w:t>2.</w:t>
        </w:r>
        <w:r w:rsidR="006C6A26" w:rsidRPr="00BD099C">
          <w:rPr>
            <w:rStyle w:val="Hyperlink"/>
            <w:rFonts w:cs="Times New Roman"/>
            <w:noProof/>
          </w:rPr>
          <w:t xml:space="preserve"> Summary of statistical results for pertinent aroma volatile compounds detected using headspace gas chromatography-mass spectrometry.</w:t>
        </w:r>
        <w:r w:rsidR="006C6A26">
          <w:rPr>
            <w:noProof/>
            <w:webHidden/>
          </w:rPr>
          <w:tab/>
        </w:r>
        <w:r w:rsidR="006C6A26">
          <w:rPr>
            <w:noProof/>
            <w:webHidden/>
          </w:rPr>
          <w:fldChar w:fldCharType="begin"/>
        </w:r>
        <w:r w:rsidR="006C6A26">
          <w:rPr>
            <w:noProof/>
            <w:webHidden/>
          </w:rPr>
          <w:instrText xml:space="preserve"> PAGEREF _Toc141478786 \h </w:instrText>
        </w:r>
        <w:r w:rsidR="006C6A26">
          <w:rPr>
            <w:noProof/>
            <w:webHidden/>
          </w:rPr>
        </w:r>
        <w:r w:rsidR="006C6A26">
          <w:rPr>
            <w:noProof/>
            <w:webHidden/>
          </w:rPr>
          <w:fldChar w:fldCharType="separate"/>
        </w:r>
        <w:r w:rsidR="006C6A26">
          <w:rPr>
            <w:noProof/>
            <w:webHidden/>
          </w:rPr>
          <w:t>314</w:t>
        </w:r>
        <w:r w:rsidR="006C6A26">
          <w:rPr>
            <w:noProof/>
            <w:webHidden/>
          </w:rPr>
          <w:fldChar w:fldCharType="end"/>
        </w:r>
      </w:hyperlink>
    </w:p>
    <w:p w14:paraId="0A3E2706" w14:textId="41FC7079" w:rsidR="006C6A26" w:rsidRDefault="00000000">
      <w:pPr>
        <w:pStyle w:val="TableofFigures"/>
        <w:tabs>
          <w:tab w:val="right" w:leader="dot" w:pos="9350"/>
        </w:tabs>
        <w:rPr>
          <w:rFonts w:asciiTheme="minorHAnsi" w:eastAsiaTheme="minorEastAsia" w:hAnsiTheme="minorHAnsi"/>
          <w:noProof/>
          <w:kern w:val="2"/>
          <w14:ligatures w14:val="standardContextual"/>
        </w:rPr>
      </w:pPr>
      <w:hyperlink w:anchor="_Toc141478787" w:history="1">
        <w:r w:rsidR="006C6A26" w:rsidRPr="00BD099C">
          <w:rPr>
            <w:rStyle w:val="Hyperlink"/>
            <w:rFonts w:cs="Times New Roman"/>
            <w:b/>
            <w:noProof/>
          </w:rPr>
          <w:t xml:space="preserve">Table </w:t>
        </w:r>
        <w:r w:rsidR="006C6A26" w:rsidRPr="00BD099C">
          <w:rPr>
            <w:rStyle w:val="Hyperlink"/>
            <w:rFonts w:cs="Times New Roman"/>
            <w:b/>
            <w:bCs/>
            <w:noProof/>
          </w:rPr>
          <w:t>5.</w:t>
        </w:r>
        <w:r w:rsidR="006C6A26" w:rsidRPr="00BD099C">
          <w:rPr>
            <w:rStyle w:val="Hyperlink"/>
            <w:rFonts w:cs="Times New Roman"/>
            <w:b/>
            <w:noProof/>
          </w:rPr>
          <w:t>3.</w:t>
        </w:r>
        <w:r w:rsidR="006C6A26" w:rsidRPr="00BD099C">
          <w:rPr>
            <w:rStyle w:val="Hyperlink"/>
            <w:rFonts w:cs="Times New Roman"/>
            <w:noProof/>
          </w:rPr>
          <w:t xml:space="preserve"> Summary of statistical results for aroma volatile organic compound (VOC) total concentration and pertinent (VOC) ratios detected using headspace gas chromatography-mass spectrometry.</w:t>
        </w:r>
        <w:r w:rsidR="006C6A26">
          <w:rPr>
            <w:noProof/>
            <w:webHidden/>
          </w:rPr>
          <w:tab/>
        </w:r>
        <w:r w:rsidR="006C6A26">
          <w:rPr>
            <w:noProof/>
            <w:webHidden/>
          </w:rPr>
          <w:fldChar w:fldCharType="begin"/>
        </w:r>
        <w:r w:rsidR="006C6A26">
          <w:rPr>
            <w:noProof/>
            <w:webHidden/>
          </w:rPr>
          <w:instrText xml:space="preserve"> PAGEREF _Toc141478787 \h </w:instrText>
        </w:r>
        <w:r w:rsidR="006C6A26">
          <w:rPr>
            <w:noProof/>
            <w:webHidden/>
          </w:rPr>
        </w:r>
        <w:r w:rsidR="006C6A26">
          <w:rPr>
            <w:noProof/>
            <w:webHidden/>
          </w:rPr>
          <w:fldChar w:fldCharType="separate"/>
        </w:r>
        <w:r w:rsidR="006C6A26">
          <w:rPr>
            <w:noProof/>
            <w:webHidden/>
          </w:rPr>
          <w:t>315</w:t>
        </w:r>
        <w:r w:rsidR="006C6A26">
          <w:rPr>
            <w:noProof/>
            <w:webHidden/>
          </w:rPr>
          <w:fldChar w:fldCharType="end"/>
        </w:r>
      </w:hyperlink>
    </w:p>
    <w:p w14:paraId="0D6BBD9E" w14:textId="0617C18E" w:rsidR="006C6A26" w:rsidRDefault="00000000">
      <w:pPr>
        <w:pStyle w:val="TableofFigures"/>
        <w:tabs>
          <w:tab w:val="right" w:leader="dot" w:pos="9350"/>
        </w:tabs>
        <w:rPr>
          <w:rFonts w:asciiTheme="minorHAnsi" w:eastAsiaTheme="minorEastAsia" w:hAnsiTheme="minorHAnsi"/>
          <w:noProof/>
          <w:kern w:val="2"/>
          <w14:ligatures w14:val="standardContextual"/>
        </w:rPr>
      </w:pPr>
      <w:hyperlink w:anchor="_Toc141478788" w:history="1">
        <w:r w:rsidR="006C6A26" w:rsidRPr="00BD099C">
          <w:rPr>
            <w:rStyle w:val="Hyperlink"/>
            <w:b/>
            <w:bCs/>
            <w:noProof/>
          </w:rPr>
          <w:t xml:space="preserve">Table 5.4. </w:t>
        </w:r>
        <w:r w:rsidR="006C6A26" w:rsidRPr="00BD099C">
          <w:rPr>
            <w:rStyle w:val="Hyperlink"/>
            <w:noProof/>
          </w:rPr>
          <w:t>Influence of growing season on aroma volatile tissue concentrations in hydroponically grown greenhouse sweet basil (</w:t>
        </w:r>
        <w:r w:rsidR="006C6A26" w:rsidRPr="00BD099C">
          <w:rPr>
            <w:rStyle w:val="Hyperlink"/>
            <w:i/>
            <w:iCs/>
            <w:noProof/>
          </w:rPr>
          <w:t xml:space="preserve">Ocimum basilicum </w:t>
        </w:r>
        <w:r w:rsidR="006C6A26" w:rsidRPr="00BD099C">
          <w:rPr>
            <w:rStyle w:val="Hyperlink"/>
            <w:noProof/>
          </w:rPr>
          <w:t>var. Genovese).</w:t>
        </w:r>
        <w:r w:rsidR="006C6A26">
          <w:rPr>
            <w:noProof/>
            <w:webHidden/>
          </w:rPr>
          <w:tab/>
        </w:r>
        <w:r w:rsidR="006C6A26">
          <w:rPr>
            <w:noProof/>
            <w:webHidden/>
          </w:rPr>
          <w:fldChar w:fldCharType="begin"/>
        </w:r>
        <w:r w:rsidR="006C6A26">
          <w:rPr>
            <w:noProof/>
            <w:webHidden/>
          </w:rPr>
          <w:instrText xml:space="preserve"> PAGEREF _Toc141478788 \h </w:instrText>
        </w:r>
        <w:r w:rsidR="006C6A26">
          <w:rPr>
            <w:noProof/>
            <w:webHidden/>
          </w:rPr>
        </w:r>
        <w:r w:rsidR="006C6A26">
          <w:rPr>
            <w:noProof/>
            <w:webHidden/>
          </w:rPr>
          <w:fldChar w:fldCharType="separate"/>
        </w:r>
        <w:r w:rsidR="006C6A26">
          <w:rPr>
            <w:noProof/>
            <w:webHidden/>
          </w:rPr>
          <w:t>316</w:t>
        </w:r>
        <w:r w:rsidR="006C6A26">
          <w:rPr>
            <w:noProof/>
            <w:webHidden/>
          </w:rPr>
          <w:fldChar w:fldCharType="end"/>
        </w:r>
      </w:hyperlink>
    </w:p>
    <w:p w14:paraId="7955FEDB" w14:textId="0D9CE7E3" w:rsidR="006C6A26" w:rsidRDefault="00000000">
      <w:pPr>
        <w:pStyle w:val="TableofFigures"/>
        <w:tabs>
          <w:tab w:val="right" w:leader="dot" w:pos="9350"/>
        </w:tabs>
        <w:rPr>
          <w:rFonts w:asciiTheme="minorHAnsi" w:eastAsiaTheme="minorEastAsia" w:hAnsiTheme="minorHAnsi"/>
          <w:noProof/>
          <w:kern w:val="2"/>
          <w14:ligatures w14:val="standardContextual"/>
        </w:rPr>
      </w:pPr>
      <w:hyperlink w:anchor="_Toc141478789" w:history="1">
        <w:r w:rsidR="006C6A26" w:rsidRPr="00BD099C">
          <w:rPr>
            <w:rStyle w:val="Hyperlink"/>
            <w:rFonts w:cs="Times New Roman"/>
            <w:b/>
            <w:bCs/>
            <w:noProof/>
          </w:rPr>
          <w:t xml:space="preserve">Table 5.5. </w:t>
        </w:r>
        <w:r w:rsidR="006C6A26" w:rsidRPr="00BD099C">
          <w:rPr>
            <w:rStyle w:val="Hyperlink"/>
            <w:rFonts w:cs="Times New Roman"/>
            <w:noProof/>
          </w:rPr>
          <w:t>Influence of growing season on aroma volatile organic compound (VOC) total concentration and pertinent (VOC) ratios in hydroponically grown greenhouse sweet basil (</w:t>
        </w:r>
        <w:r w:rsidR="006C6A26" w:rsidRPr="00BD099C">
          <w:rPr>
            <w:rStyle w:val="Hyperlink"/>
            <w:rFonts w:cs="Times New Roman"/>
            <w:i/>
            <w:iCs/>
            <w:noProof/>
          </w:rPr>
          <w:t xml:space="preserve">Ocimum basilicum </w:t>
        </w:r>
        <w:r w:rsidR="006C6A26" w:rsidRPr="00BD099C">
          <w:rPr>
            <w:rStyle w:val="Hyperlink"/>
            <w:rFonts w:cs="Times New Roman"/>
            <w:noProof/>
          </w:rPr>
          <w:t>var. Genovese).</w:t>
        </w:r>
        <w:r w:rsidR="006C6A26">
          <w:rPr>
            <w:noProof/>
            <w:webHidden/>
          </w:rPr>
          <w:tab/>
        </w:r>
        <w:r w:rsidR="006C6A26">
          <w:rPr>
            <w:noProof/>
            <w:webHidden/>
          </w:rPr>
          <w:fldChar w:fldCharType="begin"/>
        </w:r>
        <w:r w:rsidR="006C6A26">
          <w:rPr>
            <w:noProof/>
            <w:webHidden/>
          </w:rPr>
          <w:instrText xml:space="preserve"> PAGEREF _Toc141478789 \h </w:instrText>
        </w:r>
        <w:r w:rsidR="006C6A26">
          <w:rPr>
            <w:noProof/>
            <w:webHidden/>
          </w:rPr>
        </w:r>
        <w:r w:rsidR="006C6A26">
          <w:rPr>
            <w:noProof/>
            <w:webHidden/>
          </w:rPr>
          <w:fldChar w:fldCharType="separate"/>
        </w:r>
        <w:r w:rsidR="006C6A26">
          <w:rPr>
            <w:noProof/>
            <w:webHidden/>
          </w:rPr>
          <w:t>317</w:t>
        </w:r>
        <w:r w:rsidR="006C6A26">
          <w:rPr>
            <w:noProof/>
            <w:webHidden/>
          </w:rPr>
          <w:fldChar w:fldCharType="end"/>
        </w:r>
      </w:hyperlink>
    </w:p>
    <w:p w14:paraId="731F1B0E" w14:textId="6C801C4F" w:rsidR="006C6A26" w:rsidRDefault="00000000">
      <w:pPr>
        <w:pStyle w:val="TableofFigures"/>
        <w:tabs>
          <w:tab w:val="right" w:leader="dot" w:pos="9350"/>
        </w:tabs>
        <w:rPr>
          <w:rFonts w:asciiTheme="minorHAnsi" w:eastAsiaTheme="minorEastAsia" w:hAnsiTheme="minorHAnsi"/>
          <w:noProof/>
          <w:kern w:val="2"/>
          <w14:ligatures w14:val="standardContextual"/>
        </w:rPr>
      </w:pPr>
      <w:hyperlink w:anchor="_Toc141478790" w:history="1">
        <w:r w:rsidR="006C6A26" w:rsidRPr="00BD099C">
          <w:rPr>
            <w:rStyle w:val="Hyperlink"/>
            <w:rFonts w:cs="Times New Roman"/>
            <w:b/>
            <w:bCs/>
            <w:noProof/>
          </w:rPr>
          <w:t xml:space="preserve">Table 5.6. </w:t>
        </w:r>
        <w:r w:rsidR="006C6A26" w:rsidRPr="00BD099C">
          <w:rPr>
            <w:rStyle w:val="Hyperlink"/>
            <w:rFonts w:cs="Times New Roman"/>
            <w:noProof/>
          </w:rPr>
          <w:t>Influence of light treatment on aroma volatile tissue concentrations in hydroponically grown greenhouse sweet basil (</w:t>
        </w:r>
        <w:r w:rsidR="006C6A26" w:rsidRPr="00BD099C">
          <w:rPr>
            <w:rStyle w:val="Hyperlink"/>
            <w:rFonts w:cs="Times New Roman"/>
            <w:i/>
            <w:iCs/>
            <w:noProof/>
          </w:rPr>
          <w:t xml:space="preserve">Ocimum basilicum </w:t>
        </w:r>
        <w:r w:rsidR="006C6A26" w:rsidRPr="00BD099C">
          <w:rPr>
            <w:rStyle w:val="Hyperlink"/>
            <w:rFonts w:cs="Times New Roman"/>
            <w:noProof/>
          </w:rPr>
          <w:t>var. Genovese).</w:t>
        </w:r>
        <w:r w:rsidR="006C6A26">
          <w:rPr>
            <w:noProof/>
            <w:webHidden/>
          </w:rPr>
          <w:tab/>
        </w:r>
        <w:r w:rsidR="006C6A26">
          <w:rPr>
            <w:noProof/>
            <w:webHidden/>
          </w:rPr>
          <w:fldChar w:fldCharType="begin"/>
        </w:r>
        <w:r w:rsidR="006C6A26">
          <w:rPr>
            <w:noProof/>
            <w:webHidden/>
          </w:rPr>
          <w:instrText xml:space="preserve"> PAGEREF _Toc141478790 \h </w:instrText>
        </w:r>
        <w:r w:rsidR="006C6A26">
          <w:rPr>
            <w:noProof/>
            <w:webHidden/>
          </w:rPr>
        </w:r>
        <w:r w:rsidR="006C6A26">
          <w:rPr>
            <w:noProof/>
            <w:webHidden/>
          </w:rPr>
          <w:fldChar w:fldCharType="separate"/>
        </w:r>
        <w:r w:rsidR="006C6A26">
          <w:rPr>
            <w:noProof/>
            <w:webHidden/>
          </w:rPr>
          <w:t>318</w:t>
        </w:r>
        <w:r w:rsidR="006C6A26">
          <w:rPr>
            <w:noProof/>
            <w:webHidden/>
          </w:rPr>
          <w:fldChar w:fldCharType="end"/>
        </w:r>
      </w:hyperlink>
    </w:p>
    <w:p w14:paraId="0B5DDFE6" w14:textId="362A4A09" w:rsidR="006C6A26" w:rsidRDefault="00000000">
      <w:pPr>
        <w:pStyle w:val="TableofFigures"/>
        <w:tabs>
          <w:tab w:val="right" w:leader="dot" w:pos="9350"/>
        </w:tabs>
        <w:rPr>
          <w:rFonts w:asciiTheme="minorHAnsi" w:eastAsiaTheme="minorEastAsia" w:hAnsiTheme="minorHAnsi"/>
          <w:noProof/>
          <w:kern w:val="2"/>
          <w14:ligatures w14:val="standardContextual"/>
        </w:rPr>
      </w:pPr>
      <w:hyperlink w:anchor="_Toc141478791" w:history="1">
        <w:r w:rsidR="006C6A26" w:rsidRPr="00BD099C">
          <w:rPr>
            <w:rStyle w:val="Hyperlink"/>
            <w:rFonts w:cs="Times New Roman"/>
            <w:b/>
            <w:bCs/>
            <w:noProof/>
          </w:rPr>
          <w:t xml:space="preserve">Table 5.7. </w:t>
        </w:r>
        <w:r w:rsidR="006C6A26" w:rsidRPr="00BD099C">
          <w:rPr>
            <w:rStyle w:val="Hyperlink"/>
            <w:rFonts w:cs="Times New Roman"/>
            <w:noProof/>
          </w:rPr>
          <w:t>Influence of light treatment on aroma volatile organic compound (VOC) total concentration and pertinent (VOC) ratios in hydroponically grown greenhouse sweet basil (</w:t>
        </w:r>
        <w:r w:rsidR="006C6A26" w:rsidRPr="00BD099C">
          <w:rPr>
            <w:rStyle w:val="Hyperlink"/>
            <w:rFonts w:cs="Times New Roman"/>
            <w:i/>
            <w:iCs/>
            <w:noProof/>
          </w:rPr>
          <w:t xml:space="preserve">Ocimum basilicum </w:t>
        </w:r>
        <w:r w:rsidR="006C6A26" w:rsidRPr="00BD099C">
          <w:rPr>
            <w:rStyle w:val="Hyperlink"/>
            <w:rFonts w:cs="Times New Roman"/>
            <w:noProof/>
          </w:rPr>
          <w:t>var. Genovese).</w:t>
        </w:r>
        <w:r w:rsidR="006C6A26">
          <w:rPr>
            <w:noProof/>
            <w:webHidden/>
          </w:rPr>
          <w:tab/>
        </w:r>
        <w:r w:rsidR="006C6A26">
          <w:rPr>
            <w:noProof/>
            <w:webHidden/>
          </w:rPr>
          <w:fldChar w:fldCharType="begin"/>
        </w:r>
        <w:r w:rsidR="006C6A26">
          <w:rPr>
            <w:noProof/>
            <w:webHidden/>
          </w:rPr>
          <w:instrText xml:space="preserve"> PAGEREF _Toc141478791 \h </w:instrText>
        </w:r>
        <w:r w:rsidR="006C6A26">
          <w:rPr>
            <w:noProof/>
            <w:webHidden/>
          </w:rPr>
        </w:r>
        <w:r w:rsidR="006C6A26">
          <w:rPr>
            <w:noProof/>
            <w:webHidden/>
          </w:rPr>
          <w:fldChar w:fldCharType="separate"/>
        </w:r>
        <w:r w:rsidR="006C6A26">
          <w:rPr>
            <w:noProof/>
            <w:webHidden/>
          </w:rPr>
          <w:t>319</w:t>
        </w:r>
        <w:r w:rsidR="006C6A26">
          <w:rPr>
            <w:noProof/>
            <w:webHidden/>
          </w:rPr>
          <w:fldChar w:fldCharType="end"/>
        </w:r>
      </w:hyperlink>
    </w:p>
    <w:p w14:paraId="2B633F1E" w14:textId="547C0612" w:rsidR="006C6A26" w:rsidRDefault="00000000">
      <w:pPr>
        <w:pStyle w:val="TableofFigures"/>
        <w:tabs>
          <w:tab w:val="right" w:leader="dot" w:pos="9350"/>
        </w:tabs>
        <w:rPr>
          <w:rFonts w:asciiTheme="minorHAnsi" w:eastAsiaTheme="minorEastAsia" w:hAnsiTheme="minorHAnsi"/>
          <w:noProof/>
          <w:kern w:val="2"/>
          <w14:ligatures w14:val="standardContextual"/>
        </w:rPr>
      </w:pPr>
      <w:hyperlink w:anchor="_Toc141478792" w:history="1">
        <w:r w:rsidR="006C6A26" w:rsidRPr="00BD099C">
          <w:rPr>
            <w:rStyle w:val="Hyperlink"/>
            <w:rFonts w:cs="Times New Roman"/>
            <w:b/>
            <w:bCs/>
            <w:noProof/>
          </w:rPr>
          <w:t xml:space="preserve">Table 5.8. </w:t>
        </w:r>
        <w:r w:rsidR="006C6A26" w:rsidRPr="00BD099C">
          <w:rPr>
            <w:rStyle w:val="Hyperlink"/>
            <w:rFonts w:cs="Times New Roman"/>
            <w:noProof/>
          </w:rPr>
          <w:t>Demographics of participants in sensory evaluation by growing season.</w:t>
        </w:r>
        <w:r w:rsidR="006C6A26">
          <w:rPr>
            <w:noProof/>
            <w:webHidden/>
          </w:rPr>
          <w:tab/>
        </w:r>
        <w:r w:rsidR="006C6A26">
          <w:rPr>
            <w:noProof/>
            <w:webHidden/>
          </w:rPr>
          <w:fldChar w:fldCharType="begin"/>
        </w:r>
        <w:r w:rsidR="006C6A26">
          <w:rPr>
            <w:noProof/>
            <w:webHidden/>
          </w:rPr>
          <w:instrText xml:space="preserve"> PAGEREF _Toc141478792 \h </w:instrText>
        </w:r>
        <w:r w:rsidR="006C6A26">
          <w:rPr>
            <w:noProof/>
            <w:webHidden/>
          </w:rPr>
        </w:r>
        <w:r w:rsidR="006C6A26">
          <w:rPr>
            <w:noProof/>
            <w:webHidden/>
          </w:rPr>
          <w:fldChar w:fldCharType="separate"/>
        </w:r>
        <w:r w:rsidR="006C6A26">
          <w:rPr>
            <w:noProof/>
            <w:webHidden/>
          </w:rPr>
          <w:t>320</w:t>
        </w:r>
        <w:r w:rsidR="006C6A26">
          <w:rPr>
            <w:noProof/>
            <w:webHidden/>
          </w:rPr>
          <w:fldChar w:fldCharType="end"/>
        </w:r>
      </w:hyperlink>
    </w:p>
    <w:p w14:paraId="19791D18" w14:textId="72AB7FFA" w:rsidR="006C6A26" w:rsidRDefault="00000000">
      <w:pPr>
        <w:pStyle w:val="TableofFigures"/>
        <w:tabs>
          <w:tab w:val="right" w:leader="dot" w:pos="9350"/>
        </w:tabs>
        <w:rPr>
          <w:rFonts w:asciiTheme="minorHAnsi" w:eastAsiaTheme="minorEastAsia" w:hAnsiTheme="minorHAnsi"/>
          <w:noProof/>
          <w:kern w:val="2"/>
          <w14:ligatures w14:val="standardContextual"/>
        </w:rPr>
      </w:pPr>
      <w:hyperlink w:anchor="_Toc141478793" w:history="1">
        <w:r w:rsidR="006C6A26" w:rsidRPr="00BD099C">
          <w:rPr>
            <w:rStyle w:val="Hyperlink"/>
            <w:rFonts w:cs="Times New Roman"/>
            <w:b/>
            <w:bCs/>
            <w:noProof/>
          </w:rPr>
          <w:t xml:space="preserve">Table 5.9. </w:t>
        </w:r>
        <w:r w:rsidR="006C6A26" w:rsidRPr="00BD099C">
          <w:rPr>
            <w:rStyle w:val="Hyperlink"/>
            <w:rFonts w:cs="Times New Roman"/>
            <w:noProof/>
          </w:rPr>
          <w:t>Consumer overall liking scores of ‘Genovese’ sweet basil across growing season and lighting type.</w:t>
        </w:r>
        <w:r w:rsidR="006C6A26">
          <w:rPr>
            <w:noProof/>
            <w:webHidden/>
          </w:rPr>
          <w:tab/>
        </w:r>
        <w:r w:rsidR="006C6A26">
          <w:rPr>
            <w:noProof/>
            <w:webHidden/>
          </w:rPr>
          <w:fldChar w:fldCharType="begin"/>
        </w:r>
        <w:r w:rsidR="006C6A26">
          <w:rPr>
            <w:noProof/>
            <w:webHidden/>
          </w:rPr>
          <w:instrText xml:space="preserve"> PAGEREF _Toc141478793 \h </w:instrText>
        </w:r>
        <w:r w:rsidR="006C6A26">
          <w:rPr>
            <w:noProof/>
            <w:webHidden/>
          </w:rPr>
        </w:r>
        <w:r w:rsidR="006C6A26">
          <w:rPr>
            <w:noProof/>
            <w:webHidden/>
          </w:rPr>
          <w:fldChar w:fldCharType="separate"/>
        </w:r>
        <w:r w:rsidR="006C6A26">
          <w:rPr>
            <w:noProof/>
            <w:webHidden/>
          </w:rPr>
          <w:t>321</w:t>
        </w:r>
        <w:r w:rsidR="006C6A26">
          <w:rPr>
            <w:noProof/>
            <w:webHidden/>
          </w:rPr>
          <w:fldChar w:fldCharType="end"/>
        </w:r>
      </w:hyperlink>
    </w:p>
    <w:p w14:paraId="565DE83A" w14:textId="3BA43C39" w:rsidR="006C6A26" w:rsidRDefault="00000000">
      <w:pPr>
        <w:pStyle w:val="TableofFigures"/>
        <w:tabs>
          <w:tab w:val="right" w:leader="dot" w:pos="9350"/>
        </w:tabs>
        <w:rPr>
          <w:rFonts w:asciiTheme="minorHAnsi" w:eastAsiaTheme="minorEastAsia" w:hAnsiTheme="minorHAnsi"/>
          <w:noProof/>
          <w:kern w:val="2"/>
          <w14:ligatures w14:val="standardContextual"/>
        </w:rPr>
      </w:pPr>
      <w:hyperlink w:anchor="_Toc141478794" w:history="1">
        <w:r w:rsidR="006C6A26" w:rsidRPr="00BD099C">
          <w:rPr>
            <w:rStyle w:val="Hyperlink"/>
            <w:rFonts w:cs="Times New Roman"/>
            <w:b/>
            <w:bCs/>
            <w:noProof/>
          </w:rPr>
          <w:t xml:space="preserve">Table 5.10. </w:t>
        </w:r>
        <w:r w:rsidR="006C6A26" w:rsidRPr="00BD099C">
          <w:rPr>
            <w:rStyle w:val="Hyperlink"/>
            <w:rFonts w:cs="Times New Roman"/>
            <w:noProof/>
          </w:rPr>
          <w:t>Consumer overall aroma intensity scores of ‘Genovese’ sweet basil across growing season and lighting type. Means of growing seasons are compared in models without significant interaction terms and different are represented with ascending letters.</w:t>
        </w:r>
        <w:r w:rsidR="006C6A26">
          <w:rPr>
            <w:noProof/>
            <w:webHidden/>
          </w:rPr>
          <w:tab/>
        </w:r>
        <w:r w:rsidR="006C6A26">
          <w:rPr>
            <w:noProof/>
            <w:webHidden/>
          </w:rPr>
          <w:fldChar w:fldCharType="begin"/>
        </w:r>
        <w:r w:rsidR="006C6A26">
          <w:rPr>
            <w:noProof/>
            <w:webHidden/>
          </w:rPr>
          <w:instrText xml:space="preserve"> PAGEREF _Toc141478794 \h </w:instrText>
        </w:r>
        <w:r w:rsidR="006C6A26">
          <w:rPr>
            <w:noProof/>
            <w:webHidden/>
          </w:rPr>
        </w:r>
        <w:r w:rsidR="006C6A26">
          <w:rPr>
            <w:noProof/>
            <w:webHidden/>
          </w:rPr>
          <w:fldChar w:fldCharType="separate"/>
        </w:r>
        <w:r w:rsidR="006C6A26">
          <w:rPr>
            <w:noProof/>
            <w:webHidden/>
          </w:rPr>
          <w:t>322</w:t>
        </w:r>
        <w:r w:rsidR="006C6A26">
          <w:rPr>
            <w:noProof/>
            <w:webHidden/>
          </w:rPr>
          <w:fldChar w:fldCharType="end"/>
        </w:r>
      </w:hyperlink>
    </w:p>
    <w:p w14:paraId="6BA2CFFC" w14:textId="33F14EF4" w:rsidR="006C6A26" w:rsidRDefault="00000000">
      <w:pPr>
        <w:pStyle w:val="TableofFigures"/>
        <w:tabs>
          <w:tab w:val="right" w:leader="dot" w:pos="9350"/>
        </w:tabs>
        <w:rPr>
          <w:rFonts w:asciiTheme="minorHAnsi" w:eastAsiaTheme="minorEastAsia" w:hAnsiTheme="minorHAnsi"/>
          <w:noProof/>
          <w:kern w:val="2"/>
          <w14:ligatures w14:val="standardContextual"/>
        </w:rPr>
      </w:pPr>
      <w:hyperlink w:anchor="_Toc141478795" w:history="1">
        <w:r w:rsidR="006C6A26" w:rsidRPr="00BD099C">
          <w:rPr>
            <w:rStyle w:val="Hyperlink"/>
            <w:rFonts w:cs="Times New Roman"/>
            <w:b/>
            <w:bCs/>
            <w:noProof/>
          </w:rPr>
          <w:t xml:space="preserve">Table 5.11. </w:t>
        </w:r>
        <w:r w:rsidR="006C6A26" w:rsidRPr="00BD099C">
          <w:rPr>
            <w:rStyle w:val="Hyperlink"/>
            <w:rFonts w:cs="Times New Roman"/>
            <w:noProof/>
          </w:rPr>
          <w:t>Differentially expressed genes (DEGs) based on comparisons between supplemental lighting treatment and natural light (NL) control.</w:t>
        </w:r>
        <w:r w:rsidR="006C6A26">
          <w:rPr>
            <w:noProof/>
            <w:webHidden/>
          </w:rPr>
          <w:tab/>
        </w:r>
        <w:r w:rsidR="006C6A26">
          <w:rPr>
            <w:noProof/>
            <w:webHidden/>
          </w:rPr>
          <w:fldChar w:fldCharType="begin"/>
        </w:r>
        <w:r w:rsidR="006C6A26">
          <w:rPr>
            <w:noProof/>
            <w:webHidden/>
          </w:rPr>
          <w:instrText xml:space="preserve"> PAGEREF _Toc141478795 \h </w:instrText>
        </w:r>
        <w:r w:rsidR="006C6A26">
          <w:rPr>
            <w:noProof/>
            <w:webHidden/>
          </w:rPr>
        </w:r>
        <w:r w:rsidR="006C6A26">
          <w:rPr>
            <w:noProof/>
            <w:webHidden/>
          </w:rPr>
          <w:fldChar w:fldCharType="separate"/>
        </w:r>
        <w:r w:rsidR="006C6A26">
          <w:rPr>
            <w:noProof/>
            <w:webHidden/>
          </w:rPr>
          <w:t>323</w:t>
        </w:r>
        <w:r w:rsidR="006C6A26">
          <w:rPr>
            <w:noProof/>
            <w:webHidden/>
          </w:rPr>
          <w:fldChar w:fldCharType="end"/>
        </w:r>
      </w:hyperlink>
    </w:p>
    <w:p w14:paraId="22DBE5F6" w14:textId="6011EB5C" w:rsidR="00126D8D" w:rsidRPr="007F77C5" w:rsidRDefault="00126D8D">
      <w:pPr>
        <w:spacing w:line="240" w:lineRule="auto"/>
        <w:rPr>
          <w:rFonts w:cs="Times New Roman"/>
        </w:rPr>
      </w:pPr>
      <w:r w:rsidRPr="007F77C5">
        <w:rPr>
          <w:rFonts w:cs="Times New Roman"/>
        </w:rPr>
        <w:fldChar w:fldCharType="end"/>
      </w:r>
    </w:p>
    <w:p w14:paraId="6911D818" w14:textId="77777777" w:rsidR="00126D8D" w:rsidRPr="007F77C5" w:rsidRDefault="00126D8D">
      <w:pPr>
        <w:spacing w:line="240" w:lineRule="auto"/>
        <w:rPr>
          <w:rFonts w:cs="Times New Roman"/>
          <w:b/>
          <w:sz w:val="28"/>
        </w:rPr>
      </w:pPr>
      <w:r w:rsidRPr="007F77C5">
        <w:rPr>
          <w:rFonts w:cs="Times New Roman"/>
        </w:rPr>
        <w:br w:type="page"/>
      </w:r>
    </w:p>
    <w:p w14:paraId="6C9C06BA" w14:textId="3E1B6272" w:rsidR="00126D8D" w:rsidRPr="00EF6679" w:rsidRDefault="00126D8D" w:rsidP="00EF6679">
      <w:pPr>
        <w:rPr>
          <w:b/>
          <w:bCs/>
          <w:sz w:val="28"/>
          <w:szCs w:val="28"/>
        </w:rPr>
      </w:pPr>
      <w:bookmarkStart w:id="26" w:name="_Toc499735558"/>
      <w:bookmarkStart w:id="27" w:name="_Toc501479842"/>
      <w:bookmarkStart w:id="28" w:name="_Toc501647066"/>
      <w:bookmarkStart w:id="29" w:name="_Toc501658875"/>
      <w:bookmarkStart w:id="30" w:name="_Toc502751640"/>
      <w:bookmarkStart w:id="31" w:name="_Toc139574768"/>
      <w:r w:rsidRPr="00EF6679">
        <w:rPr>
          <w:b/>
          <w:bCs/>
          <w:sz w:val="28"/>
          <w:szCs w:val="28"/>
        </w:rPr>
        <w:lastRenderedPageBreak/>
        <w:t>List of Figures</w:t>
      </w:r>
      <w:bookmarkEnd w:id="25"/>
      <w:bookmarkEnd w:id="26"/>
      <w:bookmarkEnd w:id="27"/>
      <w:bookmarkEnd w:id="28"/>
      <w:bookmarkEnd w:id="29"/>
      <w:bookmarkEnd w:id="30"/>
      <w:bookmarkEnd w:id="31"/>
    </w:p>
    <w:p w14:paraId="3C27E676" w14:textId="2ADD086E" w:rsidR="006C6A26" w:rsidRDefault="00126D8D">
      <w:pPr>
        <w:pStyle w:val="TableofFigures"/>
        <w:tabs>
          <w:tab w:val="right" w:leader="dot" w:pos="9350"/>
        </w:tabs>
        <w:rPr>
          <w:rFonts w:asciiTheme="minorHAnsi" w:eastAsiaTheme="minorEastAsia" w:hAnsiTheme="minorHAnsi"/>
          <w:noProof/>
          <w:kern w:val="2"/>
          <w14:ligatures w14:val="standardContextual"/>
        </w:rPr>
      </w:pPr>
      <w:r w:rsidRPr="007F77C5">
        <w:rPr>
          <w:rFonts w:cs="Times New Roman"/>
        </w:rPr>
        <w:fldChar w:fldCharType="begin"/>
      </w:r>
      <w:r w:rsidRPr="007F77C5">
        <w:rPr>
          <w:rFonts w:cs="Times New Roman"/>
        </w:rPr>
        <w:instrText xml:space="preserve"> TOC \h \z \t "TOC Figures1" \c </w:instrText>
      </w:r>
      <w:r w:rsidRPr="007F77C5">
        <w:rPr>
          <w:rFonts w:cs="Times New Roman"/>
        </w:rPr>
        <w:fldChar w:fldCharType="separate"/>
      </w:r>
      <w:hyperlink w:anchor="_Toc141478796" w:history="1">
        <w:r w:rsidR="006C6A26" w:rsidRPr="00B63B3E">
          <w:rPr>
            <w:rStyle w:val="Hyperlink"/>
            <w:rFonts w:cs="Times New Roman"/>
            <w:b/>
            <w:bCs/>
            <w:noProof/>
          </w:rPr>
          <w:t>Figure 1.1.</w:t>
        </w:r>
        <w:r w:rsidR="006C6A26" w:rsidRPr="00B63B3E">
          <w:rPr>
            <w:rStyle w:val="Hyperlink"/>
            <w:rFonts w:cs="Times New Roman"/>
            <w:noProof/>
          </w:rPr>
          <w:t xml:space="preserve"> Absorption spectra of common carotenoids and chlorophyll pigments.</w:t>
        </w:r>
        <w:r w:rsidR="006C6A26">
          <w:rPr>
            <w:noProof/>
            <w:webHidden/>
          </w:rPr>
          <w:tab/>
        </w:r>
        <w:r w:rsidR="006C6A26">
          <w:rPr>
            <w:noProof/>
            <w:webHidden/>
          </w:rPr>
          <w:fldChar w:fldCharType="begin"/>
        </w:r>
        <w:r w:rsidR="006C6A26">
          <w:rPr>
            <w:noProof/>
            <w:webHidden/>
          </w:rPr>
          <w:instrText xml:space="preserve"> PAGEREF _Toc141478796 \h </w:instrText>
        </w:r>
        <w:r w:rsidR="006C6A26">
          <w:rPr>
            <w:noProof/>
            <w:webHidden/>
          </w:rPr>
        </w:r>
        <w:r w:rsidR="006C6A26">
          <w:rPr>
            <w:noProof/>
            <w:webHidden/>
          </w:rPr>
          <w:fldChar w:fldCharType="separate"/>
        </w:r>
        <w:r w:rsidR="006C6A26">
          <w:rPr>
            <w:noProof/>
            <w:webHidden/>
          </w:rPr>
          <w:t>80</w:t>
        </w:r>
        <w:r w:rsidR="006C6A26">
          <w:rPr>
            <w:noProof/>
            <w:webHidden/>
          </w:rPr>
          <w:fldChar w:fldCharType="end"/>
        </w:r>
      </w:hyperlink>
    </w:p>
    <w:p w14:paraId="61C1126F" w14:textId="35475838" w:rsidR="006C6A26" w:rsidRDefault="00000000">
      <w:pPr>
        <w:pStyle w:val="TableofFigures"/>
        <w:tabs>
          <w:tab w:val="right" w:leader="dot" w:pos="9350"/>
        </w:tabs>
        <w:rPr>
          <w:rFonts w:asciiTheme="minorHAnsi" w:eastAsiaTheme="minorEastAsia" w:hAnsiTheme="minorHAnsi"/>
          <w:noProof/>
          <w:kern w:val="2"/>
          <w14:ligatures w14:val="standardContextual"/>
        </w:rPr>
      </w:pPr>
      <w:hyperlink w:anchor="_Toc141478797" w:history="1">
        <w:r w:rsidR="006C6A26" w:rsidRPr="00B63B3E">
          <w:rPr>
            <w:rStyle w:val="Hyperlink"/>
            <w:rFonts w:cs="Times New Roman"/>
            <w:b/>
            <w:bCs/>
            <w:noProof/>
          </w:rPr>
          <w:t>Figure 1.2.</w:t>
        </w:r>
        <w:r w:rsidR="006C6A26" w:rsidRPr="00B63B3E">
          <w:rPr>
            <w:rStyle w:val="Hyperlink"/>
            <w:rFonts w:cs="Times New Roman"/>
            <w:noProof/>
          </w:rPr>
          <w:t xml:space="preserve"> Absorption spectra of common carotenoids and chlorophyll pigments.</w:t>
        </w:r>
        <w:r w:rsidR="006C6A26">
          <w:rPr>
            <w:noProof/>
            <w:webHidden/>
          </w:rPr>
          <w:tab/>
        </w:r>
        <w:r w:rsidR="006C6A26">
          <w:rPr>
            <w:noProof/>
            <w:webHidden/>
          </w:rPr>
          <w:fldChar w:fldCharType="begin"/>
        </w:r>
        <w:r w:rsidR="006C6A26">
          <w:rPr>
            <w:noProof/>
            <w:webHidden/>
          </w:rPr>
          <w:instrText xml:space="preserve"> PAGEREF _Toc141478797 \h </w:instrText>
        </w:r>
        <w:r w:rsidR="006C6A26">
          <w:rPr>
            <w:noProof/>
            <w:webHidden/>
          </w:rPr>
        </w:r>
        <w:r w:rsidR="006C6A26">
          <w:rPr>
            <w:noProof/>
            <w:webHidden/>
          </w:rPr>
          <w:fldChar w:fldCharType="separate"/>
        </w:r>
        <w:r w:rsidR="006C6A26">
          <w:rPr>
            <w:noProof/>
            <w:webHidden/>
          </w:rPr>
          <w:t>81</w:t>
        </w:r>
        <w:r w:rsidR="006C6A26">
          <w:rPr>
            <w:noProof/>
            <w:webHidden/>
          </w:rPr>
          <w:fldChar w:fldCharType="end"/>
        </w:r>
      </w:hyperlink>
    </w:p>
    <w:p w14:paraId="46ED16CC" w14:textId="5FA7E333" w:rsidR="006C6A26" w:rsidRDefault="00000000">
      <w:pPr>
        <w:pStyle w:val="TableofFigures"/>
        <w:tabs>
          <w:tab w:val="right" w:leader="dot" w:pos="9350"/>
        </w:tabs>
        <w:rPr>
          <w:rFonts w:asciiTheme="minorHAnsi" w:eastAsiaTheme="minorEastAsia" w:hAnsiTheme="minorHAnsi"/>
          <w:noProof/>
          <w:kern w:val="2"/>
          <w14:ligatures w14:val="standardContextual"/>
        </w:rPr>
      </w:pPr>
      <w:hyperlink w:anchor="_Toc141478798" w:history="1">
        <w:r w:rsidR="006C6A26" w:rsidRPr="00B63B3E">
          <w:rPr>
            <w:rStyle w:val="Hyperlink"/>
            <w:rFonts w:cs="Times New Roman"/>
            <w:b/>
            <w:bCs/>
            <w:noProof/>
          </w:rPr>
          <w:t>Figure 1.3.</w:t>
        </w:r>
        <w:r w:rsidR="006C6A26" w:rsidRPr="00B63B3E">
          <w:rPr>
            <w:rStyle w:val="Hyperlink"/>
            <w:rFonts w:cs="Times New Roman"/>
            <w:noProof/>
          </w:rPr>
          <w:t xml:space="preserve"> Absorption spectra of common isoprenoids.</w:t>
        </w:r>
        <w:r w:rsidR="006C6A26">
          <w:rPr>
            <w:noProof/>
            <w:webHidden/>
          </w:rPr>
          <w:tab/>
        </w:r>
        <w:r w:rsidR="006C6A26">
          <w:rPr>
            <w:noProof/>
            <w:webHidden/>
          </w:rPr>
          <w:fldChar w:fldCharType="begin"/>
        </w:r>
        <w:r w:rsidR="006C6A26">
          <w:rPr>
            <w:noProof/>
            <w:webHidden/>
          </w:rPr>
          <w:instrText xml:space="preserve"> PAGEREF _Toc141478798 \h </w:instrText>
        </w:r>
        <w:r w:rsidR="006C6A26">
          <w:rPr>
            <w:noProof/>
            <w:webHidden/>
          </w:rPr>
        </w:r>
        <w:r w:rsidR="006C6A26">
          <w:rPr>
            <w:noProof/>
            <w:webHidden/>
          </w:rPr>
          <w:fldChar w:fldCharType="separate"/>
        </w:r>
        <w:r w:rsidR="006C6A26">
          <w:rPr>
            <w:noProof/>
            <w:webHidden/>
          </w:rPr>
          <w:t>82</w:t>
        </w:r>
        <w:r w:rsidR="006C6A26">
          <w:rPr>
            <w:noProof/>
            <w:webHidden/>
          </w:rPr>
          <w:fldChar w:fldCharType="end"/>
        </w:r>
      </w:hyperlink>
    </w:p>
    <w:p w14:paraId="10906E39" w14:textId="0C79F6C0" w:rsidR="006C6A26" w:rsidRDefault="00000000">
      <w:pPr>
        <w:pStyle w:val="TableofFigures"/>
        <w:tabs>
          <w:tab w:val="right" w:leader="dot" w:pos="9350"/>
        </w:tabs>
        <w:rPr>
          <w:rFonts w:asciiTheme="minorHAnsi" w:eastAsiaTheme="minorEastAsia" w:hAnsiTheme="minorHAnsi"/>
          <w:noProof/>
          <w:kern w:val="2"/>
          <w14:ligatures w14:val="standardContextual"/>
        </w:rPr>
      </w:pPr>
      <w:hyperlink w:anchor="_Toc141478799" w:history="1">
        <w:r w:rsidR="006C6A26" w:rsidRPr="00B63B3E">
          <w:rPr>
            <w:rStyle w:val="Hyperlink"/>
            <w:rFonts w:cs="Times New Roman"/>
            <w:b/>
            <w:bCs/>
            <w:noProof/>
          </w:rPr>
          <w:t>Figure 1.4.</w:t>
        </w:r>
        <w:r w:rsidR="006C6A26" w:rsidRPr="00B63B3E">
          <w:rPr>
            <w:rStyle w:val="Hyperlink"/>
            <w:rFonts w:cs="Times New Roman"/>
            <w:noProof/>
          </w:rPr>
          <w:t xml:space="preserve"> The range of wavelengths that are sensed by the primary plant photoreceptors (phytochromes, cryptochromes, phototropins, and UVR8), allowing light-driven developmental adaptations.</w:t>
        </w:r>
        <w:r w:rsidR="006C6A26">
          <w:rPr>
            <w:noProof/>
            <w:webHidden/>
          </w:rPr>
          <w:tab/>
        </w:r>
        <w:r w:rsidR="006C6A26">
          <w:rPr>
            <w:noProof/>
            <w:webHidden/>
          </w:rPr>
          <w:fldChar w:fldCharType="begin"/>
        </w:r>
        <w:r w:rsidR="006C6A26">
          <w:rPr>
            <w:noProof/>
            <w:webHidden/>
          </w:rPr>
          <w:instrText xml:space="preserve"> PAGEREF _Toc141478799 \h </w:instrText>
        </w:r>
        <w:r w:rsidR="006C6A26">
          <w:rPr>
            <w:noProof/>
            <w:webHidden/>
          </w:rPr>
        </w:r>
        <w:r w:rsidR="006C6A26">
          <w:rPr>
            <w:noProof/>
            <w:webHidden/>
          </w:rPr>
          <w:fldChar w:fldCharType="separate"/>
        </w:r>
        <w:r w:rsidR="006C6A26">
          <w:rPr>
            <w:noProof/>
            <w:webHidden/>
          </w:rPr>
          <w:t>83</w:t>
        </w:r>
        <w:r w:rsidR="006C6A26">
          <w:rPr>
            <w:noProof/>
            <w:webHidden/>
          </w:rPr>
          <w:fldChar w:fldCharType="end"/>
        </w:r>
      </w:hyperlink>
    </w:p>
    <w:p w14:paraId="0FE13995" w14:textId="34CD47AC" w:rsidR="006C6A26" w:rsidRDefault="00000000">
      <w:pPr>
        <w:pStyle w:val="TableofFigures"/>
        <w:tabs>
          <w:tab w:val="right" w:leader="dot" w:pos="9350"/>
        </w:tabs>
        <w:rPr>
          <w:rFonts w:asciiTheme="minorHAnsi" w:eastAsiaTheme="minorEastAsia" w:hAnsiTheme="minorHAnsi"/>
          <w:noProof/>
          <w:kern w:val="2"/>
          <w14:ligatures w14:val="standardContextual"/>
        </w:rPr>
      </w:pPr>
      <w:hyperlink w:anchor="_Toc141478800" w:history="1">
        <w:r w:rsidR="006C6A26" w:rsidRPr="00B63B3E">
          <w:rPr>
            <w:rStyle w:val="Hyperlink"/>
            <w:rFonts w:cs="Times New Roman"/>
            <w:b/>
            <w:bCs/>
            <w:noProof/>
          </w:rPr>
          <w:t>Figure 1.5.</w:t>
        </w:r>
        <w:r w:rsidR="006C6A26" w:rsidRPr="00B63B3E">
          <w:rPr>
            <w:rStyle w:val="Hyperlink"/>
            <w:rFonts w:cs="Times New Roman"/>
            <w:noProof/>
          </w:rPr>
          <w:t xml:space="preserve"> The impact of various narrowband wavelength enhancements on secondary metabolism.</w:t>
        </w:r>
        <w:r w:rsidR="006C6A26">
          <w:rPr>
            <w:noProof/>
            <w:webHidden/>
          </w:rPr>
          <w:tab/>
        </w:r>
        <w:r w:rsidR="006C6A26">
          <w:rPr>
            <w:noProof/>
            <w:webHidden/>
          </w:rPr>
          <w:fldChar w:fldCharType="begin"/>
        </w:r>
        <w:r w:rsidR="006C6A26">
          <w:rPr>
            <w:noProof/>
            <w:webHidden/>
          </w:rPr>
          <w:instrText xml:space="preserve"> PAGEREF _Toc141478800 \h </w:instrText>
        </w:r>
        <w:r w:rsidR="006C6A26">
          <w:rPr>
            <w:noProof/>
            <w:webHidden/>
          </w:rPr>
        </w:r>
        <w:r w:rsidR="006C6A26">
          <w:rPr>
            <w:noProof/>
            <w:webHidden/>
          </w:rPr>
          <w:fldChar w:fldCharType="separate"/>
        </w:r>
        <w:r w:rsidR="006C6A26">
          <w:rPr>
            <w:noProof/>
            <w:webHidden/>
          </w:rPr>
          <w:t>84</w:t>
        </w:r>
        <w:r w:rsidR="006C6A26">
          <w:rPr>
            <w:noProof/>
            <w:webHidden/>
          </w:rPr>
          <w:fldChar w:fldCharType="end"/>
        </w:r>
      </w:hyperlink>
    </w:p>
    <w:p w14:paraId="4E6AB76F" w14:textId="56D3FC1B" w:rsidR="006C6A26" w:rsidRDefault="00000000">
      <w:pPr>
        <w:pStyle w:val="TableofFigures"/>
        <w:tabs>
          <w:tab w:val="right" w:leader="dot" w:pos="9350"/>
        </w:tabs>
        <w:rPr>
          <w:rFonts w:asciiTheme="minorHAnsi" w:eastAsiaTheme="minorEastAsia" w:hAnsiTheme="minorHAnsi"/>
          <w:noProof/>
          <w:kern w:val="2"/>
          <w14:ligatures w14:val="standardContextual"/>
        </w:rPr>
      </w:pPr>
      <w:hyperlink w:anchor="_Toc141478801" w:history="1">
        <w:r w:rsidR="006C6A26" w:rsidRPr="00B63B3E">
          <w:rPr>
            <w:rStyle w:val="Hyperlink"/>
            <w:rFonts w:cs="Times New Roman"/>
            <w:b/>
            <w:bCs/>
            <w:noProof/>
          </w:rPr>
          <w:t xml:space="preserve">Figure 1.6. </w:t>
        </w:r>
        <w:r w:rsidR="006C6A26" w:rsidRPr="00B63B3E">
          <w:rPr>
            <w:rStyle w:val="Hyperlink"/>
            <w:rFonts w:cs="Times New Roman"/>
            <w:noProof/>
          </w:rPr>
          <w:t>Plant terpenoid secondary metabolic reactions and pathways.</w:t>
        </w:r>
        <w:r w:rsidR="006C6A26">
          <w:rPr>
            <w:noProof/>
            <w:webHidden/>
          </w:rPr>
          <w:tab/>
        </w:r>
        <w:r w:rsidR="006C6A26">
          <w:rPr>
            <w:noProof/>
            <w:webHidden/>
          </w:rPr>
          <w:fldChar w:fldCharType="begin"/>
        </w:r>
        <w:r w:rsidR="006C6A26">
          <w:rPr>
            <w:noProof/>
            <w:webHidden/>
          </w:rPr>
          <w:instrText xml:space="preserve"> PAGEREF _Toc141478801 \h </w:instrText>
        </w:r>
        <w:r w:rsidR="006C6A26">
          <w:rPr>
            <w:noProof/>
            <w:webHidden/>
          </w:rPr>
        </w:r>
        <w:r w:rsidR="006C6A26">
          <w:rPr>
            <w:noProof/>
            <w:webHidden/>
          </w:rPr>
          <w:fldChar w:fldCharType="separate"/>
        </w:r>
        <w:r w:rsidR="006C6A26">
          <w:rPr>
            <w:noProof/>
            <w:webHidden/>
          </w:rPr>
          <w:t>85</w:t>
        </w:r>
        <w:r w:rsidR="006C6A26">
          <w:rPr>
            <w:noProof/>
            <w:webHidden/>
          </w:rPr>
          <w:fldChar w:fldCharType="end"/>
        </w:r>
      </w:hyperlink>
    </w:p>
    <w:p w14:paraId="6F0C00E7" w14:textId="6C62AD79" w:rsidR="006C6A26" w:rsidRDefault="00000000">
      <w:pPr>
        <w:pStyle w:val="TableofFigures"/>
        <w:tabs>
          <w:tab w:val="right" w:leader="dot" w:pos="9350"/>
        </w:tabs>
        <w:rPr>
          <w:rFonts w:asciiTheme="minorHAnsi" w:eastAsiaTheme="minorEastAsia" w:hAnsiTheme="minorHAnsi"/>
          <w:noProof/>
          <w:kern w:val="2"/>
          <w14:ligatures w14:val="standardContextual"/>
        </w:rPr>
      </w:pPr>
      <w:hyperlink w:anchor="_Toc141478802" w:history="1">
        <w:r w:rsidR="006C6A26" w:rsidRPr="00B63B3E">
          <w:rPr>
            <w:rStyle w:val="Hyperlink"/>
            <w:rFonts w:cs="Times New Roman"/>
            <w:b/>
            <w:bCs/>
            <w:noProof/>
          </w:rPr>
          <w:t>Figure 1.7.</w:t>
        </w:r>
        <w:r w:rsidR="006C6A26" w:rsidRPr="00B63B3E">
          <w:rPr>
            <w:rStyle w:val="Hyperlink"/>
            <w:rFonts w:cs="Times New Roman"/>
            <w:noProof/>
          </w:rPr>
          <w:t xml:space="preserve"> Isoprenogenic pathway for key volatile secondary metabolites in the mint family.</w:t>
        </w:r>
        <w:r w:rsidR="006C6A26">
          <w:rPr>
            <w:noProof/>
            <w:webHidden/>
          </w:rPr>
          <w:tab/>
        </w:r>
        <w:r w:rsidR="006C6A26">
          <w:rPr>
            <w:noProof/>
            <w:webHidden/>
          </w:rPr>
          <w:fldChar w:fldCharType="begin"/>
        </w:r>
        <w:r w:rsidR="006C6A26">
          <w:rPr>
            <w:noProof/>
            <w:webHidden/>
          </w:rPr>
          <w:instrText xml:space="preserve"> PAGEREF _Toc141478802 \h </w:instrText>
        </w:r>
        <w:r w:rsidR="006C6A26">
          <w:rPr>
            <w:noProof/>
            <w:webHidden/>
          </w:rPr>
        </w:r>
        <w:r w:rsidR="006C6A26">
          <w:rPr>
            <w:noProof/>
            <w:webHidden/>
          </w:rPr>
          <w:fldChar w:fldCharType="separate"/>
        </w:r>
        <w:r w:rsidR="006C6A26">
          <w:rPr>
            <w:noProof/>
            <w:webHidden/>
          </w:rPr>
          <w:t>86</w:t>
        </w:r>
        <w:r w:rsidR="006C6A26">
          <w:rPr>
            <w:noProof/>
            <w:webHidden/>
          </w:rPr>
          <w:fldChar w:fldCharType="end"/>
        </w:r>
      </w:hyperlink>
    </w:p>
    <w:p w14:paraId="3A8B871E" w14:textId="46ED7C37" w:rsidR="006C6A26" w:rsidRDefault="00000000">
      <w:pPr>
        <w:pStyle w:val="TableofFigures"/>
        <w:tabs>
          <w:tab w:val="right" w:leader="dot" w:pos="9350"/>
        </w:tabs>
        <w:rPr>
          <w:rFonts w:asciiTheme="minorHAnsi" w:eastAsiaTheme="minorEastAsia" w:hAnsiTheme="minorHAnsi"/>
          <w:noProof/>
          <w:kern w:val="2"/>
          <w14:ligatures w14:val="standardContextual"/>
        </w:rPr>
      </w:pPr>
      <w:hyperlink w:anchor="_Toc141478803" w:history="1">
        <w:r w:rsidR="006C6A26" w:rsidRPr="00B63B3E">
          <w:rPr>
            <w:rStyle w:val="Hyperlink"/>
            <w:rFonts w:cs="Times New Roman"/>
            <w:b/>
            <w:noProof/>
          </w:rPr>
          <w:t xml:space="preserve">Figure 2.1. </w:t>
        </w:r>
        <w:r w:rsidR="006C6A26" w:rsidRPr="00B63B3E">
          <w:rPr>
            <w:rStyle w:val="Hyperlink"/>
            <w:rFonts w:cs="Times New Roman"/>
            <w:noProof/>
          </w:rPr>
          <w:t>Terpinene (blue) and terpinolene (green) tissue concentrations (µM</w:t>
        </w:r>
        <w:r w:rsidR="006C6A26" w:rsidRPr="00B63B3E">
          <w:rPr>
            <w:rStyle w:val="Hyperlink"/>
            <w:rFonts w:cs="Times New Roman"/>
            <w:noProof/>
          </w:rPr>
          <w:sym w:font="Symbol" w:char="F0D7"/>
        </w:r>
        <w:r w:rsidR="006C6A26" w:rsidRPr="00B63B3E">
          <w:rPr>
            <w:rStyle w:val="Hyperlink"/>
            <w:rFonts w:cs="Times New Roman"/>
            <w:noProof/>
          </w:rPr>
          <w:t>g</w:t>
        </w:r>
        <w:r w:rsidR="006C6A26" w:rsidRPr="00B63B3E">
          <w:rPr>
            <w:rStyle w:val="Hyperlink"/>
            <w:rFonts w:cs="Times New Roman"/>
            <w:noProof/>
            <w:vertAlign w:val="superscript"/>
          </w:rPr>
          <w:t>-1</w:t>
        </w:r>
        <w:r w:rsidR="006C6A26" w:rsidRPr="00B63B3E">
          <w:rPr>
            <w:rStyle w:val="Hyperlink"/>
            <w:rFonts w:cs="Times New Roman"/>
            <w:noProof/>
          </w:rPr>
          <w:t xml:space="preserve"> FM) across seven common basil varieties. Values were analyzed using Tukey’s protected LSD, and those followed by the same letter are not significantly different (α=0.05).</w:t>
        </w:r>
        <w:r w:rsidR="006C6A26">
          <w:rPr>
            <w:noProof/>
            <w:webHidden/>
          </w:rPr>
          <w:tab/>
        </w:r>
        <w:r w:rsidR="006C6A26">
          <w:rPr>
            <w:noProof/>
            <w:webHidden/>
          </w:rPr>
          <w:fldChar w:fldCharType="begin"/>
        </w:r>
        <w:r w:rsidR="006C6A26">
          <w:rPr>
            <w:noProof/>
            <w:webHidden/>
          </w:rPr>
          <w:instrText xml:space="preserve"> PAGEREF _Toc141478803 \h </w:instrText>
        </w:r>
        <w:r w:rsidR="006C6A26">
          <w:rPr>
            <w:noProof/>
            <w:webHidden/>
          </w:rPr>
        </w:r>
        <w:r w:rsidR="006C6A26">
          <w:rPr>
            <w:noProof/>
            <w:webHidden/>
          </w:rPr>
          <w:fldChar w:fldCharType="separate"/>
        </w:r>
        <w:r w:rsidR="006C6A26">
          <w:rPr>
            <w:noProof/>
            <w:webHidden/>
          </w:rPr>
          <w:t>108</w:t>
        </w:r>
        <w:r w:rsidR="006C6A26">
          <w:rPr>
            <w:noProof/>
            <w:webHidden/>
          </w:rPr>
          <w:fldChar w:fldCharType="end"/>
        </w:r>
      </w:hyperlink>
    </w:p>
    <w:p w14:paraId="15CB64A4" w14:textId="24FA9624" w:rsidR="006C6A26" w:rsidRDefault="00000000">
      <w:pPr>
        <w:pStyle w:val="TableofFigures"/>
        <w:tabs>
          <w:tab w:val="right" w:leader="dot" w:pos="9350"/>
        </w:tabs>
        <w:rPr>
          <w:rFonts w:asciiTheme="minorHAnsi" w:eastAsiaTheme="minorEastAsia" w:hAnsiTheme="minorHAnsi"/>
          <w:noProof/>
          <w:kern w:val="2"/>
          <w14:ligatures w14:val="standardContextual"/>
        </w:rPr>
      </w:pPr>
      <w:hyperlink w:anchor="_Toc141478804" w:history="1">
        <w:r w:rsidR="006C6A26" w:rsidRPr="00B63B3E">
          <w:rPr>
            <w:rStyle w:val="Hyperlink"/>
            <w:rFonts w:cs="Times New Roman"/>
            <w:b/>
            <w:noProof/>
          </w:rPr>
          <w:t xml:space="preserve">Figure 2.2. </w:t>
        </w:r>
        <w:r w:rsidR="006C6A26" w:rsidRPr="00B63B3E">
          <w:rPr>
            <w:rStyle w:val="Hyperlink"/>
            <w:rFonts w:cs="Times New Roman"/>
            <w:noProof/>
          </w:rPr>
          <w:t>(R+/S-)-Limonene</w:t>
        </w:r>
        <w:r w:rsidR="006C6A26" w:rsidRPr="00B63B3E">
          <w:rPr>
            <w:rStyle w:val="Hyperlink"/>
            <w:rFonts w:cs="Times New Roman"/>
            <w:b/>
            <w:noProof/>
          </w:rPr>
          <w:t xml:space="preserve"> </w:t>
        </w:r>
        <w:r w:rsidR="006C6A26" w:rsidRPr="00B63B3E">
          <w:rPr>
            <w:rStyle w:val="Hyperlink"/>
            <w:rFonts w:cs="Times New Roman"/>
            <w:noProof/>
          </w:rPr>
          <w:t>tissue concentrations (µM</w:t>
        </w:r>
        <w:r w:rsidR="006C6A26" w:rsidRPr="00B63B3E">
          <w:rPr>
            <w:rStyle w:val="Hyperlink"/>
            <w:rFonts w:cs="Times New Roman"/>
            <w:noProof/>
          </w:rPr>
          <w:sym w:font="Symbol" w:char="F0D7"/>
        </w:r>
        <w:r w:rsidR="006C6A26" w:rsidRPr="00B63B3E">
          <w:rPr>
            <w:rStyle w:val="Hyperlink"/>
            <w:rFonts w:cs="Times New Roman"/>
            <w:noProof/>
          </w:rPr>
          <w:t>g</w:t>
        </w:r>
        <w:r w:rsidR="006C6A26" w:rsidRPr="00B63B3E">
          <w:rPr>
            <w:rStyle w:val="Hyperlink"/>
            <w:rFonts w:cs="Times New Roman"/>
            <w:noProof/>
            <w:vertAlign w:val="superscript"/>
          </w:rPr>
          <w:t>-1</w:t>
        </w:r>
        <w:r w:rsidR="006C6A26" w:rsidRPr="00B63B3E">
          <w:rPr>
            <w:rStyle w:val="Hyperlink"/>
            <w:rFonts w:cs="Times New Roman"/>
            <w:noProof/>
          </w:rPr>
          <w:t xml:space="preserve"> FM) across seven common basil varieties. R+ enantiomer is displayed in orange, and the S- enantiomer in yellow. Values were analyzed using Tukey’s protected LSD, and data followed by the same letter across varieties are not significantly different for each of the two compounds (α=0.05). Total limonene concentration mean separations are presented below each column, and varieties followed by the same letter are not significantly different (α=0.05).</w:t>
        </w:r>
        <w:r w:rsidR="006C6A26">
          <w:rPr>
            <w:noProof/>
            <w:webHidden/>
          </w:rPr>
          <w:tab/>
        </w:r>
        <w:r w:rsidR="006C6A26">
          <w:rPr>
            <w:noProof/>
            <w:webHidden/>
          </w:rPr>
          <w:fldChar w:fldCharType="begin"/>
        </w:r>
        <w:r w:rsidR="006C6A26">
          <w:rPr>
            <w:noProof/>
            <w:webHidden/>
          </w:rPr>
          <w:instrText xml:space="preserve"> PAGEREF _Toc141478804 \h </w:instrText>
        </w:r>
        <w:r w:rsidR="006C6A26">
          <w:rPr>
            <w:noProof/>
            <w:webHidden/>
          </w:rPr>
        </w:r>
        <w:r w:rsidR="006C6A26">
          <w:rPr>
            <w:noProof/>
            <w:webHidden/>
          </w:rPr>
          <w:fldChar w:fldCharType="separate"/>
        </w:r>
        <w:r w:rsidR="006C6A26">
          <w:rPr>
            <w:noProof/>
            <w:webHidden/>
          </w:rPr>
          <w:t>109</w:t>
        </w:r>
        <w:r w:rsidR="006C6A26">
          <w:rPr>
            <w:noProof/>
            <w:webHidden/>
          </w:rPr>
          <w:fldChar w:fldCharType="end"/>
        </w:r>
      </w:hyperlink>
    </w:p>
    <w:p w14:paraId="36E099C8" w14:textId="3AC61033" w:rsidR="006C6A26" w:rsidRDefault="00000000">
      <w:pPr>
        <w:pStyle w:val="TableofFigures"/>
        <w:tabs>
          <w:tab w:val="right" w:leader="dot" w:pos="9350"/>
        </w:tabs>
        <w:rPr>
          <w:rFonts w:asciiTheme="minorHAnsi" w:eastAsiaTheme="minorEastAsia" w:hAnsiTheme="minorHAnsi"/>
          <w:noProof/>
          <w:kern w:val="2"/>
          <w14:ligatures w14:val="standardContextual"/>
        </w:rPr>
      </w:pPr>
      <w:hyperlink w:anchor="_Toc141478805" w:history="1">
        <w:r w:rsidR="006C6A26" w:rsidRPr="00B63B3E">
          <w:rPr>
            <w:rStyle w:val="Hyperlink"/>
            <w:rFonts w:cs="Times New Roman"/>
            <w:b/>
            <w:noProof/>
          </w:rPr>
          <w:t>Figure 2.3.</w:t>
        </w:r>
        <w:r w:rsidR="006C6A26" w:rsidRPr="00B63B3E">
          <w:rPr>
            <w:rStyle w:val="Hyperlink"/>
            <w:rFonts w:cs="Times New Roman"/>
            <w:noProof/>
          </w:rPr>
          <w:t xml:space="preserve"> Methyl eugenol (purple) and eugenol (red) tissue concentrations (µM</w:t>
        </w:r>
        <w:r w:rsidR="006C6A26" w:rsidRPr="00B63B3E">
          <w:rPr>
            <w:rStyle w:val="Hyperlink"/>
            <w:rFonts w:cs="Times New Roman"/>
            <w:noProof/>
          </w:rPr>
          <w:sym w:font="Symbol" w:char="F0D7"/>
        </w:r>
        <w:r w:rsidR="006C6A26" w:rsidRPr="00B63B3E">
          <w:rPr>
            <w:rStyle w:val="Hyperlink"/>
            <w:rFonts w:cs="Times New Roman"/>
            <w:noProof/>
          </w:rPr>
          <w:t>g</w:t>
        </w:r>
        <w:r w:rsidR="006C6A26" w:rsidRPr="00B63B3E">
          <w:rPr>
            <w:rStyle w:val="Hyperlink"/>
            <w:rFonts w:cs="Times New Roman"/>
            <w:noProof/>
            <w:vertAlign w:val="superscript"/>
          </w:rPr>
          <w:t>-1</w:t>
        </w:r>
        <w:r w:rsidR="006C6A26" w:rsidRPr="00B63B3E">
          <w:rPr>
            <w:rStyle w:val="Hyperlink"/>
            <w:rFonts w:cs="Times New Roman"/>
            <w:noProof/>
          </w:rPr>
          <w:t xml:space="preserve"> FM) across seven common basil varieties. Values were analyzed using Tukey’s protected LSD, and data </w:t>
        </w:r>
        <w:r w:rsidR="006C6A26" w:rsidRPr="00B63B3E">
          <w:rPr>
            <w:rStyle w:val="Hyperlink"/>
            <w:rFonts w:cs="Times New Roman"/>
            <w:noProof/>
          </w:rPr>
          <w:lastRenderedPageBreak/>
          <w:t>followed by the same letter across varieties are not significantly different for each of the two compounds (α=0.05).</w:t>
        </w:r>
        <w:r w:rsidR="006C6A26">
          <w:rPr>
            <w:noProof/>
            <w:webHidden/>
          </w:rPr>
          <w:tab/>
        </w:r>
        <w:r w:rsidR="006C6A26">
          <w:rPr>
            <w:noProof/>
            <w:webHidden/>
          </w:rPr>
          <w:fldChar w:fldCharType="begin"/>
        </w:r>
        <w:r w:rsidR="006C6A26">
          <w:rPr>
            <w:noProof/>
            <w:webHidden/>
          </w:rPr>
          <w:instrText xml:space="preserve"> PAGEREF _Toc141478805 \h </w:instrText>
        </w:r>
        <w:r w:rsidR="006C6A26">
          <w:rPr>
            <w:noProof/>
            <w:webHidden/>
          </w:rPr>
        </w:r>
        <w:r w:rsidR="006C6A26">
          <w:rPr>
            <w:noProof/>
            <w:webHidden/>
          </w:rPr>
          <w:fldChar w:fldCharType="separate"/>
        </w:r>
        <w:r w:rsidR="006C6A26">
          <w:rPr>
            <w:noProof/>
            <w:webHidden/>
          </w:rPr>
          <w:t>110</w:t>
        </w:r>
        <w:r w:rsidR="006C6A26">
          <w:rPr>
            <w:noProof/>
            <w:webHidden/>
          </w:rPr>
          <w:fldChar w:fldCharType="end"/>
        </w:r>
      </w:hyperlink>
    </w:p>
    <w:p w14:paraId="61785BF4" w14:textId="6727ECC3" w:rsidR="006C6A26" w:rsidRDefault="00000000">
      <w:pPr>
        <w:pStyle w:val="TableofFigures"/>
        <w:tabs>
          <w:tab w:val="right" w:leader="dot" w:pos="9350"/>
        </w:tabs>
        <w:rPr>
          <w:rFonts w:asciiTheme="minorHAnsi" w:eastAsiaTheme="minorEastAsia" w:hAnsiTheme="minorHAnsi"/>
          <w:noProof/>
          <w:kern w:val="2"/>
          <w14:ligatures w14:val="standardContextual"/>
        </w:rPr>
      </w:pPr>
      <w:hyperlink w:anchor="_Toc141478806" w:history="1">
        <w:r w:rsidR="006C6A26" w:rsidRPr="00B63B3E">
          <w:rPr>
            <w:rStyle w:val="Hyperlink"/>
            <w:rFonts w:cs="Times New Roman"/>
            <w:b/>
            <w:noProof/>
          </w:rPr>
          <w:t xml:space="preserve">Figure 2.4. </w:t>
        </w:r>
        <w:r w:rsidR="006C6A26" w:rsidRPr="00B63B3E">
          <w:rPr>
            <w:rStyle w:val="Hyperlink"/>
            <w:rFonts w:cs="Times New Roman"/>
            <w:noProof/>
          </w:rPr>
          <w:t>Linalool (blue), camphene (green), and methyl salicylate (red) tissue concentrations (µM</w:t>
        </w:r>
        <w:r w:rsidR="006C6A26" w:rsidRPr="00B63B3E">
          <w:rPr>
            <w:rStyle w:val="Hyperlink"/>
            <w:rFonts w:cs="Times New Roman"/>
            <w:noProof/>
          </w:rPr>
          <w:sym w:font="Symbol" w:char="F0D7"/>
        </w:r>
        <w:r w:rsidR="006C6A26" w:rsidRPr="00B63B3E">
          <w:rPr>
            <w:rStyle w:val="Hyperlink"/>
            <w:rFonts w:cs="Times New Roman"/>
            <w:noProof/>
          </w:rPr>
          <w:t>g</w:t>
        </w:r>
        <w:r w:rsidR="006C6A26" w:rsidRPr="00B63B3E">
          <w:rPr>
            <w:rStyle w:val="Hyperlink"/>
            <w:rFonts w:cs="Times New Roman"/>
            <w:noProof/>
            <w:vertAlign w:val="superscript"/>
          </w:rPr>
          <w:t>-1</w:t>
        </w:r>
        <w:r w:rsidR="006C6A26" w:rsidRPr="00B63B3E">
          <w:rPr>
            <w:rStyle w:val="Hyperlink"/>
            <w:rFonts w:cs="Times New Roman"/>
            <w:noProof/>
          </w:rPr>
          <w:t xml:space="preserve"> FM) across seven common basil varieties. Values were analyzed using Tukey’s protected LSD, and those followed by the same letter are not significantly different (α=0.05).</w:t>
        </w:r>
        <w:r w:rsidR="006C6A26">
          <w:rPr>
            <w:noProof/>
            <w:webHidden/>
          </w:rPr>
          <w:tab/>
        </w:r>
        <w:r w:rsidR="006C6A26">
          <w:rPr>
            <w:noProof/>
            <w:webHidden/>
          </w:rPr>
          <w:fldChar w:fldCharType="begin"/>
        </w:r>
        <w:r w:rsidR="006C6A26">
          <w:rPr>
            <w:noProof/>
            <w:webHidden/>
          </w:rPr>
          <w:instrText xml:space="preserve"> PAGEREF _Toc141478806 \h </w:instrText>
        </w:r>
        <w:r w:rsidR="006C6A26">
          <w:rPr>
            <w:noProof/>
            <w:webHidden/>
          </w:rPr>
        </w:r>
        <w:r w:rsidR="006C6A26">
          <w:rPr>
            <w:noProof/>
            <w:webHidden/>
          </w:rPr>
          <w:fldChar w:fldCharType="separate"/>
        </w:r>
        <w:r w:rsidR="006C6A26">
          <w:rPr>
            <w:noProof/>
            <w:webHidden/>
          </w:rPr>
          <w:t>111</w:t>
        </w:r>
        <w:r w:rsidR="006C6A26">
          <w:rPr>
            <w:noProof/>
            <w:webHidden/>
          </w:rPr>
          <w:fldChar w:fldCharType="end"/>
        </w:r>
      </w:hyperlink>
    </w:p>
    <w:p w14:paraId="616C98B9" w14:textId="17ACBEEF" w:rsidR="006C6A26" w:rsidRDefault="00000000">
      <w:pPr>
        <w:pStyle w:val="TableofFigures"/>
        <w:tabs>
          <w:tab w:val="right" w:leader="dot" w:pos="9350"/>
        </w:tabs>
        <w:rPr>
          <w:rFonts w:asciiTheme="minorHAnsi" w:eastAsiaTheme="minorEastAsia" w:hAnsiTheme="minorHAnsi"/>
          <w:noProof/>
          <w:kern w:val="2"/>
          <w14:ligatures w14:val="standardContextual"/>
        </w:rPr>
      </w:pPr>
      <w:hyperlink w:anchor="_Toc141478807" w:history="1">
        <w:r w:rsidR="006C6A26" w:rsidRPr="00B63B3E">
          <w:rPr>
            <w:rStyle w:val="Hyperlink"/>
            <w:rFonts w:cs="Times New Roman"/>
            <w:b/>
            <w:noProof/>
          </w:rPr>
          <w:t xml:space="preserve">Figure 2.5. </w:t>
        </w:r>
        <w:r w:rsidR="006C6A26" w:rsidRPr="00B63B3E">
          <w:rPr>
            <w:rStyle w:val="Hyperlink"/>
            <w:rFonts w:cs="Times New Roman"/>
            <w:noProof/>
          </w:rPr>
          <w:sym w:font="Symbol" w:char="F061"/>
        </w:r>
        <w:r w:rsidR="006C6A26" w:rsidRPr="00B63B3E">
          <w:rPr>
            <w:rStyle w:val="Hyperlink"/>
            <w:rFonts w:cs="Times New Roman"/>
            <w:noProof/>
          </w:rPr>
          <w:t xml:space="preserve">-Pinene (dark green) and </w:t>
        </w:r>
        <w:r w:rsidR="006C6A26" w:rsidRPr="00B63B3E">
          <w:rPr>
            <w:rStyle w:val="Hyperlink"/>
            <w:rFonts w:cs="Times New Roman"/>
            <w:noProof/>
          </w:rPr>
          <w:sym w:font="Symbol" w:char="F062"/>
        </w:r>
        <w:r w:rsidR="006C6A26" w:rsidRPr="00B63B3E">
          <w:rPr>
            <w:rStyle w:val="Hyperlink"/>
            <w:rFonts w:cs="Times New Roman"/>
            <w:noProof/>
          </w:rPr>
          <w:t>-pinene (light green) tissue concentrations (µM</w:t>
        </w:r>
        <w:r w:rsidR="006C6A26" w:rsidRPr="00B63B3E">
          <w:rPr>
            <w:rStyle w:val="Hyperlink"/>
            <w:rFonts w:cs="Times New Roman"/>
            <w:noProof/>
          </w:rPr>
          <w:sym w:font="Symbol" w:char="F0D7"/>
        </w:r>
        <w:r w:rsidR="006C6A26" w:rsidRPr="00B63B3E">
          <w:rPr>
            <w:rStyle w:val="Hyperlink"/>
            <w:rFonts w:cs="Times New Roman"/>
            <w:noProof/>
          </w:rPr>
          <w:t>g</w:t>
        </w:r>
        <w:r w:rsidR="006C6A26" w:rsidRPr="00B63B3E">
          <w:rPr>
            <w:rStyle w:val="Hyperlink"/>
            <w:rFonts w:cs="Times New Roman"/>
            <w:noProof/>
            <w:vertAlign w:val="superscript"/>
          </w:rPr>
          <w:t>-1</w:t>
        </w:r>
        <w:r w:rsidR="006C6A26" w:rsidRPr="00B63B3E">
          <w:rPr>
            <w:rStyle w:val="Hyperlink"/>
            <w:rFonts w:cs="Times New Roman"/>
            <w:noProof/>
          </w:rPr>
          <w:t xml:space="preserve"> FM) across seven common basil varieties. Values were analyzed using Tukey’s protected LSD, and data followed by the same letter across varieties are not significantly different for each of the two compounds (α=0.05).</w:t>
        </w:r>
        <w:r w:rsidR="006C6A26">
          <w:rPr>
            <w:noProof/>
            <w:webHidden/>
          </w:rPr>
          <w:tab/>
        </w:r>
        <w:r w:rsidR="006C6A26">
          <w:rPr>
            <w:noProof/>
            <w:webHidden/>
          </w:rPr>
          <w:fldChar w:fldCharType="begin"/>
        </w:r>
        <w:r w:rsidR="006C6A26">
          <w:rPr>
            <w:noProof/>
            <w:webHidden/>
          </w:rPr>
          <w:instrText xml:space="preserve"> PAGEREF _Toc141478807 \h </w:instrText>
        </w:r>
        <w:r w:rsidR="006C6A26">
          <w:rPr>
            <w:noProof/>
            <w:webHidden/>
          </w:rPr>
        </w:r>
        <w:r w:rsidR="006C6A26">
          <w:rPr>
            <w:noProof/>
            <w:webHidden/>
          </w:rPr>
          <w:fldChar w:fldCharType="separate"/>
        </w:r>
        <w:r w:rsidR="006C6A26">
          <w:rPr>
            <w:noProof/>
            <w:webHidden/>
          </w:rPr>
          <w:t>112</w:t>
        </w:r>
        <w:r w:rsidR="006C6A26">
          <w:rPr>
            <w:noProof/>
            <w:webHidden/>
          </w:rPr>
          <w:fldChar w:fldCharType="end"/>
        </w:r>
      </w:hyperlink>
    </w:p>
    <w:p w14:paraId="1E2BDF6E" w14:textId="129506D1" w:rsidR="006C6A26" w:rsidRDefault="00000000">
      <w:pPr>
        <w:pStyle w:val="TableofFigures"/>
        <w:tabs>
          <w:tab w:val="right" w:leader="dot" w:pos="9350"/>
        </w:tabs>
        <w:rPr>
          <w:rFonts w:asciiTheme="minorHAnsi" w:eastAsiaTheme="minorEastAsia" w:hAnsiTheme="minorHAnsi"/>
          <w:noProof/>
          <w:kern w:val="2"/>
          <w14:ligatures w14:val="standardContextual"/>
        </w:rPr>
      </w:pPr>
      <w:hyperlink w:anchor="_Toc141478808" w:history="1">
        <w:r w:rsidR="006C6A26" w:rsidRPr="00B63B3E">
          <w:rPr>
            <w:rStyle w:val="Hyperlink"/>
            <w:b/>
            <w:bCs/>
            <w:noProof/>
          </w:rPr>
          <w:t xml:space="preserve">Figure 3.1. </w:t>
        </w:r>
        <w:r w:rsidR="006C6A26" w:rsidRPr="00B63B3E">
          <w:rPr>
            <w:rStyle w:val="Hyperlink"/>
            <w:noProof/>
          </w:rPr>
          <w:t>Natural light (NL) spectra under greenhouse glass, averaged across all four growing seasons, ranging from 350 nm to 850 nm. Values were taken at solar noon with three replicates for full sun (yellow) and overcast (gray) for each experimental run. The daily light integral (DLI) of the NL control averaged 11.75 mol</w:t>
        </w:r>
        <w:r w:rsidR="006C6A26" w:rsidRPr="00B63B3E">
          <w:rPr>
            <w:rStyle w:val="Hyperlink"/>
            <w:b/>
            <w:bCs/>
            <w:noProof/>
            <w:position w:val="8"/>
          </w:rPr>
          <w:t>.</w:t>
        </w:r>
        <w:r w:rsidR="006C6A26" w:rsidRPr="00B63B3E">
          <w:rPr>
            <w:rStyle w:val="Hyperlink"/>
            <w:noProof/>
          </w:rPr>
          <w:t>m</w:t>
        </w:r>
        <w:r w:rsidR="006C6A26" w:rsidRPr="00B63B3E">
          <w:rPr>
            <w:rStyle w:val="Hyperlink"/>
            <w:noProof/>
            <w:vertAlign w:val="superscript"/>
          </w:rPr>
          <w:t>-2</w:t>
        </w:r>
        <w:r w:rsidR="006C6A26" w:rsidRPr="00B63B3E">
          <w:rPr>
            <w:rStyle w:val="Hyperlink"/>
            <w:b/>
            <w:bCs/>
            <w:noProof/>
            <w:position w:val="8"/>
          </w:rPr>
          <w:t>.</w:t>
        </w:r>
        <w:r w:rsidR="006C6A26" w:rsidRPr="00B63B3E">
          <w:rPr>
            <w:rStyle w:val="Hyperlink"/>
            <w:noProof/>
          </w:rPr>
          <w:t>d</w:t>
        </w:r>
        <w:r w:rsidR="006C6A26" w:rsidRPr="00B63B3E">
          <w:rPr>
            <w:rStyle w:val="Hyperlink"/>
            <w:noProof/>
            <w:vertAlign w:val="superscript"/>
          </w:rPr>
          <w:t>-1</w:t>
        </w:r>
        <w:r w:rsidR="006C6A26" w:rsidRPr="00B63B3E">
          <w:rPr>
            <w:rStyle w:val="Hyperlink"/>
            <w:noProof/>
            <w:position w:val="8"/>
          </w:rPr>
          <w:t xml:space="preserve"> </w:t>
        </w:r>
        <w:r w:rsidR="006C6A26" w:rsidRPr="00B63B3E">
          <w:rPr>
            <w:rStyle w:val="Hyperlink"/>
            <w:noProof/>
          </w:rPr>
          <w:t>across all growing cycles (ranging from 4 to 20 mol</w:t>
        </w:r>
        <w:r w:rsidR="006C6A26" w:rsidRPr="00B63B3E">
          <w:rPr>
            <w:rStyle w:val="Hyperlink"/>
            <w:b/>
            <w:bCs/>
            <w:noProof/>
            <w:position w:val="8"/>
          </w:rPr>
          <w:t>.</w:t>
        </w:r>
        <w:r w:rsidR="006C6A26" w:rsidRPr="00B63B3E">
          <w:rPr>
            <w:rStyle w:val="Hyperlink"/>
            <w:noProof/>
          </w:rPr>
          <w:t>m</w:t>
        </w:r>
        <w:r w:rsidR="006C6A26" w:rsidRPr="00B63B3E">
          <w:rPr>
            <w:rStyle w:val="Hyperlink"/>
            <w:noProof/>
            <w:vertAlign w:val="superscript"/>
          </w:rPr>
          <w:t>-2</w:t>
        </w:r>
        <w:r w:rsidR="006C6A26" w:rsidRPr="00B63B3E">
          <w:rPr>
            <w:rStyle w:val="Hyperlink"/>
            <w:b/>
            <w:bCs/>
            <w:noProof/>
            <w:position w:val="8"/>
          </w:rPr>
          <w:t>.</w:t>
        </w:r>
        <w:r w:rsidR="006C6A26" w:rsidRPr="00B63B3E">
          <w:rPr>
            <w:rStyle w:val="Hyperlink"/>
            <w:noProof/>
          </w:rPr>
          <w:t>d</w:t>
        </w:r>
        <w:r w:rsidR="006C6A26" w:rsidRPr="00B63B3E">
          <w:rPr>
            <w:rStyle w:val="Hyperlink"/>
            <w:noProof/>
            <w:vertAlign w:val="superscript"/>
          </w:rPr>
          <w:t>-1</w:t>
        </w:r>
        <w:r w:rsidR="006C6A26" w:rsidRPr="00B63B3E">
          <w:rPr>
            <w:rStyle w:val="Hyperlink"/>
            <w:noProof/>
          </w:rPr>
          <w:t>).</w:t>
        </w:r>
        <w:r w:rsidR="006C6A26">
          <w:rPr>
            <w:noProof/>
            <w:webHidden/>
          </w:rPr>
          <w:tab/>
        </w:r>
        <w:r w:rsidR="006C6A26">
          <w:rPr>
            <w:noProof/>
            <w:webHidden/>
          </w:rPr>
          <w:fldChar w:fldCharType="begin"/>
        </w:r>
        <w:r w:rsidR="006C6A26">
          <w:rPr>
            <w:noProof/>
            <w:webHidden/>
          </w:rPr>
          <w:instrText xml:space="preserve"> PAGEREF _Toc141478808 \h </w:instrText>
        </w:r>
        <w:r w:rsidR="006C6A26">
          <w:rPr>
            <w:noProof/>
            <w:webHidden/>
          </w:rPr>
        </w:r>
        <w:r w:rsidR="006C6A26">
          <w:rPr>
            <w:noProof/>
            <w:webHidden/>
          </w:rPr>
          <w:fldChar w:fldCharType="separate"/>
        </w:r>
        <w:r w:rsidR="006C6A26">
          <w:rPr>
            <w:noProof/>
            <w:webHidden/>
          </w:rPr>
          <w:t>173</w:t>
        </w:r>
        <w:r w:rsidR="006C6A26">
          <w:rPr>
            <w:noProof/>
            <w:webHidden/>
          </w:rPr>
          <w:fldChar w:fldCharType="end"/>
        </w:r>
      </w:hyperlink>
    </w:p>
    <w:p w14:paraId="142739DC" w14:textId="6BA2D346" w:rsidR="006C6A26" w:rsidRDefault="00000000">
      <w:pPr>
        <w:pStyle w:val="TableofFigures"/>
        <w:tabs>
          <w:tab w:val="right" w:leader="dot" w:pos="9350"/>
        </w:tabs>
        <w:rPr>
          <w:rFonts w:asciiTheme="minorHAnsi" w:eastAsiaTheme="minorEastAsia" w:hAnsiTheme="minorHAnsi"/>
          <w:noProof/>
          <w:kern w:val="2"/>
          <w14:ligatures w14:val="standardContextual"/>
        </w:rPr>
      </w:pPr>
      <w:hyperlink w:anchor="_Toc141478809" w:history="1">
        <w:r w:rsidR="006C6A26" w:rsidRPr="00B63B3E">
          <w:rPr>
            <w:rStyle w:val="Hyperlink"/>
            <w:b/>
            <w:bCs/>
            <w:noProof/>
          </w:rPr>
          <w:t xml:space="preserve">Figure 3.2 (A). </w:t>
        </w:r>
        <w:r w:rsidR="006C6A26" w:rsidRPr="00B63B3E">
          <w:rPr>
            <w:rStyle w:val="Hyperlink"/>
            <w:noProof/>
          </w:rPr>
          <w:t>Emission spectra of supplemental lighting (SL) treatment 660/400/660 from 300 nm to 750 nm. All SL treatments provided 8.64 mol</w:t>
        </w:r>
        <w:r w:rsidR="006C6A26" w:rsidRPr="00B63B3E">
          <w:rPr>
            <w:rStyle w:val="Hyperlink"/>
            <w:b/>
            <w:bCs/>
            <w:noProof/>
            <w:position w:val="8"/>
          </w:rPr>
          <w:t>.</w:t>
        </w:r>
        <w:r w:rsidR="006C6A26" w:rsidRPr="00B63B3E">
          <w:rPr>
            <w:rStyle w:val="Hyperlink"/>
            <w:noProof/>
          </w:rPr>
          <w:t>m</w:t>
        </w:r>
        <w:r w:rsidR="006C6A26" w:rsidRPr="00B63B3E">
          <w:rPr>
            <w:rStyle w:val="Hyperlink"/>
            <w:noProof/>
            <w:vertAlign w:val="superscript"/>
          </w:rPr>
          <w:t>-2</w:t>
        </w:r>
        <w:r w:rsidR="006C6A26" w:rsidRPr="00B63B3E">
          <w:rPr>
            <w:rStyle w:val="Hyperlink"/>
            <w:b/>
            <w:bCs/>
            <w:noProof/>
            <w:position w:val="8"/>
          </w:rPr>
          <w:t>.</w:t>
        </w:r>
        <w:r w:rsidR="006C6A26" w:rsidRPr="00B63B3E">
          <w:rPr>
            <w:rStyle w:val="Hyperlink"/>
            <w:noProof/>
          </w:rPr>
          <w:t>d</w:t>
        </w:r>
        <w:r w:rsidR="006C6A26" w:rsidRPr="00B63B3E">
          <w:rPr>
            <w:rStyle w:val="Hyperlink"/>
            <w:noProof/>
            <w:vertAlign w:val="superscript"/>
          </w:rPr>
          <w:t>-1</w:t>
        </w:r>
        <w:r w:rsidR="006C6A26" w:rsidRPr="00B63B3E">
          <w:rPr>
            <w:rStyle w:val="Hyperlink"/>
            <w:noProof/>
            <w:position w:val="8"/>
          </w:rPr>
          <w:t xml:space="preserve"> </w:t>
        </w:r>
        <w:r w:rsidR="006C6A26" w:rsidRPr="00B63B3E">
          <w:rPr>
            <w:rStyle w:val="Hyperlink"/>
            <w:noProof/>
          </w:rPr>
          <w:t>(continuous 100 μmol</w:t>
        </w:r>
        <w:r w:rsidR="006C6A26" w:rsidRPr="00B63B3E">
          <w:rPr>
            <w:rStyle w:val="Hyperlink"/>
            <w:b/>
            <w:bCs/>
            <w:noProof/>
            <w:position w:val="8"/>
          </w:rPr>
          <w:t>.</w:t>
        </w:r>
        <w:r w:rsidR="006C6A26" w:rsidRPr="00B63B3E">
          <w:rPr>
            <w:rStyle w:val="Hyperlink"/>
            <w:noProof/>
          </w:rPr>
          <w:t>m</w:t>
        </w:r>
        <w:r w:rsidR="006C6A26" w:rsidRPr="00B63B3E">
          <w:rPr>
            <w:rStyle w:val="Hyperlink"/>
            <w:noProof/>
            <w:vertAlign w:val="superscript"/>
          </w:rPr>
          <w:t>-2</w:t>
        </w:r>
        <w:r w:rsidR="006C6A26" w:rsidRPr="00B63B3E">
          <w:rPr>
            <w:rStyle w:val="Hyperlink"/>
            <w:b/>
            <w:bCs/>
            <w:noProof/>
            <w:position w:val="8"/>
          </w:rPr>
          <w:t>.</w:t>
        </w:r>
        <w:r w:rsidR="006C6A26" w:rsidRPr="00B63B3E">
          <w:rPr>
            <w:rStyle w:val="Hyperlink"/>
            <w:noProof/>
          </w:rPr>
          <w:t>s</w:t>
        </w:r>
        <w:r w:rsidR="006C6A26" w:rsidRPr="00B63B3E">
          <w:rPr>
            <w:rStyle w:val="Hyperlink"/>
            <w:noProof/>
            <w:vertAlign w:val="superscript"/>
          </w:rPr>
          <w:t>-1</w:t>
        </w:r>
        <w:r w:rsidR="006C6A26" w:rsidRPr="00B63B3E">
          <w:rPr>
            <w:rStyle w:val="Hyperlink"/>
            <w:noProof/>
          </w:rPr>
          <w:t>; 24 h</w:t>
        </w:r>
        <w:r w:rsidR="006C6A26" w:rsidRPr="00B63B3E">
          <w:rPr>
            <w:rStyle w:val="Hyperlink"/>
            <w:b/>
            <w:bCs/>
            <w:noProof/>
            <w:position w:val="8"/>
          </w:rPr>
          <w:t>.</w:t>
        </w:r>
        <w:r w:rsidR="006C6A26" w:rsidRPr="00B63B3E">
          <w:rPr>
            <w:rStyle w:val="Hyperlink"/>
            <w:noProof/>
          </w:rPr>
          <w:t>d</w:t>
        </w:r>
        <w:r w:rsidR="006C6A26" w:rsidRPr="00B63B3E">
          <w:rPr>
            <w:rStyle w:val="Hyperlink"/>
            <w:noProof/>
            <w:vertAlign w:val="superscript"/>
          </w:rPr>
          <w:t>-1</w:t>
        </w:r>
        <w:r w:rsidR="006C6A26" w:rsidRPr="00B63B3E">
          <w:rPr>
            <w:rStyle w:val="Hyperlink"/>
            <w:noProof/>
          </w:rPr>
          <w:t>). All lighting treatments were measured with a PS-200 Apogee Spectroradiometer to confirm intensity of specific treatment wavelengths throughout each growing season. Readings were taken at midnight in order to exclude underlying natural solar spectra.</w:t>
        </w:r>
        <w:r w:rsidR="006C6A26">
          <w:rPr>
            <w:noProof/>
            <w:webHidden/>
          </w:rPr>
          <w:tab/>
        </w:r>
        <w:r w:rsidR="006C6A26">
          <w:rPr>
            <w:noProof/>
            <w:webHidden/>
          </w:rPr>
          <w:fldChar w:fldCharType="begin"/>
        </w:r>
        <w:r w:rsidR="006C6A26">
          <w:rPr>
            <w:noProof/>
            <w:webHidden/>
          </w:rPr>
          <w:instrText xml:space="preserve"> PAGEREF _Toc141478809 \h </w:instrText>
        </w:r>
        <w:r w:rsidR="006C6A26">
          <w:rPr>
            <w:noProof/>
            <w:webHidden/>
          </w:rPr>
        </w:r>
        <w:r w:rsidR="006C6A26">
          <w:rPr>
            <w:noProof/>
            <w:webHidden/>
          </w:rPr>
          <w:fldChar w:fldCharType="separate"/>
        </w:r>
        <w:r w:rsidR="006C6A26">
          <w:rPr>
            <w:noProof/>
            <w:webHidden/>
          </w:rPr>
          <w:t>174</w:t>
        </w:r>
        <w:r w:rsidR="006C6A26">
          <w:rPr>
            <w:noProof/>
            <w:webHidden/>
          </w:rPr>
          <w:fldChar w:fldCharType="end"/>
        </w:r>
      </w:hyperlink>
    </w:p>
    <w:p w14:paraId="3FE3578E" w14:textId="32DA4949" w:rsidR="006C6A26" w:rsidRDefault="00000000">
      <w:pPr>
        <w:pStyle w:val="TableofFigures"/>
        <w:tabs>
          <w:tab w:val="right" w:leader="dot" w:pos="9350"/>
        </w:tabs>
        <w:rPr>
          <w:rFonts w:asciiTheme="minorHAnsi" w:eastAsiaTheme="minorEastAsia" w:hAnsiTheme="minorHAnsi"/>
          <w:noProof/>
          <w:kern w:val="2"/>
          <w14:ligatures w14:val="standardContextual"/>
        </w:rPr>
      </w:pPr>
      <w:hyperlink w:anchor="_Toc141478810" w:history="1">
        <w:r w:rsidR="006C6A26" w:rsidRPr="00B63B3E">
          <w:rPr>
            <w:rStyle w:val="Hyperlink"/>
            <w:b/>
            <w:bCs/>
            <w:noProof/>
          </w:rPr>
          <w:t xml:space="preserve">Figure 3.2 (B). </w:t>
        </w:r>
        <w:r w:rsidR="006C6A26" w:rsidRPr="00B63B3E">
          <w:rPr>
            <w:rStyle w:val="Hyperlink"/>
            <w:noProof/>
          </w:rPr>
          <w:t>Emission spectra of supplemental lighting (SL) treatment 660/420/660 from 300 nm to 750 nm. All SL treatments provided 8.64 mol</w:t>
        </w:r>
        <w:r w:rsidR="006C6A26" w:rsidRPr="00B63B3E">
          <w:rPr>
            <w:rStyle w:val="Hyperlink"/>
            <w:b/>
            <w:bCs/>
            <w:noProof/>
            <w:position w:val="8"/>
          </w:rPr>
          <w:t>.</w:t>
        </w:r>
        <w:r w:rsidR="006C6A26" w:rsidRPr="00B63B3E">
          <w:rPr>
            <w:rStyle w:val="Hyperlink"/>
            <w:noProof/>
          </w:rPr>
          <w:t>m</w:t>
        </w:r>
        <w:r w:rsidR="006C6A26" w:rsidRPr="00B63B3E">
          <w:rPr>
            <w:rStyle w:val="Hyperlink"/>
            <w:noProof/>
            <w:vertAlign w:val="superscript"/>
          </w:rPr>
          <w:t>-2</w:t>
        </w:r>
        <w:r w:rsidR="006C6A26" w:rsidRPr="00B63B3E">
          <w:rPr>
            <w:rStyle w:val="Hyperlink"/>
            <w:b/>
            <w:bCs/>
            <w:noProof/>
            <w:position w:val="8"/>
          </w:rPr>
          <w:t>.</w:t>
        </w:r>
        <w:r w:rsidR="006C6A26" w:rsidRPr="00B63B3E">
          <w:rPr>
            <w:rStyle w:val="Hyperlink"/>
            <w:noProof/>
          </w:rPr>
          <w:t>d</w:t>
        </w:r>
        <w:r w:rsidR="006C6A26" w:rsidRPr="00B63B3E">
          <w:rPr>
            <w:rStyle w:val="Hyperlink"/>
            <w:noProof/>
            <w:vertAlign w:val="superscript"/>
          </w:rPr>
          <w:t>-1</w:t>
        </w:r>
        <w:r w:rsidR="006C6A26" w:rsidRPr="00B63B3E">
          <w:rPr>
            <w:rStyle w:val="Hyperlink"/>
            <w:noProof/>
            <w:position w:val="8"/>
          </w:rPr>
          <w:t xml:space="preserve"> </w:t>
        </w:r>
        <w:r w:rsidR="006C6A26" w:rsidRPr="00B63B3E">
          <w:rPr>
            <w:rStyle w:val="Hyperlink"/>
            <w:noProof/>
          </w:rPr>
          <w:t>(continuous 100 μmol</w:t>
        </w:r>
        <w:r w:rsidR="006C6A26" w:rsidRPr="00B63B3E">
          <w:rPr>
            <w:rStyle w:val="Hyperlink"/>
            <w:b/>
            <w:bCs/>
            <w:noProof/>
            <w:position w:val="8"/>
          </w:rPr>
          <w:t>.</w:t>
        </w:r>
        <w:r w:rsidR="006C6A26" w:rsidRPr="00B63B3E">
          <w:rPr>
            <w:rStyle w:val="Hyperlink"/>
            <w:noProof/>
          </w:rPr>
          <w:t>m</w:t>
        </w:r>
        <w:r w:rsidR="006C6A26" w:rsidRPr="00B63B3E">
          <w:rPr>
            <w:rStyle w:val="Hyperlink"/>
            <w:noProof/>
            <w:vertAlign w:val="superscript"/>
          </w:rPr>
          <w:t>-2</w:t>
        </w:r>
        <w:r w:rsidR="006C6A26" w:rsidRPr="00B63B3E">
          <w:rPr>
            <w:rStyle w:val="Hyperlink"/>
            <w:b/>
            <w:bCs/>
            <w:noProof/>
            <w:position w:val="8"/>
          </w:rPr>
          <w:t>.</w:t>
        </w:r>
        <w:r w:rsidR="006C6A26" w:rsidRPr="00B63B3E">
          <w:rPr>
            <w:rStyle w:val="Hyperlink"/>
            <w:noProof/>
          </w:rPr>
          <w:t>s</w:t>
        </w:r>
        <w:r w:rsidR="006C6A26" w:rsidRPr="00B63B3E">
          <w:rPr>
            <w:rStyle w:val="Hyperlink"/>
            <w:noProof/>
            <w:vertAlign w:val="superscript"/>
          </w:rPr>
          <w:t>-1</w:t>
        </w:r>
        <w:r w:rsidR="006C6A26" w:rsidRPr="00B63B3E">
          <w:rPr>
            <w:rStyle w:val="Hyperlink"/>
            <w:noProof/>
          </w:rPr>
          <w:t xml:space="preserve">; </w:t>
        </w:r>
        <w:r w:rsidR="006C6A26" w:rsidRPr="00B63B3E">
          <w:rPr>
            <w:rStyle w:val="Hyperlink"/>
            <w:noProof/>
          </w:rPr>
          <w:lastRenderedPageBreak/>
          <w:t>24 h</w:t>
        </w:r>
        <w:r w:rsidR="006C6A26" w:rsidRPr="00B63B3E">
          <w:rPr>
            <w:rStyle w:val="Hyperlink"/>
            <w:b/>
            <w:bCs/>
            <w:noProof/>
            <w:position w:val="8"/>
          </w:rPr>
          <w:t>.</w:t>
        </w:r>
        <w:r w:rsidR="006C6A26" w:rsidRPr="00B63B3E">
          <w:rPr>
            <w:rStyle w:val="Hyperlink"/>
            <w:noProof/>
          </w:rPr>
          <w:t>d</w:t>
        </w:r>
        <w:r w:rsidR="006C6A26" w:rsidRPr="00B63B3E">
          <w:rPr>
            <w:rStyle w:val="Hyperlink"/>
            <w:noProof/>
            <w:vertAlign w:val="superscript"/>
          </w:rPr>
          <w:t>-1</w:t>
        </w:r>
        <w:r w:rsidR="006C6A26" w:rsidRPr="00B63B3E">
          <w:rPr>
            <w:rStyle w:val="Hyperlink"/>
            <w:noProof/>
          </w:rPr>
          <w:t>). All lighting treatments were measured with a PS-200 Apogee Spectroradiometer to confirm intensity of specific treatment wavelengths throughout each growing season. Readings were taken at midnight in order to exclude underlying natural solar spectra.</w:t>
        </w:r>
        <w:r w:rsidR="006C6A26">
          <w:rPr>
            <w:noProof/>
            <w:webHidden/>
          </w:rPr>
          <w:tab/>
        </w:r>
        <w:r w:rsidR="006C6A26">
          <w:rPr>
            <w:noProof/>
            <w:webHidden/>
          </w:rPr>
          <w:fldChar w:fldCharType="begin"/>
        </w:r>
        <w:r w:rsidR="006C6A26">
          <w:rPr>
            <w:noProof/>
            <w:webHidden/>
          </w:rPr>
          <w:instrText xml:space="preserve"> PAGEREF _Toc141478810 \h </w:instrText>
        </w:r>
        <w:r w:rsidR="006C6A26">
          <w:rPr>
            <w:noProof/>
            <w:webHidden/>
          </w:rPr>
        </w:r>
        <w:r w:rsidR="006C6A26">
          <w:rPr>
            <w:noProof/>
            <w:webHidden/>
          </w:rPr>
          <w:fldChar w:fldCharType="separate"/>
        </w:r>
        <w:r w:rsidR="006C6A26">
          <w:rPr>
            <w:noProof/>
            <w:webHidden/>
          </w:rPr>
          <w:t>175</w:t>
        </w:r>
        <w:r w:rsidR="006C6A26">
          <w:rPr>
            <w:noProof/>
            <w:webHidden/>
          </w:rPr>
          <w:fldChar w:fldCharType="end"/>
        </w:r>
      </w:hyperlink>
    </w:p>
    <w:p w14:paraId="0FA2C9FE" w14:textId="4DFFA085" w:rsidR="006C6A26" w:rsidRDefault="00000000">
      <w:pPr>
        <w:pStyle w:val="TableofFigures"/>
        <w:tabs>
          <w:tab w:val="right" w:leader="dot" w:pos="9350"/>
        </w:tabs>
        <w:rPr>
          <w:rFonts w:asciiTheme="minorHAnsi" w:eastAsiaTheme="minorEastAsia" w:hAnsiTheme="minorHAnsi"/>
          <w:noProof/>
          <w:kern w:val="2"/>
          <w14:ligatures w14:val="standardContextual"/>
        </w:rPr>
      </w:pPr>
      <w:hyperlink w:anchor="_Toc141478811" w:history="1">
        <w:r w:rsidR="006C6A26" w:rsidRPr="00B63B3E">
          <w:rPr>
            <w:rStyle w:val="Hyperlink"/>
            <w:b/>
            <w:bCs/>
            <w:noProof/>
          </w:rPr>
          <w:t xml:space="preserve">Figure 3.2 (C). </w:t>
        </w:r>
        <w:r w:rsidR="006C6A26" w:rsidRPr="00B63B3E">
          <w:rPr>
            <w:rStyle w:val="Hyperlink"/>
            <w:noProof/>
          </w:rPr>
          <w:t>Emission spectra of supplemental lighting (SL) treatment 660/450/660 from 300 nm to 750 nm. All SL treatments provided 8.64 mol</w:t>
        </w:r>
        <w:r w:rsidR="006C6A26" w:rsidRPr="00B63B3E">
          <w:rPr>
            <w:rStyle w:val="Hyperlink"/>
            <w:b/>
            <w:bCs/>
            <w:noProof/>
            <w:position w:val="8"/>
          </w:rPr>
          <w:t>.</w:t>
        </w:r>
        <w:r w:rsidR="006C6A26" w:rsidRPr="00B63B3E">
          <w:rPr>
            <w:rStyle w:val="Hyperlink"/>
            <w:noProof/>
          </w:rPr>
          <w:t>m</w:t>
        </w:r>
        <w:r w:rsidR="006C6A26" w:rsidRPr="00B63B3E">
          <w:rPr>
            <w:rStyle w:val="Hyperlink"/>
            <w:noProof/>
            <w:vertAlign w:val="superscript"/>
          </w:rPr>
          <w:t>-2</w:t>
        </w:r>
        <w:r w:rsidR="006C6A26" w:rsidRPr="00B63B3E">
          <w:rPr>
            <w:rStyle w:val="Hyperlink"/>
            <w:b/>
            <w:bCs/>
            <w:noProof/>
            <w:position w:val="8"/>
          </w:rPr>
          <w:t>.</w:t>
        </w:r>
        <w:r w:rsidR="006C6A26" w:rsidRPr="00B63B3E">
          <w:rPr>
            <w:rStyle w:val="Hyperlink"/>
            <w:noProof/>
          </w:rPr>
          <w:t>d</w:t>
        </w:r>
        <w:r w:rsidR="006C6A26" w:rsidRPr="00B63B3E">
          <w:rPr>
            <w:rStyle w:val="Hyperlink"/>
            <w:noProof/>
            <w:vertAlign w:val="superscript"/>
          </w:rPr>
          <w:t>-1</w:t>
        </w:r>
        <w:r w:rsidR="006C6A26" w:rsidRPr="00B63B3E">
          <w:rPr>
            <w:rStyle w:val="Hyperlink"/>
            <w:noProof/>
            <w:position w:val="8"/>
          </w:rPr>
          <w:t xml:space="preserve"> </w:t>
        </w:r>
        <w:r w:rsidR="006C6A26" w:rsidRPr="00B63B3E">
          <w:rPr>
            <w:rStyle w:val="Hyperlink"/>
            <w:noProof/>
          </w:rPr>
          <w:t>(continuous 100 μmol</w:t>
        </w:r>
        <w:r w:rsidR="006C6A26" w:rsidRPr="00B63B3E">
          <w:rPr>
            <w:rStyle w:val="Hyperlink"/>
            <w:b/>
            <w:bCs/>
            <w:noProof/>
            <w:position w:val="8"/>
          </w:rPr>
          <w:t>.</w:t>
        </w:r>
        <w:r w:rsidR="006C6A26" w:rsidRPr="00B63B3E">
          <w:rPr>
            <w:rStyle w:val="Hyperlink"/>
            <w:noProof/>
          </w:rPr>
          <w:t>m</w:t>
        </w:r>
        <w:r w:rsidR="006C6A26" w:rsidRPr="00B63B3E">
          <w:rPr>
            <w:rStyle w:val="Hyperlink"/>
            <w:noProof/>
            <w:vertAlign w:val="superscript"/>
          </w:rPr>
          <w:t>-2</w:t>
        </w:r>
        <w:r w:rsidR="006C6A26" w:rsidRPr="00B63B3E">
          <w:rPr>
            <w:rStyle w:val="Hyperlink"/>
            <w:b/>
            <w:bCs/>
            <w:noProof/>
            <w:position w:val="8"/>
          </w:rPr>
          <w:t>.</w:t>
        </w:r>
        <w:r w:rsidR="006C6A26" w:rsidRPr="00B63B3E">
          <w:rPr>
            <w:rStyle w:val="Hyperlink"/>
            <w:noProof/>
          </w:rPr>
          <w:t>s</w:t>
        </w:r>
        <w:r w:rsidR="006C6A26" w:rsidRPr="00B63B3E">
          <w:rPr>
            <w:rStyle w:val="Hyperlink"/>
            <w:noProof/>
            <w:vertAlign w:val="superscript"/>
          </w:rPr>
          <w:t>-1</w:t>
        </w:r>
        <w:r w:rsidR="006C6A26" w:rsidRPr="00B63B3E">
          <w:rPr>
            <w:rStyle w:val="Hyperlink"/>
            <w:noProof/>
          </w:rPr>
          <w:t>; 24 h</w:t>
        </w:r>
        <w:r w:rsidR="006C6A26" w:rsidRPr="00B63B3E">
          <w:rPr>
            <w:rStyle w:val="Hyperlink"/>
            <w:b/>
            <w:bCs/>
            <w:noProof/>
            <w:position w:val="8"/>
          </w:rPr>
          <w:t>.</w:t>
        </w:r>
        <w:r w:rsidR="006C6A26" w:rsidRPr="00B63B3E">
          <w:rPr>
            <w:rStyle w:val="Hyperlink"/>
            <w:noProof/>
          </w:rPr>
          <w:t>d</w:t>
        </w:r>
        <w:r w:rsidR="006C6A26" w:rsidRPr="00B63B3E">
          <w:rPr>
            <w:rStyle w:val="Hyperlink"/>
            <w:noProof/>
            <w:vertAlign w:val="superscript"/>
          </w:rPr>
          <w:t>-1</w:t>
        </w:r>
        <w:r w:rsidR="006C6A26" w:rsidRPr="00B63B3E">
          <w:rPr>
            <w:rStyle w:val="Hyperlink"/>
            <w:noProof/>
          </w:rPr>
          <w:t>). All lighting treatments were measured with a PS-200 Apogee Spectroradiometer to confirm intensity of specific treatment wavelengths throughout each growing season. Readings were taken at midnight in order to exclude underlying natural solar spectra.</w:t>
        </w:r>
        <w:r w:rsidR="006C6A26">
          <w:rPr>
            <w:noProof/>
            <w:webHidden/>
          </w:rPr>
          <w:tab/>
        </w:r>
        <w:r w:rsidR="006C6A26">
          <w:rPr>
            <w:noProof/>
            <w:webHidden/>
          </w:rPr>
          <w:fldChar w:fldCharType="begin"/>
        </w:r>
        <w:r w:rsidR="006C6A26">
          <w:rPr>
            <w:noProof/>
            <w:webHidden/>
          </w:rPr>
          <w:instrText xml:space="preserve"> PAGEREF _Toc141478811 \h </w:instrText>
        </w:r>
        <w:r w:rsidR="006C6A26">
          <w:rPr>
            <w:noProof/>
            <w:webHidden/>
          </w:rPr>
        </w:r>
        <w:r w:rsidR="006C6A26">
          <w:rPr>
            <w:noProof/>
            <w:webHidden/>
          </w:rPr>
          <w:fldChar w:fldCharType="separate"/>
        </w:r>
        <w:r w:rsidR="006C6A26">
          <w:rPr>
            <w:noProof/>
            <w:webHidden/>
          </w:rPr>
          <w:t>176</w:t>
        </w:r>
        <w:r w:rsidR="006C6A26">
          <w:rPr>
            <w:noProof/>
            <w:webHidden/>
          </w:rPr>
          <w:fldChar w:fldCharType="end"/>
        </w:r>
      </w:hyperlink>
    </w:p>
    <w:p w14:paraId="732BBBDC" w14:textId="0B7EB143" w:rsidR="006C6A26" w:rsidRDefault="00000000">
      <w:pPr>
        <w:pStyle w:val="TableofFigures"/>
        <w:tabs>
          <w:tab w:val="right" w:leader="dot" w:pos="9350"/>
        </w:tabs>
        <w:rPr>
          <w:rFonts w:asciiTheme="minorHAnsi" w:eastAsiaTheme="minorEastAsia" w:hAnsiTheme="minorHAnsi"/>
          <w:noProof/>
          <w:kern w:val="2"/>
          <w14:ligatures w14:val="standardContextual"/>
        </w:rPr>
      </w:pPr>
      <w:hyperlink w:anchor="_Toc141478812" w:history="1">
        <w:r w:rsidR="006C6A26" w:rsidRPr="00B63B3E">
          <w:rPr>
            <w:rStyle w:val="Hyperlink"/>
            <w:b/>
            <w:bCs/>
            <w:noProof/>
          </w:rPr>
          <w:t xml:space="preserve">Figure 3.2 (D). </w:t>
        </w:r>
        <w:r w:rsidR="006C6A26" w:rsidRPr="00B63B3E">
          <w:rPr>
            <w:rStyle w:val="Hyperlink"/>
            <w:noProof/>
          </w:rPr>
          <w:t>Emission spectra of supplemental lighting (SL) treatment 660/470/660 from 300 nm to 750 nm. All SL treatments provided 8.64 mol</w:t>
        </w:r>
        <w:r w:rsidR="006C6A26" w:rsidRPr="00B63B3E">
          <w:rPr>
            <w:rStyle w:val="Hyperlink"/>
            <w:b/>
            <w:bCs/>
            <w:noProof/>
            <w:position w:val="8"/>
          </w:rPr>
          <w:t>.</w:t>
        </w:r>
        <w:r w:rsidR="006C6A26" w:rsidRPr="00B63B3E">
          <w:rPr>
            <w:rStyle w:val="Hyperlink"/>
            <w:noProof/>
          </w:rPr>
          <w:t>m</w:t>
        </w:r>
        <w:r w:rsidR="006C6A26" w:rsidRPr="00B63B3E">
          <w:rPr>
            <w:rStyle w:val="Hyperlink"/>
            <w:noProof/>
            <w:vertAlign w:val="superscript"/>
          </w:rPr>
          <w:t>-2</w:t>
        </w:r>
        <w:r w:rsidR="006C6A26" w:rsidRPr="00B63B3E">
          <w:rPr>
            <w:rStyle w:val="Hyperlink"/>
            <w:b/>
            <w:bCs/>
            <w:noProof/>
            <w:position w:val="8"/>
          </w:rPr>
          <w:t>.</w:t>
        </w:r>
        <w:r w:rsidR="006C6A26" w:rsidRPr="00B63B3E">
          <w:rPr>
            <w:rStyle w:val="Hyperlink"/>
            <w:noProof/>
          </w:rPr>
          <w:t>d</w:t>
        </w:r>
        <w:r w:rsidR="006C6A26" w:rsidRPr="00B63B3E">
          <w:rPr>
            <w:rStyle w:val="Hyperlink"/>
            <w:noProof/>
            <w:vertAlign w:val="superscript"/>
          </w:rPr>
          <w:t>-1</w:t>
        </w:r>
        <w:r w:rsidR="006C6A26" w:rsidRPr="00B63B3E">
          <w:rPr>
            <w:rStyle w:val="Hyperlink"/>
            <w:noProof/>
            <w:position w:val="8"/>
          </w:rPr>
          <w:t xml:space="preserve"> </w:t>
        </w:r>
        <w:r w:rsidR="006C6A26" w:rsidRPr="00B63B3E">
          <w:rPr>
            <w:rStyle w:val="Hyperlink"/>
            <w:noProof/>
          </w:rPr>
          <w:t>(continuous 100 μmol</w:t>
        </w:r>
        <w:r w:rsidR="006C6A26" w:rsidRPr="00B63B3E">
          <w:rPr>
            <w:rStyle w:val="Hyperlink"/>
            <w:b/>
            <w:bCs/>
            <w:noProof/>
            <w:position w:val="8"/>
          </w:rPr>
          <w:t>.</w:t>
        </w:r>
        <w:r w:rsidR="006C6A26" w:rsidRPr="00B63B3E">
          <w:rPr>
            <w:rStyle w:val="Hyperlink"/>
            <w:noProof/>
          </w:rPr>
          <w:t>m</w:t>
        </w:r>
        <w:r w:rsidR="006C6A26" w:rsidRPr="00B63B3E">
          <w:rPr>
            <w:rStyle w:val="Hyperlink"/>
            <w:noProof/>
            <w:vertAlign w:val="superscript"/>
          </w:rPr>
          <w:t>-2</w:t>
        </w:r>
        <w:r w:rsidR="006C6A26" w:rsidRPr="00B63B3E">
          <w:rPr>
            <w:rStyle w:val="Hyperlink"/>
            <w:b/>
            <w:bCs/>
            <w:noProof/>
            <w:position w:val="8"/>
          </w:rPr>
          <w:t>.</w:t>
        </w:r>
        <w:r w:rsidR="006C6A26" w:rsidRPr="00B63B3E">
          <w:rPr>
            <w:rStyle w:val="Hyperlink"/>
            <w:noProof/>
          </w:rPr>
          <w:t>s</w:t>
        </w:r>
        <w:r w:rsidR="006C6A26" w:rsidRPr="00B63B3E">
          <w:rPr>
            <w:rStyle w:val="Hyperlink"/>
            <w:noProof/>
            <w:vertAlign w:val="superscript"/>
          </w:rPr>
          <w:t>-1</w:t>
        </w:r>
        <w:r w:rsidR="006C6A26" w:rsidRPr="00B63B3E">
          <w:rPr>
            <w:rStyle w:val="Hyperlink"/>
            <w:noProof/>
          </w:rPr>
          <w:t>; 24 h</w:t>
        </w:r>
        <w:r w:rsidR="006C6A26" w:rsidRPr="00B63B3E">
          <w:rPr>
            <w:rStyle w:val="Hyperlink"/>
            <w:b/>
            <w:bCs/>
            <w:noProof/>
            <w:position w:val="8"/>
          </w:rPr>
          <w:t>.</w:t>
        </w:r>
        <w:r w:rsidR="006C6A26" w:rsidRPr="00B63B3E">
          <w:rPr>
            <w:rStyle w:val="Hyperlink"/>
            <w:noProof/>
          </w:rPr>
          <w:t>d</w:t>
        </w:r>
        <w:r w:rsidR="006C6A26" w:rsidRPr="00B63B3E">
          <w:rPr>
            <w:rStyle w:val="Hyperlink"/>
            <w:noProof/>
            <w:vertAlign w:val="superscript"/>
          </w:rPr>
          <w:t>-1</w:t>
        </w:r>
        <w:r w:rsidR="006C6A26" w:rsidRPr="00B63B3E">
          <w:rPr>
            <w:rStyle w:val="Hyperlink"/>
            <w:noProof/>
          </w:rPr>
          <w:t>). All lighting treatments were measured with a PS-200 Apogee Spectroradiometer to confirm intensity of specific treatment wavelengths throughout each growing season. Readings were taken at midnight in order to exclude underlying natural solar spectra.</w:t>
        </w:r>
        <w:r w:rsidR="006C6A26">
          <w:rPr>
            <w:noProof/>
            <w:webHidden/>
          </w:rPr>
          <w:tab/>
        </w:r>
        <w:r w:rsidR="006C6A26">
          <w:rPr>
            <w:noProof/>
            <w:webHidden/>
          </w:rPr>
          <w:fldChar w:fldCharType="begin"/>
        </w:r>
        <w:r w:rsidR="006C6A26">
          <w:rPr>
            <w:noProof/>
            <w:webHidden/>
          </w:rPr>
          <w:instrText xml:space="preserve"> PAGEREF _Toc141478812 \h </w:instrText>
        </w:r>
        <w:r w:rsidR="006C6A26">
          <w:rPr>
            <w:noProof/>
            <w:webHidden/>
          </w:rPr>
        </w:r>
        <w:r w:rsidR="006C6A26">
          <w:rPr>
            <w:noProof/>
            <w:webHidden/>
          </w:rPr>
          <w:fldChar w:fldCharType="separate"/>
        </w:r>
        <w:r w:rsidR="006C6A26">
          <w:rPr>
            <w:noProof/>
            <w:webHidden/>
          </w:rPr>
          <w:t>177</w:t>
        </w:r>
        <w:r w:rsidR="006C6A26">
          <w:rPr>
            <w:noProof/>
            <w:webHidden/>
          </w:rPr>
          <w:fldChar w:fldCharType="end"/>
        </w:r>
      </w:hyperlink>
    </w:p>
    <w:p w14:paraId="6FD2D5AA" w14:textId="721F73DA" w:rsidR="006C6A26" w:rsidRDefault="00000000">
      <w:pPr>
        <w:pStyle w:val="TableofFigures"/>
        <w:tabs>
          <w:tab w:val="right" w:leader="dot" w:pos="9350"/>
        </w:tabs>
        <w:rPr>
          <w:rFonts w:asciiTheme="minorHAnsi" w:eastAsiaTheme="minorEastAsia" w:hAnsiTheme="minorHAnsi"/>
          <w:noProof/>
          <w:kern w:val="2"/>
          <w14:ligatures w14:val="standardContextual"/>
        </w:rPr>
      </w:pPr>
      <w:hyperlink w:anchor="_Toc141478813" w:history="1">
        <w:r w:rsidR="006C6A26" w:rsidRPr="00B63B3E">
          <w:rPr>
            <w:rStyle w:val="Hyperlink"/>
            <w:b/>
            <w:bCs/>
            <w:noProof/>
          </w:rPr>
          <w:t xml:space="preserve">Figure 3.2 (E). </w:t>
        </w:r>
        <w:r w:rsidR="006C6A26" w:rsidRPr="00B63B3E">
          <w:rPr>
            <w:rStyle w:val="Hyperlink"/>
            <w:noProof/>
          </w:rPr>
          <w:t>Emission spectra of supplemental lighting (SL) treatment 470/450/420 from 300 nm to 750 nm. All SL treatments provided 8.64 mol</w:t>
        </w:r>
        <w:r w:rsidR="006C6A26" w:rsidRPr="00B63B3E">
          <w:rPr>
            <w:rStyle w:val="Hyperlink"/>
            <w:b/>
            <w:bCs/>
            <w:noProof/>
            <w:position w:val="8"/>
          </w:rPr>
          <w:t>.</w:t>
        </w:r>
        <w:r w:rsidR="006C6A26" w:rsidRPr="00B63B3E">
          <w:rPr>
            <w:rStyle w:val="Hyperlink"/>
            <w:noProof/>
          </w:rPr>
          <w:t>m</w:t>
        </w:r>
        <w:r w:rsidR="006C6A26" w:rsidRPr="00B63B3E">
          <w:rPr>
            <w:rStyle w:val="Hyperlink"/>
            <w:noProof/>
            <w:vertAlign w:val="superscript"/>
          </w:rPr>
          <w:t>-2</w:t>
        </w:r>
        <w:r w:rsidR="006C6A26" w:rsidRPr="00B63B3E">
          <w:rPr>
            <w:rStyle w:val="Hyperlink"/>
            <w:b/>
            <w:bCs/>
            <w:noProof/>
            <w:position w:val="8"/>
          </w:rPr>
          <w:t>.</w:t>
        </w:r>
        <w:r w:rsidR="006C6A26" w:rsidRPr="00B63B3E">
          <w:rPr>
            <w:rStyle w:val="Hyperlink"/>
            <w:noProof/>
          </w:rPr>
          <w:t>d</w:t>
        </w:r>
        <w:r w:rsidR="006C6A26" w:rsidRPr="00B63B3E">
          <w:rPr>
            <w:rStyle w:val="Hyperlink"/>
            <w:noProof/>
            <w:vertAlign w:val="superscript"/>
          </w:rPr>
          <w:t>-1</w:t>
        </w:r>
        <w:r w:rsidR="006C6A26" w:rsidRPr="00B63B3E">
          <w:rPr>
            <w:rStyle w:val="Hyperlink"/>
            <w:noProof/>
            <w:position w:val="8"/>
          </w:rPr>
          <w:t xml:space="preserve"> </w:t>
        </w:r>
        <w:r w:rsidR="006C6A26" w:rsidRPr="00B63B3E">
          <w:rPr>
            <w:rStyle w:val="Hyperlink"/>
            <w:noProof/>
          </w:rPr>
          <w:t>(continuous 100 μmol</w:t>
        </w:r>
        <w:r w:rsidR="006C6A26" w:rsidRPr="00B63B3E">
          <w:rPr>
            <w:rStyle w:val="Hyperlink"/>
            <w:b/>
            <w:bCs/>
            <w:noProof/>
            <w:position w:val="8"/>
          </w:rPr>
          <w:t>.</w:t>
        </w:r>
        <w:r w:rsidR="006C6A26" w:rsidRPr="00B63B3E">
          <w:rPr>
            <w:rStyle w:val="Hyperlink"/>
            <w:noProof/>
          </w:rPr>
          <w:t>m</w:t>
        </w:r>
        <w:r w:rsidR="006C6A26" w:rsidRPr="00B63B3E">
          <w:rPr>
            <w:rStyle w:val="Hyperlink"/>
            <w:noProof/>
            <w:vertAlign w:val="superscript"/>
          </w:rPr>
          <w:t>-2</w:t>
        </w:r>
        <w:r w:rsidR="006C6A26" w:rsidRPr="00B63B3E">
          <w:rPr>
            <w:rStyle w:val="Hyperlink"/>
            <w:b/>
            <w:bCs/>
            <w:noProof/>
            <w:position w:val="8"/>
          </w:rPr>
          <w:t>.</w:t>
        </w:r>
        <w:r w:rsidR="006C6A26" w:rsidRPr="00B63B3E">
          <w:rPr>
            <w:rStyle w:val="Hyperlink"/>
            <w:noProof/>
          </w:rPr>
          <w:t>s</w:t>
        </w:r>
        <w:r w:rsidR="006C6A26" w:rsidRPr="00B63B3E">
          <w:rPr>
            <w:rStyle w:val="Hyperlink"/>
            <w:noProof/>
            <w:vertAlign w:val="superscript"/>
          </w:rPr>
          <w:t>-1</w:t>
        </w:r>
        <w:r w:rsidR="006C6A26" w:rsidRPr="00B63B3E">
          <w:rPr>
            <w:rStyle w:val="Hyperlink"/>
            <w:noProof/>
          </w:rPr>
          <w:t>; 24 h</w:t>
        </w:r>
        <w:r w:rsidR="006C6A26" w:rsidRPr="00B63B3E">
          <w:rPr>
            <w:rStyle w:val="Hyperlink"/>
            <w:b/>
            <w:bCs/>
            <w:noProof/>
            <w:position w:val="8"/>
          </w:rPr>
          <w:t>.</w:t>
        </w:r>
        <w:r w:rsidR="006C6A26" w:rsidRPr="00B63B3E">
          <w:rPr>
            <w:rStyle w:val="Hyperlink"/>
            <w:noProof/>
          </w:rPr>
          <w:t>d</w:t>
        </w:r>
        <w:r w:rsidR="006C6A26" w:rsidRPr="00B63B3E">
          <w:rPr>
            <w:rStyle w:val="Hyperlink"/>
            <w:noProof/>
            <w:vertAlign w:val="superscript"/>
          </w:rPr>
          <w:t>-1</w:t>
        </w:r>
        <w:r w:rsidR="006C6A26" w:rsidRPr="00B63B3E">
          <w:rPr>
            <w:rStyle w:val="Hyperlink"/>
            <w:noProof/>
          </w:rPr>
          <w:t>). All lighting treatments were measured with a PS-200 Apogee Spectroradiometer to confirm intensity of specific treatment wavelengths throughout each growing season. Readings were taken at midnight in order to exclude underlying natural solar spectra.</w:t>
        </w:r>
        <w:r w:rsidR="006C6A26">
          <w:rPr>
            <w:noProof/>
            <w:webHidden/>
          </w:rPr>
          <w:tab/>
        </w:r>
        <w:r w:rsidR="006C6A26">
          <w:rPr>
            <w:noProof/>
            <w:webHidden/>
          </w:rPr>
          <w:fldChar w:fldCharType="begin"/>
        </w:r>
        <w:r w:rsidR="006C6A26">
          <w:rPr>
            <w:noProof/>
            <w:webHidden/>
          </w:rPr>
          <w:instrText xml:space="preserve"> PAGEREF _Toc141478813 \h </w:instrText>
        </w:r>
        <w:r w:rsidR="006C6A26">
          <w:rPr>
            <w:noProof/>
            <w:webHidden/>
          </w:rPr>
        </w:r>
        <w:r w:rsidR="006C6A26">
          <w:rPr>
            <w:noProof/>
            <w:webHidden/>
          </w:rPr>
          <w:fldChar w:fldCharType="separate"/>
        </w:r>
        <w:r w:rsidR="006C6A26">
          <w:rPr>
            <w:noProof/>
            <w:webHidden/>
          </w:rPr>
          <w:t>178</w:t>
        </w:r>
        <w:r w:rsidR="006C6A26">
          <w:rPr>
            <w:noProof/>
            <w:webHidden/>
          </w:rPr>
          <w:fldChar w:fldCharType="end"/>
        </w:r>
      </w:hyperlink>
    </w:p>
    <w:p w14:paraId="065BC695" w14:textId="35D5D50A" w:rsidR="006C6A26" w:rsidRDefault="00000000">
      <w:pPr>
        <w:pStyle w:val="TableofFigures"/>
        <w:tabs>
          <w:tab w:val="right" w:leader="dot" w:pos="9350"/>
        </w:tabs>
        <w:rPr>
          <w:rFonts w:asciiTheme="minorHAnsi" w:eastAsiaTheme="minorEastAsia" w:hAnsiTheme="minorHAnsi"/>
          <w:noProof/>
          <w:kern w:val="2"/>
          <w14:ligatures w14:val="standardContextual"/>
        </w:rPr>
      </w:pPr>
      <w:hyperlink w:anchor="_Toc141478814" w:history="1">
        <w:r w:rsidR="006C6A26" w:rsidRPr="00B63B3E">
          <w:rPr>
            <w:rStyle w:val="Hyperlink"/>
            <w:b/>
            <w:bCs/>
            <w:noProof/>
          </w:rPr>
          <w:t xml:space="preserve">Figure 3.2 (F). </w:t>
        </w:r>
        <w:r w:rsidR="006C6A26" w:rsidRPr="00B63B3E">
          <w:rPr>
            <w:rStyle w:val="Hyperlink"/>
            <w:noProof/>
          </w:rPr>
          <w:t>Emission spectra of supplemental lighting (SL) treatment 450/660/470 from 300 nm to 750 nm. All SL treatments provided 8.64 mol</w:t>
        </w:r>
        <w:r w:rsidR="006C6A26" w:rsidRPr="00B63B3E">
          <w:rPr>
            <w:rStyle w:val="Hyperlink"/>
            <w:b/>
            <w:bCs/>
            <w:noProof/>
            <w:position w:val="8"/>
          </w:rPr>
          <w:t>.</w:t>
        </w:r>
        <w:r w:rsidR="006C6A26" w:rsidRPr="00B63B3E">
          <w:rPr>
            <w:rStyle w:val="Hyperlink"/>
            <w:noProof/>
          </w:rPr>
          <w:t>m</w:t>
        </w:r>
        <w:r w:rsidR="006C6A26" w:rsidRPr="00B63B3E">
          <w:rPr>
            <w:rStyle w:val="Hyperlink"/>
            <w:noProof/>
            <w:vertAlign w:val="superscript"/>
          </w:rPr>
          <w:t>-2</w:t>
        </w:r>
        <w:r w:rsidR="006C6A26" w:rsidRPr="00B63B3E">
          <w:rPr>
            <w:rStyle w:val="Hyperlink"/>
            <w:b/>
            <w:bCs/>
            <w:noProof/>
            <w:position w:val="8"/>
          </w:rPr>
          <w:t>.</w:t>
        </w:r>
        <w:r w:rsidR="006C6A26" w:rsidRPr="00B63B3E">
          <w:rPr>
            <w:rStyle w:val="Hyperlink"/>
            <w:noProof/>
          </w:rPr>
          <w:t>d</w:t>
        </w:r>
        <w:r w:rsidR="006C6A26" w:rsidRPr="00B63B3E">
          <w:rPr>
            <w:rStyle w:val="Hyperlink"/>
            <w:noProof/>
            <w:vertAlign w:val="superscript"/>
          </w:rPr>
          <w:t>-1</w:t>
        </w:r>
        <w:r w:rsidR="006C6A26" w:rsidRPr="00B63B3E">
          <w:rPr>
            <w:rStyle w:val="Hyperlink"/>
            <w:noProof/>
            <w:position w:val="8"/>
          </w:rPr>
          <w:t xml:space="preserve"> </w:t>
        </w:r>
        <w:r w:rsidR="006C6A26" w:rsidRPr="00B63B3E">
          <w:rPr>
            <w:rStyle w:val="Hyperlink"/>
            <w:noProof/>
          </w:rPr>
          <w:t>(continuous 100 μmol</w:t>
        </w:r>
        <w:r w:rsidR="006C6A26" w:rsidRPr="00B63B3E">
          <w:rPr>
            <w:rStyle w:val="Hyperlink"/>
            <w:b/>
            <w:bCs/>
            <w:noProof/>
            <w:position w:val="8"/>
          </w:rPr>
          <w:t>.</w:t>
        </w:r>
        <w:r w:rsidR="006C6A26" w:rsidRPr="00B63B3E">
          <w:rPr>
            <w:rStyle w:val="Hyperlink"/>
            <w:noProof/>
          </w:rPr>
          <w:t>m</w:t>
        </w:r>
        <w:r w:rsidR="006C6A26" w:rsidRPr="00B63B3E">
          <w:rPr>
            <w:rStyle w:val="Hyperlink"/>
            <w:noProof/>
            <w:vertAlign w:val="superscript"/>
          </w:rPr>
          <w:t>-2</w:t>
        </w:r>
        <w:r w:rsidR="006C6A26" w:rsidRPr="00B63B3E">
          <w:rPr>
            <w:rStyle w:val="Hyperlink"/>
            <w:b/>
            <w:bCs/>
            <w:noProof/>
            <w:position w:val="8"/>
          </w:rPr>
          <w:t>.</w:t>
        </w:r>
        <w:r w:rsidR="006C6A26" w:rsidRPr="00B63B3E">
          <w:rPr>
            <w:rStyle w:val="Hyperlink"/>
            <w:noProof/>
          </w:rPr>
          <w:t>s</w:t>
        </w:r>
        <w:r w:rsidR="006C6A26" w:rsidRPr="00B63B3E">
          <w:rPr>
            <w:rStyle w:val="Hyperlink"/>
            <w:noProof/>
            <w:vertAlign w:val="superscript"/>
          </w:rPr>
          <w:t>-1</w:t>
        </w:r>
        <w:r w:rsidR="006C6A26" w:rsidRPr="00B63B3E">
          <w:rPr>
            <w:rStyle w:val="Hyperlink"/>
            <w:noProof/>
          </w:rPr>
          <w:t>; 24 h</w:t>
        </w:r>
        <w:r w:rsidR="006C6A26" w:rsidRPr="00B63B3E">
          <w:rPr>
            <w:rStyle w:val="Hyperlink"/>
            <w:b/>
            <w:bCs/>
            <w:noProof/>
            <w:position w:val="8"/>
          </w:rPr>
          <w:t>.</w:t>
        </w:r>
        <w:r w:rsidR="006C6A26" w:rsidRPr="00B63B3E">
          <w:rPr>
            <w:rStyle w:val="Hyperlink"/>
            <w:noProof/>
          </w:rPr>
          <w:t>d</w:t>
        </w:r>
        <w:r w:rsidR="006C6A26" w:rsidRPr="00B63B3E">
          <w:rPr>
            <w:rStyle w:val="Hyperlink"/>
            <w:noProof/>
            <w:vertAlign w:val="superscript"/>
          </w:rPr>
          <w:t>-1</w:t>
        </w:r>
        <w:r w:rsidR="006C6A26" w:rsidRPr="00B63B3E">
          <w:rPr>
            <w:rStyle w:val="Hyperlink"/>
            <w:noProof/>
          </w:rPr>
          <w:t xml:space="preserve">). All lighting treatments were measured with a PS-200 Apogee Spectroradiometer </w:t>
        </w:r>
        <w:r w:rsidR="006C6A26" w:rsidRPr="00B63B3E">
          <w:rPr>
            <w:rStyle w:val="Hyperlink"/>
            <w:noProof/>
          </w:rPr>
          <w:lastRenderedPageBreak/>
          <w:t>to confirm intensity of specific treatment wavelengths throughout each growing season. Readings were taken at midnight in order to exclude underlying natural solar spectra.</w:t>
        </w:r>
        <w:r w:rsidR="006C6A26">
          <w:rPr>
            <w:noProof/>
            <w:webHidden/>
          </w:rPr>
          <w:tab/>
        </w:r>
        <w:r w:rsidR="006C6A26">
          <w:rPr>
            <w:noProof/>
            <w:webHidden/>
          </w:rPr>
          <w:fldChar w:fldCharType="begin"/>
        </w:r>
        <w:r w:rsidR="006C6A26">
          <w:rPr>
            <w:noProof/>
            <w:webHidden/>
          </w:rPr>
          <w:instrText xml:space="preserve"> PAGEREF _Toc141478814 \h </w:instrText>
        </w:r>
        <w:r w:rsidR="006C6A26">
          <w:rPr>
            <w:noProof/>
            <w:webHidden/>
          </w:rPr>
        </w:r>
        <w:r w:rsidR="006C6A26">
          <w:rPr>
            <w:noProof/>
            <w:webHidden/>
          </w:rPr>
          <w:fldChar w:fldCharType="separate"/>
        </w:r>
        <w:r w:rsidR="006C6A26">
          <w:rPr>
            <w:noProof/>
            <w:webHidden/>
          </w:rPr>
          <w:t>179</w:t>
        </w:r>
        <w:r w:rsidR="006C6A26">
          <w:rPr>
            <w:noProof/>
            <w:webHidden/>
          </w:rPr>
          <w:fldChar w:fldCharType="end"/>
        </w:r>
      </w:hyperlink>
    </w:p>
    <w:p w14:paraId="09DE044B" w14:textId="76EA2EF0" w:rsidR="006C6A26" w:rsidRDefault="00000000">
      <w:pPr>
        <w:pStyle w:val="TableofFigures"/>
        <w:tabs>
          <w:tab w:val="right" w:leader="dot" w:pos="9350"/>
        </w:tabs>
        <w:rPr>
          <w:rFonts w:asciiTheme="minorHAnsi" w:eastAsiaTheme="minorEastAsia" w:hAnsiTheme="minorHAnsi"/>
          <w:noProof/>
          <w:kern w:val="2"/>
          <w14:ligatures w14:val="standardContextual"/>
        </w:rPr>
      </w:pPr>
      <w:hyperlink w:anchor="_Toc141478815" w:history="1">
        <w:r w:rsidR="006C6A26" w:rsidRPr="00B63B3E">
          <w:rPr>
            <w:rStyle w:val="Hyperlink"/>
            <w:b/>
            <w:bCs/>
            <w:noProof/>
          </w:rPr>
          <w:t xml:space="preserve">Figure 3.2 (G). </w:t>
        </w:r>
        <w:r w:rsidR="006C6A26" w:rsidRPr="00B63B3E">
          <w:rPr>
            <w:rStyle w:val="Hyperlink"/>
            <w:noProof/>
          </w:rPr>
          <w:t>Emission spectra of supplemental lighting (SL) treatment 450/W/470 from 300 nm to 750 nm. All SL treatments provided 8.64 mol</w:t>
        </w:r>
        <w:r w:rsidR="006C6A26" w:rsidRPr="00B63B3E">
          <w:rPr>
            <w:rStyle w:val="Hyperlink"/>
            <w:b/>
            <w:bCs/>
            <w:noProof/>
            <w:position w:val="8"/>
          </w:rPr>
          <w:t>.</w:t>
        </w:r>
        <w:r w:rsidR="006C6A26" w:rsidRPr="00B63B3E">
          <w:rPr>
            <w:rStyle w:val="Hyperlink"/>
            <w:noProof/>
          </w:rPr>
          <w:t>m</w:t>
        </w:r>
        <w:r w:rsidR="006C6A26" w:rsidRPr="00B63B3E">
          <w:rPr>
            <w:rStyle w:val="Hyperlink"/>
            <w:noProof/>
            <w:vertAlign w:val="superscript"/>
          </w:rPr>
          <w:t>-2</w:t>
        </w:r>
        <w:r w:rsidR="006C6A26" w:rsidRPr="00B63B3E">
          <w:rPr>
            <w:rStyle w:val="Hyperlink"/>
            <w:b/>
            <w:bCs/>
            <w:noProof/>
            <w:position w:val="8"/>
          </w:rPr>
          <w:t>.</w:t>
        </w:r>
        <w:r w:rsidR="006C6A26" w:rsidRPr="00B63B3E">
          <w:rPr>
            <w:rStyle w:val="Hyperlink"/>
            <w:noProof/>
          </w:rPr>
          <w:t>d</w:t>
        </w:r>
        <w:r w:rsidR="006C6A26" w:rsidRPr="00B63B3E">
          <w:rPr>
            <w:rStyle w:val="Hyperlink"/>
            <w:noProof/>
            <w:vertAlign w:val="superscript"/>
          </w:rPr>
          <w:t>-1</w:t>
        </w:r>
        <w:r w:rsidR="006C6A26" w:rsidRPr="00B63B3E">
          <w:rPr>
            <w:rStyle w:val="Hyperlink"/>
            <w:noProof/>
            <w:position w:val="8"/>
          </w:rPr>
          <w:t xml:space="preserve"> </w:t>
        </w:r>
        <w:r w:rsidR="006C6A26" w:rsidRPr="00B63B3E">
          <w:rPr>
            <w:rStyle w:val="Hyperlink"/>
            <w:noProof/>
          </w:rPr>
          <w:t>(continuous 100 μmol</w:t>
        </w:r>
        <w:r w:rsidR="006C6A26" w:rsidRPr="00B63B3E">
          <w:rPr>
            <w:rStyle w:val="Hyperlink"/>
            <w:b/>
            <w:bCs/>
            <w:noProof/>
            <w:position w:val="8"/>
          </w:rPr>
          <w:t>.</w:t>
        </w:r>
        <w:r w:rsidR="006C6A26" w:rsidRPr="00B63B3E">
          <w:rPr>
            <w:rStyle w:val="Hyperlink"/>
            <w:noProof/>
          </w:rPr>
          <w:t>m</w:t>
        </w:r>
        <w:r w:rsidR="006C6A26" w:rsidRPr="00B63B3E">
          <w:rPr>
            <w:rStyle w:val="Hyperlink"/>
            <w:noProof/>
            <w:vertAlign w:val="superscript"/>
          </w:rPr>
          <w:t>-2</w:t>
        </w:r>
        <w:r w:rsidR="006C6A26" w:rsidRPr="00B63B3E">
          <w:rPr>
            <w:rStyle w:val="Hyperlink"/>
            <w:b/>
            <w:bCs/>
            <w:noProof/>
            <w:position w:val="8"/>
          </w:rPr>
          <w:t>.</w:t>
        </w:r>
        <w:r w:rsidR="006C6A26" w:rsidRPr="00B63B3E">
          <w:rPr>
            <w:rStyle w:val="Hyperlink"/>
            <w:noProof/>
          </w:rPr>
          <w:t>s</w:t>
        </w:r>
        <w:r w:rsidR="006C6A26" w:rsidRPr="00B63B3E">
          <w:rPr>
            <w:rStyle w:val="Hyperlink"/>
            <w:noProof/>
            <w:vertAlign w:val="superscript"/>
          </w:rPr>
          <w:t>-1</w:t>
        </w:r>
        <w:r w:rsidR="006C6A26" w:rsidRPr="00B63B3E">
          <w:rPr>
            <w:rStyle w:val="Hyperlink"/>
            <w:noProof/>
          </w:rPr>
          <w:t>; 24 h</w:t>
        </w:r>
        <w:r w:rsidR="006C6A26" w:rsidRPr="00B63B3E">
          <w:rPr>
            <w:rStyle w:val="Hyperlink"/>
            <w:b/>
            <w:bCs/>
            <w:noProof/>
            <w:position w:val="8"/>
          </w:rPr>
          <w:t>.</w:t>
        </w:r>
        <w:r w:rsidR="006C6A26" w:rsidRPr="00B63B3E">
          <w:rPr>
            <w:rStyle w:val="Hyperlink"/>
            <w:noProof/>
          </w:rPr>
          <w:t>d</w:t>
        </w:r>
        <w:r w:rsidR="006C6A26" w:rsidRPr="00B63B3E">
          <w:rPr>
            <w:rStyle w:val="Hyperlink"/>
            <w:noProof/>
            <w:vertAlign w:val="superscript"/>
          </w:rPr>
          <w:t>-1</w:t>
        </w:r>
        <w:r w:rsidR="006C6A26" w:rsidRPr="00B63B3E">
          <w:rPr>
            <w:rStyle w:val="Hyperlink"/>
            <w:noProof/>
          </w:rPr>
          <w:t>). All lighting treatments were measured with a PS-200 Apogee Spectroradiometer to confirm intensity of specific treatment wavelengths throughout each growing season. Readings were taken at midnight in order to exclude underlying natural solar spectra.</w:t>
        </w:r>
        <w:r w:rsidR="006C6A26">
          <w:rPr>
            <w:noProof/>
            <w:webHidden/>
          </w:rPr>
          <w:tab/>
        </w:r>
        <w:r w:rsidR="006C6A26">
          <w:rPr>
            <w:noProof/>
            <w:webHidden/>
          </w:rPr>
          <w:fldChar w:fldCharType="begin"/>
        </w:r>
        <w:r w:rsidR="006C6A26">
          <w:rPr>
            <w:noProof/>
            <w:webHidden/>
          </w:rPr>
          <w:instrText xml:space="preserve"> PAGEREF _Toc141478815 \h </w:instrText>
        </w:r>
        <w:r w:rsidR="006C6A26">
          <w:rPr>
            <w:noProof/>
            <w:webHidden/>
          </w:rPr>
        </w:r>
        <w:r w:rsidR="006C6A26">
          <w:rPr>
            <w:noProof/>
            <w:webHidden/>
          </w:rPr>
          <w:fldChar w:fldCharType="separate"/>
        </w:r>
        <w:r w:rsidR="006C6A26">
          <w:rPr>
            <w:noProof/>
            <w:webHidden/>
          </w:rPr>
          <w:t>180</w:t>
        </w:r>
        <w:r w:rsidR="006C6A26">
          <w:rPr>
            <w:noProof/>
            <w:webHidden/>
          </w:rPr>
          <w:fldChar w:fldCharType="end"/>
        </w:r>
      </w:hyperlink>
    </w:p>
    <w:p w14:paraId="255773A2" w14:textId="52EADBA8" w:rsidR="006C6A26" w:rsidRDefault="00000000">
      <w:pPr>
        <w:pStyle w:val="TableofFigures"/>
        <w:tabs>
          <w:tab w:val="right" w:leader="dot" w:pos="9350"/>
        </w:tabs>
        <w:rPr>
          <w:rFonts w:asciiTheme="minorHAnsi" w:eastAsiaTheme="minorEastAsia" w:hAnsiTheme="minorHAnsi"/>
          <w:noProof/>
          <w:kern w:val="2"/>
          <w14:ligatures w14:val="standardContextual"/>
        </w:rPr>
      </w:pPr>
      <w:hyperlink w:anchor="_Toc141478816" w:history="1">
        <w:r w:rsidR="006C6A26" w:rsidRPr="00B63B3E">
          <w:rPr>
            <w:rStyle w:val="Hyperlink"/>
            <w:b/>
            <w:bCs/>
            <w:noProof/>
          </w:rPr>
          <w:t xml:space="preserve">Figure 3.2 (H). </w:t>
        </w:r>
        <w:r w:rsidR="006C6A26" w:rsidRPr="00B63B3E">
          <w:rPr>
            <w:rStyle w:val="Hyperlink"/>
            <w:noProof/>
          </w:rPr>
          <w:t>Emission spectra of supplemental lighting (SL) treatment 6B/94R (Fluence PhysioSpec™) from 300 nm to 750 nm. All SL treatments provided 8.64 mol</w:t>
        </w:r>
        <w:r w:rsidR="006C6A26" w:rsidRPr="00B63B3E">
          <w:rPr>
            <w:rStyle w:val="Hyperlink"/>
            <w:b/>
            <w:bCs/>
            <w:noProof/>
            <w:position w:val="8"/>
          </w:rPr>
          <w:t>.</w:t>
        </w:r>
        <w:r w:rsidR="006C6A26" w:rsidRPr="00B63B3E">
          <w:rPr>
            <w:rStyle w:val="Hyperlink"/>
            <w:noProof/>
          </w:rPr>
          <w:t>m</w:t>
        </w:r>
        <w:r w:rsidR="006C6A26" w:rsidRPr="00B63B3E">
          <w:rPr>
            <w:rStyle w:val="Hyperlink"/>
            <w:noProof/>
            <w:vertAlign w:val="superscript"/>
          </w:rPr>
          <w:t>-2</w:t>
        </w:r>
        <w:r w:rsidR="006C6A26" w:rsidRPr="00B63B3E">
          <w:rPr>
            <w:rStyle w:val="Hyperlink"/>
            <w:b/>
            <w:bCs/>
            <w:noProof/>
            <w:position w:val="8"/>
          </w:rPr>
          <w:t>.</w:t>
        </w:r>
        <w:r w:rsidR="006C6A26" w:rsidRPr="00B63B3E">
          <w:rPr>
            <w:rStyle w:val="Hyperlink"/>
            <w:noProof/>
          </w:rPr>
          <w:t>d</w:t>
        </w:r>
        <w:r w:rsidR="006C6A26" w:rsidRPr="00B63B3E">
          <w:rPr>
            <w:rStyle w:val="Hyperlink"/>
            <w:noProof/>
            <w:vertAlign w:val="superscript"/>
          </w:rPr>
          <w:t>-1</w:t>
        </w:r>
        <w:r w:rsidR="006C6A26" w:rsidRPr="00B63B3E">
          <w:rPr>
            <w:rStyle w:val="Hyperlink"/>
            <w:noProof/>
            <w:position w:val="8"/>
          </w:rPr>
          <w:t xml:space="preserve"> </w:t>
        </w:r>
        <w:r w:rsidR="006C6A26" w:rsidRPr="00B63B3E">
          <w:rPr>
            <w:rStyle w:val="Hyperlink"/>
            <w:noProof/>
          </w:rPr>
          <w:t>(continuous 100 μmol</w:t>
        </w:r>
        <w:r w:rsidR="006C6A26" w:rsidRPr="00B63B3E">
          <w:rPr>
            <w:rStyle w:val="Hyperlink"/>
            <w:b/>
            <w:bCs/>
            <w:noProof/>
            <w:position w:val="8"/>
          </w:rPr>
          <w:t>.</w:t>
        </w:r>
        <w:r w:rsidR="006C6A26" w:rsidRPr="00B63B3E">
          <w:rPr>
            <w:rStyle w:val="Hyperlink"/>
            <w:noProof/>
          </w:rPr>
          <w:t>m</w:t>
        </w:r>
        <w:r w:rsidR="006C6A26" w:rsidRPr="00B63B3E">
          <w:rPr>
            <w:rStyle w:val="Hyperlink"/>
            <w:noProof/>
            <w:vertAlign w:val="superscript"/>
          </w:rPr>
          <w:t>-2</w:t>
        </w:r>
        <w:r w:rsidR="006C6A26" w:rsidRPr="00B63B3E">
          <w:rPr>
            <w:rStyle w:val="Hyperlink"/>
            <w:b/>
            <w:bCs/>
            <w:noProof/>
            <w:position w:val="8"/>
          </w:rPr>
          <w:t>.</w:t>
        </w:r>
        <w:r w:rsidR="006C6A26" w:rsidRPr="00B63B3E">
          <w:rPr>
            <w:rStyle w:val="Hyperlink"/>
            <w:noProof/>
          </w:rPr>
          <w:t>s</w:t>
        </w:r>
        <w:r w:rsidR="006C6A26" w:rsidRPr="00B63B3E">
          <w:rPr>
            <w:rStyle w:val="Hyperlink"/>
            <w:noProof/>
            <w:vertAlign w:val="superscript"/>
          </w:rPr>
          <w:t>-1</w:t>
        </w:r>
        <w:r w:rsidR="006C6A26" w:rsidRPr="00B63B3E">
          <w:rPr>
            <w:rStyle w:val="Hyperlink"/>
            <w:noProof/>
          </w:rPr>
          <w:t>; 24 h</w:t>
        </w:r>
        <w:r w:rsidR="006C6A26" w:rsidRPr="00B63B3E">
          <w:rPr>
            <w:rStyle w:val="Hyperlink"/>
            <w:b/>
            <w:bCs/>
            <w:noProof/>
            <w:position w:val="8"/>
          </w:rPr>
          <w:t>.</w:t>
        </w:r>
        <w:r w:rsidR="006C6A26" w:rsidRPr="00B63B3E">
          <w:rPr>
            <w:rStyle w:val="Hyperlink"/>
            <w:noProof/>
          </w:rPr>
          <w:t>d</w:t>
        </w:r>
        <w:r w:rsidR="006C6A26" w:rsidRPr="00B63B3E">
          <w:rPr>
            <w:rStyle w:val="Hyperlink"/>
            <w:noProof/>
            <w:vertAlign w:val="superscript"/>
          </w:rPr>
          <w:t>-1</w:t>
        </w:r>
        <w:r w:rsidR="006C6A26" w:rsidRPr="00B63B3E">
          <w:rPr>
            <w:rStyle w:val="Hyperlink"/>
            <w:noProof/>
          </w:rPr>
          <w:t>). All lighting treatments were measured with a PS-200 Apogee Spectroradiometer to confirm intensity of specific treatment wavelengths throughout each growing season. Readings were taken at midnight in order to exclude underlying natural solar spectra.</w:t>
        </w:r>
        <w:r w:rsidR="006C6A26">
          <w:rPr>
            <w:noProof/>
            <w:webHidden/>
          </w:rPr>
          <w:tab/>
        </w:r>
        <w:r w:rsidR="006C6A26">
          <w:rPr>
            <w:noProof/>
            <w:webHidden/>
          </w:rPr>
          <w:fldChar w:fldCharType="begin"/>
        </w:r>
        <w:r w:rsidR="006C6A26">
          <w:rPr>
            <w:noProof/>
            <w:webHidden/>
          </w:rPr>
          <w:instrText xml:space="preserve"> PAGEREF _Toc141478816 \h </w:instrText>
        </w:r>
        <w:r w:rsidR="006C6A26">
          <w:rPr>
            <w:noProof/>
            <w:webHidden/>
          </w:rPr>
        </w:r>
        <w:r w:rsidR="006C6A26">
          <w:rPr>
            <w:noProof/>
            <w:webHidden/>
          </w:rPr>
          <w:fldChar w:fldCharType="separate"/>
        </w:r>
        <w:r w:rsidR="006C6A26">
          <w:rPr>
            <w:noProof/>
            <w:webHidden/>
          </w:rPr>
          <w:t>181</w:t>
        </w:r>
        <w:r w:rsidR="006C6A26">
          <w:rPr>
            <w:noProof/>
            <w:webHidden/>
          </w:rPr>
          <w:fldChar w:fldCharType="end"/>
        </w:r>
      </w:hyperlink>
    </w:p>
    <w:p w14:paraId="26FBE525" w14:textId="6391733E" w:rsidR="006C6A26" w:rsidRDefault="00000000">
      <w:pPr>
        <w:pStyle w:val="TableofFigures"/>
        <w:tabs>
          <w:tab w:val="right" w:leader="dot" w:pos="9350"/>
        </w:tabs>
        <w:rPr>
          <w:rFonts w:asciiTheme="minorHAnsi" w:eastAsiaTheme="minorEastAsia" w:hAnsiTheme="minorHAnsi"/>
          <w:noProof/>
          <w:kern w:val="2"/>
          <w14:ligatures w14:val="standardContextual"/>
        </w:rPr>
      </w:pPr>
      <w:hyperlink w:anchor="_Toc141478817" w:history="1">
        <w:r w:rsidR="006C6A26" w:rsidRPr="00B63B3E">
          <w:rPr>
            <w:rStyle w:val="Hyperlink"/>
            <w:b/>
            <w:bCs/>
            <w:noProof/>
          </w:rPr>
          <w:t>Figure 3.2 (I).</w:t>
        </w:r>
        <w:r w:rsidR="006C6A26" w:rsidRPr="00B63B3E">
          <w:rPr>
            <w:rStyle w:val="Hyperlink"/>
            <w:noProof/>
          </w:rPr>
          <w:t xml:space="preserve"> Emission spectra of supplemental lighting (SL) treatment 12B/88R (Fluence PhysioSpec™) from 300 nm to 750 nm. All SL treatments provided 8.64 mol</w:t>
        </w:r>
        <w:r w:rsidR="006C6A26" w:rsidRPr="00B63B3E">
          <w:rPr>
            <w:rStyle w:val="Hyperlink"/>
            <w:b/>
            <w:bCs/>
            <w:noProof/>
            <w:position w:val="8"/>
          </w:rPr>
          <w:t>.</w:t>
        </w:r>
        <w:r w:rsidR="006C6A26" w:rsidRPr="00B63B3E">
          <w:rPr>
            <w:rStyle w:val="Hyperlink"/>
            <w:noProof/>
          </w:rPr>
          <w:t>m</w:t>
        </w:r>
        <w:r w:rsidR="006C6A26" w:rsidRPr="00B63B3E">
          <w:rPr>
            <w:rStyle w:val="Hyperlink"/>
            <w:noProof/>
            <w:vertAlign w:val="superscript"/>
          </w:rPr>
          <w:t>-2</w:t>
        </w:r>
        <w:r w:rsidR="006C6A26" w:rsidRPr="00B63B3E">
          <w:rPr>
            <w:rStyle w:val="Hyperlink"/>
            <w:b/>
            <w:bCs/>
            <w:noProof/>
            <w:position w:val="8"/>
          </w:rPr>
          <w:t>.</w:t>
        </w:r>
        <w:r w:rsidR="006C6A26" w:rsidRPr="00B63B3E">
          <w:rPr>
            <w:rStyle w:val="Hyperlink"/>
            <w:noProof/>
          </w:rPr>
          <w:t>d</w:t>
        </w:r>
        <w:r w:rsidR="006C6A26" w:rsidRPr="00B63B3E">
          <w:rPr>
            <w:rStyle w:val="Hyperlink"/>
            <w:noProof/>
            <w:vertAlign w:val="superscript"/>
          </w:rPr>
          <w:t>-1</w:t>
        </w:r>
        <w:r w:rsidR="006C6A26" w:rsidRPr="00B63B3E">
          <w:rPr>
            <w:rStyle w:val="Hyperlink"/>
            <w:noProof/>
            <w:position w:val="8"/>
          </w:rPr>
          <w:t xml:space="preserve"> </w:t>
        </w:r>
        <w:r w:rsidR="006C6A26" w:rsidRPr="00B63B3E">
          <w:rPr>
            <w:rStyle w:val="Hyperlink"/>
            <w:noProof/>
          </w:rPr>
          <w:t>(continuous 100 μmol</w:t>
        </w:r>
        <w:r w:rsidR="006C6A26" w:rsidRPr="00B63B3E">
          <w:rPr>
            <w:rStyle w:val="Hyperlink"/>
            <w:b/>
            <w:bCs/>
            <w:noProof/>
            <w:position w:val="8"/>
          </w:rPr>
          <w:t>.</w:t>
        </w:r>
        <w:r w:rsidR="006C6A26" w:rsidRPr="00B63B3E">
          <w:rPr>
            <w:rStyle w:val="Hyperlink"/>
            <w:noProof/>
          </w:rPr>
          <w:t>m</w:t>
        </w:r>
        <w:r w:rsidR="006C6A26" w:rsidRPr="00B63B3E">
          <w:rPr>
            <w:rStyle w:val="Hyperlink"/>
            <w:noProof/>
            <w:vertAlign w:val="superscript"/>
          </w:rPr>
          <w:t>-2</w:t>
        </w:r>
        <w:r w:rsidR="006C6A26" w:rsidRPr="00B63B3E">
          <w:rPr>
            <w:rStyle w:val="Hyperlink"/>
            <w:b/>
            <w:bCs/>
            <w:noProof/>
            <w:position w:val="8"/>
          </w:rPr>
          <w:t>.</w:t>
        </w:r>
        <w:r w:rsidR="006C6A26" w:rsidRPr="00B63B3E">
          <w:rPr>
            <w:rStyle w:val="Hyperlink"/>
            <w:noProof/>
          </w:rPr>
          <w:t>s</w:t>
        </w:r>
        <w:r w:rsidR="006C6A26" w:rsidRPr="00B63B3E">
          <w:rPr>
            <w:rStyle w:val="Hyperlink"/>
            <w:noProof/>
            <w:vertAlign w:val="superscript"/>
          </w:rPr>
          <w:t>-1</w:t>
        </w:r>
        <w:r w:rsidR="006C6A26" w:rsidRPr="00B63B3E">
          <w:rPr>
            <w:rStyle w:val="Hyperlink"/>
            <w:noProof/>
          </w:rPr>
          <w:t>; 24 h</w:t>
        </w:r>
        <w:r w:rsidR="006C6A26" w:rsidRPr="00B63B3E">
          <w:rPr>
            <w:rStyle w:val="Hyperlink"/>
            <w:b/>
            <w:bCs/>
            <w:noProof/>
            <w:position w:val="8"/>
          </w:rPr>
          <w:t>.</w:t>
        </w:r>
        <w:r w:rsidR="006C6A26" w:rsidRPr="00B63B3E">
          <w:rPr>
            <w:rStyle w:val="Hyperlink"/>
            <w:noProof/>
          </w:rPr>
          <w:t>d</w:t>
        </w:r>
        <w:r w:rsidR="006C6A26" w:rsidRPr="00B63B3E">
          <w:rPr>
            <w:rStyle w:val="Hyperlink"/>
            <w:noProof/>
            <w:vertAlign w:val="superscript"/>
          </w:rPr>
          <w:t>-1</w:t>
        </w:r>
        <w:r w:rsidR="006C6A26" w:rsidRPr="00B63B3E">
          <w:rPr>
            <w:rStyle w:val="Hyperlink"/>
            <w:noProof/>
          </w:rPr>
          <w:t>). All lighting treatments were measured with a PS-200 Apogee Spectroradiometer to confirm intensity of specific treatment wavelengths throughout each growing season. Readings were taken at midnight in order to exclude underlying natural solar spectra.</w:t>
        </w:r>
        <w:r w:rsidR="006C6A26">
          <w:rPr>
            <w:noProof/>
            <w:webHidden/>
          </w:rPr>
          <w:tab/>
        </w:r>
        <w:r w:rsidR="006C6A26">
          <w:rPr>
            <w:noProof/>
            <w:webHidden/>
          </w:rPr>
          <w:fldChar w:fldCharType="begin"/>
        </w:r>
        <w:r w:rsidR="006C6A26">
          <w:rPr>
            <w:noProof/>
            <w:webHidden/>
          </w:rPr>
          <w:instrText xml:space="preserve"> PAGEREF _Toc141478817 \h </w:instrText>
        </w:r>
        <w:r w:rsidR="006C6A26">
          <w:rPr>
            <w:noProof/>
            <w:webHidden/>
          </w:rPr>
        </w:r>
        <w:r w:rsidR="006C6A26">
          <w:rPr>
            <w:noProof/>
            <w:webHidden/>
          </w:rPr>
          <w:fldChar w:fldCharType="separate"/>
        </w:r>
        <w:r w:rsidR="006C6A26">
          <w:rPr>
            <w:noProof/>
            <w:webHidden/>
          </w:rPr>
          <w:t>182</w:t>
        </w:r>
        <w:r w:rsidR="006C6A26">
          <w:rPr>
            <w:noProof/>
            <w:webHidden/>
          </w:rPr>
          <w:fldChar w:fldCharType="end"/>
        </w:r>
      </w:hyperlink>
    </w:p>
    <w:p w14:paraId="2892875F" w14:textId="5B580B26" w:rsidR="006C6A26" w:rsidRDefault="00000000">
      <w:pPr>
        <w:pStyle w:val="TableofFigures"/>
        <w:tabs>
          <w:tab w:val="right" w:leader="dot" w:pos="9350"/>
        </w:tabs>
        <w:rPr>
          <w:rFonts w:asciiTheme="minorHAnsi" w:eastAsiaTheme="minorEastAsia" w:hAnsiTheme="minorHAnsi"/>
          <w:noProof/>
          <w:kern w:val="2"/>
          <w14:ligatures w14:val="standardContextual"/>
        </w:rPr>
      </w:pPr>
      <w:hyperlink w:anchor="_Toc141478818" w:history="1">
        <w:r w:rsidR="006C6A26" w:rsidRPr="00B63B3E">
          <w:rPr>
            <w:rStyle w:val="Hyperlink"/>
            <w:b/>
            <w:bCs/>
            <w:noProof/>
          </w:rPr>
          <w:t xml:space="preserve">Figure 3.2 (J). </w:t>
        </w:r>
        <w:r w:rsidR="006C6A26" w:rsidRPr="00B63B3E">
          <w:rPr>
            <w:rStyle w:val="Hyperlink"/>
            <w:noProof/>
          </w:rPr>
          <w:t>Emission spectra of supplemental lighting (SL) treatment High Pressure Sodium (HPS) from 300 nm to 750 nm. All SL treatments provided 8.64 mol</w:t>
        </w:r>
        <w:r w:rsidR="006C6A26" w:rsidRPr="00B63B3E">
          <w:rPr>
            <w:rStyle w:val="Hyperlink"/>
            <w:b/>
            <w:bCs/>
            <w:noProof/>
            <w:position w:val="8"/>
          </w:rPr>
          <w:t>.</w:t>
        </w:r>
        <w:r w:rsidR="006C6A26" w:rsidRPr="00B63B3E">
          <w:rPr>
            <w:rStyle w:val="Hyperlink"/>
            <w:noProof/>
          </w:rPr>
          <w:t>m</w:t>
        </w:r>
        <w:r w:rsidR="006C6A26" w:rsidRPr="00B63B3E">
          <w:rPr>
            <w:rStyle w:val="Hyperlink"/>
            <w:noProof/>
            <w:vertAlign w:val="superscript"/>
          </w:rPr>
          <w:t>-2</w:t>
        </w:r>
        <w:r w:rsidR="006C6A26" w:rsidRPr="00B63B3E">
          <w:rPr>
            <w:rStyle w:val="Hyperlink"/>
            <w:b/>
            <w:bCs/>
            <w:noProof/>
            <w:position w:val="8"/>
          </w:rPr>
          <w:t>.</w:t>
        </w:r>
        <w:r w:rsidR="006C6A26" w:rsidRPr="00B63B3E">
          <w:rPr>
            <w:rStyle w:val="Hyperlink"/>
            <w:noProof/>
          </w:rPr>
          <w:t>d</w:t>
        </w:r>
        <w:r w:rsidR="006C6A26" w:rsidRPr="00B63B3E">
          <w:rPr>
            <w:rStyle w:val="Hyperlink"/>
            <w:noProof/>
            <w:vertAlign w:val="superscript"/>
          </w:rPr>
          <w:t>-1</w:t>
        </w:r>
        <w:r w:rsidR="006C6A26" w:rsidRPr="00B63B3E">
          <w:rPr>
            <w:rStyle w:val="Hyperlink"/>
            <w:noProof/>
            <w:position w:val="8"/>
          </w:rPr>
          <w:t xml:space="preserve"> </w:t>
        </w:r>
        <w:r w:rsidR="006C6A26" w:rsidRPr="00B63B3E">
          <w:rPr>
            <w:rStyle w:val="Hyperlink"/>
            <w:noProof/>
          </w:rPr>
          <w:t>(continuous 100 μmol</w:t>
        </w:r>
        <w:r w:rsidR="006C6A26" w:rsidRPr="00B63B3E">
          <w:rPr>
            <w:rStyle w:val="Hyperlink"/>
            <w:b/>
            <w:bCs/>
            <w:noProof/>
            <w:position w:val="8"/>
          </w:rPr>
          <w:t>.</w:t>
        </w:r>
        <w:r w:rsidR="006C6A26" w:rsidRPr="00B63B3E">
          <w:rPr>
            <w:rStyle w:val="Hyperlink"/>
            <w:noProof/>
          </w:rPr>
          <w:t>m</w:t>
        </w:r>
        <w:r w:rsidR="006C6A26" w:rsidRPr="00B63B3E">
          <w:rPr>
            <w:rStyle w:val="Hyperlink"/>
            <w:noProof/>
            <w:vertAlign w:val="superscript"/>
          </w:rPr>
          <w:t>-2</w:t>
        </w:r>
        <w:r w:rsidR="006C6A26" w:rsidRPr="00B63B3E">
          <w:rPr>
            <w:rStyle w:val="Hyperlink"/>
            <w:b/>
            <w:bCs/>
            <w:noProof/>
            <w:position w:val="8"/>
          </w:rPr>
          <w:t>.</w:t>
        </w:r>
        <w:r w:rsidR="006C6A26" w:rsidRPr="00B63B3E">
          <w:rPr>
            <w:rStyle w:val="Hyperlink"/>
            <w:noProof/>
          </w:rPr>
          <w:t>s</w:t>
        </w:r>
        <w:r w:rsidR="006C6A26" w:rsidRPr="00B63B3E">
          <w:rPr>
            <w:rStyle w:val="Hyperlink"/>
            <w:noProof/>
            <w:vertAlign w:val="superscript"/>
          </w:rPr>
          <w:t>-1</w:t>
        </w:r>
        <w:r w:rsidR="006C6A26" w:rsidRPr="00B63B3E">
          <w:rPr>
            <w:rStyle w:val="Hyperlink"/>
            <w:noProof/>
          </w:rPr>
          <w:t>; 24 h</w:t>
        </w:r>
        <w:r w:rsidR="006C6A26" w:rsidRPr="00B63B3E">
          <w:rPr>
            <w:rStyle w:val="Hyperlink"/>
            <w:b/>
            <w:bCs/>
            <w:noProof/>
            <w:position w:val="8"/>
          </w:rPr>
          <w:t>.</w:t>
        </w:r>
        <w:r w:rsidR="006C6A26" w:rsidRPr="00B63B3E">
          <w:rPr>
            <w:rStyle w:val="Hyperlink"/>
            <w:noProof/>
          </w:rPr>
          <w:t>d</w:t>
        </w:r>
        <w:r w:rsidR="006C6A26" w:rsidRPr="00B63B3E">
          <w:rPr>
            <w:rStyle w:val="Hyperlink"/>
            <w:noProof/>
            <w:vertAlign w:val="superscript"/>
          </w:rPr>
          <w:t>-1</w:t>
        </w:r>
        <w:r w:rsidR="006C6A26" w:rsidRPr="00B63B3E">
          <w:rPr>
            <w:rStyle w:val="Hyperlink"/>
            <w:noProof/>
          </w:rPr>
          <w:t xml:space="preserve">). All lighting treatments were measured with a PS-200 Apogee </w:t>
        </w:r>
        <w:r w:rsidR="006C6A26" w:rsidRPr="00B63B3E">
          <w:rPr>
            <w:rStyle w:val="Hyperlink"/>
            <w:noProof/>
          </w:rPr>
          <w:lastRenderedPageBreak/>
          <w:t>Spectroradiometer to confirm intensity of specific treatment wavelengths throughout each growing season. Readings were taken at midnight in order to exclude underlying natural solar spectra.</w:t>
        </w:r>
        <w:r w:rsidR="006C6A26">
          <w:rPr>
            <w:noProof/>
            <w:webHidden/>
          </w:rPr>
          <w:tab/>
        </w:r>
        <w:r w:rsidR="006C6A26">
          <w:rPr>
            <w:noProof/>
            <w:webHidden/>
          </w:rPr>
          <w:fldChar w:fldCharType="begin"/>
        </w:r>
        <w:r w:rsidR="006C6A26">
          <w:rPr>
            <w:noProof/>
            <w:webHidden/>
          </w:rPr>
          <w:instrText xml:space="preserve"> PAGEREF _Toc141478818 \h </w:instrText>
        </w:r>
        <w:r w:rsidR="006C6A26">
          <w:rPr>
            <w:noProof/>
            <w:webHidden/>
          </w:rPr>
        </w:r>
        <w:r w:rsidR="006C6A26">
          <w:rPr>
            <w:noProof/>
            <w:webHidden/>
          </w:rPr>
          <w:fldChar w:fldCharType="separate"/>
        </w:r>
        <w:r w:rsidR="006C6A26">
          <w:rPr>
            <w:noProof/>
            <w:webHidden/>
          </w:rPr>
          <w:t>183</w:t>
        </w:r>
        <w:r w:rsidR="006C6A26">
          <w:rPr>
            <w:noProof/>
            <w:webHidden/>
          </w:rPr>
          <w:fldChar w:fldCharType="end"/>
        </w:r>
      </w:hyperlink>
    </w:p>
    <w:p w14:paraId="18601391" w14:textId="008082A5" w:rsidR="006C6A26" w:rsidRDefault="00000000">
      <w:pPr>
        <w:pStyle w:val="TableofFigures"/>
        <w:tabs>
          <w:tab w:val="right" w:leader="dot" w:pos="9350"/>
        </w:tabs>
        <w:rPr>
          <w:rFonts w:asciiTheme="minorHAnsi" w:eastAsiaTheme="minorEastAsia" w:hAnsiTheme="minorHAnsi"/>
          <w:noProof/>
          <w:kern w:val="2"/>
          <w14:ligatures w14:val="standardContextual"/>
        </w:rPr>
      </w:pPr>
      <w:hyperlink w:anchor="_Toc141478819" w:history="1">
        <w:r w:rsidR="006C6A26" w:rsidRPr="00B63B3E">
          <w:rPr>
            <w:rStyle w:val="Hyperlink"/>
            <w:b/>
            <w:bCs/>
            <w:noProof/>
          </w:rPr>
          <w:t xml:space="preserve">Figure 3.2 (K). </w:t>
        </w:r>
        <w:r w:rsidR="006C6A26" w:rsidRPr="00B63B3E">
          <w:rPr>
            <w:rStyle w:val="Hyperlink"/>
            <w:noProof/>
          </w:rPr>
          <w:t>Emission spectra of supplemental lighting (SL) treatment W/W/W (full spectrum neutral white) from 300 nm to 750 nm. All SL treatments provided 8.64 mol</w:t>
        </w:r>
        <w:r w:rsidR="006C6A26" w:rsidRPr="00B63B3E">
          <w:rPr>
            <w:rStyle w:val="Hyperlink"/>
            <w:b/>
            <w:bCs/>
            <w:noProof/>
            <w:position w:val="8"/>
          </w:rPr>
          <w:t>.</w:t>
        </w:r>
        <w:r w:rsidR="006C6A26" w:rsidRPr="00B63B3E">
          <w:rPr>
            <w:rStyle w:val="Hyperlink"/>
            <w:noProof/>
          </w:rPr>
          <w:t>m</w:t>
        </w:r>
        <w:r w:rsidR="006C6A26" w:rsidRPr="00B63B3E">
          <w:rPr>
            <w:rStyle w:val="Hyperlink"/>
            <w:noProof/>
            <w:vertAlign w:val="superscript"/>
          </w:rPr>
          <w:t>-2</w:t>
        </w:r>
        <w:r w:rsidR="006C6A26" w:rsidRPr="00B63B3E">
          <w:rPr>
            <w:rStyle w:val="Hyperlink"/>
            <w:b/>
            <w:bCs/>
            <w:noProof/>
            <w:position w:val="8"/>
          </w:rPr>
          <w:t>.</w:t>
        </w:r>
        <w:r w:rsidR="006C6A26" w:rsidRPr="00B63B3E">
          <w:rPr>
            <w:rStyle w:val="Hyperlink"/>
            <w:noProof/>
          </w:rPr>
          <w:t>d</w:t>
        </w:r>
        <w:r w:rsidR="006C6A26" w:rsidRPr="00B63B3E">
          <w:rPr>
            <w:rStyle w:val="Hyperlink"/>
            <w:noProof/>
            <w:vertAlign w:val="superscript"/>
          </w:rPr>
          <w:t>-1</w:t>
        </w:r>
        <w:r w:rsidR="006C6A26" w:rsidRPr="00B63B3E">
          <w:rPr>
            <w:rStyle w:val="Hyperlink"/>
            <w:noProof/>
            <w:position w:val="8"/>
          </w:rPr>
          <w:t xml:space="preserve"> </w:t>
        </w:r>
        <w:r w:rsidR="006C6A26" w:rsidRPr="00B63B3E">
          <w:rPr>
            <w:rStyle w:val="Hyperlink"/>
            <w:noProof/>
          </w:rPr>
          <w:t>(continuous 100 μmol</w:t>
        </w:r>
        <w:r w:rsidR="006C6A26" w:rsidRPr="00B63B3E">
          <w:rPr>
            <w:rStyle w:val="Hyperlink"/>
            <w:b/>
            <w:bCs/>
            <w:noProof/>
            <w:position w:val="8"/>
          </w:rPr>
          <w:t>.</w:t>
        </w:r>
        <w:r w:rsidR="006C6A26" w:rsidRPr="00B63B3E">
          <w:rPr>
            <w:rStyle w:val="Hyperlink"/>
            <w:noProof/>
          </w:rPr>
          <w:t>m</w:t>
        </w:r>
        <w:r w:rsidR="006C6A26" w:rsidRPr="00B63B3E">
          <w:rPr>
            <w:rStyle w:val="Hyperlink"/>
            <w:noProof/>
            <w:vertAlign w:val="superscript"/>
          </w:rPr>
          <w:t>-2</w:t>
        </w:r>
        <w:r w:rsidR="006C6A26" w:rsidRPr="00B63B3E">
          <w:rPr>
            <w:rStyle w:val="Hyperlink"/>
            <w:b/>
            <w:bCs/>
            <w:noProof/>
            <w:position w:val="8"/>
          </w:rPr>
          <w:t>.</w:t>
        </w:r>
        <w:r w:rsidR="006C6A26" w:rsidRPr="00B63B3E">
          <w:rPr>
            <w:rStyle w:val="Hyperlink"/>
            <w:noProof/>
          </w:rPr>
          <w:t>s</w:t>
        </w:r>
        <w:r w:rsidR="006C6A26" w:rsidRPr="00B63B3E">
          <w:rPr>
            <w:rStyle w:val="Hyperlink"/>
            <w:noProof/>
            <w:vertAlign w:val="superscript"/>
          </w:rPr>
          <w:t>-1</w:t>
        </w:r>
        <w:r w:rsidR="006C6A26" w:rsidRPr="00B63B3E">
          <w:rPr>
            <w:rStyle w:val="Hyperlink"/>
            <w:noProof/>
          </w:rPr>
          <w:t>; 24 h</w:t>
        </w:r>
        <w:r w:rsidR="006C6A26" w:rsidRPr="00B63B3E">
          <w:rPr>
            <w:rStyle w:val="Hyperlink"/>
            <w:b/>
            <w:bCs/>
            <w:noProof/>
            <w:position w:val="8"/>
          </w:rPr>
          <w:t>.</w:t>
        </w:r>
        <w:r w:rsidR="006C6A26" w:rsidRPr="00B63B3E">
          <w:rPr>
            <w:rStyle w:val="Hyperlink"/>
            <w:noProof/>
          </w:rPr>
          <w:t>d</w:t>
        </w:r>
        <w:r w:rsidR="006C6A26" w:rsidRPr="00B63B3E">
          <w:rPr>
            <w:rStyle w:val="Hyperlink"/>
            <w:noProof/>
            <w:vertAlign w:val="superscript"/>
          </w:rPr>
          <w:t>-1</w:t>
        </w:r>
        <w:r w:rsidR="006C6A26" w:rsidRPr="00B63B3E">
          <w:rPr>
            <w:rStyle w:val="Hyperlink"/>
            <w:noProof/>
          </w:rPr>
          <w:t>). All lighting treatments were measured with a PS-200 Apogee Spectroradiometer to confirm intensity of specific treatment wavelengths throughout each growing season. Readings were taken at midnight in order to exclude underlying natural solar spectra.</w:t>
        </w:r>
        <w:r w:rsidR="006C6A26">
          <w:rPr>
            <w:noProof/>
            <w:webHidden/>
          </w:rPr>
          <w:tab/>
        </w:r>
        <w:r w:rsidR="006C6A26">
          <w:rPr>
            <w:noProof/>
            <w:webHidden/>
          </w:rPr>
          <w:fldChar w:fldCharType="begin"/>
        </w:r>
        <w:r w:rsidR="006C6A26">
          <w:rPr>
            <w:noProof/>
            <w:webHidden/>
          </w:rPr>
          <w:instrText xml:space="preserve"> PAGEREF _Toc141478819 \h </w:instrText>
        </w:r>
        <w:r w:rsidR="006C6A26">
          <w:rPr>
            <w:noProof/>
            <w:webHidden/>
          </w:rPr>
        </w:r>
        <w:r w:rsidR="006C6A26">
          <w:rPr>
            <w:noProof/>
            <w:webHidden/>
          </w:rPr>
          <w:fldChar w:fldCharType="separate"/>
        </w:r>
        <w:r w:rsidR="006C6A26">
          <w:rPr>
            <w:noProof/>
            <w:webHidden/>
          </w:rPr>
          <w:t>184</w:t>
        </w:r>
        <w:r w:rsidR="006C6A26">
          <w:rPr>
            <w:noProof/>
            <w:webHidden/>
          </w:rPr>
          <w:fldChar w:fldCharType="end"/>
        </w:r>
      </w:hyperlink>
    </w:p>
    <w:p w14:paraId="38DB632A" w14:textId="03C30354" w:rsidR="006C6A26" w:rsidRDefault="00000000">
      <w:pPr>
        <w:pStyle w:val="TableofFigures"/>
        <w:tabs>
          <w:tab w:val="right" w:leader="dot" w:pos="9350"/>
        </w:tabs>
        <w:rPr>
          <w:rFonts w:asciiTheme="minorHAnsi" w:eastAsiaTheme="minorEastAsia" w:hAnsiTheme="minorHAnsi"/>
          <w:noProof/>
          <w:kern w:val="2"/>
          <w14:ligatures w14:val="standardContextual"/>
        </w:rPr>
      </w:pPr>
      <w:hyperlink w:anchor="_Toc141478820" w:history="1">
        <w:r w:rsidR="006C6A26" w:rsidRPr="00B63B3E">
          <w:rPr>
            <w:rStyle w:val="Hyperlink"/>
            <w:b/>
            <w:bCs/>
            <w:noProof/>
          </w:rPr>
          <w:t>Figure 3.3.</w:t>
        </w:r>
        <w:r w:rsidR="006C6A26" w:rsidRPr="00B63B3E">
          <w:rPr>
            <w:rStyle w:val="Hyperlink"/>
            <w:noProof/>
          </w:rPr>
          <w:t xml:space="preserve"> Impact of lighting treatment on tissue accumulation of each compound class. All concentrations are presented in micro molarity of analyte per gram of fresh mass (µM</w:t>
        </w:r>
        <w:r w:rsidR="006C6A26" w:rsidRPr="00B63B3E">
          <w:rPr>
            <w:rStyle w:val="Hyperlink"/>
            <w:noProof/>
          </w:rPr>
          <w:sym w:font="Symbol" w:char="F0D7"/>
        </w:r>
        <w:r w:rsidR="006C6A26" w:rsidRPr="00B63B3E">
          <w:rPr>
            <w:rStyle w:val="Hyperlink"/>
            <w:noProof/>
          </w:rPr>
          <w:t>g</w:t>
        </w:r>
        <w:r w:rsidR="006C6A26" w:rsidRPr="00B63B3E">
          <w:rPr>
            <w:rStyle w:val="Hyperlink"/>
            <w:noProof/>
            <w:vertAlign w:val="superscript"/>
          </w:rPr>
          <w:t>-1</w:t>
        </w:r>
        <w:r w:rsidR="006C6A26" w:rsidRPr="00B63B3E">
          <w:rPr>
            <w:rStyle w:val="Hyperlink"/>
            <w:noProof/>
          </w:rPr>
          <w:t xml:space="preserve"> FM). Mean values represent two plants per replication and ten replications per treatment. Values for each treatment are averaged across all seasons within that treatment. Total volatile organic compound concentration was analyzed using Tukey’s protected least significant difference. Data followed by the same letter are not significantly different (α = 0.05).</w:t>
        </w:r>
        <w:r w:rsidR="006C6A26">
          <w:rPr>
            <w:noProof/>
            <w:webHidden/>
          </w:rPr>
          <w:tab/>
        </w:r>
        <w:r w:rsidR="006C6A26">
          <w:rPr>
            <w:noProof/>
            <w:webHidden/>
          </w:rPr>
          <w:fldChar w:fldCharType="begin"/>
        </w:r>
        <w:r w:rsidR="006C6A26">
          <w:rPr>
            <w:noProof/>
            <w:webHidden/>
          </w:rPr>
          <w:instrText xml:space="preserve"> PAGEREF _Toc141478820 \h </w:instrText>
        </w:r>
        <w:r w:rsidR="006C6A26">
          <w:rPr>
            <w:noProof/>
            <w:webHidden/>
          </w:rPr>
        </w:r>
        <w:r w:rsidR="006C6A26">
          <w:rPr>
            <w:noProof/>
            <w:webHidden/>
          </w:rPr>
          <w:fldChar w:fldCharType="separate"/>
        </w:r>
        <w:r w:rsidR="006C6A26">
          <w:rPr>
            <w:noProof/>
            <w:webHidden/>
          </w:rPr>
          <w:t>185</w:t>
        </w:r>
        <w:r w:rsidR="006C6A26">
          <w:rPr>
            <w:noProof/>
            <w:webHidden/>
          </w:rPr>
          <w:fldChar w:fldCharType="end"/>
        </w:r>
      </w:hyperlink>
    </w:p>
    <w:p w14:paraId="537812A8" w14:textId="3360EFF5" w:rsidR="006C6A26" w:rsidRDefault="00000000">
      <w:pPr>
        <w:pStyle w:val="TableofFigures"/>
        <w:tabs>
          <w:tab w:val="right" w:leader="dot" w:pos="9350"/>
        </w:tabs>
        <w:rPr>
          <w:rFonts w:asciiTheme="minorHAnsi" w:eastAsiaTheme="minorEastAsia" w:hAnsiTheme="minorHAnsi"/>
          <w:noProof/>
          <w:kern w:val="2"/>
          <w14:ligatures w14:val="standardContextual"/>
        </w:rPr>
      </w:pPr>
      <w:hyperlink w:anchor="_Toc141478821" w:history="1">
        <w:r w:rsidR="006C6A26" w:rsidRPr="00B63B3E">
          <w:rPr>
            <w:rStyle w:val="Hyperlink"/>
            <w:b/>
            <w:bCs/>
            <w:noProof/>
          </w:rPr>
          <w:t xml:space="preserve">Figure 3.4. </w:t>
        </w:r>
        <w:r w:rsidR="006C6A26" w:rsidRPr="00B63B3E">
          <w:rPr>
            <w:rStyle w:val="Hyperlink"/>
            <w:noProof/>
          </w:rPr>
          <w:t>Influence of season on compound classes pertinent for aroma perception. All concentrations are presented in micro molarity of analyte per gram of fresh mass (µM</w:t>
        </w:r>
        <w:r w:rsidR="006C6A26" w:rsidRPr="00B63B3E">
          <w:rPr>
            <w:rStyle w:val="Hyperlink"/>
            <w:noProof/>
          </w:rPr>
          <w:sym w:font="Symbol" w:char="F0D7"/>
        </w:r>
        <w:r w:rsidR="006C6A26" w:rsidRPr="00B63B3E">
          <w:rPr>
            <w:rStyle w:val="Hyperlink"/>
            <w:noProof/>
          </w:rPr>
          <w:t>g</w:t>
        </w:r>
        <w:r w:rsidR="006C6A26" w:rsidRPr="00B63B3E">
          <w:rPr>
            <w:rStyle w:val="Hyperlink"/>
            <w:noProof/>
            <w:vertAlign w:val="superscript"/>
          </w:rPr>
          <w:t>-1</w:t>
        </w:r>
        <w:r w:rsidR="006C6A26" w:rsidRPr="00B63B3E">
          <w:rPr>
            <w:rStyle w:val="Hyperlink"/>
            <w:noProof/>
          </w:rPr>
          <w:t xml:space="preserve"> FM). Mean values represent two plants per replication and ten replications per treatment. Values for each season are averaged across all treatments within that season. Total volatile organic compound concentration was analyzed using Tukey’s protected least significant difference. Data followed by the same letter are not significantly different (α = 0.05).</w:t>
        </w:r>
        <w:r w:rsidR="006C6A26">
          <w:rPr>
            <w:noProof/>
            <w:webHidden/>
          </w:rPr>
          <w:tab/>
        </w:r>
        <w:r w:rsidR="006C6A26">
          <w:rPr>
            <w:noProof/>
            <w:webHidden/>
          </w:rPr>
          <w:fldChar w:fldCharType="begin"/>
        </w:r>
        <w:r w:rsidR="006C6A26">
          <w:rPr>
            <w:noProof/>
            <w:webHidden/>
          </w:rPr>
          <w:instrText xml:space="preserve"> PAGEREF _Toc141478821 \h </w:instrText>
        </w:r>
        <w:r w:rsidR="006C6A26">
          <w:rPr>
            <w:noProof/>
            <w:webHidden/>
          </w:rPr>
        </w:r>
        <w:r w:rsidR="006C6A26">
          <w:rPr>
            <w:noProof/>
            <w:webHidden/>
          </w:rPr>
          <w:fldChar w:fldCharType="separate"/>
        </w:r>
        <w:r w:rsidR="006C6A26">
          <w:rPr>
            <w:noProof/>
            <w:webHidden/>
          </w:rPr>
          <w:t>186</w:t>
        </w:r>
        <w:r w:rsidR="006C6A26">
          <w:rPr>
            <w:noProof/>
            <w:webHidden/>
          </w:rPr>
          <w:fldChar w:fldCharType="end"/>
        </w:r>
      </w:hyperlink>
    </w:p>
    <w:p w14:paraId="40708D0D" w14:textId="5B2CFF93" w:rsidR="006C6A26" w:rsidRDefault="00000000">
      <w:pPr>
        <w:pStyle w:val="TableofFigures"/>
        <w:tabs>
          <w:tab w:val="right" w:leader="dot" w:pos="9350"/>
        </w:tabs>
        <w:rPr>
          <w:rFonts w:asciiTheme="minorHAnsi" w:eastAsiaTheme="minorEastAsia" w:hAnsiTheme="minorHAnsi"/>
          <w:noProof/>
          <w:kern w:val="2"/>
          <w14:ligatures w14:val="standardContextual"/>
        </w:rPr>
      </w:pPr>
      <w:hyperlink w:anchor="_Toc141478822" w:history="1">
        <w:r w:rsidR="006C6A26" w:rsidRPr="00B63B3E">
          <w:rPr>
            <w:rStyle w:val="Hyperlink"/>
            <w:b/>
            <w:bCs/>
            <w:noProof/>
          </w:rPr>
          <w:t xml:space="preserve">Figure 3.5. </w:t>
        </w:r>
        <w:r w:rsidR="006C6A26" w:rsidRPr="00B63B3E">
          <w:rPr>
            <w:rStyle w:val="Hyperlink"/>
            <w:noProof/>
          </w:rPr>
          <w:t>Principal Component Analysis (PCA) showing the biplot differentiation between sweet basil ‘Italian Large Leaf’ (</w:t>
        </w:r>
        <w:r w:rsidR="006C6A26" w:rsidRPr="00B63B3E">
          <w:rPr>
            <w:rStyle w:val="Hyperlink"/>
            <w:i/>
            <w:iCs/>
            <w:noProof/>
          </w:rPr>
          <w:t xml:space="preserve">Ocimum basilicum </w:t>
        </w:r>
        <w:r w:rsidR="006C6A26" w:rsidRPr="00B63B3E">
          <w:rPr>
            <w:rStyle w:val="Hyperlink"/>
            <w:noProof/>
          </w:rPr>
          <w:t>L.</w:t>
        </w:r>
        <w:r w:rsidR="006C6A26" w:rsidRPr="00B63B3E">
          <w:rPr>
            <w:rStyle w:val="Hyperlink"/>
            <w:i/>
            <w:iCs/>
            <w:noProof/>
          </w:rPr>
          <w:t>)</w:t>
        </w:r>
        <w:r w:rsidR="006C6A26" w:rsidRPr="00B63B3E">
          <w:rPr>
            <w:rStyle w:val="Hyperlink"/>
            <w:noProof/>
          </w:rPr>
          <w:t xml:space="preserve"> aroma compound concentrations (black) grown under various supplemental lighting treatments.</w:t>
        </w:r>
        <w:r w:rsidR="006C6A26">
          <w:rPr>
            <w:noProof/>
            <w:webHidden/>
          </w:rPr>
          <w:tab/>
        </w:r>
        <w:r w:rsidR="006C6A26">
          <w:rPr>
            <w:noProof/>
            <w:webHidden/>
          </w:rPr>
          <w:fldChar w:fldCharType="begin"/>
        </w:r>
        <w:r w:rsidR="006C6A26">
          <w:rPr>
            <w:noProof/>
            <w:webHidden/>
          </w:rPr>
          <w:instrText xml:space="preserve"> PAGEREF _Toc141478822 \h </w:instrText>
        </w:r>
        <w:r w:rsidR="006C6A26">
          <w:rPr>
            <w:noProof/>
            <w:webHidden/>
          </w:rPr>
        </w:r>
        <w:r w:rsidR="006C6A26">
          <w:rPr>
            <w:noProof/>
            <w:webHidden/>
          </w:rPr>
          <w:fldChar w:fldCharType="separate"/>
        </w:r>
        <w:r w:rsidR="006C6A26">
          <w:rPr>
            <w:noProof/>
            <w:webHidden/>
          </w:rPr>
          <w:t>187</w:t>
        </w:r>
        <w:r w:rsidR="006C6A26">
          <w:rPr>
            <w:noProof/>
            <w:webHidden/>
          </w:rPr>
          <w:fldChar w:fldCharType="end"/>
        </w:r>
      </w:hyperlink>
    </w:p>
    <w:p w14:paraId="38DFF348" w14:textId="64AEC111" w:rsidR="006C6A26" w:rsidRDefault="00000000">
      <w:pPr>
        <w:pStyle w:val="TableofFigures"/>
        <w:tabs>
          <w:tab w:val="right" w:leader="dot" w:pos="9350"/>
        </w:tabs>
        <w:rPr>
          <w:rFonts w:asciiTheme="minorHAnsi" w:eastAsiaTheme="minorEastAsia" w:hAnsiTheme="minorHAnsi"/>
          <w:noProof/>
          <w:kern w:val="2"/>
          <w14:ligatures w14:val="standardContextual"/>
        </w:rPr>
      </w:pPr>
      <w:hyperlink w:anchor="_Toc141478823" w:history="1">
        <w:r w:rsidR="006C6A26" w:rsidRPr="00B63B3E">
          <w:rPr>
            <w:rStyle w:val="Hyperlink"/>
            <w:b/>
            <w:bCs/>
            <w:noProof/>
          </w:rPr>
          <w:t xml:space="preserve">Figure 4.1. </w:t>
        </w:r>
        <w:r w:rsidR="006C6A26" w:rsidRPr="00B63B3E">
          <w:rPr>
            <w:rStyle w:val="Hyperlink"/>
            <w:noProof/>
          </w:rPr>
          <w:t>Natural light (NL) spectra under greenhouse glass, averaged across all four growing seasons, ranging from 350 nm to 850 nm. Values were taken at solar noon with three replicates for full sun (yellow) and overcast (gray) for each experimental run.</w:t>
        </w:r>
        <w:r w:rsidR="006C6A26">
          <w:rPr>
            <w:noProof/>
            <w:webHidden/>
          </w:rPr>
          <w:tab/>
        </w:r>
        <w:r w:rsidR="006C6A26">
          <w:rPr>
            <w:noProof/>
            <w:webHidden/>
          </w:rPr>
          <w:fldChar w:fldCharType="begin"/>
        </w:r>
        <w:r w:rsidR="006C6A26">
          <w:rPr>
            <w:noProof/>
            <w:webHidden/>
          </w:rPr>
          <w:instrText xml:space="preserve"> PAGEREF _Toc141478823 \h </w:instrText>
        </w:r>
        <w:r w:rsidR="006C6A26">
          <w:rPr>
            <w:noProof/>
            <w:webHidden/>
          </w:rPr>
        </w:r>
        <w:r w:rsidR="006C6A26">
          <w:rPr>
            <w:noProof/>
            <w:webHidden/>
          </w:rPr>
          <w:fldChar w:fldCharType="separate"/>
        </w:r>
        <w:r w:rsidR="006C6A26">
          <w:rPr>
            <w:noProof/>
            <w:webHidden/>
          </w:rPr>
          <w:t>236</w:t>
        </w:r>
        <w:r w:rsidR="006C6A26">
          <w:rPr>
            <w:noProof/>
            <w:webHidden/>
          </w:rPr>
          <w:fldChar w:fldCharType="end"/>
        </w:r>
      </w:hyperlink>
    </w:p>
    <w:p w14:paraId="0284D68B" w14:textId="6E64E978" w:rsidR="006C6A26" w:rsidRDefault="00000000">
      <w:pPr>
        <w:pStyle w:val="TableofFigures"/>
        <w:tabs>
          <w:tab w:val="right" w:leader="dot" w:pos="9350"/>
        </w:tabs>
        <w:rPr>
          <w:rFonts w:asciiTheme="minorHAnsi" w:eastAsiaTheme="minorEastAsia" w:hAnsiTheme="minorHAnsi"/>
          <w:noProof/>
          <w:kern w:val="2"/>
          <w14:ligatures w14:val="standardContextual"/>
        </w:rPr>
      </w:pPr>
      <w:hyperlink w:anchor="_Toc141478824" w:history="1">
        <w:r w:rsidR="006C6A26" w:rsidRPr="00B63B3E">
          <w:rPr>
            <w:rStyle w:val="Hyperlink"/>
            <w:b/>
            <w:bCs/>
            <w:noProof/>
          </w:rPr>
          <w:t xml:space="preserve">Figure 4.2. </w:t>
        </w:r>
        <w:r w:rsidR="006C6A26" w:rsidRPr="00B63B3E">
          <w:rPr>
            <w:rStyle w:val="Hyperlink"/>
            <w:noProof/>
          </w:rPr>
          <w:t>Emission spectra of supplemental lighting (SL) treatments from 300 nm to 850 nm: (1) Narrowband 20B/80R LED (purple), (2) Broadband White LEDs (grey), and (3) High Pressure Sodium (yellow). All SL treatments provided 8.64 mol</w:t>
        </w:r>
        <w:r w:rsidR="006C6A26" w:rsidRPr="00B63B3E">
          <w:rPr>
            <w:rStyle w:val="Hyperlink"/>
            <w:b/>
            <w:bCs/>
            <w:noProof/>
            <w:position w:val="8"/>
          </w:rPr>
          <w:t>.</w:t>
        </w:r>
        <w:r w:rsidR="006C6A26" w:rsidRPr="00B63B3E">
          <w:rPr>
            <w:rStyle w:val="Hyperlink"/>
            <w:noProof/>
          </w:rPr>
          <w:t>m</w:t>
        </w:r>
        <w:r w:rsidR="006C6A26" w:rsidRPr="00B63B3E">
          <w:rPr>
            <w:rStyle w:val="Hyperlink"/>
            <w:noProof/>
            <w:vertAlign w:val="superscript"/>
          </w:rPr>
          <w:t>-2</w:t>
        </w:r>
        <w:r w:rsidR="006C6A26" w:rsidRPr="00B63B3E">
          <w:rPr>
            <w:rStyle w:val="Hyperlink"/>
            <w:b/>
            <w:bCs/>
            <w:noProof/>
            <w:position w:val="8"/>
          </w:rPr>
          <w:t>.</w:t>
        </w:r>
        <w:r w:rsidR="006C6A26" w:rsidRPr="00B63B3E">
          <w:rPr>
            <w:rStyle w:val="Hyperlink"/>
            <w:noProof/>
          </w:rPr>
          <w:t>d</w:t>
        </w:r>
        <w:r w:rsidR="006C6A26" w:rsidRPr="00B63B3E">
          <w:rPr>
            <w:rStyle w:val="Hyperlink"/>
            <w:noProof/>
            <w:vertAlign w:val="superscript"/>
          </w:rPr>
          <w:t>-1</w:t>
        </w:r>
        <w:r w:rsidR="006C6A26" w:rsidRPr="00B63B3E">
          <w:rPr>
            <w:rStyle w:val="Hyperlink"/>
            <w:noProof/>
            <w:position w:val="8"/>
          </w:rPr>
          <w:t xml:space="preserve"> </w:t>
        </w:r>
        <w:r w:rsidR="006C6A26" w:rsidRPr="00B63B3E">
          <w:rPr>
            <w:rStyle w:val="Hyperlink"/>
            <w:noProof/>
          </w:rPr>
          <w:t>(continuous 100 μmol</w:t>
        </w:r>
        <w:r w:rsidR="006C6A26" w:rsidRPr="00B63B3E">
          <w:rPr>
            <w:rStyle w:val="Hyperlink"/>
            <w:b/>
            <w:bCs/>
            <w:noProof/>
            <w:position w:val="8"/>
          </w:rPr>
          <w:t>.</w:t>
        </w:r>
        <w:r w:rsidR="006C6A26" w:rsidRPr="00B63B3E">
          <w:rPr>
            <w:rStyle w:val="Hyperlink"/>
            <w:noProof/>
          </w:rPr>
          <w:t>m</w:t>
        </w:r>
        <w:r w:rsidR="006C6A26" w:rsidRPr="00B63B3E">
          <w:rPr>
            <w:rStyle w:val="Hyperlink"/>
            <w:noProof/>
            <w:vertAlign w:val="superscript"/>
          </w:rPr>
          <w:t>-2</w:t>
        </w:r>
        <w:r w:rsidR="006C6A26" w:rsidRPr="00B63B3E">
          <w:rPr>
            <w:rStyle w:val="Hyperlink"/>
            <w:b/>
            <w:bCs/>
            <w:noProof/>
            <w:position w:val="8"/>
          </w:rPr>
          <w:t>.</w:t>
        </w:r>
        <w:r w:rsidR="006C6A26" w:rsidRPr="00B63B3E">
          <w:rPr>
            <w:rStyle w:val="Hyperlink"/>
            <w:noProof/>
          </w:rPr>
          <w:t>s</w:t>
        </w:r>
        <w:r w:rsidR="006C6A26" w:rsidRPr="00B63B3E">
          <w:rPr>
            <w:rStyle w:val="Hyperlink"/>
            <w:noProof/>
            <w:vertAlign w:val="superscript"/>
          </w:rPr>
          <w:t>-1</w:t>
        </w:r>
        <w:r w:rsidR="006C6A26" w:rsidRPr="00B63B3E">
          <w:rPr>
            <w:rStyle w:val="Hyperlink"/>
            <w:noProof/>
          </w:rPr>
          <w:t>; 24 h</w:t>
        </w:r>
        <w:r w:rsidR="006C6A26" w:rsidRPr="00B63B3E">
          <w:rPr>
            <w:rStyle w:val="Hyperlink"/>
            <w:b/>
            <w:bCs/>
            <w:noProof/>
            <w:position w:val="8"/>
          </w:rPr>
          <w:t>.</w:t>
        </w:r>
        <w:r w:rsidR="006C6A26" w:rsidRPr="00B63B3E">
          <w:rPr>
            <w:rStyle w:val="Hyperlink"/>
            <w:noProof/>
          </w:rPr>
          <w:t>d</w:t>
        </w:r>
        <w:r w:rsidR="006C6A26" w:rsidRPr="00B63B3E">
          <w:rPr>
            <w:rStyle w:val="Hyperlink"/>
            <w:noProof/>
            <w:vertAlign w:val="superscript"/>
          </w:rPr>
          <w:t>-1</w:t>
        </w:r>
        <w:r w:rsidR="006C6A26" w:rsidRPr="00B63B3E">
          <w:rPr>
            <w:rStyle w:val="Hyperlink"/>
            <w:noProof/>
          </w:rPr>
          <w:t>). All lighting treatments were measured with a PS-200 Apogee Spectroradiometer to confirm intensity of specific treatment wavelengths throughout each growing season. Readings were taken at midnight in order to exclude underlying natural solar spectra.</w:t>
        </w:r>
        <w:r w:rsidR="006C6A26">
          <w:rPr>
            <w:noProof/>
            <w:webHidden/>
          </w:rPr>
          <w:tab/>
        </w:r>
        <w:r w:rsidR="006C6A26">
          <w:rPr>
            <w:noProof/>
            <w:webHidden/>
          </w:rPr>
          <w:fldChar w:fldCharType="begin"/>
        </w:r>
        <w:r w:rsidR="006C6A26">
          <w:rPr>
            <w:noProof/>
            <w:webHidden/>
          </w:rPr>
          <w:instrText xml:space="preserve"> PAGEREF _Toc141478824 \h </w:instrText>
        </w:r>
        <w:r w:rsidR="006C6A26">
          <w:rPr>
            <w:noProof/>
            <w:webHidden/>
          </w:rPr>
        </w:r>
        <w:r w:rsidR="006C6A26">
          <w:rPr>
            <w:noProof/>
            <w:webHidden/>
          </w:rPr>
          <w:fldChar w:fldCharType="separate"/>
        </w:r>
        <w:r w:rsidR="006C6A26">
          <w:rPr>
            <w:noProof/>
            <w:webHidden/>
          </w:rPr>
          <w:t>237</w:t>
        </w:r>
        <w:r w:rsidR="006C6A26">
          <w:rPr>
            <w:noProof/>
            <w:webHidden/>
          </w:rPr>
          <w:fldChar w:fldCharType="end"/>
        </w:r>
      </w:hyperlink>
    </w:p>
    <w:p w14:paraId="3D274D9D" w14:textId="2EB41820" w:rsidR="006C6A26" w:rsidRDefault="00000000">
      <w:pPr>
        <w:pStyle w:val="TableofFigures"/>
        <w:tabs>
          <w:tab w:val="right" w:leader="dot" w:pos="9350"/>
        </w:tabs>
        <w:rPr>
          <w:rFonts w:asciiTheme="minorHAnsi" w:eastAsiaTheme="minorEastAsia" w:hAnsiTheme="minorHAnsi"/>
          <w:noProof/>
          <w:kern w:val="2"/>
          <w14:ligatures w14:val="standardContextual"/>
        </w:rPr>
      </w:pPr>
      <w:hyperlink w:anchor="_Toc141478825" w:history="1">
        <w:r w:rsidR="006C6A26" w:rsidRPr="00B63B3E">
          <w:rPr>
            <w:rStyle w:val="Hyperlink"/>
            <w:rFonts w:cs="Times New Roman"/>
            <w:b/>
            <w:noProof/>
          </w:rPr>
          <w:t>Figure 4.3.</w:t>
        </w:r>
        <w:r w:rsidR="006C6A26" w:rsidRPr="00B63B3E">
          <w:rPr>
            <w:rStyle w:val="Hyperlink"/>
            <w:rFonts w:cs="Times New Roman"/>
            <w:noProof/>
          </w:rPr>
          <w:t xml:space="preserve"> Influence of growing season on total fresh mass of hydroponically grown 'Genovese' basil (</w:t>
        </w:r>
        <w:r w:rsidR="006C6A26" w:rsidRPr="00B63B3E">
          <w:rPr>
            <w:rStyle w:val="Hyperlink"/>
            <w:rFonts w:cs="Times New Roman"/>
            <w:i/>
            <w:noProof/>
          </w:rPr>
          <w:t>Ocimum basilicum</w:t>
        </w:r>
        <w:r w:rsidR="006C6A26" w:rsidRPr="00B63B3E">
          <w:rPr>
            <w:rStyle w:val="Hyperlink"/>
            <w:rFonts w:cs="Times New Roman"/>
            <w:noProof/>
          </w:rPr>
          <w:t xml:space="preserve"> var. 'Genovese'). All weights are presented in grams (g). Mean values represent 2 plants per replication and 6 replications per treatment across each season. Values were analyzed using Tukey's (protected) HSD, and those followed by the same letter are not significantly different (α=0.05).</w:t>
        </w:r>
        <w:r w:rsidR="006C6A26">
          <w:rPr>
            <w:noProof/>
            <w:webHidden/>
          </w:rPr>
          <w:tab/>
        </w:r>
        <w:r w:rsidR="006C6A26">
          <w:rPr>
            <w:noProof/>
            <w:webHidden/>
          </w:rPr>
          <w:fldChar w:fldCharType="begin"/>
        </w:r>
        <w:r w:rsidR="006C6A26">
          <w:rPr>
            <w:noProof/>
            <w:webHidden/>
          </w:rPr>
          <w:instrText xml:space="preserve"> PAGEREF _Toc141478825 \h </w:instrText>
        </w:r>
        <w:r w:rsidR="006C6A26">
          <w:rPr>
            <w:noProof/>
            <w:webHidden/>
          </w:rPr>
        </w:r>
        <w:r w:rsidR="006C6A26">
          <w:rPr>
            <w:noProof/>
            <w:webHidden/>
          </w:rPr>
          <w:fldChar w:fldCharType="separate"/>
        </w:r>
        <w:r w:rsidR="006C6A26">
          <w:rPr>
            <w:noProof/>
            <w:webHidden/>
          </w:rPr>
          <w:t>238</w:t>
        </w:r>
        <w:r w:rsidR="006C6A26">
          <w:rPr>
            <w:noProof/>
            <w:webHidden/>
          </w:rPr>
          <w:fldChar w:fldCharType="end"/>
        </w:r>
      </w:hyperlink>
    </w:p>
    <w:p w14:paraId="27D965F1" w14:textId="72C8515B" w:rsidR="006C6A26" w:rsidRDefault="00000000">
      <w:pPr>
        <w:pStyle w:val="TableofFigures"/>
        <w:tabs>
          <w:tab w:val="right" w:leader="dot" w:pos="9350"/>
        </w:tabs>
        <w:rPr>
          <w:rFonts w:asciiTheme="minorHAnsi" w:eastAsiaTheme="minorEastAsia" w:hAnsiTheme="minorHAnsi"/>
          <w:noProof/>
          <w:kern w:val="2"/>
          <w14:ligatures w14:val="standardContextual"/>
        </w:rPr>
      </w:pPr>
      <w:hyperlink w:anchor="_Toc141478826" w:history="1">
        <w:r w:rsidR="006C6A26" w:rsidRPr="00B63B3E">
          <w:rPr>
            <w:rStyle w:val="Hyperlink"/>
            <w:rFonts w:cs="Times New Roman"/>
            <w:b/>
            <w:noProof/>
          </w:rPr>
          <w:t>Figure 4.4.</w:t>
        </w:r>
        <w:r w:rsidR="006C6A26" w:rsidRPr="00B63B3E">
          <w:rPr>
            <w:rStyle w:val="Hyperlink"/>
            <w:rFonts w:cs="Times New Roman"/>
            <w:noProof/>
          </w:rPr>
          <w:t xml:space="preserve"> Influence of growing season on total dry mass of hydroponically grown 'Genovese' basil (</w:t>
        </w:r>
        <w:r w:rsidR="006C6A26" w:rsidRPr="00B63B3E">
          <w:rPr>
            <w:rStyle w:val="Hyperlink"/>
            <w:rFonts w:cs="Times New Roman"/>
            <w:i/>
            <w:noProof/>
          </w:rPr>
          <w:t>Ocimum basilicum</w:t>
        </w:r>
        <w:r w:rsidR="006C6A26" w:rsidRPr="00B63B3E">
          <w:rPr>
            <w:rStyle w:val="Hyperlink"/>
            <w:rFonts w:cs="Times New Roman"/>
            <w:noProof/>
          </w:rPr>
          <w:t xml:space="preserve"> var. 'Genovese'). All weights are presented in grams (g). Mean values represent 2 plants per replication and 6 replications per treatment across each season. Values were analyzed using Tukey's (protected) HSD, and those followed by the same letter are not significantly different (α=0.05).</w:t>
        </w:r>
        <w:r w:rsidR="006C6A26">
          <w:rPr>
            <w:noProof/>
            <w:webHidden/>
          </w:rPr>
          <w:tab/>
        </w:r>
        <w:r w:rsidR="006C6A26">
          <w:rPr>
            <w:noProof/>
            <w:webHidden/>
          </w:rPr>
          <w:fldChar w:fldCharType="begin"/>
        </w:r>
        <w:r w:rsidR="006C6A26">
          <w:rPr>
            <w:noProof/>
            <w:webHidden/>
          </w:rPr>
          <w:instrText xml:space="preserve"> PAGEREF _Toc141478826 \h </w:instrText>
        </w:r>
        <w:r w:rsidR="006C6A26">
          <w:rPr>
            <w:noProof/>
            <w:webHidden/>
          </w:rPr>
        </w:r>
        <w:r w:rsidR="006C6A26">
          <w:rPr>
            <w:noProof/>
            <w:webHidden/>
          </w:rPr>
          <w:fldChar w:fldCharType="separate"/>
        </w:r>
        <w:r w:rsidR="006C6A26">
          <w:rPr>
            <w:noProof/>
            <w:webHidden/>
          </w:rPr>
          <w:t>239</w:t>
        </w:r>
        <w:r w:rsidR="006C6A26">
          <w:rPr>
            <w:noProof/>
            <w:webHidden/>
          </w:rPr>
          <w:fldChar w:fldCharType="end"/>
        </w:r>
      </w:hyperlink>
    </w:p>
    <w:p w14:paraId="5A289A3A" w14:textId="19BBA6BF" w:rsidR="006C6A26" w:rsidRDefault="00000000">
      <w:pPr>
        <w:pStyle w:val="TableofFigures"/>
        <w:tabs>
          <w:tab w:val="right" w:leader="dot" w:pos="9350"/>
        </w:tabs>
        <w:rPr>
          <w:rFonts w:asciiTheme="minorHAnsi" w:eastAsiaTheme="minorEastAsia" w:hAnsiTheme="minorHAnsi"/>
          <w:noProof/>
          <w:kern w:val="2"/>
          <w14:ligatures w14:val="standardContextual"/>
        </w:rPr>
      </w:pPr>
      <w:hyperlink w:anchor="_Toc141478827" w:history="1">
        <w:r w:rsidR="006C6A26" w:rsidRPr="00B63B3E">
          <w:rPr>
            <w:rStyle w:val="Hyperlink"/>
            <w:rFonts w:cs="Times New Roman"/>
            <w:b/>
            <w:noProof/>
          </w:rPr>
          <w:t>Figure 4.5.</w:t>
        </w:r>
        <w:r w:rsidR="006C6A26" w:rsidRPr="00B63B3E">
          <w:rPr>
            <w:rStyle w:val="Hyperlink"/>
            <w:rFonts w:cs="Times New Roman"/>
            <w:noProof/>
          </w:rPr>
          <w:t xml:space="preserve"> Influence of light treatment on total plant fresh mass of hydroponically grown 'Genovese' basil (</w:t>
        </w:r>
        <w:r w:rsidR="006C6A26" w:rsidRPr="00B63B3E">
          <w:rPr>
            <w:rStyle w:val="Hyperlink"/>
            <w:rFonts w:cs="Times New Roman"/>
            <w:i/>
            <w:noProof/>
          </w:rPr>
          <w:t>Ocimum basilicum</w:t>
        </w:r>
        <w:r w:rsidR="006C6A26" w:rsidRPr="00B63B3E">
          <w:rPr>
            <w:rStyle w:val="Hyperlink"/>
            <w:rFonts w:cs="Times New Roman"/>
            <w:noProof/>
          </w:rPr>
          <w:t xml:space="preserve"> var. 'Genovese'). All weights are presented in grams (g). Mean values represent 2 plants per replication and 6 replications per treatment. Values were analyzed using Tukey's (protected) HSD, and those followed by the same letter are not significantly different (α=0.05).</w:t>
        </w:r>
        <w:r w:rsidR="006C6A26">
          <w:rPr>
            <w:noProof/>
            <w:webHidden/>
          </w:rPr>
          <w:tab/>
        </w:r>
        <w:r w:rsidR="006C6A26">
          <w:rPr>
            <w:noProof/>
            <w:webHidden/>
          </w:rPr>
          <w:fldChar w:fldCharType="begin"/>
        </w:r>
        <w:r w:rsidR="006C6A26">
          <w:rPr>
            <w:noProof/>
            <w:webHidden/>
          </w:rPr>
          <w:instrText xml:space="preserve"> PAGEREF _Toc141478827 \h </w:instrText>
        </w:r>
        <w:r w:rsidR="006C6A26">
          <w:rPr>
            <w:noProof/>
            <w:webHidden/>
          </w:rPr>
        </w:r>
        <w:r w:rsidR="006C6A26">
          <w:rPr>
            <w:noProof/>
            <w:webHidden/>
          </w:rPr>
          <w:fldChar w:fldCharType="separate"/>
        </w:r>
        <w:r w:rsidR="006C6A26">
          <w:rPr>
            <w:noProof/>
            <w:webHidden/>
          </w:rPr>
          <w:t>240</w:t>
        </w:r>
        <w:r w:rsidR="006C6A26">
          <w:rPr>
            <w:noProof/>
            <w:webHidden/>
          </w:rPr>
          <w:fldChar w:fldCharType="end"/>
        </w:r>
      </w:hyperlink>
    </w:p>
    <w:p w14:paraId="62B18E71" w14:textId="044005AF" w:rsidR="006C6A26" w:rsidRDefault="00000000">
      <w:pPr>
        <w:pStyle w:val="TableofFigures"/>
        <w:tabs>
          <w:tab w:val="right" w:leader="dot" w:pos="9350"/>
        </w:tabs>
        <w:rPr>
          <w:rFonts w:asciiTheme="minorHAnsi" w:eastAsiaTheme="minorEastAsia" w:hAnsiTheme="minorHAnsi"/>
          <w:noProof/>
          <w:kern w:val="2"/>
          <w14:ligatures w14:val="standardContextual"/>
        </w:rPr>
      </w:pPr>
      <w:hyperlink w:anchor="_Toc141478828" w:history="1">
        <w:r w:rsidR="006C6A26" w:rsidRPr="00B63B3E">
          <w:rPr>
            <w:rStyle w:val="Hyperlink"/>
            <w:b/>
            <w:bCs/>
            <w:noProof/>
          </w:rPr>
          <w:t>Figure 4.6.</w:t>
        </w:r>
        <w:r w:rsidR="006C6A26" w:rsidRPr="00B63B3E">
          <w:rPr>
            <w:rStyle w:val="Hyperlink"/>
            <w:noProof/>
          </w:rPr>
          <w:t xml:space="preserve"> Influence of light treatment on total plant dry mass of hydroponically grown 'Genovese' basil (Ocimum basilicum var. 'Genovese'). All weights are presented in grams (g). Mean values represent 2 plants per replication and 6 replications per treatment. Values were analyzed using Tukey's (protected) HSD, and those followed by the same letter are not significantly different (α=0.05).</w:t>
        </w:r>
        <w:r w:rsidR="006C6A26">
          <w:rPr>
            <w:noProof/>
            <w:webHidden/>
          </w:rPr>
          <w:tab/>
        </w:r>
        <w:r w:rsidR="006C6A26">
          <w:rPr>
            <w:noProof/>
            <w:webHidden/>
          </w:rPr>
          <w:fldChar w:fldCharType="begin"/>
        </w:r>
        <w:r w:rsidR="006C6A26">
          <w:rPr>
            <w:noProof/>
            <w:webHidden/>
          </w:rPr>
          <w:instrText xml:space="preserve"> PAGEREF _Toc141478828 \h </w:instrText>
        </w:r>
        <w:r w:rsidR="006C6A26">
          <w:rPr>
            <w:noProof/>
            <w:webHidden/>
          </w:rPr>
        </w:r>
        <w:r w:rsidR="006C6A26">
          <w:rPr>
            <w:noProof/>
            <w:webHidden/>
          </w:rPr>
          <w:fldChar w:fldCharType="separate"/>
        </w:r>
        <w:r w:rsidR="006C6A26">
          <w:rPr>
            <w:noProof/>
            <w:webHidden/>
          </w:rPr>
          <w:t>241</w:t>
        </w:r>
        <w:r w:rsidR="006C6A26">
          <w:rPr>
            <w:noProof/>
            <w:webHidden/>
          </w:rPr>
          <w:fldChar w:fldCharType="end"/>
        </w:r>
      </w:hyperlink>
    </w:p>
    <w:p w14:paraId="50B26A0E" w14:textId="53978472" w:rsidR="006C6A26" w:rsidRDefault="00000000">
      <w:pPr>
        <w:pStyle w:val="TableofFigures"/>
        <w:tabs>
          <w:tab w:val="right" w:leader="dot" w:pos="9350"/>
        </w:tabs>
        <w:rPr>
          <w:rFonts w:asciiTheme="minorHAnsi" w:eastAsiaTheme="minorEastAsia" w:hAnsiTheme="minorHAnsi"/>
          <w:noProof/>
          <w:kern w:val="2"/>
          <w14:ligatures w14:val="standardContextual"/>
        </w:rPr>
      </w:pPr>
      <w:hyperlink w:anchor="_Toc141478829" w:history="1">
        <w:r w:rsidR="006C6A26" w:rsidRPr="00B63B3E">
          <w:rPr>
            <w:rStyle w:val="Hyperlink"/>
            <w:b/>
            <w:bCs/>
            <w:noProof/>
          </w:rPr>
          <w:t xml:space="preserve">Figure 4.7. </w:t>
        </w:r>
        <w:r w:rsidR="006C6A26" w:rsidRPr="00B63B3E">
          <w:rPr>
            <w:rStyle w:val="Hyperlink"/>
            <w:noProof/>
          </w:rPr>
          <w:t>Principal component analysis (PCA) comparing all experimental parameters. Helpful to label the treatments larger font than shown. Which represents Full spectrum LED light treatment. If refer to quadrants in body of paper, then label quadrants.</w:t>
        </w:r>
        <w:r w:rsidR="006C6A26">
          <w:rPr>
            <w:noProof/>
            <w:webHidden/>
          </w:rPr>
          <w:tab/>
        </w:r>
        <w:r w:rsidR="006C6A26">
          <w:rPr>
            <w:noProof/>
            <w:webHidden/>
          </w:rPr>
          <w:fldChar w:fldCharType="begin"/>
        </w:r>
        <w:r w:rsidR="006C6A26">
          <w:rPr>
            <w:noProof/>
            <w:webHidden/>
          </w:rPr>
          <w:instrText xml:space="preserve"> PAGEREF _Toc141478829 \h </w:instrText>
        </w:r>
        <w:r w:rsidR="006C6A26">
          <w:rPr>
            <w:noProof/>
            <w:webHidden/>
          </w:rPr>
        </w:r>
        <w:r w:rsidR="006C6A26">
          <w:rPr>
            <w:noProof/>
            <w:webHidden/>
          </w:rPr>
          <w:fldChar w:fldCharType="separate"/>
        </w:r>
        <w:r w:rsidR="006C6A26">
          <w:rPr>
            <w:noProof/>
            <w:webHidden/>
          </w:rPr>
          <w:t>242</w:t>
        </w:r>
        <w:r w:rsidR="006C6A26">
          <w:rPr>
            <w:noProof/>
            <w:webHidden/>
          </w:rPr>
          <w:fldChar w:fldCharType="end"/>
        </w:r>
      </w:hyperlink>
    </w:p>
    <w:p w14:paraId="679B6F3A" w14:textId="7AC0D2CF" w:rsidR="006C6A26" w:rsidRDefault="00000000">
      <w:pPr>
        <w:pStyle w:val="TableofFigures"/>
        <w:tabs>
          <w:tab w:val="right" w:leader="dot" w:pos="9350"/>
        </w:tabs>
        <w:rPr>
          <w:rFonts w:asciiTheme="minorHAnsi" w:eastAsiaTheme="minorEastAsia" w:hAnsiTheme="minorHAnsi"/>
          <w:noProof/>
          <w:kern w:val="2"/>
          <w14:ligatures w14:val="standardContextual"/>
        </w:rPr>
      </w:pPr>
      <w:hyperlink w:anchor="_Toc141478830" w:history="1">
        <w:r w:rsidR="006C6A26" w:rsidRPr="00B63B3E">
          <w:rPr>
            <w:rStyle w:val="Hyperlink"/>
            <w:b/>
            <w:bCs/>
            <w:noProof/>
          </w:rPr>
          <w:t xml:space="preserve">Figure 4.8. </w:t>
        </w:r>
        <w:r w:rsidR="006C6A26" w:rsidRPr="00B63B3E">
          <w:rPr>
            <w:rStyle w:val="Hyperlink"/>
            <w:noProof/>
          </w:rPr>
          <w:t>mRNA sequencing via polyA selection. Sequencing was performed on the HiSeq 6000 sequencing platform (Illumia, San Diego, USA).</w:t>
        </w:r>
        <w:r w:rsidR="006C6A26">
          <w:rPr>
            <w:noProof/>
            <w:webHidden/>
          </w:rPr>
          <w:tab/>
        </w:r>
        <w:r w:rsidR="006C6A26">
          <w:rPr>
            <w:noProof/>
            <w:webHidden/>
          </w:rPr>
          <w:fldChar w:fldCharType="begin"/>
        </w:r>
        <w:r w:rsidR="006C6A26">
          <w:rPr>
            <w:noProof/>
            <w:webHidden/>
          </w:rPr>
          <w:instrText xml:space="preserve"> PAGEREF _Toc141478830 \h </w:instrText>
        </w:r>
        <w:r w:rsidR="006C6A26">
          <w:rPr>
            <w:noProof/>
            <w:webHidden/>
          </w:rPr>
        </w:r>
        <w:r w:rsidR="006C6A26">
          <w:rPr>
            <w:noProof/>
            <w:webHidden/>
          </w:rPr>
          <w:fldChar w:fldCharType="separate"/>
        </w:r>
        <w:r w:rsidR="006C6A26">
          <w:rPr>
            <w:noProof/>
            <w:webHidden/>
          </w:rPr>
          <w:t>243</w:t>
        </w:r>
        <w:r w:rsidR="006C6A26">
          <w:rPr>
            <w:noProof/>
            <w:webHidden/>
          </w:rPr>
          <w:fldChar w:fldCharType="end"/>
        </w:r>
      </w:hyperlink>
    </w:p>
    <w:p w14:paraId="51070399" w14:textId="05CAFFD7" w:rsidR="006C6A26" w:rsidRDefault="00000000">
      <w:pPr>
        <w:pStyle w:val="TableofFigures"/>
        <w:tabs>
          <w:tab w:val="right" w:leader="dot" w:pos="9350"/>
        </w:tabs>
        <w:rPr>
          <w:rFonts w:asciiTheme="minorHAnsi" w:eastAsiaTheme="minorEastAsia" w:hAnsiTheme="minorHAnsi"/>
          <w:noProof/>
          <w:kern w:val="2"/>
          <w14:ligatures w14:val="standardContextual"/>
        </w:rPr>
      </w:pPr>
      <w:hyperlink w:anchor="_Toc141478831" w:history="1">
        <w:r w:rsidR="006C6A26" w:rsidRPr="00B63B3E">
          <w:rPr>
            <w:rStyle w:val="Hyperlink"/>
            <w:b/>
            <w:bCs/>
            <w:noProof/>
          </w:rPr>
          <w:t xml:space="preserve">Figure 4.9. </w:t>
        </w:r>
        <w:r w:rsidR="006C6A26" w:rsidRPr="00B63B3E">
          <w:rPr>
            <w:rStyle w:val="Hyperlink"/>
            <w:noProof/>
          </w:rPr>
          <w:t>Principal component analysis (PCA) comparing DEGs between the Natural Light Control (T4) and Narrowband 20B/80R treatment (T1). If refer to quadrants in body of paper, then label quadrants.</w:t>
        </w:r>
        <w:r w:rsidR="006C6A26">
          <w:rPr>
            <w:noProof/>
            <w:webHidden/>
          </w:rPr>
          <w:tab/>
        </w:r>
        <w:r w:rsidR="006C6A26">
          <w:rPr>
            <w:noProof/>
            <w:webHidden/>
          </w:rPr>
          <w:fldChar w:fldCharType="begin"/>
        </w:r>
        <w:r w:rsidR="006C6A26">
          <w:rPr>
            <w:noProof/>
            <w:webHidden/>
          </w:rPr>
          <w:instrText xml:space="preserve"> PAGEREF _Toc141478831 \h </w:instrText>
        </w:r>
        <w:r w:rsidR="006C6A26">
          <w:rPr>
            <w:noProof/>
            <w:webHidden/>
          </w:rPr>
        </w:r>
        <w:r w:rsidR="006C6A26">
          <w:rPr>
            <w:noProof/>
            <w:webHidden/>
          </w:rPr>
          <w:fldChar w:fldCharType="separate"/>
        </w:r>
        <w:r w:rsidR="006C6A26">
          <w:rPr>
            <w:noProof/>
            <w:webHidden/>
          </w:rPr>
          <w:t>244</w:t>
        </w:r>
        <w:r w:rsidR="006C6A26">
          <w:rPr>
            <w:noProof/>
            <w:webHidden/>
          </w:rPr>
          <w:fldChar w:fldCharType="end"/>
        </w:r>
      </w:hyperlink>
    </w:p>
    <w:p w14:paraId="1521E445" w14:textId="5287CDA5" w:rsidR="006C6A26" w:rsidRDefault="00000000">
      <w:pPr>
        <w:pStyle w:val="TableofFigures"/>
        <w:tabs>
          <w:tab w:val="right" w:leader="dot" w:pos="9350"/>
        </w:tabs>
        <w:rPr>
          <w:rFonts w:asciiTheme="minorHAnsi" w:eastAsiaTheme="minorEastAsia" w:hAnsiTheme="minorHAnsi"/>
          <w:noProof/>
          <w:kern w:val="2"/>
          <w14:ligatures w14:val="standardContextual"/>
        </w:rPr>
      </w:pPr>
      <w:hyperlink w:anchor="_Toc141478832" w:history="1">
        <w:r w:rsidR="006C6A26" w:rsidRPr="00B63B3E">
          <w:rPr>
            <w:rStyle w:val="Hyperlink"/>
            <w:b/>
            <w:bCs/>
            <w:noProof/>
          </w:rPr>
          <w:t xml:space="preserve">Figure 4.10. </w:t>
        </w:r>
        <w:r w:rsidR="006C6A26" w:rsidRPr="00B63B3E">
          <w:rPr>
            <w:rStyle w:val="Hyperlink"/>
            <w:noProof/>
          </w:rPr>
          <w:t>Principal component analysis (PCA) comparing DEGs between the Natural Light Control (T4) and Broadband White treatment (T2).</w:t>
        </w:r>
        <w:r w:rsidR="006C6A26">
          <w:rPr>
            <w:noProof/>
            <w:webHidden/>
          </w:rPr>
          <w:tab/>
        </w:r>
        <w:r w:rsidR="006C6A26">
          <w:rPr>
            <w:noProof/>
            <w:webHidden/>
          </w:rPr>
          <w:fldChar w:fldCharType="begin"/>
        </w:r>
        <w:r w:rsidR="006C6A26">
          <w:rPr>
            <w:noProof/>
            <w:webHidden/>
          </w:rPr>
          <w:instrText xml:space="preserve"> PAGEREF _Toc141478832 \h </w:instrText>
        </w:r>
        <w:r w:rsidR="006C6A26">
          <w:rPr>
            <w:noProof/>
            <w:webHidden/>
          </w:rPr>
        </w:r>
        <w:r w:rsidR="006C6A26">
          <w:rPr>
            <w:noProof/>
            <w:webHidden/>
          </w:rPr>
          <w:fldChar w:fldCharType="separate"/>
        </w:r>
        <w:r w:rsidR="006C6A26">
          <w:rPr>
            <w:noProof/>
            <w:webHidden/>
          </w:rPr>
          <w:t>245</w:t>
        </w:r>
        <w:r w:rsidR="006C6A26">
          <w:rPr>
            <w:noProof/>
            <w:webHidden/>
          </w:rPr>
          <w:fldChar w:fldCharType="end"/>
        </w:r>
      </w:hyperlink>
    </w:p>
    <w:p w14:paraId="503EDCD1" w14:textId="1C99A0C6" w:rsidR="006C6A26" w:rsidRDefault="00000000">
      <w:pPr>
        <w:pStyle w:val="TableofFigures"/>
        <w:tabs>
          <w:tab w:val="right" w:leader="dot" w:pos="9350"/>
        </w:tabs>
        <w:rPr>
          <w:rFonts w:asciiTheme="minorHAnsi" w:eastAsiaTheme="minorEastAsia" w:hAnsiTheme="minorHAnsi"/>
          <w:noProof/>
          <w:kern w:val="2"/>
          <w14:ligatures w14:val="standardContextual"/>
        </w:rPr>
      </w:pPr>
      <w:hyperlink w:anchor="_Toc141478833" w:history="1">
        <w:r w:rsidR="006C6A26" w:rsidRPr="00B63B3E">
          <w:rPr>
            <w:rStyle w:val="Hyperlink"/>
            <w:b/>
            <w:bCs/>
            <w:noProof/>
          </w:rPr>
          <w:t xml:space="preserve">Figure 4.11. </w:t>
        </w:r>
        <w:r w:rsidR="006C6A26" w:rsidRPr="00B63B3E">
          <w:rPr>
            <w:rStyle w:val="Hyperlink"/>
            <w:noProof/>
          </w:rPr>
          <w:t>Principal component analysis (PCA) comparing DEGs between the Natural Light Control (T4) and High-Pressure Sodium treatment (T3).</w:t>
        </w:r>
        <w:r w:rsidR="006C6A26">
          <w:rPr>
            <w:noProof/>
            <w:webHidden/>
          </w:rPr>
          <w:tab/>
        </w:r>
        <w:r w:rsidR="006C6A26">
          <w:rPr>
            <w:noProof/>
            <w:webHidden/>
          </w:rPr>
          <w:fldChar w:fldCharType="begin"/>
        </w:r>
        <w:r w:rsidR="006C6A26">
          <w:rPr>
            <w:noProof/>
            <w:webHidden/>
          </w:rPr>
          <w:instrText xml:space="preserve"> PAGEREF _Toc141478833 \h </w:instrText>
        </w:r>
        <w:r w:rsidR="006C6A26">
          <w:rPr>
            <w:noProof/>
            <w:webHidden/>
          </w:rPr>
        </w:r>
        <w:r w:rsidR="006C6A26">
          <w:rPr>
            <w:noProof/>
            <w:webHidden/>
          </w:rPr>
          <w:fldChar w:fldCharType="separate"/>
        </w:r>
        <w:r w:rsidR="006C6A26">
          <w:rPr>
            <w:noProof/>
            <w:webHidden/>
          </w:rPr>
          <w:t>246</w:t>
        </w:r>
        <w:r w:rsidR="006C6A26">
          <w:rPr>
            <w:noProof/>
            <w:webHidden/>
          </w:rPr>
          <w:fldChar w:fldCharType="end"/>
        </w:r>
      </w:hyperlink>
    </w:p>
    <w:p w14:paraId="16AA2F25" w14:textId="365766CA" w:rsidR="006C6A26" w:rsidRDefault="00000000">
      <w:pPr>
        <w:pStyle w:val="TableofFigures"/>
        <w:tabs>
          <w:tab w:val="right" w:leader="dot" w:pos="9350"/>
        </w:tabs>
        <w:rPr>
          <w:rFonts w:asciiTheme="minorHAnsi" w:eastAsiaTheme="minorEastAsia" w:hAnsiTheme="minorHAnsi"/>
          <w:noProof/>
          <w:kern w:val="2"/>
          <w14:ligatures w14:val="standardContextual"/>
        </w:rPr>
      </w:pPr>
      <w:hyperlink w:anchor="_Toc141478834" w:history="1">
        <w:r w:rsidR="006C6A26" w:rsidRPr="00B63B3E">
          <w:rPr>
            <w:rStyle w:val="Hyperlink"/>
            <w:b/>
            <w:bCs/>
            <w:noProof/>
          </w:rPr>
          <w:t xml:space="preserve">Figure 4.12. </w:t>
        </w:r>
        <w:r w:rsidR="006C6A26" w:rsidRPr="00B63B3E">
          <w:rPr>
            <w:rStyle w:val="Hyperlink"/>
            <w:noProof/>
          </w:rPr>
          <w:t>Biclustering heat map comparing top 30 significant DEGs between the Natural Light Control (T4) and Narrowband 20B/80R treatment (T1) to identify co-regulated genes. Summer (S) and Winter (W) seasons are compared with four replications (R1-R4).</w:t>
        </w:r>
        <w:r w:rsidR="006C6A26">
          <w:rPr>
            <w:noProof/>
            <w:webHidden/>
          </w:rPr>
          <w:tab/>
        </w:r>
        <w:r w:rsidR="006C6A26">
          <w:rPr>
            <w:noProof/>
            <w:webHidden/>
          </w:rPr>
          <w:fldChar w:fldCharType="begin"/>
        </w:r>
        <w:r w:rsidR="006C6A26">
          <w:rPr>
            <w:noProof/>
            <w:webHidden/>
          </w:rPr>
          <w:instrText xml:space="preserve"> PAGEREF _Toc141478834 \h </w:instrText>
        </w:r>
        <w:r w:rsidR="006C6A26">
          <w:rPr>
            <w:noProof/>
            <w:webHidden/>
          </w:rPr>
        </w:r>
        <w:r w:rsidR="006C6A26">
          <w:rPr>
            <w:noProof/>
            <w:webHidden/>
          </w:rPr>
          <w:fldChar w:fldCharType="separate"/>
        </w:r>
        <w:r w:rsidR="006C6A26">
          <w:rPr>
            <w:noProof/>
            <w:webHidden/>
          </w:rPr>
          <w:t>247</w:t>
        </w:r>
        <w:r w:rsidR="006C6A26">
          <w:rPr>
            <w:noProof/>
            <w:webHidden/>
          </w:rPr>
          <w:fldChar w:fldCharType="end"/>
        </w:r>
      </w:hyperlink>
    </w:p>
    <w:p w14:paraId="19DF6387" w14:textId="726DA4D3" w:rsidR="006C6A26" w:rsidRDefault="00000000">
      <w:pPr>
        <w:pStyle w:val="TableofFigures"/>
        <w:tabs>
          <w:tab w:val="right" w:leader="dot" w:pos="9350"/>
        </w:tabs>
        <w:rPr>
          <w:rFonts w:asciiTheme="minorHAnsi" w:eastAsiaTheme="minorEastAsia" w:hAnsiTheme="minorHAnsi"/>
          <w:noProof/>
          <w:kern w:val="2"/>
          <w14:ligatures w14:val="standardContextual"/>
        </w:rPr>
      </w:pPr>
      <w:hyperlink w:anchor="_Toc141478835" w:history="1">
        <w:r w:rsidR="006C6A26" w:rsidRPr="00B63B3E">
          <w:rPr>
            <w:rStyle w:val="Hyperlink"/>
            <w:b/>
            <w:bCs/>
            <w:noProof/>
          </w:rPr>
          <w:t xml:space="preserve">Figure 4.13. </w:t>
        </w:r>
        <w:r w:rsidR="006C6A26" w:rsidRPr="00B63B3E">
          <w:rPr>
            <w:rStyle w:val="Hyperlink"/>
            <w:noProof/>
          </w:rPr>
          <w:t>Biclustering heat map comparing top 30 significant DEGs between the Natural Light Control (T4) and Broadband White treatment (T2) to identify co-regulated genes. Summer (S) and Winter (W) seasons are compared with four replications (R1-R4).</w:t>
        </w:r>
        <w:r w:rsidR="006C6A26">
          <w:rPr>
            <w:noProof/>
            <w:webHidden/>
          </w:rPr>
          <w:tab/>
        </w:r>
        <w:r w:rsidR="006C6A26">
          <w:rPr>
            <w:noProof/>
            <w:webHidden/>
          </w:rPr>
          <w:fldChar w:fldCharType="begin"/>
        </w:r>
        <w:r w:rsidR="006C6A26">
          <w:rPr>
            <w:noProof/>
            <w:webHidden/>
          </w:rPr>
          <w:instrText xml:space="preserve"> PAGEREF _Toc141478835 \h </w:instrText>
        </w:r>
        <w:r w:rsidR="006C6A26">
          <w:rPr>
            <w:noProof/>
            <w:webHidden/>
          </w:rPr>
        </w:r>
        <w:r w:rsidR="006C6A26">
          <w:rPr>
            <w:noProof/>
            <w:webHidden/>
          </w:rPr>
          <w:fldChar w:fldCharType="separate"/>
        </w:r>
        <w:r w:rsidR="006C6A26">
          <w:rPr>
            <w:noProof/>
            <w:webHidden/>
          </w:rPr>
          <w:t>248</w:t>
        </w:r>
        <w:r w:rsidR="006C6A26">
          <w:rPr>
            <w:noProof/>
            <w:webHidden/>
          </w:rPr>
          <w:fldChar w:fldCharType="end"/>
        </w:r>
      </w:hyperlink>
    </w:p>
    <w:p w14:paraId="29F9F7A7" w14:textId="60D93AB9" w:rsidR="006C6A26" w:rsidRDefault="00000000">
      <w:pPr>
        <w:pStyle w:val="TableofFigures"/>
        <w:tabs>
          <w:tab w:val="right" w:leader="dot" w:pos="9350"/>
        </w:tabs>
        <w:rPr>
          <w:rFonts w:asciiTheme="minorHAnsi" w:eastAsiaTheme="minorEastAsia" w:hAnsiTheme="minorHAnsi"/>
          <w:noProof/>
          <w:kern w:val="2"/>
          <w14:ligatures w14:val="standardContextual"/>
        </w:rPr>
      </w:pPr>
      <w:hyperlink w:anchor="_Toc141478836" w:history="1">
        <w:r w:rsidR="006C6A26" w:rsidRPr="00B63B3E">
          <w:rPr>
            <w:rStyle w:val="Hyperlink"/>
            <w:b/>
            <w:bCs/>
            <w:noProof/>
          </w:rPr>
          <w:t xml:space="preserve">Figure 4.14. </w:t>
        </w:r>
        <w:r w:rsidR="006C6A26" w:rsidRPr="00B63B3E">
          <w:rPr>
            <w:rStyle w:val="Hyperlink"/>
            <w:noProof/>
          </w:rPr>
          <w:t>Biclustering heat map comparing top 30 significant DEGs between the Natural Light Control (T4) and High-Pressure Sodium treatment (T3) to identify co-regulated genes. Summer (S) and Winter (W) seasons are compared with four replications (R1-R4).</w:t>
        </w:r>
        <w:r w:rsidR="006C6A26">
          <w:rPr>
            <w:noProof/>
            <w:webHidden/>
          </w:rPr>
          <w:tab/>
        </w:r>
        <w:r w:rsidR="006C6A26">
          <w:rPr>
            <w:noProof/>
            <w:webHidden/>
          </w:rPr>
          <w:fldChar w:fldCharType="begin"/>
        </w:r>
        <w:r w:rsidR="006C6A26">
          <w:rPr>
            <w:noProof/>
            <w:webHidden/>
          </w:rPr>
          <w:instrText xml:space="preserve"> PAGEREF _Toc141478836 \h </w:instrText>
        </w:r>
        <w:r w:rsidR="006C6A26">
          <w:rPr>
            <w:noProof/>
            <w:webHidden/>
          </w:rPr>
        </w:r>
        <w:r w:rsidR="006C6A26">
          <w:rPr>
            <w:noProof/>
            <w:webHidden/>
          </w:rPr>
          <w:fldChar w:fldCharType="separate"/>
        </w:r>
        <w:r w:rsidR="006C6A26">
          <w:rPr>
            <w:noProof/>
            <w:webHidden/>
          </w:rPr>
          <w:t>249</w:t>
        </w:r>
        <w:r w:rsidR="006C6A26">
          <w:rPr>
            <w:noProof/>
            <w:webHidden/>
          </w:rPr>
          <w:fldChar w:fldCharType="end"/>
        </w:r>
      </w:hyperlink>
    </w:p>
    <w:p w14:paraId="759E91B0" w14:textId="470BAEF2" w:rsidR="006C6A26" w:rsidRDefault="00000000">
      <w:pPr>
        <w:pStyle w:val="TableofFigures"/>
        <w:tabs>
          <w:tab w:val="right" w:leader="dot" w:pos="9350"/>
        </w:tabs>
        <w:rPr>
          <w:rFonts w:asciiTheme="minorHAnsi" w:eastAsiaTheme="minorEastAsia" w:hAnsiTheme="minorHAnsi"/>
          <w:noProof/>
          <w:kern w:val="2"/>
          <w14:ligatures w14:val="standardContextual"/>
        </w:rPr>
      </w:pPr>
      <w:hyperlink w:anchor="_Toc141478837" w:history="1">
        <w:r w:rsidR="006C6A26" w:rsidRPr="00B63B3E">
          <w:rPr>
            <w:rStyle w:val="Hyperlink"/>
            <w:b/>
            <w:bCs/>
            <w:noProof/>
          </w:rPr>
          <w:t xml:space="preserve">Figure 4.15. </w:t>
        </w:r>
        <w:r w:rsidR="006C6A26" w:rsidRPr="00B63B3E">
          <w:rPr>
            <w:rStyle w:val="Hyperlink"/>
            <w:noProof/>
          </w:rPr>
          <w:t>Volcano plot showing global transcriptional change between the Natural Light Control (T4) and Narrowband 20B/80R treatment (T1). All the genes are plotted and each data point represents a gene. The log2 fold change of each gene is represented on the x-axis and the log10 of its adjusted p-value is on the y-axis. Genes with an adjusted p-value less than 0.05 and a log2 fold change greater than 1 are indicated by red dots, which represent upregulated genes. Genes with an adjusted p-value less than 0.05 and a log2 fold change less than -1 are indicated by blue dots, which represent downregulated genes.</w:t>
        </w:r>
        <w:r w:rsidR="006C6A26">
          <w:rPr>
            <w:noProof/>
            <w:webHidden/>
          </w:rPr>
          <w:tab/>
        </w:r>
        <w:r w:rsidR="006C6A26">
          <w:rPr>
            <w:noProof/>
            <w:webHidden/>
          </w:rPr>
          <w:fldChar w:fldCharType="begin"/>
        </w:r>
        <w:r w:rsidR="006C6A26">
          <w:rPr>
            <w:noProof/>
            <w:webHidden/>
          </w:rPr>
          <w:instrText xml:space="preserve"> PAGEREF _Toc141478837 \h </w:instrText>
        </w:r>
        <w:r w:rsidR="006C6A26">
          <w:rPr>
            <w:noProof/>
            <w:webHidden/>
          </w:rPr>
        </w:r>
        <w:r w:rsidR="006C6A26">
          <w:rPr>
            <w:noProof/>
            <w:webHidden/>
          </w:rPr>
          <w:fldChar w:fldCharType="separate"/>
        </w:r>
        <w:r w:rsidR="006C6A26">
          <w:rPr>
            <w:noProof/>
            <w:webHidden/>
          </w:rPr>
          <w:t>250</w:t>
        </w:r>
        <w:r w:rsidR="006C6A26">
          <w:rPr>
            <w:noProof/>
            <w:webHidden/>
          </w:rPr>
          <w:fldChar w:fldCharType="end"/>
        </w:r>
      </w:hyperlink>
    </w:p>
    <w:p w14:paraId="5F480CD7" w14:textId="0AAC8D92" w:rsidR="006C6A26" w:rsidRDefault="00000000">
      <w:pPr>
        <w:pStyle w:val="TableofFigures"/>
        <w:tabs>
          <w:tab w:val="right" w:leader="dot" w:pos="9350"/>
        </w:tabs>
        <w:rPr>
          <w:rFonts w:asciiTheme="minorHAnsi" w:eastAsiaTheme="minorEastAsia" w:hAnsiTheme="minorHAnsi"/>
          <w:noProof/>
          <w:kern w:val="2"/>
          <w14:ligatures w14:val="standardContextual"/>
        </w:rPr>
      </w:pPr>
      <w:hyperlink w:anchor="_Toc141478838" w:history="1">
        <w:r w:rsidR="006C6A26" w:rsidRPr="00B63B3E">
          <w:rPr>
            <w:rStyle w:val="Hyperlink"/>
            <w:b/>
            <w:bCs/>
            <w:noProof/>
          </w:rPr>
          <w:t xml:space="preserve">Figure 4.16. </w:t>
        </w:r>
        <w:r w:rsidR="006C6A26" w:rsidRPr="00B63B3E">
          <w:rPr>
            <w:rStyle w:val="Hyperlink"/>
            <w:noProof/>
          </w:rPr>
          <w:t>Volcano plot showing global transcriptional change between the Natural Light Control (T4) and Broadband White treatment (T2). All the genes are plotted and each data point represents a gene. The log2 fold change of each gene is represented on the x-axis and the log10 of its adjusted p-value is on the y-axis. Genes with an adjusted p-value less than 0.05 and a log2 fold change greater than 1 are indicated by red dots, which represent upregulated genes. Genes with an adjusted p-value less than 0.05 and a log2 fold change less than -1 are indicated by blue dots, which represent downregulated genes.</w:t>
        </w:r>
        <w:r w:rsidR="006C6A26">
          <w:rPr>
            <w:noProof/>
            <w:webHidden/>
          </w:rPr>
          <w:tab/>
        </w:r>
        <w:r w:rsidR="006C6A26">
          <w:rPr>
            <w:noProof/>
            <w:webHidden/>
          </w:rPr>
          <w:fldChar w:fldCharType="begin"/>
        </w:r>
        <w:r w:rsidR="006C6A26">
          <w:rPr>
            <w:noProof/>
            <w:webHidden/>
          </w:rPr>
          <w:instrText xml:space="preserve"> PAGEREF _Toc141478838 \h </w:instrText>
        </w:r>
        <w:r w:rsidR="006C6A26">
          <w:rPr>
            <w:noProof/>
            <w:webHidden/>
          </w:rPr>
        </w:r>
        <w:r w:rsidR="006C6A26">
          <w:rPr>
            <w:noProof/>
            <w:webHidden/>
          </w:rPr>
          <w:fldChar w:fldCharType="separate"/>
        </w:r>
        <w:r w:rsidR="006C6A26">
          <w:rPr>
            <w:noProof/>
            <w:webHidden/>
          </w:rPr>
          <w:t>251</w:t>
        </w:r>
        <w:r w:rsidR="006C6A26">
          <w:rPr>
            <w:noProof/>
            <w:webHidden/>
          </w:rPr>
          <w:fldChar w:fldCharType="end"/>
        </w:r>
      </w:hyperlink>
    </w:p>
    <w:p w14:paraId="6A217057" w14:textId="05EA9172" w:rsidR="006C6A26" w:rsidRDefault="00000000">
      <w:pPr>
        <w:pStyle w:val="TableofFigures"/>
        <w:tabs>
          <w:tab w:val="right" w:leader="dot" w:pos="9350"/>
        </w:tabs>
        <w:rPr>
          <w:rFonts w:asciiTheme="minorHAnsi" w:eastAsiaTheme="minorEastAsia" w:hAnsiTheme="minorHAnsi"/>
          <w:noProof/>
          <w:kern w:val="2"/>
          <w14:ligatures w14:val="standardContextual"/>
        </w:rPr>
      </w:pPr>
      <w:hyperlink w:anchor="_Toc141478839" w:history="1">
        <w:r w:rsidR="006C6A26" w:rsidRPr="00B63B3E">
          <w:rPr>
            <w:rStyle w:val="Hyperlink"/>
            <w:b/>
            <w:bCs/>
            <w:noProof/>
          </w:rPr>
          <w:t xml:space="preserve">Figure 4.17. </w:t>
        </w:r>
        <w:r w:rsidR="006C6A26" w:rsidRPr="00B63B3E">
          <w:rPr>
            <w:rStyle w:val="Hyperlink"/>
            <w:noProof/>
          </w:rPr>
          <w:t>Volcano plot showing global transcriptional change between the Natural Light Control (T4) and High-Pressure Sodium treatment (T3). All the genes are plotted and each data point represents a gene. The log2 fold change of each gene is represented on the x-axis and the log10 of its adjusted p-value is on the y-axis. Genes with an adjusted p-value less than 0.05 and a log2 fold change greater than 1 are indicated by red dots, which represent upregulated genes. Genes with an adjusted p-value less than 0.05 and a log2 fold change less than -1 are indicated by blue dots, which represent downregulated genes.</w:t>
        </w:r>
        <w:r w:rsidR="006C6A26">
          <w:rPr>
            <w:noProof/>
            <w:webHidden/>
          </w:rPr>
          <w:tab/>
        </w:r>
        <w:r w:rsidR="006C6A26">
          <w:rPr>
            <w:noProof/>
            <w:webHidden/>
          </w:rPr>
          <w:fldChar w:fldCharType="begin"/>
        </w:r>
        <w:r w:rsidR="006C6A26">
          <w:rPr>
            <w:noProof/>
            <w:webHidden/>
          </w:rPr>
          <w:instrText xml:space="preserve"> PAGEREF _Toc141478839 \h </w:instrText>
        </w:r>
        <w:r w:rsidR="006C6A26">
          <w:rPr>
            <w:noProof/>
            <w:webHidden/>
          </w:rPr>
        </w:r>
        <w:r w:rsidR="006C6A26">
          <w:rPr>
            <w:noProof/>
            <w:webHidden/>
          </w:rPr>
          <w:fldChar w:fldCharType="separate"/>
        </w:r>
        <w:r w:rsidR="006C6A26">
          <w:rPr>
            <w:noProof/>
            <w:webHidden/>
          </w:rPr>
          <w:t>252</w:t>
        </w:r>
        <w:r w:rsidR="006C6A26">
          <w:rPr>
            <w:noProof/>
            <w:webHidden/>
          </w:rPr>
          <w:fldChar w:fldCharType="end"/>
        </w:r>
      </w:hyperlink>
    </w:p>
    <w:p w14:paraId="1FDFAA73" w14:textId="2BCC9580" w:rsidR="006C6A26" w:rsidRDefault="00000000">
      <w:pPr>
        <w:pStyle w:val="TableofFigures"/>
        <w:tabs>
          <w:tab w:val="right" w:leader="dot" w:pos="9350"/>
        </w:tabs>
        <w:rPr>
          <w:rFonts w:asciiTheme="minorHAnsi" w:eastAsiaTheme="minorEastAsia" w:hAnsiTheme="minorHAnsi"/>
          <w:noProof/>
          <w:kern w:val="2"/>
          <w14:ligatures w14:val="standardContextual"/>
        </w:rPr>
      </w:pPr>
      <w:hyperlink w:anchor="_Toc141478840" w:history="1">
        <w:r w:rsidR="006C6A26" w:rsidRPr="00B63B3E">
          <w:rPr>
            <w:rStyle w:val="Hyperlink"/>
            <w:b/>
            <w:bCs/>
            <w:noProof/>
          </w:rPr>
          <w:t xml:space="preserve">Figure 5.1. </w:t>
        </w:r>
        <w:r w:rsidR="006C6A26" w:rsidRPr="00B63B3E">
          <w:rPr>
            <w:rStyle w:val="Hyperlink"/>
            <w:noProof/>
          </w:rPr>
          <w:t>Natural light (NL) spectra under greenhouse glass, averaged across all four growing seasons, ranging from 350 nm to 850 nm. Values were taken at solar noon with three replicates for full sun (yellow) and overcast (gray) for each experimental run.</w:t>
        </w:r>
        <w:r w:rsidR="006C6A26">
          <w:rPr>
            <w:noProof/>
            <w:webHidden/>
          </w:rPr>
          <w:tab/>
        </w:r>
        <w:r w:rsidR="006C6A26">
          <w:rPr>
            <w:noProof/>
            <w:webHidden/>
          </w:rPr>
          <w:fldChar w:fldCharType="begin"/>
        </w:r>
        <w:r w:rsidR="006C6A26">
          <w:rPr>
            <w:noProof/>
            <w:webHidden/>
          </w:rPr>
          <w:instrText xml:space="preserve"> PAGEREF _Toc141478840 \h </w:instrText>
        </w:r>
        <w:r w:rsidR="006C6A26">
          <w:rPr>
            <w:noProof/>
            <w:webHidden/>
          </w:rPr>
        </w:r>
        <w:r w:rsidR="006C6A26">
          <w:rPr>
            <w:noProof/>
            <w:webHidden/>
          </w:rPr>
          <w:fldChar w:fldCharType="separate"/>
        </w:r>
        <w:r w:rsidR="006C6A26">
          <w:rPr>
            <w:noProof/>
            <w:webHidden/>
          </w:rPr>
          <w:t>324</w:t>
        </w:r>
        <w:r w:rsidR="006C6A26">
          <w:rPr>
            <w:noProof/>
            <w:webHidden/>
          </w:rPr>
          <w:fldChar w:fldCharType="end"/>
        </w:r>
      </w:hyperlink>
    </w:p>
    <w:p w14:paraId="629AC662" w14:textId="4C831230" w:rsidR="006C6A26" w:rsidRDefault="00000000">
      <w:pPr>
        <w:pStyle w:val="TableofFigures"/>
        <w:tabs>
          <w:tab w:val="right" w:leader="dot" w:pos="9350"/>
        </w:tabs>
        <w:rPr>
          <w:rFonts w:asciiTheme="minorHAnsi" w:eastAsiaTheme="minorEastAsia" w:hAnsiTheme="minorHAnsi"/>
          <w:noProof/>
          <w:kern w:val="2"/>
          <w14:ligatures w14:val="standardContextual"/>
        </w:rPr>
      </w:pPr>
      <w:hyperlink w:anchor="_Toc141478841" w:history="1">
        <w:r w:rsidR="006C6A26" w:rsidRPr="00B63B3E">
          <w:rPr>
            <w:rStyle w:val="Hyperlink"/>
            <w:b/>
            <w:bCs/>
            <w:noProof/>
          </w:rPr>
          <w:t xml:space="preserve">Figure 5.2. </w:t>
        </w:r>
        <w:r w:rsidR="006C6A26" w:rsidRPr="00B63B3E">
          <w:rPr>
            <w:rStyle w:val="Hyperlink"/>
            <w:noProof/>
          </w:rPr>
          <w:t>Emission spectra of supplemental lighting (SL) treatments from 300 nm to 850 nm: (1) Narrowband 20B/80R LED (purple), (2) Broadband White LEDs (grey), and (3) High Pressure Sodium (yellow). All SL treatments provided 8.64 mol</w:t>
        </w:r>
        <w:r w:rsidR="006C6A26" w:rsidRPr="00B63B3E">
          <w:rPr>
            <w:rStyle w:val="Hyperlink"/>
            <w:b/>
            <w:bCs/>
            <w:noProof/>
            <w:position w:val="8"/>
          </w:rPr>
          <w:t>.</w:t>
        </w:r>
        <w:r w:rsidR="006C6A26" w:rsidRPr="00B63B3E">
          <w:rPr>
            <w:rStyle w:val="Hyperlink"/>
            <w:noProof/>
          </w:rPr>
          <w:t>m</w:t>
        </w:r>
        <w:r w:rsidR="006C6A26" w:rsidRPr="00B63B3E">
          <w:rPr>
            <w:rStyle w:val="Hyperlink"/>
            <w:noProof/>
            <w:vertAlign w:val="superscript"/>
          </w:rPr>
          <w:t>-2</w:t>
        </w:r>
        <w:r w:rsidR="006C6A26" w:rsidRPr="00B63B3E">
          <w:rPr>
            <w:rStyle w:val="Hyperlink"/>
            <w:b/>
            <w:bCs/>
            <w:noProof/>
            <w:position w:val="8"/>
          </w:rPr>
          <w:t>.</w:t>
        </w:r>
        <w:r w:rsidR="006C6A26" w:rsidRPr="00B63B3E">
          <w:rPr>
            <w:rStyle w:val="Hyperlink"/>
            <w:noProof/>
          </w:rPr>
          <w:t>d</w:t>
        </w:r>
        <w:r w:rsidR="006C6A26" w:rsidRPr="00B63B3E">
          <w:rPr>
            <w:rStyle w:val="Hyperlink"/>
            <w:noProof/>
            <w:vertAlign w:val="superscript"/>
          </w:rPr>
          <w:t>-1</w:t>
        </w:r>
        <w:r w:rsidR="006C6A26" w:rsidRPr="00B63B3E">
          <w:rPr>
            <w:rStyle w:val="Hyperlink"/>
            <w:noProof/>
            <w:position w:val="8"/>
          </w:rPr>
          <w:t xml:space="preserve"> </w:t>
        </w:r>
        <w:r w:rsidR="006C6A26" w:rsidRPr="00B63B3E">
          <w:rPr>
            <w:rStyle w:val="Hyperlink"/>
            <w:noProof/>
          </w:rPr>
          <w:t>(continuous 100 μmol</w:t>
        </w:r>
        <w:r w:rsidR="006C6A26" w:rsidRPr="00B63B3E">
          <w:rPr>
            <w:rStyle w:val="Hyperlink"/>
            <w:b/>
            <w:bCs/>
            <w:noProof/>
            <w:position w:val="8"/>
          </w:rPr>
          <w:t>.</w:t>
        </w:r>
        <w:r w:rsidR="006C6A26" w:rsidRPr="00B63B3E">
          <w:rPr>
            <w:rStyle w:val="Hyperlink"/>
            <w:noProof/>
          </w:rPr>
          <w:t>m</w:t>
        </w:r>
        <w:r w:rsidR="006C6A26" w:rsidRPr="00B63B3E">
          <w:rPr>
            <w:rStyle w:val="Hyperlink"/>
            <w:noProof/>
            <w:vertAlign w:val="superscript"/>
          </w:rPr>
          <w:t>-2</w:t>
        </w:r>
        <w:r w:rsidR="006C6A26" w:rsidRPr="00B63B3E">
          <w:rPr>
            <w:rStyle w:val="Hyperlink"/>
            <w:b/>
            <w:bCs/>
            <w:noProof/>
            <w:position w:val="8"/>
          </w:rPr>
          <w:t>.</w:t>
        </w:r>
        <w:r w:rsidR="006C6A26" w:rsidRPr="00B63B3E">
          <w:rPr>
            <w:rStyle w:val="Hyperlink"/>
            <w:noProof/>
          </w:rPr>
          <w:t>s</w:t>
        </w:r>
        <w:r w:rsidR="006C6A26" w:rsidRPr="00B63B3E">
          <w:rPr>
            <w:rStyle w:val="Hyperlink"/>
            <w:noProof/>
            <w:vertAlign w:val="superscript"/>
          </w:rPr>
          <w:t>-1</w:t>
        </w:r>
        <w:r w:rsidR="006C6A26" w:rsidRPr="00B63B3E">
          <w:rPr>
            <w:rStyle w:val="Hyperlink"/>
            <w:noProof/>
          </w:rPr>
          <w:t>; 24 h</w:t>
        </w:r>
        <w:r w:rsidR="006C6A26" w:rsidRPr="00B63B3E">
          <w:rPr>
            <w:rStyle w:val="Hyperlink"/>
            <w:b/>
            <w:bCs/>
            <w:noProof/>
            <w:position w:val="8"/>
          </w:rPr>
          <w:t>.</w:t>
        </w:r>
        <w:r w:rsidR="006C6A26" w:rsidRPr="00B63B3E">
          <w:rPr>
            <w:rStyle w:val="Hyperlink"/>
            <w:noProof/>
          </w:rPr>
          <w:t>d</w:t>
        </w:r>
        <w:r w:rsidR="006C6A26" w:rsidRPr="00B63B3E">
          <w:rPr>
            <w:rStyle w:val="Hyperlink"/>
            <w:noProof/>
            <w:vertAlign w:val="superscript"/>
          </w:rPr>
          <w:t>-1</w:t>
        </w:r>
        <w:r w:rsidR="006C6A26" w:rsidRPr="00B63B3E">
          <w:rPr>
            <w:rStyle w:val="Hyperlink"/>
            <w:noProof/>
          </w:rPr>
          <w:t>). All lighting treatments were measured with a PS-200 Apogee Spectroradiometer to confirm intensity of specific treatment wavelengths throughout each growing season. Readings were taken at midnight in order to exclude underlying natural solar spectra.</w:t>
        </w:r>
        <w:r w:rsidR="006C6A26">
          <w:rPr>
            <w:noProof/>
            <w:webHidden/>
          </w:rPr>
          <w:tab/>
        </w:r>
        <w:r w:rsidR="006C6A26">
          <w:rPr>
            <w:noProof/>
            <w:webHidden/>
          </w:rPr>
          <w:fldChar w:fldCharType="begin"/>
        </w:r>
        <w:r w:rsidR="006C6A26">
          <w:rPr>
            <w:noProof/>
            <w:webHidden/>
          </w:rPr>
          <w:instrText xml:space="preserve"> PAGEREF _Toc141478841 \h </w:instrText>
        </w:r>
        <w:r w:rsidR="006C6A26">
          <w:rPr>
            <w:noProof/>
            <w:webHidden/>
          </w:rPr>
        </w:r>
        <w:r w:rsidR="006C6A26">
          <w:rPr>
            <w:noProof/>
            <w:webHidden/>
          </w:rPr>
          <w:fldChar w:fldCharType="separate"/>
        </w:r>
        <w:r w:rsidR="006C6A26">
          <w:rPr>
            <w:noProof/>
            <w:webHidden/>
          </w:rPr>
          <w:t>325</w:t>
        </w:r>
        <w:r w:rsidR="006C6A26">
          <w:rPr>
            <w:noProof/>
            <w:webHidden/>
          </w:rPr>
          <w:fldChar w:fldCharType="end"/>
        </w:r>
      </w:hyperlink>
    </w:p>
    <w:p w14:paraId="66B977D0" w14:textId="50A590A8" w:rsidR="006C6A26" w:rsidRDefault="00000000">
      <w:pPr>
        <w:pStyle w:val="TableofFigures"/>
        <w:tabs>
          <w:tab w:val="right" w:leader="dot" w:pos="9350"/>
        </w:tabs>
        <w:rPr>
          <w:rFonts w:asciiTheme="minorHAnsi" w:eastAsiaTheme="minorEastAsia" w:hAnsiTheme="minorHAnsi"/>
          <w:noProof/>
          <w:kern w:val="2"/>
          <w14:ligatures w14:val="standardContextual"/>
        </w:rPr>
      </w:pPr>
      <w:hyperlink w:anchor="_Toc141478842" w:history="1">
        <w:r w:rsidR="006C6A26" w:rsidRPr="00B63B3E">
          <w:rPr>
            <w:rStyle w:val="Hyperlink"/>
            <w:b/>
            <w:bCs/>
            <w:noProof/>
          </w:rPr>
          <w:t xml:space="preserve">Figure 5.3. </w:t>
        </w:r>
        <w:r w:rsidR="006C6A26" w:rsidRPr="00B63B3E">
          <w:rPr>
            <w:rStyle w:val="Hyperlink"/>
            <w:noProof/>
          </w:rPr>
          <w:t>Correspondence analysis (CA) factor map illustrating the relationship between lighting treatments (red) and check-all-that-apply (CATA) descriptors (blue) selected by sensory panel participants across both growing seasons.</w:t>
        </w:r>
        <w:r w:rsidR="006C6A26">
          <w:rPr>
            <w:noProof/>
            <w:webHidden/>
          </w:rPr>
          <w:tab/>
        </w:r>
        <w:r w:rsidR="006C6A26">
          <w:rPr>
            <w:noProof/>
            <w:webHidden/>
          </w:rPr>
          <w:fldChar w:fldCharType="begin"/>
        </w:r>
        <w:r w:rsidR="006C6A26">
          <w:rPr>
            <w:noProof/>
            <w:webHidden/>
          </w:rPr>
          <w:instrText xml:space="preserve"> PAGEREF _Toc141478842 \h </w:instrText>
        </w:r>
        <w:r w:rsidR="006C6A26">
          <w:rPr>
            <w:noProof/>
            <w:webHidden/>
          </w:rPr>
        </w:r>
        <w:r w:rsidR="006C6A26">
          <w:rPr>
            <w:noProof/>
            <w:webHidden/>
          </w:rPr>
          <w:fldChar w:fldCharType="separate"/>
        </w:r>
        <w:r w:rsidR="006C6A26">
          <w:rPr>
            <w:noProof/>
            <w:webHidden/>
          </w:rPr>
          <w:t>326</w:t>
        </w:r>
        <w:r w:rsidR="006C6A26">
          <w:rPr>
            <w:noProof/>
            <w:webHidden/>
          </w:rPr>
          <w:fldChar w:fldCharType="end"/>
        </w:r>
      </w:hyperlink>
    </w:p>
    <w:p w14:paraId="74365B13" w14:textId="74337426" w:rsidR="006C6A26" w:rsidRDefault="00000000">
      <w:pPr>
        <w:pStyle w:val="TableofFigures"/>
        <w:tabs>
          <w:tab w:val="right" w:leader="dot" w:pos="9350"/>
        </w:tabs>
        <w:rPr>
          <w:rFonts w:asciiTheme="minorHAnsi" w:eastAsiaTheme="minorEastAsia" w:hAnsiTheme="minorHAnsi"/>
          <w:noProof/>
          <w:kern w:val="2"/>
          <w14:ligatures w14:val="standardContextual"/>
        </w:rPr>
      </w:pPr>
      <w:hyperlink w:anchor="_Toc141478843" w:history="1">
        <w:r w:rsidR="006C6A26" w:rsidRPr="00B63B3E">
          <w:rPr>
            <w:rStyle w:val="Hyperlink"/>
            <w:b/>
            <w:bCs/>
            <w:noProof/>
          </w:rPr>
          <w:t>Figure 5.4.</w:t>
        </w:r>
        <w:r w:rsidR="006C6A26" w:rsidRPr="00B63B3E">
          <w:rPr>
            <w:rStyle w:val="Hyperlink"/>
            <w:noProof/>
          </w:rPr>
          <w:t xml:space="preserve"> Variable Importance in Projection (VIP) and βcoefficients for check-all-that-apply (CATA) frequencies predicting overall liking across both growing seasons. The threshold has been set at VIP &gt; 0.8.</w:t>
        </w:r>
        <w:r w:rsidR="006C6A26">
          <w:rPr>
            <w:noProof/>
            <w:webHidden/>
          </w:rPr>
          <w:tab/>
        </w:r>
        <w:r w:rsidR="006C6A26">
          <w:rPr>
            <w:noProof/>
            <w:webHidden/>
          </w:rPr>
          <w:fldChar w:fldCharType="begin"/>
        </w:r>
        <w:r w:rsidR="006C6A26">
          <w:rPr>
            <w:noProof/>
            <w:webHidden/>
          </w:rPr>
          <w:instrText xml:space="preserve"> PAGEREF _Toc141478843 \h </w:instrText>
        </w:r>
        <w:r w:rsidR="006C6A26">
          <w:rPr>
            <w:noProof/>
            <w:webHidden/>
          </w:rPr>
        </w:r>
        <w:r w:rsidR="006C6A26">
          <w:rPr>
            <w:noProof/>
            <w:webHidden/>
          </w:rPr>
          <w:fldChar w:fldCharType="separate"/>
        </w:r>
        <w:r w:rsidR="006C6A26">
          <w:rPr>
            <w:noProof/>
            <w:webHidden/>
          </w:rPr>
          <w:t>327</w:t>
        </w:r>
        <w:r w:rsidR="006C6A26">
          <w:rPr>
            <w:noProof/>
            <w:webHidden/>
          </w:rPr>
          <w:fldChar w:fldCharType="end"/>
        </w:r>
      </w:hyperlink>
    </w:p>
    <w:p w14:paraId="6450D30C" w14:textId="40CFECD6" w:rsidR="006C6A26" w:rsidRDefault="00000000">
      <w:pPr>
        <w:pStyle w:val="TableofFigures"/>
        <w:tabs>
          <w:tab w:val="right" w:leader="dot" w:pos="9350"/>
        </w:tabs>
        <w:rPr>
          <w:rFonts w:asciiTheme="minorHAnsi" w:eastAsiaTheme="minorEastAsia" w:hAnsiTheme="minorHAnsi"/>
          <w:noProof/>
          <w:kern w:val="2"/>
          <w14:ligatures w14:val="standardContextual"/>
        </w:rPr>
      </w:pPr>
      <w:hyperlink w:anchor="_Toc141478844" w:history="1">
        <w:r w:rsidR="006C6A26" w:rsidRPr="00B63B3E">
          <w:rPr>
            <w:rStyle w:val="Hyperlink"/>
            <w:b/>
            <w:bCs/>
            <w:noProof/>
          </w:rPr>
          <w:t>Figure 5.5.</w:t>
        </w:r>
        <w:r w:rsidR="006C6A26" w:rsidRPr="00B63B3E">
          <w:rPr>
            <w:rStyle w:val="Hyperlink"/>
            <w:noProof/>
          </w:rPr>
          <w:t xml:space="preserve"> mRNA sequencing via polyA selection. Sequencing was performed on the HiSeq 6000 sequencing platform (Illumia, San Diego, USA).</w:t>
        </w:r>
        <w:r w:rsidR="006C6A26">
          <w:rPr>
            <w:noProof/>
            <w:webHidden/>
          </w:rPr>
          <w:tab/>
        </w:r>
        <w:r w:rsidR="006C6A26">
          <w:rPr>
            <w:noProof/>
            <w:webHidden/>
          </w:rPr>
          <w:fldChar w:fldCharType="begin"/>
        </w:r>
        <w:r w:rsidR="006C6A26">
          <w:rPr>
            <w:noProof/>
            <w:webHidden/>
          </w:rPr>
          <w:instrText xml:space="preserve"> PAGEREF _Toc141478844 \h </w:instrText>
        </w:r>
        <w:r w:rsidR="006C6A26">
          <w:rPr>
            <w:noProof/>
            <w:webHidden/>
          </w:rPr>
        </w:r>
        <w:r w:rsidR="006C6A26">
          <w:rPr>
            <w:noProof/>
            <w:webHidden/>
          </w:rPr>
          <w:fldChar w:fldCharType="separate"/>
        </w:r>
        <w:r w:rsidR="006C6A26">
          <w:rPr>
            <w:noProof/>
            <w:webHidden/>
          </w:rPr>
          <w:t>328</w:t>
        </w:r>
        <w:r w:rsidR="006C6A26">
          <w:rPr>
            <w:noProof/>
            <w:webHidden/>
          </w:rPr>
          <w:fldChar w:fldCharType="end"/>
        </w:r>
      </w:hyperlink>
    </w:p>
    <w:p w14:paraId="0BBD69F9" w14:textId="4523962E" w:rsidR="006C6A26" w:rsidRDefault="00000000">
      <w:pPr>
        <w:pStyle w:val="TableofFigures"/>
        <w:tabs>
          <w:tab w:val="right" w:leader="dot" w:pos="9350"/>
        </w:tabs>
        <w:rPr>
          <w:rFonts w:asciiTheme="minorHAnsi" w:eastAsiaTheme="minorEastAsia" w:hAnsiTheme="minorHAnsi"/>
          <w:noProof/>
          <w:kern w:val="2"/>
          <w14:ligatures w14:val="standardContextual"/>
        </w:rPr>
      </w:pPr>
      <w:hyperlink w:anchor="_Toc141478845" w:history="1">
        <w:r w:rsidR="006C6A26" w:rsidRPr="00B63B3E">
          <w:rPr>
            <w:rStyle w:val="Hyperlink"/>
            <w:b/>
            <w:bCs/>
            <w:noProof/>
          </w:rPr>
          <w:t xml:space="preserve">Figure 5.6. </w:t>
        </w:r>
        <w:r w:rsidR="006C6A26" w:rsidRPr="00B63B3E">
          <w:rPr>
            <w:rStyle w:val="Hyperlink"/>
            <w:noProof/>
          </w:rPr>
          <w:t>Principal component analysis (PCA) comparing DEGs between the Natural Light Control (T4) and Narrowband 20B/80R treatment (T1).</w:t>
        </w:r>
        <w:r w:rsidR="006C6A26">
          <w:rPr>
            <w:noProof/>
            <w:webHidden/>
          </w:rPr>
          <w:tab/>
        </w:r>
        <w:r w:rsidR="006C6A26">
          <w:rPr>
            <w:noProof/>
            <w:webHidden/>
          </w:rPr>
          <w:fldChar w:fldCharType="begin"/>
        </w:r>
        <w:r w:rsidR="006C6A26">
          <w:rPr>
            <w:noProof/>
            <w:webHidden/>
          </w:rPr>
          <w:instrText xml:space="preserve"> PAGEREF _Toc141478845 \h </w:instrText>
        </w:r>
        <w:r w:rsidR="006C6A26">
          <w:rPr>
            <w:noProof/>
            <w:webHidden/>
          </w:rPr>
        </w:r>
        <w:r w:rsidR="006C6A26">
          <w:rPr>
            <w:noProof/>
            <w:webHidden/>
          </w:rPr>
          <w:fldChar w:fldCharType="separate"/>
        </w:r>
        <w:r w:rsidR="006C6A26">
          <w:rPr>
            <w:noProof/>
            <w:webHidden/>
          </w:rPr>
          <w:t>329</w:t>
        </w:r>
        <w:r w:rsidR="006C6A26">
          <w:rPr>
            <w:noProof/>
            <w:webHidden/>
          </w:rPr>
          <w:fldChar w:fldCharType="end"/>
        </w:r>
      </w:hyperlink>
    </w:p>
    <w:p w14:paraId="7C973D89" w14:textId="3F2E911B" w:rsidR="006C6A26" w:rsidRDefault="00000000">
      <w:pPr>
        <w:pStyle w:val="TableofFigures"/>
        <w:tabs>
          <w:tab w:val="right" w:leader="dot" w:pos="9350"/>
        </w:tabs>
        <w:rPr>
          <w:rFonts w:asciiTheme="minorHAnsi" w:eastAsiaTheme="minorEastAsia" w:hAnsiTheme="minorHAnsi"/>
          <w:noProof/>
          <w:kern w:val="2"/>
          <w14:ligatures w14:val="standardContextual"/>
        </w:rPr>
      </w:pPr>
      <w:hyperlink w:anchor="_Toc141478846" w:history="1">
        <w:r w:rsidR="006C6A26" w:rsidRPr="00B63B3E">
          <w:rPr>
            <w:rStyle w:val="Hyperlink"/>
            <w:b/>
            <w:bCs/>
            <w:noProof/>
          </w:rPr>
          <w:t xml:space="preserve">Figure 5.7. </w:t>
        </w:r>
        <w:r w:rsidR="006C6A26" w:rsidRPr="00B63B3E">
          <w:rPr>
            <w:rStyle w:val="Hyperlink"/>
            <w:noProof/>
          </w:rPr>
          <w:t>Principal component analysis (PCA) comparing DEGs between the Natural Light Control (T4) and Broadband White treatment (T2).</w:t>
        </w:r>
        <w:r w:rsidR="006C6A26">
          <w:rPr>
            <w:noProof/>
            <w:webHidden/>
          </w:rPr>
          <w:tab/>
        </w:r>
        <w:r w:rsidR="006C6A26">
          <w:rPr>
            <w:noProof/>
            <w:webHidden/>
          </w:rPr>
          <w:fldChar w:fldCharType="begin"/>
        </w:r>
        <w:r w:rsidR="006C6A26">
          <w:rPr>
            <w:noProof/>
            <w:webHidden/>
          </w:rPr>
          <w:instrText xml:space="preserve"> PAGEREF _Toc141478846 \h </w:instrText>
        </w:r>
        <w:r w:rsidR="006C6A26">
          <w:rPr>
            <w:noProof/>
            <w:webHidden/>
          </w:rPr>
        </w:r>
        <w:r w:rsidR="006C6A26">
          <w:rPr>
            <w:noProof/>
            <w:webHidden/>
          </w:rPr>
          <w:fldChar w:fldCharType="separate"/>
        </w:r>
        <w:r w:rsidR="006C6A26">
          <w:rPr>
            <w:noProof/>
            <w:webHidden/>
          </w:rPr>
          <w:t>330</w:t>
        </w:r>
        <w:r w:rsidR="006C6A26">
          <w:rPr>
            <w:noProof/>
            <w:webHidden/>
          </w:rPr>
          <w:fldChar w:fldCharType="end"/>
        </w:r>
      </w:hyperlink>
    </w:p>
    <w:p w14:paraId="5120A6EE" w14:textId="24EABE17" w:rsidR="006C6A26" w:rsidRDefault="00000000">
      <w:pPr>
        <w:pStyle w:val="TableofFigures"/>
        <w:tabs>
          <w:tab w:val="right" w:leader="dot" w:pos="9350"/>
        </w:tabs>
        <w:rPr>
          <w:rFonts w:asciiTheme="minorHAnsi" w:eastAsiaTheme="minorEastAsia" w:hAnsiTheme="minorHAnsi"/>
          <w:noProof/>
          <w:kern w:val="2"/>
          <w14:ligatures w14:val="standardContextual"/>
        </w:rPr>
      </w:pPr>
      <w:hyperlink w:anchor="_Toc141478847" w:history="1">
        <w:r w:rsidR="006C6A26" w:rsidRPr="00B63B3E">
          <w:rPr>
            <w:rStyle w:val="Hyperlink"/>
            <w:b/>
            <w:bCs/>
            <w:noProof/>
          </w:rPr>
          <w:t xml:space="preserve">Figure 5.8. </w:t>
        </w:r>
        <w:r w:rsidR="006C6A26" w:rsidRPr="00B63B3E">
          <w:rPr>
            <w:rStyle w:val="Hyperlink"/>
            <w:noProof/>
          </w:rPr>
          <w:t>Principal component analysis (PCA) comparing DEGs between the Natural Light Control (T4) and High Pressure Sodium treatment (T3).</w:t>
        </w:r>
        <w:r w:rsidR="006C6A26">
          <w:rPr>
            <w:noProof/>
            <w:webHidden/>
          </w:rPr>
          <w:tab/>
        </w:r>
        <w:r w:rsidR="006C6A26">
          <w:rPr>
            <w:noProof/>
            <w:webHidden/>
          </w:rPr>
          <w:fldChar w:fldCharType="begin"/>
        </w:r>
        <w:r w:rsidR="006C6A26">
          <w:rPr>
            <w:noProof/>
            <w:webHidden/>
          </w:rPr>
          <w:instrText xml:space="preserve"> PAGEREF _Toc141478847 \h </w:instrText>
        </w:r>
        <w:r w:rsidR="006C6A26">
          <w:rPr>
            <w:noProof/>
            <w:webHidden/>
          </w:rPr>
        </w:r>
        <w:r w:rsidR="006C6A26">
          <w:rPr>
            <w:noProof/>
            <w:webHidden/>
          </w:rPr>
          <w:fldChar w:fldCharType="separate"/>
        </w:r>
        <w:r w:rsidR="006C6A26">
          <w:rPr>
            <w:noProof/>
            <w:webHidden/>
          </w:rPr>
          <w:t>331</w:t>
        </w:r>
        <w:r w:rsidR="006C6A26">
          <w:rPr>
            <w:noProof/>
            <w:webHidden/>
          </w:rPr>
          <w:fldChar w:fldCharType="end"/>
        </w:r>
      </w:hyperlink>
    </w:p>
    <w:p w14:paraId="6CB0E388" w14:textId="3AA944E2" w:rsidR="006C6A26" w:rsidRDefault="00000000">
      <w:pPr>
        <w:pStyle w:val="TableofFigures"/>
        <w:tabs>
          <w:tab w:val="right" w:leader="dot" w:pos="9350"/>
        </w:tabs>
        <w:rPr>
          <w:rFonts w:asciiTheme="minorHAnsi" w:eastAsiaTheme="minorEastAsia" w:hAnsiTheme="minorHAnsi"/>
          <w:noProof/>
          <w:kern w:val="2"/>
          <w14:ligatures w14:val="standardContextual"/>
        </w:rPr>
      </w:pPr>
      <w:hyperlink w:anchor="_Toc141478848" w:history="1">
        <w:r w:rsidR="006C6A26" w:rsidRPr="00B63B3E">
          <w:rPr>
            <w:rStyle w:val="Hyperlink"/>
            <w:b/>
            <w:bCs/>
            <w:noProof/>
          </w:rPr>
          <w:t xml:space="preserve">Figure 5.9. </w:t>
        </w:r>
        <w:r w:rsidR="006C6A26" w:rsidRPr="00B63B3E">
          <w:rPr>
            <w:rStyle w:val="Hyperlink"/>
            <w:noProof/>
          </w:rPr>
          <w:t>Biclustering heat map comparing top 30 significant DEGs between the Natural Light Control (T4) and Narrowband 20B/80R treatment (T1) to identify co-regulated genes. Summer (S) and Winter (W) seasons are compared with four replications (R1-R4).</w:t>
        </w:r>
        <w:r w:rsidR="006C6A26">
          <w:rPr>
            <w:noProof/>
            <w:webHidden/>
          </w:rPr>
          <w:tab/>
        </w:r>
        <w:r w:rsidR="006C6A26">
          <w:rPr>
            <w:noProof/>
            <w:webHidden/>
          </w:rPr>
          <w:fldChar w:fldCharType="begin"/>
        </w:r>
        <w:r w:rsidR="006C6A26">
          <w:rPr>
            <w:noProof/>
            <w:webHidden/>
          </w:rPr>
          <w:instrText xml:space="preserve"> PAGEREF _Toc141478848 \h </w:instrText>
        </w:r>
        <w:r w:rsidR="006C6A26">
          <w:rPr>
            <w:noProof/>
            <w:webHidden/>
          </w:rPr>
        </w:r>
        <w:r w:rsidR="006C6A26">
          <w:rPr>
            <w:noProof/>
            <w:webHidden/>
          </w:rPr>
          <w:fldChar w:fldCharType="separate"/>
        </w:r>
        <w:r w:rsidR="006C6A26">
          <w:rPr>
            <w:noProof/>
            <w:webHidden/>
          </w:rPr>
          <w:t>332</w:t>
        </w:r>
        <w:r w:rsidR="006C6A26">
          <w:rPr>
            <w:noProof/>
            <w:webHidden/>
          </w:rPr>
          <w:fldChar w:fldCharType="end"/>
        </w:r>
      </w:hyperlink>
    </w:p>
    <w:p w14:paraId="5915C7E6" w14:textId="567F94E0" w:rsidR="006C6A26" w:rsidRDefault="00000000">
      <w:pPr>
        <w:pStyle w:val="TableofFigures"/>
        <w:tabs>
          <w:tab w:val="right" w:leader="dot" w:pos="9350"/>
        </w:tabs>
        <w:rPr>
          <w:rFonts w:asciiTheme="minorHAnsi" w:eastAsiaTheme="minorEastAsia" w:hAnsiTheme="minorHAnsi"/>
          <w:noProof/>
          <w:kern w:val="2"/>
          <w14:ligatures w14:val="standardContextual"/>
        </w:rPr>
      </w:pPr>
      <w:hyperlink w:anchor="_Toc141478849" w:history="1">
        <w:r w:rsidR="006C6A26" w:rsidRPr="00B63B3E">
          <w:rPr>
            <w:rStyle w:val="Hyperlink"/>
            <w:b/>
            <w:bCs/>
            <w:noProof/>
          </w:rPr>
          <w:t xml:space="preserve">Figure 5.10. </w:t>
        </w:r>
        <w:r w:rsidR="006C6A26" w:rsidRPr="00B63B3E">
          <w:rPr>
            <w:rStyle w:val="Hyperlink"/>
            <w:noProof/>
          </w:rPr>
          <w:t>Biclustering heat map comparing top 30 significant DEGs between the Natural Light Control (T4) and Broadband White treatment (T2) to identify co-regulated genes. Summer (S) and Winter (W) seasons are compared with four replications (R1-R4).</w:t>
        </w:r>
        <w:r w:rsidR="006C6A26">
          <w:rPr>
            <w:noProof/>
            <w:webHidden/>
          </w:rPr>
          <w:tab/>
        </w:r>
        <w:r w:rsidR="006C6A26">
          <w:rPr>
            <w:noProof/>
            <w:webHidden/>
          </w:rPr>
          <w:fldChar w:fldCharType="begin"/>
        </w:r>
        <w:r w:rsidR="006C6A26">
          <w:rPr>
            <w:noProof/>
            <w:webHidden/>
          </w:rPr>
          <w:instrText xml:space="preserve"> PAGEREF _Toc141478849 \h </w:instrText>
        </w:r>
        <w:r w:rsidR="006C6A26">
          <w:rPr>
            <w:noProof/>
            <w:webHidden/>
          </w:rPr>
        </w:r>
        <w:r w:rsidR="006C6A26">
          <w:rPr>
            <w:noProof/>
            <w:webHidden/>
          </w:rPr>
          <w:fldChar w:fldCharType="separate"/>
        </w:r>
        <w:r w:rsidR="006C6A26">
          <w:rPr>
            <w:noProof/>
            <w:webHidden/>
          </w:rPr>
          <w:t>333</w:t>
        </w:r>
        <w:r w:rsidR="006C6A26">
          <w:rPr>
            <w:noProof/>
            <w:webHidden/>
          </w:rPr>
          <w:fldChar w:fldCharType="end"/>
        </w:r>
      </w:hyperlink>
    </w:p>
    <w:p w14:paraId="33A2A72F" w14:textId="1A82AAFF" w:rsidR="006C6A26" w:rsidRDefault="00000000">
      <w:pPr>
        <w:pStyle w:val="TableofFigures"/>
        <w:tabs>
          <w:tab w:val="right" w:leader="dot" w:pos="9350"/>
        </w:tabs>
        <w:rPr>
          <w:rFonts w:asciiTheme="minorHAnsi" w:eastAsiaTheme="minorEastAsia" w:hAnsiTheme="minorHAnsi"/>
          <w:noProof/>
          <w:kern w:val="2"/>
          <w14:ligatures w14:val="standardContextual"/>
        </w:rPr>
      </w:pPr>
      <w:hyperlink w:anchor="_Toc141478850" w:history="1">
        <w:r w:rsidR="006C6A26" w:rsidRPr="00B63B3E">
          <w:rPr>
            <w:rStyle w:val="Hyperlink"/>
            <w:b/>
            <w:bCs/>
            <w:noProof/>
          </w:rPr>
          <w:t xml:space="preserve">Figure 5.11. </w:t>
        </w:r>
        <w:r w:rsidR="006C6A26" w:rsidRPr="00B63B3E">
          <w:rPr>
            <w:rStyle w:val="Hyperlink"/>
            <w:noProof/>
          </w:rPr>
          <w:t>Biclustering heat map comparing top 30 significant DEGs between the Natural Light Control (T4) and High Pressure Sodium treatment (T3) to identify co-regulated genes. Summer (S) and Winter (W) seasons are compared with four replications (R1-R4).</w:t>
        </w:r>
        <w:r w:rsidR="006C6A26">
          <w:rPr>
            <w:noProof/>
            <w:webHidden/>
          </w:rPr>
          <w:tab/>
        </w:r>
        <w:r w:rsidR="006C6A26">
          <w:rPr>
            <w:noProof/>
            <w:webHidden/>
          </w:rPr>
          <w:fldChar w:fldCharType="begin"/>
        </w:r>
        <w:r w:rsidR="006C6A26">
          <w:rPr>
            <w:noProof/>
            <w:webHidden/>
          </w:rPr>
          <w:instrText xml:space="preserve"> PAGEREF _Toc141478850 \h </w:instrText>
        </w:r>
        <w:r w:rsidR="006C6A26">
          <w:rPr>
            <w:noProof/>
            <w:webHidden/>
          </w:rPr>
        </w:r>
        <w:r w:rsidR="006C6A26">
          <w:rPr>
            <w:noProof/>
            <w:webHidden/>
          </w:rPr>
          <w:fldChar w:fldCharType="separate"/>
        </w:r>
        <w:r w:rsidR="006C6A26">
          <w:rPr>
            <w:noProof/>
            <w:webHidden/>
          </w:rPr>
          <w:t>334</w:t>
        </w:r>
        <w:r w:rsidR="006C6A26">
          <w:rPr>
            <w:noProof/>
            <w:webHidden/>
          </w:rPr>
          <w:fldChar w:fldCharType="end"/>
        </w:r>
      </w:hyperlink>
    </w:p>
    <w:p w14:paraId="01F48DBF" w14:textId="413BA7BA" w:rsidR="006C6A26" w:rsidRDefault="00000000">
      <w:pPr>
        <w:pStyle w:val="TableofFigures"/>
        <w:tabs>
          <w:tab w:val="right" w:leader="dot" w:pos="9350"/>
        </w:tabs>
        <w:rPr>
          <w:rFonts w:asciiTheme="minorHAnsi" w:eastAsiaTheme="minorEastAsia" w:hAnsiTheme="minorHAnsi"/>
          <w:noProof/>
          <w:kern w:val="2"/>
          <w14:ligatures w14:val="standardContextual"/>
        </w:rPr>
      </w:pPr>
      <w:hyperlink w:anchor="_Toc141478851" w:history="1">
        <w:r w:rsidR="006C6A26" w:rsidRPr="00B63B3E">
          <w:rPr>
            <w:rStyle w:val="Hyperlink"/>
            <w:b/>
            <w:bCs/>
            <w:noProof/>
          </w:rPr>
          <w:t xml:space="preserve">Figure 5.12. </w:t>
        </w:r>
        <w:r w:rsidR="006C6A26" w:rsidRPr="00B63B3E">
          <w:rPr>
            <w:rStyle w:val="Hyperlink"/>
            <w:noProof/>
          </w:rPr>
          <w:t xml:space="preserve">Volcano plot showing global transcriptional change between the Natural Light Control (T4) and Narrowband 20B/80R treatment (T1). All the genes are plotted and each data point represents a gene. The log2 fold change of each gene is represented on the x-axis and the log10 of its adjusted p-value is on the y-axis. Genes with an adjusted p-value less than 0.05 and a log2 fold change greater than 1 are indicated by red dots, which represent </w:t>
        </w:r>
        <w:r w:rsidR="006C6A26" w:rsidRPr="00B63B3E">
          <w:rPr>
            <w:rStyle w:val="Hyperlink"/>
            <w:noProof/>
          </w:rPr>
          <w:lastRenderedPageBreak/>
          <w:t>upregulated genes. Genes with an adjusted p-value less than 0.05 and a log2 fold change less than -1 are indicated by blue dots, which represent downregulated genes.</w:t>
        </w:r>
        <w:r w:rsidR="006C6A26">
          <w:rPr>
            <w:noProof/>
            <w:webHidden/>
          </w:rPr>
          <w:tab/>
        </w:r>
        <w:r w:rsidR="006C6A26">
          <w:rPr>
            <w:noProof/>
            <w:webHidden/>
          </w:rPr>
          <w:fldChar w:fldCharType="begin"/>
        </w:r>
        <w:r w:rsidR="006C6A26">
          <w:rPr>
            <w:noProof/>
            <w:webHidden/>
          </w:rPr>
          <w:instrText xml:space="preserve"> PAGEREF _Toc141478851 \h </w:instrText>
        </w:r>
        <w:r w:rsidR="006C6A26">
          <w:rPr>
            <w:noProof/>
            <w:webHidden/>
          </w:rPr>
        </w:r>
        <w:r w:rsidR="006C6A26">
          <w:rPr>
            <w:noProof/>
            <w:webHidden/>
          </w:rPr>
          <w:fldChar w:fldCharType="separate"/>
        </w:r>
        <w:r w:rsidR="006C6A26">
          <w:rPr>
            <w:noProof/>
            <w:webHidden/>
          </w:rPr>
          <w:t>335</w:t>
        </w:r>
        <w:r w:rsidR="006C6A26">
          <w:rPr>
            <w:noProof/>
            <w:webHidden/>
          </w:rPr>
          <w:fldChar w:fldCharType="end"/>
        </w:r>
      </w:hyperlink>
    </w:p>
    <w:p w14:paraId="1DEE796F" w14:textId="6C1FCEAA" w:rsidR="006C6A26" w:rsidRDefault="00000000">
      <w:pPr>
        <w:pStyle w:val="TableofFigures"/>
        <w:tabs>
          <w:tab w:val="right" w:leader="dot" w:pos="9350"/>
        </w:tabs>
        <w:rPr>
          <w:rFonts w:asciiTheme="minorHAnsi" w:eastAsiaTheme="minorEastAsia" w:hAnsiTheme="minorHAnsi"/>
          <w:noProof/>
          <w:kern w:val="2"/>
          <w14:ligatures w14:val="standardContextual"/>
        </w:rPr>
      </w:pPr>
      <w:hyperlink w:anchor="_Toc141478852" w:history="1">
        <w:r w:rsidR="006C6A26" w:rsidRPr="00B63B3E">
          <w:rPr>
            <w:rStyle w:val="Hyperlink"/>
            <w:b/>
            <w:bCs/>
            <w:noProof/>
          </w:rPr>
          <w:t xml:space="preserve">Figure 5.13. </w:t>
        </w:r>
        <w:r w:rsidR="006C6A26" w:rsidRPr="00B63B3E">
          <w:rPr>
            <w:rStyle w:val="Hyperlink"/>
            <w:noProof/>
          </w:rPr>
          <w:t>Volcano plot showing global transcriptional change between the Natural Light Control (T4) and Broadband White treatment (T2). All the genes are plotted and each data point represents a gene. The log2 fold change of each gene is represented on the x-axis and the log10 of its adjusted p-value is on the y-axis. Genes with an adjusted p-value less than 0.05 and a log2 fold change greater than 1 are indicated by red dots, which represent upregulated genes. Genes with an adjusted p-value less than 0.05 and a log2 fold change less than -1 are indicated by blue dots, which represent downregulated genes.</w:t>
        </w:r>
        <w:r w:rsidR="006C6A26">
          <w:rPr>
            <w:noProof/>
            <w:webHidden/>
          </w:rPr>
          <w:tab/>
        </w:r>
        <w:r w:rsidR="006C6A26">
          <w:rPr>
            <w:noProof/>
            <w:webHidden/>
          </w:rPr>
          <w:fldChar w:fldCharType="begin"/>
        </w:r>
        <w:r w:rsidR="006C6A26">
          <w:rPr>
            <w:noProof/>
            <w:webHidden/>
          </w:rPr>
          <w:instrText xml:space="preserve"> PAGEREF _Toc141478852 \h </w:instrText>
        </w:r>
        <w:r w:rsidR="006C6A26">
          <w:rPr>
            <w:noProof/>
            <w:webHidden/>
          </w:rPr>
        </w:r>
        <w:r w:rsidR="006C6A26">
          <w:rPr>
            <w:noProof/>
            <w:webHidden/>
          </w:rPr>
          <w:fldChar w:fldCharType="separate"/>
        </w:r>
        <w:r w:rsidR="006C6A26">
          <w:rPr>
            <w:noProof/>
            <w:webHidden/>
          </w:rPr>
          <w:t>336</w:t>
        </w:r>
        <w:r w:rsidR="006C6A26">
          <w:rPr>
            <w:noProof/>
            <w:webHidden/>
          </w:rPr>
          <w:fldChar w:fldCharType="end"/>
        </w:r>
      </w:hyperlink>
    </w:p>
    <w:p w14:paraId="60B54EC6" w14:textId="3137856E" w:rsidR="006C6A26" w:rsidRDefault="00000000">
      <w:pPr>
        <w:pStyle w:val="TableofFigures"/>
        <w:tabs>
          <w:tab w:val="right" w:leader="dot" w:pos="9350"/>
        </w:tabs>
        <w:rPr>
          <w:rFonts w:asciiTheme="minorHAnsi" w:eastAsiaTheme="minorEastAsia" w:hAnsiTheme="minorHAnsi"/>
          <w:noProof/>
          <w:kern w:val="2"/>
          <w14:ligatures w14:val="standardContextual"/>
        </w:rPr>
      </w:pPr>
      <w:hyperlink w:anchor="_Toc141478853" w:history="1">
        <w:r w:rsidR="006C6A26" w:rsidRPr="00B63B3E">
          <w:rPr>
            <w:rStyle w:val="Hyperlink"/>
            <w:b/>
            <w:bCs/>
            <w:noProof/>
          </w:rPr>
          <w:t xml:space="preserve">Figure 5.14. </w:t>
        </w:r>
        <w:r w:rsidR="006C6A26" w:rsidRPr="00B63B3E">
          <w:rPr>
            <w:rStyle w:val="Hyperlink"/>
            <w:noProof/>
          </w:rPr>
          <w:t>Volcano plot showing global transcriptional change between the Natural Light Control (T4) and High Pressure Sodium treatment (T3). All the genes are plotted and each data point represents a gene. The log2 fold change of each gene is represented on the x-axis and the log10 of its adjusted p-value is on the y-axis. Genes with an adjusted p-value less than 0.05 and a log2 fold change greater than 1 are indicated by red dots, which represent upregulated genes. Genes with an adjusted p-value less than 0.05 and a log2 fold change less than -1 are indicated by blue dots, which represent downregulated genes.</w:t>
        </w:r>
        <w:r w:rsidR="006C6A26">
          <w:rPr>
            <w:noProof/>
            <w:webHidden/>
          </w:rPr>
          <w:tab/>
        </w:r>
        <w:r w:rsidR="006C6A26">
          <w:rPr>
            <w:noProof/>
            <w:webHidden/>
          </w:rPr>
          <w:fldChar w:fldCharType="begin"/>
        </w:r>
        <w:r w:rsidR="006C6A26">
          <w:rPr>
            <w:noProof/>
            <w:webHidden/>
          </w:rPr>
          <w:instrText xml:space="preserve"> PAGEREF _Toc141478853 \h </w:instrText>
        </w:r>
        <w:r w:rsidR="006C6A26">
          <w:rPr>
            <w:noProof/>
            <w:webHidden/>
          </w:rPr>
        </w:r>
        <w:r w:rsidR="006C6A26">
          <w:rPr>
            <w:noProof/>
            <w:webHidden/>
          </w:rPr>
          <w:fldChar w:fldCharType="separate"/>
        </w:r>
        <w:r w:rsidR="006C6A26">
          <w:rPr>
            <w:noProof/>
            <w:webHidden/>
          </w:rPr>
          <w:t>337</w:t>
        </w:r>
        <w:r w:rsidR="006C6A26">
          <w:rPr>
            <w:noProof/>
            <w:webHidden/>
          </w:rPr>
          <w:fldChar w:fldCharType="end"/>
        </w:r>
      </w:hyperlink>
    </w:p>
    <w:p w14:paraId="0069EFE5" w14:textId="269BDC4C" w:rsidR="00126D8D" w:rsidRPr="007F77C5" w:rsidRDefault="00126D8D" w:rsidP="00FB571A">
      <w:pPr>
        <w:rPr>
          <w:rFonts w:cs="Times New Roman"/>
        </w:rPr>
      </w:pPr>
      <w:r w:rsidRPr="007F77C5">
        <w:rPr>
          <w:rFonts w:cs="Times New Roman"/>
        </w:rPr>
        <w:fldChar w:fldCharType="end"/>
      </w:r>
    </w:p>
    <w:p w14:paraId="7B24C3E2" w14:textId="77777777" w:rsidR="00126D8D" w:rsidRPr="007F77C5" w:rsidRDefault="00126D8D" w:rsidP="00FB571A">
      <w:pPr>
        <w:rPr>
          <w:rFonts w:cs="Times New Roman"/>
        </w:rPr>
      </w:pPr>
    </w:p>
    <w:p w14:paraId="7CB96603" w14:textId="4348B1FC" w:rsidR="00126D8D" w:rsidRPr="007F77C5" w:rsidRDefault="00126D8D">
      <w:pPr>
        <w:rPr>
          <w:rFonts w:cs="Times New Roman"/>
        </w:rPr>
        <w:sectPr w:rsidR="00126D8D" w:rsidRPr="007F77C5" w:rsidSect="00BB138C">
          <w:headerReference w:type="default" r:id="rId8"/>
          <w:footerReference w:type="even" r:id="rId9"/>
          <w:footerReference w:type="default" r:id="rId10"/>
          <w:pgSz w:w="12240" w:h="15840"/>
          <w:pgMar w:top="1440" w:right="1440" w:bottom="1440" w:left="1440" w:header="720" w:footer="720" w:gutter="0"/>
          <w:pgNumType w:fmt="lowerRoman"/>
          <w:cols w:space="720"/>
          <w:titlePg/>
          <w:docGrid w:linePitch="360"/>
        </w:sectPr>
      </w:pPr>
    </w:p>
    <w:p w14:paraId="6F8B7DC5" w14:textId="77777777" w:rsidR="00126D8D" w:rsidRPr="007F77C5" w:rsidRDefault="00126D8D">
      <w:pPr>
        <w:rPr>
          <w:rFonts w:cs="Times New Roman"/>
        </w:rPr>
      </w:pPr>
    </w:p>
    <w:p w14:paraId="5564D1FF" w14:textId="77777777" w:rsidR="00126D8D" w:rsidRPr="007F77C5" w:rsidRDefault="00126D8D">
      <w:pPr>
        <w:rPr>
          <w:rFonts w:cs="Times New Roman"/>
        </w:rPr>
      </w:pPr>
    </w:p>
    <w:p w14:paraId="17D8FEFA" w14:textId="77777777" w:rsidR="00126D8D" w:rsidRPr="007F77C5" w:rsidRDefault="00126D8D">
      <w:pPr>
        <w:rPr>
          <w:rFonts w:cs="Times New Roman"/>
        </w:rPr>
      </w:pPr>
    </w:p>
    <w:p w14:paraId="7ABA8067" w14:textId="77777777" w:rsidR="00126D8D" w:rsidRPr="007F77C5" w:rsidRDefault="00126D8D">
      <w:pPr>
        <w:rPr>
          <w:rFonts w:cs="Times New Roman"/>
        </w:rPr>
      </w:pPr>
    </w:p>
    <w:p w14:paraId="5FDCE979" w14:textId="77777777" w:rsidR="00126D8D" w:rsidRPr="007F77C5" w:rsidRDefault="00126D8D">
      <w:pPr>
        <w:rPr>
          <w:rFonts w:cs="Times New Roman"/>
        </w:rPr>
      </w:pPr>
    </w:p>
    <w:p w14:paraId="38F5C31D" w14:textId="77777777" w:rsidR="00126D8D" w:rsidRPr="007F77C5" w:rsidRDefault="00126D8D">
      <w:pPr>
        <w:rPr>
          <w:rFonts w:cs="Times New Roman"/>
        </w:rPr>
      </w:pPr>
    </w:p>
    <w:p w14:paraId="474B088D" w14:textId="77777777" w:rsidR="00126D8D" w:rsidRPr="007F77C5" w:rsidRDefault="00126D8D">
      <w:pPr>
        <w:rPr>
          <w:rFonts w:cs="Times New Roman"/>
        </w:rPr>
      </w:pPr>
    </w:p>
    <w:p w14:paraId="2493DAF9" w14:textId="77777777" w:rsidR="00126D8D" w:rsidRPr="007F77C5" w:rsidRDefault="00126D8D">
      <w:pPr>
        <w:rPr>
          <w:rFonts w:cs="Times New Roman"/>
        </w:rPr>
      </w:pPr>
    </w:p>
    <w:p w14:paraId="57443C73" w14:textId="77777777" w:rsidR="00126D8D" w:rsidRPr="007F77C5" w:rsidRDefault="00126D8D">
      <w:pPr>
        <w:rPr>
          <w:rFonts w:cs="Times New Roman"/>
        </w:rPr>
      </w:pPr>
    </w:p>
    <w:p w14:paraId="6FCFF83E" w14:textId="77777777" w:rsidR="00126D8D" w:rsidRPr="007F77C5" w:rsidRDefault="00126D8D">
      <w:pPr>
        <w:rPr>
          <w:rFonts w:cs="Times New Roman"/>
        </w:rPr>
      </w:pPr>
    </w:p>
    <w:p w14:paraId="18735504" w14:textId="77777777" w:rsidR="00126D8D" w:rsidRPr="007F77C5" w:rsidRDefault="00126D8D">
      <w:pPr>
        <w:rPr>
          <w:rFonts w:cs="Times New Roman"/>
        </w:rPr>
      </w:pPr>
    </w:p>
    <w:p w14:paraId="1B9142E9" w14:textId="77777777" w:rsidR="00126D8D" w:rsidRPr="007F77C5" w:rsidRDefault="00126D8D">
      <w:pPr>
        <w:rPr>
          <w:rFonts w:cs="Times New Roman"/>
        </w:rPr>
      </w:pPr>
    </w:p>
    <w:p w14:paraId="2EC0B0EC" w14:textId="77777777" w:rsidR="00126D8D" w:rsidRPr="007F77C5" w:rsidRDefault="00126D8D">
      <w:pPr>
        <w:rPr>
          <w:rFonts w:cs="Times New Roman"/>
        </w:rPr>
      </w:pPr>
    </w:p>
    <w:p w14:paraId="31502421" w14:textId="77777777" w:rsidR="00126D8D" w:rsidRPr="007F77C5" w:rsidRDefault="00126D8D">
      <w:pPr>
        <w:rPr>
          <w:rFonts w:cs="Times New Roman"/>
        </w:rPr>
      </w:pPr>
    </w:p>
    <w:p w14:paraId="6A86CA05" w14:textId="77777777" w:rsidR="00126D8D" w:rsidRPr="007F77C5" w:rsidRDefault="00126D8D">
      <w:pPr>
        <w:rPr>
          <w:rFonts w:cs="Times New Roman"/>
        </w:rPr>
      </w:pPr>
    </w:p>
    <w:p w14:paraId="50011F52" w14:textId="77777777" w:rsidR="00126D8D" w:rsidRPr="007F77C5" w:rsidRDefault="00126D8D">
      <w:pPr>
        <w:rPr>
          <w:rFonts w:cs="Times New Roman"/>
        </w:rPr>
      </w:pPr>
    </w:p>
    <w:p w14:paraId="561B7025" w14:textId="77777777" w:rsidR="00126D8D" w:rsidRPr="007F77C5" w:rsidRDefault="00126D8D">
      <w:pPr>
        <w:rPr>
          <w:rFonts w:cs="Times New Roman"/>
        </w:rPr>
      </w:pPr>
    </w:p>
    <w:p w14:paraId="75AA0FBC" w14:textId="77777777" w:rsidR="00126D8D" w:rsidRPr="007F77C5" w:rsidRDefault="00126D8D">
      <w:pPr>
        <w:rPr>
          <w:rFonts w:cs="Times New Roman"/>
        </w:rPr>
      </w:pPr>
    </w:p>
    <w:p w14:paraId="182A8667" w14:textId="77777777" w:rsidR="00126D8D" w:rsidRPr="007F77C5" w:rsidRDefault="00126D8D">
      <w:pPr>
        <w:rPr>
          <w:rFonts w:cs="Times New Roman"/>
        </w:rPr>
      </w:pPr>
    </w:p>
    <w:p w14:paraId="3272CE7F" w14:textId="77777777" w:rsidR="00126D8D" w:rsidRPr="007F77C5" w:rsidRDefault="00126D8D">
      <w:pPr>
        <w:rPr>
          <w:rFonts w:cs="Times New Roman"/>
        </w:rPr>
      </w:pPr>
    </w:p>
    <w:p w14:paraId="7968B700" w14:textId="77777777" w:rsidR="00126D8D" w:rsidRPr="007F77C5" w:rsidRDefault="00126D8D">
      <w:pPr>
        <w:rPr>
          <w:rFonts w:cs="Times New Roman"/>
        </w:rPr>
      </w:pPr>
    </w:p>
    <w:p w14:paraId="4141652C" w14:textId="77777777" w:rsidR="00126D8D" w:rsidRPr="007F77C5" w:rsidRDefault="00126D8D">
      <w:pPr>
        <w:rPr>
          <w:rFonts w:cs="Times New Roman"/>
        </w:rPr>
      </w:pPr>
    </w:p>
    <w:p w14:paraId="04D331AA" w14:textId="77777777" w:rsidR="00126D8D" w:rsidRPr="007F77C5" w:rsidRDefault="00126D8D" w:rsidP="003E520D">
      <w:pPr>
        <w:pStyle w:val="MastersThesisChapter"/>
        <w:framePr w:wrap="around"/>
        <w:rPr>
          <w:rFonts w:cs="Times New Roman"/>
        </w:rPr>
      </w:pPr>
      <w:bookmarkStart w:id="32" w:name="_Toc498547843"/>
      <w:bookmarkStart w:id="33" w:name="_Toc139574769"/>
      <w:bookmarkStart w:id="34" w:name="_Toc141478639"/>
      <w:r w:rsidRPr="007F77C5">
        <w:rPr>
          <w:rFonts w:cs="Times New Roman"/>
        </w:rPr>
        <w:t>CHAPTER 1: INTRODUCTION</w:t>
      </w:r>
      <w:bookmarkEnd w:id="32"/>
      <w:bookmarkEnd w:id="33"/>
      <w:bookmarkEnd w:id="34"/>
    </w:p>
    <w:p w14:paraId="3524F0B8" w14:textId="77777777" w:rsidR="00126D8D" w:rsidRPr="007F77C5" w:rsidRDefault="00126D8D" w:rsidP="00AF34CD">
      <w:pPr>
        <w:rPr>
          <w:rFonts w:cs="Times New Roman"/>
        </w:rPr>
      </w:pPr>
      <w:r w:rsidRPr="007F77C5">
        <w:rPr>
          <w:rFonts w:cs="Times New Roman"/>
        </w:rPr>
        <w:br w:type="page"/>
      </w:r>
    </w:p>
    <w:p w14:paraId="653391E4" w14:textId="77777777" w:rsidR="00126D8D" w:rsidRPr="007F77C5" w:rsidRDefault="00126D8D" w:rsidP="00224B41">
      <w:pPr>
        <w:pStyle w:val="MastersThesisMainTitle"/>
      </w:pPr>
      <w:bookmarkStart w:id="35" w:name="_Toc114189778"/>
      <w:bookmarkStart w:id="36" w:name="_Toc139574770"/>
      <w:bookmarkStart w:id="37" w:name="_Toc141478640"/>
      <w:r w:rsidRPr="007F77C5">
        <w:lastRenderedPageBreak/>
        <w:t>Controlled Environment Agriculture</w:t>
      </w:r>
      <w:bookmarkEnd w:id="35"/>
      <w:bookmarkEnd w:id="36"/>
      <w:bookmarkEnd w:id="37"/>
    </w:p>
    <w:p w14:paraId="0670C9DF" w14:textId="77777777" w:rsidR="00126D8D" w:rsidRPr="007F77C5" w:rsidRDefault="00126D8D" w:rsidP="00224B41">
      <w:pPr>
        <w:ind w:firstLine="720"/>
        <w:jc w:val="both"/>
        <w:rPr>
          <w:rFonts w:cs="Times New Roman"/>
          <w:color w:val="000000" w:themeColor="text1"/>
        </w:rPr>
      </w:pPr>
      <w:r w:rsidRPr="007F77C5">
        <w:rPr>
          <w:rFonts w:cs="Times New Roman"/>
          <w:color w:val="000000" w:themeColor="text1"/>
        </w:rPr>
        <w:t xml:space="preserve">Controlled Environment Agriculture (CEA) is a technique that uses a physical structure to control the growing environment of a crop </w:t>
      </w:r>
      <w:r w:rsidRPr="007F77C5">
        <w:rPr>
          <w:rFonts w:cs="Times New Roman"/>
          <w:noProof/>
          <w:color w:val="000000" w:themeColor="text1"/>
        </w:rPr>
        <w:t>(</w:t>
      </w:r>
      <w:r w:rsidRPr="007F77C5">
        <w:rPr>
          <w:rFonts w:cs="Times New Roman"/>
        </w:rPr>
        <w:t>Massa et al., 2008</w:t>
      </w:r>
      <w:r w:rsidRPr="007F77C5">
        <w:rPr>
          <w:rFonts w:cs="Times New Roman"/>
          <w:noProof/>
          <w:color w:val="000000" w:themeColor="text1"/>
        </w:rPr>
        <w:t xml:space="preserve">; </w:t>
      </w:r>
      <w:r w:rsidRPr="007F77C5">
        <w:rPr>
          <w:rFonts w:cs="Times New Roman"/>
        </w:rPr>
        <w:t>Mccartney and Lefsrud, 2018</w:t>
      </w:r>
      <w:r w:rsidRPr="007F77C5">
        <w:rPr>
          <w:rFonts w:cs="Times New Roman"/>
          <w:noProof/>
          <w:color w:val="000000" w:themeColor="text1"/>
        </w:rPr>
        <w:t>)</w:t>
      </w:r>
      <w:r w:rsidRPr="007F77C5">
        <w:rPr>
          <w:rFonts w:cs="Times New Roman"/>
          <w:color w:val="000000" w:themeColor="text1"/>
        </w:rPr>
        <w:t xml:space="preserve">. This can include covered rows, high tunnels, greenhouses, indoor growing chambers, vertical farms, and urban agriculture. Improvements in technology, along with many years of research and collaboration, have transformed basic coverings and structures into modern-day optimized plant factories </w:t>
      </w:r>
      <w:r w:rsidRPr="007F77C5">
        <w:rPr>
          <w:rFonts w:cs="Times New Roman"/>
          <w:noProof/>
          <w:color w:val="000000" w:themeColor="text1"/>
        </w:rPr>
        <w:t>(</w:t>
      </w:r>
      <w:r w:rsidRPr="007F77C5">
        <w:rPr>
          <w:rFonts w:cs="Times New Roman"/>
        </w:rPr>
        <w:t>Craver et al., 2019</w:t>
      </w:r>
      <w:r w:rsidRPr="007F77C5">
        <w:rPr>
          <w:rFonts w:cs="Times New Roman"/>
          <w:noProof/>
          <w:color w:val="000000" w:themeColor="text1"/>
        </w:rPr>
        <w:t xml:space="preserve">; </w:t>
      </w:r>
      <w:r w:rsidRPr="007F77C5">
        <w:rPr>
          <w:rFonts w:cs="Times New Roman"/>
        </w:rPr>
        <w:t>Engler and Krarti, 2021</w:t>
      </w:r>
      <w:r w:rsidRPr="007F77C5">
        <w:rPr>
          <w:rFonts w:cs="Times New Roman"/>
          <w:noProof/>
          <w:color w:val="000000" w:themeColor="text1"/>
        </w:rPr>
        <w:t xml:space="preserve">; </w:t>
      </w:r>
      <w:r w:rsidRPr="007F77C5">
        <w:rPr>
          <w:rFonts w:cs="Times New Roman"/>
        </w:rPr>
        <w:t>Mccartney and Lefsrud, 2018</w:t>
      </w:r>
      <w:r w:rsidRPr="007F77C5">
        <w:rPr>
          <w:rFonts w:cs="Times New Roman"/>
          <w:noProof/>
          <w:color w:val="000000" w:themeColor="text1"/>
        </w:rPr>
        <w:t xml:space="preserve">; </w:t>
      </w:r>
      <w:r w:rsidRPr="007F77C5">
        <w:rPr>
          <w:rFonts w:cs="Times New Roman"/>
        </w:rPr>
        <w:t>Mitchell, 2022</w:t>
      </w:r>
      <w:r w:rsidRPr="007F77C5">
        <w:rPr>
          <w:rFonts w:cs="Times New Roman"/>
          <w:noProof/>
          <w:color w:val="000000" w:themeColor="text1"/>
        </w:rPr>
        <w:t>)</w:t>
      </w:r>
      <w:r w:rsidRPr="007F77C5">
        <w:rPr>
          <w:rFonts w:cs="Times New Roman"/>
          <w:color w:val="000000" w:themeColor="text1"/>
        </w:rPr>
        <w:t>.</w:t>
      </w:r>
    </w:p>
    <w:p w14:paraId="2FFD3506" w14:textId="77777777" w:rsidR="00126D8D" w:rsidRPr="007F77C5" w:rsidRDefault="00126D8D" w:rsidP="00224B41">
      <w:pPr>
        <w:ind w:firstLine="720"/>
        <w:jc w:val="both"/>
        <w:rPr>
          <w:rFonts w:cs="Times New Roman"/>
          <w:color w:val="000000" w:themeColor="text1"/>
        </w:rPr>
      </w:pPr>
      <w:r w:rsidRPr="007F77C5">
        <w:rPr>
          <w:rFonts w:cs="Times New Roman"/>
          <w:color w:val="000000" w:themeColor="text1"/>
        </w:rPr>
        <w:t xml:space="preserve">Humans have used coverings to protect plants and improve the yields of crops for centuries </w:t>
      </w:r>
      <w:r w:rsidRPr="007F77C5">
        <w:rPr>
          <w:rFonts w:cs="Times New Roman"/>
          <w:noProof/>
          <w:color w:val="000000" w:themeColor="text1"/>
        </w:rPr>
        <w:t>(</w:t>
      </w:r>
      <w:r w:rsidRPr="007F77C5">
        <w:rPr>
          <w:rFonts w:cs="Times New Roman"/>
        </w:rPr>
        <w:t>Mitchell, 2022</w:t>
      </w:r>
      <w:r w:rsidRPr="007F77C5">
        <w:rPr>
          <w:rFonts w:cs="Times New Roman"/>
          <w:noProof/>
          <w:color w:val="000000" w:themeColor="text1"/>
        </w:rPr>
        <w:t>)</w:t>
      </w:r>
      <w:r w:rsidRPr="007F77C5">
        <w:rPr>
          <w:rFonts w:cs="Times New Roman"/>
          <w:color w:val="000000" w:themeColor="text1"/>
        </w:rPr>
        <w:t xml:space="preserve">. The origins of American CEA research can be traced to the early 1900s, with the work of Liberty Hyde Bailey, a renowned horticulturist. Bailey was one of the first to conduct experiments using glass greenhouses to improve crop growth and advocated for their use in agricultural production. His work (and his creation of the American Society for Horticultural Science) was just one of the many global contributions that have sought to develop new techniques for improving crop production in controlled environments. CEA has progressed significantly since the early days of Bailey's greenhouse experiments </w:t>
      </w:r>
      <w:r w:rsidRPr="007F77C5">
        <w:rPr>
          <w:rFonts w:cs="Times New Roman"/>
          <w:noProof/>
          <w:color w:val="000000" w:themeColor="text1"/>
        </w:rPr>
        <w:t>(</w:t>
      </w:r>
      <w:r w:rsidRPr="007F77C5">
        <w:rPr>
          <w:rFonts w:cs="Times New Roman"/>
        </w:rPr>
        <w:t>Ramin Shamshiri et al., 2018</w:t>
      </w:r>
      <w:r w:rsidRPr="007F77C5">
        <w:rPr>
          <w:rFonts w:cs="Times New Roman"/>
          <w:noProof/>
          <w:color w:val="000000" w:themeColor="text1"/>
        </w:rPr>
        <w:t xml:space="preserve">; </w:t>
      </w:r>
      <w:r w:rsidRPr="007F77C5">
        <w:rPr>
          <w:rFonts w:cs="Times New Roman"/>
        </w:rPr>
        <w:t>Van Delden et al., 2021</w:t>
      </w:r>
      <w:r w:rsidRPr="007F77C5">
        <w:rPr>
          <w:rFonts w:cs="Times New Roman"/>
          <w:noProof/>
          <w:color w:val="000000" w:themeColor="text1"/>
        </w:rPr>
        <w:t>)</w:t>
      </w:r>
      <w:r w:rsidRPr="007F77C5">
        <w:rPr>
          <w:rFonts w:cs="Times New Roman"/>
          <w:color w:val="000000" w:themeColor="text1"/>
        </w:rPr>
        <w:t xml:space="preserve">. Modern CEA systems can produce a wide range of crops, including fruits, vegetables, herbs, and flowers. Some of the most commonly grown crops in CEA systems include tomatoes, cucumbers, lettuce, and peppers </w:t>
      </w:r>
      <w:r w:rsidRPr="007F77C5">
        <w:rPr>
          <w:rFonts w:cs="Times New Roman"/>
          <w:noProof/>
          <w:color w:val="000000" w:themeColor="text1"/>
        </w:rPr>
        <w:t>(</w:t>
      </w:r>
      <w:r w:rsidRPr="007F77C5">
        <w:rPr>
          <w:rFonts w:cs="Times New Roman"/>
        </w:rPr>
        <w:t>Dou et al., 2017</w:t>
      </w:r>
      <w:r w:rsidRPr="007F77C5">
        <w:rPr>
          <w:rFonts w:cs="Times New Roman"/>
          <w:noProof/>
          <w:color w:val="000000" w:themeColor="text1"/>
        </w:rPr>
        <w:t xml:space="preserve">; </w:t>
      </w:r>
      <w:r w:rsidRPr="007F77C5">
        <w:rPr>
          <w:rFonts w:cs="Times New Roman"/>
        </w:rPr>
        <w:t>Engler and Krarti, 2021</w:t>
      </w:r>
      <w:r w:rsidRPr="007F77C5">
        <w:rPr>
          <w:rFonts w:cs="Times New Roman"/>
          <w:noProof/>
          <w:color w:val="000000" w:themeColor="text1"/>
        </w:rPr>
        <w:t xml:space="preserve">; </w:t>
      </w:r>
      <w:r w:rsidRPr="007F77C5">
        <w:rPr>
          <w:rFonts w:cs="Times New Roman"/>
        </w:rPr>
        <w:t>Massa et al., 2008</w:t>
      </w:r>
      <w:r w:rsidRPr="007F77C5">
        <w:rPr>
          <w:rFonts w:cs="Times New Roman"/>
          <w:noProof/>
          <w:color w:val="000000" w:themeColor="text1"/>
        </w:rPr>
        <w:t xml:space="preserve">; </w:t>
      </w:r>
      <w:r w:rsidRPr="007F77C5">
        <w:rPr>
          <w:rFonts w:cs="Times New Roman"/>
        </w:rPr>
        <w:t>Mccartney and Lefsrud, 2018</w:t>
      </w:r>
      <w:r w:rsidRPr="007F77C5">
        <w:rPr>
          <w:rFonts w:cs="Times New Roman"/>
          <w:noProof/>
          <w:color w:val="000000" w:themeColor="text1"/>
        </w:rPr>
        <w:t xml:space="preserve">; </w:t>
      </w:r>
      <w:r w:rsidRPr="007F77C5">
        <w:rPr>
          <w:rFonts w:cs="Times New Roman"/>
        </w:rPr>
        <w:t>Mitchell, 2022</w:t>
      </w:r>
      <w:r w:rsidRPr="007F77C5">
        <w:rPr>
          <w:rFonts w:cs="Times New Roman"/>
          <w:noProof/>
          <w:color w:val="000000" w:themeColor="text1"/>
        </w:rPr>
        <w:t xml:space="preserve">; </w:t>
      </w:r>
      <w:r w:rsidRPr="007F77C5">
        <w:rPr>
          <w:rFonts w:cs="Times New Roman"/>
        </w:rPr>
        <w:t>Modarelli et al., 2022</w:t>
      </w:r>
      <w:r w:rsidRPr="007F77C5">
        <w:rPr>
          <w:rFonts w:cs="Times New Roman"/>
          <w:noProof/>
          <w:color w:val="000000" w:themeColor="text1"/>
        </w:rPr>
        <w:t>)</w:t>
      </w:r>
      <w:r w:rsidRPr="007F77C5">
        <w:rPr>
          <w:rFonts w:cs="Times New Roman"/>
          <w:color w:val="000000" w:themeColor="text1"/>
        </w:rPr>
        <w:t>.</w:t>
      </w:r>
    </w:p>
    <w:p w14:paraId="1FE7E5D2" w14:textId="524256F0" w:rsidR="00126D8D" w:rsidRPr="007F77C5" w:rsidRDefault="00126D8D" w:rsidP="00224B41">
      <w:pPr>
        <w:ind w:firstLine="720"/>
        <w:jc w:val="both"/>
        <w:rPr>
          <w:rFonts w:cs="Times New Roman"/>
          <w:color w:val="000000" w:themeColor="text1"/>
        </w:rPr>
      </w:pPr>
      <w:r w:rsidRPr="007F77C5">
        <w:rPr>
          <w:rFonts w:cs="Times New Roman"/>
          <w:color w:val="000000" w:themeColor="text1"/>
        </w:rPr>
        <w:t xml:space="preserve">CEA involves various disciplines, including plant science, engineering, physics, chemistry, and computer science </w:t>
      </w:r>
      <w:r w:rsidRPr="007F77C5">
        <w:rPr>
          <w:rFonts w:cs="Times New Roman"/>
          <w:noProof/>
          <w:color w:val="000000" w:themeColor="text1"/>
        </w:rPr>
        <w:t>(</w:t>
      </w:r>
      <w:r w:rsidRPr="007F77C5">
        <w:rPr>
          <w:rFonts w:cs="Times New Roman"/>
        </w:rPr>
        <w:t>Engler and Krarti, 2021</w:t>
      </w:r>
      <w:r w:rsidRPr="007F77C5">
        <w:rPr>
          <w:rFonts w:cs="Times New Roman"/>
          <w:noProof/>
          <w:color w:val="000000" w:themeColor="text1"/>
        </w:rPr>
        <w:t xml:space="preserve">; </w:t>
      </w:r>
      <w:r w:rsidRPr="007F77C5">
        <w:rPr>
          <w:rFonts w:cs="Times New Roman"/>
        </w:rPr>
        <w:t>Gómez et al., 2019</w:t>
      </w:r>
      <w:r w:rsidRPr="007F77C5">
        <w:rPr>
          <w:rFonts w:cs="Times New Roman"/>
          <w:noProof/>
          <w:color w:val="000000" w:themeColor="text1"/>
        </w:rPr>
        <w:t xml:space="preserve">; </w:t>
      </w:r>
      <w:r w:rsidRPr="007F77C5">
        <w:rPr>
          <w:rFonts w:cs="Times New Roman"/>
        </w:rPr>
        <w:t>Mitchell, 2004</w:t>
      </w:r>
      <w:r w:rsidRPr="007F77C5">
        <w:rPr>
          <w:rFonts w:cs="Times New Roman"/>
          <w:noProof/>
          <w:color w:val="000000" w:themeColor="text1"/>
        </w:rPr>
        <w:t>)</w:t>
      </w:r>
      <w:r w:rsidRPr="007F77C5">
        <w:rPr>
          <w:rFonts w:cs="Times New Roman"/>
          <w:color w:val="000000" w:themeColor="text1"/>
        </w:rPr>
        <w:t xml:space="preserve">. Some of the typical environmental parameters that can be controlled include temperature, humidity, light, </w:t>
      </w:r>
      <w:r w:rsidRPr="007F77C5">
        <w:rPr>
          <w:rFonts w:cs="Times New Roman"/>
          <w:color w:val="000000" w:themeColor="text1"/>
        </w:rPr>
        <w:lastRenderedPageBreak/>
        <w:t xml:space="preserve">moisture, nutrients, airflow, carbon dioxide (CO2) concentrations, and light (intensity, spectral quality, duration) </w:t>
      </w:r>
      <w:r w:rsidRPr="007F77C5">
        <w:rPr>
          <w:rFonts w:cs="Times New Roman"/>
          <w:noProof/>
          <w:color w:val="000000" w:themeColor="text1"/>
        </w:rPr>
        <w:t>(</w:t>
      </w:r>
      <w:r w:rsidRPr="007F77C5">
        <w:rPr>
          <w:rFonts w:cs="Times New Roman"/>
        </w:rPr>
        <w:t>Craver et al., 2019</w:t>
      </w:r>
      <w:r w:rsidRPr="007F77C5">
        <w:rPr>
          <w:rFonts w:cs="Times New Roman"/>
          <w:noProof/>
          <w:color w:val="000000" w:themeColor="text1"/>
        </w:rPr>
        <w:t xml:space="preserve">; </w:t>
      </w:r>
      <w:r w:rsidRPr="007F77C5">
        <w:rPr>
          <w:rFonts w:cs="Times New Roman"/>
        </w:rPr>
        <w:t>Engler and Krarti, 2021</w:t>
      </w:r>
      <w:r w:rsidRPr="007F77C5">
        <w:rPr>
          <w:rFonts w:cs="Times New Roman"/>
          <w:noProof/>
          <w:color w:val="000000" w:themeColor="text1"/>
        </w:rPr>
        <w:t xml:space="preserve">; </w:t>
      </w:r>
      <w:r w:rsidRPr="007F77C5">
        <w:rPr>
          <w:rFonts w:cs="Times New Roman"/>
        </w:rPr>
        <w:t>Mc</w:t>
      </w:r>
      <w:r w:rsidR="00E94DE1">
        <w:rPr>
          <w:rFonts w:cs="Times New Roman"/>
        </w:rPr>
        <w:t>c</w:t>
      </w:r>
      <w:r w:rsidRPr="007F77C5">
        <w:rPr>
          <w:rFonts w:cs="Times New Roman"/>
        </w:rPr>
        <w:t>artney and Lefsrud, 2018</w:t>
      </w:r>
      <w:r w:rsidRPr="007F77C5">
        <w:rPr>
          <w:rFonts w:cs="Times New Roman"/>
          <w:noProof/>
          <w:color w:val="000000" w:themeColor="text1"/>
        </w:rPr>
        <w:t>)</w:t>
      </w:r>
      <w:r w:rsidRPr="007F77C5">
        <w:rPr>
          <w:rFonts w:cs="Times New Roman"/>
          <w:color w:val="000000" w:themeColor="text1"/>
        </w:rPr>
        <w:t xml:space="preserve">. The physical structure, system specifications, and goals of the CEA operation (such as research, commercial production, etc.) directly impact the level of control/tolerance for the management of each environmental parameter </w:t>
      </w:r>
      <w:r w:rsidRPr="007F77C5">
        <w:rPr>
          <w:rFonts w:cs="Times New Roman"/>
          <w:noProof/>
          <w:color w:val="000000" w:themeColor="text1"/>
        </w:rPr>
        <w:t>(</w:t>
      </w:r>
      <w:r w:rsidRPr="007F77C5">
        <w:rPr>
          <w:rFonts w:cs="Times New Roman"/>
        </w:rPr>
        <w:t>Mccartney and Lefsrud, 2018</w:t>
      </w:r>
      <w:r w:rsidRPr="007F77C5">
        <w:rPr>
          <w:rFonts w:cs="Times New Roman"/>
          <w:noProof/>
          <w:color w:val="000000" w:themeColor="text1"/>
        </w:rPr>
        <w:t>)</w:t>
      </w:r>
      <w:r w:rsidRPr="007F77C5">
        <w:rPr>
          <w:rFonts w:cs="Times New Roman"/>
          <w:color w:val="000000" w:themeColor="text1"/>
        </w:rPr>
        <w:t xml:space="preserve">. It is possible to precisely control each parameter and fully optimize the environment to enhance the growth and development of a specific crop. On the other hand, a more practical approach for a commercial CEA operation would be to economically control the growing environment for a specific crop in order to make a profit.  It has been well established that changing the environment of an organism will change its genetic expression, and this can be used to enhance specific quality traits </w:t>
      </w:r>
      <w:r w:rsidRPr="007F77C5">
        <w:rPr>
          <w:rFonts w:cs="Times New Roman"/>
          <w:noProof/>
          <w:color w:val="000000" w:themeColor="text1"/>
        </w:rPr>
        <w:t>(</w:t>
      </w:r>
      <w:r w:rsidRPr="007F77C5">
        <w:rPr>
          <w:rFonts w:cs="Times New Roman"/>
        </w:rPr>
        <w:t>Olle and Viršile, 2013</w:t>
      </w:r>
      <w:r w:rsidRPr="007F77C5">
        <w:rPr>
          <w:rFonts w:cs="Times New Roman"/>
          <w:noProof/>
          <w:color w:val="000000" w:themeColor="text1"/>
        </w:rPr>
        <w:t xml:space="preserve">; </w:t>
      </w:r>
      <w:r w:rsidRPr="007F77C5">
        <w:rPr>
          <w:rFonts w:cs="Times New Roman"/>
        </w:rPr>
        <w:t>Paradiso and Proietti, 2021</w:t>
      </w:r>
      <w:r w:rsidRPr="007F77C5">
        <w:rPr>
          <w:rFonts w:cs="Times New Roman"/>
          <w:noProof/>
          <w:color w:val="000000" w:themeColor="text1"/>
        </w:rPr>
        <w:t xml:space="preserve">; </w:t>
      </w:r>
      <w:r w:rsidRPr="007F77C5">
        <w:rPr>
          <w:rFonts w:cs="Times New Roman"/>
        </w:rPr>
        <w:t>Samuoliene et al., 2012</w:t>
      </w:r>
      <w:r w:rsidRPr="007F77C5">
        <w:rPr>
          <w:rFonts w:cs="Times New Roman"/>
          <w:noProof/>
          <w:color w:val="000000" w:themeColor="text1"/>
        </w:rPr>
        <w:t xml:space="preserve">; </w:t>
      </w:r>
      <w:r w:rsidRPr="007F77C5">
        <w:rPr>
          <w:rFonts w:cs="Times New Roman"/>
        </w:rPr>
        <w:t>Santin et al., 2021</w:t>
      </w:r>
      <w:r w:rsidRPr="007F77C5">
        <w:rPr>
          <w:rFonts w:cs="Times New Roman"/>
          <w:noProof/>
          <w:color w:val="000000" w:themeColor="text1"/>
        </w:rPr>
        <w:t xml:space="preserve">; </w:t>
      </w:r>
      <w:r w:rsidRPr="007F77C5">
        <w:rPr>
          <w:rFonts w:cs="Times New Roman"/>
        </w:rPr>
        <w:t>Singh et al., 2015</w:t>
      </w:r>
      <w:r w:rsidRPr="007F77C5">
        <w:rPr>
          <w:rFonts w:cs="Times New Roman"/>
          <w:noProof/>
          <w:color w:val="000000" w:themeColor="text1"/>
        </w:rPr>
        <w:t xml:space="preserve">; </w:t>
      </w:r>
      <w:r w:rsidRPr="007F77C5">
        <w:rPr>
          <w:rFonts w:cs="Times New Roman"/>
        </w:rPr>
        <w:t>Stagnari et al., 2018</w:t>
      </w:r>
      <w:r w:rsidRPr="007F77C5">
        <w:rPr>
          <w:rFonts w:cs="Times New Roman"/>
          <w:noProof/>
          <w:color w:val="000000" w:themeColor="text1"/>
        </w:rPr>
        <w:t xml:space="preserve">; </w:t>
      </w:r>
      <w:r w:rsidRPr="007F77C5">
        <w:rPr>
          <w:rFonts w:cs="Times New Roman"/>
        </w:rPr>
        <w:t>Tan et al., 2020</w:t>
      </w:r>
      <w:r w:rsidRPr="007F77C5">
        <w:rPr>
          <w:rFonts w:cs="Times New Roman"/>
          <w:noProof/>
          <w:color w:val="000000" w:themeColor="text1"/>
        </w:rPr>
        <w:t xml:space="preserve">; </w:t>
      </w:r>
      <w:r w:rsidRPr="007F77C5">
        <w:rPr>
          <w:rFonts w:cs="Times New Roman"/>
        </w:rPr>
        <w:t>Tuan et al., 2013</w:t>
      </w:r>
      <w:r w:rsidRPr="007F77C5">
        <w:rPr>
          <w:rFonts w:cs="Times New Roman"/>
          <w:noProof/>
          <w:color w:val="000000" w:themeColor="text1"/>
        </w:rPr>
        <w:t xml:space="preserve">; </w:t>
      </w:r>
      <w:r w:rsidRPr="007F77C5">
        <w:rPr>
          <w:rFonts w:cs="Times New Roman"/>
        </w:rPr>
        <w:t>Turner, 2009</w:t>
      </w:r>
      <w:r w:rsidRPr="007F77C5">
        <w:rPr>
          <w:rFonts w:cs="Times New Roman"/>
          <w:noProof/>
          <w:color w:val="000000" w:themeColor="text1"/>
        </w:rPr>
        <w:t>)</w:t>
      </w:r>
      <w:r w:rsidRPr="007F77C5">
        <w:rPr>
          <w:rFonts w:cs="Times New Roman"/>
          <w:color w:val="000000" w:themeColor="text1"/>
        </w:rPr>
        <w:t xml:space="preserve">. </w:t>
      </w:r>
    </w:p>
    <w:p w14:paraId="1E687D70" w14:textId="77777777" w:rsidR="00126D8D" w:rsidRPr="007F77C5" w:rsidRDefault="00126D8D" w:rsidP="00224B41">
      <w:pPr>
        <w:ind w:firstLine="720"/>
        <w:jc w:val="both"/>
        <w:rPr>
          <w:rFonts w:cs="Times New Roman"/>
          <w:color w:val="000000" w:themeColor="text1"/>
        </w:rPr>
      </w:pPr>
      <w:r w:rsidRPr="007F77C5">
        <w:rPr>
          <w:rFonts w:cs="Times New Roman"/>
          <w:color w:val="000000" w:themeColor="text1"/>
        </w:rPr>
        <w:t xml:space="preserve">Practically any crop can be grown using CEA, but some are more economical than others. High-value specialty crops, such as small fruits/vegetables, herbs, etc., are prevalent in a variety of CEA systems (e.g., high tunnels, glass greenhouses, vertical farms, etc.) and are grown in both soil and soilless substrates </w:t>
      </w:r>
      <w:r w:rsidRPr="007F77C5">
        <w:rPr>
          <w:rFonts w:cs="Times New Roman"/>
          <w:noProof/>
          <w:color w:val="000000" w:themeColor="text1"/>
        </w:rPr>
        <w:t>(</w:t>
      </w:r>
      <w:r w:rsidRPr="007F77C5">
        <w:rPr>
          <w:rFonts w:cs="Times New Roman"/>
        </w:rPr>
        <w:t>El-Ramady et al., 2020</w:t>
      </w:r>
      <w:r w:rsidRPr="007F77C5">
        <w:rPr>
          <w:rFonts w:cs="Times New Roman"/>
          <w:noProof/>
          <w:color w:val="000000" w:themeColor="text1"/>
        </w:rPr>
        <w:t xml:space="preserve">; </w:t>
      </w:r>
      <w:r w:rsidRPr="007F77C5">
        <w:rPr>
          <w:rFonts w:cs="Times New Roman"/>
        </w:rPr>
        <w:t>Larsen et al., 2020</w:t>
      </w:r>
      <w:r w:rsidRPr="007F77C5">
        <w:rPr>
          <w:rFonts w:cs="Times New Roman"/>
          <w:noProof/>
          <w:color w:val="000000" w:themeColor="text1"/>
        </w:rPr>
        <w:t xml:space="preserve">; </w:t>
      </w:r>
      <w:r w:rsidRPr="007F77C5">
        <w:rPr>
          <w:rFonts w:cs="Times New Roman"/>
        </w:rPr>
        <w:t>Mccartney and Lefsrud, 2018</w:t>
      </w:r>
      <w:r w:rsidRPr="007F77C5">
        <w:rPr>
          <w:rFonts w:cs="Times New Roman"/>
          <w:noProof/>
          <w:color w:val="000000" w:themeColor="text1"/>
        </w:rPr>
        <w:t>)</w:t>
      </w:r>
      <w:r w:rsidRPr="007F77C5">
        <w:rPr>
          <w:rFonts w:cs="Times New Roman"/>
          <w:color w:val="000000" w:themeColor="text1"/>
        </w:rPr>
        <w:t xml:space="preserve">. Supplemental lighting (SL) has become more prevalent in some CEA systems (i.e., greenhouses), which has prompted significant research efforts to determine optimal lighting intensity, quality, duration, and electrical efficiency </w:t>
      </w:r>
      <w:r w:rsidRPr="007F77C5">
        <w:rPr>
          <w:rFonts w:cs="Times New Roman"/>
          <w:noProof/>
          <w:color w:val="000000" w:themeColor="text1"/>
        </w:rPr>
        <w:t>(</w:t>
      </w:r>
      <w:r w:rsidRPr="007F77C5">
        <w:rPr>
          <w:rFonts w:cs="Times New Roman"/>
        </w:rPr>
        <w:t>Craver et al., 2019</w:t>
      </w:r>
      <w:r w:rsidRPr="007F77C5">
        <w:rPr>
          <w:rFonts w:cs="Times New Roman"/>
          <w:noProof/>
          <w:color w:val="000000" w:themeColor="text1"/>
        </w:rPr>
        <w:t xml:space="preserve">; </w:t>
      </w:r>
      <w:r w:rsidRPr="007F77C5">
        <w:rPr>
          <w:rFonts w:cs="Times New Roman"/>
        </w:rPr>
        <w:t>Jiang et al., 2020</w:t>
      </w:r>
      <w:r w:rsidRPr="007F77C5">
        <w:rPr>
          <w:rFonts w:cs="Times New Roman"/>
          <w:noProof/>
          <w:color w:val="000000" w:themeColor="text1"/>
        </w:rPr>
        <w:t xml:space="preserve">; </w:t>
      </w:r>
      <w:r w:rsidRPr="007F77C5">
        <w:rPr>
          <w:rFonts w:cs="Times New Roman"/>
        </w:rPr>
        <w:t>Randall and Lopez, 2014</w:t>
      </w:r>
      <w:r w:rsidRPr="007F77C5">
        <w:rPr>
          <w:rFonts w:cs="Times New Roman"/>
          <w:noProof/>
          <w:color w:val="000000" w:themeColor="text1"/>
        </w:rPr>
        <w:t xml:space="preserve">; </w:t>
      </w:r>
      <w:r w:rsidRPr="007F77C5">
        <w:rPr>
          <w:rFonts w:cs="Times New Roman"/>
        </w:rPr>
        <w:t>Singh et al., 2015</w:t>
      </w:r>
      <w:r w:rsidRPr="007F77C5">
        <w:rPr>
          <w:rFonts w:cs="Times New Roman"/>
          <w:noProof/>
          <w:color w:val="000000" w:themeColor="text1"/>
        </w:rPr>
        <w:t>)</w:t>
      </w:r>
      <w:r w:rsidRPr="007F77C5">
        <w:rPr>
          <w:rFonts w:cs="Times New Roman"/>
          <w:color w:val="000000" w:themeColor="text1"/>
        </w:rPr>
        <w:t xml:space="preserve">. There can be many variations in the type of systems used to control the environment, deliver nutrients, and provide all the requirements for unhindered and sustainable growth </w:t>
      </w:r>
      <w:r w:rsidRPr="007F77C5">
        <w:rPr>
          <w:rFonts w:cs="Times New Roman"/>
          <w:noProof/>
          <w:color w:val="000000" w:themeColor="text1"/>
        </w:rPr>
        <w:t>(</w:t>
      </w:r>
      <w:r w:rsidRPr="007F77C5">
        <w:rPr>
          <w:rFonts w:cs="Times New Roman"/>
        </w:rPr>
        <w:t>Benke and Tomkins, 2017</w:t>
      </w:r>
      <w:r w:rsidRPr="007F77C5">
        <w:rPr>
          <w:rFonts w:cs="Times New Roman"/>
          <w:noProof/>
          <w:color w:val="000000" w:themeColor="text1"/>
        </w:rPr>
        <w:t xml:space="preserve">; </w:t>
      </w:r>
      <w:r w:rsidRPr="007F77C5">
        <w:rPr>
          <w:rFonts w:cs="Times New Roman"/>
        </w:rPr>
        <w:t>Mccartney and Lefsrud, 2018</w:t>
      </w:r>
      <w:r w:rsidRPr="007F77C5">
        <w:rPr>
          <w:rFonts w:cs="Times New Roman"/>
          <w:noProof/>
          <w:color w:val="000000" w:themeColor="text1"/>
        </w:rPr>
        <w:t xml:space="preserve">; </w:t>
      </w:r>
      <w:r w:rsidRPr="007F77C5">
        <w:rPr>
          <w:rFonts w:cs="Times New Roman"/>
        </w:rPr>
        <w:t>Mitchell, 2004</w:t>
      </w:r>
      <w:r w:rsidRPr="007F77C5">
        <w:rPr>
          <w:rFonts w:cs="Times New Roman"/>
          <w:noProof/>
          <w:color w:val="000000" w:themeColor="text1"/>
        </w:rPr>
        <w:t>)</w:t>
      </w:r>
      <w:r w:rsidRPr="007F77C5">
        <w:rPr>
          <w:rFonts w:cs="Times New Roman"/>
          <w:color w:val="000000" w:themeColor="text1"/>
        </w:rPr>
        <w:t xml:space="preserve">. </w:t>
      </w:r>
      <w:r w:rsidRPr="007F77C5">
        <w:rPr>
          <w:rFonts w:cs="Times New Roman"/>
          <w:color w:val="000000" w:themeColor="text1"/>
        </w:rPr>
        <w:lastRenderedPageBreak/>
        <w:t xml:space="preserve">Designing a CEA system, each parameter's variable control and required tolerances on a particular crop's demands should be considered </w:t>
      </w:r>
      <w:r w:rsidRPr="007F77C5">
        <w:rPr>
          <w:rFonts w:cs="Times New Roman"/>
          <w:noProof/>
          <w:color w:val="000000" w:themeColor="text1"/>
        </w:rPr>
        <w:t>(</w:t>
      </w:r>
      <w:r w:rsidRPr="007F77C5">
        <w:rPr>
          <w:rFonts w:cs="Times New Roman"/>
        </w:rPr>
        <w:t>Engler and Krarti, 2021</w:t>
      </w:r>
      <w:r w:rsidRPr="007F77C5">
        <w:rPr>
          <w:rFonts w:cs="Times New Roman"/>
          <w:noProof/>
          <w:color w:val="000000" w:themeColor="text1"/>
        </w:rPr>
        <w:t>)</w:t>
      </w:r>
      <w:r w:rsidRPr="007F77C5">
        <w:rPr>
          <w:rFonts w:cs="Times New Roman"/>
          <w:color w:val="000000" w:themeColor="text1"/>
        </w:rPr>
        <w:t xml:space="preserve">. </w:t>
      </w:r>
    </w:p>
    <w:p w14:paraId="29A0E47E" w14:textId="77777777" w:rsidR="00126D8D" w:rsidRPr="007F77C5" w:rsidRDefault="00126D8D" w:rsidP="00224B41">
      <w:pPr>
        <w:ind w:firstLine="720"/>
        <w:jc w:val="both"/>
        <w:rPr>
          <w:rFonts w:cs="Times New Roman"/>
          <w:color w:val="000000" w:themeColor="text1"/>
        </w:rPr>
      </w:pPr>
      <w:r w:rsidRPr="007F77C5">
        <w:rPr>
          <w:rFonts w:cs="Times New Roman"/>
          <w:color w:val="000000" w:themeColor="text1"/>
        </w:rPr>
        <w:t xml:space="preserve">Vertical farms and plant factories have steadily gained popularity since the early 2000s </w:t>
      </w:r>
      <w:r w:rsidRPr="007F77C5">
        <w:rPr>
          <w:rFonts w:cs="Times New Roman"/>
          <w:noProof/>
          <w:color w:val="000000" w:themeColor="text1"/>
        </w:rPr>
        <w:t>(</w:t>
      </w:r>
      <w:r w:rsidRPr="007F77C5">
        <w:rPr>
          <w:rFonts w:cs="Times New Roman"/>
        </w:rPr>
        <w:t>Benke and Tomkins, 2017</w:t>
      </w:r>
      <w:r w:rsidRPr="007F77C5">
        <w:rPr>
          <w:rFonts w:cs="Times New Roman"/>
          <w:noProof/>
          <w:color w:val="000000" w:themeColor="text1"/>
        </w:rPr>
        <w:t xml:space="preserve">; </w:t>
      </w:r>
      <w:r w:rsidRPr="007F77C5">
        <w:rPr>
          <w:rFonts w:cs="Times New Roman"/>
        </w:rPr>
        <w:t>Engler and Krarti, 2021</w:t>
      </w:r>
      <w:r w:rsidRPr="007F77C5">
        <w:rPr>
          <w:rFonts w:cs="Times New Roman"/>
          <w:noProof/>
          <w:color w:val="000000" w:themeColor="text1"/>
        </w:rPr>
        <w:t>)</w:t>
      </w:r>
      <w:r w:rsidRPr="007F77C5">
        <w:rPr>
          <w:rFonts w:cs="Times New Roman"/>
          <w:color w:val="000000" w:themeColor="text1"/>
        </w:rPr>
        <w:t xml:space="preserve">. This is due to several factors, which involve advancements in technology, economics, and sustainability </w:t>
      </w:r>
      <w:r w:rsidRPr="007F77C5">
        <w:rPr>
          <w:rFonts w:cs="Times New Roman"/>
          <w:noProof/>
          <w:color w:val="000000" w:themeColor="text1"/>
        </w:rPr>
        <w:t>(</w:t>
      </w:r>
      <w:r w:rsidRPr="007F77C5">
        <w:rPr>
          <w:rFonts w:cs="Times New Roman"/>
        </w:rPr>
        <w:t>Engler and Krarti, 2021</w:t>
      </w:r>
      <w:r w:rsidRPr="007F77C5">
        <w:rPr>
          <w:rFonts w:cs="Times New Roman"/>
          <w:noProof/>
          <w:color w:val="000000" w:themeColor="text1"/>
        </w:rPr>
        <w:t xml:space="preserve">; </w:t>
      </w:r>
      <w:r w:rsidRPr="007F77C5">
        <w:rPr>
          <w:rFonts w:cs="Times New Roman"/>
        </w:rPr>
        <w:t>Larsen et al., 2020</w:t>
      </w:r>
      <w:r w:rsidRPr="007F77C5">
        <w:rPr>
          <w:rFonts w:cs="Times New Roman"/>
          <w:noProof/>
          <w:color w:val="000000" w:themeColor="text1"/>
        </w:rPr>
        <w:t xml:space="preserve">; </w:t>
      </w:r>
      <w:r w:rsidRPr="007F77C5">
        <w:rPr>
          <w:rFonts w:cs="Times New Roman"/>
        </w:rPr>
        <w:t>Mccartney and Lefsrud, 2018</w:t>
      </w:r>
      <w:r w:rsidRPr="007F77C5">
        <w:rPr>
          <w:rFonts w:cs="Times New Roman"/>
          <w:noProof/>
          <w:color w:val="000000" w:themeColor="text1"/>
        </w:rPr>
        <w:t xml:space="preserve">; </w:t>
      </w:r>
      <w:r w:rsidRPr="007F77C5">
        <w:rPr>
          <w:rFonts w:cs="Times New Roman"/>
        </w:rPr>
        <w:t>Ramin Shamshiri et al., 2018</w:t>
      </w:r>
      <w:r w:rsidRPr="007F77C5">
        <w:rPr>
          <w:rFonts w:cs="Times New Roman"/>
          <w:noProof/>
          <w:color w:val="000000" w:themeColor="text1"/>
        </w:rPr>
        <w:t xml:space="preserve">; </w:t>
      </w:r>
      <w:r w:rsidRPr="007F77C5">
        <w:rPr>
          <w:rFonts w:cs="Times New Roman"/>
        </w:rPr>
        <w:t>Van Delden et al., 2021</w:t>
      </w:r>
      <w:r w:rsidRPr="007F77C5">
        <w:rPr>
          <w:rFonts w:cs="Times New Roman"/>
          <w:noProof/>
          <w:color w:val="000000" w:themeColor="text1"/>
        </w:rPr>
        <w:t>)</w:t>
      </w:r>
      <w:r w:rsidRPr="007F77C5">
        <w:rPr>
          <w:rFonts w:cs="Times New Roman"/>
          <w:color w:val="000000" w:themeColor="text1"/>
        </w:rPr>
        <w:t>. Many of the vertical farms require sole-source lighting, which necessitates the use of energy efficient lighting systems. The cost of LEDs has decreased dramatically with recent advancements in semiconductor technology. LED lighting sources are more energy efficient and produce less heat than traditional lighting technologies in horticulture (</w:t>
      </w:r>
      <w:r w:rsidRPr="007F77C5">
        <w:rPr>
          <w:rFonts w:cs="Times New Roman"/>
        </w:rPr>
        <w:t>Dutta Gupta, 2017</w:t>
      </w:r>
      <w:r w:rsidRPr="007F77C5">
        <w:rPr>
          <w:rFonts w:cs="Times New Roman"/>
          <w:color w:val="000000" w:themeColor="text1"/>
        </w:rPr>
        <w:t xml:space="preserve">). Artificial intelligence and innovations in computer science have also contributed significantly to the boom in popularity and potential for increased efficiency </w:t>
      </w:r>
      <w:r w:rsidRPr="007F77C5">
        <w:rPr>
          <w:rFonts w:cs="Times New Roman"/>
          <w:noProof/>
          <w:color w:val="000000" w:themeColor="text1"/>
        </w:rPr>
        <w:t>(</w:t>
      </w:r>
      <w:r w:rsidRPr="007F77C5">
        <w:rPr>
          <w:rFonts w:cs="Times New Roman"/>
        </w:rPr>
        <w:t>Graamans et al., 2017</w:t>
      </w:r>
      <w:r w:rsidRPr="007F77C5">
        <w:rPr>
          <w:rFonts w:cs="Times New Roman"/>
          <w:noProof/>
          <w:color w:val="000000" w:themeColor="text1"/>
        </w:rPr>
        <w:t xml:space="preserve">; </w:t>
      </w:r>
      <w:r w:rsidRPr="007F77C5">
        <w:rPr>
          <w:rFonts w:cs="Times New Roman"/>
        </w:rPr>
        <w:t>Xu et al., 2016</w:t>
      </w:r>
      <w:r w:rsidRPr="007F77C5">
        <w:rPr>
          <w:rFonts w:cs="Times New Roman"/>
          <w:noProof/>
          <w:color w:val="000000" w:themeColor="text1"/>
        </w:rPr>
        <w:t>)</w:t>
      </w:r>
      <w:r w:rsidRPr="007F77C5">
        <w:rPr>
          <w:rFonts w:cs="Times New Roman"/>
          <w:color w:val="000000" w:themeColor="text1"/>
        </w:rPr>
        <w:t>. One of the primary drivers is the sustainability of food production (</w:t>
      </w:r>
      <w:r w:rsidRPr="007F77C5">
        <w:rPr>
          <w:rFonts w:cs="Times New Roman"/>
        </w:rPr>
        <w:t>El-Ramady et al., 2020</w:t>
      </w:r>
      <w:r w:rsidRPr="007F77C5">
        <w:rPr>
          <w:rFonts w:cs="Times New Roman"/>
          <w:color w:val="000000" w:themeColor="text1"/>
        </w:rPr>
        <w:t xml:space="preserve">). The technologies utilized in CEA can significantly reduce water use </w:t>
      </w:r>
      <w:r w:rsidRPr="007F77C5">
        <w:rPr>
          <w:rFonts w:cs="Times New Roman"/>
          <w:noProof/>
          <w:color w:val="000000" w:themeColor="text1"/>
        </w:rPr>
        <w:t>(</w:t>
      </w:r>
      <w:r w:rsidRPr="007F77C5">
        <w:rPr>
          <w:rFonts w:cs="Times New Roman"/>
        </w:rPr>
        <w:t>Engler and Krarti, 2021</w:t>
      </w:r>
      <w:r w:rsidRPr="007F77C5">
        <w:rPr>
          <w:rFonts w:cs="Times New Roman"/>
          <w:noProof/>
          <w:color w:val="000000" w:themeColor="text1"/>
        </w:rPr>
        <w:t xml:space="preserve">; </w:t>
      </w:r>
      <w:r w:rsidRPr="007F77C5">
        <w:rPr>
          <w:rFonts w:cs="Times New Roman"/>
        </w:rPr>
        <w:t>Mccartney and Lefsrud, 2018</w:t>
      </w:r>
      <w:r w:rsidRPr="007F77C5">
        <w:rPr>
          <w:rFonts w:cs="Times New Roman"/>
          <w:noProof/>
          <w:color w:val="000000" w:themeColor="text1"/>
        </w:rPr>
        <w:t xml:space="preserve">; </w:t>
      </w:r>
      <w:r w:rsidRPr="007F77C5">
        <w:rPr>
          <w:rFonts w:cs="Times New Roman"/>
        </w:rPr>
        <w:t>Ramin Shamshiri et al., 2018</w:t>
      </w:r>
      <w:r w:rsidRPr="007F77C5">
        <w:rPr>
          <w:rFonts w:cs="Times New Roman"/>
          <w:noProof/>
          <w:color w:val="000000" w:themeColor="text1"/>
        </w:rPr>
        <w:t>)</w:t>
      </w:r>
      <w:r w:rsidRPr="007F77C5">
        <w:rPr>
          <w:rFonts w:cs="Times New Roman"/>
          <w:color w:val="000000" w:themeColor="text1"/>
        </w:rPr>
        <w:t xml:space="preserve">. Some of the other advantages over traditional farming include consistent year-round production, reduction of pollution, protection from inclement weather, space use efficiency, reduction of pest and pathogen pressures, reduction in pesticides, higher quality crops, and more profit for high-value specialty crops </w:t>
      </w:r>
      <w:r w:rsidRPr="007F77C5">
        <w:rPr>
          <w:rFonts w:cs="Times New Roman"/>
          <w:noProof/>
          <w:color w:val="000000" w:themeColor="text1"/>
        </w:rPr>
        <w:t>(</w:t>
      </w:r>
      <w:r w:rsidRPr="007F77C5">
        <w:rPr>
          <w:rFonts w:cs="Times New Roman"/>
        </w:rPr>
        <w:t>Benke and Tomkins, 2017</w:t>
      </w:r>
      <w:r w:rsidRPr="007F77C5">
        <w:rPr>
          <w:rFonts w:cs="Times New Roman"/>
          <w:noProof/>
          <w:color w:val="000000" w:themeColor="text1"/>
        </w:rPr>
        <w:t xml:space="preserve">; </w:t>
      </w:r>
      <w:r w:rsidRPr="007F77C5">
        <w:rPr>
          <w:rFonts w:cs="Times New Roman"/>
        </w:rPr>
        <w:t>Engler and Krarti, 2021</w:t>
      </w:r>
      <w:r w:rsidRPr="007F77C5">
        <w:rPr>
          <w:rFonts w:cs="Times New Roman"/>
          <w:noProof/>
          <w:color w:val="000000" w:themeColor="text1"/>
        </w:rPr>
        <w:t xml:space="preserve">; </w:t>
      </w:r>
      <w:r w:rsidRPr="007F77C5">
        <w:rPr>
          <w:rFonts w:cs="Times New Roman"/>
        </w:rPr>
        <w:t>Larsen et al., 2020</w:t>
      </w:r>
      <w:r w:rsidRPr="007F77C5">
        <w:rPr>
          <w:rFonts w:cs="Times New Roman"/>
          <w:noProof/>
          <w:color w:val="000000" w:themeColor="text1"/>
        </w:rPr>
        <w:t xml:space="preserve">; </w:t>
      </w:r>
      <w:r w:rsidRPr="007F77C5">
        <w:rPr>
          <w:rFonts w:cs="Times New Roman"/>
        </w:rPr>
        <w:t>Mccartney and Lefsrud, 2018</w:t>
      </w:r>
      <w:r w:rsidRPr="007F77C5">
        <w:rPr>
          <w:rFonts w:cs="Times New Roman"/>
          <w:noProof/>
          <w:color w:val="000000" w:themeColor="text1"/>
        </w:rPr>
        <w:t xml:space="preserve">; </w:t>
      </w:r>
      <w:r w:rsidRPr="007F77C5">
        <w:rPr>
          <w:rFonts w:cs="Times New Roman"/>
        </w:rPr>
        <w:t>Rajan et al., 2019</w:t>
      </w:r>
      <w:r w:rsidRPr="007F77C5">
        <w:rPr>
          <w:rFonts w:cs="Times New Roman"/>
          <w:noProof/>
          <w:color w:val="000000" w:themeColor="text1"/>
        </w:rPr>
        <w:t xml:space="preserve">; </w:t>
      </w:r>
      <w:r w:rsidRPr="007F77C5">
        <w:rPr>
          <w:rFonts w:cs="Times New Roman"/>
        </w:rPr>
        <w:t>Ramin Shamshiri et al., 2018</w:t>
      </w:r>
      <w:r w:rsidRPr="007F77C5">
        <w:rPr>
          <w:rFonts w:cs="Times New Roman"/>
          <w:noProof/>
          <w:color w:val="000000" w:themeColor="text1"/>
        </w:rPr>
        <w:t xml:space="preserve">; </w:t>
      </w:r>
      <w:r w:rsidRPr="007F77C5">
        <w:rPr>
          <w:rFonts w:cs="Times New Roman"/>
        </w:rPr>
        <w:t>Sharathkumar et al., 2020</w:t>
      </w:r>
      <w:r w:rsidRPr="007F77C5">
        <w:rPr>
          <w:rFonts w:cs="Times New Roman"/>
          <w:noProof/>
          <w:color w:val="000000" w:themeColor="text1"/>
        </w:rPr>
        <w:t xml:space="preserve">; </w:t>
      </w:r>
      <w:r w:rsidRPr="007F77C5">
        <w:rPr>
          <w:rFonts w:cs="Times New Roman"/>
        </w:rPr>
        <w:t>Van Delden et al., 2021</w:t>
      </w:r>
      <w:r w:rsidRPr="007F77C5">
        <w:rPr>
          <w:rFonts w:cs="Times New Roman"/>
          <w:noProof/>
          <w:color w:val="000000" w:themeColor="text1"/>
        </w:rPr>
        <w:t>)</w:t>
      </w:r>
      <w:r w:rsidRPr="007F77C5">
        <w:rPr>
          <w:rFonts w:cs="Times New Roman"/>
          <w:color w:val="000000" w:themeColor="text1"/>
        </w:rPr>
        <w:t xml:space="preserve">. CEA systems (more specifically, vertical farms) can be strategically placed near food deserts </w:t>
      </w:r>
      <w:r w:rsidRPr="007F77C5">
        <w:rPr>
          <w:rFonts w:cs="Times New Roman"/>
          <w:noProof/>
          <w:color w:val="000000" w:themeColor="text1"/>
        </w:rPr>
        <w:t>(</w:t>
      </w:r>
      <w:r w:rsidRPr="007F77C5">
        <w:rPr>
          <w:rFonts w:cs="Times New Roman"/>
        </w:rPr>
        <w:t>Benke and Tomkins, 2017</w:t>
      </w:r>
      <w:r w:rsidRPr="007F77C5">
        <w:rPr>
          <w:rFonts w:cs="Times New Roman"/>
          <w:noProof/>
          <w:color w:val="000000" w:themeColor="text1"/>
        </w:rPr>
        <w:t xml:space="preserve">; </w:t>
      </w:r>
      <w:r w:rsidRPr="007F77C5">
        <w:rPr>
          <w:rFonts w:cs="Times New Roman"/>
        </w:rPr>
        <w:t>Mccartney and Lefsrud, 2018</w:t>
      </w:r>
      <w:r w:rsidRPr="007F77C5">
        <w:rPr>
          <w:rFonts w:cs="Times New Roman"/>
          <w:noProof/>
          <w:color w:val="000000" w:themeColor="text1"/>
        </w:rPr>
        <w:t xml:space="preserve">; </w:t>
      </w:r>
      <w:r w:rsidRPr="007F77C5">
        <w:rPr>
          <w:rFonts w:cs="Times New Roman"/>
        </w:rPr>
        <w:t>Mitchell, 2004</w:t>
      </w:r>
      <w:r w:rsidRPr="007F77C5">
        <w:rPr>
          <w:rFonts w:cs="Times New Roman"/>
          <w:noProof/>
          <w:color w:val="000000" w:themeColor="text1"/>
        </w:rPr>
        <w:t>)</w:t>
      </w:r>
      <w:r w:rsidRPr="007F77C5">
        <w:rPr>
          <w:rFonts w:cs="Times New Roman"/>
          <w:color w:val="000000" w:themeColor="text1"/>
        </w:rPr>
        <w:t xml:space="preserve">. Communities in need can utilize locally grown produce. Growing food closer to the consumer also has numerous benefits, including </w:t>
      </w:r>
      <w:r w:rsidRPr="007F77C5">
        <w:rPr>
          <w:rFonts w:cs="Times New Roman"/>
          <w:color w:val="000000" w:themeColor="text1"/>
        </w:rPr>
        <w:lastRenderedPageBreak/>
        <w:t xml:space="preserve">reduced costs, fewer carbon emissions, and better shelf life </w:t>
      </w:r>
      <w:r w:rsidRPr="007F77C5">
        <w:rPr>
          <w:rFonts w:cs="Times New Roman"/>
          <w:noProof/>
          <w:color w:val="000000" w:themeColor="text1"/>
        </w:rPr>
        <w:t>(</w:t>
      </w:r>
      <w:r w:rsidRPr="007F77C5">
        <w:rPr>
          <w:rFonts w:cs="Times New Roman"/>
        </w:rPr>
        <w:t>Engler and Krarti, 2021</w:t>
      </w:r>
      <w:r w:rsidRPr="007F77C5">
        <w:rPr>
          <w:rFonts w:cs="Times New Roman"/>
          <w:noProof/>
          <w:color w:val="000000" w:themeColor="text1"/>
        </w:rPr>
        <w:t>)</w:t>
      </w:r>
      <w:r w:rsidRPr="007F77C5">
        <w:rPr>
          <w:rFonts w:cs="Times New Roman"/>
          <w:color w:val="000000" w:themeColor="text1"/>
        </w:rPr>
        <w:t>. CEA can even improve food safety by reducing/removing potential sources of contamination (</w:t>
      </w:r>
      <w:r w:rsidRPr="007F77C5">
        <w:rPr>
          <w:rFonts w:cs="Times New Roman"/>
        </w:rPr>
        <w:t>Rajan et al., 2019</w:t>
      </w:r>
      <w:r w:rsidRPr="007F77C5">
        <w:rPr>
          <w:rFonts w:cs="Times New Roman"/>
          <w:color w:val="000000" w:themeColor="text1"/>
        </w:rPr>
        <w:t xml:space="preserve">; </w:t>
      </w:r>
      <w:r w:rsidRPr="007F77C5">
        <w:rPr>
          <w:rFonts w:cs="Times New Roman"/>
        </w:rPr>
        <w:t>Van Delden et al., 2021</w:t>
      </w:r>
      <w:r w:rsidRPr="007F77C5">
        <w:rPr>
          <w:rFonts w:cs="Times New Roman"/>
          <w:color w:val="000000" w:themeColor="text1"/>
        </w:rPr>
        <w:t xml:space="preserve">). </w:t>
      </w:r>
    </w:p>
    <w:p w14:paraId="1C6A6F19" w14:textId="45867BF2" w:rsidR="00126D8D" w:rsidRPr="007F77C5" w:rsidRDefault="00126D8D" w:rsidP="00224B41">
      <w:pPr>
        <w:ind w:firstLine="720"/>
        <w:jc w:val="both"/>
        <w:rPr>
          <w:rFonts w:cs="Times New Roman"/>
          <w:color w:val="000000" w:themeColor="text1"/>
        </w:rPr>
      </w:pPr>
      <w:r w:rsidRPr="007F77C5">
        <w:rPr>
          <w:rFonts w:cs="Times New Roman"/>
          <w:color w:val="000000" w:themeColor="text1"/>
        </w:rPr>
        <w:t xml:space="preserve"> </w:t>
      </w:r>
      <w:r w:rsidR="004F63C0">
        <w:rPr>
          <w:rFonts w:cs="Times New Roman"/>
          <w:color w:val="000000" w:themeColor="text1"/>
        </w:rPr>
        <w:t>S</w:t>
      </w:r>
      <w:r w:rsidRPr="007F77C5">
        <w:rPr>
          <w:rFonts w:cs="Times New Roman"/>
          <w:color w:val="000000" w:themeColor="text1"/>
        </w:rPr>
        <w:t xml:space="preserve">ome of the highest expenditures across all indoor farming systems include startup costs, energy use, and labor </w:t>
      </w:r>
      <w:r w:rsidRPr="007F77C5">
        <w:rPr>
          <w:rFonts w:cs="Times New Roman"/>
          <w:noProof/>
          <w:color w:val="000000" w:themeColor="text1"/>
        </w:rPr>
        <w:t>(</w:t>
      </w:r>
      <w:r w:rsidRPr="007F77C5">
        <w:rPr>
          <w:rFonts w:cs="Times New Roman"/>
        </w:rPr>
        <w:t>Engler and Krarti, 2021</w:t>
      </w:r>
      <w:r w:rsidRPr="007F77C5">
        <w:rPr>
          <w:rFonts w:cs="Times New Roman"/>
          <w:noProof/>
          <w:color w:val="000000" w:themeColor="text1"/>
        </w:rPr>
        <w:t xml:space="preserve">; </w:t>
      </w:r>
      <w:r w:rsidRPr="007F77C5">
        <w:rPr>
          <w:rFonts w:cs="Times New Roman"/>
        </w:rPr>
        <w:t>Mccartney and Lefsrud, 2018</w:t>
      </w:r>
      <w:r w:rsidRPr="007F77C5">
        <w:rPr>
          <w:rFonts w:cs="Times New Roman"/>
          <w:noProof/>
          <w:color w:val="000000" w:themeColor="text1"/>
        </w:rPr>
        <w:t xml:space="preserve">; </w:t>
      </w:r>
      <w:r w:rsidRPr="007F77C5">
        <w:rPr>
          <w:rFonts w:cs="Times New Roman"/>
        </w:rPr>
        <w:t>Mitchell, 2022</w:t>
      </w:r>
      <w:r w:rsidRPr="007F77C5">
        <w:rPr>
          <w:rFonts w:cs="Times New Roman"/>
          <w:noProof/>
          <w:color w:val="000000" w:themeColor="text1"/>
        </w:rPr>
        <w:t xml:space="preserve">; </w:t>
      </w:r>
      <w:r w:rsidRPr="007F77C5">
        <w:rPr>
          <w:rFonts w:cs="Times New Roman"/>
        </w:rPr>
        <w:t>Ramin Shamshiri et al., 2018</w:t>
      </w:r>
      <w:r w:rsidRPr="007F77C5">
        <w:rPr>
          <w:rFonts w:cs="Times New Roman"/>
          <w:noProof/>
          <w:color w:val="000000" w:themeColor="text1"/>
        </w:rPr>
        <w:t xml:space="preserve">; </w:t>
      </w:r>
      <w:r w:rsidRPr="007F77C5">
        <w:rPr>
          <w:rFonts w:cs="Times New Roman"/>
        </w:rPr>
        <w:t>Sharathkumar et al., 2020</w:t>
      </w:r>
      <w:r w:rsidRPr="007F77C5">
        <w:rPr>
          <w:rFonts w:cs="Times New Roman"/>
          <w:noProof/>
          <w:color w:val="000000" w:themeColor="text1"/>
        </w:rPr>
        <w:t xml:space="preserve">; </w:t>
      </w:r>
      <w:r w:rsidRPr="007F77C5">
        <w:rPr>
          <w:rFonts w:cs="Times New Roman"/>
        </w:rPr>
        <w:t>Van Delden et al., 2021</w:t>
      </w:r>
      <w:r w:rsidRPr="007F77C5">
        <w:rPr>
          <w:rFonts w:cs="Times New Roman"/>
          <w:noProof/>
          <w:color w:val="000000" w:themeColor="text1"/>
        </w:rPr>
        <w:t xml:space="preserve">; </w:t>
      </w:r>
      <w:r w:rsidRPr="007F77C5">
        <w:rPr>
          <w:rFonts w:cs="Times New Roman"/>
        </w:rPr>
        <w:t>Walters et al., 2020a</w:t>
      </w:r>
      <w:r w:rsidRPr="007F77C5">
        <w:rPr>
          <w:rFonts w:cs="Times New Roman"/>
          <w:noProof/>
          <w:color w:val="000000" w:themeColor="text1"/>
        </w:rPr>
        <w:t>)</w:t>
      </w:r>
      <w:r w:rsidRPr="007F77C5">
        <w:rPr>
          <w:rFonts w:cs="Times New Roman"/>
          <w:color w:val="000000" w:themeColor="text1"/>
        </w:rPr>
        <w:t>. Lighting systems will decrease in cost as the technology improves, and energy efficiency will increase, but it will be vital to implement creative solutions to mitigate the electrical dependence of CEA operations on our power grid in the near future. Further integration of CEA operations into our current food production systems will bolster our food security and help ensure the supply chain can keep up with increasing demand.</w:t>
      </w:r>
      <w:bookmarkStart w:id="38" w:name="_Toc113382862"/>
      <w:bookmarkStart w:id="39" w:name="_Toc114189696"/>
      <w:bookmarkStart w:id="40" w:name="_Toc114189779"/>
    </w:p>
    <w:p w14:paraId="3A34C3D6" w14:textId="77777777" w:rsidR="00126D8D" w:rsidRPr="007F77C5" w:rsidRDefault="00126D8D" w:rsidP="00224B41">
      <w:pPr>
        <w:ind w:firstLine="720"/>
        <w:jc w:val="both"/>
        <w:rPr>
          <w:rFonts w:cs="Times New Roman"/>
          <w:color w:val="000000" w:themeColor="text1"/>
        </w:rPr>
      </w:pPr>
    </w:p>
    <w:p w14:paraId="1549B399" w14:textId="77777777" w:rsidR="00126D8D" w:rsidRPr="007F77C5" w:rsidRDefault="00126D8D" w:rsidP="00224B41">
      <w:pPr>
        <w:pStyle w:val="MastersThesisMainTitle"/>
      </w:pPr>
      <w:bookmarkStart w:id="41" w:name="_Toc139574771"/>
      <w:bookmarkStart w:id="42" w:name="_Toc141478641"/>
      <w:r w:rsidRPr="007F77C5">
        <w:t>Supplemental Lighting in Horticulture</w:t>
      </w:r>
      <w:bookmarkEnd w:id="38"/>
      <w:bookmarkEnd w:id="39"/>
      <w:bookmarkEnd w:id="40"/>
      <w:bookmarkEnd w:id="41"/>
      <w:bookmarkEnd w:id="42"/>
    </w:p>
    <w:p w14:paraId="477BB9AA" w14:textId="77777777" w:rsidR="00126D8D" w:rsidRPr="007F77C5" w:rsidRDefault="00126D8D" w:rsidP="00224B41">
      <w:pPr>
        <w:ind w:firstLine="720"/>
        <w:jc w:val="both"/>
        <w:rPr>
          <w:rFonts w:cs="Times New Roman"/>
          <w:color w:val="000000" w:themeColor="text1"/>
        </w:rPr>
      </w:pPr>
      <w:r w:rsidRPr="007F77C5">
        <w:rPr>
          <w:rFonts w:cs="Times New Roman"/>
          <w:color w:val="000000" w:themeColor="text1"/>
        </w:rPr>
        <w:t xml:space="preserve">Supplemental lighting is often used in horticulture to improve plant productivity in greenhouses and indoor growing environments </w:t>
      </w:r>
      <w:r w:rsidRPr="007F77C5">
        <w:rPr>
          <w:rFonts w:cs="Times New Roman"/>
          <w:noProof/>
          <w:color w:val="000000" w:themeColor="text1"/>
        </w:rPr>
        <w:t>(</w:t>
      </w:r>
      <w:r w:rsidRPr="007F77C5">
        <w:rPr>
          <w:rFonts w:cs="Times New Roman"/>
        </w:rPr>
        <w:t>Massa et al., 2008</w:t>
      </w:r>
      <w:r w:rsidRPr="007F77C5">
        <w:rPr>
          <w:rFonts w:cs="Times New Roman"/>
          <w:noProof/>
          <w:color w:val="000000" w:themeColor="text1"/>
        </w:rPr>
        <w:t xml:space="preserve">; </w:t>
      </w:r>
      <w:r w:rsidRPr="007F77C5">
        <w:rPr>
          <w:rFonts w:cs="Times New Roman"/>
        </w:rPr>
        <w:t>Morrow, 2008</w:t>
      </w:r>
      <w:r w:rsidRPr="007F77C5">
        <w:rPr>
          <w:rFonts w:cs="Times New Roman"/>
          <w:noProof/>
          <w:color w:val="000000" w:themeColor="text1"/>
        </w:rPr>
        <w:t>)</w:t>
      </w:r>
      <w:r w:rsidRPr="007F77C5">
        <w:rPr>
          <w:rFonts w:cs="Times New Roman"/>
          <w:color w:val="000000" w:themeColor="text1"/>
        </w:rPr>
        <w:t xml:space="preserve">. It has been well-established that the intensity, spectral quality, and duration of light influence genetic expression, which, in turn, determines the phytonutrient content of many high-value specialty crops </w:t>
      </w:r>
      <w:r w:rsidRPr="007F77C5">
        <w:rPr>
          <w:rFonts w:cs="Times New Roman"/>
          <w:noProof/>
          <w:color w:val="000000" w:themeColor="text1"/>
        </w:rPr>
        <w:t>(</w:t>
      </w:r>
      <w:r w:rsidRPr="007F77C5">
        <w:rPr>
          <w:rFonts w:cs="Times New Roman"/>
        </w:rPr>
        <w:t>Dou et al., 2017</w:t>
      </w:r>
      <w:r w:rsidRPr="007F77C5">
        <w:rPr>
          <w:rFonts w:cs="Times New Roman"/>
          <w:noProof/>
          <w:color w:val="000000" w:themeColor="text1"/>
        </w:rPr>
        <w:t xml:space="preserve">; </w:t>
      </w:r>
      <w:r w:rsidRPr="007F77C5">
        <w:rPr>
          <w:rFonts w:cs="Times New Roman"/>
        </w:rPr>
        <w:t>Goins et al., 1997</w:t>
      </w:r>
      <w:r w:rsidRPr="007F77C5">
        <w:rPr>
          <w:rFonts w:cs="Times New Roman"/>
          <w:noProof/>
          <w:color w:val="000000" w:themeColor="text1"/>
        </w:rPr>
        <w:t xml:space="preserve">; </w:t>
      </w:r>
      <w:r w:rsidRPr="007F77C5">
        <w:rPr>
          <w:rFonts w:cs="Times New Roman"/>
        </w:rPr>
        <w:t>Smith, 1982</w:t>
      </w:r>
      <w:r w:rsidRPr="007F77C5">
        <w:rPr>
          <w:rFonts w:cs="Times New Roman"/>
          <w:noProof/>
          <w:color w:val="000000" w:themeColor="text1"/>
        </w:rPr>
        <w:t xml:space="preserve">; </w:t>
      </w:r>
      <w:r w:rsidRPr="007F77C5">
        <w:rPr>
          <w:rFonts w:cs="Times New Roman"/>
        </w:rPr>
        <w:t>Tennessen et al., 1994</w:t>
      </w:r>
      <w:r w:rsidRPr="007F77C5">
        <w:rPr>
          <w:rFonts w:cs="Times New Roman"/>
          <w:noProof/>
          <w:color w:val="000000" w:themeColor="text1"/>
        </w:rPr>
        <w:t>)</w:t>
      </w:r>
      <w:r w:rsidRPr="007F77C5">
        <w:rPr>
          <w:rFonts w:cs="Times New Roman"/>
          <w:color w:val="000000" w:themeColor="text1"/>
        </w:rPr>
        <w:t xml:space="preserve">. Using supplemental lighting has been shown to improve crop quality and yield. A large volume of research on supplemental lighting (SL) focuses on finding the most efficient and effective ways to use light to improve plant growth </w:t>
      </w:r>
      <w:r w:rsidRPr="007F77C5">
        <w:rPr>
          <w:rFonts w:cs="Times New Roman"/>
          <w:noProof/>
          <w:color w:val="000000" w:themeColor="text1"/>
        </w:rPr>
        <w:t>(</w:t>
      </w:r>
      <w:r w:rsidRPr="007F77C5">
        <w:rPr>
          <w:rFonts w:cs="Times New Roman"/>
        </w:rPr>
        <w:t>Engler and Krarti, 2021</w:t>
      </w:r>
      <w:r w:rsidRPr="007F77C5">
        <w:rPr>
          <w:rFonts w:cs="Times New Roman"/>
          <w:noProof/>
          <w:color w:val="000000" w:themeColor="text1"/>
        </w:rPr>
        <w:t xml:space="preserve">; </w:t>
      </w:r>
      <w:r w:rsidRPr="007F77C5">
        <w:rPr>
          <w:rFonts w:cs="Times New Roman"/>
        </w:rPr>
        <w:t>Mitchell, 2022</w:t>
      </w:r>
      <w:r w:rsidRPr="007F77C5">
        <w:rPr>
          <w:rFonts w:cs="Times New Roman"/>
          <w:noProof/>
          <w:color w:val="000000" w:themeColor="text1"/>
        </w:rPr>
        <w:t xml:space="preserve">; </w:t>
      </w:r>
      <w:r w:rsidRPr="007F77C5">
        <w:rPr>
          <w:rFonts w:cs="Times New Roman"/>
        </w:rPr>
        <w:t>Morrow, 2008</w:t>
      </w:r>
      <w:r w:rsidRPr="007F77C5">
        <w:rPr>
          <w:rFonts w:cs="Times New Roman"/>
          <w:noProof/>
          <w:color w:val="000000" w:themeColor="text1"/>
        </w:rPr>
        <w:t xml:space="preserve">; </w:t>
      </w:r>
      <w:r w:rsidRPr="007F77C5">
        <w:rPr>
          <w:rFonts w:cs="Times New Roman"/>
        </w:rPr>
        <w:t>Paradiso and Proietti, 2021</w:t>
      </w:r>
      <w:r w:rsidRPr="007F77C5">
        <w:rPr>
          <w:rFonts w:cs="Times New Roman"/>
          <w:noProof/>
          <w:color w:val="000000" w:themeColor="text1"/>
        </w:rPr>
        <w:t>)</w:t>
      </w:r>
      <w:r w:rsidRPr="007F77C5">
        <w:rPr>
          <w:rFonts w:cs="Times New Roman"/>
          <w:color w:val="000000" w:themeColor="text1"/>
        </w:rPr>
        <w:t xml:space="preserve">. In order to optimize light for any crop in any CEA operation, it is necessary to have a thorough understanding of how light affects plant growth. Research regarding </w:t>
      </w:r>
      <w:r w:rsidRPr="007F77C5">
        <w:rPr>
          <w:rFonts w:cs="Times New Roman"/>
          <w:color w:val="000000" w:themeColor="text1"/>
        </w:rPr>
        <w:lastRenderedPageBreak/>
        <w:t xml:space="preserve">the interactions between lighting systems and plants will help growers optimize production, reduce energy costs, and produce high-quality crops </w:t>
      </w:r>
      <w:r w:rsidRPr="007F77C5">
        <w:rPr>
          <w:rFonts w:cs="Times New Roman"/>
          <w:noProof/>
          <w:color w:val="000000" w:themeColor="text1"/>
        </w:rPr>
        <w:t>(</w:t>
      </w:r>
      <w:r w:rsidRPr="007F77C5">
        <w:rPr>
          <w:rFonts w:cs="Times New Roman"/>
        </w:rPr>
        <w:t>Bugbee, 2016</w:t>
      </w:r>
      <w:r w:rsidRPr="007F77C5">
        <w:rPr>
          <w:rFonts w:cs="Times New Roman"/>
          <w:noProof/>
          <w:color w:val="000000" w:themeColor="text1"/>
        </w:rPr>
        <w:t xml:space="preserve">; </w:t>
      </w:r>
      <w:r w:rsidRPr="007F77C5">
        <w:rPr>
          <w:rFonts w:cs="Times New Roman"/>
        </w:rPr>
        <w:t>Hammock et al., 2020</w:t>
      </w:r>
      <w:r w:rsidRPr="007F77C5">
        <w:rPr>
          <w:rFonts w:cs="Times New Roman"/>
          <w:noProof/>
          <w:color w:val="000000" w:themeColor="text1"/>
        </w:rPr>
        <w:t xml:space="preserve">; </w:t>
      </w:r>
      <w:r w:rsidRPr="007F77C5">
        <w:rPr>
          <w:rFonts w:cs="Times New Roman"/>
        </w:rPr>
        <w:t>Kelly and Runkle, 2020</w:t>
      </w:r>
      <w:r w:rsidRPr="007F77C5">
        <w:rPr>
          <w:rFonts w:cs="Times New Roman"/>
          <w:noProof/>
          <w:color w:val="000000" w:themeColor="text1"/>
        </w:rPr>
        <w:t xml:space="preserve">; </w:t>
      </w:r>
      <w:r w:rsidRPr="007F77C5">
        <w:rPr>
          <w:rFonts w:cs="Times New Roman"/>
        </w:rPr>
        <w:t>Kim et al., 2019</w:t>
      </w:r>
      <w:r w:rsidRPr="007F77C5">
        <w:rPr>
          <w:rFonts w:cs="Times New Roman"/>
          <w:noProof/>
          <w:color w:val="000000" w:themeColor="text1"/>
        </w:rPr>
        <w:t xml:space="preserve">; </w:t>
      </w:r>
      <w:r w:rsidRPr="007F77C5">
        <w:rPr>
          <w:rFonts w:cs="Times New Roman"/>
        </w:rPr>
        <w:t>Piovene et al., 2015</w:t>
      </w:r>
      <w:r w:rsidRPr="007F77C5">
        <w:rPr>
          <w:rFonts w:cs="Times New Roman"/>
          <w:noProof/>
          <w:color w:val="000000" w:themeColor="text1"/>
        </w:rPr>
        <w:t>)</w:t>
      </w:r>
      <w:r w:rsidRPr="007F77C5">
        <w:rPr>
          <w:rFonts w:cs="Times New Roman"/>
          <w:color w:val="000000" w:themeColor="text1"/>
        </w:rPr>
        <w:t xml:space="preserve">. Growers may benefit from manipulating the spectral quality of supplementary lighting, since it would allow them to better manage their crops' physiology, morphology, and biochemistry </w:t>
      </w:r>
      <w:r w:rsidRPr="007F77C5">
        <w:rPr>
          <w:rFonts w:cs="Times New Roman"/>
          <w:noProof/>
          <w:color w:val="000000" w:themeColor="text1"/>
        </w:rPr>
        <w:t>(</w:t>
      </w:r>
      <w:r w:rsidRPr="007F77C5">
        <w:rPr>
          <w:rFonts w:cs="Times New Roman"/>
        </w:rPr>
        <w:t>Kopsell et al., 2007</w:t>
      </w:r>
      <w:r w:rsidRPr="007F77C5">
        <w:rPr>
          <w:rFonts w:cs="Times New Roman"/>
          <w:noProof/>
          <w:color w:val="000000" w:themeColor="text1"/>
        </w:rPr>
        <w:t xml:space="preserve">; </w:t>
      </w:r>
      <w:r w:rsidRPr="007F77C5">
        <w:rPr>
          <w:rFonts w:cs="Times New Roman"/>
        </w:rPr>
        <w:t>Li and Kubota, 2009</w:t>
      </w:r>
      <w:r w:rsidRPr="007F77C5">
        <w:rPr>
          <w:rFonts w:cs="Times New Roman"/>
          <w:noProof/>
          <w:color w:val="000000" w:themeColor="text1"/>
        </w:rPr>
        <w:t>)</w:t>
      </w:r>
    </w:p>
    <w:p w14:paraId="708E9ABA" w14:textId="77777777" w:rsidR="00126D8D" w:rsidRPr="007F77C5" w:rsidRDefault="00126D8D" w:rsidP="00224B41">
      <w:pPr>
        <w:ind w:firstLine="720"/>
        <w:jc w:val="both"/>
        <w:rPr>
          <w:rFonts w:cs="Times New Roman"/>
          <w:color w:val="000000" w:themeColor="text1"/>
        </w:rPr>
      </w:pPr>
      <w:r w:rsidRPr="007F77C5">
        <w:rPr>
          <w:rFonts w:cs="Times New Roman"/>
          <w:color w:val="000000" w:themeColor="text1"/>
        </w:rPr>
        <w:t xml:space="preserve">Commercial greenhouses often must implement supplemental lighting systems, which can be expensive, in order to create the best possible conditions for growth </w:t>
      </w:r>
      <w:r w:rsidRPr="007F77C5">
        <w:rPr>
          <w:rFonts w:cs="Times New Roman"/>
          <w:noProof/>
          <w:color w:val="000000" w:themeColor="text1"/>
        </w:rPr>
        <w:t>(</w:t>
      </w:r>
      <w:r w:rsidRPr="007F77C5">
        <w:rPr>
          <w:rFonts w:cs="Times New Roman"/>
        </w:rPr>
        <w:t>Massa et al., 2008</w:t>
      </w:r>
      <w:r w:rsidRPr="007F77C5">
        <w:rPr>
          <w:rFonts w:cs="Times New Roman"/>
          <w:noProof/>
          <w:color w:val="000000" w:themeColor="text1"/>
        </w:rPr>
        <w:t xml:space="preserve">; </w:t>
      </w:r>
      <w:r w:rsidRPr="007F77C5">
        <w:rPr>
          <w:rFonts w:cs="Times New Roman"/>
        </w:rPr>
        <w:t>Morrow, 2008</w:t>
      </w:r>
      <w:r w:rsidRPr="007F77C5">
        <w:rPr>
          <w:rFonts w:cs="Times New Roman"/>
          <w:noProof/>
          <w:color w:val="000000" w:themeColor="text1"/>
        </w:rPr>
        <w:t>)</w:t>
      </w:r>
      <w:r w:rsidRPr="007F77C5">
        <w:rPr>
          <w:rFonts w:cs="Times New Roman"/>
          <w:color w:val="000000" w:themeColor="text1"/>
        </w:rPr>
        <w:t xml:space="preserve">. In some cases, these lights are costly to maintain; however, they produce significant results in terms of increased plant development and production </w:t>
      </w:r>
      <w:r w:rsidRPr="007F77C5">
        <w:rPr>
          <w:rFonts w:cs="Times New Roman"/>
          <w:noProof/>
          <w:color w:val="000000" w:themeColor="text1"/>
        </w:rPr>
        <w:t>(</w:t>
      </w:r>
      <w:r w:rsidRPr="007F77C5">
        <w:rPr>
          <w:rFonts w:cs="Times New Roman"/>
        </w:rPr>
        <w:t>Mitchell et al., 2015</w:t>
      </w:r>
      <w:r w:rsidRPr="007F77C5">
        <w:rPr>
          <w:rFonts w:cs="Times New Roman"/>
          <w:noProof/>
          <w:color w:val="000000" w:themeColor="text1"/>
        </w:rPr>
        <w:t xml:space="preserve">; </w:t>
      </w:r>
      <w:r w:rsidRPr="007F77C5">
        <w:rPr>
          <w:rFonts w:cs="Times New Roman"/>
        </w:rPr>
        <w:t>Samuoliene et al., 2013</w:t>
      </w:r>
      <w:r w:rsidRPr="007F77C5">
        <w:rPr>
          <w:rFonts w:cs="Times New Roman"/>
          <w:noProof/>
          <w:color w:val="000000" w:themeColor="text1"/>
        </w:rPr>
        <w:t>)</w:t>
      </w:r>
      <w:r w:rsidRPr="007F77C5">
        <w:rPr>
          <w:rFonts w:cs="Times New Roman"/>
          <w:color w:val="000000" w:themeColor="text1"/>
        </w:rPr>
        <w:t>. By examining different wavelengths and intensities produced by various greenhouse lighting systems, we can discover how to upgrade current supplemental lighting systems in a way that is both efficient and practical on a large scale. This would have substantial benefits for improving sensory quality and yield.</w:t>
      </w:r>
    </w:p>
    <w:p w14:paraId="29D2C7F5" w14:textId="534DBB98" w:rsidR="00126D8D" w:rsidRPr="007F77C5" w:rsidRDefault="00126D8D" w:rsidP="00224B41">
      <w:pPr>
        <w:ind w:firstLine="720"/>
        <w:jc w:val="both"/>
        <w:rPr>
          <w:rFonts w:cs="Times New Roman"/>
          <w:color w:val="000000" w:themeColor="text1"/>
        </w:rPr>
      </w:pPr>
      <w:r w:rsidRPr="007F77C5">
        <w:rPr>
          <w:rFonts w:cs="Times New Roman"/>
          <w:color w:val="000000" w:themeColor="text1"/>
        </w:rPr>
        <w:t xml:space="preserve">Horticultural lighting systems can be divided into two categories: supplemental and sole source. To satisfy growing customer demand year-round, it is necessary to optimize greenhouse lighting systems to improve production quality and lower costs </w:t>
      </w:r>
      <w:r w:rsidRPr="007F77C5">
        <w:rPr>
          <w:rFonts w:cs="Times New Roman"/>
          <w:noProof/>
          <w:color w:val="000000" w:themeColor="text1"/>
        </w:rPr>
        <w:t>(</w:t>
      </w:r>
      <w:r w:rsidRPr="007F77C5">
        <w:rPr>
          <w:rFonts w:cs="Times New Roman"/>
        </w:rPr>
        <w:t>Groher et al., 2019</w:t>
      </w:r>
      <w:r w:rsidRPr="007F77C5">
        <w:rPr>
          <w:rFonts w:cs="Times New Roman"/>
          <w:noProof/>
          <w:color w:val="000000" w:themeColor="text1"/>
        </w:rPr>
        <w:t xml:space="preserve">; </w:t>
      </w:r>
      <w:r w:rsidRPr="007F77C5">
        <w:rPr>
          <w:rFonts w:cs="Times New Roman"/>
        </w:rPr>
        <w:t>Martineau et al., 2012</w:t>
      </w:r>
      <w:r w:rsidRPr="007F77C5">
        <w:rPr>
          <w:rFonts w:cs="Times New Roman"/>
          <w:noProof/>
          <w:color w:val="000000" w:themeColor="text1"/>
        </w:rPr>
        <w:t xml:space="preserve">; </w:t>
      </w:r>
      <w:r w:rsidRPr="007F77C5">
        <w:rPr>
          <w:rFonts w:cs="Times New Roman"/>
        </w:rPr>
        <w:t>Morrow, 2008</w:t>
      </w:r>
      <w:r w:rsidRPr="007F77C5">
        <w:rPr>
          <w:rFonts w:cs="Times New Roman"/>
          <w:noProof/>
          <w:color w:val="000000" w:themeColor="text1"/>
        </w:rPr>
        <w:t xml:space="preserve">; </w:t>
      </w:r>
      <w:r w:rsidRPr="007F77C5">
        <w:rPr>
          <w:rFonts w:cs="Times New Roman"/>
        </w:rPr>
        <w:t>Nelson and Bugbee, 2014</w:t>
      </w:r>
      <w:r w:rsidRPr="007F77C5">
        <w:rPr>
          <w:rFonts w:cs="Times New Roman"/>
          <w:noProof/>
          <w:color w:val="000000" w:themeColor="text1"/>
        </w:rPr>
        <w:t>)</w:t>
      </w:r>
      <w:r w:rsidRPr="007F77C5">
        <w:rPr>
          <w:rFonts w:cs="Times New Roman"/>
          <w:color w:val="000000" w:themeColor="text1"/>
        </w:rPr>
        <w:t xml:space="preserve">. Since the amount of light varies throughout the year (in the vast majority of locations across the globe), SL systems are sometimes utilized in greenhouse operations with the intention of improving quality and yields. Indoor farms and CEA systems that do not utilize sunlight must provide sole source lighting for crops to survive; this further emphasizes the importance of horticultural lighting systems (i.e., performance, longevity, durability, energy efficiency, heat distribution, intensity, and spectral output). This dissertation will only focus on supplemental lighting (SL) under standard greenhouse conditions and will not </w:t>
      </w:r>
      <w:r w:rsidRPr="007F77C5">
        <w:rPr>
          <w:rFonts w:cs="Times New Roman"/>
          <w:color w:val="000000" w:themeColor="text1"/>
        </w:rPr>
        <w:lastRenderedPageBreak/>
        <w:t xml:space="preserve">incorporate sole-source lighting. The goal of this document is to improve knowledge of current horticulture SL systems, and their application, to assist growers in terms of improving the yield/quality of high-value specialty crops. That being said, there is significant value in exploring the impacts of sole-source lighting (i.e., to isolate the effects of discrete narrowband wavelengths’ impact on physiology), which can then be applied to commercial greenhouse SL systems and applications.  </w:t>
      </w:r>
    </w:p>
    <w:p w14:paraId="164DDB8C" w14:textId="77777777" w:rsidR="00126D8D" w:rsidRPr="007F77C5" w:rsidRDefault="00126D8D" w:rsidP="00224B41">
      <w:pPr>
        <w:ind w:firstLine="720"/>
        <w:jc w:val="both"/>
        <w:rPr>
          <w:rFonts w:cs="Times New Roman"/>
          <w:color w:val="000000" w:themeColor="text1"/>
        </w:rPr>
      </w:pPr>
      <w:r w:rsidRPr="007F77C5">
        <w:rPr>
          <w:rFonts w:cs="Times New Roman"/>
          <w:color w:val="000000" w:themeColor="text1"/>
        </w:rPr>
        <w:t xml:space="preserve">Two primary horticultural lighting systems are pertinent for this discussion, both historically and currently: high-pressure sodium (HPS) and light-emitting diodes (LEDs). HPS lamps have not traditionally been viewed as the best choice for supplemental greenhouse lighting, because they have poor spectral quality (i.e., fewer blues/reds, more orange and yellow, not ideal for photosynthesis) and generate significant amounts of heat </w:t>
      </w:r>
      <w:r w:rsidRPr="007F77C5">
        <w:rPr>
          <w:rFonts w:cs="Times New Roman"/>
          <w:noProof/>
          <w:color w:val="000000" w:themeColor="text1"/>
        </w:rPr>
        <w:t>(</w:t>
      </w:r>
      <w:r w:rsidRPr="007F77C5">
        <w:rPr>
          <w:rFonts w:cs="Times New Roman"/>
        </w:rPr>
        <w:t>Massa et al., 2008</w:t>
      </w:r>
      <w:r w:rsidRPr="007F77C5">
        <w:rPr>
          <w:rFonts w:cs="Times New Roman"/>
          <w:noProof/>
          <w:color w:val="000000" w:themeColor="text1"/>
        </w:rPr>
        <w:t xml:space="preserve">; </w:t>
      </w:r>
      <w:r w:rsidRPr="007F77C5">
        <w:rPr>
          <w:rFonts w:cs="Times New Roman"/>
        </w:rPr>
        <w:t>Morrow, 2008</w:t>
      </w:r>
      <w:r w:rsidRPr="007F77C5">
        <w:rPr>
          <w:rFonts w:cs="Times New Roman"/>
          <w:noProof/>
          <w:color w:val="000000" w:themeColor="text1"/>
        </w:rPr>
        <w:t>)</w:t>
      </w:r>
      <w:r w:rsidRPr="007F77C5">
        <w:rPr>
          <w:rFonts w:cs="Times New Roman"/>
          <w:color w:val="000000" w:themeColor="text1"/>
        </w:rPr>
        <w:t xml:space="preserve">. However, these systems have often been chosen because they are more available and affordable than other options. HPS has been used extensively in horticulture, but LEDs are becoming increasingly popular </w:t>
      </w:r>
      <w:r w:rsidRPr="007F77C5">
        <w:rPr>
          <w:rFonts w:cs="Times New Roman"/>
          <w:noProof/>
          <w:color w:val="000000" w:themeColor="text1"/>
        </w:rPr>
        <w:t>(</w:t>
      </w:r>
      <w:r w:rsidRPr="007F77C5">
        <w:rPr>
          <w:rFonts w:cs="Times New Roman"/>
        </w:rPr>
        <w:t>Mitchell et al., 2015</w:t>
      </w:r>
      <w:r w:rsidRPr="007F77C5">
        <w:rPr>
          <w:rFonts w:cs="Times New Roman"/>
          <w:noProof/>
          <w:color w:val="000000" w:themeColor="text1"/>
        </w:rPr>
        <w:t>)</w:t>
      </w:r>
      <w:r w:rsidRPr="007F77C5">
        <w:rPr>
          <w:rFonts w:cs="Times New Roman"/>
          <w:color w:val="000000" w:themeColor="text1"/>
        </w:rPr>
        <w:t xml:space="preserve">. </w:t>
      </w:r>
    </w:p>
    <w:p w14:paraId="43EC3FA8" w14:textId="77777777" w:rsidR="00126D8D" w:rsidRPr="007F77C5" w:rsidRDefault="00126D8D" w:rsidP="00224B41">
      <w:pPr>
        <w:ind w:firstLine="720"/>
        <w:jc w:val="both"/>
        <w:rPr>
          <w:rFonts w:cs="Times New Roman"/>
          <w:color w:val="000000" w:themeColor="text1"/>
        </w:rPr>
      </w:pPr>
      <w:r w:rsidRPr="007F77C5">
        <w:rPr>
          <w:rFonts w:cs="Times New Roman"/>
          <w:color w:val="000000" w:themeColor="text1"/>
        </w:rPr>
        <w:t xml:space="preserve">Since the first LED research was conducted with plants, it has developed into a thriving industry </w:t>
      </w:r>
      <w:r w:rsidRPr="007F77C5">
        <w:rPr>
          <w:rFonts w:cs="Times New Roman"/>
          <w:noProof/>
          <w:color w:val="000000" w:themeColor="text1"/>
        </w:rPr>
        <w:t>(</w:t>
      </w:r>
      <w:r w:rsidRPr="007F77C5">
        <w:rPr>
          <w:rFonts w:cs="Times New Roman"/>
        </w:rPr>
        <w:t>Mitchell, 2004</w:t>
      </w:r>
      <w:r w:rsidRPr="007F77C5">
        <w:rPr>
          <w:rFonts w:cs="Times New Roman"/>
          <w:noProof/>
          <w:color w:val="000000" w:themeColor="text1"/>
        </w:rPr>
        <w:t xml:space="preserve">; </w:t>
      </w:r>
      <w:r w:rsidRPr="007F77C5">
        <w:rPr>
          <w:rFonts w:cs="Times New Roman"/>
        </w:rPr>
        <w:t>Mitchell, 2022</w:t>
      </w:r>
      <w:r w:rsidRPr="007F77C5">
        <w:rPr>
          <w:rFonts w:cs="Times New Roman"/>
          <w:noProof/>
          <w:color w:val="000000" w:themeColor="text1"/>
        </w:rPr>
        <w:t xml:space="preserve">; </w:t>
      </w:r>
      <w:r w:rsidRPr="007F77C5">
        <w:rPr>
          <w:rFonts w:cs="Times New Roman"/>
        </w:rPr>
        <w:t>Singh et al., 2015</w:t>
      </w:r>
      <w:r w:rsidRPr="007F77C5">
        <w:rPr>
          <w:rFonts w:cs="Times New Roman"/>
          <w:noProof/>
          <w:color w:val="000000" w:themeColor="text1"/>
        </w:rPr>
        <w:t>)</w:t>
      </w:r>
      <w:r w:rsidRPr="007F77C5">
        <w:rPr>
          <w:rFonts w:cs="Times New Roman"/>
          <w:color w:val="000000" w:themeColor="text1"/>
        </w:rPr>
        <w:t xml:space="preserve">. Advances in LED technologies have allowed researchers to study individual narrowband wavelengths and determine how plants react to light at a fundamental level </w:t>
      </w:r>
      <w:r w:rsidRPr="007F77C5">
        <w:rPr>
          <w:rFonts w:cs="Times New Roman"/>
          <w:noProof/>
          <w:color w:val="000000" w:themeColor="text1"/>
        </w:rPr>
        <w:t>(</w:t>
      </w:r>
      <w:r w:rsidRPr="007F77C5">
        <w:rPr>
          <w:rFonts w:cs="Times New Roman"/>
        </w:rPr>
        <w:t>Massa et al., 2008</w:t>
      </w:r>
      <w:r w:rsidRPr="007F77C5">
        <w:rPr>
          <w:rFonts w:cs="Times New Roman"/>
          <w:noProof/>
          <w:color w:val="000000" w:themeColor="text1"/>
        </w:rPr>
        <w:t xml:space="preserve">; </w:t>
      </w:r>
      <w:r w:rsidRPr="007F77C5">
        <w:rPr>
          <w:rFonts w:cs="Times New Roman"/>
        </w:rPr>
        <w:t>Mitchell et al., 2015</w:t>
      </w:r>
      <w:r w:rsidRPr="007F77C5">
        <w:rPr>
          <w:rFonts w:cs="Times New Roman"/>
          <w:noProof/>
          <w:color w:val="000000" w:themeColor="text1"/>
        </w:rPr>
        <w:t>)</w:t>
      </w:r>
      <w:r w:rsidRPr="007F77C5">
        <w:rPr>
          <w:rFonts w:cs="Times New Roman"/>
          <w:color w:val="000000" w:themeColor="text1"/>
        </w:rPr>
        <w:t xml:space="preserve">. Some insight into the influence of spectral quality on plant growth was gained by applying filters to conventional lighting systems, but supplementation of specific narrow wavelengths was not feasible until LED technology became available </w:t>
      </w:r>
      <w:r w:rsidRPr="007F77C5">
        <w:rPr>
          <w:rFonts w:cs="Times New Roman"/>
          <w:noProof/>
          <w:color w:val="000000" w:themeColor="text1"/>
        </w:rPr>
        <w:t>(</w:t>
      </w:r>
      <w:r w:rsidRPr="007F77C5">
        <w:rPr>
          <w:rFonts w:cs="Times New Roman"/>
        </w:rPr>
        <w:t>Mitchell, 2022</w:t>
      </w:r>
      <w:r w:rsidRPr="007F77C5">
        <w:rPr>
          <w:rFonts w:cs="Times New Roman"/>
          <w:noProof/>
          <w:color w:val="000000" w:themeColor="text1"/>
        </w:rPr>
        <w:t>)</w:t>
      </w:r>
      <w:r w:rsidRPr="007F77C5">
        <w:rPr>
          <w:rFonts w:cs="Times New Roman"/>
          <w:color w:val="000000" w:themeColor="text1"/>
        </w:rPr>
        <w:t xml:space="preserve">. This opens countless possibilities for experimenting with different spectral compositions </w:t>
      </w:r>
      <w:r w:rsidRPr="007F77C5">
        <w:rPr>
          <w:rFonts w:cs="Times New Roman"/>
          <w:noProof/>
          <w:color w:val="000000" w:themeColor="text1"/>
        </w:rPr>
        <w:t>(</w:t>
      </w:r>
      <w:r w:rsidRPr="007F77C5">
        <w:rPr>
          <w:rFonts w:cs="Times New Roman"/>
        </w:rPr>
        <w:t>Massa et al., 2008</w:t>
      </w:r>
      <w:r w:rsidRPr="007F77C5">
        <w:rPr>
          <w:rFonts w:cs="Times New Roman"/>
          <w:noProof/>
          <w:color w:val="000000" w:themeColor="text1"/>
        </w:rPr>
        <w:t xml:space="preserve">; </w:t>
      </w:r>
      <w:r w:rsidRPr="007F77C5">
        <w:rPr>
          <w:rFonts w:cs="Times New Roman"/>
        </w:rPr>
        <w:t>Pimputkar et al., 2009</w:t>
      </w:r>
      <w:r w:rsidRPr="007F77C5">
        <w:rPr>
          <w:rFonts w:cs="Times New Roman"/>
          <w:noProof/>
          <w:color w:val="000000" w:themeColor="text1"/>
        </w:rPr>
        <w:t>)</w:t>
      </w:r>
      <w:r w:rsidRPr="007F77C5">
        <w:rPr>
          <w:rFonts w:cs="Times New Roman"/>
          <w:color w:val="000000" w:themeColor="text1"/>
        </w:rPr>
        <w:t xml:space="preserve">. Currently, LEDs are used for various purposes in the horticultural industry, including controlled </w:t>
      </w:r>
      <w:r w:rsidRPr="007F77C5">
        <w:rPr>
          <w:rFonts w:cs="Times New Roman"/>
          <w:color w:val="000000" w:themeColor="text1"/>
        </w:rPr>
        <w:lastRenderedPageBreak/>
        <w:t xml:space="preserve">environment research, tissue culture and propagation, photoperiod control, daily light integral extension, and supplemental lighting regimes with specific spectra and intensities </w:t>
      </w:r>
      <w:r w:rsidRPr="007F77C5">
        <w:rPr>
          <w:rFonts w:cs="Times New Roman"/>
          <w:noProof/>
          <w:color w:val="000000" w:themeColor="text1"/>
        </w:rPr>
        <w:t>(</w:t>
      </w:r>
      <w:r w:rsidRPr="007F77C5">
        <w:rPr>
          <w:rFonts w:cs="Times New Roman"/>
        </w:rPr>
        <w:t>Mitchell, 2022</w:t>
      </w:r>
      <w:r w:rsidRPr="007F77C5">
        <w:rPr>
          <w:rFonts w:cs="Times New Roman"/>
          <w:noProof/>
          <w:color w:val="000000" w:themeColor="text1"/>
        </w:rPr>
        <w:t>)</w:t>
      </w:r>
      <w:r w:rsidRPr="007F77C5">
        <w:rPr>
          <w:rFonts w:cs="Times New Roman"/>
          <w:color w:val="000000" w:themeColor="text1"/>
        </w:rPr>
        <w:t>.</w:t>
      </w:r>
    </w:p>
    <w:p w14:paraId="5952F9E7" w14:textId="77777777" w:rsidR="00126D8D" w:rsidRPr="007F77C5" w:rsidRDefault="00126D8D" w:rsidP="00224B41">
      <w:pPr>
        <w:ind w:firstLine="720"/>
        <w:jc w:val="both"/>
        <w:rPr>
          <w:rFonts w:cs="Times New Roman"/>
          <w:color w:val="000000" w:themeColor="text1"/>
        </w:rPr>
      </w:pPr>
      <w:r w:rsidRPr="007F77C5">
        <w:rPr>
          <w:rFonts w:cs="Times New Roman"/>
          <w:color w:val="000000" w:themeColor="text1"/>
        </w:rPr>
        <w:t xml:space="preserve">A </w:t>
      </w:r>
      <w:bookmarkStart w:id="43" w:name="_Hlk140247843"/>
      <w:r w:rsidRPr="007F77C5">
        <w:rPr>
          <w:rFonts w:cs="Times New Roman"/>
          <w:color w:val="000000" w:themeColor="text1"/>
        </w:rPr>
        <w:t>light-emitting diode</w:t>
      </w:r>
      <w:bookmarkEnd w:id="43"/>
      <w:r w:rsidRPr="007F77C5">
        <w:rPr>
          <w:rFonts w:cs="Times New Roman"/>
          <w:color w:val="000000" w:themeColor="text1"/>
        </w:rPr>
        <w:t xml:space="preserve">, or LED, is a source of light that uses semiconductor technology rather than a filament or gas discharge </w:t>
      </w:r>
      <w:r w:rsidRPr="007F77C5">
        <w:rPr>
          <w:rFonts w:cs="Times New Roman"/>
          <w:noProof/>
          <w:color w:val="000000" w:themeColor="text1"/>
        </w:rPr>
        <w:t>(</w:t>
      </w:r>
      <w:r w:rsidRPr="007F77C5">
        <w:rPr>
          <w:rFonts w:cs="Times New Roman"/>
        </w:rPr>
        <w:t>Hasan et al., 2017</w:t>
      </w:r>
      <w:r w:rsidRPr="007F77C5">
        <w:rPr>
          <w:rFonts w:cs="Times New Roman"/>
          <w:noProof/>
          <w:color w:val="000000" w:themeColor="text1"/>
        </w:rPr>
        <w:t>)</w:t>
      </w:r>
      <w:r w:rsidRPr="007F77C5">
        <w:rPr>
          <w:rFonts w:cs="Times New Roman"/>
          <w:color w:val="000000" w:themeColor="text1"/>
        </w:rPr>
        <w:t xml:space="preserve">. When an electric current is passed through the semiconductor material, electrons can flow across the gap and release energy in the form of photons </w:t>
      </w:r>
      <w:r w:rsidRPr="007F77C5">
        <w:rPr>
          <w:rFonts w:cs="Times New Roman"/>
          <w:noProof/>
          <w:color w:val="000000" w:themeColor="text1"/>
        </w:rPr>
        <w:t>(</w:t>
      </w:r>
      <w:r w:rsidRPr="007F77C5">
        <w:rPr>
          <w:rFonts w:cs="Times New Roman"/>
        </w:rPr>
        <w:t>Pattison et al., 2018</w:t>
      </w:r>
      <w:r w:rsidRPr="007F77C5">
        <w:rPr>
          <w:rFonts w:cs="Times New Roman"/>
          <w:noProof/>
          <w:color w:val="000000" w:themeColor="text1"/>
        </w:rPr>
        <w:t>)</w:t>
      </w:r>
      <w:r w:rsidRPr="007F77C5">
        <w:rPr>
          <w:rFonts w:cs="Times New Roman"/>
          <w:color w:val="000000" w:themeColor="text1"/>
        </w:rPr>
        <w:t xml:space="preserve">. The wavelength of the light emitted by an LED depends on the chemical composition of the semiconductor material. LEDs are used in many applications outside of horticulture, including electronic displays, automotive lighting, and general lighting </w:t>
      </w:r>
      <w:r w:rsidRPr="007F77C5">
        <w:rPr>
          <w:rFonts w:cs="Times New Roman"/>
          <w:noProof/>
          <w:color w:val="000000" w:themeColor="text1"/>
        </w:rPr>
        <w:t>(</w:t>
      </w:r>
      <w:r w:rsidRPr="007F77C5">
        <w:rPr>
          <w:rFonts w:cs="Times New Roman"/>
        </w:rPr>
        <w:t>Xu et al., 2016</w:t>
      </w:r>
      <w:r w:rsidRPr="007F77C5">
        <w:rPr>
          <w:rFonts w:cs="Times New Roman"/>
          <w:noProof/>
          <w:color w:val="000000" w:themeColor="text1"/>
        </w:rPr>
        <w:t>)</w:t>
      </w:r>
      <w:r w:rsidRPr="007F77C5">
        <w:rPr>
          <w:rFonts w:cs="Times New Roman"/>
          <w:color w:val="000000" w:themeColor="text1"/>
        </w:rPr>
        <w:t xml:space="preserve">. They require much less electricity to produce the same amount of light as traditional incandescent bulbs or fluorescent tubes </w:t>
      </w:r>
      <w:r w:rsidRPr="007F77C5">
        <w:rPr>
          <w:rFonts w:cs="Times New Roman"/>
          <w:noProof/>
          <w:color w:val="000000" w:themeColor="text1"/>
        </w:rPr>
        <w:t>(</w:t>
      </w:r>
      <w:r w:rsidRPr="007F77C5">
        <w:rPr>
          <w:rFonts w:cs="Times New Roman"/>
        </w:rPr>
        <w:t>Bantis et al., 2018</w:t>
      </w:r>
      <w:r w:rsidRPr="007F77C5">
        <w:rPr>
          <w:rFonts w:cs="Times New Roman"/>
          <w:noProof/>
          <w:color w:val="000000" w:themeColor="text1"/>
        </w:rPr>
        <w:t xml:space="preserve">; </w:t>
      </w:r>
      <w:r w:rsidRPr="007F77C5">
        <w:rPr>
          <w:rFonts w:cs="Times New Roman"/>
        </w:rPr>
        <w:t>Bispo-Jr et al., 2021</w:t>
      </w:r>
      <w:r w:rsidRPr="007F77C5">
        <w:rPr>
          <w:rFonts w:cs="Times New Roman"/>
          <w:noProof/>
          <w:color w:val="000000" w:themeColor="text1"/>
        </w:rPr>
        <w:t xml:space="preserve">; </w:t>
      </w:r>
      <w:r w:rsidRPr="007F77C5">
        <w:rPr>
          <w:rFonts w:cs="Times New Roman"/>
        </w:rPr>
        <w:t>Singh et al., 2015</w:t>
      </w:r>
      <w:r w:rsidRPr="007F77C5">
        <w:rPr>
          <w:rFonts w:cs="Times New Roman"/>
          <w:noProof/>
          <w:color w:val="000000" w:themeColor="text1"/>
        </w:rPr>
        <w:t>)</w:t>
      </w:r>
      <w:r w:rsidRPr="007F77C5">
        <w:rPr>
          <w:rFonts w:cs="Times New Roman"/>
          <w:color w:val="000000" w:themeColor="text1"/>
        </w:rPr>
        <w:t xml:space="preserve">. In addition, LEDs are long-lasting and durable and do not contain toxic materials. As a result, LEDs are becoming increasingly popular as a more environmentally friendly alternative to traditional forms of lighting. Their lifetime can reach up to 100,000 h, as compared to HPS lighting, which is rated to perform a maximum of 20,000 h under optimal conditions </w:t>
      </w:r>
      <w:r w:rsidRPr="007F77C5">
        <w:rPr>
          <w:rFonts w:cs="Times New Roman"/>
          <w:noProof/>
          <w:color w:val="000000" w:themeColor="text1"/>
        </w:rPr>
        <w:t>(</w:t>
      </w:r>
      <w:r w:rsidRPr="007F77C5">
        <w:rPr>
          <w:rFonts w:cs="Times New Roman"/>
        </w:rPr>
        <w:t>Mitchell, 2004</w:t>
      </w:r>
      <w:r w:rsidRPr="007F77C5">
        <w:rPr>
          <w:rFonts w:cs="Times New Roman"/>
          <w:noProof/>
          <w:color w:val="000000" w:themeColor="text1"/>
        </w:rPr>
        <w:t>)</w:t>
      </w:r>
      <w:r w:rsidRPr="007F77C5">
        <w:rPr>
          <w:rFonts w:cs="Times New Roman"/>
          <w:color w:val="000000" w:themeColor="text1"/>
        </w:rPr>
        <w:t xml:space="preserve">. LEDs are the first lighting source to provide the capability of accurate spectral control, something that has not been possible using previous lighting technologies. The higher initial cost of LEDs is quickly offset by the decreased energy consumption of HPS lighting and positive yield impacts, especially as manufacturing costs continue to decrease over time </w:t>
      </w:r>
      <w:r w:rsidRPr="007F77C5">
        <w:rPr>
          <w:rFonts w:cs="Times New Roman"/>
          <w:noProof/>
          <w:color w:val="000000" w:themeColor="text1"/>
        </w:rPr>
        <w:t>(</w:t>
      </w:r>
      <w:r w:rsidRPr="007F77C5">
        <w:rPr>
          <w:rFonts w:cs="Times New Roman"/>
        </w:rPr>
        <w:t>Katzin et al., 2021</w:t>
      </w:r>
      <w:r w:rsidRPr="007F77C5">
        <w:rPr>
          <w:rFonts w:cs="Times New Roman"/>
          <w:noProof/>
          <w:color w:val="000000" w:themeColor="text1"/>
        </w:rPr>
        <w:t xml:space="preserve">; </w:t>
      </w:r>
      <w:r w:rsidRPr="007F77C5">
        <w:rPr>
          <w:rFonts w:cs="Times New Roman"/>
        </w:rPr>
        <w:t>Sipos et al., 2020</w:t>
      </w:r>
      <w:r w:rsidRPr="007F77C5">
        <w:rPr>
          <w:rFonts w:cs="Times New Roman"/>
          <w:noProof/>
          <w:color w:val="000000" w:themeColor="text1"/>
        </w:rPr>
        <w:t>)</w:t>
      </w:r>
      <w:r w:rsidRPr="007F77C5">
        <w:rPr>
          <w:rFonts w:cs="Times New Roman"/>
          <w:color w:val="000000" w:themeColor="text1"/>
        </w:rPr>
        <w:t xml:space="preserve">. Unlike HPS lights, or other high intensity discharge (HID) lamps, LEDs do not require a warm-up time and can be programmed with complex lighting schedules and spectral adjustments without the risk of damage/lifespan reduction, such as photoperiod compensation and targeted intra-canopy lighting. Because they are solid-state devices, they can be easily integrated into </w:t>
      </w:r>
      <w:r w:rsidRPr="007F77C5">
        <w:rPr>
          <w:rFonts w:cs="Times New Roman"/>
          <w:color w:val="000000" w:themeColor="text1"/>
        </w:rPr>
        <w:lastRenderedPageBreak/>
        <w:t xml:space="preserve">complex digital control systems. LED lighting is an exciting new technology with tremendous potential in the horticultural industry </w:t>
      </w:r>
      <w:r w:rsidRPr="007F77C5">
        <w:rPr>
          <w:rFonts w:cs="Times New Roman"/>
          <w:noProof/>
          <w:color w:val="000000" w:themeColor="text1"/>
        </w:rPr>
        <w:t>(</w:t>
      </w:r>
      <w:r w:rsidRPr="007F77C5">
        <w:rPr>
          <w:rFonts w:cs="Times New Roman"/>
        </w:rPr>
        <w:t>Weaver et al., 2019</w:t>
      </w:r>
      <w:r w:rsidRPr="007F77C5">
        <w:rPr>
          <w:rFonts w:cs="Times New Roman"/>
          <w:noProof/>
          <w:color w:val="000000" w:themeColor="text1"/>
        </w:rPr>
        <w:t>)</w:t>
      </w:r>
      <w:r w:rsidRPr="007F77C5">
        <w:rPr>
          <w:rFonts w:cs="Times New Roman"/>
          <w:color w:val="000000" w:themeColor="text1"/>
        </w:rPr>
        <w:t>.</w:t>
      </w:r>
    </w:p>
    <w:p w14:paraId="5F4A0602" w14:textId="77777777" w:rsidR="00126D8D" w:rsidRPr="007F77C5" w:rsidRDefault="00126D8D" w:rsidP="00224B41">
      <w:pPr>
        <w:spacing w:line="240" w:lineRule="auto"/>
        <w:rPr>
          <w:rFonts w:cs="Times New Roman"/>
          <w:b/>
          <w:color w:val="000000" w:themeColor="text1"/>
          <w:sz w:val="28"/>
        </w:rPr>
      </w:pPr>
      <w:bookmarkStart w:id="44" w:name="_Toc114189697"/>
      <w:bookmarkStart w:id="45" w:name="_Toc114189780"/>
      <w:bookmarkStart w:id="46" w:name="_Toc113382864"/>
    </w:p>
    <w:p w14:paraId="35D55491" w14:textId="77777777" w:rsidR="00126D8D" w:rsidRPr="007F77C5" w:rsidRDefault="00126D8D" w:rsidP="00224B41">
      <w:pPr>
        <w:pStyle w:val="MastersThesisMainTitle"/>
      </w:pPr>
      <w:bookmarkStart w:id="47" w:name="_Toc139574772"/>
      <w:bookmarkStart w:id="48" w:name="_Toc141478642"/>
      <w:r w:rsidRPr="007F77C5">
        <w:t>Fundamentals of Light and Its Interaction with Plants</w:t>
      </w:r>
      <w:bookmarkEnd w:id="44"/>
      <w:bookmarkEnd w:id="45"/>
      <w:bookmarkEnd w:id="47"/>
      <w:bookmarkEnd w:id="48"/>
    </w:p>
    <w:p w14:paraId="541A1059" w14:textId="77777777" w:rsidR="00126D8D" w:rsidRPr="007F77C5" w:rsidRDefault="00126D8D" w:rsidP="00224B41">
      <w:pPr>
        <w:ind w:firstLine="720"/>
        <w:jc w:val="both"/>
        <w:rPr>
          <w:rFonts w:cs="Times New Roman"/>
          <w:color w:val="000000" w:themeColor="text1"/>
        </w:rPr>
      </w:pPr>
      <w:r w:rsidRPr="007F77C5">
        <w:rPr>
          <w:rFonts w:cs="Times New Roman"/>
          <w:color w:val="000000" w:themeColor="text1"/>
        </w:rPr>
        <w:t xml:space="preserve">Plants convert light energy into chemical energy and execute primary/secondary metabolic functions using that chemical energy. The amount of light, its duration, direction, and spectral quality have a direct influence on plant growth and development </w:t>
      </w:r>
      <w:r w:rsidRPr="007F77C5">
        <w:rPr>
          <w:rFonts w:cs="Times New Roman"/>
          <w:noProof/>
          <w:color w:val="000000" w:themeColor="text1"/>
        </w:rPr>
        <w:t>(</w:t>
      </w:r>
      <w:r w:rsidRPr="007F77C5">
        <w:rPr>
          <w:rFonts w:cs="Times New Roman"/>
        </w:rPr>
        <w:t>Colquhoun et al., 2013</w:t>
      </w:r>
      <w:r w:rsidRPr="007F77C5">
        <w:rPr>
          <w:rFonts w:cs="Times New Roman"/>
          <w:noProof/>
          <w:color w:val="000000" w:themeColor="text1"/>
        </w:rPr>
        <w:t xml:space="preserve">; </w:t>
      </w:r>
      <w:r w:rsidRPr="007F77C5">
        <w:rPr>
          <w:rFonts w:cs="Times New Roman"/>
        </w:rPr>
        <w:t>Smith, 1982</w:t>
      </w:r>
      <w:r w:rsidRPr="007F77C5">
        <w:rPr>
          <w:rFonts w:cs="Times New Roman"/>
          <w:noProof/>
          <w:color w:val="000000" w:themeColor="text1"/>
        </w:rPr>
        <w:t>)</w:t>
      </w:r>
      <w:r w:rsidRPr="007F77C5">
        <w:rPr>
          <w:rFonts w:cs="Times New Roman"/>
          <w:color w:val="000000" w:themeColor="text1"/>
        </w:rPr>
        <w:t xml:space="preserve">. Even though we have a fair understanding of the primary and secondary metabolic pathways for various plant species, some information is still either missing or unconfirmed. To date, we have not fully explored how different wavelengths affect secondary metabolism in plants, nor interactions between primary and secondary metabolism in response to changes in light quality </w:t>
      </w:r>
      <w:r w:rsidRPr="007F77C5">
        <w:rPr>
          <w:rFonts w:cs="Times New Roman"/>
          <w:noProof/>
          <w:color w:val="000000" w:themeColor="text1"/>
        </w:rPr>
        <w:t>(</w:t>
      </w:r>
      <w:r w:rsidRPr="007F77C5">
        <w:rPr>
          <w:rFonts w:cs="Times New Roman"/>
        </w:rPr>
        <w:t>Bugbee, 2016</w:t>
      </w:r>
      <w:r w:rsidRPr="007F77C5">
        <w:rPr>
          <w:rFonts w:cs="Times New Roman"/>
          <w:noProof/>
          <w:color w:val="000000" w:themeColor="text1"/>
        </w:rPr>
        <w:t xml:space="preserve">; </w:t>
      </w:r>
      <w:r w:rsidRPr="007F77C5">
        <w:rPr>
          <w:rFonts w:cs="Times New Roman"/>
        </w:rPr>
        <w:t>Kelly and Runkle, 2020</w:t>
      </w:r>
      <w:r w:rsidRPr="007F77C5">
        <w:rPr>
          <w:rFonts w:cs="Times New Roman"/>
          <w:noProof/>
          <w:color w:val="000000" w:themeColor="text1"/>
        </w:rPr>
        <w:t xml:space="preserve">; </w:t>
      </w:r>
      <w:r w:rsidRPr="007F77C5">
        <w:rPr>
          <w:rFonts w:cs="Times New Roman"/>
        </w:rPr>
        <w:t>Shumskaya and Wurtzel, 2013</w:t>
      </w:r>
      <w:r w:rsidRPr="007F77C5">
        <w:rPr>
          <w:rFonts w:cs="Times New Roman"/>
          <w:noProof/>
          <w:color w:val="000000" w:themeColor="text1"/>
        </w:rPr>
        <w:t xml:space="preserve">; </w:t>
      </w:r>
      <w:r w:rsidRPr="007F77C5">
        <w:rPr>
          <w:rFonts w:cs="Times New Roman"/>
        </w:rPr>
        <w:t>Tarakanov et al., 2022</w:t>
      </w:r>
      <w:r w:rsidRPr="007F77C5">
        <w:rPr>
          <w:rFonts w:cs="Times New Roman"/>
          <w:noProof/>
          <w:color w:val="000000" w:themeColor="text1"/>
        </w:rPr>
        <w:t>)</w:t>
      </w:r>
      <w:r w:rsidRPr="007F77C5">
        <w:rPr>
          <w:rFonts w:cs="Times New Roman"/>
          <w:color w:val="000000" w:themeColor="text1"/>
        </w:rPr>
        <w:t xml:space="preserve">. These interactions between pathways could result in positive or negative effects on various critical products both pre- and post-harvest. </w:t>
      </w:r>
    </w:p>
    <w:p w14:paraId="06F1FFBA" w14:textId="77777777" w:rsidR="00126D8D" w:rsidRPr="007F77C5" w:rsidRDefault="00126D8D" w:rsidP="00224B41">
      <w:pPr>
        <w:ind w:firstLine="720"/>
        <w:jc w:val="both"/>
        <w:rPr>
          <w:rFonts w:cs="Times New Roman"/>
          <w:color w:val="000000" w:themeColor="text1"/>
        </w:rPr>
      </w:pPr>
      <w:r w:rsidRPr="007F77C5">
        <w:rPr>
          <w:rFonts w:cs="Times New Roman"/>
          <w:color w:val="000000" w:themeColor="text1"/>
        </w:rPr>
        <w:t xml:space="preserve">Photosynthetically active radiation (PAR) is known as the portion of the light spectrum that is most active in photosynthesis </w:t>
      </w:r>
      <w:r w:rsidRPr="007F77C5">
        <w:rPr>
          <w:rFonts w:cs="Times New Roman"/>
          <w:noProof/>
          <w:color w:val="000000" w:themeColor="text1"/>
        </w:rPr>
        <w:t>(</w:t>
      </w:r>
      <w:r w:rsidRPr="007F77C5">
        <w:rPr>
          <w:rFonts w:cs="Times New Roman"/>
        </w:rPr>
        <w:t>Mccree, 1971</w:t>
      </w:r>
      <w:r w:rsidRPr="007F77C5">
        <w:rPr>
          <w:rFonts w:cs="Times New Roman"/>
          <w:noProof/>
          <w:color w:val="000000" w:themeColor="text1"/>
        </w:rPr>
        <w:t>)</w:t>
      </w:r>
      <w:r w:rsidRPr="007F77C5">
        <w:rPr>
          <w:rFonts w:cs="Times New Roman"/>
          <w:color w:val="000000" w:themeColor="text1"/>
        </w:rPr>
        <w:t xml:space="preserve">. It ranges from 400-700 nm and is closely correlated with the visible spectrum of the human eye </w:t>
      </w:r>
      <w:r w:rsidRPr="007F77C5">
        <w:rPr>
          <w:rFonts w:cs="Times New Roman"/>
          <w:noProof/>
          <w:color w:val="000000" w:themeColor="text1"/>
        </w:rPr>
        <w:t>(</w:t>
      </w:r>
      <w:r w:rsidRPr="007F77C5">
        <w:rPr>
          <w:rFonts w:cs="Times New Roman"/>
        </w:rPr>
        <w:t>Barta et al., 1992</w:t>
      </w:r>
      <w:r w:rsidRPr="007F77C5">
        <w:rPr>
          <w:rFonts w:cs="Times New Roman"/>
          <w:noProof/>
          <w:color w:val="000000" w:themeColor="text1"/>
        </w:rPr>
        <w:t>)</w:t>
      </w:r>
      <w:r w:rsidRPr="007F77C5">
        <w:rPr>
          <w:rFonts w:cs="Times New Roman"/>
          <w:color w:val="000000" w:themeColor="text1"/>
        </w:rPr>
        <w:t xml:space="preserve">. The quantity of light provided throughout the PAR region is adequate for photosynthesis and primary metabolism. A growing body of literature suggests that other wavelengths, primarily far-red, also have photosynthetic effects </w:t>
      </w:r>
      <w:r w:rsidRPr="007F77C5">
        <w:rPr>
          <w:rFonts w:cs="Times New Roman"/>
          <w:noProof/>
          <w:color w:val="000000" w:themeColor="text1"/>
        </w:rPr>
        <w:t>(</w:t>
      </w:r>
      <w:r w:rsidRPr="007F77C5">
        <w:rPr>
          <w:rFonts w:cs="Times New Roman"/>
        </w:rPr>
        <w:t>Demotes-Mainard et al., 2016</w:t>
      </w:r>
      <w:r w:rsidRPr="007F77C5">
        <w:rPr>
          <w:rFonts w:cs="Times New Roman"/>
          <w:noProof/>
          <w:color w:val="000000" w:themeColor="text1"/>
        </w:rPr>
        <w:t xml:space="preserve">; </w:t>
      </w:r>
      <w:r w:rsidRPr="007F77C5">
        <w:rPr>
          <w:rFonts w:cs="Times New Roman"/>
        </w:rPr>
        <w:t>Leiser et al., 1960</w:t>
      </w:r>
      <w:r w:rsidRPr="007F77C5">
        <w:rPr>
          <w:rFonts w:cs="Times New Roman"/>
          <w:noProof/>
          <w:color w:val="000000" w:themeColor="text1"/>
        </w:rPr>
        <w:t xml:space="preserve">; </w:t>
      </w:r>
      <w:r w:rsidRPr="007F77C5">
        <w:rPr>
          <w:rFonts w:cs="Times New Roman"/>
        </w:rPr>
        <w:t>Mokvist et al., 2014</w:t>
      </w:r>
      <w:r w:rsidRPr="007F77C5">
        <w:rPr>
          <w:rFonts w:cs="Times New Roman"/>
          <w:noProof/>
          <w:color w:val="000000" w:themeColor="text1"/>
        </w:rPr>
        <w:t xml:space="preserve">; </w:t>
      </w:r>
      <w:r w:rsidRPr="007F77C5">
        <w:rPr>
          <w:rFonts w:cs="Times New Roman"/>
        </w:rPr>
        <w:t>Pazuki, 2017</w:t>
      </w:r>
      <w:r w:rsidRPr="007F77C5">
        <w:rPr>
          <w:rFonts w:cs="Times New Roman"/>
          <w:noProof/>
          <w:color w:val="000000" w:themeColor="text1"/>
        </w:rPr>
        <w:t xml:space="preserve">; </w:t>
      </w:r>
      <w:r w:rsidRPr="007F77C5">
        <w:rPr>
          <w:rFonts w:cs="Times New Roman"/>
        </w:rPr>
        <w:t>Ritz et al., 2000</w:t>
      </w:r>
      <w:r w:rsidRPr="007F77C5">
        <w:rPr>
          <w:rFonts w:cs="Times New Roman"/>
          <w:noProof/>
          <w:color w:val="000000" w:themeColor="text1"/>
        </w:rPr>
        <w:t xml:space="preserve">; </w:t>
      </w:r>
      <w:r w:rsidRPr="007F77C5">
        <w:rPr>
          <w:rFonts w:cs="Times New Roman"/>
        </w:rPr>
        <w:t>Sakshaug et al., 1997</w:t>
      </w:r>
      <w:r w:rsidRPr="007F77C5">
        <w:rPr>
          <w:rFonts w:cs="Times New Roman"/>
          <w:noProof/>
          <w:color w:val="000000" w:themeColor="text1"/>
        </w:rPr>
        <w:t xml:space="preserve">; </w:t>
      </w:r>
      <w:r w:rsidRPr="007F77C5">
        <w:rPr>
          <w:rFonts w:cs="Times New Roman"/>
        </w:rPr>
        <w:t>Thapper et al., 2009</w:t>
      </w:r>
      <w:r w:rsidRPr="007F77C5">
        <w:rPr>
          <w:rFonts w:cs="Times New Roman"/>
          <w:noProof/>
          <w:color w:val="000000" w:themeColor="text1"/>
        </w:rPr>
        <w:t xml:space="preserve">; </w:t>
      </w:r>
      <w:r w:rsidRPr="007F77C5">
        <w:rPr>
          <w:rFonts w:cs="Times New Roman"/>
        </w:rPr>
        <w:t>Zhang et al., 2020</w:t>
      </w:r>
      <w:r w:rsidRPr="007F77C5">
        <w:rPr>
          <w:rFonts w:cs="Times New Roman"/>
          <w:noProof/>
          <w:color w:val="000000" w:themeColor="text1"/>
        </w:rPr>
        <w:t xml:space="preserve">; </w:t>
      </w:r>
      <w:r w:rsidRPr="007F77C5">
        <w:rPr>
          <w:rFonts w:cs="Times New Roman"/>
        </w:rPr>
        <w:t>Zhen and Bugbee, 2020</w:t>
      </w:r>
      <w:r w:rsidRPr="007F77C5">
        <w:rPr>
          <w:rFonts w:cs="Times New Roman"/>
          <w:noProof/>
          <w:color w:val="000000" w:themeColor="text1"/>
        </w:rPr>
        <w:t xml:space="preserve">; </w:t>
      </w:r>
      <w:r w:rsidRPr="007F77C5">
        <w:rPr>
          <w:rFonts w:cs="Times New Roman"/>
        </w:rPr>
        <w:t>Zhen et al., 2021</w:t>
      </w:r>
      <w:r w:rsidRPr="007F77C5">
        <w:rPr>
          <w:rFonts w:cs="Times New Roman"/>
          <w:noProof/>
          <w:color w:val="000000" w:themeColor="text1"/>
        </w:rPr>
        <w:t>)</w:t>
      </w:r>
      <w:r w:rsidRPr="007F77C5">
        <w:rPr>
          <w:rFonts w:cs="Times New Roman"/>
          <w:color w:val="000000" w:themeColor="text1"/>
        </w:rPr>
        <w:t xml:space="preserve">. Light quality concerns the spectral distribution of radiation supplied and what wavebands are transmitted by the source </w:t>
      </w:r>
      <w:r w:rsidRPr="007F77C5">
        <w:rPr>
          <w:rFonts w:cs="Times New Roman"/>
          <w:noProof/>
          <w:color w:val="000000" w:themeColor="text1"/>
        </w:rPr>
        <w:t>(</w:t>
      </w:r>
      <w:r w:rsidRPr="007F77C5">
        <w:rPr>
          <w:rFonts w:cs="Times New Roman"/>
        </w:rPr>
        <w:t>Mccree, 1973</w:t>
      </w:r>
      <w:r w:rsidRPr="007F77C5">
        <w:rPr>
          <w:rFonts w:cs="Times New Roman"/>
          <w:noProof/>
          <w:color w:val="000000" w:themeColor="text1"/>
        </w:rPr>
        <w:t>)</w:t>
      </w:r>
      <w:r w:rsidRPr="007F77C5">
        <w:rPr>
          <w:rFonts w:cs="Times New Roman"/>
          <w:color w:val="000000" w:themeColor="text1"/>
        </w:rPr>
        <w:t xml:space="preserve">. </w:t>
      </w:r>
    </w:p>
    <w:p w14:paraId="0CEC2A70" w14:textId="77777777" w:rsidR="00126D8D" w:rsidRPr="007F77C5" w:rsidRDefault="00126D8D" w:rsidP="00224B41">
      <w:pPr>
        <w:ind w:firstLine="720"/>
        <w:jc w:val="both"/>
        <w:rPr>
          <w:rFonts w:cs="Times New Roman"/>
          <w:color w:val="000000" w:themeColor="text1"/>
        </w:rPr>
      </w:pPr>
      <w:r w:rsidRPr="007F77C5">
        <w:rPr>
          <w:rFonts w:cs="Times New Roman"/>
          <w:color w:val="000000" w:themeColor="text1"/>
        </w:rPr>
        <w:lastRenderedPageBreak/>
        <w:t xml:space="preserve">Plant tissues include several pigments and photoactive chemicals that require specific wavebands of energy to function </w:t>
      </w:r>
      <w:r w:rsidRPr="007F77C5">
        <w:rPr>
          <w:rFonts w:cs="Times New Roman"/>
          <w:noProof/>
          <w:color w:val="000000" w:themeColor="text1"/>
        </w:rPr>
        <w:t>(</w:t>
      </w:r>
      <w:r w:rsidRPr="007F77C5">
        <w:rPr>
          <w:rFonts w:cs="Times New Roman"/>
        </w:rPr>
        <w:t>Briggs and Huala, 1999</w:t>
      </w:r>
      <w:r w:rsidRPr="007F77C5">
        <w:rPr>
          <w:rFonts w:cs="Times New Roman"/>
          <w:noProof/>
          <w:color w:val="000000" w:themeColor="text1"/>
        </w:rPr>
        <w:t xml:space="preserve">; </w:t>
      </w:r>
      <w:r w:rsidRPr="007F77C5">
        <w:rPr>
          <w:rFonts w:cs="Times New Roman"/>
        </w:rPr>
        <w:t>Fraikin et al., 2013</w:t>
      </w:r>
      <w:r w:rsidRPr="007F77C5">
        <w:rPr>
          <w:rFonts w:cs="Times New Roman"/>
          <w:noProof/>
          <w:color w:val="000000" w:themeColor="text1"/>
        </w:rPr>
        <w:t>)</w:t>
      </w:r>
      <w:r w:rsidRPr="007F77C5">
        <w:rPr>
          <w:rFonts w:cs="Times New Roman"/>
          <w:color w:val="000000" w:themeColor="text1"/>
        </w:rPr>
        <w:t xml:space="preserve">. Chlorophyll and carotenoids absorb light energy in the range of 380-400 nanometers, while violet, blue, and green light can be found in the range of 400-520 nm </w:t>
      </w:r>
      <w:r w:rsidRPr="007F77C5">
        <w:rPr>
          <w:rFonts w:cs="Times New Roman"/>
          <w:noProof/>
          <w:color w:val="000000" w:themeColor="text1"/>
        </w:rPr>
        <w:t>(</w:t>
      </w:r>
      <w:r w:rsidRPr="007F77C5">
        <w:rPr>
          <w:rFonts w:cs="Times New Roman"/>
        </w:rPr>
        <w:t>Buchanan, 2015</w:t>
      </w:r>
      <w:r w:rsidRPr="007F77C5">
        <w:rPr>
          <w:rFonts w:cs="Times New Roman"/>
          <w:noProof/>
          <w:color w:val="000000" w:themeColor="text1"/>
        </w:rPr>
        <w:t>)</w:t>
      </w:r>
      <w:r w:rsidRPr="007F77C5">
        <w:rPr>
          <w:rFonts w:cs="Times New Roman"/>
          <w:color w:val="000000" w:themeColor="text1"/>
        </w:rPr>
        <w:t xml:space="preserve">. These wavelengths are responsible for photosynthesis and other metabolic processes in plants. Red and far-red light are found in the range of 620-750 nm and significantly impact plant physiology </w:t>
      </w:r>
      <w:r w:rsidRPr="007F77C5">
        <w:rPr>
          <w:rFonts w:cs="Times New Roman"/>
          <w:noProof/>
          <w:color w:val="000000" w:themeColor="text1"/>
        </w:rPr>
        <w:t>(</w:t>
      </w:r>
      <w:r w:rsidRPr="007F77C5">
        <w:rPr>
          <w:rFonts w:cs="Times New Roman"/>
        </w:rPr>
        <w:t>Buchanan, 2015</w:t>
      </w:r>
      <w:r w:rsidRPr="007F77C5">
        <w:rPr>
          <w:rFonts w:cs="Times New Roman"/>
          <w:noProof/>
          <w:color w:val="000000" w:themeColor="text1"/>
        </w:rPr>
        <w:t>)</w:t>
      </w:r>
      <w:r w:rsidRPr="007F77C5">
        <w:rPr>
          <w:rFonts w:cs="Times New Roman"/>
          <w:color w:val="000000" w:themeColor="text1"/>
        </w:rPr>
        <w:t xml:space="preserve">. Changes in intensity/spectral quality of light directly impact plant physiology and biochemistry (Figure 1.5), and responses from environmental stressors (i.e., changes in light intensity and spectra) prompt a diverse range of photomorphogenic responses across many plant species </w:t>
      </w:r>
      <w:r w:rsidRPr="007F77C5">
        <w:rPr>
          <w:rFonts w:cs="Times New Roman"/>
          <w:noProof/>
          <w:color w:val="000000" w:themeColor="text1"/>
        </w:rPr>
        <w:t>(</w:t>
      </w:r>
      <w:r w:rsidRPr="007F77C5">
        <w:rPr>
          <w:rFonts w:cs="Times New Roman"/>
        </w:rPr>
        <w:t>Davis and Burns, 2016</w:t>
      </w:r>
      <w:r w:rsidRPr="007F77C5">
        <w:rPr>
          <w:rFonts w:cs="Times New Roman"/>
          <w:noProof/>
          <w:color w:val="000000" w:themeColor="text1"/>
        </w:rPr>
        <w:t xml:space="preserve">; </w:t>
      </w:r>
      <w:r w:rsidRPr="007F77C5">
        <w:rPr>
          <w:rFonts w:cs="Times New Roman"/>
        </w:rPr>
        <w:t>Fraikin et al., 2013</w:t>
      </w:r>
      <w:r w:rsidRPr="007F77C5">
        <w:rPr>
          <w:rFonts w:cs="Times New Roman"/>
          <w:noProof/>
          <w:color w:val="000000" w:themeColor="text1"/>
        </w:rPr>
        <w:t xml:space="preserve">; </w:t>
      </w:r>
      <w:r w:rsidRPr="007F77C5">
        <w:rPr>
          <w:rFonts w:cs="Times New Roman"/>
        </w:rPr>
        <w:t>Kusuma and Bugbee, 2021</w:t>
      </w:r>
      <w:r w:rsidRPr="007F77C5">
        <w:rPr>
          <w:rFonts w:cs="Times New Roman"/>
          <w:noProof/>
          <w:color w:val="000000" w:themeColor="text1"/>
        </w:rPr>
        <w:t xml:space="preserve">; </w:t>
      </w:r>
      <w:r w:rsidRPr="007F77C5">
        <w:rPr>
          <w:rFonts w:cs="Times New Roman"/>
        </w:rPr>
        <w:t>Larsen et al., 2020</w:t>
      </w:r>
      <w:r w:rsidRPr="007F77C5">
        <w:rPr>
          <w:rFonts w:cs="Times New Roman"/>
          <w:noProof/>
          <w:color w:val="000000" w:themeColor="text1"/>
        </w:rPr>
        <w:t xml:space="preserve">; </w:t>
      </w:r>
      <w:r w:rsidRPr="007F77C5">
        <w:rPr>
          <w:rFonts w:cs="Times New Roman"/>
        </w:rPr>
        <w:t>Metallo et al., 2018</w:t>
      </w:r>
      <w:r w:rsidRPr="007F77C5">
        <w:rPr>
          <w:rFonts w:cs="Times New Roman"/>
          <w:noProof/>
          <w:color w:val="000000" w:themeColor="text1"/>
        </w:rPr>
        <w:t xml:space="preserve">; </w:t>
      </w:r>
      <w:r w:rsidRPr="007F77C5">
        <w:rPr>
          <w:rFonts w:cs="Times New Roman"/>
        </w:rPr>
        <w:t>Paradiso and Proietti, 2021</w:t>
      </w:r>
      <w:r w:rsidRPr="007F77C5">
        <w:rPr>
          <w:rFonts w:cs="Times New Roman"/>
          <w:noProof/>
          <w:color w:val="000000" w:themeColor="text1"/>
        </w:rPr>
        <w:t xml:space="preserve">; </w:t>
      </w:r>
      <w:r w:rsidRPr="007F77C5">
        <w:rPr>
          <w:rFonts w:cs="Times New Roman"/>
        </w:rPr>
        <w:t>Santin et al., 2021</w:t>
      </w:r>
      <w:r w:rsidRPr="007F77C5">
        <w:rPr>
          <w:rFonts w:cs="Times New Roman"/>
          <w:noProof/>
          <w:color w:val="000000" w:themeColor="text1"/>
        </w:rPr>
        <w:t>)</w:t>
      </w:r>
      <w:r w:rsidRPr="007F77C5">
        <w:rPr>
          <w:rFonts w:cs="Times New Roman"/>
          <w:color w:val="000000" w:themeColor="text1"/>
        </w:rPr>
        <w:t xml:space="preserve">. It has been well documented that plants do not absorb all wavelengths of light at the same rate, and that adding abiotic stressors (such as light) to a plant's environment can impact secondary metabolite production </w:t>
      </w:r>
      <w:r w:rsidRPr="007F77C5">
        <w:rPr>
          <w:rFonts w:cs="Times New Roman"/>
          <w:noProof/>
          <w:color w:val="000000" w:themeColor="text1"/>
        </w:rPr>
        <w:t>(</w:t>
      </w:r>
      <w:r w:rsidRPr="007F77C5">
        <w:rPr>
          <w:rFonts w:cs="Times New Roman"/>
        </w:rPr>
        <w:t>Hammock et al., 2021</w:t>
      </w:r>
      <w:r w:rsidRPr="007F77C5">
        <w:rPr>
          <w:rFonts w:cs="Times New Roman"/>
          <w:noProof/>
          <w:color w:val="000000" w:themeColor="text1"/>
        </w:rPr>
        <w:t xml:space="preserve">; </w:t>
      </w:r>
      <w:r w:rsidRPr="007F77C5">
        <w:rPr>
          <w:rFonts w:cs="Times New Roman"/>
        </w:rPr>
        <w:t>Kopsell et al., 2015</w:t>
      </w:r>
      <w:r w:rsidRPr="007F77C5">
        <w:rPr>
          <w:rFonts w:cs="Times New Roman"/>
          <w:noProof/>
          <w:color w:val="000000" w:themeColor="text1"/>
        </w:rPr>
        <w:t xml:space="preserve">; </w:t>
      </w:r>
      <w:r w:rsidRPr="007F77C5">
        <w:rPr>
          <w:rFonts w:cs="Times New Roman"/>
        </w:rPr>
        <w:t>Landi et al., 2020</w:t>
      </w:r>
      <w:r w:rsidRPr="007F77C5">
        <w:rPr>
          <w:rFonts w:cs="Times New Roman"/>
          <w:noProof/>
          <w:color w:val="000000" w:themeColor="text1"/>
        </w:rPr>
        <w:t xml:space="preserve">; </w:t>
      </w:r>
      <w:r w:rsidRPr="007F77C5">
        <w:rPr>
          <w:rFonts w:cs="Times New Roman"/>
        </w:rPr>
        <w:t>Lichtenthaler, 1987</w:t>
      </w:r>
      <w:r w:rsidRPr="007F77C5">
        <w:rPr>
          <w:rFonts w:cs="Times New Roman"/>
          <w:noProof/>
          <w:color w:val="000000" w:themeColor="text1"/>
        </w:rPr>
        <w:t xml:space="preserve">; </w:t>
      </w:r>
      <w:r w:rsidRPr="007F77C5">
        <w:rPr>
          <w:rFonts w:cs="Times New Roman"/>
        </w:rPr>
        <w:t>Mccree, 1971</w:t>
      </w:r>
      <w:r w:rsidRPr="007F77C5">
        <w:rPr>
          <w:rFonts w:cs="Times New Roman"/>
          <w:noProof/>
          <w:color w:val="000000" w:themeColor="text1"/>
        </w:rPr>
        <w:t xml:space="preserve">; </w:t>
      </w:r>
      <w:r w:rsidRPr="007F77C5">
        <w:rPr>
          <w:rFonts w:cs="Times New Roman"/>
        </w:rPr>
        <w:t>Ouzounis et al., 2015</w:t>
      </w:r>
      <w:r w:rsidRPr="007F77C5">
        <w:rPr>
          <w:rFonts w:cs="Times New Roman"/>
          <w:noProof/>
          <w:color w:val="000000" w:themeColor="text1"/>
        </w:rPr>
        <w:t xml:space="preserve">; </w:t>
      </w:r>
      <w:r w:rsidRPr="007F77C5">
        <w:rPr>
          <w:rFonts w:cs="Times New Roman"/>
        </w:rPr>
        <w:t>Yeum and Russell, 2002</w:t>
      </w:r>
      <w:r w:rsidRPr="007F77C5">
        <w:rPr>
          <w:rFonts w:cs="Times New Roman"/>
          <w:noProof/>
          <w:color w:val="000000" w:themeColor="text1"/>
        </w:rPr>
        <w:t xml:space="preserve">; </w:t>
      </w:r>
      <w:r w:rsidRPr="007F77C5">
        <w:rPr>
          <w:rFonts w:cs="Times New Roman"/>
        </w:rPr>
        <w:t>Young, 1991</w:t>
      </w:r>
      <w:r w:rsidRPr="007F77C5">
        <w:rPr>
          <w:rFonts w:cs="Times New Roman"/>
          <w:noProof/>
          <w:color w:val="000000" w:themeColor="text1"/>
        </w:rPr>
        <w:t>)</w:t>
      </w:r>
      <w:r w:rsidRPr="007F77C5">
        <w:rPr>
          <w:rFonts w:cs="Times New Roman"/>
          <w:color w:val="000000" w:themeColor="text1"/>
        </w:rPr>
        <w:t>. Plants absorb light energy at different wavelengths depending on the concentrations photo-receptive pigments present in tissues (Figures 1.1-1.4). Knowing the mechanisms behind various photoreceptors and pigments, what electromagnetic radiation they accept and absorb, and their effects on plant growth are vital to developing efficient LED light protocols.</w:t>
      </w:r>
    </w:p>
    <w:p w14:paraId="5B24B013" w14:textId="77777777" w:rsidR="00126D8D" w:rsidRPr="007F77C5" w:rsidRDefault="00126D8D" w:rsidP="00224B41">
      <w:pPr>
        <w:ind w:firstLine="720"/>
        <w:jc w:val="both"/>
        <w:rPr>
          <w:rFonts w:cs="Times New Roman"/>
          <w:color w:val="000000" w:themeColor="text1"/>
        </w:rPr>
      </w:pPr>
      <w:r w:rsidRPr="007F77C5">
        <w:rPr>
          <w:rFonts w:cs="Times New Roman"/>
          <w:color w:val="000000" w:themeColor="text1"/>
        </w:rPr>
        <w:t xml:space="preserve">In addition to affecting the physical growth and metabolism of plants, light also affects their biochemical composition. Plants produce a wide variety of chemicals, including pigments, proteins, enzymes, and secondary metabolites </w:t>
      </w:r>
      <w:r w:rsidRPr="007F77C5">
        <w:rPr>
          <w:rFonts w:cs="Times New Roman"/>
          <w:noProof/>
          <w:color w:val="000000" w:themeColor="text1"/>
        </w:rPr>
        <w:t>(</w:t>
      </w:r>
      <w:r w:rsidRPr="007F77C5">
        <w:rPr>
          <w:rFonts w:cs="Times New Roman"/>
        </w:rPr>
        <w:t>Buchanan, 2015</w:t>
      </w:r>
      <w:r w:rsidRPr="007F77C5">
        <w:rPr>
          <w:rFonts w:cs="Times New Roman"/>
          <w:noProof/>
          <w:color w:val="000000" w:themeColor="text1"/>
        </w:rPr>
        <w:t>)</w:t>
      </w:r>
      <w:r w:rsidRPr="007F77C5">
        <w:rPr>
          <w:rFonts w:cs="Times New Roman"/>
          <w:color w:val="000000" w:themeColor="text1"/>
        </w:rPr>
        <w:t xml:space="preserve">. These compounds are essential for plant growth, development, and metabolism. Light affects the production of these chemicals in </w:t>
      </w:r>
      <w:r w:rsidRPr="007F77C5">
        <w:rPr>
          <w:rFonts w:cs="Times New Roman"/>
          <w:color w:val="000000" w:themeColor="text1"/>
        </w:rPr>
        <w:lastRenderedPageBreak/>
        <w:t xml:space="preserve">two ways: directly and indirectly. Direct effects of light on metabolism occur when light energy is converted into chemical energy by pigments or other molecules in the plant </w:t>
      </w:r>
      <w:r w:rsidRPr="007F77C5">
        <w:rPr>
          <w:rFonts w:cs="Times New Roman"/>
          <w:noProof/>
          <w:color w:val="000000" w:themeColor="text1"/>
        </w:rPr>
        <w:t>(</w:t>
      </w:r>
      <w:r w:rsidRPr="007F77C5">
        <w:rPr>
          <w:rFonts w:cs="Times New Roman"/>
        </w:rPr>
        <w:t>Buchanan, 2015</w:t>
      </w:r>
      <w:r w:rsidRPr="007F77C5">
        <w:rPr>
          <w:rFonts w:cs="Times New Roman"/>
          <w:noProof/>
          <w:color w:val="000000" w:themeColor="text1"/>
        </w:rPr>
        <w:t xml:space="preserve">; </w:t>
      </w:r>
      <w:r w:rsidRPr="007F77C5">
        <w:rPr>
          <w:rFonts w:cs="Times New Roman"/>
        </w:rPr>
        <w:t>Wink, 2010</w:t>
      </w:r>
      <w:r w:rsidRPr="007F77C5">
        <w:rPr>
          <w:rFonts w:cs="Times New Roman"/>
          <w:noProof/>
          <w:color w:val="000000" w:themeColor="text1"/>
        </w:rPr>
        <w:t>)</w:t>
      </w:r>
      <w:r w:rsidRPr="007F77C5">
        <w:rPr>
          <w:rFonts w:cs="Times New Roman"/>
          <w:color w:val="000000" w:themeColor="text1"/>
        </w:rPr>
        <w:t xml:space="preserve">. This conversion can result in the synthesis of new molecules or the breakdown of existing molecules. Indirect effects of light on metabolism occur when light affects the activity of enzymes that are involved in biochemical synthesis or degradation </w:t>
      </w:r>
      <w:r w:rsidRPr="007F77C5">
        <w:rPr>
          <w:rFonts w:cs="Times New Roman"/>
          <w:noProof/>
          <w:color w:val="000000" w:themeColor="text1"/>
        </w:rPr>
        <w:t>(</w:t>
      </w:r>
      <w:r w:rsidRPr="007F77C5">
        <w:rPr>
          <w:rFonts w:cs="Times New Roman"/>
        </w:rPr>
        <w:t>Banthorpe et al., 1971</w:t>
      </w:r>
      <w:r w:rsidRPr="007F77C5">
        <w:rPr>
          <w:rFonts w:cs="Times New Roman"/>
          <w:noProof/>
          <w:color w:val="000000" w:themeColor="text1"/>
        </w:rPr>
        <w:t xml:space="preserve">; </w:t>
      </w:r>
      <w:r w:rsidRPr="007F77C5">
        <w:rPr>
          <w:rFonts w:cs="Times New Roman"/>
        </w:rPr>
        <w:t>Frank and Cogdell, 1996</w:t>
      </w:r>
      <w:r w:rsidRPr="007F77C5">
        <w:rPr>
          <w:rFonts w:cs="Times New Roman"/>
          <w:noProof/>
          <w:color w:val="000000" w:themeColor="text1"/>
        </w:rPr>
        <w:t xml:space="preserve">; </w:t>
      </w:r>
      <w:r w:rsidRPr="007F77C5">
        <w:rPr>
          <w:rFonts w:cs="Times New Roman"/>
        </w:rPr>
        <w:t>Schmitt and Wulff, 1993</w:t>
      </w:r>
      <w:r w:rsidRPr="007F77C5">
        <w:rPr>
          <w:rFonts w:cs="Times New Roman"/>
          <w:noProof/>
          <w:color w:val="000000" w:themeColor="text1"/>
        </w:rPr>
        <w:t xml:space="preserve">; </w:t>
      </w:r>
      <w:r w:rsidRPr="007F77C5">
        <w:rPr>
          <w:rFonts w:cs="Times New Roman"/>
        </w:rPr>
        <w:t>Smith, 1982</w:t>
      </w:r>
      <w:r w:rsidRPr="007F77C5">
        <w:rPr>
          <w:rFonts w:cs="Times New Roman"/>
          <w:noProof/>
          <w:color w:val="000000" w:themeColor="text1"/>
        </w:rPr>
        <w:t xml:space="preserve">; </w:t>
      </w:r>
      <w:r w:rsidRPr="007F77C5">
        <w:rPr>
          <w:rFonts w:cs="Times New Roman"/>
        </w:rPr>
        <w:t>Young, 1991</w:t>
      </w:r>
      <w:r w:rsidRPr="007F77C5">
        <w:rPr>
          <w:rFonts w:cs="Times New Roman"/>
          <w:noProof/>
          <w:color w:val="000000" w:themeColor="text1"/>
        </w:rPr>
        <w:t>)</w:t>
      </w:r>
      <w:r w:rsidRPr="007F77C5">
        <w:rPr>
          <w:rFonts w:cs="Times New Roman"/>
          <w:color w:val="000000" w:themeColor="text1"/>
        </w:rPr>
        <w:t>.</w:t>
      </w:r>
    </w:p>
    <w:p w14:paraId="2983BB3F" w14:textId="77777777" w:rsidR="00126D8D" w:rsidRPr="007F77C5" w:rsidRDefault="00126D8D" w:rsidP="00224B41">
      <w:pPr>
        <w:ind w:firstLine="720"/>
        <w:jc w:val="both"/>
        <w:rPr>
          <w:rFonts w:cs="Times New Roman"/>
          <w:color w:val="000000" w:themeColor="text1"/>
        </w:rPr>
      </w:pPr>
      <w:r w:rsidRPr="007F77C5">
        <w:rPr>
          <w:rFonts w:cs="Times New Roman"/>
          <w:color w:val="000000" w:themeColor="text1"/>
        </w:rPr>
        <w:t xml:space="preserve">Light duration is the amount of time (h) a crop receives light within a 24 h cycle. Light duration should not be confused with daily light integral (DLI), which is the cumulative amount of light energy (mol of photons within PAR region) provided over a given period </w:t>
      </w:r>
      <w:r w:rsidRPr="007F77C5">
        <w:rPr>
          <w:rFonts w:cs="Times New Roman"/>
          <w:noProof/>
          <w:color w:val="000000" w:themeColor="text1"/>
        </w:rPr>
        <w:t>(</w:t>
      </w:r>
      <w:r w:rsidRPr="007F77C5">
        <w:rPr>
          <w:rFonts w:cs="Times New Roman"/>
        </w:rPr>
        <w:t>Faust et al., 2005</w:t>
      </w:r>
      <w:r w:rsidRPr="007F77C5">
        <w:rPr>
          <w:rFonts w:cs="Times New Roman"/>
          <w:noProof/>
          <w:color w:val="000000" w:themeColor="text1"/>
        </w:rPr>
        <w:t xml:space="preserve">; </w:t>
      </w:r>
      <w:r w:rsidRPr="007F77C5">
        <w:rPr>
          <w:rFonts w:cs="Times New Roman"/>
        </w:rPr>
        <w:t>Gent, 2014</w:t>
      </w:r>
      <w:r w:rsidRPr="007F77C5">
        <w:rPr>
          <w:rFonts w:cs="Times New Roman"/>
          <w:noProof/>
          <w:color w:val="000000" w:themeColor="text1"/>
        </w:rPr>
        <w:t xml:space="preserve">; </w:t>
      </w:r>
      <w:r w:rsidRPr="007F77C5">
        <w:rPr>
          <w:rFonts w:cs="Times New Roman"/>
        </w:rPr>
        <w:t>Korczynski et al., 2002</w:t>
      </w:r>
      <w:r w:rsidRPr="007F77C5">
        <w:rPr>
          <w:rFonts w:cs="Times New Roman"/>
          <w:noProof/>
          <w:color w:val="000000" w:themeColor="text1"/>
        </w:rPr>
        <w:t xml:space="preserve">; </w:t>
      </w:r>
      <w:r w:rsidRPr="007F77C5">
        <w:rPr>
          <w:rFonts w:cs="Times New Roman"/>
        </w:rPr>
        <w:t>Poorter et al., 2019</w:t>
      </w:r>
      <w:r w:rsidRPr="007F77C5">
        <w:rPr>
          <w:rFonts w:cs="Times New Roman"/>
          <w:noProof/>
          <w:color w:val="000000" w:themeColor="text1"/>
        </w:rPr>
        <w:t>)</w:t>
      </w:r>
      <w:r w:rsidRPr="007F77C5">
        <w:rPr>
          <w:rFonts w:cs="Times New Roman"/>
          <w:color w:val="000000" w:themeColor="text1"/>
        </w:rPr>
        <w:t xml:space="preserve">. Photoperiod primarily impacts reproductive growth and development, flowering, and some other metabolic processes </w:t>
      </w:r>
      <w:r w:rsidRPr="007F77C5">
        <w:rPr>
          <w:rFonts w:cs="Times New Roman"/>
          <w:noProof/>
          <w:color w:val="000000" w:themeColor="text1"/>
        </w:rPr>
        <w:t>(</w:t>
      </w:r>
      <w:r w:rsidRPr="007F77C5">
        <w:rPr>
          <w:rFonts w:cs="Times New Roman"/>
        </w:rPr>
        <w:t>Singh et al., 2015</w:t>
      </w:r>
      <w:r w:rsidRPr="007F77C5">
        <w:rPr>
          <w:rFonts w:cs="Times New Roman"/>
          <w:noProof/>
          <w:color w:val="000000" w:themeColor="text1"/>
        </w:rPr>
        <w:t>)</w:t>
      </w:r>
      <w:r w:rsidRPr="007F77C5">
        <w:rPr>
          <w:rFonts w:cs="Times New Roman"/>
          <w:color w:val="000000" w:themeColor="text1"/>
        </w:rPr>
        <w:t>. DLI is the cumulative amount of photosynthetically active photons (i.e., PAR) received by the plant’s canopy in a 24 h period (mol</w:t>
      </w:r>
      <w:r w:rsidRPr="007F77C5">
        <w:rPr>
          <w:rFonts w:cs="Times New Roman"/>
          <w:b/>
          <w:bCs/>
          <w:color w:val="000000" w:themeColor="text1"/>
          <w:vertAlign w:val="superscript"/>
        </w:rPr>
        <w:t>.</w:t>
      </w:r>
      <w:r w:rsidRPr="007F77C5">
        <w:rPr>
          <w:rFonts w:cs="Times New Roman"/>
          <w:color w:val="000000" w:themeColor="text1"/>
        </w:rPr>
        <w:t>m</w:t>
      </w:r>
      <w:r w:rsidRPr="007F77C5">
        <w:rPr>
          <w:rFonts w:cs="Times New Roman"/>
          <w:color w:val="000000" w:themeColor="text1"/>
          <w:vertAlign w:val="superscript"/>
        </w:rPr>
        <w:t>-2</w:t>
      </w:r>
      <w:r w:rsidRPr="007F77C5">
        <w:rPr>
          <w:rFonts w:cs="Times New Roman"/>
          <w:b/>
          <w:bCs/>
          <w:color w:val="000000" w:themeColor="text1"/>
          <w:vertAlign w:val="superscript"/>
        </w:rPr>
        <w:t>.</w:t>
      </w:r>
      <w:r w:rsidRPr="007F77C5">
        <w:rPr>
          <w:rFonts w:cs="Times New Roman"/>
          <w:color w:val="000000" w:themeColor="text1"/>
        </w:rPr>
        <w:t>d</w:t>
      </w:r>
      <w:r w:rsidRPr="007F77C5">
        <w:rPr>
          <w:rFonts w:cs="Times New Roman"/>
          <w:color w:val="000000" w:themeColor="text1"/>
          <w:vertAlign w:val="superscript"/>
        </w:rPr>
        <w:t>-1</w:t>
      </w:r>
      <w:r w:rsidRPr="007F77C5">
        <w:rPr>
          <w:rFonts w:cs="Times New Roman"/>
          <w:color w:val="000000" w:themeColor="text1"/>
        </w:rPr>
        <w:t xml:space="preserve">) </w:t>
      </w:r>
      <w:r w:rsidRPr="007F77C5">
        <w:rPr>
          <w:rFonts w:cs="Times New Roman"/>
          <w:noProof/>
          <w:color w:val="000000" w:themeColor="text1"/>
        </w:rPr>
        <w:t>(</w:t>
      </w:r>
      <w:r w:rsidRPr="007F77C5">
        <w:rPr>
          <w:rFonts w:cs="Times New Roman"/>
        </w:rPr>
        <w:t>Fausey et al., 2005</w:t>
      </w:r>
      <w:r w:rsidRPr="007F77C5">
        <w:rPr>
          <w:rFonts w:cs="Times New Roman"/>
          <w:noProof/>
          <w:color w:val="000000" w:themeColor="text1"/>
        </w:rPr>
        <w:t>)</w:t>
      </w:r>
      <w:r w:rsidRPr="007F77C5">
        <w:rPr>
          <w:rFonts w:cs="Times New Roman"/>
          <w:color w:val="000000" w:themeColor="text1"/>
        </w:rPr>
        <w:t xml:space="preserve">. Photosynthesis rapidly and asymptotically increases with intensity, as photons within the PAR region begin to hit leaf tissues, until it reaches a specific saturation limit for the species </w:t>
      </w:r>
      <w:r w:rsidRPr="007F77C5">
        <w:rPr>
          <w:rFonts w:cs="Times New Roman"/>
          <w:noProof/>
          <w:color w:val="000000" w:themeColor="text1"/>
        </w:rPr>
        <w:t>(</w:t>
      </w:r>
      <w:r w:rsidRPr="007F77C5">
        <w:rPr>
          <w:rFonts w:cs="Times New Roman"/>
        </w:rPr>
        <w:t>Faust et al., 2005</w:t>
      </w:r>
      <w:r w:rsidRPr="007F77C5">
        <w:rPr>
          <w:rFonts w:cs="Times New Roman"/>
          <w:noProof/>
          <w:color w:val="000000" w:themeColor="text1"/>
        </w:rPr>
        <w:t>)</w:t>
      </w:r>
      <w:r w:rsidRPr="007F77C5">
        <w:rPr>
          <w:rFonts w:cs="Times New Roman"/>
          <w:color w:val="000000" w:themeColor="text1"/>
        </w:rPr>
        <w:t xml:space="preserve">. It has been shown that some responses are specific to the plant species and dependent on the spectral quality of light </w:t>
      </w:r>
      <w:r w:rsidRPr="007F77C5">
        <w:rPr>
          <w:rFonts w:cs="Times New Roman"/>
          <w:noProof/>
          <w:color w:val="000000" w:themeColor="text1"/>
        </w:rPr>
        <w:t>(</w:t>
      </w:r>
      <w:r w:rsidRPr="007F77C5">
        <w:rPr>
          <w:rFonts w:cs="Times New Roman"/>
        </w:rPr>
        <w:t>Carvalho et al., 2016</w:t>
      </w:r>
      <w:r w:rsidRPr="007F77C5">
        <w:rPr>
          <w:rFonts w:cs="Times New Roman"/>
          <w:noProof/>
          <w:color w:val="000000" w:themeColor="text1"/>
        </w:rPr>
        <w:t xml:space="preserve">; </w:t>
      </w:r>
      <w:r w:rsidRPr="007F77C5">
        <w:rPr>
          <w:rFonts w:cs="Times New Roman"/>
        </w:rPr>
        <w:t>Faust et al., 2005</w:t>
      </w:r>
      <w:r w:rsidRPr="007F77C5">
        <w:rPr>
          <w:rFonts w:cs="Times New Roman"/>
          <w:noProof/>
          <w:color w:val="000000" w:themeColor="text1"/>
        </w:rPr>
        <w:t xml:space="preserve">; </w:t>
      </w:r>
      <w:r w:rsidRPr="007F77C5">
        <w:rPr>
          <w:rFonts w:cs="Times New Roman"/>
        </w:rPr>
        <w:t>Li and Kubota, 2009</w:t>
      </w:r>
      <w:r w:rsidRPr="007F77C5">
        <w:rPr>
          <w:rFonts w:cs="Times New Roman"/>
          <w:noProof/>
          <w:color w:val="000000" w:themeColor="text1"/>
        </w:rPr>
        <w:t xml:space="preserve">; </w:t>
      </w:r>
      <w:r w:rsidRPr="007F77C5">
        <w:rPr>
          <w:rFonts w:cs="Times New Roman"/>
        </w:rPr>
        <w:t>Smith, 1982</w:t>
      </w:r>
      <w:r w:rsidRPr="007F77C5">
        <w:rPr>
          <w:rFonts w:cs="Times New Roman"/>
          <w:noProof/>
          <w:color w:val="000000" w:themeColor="text1"/>
        </w:rPr>
        <w:t>)</w:t>
      </w:r>
      <w:r w:rsidRPr="007F77C5">
        <w:rPr>
          <w:rFonts w:cs="Times New Roman"/>
          <w:color w:val="000000" w:themeColor="text1"/>
        </w:rPr>
        <w:t xml:space="preserve">. </w:t>
      </w:r>
    </w:p>
    <w:p w14:paraId="3DB31A68" w14:textId="77777777" w:rsidR="00126D8D" w:rsidRPr="007F77C5" w:rsidRDefault="00126D8D" w:rsidP="00224B41">
      <w:pPr>
        <w:ind w:firstLine="720"/>
        <w:jc w:val="both"/>
        <w:rPr>
          <w:rFonts w:cs="Times New Roman"/>
          <w:color w:val="000000" w:themeColor="text1"/>
        </w:rPr>
      </w:pPr>
      <w:r w:rsidRPr="007F77C5">
        <w:rPr>
          <w:rFonts w:cs="Times New Roman"/>
          <w:color w:val="000000" w:themeColor="text1"/>
        </w:rPr>
        <w:t>DLI requirements vary considerably across species, but it has been generalized that most perennial crops require 10-16 mol</w:t>
      </w:r>
      <w:r w:rsidRPr="007F77C5">
        <w:rPr>
          <w:rFonts w:cs="Times New Roman"/>
          <w:b/>
          <w:bCs/>
          <w:color w:val="000000" w:themeColor="text1"/>
          <w:vertAlign w:val="superscript"/>
        </w:rPr>
        <w:t>.</w:t>
      </w:r>
      <w:r w:rsidRPr="007F77C5">
        <w:rPr>
          <w:rFonts w:cs="Times New Roman"/>
          <w:color w:val="000000" w:themeColor="text1"/>
        </w:rPr>
        <w:t>m</w:t>
      </w:r>
      <w:r w:rsidRPr="007F77C5">
        <w:rPr>
          <w:rFonts w:cs="Times New Roman"/>
          <w:color w:val="000000" w:themeColor="text1"/>
          <w:vertAlign w:val="superscript"/>
        </w:rPr>
        <w:t>-2</w:t>
      </w:r>
      <w:r w:rsidRPr="007F77C5">
        <w:rPr>
          <w:rFonts w:cs="Times New Roman"/>
          <w:b/>
          <w:bCs/>
          <w:color w:val="000000" w:themeColor="text1"/>
          <w:vertAlign w:val="superscript"/>
        </w:rPr>
        <w:t>.</w:t>
      </w:r>
      <w:r w:rsidRPr="007F77C5">
        <w:rPr>
          <w:rFonts w:cs="Times New Roman"/>
          <w:color w:val="000000" w:themeColor="text1"/>
        </w:rPr>
        <w:t>d</w:t>
      </w:r>
      <w:r w:rsidRPr="007F77C5">
        <w:rPr>
          <w:rFonts w:cs="Times New Roman"/>
          <w:color w:val="000000" w:themeColor="text1"/>
          <w:vertAlign w:val="superscript"/>
        </w:rPr>
        <w:t>-1</w:t>
      </w:r>
      <w:r w:rsidRPr="007F77C5">
        <w:rPr>
          <w:rFonts w:cs="Times New Roman"/>
          <w:color w:val="000000" w:themeColor="text1"/>
        </w:rPr>
        <w:t xml:space="preserve"> to satisfy quality standards </w:t>
      </w:r>
      <w:r w:rsidRPr="007F77C5">
        <w:rPr>
          <w:rFonts w:cs="Times New Roman"/>
          <w:noProof/>
          <w:color w:val="000000" w:themeColor="text1"/>
        </w:rPr>
        <w:t>(</w:t>
      </w:r>
      <w:r w:rsidRPr="007F77C5">
        <w:rPr>
          <w:rFonts w:cs="Times New Roman"/>
        </w:rPr>
        <w:t>Faust et al., 2005</w:t>
      </w:r>
      <w:r w:rsidRPr="007F77C5">
        <w:rPr>
          <w:rFonts w:cs="Times New Roman"/>
          <w:noProof/>
          <w:color w:val="000000" w:themeColor="text1"/>
        </w:rPr>
        <w:t>)</w:t>
      </w:r>
      <w:r w:rsidRPr="007F77C5">
        <w:rPr>
          <w:rFonts w:cs="Times New Roman"/>
          <w:color w:val="000000" w:themeColor="text1"/>
        </w:rPr>
        <w:t>. The effect of DLI on biomass accumulation (DM) has previously been investigated in several herbaceous crops and revealed to be linear until around 20 or 30 mol</w:t>
      </w:r>
      <w:r w:rsidRPr="007F77C5">
        <w:rPr>
          <w:rFonts w:cs="Times New Roman"/>
          <w:b/>
          <w:bCs/>
          <w:color w:val="000000" w:themeColor="text1"/>
          <w:vertAlign w:val="superscript"/>
        </w:rPr>
        <w:t>.</w:t>
      </w:r>
      <w:r w:rsidRPr="007F77C5">
        <w:rPr>
          <w:rFonts w:cs="Times New Roman"/>
          <w:color w:val="000000" w:themeColor="text1"/>
        </w:rPr>
        <w:t>m</w:t>
      </w:r>
      <w:r w:rsidRPr="007F77C5">
        <w:rPr>
          <w:rFonts w:cs="Times New Roman"/>
          <w:color w:val="000000" w:themeColor="text1"/>
          <w:vertAlign w:val="superscript"/>
        </w:rPr>
        <w:t>-2</w:t>
      </w:r>
      <w:r w:rsidRPr="007F77C5">
        <w:rPr>
          <w:rFonts w:cs="Times New Roman"/>
          <w:b/>
          <w:bCs/>
          <w:color w:val="000000" w:themeColor="text1"/>
          <w:vertAlign w:val="superscript"/>
        </w:rPr>
        <w:t>.</w:t>
      </w:r>
      <w:r w:rsidRPr="007F77C5">
        <w:rPr>
          <w:rFonts w:cs="Times New Roman"/>
          <w:color w:val="000000" w:themeColor="text1"/>
        </w:rPr>
        <w:t>d</w:t>
      </w:r>
      <w:r w:rsidRPr="007F77C5">
        <w:rPr>
          <w:rFonts w:cs="Times New Roman"/>
          <w:color w:val="000000" w:themeColor="text1"/>
          <w:vertAlign w:val="superscript"/>
        </w:rPr>
        <w:t>-1</w:t>
      </w:r>
      <w:r w:rsidRPr="007F77C5">
        <w:rPr>
          <w:rFonts w:cs="Times New Roman"/>
          <w:color w:val="000000" w:themeColor="text1"/>
        </w:rPr>
        <w:t xml:space="preserve"> (higher DLIs exist for a wide range of other species, such as C4 crops) </w:t>
      </w:r>
      <w:r w:rsidRPr="007F77C5">
        <w:rPr>
          <w:rFonts w:cs="Times New Roman"/>
          <w:noProof/>
          <w:color w:val="000000" w:themeColor="text1"/>
        </w:rPr>
        <w:t>(</w:t>
      </w:r>
      <w:r w:rsidRPr="007F77C5">
        <w:rPr>
          <w:rFonts w:cs="Times New Roman"/>
        </w:rPr>
        <w:t>Faust et al., 2005</w:t>
      </w:r>
      <w:r w:rsidRPr="007F77C5">
        <w:rPr>
          <w:rFonts w:cs="Times New Roman"/>
          <w:noProof/>
          <w:color w:val="000000" w:themeColor="text1"/>
        </w:rPr>
        <w:t xml:space="preserve">; </w:t>
      </w:r>
      <w:r w:rsidRPr="007F77C5">
        <w:rPr>
          <w:rFonts w:cs="Times New Roman"/>
        </w:rPr>
        <w:t>Warner and Erwin, 2003</w:t>
      </w:r>
      <w:r w:rsidRPr="007F77C5">
        <w:rPr>
          <w:rFonts w:cs="Times New Roman"/>
          <w:noProof/>
          <w:color w:val="000000" w:themeColor="text1"/>
        </w:rPr>
        <w:t xml:space="preserve">, </w:t>
      </w:r>
      <w:r w:rsidRPr="007F77C5">
        <w:rPr>
          <w:rFonts w:cs="Times New Roman"/>
        </w:rPr>
        <w:t>2005</w:t>
      </w:r>
      <w:r w:rsidRPr="007F77C5">
        <w:rPr>
          <w:rFonts w:cs="Times New Roman"/>
          <w:noProof/>
          <w:color w:val="000000" w:themeColor="text1"/>
        </w:rPr>
        <w:t>)</w:t>
      </w:r>
      <w:r w:rsidRPr="007F77C5">
        <w:rPr>
          <w:rFonts w:cs="Times New Roman"/>
          <w:color w:val="000000" w:themeColor="text1"/>
        </w:rPr>
        <w:t xml:space="preserve">. Other studies observed linear increases in biomass, plant quality, and inflorescence number on various </w:t>
      </w:r>
      <w:r w:rsidRPr="007F77C5">
        <w:rPr>
          <w:rFonts w:cs="Times New Roman"/>
          <w:color w:val="000000" w:themeColor="text1"/>
        </w:rPr>
        <w:lastRenderedPageBreak/>
        <w:t>herbaceous crops with increasing DLI from around 5-20 mol</w:t>
      </w:r>
      <w:r w:rsidRPr="007F77C5">
        <w:rPr>
          <w:rFonts w:cs="Times New Roman"/>
          <w:b/>
          <w:bCs/>
          <w:color w:val="000000" w:themeColor="text1"/>
          <w:vertAlign w:val="superscript"/>
        </w:rPr>
        <w:t>.</w:t>
      </w:r>
      <w:r w:rsidRPr="007F77C5">
        <w:rPr>
          <w:rFonts w:cs="Times New Roman"/>
          <w:color w:val="000000" w:themeColor="text1"/>
        </w:rPr>
        <w:t>m</w:t>
      </w:r>
      <w:r w:rsidRPr="007F77C5">
        <w:rPr>
          <w:rFonts w:cs="Times New Roman"/>
          <w:color w:val="000000" w:themeColor="text1"/>
          <w:vertAlign w:val="superscript"/>
        </w:rPr>
        <w:t>-2</w:t>
      </w:r>
      <w:r w:rsidRPr="007F77C5">
        <w:rPr>
          <w:rFonts w:cs="Times New Roman"/>
          <w:b/>
          <w:bCs/>
          <w:color w:val="000000" w:themeColor="text1"/>
          <w:vertAlign w:val="superscript"/>
        </w:rPr>
        <w:t>.</w:t>
      </w:r>
      <w:r w:rsidRPr="007F77C5">
        <w:rPr>
          <w:rFonts w:cs="Times New Roman"/>
          <w:color w:val="000000" w:themeColor="text1"/>
        </w:rPr>
        <w:t>d</w:t>
      </w:r>
      <w:r w:rsidRPr="007F77C5">
        <w:rPr>
          <w:rFonts w:cs="Times New Roman"/>
          <w:color w:val="000000" w:themeColor="text1"/>
          <w:vertAlign w:val="superscript"/>
        </w:rPr>
        <w:t>-1</w:t>
      </w:r>
      <w:r w:rsidRPr="007F77C5">
        <w:rPr>
          <w:rFonts w:cs="Times New Roman"/>
          <w:color w:val="000000" w:themeColor="text1"/>
        </w:rPr>
        <w:t xml:space="preserve"> </w:t>
      </w:r>
      <w:r w:rsidRPr="007F77C5">
        <w:rPr>
          <w:rFonts w:cs="Times New Roman"/>
          <w:noProof/>
          <w:color w:val="000000" w:themeColor="text1"/>
        </w:rPr>
        <w:t>(</w:t>
      </w:r>
      <w:r w:rsidRPr="007F77C5">
        <w:rPr>
          <w:rFonts w:cs="Times New Roman"/>
        </w:rPr>
        <w:t>Fausey et al., 2005</w:t>
      </w:r>
      <w:r w:rsidRPr="007F77C5">
        <w:rPr>
          <w:rFonts w:cs="Times New Roman"/>
          <w:noProof/>
          <w:color w:val="000000" w:themeColor="text1"/>
        </w:rPr>
        <w:t xml:space="preserve">; </w:t>
      </w:r>
      <w:r w:rsidRPr="007F77C5">
        <w:rPr>
          <w:rFonts w:cs="Times New Roman"/>
        </w:rPr>
        <w:t>Frąszczak and Knaflewski, 2009</w:t>
      </w:r>
      <w:r w:rsidRPr="007F77C5">
        <w:rPr>
          <w:rFonts w:cs="Times New Roman"/>
          <w:noProof/>
          <w:color w:val="000000" w:themeColor="text1"/>
        </w:rPr>
        <w:t xml:space="preserve">; </w:t>
      </w:r>
      <w:r w:rsidRPr="007F77C5">
        <w:rPr>
          <w:rFonts w:cs="Times New Roman"/>
        </w:rPr>
        <w:t>Runkle and Heins, 2006</w:t>
      </w:r>
      <w:r w:rsidRPr="007F77C5">
        <w:rPr>
          <w:rFonts w:cs="Times New Roman"/>
          <w:noProof/>
          <w:color w:val="000000" w:themeColor="text1"/>
        </w:rPr>
        <w:t>)</w:t>
      </w:r>
      <w:r w:rsidRPr="007F77C5">
        <w:rPr>
          <w:rFonts w:cs="Times New Roman"/>
          <w:color w:val="000000" w:themeColor="text1"/>
        </w:rPr>
        <w:t>. The southeast region of the United States receives anywhere from 2-15 mol</w:t>
      </w:r>
      <w:r w:rsidRPr="007F77C5">
        <w:rPr>
          <w:rFonts w:cs="Times New Roman"/>
          <w:b/>
          <w:bCs/>
          <w:color w:val="000000" w:themeColor="text1"/>
          <w:vertAlign w:val="superscript"/>
        </w:rPr>
        <w:t>.</w:t>
      </w:r>
      <w:r w:rsidRPr="007F77C5">
        <w:rPr>
          <w:rFonts w:cs="Times New Roman"/>
          <w:color w:val="000000" w:themeColor="text1"/>
        </w:rPr>
        <w:t>m</w:t>
      </w:r>
      <w:r w:rsidRPr="007F77C5">
        <w:rPr>
          <w:rFonts w:cs="Times New Roman"/>
          <w:color w:val="000000" w:themeColor="text1"/>
          <w:vertAlign w:val="superscript"/>
        </w:rPr>
        <w:t>-2</w:t>
      </w:r>
      <w:r w:rsidRPr="007F77C5">
        <w:rPr>
          <w:rFonts w:cs="Times New Roman"/>
          <w:b/>
          <w:bCs/>
          <w:color w:val="000000" w:themeColor="text1"/>
          <w:vertAlign w:val="superscript"/>
        </w:rPr>
        <w:t>.</w:t>
      </w:r>
      <w:r w:rsidRPr="007F77C5">
        <w:rPr>
          <w:rFonts w:cs="Times New Roman"/>
          <w:color w:val="000000" w:themeColor="text1"/>
        </w:rPr>
        <w:t>d</w:t>
      </w:r>
      <w:r w:rsidRPr="007F77C5">
        <w:rPr>
          <w:rFonts w:cs="Times New Roman"/>
          <w:color w:val="000000" w:themeColor="text1"/>
          <w:vertAlign w:val="superscript"/>
        </w:rPr>
        <w:t>-1</w:t>
      </w:r>
      <w:r w:rsidRPr="007F77C5">
        <w:rPr>
          <w:rFonts w:cs="Times New Roman"/>
          <w:color w:val="000000" w:themeColor="text1"/>
        </w:rPr>
        <w:t xml:space="preserve"> throughout the fall and winter </w:t>
      </w:r>
      <w:r w:rsidRPr="007F77C5">
        <w:rPr>
          <w:rFonts w:cs="Times New Roman"/>
          <w:noProof/>
          <w:color w:val="000000" w:themeColor="text1"/>
        </w:rPr>
        <w:t>(</w:t>
      </w:r>
      <w:r w:rsidRPr="007F77C5">
        <w:rPr>
          <w:rFonts w:cs="Times New Roman"/>
        </w:rPr>
        <w:t>Korczynski et al., 2002</w:t>
      </w:r>
      <w:r w:rsidRPr="007F77C5">
        <w:rPr>
          <w:rFonts w:cs="Times New Roman"/>
          <w:noProof/>
          <w:color w:val="000000" w:themeColor="text1"/>
        </w:rPr>
        <w:t>)</w:t>
      </w:r>
      <w:r w:rsidRPr="007F77C5">
        <w:rPr>
          <w:rFonts w:cs="Times New Roman"/>
          <w:color w:val="000000" w:themeColor="text1"/>
        </w:rPr>
        <w:t xml:space="preserve">. The amount of available light can also be decreased by outside factors such as bad weather, or even something as simple as a dirty greenhouse covering </w:t>
      </w:r>
      <w:r w:rsidRPr="007F77C5">
        <w:rPr>
          <w:rFonts w:cs="Times New Roman"/>
          <w:noProof/>
          <w:color w:val="000000" w:themeColor="text1"/>
        </w:rPr>
        <w:t>(</w:t>
      </w:r>
      <w:r w:rsidRPr="007F77C5">
        <w:rPr>
          <w:rFonts w:cs="Times New Roman"/>
        </w:rPr>
        <w:t>Currey et al., 2012</w:t>
      </w:r>
      <w:r w:rsidRPr="007F77C5">
        <w:rPr>
          <w:rFonts w:cs="Times New Roman"/>
          <w:noProof/>
          <w:color w:val="000000" w:themeColor="text1"/>
        </w:rPr>
        <w:t xml:space="preserve">; </w:t>
      </w:r>
      <w:r w:rsidRPr="007F77C5">
        <w:rPr>
          <w:rFonts w:cs="Times New Roman"/>
        </w:rPr>
        <w:t>Frąszczak and Knaflewski, 2009</w:t>
      </w:r>
      <w:r w:rsidRPr="007F77C5">
        <w:rPr>
          <w:rFonts w:cs="Times New Roman"/>
          <w:noProof/>
          <w:color w:val="000000" w:themeColor="text1"/>
        </w:rPr>
        <w:t xml:space="preserve">; </w:t>
      </w:r>
      <w:r w:rsidRPr="007F77C5">
        <w:rPr>
          <w:rFonts w:cs="Times New Roman"/>
        </w:rPr>
        <w:t>Hutchinson et al., 2012</w:t>
      </w:r>
      <w:r w:rsidRPr="007F77C5">
        <w:rPr>
          <w:rFonts w:cs="Times New Roman"/>
          <w:noProof/>
          <w:color w:val="000000" w:themeColor="text1"/>
        </w:rPr>
        <w:t xml:space="preserve">; </w:t>
      </w:r>
      <w:r w:rsidRPr="007F77C5">
        <w:rPr>
          <w:rFonts w:cs="Times New Roman"/>
        </w:rPr>
        <w:t>Moccaldi and Runkle, 2007</w:t>
      </w:r>
      <w:r w:rsidRPr="007F77C5">
        <w:rPr>
          <w:rFonts w:cs="Times New Roman"/>
          <w:noProof/>
          <w:color w:val="000000" w:themeColor="text1"/>
        </w:rPr>
        <w:t>)</w:t>
      </w:r>
      <w:r w:rsidRPr="007F77C5">
        <w:rPr>
          <w:rFonts w:cs="Times New Roman"/>
          <w:color w:val="000000" w:themeColor="text1"/>
        </w:rPr>
        <w:t xml:space="preserve">. It is common for growers to provide supplemental lighting during winter months, due to the low light intensity, which then provides a daily light integral (DLI) that satisfies crop requirements </w:t>
      </w:r>
      <w:r w:rsidRPr="007F77C5">
        <w:rPr>
          <w:rFonts w:cs="Times New Roman"/>
          <w:noProof/>
          <w:color w:val="000000" w:themeColor="text1"/>
        </w:rPr>
        <w:t>(</w:t>
      </w:r>
      <w:r w:rsidRPr="007F77C5">
        <w:rPr>
          <w:rFonts w:cs="Times New Roman"/>
        </w:rPr>
        <w:t>Baumbauer et al., 2019</w:t>
      </w:r>
      <w:r w:rsidRPr="007F77C5">
        <w:rPr>
          <w:rFonts w:cs="Times New Roman"/>
          <w:noProof/>
          <w:color w:val="000000" w:themeColor="text1"/>
        </w:rPr>
        <w:t xml:space="preserve">; </w:t>
      </w:r>
      <w:r w:rsidRPr="007F77C5">
        <w:rPr>
          <w:rFonts w:cs="Times New Roman"/>
        </w:rPr>
        <w:t>Chong et al., 2014</w:t>
      </w:r>
      <w:r w:rsidRPr="007F77C5">
        <w:rPr>
          <w:rFonts w:cs="Times New Roman"/>
          <w:noProof/>
          <w:color w:val="000000" w:themeColor="text1"/>
        </w:rPr>
        <w:t xml:space="preserve">; </w:t>
      </w:r>
      <w:r w:rsidRPr="007F77C5">
        <w:rPr>
          <w:rFonts w:cs="Times New Roman"/>
        </w:rPr>
        <w:t>Christiaens et al., 2014</w:t>
      </w:r>
      <w:r w:rsidRPr="007F77C5">
        <w:rPr>
          <w:rFonts w:cs="Times New Roman"/>
          <w:noProof/>
          <w:color w:val="000000" w:themeColor="text1"/>
        </w:rPr>
        <w:t xml:space="preserve">; </w:t>
      </w:r>
      <w:r w:rsidRPr="007F77C5">
        <w:rPr>
          <w:rFonts w:cs="Times New Roman"/>
        </w:rPr>
        <w:t>Currey et al., 2012</w:t>
      </w:r>
      <w:r w:rsidRPr="007F77C5">
        <w:rPr>
          <w:rFonts w:cs="Times New Roman"/>
          <w:noProof/>
          <w:color w:val="000000" w:themeColor="text1"/>
        </w:rPr>
        <w:t xml:space="preserve">; </w:t>
      </w:r>
      <w:r w:rsidRPr="007F77C5">
        <w:rPr>
          <w:rFonts w:cs="Times New Roman"/>
        </w:rPr>
        <w:t>Currey and Lopez, 2015</w:t>
      </w:r>
      <w:r w:rsidRPr="007F77C5">
        <w:rPr>
          <w:rFonts w:cs="Times New Roman"/>
          <w:noProof/>
          <w:color w:val="000000" w:themeColor="text1"/>
        </w:rPr>
        <w:t xml:space="preserve">; </w:t>
      </w:r>
      <w:r w:rsidRPr="007F77C5">
        <w:rPr>
          <w:rFonts w:cs="Times New Roman"/>
        </w:rPr>
        <w:t>Fausey et al., 2005</w:t>
      </w:r>
      <w:r w:rsidRPr="007F77C5">
        <w:rPr>
          <w:rFonts w:cs="Times New Roman"/>
          <w:noProof/>
          <w:color w:val="000000" w:themeColor="text1"/>
        </w:rPr>
        <w:t xml:space="preserve">; </w:t>
      </w:r>
      <w:r w:rsidRPr="007F77C5">
        <w:rPr>
          <w:rFonts w:cs="Times New Roman"/>
        </w:rPr>
        <w:t>Garland et al., 2010</w:t>
      </w:r>
      <w:r w:rsidRPr="007F77C5">
        <w:rPr>
          <w:rFonts w:cs="Times New Roman"/>
          <w:noProof/>
          <w:color w:val="000000" w:themeColor="text1"/>
        </w:rPr>
        <w:t xml:space="preserve">; </w:t>
      </w:r>
      <w:r w:rsidRPr="007F77C5">
        <w:rPr>
          <w:rFonts w:cs="Times New Roman"/>
        </w:rPr>
        <w:t>Hutchinson et al., 2012</w:t>
      </w:r>
      <w:r w:rsidRPr="007F77C5">
        <w:rPr>
          <w:rFonts w:cs="Times New Roman"/>
          <w:noProof/>
          <w:color w:val="000000" w:themeColor="text1"/>
        </w:rPr>
        <w:t xml:space="preserve">; </w:t>
      </w:r>
      <w:r w:rsidRPr="007F77C5">
        <w:rPr>
          <w:rFonts w:cs="Times New Roman"/>
        </w:rPr>
        <w:t>Mitchell, 2004</w:t>
      </w:r>
      <w:r w:rsidRPr="007F77C5">
        <w:rPr>
          <w:rFonts w:cs="Times New Roman"/>
          <w:noProof/>
          <w:color w:val="000000" w:themeColor="text1"/>
        </w:rPr>
        <w:t xml:space="preserve">; </w:t>
      </w:r>
      <w:r w:rsidRPr="007F77C5">
        <w:rPr>
          <w:rFonts w:cs="Times New Roman"/>
        </w:rPr>
        <w:t>Mitchell et al., 2015</w:t>
      </w:r>
      <w:r w:rsidRPr="007F77C5">
        <w:rPr>
          <w:rFonts w:cs="Times New Roman"/>
          <w:noProof/>
          <w:color w:val="000000" w:themeColor="text1"/>
        </w:rPr>
        <w:t xml:space="preserve">; </w:t>
      </w:r>
      <w:r w:rsidRPr="007F77C5">
        <w:rPr>
          <w:rFonts w:cs="Times New Roman"/>
        </w:rPr>
        <w:t>Oh et al., 2009</w:t>
      </w:r>
      <w:r w:rsidRPr="007F77C5">
        <w:rPr>
          <w:rFonts w:cs="Times New Roman"/>
          <w:noProof/>
          <w:color w:val="000000" w:themeColor="text1"/>
        </w:rPr>
        <w:t xml:space="preserve">; </w:t>
      </w:r>
      <w:r w:rsidRPr="007F77C5">
        <w:rPr>
          <w:rFonts w:cs="Times New Roman"/>
        </w:rPr>
        <w:t>Warner and Erwin, 2003</w:t>
      </w:r>
      <w:r w:rsidRPr="007F77C5">
        <w:rPr>
          <w:rFonts w:cs="Times New Roman"/>
          <w:noProof/>
          <w:color w:val="000000" w:themeColor="text1"/>
        </w:rPr>
        <w:t>)</w:t>
      </w:r>
      <w:r w:rsidRPr="007F77C5">
        <w:rPr>
          <w:rFonts w:cs="Times New Roman"/>
          <w:color w:val="000000" w:themeColor="text1"/>
        </w:rPr>
        <w:t>. Many commercial producers use supplemental light for a total of 12-24 hours each day, with intensities usually ranging from 100-400 µmols</w:t>
      </w:r>
      <w:r w:rsidRPr="007F77C5">
        <w:rPr>
          <w:rFonts w:cs="Times New Roman"/>
          <w:color w:val="000000" w:themeColor="text1"/>
          <w:vertAlign w:val="superscript"/>
        </w:rPr>
        <w:t>.</w:t>
      </w:r>
      <w:r w:rsidRPr="007F77C5">
        <w:rPr>
          <w:rFonts w:cs="Times New Roman"/>
          <w:color w:val="000000" w:themeColor="text1"/>
        </w:rPr>
        <w:t>m</w:t>
      </w:r>
      <w:r w:rsidRPr="007F77C5">
        <w:rPr>
          <w:rFonts w:cs="Times New Roman"/>
          <w:color w:val="000000" w:themeColor="text1"/>
          <w:vertAlign w:val="superscript"/>
        </w:rPr>
        <w:t>-2.</w:t>
      </w:r>
      <w:r w:rsidRPr="007F77C5">
        <w:rPr>
          <w:rFonts w:cs="Times New Roman"/>
          <w:color w:val="000000" w:themeColor="text1"/>
        </w:rPr>
        <w:t>sec</w:t>
      </w:r>
      <w:r w:rsidRPr="007F77C5">
        <w:rPr>
          <w:rFonts w:cs="Times New Roman"/>
          <w:color w:val="000000" w:themeColor="text1"/>
          <w:vertAlign w:val="superscript"/>
        </w:rPr>
        <w:t>-1</w:t>
      </w:r>
      <w:r w:rsidRPr="007F77C5">
        <w:rPr>
          <w:rFonts w:cs="Times New Roman"/>
          <w:color w:val="000000" w:themeColor="text1"/>
        </w:rPr>
        <w:t xml:space="preserve"> for high-value specialty crops </w:t>
      </w:r>
      <w:r w:rsidRPr="007F77C5">
        <w:rPr>
          <w:rFonts w:cs="Times New Roman"/>
          <w:noProof/>
          <w:color w:val="000000" w:themeColor="text1"/>
        </w:rPr>
        <w:t>(</w:t>
      </w:r>
      <w:r w:rsidRPr="007F77C5">
        <w:rPr>
          <w:rFonts w:cs="Times New Roman"/>
        </w:rPr>
        <w:t>Craver et al., 2019</w:t>
      </w:r>
      <w:r w:rsidRPr="007F77C5">
        <w:rPr>
          <w:rFonts w:cs="Times New Roman"/>
          <w:noProof/>
          <w:color w:val="000000" w:themeColor="text1"/>
        </w:rPr>
        <w:t xml:space="preserve">; </w:t>
      </w:r>
      <w:r w:rsidRPr="007F77C5">
        <w:rPr>
          <w:rFonts w:cs="Times New Roman"/>
        </w:rPr>
        <w:t>Długosz-Grochowska et al., 2016</w:t>
      </w:r>
      <w:r w:rsidRPr="007F77C5">
        <w:rPr>
          <w:rFonts w:cs="Times New Roman"/>
          <w:noProof/>
          <w:color w:val="000000" w:themeColor="text1"/>
        </w:rPr>
        <w:t xml:space="preserve">; </w:t>
      </w:r>
      <w:r w:rsidRPr="007F77C5">
        <w:rPr>
          <w:rFonts w:cs="Times New Roman"/>
        </w:rPr>
        <w:t>Gómez and Mitchell, 2014</w:t>
      </w:r>
      <w:r w:rsidRPr="007F77C5">
        <w:rPr>
          <w:rFonts w:cs="Times New Roman"/>
          <w:noProof/>
          <w:color w:val="000000" w:themeColor="text1"/>
        </w:rPr>
        <w:t xml:space="preserve">; </w:t>
      </w:r>
      <w:r w:rsidRPr="007F77C5">
        <w:rPr>
          <w:rFonts w:cs="Times New Roman"/>
        </w:rPr>
        <w:t>Gómez et al., 2013</w:t>
      </w:r>
      <w:r w:rsidRPr="007F77C5">
        <w:rPr>
          <w:rFonts w:cs="Times New Roman"/>
          <w:noProof/>
          <w:color w:val="000000" w:themeColor="text1"/>
        </w:rPr>
        <w:t xml:space="preserve">; </w:t>
      </w:r>
      <w:r w:rsidRPr="007F77C5">
        <w:rPr>
          <w:rFonts w:cs="Times New Roman"/>
        </w:rPr>
        <w:t>Li and Kubota, 2009</w:t>
      </w:r>
      <w:r w:rsidRPr="007F77C5">
        <w:rPr>
          <w:rFonts w:cs="Times New Roman"/>
          <w:noProof/>
          <w:color w:val="000000" w:themeColor="text1"/>
        </w:rPr>
        <w:t xml:space="preserve">; </w:t>
      </w:r>
      <w:r w:rsidRPr="007F77C5">
        <w:rPr>
          <w:rFonts w:cs="Times New Roman"/>
        </w:rPr>
        <w:t>Randall and Lopez, 2014</w:t>
      </w:r>
      <w:r w:rsidRPr="007F77C5">
        <w:rPr>
          <w:rFonts w:cs="Times New Roman"/>
          <w:noProof/>
          <w:color w:val="000000" w:themeColor="text1"/>
        </w:rPr>
        <w:t xml:space="preserve">; </w:t>
      </w:r>
      <w:r w:rsidRPr="007F77C5">
        <w:rPr>
          <w:rFonts w:cs="Times New Roman"/>
        </w:rPr>
        <w:t>Weaver et al., 2019</w:t>
      </w:r>
      <w:r w:rsidRPr="007F77C5">
        <w:rPr>
          <w:rFonts w:cs="Times New Roman"/>
          <w:noProof/>
          <w:color w:val="000000" w:themeColor="text1"/>
        </w:rPr>
        <w:t xml:space="preserve">; </w:t>
      </w:r>
      <w:r w:rsidRPr="007F77C5">
        <w:rPr>
          <w:rFonts w:cs="Times New Roman"/>
        </w:rPr>
        <w:t>Zhang et al., 2019</w:t>
      </w:r>
      <w:r w:rsidRPr="007F77C5">
        <w:rPr>
          <w:rFonts w:cs="Times New Roman"/>
          <w:noProof/>
          <w:color w:val="000000" w:themeColor="text1"/>
        </w:rPr>
        <w:t>)</w:t>
      </w:r>
      <w:r w:rsidRPr="007F77C5">
        <w:rPr>
          <w:rFonts w:cs="Times New Roman"/>
          <w:color w:val="000000" w:themeColor="text1"/>
        </w:rPr>
        <w:t xml:space="preserve">, under standard United States greenhouse conditions, which is generally sufficient for acceptable yields and quality for a range of specialty crops. </w:t>
      </w:r>
    </w:p>
    <w:p w14:paraId="1B08DC4E" w14:textId="77777777" w:rsidR="00126D8D" w:rsidRPr="007F77C5" w:rsidRDefault="00126D8D" w:rsidP="00224B41">
      <w:pPr>
        <w:spacing w:line="240" w:lineRule="auto"/>
        <w:rPr>
          <w:rFonts w:cs="Times New Roman"/>
          <w:b/>
          <w:color w:val="000000" w:themeColor="text1"/>
          <w:sz w:val="28"/>
        </w:rPr>
      </w:pPr>
      <w:bookmarkStart w:id="49" w:name="_Toc114189698"/>
      <w:bookmarkStart w:id="50" w:name="_Toc114189781"/>
    </w:p>
    <w:p w14:paraId="3DF84B9E" w14:textId="77777777" w:rsidR="00126D8D" w:rsidRPr="007F77C5" w:rsidRDefault="00126D8D" w:rsidP="00224B41">
      <w:pPr>
        <w:pStyle w:val="MastersThesisMainTitle"/>
      </w:pPr>
      <w:bookmarkStart w:id="51" w:name="_Toc139574773"/>
      <w:bookmarkStart w:id="52" w:name="_Toc141478643"/>
      <w:r w:rsidRPr="007F77C5">
        <w:t>Brief Overview of Primary Metabolism</w:t>
      </w:r>
      <w:bookmarkEnd w:id="46"/>
      <w:r w:rsidRPr="007F77C5">
        <w:t xml:space="preserve"> in Higher Plants</w:t>
      </w:r>
      <w:bookmarkEnd w:id="49"/>
      <w:bookmarkEnd w:id="50"/>
      <w:bookmarkEnd w:id="51"/>
      <w:bookmarkEnd w:id="52"/>
    </w:p>
    <w:p w14:paraId="7979B779" w14:textId="77777777" w:rsidR="00126D8D" w:rsidRPr="007F77C5" w:rsidRDefault="00126D8D" w:rsidP="00224B41">
      <w:pPr>
        <w:ind w:firstLine="720"/>
        <w:jc w:val="both"/>
        <w:rPr>
          <w:rFonts w:cs="Times New Roman"/>
          <w:color w:val="000000" w:themeColor="text1"/>
        </w:rPr>
      </w:pPr>
      <w:r w:rsidRPr="007F77C5">
        <w:rPr>
          <w:rFonts w:cs="Times New Roman"/>
          <w:color w:val="000000" w:themeColor="text1"/>
        </w:rPr>
        <w:t xml:space="preserve">Primary metabolism is defined as the set of chemical reactions that are necessary to maintain the basic structure and function of cells (i.e., survival and reproduction) </w:t>
      </w:r>
      <w:r w:rsidRPr="007F77C5">
        <w:rPr>
          <w:rFonts w:cs="Times New Roman"/>
          <w:noProof/>
          <w:color w:val="000000" w:themeColor="text1"/>
        </w:rPr>
        <w:t>(</w:t>
      </w:r>
      <w:r w:rsidRPr="007F77C5">
        <w:rPr>
          <w:rFonts w:cs="Times New Roman"/>
        </w:rPr>
        <w:t>Buchanan, 2015</w:t>
      </w:r>
      <w:r w:rsidRPr="007F77C5">
        <w:rPr>
          <w:rFonts w:cs="Times New Roman"/>
          <w:noProof/>
          <w:color w:val="000000" w:themeColor="text1"/>
        </w:rPr>
        <w:t>)</w:t>
      </w:r>
      <w:r w:rsidRPr="007F77C5">
        <w:rPr>
          <w:rFonts w:cs="Times New Roman"/>
          <w:color w:val="000000" w:themeColor="text1"/>
        </w:rPr>
        <w:t xml:space="preserve">. In order to understand the primary metabolism of plants, it is important first to understand the role of photosynthesis at a basic level. Photosynthesis is the process that produces chemical energy from essential elements using the sun's energy </w:t>
      </w:r>
      <w:r w:rsidRPr="007F77C5">
        <w:rPr>
          <w:rFonts w:cs="Times New Roman"/>
          <w:noProof/>
          <w:color w:val="000000" w:themeColor="text1"/>
        </w:rPr>
        <w:t>(</w:t>
      </w:r>
      <w:r w:rsidRPr="007F77C5">
        <w:rPr>
          <w:rFonts w:cs="Times New Roman"/>
        </w:rPr>
        <w:t>Taiz et al., 2015</w:t>
      </w:r>
      <w:r w:rsidRPr="007F77C5">
        <w:rPr>
          <w:rFonts w:cs="Times New Roman"/>
          <w:noProof/>
          <w:color w:val="000000" w:themeColor="text1"/>
        </w:rPr>
        <w:t>)</w:t>
      </w:r>
      <w:r w:rsidRPr="007F77C5">
        <w:rPr>
          <w:rFonts w:cs="Times New Roman"/>
          <w:color w:val="000000" w:themeColor="text1"/>
        </w:rPr>
        <w:t xml:space="preserve">. Plants use these organic molecules to create new cells, thereby allowing plants to grow and mature. The primary </w:t>
      </w:r>
      <w:r w:rsidRPr="007F77C5">
        <w:rPr>
          <w:rFonts w:cs="Times New Roman"/>
          <w:color w:val="000000" w:themeColor="text1"/>
        </w:rPr>
        <w:lastRenderedPageBreak/>
        <w:t xml:space="preserve">metabolism of plants can be divided into three main categories: biosynthesis, catabolism, and anabolism </w:t>
      </w:r>
      <w:r w:rsidRPr="007F77C5">
        <w:rPr>
          <w:rFonts w:cs="Times New Roman"/>
          <w:noProof/>
          <w:color w:val="000000" w:themeColor="text1"/>
        </w:rPr>
        <w:t>(</w:t>
      </w:r>
      <w:r w:rsidRPr="007F77C5">
        <w:rPr>
          <w:rFonts w:cs="Times New Roman"/>
        </w:rPr>
        <w:t>Buchanan, 2015</w:t>
      </w:r>
      <w:r w:rsidRPr="007F77C5">
        <w:rPr>
          <w:rFonts w:cs="Times New Roman"/>
          <w:noProof/>
          <w:color w:val="000000" w:themeColor="text1"/>
        </w:rPr>
        <w:t>)</w:t>
      </w:r>
      <w:r w:rsidRPr="007F77C5">
        <w:rPr>
          <w:rFonts w:cs="Times New Roman"/>
          <w:color w:val="000000" w:themeColor="text1"/>
        </w:rPr>
        <w:t xml:space="preserve">. Biosynthesis refers to the creation of new organic molecules from simple inorganic elemental nutrients. In higher plants, this typically occurs through the process of photosynthesis. The sun's energy is used to convert water and carbon dioxide into oxygen and glucose. Plants then use glucose and other sugars to create new cells and tissues. Catabolism refers to the breakdown of larger organic molecules into smaller ones. In plants, this typically occurs through the process of respiration. Respiration is the process by which sugars are broken down to release energy for plant growth and metabolic functions. Anabolism refers to the synthesis of larger organic molecules from smaller ones. In plants, this typically occurs through the process of growth and development. Growth involves synthesizing new cells and tissues, while development involves differentiating these cells and tissues into specialized structures </w:t>
      </w:r>
      <w:r w:rsidRPr="007F77C5">
        <w:rPr>
          <w:rFonts w:cs="Times New Roman"/>
          <w:noProof/>
          <w:color w:val="000000" w:themeColor="text1"/>
        </w:rPr>
        <w:t>(</w:t>
      </w:r>
      <w:r w:rsidRPr="007F77C5">
        <w:rPr>
          <w:rFonts w:cs="Times New Roman"/>
        </w:rPr>
        <w:t>Buchanan, 2015</w:t>
      </w:r>
      <w:r w:rsidRPr="007F77C5">
        <w:rPr>
          <w:rFonts w:cs="Times New Roman"/>
          <w:noProof/>
          <w:color w:val="000000" w:themeColor="text1"/>
        </w:rPr>
        <w:t xml:space="preserve">; </w:t>
      </w:r>
      <w:r w:rsidRPr="007F77C5">
        <w:rPr>
          <w:rFonts w:cs="Times New Roman"/>
        </w:rPr>
        <w:t>Taiz et al., 2015</w:t>
      </w:r>
      <w:r w:rsidRPr="007F77C5">
        <w:rPr>
          <w:rFonts w:cs="Times New Roman"/>
          <w:noProof/>
          <w:color w:val="000000" w:themeColor="text1"/>
        </w:rPr>
        <w:t>)</w:t>
      </w:r>
      <w:r w:rsidRPr="007F77C5">
        <w:rPr>
          <w:rFonts w:cs="Times New Roman"/>
          <w:color w:val="000000" w:themeColor="text1"/>
        </w:rPr>
        <w:t xml:space="preserve">. This section will provide a basic overview of the known primary metabolism in higher plants to facilitate the analysis of experimental data presented later in this document. </w:t>
      </w:r>
    </w:p>
    <w:p w14:paraId="4D809D4F" w14:textId="77777777" w:rsidR="00126D8D" w:rsidRPr="007F77C5" w:rsidRDefault="00126D8D" w:rsidP="00224B41">
      <w:pPr>
        <w:ind w:firstLine="720"/>
        <w:jc w:val="both"/>
        <w:rPr>
          <w:rFonts w:cs="Times New Roman"/>
          <w:color w:val="000000" w:themeColor="text1"/>
        </w:rPr>
      </w:pPr>
      <w:r w:rsidRPr="007F77C5">
        <w:rPr>
          <w:rFonts w:cs="Times New Roman"/>
          <w:color w:val="000000" w:themeColor="text1"/>
        </w:rPr>
        <w:t xml:space="preserve">As previously described, light emitted from the sun contains photons in a broad spectrum of wavelengths. For photosynthesis, organisms primarily utilize a portion of the electromagnetic spectrum called photosynthetically active radiation (PAR). It should be noted that other wavelengths outside of 400-700 nm profoundly impact plant physiology and growth, with recent studies indicating wavelengths outside of PAR (i.e., extended PAR or ePAR) influence photosynthesis </w:t>
      </w:r>
      <w:r w:rsidRPr="007F77C5">
        <w:rPr>
          <w:rFonts w:cs="Times New Roman"/>
          <w:noProof/>
          <w:color w:val="000000" w:themeColor="text1"/>
        </w:rPr>
        <w:t>(</w:t>
      </w:r>
      <w:r w:rsidRPr="007F77C5">
        <w:rPr>
          <w:rFonts w:cs="Times New Roman"/>
        </w:rPr>
        <w:t>Zhang et al., 2020</w:t>
      </w:r>
      <w:r w:rsidRPr="007F77C5">
        <w:rPr>
          <w:rFonts w:cs="Times New Roman"/>
          <w:noProof/>
          <w:color w:val="000000" w:themeColor="text1"/>
        </w:rPr>
        <w:t xml:space="preserve">; </w:t>
      </w:r>
      <w:r w:rsidRPr="007F77C5">
        <w:rPr>
          <w:rFonts w:cs="Times New Roman"/>
        </w:rPr>
        <w:t>Zhen and Bugbee, 2020</w:t>
      </w:r>
      <w:r w:rsidRPr="007F77C5">
        <w:rPr>
          <w:rFonts w:cs="Times New Roman"/>
          <w:noProof/>
          <w:color w:val="000000" w:themeColor="text1"/>
        </w:rPr>
        <w:t xml:space="preserve">; </w:t>
      </w:r>
      <w:r w:rsidRPr="007F77C5">
        <w:rPr>
          <w:rFonts w:cs="Times New Roman"/>
        </w:rPr>
        <w:t>Zhen et al., 2021</w:t>
      </w:r>
      <w:r w:rsidRPr="007F77C5">
        <w:rPr>
          <w:rFonts w:cs="Times New Roman"/>
          <w:noProof/>
          <w:color w:val="000000" w:themeColor="text1"/>
        </w:rPr>
        <w:t>)</w:t>
      </w:r>
      <w:r w:rsidRPr="007F77C5">
        <w:rPr>
          <w:rFonts w:cs="Times New Roman"/>
          <w:color w:val="000000" w:themeColor="text1"/>
        </w:rPr>
        <w:t xml:space="preserve">. Plants contain pigments that facilitate the capture of wavelengths of light in the visible light range. The color of each pigment comes from the wavelengths of light reflected. Plants appear green because they reflect yellow/green wavelengths of light, while blue/red wavelengths of light are absorbed by these pigments, providing the energy used for photosynthesis. These chemical reactions occur </w:t>
      </w:r>
      <w:r w:rsidRPr="007F77C5">
        <w:rPr>
          <w:rFonts w:cs="Times New Roman"/>
          <w:color w:val="000000" w:themeColor="text1"/>
        </w:rPr>
        <w:lastRenderedPageBreak/>
        <w:t xml:space="preserve">within plant cells in specialized structures known as chloroplasts </w:t>
      </w:r>
      <w:r w:rsidRPr="007F77C5">
        <w:rPr>
          <w:rFonts w:cs="Times New Roman"/>
          <w:noProof/>
          <w:color w:val="000000" w:themeColor="text1"/>
        </w:rPr>
        <w:t>(</w:t>
      </w:r>
      <w:r w:rsidRPr="007F77C5">
        <w:rPr>
          <w:rFonts w:cs="Times New Roman"/>
        </w:rPr>
        <w:t>Buchanan, 2015</w:t>
      </w:r>
      <w:r w:rsidRPr="007F77C5">
        <w:rPr>
          <w:rFonts w:cs="Times New Roman"/>
          <w:noProof/>
          <w:color w:val="000000" w:themeColor="text1"/>
        </w:rPr>
        <w:t xml:space="preserve">; </w:t>
      </w:r>
      <w:r w:rsidRPr="007F77C5">
        <w:rPr>
          <w:rFonts w:cs="Times New Roman"/>
        </w:rPr>
        <w:t>Taiz et al., 2015</w:t>
      </w:r>
      <w:r w:rsidRPr="007F77C5">
        <w:rPr>
          <w:rFonts w:cs="Times New Roman"/>
          <w:noProof/>
          <w:color w:val="000000" w:themeColor="text1"/>
        </w:rPr>
        <w:t>)</w:t>
      </w:r>
      <w:r w:rsidRPr="007F77C5">
        <w:rPr>
          <w:rFonts w:cs="Times New Roman"/>
          <w:color w:val="000000" w:themeColor="text1"/>
        </w:rPr>
        <w:t>.</w:t>
      </w:r>
    </w:p>
    <w:p w14:paraId="5A1FBF62" w14:textId="77777777" w:rsidR="00126D8D" w:rsidRPr="007F77C5" w:rsidRDefault="00126D8D" w:rsidP="00224B41">
      <w:pPr>
        <w:ind w:firstLine="720"/>
        <w:jc w:val="both"/>
        <w:rPr>
          <w:rFonts w:cs="Times New Roman"/>
          <w:color w:val="000000" w:themeColor="text1"/>
        </w:rPr>
      </w:pPr>
      <w:r w:rsidRPr="007F77C5">
        <w:rPr>
          <w:rFonts w:cs="Times New Roman"/>
          <w:color w:val="000000" w:themeColor="text1"/>
        </w:rPr>
        <w:t xml:space="preserve">Photosynthesis in C3 plants consists of two sets of reactions: the light-dependent reactions and the Calvin cycle. Within the chloroplast are small disk-like structures called thylakoids, surrounded by a fluid-filled space called the stroma. The reactions that synthesize glucose from the Calvin cycle occur in the stroma. The light-dependent reactions occur in thylakoids. Thylakoids contain pairs of photosystems called photosystem I and photosystem II that work together to produce energy that will later be used in the stroma to manufacture sugars. The photosystems of the thylakoid consist of a network of accessory pigment molecules and chlorophyll, the molecules that absorb light. The absorbed light energy excites electrons to a higher state, and the photosystems channel the excitation energy gathered by the pigment molecules to a reaction center </w:t>
      </w:r>
      <w:r w:rsidRPr="007F77C5">
        <w:rPr>
          <w:rFonts w:cs="Times New Roman"/>
          <w:noProof/>
          <w:color w:val="000000" w:themeColor="text1"/>
        </w:rPr>
        <w:t>(</w:t>
      </w:r>
      <w:r w:rsidRPr="007F77C5">
        <w:rPr>
          <w:rFonts w:cs="Times New Roman"/>
        </w:rPr>
        <w:t>Buchanan, 2015</w:t>
      </w:r>
      <w:r w:rsidRPr="007F77C5">
        <w:rPr>
          <w:rFonts w:cs="Times New Roman"/>
          <w:noProof/>
          <w:color w:val="000000" w:themeColor="text1"/>
        </w:rPr>
        <w:t xml:space="preserve">; </w:t>
      </w:r>
      <w:r w:rsidRPr="007F77C5">
        <w:rPr>
          <w:rFonts w:cs="Times New Roman"/>
        </w:rPr>
        <w:t>Carson, 2019</w:t>
      </w:r>
      <w:r w:rsidRPr="007F77C5">
        <w:rPr>
          <w:rFonts w:cs="Times New Roman"/>
          <w:noProof/>
          <w:color w:val="000000" w:themeColor="text1"/>
        </w:rPr>
        <w:t xml:space="preserve">; </w:t>
      </w:r>
      <w:r w:rsidRPr="007F77C5">
        <w:rPr>
          <w:rFonts w:cs="Times New Roman"/>
        </w:rPr>
        <w:t>Taiz et al., 2015</w:t>
      </w:r>
      <w:r w:rsidRPr="007F77C5">
        <w:rPr>
          <w:rFonts w:cs="Times New Roman"/>
          <w:noProof/>
          <w:color w:val="000000" w:themeColor="text1"/>
        </w:rPr>
        <w:t xml:space="preserve">; </w:t>
      </w:r>
      <w:r w:rsidRPr="007F77C5">
        <w:rPr>
          <w:rFonts w:cs="Times New Roman"/>
        </w:rPr>
        <w:t>Wink, 2010</w:t>
      </w:r>
      <w:r w:rsidRPr="007F77C5">
        <w:rPr>
          <w:rFonts w:cs="Times New Roman"/>
          <w:noProof/>
          <w:color w:val="000000" w:themeColor="text1"/>
        </w:rPr>
        <w:t>)</w:t>
      </w:r>
      <w:r w:rsidRPr="007F77C5">
        <w:rPr>
          <w:rFonts w:cs="Times New Roman"/>
          <w:color w:val="000000" w:themeColor="text1"/>
        </w:rPr>
        <w:t>.</w:t>
      </w:r>
    </w:p>
    <w:p w14:paraId="0EFDEAB8" w14:textId="77777777" w:rsidR="00126D8D" w:rsidRPr="007F77C5" w:rsidRDefault="00126D8D" w:rsidP="00224B41">
      <w:pPr>
        <w:ind w:firstLine="720"/>
        <w:jc w:val="both"/>
        <w:rPr>
          <w:rFonts w:cs="Times New Roman"/>
          <w:color w:val="000000" w:themeColor="text1"/>
        </w:rPr>
      </w:pPr>
      <w:r w:rsidRPr="007F77C5">
        <w:rPr>
          <w:rFonts w:cs="Times New Roman"/>
          <w:color w:val="000000" w:themeColor="text1"/>
        </w:rPr>
        <w:t>A chlorophyll molecule will then pass the electrons to a series of proteins located on the thylakoid membrane—photons of light strike photosystems I and II simultaneously. Photons striking photosystem II create energized electrons, which are then passed from the reaction center of photosystem II to an electron transport chain. The electrons lost by photosystem II are replaced by the process of photolysis, which involves the oxidation of a water molecule producing free electrons and oxygen gas. While this oxygen gas is a byproduct of photosynthesis, it is an essential input to the cellular respiration pathways as electrons pass through the electron transport chain. The energy from these electrons is then used to pump hydrogen ions from the stroma to the thylakoid, creating a concentration gradient of H</w:t>
      </w:r>
      <w:r w:rsidRPr="007F77C5">
        <w:rPr>
          <w:rFonts w:cs="Times New Roman"/>
          <w:color w:val="000000" w:themeColor="text1"/>
          <w:vertAlign w:val="superscript"/>
        </w:rPr>
        <w:t>+</w:t>
      </w:r>
      <w:r w:rsidRPr="007F77C5">
        <w:rPr>
          <w:rFonts w:cs="Times New Roman"/>
          <w:color w:val="000000" w:themeColor="text1"/>
        </w:rPr>
        <w:t xml:space="preserve"> ions. These gradients supply energy to adenosine triphosphate (ATP) synthase proteins, which phosphorylate adenosine diphosphate (ADP) to form ATP. It is energetically favorable for protons to diffuse back down the gradient into the stroma, </w:t>
      </w:r>
      <w:r w:rsidRPr="007F77C5">
        <w:rPr>
          <w:rFonts w:cs="Times New Roman"/>
          <w:color w:val="000000" w:themeColor="text1"/>
        </w:rPr>
        <w:lastRenderedPageBreak/>
        <w:t>and their only route of passage is through the enzyme APT synthase. The low-energy electrons leaving photosystem II are shuttled to photosystem I, where low-energy electrons are reenergized and passed through an electron transport chain, which is then used to reduce the electron carrier nicotinamide adenine dinucleotide phosphate (NADP</w:t>
      </w:r>
      <w:r w:rsidRPr="007F77C5">
        <w:rPr>
          <w:rFonts w:cs="Times New Roman"/>
          <w:color w:val="000000" w:themeColor="text1"/>
          <w:vertAlign w:val="superscript"/>
        </w:rPr>
        <w:t>+</w:t>
      </w:r>
      <w:r w:rsidRPr="007F77C5">
        <w:rPr>
          <w:rFonts w:cs="Times New Roman"/>
          <w:color w:val="000000" w:themeColor="text1"/>
        </w:rPr>
        <w:t xml:space="preserve">) to the reduced form of nicotinamide adenine dinucleotide phosphate (NADPH). When the chloroplast receives a steady supply of photons, NADPH and ATP molecules will be rapidly shuttled to the metabolic pathways in the stroma. The ATP and NADPH formed during light-dependent reactions will then be used in the stroma to fuel the Calvin cycle reactions </w:t>
      </w:r>
      <w:r w:rsidRPr="007F77C5">
        <w:rPr>
          <w:rFonts w:cs="Times New Roman"/>
          <w:noProof/>
          <w:color w:val="000000" w:themeColor="text1"/>
        </w:rPr>
        <w:t>(</w:t>
      </w:r>
      <w:r w:rsidRPr="007F77C5">
        <w:rPr>
          <w:rFonts w:cs="Times New Roman"/>
        </w:rPr>
        <w:t>Buchanan, 2015</w:t>
      </w:r>
      <w:r w:rsidRPr="007F77C5">
        <w:rPr>
          <w:rFonts w:cs="Times New Roman"/>
          <w:noProof/>
          <w:color w:val="000000" w:themeColor="text1"/>
        </w:rPr>
        <w:t xml:space="preserve">; </w:t>
      </w:r>
      <w:r w:rsidRPr="007F77C5">
        <w:rPr>
          <w:rFonts w:cs="Times New Roman"/>
        </w:rPr>
        <w:t>Carson, 2019</w:t>
      </w:r>
      <w:r w:rsidRPr="007F77C5">
        <w:rPr>
          <w:rFonts w:cs="Times New Roman"/>
          <w:noProof/>
          <w:color w:val="000000" w:themeColor="text1"/>
        </w:rPr>
        <w:t xml:space="preserve">; </w:t>
      </w:r>
      <w:r w:rsidRPr="007F77C5">
        <w:rPr>
          <w:rFonts w:cs="Times New Roman"/>
        </w:rPr>
        <w:t>Taiz et al., 2015</w:t>
      </w:r>
      <w:r w:rsidRPr="007F77C5">
        <w:rPr>
          <w:rFonts w:cs="Times New Roman"/>
          <w:noProof/>
          <w:color w:val="000000" w:themeColor="text1"/>
        </w:rPr>
        <w:t xml:space="preserve">; </w:t>
      </w:r>
      <w:r w:rsidRPr="007F77C5">
        <w:rPr>
          <w:rFonts w:cs="Times New Roman"/>
        </w:rPr>
        <w:t>Wink, 2010</w:t>
      </w:r>
      <w:r w:rsidRPr="007F77C5">
        <w:rPr>
          <w:rFonts w:cs="Times New Roman"/>
          <w:noProof/>
          <w:color w:val="000000" w:themeColor="text1"/>
        </w:rPr>
        <w:t>)</w:t>
      </w:r>
      <w:r w:rsidRPr="007F77C5">
        <w:rPr>
          <w:rFonts w:cs="Times New Roman"/>
          <w:color w:val="000000" w:themeColor="text1"/>
        </w:rPr>
        <w:t xml:space="preserve">. </w:t>
      </w:r>
    </w:p>
    <w:p w14:paraId="3E225FB3" w14:textId="77777777" w:rsidR="00126D8D" w:rsidRPr="007F77C5" w:rsidRDefault="00126D8D" w:rsidP="00224B41">
      <w:pPr>
        <w:ind w:firstLine="720"/>
        <w:jc w:val="both"/>
        <w:rPr>
          <w:rFonts w:cs="Times New Roman"/>
          <w:color w:val="000000" w:themeColor="text1"/>
        </w:rPr>
      </w:pPr>
      <w:r w:rsidRPr="007F77C5">
        <w:rPr>
          <w:rFonts w:cs="Times New Roman"/>
          <w:color w:val="000000" w:themeColor="text1"/>
        </w:rPr>
        <w:t xml:space="preserve">The Calvin cycle involves reactions that reduce carbon dioxide to produce the carbohydrate glyceraldehyde-3-phosphate (G3P). The cycle consists of three steps. The first is carbon fixation. In this step, carbon dioxide is attached to ribulose 1,5-bisphosphate (RuBP), resulting in a 6-carbon molecule that splits into two, three-carbon molecules. The second step is a sequence of reactions using electrons from NADPH and some of the ATP to reduce carbon dioxide. In the final step, RuBP is regenerated, and for every three turns of the cycle, five molecules of G3P are used to reform three molecules of RuBP. The remaining G3P is then used to make glucose, fatty acids, or glycerol. It takes two molecules of G3P to make one molecule of glucose phosphate. The Calvin cycle must run six times to produce one molecule of glucose. These molecules can remove their phosphate and add fructose to form sucrose, which plants use to transport carbohydrates throughout their system. Glucose phosphate is also the starting molecule for synthesizing starch and cellulose. Plants produce sugars to use as storage molecules and structural components for their benefit. By utilizing the sun's energy and inputs of water and carbon dioxide, plants can fix carbon for the creation of sugars. These simple sugar molecules are then transported throughout </w:t>
      </w:r>
      <w:r w:rsidRPr="007F77C5">
        <w:rPr>
          <w:rFonts w:cs="Times New Roman"/>
          <w:color w:val="000000" w:themeColor="text1"/>
        </w:rPr>
        <w:lastRenderedPageBreak/>
        <w:t xml:space="preserve">the plant to be used in cellular respiration or as starting materials for more complex carbohydrates such as starch and cellulose. In higher plants, primary metabolism includes the synthesis of these types of small molecules (e.g., sugars, amino acids, nucleotides) that are used to build larger molecules (e.g., proteins, enzymes, DNA) </w:t>
      </w:r>
      <w:r w:rsidRPr="007F77C5">
        <w:rPr>
          <w:rFonts w:cs="Times New Roman"/>
          <w:noProof/>
          <w:color w:val="000000" w:themeColor="text1"/>
        </w:rPr>
        <w:t>(</w:t>
      </w:r>
      <w:r w:rsidRPr="007F77C5">
        <w:rPr>
          <w:rFonts w:cs="Times New Roman"/>
        </w:rPr>
        <w:t>Buchanan, 2015</w:t>
      </w:r>
      <w:r w:rsidRPr="007F77C5">
        <w:rPr>
          <w:rFonts w:cs="Times New Roman"/>
          <w:noProof/>
          <w:color w:val="000000" w:themeColor="text1"/>
        </w:rPr>
        <w:t xml:space="preserve">; </w:t>
      </w:r>
      <w:r w:rsidRPr="007F77C5">
        <w:rPr>
          <w:rFonts w:cs="Times New Roman"/>
        </w:rPr>
        <w:t>Taiz, 2010</w:t>
      </w:r>
      <w:r w:rsidRPr="007F77C5">
        <w:rPr>
          <w:rFonts w:cs="Times New Roman"/>
          <w:noProof/>
          <w:color w:val="000000" w:themeColor="text1"/>
        </w:rPr>
        <w:t>)</w:t>
      </w:r>
      <w:r w:rsidRPr="007F77C5">
        <w:rPr>
          <w:rFonts w:cs="Times New Roman"/>
          <w:color w:val="000000" w:themeColor="text1"/>
        </w:rPr>
        <w:t>.</w:t>
      </w:r>
    </w:p>
    <w:p w14:paraId="47BE1B1C" w14:textId="77777777" w:rsidR="00126D8D" w:rsidRPr="007F77C5" w:rsidRDefault="00126D8D" w:rsidP="00224B41">
      <w:pPr>
        <w:ind w:firstLine="720"/>
        <w:jc w:val="both"/>
        <w:rPr>
          <w:rFonts w:cs="Times New Roman"/>
          <w:color w:val="000000" w:themeColor="text1"/>
        </w:rPr>
      </w:pPr>
      <w:r w:rsidRPr="007F77C5">
        <w:rPr>
          <w:rFonts w:cs="Times New Roman"/>
          <w:color w:val="000000" w:themeColor="text1"/>
        </w:rPr>
        <w:t xml:space="preserve">When discussing primary metabolism and photosynthesis in higher plants, it is important to note the differences between C3 and C4 plants. The notation of C3 and C4 plants is used to describe two different photosynthetic pathways with varying efficiencies depending on sun intensity and temperature. These two pathways are thought to have evolved from separate lineages and be advantageous based on the climate (tropical vs. temperate). The enzyme RuBisCO is the determinate factor for </w:t>
      </w:r>
      <w:bookmarkStart w:id="53" w:name="_Hlk114413177"/>
      <w:r w:rsidRPr="007F77C5">
        <w:rPr>
          <w:rFonts w:cs="Times New Roman"/>
          <w:color w:val="000000" w:themeColor="text1"/>
        </w:rPr>
        <w:t xml:space="preserve">carbon fixation </w:t>
      </w:r>
      <w:bookmarkEnd w:id="53"/>
      <w:r w:rsidRPr="007F77C5">
        <w:rPr>
          <w:rFonts w:cs="Times New Roman"/>
          <w:color w:val="000000" w:themeColor="text1"/>
        </w:rPr>
        <w:t xml:space="preserve">efficiency in the Calvin cycle and is the most abundant enzyme on earth. Around 5% of plants are C4, with the vast majority being C3. The primary product from C3 is 3-phosphoglyceric acid, while C4 produces a four-carbon compound (oxaloacetate). Carbon fixation of C3 plants occurs in the mesophyll cells, while carbon fixation of C4 plants occurs in both mesophyll cells and bundle sheath shells. C3 plants can be found in cool, wet areas and make up 95% of green plants. C4 plants can be found in dryer areas and do not have photorespiration. C4 plants have leaves with Kranz anatomy, while 3C3 does not (Kranz anatomy is defined as a plant having vascular bundles that are surrounded by mesophilic photosynthetic tissue in a ring-like fashion) </w:t>
      </w:r>
      <w:r w:rsidRPr="007F77C5">
        <w:rPr>
          <w:rFonts w:cs="Times New Roman"/>
          <w:noProof/>
          <w:color w:val="000000" w:themeColor="text1"/>
        </w:rPr>
        <w:t>(</w:t>
      </w:r>
      <w:r w:rsidRPr="007F77C5">
        <w:rPr>
          <w:rFonts w:cs="Times New Roman"/>
        </w:rPr>
        <w:t>Buchanan, 2015</w:t>
      </w:r>
      <w:r w:rsidRPr="007F77C5">
        <w:rPr>
          <w:rFonts w:cs="Times New Roman"/>
          <w:noProof/>
          <w:color w:val="000000" w:themeColor="text1"/>
        </w:rPr>
        <w:t xml:space="preserve">; </w:t>
      </w:r>
      <w:r w:rsidRPr="007F77C5">
        <w:rPr>
          <w:rFonts w:cs="Times New Roman"/>
        </w:rPr>
        <w:t>Taiz, 2010</w:t>
      </w:r>
      <w:r w:rsidRPr="007F77C5">
        <w:rPr>
          <w:rFonts w:cs="Times New Roman"/>
          <w:noProof/>
          <w:color w:val="000000" w:themeColor="text1"/>
        </w:rPr>
        <w:t>)</w:t>
      </w:r>
      <w:r w:rsidRPr="007F77C5">
        <w:rPr>
          <w:rFonts w:cs="Times New Roman"/>
          <w:color w:val="000000" w:themeColor="text1"/>
        </w:rPr>
        <w:t xml:space="preserve">. </w:t>
      </w:r>
    </w:p>
    <w:p w14:paraId="6322ED24" w14:textId="77777777" w:rsidR="00126D8D" w:rsidRPr="007F77C5" w:rsidRDefault="00126D8D" w:rsidP="00224B41">
      <w:pPr>
        <w:ind w:firstLine="720"/>
        <w:jc w:val="both"/>
        <w:rPr>
          <w:rFonts w:cs="Times New Roman"/>
          <w:color w:val="000000" w:themeColor="text1"/>
        </w:rPr>
      </w:pPr>
      <w:r w:rsidRPr="007F77C5">
        <w:rPr>
          <w:rFonts w:cs="Times New Roman"/>
          <w:color w:val="000000" w:themeColor="text1"/>
        </w:rPr>
        <w:t xml:space="preserve">Carbon fixation is faster and more efficient in C4 plants, but they do not do well under low light intensities or temperatures because their efficiency is significantly reduced due to the inherent mechanism of C4 metabolism. In C4, the initial steps are carried out in the mesophyll cells, and the remaining steps are completed in the bundle sheath cells. In contrast, all light-independent </w:t>
      </w:r>
      <w:r w:rsidRPr="007F77C5">
        <w:rPr>
          <w:rFonts w:cs="Times New Roman"/>
          <w:color w:val="000000" w:themeColor="text1"/>
        </w:rPr>
        <w:lastRenderedPageBreak/>
        <w:t xml:space="preserve">steps occur in the mesophyll cells of C3 plants, and photosynthesis is inhibited when stomata are closed </w:t>
      </w:r>
      <w:r w:rsidRPr="007F77C5">
        <w:rPr>
          <w:rFonts w:cs="Times New Roman"/>
          <w:noProof/>
          <w:color w:val="000000" w:themeColor="text1"/>
        </w:rPr>
        <w:t>(</w:t>
      </w:r>
      <w:r w:rsidRPr="007F77C5">
        <w:rPr>
          <w:rFonts w:cs="Times New Roman"/>
        </w:rPr>
        <w:t>Buchanan, 2015</w:t>
      </w:r>
      <w:r w:rsidRPr="007F77C5">
        <w:rPr>
          <w:rFonts w:cs="Times New Roman"/>
          <w:noProof/>
          <w:color w:val="000000" w:themeColor="text1"/>
        </w:rPr>
        <w:t>)</w:t>
      </w:r>
      <w:r w:rsidRPr="007F77C5">
        <w:rPr>
          <w:rFonts w:cs="Times New Roman"/>
          <w:color w:val="000000" w:themeColor="text1"/>
        </w:rPr>
        <w:t>.</w:t>
      </w:r>
    </w:p>
    <w:p w14:paraId="4DF07477" w14:textId="77777777" w:rsidR="00126D8D" w:rsidRPr="007F77C5" w:rsidRDefault="00126D8D" w:rsidP="00224B41">
      <w:pPr>
        <w:ind w:firstLine="720"/>
        <w:jc w:val="both"/>
        <w:rPr>
          <w:rFonts w:cs="Times New Roman"/>
          <w:color w:val="000000" w:themeColor="text1"/>
        </w:rPr>
      </w:pPr>
      <w:r w:rsidRPr="007F77C5">
        <w:rPr>
          <w:rFonts w:cs="Times New Roman"/>
          <w:color w:val="000000" w:themeColor="text1"/>
        </w:rPr>
        <w:t xml:space="preserve">Respiration is the opposite of photosynthesis, as it frees up energy from carbohydrates for cellular use. Reduced cellular carbon generated by photosynthesis is oxidized to carbon dioxide and water. This oxidation is coupled to the synthesis of ATP. Respiration takes place through four main pathways: glycolysis, the oxidative pentose phosphate pathway, the citric acid cycle, and oxidative phosphorylation. In glycolysis, carbohydrates are converted into pyruvate in the cytosol, and a small amount of ATP is synthesized. If oxygen is not available, fermentation generates NAD+ for glycolysis. It is also regulated from the bottom up by its own products. Carbohydrates can be oxidized via the oxidative pentose phosphate pathway and provide biosynthetic building blocks/reducing power (NADPH). In the citric acid cycle, pyruvate is oxidized to carbon dioxide within the mitochondrial matrix. Oxidative phosphorylation occurs in terms of mitochondrial electron transport and ATP synthesis. During aerobic respiration, up to 60 molecules of ATP are produced from a single sucrose molecule. It is estimated that a plant may respire more than 50% of its daily photosynthetic yield, with widely ranging ratios based on species and environmental conditions. Respiration is also involved with lipid metabolism. Lipids are broken down to produce fatty acids and glycerol. These can be used to produce cell membranes, waxes, and energy storage </w:t>
      </w:r>
      <w:r w:rsidRPr="007F77C5">
        <w:rPr>
          <w:rFonts w:cs="Times New Roman"/>
          <w:noProof/>
          <w:color w:val="000000" w:themeColor="text1"/>
        </w:rPr>
        <w:t>(</w:t>
      </w:r>
      <w:r w:rsidRPr="007F77C5">
        <w:rPr>
          <w:rFonts w:cs="Times New Roman"/>
        </w:rPr>
        <w:t>Buchanan, 2015</w:t>
      </w:r>
      <w:r w:rsidRPr="007F77C5">
        <w:rPr>
          <w:rFonts w:cs="Times New Roman"/>
          <w:noProof/>
          <w:color w:val="000000" w:themeColor="text1"/>
        </w:rPr>
        <w:t xml:space="preserve">; </w:t>
      </w:r>
      <w:r w:rsidRPr="007F77C5">
        <w:rPr>
          <w:rFonts w:cs="Times New Roman"/>
        </w:rPr>
        <w:t>Carson, 2019</w:t>
      </w:r>
      <w:r w:rsidRPr="007F77C5">
        <w:rPr>
          <w:rFonts w:cs="Times New Roman"/>
          <w:noProof/>
          <w:color w:val="000000" w:themeColor="text1"/>
        </w:rPr>
        <w:t xml:space="preserve">; </w:t>
      </w:r>
      <w:r w:rsidRPr="007F77C5">
        <w:rPr>
          <w:rFonts w:cs="Times New Roman"/>
        </w:rPr>
        <w:t>Taiz et al., 2015</w:t>
      </w:r>
      <w:r w:rsidRPr="007F77C5">
        <w:rPr>
          <w:rFonts w:cs="Times New Roman"/>
          <w:noProof/>
          <w:color w:val="000000" w:themeColor="text1"/>
        </w:rPr>
        <w:t xml:space="preserve">; </w:t>
      </w:r>
      <w:r w:rsidRPr="007F77C5">
        <w:rPr>
          <w:rFonts w:cs="Times New Roman"/>
        </w:rPr>
        <w:t>Wink, 2010</w:t>
      </w:r>
      <w:r w:rsidRPr="007F77C5">
        <w:rPr>
          <w:rFonts w:cs="Times New Roman"/>
          <w:noProof/>
          <w:color w:val="000000" w:themeColor="text1"/>
        </w:rPr>
        <w:t>)</w:t>
      </w:r>
      <w:r w:rsidRPr="007F77C5">
        <w:rPr>
          <w:rFonts w:cs="Times New Roman"/>
          <w:color w:val="000000" w:themeColor="text1"/>
        </w:rPr>
        <w:t>.</w:t>
      </w:r>
      <w:bookmarkStart w:id="54" w:name="_Toc113382865"/>
    </w:p>
    <w:p w14:paraId="1CB0D2C6" w14:textId="77777777" w:rsidR="00126D8D" w:rsidRPr="007F77C5" w:rsidRDefault="00126D8D" w:rsidP="00224B41">
      <w:pPr>
        <w:spacing w:line="240" w:lineRule="auto"/>
        <w:rPr>
          <w:rFonts w:cs="Times New Roman"/>
          <w:b/>
          <w:color w:val="000000" w:themeColor="text1"/>
          <w:sz w:val="28"/>
        </w:rPr>
      </w:pPr>
      <w:bookmarkStart w:id="55" w:name="_Toc114189699"/>
      <w:bookmarkStart w:id="56" w:name="_Toc114189782"/>
    </w:p>
    <w:p w14:paraId="4692ABBA" w14:textId="77777777" w:rsidR="00126D8D" w:rsidRPr="007F77C5" w:rsidRDefault="00126D8D" w:rsidP="00224B41">
      <w:pPr>
        <w:pStyle w:val="MastersThesisMainTitle"/>
      </w:pPr>
      <w:bookmarkStart w:id="57" w:name="_Toc139574774"/>
      <w:bookmarkStart w:id="58" w:name="_Toc141478644"/>
      <w:r w:rsidRPr="007F77C5">
        <w:t>Secondary Metabolism</w:t>
      </w:r>
      <w:bookmarkEnd w:id="54"/>
      <w:r w:rsidRPr="007F77C5">
        <w:t xml:space="preserve"> in Higher Plants</w:t>
      </w:r>
      <w:bookmarkEnd w:id="55"/>
      <w:bookmarkEnd w:id="56"/>
      <w:bookmarkEnd w:id="57"/>
      <w:bookmarkEnd w:id="58"/>
    </w:p>
    <w:p w14:paraId="03D2E873" w14:textId="77777777" w:rsidR="00126D8D" w:rsidRPr="007F77C5" w:rsidRDefault="00126D8D" w:rsidP="00224B41">
      <w:pPr>
        <w:ind w:firstLine="720"/>
        <w:jc w:val="both"/>
        <w:rPr>
          <w:rFonts w:cs="Times New Roman"/>
          <w:color w:val="000000" w:themeColor="text1"/>
        </w:rPr>
      </w:pPr>
      <w:r w:rsidRPr="007F77C5">
        <w:rPr>
          <w:rFonts w:cs="Times New Roman"/>
          <w:color w:val="000000" w:themeColor="text1"/>
        </w:rPr>
        <w:t xml:space="preserve">In higher plants, secondary metabolism is a term that describes metabolic processes and pathways that are not necessary for life </w:t>
      </w:r>
      <w:r w:rsidRPr="007F77C5">
        <w:rPr>
          <w:rFonts w:cs="Times New Roman"/>
          <w:noProof/>
          <w:color w:val="000000" w:themeColor="text1"/>
        </w:rPr>
        <w:t>(</w:t>
      </w:r>
      <w:r w:rsidRPr="007F77C5">
        <w:rPr>
          <w:rFonts w:cs="Times New Roman"/>
        </w:rPr>
        <w:t>Wink, 2010</w:t>
      </w:r>
      <w:r w:rsidRPr="007F77C5">
        <w:rPr>
          <w:rFonts w:cs="Times New Roman"/>
          <w:noProof/>
          <w:color w:val="000000" w:themeColor="text1"/>
        </w:rPr>
        <w:t>)</w:t>
      </w:r>
      <w:r w:rsidRPr="007F77C5">
        <w:rPr>
          <w:rFonts w:cs="Times New Roman"/>
          <w:color w:val="000000" w:themeColor="text1"/>
        </w:rPr>
        <w:t xml:space="preserve">. However, these pathways often serve important direct and indirect roles in survival, including the plant's response to environmental stressors such as herbivory, pathogens, and abiotic stressors </w:t>
      </w:r>
      <w:r w:rsidRPr="007F77C5">
        <w:rPr>
          <w:rFonts w:cs="Times New Roman"/>
          <w:noProof/>
          <w:color w:val="000000" w:themeColor="text1"/>
        </w:rPr>
        <w:t>(</w:t>
      </w:r>
      <w:r w:rsidRPr="007F77C5">
        <w:rPr>
          <w:rFonts w:cs="Times New Roman"/>
        </w:rPr>
        <w:t>Buchanan, 2015</w:t>
      </w:r>
      <w:r w:rsidRPr="007F77C5">
        <w:rPr>
          <w:rFonts w:cs="Times New Roman"/>
          <w:noProof/>
          <w:color w:val="000000" w:themeColor="text1"/>
        </w:rPr>
        <w:t>)</w:t>
      </w:r>
      <w:r w:rsidRPr="007F77C5">
        <w:rPr>
          <w:rFonts w:cs="Times New Roman"/>
          <w:color w:val="000000" w:themeColor="text1"/>
        </w:rPr>
        <w:t xml:space="preserve">. Secondary </w:t>
      </w:r>
      <w:r w:rsidRPr="007F77C5">
        <w:rPr>
          <w:rFonts w:cs="Times New Roman"/>
          <w:color w:val="000000" w:themeColor="text1"/>
        </w:rPr>
        <w:lastRenderedPageBreak/>
        <w:t xml:space="preserve">metabolites often involve plant defense mechanisms, such as deterring herbivores or pathogenic fungi. In some cases, plants can also use secondary metabolites to attract helpful insects, such as pollinators </w:t>
      </w:r>
      <w:r w:rsidRPr="007F77C5">
        <w:rPr>
          <w:rFonts w:cs="Times New Roman"/>
          <w:noProof/>
          <w:color w:val="000000" w:themeColor="text1"/>
        </w:rPr>
        <w:t>(</w:t>
      </w:r>
      <w:r w:rsidRPr="007F77C5">
        <w:rPr>
          <w:rFonts w:cs="Times New Roman"/>
        </w:rPr>
        <w:t>Wink, 2010</w:t>
      </w:r>
      <w:r w:rsidRPr="007F77C5">
        <w:rPr>
          <w:rFonts w:cs="Times New Roman"/>
          <w:noProof/>
          <w:color w:val="000000" w:themeColor="text1"/>
        </w:rPr>
        <w:t>)</w:t>
      </w:r>
      <w:r w:rsidRPr="007F77C5">
        <w:rPr>
          <w:rFonts w:cs="Times New Roman"/>
          <w:color w:val="000000" w:themeColor="text1"/>
        </w:rPr>
        <w:t>.</w:t>
      </w:r>
    </w:p>
    <w:p w14:paraId="4D2C2A24" w14:textId="77777777" w:rsidR="00126D8D" w:rsidRPr="007F77C5" w:rsidRDefault="00126D8D" w:rsidP="00224B41">
      <w:pPr>
        <w:ind w:firstLine="720"/>
        <w:jc w:val="both"/>
        <w:rPr>
          <w:rFonts w:cs="Times New Roman"/>
          <w:color w:val="000000" w:themeColor="text1"/>
        </w:rPr>
      </w:pPr>
      <w:r w:rsidRPr="007F77C5">
        <w:rPr>
          <w:rFonts w:cs="Times New Roman"/>
          <w:color w:val="000000" w:themeColor="text1"/>
        </w:rPr>
        <w:t xml:space="preserve">The three classes of secondary metabolites in plants are terpenoids, phenolics, and alkaloids </w:t>
      </w:r>
      <w:r w:rsidRPr="007F77C5">
        <w:rPr>
          <w:rFonts w:cs="Times New Roman"/>
          <w:noProof/>
          <w:color w:val="000000" w:themeColor="text1"/>
        </w:rPr>
        <w:t>(</w:t>
      </w:r>
      <w:r w:rsidRPr="007F77C5">
        <w:rPr>
          <w:rFonts w:cs="Times New Roman"/>
        </w:rPr>
        <w:t>Wink, 2010</w:t>
      </w:r>
      <w:r w:rsidRPr="007F77C5">
        <w:rPr>
          <w:rFonts w:cs="Times New Roman"/>
          <w:noProof/>
          <w:color w:val="000000" w:themeColor="text1"/>
        </w:rPr>
        <w:t>)</w:t>
      </w:r>
      <w:r w:rsidRPr="007F77C5">
        <w:rPr>
          <w:rFonts w:cs="Times New Roman"/>
          <w:color w:val="000000" w:themeColor="text1"/>
        </w:rPr>
        <w:t xml:space="preserve">. Terpenoids are a large and diverse class of compounds that includes essential oils, hormones, and vitamins. Phenolics are a group of aromatic compounds that often function as antioxidants or ultraviolet (UV) absorbance. Alkaloids are a group of nitrogen-containing compounds that can have toxic effects on humans </w:t>
      </w:r>
      <w:r w:rsidRPr="007F77C5">
        <w:rPr>
          <w:rFonts w:cs="Times New Roman"/>
          <w:noProof/>
          <w:color w:val="000000" w:themeColor="text1"/>
        </w:rPr>
        <w:t>(</w:t>
      </w:r>
      <w:r w:rsidRPr="007F77C5">
        <w:rPr>
          <w:rFonts w:cs="Times New Roman"/>
        </w:rPr>
        <w:t>Buchanan, 2015</w:t>
      </w:r>
      <w:r w:rsidRPr="007F77C5">
        <w:rPr>
          <w:rFonts w:cs="Times New Roman"/>
          <w:noProof/>
          <w:color w:val="000000" w:themeColor="text1"/>
        </w:rPr>
        <w:t xml:space="preserve">; </w:t>
      </w:r>
      <w:r w:rsidRPr="007F77C5">
        <w:rPr>
          <w:rFonts w:cs="Times New Roman"/>
        </w:rPr>
        <w:t>Wink, 2010</w:t>
      </w:r>
      <w:r w:rsidRPr="007F77C5">
        <w:rPr>
          <w:rFonts w:cs="Times New Roman"/>
          <w:noProof/>
          <w:color w:val="000000" w:themeColor="text1"/>
        </w:rPr>
        <w:t>)</w:t>
      </w:r>
      <w:r w:rsidRPr="007F77C5">
        <w:rPr>
          <w:rFonts w:cs="Times New Roman"/>
          <w:color w:val="000000" w:themeColor="text1"/>
        </w:rPr>
        <w:t xml:space="preserve">. </w:t>
      </w:r>
    </w:p>
    <w:p w14:paraId="325980EB" w14:textId="77777777" w:rsidR="00126D8D" w:rsidRPr="007F77C5" w:rsidRDefault="00126D8D" w:rsidP="00224B41">
      <w:pPr>
        <w:ind w:firstLine="720"/>
        <w:jc w:val="both"/>
        <w:rPr>
          <w:rFonts w:cs="Times New Roman"/>
          <w:color w:val="000000" w:themeColor="text1"/>
        </w:rPr>
      </w:pPr>
      <w:r w:rsidRPr="007F77C5">
        <w:rPr>
          <w:rFonts w:cs="Times New Roman"/>
          <w:color w:val="000000" w:themeColor="text1"/>
        </w:rPr>
        <w:t xml:space="preserve">While all plants produce secondary metabolites, the type and number of metabolites can vary widely among species. Different plant families tend to specialize in producing specific classes of secondary metabolites. For example, the Solanaceae family (which includes potatoes, tomatoes, and peppers) is known for its high alkaloid content, while the Asteraceae family (which includes sunflowers, daisies, and chrysanthemums) is known for its high phenolic content. The biosynthetic pathways for secondary metabolites are often very complex, involving the coordinated regulation of multiple enzymes. These pathways often utilize unique enzymes that are not found in primary metabolism. Secondary metabolism is often considered to be more flexible and adaptable than primary metabolism. While the exact role of some secondary metabolites in plant biology is still not fully understood, these various compounds play essential roles in plant development and ecology </w:t>
      </w:r>
      <w:r w:rsidRPr="007F77C5">
        <w:rPr>
          <w:rFonts w:cs="Times New Roman"/>
          <w:noProof/>
          <w:color w:val="000000" w:themeColor="text1"/>
        </w:rPr>
        <w:t>(</w:t>
      </w:r>
      <w:r w:rsidRPr="007F77C5">
        <w:rPr>
          <w:rFonts w:cs="Times New Roman"/>
        </w:rPr>
        <w:t>Wink, 2010</w:t>
      </w:r>
      <w:r w:rsidRPr="007F77C5">
        <w:rPr>
          <w:rFonts w:cs="Times New Roman"/>
          <w:noProof/>
          <w:color w:val="000000" w:themeColor="text1"/>
        </w:rPr>
        <w:t>)</w:t>
      </w:r>
      <w:r w:rsidRPr="007F77C5">
        <w:rPr>
          <w:rFonts w:cs="Times New Roman"/>
          <w:color w:val="000000" w:themeColor="text1"/>
        </w:rPr>
        <w:t>.</w:t>
      </w:r>
    </w:p>
    <w:p w14:paraId="2EB3890B" w14:textId="77777777" w:rsidR="00126D8D" w:rsidRPr="007F77C5" w:rsidRDefault="00126D8D" w:rsidP="00224B41">
      <w:pPr>
        <w:ind w:firstLine="720"/>
        <w:jc w:val="both"/>
        <w:rPr>
          <w:rFonts w:cs="Times New Roman"/>
          <w:color w:val="000000" w:themeColor="text1"/>
        </w:rPr>
      </w:pPr>
      <w:r w:rsidRPr="007F77C5">
        <w:rPr>
          <w:rFonts w:cs="Times New Roman"/>
          <w:color w:val="000000" w:themeColor="text1"/>
        </w:rPr>
        <w:t xml:space="preserve">Favorable hereditary characteristics (such as the capacity to synthesize secondary metabolites that aid in survival and reproduction) have been naturally selected over time via evolution. Examples include fragrant volatiles and colorful pigments that entice pollinators that disperse seeds, metabolic compounds that relieve or negate abiotic or biotic stressors, tastes and </w:t>
      </w:r>
      <w:r w:rsidRPr="007F77C5">
        <w:rPr>
          <w:rFonts w:cs="Times New Roman"/>
          <w:color w:val="000000" w:themeColor="text1"/>
        </w:rPr>
        <w:lastRenderedPageBreak/>
        <w:t xml:space="preserve">sugars that attract animals, and the ability to produce noxious or toxic chemicals that repel pathogens, physical damage, consumption, and/or growth of neighboring vegetation </w:t>
      </w:r>
      <w:r w:rsidRPr="007F77C5">
        <w:rPr>
          <w:rFonts w:cs="Times New Roman"/>
          <w:noProof/>
          <w:color w:val="000000" w:themeColor="text1"/>
        </w:rPr>
        <w:t>(</w:t>
      </w:r>
      <w:r w:rsidRPr="007F77C5">
        <w:rPr>
          <w:rFonts w:cs="Times New Roman"/>
        </w:rPr>
        <w:t>Buchanan, 2015</w:t>
      </w:r>
      <w:r w:rsidRPr="007F77C5">
        <w:rPr>
          <w:rFonts w:cs="Times New Roman"/>
          <w:noProof/>
          <w:color w:val="000000" w:themeColor="text1"/>
        </w:rPr>
        <w:t xml:space="preserve">; </w:t>
      </w:r>
      <w:r w:rsidRPr="007F77C5">
        <w:rPr>
          <w:rFonts w:cs="Times New Roman"/>
        </w:rPr>
        <w:t>Wink, 2010</w:t>
      </w:r>
      <w:r w:rsidRPr="007F77C5">
        <w:rPr>
          <w:rFonts w:cs="Times New Roman"/>
          <w:noProof/>
          <w:color w:val="000000" w:themeColor="text1"/>
        </w:rPr>
        <w:t>)</w:t>
      </w:r>
      <w:r w:rsidRPr="007F77C5">
        <w:rPr>
          <w:rFonts w:cs="Times New Roman"/>
          <w:color w:val="000000" w:themeColor="text1"/>
        </w:rPr>
        <w:t xml:space="preserve">. </w:t>
      </w:r>
    </w:p>
    <w:p w14:paraId="389D4463" w14:textId="77777777" w:rsidR="00126D8D" w:rsidRPr="007F77C5" w:rsidRDefault="00126D8D" w:rsidP="00224B41">
      <w:pPr>
        <w:ind w:firstLine="720"/>
        <w:jc w:val="both"/>
        <w:rPr>
          <w:rFonts w:cs="Times New Roman"/>
          <w:color w:val="000000" w:themeColor="text1"/>
        </w:rPr>
      </w:pPr>
      <w:r w:rsidRPr="007F77C5">
        <w:rPr>
          <w:rFonts w:cs="Times New Roman"/>
          <w:color w:val="000000" w:themeColor="text1"/>
        </w:rPr>
        <w:t xml:space="preserve">Chemotaxonomy is the branch of knowledge that deals with the arrangement of plants according to their chemical constituents. The discipline has gained popularity due to recent discoveries of varying concentrations and prevalence of compounds within each plant species </w:t>
      </w:r>
      <w:r w:rsidRPr="007F77C5">
        <w:rPr>
          <w:rFonts w:cs="Times New Roman"/>
          <w:noProof/>
          <w:color w:val="000000" w:themeColor="text1"/>
        </w:rPr>
        <w:t>(</w:t>
      </w:r>
      <w:r w:rsidRPr="007F77C5">
        <w:rPr>
          <w:rFonts w:cs="Times New Roman"/>
        </w:rPr>
        <w:t>Shumskaya and Wurtzel, 2013</w:t>
      </w:r>
      <w:r w:rsidRPr="007F77C5">
        <w:rPr>
          <w:rFonts w:cs="Times New Roman"/>
          <w:noProof/>
          <w:color w:val="000000" w:themeColor="text1"/>
        </w:rPr>
        <w:t>)</w:t>
      </w:r>
      <w:r w:rsidRPr="007F77C5">
        <w:rPr>
          <w:rFonts w:cs="Times New Roman"/>
          <w:color w:val="000000" w:themeColor="text1"/>
        </w:rPr>
        <w:t xml:space="preserve">. Many factors are important to consider when looking at the three main classes of secondary metabolites, but two significant ones are genetic lineage and botanical nomenclature. An excellent example of this is phenolics, being found in all higher plants because they play a role in numerous defense mechanisms and the synthesis of lignin, flavonoids, anthocyanins, tannins, etc. </w:t>
      </w:r>
      <w:r w:rsidRPr="007F77C5">
        <w:rPr>
          <w:rFonts w:cs="Times New Roman"/>
          <w:noProof/>
          <w:color w:val="000000" w:themeColor="text1"/>
        </w:rPr>
        <w:t>(</w:t>
      </w:r>
      <w:r w:rsidRPr="007F77C5">
        <w:rPr>
          <w:rFonts w:cs="Times New Roman"/>
        </w:rPr>
        <w:t>Bantis et al., 2016</w:t>
      </w:r>
      <w:r w:rsidRPr="007F77C5">
        <w:rPr>
          <w:rFonts w:cs="Times New Roman"/>
          <w:noProof/>
          <w:color w:val="000000" w:themeColor="text1"/>
        </w:rPr>
        <w:t xml:space="preserve">; </w:t>
      </w:r>
      <w:r w:rsidRPr="007F77C5">
        <w:rPr>
          <w:rFonts w:cs="Times New Roman"/>
        </w:rPr>
        <w:t>Bourgaud et al., 2001</w:t>
      </w:r>
      <w:r w:rsidRPr="007F77C5">
        <w:rPr>
          <w:rFonts w:cs="Times New Roman"/>
          <w:noProof/>
          <w:color w:val="000000" w:themeColor="text1"/>
        </w:rPr>
        <w:t xml:space="preserve">; </w:t>
      </w:r>
      <w:r w:rsidRPr="007F77C5">
        <w:rPr>
          <w:rFonts w:cs="Times New Roman"/>
        </w:rPr>
        <w:t>Castronuovo et al., 2019</w:t>
      </w:r>
      <w:r w:rsidRPr="007F77C5">
        <w:rPr>
          <w:rFonts w:cs="Times New Roman"/>
          <w:noProof/>
          <w:color w:val="000000" w:themeColor="text1"/>
        </w:rPr>
        <w:t>)</w:t>
      </w:r>
      <w:r w:rsidRPr="007F77C5">
        <w:rPr>
          <w:rFonts w:cs="Times New Roman"/>
          <w:color w:val="000000" w:themeColor="text1"/>
        </w:rPr>
        <w:t xml:space="preserve">. On the other hand, alkaloid chemicals are more narrowly distributed in the plant kingdom and are often more species-specific. Terpenoids are a category of hydrocarbon-based natural compounds produced from isoprene units. Not only do these compounds have low boiling points and high volatilities, but they also possess unique physical/chemical properties. Terpenoids play an essential role in plant health, including the synthesis of plant hormones, attracting pollinators, and defense against pathogens and herbivores </w:t>
      </w:r>
      <w:r w:rsidRPr="007F77C5">
        <w:rPr>
          <w:rFonts w:cs="Times New Roman"/>
          <w:noProof/>
          <w:color w:val="000000" w:themeColor="text1"/>
        </w:rPr>
        <w:t>(</w:t>
      </w:r>
      <w:r w:rsidRPr="007F77C5">
        <w:rPr>
          <w:rFonts w:cs="Times New Roman"/>
        </w:rPr>
        <w:t>Bourgaud et al., 2001</w:t>
      </w:r>
      <w:r w:rsidRPr="007F77C5">
        <w:rPr>
          <w:rFonts w:cs="Times New Roman"/>
          <w:noProof/>
          <w:color w:val="000000" w:themeColor="text1"/>
        </w:rPr>
        <w:t xml:space="preserve">; </w:t>
      </w:r>
      <w:r w:rsidRPr="007F77C5">
        <w:rPr>
          <w:rFonts w:cs="Times New Roman"/>
        </w:rPr>
        <w:t>Bouwmeester et al., 2019</w:t>
      </w:r>
      <w:r w:rsidRPr="007F77C5">
        <w:rPr>
          <w:rFonts w:cs="Times New Roman"/>
          <w:noProof/>
          <w:color w:val="000000" w:themeColor="text1"/>
        </w:rPr>
        <w:t>)</w:t>
      </w:r>
      <w:r w:rsidRPr="007F77C5">
        <w:rPr>
          <w:rFonts w:cs="Times New Roman"/>
          <w:color w:val="000000" w:themeColor="text1"/>
        </w:rPr>
        <w:t xml:space="preserve">. Many studies have demonstrated that secondary metabolism is directly linked to primary metabolism </w:t>
      </w:r>
      <w:r w:rsidRPr="007F77C5">
        <w:rPr>
          <w:rFonts w:cs="Times New Roman"/>
          <w:noProof/>
          <w:color w:val="000000" w:themeColor="text1"/>
        </w:rPr>
        <w:t>(</w:t>
      </w:r>
      <w:r w:rsidRPr="007F77C5">
        <w:rPr>
          <w:rFonts w:cs="Times New Roman"/>
        </w:rPr>
        <w:t>Ashraf and Harris, 2013</w:t>
      </w:r>
      <w:r w:rsidRPr="007F77C5">
        <w:rPr>
          <w:rFonts w:cs="Times New Roman"/>
          <w:noProof/>
          <w:color w:val="000000" w:themeColor="text1"/>
        </w:rPr>
        <w:t xml:space="preserve">; </w:t>
      </w:r>
      <w:r w:rsidRPr="007F77C5">
        <w:rPr>
          <w:rFonts w:cs="Times New Roman"/>
        </w:rPr>
        <w:t>Briggs and Huala, 1999</w:t>
      </w:r>
      <w:r w:rsidRPr="007F77C5">
        <w:rPr>
          <w:rFonts w:cs="Times New Roman"/>
          <w:noProof/>
          <w:color w:val="000000" w:themeColor="text1"/>
        </w:rPr>
        <w:t xml:space="preserve">; </w:t>
      </w:r>
      <w:r w:rsidRPr="007F77C5">
        <w:rPr>
          <w:rFonts w:cs="Times New Roman"/>
        </w:rPr>
        <w:t>Frank and Cogdell, 1996</w:t>
      </w:r>
      <w:r w:rsidRPr="007F77C5">
        <w:rPr>
          <w:rFonts w:cs="Times New Roman"/>
          <w:noProof/>
          <w:color w:val="000000" w:themeColor="text1"/>
        </w:rPr>
        <w:t xml:space="preserve">; </w:t>
      </w:r>
      <w:r w:rsidRPr="007F77C5">
        <w:rPr>
          <w:rFonts w:cs="Times New Roman"/>
        </w:rPr>
        <w:t>Lichtenthaler, 1987</w:t>
      </w:r>
      <w:r w:rsidRPr="007F77C5">
        <w:rPr>
          <w:rFonts w:cs="Times New Roman"/>
          <w:noProof/>
          <w:color w:val="000000" w:themeColor="text1"/>
        </w:rPr>
        <w:t xml:space="preserve">; </w:t>
      </w:r>
      <w:r w:rsidRPr="007F77C5">
        <w:rPr>
          <w:rFonts w:cs="Times New Roman"/>
        </w:rPr>
        <w:t>Young, 1991</w:t>
      </w:r>
      <w:r w:rsidRPr="007F77C5">
        <w:rPr>
          <w:rFonts w:cs="Times New Roman"/>
          <w:noProof/>
          <w:color w:val="000000" w:themeColor="text1"/>
        </w:rPr>
        <w:t>)</w:t>
      </w:r>
      <w:r w:rsidRPr="007F77C5">
        <w:rPr>
          <w:rFonts w:cs="Times New Roman"/>
          <w:color w:val="000000" w:themeColor="text1"/>
        </w:rPr>
        <w:t>.</w:t>
      </w:r>
    </w:p>
    <w:p w14:paraId="04555832" w14:textId="77777777" w:rsidR="00126D8D" w:rsidRPr="007F77C5" w:rsidRDefault="00126D8D" w:rsidP="00224B41">
      <w:pPr>
        <w:ind w:firstLine="720"/>
        <w:jc w:val="both"/>
        <w:rPr>
          <w:rFonts w:cs="Times New Roman"/>
          <w:color w:val="000000" w:themeColor="text1"/>
        </w:rPr>
      </w:pPr>
      <w:r w:rsidRPr="007F77C5">
        <w:rPr>
          <w:rFonts w:cs="Times New Roman"/>
          <w:color w:val="000000" w:themeColor="text1"/>
        </w:rPr>
        <w:t xml:space="preserve">Plants produce a wealth of compounds with significant economic value due to their high biological activity and low concentration in plant tissue. Humans have used secondary plant compounds for centuries, such as medicines, psychotropics, flavorings, and poisons. Secondary </w:t>
      </w:r>
      <w:r w:rsidRPr="007F77C5">
        <w:rPr>
          <w:rFonts w:cs="Times New Roman"/>
          <w:color w:val="000000" w:themeColor="text1"/>
        </w:rPr>
        <w:lastRenderedPageBreak/>
        <w:t xml:space="preserve">compounds are frequently used in modern pharmaceuticals and holistic treatments </w:t>
      </w:r>
      <w:r w:rsidRPr="007F77C5">
        <w:rPr>
          <w:rFonts w:cs="Times New Roman"/>
          <w:noProof/>
          <w:color w:val="000000" w:themeColor="text1"/>
        </w:rPr>
        <w:t>(</w:t>
      </w:r>
      <w:r w:rsidRPr="007F77C5">
        <w:rPr>
          <w:rFonts w:cs="Times New Roman"/>
        </w:rPr>
        <w:t>Abdel-Aal and Akhtar, 2006</w:t>
      </w:r>
      <w:r w:rsidRPr="007F77C5">
        <w:rPr>
          <w:rFonts w:cs="Times New Roman"/>
          <w:noProof/>
          <w:color w:val="000000" w:themeColor="text1"/>
        </w:rPr>
        <w:t xml:space="preserve">; </w:t>
      </w:r>
      <w:r w:rsidRPr="007F77C5">
        <w:rPr>
          <w:rFonts w:cs="Times New Roman"/>
        </w:rPr>
        <w:t>Avneet et al., 2010</w:t>
      </w:r>
      <w:r w:rsidRPr="007F77C5">
        <w:rPr>
          <w:rFonts w:cs="Times New Roman"/>
          <w:noProof/>
          <w:color w:val="000000" w:themeColor="text1"/>
        </w:rPr>
        <w:t xml:space="preserve">; </w:t>
      </w:r>
      <w:r w:rsidRPr="007F77C5">
        <w:rPr>
          <w:rFonts w:cs="Times New Roman"/>
        </w:rPr>
        <w:t>Bramley, 2000</w:t>
      </w:r>
      <w:r w:rsidRPr="007F77C5">
        <w:rPr>
          <w:rFonts w:cs="Times New Roman"/>
          <w:noProof/>
          <w:color w:val="000000" w:themeColor="text1"/>
        </w:rPr>
        <w:t xml:space="preserve">; </w:t>
      </w:r>
      <w:r w:rsidRPr="007F77C5">
        <w:rPr>
          <w:rFonts w:cs="Times New Roman"/>
        </w:rPr>
        <w:t>Farnsworth, 1990</w:t>
      </w:r>
      <w:r w:rsidRPr="007F77C5">
        <w:rPr>
          <w:rFonts w:cs="Times New Roman"/>
          <w:noProof/>
          <w:color w:val="000000" w:themeColor="text1"/>
        </w:rPr>
        <w:t xml:space="preserve">; </w:t>
      </w:r>
      <w:r w:rsidRPr="007F77C5">
        <w:rPr>
          <w:rFonts w:cs="Times New Roman"/>
        </w:rPr>
        <w:t>Rao and Rao, 2007</w:t>
      </w:r>
      <w:r w:rsidRPr="007F77C5">
        <w:rPr>
          <w:rFonts w:cs="Times New Roman"/>
          <w:noProof/>
          <w:color w:val="000000" w:themeColor="text1"/>
        </w:rPr>
        <w:t xml:space="preserve">; </w:t>
      </w:r>
      <w:r w:rsidRPr="007F77C5">
        <w:rPr>
          <w:rFonts w:cs="Times New Roman"/>
        </w:rPr>
        <w:t>S Bendre and D Rajput, 2016</w:t>
      </w:r>
      <w:r w:rsidRPr="007F77C5">
        <w:rPr>
          <w:rFonts w:cs="Times New Roman"/>
          <w:noProof/>
          <w:color w:val="000000" w:themeColor="text1"/>
        </w:rPr>
        <w:t xml:space="preserve">; </w:t>
      </w:r>
      <w:r w:rsidRPr="007F77C5">
        <w:rPr>
          <w:rFonts w:cs="Times New Roman"/>
        </w:rPr>
        <w:t>Santin et al., 2021</w:t>
      </w:r>
      <w:r w:rsidRPr="007F77C5">
        <w:rPr>
          <w:rFonts w:cs="Times New Roman"/>
          <w:noProof/>
          <w:color w:val="000000" w:themeColor="text1"/>
        </w:rPr>
        <w:t>)</w:t>
      </w:r>
      <w:r w:rsidRPr="007F77C5">
        <w:rPr>
          <w:rFonts w:cs="Times New Roman"/>
          <w:color w:val="000000" w:themeColor="text1"/>
        </w:rPr>
        <w:t xml:space="preserve">. Plants have been prominent in sophisticated traditional medical systems used for thousands of years globally. Many pharmaceuticals are made from natural materials, and many additional synthetic goods are chemical modifications of natural products. Farnsworth stated that 119 characterized drugs were obtained commercially from higher plants, and over 74% were found from ethnobotanical sources </w:t>
      </w:r>
      <w:r w:rsidRPr="007F77C5">
        <w:rPr>
          <w:rFonts w:cs="Times New Roman"/>
          <w:noProof/>
          <w:color w:val="000000" w:themeColor="text1"/>
        </w:rPr>
        <w:t>(</w:t>
      </w:r>
      <w:r w:rsidRPr="007F77C5">
        <w:rPr>
          <w:rFonts w:cs="Times New Roman"/>
        </w:rPr>
        <w:t>Farnsworth, 1990</w:t>
      </w:r>
      <w:r w:rsidRPr="007F77C5">
        <w:rPr>
          <w:rFonts w:cs="Times New Roman"/>
          <w:noProof/>
          <w:color w:val="000000" w:themeColor="text1"/>
        </w:rPr>
        <w:t>)</w:t>
      </w:r>
      <w:r w:rsidRPr="007F77C5">
        <w:rPr>
          <w:rFonts w:cs="Times New Roman"/>
          <w:color w:val="000000" w:themeColor="text1"/>
        </w:rPr>
        <w:t xml:space="preserve">. Regarding any research conducted, both harmful/helpful biological activity in humans, acute sensitivity, and potential long-term effects must be considered, emphasizing secondary plant metabolites that have been shown to benefit general human health and vitality. </w:t>
      </w:r>
    </w:p>
    <w:p w14:paraId="59251B8D" w14:textId="77777777" w:rsidR="00126D8D" w:rsidRPr="007F77C5" w:rsidRDefault="00126D8D" w:rsidP="00224B41">
      <w:pPr>
        <w:ind w:firstLine="720"/>
        <w:jc w:val="both"/>
        <w:rPr>
          <w:rFonts w:cs="Times New Roman"/>
          <w:color w:val="000000" w:themeColor="text1"/>
        </w:rPr>
      </w:pPr>
      <w:r w:rsidRPr="007F77C5">
        <w:rPr>
          <w:rFonts w:cs="Times New Roman"/>
          <w:color w:val="000000" w:themeColor="text1"/>
        </w:rPr>
        <w:t xml:space="preserve">As stated before, light directly impacts primary and secondary metabolism </w:t>
      </w:r>
      <w:r w:rsidRPr="007F77C5">
        <w:rPr>
          <w:rFonts w:cs="Times New Roman"/>
          <w:noProof/>
          <w:color w:val="000000" w:themeColor="text1"/>
        </w:rPr>
        <w:t>(</w:t>
      </w:r>
      <w:r w:rsidRPr="007F77C5">
        <w:rPr>
          <w:rFonts w:cs="Times New Roman"/>
        </w:rPr>
        <w:t>Taiz, 2010</w:t>
      </w:r>
      <w:r w:rsidRPr="007F77C5">
        <w:rPr>
          <w:rFonts w:cs="Times New Roman"/>
          <w:noProof/>
          <w:color w:val="000000" w:themeColor="text1"/>
        </w:rPr>
        <w:t>)</w:t>
      </w:r>
      <w:r w:rsidRPr="007F77C5">
        <w:rPr>
          <w:rFonts w:cs="Times New Roman"/>
          <w:color w:val="000000" w:themeColor="text1"/>
        </w:rPr>
        <w:t xml:space="preserve">. It is a significant environmental stimulus that controls vital events in the plant life cycle, such as seed germination, blooming, and fruit ripening. Light also stimulates physiological and biochemical responses in the plant, allowing it to adapt to its surroundings and increasing its chances of survival/reproduction </w:t>
      </w:r>
      <w:r w:rsidRPr="007F77C5">
        <w:rPr>
          <w:rFonts w:cs="Times New Roman"/>
          <w:noProof/>
          <w:color w:val="000000" w:themeColor="text1"/>
        </w:rPr>
        <w:t>(</w:t>
      </w:r>
      <w:r w:rsidRPr="007F77C5">
        <w:rPr>
          <w:rFonts w:cs="Times New Roman"/>
        </w:rPr>
        <w:t>Brody, 2011</w:t>
      </w:r>
      <w:r w:rsidRPr="007F77C5">
        <w:rPr>
          <w:rFonts w:cs="Times New Roman"/>
          <w:noProof/>
          <w:color w:val="000000" w:themeColor="text1"/>
        </w:rPr>
        <w:t xml:space="preserve">; </w:t>
      </w:r>
      <w:r w:rsidRPr="007F77C5">
        <w:rPr>
          <w:rFonts w:cs="Times New Roman"/>
        </w:rPr>
        <w:t>Buchanan, 2015</w:t>
      </w:r>
      <w:r w:rsidRPr="007F77C5">
        <w:rPr>
          <w:rFonts w:cs="Times New Roman"/>
          <w:noProof/>
          <w:color w:val="000000" w:themeColor="text1"/>
        </w:rPr>
        <w:t>)</w:t>
      </w:r>
      <w:r w:rsidRPr="007F77C5">
        <w:rPr>
          <w:rFonts w:cs="Times New Roman"/>
          <w:color w:val="000000" w:themeColor="text1"/>
        </w:rPr>
        <w:t xml:space="preserve">. Plant photoreceptors, such as phytochromes, cryptochromes, and phototropins, have been shown to up and down-regulate metabolic pathways that have a direct impact on plant growth, development, secondary metabolism, and physiology through the stimulation of light sensors </w:t>
      </w:r>
      <w:r w:rsidRPr="007F77C5">
        <w:rPr>
          <w:rFonts w:cs="Times New Roman"/>
          <w:noProof/>
          <w:color w:val="000000" w:themeColor="text1"/>
        </w:rPr>
        <w:t>(</w:t>
      </w:r>
      <w:r w:rsidRPr="007F77C5">
        <w:rPr>
          <w:rFonts w:cs="Times New Roman"/>
        </w:rPr>
        <w:t>Briggs and Christie, 2002</w:t>
      </w:r>
      <w:r w:rsidRPr="007F77C5">
        <w:rPr>
          <w:rFonts w:cs="Times New Roman"/>
          <w:noProof/>
          <w:color w:val="000000" w:themeColor="text1"/>
        </w:rPr>
        <w:t xml:space="preserve">; </w:t>
      </w:r>
      <w:r w:rsidRPr="007F77C5">
        <w:rPr>
          <w:rFonts w:cs="Times New Roman"/>
        </w:rPr>
        <w:t>Briggs and Huala, 1999</w:t>
      </w:r>
      <w:r w:rsidRPr="007F77C5">
        <w:rPr>
          <w:rFonts w:cs="Times New Roman"/>
          <w:noProof/>
          <w:color w:val="000000" w:themeColor="text1"/>
        </w:rPr>
        <w:t xml:space="preserve">; </w:t>
      </w:r>
      <w:r w:rsidRPr="007F77C5">
        <w:rPr>
          <w:rFonts w:cs="Times New Roman"/>
        </w:rPr>
        <w:t>Christie, 2007</w:t>
      </w:r>
      <w:r w:rsidRPr="007F77C5">
        <w:rPr>
          <w:rFonts w:cs="Times New Roman"/>
          <w:noProof/>
          <w:color w:val="000000" w:themeColor="text1"/>
        </w:rPr>
        <w:t>)</w:t>
      </w:r>
      <w:r w:rsidRPr="007F77C5">
        <w:rPr>
          <w:rFonts w:cs="Times New Roman"/>
          <w:color w:val="000000" w:themeColor="text1"/>
        </w:rPr>
        <w:t xml:space="preserve">. Blue wavelengths are the primary stimulators of cryptochromes and phototropins, while phytochromes respond to red and far-red wavebands </w:t>
      </w:r>
      <w:r w:rsidRPr="007F77C5">
        <w:rPr>
          <w:rFonts w:cs="Times New Roman"/>
          <w:noProof/>
          <w:color w:val="000000" w:themeColor="text1"/>
        </w:rPr>
        <w:t>(</w:t>
      </w:r>
      <w:r w:rsidRPr="007F77C5">
        <w:rPr>
          <w:rFonts w:cs="Times New Roman"/>
        </w:rPr>
        <w:t>Briggs and Olney, 2001</w:t>
      </w:r>
      <w:r w:rsidRPr="007F77C5">
        <w:rPr>
          <w:rFonts w:cs="Times New Roman"/>
          <w:noProof/>
          <w:color w:val="000000" w:themeColor="text1"/>
        </w:rPr>
        <w:t xml:space="preserve">; </w:t>
      </w:r>
      <w:r w:rsidRPr="007F77C5">
        <w:rPr>
          <w:rFonts w:cs="Times New Roman"/>
        </w:rPr>
        <w:t>Chaves et al., 2011</w:t>
      </w:r>
      <w:r w:rsidRPr="007F77C5">
        <w:rPr>
          <w:rFonts w:cs="Times New Roman"/>
          <w:noProof/>
          <w:color w:val="000000" w:themeColor="text1"/>
        </w:rPr>
        <w:t xml:space="preserve">; </w:t>
      </w:r>
      <w:r w:rsidRPr="007F77C5">
        <w:rPr>
          <w:rFonts w:cs="Times New Roman"/>
        </w:rPr>
        <w:t>Fraikin et al., 2013</w:t>
      </w:r>
      <w:r w:rsidRPr="007F77C5">
        <w:rPr>
          <w:rFonts w:cs="Times New Roman"/>
          <w:noProof/>
          <w:color w:val="000000" w:themeColor="text1"/>
        </w:rPr>
        <w:t xml:space="preserve">; </w:t>
      </w:r>
      <w:r w:rsidRPr="007F77C5">
        <w:rPr>
          <w:rFonts w:cs="Times New Roman"/>
        </w:rPr>
        <w:t>Kang et al., 2009</w:t>
      </w:r>
      <w:r w:rsidRPr="007F77C5">
        <w:rPr>
          <w:rFonts w:cs="Times New Roman"/>
          <w:noProof/>
          <w:color w:val="000000" w:themeColor="text1"/>
        </w:rPr>
        <w:t xml:space="preserve">; </w:t>
      </w:r>
      <w:r w:rsidRPr="007F77C5">
        <w:rPr>
          <w:rFonts w:cs="Times New Roman"/>
        </w:rPr>
        <w:t>Santin et al., 2021</w:t>
      </w:r>
      <w:r w:rsidRPr="007F77C5">
        <w:rPr>
          <w:rFonts w:cs="Times New Roman"/>
          <w:noProof/>
          <w:color w:val="000000" w:themeColor="text1"/>
        </w:rPr>
        <w:t>)</w:t>
      </w:r>
      <w:r w:rsidRPr="007F77C5">
        <w:rPr>
          <w:rFonts w:cs="Times New Roman"/>
          <w:color w:val="000000" w:themeColor="text1"/>
        </w:rPr>
        <w:t xml:space="preserve">. Changes in blue wavelengths that target phototropins or cryptochromes can affect primary and secondary metabolism, volatile production, carotenoid, and chlorophyll pigment </w:t>
      </w:r>
      <w:r w:rsidRPr="007F77C5">
        <w:rPr>
          <w:rFonts w:cs="Times New Roman"/>
          <w:color w:val="000000" w:themeColor="text1"/>
        </w:rPr>
        <w:lastRenderedPageBreak/>
        <w:t xml:space="preserve">bioaccumulation, circadian rhythms, stomatal opening/closing, intermodal length, leaf area, and leaf thickness </w:t>
      </w:r>
      <w:r w:rsidRPr="007F77C5">
        <w:rPr>
          <w:rFonts w:cs="Times New Roman"/>
          <w:noProof/>
          <w:color w:val="000000" w:themeColor="text1"/>
        </w:rPr>
        <w:t>(</w:t>
      </w:r>
      <w:r w:rsidRPr="007F77C5">
        <w:rPr>
          <w:rFonts w:cs="Times New Roman"/>
        </w:rPr>
        <w:t>Briggs and Christie, 2002</w:t>
      </w:r>
      <w:r w:rsidRPr="007F77C5">
        <w:rPr>
          <w:rFonts w:cs="Times New Roman"/>
          <w:noProof/>
          <w:color w:val="000000" w:themeColor="text1"/>
        </w:rPr>
        <w:t xml:space="preserve">; </w:t>
      </w:r>
      <w:r w:rsidRPr="007F77C5">
        <w:rPr>
          <w:rFonts w:cs="Times New Roman"/>
        </w:rPr>
        <w:t>Briggs and Huala, 1999</w:t>
      </w:r>
      <w:r w:rsidRPr="007F77C5">
        <w:rPr>
          <w:rFonts w:cs="Times New Roman"/>
          <w:noProof/>
          <w:color w:val="000000" w:themeColor="text1"/>
        </w:rPr>
        <w:t xml:space="preserve">; </w:t>
      </w:r>
      <w:r w:rsidRPr="007F77C5">
        <w:rPr>
          <w:rFonts w:cs="Times New Roman"/>
        </w:rPr>
        <w:t>Cashmore, 2003</w:t>
      </w:r>
      <w:r w:rsidRPr="007F77C5">
        <w:rPr>
          <w:rFonts w:cs="Times New Roman"/>
          <w:noProof/>
          <w:color w:val="000000" w:themeColor="text1"/>
        </w:rPr>
        <w:t xml:space="preserve">; </w:t>
      </w:r>
      <w:r w:rsidRPr="007F77C5">
        <w:rPr>
          <w:rFonts w:cs="Times New Roman"/>
        </w:rPr>
        <w:t>Chaves et al., 2011</w:t>
      </w:r>
      <w:r w:rsidRPr="007F77C5">
        <w:rPr>
          <w:rFonts w:cs="Times New Roman"/>
          <w:noProof/>
          <w:color w:val="000000" w:themeColor="text1"/>
        </w:rPr>
        <w:t xml:space="preserve">; </w:t>
      </w:r>
      <w:r w:rsidRPr="007F77C5">
        <w:rPr>
          <w:rFonts w:cs="Times New Roman"/>
        </w:rPr>
        <w:t>Chen and Chory, 2011</w:t>
      </w:r>
      <w:r w:rsidRPr="007F77C5">
        <w:rPr>
          <w:rFonts w:cs="Times New Roman"/>
          <w:noProof/>
          <w:color w:val="000000" w:themeColor="text1"/>
        </w:rPr>
        <w:t xml:space="preserve">; </w:t>
      </w:r>
      <w:r w:rsidRPr="007F77C5">
        <w:rPr>
          <w:rFonts w:cs="Times New Roman"/>
        </w:rPr>
        <w:t>Christie, 2007</w:t>
      </w:r>
      <w:r w:rsidRPr="007F77C5">
        <w:rPr>
          <w:rFonts w:cs="Times New Roman"/>
          <w:noProof/>
          <w:color w:val="000000" w:themeColor="text1"/>
        </w:rPr>
        <w:t xml:space="preserve">; </w:t>
      </w:r>
      <w:r w:rsidRPr="007F77C5">
        <w:rPr>
          <w:rFonts w:cs="Times New Roman"/>
        </w:rPr>
        <w:t>Fraikin et al., 2013</w:t>
      </w:r>
      <w:r w:rsidRPr="007F77C5">
        <w:rPr>
          <w:rFonts w:cs="Times New Roman"/>
          <w:noProof/>
          <w:color w:val="000000" w:themeColor="text1"/>
        </w:rPr>
        <w:t xml:space="preserve">; </w:t>
      </w:r>
      <w:r w:rsidRPr="007F77C5">
        <w:rPr>
          <w:rFonts w:cs="Times New Roman"/>
        </w:rPr>
        <w:t>Galvao and Fankhauser, 2015</w:t>
      </w:r>
      <w:r w:rsidRPr="007F77C5">
        <w:rPr>
          <w:rFonts w:cs="Times New Roman"/>
          <w:noProof/>
          <w:color w:val="000000" w:themeColor="text1"/>
        </w:rPr>
        <w:t xml:space="preserve">; </w:t>
      </w:r>
      <w:r w:rsidRPr="007F77C5">
        <w:rPr>
          <w:rFonts w:cs="Times New Roman"/>
        </w:rPr>
        <w:t>Kusuma and Bugbee, 2021</w:t>
      </w:r>
      <w:r w:rsidRPr="007F77C5">
        <w:rPr>
          <w:rFonts w:cs="Times New Roman"/>
          <w:noProof/>
          <w:color w:val="000000" w:themeColor="text1"/>
        </w:rPr>
        <w:t xml:space="preserve">; </w:t>
      </w:r>
      <w:r w:rsidRPr="007F77C5">
        <w:rPr>
          <w:rFonts w:cs="Times New Roman"/>
        </w:rPr>
        <w:t>Sakai et al., 2001</w:t>
      </w:r>
      <w:r w:rsidRPr="007F77C5">
        <w:rPr>
          <w:rFonts w:cs="Times New Roman"/>
          <w:noProof/>
          <w:color w:val="000000" w:themeColor="text1"/>
        </w:rPr>
        <w:t xml:space="preserve">; </w:t>
      </w:r>
      <w:r w:rsidRPr="007F77C5">
        <w:rPr>
          <w:rFonts w:cs="Times New Roman"/>
        </w:rPr>
        <w:t>Schmitt and Wulff, 1993</w:t>
      </w:r>
      <w:r w:rsidRPr="007F77C5">
        <w:rPr>
          <w:rFonts w:cs="Times New Roman"/>
          <w:noProof/>
          <w:color w:val="000000" w:themeColor="text1"/>
        </w:rPr>
        <w:t>)</w:t>
      </w:r>
    </w:p>
    <w:p w14:paraId="7F9EE28F" w14:textId="77777777" w:rsidR="00126D8D" w:rsidRDefault="00126D8D" w:rsidP="00224B41">
      <w:pPr>
        <w:ind w:firstLine="720"/>
        <w:jc w:val="both"/>
        <w:rPr>
          <w:rFonts w:cs="Times New Roman"/>
          <w:color w:val="000000" w:themeColor="text1"/>
        </w:rPr>
      </w:pPr>
      <w:r w:rsidRPr="007F77C5">
        <w:rPr>
          <w:rFonts w:cs="Times New Roman"/>
          <w:color w:val="000000" w:themeColor="text1"/>
        </w:rPr>
        <w:t xml:space="preserve">Changes in particular red wavelengths that target phytochromes have a negative impact on germination rates, vegetative and reproductive growth/development, leaf size/thickness, and phenolic/antioxidant pathways. Sole source monochromatic light has been shown to inhibit plant growth and development, while full spectrum light, as well as specific mixtures of different blue (B) and red (R) wavelengths, promote it </w:t>
      </w:r>
      <w:r w:rsidRPr="007F77C5">
        <w:rPr>
          <w:rFonts w:cs="Times New Roman"/>
          <w:noProof/>
          <w:color w:val="000000" w:themeColor="text1"/>
        </w:rPr>
        <w:t>(</w:t>
      </w:r>
      <w:r w:rsidRPr="007F77C5">
        <w:rPr>
          <w:rFonts w:cs="Times New Roman"/>
        </w:rPr>
        <w:t>Lin et al., 2013</w:t>
      </w:r>
      <w:r w:rsidRPr="007F77C5">
        <w:rPr>
          <w:rFonts w:cs="Times New Roman"/>
          <w:noProof/>
          <w:color w:val="000000" w:themeColor="text1"/>
        </w:rPr>
        <w:t xml:space="preserve">; </w:t>
      </w:r>
      <w:r w:rsidRPr="007F77C5">
        <w:rPr>
          <w:rFonts w:cs="Times New Roman"/>
        </w:rPr>
        <w:t>Modarelli et al., 2022</w:t>
      </w:r>
      <w:r w:rsidRPr="007F77C5">
        <w:rPr>
          <w:rFonts w:cs="Times New Roman"/>
          <w:noProof/>
          <w:color w:val="000000" w:themeColor="text1"/>
        </w:rPr>
        <w:t xml:space="preserve">; </w:t>
      </w:r>
      <w:r w:rsidRPr="007F77C5">
        <w:rPr>
          <w:rFonts w:cs="Times New Roman"/>
        </w:rPr>
        <w:t>Paradiso and Proietti, 2021</w:t>
      </w:r>
      <w:r w:rsidRPr="007F77C5">
        <w:rPr>
          <w:rFonts w:cs="Times New Roman"/>
          <w:noProof/>
          <w:color w:val="000000" w:themeColor="text1"/>
        </w:rPr>
        <w:t xml:space="preserve">; </w:t>
      </w:r>
      <w:r w:rsidRPr="007F77C5">
        <w:rPr>
          <w:rFonts w:cs="Times New Roman"/>
        </w:rPr>
        <w:t>Shelford and Both, 2021</w:t>
      </w:r>
      <w:r w:rsidRPr="007F77C5">
        <w:rPr>
          <w:rFonts w:cs="Times New Roman"/>
          <w:noProof/>
          <w:color w:val="000000" w:themeColor="text1"/>
        </w:rPr>
        <w:t xml:space="preserve">; </w:t>
      </w:r>
      <w:r w:rsidRPr="007F77C5">
        <w:rPr>
          <w:rFonts w:cs="Times New Roman"/>
        </w:rPr>
        <w:t>Sipos et al., 2021</w:t>
      </w:r>
      <w:r w:rsidRPr="007F77C5">
        <w:rPr>
          <w:rFonts w:cs="Times New Roman"/>
          <w:noProof/>
          <w:color w:val="000000" w:themeColor="text1"/>
        </w:rPr>
        <w:t xml:space="preserve">; </w:t>
      </w:r>
      <w:r w:rsidRPr="007F77C5">
        <w:rPr>
          <w:rFonts w:cs="Times New Roman"/>
        </w:rPr>
        <w:t>Spalholz et al., 2020</w:t>
      </w:r>
      <w:r w:rsidRPr="007F77C5">
        <w:rPr>
          <w:rFonts w:cs="Times New Roman"/>
          <w:noProof/>
          <w:color w:val="000000" w:themeColor="text1"/>
        </w:rPr>
        <w:t>)</w:t>
      </w:r>
      <w:r w:rsidRPr="007F77C5">
        <w:rPr>
          <w:rFonts w:cs="Times New Roman"/>
          <w:color w:val="000000" w:themeColor="text1"/>
        </w:rPr>
        <w:t xml:space="preserve">. Members associated with our research group have shown that various intensity ratios of B and R LED supplements significantly impact yield, carotenoid bioaccumulation, and nutrient uptake for a variety of specialty crops </w:t>
      </w:r>
      <w:r w:rsidRPr="007F77C5">
        <w:rPr>
          <w:rFonts w:cs="Times New Roman"/>
          <w:noProof/>
          <w:color w:val="000000" w:themeColor="text1"/>
        </w:rPr>
        <w:t>(</w:t>
      </w:r>
      <w:r w:rsidRPr="007F77C5">
        <w:rPr>
          <w:rFonts w:cs="Times New Roman"/>
        </w:rPr>
        <w:t>Abney et al., 2013</w:t>
      </w:r>
      <w:r w:rsidRPr="007F77C5">
        <w:rPr>
          <w:rFonts w:cs="Times New Roman"/>
          <w:noProof/>
          <w:color w:val="000000" w:themeColor="text1"/>
        </w:rPr>
        <w:t xml:space="preserve">; </w:t>
      </w:r>
      <w:r w:rsidRPr="007F77C5">
        <w:rPr>
          <w:rFonts w:cs="Times New Roman"/>
        </w:rPr>
        <w:t>Barickman et al., 2017</w:t>
      </w:r>
      <w:r w:rsidRPr="007F77C5">
        <w:rPr>
          <w:rFonts w:cs="Times New Roman"/>
          <w:noProof/>
          <w:color w:val="000000" w:themeColor="text1"/>
        </w:rPr>
        <w:t xml:space="preserve">; </w:t>
      </w:r>
      <w:r w:rsidRPr="007F77C5">
        <w:rPr>
          <w:rFonts w:cs="Times New Roman"/>
        </w:rPr>
        <w:t>Hammock, 2018</w:t>
      </w:r>
      <w:r w:rsidRPr="007F77C5">
        <w:rPr>
          <w:rFonts w:cs="Times New Roman"/>
          <w:noProof/>
          <w:color w:val="000000" w:themeColor="text1"/>
        </w:rPr>
        <w:t xml:space="preserve">; </w:t>
      </w:r>
      <w:r w:rsidRPr="007F77C5">
        <w:rPr>
          <w:rFonts w:cs="Times New Roman"/>
        </w:rPr>
        <w:t>Hammock et al., 2020</w:t>
      </w:r>
      <w:r w:rsidRPr="007F77C5">
        <w:rPr>
          <w:rFonts w:cs="Times New Roman"/>
          <w:noProof/>
          <w:color w:val="000000" w:themeColor="text1"/>
        </w:rPr>
        <w:t xml:space="preserve">; </w:t>
      </w:r>
      <w:r w:rsidRPr="007F77C5">
        <w:rPr>
          <w:rFonts w:cs="Times New Roman"/>
        </w:rPr>
        <w:t>Hammock et al., 2021</w:t>
      </w:r>
      <w:r w:rsidRPr="007F77C5">
        <w:rPr>
          <w:rFonts w:cs="Times New Roman"/>
          <w:noProof/>
          <w:color w:val="000000" w:themeColor="text1"/>
        </w:rPr>
        <w:t xml:space="preserve">; </w:t>
      </w:r>
      <w:r w:rsidRPr="007F77C5">
        <w:rPr>
          <w:rFonts w:cs="Times New Roman"/>
        </w:rPr>
        <w:t>Hammock and Sams, 2021</w:t>
      </w:r>
      <w:r w:rsidRPr="007F77C5">
        <w:rPr>
          <w:rFonts w:cs="Times New Roman"/>
          <w:noProof/>
          <w:color w:val="000000" w:themeColor="text1"/>
        </w:rPr>
        <w:t xml:space="preserve">; </w:t>
      </w:r>
      <w:r w:rsidRPr="007F77C5">
        <w:rPr>
          <w:rFonts w:cs="Times New Roman"/>
        </w:rPr>
        <w:t>Kopsell and Sams, 2013</w:t>
      </w:r>
      <w:r w:rsidRPr="007F77C5">
        <w:rPr>
          <w:rFonts w:cs="Times New Roman"/>
          <w:noProof/>
          <w:color w:val="000000" w:themeColor="text1"/>
        </w:rPr>
        <w:t xml:space="preserve">; </w:t>
      </w:r>
      <w:r w:rsidRPr="007F77C5">
        <w:rPr>
          <w:rFonts w:cs="Times New Roman"/>
        </w:rPr>
        <w:t>Kopsell et al., 2014</w:t>
      </w:r>
      <w:r w:rsidRPr="007F77C5">
        <w:rPr>
          <w:rFonts w:cs="Times New Roman"/>
          <w:noProof/>
          <w:color w:val="000000" w:themeColor="text1"/>
        </w:rPr>
        <w:t xml:space="preserve">; </w:t>
      </w:r>
      <w:r w:rsidRPr="007F77C5">
        <w:rPr>
          <w:rFonts w:cs="Times New Roman"/>
        </w:rPr>
        <w:t>Kopsell et al., 2007</w:t>
      </w:r>
      <w:r w:rsidRPr="007F77C5">
        <w:rPr>
          <w:rFonts w:cs="Times New Roman"/>
          <w:noProof/>
          <w:color w:val="000000" w:themeColor="text1"/>
        </w:rPr>
        <w:t xml:space="preserve">; </w:t>
      </w:r>
      <w:r w:rsidRPr="007F77C5">
        <w:rPr>
          <w:rFonts w:cs="Times New Roman"/>
        </w:rPr>
        <w:t>Kopsell et al., 2015</w:t>
      </w:r>
      <w:r w:rsidRPr="007F77C5">
        <w:rPr>
          <w:rFonts w:cs="Times New Roman"/>
          <w:noProof/>
          <w:color w:val="000000" w:themeColor="text1"/>
        </w:rPr>
        <w:t xml:space="preserve">; </w:t>
      </w:r>
      <w:r w:rsidRPr="007F77C5">
        <w:rPr>
          <w:rFonts w:cs="Times New Roman"/>
        </w:rPr>
        <w:t>Kopsell et al., 2017</w:t>
      </w:r>
      <w:r w:rsidRPr="007F77C5">
        <w:rPr>
          <w:rFonts w:cs="Times New Roman"/>
          <w:noProof/>
          <w:color w:val="000000" w:themeColor="text1"/>
        </w:rPr>
        <w:t xml:space="preserve">; </w:t>
      </w:r>
      <w:r w:rsidRPr="007F77C5">
        <w:rPr>
          <w:rFonts w:cs="Times New Roman"/>
        </w:rPr>
        <w:t>Lefsrud et al., 2008</w:t>
      </w:r>
      <w:r w:rsidRPr="007F77C5">
        <w:rPr>
          <w:rFonts w:cs="Times New Roman"/>
          <w:noProof/>
          <w:color w:val="000000" w:themeColor="text1"/>
        </w:rPr>
        <w:t xml:space="preserve">; </w:t>
      </w:r>
      <w:r w:rsidRPr="007F77C5">
        <w:rPr>
          <w:rFonts w:cs="Times New Roman"/>
        </w:rPr>
        <w:t>Metallo et al., 2018</w:t>
      </w:r>
      <w:r w:rsidRPr="007F77C5">
        <w:rPr>
          <w:rFonts w:cs="Times New Roman"/>
          <w:noProof/>
          <w:color w:val="000000" w:themeColor="text1"/>
        </w:rPr>
        <w:t>)</w:t>
      </w:r>
      <w:r w:rsidRPr="007F77C5">
        <w:rPr>
          <w:rFonts w:cs="Times New Roman"/>
          <w:color w:val="000000" w:themeColor="text1"/>
        </w:rPr>
        <w:t>. Our group has also shown that primary and secondary metabolism can be manipulated by applying warm/cool full-spectrum white light (2500-6500K), which will be documented in this dissertation.</w:t>
      </w:r>
    </w:p>
    <w:p w14:paraId="0D668F33" w14:textId="77777777" w:rsidR="00126D8D" w:rsidRPr="007F77C5" w:rsidRDefault="00126D8D" w:rsidP="00224B41">
      <w:pPr>
        <w:ind w:firstLine="720"/>
        <w:jc w:val="both"/>
        <w:rPr>
          <w:rFonts w:cs="Times New Roman"/>
          <w:color w:val="000000" w:themeColor="text1"/>
        </w:rPr>
      </w:pPr>
    </w:p>
    <w:p w14:paraId="329045C2" w14:textId="77777777" w:rsidR="00126D8D" w:rsidRPr="007F77C5" w:rsidRDefault="00126D8D" w:rsidP="00224B41">
      <w:pPr>
        <w:pStyle w:val="MastersThesisSectionHeader"/>
      </w:pPr>
      <w:bookmarkStart w:id="59" w:name="_Toc114189700"/>
      <w:bookmarkStart w:id="60" w:name="_Toc139574775"/>
      <w:bookmarkStart w:id="61" w:name="_Toc141478645"/>
      <w:r w:rsidRPr="007F77C5">
        <w:t>Isoprenoids</w:t>
      </w:r>
      <w:bookmarkEnd w:id="59"/>
      <w:bookmarkEnd w:id="60"/>
      <w:bookmarkEnd w:id="61"/>
    </w:p>
    <w:p w14:paraId="63D10016" w14:textId="77777777" w:rsidR="00126D8D" w:rsidRPr="007F77C5" w:rsidRDefault="00126D8D" w:rsidP="00224B41">
      <w:pPr>
        <w:ind w:firstLine="720"/>
        <w:jc w:val="both"/>
        <w:rPr>
          <w:rFonts w:cs="Times New Roman"/>
          <w:color w:val="000000" w:themeColor="text1"/>
        </w:rPr>
      </w:pPr>
      <w:r w:rsidRPr="007F77C5">
        <w:rPr>
          <w:rFonts w:cs="Times New Roman"/>
          <w:color w:val="000000" w:themeColor="text1"/>
        </w:rPr>
        <w:t xml:space="preserve">Isoprenoids represent the largest and most diverse group of primary and secondary metabolites </w:t>
      </w:r>
      <w:r w:rsidRPr="007F77C5">
        <w:rPr>
          <w:rFonts w:cs="Times New Roman"/>
          <w:noProof/>
          <w:color w:val="000000" w:themeColor="text1"/>
        </w:rPr>
        <w:t>(</w:t>
      </w:r>
      <w:r w:rsidRPr="007F77C5">
        <w:rPr>
          <w:rFonts w:cs="Times New Roman"/>
        </w:rPr>
        <w:t>Wink, 2008</w:t>
      </w:r>
      <w:r w:rsidRPr="007F77C5">
        <w:rPr>
          <w:rFonts w:cs="Times New Roman"/>
          <w:noProof/>
          <w:color w:val="000000" w:themeColor="text1"/>
        </w:rPr>
        <w:t>)</w:t>
      </w:r>
      <w:r w:rsidRPr="007F77C5">
        <w:rPr>
          <w:rFonts w:cs="Times New Roman"/>
          <w:color w:val="000000" w:themeColor="text1"/>
        </w:rPr>
        <w:t xml:space="preserve">. They are primarily found in the plant kingdom, and many have considerable economic value. It has been well documented that metabolic flux within the </w:t>
      </w:r>
      <w:r w:rsidRPr="007F77C5">
        <w:rPr>
          <w:rFonts w:cs="Times New Roman"/>
          <w:color w:val="000000" w:themeColor="text1"/>
        </w:rPr>
        <w:lastRenderedPageBreak/>
        <w:t xml:space="preserve">isoprenoid pathway is highly regulated and causes significant changes in secondary metabolic resource allocation. This regulation is achieved by the activity of several enzymes that catalyze the formation and degradation of isoprenoids </w:t>
      </w:r>
      <w:r w:rsidRPr="007F77C5">
        <w:rPr>
          <w:rFonts w:cs="Times New Roman"/>
          <w:noProof/>
          <w:color w:val="000000" w:themeColor="text1"/>
        </w:rPr>
        <w:t>(</w:t>
      </w:r>
      <w:r w:rsidRPr="007F77C5">
        <w:rPr>
          <w:rFonts w:cs="Times New Roman"/>
        </w:rPr>
        <w:t>Wink, 2010</w:t>
      </w:r>
      <w:r w:rsidRPr="007F77C5">
        <w:rPr>
          <w:rFonts w:cs="Times New Roman"/>
          <w:noProof/>
          <w:color w:val="000000" w:themeColor="text1"/>
        </w:rPr>
        <w:t>)</w:t>
      </w:r>
      <w:r w:rsidRPr="007F77C5">
        <w:rPr>
          <w:rFonts w:cs="Times New Roman"/>
          <w:color w:val="000000" w:themeColor="text1"/>
        </w:rPr>
        <w:t xml:space="preserve">. The main aim of this project is to study how different spectral qualities influence the production of metabolic products (such as aroma volatiles, flavonoids, carotenoids, etc.) because of this, comprehending the mechanisms of enzymes and genes that control the isoprenoid metabolic network will be crucial. Figures 1.6 and 1.7 show pertinent terpenoid and isoprenoid pathways, respectively </w:t>
      </w:r>
      <w:r w:rsidRPr="007F77C5">
        <w:rPr>
          <w:rFonts w:cs="Times New Roman"/>
          <w:noProof/>
          <w:color w:val="000000" w:themeColor="text1"/>
        </w:rPr>
        <w:t>(</w:t>
      </w:r>
      <w:r w:rsidRPr="007F77C5">
        <w:rPr>
          <w:rFonts w:cs="Times New Roman"/>
        </w:rPr>
        <w:t>Wink, 2010</w:t>
      </w:r>
      <w:r w:rsidRPr="007F77C5">
        <w:rPr>
          <w:rFonts w:cs="Times New Roman"/>
          <w:noProof/>
          <w:color w:val="000000" w:themeColor="text1"/>
        </w:rPr>
        <w:t>)</w:t>
      </w:r>
      <w:r w:rsidRPr="007F77C5">
        <w:rPr>
          <w:rFonts w:cs="Times New Roman"/>
          <w:color w:val="000000" w:themeColor="text1"/>
        </w:rPr>
        <w:t xml:space="preserve">.  </w:t>
      </w:r>
    </w:p>
    <w:p w14:paraId="63FD3950" w14:textId="77777777" w:rsidR="00126D8D" w:rsidRPr="007F77C5" w:rsidRDefault="00126D8D" w:rsidP="00224B41">
      <w:pPr>
        <w:ind w:firstLine="720"/>
        <w:jc w:val="both"/>
        <w:rPr>
          <w:rFonts w:cs="Times New Roman"/>
          <w:color w:val="000000" w:themeColor="text1"/>
        </w:rPr>
      </w:pPr>
      <w:r w:rsidRPr="007F77C5">
        <w:rPr>
          <w:rFonts w:cs="Times New Roman"/>
          <w:color w:val="000000" w:themeColor="text1"/>
        </w:rPr>
        <w:t>All isoprenoids are formed from two universal C</w:t>
      </w:r>
      <w:r w:rsidRPr="007F77C5">
        <w:rPr>
          <w:rFonts w:cs="Times New Roman"/>
          <w:color w:val="000000" w:themeColor="text1"/>
          <w:vertAlign w:val="subscript"/>
        </w:rPr>
        <w:t>5</w:t>
      </w:r>
      <w:r w:rsidRPr="007F77C5">
        <w:rPr>
          <w:rFonts w:cs="Times New Roman"/>
          <w:color w:val="000000" w:themeColor="text1"/>
        </w:rPr>
        <w:t xml:space="preserve"> precursors: Isopentenyl pyrophosphate (IPP) and dimethylallyl pyrophosphate (DMAPP). Isoprenoids are classified into specific groups according to the number of C</w:t>
      </w:r>
      <w:r w:rsidRPr="007F77C5">
        <w:rPr>
          <w:rFonts w:cs="Times New Roman"/>
          <w:color w:val="000000" w:themeColor="text1"/>
          <w:vertAlign w:val="subscript"/>
        </w:rPr>
        <w:t>5</w:t>
      </w:r>
      <w:r w:rsidRPr="007F77C5">
        <w:rPr>
          <w:rFonts w:cs="Times New Roman"/>
          <w:color w:val="000000" w:themeColor="text1"/>
        </w:rPr>
        <w:t xml:space="preserve"> units they contain. The simplest known isoprenoid, isoprene, only has one C</w:t>
      </w:r>
      <w:r w:rsidRPr="007F77C5">
        <w:rPr>
          <w:rFonts w:cs="Times New Roman"/>
          <w:color w:val="000000" w:themeColor="text1"/>
          <w:vertAlign w:val="subscript"/>
        </w:rPr>
        <w:t>5</w:t>
      </w:r>
      <w:r w:rsidRPr="007F77C5">
        <w:rPr>
          <w:rFonts w:cs="Times New Roman"/>
          <w:color w:val="000000" w:themeColor="text1"/>
        </w:rPr>
        <w:t xml:space="preserve"> unit and is a hemiterpene. Monoterpenes consist of two C</w:t>
      </w:r>
      <w:r w:rsidRPr="007F77C5">
        <w:rPr>
          <w:rFonts w:cs="Times New Roman"/>
          <w:color w:val="000000" w:themeColor="text1"/>
          <w:vertAlign w:val="subscript"/>
        </w:rPr>
        <w:t>5</w:t>
      </w:r>
      <w:r w:rsidRPr="007F77C5">
        <w:rPr>
          <w:rFonts w:cs="Times New Roman"/>
          <w:color w:val="000000" w:themeColor="text1"/>
        </w:rPr>
        <w:t xml:space="preserve"> units, sesquiterpenes have three C</w:t>
      </w:r>
      <w:r w:rsidRPr="007F77C5">
        <w:rPr>
          <w:rFonts w:cs="Times New Roman"/>
          <w:color w:val="000000" w:themeColor="text1"/>
          <w:vertAlign w:val="subscript"/>
        </w:rPr>
        <w:t>5</w:t>
      </w:r>
      <w:r w:rsidRPr="007F77C5">
        <w:rPr>
          <w:rFonts w:cs="Times New Roman"/>
          <w:color w:val="000000" w:themeColor="text1"/>
        </w:rPr>
        <w:t xml:space="preserve"> units, diterpenes have four C</w:t>
      </w:r>
      <w:r w:rsidRPr="007F77C5">
        <w:rPr>
          <w:rFonts w:cs="Times New Roman"/>
          <w:color w:val="000000" w:themeColor="text1"/>
          <w:vertAlign w:val="subscript"/>
        </w:rPr>
        <w:t>5</w:t>
      </w:r>
      <w:r w:rsidRPr="007F77C5">
        <w:rPr>
          <w:rFonts w:cs="Times New Roman"/>
          <w:color w:val="000000" w:themeColor="text1"/>
        </w:rPr>
        <w:t xml:space="preserve"> units, triterpenes have six C</w:t>
      </w:r>
      <w:r w:rsidRPr="007F77C5">
        <w:rPr>
          <w:rFonts w:cs="Times New Roman"/>
          <w:color w:val="000000" w:themeColor="text1"/>
          <w:vertAlign w:val="subscript"/>
        </w:rPr>
        <w:t>5</w:t>
      </w:r>
      <w:r w:rsidRPr="007F77C5">
        <w:rPr>
          <w:rFonts w:cs="Times New Roman"/>
          <w:color w:val="000000" w:themeColor="text1"/>
        </w:rPr>
        <w:t xml:space="preserve"> units, and polyterpenes have more than eight C</w:t>
      </w:r>
      <w:r w:rsidRPr="007F77C5">
        <w:rPr>
          <w:rFonts w:cs="Times New Roman"/>
          <w:color w:val="000000" w:themeColor="text1"/>
          <w:vertAlign w:val="subscript"/>
        </w:rPr>
        <w:t>5</w:t>
      </w:r>
      <w:r w:rsidRPr="007F77C5">
        <w:rPr>
          <w:rFonts w:cs="Times New Roman"/>
          <w:color w:val="000000" w:themeColor="text1"/>
        </w:rPr>
        <w:t xml:space="preserve"> units </w:t>
      </w:r>
      <w:r w:rsidRPr="007F77C5">
        <w:rPr>
          <w:rFonts w:cs="Times New Roman"/>
          <w:noProof/>
          <w:color w:val="000000" w:themeColor="text1"/>
        </w:rPr>
        <w:t>(</w:t>
      </w:r>
      <w:r w:rsidRPr="007F77C5">
        <w:rPr>
          <w:rFonts w:cs="Times New Roman"/>
        </w:rPr>
        <w:t>Buchanan, 2015</w:t>
      </w:r>
      <w:r w:rsidRPr="007F77C5">
        <w:rPr>
          <w:rFonts w:cs="Times New Roman"/>
          <w:noProof/>
          <w:color w:val="000000" w:themeColor="text1"/>
        </w:rPr>
        <w:t xml:space="preserve">; </w:t>
      </w:r>
      <w:r w:rsidRPr="007F77C5">
        <w:rPr>
          <w:rFonts w:cs="Times New Roman"/>
        </w:rPr>
        <w:t>Wink, 2008</w:t>
      </w:r>
      <w:r w:rsidRPr="007F77C5">
        <w:rPr>
          <w:rFonts w:cs="Times New Roman"/>
          <w:noProof/>
          <w:color w:val="000000" w:themeColor="text1"/>
        </w:rPr>
        <w:t xml:space="preserve">, </w:t>
      </w:r>
      <w:r w:rsidRPr="007F77C5">
        <w:rPr>
          <w:rFonts w:cs="Times New Roman"/>
        </w:rPr>
        <w:t>2010</w:t>
      </w:r>
      <w:r w:rsidRPr="007F77C5">
        <w:rPr>
          <w:rFonts w:cs="Times New Roman"/>
          <w:noProof/>
          <w:color w:val="000000" w:themeColor="text1"/>
        </w:rPr>
        <w:t>)</w:t>
      </w:r>
      <w:r w:rsidRPr="007F77C5">
        <w:rPr>
          <w:rFonts w:cs="Times New Roman"/>
          <w:color w:val="000000" w:themeColor="text1"/>
        </w:rPr>
        <w:t xml:space="preserve">. </w:t>
      </w:r>
    </w:p>
    <w:p w14:paraId="048C8C6E" w14:textId="77777777" w:rsidR="00126D8D" w:rsidRPr="007F77C5" w:rsidRDefault="00126D8D" w:rsidP="00224B41">
      <w:pPr>
        <w:ind w:firstLine="720"/>
        <w:jc w:val="both"/>
        <w:rPr>
          <w:rFonts w:cs="Times New Roman"/>
          <w:color w:val="000000" w:themeColor="text1"/>
        </w:rPr>
      </w:pPr>
      <w:r w:rsidRPr="007F77C5">
        <w:rPr>
          <w:rFonts w:cs="Times New Roman"/>
          <w:color w:val="000000" w:themeColor="text1"/>
        </w:rPr>
        <w:t xml:space="preserve">Two known pathways are utilized to biosynthesize isoprenoid base units in plants, the mevalonate (MVA) pathway and deoxyxylulose 5-phosphate/2-C-methyl-D-erythritol 4-phosphate (DXP/MEP) pathway (also called MEP pathway). The MVA pathway occurs primarily in the cytosol, while the MEP pathway occurs in the plastid and is mevalonate-independent </w:t>
      </w:r>
      <w:r w:rsidRPr="007F77C5">
        <w:rPr>
          <w:rFonts w:cs="Times New Roman"/>
          <w:noProof/>
          <w:color w:val="000000" w:themeColor="text1"/>
        </w:rPr>
        <w:t>(</w:t>
      </w:r>
      <w:r w:rsidRPr="007F77C5">
        <w:rPr>
          <w:rFonts w:cs="Times New Roman"/>
        </w:rPr>
        <w:t>Bick and Lange, 2003</w:t>
      </w:r>
      <w:r w:rsidRPr="007F77C5">
        <w:rPr>
          <w:rFonts w:cs="Times New Roman"/>
          <w:noProof/>
          <w:color w:val="000000" w:themeColor="text1"/>
        </w:rPr>
        <w:t>)</w:t>
      </w:r>
      <w:r w:rsidRPr="007F77C5">
        <w:rPr>
          <w:rFonts w:cs="Times New Roman"/>
          <w:color w:val="000000" w:themeColor="text1"/>
        </w:rPr>
        <w:t xml:space="preserve">. The equilibrium of IPP and DMAPP is primarily controlled by IPP isomerase (IPPI), which reversibly converts IPP to DMAPP. The synthesis of IPP and DMAPP can be conceptually viewed as the first module of the isoprenoid pathway network. The MVA pathway primarily synthesizes sterols, some sesquiterpenes, ubiquinones, etc., while the MEP pathway predominately synthesizes hemiterpenes, monoterpenes, diterpenes, and some polyterpenes. While both pathways are in different parts of the cell, there is significant communication between the </w:t>
      </w:r>
      <w:r w:rsidRPr="007F77C5">
        <w:rPr>
          <w:rFonts w:cs="Times New Roman"/>
          <w:color w:val="000000" w:themeColor="text1"/>
        </w:rPr>
        <w:lastRenderedPageBreak/>
        <w:t xml:space="preserve">two. Homologs of all known enzymes for cytoplasmic and plastid IPP synthesis are found in all analyzed plant species, suggesting that both MVA and MEP pathways are highly conserved in plants. In addition, the equilibrium of these two compounds is controlled by a complex network of genes and enzymes, which are vital for secondary metabolism resource allocation (i.e., the amount of downstream metabolic products that are produced from isoprene building blocks) and defense against environmental stressors </w:t>
      </w:r>
      <w:r w:rsidRPr="007F77C5">
        <w:rPr>
          <w:rFonts w:cs="Times New Roman"/>
          <w:noProof/>
          <w:color w:val="000000" w:themeColor="text1"/>
        </w:rPr>
        <w:t>(</w:t>
      </w:r>
      <w:r w:rsidRPr="007F77C5">
        <w:rPr>
          <w:rFonts w:cs="Times New Roman"/>
        </w:rPr>
        <w:t>Buchanan, 2015</w:t>
      </w:r>
      <w:r w:rsidRPr="007F77C5">
        <w:rPr>
          <w:rFonts w:cs="Times New Roman"/>
          <w:noProof/>
          <w:color w:val="000000" w:themeColor="text1"/>
        </w:rPr>
        <w:t xml:space="preserve">; </w:t>
      </w:r>
      <w:r w:rsidRPr="007F77C5">
        <w:rPr>
          <w:rFonts w:cs="Times New Roman"/>
        </w:rPr>
        <w:t>Taiz et al., 2015</w:t>
      </w:r>
      <w:r w:rsidRPr="007F77C5">
        <w:rPr>
          <w:rFonts w:cs="Times New Roman"/>
          <w:noProof/>
          <w:color w:val="000000" w:themeColor="text1"/>
        </w:rPr>
        <w:t xml:space="preserve">; </w:t>
      </w:r>
      <w:r w:rsidRPr="007F77C5">
        <w:rPr>
          <w:rFonts w:cs="Times New Roman"/>
        </w:rPr>
        <w:t>Wink, 2010</w:t>
      </w:r>
      <w:r w:rsidRPr="007F77C5">
        <w:rPr>
          <w:rFonts w:cs="Times New Roman"/>
          <w:noProof/>
          <w:color w:val="000000" w:themeColor="text1"/>
        </w:rPr>
        <w:t>)</w:t>
      </w:r>
      <w:r w:rsidRPr="007F77C5">
        <w:rPr>
          <w:rFonts w:cs="Times New Roman"/>
          <w:color w:val="000000" w:themeColor="text1"/>
        </w:rPr>
        <w:t>.</w:t>
      </w:r>
    </w:p>
    <w:p w14:paraId="1EF40DB0" w14:textId="77777777" w:rsidR="00126D8D" w:rsidRPr="007F77C5" w:rsidRDefault="00126D8D" w:rsidP="00224B41">
      <w:pPr>
        <w:ind w:firstLine="720"/>
        <w:jc w:val="both"/>
        <w:rPr>
          <w:rFonts w:cs="Times New Roman"/>
          <w:color w:val="000000" w:themeColor="text1"/>
        </w:rPr>
      </w:pPr>
      <w:r w:rsidRPr="007F77C5">
        <w:rPr>
          <w:rFonts w:cs="Times New Roman"/>
          <w:color w:val="000000" w:themeColor="text1"/>
        </w:rPr>
        <w:t xml:space="preserve">The MVA pathway begins with the condensation of three units of acetyl-CoA to 3-hydroxy-3-methylglutaryl-CoA (HMG-CoA) and is then reduced to mevalonate (MVA), followed by successive phosphorylation steps at C-5 of mevalonate, and a decarboxylation/elimination step leading to IPP </w:t>
      </w:r>
      <w:r w:rsidRPr="007F77C5">
        <w:rPr>
          <w:rFonts w:cs="Times New Roman"/>
          <w:noProof/>
          <w:color w:val="000000" w:themeColor="text1"/>
        </w:rPr>
        <w:t>(</w:t>
      </w:r>
      <w:r w:rsidRPr="007F77C5">
        <w:rPr>
          <w:rFonts w:cs="Times New Roman"/>
        </w:rPr>
        <w:t>Bohlmann and Keeling, 2008</w:t>
      </w:r>
      <w:r w:rsidRPr="007F77C5">
        <w:rPr>
          <w:rFonts w:cs="Times New Roman"/>
          <w:noProof/>
          <w:color w:val="000000" w:themeColor="text1"/>
        </w:rPr>
        <w:t>)</w:t>
      </w:r>
      <w:r w:rsidRPr="007F77C5">
        <w:rPr>
          <w:rFonts w:cs="Times New Roman"/>
          <w:color w:val="000000" w:themeColor="text1"/>
        </w:rPr>
        <w:t xml:space="preserve">. IPP derived from this pathway is then used to create cytosolic and mitochondrial isoprenoids such as sesquiterpenes, sterols, and the side chain of ubiquinone </w:t>
      </w:r>
      <w:r w:rsidRPr="007F77C5">
        <w:rPr>
          <w:rFonts w:cs="Times New Roman"/>
          <w:noProof/>
          <w:color w:val="000000" w:themeColor="text1"/>
        </w:rPr>
        <w:t>(</w:t>
      </w:r>
      <w:r w:rsidRPr="007F77C5">
        <w:rPr>
          <w:rFonts w:cs="Times New Roman"/>
        </w:rPr>
        <w:t>Buchanan, 2015</w:t>
      </w:r>
      <w:r w:rsidRPr="007F77C5">
        <w:rPr>
          <w:rFonts w:cs="Times New Roman"/>
          <w:noProof/>
          <w:color w:val="000000" w:themeColor="text1"/>
        </w:rPr>
        <w:t xml:space="preserve">; </w:t>
      </w:r>
      <w:r w:rsidRPr="007F77C5">
        <w:rPr>
          <w:rFonts w:cs="Times New Roman"/>
        </w:rPr>
        <w:t>Wink, 2010</w:t>
      </w:r>
      <w:r w:rsidRPr="007F77C5">
        <w:rPr>
          <w:rFonts w:cs="Times New Roman"/>
          <w:noProof/>
          <w:color w:val="000000" w:themeColor="text1"/>
        </w:rPr>
        <w:t>)</w:t>
      </w:r>
      <w:r w:rsidRPr="007F77C5">
        <w:rPr>
          <w:rFonts w:cs="Times New Roman"/>
          <w:color w:val="000000" w:themeColor="text1"/>
        </w:rPr>
        <w:t>.</w:t>
      </w:r>
    </w:p>
    <w:p w14:paraId="13BDD57C" w14:textId="77777777" w:rsidR="00126D8D" w:rsidRPr="007F77C5" w:rsidRDefault="00126D8D" w:rsidP="00224B41">
      <w:pPr>
        <w:ind w:firstLine="720"/>
        <w:jc w:val="both"/>
        <w:rPr>
          <w:rFonts w:cs="Times New Roman"/>
          <w:color w:val="000000" w:themeColor="text1"/>
        </w:rPr>
      </w:pPr>
      <w:r w:rsidRPr="007F77C5">
        <w:rPr>
          <w:rFonts w:cs="Times New Roman"/>
          <w:color w:val="000000" w:themeColor="text1"/>
        </w:rPr>
        <w:t xml:space="preserve">Acetyl-CoA: Acetyl-CoA C-acetyltransferase (AACT) catalyzes the first step of the MVA pathway, which is the condensation of two acetyl-CoA molecules to form acetoacetyl-CoA. AACT belongs to the thiolase family and has been cataloged in multiple species, such as Arabidopsis and the mint family. 3-hydroxy-3methylglutaryl-CoA synthase (HMGS) catalyzes the condensation of acetyl-CoA with acetoacetyl-CoA to produce HMG-CoA and CoA. HMGS can be broken by the inhibitor F244, which will break the MVA pathway. Plants with high HMGS expression show rapid cell growth and increased secondary metabolic products, suggesting that this gene is highly regulated at the beginning of the MVA pathway. 3-hydroxy-3-methylglutaryl-CoA reductase (HMGR) is a rate-limiting enzyme necessary for the MVA pathway and synthesizing triterpenoids. Two kinases of this pathway include the mevalonate kinase (MK) and mevalonate 5-diphosphate kinase (PMK). Mevalonate 5-diphosphate decarboxylase (MDC) converts MVPP and IPP </w:t>
      </w:r>
      <w:r w:rsidRPr="007F77C5">
        <w:rPr>
          <w:rFonts w:cs="Times New Roman"/>
          <w:color w:val="000000" w:themeColor="text1"/>
        </w:rPr>
        <w:lastRenderedPageBreak/>
        <w:t xml:space="preserve">isomerase. IPP isomerase (IPI) converts IPP to DMAPP and is the only gene/enzyme that is not limited to the cytosol, which proves critical for the equilibrium regulation of IPP and DMAPP </w:t>
      </w:r>
      <w:r w:rsidRPr="007F77C5">
        <w:rPr>
          <w:rFonts w:cs="Times New Roman"/>
          <w:noProof/>
          <w:color w:val="000000" w:themeColor="text1"/>
        </w:rPr>
        <w:t>(</w:t>
      </w:r>
      <w:r w:rsidRPr="007F77C5">
        <w:rPr>
          <w:rFonts w:cs="Times New Roman"/>
        </w:rPr>
        <w:t>Buchanan, 2015</w:t>
      </w:r>
      <w:r w:rsidRPr="007F77C5">
        <w:rPr>
          <w:rFonts w:cs="Times New Roman"/>
          <w:noProof/>
          <w:color w:val="000000" w:themeColor="text1"/>
        </w:rPr>
        <w:t xml:space="preserve">; </w:t>
      </w:r>
      <w:r w:rsidRPr="007F77C5">
        <w:rPr>
          <w:rFonts w:cs="Times New Roman"/>
        </w:rPr>
        <w:t>Cunningham and Gantt, 1998</w:t>
      </w:r>
      <w:r w:rsidRPr="007F77C5">
        <w:rPr>
          <w:rFonts w:cs="Times New Roman"/>
          <w:noProof/>
          <w:color w:val="000000" w:themeColor="text1"/>
        </w:rPr>
        <w:t xml:space="preserve">; </w:t>
      </w:r>
      <w:r w:rsidRPr="007F77C5">
        <w:rPr>
          <w:rFonts w:cs="Times New Roman"/>
        </w:rPr>
        <w:t>Wink, 2010</w:t>
      </w:r>
      <w:r w:rsidRPr="007F77C5">
        <w:rPr>
          <w:rFonts w:cs="Times New Roman"/>
          <w:noProof/>
          <w:color w:val="000000" w:themeColor="text1"/>
        </w:rPr>
        <w:t>)</w:t>
      </w:r>
    </w:p>
    <w:p w14:paraId="74B3A087" w14:textId="77777777" w:rsidR="00126D8D" w:rsidRPr="007F77C5" w:rsidRDefault="00126D8D" w:rsidP="00224B41">
      <w:pPr>
        <w:ind w:firstLine="720"/>
        <w:jc w:val="both"/>
        <w:rPr>
          <w:rFonts w:cs="Times New Roman"/>
          <w:color w:val="000000" w:themeColor="text1"/>
        </w:rPr>
      </w:pPr>
      <w:r w:rsidRPr="007F77C5">
        <w:rPr>
          <w:rFonts w:cs="Times New Roman"/>
          <w:color w:val="000000" w:themeColor="text1"/>
        </w:rPr>
        <w:t xml:space="preserve">Plastid isoprenoids derive IPP synthesized by the MEP pathway. The initial reaction of the MEP pathway is catalyzed by 1-deoxy-D-xylulose 5-phosphate synthase (DXS) and requires the condensation of hydroxyethyl thiamin derived from pyruvate with the C1 aldehyde group of D-glyceraldehyde 3-phosphate (GA-3P) to produce DXP. A reduction of DXP by the enzyme DXP reductoisomerase (DXR) yields MEP. After the conversion of MEP into 2-C-methyl-D-erythritol 2,4-cyclodiphosphate (ME-2,4cPP) in three enzymatic steps, a reduction catalyzed by 1-hydroxy-2-methyl-2-butenyl 4-diphosphate (HMBPP) synthase (HDS) produces HMBPP, which is finally converted into IPP and dimethylallyl diphosphate (DMAPP) by the enzyme HMBPP reductase (HDR). DMAPP is considered a reactive starter molecule for subsequent condensation reactions with IPP </w:t>
      </w:r>
      <w:r w:rsidRPr="007F77C5">
        <w:rPr>
          <w:rFonts w:cs="Times New Roman"/>
          <w:noProof/>
          <w:color w:val="000000" w:themeColor="text1"/>
        </w:rPr>
        <w:t>(</w:t>
      </w:r>
      <w:r w:rsidRPr="007F77C5">
        <w:rPr>
          <w:rFonts w:cs="Times New Roman"/>
        </w:rPr>
        <w:t>Lange et al., 2000</w:t>
      </w:r>
      <w:r w:rsidRPr="007F77C5">
        <w:rPr>
          <w:rFonts w:cs="Times New Roman"/>
          <w:noProof/>
          <w:color w:val="000000" w:themeColor="text1"/>
        </w:rPr>
        <w:t xml:space="preserve">; </w:t>
      </w:r>
      <w:r w:rsidRPr="007F77C5">
        <w:rPr>
          <w:rFonts w:cs="Times New Roman"/>
        </w:rPr>
        <w:t>Wink, 2010</w:t>
      </w:r>
      <w:r w:rsidRPr="007F77C5">
        <w:rPr>
          <w:rFonts w:cs="Times New Roman"/>
          <w:noProof/>
          <w:color w:val="000000" w:themeColor="text1"/>
        </w:rPr>
        <w:t>)</w:t>
      </w:r>
      <w:r w:rsidRPr="007F77C5">
        <w:rPr>
          <w:rFonts w:cs="Times New Roman"/>
          <w:color w:val="000000" w:themeColor="text1"/>
        </w:rPr>
        <w:t>.</w:t>
      </w:r>
    </w:p>
    <w:p w14:paraId="2A225ADF" w14:textId="77777777" w:rsidR="00126D8D" w:rsidRPr="007F77C5" w:rsidRDefault="00126D8D" w:rsidP="00224B41">
      <w:pPr>
        <w:ind w:firstLine="720"/>
        <w:jc w:val="both"/>
        <w:rPr>
          <w:rFonts w:cs="Times New Roman"/>
          <w:color w:val="000000" w:themeColor="text1"/>
        </w:rPr>
      </w:pPr>
      <w:r w:rsidRPr="007F77C5">
        <w:rPr>
          <w:rFonts w:cs="Times New Roman"/>
          <w:color w:val="000000" w:themeColor="text1"/>
        </w:rPr>
        <w:t xml:space="preserve">Light has a profound impact on the MEP isoprenoid pathway. This is expected because metabolites derived from this pathway include carotenoids, chlorophylls, xanthophylls, etc., which are the pigment-protein complexes used to absorb light energy. While the light intensity and spectral quality regulate MEP pathway activity and many downstream branches of this pathway, MVA pathway activity has been shown to be negatively impacted by light (decrease of HMGR expression) </w:t>
      </w:r>
      <w:r w:rsidRPr="007F77C5">
        <w:rPr>
          <w:rFonts w:cs="Times New Roman"/>
          <w:noProof/>
          <w:color w:val="000000" w:themeColor="text1"/>
        </w:rPr>
        <w:t>(</w:t>
      </w:r>
      <w:r w:rsidRPr="007F77C5">
        <w:rPr>
          <w:rFonts w:cs="Times New Roman"/>
        </w:rPr>
        <w:t>Buchanan, 2015</w:t>
      </w:r>
      <w:r w:rsidRPr="007F77C5">
        <w:rPr>
          <w:rFonts w:cs="Times New Roman"/>
          <w:noProof/>
          <w:color w:val="000000" w:themeColor="text1"/>
        </w:rPr>
        <w:t xml:space="preserve">; </w:t>
      </w:r>
      <w:r w:rsidRPr="007F77C5">
        <w:rPr>
          <w:rFonts w:cs="Times New Roman"/>
        </w:rPr>
        <w:t>Wink, 2010</w:t>
      </w:r>
      <w:r w:rsidRPr="007F77C5">
        <w:rPr>
          <w:rFonts w:cs="Times New Roman"/>
          <w:noProof/>
          <w:color w:val="000000" w:themeColor="text1"/>
        </w:rPr>
        <w:t>)</w:t>
      </w:r>
      <w:r w:rsidRPr="007F77C5">
        <w:rPr>
          <w:rFonts w:cs="Times New Roman"/>
          <w:color w:val="000000" w:themeColor="text1"/>
        </w:rPr>
        <w:t>.</w:t>
      </w:r>
    </w:p>
    <w:p w14:paraId="0304F25C" w14:textId="77777777" w:rsidR="00126D8D" w:rsidRPr="007F77C5" w:rsidRDefault="00126D8D" w:rsidP="00224B41">
      <w:pPr>
        <w:ind w:firstLine="720"/>
        <w:jc w:val="both"/>
        <w:rPr>
          <w:rFonts w:cs="Times New Roman"/>
          <w:color w:val="000000" w:themeColor="text1"/>
        </w:rPr>
      </w:pPr>
      <w:r w:rsidRPr="007F77C5">
        <w:rPr>
          <w:rFonts w:cs="Times New Roman"/>
          <w:color w:val="000000" w:themeColor="text1"/>
        </w:rPr>
        <w:t xml:space="preserve">1-Deoxy-D-xylulose 5-phosphate synthase (DXPS) is the first enzyme in the MEP pathway and is considered to be rate-limiting. In tomatoes, the DXPS gene shows developmental and organ-specific regulation of mRNA accumulation with a strong correlation to increased carotenoid synthesis during fruit development </w:t>
      </w:r>
      <w:r w:rsidRPr="007F77C5">
        <w:rPr>
          <w:rFonts w:cs="Times New Roman"/>
          <w:noProof/>
          <w:color w:val="000000" w:themeColor="text1"/>
        </w:rPr>
        <w:t>(</w:t>
      </w:r>
      <w:r w:rsidRPr="007F77C5">
        <w:rPr>
          <w:rFonts w:cs="Times New Roman"/>
        </w:rPr>
        <w:t>Lois et al., 2000</w:t>
      </w:r>
      <w:r w:rsidRPr="007F77C5">
        <w:rPr>
          <w:rFonts w:cs="Times New Roman"/>
          <w:noProof/>
          <w:color w:val="000000" w:themeColor="text1"/>
        </w:rPr>
        <w:t>)</w:t>
      </w:r>
      <w:r w:rsidRPr="007F77C5">
        <w:rPr>
          <w:rFonts w:cs="Times New Roman"/>
          <w:color w:val="000000" w:themeColor="text1"/>
        </w:rPr>
        <w:t xml:space="preserve">. 1-Deoxy-D-xylulose 5-phosphate </w:t>
      </w:r>
      <w:r w:rsidRPr="007F77C5">
        <w:rPr>
          <w:rFonts w:cs="Times New Roman"/>
          <w:color w:val="000000" w:themeColor="text1"/>
        </w:rPr>
        <w:lastRenderedPageBreak/>
        <w:t>reductoisomerase (DXR) catalyzes the subsequent reduction of DXP to form MEP and is a building block for alkaloids. DXR is also a target protein for developing herbicides because of its prominent role in producing isoprenoids. 4-(Cytidine 5’-diphospho)-2-C-methyl-D-erythritol kinase (CMK) has few reported activities in plants but is light dependent and requires Mg</w:t>
      </w:r>
      <w:r w:rsidRPr="007F77C5">
        <w:rPr>
          <w:rFonts w:cs="Times New Roman"/>
          <w:color w:val="000000" w:themeColor="text1"/>
          <w:vertAlign w:val="superscript"/>
        </w:rPr>
        <w:t>2+</w:t>
      </w:r>
      <w:r w:rsidRPr="007F77C5">
        <w:rPr>
          <w:rFonts w:cs="Times New Roman"/>
          <w:color w:val="000000" w:themeColor="text1"/>
        </w:rPr>
        <w:t xml:space="preserve"> for its activity. Hydroxymethylbutenyl 4-diphosphate synthase (HDS) is required for the final two steps of the MEP pathway, namely the formation of HMBPP and the conversion to a 5:1 mixture of IPP and DMAPP via IDS. HDS has also exhibited high expression during carotenoid accumulation in ripening tomato fruit </w:t>
      </w:r>
      <w:r w:rsidRPr="007F77C5">
        <w:rPr>
          <w:rFonts w:cs="Times New Roman"/>
          <w:noProof/>
          <w:color w:val="000000" w:themeColor="text1"/>
        </w:rPr>
        <w:t>(</w:t>
      </w:r>
      <w:r w:rsidRPr="007F77C5">
        <w:rPr>
          <w:rFonts w:cs="Times New Roman"/>
        </w:rPr>
        <w:t>Khachik et al., 2002</w:t>
      </w:r>
      <w:r w:rsidRPr="007F77C5">
        <w:rPr>
          <w:rFonts w:cs="Times New Roman"/>
          <w:noProof/>
          <w:color w:val="000000" w:themeColor="text1"/>
        </w:rPr>
        <w:t xml:space="preserve">; </w:t>
      </w:r>
      <w:r w:rsidRPr="007F77C5">
        <w:rPr>
          <w:rFonts w:cs="Times New Roman"/>
        </w:rPr>
        <w:t>Wink, 2010</w:t>
      </w:r>
      <w:r w:rsidRPr="007F77C5">
        <w:rPr>
          <w:rFonts w:cs="Times New Roman"/>
          <w:noProof/>
          <w:color w:val="000000" w:themeColor="text1"/>
        </w:rPr>
        <w:t>)</w:t>
      </w:r>
      <w:r w:rsidRPr="007F77C5">
        <w:rPr>
          <w:rFonts w:cs="Times New Roman"/>
          <w:color w:val="000000" w:themeColor="text1"/>
        </w:rPr>
        <w:t>.</w:t>
      </w:r>
    </w:p>
    <w:p w14:paraId="6FD262A0" w14:textId="77777777" w:rsidR="00126D8D" w:rsidRDefault="00126D8D" w:rsidP="00224B41">
      <w:pPr>
        <w:ind w:firstLine="720"/>
        <w:jc w:val="both"/>
        <w:rPr>
          <w:rFonts w:cs="Times New Roman"/>
          <w:color w:val="000000" w:themeColor="text1"/>
        </w:rPr>
      </w:pPr>
      <w:r w:rsidRPr="007F77C5">
        <w:rPr>
          <w:rFonts w:cs="Times New Roman"/>
          <w:color w:val="000000" w:themeColor="text1"/>
        </w:rPr>
        <w:t xml:space="preserve">By observing the regulation of these genes and enzymes across various spectral qualities and quantifying the metabolites at each step within pertinent pathways, we can determine which of them significantly impacts critical metabolic pathways important for flavor and quality. This project will investigate additional genes to determine which are responsible for specific bioaccumulation of secondary metabolic products (such as carotenoids, VOCs, flavonoids, etc.) </w:t>
      </w:r>
      <w:r w:rsidRPr="007F77C5">
        <w:rPr>
          <w:rFonts w:cs="Times New Roman"/>
          <w:noProof/>
          <w:color w:val="000000" w:themeColor="text1"/>
        </w:rPr>
        <w:t>(</w:t>
      </w:r>
      <w:r w:rsidRPr="007F77C5">
        <w:rPr>
          <w:rFonts w:cs="Times New Roman"/>
        </w:rPr>
        <w:t>Buchanan, 2015</w:t>
      </w:r>
      <w:r w:rsidRPr="007F77C5">
        <w:rPr>
          <w:rFonts w:cs="Times New Roman"/>
          <w:noProof/>
          <w:color w:val="000000" w:themeColor="text1"/>
        </w:rPr>
        <w:t xml:space="preserve">; </w:t>
      </w:r>
      <w:r w:rsidRPr="007F77C5">
        <w:rPr>
          <w:rFonts w:cs="Times New Roman"/>
        </w:rPr>
        <w:t>Wink, 2010</w:t>
      </w:r>
      <w:r w:rsidRPr="007F77C5">
        <w:rPr>
          <w:rFonts w:cs="Times New Roman"/>
          <w:noProof/>
          <w:color w:val="000000" w:themeColor="text1"/>
        </w:rPr>
        <w:t>)</w:t>
      </w:r>
      <w:r w:rsidRPr="007F77C5">
        <w:rPr>
          <w:rFonts w:cs="Times New Roman"/>
          <w:color w:val="000000" w:themeColor="text1"/>
        </w:rPr>
        <w:t>.</w:t>
      </w:r>
    </w:p>
    <w:p w14:paraId="751E7E99" w14:textId="77777777" w:rsidR="00126D8D" w:rsidRPr="007F77C5" w:rsidRDefault="00126D8D" w:rsidP="00224B41">
      <w:pPr>
        <w:ind w:firstLine="720"/>
        <w:jc w:val="both"/>
        <w:rPr>
          <w:rFonts w:cs="Times New Roman"/>
          <w:color w:val="000000" w:themeColor="text1"/>
        </w:rPr>
      </w:pPr>
    </w:p>
    <w:p w14:paraId="2DEBA8B2" w14:textId="77777777" w:rsidR="00126D8D" w:rsidRPr="007F77C5" w:rsidRDefault="00126D8D" w:rsidP="00224B41">
      <w:pPr>
        <w:pStyle w:val="MastersThesisSectionHeader"/>
      </w:pPr>
      <w:bookmarkStart w:id="62" w:name="_Toc114189701"/>
      <w:bookmarkStart w:id="63" w:name="_Toc139574776"/>
      <w:bookmarkStart w:id="64" w:name="_Toc141478646"/>
      <w:r w:rsidRPr="007F77C5">
        <w:t>Carotenoids</w:t>
      </w:r>
      <w:bookmarkEnd w:id="62"/>
      <w:bookmarkEnd w:id="63"/>
      <w:bookmarkEnd w:id="64"/>
    </w:p>
    <w:p w14:paraId="44B38AE8" w14:textId="77777777" w:rsidR="00126D8D" w:rsidRPr="007F77C5" w:rsidRDefault="00126D8D" w:rsidP="00224B41">
      <w:pPr>
        <w:ind w:firstLine="720"/>
        <w:jc w:val="both"/>
        <w:rPr>
          <w:rFonts w:cs="Times New Roman"/>
          <w:color w:val="000000" w:themeColor="text1"/>
        </w:rPr>
      </w:pPr>
      <w:r w:rsidRPr="007F77C5">
        <w:rPr>
          <w:rFonts w:cs="Times New Roman"/>
          <w:color w:val="000000" w:themeColor="text1"/>
        </w:rPr>
        <w:t xml:space="preserve">Carotenoids are a class of organic compounds produced by plants and algae. They are responsible for the pigmentation of many fruits and vegetables. Carotenoids are created through the process of photosynthesis, and they are composed of a long chain of carbon atoms. There are two main types of carotenoids: carotenes and xanthophylls. Carotenes are responsible for plants' yellow and orange pigmentation, while xanthophylls give plants their red and pink colors. Carotenoids serve several vital functions in plant biology. For example, they help protect plants from damage caused by ultraviolet light and play a role in photosynthesis. Additionally, </w:t>
      </w:r>
      <w:r w:rsidRPr="007F77C5">
        <w:rPr>
          <w:rFonts w:cs="Times New Roman"/>
          <w:color w:val="000000" w:themeColor="text1"/>
        </w:rPr>
        <w:lastRenderedPageBreak/>
        <w:t xml:space="preserve">carotenoids can be converted into Vitamin A, which is essential for human health. As a result, carotenoids play a vital role in both plant and human biology </w:t>
      </w:r>
      <w:r w:rsidRPr="007F77C5">
        <w:rPr>
          <w:rFonts w:cs="Times New Roman"/>
          <w:noProof/>
          <w:color w:val="000000" w:themeColor="text1"/>
        </w:rPr>
        <w:t>(</w:t>
      </w:r>
      <w:r w:rsidRPr="007F77C5">
        <w:rPr>
          <w:rFonts w:cs="Times New Roman"/>
        </w:rPr>
        <w:t>Wink, 2010</w:t>
      </w:r>
      <w:r w:rsidRPr="007F77C5">
        <w:rPr>
          <w:rFonts w:cs="Times New Roman"/>
          <w:noProof/>
          <w:color w:val="000000" w:themeColor="text1"/>
        </w:rPr>
        <w:t>)</w:t>
      </w:r>
      <w:r w:rsidRPr="007F77C5">
        <w:rPr>
          <w:rFonts w:cs="Times New Roman"/>
          <w:color w:val="000000" w:themeColor="text1"/>
        </w:rPr>
        <w:t xml:space="preserve">. This project will emphasize carotenoid metabolism, along with other isoprenoids. </w:t>
      </w:r>
    </w:p>
    <w:p w14:paraId="36E4C2BE" w14:textId="77777777" w:rsidR="00126D8D" w:rsidRPr="007F77C5" w:rsidRDefault="00126D8D" w:rsidP="00224B41">
      <w:pPr>
        <w:ind w:firstLine="720"/>
        <w:jc w:val="both"/>
        <w:rPr>
          <w:rFonts w:cs="Times New Roman"/>
          <w:color w:val="000000" w:themeColor="text1"/>
        </w:rPr>
      </w:pPr>
      <w:r w:rsidRPr="007F77C5">
        <w:rPr>
          <w:rFonts w:cs="Times New Roman"/>
          <w:color w:val="000000" w:themeColor="text1"/>
        </w:rPr>
        <w:t xml:space="preserve">Over 600 carotenoids are known to date. They belong to the category of tetraterpenoids, meaning they contain 40 carbon atoms and are built from four individual terpene units. The physical structure of carotenoids is responsible for chemical properties and human health benefits, as well as colorations that range from pale yellow to deep red </w:t>
      </w:r>
      <w:r w:rsidRPr="007F77C5">
        <w:rPr>
          <w:rFonts w:cs="Times New Roman"/>
          <w:noProof/>
          <w:color w:val="000000" w:themeColor="text1"/>
        </w:rPr>
        <w:t>(</w:t>
      </w:r>
      <w:r w:rsidRPr="007F77C5">
        <w:rPr>
          <w:rFonts w:cs="Times New Roman"/>
        </w:rPr>
        <w:t>Khoo et al., 2011</w:t>
      </w:r>
      <w:r w:rsidRPr="007F77C5">
        <w:rPr>
          <w:rFonts w:cs="Times New Roman"/>
          <w:noProof/>
          <w:color w:val="000000" w:themeColor="text1"/>
        </w:rPr>
        <w:t>)</w:t>
      </w:r>
      <w:r w:rsidRPr="007F77C5">
        <w:rPr>
          <w:rFonts w:cs="Times New Roman"/>
          <w:color w:val="000000" w:themeColor="text1"/>
        </w:rPr>
        <w:t xml:space="preserve">. Carotenoids are most effective in absorbing wavelengths that fall within the 400-550 nm range. The color of these tissues is commonly hidden by chlorophyll in photosynthetic tissues but may become apparent in reproductive tissues such as fruits, flowers, and tubers </w:t>
      </w:r>
      <w:r w:rsidRPr="007F77C5">
        <w:rPr>
          <w:rFonts w:cs="Times New Roman"/>
          <w:noProof/>
          <w:color w:val="000000" w:themeColor="text1"/>
        </w:rPr>
        <w:t>(</w:t>
      </w:r>
      <w:r w:rsidRPr="007F77C5">
        <w:rPr>
          <w:rFonts w:cs="Times New Roman"/>
        </w:rPr>
        <w:t>Frank and Cogdell, 1996</w:t>
      </w:r>
      <w:r w:rsidRPr="007F77C5">
        <w:rPr>
          <w:rFonts w:cs="Times New Roman"/>
          <w:noProof/>
          <w:color w:val="000000" w:themeColor="text1"/>
        </w:rPr>
        <w:t xml:space="preserve">; </w:t>
      </w:r>
      <w:r w:rsidRPr="007F77C5">
        <w:rPr>
          <w:rFonts w:cs="Times New Roman"/>
        </w:rPr>
        <w:t>Lichtenthaler, 1987</w:t>
      </w:r>
      <w:r w:rsidRPr="007F77C5">
        <w:rPr>
          <w:rFonts w:cs="Times New Roman"/>
          <w:noProof/>
          <w:color w:val="000000" w:themeColor="text1"/>
        </w:rPr>
        <w:t xml:space="preserve">; </w:t>
      </w:r>
      <w:r w:rsidRPr="007F77C5">
        <w:rPr>
          <w:rFonts w:cs="Times New Roman"/>
        </w:rPr>
        <w:t>Young, 1991</w:t>
      </w:r>
      <w:r w:rsidRPr="007F77C5">
        <w:rPr>
          <w:rFonts w:cs="Times New Roman"/>
          <w:noProof/>
          <w:color w:val="000000" w:themeColor="text1"/>
        </w:rPr>
        <w:t>)</w:t>
      </w:r>
      <w:r w:rsidRPr="007F77C5">
        <w:rPr>
          <w:rFonts w:cs="Times New Roman"/>
          <w:color w:val="000000" w:themeColor="text1"/>
        </w:rPr>
        <w:t>.</w:t>
      </w:r>
    </w:p>
    <w:p w14:paraId="010FD269" w14:textId="77777777" w:rsidR="00126D8D" w:rsidRPr="007F77C5" w:rsidRDefault="00126D8D" w:rsidP="00224B41">
      <w:pPr>
        <w:ind w:firstLine="720"/>
        <w:jc w:val="both"/>
        <w:rPr>
          <w:rFonts w:cs="Times New Roman"/>
          <w:color w:val="000000" w:themeColor="text1"/>
        </w:rPr>
      </w:pPr>
      <w:r w:rsidRPr="007F77C5">
        <w:rPr>
          <w:rFonts w:cs="Times New Roman"/>
          <w:color w:val="000000" w:themeColor="text1"/>
        </w:rPr>
        <w:t xml:space="preserve">The carotenoid biosynthetic pathway plays important roles in plant biochemistry, such as photosynthesis, photoprotection, plant development, and stress hormones </w:t>
      </w:r>
      <w:r w:rsidRPr="007F77C5">
        <w:rPr>
          <w:rFonts w:cs="Times New Roman"/>
          <w:noProof/>
          <w:color w:val="000000" w:themeColor="text1"/>
        </w:rPr>
        <w:t>(</w:t>
      </w:r>
      <w:r w:rsidRPr="007F77C5">
        <w:rPr>
          <w:rFonts w:cs="Times New Roman"/>
        </w:rPr>
        <w:t>Buchanan, 2015</w:t>
      </w:r>
      <w:r w:rsidRPr="007F77C5">
        <w:rPr>
          <w:rFonts w:cs="Times New Roman"/>
          <w:noProof/>
          <w:color w:val="000000" w:themeColor="text1"/>
        </w:rPr>
        <w:t xml:space="preserve">; </w:t>
      </w:r>
      <w:r w:rsidRPr="007F77C5">
        <w:rPr>
          <w:rFonts w:cs="Times New Roman"/>
        </w:rPr>
        <w:t>Wink, 2010</w:t>
      </w:r>
      <w:r w:rsidRPr="007F77C5">
        <w:rPr>
          <w:rFonts w:cs="Times New Roman"/>
          <w:noProof/>
          <w:color w:val="000000" w:themeColor="text1"/>
        </w:rPr>
        <w:t>)</w:t>
      </w:r>
      <w:r w:rsidRPr="007F77C5">
        <w:rPr>
          <w:rFonts w:cs="Times New Roman"/>
          <w:color w:val="000000" w:themeColor="text1"/>
        </w:rPr>
        <w:t xml:space="preserve">. There are at least five different roles carotenoids are thought to play in photosynthesis, which include light harvesting, photoprotection via triplet state chlorophyll quenching, singlet oxygen scavenging, excess energy dissipation, and structure stabilization/assembly </w:t>
      </w:r>
      <w:r w:rsidRPr="007F77C5">
        <w:rPr>
          <w:rFonts w:cs="Times New Roman"/>
          <w:noProof/>
          <w:color w:val="000000" w:themeColor="text1"/>
        </w:rPr>
        <w:t>(</w:t>
      </w:r>
      <w:r w:rsidRPr="007F77C5">
        <w:rPr>
          <w:rFonts w:cs="Times New Roman"/>
        </w:rPr>
        <w:t>Esteban et al., 2015</w:t>
      </w:r>
      <w:r w:rsidRPr="007F77C5">
        <w:rPr>
          <w:rFonts w:cs="Times New Roman"/>
          <w:noProof/>
          <w:color w:val="000000" w:themeColor="text1"/>
        </w:rPr>
        <w:t xml:space="preserve">; </w:t>
      </w:r>
      <w:r w:rsidRPr="007F77C5">
        <w:rPr>
          <w:rFonts w:cs="Times New Roman"/>
        </w:rPr>
        <w:t>Frank and Cogdell, 1996</w:t>
      </w:r>
      <w:r w:rsidRPr="007F77C5">
        <w:rPr>
          <w:rFonts w:cs="Times New Roman"/>
          <w:noProof/>
          <w:color w:val="000000" w:themeColor="text1"/>
        </w:rPr>
        <w:t>)</w:t>
      </w:r>
      <w:r w:rsidRPr="007F77C5">
        <w:rPr>
          <w:rFonts w:cs="Times New Roman"/>
          <w:color w:val="000000" w:themeColor="text1"/>
        </w:rPr>
        <w:t>.</w:t>
      </w:r>
    </w:p>
    <w:p w14:paraId="5707C263" w14:textId="77777777" w:rsidR="00126D8D" w:rsidRPr="007F77C5" w:rsidRDefault="00126D8D" w:rsidP="00224B41">
      <w:pPr>
        <w:ind w:firstLine="720"/>
        <w:jc w:val="both"/>
        <w:rPr>
          <w:rFonts w:cs="Times New Roman"/>
          <w:color w:val="000000" w:themeColor="text1"/>
        </w:rPr>
      </w:pPr>
      <w:r w:rsidRPr="007F77C5">
        <w:rPr>
          <w:rFonts w:cs="Times New Roman"/>
          <w:color w:val="000000" w:themeColor="text1"/>
        </w:rPr>
        <w:t xml:space="preserve">Metabolic products of the carotenoid pathway are typically vibrant hues and fragrant aromas, which play a role in plant signaling communication, influence food flavor and nutritional characteristics, and mediate plant-animal interactions </w:t>
      </w:r>
      <w:r w:rsidRPr="007F77C5">
        <w:rPr>
          <w:rFonts w:cs="Times New Roman"/>
          <w:noProof/>
          <w:color w:val="000000" w:themeColor="text1"/>
        </w:rPr>
        <w:t>(</w:t>
      </w:r>
      <w:r w:rsidRPr="007F77C5">
        <w:rPr>
          <w:rFonts w:cs="Times New Roman"/>
        </w:rPr>
        <w:t>Khoo et al., 2011</w:t>
      </w:r>
      <w:r w:rsidRPr="007F77C5">
        <w:rPr>
          <w:rFonts w:cs="Times New Roman"/>
          <w:noProof/>
          <w:color w:val="000000" w:themeColor="text1"/>
        </w:rPr>
        <w:t xml:space="preserve">; </w:t>
      </w:r>
      <w:r w:rsidRPr="007F77C5">
        <w:rPr>
          <w:rFonts w:cs="Times New Roman"/>
        </w:rPr>
        <w:t>Shumskaya and Wurtzel, 2013</w:t>
      </w:r>
      <w:r w:rsidRPr="007F77C5">
        <w:rPr>
          <w:rFonts w:cs="Times New Roman"/>
          <w:noProof/>
          <w:color w:val="000000" w:themeColor="text1"/>
        </w:rPr>
        <w:t>)</w:t>
      </w:r>
      <w:r w:rsidRPr="007F77C5">
        <w:rPr>
          <w:rFonts w:cs="Times New Roman"/>
          <w:color w:val="000000" w:themeColor="text1"/>
        </w:rPr>
        <w:t xml:space="preserve">. Carotenoids are primarily localized on membranes of plastids, which are known to be the site of carotenoid biosynthesis </w:t>
      </w:r>
      <w:r w:rsidRPr="007F77C5">
        <w:rPr>
          <w:rFonts w:cs="Times New Roman"/>
          <w:noProof/>
          <w:color w:val="000000" w:themeColor="text1"/>
        </w:rPr>
        <w:t>(</w:t>
      </w:r>
      <w:r w:rsidRPr="007F77C5">
        <w:rPr>
          <w:rFonts w:cs="Times New Roman"/>
        </w:rPr>
        <w:t>Kopsell et al., 2005</w:t>
      </w:r>
      <w:r w:rsidRPr="007F77C5">
        <w:rPr>
          <w:rFonts w:cs="Times New Roman"/>
          <w:noProof/>
          <w:color w:val="000000" w:themeColor="text1"/>
        </w:rPr>
        <w:t xml:space="preserve">; </w:t>
      </w:r>
      <w:r w:rsidRPr="007F77C5">
        <w:rPr>
          <w:rFonts w:cs="Times New Roman"/>
        </w:rPr>
        <w:t>Yeum and Russell, 2002</w:t>
      </w:r>
      <w:r w:rsidRPr="007F77C5">
        <w:rPr>
          <w:rFonts w:cs="Times New Roman"/>
          <w:noProof/>
          <w:color w:val="000000" w:themeColor="text1"/>
        </w:rPr>
        <w:t>)</w:t>
      </w:r>
      <w:r w:rsidRPr="007F77C5">
        <w:rPr>
          <w:rFonts w:cs="Times New Roman"/>
          <w:color w:val="000000" w:themeColor="text1"/>
        </w:rPr>
        <w:t xml:space="preserve">. Plastids are dynamic organelles that undergo constant chemical and structural changes, and carotenoid </w:t>
      </w:r>
      <w:r w:rsidRPr="007F77C5">
        <w:rPr>
          <w:rFonts w:cs="Times New Roman"/>
          <w:color w:val="000000" w:themeColor="text1"/>
        </w:rPr>
        <w:lastRenderedPageBreak/>
        <w:t xml:space="preserve">synthesis is particularly sensitive to them </w:t>
      </w:r>
      <w:r w:rsidRPr="007F77C5">
        <w:rPr>
          <w:rFonts w:cs="Times New Roman"/>
          <w:noProof/>
          <w:color w:val="000000" w:themeColor="text1"/>
        </w:rPr>
        <w:t>(</w:t>
      </w:r>
      <w:r w:rsidRPr="007F77C5">
        <w:rPr>
          <w:rFonts w:cs="Times New Roman"/>
        </w:rPr>
        <w:t>Frank and Cogdell, 1996</w:t>
      </w:r>
      <w:r w:rsidRPr="007F77C5">
        <w:rPr>
          <w:rFonts w:cs="Times New Roman"/>
          <w:noProof/>
          <w:color w:val="000000" w:themeColor="text1"/>
        </w:rPr>
        <w:t xml:space="preserve">; </w:t>
      </w:r>
      <w:r w:rsidRPr="007F77C5">
        <w:rPr>
          <w:rFonts w:cs="Times New Roman"/>
        </w:rPr>
        <w:t>Young, 1991</w:t>
      </w:r>
      <w:r w:rsidRPr="007F77C5">
        <w:rPr>
          <w:rFonts w:cs="Times New Roman"/>
          <w:noProof/>
          <w:color w:val="000000" w:themeColor="text1"/>
        </w:rPr>
        <w:t>)</w:t>
      </w:r>
      <w:r w:rsidRPr="007F77C5">
        <w:rPr>
          <w:rFonts w:cs="Times New Roman"/>
          <w:color w:val="000000" w:themeColor="text1"/>
        </w:rPr>
        <w:t xml:space="preserve">. The location and composition of a synthesis site determine the fate of its metabolic products. The majority of carotenoids are produced on thylakoid membranes for use in photosynthesis, photoprotection, quenching, etc., whereas carotenoids found on the chloroplast envelope membranes and plastogloubles typically become apocarotenoids that mediate signaling, etc. </w:t>
      </w:r>
      <w:r w:rsidRPr="007F77C5">
        <w:rPr>
          <w:rFonts w:cs="Times New Roman"/>
          <w:noProof/>
          <w:color w:val="000000" w:themeColor="text1"/>
        </w:rPr>
        <w:t>(</w:t>
      </w:r>
      <w:r w:rsidRPr="007F77C5">
        <w:rPr>
          <w:rFonts w:cs="Times New Roman"/>
        </w:rPr>
        <w:t>Esteban et al., 2015</w:t>
      </w:r>
      <w:r w:rsidRPr="007F77C5">
        <w:rPr>
          <w:rFonts w:cs="Times New Roman"/>
          <w:noProof/>
          <w:color w:val="000000" w:themeColor="text1"/>
        </w:rPr>
        <w:t xml:space="preserve">; </w:t>
      </w:r>
      <w:r w:rsidRPr="007F77C5">
        <w:rPr>
          <w:rFonts w:cs="Times New Roman"/>
        </w:rPr>
        <w:t>Felemban et al., 2019</w:t>
      </w:r>
      <w:r w:rsidRPr="007F77C5">
        <w:rPr>
          <w:rFonts w:cs="Times New Roman"/>
          <w:noProof/>
          <w:color w:val="000000" w:themeColor="text1"/>
        </w:rPr>
        <w:t xml:space="preserve">; </w:t>
      </w:r>
      <w:r w:rsidRPr="007F77C5">
        <w:rPr>
          <w:rFonts w:cs="Times New Roman"/>
        </w:rPr>
        <w:t>Shumskaya and Wurtzel, 2013</w:t>
      </w:r>
      <w:r w:rsidRPr="007F77C5">
        <w:rPr>
          <w:rFonts w:cs="Times New Roman"/>
          <w:noProof/>
          <w:color w:val="000000" w:themeColor="text1"/>
        </w:rPr>
        <w:t xml:space="preserve">; </w:t>
      </w:r>
      <w:r w:rsidRPr="007F77C5">
        <w:rPr>
          <w:rFonts w:cs="Times New Roman"/>
        </w:rPr>
        <w:t>Sun et al., 2018</w:t>
      </w:r>
      <w:r w:rsidRPr="007F77C5">
        <w:rPr>
          <w:rFonts w:cs="Times New Roman"/>
          <w:noProof/>
          <w:color w:val="000000" w:themeColor="text1"/>
        </w:rPr>
        <w:t>)</w:t>
      </w:r>
      <w:r w:rsidRPr="007F77C5">
        <w:rPr>
          <w:rFonts w:cs="Times New Roman"/>
          <w:color w:val="000000" w:themeColor="text1"/>
        </w:rPr>
        <w:t xml:space="preserve">. Biological roles and synthesis sites of the metabolic end products produced by carotenoid pathways need further study to determine how to improve the bioaccumulation of nutritionally important carotenoids in edible tissues. Furthermore, comprehensive knowledge of the various effects each chemical component fulfills in general physiology and its interactions with spectral quality is necessary </w:t>
      </w:r>
      <w:r w:rsidRPr="007F77C5">
        <w:rPr>
          <w:rFonts w:cs="Times New Roman"/>
          <w:noProof/>
          <w:color w:val="000000" w:themeColor="text1"/>
        </w:rPr>
        <w:t>(</w:t>
      </w:r>
      <w:r w:rsidRPr="007F77C5">
        <w:rPr>
          <w:rFonts w:cs="Times New Roman"/>
        </w:rPr>
        <w:t>Frank and Cogdell, 1996</w:t>
      </w:r>
      <w:r w:rsidRPr="007F77C5">
        <w:rPr>
          <w:rFonts w:cs="Times New Roman"/>
          <w:noProof/>
          <w:color w:val="000000" w:themeColor="text1"/>
        </w:rPr>
        <w:t xml:space="preserve">; </w:t>
      </w:r>
      <w:r w:rsidRPr="007F77C5">
        <w:rPr>
          <w:rFonts w:cs="Times New Roman"/>
        </w:rPr>
        <w:t>Kopsell et al., 2005</w:t>
      </w:r>
      <w:r w:rsidRPr="007F77C5">
        <w:rPr>
          <w:rFonts w:cs="Times New Roman"/>
          <w:noProof/>
          <w:color w:val="000000" w:themeColor="text1"/>
        </w:rPr>
        <w:t xml:space="preserve">; </w:t>
      </w:r>
      <w:r w:rsidRPr="007F77C5">
        <w:rPr>
          <w:rFonts w:cs="Times New Roman"/>
        </w:rPr>
        <w:t>Ouzounis et al., 2015</w:t>
      </w:r>
      <w:r w:rsidRPr="007F77C5">
        <w:rPr>
          <w:rFonts w:cs="Times New Roman"/>
          <w:noProof/>
          <w:color w:val="000000" w:themeColor="text1"/>
        </w:rPr>
        <w:t xml:space="preserve">; </w:t>
      </w:r>
      <w:r w:rsidRPr="007F77C5">
        <w:rPr>
          <w:rFonts w:cs="Times New Roman"/>
        </w:rPr>
        <w:t>Shumskaya and Wurtzel, 2013</w:t>
      </w:r>
      <w:r w:rsidRPr="007F77C5">
        <w:rPr>
          <w:rFonts w:cs="Times New Roman"/>
          <w:noProof/>
          <w:color w:val="000000" w:themeColor="text1"/>
        </w:rPr>
        <w:t xml:space="preserve">; </w:t>
      </w:r>
      <w:r w:rsidRPr="007F77C5">
        <w:rPr>
          <w:rFonts w:cs="Times New Roman"/>
        </w:rPr>
        <w:t>Yeum and Russell, 2002</w:t>
      </w:r>
      <w:r w:rsidRPr="007F77C5">
        <w:rPr>
          <w:rFonts w:cs="Times New Roman"/>
          <w:noProof/>
          <w:color w:val="000000" w:themeColor="text1"/>
        </w:rPr>
        <w:t xml:space="preserve">; </w:t>
      </w:r>
      <w:r w:rsidRPr="007F77C5">
        <w:rPr>
          <w:rFonts w:cs="Times New Roman"/>
        </w:rPr>
        <w:t>Young, 1991</w:t>
      </w:r>
      <w:r w:rsidRPr="007F77C5">
        <w:rPr>
          <w:rFonts w:cs="Times New Roman"/>
          <w:noProof/>
          <w:color w:val="000000" w:themeColor="text1"/>
        </w:rPr>
        <w:t>)</w:t>
      </w:r>
      <w:r w:rsidRPr="007F77C5">
        <w:rPr>
          <w:rFonts w:cs="Times New Roman"/>
          <w:color w:val="000000" w:themeColor="text1"/>
        </w:rPr>
        <w:t xml:space="preserve">. </w:t>
      </w:r>
    </w:p>
    <w:p w14:paraId="5FB92B4D" w14:textId="77777777" w:rsidR="00126D8D" w:rsidRPr="007F77C5" w:rsidRDefault="00126D8D" w:rsidP="00224B41">
      <w:pPr>
        <w:ind w:firstLine="720"/>
        <w:jc w:val="both"/>
        <w:rPr>
          <w:rFonts w:cs="Times New Roman"/>
          <w:color w:val="000000" w:themeColor="text1"/>
        </w:rPr>
      </w:pPr>
      <w:r w:rsidRPr="007F77C5">
        <w:rPr>
          <w:rFonts w:cs="Times New Roman"/>
          <w:color w:val="000000" w:themeColor="text1"/>
        </w:rPr>
        <w:t xml:space="preserve">The xanthophyll cycle is a process that helps regulate photosynthesis in plants. It does this by controlling the amount of light energy that is available for use </w:t>
      </w:r>
      <w:r w:rsidRPr="007F77C5">
        <w:rPr>
          <w:rFonts w:cs="Times New Roman"/>
          <w:noProof/>
          <w:color w:val="000000" w:themeColor="text1"/>
        </w:rPr>
        <w:t>(</w:t>
      </w:r>
      <w:r w:rsidRPr="007F77C5">
        <w:rPr>
          <w:rFonts w:cs="Times New Roman"/>
        </w:rPr>
        <w:t>Demmig-Adams and Adams, 1996</w:t>
      </w:r>
      <w:r w:rsidRPr="007F77C5">
        <w:rPr>
          <w:rFonts w:cs="Times New Roman"/>
          <w:noProof/>
          <w:color w:val="000000" w:themeColor="text1"/>
        </w:rPr>
        <w:t xml:space="preserve">; </w:t>
      </w:r>
      <w:r w:rsidRPr="007F77C5">
        <w:rPr>
          <w:rFonts w:cs="Times New Roman"/>
        </w:rPr>
        <w:t>Eskling et al., 1997</w:t>
      </w:r>
      <w:r w:rsidRPr="007F77C5">
        <w:rPr>
          <w:rFonts w:cs="Times New Roman"/>
          <w:noProof/>
          <w:color w:val="000000" w:themeColor="text1"/>
        </w:rPr>
        <w:t xml:space="preserve">; </w:t>
      </w:r>
      <w:r w:rsidRPr="007F77C5">
        <w:rPr>
          <w:rFonts w:cs="Times New Roman"/>
        </w:rPr>
        <w:t>Latowski et al., 2004</w:t>
      </w:r>
      <w:r w:rsidRPr="007F77C5">
        <w:rPr>
          <w:rFonts w:cs="Times New Roman"/>
          <w:noProof/>
          <w:color w:val="000000" w:themeColor="text1"/>
        </w:rPr>
        <w:t>)</w:t>
      </w:r>
      <w:r w:rsidRPr="007F77C5">
        <w:rPr>
          <w:rFonts w:cs="Times New Roman"/>
          <w:color w:val="000000" w:themeColor="text1"/>
        </w:rPr>
        <w:t xml:space="preserve">. The cycle involves several metabolites, including zeaxanthin, violaxanthin, and antheraxanthin. These molecules play essential roles in the absorption and dissipation of light energy. The xanthophyll cycle helps plants adapt to light intensity and spectrum changes. When a plant is overexposed to light, the carotenoid molecules help prevent damage by quenching radicals and dissipating heat. Violaxanthin is converted into zeaxanthin via antheraxanthin, which can help protect against photooxidative stress and lipid peroxidation as well as quench chlorophyll triplet states </w:t>
      </w:r>
      <w:r w:rsidRPr="007F77C5">
        <w:rPr>
          <w:rFonts w:cs="Times New Roman"/>
          <w:noProof/>
          <w:color w:val="000000" w:themeColor="text1"/>
        </w:rPr>
        <w:t>(</w:t>
      </w:r>
      <w:r w:rsidRPr="007F77C5">
        <w:rPr>
          <w:rFonts w:cs="Times New Roman"/>
        </w:rPr>
        <w:t>Demmig-Adams and Adams, 1996</w:t>
      </w:r>
      <w:r w:rsidRPr="007F77C5">
        <w:rPr>
          <w:rFonts w:cs="Times New Roman"/>
          <w:noProof/>
          <w:color w:val="000000" w:themeColor="text1"/>
        </w:rPr>
        <w:t xml:space="preserve">; </w:t>
      </w:r>
      <w:r w:rsidRPr="007F77C5">
        <w:rPr>
          <w:rFonts w:cs="Times New Roman"/>
        </w:rPr>
        <w:t>Frank and Cogdell, 1996</w:t>
      </w:r>
      <w:r w:rsidRPr="007F77C5">
        <w:rPr>
          <w:rFonts w:cs="Times New Roman"/>
          <w:noProof/>
          <w:color w:val="000000" w:themeColor="text1"/>
        </w:rPr>
        <w:t xml:space="preserve">; </w:t>
      </w:r>
      <w:r w:rsidRPr="007F77C5">
        <w:rPr>
          <w:rFonts w:cs="Times New Roman"/>
        </w:rPr>
        <w:t>Wink, 2010</w:t>
      </w:r>
      <w:r w:rsidRPr="007F77C5">
        <w:rPr>
          <w:rFonts w:cs="Times New Roman"/>
          <w:noProof/>
          <w:color w:val="000000" w:themeColor="text1"/>
        </w:rPr>
        <w:t>)</w:t>
      </w:r>
      <w:r w:rsidRPr="007F77C5">
        <w:rPr>
          <w:rFonts w:cs="Times New Roman"/>
          <w:color w:val="000000" w:themeColor="text1"/>
        </w:rPr>
        <w:t>.</w:t>
      </w:r>
    </w:p>
    <w:p w14:paraId="5DBF1E62" w14:textId="77777777" w:rsidR="00126D8D" w:rsidRPr="007F77C5" w:rsidRDefault="00126D8D" w:rsidP="00224B41">
      <w:pPr>
        <w:ind w:firstLine="720"/>
        <w:jc w:val="both"/>
        <w:rPr>
          <w:rFonts w:cs="Times New Roman"/>
          <w:color w:val="000000" w:themeColor="text1"/>
        </w:rPr>
      </w:pPr>
      <w:r w:rsidRPr="007F77C5">
        <w:rPr>
          <w:rFonts w:cs="Times New Roman"/>
          <w:color w:val="000000" w:themeColor="text1"/>
        </w:rPr>
        <w:lastRenderedPageBreak/>
        <w:t xml:space="preserve">Based on the current literature, there is strong evidence that greenhouse production with narrowband supplemental lighting is the best method for optimizing carotenoid accumulation in popular basil cultivars. Leafy specialty crops already contain high levels of nutritionally beneficial carotenoids and other phytonutrients, and supplemental lighting can drastically increase concentrations of those compounds. In the field, sweet basil may naturally accumulate high levels of nutritionally beneficial carotenoids, but supplementing high phytonutrient-containing basil cultivars with LED light in optimized greenhouses and/or vertical farms may have significant human health advantages. </w:t>
      </w:r>
    </w:p>
    <w:p w14:paraId="07FD87A5" w14:textId="77777777" w:rsidR="00126D8D" w:rsidRPr="007F77C5" w:rsidRDefault="00126D8D" w:rsidP="00224B41">
      <w:pPr>
        <w:ind w:firstLine="720"/>
        <w:jc w:val="both"/>
        <w:rPr>
          <w:rFonts w:cs="Times New Roman"/>
          <w:color w:val="000000" w:themeColor="text1"/>
        </w:rPr>
      </w:pPr>
      <w:r w:rsidRPr="007F77C5">
        <w:rPr>
          <w:rFonts w:cs="Times New Roman"/>
          <w:color w:val="000000" w:themeColor="text1"/>
        </w:rPr>
        <w:t xml:space="preserve">The carotenoid pathway provides many metabolites that have beneficial antioxidant capacities for humans. These antioxidants can help protect the body against some types of disease and aspects of aging. These potent compounds have been proven to benefit human health in various ways </w:t>
      </w:r>
      <w:r w:rsidRPr="007F77C5">
        <w:rPr>
          <w:rFonts w:cs="Times New Roman"/>
          <w:noProof/>
          <w:color w:val="000000" w:themeColor="text1"/>
        </w:rPr>
        <w:t>(</w:t>
      </w:r>
      <w:r w:rsidRPr="007F77C5">
        <w:rPr>
          <w:rFonts w:cs="Times New Roman"/>
        </w:rPr>
        <w:t>Namitha and Negi, 2010</w:t>
      </w:r>
      <w:r w:rsidRPr="007F77C5">
        <w:rPr>
          <w:rFonts w:cs="Times New Roman"/>
          <w:noProof/>
          <w:color w:val="000000" w:themeColor="text1"/>
        </w:rPr>
        <w:t xml:space="preserve">; </w:t>
      </w:r>
      <w:r w:rsidRPr="007F77C5">
        <w:rPr>
          <w:rFonts w:cs="Times New Roman"/>
        </w:rPr>
        <w:t>Olson, 1999</w:t>
      </w:r>
      <w:r w:rsidRPr="007F77C5">
        <w:rPr>
          <w:rFonts w:cs="Times New Roman"/>
          <w:noProof/>
          <w:color w:val="000000" w:themeColor="text1"/>
        </w:rPr>
        <w:t xml:space="preserve">; </w:t>
      </w:r>
      <w:r w:rsidRPr="007F77C5">
        <w:rPr>
          <w:rFonts w:cs="Times New Roman"/>
        </w:rPr>
        <w:t>Perera and Yen, 2007</w:t>
      </w:r>
      <w:r w:rsidRPr="007F77C5">
        <w:rPr>
          <w:rFonts w:cs="Times New Roman"/>
          <w:noProof/>
          <w:color w:val="000000" w:themeColor="text1"/>
        </w:rPr>
        <w:t xml:space="preserve">; </w:t>
      </w:r>
      <w:r w:rsidRPr="007F77C5">
        <w:rPr>
          <w:rFonts w:cs="Times New Roman"/>
        </w:rPr>
        <w:t>Voutilainen et al., 2006</w:t>
      </w:r>
      <w:r w:rsidRPr="007F77C5">
        <w:rPr>
          <w:rFonts w:cs="Times New Roman"/>
          <w:noProof/>
          <w:color w:val="000000" w:themeColor="text1"/>
        </w:rPr>
        <w:t>)</w:t>
      </w:r>
      <w:r w:rsidRPr="007F77C5">
        <w:rPr>
          <w:rFonts w:cs="Times New Roman"/>
          <w:color w:val="000000" w:themeColor="text1"/>
        </w:rPr>
        <w:t xml:space="preserve"> Consuming a wide range of fruit and vegetable crops with various combinations of carotenoid compounds was found to be strongly linked with decreased risks of cancer and ocular disease when compared to monomolecular carotenoid supplements </w:t>
      </w:r>
      <w:r w:rsidRPr="007F77C5">
        <w:rPr>
          <w:rFonts w:cs="Times New Roman"/>
          <w:noProof/>
          <w:color w:val="000000" w:themeColor="text1"/>
        </w:rPr>
        <w:t>(</w:t>
      </w:r>
      <w:r w:rsidRPr="007F77C5">
        <w:rPr>
          <w:rFonts w:cs="Times New Roman"/>
        </w:rPr>
        <w:t>Rao and Rao, 2007</w:t>
      </w:r>
      <w:r w:rsidRPr="007F77C5">
        <w:rPr>
          <w:rFonts w:cs="Times New Roman"/>
          <w:noProof/>
          <w:color w:val="000000" w:themeColor="text1"/>
        </w:rPr>
        <w:t xml:space="preserve">; </w:t>
      </w:r>
      <w:r w:rsidRPr="007F77C5">
        <w:rPr>
          <w:rFonts w:cs="Times New Roman"/>
        </w:rPr>
        <w:t>Voutilainen et al., 2006</w:t>
      </w:r>
      <w:r w:rsidRPr="007F77C5">
        <w:rPr>
          <w:rFonts w:cs="Times New Roman"/>
          <w:noProof/>
          <w:color w:val="000000" w:themeColor="text1"/>
        </w:rPr>
        <w:t>)</w:t>
      </w:r>
      <w:r w:rsidRPr="007F77C5">
        <w:rPr>
          <w:rFonts w:cs="Times New Roman"/>
          <w:color w:val="000000" w:themeColor="text1"/>
        </w:rPr>
        <w:t xml:space="preserve">. For example, lutein and zeaxanthin have been shown to be protective against age-related macular degeneration (AMD), the leading cause of blindness in adults over the age of 55. Lutein and zeaxanthin are found in high concentrations in the central area of the retina called the macula. These carotenoids help to filter blue light and protect the retina from oxidative stress. A diet rich in these carotenoids has been linked with a reduced risk of AMD </w:t>
      </w:r>
      <w:r w:rsidRPr="007F77C5">
        <w:rPr>
          <w:rFonts w:cs="Times New Roman"/>
          <w:noProof/>
          <w:color w:val="000000" w:themeColor="text1"/>
        </w:rPr>
        <w:t>(</w:t>
      </w:r>
      <w:r w:rsidRPr="007F77C5">
        <w:rPr>
          <w:rFonts w:cs="Times New Roman"/>
        </w:rPr>
        <w:t>Olson, 1999</w:t>
      </w:r>
      <w:r w:rsidRPr="007F77C5">
        <w:rPr>
          <w:rFonts w:cs="Times New Roman"/>
          <w:noProof/>
          <w:color w:val="000000" w:themeColor="text1"/>
        </w:rPr>
        <w:t xml:space="preserve">; </w:t>
      </w:r>
      <w:r w:rsidRPr="007F77C5">
        <w:rPr>
          <w:rFonts w:cs="Times New Roman"/>
        </w:rPr>
        <w:t>Perera and Yen, 2007</w:t>
      </w:r>
      <w:r w:rsidRPr="007F77C5">
        <w:rPr>
          <w:rFonts w:cs="Times New Roman"/>
          <w:noProof/>
          <w:color w:val="000000" w:themeColor="text1"/>
        </w:rPr>
        <w:t>)</w:t>
      </w:r>
      <w:r w:rsidRPr="007F77C5">
        <w:rPr>
          <w:rFonts w:cs="Times New Roman"/>
          <w:color w:val="000000" w:themeColor="text1"/>
        </w:rPr>
        <w:t xml:space="preserve">. Other carotenoids, such as beta-carotene, have also been shown to provide health benefits. Beta-carotene is converted into vitamin A in the body and is protective against cancer and other diseases. Vitamin A is essential for healthy vision, skin, and immune function </w:t>
      </w:r>
      <w:r w:rsidRPr="007F77C5">
        <w:rPr>
          <w:rFonts w:cs="Times New Roman"/>
          <w:noProof/>
          <w:color w:val="000000" w:themeColor="text1"/>
        </w:rPr>
        <w:t>(</w:t>
      </w:r>
      <w:r w:rsidRPr="007F77C5">
        <w:rPr>
          <w:rFonts w:cs="Times New Roman"/>
        </w:rPr>
        <w:t xml:space="preserve">Rao and Rao, </w:t>
      </w:r>
      <w:r w:rsidRPr="007F77C5">
        <w:rPr>
          <w:rFonts w:cs="Times New Roman"/>
        </w:rPr>
        <w:lastRenderedPageBreak/>
        <w:t>2007</w:t>
      </w:r>
      <w:r w:rsidRPr="007F77C5">
        <w:rPr>
          <w:rFonts w:cs="Times New Roman"/>
          <w:noProof/>
          <w:color w:val="000000" w:themeColor="text1"/>
        </w:rPr>
        <w:t>)</w:t>
      </w:r>
      <w:r w:rsidRPr="007F77C5">
        <w:rPr>
          <w:rFonts w:cs="Times New Roman"/>
          <w:color w:val="000000" w:themeColor="text1"/>
        </w:rPr>
        <w:t xml:space="preserve">. Enhancing and/or manipulating secondary metabolism (i.e., improving carotenoid bioaccumulation) in high-value specialty crops using supplemental lighting could result in improved nutritional quality and a decreased risk of common maladies and illnesses </w:t>
      </w:r>
      <w:r w:rsidRPr="007F77C5">
        <w:rPr>
          <w:rFonts w:cs="Times New Roman"/>
          <w:noProof/>
          <w:color w:val="000000" w:themeColor="text1"/>
        </w:rPr>
        <w:t>(</w:t>
      </w:r>
      <w:r w:rsidRPr="007F77C5">
        <w:rPr>
          <w:rFonts w:cs="Times New Roman"/>
        </w:rPr>
        <w:t>Abdel-Aal and Akhtar, 2006</w:t>
      </w:r>
      <w:r w:rsidRPr="007F77C5">
        <w:rPr>
          <w:rFonts w:cs="Times New Roman"/>
          <w:noProof/>
          <w:color w:val="000000" w:themeColor="text1"/>
        </w:rPr>
        <w:t xml:space="preserve">; </w:t>
      </w:r>
      <w:r w:rsidRPr="007F77C5">
        <w:rPr>
          <w:rFonts w:cs="Times New Roman"/>
        </w:rPr>
        <w:t>Fraser and Bramley, 2004</w:t>
      </w:r>
      <w:r w:rsidRPr="007F77C5">
        <w:rPr>
          <w:rFonts w:cs="Times New Roman"/>
          <w:noProof/>
          <w:color w:val="000000" w:themeColor="text1"/>
        </w:rPr>
        <w:t xml:space="preserve">; </w:t>
      </w:r>
      <w:r w:rsidRPr="007F77C5">
        <w:rPr>
          <w:rFonts w:cs="Times New Roman"/>
        </w:rPr>
        <w:t>Khachik et al., 2002</w:t>
      </w:r>
      <w:r w:rsidRPr="007F77C5">
        <w:rPr>
          <w:rFonts w:cs="Times New Roman"/>
          <w:noProof/>
          <w:color w:val="000000" w:themeColor="text1"/>
        </w:rPr>
        <w:t>)</w:t>
      </w:r>
      <w:r w:rsidRPr="007F77C5">
        <w:rPr>
          <w:rFonts w:cs="Times New Roman"/>
          <w:color w:val="000000" w:themeColor="text1"/>
        </w:rPr>
        <w:t>. This study aims to prove that LED light is an efficient and economical method for optimizing carotenoid accumulation in high-value specialty crops such as sweet basil, providing consumers with improved nutritional quality and health.</w:t>
      </w:r>
    </w:p>
    <w:p w14:paraId="244989F4" w14:textId="77777777" w:rsidR="00126D8D" w:rsidRPr="007F77C5" w:rsidRDefault="00126D8D" w:rsidP="00224B41">
      <w:pPr>
        <w:spacing w:line="240" w:lineRule="auto"/>
        <w:rPr>
          <w:rFonts w:cs="Times New Roman"/>
          <w:b/>
          <w:sz w:val="28"/>
        </w:rPr>
      </w:pPr>
      <w:bookmarkStart w:id="65" w:name="_Toc114189702"/>
      <w:bookmarkStart w:id="66" w:name="_Toc114189783"/>
    </w:p>
    <w:p w14:paraId="343E1448" w14:textId="77777777" w:rsidR="00126D8D" w:rsidRPr="007F77C5" w:rsidRDefault="00126D8D" w:rsidP="00224B41">
      <w:pPr>
        <w:pStyle w:val="MastersThesisMainTitle"/>
      </w:pPr>
      <w:bookmarkStart w:id="67" w:name="_Toc139574777"/>
      <w:bookmarkStart w:id="68" w:name="_Toc141478647"/>
      <w:r w:rsidRPr="007F77C5">
        <w:t>Sensory Analysis and Food Science Fundamentals</w:t>
      </w:r>
      <w:bookmarkEnd w:id="65"/>
      <w:bookmarkEnd w:id="66"/>
      <w:bookmarkEnd w:id="67"/>
      <w:bookmarkEnd w:id="68"/>
    </w:p>
    <w:p w14:paraId="4C9CE24D" w14:textId="77777777" w:rsidR="00126D8D" w:rsidRPr="007F77C5" w:rsidRDefault="00126D8D" w:rsidP="00224B41">
      <w:pPr>
        <w:ind w:firstLine="720"/>
        <w:jc w:val="both"/>
        <w:rPr>
          <w:rFonts w:cs="Times New Roman"/>
          <w:color w:val="000000" w:themeColor="text1"/>
        </w:rPr>
      </w:pPr>
      <w:r w:rsidRPr="007F77C5">
        <w:rPr>
          <w:rFonts w:cs="Times New Roman"/>
          <w:color w:val="000000" w:themeColor="text1"/>
        </w:rPr>
        <w:t xml:space="preserve">Taste and smell are two of the most important senses when it comes to sensory perception of food. Our sense of taste helps us determine the flavors of what we eat and how sweet, salty, sour, or bitter a particular food is. Sensory analysis is the scientific study of how humans perceive taste, smell, texture, and color in foods </w:t>
      </w:r>
      <w:r w:rsidRPr="007F77C5">
        <w:rPr>
          <w:rFonts w:cs="Times New Roman"/>
          <w:noProof/>
          <w:color w:val="000000" w:themeColor="text1"/>
        </w:rPr>
        <w:t>(</w:t>
      </w:r>
      <w:r w:rsidRPr="007F77C5">
        <w:rPr>
          <w:rFonts w:cs="Times New Roman"/>
        </w:rPr>
        <w:t>Meligaard et al., 2007</w:t>
      </w:r>
      <w:r w:rsidRPr="007F77C5">
        <w:rPr>
          <w:rFonts w:cs="Times New Roman"/>
          <w:noProof/>
          <w:color w:val="000000" w:themeColor="text1"/>
        </w:rPr>
        <w:t>)</w:t>
      </w:r>
      <w:r w:rsidRPr="007F77C5">
        <w:rPr>
          <w:rFonts w:cs="Times New Roman"/>
          <w:color w:val="000000" w:themeColor="text1"/>
        </w:rPr>
        <w:t xml:space="preserve">. This information can be used to improve the flavor and texture of foods and develop new products that appeal to consumers' senses. By understanding the fundamentals of sensory analysis, food scientists can create products that are nutritious and enjoyable to eat. The human sense of taste is mediated by taste receptors, which are specialized cells located in the tongue and palate. These receptors send information about the food's flavor to the brain, where it is interpreted. The four primary tastes are sweet, salty, sour, and bitter. In addition to these four tastes, there are also umami and fat tastes. Umami is a savory taste that is often described as "meaty" or "brothy." It is produced by amino acids, such as glutamic acid, found in many foods, including meats, cheeses, and soy sauce. The fat taste is mediated by a different type of receptor cell than the other tastes. Fat taste receptors are located in the mouth and send information about the fat content of food to the brain. Depending on the individual, fat tastes can be pleasurable or unpleasant </w:t>
      </w:r>
      <w:r w:rsidRPr="007F77C5">
        <w:rPr>
          <w:rFonts w:cs="Times New Roman"/>
          <w:noProof/>
          <w:color w:val="000000" w:themeColor="text1"/>
        </w:rPr>
        <w:t>(</w:t>
      </w:r>
      <w:r w:rsidRPr="007F77C5">
        <w:rPr>
          <w:rFonts w:cs="Times New Roman"/>
        </w:rPr>
        <w:t>Lawless, 2010</w:t>
      </w:r>
      <w:r w:rsidRPr="007F77C5">
        <w:rPr>
          <w:rFonts w:cs="Times New Roman"/>
          <w:noProof/>
          <w:color w:val="000000" w:themeColor="text1"/>
        </w:rPr>
        <w:t>)</w:t>
      </w:r>
      <w:r w:rsidRPr="007F77C5">
        <w:rPr>
          <w:rFonts w:cs="Times New Roman"/>
          <w:color w:val="000000" w:themeColor="text1"/>
        </w:rPr>
        <w:t xml:space="preserve">. </w:t>
      </w:r>
    </w:p>
    <w:p w14:paraId="39A27D23" w14:textId="77777777" w:rsidR="00126D8D" w:rsidRPr="007F77C5" w:rsidRDefault="00126D8D" w:rsidP="00224B41">
      <w:pPr>
        <w:ind w:firstLine="720"/>
        <w:jc w:val="both"/>
        <w:rPr>
          <w:rFonts w:cs="Times New Roman"/>
          <w:color w:val="000000" w:themeColor="text1"/>
        </w:rPr>
      </w:pPr>
      <w:r w:rsidRPr="007F77C5">
        <w:rPr>
          <w:rFonts w:cs="Times New Roman"/>
          <w:color w:val="000000" w:themeColor="text1"/>
        </w:rPr>
        <w:lastRenderedPageBreak/>
        <w:t xml:space="preserve">The sense of smell is another important sense when it comes to the consumption of food. The human nose can detect thousands of different odors, which helps us identify the foods we eat. Odors are molecules that dissolve in the mucus of the nose and bind to receptors in the olfactory epithelium, a thin layer of tissue in the upper part of the nose. The binding of an odor molecule to a receptor triggers a reaction that sends a signal to the brain, where the odor is interpreted </w:t>
      </w:r>
      <w:r w:rsidRPr="007F77C5">
        <w:rPr>
          <w:rFonts w:cs="Times New Roman"/>
          <w:noProof/>
          <w:color w:val="000000" w:themeColor="text1"/>
        </w:rPr>
        <w:t>(</w:t>
      </w:r>
      <w:r w:rsidRPr="007F77C5">
        <w:rPr>
          <w:rFonts w:cs="Times New Roman"/>
        </w:rPr>
        <w:t>Lawless, 2010</w:t>
      </w:r>
      <w:r w:rsidRPr="007F77C5">
        <w:rPr>
          <w:rFonts w:cs="Times New Roman"/>
          <w:noProof/>
          <w:color w:val="000000" w:themeColor="text1"/>
        </w:rPr>
        <w:t xml:space="preserve">; </w:t>
      </w:r>
      <w:r w:rsidRPr="007F77C5">
        <w:rPr>
          <w:rFonts w:cs="Times New Roman"/>
        </w:rPr>
        <w:t>Meligaard et al., 2007</w:t>
      </w:r>
      <w:r w:rsidRPr="007F77C5">
        <w:rPr>
          <w:rFonts w:cs="Times New Roman"/>
          <w:noProof/>
          <w:color w:val="000000" w:themeColor="text1"/>
        </w:rPr>
        <w:t>)</w:t>
      </w:r>
      <w:r w:rsidRPr="007F77C5">
        <w:rPr>
          <w:rFonts w:cs="Times New Roman"/>
          <w:color w:val="000000" w:themeColor="text1"/>
        </w:rPr>
        <w:t>.</w:t>
      </w:r>
    </w:p>
    <w:p w14:paraId="29A78766" w14:textId="77777777" w:rsidR="00126D8D" w:rsidRPr="007F77C5" w:rsidRDefault="00126D8D" w:rsidP="00224B41">
      <w:pPr>
        <w:ind w:firstLine="720"/>
        <w:jc w:val="both"/>
        <w:rPr>
          <w:rFonts w:cs="Times New Roman"/>
          <w:color w:val="000000" w:themeColor="text1"/>
        </w:rPr>
      </w:pPr>
      <w:r w:rsidRPr="007F77C5">
        <w:rPr>
          <w:rFonts w:cs="Times New Roman"/>
          <w:color w:val="000000" w:themeColor="text1"/>
        </w:rPr>
        <w:t xml:space="preserve">By definition, a volatile chemical compound readily vaporizes under standard temperature and atmospheric conditions </w:t>
      </w:r>
      <w:r w:rsidRPr="007F77C5">
        <w:rPr>
          <w:rFonts w:cs="Times New Roman"/>
          <w:noProof/>
          <w:color w:val="000000" w:themeColor="text1"/>
        </w:rPr>
        <w:t>(</w:t>
      </w:r>
      <w:r w:rsidRPr="007F77C5">
        <w:rPr>
          <w:rFonts w:cs="Times New Roman"/>
        </w:rPr>
        <w:t>Alam, 2012</w:t>
      </w:r>
      <w:r w:rsidRPr="007F77C5">
        <w:rPr>
          <w:rFonts w:cs="Times New Roman"/>
          <w:noProof/>
          <w:color w:val="000000" w:themeColor="text1"/>
        </w:rPr>
        <w:t>)</w:t>
      </w:r>
      <w:r w:rsidRPr="007F77C5">
        <w:rPr>
          <w:rFonts w:cs="Times New Roman"/>
          <w:color w:val="000000" w:themeColor="text1"/>
        </w:rPr>
        <w:t xml:space="preserve">. Highly volatile compounds will evaporate quickly and tend to exist in the vapor state at standard temperature and pressure (STP). Vapor pressure is the measurement of how readily a liquid (or other phase) forms vapor at a given temperature. Compounds with higher vapor pressures tend to evaporate more quickly. A compound’s physical and chemical properties determine its vapor pressure. Volatiles tend to have low molecular weights, low polarity, and minimal intermolecular forces (i.e., no bonding interactions between other molecules in the mixture). Volatiles also tend to diffuse rapidly once they have transitioned to the vapor phase (i.e., high diffusion coefficient). The partial pressure of each volatile compound in a mixture contributes proportionally (both concentration and vapor pressure relative to the other compounds) to the overall vapor pressure of the total mixture </w:t>
      </w:r>
      <w:r w:rsidRPr="007F77C5">
        <w:rPr>
          <w:rFonts w:cs="Times New Roman"/>
          <w:noProof/>
          <w:color w:val="000000" w:themeColor="text1"/>
        </w:rPr>
        <w:t>(</w:t>
      </w:r>
      <w:r w:rsidRPr="007F77C5">
        <w:rPr>
          <w:rFonts w:cs="Times New Roman"/>
        </w:rPr>
        <w:t>Alam, 2012</w:t>
      </w:r>
      <w:r w:rsidRPr="007F77C5">
        <w:rPr>
          <w:rFonts w:cs="Times New Roman"/>
          <w:noProof/>
          <w:color w:val="000000" w:themeColor="text1"/>
        </w:rPr>
        <w:t>)</w:t>
      </w:r>
      <w:r w:rsidRPr="007F77C5">
        <w:rPr>
          <w:rFonts w:cs="Times New Roman"/>
          <w:color w:val="000000" w:themeColor="text1"/>
        </w:rPr>
        <w:t xml:space="preserve">. The terms flavor and aroma tend to denote naturally occurring compounds, while fragrance typically refers to synthetic compounds. Aromatic flavor compounds usually have low molecular weights (&lt;300 Daltons), which directly contributes to their volatility along with chemical structure and high vapor pressures. Aroma affects both taste and smell, whereas fragrances only affect smell </w:t>
      </w:r>
      <w:r w:rsidRPr="007F77C5">
        <w:rPr>
          <w:rFonts w:cs="Times New Roman"/>
          <w:noProof/>
          <w:color w:val="000000" w:themeColor="text1"/>
        </w:rPr>
        <w:t>(</w:t>
      </w:r>
      <w:r w:rsidRPr="007F77C5">
        <w:rPr>
          <w:rFonts w:cs="Times New Roman"/>
        </w:rPr>
        <w:t>Lawless, 2010</w:t>
      </w:r>
      <w:r w:rsidRPr="007F77C5">
        <w:rPr>
          <w:rFonts w:cs="Times New Roman"/>
          <w:noProof/>
          <w:color w:val="000000" w:themeColor="text1"/>
        </w:rPr>
        <w:t xml:space="preserve">; </w:t>
      </w:r>
      <w:r w:rsidRPr="007F77C5">
        <w:rPr>
          <w:rFonts w:cs="Times New Roman"/>
        </w:rPr>
        <w:t>Wink, 2010</w:t>
      </w:r>
      <w:r w:rsidRPr="007F77C5">
        <w:rPr>
          <w:rFonts w:cs="Times New Roman"/>
          <w:noProof/>
          <w:color w:val="000000" w:themeColor="text1"/>
        </w:rPr>
        <w:t>)</w:t>
      </w:r>
      <w:r w:rsidRPr="007F77C5">
        <w:rPr>
          <w:rFonts w:cs="Times New Roman"/>
          <w:color w:val="000000" w:themeColor="text1"/>
        </w:rPr>
        <w:t>.</w:t>
      </w:r>
    </w:p>
    <w:p w14:paraId="1B022C2C" w14:textId="77777777" w:rsidR="00126D8D" w:rsidRPr="007F77C5" w:rsidRDefault="00126D8D" w:rsidP="00224B41">
      <w:pPr>
        <w:ind w:firstLine="720"/>
        <w:jc w:val="both"/>
        <w:rPr>
          <w:rFonts w:cs="Times New Roman"/>
          <w:color w:val="000000" w:themeColor="text1"/>
        </w:rPr>
      </w:pPr>
      <w:r w:rsidRPr="007F77C5">
        <w:rPr>
          <w:rFonts w:cs="Times New Roman"/>
          <w:color w:val="000000" w:themeColor="text1"/>
        </w:rPr>
        <w:lastRenderedPageBreak/>
        <w:t xml:space="preserve">An odorant is known as a chemical compound that gives off a particular smell or odor. Odorants are also known as active aroma compounds. Aroma active compounds have specific chemical structures that allow for the activation of olfactory receptors in humans, which, in turn, triggers a smell response </w:t>
      </w:r>
      <w:r w:rsidRPr="007F77C5">
        <w:rPr>
          <w:rFonts w:cs="Times New Roman"/>
          <w:noProof/>
          <w:color w:val="000000" w:themeColor="text1"/>
        </w:rPr>
        <w:t>(</w:t>
      </w:r>
      <w:r w:rsidRPr="007F77C5">
        <w:rPr>
          <w:rFonts w:cs="Times New Roman"/>
        </w:rPr>
        <w:t>Meligaard et al., 2007</w:t>
      </w:r>
      <w:r w:rsidRPr="007F77C5">
        <w:rPr>
          <w:rFonts w:cs="Times New Roman"/>
          <w:noProof/>
          <w:color w:val="000000" w:themeColor="text1"/>
        </w:rPr>
        <w:t>)</w:t>
      </w:r>
      <w:r w:rsidRPr="007F77C5">
        <w:rPr>
          <w:rFonts w:cs="Times New Roman"/>
          <w:color w:val="000000" w:themeColor="text1"/>
        </w:rPr>
        <w:t xml:space="preserve">. In nature, the large majority of aroma active compounds are considered to be volatile. Various receptors can detect a wide range of compounds across a wide range of affinities, and this combination (including both antagonistic and synergistic effects) is what we consider “smell.” The concepts of volatility and aroma activity are related, but not synonymous. Volatility is the term used in physical chemistry to describe a compound’s homeostatic and transitional phase behavior, while aroma active is a term used in sensory/food science to indicate that a compound produces a notable olfactory response in humans. In other words, aroma active compounds indicate that humans have an olfactory response, compared to a substance with high volatility that may or may not stimulate an olfactory response in humans but rapidly disperses in the gaseous phase under STP </w:t>
      </w:r>
      <w:r w:rsidRPr="007F77C5">
        <w:rPr>
          <w:rFonts w:cs="Times New Roman"/>
          <w:noProof/>
          <w:color w:val="000000" w:themeColor="text1"/>
        </w:rPr>
        <w:t>(</w:t>
      </w:r>
      <w:r w:rsidRPr="007F77C5">
        <w:rPr>
          <w:rFonts w:cs="Times New Roman"/>
        </w:rPr>
        <w:t>Grosch, 2001</w:t>
      </w:r>
      <w:r w:rsidRPr="007F77C5">
        <w:rPr>
          <w:rFonts w:cs="Times New Roman"/>
          <w:noProof/>
          <w:color w:val="000000" w:themeColor="text1"/>
        </w:rPr>
        <w:t xml:space="preserve">; </w:t>
      </w:r>
      <w:r w:rsidRPr="007F77C5">
        <w:rPr>
          <w:rFonts w:cs="Times New Roman"/>
        </w:rPr>
        <w:t>Lawless, 2010</w:t>
      </w:r>
      <w:r w:rsidRPr="007F77C5">
        <w:rPr>
          <w:rFonts w:cs="Times New Roman"/>
          <w:noProof/>
          <w:color w:val="000000" w:themeColor="text1"/>
        </w:rPr>
        <w:t xml:space="preserve">; </w:t>
      </w:r>
      <w:r w:rsidRPr="007F77C5">
        <w:rPr>
          <w:rFonts w:cs="Times New Roman"/>
        </w:rPr>
        <w:t>Meligaard et al., 2007</w:t>
      </w:r>
      <w:r w:rsidRPr="007F77C5">
        <w:rPr>
          <w:rFonts w:cs="Times New Roman"/>
          <w:noProof/>
          <w:color w:val="000000" w:themeColor="text1"/>
        </w:rPr>
        <w:t>)</w:t>
      </w:r>
      <w:r w:rsidRPr="007F77C5">
        <w:rPr>
          <w:rFonts w:cs="Times New Roman"/>
          <w:color w:val="000000" w:themeColor="text1"/>
        </w:rPr>
        <w:t xml:space="preserve">. </w:t>
      </w:r>
    </w:p>
    <w:p w14:paraId="3D655ED7" w14:textId="77777777" w:rsidR="00126D8D" w:rsidRPr="007F77C5" w:rsidRDefault="00126D8D" w:rsidP="00224B41">
      <w:pPr>
        <w:ind w:firstLine="720"/>
        <w:jc w:val="both"/>
        <w:rPr>
          <w:rFonts w:cs="Times New Roman"/>
          <w:color w:val="000000" w:themeColor="text1"/>
        </w:rPr>
      </w:pPr>
      <w:r w:rsidRPr="007F77C5">
        <w:rPr>
          <w:rFonts w:cs="Times New Roman"/>
          <w:color w:val="000000" w:themeColor="text1"/>
        </w:rPr>
        <w:t xml:space="preserve">Many odorants are chemically classified as volatile compounds, as high volatility is needed to transport a compound to olfactory receptors </w:t>
      </w:r>
      <w:r w:rsidRPr="007F77C5">
        <w:rPr>
          <w:rFonts w:cs="Times New Roman"/>
          <w:noProof/>
          <w:color w:val="000000" w:themeColor="text1"/>
        </w:rPr>
        <w:t>(</w:t>
      </w:r>
      <w:r w:rsidRPr="007F77C5">
        <w:rPr>
          <w:rFonts w:cs="Times New Roman"/>
        </w:rPr>
        <w:t>Meligaard et al., 2007</w:t>
      </w:r>
      <w:r w:rsidRPr="007F77C5">
        <w:rPr>
          <w:rFonts w:cs="Times New Roman"/>
          <w:noProof/>
          <w:color w:val="000000" w:themeColor="text1"/>
        </w:rPr>
        <w:t>)</w:t>
      </w:r>
      <w:r w:rsidRPr="007F77C5">
        <w:rPr>
          <w:rFonts w:cs="Times New Roman"/>
          <w:color w:val="000000" w:themeColor="text1"/>
        </w:rPr>
        <w:t xml:space="preserve">. It is important to note that the terms aroma active compound and volatile compound are non-mutually exclusive. Not all volatiles are considered aroma active. Not all aroma active compounds are volatiles, but this is rare; some compounds that contribute heavily to aroma perception are transferred to the olfactory system via other volatile compounds present in the mixture (i.e., the vapor pressure of the total mixture higher than a specific compound in the mixture) </w:t>
      </w:r>
      <w:r w:rsidRPr="007F77C5">
        <w:rPr>
          <w:rFonts w:cs="Times New Roman"/>
          <w:noProof/>
          <w:color w:val="000000" w:themeColor="text1"/>
        </w:rPr>
        <w:t>(</w:t>
      </w:r>
      <w:r w:rsidRPr="007F77C5">
        <w:rPr>
          <w:rFonts w:cs="Times New Roman"/>
        </w:rPr>
        <w:t>Alam, 2012</w:t>
      </w:r>
      <w:r w:rsidRPr="007F77C5">
        <w:rPr>
          <w:rFonts w:cs="Times New Roman"/>
          <w:noProof/>
          <w:color w:val="000000" w:themeColor="text1"/>
        </w:rPr>
        <w:t xml:space="preserve">; </w:t>
      </w:r>
      <w:r w:rsidRPr="007F77C5">
        <w:rPr>
          <w:rFonts w:cs="Times New Roman"/>
        </w:rPr>
        <w:t>Meligaard et al., 2007</w:t>
      </w:r>
      <w:r w:rsidRPr="007F77C5">
        <w:rPr>
          <w:rFonts w:cs="Times New Roman"/>
          <w:noProof/>
          <w:color w:val="000000" w:themeColor="text1"/>
        </w:rPr>
        <w:t>)</w:t>
      </w:r>
      <w:r w:rsidRPr="007F77C5">
        <w:rPr>
          <w:rFonts w:cs="Times New Roman"/>
          <w:color w:val="000000" w:themeColor="text1"/>
        </w:rPr>
        <w:t xml:space="preserve">. </w:t>
      </w:r>
    </w:p>
    <w:p w14:paraId="74F42330" w14:textId="77777777" w:rsidR="00126D8D" w:rsidRPr="007F77C5" w:rsidRDefault="00126D8D" w:rsidP="00224B41">
      <w:pPr>
        <w:ind w:firstLine="720"/>
        <w:jc w:val="both"/>
        <w:rPr>
          <w:rFonts w:cs="Times New Roman"/>
          <w:color w:val="000000" w:themeColor="text1"/>
        </w:rPr>
      </w:pPr>
      <w:r w:rsidRPr="007F77C5">
        <w:rPr>
          <w:rFonts w:cs="Times New Roman"/>
          <w:color w:val="000000" w:themeColor="text1"/>
        </w:rPr>
        <w:t xml:space="preserve">Several analytical chemistry techniques, procedures, and instruments have been developed to identify and quantify important aroma active compounds; those important to sensory perception </w:t>
      </w:r>
      <w:r w:rsidRPr="007F77C5">
        <w:rPr>
          <w:rFonts w:cs="Times New Roman"/>
          <w:color w:val="000000" w:themeColor="text1"/>
        </w:rPr>
        <w:lastRenderedPageBreak/>
        <w:t xml:space="preserve">and food science will be discussed in this section. Gas chromatography (GC) is an analytical lab instrument that can be used to separate, and quality/quantify unique compounds from a sample mixture. This instrument utilizes differences in physical and chemical properties of compounds to separate them from a sample mixture using an inert, pressurized gas and a long separatory column with specific column chemistry and known dimensions. A detector then analyzes these compounds to gain analytical information regarding each compound as it elutes from the column </w:t>
      </w:r>
      <w:r w:rsidRPr="007F77C5">
        <w:rPr>
          <w:rFonts w:cs="Times New Roman"/>
          <w:noProof/>
          <w:color w:val="000000" w:themeColor="text1"/>
        </w:rPr>
        <w:t>(</w:t>
      </w:r>
      <w:r w:rsidRPr="007F77C5">
        <w:rPr>
          <w:rFonts w:cs="Times New Roman"/>
        </w:rPr>
        <w:t>Alam, 2012</w:t>
      </w:r>
      <w:r w:rsidRPr="007F77C5">
        <w:rPr>
          <w:rFonts w:cs="Times New Roman"/>
          <w:noProof/>
          <w:color w:val="000000" w:themeColor="text1"/>
        </w:rPr>
        <w:t>)</w:t>
      </w:r>
      <w:r w:rsidRPr="007F77C5">
        <w:rPr>
          <w:rFonts w:cs="Times New Roman"/>
          <w:color w:val="000000" w:themeColor="text1"/>
        </w:rPr>
        <w:t xml:space="preserve">. Two common types of detection methods for gas chromatography include mass spectroscopy (MS), a measure of mass to charge ratio of ions in order to determine identity, and flame ionization detection (FID), a flame ionizes the flammable column effluent and measures the change in voltage, in units of ions per unit time, across the flame, to determine the sample concentration </w:t>
      </w:r>
      <w:r w:rsidRPr="007F77C5">
        <w:rPr>
          <w:rFonts w:cs="Times New Roman"/>
          <w:noProof/>
          <w:color w:val="000000" w:themeColor="text1"/>
        </w:rPr>
        <w:t>(</w:t>
      </w:r>
      <w:r w:rsidRPr="007F77C5">
        <w:rPr>
          <w:rFonts w:cs="Times New Roman"/>
        </w:rPr>
        <w:t>Alam, 2012</w:t>
      </w:r>
      <w:r w:rsidRPr="007F77C5">
        <w:rPr>
          <w:rFonts w:cs="Times New Roman"/>
          <w:noProof/>
          <w:color w:val="000000" w:themeColor="text1"/>
        </w:rPr>
        <w:t>)</w:t>
      </w:r>
      <w:r w:rsidRPr="007F77C5">
        <w:rPr>
          <w:rFonts w:cs="Times New Roman"/>
          <w:color w:val="000000" w:themeColor="text1"/>
        </w:rPr>
        <w:t xml:space="preserve">. </w:t>
      </w:r>
    </w:p>
    <w:p w14:paraId="54F6D469" w14:textId="77777777" w:rsidR="00126D8D" w:rsidRPr="007F77C5" w:rsidRDefault="00126D8D" w:rsidP="00224B41">
      <w:pPr>
        <w:ind w:firstLine="720"/>
        <w:jc w:val="both"/>
        <w:rPr>
          <w:rFonts w:cs="Times New Roman"/>
          <w:color w:val="000000" w:themeColor="text1"/>
        </w:rPr>
      </w:pPr>
      <w:r w:rsidRPr="007F77C5">
        <w:rPr>
          <w:rFonts w:cs="Times New Roman"/>
          <w:color w:val="000000" w:themeColor="text1"/>
        </w:rPr>
        <w:t xml:space="preserve">Static headspace sampling is a volatile technique commonly used with GC-MS. This technique is performed by placing a sample in a glass tube, applying standardized heat/vibration in some cases, and sampling the equalized headspace over the sample (commonly using helium or another inert gas for MS). Dynamic headspace sampling is similar, but the headspace is purged with a sizeable known volume of gas and removes a higher concentration of volatiles from the sample (compounds volatilize into the headspace in an attempt to reach equilibrium as the gas purges the headspace causing disequilibrium, and volatile compounds are directed from the headspace sampler to the GC injection port) </w:t>
      </w:r>
      <w:r w:rsidRPr="007F77C5">
        <w:rPr>
          <w:rFonts w:cs="Times New Roman"/>
          <w:noProof/>
          <w:color w:val="000000" w:themeColor="text1"/>
        </w:rPr>
        <w:t>(</w:t>
      </w:r>
      <w:r w:rsidRPr="007F77C5">
        <w:rPr>
          <w:rFonts w:cs="Times New Roman"/>
        </w:rPr>
        <w:t>Alam, 2012</w:t>
      </w:r>
      <w:r w:rsidRPr="007F77C5">
        <w:rPr>
          <w:rFonts w:cs="Times New Roman"/>
          <w:noProof/>
          <w:color w:val="000000" w:themeColor="text1"/>
        </w:rPr>
        <w:t>)</w:t>
      </w:r>
      <w:r w:rsidRPr="007F77C5">
        <w:rPr>
          <w:rFonts w:cs="Times New Roman"/>
          <w:color w:val="000000" w:themeColor="text1"/>
        </w:rPr>
        <w:t xml:space="preserve">. </w:t>
      </w:r>
    </w:p>
    <w:p w14:paraId="1C3F903F" w14:textId="77777777" w:rsidR="00126D8D" w:rsidRPr="007F77C5" w:rsidRDefault="00126D8D" w:rsidP="00224B41">
      <w:pPr>
        <w:ind w:firstLine="720"/>
        <w:jc w:val="both"/>
        <w:rPr>
          <w:rFonts w:cs="Times New Roman"/>
          <w:color w:val="000000" w:themeColor="text1"/>
        </w:rPr>
      </w:pPr>
      <w:r w:rsidRPr="007F77C5">
        <w:rPr>
          <w:rFonts w:cs="Times New Roman"/>
          <w:color w:val="000000" w:themeColor="text1"/>
        </w:rPr>
        <w:t xml:space="preserve">Headspace sampling has a wide range of uses and can be paired with many detector types depending on the analysis goals. Headspace is excellent for biological or “dirty” samples that contain many undesirable compounds. It works well for a wide range of sample types, especially samples that cannot be easily extracted or have stability concerns. Headspace analysis requires </w:t>
      </w:r>
      <w:r w:rsidRPr="007F77C5">
        <w:rPr>
          <w:rFonts w:cs="Times New Roman"/>
          <w:color w:val="000000" w:themeColor="text1"/>
        </w:rPr>
        <w:lastRenderedPageBreak/>
        <w:t xml:space="preserve">very little sample prep (compared to labor-intensive extractions), which provides the opportunity for high throughput and sample volume. Headspace shows a wide range of volatile compounds and metabolites. This is particularly useful for metabolomics and biochemistry research to determine the manipulation of pathways or resource allocation in response to environmental stimuli. In addition, some separation/extraction methods have shown bias and have varying extraction efficiencies toward certain compounds, which could cause issues with the analysis </w:t>
      </w:r>
      <w:r w:rsidRPr="007F77C5">
        <w:rPr>
          <w:rFonts w:cs="Times New Roman"/>
          <w:noProof/>
          <w:color w:val="000000" w:themeColor="text1"/>
        </w:rPr>
        <w:t>(</w:t>
      </w:r>
      <w:r w:rsidRPr="007F77C5">
        <w:rPr>
          <w:rFonts w:cs="Times New Roman"/>
        </w:rPr>
        <w:t>Alam, 2012</w:t>
      </w:r>
      <w:r w:rsidRPr="007F77C5">
        <w:rPr>
          <w:rFonts w:cs="Times New Roman"/>
          <w:noProof/>
          <w:color w:val="000000" w:themeColor="text1"/>
        </w:rPr>
        <w:t xml:space="preserve">; </w:t>
      </w:r>
      <w:r w:rsidRPr="007F77C5">
        <w:rPr>
          <w:rFonts w:cs="Times New Roman"/>
        </w:rPr>
        <w:t>Loughrin and Kasperbauer, 2003</w:t>
      </w:r>
      <w:r w:rsidRPr="007F77C5">
        <w:rPr>
          <w:rFonts w:cs="Times New Roman"/>
          <w:noProof/>
          <w:color w:val="000000" w:themeColor="text1"/>
        </w:rPr>
        <w:t xml:space="preserve">; </w:t>
      </w:r>
      <w:r w:rsidRPr="007F77C5">
        <w:rPr>
          <w:rFonts w:cs="Times New Roman"/>
        </w:rPr>
        <w:t>Ochiai et al., 2014</w:t>
      </w:r>
      <w:r w:rsidRPr="007F77C5">
        <w:rPr>
          <w:rFonts w:cs="Times New Roman"/>
          <w:noProof/>
          <w:color w:val="000000" w:themeColor="text1"/>
        </w:rPr>
        <w:t>)</w:t>
      </w:r>
      <w:r w:rsidRPr="007F77C5">
        <w:rPr>
          <w:rFonts w:cs="Times New Roman"/>
          <w:color w:val="000000" w:themeColor="text1"/>
        </w:rPr>
        <w:t>.</w:t>
      </w:r>
    </w:p>
    <w:p w14:paraId="4D8D7B08" w14:textId="77777777" w:rsidR="00126D8D" w:rsidRPr="007F77C5" w:rsidRDefault="00126D8D" w:rsidP="00224B41">
      <w:pPr>
        <w:ind w:firstLine="720"/>
        <w:jc w:val="both"/>
        <w:rPr>
          <w:rFonts w:cs="Times New Roman"/>
          <w:color w:val="000000" w:themeColor="text1"/>
        </w:rPr>
      </w:pPr>
      <w:r w:rsidRPr="007F77C5">
        <w:rPr>
          <w:rFonts w:cs="Times New Roman"/>
          <w:color w:val="000000" w:themeColor="text1"/>
        </w:rPr>
        <w:t xml:space="preserve">One of the critical drawbacks is that headspace sampling may not pick up all aroma active odorants in a particular matrix. For this reason, various techniques should be employed before analyzing compounds because of their physical/chemical properties. Most volatiles are unstable and will transform/degrade when exposed to high temperatures. This includes when headspace samples enter the GC inlet. Some volatile compounds are not stable, even at room temperature. Stabilization of key volatiles with other extraction methods has the potential for more reproducible results in this respect </w:t>
      </w:r>
      <w:r w:rsidRPr="007F77C5">
        <w:rPr>
          <w:rFonts w:cs="Times New Roman"/>
          <w:noProof/>
          <w:color w:val="000000" w:themeColor="text1"/>
        </w:rPr>
        <w:t>(</w:t>
      </w:r>
      <w:r w:rsidRPr="007F77C5">
        <w:rPr>
          <w:rFonts w:cs="Times New Roman"/>
        </w:rPr>
        <w:t>Alam, 2012</w:t>
      </w:r>
      <w:r w:rsidRPr="007F77C5">
        <w:rPr>
          <w:rFonts w:cs="Times New Roman"/>
          <w:noProof/>
          <w:color w:val="000000" w:themeColor="text1"/>
        </w:rPr>
        <w:t xml:space="preserve">; </w:t>
      </w:r>
      <w:r w:rsidRPr="007F77C5">
        <w:rPr>
          <w:rFonts w:cs="Times New Roman"/>
        </w:rPr>
        <w:t>Loughrin and Kasperbauer, 2003</w:t>
      </w:r>
      <w:r w:rsidRPr="007F77C5">
        <w:rPr>
          <w:rFonts w:cs="Times New Roman"/>
          <w:noProof/>
          <w:color w:val="000000" w:themeColor="text1"/>
        </w:rPr>
        <w:t xml:space="preserve">; </w:t>
      </w:r>
      <w:r w:rsidRPr="007F77C5">
        <w:rPr>
          <w:rFonts w:cs="Times New Roman"/>
        </w:rPr>
        <w:t>Ochiai et al., 2014</w:t>
      </w:r>
      <w:r w:rsidRPr="007F77C5">
        <w:rPr>
          <w:rFonts w:cs="Times New Roman"/>
          <w:noProof/>
          <w:color w:val="000000" w:themeColor="text1"/>
        </w:rPr>
        <w:t xml:space="preserve">; </w:t>
      </w:r>
      <w:r w:rsidRPr="007F77C5">
        <w:rPr>
          <w:rFonts w:cs="Times New Roman"/>
        </w:rPr>
        <w:t>Pourmortazavi and Hajimirsadeghi, 2007</w:t>
      </w:r>
      <w:r w:rsidRPr="007F77C5">
        <w:rPr>
          <w:rFonts w:cs="Times New Roman"/>
          <w:noProof/>
          <w:color w:val="000000" w:themeColor="text1"/>
        </w:rPr>
        <w:t>)</w:t>
      </w:r>
      <w:r w:rsidRPr="007F77C5">
        <w:rPr>
          <w:rFonts w:cs="Times New Roman"/>
          <w:color w:val="000000" w:themeColor="text1"/>
        </w:rPr>
        <w:t xml:space="preserve">. </w:t>
      </w:r>
    </w:p>
    <w:p w14:paraId="47B5B9F2" w14:textId="77777777" w:rsidR="00126D8D" w:rsidRPr="007F77C5" w:rsidRDefault="00126D8D" w:rsidP="00224B41">
      <w:pPr>
        <w:ind w:firstLine="720"/>
        <w:jc w:val="both"/>
        <w:rPr>
          <w:rFonts w:cs="Times New Roman"/>
          <w:color w:val="000000" w:themeColor="text1"/>
        </w:rPr>
      </w:pPr>
      <w:r w:rsidRPr="007F77C5">
        <w:rPr>
          <w:rFonts w:cs="Times New Roman"/>
          <w:color w:val="000000" w:themeColor="text1"/>
        </w:rPr>
        <w:t xml:space="preserve">Headspace sampling is also not indicative of sensory perception unless paired with olfactometry or other sensory evaluation procedures. To get the most accurate understanding of aroma (and flavor), it is best to use multiple analytical and sensory techniques. Compounds with lower volatility will not be released at the same rate as high-volatility compounds, which may cause bias </w:t>
      </w:r>
      <w:r w:rsidRPr="007F77C5">
        <w:rPr>
          <w:rFonts w:cs="Times New Roman"/>
          <w:noProof/>
          <w:color w:val="000000" w:themeColor="text1"/>
        </w:rPr>
        <w:t>(</w:t>
      </w:r>
      <w:r w:rsidRPr="007F77C5">
        <w:rPr>
          <w:rFonts w:cs="Times New Roman"/>
        </w:rPr>
        <w:t>Lawless, 2010</w:t>
      </w:r>
      <w:r w:rsidRPr="007F77C5">
        <w:rPr>
          <w:rFonts w:cs="Times New Roman"/>
          <w:noProof/>
          <w:color w:val="000000" w:themeColor="text1"/>
        </w:rPr>
        <w:t xml:space="preserve">; </w:t>
      </w:r>
      <w:r w:rsidRPr="007F77C5">
        <w:rPr>
          <w:rFonts w:cs="Times New Roman"/>
        </w:rPr>
        <w:t>Meligaard et al., 2007</w:t>
      </w:r>
      <w:r w:rsidRPr="007F77C5">
        <w:rPr>
          <w:rFonts w:cs="Times New Roman"/>
          <w:noProof/>
          <w:color w:val="000000" w:themeColor="text1"/>
        </w:rPr>
        <w:t>)</w:t>
      </w:r>
      <w:r w:rsidRPr="007F77C5">
        <w:rPr>
          <w:rFonts w:cs="Times New Roman"/>
          <w:color w:val="000000" w:themeColor="text1"/>
        </w:rPr>
        <w:t xml:space="preserve">. If headspace is saturated over a sample, some other volatiles with lower vapor pressures may not have the ability to volatilize. This may cause a bias towards samples with high concentrations and high vapor pressures, even though these compounds may not produce a significant flavor response (one benefit of dynamic headspace over </w:t>
      </w:r>
      <w:r w:rsidRPr="007F77C5">
        <w:rPr>
          <w:rFonts w:cs="Times New Roman"/>
          <w:color w:val="000000" w:themeColor="text1"/>
        </w:rPr>
        <w:lastRenderedPageBreak/>
        <w:t xml:space="preserve">static). Metabolism of plants does not end after harvest, and poor sampling techniques could introduce variation into datasets </w:t>
      </w:r>
      <w:r w:rsidRPr="007F77C5">
        <w:rPr>
          <w:rFonts w:cs="Times New Roman"/>
          <w:noProof/>
          <w:color w:val="000000" w:themeColor="text1"/>
        </w:rPr>
        <w:t>(</w:t>
      </w:r>
      <w:r w:rsidRPr="007F77C5">
        <w:rPr>
          <w:rFonts w:cs="Times New Roman"/>
        </w:rPr>
        <w:t>Buchanan, 2015</w:t>
      </w:r>
      <w:r w:rsidRPr="007F77C5">
        <w:rPr>
          <w:rFonts w:cs="Times New Roman"/>
          <w:noProof/>
          <w:color w:val="000000" w:themeColor="text1"/>
        </w:rPr>
        <w:t>)</w:t>
      </w:r>
      <w:r w:rsidRPr="007F77C5">
        <w:rPr>
          <w:rFonts w:cs="Times New Roman"/>
          <w:color w:val="000000" w:themeColor="text1"/>
        </w:rPr>
        <w:t xml:space="preserve">. Immediate freezing is recommended to halt metabolism for plants and other biological samples, but extreme temperatures or rapid changes in temperatures may cause chemical degradation or alteration to the key compounds in the sample. Unequal treatment of each sample in terms of time in/out freezer, handling samples, etc., can also introduce unwanted variation </w:t>
      </w:r>
      <w:r w:rsidRPr="007F77C5">
        <w:rPr>
          <w:rFonts w:cs="Times New Roman"/>
          <w:noProof/>
          <w:color w:val="000000" w:themeColor="text1"/>
        </w:rPr>
        <w:t>(</w:t>
      </w:r>
      <w:r w:rsidRPr="007F77C5">
        <w:rPr>
          <w:rFonts w:cs="Times New Roman"/>
        </w:rPr>
        <w:t>Lawless, 2010</w:t>
      </w:r>
      <w:r w:rsidRPr="007F77C5">
        <w:rPr>
          <w:rFonts w:cs="Times New Roman"/>
          <w:noProof/>
          <w:color w:val="000000" w:themeColor="text1"/>
        </w:rPr>
        <w:t xml:space="preserve">; </w:t>
      </w:r>
      <w:r w:rsidRPr="007F77C5">
        <w:rPr>
          <w:rFonts w:cs="Times New Roman"/>
        </w:rPr>
        <w:t>Taylor, 1996</w:t>
      </w:r>
      <w:r w:rsidRPr="007F77C5">
        <w:rPr>
          <w:rFonts w:cs="Times New Roman"/>
          <w:noProof/>
          <w:color w:val="000000" w:themeColor="text1"/>
        </w:rPr>
        <w:t>)</w:t>
      </w:r>
      <w:r w:rsidRPr="007F77C5">
        <w:rPr>
          <w:rFonts w:cs="Times New Roman"/>
          <w:color w:val="000000" w:themeColor="text1"/>
        </w:rPr>
        <w:t>.</w:t>
      </w:r>
    </w:p>
    <w:p w14:paraId="21AB632A" w14:textId="77777777" w:rsidR="00126D8D" w:rsidRPr="007F77C5" w:rsidRDefault="00126D8D" w:rsidP="00224B41">
      <w:pPr>
        <w:ind w:firstLine="720"/>
        <w:jc w:val="both"/>
        <w:rPr>
          <w:rFonts w:cs="Times New Roman"/>
          <w:color w:val="000000" w:themeColor="text1"/>
        </w:rPr>
      </w:pPr>
      <w:r w:rsidRPr="007F77C5">
        <w:rPr>
          <w:rFonts w:cs="Times New Roman"/>
          <w:color w:val="000000" w:themeColor="text1"/>
        </w:rPr>
        <w:t xml:space="preserve">Headspace can be used with either MS/FID but is better employed on MS so that it can be used to detect a wide range of compounds that have not been quantified with standards (i.e., exploratory research as compared to quantification study). MS can also be used with internal and/or external standards for quantification. FIDs are highly sensitive, and compounds typically must be quantified with external standards to determine the retention times of targeted compounds as well as the relationship among compounds </w:t>
      </w:r>
      <w:r w:rsidRPr="007F77C5">
        <w:rPr>
          <w:rFonts w:cs="Times New Roman"/>
          <w:noProof/>
          <w:color w:val="000000" w:themeColor="text1"/>
        </w:rPr>
        <w:t>(</w:t>
      </w:r>
      <w:r w:rsidRPr="007F77C5">
        <w:rPr>
          <w:rFonts w:cs="Times New Roman"/>
        </w:rPr>
        <w:t>Alam, 2012</w:t>
      </w:r>
      <w:r w:rsidRPr="007F77C5">
        <w:rPr>
          <w:rFonts w:cs="Times New Roman"/>
          <w:noProof/>
          <w:color w:val="000000" w:themeColor="text1"/>
        </w:rPr>
        <w:t>)</w:t>
      </w:r>
      <w:r w:rsidRPr="007F77C5">
        <w:rPr>
          <w:rFonts w:cs="Times New Roman"/>
          <w:color w:val="000000" w:themeColor="text1"/>
        </w:rPr>
        <w:t xml:space="preserve">. FID would not be ideal for an exploratory study but is great for high throughput and identifying known compounds. Samples with large quantities of unknown volatiles or unextracted biological samples (dirty) will not produce high-quality results using FID; therefore, extractions/separations are commonly employed. Extraction techniques can be used with headspace and are ideal for investigating a few specific compounds. Optimizing an extraction technique/column chemistry to obtain higher recovery/fewer variable results when analyzing key compounds is commonplace. It is always best to use multiple extraction protocols, instruments, and sampling methods to compare all aroma active compounds </w:t>
      </w:r>
      <w:r w:rsidRPr="007F77C5">
        <w:rPr>
          <w:rFonts w:cs="Times New Roman"/>
          <w:noProof/>
          <w:color w:val="000000" w:themeColor="text1"/>
        </w:rPr>
        <w:t>(</w:t>
      </w:r>
      <w:r w:rsidRPr="007F77C5">
        <w:rPr>
          <w:rFonts w:cs="Times New Roman"/>
        </w:rPr>
        <w:t>Alam, 2012</w:t>
      </w:r>
      <w:r w:rsidRPr="007F77C5">
        <w:rPr>
          <w:rFonts w:cs="Times New Roman"/>
          <w:noProof/>
          <w:color w:val="000000" w:themeColor="text1"/>
        </w:rPr>
        <w:t xml:space="preserve">; </w:t>
      </w:r>
      <w:r w:rsidRPr="007F77C5">
        <w:rPr>
          <w:rFonts w:cs="Times New Roman"/>
        </w:rPr>
        <w:t>Bayramoglu et al., 2008</w:t>
      </w:r>
      <w:r w:rsidRPr="007F77C5">
        <w:rPr>
          <w:rFonts w:cs="Times New Roman"/>
          <w:noProof/>
          <w:color w:val="000000" w:themeColor="text1"/>
        </w:rPr>
        <w:t xml:space="preserve">; </w:t>
      </w:r>
      <w:r w:rsidRPr="007F77C5">
        <w:rPr>
          <w:rFonts w:cs="Times New Roman"/>
        </w:rPr>
        <w:t>Selli et al., 2014</w:t>
      </w:r>
      <w:r w:rsidRPr="007F77C5">
        <w:rPr>
          <w:rFonts w:cs="Times New Roman"/>
          <w:noProof/>
          <w:color w:val="000000" w:themeColor="text1"/>
        </w:rPr>
        <w:t xml:space="preserve">; </w:t>
      </w:r>
      <w:r w:rsidRPr="007F77C5">
        <w:rPr>
          <w:rFonts w:cs="Times New Roman"/>
        </w:rPr>
        <w:t>Taylor, 1996</w:t>
      </w:r>
      <w:r w:rsidRPr="007F77C5">
        <w:rPr>
          <w:rFonts w:cs="Times New Roman"/>
          <w:noProof/>
          <w:color w:val="000000" w:themeColor="text1"/>
        </w:rPr>
        <w:t>)</w:t>
      </w:r>
      <w:r w:rsidRPr="007F77C5">
        <w:rPr>
          <w:rFonts w:cs="Times New Roman"/>
          <w:color w:val="000000" w:themeColor="text1"/>
        </w:rPr>
        <w:t>.</w:t>
      </w:r>
    </w:p>
    <w:p w14:paraId="47080B76" w14:textId="77777777" w:rsidR="00126D8D" w:rsidRPr="007F77C5" w:rsidRDefault="00126D8D" w:rsidP="00224B41">
      <w:pPr>
        <w:ind w:firstLine="720"/>
        <w:jc w:val="both"/>
        <w:rPr>
          <w:rFonts w:cs="Times New Roman"/>
          <w:color w:val="000000" w:themeColor="text1"/>
        </w:rPr>
      </w:pPr>
      <w:r w:rsidRPr="007F77C5">
        <w:rPr>
          <w:rFonts w:cs="Times New Roman"/>
          <w:color w:val="000000" w:themeColor="text1"/>
        </w:rPr>
        <w:t xml:space="preserve">Solid phase microextraction (SPME) is a headspace technique that uses a thin fiber with special coatings to absorb volatiles over a sample’s enclosed headspace. This fiber is then placed directly into the GC for analysis. This technique is highly sensitive when compared to static </w:t>
      </w:r>
      <w:r w:rsidRPr="007F77C5">
        <w:rPr>
          <w:rFonts w:cs="Times New Roman"/>
          <w:color w:val="000000" w:themeColor="text1"/>
        </w:rPr>
        <w:lastRenderedPageBreak/>
        <w:t xml:space="preserve">headspace and much less laborious than dynamic headspace. Compared to other protocols, this SPME is of relatively low cost. It is straightforward to automate the extraction and insertion process. It eliminates the need for solvent extraction, further reducing cost and consumables. This technique has a relatively short processing time. It has the ability for quick turnaround and high throughput. It can be used with solvent extractions or with non-extracted biological samples; cleaning up biological samples using SPME fibers will increase the longevity of the column/consumables as compared to standard headspace sampling of biological samples </w:t>
      </w:r>
      <w:r w:rsidRPr="007F77C5">
        <w:rPr>
          <w:rFonts w:cs="Times New Roman"/>
          <w:noProof/>
          <w:color w:val="000000" w:themeColor="text1"/>
        </w:rPr>
        <w:t>(</w:t>
      </w:r>
      <w:r w:rsidRPr="007F77C5">
        <w:rPr>
          <w:rFonts w:cs="Times New Roman"/>
        </w:rPr>
        <w:t>Cheong et al., 2010</w:t>
      </w:r>
      <w:r w:rsidRPr="007F77C5">
        <w:rPr>
          <w:rFonts w:cs="Times New Roman"/>
          <w:noProof/>
          <w:color w:val="000000" w:themeColor="text1"/>
        </w:rPr>
        <w:t xml:space="preserve">; </w:t>
      </w:r>
      <w:r w:rsidRPr="007F77C5">
        <w:rPr>
          <w:rFonts w:cs="Times New Roman"/>
        </w:rPr>
        <w:t>Martendal et al., 2011</w:t>
      </w:r>
      <w:r w:rsidRPr="007F77C5">
        <w:rPr>
          <w:rFonts w:cs="Times New Roman"/>
          <w:noProof/>
          <w:color w:val="000000" w:themeColor="text1"/>
        </w:rPr>
        <w:t>)</w:t>
      </w:r>
      <w:r w:rsidRPr="007F77C5">
        <w:rPr>
          <w:rFonts w:cs="Times New Roman"/>
          <w:color w:val="000000" w:themeColor="text1"/>
        </w:rPr>
        <w:t>.</w:t>
      </w:r>
    </w:p>
    <w:p w14:paraId="1AAC9978" w14:textId="77777777" w:rsidR="00126D8D" w:rsidRPr="007F77C5" w:rsidRDefault="00126D8D" w:rsidP="00224B41">
      <w:pPr>
        <w:ind w:firstLine="720"/>
        <w:jc w:val="both"/>
        <w:rPr>
          <w:rFonts w:cs="Times New Roman"/>
          <w:color w:val="000000" w:themeColor="text1"/>
        </w:rPr>
      </w:pPr>
      <w:r w:rsidRPr="007F77C5">
        <w:rPr>
          <w:rFonts w:cs="Times New Roman"/>
          <w:color w:val="000000" w:themeColor="text1"/>
        </w:rPr>
        <w:t xml:space="preserve">One drawback is that it is easy to over-saturate the fiber, which will skew results. Once the fiber is saturated, no other volatiles can be absorbed, which introduces sampling time as a factor (i.e., absorbance rates). Not all volatiles will bond to the sorbent at the same rate, and bias will lean towards compounds with high absorbance potential to the fiber coating (based on the chemistry of fiber coating and each compound). Compounds with higher volatility (i.e., more interactions per second with the SPME bonding sites) will also have a slight bias towards higher sorption rates. This method also requires an extra step between headspace absorption and release to the GC column and will tend to favor certain compounds. This has the potential to either clean up a sample and/or eliminate important components. It can be ideal for flavor volatiles, but compounds with lower volatility will not be suitable with this method (i.e., lipid oxidation, etc.). Similar to headspace, compounds with less vapor pressures may be inhibited from transforming to the gaseous phase (either by temperature or complete saturation of headspace) </w:t>
      </w:r>
      <w:r w:rsidRPr="007F77C5">
        <w:rPr>
          <w:rFonts w:cs="Times New Roman"/>
          <w:noProof/>
          <w:color w:val="000000" w:themeColor="text1"/>
        </w:rPr>
        <w:t>(</w:t>
      </w:r>
      <w:r w:rsidRPr="007F77C5">
        <w:rPr>
          <w:rFonts w:cs="Times New Roman"/>
        </w:rPr>
        <w:t>Alam, 2012</w:t>
      </w:r>
      <w:r w:rsidRPr="007F77C5">
        <w:rPr>
          <w:rFonts w:cs="Times New Roman"/>
          <w:noProof/>
          <w:color w:val="000000" w:themeColor="text1"/>
        </w:rPr>
        <w:t xml:space="preserve">; </w:t>
      </w:r>
      <w:r w:rsidRPr="007F77C5">
        <w:rPr>
          <w:rFonts w:cs="Times New Roman"/>
        </w:rPr>
        <w:t>Junior et al., 2011</w:t>
      </w:r>
      <w:r w:rsidRPr="007F77C5">
        <w:rPr>
          <w:rFonts w:cs="Times New Roman"/>
          <w:noProof/>
          <w:color w:val="000000" w:themeColor="text1"/>
        </w:rPr>
        <w:t xml:space="preserve">; </w:t>
      </w:r>
      <w:r w:rsidRPr="007F77C5">
        <w:rPr>
          <w:rFonts w:cs="Times New Roman"/>
        </w:rPr>
        <w:t>Pourmortazavi and Hajimirsadeghi, 2007</w:t>
      </w:r>
      <w:r w:rsidRPr="007F77C5">
        <w:rPr>
          <w:rFonts w:cs="Times New Roman"/>
          <w:noProof/>
          <w:color w:val="000000" w:themeColor="text1"/>
        </w:rPr>
        <w:t>)</w:t>
      </w:r>
      <w:r w:rsidRPr="007F77C5">
        <w:rPr>
          <w:rFonts w:cs="Times New Roman"/>
          <w:color w:val="000000" w:themeColor="text1"/>
        </w:rPr>
        <w:t>.</w:t>
      </w:r>
    </w:p>
    <w:p w14:paraId="6A883DC6" w14:textId="77777777" w:rsidR="00126D8D" w:rsidRPr="007F77C5" w:rsidRDefault="00126D8D" w:rsidP="00224B41">
      <w:pPr>
        <w:ind w:firstLine="720"/>
        <w:jc w:val="both"/>
        <w:rPr>
          <w:rFonts w:cs="Times New Roman"/>
          <w:color w:val="000000" w:themeColor="text1"/>
        </w:rPr>
      </w:pPr>
      <w:r w:rsidRPr="007F77C5">
        <w:rPr>
          <w:rFonts w:cs="Times New Roman"/>
          <w:color w:val="000000" w:themeColor="text1"/>
        </w:rPr>
        <w:t xml:space="preserve">Solvent-assisted flavor evaporation (SAFE) is a direct distillation technique used to efficiently extract and isolate aroma volatiles from a wide variety of complex mixtures. This </w:t>
      </w:r>
      <w:r w:rsidRPr="007F77C5">
        <w:rPr>
          <w:rFonts w:cs="Times New Roman"/>
          <w:color w:val="000000" w:themeColor="text1"/>
        </w:rPr>
        <w:lastRenderedPageBreak/>
        <w:t xml:space="preserve">method is used for sensory analysis to obtain high-quality volatile extracts that are free from non-volatile compounds, in addition to the interactions they can cause in chromatographic separation. Removal of non-volatile compounds is necessary for the accurate identification and quantification of key food odorants; non-volatile compounds have the potential to cause odorant discrimination </w:t>
      </w:r>
      <w:r w:rsidRPr="007F77C5">
        <w:rPr>
          <w:rFonts w:cs="Times New Roman"/>
          <w:noProof/>
          <w:color w:val="000000" w:themeColor="text1"/>
        </w:rPr>
        <w:t>(</w:t>
      </w:r>
      <w:r w:rsidRPr="007F77C5">
        <w:rPr>
          <w:rFonts w:cs="Times New Roman"/>
        </w:rPr>
        <w:t>Engel, 1999</w:t>
      </w:r>
      <w:r w:rsidRPr="007F77C5">
        <w:rPr>
          <w:rFonts w:cs="Times New Roman"/>
          <w:noProof/>
          <w:color w:val="000000" w:themeColor="text1"/>
        </w:rPr>
        <w:t>)</w:t>
      </w:r>
      <w:r w:rsidRPr="007F77C5">
        <w:rPr>
          <w:rFonts w:cs="Times New Roman"/>
          <w:color w:val="000000" w:themeColor="text1"/>
        </w:rPr>
        <w:t xml:space="preserve">. </w:t>
      </w:r>
    </w:p>
    <w:p w14:paraId="07B6C314" w14:textId="77777777" w:rsidR="00126D8D" w:rsidRPr="007F77C5" w:rsidRDefault="00126D8D" w:rsidP="00224B41">
      <w:pPr>
        <w:ind w:firstLine="720"/>
        <w:jc w:val="both"/>
        <w:rPr>
          <w:rFonts w:cs="Times New Roman"/>
          <w:color w:val="000000" w:themeColor="text1"/>
        </w:rPr>
      </w:pPr>
      <w:r w:rsidRPr="007F77C5">
        <w:rPr>
          <w:rFonts w:cs="Times New Roman"/>
          <w:color w:val="000000" w:themeColor="text1"/>
        </w:rPr>
        <w:t xml:space="preserve">Many prior distillation and separation methods did not perform efficiently (i.e., too much non-volatile matrix and not enough volatile compounds), and/or key compounds were degraded/chemically altered during the distillation process. SAFE has been shown to effectively separate many different types of food/aqueous matrices to obtain high-quality aqueous distillates that can be used for sensory analysis/odorant studies. To utilize this method effectively, a detailed knowledge of the chemical and physical properties of all compounds and solvents involved is required. SAFE uses temperature differences, pressure, and solvents (takes advantage of chemical/physical properties between volatile and non-volatile compounds) to obtain a high-quality extraction, solving many of the issues that were caused by previous distillation and solvent extraction methods. The temperature, pressure, and solvent chemistry parameters can be manipulated to improve extraction efficiency </w:t>
      </w:r>
      <w:r w:rsidRPr="007F77C5">
        <w:rPr>
          <w:rFonts w:cs="Times New Roman"/>
          <w:noProof/>
          <w:color w:val="000000" w:themeColor="text1"/>
        </w:rPr>
        <w:t>(</w:t>
      </w:r>
      <w:r w:rsidRPr="007F77C5">
        <w:rPr>
          <w:rFonts w:cs="Times New Roman"/>
        </w:rPr>
        <w:t>Engel, 1999</w:t>
      </w:r>
      <w:r w:rsidRPr="007F77C5">
        <w:rPr>
          <w:rFonts w:cs="Times New Roman"/>
          <w:noProof/>
          <w:color w:val="000000" w:themeColor="text1"/>
        </w:rPr>
        <w:t>)</w:t>
      </w:r>
      <w:r w:rsidRPr="007F77C5">
        <w:rPr>
          <w:rFonts w:cs="Times New Roman"/>
          <w:color w:val="000000" w:themeColor="text1"/>
        </w:rPr>
        <w:t xml:space="preserve">. </w:t>
      </w:r>
    </w:p>
    <w:p w14:paraId="09668A32" w14:textId="77777777" w:rsidR="00126D8D" w:rsidRPr="007F77C5" w:rsidRDefault="00126D8D" w:rsidP="00224B41">
      <w:pPr>
        <w:ind w:firstLine="720"/>
        <w:jc w:val="both"/>
        <w:rPr>
          <w:rFonts w:cs="Times New Roman"/>
          <w:color w:val="000000" w:themeColor="text1"/>
        </w:rPr>
      </w:pPr>
      <w:r w:rsidRPr="007F77C5">
        <w:rPr>
          <w:rFonts w:cs="Times New Roman"/>
          <w:color w:val="000000" w:themeColor="text1"/>
        </w:rPr>
        <w:t xml:space="preserve">SAFE is considered the gold standard method for flavor extractions used in determining food odorants and other types of sensory studies. That being said, this method has a few drawbacks. If other compounds are removed from a food sample, it could also eliminate the potential positive and negative effects of those chemicals interacting with each other. While it has exceptional efficiency at isolating flavor volatiles, such as aromatic compounds, ethers, and esters, it has less efficiency extracting compounds like ketones, acids, pyrazines, etc., that may contribute to flavor (in which SPME does much better). As mentioned previously, combining extraction/analysis </w:t>
      </w:r>
      <w:r w:rsidRPr="007F77C5">
        <w:rPr>
          <w:rFonts w:cs="Times New Roman"/>
          <w:color w:val="000000" w:themeColor="text1"/>
        </w:rPr>
        <w:lastRenderedPageBreak/>
        <w:t xml:space="preserve">methods allows for a better understanding of flavor chemistry and which compounds are the most important in sensory perception </w:t>
      </w:r>
      <w:r w:rsidRPr="007F77C5">
        <w:rPr>
          <w:rFonts w:cs="Times New Roman"/>
          <w:noProof/>
          <w:color w:val="000000" w:themeColor="text1"/>
        </w:rPr>
        <w:t>(</w:t>
      </w:r>
      <w:r w:rsidRPr="007F77C5">
        <w:rPr>
          <w:rFonts w:cs="Times New Roman"/>
        </w:rPr>
        <w:t>Engel, 1999</w:t>
      </w:r>
      <w:r w:rsidRPr="007F77C5">
        <w:rPr>
          <w:rFonts w:cs="Times New Roman"/>
          <w:noProof/>
          <w:color w:val="000000" w:themeColor="text1"/>
        </w:rPr>
        <w:t xml:space="preserve">; </w:t>
      </w:r>
      <w:r w:rsidRPr="007F77C5">
        <w:rPr>
          <w:rFonts w:cs="Times New Roman"/>
        </w:rPr>
        <w:t>Lucchesi et al., 2004</w:t>
      </w:r>
      <w:r w:rsidRPr="007F77C5">
        <w:rPr>
          <w:rFonts w:cs="Times New Roman"/>
          <w:noProof/>
          <w:color w:val="000000" w:themeColor="text1"/>
        </w:rPr>
        <w:t xml:space="preserve">; </w:t>
      </w:r>
      <w:r w:rsidRPr="007F77C5">
        <w:rPr>
          <w:rFonts w:cs="Times New Roman"/>
        </w:rPr>
        <w:t>Murray et al., 2020</w:t>
      </w:r>
      <w:r w:rsidRPr="007F77C5">
        <w:rPr>
          <w:rFonts w:cs="Times New Roman"/>
          <w:noProof/>
          <w:color w:val="000000" w:themeColor="text1"/>
        </w:rPr>
        <w:t xml:space="preserve">; </w:t>
      </w:r>
      <w:r w:rsidRPr="007F77C5">
        <w:rPr>
          <w:rFonts w:cs="Times New Roman"/>
        </w:rPr>
        <w:t>Pourmortazavi and Hajimirsadeghi, 2007</w:t>
      </w:r>
      <w:r w:rsidRPr="007F77C5">
        <w:rPr>
          <w:rFonts w:cs="Times New Roman"/>
          <w:noProof/>
          <w:color w:val="000000" w:themeColor="text1"/>
        </w:rPr>
        <w:t xml:space="preserve">; </w:t>
      </w:r>
      <w:r w:rsidRPr="007F77C5">
        <w:rPr>
          <w:rFonts w:cs="Times New Roman"/>
        </w:rPr>
        <w:t>Reverchon and De Marco, 2006</w:t>
      </w:r>
      <w:r w:rsidRPr="007F77C5">
        <w:rPr>
          <w:rFonts w:cs="Times New Roman"/>
          <w:noProof/>
          <w:color w:val="000000" w:themeColor="text1"/>
        </w:rPr>
        <w:t>)</w:t>
      </w:r>
      <w:r w:rsidRPr="007F77C5">
        <w:rPr>
          <w:rFonts w:cs="Times New Roman"/>
          <w:color w:val="000000" w:themeColor="text1"/>
        </w:rPr>
        <w:t>.</w:t>
      </w:r>
    </w:p>
    <w:p w14:paraId="3DD04EEB" w14:textId="77777777" w:rsidR="00126D8D" w:rsidRPr="007F77C5" w:rsidRDefault="00126D8D" w:rsidP="00224B41">
      <w:pPr>
        <w:ind w:firstLine="720"/>
        <w:jc w:val="both"/>
        <w:rPr>
          <w:rFonts w:cs="Times New Roman"/>
          <w:color w:val="000000" w:themeColor="text1"/>
        </w:rPr>
      </w:pPr>
      <w:r w:rsidRPr="007F77C5">
        <w:rPr>
          <w:rFonts w:cs="Times New Roman"/>
          <w:color w:val="000000" w:themeColor="text1"/>
        </w:rPr>
        <w:t xml:space="preserve">Aroma extract </w:t>
      </w:r>
      <w:r w:rsidRPr="007F77C5">
        <w:rPr>
          <w:rFonts w:cs="Times New Roman"/>
        </w:rPr>
        <w:t xml:space="preserve">dilution analysis (AEDA) is a technique in which specific volatile extracts are serially diluted and then analyzed by gas chromatography-olfactometry (GC-O) to determine the maximum dilution value for a wide range of volatile odorants. The result is expressed as the flavor dilution (FD) factor, which is the concentration ratio of odorant in the primary extract to the most dilute in which the odorant is detected by GC-O </w:t>
      </w:r>
      <w:r w:rsidRPr="007F77C5">
        <w:rPr>
          <w:rFonts w:cs="Times New Roman"/>
          <w:noProof/>
        </w:rPr>
        <w:t>(</w:t>
      </w:r>
      <w:r w:rsidRPr="007F77C5">
        <w:rPr>
          <w:rFonts w:cs="Times New Roman"/>
        </w:rPr>
        <w:t>Murray et al., 2020</w:t>
      </w:r>
      <w:r w:rsidRPr="007F77C5">
        <w:rPr>
          <w:rFonts w:cs="Times New Roman"/>
          <w:noProof/>
        </w:rPr>
        <w:t>)</w:t>
      </w:r>
      <w:r w:rsidRPr="007F77C5">
        <w:rPr>
          <w:rFonts w:cs="Times New Roman"/>
        </w:rPr>
        <w:t>. In other words, the FD of an odorant corresponds to the maximum dilution in which the odorant can still be detected</w:t>
      </w:r>
      <w:r w:rsidRPr="007F77C5">
        <w:rPr>
          <w:rFonts w:cs="Times New Roman"/>
          <w:color w:val="000000" w:themeColor="text1"/>
        </w:rPr>
        <w:t>. Compounds with higher FD are more potent. The FD is proportional to</w:t>
      </w:r>
      <w:r w:rsidRPr="007F77C5">
        <w:rPr>
          <w:rFonts w:cs="Times New Roman"/>
        </w:rPr>
        <w:t xml:space="preserve"> the o</w:t>
      </w:r>
      <w:r w:rsidRPr="007F77C5">
        <w:rPr>
          <w:rFonts w:cs="Times New Roman"/>
          <w:color w:val="000000" w:themeColor="text1"/>
        </w:rPr>
        <w:t xml:space="preserve">dor activity value (OAV) in air. This analysis technique is primarily used to evaluate the relative potency and importance of odorants for further investigation in aroma analysis experiments. The downside to AEDA is that it does not take into account the unstable nature of volatiles, and there is potential for the degradation of notable odorants or transformation into other odorants that impact the overall profile </w:t>
      </w:r>
      <w:r w:rsidRPr="007F77C5">
        <w:rPr>
          <w:rFonts w:cs="Times New Roman"/>
          <w:noProof/>
          <w:color w:val="000000" w:themeColor="text1"/>
        </w:rPr>
        <w:t>(</w:t>
      </w:r>
      <w:r w:rsidRPr="007F77C5">
        <w:rPr>
          <w:rFonts w:cs="Times New Roman"/>
        </w:rPr>
        <w:t>Lawless, 2010</w:t>
      </w:r>
      <w:r w:rsidRPr="007F77C5">
        <w:rPr>
          <w:rFonts w:cs="Times New Roman"/>
          <w:noProof/>
          <w:color w:val="000000" w:themeColor="text1"/>
        </w:rPr>
        <w:t xml:space="preserve">; </w:t>
      </w:r>
      <w:r w:rsidRPr="007F77C5">
        <w:rPr>
          <w:rFonts w:cs="Times New Roman"/>
        </w:rPr>
        <w:t>Meligaard et al., 2007</w:t>
      </w:r>
      <w:r w:rsidRPr="007F77C5">
        <w:rPr>
          <w:rFonts w:cs="Times New Roman"/>
          <w:noProof/>
          <w:color w:val="000000" w:themeColor="text1"/>
        </w:rPr>
        <w:t xml:space="preserve">; </w:t>
      </w:r>
      <w:r w:rsidRPr="007F77C5">
        <w:rPr>
          <w:rFonts w:cs="Times New Roman"/>
        </w:rPr>
        <w:t>Murray et al., 2020</w:t>
      </w:r>
      <w:r w:rsidRPr="007F77C5">
        <w:rPr>
          <w:rFonts w:cs="Times New Roman"/>
          <w:noProof/>
          <w:color w:val="000000" w:themeColor="text1"/>
        </w:rPr>
        <w:t>)</w:t>
      </w:r>
      <w:r w:rsidRPr="007F77C5">
        <w:rPr>
          <w:rFonts w:cs="Times New Roman"/>
          <w:color w:val="000000" w:themeColor="text1"/>
        </w:rPr>
        <w:t>.</w:t>
      </w:r>
    </w:p>
    <w:p w14:paraId="7B707465" w14:textId="77777777" w:rsidR="00126D8D" w:rsidRPr="007F77C5" w:rsidRDefault="00126D8D" w:rsidP="00224B41">
      <w:pPr>
        <w:ind w:firstLine="720"/>
        <w:jc w:val="both"/>
        <w:rPr>
          <w:rFonts w:cs="Times New Roman"/>
          <w:color w:val="000000" w:themeColor="text1"/>
        </w:rPr>
      </w:pPr>
      <w:r w:rsidRPr="007F77C5">
        <w:rPr>
          <w:rFonts w:cs="Times New Roman"/>
          <w:color w:val="000000" w:themeColor="text1"/>
        </w:rPr>
        <w:t xml:space="preserve">Stable isotope dilution analysis (SIDA) is an internal standard method that uses a stable isotope to quantify odorants of interest in a volatile extract. It can also help determine the recovery efficiency of extraction or distillation methods. Using this method helps improve the accuracy and precision of odorant quantification over conventional methods. Depending on your experimental objectives and procedures, it is possible to get inaccurate results with other calibration methods due to losses during extraction processes, volatile reactivity, and degradation </w:t>
      </w:r>
      <w:r w:rsidRPr="007F77C5">
        <w:rPr>
          <w:rFonts w:cs="Times New Roman"/>
          <w:noProof/>
          <w:color w:val="000000" w:themeColor="text1"/>
        </w:rPr>
        <w:t>(</w:t>
      </w:r>
      <w:r w:rsidRPr="007F77C5">
        <w:rPr>
          <w:rFonts w:cs="Times New Roman"/>
        </w:rPr>
        <w:t>Lawless, 2010</w:t>
      </w:r>
      <w:r w:rsidRPr="007F77C5">
        <w:rPr>
          <w:rFonts w:cs="Times New Roman"/>
          <w:noProof/>
          <w:color w:val="000000" w:themeColor="text1"/>
        </w:rPr>
        <w:t xml:space="preserve">; </w:t>
      </w:r>
      <w:r w:rsidRPr="007F77C5">
        <w:rPr>
          <w:rFonts w:cs="Times New Roman"/>
        </w:rPr>
        <w:t>Meligaard et al., 2007</w:t>
      </w:r>
      <w:r w:rsidRPr="007F77C5">
        <w:rPr>
          <w:rFonts w:cs="Times New Roman"/>
          <w:noProof/>
          <w:color w:val="000000" w:themeColor="text1"/>
        </w:rPr>
        <w:t>)</w:t>
      </w:r>
      <w:r w:rsidRPr="007F77C5">
        <w:rPr>
          <w:rFonts w:cs="Times New Roman"/>
          <w:color w:val="000000" w:themeColor="text1"/>
        </w:rPr>
        <w:t xml:space="preserve">. </w:t>
      </w:r>
    </w:p>
    <w:p w14:paraId="242E3D88" w14:textId="77777777" w:rsidR="00126D8D" w:rsidRPr="007F77C5" w:rsidRDefault="00126D8D" w:rsidP="00224B41">
      <w:pPr>
        <w:ind w:firstLine="720"/>
        <w:jc w:val="both"/>
        <w:rPr>
          <w:rFonts w:cs="Times New Roman"/>
          <w:color w:val="000000" w:themeColor="text1"/>
        </w:rPr>
      </w:pPr>
      <w:r w:rsidRPr="007F77C5">
        <w:rPr>
          <w:rFonts w:cs="Times New Roman"/>
          <w:color w:val="000000" w:themeColor="text1"/>
        </w:rPr>
        <w:lastRenderedPageBreak/>
        <w:t xml:space="preserve">The SIDA method is considered the gold standard for quantifying odorants in the discipline of food science. It is ideal for liquid matrices but can be problematic for solid foods (i.e., solvent extraction/distillation vs. observing raw food matrices). Preparation of aroma models is much more difficult for solid foods, as it is impossible to reproduce the odorant compounds' distribution and chemical composition with stable isotopes throughout biological tissues (in this case, basil leaf tissue). This is not an issue if the odorants are free of interaction and are identical in the headspace (air) above the solid sample. Freshly synthesized stable isotopes for all compounds being analyzed must be on-hand during sample processing, which may be considered labor-intensive and cost-prohibitive depending on the lab conditions. Introducing internal standards to a liquid or solid matrix also has the potential to interfere with the matrix chemistry if the concentrations added are significant. For example, consider a compound found naturally at extremely low concentrations and close to the MS detection lower limit. The fraction of detectable isotope must be 90% of the natural volatile being observed (&lt;5% suggested by literature), or it will not be detected by the MS. Adding a high concentration of isotope relative to the natural volatile will cause interference in the matrix with other compounds being separated during the extraction and MS analysis. Metabolomics and targeted volatile quantification for unprocessed solid biological samples typically use external calibration curves in the discipline of plant science, but using both types of methods can bridge the gap between sensory analysis and plant physiology. Lastly, the SIDA method works very well with MS but will not work with FID detectors because of the inability to differentiate masses (only the rate of change of ions concentration passing the flame). External calibration curves work well for both MS and FID, depending on the application and project objectives. It is advantageous to compare various calibration methods and detector types to get the most accurate results </w:t>
      </w:r>
      <w:r w:rsidRPr="007F77C5">
        <w:rPr>
          <w:rFonts w:cs="Times New Roman"/>
          <w:noProof/>
          <w:color w:val="000000" w:themeColor="text1"/>
        </w:rPr>
        <w:t>(</w:t>
      </w:r>
      <w:r w:rsidRPr="007F77C5">
        <w:rPr>
          <w:rFonts w:cs="Times New Roman"/>
        </w:rPr>
        <w:t>Lawless, 2010</w:t>
      </w:r>
      <w:r w:rsidRPr="007F77C5">
        <w:rPr>
          <w:rFonts w:cs="Times New Roman"/>
          <w:noProof/>
          <w:color w:val="000000" w:themeColor="text1"/>
        </w:rPr>
        <w:t xml:space="preserve">; </w:t>
      </w:r>
      <w:r w:rsidRPr="007F77C5">
        <w:rPr>
          <w:rFonts w:cs="Times New Roman"/>
        </w:rPr>
        <w:t>Murray et al., 2020</w:t>
      </w:r>
      <w:r w:rsidRPr="007F77C5">
        <w:rPr>
          <w:rFonts w:cs="Times New Roman"/>
          <w:noProof/>
          <w:color w:val="000000" w:themeColor="text1"/>
        </w:rPr>
        <w:t xml:space="preserve">; </w:t>
      </w:r>
      <w:r w:rsidRPr="007F77C5">
        <w:rPr>
          <w:rFonts w:cs="Times New Roman"/>
        </w:rPr>
        <w:t>Van Eck et al., 2021</w:t>
      </w:r>
      <w:r w:rsidRPr="007F77C5">
        <w:rPr>
          <w:rFonts w:cs="Times New Roman"/>
          <w:noProof/>
          <w:color w:val="000000" w:themeColor="text1"/>
        </w:rPr>
        <w:t>)</w:t>
      </w:r>
      <w:r w:rsidRPr="007F77C5">
        <w:rPr>
          <w:rFonts w:cs="Times New Roman"/>
          <w:color w:val="000000" w:themeColor="text1"/>
        </w:rPr>
        <w:t>.</w:t>
      </w:r>
    </w:p>
    <w:p w14:paraId="1CFB412E" w14:textId="77777777" w:rsidR="00126D8D" w:rsidRPr="007F77C5" w:rsidRDefault="00126D8D" w:rsidP="00224B41">
      <w:pPr>
        <w:ind w:firstLine="720"/>
        <w:jc w:val="both"/>
        <w:rPr>
          <w:rFonts w:cs="Times New Roman"/>
          <w:color w:val="000000" w:themeColor="text1"/>
        </w:rPr>
      </w:pPr>
      <w:r w:rsidRPr="007F77C5">
        <w:rPr>
          <w:rFonts w:cs="Times New Roman"/>
          <w:color w:val="000000" w:themeColor="text1"/>
        </w:rPr>
        <w:lastRenderedPageBreak/>
        <w:t>Odor activity value (OAV) is a calculation used to determine the relative importance of each odorant’s contribution to the aroma. Odor detection threshold values are calculated for each compound of importance. To determine the OAV, the concentration of a specific substance in a matrix is divided by the odor detection threshold concentration for that specific compound. It is typically assumed that odorants with higher OAVs contribute more strongly to the aroma.</w:t>
      </w:r>
    </w:p>
    <w:p w14:paraId="6E005315" w14:textId="77777777" w:rsidR="00126D8D" w:rsidRPr="007F77C5" w:rsidRDefault="00126D8D" w:rsidP="00224B41">
      <w:pPr>
        <w:ind w:firstLine="720"/>
        <w:jc w:val="both"/>
        <w:rPr>
          <w:rFonts w:cs="Times New Roman"/>
          <w:color w:val="000000" w:themeColor="text1"/>
        </w:rPr>
      </w:pPr>
      <w:r w:rsidRPr="007F77C5">
        <w:rPr>
          <w:rFonts w:cs="Times New Roman"/>
          <w:color w:val="000000" w:themeColor="text1"/>
        </w:rPr>
        <w:t xml:space="preserve">It is essential to confirm the results of aroma analysis to ensure an aroma model is accurate. Therefore, it is necessary to construct synthetic blends of odorants using quantified analytical data and compare them against the original aroma model using a sensory panel. Disagreement indicates that the aroma model is incorrect and should be revised. This process is used for both solid and liquid matrices </w:t>
      </w:r>
      <w:r w:rsidRPr="007F77C5">
        <w:rPr>
          <w:rFonts w:cs="Times New Roman"/>
          <w:noProof/>
          <w:color w:val="000000" w:themeColor="text1"/>
        </w:rPr>
        <w:t>(</w:t>
      </w:r>
      <w:r w:rsidRPr="007F77C5">
        <w:rPr>
          <w:rFonts w:cs="Times New Roman"/>
        </w:rPr>
        <w:t>Grosch, 2001</w:t>
      </w:r>
      <w:r w:rsidRPr="007F77C5">
        <w:rPr>
          <w:rFonts w:cs="Times New Roman"/>
          <w:noProof/>
          <w:color w:val="000000" w:themeColor="text1"/>
        </w:rPr>
        <w:t xml:space="preserve">; </w:t>
      </w:r>
      <w:r w:rsidRPr="007F77C5">
        <w:rPr>
          <w:rFonts w:cs="Times New Roman"/>
        </w:rPr>
        <w:t>Lawless, 2010</w:t>
      </w:r>
      <w:r w:rsidRPr="007F77C5">
        <w:rPr>
          <w:rFonts w:cs="Times New Roman"/>
          <w:noProof/>
          <w:color w:val="000000" w:themeColor="text1"/>
        </w:rPr>
        <w:t xml:space="preserve">; </w:t>
      </w:r>
      <w:r w:rsidRPr="007F77C5">
        <w:rPr>
          <w:rFonts w:cs="Times New Roman"/>
        </w:rPr>
        <w:t>Meligaard et al., 2007</w:t>
      </w:r>
      <w:r w:rsidRPr="007F77C5">
        <w:rPr>
          <w:rFonts w:cs="Times New Roman"/>
          <w:noProof/>
          <w:color w:val="000000" w:themeColor="text1"/>
        </w:rPr>
        <w:t>)</w:t>
      </w:r>
      <w:r w:rsidRPr="007F77C5">
        <w:rPr>
          <w:rFonts w:cs="Times New Roman"/>
          <w:color w:val="000000" w:themeColor="text1"/>
        </w:rPr>
        <w:t xml:space="preserve">.  </w:t>
      </w:r>
    </w:p>
    <w:p w14:paraId="1D803083" w14:textId="77777777" w:rsidR="00126D8D" w:rsidRPr="007F77C5" w:rsidRDefault="00126D8D" w:rsidP="00224B41">
      <w:pPr>
        <w:ind w:firstLine="720"/>
        <w:jc w:val="both"/>
        <w:rPr>
          <w:rFonts w:cs="Times New Roman"/>
          <w:color w:val="000000" w:themeColor="text1"/>
        </w:rPr>
      </w:pPr>
      <w:r w:rsidRPr="007F77C5">
        <w:rPr>
          <w:rFonts w:cs="Times New Roman"/>
          <w:color w:val="000000" w:themeColor="text1"/>
        </w:rPr>
        <w:t xml:space="preserve">Omission studies are conducted to determine which of the more potent odorants significantly contribute to the aroma. Despite having a well-matched aroma model using dilution experiments, it is not possible to understand potential interactions such as inhibition and suppression of significant odorants. In these studies, each component is omitted to determine how it impacts the overall aroma model and whether it induces a significant change. This method helps bridge the gap between physical chemistry and human aroma perception, as the analytical data and OAVs cannot predict how the various odorant compounds will interact with one another to influence human sensory perception. A high OAV and/or high concentration compound does not necessarily indicate a high level of contribution to the overall aroma </w:t>
      </w:r>
      <w:r w:rsidRPr="007F77C5">
        <w:rPr>
          <w:rFonts w:cs="Times New Roman"/>
          <w:noProof/>
          <w:color w:val="000000" w:themeColor="text1"/>
        </w:rPr>
        <w:t>(</w:t>
      </w:r>
      <w:r w:rsidRPr="007F77C5">
        <w:rPr>
          <w:rFonts w:cs="Times New Roman"/>
        </w:rPr>
        <w:t>Grosch, 2001</w:t>
      </w:r>
      <w:r w:rsidRPr="007F77C5">
        <w:rPr>
          <w:rFonts w:cs="Times New Roman"/>
          <w:noProof/>
          <w:color w:val="000000" w:themeColor="text1"/>
        </w:rPr>
        <w:t>)</w:t>
      </w:r>
      <w:r w:rsidRPr="007F77C5">
        <w:rPr>
          <w:rFonts w:cs="Times New Roman"/>
          <w:color w:val="000000" w:themeColor="text1"/>
        </w:rPr>
        <w:t>.</w:t>
      </w:r>
    </w:p>
    <w:p w14:paraId="59D1CA02" w14:textId="77777777" w:rsidR="00126D8D" w:rsidRPr="007F77C5" w:rsidRDefault="00126D8D" w:rsidP="00224B41">
      <w:pPr>
        <w:ind w:firstLine="720"/>
        <w:jc w:val="both"/>
        <w:rPr>
          <w:rFonts w:cs="Times New Roman"/>
          <w:color w:val="000000" w:themeColor="text1"/>
        </w:rPr>
      </w:pPr>
      <w:r w:rsidRPr="007F77C5">
        <w:rPr>
          <w:rFonts w:cs="Times New Roman"/>
          <w:color w:val="000000" w:themeColor="text1"/>
        </w:rPr>
        <w:t xml:space="preserve">Odorants, by definition, incite a sensory response. Many odorants are present in food and liquid samples, but a significant amount is in minute concentrations and cannot be decerned by the human nose. Those odorants may or may not contribute to the overall aroma of a sample depending on many factors. Key odorants are essential for the overall aroma of a sample </w:t>
      </w:r>
      <w:r w:rsidRPr="007F77C5">
        <w:rPr>
          <w:rFonts w:cs="Times New Roman"/>
          <w:noProof/>
          <w:color w:val="000000" w:themeColor="text1"/>
        </w:rPr>
        <w:t>(</w:t>
      </w:r>
      <w:r w:rsidRPr="007F77C5">
        <w:rPr>
          <w:rFonts w:cs="Times New Roman"/>
        </w:rPr>
        <w:t>Lawless, 2010</w:t>
      </w:r>
      <w:r w:rsidRPr="007F77C5">
        <w:rPr>
          <w:rFonts w:cs="Times New Roman"/>
          <w:noProof/>
          <w:color w:val="000000" w:themeColor="text1"/>
        </w:rPr>
        <w:t xml:space="preserve">; </w:t>
      </w:r>
      <w:r w:rsidRPr="007F77C5">
        <w:rPr>
          <w:rFonts w:cs="Times New Roman"/>
        </w:rPr>
        <w:lastRenderedPageBreak/>
        <w:t>Meligaard et al., 2007</w:t>
      </w:r>
      <w:r w:rsidRPr="007F77C5">
        <w:rPr>
          <w:rFonts w:cs="Times New Roman"/>
          <w:noProof/>
          <w:color w:val="000000" w:themeColor="text1"/>
        </w:rPr>
        <w:t>)</w:t>
      </w:r>
      <w:r w:rsidRPr="007F77C5">
        <w:rPr>
          <w:rFonts w:cs="Times New Roman"/>
          <w:color w:val="000000" w:themeColor="text1"/>
        </w:rPr>
        <w:t xml:space="preserve">. They are the compounds indicative of that sample, and an aroma model cannot be accurately reconstructed without all key odorants. Key odorants will have an OAV greater than 1. Altering the proportions of any of the key odorants will significantly change the overall aroma profile </w:t>
      </w:r>
      <w:r w:rsidRPr="007F77C5">
        <w:rPr>
          <w:rFonts w:cs="Times New Roman"/>
          <w:noProof/>
          <w:color w:val="000000" w:themeColor="text1"/>
        </w:rPr>
        <w:t>(</w:t>
      </w:r>
      <w:r w:rsidRPr="007F77C5">
        <w:rPr>
          <w:rFonts w:cs="Times New Roman"/>
        </w:rPr>
        <w:t>Grosch, 2001</w:t>
      </w:r>
      <w:r w:rsidRPr="007F77C5">
        <w:rPr>
          <w:rFonts w:cs="Times New Roman"/>
          <w:noProof/>
          <w:color w:val="000000" w:themeColor="text1"/>
        </w:rPr>
        <w:t xml:space="preserve">; </w:t>
      </w:r>
      <w:r w:rsidRPr="007F77C5">
        <w:rPr>
          <w:rFonts w:cs="Times New Roman"/>
        </w:rPr>
        <w:t>Lawless, 2010</w:t>
      </w:r>
      <w:r w:rsidRPr="007F77C5">
        <w:rPr>
          <w:rFonts w:cs="Times New Roman"/>
          <w:noProof/>
          <w:color w:val="000000" w:themeColor="text1"/>
        </w:rPr>
        <w:t>)</w:t>
      </w:r>
      <w:r w:rsidRPr="007F77C5">
        <w:rPr>
          <w:rFonts w:cs="Times New Roman"/>
          <w:color w:val="000000" w:themeColor="text1"/>
        </w:rPr>
        <w:t xml:space="preserve">. </w:t>
      </w:r>
    </w:p>
    <w:p w14:paraId="603FA64F" w14:textId="77777777" w:rsidR="00126D8D" w:rsidRPr="007F77C5" w:rsidRDefault="00126D8D" w:rsidP="00224B41">
      <w:pPr>
        <w:ind w:firstLine="720"/>
        <w:jc w:val="both"/>
        <w:rPr>
          <w:rFonts w:cs="Times New Roman"/>
          <w:color w:val="000000" w:themeColor="text1"/>
        </w:rPr>
      </w:pPr>
      <w:r w:rsidRPr="007F77C5">
        <w:rPr>
          <w:rFonts w:cs="Times New Roman"/>
          <w:color w:val="000000" w:themeColor="text1"/>
        </w:rPr>
        <w:t xml:space="preserve">Optimizing the concentrations of key odorants has the potential to improve aroma perception and increase consumer preference of certain culinary herbs. Increasing all odorants and/or changing the ratios of those odorants would not necessarily lead to improved flavor or increased liking. It is necessary to determine what the consumers prefer rather than assuming that more volatiles lead to better flavor. Increasing all key odorants (proportional) may increase the intensity of perceived aroma, but this could lead to palate overwhelm and customer dissatisfaction. Knowing consumer preference can inform the choice of adding environmental stressors (i.e., light, temperature, water, etc.) to optimize ratios/concentrations of key odorants </w:t>
      </w:r>
      <w:r w:rsidRPr="007F77C5">
        <w:rPr>
          <w:rFonts w:cs="Times New Roman"/>
          <w:noProof/>
          <w:color w:val="000000" w:themeColor="text1"/>
        </w:rPr>
        <w:t>(</w:t>
      </w:r>
      <w:r w:rsidRPr="007F77C5">
        <w:rPr>
          <w:rFonts w:cs="Times New Roman"/>
        </w:rPr>
        <w:t>Grosch, 2001</w:t>
      </w:r>
      <w:r w:rsidRPr="007F77C5">
        <w:rPr>
          <w:rFonts w:cs="Times New Roman"/>
          <w:noProof/>
          <w:color w:val="000000" w:themeColor="text1"/>
        </w:rPr>
        <w:t xml:space="preserve">; </w:t>
      </w:r>
      <w:r w:rsidRPr="007F77C5">
        <w:rPr>
          <w:rFonts w:cs="Times New Roman"/>
        </w:rPr>
        <w:t>Lawless, 2010</w:t>
      </w:r>
      <w:r w:rsidRPr="007F77C5">
        <w:rPr>
          <w:rFonts w:cs="Times New Roman"/>
          <w:noProof/>
          <w:color w:val="000000" w:themeColor="text1"/>
        </w:rPr>
        <w:t>)</w:t>
      </w:r>
      <w:r w:rsidRPr="007F77C5">
        <w:rPr>
          <w:rFonts w:cs="Times New Roman"/>
          <w:color w:val="000000" w:themeColor="text1"/>
        </w:rPr>
        <w:t xml:space="preserve">. Collaborating with sensory and food science when evaluating potential aroma changes in CEA research with high-value specialty crops is vital for successful applied research. This is especially true for experiments involving plant/light interactions (i.e., spectral quality, intensity, and duration). </w:t>
      </w:r>
    </w:p>
    <w:p w14:paraId="04DC2102" w14:textId="77777777" w:rsidR="00126D8D" w:rsidRPr="007F77C5" w:rsidRDefault="00126D8D" w:rsidP="00224B41">
      <w:pPr>
        <w:ind w:firstLine="720"/>
        <w:jc w:val="both"/>
        <w:rPr>
          <w:rFonts w:cs="Times New Roman"/>
          <w:color w:val="000000" w:themeColor="text1"/>
        </w:rPr>
      </w:pPr>
      <w:r w:rsidRPr="007F77C5">
        <w:rPr>
          <w:rFonts w:cs="Times New Roman"/>
          <w:color w:val="000000" w:themeColor="text1"/>
        </w:rPr>
        <w:t xml:space="preserve">In terms of volatile organic compounds (VOCs) in basil, oxygenated VOC substances are highly aromatic and account for the bulk of the flavor. According to dozens of different studies, it is believed that terpenes are the most aroma active compounds in basil. Many abiotic and biotic conditions, such as temperature, sunlight, turgor pressure, stomatal opening, humidity, and pest and pathogen pressures affect the insect-controlled release of these compounds. Emission is mainly confined to the surface of leaves with open stomata, but if structural damage occurs, specific defensive molecules may be released </w:t>
      </w:r>
      <w:r w:rsidRPr="007F77C5">
        <w:rPr>
          <w:rFonts w:cs="Times New Roman"/>
          <w:noProof/>
          <w:color w:val="000000" w:themeColor="text1"/>
        </w:rPr>
        <w:t>(</w:t>
      </w:r>
      <w:r w:rsidRPr="007F77C5">
        <w:rPr>
          <w:rFonts w:cs="Times New Roman"/>
        </w:rPr>
        <w:t>Klimánková et al., 2008</w:t>
      </w:r>
      <w:r w:rsidRPr="007F77C5">
        <w:rPr>
          <w:rFonts w:cs="Times New Roman"/>
          <w:noProof/>
          <w:color w:val="000000" w:themeColor="text1"/>
        </w:rPr>
        <w:t xml:space="preserve">; </w:t>
      </w:r>
      <w:r w:rsidRPr="007F77C5">
        <w:rPr>
          <w:rFonts w:cs="Times New Roman"/>
        </w:rPr>
        <w:t>Yousif et al., 1999</w:t>
      </w:r>
      <w:r w:rsidRPr="007F77C5">
        <w:rPr>
          <w:rFonts w:cs="Times New Roman"/>
          <w:noProof/>
          <w:color w:val="000000" w:themeColor="text1"/>
        </w:rPr>
        <w:t>)</w:t>
      </w:r>
      <w:r w:rsidRPr="007F77C5">
        <w:rPr>
          <w:rFonts w:cs="Times New Roman"/>
          <w:color w:val="000000" w:themeColor="text1"/>
        </w:rPr>
        <w:t>.</w:t>
      </w:r>
    </w:p>
    <w:p w14:paraId="0BEB0A51" w14:textId="77777777" w:rsidR="00126D8D" w:rsidRPr="007F77C5" w:rsidRDefault="00126D8D" w:rsidP="00224B41">
      <w:pPr>
        <w:ind w:firstLine="720"/>
        <w:jc w:val="both"/>
        <w:rPr>
          <w:rFonts w:cs="Times New Roman"/>
          <w:color w:val="000000" w:themeColor="text1"/>
        </w:rPr>
      </w:pPr>
      <w:r w:rsidRPr="007F77C5">
        <w:rPr>
          <w:rFonts w:cs="Times New Roman"/>
          <w:color w:val="000000" w:themeColor="text1"/>
        </w:rPr>
        <w:lastRenderedPageBreak/>
        <w:t xml:space="preserve">At least two hundred distinct volatile compounds have been detected in basil varieties across many scientific studies employing a variety of analytical methods and extraction processes (GC-FID, GC-MS, LC-MS, HPLC, etc., combined with expeller press extraction, solvent extraction, hydrodistillation, steam distillation, low-pressure microwave extraction, simultaneous distillation-extraction, etc.); many of them have biological activities and pleasant aromas </w:t>
      </w:r>
      <w:r w:rsidRPr="007F77C5">
        <w:rPr>
          <w:rFonts w:cs="Times New Roman"/>
          <w:noProof/>
          <w:color w:val="000000" w:themeColor="text1"/>
        </w:rPr>
        <w:t>(</w:t>
      </w:r>
      <w:r w:rsidRPr="007F77C5">
        <w:rPr>
          <w:rFonts w:cs="Times New Roman"/>
        </w:rPr>
        <w:t>Banthorpe et al., 1971</w:t>
      </w:r>
      <w:r w:rsidRPr="007F77C5">
        <w:rPr>
          <w:rFonts w:cs="Times New Roman"/>
          <w:noProof/>
          <w:color w:val="000000" w:themeColor="text1"/>
        </w:rPr>
        <w:t xml:space="preserve">; </w:t>
      </w:r>
      <w:r w:rsidRPr="007F77C5">
        <w:rPr>
          <w:rFonts w:cs="Times New Roman"/>
        </w:rPr>
        <w:t>Bantis et al., 2016</w:t>
      </w:r>
      <w:r w:rsidRPr="007F77C5">
        <w:rPr>
          <w:rFonts w:cs="Times New Roman"/>
          <w:noProof/>
          <w:color w:val="000000" w:themeColor="text1"/>
        </w:rPr>
        <w:t xml:space="preserve">; </w:t>
      </w:r>
      <w:r w:rsidRPr="007F77C5">
        <w:rPr>
          <w:rFonts w:cs="Times New Roman"/>
        </w:rPr>
        <w:t>Deschamps and Simon, 2006</w:t>
      </w:r>
      <w:r w:rsidRPr="007F77C5">
        <w:rPr>
          <w:rFonts w:cs="Times New Roman"/>
          <w:noProof/>
          <w:color w:val="000000" w:themeColor="text1"/>
        </w:rPr>
        <w:t xml:space="preserve">; </w:t>
      </w:r>
      <w:r w:rsidRPr="007F77C5">
        <w:rPr>
          <w:rFonts w:cs="Times New Roman"/>
        </w:rPr>
        <w:t>Hasan et al., 2017</w:t>
      </w:r>
      <w:r w:rsidRPr="007F77C5">
        <w:rPr>
          <w:rFonts w:cs="Times New Roman"/>
          <w:noProof/>
          <w:color w:val="000000" w:themeColor="text1"/>
        </w:rPr>
        <w:t xml:space="preserve">; </w:t>
      </w:r>
      <w:r w:rsidRPr="007F77C5">
        <w:rPr>
          <w:rFonts w:cs="Times New Roman"/>
        </w:rPr>
        <w:t>Lawless, 2010</w:t>
      </w:r>
      <w:r w:rsidRPr="007F77C5">
        <w:rPr>
          <w:rFonts w:cs="Times New Roman"/>
          <w:noProof/>
          <w:color w:val="000000" w:themeColor="text1"/>
        </w:rPr>
        <w:t xml:space="preserve">; </w:t>
      </w:r>
      <w:r w:rsidRPr="007F77C5">
        <w:rPr>
          <w:rFonts w:cs="Times New Roman"/>
        </w:rPr>
        <w:t>Lee et al., 2005</w:t>
      </w:r>
      <w:r w:rsidRPr="007F77C5">
        <w:rPr>
          <w:rFonts w:cs="Times New Roman"/>
          <w:noProof/>
          <w:color w:val="000000" w:themeColor="text1"/>
        </w:rPr>
        <w:t xml:space="preserve">; </w:t>
      </w:r>
      <w:r w:rsidRPr="007F77C5">
        <w:rPr>
          <w:rFonts w:cs="Times New Roman"/>
        </w:rPr>
        <w:t>Soran et al., 2009</w:t>
      </w:r>
      <w:r w:rsidRPr="007F77C5">
        <w:rPr>
          <w:rFonts w:cs="Times New Roman"/>
          <w:noProof/>
          <w:color w:val="000000" w:themeColor="text1"/>
        </w:rPr>
        <w:t xml:space="preserve">; </w:t>
      </w:r>
      <w:r w:rsidRPr="007F77C5">
        <w:rPr>
          <w:rFonts w:cs="Times New Roman"/>
        </w:rPr>
        <w:t>Tarchoune et al., 2013</w:t>
      </w:r>
      <w:r w:rsidRPr="007F77C5">
        <w:rPr>
          <w:rFonts w:cs="Times New Roman"/>
          <w:noProof/>
          <w:color w:val="000000" w:themeColor="text1"/>
        </w:rPr>
        <w:t>)</w:t>
      </w:r>
      <w:r w:rsidRPr="007F77C5">
        <w:rPr>
          <w:rFonts w:cs="Times New Roman"/>
          <w:color w:val="000000" w:themeColor="text1"/>
        </w:rPr>
        <w:t xml:space="preserve">. Although many of the essential aroma compounds have been identified, limited knowledge exists on relative basil VOC concentrations in relation to human bioactivity (i.e., taste and aroma perception) in conjunction with LED supplementary lighting. The relationships between the sensory, chemical, and physical properties of key aroma/flavor compounds with high and low biological activities should be explored (i.e., compounds sensed at very low concentrations vs. compounds sensed and higher concentrations). Specific types of basil (and other high-value specialty crops) in high demand should be further evaluated to determine their chemical composition and why people like them. It would also be beneficial to compare the human sensory perception of key aroma volatiles of basil (both positive and negative) in conjunction with changes to tissue concentration levels of those each respective compound; this provides more details about complex relationship of aroma volatile profiles and perception, which are the result of environmental manipulation or other stressors, and have significant potential to impact consumer perception and liking </w:t>
      </w:r>
      <w:r w:rsidRPr="007F77C5">
        <w:rPr>
          <w:rFonts w:cs="Times New Roman"/>
          <w:noProof/>
          <w:color w:val="000000" w:themeColor="text1"/>
        </w:rPr>
        <w:t>(</w:t>
      </w:r>
      <w:r w:rsidRPr="007F77C5">
        <w:rPr>
          <w:rFonts w:cs="Times New Roman"/>
        </w:rPr>
        <w:t>Lawless, 2010</w:t>
      </w:r>
      <w:r w:rsidRPr="007F77C5">
        <w:rPr>
          <w:rFonts w:cs="Times New Roman"/>
          <w:noProof/>
          <w:color w:val="000000" w:themeColor="text1"/>
        </w:rPr>
        <w:t xml:space="preserve">; </w:t>
      </w:r>
      <w:r w:rsidRPr="007F77C5">
        <w:rPr>
          <w:rFonts w:cs="Times New Roman"/>
        </w:rPr>
        <w:t>Meligaard et al., 2007</w:t>
      </w:r>
      <w:r w:rsidRPr="007F77C5">
        <w:rPr>
          <w:rFonts w:cs="Times New Roman"/>
          <w:noProof/>
          <w:color w:val="000000" w:themeColor="text1"/>
        </w:rPr>
        <w:t xml:space="preserve">; </w:t>
      </w:r>
      <w:r w:rsidRPr="007F77C5">
        <w:rPr>
          <w:rFonts w:cs="Times New Roman"/>
        </w:rPr>
        <w:t>Seeburger et al., 2023</w:t>
      </w:r>
      <w:r w:rsidRPr="007F77C5">
        <w:rPr>
          <w:rFonts w:cs="Times New Roman"/>
          <w:noProof/>
          <w:color w:val="000000" w:themeColor="text1"/>
        </w:rPr>
        <w:t xml:space="preserve">; </w:t>
      </w:r>
      <w:r w:rsidRPr="007F77C5">
        <w:rPr>
          <w:rFonts w:cs="Times New Roman"/>
        </w:rPr>
        <w:t>Tan et al., 2020</w:t>
      </w:r>
      <w:r w:rsidRPr="007F77C5">
        <w:rPr>
          <w:rFonts w:cs="Times New Roman"/>
          <w:noProof/>
          <w:color w:val="000000" w:themeColor="text1"/>
        </w:rPr>
        <w:t xml:space="preserve">; </w:t>
      </w:r>
      <w:r w:rsidRPr="007F77C5">
        <w:rPr>
          <w:rFonts w:cs="Times New Roman"/>
        </w:rPr>
        <w:t>Walters et al., 2020b</w:t>
      </w:r>
      <w:r w:rsidRPr="007F77C5">
        <w:rPr>
          <w:rFonts w:cs="Times New Roman"/>
          <w:noProof/>
          <w:color w:val="000000" w:themeColor="text1"/>
        </w:rPr>
        <w:t>)</w:t>
      </w:r>
      <w:r w:rsidRPr="007F77C5">
        <w:rPr>
          <w:rFonts w:cs="Times New Roman"/>
          <w:color w:val="000000" w:themeColor="text1"/>
        </w:rPr>
        <w:t xml:space="preserve">. </w:t>
      </w:r>
    </w:p>
    <w:p w14:paraId="52F78EEE" w14:textId="77777777" w:rsidR="00126D8D" w:rsidRPr="007F77C5" w:rsidRDefault="00126D8D" w:rsidP="00224B41">
      <w:pPr>
        <w:jc w:val="both"/>
        <w:rPr>
          <w:rFonts w:cs="Times New Roman"/>
          <w:color w:val="000000" w:themeColor="text1"/>
          <w:sz w:val="28"/>
        </w:rPr>
      </w:pPr>
    </w:p>
    <w:p w14:paraId="02E1C055" w14:textId="77777777" w:rsidR="001D1BFC" w:rsidRDefault="001D1BFC">
      <w:pPr>
        <w:spacing w:line="240" w:lineRule="auto"/>
        <w:rPr>
          <w:rFonts w:cs="Times New Roman"/>
          <w:b/>
          <w:sz w:val="28"/>
        </w:rPr>
      </w:pPr>
      <w:bookmarkStart w:id="69" w:name="_Toc113382867"/>
      <w:bookmarkStart w:id="70" w:name="_Toc114189703"/>
      <w:bookmarkStart w:id="71" w:name="_Toc114189784"/>
      <w:r>
        <w:br w:type="page"/>
      </w:r>
    </w:p>
    <w:p w14:paraId="7E332191" w14:textId="59789B11" w:rsidR="00126D8D" w:rsidRPr="007F77C5" w:rsidRDefault="00126D8D" w:rsidP="00224B41">
      <w:pPr>
        <w:pStyle w:val="MastersThesisMainTitle"/>
      </w:pPr>
      <w:bookmarkStart w:id="72" w:name="_Toc139574778"/>
      <w:bookmarkStart w:id="73" w:name="_Toc141478648"/>
      <w:r w:rsidRPr="007F77C5">
        <w:lastRenderedPageBreak/>
        <w:t>Molecular Techniques</w:t>
      </w:r>
      <w:bookmarkEnd w:id="69"/>
      <w:bookmarkEnd w:id="70"/>
      <w:bookmarkEnd w:id="71"/>
      <w:bookmarkEnd w:id="72"/>
      <w:bookmarkEnd w:id="73"/>
    </w:p>
    <w:p w14:paraId="0A9BA11A" w14:textId="77777777" w:rsidR="00126D8D" w:rsidRPr="007F77C5" w:rsidRDefault="00126D8D" w:rsidP="00224B41">
      <w:pPr>
        <w:ind w:firstLine="720"/>
        <w:jc w:val="both"/>
        <w:rPr>
          <w:rFonts w:cs="Times New Roman"/>
          <w:color w:val="000000" w:themeColor="text1"/>
        </w:rPr>
      </w:pPr>
      <w:r w:rsidRPr="007F77C5">
        <w:rPr>
          <w:rFonts w:cs="Times New Roman"/>
          <w:color w:val="000000" w:themeColor="text1"/>
        </w:rPr>
        <w:t xml:space="preserve">Biotechnology and molecular techniques have revolutionized many aspects of biology and allowed for the examination of cellular processes on a much more detailed level. The development of these techniques has allowed for the examination of gene expression, protein synthesis, and metabolic pathways. They have also allowed for the identification of genes that are involved in specific pathways. This information can then be used to modify or engineer these genes to improve plant growth and productivity. Deoxyribonucleic acid (DNA) and ribonucleic acid (RNA) both play a vital role in the cell, as they are responsible for encoding the genetic information of the organism </w:t>
      </w:r>
      <w:r w:rsidRPr="007F77C5">
        <w:rPr>
          <w:rFonts w:cs="Times New Roman"/>
          <w:noProof/>
          <w:color w:val="000000" w:themeColor="text1"/>
        </w:rPr>
        <w:t>(</w:t>
      </w:r>
      <w:r w:rsidRPr="007F77C5">
        <w:rPr>
          <w:rFonts w:cs="Times New Roman"/>
        </w:rPr>
        <w:t>Buchanan, 2015</w:t>
      </w:r>
      <w:r w:rsidRPr="007F77C5">
        <w:rPr>
          <w:rFonts w:cs="Times New Roman"/>
          <w:noProof/>
          <w:color w:val="000000" w:themeColor="text1"/>
        </w:rPr>
        <w:t xml:space="preserve">; </w:t>
      </w:r>
      <w:r w:rsidRPr="007F77C5">
        <w:rPr>
          <w:rFonts w:cs="Times New Roman"/>
        </w:rPr>
        <w:t>Carson, 2019</w:t>
      </w:r>
      <w:r w:rsidRPr="007F77C5">
        <w:rPr>
          <w:rFonts w:cs="Times New Roman"/>
          <w:noProof/>
          <w:color w:val="000000" w:themeColor="text1"/>
        </w:rPr>
        <w:t>)</w:t>
      </w:r>
      <w:r w:rsidRPr="007F77C5">
        <w:rPr>
          <w:rFonts w:cs="Times New Roman"/>
          <w:color w:val="000000" w:themeColor="text1"/>
        </w:rPr>
        <w:t xml:space="preserve">. </w:t>
      </w:r>
    </w:p>
    <w:p w14:paraId="0F802BCE" w14:textId="77777777" w:rsidR="00126D8D" w:rsidRPr="007F77C5" w:rsidRDefault="00126D8D" w:rsidP="00224B41">
      <w:pPr>
        <w:ind w:firstLine="720"/>
        <w:jc w:val="both"/>
        <w:rPr>
          <w:rFonts w:cs="Times New Roman"/>
          <w:color w:val="000000" w:themeColor="text1"/>
        </w:rPr>
      </w:pPr>
      <w:r w:rsidRPr="007F77C5">
        <w:rPr>
          <w:rFonts w:cs="Times New Roman"/>
          <w:color w:val="000000" w:themeColor="text1"/>
        </w:rPr>
        <w:t xml:space="preserve">DNA is a long polymer chain of molecules of nucleotides. DNA holds the genetic code for biological organisms (and viruses) and forms the basic building blocks/instructions for life. It provides instructions for the production of proteins. Most proteins are enzymes that are necessary for many biological processes and metabolism. Each nucleotide comprises a phosphate group, a sugar group, and a nitrogen base. There are four nucleotides: guanine (G), cytosine (C), adenine (A), and thymine (T). The order of these four bases encodes genetic information. These nucleotides connect to form a double helix structure. The phosphate group and sugar group are on the sides, and the bases connect in the center. These base pairs are complementary, A-T and G-C. Combinations of these pairs (three) code for specific proteins. Organisms have both coding and non-coding DNA, meaning that some of the sequences are used while others are not. Some non-coding DNA is not used to make proteins, while others are transcribed into non-coding RNAs, regulatory RNAs, etc.; the ratio of coding vs. non-coding varies widely among species. It is thought, though still debated, that non-coding DNA was evolutionarily advantageous and provided redundancy/regulatory functions to help stabilize the genome across generations and reduce the </w:t>
      </w:r>
      <w:r w:rsidRPr="007F77C5">
        <w:rPr>
          <w:rFonts w:cs="Times New Roman"/>
          <w:color w:val="000000" w:themeColor="text1"/>
        </w:rPr>
        <w:lastRenderedPageBreak/>
        <w:t xml:space="preserve">frequency of random mutations from becoming detrimental to survival/reproduction </w:t>
      </w:r>
      <w:r w:rsidRPr="007F77C5">
        <w:rPr>
          <w:rFonts w:cs="Times New Roman"/>
          <w:noProof/>
          <w:color w:val="000000" w:themeColor="text1"/>
        </w:rPr>
        <w:t>(</w:t>
      </w:r>
      <w:r w:rsidRPr="007F77C5">
        <w:rPr>
          <w:rFonts w:cs="Times New Roman"/>
        </w:rPr>
        <w:t>Buchanan, 2015</w:t>
      </w:r>
      <w:r w:rsidRPr="007F77C5">
        <w:rPr>
          <w:rFonts w:cs="Times New Roman"/>
          <w:noProof/>
          <w:color w:val="000000" w:themeColor="text1"/>
        </w:rPr>
        <w:t xml:space="preserve">; </w:t>
      </w:r>
      <w:r w:rsidRPr="007F77C5">
        <w:rPr>
          <w:rFonts w:cs="Times New Roman"/>
        </w:rPr>
        <w:t>Carson, 2019</w:t>
      </w:r>
      <w:r w:rsidRPr="007F77C5">
        <w:rPr>
          <w:rFonts w:cs="Times New Roman"/>
          <w:noProof/>
          <w:color w:val="000000" w:themeColor="text1"/>
        </w:rPr>
        <w:t>)</w:t>
      </w:r>
      <w:r w:rsidRPr="007F77C5">
        <w:rPr>
          <w:rFonts w:cs="Times New Roman"/>
          <w:color w:val="000000" w:themeColor="text1"/>
        </w:rPr>
        <w:t>.</w:t>
      </w:r>
    </w:p>
    <w:p w14:paraId="431D2AA5" w14:textId="77777777" w:rsidR="00126D8D" w:rsidRPr="007F77C5" w:rsidRDefault="00126D8D" w:rsidP="00224B41">
      <w:pPr>
        <w:ind w:firstLine="720"/>
        <w:jc w:val="both"/>
        <w:rPr>
          <w:rFonts w:cs="Times New Roman"/>
          <w:color w:val="000000" w:themeColor="text1"/>
        </w:rPr>
      </w:pPr>
      <w:r w:rsidRPr="007F77C5">
        <w:rPr>
          <w:rFonts w:cs="Times New Roman"/>
          <w:color w:val="000000" w:themeColor="text1"/>
        </w:rPr>
        <w:t xml:space="preserve">Messenger RNA (mRNA) is a single-stranded molecule (as compared to double-stranded DNA) and corresponds to a specific genetic sequence from DNA. The primary purpose of mRNA is to carry genetic information from the DNA in the nucleus to ribosomes in the cytoplasm, where proteins are made. mRNA is in the sequence of nucleotides, which are arranged in codons consisting of three base pairs. These are UCAG (uracil instead of thymine). DNA cannot leave the nucleus because of its length and bonding sites with histone proteins; mRNA can move out of the nucleus and react with the cellular machinery outside of the nucleus. Each codon represents a specific amino acid. The sequence of base pairs is transcribed from DNA by the enzyme RNA polymerase. mRNA processing significantly differs among eukaryotic (requires several processing steps before transport) and prokaryotic (rarely requires processing before transport and commonly matures directly after translation) cells </w:t>
      </w:r>
      <w:r w:rsidRPr="007F77C5">
        <w:rPr>
          <w:rFonts w:cs="Times New Roman"/>
          <w:noProof/>
          <w:color w:val="000000" w:themeColor="text1"/>
        </w:rPr>
        <w:t>(</w:t>
      </w:r>
      <w:r w:rsidRPr="007F77C5">
        <w:rPr>
          <w:rFonts w:cs="Times New Roman"/>
        </w:rPr>
        <w:t>Buchanan, 2015</w:t>
      </w:r>
      <w:r w:rsidRPr="007F77C5">
        <w:rPr>
          <w:rFonts w:cs="Times New Roman"/>
          <w:noProof/>
          <w:color w:val="000000" w:themeColor="text1"/>
        </w:rPr>
        <w:t xml:space="preserve">; </w:t>
      </w:r>
      <w:r w:rsidRPr="007F77C5">
        <w:rPr>
          <w:rFonts w:cs="Times New Roman"/>
        </w:rPr>
        <w:t>Carson, 2019</w:t>
      </w:r>
      <w:r w:rsidRPr="007F77C5">
        <w:rPr>
          <w:rFonts w:cs="Times New Roman"/>
          <w:noProof/>
          <w:color w:val="000000" w:themeColor="text1"/>
        </w:rPr>
        <w:t xml:space="preserve">; </w:t>
      </w:r>
      <w:r w:rsidRPr="007F77C5">
        <w:rPr>
          <w:rFonts w:cs="Times New Roman"/>
        </w:rPr>
        <w:t>Taiz et al., 2015</w:t>
      </w:r>
      <w:r w:rsidRPr="007F77C5">
        <w:rPr>
          <w:rFonts w:cs="Times New Roman"/>
          <w:noProof/>
          <w:color w:val="000000" w:themeColor="text1"/>
        </w:rPr>
        <w:t>)</w:t>
      </w:r>
      <w:r w:rsidRPr="007F77C5">
        <w:rPr>
          <w:rFonts w:cs="Times New Roman"/>
          <w:color w:val="000000" w:themeColor="text1"/>
        </w:rPr>
        <w:t>.</w:t>
      </w:r>
    </w:p>
    <w:p w14:paraId="50F9C73E" w14:textId="77777777" w:rsidR="00126D8D" w:rsidRPr="007F77C5" w:rsidRDefault="00126D8D" w:rsidP="00224B41">
      <w:pPr>
        <w:ind w:firstLine="720"/>
        <w:jc w:val="both"/>
        <w:rPr>
          <w:rFonts w:cs="Times New Roman"/>
          <w:color w:val="000000" w:themeColor="text1"/>
        </w:rPr>
      </w:pPr>
      <w:r w:rsidRPr="007F77C5">
        <w:rPr>
          <w:rFonts w:cs="Times New Roman"/>
          <w:color w:val="000000" w:themeColor="text1"/>
        </w:rPr>
        <w:t xml:space="preserve">Transport also varies among eukaryotic and prokaryotic cells. Eukaryotic transcription and translation are spatially separated in the cell and require export to the cytoplasm </w:t>
      </w:r>
      <w:r w:rsidRPr="007F77C5">
        <w:rPr>
          <w:rFonts w:cs="Times New Roman"/>
          <w:noProof/>
          <w:color w:val="000000" w:themeColor="text1"/>
        </w:rPr>
        <w:t>(</w:t>
      </w:r>
      <w:r w:rsidRPr="007F77C5">
        <w:rPr>
          <w:rFonts w:cs="Times New Roman"/>
        </w:rPr>
        <w:t>Buchanan, 2015</w:t>
      </w:r>
      <w:r w:rsidRPr="007F77C5">
        <w:rPr>
          <w:rFonts w:cs="Times New Roman"/>
          <w:noProof/>
          <w:color w:val="000000" w:themeColor="text1"/>
        </w:rPr>
        <w:t xml:space="preserve">; </w:t>
      </w:r>
      <w:r w:rsidRPr="007F77C5">
        <w:rPr>
          <w:rFonts w:cs="Times New Roman"/>
        </w:rPr>
        <w:t>Carson, 2019</w:t>
      </w:r>
      <w:r w:rsidRPr="007F77C5">
        <w:rPr>
          <w:rFonts w:cs="Times New Roman"/>
          <w:noProof/>
          <w:color w:val="000000" w:themeColor="text1"/>
        </w:rPr>
        <w:t xml:space="preserve">; </w:t>
      </w:r>
      <w:r w:rsidRPr="007F77C5">
        <w:rPr>
          <w:rFonts w:cs="Times New Roman"/>
        </w:rPr>
        <w:t>Taiz et al., 2015</w:t>
      </w:r>
      <w:r w:rsidRPr="007F77C5">
        <w:rPr>
          <w:rFonts w:cs="Times New Roman"/>
          <w:noProof/>
          <w:color w:val="000000" w:themeColor="text1"/>
        </w:rPr>
        <w:t>)</w:t>
      </w:r>
      <w:r w:rsidRPr="007F77C5">
        <w:rPr>
          <w:rFonts w:cs="Times New Roman"/>
          <w:color w:val="000000" w:themeColor="text1"/>
        </w:rPr>
        <w:t xml:space="preserve">. Translation is the next step, in which mRNA translates the sequence of base pairs into a series of amino acids which form proteins. These proteins (primarily enzymes) are used for various metabolic processes. Translation can occur as free-floating ribosomes in the cytoplasm or directed to the endoplasmic reticulum. mRNA is very unstable. Prokaryotic mRNA commonly lasts a few seconds to a day, while eukaryotic mRNA lasts several minutes to days. Short mRNA lifetimes allow the cell to rapidly adapt to environmental stimuli and alter its biochemistry (i.e., protein synthesis) as needed. The higher the mRNA stability, the more protein could be produced </w:t>
      </w:r>
      <w:r w:rsidRPr="007F77C5">
        <w:rPr>
          <w:rFonts w:cs="Times New Roman"/>
          <w:noProof/>
          <w:color w:val="000000" w:themeColor="text1"/>
        </w:rPr>
        <w:t>(</w:t>
      </w:r>
      <w:r w:rsidRPr="007F77C5">
        <w:rPr>
          <w:rFonts w:cs="Times New Roman"/>
        </w:rPr>
        <w:t>Carson, 2019</w:t>
      </w:r>
      <w:r w:rsidRPr="007F77C5">
        <w:rPr>
          <w:rFonts w:cs="Times New Roman"/>
          <w:noProof/>
          <w:color w:val="000000" w:themeColor="text1"/>
        </w:rPr>
        <w:t>)</w:t>
      </w:r>
      <w:r w:rsidRPr="007F77C5">
        <w:rPr>
          <w:rFonts w:cs="Times New Roman"/>
          <w:color w:val="000000" w:themeColor="text1"/>
        </w:rPr>
        <w:t>.</w:t>
      </w:r>
    </w:p>
    <w:p w14:paraId="195D846C" w14:textId="77777777" w:rsidR="00126D8D" w:rsidRPr="007F77C5" w:rsidRDefault="00126D8D" w:rsidP="00224B41">
      <w:pPr>
        <w:ind w:firstLine="720"/>
        <w:jc w:val="both"/>
        <w:rPr>
          <w:rFonts w:cs="Times New Roman"/>
          <w:color w:val="000000" w:themeColor="text1"/>
        </w:rPr>
      </w:pPr>
      <w:r w:rsidRPr="007F77C5">
        <w:rPr>
          <w:rFonts w:cs="Times New Roman"/>
          <w:color w:val="000000" w:themeColor="text1"/>
        </w:rPr>
        <w:lastRenderedPageBreak/>
        <w:t xml:space="preserve">Transfer RNA (tRNA) is a relatively short molecule (approximately 80 nucleotides) that transports specific amino acid components to the polypeptide chain at the ribosome. tRNA serves as a link between the mRNA and the sequence of proteins. They are necessary for the translation and synthesis of new proteins. The two classes of tRNA are cytoplasmic and mitochondrial. There are different tRNAs for each amino acid, and each has a specific site for the amino acid to attach. The primary role of tRNA is to specify which part from the genetic sequence relates to which amino acid during the process of protein synthesis (i.e., tRNA recognizes each of the codons within the mRNA sequence). An anticodon is a unit of three nucleotides that correspond with the three bases of an mRNA codon. The anticodon is on one end of the tRNA, while the complementary amino acid is on the other. Each tRNA has a specific anticodon sequence that can form the three complementary base pairs. Some codons code for the same amino acid, and there are several tRNA molecules with various codons that carry the same amino acid. During protein biosynthesis, tRNA molecules “deliver” amino acids to the new polypeptide chain in sequence. In reality, they are rapidly moving, and many tRNA molecules interact with one another in the matrix. When the proper tRNA anticodon strikes the next mRNA codon, the polymerization reaction (energetically favorable) occurs, which will either start/add to the polypeptide chain. When comparing the different types of RNA, mRNA brings the encoded message to the ribosome, and tRNA brings the building blocks. mRNA and tRNA (along with the catalytic ability/metabolic machinery of the ribosomes) allow for the synthesis of proteins based on the organism's genetic code </w:t>
      </w:r>
      <w:r w:rsidRPr="007F77C5">
        <w:rPr>
          <w:rFonts w:cs="Times New Roman"/>
          <w:noProof/>
          <w:color w:val="000000" w:themeColor="text1"/>
        </w:rPr>
        <w:t>(</w:t>
      </w:r>
      <w:r w:rsidRPr="007F77C5">
        <w:rPr>
          <w:rFonts w:cs="Times New Roman"/>
        </w:rPr>
        <w:t>Buchanan, 2015</w:t>
      </w:r>
      <w:r w:rsidRPr="007F77C5">
        <w:rPr>
          <w:rFonts w:cs="Times New Roman"/>
          <w:noProof/>
          <w:color w:val="000000" w:themeColor="text1"/>
        </w:rPr>
        <w:t xml:space="preserve">; </w:t>
      </w:r>
      <w:r w:rsidRPr="007F77C5">
        <w:rPr>
          <w:rFonts w:cs="Times New Roman"/>
        </w:rPr>
        <w:t>Carson, 2019</w:t>
      </w:r>
      <w:r w:rsidRPr="007F77C5">
        <w:rPr>
          <w:rFonts w:cs="Times New Roman"/>
          <w:noProof/>
          <w:color w:val="000000" w:themeColor="text1"/>
        </w:rPr>
        <w:t xml:space="preserve">; </w:t>
      </w:r>
      <w:r w:rsidRPr="007F77C5">
        <w:rPr>
          <w:rFonts w:cs="Times New Roman"/>
        </w:rPr>
        <w:t>Taiz et al., 2015</w:t>
      </w:r>
      <w:r w:rsidRPr="007F77C5">
        <w:rPr>
          <w:rFonts w:cs="Times New Roman"/>
          <w:noProof/>
          <w:color w:val="000000" w:themeColor="text1"/>
        </w:rPr>
        <w:t>)</w:t>
      </w:r>
      <w:r w:rsidRPr="007F77C5">
        <w:rPr>
          <w:rFonts w:cs="Times New Roman"/>
          <w:color w:val="000000" w:themeColor="text1"/>
        </w:rPr>
        <w:t>. </w:t>
      </w:r>
    </w:p>
    <w:p w14:paraId="33ADD01E" w14:textId="77777777" w:rsidR="00126D8D" w:rsidRPr="007F77C5" w:rsidRDefault="00126D8D" w:rsidP="00224B41">
      <w:pPr>
        <w:ind w:firstLine="720"/>
        <w:jc w:val="both"/>
        <w:rPr>
          <w:rFonts w:cs="Times New Roman"/>
          <w:color w:val="000000" w:themeColor="text1"/>
        </w:rPr>
      </w:pPr>
      <w:r w:rsidRPr="007F77C5">
        <w:rPr>
          <w:rFonts w:cs="Times New Roman"/>
          <w:color w:val="000000" w:themeColor="text1"/>
        </w:rPr>
        <w:t xml:space="preserve">These three components (along with many other types of RNA and very complex mechanisms) are what encode and create all biological life. The encoding and translation of biological information are essential for the survival and adaptation of all organisms. The genetic </w:t>
      </w:r>
      <w:r w:rsidRPr="007F77C5">
        <w:rPr>
          <w:rFonts w:cs="Times New Roman"/>
          <w:color w:val="000000" w:themeColor="text1"/>
        </w:rPr>
        <w:lastRenderedPageBreak/>
        <w:t xml:space="preserve">code is the sequence of codons, which are the building blocks of  DNA. These codons are translated into proteins, which carry out metabolic processes necessary for life. The sequence of codons is determined by the order of base pairs in DNA, dictated by genes. Genes are distinct sequences of nucleotides that code for specific traits, commonly known as the basic physical functional unit of heredity. Gene expression is the process by which the information in a gene is used to synthesize a protein. This can be regulated by a variety of factors, including environmental stimuli. The transcription of DNA into mRNA is a highly regulated process that occurs in the nucleus of cells. This process is initiated by specific transcription factors that bind to promoter regions upstream of the gene. The promoter region is a sequence of DNA that signals the start of transcription. This region contains sequences that interact with proteins called transcription factors, which are responsible for activating gene transcription. There are many different transcription factors, and each one can activate or repress transcription from different genes. The translation of mRNA into proteins occurs in the cytoplasm and can be directed to different locations within the cell. The ribosomes are the site of protein synthesis, and they are composed of two subunits: a large subunit and a small subunit. The small subunit binds to mRNA and recognizes the codons, while the large subunit catalyzes the peptide bond formation between adjacent amino acids. tRNA molecules serve as intermediates between mRNA and protein synthesis, and they specifically recognize each codon and deliver its corresponding amino acid to the ribosome </w:t>
      </w:r>
      <w:r w:rsidRPr="007F77C5">
        <w:rPr>
          <w:rFonts w:cs="Times New Roman"/>
          <w:noProof/>
          <w:color w:val="000000" w:themeColor="text1"/>
        </w:rPr>
        <w:t>(</w:t>
      </w:r>
      <w:r w:rsidRPr="007F77C5">
        <w:rPr>
          <w:rFonts w:cs="Times New Roman"/>
        </w:rPr>
        <w:t>Arif et al., 2010</w:t>
      </w:r>
      <w:r w:rsidRPr="007F77C5">
        <w:rPr>
          <w:rFonts w:cs="Times New Roman"/>
          <w:noProof/>
          <w:color w:val="000000" w:themeColor="text1"/>
        </w:rPr>
        <w:t xml:space="preserve">; </w:t>
      </w:r>
      <w:r w:rsidRPr="007F77C5">
        <w:rPr>
          <w:rFonts w:cs="Times New Roman"/>
        </w:rPr>
        <w:t>Buchanan, 2015</w:t>
      </w:r>
      <w:r w:rsidRPr="007F77C5">
        <w:rPr>
          <w:rFonts w:cs="Times New Roman"/>
          <w:noProof/>
          <w:color w:val="000000" w:themeColor="text1"/>
        </w:rPr>
        <w:t xml:space="preserve">; </w:t>
      </w:r>
      <w:r w:rsidRPr="007F77C5">
        <w:rPr>
          <w:rFonts w:cs="Times New Roman"/>
        </w:rPr>
        <w:t>Carson, 2019</w:t>
      </w:r>
      <w:r w:rsidRPr="007F77C5">
        <w:rPr>
          <w:rFonts w:cs="Times New Roman"/>
          <w:noProof/>
          <w:color w:val="000000" w:themeColor="text1"/>
        </w:rPr>
        <w:t xml:space="preserve">; </w:t>
      </w:r>
      <w:r w:rsidRPr="007F77C5">
        <w:rPr>
          <w:rFonts w:cs="Times New Roman"/>
        </w:rPr>
        <w:t>Somssich, 2022</w:t>
      </w:r>
      <w:r w:rsidRPr="007F77C5">
        <w:rPr>
          <w:rFonts w:cs="Times New Roman"/>
          <w:noProof/>
          <w:color w:val="000000" w:themeColor="text1"/>
        </w:rPr>
        <w:t xml:space="preserve">; </w:t>
      </w:r>
      <w:r w:rsidRPr="007F77C5">
        <w:rPr>
          <w:rFonts w:cs="Times New Roman"/>
        </w:rPr>
        <w:t>Taiz et al., 2015</w:t>
      </w:r>
      <w:r w:rsidRPr="007F77C5">
        <w:rPr>
          <w:rFonts w:cs="Times New Roman"/>
          <w:noProof/>
          <w:color w:val="000000" w:themeColor="text1"/>
        </w:rPr>
        <w:t>)</w:t>
      </w:r>
      <w:r w:rsidRPr="007F77C5">
        <w:rPr>
          <w:rFonts w:cs="Times New Roman"/>
          <w:color w:val="000000" w:themeColor="text1"/>
        </w:rPr>
        <w:t xml:space="preserve">. </w:t>
      </w:r>
    </w:p>
    <w:p w14:paraId="2E15E12C" w14:textId="77777777" w:rsidR="00126D8D" w:rsidRPr="007F77C5" w:rsidRDefault="00126D8D" w:rsidP="00224B41">
      <w:pPr>
        <w:ind w:firstLine="720"/>
        <w:jc w:val="both"/>
        <w:rPr>
          <w:rFonts w:cs="Times New Roman"/>
          <w:color w:val="000000" w:themeColor="text1"/>
        </w:rPr>
      </w:pPr>
      <w:r w:rsidRPr="007F77C5">
        <w:rPr>
          <w:rFonts w:cs="Times New Roman"/>
          <w:color w:val="000000" w:themeColor="text1"/>
        </w:rPr>
        <w:t xml:space="preserve">Environmental stimuli can alter protein synthesis, which can, in turn, affect gene expression. For example, exposure to stress hormones can activate specific genes that encode proteins involved in stress responses. This can allow the cell to adapt to changes in its environment rapidly. Gene expression can also be regulated by epigenetic mechanisms, which are chemical </w:t>
      </w:r>
      <w:r w:rsidRPr="007F77C5">
        <w:rPr>
          <w:rFonts w:cs="Times New Roman"/>
          <w:color w:val="000000" w:themeColor="text1"/>
        </w:rPr>
        <w:lastRenderedPageBreak/>
        <w:t xml:space="preserve">modifications to DNA that can control gene function without changing the underlying sequence. These modifications can be passed down from one generation to the next, allowing organisms to respond quickly to changes in their environment </w:t>
      </w:r>
      <w:r w:rsidRPr="007F77C5">
        <w:rPr>
          <w:rFonts w:cs="Times New Roman"/>
          <w:noProof/>
          <w:color w:val="000000" w:themeColor="text1"/>
        </w:rPr>
        <w:t>(</w:t>
      </w:r>
      <w:r w:rsidRPr="007F77C5">
        <w:rPr>
          <w:rFonts w:cs="Times New Roman"/>
        </w:rPr>
        <w:t>Buchanan, 2015</w:t>
      </w:r>
      <w:r w:rsidRPr="007F77C5">
        <w:rPr>
          <w:rFonts w:cs="Times New Roman"/>
          <w:noProof/>
          <w:color w:val="000000" w:themeColor="text1"/>
        </w:rPr>
        <w:t xml:space="preserve">; </w:t>
      </w:r>
      <w:r w:rsidRPr="007F77C5">
        <w:rPr>
          <w:rFonts w:cs="Times New Roman"/>
        </w:rPr>
        <w:t>Carson, 2019</w:t>
      </w:r>
      <w:r w:rsidRPr="007F77C5">
        <w:rPr>
          <w:rFonts w:cs="Times New Roman"/>
          <w:noProof/>
          <w:color w:val="000000" w:themeColor="text1"/>
        </w:rPr>
        <w:t xml:space="preserve">; </w:t>
      </w:r>
      <w:r w:rsidRPr="007F77C5">
        <w:rPr>
          <w:rFonts w:cs="Times New Roman"/>
        </w:rPr>
        <w:t>Taiz et al., 2015</w:t>
      </w:r>
      <w:r w:rsidRPr="007F77C5">
        <w:rPr>
          <w:rFonts w:cs="Times New Roman"/>
          <w:noProof/>
          <w:color w:val="000000" w:themeColor="text1"/>
        </w:rPr>
        <w:t>)</w:t>
      </w:r>
      <w:r w:rsidRPr="007F77C5">
        <w:rPr>
          <w:rFonts w:cs="Times New Roman"/>
          <w:color w:val="000000" w:themeColor="text1"/>
        </w:rPr>
        <w:t>.</w:t>
      </w:r>
    </w:p>
    <w:p w14:paraId="186C1966" w14:textId="77777777" w:rsidR="00126D8D" w:rsidRPr="007F77C5" w:rsidRDefault="00126D8D" w:rsidP="00224B41">
      <w:pPr>
        <w:ind w:firstLine="720"/>
        <w:jc w:val="both"/>
        <w:rPr>
          <w:rFonts w:cs="Times New Roman"/>
          <w:color w:val="000000" w:themeColor="text1"/>
        </w:rPr>
      </w:pPr>
      <w:r w:rsidRPr="007F77C5">
        <w:rPr>
          <w:rFonts w:cs="Times New Roman"/>
          <w:color w:val="000000" w:themeColor="text1"/>
        </w:rPr>
        <w:t xml:space="preserve">One of the most prevalent molecular techniques is RNA sequencing (RNA-Seq). This technique allows for the examination of the transcriptome, or the RNA expressed from a given gene. RNA-Seq can be used to examine gene expression at different stages of development, in different tissues, or in response to different environmental conditions </w:t>
      </w:r>
      <w:r w:rsidRPr="007F77C5">
        <w:rPr>
          <w:rFonts w:cs="Times New Roman"/>
          <w:noProof/>
          <w:color w:val="000000" w:themeColor="text1"/>
        </w:rPr>
        <w:t>(</w:t>
      </w:r>
      <w:r w:rsidRPr="007F77C5">
        <w:rPr>
          <w:rFonts w:cs="Times New Roman"/>
        </w:rPr>
        <w:t>Arif et al., 2010</w:t>
      </w:r>
      <w:r w:rsidRPr="007F77C5">
        <w:rPr>
          <w:rFonts w:cs="Times New Roman"/>
          <w:noProof/>
          <w:color w:val="000000" w:themeColor="text1"/>
        </w:rPr>
        <w:t xml:space="preserve">; </w:t>
      </w:r>
      <w:r w:rsidRPr="007F77C5">
        <w:rPr>
          <w:rFonts w:cs="Times New Roman"/>
        </w:rPr>
        <w:t>Carson, 2019</w:t>
      </w:r>
      <w:r w:rsidRPr="007F77C5">
        <w:rPr>
          <w:rFonts w:cs="Times New Roman"/>
          <w:noProof/>
          <w:color w:val="000000" w:themeColor="text1"/>
        </w:rPr>
        <w:t xml:space="preserve">; </w:t>
      </w:r>
      <w:r w:rsidRPr="007F77C5">
        <w:rPr>
          <w:rFonts w:cs="Times New Roman"/>
        </w:rPr>
        <w:t>Gonda et al., 2020</w:t>
      </w:r>
      <w:r w:rsidRPr="007F77C5">
        <w:rPr>
          <w:rFonts w:cs="Times New Roman"/>
          <w:noProof/>
          <w:color w:val="000000" w:themeColor="text1"/>
        </w:rPr>
        <w:t xml:space="preserve">; </w:t>
      </w:r>
      <w:r w:rsidRPr="007F77C5">
        <w:rPr>
          <w:rFonts w:cs="Times New Roman"/>
        </w:rPr>
        <w:t>Sams et al., 2011</w:t>
      </w:r>
      <w:r w:rsidRPr="007F77C5">
        <w:rPr>
          <w:rFonts w:cs="Times New Roman"/>
          <w:noProof/>
          <w:color w:val="000000" w:themeColor="text1"/>
        </w:rPr>
        <w:t xml:space="preserve">; </w:t>
      </w:r>
      <w:r w:rsidRPr="007F77C5">
        <w:rPr>
          <w:rFonts w:cs="Times New Roman"/>
        </w:rPr>
        <w:t>Somssich, 2022</w:t>
      </w:r>
      <w:r w:rsidRPr="007F77C5">
        <w:rPr>
          <w:rFonts w:cs="Times New Roman"/>
          <w:noProof/>
          <w:color w:val="000000" w:themeColor="text1"/>
        </w:rPr>
        <w:t>)</w:t>
      </w:r>
      <w:r w:rsidRPr="007F77C5">
        <w:rPr>
          <w:rFonts w:cs="Times New Roman"/>
          <w:color w:val="000000" w:themeColor="text1"/>
        </w:rPr>
        <w:t xml:space="preserve">. The results of such studies can be used to determine how different light spectra affect specific primary and secondary metabolic pathways. This data can be used to optimize light conditions to grow high-quality crops in greenhouses or vertical farms. Additional details regarding specific techniques and methods related to the project can be found later in this document. </w:t>
      </w:r>
    </w:p>
    <w:p w14:paraId="06170B51" w14:textId="77777777" w:rsidR="00126D8D" w:rsidRPr="007F77C5" w:rsidRDefault="00126D8D" w:rsidP="00224B41">
      <w:pPr>
        <w:jc w:val="both"/>
        <w:rPr>
          <w:rFonts w:cs="Times New Roman"/>
          <w:color w:val="000000" w:themeColor="text1"/>
          <w:sz w:val="28"/>
        </w:rPr>
      </w:pPr>
    </w:p>
    <w:p w14:paraId="3D19CAD0" w14:textId="77777777" w:rsidR="00126D8D" w:rsidRPr="007F77C5" w:rsidRDefault="00126D8D" w:rsidP="00224B41">
      <w:pPr>
        <w:pStyle w:val="MastersThesisMainTitle"/>
      </w:pPr>
      <w:bookmarkStart w:id="74" w:name="_Toc113382868"/>
      <w:bookmarkStart w:id="75" w:name="_Toc114189704"/>
      <w:bookmarkStart w:id="76" w:name="_Toc114189785"/>
      <w:bookmarkStart w:id="77" w:name="_Toc139574779"/>
      <w:bookmarkStart w:id="78" w:name="_Toc141478649"/>
      <w:r w:rsidRPr="007F77C5">
        <w:t>Basil Background</w:t>
      </w:r>
      <w:bookmarkEnd w:id="74"/>
      <w:bookmarkEnd w:id="75"/>
      <w:bookmarkEnd w:id="76"/>
      <w:bookmarkEnd w:id="77"/>
      <w:bookmarkEnd w:id="78"/>
    </w:p>
    <w:p w14:paraId="218663BB" w14:textId="77777777" w:rsidR="00126D8D" w:rsidRPr="007F77C5" w:rsidRDefault="00126D8D" w:rsidP="00224B41">
      <w:pPr>
        <w:jc w:val="both"/>
        <w:rPr>
          <w:rFonts w:cs="Times New Roman"/>
          <w:color w:val="000000" w:themeColor="text1"/>
        </w:rPr>
      </w:pPr>
      <w:r w:rsidRPr="007F77C5">
        <w:rPr>
          <w:rFonts w:cs="Times New Roman"/>
          <w:color w:val="000000" w:themeColor="text1"/>
        </w:rPr>
        <w:tab/>
        <w:t>The herb commonly known as “sweet basil” belongs to the Plantae</w:t>
      </w:r>
      <w:r w:rsidRPr="007F77C5">
        <w:rPr>
          <w:rFonts w:cs="Times New Roman"/>
          <w:i/>
          <w:color w:val="000000" w:themeColor="text1"/>
        </w:rPr>
        <w:t xml:space="preserve"> </w:t>
      </w:r>
      <w:r w:rsidRPr="007F77C5">
        <w:rPr>
          <w:rFonts w:cs="Times New Roman"/>
          <w:color w:val="000000" w:themeColor="text1"/>
        </w:rPr>
        <w:t xml:space="preserve">Kingdom, Magnoliophyta Phylum, Magnoliopsida Class, Lamiales Order, Lamiacaea Family, </w:t>
      </w:r>
      <w:r w:rsidRPr="007F77C5">
        <w:rPr>
          <w:rFonts w:cs="Times New Roman"/>
          <w:i/>
          <w:color w:val="000000" w:themeColor="text1"/>
        </w:rPr>
        <w:t>Ocimum</w:t>
      </w:r>
      <w:r w:rsidRPr="007F77C5">
        <w:rPr>
          <w:rFonts w:cs="Times New Roman"/>
          <w:color w:val="000000" w:themeColor="text1"/>
        </w:rPr>
        <w:t xml:space="preserve"> Genus, and </w:t>
      </w:r>
      <w:r w:rsidRPr="007F77C5">
        <w:rPr>
          <w:rFonts w:cs="Times New Roman"/>
          <w:i/>
          <w:color w:val="000000" w:themeColor="text1"/>
        </w:rPr>
        <w:t>Basilicum</w:t>
      </w:r>
      <w:r w:rsidRPr="007F77C5">
        <w:rPr>
          <w:rFonts w:cs="Times New Roman"/>
          <w:color w:val="000000" w:themeColor="text1"/>
        </w:rPr>
        <w:t xml:space="preserve"> Species </w:t>
      </w:r>
      <w:r w:rsidRPr="007F77C5">
        <w:rPr>
          <w:rFonts w:cs="Times New Roman"/>
          <w:noProof/>
          <w:color w:val="000000" w:themeColor="text1"/>
        </w:rPr>
        <w:t>(</w:t>
      </w:r>
      <w:r w:rsidRPr="007F77C5">
        <w:rPr>
          <w:rFonts w:cs="Times New Roman"/>
        </w:rPr>
        <w:t>Tucker and Debaggio, 2009</w:t>
      </w:r>
      <w:r w:rsidRPr="007F77C5">
        <w:rPr>
          <w:rFonts w:cs="Times New Roman"/>
          <w:noProof/>
          <w:color w:val="000000" w:themeColor="text1"/>
        </w:rPr>
        <w:t>)</w:t>
      </w:r>
      <w:r w:rsidRPr="007F77C5">
        <w:rPr>
          <w:rFonts w:cs="Times New Roman"/>
          <w:color w:val="000000" w:themeColor="text1"/>
        </w:rPr>
        <w:t xml:space="preserve">. The </w:t>
      </w:r>
      <w:r w:rsidRPr="007F77C5">
        <w:rPr>
          <w:rFonts w:cs="Times New Roman"/>
          <w:i/>
          <w:iCs/>
          <w:color w:val="000000" w:themeColor="text1"/>
        </w:rPr>
        <w:t>Ocimum</w:t>
      </w:r>
      <w:r w:rsidRPr="007F77C5">
        <w:rPr>
          <w:rFonts w:cs="Times New Roman"/>
          <w:color w:val="000000" w:themeColor="text1"/>
        </w:rPr>
        <w:t xml:space="preserve"> genus has more than 65 known species and can survive in both tropic/subtropic regions </w:t>
      </w:r>
      <w:r w:rsidRPr="007F77C5">
        <w:rPr>
          <w:rFonts w:cs="Times New Roman"/>
          <w:noProof/>
          <w:color w:val="000000" w:themeColor="text1"/>
        </w:rPr>
        <w:t>(</w:t>
      </w:r>
      <w:r w:rsidRPr="007F77C5">
        <w:rPr>
          <w:rFonts w:cs="Times New Roman"/>
        </w:rPr>
        <w:t>Klimánková et al., 2008</w:t>
      </w:r>
      <w:r w:rsidRPr="007F77C5">
        <w:rPr>
          <w:rFonts w:cs="Times New Roman"/>
          <w:noProof/>
          <w:color w:val="000000" w:themeColor="text1"/>
        </w:rPr>
        <w:t xml:space="preserve">; </w:t>
      </w:r>
      <w:r w:rsidRPr="007F77C5">
        <w:rPr>
          <w:rFonts w:cs="Times New Roman"/>
        </w:rPr>
        <w:t>Tucker and Debaggio, 2009</w:t>
      </w:r>
      <w:r w:rsidRPr="007F77C5">
        <w:rPr>
          <w:rFonts w:cs="Times New Roman"/>
          <w:noProof/>
          <w:color w:val="000000" w:themeColor="text1"/>
        </w:rPr>
        <w:t>)</w:t>
      </w:r>
      <w:r w:rsidRPr="007F77C5">
        <w:rPr>
          <w:rFonts w:cs="Times New Roman"/>
          <w:color w:val="000000" w:themeColor="text1"/>
        </w:rPr>
        <w:t xml:space="preserve">. Basil is an annual flowering plant that originated in India. Depending on the variety, it can grow anywhere from 20-150 cm in height. It is highly nutritious, produces distinctive flavor compounds, and can be used in a wide range of applications </w:t>
      </w:r>
      <w:r w:rsidRPr="007F77C5">
        <w:rPr>
          <w:rFonts w:cs="Times New Roman"/>
          <w:noProof/>
          <w:color w:val="000000" w:themeColor="text1"/>
        </w:rPr>
        <w:t>(</w:t>
      </w:r>
      <w:r w:rsidRPr="007F77C5">
        <w:rPr>
          <w:rFonts w:cs="Times New Roman"/>
        </w:rPr>
        <w:t>Kopsell et al., 2005</w:t>
      </w:r>
      <w:r w:rsidRPr="007F77C5">
        <w:rPr>
          <w:rFonts w:cs="Times New Roman"/>
          <w:noProof/>
          <w:color w:val="000000" w:themeColor="text1"/>
        </w:rPr>
        <w:t xml:space="preserve">; </w:t>
      </w:r>
      <w:r w:rsidRPr="007F77C5">
        <w:rPr>
          <w:rFonts w:cs="Times New Roman"/>
        </w:rPr>
        <w:t>Naznin et al., 2019</w:t>
      </w:r>
      <w:r w:rsidRPr="007F77C5">
        <w:rPr>
          <w:rFonts w:cs="Times New Roman"/>
          <w:noProof/>
          <w:color w:val="000000" w:themeColor="text1"/>
        </w:rPr>
        <w:t xml:space="preserve">; </w:t>
      </w:r>
      <w:r w:rsidRPr="007F77C5">
        <w:rPr>
          <w:rFonts w:cs="Times New Roman"/>
        </w:rPr>
        <w:t>Shanmugam et al., 2018</w:t>
      </w:r>
      <w:r w:rsidRPr="007F77C5">
        <w:rPr>
          <w:rFonts w:cs="Times New Roman"/>
          <w:noProof/>
          <w:color w:val="000000" w:themeColor="text1"/>
        </w:rPr>
        <w:t>)</w:t>
      </w:r>
      <w:r w:rsidRPr="007F77C5">
        <w:rPr>
          <w:rFonts w:cs="Times New Roman"/>
          <w:color w:val="000000" w:themeColor="text1"/>
        </w:rPr>
        <w:t xml:space="preserve">. </w:t>
      </w:r>
    </w:p>
    <w:p w14:paraId="3BACD26D" w14:textId="77777777" w:rsidR="00126D8D" w:rsidRPr="007F77C5" w:rsidRDefault="00126D8D" w:rsidP="00224B41">
      <w:pPr>
        <w:ind w:firstLine="720"/>
        <w:jc w:val="both"/>
        <w:rPr>
          <w:rFonts w:cs="Times New Roman"/>
          <w:color w:val="000000" w:themeColor="text1"/>
        </w:rPr>
      </w:pPr>
      <w:r w:rsidRPr="007F77C5">
        <w:rPr>
          <w:rFonts w:cs="Times New Roman"/>
          <w:color w:val="000000" w:themeColor="text1"/>
        </w:rPr>
        <w:lastRenderedPageBreak/>
        <w:t xml:space="preserve">Significant morphological and biochemical differences naturally exist among different basil varieties </w:t>
      </w:r>
      <w:r w:rsidRPr="007F77C5">
        <w:rPr>
          <w:rFonts w:cs="Times New Roman"/>
          <w:noProof/>
          <w:color w:val="000000" w:themeColor="text1"/>
        </w:rPr>
        <w:t>(</w:t>
      </w:r>
      <w:r w:rsidRPr="007F77C5">
        <w:rPr>
          <w:rFonts w:cs="Times New Roman"/>
        </w:rPr>
        <w:t>Tucker and Debaggio, 2009</w:t>
      </w:r>
      <w:r w:rsidRPr="007F77C5">
        <w:rPr>
          <w:rFonts w:cs="Times New Roman"/>
          <w:noProof/>
          <w:color w:val="000000" w:themeColor="text1"/>
        </w:rPr>
        <w:t>)</w:t>
      </w:r>
      <w:r w:rsidRPr="007F77C5">
        <w:rPr>
          <w:rFonts w:cs="Times New Roman"/>
          <w:color w:val="000000" w:themeColor="text1"/>
        </w:rPr>
        <w:t xml:space="preserve">. Sweet basil has been broadly classified into seven different morphotypes, which include: 1) tall, slender types; 2) ‘Italian’ large-leafed types; 3) dwarf types (‘Bush’ or ‘Spicy Globe’ basils); 4) compact types (‘Thai’ basils); 5.) purple types (‘Purple Petra’); 6) </w:t>
      </w:r>
      <w:r w:rsidRPr="007F77C5">
        <w:rPr>
          <w:rFonts w:cs="Times New Roman"/>
          <w:i/>
          <w:color w:val="000000" w:themeColor="text1"/>
        </w:rPr>
        <w:t>purpurascens</w:t>
      </w:r>
      <w:r w:rsidRPr="007F77C5">
        <w:rPr>
          <w:rFonts w:cs="Times New Roman"/>
          <w:color w:val="000000" w:themeColor="text1"/>
        </w:rPr>
        <w:t xml:space="preserve"> types (‘Dark Opal’ and other sweet purple basils); and 7) </w:t>
      </w:r>
      <w:r w:rsidRPr="007F77C5">
        <w:rPr>
          <w:rFonts w:cs="Times New Roman"/>
          <w:i/>
          <w:color w:val="000000" w:themeColor="text1"/>
        </w:rPr>
        <w:t>citriodorum</w:t>
      </w:r>
      <w:r w:rsidRPr="007F77C5">
        <w:rPr>
          <w:rFonts w:cs="Times New Roman"/>
          <w:color w:val="000000" w:themeColor="text1"/>
        </w:rPr>
        <w:t xml:space="preserve"> types (flavored types) </w:t>
      </w:r>
      <w:r w:rsidRPr="007F77C5">
        <w:rPr>
          <w:rFonts w:cs="Times New Roman"/>
          <w:noProof/>
          <w:color w:val="000000" w:themeColor="text1"/>
        </w:rPr>
        <w:t>(</w:t>
      </w:r>
      <w:r w:rsidRPr="007F77C5">
        <w:rPr>
          <w:rFonts w:cs="Times New Roman"/>
        </w:rPr>
        <w:t>Hussain et al., 2008</w:t>
      </w:r>
      <w:r w:rsidRPr="007F77C5">
        <w:rPr>
          <w:rFonts w:cs="Times New Roman"/>
          <w:noProof/>
          <w:color w:val="000000" w:themeColor="text1"/>
        </w:rPr>
        <w:t xml:space="preserve">; </w:t>
      </w:r>
      <w:r w:rsidRPr="007F77C5">
        <w:rPr>
          <w:rFonts w:cs="Times New Roman"/>
        </w:rPr>
        <w:t>Tucker and Debaggio, 2009</w:t>
      </w:r>
      <w:r w:rsidRPr="007F77C5">
        <w:rPr>
          <w:rFonts w:cs="Times New Roman"/>
          <w:noProof/>
          <w:color w:val="000000" w:themeColor="text1"/>
        </w:rPr>
        <w:t>)</w:t>
      </w:r>
      <w:r w:rsidRPr="007F77C5">
        <w:rPr>
          <w:rFonts w:cs="Times New Roman"/>
          <w:color w:val="000000" w:themeColor="text1"/>
        </w:rPr>
        <w:t xml:space="preserve">. Flavor profiles, culinary/medicinal uses, customer preference, and demand/popularity vary significantly among these different morphotypes </w:t>
      </w:r>
      <w:r w:rsidRPr="007F77C5">
        <w:rPr>
          <w:rFonts w:cs="Times New Roman"/>
          <w:noProof/>
          <w:color w:val="000000" w:themeColor="text1"/>
        </w:rPr>
        <w:t>(</w:t>
      </w:r>
      <w:r w:rsidRPr="007F77C5">
        <w:rPr>
          <w:rFonts w:cs="Times New Roman"/>
        </w:rPr>
        <w:t>Deschamps and Simon, 2006</w:t>
      </w:r>
      <w:r w:rsidRPr="007F77C5">
        <w:rPr>
          <w:rFonts w:cs="Times New Roman"/>
          <w:noProof/>
          <w:color w:val="000000" w:themeColor="text1"/>
        </w:rPr>
        <w:t xml:space="preserve">; </w:t>
      </w:r>
      <w:r w:rsidRPr="007F77C5">
        <w:rPr>
          <w:rFonts w:cs="Times New Roman"/>
        </w:rPr>
        <w:t>Klimánková et al., 2008</w:t>
      </w:r>
      <w:r w:rsidRPr="007F77C5">
        <w:rPr>
          <w:rFonts w:cs="Times New Roman"/>
          <w:noProof/>
          <w:color w:val="000000" w:themeColor="text1"/>
        </w:rPr>
        <w:t>)</w:t>
      </w:r>
      <w:r w:rsidRPr="007F77C5">
        <w:rPr>
          <w:rFonts w:cs="Times New Roman"/>
          <w:color w:val="000000" w:themeColor="text1"/>
        </w:rPr>
        <w:t xml:space="preserve">. Genome sequencing has shown that sweet basil is a tetraploid organism with a genome size of approximately 2.13 Gbp </w:t>
      </w:r>
      <w:r w:rsidRPr="007F77C5">
        <w:rPr>
          <w:rFonts w:cs="Times New Roman"/>
          <w:noProof/>
          <w:color w:val="000000" w:themeColor="text1"/>
        </w:rPr>
        <w:t>(</w:t>
      </w:r>
      <w:r w:rsidRPr="007F77C5">
        <w:rPr>
          <w:rFonts w:cs="Times New Roman"/>
        </w:rPr>
        <w:t>Gonda et al., 2020</w:t>
      </w:r>
      <w:r w:rsidRPr="007F77C5">
        <w:rPr>
          <w:rFonts w:cs="Times New Roman"/>
          <w:noProof/>
          <w:color w:val="000000" w:themeColor="text1"/>
        </w:rPr>
        <w:t>)</w:t>
      </w:r>
      <w:r w:rsidRPr="007F77C5">
        <w:rPr>
          <w:rFonts w:cs="Times New Roman"/>
          <w:color w:val="000000" w:themeColor="text1"/>
        </w:rPr>
        <w:t>.</w:t>
      </w:r>
    </w:p>
    <w:p w14:paraId="7011831A" w14:textId="77777777" w:rsidR="00126D8D" w:rsidRPr="007F77C5" w:rsidRDefault="00126D8D" w:rsidP="00224B41">
      <w:pPr>
        <w:ind w:firstLine="720"/>
        <w:jc w:val="both"/>
        <w:rPr>
          <w:rFonts w:cs="Times New Roman"/>
          <w:color w:val="000000" w:themeColor="text1"/>
        </w:rPr>
      </w:pPr>
      <w:r w:rsidRPr="007F77C5">
        <w:rPr>
          <w:rFonts w:cs="Times New Roman"/>
          <w:color w:val="000000" w:themeColor="text1"/>
        </w:rPr>
        <w:t xml:space="preserve">Basil has been used in many ways throughout human history. Some of these applications include direct/indirect consumption, culinary use, medicinal use, and even the manufacture of secondary products like essential oils, soaps, perfumes, tinctures, etc. </w:t>
      </w:r>
      <w:r w:rsidRPr="007F77C5">
        <w:rPr>
          <w:rFonts w:cs="Times New Roman"/>
          <w:noProof/>
          <w:color w:val="000000" w:themeColor="text1"/>
        </w:rPr>
        <w:t>(</w:t>
      </w:r>
      <w:r w:rsidRPr="007F77C5">
        <w:rPr>
          <w:rFonts w:cs="Times New Roman"/>
        </w:rPr>
        <w:t>Raimondi et al., 2006</w:t>
      </w:r>
      <w:r w:rsidRPr="007F77C5">
        <w:rPr>
          <w:rFonts w:cs="Times New Roman"/>
          <w:noProof/>
          <w:color w:val="000000" w:themeColor="text1"/>
        </w:rPr>
        <w:t xml:space="preserve">; </w:t>
      </w:r>
      <w:r w:rsidRPr="007F77C5">
        <w:rPr>
          <w:rFonts w:cs="Times New Roman"/>
        </w:rPr>
        <w:t>Tucker and Debaggio, 2009</w:t>
      </w:r>
      <w:r w:rsidRPr="007F77C5">
        <w:rPr>
          <w:rFonts w:cs="Times New Roman"/>
          <w:noProof/>
          <w:color w:val="000000" w:themeColor="text1"/>
        </w:rPr>
        <w:t>)</w:t>
      </w:r>
      <w:r w:rsidRPr="007F77C5">
        <w:rPr>
          <w:rFonts w:cs="Times New Roman"/>
          <w:color w:val="000000" w:themeColor="text1"/>
        </w:rPr>
        <w:t xml:space="preserve">. The primary use of both fresh and dried basil is cooking. It has been cultivated and used as a flavoring agent for centuries across the globe. The essential oil extracted from fresh basil tissue contributes many flavors, aromas, and other phytonutrients to products in the food and cosmetic industries </w:t>
      </w:r>
      <w:r w:rsidRPr="007F77C5">
        <w:rPr>
          <w:rFonts w:cs="Times New Roman"/>
          <w:noProof/>
          <w:color w:val="000000" w:themeColor="text1"/>
        </w:rPr>
        <w:t>(</w:t>
      </w:r>
      <w:r w:rsidRPr="007F77C5">
        <w:rPr>
          <w:rFonts w:cs="Times New Roman"/>
        </w:rPr>
        <w:t>Barbieri et al., 2004</w:t>
      </w:r>
      <w:r w:rsidRPr="007F77C5">
        <w:rPr>
          <w:rFonts w:cs="Times New Roman"/>
          <w:noProof/>
          <w:color w:val="000000" w:themeColor="text1"/>
        </w:rPr>
        <w:t>)</w:t>
      </w:r>
      <w:r w:rsidRPr="007F77C5">
        <w:rPr>
          <w:rFonts w:cs="Times New Roman"/>
          <w:color w:val="000000" w:themeColor="text1"/>
        </w:rPr>
        <w:t xml:space="preserve">. </w:t>
      </w:r>
    </w:p>
    <w:p w14:paraId="6ADF5EAD" w14:textId="77777777" w:rsidR="00126D8D" w:rsidRPr="007F77C5" w:rsidRDefault="00126D8D" w:rsidP="00224B41">
      <w:pPr>
        <w:ind w:firstLine="720"/>
        <w:jc w:val="both"/>
        <w:rPr>
          <w:rFonts w:cs="Times New Roman"/>
          <w:color w:val="000000" w:themeColor="text1"/>
        </w:rPr>
      </w:pPr>
      <w:r w:rsidRPr="007F77C5">
        <w:rPr>
          <w:rFonts w:cs="Times New Roman"/>
          <w:color w:val="000000" w:themeColor="text1"/>
        </w:rPr>
        <w:t xml:space="preserve">In general, the basil market has seen a shift in taste preference from Italian large leaf varieties to flavored varieties. This trend has been compounded by the popularity of breeding trials, specific LED supplemental lighting treatments, and other types of deliberate manipulations of environmental parameters to change flavor profiles. Basil consumption in the U.S. increased about 8-fold from 1960 to 1996 </w:t>
      </w:r>
      <w:r w:rsidRPr="007F77C5">
        <w:rPr>
          <w:rFonts w:cs="Times New Roman"/>
          <w:noProof/>
          <w:color w:val="000000" w:themeColor="text1"/>
        </w:rPr>
        <w:t>(</w:t>
      </w:r>
      <w:r w:rsidRPr="007F77C5">
        <w:rPr>
          <w:rFonts w:cs="Times New Roman"/>
        </w:rPr>
        <w:t>Klimánková et al., 2008</w:t>
      </w:r>
      <w:r w:rsidRPr="007F77C5">
        <w:rPr>
          <w:rFonts w:cs="Times New Roman"/>
          <w:noProof/>
          <w:color w:val="000000" w:themeColor="text1"/>
        </w:rPr>
        <w:t>)</w:t>
      </w:r>
      <w:r w:rsidRPr="007F77C5">
        <w:rPr>
          <w:rFonts w:cs="Times New Roman"/>
          <w:color w:val="000000" w:themeColor="text1"/>
        </w:rPr>
        <w:t xml:space="preserve">. It currently has one of the highest market values out of common culinary herbs. In addition, the global basil market (including food, </w:t>
      </w:r>
      <w:r w:rsidRPr="007F77C5">
        <w:rPr>
          <w:rFonts w:cs="Times New Roman"/>
          <w:color w:val="000000" w:themeColor="text1"/>
        </w:rPr>
        <w:lastRenderedPageBreak/>
        <w:t xml:space="preserve">beverage, pharmaceutical, and cosmetic industries) was estimated at 58 million USD in 2021 and is expected to reach 64 million USD by 2028 </w:t>
      </w:r>
      <w:r w:rsidRPr="007F77C5">
        <w:rPr>
          <w:rFonts w:cs="Times New Roman"/>
          <w:noProof/>
          <w:color w:val="000000" w:themeColor="text1"/>
        </w:rPr>
        <w:t>(</w:t>
      </w:r>
      <w:r w:rsidRPr="007F77C5">
        <w:rPr>
          <w:rFonts w:cs="Times New Roman"/>
        </w:rPr>
        <w:t>Marketwatch, 2022</w:t>
      </w:r>
      <w:r w:rsidRPr="007F77C5">
        <w:rPr>
          <w:rFonts w:cs="Times New Roman"/>
          <w:noProof/>
          <w:color w:val="000000" w:themeColor="text1"/>
        </w:rPr>
        <w:t>)</w:t>
      </w:r>
      <w:r w:rsidRPr="007F77C5">
        <w:rPr>
          <w:rFonts w:cs="Times New Roman"/>
          <w:color w:val="000000" w:themeColor="text1"/>
        </w:rPr>
        <w:t>.</w:t>
      </w:r>
      <w:r w:rsidRPr="007F77C5">
        <w:rPr>
          <w:rFonts w:cs="Times New Roman"/>
          <w:color w:val="000000" w:themeColor="text1"/>
        </w:rPr>
        <w:fldChar w:fldCharType="begin"/>
      </w:r>
      <w:r w:rsidRPr="007F77C5">
        <w:rPr>
          <w:rFonts w:cs="Times New Roman"/>
          <w:color w:val="000000" w:themeColor="text1"/>
        </w:rPr>
        <w:instrText xml:space="preserve"> ))  asdf ADDIN EN.CITE &lt;EndNote&gt;&lt;Cite&gt;&lt;Author&gt;MarketWatch&lt;/Author&gt;&lt;Year&gt;2022 &lt;/Year&gt;&lt;RecNum&gt;1080&lt;/RecNum&gt;&lt;DisplayText&gt;(Marketwatch, 2022 )&lt;/DisplayText&gt;&lt;record&gt;&lt;rec-number&gt;1080&lt;/rec-number&gt;&lt;foreign-keys&gt;&lt;key app="EN" db-id="axeewa00ver0aaeda5zp2exqvwvrdwv2s229" timestamp="1662619000" guid="f0ba9965-0c7c-4ab6-922e-a1fa403588f1"&gt;1080&lt;/key&gt;&lt;/foreign-keys&gt;&lt;ref-type name="Web Page"&gt;12&lt;/ref-type&gt;&lt;contributors&gt;&lt;authors&gt;&lt;author&gt;MarketWatch&lt;/author&gt;&lt;/authors&gt;&lt;/contributors&gt;&lt;titles&gt;&lt;title&gt;Basil Leaves Market Size Growth Expected at 1.36% CAGR by Forecast 2028.&lt;/title&gt;&lt;/titles&gt;&lt;dates&gt;&lt;year&gt;2022 &lt;/year&gt;&lt;/dates&gt;&lt;urls&gt;&lt;related-urls&gt;&lt;url&gt;https://www.marketwatch.com/press-release/basil-leaves-market-size-growth-expected-at-136-cagr-by-forecast-2028-118-pages-report-2022-08-11&lt;/url&gt;&lt;/related-urls&gt;&lt;/urls&gt;&lt;/record&gt;&lt;/Cite&gt;&lt;/EndNote&gt;</w:instrText>
      </w:r>
      <w:r w:rsidRPr="007F77C5">
        <w:rPr>
          <w:rFonts w:cs="Times New Roman"/>
          <w:color w:val="000000" w:themeColor="text1"/>
        </w:rPr>
        <w:fldChar w:fldCharType="separate"/>
      </w:r>
      <w:r w:rsidRPr="007F77C5">
        <w:rPr>
          <w:rFonts w:cs="Times New Roman"/>
          <w:noProof/>
          <w:color w:val="000000" w:themeColor="text1"/>
        </w:rPr>
        <w:t>(</w:t>
      </w:r>
      <w:hyperlink w:anchor="_ENREF_7" w:tooltip="MarketWatch, 2022  #1080" w:history="1">
        <w:r w:rsidRPr="007F77C5">
          <w:rPr>
            <w:rFonts w:cs="Times New Roman"/>
            <w:color w:val="000000" w:themeColor="text1"/>
            <w:u w:val="single"/>
          </w:rPr>
          <w:t xml:space="preserve">Marketwatch, 2022 </w:t>
        </w:r>
      </w:hyperlink>
      <w:r w:rsidRPr="007F77C5">
        <w:rPr>
          <w:rFonts w:cs="Times New Roman"/>
          <w:noProof/>
          <w:color w:val="000000" w:themeColor="text1"/>
        </w:rPr>
        <w:t>)</w:t>
      </w:r>
      <w:r w:rsidRPr="007F77C5">
        <w:rPr>
          <w:rFonts w:cs="Times New Roman"/>
          <w:color w:val="000000" w:themeColor="text1"/>
        </w:rPr>
        <w:fldChar w:fldCharType="end"/>
      </w:r>
    </w:p>
    <w:p w14:paraId="163FF1C9" w14:textId="77777777" w:rsidR="00126D8D" w:rsidRPr="007F77C5" w:rsidRDefault="00126D8D" w:rsidP="00224B41">
      <w:pPr>
        <w:ind w:firstLine="720"/>
        <w:jc w:val="both"/>
        <w:rPr>
          <w:rFonts w:cs="Times New Roman"/>
          <w:color w:val="000000" w:themeColor="text1"/>
        </w:rPr>
      </w:pPr>
      <w:r w:rsidRPr="007F77C5">
        <w:rPr>
          <w:rFonts w:cs="Times New Roman"/>
          <w:color w:val="000000" w:themeColor="text1"/>
        </w:rPr>
        <w:t>Basil has traditionally been cultivated in open fields; a large part of the global supply is still produced outdoors. Outdoor crops may be subject to unfavorable environmental conditions in addition to disease and pest pressures. Extreme weather, such as harsh temperatures and water stress, negatively impacts yield and quality parameters. Greenhouse hydroponic basil production provides optimal environmental control and fertility conditions, which can directly improve yields and quality. In addition to controlling temperature, humidity, and irrigation, many commercial greenhouse basil producers implement some type of supplemental lighting system to overcome adverse lighting conditions (i.e., lack of quality or intensity during winter months).</w:t>
      </w:r>
    </w:p>
    <w:p w14:paraId="2E2B64E4" w14:textId="77777777" w:rsidR="00126D8D" w:rsidRPr="007F77C5" w:rsidRDefault="00126D8D" w:rsidP="00224B41">
      <w:pPr>
        <w:ind w:firstLine="720"/>
        <w:jc w:val="both"/>
        <w:rPr>
          <w:rFonts w:cs="Times New Roman"/>
          <w:color w:val="000000" w:themeColor="text1"/>
        </w:rPr>
      </w:pPr>
      <w:r w:rsidRPr="007F77C5">
        <w:rPr>
          <w:rFonts w:cs="Times New Roman"/>
          <w:color w:val="000000" w:themeColor="text1"/>
        </w:rPr>
        <w:t>Basil was chosen for this experiment for several reasons. It makes an excellent model crop to use for light experiments and can be used to predict the impacts of light spectral quality/intensity on other high-value specialty crops (both at the primary and secondary metabolic level), specifically those in the Lamiaceae family (i.e., economically relevant). It contains a large portion of the secondary pathways that are required to produce important flavor, aroma, and medicinal compounds (isoprenoids, phenols, flavonoids, antioxidants) that are of great interest to both industry and research. The genome for basil has been fully sequenced, which will provide a solid baseline for our proposed mRNA sequencing experiments. Finally, sweet basil is among the most popular medicinal/culinary herbs across many cultures and cuisines.</w:t>
      </w:r>
    </w:p>
    <w:p w14:paraId="36C4DFAE" w14:textId="55FBD8D9" w:rsidR="00126D8D" w:rsidRPr="00E94DE1" w:rsidRDefault="00126D8D" w:rsidP="00E94DE1">
      <w:pPr>
        <w:spacing w:line="240" w:lineRule="auto"/>
        <w:rPr>
          <w:color w:val="000000" w:themeColor="text1"/>
        </w:rPr>
      </w:pPr>
      <w:r w:rsidRPr="007F77C5">
        <w:rPr>
          <w:rFonts w:cs="Times New Roman"/>
          <w:color w:val="000000" w:themeColor="text1"/>
        </w:rPr>
        <w:t>Determining how spectral quality affects the aroma perception of basil and other high-value specialty crops will be vital as indoor production and vertical farms become more popular. If we can manipulate spectral quality to increase phytonutrient concentrations in basil (and other popular crops), we can provide healthier food and indirectly improve consumers' health.</w:t>
      </w:r>
      <w:bookmarkStart w:id="79" w:name="_Toc113382869"/>
      <w:bookmarkStart w:id="80" w:name="_Toc114189705"/>
      <w:bookmarkStart w:id="81" w:name="_Toc114189786"/>
    </w:p>
    <w:p w14:paraId="39C5F0F3" w14:textId="77777777" w:rsidR="00126D8D" w:rsidRPr="007F77C5" w:rsidRDefault="00126D8D" w:rsidP="00224B41">
      <w:pPr>
        <w:pStyle w:val="MastersThesisMainTitle"/>
      </w:pPr>
      <w:bookmarkStart w:id="82" w:name="_Toc139574780"/>
      <w:bookmarkStart w:id="83" w:name="_Toc141478650"/>
      <w:r w:rsidRPr="007F77C5">
        <w:t>Research Objectives</w:t>
      </w:r>
      <w:bookmarkEnd w:id="79"/>
      <w:bookmarkEnd w:id="80"/>
      <w:bookmarkEnd w:id="81"/>
      <w:bookmarkEnd w:id="82"/>
      <w:bookmarkEnd w:id="83"/>
      <w:r w:rsidRPr="007F77C5">
        <w:t xml:space="preserve">  </w:t>
      </w:r>
    </w:p>
    <w:p w14:paraId="79B972D7" w14:textId="77777777" w:rsidR="00126D8D" w:rsidRPr="007F77C5" w:rsidRDefault="00126D8D" w:rsidP="00224B41">
      <w:pPr>
        <w:ind w:firstLine="720"/>
        <w:jc w:val="both"/>
        <w:rPr>
          <w:rFonts w:cs="Times New Roman"/>
          <w:color w:val="000000" w:themeColor="text1"/>
        </w:rPr>
      </w:pPr>
      <w:r w:rsidRPr="007F77C5">
        <w:rPr>
          <w:rFonts w:cs="Times New Roman"/>
          <w:color w:val="000000" w:themeColor="text1"/>
        </w:rPr>
        <w:lastRenderedPageBreak/>
        <w:t xml:space="preserve">The primary objective of this project is to explore how alterations in spectral quality (from supplementary lighting and seasonal changes) affect primary and secondary metabolism in hydroponically grown greenhouse basil. We aim to push the bounds of current knowledge regarding plant/light interaction and provide practical advice to LED manufacturers and commercial growers. Based on previous and current studies, we believe altering spectral quality will significantly impact primary and secondary metabolism and can be used as a tool to improve flavor and/or increase phytonutrients with human health benefits.  </w:t>
      </w:r>
    </w:p>
    <w:p w14:paraId="5A7796C4" w14:textId="77777777" w:rsidR="00126D8D" w:rsidRDefault="00126D8D" w:rsidP="00224B41">
      <w:pPr>
        <w:ind w:firstLine="720"/>
        <w:jc w:val="both"/>
        <w:rPr>
          <w:rFonts w:cs="Times New Roman"/>
          <w:color w:val="000000" w:themeColor="text1"/>
        </w:rPr>
      </w:pPr>
      <w:r w:rsidRPr="007F77C5">
        <w:rPr>
          <w:rFonts w:cs="Times New Roman"/>
          <w:color w:val="000000" w:themeColor="text1"/>
        </w:rPr>
        <w:t xml:space="preserve">During the transition semester between my MS and PhD, I conducted research to obtain the optimal ratio of B/R narrowband LED lighting across a variety of yield and quality parameters for greenhouse basil production. In addition to my MS research </w:t>
      </w:r>
      <w:r w:rsidRPr="007F77C5">
        <w:rPr>
          <w:rFonts w:cs="Times New Roman"/>
          <w:noProof/>
          <w:color w:val="000000" w:themeColor="text1"/>
        </w:rPr>
        <w:t>(</w:t>
      </w:r>
      <w:r w:rsidRPr="007F77C5">
        <w:rPr>
          <w:rFonts w:cs="Times New Roman"/>
        </w:rPr>
        <w:t>Hammock, 2018</w:t>
      </w:r>
      <w:r w:rsidRPr="007F77C5">
        <w:rPr>
          <w:rFonts w:cs="Times New Roman"/>
          <w:noProof/>
          <w:color w:val="000000" w:themeColor="text1"/>
        </w:rPr>
        <w:t>)</w:t>
      </w:r>
      <w:r w:rsidRPr="007F77C5">
        <w:rPr>
          <w:rFonts w:cs="Times New Roman"/>
          <w:color w:val="000000" w:themeColor="text1"/>
        </w:rPr>
        <w:t xml:space="preserve">, the results of those experiments established the ratio of B20/R80 to be ideal in terms of edible tissue biomass, nutrient uptake, carotenoid bioaccumulation, and aroma volatile products. We showed that the ideal B/R ratio and DLI provided with supplemental light varies according to the season (i.e., spectral quality and DLI requirements will change depending on the time of year and location) </w:t>
      </w:r>
      <w:r w:rsidRPr="007F77C5">
        <w:rPr>
          <w:rFonts w:cs="Times New Roman"/>
          <w:noProof/>
          <w:color w:val="000000" w:themeColor="text1"/>
        </w:rPr>
        <w:t>(</w:t>
      </w:r>
      <w:r w:rsidRPr="007F77C5">
        <w:rPr>
          <w:rFonts w:cs="Times New Roman"/>
        </w:rPr>
        <w:t>Hammock, 2018</w:t>
      </w:r>
      <w:r w:rsidRPr="007F77C5">
        <w:rPr>
          <w:rFonts w:cs="Times New Roman"/>
          <w:noProof/>
          <w:color w:val="000000" w:themeColor="text1"/>
        </w:rPr>
        <w:t>)</w:t>
      </w:r>
      <w:r w:rsidRPr="007F77C5">
        <w:rPr>
          <w:rFonts w:cs="Times New Roman"/>
          <w:color w:val="000000" w:themeColor="text1"/>
        </w:rPr>
        <w:t xml:space="preserve">. Variety trials were also performed to determine ideal basil varieties for experimentation. With this optimized lighting regime in mind, we sought to further explore the interaction between spectral quality and plant </w:t>
      </w:r>
      <w:r>
        <w:rPr>
          <w:rFonts w:cs="Times New Roman"/>
          <w:color w:val="000000" w:themeColor="text1"/>
        </w:rPr>
        <w:t xml:space="preserve">primary and secondary </w:t>
      </w:r>
      <w:r w:rsidRPr="007F77C5">
        <w:rPr>
          <w:rFonts w:cs="Times New Roman"/>
          <w:color w:val="000000" w:themeColor="text1"/>
        </w:rPr>
        <w:t xml:space="preserve">metabolism by designing </w:t>
      </w:r>
      <w:r>
        <w:rPr>
          <w:rFonts w:cs="Times New Roman"/>
          <w:color w:val="000000" w:themeColor="text1"/>
        </w:rPr>
        <w:t>a number of concurrent</w:t>
      </w:r>
      <w:r w:rsidRPr="007F77C5">
        <w:rPr>
          <w:rFonts w:cs="Times New Roman"/>
          <w:color w:val="000000" w:themeColor="text1"/>
        </w:rPr>
        <w:t xml:space="preserve"> experiments that would build on our previous studies</w:t>
      </w:r>
      <w:r>
        <w:rPr>
          <w:rFonts w:cs="Times New Roman"/>
          <w:color w:val="000000" w:themeColor="text1"/>
        </w:rPr>
        <w:t xml:space="preserve">. </w:t>
      </w:r>
    </w:p>
    <w:p w14:paraId="38DFD65D" w14:textId="77777777" w:rsidR="00126D8D" w:rsidRPr="007F77C5" w:rsidRDefault="00126D8D" w:rsidP="00224B41">
      <w:pPr>
        <w:ind w:firstLine="720"/>
        <w:jc w:val="both"/>
        <w:rPr>
          <w:rFonts w:cs="Times New Roman"/>
          <w:color w:val="000000" w:themeColor="text1"/>
        </w:rPr>
      </w:pPr>
    </w:p>
    <w:p w14:paraId="7E2F7C9B" w14:textId="77777777" w:rsidR="00126D8D" w:rsidRDefault="00126D8D">
      <w:pPr>
        <w:spacing w:line="240" w:lineRule="auto"/>
        <w:rPr>
          <w:rFonts w:cs="Times New Roman"/>
          <w:b/>
          <w:i/>
          <w:iCs/>
          <w:sz w:val="26"/>
          <w:szCs w:val="26"/>
        </w:rPr>
      </w:pPr>
      <w:bookmarkStart w:id="84" w:name="_Toc114189706"/>
      <w:r>
        <w:br w:type="page"/>
      </w:r>
    </w:p>
    <w:p w14:paraId="7ECC49CE" w14:textId="77777777" w:rsidR="00126D8D" w:rsidRPr="007F77C5" w:rsidRDefault="00126D8D" w:rsidP="00224B41">
      <w:pPr>
        <w:pStyle w:val="MastersThesisSectionHeader"/>
      </w:pPr>
      <w:bookmarkStart w:id="85" w:name="_Toc139574781"/>
      <w:bookmarkStart w:id="86" w:name="_Toc141478651"/>
      <w:r w:rsidRPr="007F77C5">
        <w:lastRenderedPageBreak/>
        <w:t>Phase 1 -- B/R Narrowband Light</w:t>
      </w:r>
      <w:bookmarkEnd w:id="84"/>
      <w:bookmarkEnd w:id="85"/>
      <w:bookmarkEnd w:id="86"/>
    </w:p>
    <w:p w14:paraId="7E385BA5" w14:textId="77777777" w:rsidR="00126D8D" w:rsidRPr="007F77C5" w:rsidRDefault="00126D8D" w:rsidP="00224B41">
      <w:pPr>
        <w:ind w:firstLine="720"/>
        <w:jc w:val="both"/>
        <w:rPr>
          <w:rFonts w:cs="Times New Roman"/>
          <w:color w:val="000000" w:themeColor="text1"/>
        </w:rPr>
      </w:pPr>
      <w:r w:rsidRPr="007F77C5">
        <w:rPr>
          <w:rFonts w:cs="Times New Roman"/>
          <w:color w:val="000000" w:themeColor="text1"/>
        </w:rPr>
        <w:t xml:space="preserve">During the first year of this project, we took various wavelengths of narrowband light and further explored the optimal ratio of B20/R80 from my master’s research </w:t>
      </w:r>
      <w:r w:rsidRPr="007F77C5">
        <w:rPr>
          <w:rFonts w:cs="Times New Roman"/>
          <w:noProof/>
          <w:color w:val="000000" w:themeColor="text1"/>
        </w:rPr>
        <w:t>(</w:t>
      </w:r>
      <w:r w:rsidRPr="007F77C5">
        <w:rPr>
          <w:rFonts w:cs="Times New Roman"/>
        </w:rPr>
        <w:t>Hammock, 2018</w:t>
      </w:r>
      <w:r w:rsidRPr="007F77C5">
        <w:rPr>
          <w:rFonts w:cs="Times New Roman"/>
          <w:noProof/>
          <w:color w:val="000000" w:themeColor="text1"/>
        </w:rPr>
        <w:t xml:space="preserve">; </w:t>
      </w:r>
      <w:r w:rsidRPr="007F77C5">
        <w:rPr>
          <w:rFonts w:cs="Times New Roman"/>
        </w:rPr>
        <w:t>Hammock et al., 2020</w:t>
      </w:r>
      <w:r w:rsidRPr="007F77C5">
        <w:rPr>
          <w:rFonts w:cs="Times New Roman"/>
          <w:noProof/>
          <w:color w:val="000000" w:themeColor="text1"/>
        </w:rPr>
        <w:t xml:space="preserve">; </w:t>
      </w:r>
      <w:r w:rsidRPr="007F77C5">
        <w:rPr>
          <w:rFonts w:cs="Times New Roman"/>
        </w:rPr>
        <w:t>Hammock et al., 2021</w:t>
      </w:r>
      <w:r w:rsidRPr="007F77C5">
        <w:rPr>
          <w:rFonts w:cs="Times New Roman"/>
          <w:noProof/>
          <w:color w:val="000000" w:themeColor="text1"/>
        </w:rPr>
        <w:t>)</w:t>
      </w:r>
      <w:r w:rsidRPr="007F77C5">
        <w:rPr>
          <w:rFonts w:cs="Times New Roman"/>
          <w:color w:val="000000" w:themeColor="text1"/>
        </w:rPr>
        <w:t xml:space="preserve">. </w:t>
      </w:r>
    </w:p>
    <w:p w14:paraId="5320B3DD" w14:textId="77777777" w:rsidR="00126D8D" w:rsidRDefault="00126D8D" w:rsidP="00224B41">
      <w:pPr>
        <w:ind w:firstLine="720"/>
        <w:jc w:val="both"/>
        <w:rPr>
          <w:rFonts w:cs="Times New Roman"/>
          <w:color w:val="000000" w:themeColor="text1"/>
        </w:rPr>
      </w:pPr>
      <w:r w:rsidRPr="007F77C5">
        <w:rPr>
          <w:rFonts w:cs="Times New Roman"/>
          <w:color w:val="000000" w:themeColor="text1"/>
        </w:rPr>
        <w:t>The first objective was to determine the impact of discrete narrow-band blue/red (B/R) wavelengths on key aroma volatile concentrations in hydroponically grown basil. The second objective was to investigate secondary metabolic resource partitioning in response to specific blue/red supplemental wavelengths and variation in natural light (NL) intensity/spectral quality across growing seasons. By adding the same intensity of light across all treatments at the same ratio, but changing the specific narrowband blue wavelengths provided (i.e., 400 nm, 420 nm, 450 nm, 470 nm), we were able to show the influence of spectral quality (both seasonal and supplemental lighting effects) on primary and secondary metabolism. HPS, narrowband physiospec (blue/red), and full spectrum neutral white LED were added as a baseline. After exploring how combinations of different narrowband wavelengths influenced basil metabolism, we obtained a specific combination of B/R wavelengths (at the 20/80 ratio) that was ideal for yield (i.e., edible fresh and dry mass), aroma, and other quality parameters.</w:t>
      </w:r>
    </w:p>
    <w:p w14:paraId="28A106EB" w14:textId="77777777" w:rsidR="00126D8D" w:rsidRPr="007F77C5" w:rsidRDefault="00126D8D" w:rsidP="00224B41">
      <w:pPr>
        <w:ind w:firstLine="720"/>
        <w:jc w:val="both"/>
        <w:rPr>
          <w:rFonts w:cs="Times New Roman"/>
          <w:color w:val="000000" w:themeColor="text1"/>
        </w:rPr>
      </w:pPr>
    </w:p>
    <w:p w14:paraId="449332D9" w14:textId="77777777" w:rsidR="00126D8D" w:rsidRPr="007F77C5" w:rsidRDefault="00126D8D" w:rsidP="00224B41">
      <w:pPr>
        <w:pStyle w:val="MastersThesisSectionHeader"/>
      </w:pPr>
      <w:bookmarkStart w:id="87" w:name="_Toc114189707"/>
      <w:bookmarkStart w:id="88" w:name="_Toc139574782"/>
      <w:bookmarkStart w:id="89" w:name="_Toc141478652"/>
      <w:r w:rsidRPr="007F77C5">
        <w:t>Phase 2 -- Warm/Cool Full Spectrum White Light</w:t>
      </w:r>
      <w:bookmarkEnd w:id="87"/>
      <w:bookmarkEnd w:id="88"/>
      <w:bookmarkEnd w:id="89"/>
    </w:p>
    <w:p w14:paraId="5E1281A0" w14:textId="77777777" w:rsidR="00126D8D" w:rsidRDefault="00126D8D" w:rsidP="00224B41">
      <w:pPr>
        <w:ind w:firstLine="720"/>
        <w:jc w:val="both"/>
        <w:rPr>
          <w:rFonts w:cs="Times New Roman"/>
          <w:color w:val="000000" w:themeColor="text1"/>
        </w:rPr>
      </w:pPr>
      <w:r w:rsidRPr="007F77C5">
        <w:rPr>
          <w:rFonts w:cs="Times New Roman"/>
          <w:color w:val="000000" w:themeColor="text1"/>
        </w:rPr>
        <w:t xml:space="preserve">There has been significant discussion about the advantages and disadvantages between full spectrum supplements and narrowband B/R LEDs. A growing body of literature has shown the impacts of various broad and narrowband spectral distributions across many high-value crops. In the second year of this project, we explored the impact of two types of full spectrum white LEDs (“cool” LEDs with a higher B/R ratio and “warm” LEDs with a lower B/R ratio) on the same yield </w:t>
      </w:r>
      <w:r w:rsidRPr="007F77C5">
        <w:rPr>
          <w:rFonts w:cs="Times New Roman"/>
          <w:color w:val="000000" w:themeColor="text1"/>
        </w:rPr>
        <w:lastRenderedPageBreak/>
        <w:t xml:space="preserve">and quality parameters that were looked at in the first experiment. We compared the best B/R ratio (from my MS) </w:t>
      </w:r>
      <w:r w:rsidRPr="007F77C5">
        <w:rPr>
          <w:rFonts w:cs="Times New Roman"/>
          <w:noProof/>
          <w:color w:val="000000" w:themeColor="text1"/>
        </w:rPr>
        <w:t>(</w:t>
      </w:r>
      <w:r w:rsidRPr="007F77C5">
        <w:rPr>
          <w:rFonts w:cs="Times New Roman"/>
        </w:rPr>
        <w:t>Hammock, 2018</w:t>
      </w:r>
      <w:r w:rsidRPr="007F77C5">
        <w:rPr>
          <w:rFonts w:cs="Times New Roman"/>
          <w:noProof/>
          <w:color w:val="000000" w:themeColor="text1"/>
        </w:rPr>
        <w:t xml:space="preserve">; </w:t>
      </w:r>
      <w:r w:rsidRPr="007F77C5">
        <w:rPr>
          <w:rFonts w:cs="Times New Roman"/>
        </w:rPr>
        <w:t>Hammock et al., 2020</w:t>
      </w:r>
      <w:r w:rsidRPr="007F77C5">
        <w:rPr>
          <w:rFonts w:cs="Times New Roman"/>
          <w:noProof/>
          <w:color w:val="000000" w:themeColor="text1"/>
        </w:rPr>
        <w:t xml:space="preserve">; </w:t>
      </w:r>
      <w:r w:rsidRPr="007F77C5">
        <w:rPr>
          <w:rFonts w:cs="Times New Roman"/>
        </w:rPr>
        <w:t>Hammock et al., 2021</w:t>
      </w:r>
      <w:r w:rsidRPr="007F77C5">
        <w:rPr>
          <w:rFonts w:cs="Times New Roman"/>
          <w:noProof/>
          <w:color w:val="000000" w:themeColor="text1"/>
        </w:rPr>
        <w:t>)</w:t>
      </w:r>
      <w:r w:rsidRPr="007F77C5">
        <w:rPr>
          <w:rFonts w:cs="Times New Roman"/>
          <w:color w:val="000000" w:themeColor="text1"/>
        </w:rPr>
        <w:t xml:space="preserve">, along with the optimal blend of wavelengths (from phase 1 of PhD), to warm and cool full spectrum LEDs. This experiment aimed to determine the metabolic impacts of our optimal wavelength/ratio narrowband B/R compared to broad-spectrum LEDs. We observed a wide range of impacts to yield and quality parameters imparted by our lighting treatments. </w:t>
      </w:r>
    </w:p>
    <w:p w14:paraId="0703CC51" w14:textId="77777777" w:rsidR="00126D8D" w:rsidRPr="007F77C5" w:rsidRDefault="00126D8D" w:rsidP="00224B41">
      <w:pPr>
        <w:ind w:firstLine="720"/>
        <w:jc w:val="both"/>
        <w:rPr>
          <w:rFonts w:cs="Times New Roman"/>
          <w:color w:val="000000" w:themeColor="text1"/>
        </w:rPr>
      </w:pPr>
    </w:p>
    <w:p w14:paraId="37C1F633" w14:textId="77777777" w:rsidR="00126D8D" w:rsidRPr="007F77C5" w:rsidRDefault="00126D8D" w:rsidP="00224B41">
      <w:pPr>
        <w:pStyle w:val="MastersThesisSectionHeader"/>
      </w:pPr>
      <w:bookmarkStart w:id="90" w:name="_Toc114189708"/>
      <w:bookmarkStart w:id="91" w:name="_Toc139574783"/>
      <w:bookmarkStart w:id="92" w:name="_Toc141478653"/>
      <w:r w:rsidRPr="007F77C5">
        <w:t>Phase 3 -- Sensory Panel, mRNA, and Analytical Data Analysis</w:t>
      </w:r>
      <w:bookmarkEnd w:id="90"/>
      <w:bookmarkEnd w:id="91"/>
      <w:bookmarkEnd w:id="92"/>
    </w:p>
    <w:p w14:paraId="270ED3E7" w14:textId="77777777" w:rsidR="00126D8D" w:rsidRPr="007F77C5" w:rsidRDefault="00126D8D" w:rsidP="00224B41">
      <w:pPr>
        <w:ind w:firstLine="720"/>
        <w:jc w:val="both"/>
        <w:rPr>
          <w:rFonts w:cs="Times New Roman"/>
          <w:color w:val="000000" w:themeColor="text1"/>
        </w:rPr>
      </w:pPr>
      <w:r w:rsidRPr="007F77C5">
        <w:rPr>
          <w:rFonts w:cs="Times New Roman"/>
          <w:color w:val="000000" w:themeColor="text1"/>
        </w:rPr>
        <w:t xml:space="preserve">Finally, our third and final set of experiments were designed to connect all the research from my projects. After determining the best narrowband and full spectrum treatment, we compared those to a traditional HPS treatment at natural light (NL) control. These treatments were tested across various parameters, both summer and winter. </w:t>
      </w:r>
    </w:p>
    <w:p w14:paraId="7EE4026E" w14:textId="77777777" w:rsidR="00126D8D" w:rsidRPr="007F77C5" w:rsidRDefault="00126D8D" w:rsidP="00224B41">
      <w:pPr>
        <w:ind w:firstLine="720"/>
        <w:jc w:val="both"/>
        <w:rPr>
          <w:rFonts w:cs="Times New Roman"/>
          <w:color w:val="000000" w:themeColor="text1"/>
        </w:rPr>
      </w:pPr>
      <w:r w:rsidRPr="007F77C5">
        <w:rPr>
          <w:rFonts w:cs="Times New Roman"/>
          <w:color w:val="000000" w:themeColor="text1"/>
        </w:rPr>
        <w:t xml:space="preserve">Photosynthesis and primary metabolic data were recorded. Yields and biometric data were taken. VOC concentrations, carotenoids, and other secondary metabolic data were collected. A sensory panel was conducted to identify specific aroma notes, determine overall liking, and establish primary drivers for liking. mRNA sequencing was performed to determine differences in metabolic pathway expression based on lighting treatment. Finally, we evaluated analytical data (GCMS, HPLC, etc.) from the different light treatments along with the sensory panel and mRNA data to determine which lighting regime had the most positive impact on plant physiology and biochemistry. By combing and analyzing these datasets together, we were able to obtain a comprehensive picture of what is occurring at the molecular, metabolic, and whole plant level. </w:t>
      </w:r>
    </w:p>
    <w:p w14:paraId="0C3E3B09" w14:textId="77777777" w:rsidR="00126D8D" w:rsidRPr="007F77C5" w:rsidRDefault="00126D8D" w:rsidP="00224B41">
      <w:pPr>
        <w:ind w:firstLine="720"/>
        <w:jc w:val="both"/>
        <w:rPr>
          <w:rFonts w:cs="Times New Roman"/>
          <w:color w:val="000000" w:themeColor="text1"/>
        </w:rPr>
      </w:pPr>
      <w:r w:rsidRPr="007F77C5">
        <w:rPr>
          <w:rFonts w:cs="Times New Roman"/>
          <w:color w:val="000000" w:themeColor="text1"/>
        </w:rPr>
        <w:t xml:space="preserve">This holistic, interdisciplinary approach determined an "ideal" treatment across all parameters evaluated in this final experiment, which is defined as best compromise between yields, </w:t>
      </w:r>
      <w:r w:rsidRPr="007F77C5">
        <w:rPr>
          <w:rFonts w:cs="Times New Roman"/>
          <w:color w:val="000000" w:themeColor="text1"/>
        </w:rPr>
        <w:lastRenderedPageBreak/>
        <w:t>nutrient content, and flavor preference. Every treatment influenced different aspects of plant morphology, biochemistry, physiology, and aroma profile. Therefore, it is crucial to consider two factors when choosing a lighting treatment for any given crop and growing operation: the individual metabolic effects as well as the overall metabolic effects a lighting regime will incur. Depending on the situation, a specific lighting treatment may be ideal for pushing a particular pathway, focusing on the maximum yield, or balancing many quality parameters for better flavor. Each strategy is ideal for different circumstances. Pushing specific pathways is great for essential oil extractions, food/beverage industries, and pharmaceuticals. Pushing for maximum yield may be ideal if quality or flavor is not a central selling point. Most commercial growing operations (involving high-value specialty crops) will typically strive to balance yield and flavor (i.e., primary and secondary metabolism) for a superior product highly preferred by consumers.</w:t>
      </w:r>
    </w:p>
    <w:p w14:paraId="4A6B9286" w14:textId="77777777" w:rsidR="00126D8D" w:rsidRPr="007F77C5" w:rsidRDefault="00126D8D" w:rsidP="00224B41">
      <w:pPr>
        <w:ind w:firstLine="720"/>
        <w:jc w:val="both"/>
        <w:rPr>
          <w:rFonts w:cs="Times New Roman"/>
          <w:color w:val="000000" w:themeColor="text1"/>
        </w:rPr>
      </w:pPr>
      <w:r w:rsidRPr="007F77C5">
        <w:rPr>
          <w:rFonts w:cs="Times New Roman"/>
          <w:color w:val="000000" w:themeColor="text1"/>
        </w:rPr>
        <w:t>This dissertation, and the results provided within, will add to the growing body of literature regarding the complex interaction between light and plants. It will also further advise light manufacturers and commercial growers on which supplemental lighting regimes work best for their unique circumstances</w:t>
      </w:r>
      <w:bookmarkStart w:id="93" w:name="_Toc113382870"/>
      <w:r w:rsidRPr="007F77C5">
        <w:rPr>
          <w:rFonts w:cs="Times New Roman"/>
          <w:color w:val="000000" w:themeColor="text1"/>
        </w:rPr>
        <w:t>.</w:t>
      </w:r>
      <w:bookmarkStart w:id="94" w:name="_Toc114189710"/>
      <w:bookmarkStart w:id="95" w:name="_Toc114189788"/>
      <w:bookmarkEnd w:id="93"/>
    </w:p>
    <w:p w14:paraId="1BE0F8BF" w14:textId="77777777" w:rsidR="00126D8D" w:rsidRPr="007F77C5" w:rsidRDefault="00126D8D">
      <w:pPr>
        <w:spacing w:line="240" w:lineRule="auto"/>
        <w:rPr>
          <w:rFonts w:cs="Times New Roman"/>
          <w:b/>
        </w:rPr>
      </w:pPr>
      <w:r w:rsidRPr="007F77C5">
        <w:rPr>
          <w:rFonts w:cs="Times New Roman"/>
          <w:b/>
        </w:rPr>
        <w:br w:type="page"/>
      </w:r>
    </w:p>
    <w:p w14:paraId="20B3779A" w14:textId="2569739D" w:rsidR="00126D8D" w:rsidRPr="007F77C5" w:rsidRDefault="00126D8D" w:rsidP="007C6ECC">
      <w:pPr>
        <w:pStyle w:val="MastersThesisMainTitle"/>
      </w:pPr>
      <w:bookmarkStart w:id="96" w:name="_Toc139574784"/>
      <w:bookmarkStart w:id="97" w:name="_Toc141478654"/>
      <w:r w:rsidRPr="007F77C5">
        <w:lastRenderedPageBreak/>
        <w:t>References</w:t>
      </w:r>
      <w:bookmarkEnd w:id="96"/>
      <w:bookmarkEnd w:id="97"/>
    </w:p>
    <w:p w14:paraId="20001BF9" w14:textId="77777777" w:rsidR="00126D8D" w:rsidRPr="007F77C5" w:rsidRDefault="00126D8D" w:rsidP="00224B41">
      <w:pPr>
        <w:ind w:left="720" w:hanging="720"/>
        <w:jc w:val="both"/>
        <w:rPr>
          <w:rFonts w:cs="Times New Roman"/>
          <w:noProof/>
        </w:rPr>
      </w:pPr>
      <w:bookmarkStart w:id="98" w:name="_ENREF_1_1"/>
      <w:r w:rsidRPr="007F77C5">
        <w:rPr>
          <w:rFonts w:cs="Times New Roman"/>
          <w:noProof/>
        </w:rPr>
        <w:t>Abdel-Aal, E.S. and M. Akhtar. 2006. Recent Advances in the Analyses of Carotenoids and Their Role in Human Health.</w:t>
      </w:r>
      <w:r w:rsidRPr="007F77C5">
        <w:rPr>
          <w:rFonts w:cs="Times New Roman"/>
          <w:i/>
          <w:noProof/>
        </w:rPr>
        <w:t xml:space="preserve"> Current Pharmaceutical Analysis</w:t>
      </w:r>
      <w:r w:rsidRPr="007F77C5">
        <w:rPr>
          <w:rFonts w:cs="Times New Roman"/>
          <w:noProof/>
        </w:rPr>
        <w:t xml:space="preserve"> 2:195-204. doi:10.2174/157341206776819319</w:t>
      </w:r>
      <w:bookmarkEnd w:id="98"/>
    </w:p>
    <w:p w14:paraId="3F3DEECE" w14:textId="77777777" w:rsidR="00126D8D" w:rsidRPr="007F77C5" w:rsidRDefault="00126D8D" w:rsidP="00224B41">
      <w:pPr>
        <w:ind w:left="720" w:hanging="720"/>
        <w:jc w:val="both"/>
        <w:rPr>
          <w:rFonts w:cs="Times New Roman"/>
          <w:noProof/>
        </w:rPr>
      </w:pPr>
      <w:bookmarkStart w:id="99" w:name="_ENREF_1_2"/>
      <w:r w:rsidRPr="007F77C5">
        <w:rPr>
          <w:rFonts w:cs="Times New Roman"/>
          <w:noProof/>
        </w:rPr>
        <w:t xml:space="preserve">Abney, K.R., D.A. Kopsell, C.E. Sams, S. Zivanovic, and D.E. Kopsell. 2013. Uv-B Radiation Impacts Shoot Tissue Pigment Composition in </w:t>
      </w:r>
      <w:r w:rsidRPr="007F77C5">
        <w:rPr>
          <w:rFonts w:cs="Times New Roman"/>
          <w:i/>
          <w:noProof/>
        </w:rPr>
        <w:t xml:space="preserve">Allium Fistulosum </w:t>
      </w:r>
      <w:r w:rsidRPr="007F77C5">
        <w:rPr>
          <w:rFonts w:cs="Times New Roman"/>
          <w:noProof/>
        </w:rPr>
        <w:t>L. Cultigens.</w:t>
      </w:r>
      <w:r w:rsidRPr="007F77C5">
        <w:rPr>
          <w:rFonts w:cs="Times New Roman"/>
          <w:i/>
          <w:noProof/>
        </w:rPr>
        <w:t xml:space="preserve"> ScientificWorldJournal</w:t>
      </w:r>
      <w:r w:rsidRPr="007F77C5">
        <w:rPr>
          <w:rFonts w:cs="Times New Roman"/>
          <w:noProof/>
        </w:rPr>
        <w:t xml:space="preserve"> 2013:513867. doi:10.1155/2013/513867</w:t>
      </w:r>
      <w:bookmarkEnd w:id="99"/>
    </w:p>
    <w:p w14:paraId="45FF3C63" w14:textId="77777777" w:rsidR="00126D8D" w:rsidRPr="007F77C5" w:rsidRDefault="00126D8D" w:rsidP="00224B41">
      <w:pPr>
        <w:ind w:left="720" w:hanging="720"/>
        <w:jc w:val="both"/>
        <w:rPr>
          <w:rFonts w:cs="Times New Roman"/>
          <w:noProof/>
        </w:rPr>
      </w:pPr>
      <w:bookmarkStart w:id="100" w:name="_ENREF_1_3"/>
      <w:r w:rsidRPr="007F77C5">
        <w:rPr>
          <w:rFonts w:cs="Times New Roman"/>
          <w:noProof/>
        </w:rPr>
        <w:t>Alam, M.A., M; Asif, H. 2012. Textbook of Practical Analytical Chemistry. Elsevier Health Sciences APAC, London.</w:t>
      </w:r>
      <w:bookmarkEnd w:id="100"/>
    </w:p>
    <w:p w14:paraId="6BBC7CDA" w14:textId="77777777" w:rsidR="00126D8D" w:rsidRPr="007F77C5" w:rsidRDefault="00126D8D" w:rsidP="00224B41">
      <w:pPr>
        <w:ind w:left="720" w:hanging="720"/>
        <w:jc w:val="both"/>
        <w:rPr>
          <w:rFonts w:cs="Times New Roman"/>
          <w:noProof/>
        </w:rPr>
      </w:pPr>
      <w:bookmarkStart w:id="101" w:name="_ENREF_1_4"/>
      <w:r w:rsidRPr="007F77C5">
        <w:rPr>
          <w:rFonts w:cs="Times New Roman"/>
          <w:noProof/>
        </w:rPr>
        <w:t>Arif, I.A., M.A. Bakir, H.A. Khan, A.H. Al Farhan, A.A. Al Homaidan, A.H. Bahkali, M.A. Sadoon, and M. Shobrak. 2010. A Brief Review of Molecular Techniques to Assess Plant Diversity.</w:t>
      </w:r>
      <w:r w:rsidRPr="007F77C5">
        <w:rPr>
          <w:rFonts w:cs="Times New Roman"/>
          <w:i/>
          <w:noProof/>
        </w:rPr>
        <w:t xml:space="preserve"> Int J Mol Sci</w:t>
      </w:r>
      <w:r w:rsidRPr="007F77C5">
        <w:rPr>
          <w:rFonts w:cs="Times New Roman"/>
          <w:noProof/>
        </w:rPr>
        <w:t xml:space="preserve"> 11:2079-2096. doi:10.3390/ijms11052079</w:t>
      </w:r>
      <w:bookmarkEnd w:id="101"/>
    </w:p>
    <w:p w14:paraId="390E9DB3" w14:textId="77777777" w:rsidR="00126D8D" w:rsidRPr="007F77C5" w:rsidRDefault="00126D8D" w:rsidP="00224B41">
      <w:pPr>
        <w:ind w:left="720" w:hanging="720"/>
        <w:jc w:val="both"/>
        <w:rPr>
          <w:rFonts w:cs="Times New Roman"/>
          <w:noProof/>
        </w:rPr>
      </w:pPr>
      <w:bookmarkStart w:id="102" w:name="_ENREF_1_5"/>
      <w:r w:rsidRPr="007F77C5">
        <w:rPr>
          <w:rFonts w:cs="Times New Roman"/>
          <w:noProof/>
        </w:rPr>
        <w:t>Ashraf, M. and P.J.C. Harris. 2013. Photosynthesis under Stressful Environments: An Overview.</w:t>
      </w:r>
      <w:r w:rsidRPr="007F77C5">
        <w:rPr>
          <w:rFonts w:cs="Times New Roman"/>
          <w:i/>
          <w:noProof/>
        </w:rPr>
        <w:t xml:space="preserve"> Photosynthetica</w:t>
      </w:r>
      <w:r w:rsidRPr="007F77C5">
        <w:rPr>
          <w:rFonts w:cs="Times New Roman"/>
          <w:noProof/>
        </w:rPr>
        <w:t xml:space="preserve"> 51:163-190. doi:10.1007/s11099-013-0021-6</w:t>
      </w:r>
      <w:bookmarkEnd w:id="102"/>
    </w:p>
    <w:p w14:paraId="00C4A217" w14:textId="77777777" w:rsidR="00126D8D" w:rsidRPr="007F77C5" w:rsidRDefault="00126D8D" w:rsidP="00224B41">
      <w:pPr>
        <w:ind w:left="720" w:hanging="720"/>
        <w:jc w:val="both"/>
        <w:rPr>
          <w:rFonts w:cs="Times New Roman"/>
          <w:noProof/>
        </w:rPr>
      </w:pPr>
      <w:bookmarkStart w:id="103" w:name="_ENREF_1_6"/>
      <w:r w:rsidRPr="007F77C5">
        <w:rPr>
          <w:rFonts w:cs="Times New Roman"/>
          <w:noProof/>
        </w:rPr>
        <w:t>Avneet, R., K. Jitendra, A.K. Chauhan, A. Rajoria, and J. Kumar. 2010. Anti-Oxidative and Anti-Carcinogenic Role of Lycopene in Human Health - a Review.</w:t>
      </w:r>
      <w:r w:rsidRPr="007F77C5">
        <w:rPr>
          <w:rFonts w:cs="Times New Roman"/>
          <w:i/>
          <w:noProof/>
        </w:rPr>
        <w:t xml:space="preserve"> Journal of Dairying, Foods and Home Sciences</w:t>
      </w:r>
      <w:r w:rsidRPr="007F77C5">
        <w:rPr>
          <w:rFonts w:cs="Times New Roman"/>
          <w:noProof/>
        </w:rPr>
        <w:t xml:space="preserve"> 29:157-165. </w:t>
      </w:r>
      <w:bookmarkEnd w:id="103"/>
    </w:p>
    <w:p w14:paraId="128AF977" w14:textId="77777777" w:rsidR="00126D8D" w:rsidRPr="007F77C5" w:rsidRDefault="00126D8D" w:rsidP="00224B41">
      <w:pPr>
        <w:ind w:left="720" w:hanging="720"/>
        <w:jc w:val="both"/>
        <w:rPr>
          <w:rFonts w:cs="Times New Roman"/>
          <w:noProof/>
        </w:rPr>
      </w:pPr>
      <w:bookmarkStart w:id="104" w:name="_ENREF_1_7"/>
      <w:r w:rsidRPr="007F77C5">
        <w:rPr>
          <w:rFonts w:cs="Times New Roman"/>
          <w:noProof/>
        </w:rPr>
        <w:t>Banthorpe, D., B. Charlwood, and M. Francis. 1971. The Biosynthesis of Monoterpenes.</w:t>
      </w:r>
      <w:r w:rsidRPr="007F77C5">
        <w:rPr>
          <w:rFonts w:cs="Times New Roman"/>
          <w:i/>
          <w:noProof/>
        </w:rPr>
        <w:t xml:space="preserve"> Chemical Reviews</w:t>
      </w:r>
      <w:r w:rsidRPr="007F77C5">
        <w:rPr>
          <w:rFonts w:cs="Times New Roman"/>
          <w:noProof/>
        </w:rPr>
        <w:t xml:space="preserve"> 72:115-155. </w:t>
      </w:r>
      <w:bookmarkEnd w:id="104"/>
    </w:p>
    <w:p w14:paraId="78910B0B" w14:textId="77777777" w:rsidR="00126D8D" w:rsidRPr="007F77C5" w:rsidRDefault="00126D8D" w:rsidP="00224B41">
      <w:pPr>
        <w:ind w:left="720" w:hanging="720"/>
        <w:jc w:val="both"/>
        <w:rPr>
          <w:rFonts w:cs="Times New Roman"/>
          <w:noProof/>
        </w:rPr>
      </w:pPr>
      <w:bookmarkStart w:id="105" w:name="_ENREF_1_8"/>
      <w:r w:rsidRPr="007F77C5">
        <w:rPr>
          <w:rFonts w:cs="Times New Roman"/>
          <w:noProof/>
        </w:rPr>
        <w:t xml:space="preserve">Bantis, F., T. Ouzounis, and K. Radoglou. 2016. Artificial LED Lighting Enhances Growth Characteristics and Total Phenolic Content of </w:t>
      </w:r>
      <w:r w:rsidRPr="007F77C5">
        <w:rPr>
          <w:rFonts w:cs="Times New Roman"/>
          <w:i/>
          <w:noProof/>
        </w:rPr>
        <w:t>Ocimum Basilicum</w:t>
      </w:r>
      <w:r w:rsidRPr="007F77C5">
        <w:rPr>
          <w:rFonts w:cs="Times New Roman"/>
          <w:noProof/>
        </w:rPr>
        <w:t>, but Variably Affects Transplant Success.</w:t>
      </w:r>
      <w:r w:rsidRPr="007F77C5">
        <w:rPr>
          <w:rFonts w:cs="Times New Roman"/>
          <w:i/>
          <w:noProof/>
        </w:rPr>
        <w:t xml:space="preserve"> Scientia Horticulturae</w:t>
      </w:r>
      <w:r w:rsidRPr="007F77C5">
        <w:rPr>
          <w:rFonts w:cs="Times New Roman"/>
          <w:noProof/>
        </w:rPr>
        <w:t xml:space="preserve"> 198:277-283. doi:10.1016/j.scienta.2015.11.014</w:t>
      </w:r>
      <w:bookmarkEnd w:id="105"/>
    </w:p>
    <w:p w14:paraId="6F618EE8" w14:textId="77777777" w:rsidR="00126D8D" w:rsidRPr="007F77C5" w:rsidRDefault="00126D8D" w:rsidP="00224B41">
      <w:pPr>
        <w:ind w:left="720" w:hanging="720"/>
        <w:jc w:val="both"/>
        <w:rPr>
          <w:rFonts w:cs="Times New Roman"/>
          <w:noProof/>
        </w:rPr>
      </w:pPr>
      <w:bookmarkStart w:id="106" w:name="_ENREF_1_9"/>
      <w:r w:rsidRPr="007F77C5">
        <w:rPr>
          <w:rFonts w:cs="Times New Roman"/>
          <w:noProof/>
        </w:rPr>
        <w:lastRenderedPageBreak/>
        <w:t>Bantis, F., S. Smirnakou, T. Ouzounis, A. Koukounaras, N. Ntagkas, and K. Radoglou. 2018. Current Status and Recent Achievements in the Field of Horticulture with the Use of Light-Emitting Diodes (LEDs).</w:t>
      </w:r>
      <w:r w:rsidRPr="007F77C5">
        <w:rPr>
          <w:rFonts w:cs="Times New Roman"/>
          <w:i/>
          <w:noProof/>
        </w:rPr>
        <w:t xml:space="preserve"> Scientia Horticulturae</w:t>
      </w:r>
      <w:r w:rsidRPr="007F77C5">
        <w:rPr>
          <w:rFonts w:cs="Times New Roman"/>
          <w:noProof/>
        </w:rPr>
        <w:t xml:space="preserve"> 235:437-451. doi:10.1016/j.scienta.2018.02.058</w:t>
      </w:r>
      <w:bookmarkEnd w:id="106"/>
    </w:p>
    <w:p w14:paraId="0CB43DB7" w14:textId="77777777" w:rsidR="00126D8D" w:rsidRPr="007F77C5" w:rsidRDefault="00126D8D" w:rsidP="00224B41">
      <w:pPr>
        <w:ind w:left="720" w:hanging="720"/>
        <w:jc w:val="both"/>
        <w:rPr>
          <w:rFonts w:cs="Times New Roman"/>
          <w:noProof/>
        </w:rPr>
      </w:pPr>
      <w:bookmarkStart w:id="107" w:name="_ENREF_1_10"/>
      <w:r w:rsidRPr="007F77C5">
        <w:rPr>
          <w:rFonts w:cs="Times New Roman"/>
          <w:noProof/>
        </w:rPr>
        <w:t>Barbieri, S., M. Elustondo, and M. Urbicain. 2004. Retention of Aroma Compounds in Basil Dried with Low Pressure Superheated Steam.</w:t>
      </w:r>
      <w:r w:rsidRPr="007F77C5">
        <w:rPr>
          <w:rFonts w:cs="Times New Roman"/>
          <w:i/>
          <w:noProof/>
        </w:rPr>
        <w:t xml:space="preserve"> Journal of Food Engineering</w:t>
      </w:r>
      <w:r w:rsidRPr="007F77C5">
        <w:rPr>
          <w:rFonts w:cs="Times New Roman"/>
          <w:noProof/>
        </w:rPr>
        <w:t xml:space="preserve"> 65:109-115. doi:10.1016/j.foodeng.2004.01.003</w:t>
      </w:r>
      <w:bookmarkEnd w:id="107"/>
    </w:p>
    <w:p w14:paraId="79B04A74" w14:textId="77777777" w:rsidR="00126D8D" w:rsidRPr="007F77C5" w:rsidRDefault="00126D8D" w:rsidP="00224B41">
      <w:pPr>
        <w:ind w:left="720" w:hanging="720"/>
        <w:jc w:val="both"/>
        <w:rPr>
          <w:rFonts w:cs="Times New Roman"/>
          <w:noProof/>
        </w:rPr>
      </w:pPr>
      <w:bookmarkStart w:id="108" w:name="_ENREF_1_11"/>
      <w:r w:rsidRPr="007F77C5">
        <w:rPr>
          <w:rFonts w:cs="Times New Roman"/>
          <w:noProof/>
        </w:rPr>
        <w:t>Barickman, T.C., D.A. Kopsell, and C.E. Sams. 2017. Abscisic Acid Improves Tomato Fruit Quality by Increasing Soluble Sugar Concentrations.</w:t>
      </w:r>
      <w:r w:rsidRPr="007F77C5">
        <w:rPr>
          <w:rFonts w:cs="Times New Roman"/>
          <w:i/>
          <w:noProof/>
        </w:rPr>
        <w:t xml:space="preserve"> Journal of Plant Nutrition</w:t>
      </w:r>
      <w:r w:rsidRPr="007F77C5">
        <w:rPr>
          <w:rFonts w:cs="Times New Roman"/>
          <w:noProof/>
        </w:rPr>
        <w:t xml:space="preserve"> 40:964-973. doi:10.1080/01904167.2016.1231812</w:t>
      </w:r>
      <w:bookmarkEnd w:id="108"/>
    </w:p>
    <w:p w14:paraId="7B252E16" w14:textId="77777777" w:rsidR="00126D8D" w:rsidRPr="007F77C5" w:rsidRDefault="00126D8D" w:rsidP="00224B41">
      <w:pPr>
        <w:ind w:left="720" w:hanging="720"/>
        <w:jc w:val="both"/>
        <w:rPr>
          <w:rFonts w:cs="Times New Roman"/>
          <w:noProof/>
        </w:rPr>
      </w:pPr>
      <w:bookmarkStart w:id="109" w:name="_ENREF_1_12"/>
      <w:r w:rsidRPr="007F77C5">
        <w:rPr>
          <w:rFonts w:cs="Times New Roman"/>
          <w:noProof/>
        </w:rPr>
        <w:t>Barta, D.J., T.W. Tibbitts, R.J. Bula, and R.C. Morrow. 1992. Evaluation of Light Emitting Diode Characteristics for a Space-Based Plant Irradiation Source.</w:t>
      </w:r>
      <w:r w:rsidRPr="007F77C5">
        <w:rPr>
          <w:rFonts w:cs="Times New Roman"/>
          <w:i/>
          <w:noProof/>
        </w:rPr>
        <w:t xml:space="preserve"> Adv Space Res</w:t>
      </w:r>
      <w:r w:rsidRPr="007F77C5">
        <w:rPr>
          <w:rFonts w:cs="Times New Roman"/>
          <w:noProof/>
        </w:rPr>
        <w:t xml:space="preserve"> 12:141-149. doi:10.1016/0273-1177(92)90020-x</w:t>
      </w:r>
      <w:bookmarkEnd w:id="109"/>
    </w:p>
    <w:p w14:paraId="5C65FC33" w14:textId="77777777" w:rsidR="00126D8D" w:rsidRPr="007F77C5" w:rsidRDefault="00126D8D" w:rsidP="00224B41">
      <w:pPr>
        <w:ind w:left="720" w:hanging="720"/>
        <w:jc w:val="both"/>
        <w:rPr>
          <w:rFonts w:cs="Times New Roman"/>
          <w:noProof/>
        </w:rPr>
      </w:pPr>
      <w:bookmarkStart w:id="110" w:name="_ENREF_1_13"/>
      <w:r w:rsidRPr="007F77C5">
        <w:rPr>
          <w:rFonts w:cs="Times New Roman"/>
          <w:noProof/>
        </w:rPr>
        <w:t>Baumbauer, D.A., C.B. Schmidt, and M.H. Burgess. 2019. Leaf Lettuce Yield Is More Sensitive to Low Daily Light Integral Than Kale and Spinach.</w:t>
      </w:r>
      <w:r w:rsidRPr="007F77C5">
        <w:rPr>
          <w:rFonts w:cs="Times New Roman"/>
          <w:i/>
          <w:noProof/>
        </w:rPr>
        <w:t xml:space="preserve"> HortScience</w:t>
      </w:r>
      <w:r w:rsidRPr="007F77C5">
        <w:rPr>
          <w:rFonts w:cs="Times New Roman"/>
          <w:noProof/>
        </w:rPr>
        <w:t xml:space="preserve"> 54:2159-2162. doi:10.21273/hortsci14288-19</w:t>
      </w:r>
      <w:bookmarkEnd w:id="110"/>
    </w:p>
    <w:p w14:paraId="4F891442" w14:textId="77777777" w:rsidR="00126D8D" w:rsidRPr="007F77C5" w:rsidRDefault="00126D8D" w:rsidP="00224B41">
      <w:pPr>
        <w:ind w:left="720" w:hanging="720"/>
        <w:jc w:val="both"/>
        <w:rPr>
          <w:rFonts w:cs="Times New Roman"/>
          <w:noProof/>
        </w:rPr>
      </w:pPr>
      <w:bookmarkStart w:id="111" w:name="_ENREF_1_14"/>
      <w:r w:rsidRPr="007F77C5">
        <w:rPr>
          <w:rFonts w:cs="Times New Roman"/>
          <w:noProof/>
        </w:rPr>
        <w:t>Bayramoglu, B., S. Sahin, and G. Sumnu. 2008. Solvent-Free Microwave Extraction of Essential Oil from Oregano.</w:t>
      </w:r>
      <w:r w:rsidRPr="007F77C5">
        <w:rPr>
          <w:rFonts w:cs="Times New Roman"/>
          <w:i/>
          <w:noProof/>
        </w:rPr>
        <w:t xml:space="preserve"> Journal of Food Engineering</w:t>
      </w:r>
      <w:r w:rsidRPr="007F77C5">
        <w:rPr>
          <w:rFonts w:cs="Times New Roman"/>
          <w:noProof/>
        </w:rPr>
        <w:t xml:space="preserve"> 88:535-540. doi:10.1016/j.jfoodeng.2008.03.015</w:t>
      </w:r>
      <w:bookmarkEnd w:id="111"/>
    </w:p>
    <w:p w14:paraId="58DAF8C0" w14:textId="77777777" w:rsidR="00126D8D" w:rsidRPr="007F77C5" w:rsidRDefault="00126D8D" w:rsidP="00224B41">
      <w:pPr>
        <w:ind w:left="720" w:hanging="720"/>
        <w:jc w:val="both"/>
        <w:rPr>
          <w:rFonts w:cs="Times New Roman"/>
          <w:noProof/>
        </w:rPr>
      </w:pPr>
      <w:bookmarkStart w:id="112" w:name="_ENREF_1_15"/>
      <w:r w:rsidRPr="007F77C5">
        <w:rPr>
          <w:rFonts w:cs="Times New Roman"/>
          <w:noProof/>
        </w:rPr>
        <w:t>Benke, K. and B. Tomkins. 2017. Future Food-Production Systems: Vertical Farming and Controlled-Environment Agriculture.</w:t>
      </w:r>
      <w:r w:rsidRPr="007F77C5">
        <w:rPr>
          <w:rFonts w:cs="Times New Roman"/>
          <w:i/>
          <w:noProof/>
        </w:rPr>
        <w:t xml:space="preserve"> Sustainability: Science, Practice and Policy</w:t>
      </w:r>
      <w:r w:rsidRPr="007F77C5">
        <w:rPr>
          <w:rFonts w:cs="Times New Roman"/>
          <w:noProof/>
        </w:rPr>
        <w:t xml:space="preserve"> 13:13-26. doi:10.1080/15487733.2017.1394054</w:t>
      </w:r>
      <w:bookmarkEnd w:id="112"/>
    </w:p>
    <w:p w14:paraId="6385B03F" w14:textId="77777777" w:rsidR="00126D8D" w:rsidRPr="007F77C5" w:rsidRDefault="00126D8D" w:rsidP="00224B41">
      <w:pPr>
        <w:ind w:left="720" w:hanging="720"/>
        <w:jc w:val="both"/>
        <w:rPr>
          <w:rFonts w:cs="Times New Roman"/>
          <w:noProof/>
        </w:rPr>
      </w:pPr>
      <w:bookmarkStart w:id="113" w:name="_ENREF_1_16"/>
      <w:r w:rsidRPr="007F77C5">
        <w:rPr>
          <w:rFonts w:cs="Times New Roman"/>
          <w:noProof/>
        </w:rPr>
        <w:lastRenderedPageBreak/>
        <w:t>Bick, J.A. and B.M. Lange. 2003. Metabolic Cross Talk between Cytosolic and Plastidial Pathways of Isoprenoid Biosynthesis: Unidirectional Transport of Intermediates across the Chloroplast Envelope Membrane.</w:t>
      </w:r>
      <w:r w:rsidRPr="007F77C5">
        <w:rPr>
          <w:rFonts w:cs="Times New Roman"/>
          <w:i/>
          <w:noProof/>
        </w:rPr>
        <w:t xml:space="preserve"> Archives of Biochemistry and Biophysics</w:t>
      </w:r>
      <w:r w:rsidRPr="007F77C5">
        <w:rPr>
          <w:rFonts w:cs="Times New Roman"/>
          <w:noProof/>
        </w:rPr>
        <w:t xml:space="preserve"> 415:146-154. doi:10.1016/s0003-9861(03)00233-9</w:t>
      </w:r>
      <w:bookmarkEnd w:id="113"/>
    </w:p>
    <w:p w14:paraId="1AC73A34" w14:textId="77777777" w:rsidR="00126D8D" w:rsidRPr="007F77C5" w:rsidRDefault="00126D8D" w:rsidP="00224B41">
      <w:pPr>
        <w:ind w:left="720" w:hanging="720"/>
        <w:jc w:val="both"/>
        <w:rPr>
          <w:rFonts w:cs="Times New Roman"/>
          <w:noProof/>
        </w:rPr>
      </w:pPr>
      <w:bookmarkStart w:id="114" w:name="_ENREF_1_17"/>
      <w:r w:rsidRPr="007F77C5">
        <w:rPr>
          <w:rFonts w:cs="Times New Roman"/>
          <w:noProof/>
        </w:rPr>
        <w:t>Bispo-Jr, A.G., L.F. Saraiva, S.a.M. Lima, A.M. Pires, and M.R. Davolos. 2021. Recent Prospects on Phosphor-Converted LEDs for Lighting, Displays, Phototherapy, and Indoor Farming.</w:t>
      </w:r>
      <w:r w:rsidRPr="007F77C5">
        <w:rPr>
          <w:rFonts w:cs="Times New Roman"/>
          <w:i/>
          <w:noProof/>
        </w:rPr>
        <w:t xml:space="preserve"> Journal of Luminescence</w:t>
      </w:r>
      <w:r w:rsidRPr="007F77C5">
        <w:rPr>
          <w:rFonts w:cs="Times New Roman"/>
          <w:noProof/>
        </w:rPr>
        <w:t xml:space="preserve"> 237. doi:10.1016/j.jlumin.2021.118167</w:t>
      </w:r>
      <w:bookmarkEnd w:id="114"/>
    </w:p>
    <w:p w14:paraId="6810A425" w14:textId="77777777" w:rsidR="00126D8D" w:rsidRPr="007F77C5" w:rsidRDefault="00126D8D" w:rsidP="00224B41">
      <w:pPr>
        <w:ind w:left="720" w:hanging="720"/>
        <w:jc w:val="both"/>
        <w:rPr>
          <w:rFonts w:cs="Times New Roman"/>
          <w:noProof/>
        </w:rPr>
      </w:pPr>
      <w:bookmarkStart w:id="115" w:name="_ENREF_1_18"/>
      <w:r w:rsidRPr="007F77C5">
        <w:rPr>
          <w:rFonts w:cs="Times New Roman"/>
          <w:noProof/>
        </w:rPr>
        <w:t>Bohlmann, J. and C.I. Keeling. 2008. Terpenoid Biomaterials.</w:t>
      </w:r>
      <w:r w:rsidRPr="007F77C5">
        <w:rPr>
          <w:rFonts w:cs="Times New Roman"/>
          <w:i/>
          <w:noProof/>
        </w:rPr>
        <w:t xml:space="preserve"> Plant J</w:t>
      </w:r>
      <w:r w:rsidRPr="007F77C5">
        <w:rPr>
          <w:rFonts w:cs="Times New Roman"/>
          <w:noProof/>
        </w:rPr>
        <w:t xml:space="preserve"> 54:656-669. doi:10.1111/j.1365-313X.2008.03449.x</w:t>
      </w:r>
      <w:bookmarkEnd w:id="115"/>
    </w:p>
    <w:p w14:paraId="617615AD" w14:textId="77777777" w:rsidR="00126D8D" w:rsidRPr="007F77C5" w:rsidRDefault="00126D8D" w:rsidP="00224B41">
      <w:pPr>
        <w:ind w:left="720" w:hanging="720"/>
        <w:jc w:val="both"/>
        <w:rPr>
          <w:rFonts w:cs="Times New Roman"/>
          <w:noProof/>
        </w:rPr>
      </w:pPr>
      <w:bookmarkStart w:id="116" w:name="_ENREF_1_19"/>
      <w:r w:rsidRPr="007F77C5">
        <w:rPr>
          <w:rFonts w:cs="Times New Roman"/>
          <w:noProof/>
        </w:rPr>
        <w:t>Bourgaud, F., A. Gravot, S. Milesi, and E. Gontier. 2001. Production of Plant Secondary Metabolites: A Historical Perspective.</w:t>
      </w:r>
      <w:r w:rsidRPr="007F77C5">
        <w:rPr>
          <w:rFonts w:cs="Times New Roman"/>
          <w:i/>
          <w:noProof/>
        </w:rPr>
        <w:t xml:space="preserve"> Plant Science</w:t>
      </w:r>
      <w:r w:rsidRPr="007F77C5">
        <w:rPr>
          <w:rFonts w:cs="Times New Roman"/>
          <w:noProof/>
        </w:rPr>
        <w:t xml:space="preserve"> 161:839-851. doi:10.1016/s0168-9452(01)00490-3</w:t>
      </w:r>
      <w:bookmarkEnd w:id="116"/>
    </w:p>
    <w:p w14:paraId="0A2A7FD1" w14:textId="77777777" w:rsidR="00126D8D" w:rsidRPr="007F77C5" w:rsidRDefault="00126D8D" w:rsidP="00224B41">
      <w:pPr>
        <w:ind w:left="720" w:hanging="720"/>
        <w:jc w:val="both"/>
        <w:rPr>
          <w:rFonts w:cs="Times New Roman"/>
          <w:noProof/>
        </w:rPr>
      </w:pPr>
      <w:bookmarkStart w:id="117" w:name="_ENREF_1_20"/>
      <w:r w:rsidRPr="007F77C5">
        <w:rPr>
          <w:rFonts w:cs="Times New Roman"/>
          <w:noProof/>
        </w:rPr>
        <w:t>Bouwmeester, H., R.C. Schuurink, P.M. Bleeker, and F. Schiestl. 2019. The Role of Volatiles in Plant Communication.</w:t>
      </w:r>
      <w:r w:rsidRPr="007F77C5">
        <w:rPr>
          <w:rFonts w:cs="Times New Roman"/>
          <w:i/>
          <w:noProof/>
        </w:rPr>
        <w:t xml:space="preserve"> Plant J</w:t>
      </w:r>
      <w:r w:rsidRPr="007F77C5">
        <w:rPr>
          <w:rFonts w:cs="Times New Roman"/>
          <w:noProof/>
        </w:rPr>
        <w:t xml:space="preserve"> 100:892-907. doi:10.1111/tpj.14496</w:t>
      </w:r>
      <w:bookmarkEnd w:id="117"/>
    </w:p>
    <w:p w14:paraId="1B7632F8" w14:textId="77777777" w:rsidR="00126D8D" w:rsidRPr="007F77C5" w:rsidRDefault="00126D8D" w:rsidP="00224B41">
      <w:pPr>
        <w:ind w:left="720" w:hanging="720"/>
        <w:jc w:val="both"/>
        <w:rPr>
          <w:rFonts w:cs="Times New Roman"/>
          <w:noProof/>
        </w:rPr>
      </w:pPr>
      <w:bookmarkStart w:id="118" w:name="_ENREF_1_21"/>
      <w:r w:rsidRPr="007F77C5">
        <w:rPr>
          <w:rFonts w:cs="Times New Roman"/>
          <w:noProof/>
        </w:rPr>
        <w:t>Bramley, P.M. 2000. Is Lycopene Beneficial to Human Health?</w:t>
      </w:r>
      <w:r w:rsidRPr="007F77C5">
        <w:rPr>
          <w:rFonts w:cs="Times New Roman"/>
          <w:i/>
          <w:noProof/>
        </w:rPr>
        <w:t xml:space="preserve"> Phytochemistry</w:t>
      </w:r>
      <w:r w:rsidRPr="007F77C5">
        <w:rPr>
          <w:rFonts w:cs="Times New Roman"/>
          <w:noProof/>
        </w:rPr>
        <w:t xml:space="preserve"> 54:233-236. doi:10.1016/s0031-9422(00)00103-5</w:t>
      </w:r>
      <w:bookmarkEnd w:id="118"/>
    </w:p>
    <w:p w14:paraId="208E16DB" w14:textId="77777777" w:rsidR="00126D8D" w:rsidRPr="007F77C5" w:rsidRDefault="00126D8D" w:rsidP="00224B41">
      <w:pPr>
        <w:ind w:left="720" w:hanging="720"/>
        <w:jc w:val="both"/>
        <w:rPr>
          <w:rFonts w:cs="Times New Roman"/>
          <w:noProof/>
        </w:rPr>
      </w:pPr>
      <w:bookmarkStart w:id="119" w:name="_ENREF_1_22"/>
      <w:r w:rsidRPr="007F77C5">
        <w:rPr>
          <w:rFonts w:cs="Times New Roman"/>
          <w:noProof/>
        </w:rPr>
        <w:t>Briggs, W.R. and J.M. Christie. 2002. Phototropins 1 and 2: Versatile Plant Blue-Light Receptors.</w:t>
      </w:r>
      <w:r w:rsidRPr="007F77C5">
        <w:rPr>
          <w:rFonts w:cs="Times New Roman"/>
          <w:i/>
          <w:noProof/>
        </w:rPr>
        <w:t xml:space="preserve"> Trends Plant Sci</w:t>
      </w:r>
      <w:r w:rsidRPr="007F77C5">
        <w:rPr>
          <w:rFonts w:cs="Times New Roman"/>
          <w:noProof/>
        </w:rPr>
        <w:t xml:space="preserve"> 7:204-210. doi:10.1016/s1360-1385(02)02245-8</w:t>
      </w:r>
      <w:bookmarkEnd w:id="119"/>
    </w:p>
    <w:p w14:paraId="060FA355" w14:textId="77777777" w:rsidR="00126D8D" w:rsidRPr="007F77C5" w:rsidRDefault="00126D8D" w:rsidP="00224B41">
      <w:pPr>
        <w:ind w:left="720" w:hanging="720"/>
        <w:jc w:val="both"/>
        <w:rPr>
          <w:rFonts w:cs="Times New Roman"/>
          <w:noProof/>
        </w:rPr>
      </w:pPr>
      <w:bookmarkStart w:id="120" w:name="_ENREF_1_23"/>
      <w:r w:rsidRPr="007F77C5">
        <w:rPr>
          <w:rFonts w:cs="Times New Roman"/>
          <w:noProof/>
        </w:rPr>
        <w:t>Briggs, W.R. and E. Huala. 1999. Blue-Light Photoreceptors in Higher Plants.</w:t>
      </w:r>
      <w:r w:rsidRPr="007F77C5">
        <w:rPr>
          <w:rFonts w:cs="Times New Roman"/>
          <w:i/>
          <w:noProof/>
        </w:rPr>
        <w:t xml:space="preserve"> Annu Rev Cell Dev Biol</w:t>
      </w:r>
      <w:r w:rsidRPr="007F77C5">
        <w:rPr>
          <w:rFonts w:cs="Times New Roman"/>
          <w:noProof/>
        </w:rPr>
        <w:t xml:space="preserve"> 15:33-62. doi:10.1146/annurev.cellbio.15.1.33</w:t>
      </w:r>
      <w:bookmarkEnd w:id="120"/>
    </w:p>
    <w:p w14:paraId="20F9AA34" w14:textId="77777777" w:rsidR="00126D8D" w:rsidRPr="007F77C5" w:rsidRDefault="00126D8D" w:rsidP="00224B41">
      <w:pPr>
        <w:ind w:left="720" w:hanging="720"/>
        <w:jc w:val="both"/>
        <w:rPr>
          <w:rFonts w:cs="Times New Roman"/>
          <w:noProof/>
        </w:rPr>
      </w:pPr>
      <w:bookmarkStart w:id="121" w:name="_ENREF_1_24"/>
      <w:r w:rsidRPr="007F77C5">
        <w:rPr>
          <w:rFonts w:cs="Times New Roman"/>
          <w:noProof/>
        </w:rPr>
        <w:t>Briggs, W.R. and M.A. Olney. 2001. Photoreceptors in Plant Photomorphogenesis to Date. Five Phytochromes, Two Cryptochromes, One Phototropin, and One Superchrome.</w:t>
      </w:r>
      <w:r w:rsidRPr="007F77C5">
        <w:rPr>
          <w:rFonts w:cs="Times New Roman"/>
          <w:i/>
          <w:noProof/>
        </w:rPr>
        <w:t xml:space="preserve"> Plant Physiol</w:t>
      </w:r>
      <w:r w:rsidRPr="007F77C5">
        <w:rPr>
          <w:rFonts w:cs="Times New Roman"/>
          <w:noProof/>
        </w:rPr>
        <w:t xml:space="preserve"> 125:85-88. doi:10.1104/pp.125.1.85</w:t>
      </w:r>
      <w:bookmarkEnd w:id="121"/>
    </w:p>
    <w:p w14:paraId="25035AD1" w14:textId="77777777" w:rsidR="00126D8D" w:rsidRPr="007F77C5" w:rsidRDefault="00126D8D" w:rsidP="00224B41">
      <w:pPr>
        <w:ind w:left="720" w:hanging="720"/>
        <w:jc w:val="both"/>
        <w:rPr>
          <w:rFonts w:cs="Times New Roman"/>
          <w:noProof/>
        </w:rPr>
      </w:pPr>
      <w:bookmarkStart w:id="122" w:name="_ENREF_1_25"/>
      <w:r w:rsidRPr="007F77C5">
        <w:rPr>
          <w:rFonts w:cs="Times New Roman"/>
          <w:noProof/>
        </w:rPr>
        <w:lastRenderedPageBreak/>
        <w:t>Brody, S. 2011. The Genetics of Circadian Rhythms. 1st ed. Academic Press, San Diego, CA, USA.</w:t>
      </w:r>
      <w:bookmarkEnd w:id="122"/>
    </w:p>
    <w:p w14:paraId="0CBFDA2C" w14:textId="77777777" w:rsidR="00126D8D" w:rsidRPr="007F77C5" w:rsidRDefault="00126D8D" w:rsidP="00224B41">
      <w:pPr>
        <w:ind w:left="720" w:hanging="720"/>
        <w:jc w:val="both"/>
        <w:rPr>
          <w:rFonts w:cs="Times New Roman"/>
          <w:noProof/>
        </w:rPr>
      </w:pPr>
      <w:bookmarkStart w:id="123" w:name="_ENREF_1_26"/>
      <w:r w:rsidRPr="007F77C5">
        <w:rPr>
          <w:rFonts w:cs="Times New Roman"/>
          <w:noProof/>
        </w:rPr>
        <w:t>Buchanan, B.G., W.; Jones, R. 2015. Biochemistry and Molecular Biology of Plants, Second Edition. Wiley Blackwell.</w:t>
      </w:r>
      <w:bookmarkEnd w:id="123"/>
    </w:p>
    <w:p w14:paraId="37218015" w14:textId="77777777" w:rsidR="00126D8D" w:rsidRPr="007F77C5" w:rsidRDefault="00126D8D" w:rsidP="00224B41">
      <w:pPr>
        <w:ind w:left="720" w:hanging="720"/>
        <w:jc w:val="both"/>
        <w:rPr>
          <w:rFonts w:cs="Times New Roman"/>
          <w:noProof/>
        </w:rPr>
      </w:pPr>
      <w:bookmarkStart w:id="124" w:name="_ENREF_1_27"/>
      <w:r w:rsidRPr="007F77C5">
        <w:rPr>
          <w:rFonts w:cs="Times New Roman"/>
          <w:noProof/>
        </w:rPr>
        <w:t>Bugbee, B. 2016. Toward an Optimal Spectral Quality for Plant Growth and Development: The Importance of Radiation Capture.</w:t>
      </w:r>
      <w:r w:rsidRPr="007F77C5">
        <w:rPr>
          <w:rFonts w:cs="Times New Roman"/>
          <w:i/>
          <w:noProof/>
        </w:rPr>
        <w:t xml:space="preserve"> Acta Horticulturae</w:t>
      </w:r>
      <w:r w:rsidRPr="007F77C5">
        <w:rPr>
          <w:rFonts w:cs="Times New Roman"/>
          <w:noProof/>
        </w:rPr>
        <w:t>:1-12. doi:10.17660/ActaHortic.2016.1134.1</w:t>
      </w:r>
      <w:bookmarkEnd w:id="124"/>
    </w:p>
    <w:p w14:paraId="1B3B8504" w14:textId="77777777" w:rsidR="00126D8D" w:rsidRPr="007F77C5" w:rsidRDefault="00126D8D" w:rsidP="00224B41">
      <w:pPr>
        <w:ind w:left="720" w:hanging="720"/>
        <w:jc w:val="both"/>
        <w:rPr>
          <w:rFonts w:cs="Times New Roman"/>
          <w:noProof/>
        </w:rPr>
      </w:pPr>
      <w:bookmarkStart w:id="125" w:name="_ENREF_1_28"/>
      <w:r w:rsidRPr="007F77C5">
        <w:rPr>
          <w:rFonts w:cs="Times New Roman"/>
          <w:noProof/>
        </w:rPr>
        <w:t>Carson, S.M., H.; Witherow, D.; Srougi, M. 2019. Molecular Biology Techniques.</w:t>
      </w:r>
      <w:bookmarkEnd w:id="125"/>
    </w:p>
    <w:p w14:paraId="556AA6B2" w14:textId="77777777" w:rsidR="00126D8D" w:rsidRPr="007F77C5" w:rsidRDefault="00126D8D" w:rsidP="00224B41">
      <w:pPr>
        <w:ind w:left="720" w:hanging="720"/>
        <w:jc w:val="both"/>
        <w:rPr>
          <w:rFonts w:cs="Times New Roman"/>
          <w:noProof/>
        </w:rPr>
      </w:pPr>
      <w:bookmarkStart w:id="126" w:name="_ENREF_1_29"/>
      <w:r w:rsidRPr="007F77C5">
        <w:rPr>
          <w:rFonts w:cs="Times New Roman"/>
          <w:noProof/>
        </w:rPr>
        <w:t>Carvalho, S.D., M.L. Schwieterman, C.E. Abrahan, T.A. Colquhoun, and K.M. Folta. 2016. Light Quality Dependent Changes in Morphology, Antioxidant Capacity, and Volatile Production in Sweet Basil (</w:t>
      </w:r>
      <w:r w:rsidRPr="007F77C5">
        <w:rPr>
          <w:rFonts w:cs="Times New Roman"/>
          <w:i/>
          <w:noProof/>
        </w:rPr>
        <w:t>Ocimum Basilicum</w:t>
      </w:r>
      <w:r w:rsidRPr="007F77C5">
        <w:rPr>
          <w:rFonts w:cs="Times New Roman"/>
          <w:noProof/>
        </w:rPr>
        <w:t>).</w:t>
      </w:r>
      <w:r w:rsidRPr="007F77C5">
        <w:rPr>
          <w:rFonts w:cs="Times New Roman"/>
          <w:i/>
          <w:noProof/>
        </w:rPr>
        <w:t xml:space="preserve"> Front Plant Sci</w:t>
      </w:r>
      <w:r w:rsidRPr="007F77C5">
        <w:rPr>
          <w:rFonts w:cs="Times New Roman"/>
          <w:noProof/>
        </w:rPr>
        <w:t xml:space="preserve"> 7:1328. doi:10.3389/fpls.2016.01328</w:t>
      </w:r>
      <w:bookmarkEnd w:id="126"/>
    </w:p>
    <w:p w14:paraId="7789D600" w14:textId="77777777" w:rsidR="00126D8D" w:rsidRPr="007F77C5" w:rsidRDefault="00126D8D" w:rsidP="00224B41">
      <w:pPr>
        <w:ind w:left="720" w:hanging="720"/>
        <w:jc w:val="both"/>
        <w:rPr>
          <w:rFonts w:cs="Times New Roman"/>
          <w:noProof/>
        </w:rPr>
      </w:pPr>
      <w:bookmarkStart w:id="127" w:name="_ENREF_1_30"/>
      <w:r w:rsidRPr="007F77C5">
        <w:rPr>
          <w:rFonts w:cs="Times New Roman"/>
          <w:noProof/>
        </w:rPr>
        <w:t>Cashmore, A.R. 2003. Cryptochromes.</w:t>
      </w:r>
      <w:r w:rsidRPr="007F77C5">
        <w:rPr>
          <w:rFonts w:cs="Times New Roman"/>
          <w:i/>
          <w:noProof/>
        </w:rPr>
        <w:t xml:space="preserve"> Cell</w:t>
      </w:r>
      <w:r w:rsidRPr="007F77C5">
        <w:rPr>
          <w:rFonts w:cs="Times New Roman"/>
          <w:noProof/>
        </w:rPr>
        <w:t xml:space="preserve"> 114:537-543. doi:10.1016/j.cell.2003.08.004</w:t>
      </w:r>
      <w:bookmarkEnd w:id="127"/>
    </w:p>
    <w:p w14:paraId="7DE3A7F2" w14:textId="77777777" w:rsidR="00126D8D" w:rsidRPr="007F77C5" w:rsidRDefault="00126D8D" w:rsidP="00224B41">
      <w:pPr>
        <w:ind w:left="720" w:hanging="720"/>
        <w:jc w:val="both"/>
        <w:rPr>
          <w:rFonts w:cs="Times New Roman"/>
          <w:noProof/>
        </w:rPr>
      </w:pPr>
      <w:bookmarkStart w:id="128" w:name="_ENREF_1_31"/>
      <w:r w:rsidRPr="007F77C5">
        <w:rPr>
          <w:rFonts w:cs="Times New Roman"/>
          <w:noProof/>
        </w:rPr>
        <w:t>Castronuovo, D., D. Russo, R. Libonati, I. Faraone, V. Candido, P. Picuno, P. Andrade, P. Valentao, and L. Milella. 2019. Influence of Shading Treatment on Yield, Morphological Traits and Phenolic Profile of Sweet Basil (</w:t>
      </w:r>
      <w:r w:rsidRPr="007F77C5">
        <w:rPr>
          <w:rFonts w:cs="Times New Roman"/>
          <w:i/>
          <w:noProof/>
        </w:rPr>
        <w:t>Ocimum Basilicum</w:t>
      </w:r>
      <w:r w:rsidRPr="007F77C5">
        <w:rPr>
          <w:rFonts w:cs="Times New Roman"/>
          <w:noProof/>
        </w:rPr>
        <w:t xml:space="preserve"> L.).</w:t>
      </w:r>
      <w:r w:rsidRPr="007F77C5">
        <w:rPr>
          <w:rFonts w:cs="Times New Roman"/>
          <w:i/>
          <w:noProof/>
        </w:rPr>
        <w:t xml:space="preserve"> Scientia Horticulturae</w:t>
      </w:r>
      <w:r w:rsidRPr="007F77C5">
        <w:rPr>
          <w:rFonts w:cs="Times New Roman"/>
          <w:noProof/>
        </w:rPr>
        <w:t xml:space="preserve"> 254:91-98. doi:10.1016/j.scienta.2019.04.077</w:t>
      </w:r>
      <w:bookmarkEnd w:id="128"/>
    </w:p>
    <w:p w14:paraId="21AEE920" w14:textId="77777777" w:rsidR="00126D8D" w:rsidRPr="007F77C5" w:rsidRDefault="00126D8D" w:rsidP="00224B41">
      <w:pPr>
        <w:ind w:left="720" w:hanging="720"/>
        <w:jc w:val="both"/>
        <w:rPr>
          <w:rFonts w:cs="Times New Roman"/>
          <w:noProof/>
        </w:rPr>
      </w:pPr>
      <w:bookmarkStart w:id="129" w:name="_ENREF_1_32"/>
      <w:r w:rsidRPr="007F77C5">
        <w:rPr>
          <w:rFonts w:cs="Times New Roman"/>
          <w:noProof/>
        </w:rPr>
        <w:t>Chaves, I., R. Pokorny, M. Byrdin, N. Hoang, T. Ritz, K. Brettel, L.O. Essen, G.T. Van Der Horst, A. Batschauer, and M. Ahmad. 2011. The Cryptochromes: Blue Light Photoreceptors in Plants and Animals.</w:t>
      </w:r>
      <w:r w:rsidRPr="007F77C5">
        <w:rPr>
          <w:rFonts w:cs="Times New Roman"/>
          <w:i/>
          <w:noProof/>
        </w:rPr>
        <w:t xml:space="preserve"> Annu Rev Plant Biol</w:t>
      </w:r>
      <w:r w:rsidRPr="007F77C5">
        <w:rPr>
          <w:rFonts w:cs="Times New Roman"/>
          <w:noProof/>
        </w:rPr>
        <w:t xml:space="preserve"> 62:335-364. doi:10.1146/annurev-arplant-042110-103759</w:t>
      </w:r>
      <w:bookmarkEnd w:id="129"/>
    </w:p>
    <w:p w14:paraId="4E322DFE" w14:textId="77777777" w:rsidR="00126D8D" w:rsidRPr="007F77C5" w:rsidRDefault="00126D8D" w:rsidP="00224B41">
      <w:pPr>
        <w:ind w:left="720" w:hanging="720"/>
        <w:jc w:val="both"/>
        <w:rPr>
          <w:rFonts w:cs="Times New Roman"/>
          <w:noProof/>
        </w:rPr>
      </w:pPr>
      <w:bookmarkStart w:id="130" w:name="_ENREF_1_33"/>
      <w:r w:rsidRPr="007F77C5">
        <w:rPr>
          <w:rFonts w:cs="Times New Roman"/>
          <w:noProof/>
        </w:rPr>
        <w:t>Chen, M. and J. Chory. 2011. Phytochrome Signaling Mechanisms and the Control of Plant Development.</w:t>
      </w:r>
      <w:r w:rsidRPr="007F77C5">
        <w:rPr>
          <w:rFonts w:cs="Times New Roman"/>
          <w:i/>
          <w:noProof/>
        </w:rPr>
        <w:t xml:space="preserve"> Trends Cell Biol</w:t>
      </w:r>
      <w:r w:rsidRPr="007F77C5">
        <w:rPr>
          <w:rFonts w:cs="Times New Roman"/>
          <w:noProof/>
        </w:rPr>
        <w:t xml:space="preserve"> 21:664-671. doi:10.1016/j.tcb.2011.07.002</w:t>
      </w:r>
      <w:bookmarkEnd w:id="130"/>
    </w:p>
    <w:p w14:paraId="761B3A0B" w14:textId="77777777" w:rsidR="00126D8D" w:rsidRPr="007F77C5" w:rsidRDefault="00126D8D" w:rsidP="00224B41">
      <w:pPr>
        <w:ind w:left="720" w:hanging="720"/>
        <w:jc w:val="both"/>
        <w:rPr>
          <w:rFonts w:cs="Times New Roman"/>
          <w:noProof/>
        </w:rPr>
      </w:pPr>
      <w:bookmarkStart w:id="131" w:name="_ENREF_1_34"/>
      <w:r w:rsidRPr="007F77C5">
        <w:rPr>
          <w:rFonts w:cs="Times New Roman"/>
          <w:noProof/>
        </w:rPr>
        <w:lastRenderedPageBreak/>
        <w:t>Cheong, K.W., C.P. Tan, H. Mirhosseini, N.S.A. Hamid, A. Osman, and M. Basri. 2010. Equilibrium Headspace Analysis of Volatile Flavor Compounds Extracted from Soursop (</w:t>
      </w:r>
      <w:r w:rsidRPr="007F77C5">
        <w:rPr>
          <w:rFonts w:cs="Times New Roman"/>
          <w:i/>
          <w:noProof/>
        </w:rPr>
        <w:t>Annona Muricata</w:t>
      </w:r>
      <w:r w:rsidRPr="007F77C5">
        <w:rPr>
          <w:rFonts w:cs="Times New Roman"/>
          <w:noProof/>
        </w:rPr>
        <w:t>) Using Solid-Phase Microextraction.</w:t>
      </w:r>
      <w:r w:rsidRPr="007F77C5">
        <w:rPr>
          <w:rFonts w:cs="Times New Roman"/>
          <w:i/>
          <w:noProof/>
        </w:rPr>
        <w:t xml:space="preserve"> Food Research International</w:t>
      </w:r>
      <w:r w:rsidRPr="007F77C5">
        <w:rPr>
          <w:rFonts w:cs="Times New Roman"/>
          <w:noProof/>
        </w:rPr>
        <w:t xml:space="preserve"> 43:1267-1276. doi:10.1016/j.foodres.2010.03.001</w:t>
      </w:r>
      <w:bookmarkEnd w:id="131"/>
    </w:p>
    <w:p w14:paraId="0D8EB0DC" w14:textId="77777777" w:rsidR="00126D8D" w:rsidRPr="007F77C5" w:rsidRDefault="00126D8D" w:rsidP="00224B41">
      <w:pPr>
        <w:ind w:left="720" w:hanging="720"/>
        <w:jc w:val="both"/>
        <w:rPr>
          <w:rFonts w:cs="Times New Roman"/>
          <w:noProof/>
        </w:rPr>
      </w:pPr>
      <w:bookmarkStart w:id="132" w:name="_ENREF_1_35"/>
      <w:r w:rsidRPr="007F77C5">
        <w:rPr>
          <w:rFonts w:cs="Times New Roman"/>
          <w:noProof/>
        </w:rPr>
        <w:t>Chong, J.A., U.C. Samarakoon, and J.E. Faust. 2014. Effects of Daily Light Integral and Canopy Density on Shoot Growth and Development in a Poinsettia (</w:t>
      </w:r>
      <w:r w:rsidRPr="007F77C5">
        <w:rPr>
          <w:rFonts w:cs="Times New Roman"/>
          <w:i/>
          <w:noProof/>
        </w:rPr>
        <w:t>Euphorbia Pulcherrima</w:t>
      </w:r>
      <w:r w:rsidRPr="007F77C5">
        <w:rPr>
          <w:rFonts w:cs="Times New Roman"/>
          <w:noProof/>
        </w:rPr>
        <w:t xml:space="preserve"> Willd. Ex. Klotsch) Stock Plant Canopy.</w:t>
      </w:r>
      <w:r w:rsidRPr="007F77C5">
        <w:rPr>
          <w:rFonts w:cs="Times New Roman"/>
          <w:i/>
          <w:noProof/>
        </w:rPr>
        <w:t xml:space="preserve"> HortScience</w:t>
      </w:r>
      <w:r w:rsidRPr="007F77C5">
        <w:rPr>
          <w:rFonts w:cs="Times New Roman"/>
          <w:noProof/>
        </w:rPr>
        <w:t xml:space="preserve"> 49:51-54. doi:10.21273/hortsci.49.1.51</w:t>
      </w:r>
      <w:bookmarkEnd w:id="132"/>
    </w:p>
    <w:p w14:paraId="36239AF3" w14:textId="77777777" w:rsidR="00126D8D" w:rsidRPr="007F77C5" w:rsidRDefault="00126D8D" w:rsidP="00224B41">
      <w:pPr>
        <w:ind w:left="720" w:hanging="720"/>
        <w:jc w:val="both"/>
        <w:rPr>
          <w:rFonts w:cs="Times New Roman"/>
          <w:noProof/>
        </w:rPr>
      </w:pPr>
      <w:bookmarkStart w:id="133" w:name="_ENREF_1_36"/>
      <w:r w:rsidRPr="007F77C5">
        <w:rPr>
          <w:rFonts w:cs="Times New Roman"/>
          <w:noProof/>
        </w:rPr>
        <w:t>Christiaens, A., P. Lootens, I. Roldán-Ruiz, E. Pauwels, B. Gobin, and M.C. Van Labeke. 2014. Determining the Minimum Daily Light Integral for Forcing of Azalea (</w:t>
      </w:r>
      <w:r w:rsidRPr="007F77C5">
        <w:rPr>
          <w:rFonts w:cs="Times New Roman"/>
          <w:i/>
          <w:noProof/>
        </w:rPr>
        <w:t>Rhododendron</w:t>
      </w:r>
      <w:r w:rsidRPr="007F77C5">
        <w:rPr>
          <w:rFonts w:cs="Times New Roman"/>
          <w:noProof/>
        </w:rPr>
        <w:t xml:space="preserve"> </w:t>
      </w:r>
      <w:r w:rsidRPr="007F77C5">
        <w:rPr>
          <w:rFonts w:cs="Times New Roman"/>
          <w:i/>
          <w:noProof/>
        </w:rPr>
        <w:t>Simsii</w:t>
      </w:r>
      <w:r w:rsidRPr="007F77C5">
        <w:rPr>
          <w:rFonts w:cs="Times New Roman"/>
          <w:noProof/>
        </w:rPr>
        <w:t>).</w:t>
      </w:r>
      <w:r w:rsidRPr="007F77C5">
        <w:rPr>
          <w:rFonts w:cs="Times New Roman"/>
          <w:i/>
          <w:noProof/>
        </w:rPr>
        <w:t xml:space="preserve"> Scientia Horticulturae</w:t>
      </w:r>
      <w:r w:rsidRPr="007F77C5">
        <w:rPr>
          <w:rFonts w:cs="Times New Roman"/>
          <w:noProof/>
        </w:rPr>
        <w:t xml:space="preserve"> 177:1-9. doi:10.1016/j.scienta.2014.07.028</w:t>
      </w:r>
      <w:bookmarkEnd w:id="133"/>
    </w:p>
    <w:p w14:paraId="0EFC2A81" w14:textId="77777777" w:rsidR="00126D8D" w:rsidRPr="007F77C5" w:rsidRDefault="00126D8D" w:rsidP="00224B41">
      <w:pPr>
        <w:ind w:left="720" w:hanging="720"/>
        <w:jc w:val="both"/>
        <w:rPr>
          <w:rFonts w:cs="Times New Roman"/>
          <w:noProof/>
        </w:rPr>
      </w:pPr>
      <w:bookmarkStart w:id="134" w:name="_ENREF_1_37"/>
      <w:r w:rsidRPr="007F77C5">
        <w:rPr>
          <w:rFonts w:cs="Times New Roman"/>
          <w:noProof/>
        </w:rPr>
        <w:t>Christie, J.M. 2007. Phototropin Blue-Light Receptors.</w:t>
      </w:r>
      <w:r w:rsidRPr="007F77C5">
        <w:rPr>
          <w:rFonts w:cs="Times New Roman"/>
          <w:i/>
          <w:noProof/>
        </w:rPr>
        <w:t xml:space="preserve"> Annu Rev Plant Biol</w:t>
      </w:r>
      <w:r w:rsidRPr="007F77C5">
        <w:rPr>
          <w:rFonts w:cs="Times New Roman"/>
          <w:noProof/>
        </w:rPr>
        <w:t xml:space="preserve"> 58:21-45. doi:10.1146/annurev.arplant.58.032806.103951</w:t>
      </w:r>
      <w:bookmarkEnd w:id="134"/>
    </w:p>
    <w:p w14:paraId="7AF7629D" w14:textId="77777777" w:rsidR="00126D8D" w:rsidRPr="007F77C5" w:rsidRDefault="00126D8D" w:rsidP="00224B41">
      <w:pPr>
        <w:ind w:left="720" w:hanging="720"/>
        <w:jc w:val="both"/>
        <w:rPr>
          <w:rFonts w:cs="Times New Roman"/>
          <w:noProof/>
        </w:rPr>
      </w:pPr>
      <w:bookmarkStart w:id="135" w:name="_ENREF_1_38"/>
      <w:r w:rsidRPr="007F77C5">
        <w:rPr>
          <w:rFonts w:cs="Times New Roman"/>
          <w:noProof/>
        </w:rPr>
        <w:t>Colquhoun, T.A., M.L. Schwieterman, J.L. Gilbert, E.A. Jaworski, K.M. Langer, C.R. Jones, G.V. Rushing, T.M. Hunter, J. Olmstead, D.G. Clark, and K.M. Folta. 2013. Light Modulation of Volatile Organic Compounds from Petunia Flowers and Select Fruits.</w:t>
      </w:r>
      <w:r w:rsidRPr="007F77C5">
        <w:rPr>
          <w:rFonts w:cs="Times New Roman"/>
          <w:i/>
          <w:noProof/>
        </w:rPr>
        <w:t xml:space="preserve"> Postharvest Biology and Technology</w:t>
      </w:r>
      <w:r w:rsidRPr="007F77C5">
        <w:rPr>
          <w:rFonts w:cs="Times New Roman"/>
          <w:noProof/>
        </w:rPr>
        <w:t xml:space="preserve"> 86:37-44. doi:10.1016/j.postharvbio.2013.06.013</w:t>
      </w:r>
      <w:bookmarkEnd w:id="135"/>
    </w:p>
    <w:p w14:paraId="7F8F135F" w14:textId="77777777" w:rsidR="00126D8D" w:rsidRPr="007F77C5" w:rsidRDefault="00126D8D" w:rsidP="00224B41">
      <w:pPr>
        <w:ind w:left="720" w:hanging="720"/>
        <w:jc w:val="both"/>
        <w:rPr>
          <w:rFonts w:cs="Times New Roman"/>
          <w:noProof/>
        </w:rPr>
      </w:pPr>
      <w:bookmarkStart w:id="136" w:name="_ENREF_1_39"/>
      <w:r w:rsidRPr="007F77C5">
        <w:rPr>
          <w:rFonts w:cs="Times New Roman"/>
          <w:noProof/>
        </w:rPr>
        <w:t>Craver, J.K., J.K. Boldt, and R.G. Lopez. 2019. Comparison of Supplemental Lighting Provided by High-Pressure Sodium Lamps or Light-Emitting Diodes for the Propagation and Finishing of Bedding Plants in a Commercial Greenhouse.</w:t>
      </w:r>
      <w:r w:rsidRPr="007F77C5">
        <w:rPr>
          <w:rFonts w:cs="Times New Roman"/>
          <w:i/>
          <w:noProof/>
        </w:rPr>
        <w:t xml:space="preserve"> HortScience</w:t>
      </w:r>
      <w:r w:rsidRPr="007F77C5">
        <w:rPr>
          <w:rFonts w:cs="Times New Roman"/>
          <w:noProof/>
        </w:rPr>
        <w:t xml:space="preserve"> 54:52-59. doi:10.21273/hortsci13471-18</w:t>
      </w:r>
      <w:bookmarkEnd w:id="136"/>
    </w:p>
    <w:p w14:paraId="2EE72AE9" w14:textId="77777777" w:rsidR="00126D8D" w:rsidRPr="007F77C5" w:rsidRDefault="00126D8D" w:rsidP="00224B41">
      <w:pPr>
        <w:ind w:left="720" w:hanging="720"/>
        <w:jc w:val="both"/>
        <w:rPr>
          <w:rFonts w:cs="Times New Roman"/>
          <w:noProof/>
        </w:rPr>
      </w:pPr>
      <w:bookmarkStart w:id="137" w:name="_ENREF_1_40"/>
      <w:r w:rsidRPr="007F77C5">
        <w:rPr>
          <w:rFonts w:cs="Times New Roman"/>
          <w:noProof/>
        </w:rPr>
        <w:t>Cunningham, F.X. and E. Gantt. 1998. Genes and Enzymes of Carotenoid Biosynthesis in Plants.</w:t>
      </w:r>
      <w:r w:rsidRPr="007F77C5">
        <w:rPr>
          <w:rFonts w:cs="Times New Roman"/>
          <w:i/>
          <w:noProof/>
        </w:rPr>
        <w:t xml:space="preserve"> Annu Rev Plant Physiol Plant Mol Biol</w:t>
      </w:r>
      <w:r w:rsidRPr="007F77C5">
        <w:rPr>
          <w:rFonts w:cs="Times New Roman"/>
          <w:noProof/>
        </w:rPr>
        <w:t xml:space="preserve"> 49:557-583. doi:10.1146/annurev.arplant.49.1.557</w:t>
      </w:r>
      <w:bookmarkEnd w:id="137"/>
    </w:p>
    <w:p w14:paraId="7565E8CF" w14:textId="77777777" w:rsidR="00126D8D" w:rsidRPr="007F77C5" w:rsidRDefault="00126D8D" w:rsidP="00224B41">
      <w:pPr>
        <w:ind w:left="720" w:hanging="720"/>
        <w:jc w:val="both"/>
        <w:rPr>
          <w:rFonts w:cs="Times New Roman"/>
          <w:noProof/>
        </w:rPr>
      </w:pPr>
      <w:bookmarkStart w:id="138" w:name="_ENREF_1_41"/>
      <w:r w:rsidRPr="007F77C5">
        <w:rPr>
          <w:rFonts w:cs="Times New Roman"/>
          <w:noProof/>
        </w:rPr>
        <w:lastRenderedPageBreak/>
        <w:t>Currey, C.J., V.A. Hutchinson, and R.G. Lopez. 2012. Growth, Morphology, and Quality of Rooted Cuttings of Several Herbaceous Annual Bedding Plants Are Influenced by Photosynthetic Daily Light Integral During Root Development.</w:t>
      </w:r>
      <w:r w:rsidRPr="007F77C5">
        <w:rPr>
          <w:rFonts w:cs="Times New Roman"/>
          <w:i/>
          <w:noProof/>
        </w:rPr>
        <w:t xml:space="preserve"> HortScience</w:t>
      </w:r>
      <w:r w:rsidRPr="007F77C5">
        <w:rPr>
          <w:rFonts w:cs="Times New Roman"/>
          <w:noProof/>
        </w:rPr>
        <w:t xml:space="preserve"> 47:25-30. doi:10.21273/hortsci.47.1.25</w:t>
      </w:r>
      <w:bookmarkEnd w:id="138"/>
    </w:p>
    <w:p w14:paraId="61A147EE" w14:textId="77777777" w:rsidR="00126D8D" w:rsidRPr="007F77C5" w:rsidRDefault="00126D8D" w:rsidP="00224B41">
      <w:pPr>
        <w:ind w:left="720" w:hanging="720"/>
        <w:jc w:val="both"/>
        <w:rPr>
          <w:rFonts w:cs="Times New Roman"/>
          <w:noProof/>
        </w:rPr>
      </w:pPr>
      <w:bookmarkStart w:id="139" w:name="_ENREF_1_42"/>
      <w:r w:rsidRPr="007F77C5">
        <w:rPr>
          <w:rFonts w:cs="Times New Roman"/>
          <w:noProof/>
        </w:rPr>
        <w:t>Currey, C.J. and R.G. Lopez. 2015. Biomass Accumulation and Allocation, Photosynthesis, and Carbohydrate Status of New Guinea Impatiens, Geranium, and Petunia Cuttings Are Affected by Photosynthetic Daily Light Integral During Root Development.</w:t>
      </w:r>
      <w:r w:rsidRPr="007F77C5">
        <w:rPr>
          <w:rFonts w:cs="Times New Roman"/>
          <w:i/>
          <w:noProof/>
        </w:rPr>
        <w:t xml:space="preserve"> Journal of the American Society for Horticultural Science</w:t>
      </w:r>
      <w:r w:rsidRPr="007F77C5">
        <w:rPr>
          <w:rFonts w:cs="Times New Roman"/>
          <w:noProof/>
        </w:rPr>
        <w:t xml:space="preserve"> 140:542-549. doi:10.21273/jashs.140.6.542</w:t>
      </w:r>
      <w:bookmarkEnd w:id="139"/>
    </w:p>
    <w:p w14:paraId="035163AF" w14:textId="77777777" w:rsidR="00126D8D" w:rsidRPr="007F77C5" w:rsidRDefault="00126D8D" w:rsidP="00224B41">
      <w:pPr>
        <w:ind w:left="720" w:hanging="720"/>
        <w:jc w:val="both"/>
        <w:rPr>
          <w:rFonts w:cs="Times New Roman"/>
          <w:noProof/>
        </w:rPr>
      </w:pPr>
      <w:bookmarkStart w:id="140" w:name="_ENREF_1_43"/>
      <w:r w:rsidRPr="007F77C5">
        <w:rPr>
          <w:rFonts w:cs="Times New Roman"/>
          <w:noProof/>
        </w:rPr>
        <w:t>Davis, P.A. and C. Burns. 2016. Photobiology in Protected Horticulture.</w:t>
      </w:r>
      <w:r w:rsidRPr="007F77C5">
        <w:rPr>
          <w:rFonts w:cs="Times New Roman"/>
          <w:i/>
          <w:noProof/>
        </w:rPr>
        <w:t xml:space="preserve"> Food and Energy Security</w:t>
      </w:r>
      <w:r w:rsidRPr="007F77C5">
        <w:rPr>
          <w:rFonts w:cs="Times New Roman"/>
          <w:noProof/>
        </w:rPr>
        <w:t xml:space="preserve"> 5:223-238. doi:10.1002/fes3.97</w:t>
      </w:r>
      <w:bookmarkEnd w:id="140"/>
    </w:p>
    <w:p w14:paraId="6469EB77" w14:textId="77777777" w:rsidR="00126D8D" w:rsidRPr="007F77C5" w:rsidRDefault="00126D8D" w:rsidP="00224B41">
      <w:pPr>
        <w:ind w:left="720" w:hanging="720"/>
        <w:jc w:val="both"/>
        <w:rPr>
          <w:rFonts w:cs="Times New Roman"/>
          <w:noProof/>
        </w:rPr>
      </w:pPr>
      <w:bookmarkStart w:id="141" w:name="_ENREF_1_44"/>
      <w:r w:rsidRPr="007F77C5">
        <w:rPr>
          <w:rFonts w:cs="Times New Roman"/>
          <w:noProof/>
        </w:rPr>
        <w:t>Demmig-Adams, B. and W.W. Adams. 1996. The Role of Xanthophyll Cycle Carotenoids in the Protection of Photosynthesis.</w:t>
      </w:r>
      <w:r w:rsidRPr="007F77C5">
        <w:rPr>
          <w:rFonts w:cs="Times New Roman"/>
          <w:i/>
          <w:noProof/>
        </w:rPr>
        <w:t xml:space="preserve"> Trends in Plant Science</w:t>
      </w:r>
      <w:r w:rsidRPr="007F77C5">
        <w:rPr>
          <w:rFonts w:cs="Times New Roman"/>
          <w:noProof/>
        </w:rPr>
        <w:t xml:space="preserve"> 1:21-26. doi:10.1016/s1360-1385(96)80019-7</w:t>
      </w:r>
      <w:bookmarkEnd w:id="141"/>
    </w:p>
    <w:p w14:paraId="4E7B2B98" w14:textId="77777777" w:rsidR="00126D8D" w:rsidRPr="007F77C5" w:rsidRDefault="00126D8D" w:rsidP="00224B41">
      <w:pPr>
        <w:ind w:left="720" w:hanging="720"/>
        <w:jc w:val="both"/>
        <w:rPr>
          <w:rFonts w:cs="Times New Roman"/>
          <w:noProof/>
        </w:rPr>
      </w:pPr>
      <w:bookmarkStart w:id="142" w:name="_ENREF_1_45"/>
      <w:r w:rsidRPr="007F77C5">
        <w:rPr>
          <w:rFonts w:cs="Times New Roman"/>
          <w:noProof/>
        </w:rPr>
        <w:t>Demotes-Mainard, S., T. Péron, A. Corot, J. Bertheloot, J. Le Gourrierec, S. Pelleschi-Travier, L. Crespel, P. Morel, L. Huché-Thélier, R. Boumaza, A. Vian, V. Guérin, N. Leduc, and S. Sakr. 2016. Plant Responses to Red and Far-Red Lights, Applications in Horticulture.</w:t>
      </w:r>
      <w:r w:rsidRPr="007F77C5">
        <w:rPr>
          <w:rFonts w:cs="Times New Roman"/>
          <w:i/>
          <w:noProof/>
        </w:rPr>
        <w:t xml:space="preserve"> Environmental and Experimental Botany</w:t>
      </w:r>
      <w:r w:rsidRPr="007F77C5">
        <w:rPr>
          <w:rFonts w:cs="Times New Roman"/>
          <w:noProof/>
        </w:rPr>
        <w:t xml:space="preserve"> 121:4-21. doi:10.1016/j.envexpbot.2015.05.010</w:t>
      </w:r>
      <w:bookmarkEnd w:id="142"/>
    </w:p>
    <w:p w14:paraId="66443E42" w14:textId="77777777" w:rsidR="00126D8D" w:rsidRPr="007F77C5" w:rsidRDefault="00126D8D" w:rsidP="00224B41">
      <w:pPr>
        <w:ind w:left="720" w:hanging="720"/>
        <w:jc w:val="both"/>
        <w:rPr>
          <w:rFonts w:cs="Times New Roman"/>
          <w:noProof/>
        </w:rPr>
      </w:pPr>
      <w:bookmarkStart w:id="143" w:name="_ENREF_1_46"/>
      <w:r w:rsidRPr="007F77C5">
        <w:rPr>
          <w:rFonts w:cs="Times New Roman"/>
          <w:noProof/>
        </w:rPr>
        <w:t>Deschamps, C. and J.E. Simon. 2006. Terpenoid Essential Oil Metabolism in Basil (</w:t>
      </w:r>
      <w:r w:rsidRPr="007F77C5">
        <w:rPr>
          <w:rFonts w:cs="Times New Roman"/>
          <w:i/>
          <w:noProof/>
        </w:rPr>
        <w:t>Ocimum Basilicum</w:t>
      </w:r>
      <w:r w:rsidRPr="007F77C5">
        <w:rPr>
          <w:rFonts w:cs="Times New Roman"/>
          <w:noProof/>
        </w:rPr>
        <w:t xml:space="preserve"> L.) Following Elicitation.</w:t>
      </w:r>
      <w:r w:rsidRPr="007F77C5">
        <w:rPr>
          <w:rFonts w:cs="Times New Roman"/>
          <w:i/>
          <w:noProof/>
        </w:rPr>
        <w:t xml:space="preserve"> Journal of Essential Oil Research</w:t>
      </w:r>
      <w:r w:rsidRPr="007F77C5">
        <w:rPr>
          <w:rFonts w:cs="Times New Roman"/>
          <w:noProof/>
        </w:rPr>
        <w:t xml:space="preserve"> 18:618-621. doi:10.1080/10412905.2006.9699183</w:t>
      </w:r>
      <w:bookmarkEnd w:id="143"/>
    </w:p>
    <w:p w14:paraId="63155439" w14:textId="77777777" w:rsidR="00126D8D" w:rsidRPr="007F77C5" w:rsidRDefault="00126D8D" w:rsidP="00224B41">
      <w:pPr>
        <w:ind w:left="720" w:hanging="720"/>
        <w:jc w:val="both"/>
        <w:rPr>
          <w:rFonts w:cs="Times New Roman"/>
          <w:noProof/>
        </w:rPr>
      </w:pPr>
      <w:bookmarkStart w:id="144" w:name="_ENREF_1_47"/>
      <w:r w:rsidRPr="007F77C5">
        <w:rPr>
          <w:rFonts w:cs="Times New Roman"/>
          <w:noProof/>
        </w:rPr>
        <w:t xml:space="preserve">Długosz-Grochowska, O., A. Kołton, and R. Wojciechowska. 2016. Modifying Folate and Polyphenol Concentrations in Lamb's Lettuce by the Use of LED Supplemental Lighting </w:t>
      </w:r>
      <w:r w:rsidRPr="007F77C5">
        <w:rPr>
          <w:rFonts w:cs="Times New Roman"/>
          <w:noProof/>
        </w:rPr>
        <w:lastRenderedPageBreak/>
        <w:t>During Cultivation in Greenhouses.</w:t>
      </w:r>
      <w:r w:rsidRPr="007F77C5">
        <w:rPr>
          <w:rFonts w:cs="Times New Roman"/>
          <w:i/>
          <w:noProof/>
        </w:rPr>
        <w:t xml:space="preserve"> Journal of Functional Foods</w:t>
      </w:r>
      <w:r w:rsidRPr="007F77C5">
        <w:rPr>
          <w:rFonts w:cs="Times New Roman"/>
          <w:noProof/>
        </w:rPr>
        <w:t xml:space="preserve"> 26:228-237. doi:10.1016/j.jff.2016.07.020</w:t>
      </w:r>
      <w:bookmarkEnd w:id="144"/>
    </w:p>
    <w:p w14:paraId="444CFE46" w14:textId="77777777" w:rsidR="00126D8D" w:rsidRPr="007F77C5" w:rsidRDefault="00126D8D" w:rsidP="00224B41">
      <w:pPr>
        <w:ind w:left="720" w:hanging="720"/>
        <w:jc w:val="both"/>
        <w:rPr>
          <w:rFonts w:cs="Times New Roman"/>
          <w:noProof/>
        </w:rPr>
      </w:pPr>
      <w:bookmarkStart w:id="145" w:name="_ENREF_1_48"/>
      <w:r w:rsidRPr="007F77C5">
        <w:rPr>
          <w:rFonts w:cs="Times New Roman"/>
          <w:noProof/>
        </w:rPr>
        <w:t>Dou, H., G. Niu, M. Gu, and J. Masabni. 2017. Effects of Light Quality on Growth and Phytonutrient Accumulation of Herbs under Controlled Environments.</w:t>
      </w:r>
      <w:r w:rsidRPr="007F77C5">
        <w:rPr>
          <w:rFonts w:cs="Times New Roman"/>
          <w:i/>
          <w:noProof/>
        </w:rPr>
        <w:t xml:space="preserve"> Horticulturae</w:t>
      </w:r>
      <w:r w:rsidRPr="007F77C5">
        <w:rPr>
          <w:rFonts w:cs="Times New Roman"/>
          <w:noProof/>
        </w:rPr>
        <w:t xml:space="preserve"> 3. doi:10.3390/horticulturae3020036</w:t>
      </w:r>
      <w:bookmarkEnd w:id="145"/>
    </w:p>
    <w:p w14:paraId="58C3AF07" w14:textId="77777777" w:rsidR="00126D8D" w:rsidRPr="007F77C5" w:rsidRDefault="00126D8D" w:rsidP="00224B41">
      <w:pPr>
        <w:ind w:left="720" w:hanging="720"/>
        <w:jc w:val="both"/>
        <w:rPr>
          <w:rFonts w:cs="Times New Roman"/>
          <w:noProof/>
        </w:rPr>
      </w:pPr>
      <w:bookmarkStart w:id="146" w:name="_ENREF_1_49"/>
      <w:r w:rsidRPr="007F77C5">
        <w:rPr>
          <w:rFonts w:cs="Times New Roman"/>
          <w:noProof/>
        </w:rPr>
        <w:t>Dutta Gupta, S. 2017. Light Emitting Diodes for Agriculture.</w:t>
      </w:r>
      <w:bookmarkEnd w:id="146"/>
    </w:p>
    <w:p w14:paraId="661E7316" w14:textId="77777777" w:rsidR="00126D8D" w:rsidRPr="007F77C5" w:rsidRDefault="00126D8D" w:rsidP="00224B41">
      <w:pPr>
        <w:ind w:left="720" w:hanging="720"/>
        <w:jc w:val="both"/>
        <w:rPr>
          <w:rFonts w:cs="Times New Roman"/>
          <w:noProof/>
        </w:rPr>
      </w:pPr>
      <w:bookmarkStart w:id="147" w:name="_ENREF_1_50"/>
      <w:r w:rsidRPr="007F77C5">
        <w:rPr>
          <w:rFonts w:cs="Times New Roman"/>
          <w:noProof/>
        </w:rPr>
        <w:t>El-Ramady, H., M. Olle, B. Eichler-Lobermann, and E. Schnug. 2020. Towards a New Concept of Sustainable Plant Nutrition.</w:t>
      </w:r>
      <w:r w:rsidRPr="007F77C5">
        <w:rPr>
          <w:rFonts w:cs="Times New Roman"/>
          <w:i/>
          <w:noProof/>
        </w:rPr>
        <w:t xml:space="preserve"> Environment, Biodiversity and Soil Security</w:t>
      </w:r>
      <w:r w:rsidRPr="007F77C5">
        <w:rPr>
          <w:rFonts w:cs="Times New Roman"/>
          <w:noProof/>
        </w:rPr>
        <w:t xml:space="preserve"> 4:1-5. doi:10.21608/jenvbs.2020.21970.1080</w:t>
      </w:r>
      <w:bookmarkEnd w:id="147"/>
    </w:p>
    <w:p w14:paraId="39320123" w14:textId="77777777" w:rsidR="00126D8D" w:rsidRPr="007F77C5" w:rsidRDefault="00126D8D" w:rsidP="00224B41">
      <w:pPr>
        <w:ind w:left="720" w:hanging="720"/>
        <w:jc w:val="both"/>
        <w:rPr>
          <w:rFonts w:cs="Times New Roman"/>
          <w:noProof/>
        </w:rPr>
      </w:pPr>
      <w:bookmarkStart w:id="148" w:name="_ENREF_1_51"/>
      <w:r w:rsidRPr="007F77C5">
        <w:rPr>
          <w:rFonts w:cs="Times New Roman"/>
          <w:noProof/>
        </w:rPr>
        <w:t>Engel, W.B., W.; Schieberle, P. 1999. Solvent Assisted Flavour Evaporation - a New and Versatile Technique for the Careful and Direct Isolation of New Aroma Compounds from Complex Food Matrices.</w:t>
      </w:r>
      <w:r w:rsidRPr="007F77C5">
        <w:rPr>
          <w:rFonts w:cs="Times New Roman"/>
          <w:i/>
          <w:noProof/>
        </w:rPr>
        <w:t xml:space="preserve"> Eur Food Res Technol</w:t>
      </w:r>
      <w:r w:rsidRPr="007F77C5">
        <w:rPr>
          <w:rFonts w:cs="Times New Roman"/>
          <w:noProof/>
        </w:rPr>
        <w:t xml:space="preserve"> 209:237-241. </w:t>
      </w:r>
      <w:bookmarkEnd w:id="148"/>
    </w:p>
    <w:p w14:paraId="4E627601" w14:textId="77777777" w:rsidR="00126D8D" w:rsidRPr="007F77C5" w:rsidRDefault="00126D8D" w:rsidP="00224B41">
      <w:pPr>
        <w:ind w:left="720" w:hanging="720"/>
        <w:jc w:val="both"/>
        <w:rPr>
          <w:rFonts w:cs="Times New Roman"/>
          <w:noProof/>
        </w:rPr>
      </w:pPr>
      <w:bookmarkStart w:id="149" w:name="_ENREF_1_52"/>
      <w:r w:rsidRPr="007F77C5">
        <w:rPr>
          <w:rFonts w:cs="Times New Roman"/>
          <w:noProof/>
        </w:rPr>
        <w:t>Engler, N. and M. Krarti. 2021. Review of Energy Efficiency in Controlled Environment Agriculture.</w:t>
      </w:r>
      <w:r w:rsidRPr="007F77C5">
        <w:rPr>
          <w:rFonts w:cs="Times New Roman"/>
          <w:i/>
          <w:noProof/>
        </w:rPr>
        <w:t xml:space="preserve"> Renewable and Sustainable Energy Reviews</w:t>
      </w:r>
      <w:r w:rsidRPr="007F77C5">
        <w:rPr>
          <w:rFonts w:cs="Times New Roman"/>
          <w:noProof/>
        </w:rPr>
        <w:t xml:space="preserve"> 141:110786. doi:10.1016/j.rser.2021.110786</w:t>
      </w:r>
      <w:bookmarkEnd w:id="149"/>
    </w:p>
    <w:p w14:paraId="3255D97C" w14:textId="77777777" w:rsidR="00126D8D" w:rsidRPr="007F77C5" w:rsidRDefault="00126D8D" w:rsidP="00224B41">
      <w:pPr>
        <w:ind w:left="720" w:hanging="720"/>
        <w:jc w:val="both"/>
        <w:rPr>
          <w:rFonts w:cs="Times New Roman"/>
          <w:noProof/>
        </w:rPr>
      </w:pPr>
      <w:bookmarkStart w:id="150" w:name="_ENREF_1_53"/>
      <w:r w:rsidRPr="007F77C5">
        <w:rPr>
          <w:rFonts w:cs="Times New Roman"/>
          <w:noProof/>
        </w:rPr>
        <w:t>Eskling, M., P.-O. Arvidsson, and H.-E. Akerlund. 1997. The Xanthophyll Cycle, Its Regulation and Components.</w:t>
      </w:r>
      <w:r w:rsidRPr="007F77C5">
        <w:rPr>
          <w:rFonts w:cs="Times New Roman"/>
          <w:i/>
          <w:noProof/>
        </w:rPr>
        <w:t xml:space="preserve"> Physiologia Plantarum</w:t>
      </w:r>
      <w:r w:rsidRPr="007F77C5">
        <w:rPr>
          <w:rFonts w:cs="Times New Roman"/>
          <w:noProof/>
        </w:rPr>
        <w:t xml:space="preserve"> 100:806-816. doi:10.1111/j.1399-3054.1997.tb00007.x</w:t>
      </w:r>
      <w:bookmarkEnd w:id="150"/>
    </w:p>
    <w:p w14:paraId="22852AB6" w14:textId="77777777" w:rsidR="00126D8D" w:rsidRPr="007F77C5" w:rsidRDefault="00126D8D" w:rsidP="00224B41">
      <w:pPr>
        <w:ind w:left="720" w:hanging="720"/>
        <w:jc w:val="both"/>
        <w:rPr>
          <w:rFonts w:cs="Times New Roman"/>
          <w:noProof/>
        </w:rPr>
      </w:pPr>
      <w:bookmarkStart w:id="151" w:name="_ENREF_1_54"/>
      <w:r w:rsidRPr="007F77C5">
        <w:rPr>
          <w:rFonts w:cs="Times New Roman"/>
          <w:noProof/>
        </w:rPr>
        <w:t>Esteban, R., J.F. Moran, J.M. Becerril, and J.I. García-Plazaola. 2015. Versatility of Carotenoids: An Integrated View on Diversity, Evolution, Functional Roles and Environmental Interactions.</w:t>
      </w:r>
      <w:r w:rsidRPr="007F77C5">
        <w:rPr>
          <w:rFonts w:cs="Times New Roman"/>
          <w:i/>
          <w:noProof/>
        </w:rPr>
        <w:t xml:space="preserve"> Environmental and Experimental Botany</w:t>
      </w:r>
      <w:r w:rsidRPr="007F77C5">
        <w:rPr>
          <w:rFonts w:cs="Times New Roman"/>
          <w:noProof/>
        </w:rPr>
        <w:t xml:space="preserve"> 119:63-75. doi:10.1016/j.envexpbot.2015.04.009</w:t>
      </w:r>
      <w:bookmarkEnd w:id="151"/>
    </w:p>
    <w:p w14:paraId="69C45897" w14:textId="77777777" w:rsidR="00126D8D" w:rsidRPr="007F77C5" w:rsidRDefault="00126D8D" w:rsidP="00224B41">
      <w:pPr>
        <w:ind w:left="720" w:hanging="720"/>
        <w:jc w:val="both"/>
        <w:rPr>
          <w:rFonts w:cs="Times New Roman"/>
          <w:noProof/>
        </w:rPr>
      </w:pPr>
      <w:bookmarkStart w:id="152" w:name="_ENREF_1_55"/>
      <w:r w:rsidRPr="007F77C5">
        <w:rPr>
          <w:rFonts w:cs="Times New Roman"/>
          <w:noProof/>
        </w:rPr>
        <w:lastRenderedPageBreak/>
        <w:t>Farnsworth, N.R. 1990. The Role of Ethnopharmacology in Drug Development.</w:t>
      </w:r>
      <w:r w:rsidRPr="007F77C5">
        <w:rPr>
          <w:rFonts w:cs="Times New Roman"/>
          <w:i/>
          <w:noProof/>
        </w:rPr>
        <w:t xml:space="preserve"> Ciba Found Symp</w:t>
      </w:r>
      <w:r w:rsidRPr="007F77C5">
        <w:rPr>
          <w:rFonts w:cs="Times New Roman"/>
          <w:noProof/>
        </w:rPr>
        <w:t xml:space="preserve"> 154:2-11; discussion 11-21. doi:10.1002/9780470514009.ch2</w:t>
      </w:r>
      <w:bookmarkEnd w:id="152"/>
    </w:p>
    <w:p w14:paraId="2C8775D8" w14:textId="77777777" w:rsidR="00126D8D" w:rsidRPr="007F77C5" w:rsidRDefault="00126D8D" w:rsidP="00224B41">
      <w:pPr>
        <w:ind w:left="720" w:hanging="720"/>
        <w:jc w:val="both"/>
        <w:rPr>
          <w:rFonts w:cs="Times New Roman"/>
          <w:noProof/>
        </w:rPr>
      </w:pPr>
      <w:bookmarkStart w:id="153" w:name="_ENREF_1_56"/>
      <w:r w:rsidRPr="007F77C5">
        <w:rPr>
          <w:rFonts w:cs="Times New Roman"/>
          <w:noProof/>
        </w:rPr>
        <w:t>Fausey, B.A., R.D. Heins, and A.C. Cameron. 2005. Daily Light Integral Affects Flowering and Quality of Greenhouse-Grown Achillea, Gaura, and Lavandula.</w:t>
      </w:r>
      <w:r w:rsidRPr="007F77C5">
        <w:rPr>
          <w:rFonts w:cs="Times New Roman"/>
          <w:i/>
          <w:noProof/>
        </w:rPr>
        <w:t xml:space="preserve"> HortScience</w:t>
      </w:r>
      <w:r w:rsidRPr="007F77C5">
        <w:rPr>
          <w:rFonts w:cs="Times New Roman"/>
          <w:noProof/>
        </w:rPr>
        <w:t xml:space="preserve"> 40:114-118. doi:10.21273/hortsci.40.1.114</w:t>
      </w:r>
      <w:bookmarkEnd w:id="153"/>
    </w:p>
    <w:p w14:paraId="63C0A2E7" w14:textId="77777777" w:rsidR="00126D8D" w:rsidRPr="007F77C5" w:rsidRDefault="00126D8D" w:rsidP="00224B41">
      <w:pPr>
        <w:ind w:left="720" w:hanging="720"/>
        <w:jc w:val="both"/>
        <w:rPr>
          <w:rFonts w:cs="Times New Roman"/>
          <w:noProof/>
        </w:rPr>
      </w:pPr>
      <w:bookmarkStart w:id="154" w:name="_ENREF_1_57"/>
      <w:r w:rsidRPr="007F77C5">
        <w:rPr>
          <w:rFonts w:cs="Times New Roman"/>
          <w:noProof/>
        </w:rPr>
        <w:t>Faust, J.E., V. Holcombe, N.C. Rajapakse, and D.R. Layne. 2005. The Effect of Daily Light Integral on Bedding Plant Growth and Flowering.</w:t>
      </w:r>
      <w:r w:rsidRPr="007F77C5">
        <w:rPr>
          <w:rFonts w:cs="Times New Roman"/>
          <w:i/>
          <w:noProof/>
        </w:rPr>
        <w:t xml:space="preserve"> HortScience</w:t>
      </w:r>
      <w:r w:rsidRPr="007F77C5">
        <w:rPr>
          <w:rFonts w:cs="Times New Roman"/>
          <w:noProof/>
        </w:rPr>
        <w:t xml:space="preserve"> 40:645-649. doi:10.21273/hortsci.40.3.645</w:t>
      </w:r>
      <w:bookmarkEnd w:id="154"/>
    </w:p>
    <w:p w14:paraId="70366409" w14:textId="77777777" w:rsidR="00126D8D" w:rsidRPr="007F77C5" w:rsidRDefault="00126D8D" w:rsidP="00224B41">
      <w:pPr>
        <w:ind w:left="720" w:hanging="720"/>
        <w:jc w:val="both"/>
        <w:rPr>
          <w:rFonts w:cs="Times New Roman"/>
          <w:noProof/>
        </w:rPr>
      </w:pPr>
      <w:bookmarkStart w:id="155" w:name="_ENREF_1_58"/>
      <w:r w:rsidRPr="007F77C5">
        <w:rPr>
          <w:rFonts w:cs="Times New Roman"/>
          <w:noProof/>
        </w:rPr>
        <w:t>Felemban, A., J. Braguy, M.D. Zurbriggen, and S. Al-Babili. 2019. Apocarotenoids Involved in Plant Development and Stress Response.</w:t>
      </w:r>
      <w:r w:rsidRPr="007F77C5">
        <w:rPr>
          <w:rFonts w:cs="Times New Roman"/>
          <w:i/>
          <w:noProof/>
        </w:rPr>
        <w:t xml:space="preserve"> Frontiers in Plant Science</w:t>
      </w:r>
      <w:r w:rsidRPr="007F77C5">
        <w:rPr>
          <w:rFonts w:cs="Times New Roman"/>
          <w:noProof/>
        </w:rPr>
        <w:t xml:space="preserve"> 10. doi:10.3389/fpls.2019.01168</w:t>
      </w:r>
      <w:bookmarkEnd w:id="155"/>
    </w:p>
    <w:p w14:paraId="71A8B197" w14:textId="77777777" w:rsidR="00126D8D" w:rsidRPr="007F77C5" w:rsidRDefault="00126D8D" w:rsidP="00224B41">
      <w:pPr>
        <w:ind w:left="720" w:hanging="720"/>
        <w:jc w:val="both"/>
        <w:rPr>
          <w:rFonts w:cs="Times New Roman"/>
          <w:noProof/>
        </w:rPr>
      </w:pPr>
      <w:bookmarkStart w:id="156" w:name="_ENREF_1_59"/>
      <w:r w:rsidRPr="007F77C5">
        <w:rPr>
          <w:rFonts w:cs="Times New Roman"/>
          <w:noProof/>
        </w:rPr>
        <w:t>Fraikin, G.Y., M.G. Strakhovskaya, and A.B. Rubin. 2013. Biological Photoreceptors of Light-Dependent Regulatory Processes.</w:t>
      </w:r>
      <w:r w:rsidRPr="007F77C5">
        <w:rPr>
          <w:rFonts w:cs="Times New Roman"/>
          <w:i/>
          <w:noProof/>
        </w:rPr>
        <w:t xml:space="preserve"> Biochemistry (Mosc)</w:t>
      </w:r>
      <w:r w:rsidRPr="007F77C5">
        <w:rPr>
          <w:rFonts w:cs="Times New Roman"/>
          <w:noProof/>
        </w:rPr>
        <w:t xml:space="preserve"> 78:1238-1253. doi:10.1134/S0006297913110047</w:t>
      </w:r>
      <w:bookmarkEnd w:id="156"/>
    </w:p>
    <w:p w14:paraId="6FB1E5AA" w14:textId="77777777" w:rsidR="00126D8D" w:rsidRPr="007F77C5" w:rsidRDefault="00126D8D" w:rsidP="00224B41">
      <w:pPr>
        <w:ind w:left="720" w:hanging="720"/>
        <w:jc w:val="both"/>
        <w:rPr>
          <w:rFonts w:cs="Times New Roman"/>
          <w:noProof/>
        </w:rPr>
      </w:pPr>
      <w:bookmarkStart w:id="157" w:name="_ENREF_1_60"/>
      <w:r w:rsidRPr="007F77C5">
        <w:rPr>
          <w:rFonts w:cs="Times New Roman"/>
          <w:noProof/>
        </w:rPr>
        <w:t>Frank, H.A. and R.J. Cogdell. 1996. Carotenoids in Photosynthesis.</w:t>
      </w:r>
      <w:r w:rsidRPr="007F77C5">
        <w:rPr>
          <w:rFonts w:cs="Times New Roman"/>
          <w:i/>
          <w:noProof/>
        </w:rPr>
        <w:t xml:space="preserve"> Photochem Photobiol</w:t>
      </w:r>
      <w:r w:rsidRPr="007F77C5">
        <w:rPr>
          <w:rFonts w:cs="Times New Roman"/>
          <w:noProof/>
        </w:rPr>
        <w:t xml:space="preserve"> 63:257-264. doi:10.1111/j.1751-1097.1996.tb03022.x</w:t>
      </w:r>
      <w:bookmarkEnd w:id="157"/>
    </w:p>
    <w:p w14:paraId="16C495AF" w14:textId="77777777" w:rsidR="00126D8D" w:rsidRPr="007F77C5" w:rsidRDefault="00126D8D" w:rsidP="00224B41">
      <w:pPr>
        <w:ind w:left="720" w:hanging="720"/>
        <w:jc w:val="both"/>
        <w:rPr>
          <w:rFonts w:cs="Times New Roman"/>
          <w:noProof/>
        </w:rPr>
      </w:pPr>
      <w:bookmarkStart w:id="158" w:name="_ENREF_1_61"/>
      <w:r w:rsidRPr="007F77C5">
        <w:rPr>
          <w:rFonts w:cs="Times New Roman"/>
          <w:noProof/>
        </w:rPr>
        <w:t>Fraser, P.D. and P.M. Bramley. 2004. The Biosynthesis and Nutritional Uses of Carotenoids.</w:t>
      </w:r>
      <w:r w:rsidRPr="007F77C5">
        <w:rPr>
          <w:rFonts w:cs="Times New Roman"/>
          <w:i/>
          <w:noProof/>
        </w:rPr>
        <w:t xml:space="preserve"> Prog Lipid Res</w:t>
      </w:r>
      <w:r w:rsidRPr="007F77C5">
        <w:rPr>
          <w:rFonts w:cs="Times New Roman"/>
          <w:noProof/>
        </w:rPr>
        <w:t xml:space="preserve"> 43:228-265. doi:10.1016/j.plipres.2003.10.002</w:t>
      </w:r>
      <w:bookmarkEnd w:id="158"/>
    </w:p>
    <w:p w14:paraId="0EAF15D9" w14:textId="77777777" w:rsidR="00126D8D" w:rsidRPr="007F77C5" w:rsidRDefault="00126D8D" w:rsidP="00224B41">
      <w:pPr>
        <w:ind w:left="720" w:hanging="720"/>
        <w:jc w:val="both"/>
        <w:rPr>
          <w:rFonts w:cs="Times New Roman"/>
          <w:noProof/>
        </w:rPr>
      </w:pPr>
      <w:bookmarkStart w:id="159" w:name="_ENREF_1_62"/>
      <w:r w:rsidRPr="007F77C5">
        <w:rPr>
          <w:rFonts w:cs="Times New Roman"/>
          <w:noProof/>
        </w:rPr>
        <w:t>Frąszczak, B. and M. Knaflewski. 2009. Effect of Light Conditions and Temperature on Fresh Yield of Some Spice Plants Grown in Containers.</w:t>
      </w:r>
      <w:r w:rsidRPr="007F77C5">
        <w:rPr>
          <w:rFonts w:cs="Times New Roman"/>
          <w:i/>
          <w:noProof/>
        </w:rPr>
        <w:t xml:space="preserve"> Journal of Fruit and Ornamental Plant Research</w:t>
      </w:r>
      <w:r w:rsidRPr="007F77C5">
        <w:rPr>
          <w:rFonts w:cs="Times New Roman"/>
          <w:noProof/>
        </w:rPr>
        <w:t xml:space="preserve"> 71:59-67. doi:10.2478/v10032-009-0027-6</w:t>
      </w:r>
      <w:bookmarkEnd w:id="159"/>
    </w:p>
    <w:p w14:paraId="6DE5CCF1" w14:textId="77777777" w:rsidR="00126D8D" w:rsidRPr="007F77C5" w:rsidRDefault="00126D8D" w:rsidP="00224B41">
      <w:pPr>
        <w:ind w:left="720" w:hanging="720"/>
        <w:jc w:val="both"/>
        <w:rPr>
          <w:rFonts w:cs="Times New Roman"/>
          <w:noProof/>
        </w:rPr>
      </w:pPr>
      <w:bookmarkStart w:id="160" w:name="_ENREF_1_63"/>
      <w:r w:rsidRPr="007F77C5">
        <w:rPr>
          <w:rFonts w:cs="Times New Roman"/>
          <w:noProof/>
        </w:rPr>
        <w:lastRenderedPageBreak/>
        <w:t>Galvao, V.C. and C. Fankhauser. 2015. Sensing the Light Environment in Plants: Photoreceptors and Early Signaling Steps.</w:t>
      </w:r>
      <w:r w:rsidRPr="007F77C5">
        <w:rPr>
          <w:rFonts w:cs="Times New Roman"/>
          <w:i/>
          <w:noProof/>
        </w:rPr>
        <w:t xml:space="preserve"> Curr Opin Neurobiol</w:t>
      </w:r>
      <w:r w:rsidRPr="007F77C5">
        <w:rPr>
          <w:rFonts w:cs="Times New Roman"/>
          <w:noProof/>
        </w:rPr>
        <w:t xml:space="preserve"> 34:46-53. doi:10.1016/j.conb.2015.01.013</w:t>
      </w:r>
      <w:bookmarkEnd w:id="160"/>
    </w:p>
    <w:p w14:paraId="23F432B6" w14:textId="77777777" w:rsidR="00126D8D" w:rsidRPr="007F77C5" w:rsidRDefault="00126D8D" w:rsidP="00224B41">
      <w:pPr>
        <w:ind w:left="720" w:hanging="720"/>
        <w:jc w:val="both"/>
        <w:rPr>
          <w:rFonts w:cs="Times New Roman"/>
          <w:noProof/>
        </w:rPr>
      </w:pPr>
      <w:bookmarkStart w:id="161" w:name="_ENREF_1_64"/>
      <w:r w:rsidRPr="007F77C5">
        <w:rPr>
          <w:rFonts w:cs="Times New Roman"/>
          <w:noProof/>
        </w:rPr>
        <w:t>Garland, K.F., S.E. Burnett, L.B. Stack, and D. Zhang. 2010. Minimum Daily Light Integral for Growing High-Quality Coleus.</w:t>
      </w:r>
      <w:r w:rsidRPr="007F77C5">
        <w:rPr>
          <w:rFonts w:cs="Times New Roman"/>
          <w:i/>
          <w:noProof/>
        </w:rPr>
        <w:t xml:space="preserve"> HortTechnology</w:t>
      </w:r>
      <w:r w:rsidRPr="007F77C5">
        <w:rPr>
          <w:rFonts w:cs="Times New Roman"/>
          <w:noProof/>
        </w:rPr>
        <w:t xml:space="preserve"> 20:929-933. doi:10.21273/horttech.20.5.929</w:t>
      </w:r>
      <w:bookmarkEnd w:id="161"/>
    </w:p>
    <w:p w14:paraId="6A4A3F04" w14:textId="77777777" w:rsidR="00126D8D" w:rsidRPr="007F77C5" w:rsidRDefault="00126D8D" w:rsidP="00224B41">
      <w:pPr>
        <w:ind w:left="720" w:hanging="720"/>
        <w:jc w:val="both"/>
        <w:rPr>
          <w:rFonts w:cs="Times New Roman"/>
          <w:noProof/>
        </w:rPr>
      </w:pPr>
      <w:bookmarkStart w:id="162" w:name="_ENREF_1_65"/>
      <w:r w:rsidRPr="007F77C5">
        <w:rPr>
          <w:rFonts w:cs="Times New Roman"/>
          <w:noProof/>
        </w:rPr>
        <w:t>Gent, M. 2014. Effect of Daily Light Integral on Composition of Hydroponic Lettuce.</w:t>
      </w:r>
      <w:r w:rsidRPr="007F77C5">
        <w:rPr>
          <w:rFonts w:cs="Times New Roman"/>
          <w:i/>
          <w:noProof/>
        </w:rPr>
        <w:t xml:space="preserve"> HortScience</w:t>
      </w:r>
      <w:r w:rsidRPr="007F77C5">
        <w:rPr>
          <w:rFonts w:cs="Times New Roman"/>
          <w:noProof/>
        </w:rPr>
        <w:t xml:space="preserve"> 49:173-179. </w:t>
      </w:r>
      <w:bookmarkEnd w:id="162"/>
    </w:p>
    <w:p w14:paraId="3D60608F" w14:textId="77777777" w:rsidR="00126D8D" w:rsidRPr="007F77C5" w:rsidRDefault="00126D8D" w:rsidP="00224B41">
      <w:pPr>
        <w:ind w:left="720" w:hanging="720"/>
        <w:jc w:val="both"/>
        <w:rPr>
          <w:rFonts w:cs="Times New Roman"/>
          <w:noProof/>
        </w:rPr>
      </w:pPr>
      <w:bookmarkStart w:id="163" w:name="_ENREF_1_66"/>
      <w:r w:rsidRPr="007F77C5">
        <w:rPr>
          <w:rFonts w:cs="Times New Roman"/>
          <w:noProof/>
        </w:rPr>
        <w:t>Goins, G.D., N.C. Yorio, M.M. Sanwo, and C.S. Brown. 1997. Photomorphogenesis, Photosynthesis, and Seed Yield of Wheat Plants Grown under Red Light-Emitting Diodes (LEDs) with and without Supplemental Blue Lighting.</w:t>
      </w:r>
      <w:r w:rsidRPr="007F77C5">
        <w:rPr>
          <w:rFonts w:cs="Times New Roman"/>
          <w:i/>
          <w:noProof/>
        </w:rPr>
        <w:t xml:space="preserve"> J Exp Bot</w:t>
      </w:r>
      <w:r w:rsidRPr="007F77C5">
        <w:rPr>
          <w:rFonts w:cs="Times New Roman"/>
          <w:noProof/>
        </w:rPr>
        <w:t xml:space="preserve"> 48:1407-1413. doi:10.1093/jxb/48.7.1407</w:t>
      </w:r>
      <w:bookmarkEnd w:id="163"/>
    </w:p>
    <w:p w14:paraId="35651B34" w14:textId="77777777" w:rsidR="00126D8D" w:rsidRPr="007F77C5" w:rsidRDefault="00126D8D" w:rsidP="00224B41">
      <w:pPr>
        <w:ind w:left="720" w:hanging="720"/>
        <w:jc w:val="both"/>
        <w:rPr>
          <w:rFonts w:cs="Times New Roman"/>
          <w:noProof/>
        </w:rPr>
      </w:pPr>
      <w:bookmarkStart w:id="164" w:name="_ENREF_1_67"/>
      <w:r w:rsidRPr="007F77C5">
        <w:rPr>
          <w:rFonts w:cs="Times New Roman"/>
          <w:noProof/>
        </w:rPr>
        <w:t>Gómez, C., C.J. Currey, R.W. Dickson, H.-J. Kim, R. Hernández, N.C. Sabeh, R.E. Raudales, R.G. Brumfield, A. Laury-Shaw, A.K. Wilke, R.G. Lopez, and S.E. Burnett. 2019. Controlled Environment Food Production for Urban Agriculture.</w:t>
      </w:r>
      <w:r w:rsidRPr="007F77C5">
        <w:rPr>
          <w:rFonts w:cs="Times New Roman"/>
          <w:i/>
          <w:noProof/>
        </w:rPr>
        <w:t xml:space="preserve"> HortScience</w:t>
      </w:r>
      <w:r w:rsidRPr="007F77C5">
        <w:rPr>
          <w:rFonts w:cs="Times New Roman"/>
          <w:noProof/>
        </w:rPr>
        <w:t xml:space="preserve"> 54:1448-1458. doi:10.21273/hortsci14073-19</w:t>
      </w:r>
      <w:bookmarkEnd w:id="164"/>
    </w:p>
    <w:p w14:paraId="02D157C9" w14:textId="77777777" w:rsidR="00126D8D" w:rsidRPr="007F77C5" w:rsidRDefault="00126D8D" w:rsidP="00224B41">
      <w:pPr>
        <w:ind w:left="720" w:hanging="720"/>
        <w:jc w:val="both"/>
        <w:rPr>
          <w:rFonts w:cs="Times New Roman"/>
          <w:noProof/>
        </w:rPr>
      </w:pPr>
      <w:bookmarkStart w:id="165" w:name="_ENREF_1_68"/>
      <w:r w:rsidRPr="007F77C5">
        <w:rPr>
          <w:rFonts w:cs="Times New Roman"/>
          <w:noProof/>
        </w:rPr>
        <w:t>Gómez, C. and C.A. Mitchell. 2014. Supplemental Lighting for Greenhouse-Grown Tomatoes: Intracanopy LED Towers Vs. Overhead Hps Lamps.</w:t>
      </w:r>
      <w:r w:rsidRPr="007F77C5">
        <w:rPr>
          <w:rFonts w:cs="Times New Roman"/>
          <w:i/>
          <w:noProof/>
        </w:rPr>
        <w:t xml:space="preserve"> Acta Horticulturae</w:t>
      </w:r>
      <w:r w:rsidRPr="007F77C5">
        <w:rPr>
          <w:rFonts w:cs="Times New Roman"/>
          <w:noProof/>
        </w:rPr>
        <w:t>:855-862. doi:10.17660/ActaHortic.2014.1037.114</w:t>
      </w:r>
      <w:bookmarkEnd w:id="165"/>
    </w:p>
    <w:p w14:paraId="34216ED8" w14:textId="77777777" w:rsidR="00126D8D" w:rsidRPr="007F77C5" w:rsidRDefault="00126D8D" w:rsidP="00224B41">
      <w:pPr>
        <w:ind w:left="720" w:hanging="720"/>
        <w:jc w:val="both"/>
        <w:rPr>
          <w:rFonts w:cs="Times New Roman"/>
          <w:noProof/>
        </w:rPr>
      </w:pPr>
      <w:bookmarkStart w:id="166" w:name="_ENREF_1_69"/>
      <w:r w:rsidRPr="007F77C5">
        <w:rPr>
          <w:rFonts w:cs="Times New Roman"/>
          <w:noProof/>
        </w:rPr>
        <w:t>Gómez, C., R.C. Morrow, C.M. Bourget, G.D. Massa, and C.A. Mitchell. 2013. Comparison of Intracanopy Light-Emitting Diode Towers and Overhead High-Pressure Sodium Lamps for Supplemental Lighting of Greenhouse-Grown Tomatoes.</w:t>
      </w:r>
      <w:r w:rsidRPr="007F77C5">
        <w:rPr>
          <w:rFonts w:cs="Times New Roman"/>
          <w:i/>
          <w:noProof/>
        </w:rPr>
        <w:t xml:space="preserve"> HortTechnology</w:t>
      </w:r>
      <w:r w:rsidRPr="007F77C5">
        <w:rPr>
          <w:rFonts w:cs="Times New Roman"/>
          <w:noProof/>
        </w:rPr>
        <w:t xml:space="preserve"> 23:93-98. doi:10.21273/horttech.23.1.93</w:t>
      </w:r>
      <w:bookmarkEnd w:id="166"/>
    </w:p>
    <w:p w14:paraId="01A6307D" w14:textId="77777777" w:rsidR="00126D8D" w:rsidRPr="007F77C5" w:rsidRDefault="00126D8D" w:rsidP="00224B41">
      <w:pPr>
        <w:ind w:left="720" w:hanging="720"/>
        <w:jc w:val="both"/>
        <w:rPr>
          <w:rFonts w:cs="Times New Roman"/>
          <w:noProof/>
        </w:rPr>
      </w:pPr>
      <w:bookmarkStart w:id="167" w:name="_ENREF_1_70"/>
      <w:r w:rsidRPr="007F77C5">
        <w:rPr>
          <w:rFonts w:cs="Times New Roman"/>
          <w:noProof/>
        </w:rPr>
        <w:lastRenderedPageBreak/>
        <w:t xml:space="preserve">Gonda, I., A. Faigenboim, C. Adler, R. Milavski, M.J. Karp, A. Shachter, G. Ronen, K. Baruch, D. Chaimovitsh, and N. Dudai. 2020. The Genome Sequence of Tetraploid Sweet Basil, </w:t>
      </w:r>
      <w:r w:rsidRPr="007F77C5">
        <w:rPr>
          <w:rFonts w:cs="Times New Roman"/>
          <w:i/>
          <w:noProof/>
        </w:rPr>
        <w:t>Ocimum Basilicum</w:t>
      </w:r>
      <w:r w:rsidRPr="007F77C5">
        <w:rPr>
          <w:rFonts w:cs="Times New Roman"/>
          <w:noProof/>
        </w:rPr>
        <w:t xml:space="preserve"> L., Provides Tools for Advanced Genome Editing and Molecular Breeding.</w:t>
      </w:r>
      <w:r w:rsidRPr="007F77C5">
        <w:rPr>
          <w:rFonts w:cs="Times New Roman"/>
          <w:i/>
          <w:noProof/>
        </w:rPr>
        <w:t xml:space="preserve"> DNA Res</w:t>
      </w:r>
      <w:r w:rsidRPr="007F77C5">
        <w:rPr>
          <w:rFonts w:cs="Times New Roman"/>
          <w:noProof/>
        </w:rPr>
        <w:t xml:space="preserve"> 27. doi:10.1093/dnares/dsaa027</w:t>
      </w:r>
      <w:bookmarkEnd w:id="167"/>
    </w:p>
    <w:p w14:paraId="5F9ED19F" w14:textId="77777777" w:rsidR="00126D8D" w:rsidRPr="007F77C5" w:rsidRDefault="00126D8D" w:rsidP="00224B41">
      <w:pPr>
        <w:ind w:left="720" w:hanging="720"/>
        <w:jc w:val="both"/>
        <w:rPr>
          <w:rFonts w:cs="Times New Roman"/>
          <w:noProof/>
        </w:rPr>
      </w:pPr>
      <w:bookmarkStart w:id="168" w:name="_ENREF_1_71"/>
      <w:r w:rsidRPr="007F77C5">
        <w:rPr>
          <w:rFonts w:cs="Times New Roman"/>
          <w:noProof/>
        </w:rPr>
        <w:t>Graamans, L., A. Van Den Dobbelsteen, E. Meinen, and C. Stanghellini. 2017. Plant Factories: Crop Transpiration and Energy Balance.</w:t>
      </w:r>
      <w:r w:rsidRPr="007F77C5">
        <w:rPr>
          <w:rFonts w:cs="Times New Roman"/>
          <w:i/>
          <w:noProof/>
        </w:rPr>
        <w:t xml:space="preserve"> Agricultural Systems</w:t>
      </w:r>
      <w:r w:rsidRPr="007F77C5">
        <w:rPr>
          <w:rFonts w:cs="Times New Roman"/>
          <w:noProof/>
        </w:rPr>
        <w:t xml:space="preserve"> 153:138-147. doi:10.1016/j.agsy.2017.01.003</w:t>
      </w:r>
      <w:bookmarkEnd w:id="168"/>
    </w:p>
    <w:p w14:paraId="6ADCB307" w14:textId="77777777" w:rsidR="00126D8D" w:rsidRPr="007F77C5" w:rsidRDefault="00126D8D" w:rsidP="00224B41">
      <w:pPr>
        <w:ind w:left="720" w:hanging="720"/>
        <w:jc w:val="both"/>
        <w:rPr>
          <w:rFonts w:cs="Times New Roman"/>
          <w:noProof/>
        </w:rPr>
      </w:pPr>
      <w:bookmarkStart w:id="169" w:name="_ENREF_1_72"/>
      <w:r w:rsidRPr="007F77C5">
        <w:rPr>
          <w:rFonts w:cs="Times New Roman"/>
          <w:noProof/>
        </w:rPr>
        <w:t>Groher, T., S. Rohlen-Schmittgen, A. Fiebig, G. Noga, and M. Hunsche. 2019. Influence of Supplementary LED Lighting on Physiological and Biochemical Parameters of Tomato (</w:t>
      </w:r>
      <w:r w:rsidRPr="007F77C5">
        <w:rPr>
          <w:rFonts w:cs="Times New Roman"/>
          <w:i/>
          <w:noProof/>
        </w:rPr>
        <w:t>Solanum Lycopersicum</w:t>
      </w:r>
      <w:r w:rsidRPr="007F77C5">
        <w:rPr>
          <w:rFonts w:cs="Times New Roman"/>
          <w:noProof/>
        </w:rPr>
        <w:t xml:space="preserve"> L.) Leaves.</w:t>
      </w:r>
      <w:r w:rsidRPr="007F77C5">
        <w:rPr>
          <w:rFonts w:cs="Times New Roman"/>
          <w:i/>
          <w:noProof/>
        </w:rPr>
        <w:t xml:space="preserve"> Scientia Horticulturae</w:t>
      </w:r>
      <w:r w:rsidRPr="007F77C5">
        <w:rPr>
          <w:rFonts w:cs="Times New Roman"/>
          <w:noProof/>
        </w:rPr>
        <w:t xml:space="preserve"> 250:154-158. doi:10.1016/j.scienta.2019.02.046</w:t>
      </w:r>
      <w:bookmarkEnd w:id="169"/>
    </w:p>
    <w:p w14:paraId="2FCCF8EC" w14:textId="77777777" w:rsidR="00126D8D" w:rsidRPr="007F77C5" w:rsidRDefault="00126D8D" w:rsidP="00224B41">
      <w:pPr>
        <w:ind w:left="720" w:hanging="720"/>
        <w:jc w:val="both"/>
        <w:rPr>
          <w:rFonts w:cs="Times New Roman"/>
          <w:noProof/>
        </w:rPr>
      </w:pPr>
      <w:bookmarkStart w:id="170" w:name="_ENREF_1_73"/>
      <w:r w:rsidRPr="007F77C5">
        <w:rPr>
          <w:rFonts w:cs="Times New Roman"/>
          <w:noProof/>
        </w:rPr>
        <w:t>Grosch, W. 2001. Evaluation of the Key Odorants of Foods by Dilution Experiments, Aroma Models and Omission.</w:t>
      </w:r>
      <w:r w:rsidRPr="007F77C5">
        <w:rPr>
          <w:rFonts w:cs="Times New Roman"/>
          <w:i/>
          <w:noProof/>
        </w:rPr>
        <w:t xml:space="preserve"> Chem Senses</w:t>
      </w:r>
      <w:r w:rsidRPr="007F77C5">
        <w:rPr>
          <w:rFonts w:cs="Times New Roman"/>
          <w:noProof/>
        </w:rPr>
        <w:t xml:space="preserve"> 26:533-545. </w:t>
      </w:r>
      <w:bookmarkEnd w:id="170"/>
    </w:p>
    <w:p w14:paraId="6576466E" w14:textId="77777777" w:rsidR="00126D8D" w:rsidRPr="007F77C5" w:rsidRDefault="00126D8D" w:rsidP="00224B41">
      <w:pPr>
        <w:ind w:left="720" w:hanging="720"/>
        <w:jc w:val="both"/>
        <w:rPr>
          <w:rFonts w:cs="Times New Roman"/>
          <w:noProof/>
        </w:rPr>
      </w:pPr>
      <w:bookmarkStart w:id="171" w:name="_ENREF_1_74"/>
      <w:r w:rsidRPr="007F77C5">
        <w:rPr>
          <w:rFonts w:cs="Times New Roman"/>
          <w:noProof/>
        </w:rPr>
        <w:t xml:space="preserve">Hammock, H.A. 2018. The Impact of Blue and Red LED Lighting on Biomass Accumulation, Flavor Volatile Production, and Nutrient Uptake in Hydroponically Grown Genovese Basil. University of Tennessee, Knoxville, MS Horticulture. </w:t>
      </w:r>
      <w:bookmarkEnd w:id="171"/>
    </w:p>
    <w:p w14:paraId="0578DBDB" w14:textId="77777777" w:rsidR="00126D8D" w:rsidRPr="007F77C5" w:rsidRDefault="00126D8D" w:rsidP="00224B41">
      <w:pPr>
        <w:ind w:left="720" w:hanging="720"/>
        <w:jc w:val="both"/>
        <w:rPr>
          <w:rFonts w:cs="Times New Roman"/>
          <w:noProof/>
        </w:rPr>
      </w:pPr>
      <w:bookmarkStart w:id="172" w:name="_ENREF_1_75"/>
      <w:r w:rsidRPr="007F77C5">
        <w:rPr>
          <w:rFonts w:cs="Times New Roman"/>
          <w:noProof/>
        </w:rPr>
        <w:t>Hammock, H.A., D.A. Kopsell, and C.E. Sams. 2020. Supplementary Blue and Red LED Narrowband Wavelengths Improve Biomass Yield and Nutrient Uptake in Hydroponically Grown Basil.</w:t>
      </w:r>
      <w:r w:rsidRPr="007F77C5">
        <w:rPr>
          <w:rFonts w:cs="Times New Roman"/>
          <w:i/>
          <w:noProof/>
        </w:rPr>
        <w:t xml:space="preserve"> HortScience</w:t>
      </w:r>
      <w:r w:rsidRPr="007F77C5">
        <w:rPr>
          <w:rFonts w:cs="Times New Roman"/>
          <w:noProof/>
        </w:rPr>
        <w:t xml:space="preserve"> 55:1888-1897. doi:10.21273/hortsci15267-20</w:t>
      </w:r>
      <w:bookmarkEnd w:id="172"/>
    </w:p>
    <w:p w14:paraId="089717A2" w14:textId="77777777" w:rsidR="00126D8D" w:rsidRPr="007F77C5" w:rsidRDefault="00126D8D" w:rsidP="00224B41">
      <w:pPr>
        <w:ind w:left="720" w:hanging="720"/>
        <w:jc w:val="both"/>
        <w:rPr>
          <w:rFonts w:cs="Times New Roman"/>
          <w:noProof/>
        </w:rPr>
      </w:pPr>
      <w:bookmarkStart w:id="173" w:name="_ENREF_1_76"/>
      <w:r w:rsidRPr="007F77C5">
        <w:rPr>
          <w:rFonts w:cs="Times New Roman"/>
          <w:noProof/>
        </w:rPr>
        <w:t>Hammock, H.A., D.A. Kopsell, and C.E. Sams. 2021. Narrowband Blue and Red LED Supplements Impact Key Flavor Volatiles in Hydroponically Grown Basil across Growing Seasons.</w:t>
      </w:r>
      <w:r w:rsidRPr="007F77C5">
        <w:rPr>
          <w:rFonts w:cs="Times New Roman"/>
          <w:i/>
          <w:noProof/>
        </w:rPr>
        <w:t xml:space="preserve"> Front Plant Sci</w:t>
      </w:r>
      <w:r w:rsidRPr="007F77C5">
        <w:rPr>
          <w:rFonts w:cs="Times New Roman"/>
          <w:noProof/>
        </w:rPr>
        <w:t xml:space="preserve"> 12:623314. doi:10.3389/fpls.2021.623314</w:t>
      </w:r>
      <w:bookmarkEnd w:id="173"/>
    </w:p>
    <w:p w14:paraId="277268BC" w14:textId="77777777" w:rsidR="00126D8D" w:rsidRPr="007F77C5" w:rsidRDefault="00126D8D" w:rsidP="00224B41">
      <w:pPr>
        <w:ind w:left="720" w:hanging="720"/>
        <w:jc w:val="both"/>
        <w:rPr>
          <w:rFonts w:cs="Times New Roman"/>
          <w:noProof/>
        </w:rPr>
      </w:pPr>
      <w:bookmarkStart w:id="174" w:name="_ENREF_1_77"/>
      <w:r w:rsidRPr="007F77C5">
        <w:rPr>
          <w:rFonts w:cs="Times New Roman"/>
          <w:noProof/>
        </w:rPr>
        <w:lastRenderedPageBreak/>
        <w:t>Hammock, H.A. and C.E. Sams. 2021. Quantification of Medicinally Important Volatile Organic Compounds in Common Basil Cultivars.</w:t>
      </w:r>
      <w:r w:rsidRPr="007F77C5">
        <w:rPr>
          <w:rFonts w:cs="Times New Roman"/>
          <w:i/>
          <w:noProof/>
        </w:rPr>
        <w:t xml:space="preserve"> Acta Horticulturae</w:t>
      </w:r>
      <w:r w:rsidRPr="007F77C5">
        <w:rPr>
          <w:rFonts w:cs="Times New Roman"/>
          <w:noProof/>
        </w:rPr>
        <w:t>:113-122. doi:10.17660/ActaHortic.2021.1329.14</w:t>
      </w:r>
      <w:bookmarkEnd w:id="174"/>
    </w:p>
    <w:p w14:paraId="6B28C7B1" w14:textId="77777777" w:rsidR="00126D8D" w:rsidRPr="007F77C5" w:rsidRDefault="00126D8D" w:rsidP="00224B41">
      <w:pPr>
        <w:ind w:left="720" w:hanging="720"/>
        <w:jc w:val="both"/>
        <w:rPr>
          <w:rFonts w:cs="Times New Roman"/>
          <w:noProof/>
        </w:rPr>
      </w:pPr>
      <w:bookmarkStart w:id="175" w:name="_ENREF_1_78"/>
      <w:r w:rsidRPr="007F77C5">
        <w:rPr>
          <w:rFonts w:cs="Times New Roman"/>
          <w:noProof/>
        </w:rPr>
        <w:t>Hasan, M.M., T. Bashir, R. Ghosh, S.K. Lee, and H. Bae. 2017. An Overview of LEDs' Effects on the Production of Bioactive Compounds and Crop Quality.</w:t>
      </w:r>
      <w:r w:rsidRPr="007F77C5">
        <w:rPr>
          <w:rFonts w:cs="Times New Roman"/>
          <w:i/>
          <w:noProof/>
        </w:rPr>
        <w:t xml:space="preserve"> Molecules</w:t>
      </w:r>
      <w:r w:rsidRPr="007F77C5">
        <w:rPr>
          <w:rFonts w:cs="Times New Roman"/>
          <w:noProof/>
        </w:rPr>
        <w:t xml:space="preserve"> 22. doi:10.3390/molecules22091420</w:t>
      </w:r>
      <w:bookmarkEnd w:id="175"/>
    </w:p>
    <w:p w14:paraId="1681B183" w14:textId="77777777" w:rsidR="00126D8D" w:rsidRPr="007F77C5" w:rsidRDefault="00126D8D" w:rsidP="00224B41">
      <w:pPr>
        <w:ind w:left="720" w:hanging="720"/>
        <w:jc w:val="both"/>
        <w:rPr>
          <w:rFonts w:cs="Times New Roman"/>
          <w:noProof/>
        </w:rPr>
      </w:pPr>
      <w:bookmarkStart w:id="176" w:name="_ENREF_1_79"/>
      <w:r w:rsidRPr="007F77C5">
        <w:rPr>
          <w:rFonts w:cs="Times New Roman"/>
          <w:noProof/>
        </w:rPr>
        <w:t>Hussain, A.I., F. Anwar, S.T. Hussain Sherazi, and R. Przybylski. 2008. Chemical Composition, Antioxidant and Antimicrobial Activities of Basil (Ocimum Basilicum) Essential Oils Depends on Seasonal Variations.</w:t>
      </w:r>
      <w:r w:rsidRPr="007F77C5">
        <w:rPr>
          <w:rFonts w:cs="Times New Roman"/>
          <w:i/>
          <w:noProof/>
        </w:rPr>
        <w:t xml:space="preserve"> Food Chem</w:t>
      </w:r>
      <w:r w:rsidRPr="007F77C5">
        <w:rPr>
          <w:rFonts w:cs="Times New Roman"/>
          <w:noProof/>
        </w:rPr>
        <w:t xml:space="preserve"> 108:986-995. doi:10.1016/j.foodchem.2007.12.010</w:t>
      </w:r>
      <w:bookmarkEnd w:id="176"/>
    </w:p>
    <w:p w14:paraId="0883AAC3" w14:textId="77777777" w:rsidR="00126D8D" w:rsidRPr="007F77C5" w:rsidRDefault="00126D8D" w:rsidP="00224B41">
      <w:pPr>
        <w:ind w:left="720" w:hanging="720"/>
        <w:jc w:val="both"/>
        <w:rPr>
          <w:rFonts w:cs="Times New Roman"/>
          <w:noProof/>
        </w:rPr>
      </w:pPr>
      <w:bookmarkStart w:id="177" w:name="_ENREF_1_80"/>
      <w:r w:rsidRPr="007F77C5">
        <w:rPr>
          <w:rFonts w:cs="Times New Roman"/>
          <w:noProof/>
        </w:rPr>
        <w:t>Hutchinson, V.A., C.J. Currey, and R.G. Lopez. 2012. Photosynthetic Daily Light Integral During Root Development Influences Subsequent Growth and Development of Several Herbaceous Annual Bedding Plants.</w:t>
      </w:r>
      <w:r w:rsidRPr="007F77C5">
        <w:rPr>
          <w:rFonts w:cs="Times New Roman"/>
          <w:i/>
          <w:noProof/>
        </w:rPr>
        <w:t xml:space="preserve"> HortScience</w:t>
      </w:r>
      <w:r w:rsidRPr="007F77C5">
        <w:rPr>
          <w:rFonts w:cs="Times New Roman"/>
          <w:noProof/>
        </w:rPr>
        <w:t xml:space="preserve"> 47:856-860. doi:10.21273/hortsci.47.7.856</w:t>
      </w:r>
      <w:bookmarkEnd w:id="177"/>
    </w:p>
    <w:p w14:paraId="3E3AA8D9" w14:textId="77777777" w:rsidR="00126D8D" w:rsidRPr="007F77C5" w:rsidRDefault="00126D8D" w:rsidP="00224B41">
      <w:pPr>
        <w:ind w:left="720" w:hanging="720"/>
        <w:jc w:val="both"/>
        <w:rPr>
          <w:rFonts w:cs="Times New Roman"/>
          <w:noProof/>
        </w:rPr>
      </w:pPr>
      <w:bookmarkStart w:id="178" w:name="_ENREF_1_81"/>
      <w:r w:rsidRPr="007F77C5">
        <w:rPr>
          <w:rFonts w:cs="Times New Roman"/>
          <w:noProof/>
        </w:rPr>
        <w:t>Jiang, J., A. Mohagheghi, and M. Moallem. 2020. Energy-Efficient Supplemental LED Lighting Control for a Proof-of-Concept Greenhouse System.</w:t>
      </w:r>
      <w:r w:rsidRPr="007F77C5">
        <w:rPr>
          <w:rFonts w:cs="Times New Roman"/>
          <w:i/>
          <w:noProof/>
        </w:rPr>
        <w:t xml:space="preserve"> IEEE Transactions on Industrial Electronics</w:t>
      </w:r>
      <w:r w:rsidRPr="007F77C5">
        <w:rPr>
          <w:rFonts w:cs="Times New Roman"/>
          <w:noProof/>
        </w:rPr>
        <w:t xml:space="preserve"> 67:3033-3042. doi:10.1109/tie.2019.2912762</w:t>
      </w:r>
      <w:bookmarkEnd w:id="178"/>
    </w:p>
    <w:p w14:paraId="6B6C5489" w14:textId="77777777" w:rsidR="00126D8D" w:rsidRPr="007F77C5" w:rsidRDefault="00126D8D" w:rsidP="00224B41">
      <w:pPr>
        <w:ind w:left="720" w:hanging="720"/>
        <w:jc w:val="both"/>
        <w:rPr>
          <w:rFonts w:cs="Times New Roman"/>
          <w:noProof/>
        </w:rPr>
      </w:pPr>
      <w:bookmarkStart w:id="179" w:name="_ENREF_1_82"/>
      <w:r w:rsidRPr="007F77C5">
        <w:rPr>
          <w:rFonts w:cs="Times New Roman"/>
          <w:noProof/>
        </w:rPr>
        <w:t>Junior, S.B., A. De Marchi Tavares De Melo, C.A. Zini, and H.T. Godoy. 2011. Optimization of the Extraction Conditions of the Volatile Compounds from Chili Peppers by Headspace Solid Phase Micro-Extraction.</w:t>
      </w:r>
      <w:r w:rsidRPr="007F77C5">
        <w:rPr>
          <w:rFonts w:cs="Times New Roman"/>
          <w:i/>
          <w:noProof/>
        </w:rPr>
        <w:t xml:space="preserve"> J Chromatogr A</w:t>
      </w:r>
      <w:r w:rsidRPr="007F77C5">
        <w:rPr>
          <w:rFonts w:cs="Times New Roman"/>
          <w:noProof/>
        </w:rPr>
        <w:t xml:space="preserve"> 1218:3345-3350. doi:10.1016/j.chroma.2010.12.060</w:t>
      </w:r>
      <w:bookmarkEnd w:id="179"/>
    </w:p>
    <w:p w14:paraId="35F40574" w14:textId="77777777" w:rsidR="00126D8D" w:rsidRPr="007F77C5" w:rsidRDefault="00126D8D" w:rsidP="00224B41">
      <w:pPr>
        <w:ind w:left="720" w:hanging="720"/>
        <w:jc w:val="both"/>
        <w:rPr>
          <w:rFonts w:cs="Times New Roman"/>
          <w:noProof/>
        </w:rPr>
      </w:pPr>
      <w:bookmarkStart w:id="180" w:name="_ENREF_1_83"/>
      <w:r w:rsidRPr="007F77C5">
        <w:rPr>
          <w:rFonts w:cs="Times New Roman"/>
          <w:noProof/>
        </w:rPr>
        <w:lastRenderedPageBreak/>
        <w:t>Kang, C.Y., H.L. Lian, F.F. Wang, J.R. Huang, and H.Q. Yang. 2009. Cryptochromes, Phytochromes, and Cop1 Regulate Light-Controlled Stomatal Development in Arabidopsis.</w:t>
      </w:r>
      <w:r w:rsidRPr="007F77C5">
        <w:rPr>
          <w:rFonts w:cs="Times New Roman"/>
          <w:i/>
          <w:noProof/>
        </w:rPr>
        <w:t xml:space="preserve"> Plant Cell</w:t>
      </w:r>
      <w:r w:rsidRPr="007F77C5">
        <w:rPr>
          <w:rFonts w:cs="Times New Roman"/>
          <w:noProof/>
        </w:rPr>
        <w:t xml:space="preserve"> 21:2624-2641. doi:10.1105/tpc.109.069765</w:t>
      </w:r>
      <w:bookmarkEnd w:id="180"/>
    </w:p>
    <w:p w14:paraId="6D820C61" w14:textId="77777777" w:rsidR="00126D8D" w:rsidRPr="007F77C5" w:rsidRDefault="00126D8D" w:rsidP="00224B41">
      <w:pPr>
        <w:ind w:left="720" w:hanging="720"/>
        <w:jc w:val="both"/>
        <w:rPr>
          <w:rFonts w:cs="Times New Roman"/>
          <w:noProof/>
        </w:rPr>
      </w:pPr>
      <w:bookmarkStart w:id="181" w:name="_ENREF_1_84"/>
      <w:r w:rsidRPr="007F77C5">
        <w:rPr>
          <w:rFonts w:cs="Times New Roman"/>
          <w:noProof/>
        </w:rPr>
        <w:t>Katzin, D., L.F.M. Marcelis, and S. Van Mourik. 2021. Energy Savings in Greenhouses by Transition from High-Pressure Sodium to LED Lighting.</w:t>
      </w:r>
      <w:r w:rsidRPr="007F77C5">
        <w:rPr>
          <w:rFonts w:cs="Times New Roman"/>
          <w:i/>
          <w:noProof/>
        </w:rPr>
        <w:t xml:space="preserve"> Applied Energy</w:t>
      </w:r>
      <w:r w:rsidRPr="007F77C5">
        <w:rPr>
          <w:rFonts w:cs="Times New Roman"/>
          <w:noProof/>
        </w:rPr>
        <w:t xml:space="preserve"> 281. doi:10.1016/j.apenergy.2020.116019</w:t>
      </w:r>
      <w:bookmarkEnd w:id="181"/>
    </w:p>
    <w:p w14:paraId="3121CBE4" w14:textId="77777777" w:rsidR="00126D8D" w:rsidRPr="007F77C5" w:rsidRDefault="00126D8D" w:rsidP="00224B41">
      <w:pPr>
        <w:ind w:left="720" w:hanging="720"/>
        <w:jc w:val="both"/>
        <w:rPr>
          <w:rFonts w:cs="Times New Roman"/>
          <w:noProof/>
        </w:rPr>
      </w:pPr>
      <w:bookmarkStart w:id="182" w:name="_ENREF_1_85"/>
      <w:r w:rsidRPr="007F77C5">
        <w:rPr>
          <w:rFonts w:cs="Times New Roman"/>
          <w:noProof/>
        </w:rPr>
        <w:t>Kelly, N. and E.S. Runkle. 2020. Spectral Manipulations to Elicit Desired Quality Attributes of Herbaceous Specialty Crops.</w:t>
      </w:r>
      <w:r w:rsidRPr="007F77C5">
        <w:rPr>
          <w:rFonts w:cs="Times New Roman"/>
          <w:i/>
          <w:noProof/>
        </w:rPr>
        <w:t xml:space="preserve"> European Journal of Horticultural Science</w:t>
      </w:r>
      <w:r w:rsidRPr="007F77C5">
        <w:rPr>
          <w:rFonts w:cs="Times New Roman"/>
          <w:noProof/>
        </w:rPr>
        <w:t xml:space="preserve"> 85:339-343. doi:10.17660/eJHS.2020/85.5.5</w:t>
      </w:r>
      <w:bookmarkEnd w:id="182"/>
    </w:p>
    <w:p w14:paraId="7897BDF8" w14:textId="77777777" w:rsidR="00126D8D" w:rsidRPr="007F77C5" w:rsidRDefault="00126D8D" w:rsidP="00224B41">
      <w:pPr>
        <w:ind w:left="720" w:hanging="720"/>
        <w:jc w:val="both"/>
        <w:rPr>
          <w:rFonts w:cs="Times New Roman"/>
          <w:noProof/>
        </w:rPr>
      </w:pPr>
      <w:bookmarkStart w:id="183" w:name="_ENREF_1_86"/>
      <w:r w:rsidRPr="007F77C5">
        <w:rPr>
          <w:rFonts w:cs="Times New Roman"/>
          <w:noProof/>
        </w:rPr>
        <w:t>Khachik, F., L. Carvalho, P.S. Bernstein, G.J. Muir, D.Y. Zhao, and N.B. Katz. 2002. Chemistry, Distribution, and Metabolism of Tomato Carotenoids and Their Impact on Human Health.</w:t>
      </w:r>
      <w:r w:rsidRPr="007F77C5">
        <w:rPr>
          <w:rFonts w:cs="Times New Roman"/>
          <w:i/>
          <w:noProof/>
        </w:rPr>
        <w:t xml:space="preserve"> Exp Biol Med (Maywood)</w:t>
      </w:r>
      <w:r w:rsidRPr="007F77C5">
        <w:rPr>
          <w:rFonts w:cs="Times New Roman"/>
          <w:noProof/>
        </w:rPr>
        <w:t xml:space="preserve"> 227:845-851. doi:10.1177/153537020222701002</w:t>
      </w:r>
      <w:bookmarkEnd w:id="183"/>
    </w:p>
    <w:p w14:paraId="705FD29E" w14:textId="77777777" w:rsidR="00126D8D" w:rsidRPr="007F77C5" w:rsidRDefault="00126D8D" w:rsidP="00224B41">
      <w:pPr>
        <w:ind w:left="720" w:hanging="720"/>
        <w:jc w:val="both"/>
        <w:rPr>
          <w:rFonts w:cs="Times New Roman"/>
          <w:noProof/>
        </w:rPr>
      </w:pPr>
      <w:bookmarkStart w:id="184" w:name="_ENREF_1_87"/>
      <w:r w:rsidRPr="007F77C5">
        <w:rPr>
          <w:rFonts w:cs="Times New Roman"/>
          <w:noProof/>
        </w:rPr>
        <w:t>Khoo, H.E., K.N. Prasad, K.W. Kong, Y. Jiang, and A. Ismail. 2011. Carotenoids and Their Isomers: Color Pigments in Fruits and Vegetables.</w:t>
      </w:r>
      <w:r w:rsidRPr="007F77C5">
        <w:rPr>
          <w:rFonts w:cs="Times New Roman"/>
          <w:i/>
          <w:noProof/>
        </w:rPr>
        <w:t xml:space="preserve"> Molecules</w:t>
      </w:r>
      <w:r w:rsidRPr="007F77C5">
        <w:rPr>
          <w:rFonts w:cs="Times New Roman"/>
          <w:noProof/>
        </w:rPr>
        <w:t xml:space="preserve"> 16:1710-1738. doi:10.3390/molecules16021710</w:t>
      </w:r>
      <w:bookmarkEnd w:id="184"/>
    </w:p>
    <w:p w14:paraId="271FFD99" w14:textId="77777777" w:rsidR="00126D8D" w:rsidRPr="007F77C5" w:rsidRDefault="00126D8D" w:rsidP="00224B41">
      <w:pPr>
        <w:ind w:left="720" w:hanging="720"/>
        <w:jc w:val="both"/>
        <w:rPr>
          <w:rFonts w:cs="Times New Roman"/>
          <w:noProof/>
        </w:rPr>
      </w:pPr>
      <w:bookmarkStart w:id="185" w:name="_ENREF_1_88"/>
      <w:r w:rsidRPr="007F77C5">
        <w:rPr>
          <w:rFonts w:cs="Times New Roman"/>
          <w:noProof/>
        </w:rPr>
        <w:t>Kim, H.J., M.Y. Lin, and C.A. Mitchell. 2019. Light Spectral and Thermal Properties Govern Biomass Allocation in Tomato through Morphological and Physiological Changes.</w:t>
      </w:r>
      <w:r w:rsidRPr="007F77C5">
        <w:rPr>
          <w:rFonts w:cs="Times New Roman"/>
          <w:i/>
          <w:noProof/>
        </w:rPr>
        <w:t xml:space="preserve"> Environmental and Experimental Botany</w:t>
      </w:r>
      <w:r w:rsidRPr="007F77C5">
        <w:rPr>
          <w:rFonts w:cs="Times New Roman"/>
          <w:noProof/>
        </w:rPr>
        <w:t xml:space="preserve"> 157:228-240. doi:10.1016/j.envexpbot.2018.10.019</w:t>
      </w:r>
      <w:bookmarkEnd w:id="185"/>
    </w:p>
    <w:p w14:paraId="11509659" w14:textId="77777777" w:rsidR="00126D8D" w:rsidRPr="007F77C5" w:rsidRDefault="00126D8D" w:rsidP="00224B41">
      <w:pPr>
        <w:ind w:left="720" w:hanging="720"/>
        <w:jc w:val="both"/>
        <w:rPr>
          <w:rFonts w:cs="Times New Roman"/>
          <w:noProof/>
        </w:rPr>
      </w:pPr>
      <w:bookmarkStart w:id="186" w:name="_ENREF_1_89"/>
      <w:r w:rsidRPr="007F77C5">
        <w:rPr>
          <w:rFonts w:cs="Times New Roman"/>
          <w:noProof/>
        </w:rPr>
        <w:t>Klimánková, E., K. Holadová, J. Hajšlová, T. Čajka, J. Poustka, and M. Koudela. 2008. Aroma Profiles of Five Basil (</w:t>
      </w:r>
      <w:r w:rsidRPr="007F77C5">
        <w:rPr>
          <w:rFonts w:cs="Times New Roman"/>
          <w:i/>
          <w:noProof/>
        </w:rPr>
        <w:t>Ocimum Basilicum</w:t>
      </w:r>
      <w:r w:rsidRPr="007F77C5">
        <w:rPr>
          <w:rFonts w:cs="Times New Roman"/>
          <w:noProof/>
        </w:rPr>
        <w:t xml:space="preserve"> L.) Cultivars Grown under Conventional and Organic Conditions.</w:t>
      </w:r>
      <w:r w:rsidRPr="007F77C5">
        <w:rPr>
          <w:rFonts w:cs="Times New Roman"/>
          <w:i/>
          <w:noProof/>
        </w:rPr>
        <w:t xml:space="preserve"> Food Chemistry</w:t>
      </w:r>
      <w:r w:rsidRPr="007F77C5">
        <w:rPr>
          <w:rFonts w:cs="Times New Roman"/>
          <w:noProof/>
        </w:rPr>
        <w:t xml:space="preserve"> 107:464-472. doi:10.1016/j.foodchem.2007.07.062</w:t>
      </w:r>
      <w:bookmarkEnd w:id="186"/>
    </w:p>
    <w:p w14:paraId="5BA49DE9" w14:textId="77777777" w:rsidR="00126D8D" w:rsidRPr="007F77C5" w:rsidRDefault="00126D8D" w:rsidP="00224B41">
      <w:pPr>
        <w:ind w:left="720" w:hanging="720"/>
        <w:jc w:val="both"/>
        <w:rPr>
          <w:rFonts w:cs="Times New Roman"/>
          <w:noProof/>
        </w:rPr>
      </w:pPr>
      <w:bookmarkStart w:id="187" w:name="_ENREF_1_90"/>
      <w:r w:rsidRPr="007F77C5">
        <w:rPr>
          <w:rFonts w:cs="Times New Roman"/>
          <w:noProof/>
        </w:rPr>
        <w:lastRenderedPageBreak/>
        <w:t>Kopsell, D.A., D.E. Kopsell, and J. Curran-Celentano. 2005. Carotenoid and Chlorophyll Pigments in Sweet Basil Grown in the Field and Greenhouse.</w:t>
      </w:r>
      <w:r w:rsidRPr="007F77C5">
        <w:rPr>
          <w:rFonts w:cs="Times New Roman"/>
          <w:i/>
          <w:noProof/>
        </w:rPr>
        <w:t xml:space="preserve"> HortScience</w:t>
      </w:r>
      <w:r w:rsidRPr="007F77C5">
        <w:rPr>
          <w:rFonts w:cs="Times New Roman"/>
          <w:noProof/>
        </w:rPr>
        <w:t xml:space="preserve"> 40:1230-1233. doi:10.21273/hortsci.40.5.1230</w:t>
      </w:r>
      <w:bookmarkEnd w:id="187"/>
    </w:p>
    <w:p w14:paraId="554ADBB8" w14:textId="77777777" w:rsidR="00126D8D" w:rsidRPr="007F77C5" w:rsidRDefault="00126D8D" w:rsidP="00224B41">
      <w:pPr>
        <w:ind w:left="720" w:hanging="720"/>
        <w:jc w:val="both"/>
        <w:rPr>
          <w:rFonts w:cs="Times New Roman"/>
          <w:noProof/>
        </w:rPr>
      </w:pPr>
      <w:bookmarkStart w:id="188" w:name="_ENREF_1_91"/>
      <w:r w:rsidRPr="007F77C5">
        <w:rPr>
          <w:rFonts w:cs="Times New Roman"/>
          <w:noProof/>
        </w:rPr>
        <w:t>Kopsell, D.A. and C.E. Sams. 2013. Increases in Shoot Tissue Pigments, Glucosinolates, and Mineral Elements in Sprouting Broccoli after Exposure to Short-Duration Blue Light from Light Emitting Diodes.</w:t>
      </w:r>
      <w:r w:rsidRPr="007F77C5">
        <w:rPr>
          <w:rFonts w:cs="Times New Roman"/>
          <w:i/>
          <w:noProof/>
        </w:rPr>
        <w:t xml:space="preserve"> Journal of the American Society for Horticultural Science</w:t>
      </w:r>
      <w:r w:rsidRPr="007F77C5">
        <w:rPr>
          <w:rFonts w:cs="Times New Roman"/>
          <w:noProof/>
        </w:rPr>
        <w:t xml:space="preserve"> 138:31-37. doi:10.21273/jashs.138.1.31</w:t>
      </w:r>
      <w:bookmarkEnd w:id="188"/>
    </w:p>
    <w:p w14:paraId="33DC0726" w14:textId="77777777" w:rsidR="00126D8D" w:rsidRPr="007F77C5" w:rsidRDefault="00126D8D" w:rsidP="00224B41">
      <w:pPr>
        <w:ind w:left="720" w:hanging="720"/>
        <w:jc w:val="both"/>
        <w:rPr>
          <w:rFonts w:cs="Times New Roman"/>
          <w:noProof/>
        </w:rPr>
      </w:pPr>
      <w:bookmarkStart w:id="189" w:name="_ENREF_1_92"/>
      <w:r w:rsidRPr="007F77C5">
        <w:rPr>
          <w:rFonts w:cs="Times New Roman"/>
          <w:noProof/>
        </w:rPr>
        <w:t>Kopsell, D.A., C.E. Sams, T.C. Barickman, and R.C. Morrow. 2014. Sprouting Broccoli Accumulate Higher Concentrations of Nutritionally Important Metabolites under Narrow-Band Light-Emitting Diode Lighting.</w:t>
      </w:r>
      <w:r w:rsidRPr="007F77C5">
        <w:rPr>
          <w:rFonts w:cs="Times New Roman"/>
          <w:i/>
          <w:noProof/>
        </w:rPr>
        <w:t xml:space="preserve"> Journal of the American Society for Horticultural Science</w:t>
      </w:r>
      <w:r w:rsidRPr="007F77C5">
        <w:rPr>
          <w:rFonts w:cs="Times New Roman"/>
          <w:noProof/>
        </w:rPr>
        <w:t xml:space="preserve"> 139:469-477. doi:10.21273/jashs.139.4.469</w:t>
      </w:r>
      <w:bookmarkEnd w:id="189"/>
    </w:p>
    <w:p w14:paraId="1B0B0676" w14:textId="77777777" w:rsidR="00126D8D" w:rsidRPr="007F77C5" w:rsidRDefault="00126D8D" w:rsidP="00224B41">
      <w:pPr>
        <w:ind w:left="720" w:hanging="720"/>
        <w:jc w:val="both"/>
        <w:rPr>
          <w:rFonts w:cs="Times New Roman"/>
          <w:noProof/>
        </w:rPr>
      </w:pPr>
      <w:bookmarkStart w:id="190" w:name="_ENREF_1_93"/>
      <w:r w:rsidRPr="007F77C5">
        <w:rPr>
          <w:rFonts w:cs="Times New Roman"/>
          <w:noProof/>
        </w:rPr>
        <w:t>Kopsell, D.A., C.E. Sams, C.S. Charron, W.M. Randle, and D.E. Kopsell. 2007. Kale Carotenoids Remain Stable While Glucosinolates and Flavor Compounds Respond to Changes in Selenium and Sulfur Fertility.</w:t>
      </w:r>
      <w:r w:rsidRPr="007F77C5">
        <w:rPr>
          <w:rFonts w:cs="Times New Roman"/>
          <w:i/>
          <w:noProof/>
        </w:rPr>
        <w:t xml:space="preserve"> Acta Horticulturae</w:t>
      </w:r>
      <w:r w:rsidRPr="007F77C5">
        <w:rPr>
          <w:rFonts w:cs="Times New Roman"/>
          <w:noProof/>
        </w:rPr>
        <w:t xml:space="preserve"> 744:303-310. doi:10.17660/ActaHortic.2007.744.31</w:t>
      </w:r>
      <w:bookmarkEnd w:id="190"/>
    </w:p>
    <w:p w14:paraId="1103A58D" w14:textId="77777777" w:rsidR="00126D8D" w:rsidRPr="007F77C5" w:rsidRDefault="00126D8D" w:rsidP="00224B41">
      <w:pPr>
        <w:ind w:left="720" w:hanging="720"/>
        <w:jc w:val="both"/>
        <w:rPr>
          <w:rFonts w:cs="Times New Roman"/>
          <w:noProof/>
        </w:rPr>
      </w:pPr>
      <w:bookmarkStart w:id="191" w:name="_ENREF_1_94"/>
      <w:r w:rsidRPr="007F77C5">
        <w:rPr>
          <w:rFonts w:cs="Times New Roman"/>
          <w:noProof/>
        </w:rPr>
        <w:t>Kopsell, D.A., C.E. Sams, and R.C. Morrow. 2015. Blue Wavelengths from LED Lighting Increase Nutritionally Important Metabolites in Specialty Crops.</w:t>
      </w:r>
      <w:r w:rsidRPr="007F77C5">
        <w:rPr>
          <w:rFonts w:cs="Times New Roman"/>
          <w:i/>
          <w:noProof/>
        </w:rPr>
        <w:t xml:space="preserve"> HortScience</w:t>
      </w:r>
      <w:r w:rsidRPr="007F77C5">
        <w:rPr>
          <w:rFonts w:cs="Times New Roman"/>
          <w:noProof/>
        </w:rPr>
        <w:t xml:space="preserve"> 50:1285-1288. doi:10.21273/hortsci.50.9.1285</w:t>
      </w:r>
      <w:bookmarkEnd w:id="191"/>
    </w:p>
    <w:p w14:paraId="53F2CD0A" w14:textId="77777777" w:rsidR="00126D8D" w:rsidRPr="007F77C5" w:rsidRDefault="00126D8D" w:rsidP="00224B41">
      <w:pPr>
        <w:ind w:left="720" w:hanging="720"/>
        <w:jc w:val="both"/>
        <w:rPr>
          <w:rFonts w:cs="Times New Roman"/>
          <w:noProof/>
        </w:rPr>
      </w:pPr>
      <w:bookmarkStart w:id="192" w:name="_ENREF_1_95"/>
      <w:r w:rsidRPr="007F77C5">
        <w:rPr>
          <w:rFonts w:cs="Times New Roman"/>
          <w:noProof/>
        </w:rPr>
        <w:t>Kopsell, D.A., C.E. Sams, and R.C. Morrow. 2017. Interaction of Light Quality and Fertility on Biomass, Shoot Pigmentation and Xanthophyll Cycle Flux in Chinese Kale.</w:t>
      </w:r>
      <w:r w:rsidRPr="007F77C5">
        <w:rPr>
          <w:rFonts w:cs="Times New Roman"/>
          <w:i/>
          <w:noProof/>
        </w:rPr>
        <w:t xml:space="preserve"> J Sci Food Agric</w:t>
      </w:r>
      <w:r w:rsidRPr="007F77C5">
        <w:rPr>
          <w:rFonts w:cs="Times New Roman"/>
          <w:noProof/>
        </w:rPr>
        <w:t xml:space="preserve"> 97:911-917. doi:10.1002/jsfa.7814</w:t>
      </w:r>
      <w:bookmarkEnd w:id="192"/>
    </w:p>
    <w:p w14:paraId="24B0E907" w14:textId="77777777" w:rsidR="00126D8D" w:rsidRPr="007F77C5" w:rsidRDefault="00126D8D" w:rsidP="00224B41">
      <w:pPr>
        <w:ind w:left="720" w:hanging="720"/>
        <w:jc w:val="both"/>
        <w:rPr>
          <w:rFonts w:cs="Times New Roman"/>
          <w:noProof/>
        </w:rPr>
      </w:pPr>
      <w:bookmarkStart w:id="193" w:name="_ENREF_1_96"/>
      <w:r w:rsidRPr="007F77C5">
        <w:rPr>
          <w:rFonts w:cs="Times New Roman"/>
          <w:noProof/>
        </w:rPr>
        <w:lastRenderedPageBreak/>
        <w:t>Korczynski, P.C., J. Logan, and J.E. Faust. 2002. Mapping Monthly Distribution of Daily Light Integrals across the Contiguous United States.</w:t>
      </w:r>
      <w:r w:rsidRPr="007F77C5">
        <w:rPr>
          <w:rFonts w:cs="Times New Roman"/>
          <w:i/>
          <w:noProof/>
        </w:rPr>
        <w:t xml:space="preserve"> HortTechnology</w:t>
      </w:r>
      <w:r w:rsidRPr="007F77C5">
        <w:rPr>
          <w:rFonts w:cs="Times New Roman"/>
          <w:noProof/>
        </w:rPr>
        <w:t xml:space="preserve"> 12:12-16. doi:10.21273/horttech.12.1.12</w:t>
      </w:r>
      <w:bookmarkEnd w:id="193"/>
    </w:p>
    <w:p w14:paraId="31E876B4" w14:textId="77777777" w:rsidR="00126D8D" w:rsidRPr="007F77C5" w:rsidRDefault="00126D8D" w:rsidP="00224B41">
      <w:pPr>
        <w:ind w:left="720" w:hanging="720"/>
        <w:jc w:val="both"/>
        <w:rPr>
          <w:rFonts w:cs="Times New Roman"/>
          <w:noProof/>
        </w:rPr>
      </w:pPr>
      <w:bookmarkStart w:id="194" w:name="_ENREF_1_97"/>
      <w:r w:rsidRPr="007F77C5">
        <w:rPr>
          <w:rFonts w:cs="Times New Roman"/>
          <w:noProof/>
        </w:rPr>
        <w:t>Kusuma, P. and B. Bugbee. 2021. Far-Red Fraction: An Improved Metric for Characterizing Phytochrome Effects on Morphology.</w:t>
      </w:r>
      <w:r w:rsidRPr="007F77C5">
        <w:rPr>
          <w:rFonts w:cs="Times New Roman"/>
          <w:i/>
          <w:noProof/>
        </w:rPr>
        <w:t xml:space="preserve"> Journal of the American Society for Horticultural Science</w:t>
      </w:r>
      <w:r w:rsidRPr="007F77C5">
        <w:rPr>
          <w:rFonts w:cs="Times New Roman"/>
          <w:noProof/>
        </w:rPr>
        <w:t xml:space="preserve"> 146:3-13. doi:10.21273/jashs05002-20</w:t>
      </w:r>
      <w:bookmarkEnd w:id="194"/>
    </w:p>
    <w:p w14:paraId="3E1EA3F8" w14:textId="77777777" w:rsidR="00126D8D" w:rsidRPr="007F77C5" w:rsidRDefault="00126D8D" w:rsidP="00224B41">
      <w:pPr>
        <w:ind w:left="720" w:hanging="720"/>
        <w:jc w:val="both"/>
        <w:rPr>
          <w:rFonts w:cs="Times New Roman"/>
          <w:noProof/>
        </w:rPr>
      </w:pPr>
      <w:bookmarkStart w:id="195" w:name="_ENREF_1_98"/>
      <w:r w:rsidRPr="007F77C5">
        <w:rPr>
          <w:rFonts w:cs="Times New Roman"/>
          <w:noProof/>
        </w:rPr>
        <w:t>Landi, M., M. Zivcak, O. Sytar, M. Brestic, and S.I. Allakhverdiev. 2020. Plasticity of Photosynthetic Processes and the Accumulation of Secondary Metabolites in Plants in Response to Monochromatic Light Environments: A Review.</w:t>
      </w:r>
      <w:r w:rsidRPr="007F77C5">
        <w:rPr>
          <w:rFonts w:cs="Times New Roman"/>
          <w:i/>
          <w:noProof/>
        </w:rPr>
        <w:t xml:space="preserve"> Biochim Biophys Acta Bioenerg</w:t>
      </w:r>
      <w:r w:rsidRPr="007F77C5">
        <w:rPr>
          <w:rFonts w:cs="Times New Roman"/>
          <w:noProof/>
        </w:rPr>
        <w:t xml:space="preserve"> 1861:148131. doi:10.1016/j.bbabio.2019.148131</w:t>
      </w:r>
      <w:bookmarkEnd w:id="195"/>
    </w:p>
    <w:p w14:paraId="38852CFF" w14:textId="77777777" w:rsidR="00126D8D" w:rsidRPr="007F77C5" w:rsidRDefault="00126D8D" w:rsidP="00224B41">
      <w:pPr>
        <w:ind w:left="720" w:hanging="720"/>
        <w:jc w:val="both"/>
        <w:rPr>
          <w:rFonts w:cs="Times New Roman"/>
          <w:noProof/>
        </w:rPr>
      </w:pPr>
      <w:bookmarkStart w:id="196" w:name="_ENREF_1_99"/>
      <w:r w:rsidRPr="007F77C5">
        <w:rPr>
          <w:rFonts w:cs="Times New Roman"/>
          <w:noProof/>
        </w:rPr>
        <w:t>Lange, B.M., T. Rujan, W. Martin, and R. Croteau. 2000. Isoprenoid Biosynthesis: The Evolution of Two Ancient and Distinct Pathways across Genomes.</w:t>
      </w:r>
      <w:r w:rsidRPr="007F77C5">
        <w:rPr>
          <w:rFonts w:cs="Times New Roman"/>
          <w:i/>
          <w:noProof/>
        </w:rPr>
        <w:t xml:space="preserve"> Proc Natl Acad Sci U S A</w:t>
      </w:r>
      <w:r w:rsidRPr="007F77C5">
        <w:rPr>
          <w:rFonts w:cs="Times New Roman"/>
          <w:noProof/>
        </w:rPr>
        <w:t xml:space="preserve"> 97:13172-13177. doi:10.1073/pnas.240454797</w:t>
      </w:r>
      <w:bookmarkEnd w:id="196"/>
    </w:p>
    <w:p w14:paraId="681C0C8C" w14:textId="77777777" w:rsidR="00126D8D" w:rsidRPr="007F77C5" w:rsidRDefault="00126D8D" w:rsidP="00224B41">
      <w:pPr>
        <w:ind w:left="720" w:hanging="720"/>
        <w:jc w:val="both"/>
        <w:rPr>
          <w:rFonts w:cs="Times New Roman"/>
          <w:noProof/>
        </w:rPr>
      </w:pPr>
      <w:bookmarkStart w:id="197" w:name="_ENREF_1_100"/>
      <w:r w:rsidRPr="007F77C5">
        <w:rPr>
          <w:rFonts w:cs="Times New Roman"/>
          <w:noProof/>
        </w:rPr>
        <w:t>Larsen, D.H., E.J. Woltering, C.C.S. Nicole, and L.F.M. Marcelis. 2020. Response of Basil Growth and Morphology to Light Intensity and Spectrum in a Vertical Farm.</w:t>
      </w:r>
      <w:r w:rsidRPr="007F77C5">
        <w:rPr>
          <w:rFonts w:cs="Times New Roman"/>
          <w:i/>
          <w:noProof/>
        </w:rPr>
        <w:t xml:space="preserve"> Front Plant Sci</w:t>
      </w:r>
      <w:r w:rsidRPr="007F77C5">
        <w:rPr>
          <w:rFonts w:cs="Times New Roman"/>
          <w:noProof/>
        </w:rPr>
        <w:t xml:space="preserve"> 11:597906. doi:10.3389/fpls.2020.597906</w:t>
      </w:r>
      <w:bookmarkEnd w:id="197"/>
    </w:p>
    <w:p w14:paraId="171A55DE" w14:textId="77777777" w:rsidR="00126D8D" w:rsidRPr="007F77C5" w:rsidRDefault="00126D8D" w:rsidP="00224B41">
      <w:pPr>
        <w:ind w:left="720" w:hanging="720"/>
        <w:jc w:val="both"/>
        <w:rPr>
          <w:rFonts w:cs="Times New Roman"/>
          <w:noProof/>
        </w:rPr>
      </w:pPr>
      <w:bookmarkStart w:id="198" w:name="_ENREF_1_101"/>
      <w:r w:rsidRPr="007F77C5">
        <w:rPr>
          <w:rFonts w:cs="Times New Roman"/>
          <w:noProof/>
        </w:rPr>
        <w:t>Latowski, D., J. Grzyb, and K. Strzalka. 2004. The Xanthophyll Cycle—Molecular Mechanism and Physiological Significance.</w:t>
      </w:r>
      <w:r w:rsidRPr="007F77C5">
        <w:rPr>
          <w:rFonts w:cs="Times New Roman"/>
          <w:i/>
          <w:noProof/>
        </w:rPr>
        <w:t xml:space="preserve"> Acta Physiol Plant</w:t>
      </w:r>
      <w:r w:rsidRPr="007F77C5">
        <w:rPr>
          <w:rFonts w:cs="Times New Roman"/>
          <w:noProof/>
        </w:rPr>
        <w:t xml:space="preserve"> 26:197-212. </w:t>
      </w:r>
      <w:bookmarkEnd w:id="198"/>
    </w:p>
    <w:p w14:paraId="685CD48D" w14:textId="77777777" w:rsidR="00126D8D" w:rsidRPr="007F77C5" w:rsidRDefault="00126D8D" w:rsidP="00224B41">
      <w:pPr>
        <w:ind w:left="720" w:hanging="720"/>
        <w:jc w:val="both"/>
        <w:rPr>
          <w:rFonts w:cs="Times New Roman"/>
          <w:noProof/>
        </w:rPr>
      </w:pPr>
      <w:bookmarkStart w:id="199" w:name="_ENREF_1_102"/>
      <w:r w:rsidRPr="007F77C5">
        <w:rPr>
          <w:rFonts w:cs="Times New Roman"/>
          <w:noProof/>
        </w:rPr>
        <w:t>Lawless, H.H., H. . 2010. Sensory Evaluation of Food. SpringerLink.</w:t>
      </w:r>
      <w:bookmarkEnd w:id="199"/>
    </w:p>
    <w:p w14:paraId="4C531A2F" w14:textId="77777777" w:rsidR="00126D8D" w:rsidRPr="007F77C5" w:rsidRDefault="00126D8D" w:rsidP="00224B41">
      <w:pPr>
        <w:ind w:left="720" w:hanging="720"/>
        <w:jc w:val="both"/>
        <w:rPr>
          <w:rFonts w:cs="Times New Roman"/>
          <w:noProof/>
        </w:rPr>
      </w:pPr>
      <w:bookmarkStart w:id="200" w:name="_ENREF_1_103"/>
      <w:r w:rsidRPr="007F77C5">
        <w:rPr>
          <w:rFonts w:cs="Times New Roman"/>
          <w:noProof/>
        </w:rPr>
        <w:t>Lee, S.J., K. Umano, T. Shibamoto, and K.G. Lee. 2005. Identification of Volatile Components in Basil (</w:t>
      </w:r>
      <w:r w:rsidRPr="007F77C5">
        <w:rPr>
          <w:rFonts w:cs="Times New Roman"/>
          <w:i/>
          <w:noProof/>
        </w:rPr>
        <w:t>Ocimum Basilicum</w:t>
      </w:r>
      <w:r w:rsidRPr="007F77C5">
        <w:rPr>
          <w:rFonts w:cs="Times New Roman"/>
          <w:noProof/>
        </w:rPr>
        <w:t xml:space="preserve"> L.) and Thyme Leaves (</w:t>
      </w:r>
      <w:r w:rsidRPr="007F77C5">
        <w:rPr>
          <w:rFonts w:cs="Times New Roman"/>
          <w:i/>
          <w:noProof/>
        </w:rPr>
        <w:t xml:space="preserve">Thymus Vulgaris </w:t>
      </w:r>
      <w:r w:rsidRPr="007F77C5">
        <w:rPr>
          <w:rFonts w:cs="Times New Roman"/>
          <w:noProof/>
        </w:rPr>
        <w:t>L.) and Their Antioxidant Properties.</w:t>
      </w:r>
      <w:r w:rsidRPr="007F77C5">
        <w:rPr>
          <w:rFonts w:cs="Times New Roman"/>
          <w:i/>
          <w:noProof/>
        </w:rPr>
        <w:t xml:space="preserve"> Food Chemistry</w:t>
      </w:r>
      <w:r w:rsidRPr="007F77C5">
        <w:rPr>
          <w:rFonts w:cs="Times New Roman"/>
          <w:noProof/>
        </w:rPr>
        <w:t xml:space="preserve"> 91:131-137. doi:10.1016/j.foodchem.2004.05.056</w:t>
      </w:r>
      <w:bookmarkEnd w:id="200"/>
    </w:p>
    <w:p w14:paraId="2B206BAC" w14:textId="77777777" w:rsidR="00126D8D" w:rsidRPr="007F77C5" w:rsidRDefault="00126D8D" w:rsidP="00224B41">
      <w:pPr>
        <w:ind w:left="720" w:hanging="720"/>
        <w:jc w:val="both"/>
        <w:rPr>
          <w:rFonts w:cs="Times New Roman"/>
          <w:noProof/>
        </w:rPr>
      </w:pPr>
      <w:bookmarkStart w:id="201" w:name="_ENREF_1_104"/>
      <w:r w:rsidRPr="007F77C5">
        <w:rPr>
          <w:rFonts w:cs="Times New Roman"/>
          <w:noProof/>
        </w:rPr>
        <w:lastRenderedPageBreak/>
        <w:t>Lefsrud, M.G., D.A. Kopsell, and C.E. Sams. 2008. Irradiance from Distinct Wavelength Light-Emitting Diodes Affect Secondary Metabolites in Kale.</w:t>
      </w:r>
      <w:r w:rsidRPr="007F77C5">
        <w:rPr>
          <w:rFonts w:cs="Times New Roman"/>
          <w:i/>
          <w:noProof/>
        </w:rPr>
        <w:t xml:space="preserve"> HortScience</w:t>
      </w:r>
      <w:r w:rsidRPr="007F77C5">
        <w:rPr>
          <w:rFonts w:cs="Times New Roman"/>
          <w:noProof/>
        </w:rPr>
        <w:t xml:space="preserve"> 43:2243-2244. doi:10.21273/hortsci.43.7.2243</w:t>
      </w:r>
      <w:bookmarkEnd w:id="201"/>
    </w:p>
    <w:p w14:paraId="15CF5CDC" w14:textId="77777777" w:rsidR="00126D8D" w:rsidRPr="007F77C5" w:rsidRDefault="00126D8D" w:rsidP="00224B41">
      <w:pPr>
        <w:ind w:left="720" w:hanging="720"/>
        <w:jc w:val="both"/>
        <w:rPr>
          <w:rFonts w:cs="Times New Roman"/>
          <w:noProof/>
        </w:rPr>
      </w:pPr>
      <w:bookmarkStart w:id="202" w:name="_ENREF_1_105"/>
      <w:r w:rsidRPr="007F77C5">
        <w:rPr>
          <w:rFonts w:cs="Times New Roman"/>
          <w:noProof/>
        </w:rPr>
        <w:t>Leiser, A.T., A.C. Leopold, and A.L. Shelley. 1960. Evaluation of Light Sources for Plant Growth.</w:t>
      </w:r>
      <w:r w:rsidRPr="007F77C5">
        <w:rPr>
          <w:rFonts w:cs="Times New Roman"/>
          <w:i/>
          <w:noProof/>
        </w:rPr>
        <w:t xml:space="preserve"> Plant Physiol</w:t>
      </w:r>
      <w:r w:rsidRPr="007F77C5">
        <w:rPr>
          <w:rFonts w:cs="Times New Roman"/>
          <w:noProof/>
        </w:rPr>
        <w:t xml:space="preserve"> 35:392-395. doi:10.1104/pp.35.3.392</w:t>
      </w:r>
      <w:bookmarkEnd w:id="202"/>
    </w:p>
    <w:p w14:paraId="4F2A2050" w14:textId="77777777" w:rsidR="00126D8D" w:rsidRPr="007F77C5" w:rsidRDefault="00126D8D" w:rsidP="00224B41">
      <w:pPr>
        <w:ind w:left="720" w:hanging="720"/>
        <w:jc w:val="both"/>
        <w:rPr>
          <w:rFonts w:cs="Times New Roman"/>
          <w:noProof/>
        </w:rPr>
      </w:pPr>
      <w:bookmarkStart w:id="203" w:name="_ENREF_1_106"/>
      <w:r w:rsidRPr="007F77C5">
        <w:rPr>
          <w:rFonts w:cs="Times New Roman"/>
          <w:noProof/>
        </w:rPr>
        <w:t>Li, Q. and C. Kubota. 2009. Effects of Supplemental Light Quality on Growth and Phytochemicals of Baby Leaf Lettuce.</w:t>
      </w:r>
      <w:r w:rsidRPr="007F77C5">
        <w:rPr>
          <w:rFonts w:cs="Times New Roman"/>
          <w:i/>
          <w:noProof/>
        </w:rPr>
        <w:t xml:space="preserve"> Environmental and Experimental Botany</w:t>
      </w:r>
      <w:r w:rsidRPr="007F77C5">
        <w:rPr>
          <w:rFonts w:cs="Times New Roman"/>
          <w:noProof/>
        </w:rPr>
        <w:t xml:space="preserve"> 67:59-64. doi:10.1016/j.envexpbot.2009.06.011</w:t>
      </w:r>
      <w:bookmarkEnd w:id="203"/>
    </w:p>
    <w:p w14:paraId="1E268657" w14:textId="77777777" w:rsidR="00126D8D" w:rsidRPr="007F77C5" w:rsidRDefault="00126D8D" w:rsidP="00224B41">
      <w:pPr>
        <w:ind w:left="720" w:hanging="720"/>
        <w:jc w:val="both"/>
        <w:rPr>
          <w:rFonts w:cs="Times New Roman"/>
          <w:noProof/>
        </w:rPr>
      </w:pPr>
      <w:bookmarkStart w:id="204" w:name="_ENREF_1_107"/>
      <w:r w:rsidRPr="007F77C5">
        <w:rPr>
          <w:rFonts w:cs="Times New Roman"/>
          <w:noProof/>
        </w:rPr>
        <w:t>Lichtenthaler, H.K. 1987. Chlorophylls and Carotenoids: Pigments of Photosynthetic Biomembranes.</w:t>
      </w:r>
      <w:r w:rsidRPr="007F77C5">
        <w:rPr>
          <w:rFonts w:cs="Times New Roman"/>
          <w:i/>
          <w:noProof/>
        </w:rPr>
        <w:t xml:space="preserve"> PLOS ONE</w:t>
      </w:r>
      <w:r w:rsidRPr="007F77C5">
        <w:rPr>
          <w:rFonts w:cs="Times New Roman"/>
          <w:noProof/>
        </w:rPr>
        <w:t xml:space="preserve"> 148:350-382. doi:10.1016/0076-6879(87)48036-1</w:t>
      </w:r>
      <w:bookmarkEnd w:id="204"/>
    </w:p>
    <w:p w14:paraId="46FC72F3" w14:textId="77777777" w:rsidR="00126D8D" w:rsidRPr="007F77C5" w:rsidRDefault="00126D8D" w:rsidP="00224B41">
      <w:pPr>
        <w:ind w:left="720" w:hanging="720"/>
        <w:jc w:val="both"/>
        <w:rPr>
          <w:rFonts w:cs="Times New Roman"/>
          <w:noProof/>
        </w:rPr>
      </w:pPr>
      <w:bookmarkStart w:id="205" w:name="_ENREF_1_108"/>
      <w:r w:rsidRPr="007F77C5">
        <w:rPr>
          <w:rFonts w:cs="Times New Roman"/>
          <w:noProof/>
        </w:rPr>
        <w:t>Lin, K.-H., M.-Y. Huang, W.-D. Huang, M.-H. Hsu, Z.-W. Yang, and C.-M. Yang. 2013. The Effects of Red, Blue, and White Light-Emitting Diodes on the Growth, Development, and Edible Quality of Hydroponically Grown Lettuce (Lactuca Sativa L. Var. Capitata).</w:t>
      </w:r>
      <w:r w:rsidRPr="007F77C5">
        <w:rPr>
          <w:rFonts w:cs="Times New Roman"/>
          <w:i/>
          <w:noProof/>
        </w:rPr>
        <w:t xml:space="preserve"> Scientia Horticulturae</w:t>
      </w:r>
      <w:r w:rsidRPr="007F77C5">
        <w:rPr>
          <w:rFonts w:cs="Times New Roman"/>
          <w:noProof/>
        </w:rPr>
        <w:t xml:space="preserve"> 150:86-91. doi:10.1016/j.scienta.2012.10.002</w:t>
      </w:r>
      <w:bookmarkEnd w:id="205"/>
    </w:p>
    <w:p w14:paraId="5DD2A8B8" w14:textId="77777777" w:rsidR="00126D8D" w:rsidRPr="007F77C5" w:rsidRDefault="00126D8D" w:rsidP="00224B41">
      <w:pPr>
        <w:ind w:left="720" w:hanging="720"/>
        <w:jc w:val="both"/>
        <w:rPr>
          <w:rFonts w:cs="Times New Roman"/>
          <w:noProof/>
        </w:rPr>
      </w:pPr>
      <w:bookmarkStart w:id="206" w:name="_ENREF_1_109"/>
      <w:r w:rsidRPr="007F77C5">
        <w:rPr>
          <w:rFonts w:cs="Times New Roman"/>
          <w:noProof/>
        </w:rPr>
        <w:t>Lois, L.M., M. Rodriguez-Concepcion, F. Gallego, N. Campos, and A. Boronat. 2000. Carotenoid Biosynthesis During Tomato Fruit Development: Regulatory Role of 1-Deoxy-D-Xylulose 5-Phosphate Synthase.</w:t>
      </w:r>
      <w:r w:rsidRPr="007F77C5">
        <w:rPr>
          <w:rFonts w:cs="Times New Roman"/>
          <w:i/>
          <w:noProof/>
        </w:rPr>
        <w:t xml:space="preserve"> Plant J</w:t>
      </w:r>
      <w:r w:rsidRPr="007F77C5">
        <w:rPr>
          <w:rFonts w:cs="Times New Roman"/>
          <w:noProof/>
        </w:rPr>
        <w:t xml:space="preserve"> 22:503-513. doi:10.1046/j.1365-313x.2000.00764.x</w:t>
      </w:r>
      <w:bookmarkEnd w:id="206"/>
    </w:p>
    <w:p w14:paraId="759F8FE1" w14:textId="77777777" w:rsidR="00126D8D" w:rsidRPr="007F77C5" w:rsidRDefault="00126D8D" w:rsidP="00224B41">
      <w:pPr>
        <w:ind w:left="720" w:hanging="720"/>
        <w:jc w:val="both"/>
        <w:rPr>
          <w:rFonts w:cs="Times New Roman"/>
          <w:noProof/>
        </w:rPr>
      </w:pPr>
      <w:bookmarkStart w:id="207" w:name="_ENREF_1_110"/>
      <w:r w:rsidRPr="007F77C5">
        <w:rPr>
          <w:rFonts w:cs="Times New Roman"/>
          <w:noProof/>
        </w:rPr>
        <w:t>Loughrin, J.H. and M.J. Kasperbauer. 2003. Aroma Content of Fresh Basil (</w:t>
      </w:r>
      <w:r w:rsidRPr="007F77C5">
        <w:rPr>
          <w:rFonts w:cs="Times New Roman"/>
          <w:i/>
          <w:noProof/>
        </w:rPr>
        <w:t>Ocimum Basilicum</w:t>
      </w:r>
      <w:r w:rsidRPr="007F77C5">
        <w:rPr>
          <w:rFonts w:cs="Times New Roman"/>
          <w:noProof/>
        </w:rPr>
        <w:t xml:space="preserve"> L.) Leaves Is Affected by Light Reflected from Colored Mulches.</w:t>
      </w:r>
      <w:r w:rsidRPr="007F77C5">
        <w:rPr>
          <w:rFonts w:cs="Times New Roman"/>
          <w:i/>
          <w:noProof/>
        </w:rPr>
        <w:t xml:space="preserve"> J Agric Food Chem</w:t>
      </w:r>
      <w:r w:rsidRPr="007F77C5">
        <w:rPr>
          <w:rFonts w:cs="Times New Roman"/>
          <w:noProof/>
        </w:rPr>
        <w:t xml:space="preserve"> 51:2272-2276. doi:10.1021/jf021076c</w:t>
      </w:r>
      <w:bookmarkEnd w:id="207"/>
    </w:p>
    <w:p w14:paraId="055FA04E" w14:textId="77777777" w:rsidR="00126D8D" w:rsidRPr="007F77C5" w:rsidRDefault="00126D8D" w:rsidP="00224B41">
      <w:pPr>
        <w:ind w:left="720" w:hanging="720"/>
        <w:jc w:val="both"/>
        <w:rPr>
          <w:rFonts w:cs="Times New Roman"/>
          <w:noProof/>
        </w:rPr>
      </w:pPr>
      <w:bookmarkStart w:id="208" w:name="_ENREF_1_111"/>
      <w:r w:rsidRPr="007F77C5">
        <w:rPr>
          <w:rFonts w:cs="Times New Roman"/>
          <w:noProof/>
        </w:rPr>
        <w:t>Lucchesi, M.E., F. Chemat, and J. Smadja. 2004. Solvent-Free Microwave Extraction of Essential Oil from Aromatic Herbs: Comparison with Conventional Hydro-Distillation.</w:t>
      </w:r>
      <w:r w:rsidRPr="007F77C5">
        <w:rPr>
          <w:rFonts w:cs="Times New Roman"/>
          <w:i/>
          <w:noProof/>
        </w:rPr>
        <w:t xml:space="preserve"> J Chromatogr A</w:t>
      </w:r>
      <w:r w:rsidRPr="007F77C5">
        <w:rPr>
          <w:rFonts w:cs="Times New Roman"/>
          <w:noProof/>
        </w:rPr>
        <w:t xml:space="preserve"> 1043:323-327. doi:10.1016/j.chroma.2004.05.083</w:t>
      </w:r>
      <w:bookmarkEnd w:id="208"/>
    </w:p>
    <w:p w14:paraId="409583AA" w14:textId="77777777" w:rsidR="00126D8D" w:rsidRPr="007F77C5" w:rsidRDefault="00126D8D" w:rsidP="00224B41">
      <w:pPr>
        <w:ind w:left="720" w:hanging="720"/>
        <w:jc w:val="both"/>
        <w:rPr>
          <w:rFonts w:cs="Times New Roman"/>
          <w:noProof/>
        </w:rPr>
      </w:pPr>
      <w:bookmarkStart w:id="209" w:name="_ENREF_1_112"/>
      <w:r w:rsidRPr="007F77C5">
        <w:rPr>
          <w:rFonts w:cs="Times New Roman"/>
          <w:noProof/>
        </w:rPr>
        <w:lastRenderedPageBreak/>
        <w:t>Marketwatch. 2022. Basil Leaves Market Size Growth Expected at 1.36% Cagr by Forecast 2028. https://www.marketwatch.com/press-release/basil-leaves-market-size-growth-expected-at-136-cagr-by-forecast-2028-118-pages-report-2022-08-11</w:t>
      </w:r>
      <w:bookmarkEnd w:id="209"/>
    </w:p>
    <w:p w14:paraId="42E8D47E" w14:textId="77777777" w:rsidR="00126D8D" w:rsidRPr="007F77C5" w:rsidRDefault="00126D8D" w:rsidP="00224B41">
      <w:pPr>
        <w:ind w:left="720" w:hanging="720"/>
        <w:jc w:val="both"/>
        <w:rPr>
          <w:rFonts w:cs="Times New Roman"/>
          <w:noProof/>
        </w:rPr>
      </w:pPr>
      <w:bookmarkStart w:id="210" w:name="_ENREF_1_113"/>
      <w:r w:rsidRPr="007F77C5">
        <w:rPr>
          <w:rFonts w:cs="Times New Roman"/>
          <w:noProof/>
        </w:rPr>
        <w:t>Martendal, E., C.D. De Souza Silveira, G.S. Nardini, and E. Carasek. 2011. Use of Different Sample Temperatures in a Single Extraction Procedure for the Screening of the Aroma Profile of Plant Matrices by Headspace Solid-Phase Microextraction.</w:t>
      </w:r>
      <w:r w:rsidRPr="007F77C5">
        <w:rPr>
          <w:rFonts w:cs="Times New Roman"/>
          <w:i/>
          <w:noProof/>
        </w:rPr>
        <w:t xml:space="preserve"> J Chromatogr A</w:t>
      </w:r>
      <w:r w:rsidRPr="007F77C5">
        <w:rPr>
          <w:rFonts w:cs="Times New Roman"/>
          <w:noProof/>
        </w:rPr>
        <w:t xml:space="preserve"> 1218:3731-3736. doi:10.1016/j.chroma.2011.04.032</w:t>
      </w:r>
      <w:bookmarkEnd w:id="210"/>
    </w:p>
    <w:p w14:paraId="792CC767" w14:textId="77777777" w:rsidR="00126D8D" w:rsidRPr="007F77C5" w:rsidRDefault="00126D8D" w:rsidP="00224B41">
      <w:pPr>
        <w:ind w:left="720" w:hanging="720"/>
        <w:jc w:val="both"/>
        <w:rPr>
          <w:rFonts w:cs="Times New Roman"/>
          <w:noProof/>
        </w:rPr>
      </w:pPr>
      <w:bookmarkStart w:id="211" w:name="_ENREF_1_114"/>
      <w:r w:rsidRPr="007F77C5">
        <w:rPr>
          <w:rFonts w:cs="Times New Roman"/>
          <w:noProof/>
        </w:rPr>
        <w:t>Martineau, V., M. Lefsrud, M.T. Naznin, and D.A. Kopsell. 2012. Comparison of Light-Emitting Diode and High-Pressure Sodium Light Treatments for Hydroponics Growth of Boston Lettuce.</w:t>
      </w:r>
      <w:r w:rsidRPr="007F77C5">
        <w:rPr>
          <w:rFonts w:cs="Times New Roman"/>
          <w:i/>
          <w:noProof/>
        </w:rPr>
        <w:t xml:space="preserve"> HortScience</w:t>
      </w:r>
      <w:r w:rsidRPr="007F77C5">
        <w:rPr>
          <w:rFonts w:cs="Times New Roman"/>
          <w:noProof/>
        </w:rPr>
        <w:t xml:space="preserve"> 47:477-482. doi:10.21273/hortsci.47.4.477</w:t>
      </w:r>
      <w:bookmarkEnd w:id="211"/>
    </w:p>
    <w:p w14:paraId="45EAAE42" w14:textId="77777777" w:rsidR="00126D8D" w:rsidRPr="007F77C5" w:rsidRDefault="00126D8D" w:rsidP="00224B41">
      <w:pPr>
        <w:ind w:left="720" w:hanging="720"/>
        <w:jc w:val="both"/>
        <w:rPr>
          <w:rFonts w:cs="Times New Roman"/>
          <w:noProof/>
        </w:rPr>
      </w:pPr>
      <w:bookmarkStart w:id="212" w:name="_ENREF_1_115"/>
      <w:r w:rsidRPr="007F77C5">
        <w:rPr>
          <w:rFonts w:cs="Times New Roman"/>
          <w:noProof/>
        </w:rPr>
        <w:t>Massa, G.D., H.H. Kim, R.M. Wheeler, and C.A. Mitchell. 2008. Plant Productivity in Response to LED Lighting.</w:t>
      </w:r>
      <w:r w:rsidRPr="007F77C5">
        <w:rPr>
          <w:rFonts w:cs="Times New Roman"/>
          <w:i/>
          <w:noProof/>
        </w:rPr>
        <w:t xml:space="preserve"> HortScience</w:t>
      </w:r>
      <w:r w:rsidRPr="007F77C5">
        <w:rPr>
          <w:rFonts w:cs="Times New Roman"/>
          <w:noProof/>
        </w:rPr>
        <w:t xml:space="preserve"> 43:1951-1956. </w:t>
      </w:r>
      <w:bookmarkEnd w:id="212"/>
    </w:p>
    <w:p w14:paraId="572BECEC" w14:textId="77777777" w:rsidR="00126D8D" w:rsidRPr="007F77C5" w:rsidRDefault="00126D8D" w:rsidP="00224B41">
      <w:pPr>
        <w:ind w:left="720" w:hanging="720"/>
        <w:jc w:val="both"/>
        <w:rPr>
          <w:rFonts w:cs="Times New Roman"/>
          <w:noProof/>
        </w:rPr>
      </w:pPr>
      <w:bookmarkStart w:id="213" w:name="_ENREF_1_116"/>
      <w:r w:rsidRPr="007F77C5">
        <w:rPr>
          <w:rFonts w:cs="Times New Roman"/>
          <w:noProof/>
        </w:rPr>
        <w:t>Mccartney, L. and M. Lefsrud. 2018. Protected Agriculture in Extreme Environments: A Review of Controlled Environment Agriculture in Tropical, Arid, Polar, and Urban Locations.</w:t>
      </w:r>
      <w:r w:rsidRPr="007F77C5">
        <w:rPr>
          <w:rFonts w:cs="Times New Roman"/>
          <w:i/>
          <w:noProof/>
        </w:rPr>
        <w:t xml:space="preserve"> Applied Engineering in Agriculture</w:t>
      </w:r>
      <w:r w:rsidRPr="007F77C5">
        <w:rPr>
          <w:rFonts w:cs="Times New Roman"/>
          <w:noProof/>
        </w:rPr>
        <w:t xml:space="preserve"> 34:455-473. doi:10.13031/aea.12590</w:t>
      </w:r>
      <w:bookmarkEnd w:id="213"/>
    </w:p>
    <w:p w14:paraId="4B2CF67F" w14:textId="77777777" w:rsidR="00126D8D" w:rsidRPr="007F77C5" w:rsidRDefault="00126D8D" w:rsidP="00224B41">
      <w:pPr>
        <w:ind w:left="720" w:hanging="720"/>
        <w:jc w:val="both"/>
        <w:rPr>
          <w:rFonts w:cs="Times New Roman"/>
          <w:noProof/>
        </w:rPr>
      </w:pPr>
      <w:bookmarkStart w:id="214" w:name="_ENREF_1_117"/>
      <w:r w:rsidRPr="007F77C5">
        <w:rPr>
          <w:rFonts w:cs="Times New Roman"/>
          <w:noProof/>
        </w:rPr>
        <w:t>Mccree, K.J. 1971. The Action Spectrum, Absorptance and Quantum Yield of Photosynthesis in Crop Plants.</w:t>
      </w:r>
      <w:r w:rsidRPr="007F77C5">
        <w:rPr>
          <w:rFonts w:cs="Times New Roman"/>
          <w:i/>
          <w:noProof/>
        </w:rPr>
        <w:t xml:space="preserve"> Agricultural Meteorology</w:t>
      </w:r>
      <w:r w:rsidRPr="007F77C5">
        <w:rPr>
          <w:rFonts w:cs="Times New Roman"/>
          <w:noProof/>
        </w:rPr>
        <w:t xml:space="preserve"> 9:191-216. doi:10.1016/0002-1571(71)90022-7</w:t>
      </w:r>
      <w:bookmarkEnd w:id="214"/>
    </w:p>
    <w:p w14:paraId="16F93B09" w14:textId="77777777" w:rsidR="00126D8D" w:rsidRPr="007F77C5" w:rsidRDefault="00126D8D" w:rsidP="00224B41">
      <w:pPr>
        <w:ind w:left="720" w:hanging="720"/>
        <w:jc w:val="both"/>
        <w:rPr>
          <w:rFonts w:cs="Times New Roman"/>
          <w:noProof/>
        </w:rPr>
      </w:pPr>
      <w:bookmarkStart w:id="215" w:name="_ENREF_1_118"/>
      <w:r w:rsidRPr="007F77C5">
        <w:rPr>
          <w:rFonts w:cs="Times New Roman"/>
          <w:noProof/>
        </w:rPr>
        <w:t>Mccree, K.J. 1973. The Measurement of Photosynthetically Active Radiation.</w:t>
      </w:r>
      <w:r w:rsidRPr="007F77C5">
        <w:rPr>
          <w:rFonts w:cs="Times New Roman"/>
          <w:i/>
          <w:noProof/>
        </w:rPr>
        <w:t xml:space="preserve"> Solar Energy</w:t>
      </w:r>
      <w:r w:rsidRPr="007F77C5">
        <w:rPr>
          <w:rFonts w:cs="Times New Roman"/>
          <w:noProof/>
        </w:rPr>
        <w:t xml:space="preserve"> 15:83-87. doi:10.1016/0038-092x(73)90010-8</w:t>
      </w:r>
      <w:bookmarkEnd w:id="215"/>
    </w:p>
    <w:p w14:paraId="725A7406" w14:textId="77777777" w:rsidR="00126D8D" w:rsidRPr="007F77C5" w:rsidRDefault="00126D8D" w:rsidP="00224B41">
      <w:pPr>
        <w:ind w:left="720" w:hanging="720"/>
        <w:jc w:val="both"/>
        <w:rPr>
          <w:rFonts w:cs="Times New Roman"/>
          <w:noProof/>
        </w:rPr>
      </w:pPr>
      <w:bookmarkStart w:id="216" w:name="_ENREF_1_119"/>
      <w:r w:rsidRPr="007F77C5">
        <w:rPr>
          <w:rFonts w:cs="Times New Roman"/>
          <w:noProof/>
        </w:rPr>
        <w:t>Meligaard, M., G.V. Civile, and B.T. Carr. 2007. Sensory Evaluation Techniques, Fourth Edition CRC Press.</w:t>
      </w:r>
      <w:bookmarkEnd w:id="216"/>
    </w:p>
    <w:p w14:paraId="13220D62" w14:textId="77777777" w:rsidR="00126D8D" w:rsidRPr="007F77C5" w:rsidRDefault="00126D8D" w:rsidP="00224B41">
      <w:pPr>
        <w:ind w:left="720" w:hanging="720"/>
        <w:jc w:val="both"/>
        <w:rPr>
          <w:rFonts w:cs="Times New Roman"/>
          <w:noProof/>
        </w:rPr>
      </w:pPr>
      <w:bookmarkStart w:id="217" w:name="_ENREF_1_120"/>
      <w:r w:rsidRPr="007F77C5">
        <w:rPr>
          <w:rFonts w:cs="Times New Roman"/>
          <w:noProof/>
        </w:rPr>
        <w:t xml:space="preserve">Metallo, R.M., D.A. Kopsell, C.E. Sams, and N.R. Bumgarner. 2018. Influence of Blue/Red Vs. White LED Light Treatments on Biomass, Shoot Morphology, and Quality Parameters of </w:t>
      </w:r>
      <w:r w:rsidRPr="007F77C5">
        <w:rPr>
          <w:rFonts w:cs="Times New Roman"/>
          <w:noProof/>
        </w:rPr>
        <w:lastRenderedPageBreak/>
        <w:t>Hydroponically Grown Kale.</w:t>
      </w:r>
      <w:r w:rsidRPr="007F77C5">
        <w:rPr>
          <w:rFonts w:cs="Times New Roman"/>
          <w:i/>
          <w:noProof/>
        </w:rPr>
        <w:t xml:space="preserve"> Scientia Horticulturae</w:t>
      </w:r>
      <w:r w:rsidRPr="007F77C5">
        <w:rPr>
          <w:rFonts w:cs="Times New Roman"/>
          <w:noProof/>
        </w:rPr>
        <w:t xml:space="preserve"> 235:189-197. doi:10.1016/j.scienta.2018.02.061</w:t>
      </w:r>
      <w:bookmarkEnd w:id="217"/>
    </w:p>
    <w:p w14:paraId="1C681E2E" w14:textId="77777777" w:rsidR="00126D8D" w:rsidRPr="007F77C5" w:rsidRDefault="00126D8D" w:rsidP="00224B41">
      <w:pPr>
        <w:ind w:left="720" w:hanging="720"/>
        <w:jc w:val="both"/>
        <w:rPr>
          <w:rFonts w:cs="Times New Roman"/>
          <w:noProof/>
        </w:rPr>
      </w:pPr>
      <w:bookmarkStart w:id="218" w:name="_ENREF_1_121"/>
      <w:r w:rsidRPr="007F77C5">
        <w:rPr>
          <w:rFonts w:cs="Times New Roman"/>
          <w:noProof/>
        </w:rPr>
        <w:t>Mitchell, C.A. 2004. Controlled Environments in Plant-Science Research and Commercial Agriculture.</w:t>
      </w:r>
      <w:r w:rsidRPr="007F77C5">
        <w:rPr>
          <w:rFonts w:cs="Times New Roman"/>
          <w:i/>
          <w:noProof/>
        </w:rPr>
        <w:t xml:space="preserve"> Int J Biom</w:t>
      </w:r>
      <w:r w:rsidRPr="007F77C5">
        <w:rPr>
          <w:rFonts w:cs="Times New Roman"/>
          <w:noProof/>
        </w:rPr>
        <w:t xml:space="preserve"> 33:1-12. </w:t>
      </w:r>
      <w:bookmarkEnd w:id="218"/>
    </w:p>
    <w:p w14:paraId="615A7951" w14:textId="77777777" w:rsidR="00126D8D" w:rsidRPr="007F77C5" w:rsidRDefault="00126D8D" w:rsidP="00224B41">
      <w:pPr>
        <w:ind w:left="720" w:hanging="720"/>
        <w:jc w:val="both"/>
        <w:rPr>
          <w:rFonts w:cs="Times New Roman"/>
          <w:noProof/>
        </w:rPr>
      </w:pPr>
      <w:bookmarkStart w:id="219" w:name="_ENREF_1_122"/>
      <w:r w:rsidRPr="007F77C5">
        <w:rPr>
          <w:rFonts w:cs="Times New Roman"/>
          <w:noProof/>
        </w:rPr>
        <w:t>Mitchell, C.A. 2022. History of Controlled Environment Horticulture: Indoor Farming and Its Key Technologies.</w:t>
      </w:r>
      <w:r w:rsidRPr="007F77C5">
        <w:rPr>
          <w:rFonts w:cs="Times New Roman"/>
          <w:i/>
          <w:noProof/>
        </w:rPr>
        <w:t xml:space="preserve"> HortScience</w:t>
      </w:r>
      <w:r w:rsidRPr="007F77C5">
        <w:rPr>
          <w:rFonts w:cs="Times New Roman"/>
          <w:noProof/>
        </w:rPr>
        <w:t xml:space="preserve"> 57:247-256. doi:10.21273/hortsci16159-21</w:t>
      </w:r>
      <w:bookmarkEnd w:id="219"/>
    </w:p>
    <w:p w14:paraId="66ECF183" w14:textId="77777777" w:rsidR="00126D8D" w:rsidRPr="007F77C5" w:rsidRDefault="00126D8D" w:rsidP="00224B41">
      <w:pPr>
        <w:ind w:left="720" w:hanging="720"/>
        <w:jc w:val="both"/>
        <w:rPr>
          <w:rFonts w:cs="Times New Roman"/>
          <w:noProof/>
        </w:rPr>
      </w:pPr>
      <w:bookmarkStart w:id="220" w:name="_ENREF_1_123"/>
      <w:r w:rsidRPr="007F77C5">
        <w:rPr>
          <w:rFonts w:cs="Times New Roman"/>
          <w:noProof/>
        </w:rPr>
        <w:t>Mitchell, C.A., J.F. Burr, M.J. Dzakovich, C. Gómez, R. Lopez, R. Hernández, C. Kubota, C.J. Currey, Q. Meng, E.S. Runkle, C.M. Bourget, R.C. Morrow, and A.J. Both. 2015. Light-Emitting Diodes in Horticulture.</w:t>
      </w:r>
      <w:r w:rsidRPr="007F77C5">
        <w:rPr>
          <w:rFonts w:cs="Times New Roman"/>
          <w:i/>
          <w:noProof/>
        </w:rPr>
        <w:t xml:space="preserve"> Horticultural Reviews</w:t>
      </w:r>
      <w:r w:rsidRPr="007F77C5">
        <w:rPr>
          <w:rFonts w:cs="Times New Roman"/>
          <w:noProof/>
        </w:rPr>
        <w:t xml:space="preserve"> 43:1-87. </w:t>
      </w:r>
      <w:bookmarkEnd w:id="220"/>
    </w:p>
    <w:p w14:paraId="2AFA2DAB" w14:textId="77777777" w:rsidR="00126D8D" w:rsidRPr="007F77C5" w:rsidRDefault="00126D8D" w:rsidP="00224B41">
      <w:pPr>
        <w:ind w:left="720" w:hanging="720"/>
        <w:jc w:val="both"/>
        <w:rPr>
          <w:rFonts w:cs="Times New Roman"/>
          <w:noProof/>
        </w:rPr>
      </w:pPr>
      <w:bookmarkStart w:id="221" w:name="_ENREF_1_124"/>
      <w:r w:rsidRPr="007F77C5">
        <w:rPr>
          <w:rFonts w:cs="Times New Roman"/>
          <w:noProof/>
        </w:rPr>
        <w:t>Moccaldi, L.A. and E.S. Runkle. 2007. Modeling the Effects of Temperature and Photosynthetic Daily Light Integral on Growth and Flowering of Salvia Splendens and Tagetes Patula.</w:t>
      </w:r>
      <w:r w:rsidRPr="007F77C5">
        <w:rPr>
          <w:rFonts w:cs="Times New Roman"/>
          <w:i/>
          <w:noProof/>
        </w:rPr>
        <w:t xml:space="preserve"> Journal of the American Society for Horticultural Science</w:t>
      </w:r>
      <w:r w:rsidRPr="007F77C5">
        <w:rPr>
          <w:rFonts w:cs="Times New Roman"/>
          <w:noProof/>
        </w:rPr>
        <w:t xml:space="preserve"> 132:283-288. doi:10.21273/jashs.132.3.283</w:t>
      </w:r>
      <w:bookmarkEnd w:id="221"/>
    </w:p>
    <w:p w14:paraId="5AB6D55B" w14:textId="77777777" w:rsidR="00126D8D" w:rsidRPr="007F77C5" w:rsidRDefault="00126D8D" w:rsidP="00224B41">
      <w:pPr>
        <w:ind w:left="720" w:hanging="720"/>
        <w:jc w:val="both"/>
        <w:rPr>
          <w:rFonts w:cs="Times New Roman"/>
          <w:noProof/>
        </w:rPr>
      </w:pPr>
      <w:bookmarkStart w:id="222" w:name="_ENREF_1_125"/>
      <w:r w:rsidRPr="007F77C5">
        <w:rPr>
          <w:rFonts w:cs="Times New Roman"/>
          <w:noProof/>
        </w:rPr>
        <w:t>Modarelli, G.C., R. Paradiso, C. Arena, S. De Pascale, and M.-C. Van Labeke. 2022. High Light Intensity from Blue-Red LEDs Enhance Photosynthetic Performance, Plant Growth, and Optical Properties of Red Lettuce in Controlled Environment.</w:t>
      </w:r>
      <w:r w:rsidRPr="007F77C5">
        <w:rPr>
          <w:rFonts w:cs="Times New Roman"/>
          <w:i/>
          <w:noProof/>
        </w:rPr>
        <w:t xml:space="preserve"> Horticulturae</w:t>
      </w:r>
      <w:r w:rsidRPr="007F77C5">
        <w:rPr>
          <w:rFonts w:cs="Times New Roman"/>
          <w:noProof/>
        </w:rPr>
        <w:t xml:space="preserve"> 8. doi:10.3390/horticulturae8020114</w:t>
      </w:r>
      <w:bookmarkEnd w:id="222"/>
    </w:p>
    <w:p w14:paraId="3323F4E7" w14:textId="77777777" w:rsidR="00126D8D" w:rsidRPr="007F77C5" w:rsidRDefault="00126D8D" w:rsidP="00224B41">
      <w:pPr>
        <w:ind w:left="720" w:hanging="720"/>
        <w:jc w:val="both"/>
        <w:rPr>
          <w:rFonts w:cs="Times New Roman"/>
          <w:noProof/>
        </w:rPr>
      </w:pPr>
      <w:bookmarkStart w:id="223" w:name="_ENREF_1_126"/>
      <w:r w:rsidRPr="007F77C5">
        <w:rPr>
          <w:rFonts w:cs="Times New Roman"/>
          <w:noProof/>
        </w:rPr>
        <w:t>Mokvist, F., F. Mamedov, and S. Styring. 2014. Defining the Far-Red Limit of Photosystem I: The Primary Charge Separation Is Functional to 840 Nm.</w:t>
      </w:r>
      <w:r w:rsidRPr="007F77C5">
        <w:rPr>
          <w:rFonts w:cs="Times New Roman"/>
          <w:i/>
          <w:noProof/>
        </w:rPr>
        <w:t xml:space="preserve"> J Biol Chem</w:t>
      </w:r>
      <w:r w:rsidRPr="007F77C5">
        <w:rPr>
          <w:rFonts w:cs="Times New Roman"/>
          <w:noProof/>
        </w:rPr>
        <w:t xml:space="preserve"> 289:24630-24639. doi:10.1074/jbc.M114.555649</w:t>
      </w:r>
      <w:bookmarkEnd w:id="223"/>
    </w:p>
    <w:p w14:paraId="05770A87" w14:textId="77777777" w:rsidR="00126D8D" w:rsidRPr="007F77C5" w:rsidRDefault="00126D8D" w:rsidP="00224B41">
      <w:pPr>
        <w:ind w:left="720" w:hanging="720"/>
        <w:jc w:val="both"/>
        <w:rPr>
          <w:rFonts w:cs="Times New Roman"/>
          <w:noProof/>
        </w:rPr>
      </w:pPr>
      <w:bookmarkStart w:id="224" w:name="_ENREF_1_127"/>
      <w:r w:rsidRPr="007F77C5">
        <w:rPr>
          <w:rFonts w:cs="Times New Roman"/>
          <w:noProof/>
        </w:rPr>
        <w:t>Morrow, R.C. 2008. LED Lighting in Horticulture.</w:t>
      </w:r>
      <w:r w:rsidRPr="007F77C5">
        <w:rPr>
          <w:rFonts w:cs="Times New Roman"/>
          <w:i/>
          <w:noProof/>
        </w:rPr>
        <w:t xml:space="preserve"> HortScience</w:t>
      </w:r>
      <w:r w:rsidRPr="007F77C5">
        <w:rPr>
          <w:rFonts w:cs="Times New Roman"/>
          <w:noProof/>
        </w:rPr>
        <w:t xml:space="preserve"> 43:1947-1950. doi:10.21273/hortsci.43.7.1947</w:t>
      </w:r>
      <w:bookmarkEnd w:id="224"/>
    </w:p>
    <w:p w14:paraId="42DB90E5" w14:textId="77777777" w:rsidR="00126D8D" w:rsidRPr="007F77C5" w:rsidRDefault="00126D8D" w:rsidP="00224B41">
      <w:pPr>
        <w:ind w:left="720" w:hanging="720"/>
        <w:jc w:val="both"/>
        <w:rPr>
          <w:rFonts w:cs="Times New Roman"/>
          <w:noProof/>
        </w:rPr>
      </w:pPr>
      <w:bookmarkStart w:id="225" w:name="_ENREF_1_128"/>
      <w:r w:rsidRPr="007F77C5">
        <w:rPr>
          <w:rFonts w:cs="Times New Roman"/>
          <w:noProof/>
        </w:rPr>
        <w:lastRenderedPageBreak/>
        <w:t xml:space="preserve">Murray, A.F., P.C.K. Wickramasinghe, and J.P. Munafo, Jr. 2020. Key Odorants from the Fragrant Bolete, </w:t>
      </w:r>
      <w:r w:rsidRPr="007F77C5">
        <w:rPr>
          <w:rFonts w:cs="Times New Roman"/>
          <w:i/>
          <w:noProof/>
        </w:rPr>
        <w:t>Suillus Punctipes</w:t>
      </w:r>
      <w:r w:rsidRPr="007F77C5">
        <w:rPr>
          <w:rFonts w:cs="Times New Roman"/>
          <w:noProof/>
        </w:rPr>
        <w:t>.</w:t>
      </w:r>
      <w:r w:rsidRPr="007F77C5">
        <w:rPr>
          <w:rFonts w:cs="Times New Roman"/>
          <w:i/>
          <w:noProof/>
        </w:rPr>
        <w:t xml:space="preserve"> J Agric Food Chem</w:t>
      </w:r>
      <w:r w:rsidRPr="007F77C5">
        <w:rPr>
          <w:rFonts w:cs="Times New Roman"/>
          <w:noProof/>
        </w:rPr>
        <w:t xml:space="preserve"> 68:8621-8628. doi:10.1021/acs.jafc.0c03389</w:t>
      </w:r>
      <w:bookmarkEnd w:id="225"/>
    </w:p>
    <w:p w14:paraId="7C526F57" w14:textId="77777777" w:rsidR="00126D8D" w:rsidRPr="007F77C5" w:rsidRDefault="00126D8D" w:rsidP="00224B41">
      <w:pPr>
        <w:ind w:left="720" w:hanging="720"/>
        <w:jc w:val="both"/>
        <w:rPr>
          <w:rFonts w:cs="Times New Roman"/>
          <w:noProof/>
        </w:rPr>
      </w:pPr>
      <w:bookmarkStart w:id="226" w:name="_ENREF_1_129"/>
      <w:r w:rsidRPr="007F77C5">
        <w:rPr>
          <w:rFonts w:cs="Times New Roman"/>
          <w:noProof/>
        </w:rPr>
        <w:t>Namitha, K.K. and P.S. Negi. 2010. Chemistry and Biotechnology of Carotenoids.</w:t>
      </w:r>
      <w:r w:rsidRPr="007F77C5">
        <w:rPr>
          <w:rFonts w:cs="Times New Roman"/>
          <w:i/>
          <w:noProof/>
        </w:rPr>
        <w:t xml:space="preserve"> Crit Rev Food Sci Nutr</w:t>
      </w:r>
      <w:r w:rsidRPr="007F77C5">
        <w:rPr>
          <w:rFonts w:cs="Times New Roman"/>
          <w:noProof/>
        </w:rPr>
        <w:t xml:space="preserve"> 50:728-760. doi:10.1080/10408398.2010.499811</w:t>
      </w:r>
      <w:bookmarkEnd w:id="226"/>
    </w:p>
    <w:p w14:paraId="018647C2" w14:textId="77777777" w:rsidR="00126D8D" w:rsidRPr="007F77C5" w:rsidRDefault="00126D8D" w:rsidP="00224B41">
      <w:pPr>
        <w:ind w:left="720" w:hanging="720"/>
        <w:jc w:val="both"/>
        <w:rPr>
          <w:rFonts w:cs="Times New Roman"/>
          <w:noProof/>
        </w:rPr>
      </w:pPr>
      <w:bookmarkStart w:id="227" w:name="_ENREF_1_130"/>
      <w:r w:rsidRPr="007F77C5">
        <w:rPr>
          <w:rFonts w:cs="Times New Roman"/>
          <w:noProof/>
        </w:rPr>
        <w:t>Naznin, M.T., M. Lefsrud, V. Gravel, and M.O.K. Azad. 2019. Blue Light Added with Red LEDs Enhance Growth Characteristics, Pigments Content, and Antioxidant Capacity in Lettuce, Spinach, Kale, Basil, and Sweet Pepper in a Controlled Environment.</w:t>
      </w:r>
      <w:r w:rsidRPr="007F77C5">
        <w:rPr>
          <w:rFonts w:cs="Times New Roman"/>
          <w:i/>
          <w:noProof/>
        </w:rPr>
        <w:t xml:space="preserve"> Plants (Basel)</w:t>
      </w:r>
      <w:r w:rsidRPr="007F77C5">
        <w:rPr>
          <w:rFonts w:cs="Times New Roman"/>
          <w:noProof/>
        </w:rPr>
        <w:t xml:space="preserve"> 8. doi:10.3390/plants8040093</w:t>
      </w:r>
      <w:bookmarkEnd w:id="227"/>
    </w:p>
    <w:p w14:paraId="177B875D" w14:textId="77777777" w:rsidR="00126D8D" w:rsidRPr="007F77C5" w:rsidRDefault="00126D8D" w:rsidP="00224B41">
      <w:pPr>
        <w:ind w:left="720" w:hanging="720"/>
        <w:jc w:val="both"/>
        <w:rPr>
          <w:rFonts w:cs="Times New Roman"/>
          <w:noProof/>
        </w:rPr>
      </w:pPr>
      <w:bookmarkStart w:id="228" w:name="_ENREF_1_131"/>
      <w:r w:rsidRPr="007F77C5">
        <w:rPr>
          <w:rFonts w:cs="Times New Roman"/>
          <w:noProof/>
        </w:rPr>
        <w:t>Nelson, J.A. and B. Bugbee. 2014. Economic Analysis of Greenhouse Lighting: Light Emitting Diodes Vs. High Intensity Discharge Fixtures.</w:t>
      </w:r>
      <w:r w:rsidRPr="007F77C5">
        <w:rPr>
          <w:rFonts w:cs="Times New Roman"/>
          <w:i/>
          <w:noProof/>
        </w:rPr>
        <w:t xml:space="preserve"> PLOS ONE</w:t>
      </w:r>
      <w:r w:rsidRPr="007F77C5">
        <w:rPr>
          <w:rFonts w:cs="Times New Roman"/>
          <w:noProof/>
        </w:rPr>
        <w:t xml:space="preserve"> 9:e99010. doi:10.1371/journal.pone.0099010</w:t>
      </w:r>
      <w:bookmarkEnd w:id="228"/>
    </w:p>
    <w:p w14:paraId="7904C2DD" w14:textId="77777777" w:rsidR="00126D8D" w:rsidRPr="007F77C5" w:rsidRDefault="00126D8D" w:rsidP="00224B41">
      <w:pPr>
        <w:ind w:left="720" w:hanging="720"/>
        <w:jc w:val="both"/>
        <w:rPr>
          <w:rFonts w:cs="Times New Roman"/>
          <w:noProof/>
        </w:rPr>
      </w:pPr>
      <w:bookmarkStart w:id="229" w:name="_ENREF_1_132"/>
      <w:r w:rsidRPr="007F77C5">
        <w:rPr>
          <w:rFonts w:cs="Times New Roman"/>
          <w:noProof/>
        </w:rPr>
        <w:t>Ochiai, N., J. Tsunokawa, K. Sasamoto, and A. Hoffmann. 2014. Multi-Volatile Method for Aroma Analysis Using Sequential Dynamic Headspace Sampling with an Application to Brewed Coffee.</w:t>
      </w:r>
      <w:r w:rsidRPr="007F77C5">
        <w:rPr>
          <w:rFonts w:cs="Times New Roman"/>
          <w:i/>
          <w:noProof/>
        </w:rPr>
        <w:t xml:space="preserve"> J Chromatogr A</w:t>
      </w:r>
      <w:r w:rsidRPr="007F77C5">
        <w:rPr>
          <w:rFonts w:cs="Times New Roman"/>
          <w:noProof/>
        </w:rPr>
        <w:t xml:space="preserve"> 1371:65-73. doi:10.1016/j.chroma.2014.10.074</w:t>
      </w:r>
      <w:bookmarkEnd w:id="229"/>
    </w:p>
    <w:p w14:paraId="46B499F3" w14:textId="77777777" w:rsidR="00126D8D" w:rsidRPr="007F77C5" w:rsidRDefault="00126D8D" w:rsidP="00224B41">
      <w:pPr>
        <w:ind w:left="720" w:hanging="720"/>
        <w:jc w:val="both"/>
        <w:rPr>
          <w:rFonts w:cs="Times New Roman"/>
          <w:noProof/>
        </w:rPr>
      </w:pPr>
      <w:bookmarkStart w:id="230" w:name="_ENREF_1_133"/>
      <w:r w:rsidRPr="007F77C5">
        <w:rPr>
          <w:rFonts w:cs="Times New Roman"/>
          <w:noProof/>
        </w:rPr>
        <w:t>Oh, W., I.H. Cheon, K.S. Kim, and E.S. Runkle. 2009. Photosynthetic Daily Light Integral Influences Flowering Time and Crop Characteristics of Cyclamen Persicum.</w:t>
      </w:r>
      <w:r w:rsidRPr="007F77C5">
        <w:rPr>
          <w:rFonts w:cs="Times New Roman"/>
          <w:i/>
          <w:noProof/>
        </w:rPr>
        <w:t xml:space="preserve"> HortScience</w:t>
      </w:r>
      <w:r w:rsidRPr="007F77C5">
        <w:rPr>
          <w:rFonts w:cs="Times New Roman"/>
          <w:noProof/>
        </w:rPr>
        <w:t xml:space="preserve"> 44:341-344. doi:10.21273/hortsci.44.2.341</w:t>
      </w:r>
      <w:bookmarkEnd w:id="230"/>
    </w:p>
    <w:p w14:paraId="1982D2AD" w14:textId="77777777" w:rsidR="00126D8D" w:rsidRPr="007F77C5" w:rsidRDefault="00126D8D" w:rsidP="00224B41">
      <w:pPr>
        <w:ind w:left="720" w:hanging="720"/>
        <w:jc w:val="both"/>
        <w:rPr>
          <w:rFonts w:cs="Times New Roman"/>
          <w:noProof/>
        </w:rPr>
      </w:pPr>
      <w:bookmarkStart w:id="231" w:name="_ENREF_1_134"/>
      <w:r w:rsidRPr="007F77C5">
        <w:rPr>
          <w:rFonts w:cs="Times New Roman"/>
          <w:noProof/>
        </w:rPr>
        <w:t>Olle, M. and A. Viršile. 2013. The Effects of Light-Emitting Diode Lighting on Greenhouse Plant Growth and Quality.</w:t>
      </w:r>
      <w:r w:rsidRPr="007F77C5">
        <w:rPr>
          <w:rFonts w:cs="Times New Roman"/>
          <w:i/>
          <w:noProof/>
        </w:rPr>
        <w:t xml:space="preserve"> Agricultural and Food Science</w:t>
      </w:r>
      <w:r w:rsidRPr="007F77C5">
        <w:rPr>
          <w:rFonts w:cs="Times New Roman"/>
          <w:noProof/>
        </w:rPr>
        <w:t xml:space="preserve"> 22:223-234. doi:10.23986/afsci.7897</w:t>
      </w:r>
      <w:bookmarkEnd w:id="231"/>
    </w:p>
    <w:p w14:paraId="4AD8F0B1" w14:textId="77777777" w:rsidR="00126D8D" w:rsidRPr="007F77C5" w:rsidRDefault="00126D8D" w:rsidP="00224B41">
      <w:pPr>
        <w:ind w:left="720" w:hanging="720"/>
        <w:jc w:val="both"/>
        <w:rPr>
          <w:rFonts w:cs="Times New Roman"/>
          <w:noProof/>
        </w:rPr>
      </w:pPr>
      <w:bookmarkStart w:id="232" w:name="_ENREF_1_135"/>
      <w:r w:rsidRPr="007F77C5">
        <w:rPr>
          <w:rFonts w:cs="Times New Roman"/>
          <w:noProof/>
        </w:rPr>
        <w:t>Olson, J.A. 1999. Carotenoids and Human Health.</w:t>
      </w:r>
      <w:r w:rsidRPr="007F77C5">
        <w:rPr>
          <w:rFonts w:cs="Times New Roman"/>
          <w:i/>
          <w:noProof/>
        </w:rPr>
        <w:t xml:space="preserve"> Arch Latinoam Nutr</w:t>
      </w:r>
      <w:r w:rsidRPr="007F77C5">
        <w:rPr>
          <w:rFonts w:cs="Times New Roman"/>
          <w:noProof/>
        </w:rPr>
        <w:t xml:space="preserve"> 49:7S-11S. </w:t>
      </w:r>
      <w:bookmarkEnd w:id="232"/>
    </w:p>
    <w:p w14:paraId="7F9698D4" w14:textId="77777777" w:rsidR="00126D8D" w:rsidRPr="007F77C5" w:rsidRDefault="00126D8D" w:rsidP="00224B41">
      <w:pPr>
        <w:ind w:left="720" w:hanging="720"/>
        <w:jc w:val="both"/>
        <w:rPr>
          <w:rFonts w:cs="Times New Roman"/>
          <w:noProof/>
        </w:rPr>
      </w:pPr>
      <w:bookmarkStart w:id="233" w:name="_ENREF_1_136"/>
      <w:r w:rsidRPr="007F77C5">
        <w:rPr>
          <w:rFonts w:cs="Times New Roman"/>
          <w:noProof/>
        </w:rPr>
        <w:t>Ouzounis, T., E. Rosenqvist, and C.O. Ottosen. 2015. Spectral Effects of Artificial Light on Plant Physiology and Secondary Metabolism: A Review.</w:t>
      </w:r>
      <w:r w:rsidRPr="007F77C5">
        <w:rPr>
          <w:rFonts w:cs="Times New Roman"/>
          <w:i/>
          <w:noProof/>
        </w:rPr>
        <w:t xml:space="preserve"> HortScience</w:t>
      </w:r>
      <w:r w:rsidRPr="007F77C5">
        <w:rPr>
          <w:rFonts w:cs="Times New Roman"/>
          <w:noProof/>
        </w:rPr>
        <w:t xml:space="preserve"> 50:1128-1135. </w:t>
      </w:r>
      <w:bookmarkEnd w:id="233"/>
    </w:p>
    <w:p w14:paraId="4F71F7BF" w14:textId="77777777" w:rsidR="00126D8D" w:rsidRPr="007F77C5" w:rsidRDefault="00126D8D" w:rsidP="00224B41">
      <w:pPr>
        <w:ind w:left="720" w:hanging="720"/>
        <w:jc w:val="both"/>
        <w:rPr>
          <w:rFonts w:cs="Times New Roman"/>
          <w:noProof/>
        </w:rPr>
      </w:pPr>
      <w:bookmarkStart w:id="234" w:name="_ENREF_1_137"/>
      <w:r w:rsidRPr="007F77C5">
        <w:rPr>
          <w:rFonts w:cs="Times New Roman"/>
          <w:noProof/>
        </w:rPr>
        <w:lastRenderedPageBreak/>
        <w:t>Paradiso, R. and S. Proietti. 2021. Light-Quality Manipulation to Control Plant Growth and Photomorphogenesis in Greenhouse Horticulture: The State of the Art and the Opportunities of Modern LED Systems.</w:t>
      </w:r>
      <w:r w:rsidRPr="007F77C5">
        <w:rPr>
          <w:rFonts w:cs="Times New Roman"/>
          <w:i/>
          <w:noProof/>
        </w:rPr>
        <w:t xml:space="preserve"> Journal of Plant Growth Regulation</w:t>
      </w:r>
      <w:r w:rsidRPr="007F77C5">
        <w:rPr>
          <w:rFonts w:cs="Times New Roman"/>
          <w:noProof/>
        </w:rPr>
        <w:t xml:space="preserve"> 41:742-780. doi:10.1007/s00344-021-10337-y</w:t>
      </w:r>
      <w:bookmarkEnd w:id="234"/>
    </w:p>
    <w:p w14:paraId="623A489B" w14:textId="77777777" w:rsidR="00126D8D" w:rsidRPr="007F77C5" w:rsidRDefault="00126D8D" w:rsidP="00224B41">
      <w:pPr>
        <w:ind w:left="720" w:hanging="720"/>
        <w:jc w:val="both"/>
        <w:rPr>
          <w:rFonts w:cs="Times New Roman"/>
          <w:noProof/>
        </w:rPr>
      </w:pPr>
      <w:bookmarkStart w:id="235" w:name="_ENREF_1_138"/>
      <w:r w:rsidRPr="007F77C5">
        <w:rPr>
          <w:rFonts w:cs="Times New Roman"/>
          <w:noProof/>
        </w:rPr>
        <w:t>Pattison, P.M., J.Y. Tsao, G.C. Brainard, and B. Bugbee. 2018. LEDs for Photons, Physiology and Food.</w:t>
      </w:r>
      <w:r w:rsidRPr="007F77C5">
        <w:rPr>
          <w:rFonts w:cs="Times New Roman"/>
          <w:i/>
          <w:noProof/>
        </w:rPr>
        <w:t xml:space="preserve"> Nature</w:t>
      </w:r>
      <w:r w:rsidRPr="007F77C5">
        <w:rPr>
          <w:rFonts w:cs="Times New Roman"/>
          <w:noProof/>
        </w:rPr>
        <w:t xml:space="preserve"> 563:493-500. doi:10.1038/s41586-018-0706-x</w:t>
      </w:r>
      <w:bookmarkEnd w:id="235"/>
    </w:p>
    <w:p w14:paraId="71004390" w14:textId="77777777" w:rsidR="00126D8D" w:rsidRPr="007F77C5" w:rsidRDefault="00126D8D" w:rsidP="00224B41">
      <w:pPr>
        <w:ind w:left="720" w:hanging="720"/>
        <w:jc w:val="both"/>
        <w:rPr>
          <w:rFonts w:cs="Times New Roman"/>
          <w:noProof/>
        </w:rPr>
      </w:pPr>
      <w:bookmarkStart w:id="236" w:name="_ENREF_1_139"/>
      <w:r w:rsidRPr="007F77C5">
        <w:rPr>
          <w:rFonts w:cs="Times New Roman"/>
          <w:noProof/>
        </w:rPr>
        <w:t>Pazuki, A.A., F.; Pessarakli, Mohammad; Gurel, E.; Gurel, S. 2017. Plant Responses to Extended Photosynthetically Active Radiation (Epar).</w:t>
      </w:r>
      <w:r w:rsidRPr="007F77C5">
        <w:rPr>
          <w:rFonts w:cs="Times New Roman"/>
          <w:i/>
          <w:noProof/>
        </w:rPr>
        <w:t xml:space="preserve"> Advances in Plants &amp; Agriculture Research</w:t>
      </w:r>
      <w:r w:rsidRPr="007F77C5">
        <w:rPr>
          <w:rFonts w:cs="Times New Roman"/>
          <w:noProof/>
        </w:rPr>
        <w:t xml:space="preserve"> 7. doi:10.15406/apar.2017.07.00260</w:t>
      </w:r>
      <w:bookmarkEnd w:id="236"/>
    </w:p>
    <w:p w14:paraId="322CE2AD" w14:textId="77777777" w:rsidR="00126D8D" w:rsidRPr="007F77C5" w:rsidRDefault="00126D8D" w:rsidP="00224B41">
      <w:pPr>
        <w:ind w:left="720" w:hanging="720"/>
        <w:jc w:val="both"/>
        <w:rPr>
          <w:rFonts w:cs="Times New Roman"/>
          <w:noProof/>
        </w:rPr>
      </w:pPr>
      <w:bookmarkStart w:id="237" w:name="_ENREF_1_140"/>
      <w:r w:rsidRPr="007F77C5">
        <w:rPr>
          <w:rFonts w:cs="Times New Roman"/>
          <w:noProof/>
        </w:rPr>
        <w:t>Perera, C.O. and G.M. Yen. 2007. Functional Properties of Carotenoids in Human Health.</w:t>
      </w:r>
      <w:r w:rsidRPr="007F77C5">
        <w:rPr>
          <w:rFonts w:cs="Times New Roman"/>
          <w:i/>
          <w:noProof/>
        </w:rPr>
        <w:t xml:space="preserve"> International Journal of Food Properties</w:t>
      </w:r>
      <w:r w:rsidRPr="007F77C5">
        <w:rPr>
          <w:rFonts w:cs="Times New Roman"/>
          <w:noProof/>
        </w:rPr>
        <w:t xml:space="preserve"> 10:201-230. doi:10.1080/10942910601045271</w:t>
      </w:r>
      <w:bookmarkEnd w:id="237"/>
    </w:p>
    <w:p w14:paraId="7F00C7F5" w14:textId="77777777" w:rsidR="00126D8D" w:rsidRPr="007F77C5" w:rsidRDefault="00126D8D" w:rsidP="00224B41">
      <w:pPr>
        <w:ind w:left="720" w:hanging="720"/>
        <w:jc w:val="both"/>
        <w:rPr>
          <w:rFonts w:cs="Times New Roman"/>
          <w:noProof/>
        </w:rPr>
      </w:pPr>
      <w:bookmarkStart w:id="238" w:name="_ENREF_1_141"/>
      <w:r w:rsidRPr="007F77C5">
        <w:rPr>
          <w:rFonts w:cs="Times New Roman"/>
          <w:noProof/>
        </w:rPr>
        <w:t>Pimputkar, S., J.S. Speck, S.P. Denbaars, and S. Nakamura. 2009. Prospects for LED Lighting.</w:t>
      </w:r>
      <w:r w:rsidRPr="007F77C5">
        <w:rPr>
          <w:rFonts w:cs="Times New Roman"/>
          <w:i/>
          <w:noProof/>
        </w:rPr>
        <w:t xml:space="preserve"> Nature Photonics</w:t>
      </w:r>
      <w:r w:rsidRPr="007F77C5">
        <w:rPr>
          <w:rFonts w:cs="Times New Roman"/>
          <w:noProof/>
        </w:rPr>
        <w:t xml:space="preserve"> 3:180-182. doi:10.1038/nphoton.2009.32</w:t>
      </w:r>
      <w:bookmarkEnd w:id="238"/>
    </w:p>
    <w:p w14:paraId="5C03FC49" w14:textId="77777777" w:rsidR="00126D8D" w:rsidRPr="007F77C5" w:rsidRDefault="00126D8D" w:rsidP="00224B41">
      <w:pPr>
        <w:ind w:left="720" w:hanging="720"/>
        <w:jc w:val="both"/>
        <w:rPr>
          <w:rFonts w:cs="Times New Roman"/>
          <w:noProof/>
        </w:rPr>
      </w:pPr>
      <w:bookmarkStart w:id="239" w:name="_ENREF_1_142"/>
      <w:r w:rsidRPr="007F77C5">
        <w:rPr>
          <w:rFonts w:cs="Times New Roman"/>
          <w:noProof/>
        </w:rPr>
        <w:t>Piovene, C., F. Orsini, S. Bosi, R. Sanoubar, V. Bregola, G. Dinelli, and G. Gianquinto. 2015. Optimal Red:Blue Ratio in Led Lighting for Nutraceutical Indoor Horticulture.</w:t>
      </w:r>
      <w:r w:rsidRPr="007F77C5">
        <w:rPr>
          <w:rFonts w:cs="Times New Roman"/>
          <w:i/>
          <w:noProof/>
        </w:rPr>
        <w:t xml:space="preserve"> Scientia Horticulturae</w:t>
      </w:r>
      <w:r w:rsidRPr="007F77C5">
        <w:rPr>
          <w:rFonts w:cs="Times New Roman"/>
          <w:noProof/>
        </w:rPr>
        <w:t xml:space="preserve"> 193:202-208. doi:10.1016/j.scienta.2015.07.015</w:t>
      </w:r>
      <w:bookmarkEnd w:id="239"/>
    </w:p>
    <w:p w14:paraId="1FF26725" w14:textId="77777777" w:rsidR="00126D8D" w:rsidRPr="007F77C5" w:rsidRDefault="00126D8D" w:rsidP="00224B41">
      <w:pPr>
        <w:ind w:left="720" w:hanging="720"/>
        <w:jc w:val="both"/>
        <w:rPr>
          <w:rFonts w:cs="Times New Roman"/>
          <w:noProof/>
        </w:rPr>
      </w:pPr>
      <w:bookmarkStart w:id="240" w:name="_ENREF_1_143"/>
      <w:r w:rsidRPr="007F77C5">
        <w:rPr>
          <w:rFonts w:cs="Times New Roman"/>
          <w:noProof/>
        </w:rPr>
        <w:t>Poorter, H., U. Niinemets, N. Ntagkas, A. Siebenkas, M. Maenpaa, S. Matsubara, and T. Pons. 2019. A Meta-Analysis of Plant Responses to Light Intensity for 70 Traits Ranging from Molecules to Whole Plant Performance.</w:t>
      </w:r>
      <w:r w:rsidRPr="007F77C5">
        <w:rPr>
          <w:rFonts w:cs="Times New Roman"/>
          <w:i/>
          <w:noProof/>
        </w:rPr>
        <w:t xml:space="preserve"> New Phytol</w:t>
      </w:r>
      <w:r w:rsidRPr="007F77C5">
        <w:rPr>
          <w:rFonts w:cs="Times New Roman"/>
          <w:noProof/>
        </w:rPr>
        <w:t xml:space="preserve"> 223:1073-1105. doi:10.1111/nph.15754</w:t>
      </w:r>
      <w:bookmarkEnd w:id="240"/>
    </w:p>
    <w:p w14:paraId="316BBC20" w14:textId="77777777" w:rsidR="00126D8D" w:rsidRPr="007F77C5" w:rsidRDefault="00126D8D" w:rsidP="00224B41">
      <w:pPr>
        <w:ind w:left="720" w:hanging="720"/>
        <w:jc w:val="both"/>
        <w:rPr>
          <w:rFonts w:cs="Times New Roman"/>
          <w:noProof/>
        </w:rPr>
      </w:pPr>
      <w:bookmarkStart w:id="241" w:name="_ENREF_1_144"/>
      <w:r w:rsidRPr="007F77C5">
        <w:rPr>
          <w:rFonts w:cs="Times New Roman"/>
          <w:noProof/>
        </w:rPr>
        <w:t>Pourmortazavi, S.M. and S.S. Hajimirsadeghi. 2007. Supercritical Fluid Extraction in Plant Essential and Volatile Oil Analysis.</w:t>
      </w:r>
      <w:r w:rsidRPr="007F77C5">
        <w:rPr>
          <w:rFonts w:cs="Times New Roman"/>
          <w:i/>
          <w:noProof/>
        </w:rPr>
        <w:t xml:space="preserve"> J Chromatogr A</w:t>
      </w:r>
      <w:r w:rsidRPr="007F77C5">
        <w:rPr>
          <w:rFonts w:cs="Times New Roman"/>
          <w:noProof/>
        </w:rPr>
        <w:t xml:space="preserve"> 1163:2-24. doi:10.1016/j.chroma.2007.06.021</w:t>
      </w:r>
      <w:bookmarkEnd w:id="241"/>
    </w:p>
    <w:p w14:paraId="0D1CEE9F" w14:textId="77777777" w:rsidR="00126D8D" w:rsidRPr="007F77C5" w:rsidRDefault="00126D8D" w:rsidP="00224B41">
      <w:pPr>
        <w:ind w:left="720" w:hanging="720"/>
        <w:jc w:val="both"/>
        <w:rPr>
          <w:rFonts w:cs="Times New Roman"/>
          <w:noProof/>
        </w:rPr>
      </w:pPr>
      <w:bookmarkStart w:id="242" w:name="_ENREF_1_145"/>
      <w:r w:rsidRPr="007F77C5">
        <w:rPr>
          <w:rFonts w:cs="Times New Roman"/>
          <w:noProof/>
        </w:rPr>
        <w:lastRenderedPageBreak/>
        <w:t>Raimondi, G., F. Orsini, A. Maggio, S. De Pascale, and G. Barbieri. 2006. Yield and Quality of Hydroponically Grown Sweet Basil Cultivars.</w:t>
      </w:r>
      <w:r w:rsidRPr="007F77C5">
        <w:rPr>
          <w:rFonts w:cs="Times New Roman"/>
          <w:i/>
          <w:noProof/>
        </w:rPr>
        <w:t xml:space="preserve"> Acta Horticulturae</w:t>
      </w:r>
      <w:r w:rsidRPr="007F77C5">
        <w:rPr>
          <w:rFonts w:cs="Times New Roman"/>
          <w:noProof/>
        </w:rPr>
        <w:t>:357-360. doi:10.17660/ActaHortic.2006.723.48</w:t>
      </w:r>
      <w:bookmarkEnd w:id="242"/>
    </w:p>
    <w:p w14:paraId="29FAF8D2" w14:textId="77777777" w:rsidR="00126D8D" w:rsidRPr="007F77C5" w:rsidRDefault="00126D8D" w:rsidP="00224B41">
      <w:pPr>
        <w:ind w:left="720" w:hanging="720"/>
        <w:jc w:val="both"/>
        <w:rPr>
          <w:rFonts w:cs="Times New Roman"/>
          <w:noProof/>
        </w:rPr>
      </w:pPr>
      <w:bookmarkStart w:id="243" w:name="_ENREF_1_146"/>
      <w:r w:rsidRPr="007F77C5">
        <w:rPr>
          <w:rFonts w:cs="Times New Roman"/>
          <w:noProof/>
        </w:rPr>
        <w:t>Rajan, P., R.R. Lada, and M.T. Macdonald. 2019. Advancement in Indoor Vertical Farming for Microgreen Production.</w:t>
      </w:r>
      <w:r w:rsidRPr="007F77C5">
        <w:rPr>
          <w:rFonts w:cs="Times New Roman"/>
          <w:i/>
          <w:noProof/>
        </w:rPr>
        <w:t xml:space="preserve"> American Journal of Plant Sciences</w:t>
      </w:r>
      <w:r w:rsidRPr="007F77C5">
        <w:rPr>
          <w:rFonts w:cs="Times New Roman"/>
          <w:noProof/>
        </w:rPr>
        <w:t xml:space="preserve"> 10:12. doi:10.4236/ajps.2019.108100</w:t>
      </w:r>
      <w:bookmarkEnd w:id="243"/>
    </w:p>
    <w:p w14:paraId="1C284677" w14:textId="77777777" w:rsidR="00126D8D" w:rsidRPr="007F77C5" w:rsidRDefault="00126D8D" w:rsidP="00224B41">
      <w:pPr>
        <w:ind w:left="720" w:hanging="720"/>
        <w:jc w:val="both"/>
        <w:rPr>
          <w:rFonts w:cs="Times New Roman"/>
          <w:noProof/>
        </w:rPr>
      </w:pPr>
      <w:bookmarkStart w:id="244" w:name="_ENREF_1_147"/>
      <w:r w:rsidRPr="007F77C5">
        <w:rPr>
          <w:rFonts w:cs="Times New Roman"/>
          <w:noProof/>
        </w:rPr>
        <w:t>Ramin Shamshiri, R., F. Kalantari, K. C. Ting, K. R. Thorp, I. A. Hameed, C. Weltzien, D. Ahmad, and Z. Mojgan Shad. 2018. Advances in Greenhouse Automation and Controlled Environment Agriculture: A Transition to Plant Factories and Urban Agriculture.</w:t>
      </w:r>
      <w:r w:rsidRPr="007F77C5">
        <w:rPr>
          <w:rFonts w:cs="Times New Roman"/>
          <w:i/>
          <w:noProof/>
        </w:rPr>
        <w:t xml:space="preserve"> International Journal of Agricultural and Biological Engineering</w:t>
      </w:r>
      <w:r w:rsidRPr="007F77C5">
        <w:rPr>
          <w:rFonts w:cs="Times New Roman"/>
          <w:noProof/>
        </w:rPr>
        <w:t xml:space="preserve"> 11:1-22. doi:10.25165/j.ijabe.20181101.3210</w:t>
      </w:r>
      <w:bookmarkEnd w:id="244"/>
    </w:p>
    <w:p w14:paraId="50240338" w14:textId="77777777" w:rsidR="00126D8D" w:rsidRPr="007F77C5" w:rsidRDefault="00126D8D" w:rsidP="00224B41">
      <w:pPr>
        <w:ind w:left="720" w:hanging="720"/>
        <w:jc w:val="both"/>
        <w:rPr>
          <w:rFonts w:cs="Times New Roman"/>
          <w:noProof/>
        </w:rPr>
      </w:pPr>
      <w:bookmarkStart w:id="245" w:name="_ENREF_1_148"/>
      <w:r w:rsidRPr="007F77C5">
        <w:rPr>
          <w:rFonts w:cs="Times New Roman"/>
          <w:noProof/>
        </w:rPr>
        <w:t>Randall, W.C. and R.G. Lopez. 2014. Comparison of Supplemental Lighting from High-Pressure Sodium Lamps and Light-Emitting Diodes During Bedding Plant Seedling Production.</w:t>
      </w:r>
      <w:r w:rsidRPr="007F77C5">
        <w:rPr>
          <w:rFonts w:cs="Times New Roman"/>
          <w:i/>
          <w:noProof/>
        </w:rPr>
        <w:t xml:space="preserve"> HortScience</w:t>
      </w:r>
      <w:r w:rsidRPr="007F77C5">
        <w:rPr>
          <w:rFonts w:cs="Times New Roman"/>
          <w:noProof/>
        </w:rPr>
        <w:t xml:space="preserve"> 49:589-595. doi:10.21273/hortsci.49.5.589</w:t>
      </w:r>
      <w:bookmarkEnd w:id="245"/>
    </w:p>
    <w:p w14:paraId="109C59D5" w14:textId="77777777" w:rsidR="00126D8D" w:rsidRPr="007F77C5" w:rsidRDefault="00126D8D" w:rsidP="00224B41">
      <w:pPr>
        <w:ind w:left="720" w:hanging="720"/>
        <w:jc w:val="both"/>
        <w:rPr>
          <w:rFonts w:cs="Times New Roman"/>
          <w:noProof/>
        </w:rPr>
      </w:pPr>
      <w:bookmarkStart w:id="246" w:name="_ENREF_1_149"/>
      <w:r w:rsidRPr="007F77C5">
        <w:rPr>
          <w:rFonts w:cs="Times New Roman"/>
          <w:noProof/>
        </w:rPr>
        <w:t>Rao, A.V. and L.G. Rao. 2007. Carotenoids and Human Health.</w:t>
      </w:r>
      <w:r w:rsidRPr="007F77C5">
        <w:rPr>
          <w:rFonts w:cs="Times New Roman"/>
          <w:i/>
          <w:noProof/>
        </w:rPr>
        <w:t xml:space="preserve"> Pharmacol Res</w:t>
      </w:r>
      <w:r w:rsidRPr="007F77C5">
        <w:rPr>
          <w:rFonts w:cs="Times New Roman"/>
          <w:noProof/>
        </w:rPr>
        <w:t xml:space="preserve"> 55:207-216. doi:10.1016/j.phrs.2007.01.012</w:t>
      </w:r>
      <w:bookmarkEnd w:id="246"/>
    </w:p>
    <w:p w14:paraId="592EF5BA" w14:textId="77777777" w:rsidR="00126D8D" w:rsidRPr="007F77C5" w:rsidRDefault="00126D8D" w:rsidP="00224B41">
      <w:pPr>
        <w:ind w:left="720" w:hanging="720"/>
        <w:jc w:val="both"/>
        <w:rPr>
          <w:rFonts w:cs="Times New Roman"/>
          <w:noProof/>
        </w:rPr>
      </w:pPr>
      <w:bookmarkStart w:id="247" w:name="_ENREF_1_150"/>
      <w:r w:rsidRPr="007F77C5">
        <w:rPr>
          <w:rFonts w:cs="Times New Roman"/>
          <w:noProof/>
        </w:rPr>
        <w:t>Reverchon, E. and I. De Marco. 2006. Supercritical Fluid Extraction and Fractionation of Natural Matter.</w:t>
      </w:r>
      <w:r w:rsidRPr="007F77C5">
        <w:rPr>
          <w:rFonts w:cs="Times New Roman"/>
          <w:i/>
          <w:noProof/>
        </w:rPr>
        <w:t xml:space="preserve"> The Journal of Supercritical Fluids</w:t>
      </w:r>
      <w:r w:rsidRPr="007F77C5">
        <w:rPr>
          <w:rFonts w:cs="Times New Roman"/>
          <w:noProof/>
        </w:rPr>
        <w:t xml:space="preserve"> 38:146-166. doi:10.1016/j.supflu.2006.03.020</w:t>
      </w:r>
      <w:bookmarkEnd w:id="247"/>
    </w:p>
    <w:p w14:paraId="7995C6FE" w14:textId="77777777" w:rsidR="00126D8D" w:rsidRPr="007F77C5" w:rsidRDefault="00126D8D" w:rsidP="00224B41">
      <w:pPr>
        <w:ind w:left="720" w:hanging="720"/>
        <w:jc w:val="both"/>
        <w:rPr>
          <w:rFonts w:cs="Times New Roman"/>
          <w:noProof/>
        </w:rPr>
      </w:pPr>
      <w:bookmarkStart w:id="248" w:name="_ENREF_1_151"/>
      <w:r w:rsidRPr="007F77C5">
        <w:rPr>
          <w:rFonts w:cs="Times New Roman"/>
          <w:noProof/>
        </w:rPr>
        <w:t>Ritz, T., A. Damjanovic, K. Schulten, J.P. Zhang, and Y. Koyama. 2000. Efficient Light Harvesting through Carotenoids.</w:t>
      </w:r>
      <w:r w:rsidRPr="007F77C5">
        <w:rPr>
          <w:rFonts w:cs="Times New Roman"/>
          <w:i/>
          <w:noProof/>
        </w:rPr>
        <w:t xml:space="preserve"> Photosynth Res</w:t>
      </w:r>
      <w:r w:rsidRPr="007F77C5">
        <w:rPr>
          <w:rFonts w:cs="Times New Roman"/>
          <w:noProof/>
        </w:rPr>
        <w:t xml:space="preserve"> 66:125-144. doi:10.1023/A:1010750332320</w:t>
      </w:r>
      <w:bookmarkEnd w:id="248"/>
    </w:p>
    <w:p w14:paraId="02000A18" w14:textId="77777777" w:rsidR="00126D8D" w:rsidRPr="007F77C5" w:rsidRDefault="00126D8D" w:rsidP="00224B41">
      <w:pPr>
        <w:ind w:left="720" w:hanging="720"/>
        <w:jc w:val="both"/>
        <w:rPr>
          <w:rFonts w:cs="Times New Roman"/>
          <w:noProof/>
        </w:rPr>
      </w:pPr>
      <w:bookmarkStart w:id="249" w:name="_ENREF_1_152"/>
      <w:r w:rsidRPr="007F77C5">
        <w:rPr>
          <w:rFonts w:cs="Times New Roman"/>
          <w:noProof/>
        </w:rPr>
        <w:lastRenderedPageBreak/>
        <w:t>Runkle, E.S. and R.D. Heins. 2006. Manipulating the Light Environment to Control Flowering and Morphogenesis of Herbaceous Plants.</w:t>
      </w:r>
      <w:r w:rsidRPr="007F77C5">
        <w:rPr>
          <w:rFonts w:cs="Times New Roman"/>
          <w:i/>
          <w:noProof/>
        </w:rPr>
        <w:t xml:space="preserve"> Acta Horticulturae</w:t>
      </w:r>
      <w:r w:rsidRPr="007F77C5">
        <w:rPr>
          <w:rFonts w:cs="Times New Roman"/>
          <w:noProof/>
        </w:rPr>
        <w:t>:51-60. doi:10.17660/ActaHortic.2006.711.4</w:t>
      </w:r>
      <w:bookmarkEnd w:id="249"/>
    </w:p>
    <w:p w14:paraId="568FEC18" w14:textId="77777777" w:rsidR="00126D8D" w:rsidRPr="007F77C5" w:rsidRDefault="00126D8D" w:rsidP="00224B41">
      <w:pPr>
        <w:ind w:left="720" w:hanging="720"/>
        <w:jc w:val="both"/>
        <w:rPr>
          <w:rFonts w:cs="Times New Roman"/>
          <w:noProof/>
        </w:rPr>
      </w:pPr>
      <w:bookmarkStart w:id="250" w:name="_ENREF_1_153"/>
      <w:r w:rsidRPr="007F77C5">
        <w:rPr>
          <w:rFonts w:cs="Times New Roman"/>
          <w:noProof/>
        </w:rPr>
        <w:t>S Bendre, R. and J. D Rajput. 2016. Outlooks on Medicinal Properties of Eugenol and Its Synthetic Derivatives.</w:t>
      </w:r>
      <w:r w:rsidRPr="007F77C5">
        <w:rPr>
          <w:rFonts w:cs="Times New Roman"/>
          <w:i/>
          <w:noProof/>
        </w:rPr>
        <w:t xml:space="preserve"> Natural Products Chemistry &amp; Research</w:t>
      </w:r>
      <w:r w:rsidRPr="007F77C5">
        <w:rPr>
          <w:rFonts w:cs="Times New Roman"/>
          <w:noProof/>
        </w:rPr>
        <w:t xml:space="preserve"> 04. doi:10.4172/2329-6836.1000212</w:t>
      </w:r>
      <w:bookmarkEnd w:id="250"/>
    </w:p>
    <w:p w14:paraId="6A614975" w14:textId="77777777" w:rsidR="00126D8D" w:rsidRPr="007F77C5" w:rsidRDefault="00126D8D" w:rsidP="00224B41">
      <w:pPr>
        <w:ind w:left="720" w:hanging="720"/>
        <w:jc w:val="both"/>
        <w:rPr>
          <w:rFonts w:cs="Times New Roman"/>
          <w:noProof/>
        </w:rPr>
      </w:pPr>
      <w:bookmarkStart w:id="251" w:name="_ENREF_1_154"/>
      <w:r w:rsidRPr="007F77C5">
        <w:rPr>
          <w:rFonts w:cs="Times New Roman"/>
          <w:noProof/>
        </w:rPr>
        <w:t>Sakai, T., T. Kagawa, M. Kasahara, T.E. Swartz, J.M. Christie, W.R. Briggs, M. Wada, and K. Okada. 2001. Arabidopsis Nph1 and Npl1: Blue Light Receptors That Mediate Both Phototropism and Chloroplast Relocation.</w:t>
      </w:r>
      <w:r w:rsidRPr="007F77C5">
        <w:rPr>
          <w:rFonts w:cs="Times New Roman"/>
          <w:i/>
          <w:noProof/>
        </w:rPr>
        <w:t xml:space="preserve"> Proc Natl Acad Sci U S A</w:t>
      </w:r>
      <w:r w:rsidRPr="007F77C5">
        <w:rPr>
          <w:rFonts w:cs="Times New Roman"/>
          <w:noProof/>
        </w:rPr>
        <w:t xml:space="preserve"> 98:6969-6974. doi:10.1073/pnas.101137598</w:t>
      </w:r>
      <w:bookmarkEnd w:id="251"/>
    </w:p>
    <w:p w14:paraId="314BFE33" w14:textId="77777777" w:rsidR="00126D8D" w:rsidRPr="007F77C5" w:rsidRDefault="00126D8D" w:rsidP="00224B41">
      <w:pPr>
        <w:ind w:left="720" w:hanging="720"/>
        <w:jc w:val="both"/>
        <w:rPr>
          <w:rFonts w:cs="Times New Roman"/>
          <w:noProof/>
        </w:rPr>
      </w:pPr>
      <w:bookmarkStart w:id="252" w:name="_ENREF_1_155"/>
      <w:r w:rsidRPr="007F77C5">
        <w:rPr>
          <w:rFonts w:cs="Times New Roman"/>
          <w:noProof/>
        </w:rPr>
        <w:t>Sakshaug, E., A. Bricaud, Y. Dandonneau, P.G. Falkowski, D.A. Kiefer, L. Legendre, A. Morel, J. Parslow, and M. Takahashi. 1997. Parameters of Photosynthesis: Definitions, Theory and Interpretation of Results.</w:t>
      </w:r>
      <w:r w:rsidRPr="007F77C5">
        <w:rPr>
          <w:rFonts w:cs="Times New Roman"/>
          <w:i/>
          <w:noProof/>
        </w:rPr>
        <w:t xml:space="preserve"> Journal of Plankton Research</w:t>
      </w:r>
      <w:r w:rsidRPr="007F77C5">
        <w:rPr>
          <w:rFonts w:cs="Times New Roman"/>
          <w:noProof/>
        </w:rPr>
        <w:t xml:space="preserve"> 19:1637-1670. doi:10.1093/plankt/19.11.1637</w:t>
      </w:r>
      <w:bookmarkEnd w:id="252"/>
    </w:p>
    <w:p w14:paraId="4B63A532" w14:textId="77777777" w:rsidR="00126D8D" w:rsidRPr="007F77C5" w:rsidRDefault="00126D8D" w:rsidP="00224B41">
      <w:pPr>
        <w:ind w:left="720" w:hanging="720"/>
        <w:jc w:val="both"/>
        <w:rPr>
          <w:rFonts w:cs="Times New Roman"/>
          <w:noProof/>
        </w:rPr>
      </w:pPr>
      <w:bookmarkStart w:id="253" w:name="_ENREF_1_156"/>
      <w:r w:rsidRPr="007F77C5">
        <w:rPr>
          <w:rFonts w:cs="Times New Roman"/>
          <w:noProof/>
        </w:rPr>
        <w:t>Sams, C.E., D.R. Panthee, C.S. Charron, D.A. Kopsell, and J.S. Yuan. 2011. Selenium Regulates Gene Expression for Glucosinolate and Carotenoid Biosynthesis in Arabidopsis.</w:t>
      </w:r>
      <w:r w:rsidRPr="007F77C5">
        <w:rPr>
          <w:rFonts w:cs="Times New Roman"/>
          <w:i/>
          <w:noProof/>
        </w:rPr>
        <w:t xml:space="preserve"> Journal of the American Society for Horticultural Science</w:t>
      </w:r>
      <w:r w:rsidRPr="007F77C5">
        <w:rPr>
          <w:rFonts w:cs="Times New Roman"/>
          <w:noProof/>
        </w:rPr>
        <w:t xml:space="preserve"> 136:23-34. doi:10.21273/jashs.136.1.23</w:t>
      </w:r>
      <w:bookmarkEnd w:id="253"/>
    </w:p>
    <w:p w14:paraId="48C5519F" w14:textId="77777777" w:rsidR="00126D8D" w:rsidRPr="007F77C5" w:rsidRDefault="00126D8D" w:rsidP="00224B41">
      <w:pPr>
        <w:ind w:left="720" w:hanging="720"/>
        <w:jc w:val="both"/>
        <w:rPr>
          <w:rFonts w:cs="Times New Roman"/>
          <w:noProof/>
        </w:rPr>
      </w:pPr>
      <w:bookmarkStart w:id="254" w:name="_ENREF_1_157"/>
      <w:r w:rsidRPr="007F77C5">
        <w:rPr>
          <w:rFonts w:cs="Times New Roman"/>
          <w:noProof/>
        </w:rPr>
        <w:t>Samuoliene, G., A. Brazaityte, R. Sirtautas, A. Virsile, J. Sakalauskaite, S. Sakalauskiene, and P. Duchovskis. 2013. LED Illumination Affects Bioactive Compounds in Romaine Baby Leaf Lettuce.</w:t>
      </w:r>
      <w:r w:rsidRPr="007F77C5">
        <w:rPr>
          <w:rFonts w:cs="Times New Roman"/>
          <w:i/>
          <w:noProof/>
        </w:rPr>
        <w:t xml:space="preserve"> J Sci Food Agric</w:t>
      </w:r>
      <w:r w:rsidRPr="007F77C5">
        <w:rPr>
          <w:rFonts w:cs="Times New Roman"/>
          <w:noProof/>
        </w:rPr>
        <w:t xml:space="preserve"> 93:3286-3291. doi:10.1002/jsfa.6173</w:t>
      </w:r>
      <w:bookmarkEnd w:id="254"/>
    </w:p>
    <w:p w14:paraId="54D90E29" w14:textId="77777777" w:rsidR="00126D8D" w:rsidRPr="007F77C5" w:rsidRDefault="00126D8D" w:rsidP="00224B41">
      <w:pPr>
        <w:ind w:left="720" w:hanging="720"/>
        <w:jc w:val="both"/>
        <w:rPr>
          <w:rFonts w:cs="Times New Roman"/>
          <w:noProof/>
        </w:rPr>
      </w:pPr>
      <w:bookmarkStart w:id="255" w:name="_ENREF_1_158"/>
      <w:r w:rsidRPr="007F77C5">
        <w:rPr>
          <w:rFonts w:cs="Times New Roman"/>
          <w:noProof/>
        </w:rPr>
        <w:t>Samuoliene, G., R. Sirtautas, A. Brazaityte, and P. Duchovskis. 2012. LED Lighting and Seasonality Effects Antioxidant Properties of Baby Leaf Lettuce.</w:t>
      </w:r>
      <w:r w:rsidRPr="007F77C5">
        <w:rPr>
          <w:rFonts w:cs="Times New Roman"/>
          <w:i/>
          <w:noProof/>
        </w:rPr>
        <w:t xml:space="preserve"> Food Chem</w:t>
      </w:r>
      <w:r w:rsidRPr="007F77C5">
        <w:rPr>
          <w:rFonts w:cs="Times New Roman"/>
          <w:noProof/>
        </w:rPr>
        <w:t xml:space="preserve"> 134:1494-1499. doi:10.1016/j.foodchem.2012.03.061</w:t>
      </w:r>
      <w:bookmarkEnd w:id="255"/>
    </w:p>
    <w:p w14:paraId="26012D16" w14:textId="77777777" w:rsidR="00126D8D" w:rsidRPr="007F77C5" w:rsidRDefault="00126D8D" w:rsidP="00224B41">
      <w:pPr>
        <w:ind w:left="720" w:hanging="720"/>
        <w:jc w:val="both"/>
        <w:rPr>
          <w:rFonts w:cs="Times New Roman"/>
          <w:noProof/>
        </w:rPr>
      </w:pPr>
      <w:bookmarkStart w:id="256" w:name="_ENREF_1_159"/>
      <w:r w:rsidRPr="007F77C5">
        <w:rPr>
          <w:rFonts w:cs="Times New Roman"/>
          <w:noProof/>
        </w:rPr>
        <w:lastRenderedPageBreak/>
        <w:t>Santin, M., A. Ranieri, and A. Castagna. 2021. Anything New under the Sun? An Update on Modulation of Bioactive Compounds by Different Wavelengths in Agricultural Plants.</w:t>
      </w:r>
      <w:r w:rsidRPr="007F77C5">
        <w:rPr>
          <w:rFonts w:cs="Times New Roman"/>
          <w:i/>
          <w:noProof/>
        </w:rPr>
        <w:t xml:space="preserve"> Plants (Basel)</w:t>
      </w:r>
      <w:r w:rsidRPr="007F77C5">
        <w:rPr>
          <w:rFonts w:cs="Times New Roman"/>
          <w:noProof/>
        </w:rPr>
        <w:t xml:space="preserve"> 10. doi:10.3390/plants10071485</w:t>
      </w:r>
      <w:bookmarkEnd w:id="256"/>
    </w:p>
    <w:p w14:paraId="162B77F1" w14:textId="77777777" w:rsidR="00126D8D" w:rsidRPr="007F77C5" w:rsidRDefault="00126D8D" w:rsidP="00224B41">
      <w:pPr>
        <w:ind w:left="720" w:hanging="720"/>
        <w:jc w:val="both"/>
        <w:rPr>
          <w:rFonts w:cs="Times New Roman"/>
          <w:noProof/>
        </w:rPr>
      </w:pPr>
      <w:bookmarkStart w:id="257" w:name="_ENREF_1_160"/>
      <w:r w:rsidRPr="007F77C5">
        <w:rPr>
          <w:rFonts w:cs="Times New Roman"/>
          <w:noProof/>
        </w:rPr>
        <w:t>Schmitt, J. and R.D. Wulff. 1993. Light Spectral Quality, Phytochrome and Plant Competition.</w:t>
      </w:r>
      <w:r w:rsidRPr="007F77C5">
        <w:rPr>
          <w:rFonts w:cs="Times New Roman"/>
          <w:i/>
          <w:noProof/>
        </w:rPr>
        <w:t xml:space="preserve"> Trends Ecol Evol</w:t>
      </w:r>
      <w:r w:rsidRPr="007F77C5">
        <w:rPr>
          <w:rFonts w:cs="Times New Roman"/>
          <w:noProof/>
        </w:rPr>
        <w:t xml:space="preserve"> 8:47-51. doi:10.1016/0169-5347(93)90157-K</w:t>
      </w:r>
      <w:bookmarkEnd w:id="257"/>
    </w:p>
    <w:p w14:paraId="1CA50EF4" w14:textId="77777777" w:rsidR="00126D8D" w:rsidRPr="007F77C5" w:rsidRDefault="00126D8D" w:rsidP="00224B41">
      <w:pPr>
        <w:ind w:left="720" w:hanging="720"/>
        <w:jc w:val="both"/>
        <w:rPr>
          <w:rFonts w:cs="Times New Roman"/>
          <w:noProof/>
        </w:rPr>
      </w:pPr>
      <w:bookmarkStart w:id="258" w:name="_ENREF_1_161"/>
      <w:r w:rsidRPr="007F77C5">
        <w:rPr>
          <w:rFonts w:cs="Times New Roman"/>
          <w:noProof/>
        </w:rPr>
        <w:t>Seeburger, P., A. Herdenstam, P. Kurtser, A. Arunachalam, V.C. Castro-Alves, T. Hyotylainen, and H. Andreasson. 2023. Controlled Mechanical Stimuli Reveal Novel Associations between Basil Metabolism and Sensory Quality.</w:t>
      </w:r>
      <w:r w:rsidRPr="007F77C5">
        <w:rPr>
          <w:rFonts w:cs="Times New Roman"/>
          <w:i/>
          <w:noProof/>
        </w:rPr>
        <w:t xml:space="preserve"> Food Chem</w:t>
      </w:r>
      <w:r w:rsidRPr="007F77C5">
        <w:rPr>
          <w:rFonts w:cs="Times New Roman"/>
          <w:noProof/>
        </w:rPr>
        <w:t xml:space="preserve"> 404:134545. doi:10.1016/j.foodchem.2022.134545</w:t>
      </w:r>
      <w:bookmarkEnd w:id="258"/>
    </w:p>
    <w:p w14:paraId="033B552D" w14:textId="77777777" w:rsidR="00126D8D" w:rsidRPr="007F77C5" w:rsidRDefault="00126D8D" w:rsidP="00224B41">
      <w:pPr>
        <w:ind w:left="720" w:hanging="720"/>
        <w:jc w:val="both"/>
        <w:rPr>
          <w:rFonts w:cs="Times New Roman"/>
          <w:noProof/>
        </w:rPr>
      </w:pPr>
      <w:bookmarkStart w:id="259" w:name="_ENREF_1_162"/>
      <w:r w:rsidRPr="007F77C5">
        <w:rPr>
          <w:rFonts w:cs="Times New Roman"/>
          <w:noProof/>
        </w:rPr>
        <w:t>Selli, S., H. Kelebek, M.T. Ayseli, and H. Tokbas. 2014. Characterization of the Most Aroma-Active Compounds in Cherry Tomato by Application of the Aroma Extract Dilution Analysis.</w:t>
      </w:r>
      <w:r w:rsidRPr="007F77C5">
        <w:rPr>
          <w:rFonts w:cs="Times New Roman"/>
          <w:i/>
          <w:noProof/>
        </w:rPr>
        <w:t xml:space="preserve"> Food Chem</w:t>
      </w:r>
      <w:r w:rsidRPr="007F77C5">
        <w:rPr>
          <w:rFonts w:cs="Times New Roman"/>
          <w:noProof/>
        </w:rPr>
        <w:t xml:space="preserve"> 165:540-546. doi:10.1016/j.foodchem.2014.05.147</w:t>
      </w:r>
      <w:bookmarkEnd w:id="259"/>
    </w:p>
    <w:p w14:paraId="163F4B1C" w14:textId="77777777" w:rsidR="00126D8D" w:rsidRPr="007F77C5" w:rsidRDefault="00126D8D" w:rsidP="00224B41">
      <w:pPr>
        <w:ind w:left="720" w:hanging="720"/>
        <w:jc w:val="both"/>
        <w:rPr>
          <w:rFonts w:cs="Times New Roman"/>
          <w:noProof/>
        </w:rPr>
      </w:pPr>
      <w:bookmarkStart w:id="260" w:name="_ENREF_1_163"/>
      <w:r w:rsidRPr="007F77C5">
        <w:rPr>
          <w:rFonts w:cs="Times New Roman"/>
          <w:noProof/>
        </w:rPr>
        <w:t>Shanmugam, K., J. Gimbun, B. Ranganathan, P. Suganthi, R.P. Srinivasan, and B. Purushothaman. 2018. A Comprehensive Review on Ocimum Basilicum.</w:t>
      </w:r>
      <w:r w:rsidRPr="007F77C5">
        <w:rPr>
          <w:rFonts w:cs="Times New Roman"/>
          <w:i/>
          <w:noProof/>
        </w:rPr>
        <w:t xml:space="preserve"> Journal of Natural Remedies</w:t>
      </w:r>
      <w:r w:rsidRPr="007F77C5">
        <w:rPr>
          <w:rFonts w:cs="Times New Roman"/>
          <w:noProof/>
        </w:rPr>
        <w:t xml:space="preserve"> 18:71-85. doi:10.18311/jnr/2018/21324</w:t>
      </w:r>
      <w:bookmarkEnd w:id="260"/>
    </w:p>
    <w:p w14:paraId="153127A6" w14:textId="77777777" w:rsidR="00126D8D" w:rsidRPr="007F77C5" w:rsidRDefault="00126D8D" w:rsidP="00224B41">
      <w:pPr>
        <w:ind w:left="720" w:hanging="720"/>
        <w:jc w:val="both"/>
        <w:rPr>
          <w:rFonts w:cs="Times New Roman"/>
          <w:noProof/>
        </w:rPr>
      </w:pPr>
      <w:bookmarkStart w:id="261" w:name="_ENREF_1_164"/>
      <w:r w:rsidRPr="007F77C5">
        <w:rPr>
          <w:rFonts w:cs="Times New Roman"/>
          <w:noProof/>
        </w:rPr>
        <w:t>Sharathkumar, M., E. Heuvelink, and L.F.M. Marcelis. 2020. Vertical Farming: Moving from Genetic to Environmental Modification.</w:t>
      </w:r>
      <w:r w:rsidRPr="007F77C5">
        <w:rPr>
          <w:rFonts w:cs="Times New Roman"/>
          <w:i/>
          <w:noProof/>
        </w:rPr>
        <w:t xml:space="preserve"> Trends Plant Sci</w:t>
      </w:r>
      <w:r w:rsidRPr="007F77C5">
        <w:rPr>
          <w:rFonts w:cs="Times New Roman"/>
          <w:noProof/>
        </w:rPr>
        <w:t xml:space="preserve"> 25:724-727. doi:10.1016/j.tplants.2020.05.012</w:t>
      </w:r>
      <w:bookmarkEnd w:id="261"/>
    </w:p>
    <w:p w14:paraId="19CAD7CF" w14:textId="77777777" w:rsidR="00126D8D" w:rsidRPr="007F77C5" w:rsidRDefault="00126D8D" w:rsidP="00224B41">
      <w:pPr>
        <w:ind w:left="720" w:hanging="720"/>
        <w:jc w:val="both"/>
        <w:rPr>
          <w:rFonts w:cs="Times New Roman"/>
          <w:noProof/>
        </w:rPr>
      </w:pPr>
      <w:bookmarkStart w:id="262" w:name="_ENREF_1_165"/>
      <w:r w:rsidRPr="007F77C5">
        <w:rPr>
          <w:rFonts w:cs="Times New Roman"/>
          <w:noProof/>
        </w:rPr>
        <w:t>Shelford, T.J. and A.-J. Both. 2021. On the Technical Performance Characteristics of Horticultural Lamps.</w:t>
      </w:r>
      <w:r w:rsidRPr="007F77C5">
        <w:rPr>
          <w:rFonts w:cs="Times New Roman"/>
          <w:i/>
          <w:noProof/>
        </w:rPr>
        <w:t xml:space="preserve"> Agriengineering</w:t>
      </w:r>
      <w:r w:rsidRPr="007F77C5">
        <w:rPr>
          <w:rFonts w:cs="Times New Roman"/>
          <w:noProof/>
        </w:rPr>
        <w:t xml:space="preserve"> 3:716-727. doi:10.3390/agrieengineering3040046</w:t>
      </w:r>
      <w:bookmarkEnd w:id="262"/>
    </w:p>
    <w:p w14:paraId="15C5E523" w14:textId="77777777" w:rsidR="00126D8D" w:rsidRPr="007F77C5" w:rsidRDefault="00126D8D" w:rsidP="00224B41">
      <w:pPr>
        <w:ind w:left="720" w:hanging="720"/>
        <w:jc w:val="both"/>
        <w:rPr>
          <w:rFonts w:cs="Times New Roman"/>
          <w:noProof/>
        </w:rPr>
      </w:pPr>
      <w:bookmarkStart w:id="263" w:name="_ENREF_1_166"/>
      <w:r w:rsidRPr="007F77C5">
        <w:rPr>
          <w:rFonts w:cs="Times New Roman"/>
          <w:noProof/>
        </w:rPr>
        <w:t>Shumskaya, M. and E.T. Wurtzel. 2013. The Carotenoid Biosynthetic Pathway: Thinking in All Dimensions.</w:t>
      </w:r>
      <w:r w:rsidRPr="007F77C5">
        <w:rPr>
          <w:rFonts w:cs="Times New Roman"/>
          <w:i/>
          <w:noProof/>
        </w:rPr>
        <w:t xml:space="preserve"> Plant Science</w:t>
      </w:r>
      <w:r w:rsidRPr="007F77C5">
        <w:rPr>
          <w:rFonts w:cs="Times New Roman"/>
          <w:noProof/>
        </w:rPr>
        <w:t xml:space="preserve"> 208:58-63. doi:10.1016/j.plantsci.2013.03.012</w:t>
      </w:r>
      <w:bookmarkEnd w:id="263"/>
    </w:p>
    <w:p w14:paraId="63F42762" w14:textId="77777777" w:rsidR="00126D8D" w:rsidRPr="007F77C5" w:rsidRDefault="00126D8D" w:rsidP="00224B41">
      <w:pPr>
        <w:ind w:left="720" w:hanging="720"/>
        <w:jc w:val="both"/>
        <w:rPr>
          <w:rFonts w:cs="Times New Roman"/>
          <w:noProof/>
        </w:rPr>
      </w:pPr>
      <w:bookmarkStart w:id="264" w:name="_ENREF_1_167"/>
      <w:r w:rsidRPr="007F77C5">
        <w:rPr>
          <w:rFonts w:cs="Times New Roman"/>
          <w:noProof/>
        </w:rPr>
        <w:lastRenderedPageBreak/>
        <w:t>Singh, D., C. Basu, M. Meinhardt-Wollweber, and B. Roth. 2015. LEDs for Energy Efficient Greenhouse Lighting.</w:t>
      </w:r>
      <w:r w:rsidRPr="007F77C5">
        <w:rPr>
          <w:rFonts w:cs="Times New Roman"/>
          <w:i/>
          <w:noProof/>
        </w:rPr>
        <w:t xml:space="preserve"> Renewable and Sustainable Energy Reviews</w:t>
      </w:r>
      <w:r w:rsidRPr="007F77C5">
        <w:rPr>
          <w:rFonts w:cs="Times New Roman"/>
          <w:noProof/>
        </w:rPr>
        <w:t xml:space="preserve"> 49:139-147. doi:10.1016/j.rser.2015.04.117</w:t>
      </w:r>
      <w:bookmarkEnd w:id="264"/>
    </w:p>
    <w:p w14:paraId="2897D93B" w14:textId="77777777" w:rsidR="00126D8D" w:rsidRPr="007F77C5" w:rsidRDefault="00126D8D" w:rsidP="00224B41">
      <w:pPr>
        <w:ind w:left="720" w:hanging="720"/>
        <w:jc w:val="both"/>
        <w:rPr>
          <w:rFonts w:cs="Times New Roman"/>
          <w:noProof/>
        </w:rPr>
      </w:pPr>
      <w:bookmarkStart w:id="265" w:name="_ENREF_1_168"/>
      <w:r w:rsidRPr="007F77C5">
        <w:rPr>
          <w:rFonts w:cs="Times New Roman"/>
          <w:noProof/>
        </w:rPr>
        <w:t>Sipos, L., L. Balázs, G. Székely, A. Jung, S. Sárosi, P. Radácsi, and L. Csambalik. 2021. Optimization of Basil (</w:t>
      </w:r>
      <w:r w:rsidRPr="007F77C5">
        <w:rPr>
          <w:rFonts w:cs="Times New Roman"/>
          <w:i/>
          <w:noProof/>
        </w:rPr>
        <w:t>Ocimum Basilicum</w:t>
      </w:r>
      <w:r w:rsidRPr="007F77C5">
        <w:rPr>
          <w:rFonts w:cs="Times New Roman"/>
          <w:noProof/>
        </w:rPr>
        <w:t xml:space="preserve"> L.) Production in LED Light Environments – a Review.</w:t>
      </w:r>
      <w:r w:rsidRPr="007F77C5">
        <w:rPr>
          <w:rFonts w:cs="Times New Roman"/>
          <w:i/>
          <w:noProof/>
        </w:rPr>
        <w:t xml:space="preserve"> Scientia Horticulturae</w:t>
      </w:r>
      <w:r w:rsidRPr="007F77C5">
        <w:rPr>
          <w:rFonts w:cs="Times New Roman"/>
          <w:noProof/>
        </w:rPr>
        <w:t xml:space="preserve"> 289. doi:10.1016/j.scienta.2021.110486</w:t>
      </w:r>
      <w:bookmarkEnd w:id="265"/>
    </w:p>
    <w:p w14:paraId="64758539" w14:textId="77777777" w:rsidR="00126D8D" w:rsidRPr="007F77C5" w:rsidRDefault="00126D8D" w:rsidP="00224B41">
      <w:pPr>
        <w:ind w:left="720" w:hanging="720"/>
        <w:jc w:val="both"/>
        <w:rPr>
          <w:rFonts w:cs="Times New Roman"/>
          <w:noProof/>
        </w:rPr>
      </w:pPr>
      <w:bookmarkStart w:id="266" w:name="_ENREF_1_169"/>
      <w:r w:rsidRPr="007F77C5">
        <w:rPr>
          <w:rFonts w:cs="Times New Roman"/>
          <w:noProof/>
        </w:rPr>
        <w:t>Sipos, L., I.F. Boros, L. Csambalik, G. Székely, A. Jung, and L. Balázs. 2020. Horticultural Lighting System Optimalization: A Review.</w:t>
      </w:r>
      <w:r w:rsidRPr="007F77C5">
        <w:rPr>
          <w:rFonts w:cs="Times New Roman"/>
          <w:i/>
          <w:noProof/>
        </w:rPr>
        <w:t xml:space="preserve"> Scientia Horticulturae</w:t>
      </w:r>
      <w:r w:rsidRPr="007F77C5">
        <w:rPr>
          <w:rFonts w:cs="Times New Roman"/>
          <w:noProof/>
        </w:rPr>
        <w:t xml:space="preserve"> 273. doi:10.1016/j.scienta.2020.109631</w:t>
      </w:r>
      <w:bookmarkEnd w:id="266"/>
    </w:p>
    <w:p w14:paraId="0B84BEEA" w14:textId="77777777" w:rsidR="00126D8D" w:rsidRPr="007F77C5" w:rsidRDefault="00126D8D" w:rsidP="00224B41">
      <w:pPr>
        <w:ind w:left="720" w:hanging="720"/>
        <w:jc w:val="both"/>
        <w:rPr>
          <w:rFonts w:cs="Times New Roman"/>
          <w:noProof/>
        </w:rPr>
      </w:pPr>
      <w:bookmarkStart w:id="267" w:name="_ENREF_1_170"/>
      <w:r w:rsidRPr="007F77C5">
        <w:rPr>
          <w:rFonts w:cs="Times New Roman"/>
          <w:noProof/>
        </w:rPr>
        <w:t>Smith, H. 1982. Light Quality, Photoperception, and Plant Strategy.</w:t>
      </w:r>
      <w:r w:rsidRPr="007F77C5">
        <w:rPr>
          <w:rFonts w:cs="Times New Roman"/>
          <w:i/>
          <w:noProof/>
        </w:rPr>
        <w:t xml:space="preserve"> Annual Review of Plant Physiology</w:t>
      </w:r>
      <w:r w:rsidRPr="007F77C5">
        <w:rPr>
          <w:rFonts w:cs="Times New Roman"/>
          <w:noProof/>
        </w:rPr>
        <w:t xml:space="preserve"> 33:481-518. doi:10.1146/annurev.pp.33.060182.002405</w:t>
      </w:r>
      <w:bookmarkEnd w:id="267"/>
    </w:p>
    <w:p w14:paraId="7E9CDD5D" w14:textId="77777777" w:rsidR="00126D8D" w:rsidRPr="007F77C5" w:rsidRDefault="00126D8D" w:rsidP="00224B41">
      <w:pPr>
        <w:ind w:left="720" w:hanging="720"/>
        <w:jc w:val="both"/>
        <w:rPr>
          <w:rFonts w:cs="Times New Roman"/>
          <w:noProof/>
        </w:rPr>
      </w:pPr>
      <w:bookmarkStart w:id="268" w:name="_ENREF_1_171"/>
      <w:r w:rsidRPr="007F77C5">
        <w:rPr>
          <w:rFonts w:cs="Times New Roman"/>
          <w:noProof/>
        </w:rPr>
        <w:t>Somssich, M. 2022. The Dawn of Plant Molecular Biology: How Three Key Methodologies Paved the Way.</w:t>
      </w:r>
      <w:r w:rsidRPr="007F77C5">
        <w:rPr>
          <w:rFonts w:cs="Times New Roman"/>
          <w:i/>
          <w:noProof/>
        </w:rPr>
        <w:t xml:space="preserve"> Curr Protoc</w:t>
      </w:r>
      <w:r w:rsidRPr="007F77C5">
        <w:rPr>
          <w:rFonts w:cs="Times New Roman"/>
          <w:noProof/>
        </w:rPr>
        <w:t xml:space="preserve"> 2:e417. doi:10.1002/cpz1.417</w:t>
      </w:r>
      <w:bookmarkEnd w:id="268"/>
    </w:p>
    <w:p w14:paraId="62E52820" w14:textId="77777777" w:rsidR="00126D8D" w:rsidRPr="007F77C5" w:rsidRDefault="00126D8D" w:rsidP="00224B41">
      <w:pPr>
        <w:ind w:left="720" w:hanging="720"/>
        <w:jc w:val="both"/>
        <w:rPr>
          <w:rFonts w:cs="Times New Roman"/>
          <w:noProof/>
        </w:rPr>
      </w:pPr>
      <w:bookmarkStart w:id="269" w:name="_ENREF_1_172"/>
      <w:r w:rsidRPr="007F77C5">
        <w:rPr>
          <w:rFonts w:cs="Times New Roman"/>
          <w:noProof/>
        </w:rPr>
        <w:t xml:space="preserve">Soran, M.L., S.C. Cobzac, C. Varodi, I. Lung, E. Surducan, and V. Surducan. 2009. The Extraction and Chromatographic Determination of the Essentials Oils from </w:t>
      </w:r>
      <w:r w:rsidRPr="007F77C5">
        <w:rPr>
          <w:rFonts w:cs="Times New Roman"/>
          <w:i/>
          <w:noProof/>
        </w:rPr>
        <w:t>Ocimum Basilicum</w:t>
      </w:r>
      <w:r w:rsidRPr="007F77C5">
        <w:rPr>
          <w:rFonts w:cs="Times New Roman"/>
          <w:noProof/>
        </w:rPr>
        <w:t xml:space="preserve"> L. By Different Techniques.</w:t>
      </w:r>
      <w:r w:rsidRPr="007F77C5">
        <w:rPr>
          <w:rFonts w:cs="Times New Roman"/>
          <w:i/>
          <w:noProof/>
        </w:rPr>
        <w:t xml:space="preserve"> Journal of Physics: Conference Series</w:t>
      </w:r>
      <w:r w:rsidRPr="007F77C5">
        <w:rPr>
          <w:rFonts w:cs="Times New Roman"/>
          <w:noProof/>
        </w:rPr>
        <w:t xml:space="preserve"> 182:012016. doi:10.1088/1742-6596/182/1/012016</w:t>
      </w:r>
      <w:bookmarkEnd w:id="269"/>
    </w:p>
    <w:p w14:paraId="0C4150D5" w14:textId="77777777" w:rsidR="00126D8D" w:rsidRPr="007F77C5" w:rsidRDefault="00126D8D" w:rsidP="00224B41">
      <w:pPr>
        <w:ind w:left="720" w:hanging="720"/>
        <w:jc w:val="both"/>
        <w:rPr>
          <w:rFonts w:cs="Times New Roman"/>
          <w:noProof/>
        </w:rPr>
      </w:pPr>
      <w:bookmarkStart w:id="270" w:name="_ENREF_1_173"/>
      <w:r w:rsidRPr="007F77C5">
        <w:rPr>
          <w:rFonts w:cs="Times New Roman"/>
          <w:noProof/>
        </w:rPr>
        <w:t>Spalholz, H., P. Perkins-Veazie, and R. Hernández. 2020. Impact of Sun-Simulated White Light and Varied Blue:Red Spectrums on the Growth, Morphology, Development, and Phytochemical Content of Green- and Red-Leaf Lettuce at Different Growth Stages.</w:t>
      </w:r>
      <w:r w:rsidRPr="007F77C5">
        <w:rPr>
          <w:rFonts w:cs="Times New Roman"/>
          <w:i/>
          <w:noProof/>
        </w:rPr>
        <w:t xml:space="preserve"> Scientia Horticulturae</w:t>
      </w:r>
      <w:r w:rsidRPr="007F77C5">
        <w:rPr>
          <w:rFonts w:cs="Times New Roman"/>
          <w:noProof/>
        </w:rPr>
        <w:t xml:space="preserve"> 264. doi:10.1016/j.scienta.2020.109195</w:t>
      </w:r>
      <w:bookmarkEnd w:id="270"/>
    </w:p>
    <w:p w14:paraId="40C6C2DC" w14:textId="77777777" w:rsidR="00126D8D" w:rsidRPr="007F77C5" w:rsidRDefault="00126D8D" w:rsidP="00224B41">
      <w:pPr>
        <w:ind w:left="720" w:hanging="720"/>
        <w:jc w:val="both"/>
        <w:rPr>
          <w:rFonts w:cs="Times New Roman"/>
          <w:noProof/>
        </w:rPr>
      </w:pPr>
      <w:bookmarkStart w:id="271" w:name="_ENREF_1_174"/>
      <w:r w:rsidRPr="007F77C5">
        <w:rPr>
          <w:rFonts w:cs="Times New Roman"/>
          <w:noProof/>
        </w:rPr>
        <w:t xml:space="preserve">Stagnari, F., C. Di Mattia, A. Galieni, V. Santarelli, S. D'egidio, G. Pagnani, and M. Pisante. 2018. Light Quantity and Quality Supplies Sharply Affect Growth, Morphological, Physiological </w:t>
      </w:r>
      <w:r w:rsidRPr="007F77C5">
        <w:rPr>
          <w:rFonts w:cs="Times New Roman"/>
          <w:noProof/>
        </w:rPr>
        <w:lastRenderedPageBreak/>
        <w:t>and Quality Traits of Basil.</w:t>
      </w:r>
      <w:r w:rsidRPr="007F77C5">
        <w:rPr>
          <w:rFonts w:cs="Times New Roman"/>
          <w:i/>
          <w:noProof/>
        </w:rPr>
        <w:t xml:space="preserve"> Industrial Crops and Products</w:t>
      </w:r>
      <w:r w:rsidRPr="007F77C5">
        <w:rPr>
          <w:rFonts w:cs="Times New Roman"/>
          <w:noProof/>
        </w:rPr>
        <w:t xml:space="preserve"> 122:277-289. doi:10.1016/j.indcrop.2018.05.073</w:t>
      </w:r>
      <w:bookmarkEnd w:id="271"/>
    </w:p>
    <w:p w14:paraId="242E56B4" w14:textId="77777777" w:rsidR="00126D8D" w:rsidRPr="007F77C5" w:rsidRDefault="00126D8D" w:rsidP="00224B41">
      <w:pPr>
        <w:ind w:left="720" w:hanging="720"/>
        <w:jc w:val="both"/>
        <w:rPr>
          <w:rFonts w:cs="Times New Roman"/>
          <w:noProof/>
        </w:rPr>
      </w:pPr>
      <w:bookmarkStart w:id="272" w:name="_ENREF_1_175"/>
      <w:r w:rsidRPr="007F77C5">
        <w:rPr>
          <w:rFonts w:cs="Times New Roman"/>
          <w:noProof/>
        </w:rPr>
        <w:t>Sun, T., H. Yuan, H. Cao, M. Yazdani, Y. Tadmor, and L. Li. 2018. Carotenoid Metabolism in Plants: The Role of Plastids.</w:t>
      </w:r>
      <w:r w:rsidRPr="007F77C5">
        <w:rPr>
          <w:rFonts w:cs="Times New Roman"/>
          <w:i/>
          <w:noProof/>
        </w:rPr>
        <w:t xml:space="preserve"> Mol Plant</w:t>
      </w:r>
      <w:r w:rsidRPr="007F77C5">
        <w:rPr>
          <w:rFonts w:cs="Times New Roman"/>
          <w:noProof/>
        </w:rPr>
        <w:t xml:space="preserve"> 11:58-74. doi:10.1016/j.molp.2017.09.010</w:t>
      </w:r>
      <w:bookmarkEnd w:id="272"/>
    </w:p>
    <w:p w14:paraId="20C0F6A2" w14:textId="77777777" w:rsidR="00126D8D" w:rsidRPr="007F77C5" w:rsidRDefault="00126D8D" w:rsidP="00224B41">
      <w:pPr>
        <w:ind w:left="720" w:hanging="720"/>
        <w:jc w:val="both"/>
        <w:rPr>
          <w:rFonts w:cs="Times New Roman"/>
          <w:noProof/>
        </w:rPr>
      </w:pPr>
      <w:bookmarkStart w:id="273" w:name="_ENREF_1_176"/>
      <w:r w:rsidRPr="007F77C5">
        <w:rPr>
          <w:rFonts w:cs="Times New Roman"/>
          <w:noProof/>
        </w:rPr>
        <w:t>Taiz, L., E. Zeiger, I.M. Møller, and A. Murphy. 2015. Plant Physiology and Development. Sixth ed. Sinauer Associates, Inc.</w:t>
      </w:r>
      <w:bookmarkEnd w:id="273"/>
    </w:p>
    <w:p w14:paraId="25C26405" w14:textId="77777777" w:rsidR="00126D8D" w:rsidRPr="007F77C5" w:rsidRDefault="00126D8D" w:rsidP="00224B41">
      <w:pPr>
        <w:ind w:left="720" w:hanging="720"/>
        <w:jc w:val="both"/>
        <w:rPr>
          <w:rFonts w:cs="Times New Roman"/>
          <w:noProof/>
        </w:rPr>
      </w:pPr>
      <w:bookmarkStart w:id="274" w:name="_ENREF_1_177"/>
      <w:r w:rsidRPr="007F77C5">
        <w:rPr>
          <w:rFonts w:cs="Times New Roman"/>
          <w:noProof/>
        </w:rPr>
        <w:t>Taiz, L.Z., E. 2010. Plant Physiology, Fifth Edition.</w:t>
      </w:r>
      <w:bookmarkEnd w:id="274"/>
    </w:p>
    <w:p w14:paraId="2D83CC04" w14:textId="77777777" w:rsidR="00126D8D" w:rsidRPr="007F77C5" w:rsidRDefault="00126D8D" w:rsidP="00224B41">
      <w:pPr>
        <w:ind w:left="720" w:hanging="720"/>
        <w:jc w:val="both"/>
        <w:rPr>
          <w:rFonts w:cs="Times New Roman"/>
          <w:noProof/>
        </w:rPr>
      </w:pPr>
      <w:bookmarkStart w:id="275" w:name="_ENREF_1_178"/>
      <w:r w:rsidRPr="007F77C5">
        <w:rPr>
          <w:rFonts w:cs="Times New Roman"/>
          <w:noProof/>
        </w:rPr>
        <w:t>Tan, L., H. Nuffer, J. Feng, S.H. Kwan, H. Chen, X. Tong, and L. Kong. 2020. Antioxidant Properties and Sensory Evaluation of Microgreens from Commercial and Local Farms.</w:t>
      </w:r>
      <w:r w:rsidRPr="007F77C5">
        <w:rPr>
          <w:rFonts w:cs="Times New Roman"/>
          <w:i/>
          <w:noProof/>
        </w:rPr>
        <w:t xml:space="preserve"> Food Science and Human Wellness</w:t>
      </w:r>
      <w:r w:rsidRPr="007F77C5">
        <w:rPr>
          <w:rFonts w:cs="Times New Roman"/>
          <w:noProof/>
        </w:rPr>
        <w:t xml:space="preserve"> 9:45-51. doi:10.1016/j.fshw.2019.12.002</w:t>
      </w:r>
      <w:bookmarkEnd w:id="275"/>
    </w:p>
    <w:p w14:paraId="343671C5" w14:textId="77777777" w:rsidR="00126D8D" w:rsidRPr="007F77C5" w:rsidRDefault="00126D8D" w:rsidP="00224B41">
      <w:pPr>
        <w:ind w:left="720" w:hanging="720"/>
        <w:jc w:val="both"/>
        <w:rPr>
          <w:rFonts w:cs="Times New Roman"/>
          <w:noProof/>
        </w:rPr>
      </w:pPr>
      <w:bookmarkStart w:id="276" w:name="_ENREF_1_179"/>
      <w:r w:rsidRPr="007F77C5">
        <w:rPr>
          <w:rFonts w:cs="Times New Roman"/>
          <w:noProof/>
        </w:rPr>
        <w:t>Tarakanov, I.G., D.A. Tovstyko, M.P. Lomakin, A.S. Shmakov, N.N. Sleptsov, A.N. Shmarev, V.A. Litvinskiy, and A.A. Ivlev. 2022. Effects of Light Spectral Quality on Photosynthetic Activity, Biomass Production, and Carbon Isotope Fractionation in Lettuce, Lactuca Sativa L., Plants.</w:t>
      </w:r>
      <w:r w:rsidRPr="007F77C5">
        <w:rPr>
          <w:rFonts w:cs="Times New Roman"/>
          <w:i/>
          <w:noProof/>
        </w:rPr>
        <w:t xml:space="preserve"> Plants (Basel)</w:t>
      </w:r>
      <w:r w:rsidRPr="007F77C5">
        <w:rPr>
          <w:rFonts w:cs="Times New Roman"/>
          <w:noProof/>
        </w:rPr>
        <w:t xml:space="preserve"> 11. doi:10.3390/plants11030441</w:t>
      </w:r>
      <w:bookmarkEnd w:id="276"/>
    </w:p>
    <w:p w14:paraId="27B774E0" w14:textId="77777777" w:rsidR="00126D8D" w:rsidRPr="007F77C5" w:rsidRDefault="00126D8D" w:rsidP="00224B41">
      <w:pPr>
        <w:ind w:left="720" w:hanging="720"/>
        <w:jc w:val="both"/>
        <w:rPr>
          <w:rFonts w:cs="Times New Roman"/>
          <w:noProof/>
        </w:rPr>
      </w:pPr>
      <w:bookmarkStart w:id="277" w:name="_ENREF_1_180"/>
      <w:r w:rsidRPr="007F77C5">
        <w:rPr>
          <w:rFonts w:cs="Times New Roman"/>
          <w:noProof/>
        </w:rPr>
        <w:t>Tarchoune, I., O. Baâtour, J. Harrathi, P.L. Cioni, M. Lachaâl, G. Flamini, and Z. Ouerghi. 2013. Essential Oil and Volatile Emissions of Basil (</w:t>
      </w:r>
      <w:r w:rsidRPr="007F77C5">
        <w:rPr>
          <w:rFonts w:cs="Times New Roman"/>
          <w:i/>
          <w:noProof/>
        </w:rPr>
        <w:t>Ocimum Basilicum</w:t>
      </w:r>
      <w:r w:rsidRPr="007F77C5">
        <w:rPr>
          <w:rFonts w:cs="Times New Roman"/>
          <w:noProof/>
        </w:rPr>
        <w:t>) Leaves Exposed to Nacl or Na2so4 Salinity.</w:t>
      </w:r>
      <w:r w:rsidRPr="007F77C5">
        <w:rPr>
          <w:rFonts w:cs="Times New Roman"/>
          <w:i/>
          <w:noProof/>
        </w:rPr>
        <w:t xml:space="preserve"> Journal of Plant Nutrition and Soil Science</w:t>
      </w:r>
      <w:r w:rsidRPr="007F77C5">
        <w:rPr>
          <w:rFonts w:cs="Times New Roman"/>
          <w:noProof/>
        </w:rPr>
        <w:t xml:space="preserve"> 176:748-755. doi:10.1002/jpln.201200278</w:t>
      </w:r>
      <w:bookmarkEnd w:id="277"/>
    </w:p>
    <w:p w14:paraId="440B74D7" w14:textId="77777777" w:rsidR="00126D8D" w:rsidRPr="007F77C5" w:rsidRDefault="00126D8D" w:rsidP="00224B41">
      <w:pPr>
        <w:ind w:left="720" w:hanging="720"/>
        <w:jc w:val="both"/>
        <w:rPr>
          <w:rFonts w:cs="Times New Roman"/>
          <w:noProof/>
        </w:rPr>
      </w:pPr>
      <w:bookmarkStart w:id="278" w:name="_ENREF_1_181"/>
      <w:r w:rsidRPr="007F77C5">
        <w:rPr>
          <w:rFonts w:cs="Times New Roman"/>
          <w:noProof/>
        </w:rPr>
        <w:t>Taylor, A.J. 1996. Volatile Flavor Release from Foods During Eating.</w:t>
      </w:r>
      <w:r w:rsidRPr="007F77C5">
        <w:rPr>
          <w:rFonts w:cs="Times New Roman"/>
          <w:i/>
          <w:noProof/>
        </w:rPr>
        <w:t xml:space="preserve"> Crit Rev Food Sci Nutr</w:t>
      </w:r>
      <w:r w:rsidRPr="007F77C5">
        <w:rPr>
          <w:rFonts w:cs="Times New Roman"/>
          <w:noProof/>
        </w:rPr>
        <w:t xml:space="preserve"> 36:765-784. doi:10.1080/10408399609527749</w:t>
      </w:r>
      <w:bookmarkEnd w:id="278"/>
    </w:p>
    <w:p w14:paraId="068E302E" w14:textId="77777777" w:rsidR="00126D8D" w:rsidRPr="007F77C5" w:rsidRDefault="00126D8D" w:rsidP="00224B41">
      <w:pPr>
        <w:ind w:left="720" w:hanging="720"/>
        <w:jc w:val="both"/>
        <w:rPr>
          <w:rFonts w:cs="Times New Roman"/>
          <w:noProof/>
        </w:rPr>
      </w:pPr>
      <w:bookmarkStart w:id="279" w:name="_ENREF_1_182"/>
      <w:r w:rsidRPr="007F77C5">
        <w:rPr>
          <w:rFonts w:cs="Times New Roman"/>
          <w:noProof/>
        </w:rPr>
        <w:t>Tennessen, D.J., E.L. Singsaas, and T.D. Sharkey. 1994. Light-Emitting Diodes as a Light Source for Photosynthesis Research.</w:t>
      </w:r>
      <w:r w:rsidRPr="007F77C5">
        <w:rPr>
          <w:rFonts w:cs="Times New Roman"/>
          <w:i/>
          <w:noProof/>
        </w:rPr>
        <w:t xml:space="preserve"> Photosynth Res</w:t>
      </w:r>
      <w:r w:rsidRPr="007F77C5">
        <w:rPr>
          <w:rFonts w:cs="Times New Roman"/>
          <w:noProof/>
        </w:rPr>
        <w:t xml:space="preserve"> 39:85-92. doi:10.1007/BF00027146</w:t>
      </w:r>
      <w:bookmarkEnd w:id="279"/>
    </w:p>
    <w:p w14:paraId="17DB008C" w14:textId="77777777" w:rsidR="00126D8D" w:rsidRPr="007F77C5" w:rsidRDefault="00126D8D" w:rsidP="00224B41">
      <w:pPr>
        <w:ind w:left="720" w:hanging="720"/>
        <w:jc w:val="both"/>
        <w:rPr>
          <w:rFonts w:cs="Times New Roman"/>
          <w:noProof/>
        </w:rPr>
      </w:pPr>
      <w:bookmarkStart w:id="280" w:name="_ENREF_1_183"/>
      <w:r w:rsidRPr="007F77C5">
        <w:rPr>
          <w:rFonts w:cs="Times New Roman"/>
          <w:noProof/>
        </w:rPr>
        <w:lastRenderedPageBreak/>
        <w:t>Thapper, A., F. Mamedov, F. Mokvist, L. Hammarstrom, and S. Styring. 2009. Defining the Far-Red Limit of Photosystem Ii in Spinach.</w:t>
      </w:r>
      <w:r w:rsidRPr="007F77C5">
        <w:rPr>
          <w:rFonts w:cs="Times New Roman"/>
          <w:i/>
          <w:noProof/>
        </w:rPr>
        <w:t xml:space="preserve"> Plant Cell</w:t>
      </w:r>
      <w:r w:rsidRPr="007F77C5">
        <w:rPr>
          <w:rFonts w:cs="Times New Roman"/>
          <w:noProof/>
        </w:rPr>
        <w:t xml:space="preserve"> 21:2391-2401. doi:10.1105/tpc.108.064154</w:t>
      </w:r>
      <w:bookmarkEnd w:id="280"/>
    </w:p>
    <w:p w14:paraId="47B0B84D" w14:textId="77777777" w:rsidR="00126D8D" w:rsidRPr="007F77C5" w:rsidRDefault="00126D8D" w:rsidP="00224B41">
      <w:pPr>
        <w:ind w:left="720" w:hanging="720"/>
        <w:jc w:val="both"/>
        <w:rPr>
          <w:rFonts w:cs="Times New Roman"/>
          <w:noProof/>
        </w:rPr>
      </w:pPr>
      <w:bookmarkStart w:id="281" w:name="_ENREF_1_184"/>
      <w:r w:rsidRPr="007F77C5">
        <w:rPr>
          <w:rFonts w:cs="Times New Roman"/>
          <w:noProof/>
        </w:rPr>
        <w:t>Tuan, P.A., A.A. Thwe, Y.B. Kim, J.K. Kim, S.J. Kim, S. Lee, S.O. Chung, and S.U. Park. 2013. Effects of White, Blue, and Red Light-Emitting Diodes on Carotenoid Biosynthetic Gene Expression Levels and Carotenoid Accumulation in Sprouts of Tartary Buckwheat (Fagopyrum Tataricum Gaertn.).</w:t>
      </w:r>
      <w:r w:rsidRPr="007F77C5">
        <w:rPr>
          <w:rFonts w:cs="Times New Roman"/>
          <w:i/>
          <w:noProof/>
        </w:rPr>
        <w:t xml:space="preserve"> J Agric Food Chem</w:t>
      </w:r>
      <w:r w:rsidRPr="007F77C5">
        <w:rPr>
          <w:rFonts w:cs="Times New Roman"/>
          <w:noProof/>
        </w:rPr>
        <w:t xml:space="preserve"> 61:12356-12361. doi:10.1021/jf4039937</w:t>
      </w:r>
      <w:bookmarkEnd w:id="281"/>
    </w:p>
    <w:p w14:paraId="619B39B6" w14:textId="77777777" w:rsidR="00126D8D" w:rsidRPr="007F77C5" w:rsidRDefault="00126D8D" w:rsidP="00224B41">
      <w:pPr>
        <w:ind w:left="720" w:hanging="720"/>
        <w:jc w:val="both"/>
        <w:rPr>
          <w:rFonts w:cs="Times New Roman"/>
          <w:noProof/>
        </w:rPr>
      </w:pPr>
      <w:bookmarkStart w:id="282" w:name="_ENREF_1_185"/>
      <w:r w:rsidRPr="007F77C5">
        <w:rPr>
          <w:rFonts w:cs="Times New Roman"/>
          <w:noProof/>
        </w:rPr>
        <w:t>Tucker, A.O. and T. Debaggio. 2009. The Encylopedia of Herbs: A Comprehensive Reference to Herbs of Flavor and Fragrance. Timber Press, Portland, OR.</w:t>
      </w:r>
      <w:bookmarkEnd w:id="282"/>
    </w:p>
    <w:p w14:paraId="1B01EFDC" w14:textId="77777777" w:rsidR="00126D8D" w:rsidRPr="007F77C5" w:rsidRDefault="00126D8D" w:rsidP="00224B41">
      <w:pPr>
        <w:ind w:left="720" w:hanging="720"/>
        <w:jc w:val="both"/>
        <w:rPr>
          <w:rFonts w:cs="Times New Roman"/>
          <w:noProof/>
        </w:rPr>
      </w:pPr>
      <w:bookmarkStart w:id="283" w:name="_ENREF_1_186"/>
      <w:r w:rsidRPr="007F77C5">
        <w:rPr>
          <w:rFonts w:cs="Times New Roman"/>
          <w:noProof/>
        </w:rPr>
        <w:t>Turner, B.M. 2009. Epigenetic Responses to Environmental Change and Their Evolutionary Implications.</w:t>
      </w:r>
      <w:r w:rsidRPr="007F77C5">
        <w:rPr>
          <w:rFonts w:cs="Times New Roman"/>
          <w:i/>
          <w:noProof/>
        </w:rPr>
        <w:t xml:space="preserve"> Philos Trans R Soc Lond B Biol Sci</w:t>
      </w:r>
      <w:r w:rsidRPr="007F77C5">
        <w:rPr>
          <w:rFonts w:cs="Times New Roman"/>
          <w:noProof/>
        </w:rPr>
        <w:t xml:space="preserve"> 364:3403-3418. doi:10.1098/rstb.2009.0125</w:t>
      </w:r>
      <w:bookmarkEnd w:id="283"/>
    </w:p>
    <w:p w14:paraId="345B7E40" w14:textId="77777777" w:rsidR="00126D8D" w:rsidRPr="007F77C5" w:rsidRDefault="00126D8D" w:rsidP="00224B41">
      <w:pPr>
        <w:ind w:left="720" w:hanging="720"/>
        <w:jc w:val="both"/>
        <w:rPr>
          <w:rFonts w:cs="Times New Roman"/>
          <w:noProof/>
        </w:rPr>
      </w:pPr>
      <w:bookmarkStart w:id="284" w:name="_ENREF_1_187"/>
      <w:r w:rsidRPr="007F77C5">
        <w:rPr>
          <w:rFonts w:cs="Times New Roman"/>
          <w:noProof/>
        </w:rPr>
        <w:t>Van Delden, S.H., M. Sharathkumar, M. Butturini, L.J.A. Graamans, E. Heuvelink, M. Kacira, E. Kaiser, R.S. Klamer, L. Klerkx, G. Kootstra, A. Loeber, R.E. Schouten, C. Stanghellini, W. Van Ieperen, J.C. Verdonk, S. Vialet-Chabrand, E.J. Woltering, R. Van De Zedde, Y. Zhang, and L.F.M. Marcelis. 2021. Current Status and Future Challenges in Implementing and Upscaling Vertical Farming Systems.</w:t>
      </w:r>
      <w:r w:rsidRPr="007F77C5">
        <w:rPr>
          <w:rFonts w:cs="Times New Roman"/>
          <w:i/>
          <w:noProof/>
        </w:rPr>
        <w:t xml:space="preserve"> Nature Food</w:t>
      </w:r>
      <w:r w:rsidRPr="007F77C5">
        <w:rPr>
          <w:rFonts w:cs="Times New Roman"/>
          <w:noProof/>
        </w:rPr>
        <w:t xml:space="preserve"> 2:944-956. doi:10.1038/s43016-021-00402-w</w:t>
      </w:r>
      <w:bookmarkEnd w:id="284"/>
    </w:p>
    <w:p w14:paraId="350720FC" w14:textId="77777777" w:rsidR="00126D8D" w:rsidRPr="007F77C5" w:rsidRDefault="00126D8D" w:rsidP="00224B41">
      <w:pPr>
        <w:ind w:left="720" w:hanging="720"/>
        <w:jc w:val="both"/>
        <w:rPr>
          <w:rFonts w:cs="Times New Roman"/>
          <w:noProof/>
        </w:rPr>
      </w:pPr>
      <w:bookmarkStart w:id="285" w:name="_ENREF_1_188"/>
      <w:r w:rsidRPr="007F77C5">
        <w:rPr>
          <w:rFonts w:cs="Times New Roman"/>
          <w:noProof/>
        </w:rPr>
        <w:t>Van Eck, A., M. Pedrotti, R. Brouwer, A. Supapong, V. Fogliano, E. Scholten, F. Biasioli, and M. Stieger. 2021. In Vivo Aroma Release and Dynamic Sensory Perception of Composite Foods.</w:t>
      </w:r>
      <w:r w:rsidRPr="007F77C5">
        <w:rPr>
          <w:rFonts w:cs="Times New Roman"/>
          <w:i/>
          <w:noProof/>
        </w:rPr>
        <w:t xml:space="preserve"> Journal of Agricultural and Food Chemistry</w:t>
      </w:r>
      <w:r w:rsidRPr="007F77C5">
        <w:rPr>
          <w:rFonts w:cs="Times New Roman"/>
          <w:noProof/>
        </w:rPr>
        <w:t xml:space="preserve"> 69:10260-10271. doi:10.1021/acs.jafc.1c02649</w:t>
      </w:r>
      <w:bookmarkEnd w:id="285"/>
    </w:p>
    <w:p w14:paraId="6D89452D" w14:textId="77777777" w:rsidR="00126D8D" w:rsidRPr="007F77C5" w:rsidRDefault="00126D8D" w:rsidP="00224B41">
      <w:pPr>
        <w:ind w:left="720" w:hanging="720"/>
        <w:jc w:val="both"/>
        <w:rPr>
          <w:rFonts w:cs="Times New Roman"/>
          <w:noProof/>
        </w:rPr>
      </w:pPr>
      <w:bookmarkStart w:id="286" w:name="_ENREF_1_189"/>
      <w:r w:rsidRPr="007F77C5">
        <w:rPr>
          <w:rFonts w:cs="Times New Roman"/>
          <w:noProof/>
        </w:rPr>
        <w:lastRenderedPageBreak/>
        <w:t>Voutilainen, S., T. Nurmi, J. Mursu, and T.H. Rissanen. 2006. Carotenoids and Cardiovascular Health.</w:t>
      </w:r>
      <w:r w:rsidRPr="007F77C5">
        <w:rPr>
          <w:rFonts w:cs="Times New Roman"/>
          <w:i/>
          <w:noProof/>
        </w:rPr>
        <w:t xml:space="preserve"> Am J Clin Nutr</w:t>
      </w:r>
      <w:r w:rsidRPr="007F77C5">
        <w:rPr>
          <w:rFonts w:cs="Times New Roman"/>
          <w:noProof/>
        </w:rPr>
        <w:t xml:space="preserve"> 83:1265-1271. doi:10.1093/ajcn/83.6.1265</w:t>
      </w:r>
      <w:bookmarkEnd w:id="286"/>
    </w:p>
    <w:p w14:paraId="462FC330" w14:textId="77777777" w:rsidR="00126D8D" w:rsidRPr="007F77C5" w:rsidRDefault="00126D8D" w:rsidP="00224B41">
      <w:pPr>
        <w:ind w:left="720" w:hanging="720"/>
        <w:jc w:val="both"/>
        <w:rPr>
          <w:rFonts w:cs="Times New Roman"/>
          <w:noProof/>
        </w:rPr>
      </w:pPr>
      <w:bookmarkStart w:id="287" w:name="_ENREF_1_190"/>
      <w:r w:rsidRPr="007F77C5">
        <w:rPr>
          <w:rFonts w:cs="Times New Roman"/>
          <w:noProof/>
        </w:rPr>
        <w:t>Walters, K.J., B.K. Behe, C.J. Currey, and R.G. Lopez. 2020a. Historical, Current, and Future Perspectives for Controlled Environment Hydroponic Food Crop Production in the United States.</w:t>
      </w:r>
      <w:r w:rsidRPr="007F77C5">
        <w:rPr>
          <w:rFonts w:cs="Times New Roman"/>
          <w:i/>
          <w:noProof/>
        </w:rPr>
        <w:t xml:space="preserve"> HortScience</w:t>
      </w:r>
      <w:r w:rsidRPr="007F77C5">
        <w:rPr>
          <w:rFonts w:cs="Times New Roman"/>
          <w:noProof/>
        </w:rPr>
        <w:t xml:space="preserve"> 55:758-767. doi:10.21273/hortsci14901-20</w:t>
      </w:r>
      <w:bookmarkEnd w:id="287"/>
    </w:p>
    <w:p w14:paraId="315FDB62" w14:textId="77777777" w:rsidR="00126D8D" w:rsidRPr="007F77C5" w:rsidRDefault="00126D8D" w:rsidP="00224B41">
      <w:pPr>
        <w:ind w:left="720" w:hanging="720"/>
        <w:jc w:val="both"/>
        <w:rPr>
          <w:rFonts w:cs="Times New Roman"/>
          <w:noProof/>
        </w:rPr>
      </w:pPr>
      <w:bookmarkStart w:id="288" w:name="_ENREF_1_191"/>
      <w:r w:rsidRPr="007F77C5">
        <w:rPr>
          <w:rFonts w:cs="Times New Roman"/>
          <w:noProof/>
        </w:rPr>
        <w:t>Walters, K.J., R.G. Lopez, and B.K. Behe. 2020b. Leveraging Controlled-Environment Agriculture to Increase Key Basil Terpenoid and Phenylpropanoid Concentrations: The Effects of Radiation Intensity and Co(2) Concentration on Consumer Preference.</w:t>
      </w:r>
      <w:r w:rsidRPr="007F77C5">
        <w:rPr>
          <w:rFonts w:cs="Times New Roman"/>
          <w:i/>
          <w:noProof/>
        </w:rPr>
        <w:t xml:space="preserve"> Front Plant Sci</w:t>
      </w:r>
      <w:r w:rsidRPr="007F77C5">
        <w:rPr>
          <w:rFonts w:cs="Times New Roman"/>
          <w:noProof/>
        </w:rPr>
        <w:t xml:space="preserve"> 11:598519. doi:10.3389/fpls.2020.598519</w:t>
      </w:r>
      <w:bookmarkEnd w:id="288"/>
    </w:p>
    <w:p w14:paraId="45701B5D" w14:textId="77777777" w:rsidR="00126D8D" w:rsidRPr="007F77C5" w:rsidRDefault="00126D8D" w:rsidP="00224B41">
      <w:pPr>
        <w:ind w:left="720" w:hanging="720"/>
        <w:jc w:val="both"/>
        <w:rPr>
          <w:rFonts w:cs="Times New Roman"/>
          <w:noProof/>
        </w:rPr>
      </w:pPr>
      <w:bookmarkStart w:id="289" w:name="_ENREF_1_192"/>
      <w:r w:rsidRPr="007F77C5">
        <w:rPr>
          <w:rFonts w:cs="Times New Roman"/>
          <w:noProof/>
        </w:rPr>
        <w:t xml:space="preserve">Warner, R.M. and J.E. Erwin. 2003. Effect of Photoperiod and Daily Light Integral on Flowering of Five </w:t>
      </w:r>
      <w:r w:rsidRPr="007F77C5">
        <w:rPr>
          <w:rFonts w:cs="Times New Roman"/>
          <w:i/>
          <w:noProof/>
        </w:rPr>
        <w:t>Hibiscus</w:t>
      </w:r>
      <w:r w:rsidRPr="007F77C5">
        <w:rPr>
          <w:rFonts w:cs="Times New Roman"/>
          <w:noProof/>
        </w:rPr>
        <w:t xml:space="preserve"> Sp.</w:t>
      </w:r>
      <w:r w:rsidRPr="007F77C5">
        <w:rPr>
          <w:rFonts w:cs="Times New Roman"/>
          <w:i/>
          <w:noProof/>
        </w:rPr>
        <w:t xml:space="preserve"> Scientia Horticulturae</w:t>
      </w:r>
      <w:r w:rsidRPr="007F77C5">
        <w:rPr>
          <w:rFonts w:cs="Times New Roman"/>
          <w:noProof/>
        </w:rPr>
        <w:t xml:space="preserve"> 97:341-351. doi:10.1016/s0304-4238(02)00157-7</w:t>
      </w:r>
      <w:bookmarkEnd w:id="289"/>
    </w:p>
    <w:p w14:paraId="78D693AD" w14:textId="77777777" w:rsidR="00126D8D" w:rsidRPr="007F77C5" w:rsidRDefault="00126D8D" w:rsidP="00224B41">
      <w:pPr>
        <w:ind w:left="720" w:hanging="720"/>
        <w:jc w:val="both"/>
        <w:rPr>
          <w:rFonts w:cs="Times New Roman"/>
          <w:noProof/>
        </w:rPr>
      </w:pPr>
      <w:bookmarkStart w:id="290" w:name="_ENREF_1_193"/>
      <w:r w:rsidRPr="007F77C5">
        <w:rPr>
          <w:rFonts w:cs="Times New Roman"/>
          <w:noProof/>
        </w:rPr>
        <w:t>Warner, R.M. and J.E. Erwin. 2005. Prolonged High Temperature Exposure and Daily Light Integral Impact Growth and Flowering of Five Herbaceous Ornamental Species.</w:t>
      </w:r>
      <w:r w:rsidRPr="007F77C5">
        <w:rPr>
          <w:rFonts w:cs="Times New Roman"/>
          <w:i/>
          <w:noProof/>
        </w:rPr>
        <w:t xml:space="preserve"> Journal of the American Society for Horticultural Science</w:t>
      </w:r>
      <w:r w:rsidRPr="007F77C5">
        <w:rPr>
          <w:rFonts w:cs="Times New Roman"/>
          <w:noProof/>
        </w:rPr>
        <w:t xml:space="preserve"> 130:319-325. doi:10.21273/jashs.130.3.319</w:t>
      </w:r>
      <w:bookmarkEnd w:id="290"/>
    </w:p>
    <w:p w14:paraId="5AEC4C55" w14:textId="77777777" w:rsidR="00126D8D" w:rsidRPr="007F77C5" w:rsidRDefault="00126D8D" w:rsidP="00224B41">
      <w:pPr>
        <w:ind w:left="720" w:hanging="720"/>
        <w:jc w:val="both"/>
        <w:rPr>
          <w:rFonts w:cs="Times New Roman"/>
          <w:noProof/>
        </w:rPr>
      </w:pPr>
      <w:bookmarkStart w:id="291" w:name="_ENREF_1_194"/>
      <w:r w:rsidRPr="007F77C5">
        <w:rPr>
          <w:rFonts w:cs="Times New Roman"/>
          <w:noProof/>
        </w:rPr>
        <w:t>Weaver, G.M., M.W. Van Iersel, and J.M. Velni. 2019. A Photochemistry-Based Method for Optimising Greenhouse Supplemental Light Intensity.</w:t>
      </w:r>
      <w:r w:rsidRPr="007F77C5">
        <w:rPr>
          <w:rFonts w:cs="Times New Roman"/>
          <w:i/>
          <w:noProof/>
        </w:rPr>
        <w:t xml:space="preserve"> Biosystems Engineering</w:t>
      </w:r>
      <w:r w:rsidRPr="007F77C5">
        <w:rPr>
          <w:rFonts w:cs="Times New Roman"/>
          <w:noProof/>
        </w:rPr>
        <w:t xml:space="preserve"> 182:123-137. doi:10.1016/j.biosystemseng.2019.03.008</w:t>
      </w:r>
      <w:bookmarkEnd w:id="291"/>
    </w:p>
    <w:p w14:paraId="363935B7" w14:textId="77777777" w:rsidR="00126D8D" w:rsidRPr="007F77C5" w:rsidRDefault="00126D8D" w:rsidP="00224B41">
      <w:pPr>
        <w:ind w:left="720" w:hanging="720"/>
        <w:jc w:val="both"/>
        <w:rPr>
          <w:rFonts w:cs="Times New Roman"/>
          <w:noProof/>
        </w:rPr>
      </w:pPr>
      <w:bookmarkStart w:id="292" w:name="_ENREF_1_195"/>
      <w:r w:rsidRPr="007F77C5">
        <w:rPr>
          <w:rFonts w:cs="Times New Roman"/>
          <w:noProof/>
        </w:rPr>
        <w:t>Wink, M. 2008. Plant Secondary Metabolism: Diversity, Function and Its Evolution.</w:t>
      </w:r>
      <w:r w:rsidRPr="007F77C5">
        <w:rPr>
          <w:rFonts w:cs="Times New Roman"/>
          <w:i/>
          <w:noProof/>
        </w:rPr>
        <w:t xml:space="preserve"> Natural Product Communications</w:t>
      </w:r>
      <w:r w:rsidRPr="007F77C5">
        <w:rPr>
          <w:rFonts w:cs="Times New Roman"/>
          <w:noProof/>
        </w:rPr>
        <w:t xml:space="preserve"> 3. doi:10.1177/1934578x0800300801</w:t>
      </w:r>
      <w:bookmarkEnd w:id="292"/>
    </w:p>
    <w:p w14:paraId="4BCE8958" w14:textId="77777777" w:rsidR="00126D8D" w:rsidRPr="007F77C5" w:rsidRDefault="00126D8D" w:rsidP="00224B41">
      <w:pPr>
        <w:ind w:left="720" w:hanging="720"/>
        <w:jc w:val="both"/>
        <w:rPr>
          <w:rFonts w:cs="Times New Roman"/>
          <w:noProof/>
        </w:rPr>
      </w:pPr>
      <w:bookmarkStart w:id="293" w:name="_ENREF_1_196"/>
      <w:r w:rsidRPr="007F77C5">
        <w:rPr>
          <w:rFonts w:cs="Times New Roman"/>
          <w:noProof/>
        </w:rPr>
        <w:t>Wink, M. 2010. Biochemistry of Plant Secondary Metabolism. Wiley.</w:t>
      </w:r>
      <w:bookmarkEnd w:id="293"/>
    </w:p>
    <w:p w14:paraId="4D77C2F8" w14:textId="77777777" w:rsidR="00126D8D" w:rsidRPr="007F77C5" w:rsidRDefault="00126D8D" w:rsidP="00224B41">
      <w:pPr>
        <w:ind w:left="720" w:hanging="720"/>
        <w:jc w:val="both"/>
        <w:rPr>
          <w:rFonts w:cs="Times New Roman"/>
          <w:noProof/>
        </w:rPr>
      </w:pPr>
      <w:bookmarkStart w:id="294" w:name="_ENREF_1_197"/>
      <w:r w:rsidRPr="007F77C5">
        <w:rPr>
          <w:rFonts w:cs="Times New Roman"/>
          <w:noProof/>
        </w:rPr>
        <w:lastRenderedPageBreak/>
        <w:t>Xu, Y.C., Y.X. Chang, G.Y. Chen, and H.Y. Lin. 2016. The Research on LED Supplementary Lighting System for Plants.</w:t>
      </w:r>
      <w:r w:rsidRPr="007F77C5">
        <w:rPr>
          <w:rFonts w:cs="Times New Roman"/>
          <w:i/>
          <w:noProof/>
        </w:rPr>
        <w:t xml:space="preserve"> Optik</w:t>
      </w:r>
      <w:r w:rsidRPr="007F77C5">
        <w:rPr>
          <w:rFonts w:cs="Times New Roman"/>
          <w:noProof/>
        </w:rPr>
        <w:t xml:space="preserve"> 127:7193-7201. doi:10.1016/j.ijleo.2016.05.056</w:t>
      </w:r>
      <w:bookmarkEnd w:id="294"/>
    </w:p>
    <w:p w14:paraId="067F814F" w14:textId="77777777" w:rsidR="00126D8D" w:rsidRPr="007F77C5" w:rsidRDefault="00126D8D" w:rsidP="00224B41">
      <w:pPr>
        <w:ind w:left="720" w:hanging="720"/>
        <w:jc w:val="both"/>
        <w:rPr>
          <w:rFonts w:cs="Times New Roman"/>
          <w:noProof/>
        </w:rPr>
      </w:pPr>
      <w:bookmarkStart w:id="295" w:name="_ENREF_1_198"/>
      <w:r w:rsidRPr="007F77C5">
        <w:rPr>
          <w:rFonts w:cs="Times New Roman"/>
          <w:noProof/>
        </w:rPr>
        <w:t>Yeum, K.J. and R.M. Russell. 2002. Carotenoid Bioavailability and Bioconversion.</w:t>
      </w:r>
      <w:r w:rsidRPr="007F77C5">
        <w:rPr>
          <w:rFonts w:cs="Times New Roman"/>
          <w:i/>
          <w:noProof/>
        </w:rPr>
        <w:t xml:space="preserve"> Annu Rev Nutr</w:t>
      </w:r>
      <w:r w:rsidRPr="007F77C5">
        <w:rPr>
          <w:rFonts w:cs="Times New Roman"/>
          <w:noProof/>
        </w:rPr>
        <w:t xml:space="preserve"> 22:483-504. doi:10.1146/annurev.nutr.22.010402.102834</w:t>
      </w:r>
      <w:bookmarkEnd w:id="295"/>
    </w:p>
    <w:p w14:paraId="649065AD" w14:textId="77777777" w:rsidR="00126D8D" w:rsidRPr="007F77C5" w:rsidRDefault="00126D8D" w:rsidP="00224B41">
      <w:pPr>
        <w:ind w:left="720" w:hanging="720"/>
        <w:jc w:val="both"/>
        <w:rPr>
          <w:rFonts w:cs="Times New Roman"/>
          <w:noProof/>
        </w:rPr>
      </w:pPr>
      <w:bookmarkStart w:id="296" w:name="_ENREF_1_199"/>
      <w:r w:rsidRPr="007F77C5">
        <w:rPr>
          <w:rFonts w:cs="Times New Roman"/>
          <w:noProof/>
        </w:rPr>
        <w:t>Young, A.J. 1991. The Photoprotective Role of Carotenoids in Higher-Plants.</w:t>
      </w:r>
      <w:r w:rsidRPr="007F77C5">
        <w:rPr>
          <w:rFonts w:cs="Times New Roman"/>
          <w:i/>
          <w:noProof/>
        </w:rPr>
        <w:t xml:space="preserve"> Physiologia Plantarum</w:t>
      </w:r>
      <w:r w:rsidRPr="007F77C5">
        <w:rPr>
          <w:rFonts w:cs="Times New Roman"/>
          <w:noProof/>
        </w:rPr>
        <w:t xml:space="preserve"> 83:702-708. doi:10.1111/j.1399-3054.1991.tb02490.x</w:t>
      </w:r>
      <w:bookmarkEnd w:id="296"/>
    </w:p>
    <w:p w14:paraId="12997D9C" w14:textId="77777777" w:rsidR="00126D8D" w:rsidRPr="007F77C5" w:rsidRDefault="00126D8D" w:rsidP="00224B41">
      <w:pPr>
        <w:ind w:left="720" w:hanging="720"/>
        <w:jc w:val="both"/>
        <w:rPr>
          <w:rFonts w:cs="Times New Roman"/>
          <w:noProof/>
        </w:rPr>
      </w:pPr>
      <w:bookmarkStart w:id="297" w:name="_ENREF_1_200"/>
      <w:r w:rsidRPr="007F77C5">
        <w:rPr>
          <w:rFonts w:cs="Times New Roman"/>
          <w:noProof/>
        </w:rPr>
        <w:t>Yousif, A.N., C.H. Scaman, T.D. Durance, and B. Girard. 1999. Flavor Volatiles and Physical Properties of Vacuum-Microwave- and Air-Dried Sweet Basil (</w:t>
      </w:r>
      <w:r w:rsidRPr="007F77C5">
        <w:rPr>
          <w:rFonts w:cs="Times New Roman"/>
          <w:i/>
          <w:noProof/>
        </w:rPr>
        <w:t>Ocimum Basilicum</w:t>
      </w:r>
      <w:r w:rsidRPr="007F77C5">
        <w:rPr>
          <w:rFonts w:cs="Times New Roman"/>
          <w:noProof/>
        </w:rPr>
        <w:t xml:space="preserve"> L.).</w:t>
      </w:r>
      <w:r w:rsidRPr="007F77C5">
        <w:rPr>
          <w:rFonts w:cs="Times New Roman"/>
          <w:i/>
          <w:noProof/>
        </w:rPr>
        <w:t xml:space="preserve"> J Agric Food Chem</w:t>
      </w:r>
      <w:r w:rsidRPr="007F77C5">
        <w:rPr>
          <w:rFonts w:cs="Times New Roman"/>
          <w:noProof/>
        </w:rPr>
        <w:t xml:space="preserve"> 47:4777-4781. doi:10.1021/jf990484m</w:t>
      </w:r>
      <w:bookmarkEnd w:id="297"/>
    </w:p>
    <w:p w14:paraId="25748265" w14:textId="77777777" w:rsidR="00126D8D" w:rsidRPr="007F77C5" w:rsidRDefault="00126D8D" w:rsidP="00224B41">
      <w:pPr>
        <w:ind w:left="720" w:hanging="720"/>
        <w:jc w:val="both"/>
        <w:rPr>
          <w:rFonts w:cs="Times New Roman"/>
          <w:noProof/>
        </w:rPr>
      </w:pPr>
      <w:bookmarkStart w:id="298" w:name="_ENREF_1_201"/>
      <w:r w:rsidRPr="007F77C5">
        <w:rPr>
          <w:rFonts w:cs="Times New Roman"/>
          <w:noProof/>
        </w:rPr>
        <w:t>Zhang, M., C.M. Whitman, and E.S. Runkle. 2019. Manipulating Growth, Color, and Taste Attributes of Fresh Cut Lettuce by Greenhouse Supplemental Lighting.</w:t>
      </w:r>
      <w:r w:rsidRPr="007F77C5">
        <w:rPr>
          <w:rFonts w:cs="Times New Roman"/>
          <w:i/>
          <w:noProof/>
        </w:rPr>
        <w:t xml:space="preserve"> Scientia Horticulturae</w:t>
      </w:r>
      <w:r w:rsidRPr="007F77C5">
        <w:rPr>
          <w:rFonts w:cs="Times New Roman"/>
          <w:noProof/>
        </w:rPr>
        <w:t xml:space="preserve"> 252:274-282. doi:10.1016/j.scienta.2019.03.051</w:t>
      </w:r>
      <w:bookmarkEnd w:id="298"/>
    </w:p>
    <w:p w14:paraId="01BB236E" w14:textId="77777777" w:rsidR="00126D8D" w:rsidRPr="007F77C5" w:rsidRDefault="00126D8D" w:rsidP="00224B41">
      <w:pPr>
        <w:ind w:left="720" w:hanging="720"/>
        <w:jc w:val="both"/>
        <w:rPr>
          <w:rFonts w:cs="Times New Roman"/>
          <w:noProof/>
        </w:rPr>
      </w:pPr>
      <w:bookmarkStart w:id="299" w:name="_ENREF_1_202"/>
      <w:r w:rsidRPr="007F77C5">
        <w:rPr>
          <w:rFonts w:cs="Times New Roman"/>
          <w:noProof/>
        </w:rPr>
        <w:t>Zhang, N., A. Van Westreenen, N.P.R. Anten, J.B. Evers, and L.F.M. Marcelis. 2020. Disentangling the Effects of Photosynthetically Active Radiation and Red to Far-Red Ratio on Plant Photosynthesis under Canopy Shading: A Simulation Study Using a Functional-Structural Plant Model.</w:t>
      </w:r>
      <w:r w:rsidRPr="007F77C5">
        <w:rPr>
          <w:rFonts w:cs="Times New Roman"/>
          <w:i/>
          <w:noProof/>
        </w:rPr>
        <w:t xml:space="preserve"> Ann Bot</w:t>
      </w:r>
      <w:r w:rsidRPr="007F77C5">
        <w:rPr>
          <w:rFonts w:cs="Times New Roman"/>
          <w:noProof/>
        </w:rPr>
        <w:t xml:space="preserve"> 126:635-646. doi:10.1093/aob/mcz197</w:t>
      </w:r>
      <w:bookmarkEnd w:id="299"/>
    </w:p>
    <w:p w14:paraId="034AD20F" w14:textId="77777777" w:rsidR="00126D8D" w:rsidRPr="007F77C5" w:rsidRDefault="00126D8D" w:rsidP="00224B41">
      <w:pPr>
        <w:ind w:left="720" w:hanging="720"/>
        <w:jc w:val="both"/>
        <w:rPr>
          <w:rFonts w:cs="Times New Roman"/>
          <w:noProof/>
        </w:rPr>
      </w:pPr>
      <w:bookmarkStart w:id="300" w:name="_ENREF_1_203"/>
      <w:r w:rsidRPr="007F77C5">
        <w:rPr>
          <w:rFonts w:cs="Times New Roman"/>
          <w:noProof/>
        </w:rPr>
        <w:t>Zhen, S. and B. Bugbee. 2020. Far-Red Photons Have Equivalent Efficiency to Traditional Photosynthetic Photons: Implications for Redefining Photosynthetically Active Radiation.</w:t>
      </w:r>
      <w:r w:rsidRPr="007F77C5">
        <w:rPr>
          <w:rFonts w:cs="Times New Roman"/>
          <w:i/>
          <w:noProof/>
        </w:rPr>
        <w:t xml:space="preserve"> Plant Cell Environ</w:t>
      </w:r>
      <w:r w:rsidRPr="007F77C5">
        <w:rPr>
          <w:rFonts w:cs="Times New Roman"/>
          <w:noProof/>
        </w:rPr>
        <w:t xml:space="preserve"> 43:1259-1272. doi:10.1111/pce.13730</w:t>
      </w:r>
      <w:bookmarkEnd w:id="300"/>
    </w:p>
    <w:p w14:paraId="68694B89" w14:textId="77777777" w:rsidR="00126D8D" w:rsidRPr="007F77C5" w:rsidRDefault="00126D8D" w:rsidP="007C004C">
      <w:pPr>
        <w:ind w:left="720" w:hanging="720"/>
        <w:jc w:val="both"/>
        <w:rPr>
          <w:rFonts w:cs="Times New Roman"/>
          <w:noProof/>
        </w:rPr>
      </w:pPr>
      <w:bookmarkStart w:id="301" w:name="_ENREF_1_204"/>
      <w:r w:rsidRPr="007F77C5">
        <w:rPr>
          <w:rFonts w:cs="Times New Roman"/>
          <w:noProof/>
        </w:rPr>
        <w:t>Zhen, S., M. Van Iersel, and B. Bugbee. 2021. Why Far-Red Photons Should Be Included in the Definition of Photosynthetic Photons and the Measurement of Horticultural Fixture Efficacy.</w:t>
      </w:r>
      <w:r w:rsidRPr="007F77C5">
        <w:rPr>
          <w:rFonts w:cs="Times New Roman"/>
          <w:i/>
          <w:noProof/>
        </w:rPr>
        <w:t xml:space="preserve"> Front Plant Sci</w:t>
      </w:r>
      <w:r w:rsidRPr="007F77C5">
        <w:rPr>
          <w:rFonts w:cs="Times New Roman"/>
          <w:noProof/>
        </w:rPr>
        <w:t xml:space="preserve"> 12:693445. doi:10.3389/fpls.2021.69344</w:t>
      </w:r>
      <w:bookmarkEnd w:id="301"/>
      <w:r w:rsidRPr="007F77C5">
        <w:rPr>
          <w:rFonts w:cs="Times New Roman"/>
          <w:noProof/>
        </w:rPr>
        <w:t>5</w:t>
      </w:r>
    </w:p>
    <w:p w14:paraId="2A83BF8D" w14:textId="77777777" w:rsidR="00126D8D" w:rsidRPr="007F77C5" w:rsidRDefault="00126D8D">
      <w:pPr>
        <w:spacing w:line="240" w:lineRule="auto"/>
        <w:rPr>
          <w:rFonts w:cs="Times New Roman"/>
          <w:noProof/>
        </w:rPr>
      </w:pPr>
      <w:r w:rsidRPr="007F77C5">
        <w:rPr>
          <w:rFonts w:cs="Times New Roman"/>
          <w:noProof/>
        </w:rPr>
        <w:br w:type="page"/>
      </w:r>
    </w:p>
    <w:p w14:paraId="1B584EEE" w14:textId="77777777" w:rsidR="00126D8D" w:rsidRPr="007F77C5" w:rsidRDefault="00126D8D" w:rsidP="002670AC">
      <w:pPr>
        <w:pStyle w:val="MastersThesisMainTitle"/>
        <w:rPr>
          <w:noProof/>
        </w:rPr>
      </w:pPr>
      <w:bookmarkStart w:id="302" w:name="_Toc139574785"/>
      <w:bookmarkStart w:id="303" w:name="_Toc141478655"/>
      <w:r w:rsidRPr="007F77C5">
        <w:rPr>
          <w:noProof/>
        </w:rPr>
        <w:lastRenderedPageBreak/>
        <w:t>Appendix A</w:t>
      </w:r>
      <w:bookmarkEnd w:id="94"/>
      <w:bookmarkEnd w:id="95"/>
      <w:bookmarkEnd w:id="302"/>
      <w:bookmarkEnd w:id="303"/>
    </w:p>
    <w:p w14:paraId="25D8B79C" w14:textId="77777777" w:rsidR="00126D8D" w:rsidRPr="007F77C5" w:rsidRDefault="00126D8D" w:rsidP="00224B41">
      <w:pPr>
        <w:rPr>
          <w:rFonts w:cs="Times New Roman"/>
          <w:color w:val="000000" w:themeColor="text1"/>
        </w:rPr>
      </w:pPr>
      <w:r w:rsidRPr="007F77C5">
        <w:rPr>
          <w:rFonts w:cs="Times New Roman"/>
          <w:noProof/>
          <w:color w:val="000000" w:themeColor="text1"/>
        </w:rPr>
        <w:drawing>
          <wp:inline distT="0" distB="0" distL="0" distR="0" wp14:anchorId="0E2F24C4" wp14:editId="41A2228F">
            <wp:extent cx="5740400" cy="3200400"/>
            <wp:effectExtent l="0" t="0" r="0" b="0"/>
            <wp:docPr id="2" name="Picture 2" descr="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Chart&#10;&#10;Description automatically generated"/>
                    <pic:cNvPicPr/>
                  </pic:nvPicPr>
                  <pic:blipFill>
                    <a:blip r:embed="rId11"/>
                    <a:stretch>
                      <a:fillRect/>
                    </a:stretch>
                  </pic:blipFill>
                  <pic:spPr>
                    <a:xfrm>
                      <a:off x="0" y="0"/>
                      <a:ext cx="5740400" cy="3200400"/>
                    </a:xfrm>
                    <a:prstGeom prst="rect">
                      <a:avLst/>
                    </a:prstGeom>
                  </pic:spPr>
                </pic:pic>
              </a:graphicData>
            </a:graphic>
          </wp:inline>
        </w:drawing>
      </w:r>
    </w:p>
    <w:p w14:paraId="0608A987" w14:textId="77777777" w:rsidR="00126D8D" w:rsidRPr="007F77C5" w:rsidRDefault="00126D8D" w:rsidP="00987C3F">
      <w:pPr>
        <w:pStyle w:val="TOCFigures1"/>
        <w:rPr>
          <w:rFonts w:cs="Times New Roman"/>
        </w:rPr>
      </w:pPr>
      <w:bookmarkStart w:id="304" w:name="_Toc141478796"/>
      <w:r w:rsidRPr="007F77C5">
        <w:rPr>
          <w:rFonts w:cs="Times New Roman"/>
          <w:b/>
          <w:bCs/>
        </w:rPr>
        <w:t>Figure 1.1.</w:t>
      </w:r>
      <w:r w:rsidRPr="007F77C5">
        <w:rPr>
          <w:rFonts w:cs="Times New Roman"/>
        </w:rPr>
        <w:t xml:space="preserve"> Absorption spectra of common carotenoids and chlorophyll pigments.</w:t>
      </w:r>
      <w:bookmarkEnd w:id="304"/>
      <w:r w:rsidRPr="007F77C5">
        <w:rPr>
          <w:rFonts w:cs="Times New Roman"/>
        </w:rPr>
        <w:t xml:space="preserve"> </w:t>
      </w:r>
    </w:p>
    <w:p w14:paraId="155C48F5" w14:textId="77777777" w:rsidR="00126D8D" w:rsidRPr="007F77C5" w:rsidRDefault="00126D8D" w:rsidP="00987C3F">
      <w:pPr>
        <w:pStyle w:val="TOCFigures1"/>
        <w:rPr>
          <w:rFonts w:cs="Times New Roman"/>
        </w:rPr>
      </w:pPr>
    </w:p>
    <w:p w14:paraId="1067993A" w14:textId="77777777" w:rsidR="00126D8D" w:rsidRPr="007F77C5" w:rsidRDefault="00126D8D" w:rsidP="00182739">
      <w:pPr>
        <w:pStyle w:val="MSThesisBodyTextJustified"/>
      </w:pPr>
      <w:r w:rsidRPr="007F77C5">
        <w:t xml:space="preserve">Source: </w:t>
      </w:r>
      <w:r w:rsidRPr="007F77C5">
        <w:rPr>
          <w:noProof/>
        </w:rPr>
        <w:t>(</w:t>
      </w:r>
      <w:r w:rsidRPr="007F77C5">
        <w:t>Taiz et al., 2015</w:t>
      </w:r>
      <w:r w:rsidRPr="007F77C5">
        <w:rPr>
          <w:noProof/>
        </w:rPr>
        <w:t>)</w:t>
      </w:r>
      <w:r w:rsidRPr="007F77C5">
        <w:t xml:space="preserve"> </w:t>
      </w:r>
    </w:p>
    <w:p w14:paraId="716DFEB7" w14:textId="77777777" w:rsidR="00126D8D" w:rsidRPr="007F77C5" w:rsidRDefault="00126D8D">
      <w:pPr>
        <w:spacing w:line="240" w:lineRule="auto"/>
        <w:rPr>
          <w:rFonts w:cs="Times New Roman"/>
        </w:rPr>
      </w:pPr>
      <w:r w:rsidRPr="007F77C5">
        <w:rPr>
          <w:rFonts w:cs="Times New Roman"/>
        </w:rPr>
        <w:br w:type="page"/>
      </w:r>
    </w:p>
    <w:p w14:paraId="23D1989C" w14:textId="77777777" w:rsidR="00126D8D" w:rsidRPr="007F77C5" w:rsidRDefault="00126D8D" w:rsidP="00182739">
      <w:pPr>
        <w:pStyle w:val="MSThesisBodyTextJustified"/>
      </w:pPr>
      <w:r w:rsidRPr="007F77C5">
        <w:lastRenderedPageBreak/>
        <w:br/>
      </w:r>
      <w:r w:rsidRPr="007F77C5">
        <w:rPr>
          <w:noProof/>
        </w:rPr>
        <w:drawing>
          <wp:inline distT="0" distB="0" distL="0" distR="0" wp14:anchorId="04149A00" wp14:editId="2564A182">
            <wp:extent cx="5753100" cy="4013200"/>
            <wp:effectExtent l="0" t="0" r="0" b="0"/>
            <wp:docPr id="1" name="Picture 1" descr="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Chart&#10;&#10;Description automatically generated"/>
                    <pic:cNvPicPr/>
                  </pic:nvPicPr>
                  <pic:blipFill>
                    <a:blip r:embed="rId12"/>
                    <a:stretch>
                      <a:fillRect/>
                    </a:stretch>
                  </pic:blipFill>
                  <pic:spPr>
                    <a:xfrm>
                      <a:off x="0" y="0"/>
                      <a:ext cx="5753100" cy="4013200"/>
                    </a:xfrm>
                    <a:prstGeom prst="rect">
                      <a:avLst/>
                    </a:prstGeom>
                  </pic:spPr>
                </pic:pic>
              </a:graphicData>
            </a:graphic>
          </wp:inline>
        </w:drawing>
      </w:r>
    </w:p>
    <w:p w14:paraId="3AD86254" w14:textId="77777777" w:rsidR="00126D8D" w:rsidRPr="007F77C5" w:rsidRDefault="00126D8D" w:rsidP="00987C3F">
      <w:pPr>
        <w:pStyle w:val="TOCFigures1"/>
        <w:rPr>
          <w:rFonts w:cs="Times New Roman"/>
        </w:rPr>
      </w:pPr>
      <w:bookmarkStart w:id="305" w:name="_Toc141478797"/>
      <w:r w:rsidRPr="007F77C5">
        <w:rPr>
          <w:rFonts w:cs="Times New Roman"/>
          <w:b/>
          <w:bCs/>
        </w:rPr>
        <w:t>Figure 1.2.</w:t>
      </w:r>
      <w:r w:rsidRPr="007F77C5">
        <w:rPr>
          <w:rFonts w:cs="Times New Roman"/>
        </w:rPr>
        <w:t xml:space="preserve"> Absorption spectra of common carotenoids and chlorophyll pigments.</w:t>
      </w:r>
      <w:bookmarkEnd w:id="305"/>
      <w:r w:rsidRPr="007F77C5">
        <w:rPr>
          <w:rFonts w:cs="Times New Roman"/>
        </w:rPr>
        <w:t xml:space="preserve"> </w:t>
      </w:r>
    </w:p>
    <w:p w14:paraId="1A40F933" w14:textId="77777777" w:rsidR="00126D8D" w:rsidRPr="007F77C5" w:rsidRDefault="00126D8D" w:rsidP="00987C3F">
      <w:pPr>
        <w:pStyle w:val="TOCFigures1"/>
        <w:rPr>
          <w:rFonts w:cs="Times New Roman"/>
        </w:rPr>
      </w:pPr>
    </w:p>
    <w:p w14:paraId="49A4D459" w14:textId="77777777" w:rsidR="00126D8D" w:rsidRPr="007F77C5" w:rsidRDefault="00126D8D" w:rsidP="00182739">
      <w:pPr>
        <w:pStyle w:val="MSThesisBodyTextJustified"/>
      </w:pPr>
      <w:r w:rsidRPr="007F77C5">
        <w:t>Source: (HYDRALED, 2022)</w:t>
      </w:r>
    </w:p>
    <w:p w14:paraId="5373245C" w14:textId="77777777" w:rsidR="00126D8D" w:rsidRPr="007F77C5" w:rsidRDefault="00126D8D" w:rsidP="00224B41">
      <w:pPr>
        <w:rPr>
          <w:rFonts w:cs="Times New Roman"/>
          <w:color w:val="000000" w:themeColor="text1"/>
        </w:rPr>
      </w:pPr>
      <w:r w:rsidRPr="007F77C5">
        <w:rPr>
          <w:rFonts w:cs="Times New Roman"/>
          <w:color w:val="000000" w:themeColor="text1"/>
        </w:rPr>
        <w:br w:type="page"/>
      </w:r>
    </w:p>
    <w:p w14:paraId="0346C8F3" w14:textId="77777777" w:rsidR="00126D8D" w:rsidRPr="007F77C5" w:rsidRDefault="00126D8D" w:rsidP="00224B41">
      <w:pPr>
        <w:spacing w:line="240" w:lineRule="auto"/>
        <w:rPr>
          <w:rFonts w:cs="Times New Roman"/>
          <w:b/>
          <w:color w:val="000000" w:themeColor="text1"/>
        </w:rPr>
      </w:pPr>
      <w:r w:rsidRPr="007F77C5">
        <w:rPr>
          <w:rFonts w:cs="Times New Roman"/>
          <w:b/>
          <w:noProof/>
          <w:color w:val="000000" w:themeColor="text1"/>
        </w:rPr>
        <w:lastRenderedPageBreak/>
        <w:drawing>
          <wp:inline distT="0" distB="0" distL="0" distR="0" wp14:anchorId="2094B1D9" wp14:editId="03779F76">
            <wp:extent cx="5334000" cy="3877618"/>
            <wp:effectExtent l="0" t="0" r="0" b="0"/>
            <wp:docPr id="6" name="Picture 6" descr="Chart, histogra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6" descr="Chart, histogram&#10;&#10;Description automatically generated"/>
                    <pic:cNvPicPr/>
                  </pic:nvPicPr>
                  <pic:blipFill>
                    <a:blip r:embed="rId13"/>
                    <a:stretch>
                      <a:fillRect/>
                    </a:stretch>
                  </pic:blipFill>
                  <pic:spPr>
                    <a:xfrm>
                      <a:off x="0" y="0"/>
                      <a:ext cx="5341239" cy="3882880"/>
                    </a:xfrm>
                    <a:prstGeom prst="rect">
                      <a:avLst/>
                    </a:prstGeom>
                  </pic:spPr>
                </pic:pic>
              </a:graphicData>
            </a:graphic>
          </wp:inline>
        </w:drawing>
      </w:r>
    </w:p>
    <w:p w14:paraId="4D97B87E" w14:textId="77777777" w:rsidR="00126D8D" w:rsidRPr="007F77C5" w:rsidRDefault="00126D8D" w:rsidP="00987C3F">
      <w:pPr>
        <w:pStyle w:val="TOCFigures1"/>
        <w:rPr>
          <w:rFonts w:cs="Times New Roman"/>
        </w:rPr>
      </w:pPr>
      <w:bookmarkStart w:id="306" w:name="_Toc141478798"/>
      <w:r w:rsidRPr="007F77C5">
        <w:rPr>
          <w:rFonts w:cs="Times New Roman"/>
          <w:b/>
          <w:bCs/>
        </w:rPr>
        <w:t>Figure 1.3.</w:t>
      </w:r>
      <w:r w:rsidRPr="007F77C5">
        <w:rPr>
          <w:rFonts w:cs="Times New Roman"/>
        </w:rPr>
        <w:t xml:space="preserve"> Absorption spectra of common isoprenoids.</w:t>
      </w:r>
      <w:bookmarkEnd w:id="306"/>
      <w:r w:rsidRPr="007F77C5">
        <w:rPr>
          <w:rFonts w:cs="Times New Roman"/>
        </w:rPr>
        <w:t xml:space="preserve"> </w:t>
      </w:r>
    </w:p>
    <w:p w14:paraId="508D85AD" w14:textId="77777777" w:rsidR="00126D8D" w:rsidRPr="007F77C5" w:rsidRDefault="00126D8D" w:rsidP="00987C3F">
      <w:pPr>
        <w:pStyle w:val="TOCFigures1"/>
        <w:rPr>
          <w:rFonts w:cs="Times New Roman"/>
        </w:rPr>
      </w:pPr>
    </w:p>
    <w:p w14:paraId="604E2EC3" w14:textId="77777777" w:rsidR="00126D8D" w:rsidRPr="007F77C5" w:rsidRDefault="00126D8D" w:rsidP="00182739">
      <w:pPr>
        <w:pStyle w:val="MSThesisBodyTextJustified"/>
        <w:rPr>
          <w:color w:val="000000" w:themeColor="text1"/>
        </w:rPr>
      </w:pPr>
      <w:r w:rsidRPr="007F77C5">
        <w:rPr>
          <w:color w:val="000000" w:themeColor="text1"/>
        </w:rPr>
        <w:t xml:space="preserve">Source: </w:t>
      </w:r>
      <w:r w:rsidRPr="007F77C5">
        <w:rPr>
          <w:noProof/>
          <w:color w:val="000000" w:themeColor="text1"/>
        </w:rPr>
        <w:t>(</w:t>
      </w:r>
      <w:r w:rsidRPr="007F77C5">
        <w:t>Solovchenko, 2010</w:t>
      </w:r>
      <w:r w:rsidRPr="007F77C5">
        <w:rPr>
          <w:noProof/>
          <w:color w:val="000000" w:themeColor="text1"/>
        </w:rPr>
        <w:t>)</w:t>
      </w:r>
    </w:p>
    <w:p w14:paraId="3264E4C7" w14:textId="77777777" w:rsidR="00126D8D" w:rsidRPr="007F77C5" w:rsidRDefault="00126D8D" w:rsidP="00224B41">
      <w:pPr>
        <w:rPr>
          <w:rFonts w:cs="Times New Roman"/>
          <w:color w:val="000000" w:themeColor="text1"/>
        </w:rPr>
      </w:pPr>
      <w:r w:rsidRPr="007F77C5">
        <w:rPr>
          <w:rFonts w:cs="Times New Roman"/>
          <w:color w:val="000000" w:themeColor="text1"/>
        </w:rPr>
        <w:br w:type="page"/>
      </w:r>
    </w:p>
    <w:p w14:paraId="63A97C62" w14:textId="77777777" w:rsidR="00126D8D" w:rsidRPr="007F77C5" w:rsidRDefault="00126D8D" w:rsidP="00224B41">
      <w:pPr>
        <w:rPr>
          <w:rFonts w:cs="Times New Roman"/>
          <w:color w:val="000000" w:themeColor="text1"/>
        </w:rPr>
      </w:pPr>
      <w:r w:rsidRPr="007F77C5">
        <w:rPr>
          <w:rFonts w:cs="Times New Roman"/>
          <w:noProof/>
          <w:color w:val="000000" w:themeColor="text1"/>
        </w:rPr>
        <w:lastRenderedPageBreak/>
        <w:drawing>
          <wp:inline distT="0" distB="0" distL="0" distR="0" wp14:anchorId="1F2D2C3D" wp14:editId="2306E6BF">
            <wp:extent cx="5672006" cy="2222500"/>
            <wp:effectExtent l="0" t="0" r="5080" b="0"/>
            <wp:docPr id="4" name="Picture 4" descr="A picture containing websit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descr="A picture containing website&#10;&#10;Description automatically generated"/>
                    <pic:cNvPicPr/>
                  </pic:nvPicPr>
                  <pic:blipFill>
                    <a:blip r:embed="rId14"/>
                    <a:stretch>
                      <a:fillRect/>
                    </a:stretch>
                  </pic:blipFill>
                  <pic:spPr>
                    <a:xfrm>
                      <a:off x="0" y="0"/>
                      <a:ext cx="5695262" cy="2231612"/>
                    </a:xfrm>
                    <a:prstGeom prst="rect">
                      <a:avLst/>
                    </a:prstGeom>
                  </pic:spPr>
                </pic:pic>
              </a:graphicData>
            </a:graphic>
          </wp:inline>
        </w:drawing>
      </w:r>
    </w:p>
    <w:p w14:paraId="7815B07D" w14:textId="77777777" w:rsidR="00126D8D" w:rsidRPr="007F77C5" w:rsidRDefault="00126D8D" w:rsidP="00987C3F">
      <w:pPr>
        <w:pStyle w:val="TOCFigures1"/>
        <w:rPr>
          <w:rFonts w:cs="Times New Roman"/>
        </w:rPr>
      </w:pPr>
      <w:bookmarkStart w:id="307" w:name="_Toc141478799"/>
      <w:r w:rsidRPr="007F77C5">
        <w:rPr>
          <w:rFonts w:cs="Times New Roman"/>
          <w:b/>
          <w:bCs/>
        </w:rPr>
        <w:t>Figure 1.4.</w:t>
      </w:r>
      <w:r w:rsidRPr="007F77C5">
        <w:rPr>
          <w:rFonts w:cs="Times New Roman"/>
        </w:rPr>
        <w:t xml:space="preserve"> The range of wavelengths that are sensed by the primary plant photoreceptors (phytochromes, cryptochromes, phototropins, and UVR8), allowing light-driven developmental adaptations.</w:t>
      </w:r>
      <w:bookmarkEnd w:id="307"/>
    </w:p>
    <w:p w14:paraId="73209308" w14:textId="77777777" w:rsidR="00126D8D" w:rsidRPr="007F77C5" w:rsidRDefault="00126D8D" w:rsidP="00987C3F">
      <w:pPr>
        <w:pStyle w:val="TOCFigures1"/>
        <w:rPr>
          <w:rFonts w:cs="Times New Roman"/>
        </w:rPr>
      </w:pPr>
    </w:p>
    <w:p w14:paraId="43B5A233" w14:textId="77777777" w:rsidR="00126D8D" w:rsidRPr="007F77C5" w:rsidRDefault="00126D8D" w:rsidP="00182739">
      <w:pPr>
        <w:pStyle w:val="MSThesisBodyTextJustified"/>
      </w:pPr>
      <w:r w:rsidRPr="007F77C5">
        <w:t>Source: (Ouzounis et al., 2015)</w:t>
      </w:r>
    </w:p>
    <w:p w14:paraId="2A1C67F4" w14:textId="77777777" w:rsidR="00126D8D" w:rsidRPr="007F77C5" w:rsidRDefault="00126D8D" w:rsidP="00224B41">
      <w:pPr>
        <w:rPr>
          <w:rFonts w:cs="Times New Roman"/>
          <w:color w:val="000000" w:themeColor="text1"/>
        </w:rPr>
      </w:pPr>
    </w:p>
    <w:p w14:paraId="1ECCC4EC" w14:textId="77777777" w:rsidR="00126D8D" w:rsidRPr="007F77C5" w:rsidRDefault="00126D8D" w:rsidP="00224B41">
      <w:pPr>
        <w:rPr>
          <w:rFonts w:cs="Times New Roman"/>
          <w:color w:val="000000" w:themeColor="text1"/>
        </w:rPr>
      </w:pPr>
    </w:p>
    <w:p w14:paraId="30AB5DF0" w14:textId="77777777" w:rsidR="00126D8D" w:rsidRPr="007F77C5" w:rsidRDefault="00126D8D" w:rsidP="00224B41">
      <w:pPr>
        <w:rPr>
          <w:rFonts w:cs="Times New Roman"/>
          <w:color w:val="000000" w:themeColor="text1"/>
        </w:rPr>
      </w:pPr>
    </w:p>
    <w:p w14:paraId="393F8F9D" w14:textId="77777777" w:rsidR="00126D8D" w:rsidRPr="007F77C5" w:rsidRDefault="00126D8D" w:rsidP="00224B41">
      <w:pPr>
        <w:rPr>
          <w:rFonts w:cs="Times New Roman"/>
          <w:color w:val="000000" w:themeColor="text1"/>
        </w:rPr>
      </w:pPr>
    </w:p>
    <w:p w14:paraId="56754231" w14:textId="77777777" w:rsidR="00126D8D" w:rsidRPr="007F77C5" w:rsidRDefault="00126D8D" w:rsidP="00224B41">
      <w:pPr>
        <w:rPr>
          <w:rFonts w:cs="Times New Roman"/>
          <w:color w:val="000000" w:themeColor="text1"/>
        </w:rPr>
      </w:pPr>
      <w:r w:rsidRPr="007F77C5">
        <w:rPr>
          <w:rFonts w:cs="Times New Roman"/>
          <w:noProof/>
          <w:color w:val="000000" w:themeColor="text1"/>
        </w:rPr>
        <w:lastRenderedPageBreak/>
        <w:drawing>
          <wp:inline distT="0" distB="0" distL="0" distR="0" wp14:anchorId="5ACEE4E8" wp14:editId="4E3088F9">
            <wp:extent cx="5943600" cy="4662170"/>
            <wp:effectExtent l="0" t="0" r="0" b="0"/>
            <wp:docPr id="5" name="Picture 5" descr="Diagra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descr="Diagram&#10;&#10;Description automatically generated"/>
                    <pic:cNvPicPr/>
                  </pic:nvPicPr>
                  <pic:blipFill>
                    <a:blip r:embed="rId15"/>
                    <a:stretch>
                      <a:fillRect/>
                    </a:stretch>
                  </pic:blipFill>
                  <pic:spPr>
                    <a:xfrm>
                      <a:off x="0" y="0"/>
                      <a:ext cx="5943600" cy="4662170"/>
                    </a:xfrm>
                    <a:prstGeom prst="rect">
                      <a:avLst/>
                    </a:prstGeom>
                  </pic:spPr>
                </pic:pic>
              </a:graphicData>
            </a:graphic>
          </wp:inline>
        </w:drawing>
      </w:r>
    </w:p>
    <w:p w14:paraId="6B792891" w14:textId="77777777" w:rsidR="00126D8D" w:rsidRPr="007F77C5" w:rsidRDefault="00126D8D" w:rsidP="00987C3F">
      <w:pPr>
        <w:pStyle w:val="TOCFigures1"/>
        <w:rPr>
          <w:rFonts w:cs="Times New Roman"/>
        </w:rPr>
      </w:pPr>
      <w:bookmarkStart w:id="308" w:name="_Toc141478800"/>
      <w:r w:rsidRPr="007F77C5">
        <w:rPr>
          <w:rFonts w:cs="Times New Roman"/>
          <w:b/>
          <w:bCs/>
        </w:rPr>
        <w:t>Figure 1.5.</w:t>
      </w:r>
      <w:r w:rsidRPr="007F77C5">
        <w:rPr>
          <w:rFonts w:cs="Times New Roman"/>
        </w:rPr>
        <w:t xml:space="preserve"> The impact of various narrowband wavelength enhancements on secondary metabolism.</w:t>
      </w:r>
      <w:bookmarkEnd w:id="308"/>
    </w:p>
    <w:p w14:paraId="2216298E" w14:textId="77777777" w:rsidR="00126D8D" w:rsidRPr="007F77C5" w:rsidRDefault="00126D8D" w:rsidP="00987C3F">
      <w:pPr>
        <w:pStyle w:val="TOCFigures1"/>
        <w:rPr>
          <w:rFonts w:cs="Times New Roman"/>
        </w:rPr>
      </w:pPr>
    </w:p>
    <w:p w14:paraId="4744EF32" w14:textId="77777777" w:rsidR="00126D8D" w:rsidRPr="007F77C5" w:rsidRDefault="00126D8D" w:rsidP="00182739">
      <w:pPr>
        <w:pStyle w:val="MSThesisBodyTextJustified"/>
      </w:pPr>
      <w:r w:rsidRPr="007F77C5">
        <w:t>Source: (Holopainen et al., 2018)</w:t>
      </w:r>
    </w:p>
    <w:p w14:paraId="3A993D5C" w14:textId="77777777" w:rsidR="00126D8D" w:rsidRPr="007F77C5" w:rsidRDefault="00126D8D" w:rsidP="00224B41">
      <w:pPr>
        <w:rPr>
          <w:rFonts w:cs="Times New Roman"/>
          <w:color w:val="000000" w:themeColor="text1"/>
        </w:rPr>
      </w:pPr>
    </w:p>
    <w:p w14:paraId="23D3D75A" w14:textId="77777777" w:rsidR="00126D8D" w:rsidRPr="007F77C5" w:rsidRDefault="00126D8D" w:rsidP="00224B41">
      <w:pPr>
        <w:rPr>
          <w:rFonts w:cs="Times New Roman"/>
          <w:color w:val="000000" w:themeColor="text1"/>
        </w:rPr>
      </w:pPr>
    </w:p>
    <w:p w14:paraId="10F964E0" w14:textId="77777777" w:rsidR="00126D8D" w:rsidRPr="007F77C5" w:rsidRDefault="00126D8D" w:rsidP="00224B41">
      <w:pPr>
        <w:rPr>
          <w:rFonts w:cs="Times New Roman"/>
          <w:color w:val="000000" w:themeColor="text1"/>
        </w:rPr>
      </w:pPr>
      <w:r w:rsidRPr="007F77C5">
        <w:rPr>
          <w:rFonts w:cs="Times New Roman"/>
          <w:noProof/>
          <w:color w:val="000000" w:themeColor="text1"/>
        </w:rPr>
        <w:lastRenderedPageBreak/>
        <w:drawing>
          <wp:inline distT="0" distB="0" distL="0" distR="0" wp14:anchorId="3703997D" wp14:editId="202432DE">
            <wp:extent cx="5311588" cy="5346418"/>
            <wp:effectExtent l="0" t="0" r="0" b="0"/>
            <wp:docPr id="3" name="Picture 3" descr="Diagra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Diagram&#10;&#10;Description automatically generated"/>
                    <pic:cNvPicPr/>
                  </pic:nvPicPr>
                  <pic:blipFill>
                    <a:blip r:embed="rId16"/>
                    <a:stretch>
                      <a:fillRect/>
                    </a:stretch>
                  </pic:blipFill>
                  <pic:spPr>
                    <a:xfrm>
                      <a:off x="0" y="0"/>
                      <a:ext cx="5315054" cy="5349907"/>
                    </a:xfrm>
                    <a:prstGeom prst="rect">
                      <a:avLst/>
                    </a:prstGeom>
                  </pic:spPr>
                </pic:pic>
              </a:graphicData>
            </a:graphic>
          </wp:inline>
        </w:drawing>
      </w:r>
    </w:p>
    <w:p w14:paraId="4A9F9C4C" w14:textId="77777777" w:rsidR="00126D8D" w:rsidRPr="007F77C5" w:rsidRDefault="00126D8D" w:rsidP="00987C3F">
      <w:pPr>
        <w:pStyle w:val="TOCFigures1"/>
        <w:rPr>
          <w:rFonts w:cs="Times New Roman"/>
        </w:rPr>
      </w:pPr>
      <w:bookmarkStart w:id="309" w:name="_Toc141478801"/>
      <w:r w:rsidRPr="007F77C5">
        <w:rPr>
          <w:rFonts w:cs="Times New Roman"/>
          <w:b/>
          <w:bCs/>
        </w:rPr>
        <w:t xml:space="preserve">Figure 1.6. </w:t>
      </w:r>
      <w:r w:rsidRPr="007F77C5">
        <w:rPr>
          <w:rFonts w:cs="Times New Roman"/>
        </w:rPr>
        <w:t>Plant terpenoid secondary metabolic reactions and pathways.</w:t>
      </w:r>
      <w:bookmarkEnd w:id="309"/>
      <w:r w:rsidRPr="007F77C5">
        <w:rPr>
          <w:rFonts w:cs="Times New Roman"/>
        </w:rPr>
        <w:t xml:space="preserve"> </w:t>
      </w:r>
    </w:p>
    <w:p w14:paraId="683BEEEB" w14:textId="77777777" w:rsidR="00126D8D" w:rsidRPr="007F77C5" w:rsidRDefault="00126D8D" w:rsidP="00987C3F">
      <w:pPr>
        <w:pStyle w:val="TOCFigures1"/>
        <w:rPr>
          <w:rFonts w:cs="Times New Roman"/>
        </w:rPr>
      </w:pPr>
    </w:p>
    <w:p w14:paraId="5E498902" w14:textId="77777777" w:rsidR="00126D8D" w:rsidRPr="007F77C5" w:rsidRDefault="00126D8D" w:rsidP="00182739">
      <w:pPr>
        <w:pStyle w:val="MSThesisBodyTextJustified"/>
      </w:pPr>
      <w:r w:rsidRPr="007F77C5">
        <w:t>Source: (Wink, 2010)</w:t>
      </w:r>
    </w:p>
    <w:p w14:paraId="4619F12F" w14:textId="77777777" w:rsidR="00126D8D" w:rsidRPr="007F77C5" w:rsidRDefault="00126D8D" w:rsidP="00224B41">
      <w:pPr>
        <w:rPr>
          <w:rFonts w:cs="Times New Roman"/>
          <w:color w:val="000000" w:themeColor="text1"/>
        </w:rPr>
      </w:pPr>
    </w:p>
    <w:p w14:paraId="6C4681A5" w14:textId="77777777" w:rsidR="00126D8D" w:rsidRPr="007F77C5" w:rsidRDefault="00126D8D" w:rsidP="00224B41">
      <w:pPr>
        <w:rPr>
          <w:rFonts w:cs="Times New Roman"/>
          <w:color w:val="000000" w:themeColor="text1"/>
        </w:rPr>
      </w:pPr>
      <w:r w:rsidRPr="007F77C5">
        <w:rPr>
          <w:rFonts w:cs="Times New Roman"/>
          <w:color w:val="000000" w:themeColor="text1"/>
        </w:rPr>
        <w:t xml:space="preserve">  </w:t>
      </w:r>
    </w:p>
    <w:p w14:paraId="67E89485" w14:textId="77777777" w:rsidR="00126D8D" w:rsidRPr="007F77C5" w:rsidRDefault="00126D8D" w:rsidP="00224B41">
      <w:pPr>
        <w:rPr>
          <w:rFonts w:cs="Times New Roman"/>
          <w:color w:val="000000" w:themeColor="text1"/>
          <w:spacing w:val="5"/>
          <w:kern w:val="28"/>
          <w:sz w:val="52"/>
          <w:szCs w:val="52"/>
        </w:rPr>
      </w:pPr>
      <w:r w:rsidRPr="007F77C5">
        <w:rPr>
          <w:rFonts w:cs="Times New Roman"/>
          <w:color w:val="000000" w:themeColor="text1"/>
        </w:rPr>
        <w:br w:type="page"/>
      </w:r>
      <w:r w:rsidRPr="007F77C5">
        <w:rPr>
          <w:rFonts w:cs="Times New Roman"/>
          <w:noProof/>
          <w:color w:val="000000" w:themeColor="text1"/>
        </w:rPr>
        <w:lastRenderedPageBreak/>
        <w:drawing>
          <wp:inline distT="0" distB="0" distL="0" distR="0" wp14:anchorId="27C03C0D" wp14:editId="14CC8A8E">
            <wp:extent cx="5539740" cy="4165600"/>
            <wp:effectExtent l="0" t="0" r="0" b="0"/>
            <wp:docPr id="7" name="Picture 7" descr="Diagra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7" descr="Diagram&#10;&#10;Description automatically generated"/>
                    <pic:cNvPicPr/>
                  </pic:nvPicPr>
                  <pic:blipFill>
                    <a:blip r:embed="rId17"/>
                    <a:stretch>
                      <a:fillRect/>
                    </a:stretch>
                  </pic:blipFill>
                  <pic:spPr>
                    <a:xfrm>
                      <a:off x="0" y="0"/>
                      <a:ext cx="5547592" cy="4171504"/>
                    </a:xfrm>
                    <a:prstGeom prst="rect">
                      <a:avLst/>
                    </a:prstGeom>
                  </pic:spPr>
                </pic:pic>
              </a:graphicData>
            </a:graphic>
          </wp:inline>
        </w:drawing>
      </w:r>
    </w:p>
    <w:p w14:paraId="60969CA3" w14:textId="77777777" w:rsidR="00126D8D" w:rsidRPr="007F77C5" w:rsidRDefault="00126D8D" w:rsidP="00987C3F">
      <w:pPr>
        <w:pStyle w:val="TOCFigures1"/>
        <w:rPr>
          <w:rFonts w:cs="Times New Roman"/>
        </w:rPr>
      </w:pPr>
      <w:bookmarkStart w:id="310" w:name="_Toc141478802"/>
      <w:r w:rsidRPr="007F77C5">
        <w:rPr>
          <w:rFonts w:cs="Times New Roman"/>
          <w:b/>
          <w:bCs/>
        </w:rPr>
        <w:t>Figure 1.7.</w:t>
      </w:r>
      <w:r w:rsidRPr="007F77C5">
        <w:rPr>
          <w:rFonts w:cs="Times New Roman"/>
        </w:rPr>
        <w:t xml:space="preserve"> Isoprenogenic pathway for key volatile secondary metabolites in the mint family.</w:t>
      </w:r>
      <w:bookmarkEnd w:id="310"/>
    </w:p>
    <w:p w14:paraId="0D040FC1" w14:textId="77777777" w:rsidR="00126D8D" w:rsidRPr="007F77C5" w:rsidRDefault="00126D8D" w:rsidP="00987C3F">
      <w:pPr>
        <w:pStyle w:val="TOCFigures1"/>
        <w:rPr>
          <w:rFonts w:cs="Times New Roman"/>
        </w:rPr>
      </w:pPr>
    </w:p>
    <w:p w14:paraId="6FDD2039" w14:textId="77777777" w:rsidR="00126D8D" w:rsidRPr="007F77C5" w:rsidRDefault="00126D8D" w:rsidP="00A9290A">
      <w:pPr>
        <w:pStyle w:val="MSThesisBodyTextJustified"/>
      </w:pPr>
      <w:r w:rsidRPr="007F77C5">
        <w:t>Source: (Wink, 2010)</w:t>
      </w:r>
    </w:p>
    <w:p w14:paraId="112A24FE" w14:textId="77777777" w:rsidR="00126D8D" w:rsidRPr="007F77C5" w:rsidRDefault="00126D8D" w:rsidP="00224B41">
      <w:pPr>
        <w:ind w:left="720" w:hanging="720"/>
        <w:jc w:val="both"/>
        <w:rPr>
          <w:rFonts w:cs="Times New Roman"/>
          <w:noProof/>
        </w:rPr>
      </w:pPr>
    </w:p>
    <w:p w14:paraId="18D9E889" w14:textId="77777777" w:rsidR="00126D8D" w:rsidRPr="007F77C5" w:rsidRDefault="00126D8D">
      <w:pPr>
        <w:spacing w:line="240" w:lineRule="auto"/>
        <w:rPr>
          <w:rFonts w:cs="Times New Roman"/>
        </w:rPr>
      </w:pPr>
      <w:r w:rsidRPr="007F77C5">
        <w:rPr>
          <w:rFonts w:cs="Times New Roman"/>
        </w:rPr>
        <w:br w:type="page"/>
      </w:r>
    </w:p>
    <w:p w14:paraId="7ABA9573" w14:textId="77777777" w:rsidR="00126D8D" w:rsidRPr="007F77C5" w:rsidRDefault="00126D8D" w:rsidP="003E520D">
      <w:pPr>
        <w:rPr>
          <w:rFonts w:cs="Times New Roman"/>
        </w:rPr>
      </w:pPr>
    </w:p>
    <w:p w14:paraId="63045A21" w14:textId="77777777" w:rsidR="00126D8D" w:rsidRPr="007F77C5" w:rsidRDefault="00126D8D" w:rsidP="003E520D">
      <w:pPr>
        <w:rPr>
          <w:rFonts w:cs="Times New Roman"/>
        </w:rPr>
      </w:pPr>
    </w:p>
    <w:p w14:paraId="39029FD8" w14:textId="77777777" w:rsidR="00126D8D" w:rsidRPr="007F77C5" w:rsidRDefault="00126D8D" w:rsidP="003E520D">
      <w:pPr>
        <w:rPr>
          <w:rFonts w:cs="Times New Roman"/>
        </w:rPr>
      </w:pPr>
    </w:p>
    <w:p w14:paraId="34BB04F9" w14:textId="77777777" w:rsidR="00126D8D" w:rsidRPr="007F77C5" w:rsidRDefault="00126D8D" w:rsidP="003E520D">
      <w:pPr>
        <w:rPr>
          <w:rFonts w:cs="Times New Roman"/>
        </w:rPr>
      </w:pPr>
    </w:p>
    <w:p w14:paraId="05BAA6B1" w14:textId="77777777" w:rsidR="00126D8D" w:rsidRPr="007F77C5" w:rsidRDefault="00126D8D" w:rsidP="003E520D">
      <w:pPr>
        <w:rPr>
          <w:rFonts w:cs="Times New Roman"/>
        </w:rPr>
      </w:pPr>
    </w:p>
    <w:p w14:paraId="64998CCB" w14:textId="77777777" w:rsidR="00126D8D" w:rsidRPr="007F77C5" w:rsidRDefault="00126D8D" w:rsidP="003E520D">
      <w:pPr>
        <w:rPr>
          <w:rFonts w:cs="Times New Roman"/>
        </w:rPr>
      </w:pPr>
    </w:p>
    <w:p w14:paraId="71BB464C" w14:textId="77777777" w:rsidR="00126D8D" w:rsidRPr="007F77C5" w:rsidRDefault="00126D8D" w:rsidP="003E520D">
      <w:pPr>
        <w:rPr>
          <w:rFonts w:cs="Times New Roman"/>
        </w:rPr>
      </w:pPr>
    </w:p>
    <w:p w14:paraId="3884C9CC" w14:textId="77777777" w:rsidR="00126D8D" w:rsidRPr="007F77C5" w:rsidRDefault="00126D8D" w:rsidP="003E520D">
      <w:pPr>
        <w:rPr>
          <w:rFonts w:cs="Times New Roman"/>
        </w:rPr>
      </w:pPr>
    </w:p>
    <w:p w14:paraId="593E5812" w14:textId="77777777" w:rsidR="00126D8D" w:rsidRPr="007F77C5" w:rsidRDefault="00126D8D" w:rsidP="003E520D">
      <w:pPr>
        <w:rPr>
          <w:rFonts w:cs="Times New Roman"/>
        </w:rPr>
      </w:pPr>
    </w:p>
    <w:p w14:paraId="47C596E3" w14:textId="77777777" w:rsidR="00126D8D" w:rsidRPr="007F77C5" w:rsidRDefault="00126D8D" w:rsidP="003E520D">
      <w:pPr>
        <w:rPr>
          <w:rFonts w:cs="Times New Roman"/>
        </w:rPr>
      </w:pPr>
    </w:p>
    <w:p w14:paraId="023A4EF9" w14:textId="77777777" w:rsidR="00126D8D" w:rsidRPr="007F77C5" w:rsidRDefault="00126D8D" w:rsidP="003E520D">
      <w:pPr>
        <w:rPr>
          <w:rFonts w:cs="Times New Roman"/>
        </w:rPr>
      </w:pPr>
    </w:p>
    <w:p w14:paraId="11F44508" w14:textId="77777777" w:rsidR="00126D8D" w:rsidRPr="007F77C5" w:rsidRDefault="00126D8D" w:rsidP="003E520D">
      <w:pPr>
        <w:rPr>
          <w:rFonts w:cs="Times New Roman"/>
        </w:rPr>
      </w:pPr>
    </w:p>
    <w:p w14:paraId="6308FB94" w14:textId="77777777" w:rsidR="00126D8D" w:rsidRPr="007F77C5" w:rsidRDefault="00126D8D" w:rsidP="003E520D">
      <w:pPr>
        <w:rPr>
          <w:rFonts w:cs="Times New Roman"/>
        </w:rPr>
      </w:pPr>
    </w:p>
    <w:p w14:paraId="6AA84C08" w14:textId="77777777" w:rsidR="00126D8D" w:rsidRPr="007F77C5" w:rsidRDefault="00126D8D" w:rsidP="003E520D">
      <w:pPr>
        <w:rPr>
          <w:rFonts w:cs="Times New Roman"/>
        </w:rPr>
      </w:pPr>
    </w:p>
    <w:p w14:paraId="5579C4FE" w14:textId="77777777" w:rsidR="00126D8D" w:rsidRPr="007F77C5" w:rsidRDefault="00126D8D" w:rsidP="003E520D">
      <w:pPr>
        <w:pStyle w:val="MastersThesisChapter"/>
        <w:framePr w:wrap="around"/>
        <w:rPr>
          <w:rFonts w:cs="Times New Roman"/>
        </w:rPr>
      </w:pPr>
      <w:bookmarkStart w:id="311" w:name="_Toc139574786"/>
      <w:bookmarkStart w:id="312" w:name="_Toc141478656"/>
      <w:r w:rsidRPr="007F77C5">
        <w:rPr>
          <w:rFonts w:cs="Times New Roman"/>
        </w:rPr>
        <w:t>CHAPTER 2: QUANTIFICATION OF MEDICINALLY IMPORTANT VOLATILE ORGANIC COMPOUNDS IN COMMON BASIL VARIETIES</w:t>
      </w:r>
      <w:bookmarkEnd w:id="311"/>
      <w:bookmarkEnd w:id="312"/>
    </w:p>
    <w:p w14:paraId="3B87284E" w14:textId="77777777" w:rsidR="00126D8D" w:rsidRPr="007F77C5" w:rsidRDefault="00126D8D" w:rsidP="003E520D">
      <w:pPr>
        <w:rPr>
          <w:rFonts w:cs="Times New Roman"/>
        </w:rPr>
      </w:pPr>
      <w:r w:rsidRPr="007F77C5">
        <w:rPr>
          <w:rFonts w:cs="Times New Roman"/>
        </w:rPr>
        <w:br w:type="page"/>
      </w:r>
    </w:p>
    <w:p w14:paraId="4B21FE9E" w14:textId="77777777" w:rsidR="00126D8D" w:rsidRPr="00FA1BCF" w:rsidRDefault="00126D8D" w:rsidP="00FA1BCF">
      <w:pPr>
        <w:spacing w:line="240" w:lineRule="auto"/>
        <w:jc w:val="both"/>
        <w:rPr>
          <w:b/>
          <w:bCs/>
          <w:i/>
          <w:iCs/>
          <w:sz w:val="28"/>
          <w:szCs w:val="28"/>
        </w:rPr>
      </w:pPr>
      <w:r w:rsidRPr="00FA1BCF">
        <w:rPr>
          <w:b/>
          <w:bCs/>
          <w:sz w:val="28"/>
          <w:szCs w:val="28"/>
        </w:rPr>
        <w:lastRenderedPageBreak/>
        <w:t>Hunter A. Hammock and Carl E. Sams</w:t>
      </w:r>
    </w:p>
    <w:p w14:paraId="7231DBC5" w14:textId="77777777" w:rsidR="00126D8D" w:rsidRPr="00747A19" w:rsidRDefault="00126D8D" w:rsidP="00FA1BCF">
      <w:pPr>
        <w:spacing w:line="240" w:lineRule="auto"/>
        <w:jc w:val="both"/>
        <w:rPr>
          <w:rFonts w:cs="Times New Roman"/>
        </w:rPr>
      </w:pPr>
      <w:r w:rsidRPr="00747A19">
        <w:rPr>
          <w:rFonts w:cs="Times New Roman"/>
        </w:rPr>
        <w:t>Department of Plant Sciences, The University of Tennessee, Knoxville, TN 37996</w:t>
      </w:r>
    </w:p>
    <w:p w14:paraId="7DC915BD" w14:textId="77777777" w:rsidR="00126D8D" w:rsidRPr="00747A19" w:rsidRDefault="00126D8D" w:rsidP="00FA1BCF">
      <w:pPr>
        <w:spacing w:line="240" w:lineRule="auto"/>
        <w:jc w:val="both"/>
        <w:rPr>
          <w:rFonts w:cs="Times New Roman"/>
        </w:rPr>
      </w:pPr>
    </w:p>
    <w:p w14:paraId="2653F98F" w14:textId="77777777" w:rsidR="00126D8D" w:rsidRPr="00747A19" w:rsidRDefault="00126D8D" w:rsidP="00FA1BCF">
      <w:pPr>
        <w:spacing w:line="240" w:lineRule="auto"/>
        <w:jc w:val="both"/>
      </w:pPr>
      <w:r w:rsidRPr="00FA1BCF">
        <w:rPr>
          <w:b/>
          <w:bCs/>
        </w:rPr>
        <w:t>Correspondence:</w:t>
      </w:r>
      <w:r w:rsidRPr="00747A19">
        <w:t xml:space="preserve"> Carl E. Sams, </w:t>
      </w:r>
      <w:hyperlink r:id="rId18" w:history="1">
        <w:r w:rsidRPr="00747A19">
          <w:rPr>
            <w:rStyle w:val="Hyperlink"/>
          </w:rPr>
          <w:t>carlsams@utk.edu</w:t>
        </w:r>
      </w:hyperlink>
    </w:p>
    <w:p w14:paraId="7E99AD33" w14:textId="77777777" w:rsidR="00126D8D" w:rsidRDefault="00126D8D" w:rsidP="00FA1BCF">
      <w:pPr>
        <w:spacing w:line="240" w:lineRule="auto"/>
        <w:jc w:val="both"/>
      </w:pPr>
    </w:p>
    <w:p w14:paraId="68967DF4" w14:textId="77777777" w:rsidR="00126D8D" w:rsidRDefault="00126D8D" w:rsidP="00FA1BCF">
      <w:pPr>
        <w:spacing w:line="240" w:lineRule="auto"/>
        <w:jc w:val="both"/>
        <w:rPr>
          <w:b/>
        </w:rPr>
      </w:pPr>
      <w:r w:rsidRPr="00FA1BCF">
        <w:rPr>
          <w:b/>
          <w:bCs/>
        </w:rPr>
        <w:t>Keywords:</w:t>
      </w:r>
      <w:r w:rsidRPr="00747A19">
        <w:t xml:space="preserve"> </w:t>
      </w:r>
      <w:r w:rsidRPr="00CB34FF">
        <w:t>Bioactive Compounds, Controlled Environment, Flavor Volatiles, Ocimum Basilicum, Secondary Metabolism, Terpenoids, and VOCs</w:t>
      </w:r>
    </w:p>
    <w:p w14:paraId="706AE05D" w14:textId="77777777" w:rsidR="00126D8D" w:rsidRDefault="00126D8D" w:rsidP="00FA1BCF">
      <w:pPr>
        <w:spacing w:line="240" w:lineRule="auto"/>
        <w:jc w:val="both"/>
        <w:rPr>
          <w:b/>
        </w:rPr>
      </w:pPr>
    </w:p>
    <w:p w14:paraId="4F2E511C" w14:textId="77777777" w:rsidR="00126D8D" w:rsidRPr="00747A19" w:rsidRDefault="00126D8D" w:rsidP="00FA1BCF">
      <w:pPr>
        <w:spacing w:line="240" w:lineRule="auto"/>
        <w:jc w:val="both"/>
        <w:rPr>
          <w:rFonts w:cs="Times New Roman"/>
        </w:rPr>
      </w:pPr>
      <w:r w:rsidRPr="00747A19">
        <w:rPr>
          <w:rFonts w:cs="Times New Roman"/>
          <w:b/>
          <w:bCs/>
        </w:rPr>
        <w:t>Author Contributions</w:t>
      </w:r>
      <w:r>
        <w:rPr>
          <w:rFonts w:cs="Times New Roman"/>
        </w:rPr>
        <w:t>:</w:t>
      </w:r>
    </w:p>
    <w:p w14:paraId="3EEA8CCB" w14:textId="77777777" w:rsidR="00126D8D" w:rsidRPr="00747A19" w:rsidRDefault="00126D8D" w:rsidP="00FA1BCF">
      <w:pPr>
        <w:spacing w:line="240" w:lineRule="auto"/>
        <w:jc w:val="both"/>
        <w:rPr>
          <w:rFonts w:cs="Times New Roman"/>
        </w:rPr>
      </w:pPr>
      <w:r w:rsidRPr="00747A19">
        <w:rPr>
          <w:rFonts w:cs="Times New Roman"/>
        </w:rPr>
        <w:t>Conceptualization – HAH, CES</w:t>
      </w:r>
    </w:p>
    <w:p w14:paraId="4728179F" w14:textId="77777777" w:rsidR="00126D8D" w:rsidRPr="00747A19" w:rsidRDefault="00126D8D" w:rsidP="00FA1BCF">
      <w:pPr>
        <w:spacing w:line="240" w:lineRule="auto"/>
        <w:jc w:val="both"/>
        <w:rPr>
          <w:rFonts w:cs="Times New Roman"/>
        </w:rPr>
      </w:pPr>
      <w:r w:rsidRPr="00747A19">
        <w:rPr>
          <w:rFonts w:cs="Times New Roman"/>
        </w:rPr>
        <w:t>Methodology – HAH, CES</w:t>
      </w:r>
    </w:p>
    <w:p w14:paraId="681EFA5D" w14:textId="77777777" w:rsidR="00126D8D" w:rsidRPr="00747A19" w:rsidRDefault="00126D8D" w:rsidP="00FA1BCF">
      <w:pPr>
        <w:spacing w:line="240" w:lineRule="auto"/>
        <w:jc w:val="both"/>
        <w:rPr>
          <w:rFonts w:cs="Times New Roman"/>
        </w:rPr>
      </w:pPr>
      <w:r w:rsidRPr="00747A19">
        <w:rPr>
          <w:rFonts w:cs="Times New Roman"/>
        </w:rPr>
        <w:t>Software – HAH, CES</w:t>
      </w:r>
    </w:p>
    <w:p w14:paraId="0777A631" w14:textId="77777777" w:rsidR="00126D8D" w:rsidRPr="00747A19" w:rsidRDefault="00126D8D" w:rsidP="00FA1BCF">
      <w:pPr>
        <w:spacing w:line="240" w:lineRule="auto"/>
        <w:jc w:val="both"/>
        <w:rPr>
          <w:rFonts w:cs="Times New Roman"/>
        </w:rPr>
      </w:pPr>
      <w:r w:rsidRPr="00747A19">
        <w:rPr>
          <w:rFonts w:cs="Times New Roman"/>
        </w:rPr>
        <w:t>Validation – HAH</w:t>
      </w:r>
    </w:p>
    <w:p w14:paraId="142F6891" w14:textId="77777777" w:rsidR="00126D8D" w:rsidRPr="00747A19" w:rsidRDefault="00126D8D" w:rsidP="00FA1BCF">
      <w:pPr>
        <w:spacing w:line="240" w:lineRule="auto"/>
        <w:jc w:val="both"/>
        <w:rPr>
          <w:rFonts w:cs="Times New Roman"/>
        </w:rPr>
      </w:pPr>
      <w:r w:rsidRPr="00747A19">
        <w:rPr>
          <w:rFonts w:cs="Times New Roman"/>
        </w:rPr>
        <w:t>Formal analysis – HAH</w:t>
      </w:r>
    </w:p>
    <w:p w14:paraId="79CB3014" w14:textId="77777777" w:rsidR="00126D8D" w:rsidRPr="00747A19" w:rsidRDefault="00126D8D" w:rsidP="00FA1BCF">
      <w:pPr>
        <w:spacing w:line="240" w:lineRule="auto"/>
        <w:jc w:val="both"/>
        <w:rPr>
          <w:rFonts w:cs="Times New Roman"/>
        </w:rPr>
      </w:pPr>
      <w:r w:rsidRPr="00747A19">
        <w:rPr>
          <w:rFonts w:cs="Times New Roman"/>
        </w:rPr>
        <w:t>Investigation – HAH</w:t>
      </w:r>
    </w:p>
    <w:p w14:paraId="03007252" w14:textId="77777777" w:rsidR="00126D8D" w:rsidRPr="00747A19" w:rsidRDefault="00126D8D" w:rsidP="00FA1BCF">
      <w:pPr>
        <w:spacing w:line="240" w:lineRule="auto"/>
        <w:jc w:val="both"/>
        <w:rPr>
          <w:rFonts w:cs="Times New Roman"/>
        </w:rPr>
      </w:pPr>
      <w:r w:rsidRPr="00747A19">
        <w:rPr>
          <w:rFonts w:cs="Times New Roman"/>
        </w:rPr>
        <w:t xml:space="preserve">Resources – CES </w:t>
      </w:r>
    </w:p>
    <w:p w14:paraId="432E5B6D" w14:textId="77777777" w:rsidR="00126D8D" w:rsidRPr="00747A19" w:rsidRDefault="00126D8D" w:rsidP="00182739">
      <w:pPr>
        <w:spacing w:line="240" w:lineRule="auto"/>
        <w:jc w:val="both"/>
        <w:rPr>
          <w:rFonts w:cs="Times New Roman"/>
          <w:color w:val="000000" w:themeColor="text1"/>
        </w:rPr>
      </w:pPr>
      <w:r w:rsidRPr="00747A19">
        <w:rPr>
          <w:rFonts w:cs="Times New Roman"/>
          <w:color w:val="000000" w:themeColor="text1"/>
        </w:rPr>
        <w:t>Data curation – HAH</w:t>
      </w:r>
    </w:p>
    <w:p w14:paraId="647641CF" w14:textId="77777777" w:rsidR="00126D8D" w:rsidRPr="00747A19" w:rsidRDefault="00126D8D" w:rsidP="00182739">
      <w:pPr>
        <w:spacing w:line="240" w:lineRule="auto"/>
        <w:jc w:val="both"/>
        <w:rPr>
          <w:rFonts w:cs="Times New Roman"/>
          <w:color w:val="000000" w:themeColor="text1"/>
        </w:rPr>
      </w:pPr>
      <w:r w:rsidRPr="00747A19">
        <w:rPr>
          <w:rFonts w:cs="Times New Roman"/>
          <w:color w:val="000000" w:themeColor="text1"/>
        </w:rPr>
        <w:t>Writing (original draft preparation) - HAH</w:t>
      </w:r>
    </w:p>
    <w:p w14:paraId="27C7918B" w14:textId="77777777" w:rsidR="00126D8D" w:rsidRPr="00747A19" w:rsidRDefault="00126D8D" w:rsidP="00182739">
      <w:pPr>
        <w:spacing w:line="240" w:lineRule="auto"/>
        <w:jc w:val="both"/>
        <w:rPr>
          <w:rFonts w:cs="Times New Roman"/>
          <w:color w:val="000000" w:themeColor="text1"/>
        </w:rPr>
      </w:pPr>
      <w:r w:rsidRPr="00747A19">
        <w:rPr>
          <w:rFonts w:cs="Times New Roman"/>
          <w:color w:val="000000" w:themeColor="text1"/>
        </w:rPr>
        <w:t>Writing (review and editing) – HAH, CES</w:t>
      </w:r>
    </w:p>
    <w:p w14:paraId="2E275831" w14:textId="77777777" w:rsidR="00126D8D" w:rsidRPr="00747A19" w:rsidRDefault="00126D8D" w:rsidP="00182739">
      <w:pPr>
        <w:spacing w:line="240" w:lineRule="auto"/>
        <w:jc w:val="both"/>
        <w:rPr>
          <w:rFonts w:cs="Times New Roman"/>
          <w:color w:val="000000" w:themeColor="text1"/>
        </w:rPr>
      </w:pPr>
      <w:r w:rsidRPr="00747A19">
        <w:rPr>
          <w:rFonts w:cs="Times New Roman"/>
          <w:color w:val="000000" w:themeColor="text1"/>
        </w:rPr>
        <w:t xml:space="preserve">Visualization – HAH  </w:t>
      </w:r>
    </w:p>
    <w:p w14:paraId="366F0959" w14:textId="77777777" w:rsidR="00126D8D" w:rsidRPr="00747A19" w:rsidRDefault="00126D8D" w:rsidP="00182739">
      <w:pPr>
        <w:spacing w:line="240" w:lineRule="auto"/>
        <w:jc w:val="both"/>
        <w:rPr>
          <w:rFonts w:cs="Times New Roman"/>
          <w:color w:val="000000" w:themeColor="text1"/>
        </w:rPr>
      </w:pPr>
      <w:r w:rsidRPr="00747A19">
        <w:rPr>
          <w:rFonts w:cs="Times New Roman"/>
          <w:color w:val="000000" w:themeColor="text1"/>
        </w:rPr>
        <w:t>Supervision and project administration – CES</w:t>
      </w:r>
    </w:p>
    <w:p w14:paraId="5CC661FD" w14:textId="77777777" w:rsidR="00126D8D" w:rsidRPr="00747A19" w:rsidRDefault="00126D8D" w:rsidP="00182739">
      <w:pPr>
        <w:spacing w:line="240" w:lineRule="auto"/>
        <w:jc w:val="both"/>
        <w:rPr>
          <w:rFonts w:cs="Times New Roman"/>
          <w:color w:val="000000" w:themeColor="text1"/>
        </w:rPr>
      </w:pPr>
      <w:r w:rsidRPr="00747A19">
        <w:rPr>
          <w:rFonts w:cs="Times New Roman"/>
          <w:color w:val="000000" w:themeColor="text1"/>
        </w:rPr>
        <w:t>Funding acquisition – CES</w:t>
      </w:r>
    </w:p>
    <w:p w14:paraId="41AA0BC4" w14:textId="77777777" w:rsidR="00126D8D" w:rsidRDefault="00126D8D" w:rsidP="00182739">
      <w:pPr>
        <w:spacing w:line="240" w:lineRule="auto"/>
        <w:jc w:val="both"/>
        <w:rPr>
          <w:rFonts w:cs="Times New Roman"/>
          <w:color w:val="000000" w:themeColor="text1"/>
        </w:rPr>
      </w:pPr>
    </w:p>
    <w:p w14:paraId="33922469" w14:textId="77777777" w:rsidR="00126D8D" w:rsidRPr="003F0091" w:rsidRDefault="00126D8D" w:rsidP="00182739">
      <w:pPr>
        <w:spacing w:line="240" w:lineRule="auto"/>
        <w:jc w:val="both"/>
        <w:rPr>
          <w:rFonts w:cs="Times New Roman"/>
          <w:b/>
          <w:bCs/>
          <w:color w:val="000000" w:themeColor="text1"/>
        </w:rPr>
      </w:pPr>
      <w:r w:rsidRPr="003F0091">
        <w:rPr>
          <w:rFonts w:cs="Times New Roman"/>
          <w:b/>
          <w:bCs/>
          <w:color w:val="000000" w:themeColor="text1"/>
        </w:rPr>
        <w:t>Author Statement</w:t>
      </w:r>
      <w:r>
        <w:rPr>
          <w:rFonts w:cs="Times New Roman"/>
          <w:b/>
          <w:bCs/>
          <w:color w:val="000000" w:themeColor="text1"/>
        </w:rPr>
        <w:t>:</w:t>
      </w:r>
    </w:p>
    <w:p w14:paraId="088BB18E" w14:textId="77777777" w:rsidR="00126D8D" w:rsidRPr="003F0091" w:rsidRDefault="00126D8D" w:rsidP="00182739">
      <w:pPr>
        <w:spacing w:line="240" w:lineRule="auto"/>
        <w:jc w:val="both"/>
        <w:rPr>
          <w:rFonts w:cs="Times New Roman"/>
          <w:color w:val="000000" w:themeColor="text1"/>
        </w:rPr>
      </w:pPr>
      <w:r w:rsidRPr="003F0091">
        <w:rPr>
          <w:rFonts w:cs="Times New Roman"/>
          <w:color w:val="000000" w:themeColor="text1"/>
        </w:rPr>
        <w:t>All authors have reviewed the manuscript and agree with the reported findings. There are no reported conflicts between the authors and the present study.</w:t>
      </w:r>
    </w:p>
    <w:p w14:paraId="72274D27" w14:textId="77777777" w:rsidR="00126D8D" w:rsidRPr="003F0091" w:rsidRDefault="00126D8D" w:rsidP="00182739">
      <w:pPr>
        <w:spacing w:line="240" w:lineRule="auto"/>
        <w:jc w:val="both"/>
        <w:rPr>
          <w:rFonts w:cs="Times New Roman"/>
          <w:color w:val="000000" w:themeColor="text1"/>
        </w:rPr>
      </w:pPr>
    </w:p>
    <w:p w14:paraId="68C7D6B0" w14:textId="77777777" w:rsidR="00126D8D" w:rsidRPr="003F0091" w:rsidRDefault="00126D8D" w:rsidP="00182739">
      <w:pPr>
        <w:spacing w:line="240" w:lineRule="auto"/>
        <w:jc w:val="both"/>
        <w:rPr>
          <w:rFonts w:cs="Times New Roman"/>
          <w:b/>
          <w:bCs/>
          <w:color w:val="000000" w:themeColor="text1"/>
        </w:rPr>
      </w:pPr>
      <w:r w:rsidRPr="003F0091">
        <w:rPr>
          <w:rFonts w:cs="Times New Roman"/>
          <w:b/>
          <w:bCs/>
          <w:color w:val="000000" w:themeColor="text1"/>
        </w:rPr>
        <w:t>Funding</w:t>
      </w:r>
      <w:r>
        <w:rPr>
          <w:rFonts w:cs="Times New Roman"/>
          <w:b/>
          <w:bCs/>
          <w:color w:val="000000" w:themeColor="text1"/>
        </w:rPr>
        <w:t>:</w:t>
      </w:r>
    </w:p>
    <w:p w14:paraId="55841226" w14:textId="77777777" w:rsidR="00126D8D" w:rsidRPr="003F0091" w:rsidRDefault="00126D8D" w:rsidP="00182739">
      <w:pPr>
        <w:spacing w:line="240" w:lineRule="auto"/>
        <w:jc w:val="both"/>
        <w:rPr>
          <w:rFonts w:cs="Times New Roman"/>
          <w:color w:val="000000" w:themeColor="text1"/>
        </w:rPr>
      </w:pPr>
      <w:r w:rsidRPr="003F0091">
        <w:rPr>
          <w:rFonts w:cs="Times New Roman"/>
          <w:color w:val="000000" w:themeColor="text1"/>
        </w:rPr>
        <w:t>This research was supported by The AgResearch Dean’s Office within the University of Tennessee Institute of Agriculture. No external funds were used for the present study.</w:t>
      </w:r>
    </w:p>
    <w:p w14:paraId="46B93171" w14:textId="77777777" w:rsidR="00126D8D" w:rsidRPr="003F0091" w:rsidRDefault="00126D8D" w:rsidP="00182739">
      <w:pPr>
        <w:spacing w:line="240" w:lineRule="auto"/>
        <w:jc w:val="both"/>
        <w:rPr>
          <w:rFonts w:cs="Times New Roman"/>
          <w:color w:val="000000" w:themeColor="text1"/>
        </w:rPr>
      </w:pPr>
    </w:p>
    <w:p w14:paraId="49AA9CA2" w14:textId="77777777" w:rsidR="00126D8D" w:rsidRDefault="00126D8D" w:rsidP="00182739">
      <w:pPr>
        <w:spacing w:line="240" w:lineRule="auto"/>
        <w:jc w:val="both"/>
        <w:rPr>
          <w:rFonts w:cs="Times New Roman"/>
          <w:b/>
          <w:bCs/>
          <w:color w:val="000000" w:themeColor="text1"/>
        </w:rPr>
      </w:pPr>
      <w:r w:rsidRPr="00F15D90">
        <w:rPr>
          <w:rFonts w:cs="Times New Roman"/>
          <w:b/>
          <w:bCs/>
          <w:color w:val="000000" w:themeColor="text1"/>
        </w:rPr>
        <w:t>Disclosure</w:t>
      </w:r>
      <w:r>
        <w:rPr>
          <w:rFonts w:cs="Times New Roman"/>
          <w:b/>
          <w:bCs/>
          <w:color w:val="000000" w:themeColor="text1"/>
        </w:rPr>
        <w:t>:</w:t>
      </w:r>
    </w:p>
    <w:p w14:paraId="3147D1DD" w14:textId="77777777" w:rsidR="00126D8D" w:rsidRDefault="00126D8D" w:rsidP="00182739">
      <w:pPr>
        <w:spacing w:line="240" w:lineRule="auto"/>
        <w:jc w:val="both"/>
        <w:rPr>
          <w:rFonts w:cs="Times New Roman"/>
          <w:color w:val="000000" w:themeColor="text1"/>
        </w:rPr>
      </w:pPr>
      <w:r>
        <w:rPr>
          <w:rFonts w:cs="Times New Roman"/>
          <w:color w:val="000000" w:themeColor="text1"/>
        </w:rPr>
        <w:t>This manuscript and its contents were published in Acta Horticulturae in November, 2021.</w:t>
      </w:r>
    </w:p>
    <w:p w14:paraId="2B4ACB0D" w14:textId="77777777" w:rsidR="00126D8D" w:rsidRDefault="00126D8D" w:rsidP="00182739">
      <w:pPr>
        <w:spacing w:line="240" w:lineRule="auto"/>
        <w:jc w:val="both"/>
        <w:rPr>
          <w:rFonts w:cs="Times New Roman"/>
          <w:color w:val="000000" w:themeColor="text1"/>
        </w:rPr>
      </w:pPr>
    </w:p>
    <w:p w14:paraId="6F5C7B4D" w14:textId="77777777" w:rsidR="00126D8D" w:rsidRPr="00CB34FF" w:rsidRDefault="00126D8D" w:rsidP="00182739">
      <w:pPr>
        <w:spacing w:line="240" w:lineRule="auto"/>
        <w:jc w:val="both"/>
        <w:rPr>
          <w:rFonts w:cs="Times New Roman"/>
          <w:b/>
          <w:bCs/>
          <w:color w:val="000000" w:themeColor="text1"/>
        </w:rPr>
      </w:pPr>
      <w:r>
        <w:rPr>
          <w:rFonts w:cs="Times New Roman"/>
          <w:b/>
          <w:bCs/>
          <w:color w:val="000000" w:themeColor="text1"/>
        </w:rPr>
        <w:t>Citation:</w:t>
      </w:r>
    </w:p>
    <w:p w14:paraId="49F3210C" w14:textId="77777777" w:rsidR="00126D8D" w:rsidRPr="007F77C5" w:rsidRDefault="00126D8D" w:rsidP="00FA1BCF">
      <w:pPr>
        <w:spacing w:line="240" w:lineRule="auto"/>
      </w:pPr>
      <w:r w:rsidRPr="007F77C5">
        <w:t xml:space="preserve">Hammock, H.A. and Sams, C.E. (2021). Quantification of medicinally important volatile organic compounds in common basil cultivars. </w:t>
      </w:r>
      <w:r w:rsidRPr="007F77C5">
        <w:rPr>
          <w:i/>
          <w:iCs/>
        </w:rPr>
        <w:t>Acta Hortic</w:t>
      </w:r>
      <w:r w:rsidRPr="007F77C5">
        <w:t>. 1329, 113-122</w:t>
      </w:r>
      <w:r w:rsidRPr="007F77C5">
        <w:br/>
        <w:t>DOI: 10.17660/ActaHortic.2021.1329.14</w:t>
      </w:r>
    </w:p>
    <w:p w14:paraId="0F47AEBE" w14:textId="77777777" w:rsidR="00126D8D" w:rsidRDefault="00126D8D" w:rsidP="00CB34FF">
      <w:pPr>
        <w:spacing w:line="240" w:lineRule="auto"/>
        <w:rPr>
          <w:rFonts w:cs="Times New Roman"/>
          <w:b/>
          <w:sz w:val="28"/>
        </w:rPr>
      </w:pPr>
      <w:r>
        <w:br w:type="page"/>
      </w:r>
    </w:p>
    <w:p w14:paraId="4C075948" w14:textId="77777777" w:rsidR="00126D8D" w:rsidRPr="007F77C5" w:rsidRDefault="00126D8D" w:rsidP="005D002E">
      <w:pPr>
        <w:pStyle w:val="MastersThesisMainTitle"/>
      </w:pPr>
      <w:bookmarkStart w:id="313" w:name="_Toc139574787"/>
      <w:bookmarkStart w:id="314" w:name="_Toc141478657"/>
      <w:r w:rsidRPr="007F77C5">
        <w:lastRenderedPageBreak/>
        <w:t>Abstract</w:t>
      </w:r>
      <w:bookmarkEnd w:id="313"/>
      <w:bookmarkEnd w:id="314"/>
    </w:p>
    <w:p w14:paraId="50F90A14" w14:textId="77777777" w:rsidR="00126D8D" w:rsidRPr="007F77C5" w:rsidRDefault="00126D8D" w:rsidP="00182739">
      <w:pPr>
        <w:pStyle w:val="MSThesisBodyTextJustified"/>
      </w:pPr>
      <w:r w:rsidRPr="007F77C5">
        <w:t>Basil is a globally cultivated herb with considerable demand because of its wide range of culinary and medicinal uses. Basil has high levels of aromatic terpenoids, also known as volatile organic compounds (VOCs). Many of these volatiles are known for their positive health benefits in addition to being primary drivers of flavor and aroma. Inhalation and dietary consumption of terpenes have been shown to induce several medically significant effects such as reducing inflammation, preventing heart disease/cancer, managing pain, curing fungal/bacterial infections, and decreasing anxiety/depression symptoms. To date, there are very few studies that evaluate the VOC profiles of basil varieties in relation to key flavor volatiles and human health benefits. The objective of this study was to quantify VOCs with known medicinal benefits in common varieties of basil. Seven basil varieties were used: ‘Genovese,’ ‘Siam Queen,’ ‘Spicy Globe,’ ‘Dark Opal,’ (</w:t>
      </w:r>
      <w:r w:rsidRPr="007F77C5">
        <w:rPr>
          <w:i/>
          <w:iCs/>
        </w:rPr>
        <w:t>Ocimum basilicum</w:t>
      </w:r>
      <w:r w:rsidRPr="007F77C5">
        <w:t>); Thai Basil (</w:t>
      </w:r>
      <w:r w:rsidRPr="007F77C5">
        <w:rPr>
          <w:i/>
          <w:iCs/>
        </w:rPr>
        <w:t>Ocimum basilicum</w:t>
      </w:r>
      <w:r w:rsidRPr="007F77C5">
        <w:t xml:space="preserve"> var. thyrsiflora); Lemon Basil (</w:t>
      </w:r>
      <w:r w:rsidRPr="007F77C5">
        <w:rPr>
          <w:i/>
          <w:iCs/>
        </w:rPr>
        <w:t>Ocimum basilicum</w:t>
      </w:r>
      <w:r w:rsidRPr="007F77C5">
        <w:t xml:space="preserve"> x </w:t>
      </w:r>
      <w:r w:rsidRPr="007F77C5">
        <w:rPr>
          <w:i/>
          <w:iCs/>
        </w:rPr>
        <w:t>citriodora</w:t>
      </w:r>
      <w:r w:rsidRPr="007F77C5">
        <w:t>); and Holy Basil (</w:t>
      </w:r>
      <w:r w:rsidRPr="007F77C5">
        <w:rPr>
          <w:i/>
          <w:iCs/>
        </w:rPr>
        <w:t>Ocimum tenuiflorum</w:t>
      </w:r>
      <w:r w:rsidRPr="007F77C5">
        <w:t xml:space="preserve">). Plants were grown under standard greenhouse conditions and harvested 45 d after seeding. Volatile profiles were analyzed using an Agilent headspace sampler and GC-MS. Terpinene was 2x higher in Lemon and ‘Spicy Globe’ basil, while terpinolene was 2-5x higher in Thai basil than other varieties. (R+/S-)-Limonene concentrations were 3-25x greater in ‘Genovese,’ ‘Thai,’ and Holy basil. ‘Dark Opal’ had significantly more methyl eugenol than other varieties. Linalool concentrations were 3-10x higher in ‘Genovese,’ ‘Siam Queen,’ and Holy basil. Total concentrations of </w:t>
      </w:r>
      <w:r w:rsidRPr="007F77C5">
        <w:sym w:font="Symbol" w:char="F061"/>
      </w:r>
      <w:r w:rsidRPr="007F77C5">
        <w:t>/</w:t>
      </w:r>
      <w:r w:rsidRPr="007F77C5">
        <w:sym w:font="Symbol" w:char="F062"/>
      </w:r>
      <w:r w:rsidRPr="007F77C5">
        <w:t xml:space="preserve">-pinene were highly variable across varieties, but </w:t>
      </w:r>
      <w:r w:rsidRPr="007F77C5">
        <w:sym w:font="Symbol" w:char="F061"/>
      </w:r>
      <w:r w:rsidRPr="007F77C5">
        <w:t>/</w:t>
      </w:r>
      <w:r w:rsidRPr="007F77C5">
        <w:sym w:font="Symbol" w:char="F062"/>
      </w:r>
      <w:r w:rsidRPr="007F77C5">
        <w:t xml:space="preserve"> ratio was consistent (4:1). Knowing relative concentrations of these key volatiles will allow growers and processers to optimize essential oil extractions based on crop, with the potential to produce high potential natural supplements as an alternative to synthetic pharmaceuticals. It also establishes a reference point for consumers and medical professionals </w:t>
      </w:r>
      <w:r w:rsidRPr="007F77C5">
        <w:lastRenderedPageBreak/>
        <w:t>wishing to improve overall general health, prevent disease, and even treat specific conditions using slight dietary modifications.</w:t>
      </w:r>
    </w:p>
    <w:p w14:paraId="311B9F29" w14:textId="339E63E3" w:rsidR="00126D8D" w:rsidRDefault="00126D8D">
      <w:pPr>
        <w:spacing w:line="240" w:lineRule="auto"/>
        <w:rPr>
          <w:rFonts w:cs="Times New Roman"/>
          <w:b/>
          <w:sz w:val="28"/>
        </w:rPr>
      </w:pPr>
    </w:p>
    <w:p w14:paraId="0BB5BEE4" w14:textId="77777777" w:rsidR="00126D8D" w:rsidRPr="007F77C5" w:rsidRDefault="00126D8D" w:rsidP="00451A3C">
      <w:pPr>
        <w:pStyle w:val="MastersThesisMainTitle"/>
      </w:pPr>
      <w:bookmarkStart w:id="315" w:name="_Toc139574788"/>
      <w:bookmarkStart w:id="316" w:name="_Toc141478658"/>
      <w:r w:rsidRPr="007F77C5">
        <w:t>Introduction</w:t>
      </w:r>
      <w:bookmarkEnd w:id="315"/>
      <w:bookmarkEnd w:id="316"/>
    </w:p>
    <w:p w14:paraId="5668DFE2" w14:textId="77777777" w:rsidR="00126D8D" w:rsidRPr="007F77C5" w:rsidRDefault="00126D8D" w:rsidP="00182739">
      <w:pPr>
        <w:pStyle w:val="MSThesisBodyTextJustified"/>
      </w:pPr>
      <w:r w:rsidRPr="007F77C5">
        <w:t xml:space="preserve">Basil is an annual culinary and medicinal herb with a complex aroma profile used extensively by restaurants and professional chefs. </w:t>
      </w:r>
      <w:r w:rsidRPr="007F77C5">
        <w:rPr>
          <w:noProof/>
        </w:rPr>
        <w:t>(Deschamps and Simon, 2006; Klimánková et al., 2008)</w:t>
      </w:r>
      <w:r w:rsidRPr="007F77C5">
        <w:t>.</w:t>
      </w:r>
      <w:r w:rsidRPr="007F77C5">
        <w:rPr>
          <w:noProof/>
        </w:rPr>
        <w:t>(Deschamps and Simon, 2006; Tucker and DeBaggio, 2009)</w:t>
      </w:r>
      <w:r w:rsidRPr="007F77C5">
        <w:t>.</w:t>
      </w:r>
      <w:r w:rsidR="004B1BB7">
        <w:t xml:space="preserve"> </w:t>
      </w:r>
      <w:r w:rsidRPr="007F77C5">
        <w:rPr>
          <w:rFonts w:eastAsia="MS PGothic"/>
        </w:rPr>
        <w:t xml:space="preserve">Sweet basil has been broadly classified into seven different morphotypes, which include: 1) tall, slender types; 2) ‘Italian’ large-leafed types; 3) dwarf types (‘bush’ or “spicy globe basils); 4) compact types (‘thai’ basils); 5) purple types (‘purple petra’); 6) </w:t>
      </w:r>
      <w:r w:rsidRPr="007F77C5">
        <w:rPr>
          <w:rFonts w:eastAsia="MS PGothic"/>
          <w:i/>
        </w:rPr>
        <w:t>purpurascens</w:t>
      </w:r>
      <w:r w:rsidRPr="007F77C5">
        <w:rPr>
          <w:rFonts w:eastAsia="MS PGothic"/>
        </w:rPr>
        <w:t xml:space="preserve"> types (‘dark opal,’ sweet purple basils); and 7) </w:t>
      </w:r>
      <w:r w:rsidRPr="007F77C5">
        <w:rPr>
          <w:rFonts w:eastAsia="MS PGothic"/>
          <w:i/>
        </w:rPr>
        <w:t>citriodorum</w:t>
      </w:r>
      <w:r w:rsidRPr="007F77C5">
        <w:rPr>
          <w:rFonts w:eastAsia="MS PGothic"/>
        </w:rPr>
        <w:t xml:space="preserve"> types (flavored types) </w:t>
      </w:r>
      <w:r w:rsidRPr="007F77C5">
        <w:rPr>
          <w:rFonts w:eastAsia="MS PGothic"/>
          <w:noProof/>
        </w:rPr>
        <w:t>(Hussain et al., 2008)</w:t>
      </w:r>
      <w:r w:rsidRPr="007F77C5">
        <w:rPr>
          <w:rFonts w:eastAsia="MS PGothic"/>
        </w:rPr>
        <w:t xml:space="preserve">. Significant morphological and biochemical differences exist among various basil varieties due to genetic variation. Customer preference, medicinal use and demand/popularity vary greatly among these different morphotypes </w:t>
      </w:r>
      <w:r w:rsidRPr="007F77C5">
        <w:rPr>
          <w:rFonts w:eastAsia="MS PGothic"/>
          <w:noProof/>
        </w:rPr>
        <w:t>(Deschamps and Simon, 2006; Klimánková et al., 2008; Tarchoune et al., 2013)</w:t>
      </w:r>
      <w:r w:rsidRPr="007F77C5">
        <w:rPr>
          <w:rFonts w:eastAsia="MS PGothic"/>
        </w:rPr>
        <w:t>.</w:t>
      </w:r>
      <w:r w:rsidRPr="007F77C5">
        <w:t xml:space="preserve"> In addition, various basil types possess distinctive flavor volatile profiles that are used both fresh/dried in a variety of culinary dishes </w:t>
      </w:r>
      <w:r w:rsidRPr="007F77C5">
        <w:rPr>
          <w:noProof/>
        </w:rPr>
        <w:t>(Klimánková et al., 2008; Lee et al., 2005)</w:t>
      </w:r>
      <w:r w:rsidRPr="007F77C5">
        <w:t xml:space="preserve">. </w:t>
      </w:r>
    </w:p>
    <w:p w14:paraId="1061BDA4" w14:textId="77777777" w:rsidR="00126D8D" w:rsidRPr="007F77C5" w:rsidRDefault="00126D8D" w:rsidP="00182739">
      <w:pPr>
        <w:pStyle w:val="MSThesisBodyTextJustified"/>
      </w:pPr>
      <w:r w:rsidRPr="007F77C5">
        <w:t xml:space="preserve">Basil is largely used as a flavoring agent and is cultivated globally </w:t>
      </w:r>
      <w:r w:rsidRPr="007F77C5">
        <w:rPr>
          <w:noProof/>
        </w:rPr>
        <w:t>(Claudia, 2013)</w:t>
      </w:r>
      <w:r w:rsidRPr="007F77C5">
        <w:t xml:space="preserve">. This herb has variety of purposes throughout human history, including direct consumption, cooking, and even in the manufacture of products such as essential oils, soaps, perfumes, medicines, etc. </w:t>
      </w:r>
      <w:r w:rsidRPr="007F77C5">
        <w:rPr>
          <w:noProof/>
        </w:rPr>
        <w:t>(Raimondi et al., 2006; Succop and Newman, 2004)</w:t>
      </w:r>
      <w:r w:rsidRPr="007F77C5">
        <w:t xml:space="preserve">. Essential oils are the most valuable commercial forms of basil and contribute </w:t>
      </w:r>
      <w:r w:rsidR="004B1BB7">
        <w:t xml:space="preserve">to </w:t>
      </w:r>
      <w:r w:rsidRPr="007F77C5">
        <w:t xml:space="preserve">the flavor/aroma of many products in the food and cosmetic industries </w:t>
      </w:r>
      <w:r w:rsidRPr="007F77C5">
        <w:rPr>
          <w:noProof/>
        </w:rPr>
        <w:t>(Barbieri et al., 2004; Kopsell et al., 2005)</w:t>
      </w:r>
      <w:r w:rsidRPr="007F77C5">
        <w:t xml:space="preserve">. Basil produced for dried leaf markets and fresh markets rank second and third, respectively </w:t>
      </w:r>
      <w:r w:rsidRPr="007F77C5">
        <w:rPr>
          <w:noProof/>
        </w:rPr>
        <w:t>(Putievsky and Galambosi, 1999)</w:t>
      </w:r>
      <w:r w:rsidRPr="007F77C5">
        <w:t xml:space="preserve">. Volatile organic compounds (VOCs) are defined as organic molecules that have high vapor </w:t>
      </w:r>
      <w:r w:rsidRPr="007F77C5">
        <w:lastRenderedPageBreak/>
        <w:t xml:space="preserve">pressure at ordinary room temperatures. Low boiling points, chemical structure, and other physical properties determine the high vapor pressures of volatile compounds </w:t>
      </w:r>
      <w:r w:rsidRPr="007F77C5">
        <w:rPr>
          <w:noProof/>
        </w:rPr>
        <w:t>(Taylor, 1996)</w:t>
      </w:r>
      <w:r w:rsidRPr="007F77C5">
        <w:t xml:space="preserve">. These compounds include both naturally occurring and man-made compounds. Most scents, flavors, odors, and aromas are VOCs and are contained in essential oils </w:t>
      </w:r>
      <w:r w:rsidRPr="007F77C5">
        <w:rPr>
          <w:noProof/>
        </w:rPr>
        <w:t>(Charles and Simon, 1990)</w:t>
      </w:r>
      <w:r w:rsidRPr="007F77C5">
        <w:t xml:space="preserve">. </w:t>
      </w:r>
    </w:p>
    <w:p w14:paraId="10B4FC92" w14:textId="77777777" w:rsidR="00126D8D" w:rsidRPr="007F77C5" w:rsidRDefault="00126D8D" w:rsidP="00182739">
      <w:pPr>
        <w:pStyle w:val="MSThesisBodyTextJustified"/>
      </w:pPr>
      <w:r w:rsidRPr="007F77C5">
        <w:rPr>
          <w:rFonts w:eastAsia="MS PGothic"/>
        </w:rPr>
        <w:t>Many common herbs and other high-value specialty crops are processed to obtain valuable essential oil products.</w:t>
      </w:r>
      <w:r w:rsidRPr="007F77C5">
        <w:t xml:space="preserve"> These essential oils have various medicinal purposes, which include aroma therapy, direct application, and sometimes ingestion (after dilution). </w:t>
      </w:r>
      <w:r w:rsidRPr="007F77C5">
        <w:rPr>
          <w:rFonts w:eastAsia="MS PGothic"/>
        </w:rPr>
        <w:t xml:space="preserve">These herbs have also been associated with high antioxidant activity and a variety of human health benefits </w:t>
      </w:r>
      <w:r w:rsidRPr="007F77C5">
        <w:rPr>
          <w:rFonts w:eastAsia="MS PGothic"/>
          <w:noProof/>
        </w:rPr>
        <w:t>(Raimondi et al., 2006)</w:t>
      </w:r>
      <w:r w:rsidRPr="007F77C5">
        <w:rPr>
          <w:rFonts w:eastAsia="MS PGothic"/>
        </w:rPr>
        <w:t xml:space="preserve">. </w:t>
      </w:r>
      <w:r w:rsidRPr="007F77C5">
        <w:t xml:space="preserve">Basil contains a variety of compounds that are nutritionally significant to humans, including flavonoids, carotenoids, phenolics, VOCs, etc. </w:t>
      </w:r>
      <w:r w:rsidRPr="007F77C5">
        <w:rPr>
          <w:noProof/>
        </w:rPr>
        <w:t>(Bourgaud et al., 2001; Hussain et al., 2008)</w:t>
      </w:r>
      <w:r w:rsidRPr="007F77C5">
        <w:t xml:space="preserve">. In previous surveys, basil has been reported as having one of the highest antioxidant concentrations in comparison to other popular herbs and spices </w:t>
      </w:r>
      <w:r w:rsidRPr="007F77C5">
        <w:rPr>
          <w:noProof/>
        </w:rPr>
        <w:t>(Kopsell et al., 2005; Lee et al., 2005; Politeo et al., 2007)</w:t>
      </w:r>
      <w:r w:rsidRPr="007F77C5">
        <w:t xml:space="preserve">. </w:t>
      </w:r>
      <w:r w:rsidRPr="007F77C5">
        <w:rPr>
          <w:rFonts w:eastAsia="MS PGothic"/>
        </w:rPr>
        <w:t xml:space="preserve">Antioxidants consumed from natural sources have been linked with major health benefits such as reducing the effects of aging, risk of cancer, and effects of heart disease. In addition, antioxidants from artificial sources have been shown to have some negative effects on human health </w:t>
      </w:r>
      <w:r w:rsidRPr="007F77C5">
        <w:rPr>
          <w:rFonts w:eastAsia="MS PGothic"/>
          <w:noProof/>
        </w:rPr>
        <w:t>(Pourmortazavi and Hajimirsadeghi, 2007)</w:t>
      </w:r>
      <w:r w:rsidRPr="007F77C5">
        <w:rPr>
          <w:rFonts w:eastAsia="MS PGothic"/>
        </w:rPr>
        <w:t xml:space="preserve">. </w:t>
      </w:r>
    </w:p>
    <w:p w14:paraId="0A4A252A" w14:textId="77777777" w:rsidR="00126D8D" w:rsidRPr="007F77C5" w:rsidRDefault="00126D8D" w:rsidP="00182739">
      <w:pPr>
        <w:pStyle w:val="MSThesisBodyTextJustified"/>
      </w:pPr>
      <w:bookmarkStart w:id="317" w:name="_Hlk60989976"/>
      <w:r w:rsidRPr="007F77C5">
        <w:t xml:space="preserve">Various research groups using various analytical methods and extraction techniques </w:t>
      </w:r>
      <w:bookmarkEnd w:id="317"/>
      <w:r w:rsidRPr="007F77C5">
        <w:t xml:space="preserve">(i.e., GC-FID, GC-MS, LC-MS, and HPLC) </w:t>
      </w:r>
      <w:bookmarkStart w:id="318" w:name="_Hlk60990142"/>
      <w:r w:rsidRPr="007F77C5">
        <w:t xml:space="preserve">have identified at least two hundred separate volatile compounds across many basil varieties, many of which have high biological activities </w:t>
      </w:r>
      <w:bookmarkEnd w:id="318"/>
      <w:r w:rsidRPr="007F77C5">
        <w:rPr>
          <w:noProof/>
        </w:rPr>
        <w:t>(Bantis et al., 2016; Deschamps and Simon, 2006; Lee et al., 2005; Soran et al., 2009; Tarchoune et al., 2013)</w:t>
      </w:r>
      <w:r w:rsidRPr="007F77C5">
        <w:t xml:space="preserve">. While many of the pertinent flavor and aroma compounds have been identified through GC-MS analysis, little information is known about relative VOC concentrations of common basil varieties in relation to potential human health benefits. Further research should be conducted on </w:t>
      </w:r>
      <w:r w:rsidRPr="007F77C5">
        <w:lastRenderedPageBreak/>
        <w:t>specific basil cultivars that have high market value to determine their overall chemical composition and flavor profiles in relation to each other. Concentration changes in key flavor volatiles (both positive and negative) should also be evaluated in comparison to human sensory experience, customer perception, and benefits to human health via dietary consumption and/or inhalation of essential oils.</w:t>
      </w:r>
    </w:p>
    <w:p w14:paraId="3C4E6AC0" w14:textId="402789CE" w:rsidR="00126D8D" w:rsidRDefault="00126D8D" w:rsidP="00A37527">
      <w:pPr>
        <w:pStyle w:val="MSThesisBodyTextJustified"/>
      </w:pPr>
      <w:r w:rsidRPr="007F77C5">
        <w:t>The primary objective of this study was to evaluate key flavor volatile concentrations with proven human health benefits across popular basil cultivars. Knowing relative concentrations of these key volatiles will allow growers and processers to optimize essential oil extractions based on crop, with the potential to produce high-potency aroma therapy products and natural supplements as an alternative to synthetic pharmaceuticals. It also establishes a reference point for consumers and medical professionals wishing to improve overall general health, prevent disease, and even treat specific conditions using slight dietary modifications.</w:t>
      </w:r>
    </w:p>
    <w:p w14:paraId="3EC4594B" w14:textId="77777777" w:rsidR="00A37527" w:rsidRPr="00A37527" w:rsidRDefault="00A37527" w:rsidP="00A37527">
      <w:pPr>
        <w:pStyle w:val="MSThesisBodyTextJustified"/>
        <w:rPr>
          <w:rFonts w:eastAsia="MS PGothic"/>
        </w:rPr>
      </w:pPr>
    </w:p>
    <w:p w14:paraId="27621F58" w14:textId="77777777" w:rsidR="00126D8D" w:rsidRPr="007F77C5" w:rsidRDefault="00126D8D" w:rsidP="00451A3C">
      <w:pPr>
        <w:pStyle w:val="MastersThesisMainTitle"/>
      </w:pPr>
      <w:bookmarkStart w:id="319" w:name="_Toc139574789"/>
      <w:bookmarkStart w:id="320" w:name="_Toc141478659"/>
      <w:r w:rsidRPr="007F77C5">
        <w:t>Materials and Methods</w:t>
      </w:r>
      <w:bookmarkEnd w:id="319"/>
      <w:bookmarkEnd w:id="320"/>
    </w:p>
    <w:p w14:paraId="7A593367" w14:textId="77777777" w:rsidR="00126D8D" w:rsidRPr="007F77C5" w:rsidRDefault="00126D8D" w:rsidP="008C7B33">
      <w:pPr>
        <w:pStyle w:val="MastersThesisSectionHeader"/>
      </w:pPr>
      <w:bookmarkStart w:id="321" w:name="_Toc494721032"/>
      <w:bookmarkStart w:id="322" w:name="_Toc496039469"/>
      <w:bookmarkStart w:id="323" w:name="_Toc498547866"/>
      <w:bookmarkStart w:id="324" w:name="_Toc502751666"/>
      <w:bookmarkStart w:id="325" w:name="_Toc139574790"/>
      <w:bookmarkStart w:id="326" w:name="_Toc141478660"/>
      <w:bookmarkStart w:id="327" w:name="_Toc494721033"/>
      <w:bookmarkStart w:id="328" w:name="_Toc502751684"/>
      <w:r w:rsidRPr="007F77C5">
        <w:t xml:space="preserve">Cultural Techniques </w:t>
      </w:r>
      <w:r>
        <w:t>a</w:t>
      </w:r>
      <w:r w:rsidRPr="007F77C5">
        <w:t>nd Environmental Growing Conditions</w:t>
      </w:r>
      <w:bookmarkEnd w:id="321"/>
      <w:bookmarkEnd w:id="322"/>
      <w:bookmarkEnd w:id="323"/>
      <w:bookmarkEnd w:id="324"/>
      <w:bookmarkEnd w:id="325"/>
      <w:bookmarkEnd w:id="326"/>
    </w:p>
    <w:p w14:paraId="4B15FEB6" w14:textId="77777777" w:rsidR="00126D8D" w:rsidRPr="007F77C5" w:rsidRDefault="00126D8D" w:rsidP="00182739">
      <w:pPr>
        <w:pStyle w:val="MSThesisBodyTextJustified"/>
      </w:pPr>
      <w:r w:rsidRPr="007F77C5">
        <w:t>This project was conducted at The University of Tennessee Institute of Agriculture (UTIA) in Knoxville, TN, USA (35°56'44.5"N, 83°56'17.3"W). Growing dates for two separate experimental growing cycles occurred from August 2015 to December 2016. Seven basil varieties were used in this experiment: ‘Genovese,’ ‘Siam Queen,’ ‘Spicy Globe,’ ‘Dark Opal,’ (</w:t>
      </w:r>
      <w:r w:rsidRPr="007F77C5">
        <w:rPr>
          <w:i/>
        </w:rPr>
        <w:t>Ocimum basilicum</w:t>
      </w:r>
      <w:r w:rsidRPr="007F77C5">
        <w:t>); Thai Basil (</w:t>
      </w:r>
      <w:r w:rsidRPr="007F77C5">
        <w:rPr>
          <w:i/>
        </w:rPr>
        <w:t>Ocimum basilicum</w:t>
      </w:r>
      <w:r w:rsidRPr="007F77C5">
        <w:t xml:space="preserve"> var. thyrsiflora); Lemon Basil (</w:t>
      </w:r>
      <w:r w:rsidRPr="007F77C5">
        <w:rPr>
          <w:i/>
        </w:rPr>
        <w:t>Ocimum basilicum</w:t>
      </w:r>
      <w:r w:rsidRPr="007F77C5">
        <w:t xml:space="preserve"> x citriodora); and Holy Basil (</w:t>
      </w:r>
      <w:r w:rsidRPr="007F77C5">
        <w:rPr>
          <w:i/>
        </w:rPr>
        <w:t>Ocimum tenuiflorum</w:t>
      </w:r>
      <w:r w:rsidRPr="007F77C5">
        <w:t xml:space="preserve">). All seeds came from Johnny’s Select Seeds (Johnny’s Select Seeds, Winslow, ME). Seeds were germinated in peat moss-based cubes (Park’s Bio Dome Sponges, Hodges, SC) at 83 ºC and 95% RH. After 2 weeks, seedlings were transplanted </w:t>
      </w:r>
      <w:r w:rsidRPr="007F77C5">
        <w:lastRenderedPageBreak/>
        <w:t>into 5x5 cm plastic pots using 1-part peat moss (Black Gold Canadian Sphagnum Peat Moss, Agawam, MA) to 3 parts perlite (Krum Horticultural Perlite, Hodgkins, IL) potting mix. Relative humidity during the growth period averaged 55%. Across two growing seasons, day temperatures averaged 28.6 ºC, while night temperatures averaged 22.7 ºC. The daily light integral (DLI) of the NL control averaged 10.5 mol</w:t>
      </w:r>
      <w:r w:rsidRPr="007F77C5">
        <w:rPr>
          <w:b/>
          <w:vertAlign w:val="superscript"/>
        </w:rPr>
        <w:t>.</w:t>
      </w:r>
      <w:r w:rsidRPr="007F77C5">
        <w:t>m</w:t>
      </w:r>
      <w:r w:rsidRPr="007F77C5">
        <w:rPr>
          <w:vertAlign w:val="superscript"/>
        </w:rPr>
        <w:t>-2</w:t>
      </w:r>
      <w:r w:rsidRPr="007F77C5">
        <w:rPr>
          <w:b/>
          <w:vertAlign w:val="superscript"/>
        </w:rPr>
        <w:t>.</w:t>
      </w:r>
      <w:r w:rsidRPr="007F77C5">
        <w:t>d</w:t>
      </w:r>
      <w:r w:rsidRPr="007F77C5">
        <w:rPr>
          <w:vertAlign w:val="superscript"/>
        </w:rPr>
        <w:t>-1</w:t>
      </w:r>
      <w:r w:rsidRPr="007F77C5">
        <w:t xml:space="preserve"> across all growing cycles (ranging from 4 to 20 mol</w:t>
      </w:r>
      <w:r w:rsidRPr="007F77C5">
        <w:rPr>
          <w:b/>
          <w:vertAlign w:val="superscript"/>
        </w:rPr>
        <w:t>.</w:t>
      </w:r>
      <w:r w:rsidRPr="007F77C5">
        <w:t>m</w:t>
      </w:r>
      <w:r w:rsidRPr="007F77C5">
        <w:rPr>
          <w:vertAlign w:val="superscript"/>
        </w:rPr>
        <w:t>-2</w:t>
      </w:r>
      <w:r w:rsidRPr="007F77C5">
        <w:rPr>
          <w:b/>
          <w:vertAlign w:val="superscript"/>
        </w:rPr>
        <w:t>.</w:t>
      </w:r>
      <w:r w:rsidRPr="007F77C5">
        <w:t>d</w:t>
      </w:r>
      <w:r w:rsidRPr="007F77C5">
        <w:rPr>
          <w:vertAlign w:val="superscript"/>
        </w:rPr>
        <w:t>-1</w:t>
      </w:r>
      <w:r w:rsidRPr="007F77C5">
        <w:t xml:space="preserve">).  </w:t>
      </w:r>
    </w:p>
    <w:p w14:paraId="25D9758B" w14:textId="77777777" w:rsidR="00126D8D" w:rsidRPr="007F77C5" w:rsidRDefault="00126D8D" w:rsidP="00182739">
      <w:pPr>
        <w:pStyle w:val="MSThesisBodyTextJustified"/>
      </w:pPr>
      <w:r w:rsidRPr="007F77C5">
        <w:t>Basil plants were grown in ebb and flow hydroponic systems and sub irrigated for 5 min each day with a full strength, modified Hoagland’s solution. Nutrient solution elemental concentrations were (ppm): N (207.54), P (50.87), K (298.23), Ca (180.15), Mg (77.10), S (136.45), Fe (3.95), Mn (0.90), Zn (0.40), Mo (0.09), Cu (0.90), and B (0.90). The fertility regime was kept constant across the duration of all seasons. Total growth time lasted approximately 45 d across two experimental growing cycles. Like many commercial basil growing operations, harvest occurred as the first signs of change from vegetative to reproductive growth were observed (i.e., 8-10 nodes).</w:t>
      </w:r>
    </w:p>
    <w:p w14:paraId="227F1EC7" w14:textId="77777777" w:rsidR="00126D8D" w:rsidRPr="007F77C5" w:rsidRDefault="00126D8D" w:rsidP="008C7B33">
      <w:pPr>
        <w:tabs>
          <w:tab w:val="left" w:pos="540"/>
        </w:tabs>
        <w:spacing w:line="240" w:lineRule="auto"/>
        <w:jc w:val="both"/>
        <w:rPr>
          <w:rFonts w:cs="Times New Roman"/>
          <w:color w:val="000000" w:themeColor="text1"/>
          <w:sz w:val="22"/>
          <w:szCs w:val="22"/>
        </w:rPr>
      </w:pPr>
    </w:p>
    <w:p w14:paraId="01CC8480" w14:textId="77777777" w:rsidR="00126D8D" w:rsidRPr="007F77C5" w:rsidRDefault="00126D8D" w:rsidP="008C7B33">
      <w:pPr>
        <w:pStyle w:val="MastersThesisSectionHeader"/>
      </w:pPr>
      <w:bookmarkStart w:id="329" w:name="_Toc139574791"/>
      <w:bookmarkStart w:id="330" w:name="_Toc141478661"/>
      <w:r w:rsidRPr="007F77C5">
        <w:t xml:space="preserve">GC-MS </w:t>
      </w:r>
      <w:r>
        <w:t>H</w:t>
      </w:r>
      <w:r w:rsidRPr="007F77C5">
        <w:t xml:space="preserve">eadspace </w:t>
      </w:r>
      <w:r>
        <w:t>V</w:t>
      </w:r>
      <w:r w:rsidRPr="007F77C5">
        <w:t xml:space="preserve">olatile </w:t>
      </w:r>
      <w:r>
        <w:t>A</w:t>
      </w:r>
      <w:r w:rsidRPr="007F77C5">
        <w:t>nalysis</w:t>
      </w:r>
      <w:bookmarkEnd w:id="327"/>
      <w:bookmarkEnd w:id="328"/>
      <w:bookmarkEnd w:id="329"/>
      <w:bookmarkEnd w:id="330"/>
    </w:p>
    <w:p w14:paraId="1E03CB90" w14:textId="77777777" w:rsidR="00126D8D" w:rsidRPr="007F77C5" w:rsidRDefault="00126D8D" w:rsidP="00182739">
      <w:pPr>
        <w:pStyle w:val="MSThesisBodyTextJustified"/>
      </w:pPr>
      <w:r w:rsidRPr="007F77C5">
        <w:t xml:space="preserve">Three g of fresh plant material (two basil plants per sample, 1.5 g of representative material from each plant) were placed in 20-mL borosilicate glass vials then immediately sealed and placed onto a Network Headspace Sampler (Agilent G1888, Santa Clara, CA, USA). Samples were heated to 80 ºC for 10 min and pressurized with Helium (Air Gas, analytical purity) to 95.21 kPa for 1 min. The tube was then vented for 1 min into the headspace transfer line (110 ºC) and injected (port at 250 ºC) into the GC (Agilent Technologies 6890N Network GC System). The volatiles were separated by an HP-5MS capillary column (5%-Phenyl)-methylpolysiloxane, length: 30m, ID: 0.250 mm, film thickness: 1µm, Agilent Technologies) using analytical purity Helium carrier gas at 95.21 kPa with constant column pressure. At the start of data acquisition, temperature was </w:t>
      </w:r>
      <w:r w:rsidRPr="007F77C5">
        <w:lastRenderedPageBreak/>
        <w:t xml:space="preserve">held at 40 ºC for 5 min, ramped-up from 40 ºC to 250 ºC (5 ºC per min), then held constant for the duration of the run. Total run time was 70 min, including post-run and cool-down phases. After sample separation and column elution, the analytes were passed through a mass selective detector (Agilent Technologies 5973 Network Mass Selective Detector) at 250 ºC and collected over the course of the sample run. The transfer line, ion source, and quadrupole temperatures were 250 ºC, 230 ºC, and 170 ºC, respectively. The full scan mass range was set to 40-550 m/z (threshold: 150). </w:t>
      </w:r>
    </w:p>
    <w:p w14:paraId="12A51B79" w14:textId="77777777" w:rsidR="00126D8D" w:rsidRPr="007F77C5" w:rsidRDefault="00126D8D" w:rsidP="00182739">
      <w:pPr>
        <w:pStyle w:val="MSThesisBodyTextJustified"/>
      </w:pPr>
      <w:r w:rsidRPr="007F77C5">
        <w:t>Agilent ChemStation was used for data collection and processing. Calibration curves were previously established using analytical standards found in basil and shown in the literature to be important for human sensory perception. Over 200 separate compounds were identified throughout this experiment, but emphasis was placed on key flavor compounds that have been calibrated to our GC-MS and HP-5MS column using analytical standards (Sigma-Aldrich, St. Louis, MO) to determine leaf tissue concentrations of key VOCs on a fresh plant weight basis. The MS spectra from analytical standards and fresh samples were compared to NIST, ADMIS, and a basil reference library created from calibrated analytical standards to confirm peak identity and retention times. MassHunter Workstation Software Version B.06.00 (Agilent Technologies, Inc., 2012) was used to automatically integrate peaks. Relative peak areas were automatically adjusted based on analytical standards and multiple library references.</w:t>
      </w:r>
    </w:p>
    <w:p w14:paraId="631BB85D" w14:textId="77777777" w:rsidR="00126D8D" w:rsidRPr="007F77C5" w:rsidRDefault="00126D8D" w:rsidP="008C7B33">
      <w:pPr>
        <w:tabs>
          <w:tab w:val="left" w:pos="540"/>
        </w:tabs>
        <w:spacing w:line="240" w:lineRule="auto"/>
        <w:jc w:val="both"/>
        <w:rPr>
          <w:rFonts w:cs="Times New Roman"/>
          <w:i/>
          <w:iCs/>
          <w:color w:val="000000" w:themeColor="text1"/>
          <w:sz w:val="22"/>
          <w:szCs w:val="22"/>
        </w:rPr>
      </w:pPr>
      <w:bookmarkStart w:id="331" w:name="_Toc502751685"/>
    </w:p>
    <w:p w14:paraId="397CA599" w14:textId="77777777" w:rsidR="00126D8D" w:rsidRPr="007F77C5" w:rsidRDefault="00126D8D" w:rsidP="008C7B33">
      <w:pPr>
        <w:pStyle w:val="MastersThesisSectionHeader"/>
      </w:pPr>
      <w:bookmarkStart w:id="332" w:name="_Toc139574792"/>
      <w:bookmarkStart w:id="333" w:name="_Toc141478662"/>
      <w:r w:rsidRPr="007F77C5">
        <w:t xml:space="preserve">Statistical </w:t>
      </w:r>
      <w:r>
        <w:t>A</w:t>
      </w:r>
      <w:r w:rsidRPr="007F77C5">
        <w:t>nalyses</w:t>
      </w:r>
      <w:bookmarkEnd w:id="331"/>
      <w:bookmarkEnd w:id="332"/>
      <w:bookmarkEnd w:id="333"/>
    </w:p>
    <w:p w14:paraId="7DE9A1F0" w14:textId="77777777" w:rsidR="00126D8D" w:rsidRPr="007F77C5" w:rsidRDefault="00126D8D" w:rsidP="00182739">
      <w:pPr>
        <w:pStyle w:val="MSThesisBodyTextJustified"/>
      </w:pPr>
      <w:r w:rsidRPr="007F77C5">
        <w:t xml:space="preserve">A Randomized Complete Block Design (RCBD) was used for this experiment. All data sets were analyzed by GLM and Mixed Model Analysis of Variance procedures using the statistical software SAS (version 9.4, SAS Institute, Cary, NC). Design and Analysis macro (DandA.sas), created by Dr. Arnold Saxton, was utilized in addition to Tukey’s adjustment, regression analysis, and univariate/normalization procedures to provide additional statistical </w:t>
      </w:r>
      <w:r w:rsidRPr="007F77C5">
        <w:lastRenderedPageBreak/>
        <w:t xml:space="preserve">insights on the complete data set. Treatments were separated by least significant difference (LSD) at </w:t>
      </w:r>
      <w:r w:rsidRPr="007F77C5">
        <w:sym w:font="Symbol" w:char="F061"/>
      </w:r>
      <w:r w:rsidRPr="007F77C5">
        <w:t>=0.05. All volatile concentrations units are reported in micromolarity of analyte concentration per g of fresh mass (FM) leaf tissue (µM</w:t>
      </w:r>
      <w:r w:rsidRPr="007F77C5">
        <w:sym w:font="Symbol" w:char="F0D7"/>
      </w:r>
      <w:r w:rsidRPr="007F77C5">
        <w:t>g</w:t>
      </w:r>
      <w:r w:rsidRPr="007F77C5">
        <w:rPr>
          <w:vertAlign w:val="superscript"/>
        </w:rPr>
        <w:t>-1</w:t>
      </w:r>
      <w:r w:rsidRPr="007F77C5">
        <w:t xml:space="preserve"> FM) to represent VOC emissions most accurately from the collected headspace sample above fresh plant tissues under specific reproducible analytical conditions. </w:t>
      </w:r>
    </w:p>
    <w:p w14:paraId="398DFE9F" w14:textId="0DA272AF" w:rsidR="00126D8D" w:rsidRDefault="00126D8D">
      <w:pPr>
        <w:spacing w:line="240" w:lineRule="auto"/>
        <w:rPr>
          <w:rFonts w:cs="Times New Roman"/>
          <w:b/>
          <w:sz w:val="28"/>
        </w:rPr>
      </w:pPr>
    </w:p>
    <w:p w14:paraId="176DF8A0" w14:textId="77777777" w:rsidR="00126D8D" w:rsidRPr="007F77C5" w:rsidRDefault="00126D8D" w:rsidP="00451A3C">
      <w:pPr>
        <w:pStyle w:val="MastersThesisMainTitle"/>
      </w:pPr>
      <w:bookmarkStart w:id="334" w:name="_Toc139574793"/>
      <w:bookmarkStart w:id="335" w:name="_Toc141478663"/>
      <w:r w:rsidRPr="007F77C5">
        <w:t>Results and Discussion</w:t>
      </w:r>
      <w:bookmarkEnd w:id="334"/>
      <w:bookmarkEnd w:id="335"/>
    </w:p>
    <w:p w14:paraId="70E7C3F3" w14:textId="77777777" w:rsidR="00126D8D" w:rsidRPr="007F77C5" w:rsidRDefault="00126D8D" w:rsidP="00182739">
      <w:pPr>
        <w:pStyle w:val="MSThesisBodyTextJustified"/>
      </w:pPr>
      <w:r w:rsidRPr="007F77C5">
        <w:t xml:space="preserve">As expected, many of the compounds that were evaluated in this study showed significant tissue concentration differences across basil variety. Terpinene </w:t>
      </w:r>
      <w:r w:rsidR="0094538F">
        <w:t>is</w:t>
      </w:r>
      <w:r w:rsidRPr="007F77C5">
        <w:t xml:space="preserve"> an important and frequently used flavor compound found in a variety of herbs and spices. It has a pleasant turpentine-like odor and is a primary constituent of tea tree oil, cardamom oil, and marjoram oil </w:t>
      </w:r>
      <w:r w:rsidRPr="007F77C5">
        <w:rPr>
          <w:noProof/>
        </w:rPr>
        <w:t xml:space="preserve">(Banthorpe et al., 1972; Kesselmeier and Staudt, 1999). </w:t>
      </w:r>
      <w:r w:rsidRPr="007F77C5">
        <w:t>Terpinene tissue concentrations showed significant separation across basil variety (</w:t>
      </w:r>
      <w:r w:rsidRPr="00E94DE1">
        <w:t>P</w:t>
      </w:r>
      <w:r w:rsidRPr="007F77C5">
        <w:t xml:space="preserve"> ≤ 0.0001; F = 1.87). Tissue concentrations ranged from 0 to 7.9 µM</w:t>
      </w:r>
      <w:r w:rsidRPr="007F77C5">
        <w:sym w:font="Symbol" w:char="F0D7"/>
      </w:r>
      <w:r w:rsidRPr="007F77C5">
        <w:t>g</w:t>
      </w:r>
      <w:r w:rsidRPr="007F77C5">
        <w:rPr>
          <w:vertAlign w:val="superscript"/>
        </w:rPr>
        <w:t>-1</w:t>
      </w:r>
      <w:r w:rsidRPr="007F77C5">
        <w:t xml:space="preserve"> FM headspace emission (Fig. 2.1). Lemon basil had the highest concentration and separated from most of the varieties with the exception of ‘Spicy Globe.’ Terpinene was detected in all varieties except for ‘Dark Opal.’ It is well known that genetics play direct roles in secondary metabolism, and variation in genetic profiles across basil varieties is the basis for different VOC profiles </w:t>
      </w:r>
      <w:r w:rsidRPr="007F77C5">
        <w:rPr>
          <w:noProof/>
        </w:rPr>
        <w:t>(Wink, 2010)</w:t>
      </w:r>
      <w:r w:rsidRPr="007F77C5">
        <w:t xml:space="preserve">. Terpinene has been shown to possess antioxidant, antimicrobial, and stress properties </w:t>
      </w:r>
      <w:r w:rsidRPr="007F77C5">
        <w:rPr>
          <w:noProof/>
        </w:rPr>
        <w:t>(Petrovic et al., 2019; Rudback et al., 2012; Sartorelli et al., 2007)</w:t>
      </w:r>
      <w:r w:rsidRPr="007F77C5">
        <w:t xml:space="preserve">. </w:t>
      </w:r>
    </w:p>
    <w:p w14:paraId="06553977" w14:textId="48D38DA9" w:rsidR="00126D8D" w:rsidRPr="007F77C5" w:rsidRDefault="00126D8D" w:rsidP="00182739">
      <w:pPr>
        <w:pStyle w:val="MSThesisBodyTextJustified"/>
      </w:pPr>
      <w:r w:rsidRPr="007F77C5">
        <w:t xml:space="preserve">Terpinolene is an isomer of terpinene and has a sweet pine odor with terpene taste. It is another important flavor compound in basil and many other herbs </w:t>
      </w:r>
      <w:r w:rsidRPr="007F77C5">
        <w:rPr>
          <w:noProof/>
        </w:rPr>
        <w:t xml:space="preserve">(Bohlmann and Keeling, 2008; Deschamps and Simon, 2006; Kesselmeier and Staudt, 1999). </w:t>
      </w:r>
      <w:r w:rsidRPr="007F77C5">
        <w:t>Terpinolene tissue concentrations showed significant separation across basil variety (</w:t>
      </w:r>
      <w:r w:rsidRPr="00E94DE1">
        <w:t>P</w:t>
      </w:r>
      <w:r w:rsidRPr="007F77C5">
        <w:t xml:space="preserve"> ≤ 0.0001; F = 2.07). Terpinolene was detected in all varieties, and tissue concentrations ranged from 0.5 to 12.5 µM</w:t>
      </w:r>
      <w:r w:rsidRPr="007F77C5">
        <w:sym w:font="Symbol" w:char="F0D7"/>
      </w:r>
      <w:r w:rsidRPr="007F77C5">
        <w:t>g</w:t>
      </w:r>
      <w:r w:rsidRPr="007F77C5">
        <w:rPr>
          <w:vertAlign w:val="superscript"/>
        </w:rPr>
        <w:t>-1</w:t>
      </w:r>
      <w:r w:rsidRPr="007F77C5">
        <w:t xml:space="preserve"> FM headspace emission </w:t>
      </w:r>
      <w:r w:rsidRPr="007F77C5">
        <w:lastRenderedPageBreak/>
        <w:t xml:space="preserve">(Fig. 2.1). Thai basil had the highest concentration (at least 2x than any other variety) and separated from all of the other varieties with the exception holy basil. Terpinolene has been shown to reduce the risk of heart disease and inhibit the growth of cancerous cells </w:t>
      </w:r>
      <w:r w:rsidRPr="007F77C5">
        <w:rPr>
          <w:noProof/>
        </w:rPr>
        <w:t>(Grassmann et al., 2005; Okumura et al., 2012)</w:t>
      </w:r>
      <w:r w:rsidRPr="007F77C5">
        <w:t xml:space="preserve">. </w:t>
      </w:r>
    </w:p>
    <w:p w14:paraId="0E8A4B32" w14:textId="77777777" w:rsidR="00126D8D" w:rsidRPr="007F77C5" w:rsidRDefault="00126D8D" w:rsidP="00182739">
      <w:pPr>
        <w:pStyle w:val="MSThesisBodyTextJustified"/>
      </w:pPr>
      <w:r w:rsidRPr="007F77C5">
        <w:t xml:space="preserve">(S)-(-)-Limonene and (R)-(+)-Limonene are two critical flavor components of basil and have been shown to possess significant human health benefits </w:t>
      </w:r>
      <w:r w:rsidRPr="007F77C5">
        <w:rPr>
          <w:noProof/>
        </w:rPr>
        <w:t>(Fahlbusch et al., 2003; Hussain et al., 2008)</w:t>
      </w:r>
      <w:r w:rsidRPr="007F77C5">
        <w:t xml:space="preserve">. Limonene is a non-nutrient dietary component and flavor volatile found in basil. It is considered an aliphatic hydrocarbon and is classified as a monoterpene </w:t>
      </w:r>
      <w:r w:rsidRPr="007F77C5">
        <w:rPr>
          <w:noProof/>
        </w:rPr>
        <w:t>(Banthorpe et al., 1972; Deschamps and Simon, 2006)</w:t>
      </w:r>
      <w:r w:rsidRPr="007F77C5">
        <w:t>. (R+/S-)-Limonene was detected in all basil varieties. Tissue concentrations showed significant separation (P ≤ 0.0001; F = 23.21), and ranged from 43 to 2928 µM</w:t>
      </w:r>
      <w:r w:rsidRPr="007F77C5">
        <w:sym w:font="Symbol" w:char="F0D7"/>
      </w:r>
      <w:r w:rsidRPr="007F77C5">
        <w:t>g</w:t>
      </w:r>
      <w:r w:rsidRPr="007F77C5">
        <w:rPr>
          <w:vertAlign w:val="superscript"/>
        </w:rPr>
        <w:t>-1</w:t>
      </w:r>
      <w:r w:rsidRPr="007F77C5">
        <w:t xml:space="preserve"> FM headspace emission (Fig. 2.2). </w:t>
      </w:r>
    </w:p>
    <w:p w14:paraId="6A738325" w14:textId="03FBCD78" w:rsidR="00126D8D" w:rsidRPr="007F77C5" w:rsidRDefault="00126D8D" w:rsidP="00182739">
      <w:pPr>
        <w:pStyle w:val="MSThesisBodyTextJustified"/>
      </w:pPr>
      <w:r w:rsidRPr="007F77C5">
        <w:t xml:space="preserve">Many studies have shown that limonene can reduce the growth of cancerous cells without toxicity to normal cells </w:t>
      </w:r>
      <w:r w:rsidRPr="007F77C5">
        <w:rPr>
          <w:noProof/>
        </w:rPr>
        <w:t>(Sobral et al., 2014)</w:t>
      </w:r>
      <w:r w:rsidRPr="007F77C5">
        <w:t xml:space="preserve">. In one experiment investigating prostate cancer treatment via induction of apoptosis, the use of d-limonene increased the antitumor effect of docetaxel against cancer cells without being toxic to normal prostate epithelial cells </w:t>
      </w:r>
      <w:r w:rsidRPr="007F77C5">
        <w:rPr>
          <w:noProof/>
        </w:rPr>
        <w:t>(Rabi and Bishayee, 2009)</w:t>
      </w:r>
      <w:r w:rsidRPr="007F77C5">
        <w:t xml:space="preserve">. It has been shown to inhibit the growth of lung cancer cells in mice </w:t>
      </w:r>
      <w:r w:rsidRPr="007F77C5">
        <w:rPr>
          <w:noProof/>
        </w:rPr>
        <w:t>(Yu et al., 2018)</w:t>
      </w:r>
      <w:r w:rsidRPr="007F77C5">
        <w:t xml:space="preserve">. Aroma therapy with limonene has the potential to promote relaxation and mental focus, while reducing the severity and incidence of stress, depression, and anxiety </w:t>
      </w:r>
      <w:r w:rsidRPr="007F77C5">
        <w:rPr>
          <w:noProof/>
        </w:rPr>
        <w:t>(Joung; et al., 2014)</w:t>
      </w:r>
      <w:r w:rsidRPr="007F77C5">
        <w:t xml:space="preserve">. Both the dietary consumption and inhalation of limonene essential oil has great potential for specific medical treatments as well as improving mental health. Studies have also shown that limonene has strong antimicrobial properties </w:t>
      </w:r>
      <w:r w:rsidRPr="007F77C5">
        <w:rPr>
          <w:noProof/>
        </w:rPr>
        <w:t>(Dorman and Deans, 2000; Vuuren and Viljoen, 2007)</w:t>
      </w:r>
      <w:r w:rsidRPr="007F77C5">
        <w:t xml:space="preserve">. </w:t>
      </w:r>
      <w:r w:rsidR="0094538F">
        <w:t>P</w:t>
      </w:r>
      <w:r w:rsidRPr="007F77C5">
        <w:t xml:space="preserve">ine oil was </w:t>
      </w:r>
      <w:r w:rsidR="0094538F">
        <w:t xml:space="preserve">was shown to be </w:t>
      </w:r>
      <w:r w:rsidRPr="007F77C5">
        <w:t xml:space="preserve">highly active against a range of food borne pathogens </w:t>
      </w:r>
      <w:r w:rsidR="0094538F" w:rsidRPr="007F77C5">
        <w:rPr>
          <w:noProof/>
        </w:rPr>
        <w:t xml:space="preserve">(Ozogul </w:t>
      </w:r>
      <w:r w:rsidR="0094538F" w:rsidRPr="007F77C5">
        <w:rPr>
          <w:noProof/>
        </w:rPr>
        <w:lastRenderedPageBreak/>
        <w:t>et al., 2015)</w:t>
      </w:r>
      <w:r w:rsidR="0094538F">
        <w:rPr>
          <w:noProof/>
        </w:rPr>
        <w:t xml:space="preserve"> </w:t>
      </w:r>
      <w:r w:rsidRPr="007F77C5">
        <w:t xml:space="preserve">and has the potential to be used as a food preservative in addition to a natural flavoring agent. </w:t>
      </w:r>
    </w:p>
    <w:p w14:paraId="6C7B154E" w14:textId="77777777" w:rsidR="00126D8D" w:rsidRPr="007F77C5" w:rsidRDefault="00126D8D" w:rsidP="00182739">
      <w:pPr>
        <w:pStyle w:val="MSThesisBodyTextJustified"/>
      </w:pPr>
      <w:r w:rsidRPr="007F77C5">
        <w:t xml:space="preserve">Methyl eugenol is a phenolic compound that has a strong, spicy, herbaceous aroma and greatly contributes to the flavor of many basil varieties. Eugenol compounds are the primary constituents of clove oil and possesses a clove-like flavor </w:t>
      </w:r>
      <w:r w:rsidRPr="007F77C5">
        <w:rPr>
          <w:noProof/>
        </w:rPr>
        <w:t>(Petersen et al., 2010; Tarchoune et al., 2013)</w:t>
      </w:r>
      <w:r w:rsidRPr="007F77C5">
        <w:t xml:space="preserve">. It is also known to have a wide range of medicinal benefits both through aromatherapy and direct consumption </w:t>
      </w:r>
      <w:r w:rsidRPr="007F77C5">
        <w:rPr>
          <w:noProof/>
        </w:rPr>
        <w:t>(Lee et al., 2005)</w:t>
      </w:r>
      <w:r w:rsidRPr="007F77C5">
        <w:t>. Methyl eugenol tissue concentrations showed significant separation across basil variety (P = 0.0080; F = 4.21). Methyl eugenol was detected in all varieties, and tissue concentrations ranged from 18 to 3150 µM</w:t>
      </w:r>
      <w:r w:rsidRPr="007F77C5">
        <w:sym w:font="Symbol" w:char="F0D7"/>
      </w:r>
      <w:r w:rsidRPr="007F77C5">
        <w:t>g</w:t>
      </w:r>
      <w:r w:rsidRPr="007F77C5">
        <w:rPr>
          <w:vertAlign w:val="superscript"/>
        </w:rPr>
        <w:t>-1</w:t>
      </w:r>
      <w:r w:rsidRPr="007F77C5">
        <w:t xml:space="preserve"> FM headspace emission (Fig. 2.3). </w:t>
      </w:r>
    </w:p>
    <w:p w14:paraId="48ED3CA2" w14:textId="7EBD3AE1" w:rsidR="00126D8D" w:rsidRPr="007F77C5" w:rsidRDefault="00126D8D" w:rsidP="00182739">
      <w:pPr>
        <w:pStyle w:val="MSThesisBodyTextJustified"/>
      </w:pPr>
      <w:r w:rsidRPr="007F77C5">
        <w:t>‘Dark Opal’ had the highest concentration by far</w:t>
      </w:r>
      <w:r w:rsidR="0094538F">
        <w:t>.</w:t>
      </w:r>
      <w:r w:rsidRPr="007F77C5">
        <w:t xml:space="preserve"> It had 6x greater tissue concentration than the next highest variety (Thai Basil). All of the other varieties averaged 140 µM</w:t>
      </w:r>
      <w:r w:rsidRPr="007F77C5">
        <w:sym w:font="Symbol" w:char="F0D7"/>
      </w:r>
      <w:r w:rsidRPr="007F77C5">
        <w:t>g</w:t>
      </w:r>
      <w:r w:rsidRPr="007F77C5">
        <w:rPr>
          <w:vertAlign w:val="superscript"/>
        </w:rPr>
        <w:t>-1</w:t>
      </w:r>
      <w:r w:rsidRPr="007F77C5">
        <w:t xml:space="preserve"> FM, while ‘Dark Opal’ leaf tissue had 3150 µM</w:t>
      </w:r>
      <w:r w:rsidRPr="007F77C5">
        <w:sym w:font="Symbol" w:char="F0D7"/>
      </w:r>
      <w:r w:rsidRPr="007F77C5">
        <w:t>g</w:t>
      </w:r>
      <w:r w:rsidRPr="007F77C5">
        <w:rPr>
          <w:vertAlign w:val="superscript"/>
        </w:rPr>
        <w:t>-1</w:t>
      </w:r>
      <w:r w:rsidRPr="007F77C5">
        <w:t xml:space="preserve"> FM. Methyl eugenol has been labeled as an antioxidant, antimutagen, antigenotoxic, and anti-inflammatory </w:t>
      </w:r>
      <w:r w:rsidRPr="007F77C5">
        <w:rPr>
          <w:noProof/>
        </w:rPr>
        <w:t>(Bendre et al., 2016)</w:t>
      </w:r>
      <w:r w:rsidRPr="007F77C5">
        <w:t>. Eugenol tissue concentrations showed significant separation across basil variety (</w:t>
      </w:r>
      <w:bookmarkStart w:id="336" w:name="_Hlk140061581"/>
      <w:r w:rsidRPr="007F77C5">
        <w:t>P</w:t>
      </w:r>
      <w:bookmarkEnd w:id="336"/>
      <w:r w:rsidRPr="007F77C5">
        <w:t xml:space="preserve"> </w:t>
      </w:r>
      <w:r w:rsidR="0094538F" w:rsidRPr="00E94DE1">
        <w:rPr>
          <w:i/>
          <w:iCs/>
        </w:rPr>
        <w:t>P</w:t>
      </w:r>
      <w:r w:rsidRPr="007F77C5">
        <w:t xml:space="preserve"> = 0.0017; F = 5.77). Eugenol was detected in all varieties but did not follow the same pattern as methyl eugenol. Tissue concentrations ranged from 5 to 310 µM</w:t>
      </w:r>
      <w:r w:rsidRPr="007F77C5">
        <w:sym w:font="Symbol" w:char="F0D7"/>
      </w:r>
      <w:r w:rsidRPr="007F77C5">
        <w:t>g</w:t>
      </w:r>
      <w:r w:rsidRPr="007F77C5">
        <w:rPr>
          <w:vertAlign w:val="superscript"/>
        </w:rPr>
        <w:t>-1</w:t>
      </w:r>
      <w:r w:rsidRPr="007F77C5">
        <w:t xml:space="preserve"> FM headspace emission (Fig. 2.4). Holy basil had the highest concentration but did not separate from Thai basil or ‘Genovese.’ The lowest concentrations were found in ‘Spicy Globe,’ ‘Siam Queen,’ and Lemon Basil, ranging 5-21 µM</w:t>
      </w:r>
      <w:r w:rsidRPr="007F77C5">
        <w:sym w:font="Symbol" w:char="F0D7"/>
      </w:r>
      <w:r w:rsidRPr="007F77C5">
        <w:t>g</w:t>
      </w:r>
      <w:r w:rsidRPr="007F77C5">
        <w:rPr>
          <w:vertAlign w:val="superscript"/>
        </w:rPr>
        <w:t>-1</w:t>
      </w:r>
      <w:r w:rsidRPr="007F77C5">
        <w:t xml:space="preserve"> FM. Eugenol has shown similar medicinal properties as methyl eugenol, including significant anticancer activity </w:t>
      </w:r>
      <w:r w:rsidRPr="007F77C5">
        <w:rPr>
          <w:noProof/>
        </w:rPr>
        <w:t xml:space="preserve">(Carvalho et al., 2016; S Bendre and D Rajput, 2016). </w:t>
      </w:r>
      <w:r w:rsidRPr="007F77C5">
        <w:t xml:space="preserve">Total eugenol (i.e., methyl eugenol and eugenol) tissue concentrations showed significant separation across basil variety (P ≤ 0.0001; F = 10.18). ‘Dark Opal’ had the highest concentrations of total eugenol primarily because its high methyl eugenol concentration, approximately 4x higher than the second </w:t>
      </w:r>
      <w:r w:rsidRPr="007F77C5">
        <w:lastRenderedPageBreak/>
        <w:t xml:space="preserve">highest (Thai Basil) (Fig. 2.3). ‘Dark Opal’ separated from all other varieties, and the other varieties did not separate among themselves. </w:t>
      </w:r>
    </w:p>
    <w:p w14:paraId="26950CBB" w14:textId="6DCAD046" w:rsidR="00126D8D" w:rsidRPr="007F77C5" w:rsidRDefault="00126D8D" w:rsidP="000C4CC2">
      <w:pPr>
        <w:pStyle w:val="MSThesisBodyTextJustified"/>
      </w:pPr>
      <w:r w:rsidRPr="007F77C5">
        <w:t xml:space="preserve">The aroma of linalool is described as sweet and floral. This compound is used extensively in the food processing and fragrance industries. It has strong antioxidant and anti-inflammatory properties as well as calming, mental clarity, and numerous other health benefits </w:t>
      </w:r>
      <w:r w:rsidRPr="007F77C5">
        <w:rPr>
          <w:noProof/>
        </w:rPr>
        <w:t>(Guzman-Gutierrez et al., 2015)</w:t>
      </w:r>
      <w:r w:rsidRPr="007F77C5">
        <w:t xml:space="preserve">. Mice exposed to linalool vapors have shown reduced levels of anxiety and lower depression-like behaviors </w:t>
      </w:r>
      <w:r w:rsidRPr="007F77C5">
        <w:rPr>
          <w:noProof/>
        </w:rPr>
        <w:t>(Carvalho-Freitas and Costa, 2002; Guzman-Gutierrez et al., 2012)</w:t>
      </w:r>
      <w:r w:rsidRPr="007F77C5">
        <w:t xml:space="preserve">. Linalool has also been shown to reverse neuropathological and biological impairments in mice caused by Alzheimer’s </w:t>
      </w:r>
      <w:r w:rsidRPr="007F77C5">
        <w:rPr>
          <w:noProof/>
        </w:rPr>
        <w:t>(Sabogal-Guaqueta et al., 2016)</w:t>
      </w:r>
      <w:r w:rsidRPr="007F77C5">
        <w:t>. Linalool tissue concentrations showed significant separation across basil variety (P ≤ 0.0001; F = 12.76). Linalool was detected in all varieties and was split into two groups (Fig. 2.4). Tissue concentrations for ‘Genovese,’ ‘Siam Queen,’ and Holy Basil averaged 2000 µM</w:t>
      </w:r>
      <w:r w:rsidRPr="007F77C5">
        <w:sym w:font="Symbol" w:char="F0D7"/>
      </w:r>
      <w:r w:rsidRPr="007F77C5">
        <w:t>g</w:t>
      </w:r>
      <w:r w:rsidRPr="007F77C5">
        <w:rPr>
          <w:vertAlign w:val="superscript"/>
        </w:rPr>
        <w:t>-1</w:t>
      </w:r>
      <w:r w:rsidRPr="007F77C5">
        <w:t xml:space="preserve"> FM. Tissue concentrations for Lemon Basil, ‘Spicy Globe,’ ‘Dark Opal,’ and Thai Basil averaged 120 µM</w:t>
      </w:r>
      <w:r w:rsidRPr="007F77C5">
        <w:sym w:font="Symbol" w:char="F0D7"/>
      </w:r>
      <w:r w:rsidRPr="007F77C5">
        <w:t>g</w:t>
      </w:r>
      <w:r w:rsidRPr="007F77C5">
        <w:rPr>
          <w:vertAlign w:val="superscript"/>
        </w:rPr>
        <w:t>-1</w:t>
      </w:r>
      <w:r w:rsidRPr="007F77C5">
        <w:t xml:space="preserve"> FM. Both of these groups statistically separated from each other, but the varieties within each group did not separate from one another.</w:t>
      </w:r>
    </w:p>
    <w:p w14:paraId="3F163AB9" w14:textId="3C88BA5B" w:rsidR="00126D8D" w:rsidRPr="007F77C5" w:rsidRDefault="00126D8D" w:rsidP="00182739">
      <w:pPr>
        <w:pStyle w:val="MSThesisBodyTextJustified"/>
      </w:pPr>
      <w:r w:rsidRPr="007F77C5">
        <w:t xml:space="preserve">Camphene has a damp, pungent, herbal aroma with pine notes. It is considered a monoterpene and is a component of many essential oils </w:t>
      </w:r>
      <w:r w:rsidRPr="007F77C5">
        <w:rPr>
          <w:noProof/>
        </w:rPr>
        <w:t>(Banthorpe et al., 1972; Fahlbusch et al., 2003)</w:t>
      </w:r>
      <w:r w:rsidRPr="007F77C5">
        <w:t>.  Camphene tissue concentrations showed significant separation across basil variet</w:t>
      </w:r>
      <w:r w:rsidR="000736D6">
        <w:t>ies</w:t>
      </w:r>
      <w:r w:rsidRPr="007F77C5">
        <w:t xml:space="preserve"> (P = 0.0080; F = 4.21). Camphene was detected in all varieties and split into two groups (Fig. 2.4). Tissue concentrations for ‘Dark Opal’ were significantly higher than any other variety, 6x higher than the second-best variety. ‘Dark Opal’ had 3100 µM</w:t>
      </w:r>
      <w:r w:rsidRPr="007F77C5">
        <w:sym w:font="Symbol" w:char="F0D7"/>
      </w:r>
      <w:r w:rsidRPr="007F77C5">
        <w:t>g</w:t>
      </w:r>
      <w:r w:rsidRPr="007F77C5">
        <w:rPr>
          <w:vertAlign w:val="superscript"/>
        </w:rPr>
        <w:t>-1</w:t>
      </w:r>
      <w:r w:rsidRPr="007F77C5">
        <w:t xml:space="preserve"> FM, as compared to the other varieties which averaged 140 µM</w:t>
      </w:r>
      <w:r w:rsidRPr="007F77C5">
        <w:sym w:font="Symbol" w:char="F0D7"/>
      </w:r>
      <w:r w:rsidRPr="007F77C5">
        <w:t>g</w:t>
      </w:r>
      <w:r w:rsidRPr="007F77C5">
        <w:rPr>
          <w:vertAlign w:val="superscript"/>
        </w:rPr>
        <w:t>-1</w:t>
      </w:r>
      <w:r w:rsidRPr="007F77C5">
        <w:t xml:space="preserve"> FM. None of the other varieties statistically separated from one another. Camphene has a high antioxidant activity </w:t>
      </w:r>
      <w:r w:rsidRPr="007F77C5">
        <w:rPr>
          <w:noProof/>
        </w:rPr>
        <w:t xml:space="preserve">(Quintans-Junior et al., 2013) </w:t>
      </w:r>
      <w:r w:rsidRPr="007F77C5">
        <w:t xml:space="preserve">and has the ability </w:t>
      </w:r>
      <w:r w:rsidRPr="007F77C5">
        <w:lastRenderedPageBreak/>
        <w:t xml:space="preserve">reduce stress via inhalation </w:t>
      </w:r>
      <w:r w:rsidRPr="007F77C5">
        <w:rPr>
          <w:noProof/>
        </w:rPr>
        <w:t xml:space="preserve">(Seo et al., 2016). </w:t>
      </w:r>
      <w:r w:rsidRPr="007F77C5">
        <w:t xml:space="preserve">It has been shown to reduce inflammation in mice </w:t>
      </w:r>
      <w:r w:rsidRPr="007F77C5">
        <w:rPr>
          <w:noProof/>
        </w:rPr>
        <w:t>(Lima et al., 2012)</w:t>
      </w:r>
      <w:r w:rsidRPr="007F77C5">
        <w:t xml:space="preserve">. </w:t>
      </w:r>
    </w:p>
    <w:p w14:paraId="52D7AE69" w14:textId="77777777" w:rsidR="00126D8D" w:rsidRPr="007F77C5" w:rsidRDefault="00126D8D" w:rsidP="00182739">
      <w:pPr>
        <w:pStyle w:val="MSThesisBodyTextJustified"/>
      </w:pPr>
      <w:r w:rsidRPr="007F77C5">
        <w:t xml:space="preserve">Methyl salicylate is a benzoate ester and is derived from salicylic acid. It is the primary constituent of wintergreen oil and is used extensively in food, beverages, fragrances, and medicines </w:t>
      </w:r>
      <w:r w:rsidRPr="007F77C5">
        <w:rPr>
          <w:noProof/>
        </w:rPr>
        <w:t xml:space="preserve">(Bourgaud et al., 2001). </w:t>
      </w:r>
      <w:r w:rsidRPr="007F77C5">
        <w:t>Methyl salicylate tissue concentrations showed significant separation across basil variety (P = 0.0006; F = 6.91). Methyl salicylate was detected in all varieties except ‘Dark Opal’ and showed mixed separation (Fig. 2.4). Tissue concentrations for ‘Genovese’ and Thai Basil statistically separated from ‘Lemon’, ‘Spicy Globe,’ and ‘Dark Opal.’ Holy Basil and ‘Siam Queen’ did not separate from the other basil varieties. Tissue concentrations ranged from 0-2500 µM</w:t>
      </w:r>
      <w:r w:rsidRPr="007F77C5">
        <w:sym w:font="Symbol" w:char="F0D7"/>
      </w:r>
      <w:r w:rsidRPr="007F77C5">
        <w:t>g</w:t>
      </w:r>
      <w:r w:rsidRPr="007F77C5">
        <w:rPr>
          <w:vertAlign w:val="superscript"/>
        </w:rPr>
        <w:t>-1</w:t>
      </w:r>
      <w:r w:rsidRPr="007F77C5">
        <w:t xml:space="preserve"> FM. Methyl salicylate is commonly used as a rubefacient/analgesic and is commonly used to relieve minor aches and pains </w:t>
      </w:r>
      <w:r w:rsidRPr="007F77C5">
        <w:rPr>
          <w:noProof/>
        </w:rPr>
        <w:t>(Hebert et al., 2014)</w:t>
      </w:r>
      <w:r w:rsidRPr="007F77C5">
        <w:t xml:space="preserve">. It is also added to mouthwashes and disinfectants because of its antiseptic properties. </w:t>
      </w:r>
    </w:p>
    <w:p w14:paraId="374ADEDE" w14:textId="77777777" w:rsidR="00126D8D" w:rsidRPr="007F77C5" w:rsidRDefault="00126D8D" w:rsidP="00182739">
      <w:pPr>
        <w:pStyle w:val="MSThesisBodyTextJustified"/>
      </w:pPr>
      <w:r w:rsidRPr="007F77C5">
        <w:sym w:font="Symbol" w:char="F061"/>
      </w:r>
      <w:r w:rsidRPr="007F77C5">
        <w:t xml:space="preserve">-Pinene and </w:t>
      </w:r>
      <w:r w:rsidRPr="007F77C5">
        <w:sym w:font="Symbol" w:char="F062"/>
      </w:r>
      <w:r w:rsidRPr="007F77C5">
        <w:t xml:space="preserve">-pinene are two monoterpenes that greatly influence the flavor and aroma of basil. They are both primarily found in pine resin and are one of the most abundant terpenes found in nature </w:t>
      </w:r>
      <w:r w:rsidRPr="007F77C5">
        <w:rPr>
          <w:noProof/>
        </w:rPr>
        <w:t>(Banthorpe et al., 1972)</w:t>
      </w:r>
      <w:r w:rsidRPr="007F77C5">
        <w:t xml:space="preserve">. </w:t>
      </w:r>
      <w:r w:rsidRPr="007F77C5">
        <w:sym w:font="Symbol" w:char="F061"/>
      </w:r>
      <w:r w:rsidRPr="007F77C5">
        <w:t xml:space="preserve">-Pinene tissue concentrations showed significant separation across basil variety (P ≤ 0.0001; F = 12.22). </w:t>
      </w:r>
      <w:bookmarkStart w:id="337" w:name="_Hlk140061992"/>
      <w:r w:rsidRPr="007F77C5">
        <w:sym w:font="Symbol" w:char="F061"/>
      </w:r>
      <w:r w:rsidRPr="007F77C5">
        <w:t xml:space="preserve">-Pinene </w:t>
      </w:r>
      <w:bookmarkEnd w:id="337"/>
      <w:r w:rsidRPr="007F77C5">
        <w:t>was detected in all varieties. and tissue concentrations ranged from 18 to 3150 µM</w:t>
      </w:r>
      <w:r w:rsidRPr="007F77C5">
        <w:sym w:font="Symbol" w:char="F0D7"/>
      </w:r>
      <w:r w:rsidRPr="007F77C5">
        <w:t>g</w:t>
      </w:r>
      <w:r w:rsidRPr="007F77C5">
        <w:rPr>
          <w:vertAlign w:val="superscript"/>
        </w:rPr>
        <w:t>-1</w:t>
      </w:r>
      <w:r w:rsidRPr="007F77C5">
        <w:t xml:space="preserve"> FM headspace emission (Fig. 2.5). </w:t>
      </w:r>
    </w:p>
    <w:p w14:paraId="4E54B3A1" w14:textId="64620F32" w:rsidR="00126D8D" w:rsidRPr="007F77C5" w:rsidRDefault="000736D6" w:rsidP="00182739">
      <w:pPr>
        <w:pStyle w:val="MSThesisBodyTextJustified"/>
      </w:pPr>
      <w:r w:rsidRPr="007F77C5">
        <w:sym w:font="Symbol" w:char="F061"/>
      </w:r>
      <w:r w:rsidRPr="007F77C5">
        <w:t>-Pinene</w:t>
      </w:r>
      <w:r w:rsidR="00126D8D" w:rsidRPr="007F77C5">
        <w:t xml:space="preserve"> ranged from 9.8 µM</w:t>
      </w:r>
      <w:r w:rsidR="00126D8D" w:rsidRPr="007F77C5">
        <w:sym w:font="Symbol" w:char="F0D7"/>
      </w:r>
      <w:r w:rsidR="00126D8D" w:rsidRPr="007F77C5">
        <w:t>g</w:t>
      </w:r>
      <w:r w:rsidR="00126D8D" w:rsidRPr="007F77C5">
        <w:rPr>
          <w:vertAlign w:val="superscript"/>
        </w:rPr>
        <w:t>-1</w:t>
      </w:r>
      <w:r w:rsidR="00126D8D" w:rsidRPr="007F77C5">
        <w:t xml:space="preserve"> FM (‘Dark Opal’) to 2350 µM</w:t>
      </w:r>
      <w:r w:rsidR="00126D8D" w:rsidRPr="007F77C5">
        <w:sym w:font="Symbol" w:char="F0D7"/>
      </w:r>
      <w:r w:rsidR="00126D8D" w:rsidRPr="007F77C5">
        <w:t>g</w:t>
      </w:r>
      <w:r w:rsidR="00126D8D" w:rsidRPr="007F77C5">
        <w:rPr>
          <w:vertAlign w:val="superscript"/>
        </w:rPr>
        <w:t>-1</w:t>
      </w:r>
      <w:r w:rsidR="00126D8D" w:rsidRPr="007F77C5">
        <w:t xml:space="preserve"> FM (Holy Basil). ‘Genovese,’ ‘Siam Queen,’ and Holy Basil had the highest concentrations and statistically separated from Lemon Basil, ‘Spicy Globe,’ ‘Dark Opal,’ and Thai Basil. </w:t>
      </w:r>
      <w:r w:rsidR="00126D8D" w:rsidRPr="007F77C5">
        <w:sym w:font="Symbol" w:char="F062"/>
      </w:r>
      <w:r w:rsidR="00126D8D" w:rsidRPr="007F77C5">
        <w:t xml:space="preserve">-pinene tissue concentrations showed significant separation across basil variety (P = 0.0017; F = 5.77). </w:t>
      </w:r>
      <w:r w:rsidR="00126D8D" w:rsidRPr="007F77C5">
        <w:sym w:font="Symbol" w:char="F062"/>
      </w:r>
      <w:r w:rsidR="00126D8D" w:rsidRPr="007F77C5">
        <w:t xml:space="preserve">-Pinene was detected in all varieties and showed a similar pattern as its enantiomer (Fig. 2.5). </w:t>
      </w:r>
      <w:r w:rsidR="00126D8D" w:rsidRPr="007F77C5">
        <w:sym w:font="Symbol" w:char="F061"/>
      </w:r>
      <w:r w:rsidR="00126D8D" w:rsidRPr="007F77C5">
        <w:t xml:space="preserve">-Pinene made up approximately 80% total pinene concentration, while </w:t>
      </w:r>
      <w:r w:rsidR="00126D8D" w:rsidRPr="007F77C5">
        <w:sym w:font="Symbol" w:char="F062"/>
      </w:r>
      <w:r w:rsidR="00126D8D" w:rsidRPr="007F77C5">
        <w:t xml:space="preserve">-pinene made up the remaining </w:t>
      </w:r>
      <w:r w:rsidR="00126D8D" w:rsidRPr="007F77C5">
        <w:lastRenderedPageBreak/>
        <w:t>20%. It ranged from 2.4 µM</w:t>
      </w:r>
      <w:r w:rsidR="00126D8D" w:rsidRPr="007F77C5">
        <w:sym w:font="Symbol" w:char="F0D7"/>
      </w:r>
      <w:r w:rsidR="00126D8D" w:rsidRPr="007F77C5">
        <w:t>g</w:t>
      </w:r>
      <w:r w:rsidR="00126D8D" w:rsidRPr="007F77C5">
        <w:rPr>
          <w:vertAlign w:val="superscript"/>
        </w:rPr>
        <w:t>-1</w:t>
      </w:r>
      <w:r w:rsidR="00126D8D" w:rsidRPr="007F77C5">
        <w:t xml:space="preserve"> FM (‘Dark Opal’) to 575 µM</w:t>
      </w:r>
      <w:r w:rsidR="00126D8D" w:rsidRPr="007F77C5">
        <w:sym w:font="Symbol" w:char="F0D7"/>
      </w:r>
      <w:r w:rsidR="00126D8D" w:rsidRPr="007F77C5">
        <w:t>g</w:t>
      </w:r>
      <w:r w:rsidR="00126D8D" w:rsidRPr="007F77C5">
        <w:rPr>
          <w:vertAlign w:val="superscript"/>
        </w:rPr>
        <w:t>-1</w:t>
      </w:r>
      <w:r w:rsidR="00126D8D" w:rsidRPr="007F77C5">
        <w:t xml:space="preserve"> FM (Holy Basil). ‘Genovese,’ ‘Siam Queen,’ and Holy Basil had the highest concentrations and statistically separated from Lemon Basil, ‘Spicy Globe,’ ‘Dark Opal,’ and Thai Basil. Total pinene tissue concentrations (</w:t>
      </w:r>
      <w:r w:rsidR="00126D8D" w:rsidRPr="007F77C5">
        <w:sym w:font="Symbol" w:char="F061"/>
      </w:r>
      <w:r w:rsidR="00126D8D" w:rsidRPr="007F77C5">
        <w:t xml:space="preserve">-pinene and </w:t>
      </w:r>
      <w:r w:rsidR="00126D8D" w:rsidRPr="007F77C5">
        <w:sym w:font="Symbol" w:char="F062"/>
      </w:r>
      <w:r w:rsidR="00126D8D" w:rsidRPr="007F77C5">
        <w:t xml:space="preserve">-pinene) showed significant separation across basil variety (P ≤ 0.0001; F = 24.71). ‘Genovese,’ ‘Siam Queen,’ and Holy Basil had the highest concentrations and statistically separated from Lemon Basil, ‘Spicy Globe,’ ‘Dark Opal,’ and Thai Basil (Fig. 2.5). Across all basil varieties, the ratio of </w:t>
      </w:r>
      <w:r w:rsidR="00126D8D" w:rsidRPr="007F77C5">
        <w:sym w:font="Symbol" w:char="F061"/>
      </w:r>
      <w:r w:rsidR="00126D8D" w:rsidRPr="007F77C5">
        <w:t>/</w:t>
      </w:r>
      <w:r w:rsidR="00126D8D" w:rsidRPr="007F77C5">
        <w:sym w:font="Symbol" w:char="F062"/>
      </w:r>
      <w:r w:rsidR="00126D8D" w:rsidRPr="007F77C5">
        <w:t xml:space="preserve">-pinene tissue concentrations was approximately 4:1, and concentration ratio variance was less than 4% across all varieties. Both </w:t>
      </w:r>
      <w:r w:rsidR="00126D8D" w:rsidRPr="007F77C5">
        <w:sym w:font="Symbol" w:char="F061"/>
      </w:r>
      <w:r w:rsidR="00126D8D" w:rsidRPr="007F77C5">
        <w:t>/</w:t>
      </w:r>
      <w:r w:rsidR="00126D8D" w:rsidRPr="007F77C5">
        <w:sym w:font="Symbol" w:char="F062"/>
      </w:r>
      <w:r w:rsidR="00126D8D" w:rsidRPr="007F77C5">
        <w:t xml:space="preserve">-pinene have been shown to possess a wide range of pharmacological activity and have many therapeutic applications for both direct consumption and inhalation. These include anticoagulant, antitumor, antiseptic, antimicrobial, antioxidant, and anti-inflammatory </w:t>
      </w:r>
      <w:r w:rsidR="00126D8D" w:rsidRPr="007F77C5">
        <w:rPr>
          <w:noProof/>
        </w:rPr>
        <w:t>(Rivas Da Silva et al., 2012; Salehi et al., 2019)</w:t>
      </w:r>
      <w:r w:rsidR="00126D8D" w:rsidRPr="007F77C5">
        <w:t>.</w:t>
      </w:r>
    </w:p>
    <w:p w14:paraId="09D30A9F" w14:textId="2C164E49" w:rsidR="00126D8D" w:rsidRDefault="00126D8D">
      <w:pPr>
        <w:spacing w:line="240" w:lineRule="auto"/>
        <w:rPr>
          <w:rFonts w:cs="Times New Roman"/>
          <w:b/>
          <w:sz w:val="28"/>
        </w:rPr>
      </w:pPr>
    </w:p>
    <w:p w14:paraId="004B3C6C" w14:textId="77777777" w:rsidR="00126D8D" w:rsidRPr="007F77C5" w:rsidRDefault="00126D8D" w:rsidP="008C7B33">
      <w:pPr>
        <w:pStyle w:val="MastersThesisMainTitle"/>
      </w:pPr>
      <w:bookmarkStart w:id="338" w:name="_Toc139574794"/>
      <w:bookmarkStart w:id="339" w:name="_Toc141478664"/>
      <w:r w:rsidRPr="007F77C5">
        <w:t>Conclusion</w:t>
      </w:r>
      <w:bookmarkEnd w:id="338"/>
      <w:bookmarkEnd w:id="339"/>
    </w:p>
    <w:p w14:paraId="5B58EDAC" w14:textId="319049C3" w:rsidR="00126D8D" w:rsidRDefault="00126D8D" w:rsidP="00A37527">
      <w:pPr>
        <w:pStyle w:val="MSThesisBodyTextJustified"/>
      </w:pPr>
      <w:r w:rsidRPr="007F77C5">
        <w:rPr>
          <w:bCs/>
        </w:rPr>
        <w:t xml:space="preserve">The purpose of this study </w:t>
      </w:r>
      <w:r w:rsidRPr="007F77C5">
        <w:t xml:space="preserve">was to quantify VOCs with known medicinal benefits in common varieties of basil. Seven basil varieties were analyzed using GC-MS to determine flavor profiles and pertinent compounds with human health benefits. Each variety had a specific flavor profile with varying concentrations of each flavor compound. The most abundant VOCs detected for ‘Genovese’ included (R+/S-)-limonene, linalool, methyl salicylate, and </w:t>
      </w:r>
      <w:r w:rsidRPr="007F77C5">
        <w:sym w:font="Symbol" w:char="F061"/>
      </w:r>
      <w:r w:rsidRPr="007F77C5">
        <w:t>/</w:t>
      </w:r>
      <w:r w:rsidRPr="007F77C5">
        <w:sym w:font="Symbol" w:char="F062"/>
      </w:r>
      <w:r w:rsidRPr="007F77C5">
        <w:t xml:space="preserve">-pinene. ‘Siam Queen’ had high concentrations of linalool, methyl salicylate, and </w:t>
      </w:r>
      <w:r w:rsidRPr="007F77C5">
        <w:sym w:font="Symbol" w:char="F061"/>
      </w:r>
      <w:r w:rsidRPr="007F77C5">
        <w:t>/</w:t>
      </w:r>
      <w:r w:rsidRPr="007F77C5">
        <w:sym w:font="Symbol" w:char="F062"/>
      </w:r>
      <w:r w:rsidRPr="007F77C5">
        <w:t>-pinene. Lemon Basil and ‘Spicy Globe’ primarily had terpinene. The most abundant VOCs for ‘Dark Opal’ included methyl eugenol and camphene. Thai Basil exhibited terpinolene, (R+/S-)-limonene</w:t>
      </w:r>
      <w:r w:rsidRPr="007F77C5">
        <w:rPr>
          <w:color w:val="000000"/>
        </w:rPr>
        <w:t>, eugenol</w:t>
      </w:r>
      <w:r w:rsidRPr="007F77C5">
        <w:t xml:space="preserve">, and methyl salicylate. Holy Basil had high concentrations (R+/S-)-limonene, eugenol, linalool, methyl salicylate, </w:t>
      </w:r>
      <w:r w:rsidRPr="007F77C5">
        <w:sym w:font="Symbol" w:char="F061"/>
      </w:r>
      <w:r w:rsidRPr="007F77C5">
        <w:t>/</w:t>
      </w:r>
      <w:r w:rsidRPr="007F77C5">
        <w:sym w:font="Symbol" w:char="F062"/>
      </w:r>
      <w:r w:rsidRPr="007F77C5">
        <w:t xml:space="preserve">-pinene. Quantifying key flavor volatile concentrations in common basil varieties </w:t>
      </w:r>
      <w:r w:rsidRPr="007F77C5">
        <w:lastRenderedPageBreak/>
        <w:t>will assist growers and processers in their quest to optimize essential oil extractions. Other secondary metabolites with significant human health benefits should be further evaluated. Specific varieties can be chosen based on their flavor profile as well as health benefits, with the potential to produce quality fresh/dried basil for dietary consumption, essential oils, and high-potency natural supplements.</w:t>
      </w:r>
    </w:p>
    <w:p w14:paraId="1AAC550A" w14:textId="77777777" w:rsidR="00A37527" w:rsidRPr="007F77C5" w:rsidRDefault="00A37527" w:rsidP="00A37527">
      <w:pPr>
        <w:pStyle w:val="MSThesisBodyTextJustified"/>
      </w:pPr>
    </w:p>
    <w:p w14:paraId="7DA2D5A5" w14:textId="20EDDEB6" w:rsidR="00126D8D" w:rsidRPr="007F77C5" w:rsidRDefault="00126D8D" w:rsidP="00CB34FF">
      <w:pPr>
        <w:pStyle w:val="MastersThesisMainTitle"/>
      </w:pPr>
      <w:bookmarkStart w:id="340" w:name="_Toc139574795"/>
      <w:bookmarkStart w:id="341" w:name="_Toc141478665"/>
      <w:r w:rsidRPr="007F77C5">
        <w:t>References</w:t>
      </w:r>
      <w:bookmarkEnd w:id="340"/>
      <w:bookmarkEnd w:id="341"/>
    </w:p>
    <w:p w14:paraId="6AEB05F0" w14:textId="77777777" w:rsidR="00126D8D" w:rsidRPr="007F77C5" w:rsidRDefault="00126D8D" w:rsidP="008C7B33">
      <w:pPr>
        <w:pStyle w:val="EndNoteBibliography"/>
        <w:ind w:left="720" w:hanging="720"/>
        <w:rPr>
          <w:noProof/>
        </w:rPr>
      </w:pPr>
      <w:bookmarkStart w:id="342" w:name="_ENREF_2_1"/>
      <w:r w:rsidRPr="007F77C5">
        <w:rPr>
          <w:noProof/>
        </w:rPr>
        <w:t>Banthorpe, D.V., B.V. Charlwood, and M.J. Francis. 1972. The Biosynthesis of Monoterpenes.</w:t>
      </w:r>
      <w:r w:rsidRPr="007F77C5">
        <w:rPr>
          <w:i/>
          <w:noProof/>
        </w:rPr>
        <w:t xml:space="preserve"> Chem Rev</w:t>
      </w:r>
      <w:r w:rsidRPr="007F77C5">
        <w:rPr>
          <w:noProof/>
        </w:rPr>
        <w:t xml:space="preserve"> 72:115-155. doi:10.1021/cr60276a002</w:t>
      </w:r>
      <w:bookmarkEnd w:id="342"/>
    </w:p>
    <w:p w14:paraId="554FB0B6" w14:textId="77777777" w:rsidR="00126D8D" w:rsidRPr="007F77C5" w:rsidRDefault="00126D8D" w:rsidP="008C7B33">
      <w:pPr>
        <w:pStyle w:val="EndNoteBibliography"/>
        <w:ind w:left="720" w:hanging="720"/>
        <w:rPr>
          <w:noProof/>
        </w:rPr>
      </w:pPr>
      <w:bookmarkStart w:id="343" w:name="_ENREF_2_2"/>
      <w:r w:rsidRPr="007F77C5">
        <w:rPr>
          <w:noProof/>
        </w:rPr>
        <w:t xml:space="preserve">Bantis, F., T. Ouzounis, and K. Radoglou. 2016. Artificial LED Lighting Enhances Growth Characteristics and Total Phenolic Content of </w:t>
      </w:r>
      <w:r w:rsidRPr="007F77C5">
        <w:rPr>
          <w:i/>
          <w:noProof/>
        </w:rPr>
        <w:t>Ocimum Basilicum</w:t>
      </w:r>
      <w:r w:rsidRPr="007F77C5">
        <w:rPr>
          <w:noProof/>
        </w:rPr>
        <w:t>, but Variably Affects Transplant Success.</w:t>
      </w:r>
      <w:r w:rsidRPr="007F77C5">
        <w:rPr>
          <w:i/>
          <w:noProof/>
        </w:rPr>
        <w:t xml:space="preserve"> Scientia Horticulturae</w:t>
      </w:r>
      <w:r w:rsidRPr="007F77C5">
        <w:rPr>
          <w:noProof/>
        </w:rPr>
        <w:t xml:space="preserve"> 198:277-283. doi:10.1016/j.scienta.2015.11.014</w:t>
      </w:r>
      <w:bookmarkEnd w:id="343"/>
    </w:p>
    <w:p w14:paraId="6D3B1EF0" w14:textId="77777777" w:rsidR="00126D8D" w:rsidRPr="007F77C5" w:rsidRDefault="00126D8D" w:rsidP="008C7B33">
      <w:pPr>
        <w:pStyle w:val="EndNoteBibliography"/>
        <w:ind w:left="720" w:hanging="720"/>
        <w:rPr>
          <w:noProof/>
        </w:rPr>
      </w:pPr>
      <w:bookmarkStart w:id="344" w:name="_ENREF_2_3"/>
      <w:r w:rsidRPr="007F77C5">
        <w:rPr>
          <w:noProof/>
        </w:rPr>
        <w:t>Barbieri, S., M. Elustondo, and M. Urbicain. 2004. Retention of Aroma Compounds in Basil Dried with Low Pressure Superheated Steam.</w:t>
      </w:r>
      <w:r w:rsidRPr="007F77C5">
        <w:rPr>
          <w:i/>
          <w:noProof/>
        </w:rPr>
        <w:t xml:space="preserve"> Journal of Food Engineering</w:t>
      </w:r>
      <w:r w:rsidRPr="007F77C5">
        <w:rPr>
          <w:noProof/>
        </w:rPr>
        <w:t xml:space="preserve"> 65:109-115. doi:10.1016/j.foodeng.2004.01.003</w:t>
      </w:r>
      <w:bookmarkEnd w:id="344"/>
    </w:p>
    <w:p w14:paraId="101EE1D0" w14:textId="77777777" w:rsidR="00126D8D" w:rsidRPr="007F77C5" w:rsidRDefault="00126D8D" w:rsidP="008C7B33">
      <w:pPr>
        <w:pStyle w:val="EndNoteBibliography"/>
        <w:ind w:left="720" w:hanging="720"/>
        <w:rPr>
          <w:noProof/>
        </w:rPr>
      </w:pPr>
      <w:bookmarkStart w:id="345" w:name="_ENREF_2_4"/>
      <w:r w:rsidRPr="007F77C5">
        <w:rPr>
          <w:noProof/>
        </w:rPr>
        <w:t>Bohlmann, J. and C.I. Keeling. 2008. Terpenoid Biomaterials.</w:t>
      </w:r>
      <w:r w:rsidRPr="007F77C5">
        <w:rPr>
          <w:i/>
          <w:noProof/>
        </w:rPr>
        <w:t xml:space="preserve"> Plant J</w:t>
      </w:r>
      <w:r w:rsidRPr="007F77C5">
        <w:rPr>
          <w:noProof/>
        </w:rPr>
        <w:t xml:space="preserve"> 54:656-669. doi:10.1111/j.1365-313X.2008.03449.x</w:t>
      </w:r>
      <w:bookmarkEnd w:id="345"/>
    </w:p>
    <w:p w14:paraId="0BC9AF86" w14:textId="77777777" w:rsidR="00126D8D" w:rsidRPr="007F77C5" w:rsidRDefault="00126D8D" w:rsidP="008C7B33">
      <w:pPr>
        <w:pStyle w:val="EndNoteBibliography"/>
        <w:ind w:left="720" w:hanging="720"/>
        <w:rPr>
          <w:noProof/>
        </w:rPr>
      </w:pPr>
      <w:bookmarkStart w:id="346" w:name="_ENREF_2_5"/>
      <w:r w:rsidRPr="007F77C5">
        <w:rPr>
          <w:noProof/>
        </w:rPr>
        <w:t>Bourgaud, F., A. Gravot, S. Milesi, and E. Gontier. 2001. Production of Plant Secondary Metabolites: A Historical Perspective.</w:t>
      </w:r>
      <w:r w:rsidRPr="007F77C5">
        <w:rPr>
          <w:i/>
          <w:noProof/>
        </w:rPr>
        <w:t xml:space="preserve"> Plant Science</w:t>
      </w:r>
      <w:r w:rsidRPr="007F77C5">
        <w:rPr>
          <w:noProof/>
        </w:rPr>
        <w:t xml:space="preserve"> 161:839-851. doi:10.1016/s0168-9452(01)00490-3</w:t>
      </w:r>
      <w:bookmarkEnd w:id="346"/>
    </w:p>
    <w:p w14:paraId="535F5BAE" w14:textId="77777777" w:rsidR="00126D8D" w:rsidRPr="007F77C5" w:rsidRDefault="00126D8D" w:rsidP="008C7B33">
      <w:pPr>
        <w:pStyle w:val="EndNoteBibliography"/>
        <w:ind w:left="720" w:hanging="720"/>
        <w:rPr>
          <w:noProof/>
        </w:rPr>
      </w:pPr>
      <w:bookmarkStart w:id="347" w:name="_ENREF_2_6"/>
      <w:r w:rsidRPr="007F77C5">
        <w:rPr>
          <w:noProof/>
        </w:rPr>
        <w:t xml:space="preserve">Carvalho, S.D., M.L. Schwieterman, C.E. Abrahan, T.A. Colquhoun, and K.M. Folta. 2016. Light Quality Dependent Changes in Morphology, Antioxidant Capacity, and Volatile </w:t>
      </w:r>
      <w:r w:rsidRPr="007F77C5">
        <w:rPr>
          <w:noProof/>
        </w:rPr>
        <w:lastRenderedPageBreak/>
        <w:t>Production in Sweet Basil (</w:t>
      </w:r>
      <w:r w:rsidRPr="007F77C5">
        <w:rPr>
          <w:i/>
          <w:noProof/>
        </w:rPr>
        <w:t>Ocimum Basilicum</w:t>
      </w:r>
      <w:r w:rsidRPr="007F77C5">
        <w:rPr>
          <w:noProof/>
        </w:rPr>
        <w:t>).</w:t>
      </w:r>
      <w:r w:rsidRPr="007F77C5">
        <w:rPr>
          <w:i/>
          <w:noProof/>
        </w:rPr>
        <w:t xml:space="preserve"> Front Plant Sci</w:t>
      </w:r>
      <w:r w:rsidRPr="007F77C5">
        <w:rPr>
          <w:noProof/>
        </w:rPr>
        <w:t xml:space="preserve"> 7:1328. doi:10.3389/fpls.2016.01328</w:t>
      </w:r>
      <w:bookmarkEnd w:id="347"/>
    </w:p>
    <w:p w14:paraId="0C4CFE4D" w14:textId="77777777" w:rsidR="00126D8D" w:rsidRPr="007F77C5" w:rsidRDefault="00126D8D" w:rsidP="008C7B33">
      <w:pPr>
        <w:pStyle w:val="EndNoteBibliography"/>
        <w:ind w:left="720" w:hanging="720"/>
        <w:rPr>
          <w:noProof/>
        </w:rPr>
      </w:pPr>
      <w:bookmarkStart w:id="348" w:name="_ENREF_2_7"/>
      <w:r w:rsidRPr="007F77C5">
        <w:rPr>
          <w:noProof/>
        </w:rPr>
        <w:t xml:space="preserve">Carvalho-Freitas, M.I. and M. Costa. 2002. Anxiolytic and Sedative Effects of Extracts and Essential Oil from </w:t>
      </w:r>
      <w:r w:rsidRPr="007F77C5">
        <w:rPr>
          <w:i/>
          <w:noProof/>
        </w:rPr>
        <w:t>Citrus Aurantium</w:t>
      </w:r>
      <w:r w:rsidRPr="007F77C5">
        <w:rPr>
          <w:noProof/>
        </w:rPr>
        <w:t xml:space="preserve"> L.</w:t>
      </w:r>
      <w:r w:rsidRPr="007F77C5">
        <w:rPr>
          <w:i/>
          <w:noProof/>
        </w:rPr>
        <w:t xml:space="preserve"> Biol Pharm Bull</w:t>
      </w:r>
      <w:r w:rsidRPr="007F77C5">
        <w:rPr>
          <w:noProof/>
        </w:rPr>
        <w:t xml:space="preserve"> 25:1629-1633. doi:10.1248/bpb.25.1629</w:t>
      </w:r>
      <w:bookmarkEnd w:id="348"/>
    </w:p>
    <w:p w14:paraId="00C48C85" w14:textId="77777777" w:rsidR="00126D8D" w:rsidRPr="007F77C5" w:rsidRDefault="00126D8D" w:rsidP="008C7B33">
      <w:pPr>
        <w:pStyle w:val="EndNoteBibliography"/>
        <w:ind w:left="720" w:hanging="720"/>
        <w:rPr>
          <w:noProof/>
        </w:rPr>
      </w:pPr>
      <w:bookmarkStart w:id="349" w:name="_ENREF_2_8"/>
      <w:r w:rsidRPr="007F77C5">
        <w:rPr>
          <w:noProof/>
        </w:rPr>
        <w:t>Charles, D.J. and J.E. Simon. 1990. Comparison of Extraction Methods for the Rapid-Determination of Essential Oil Content and Composition of Basil.</w:t>
      </w:r>
      <w:r w:rsidRPr="007F77C5">
        <w:rPr>
          <w:i/>
          <w:noProof/>
        </w:rPr>
        <w:t xml:space="preserve"> Journal of the American Society for Horticultural Science</w:t>
      </w:r>
      <w:r w:rsidRPr="007F77C5">
        <w:rPr>
          <w:noProof/>
        </w:rPr>
        <w:t xml:space="preserve"> 115:458-462. </w:t>
      </w:r>
      <w:bookmarkEnd w:id="349"/>
    </w:p>
    <w:p w14:paraId="0F4F74CE" w14:textId="77777777" w:rsidR="00126D8D" w:rsidRPr="007F77C5" w:rsidRDefault="00126D8D" w:rsidP="008C7B33">
      <w:pPr>
        <w:pStyle w:val="EndNoteBibliography"/>
        <w:ind w:left="720" w:hanging="720"/>
        <w:rPr>
          <w:noProof/>
        </w:rPr>
      </w:pPr>
      <w:bookmarkStart w:id="350" w:name="_ENREF_2_9"/>
      <w:r w:rsidRPr="007F77C5">
        <w:rPr>
          <w:noProof/>
        </w:rPr>
        <w:t>Claudia, M.R., And P. Alberto. 2013. Influence of Nitrogen Nutrition on Growth and Accumulation of Rosmarinic Acid in Sweet Basil (Ocimum Basilicum L.) Grown in Hydroponic Culture.</w:t>
      </w:r>
      <w:r w:rsidRPr="007F77C5">
        <w:rPr>
          <w:i/>
          <w:noProof/>
        </w:rPr>
        <w:t xml:space="preserve"> Australian Journal of Crop Science</w:t>
      </w:r>
      <w:r w:rsidRPr="007F77C5">
        <w:rPr>
          <w:noProof/>
        </w:rPr>
        <w:t xml:space="preserve"> 7:321-327. </w:t>
      </w:r>
      <w:bookmarkEnd w:id="350"/>
    </w:p>
    <w:p w14:paraId="7640B5EF" w14:textId="77777777" w:rsidR="00126D8D" w:rsidRPr="007F77C5" w:rsidRDefault="00126D8D" w:rsidP="008C7B33">
      <w:pPr>
        <w:pStyle w:val="EndNoteBibliography"/>
        <w:ind w:left="720" w:hanging="720"/>
        <w:rPr>
          <w:noProof/>
        </w:rPr>
      </w:pPr>
      <w:bookmarkStart w:id="351" w:name="_ENREF_2_10"/>
      <w:r w:rsidRPr="007F77C5">
        <w:rPr>
          <w:noProof/>
        </w:rPr>
        <w:t>Deschamps, C. and J.E. Simon. 2006. Terpenoid Essential Oil Metabolism in Basil (</w:t>
      </w:r>
      <w:r w:rsidRPr="007F77C5">
        <w:rPr>
          <w:i/>
          <w:noProof/>
        </w:rPr>
        <w:t>Ocimum Basilicum</w:t>
      </w:r>
      <w:r w:rsidRPr="007F77C5">
        <w:rPr>
          <w:noProof/>
        </w:rPr>
        <w:t xml:space="preserve"> L.) Following Elicitation.</w:t>
      </w:r>
      <w:r w:rsidRPr="007F77C5">
        <w:rPr>
          <w:i/>
          <w:noProof/>
        </w:rPr>
        <w:t xml:space="preserve"> Journal of Essential Oil Research</w:t>
      </w:r>
      <w:r w:rsidRPr="007F77C5">
        <w:rPr>
          <w:noProof/>
        </w:rPr>
        <w:t xml:space="preserve"> 18:618-621. doi:10.1080/10412905.2006.9699183</w:t>
      </w:r>
      <w:bookmarkEnd w:id="351"/>
    </w:p>
    <w:p w14:paraId="2B9098E2" w14:textId="77777777" w:rsidR="00126D8D" w:rsidRPr="007F77C5" w:rsidRDefault="00126D8D" w:rsidP="008C7B33">
      <w:pPr>
        <w:pStyle w:val="EndNoteBibliography"/>
        <w:ind w:left="720" w:hanging="720"/>
        <w:rPr>
          <w:noProof/>
        </w:rPr>
      </w:pPr>
      <w:bookmarkStart w:id="352" w:name="_ENREF_2_11"/>
      <w:r w:rsidRPr="007F77C5">
        <w:rPr>
          <w:noProof/>
        </w:rPr>
        <w:t>Dorman, H.J. and S.G. Deans. 2000. Antimicrobial Agents from Plants: Antibacterial Activity of Plant Volatile Oils.</w:t>
      </w:r>
      <w:r w:rsidRPr="007F77C5">
        <w:rPr>
          <w:i/>
          <w:noProof/>
        </w:rPr>
        <w:t xml:space="preserve"> J Appl Microbiol</w:t>
      </w:r>
      <w:r w:rsidRPr="007F77C5">
        <w:rPr>
          <w:noProof/>
        </w:rPr>
        <w:t xml:space="preserve"> 88:308-316. doi:10.1046/j.1365-2672.2000.00969.x</w:t>
      </w:r>
      <w:bookmarkEnd w:id="352"/>
    </w:p>
    <w:p w14:paraId="6545EC7E" w14:textId="77777777" w:rsidR="00126D8D" w:rsidRPr="007F77C5" w:rsidRDefault="00126D8D" w:rsidP="008C7B33">
      <w:pPr>
        <w:pStyle w:val="EndNoteBibliography"/>
        <w:ind w:left="720" w:hanging="720"/>
        <w:rPr>
          <w:noProof/>
        </w:rPr>
      </w:pPr>
      <w:bookmarkStart w:id="353" w:name="_ENREF_2_12"/>
      <w:r w:rsidRPr="007F77C5">
        <w:rPr>
          <w:noProof/>
        </w:rPr>
        <w:t>Fahlbusch, K.-G., F.-J. Hammerschmidt, J. Panten, W. Pickenhagen, D. Schatkowski, K. Bauer, D. Garbe, and H. Surburg. 2003. Flavors and Fragrances. doi:10.1002/14356007.a11_141</w:t>
      </w:r>
      <w:bookmarkEnd w:id="353"/>
    </w:p>
    <w:p w14:paraId="468E882C" w14:textId="77777777" w:rsidR="00126D8D" w:rsidRPr="007F77C5" w:rsidRDefault="00126D8D" w:rsidP="008C7B33">
      <w:pPr>
        <w:pStyle w:val="EndNoteBibliography"/>
        <w:ind w:left="720" w:hanging="720"/>
        <w:rPr>
          <w:noProof/>
        </w:rPr>
      </w:pPr>
      <w:bookmarkStart w:id="354" w:name="_ENREF_2_13"/>
      <w:r w:rsidRPr="007F77C5">
        <w:rPr>
          <w:noProof/>
        </w:rPr>
        <w:t>Grassmann, J., S. Hippeli, R. Spitzenberger, and E.F. Elstner. 2005. The Monoterpene Terpinolene from the Oil of Pinus Mugo L. In Concert with Alpha-Tocopherol and Beta-Carotene Effectively Prevents Oxidation of Ldl.</w:t>
      </w:r>
      <w:r w:rsidRPr="007F77C5">
        <w:rPr>
          <w:i/>
          <w:noProof/>
        </w:rPr>
        <w:t xml:space="preserve"> Phytomedicine</w:t>
      </w:r>
      <w:r w:rsidRPr="007F77C5">
        <w:rPr>
          <w:noProof/>
        </w:rPr>
        <w:t xml:space="preserve"> 12:416-423. doi:10.1016/j.phymed.2003.10.005</w:t>
      </w:r>
      <w:bookmarkEnd w:id="354"/>
    </w:p>
    <w:p w14:paraId="650AD720" w14:textId="77777777" w:rsidR="00126D8D" w:rsidRPr="007F77C5" w:rsidRDefault="00126D8D" w:rsidP="008C7B33">
      <w:pPr>
        <w:pStyle w:val="EndNoteBibliography"/>
        <w:ind w:left="720" w:hanging="720"/>
        <w:rPr>
          <w:noProof/>
        </w:rPr>
      </w:pPr>
      <w:bookmarkStart w:id="355" w:name="_ENREF_2_14"/>
      <w:r w:rsidRPr="007F77C5">
        <w:rPr>
          <w:noProof/>
        </w:rPr>
        <w:lastRenderedPageBreak/>
        <w:t>Guzman-Gutierrez, S.L., H. Bonilla-Jaime, R. Gomez-Cansino, and R. Reyes-Chilpa. 2015. Linalool and Beta-Pinene Exert Their Antidepressant-Like Activity through the Monoaminergic Pathway.</w:t>
      </w:r>
      <w:r w:rsidRPr="007F77C5">
        <w:rPr>
          <w:i/>
          <w:noProof/>
        </w:rPr>
        <w:t xml:space="preserve"> Life Sci</w:t>
      </w:r>
      <w:r w:rsidRPr="007F77C5">
        <w:rPr>
          <w:noProof/>
        </w:rPr>
        <w:t xml:space="preserve"> 128:24-29. doi:10.1016/j.lfs.2015.02.021</w:t>
      </w:r>
      <w:bookmarkEnd w:id="355"/>
    </w:p>
    <w:p w14:paraId="6BEBC9FA" w14:textId="77777777" w:rsidR="00126D8D" w:rsidRPr="007F77C5" w:rsidRDefault="00126D8D" w:rsidP="008C7B33">
      <w:pPr>
        <w:pStyle w:val="EndNoteBibliography"/>
        <w:ind w:left="720" w:hanging="720"/>
        <w:rPr>
          <w:noProof/>
        </w:rPr>
      </w:pPr>
      <w:bookmarkStart w:id="356" w:name="_ENREF_2_15"/>
      <w:r w:rsidRPr="007F77C5">
        <w:rPr>
          <w:noProof/>
        </w:rPr>
        <w:t>Guzman-Gutierrez, S.L., R. Gomez-Cansino, J.C. Garcia-Zebadua, N.C. Jimenez-Perez, and R. Reyes-Chilpa. 2012. Antidepressant Activity of Litsea Glaucescens Essential Oil: Identification of Beta-Pinene and Linalool as Active Principles.</w:t>
      </w:r>
      <w:r w:rsidRPr="007F77C5">
        <w:rPr>
          <w:i/>
          <w:noProof/>
        </w:rPr>
        <w:t xml:space="preserve"> J Ethnopharmacol</w:t>
      </w:r>
      <w:r w:rsidRPr="007F77C5">
        <w:rPr>
          <w:noProof/>
        </w:rPr>
        <w:t xml:space="preserve"> 143:673-679. doi:10.1016/j.jep.2012.07.026</w:t>
      </w:r>
      <w:bookmarkEnd w:id="356"/>
    </w:p>
    <w:p w14:paraId="4FB0767A" w14:textId="77777777" w:rsidR="00126D8D" w:rsidRPr="007F77C5" w:rsidRDefault="00126D8D" w:rsidP="008C7B33">
      <w:pPr>
        <w:pStyle w:val="EndNoteBibliography"/>
        <w:ind w:left="720" w:hanging="720"/>
        <w:rPr>
          <w:noProof/>
        </w:rPr>
      </w:pPr>
      <w:bookmarkStart w:id="357" w:name="_ENREF_2_16"/>
      <w:r w:rsidRPr="007F77C5">
        <w:rPr>
          <w:noProof/>
        </w:rPr>
        <w:t>Hebert, P.R., E.J. Barice, and C.H. Hennekens. 2014. Treatment of Low Back Pain: The Potential Clinical and Public Health Benefits of Topical Herbal Remedies.</w:t>
      </w:r>
      <w:r w:rsidRPr="007F77C5">
        <w:rPr>
          <w:i/>
          <w:noProof/>
        </w:rPr>
        <w:t xml:space="preserve"> J Altern Complement Med</w:t>
      </w:r>
      <w:r w:rsidRPr="007F77C5">
        <w:rPr>
          <w:noProof/>
        </w:rPr>
        <w:t xml:space="preserve"> 20:219-220. doi:10.1089/acm.2013.0313</w:t>
      </w:r>
      <w:bookmarkEnd w:id="357"/>
    </w:p>
    <w:p w14:paraId="3FBE0D7F" w14:textId="77777777" w:rsidR="00126D8D" w:rsidRPr="007F77C5" w:rsidRDefault="00126D8D" w:rsidP="008C7B33">
      <w:pPr>
        <w:pStyle w:val="EndNoteBibliography"/>
        <w:ind w:left="720" w:hanging="720"/>
        <w:rPr>
          <w:noProof/>
        </w:rPr>
      </w:pPr>
      <w:bookmarkStart w:id="358" w:name="_ENREF_2_17"/>
      <w:r w:rsidRPr="007F77C5">
        <w:rPr>
          <w:noProof/>
        </w:rPr>
        <w:t>Hussain, A.I., F. Anwar, S.T. Hussain Sherazi, and R. Przybylski. 2008. Chemical Composition, Antioxidant and Antimicrobial Activities of Basil (Ocimum Basilicum) Essential Oils Depends on Seasonal Variations.</w:t>
      </w:r>
      <w:r w:rsidRPr="007F77C5">
        <w:rPr>
          <w:i/>
          <w:noProof/>
        </w:rPr>
        <w:t xml:space="preserve"> Food Chem</w:t>
      </w:r>
      <w:r w:rsidRPr="007F77C5">
        <w:rPr>
          <w:noProof/>
        </w:rPr>
        <w:t xml:space="preserve"> 108:986-995. doi:10.1016/j.foodchem.2007.12.010</w:t>
      </w:r>
      <w:bookmarkEnd w:id="358"/>
    </w:p>
    <w:p w14:paraId="79189F8B" w14:textId="77777777" w:rsidR="00126D8D" w:rsidRPr="007F77C5" w:rsidRDefault="00126D8D" w:rsidP="008C7B33">
      <w:pPr>
        <w:pStyle w:val="EndNoteBibliography"/>
        <w:ind w:left="720" w:hanging="720"/>
        <w:rPr>
          <w:noProof/>
        </w:rPr>
      </w:pPr>
      <w:bookmarkStart w:id="359" w:name="_ENREF_2_18"/>
      <w:r w:rsidRPr="007F77C5">
        <w:rPr>
          <w:noProof/>
        </w:rPr>
        <w:t>Joung;, D., C. Song;, H. Ikei;, T. Okuda;, M. Igarashi;, H. Koizumi;, B.J. Park;, T. Yamaguchi;, M. Takagaki;, and Y. Miyazaki. 2014. Physiological and Psychological Effects of Olfactory Stimulation with D-Limonene.</w:t>
      </w:r>
      <w:r w:rsidRPr="007F77C5">
        <w:rPr>
          <w:i/>
          <w:noProof/>
        </w:rPr>
        <w:t xml:space="preserve"> Advances in Horticultural Science</w:t>
      </w:r>
      <w:r w:rsidRPr="007F77C5">
        <w:rPr>
          <w:noProof/>
        </w:rPr>
        <w:t xml:space="preserve"> 28(2), 90-94. doi:10.13128/ahs-22808</w:t>
      </w:r>
      <w:bookmarkEnd w:id="359"/>
    </w:p>
    <w:p w14:paraId="40AD929B" w14:textId="77777777" w:rsidR="00126D8D" w:rsidRPr="007F77C5" w:rsidRDefault="00126D8D" w:rsidP="008C7B33">
      <w:pPr>
        <w:pStyle w:val="EndNoteBibliography"/>
        <w:ind w:left="720" w:hanging="720"/>
        <w:rPr>
          <w:noProof/>
        </w:rPr>
      </w:pPr>
      <w:bookmarkStart w:id="360" w:name="_ENREF_2_19"/>
      <w:r w:rsidRPr="007F77C5">
        <w:rPr>
          <w:noProof/>
        </w:rPr>
        <w:t>Kesselmeier, J. and M. Staudt. 1999. Biogenic Volatile Organic Compounds (Voc): An Overview on Emission, Physiology and Ecology.</w:t>
      </w:r>
      <w:r w:rsidRPr="007F77C5">
        <w:rPr>
          <w:i/>
          <w:noProof/>
        </w:rPr>
        <w:t xml:space="preserve"> Journal of Atmospheric Chemistry</w:t>
      </w:r>
      <w:r w:rsidRPr="007F77C5">
        <w:rPr>
          <w:noProof/>
        </w:rPr>
        <w:t xml:space="preserve"> 33:23-88. doi:10.1023/a:1006127516791</w:t>
      </w:r>
      <w:bookmarkEnd w:id="360"/>
    </w:p>
    <w:p w14:paraId="5DDE0891" w14:textId="77777777" w:rsidR="00126D8D" w:rsidRPr="007F77C5" w:rsidRDefault="00126D8D" w:rsidP="008C7B33">
      <w:pPr>
        <w:pStyle w:val="EndNoteBibliography"/>
        <w:ind w:left="720" w:hanging="720"/>
        <w:rPr>
          <w:noProof/>
        </w:rPr>
      </w:pPr>
      <w:bookmarkStart w:id="361" w:name="_ENREF_2_20"/>
      <w:r w:rsidRPr="007F77C5">
        <w:rPr>
          <w:noProof/>
        </w:rPr>
        <w:lastRenderedPageBreak/>
        <w:t>Klimánková, E., K. Holadová, J. Hajšlová, T. Čajka, J. Poustka, and M. Koudela. 2008. Aroma Profiles of Five Basil (</w:t>
      </w:r>
      <w:r w:rsidRPr="007F77C5">
        <w:rPr>
          <w:i/>
          <w:noProof/>
        </w:rPr>
        <w:t>Ocimum Basilicum</w:t>
      </w:r>
      <w:r w:rsidRPr="007F77C5">
        <w:rPr>
          <w:noProof/>
        </w:rPr>
        <w:t xml:space="preserve"> L.) Cultivars Grown under Conventional and Organic Conditions.</w:t>
      </w:r>
      <w:r w:rsidRPr="007F77C5">
        <w:rPr>
          <w:i/>
          <w:noProof/>
        </w:rPr>
        <w:t xml:space="preserve"> Food Chemistry</w:t>
      </w:r>
      <w:r w:rsidRPr="007F77C5">
        <w:rPr>
          <w:noProof/>
        </w:rPr>
        <w:t xml:space="preserve"> 107:464-472. doi:10.1016/j.foodchem.2007.07.062</w:t>
      </w:r>
      <w:bookmarkEnd w:id="361"/>
    </w:p>
    <w:p w14:paraId="29FB8EB9" w14:textId="77777777" w:rsidR="00126D8D" w:rsidRPr="007F77C5" w:rsidRDefault="00126D8D" w:rsidP="008C7B33">
      <w:pPr>
        <w:pStyle w:val="EndNoteBibliography"/>
        <w:ind w:left="720" w:hanging="720"/>
        <w:rPr>
          <w:noProof/>
        </w:rPr>
      </w:pPr>
      <w:bookmarkStart w:id="362" w:name="_ENREF_2_21"/>
      <w:r w:rsidRPr="007F77C5">
        <w:rPr>
          <w:noProof/>
        </w:rPr>
        <w:t>Kopsell, D.A., D.E. Kopsell, and J. Curran-Celentano. 2005. Carotenoid and Chlorophyll Pigments in Sweet Basil Grown in the Field and Greenhouse.</w:t>
      </w:r>
      <w:r w:rsidRPr="007F77C5">
        <w:rPr>
          <w:i/>
          <w:noProof/>
        </w:rPr>
        <w:t xml:space="preserve"> HortScience</w:t>
      </w:r>
      <w:r w:rsidRPr="007F77C5">
        <w:rPr>
          <w:noProof/>
        </w:rPr>
        <w:t xml:space="preserve"> 40:1230-1233. doi:10.21273/hortsci.40.5.1230</w:t>
      </w:r>
      <w:bookmarkEnd w:id="362"/>
    </w:p>
    <w:p w14:paraId="329F2633" w14:textId="77777777" w:rsidR="00126D8D" w:rsidRPr="007F77C5" w:rsidRDefault="00126D8D" w:rsidP="008C7B33">
      <w:pPr>
        <w:pStyle w:val="EndNoteBibliography"/>
        <w:ind w:left="720" w:hanging="720"/>
        <w:rPr>
          <w:noProof/>
        </w:rPr>
      </w:pPr>
      <w:bookmarkStart w:id="363" w:name="_ENREF_2_22"/>
      <w:r w:rsidRPr="007F77C5">
        <w:rPr>
          <w:noProof/>
        </w:rPr>
        <w:t>Lee, S.J., K. Umano, T. Shibamoto, and K.G. Lee. 2005. Identification of Volatile Components in Basil (</w:t>
      </w:r>
      <w:r w:rsidRPr="007F77C5">
        <w:rPr>
          <w:i/>
          <w:noProof/>
        </w:rPr>
        <w:t>Ocimum Basilicum</w:t>
      </w:r>
      <w:r w:rsidRPr="007F77C5">
        <w:rPr>
          <w:noProof/>
        </w:rPr>
        <w:t xml:space="preserve"> L.) and Thyme Leaves (</w:t>
      </w:r>
      <w:r w:rsidRPr="007F77C5">
        <w:rPr>
          <w:i/>
          <w:noProof/>
        </w:rPr>
        <w:t xml:space="preserve">Thymus Vulgaris </w:t>
      </w:r>
      <w:r w:rsidRPr="007F77C5">
        <w:rPr>
          <w:noProof/>
        </w:rPr>
        <w:t>L.) and Their Antioxidant Properties.</w:t>
      </w:r>
      <w:r w:rsidRPr="007F77C5">
        <w:rPr>
          <w:i/>
          <w:noProof/>
        </w:rPr>
        <w:t xml:space="preserve"> Food Chemistry</w:t>
      </w:r>
      <w:r w:rsidRPr="007F77C5">
        <w:rPr>
          <w:noProof/>
        </w:rPr>
        <w:t xml:space="preserve"> 91:131-137. doi:10.1016/j.foodchem.2004.05.056</w:t>
      </w:r>
      <w:bookmarkEnd w:id="363"/>
    </w:p>
    <w:p w14:paraId="1E8947F3" w14:textId="77777777" w:rsidR="00126D8D" w:rsidRPr="007F77C5" w:rsidRDefault="00126D8D" w:rsidP="008C7B33">
      <w:pPr>
        <w:pStyle w:val="EndNoteBibliography"/>
        <w:ind w:left="720" w:hanging="720"/>
        <w:rPr>
          <w:noProof/>
        </w:rPr>
      </w:pPr>
      <w:bookmarkStart w:id="364" w:name="_ENREF_2_23"/>
      <w:r w:rsidRPr="007F77C5">
        <w:rPr>
          <w:noProof/>
        </w:rPr>
        <w:t xml:space="preserve">Lima, D.K., L.J. Ballico, F. Rocha Lapa, H.P. Goncalves, L.M. De Souza, M. Iacomini, M.F. Werner, C.H. Baggio, I.T. Pereira, L.M. Da Silva, V.A. Facundo, and A.R. Santos. 2012. Evaluation of the Antinociceptive, Anti-Inflammatory and Gastric Antiulcer Activities of the Essential Oil from </w:t>
      </w:r>
      <w:r w:rsidRPr="007F77C5">
        <w:rPr>
          <w:i/>
          <w:noProof/>
        </w:rPr>
        <w:t>Piper Aleyreanum</w:t>
      </w:r>
      <w:r w:rsidRPr="007F77C5">
        <w:rPr>
          <w:noProof/>
        </w:rPr>
        <w:t xml:space="preserve"> C.Dc in Rodents.</w:t>
      </w:r>
      <w:r w:rsidRPr="007F77C5">
        <w:rPr>
          <w:i/>
          <w:noProof/>
        </w:rPr>
        <w:t xml:space="preserve"> J Ethnopharmacol</w:t>
      </w:r>
      <w:r w:rsidRPr="007F77C5">
        <w:rPr>
          <w:noProof/>
        </w:rPr>
        <w:t xml:space="preserve"> 142:274-282. doi:10.1016/j.jep.2012.05.016</w:t>
      </w:r>
      <w:bookmarkEnd w:id="364"/>
    </w:p>
    <w:p w14:paraId="1399EB74" w14:textId="77777777" w:rsidR="00126D8D" w:rsidRPr="007F77C5" w:rsidRDefault="00126D8D" w:rsidP="008C7B33">
      <w:pPr>
        <w:pStyle w:val="EndNoteBibliography"/>
        <w:ind w:left="720" w:hanging="720"/>
        <w:rPr>
          <w:noProof/>
        </w:rPr>
      </w:pPr>
      <w:bookmarkStart w:id="365" w:name="_ENREF_2_24"/>
      <w:r w:rsidRPr="007F77C5">
        <w:rPr>
          <w:noProof/>
        </w:rPr>
        <w:t>Okumura, N., H. Yoshida, Y. Nishimura, Y. Kitagishi, and S. Matsuda. 2012. Terpinolene, a Component of Herbal Sage, Downregulates Akt1 Expression in K562 Cells.</w:t>
      </w:r>
      <w:r w:rsidRPr="007F77C5">
        <w:rPr>
          <w:i/>
          <w:noProof/>
        </w:rPr>
        <w:t xml:space="preserve"> Oncol Lett</w:t>
      </w:r>
      <w:r w:rsidRPr="007F77C5">
        <w:rPr>
          <w:noProof/>
        </w:rPr>
        <w:t xml:space="preserve"> 3:321-324. doi:10.3892/ol.2011.491</w:t>
      </w:r>
      <w:bookmarkEnd w:id="365"/>
    </w:p>
    <w:p w14:paraId="12EA8122" w14:textId="77777777" w:rsidR="00126D8D" w:rsidRPr="007F77C5" w:rsidRDefault="00126D8D" w:rsidP="008C7B33">
      <w:pPr>
        <w:pStyle w:val="EndNoteBibliography"/>
        <w:ind w:left="720" w:hanging="720"/>
        <w:rPr>
          <w:noProof/>
        </w:rPr>
      </w:pPr>
      <w:bookmarkStart w:id="366" w:name="_ENREF_2_25"/>
      <w:r w:rsidRPr="007F77C5">
        <w:rPr>
          <w:noProof/>
        </w:rPr>
        <w:t>Ozogul, Y., E. Kuley, Y. Ucar, and F. Ozogul. 2015. Antimicrobial Impacts of Essential Oils on Food Borne-Pathogens.</w:t>
      </w:r>
      <w:r w:rsidRPr="007F77C5">
        <w:rPr>
          <w:i/>
          <w:noProof/>
        </w:rPr>
        <w:t xml:space="preserve"> Recent Pat Food Nutr Agric</w:t>
      </w:r>
      <w:r w:rsidRPr="007F77C5">
        <w:rPr>
          <w:noProof/>
        </w:rPr>
        <w:t xml:space="preserve"> 7:53-61. doi:10.2174/2212798407666150615112153</w:t>
      </w:r>
      <w:bookmarkEnd w:id="366"/>
    </w:p>
    <w:p w14:paraId="4968AD79" w14:textId="77777777" w:rsidR="00126D8D" w:rsidRPr="007F77C5" w:rsidRDefault="00126D8D" w:rsidP="008C7B33">
      <w:pPr>
        <w:pStyle w:val="EndNoteBibliography"/>
        <w:ind w:left="720" w:hanging="720"/>
        <w:rPr>
          <w:noProof/>
        </w:rPr>
      </w:pPr>
      <w:bookmarkStart w:id="367" w:name="_ENREF_2_26"/>
      <w:r w:rsidRPr="007F77C5">
        <w:rPr>
          <w:noProof/>
        </w:rPr>
        <w:t>Petersen, M., J. Hans, and U. Matern. 2010. Biosynthesis of Phenylpropanoids and Related Compounds.</w:t>
      </w:r>
      <w:r w:rsidRPr="007F77C5">
        <w:rPr>
          <w:i/>
          <w:noProof/>
        </w:rPr>
        <w:t xml:space="preserve"> Biochemistry of Plant Secondary Metabolism, 2nd Edition</w:t>
      </w:r>
      <w:r w:rsidRPr="007F77C5">
        <w:rPr>
          <w:noProof/>
        </w:rPr>
        <w:t xml:space="preserve"> 40:182-257. doi:10.1002/9781444320503.ch4</w:t>
      </w:r>
      <w:bookmarkEnd w:id="367"/>
    </w:p>
    <w:p w14:paraId="4FD3D6AB" w14:textId="77777777" w:rsidR="00126D8D" w:rsidRPr="007F77C5" w:rsidRDefault="00126D8D" w:rsidP="008C7B33">
      <w:pPr>
        <w:pStyle w:val="EndNoteBibliography"/>
        <w:ind w:left="720" w:hanging="720"/>
        <w:rPr>
          <w:noProof/>
        </w:rPr>
      </w:pPr>
      <w:bookmarkStart w:id="368" w:name="_ENREF_2_27"/>
      <w:r w:rsidRPr="007F77C5">
        <w:rPr>
          <w:noProof/>
        </w:rPr>
        <w:lastRenderedPageBreak/>
        <w:t>Petrovic, J., D. Stojkovic, and M. Sokovic. 2019. Terpene Core in Selected Aromatic and Edible Plants: Natural Health Improving Agents.</w:t>
      </w:r>
      <w:r w:rsidRPr="007F77C5">
        <w:rPr>
          <w:i/>
          <w:noProof/>
        </w:rPr>
        <w:t xml:space="preserve"> Adv Food Nutr Res</w:t>
      </w:r>
      <w:r w:rsidRPr="007F77C5">
        <w:rPr>
          <w:noProof/>
        </w:rPr>
        <w:t xml:space="preserve"> 90:423-451. doi:10.1016/bs.afnr.2019.02.009</w:t>
      </w:r>
      <w:bookmarkEnd w:id="368"/>
    </w:p>
    <w:p w14:paraId="0CDF448D" w14:textId="77777777" w:rsidR="00126D8D" w:rsidRPr="007F77C5" w:rsidRDefault="00126D8D" w:rsidP="008C7B33">
      <w:pPr>
        <w:pStyle w:val="EndNoteBibliography"/>
        <w:ind w:left="720" w:hanging="720"/>
        <w:rPr>
          <w:noProof/>
        </w:rPr>
      </w:pPr>
      <w:bookmarkStart w:id="369" w:name="_ENREF_2_28"/>
      <w:r w:rsidRPr="007F77C5">
        <w:rPr>
          <w:noProof/>
        </w:rPr>
        <w:t>Politeo, O., M. Jukic, and M. Milos. 2007. Chemical Composition and Antioxidant Capacity of Free Volatile Aglycones from Basil (Ocimum Basilicum L.) Compared with Its Essential Oil.</w:t>
      </w:r>
      <w:r w:rsidRPr="007F77C5">
        <w:rPr>
          <w:i/>
          <w:noProof/>
        </w:rPr>
        <w:t xml:space="preserve"> Food Chemistry</w:t>
      </w:r>
      <w:r w:rsidRPr="007F77C5">
        <w:rPr>
          <w:noProof/>
        </w:rPr>
        <w:t xml:space="preserve"> 101:379-385. doi:10.1016/j.foodchem.2006.01.045</w:t>
      </w:r>
      <w:bookmarkEnd w:id="369"/>
    </w:p>
    <w:p w14:paraId="6C55944F" w14:textId="77777777" w:rsidR="00126D8D" w:rsidRPr="007F77C5" w:rsidRDefault="00126D8D" w:rsidP="008C7B33">
      <w:pPr>
        <w:pStyle w:val="EndNoteBibliography"/>
        <w:ind w:left="720" w:hanging="720"/>
        <w:rPr>
          <w:noProof/>
        </w:rPr>
      </w:pPr>
      <w:bookmarkStart w:id="370" w:name="_ENREF_2_29"/>
      <w:r w:rsidRPr="007F77C5">
        <w:rPr>
          <w:noProof/>
        </w:rPr>
        <w:t>Pourmortazavi, S.M. and S.S. Hajimirsadeghi. 2007. Supercritical Fluid Extraction in Plant Essential and Volatile Oil Analysis.</w:t>
      </w:r>
      <w:r w:rsidRPr="007F77C5">
        <w:rPr>
          <w:i/>
          <w:noProof/>
        </w:rPr>
        <w:t xml:space="preserve"> J Chromatogr A</w:t>
      </w:r>
      <w:r w:rsidRPr="007F77C5">
        <w:rPr>
          <w:noProof/>
        </w:rPr>
        <w:t xml:space="preserve"> 1163:2-24. doi:10.1016/j.chroma.2007.06.021</w:t>
      </w:r>
      <w:bookmarkEnd w:id="370"/>
    </w:p>
    <w:p w14:paraId="4C18258B" w14:textId="77777777" w:rsidR="00126D8D" w:rsidRPr="007F77C5" w:rsidRDefault="00126D8D" w:rsidP="008C7B33">
      <w:pPr>
        <w:pStyle w:val="EndNoteBibliography"/>
        <w:ind w:left="720" w:hanging="720"/>
        <w:rPr>
          <w:noProof/>
        </w:rPr>
      </w:pPr>
      <w:bookmarkStart w:id="371" w:name="_ENREF_2_31"/>
      <w:r w:rsidRPr="007F77C5">
        <w:rPr>
          <w:noProof/>
        </w:rPr>
        <w:t>Quintans-Junior, L., J.C. Moreira, M.A. Pasquali, S.M. Rabie, A.S. Pires, R. Schroder, T.K. Rabelo, J.P. Santos, P.S. Lima, S.C. Cavalcanti, A.A. Araujo, J.S. Quintans, and D.P. Gelain. 2013. Antinociceptive Activity and Redox Profile of the Monoterpenes (+)-Camphene, P-Cymene, and Geranyl Acetate in Experimental Models.</w:t>
      </w:r>
      <w:r w:rsidRPr="007F77C5">
        <w:rPr>
          <w:i/>
          <w:noProof/>
        </w:rPr>
        <w:t xml:space="preserve"> ISRN Toxicol</w:t>
      </w:r>
      <w:r w:rsidRPr="007F77C5">
        <w:rPr>
          <w:noProof/>
        </w:rPr>
        <w:t xml:space="preserve"> 2013:459530. doi:10.1155/2013/459530</w:t>
      </w:r>
      <w:bookmarkEnd w:id="371"/>
    </w:p>
    <w:p w14:paraId="55652E65" w14:textId="77777777" w:rsidR="00126D8D" w:rsidRPr="007F77C5" w:rsidRDefault="00126D8D" w:rsidP="008C7B33">
      <w:pPr>
        <w:pStyle w:val="EndNoteBibliography"/>
        <w:ind w:left="720" w:hanging="720"/>
        <w:rPr>
          <w:noProof/>
        </w:rPr>
      </w:pPr>
      <w:bookmarkStart w:id="372" w:name="_ENREF_2_32"/>
      <w:r w:rsidRPr="007F77C5">
        <w:rPr>
          <w:noProof/>
        </w:rPr>
        <w:t>Rabi, T. and A. Bishayee. 2009. D -Limonene Sensitizes Docetaxel-Induced Cytotoxicity in Human Prostate Cancer Cells: Generation of Reactive Oxygen Species and Induction of Apoptosis.</w:t>
      </w:r>
      <w:r w:rsidRPr="007F77C5">
        <w:rPr>
          <w:i/>
          <w:noProof/>
        </w:rPr>
        <w:t xml:space="preserve"> J Carcinog</w:t>
      </w:r>
      <w:r w:rsidRPr="007F77C5">
        <w:rPr>
          <w:noProof/>
        </w:rPr>
        <w:t xml:space="preserve"> 8:9. doi:10.4103/1477-3163.51368</w:t>
      </w:r>
      <w:bookmarkEnd w:id="372"/>
    </w:p>
    <w:p w14:paraId="25B1BDEC" w14:textId="77777777" w:rsidR="00126D8D" w:rsidRPr="007F77C5" w:rsidRDefault="00126D8D" w:rsidP="008C7B33">
      <w:pPr>
        <w:pStyle w:val="EndNoteBibliography"/>
        <w:ind w:left="720" w:hanging="720"/>
        <w:rPr>
          <w:noProof/>
        </w:rPr>
      </w:pPr>
      <w:bookmarkStart w:id="373" w:name="_ENREF_2_33"/>
      <w:r w:rsidRPr="007F77C5">
        <w:rPr>
          <w:noProof/>
        </w:rPr>
        <w:t>Raimondi, G., F. Orsini, A. Maggio, S. De Pascale, and G. Barbieri. 2006. Yield and Quality of Hydroponically Grown Sweet Basil Cultivars.</w:t>
      </w:r>
      <w:r w:rsidRPr="007F77C5">
        <w:rPr>
          <w:i/>
          <w:noProof/>
        </w:rPr>
        <w:t xml:space="preserve"> Proceedings of the 1st International Symposium on the Labiatae: Advances in Production, Biotechnology and Utilisation</w:t>
      </w:r>
      <w:r w:rsidRPr="007F77C5">
        <w:rPr>
          <w:noProof/>
        </w:rPr>
        <w:t>:353-+. doi:10.17660/ActaHortic.2006.723.48</w:t>
      </w:r>
      <w:bookmarkEnd w:id="373"/>
    </w:p>
    <w:p w14:paraId="2ECFC96C" w14:textId="77777777" w:rsidR="00126D8D" w:rsidRPr="007F77C5" w:rsidRDefault="00126D8D" w:rsidP="008C7B33">
      <w:pPr>
        <w:pStyle w:val="EndNoteBibliography"/>
        <w:ind w:left="720" w:hanging="720"/>
        <w:rPr>
          <w:noProof/>
        </w:rPr>
      </w:pPr>
      <w:bookmarkStart w:id="374" w:name="_ENREF_2_34"/>
      <w:r w:rsidRPr="007F77C5">
        <w:rPr>
          <w:noProof/>
        </w:rPr>
        <w:lastRenderedPageBreak/>
        <w:t>Rivas Da Silva, A.C., P.M. Lopes, M.M. Barros De Azevedo, D.C. Costa, C.S. Alviano, and D.S. Alviano. 2012. Biological Activities of Alpha-Pinene and Beta-Pinene Enantiomers.</w:t>
      </w:r>
      <w:r w:rsidRPr="007F77C5">
        <w:rPr>
          <w:i/>
          <w:noProof/>
        </w:rPr>
        <w:t xml:space="preserve"> Molecules</w:t>
      </w:r>
      <w:r w:rsidRPr="007F77C5">
        <w:rPr>
          <w:noProof/>
        </w:rPr>
        <w:t xml:space="preserve"> 17:6305-6316. doi:10.3390/molecules17066305</w:t>
      </w:r>
      <w:bookmarkEnd w:id="374"/>
    </w:p>
    <w:p w14:paraId="746F0108" w14:textId="77777777" w:rsidR="00126D8D" w:rsidRPr="007F77C5" w:rsidRDefault="00126D8D" w:rsidP="008C7B33">
      <w:pPr>
        <w:pStyle w:val="EndNoteBibliography"/>
        <w:ind w:left="720" w:hanging="720"/>
        <w:rPr>
          <w:noProof/>
        </w:rPr>
      </w:pPr>
      <w:bookmarkStart w:id="375" w:name="_ENREF_2_35"/>
      <w:r w:rsidRPr="007F77C5">
        <w:rPr>
          <w:noProof/>
        </w:rPr>
        <w:t>Rudback, J., M.A. Bergstrom, A. Borje, U. Nilsson, and A.T. Karlberg. 2012. Alpha-Terpinene, an Antioxidant in Tea Tree Oil, Autoxidizes Rapidly to Skin Allergens on Air Exposure.</w:t>
      </w:r>
      <w:r w:rsidRPr="007F77C5">
        <w:rPr>
          <w:i/>
          <w:noProof/>
        </w:rPr>
        <w:t xml:space="preserve"> Chem Res Toxicol</w:t>
      </w:r>
      <w:r w:rsidRPr="007F77C5">
        <w:rPr>
          <w:noProof/>
        </w:rPr>
        <w:t xml:space="preserve"> 25:713-721. doi:10.1021/tx200486f</w:t>
      </w:r>
      <w:bookmarkEnd w:id="375"/>
    </w:p>
    <w:p w14:paraId="61879713" w14:textId="77777777" w:rsidR="00126D8D" w:rsidRPr="007F77C5" w:rsidRDefault="00126D8D" w:rsidP="008C7B33">
      <w:pPr>
        <w:pStyle w:val="EndNoteBibliography"/>
        <w:ind w:left="720" w:hanging="720"/>
        <w:rPr>
          <w:noProof/>
        </w:rPr>
      </w:pPr>
      <w:bookmarkStart w:id="376" w:name="_ENREF_2_36"/>
      <w:r w:rsidRPr="007F77C5">
        <w:rPr>
          <w:noProof/>
        </w:rPr>
        <w:t>S Bendre, R. and J. D Rajput. 2016. Outlooks on Medicinal Properties of Eugenol and Its Synthetic Derivatives.</w:t>
      </w:r>
      <w:r w:rsidRPr="007F77C5">
        <w:rPr>
          <w:i/>
          <w:noProof/>
        </w:rPr>
        <w:t xml:space="preserve"> Natural Products Chemistry &amp; Research</w:t>
      </w:r>
      <w:r w:rsidRPr="007F77C5">
        <w:rPr>
          <w:noProof/>
        </w:rPr>
        <w:t xml:space="preserve"> 04. doi:10.4172/2329-6836.1000212</w:t>
      </w:r>
      <w:bookmarkEnd w:id="376"/>
    </w:p>
    <w:p w14:paraId="29BBA7D1" w14:textId="77777777" w:rsidR="00126D8D" w:rsidRPr="007F77C5" w:rsidRDefault="00126D8D" w:rsidP="008C7B33">
      <w:pPr>
        <w:pStyle w:val="EndNoteBibliography"/>
        <w:ind w:left="720" w:hanging="720"/>
        <w:rPr>
          <w:noProof/>
        </w:rPr>
      </w:pPr>
      <w:bookmarkStart w:id="377" w:name="_ENREF_2_37"/>
      <w:r w:rsidRPr="007F77C5">
        <w:rPr>
          <w:noProof/>
        </w:rPr>
        <w:t>Sabogal-Guaqueta, A.M., E. Osorio, and G.P. Cardona-Gomez. 2016. Linalool Reverses Neuropathological and Behavioral Impairments in Old Triple Transgenic Alzheimer's Mice.</w:t>
      </w:r>
      <w:r w:rsidRPr="007F77C5">
        <w:rPr>
          <w:i/>
          <w:noProof/>
        </w:rPr>
        <w:t xml:space="preserve"> Neuropharmacology</w:t>
      </w:r>
      <w:r w:rsidRPr="007F77C5">
        <w:rPr>
          <w:noProof/>
        </w:rPr>
        <w:t xml:space="preserve"> 102:111-120. doi:10.1016/j.neuropharm.2015.11.002</w:t>
      </w:r>
      <w:bookmarkEnd w:id="377"/>
    </w:p>
    <w:p w14:paraId="1F21D6B1" w14:textId="77777777" w:rsidR="00126D8D" w:rsidRPr="007F77C5" w:rsidRDefault="00126D8D" w:rsidP="008C7B33">
      <w:pPr>
        <w:pStyle w:val="EndNoteBibliography"/>
        <w:ind w:left="720" w:hanging="720"/>
        <w:rPr>
          <w:noProof/>
        </w:rPr>
      </w:pPr>
      <w:bookmarkStart w:id="378" w:name="_ENREF_2_38"/>
      <w:r w:rsidRPr="007F77C5">
        <w:rPr>
          <w:noProof/>
        </w:rPr>
        <w:t>Salehi, B., S. Upadhyay, I. Erdogan Orhan, A. Kumar Jugran, L.D.J. S, A.D. D, F. Sharopov, Y. Taheri, N. Martins, N. Baghalpour, W.C. Cho, and J. Sharifi-Rad. 2019. Therapeutic Potential of Alpha- and Beta-Pinene: A Miracle Gift of Nature.</w:t>
      </w:r>
      <w:r w:rsidRPr="007F77C5">
        <w:rPr>
          <w:i/>
          <w:noProof/>
        </w:rPr>
        <w:t xml:space="preserve"> Biomolecules</w:t>
      </w:r>
      <w:r w:rsidRPr="007F77C5">
        <w:rPr>
          <w:noProof/>
        </w:rPr>
        <w:t xml:space="preserve"> 9. doi:10.3390/biom9110738</w:t>
      </w:r>
      <w:bookmarkEnd w:id="378"/>
    </w:p>
    <w:p w14:paraId="70360F00" w14:textId="77777777" w:rsidR="00126D8D" w:rsidRPr="007F77C5" w:rsidRDefault="00126D8D" w:rsidP="008C7B33">
      <w:pPr>
        <w:pStyle w:val="EndNoteBibliography"/>
        <w:ind w:left="720" w:hanging="720"/>
        <w:rPr>
          <w:noProof/>
        </w:rPr>
      </w:pPr>
      <w:bookmarkStart w:id="379" w:name="_ENREF_2_39"/>
      <w:r w:rsidRPr="007F77C5">
        <w:rPr>
          <w:noProof/>
        </w:rPr>
        <w:t>Sartorelli, P., A.D. Marquioreto, A. Amaral-Baroli, M.E. Lima, and P.R. Moreno. 2007. Chemical Composition and Antimicrobial Activity of the Essential Oils from Two Species of Eucalyptus.</w:t>
      </w:r>
      <w:r w:rsidRPr="007F77C5">
        <w:rPr>
          <w:i/>
          <w:noProof/>
        </w:rPr>
        <w:t xml:space="preserve"> Phytother Res</w:t>
      </w:r>
      <w:r w:rsidRPr="007F77C5">
        <w:rPr>
          <w:noProof/>
        </w:rPr>
        <w:t xml:space="preserve"> 21:231-233. doi:10.1002/ptr.2051</w:t>
      </w:r>
      <w:bookmarkEnd w:id="379"/>
    </w:p>
    <w:p w14:paraId="64EA76DF" w14:textId="77777777" w:rsidR="00126D8D" w:rsidRPr="007F77C5" w:rsidRDefault="00126D8D" w:rsidP="008C7B33">
      <w:pPr>
        <w:pStyle w:val="EndNoteBibliography"/>
        <w:ind w:left="720" w:hanging="720"/>
        <w:rPr>
          <w:noProof/>
        </w:rPr>
      </w:pPr>
      <w:bookmarkStart w:id="380" w:name="_ENREF_2_40"/>
      <w:r w:rsidRPr="007F77C5">
        <w:rPr>
          <w:noProof/>
        </w:rPr>
        <w:t>Seo, M., K. Sowndhararajan, and S. Kim. 2016. Influence of Binasal and Uninasal Inhalations of Essential Oil of Abies Koreana Twigs on Electroencephalographic Activity of Human.</w:t>
      </w:r>
      <w:r w:rsidRPr="007F77C5">
        <w:rPr>
          <w:i/>
          <w:noProof/>
        </w:rPr>
        <w:t xml:space="preserve"> Behav Neurol</w:t>
      </w:r>
      <w:r w:rsidRPr="007F77C5">
        <w:rPr>
          <w:noProof/>
        </w:rPr>
        <w:t xml:space="preserve"> 2016:9250935. doi:10.1155/2016/9250935</w:t>
      </w:r>
      <w:bookmarkEnd w:id="380"/>
    </w:p>
    <w:p w14:paraId="11DF3D3B" w14:textId="77777777" w:rsidR="00126D8D" w:rsidRPr="007F77C5" w:rsidRDefault="00126D8D" w:rsidP="008C7B33">
      <w:pPr>
        <w:pStyle w:val="EndNoteBibliography"/>
        <w:ind w:left="720" w:hanging="720"/>
        <w:rPr>
          <w:noProof/>
        </w:rPr>
      </w:pPr>
      <w:bookmarkStart w:id="381" w:name="_ENREF_2_41"/>
      <w:r w:rsidRPr="007F77C5">
        <w:rPr>
          <w:noProof/>
        </w:rPr>
        <w:lastRenderedPageBreak/>
        <w:t>Sobral, M.V., A.L. Xavier, T.C. Lima, and D.P. De Sousa. 2014. Antitumor Activity of Monoterpenes Found in Essential Oils.</w:t>
      </w:r>
      <w:r w:rsidRPr="007F77C5">
        <w:rPr>
          <w:i/>
          <w:noProof/>
        </w:rPr>
        <w:t xml:space="preserve"> ScientificWorldJournal</w:t>
      </w:r>
      <w:r w:rsidRPr="007F77C5">
        <w:rPr>
          <w:noProof/>
        </w:rPr>
        <w:t xml:space="preserve"> 2014:953451. doi:10.1155/2014/953451</w:t>
      </w:r>
      <w:bookmarkEnd w:id="381"/>
    </w:p>
    <w:p w14:paraId="3C3CA958" w14:textId="77777777" w:rsidR="00126D8D" w:rsidRPr="007F77C5" w:rsidRDefault="00126D8D" w:rsidP="008C7B33">
      <w:pPr>
        <w:pStyle w:val="EndNoteBibliography"/>
        <w:ind w:left="720" w:hanging="720"/>
        <w:rPr>
          <w:noProof/>
        </w:rPr>
      </w:pPr>
      <w:bookmarkStart w:id="382" w:name="_ENREF_2_42"/>
      <w:r w:rsidRPr="007F77C5">
        <w:rPr>
          <w:noProof/>
        </w:rPr>
        <w:t xml:space="preserve">Soran, M.L., S.C. Cobzac, C. Varodi, I. Lung, E. Surducan, and V. Surducan. 2009. The Extraction and Chromatographic Determination of the Essentials Oils from </w:t>
      </w:r>
      <w:r w:rsidRPr="007F77C5">
        <w:rPr>
          <w:i/>
          <w:noProof/>
        </w:rPr>
        <w:t>Ocimum Basilicum</w:t>
      </w:r>
      <w:r w:rsidRPr="007F77C5">
        <w:rPr>
          <w:noProof/>
        </w:rPr>
        <w:t xml:space="preserve"> L. By Different Techniques.</w:t>
      </w:r>
      <w:r w:rsidRPr="007F77C5">
        <w:rPr>
          <w:i/>
          <w:noProof/>
        </w:rPr>
        <w:t xml:space="preserve"> Journal of Physics: Conference Series</w:t>
      </w:r>
      <w:r w:rsidRPr="007F77C5">
        <w:rPr>
          <w:noProof/>
        </w:rPr>
        <w:t xml:space="preserve"> 182:012016. doi:10.1088/1742-6596/182/1/012016</w:t>
      </w:r>
      <w:bookmarkEnd w:id="382"/>
    </w:p>
    <w:p w14:paraId="7E39758C" w14:textId="77777777" w:rsidR="00126D8D" w:rsidRPr="007F77C5" w:rsidRDefault="00126D8D" w:rsidP="008C7B33">
      <w:pPr>
        <w:pStyle w:val="EndNoteBibliography"/>
        <w:ind w:left="720" w:hanging="720"/>
        <w:rPr>
          <w:noProof/>
        </w:rPr>
      </w:pPr>
      <w:bookmarkStart w:id="383" w:name="_ENREF_2_43"/>
      <w:r w:rsidRPr="007F77C5">
        <w:rPr>
          <w:noProof/>
        </w:rPr>
        <w:t>Succop, C.E. and S.E. Newman. 2004. Organic Fertilization of Fresh Market Sweet Basil in a Greenhouse.</w:t>
      </w:r>
      <w:r w:rsidRPr="007F77C5">
        <w:rPr>
          <w:i/>
          <w:noProof/>
        </w:rPr>
        <w:t xml:space="preserve"> HortTechnology</w:t>
      </w:r>
      <w:r w:rsidRPr="007F77C5">
        <w:rPr>
          <w:noProof/>
        </w:rPr>
        <w:t xml:space="preserve"> 14:235-239. doi:10.21273/horttech.14.2.0235</w:t>
      </w:r>
      <w:bookmarkEnd w:id="383"/>
    </w:p>
    <w:p w14:paraId="7D5F813A" w14:textId="77777777" w:rsidR="00126D8D" w:rsidRPr="007F77C5" w:rsidRDefault="00126D8D" w:rsidP="008C7B33">
      <w:pPr>
        <w:pStyle w:val="EndNoteBibliography"/>
        <w:ind w:left="720" w:hanging="720"/>
        <w:rPr>
          <w:noProof/>
        </w:rPr>
      </w:pPr>
      <w:bookmarkStart w:id="384" w:name="_ENREF_2_44"/>
      <w:r w:rsidRPr="007F77C5">
        <w:rPr>
          <w:noProof/>
        </w:rPr>
        <w:t>Tarchoune, I., O. Baâtour, J. Harrathi, P.L. Cioni, M. Lachaâl, G. Flamini, and Z. Ouerghi. 2013. Essential Oil and Volatile Emissions of Basil (</w:t>
      </w:r>
      <w:r w:rsidRPr="007F77C5">
        <w:rPr>
          <w:i/>
          <w:noProof/>
        </w:rPr>
        <w:t>Ocimum Basilicum</w:t>
      </w:r>
      <w:r w:rsidRPr="007F77C5">
        <w:rPr>
          <w:noProof/>
        </w:rPr>
        <w:t>) Leaves Exposed to Nacl or Na2so4 Salinity.</w:t>
      </w:r>
      <w:r w:rsidRPr="007F77C5">
        <w:rPr>
          <w:i/>
          <w:noProof/>
        </w:rPr>
        <w:t xml:space="preserve"> Journal of Plant Nutrition and Soil Science</w:t>
      </w:r>
      <w:r w:rsidRPr="007F77C5">
        <w:rPr>
          <w:noProof/>
        </w:rPr>
        <w:t xml:space="preserve"> 176:748-755. doi:10.1002/jpln.201200278</w:t>
      </w:r>
      <w:bookmarkEnd w:id="384"/>
    </w:p>
    <w:p w14:paraId="53ED9A8F" w14:textId="77777777" w:rsidR="00126D8D" w:rsidRPr="007F77C5" w:rsidRDefault="00126D8D" w:rsidP="008C7B33">
      <w:pPr>
        <w:pStyle w:val="EndNoteBibliography"/>
        <w:ind w:left="720" w:hanging="720"/>
        <w:rPr>
          <w:noProof/>
        </w:rPr>
      </w:pPr>
      <w:bookmarkStart w:id="385" w:name="_ENREF_2_45"/>
      <w:r w:rsidRPr="007F77C5">
        <w:rPr>
          <w:noProof/>
        </w:rPr>
        <w:t>Taylor, A.J. 1996. Volatile Flavor Release from Foods During Eating.</w:t>
      </w:r>
      <w:r w:rsidRPr="007F77C5">
        <w:rPr>
          <w:i/>
          <w:noProof/>
        </w:rPr>
        <w:t xml:space="preserve"> Crit Rev Food Sci Nutr</w:t>
      </w:r>
      <w:r w:rsidRPr="007F77C5">
        <w:rPr>
          <w:noProof/>
        </w:rPr>
        <w:t xml:space="preserve"> 36:765-784. doi:10.1080/10408399609527749</w:t>
      </w:r>
      <w:bookmarkEnd w:id="385"/>
    </w:p>
    <w:p w14:paraId="5D4F4FF7" w14:textId="77777777" w:rsidR="00126D8D" w:rsidRPr="007F77C5" w:rsidRDefault="00126D8D" w:rsidP="008C7B33">
      <w:pPr>
        <w:pStyle w:val="EndNoteBibliography"/>
        <w:ind w:left="720" w:hanging="720"/>
        <w:rPr>
          <w:noProof/>
        </w:rPr>
      </w:pPr>
      <w:bookmarkStart w:id="386" w:name="_ENREF_2_46"/>
      <w:r w:rsidRPr="007F77C5">
        <w:rPr>
          <w:noProof/>
        </w:rPr>
        <w:t>Vuuren, S.F.V. and A.M. Viljoen. 2007. Antimicrobial Activity of Limonene Enantiomers and 1,8-Cineole Alone and in Combination.</w:t>
      </w:r>
      <w:r w:rsidRPr="007F77C5">
        <w:rPr>
          <w:i/>
          <w:noProof/>
        </w:rPr>
        <w:t xml:space="preserve"> Flavour and Fragrance Journal</w:t>
      </w:r>
      <w:r w:rsidRPr="007F77C5">
        <w:rPr>
          <w:noProof/>
        </w:rPr>
        <w:t xml:space="preserve"> 22:540-544. doi:10.1002/ffj.1843</w:t>
      </w:r>
      <w:bookmarkEnd w:id="386"/>
    </w:p>
    <w:p w14:paraId="46BBA5C6" w14:textId="77777777" w:rsidR="00126D8D" w:rsidRPr="007F77C5" w:rsidRDefault="00126D8D" w:rsidP="008C7B33">
      <w:pPr>
        <w:pStyle w:val="EndNoteBibliography"/>
        <w:ind w:left="720" w:hanging="720"/>
        <w:rPr>
          <w:noProof/>
        </w:rPr>
      </w:pPr>
      <w:bookmarkStart w:id="387" w:name="_ENREF_2_47"/>
      <w:r w:rsidRPr="007F77C5">
        <w:rPr>
          <w:noProof/>
        </w:rPr>
        <w:t>Wink, M. 2010. Biochemistry of Plant Secondary Metabolism. Wiley.</w:t>
      </w:r>
      <w:bookmarkEnd w:id="387"/>
    </w:p>
    <w:p w14:paraId="27D37E1D" w14:textId="77777777" w:rsidR="00126D8D" w:rsidRPr="007F77C5" w:rsidRDefault="00126D8D" w:rsidP="008C7B33">
      <w:pPr>
        <w:pStyle w:val="EndNoteBibliography"/>
        <w:ind w:left="720" w:hanging="720"/>
        <w:rPr>
          <w:noProof/>
        </w:rPr>
      </w:pPr>
      <w:bookmarkStart w:id="388" w:name="_ENREF_2_48"/>
      <w:r w:rsidRPr="007F77C5">
        <w:rPr>
          <w:noProof/>
        </w:rPr>
        <w:t>Yu, X., H. Lin, Y. Wang, W. Lv, S. Zhang, Y. Qian, X. Deng, N. Feng, H. Yu, and B. Qian. 2018. D-Limonene Exhibits Antitumor Activity by Inducing Autophagy and Apoptosis in Lung Cancer.</w:t>
      </w:r>
      <w:r w:rsidRPr="007F77C5">
        <w:rPr>
          <w:i/>
          <w:noProof/>
        </w:rPr>
        <w:t xml:space="preserve"> Onco Targets Ther</w:t>
      </w:r>
      <w:r w:rsidRPr="007F77C5">
        <w:rPr>
          <w:noProof/>
        </w:rPr>
        <w:t xml:space="preserve"> 11:1833-1847. doi:10.2147/OTT.S155716</w:t>
      </w:r>
      <w:bookmarkEnd w:id="388"/>
    </w:p>
    <w:p w14:paraId="7799E890" w14:textId="77777777" w:rsidR="00126D8D" w:rsidRPr="007F77C5" w:rsidRDefault="00126D8D">
      <w:pPr>
        <w:spacing w:line="240" w:lineRule="auto"/>
        <w:rPr>
          <w:rFonts w:cs="Times New Roman"/>
          <w:noProof/>
        </w:rPr>
      </w:pPr>
      <w:r w:rsidRPr="007F77C5">
        <w:rPr>
          <w:rFonts w:cs="Times New Roman"/>
          <w:noProof/>
        </w:rPr>
        <w:br w:type="page"/>
      </w:r>
    </w:p>
    <w:p w14:paraId="667BC7D5" w14:textId="77777777" w:rsidR="00126D8D" w:rsidRPr="007F77C5" w:rsidRDefault="00126D8D" w:rsidP="008E2DD0">
      <w:pPr>
        <w:pStyle w:val="MastersThesisMainTitle"/>
        <w:rPr>
          <w:noProof/>
        </w:rPr>
      </w:pPr>
      <w:bookmarkStart w:id="389" w:name="_Toc139574796"/>
      <w:bookmarkStart w:id="390" w:name="_Toc141478666"/>
      <w:r w:rsidRPr="007F77C5">
        <w:rPr>
          <w:noProof/>
        </w:rPr>
        <w:lastRenderedPageBreak/>
        <w:t>Appendix B</w:t>
      </w:r>
      <w:bookmarkEnd w:id="389"/>
      <w:bookmarkEnd w:id="390"/>
    </w:p>
    <w:p w14:paraId="35AE2965" w14:textId="77777777" w:rsidR="00126D8D" w:rsidRPr="007F77C5" w:rsidRDefault="00126D8D" w:rsidP="008E2DD0">
      <w:pPr>
        <w:tabs>
          <w:tab w:val="left" w:pos="540"/>
        </w:tabs>
        <w:spacing w:line="240" w:lineRule="auto"/>
        <w:jc w:val="both"/>
        <w:rPr>
          <w:rFonts w:cs="Times New Roman"/>
          <w:b/>
          <w:color w:val="000000" w:themeColor="text1"/>
        </w:rPr>
      </w:pPr>
      <w:r w:rsidRPr="007F77C5">
        <w:rPr>
          <w:rFonts w:cs="Times New Roman"/>
          <w:b/>
          <w:noProof/>
          <w:color w:val="000000" w:themeColor="text1"/>
        </w:rPr>
        <w:drawing>
          <wp:inline distT="0" distB="0" distL="0" distR="0" wp14:anchorId="05EC162C" wp14:editId="4D1B4C62">
            <wp:extent cx="5902325" cy="5885234"/>
            <wp:effectExtent l="0" t="0" r="15875" b="7620"/>
            <wp:docPr id="8" name="Chart 8"/>
            <wp:cNvGraphicFramePr/>
            <a:graphic xmlns:a="http://schemas.openxmlformats.org/drawingml/2006/main">
              <a:graphicData uri="http://schemas.openxmlformats.org/drawingml/2006/chart">
                <c:chart xmlns:c="http://schemas.openxmlformats.org/drawingml/2006/chart" xmlns:r="http://schemas.openxmlformats.org/officeDocument/2006/relationships" r:id="rId19"/>
              </a:graphicData>
            </a:graphic>
          </wp:inline>
        </w:drawing>
      </w:r>
    </w:p>
    <w:p w14:paraId="7576DA8F" w14:textId="77777777" w:rsidR="00126D8D" w:rsidRPr="007F77C5" w:rsidRDefault="00126D8D" w:rsidP="008E2DD0">
      <w:pPr>
        <w:tabs>
          <w:tab w:val="left" w:pos="540"/>
        </w:tabs>
        <w:spacing w:line="240" w:lineRule="auto"/>
        <w:jc w:val="both"/>
        <w:rPr>
          <w:rFonts w:cs="Times New Roman"/>
          <w:b/>
          <w:color w:val="000000" w:themeColor="text1"/>
        </w:rPr>
      </w:pPr>
    </w:p>
    <w:p w14:paraId="6BAB9C1A" w14:textId="77777777" w:rsidR="00126D8D" w:rsidRPr="007F77C5" w:rsidRDefault="00126D8D" w:rsidP="00906CC9">
      <w:pPr>
        <w:pStyle w:val="TOCFigures1"/>
        <w:spacing w:line="480" w:lineRule="auto"/>
        <w:rPr>
          <w:rFonts w:cs="Times New Roman"/>
        </w:rPr>
      </w:pPr>
      <w:bookmarkStart w:id="391" w:name="_Toc141478803"/>
      <w:r w:rsidRPr="007F77C5">
        <w:rPr>
          <w:rFonts w:cs="Times New Roman"/>
          <w:b/>
        </w:rPr>
        <w:t xml:space="preserve">Figure 2.1. </w:t>
      </w:r>
      <w:r w:rsidRPr="007F77C5">
        <w:rPr>
          <w:rFonts w:cs="Times New Roman"/>
        </w:rPr>
        <w:t>Terpinene (blue) and terpinolene (green) tissue concentrations (µM</w:t>
      </w:r>
      <w:r w:rsidRPr="007F77C5">
        <w:rPr>
          <w:rFonts w:cs="Times New Roman"/>
        </w:rPr>
        <w:sym w:font="Symbol" w:char="F0D7"/>
      </w:r>
      <w:r w:rsidRPr="007F77C5">
        <w:rPr>
          <w:rFonts w:cs="Times New Roman"/>
        </w:rPr>
        <w:t>g</w:t>
      </w:r>
      <w:r w:rsidRPr="007F77C5">
        <w:rPr>
          <w:rFonts w:cs="Times New Roman"/>
          <w:vertAlign w:val="superscript"/>
        </w:rPr>
        <w:t>-1</w:t>
      </w:r>
      <w:r w:rsidRPr="007F77C5">
        <w:rPr>
          <w:rFonts w:cs="Times New Roman"/>
        </w:rPr>
        <w:t xml:space="preserve"> FM) across seven common basil varieties. Values were analyzed using Tukey’s protected LSD, and those followed by the same letter are not significantly different (α=0.05).</w:t>
      </w:r>
      <w:bookmarkEnd w:id="391"/>
    </w:p>
    <w:p w14:paraId="319090E6" w14:textId="77777777" w:rsidR="00126D8D" w:rsidRPr="007F77C5" w:rsidRDefault="00126D8D" w:rsidP="008E2DD0">
      <w:pPr>
        <w:tabs>
          <w:tab w:val="left" w:pos="630"/>
        </w:tabs>
        <w:spacing w:line="240" w:lineRule="auto"/>
        <w:ind w:left="990" w:hanging="990"/>
        <w:jc w:val="both"/>
        <w:rPr>
          <w:rFonts w:cs="Times New Roman"/>
          <w:color w:val="000000"/>
        </w:rPr>
      </w:pPr>
    </w:p>
    <w:p w14:paraId="1213A059" w14:textId="77777777" w:rsidR="00126D8D" w:rsidRPr="007F77C5" w:rsidRDefault="00126D8D">
      <w:pPr>
        <w:spacing w:line="240" w:lineRule="auto"/>
        <w:rPr>
          <w:rFonts w:cs="Times New Roman"/>
          <w:color w:val="000000"/>
        </w:rPr>
      </w:pPr>
      <w:r w:rsidRPr="007F77C5">
        <w:rPr>
          <w:rFonts w:cs="Times New Roman"/>
          <w:color w:val="000000"/>
        </w:rPr>
        <w:br w:type="page"/>
      </w:r>
    </w:p>
    <w:p w14:paraId="15FB332D" w14:textId="77777777" w:rsidR="00126D8D" w:rsidRPr="007F77C5" w:rsidRDefault="00126D8D" w:rsidP="008E2DD0">
      <w:pPr>
        <w:tabs>
          <w:tab w:val="left" w:pos="540"/>
        </w:tabs>
        <w:spacing w:line="240" w:lineRule="auto"/>
        <w:jc w:val="both"/>
        <w:rPr>
          <w:rFonts w:cs="Times New Roman"/>
          <w:b/>
          <w:color w:val="000000" w:themeColor="text1"/>
        </w:rPr>
      </w:pPr>
      <w:r w:rsidRPr="007F77C5">
        <w:rPr>
          <w:rFonts w:cs="Times New Roman"/>
          <w:b/>
          <w:noProof/>
          <w:color w:val="000000" w:themeColor="text1"/>
          <w:lang w:val="de-DE" w:eastAsia="de-DE"/>
        </w:rPr>
        <w:lastRenderedPageBreak/>
        <w:drawing>
          <wp:inline distT="0" distB="0" distL="0" distR="0" wp14:anchorId="2B4E207F" wp14:editId="6F417A41">
            <wp:extent cx="5880735" cy="6050604"/>
            <wp:effectExtent l="0" t="0" r="12065" b="7620"/>
            <wp:docPr id="9" name="Chart 9"/>
            <wp:cNvGraphicFramePr/>
            <a:graphic xmlns:a="http://schemas.openxmlformats.org/drawingml/2006/main">
              <a:graphicData uri="http://schemas.openxmlformats.org/drawingml/2006/chart">
                <c:chart xmlns:c="http://schemas.openxmlformats.org/drawingml/2006/chart" xmlns:r="http://schemas.openxmlformats.org/officeDocument/2006/relationships" r:id="rId20"/>
              </a:graphicData>
            </a:graphic>
          </wp:inline>
        </w:drawing>
      </w:r>
    </w:p>
    <w:p w14:paraId="60E70BB4" w14:textId="77777777" w:rsidR="00126D8D" w:rsidRPr="007F77C5" w:rsidRDefault="00126D8D" w:rsidP="008E2DD0">
      <w:pPr>
        <w:tabs>
          <w:tab w:val="left" w:pos="540"/>
        </w:tabs>
        <w:spacing w:line="240" w:lineRule="auto"/>
        <w:jc w:val="both"/>
        <w:rPr>
          <w:rFonts w:cs="Times New Roman"/>
          <w:b/>
          <w:color w:val="000000" w:themeColor="text1"/>
        </w:rPr>
      </w:pPr>
    </w:p>
    <w:p w14:paraId="1AB8E7BD" w14:textId="77777777" w:rsidR="00126D8D" w:rsidRPr="007F77C5" w:rsidRDefault="00126D8D" w:rsidP="00906CC9">
      <w:pPr>
        <w:pStyle w:val="TOCFigures1"/>
        <w:spacing w:line="480" w:lineRule="auto"/>
        <w:rPr>
          <w:rFonts w:cs="Times New Roman"/>
          <w:b/>
        </w:rPr>
      </w:pPr>
      <w:bookmarkStart w:id="392" w:name="_Toc141478804"/>
      <w:r w:rsidRPr="007F77C5">
        <w:rPr>
          <w:rFonts w:cs="Times New Roman"/>
          <w:b/>
        </w:rPr>
        <w:t xml:space="preserve">Figure 2.2. </w:t>
      </w:r>
      <w:r w:rsidRPr="007F77C5">
        <w:rPr>
          <w:rFonts w:cs="Times New Roman"/>
        </w:rPr>
        <w:t>(R+/S-)-Limonene</w:t>
      </w:r>
      <w:r w:rsidRPr="007F77C5">
        <w:rPr>
          <w:rFonts w:cs="Times New Roman"/>
          <w:b/>
        </w:rPr>
        <w:t xml:space="preserve"> </w:t>
      </w:r>
      <w:r w:rsidRPr="007F77C5">
        <w:rPr>
          <w:rFonts w:cs="Times New Roman"/>
        </w:rPr>
        <w:t>tissue concentrations (µM</w:t>
      </w:r>
      <w:r w:rsidRPr="007F77C5">
        <w:rPr>
          <w:rFonts w:cs="Times New Roman"/>
        </w:rPr>
        <w:sym w:font="Symbol" w:char="F0D7"/>
      </w:r>
      <w:r w:rsidRPr="007F77C5">
        <w:rPr>
          <w:rFonts w:cs="Times New Roman"/>
        </w:rPr>
        <w:t>g</w:t>
      </w:r>
      <w:r w:rsidRPr="007F77C5">
        <w:rPr>
          <w:rFonts w:cs="Times New Roman"/>
          <w:vertAlign w:val="superscript"/>
        </w:rPr>
        <w:t>-1</w:t>
      </w:r>
      <w:r w:rsidRPr="007F77C5">
        <w:rPr>
          <w:rFonts w:cs="Times New Roman"/>
        </w:rPr>
        <w:t xml:space="preserve"> FM) across seven common basil varieties.</w:t>
      </w:r>
      <w:r>
        <w:rPr>
          <w:rFonts w:cs="Times New Roman"/>
        </w:rPr>
        <w:t xml:space="preserve"> R+ enantiomer is displayed in orange, and the S- enantiomer in yellow. </w:t>
      </w:r>
      <w:r w:rsidRPr="007F77C5">
        <w:rPr>
          <w:rFonts w:cs="Times New Roman"/>
        </w:rPr>
        <w:t>Values were analyzed using Tukey’s protected LSD, and data followed by the same letter across varieties are not significantly different for each of the two compounds (α=0.05). Total limonene concentration mean separations are presented below each column, and varieties followed by the same letter are not significantly different (α=0.05).</w:t>
      </w:r>
      <w:bookmarkEnd w:id="392"/>
      <w:r w:rsidRPr="007F77C5">
        <w:rPr>
          <w:rFonts w:cs="Times New Roman"/>
        </w:rPr>
        <w:t xml:space="preserve"> </w:t>
      </w:r>
    </w:p>
    <w:p w14:paraId="429EEDFD" w14:textId="77777777" w:rsidR="00126D8D" w:rsidRPr="007F77C5" w:rsidRDefault="00126D8D">
      <w:pPr>
        <w:spacing w:line="240" w:lineRule="auto"/>
        <w:rPr>
          <w:rFonts w:cs="Times New Roman"/>
          <w:color w:val="000000"/>
        </w:rPr>
      </w:pPr>
    </w:p>
    <w:p w14:paraId="661CE2D1" w14:textId="77777777" w:rsidR="00126D8D" w:rsidRPr="007F77C5" w:rsidRDefault="00126D8D" w:rsidP="008E2DD0">
      <w:pPr>
        <w:tabs>
          <w:tab w:val="left" w:pos="540"/>
        </w:tabs>
        <w:spacing w:line="240" w:lineRule="auto"/>
        <w:jc w:val="both"/>
        <w:rPr>
          <w:rFonts w:cs="Times New Roman"/>
          <w:b/>
          <w:color w:val="000000" w:themeColor="text1"/>
        </w:rPr>
      </w:pPr>
      <w:r w:rsidRPr="007F77C5">
        <w:rPr>
          <w:rFonts w:cs="Times New Roman"/>
          <w:b/>
          <w:noProof/>
          <w:color w:val="000000" w:themeColor="text1"/>
        </w:rPr>
        <w:drawing>
          <wp:inline distT="0" distB="0" distL="0" distR="0" wp14:anchorId="3DFC12D0" wp14:editId="0A6A9181">
            <wp:extent cx="5880735" cy="6507804"/>
            <wp:effectExtent l="0" t="0" r="12065" b="7620"/>
            <wp:docPr id="10" name="Chart 10"/>
            <wp:cNvGraphicFramePr/>
            <a:graphic xmlns:a="http://schemas.openxmlformats.org/drawingml/2006/main">
              <a:graphicData uri="http://schemas.openxmlformats.org/drawingml/2006/chart">
                <c:chart xmlns:c="http://schemas.openxmlformats.org/drawingml/2006/chart" xmlns:r="http://schemas.openxmlformats.org/officeDocument/2006/relationships" r:id="rId21"/>
              </a:graphicData>
            </a:graphic>
          </wp:inline>
        </w:drawing>
      </w:r>
    </w:p>
    <w:p w14:paraId="7D3658F1" w14:textId="77777777" w:rsidR="00126D8D" w:rsidRPr="007F77C5" w:rsidRDefault="00126D8D" w:rsidP="008E2DD0">
      <w:pPr>
        <w:tabs>
          <w:tab w:val="left" w:pos="540"/>
        </w:tabs>
        <w:spacing w:line="240" w:lineRule="auto"/>
        <w:jc w:val="both"/>
        <w:rPr>
          <w:rFonts w:cs="Times New Roman"/>
          <w:b/>
          <w:color w:val="000000" w:themeColor="text1"/>
        </w:rPr>
      </w:pPr>
    </w:p>
    <w:p w14:paraId="28FF20C5" w14:textId="77777777" w:rsidR="00126D8D" w:rsidRPr="007F77C5" w:rsidRDefault="00126D8D" w:rsidP="00906CC9">
      <w:pPr>
        <w:pStyle w:val="TOCFigures1"/>
        <w:spacing w:line="480" w:lineRule="auto"/>
        <w:rPr>
          <w:rFonts w:cs="Times New Roman"/>
        </w:rPr>
      </w:pPr>
      <w:bookmarkStart w:id="393" w:name="_Toc141478805"/>
      <w:r w:rsidRPr="007F77C5">
        <w:rPr>
          <w:rFonts w:cs="Times New Roman"/>
          <w:b/>
        </w:rPr>
        <w:t>Figure 2.3.</w:t>
      </w:r>
      <w:r w:rsidRPr="007F77C5">
        <w:rPr>
          <w:rFonts w:cs="Times New Roman"/>
        </w:rPr>
        <w:t xml:space="preserve"> Methyl eugenol (purple) and eugenol (red)</w:t>
      </w:r>
      <w:r>
        <w:rPr>
          <w:rFonts w:cs="Times New Roman"/>
        </w:rPr>
        <w:t xml:space="preserve"> </w:t>
      </w:r>
      <w:r w:rsidRPr="007F77C5">
        <w:rPr>
          <w:rFonts w:cs="Times New Roman"/>
        </w:rPr>
        <w:t>tissue concentrations (µM</w:t>
      </w:r>
      <w:r w:rsidRPr="007F77C5">
        <w:rPr>
          <w:rFonts w:cs="Times New Roman"/>
        </w:rPr>
        <w:sym w:font="Symbol" w:char="F0D7"/>
      </w:r>
      <w:r w:rsidRPr="007F77C5">
        <w:rPr>
          <w:rFonts w:cs="Times New Roman"/>
        </w:rPr>
        <w:t>g</w:t>
      </w:r>
      <w:r w:rsidRPr="007F77C5">
        <w:rPr>
          <w:rFonts w:cs="Times New Roman"/>
          <w:vertAlign w:val="superscript"/>
        </w:rPr>
        <w:t>-1</w:t>
      </w:r>
      <w:r w:rsidRPr="007F77C5">
        <w:rPr>
          <w:rFonts w:cs="Times New Roman"/>
        </w:rPr>
        <w:t xml:space="preserve"> FM) across seven common basil varieties. Values were analyzed using Tukey’s protected LSD, and data followed by the same letter across varieties are not significantly different for each of the two compounds (α=0.05).</w:t>
      </w:r>
      <w:bookmarkEnd w:id="393"/>
      <w:r w:rsidRPr="007F77C5">
        <w:rPr>
          <w:rFonts w:cs="Times New Roman"/>
        </w:rPr>
        <w:t xml:space="preserve"> </w:t>
      </w:r>
    </w:p>
    <w:p w14:paraId="5E98EBEC" w14:textId="77777777" w:rsidR="00126D8D" w:rsidRPr="007F77C5" w:rsidRDefault="00126D8D" w:rsidP="008E2DD0">
      <w:pPr>
        <w:tabs>
          <w:tab w:val="left" w:pos="540"/>
        </w:tabs>
        <w:spacing w:line="240" w:lineRule="auto"/>
        <w:jc w:val="both"/>
        <w:rPr>
          <w:rFonts w:cs="Times New Roman"/>
        </w:rPr>
      </w:pPr>
      <w:r w:rsidRPr="007F77C5">
        <w:rPr>
          <w:rFonts w:cs="Times New Roman"/>
          <w:b/>
          <w:noProof/>
          <w:color w:val="000000" w:themeColor="text1"/>
        </w:rPr>
        <w:lastRenderedPageBreak/>
        <w:drawing>
          <wp:inline distT="0" distB="0" distL="0" distR="0" wp14:anchorId="355CB078" wp14:editId="3FEAC4AF">
            <wp:extent cx="5902325" cy="6342434"/>
            <wp:effectExtent l="0" t="0" r="15875" b="7620"/>
            <wp:docPr id="11" name="Chart 11"/>
            <wp:cNvGraphicFramePr/>
            <a:graphic xmlns:a="http://schemas.openxmlformats.org/drawingml/2006/main">
              <a:graphicData uri="http://schemas.openxmlformats.org/drawingml/2006/chart">
                <c:chart xmlns:c="http://schemas.openxmlformats.org/drawingml/2006/chart" xmlns:r="http://schemas.openxmlformats.org/officeDocument/2006/relationships" r:id="rId22"/>
              </a:graphicData>
            </a:graphic>
          </wp:inline>
        </w:drawing>
      </w:r>
    </w:p>
    <w:p w14:paraId="2B9FAC14" w14:textId="77777777" w:rsidR="00126D8D" w:rsidRPr="007F77C5" w:rsidRDefault="00126D8D" w:rsidP="008E2DD0">
      <w:pPr>
        <w:tabs>
          <w:tab w:val="left" w:pos="540"/>
        </w:tabs>
        <w:spacing w:line="240" w:lineRule="auto"/>
        <w:jc w:val="both"/>
        <w:rPr>
          <w:rFonts w:cs="Times New Roman"/>
        </w:rPr>
      </w:pPr>
    </w:p>
    <w:p w14:paraId="279951F6" w14:textId="77777777" w:rsidR="00126D8D" w:rsidRPr="007F77C5" w:rsidRDefault="00126D8D" w:rsidP="00906CC9">
      <w:pPr>
        <w:pStyle w:val="TOCFigures1"/>
        <w:spacing w:line="480" w:lineRule="auto"/>
        <w:rPr>
          <w:rFonts w:cs="Times New Roman"/>
        </w:rPr>
      </w:pPr>
      <w:bookmarkStart w:id="394" w:name="_Toc141478806"/>
      <w:r w:rsidRPr="007F77C5">
        <w:rPr>
          <w:rFonts w:cs="Times New Roman"/>
          <w:b/>
        </w:rPr>
        <w:t xml:space="preserve">Figure 2.4. </w:t>
      </w:r>
      <w:r w:rsidRPr="007F77C5">
        <w:rPr>
          <w:rFonts w:cs="Times New Roman"/>
        </w:rPr>
        <w:t>Linalool (blue), camphene (green), and methyl salicylate (red) tissue concentrations (µM</w:t>
      </w:r>
      <w:r w:rsidRPr="007F77C5">
        <w:rPr>
          <w:rFonts w:cs="Times New Roman"/>
        </w:rPr>
        <w:sym w:font="Symbol" w:char="F0D7"/>
      </w:r>
      <w:r w:rsidRPr="007F77C5">
        <w:rPr>
          <w:rFonts w:cs="Times New Roman"/>
        </w:rPr>
        <w:t>g</w:t>
      </w:r>
      <w:r w:rsidRPr="007F77C5">
        <w:rPr>
          <w:rFonts w:cs="Times New Roman"/>
          <w:vertAlign w:val="superscript"/>
        </w:rPr>
        <w:t>-1</w:t>
      </w:r>
      <w:r w:rsidRPr="007F77C5">
        <w:rPr>
          <w:rFonts w:cs="Times New Roman"/>
        </w:rPr>
        <w:t xml:space="preserve"> FM) across seven common basil varieties. Values were analyzed using Tukey’s protected LSD, and those followed by the same letter are not significantly different (α=0.05).</w:t>
      </w:r>
      <w:bookmarkEnd w:id="394"/>
    </w:p>
    <w:p w14:paraId="3FEA03EA" w14:textId="77777777" w:rsidR="00126D8D" w:rsidRPr="007F77C5" w:rsidRDefault="00126D8D">
      <w:pPr>
        <w:spacing w:line="240" w:lineRule="auto"/>
        <w:rPr>
          <w:rFonts w:cs="Times New Roman"/>
          <w:b/>
        </w:rPr>
      </w:pPr>
    </w:p>
    <w:p w14:paraId="0FA4EEAB" w14:textId="77777777" w:rsidR="00126D8D" w:rsidRPr="007F77C5" w:rsidRDefault="00126D8D" w:rsidP="008E2DD0">
      <w:pPr>
        <w:tabs>
          <w:tab w:val="left" w:pos="540"/>
        </w:tabs>
        <w:spacing w:line="240" w:lineRule="auto"/>
        <w:jc w:val="both"/>
        <w:rPr>
          <w:rFonts w:cs="Times New Roman"/>
          <w:b/>
          <w:color w:val="000000" w:themeColor="text1"/>
        </w:rPr>
      </w:pPr>
      <w:r w:rsidRPr="007F77C5">
        <w:rPr>
          <w:rFonts w:cs="Times New Roman"/>
          <w:b/>
          <w:noProof/>
          <w:color w:val="000000" w:themeColor="text1"/>
        </w:rPr>
        <w:lastRenderedPageBreak/>
        <w:drawing>
          <wp:inline distT="0" distB="0" distL="0" distR="0" wp14:anchorId="2C88464A" wp14:editId="02FD6120">
            <wp:extent cx="5880735" cy="6780179"/>
            <wp:effectExtent l="0" t="0" r="12065" b="14605"/>
            <wp:docPr id="12" name="Chart 12"/>
            <wp:cNvGraphicFramePr/>
            <a:graphic xmlns:a="http://schemas.openxmlformats.org/drawingml/2006/main">
              <a:graphicData uri="http://schemas.openxmlformats.org/drawingml/2006/chart">
                <c:chart xmlns:c="http://schemas.openxmlformats.org/drawingml/2006/chart" xmlns:r="http://schemas.openxmlformats.org/officeDocument/2006/relationships" r:id="rId23"/>
              </a:graphicData>
            </a:graphic>
          </wp:inline>
        </w:drawing>
      </w:r>
    </w:p>
    <w:p w14:paraId="4564D49C" w14:textId="77777777" w:rsidR="00126D8D" w:rsidRPr="007F77C5" w:rsidRDefault="00126D8D" w:rsidP="008E2DD0">
      <w:pPr>
        <w:tabs>
          <w:tab w:val="left" w:pos="540"/>
        </w:tabs>
        <w:spacing w:line="240" w:lineRule="auto"/>
        <w:jc w:val="both"/>
        <w:rPr>
          <w:rFonts w:cs="Times New Roman"/>
          <w:b/>
          <w:color w:val="000000" w:themeColor="text1"/>
        </w:rPr>
      </w:pPr>
    </w:p>
    <w:p w14:paraId="483D513E" w14:textId="77777777" w:rsidR="00126D8D" w:rsidRPr="007F77C5" w:rsidRDefault="00126D8D" w:rsidP="008C10B6">
      <w:pPr>
        <w:pStyle w:val="TOCFigures1"/>
        <w:spacing w:line="480" w:lineRule="auto"/>
        <w:rPr>
          <w:rFonts w:cs="Times New Roman"/>
          <w:b/>
        </w:rPr>
      </w:pPr>
      <w:bookmarkStart w:id="395" w:name="_Toc141478807"/>
      <w:r w:rsidRPr="007F77C5">
        <w:rPr>
          <w:rFonts w:cs="Times New Roman"/>
          <w:b/>
        </w:rPr>
        <w:t xml:space="preserve">Figure 2.5. </w:t>
      </w:r>
      <w:r w:rsidRPr="007F77C5">
        <w:rPr>
          <w:rFonts w:cs="Times New Roman"/>
        </w:rPr>
        <w:sym w:font="Symbol" w:char="F061"/>
      </w:r>
      <w:r w:rsidRPr="007F77C5">
        <w:rPr>
          <w:rFonts w:cs="Times New Roman"/>
        </w:rPr>
        <w:t xml:space="preserve">-Pinene (dark green) and </w:t>
      </w:r>
      <w:r w:rsidRPr="007F77C5">
        <w:rPr>
          <w:rFonts w:cs="Times New Roman"/>
        </w:rPr>
        <w:sym w:font="Symbol" w:char="F062"/>
      </w:r>
      <w:r w:rsidRPr="007F77C5">
        <w:rPr>
          <w:rFonts w:cs="Times New Roman"/>
        </w:rPr>
        <w:t>-pinene (light green) tissue concentrations (µM</w:t>
      </w:r>
      <w:r w:rsidRPr="007F77C5">
        <w:rPr>
          <w:rFonts w:cs="Times New Roman"/>
        </w:rPr>
        <w:sym w:font="Symbol" w:char="F0D7"/>
      </w:r>
      <w:r w:rsidRPr="007F77C5">
        <w:rPr>
          <w:rFonts w:cs="Times New Roman"/>
        </w:rPr>
        <w:t>g</w:t>
      </w:r>
      <w:r w:rsidRPr="007F77C5">
        <w:rPr>
          <w:rFonts w:cs="Times New Roman"/>
          <w:vertAlign w:val="superscript"/>
        </w:rPr>
        <w:t>-1</w:t>
      </w:r>
      <w:r w:rsidRPr="007F77C5">
        <w:rPr>
          <w:rFonts w:cs="Times New Roman"/>
        </w:rPr>
        <w:t xml:space="preserve"> FM) across seven common basil varieties. Values were analyzed using Tukey’s protected LSD, and data followed by the same letter across varieties are not significantly different for each of the two compounds (α=0.05).</w:t>
      </w:r>
      <w:bookmarkEnd w:id="395"/>
      <w:r w:rsidRPr="007F77C5">
        <w:rPr>
          <w:rFonts w:cs="Times New Roman"/>
        </w:rPr>
        <w:t xml:space="preserve"> </w:t>
      </w:r>
    </w:p>
    <w:p w14:paraId="736298ED" w14:textId="77777777" w:rsidR="00126D8D" w:rsidRPr="00A9290A" w:rsidRDefault="00126D8D" w:rsidP="00A9290A">
      <w:pPr>
        <w:pStyle w:val="MastersThesisChapter"/>
        <w:framePr w:wrap="around"/>
      </w:pPr>
      <w:bookmarkStart w:id="396" w:name="_Toc139574797"/>
      <w:bookmarkStart w:id="397" w:name="_Toc141478667"/>
      <w:r w:rsidRPr="00A9290A">
        <w:lastRenderedPageBreak/>
        <w:t>CHAPTER 3: VARIATION IN SUPPLEMENTAL LIGHTING QUALITY INFLUENCES KEY AROMA VOLATILES IN HYDROPONICALLY GROWN ‘ITALIAN LARGE LEAF’ BASIL</w:t>
      </w:r>
      <w:bookmarkEnd w:id="396"/>
      <w:bookmarkEnd w:id="397"/>
    </w:p>
    <w:p w14:paraId="2891C166" w14:textId="77777777" w:rsidR="00126D8D" w:rsidRPr="00747A19" w:rsidRDefault="00126D8D" w:rsidP="000958A5">
      <w:pPr>
        <w:spacing w:line="240" w:lineRule="auto"/>
        <w:rPr>
          <w:rFonts w:cs="Times New Roman"/>
          <w:b/>
          <w:color w:val="000000" w:themeColor="text1"/>
        </w:rPr>
      </w:pPr>
      <w:r w:rsidRPr="00747A19">
        <w:rPr>
          <w:rFonts w:cs="Times New Roman"/>
          <w:color w:val="000000" w:themeColor="text1"/>
        </w:rPr>
        <w:br w:type="page"/>
      </w:r>
      <w:bookmarkStart w:id="398" w:name="_Toc114189695"/>
    </w:p>
    <w:bookmarkEnd w:id="398"/>
    <w:p w14:paraId="7AB51EEC" w14:textId="77777777" w:rsidR="00126D8D" w:rsidRPr="00A9290A" w:rsidRDefault="00126D8D" w:rsidP="00A9290A">
      <w:pPr>
        <w:spacing w:line="240" w:lineRule="auto"/>
        <w:jc w:val="both"/>
        <w:rPr>
          <w:b/>
          <w:bCs/>
          <w:i/>
          <w:iCs/>
          <w:sz w:val="28"/>
          <w:szCs w:val="28"/>
        </w:rPr>
      </w:pPr>
      <w:r w:rsidRPr="00A9290A">
        <w:rPr>
          <w:b/>
          <w:bCs/>
          <w:sz w:val="28"/>
          <w:szCs w:val="28"/>
        </w:rPr>
        <w:lastRenderedPageBreak/>
        <w:t>Hunter A. Hammock and Carl E. Sams</w:t>
      </w:r>
    </w:p>
    <w:p w14:paraId="11703EC5" w14:textId="77777777" w:rsidR="00126D8D" w:rsidRPr="00747A19" w:rsidRDefault="00126D8D" w:rsidP="00A9290A">
      <w:pPr>
        <w:spacing w:line="240" w:lineRule="auto"/>
        <w:jc w:val="both"/>
        <w:rPr>
          <w:rFonts w:cs="Times New Roman"/>
        </w:rPr>
      </w:pPr>
      <w:r w:rsidRPr="00747A19">
        <w:rPr>
          <w:rFonts w:cs="Times New Roman"/>
        </w:rPr>
        <w:t>Department of Plant Sciences, The University of Tennessee, Knoxville, TN 37996</w:t>
      </w:r>
    </w:p>
    <w:p w14:paraId="1A24C8EF" w14:textId="77777777" w:rsidR="00126D8D" w:rsidRPr="00747A19" w:rsidRDefault="00126D8D" w:rsidP="00A9290A">
      <w:pPr>
        <w:spacing w:line="240" w:lineRule="auto"/>
        <w:jc w:val="both"/>
        <w:rPr>
          <w:rFonts w:cs="Times New Roman"/>
        </w:rPr>
      </w:pPr>
    </w:p>
    <w:p w14:paraId="103D499A" w14:textId="77777777" w:rsidR="00126D8D" w:rsidRDefault="00126D8D" w:rsidP="00A9290A">
      <w:pPr>
        <w:spacing w:line="240" w:lineRule="auto"/>
        <w:jc w:val="both"/>
        <w:rPr>
          <w:rStyle w:val="Hyperlink"/>
        </w:rPr>
      </w:pPr>
      <w:r w:rsidRPr="00A9290A">
        <w:rPr>
          <w:b/>
          <w:bCs/>
        </w:rPr>
        <w:t>Correspondence:</w:t>
      </w:r>
      <w:r w:rsidRPr="00747A19">
        <w:t xml:space="preserve"> Carl E. Sams, </w:t>
      </w:r>
      <w:hyperlink r:id="rId24" w:history="1">
        <w:r w:rsidRPr="00747A19">
          <w:rPr>
            <w:rStyle w:val="Hyperlink"/>
          </w:rPr>
          <w:t>carlsams@utk.edu</w:t>
        </w:r>
      </w:hyperlink>
    </w:p>
    <w:p w14:paraId="1A3D4515" w14:textId="77777777" w:rsidR="00126D8D" w:rsidRPr="00747A19" w:rsidRDefault="00126D8D" w:rsidP="00A9290A">
      <w:pPr>
        <w:spacing w:line="240" w:lineRule="auto"/>
        <w:jc w:val="both"/>
      </w:pPr>
    </w:p>
    <w:p w14:paraId="3B8FE995" w14:textId="77777777" w:rsidR="00126D8D" w:rsidRDefault="00126D8D" w:rsidP="00A9290A">
      <w:pPr>
        <w:spacing w:line="240" w:lineRule="auto"/>
        <w:jc w:val="both"/>
        <w:rPr>
          <w:b/>
        </w:rPr>
      </w:pPr>
      <w:r w:rsidRPr="00A9290A">
        <w:rPr>
          <w:b/>
          <w:bCs/>
        </w:rPr>
        <w:t>Keywords:</w:t>
      </w:r>
      <w:r w:rsidRPr="00747A19">
        <w:t xml:space="preserve"> Controlled Environment Agriculture, Light Emitting Diodes, Narrowband LEDs, Spectral Quality, </w:t>
      </w:r>
      <w:r w:rsidRPr="00747A19">
        <w:rPr>
          <w:i/>
          <w:iCs/>
        </w:rPr>
        <w:t>Ocimum basilicum</w:t>
      </w:r>
      <w:r w:rsidRPr="00747A19">
        <w:t xml:space="preserve">, High Pressure Sodium, </w:t>
      </w:r>
      <w:r>
        <w:t>Supplemental Lighting</w:t>
      </w:r>
      <w:r w:rsidRPr="00747A19">
        <w:t>, Secondary Metabolism, Terpenes</w:t>
      </w:r>
    </w:p>
    <w:p w14:paraId="1B00C063" w14:textId="77777777" w:rsidR="00126D8D" w:rsidRDefault="00126D8D" w:rsidP="00A9290A">
      <w:pPr>
        <w:spacing w:line="240" w:lineRule="auto"/>
        <w:jc w:val="both"/>
        <w:rPr>
          <w:b/>
        </w:rPr>
      </w:pPr>
    </w:p>
    <w:p w14:paraId="06E165D8" w14:textId="77777777" w:rsidR="00126D8D" w:rsidRPr="00747A19" w:rsidRDefault="00126D8D" w:rsidP="00A9290A">
      <w:pPr>
        <w:spacing w:line="240" w:lineRule="auto"/>
        <w:jc w:val="both"/>
        <w:rPr>
          <w:rFonts w:cs="Times New Roman"/>
        </w:rPr>
      </w:pPr>
      <w:r w:rsidRPr="00747A19">
        <w:rPr>
          <w:rFonts w:cs="Times New Roman"/>
          <w:b/>
          <w:bCs/>
        </w:rPr>
        <w:t>Author Contributions</w:t>
      </w:r>
      <w:r>
        <w:rPr>
          <w:rFonts w:cs="Times New Roman"/>
        </w:rPr>
        <w:t>:</w:t>
      </w:r>
    </w:p>
    <w:p w14:paraId="100CB4B6" w14:textId="77777777" w:rsidR="00126D8D" w:rsidRPr="00747A19" w:rsidRDefault="00126D8D" w:rsidP="00A9290A">
      <w:pPr>
        <w:spacing w:line="240" w:lineRule="auto"/>
        <w:jc w:val="both"/>
        <w:rPr>
          <w:rFonts w:cs="Times New Roman"/>
        </w:rPr>
      </w:pPr>
      <w:r w:rsidRPr="00747A19">
        <w:rPr>
          <w:rFonts w:cs="Times New Roman"/>
        </w:rPr>
        <w:t>Conceptualization – HAH, CES</w:t>
      </w:r>
    </w:p>
    <w:p w14:paraId="527D6828" w14:textId="77777777" w:rsidR="00126D8D" w:rsidRPr="00747A19" w:rsidRDefault="00126D8D" w:rsidP="00A9290A">
      <w:pPr>
        <w:spacing w:line="240" w:lineRule="auto"/>
        <w:jc w:val="both"/>
        <w:rPr>
          <w:rFonts w:cs="Times New Roman"/>
        </w:rPr>
      </w:pPr>
      <w:r w:rsidRPr="00747A19">
        <w:rPr>
          <w:rFonts w:cs="Times New Roman"/>
        </w:rPr>
        <w:t>Methodology – HAH, CES</w:t>
      </w:r>
    </w:p>
    <w:p w14:paraId="3011AFA8" w14:textId="77777777" w:rsidR="00126D8D" w:rsidRPr="00747A19" w:rsidRDefault="00126D8D" w:rsidP="00A9290A">
      <w:pPr>
        <w:spacing w:line="240" w:lineRule="auto"/>
        <w:jc w:val="both"/>
        <w:rPr>
          <w:rFonts w:cs="Times New Roman"/>
        </w:rPr>
      </w:pPr>
      <w:r w:rsidRPr="00747A19">
        <w:rPr>
          <w:rFonts w:cs="Times New Roman"/>
        </w:rPr>
        <w:t>Software – HAH, CES</w:t>
      </w:r>
    </w:p>
    <w:p w14:paraId="318C93CD" w14:textId="77777777" w:rsidR="00126D8D" w:rsidRPr="00747A19" w:rsidRDefault="00126D8D" w:rsidP="00A9290A">
      <w:pPr>
        <w:spacing w:line="240" w:lineRule="auto"/>
        <w:jc w:val="both"/>
        <w:rPr>
          <w:rFonts w:cs="Times New Roman"/>
        </w:rPr>
      </w:pPr>
      <w:r w:rsidRPr="00747A19">
        <w:rPr>
          <w:rFonts w:cs="Times New Roman"/>
        </w:rPr>
        <w:t>Validation – HAH</w:t>
      </w:r>
    </w:p>
    <w:p w14:paraId="790EFC28" w14:textId="77777777" w:rsidR="00126D8D" w:rsidRPr="00747A19" w:rsidRDefault="00126D8D" w:rsidP="00A9290A">
      <w:pPr>
        <w:spacing w:line="240" w:lineRule="auto"/>
        <w:jc w:val="both"/>
        <w:rPr>
          <w:rFonts w:cs="Times New Roman"/>
          <w:color w:val="000000" w:themeColor="text1"/>
        </w:rPr>
      </w:pPr>
      <w:r w:rsidRPr="00747A19">
        <w:rPr>
          <w:rFonts w:cs="Times New Roman"/>
          <w:color w:val="000000" w:themeColor="text1"/>
        </w:rPr>
        <w:t>Formal analysis – HAH</w:t>
      </w:r>
    </w:p>
    <w:p w14:paraId="4EEC7ED2" w14:textId="77777777" w:rsidR="00126D8D" w:rsidRPr="00747A19" w:rsidRDefault="00126D8D" w:rsidP="00CB34FF">
      <w:pPr>
        <w:spacing w:line="240" w:lineRule="auto"/>
        <w:rPr>
          <w:rFonts w:cs="Times New Roman"/>
          <w:color w:val="000000" w:themeColor="text1"/>
        </w:rPr>
      </w:pPr>
      <w:r w:rsidRPr="00747A19">
        <w:rPr>
          <w:rFonts w:cs="Times New Roman"/>
          <w:color w:val="000000" w:themeColor="text1"/>
        </w:rPr>
        <w:t>Investigation – HAH</w:t>
      </w:r>
    </w:p>
    <w:p w14:paraId="61CA1488" w14:textId="77777777" w:rsidR="00126D8D" w:rsidRPr="00747A19" w:rsidRDefault="00126D8D" w:rsidP="00CB34FF">
      <w:pPr>
        <w:spacing w:line="240" w:lineRule="auto"/>
        <w:rPr>
          <w:rFonts w:cs="Times New Roman"/>
          <w:color w:val="000000" w:themeColor="text1"/>
        </w:rPr>
      </w:pPr>
      <w:r w:rsidRPr="00747A19">
        <w:rPr>
          <w:rFonts w:cs="Times New Roman"/>
          <w:color w:val="000000" w:themeColor="text1"/>
        </w:rPr>
        <w:t xml:space="preserve">Resources – CES </w:t>
      </w:r>
    </w:p>
    <w:p w14:paraId="208281DF" w14:textId="77777777" w:rsidR="00126D8D" w:rsidRPr="00747A19" w:rsidRDefault="00126D8D" w:rsidP="00CB34FF">
      <w:pPr>
        <w:spacing w:line="240" w:lineRule="auto"/>
        <w:rPr>
          <w:rFonts w:cs="Times New Roman"/>
          <w:color w:val="000000" w:themeColor="text1"/>
        </w:rPr>
      </w:pPr>
      <w:r w:rsidRPr="00747A19">
        <w:rPr>
          <w:rFonts w:cs="Times New Roman"/>
          <w:color w:val="000000" w:themeColor="text1"/>
        </w:rPr>
        <w:t>Data curation – HAH</w:t>
      </w:r>
    </w:p>
    <w:p w14:paraId="49BD0108" w14:textId="77777777" w:rsidR="00126D8D" w:rsidRPr="00747A19" w:rsidRDefault="00126D8D" w:rsidP="00CB34FF">
      <w:pPr>
        <w:spacing w:line="240" w:lineRule="auto"/>
        <w:rPr>
          <w:rFonts w:cs="Times New Roman"/>
          <w:color w:val="000000" w:themeColor="text1"/>
        </w:rPr>
      </w:pPr>
      <w:r w:rsidRPr="00747A19">
        <w:rPr>
          <w:rFonts w:cs="Times New Roman"/>
          <w:color w:val="000000" w:themeColor="text1"/>
        </w:rPr>
        <w:t>Writing (original draft preparation) - HAH</w:t>
      </w:r>
    </w:p>
    <w:p w14:paraId="72DD7282" w14:textId="77777777" w:rsidR="00126D8D" w:rsidRPr="00747A19" w:rsidRDefault="00126D8D" w:rsidP="00CB34FF">
      <w:pPr>
        <w:spacing w:line="240" w:lineRule="auto"/>
        <w:rPr>
          <w:rFonts w:cs="Times New Roman"/>
          <w:color w:val="000000" w:themeColor="text1"/>
        </w:rPr>
      </w:pPr>
      <w:r w:rsidRPr="00747A19">
        <w:rPr>
          <w:rFonts w:cs="Times New Roman"/>
          <w:color w:val="000000" w:themeColor="text1"/>
        </w:rPr>
        <w:t>Writing (review and editing) – HAH, CES</w:t>
      </w:r>
    </w:p>
    <w:p w14:paraId="347EE6EE" w14:textId="77777777" w:rsidR="00126D8D" w:rsidRPr="00747A19" w:rsidRDefault="00126D8D" w:rsidP="00CB34FF">
      <w:pPr>
        <w:spacing w:line="240" w:lineRule="auto"/>
        <w:rPr>
          <w:rFonts w:cs="Times New Roman"/>
          <w:color w:val="000000" w:themeColor="text1"/>
        </w:rPr>
      </w:pPr>
      <w:r w:rsidRPr="00747A19">
        <w:rPr>
          <w:rFonts w:cs="Times New Roman"/>
          <w:color w:val="000000" w:themeColor="text1"/>
        </w:rPr>
        <w:t xml:space="preserve">Visualization – HAH  </w:t>
      </w:r>
    </w:p>
    <w:p w14:paraId="036DFC20" w14:textId="77777777" w:rsidR="00126D8D" w:rsidRPr="00747A19" w:rsidRDefault="00126D8D" w:rsidP="00CB34FF">
      <w:pPr>
        <w:spacing w:line="240" w:lineRule="auto"/>
        <w:rPr>
          <w:rFonts w:cs="Times New Roman"/>
          <w:color w:val="000000" w:themeColor="text1"/>
        </w:rPr>
      </w:pPr>
      <w:r w:rsidRPr="00747A19">
        <w:rPr>
          <w:rFonts w:cs="Times New Roman"/>
          <w:color w:val="000000" w:themeColor="text1"/>
        </w:rPr>
        <w:t>Supervision and project administration – CES</w:t>
      </w:r>
    </w:p>
    <w:p w14:paraId="2D6E0BED" w14:textId="77777777" w:rsidR="00126D8D" w:rsidRPr="00747A19" w:rsidRDefault="00126D8D" w:rsidP="00CB34FF">
      <w:pPr>
        <w:spacing w:line="240" w:lineRule="auto"/>
        <w:rPr>
          <w:rFonts w:cs="Times New Roman"/>
          <w:color w:val="000000" w:themeColor="text1"/>
        </w:rPr>
      </w:pPr>
      <w:r w:rsidRPr="00747A19">
        <w:rPr>
          <w:rFonts w:cs="Times New Roman"/>
          <w:color w:val="000000" w:themeColor="text1"/>
        </w:rPr>
        <w:t>Funding acquisition – CES</w:t>
      </w:r>
    </w:p>
    <w:p w14:paraId="71CC54B1" w14:textId="77777777" w:rsidR="00126D8D" w:rsidRDefault="00126D8D" w:rsidP="000958A5">
      <w:pPr>
        <w:spacing w:line="240" w:lineRule="auto"/>
        <w:rPr>
          <w:rFonts w:cs="Times New Roman"/>
          <w:color w:val="000000" w:themeColor="text1"/>
        </w:rPr>
      </w:pPr>
    </w:p>
    <w:p w14:paraId="46DA0316" w14:textId="77777777" w:rsidR="00126D8D" w:rsidRPr="003F0091" w:rsidRDefault="00126D8D" w:rsidP="00495A20">
      <w:pPr>
        <w:spacing w:line="240" w:lineRule="auto"/>
        <w:rPr>
          <w:rFonts w:cs="Times New Roman"/>
          <w:b/>
          <w:bCs/>
          <w:color w:val="000000" w:themeColor="text1"/>
        </w:rPr>
      </w:pPr>
      <w:r w:rsidRPr="003F0091">
        <w:rPr>
          <w:rFonts w:cs="Times New Roman"/>
          <w:b/>
          <w:bCs/>
          <w:color w:val="000000" w:themeColor="text1"/>
        </w:rPr>
        <w:t>Author Statement</w:t>
      </w:r>
      <w:r>
        <w:rPr>
          <w:rFonts w:cs="Times New Roman"/>
          <w:b/>
          <w:bCs/>
          <w:color w:val="000000" w:themeColor="text1"/>
        </w:rPr>
        <w:t>:</w:t>
      </w:r>
    </w:p>
    <w:p w14:paraId="34B53557" w14:textId="77777777" w:rsidR="00126D8D" w:rsidRPr="003F0091" w:rsidRDefault="00126D8D" w:rsidP="00495A20">
      <w:pPr>
        <w:spacing w:line="240" w:lineRule="auto"/>
        <w:rPr>
          <w:rFonts w:cs="Times New Roman"/>
          <w:color w:val="000000" w:themeColor="text1"/>
        </w:rPr>
      </w:pPr>
      <w:r w:rsidRPr="003F0091">
        <w:rPr>
          <w:rFonts w:cs="Times New Roman"/>
          <w:color w:val="000000" w:themeColor="text1"/>
        </w:rPr>
        <w:t>All authors have reviewed the manuscript and agree with the reported findings. There are no reported conflicts between the authors and the present study.</w:t>
      </w:r>
    </w:p>
    <w:p w14:paraId="26CC15FC" w14:textId="77777777" w:rsidR="00126D8D" w:rsidRPr="003F0091" w:rsidRDefault="00126D8D" w:rsidP="00495A20">
      <w:pPr>
        <w:spacing w:line="240" w:lineRule="auto"/>
        <w:rPr>
          <w:rFonts w:cs="Times New Roman"/>
          <w:color w:val="000000" w:themeColor="text1"/>
        </w:rPr>
      </w:pPr>
    </w:p>
    <w:p w14:paraId="7E74340B" w14:textId="77777777" w:rsidR="00126D8D" w:rsidRPr="003F0091" w:rsidRDefault="00126D8D" w:rsidP="00495A20">
      <w:pPr>
        <w:spacing w:line="240" w:lineRule="auto"/>
        <w:rPr>
          <w:rFonts w:cs="Times New Roman"/>
          <w:b/>
          <w:bCs/>
          <w:color w:val="000000" w:themeColor="text1"/>
        </w:rPr>
      </w:pPr>
      <w:r w:rsidRPr="003F0091">
        <w:rPr>
          <w:rFonts w:cs="Times New Roman"/>
          <w:b/>
          <w:bCs/>
          <w:color w:val="000000" w:themeColor="text1"/>
        </w:rPr>
        <w:t>Funding</w:t>
      </w:r>
      <w:r>
        <w:rPr>
          <w:rFonts w:cs="Times New Roman"/>
          <w:b/>
          <w:bCs/>
          <w:color w:val="000000" w:themeColor="text1"/>
        </w:rPr>
        <w:t>:</w:t>
      </w:r>
    </w:p>
    <w:p w14:paraId="4AFD7F7C" w14:textId="77777777" w:rsidR="00126D8D" w:rsidRPr="003F0091" w:rsidRDefault="00126D8D" w:rsidP="00495A20">
      <w:pPr>
        <w:spacing w:line="240" w:lineRule="auto"/>
        <w:rPr>
          <w:rFonts w:cs="Times New Roman"/>
          <w:color w:val="000000" w:themeColor="text1"/>
        </w:rPr>
      </w:pPr>
      <w:r w:rsidRPr="003F0091">
        <w:rPr>
          <w:rFonts w:cs="Times New Roman"/>
          <w:color w:val="000000" w:themeColor="text1"/>
        </w:rPr>
        <w:t>This research was supported by The AgResearch Dean’s Office within the University of Tennessee Institute of Agriculture. No external funds were used for the present study.</w:t>
      </w:r>
    </w:p>
    <w:p w14:paraId="7A108AB1" w14:textId="77777777" w:rsidR="00126D8D" w:rsidRPr="003F0091" w:rsidRDefault="00126D8D" w:rsidP="00495A20">
      <w:pPr>
        <w:spacing w:line="240" w:lineRule="auto"/>
        <w:rPr>
          <w:rFonts w:cs="Times New Roman"/>
          <w:color w:val="000000" w:themeColor="text1"/>
        </w:rPr>
      </w:pPr>
    </w:p>
    <w:p w14:paraId="67A58F8D" w14:textId="77777777" w:rsidR="00126D8D" w:rsidRDefault="00126D8D" w:rsidP="00495A20">
      <w:pPr>
        <w:spacing w:line="240" w:lineRule="auto"/>
        <w:rPr>
          <w:rFonts w:cs="Times New Roman"/>
          <w:b/>
          <w:bCs/>
          <w:color w:val="000000" w:themeColor="text1"/>
        </w:rPr>
      </w:pPr>
      <w:r w:rsidRPr="00F15D90">
        <w:rPr>
          <w:rFonts w:cs="Times New Roman"/>
          <w:b/>
          <w:bCs/>
          <w:color w:val="000000" w:themeColor="text1"/>
        </w:rPr>
        <w:t>Disclosure</w:t>
      </w:r>
      <w:r>
        <w:rPr>
          <w:rFonts w:cs="Times New Roman"/>
          <w:b/>
          <w:bCs/>
          <w:color w:val="000000" w:themeColor="text1"/>
        </w:rPr>
        <w:t>:</w:t>
      </w:r>
    </w:p>
    <w:p w14:paraId="5580F9C0" w14:textId="77777777" w:rsidR="00126D8D" w:rsidRDefault="00126D8D" w:rsidP="00495A20">
      <w:pPr>
        <w:spacing w:line="240" w:lineRule="auto"/>
        <w:rPr>
          <w:rFonts w:cs="Times New Roman"/>
          <w:color w:val="000000" w:themeColor="text1"/>
        </w:rPr>
      </w:pPr>
      <w:r>
        <w:rPr>
          <w:rFonts w:cs="Times New Roman"/>
          <w:color w:val="000000" w:themeColor="text1"/>
        </w:rPr>
        <w:t>This manuscript and its contents were published in Frontiers in Plant Sciences June 20</w:t>
      </w:r>
      <w:r w:rsidRPr="00495A20">
        <w:rPr>
          <w:rFonts w:cs="Times New Roman"/>
          <w:color w:val="000000" w:themeColor="text1"/>
          <w:vertAlign w:val="superscript"/>
        </w:rPr>
        <w:t>th</w:t>
      </w:r>
      <w:r>
        <w:rPr>
          <w:rFonts w:cs="Times New Roman"/>
          <w:color w:val="000000" w:themeColor="text1"/>
        </w:rPr>
        <w:t>, 2023.</w:t>
      </w:r>
    </w:p>
    <w:p w14:paraId="4FFA194F" w14:textId="77777777" w:rsidR="00126D8D" w:rsidRDefault="00126D8D" w:rsidP="00495A20">
      <w:pPr>
        <w:spacing w:line="240" w:lineRule="auto"/>
        <w:rPr>
          <w:rFonts w:cs="Times New Roman"/>
          <w:color w:val="000000" w:themeColor="text1"/>
        </w:rPr>
      </w:pPr>
    </w:p>
    <w:p w14:paraId="48A9CE61" w14:textId="77777777" w:rsidR="00126D8D" w:rsidRDefault="00126D8D" w:rsidP="00495A20">
      <w:pPr>
        <w:spacing w:line="240" w:lineRule="auto"/>
        <w:rPr>
          <w:rFonts w:cs="Times New Roman"/>
          <w:b/>
          <w:bCs/>
          <w:color w:val="000000" w:themeColor="text1"/>
        </w:rPr>
      </w:pPr>
      <w:r w:rsidRPr="000630E2">
        <w:rPr>
          <w:rFonts w:cs="Times New Roman"/>
          <w:b/>
          <w:bCs/>
          <w:color w:val="000000" w:themeColor="text1"/>
        </w:rPr>
        <w:t>Citation:</w:t>
      </w:r>
    </w:p>
    <w:p w14:paraId="355F418C" w14:textId="77777777" w:rsidR="00126D8D" w:rsidRPr="008A3652" w:rsidRDefault="00126D8D" w:rsidP="00495A20">
      <w:pPr>
        <w:spacing w:line="240" w:lineRule="auto"/>
        <w:rPr>
          <w:rFonts w:cs="Times New Roman"/>
          <w:color w:val="000000" w:themeColor="text1"/>
          <w:sz w:val="28"/>
        </w:rPr>
      </w:pPr>
      <w:r w:rsidRPr="008A3652">
        <w:rPr>
          <w:rFonts w:cs="Times New Roman"/>
          <w:color w:val="000000" w:themeColor="text1"/>
        </w:rPr>
        <w:t>Hammock HA and Sams CE (2023)</w:t>
      </w:r>
      <w:r>
        <w:rPr>
          <w:rFonts w:cs="Times New Roman"/>
          <w:color w:val="000000" w:themeColor="text1"/>
        </w:rPr>
        <w:t>.</w:t>
      </w:r>
      <w:r w:rsidRPr="008A3652">
        <w:rPr>
          <w:rFonts w:cs="Times New Roman"/>
          <w:color w:val="000000" w:themeColor="text1"/>
        </w:rPr>
        <w:t xml:space="preserve"> Variation in supplemental lighting quality influences key aroma volatiles in hydroponically grown ‘Italian Large Leaf’ basil. Front. Plant Sci. 14:1184664. doi: 10.3389/fpls.2023.1184664</w:t>
      </w:r>
      <w:r w:rsidRPr="008A3652">
        <w:rPr>
          <w:rFonts w:cs="Times New Roman"/>
          <w:color w:val="000000" w:themeColor="text1"/>
        </w:rPr>
        <w:br w:type="page"/>
      </w:r>
    </w:p>
    <w:p w14:paraId="22625753" w14:textId="77777777" w:rsidR="00126D8D" w:rsidRPr="00747A19" w:rsidRDefault="00126D8D" w:rsidP="000958A5">
      <w:pPr>
        <w:pStyle w:val="MastersThesisMainTitle"/>
        <w:rPr>
          <w:color w:val="000000" w:themeColor="text1"/>
        </w:rPr>
      </w:pPr>
      <w:bookmarkStart w:id="399" w:name="_Toc139574798"/>
      <w:bookmarkStart w:id="400" w:name="_Toc141478668"/>
      <w:r w:rsidRPr="00747A19">
        <w:rPr>
          <w:color w:val="000000" w:themeColor="text1"/>
        </w:rPr>
        <w:lastRenderedPageBreak/>
        <w:t>Abstract</w:t>
      </w:r>
      <w:bookmarkEnd w:id="399"/>
      <w:bookmarkEnd w:id="400"/>
    </w:p>
    <w:p w14:paraId="31BCDF39" w14:textId="77777777" w:rsidR="00126D8D" w:rsidRPr="00747A19" w:rsidRDefault="00126D8D" w:rsidP="00182739">
      <w:pPr>
        <w:pStyle w:val="MSThesisBodyTextJustified"/>
      </w:pPr>
      <w:r w:rsidRPr="00747A19">
        <w:t xml:space="preserve">The spectral quality of supplemental greenhouse lighting can directly influence aroma volatiles and secondary metabolic resource allocation (i.e., specific compounds and classes of compounds). Research is needed to determine species-specific secondary metabolic responses to </w:t>
      </w:r>
      <w:r>
        <w:t>supplemental lighting (SL)</w:t>
      </w:r>
      <w:r w:rsidRPr="00747A19">
        <w:t xml:space="preserve"> sources with an emphasis on variations in spectral quality. The primary objective of this experiment was to determine the impact of supplemental narrowband blue (B) and red (R) LED lighting ratios and discrete wavelengths on flavor volatiles in hydroponic basil (</w:t>
      </w:r>
      <w:r w:rsidRPr="00747A19">
        <w:rPr>
          <w:i/>
          <w:iCs/>
        </w:rPr>
        <w:t>Ocimum basilicum</w:t>
      </w:r>
      <w:r w:rsidRPr="00747A19">
        <w:t xml:space="preserve"> var. Italian Large Leaf). A natural light (NL) control and </w:t>
      </w:r>
      <w:r>
        <w:t xml:space="preserve">different </w:t>
      </w:r>
      <w:r w:rsidRPr="00747A19">
        <w:t xml:space="preserve">broadband lighting sources were also evaluated to establish </w:t>
      </w:r>
      <w:r>
        <w:t xml:space="preserve">the </w:t>
      </w:r>
      <w:r w:rsidRPr="00747A19">
        <w:t>impact of adding discrete and broadband supplements to the ambient solar spectrum. Each SL treatment provided 8.64 mol</w:t>
      </w:r>
      <w:r w:rsidRPr="00747A19">
        <w:rPr>
          <w:b/>
          <w:bCs/>
          <w:vertAlign w:val="superscript"/>
        </w:rPr>
        <w:t>.</w:t>
      </w:r>
      <w:r w:rsidRPr="00747A19">
        <w:t>m</w:t>
      </w:r>
      <w:r w:rsidRPr="00747A19">
        <w:rPr>
          <w:vertAlign w:val="superscript"/>
        </w:rPr>
        <w:t>-2</w:t>
      </w:r>
      <w:r w:rsidRPr="00747A19">
        <w:rPr>
          <w:b/>
          <w:bCs/>
          <w:vertAlign w:val="superscript"/>
        </w:rPr>
        <w:t>.</w:t>
      </w:r>
      <w:r w:rsidRPr="00747A19">
        <w:t>d</w:t>
      </w:r>
      <w:r w:rsidRPr="00747A19">
        <w:rPr>
          <w:vertAlign w:val="superscript"/>
        </w:rPr>
        <w:t>-1</w:t>
      </w:r>
      <w:r w:rsidRPr="00747A19">
        <w:t xml:space="preserve"> (100 µmol</w:t>
      </w:r>
      <w:r w:rsidRPr="00747A19">
        <w:rPr>
          <w:b/>
          <w:bCs/>
          <w:vertAlign w:val="superscript"/>
        </w:rPr>
        <w:t>.</w:t>
      </w:r>
      <w:r w:rsidRPr="00747A19">
        <w:t>m</w:t>
      </w:r>
      <w:r w:rsidRPr="00747A19">
        <w:rPr>
          <w:vertAlign w:val="superscript"/>
        </w:rPr>
        <w:t>-2</w:t>
      </w:r>
      <w:r w:rsidRPr="00747A19">
        <w:rPr>
          <w:b/>
          <w:bCs/>
          <w:vertAlign w:val="superscript"/>
        </w:rPr>
        <w:t>.</w:t>
      </w:r>
      <w:r w:rsidRPr="00747A19">
        <w:t>s</w:t>
      </w:r>
      <w:r w:rsidRPr="00747A19">
        <w:rPr>
          <w:vertAlign w:val="superscript"/>
        </w:rPr>
        <w:t>-1</w:t>
      </w:r>
      <w:r w:rsidRPr="00747A19">
        <w:t>, 24 h</w:t>
      </w:r>
      <w:r w:rsidRPr="00747A19">
        <w:rPr>
          <w:b/>
          <w:bCs/>
          <w:vertAlign w:val="superscript"/>
        </w:rPr>
        <w:t>.</w:t>
      </w:r>
      <w:r w:rsidRPr="00747A19">
        <w:t>d</w:t>
      </w:r>
      <w:r w:rsidRPr="00747A19">
        <w:rPr>
          <w:vertAlign w:val="superscript"/>
        </w:rPr>
        <w:t>-1</w:t>
      </w:r>
      <w:r w:rsidRPr="00747A19">
        <w:t>)</w:t>
      </w:r>
      <w:r>
        <w:t xml:space="preserve"> photon flux</w:t>
      </w:r>
      <w:r w:rsidRPr="00747A19">
        <w:t>. The daily light integral (DLI) of the NL control averaged 11.75 mol</w:t>
      </w:r>
      <w:r w:rsidRPr="00747A19">
        <w:rPr>
          <w:b/>
          <w:bCs/>
          <w:vertAlign w:val="superscript"/>
        </w:rPr>
        <w:t>.</w:t>
      </w:r>
      <w:r w:rsidRPr="00747A19">
        <w:t>m</w:t>
      </w:r>
      <w:r w:rsidRPr="00747A19">
        <w:rPr>
          <w:vertAlign w:val="superscript"/>
        </w:rPr>
        <w:t>-2</w:t>
      </w:r>
      <w:r w:rsidRPr="00747A19">
        <w:rPr>
          <w:b/>
          <w:bCs/>
          <w:vertAlign w:val="superscript"/>
        </w:rPr>
        <w:t>.</w:t>
      </w:r>
      <w:r w:rsidRPr="00747A19">
        <w:t>d</w:t>
      </w:r>
      <w:r w:rsidRPr="00747A19">
        <w:rPr>
          <w:vertAlign w:val="superscript"/>
        </w:rPr>
        <w:t>-1</w:t>
      </w:r>
      <w:r w:rsidRPr="00747A19">
        <w:t xml:space="preserve"> during the growth period (ranging from 4 to 20 mol</w:t>
      </w:r>
      <w:r w:rsidRPr="00747A19">
        <w:rPr>
          <w:b/>
          <w:bCs/>
          <w:vertAlign w:val="superscript"/>
        </w:rPr>
        <w:t>.</w:t>
      </w:r>
      <w:r w:rsidRPr="00747A19">
        <w:t>m</w:t>
      </w:r>
      <w:r w:rsidRPr="00747A19">
        <w:rPr>
          <w:vertAlign w:val="superscript"/>
        </w:rPr>
        <w:t>-2</w:t>
      </w:r>
      <w:r w:rsidRPr="00747A19">
        <w:rPr>
          <w:b/>
          <w:bCs/>
          <w:vertAlign w:val="superscript"/>
        </w:rPr>
        <w:t>.</w:t>
      </w:r>
      <w:r w:rsidRPr="00747A19">
        <w:t>d</w:t>
      </w:r>
      <w:r w:rsidRPr="00747A19">
        <w:rPr>
          <w:vertAlign w:val="superscript"/>
        </w:rPr>
        <w:t>-1</w:t>
      </w:r>
      <w:r w:rsidRPr="00747A19">
        <w:t xml:space="preserve">). Basil plants were harvested 45 d after seeding. Using GC-MS, we explored, identified, and quantified several important volatile organic compounds (VOCs) with known influence on sensory perception and/or plant physiological processes of sweet basil. We found that the spectral quality from </w:t>
      </w:r>
      <w:r>
        <w:t>SL</w:t>
      </w:r>
      <w:r w:rsidRPr="00747A19">
        <w:t xml:space="preserve"> sources, in addition to changes in the spectra and DLI of ambient sunlight across growing seasons, directly influence basil aroma volatile concentrations. Further, we found that specific ratios of narrowband B/R wavelengths, combinations of discrete narrowband wavelengths, and broadband wavelengths directly and differentially influence the overall aroma profile as well as specific compounds. Based on the results of this study, we recommend supplemental </w:t>
      </w:r>
      <w:r w:rsidRPr="000D2ABD">
        <w:t>4</w:t>
      </w:r>
      <w:r>
        <w:t>5</w:t>
      </w:r>
      <w:r w:rsidRPr="000D2ABD">
        <w:t>0</w:t>
      </w:r>
      <w:r>
        <w:t xml:space="preserve"> and </w:t>
      </w:r>
      <w:r w:rsidRPr="000D2ABD">
        <w:t xml:space="preserve">660 </w:t>
      </w:r>
      <w:r>
        <w:t>nm (</w:t>
      </w:r>
      <w:r w:rsidRPr="000D2ABD">
        <w:rPr>
          <w:color w:val="404040"/>
          <w:shd w:val="clear" w:color="auto" w:fill="FFFFFF"/>
        </w:rPr>
        <w:t>±</w:t>
      </w:r>
      <w:r w:rsidRPr="000D2ABD">
        <w:t xml:space="preserve"> </w:t>
      </w:r>
      <w:r>
        <w:t xml:space="preserve">20 </w:t>
      </w:r>
      <w:r w:rsidRPr="000D2ABD">
        <w:t>nm</w:t>
      </w:r>
      <w:r>
        <w:t>)</w:t>
      </w:r>
      <w:r w:rsidRPr="00747A19">
        <w:t xml:space="preserve"> wavelengths at a ratio of approximately 10B/90R at 100-200 µmol</w:t>
      </w:r>
      <w:r w:rsidRPr="00747A19">
        <w:rPr>
          <w:b/>
          <w:bCs/>
          <w:vertAlign w:val="superscript"/>
        </w:rPr>
        <w:t>.</w:t>
      </w:r>
      <w:r w:rsidRPr="00747A19">
        <w:t>m</w:t>
      </w:r>
      <w:r w:rsidRPr="00747A19">
        <w:rPr>
          <w:vertAlign w:val="superscript"/>
        </w:rPr>
        <w:t>-2</w:t>
      </w:r>
      <w:r w:rsidRPr="00747A19">
        <w:rPr>
          <w:b/>
          <w:bCs/>
          <w:vertAlign w:val="superscript"/>
        </w:rPr>
        <w:t>.</w:t>
      </w:r>
      <w:r w:rsidRPr="00747A19">
        <w:t>s</w:t>
      </w:r>
      <w:r w:rsidRPr="00747A19">
        <w:rPr>
          <w:vertAlign w:val="superscript"/>
        </w:rPr>
        <w:t>-1</w:t>
      </w:r>
      <w:r w:rsidRPr="00747A19">
        <w:t>, 12-24 h</w:t>
      </w:r>
      <w:r w:rsidRPr="00747A19">
        <w:rPr>
          <w:b/>
          <w:bCs/>
          <w:vertAlign w:val="superscript"/>
        </w:rPr>
        <w:t>.</w:t>
      </w:r>
      <w:r w:rsidRPr="00747A19">
        <w:t>d</w:t>
      </w:r>
      <w:r w:rsidRPr="00747A19">
        <w:rPr>
          <w:vertAlign w:val="superscript"/>
        </w:rPr>
        <w:t>-1</w:t>
      </w:r>
      <w:r w:rsidRPr="00747A19">
        <w:t xml:space="preserve"> for sweet basil grown under standard greenhouse conditions, with direct consideration of the natural solar spectrum and DLI provided for any given location and growing season. This experiment demonstrates the ability </w:t>
      </w:r>
      <w:r w:rsidRPr="00747A19">
        <w:lastRenderedPageBreak/>
        <w:t xml:space="preserve">to use discrete narrowband wavelengths to augment the natural solar spectrum to provide an optimal light environment across </w:t>
      </w:r>
      <w:r>
        <w:t xml:space="preserve">variable </w:t>
      </w:r>
      <w:r w:rsidRPr="00747A19">
        <w:t xml:space="preserve">growing seasons. </w:t>
      </w:r>
      <w:r w:rsidRPr="00B05B91">
        <w:t>Future experiments should investigate SL spectral quality for the optimization of sensory compounds in other high-value specialty crops.</w:t>
      </w:r>
    </w:p>
    <w:p w14:paraId="2C0CACBB" w14:textId="09E76119" w:rsidR="00126D8D" w:rsidRPr="00747A19" w:rsidRDefault="00126D8D" w:rsidP="00182739">
      <w:pPr>
        <w:pStyle w:val="MSThesisBodyTextJustified"/>
      </w:pPr>
    </w:p>
    <w:p w14:paraId="7D4B3C39" w14:textId="77777777" w:rsidR="00126D8D" w:rsidRPr="00747A19" w:rsidRDefault="00126D8D" w:rsidP="000958A5">
      <w:pPr>
        <w:pStyle w:val="MastersThesisMainTitle"/>
        <w:rPr>
          <w:color w:val="000000" w:themeColor="text1"/>
        </w:rPr>
      </w:pPr>
      <w:bookmarkStart w:id="401" w:name="_Toc139574799"/>
      <w:bookmarkStart w:id="402" w:name="_Toc141478669"/>
      <w:r w:rsidRPr="00747A19">
        <w:rPr>
          <w:color w:val="000000" w:themeColor="text1"/>
        </w:rPr>
        <w:t>Introduction</w:t>
      </w:r>
      <w:bookmarkEnd w:id="401"/>
      <w:bookmarkEnd w:id="402"/>
    </w:p>
    <w:p w14:paraId="4A52630C" w14:textId="17525D54" w:rsidR="00126D8D" w:rsidRPr="00747A19" w:rsidRDefault="00126D8D" w:rsidP="00182739">
      <w:pPr>
        <w:pStyle w:val="MSThesisBodyTextJustified"/>
      </w:pPr>
      <w:r w:rsidRPr="00747A19">
        <w:t xml:space="preserve">Light plays a crucial role in the growth, yield, and metabolic processes of plants </w:t>
      </w:r>
      <w:r>
        <w:rPr>
          <w:noProof/>
        </w:rPr>
        <w:t>(</w:t>
      </w:r>
      <w:r w:rsidRPr="00805192">
        <w:rPr>
          <w:rFonts w:cstheme="minorBidi"/>
        </w:rPr>
        <w:t>Schmitt and Wulff, 1993</w:t>
      </w:r>
      <w:r>
        <w:rPr>
          <w:noProof/>
        </w:rPr>
        <w:t xml:space="preserve">; </w:t>
      </w:r>
      <w:r w:rsidRPr="00805192">
        <w:rPr>
          <w:rFonts w:cstheme="minorBidi"/>
        </w:rPr>
        <w:t>Massa et al., 2008</w:t>
      </w:r>
      <w:r>
        <w:rPr>
          <w:noProof/>
        </w:rPr>
        <w:t xml:space="preserve">; </w:t>
      </w:r>
      <w:r w:rsidRPr="00805192">
        <w:rPr>
          <w:rFonts w:cstheme="minorBidi"/>
        </w:rPr>
        <w:t>Olle and Viršile, 2013</w:t>
      </w:r>
      <w:r>
        <w:rPr>
          <w:noProof/>
        </w:rPr>
        <w:t>)</w:t>
      </w:r>
      <w:r w:rsidRPr="00747A19">
        <w:t xml:space="preserve">. It is one of the most important abiotic factors that regulate various physiological signals </w:t>
      </w:r>
      <w:r>
        <w:t>as well as</w:t>
      </w:r>
      <w:r w:rsidRPr="00747A19">
        <w:t xml:space="preserve"> primary </w:t>
      </w:r>
      <w:r w:rsidRPr="00747A19">
        <w:rPr>
          <w:noProof/>
        </w:rPr>
        <w:t>(</w:t>
      </w:r>
      <w:r w:rsidRPr="00805192">
        <w:rPr>
          <w:rFonts w:cstheme="minorBidi"/>
        </w:rPr>
        <w:t>Darko et al., 2014</w:t>
      </w:r>
      <w:r w:rsidRPr="00747A19">
        <w:rPr>
          <w:noProof/>
        </w:rPr>
        <w:t xml:space="preserve">; </w:t>
      </w:r>
      <w:r w:rsidRPr="00805192">
        <w:rPr>
          <w:rFonts w:cstheme="minorBidi"/>
        </w:rPr>
        <w:t>Thoma et al., 2020</w:t>
      </w:r>
      <w:r w:rsidRPr="00747A19">
        <w:rPr>
          <w:noProof/>
        </w:rPr>
        <w:t>)</w:t>
      </w:r>
      <w:r w:rsidRPr="00747A19">
        <w:t xml:space="preserve"> and secondary </w:t>
      </w:r>
      <w:r>
        <w:rPr>
          <w:noProof/>
        </w:rPr>
        <w:t>(</w:t>
      </w:r>
      <w:r w:rsidRPr="00805192">
        <w:rPr>
          <w:rFonts w:cstheme="minorBidi"/>
        </w:rPr>
        <w:t>Ouzounis et al., 2015</w:t>
      </w:r>
      <w:r>
        <w:rPr>
          <w:noProof/>
        </w:rPr>
        <w:t xml:space="preserve">; </w:t>
      </w:r>
      <w:r w:rsidRPr="00805192">
        <w:rPr>
          <w:rFonts w:cstheme="minorBidi"/>
        </w:rPr>
        <w:t>Landi et al., 2020</w:t>
      </w:r>
      <w:r>
        <w:rPr>
          <w:noProof/>
        </w:rPr>
        <w:t>)</w:t>
      </w:r>
      <w:r w:rsidRPr="00747A19">
        <w:t xml:space="preserve"> metabolic responses in plants. The quality, intensity, and photoperiod of light directly impact plant growth and development </w:t>
      </w:r>
      <w:r>
        <w:rPr>
          <w:noProof/>
        </w:rPr>
        <w:t>(</w:t>
      </w:r>
      <w:r w:rsidRPr="00805192">
        <w:rPr>
          <w:rFonts w:cstheme="minorBidi"/>
        </w:rPr>
        <w:t>Smith, 1982</w:t>
      </w:r>
      <w:r>
        <w:rPr>
          <w:noProof/>
        </w:rPr>
        <w:t xml:space="preserve">; </w:t>
      </w:r>
      <w:r w:rsidRPr="00805192">
        <w:rPr>
          <w:rFonts w:cstheme="minorBidi"/>
        </w:rPr>
        <w:t>Fausey et al., 2005</w:t>
      </w:r>
      <w:r>
        <w:rPr>
          <w:noProof/>
        </w:rPr>
        <w:t xml:space="preserve">; </w:t>
      </w:r>
      <w:r w:rsidRPr="00805192">
        <w:rPr>
          <w:rFonts w:cstheme="minorBidi"/>
        </w:rPr>
        <w:t>Jiao et al., 2007</w:t>
      </w:r>
      <w:r>
        <w:rPr>
          <w:noProof/>
        </w:rPr>
        <w:t>)</w:t>
      </w:r>
      <w:r w:rsidRPr="00747A19">
        <w:t xml:space="preserve">. Photosynthetically active radiation (PAR) is composed of different wavelengths within the visible spectrum (400-700 nm) </w:t>
      </w:r>
      <w:r>
        <w:rPr>
          <w:noProof/>
        </w:rPr>
        <w:t>(</w:t>
      </w:r>
      <w:r w:rsidRPr="00805192">
        <w:rPr>
          <w:rFonts w:cstheme="minorBidi"/>
        </w:rPr>
        <w:t>McCree, 1973</w:t>
      </w:r>
      <w:r>
        <w:rPr>
          <w:noProof/>
        </w:rPr>
        <w:t>)</w:t>
      </w:r>
      <w:r w:rsidRPr="00747A19">
        <w:t xml:space="preserve">, but ultraviolet </w:t>
      </w:r>
      <w:r w:rsidRPr="00747A19">
        <w:rPr>
          <w:noProof/>
        </w:rPr>
        <w:t>(</w:t>
      </w:r>
      <w:r w:rsidRPr="00805192">
        <w:rPr>
          <w:rFonts w:cstheme="minorBidi"/>
        </w:rPr>
        <w:t>Behn et al., 2010</w:t>
      </w:r>
      <w:r w:rsidRPr="00747A19">
        <w:rPr>
          <w:noProof/>
        </w:rPr>
        <w:t xml:space="preserve">; </w:t>
      </w:r>
      <w:r w:rsidRPr="00805192">
        <w:rPr>
          <w:rFonts w:cstheme="minorBidi"/>
        </w:rPr>
        <w:t>Sakalauskaite et al., 2013</w:t>
      </w:r>
      <w:r w:rsidRPr="00747A19">
        <w:rPr>
          <w:noProof/>
        </w:rPr>
        <w:t xml:space="preserve">; </w:t>
      </w:r>
      <w:r w:rsidRPr="00805192">
        <w:rPr>
          <w:rFonts w:cstheme="minorBidi"/>
        </w:rPr>
        <w:t>Santin et al., 2021</w:t>
      </w:r>
      <w:r w:rsidRPr="00747A19">
        <w:rPr>
          <w:noProof/>
        </w:rPr>
        <w:t>)</w:t>
      </w:r>
      <w:r w:rsidRPr="00747A19">
        <w:t xml:space="preserve"> and far-red </w:t>
      </w:r>
      <w:r>
        <w:rPr>
          <w:noProof/>
        </w:rPr>
        <w:t>(</w:t>
      </w:r>
      <w:r w:rsidRPr="00805192">
        <w:rPr>
          <w:rFonts w:cstheme="minorBidi"/>
        </w:rPr>
        <w:t>Halaban, 1969</w:t>
      </w:r>
      <w:r>
        <w:rPr>
          <w:noProof/>
        </w:rPr>
        <w:t xml:space="preserve">; </w:t>
      </w:r>
      <w:r w:rsidRPr="00805192">
        <w:rPr>
          <w:rFonts w:cstheme="minorBidi"/>
        </w:rPr>
        <w:t>Mokvist et al., 2014</w:t>
      </w:r>
      <w:r>
        <w:rPr>
          <w:noProof/>
        </w:rPr>
        <w:t xml:space="preserve">; </w:t>
      </w:r>
      <w:r w:rsidRPr="00805192">
        <w:rPr>
          <w:rFonts w:cstheme="minorBidi"/>
        </w:rPr>
        <w:t>Kalaitzoglou et al., 2019</w:t>
      </w:r>
      <w:r>
        <w:rPr>
          <w:noProof/>
        </w:rPr>
        <w:t xml:space="preserve">; </w:t>
      </w:r>
      <w:r w:rsidRPr="00805192">
        <w:rPr>
          <w:rFonts w:cstheme="minorBidi"/>
        </w:rPr>
        <w:t>Zhen and Bugbee, 2020</w:t>
      </w:r>
      <w:r>
        <w:rPr>
          <w:noProof/>
        </w:rPr>
        <w:t>)</w:t>
      </w:r>
      <w:r w:rsidRPr="00747A19">
        <w:t xml:space="preserve"> wavelengths can be perceived and utilized by many species of higher plants. </w:t>
      </w:r>
    </w:p>
    <w:p w14:paraId="55AEA571" w14:textId="77777777" w:rsidR="00126D8D" w:rsidRPr="00747A19" w:rsidRDefault="00126D8D" w:rsidP="00182739">
      <w:pPr>
        <w:pStyle w:val="MSThesisBodyTextJustified"/>
      </w:pPr>
      <w:r w:rsidRPr="00747A19">
        <w:t xml:space="preserve">The roles of light in activating pathways that shape plant growth and development are multifaceted and complex </w:t>
      </w:r>
      <w:r>
        <w:rPr>
          <w:noProof/>
        </w:rPr>
        <w:t>(</w:t>
      </w:r>
      <w:r w:rsidRPr="00805192">
        <w:rPr>
          <w:rFonts w:cstheme="minorBidi"/>
        </w:rPr>
        <w:t>Fankhauser and Chory, 1997</w:t>
      </w:r>
      <w:r>
        <w:rPr>
          <w:noProof/>
        </w:rPr>
        <w:t xml:space="preserve">; </w:t>
      </w:r>
      <w:r w:rsidRPr="00805192">
        <w:rPr>
          <w:rFonts w:cstheme="minorBidi"/>
        </w:rPr>
        <w:t>Chen et al., 2004</w:t>
      </w:r>
      <w:r>
        <w:rPr>
          <w:noProof/>
        </w:rPr>
        <w:t>)</w:t>
      </w:r>
      <w:r w:rsidRPr="00747A19">
        <w:t xml:space="preserve">. Plants possess a unique array of photoreceptors that sense various wavebands across the spectrum </w:t>
      </w:r>
      <w:r w:rsidRPr="00747A19">
        <w:rPr>
          <w:noProof/>
        </w:rPr>
        <w:t>(</w:t>
      </w:r>
      <w:r w:rsidRPr="00805192">
        <w:rPr>
          <w:rFonts w:cstheme="minorBidi"/>
        </w:rPr>
        <w:t>Fankhauser and Chory, 1997</w:t>
      </w:r>
      <w:r w:rsidRPr="00747A19">
        <w:rPr>
          <w:noProof/>
        </w:rPr>
        <w:t xml:space="preserve">; </w:t>
      </w:r>
      <w:r w:rsidRPr="00805192">
        <w:rPr>
          <w:rFonts w:cstheme="minorBidi"/>
        </w:rPr>
        <w:t>Folta and Carvalho, 2015</w:t>
      </w:r>
      <w:r w:rsidRPr="00747A19">
        <w:rPr>
          <w:noProof/>
        </w:rPr>
        <w:t xml:space="preserve">; </w:t>
      </w:r>
      <w:r w:rsidRPr="00805192">
        <w:rPr>
          <w:rFonts w:cstheme="minorBidi"/>
        </w:rPr>
        <w:t>Galvao and Fankhauser, 2015</w:t>
      </w:r>
      <w:r w:rsidRPr="00747A19">
        <w:rPr>
          <w:noProof/>
        </w:rPr>
        <w:t>)</w:t>
      </w:r>
      <w:r w:rsidRPr="00747A19">
        <w:t>. These include phytochromes which detect red and far-red light, cryptochromes which detect ultraviolet, blue, and green light</w:t>
      </w:r>
      <w:r>
        <w:t>; and</w:t>
      </w:r>
      <w:r w:rsidRPr="00747A19">
        <w:t xml:space="preserve"> phototropins</w:t>
      </w:r>
      <w:r>
        <w:t>,</w:t>
      </w:r>
      <w:r w:rsidRPr="00747A19">
        <w:t xml:space="preserve"> which respond primarily to blue light </w:t>
      </w:r>
      <w:r>
        <w:rPr>
          <w:noProof/>
        </w:rPr>
        <w:t>(</w:t>
      </w:r>
      <w:r w:rsidRPr="00805192">
        <w:rPr>
          <w:rFonts w:cstheme="minorBidi"/>
        </w:rPr>
        <w:t>Casal, 2000</w:t>
      </w:r>
      <w:r>
        <w:rPr>
          <w:noProof/>
        </w:rPr>
        <w:t xml:space="preserve">; </w:t>
      </w:r>
      <w:r w:rsidRPr="00805192">
        <w:rPr>
          <w:rFonts w:cstheme="minorBidi"/>
        </w:rPr>
        <w:t>Briggs and Olney, 2001</w:t>
      </w:r>
      <w:r>
        <w:rPr>
          <w:noProof/>
        </w:rPr>
        <w:t>)</w:t>
      </w:r>
      <w:r w:rsidRPr="00747A19">
        <w:t xml:space="preserve">. These sensors initiate downstream physiological and metabolic changes </w:t>
      </w:r>
      <w:r>
        <w:rPr>
          <w:noProof/>
        </w:rPr>
        <w:t>(</w:t>
      </w:r>
      <w:r w:rsidRPr="00805192">
        <w:rPr>
          <w:rFonts w:cstheme="minorBidi"/>
        </w:rPr>
        <w:t>Chen et al., 2004</w:t>
      </w:r>
      <w:r>
        <w:rPr>
          <w:noProof/>
        </w:rPr>
        <w:t xml:space="preserve">; </w:t>
      </w:r>
      <w:r w:rsidRPr="00805192">
        <w:rPr>
          <w:rFonts w:cstheme="minorBidi"/>
        </w:rPr>
        <w:t>Casal and Yanovsky, 2005</w:t>
      </w:r>
      <w:r>
        <w:rPr>
          <w:noProof/>
        </w:rPr>
        <w:t xml:space="preserve">; </w:t>
      </w:r>
      <w:r w:rsidRPr="00805192">
        <w:rPr>
          <w:rFonts w:cstheme="minorBidi"/>
        </w:rPr>
        <w:t>Rockwell et al., 2006</w:t>
      </w:r>
      <w:r>
        <w:rPr>
          <w:noProof/>
        </w:rPr>
        <w:t>)</w:t>
      </w:r>
      <w:r w:rsidRPr="00747A19">
        <w:t xml:space="preserve">. For example, isoprenoid and </w:t>
      </w:r>
      <w:r w:rsidRPr="00747A19">
        <w:lastRenderedPageBreak/>
        <w:t xml:space="preserve">phenylpropanoid synthesis are differentially affected by the spectral quality of light received </w:t>
      </w:r>
      <w:r>
        <w:rPr>
          <w:noProof/>
        </w:rPr>
        <w:t>(</w:t>
      </w:r>
      <w:r w:rsidRPr="00805192">
        <w:rPr>
          <w:rFonts w:cstheme="minorBidi"/>
        </w:rPr>
        <w:t>Bourgaud et al., 2001</w:t>
      </w:r>
      <w:r>
        <w:rPr>
          <w:noProof/>
        </w:rPr>
        <w:t xml:space="preserve">; </w:t>
      </w:r>
      <w:r w:rsidRPr="00805192">
        <w:rPr>
          <w:rFonts w:cstheme="minorBidi"/>
        </w:rPr>
        <w:t>Vranova et al., 2012</w:t>
      </w:r>
      <w:r>
        <w:rPr>
          <w:noProof/>
        </w:rPr>
        <w:t xml:space="preserve">; </w:t>
      </w:r>
      <w:r w:rsidRPr="00805192">
        <w:rPr>
          <w:rFonts w:cstheme="minorBidi"/>
        </w:rPr>
        <w:t>Lu et al., 2017</w:t>
      </w:r>
      <w:r>
        <w:rPr>
          <w:noProof/>
        </w:rPr>
        <w:t>)</w:t>
      </w:r>
      <w:r w:rsidRPr="00747A19">
        <w:t xml:space="preserve">. Overlapping interactions between narrowband wavelengths have been shown to cause synergistic or antagonistic effects on primary and secondary metabolic pathways </w:t>
      </w:r>
      <w:r>
        <w:rPr>
          <w:noProof/>
        </w:rPr>
        <w:t>(</w:t>
      </w:r>
      <w:r w:rsidRPr="00805192">
        <w:rPr>
          <w:rFonts w:cstheme="minorBidi"/>
        </w:rPr>
        <w:t>Colquhoun et al., 2013</w:t>
      </w:r>
      <w:r>
        <w:rPr>
          <w:noProof/>
        </w:rPr>
        <w:t xml:space="preserve">; </w:t>
      </w:r>
      <w:r w:rsidRPr="00805192">
        <w:rPr>
          <w:rFonts w:cstheme="minorBidi"/>
        </w:rPr>
        <w:t>Carvalho et al., 2016</w:t>
      </w:r>
      <w:r>
        <w:rPr>
          <w:noProof/>
        </w:rPr>
        <w:t xml:space="preserve">; </w:t>
      </w:r>
      <w:r w:rsidRPr="00805192">
        <w:rPr>
          <w:rFonts w:cstheme="minorBidi"/>
        </w:rPr>
        <w:t>Pennisi et al., 2019a</w:t>
      </w:r>
      <w:r>
        <w:rPr>
          <w:noProof/>
        </w:rPr>
        <w:t>)</w:t>
      </w:r>
      <w:r w:rsidRPr="00747A19">
        <w:t>.</w:t>
      </w:r>
    </w:p>
    <w:p w14:paraId="280DB0FA" w14:textId="77777777" w:rsidR="00126D8D" w:rsidRPr="00747A19" w:rsidRDefault="00126D8D" w:rsidP="00182739">
      <w:pPr>
        <w:pStyle w:val="MSThesisBodyTextJustified"/>
      </w:pPr>
      <w:r w:rsidRPr="00747A19">
        <w:t xml:space="preserve">Discrete narrowband wavelengths within the natural solar spectrum are known to play an important role in the quality of plants, affecting flavor, aroma, color, texture, and other human sensory aspects </w:t>
      </w:r>
      <w:r>
        <w:rPr>
          <w:noProof/>
        </w:rPr>
        <w:t>(</w:t>
      </w:r>
      <w:r w:rsidRPr="00805192">
        <w:rPr>
          <w:rFonts w:cstheme="minorBidi"/>
        </w:rPr>
        <w:t>Kelly and Runkle, 2020</w:t>
      </w:r>
      <w:r>
        <w:rPr>
          <w:noProof/>
        </w:rPr>
        <w:t xml:space="preserve">; </w:t>
      </w:r>
      <w:r w:rsidRPr="00805192">
        <w:rPr>
          <w:rFonts w:cstheme="minorBidi"/>
        </w:rPr>
        <w:t>Hammock et al., 2021</w:t>
      </w:r>
      <w:r>
        <w:rPr>
          <w:noProof/>
        </w:rPr>
        <w:t xml:space="preserve">; </w:t>
      </w:r>
      <w:r w:rsidRPr="00805192">
        <w:rPr>
          <w:rFonts w:cstheme="minorBidi"/>
        </w:rPr>
        <w:t>Paradiso and Proietti, 2021</w:t>
      </w:r>
      <w:r>
        <w:rPr>
          <w:noProof/>
        </w:rPr>
        <w:t>)</w:t>
      </w:r>
      <w:r w:rsidRPr="00747A19">
        <w:t xml:space="preserve">. Altering the spectral quality of light provided to greenhouse crops, whether that be using filters or </w:t>
      </w:r>
      <w:r>
        <w:t>supplemental lighting (SL)</w:t>
      </w:r>
      <w:r w:rsidRPr="00747A19">
        <w:t xml:space="preserve">, can directly influence secondary metabolic pathways </w:t>
      </w:r>
      <w:r w:rsidRPr="00747A19">
        <w:rPr>
          <w:noProof/>
        </w:rPr>
        <w:t>(</w:t>
      </w:r>
      <w:r w:rsidRPr="00805192">
        <w:rPr>
          <w:rFonts w:cstheme="minorBidi"/>
        </w:rPr>
        <w:t>Ouzounis et al., 2015</w:t>
      </w:r>
      <w:r w:rsidRPr="00747A19">
        <w:rPr>
          <w:noProof/>
        </w:rPr>
        <w:t xml:space="preserve">; </w:t>
      </w:r>
      <w:r w:rsidRPr="00805192">
        <w:rPr>
          <w:rFonts w:cstheme="minorBidi"/>
        </w:rPr>
        <w:t>Pennisi et al., 2019a</w:t>
      </w:r>
      <w:r w:rsidRPr="00747A19">
        <w:rPr>
          <w:noProof/>
        </w:rPr>
        <w:t>)</w:t>
      </w:r>
      <w:r w:rsidRPr="00747A19">
        <w:t xml:space="preserve">. Different wavelengths of light have been shown to produce other effects in high-value specialty crops such as herbs </w:t>
      </w:r>
      <w:r>
        <w:rPr>
          <w:noProof/>
        </w:rPr>
        <w:t>(</w:t>
      </w:r>
      <w:r w:rsidRPr="00805192">
        <w:rPr>
          <w:rFonts w:cstheme="minorBidi"/>
        </w:rPr>
        <w:t>Dou et al., 2017</w:t>
      </w:r>
      <w:r>
        <w:rPr>
          <w:noProof/>
        </w:rPr>
        <w:t xml:space="preserve">; </w:t>
      </w:r>
      <w:r w:rsidRPr="00805192">
        <w:rPr>
          <w:rFonts w:cstheme="minorBidi"/>
        </w:rPr>
        <w:t>Pennisi et al., 2019b</w:t>
      </w:r>
      <w:r>
        <w:rPr>
          <w:noProof/>
        </w:rPr>
        <w:t xml:space="preserve">; </w:t>
      </w:r>
      <w:r w:rsidRPr="00805192">
        <w:rPr>
          <w:rFonts w:cstheme="minorBidi"/>
        </w:rPr>
        <w:t>Larsen et al., 2020</w:t>
      </w:r>
      <w:r>
        <w:rPr>
          <w:noProof/>
        </w:rPr>
        <w:t>)</w:t>
      </w:r>
      <w:r w:rsidRPr="00747A19">
        <w:t xml:space="preserve">, spices </w:t>
      </w:r>
      <w:r w:rsidRPr="00747A19">
        <w:rPr>
          <w:noProof/>
        </w:rPr>
        <w:t>(</w:t>
      </w:r>
      <w:r w:rsidRPr="00805192">
        <w:rPr>
          <w:rFonts w:cstheme="minorBidi"/>
        </w:rPr>
        <w:t>Dou et al., 2017</w:t>
      </w:r>
      <w:r w:rsidRPr="00747A19">
        <w:rPr>
          <w:noProof/>
        </w:rPr>
        <w:t>)</w:t>
      </w:r>
      <w:r w:rsidRPr="00747A19">
        <w:t xml:space="preserve">, flowers </w:t>
      </w:r>
      <w:r>
        <w:rPr>
          <w:noProof/>
        </w:rPr>
        <w:t>(</w:t>
      </w:r>
      <w:r w:rsidRPr="00805192">
        <w:rPr>
          <w:rFonts w:cstheme="minorBidi"/>
        </w:rPr>
        <w:t>Colquhoun et al., 2010</w:t>
      </w:r>
      <w:r>
        <w:rPr>
          <w:noProof/>
        </w:rPr>
        <w:t xml:space="preserve">; </w:t>
      </w:r>
      <w:r w:rsidRPr="00805192">
        <w:rPr>
          <w:rFonts w:cstheme="minorBidi"/>
        </w:rPr>
        <w:t>Currey et al., 2012</w:t>
      </w:r>
      <w:r>
        <w:rPr>
          <w:noProof/>
        </w:rPr>
        <w:t xml:space="preserve">; </w:t>
      </w:r>
      <w:r w:rsidRPr="00805192">
        <w:rPr>
          <w:rFonts w:cstheme="minorBidi"/>
        </w:rPr>
        <w:t>Colquhoun et al., 2013</w:t>
      </w:r>
      <w:r>
        <w:rPr>
          <w:noProof/>
        </w:rPr>
        <w:t>)</w:t>
      </w:r>
      <w:r w:rsidRPr="00747A19">
        <w:t xml:space="preserve">, strawberries </w:t>
      </w:r>
      <w:r w:rsidRPr="00747A19">
        <w:rPr>
          <w:noProof/>
        </w:rPr>
        <w:t>(</w:t>
      </w:r>
      <w:r w:rsidRPr="00805192">
        <w:rPr>
          <w:rFonts w:cstheme="minorBidi"/>
        </w:rPr>
        <w:t>Kasperbauer et al., 2001</w:t>
      </w:r>
      <w:r w:rsidRPr="00747A19">
        <w:rPr>
          <w:noProof/>
        </w:rPr>
        <w:t>)</w:t>
      </w:r>
      <w:r w:rsidRPr="00747A19">
        <w:t xml:space="preserve">, tomatoes </w:t>
      </w:r>
      <w:r>
        <w:rPr>
          <w:noProof/>
        </w:rPr>
        <w:t>(</w:t>
      </w:r>
      <w:r w:rsidRPr="00805192">
        <w:rPr>
          <w:rFonts w:cstheme="minorBidi"/>
        </w:rPr>
        <w:t>Gómez and Mitchell, 2014</w:t>
      </w:r>
      <w:r>
        <w:rPr>
          <w:noProof/>
        </w:rPr>
        <w:t xml:space="preserve">; </w:t>
      </w:r>
      <w:r w:rsidRPr="00805192">
        <w:rPr>
          <w:rFonts w:cstheme="minorBidi"/>
        </w:rPr>
        <w:t>Kaiser et al., 2018</w:t>
      </w:r>
      <w:r>
        <w:rPr>
          <w:noProof/>
        </w:rPr>
        <w:t xml:space="preserve">; </w:t>
      </w:r>
      <w:r w:rsidRPr="00805192">
        <w:rPr>
          <w:rFonts w:cstheme="minorBidi"/>
        </w:rPr>
        <w:t>Dannehl et al., 2021</w:t>
      </w:r>
      <w:r>
        <w:rPr>
          <w:noProof/>
        </w:rPr>
        <w:t>)</w:t>
      </w:r>
      <w:r w:rsidRPr="00747A19">
        <w:t xml:space="preserve">, and tea leaves </w:t>
      </w:r>
      <w:r w:rsidRPr="00747A19">
        <w:rPr>
          <w:noProof/>
        </w:rPr>
        <w:t>(</w:t>
      </w:r>
      <w:r w:rsidRPr="00805192">
        <w:rPr>
          <w:rFonts w:cstheme="minorBidi"/>
        </w:rPr>
        <w:t>Fu et al., 2015</w:t>
      </w:r>
      <w:r w:rsidRPr="00747A19">
        <w:rPr>
          <w:noProof/>
        </w:rPr>
        <w:t>)</w:t>
      </w:r>
      <w:r w:rsidRPr="00747A19">
        <w:t xml:space="preserve">; </w:t>
      </w:r>
      <w:r>
        <w:t xml:space="preserve">all of these crops could utilize variable </w:t>
      </w:r>
      <w:r w:rsidRPr="00747A19">
        <w:t xml:space="preserve">light exposure </w:t>
      </w:r>
      <w:r>
        <w:t>to</w:t>
      </w:r>
      <w:r w:rsidRPr="00747A19">
        <w:t xml:space="preserve"> modify volatile metabolites responsible for their sensory qualities </w:t>
      </w:r>
      <w:r w:rsidRPr="00747A19">
        <w:rPr>
          <w:noProof/>
        </w:rPr>
        <w:t>(</w:t>
      </w:r>
      <w:r w:rsidRPr="00805192">
        <w:rPr>
          <w:rFonts w:cstheme="minorBidi"/>
        </w:rPr>
        <w:t>Carvalho et al., 2016</w:t>
      </w:r>
      <w:r w:rsidRPr="00747A19">
        <w:rPr>
          <w:noProof/>
        </w:rPr>
        <w:t>)</w:t>
      </w:r>
      <w:r w:rsidRPr="00747A19">
        <w:t xml:space="preserve">. For example, narrowband red and blue wavelengths are known to improve the sensory quality of certain crops. Manipulating the spectral quality of greenhouse crops using </w:t>
      </w:r>
      <w:r>
        <w:t>SL</w:t>
      </w:r>
      <w:r w:rsidRPr="00747A19">
        <w:t xml:space="preserve"> has been shown to enhance the production of secondary metabolites, which can be used for culinary, medicinal, and commercial purposes </w:t>
      </w:r>
      <w:r w:rsidRPr="00747A19">
        <w:rPr>
          <w:noProof/>
        </w:rPr>
        <w:t>(</w:t>
      </w:r>
      <w:r w:rsidRPr="00805192">
        <w:rPr>
          <w:rFonts w:cstheme="minorBidi"/>
        </w:rPr>
        <w:t>Holopainen et al., 2018</w:t>
      </w:r>
      <w:r w:rsidRPr="00747A19">
        <w:rPr>
          <w:noProof/>
        </w:rPr>
        <w:t>)</w:t>
      </w:r>
      <w:r w:rsidRPr="00747A19">
        <w:t>.</w:t>
      </w:r>
    </w:p>
    <w:p w14:paraId="304B20E4" w14:textId="77777777" w:rsidR="00126D8D" w:rsidRPr="00747A19" w:rsidRDefault="00126D8D" w:rsidP="00182739">
      <w:pPr>
        <w:pStyle w:val="MSThesisBodyTextJustified"/>
      </w:pPr>
      <w:r w:rsidRPr="00747A19">
        <w:t xml:space="preserve">Horticultural lighting systems are sometimes employed in greenhouse operations when natural light intensity and/or spectral quality are insufficient for sustained plant growth and development </w:t>
      </w:r>
      <w:r w:rsidRPr="00747A19">
        <w:rPr>
          <w:noProof/>
        </w:rPr>
        <w:t>(</w:t>
      </w:r>
      <w:r w:rsidRPr="00805192">
        <w:rPr>
          <w:rFonts w:cstheme="minorBidi"/>
        </w:rPr>
        <w:t>Faust et al., 2005</w:t>
      </w:r>
      <w:r w:rsidRPr="00747A19">
        <w:rPr>
          <w:noProof/>
        </w:rPr>
        <w:t xml:space="preserve">; </w:t>
      </w:r>
      <w:r w:rsidRPr="00805192">
        <w:rPr>
          <w:rFonts w:cstheme="minorBidi"/>
        </w:rPr>
        <w:t>Sipos et al., 2020</w:t>
      </w:r>
      <w:r w:rsidRPr="00747A19">
        <w:rPr>
          <w:noProof/>
        </w:rPr>
        <w:t>)</w:t>
      </w:r>
      <w:r w:rsidRPr="00747A19">
        <w:t xml:space="preserve">. It is well known that solar spectral quality, </w:t>
      </w:r>
      <w:r w:rsidRPr="00747A19">
        <w:lastRenderedPageBreak/>
        <w:t xml:space="preserve">irradiance, daily light integral (DLI), and photoperiod are variable depending on the time of day, the year, location, and local weather patterns </w:t>
      </w:r>
      <w:r>
        <w:rPr>
          <w:noProof/>
        </w:rPr>
        <w:t>(</w:t>
      </w:r>
      <w:r w:rsidRPr="00805192">
        <w:rPr>
          <w:rFonts w:cstheme="minorBidi"/>
        </w:rPr>
        <w:t>Korczynski et al., 2002</w:t>
      </w:r>
      <w:r>
        <w:rPr>
          <w:noProof/>
        </w:rPr>
        <w:t xml:space="preserve">; </w:t>
      </w:r>
      <w:r w:rsidRPr="00805192">
        <w:rPr>
          <w:rFonts w:cstheme="minorBidi"/>
        </w:rPr>
        <w:t>Thorne et al., 2009</w:t>
      </w:r>
      <w:r>
        <w:rPr>
          <w:noProof/>
        </w:rPr>
        <w:t xml:space="preserve">; </w:t>
      </w:r>
      <w:r w:rsidRPr="00805192">
        <w:rPr>
          <w:rFonts w:cstheme="minorBidi"/>
        </w:rPr>
        <w:t>Faust and Logan, 2018</w:t>
      </w:r>
      <w:r>
        <w:rPr>
          <w:noProof/>
        </w:rPr>
        <w:t>)</w:t>
      </w:r>
      <w:r w:rsidRPr="00747A19">
        <w:t xml:space="preserve">. Numerous studies have proven that such </w:t>
      </w:r>
      <w:r>
        <w:t xml:space="preserve">SL </w:t>
      </w:r>
      <w:r w:rsidRPr="00747A19">
        <w:t xml:space="preserve">can noticeably improve both the yield and quality of various high-value specialty crops </w:t>
      </w:r>
      <w:r w:rsidRPr="00747A19">
        <w:rPr>
          <w:noProof/>
        </w:rPr>
        <w:t>(</w:t>
      </w:r>
      <w:r w:rsidRPr="00805192">
        <w:rPr>
          <w:rFonts w:cstheme="minorBidi"/>
        </w:rPr>
        <w:t>Morrow, 2008</w:t>
      </w:r>
      <w:r w:rsidRPr="00747A19">
        <w:rPr>
          <w:noProof/>
        </w:rPr>
        <w:t xml:space="preserve">; </w:t>
      </w:r>
      <w:r w:rsidRPr="00805192">
        <w:rPr>
          <w:rFonts w:cstheme="minorBidi"/>
        </w:rPr>
        <w:t>Singh et al., 2015</w:t>
      </w:r>
      <w:r w:rsidRPr="00747A19">
        <w:rPr>
          <w:noProof/>
        </w:rPr>
        <w:t>)</w:t>
      </w:r>
      <w:r w:rsidRPr="00747A19">
        <w:t xml:space="preserve">. However, it is important to use the correct spectral qualities for each application to maximize plant performance, as many light responses are species-specific </w:t>
      </w:r>
      <w:r>
        <w:rPr>
          <w:noProof/>
        </w:rPr>
        <w:t>(</w:t>
      </w:r>
      <w:r w:rsidRPr="00805192">
        <w:rPr>
          <w:rFonts w:cstheme="minorBidi"/>
        </w:rPr>
        <w:t>Taulavuori et al., 2016a</w:t>
      </w:r>
      <w:r>
        <w:rPr>
          <w:noProof/>
        </w:rPr>
        <w:t xml:space="preserve">; </w:t>
      </w:r>
      <w:r w:rsidRPr="00805192">
        <w:rPr>
          <w:rFonts w:cstheme="minorBidi"/>
        </w:rPr>
        <w:t>Kyriacou et al., 2019</w:t>
      </w:r>
      <w:r>
        <w:rPr>
          <w:noProof/>
        </w:rPr>
        <w:t xml:space="preserve">; </w:t>
      </w:r>
      <w:r w:rsidRPr="00805192">
        <w:rPr>
          <w:rFonts w:cstheme="minorBidi"/>
        </w:rPr>
        <w:t>Santin et al., 2021</w:t>
      </w:r>
      <w:r>
        <w:rPr>
          <w:noProof/>
        </w:rPr>
        <w:t>)</w:t>
      </w:r>
      <w:r w:rsidRPr="00747A19">
        <w:t xml:space="preserve">. Despite being costly to purchase, maintain, and operate, commercial greenhouses lighting systems can be used to create the best possible conditions for growth. They can also be used to enhance the natural solar spectrum and impart desirable metabolic effects, such as the accumulation of aroma compounds and phytonutrients with known human health benefits </w:t>
      </w:r>
      <w:r>
        <w:rPr>
          <w:noProof/>
        </w:rPr>
        <w:t>(</w:t>
      </w:r>
      <w:r w:rsidRPr="00805192">
        <w:rPr>
          <w:rFonts w:cstheme="minorBidi"/>
        </w:rPr>
        <w:t>Rao and Rao, 2007</w:t>
      </w:r>
      <w:r>
        <w:rPr>
          <w:noProof/>
        </w:rPr>
        <w:t xml:space="preserve">; </w:t>
      </w:r>
      <w:r w:rsidRPr="00805192">
        <w:rPr>
          <w:rFonts w:cstheme="minorBidi"/>
        </w:rPr>
        <w:t>Poiroux-Gonord et al., 2010</w:t>
      </w:r>
      <w:r>
        <w:rPr>
          <w:noProof/>
        </w:rPr>
        <w:t xml:space="preserve">; </w:t>
      </w:r>
      <w:r w:rsidRPr="00805192">
        <w:rPr>
          <w:rFonts w:cstheme="minorBidi"/>
        </w:rPr>
        <w:t>Petrovic et al., 2019</w:t>
      </w:r>
      <w:r>
        <w:rPr>
          <w:noProof/>
        </w:rPr>
        <w:t>)</w:t>
      </w:r>
      <w:r w:rsidRPr="00747A19">
        <w:t xml:space="preserve">. By analyzing the impact of specific wavelengths created by existing greenhouse lighting systems on plant metabolism, we can develop energy-efficient </w:t>
      </w:r>
      <w:r>
        <w:t>SL</w:t>
      </w:r>
      <w:r w:rsidRPr="00747A19">
        <w:t xml:space="preserve"> strategies to enhance yields and the overall sensory quality of many high-value specialty crops. </w:t>
      </w:r>
    </w:p>
    <w:p w14:paraId="4D399BE6" w14:textId="77777777" w:rsidR="00126D8D" w:rsidRPr="00747A19" w:rsidRDefault="00126D8D" w:rsidP="00182739">
      <w:pPr>
        <w:pStyle w:val="MSThesisBodyTextJustified"/>
      </w:pPr>
      <w:r w:rsidRPr="00747A19">
        <w:t xml:space="preserve">One of the most popular and highly valued annual culinary herbs is sweet basil. It has a complex and unique aroma profile desired by professional chefs and restaurants worldwide </w:t>
      </w:r>
      <w:r>
        <w:rPr>
          <w:noProof/>
        </w:rPr>
        <w:t>(</w:t>
      </w:r>
      <w:r w:rsidRPr="00805192">
        <w:rPr>
          <w:rFonts w:cstheme="minorBidi"/>
        </w:rPr>
        <w:t>Putievsky and Galambosi, 1999</w:t>
      </w:r>
      <w:r>
        <w:rPr>
          <w:noProof/>
        </w:rPr>
        <w:t xml:space="preserve">; </w:t>
      </w:r>
      <w:r w:rsidRPr="00805192">
        <w:rPr>
          <w:rFonts w:cstheme="minorBidi"/>
        </w:rPr>
        <w:t>Hiltunen and Holm, 2003</w:t>
      </w:r>
      <w:r>
        <w:rPr>
          <w:noProof/>
        </w:rPr>
        <w:t>)</w:t>
      </w:r>
      <w:r w:rsidRPr="00747A19">
        <w:t xml:space="preserve">. It has a high harvest index and profit margin, is relatively easy to grow, and is well adapted for commercial greenhouse hydroponics and other </w:t>
      </w:r>
      <w:r>
        <w:t>controlled environment agriculture (</w:t>
      </w:r>
      <w:r w:rsidRPr="00747A19">
        <w:t>CEA</w:t>
      </w:r>
      <w:r>
        <w:t>)</w:t>
      </w:r>
      <w:r w:rsidRPr="00747A19">
        <w:t xml:space="preserve"> systems </w:t>
      </w:r>
      <w:r w:rsidRPr="00747A19">
        <w:rPr>
          <w:noProof/>
        </w:rPr>
        <w:t>(</w:t>
      </w:r>
      <w:r w:rsidRPr="00805192">
        <w:rPr>
          <w:rFonts w:cstheme="minorBidi"/>
        </w:rPr>
        <w:t>Sipos et al., 2021</w:t>
      </w:r>
      <w:r w:rsidRPr="00747A19">
        <w:rPr>
          <w:noProof/>
        </w:rPr>
        <w:t>)</w:t>
      </w:r>
      <w:r w:rsidRPr="00747A19">
        <w:t xml:space="preserve">. The use of greenhouse hydroponics to cultivate basil can provide ideal climate and nutrient conditions that could help diminish any changes in plant growth or development caused by seasonal variations in environmental conditions </w:t>
      </w:r>
      <w:r>
        <w:rPr>
          <w:noProof/>
        </w:rPr>
        <w:t>(</w:t>
      </w:r>
      <w:r w:rsidRPr="00805192">
        <w:rPr>
          <w:rFonts w:cstheme="minorBidi"/>
        </w:rPr>
        <w:t>Kopsell et al., 2005</w:t>
      </w:r>
      <w:r>
        <w:rPr>
          <w:noProof/>
        </w:rPr>
        <w:t xml:space="preserve">; </w:t>
      </w:r>
      <w:r w:rsidRPr="00805192">
        <w:rPr>
          <w:rFonts w:cstheme="minorBidi"/>
        </w:rPr>
        <w:t>Kiferle et al., 2013</w:t>
      </w:r>
      <w:r>
        <w:rPr>
          <w:noProof/>
        </w:rPr>
        <w:t>)</w:t>
      </w:r>
      <w:r w:rsidRPr="00747A19">
        <w:t xml:space="preserve">. Basil is rich in phenolic and terpenoid compounds, many of which are important for human sensory perception and possess </w:t>
      </w:r>
      <w:r w:rsidRPr="00747A19">
        <w:lastRenderedPageBreak/>
        <w:t xml:space="preserve">human health benefits </w:t>
      </w:r>
      <w:r w:rsidRPr="00747A19">
        <w:rPr>
          <w:noProof/>
        </w:rPr>
        <w:t>(</w:t>
      </w:r>
      <w:r w:rsidRPr="00805192">
        <w:rPr>
          <w:rFonts w:cstheme="minorBidi"/>
        </w:rPr>
        <w:t>Pattison et al., 2018</w:t>
      </w:r>
      <w:r w:rsidRPr="00747A19">
        <w:rPr>
          <w:noProof/>
        </w:rPr>
        <w:t>)</w:t>
      </w:r>
      <w:r w:rsidRPr="00747A19">
        <w:t xml:space="preserve">.  The ‘Italian Large Leaf’ variety is known for its strong and intense flavor, vigorous growth, and large leaves, with extensive use in Western and Mediterranean cuisines </w:t>
      </w:r>
      <w:r w:rsidRPr="00747A19">
        <w:rPr>
          <w:noProof/>
        </w:rPr>
        <w:t>(</w:t>
      </w:r>
      <w:r w:rsidRPr="00805192">
        <w:rPr>
          <w:rFonts w:cstheme="minorBidi"/>
        </w:rPr>
        <w:t>Shanmugam et al., 2018</w:t>
      </w:r>
      <w:r w:rsidRPr="00747A19">
        <w:rPr>
          <w:noProof/>
        </w:rPr>
        <w:t>)</w:t>
      </w:r>
      <w:r w:rsidRPr="00747A19">
        <w:t xml:space="preserve">. Because of its popularity, demand, and intense VOC profile, sweet basil makes for an excellent model crop to explore the interactions of </w:t>
      </w:r>
      <w:r>
        <w:t>SL</w:t>
      </w:r>
      <w:r w:rsidRPr="00747A19">
        <w:t xml:space="preserve">, the natural solar spectrum, and secondary metabolic resource allocation. </w:t>
      </w:r>
    </w:p>
    <w:p w14:paraId="361EB4ED" w14:textId="77777777" w:rsidR="00126D8D" w:rsidRPr="00747A19" w:rsidRDefault="00126D8D" w:rsidP="00182739">
      <w:pPr>
        <w:pStyle w:val="MSThesisBodyTextJustified"/>
      </w:pPr>
      <w:r w:rsidRPr="00747A19">
        <w:t xml:space="preserve">The intricacy of sweet basil's taxonomy is due to its hybridization, mislabeling, and abundance of cultivars </w:t>
      </w:r>
      <w:r w:rsidRPr="00747A19">
        <w:rPr>
          <w:noProof/>
        </w:rPr>
        <w:t>(</w:t>
      </w:r>
      <w:r w:rsidRPr="00805192">
        <w:rPr>
          <w:rFonts w:cstheme="minorBidi"/>
        </w:rPr>
        <w:t>Sipos et al., 2021</w:t>
      </w:r>
      <w:r w:rsidRPr="00747A19">
        <w:rPr>
          <w:noProof/>
        </w:rPr>
        <w:t>)</w:t>
      </w:r>
      <w:r w:rsidRPr="00747A19">
        <w:t xml:space="preserve">. Recent studies have highlighted that even though these cultivars may look alike and often share the same name, they are genetically distinct from one another. Variations in the genetic background will profoundly impact light-mediated responses associated with secondary metabolism and aroma volatiles </w:t>
      </w:r>
      <w:r>
        <w:rPr>
          <w:noProof/>
        </w:rPr>
        <w:t>(</w:t>
      </w:r>
      <w:r w:rsidRPr="00805192">
        <w:rPr>
          <w:rFonts w:cstheme="minorBidi"/>
        </w:rPr>
        <w:t>De Masi et al., 2006</w:t>
      </w:r>
      <w:r>
        <w:rPr>
          <w:noProof/>
        </w:rPr>
        <w:t xml:space="preserve">; </w:t>
      </w:r>
      <w:r w:rsidRPr="00805192">
        <w:rPr>
          <w:rFonts w:cstheme="minorBidi"/>
        </w:rPr>
        <w:t>Bernhardt et al., 2015</w:t>
      </w:r>
      <w:r>
        <w:rPr>
          <w:noProof/>
        </w:rPr>
        <w:t>)</w:t>
      </w:r>
      <w:r w:rsidRPr="00747A19">
        <w:t xml:space="preserve">. The optimization of basil production in controlled environments depends on many factors, specifically the intensity and spectral quality of light provided. </w:t>
      </w:r>
    </w:p>
    <w:p w14:paraId="530FB0ED" w14:textId="77777777" w:rsidR="00126D8D" w:rsidRPr="00747A19" w:rsidRDefault="00126D8D" w:rsidP="00182739">
      <w:pPr>
        <w:pStyle w:val="MSThesisBodyTextJustified"/>
      </w:pPr>
      <w:r w:rsidRPr="00747A19">
        <w:t xml:space="preserve">Light-emitting diodes (LEDs) allow growers to precisely provide discrete narrowband wavelengths to their crops compared to traditional broadband lighting systems (i.e., high-pressure sodium). Spectral manipulation using LEDs can be used to alter the traits of basil, including its biomass and morphology, as well as its biochemical composition during growth and post-harvest </w:t>
      </w:r>
      <w:r w:rsidRPr="00747A19">
        <w:rPr>
          <w:noProof/>
        </w:rPr>
        <w:t>(</w:t>
      </w:r>
      <w:r w:rsidRPr="00805192">
        <w:rPr>
          <w:rFonts w:cstheme="minorBidi"/>
        </w:rPr>
        <w:t>Hasan et al., 2017</w:t>
      </w:r>
      <w:r w:rsidRPr="00747A19">
        <w:rPr>
          <w:noProof/>
        </w:rPr>
        <w:t xml:space="preserve">; </w:t>
      </w:r>
      <w:r w:rsidRPr="00805192">
        <w:rPr>
          <w:rFonts w:cstheme="minorBidi"/>
        </w:rPr>
        <w:t>Sipos et al., 2020</w:t>
      </w:r>
      <w:r w:rsidRPr="00747A19">
        <w:rPr>
          <w:noProof/>
        </w:rPr>
        <w:t>)</w:t>
      </w:r>
      <w:r w:rsidRPr="00747A19">
        <w:t xml:space="preserve">. The potential for this physiological manipulation has been demonstrated with increases in total phenolic and isoprenoid concentrations when using narrowband blue and red </w:t>
      </w:r>
      <w:r>
        <w:t xml:space="preserve">light </w:t>
      </w:r>
      <w:r w:rsidRPr="00747A19">
        <w:t xml:space="preserve">supplements. Research has shown that the addition of yellow </w:t>
      </w:r>
      <w:r>
        <w:t>and/</w:t>
      </w:r>
      <w:r w:rsidRPr="00747A19">
        <w:t xml:space="preserve">or green wavelengths to blue and red wavelengths increased several monoterpenes, sesquiterpenes, and phenylpropanoids in basil compared with blue and red wavelength spectra </w:t>
      </w:r>
      <w:r>
        <w:rPr>
          <w:noProof/>
        </w:rPr>
        <w:t>(</w:t>
      </w:r>
      <w:r w:rsidRPr="00805192">
        <w:rPr>
          <w:rFonts w:cstheme="minorBidi"/>
        </w:rPr>
        <w:t>Stagnari et al., 2018</w:t>
      </w:r>
      <w:r>
        <w:rPr>
          <w:noProof/>
        </w:rPr>
        <w:t xml:space="preserve">; </w:t>
      </w:r>
      <w:r w:rsidRPr="00805192">
        <w:rPr>
          <w:rFonts w:cstheme="minorBidi"/>
        </w:rPr>
        <w:t>Sipos et al., 2020</w:t>
      </w:r>
      <w:r>
        <w:rPr>
          <w:noProof/>
        </w:rPr>
        <w:t xml:space="preserve">; </w:t>
      </w:r>
      <w:r w:rsidRPr="00805192">
        <w:rPr>
          <w:rFonts w:cstheme="minorBidi"/>
        </w:rPr>
        <w:t>Kivimaenpa et al., 2022</w:t>
      </w:r>
      <w:r>
        <w:rPr>
          <w:noProof/>
        </w:rPr>
        <w:t>)</w:t>
      </w:r>
      <w:r w:rsidRPr="00747A19">
        <w:t xml:space="preserve">. Further, many studies have </w:t>
      </w:r>
      <w:r>
        <w:t>demonstrated</w:t>
      </w:r>
      <w:r w:rsidRPr="00747A19">
        <w:t xml:space="preserve"> the species-specific (in some cases, even variety-specific) nature of secondary metabolic responses to </w:t>
      </w:r>
      <w:r w:rsidRPr="00747A19">
        <w:lastRenderedPageBreak/>
        <w:t xml:space="preserve">narrowband wavelengths, warranting further investigation of both phenolics and terpenoids in basil and other high-value specialty crops </w:t>
      </w:r>
      <w:r w:rsidRPr="00747A19">
        <w:rPr>
          <w:noProof/>
        </w:rPr>
        <w:t>(</w:t>
      </w:r>
      <w:r w:rsidRPr="00805192">
        <w:rPr>
          <w:rFonts w:cstheme="minorBidi"/>
        </w:rPr>
        <w:t>Kyriacou et al., 2019</w:t>
      </w:r>
      <w:r w:rsidRPr="00747A19">
        <w:rPr>
          <w:noProof/>
        </w:rPr>
        <w:t xml:space="preserve">; </w:t>
      </w:r>
      <w:r w:rsidRPr="00805192">
        <w:rPr>
          <w:rFonts w:cstheme="minorBidi"/>
        </w:rPr>
        <w:t>Toscano et al., 2021</w:t>
      </w:r>
      <w:r w:rsidRPr="00747A19">
        <w:rPr>
          <w:noProof/>
        </w:rPr>
        <w:t>)</w:t>
      </w:r>
      <w:r w:rsidRPr="00747A19">
        <w:t xml:space="preserve">. Because of their importance in human sensory perception, the phenolic and terpenoid pathways should be thoroughly evaluated using various analytical and molecular techniques, since light-mediated secondary metabolic resource allocation will impact the expression/bioaccumulation of certain compounds as well as entire secondary metabolic pathways. To date, no published scientific investigations have explored the impact of discrete supplemental narrowband wavelengths and broadband lighting sources on the aroma volatile profile of 'Italian Large Leaf' basil across the changing natural solar spectrum under glass greenhouses across growing seasons. </w:t>
      </w:r>
    </w:p>
    <w:p w14:paraId="1C036338" w14:textId="77777777" w:rsidR="00126D8D" w:rsidRPr="00747A19" w:rsidRDefault="00126D8D" w:rsidP="00182739">
      <w:pPr>
        <w:pStyle w:val="MSThesisBodyTextJustified"/>
      </w:pPr>
      <w:r w:rsidRPr="00747A19">
        <w:t xml:space="preserve">With this in mind, we designed a set of experiments to determine the overall impact of spectral quality variation of </w:t>
      </w:r>
      <w:r>
        <w:t>SL</w:t>
      </w:r>
      <w:r w:rsidRPr="00747A19">
        <w:t xml:space="preserve"> on </w:t>
      </w:r>
      <w:r>
        <w:t xml:space="preserve">a common variety of </w:t>
      </w:r>
      <w:r w:rsidRPr="00747A19">
        <w:t>greenhouse-produced hydroponically grown basil. The goals of this project were to (1) explore, identify, and quantify plant volatile organic compounds with known impacts on sensory perception or plant physiological processes of</w:t>
      </w:r>
      <w:r>
        <w:t xml:space="preserve"> </w:t>
      </w:r>
      <w:r w:rsidRPr="00747A19">
        <w:t xml:space="preserve">basil using headspace gas chromatography-mass spectrometry (HS GC-MS); (2) determine the impact of spectral quality from </w:t>
      </w:r>
      <w:r>
        <w:t>ambient sunlight and SL</w:t>
      </w:r>
      <w:r w:rsidRPr="00747A19">
        <w:t xml:space="preserve"> sources on aroma volatile concentrations</w:t>
      </w:r>
      <w:r>
        <w:t>, including</w:t>
      </w:r>
      <w:r w:rsidRPr="00747A19">
        <w:t xml:space="preserve"> specific ratios of narrowband blue/red wavelengths, combinations of discrete narrowband wavelengths, and broadband wavelength; and (</w:t>
      </w:r>
      <w:r>
        <w:t>3</w:t>
      </w:r>
      <w:r w:rsidRPr="00747A19">
        <w:t>) provide physiology-based recommendations for lighting regimes (spectral quality of supplemental horticultural lighting systems) for commercial greenhouse basil production.</w:t>
      </w:r>
    </w:p>
    <w:p w14:paraId="49021D21" w14:textId="77777777" w:rsidR="00126D8D" w:rsidRPr="00747A19" w:rsidRDefault="00126D8D" w:rsidP="00182739">
      <w:pPr>
        <w:pStyle w:val="MSThesisBodyTextJustified"/>
      </w:pPr>
      <w:r w:rsidRPr="00747A19">
        <w:t xml:space="preserve">We hypothesize that discrete waveband supplements will differentially influence specific aroma volatiles and secondary metabolic resource allocation (i.e., particular compounds and classes of compounds). We predict this experiment will confirm that manipulating the spectral </w:t>
      </w:r>
      <w:r w:rsidRPr="00747A19">
        <w:lastRenderedPageBreak/>
        <w:t xml:space="preserve">quality of </w:t>
      </w:r>
      <w:r>
        <w:t>SL</w:t>
      </w:r>
      <w:r w:rsidRPr="00747A19">
        <w:t xml:space="preserve"> has a considerable impact on basil volatiles and can potentially enhance the human olfactory experience. </w:t>
      </w:r>
    </w:p>
    <w:p w14:paraId="1C9A3AE0" w14:textId="0C84BE8C" w:rsidR="00126D8D" w:rsidRDefault="00126D8D" w:rsidP="000958A5">
      <w:pPr>
        <w:spacing w:line="240" w:lineRule="auto"/>
        <w:rPr>
          <w:rFonts w:cs="Times New Roman"/>
          <w:b/>
          <w:color w:val="000000" w:themeColor="text1"/>
          <w:sz w:val="28"/>
        </w:rPr>
      </w:pPr>
    </w:p>
    <w:p w14:paraId="63D16C6E" w14:textId="77777777" w:rsidR="00126D8D" w:rsidRPr="00747A19" w:rsidRDefault="00126D8D" w:rsidP="000958A5">
      <w:pPr>
        <w:pStyle w:val="MastersThesisMainTitle"/>
        <w:rPr>
          <w:color w:val="000000" w:themeColor="text1"/>
        </w:rPr>
      </w:pPr>
      <w:bookmarkStart w:id="403" w:name="_Toc139574800"/>
      <w:bookmarkStart w:id="404" w:name="_Toc141478670"/>
      <w:r w:rsidRPr="00747A19">
        <w:rPr>
          <w:color w:val="000000" w:themeColor="text1"/>
        </w:rPr>
        <w:t>Materials and Methods</w:t>
      </w:r>
      <w:bookmarkStart w:id="405" w:name="_Toc497314516"/>
      <w:bookmarkStart w:id="406" w:name="_Toc502751696"/>
      <w:bookmarkEnd w:id="403"/>
      <w:bookmarkEnd w:id="404"/>
    </w:p>
    <w:p w14:paraId="7439959E" w14:textId="77777777" w:rsidR="00126D8D" w:rsidRPr="00747A19" w:rsidRDefault="00126D8D" w:rsidP="000958A5">
      <w:pPr>
        <w:pStyle w:val="MastersThesisSectionHeader"/>
      </w:pPr>
      <w:bookmarkStart w:id="407" w:name="_Toc139574801"/>
      <w:bookmarkStart w:id="408" w:name="_Toc141478671"/>
      <w:r w:rsidRPr="00747A19">
        <w:t>Cultural Techniques and Environmental Growing Conditions</w:t>
      </w:r>
      <w:bookmarkEnd w:id="405"/>
      <w:bookmarkEnd w:id="406"/>
      <w:bookmarkEnd w:id="407"/>
      <w:bookmarkEnd w:id="408"/>
    </w:p>
    <w:p w14:paraId="602DD08C" w14:textId="77777777" w:rsidR="00126D8D" w:rsidRPr="00747A19" w:rsidRDefault="00126D8D" w:rsidP="00182739">
      <w:pPr>
        <w:pStyle w:val="MSThesisBodyTextJustified"/>
      </w:pPr>
      <w:r w:rsidRPr="00747A19">
        <w:t xml:space="preserve">This project was conducted at The University of Tennessee Institute of Agriculture (UTIA) in Knoxville, TN, USA (35°56'44.5"N, 83°56'17.3"W). Growing dates for these four experimental runs occurred from January 2019 to October 2019 and have been labeled as growing seasons. </w:t>
      </w:r>
      <w:r w:rsidRPr="00747A19">
        <w:rPr>
          <w:i/>
          <w:iCs/>
        </w:rPr>
        <w:t xml:space="preserve">Ocimum Basilicum </w:t>
      </w:r>
      <w:r w:rsidRPr="00747A19">
        <w:t>var. Italian Large Leaf basil seeds (Johnny’s Select Seeds, Winslow, ME, United States) were germinated in peat moss-based cubes (2 × 2 × 6 cm) (Park’s Bio Dome Sponges, Hodges, SC, United States) at 28.3°C and 95% RH. The ‘Italian Large Leaf’ variety of sweet basil was specifically chosen because of its unique flavor profile, high market demand, high yields, and preference among professional chefs. After two weeks, seedlings were transferred to nutrient film technique (NFT) hydroponic systems with full-strength general mix nutrient solution; the fertility regime was kept constant across the duration of all seasons. The nutrient solution was kept consistent at 5.9 pH and changed weekly. Elemental nutrient concentrations were as follows (ppm): Nitrogen (207.54), Phosphorous (50.87), Potassium (298.23), Calcium (180.15), Magnesium (77.10), Sulfur (136.45), Iron (3.95), Manganese (0.90), Zinc (0.40), Molybdenum (0.09), Copper (0.90), and Boron (0.90). Water samples were analyzed using Inductively Coupled Plasma Mass Spectrometry (Agilent Technologies, Santa Clara, CA, United States) throughout each experiment to ensure consistent nutrient composition. Total growth time lasted approximately 45 d across all four experimental runs (growing seasons). Relative humidity during the growth period averaged 52.5%. Day temperatures averaged 28.5 °C, and night temperatures averaged 21.2 °C. The DLI of the natural light control averaged 11.75 mol</w:t>
      </w:r>
      <w:r w:rsidRPr="00747A19">
        <w:rPr>
          <w:b/>
          <w:vertAlign w:val="superscript"/>
        </w:rPr>
        <w:t>.</w:t>
      </w:r>
      <w:r w:rsidRPr="00747A19">
        <w:t>m</w:t>
      </w:r>
      <w:r w:rsidRPr="00747A19">
        <w:rPr>
          <w:vertAlign w:val="superscript"/>
        </w:rPr>
        <w:t>-2</w:t>
      </w:r>
      <w:r w:rsidRPr="00747A19">
        <w:rPr>
          <w:b/>
          <w:vertAlign w:val="superscript"/>
        </w:rPr>
        <w:t>.</w:t>
      </w:r>
      <w:r w:rsidRPr="00747A19">
        <w:t>d</w:t>
      </w:r>
      <w:r w:rsidRPr="00747A19">
        <w:rPr>
          <w:vertAlign w:val="superscript"/>
        </w:rPr>
        <w:t>-1</w:t>
      </w:r>
      <w:r w:rsidRPr="00747A19">
        <w:t xml:space="preserve"> during the growth period </w:t>
      </w:r>
      <w:r w:rsidRPr="00747A19">
        <w:lastRenderedPageBreak/>
        <w:t>(ranging from 4 to 20 mol</w:t>
      </w:r>
      <w:r w:rsidRPr="00747A19">
        <w:rPr>
          <w:b/>
          <w:vertAlign w:val="superscript"/>
        </w:rPr>
        <w:t>.</w:t>
      </w:r>
      <w:r w:rsidRPr="00747A19">
        <w:t>m</w:t>
      </w:r>
      <w:r w:rsidRPr="00747A19">
        <w:rPr>
          <w:vertAlign w:val="superscript"/>
        </w:rPr>
        <w:t>-2</w:t>
      </w:r>
      <w:r w:rsidRPr="00747A19">
        <w:rPr>
          <w:b/>
          <w:vertAlign w:val="superscript"/>
        </w:rPr>
        <w:t>.</w:t>
      </w:r>
      <w:r w:rsidRPr="00747A19">
        <w:t>d</w:t>
      </w:r>
      <w:r w:rsidRPr="00747A19">
        <w:rPr>
          <w:vertAlign w:val="superscript"/>
        </w:rPr>
        <w:t>-1</w:t>
      </w:r>
      <w:r w:rsidRPr="00747A19">
        <w:t xml:space="preserve">). Specific growing parameters for each of the seasons may be found in </w:t>
      </w:r>
      <w:r>
        <w:t>Table 3.1</w:t>
      </w:r>
      <w:r w:rsidRPr="00747A19">
        <w:t xml:space="preserve">. </w:t>
      </w:r>
    </w:p>
    <w:p w14:paraId="58A67854" w14:textId="44B7841E" w:rsidR="00126D8D" w:rsidRPr="00747A19" w:rsidRDefault="00126D8D" w:rsidP="00182739">
      <w:pPr>
        <w:pStyle w:val="MSThesisBodyTextJustified"/>
      </w:pPr>
      <w:r w:rsidRPr="00747A19">
        <w:t xml:space="preserve">This experiment evaluated the impact of discrete narrowband wavelength combinations from </w:t>
      </w:r>
      <w:r>
        <w:t>SL</w:t>
      </w:r>
      <w:r w:rsidRPr="00747A19">
        <w:t xml:space="preserve"> systems on tissue concentrations of plant volatile organic compounds (PVOCs) pertinent to flavor/aroma profile and human sensory perception. A total of 12 lighting treatments were used in this experiment, which included one non-supplemented natural light (NL) control (</w:t>
      </w:r>
      <w:r>
        <w:t>Fig. 3.1</w:t>
      </w:r>
      <w:r w:rsidRPr="00747A19">
        <w:t>) and eleven supplement</w:t>
      </w:r>
      <w:r>
        <w:t xml:space="preserve">al </w:t>
      </w:r>
      <w:r w:rsidRPr="00747A19">
        <w:t xml:space="preserve">lighting </w:t>
      </w:r>
      <w:r>
        <w:t>(SL)</w:t>
      </w:r>
      <w:r w:rsidRPr="00747A19">
        <w:t xml:space="preserve"> treatments of equal intensity with varying spectral distributions (Figs. </w:t>
      </w:r>
      <w:r w:rsidR="00AD5E45">
        <w:t>3.</w:t>
      </w:r>
      <w:r w:rsidRPr="00747A19">
        <w:t>2 A-K). LEDs (Fluence Bioengineering, Austin, TX) and HPS lamps (Hortilux DE, Mentor OH) provided 8.64 mol</w:t>
      </w:r>
      <w:r w:rsidRPr="00747A19">
        <w:rPr>
          <w:b/>
          <w:bCs/>
          <w:vertAlign w:val="superscript"/>
        </w:rPr>
        <w:t>.</w:t>
      </w:r>
      <w:r w:rsidRPr="00747A19">
        <w:t>m</w:t>
      </w:r>
      <w:r w:rsidRPr="00747A19">
        <w:rPr>
          <w:vertAlign w:val="superscript"/>
        </w:rPr>
        <w:t>-2</w:t>
      </w:r>
      <w:r w:rsidRPr="00747A19">
        <w:rPr>
          <w:b/>
          <w:bCs/>
          <w:vertAlign w:val="superscript"/>
        </w:rPr>
        <w:t>.</w:t>
      </w:r>
      <w:r w:rsidRPr="00747A19">
        <w:t>d</w:t>
      </w:r>
      <w:r w:rsidRPr="00747A19">
        <w:rPr>
          <w:vertAlign w:val="superscript"/>
        </w:rPr>
        <w:t>-1</w:t>
      </w:r>
      <w:r w:rsidRPr="00747A19">
        <w:t xml:space="preserve"> (</w:t>
      </w:r>
      <w:r>
        <w:t xml:space="preserve">equal intensity of </w:t>
      </w:r>
      <w:r w:rsidRPr="00747A19">
        <w:t>100 µmol</w:t>
      </w:r>
      <w:r w:rsidRPr="00747A19">
        <w:rPr>
          <w:b/>
          <w:vertAlign w:val="superscript"/>
        </w:rPr>
        <w:t>.</w:t>
      </w:r>
      <w:r w:rsidRPr="00747A19">
        <w:t>m</w:t>
      </w:r>
      <w:r w:rsidRPr="00747A19">
        <w:rPr>
          <w:vertAlign w:val="superscript"/>
        </w:rPr>
        <w:t>-2</w:t>
      </w:r>
      <w:r w:rsidRPr="00747A19">
        <w:rPr>
          <w:b/>
          <w:vertAlign w:val="superscript"/>
        </w:rPr>
        <w:t>.</w:t>
      </w:r>
      <w:r w:rsidRPr="00747A19">
        <w:t>s</w:t>
      </w:r>
      <w:r w:rsidRPr="00747A19">
        <w:rPr>
          <w:vertAlign w:val="superscript"/>
        </w:rPr>
        <w:t xml:space="preserve">-1 </w:t>
      </w:r>
      <w:r w:rsidRPr="00747A19">
        <w:t>for 24 h</w:t>
      </w:r>
      <w:r w:rsidRPr="00747A19">
        <w:rPr>
          <w:b/>
          <w:vertAlign w:val="superscript"/>
        </w:rPr>
        <w:t>.</w:t>
      </w:r>
      <w:r w:rsidRPr="00747A19">
        <w:t>d</w:t>
      </w:r>
      <w:r w:rsidRPr="00747A19">
        <w:rPr>
          <w:vertAlign w:val="superscript"/>
        </w:rPr>
        <w:t>-1</w:t>
      </w:r>
      <w:r w:rsidRPr="00747A19">
        <w:t xml:space="preserve">) for each </w:t>
      </w:r>
      <w:r>
        <w:t>SL</w:t>
      </w:r>
      <w:r w:rsidRPr="00747A19">
        <w:t xml:space="preserve"> treatment, in addition to natural sunlight (</w:t>
      </w:r>
      <w:r>
        <w:t>Fig. 3.1</w:t>
      </w:r>
      <w:r w:rsidRPr="00747A19">
        <w:t>). Lighting treatments are denoted by their wavelengths applied, and each wavelength in series was applied at equal intensities (i.e., a ratio of 1:1:1, with target intensities of 33.3/33.3/33.3 µmol</w:t>
      </w:r>
      <w:r w:rsidRPr="00747A19">
        <w:rPr>
          <w:b/>
          <w:vertAlign w:val="superscript"/>
        </w:rPr>
        <w:t>.</w:t>
      </w:r>
      <w:r w:rsidRPr="00747A19">
        <w:t>m</w:t>
      </w:r>
      <w:r w:rsidRPr="00747A19">
        <w:rPr>
          <w:vertAlign w:val="superscript"/>
        </w:rPr>
        <w:t>-2</w:t>
      </w:r>
      <w:r w:rsidRPr="00747A19">
        <w:rPr>
          <w:b/>
          <w:vertAlign w:val="superscript"/>
        </w:rPr>
        <w:t>.</w:t>
      </w:r>
      <w:r w:rsidRPr="00747A19">
        <w:t>s</w:t>
      </w:r>
      <w:r w:rsidRPr="00747A19">
        <w:rPr>
          <w:vertAlign w:val="superscript"/>
        </w:rPr>
        <w:t>-1</w:t>
      </w:r>
      <w:r w:rsidRPr="00747A19">
        <w:t xml:space="preserve">). The intensity and duration of the lighting treatments in this experiment were selected based on current literature with the intention of maximizing the production of key secondary metabolites known to influence flavor perception in basil.  </w:t>
      </w:r>
    </w:p>
    <w:p w14:paraId="056316D2" w14:textId="77777777" w:rsidR="00126D8D" w:rsidRPr="00747A19" w:rsidRDefault="00126D8D" w:rsidP="00182739">
      <w:pPr>
        <w:pStyle w:val="MSThesisBodyTextJustified"/>
      </w:pPr>
      <w:r w:rsidRPr="00747A19">
        <w:t xml:space="preserve">Four treatments applied narrowband red wavelengths across varying narrowband blue wavelengths (ratio of 1B:2R as 660/400/660, 660/420/660, 660/450/660, </w:t>
      </w:r>
      <w:r>
        <w:t xml:space="preserve">and </w:t>
      </w:r>
      <w:r w:rsidRPr="00747A19">
        <w:t>660/470/660) (Fluence Bioengineering, Austin, TX). One treatment applied a high dose of only narrowband blue wavelengths (470/450/420) (Fluence Bioengineering, Austin, TX), while another applied a moderated amount of narrowband blue wavelengths with some narrowband red wavelengths (ratio of 2B:1R as 450/660/470) (Fluence Bioengineering, Austin, TX). Two PhysioSpec lighting systems (Fluence Bioengineering, Austin, TX) were used to evaluate the ratio of narrowband blue and red wavelengths (ratios of 3B:47R and 3B:22R, as 6B/94R and 12B/88R, respectively</w:t>
      </w:r>
      <w:r>
        <w:t>)</w:t>
      </w:r>
      <w:r w:rsidRPr="00747A19">
        <w:t xml:space="preserve">. </w:t>
      </w:r>
      <w:r w:rsidRPr="00747A19">
        <w:lastRenderedPageBreak/>
        <w:t xml:space="preserve">Finally, three broadband supplemental treatments of various color temperatures were used, which included a high blue (450/W/470) (Fluence Bioengineering, Austin, TX), a neutral white (W/W/W) (Fluence Bioengineering, Austin, TX), and a high orange/red (HPS) (Hortilux DE, Mentor OH). </w:t>
      </w:r>
      <w:r>
        <w:t xml:space="preserve">As previously stated, all SL treatments were provided at equal intensity and duration. </w:t>
      </w:r>
      <w:r w:rsidRPr="00747A19">
        <w:t xml:space="preserve">Treatments were measured with an Apogee PS-200 </w:t>
      </w:r>
      <w:r>
        <w:t xml:space="preserve">spectroradiometer </w:t>
      </w:r>
      <w:r w:rsidRPr="00747A19">
        <w:t xml:space="preserve">(Apogee Instruments, Logan UT) multiple times per week (after dark) and regularly adjusted to ensure consistent SL intensities and spectral distributions across growing seasons. </w:t>
      </w:r>
    </w:p>
    <w:p w14:paraId="456F23C5" w14:textId="77777777" w:rsidR="00126D8D" w:rsidRPr="00747A19" w:rsidRDefault="00126D8D" w:rsidP="00182739">
      <w:pPr>
        <w:pStyle w:val="MSThesisBodyTextJustified"/>
      </w:pPr>
      <w:r w:rsidRPr="00747A19">
        <w:t xml:space="preserve">Each SL treatment was physically separated to ensure no bleed-over </w:t>
      </w:r>
      <w:r w:rsidRPr="007F5138">
        <w:t>effects</w:t>
      </w:r>
      <w:r>
        <w:t xml:space="preserve"> between treatments</w:t>
      </w:r>
      <w:r w:rsidRPr="007F5138">
        <w:t xml:space="preserve"> (</w:t>
      </w:r>
      <w:r>
        <w:t xml:space="preserve">average of </w:t>
      </w:r>
      <w:r w:rsidRPr="007F5138">
        <w:t xml:space="preserve">1.1 </w:t>
      </w:r>
      <w:r w:rsidRPr="007F5138">
        <w:rPr>
          <w:color w:val="404040"/>
          <w:shd w:val="clear" w:color="auto" w:fill="FFFFFF"/>
        </w:rPr>
        <w:t>±</w:t>
      </w:r>
      <w:r w:rsidRPr="007F5138">
        <w:t xml:space="preserve"> 0.</w:t>
      </w:r>
      <w:r>
        <w:t xml:space="preserve">6 </w:t>
      </w:r>
      <w:r w:rsidRPr="00747A19">
        <w:t>µmol</w:t>
      </w:r>
      <w:r w:rsidRPr="00747A19">
        <w:rPr>
          <w:b/>
          <w:vertAlign w:val="superscript"/>
        </w:rPr>
        <w:t>.</w:t>
      </w:r>
      <w:r w:rsidRPr="00747A19">
        <w:t>m</w:t>
      </w:r>
      <w:r w:rsidRPr="00747A19">
        <w:rPr>
          <w:vertAlign w:val="superscript"/>
        </w:rPr>
        <w:t>-2</w:t>
      </w:r>
      <w:r w:rsidRPr="00747A19">
        <w:rPr>
          <w:b/>
          <w:vertAlign w:val="superscript"/>
        </w:rPr>
        <w:t>.</w:t>
      </w:r>
      <w:r w:rsidRPr="00747A19">
        <w:t>s</w:t>
      </w:r>
      <w:r w:rsidRPr="00747A19">
        <w:rPr>
          <w:vertAlign w:val="superscript"/>
        </w:rPr>
        <w:t>-1</w:t>
      </w:r>
      <w:r>
        <w:rPr>
          <w:vertAlign w:val="superscript"/>
        </w:rPr>
        <w:t xml:space="preserve"> </w:t>
      </w:r>
      <w:r>
        <w:t>SL bleed-over at the treatment edges</w:t>
      </w:r>
      <w:r w:rsidRPr="00747A19">
        <w:t>)</w:t>
      </w:r>
      <w:r>
        <w:t xml:space="preserve">. </w:t>
      </w:r>
      <w:r w:rsidRPr="00747A19">
        <w:t>1.2 m x 1.2 m sections of basil were grown, with 1.2 m separation between treatments</w:t>
      </w:r>
      <w:r>
        <w:t xml:space="preserve"> (i.e., measurement edge-to-edge of hydroponic systems within the greenhouse)</w:t>
      </w:r>
      <w:r w:rsidRPr="00747A19">
        <w:t>.</w:t>
      </w:r>
      <w:r>
        <w:t xml:space="preserve"> T</w:t>
      </w:r>
      <w:r w:rsidRPr="00747A19">
        <w:t xml:space="preserve">issue samples were only harvested from within the middle 0.6 m of each treatment to ensure further reduction of </w:t>
      </w:r>
      <w:r>
        <w:t>SL</w:t>
      </w:r>
      <w:r w:rsidRPr="00747A19">
        <w:t xml:space="preserve"> contamination between treatments (0.3 m around the edge of each treatment was considered the buffer zone and was not</w:t>
      </w:r>
      <w:r>
        <w:t xml:space="preserve"> used for sampling</w:t>
      </w:r>
      <w:r w:rsidRPr="00747A19">
        <w:t xml:space="preserve">). </w:t>
      </w:r>
      <w:r>
        <w:t>SL bleed-over was &lt;0.1</w:t>
      </w:r>
      <w:r w:rsidRPr="00EC215D">
        <w:t xml:space="preserve"> </w:t>
      </w:r>
      <w:r w:rsidRPr="00747A19">
        <w:t>µmol</w:t>
      </w:r>
      <w:r w:rsidRPr="00747A19">
        <w:rPr>
          <w:b/>
          <w:vertAlign w:val="superscript"/>
        </w:rPr>
        <w:t>.</w:t>
      </w:r>
      <w:r w:rsidRPr="00747A19">
        <w:t>m</w:t>
      </w:r>
      <w:r w:rsidRPr="00747A19">
        <w:rPr>
          <w:vertAlign w:val="superscript"/>
        </w:rPr>
        <w:t>-2</w:t>
      </w:r>
      <w:r w:rsidRPr="00747A19">
        <w:rPr>
          <w:b/>
          <w:vertAlign w:val="superscript"/>
        </w:rPr>
        <w:t>.</w:t>
      </w:r>
      <w:r w:rsidRPr="00747A19">
        <w:t>s</w:t>
      </w:r>
      <w:r w:rsidRPr="00747A19">
        <w:rPr>
          <w:vertAlign w:val="superscript"/>
        </w:rPr>
        <w:t>-1</w:t>
      </w:r>
      <w:r>
        <w:rPr>
          <w:vertAlign w:val="superscript"/>
        </w:rPr>
        <w:t xml:space="preserve"> </w:t>
      </w:r>
      <w:r>
        <w:t>within the harvest zone of each treatment (i.e., below the instrumentation detection limit). Harvests</w:t>
      </w:r>
      <w:r w:rsidRPr="00747A19">
        <w:t xml:space="preserve"> occurred </w:t>
      </w:r>
      <w:r>
        <w:t xml:space="preserve">directly </w:t>
      </w:r>
      <w:r w:rsidRPr="00747A19">
        <w:t xml:space="preserve">after sunrise, and samples were immediately sealed and frozen in liquid nitrogen, then transferred to a -80 °C freezer until the time of analysis to preserve all volatile compounds and inhibit post-harvest changes to metabolism. </w:t>
      </w:r>
    </w:p>
    <w:p w14:paraId="53BC2038" w14:textId="77777777" w:rsidR="00126D8D" w:rsidRPr="00747A19" w:rsidRDefault="00126D8D" w:rsidP="00182739">
      <w:pPr>
        <w:pStyle w:val="MSThesisBodyTextJustified"/>
      </w:pPr>
    </w:p>
    <w:p w14:paraId="732CF482" w14:textId="77777777" w:rsidR="00126D8D" w:rsidRPr="00747A19" w:rsidRDefault="00126D8D" w:rsidP="000958A5">
      <w:pPr>
        <w:pStyle w:val="MastersThesisSectionHeader"/>
      </w:pPr>
      <w:bookmarkStart w:id="409" w:name="_Toc139574802"/>
      <w:bookmarkStart w:id="410" w:name="_Toc141478672"/>
      <w:r w:rsidRPr="00747A19">
        <w:t>Gas Chromatography and Mass Spectrometry Method</w:t>
      </w:r>
      <w:bookmarkEnd w:id="409"/>
      <w:bookmarkEnd w:id="410"/>
    </w:p>
    <w:p w14:paraId="1EAD1C36" w14:textId="77777777" w:rsidR="00126D8D" w:rsidRPr="00747A19" w:rsidRDefault="00126D8D" w:rsidP="00182739">
      <w:pPr>
        <w:pStyle w:val="MSThesisBodyTextJustified"/>
      </w:pPr>
      <w:r w:rsidRPr="00747A19">
        <w:t xml:space="preserve">Three g of fresh leaf tissue (two basil plants per sample rep, 1.5 g of representative material from each plant, nodes four and eight) were placed in 20 mL borosilicate glass vials, then immediately frozen in liquid nitrogen, and stored in a -80 ºC freezer until time of analysis. Samples </w:t>
      </w:r>
      <w:r w:rsidRPr="00747A19">
        <w:lastRenderedPageBreak/>
        <w:t xml:space="preserve">were </w:t>
      </w:r>
      <w:r>
        <w:t xml:space="preserve">run within 72 hours of collection. Frozen samples were </w:t>
      </w:r>
      <w:r w:rsidRPr="00747A19">
        <w:t xml:space="preserve">placed onto a Network Headspace Sampler (Agilent G1888, Santa Clara, CA, United States). Ten sample reps were used per treatment. Samples were heated to 80 ºC for 10 min and pressurized with Helium (Air Gas, analytical purity) to 95.21 kPa for 1 min. The tube was then vented for 1 min into the headspace transfer line (110 ºC) and injected (port at 250 ºC) into the GC (Agilent Technologies 6890N Network GC System). The volatiles were separated by an HP-5MS capillary column </w:t>
      </w:r>
      <w:r>
        <w:t>(</w:t>
      </w:r>
      <w:r w:rsidRPr="00747A19">
        <w:t xml:space="preserve">(5%-Phenyl)-methylpolysiloxane, length: 30 m, ID: 0.250 mm, film thickness: 1 µm, Agilent Technologies) using analytical purity Helium carrier gas at 95.21 kPa with constant column pressure. At the start of data acquisition, the temperature was held at 40 ºC for 5 min, ramped up from 40 ºC to 250 ºC (5 ºC per min), then held constant for the duration of the run. The total run time was 70 min, including post-run and cool-down phases. After sample separation and column elution, the analytes were passed through a mass selective detector (Agilent Technologies 5973 Network Mass Selective Detector) at 250 ºC and collected over the course of the sample run. The transfer line, ion source, and quadrupole temperatures were 250 ºC, 230 ºC, and 170 ºC, respectively. The full scan mass range was set to 40-550 m/z (threshold: 150). </w:t>
      </w:r>
    </w:p>
    <w:p w14:paraId="721FF631" w14:textId="77777777" w:rsidR="00126D8D" w:rsidRPr="00747A19" w:rsidRDefault="00126D8D" w:rsidP="00182739">
      <w:pPr>
        <w:pStyle w:val="MSThesisBodyTextJustified"/>
      </w:pPr>
      <w:r w:rsidRPr="00747A19">
        <w:t xml:space="preserve">Agilent ChemStation was used for data collection and processing. Over 200 separate compounds were identified throughout this experiment, but emphasis was placed on key aroma compounds (i.e., shown in the literature to be essential for human sensory perception and/or plant metabolic processes) that have been calibrated to our GC-MS and HP-5MS column using pure analytical standards (Sigma-Aldrich, St. Louis, MO) to determine leaf tissue emissions of key VOCs on a fresh plant weight basis. The MS spectra from pure analytical standards and fresh samples were compared to NIST, ADMIS, and our custom basil reference library created from calibrated analytical standards to confirm peak identity and retention times. MassHunter </w:t>
      </w:r>
      <w:r w:rsidRPr="00747A19">
        <w:lastRenderedPageBreak/>
        <w:t>Workstation Software Version B.06.00 (Agilent Technologies, Inc., 2012) was used to integrate peaks automatically. Relative peak areas and retention times were automatically adjusted based on authentic analytical standards and multiple library references. Over 200 compounds were identified in this experiment, with approximately 50 of those being quantified using pure analytical standards.</w:t>
      </w:r>
    </w:p>
    <w:p w14:paraId="4F34A6F1" w14:textId="77777777" w:rsidR="00126D8D" w:rsidRPr="00747A19" w:rsidRDefault="00126D8D" w:rsidP="00182739">
      <w:pPr>
        <w:pStyle w:val="MSThesisBodyTextJustified"/>
      </w:pPr>
      <w:r w:rsidRPr="00747A19">
        <w:t xml:space="preserve">All volatile concentration units are reported in </w:t>
      </w:r>
      <w:r>
        <w:t>micro molarity</w:t>
      </w:r>
      <w:r w:rsidRPr="00747A19">
        <w:t xml:space="preserve"> of analyte concentration</w:t>
      </w:r>
      <w:r>
        <w:t xml:space="preserve"> (suspended in a known volume of gaseous headspace matrix) </w:t>
      </w:r>
      <w:r w:rsidRPr="00747A19">
        <w:t>per g of fresh leaf tissue (µM</w:t>
      </w:r>
      <w:r w:rsidRPr="00747A19">
        <w:sym w:font="Symbol" w:char="F0D7"/>
      </w:r>
      <w:r w:rsidRPr="00747A19">
        <w:t>g</w:t>
      </w:r>
      <w:r w:rsidRPr="00747A19">
        <w:rPr>
          <w:vertAlign w:val="superscript"/>
        </w:rPr>
        <w:t>-1</w:t>
      </w:r>
      <w:r w:rsidRPr="00747A19">
        <w:t xml:space="preserve"> FM) to represent VOC emissions most accurately from the collected headspace sample above fresh plant tissues under specific reproducible analytical conditions (Tables 2-4; Figs 3, 4). This unit (compared to µmol</w:t>
      </w:r>
      <w:r w:rsidRPr="00747A19">
        <w:sym w:font="Symbol" w:char="F0D7"/>
      </w:r>
      <w:r w:rsidRPr="00747A19">
        <w:t>g</w:t>
      </w:r>
      <w:r w:rsidRPr="00747A19">
        <w:rPr>
          <w:vertAlign w:val="superscript"/>
        </w:rPr>
        <w:t>-1</w:t>
      </w:r>
      <w:r w:rsidRPr="00747A19">
        <w:t xml:space="preserve"> FM) was utilized because of its commonality in biological headspace GC-MS sampling and incorporates the concentration of each analyte per unit volume of headspace gas above the plant tissue (i.e., samples the dynamic and complex gaseous matrix which contains numerous pertinent VOCs)</w:t>
      </w:r>
      <w:r>
        <w:t>,</w:t>
      </w:r>
      <w:r w:rsidRPr="00747A19">
        <w:t xml:space="preserve"> which is important for sensory-based studies. This provides the foundation for future sensory panel experiments aimed at determining the influence of light on consumer acceptance and preference of basil aroma profiles.</w:t>
      </w:r>
    </w:p>
    <w:p w14:paraId="31F5502E" w14:textId="77777777" w:rsidR="00126D8D" w:rsidRPr="00747A19" w:rsidRDefault="00126D8D" w:rsidP="00182739">
      <w:pPr>
        <w:pStyle w:val="MSThesisBodyTextJustified"/>
      </w:pPr>
    </w:p>
    <w:p w14:paraId="2B11CC61" w14:textId="77777777" w:rsidR="00126D8D" w:rsidRPr="00747A19" w:rsidRDefault="00126D8D" w:rsidP="000958A5">
      <w:pPr>
        <w:pStyle w:val="MastersThesisSectionHeader"/>
      </w:pPr>
      <w:bookmarkStart w:id="411" w:name="_Toc139574803"/>
      <w:bookmarkStart w:id="412" w:name="_Toc141478673"/>
      <w:r w:rsidRPr="00747A19">
        <w:t>Statistical Analyses</w:t>
      </w:r>
      <w:bookmarkEnd w:id="411"/>
      <w:bookmarkEnd w:id="412"/>
    </w:p>
    <w:p w14:paraId="64DA6CA5" w14:textId="77777777" w:rsidR="00126D8D" w:rsidRPr="00747A19" w:rsidRDefault="00126D8D" w:rsidP="00182739">
      <w:pPr>
        <w:pStyle w:val="MSThesisBodyTextJustified"/>
      </w:pPr>
      <w:r w:rsidRPr="00747A19">
        <w:t xml:space="preserve">A Randomized Complete Block Design was used for this experiment. All data sets were analyzed by Generalized Linear Model (GLM) and Mixed Model Analysis of Variance (p = 0.05) procedures using the statistical software SAS (version 9.4, SAS Institute, Cary, NC). Design and Analysis macro (DandA.sas), created by Dr. Arnold Saxton, was utilized in addition to Tukey’s adjustment, regression analysis, and univariate/normalization procedures to provide additional statistical insights on the complete data set. Treatments were separated by least significant </w:t>
      </w:r>
      <w:r w:rsidRPr="00747A19">
        <w:lastRenderedPageBreak/>
        <w:t xml:space="preserve">difference (LSD) at </w:t>
      </w:r>
      <w:r w:rsidRPr="00747A19">
        <w:sym w:font="Symbol" w:char="F061"/>
      </w:r>
      <w:r w:rsidRPr="00747A19">
        <w:t xml:space="preserve">=0.05. Principal component analysis was performed using JMP Pro 17 (SAS Institute, Cary, NC). Due to the overwhelming number of compounds analyzed, only statically significant separations of compounds with known plant physiological function and/or human sensory impact were reported in this study. Key volatiles were analyzed and presented on a fresh mass (FM) basis as compared to calibration curves created from pure analytical standards. </w:t>
      </w:r>
    </w:p>
    <w:p w14:paraId="2A86D3C1" w14:textId="77777777" w:rsidR="00126D8D" w:rsidRPr="00747A19" w:rsidRDefault="00126D8D" w:rsidP="000958A5">
      <w:pPr>
        <w:spacing w:line="240" w:lineRule="auto"/>
        <w:rPr>
          <w:rFonts w:cs="Times New Roman"/>
          <w:b/>
          <w:color w:val="000000" w:themeColor="text1"/>
          <w:sz w:val="28"/>
        </w:rPr>
      </w:pPr>
    </w:p>
    <w:p w14:paraId="1176567A" w14:textId="77777777" w:rsidR="00126D8D" w:rsidRPr="00747A19" w:rsidRDefault="00126D8D" w:rsidP="000958A5">
      <w:pPr>
        <w:pStyle w:val="MastersThesisMainTitle"/>
        <w:rPr>
          <w:color w:val="000000" w:themeColor="text1"/>
        </w:rPr>
      </w:pPr>
      <w:bookmarkStart w:id="413" w:name="_Toc139574804"/>
      <w:bookmarkStart w:id="414" w:name="_Toc141478674"/>
      <w:r w:rsidRPr="00747A19">
        <w:rPr>
          <w:color w:val="000000" w:themeColor="text1"/>
        </w:rPr>
        <w:t>Results</w:t>
      </w:r>
      <w:bookmarkEnd w:id="413"/>
      <w:bookmarkEnd w:id="414"/>
    </w:p>
    <w:p w14:paraId="03E0451D" w14:textId="4DD32AF8" w:rsidR="00126D8D" w:rsidRPr="00747A19" w:rsidRDefault="00126D8D" w:rsidP="00182739">
      <w:pPr>
        <w:pStyle w:val="MSThesisBodyTextJustified"/>
      </w:pPr>
      <w:r w:rsidRPr="00747A19">
        <w:t>Plant volatile organic compound (PVOC) leaf tissue concentrations were evaluated in this experiment, many of which were influenced by growing season, lighting treatment, and season</w:t>
      </w:r>
      <w:r w:rsidR="008D2515">
        <w:t xml:space="preserve"> </w:t>
      </w:r>
      <w:r w:rsidRPr="00747A19">
        <w:t xml:space="preserve">treatment interactions. Total VOC concentrations of basil leaf tissues were found to be statistically significant across both lighting treatment (F=103.01; </w:t>
      </w:r>
      <w:r w:rsidRPr="00747A19">
        <w:rPr>
          <w:i/>
        </w:rPr>
        <w:t>P≤</w:t>
      </w:r>
      <w:r w:rsidRPr="00747A19">
        <w:t>0.0001) (</w:t>
      </w:r>
      <w:r>
        <w:t>Fig. 3.3</w:t>
      </w:r>
      <w:r w:rsidRPr="00747A19">
        <w:t xml:space="preserve">) and season (F=391.62; </w:t>
      </w:r>
      <w:r w:rsidRPr="00747A19">
        <w:rPr>
          <w:i/>
        </w:rPr>
        <w:t>P≤</w:t>
      </w:r>
      <w:r w:rsidRPr="00747A19">
        <w:t>0.0001) (</w:t>
      </w:r>
      <w:r>
        <w:t>Fig. 3.4</w:t>
      </w:r>
      <w:r w:rsidRPr="00747A19">
        <w:t>). Statistical summary for individual compounds evaluated in this study are included (</w:t>
      </w:r>
      <w:r>
        <w:t>Table 3.1</w:t>
      </w:r>
      <w:r w:rsidRPr="00747A19">
        <w:t xml:space="preserve">) and separated by category based on chemical class and metabolic origin. </w:t>
      </w:r>
      <w:r>
        <w:t xml:space="preserve">Categories include alcohols, aldehydes, benzyl aldehydes, amides and furans, hydrocarbons, acyclic monoterpenes, bicyclic monoterpenes, cyclic monoterpenes, sesquiterpenes, organosulfur, and phenylpropanoids. </w:t>
      </w:r>
    </w:p>
    <w:p w14:paraId="4DC82541" w14:textId="77777777" w:rsidR="00126D8D" w:rsidRPr="00747A19" w:rsidRDefault="00126D8D" w:rsidP="000958A5">
      <w:pPr>
        <w:pStyle w:val="MastersThesisSectionHeader"/>
      </w:pPr>
    </w:p>
    <w:p w14:paraId="1249FF8A" w14:textId="77777777" w:rsidR="00126D8D" w:rsidRPr="00747A19" w:rsidRDefault="00126D8D" w:rsidP="000958A5">
      <w:pPr>
        <w:pStyle w:val="MastersThesisSectionHeader"/>
      </w:pPr>
      <w:bookmarkStart w:id="415" w:name="_Toc139574805"/>
      <w:bookmarkStart w:id="416" w:name="_Toc141478675"/>
      <w:r w:rsidRPr="00747A19">
        <w:t>Alcohols</w:t>
      </w:r>
      <w:bookmarkEnd w:id="415"/>
      <w:bookmarkEnd w:id="416"/>
    </w:p>
    <w:p w14:paraId="3BDD0B34" w14:textId="10919558" w:rsidR="00126D8D" w:rsidRPr="00747A19" w:rsidRDefault="00126D8D" w:rsidP="00182739">
      <w:pPr>
        <w:pStyle w:val="MSThesisBodyTextJustified"/>
      </w:pPr>
      <w:r w:rsidRPr="00747A19">
        <w:t xml:space="preserve">(E)-3-Hexen-1-ol concentrations were significantly impacted by season (F=18.44; </w:t>
      </w:r>
      <w:r w:rsidRPr="00747A19">
        <w:rPr>
          <w:i/>
        </w:rPr>
        <w:t>P≤</w:t>
      </w:r>
      <w:r w:rsidRPr="00747A19">
        <w:t xml:space="preserve">0.0001), but not by lighting treatment (F=0.81; </w:t>
      </w:r>
      <w:r w:rsidRPr="00747A19">
        <w:rPr>
          <w:i/>
        </w:rPr>
        <w:t>P=</w:t>
      </w:r>
      <w:r w:rsidRPr="00747A19">
        <w:t>0.6264) or season</w:t>
      </w:r>
      <w:r w:rsidR="000C4CC2">
        <w:t>*</w:t>
      </w:r>
      <w:r w:rsidRPr="00747A19">
        <w:t xml:space="preserve">treatment interactions (F=0.67; </w:t>
      </w:r>
      <w:r w:rsidRPr="00747A19">
        <w:rPr>
          <w:i/>
        </w:rPr>
        <w:t>P=</w:t>
      </w:r>
      <w:r w:rsidRPr="00747A19">
        <w:t>0.8682) (</w:t>
      </w:r>
      <w:r>
        <w:t>Table 3.2</w:t>
      </w:r>
      <w:r w:rsidRPr="00747A19">
        <w:t>). When averaged across all treatments, June and September had higher average concentrations, as compared to the January and April seasons. Season concentrations ranged from 2.27 µM</w:t>
      </w:r>
      <w:r w:rsidRPr="00747A19">
        <w:sym w:font="Symbol" w:char="F0D7"/>
      </w:r>
      <w:r w:rsidRPr="00747A19">
        <w:t>g</w:t>
      </w:r>
      <w:r w:rsidRPr="00747A19">
        <w:rPr>
          <w:vertAlign w:val="superscript"/>
        </w:rPr>
        <w:t>-1</w:t>
      </w:r>
      <w:r w:rsidRPr="00747A19">
        <w:t xml:space="preserve"> FM to 6.24 µM</w:t>
      </w:r>
      <w:r w:rsidRPr="00747A19">
        <w:sym w:font="Symbol" w:char="F0D7"/>
      </w:r>
      <w:r w:rsidRPr="00747A19">
        <w:t>g</w:t>
      </w:r>
      <w:r w:rsidRPr="00747A19">
        <w:rPr>
          <w:vertAlign w:val="superscript"/>
        </w:rPr>
        <w:t>-1</w:t>
      </w:r>
      <w:r w:rsidRPr="00747A19">
        <w:t xml:space="preserve"> FM (</w:t>
      </w:r>
      <w:r>
        <w:t>Table 3.3</w:t>
      </w:r>
      <w:r w:rsidRPr="00747A19">
        <w:t xml:space="preserve">). </w:t>
      </w:r>
    </w:p>
    <w:p w14:paraId="2A039AF7" w14:textId="77777777" w:rsidR="00126D8D" w:rsidRPr="00747A19" w:rsidRDefault="00126D8D" w:rsidP="00182739">
      <w:pPr>
        <w:pStyle w:val="MSThesisBodyTextJustified"/>
      </w:pPr>
      <w:r w:rsidRPr="00747A19">
        <w:lastRenderedPageBreak/>
        <w:t xml:space="preserve">1-Octen-3-ol concentrations were significantly influenced by season (F=23.16; </w:t>
      </w:r>
      <w:r w:rsidRPr="00747A19">
        <w:rPr>
          <w:i/>
        </w:rPr>
        <w:t>P≤</w:t>
      </w:r>
      <w:r w:rsidRPr="00747A19">
        <w:t xml:space="preserve">0.0001), lighting treatment (F=3.47; </w:t>
      </w:r>
      <w:r w:rsidRPr="00747A19">
        <w:rPr>
          <w:i/>
        </w:rPr>
        <w:t>P≤</w:t>
      </w:r>
      <w:r w:rsidRPr="00747A19">
        <w:t xml:space="preserve">0.0001), and season*treatment interactions (F=2.32; </w:t>
      </w:r>
      <w:r w:rsidRPr="00747A19">
        <w:rPr>
          <w:i/>
        </w:rPr>
        <w:t>P≤</w:t>
      </w:r>
      <w:r w:rsidRPr="00747A19">
        <w:t>0.0001) (</w:t>
      </w:r>
      <w:r>
        <w:t>Table 3.2</w:t>
      </w:r>
      <w:r w:rsidRPr="00747A19">
        <w:t>). The June growing season had the highest concentration averages as compared to any other season. September had the lowest but did not separate from January. Season concentrations ranged from 13.03 µM</w:t>
      </w:r>
      <w:r w:rsidRPr="00747A19">
        <w:sym w:font="Symbol" w:char="F0D7"/>
      </w:r>
      <w:r w:rsidRPr="00747A19">
        <w:t>g</w:t>
      </w:r>
      <w:r w:rsidRPr="00747A19">
        <w:rPr>
          <w:vertAlign w:val="superscript"/>
        </w:rPr>
        <w:t>-1</w:t>
      </w:r>
      <w:r w:rsidRPr="00747A19">
        <w:t xml:space="preserve"> FM to 39.72 µM</w:t>
      </w:r>
      <w:r w:rsidRPr="00747A19">
        <w:sym w:font="Symbol" w:char="F0D7"/>
      </w:r>
      <w:r w:rsidRPr="00747A19">
        <w:t>g</w:t>
      </w:r>
      <w:r w:rsidRPr="00747A19">
        <w:rPr>
          <w:vertAlign w:val="superscript"/>
        </w:rPr>
        <w:t>-1</w:t>
      </w:r>
      <w:r w:rsidRPr="00747A19">
        <w:t xml:space="preserve"> FM (</w:t>
      </w:r>
      <w:r>
        <w:t>Table 3.3</w:t>
      </w:r>
      <w:r w:rsidRPr="00747A19">
        <w:t>). When averaged across all seasons, treatments 450/W/470 and 660/470/660 statistically separated from the 660/420/660 treatment, but the others did not show clear separation. Treatment concentration averages ranged from 15.15 µM</w:t>
      </w:r>
      <w:r w:rsidRPr="00747A19">
        <w:sym w:font="Symbol" w:char="F0D7"/>
      </w:r>
      <w:r w:rsidRPr="00747A19">
        <w:t>g</w:t>
      </w:r>
      <w:r w:rsidRPr="00747A19">
        <w:rPr>
          <w:vertAlign w:val="superscript"/>
        </w:rPr>
        <w:t>-1</w:t>
      </w:r>
      <w:r w:rsidRPr="00747A19">
        <w:t xml:space="preserve"> FM to 35.65 µM</w:t>
      </w:r>
      <w:r w:rsidRPr="00747A19">
        <w:sym w:font="Symbol" w:char="F0D7"/>
      </w:r>
      <w:r w:rsidRPr="00747A19">
        <w:t>g</w:t>
      </w:r>
      <w:r w:rsidRPr="00747A19">
        <w:rPr>
          <w:vertAlign w:val="superscript"/>
        </w:rPr>
        <w:t>-1</w:t>
      </w:r>
      <w:r w:rsidRPr="00747A19">
        <w:t xml:space="preserve"> FM (</w:t>
      </w:r>
      <w:r>
        <w:t>Table 3.4</w:t>
      </w:r>
      <w:r w:rsidRPr="00747A19">
        <w:t>).</w:t>
      </w:r>
    </w:p>
    <w:p w14:paraId="675CBDBC" w14:textId="77777777" w:rsidR="00126D8D" w:rsidRPr="00747A19" w:rsidRDefault="00126D8D" w:rsidP="00182739">
      <w:pPr>
        <w:pStyle w:val="MSThesisBodyTextJustified"/>
      </w:pPr>
      <w:r w:rsidRPr="00747A19">
        <w:t xml:space="preserve">2-Octyn-1-ol concentrations were significantly impacted by season (F=36.42; </w:t>
      </w:r>
      <w:r w:rsidRPr="00747A19">
        <w:rPr>
          <w:i/>
        </w:rPr>
        <w:t>P≤</w:t>
      </w:r>
      <w:r w:rsidRPr="00747A19">
        <w:t xml:space="preserve">0.0001), lighting treatment (F=10.78; </w:t>
      </w:r>
      <w:r w:rsidRPr="00747A19">
        <w:rPr>
          <w:i/>
        </w:rPr>
        <w:t>P≤</w:t>
      </w:r>
      <w:r w:rsidRPr="00747A19">
        <w:t xml:space="preserve">0.0001), and season*treatment interactions (F=3.58; </w:t>
      </w:r>
      <w:r w:rsidRPr="00747A19">
        <w:rPr>
          <w:i/>
        </w:rPr>
        <w:t>P≤</w:t>
      </w:r>
      <w:r w:rsidRPr="00747A19">
        <w:t>0.0001) (</w:t>
      </w:r>
      <w:r>
        <w:t>Table 3.2</w:t>
      </w:r>
      <w:r w:rsidRPr="00747A19">
        <w:t>). June again had the highest concentration as compared to any other season. September again had the lowest concentration. Season concentrations ranged from 395.22 µM</w:t>
      </w:r>
      <w:r w:rsidRPr="00747A19">
        <w:sym w:font="Symbol" w:char="F0D7"/>
      </w:r>
      <w:r w:rsidRPr="00747A19">
        <w:t>g</w:t>
      </w:r>
      <w:r w:rsidRPr="00747A19">
        <w:rPr>
          <w:vertAlign w:val="superscript"/>
        </w:rPr>
        <w:t>-1</w:t>
      </w:r>
      <w:r w:rsidRPr="00747A19">
        <w:t xml:space="preserve"> FM to 653.76 µM</w:t>
      </w:r>
      <w:r w:rsidRPr="00747A19">
        <w:sym w:font="Symbol" w:char="F0D7"/>
      </w:r>
      <w:r w:rsidRPr="00747A19">
        <w:t>g</w:t>
      </w:r>
      <w:r w:rsidRPr="00747A19">
        <w:rPr>
          <w:vertAlign w:val="superscript"/>
        </w:rPr>
        <w:t>-1</w:t>
      </w:r>
      <w:r w:rsidRPr="00747A19">
        <w:t xml:space="preserve"> FM (</w:t>
      </w:r>
      <w:r>
        <w:t>Table 3.3</w:t>
      </w:r>
      <w:r w:rsidRPr="00747A19">
        <w:t>). While there was statistical separation for the two compounds across lighting treatments, no clear patterns were evident (</w:t>
      </w:r>
      <w:r>
        <w:t>Table 3.4</w:t>
      </w:r>
      <w:r w:rsidRPr="00747A19">
        <w:t>).</w:t>
      </w:r>
    </w:p>
    <w:p w14:paraId="3569DE88" w14:textId="5B8EB8C1" w:rsidR="00126D8D" w:rsidRPr="00747A19" w:rsidRDefault="00126D8D" w:rsidP="00A37527">
      <w:pPr>
        <w:pStyle w:val="MSThesisBodyTextJustified"/>
      </w:pPr>
      <w:r w:rsidRPr="00747A19">
        <w:t xml:space="preserve">2-Phenylethanol concentrations were significantly influenced by season (F=44.24; </w:t>
      </w:r>
      <w:r w:rsidRPr="00747A19">
        <w:rPr>
          <w:i/>
        </w:rPr>
        <w:t>P≤</w:t>
      </w:r>
      <w:r w:rsidRPr="00747A19">
        <w:t xml:space="preserve">0.0001), lighting treatment, (F=11.18; </w:t>
      </w:r>
      <w:r w:rsidRPr="00747A19">
        <w:rPr>
          <w:i/>
        </w:rPr>
        <w:t>P≤</w:t>
      </w:r>
      <w:r w:rsidRPr="00747A19">
        <w:t xml:space="preserve">0.0001) and season*treatment interactions (F=3.9; </w:t>
      </w:r>
      <w:r w:rsidRPr="00747A19">
        <w:rPr>
          <w:i/>
        </w:rPr>
        <w:t>P≤</w:t>
      </w:r>
      <w:r w:rsidRPr="00747A19">
        <w:t>0.0001) (</w:t>
      </w:r>
      <w:r>
        <w:t>Table 3.2</w:t>
      </w:r>
      <w:r w:rsidRPr="00747A19">
        <w:t>). June again had the highest concentration as compared to any other season. September again had the lowest concentration but did not statistically separate from January. Season concentrations ranged from 19.56 µM</w:t>
      </w:r>
      <w:r w:rsidRPr="00747A19">
        <w:sym w:font="Symbol" w:char="F0D7"/>
      </w:r>
      <w:r w:rsidRPr="00747A19">
        <w:t>g</w:t>
      </w:r>
      <w:r w:rsidRPr="00747A19">
        <w:rPr>
          <w:vertAlign w:val="superscript"/>
        </w:rPr>
        <w:t>-1</w:t>
      </w:r>
      <w:r w:rsidRPr="00747A19">
        <w:t xml:space="preserve"> FM to 58.43 µM</w:t>
      </w:r>
      <w:r w:rsidRPr="00747A19">
        <w:sym w:font="Symbol" w:char="F0D7"/>
      </w:r>
      <w:r w:rsidRPr="00747A19">
        <w:t>g</w:t>
      </w:r>
      <w:r w:rsidRPr="00747A19">
        <w:rPr>
          <w:vertAlign w:val="superscript"/>
        </w:rPr>
        <w:t>-1</w:t>
      </w:r>
      <w:r w:rsidRPr="00747A19">
        <w:t xml:space="preserve"> FM (</w:t>
      </w:r>
      <w:r>
        <w:t>Table 3.3</w:t>
      </w:r>
      <w:r w:rsidRPr="00747A19">
        <w:t>). The 6B/94R treatment had the highest concentration and statistically separated from all other treatments. The lowest concentration was found in the 660/420/660 and HPS treatments, but they were not statistically separate from many other treatments. Treatment concentrations ranged from 19.62 µM</w:t>
      </w:r>
      <w:r w:rsidRPr="00747A19">
        <w:sym w:font="Symbol" w:char="F0D7"/>
      </w:r>
      <w:r w:rsidRPr="00747A19">
        <w:t>g</w:t>
      </w:r>
      <w:r w:rsidRPr="00747A19">
        <w:rPr>
          <w:vertAlign w:val="superscript"/>
        </w:rPr>
        <w:t>-1</w:t>
      </w:r>
      <w:r w:rsidRPr="00747A19">
        <w:t xml:space="preserve"> FM to 74.13 µM</w:t>
      </w:r>
      <w:r w:rsidRPr="00747A19">
        <w:sym w:font="Symbol" w:char="F0D7"/>
      </w:r>
      <w:r w:rsidRPr="00747A19">
        <w:t>g</w:t>
      </w:r>
      <w:r w:rsidRPr="00747A19">
        <w:rPr>
          <w:vertAlign w:val="superscript"/>
        </w:rPr>
        <w:t>-1</w:t>
      </w:r>
      <w:r w:rsidRPr="00747A19">
        <w:t xml:space="preserve"> FM (</w:t>
      </w:r>
      <w:r>
        <w:t>Table 3.4</w:t>
      </w:r>
      <w:r w:rsidRPr="00747A19">
        <w:t>).</w:t>
      </w:r>
    </w:p>
    <w:p w14:paraId="398AC945" w14:textId="77777777" w:rsidR="00126D8D" w:rsidRPr="00747A19" w:rsidRDefault="00126D8D" w:rsidP="000958A5">
      <w:pPr>
        <w:pStyle w:val="MastersThesisSectionHeader"/>
      </w:pPr>
      <w:bookmarkStart w:id="417" w:name="_Toc139574806"/>
      <w:bookmarkStart w:id="418" w:name="_Toc141478676"/>
      <w:r w:rsidRPr="00747A19">
        <w:lastRenderedPageBreak/>
        <w:t>Benzyl Aldehydes</w:t>
      </w:r>
      <w:bookmarkEnd w:id="417"/>
      <w:bookmarkEnd w:id="418"/>
    </w:p>
    <w:p w14:paraId="1C5828F2" w14:textId="77777777" w:rsidR="00126D8D" w:rsidRPr="00747A19" w:rsidRDefault="00126D8D" w:rsidP="00182739">
      <w:pPr>
        <w:pStyle w:val="MSThesisBodyTextJustified"/>
      </w:pPr>
      <w:r w:rsidRPr="00747A19">
        <w:t xml:space="preserve">3-Ethylbenzaldehyde </w:t>
      </w:r>
      <w:r w:rsidRPr="00747A19">
        <w:tab/>
        <w:t xml:space="preserve">concentrations were significantly influenced by season (F=140.11; </w:t>
      </w:r>
      <w:r w:rsidRPr="00747A19">
        <w:rPr>
          <w:i/>
        </w:rPr>
        <w:t>P≤</w:t>
      </w:r>
      <w:r w:rsidRPr="00747A19">
        <w:t xml:space="preserve">0.0001), lighting treatment (F=9.66; </w:t>
      </w:r>
      <w:r w:rsidRPr="00747A19">
        <w:rPr>
          <w:i/>
        </w:rPr>
        <w:t>P≤</w:t>
      </w:r>
      <w:r w:rsidRPr="00747A19">
        <w:t xml:space="preserve">0.0001), and season*treatment interactions (F=3.95; </w:t>
      </w:r>
      <w:r w:rsidRPr="00747A19">
        <w:rPr>
          <w:i/>
        </w:rPr>
        <w:t>P≤</w:t>
      </w:r>
      <w:r w:rsidRPr="00747A19">
        <w:t>0.0001) (</w:t>
      </w:r>
      <w:r>
        <w:t>Table 3.2</w:t>
      </w:r>
      <w:r w:rsidRPr="00747A19">
        <w:t>). The June growing season had the highest concentration and was statistically separated from the lowest seasons, which were January and September. The season concentrations ranged from 4.28 µM</w:t>
      </w:r>
      <w:r w:rsidRPr="00747A19">
        <w:sym w:font="Symbol" w:char="F0D7"/>
      </w:r>
      <w:r w:rsidRPr="00747A19">
        <w:t>g</w:t>
      </w:r>
      <w:r w:rsidRPr="00747A19">
        <w:rPr>
          <w:vertAlign w:val="superscript"/>
        </w:rPr>
        <w:t>-1</w:t>
      </w:r>
      <w:r w:rsidRPr="00747A19">
        <w:t xml:space="preserve"> FM to 17.15 µM</w:t>
      </w:r>
      <w:r w:rsidRPr="00747A19">
        <w:sym w:font="Symbol" w:char="F0D7"/>
      </w:r>
      <w:r w:rsidRPr="00747A19">
        <w:t>g</w:t>
      </w:r>
      <w:r w:rsidRPr="00747A19">
        <w:rPr>
          <w:vertAlign w:val="superscript"/>
        </w:rPr>
        <w:t>-1</w:t>
      </w:r>
      <w:r w:rsidRPr="00747A19">
        <w:t xml:space="preserve"> FM (</w:t>
      </w:r>
      <w:r>
        <w:t>Table 3.3</w:t>
      </w:r>
      <w:r w:rsidRPr="00747A19">
        <w:t>). The 6B/94R treatment had the highest concentration and was statistically separated from many other treatments; this includes 660/420/660, 660/450/660, and the NL control, which had three of the lowest concentrations and did not statistically separate. The treatment concentrations ranged from 5.35 µM</w:t>
      </w:r>
      <w:r w:rsidRPr="00747A19">
        <w:sym w:font="Symbol" w:char="F0D7"/>
      </w:r>
      <w:r w:rsidRPr="00747A19">
        <w:t>g</w:t>
      </w:r>
      <w:r w:rsidRPr="00747A19">
        <w:rPr>
          <w:vertAlign w:val="superscript"/>
        </w:rPr>
        <w:t>-1</w:t>
      </w:r>
      <w:r w:rsidRPr="00747A19">
        <w:t xml:space="preserve"> FM to 15.18 µM</w:t>
      </w:r>
      <w:r w:rsidRPr="00747A19">
        <w:sym w:font="Symbol" w:char="F0D7"/>
      </w:r>
      <w:r w:rsidRPr="00747A19">
        <w:t>g</w:t>
      </w:r>
      <w:r w:rsidRPr="00747A19">
        <w:rPr>
          <w:vertAlign w:val="superscript"/>
        </w:rPr>
        <w:t>-1</w:t>
      </w:r>
      <w:r w:rsidRPr="00747A19">
        <w:t xml:space="preserve"> FM (</w:t>
      </w:r>
      <w:r>
        <w:t>Table 3.4</w:t>
      </w:r>
      <w:r w:rsidRPr="00747A19">
        <w:t>).</w:t>
      </w:r>
    </w:p>
    <w:p w14:paraId="7D278D53" w14:textId="77777777" w:rsidR="00126D8D" w:rsidRPr="00747A19" w:rsidRDefault="00126D8D" w:rsidP="00182739">
      <w:pPr>
        <w:pStyle w:val="MSThesisBodyTextJustified"/>
      </w:pPr>
      <w:r w:rsidRPr="00747A19">
        <w:t>Benzeneacetaldehyde</w:t>
      </w:r>
      <w:r w:rsidRPr="00747A19">
        <w:tab/>
        <w:t xml:space="preserve">concentrations were significantly influenced by season (F=196.22; </w:t>
      </w:r>
      <w:r w:rsidRPr="00747A19">
        <w:rPr>
          <w:i/>
        </w:rPr>
        <w:t>P≤</w:t>
      </w:r>
      <w:r w:rsidRPr="00747A19">
        <w:t xml:space="preserve">0.0001), lighting treatment (F=19.32; </w:t>
      </w:r>
      <w:r w:rsidRPr="00747A19">
        <w:rPr>
          <w:i/>
        </w:rPr>
        <w:t>P≤</w:t>
      </w:r>
      <w:r w:rsidRPr="00747A19">
        <w:t xml:space="preserve">0.0001), and season*treatment interactions (F=7.76; </w:t>
      </w:r>
      <w:r w:rsidRPr="00747A19">
        <w:rPr>
          <w:i/>
        </w:rPr>
        <w:t>P≤</w:t>
      </w:r>
      <w:r w:rsidRPr="00747A19">
        <w:t>0.0001) (</w:t>
      </w:r>
      <w:r>
        <w:t>Table 3.2</w:t>
      </w:r>
      <w:r w:rsidRPr="00747A19">
        <w:t>). The June growing season had the highest concentration and was statistically separated from the lowest season, which was September. The season concentrations had a considerable range, from 9.92 µM</w:t>
      </w:r>
      <w:r w:rsidRPr="00747A19">
        <w:sym w:font="Symbol" w:char="F0D7"/>
      </w:r>
      <w:r w:rsidRPr="00747A19">
        <w:t>g</w:t>
      </w:r>
      <w:r w:rsidRPr="00747A19">
        <w:rPr>
          <w:vertAlign w:val="superscript"/>
        </w:rPr>
        <w:t>-1</w:t>
      </w:r>
      <w:r w:rsidRPr="00747A19">
        <w:t xml:space="preserve"> FM to 250.85 µM</w:t>
      </w:r>
      <w:r w:rsidRPr="00747A19">
        <w:sym w:font="Symbol" w:char="F0D7"/>
      </w:r>
      <w:r w:rsidRPr="00747A19">
        <w:t>g</w:t>
      </w:r>
      <w:r w:rsidRPr="00747A19">
        <w:rPr>
          <w:vertAlign w:val="superscript"/>
        </w:rPr>
        <w:t>-1</w:t>
      </w:r>
      <w:r w:rsidRPr="00747A19">
        <w:t xml:space="preserve"> FM (</w:t>
      </w:r>
      <w:r>
        <w:t>Table 3.3</w:t>
      </w:r>
      <w:r w:rsidRPr="00747A19">
        <w:t>). The 6B/94R again had the highest concentration and statistically separated from all other treatments. In general, the narrowband treatments had higher concentrations than the broadband treatments. NL control had the lowest concentration, but did not separate from the 660/420/660, HPS, and W/W/W treatments. The treatment concentrations ranged from 69.70 µM</w:t>
      </w:r>
      <w:r w:rsidRPr="00747A19">
        <w:sym w:font="Symbol" w:char="F0D7"/>
      </w:r>
      <w:r w:rsidRPr="00747A19">
        <w:t>g</w:t>
      </w:r>
      <w:r w:rsidRPr="00747A19">
        <w:rPr>
          <w:vertAlign w:val="superscript"/>
        </w:rPr>
        <w:t>-1</w:t>
      </w:r>
      <w:r w:rsidRPr="00747A19">
        <w:t xml:space="preserve"> FM to 276.22 µM</w:t>
      </w:r>
      <w:r w:rsidRPr="00747A19">
        <w:sym w:font="Symbol" w:char="F0D7"/>
      </w:r>
      <w:r w:rsidRPr="00747A19">
        <w:t>g</w:t>
      </w:r>
      <w:r w:rsidRPr="00747A19">
        <w:rPr>
          <w:vertAlign w:val="superscript"/>
        </w:rPr>
        <w:t>-1</w:t>
      </w:r>
      <w:r w:rsidRPr="00747A19">
        <w:t xml:space="preserve"> FM (</w:t>
      </w:r>
      <w:r>
        <w:t>Table 3.4</w:t>
      </w:r>
      <w:r w:rsidRPr="00747A19">
        <w:t>).</w:t>
      </w:r>
    </w:p>
    <w:p w14:paraId="716598F1" w14:textId="77777777" w:rsidR="00126D8D" w:rsidRPr="00747A19" w:rsidRDefault="00126D8D" w:rsidP="00A37527">
      <w:pPr>
        <w:pStyle w:val="MSThesisBodyTextJustified"/>
        <w:ind w:firstLine="0"/>
      </w:pPr>
    </w:p>
    <w:p w14:paraId="386809F2" w14:textId="77777777" w:rsidR="00A37527" w:rsidRDefault="00A37527" w:rsidP="000958A5">
      <w:pPr>
        <w:pStyle w:val="MastersThesisSectionHeader"/>
      </w:pPr>
      <w:bookmarkStart w:id="419" w:name="_Toc139574807"/>
    </w:p>
    <w:p w14:paraId="1735C5AF" w14:textId="77777777" w:rsidR="00A37527" w:rsidRDefault="00A37527" w:rsidP="000958A5">
      <w:pPr>
        <w:pStyle w:val="MastersThesisSectionHeader"/>
      </w:pPr>
    </w:p>
    <w:p w14:paraId="61A9560D" w14:textId="0A526D3F" w:rsidR="00126D8D" w:rsidRPr="00747A19" w:rsidRDefault="00126D8D" w:rsidP="000958A5">
      <w:pPr>
        <w:pStyle w:val="MastersThesisSectionHeader"/>
      </w:pPr>
      <w:bookmarkStart w:id="420" w:name="_Toc141478677"/>
      <w:r w:rsidRPr="00747A19">
        <w:lastRenderedPageBreak/>
        <w:t>Hydrocarbons</w:t>
      </w:r>
      <w:bookmarkEnd w:id="419"/>
      <w:bookmarkEnd w:id="420"/>
    </w:p>
    <w:p w14:paraId="38571E58" w14:textId="77777777" w:rsidR="00126D8D" w:rsidRPr="00747A19" w:rsidRDefault="00126D8D" w:rsidP="00182739">
      <w:pPr>
        <w:pStyle w:val="MSThesisBodyTextJustified"/>
      </w:pPr>
      <w:r w:rsidRPr="00747A19">
        <w:t xml:space="preserve">1,4-Cyclohexadiene concentrations were significantly influenced by growing season (F=80.31; </w:t>
      </w:r>
      <w:r w:rsidRPr="00747A19">
        <w:rPr>
          <w:i/>
        </w:rPr>
        <w:t>P≤</w:t>
      </w:r>
      <w:r w:rsidRPr="00747A19">
        <w:t xml:space="preserve">0.0001), lighting treatment (F=8.46; </w:t>
      </w:r>
      <w:r w:rsidRPr="00747A19">
        <w:rPr>
          <w:i/>
        </w:rPr>
        <w:t>P≤</w:t>
      </w:r>
      <w:r w:rsidRPr="00747A19">
        <w:t xml:space="preserve">0.0001), and season*treatment interactions (F=2.74; </w:t>
      </w:r>
      <w:r w:rsidRPr="00747A19">
        <w:rPr>
          <w:i/>
        </w:rPr>
        <w:t>P≤</w:t>
      </w:r>
      <w:r w:rsidRPr="00747A19">
        <w:t>0.0001) (</w:t>
      </w:r>
      <w:r>
        <w:t>Table 3.2</w:t>
      </w:r>
      <w:r w:rsidRPr="00747A19">
        <w:t>). June and September growing seasons had statistically higher tissue concentrations than those in January and April. The January growing season had the lowest concentrations. The growing season concentrations ranged from 6.00 µM</w:t>
      </w:r>
      <w:r w:rsidRPr="00747A19">
        <w:sym w:font="Symbol" w:char="F0D7"/>
      </w:r>
      <w:r w:rsidRPr="00747A19">
        <w:t>g</w:t>
      </w:r>
      <w:r w:rsidRPr="00747A19">
        <w:rPr>
          <w:vertAlign w:val="superscript"/>
        </w:rPr>
        <w:t>-1</w:t>
      </w:r>
      <w:r w:rsidRPr="00747A19">
        <w:t xml:space="preserve"> FM to 17.34 µM</w:t>
      </w:r>
      <w:r w:rsidRPr="00747A19">
        <w:sym w:font="Symbol" w:char="F0D7"/>
      </w:r>
      <w:r w:rsidRPr="00747A19">
        <w:t>g</w:t>
      </w:r>
      <w:r w:rsidRPr="00747A19">
        <w:rPr>
          <w:vertAlign w:val="superscript"/>
        </w:rPr>
        <w:t>-1</w:t>
      </w:r>
      <w:r w:rsidRPr="00747A19">
        <w:t xml:space="preserve"> FM (</w:t>
      </w:r>
      <w:r>
        <w:t>Table 3.3</w:t>
      </w:r>
      <w:r w:rsidRPr="00747A19">
        <w:t>). The treatment 6B/94R again had the highest tissue concentration, statistically greater than many of the narrowband and broadband SL treatments. The 660/420/660 again had the lowest tissue concentration of any treatment, and did not statistically separate from the NL control. The treatment tissue concentrations ranged from 6.38 µM</w:t>
      </w:r>
      <w:r w:rsidRPr="00747A19">
        <w:sym w:font="Symbol" w:char="F0D7"/>
      </w:r>
      <w:r w:rsidRPr="00747A19">
        <w:t>g</w:t>
      </w:r>
      <w:r w:rsidRPr="00747A19">
        <w:rPr>
          <w:vertAlign w:val="superscript"/>
        </w:rPr>
        <w:t>-1</w:t>
      </w:r>
      <w:r w:rsidRPr="00747A19">
        <w:t xml:space="preserve"> FM to 18.66 µM</w:t>
      </w:r>
      <w:r w:rsidRPr="00747A19">
        <w:sym w:font="Symbol" w:char="F0D7"/>
      </w:r>
      <w:r w:rsidRPr="00747A19">
        <w:t>g</w:t>
      </w:r>
      <w:r w:rsidRPr="00747A19">
        <w:rPr>
          <w:vertAlign w:val="superscript"/>
        </w:rPr>
        <w:t>-1</w:t>
      </w:r>
      <w:r w:rsidRPr="00747A19">
        <w:t xml:space="preserve"> FM (</w:t>
      </w:r>
      <w:r>
        <w:t>Table 3.4</w:t>
      </w:r>
      <w:r w:rsidRPr="00747A19">
        <w:t>).</w:t>
      </w:r>
    </w:p>
    <w:p w14:paraId="0133E5D9" w14:textId="77777777" w:rsidR="00126D8D" w:rsidRPr="00747A19" w:rsidRDefault="00126D8D" w:rsidP="00182739">
      <w:pPr>
        <w:pStyle w:val="MSThesisBodyTextJustified"/>
      </w:pPr>
      <w:r w:rsidRPr="00747A19">
        <w:t xml:space="preserve">2-Cyclopropyl-2-pentene concentrations were significantly influenced by season (F=58.3; </w:t>
      </w:r>
      <w:r w:rsidRPr="00747A19">
        <w:rPr>
          <w:i/>
        </w:rPr>
        <w:t>P≤</w:t>
      </w:r>
      <w:r w:rsidRPr="00747A19">
        <w:t xml:space="preserve">0.0001), treatment (F=9.00; </w:t>
      </w:r>
      <w:r w:rsidRPr="00747A19">
        <w:rPr>
          <w:i/>
        </w:rPr>
        <w:t>P≤</w:t>
      </w:r>
      <w:r w:rsidRPr="00747A19">
        <w:t xml:space="preserve">0.0001), and season*treatment interactions (F=1.98; </w:t>
      </w:r>
      <w:r w:rsidRPr="00747A19">
        <w:rPr>
          <w:i/>
        </w:rPr>
        <w:t>P=</w:t>
      </w:r>
      <w:r w:rsidRPr="00747A19">
        <w:t>0.0013) (</w:t>
      </w:r>
      <w:r>
        <w:t>Table 3.2</w:t>
      </w:r>
      <w:r w:rsidRPr="00747A19">
        <w:t>). This compound showed similar seasonal patterns to previous hydrocarbons. June and September growing seasons had statistically higher tissue concentrations than those in January and April. The January growing season again had the lowest concentrations. The season concentrations ranged from 12.09 µM</w:t>
      </w:r>
      <w:r w:rsidRPr="00747A19">
        <w:sym w:font="Symbol" w:char="F0D7"/>
      </w:r>
      <w:r w:rsidRPr="00747A19">
        <w:t>g</w:t>
      </w:r>
      <w:r w:rsidRPr="00747A19">
        <w:rPr>
          <w:vertAlign w:val="superscript"/>
        </w:rPr>
        <w:t>-1</w:t>
      </w:r>
      <w:r w:rsidRPr="00747A19">
        <w:t xml:space="preserve"> FM to 25.58 µM</w:t>
      </w:r>
      <w:r w:rsidRPr="00747A19">
        <w:sym w:font="Symbol" w:char="F0D7"/>
      </w:r>
      <w:r w:rsidRPr="00747A19">
        <w:t>g</w:t>
      </w:r>
      <w:r w:rsidRPr="00747A19">
        <w:rPr>
          <w:vertAlign w:val="superscript"/>
        </w:rPr>
        <w:t>-1</w:t>
      </w:r>
      <w:r w:rsidRPr="00747A19">
        <w:t xml:space="preserve"> FM (</w:t>
      </w:r>
      <w:r>
        <w:t>Table 3.3</w:t>
      </w:r>
      <w:r w:rsidRPr="00747A19">
        <w:t>). The 6B/94R treatment again had the highest tissue concentration, separating from some of the other treatments. The 660/420/660 had the lowest tissue concentration of any treatment, and did not statistically separate from the NL control and some of the SL treatments. The treatment concentrations ranged from 14.51 µM</w:t>
      </w:r>
      <w:r w:rsidRPr="00747A19">
        <w:sym w:font="Symbol" w:char="F0D7"/>
      </w:r>
      <w:r w:rsidRPr="00747A19">
        <w:t>g</w:t>
      </w:r>
      <w:r w:rsidRPr="00747A19">
        <w:rPr>
          <w:vertAlign w:val="superscript"/>
        </w:rPr>
        <w:t>-1</w:t>
      </w:r>
      <w:r w:rsidRPr="00747A19">
        <w:t xml:space="preserve"> FM to 27.61 µM</w:t>
      </w:r>
      <w:r w:rsidRPr="00747A19">
        <w:sym w:font="Symbol" w:char="F0D7"/>
      </w:r>
      <w:r w:rsidRPr="00747A19">
        <w:t>g</w:t>
      </w:r>
      <w:r w:rsidRPr="00747A19">
        <w:rPr>
          <w:vertAlign w:val="superscript"/>
        </w:rPr>
        <w:t>-1</w:t>
      </w:r>
      <w:r w:rsidRPr="00747A19">
        <w:t xml:space="preserve"> FM (</w:t>
      </w:r>
      <w:r>
        <w:t>Table 3.4</w:t>
      </w:r>
      <w:r w:rsidRPr="00747A19">
        <w:t>).</w:t>
      </w:r>
    </w:p>
    <w:p w14:paraId="3F055B12" w14:textId="77777777" w:rsidR="00126D8D" w:rsidRPr="00747A19" w:rsidRDefault="00126D8D" w:rsidP="00182739">
      <w:pPr>
        <w:pStyle w:val="MSThesisBodyTextJustified"/>
      </w:pPr>
      <w:r w:rsidRPr="00747A19">
        <w:t xml:space="preserve">Decane concentrations were significantly influenced by season (F=158.69; </w:t>
      </w:r>
      <w:r w:rsidRPr="00747A19">
        <w:rPr>
          <w:i/>
        </w:rPr>
        <w:t>P≤</w:t>
      </w:r>
      <w:r w:rsidRPr="00747A19">
        <w:t xml:space="preserve">0.0001), treatment (F=5.79; </w:t>
      </w:r>
      <w:r w:rsidRPr="00747A19">
        <w:rPr>
          <w:i/>
        </w:rPr>
        <w:t>P≤</w:t>
      </w:r>
      <w:r w:rsidRPr="00747A19">
        <w:t xml:space="preserve">0.0001), and season*treatment interactions (F=2.66; </w:t>
      </w:r>
      <w:r w:rsidRPr="00747A19">
        <w:rPr>
          <w:i/>
        </w:rPr>
        <w:t>P≤</w:t>
      </w:r>
      <w:r w:rsidRPr="00747A19">
        <w:t>0.0001) (</w:t>
      </w:r>
      <w:r>
        <w:t>Table 3.2</w:t>
      </w:r>
      <w:r w:rsidRPr="00747A19">
        <w:t xml:space="preserve">). </w:t>
      </w:r>
      <w:r w:rsidRPr="00747A19">
        <w:lastRenderedPageBreak/>
        <w:t>June growing season had the highest tissue concentration, which statistically separated from all other seasons. The two seasons with the lowest concentrations were January and September. The season concentrations ranged from 9.99 µM</w:t>
      </w:r>
      <w:r w:rsidRPr="00747A19">
        <w:sym w:font="Symbol" w:char="F0D7"/>
      </w:r>
      <w:r w:rsidRPr="00747A19">
        <w:t>g</w:t>
      </w:r>
      <w:r w:rsidRPr="00747A19">
        <w:rPr>
          <w:vertAlign w:val="superscript"/>
        </w:rPr>
        <w:t>-1</w:t>
      </w:r>
      <w:r w:rsidRPr="00747A19">
        <w:t xml:space="preserve"> FM to 37.07 µM</w:t>
      </w:r>
      <w:r w:rsidRPr="00747A19">
        <w:sym w:font="Symbol" w:char="F0D7"/>
      </w:r>
      <w:r w:rsidRPr="00747A19">
        <w:t>g</w:t>
      </w:r>
      <w:r w:rsidRPr="00747A19">
        <w:rPr>
          <w:vertAlign w:val="superscript"/>
        </w:rPr>
        <w:t>-1</w:t>
      </w:r>
      <w:r w:rsidRPr="00747A19">
        <w:t xml:space="preserve"> FM (</w:t>
      </w:r>
      <w:r>
        <w:t>Table 3.3</w:t>
      </w:r>
      <w:r w:rsidRPr="00747A19">
        <w:t>). The 660/470/660 and 6B/94R treatments had the two highest tissue concentrations, and did not separate from each other. The broadband treatments generally did not have as high concentrations as the narrowband treatments; the HPS and W/W/W treatments did not separate from the NL control, which had the lowest concentration. The treatment concentrations ranged from 13.10 µM</w:t>
      </w:r>
      <w:r w:rsidRPr="00747A19">
        <w:sym w:font="Symbol" w:char="F0D7"/>
      </w:r>
      <w:r w:rsidRPr="00747A19">
        <w:t>g</w:t>
      </w:r>
      <w:r w:rsidRPr="00747A19">
        <w:rPr>
          <w:vertAlign w:val="superscript"/>
        </w:rPr>
        <w:t>-1</w:t>
      </w:r>
      <w:r w:rsidRPr="00747A19">
        <w:t xml:space="preserve"> FM to 25.92 µM</w:t>
      </w:r>
      <w:r w:rsidRPr="00747A19">
        <w:sym w:font="Symbol" w:char="F0D7"/>
      </w:r>
      <w:r w:rsidRPr="00747A19">
        <w:t>g</w:t>
      </w:r>
      <w:r w:rsidRPr="00747A19">
        <w:rPr>
          <w:vertAlign w:val="superscript"/>
        </w:rPr>
        <w:t>-1</w:t>
      </w:r>
      <w:r w:rsidRPr="00747A19">
        <w:t xml:space="preserve"> FM (</w:t>
      </w:r>
      <w:r>
        <w:t>Table 3.4</w:t>
      </w:r>
      <w:r w:rsidRPr="00747A19">
        <w:t>).</w:t>
      </w:r>
    </w:p>
    <w:p w14:paraId="4B83A5F2" w14:textId="77777777" w:rsidR="00126D8D" w:rsidRPr="00747A19" w:rsidRDefault="00126D8D" w:rsidP="00182739">
      <w:pPr>
        <w:pStyle w:val="MSThesisBodyTextJustified"/>
      </w:pPr>
      <w:r w:rsidRPr="00747A19">
        <w:t xml:space="preserve">(E)-3-Methyl-1,3,5-hexatriene concentrations were significantly influenced by season (F=6.53; </w:t>
      </w:r>
      <w:r w:rsidRPr="00747A19">
        <w:rPr>
          <w:i/>
        </w:rPr>
        <w:t>P=</w:t>
      </w:r>
      <w:r w:rsidRPr="00747A19">
        <w:t xml:space="preserve">0.0003), but not by lighting treatment (F=1.78; </w:t>
      </w:r>
      <w:r w:rsidRPr="00747A19">
        <w:rPr>
          <w:i/>
        </w:rPr>
        <w:t>P=</w:t>
      </w:r>
      <w:r w:rsidRPr="00747A19">
        <w:t xml:space="preserve">0.0558) or season*treatment interactions (F=1.04; </w:t>
      </w:r>
      <w:r w:rsidRPr="00747A19">
        <w:rPr>
          <w:i/>
        </w:rPr>
        <w:t>P=</w:t>
      </w:r>
      <w:r w:rsidRPr="00747A19">
        <w:t>0.4103) (</w:t>
      </w:r>
      <w:r>
        <w:t>Table 3.2</w:t>
      </w:r>
      <w:r w:rsidRPr="00747A19">
        <w:t>). The September growing season had the highest tissue concentration, but did not statistically separate from the June season. The January growing season had the lowest tissue concentration but did not separate from the April or June seasons. The season concentrations ranged from 2.00 µM</w:t>
      </w:r>
      <w:r w:rsidRPr="00747A19">
        <w:sym w:font="Symbol" w:char="F0D7"/>
      </w:r>
      <w:r w:rsidRPr="00747A19">
        <w:t>g</w:t>
      </w:r>
      <w:r w:rsidRPr="00747A19">
        <w:rPr>
          <w:vertAlign w:val="superscript"/>
        </w:rPr>
        <w:t>-1</w:t>
      </w:r>
      <w:r w:rsidRPr="00747A19">
        <w:t xml:space="preserve"> FM to 3.19 µM</w:t>
      </w:r>
      <w:r w:rsidRPr="00747A19">
        <w:sym w:font="Symbol" w:char="F0D7"/>
      </w:r>
      <w:r w:rsidRPr="00747A19">
        <w:t>g</w:t>
      </w:r>
      <w:r w:rsidRPr="00747A19">
        <w:rPr>
          <w:vertAlign w:val="superscript"/>
        </w:rPr>
        <w:t>-1</w:t>
      </w:r>
      <w:r w:rsidRPr="00747A19">
        <w:t xml:space="preserve"> FM (</w:t>
      </w:r>
      <w:r>
        <w:t>Table 3.3</w:t>
      </w:r>
      <w:r w:rsidRPr="00747A19">
        <w:t>).</w:t>
      </w:r>
    </w:p>
    <w:p w14:paraId="14820324" w14:textId="77777777" w:rsidR="00126D8D" w:rsidRPr="00747A19" w:rsidRDefault="00126D8D" w:rsidP="00182739">
      <w:pPr>
        <w:pStyle w:val="MSThesisBodyTextJustified"/>
      </w:pPr>
      <w:r w:rsidRPr="00747A19">
        <w:t xml:space="preserve">1,3-cis,5-cis-Octatriene concentrations were significantly influenced by season (F=42.07; </w:t>
      </w:r>
      <w:r w:rsidRPr="00747A19">
        <w:rPr>
          <w:i/>
        </w:rPr>
        <w:t>P≤</w:t>
      </w:r>
      <w:r w:rsidRPr="00747A19">
        <w:t xml:space="preserve">0.0001), lighting treatment (F=8.62; </w:t>
      </w:r>
      <w:r w:rsidRPr="00747A19">
        <w:rPr>
          <w:i/>
        </w:rPr>
        <w:t>P≤</w:t>
      </w:r>
      <w:r w:rsidRPr="00747A19">
        <w:t xml:space="preserve">0.0001), and season*treatment interactions (F=1.71; </w:t>
      </w:r>
      <w:r w:rsidRPr="00747A19">
        <w:rPr>
          <w:i/>
        </w:rPr>
        <w:t>P=</w:t>
      </w:r>
      <w:r w:rsidRPr="00747A19">
        <w:t>0.01) (</w:t>
      </w:r>
      <w:r>
        <w:t>Table 3.2</w:t>
      </w:r>
      <w:r w:rsidRPr="00747A19">
        <w:t>). The June growing season had the highest tissue concentration, but did not statistically separate from the September season. The January growing season had the lowest tissue concentration but did not separate from the April season. The season concentrations ranged from 5.41 µM</w:t>
      </w:r>
      <w:r w:rsidRPr="00747A19">
        <w:sym w:font="Symbol" w:char="F0D7"/>
      </w:r>
      <w:r w:rsidRPr="00747A19">
        <w:t>g</w:t>
      </w:r>
      <w:r w:rsidRPr="00747A19">
        <w:rPr>
          <w:vertAlign w:val="superscript"/>
        </w:rPr>
        <w:t>-1</w:t>
      </w:r>
      <w:r w:rsidRPr="00747A19">
        <w:t xml:space="preserve"> FM to 8.84 µM</w:t>
      </w:r>
      <w:r w:rsidRPr="00747A19">
        <w:sym w:font="Symbol" w:char="F0D7"/>
      </w:r>
      <w:r w:rsidRPr="00747A19">
        <w:t>g</w:t>
      </w:r>
      <w:r w:rsidRPr="00747A19">
        <w:rPr>
          <w:vertAlign w:val="superscript"/>
        </w:rPr>
        <w:t>-1</w:t>
      </w:r>
      <w:r w:rsidRPr="00747A19">
        <w:t xml:space="preserve"> FM (</w:t>
      </w:r>
      <w:r>
        <w:t>Table 3.3</w:t>
      </w:r>
      <w:r w:rsidRPr="00747A19">
        <w:t xml:space="preserve">). The 6B/94R treatment had the highest tissue concentration, but did not separate from the 450/W/470 or 12B/88R treatments. The 660/420/660 again had the lowest tissue concentration of any other treatment, and did not statistically separate </w:t>
      </w:r>
      <w:r w:rsidRPr="00747A19">
        <w:lastRenderedPageBreak/>
        <w:t>from the NL control and some of the LED treatments. The treatment concentrations ranged from 5.08 µM</w:t>
      </w:r>
      <w:r w:rsidRPr="00747A19">
        <w:sym w:font="Symbol" w:char="F0D7"/>
      </w:r>
      <w:r w:rsidRPr="00747A19">
        <w:t>g</w:t>
      </w:r>
      <w:r w:rsidRPr="00747A19">
        <w:rPr>
          <w:vertAlign w:val="superscript"/>
        </w:rPr>
        <w:t>-1</w:t>
      </w:r>
      <w:r w:rsidRPr="00747A19">
        <w:t xml:space="preserve"> FM to 9.77 µM</w:t>
      </w:r>
      <w:r w:rsidRPr="00747A19">
        <w:sym w:font="Symbol" w:char="F0D7"/>
      </w:r>
      <w:r w:rsidRPr="00747A19">
        <w:t>g</w:t>
      </w:r>
      <w:r w:rsidRPr="00747A19">
        <w:rPr>
          <w:vertAlign w:val="superscript"/>
        </w:rPr>
        <w:t>-1</w:t>
      </w:r>
      <w:r w:rsidRPr="00747A19">
        <w:t xml:space="preserve"> FM (</w:t>
      </w:r>
      <w:r>
        <w:t>Table 3.4</w:t>
      </w:r>
      <w:r w:rsidRPr="00747A19">
        <w:t>).</w:t>
      </w:r>
    </w:p>
    <w:p w14:paraId="5ABF47D4" w14:textId="77777777" w:rsidR="00126D8D" w:rsidRPr="00747A19" w:rsidRDefault="00126D8D" w:rsidP="00182739">
      <w:pPr>
        <w:pStyle w:val="MSThesisBodyTextJustified"/>
      </w:pPr>
      <w:r w:rsidRPr="00747A19">
        <w:t xml:space="preserve">1,4-Octadiene concentrations were significantly influenced by season (F=27.54; </w:t>
      </w:r>
      <w:r w:rsidRPr="00747A19">
        <w:rPr>
          <w:i/>
        </w:rPr>
        <w:t>P≤</w:t>
      </w:r>
      <w:r w:rsidRPr="00747A19">
        <w:t xml:space="preserve">0.0001), lighting treatment (F=3.60; </w:t>
      </w:r>
      <w:r w:rsidRPr="00747A19">
        <w:rPr>
          <w:i/>
        </w:rPr>
        <w:t>P≤</w:t>
      </w:r>
      <w:r w:rsidRPr="00747A19">
        <w:t xml:space="preserve">0.0001), and season*treatment interactions (F=2.18; </w:t>
      </w:r>
      <w:r w:rsidRPr="00747A19">
        <w:rPr>
          <w:i/>
        </w:rPr>
        <w:t>P=</w:t>
      </w:r>
      <w:r w:rsidRPr="00747A19">
        <w:t>0.0003) (</w:t>
      </w:r>
      <w:r>
        <w:t>Table 3.2</w:t>
      </w:r>
      <w:r w:rsidRPr="00747A19">
        <w:t>). The June growing season had the highest tissue concentration. The September growing season had the lowest tissue concentration but did not separate from the January season. The season concentrations ranged from 7.28 µM</w:t>
      </w:r>
      <w:r w:rsidRPr="00747A19">
        <w:sym w:font="Symbol" w:char="F0D7"/>
      </w:r>
      <w:r w:rsidRPr="00747A19">
        <w:t>g</w:t>
      </w:r>
      <w:r w:rsidRPr="00747A19">
        <w:rPr>
          <w:vertAlign w:val="superscript"/>
        </w:rPr>
        <w:t>-1</w:t>
      </w:r>
      <w:r w:rsidRPr="00747A19">
        <w:t xml:space="preserve"> FM to 40.63 µM</w:t>
      </w:r>
      <w:r w:rsidRPr="00747A19">
        <w:sym w:font="Symbol" w:char="F0D7"/>
      </w:r>
      <w:r w:rsidRPr="00747A19">
        <w:t>g</w:t>
      </w:r>
      <w:r w:rsidRPr="00747A19">
        <w:rPr>
          <w:vertAlign w:val="superscript"/>
        </w:rPr>
        <w:t>-1</w:t>
      </w:r>
      <w:r w:rsidRPr="00747A19">
        <w:t xml:space="preserve"> FM (</w:t>
      </w:r>
      <w:r>
        <w:t>Table 3.3</w:t>
      </w:r>
      <w:r w:rsidRPr="00747A19">
        <w:t>). The treatments 660/470/660 and 450/W/470 had the highest two tissue concentrations and did not statistically from each other, as well many of the other treatments and control. The lowest tissue concentrations were found in the 660/420/660 treatment, which only statistically separated from the highest two treatments in addition to the 6B/94R treatment. The treatment concentrations ranged from 8.98 µM</w:t>
      </w:r>
      <w:r w:rsidRPr="00747A19">
        <w:sym w:font="Symbol" w:char="F0D7"/>
      </w:r>
      <w:r w:rsidRPr="00747A19">
        <w:t>g</w:t>
      </w:r>
      <w:r w:rsidRPr="00747A19">
        <w:rPr>
          <w:vertAlign w:val="superscript"/>
        </w:rPr>
        <w:t>-1</w:t>
      </w:r>
      <w:r w:rsidRPr="00747A19">
        <w:t xml:space="preserve"> FM to 35.66 µM</w:t>
      </w:r>
      <w:r w:rsidRPr="00747A19">
        <w:sym w:font="Symbol" w:char="F0D7"/>
      </w:r>
      <w:r w:rsidRPr="00747A19">
        <w:t>g</w:t>
      </w:r>
      <w:r w:rsidRPr="00747A19">
        <w:rPr>
          <w:vertAlign w:val="superscript"/>
        </w:rPr>
        <w:t>-1</w:t>
      </w:r>
      <w:r w:rsidRPr="00747A19">
        <w:t xml:space="preserve"> FM (</w:t>
      </w:r>
      <w:r>
        <w:t>Table 3.4</w:t>
      </w:r>
      <w:r w:rsidRPr="00747A19">
        <w:t>).</w:t>
      </w:r>
    </w:p>
    <w:p w14:paraId="7733825A" w14:textId="77777777" w:rsidR="00126D8D" w:rsidRPr="00747A19" w:rsidRDefault="00126D8D" w:rsidP="00182739">
      <w:pPr>
        <w:pStyle w:val="MSThesisBodyTextJustified"/>
      </w:pPr>
      <w:r w:rsidRPr="00747A19">
        <w:t xml:space="preserve">2-Methyl-2-hepten-4-yne concentrations were significantly influenced by season (F=31.70; </w:t>
      </w:r>
      <w:r w:rsidRPr="00747A19">
        <w:rPr>
          <w:i/>
        </w:rPr>
        <w:t>P≤</w:t>
      </w:r>
      <w:r w:rsidRPr="00747A19">
        <w:t xml:space="preserve">0.0001), lighting treatment (F=9.23; </w:t>
      </w:r>
      <w:r w:rsidRPr="00747A19">
        <w:rPr>
          <w:i/>
        </w:rPr>
        <w:t>P≤</w:t>
      </w:r>
      <w:r w:rsidRPr="00747A19">
        <w:t xml:space="preserve">0.0001), and season*treatment interactions (F=2.07; </w:t>
      </w:r>
      <w:r w:rsidRPr="00747A19">
        <w:rPr>
          <w:i/>
        </w:rPr>
        <w:t>P=</w:t>
      </w:r>
      <w:r w:rsidRPr="00747A19">
        <w:t>0.0006) (</w:t>
      </w:r>
      <w:r>
        <w:t>Table 3.2</w:t>
      </w:r>
      <w:r w:rsidRPr="00747A19">
        <w:t>). The September growing season had the highest tissue concentration, but did not statistically separate from the June season. The January growing season had the lowest tissue concentration but did not separate from the April season. The season concentrations ranged from 6.56 µM</w:t>
      </w:r>
      <w:r w:rsidRPr="00747A19">
        <w:sym w:font="Symbol" w:char="F0D7"/>
      </w:r>
      <w:r w:rsidRPr="00747A19">
        <w:t>g</w:t>
      </w:r>
      <w:r w:rsidRPr="00747A19">
        <w:rPr>
          <w:vertAlign w:val="superscript"/>
        </w:rPr>
        <w:t>-1</w:t>
      </w:r>
      <w:r w:rsidRPr="00747A19">
        <w:t xml:space="preserve"> FM to 9.08 µM</w:t>
      </w:r>
      <w:r w:rsidRPr="00747A19">
        <w:sym w:font="Symbol" w:char="F0D7"/>
      </w:r>
      <w:r w:rsidRPr="00747A19">
        <w:t>g</w:t>
      </w:r>
      <w:r w:rsidRPr="00747A19">
        <w:rPr>
          <w:vertAlign w:val="superscript"/>
        </w:rPr>
        <w:t>-1</w:t>
      </w:r>
      <w:r w:rsidRPr="00747A19">
        <w:t xml:space="preserve"> FM (</w:t>
      </w:r>
      <w:r>
        <w:t>Table 3.3</w:t>
      </w:r>
      <w:r w:rsidRPr="00747A19">
        <w:t>). The treatment 6B/94R had the highest tissue concentration, but did not separate from the 450/W/470 and 12B/88R treatments. The lowest tissue concentrations were again found in the 660/420/660 treatment, which did not separate from the NL control and some of the LED treatments. The treatment concentrations ranged from 5.52 µM</w:t>
      </w:r>
      <w:r w:rsidRPr="00747A19">
        <w:sym w:font="Symbol" w:char="F0D7"/>
      </w:r>
      <w:r w:rsidRPr="00747A19">
        <w:t>g</w:t>
      </w:r>
      <w:r w:rsidRPr="00747A19">
        <w:rPr>
          <w:vertAlign w:val="superscript"/>
        </w:rPr>
        <w:t>-1</w:t>
      </w:r>
      <w:r w:rsidRPr="00747A19">
        <w:t xml:space="preserve"> FM to 10.20 µM</w:t>
      </w:r>
      <w:r w:rsidRPr="00747A19">
        <w:sym w:font="Symbol" w:char="F0D7"/>
      </w:r>
      <w:r w:rsidRPr="00747A19">
        <w:t>g</w:t>
      </w:r>
      <w:r w:rsidRPr="00747A19">
        <w:rPr>
          <w:vertAlign w:val="superscript"/>
        </w:rPr>
        <w:t>-1</w:t>
      </w:r>
      <w:r w:rsidRPr="00747A19">
        <w:t xml:space="preserve"> FM (</w:t>
      </w:r>
      <w:r>
        <w:t>Table 3.4</w:t>
      </w:r>
      <w:r w:rsidRPr="00747A19">
        <w:t>).</w:t>
      </w:r>
    </w:p>
    <w:p w14:paraId="0E1CBDF2" w14:textId="77777777" w:rsidR="00126D8D" w:rsidRPr="00747A19" w:rsidRDefault="00126D8D" w:rsidP="00182739">
      <w:pPr>
        <w:pStyle w:val="MSThesisBodyTextJustified"/>
      </w:pPr>
      <w:r w:rsidRPr="00747A19">
        <w:lastRenderedPageBreak/>
        <w:t xml:space="preserve">1-Methylcyclohexene concentrations were significantly influenced by season (F=135.93; </w:t>
      </w:r>
      <w:r w:rsidRPr="00747A19">
        <w:rPr>
          <w:i/>
        </w:rPr>
        <w:t>P≤</w:t>
      </w:r>
      <w:r w:rsidRPr="00747A19">
        <w:t xml:space="preserve">0.0001) and lighting treatment (F=1.92; </w:t>
      </w:r>
      <w:r w:rsidRPr="00747A19">
        <w:rPr>
          <w:i/>
        </w:rPr>
        <w:t>P=</w:t>
      </w:r>
      <w:r w:rsidRPr="00747A19">
        <w:t xml:space="preserve">0.0356), but not by season*treatment interactions (F=1.04; </w:t>
      </w:r>
      <w:r w:rsidRPr="00747A19">
        <w:rPr>
          <w:i/>
        </w:rPr>
        <w:t>P=</w:t>
      </w:r>
      <w:r w:rsidRPr="00747A19">
        <w:t>0.4174) (</w:t>
      </w:r>
      <w:r>
        <w:t>Table 3.2</w:t>
      </w:r>
      <w:r w:rsidRPr="00747A19">
        <w:t>). The September growing season had the highest tissue concentrations, which separated from all other seasons. The lowest tissue concentrations were found during the January growing season, but did not separate from the April and June seasons. The season concentrations ranged from 23.40 µM</w:t>
      </w:r>
      <w:r w:rsidRPr="00747A19">
        <w:sym w:font="Symbol" w:char="F0D7"/>
      </w:r>
      <w:r w:rsidRPr="00747A19">
        <w:t>g</w:t>
      </w:r>
      <w:r w:rsidRPr="00747A19">
        <w:rPr>
          <w:vertAlign w:val="superscript"/>
        </w:rPr>
        <w:t>-1</w:t>
      </w:r>
      <w:r w:rsidRPr="00747A19">
        <w:t xml:space="preserve"> FM to 89.07 µM</w:t>
      </w:r>
      <w:r w:rsidRPr="00747A19">
        <w:sym w:font="Symbol" w:char="F0D7"/>
      </w:r>
      <w:r w:rsidRPr="00747A19">
        <w:t>g</w:t>
      </w:r>
      <w:r w:rsidRPr="00747A19">
        <w:rPr>
          <w:vertAlign w:val="superscript"/>
        </w:rPr>
        <w:t>-1</w:t>
      </w:r>
      <w:r w:rsidRPr="00747A19">
        <w:t xml:space="preserve"> FM (</w:t>
      </w:r>
      <w:r>
        <w:t>Table 3.3</w:t>
      </w:r>
      <w:r w:rsidRPr="00747A19">
        <w:t>). The treatment concentrations ranged from 179.01 µM</w:t>
      </w:r>
      <w:r w:rsidRPr="00747A19">
        <w:sym w:font="Symbol" w:char="F0D7"/>
      </w:r>
      <w:r w:rsidRPr="00747A19">
        <w:t>g</w:t>
      </w:r>
      <w:r w:rsidRPr="00747A19">
        <w:rPr>
          <w:vertAlign w:val="superscript"/>
        </w:rPr>
        <w:t>-1</w:t>
      </w:r>
      <w:r w:rsidRPr="00747A19">
        <w:t xml:space="preserve"> FM to 235.55 µM</w:t>
      </w:r>
      <w:r w:rsidRPr="00747A19">
        <w:sym w:font="Symbol" w:char="F0D7"/>
      </w:r>
      <w:r w:rsidRPr="00747A19">
        <w:t>g</w:t>
      </w:r>
      <w:r w:rsidRPr="00747A19">
        <w:rPr>
          <w:vertAlign w:val="superscript"/>
        </w:rPr>
        <w:t>-1</w:t>
      </w:r>
      <w:r w:rsidRPr="00747A19">
        <w:t xml:space="preserve"> FM; while the p-value from ANOVA did pass the 0.05 threshold, Tukey’s </w:t>
      </w:r>
      <w:r>
        <w:t xml:space="preserve">protected LSD </w:t>
      </w:r>
      <w:r w:rsidRPr="00747A19">
        <w:t>test did not indicate separation of means across treatments (Tables 2 and 4).</w:t>
      </w:r>
    </w:p>
    <w:p w14:paraId="7FAF9B24" w14:textId="77777777" w:rsidR="00126D8D" w:rsidRPr="00747A19" w:rsidRDefault="00126D8D" w:rsidP="00182739">
      <w:pPr>
        <w:pStyle w:val="MSThesisBodyTextJustified"/>
      </w:pPr>
      <w:r w:rsidRPr="00747A19">
        <w:t xml:space="preserve">Cycloheptene concentrations were significantly influenced by season (F=3.18; </w:t>
      </w:r>
      <w:r w:rsidRPr="00747A19">
        <w:rPr>
          <w:i/>
        </w:rPr>
        <w:t>P=</w:t>
      </w:r>
      <w:r w:rsidRPr="00747A19">
        <w:t xml:space="preserve">0.0258), but not by lighting treatment (F=0.67; </w:t>
      </w:r>
      <w:r w:rsidRPr="00747A19">
        <w:rPr>
          <w:i/>
        </w:rPr>
        <w:t>P=</w:t>
      </w:r>
      <w:r w:rsidRPr="00747A19">
        <w:t xml:space="preserve">0.7661) or season*treatment interactions (F=1.05; </w:t>
      </w:r>
      <w:r w:rsidRPr="00747A19">
        <w:rPr>
          <w:i/>
        </w:rPr>
        <w:t>P=</w:t>
      </w:r>
      <w:r w:rsidRPr="00747A19">
        <w:t>0.411) (</w:t>
      </w:r>
      <w:r>
        <w:t>Table 3.2</w:t>
      </w:r>
      <w:r w:rsidRPr="00747A19">
        <w:t>). This compound was found in very low concentrations. The June and September growing seasons had the two highest concentrations and did not statistically separate. The January and April growing seasons had the two lowest concentrations and did not statistically separate. The season concentrations ranged from 0.73 µM</w:t>
      </w:r>
      <w:r w:rsidRPr="00747A19">
        <w:sym w:font="Symbol" w:char="F0D7"/>
      </w:r>
      <w:r w:rsidRPr="00747A19">
        <w:t>g</w:t>
      </w:r>
      <w:r w:rsidRPr="00747A19">
        <w:rPr>
          <w:vertAlign w:val="superscript"/>
        </w:rPr>
        <w:t>-1</w:t>
      </w:r>
      <w:r w:rsidRPr="00747A19">
        <w:t xml:space="preserve"> FM to 1.09 µM</w:t>
      </w:r>
      <w:r w:rsidRPr="00747A19">
        <w:sym w:font="Symbol" w:char="F0D7"/>
      </w:r>
      <w:r w:rsidRPr="00747A19">
        <w:t>g</w:t>
      </w:r>
      <w:r w:rsidRPr="00747A19">
        <w:rPr>
          <w:vertAlign w:val="superscript"/>
        </w:rPr>
        <w:t>-1</w:t>
      </w:r>
      <w:r w:rsidRPr="00747A19">
        <w:t xml:space="preserve"> FM (</w:t>
      </w:r>
      <w:r>
        <w:t>Table 3.3</w:t>
      </w:r>
      <w:r w:rsidRPr="00747A19">
        <w:t>). Treatment concentrations ranged from 0.70 µM</w:t>
      </w:r>
      <w:r w:rsidRPr="00747A19">
        <w:sym w:font="Symbol" w:char="F0D7"/>
      </w:r>
      <w:r w:rsidRPr="00747A19">
        <w:t>g</w:t>
      </w:r>
      <w:r w:rsidRPr="00747A19">
        <w:rPr>
          <w:vertAlign w:val="superscript"/>
        </w:rPr>
        <w:t>-1</w:t>
      </w:r>
      <w:r w:rsidRPr="00747A19">
        <w:t xml:space="preserve"> FM to 1.01 µM</w:t>
      </w:r>
      <w:r w:rsidRPr="00747A19">
        <w:sym w:font="Symbol" w:char="F0D7"/>
      </w:r>
      <w:r w:rsidRPr="00747A19">
        <w:t>g</w:t>
      </w:r>
      <w:r w:rsidRPr="00747A19">
        <w:rPr>
          <w:vertAlign w:val="superscript"/>
        </w:rPr>
        <w:t>-1</w:t>
      </w:r>
      <w:r w:rsidRPr="00747A19">
        <w:t xml:space="preserve"> FM (</w:t>
      </w:r>
      <w:r>
        <w:t>Table 3.4</w:t>
      </w:r>
      <w:r w:rsidRPr="00747A19">
        <w:t>).</w:t>
      </w:r>
    </w:p>
    <w:p w14:paraId="0EDFB70E" w14:textId="77777777" w:rsidR="00126D8D" w:rsidRPr="00747A19" w:rsidRDefault="00126D8D" w:rsidP="00182739">
      <w:pPr>
        <w:pStyle w:val="MSThesisBodyTextJustified"/>
      </w:pPr>
    </w:p>
    <w:p w14:paraId="377E5B0B" w14:textId="77777777" w:rsidR="00126D8D" w:rsidRPr="00747A19" w:rsidRDefault="00126D8D" w:rsidP="000958A5">
      <w:pPr>
        <w:pStyle w:val="MastersThesisSectionHeader"/>
      </w:pPr>
      <w:bookmarkStart w:id="421" w:name="_Toc139574808"/>
      <w:bookmarkStart w:id="422" w:name="_Toc141478678"/>
      <w:r w:rsidRPr="00747A19">
        <w:t>Acyclic Monoterpenes</w:t>
      </w:r>
      <w:bookmarkEnd w:id="421"/>
      <w:bookmarkEnd w:id="422"/>
    </w:p>
    <w:p w14:paraId="05778F5D" w14:textId="77777777" w:rsidR="00126D8D" w:rsidRPr="00747A19" w:rsidRDefault="00126D8D" w:rsidP="00182739">
      <w:pPr>
        <w:pStyle w:val="MSThesisBodyTextJustified"/>
      </w:pPr>
      <w:r w:rsidRPr="00747A19">
        <w:t xml:space="preserve">2,6-Dimethyl-2,4,6-octatriene concentrations were significantly influenced by season (F=65.54; </w:t>
      </w:r>
      <w:r w:rsidRPr="00747A19">
        <w:rPr>
          <w:i/>
        </w:rPr>
        <w:t>P≤</w:t>
      </w:r>
      <w:r w:rsidRPr="00747A19">
        <w:t xml:space="preserve">0.0001), lighting treatment (F=12.59; </w:t>
      </w:r>
      <w:r w:rsidRPr="00747A19">
        <w:rPr>
          <w:i/>
        </w:rPr>
        <w:t>P≤</w:t>
      </w:r>
      <w:r w:rsidRPr="00747A19">
        <w:t xml:space="preserve">0.0001), and season*treatment interactions (F=3.43; </w:t>
      </w:r>
      <w:r w:rsidRPr="00747A19">
        <w:rPr>
          <w:i/>
        </w:rPr>
        <w:t>P≤</w:t>
      </w:r>
      <w:r w:rsidRPr="00747A19">
        <w:t>0.0001) (</w:t>
      </w:r>
      <w:r>
        <w:t>Table 3.2</w:t>
      </w:r>
      <w:r w:rsidRPr="00747A19">
        <w:t>). The June growing season had the highest tissue concentration, while the lowest concentration was found in January. Each of the growing seasons statistically separated. The season concentrations ranged from 1.77 µM</w:t>
      </w:r>
      <w:r w:rsidRPr="00747A19">
        <w:sym w:font="Symbol" w:char="F0D7"/>
      </w:r>
      <w:r w:rsidRPr="00747A19">
        <w:t>g</w:t>
      </w:r>
      <w:r w:rsidRPr="00747A19">
        <w:rPr>
          <w:vertAlign w:val="superscript"/>
        </w:rPr>
        <w:t>-1</w:t>
      </w:r>
      <w:r w:rsidRPr="00747A19">
        <w:t xml:space="preserve"> FM to 6.30 µM</w:t>
      </w:r>
      <w:r w:rsidRPr="00747A19">
        <w:sym w:font="Symbol" w:char="F0D7"/>
      </w:r>
      <w:r w:rsidRPr="00747A19">
        <w:t>g</w:t>
      </w:r>
      <w:r w:rsidRPr="00747A19">
        <w:rPr>
          <w:vertAlign w:val="superscript"/>
        </w:rPr>
        <w:t>-1</w:t>
      </w:r>
      <w:r w:rsidRPr="00747A19">
        <w:t xml:space="preserve"> FM (</w:t>
      </w:r>
      <w:r>
        <w:t>Table 3.3</w:t>
      </w:r>
      <w:r w:rsidRPr="00747A19">
        <w:t xml:space="preserve">). </w:t>
      </w:r>
      <w:r w:rsidRPr="00747A19">
        <w:lastRenderedPageBreak/>
        <w:t>The 6B/94R treatment had the highest tissue concentration, which statistically separated from all other treatments. The NL control had the lowest concentration of any treatment, and did not statistically separate from many of the LED treatments as well as the HPS and W/W/W treatments. The treatment tissue concentrations ranged from 2.55 µM</w:t>
      </w:r>
      <w:r w:rsidRPr="00747A19">
        <w:sym w:font="Symbol" w:char="F0D7"/>
      </w:r>
      <w:r w:rsidRPr="00747A19">
        <w:t>g</w:t>
      </w:r>
      <w:r w:rsidRPr="00747A19">
        <w:rPr>
          <w:vertAlign w:val="superscript"/>
        </w:rPr>
        <w:t>-1</w:t>
      </w:r>
      <w:r w:rsidRPr="00747A19">
        <w:t xml:space="preserve"> FM to 7.65 µM</w:t>
      </w:r>
      <w:r w:rsidRPr="00747A19">
        <w:sym w:font="Symbol" w:char="F0D7"/>
      </w:r>
      <w:r w:rsidRPr="00747A19">
        <w:t>g</w:t>
      </w:r>
      <w:r w:rsidRPr="00747A19">
        <w:rPr>
          <w:vertAlign w:val="superscript"/>
        </w:rPr>
        <w:t>-1</w:t>
      </w:r>
      <w:r w:rsidRPr="00747A19">
        <w:t xml:space="preserve"> FM (</w:t>
      </w:r>
      <w:r>
        <w:t>Table 3.4</w:t>
      </w:r>
      <w:r w:rsidRPr="00747A19">
        <w:t>).</w:t>
      </w:r>
    </w:p>
    <w:p w14:paraId="56C39882" w14:textId="77777777" w:rsidR="00126D8D" w:rsidRPr="00747A19" w:rsidRDefault="00126D8D" w:rsidP="00182739">
      <w:pPr>
        <w:pStyle w:val="MSThesisBodyTextJustified"/>
      </w:pPr>
      <w:r w:rsidRPr="00747A19">
        <w:t xml:space="preserve">cis-β-Ocimene concentrations were significantly influenced by season (F=48.61; </w:t>
      </w:r>
      <w:r w:rsidRPr="00747A19">
        <w:rPr>
          <w:i/>
        </w:rPr>
        <w:t>P≤</w:t>
      </w:r>
      <w:r w:rsidRPr="00747A19">
        <w:t xml:space="preserve">0.0001), lighting treatment (F=3.18; </w:t>
      </w:r>
      <w:r w:rsidRPr="00747A19">
        <w:rPr>
          <w:i/>
        </w:rPr>
        <w:t>P=</w:t>
      </w:r>
      <w:r w:rsidRPr="00747A19">
        <w:t xml:space="preserve">0.0004), and season*treatment interactions (F=1.81; </w:t>
      </w:r>
      <w:r w:rsidRPr="00747A19">
        <w:rPr>
          <w:i/>
        </w:rPr>
        <w:t>P=</w:t>
      </w:r>
      <w:r w:rsidRPr="00747A19">
        <w:t>0.0048) (</w:t>
      </w:r>
      <w:r>
        <w:t>Table 3.2</w:t>
      </w:r>
      <w:r w:rsidRPr="00747A19">
        <w:t>). The June growing season had the highest tissue concentration, while the lowest concentration was found in September. Each of the growing seasons statistically separated. The season concentrations ranged from 145.81 µM</w:t>
      </w:r>
      <w:r w:rsidRPr="00747A19">
        <w:sym w:font="Symbol" w:char="F0D7"/>
      </w:r>
      <w:r w:rsidRPr="00747A19">
        <w:t>g</w:t>
      </w:r>
      <w:r w:rsidRPr="00747A19">
        <w:rPr>
          <w:vertAlign w:val="superscript"/>
        </w:rPr>
        <w:t>-1</w:t>
      </w:r>
      <w:r w:rsidRPr="00747A19">
        <w:t xml:space="preserve"> FM to 754.18 µM</w:t>
      </w:r>
      <w:r w:rsidRPr="00747A19">
        <w:sym w:font="Symbol" w:char="F0D7"/>
      </w:r>
      <w:r w:rsidRPr="00747A19">
        <w:t>g</w:t>
      </w:r>
      <w:r w:rsidRPr="00747A19">
        <w:rPr>
          <w:vertAlign w:val="superscript"/>
        </w:rPr>
        <w:t>-1</w:t>
      </w:r>
      <w:r w:rsidRPr="00747A19">
        <w:t xml:space="preserve"> FM (</w:t>
      </w:r>
      <w:r>
        <w:t>Table 3.3</w:t>
      </w:r>
      <w:r w:rsidRPr="00747A19">
        <w:t>). The 6B/94R treatment again had the highest tissue concentrations, and statistically separated from some of the LED treatments as well as the HPS and W/W/W treatments. The NL control had the lowest concentration, but did not separate from the broadband treatments and many of the LED treatments. The treatment tissue concentrations ranged from 343.47 µM</w:t>
      </w:r>
      <w:r w:rsidRPr="00747A19">
        <w:sym w:font="Symbol" w:char="F0D7"/>
      </w:r>
      <w:r w:rsidRPr="00747A19">
        <w:t>g</w:t>
      </w:r>
      <w:r w:rsidRPr="00747A19">
        <w:rPr>
          <w:vertAlign w:val="superscript"/>
        </w:rPr>
        <w:t>-1</w:t>
      </w:r>
      <w:r w:rsidRPr="00747A19">
        <w:t xml:space="preserve"> FM to 756.25 µM</w:t>
      </w:r>
      <w:r w:rsidRPr="00747A19">
        <w:sym w:font="Symbol" w:char="F0D7"/>
      </w:r>
      <w:r w:rsidRPr="00747A19">
        <w:t>g</w:t>
      </w:r>
      <w:r w:rsidRPr="00747A19">
        <w:rPr>
          <w:vertAlign w:val="superscript"/>
        </w:rPr>
        <w:t>-1</w:t>
      </w:r>
      <w:r w:rsidRPr="00747A19">
        <w:t xml:space="preserve"> FM (</w:t>
      </w:r>
      <w:r>
        <w:t>Table 3.4</w:t>
      </w:r>
      <w:r w:rsidRPr="00747A19">
        <w:t>).</w:t>
      </w:r>
    </w:p>
    <w:p w14:paraId="28BE9622" w14:textId="77777777" w:rsidR="00126D8D" w:rsidRPr="00747A19" w:rsidRDefault="00126D8D" w:rsidP="00182739">
      <w:pPr>
        <w:pStyle w:val="MSThesisBodyTextJustified"/>
      </w:pPr>
      <w:r w:rsidRPr="00747A19">
        <w:t xml:space="preserve">Citronellyl Acetate concentrations were significantly influenced by season (F=13.31; </w:t>
      </w:r>
      <w:r w:rsidRPr="00747A19">
        <w:rPr>
          <w:i/>
        </w:rPr>
        <w:t>P≤</w:t>
      </w:r>
      <w:r w:rsidRPr="00747A19">
        <w:t xml:space="preserve">0.0001), lighting treatment (F=2.7; </w:t>
      </w:r>
      <w:r w:rsidRPr="00747A19">
        <w:rPr>
          <w:i/>
        </w:rPr>
        <w:t>P=</w:t>
      </w:r>
      <w:r w:rsidRPr="00747A19">
        <w:t xml:space="preserve">0.0024), and season*treatment interactions (F=1.75; </w:t>
      </w:r>
      <w:r w:rsidRPr="00747A19">
        <w:rPr>
          <w:i/>
        </w:rPr>
        <w:t>P=</w:t>
      </w:r>
      <w:r w:rsidRPr="00747A19">
        <w:t>0.0085) (</w:t>
      </w:r>
      <w:r>
        <w:t>Table 3.2</w:t>
      </w:r>
      <w:r w:rsidRPr="00747A19">
        <w:t>). The June growing season had the highest tissue concentration, while the lowest concentration was found in January. September statistically separated from June and January, but not from the April growing season. The season concentrations ranged from 188.27 µM</w:t>
      </w:r>
      <w:r w:rsidRPr="00747A19">
        <w:sym w:font="Symbol" w:char="F0D7"/>
      </w:r>
      <w:r w:rsidRPr="00747A19">
        <w:t>g</w:t>
      </w:r>
      <w:r w:rsidRPr="00747A19">
        <w:rPr>
          <w:vertAlign w:val="superscript"/>
        </w:rPr>
        <w:t>-1</w:t>
      </w:r>
      <w:r w:rsidRPr="00747A19">
        <w:t xml:space="preserve"> FM to 193.66 µM</w:t>
      </w:r>
      <w:r w:rsidRPr="00747A19">
        <w:sym w:font="Symbol" w:char="F0D7"/>
      </w:r>
      <w:r w:rsidRPr="00747A19">
        <w:t>g</w:t>
      </w:r>
      <w:r w:rsidRPr="00747A19">
        <w:rPr>
          <w:vertAlign w:val="superscript"/>
        </w:rPr>
        <w:t>-1</w:t>
      </w:r>
      <w:r w:rsidRPr="00747A19">
        <w:t xml:space="preserve"> FM (</w:t>
      </w:r>
      <w:r>
        <w:t>Table 3.3</w:t>
      </w:r>
      <w:r w:rsidRPr="00747A19">
        <w:t xml:space="preserve">). The 6B/94R treatment had the highest tissue concentrations, and statistically separated from some of the LED treatments, but not the NL control or broadband treatments. The high blue 470/450/420 treatment had the lowest concentration, but </w:t>
      </w:r>
      <w:r w:rsidRPr="00747A19">
        <w:lastRenderedPageBreak/>
        <w:t>only separated from the 6B/94R treatment. The treatment tissue concentrations ranged from 189.24 µM</w:t>
      </w:r>
      <w:r w:rsidRPr="00747A19">
        <w:sym w:font="Symbol" w:char="F0D7"/>
      </w:r>
      <w:r w:rsidRPr="00747A19">
        <w:t>g</w:t>
      </w:r>
      <w:r w:rsidRPr="00747A19">
        <w:rPr>
          <w:vertAlign w:val="superscript"/>
        </w:rPr>
        <w:t>-1</w:t>
      </w:r>
      <w:r w:rsidRPr="00747A19">
        <w:t xml:space="preserve"> FM to 194.78 µM</w:t>
      </w:r>
      <w:r w:rsidRPr="00747A19">
        <w:sym w:font="Symbol" w:char="F0D7"/>
      </w:r>
      <w:r w:rsidRPr="00747A19">
        <w:t>g</w:t>
      </w:r>
      <w:r w:rsidRPr="00747A19">
        <w:rPr>
          <w:vertAlign w:val="superscript"/>
        </w:rPr>
        <w:t>-1</w:t>
      </w:r>
      <w:r w:rsidRPr="00747A19">
        <w:t xml:space="preserve"> FM (</w:t>
      </w:r>
      <w:r>
        <w:t>Table 3.4</w:t>
      </w:r>
      <w:r w:rsidRPr="00747A19">
        <w:t>).</w:t>
      </w:r>
    </w:p>
    <w:p w14:paraId="32926733" w14:textId="77777777" w:rsidR="00126D8D" w:rsidRPr="00747A19" w:rsidRDefault="00126D8D" w:rsidP="00182739">
      <w:pPr>
        <w:pStyle w:val="MSThesisBodyTextJustified"/>
      </w:pPr>
      <w:r w:rsidRPr="00747A19">
        <w:t xml:space="preserve">Linalool concentrations were significantly influenced by season (F=47.53; </w:t>
      </w:r>
      <w:r w:rsidRPr="00747A19">
        <w:rPr>
          <w:i/>
        </w:rPr>
        <w:t>P≤</w:t>
      </w:r>
      <w:r w:rsidRPr="00747A19">
        <w:t xml:space="preserve">0.0001), lighting treatment (F=2.17; </w:t>
      </w:r>
      <w:r w:rsidRPr="00747A19">
        <w:rPr>
          <w:i/>
        </w:rPr>
        <w:t>P=</w:t>
      </w:r>
      <w:r w:rsidRPr="00747A19">
        <w:t xml:space="preserve">0.0152), and season*treatment interactions (F=1.57; </w:t>
      </w:r>
      <w:r w:rsidRPr="00747A19">
        <w:rPr>
          <w:i/>
        </w:rPr>
        <w:t>P=</w:t>
      </w:r>
      <w:r w:rsidRPr="00747A19">
        <w:t>0.0262) (</w:t>
      </w:r>
      <w:r>
        <w:t>Table 3.2</w:t>
      </w:r>
      <w:r w:rsidRPr="00747A19">
        <w:t>). The January growing season had the highest tissue concentration, while the lowest concentration was found in September. January, April, and June all statistically separated from September, but not from each other. The season concentrations ranged from 239.32 µM</w:t>
      </w:r>
      <w:r w:rsidRPr="00747A19">
        <w:sym w:font="Symbol" w:char="F0D7"/>
      </w:r>
      <w:r w:rsidRPr="00747A19">
        <w:t>g</w:t>
      </w:r>
      <w:r w:rsidRPr="00747A19">
        <w:rPr>
          <w:vertAlign w:val="superscript"/>
        </w:rPr>
        <w:t>-1</w:t>
      </w:r>
      <w:r w:rsidRPr="00747A19">
        <w:t xml:space="preserve"> FM to 925.12 µM</w:t>
      </w:r>
      <w:r w:rsidRPr="00747A19">
        <w:sym w:font="Symbol" w:char="F0D7"/>
      </w:r>
      <w:r w:rsidRPr="00747A19">
        <w:t>g</w:t>
      </w:r>
      <w:r w:rsidRPr="00747A19">
        <w:rPr>
          <w:vertAlign w:val="superscript"/>
        </w:rPr>
        <w:t>-1</w:t>
      </w:r>
      <w:r w:rsidRPr="00747A19">
        <w:t xml:space="preserve"> FM (Table 3). The 660/470/660 treatment had the highest tissue concentrations, but only statistically separated from the 660/420/660 treatment; none of the other treatments showed statistical separation. The treatment tissue concentrations ranged from 602.95 µM</w:t>
      </w:r>
      <w:r w:rsidRPr="00747A19">
        <w:sym w:font="Symbol" w:char="F0D7"/>
      </w:r>
      <w:r w:rsidRPr="00747A19">
        <w:t>g</w:t>
      </w:r>
      <w:r w:rsidRPr="00747A19">
        <w:rPr>
          <w:vertAlign w:val="superscript"/>
        </w:rPr>
        <w:t>-1</w:t>
      </w:r>
      <w:r w:rsidRPr="00747A19">
        <w:t xml:space="preserve"> FM to 924.86 µM</w:t>
      </w:r>
      <w:r w:rsidRPr="00747A19">
        <w:sym w:font="Symbol" w:char="F0D7"/>
      </w:r>
      <w:r w:rsidRPr="00747A19">
        <w:t>g</w:t>
      </w:r>
      <w:r w:rsidRPr="00747A19">
        <w:rPr>
          <w:vertAlign w:val="superscript"/>
        </w:rPr>
        <w:t>-1</w:t>
      </w:r>
      <w:r w:rsidRPr="00747A19">
        <w:t xml:space="preserve"> FM (</w:t>
      </w:r>
      <w:r>
        <w:t>Table 3.4</w:t>
      </w:r>
      <w:r w:rsidRPr="00747A19">
        <w:t>).</w:t>
      </w:r>
    </w:p>
    <w:p w14:paraId="358DE8FE" w14:textId="77777777" w:rsidR="00126D8D" w:rsidRPr="00747A19" w:rsidRDefault="00126D8D" w:rsidP="00182739">
      <w:pPr>
        <w:pStyle w:val="MSThesisBodyTextJustified"/>
      </w:pPr>
      <w:r w:rsidRPr="00747A19">
        <w:t xml:space="preserve">trans-β-Ocimene concentrations were significantly influenced by season (F=80.44; </w:t>
      </w:r>
      <w:r w:rsidRPr="00747A19">
        <w:rPr>
          <w:i/>
        </w:rPr>
        <w:t>P≤</w:t>
      </w:r>
      <w:r w:rsidRPr="00747A19">
        <w:t xml:space="preserve">0.0001), lighting treatment (F=6.97; </w:t>
      </w:r>
      <w:r w:rsidRPr="00747A19">
        <w:rPr>
          <w:i/>
        </w:rPr>
        <w:t>P≤</w:t>
      </w:r>
      <w:r w:rsidRPr="00747A19">
        <w:t xml:space="preserve">0.0001), and season*treatment interactions (F=3.19; </w:t>
      </w:r>
      <w:r w:rsidRPr="00747A19">
        <w:rPr>
          <w:i/>
        </w:rPr>
        <w:t>P≤</w:t>
      </w:r>
      <w:r w:rsidRPr="00747A19">
        <w:t>0.0001) (</w:t>
      </w:r>
      <w:r>
        <w:t>Table 3.2</w:t>
      </w:r>
      <w:r w:rsidRPr="00747A19">
        <w:t>). The June growing season had the highest tissue concentration, while the lowest concentration was found in September. September statistically separated from June and April, but not from the January growing season. The season concentrations ranged from 57.16 µM</w:t>
      </w:r>
      <w:r w:rsidRPr="00747A19">
        <w:sym w:font="Symbol" w:char="F0D7"/>
      </w:r>
      <w:r w:rsidRPr="00747A19">
        <w:t>g</w:t>
      </w:r>
      <w:r w:rsidRPr="00747A19">
        <w:rPr>
          <w:vertAlign w:val="superscript"/>
        </w:rPr>
        <w:t>-1</w:t>
      </w:r>
      <w:r w:rsidRPr="00747A19">
        <w:t xml:space="preserve"> FM to 351.14 µM</w:t>
      </w:r>
      <w:r w:rsidRPr="00747A19">
        <w:sym w:font="Symbol" w:char="F0D7"/>
      </w:r>
      <w:r w:rsidRPr="00747A19">
        <w:t>g</w:t>
      </w:r>
      <w:r w:rsidRPr="00747A19">
        <w:rPr>
          <w:vertAlign w:val="superscript"/>
        </w:rPr>
        <w:t>-1</w:t>
      </w:r>
      <w:r w:rsidRPr="00747A19">
        <w:t xml:space="preserve"> FM (</w:t>
      </w:r>
      <w:r>
        <w:t>Table 3.3</w:t>
      </w:r>
      <w:r w:rsidRPr="00747A19">
        <w:t>). The 6B/94R treatment had the highest tissue concentrations, and statistically separated from all the other treatments except for 450/W/470. Many of the LED treatments do not show separation among themselves. The lowest concentration was found in the 660/420/660 treatment, but it did not separate from the NL control, many narrowband treatments, and the HPS and W/W/W treatments. The treatment tissue concentrations ranged from 111.37 µM</w:t>
      </w:r>
      <w:r w:rsidRPr="00747A19">
        <w:sym w:font="Symbol" w:char="F0D7"/>
      </w:r>
      <w:r w:rsidRPr="00747A19">
        <w:t>g</w:t>
      </w:r>
      <w:r w:rsidRPr="00747A19">
        <w:rPr>
          <w:vertAlign w:val="superscript"/>
        </w:rPr>
        <w:t>-1</w:t>
      </w:r>
      <w:r w:rsidRPr="00747A19">
        <w:t xml:space="preserve"> FM to 357.86 µM</w:t>
      </w:r>
      <w:r w:rsidRPr="00747A19">
        <w:sym w:font="Symbol" w:char="F0D7"/>
      </w:r>
      <w:r w:rsidRPr="00747A19">
        <w:t>g</w:t>
      </w:r>
      <w:r w:rsidRPr="00747A19">
        <w:rPr>
          <w:vertAlign w:val="superscript"/>
        </w:rPr>
        <w:t>-1</w:t>
      </w:r>
      <w:r w:rsidRPr="00747A19">
        <w:t xml:space="preserve"> FM (</w:t>
      </w:r>
      <w:r>
        <w:t>Table 3.4</w:t>
      </w:r>
      <w:r w:rsidRPr="00747A19">
        <w:t>).</w:t>
      </w:r>
    </w:p>
    <w:p w14:paraId="20302D78" w14:textId="77777777" w:rsidR="00126D8D" w:rsidRPr="00747A19" w:rsidRDefault="00126D8D" w:rsidP="00182739">
      <w:pPr>
        <w:pStyle w:val="MSThesisBodyTextJustified"/>
      </w:pPr>
      <w:r w:rsidRPr="00747A19">
        <w:lastRenderedPageBreak/>
        <w:t xml:space="preserve">α-Ocimene concentrations were significantly influenced by season (F=195.03; </w:t>
      </w:r>
      <w:r w:rsidRPr="00747A19">
        <w:rPr>
          <w:i/>
        </w:rPr>
        <w:t>P≤</w:t>
      </w:r>
      <w:r w:rsidRPr="00747A19">
        <w:t xml:space="preserve">0.0001) and season*treatment interactions (F=2.00; </w:t>
      </w:r>
      <w:r w:rsidRPr="00747A19">
        <w:rPr>
          <w:i/>
        </w:rPr>
        <w:t>P=</w:t>
      </w:r>
      <w:r w:rsidRPr="00747A19">
        <w:t xml:space="preserve">0.0011), but not by treatment (F=1.29; </w:t>
      </w:r>
      <w:r w:rsidRPr="00747A19">
        <w:rPr>
          <w:i/>
        </w:rPr>
        <w:t>P=</w:t>
      </w:r>
      <w:r w:rsidRPr="00747A19">
        <w:t>0.2295) (</w:t>
      </w:r>
      <w:r>
        <w:t>Table 3.2</w:t>
      </w:r>
      <w:r w:rsidRPr="00747A19">
        <w:t>). The September growing season had the highest tissue concentration, while the lowest concentration was found in April. September separated from the other seasons, but the January, April, and June seasons did not separate amongst themselves. September had approximately 5-20x tissue concentrations compared to other seasons. The season concentrations ranged from 75.23 µM</w:t>
      </w:r>
      <w:r w:rsidRPr="00747A19">
        <w:sym w:font="Symbol" w:char="F0D7"/>
      </w:r>
      <w:r w:rsidRPr="00747A19">
        <w:t>g</w:t>
      </w:r>
      <w:r w:rsidRPr="00747A19">
        <w:rPr>
          <w:vertAlign w:val="superscript"/>
        </w:rPr>
        <w:t>-1</w:t>
      </w:r>
      <w:r w:rsidRPr="00747A19">
        <w:t xml:space="preserve"> FM to 493.99 µM</w:t>
      </w:r>
      <w:r w:rsidRPr="00747A19">
        <w:sym w:font="Symbol" w:char="F0D7"/>
      </w:r>
      <w:r w:rsidRPr="00747A19">
        <w:t>g</w:t>
      </w:r>
      <w:r w:rsidRPr="00747A19">
        <w:rPr>
          <w:vertAlign w:val="superscript"/>
        </w:rPr>
        <w:t>-1</w:t>
      </w:r>
      <w:r w:rsidRPr="00747A19">
        <w:t xml:space="preserve"> FM (</w:t>
      </w:r>
      <w:r>
        <w:t>Table 3.3</w:t>
      </w:r>
      <w:r w:rsidRPr="00747A19">
        <w:t>). Treatments did not statistically separate, and tissue concentrations ranged from 98.66 µM</w:t>
      </w:r>
      <w:r w:rsidRPr="00747A19">
        <w:sym w:font="Symbol" w:char="F0D7"/>
      </w:r>
      <w:r w:rsidRPr="00747A19">
        <w:t>g</w:t>
      </w:r>
      <w:r w:rsidRPr="00747A19">
        <w:rPr>
          <w:vertAlign w:val="superscript"/>
        </w:rPr>
        <w:t>-1</w:t>
      </w:r>
      <w:r w:rsidRPr="00747A19">
        <w:t xml:space="preserve"> FM to 212.20 µM</w:t>
      </w:r>
      <w:r w:rsidRPr="00747A19">
        <w:sym w:font="Symbol" w:char="F0D7"/>
      </w:r>
      <w:r w:rsidRPr="00747A19">
        <w:t>g</w:t>
      </w:r>
      <w:r w:rsidRPr="00747A19">
        <w:rPr>
          <w:vertAlign w:val="superscript"/>
        </w:rPr>
        <w:t>-1</w:t>
      </w:r>
      <w:r w:rsidRPr="00747A19">
        <w:t xml:space="preserve"> FM (</w:t>
      </w:r>
      <w:r>
        <w:t>Table 3.4</w:t>
      </w:r>
      <w:r w:rsidRPr="00747A19">
        <w:t>).</w:t>
      </w:r>
    </w:p>
    <w:p w14:paraId="734D1C39" w14:textId="77777777" w:rsidR="00126D8D" w:rsidRPr="00747A19" w:rsidRDefault="00126D8D" w:rsidP="00182739">
      <w:pPr>
        <w:pStyle w:val="MSThesisBodyTextJustified"/>
      </w:pPr>
      <w:r w:rsidRPr="00747A19">
        <w:t xml:space="preserve">β-Myrcene concentrations were significantly influenced by season (F=268.9; </w:t>
      </w:r>
      <w:r w:rsidRPr="00747A19">
        <w:rPr>
          <w:i/>
        </w:rPr>
        <w:t>P≤</w:t>
      </w:r>
      <w:r w:rsidRPr="00747A19">
        <w:t xml:space="preserve">0.0001), lighting treatment (F=5.15; </w:t>
      </w:r>
      <w:r w:rsidRPr="00747A19">
        <w:rPr>
          <w:i/>
        </w:rPr>
        <w:t>P≤</w:t>
      </w:r>
      <w:r w:rsidRPr="00747A19">
        <w:t xml:space="preserve">0.0001), and season*treatment interactions (F=2.83; </w:t>
      </w:r>
      <w:r w:rsidRPr="00747A19">
        <w:rPr>
          <w:i/>
        </w:rPr>
        <w:t>P≤</w:t>
      </w:r>
      <w:r w:rsidRPr="00747A19">
        <w:t>0.0001) (</w:t>
      </w:r>
      <w:r>
        <w:t>Table 3.2</w:t>
      </w:r>
      <w:r w:rsidRPr="00747A19">
        <w:t>). The June growing season had the highest tissue concentration, while the lowest concentration was found in September. June did not statistically separate from April; September statistically separated from all other treatments and had drastically lower concentrations when compared to other seasons. The season concentrations ranged from 9.36 µM</w:t>
      </w:r>
      <w:r w:rsidRPr="00747A19">
        <w:sym w:font="Symbol" w:char="F0D7"/>
      </w:r>
      <w:r w:rsidRPr="00747A19">
        <w:t>g</w:t>
      </w:r>
      <w:r w:rsidRPr="00747A19">
        <w:rPr>
          <w:vertAlign w:val="superscript"/>
        </w:rPr>
        <w:t>-1</w:t>
      </w:r>
      <w:r w:rsidRPr="00747A19">
        <w:t xml:space="preserve"> FM to 407.65 µM</w:t>
      </w:r>
      <w:r w:rsidRPr="00747A19">
        <w:sym w:font="Symbol" w:char="F0D7"/>
      </w:r>
      <w:r w:rsidRPr="00747A19">
        <w:t>g</w:t>
      </w:r>
      <w:r w:rsidRPr="00747A19">
        <w:rPr>
          <w:vertAlign w:val="superscript"/>
        </w:rPr>
        <w:t>-1</w:t>
      </w:r>
      <w:r w:rsidRPr="00747A19">
        <w:t xml:space="preserve"> FM (</w:t>
      </w:r>
      <w:r>
        <w:t>Table 3.3</w:t>
      </w:r>
      <w:r w:rsidRPr="00747A19">
        <w:t>). The 6B/94R treatment had the highest tissue concentrations, and statistically separated from the NL control, HPS, and W/W/W treatments. The 660/420/660 treatment had the lowest concentration, which separated from the 660/470/660, 450/W/470, and PhysioSpec treatments. The treatment tissue concentrations ranged from 203.27 µM</w:t>
      </w:r>
      <w:r w:rsidRPr="00747A19">
        <w:sym w:font="Symbol" w:char="F0D7"/>
      </w:r>
      <w:r w:rsidRPr="00747A19">
        <w:t>g</w:t>
      </w:r>
      <w:r w:rsidRPr="00747A19">
        <w:rPr>
          <w:vertAlign w:val="superscript"/>
        </w:rPr>
        <w:t>-1</w:t>
      </w:r>
      <w:r w:rsidRPr="00747A19">
        <w:t xml:space="preserve"> FM to 345.31 µM</w:t>
      </w:r>
      <w:r w:rsidRPr="00747A19">
        <w:sym w:font="Symbol" w:char="F0D7"/>
      </w:r>
      <w:r w:rsidRPr="00747A19">
        <w:t>g</w:t>
      </w:r>
      <w:r w:rsidRPr="00747A19">
        <w:rPr>
          <w:vertAlign w:val="superscript"/>
        </w:rPr>
        <w:t>-1</w:t>
      </w:r>
      <w:r w:rsidRPr="00747A19">
        <w:t xml:space="preserve"> FM (</w:t>
      </w:r>
      <w:r>
        <w:t>Table 3.4</w:t>
      </w:r>
      <w:r w:rsidRPr="00747A19">
        <w:t>).</w:t>
      </w:r>
    </w:p>
    <w:p w14:paraId="7040A96B" w14:textId="77777777" w:rsidR="00126D8D" w:rsidRPr="00747A19" w:rsidRDefault="00126D8D" w:rsidP="00182739">
      <w:pPr>
        <w:pStyle w:val="MSThesisBodyTextJustified"/>
      </w:pPr>
    </w:p>
    <w:p w14:paraId="7BB071AB" w14:textId="77777777" w:rsidR="00126D8D" w:rsidRPr="00747A19" w:rsidRDefault="00126D8D" w:rsidP="000958A5">
      <w:pPr>
        <w:pStyle w:val="MastersThesisSectionHeader"/>
      </w:pPr>
      <w:bookmarkStart w:id="423" w:name="_Toc139574809"/>
      <w:bookmarkStart w:id="424" w:name="_Toc141478679"/>
      <w:r w:rsidRPr="00747A19">
        <w:t>Bicyclic Monoterpenes</w:t>
      </w:r>
      <w:bookmarkEnd w:id="423"/>
      <w:bookmarkEnd w:id="424"/>
    </w:p>
    <w:p w14:paraId="3B059A71" w14:textId="77777777" w:rsidR="00126D8D" w:rsidRDefault="00126D8D" w:rsidP="00182739">
      <w:pPr>
        <w:pStyle w:val="MSThesisBodyTextJustified"/>
      </w:pPr>
      <w:r w:rsidRPr="00747A19">
        <w:t>3-Caren-10-al</w:t>
      </w:r>
      <w:r w:rsidRPr="00747A19">
        <w:tab/>
        <w:t xml:space="preserve">concentrations were significantly influenced by season (F=17.21; </w:t>
      </w:r>
      <w:r w:rsidRPr="00747A19">
        <w:rPr>
          <w:i/>
        </w:rPr>
        <w:t>P≤</w:t>
      </w:r>
      <w:r w:rsidRPr="00747A19">
        <w:t xml:space="preserve">0.0001) and treatment (F=2.24; </w:t>
      </w:r>
      <w:r w:rsidRPr="00747A19">
        <w:rPr>
          <w:i/>
        </w:rPr>
        <w:t>P=</w:t>
      </w:r>
      <w:r w:rsidRPr="00747A19">
        <w:t xml:space="preserve">0.0123), but not by season*treatment interactions (F=1.06; </w:t>
      </w:r>
      <w:r w:rsidRPr="00747A19">
        <w:rPr>
          <w:i/>
        </w:rPr>
        <w:lastRenderedPageBreak/>
        <w:t>P=</w:t>
      </w:r>
      <w:r w:rsidRPr="00747A19">
        <w:t>0.3871) (</w:t>
      </w:r>
      <w:r>
        <w:t>Table 3.2</w:t>
      </w:r>
      <w:r w:rsidRPr="00747A19">
        <w:t>). The September growing season had the highest concentration and was statistically separated from the lowest season, which was April. Season concentrations ranged from 1.21 µM</w:t>
      </w:r>
      <w:r w:rsidRPr="00747A19">
        <w:sym w:font="Symbol" w:char="F0D7"/>
      </w:r>
      <w:r w:rsidRPr="00747A19">
        <w:t>g</w:t>
      </w:r>
      <w:r w:rsidRPr="00747A19">
        <w:rPr>
          <w:vertAlign w:val="superscript"/>
        </w:rPr>
        <w:t>-1</w:t>
      </w:r>
      <w:r w:rsidRPr="00747A19">
        <w:t xml:space="preserve"> FM to 2.51 µM</w:t>
      </w:r>
      <w:r w:rsidRPr="00747A19">
        <w:sym w:font="Symbol" w:char="F0D7"/>
      </w:r>
      <w:r w:rsidRPr="00747A19">
        <w:t>g</w:t>
      </w:r>
      <w:r w:rsidRPr="00747A19">
        <w:rPr>
          <w:vertAlign w:val="superscript"/>
        </w:rPr>
        <w:t>-1</w:t>
      </w:r>
      <w:r w:rsidRPr="00747A19">
        <w:t xml:space="preserve"> FM (Table 3). The treatments 450/W/470 and 6B/94R were both significantly higher than the NL control, but the other treatments did not separate statistically. The treatment concentrations ranged from 1.32 µM</w:t>
      </w:r>
      <w:r w:rsidRPr="00747A19">
        <w:sym w:font="Symbol" w:char="F0D7"/>
      </w:r>
      <w:r w:rsidRPr="00747A19">
        <w:t>g</w:t>
      </w:r>
      <w:r w:rsidRPr="00747A19">
        <w:rPr>
          <w:vertAlign w:val="superscript"/>
        </w:rPr>
        <w:t>-1</w:t>
      </w:r>
      <w:r w:rsidRPr="00747A19">
        <w:t xml:space="preserve"> FM to 2.40 µM</w:t>
      </w:r>
      <w:r w:rsidRPr="00747A19">
        <w:sym w:font="Symbol" w:char="F0D7"/>
      </w:r>
      <w:r w:rsidRPr="00747A19">
        <w:t>g</w:t>
      </w:r>
      <w:r w:rsidRPr="00747A19">
        <w:rPr>
          <w:vertAlign w:val="superscript"/>
        </w:rPr>
        <w:t>-1</w:t>
      </w:r>
      <w:r w:rsidRPr="00747A19">
        <w:t xml:space="preserve"> FM (</w:t>
      </w:r>
      <w:r>
        <w:t>Table 3.4</w:t>
      </w:r>
      <w:r w:rsidRPr="00747A19">
        <w:t>).</w:t>
      </w:r>
    </w:p>
    <w:p w14:paraId="6102BB7D" w14:textId="77777777" w:rsidR="00126D8D" w:rsidRPr="00747A19" w:rsidRDefault="00126D8D" w:rsidP="00182739">
      <w:pPr>
        <w:pStyle w:val="MSThesisBodyTextJustified"/>
      </w:pPr>
      <w:r w:rsidRPr="00747A19">
        <w:t xml:space="preserve">(+)-4-Carene concentrations were significantly influenced by season (F=27.75; </w:t>
      </w:r>
      <w:r w:rsidRPr="00747A19">
        <w:rPr>
          <w:i/>
        </w:rPr>
        <w:t>P≤</w:t>
      </w:r>
      <w:r w:rsidRPr="00747A19">
        <w:t xml:space="preserve">0.0001), lighting treatment (F=7.00; </w:t>
      </w:r>
      <w:r w:rsidRPr="00747A19">
        <w:rPr>
          <w:i/>
        </w:rPr>
        <w:t>P≤</w:t>
      </w:r>
      <w:r w:rsidRPr="00747A19">
        <w:t xml:space="preserve">0.0001), and season*treatment interactions (F=1.57; </w:t>
      </w:r>
      <w:r w:rsidRPr="00747A19">
        <w:rPr>
          <w:i/>
        </w:rPr>
        <w:t>P=</w:t>
      </w:r>
      <w:r w:rsidRPr="00747A19">
        <w:t>0.0254) (</w:t>
      </w:r>
      <w:r>
        <w:t>Table 3.2</w:t>
      </w:r>
      <w:r w:rsidRPr="00747A19">
        <w:t>). The June growing season had the highest tissue concentration, while the lowest concentration was found in January. All of the season concentration averages statistically separated from each other. The season concentrations ranged from 16.93 µM</w:t>
      </w:r>
      <w:r w:rsidRPr="00747A19">
        <w:sym w:font="Symbol" w:char="F0D7"/>
      </w:r>
      <w:r w:rsidRPr="00747A19">
        <w:t>g</w:t>
      </w:r>
      <w:r w:rsidRPr="00747A19">
        <w:rPr>
          <w:vertAlign w:val="superscript"/>
        </w:rPr>
        <w:t>-1</w:t>
      </w:r>
      <w:r w:rsidRPr="00747A19">
        <w:t xml:space="preserve"> FM to 61.46 µM</w:t>
      </w:r>
      <w:r w:rsidRPr="00747A19">
        <w:sym w:font="Symbol" w:char="F0D7"/>
      </w:r>
      <w:r w:rsidRPr="00747A19">
        <w:t>g</w:t>
      </w:r>
      <w:r w:rsidRPr="00747A19">
        <w:rPr>
          <w:vertAlign w:val="superscript"/>
        </w:rPr>
        <w:t>-1</w:t>
      </w:r>
      <w:r w:rsidRPr="00747A19">
        <w:t xml:space="preserve"> FM (Table 3). The 6B/94R treatment had the highest tissue concentrations, and statistically separated from the NL control, HPS, and W/W/W treatments. The 660/420/660 treatment had the lowest concentration, which separated from the 660/470/660, 450/W/470, and 6B/94R treatments. The treatment tissue concentrations ranged from 18.67 µM</w:t>
      </w:r>
      <w:r w:rsidRPr="00747A19">
        <w:sym w:font="Symbol" w:char="F0D7"/>
      </w:r>
      <w:r w:rsidRPr="00747A19">
        <w:t>g</w:t>
      </w:r>
      <w:r w:rsidRPr="00747A19">
        <w:rPr>
          <w:vertAlign w:val="superscript"/>
        </w:rPr>
        <w:t>-1</w:t>
      </w:r>
      <w:r w:rsidRPr="00747A19">
        <w:t xml:space="preserve"> FM to 45.46 µM</w:t>
      </w:r>
      <w:r w:rsidRPr="00747A19">
        <w:sym w:font="Symbol" w:char="F0D7"/>
      </w:r>
      <w:r w:rsidRPr="00747A19">
        <w:t>g</w:t>
      </w:r>
      <w:r w:rsidRPr="00747A19">
        <w:rPr>
          <w:vertAlign w:val="superscript"/>
        </w:rPr>
        <w:t>-1</w:t>
      </w:r>
      <w:r w:rsidRPr="00747A19">
        <w:t xml:space="preserve"> FM (</w:t>
      </w:r>
      <w:r>
        <w:t>Table 3.4</w:t>
      </w:r>
      <w:r w:rsidRPr="00747A19">
        <w:t>).</w:t>
      </w:r>
    </w:p>
    <w:p w14:paraId="40DF8D77" w14:textId="77777777" w:rsidR="00126D8D" w:rsidRPr="00747A19" w:rsidRDefault="00126D8D" w:rsidP="00182739">
      <w:pPr>
        <w:pStyle w:val="MSThesisBodyTextJustified"/>
      </w:pPr>
      <w:r w:rsidRPr="00747A19">
        <w:t xml:space="preserve">3-Carene concentrations were significantly influenced by season (F=24.28; </w:t>
      </w:r>
      <w:r w:rsidRPr="00747A19">
        <w:rPr>
          <w:i/>
        </w:rPr>
        <w:t>P≤</w:t>
      </w:r>
      <w:r w:rsidRPr="00747A19">
        <w:t xml:space="preserve">0.0001) and season*treatment interactions (F=2.35; </w:t>
      </w:r>
      <w:r w:rsidRPr="00747A19">
        <w:rPr>
          <w:i/>
        </w:rPr>
        <w:t>P=</w:t>
      </w:r>
      <w:r w:rsidRPr="00747A19">
        <w:t xml:space="preserve">0.0005), but not by lighting treatment (F=4.53; </w:t>
      </w:r>
      <w:r w:rsidRPr="00747A19">
        <w:rPr>
          <w:i/>
        </w:rPr>
        <w:t>P=</w:t>
      </w:r>
      <w:r w:rsidRPr="00747A19">
        <w:t>0.0521) (</w:t>
      </w:r>
      <w:r>
        <w:t>Table 3.2</w:t>
      </w:r>
      <w:r w:rsidRPr="00747A19">
        <w:t>). The June growing season had the highest tissue concentration, but did not statistically separate from April or September. January growing season had the lowest concentration, separating from the other seasons. The season concentrations ranged from 379.21 µM</w:t>
      </w:r>
      <w:r w:rsidRPr="00747A19">
        <w:sym w:font="Symbol" w:char="F0D7"/>
      </w:r>
      <w:r w:rsidRPr="00747A19">
        <w:t>g</w:t>
      </w:r>
      <w:r w:rsidRPr="00747A19">
        <w:rPr>
          <w:vertAlign w:val="superscript"/>
        </w:rPr>
        <w:t>-1</w:t>
      </w:r>
      <w:r w:rsidRPr="00747A19">
        <w:t xml:space="preserve"> FM to 559.24 µM</w:t>
      </w:r>
      <w:r w:rsidRPr="00747A19">
        <w:sym w:font="Symbol" w:char="F0D7"/>
      </w:r>
      <w:r w:rsidRPr="00747A19">
        <w:t>g</w:t>
      </w:r>
      <w:r w:rsidRPr="00747A19">
        <w:rPr>
          <w:vertAlign w:val="superscript"/>
        </w:rPr>
        <w:t>-1</w:t>
      </w:r>
      <w:r w:rsidRPr="00747A19">
        <w:t xml:space="preserve"> FM (</w:t>
      </w:r>
      <w:r>
        <w:t>Table 3.3</w:t>
      </w:r>
      <w:r w:rsidRPr="00747A19">
        <w:t xml:space="preserve">). </w:t>
      </w:r>
    </w:p>
    <w:p w14:paraId="5B42ED03" w14:textId="77777777" w:rsidR="00126D8D" w:rsidRPr="00747A19" w:rsidRDefault="00126D8D" w:rsidP="00182739">
      <w:pPr>
        <w:pStyle w:val="MSThesisBodyTextJustified"/>
      </w:pPr>
      <w:r w:rsidRPr="00747A19">
        <w:t xml:space="preserve">Camphene concentrations were significantly influenced by season (F=70.69; </w:t>
      </w:r>
      <w:r w:rsidRPr="00747A19">
        <w:rPr>
          <w:i/>
        </w:rPr>
        <w:t>P≤</w:t>
      </w:r>
      <w:r w:rsidRPr="00747A19">
        <w:t xml:space="preserve">0.0001), lighting treatment (F=9.41; </w:t>
      </w:r>
      <w:r w:rsidRPr="00747A19">
        <w:rPr>
          <w:i/>
        </w:rPr>
        <w:t>P≤</w:t>
      </w:r>
      <w:r w:rsidRPr="00747A19">
        <w:t xml:space="preserve">0.0001), and season*treatment interactions (F=1.52; </w:t>
      </w:r>
      <w:r w:rsidRPr="00747A19">
        <w:rPr>
          <w:i/>
        </w:rPr>
        <w:t>P=</w:t>
      </w:r>
      <w:r w:rsidRPr="00747A19">
        <w:t>0.0356) (</w:t>
      </w:r>
      <w:r>
        <w:t>Table 3.2</w:t>
      </w:r>
      <w:r w:rsidRPr="00747A19">
        <w:t xml:space="preserve">). The September growing season had the highest tissue concentration, while the lowest </w:t>
      </w:r>
      <w:r w:rsidRPr="00747A19">
        <w:lastRenderedPageBreak/>
        <w:t>concentration was found in January. The September season statistically separated from the other seasons, but January, April, and June did not separate amongst themselves. The season concentrations ranged from 23.41 µM</w:t>
      </w:r>
      <w:r w:rsidRPr="00747A19">
        <w:sym w:font="Symbol" w:char="F0D7"/>
      </w:r>
      <w:r w:rsidRPr="00747A19">
        <w:t>g</w:t>
      </w:r>
      <w:r w:rsidRPr="00747A19">
        <w:rPr>
          <w:vertAlign w:val="superscript"/>
        </w:rPr>
        <w:t>-1</w:t>
      </w:r>
      <w:r w:rsidRPr="00747A19">
        <w:t xml:space="preserve"> FM to 55.77 µM</w:t>
      </w:r>
      <w:r w:rsidRPr="00747A19">
        <w:sym w:font="Symbol" w:char="F0D7"/>
      </w:r>
      <w:r w:rsidRPr="00747A19">
        <w:t>g</w:t>
      </w:r>
      <w:r w:rsidRPr="00747A19">
        <w:rPr>
          <w:vertAlign w:val="superscript"/>
        </w:rPr>
        <w:t>-1</w:t>
      </w:r>
      <w:r w:rsidRPr="00747A19">
        <w:t xml:space="preserve"> FM (</w:t>
      </w:r>
      <w:r>
        <w:t>Table 3.3</w:t>
      </w:r>
      <w:r w:rsidRPr="00747A19">
        <w:t>). The 450/W/470 treatment had the highest tissue concentrations, but did not statistically separate from the PhysioSpec and 660/470/660 treatments; the 450/W/470 did separate from the HPS, W/W/W, and NL control. The 660/420/660 treatment had the lowest concentration, which separated from the 660/470/660, 450/W/470, and PhysioSpec treatments. The treatment tissue concentrations ranged from 22.72 µM</w:t>
      </w:r>
      <w:r w:rsidRPr="00747A19">
        <w:sym w:font="Symbol" w:char="F0D7"/>
      </w:r>
      <w:r w:rsidRPr="00747A19">
        <w:t>g</w:t>
      </w:r>
      <w:r w:rsidRPr="00747A19">
        <w:rPr>
          <w:vertAlign w:val="superscript"/>
        </w:rPr>
        <w:t>-1</w:t>
      </w:r>
      <w:r w:rsidRPr="00747A19">
        <w:t xml:space="preserve"> FM to 51.23 µM</w:t>
      </w:r>
      <w:r w:rsidRPr="00747A19">
        <w:sym w:font="Symbol" w:char="F0D7"/>
      </w:r>
      <w:r w:rsidRPr="00747A19">
        <w:t>g</w:t>
      </w:r>
      <w:r w:rsidRPr="00747A19">
        <w:rPr>
          <w:vertAlign w:val="superscript"/>
        </w:rPr>
        <w:t>-1</w:t>
      </w:r>
      <w:r w:rsidRPr="00747A19">
        <w:t xml:space="preserve"> FM (</w:t>
      </w:r>
      <w:r>
        <w:t>Table 3.4</w:t>
      </w:r>
      <w:r w:rsidRPr="00747A19">
        <w:t>).</w:t>
      </w:r>
    </w:p>
    <w:p w14:paraId="318B83AD" w14:textId="77777777" w:rsidR="00126D8D" w:rsidRPr="00747A19" w:rsidRDefault="00126D8D" w:rsidP="00182739">
      <w:pPr>
        <w:pStyle w:val="MSThesisBodyTextJustified"/>
      </w:pPr>
      <w:r w:rsidRPr="00747A19">
        <w:t xml:space="preserve">Isoborneol concentrations were significantly influenced by season (F=22.21; </w:t>
      </w:r>
      <w:r w:rsidRPr="00747A19">
        <w:rPr>
          <w:i/>
        </w:rPr>
        <w:t>P≤</w:t>
      </w:r>
      <w:r w:rsidRPr="00747A19">
        <w:t xml:space="preserve">0.0001), lighting treatment (F=3.85; </w:t>
      </w:r>
      <w:r w:rsidRPr="00747A19">
        <w:rPr>
          <w:i/>
        </w:rPr>
        <w:t>P≤</w:t>
      </w:r>
      <w:r w:rsidRPr="00747A19">
        <w:t xml:space="preserve">0.0001), and season*treatment interactions (F=1.51; </w:t>
      </w:r>
      <w:r w:rsidRPr="00747A19">
        <w:rPr>
          <w:i/>
        </w:rPr>
        <w:t>P=</w:t>
      </w:r>
      <w:r w:rsidRPr="00747A19">
        <w:t>0.0367) (</w:t>
      </w:r>
      <w:r>
        <w:t>Table 3.2</w:t>
      </w:r>
      <w:r w:rsidRPr="00747A19">
        <w:t>). The September growing season had the highest tissue concentration, while the lowest concentration was found in April. September, June, and April all statistically separated, but January did not separate from June and April. The season concentrations ranged from 23.53 µM</w:t>
      </w:r>
      <w:r w:rsidRPr="00747A19">
        <w:sym w:font="Symbol" w:char="F0D7"/>
      </w:r>
      <w:r w:rsidRPr="00747A19">
        <w:t>g</w:t>
      </w:r>
      <w:r w:rsidRPr="00747A19">
        <w:rPr>
          <w:vertAlign w:val="superscript"/>
        </w:rPr>
        <w:t>-1</w:t>
      </w:r>
      <w:r w:rsidRPr="00747A19">
        <w:t xml:space="preserve"> FM to 49.74 µM</w:t>
      </w:r>
      <w:r w:rsidRPr="00747A19">
        <w:sym w:font="Symbol" w:char="F0D7"/>
      </w:r>
      <w:r w:rsidRPr="00747A19">
        <w:t>g</w:t>
      </w:r>
      <w:r w:rsidRPr="00747A19">
        <w:rPr>
          <w:vertAlign w:val="superscript"/>
        </w:rPr>
        <w:t>-1</w:t>
      </w:r>
      <w:r w:rsidRPr="00747A19">
        <w:t xml:space="preserve"> FM (</w:t>
      </w:r>
      <w:r>
        <w:t>Table 3.3</w:t>
      </w:r>
      <w:r w:rsidRPr="00747A19">
        <w:t>). The 6B/94R treatment had the highest tissue concentrations, and statistically separated from the NL control and HPS treatments, as well as some of the LED treatments. The 660/420/660 treatment had the lowest concentration, which did not separate from the NL control and the majority of LED treatments. The treatment tissue concentrations ranged from 22.05 µM</w:t>
      </w:r>
      <w:r w:rsidRPr="00747A19">
        <w:sym w:font="Symbol" w:char="F0D7"/>
      </w:r>
      <w:r w:rsidRPr="00747A19">
        <w:t>g</w:t>
      </w:r>
      <w:r w:rsidRPr="00747A19">
        <w:rPr>
          <w:vertAlign w:val="superscript"/>
        </w:rPr>
        <w:t>-1</w:t>
      </w:r>
      <w:r w:rsidRPr="00747A19">
        <w:t xml:space="preserve"> FM to 51.35 µM</w:t>
      </w:r>
      <w:r w:rsidRPr="00747A19">
        <w:sym w:font="Symbol" w:char="F0D7"/>
      </w:r>
      <w:r w:rsidRPr="00747A19">
        <w:t>g</w:t>
      </w:r>
      <w:r w:rsidRPr="00747A19">
        <w:rPr>
          <w:vertAlign w:val="superscript"/>
        </w:rPr>
        <w:t>-1</w:t>
      </w:r>
      <w:r w:rsidRPr="00747A19">
        <w:t xml:space="preserve"> FM (</w:t>
      </w:r>
      <w:r>
        <w:t>Table 3.4</w:t>
      </w:r>
      <w:r w:rsidRPr="00747A19">
        <w:t>).</w:t>
      </w:r>
    </w:p>
    <w:p w14:paraId="504759CA" w14:textId="77777777" w:rsidR="00126D8D" w:rsidRPr="00747A19" w:rsidRDefault="00126D8D" w:rsidP="00182739">
      <w:pPr>
        <w:pStyle w:val="MSThesisBodyTextJustified"/>
      </w:pPr>
      <w:r w:rsidRPr="00747A19">
        <w:t xml:space="preserve">trans-Pinocarveol concentrations were significantly influenced by season (F=7.36; </w:t>
      </w:r>
      <w:r w:rsidRPr="00747A19">
        <w:rPr>
          <w:i/>
        </w:rPr>
        <w:t>P≤</w:t>
      </w:r>
      <w:r w:rsidRPr="00747A19">
        <w:t xml:space="preserve">0.0001), lighting treatment (F=3.32; </w:t>
      </w:r>
      <w:r w:rsidRPr="00747A19">
        <w:rPr>
          <w:i/>
        </w:rPr>
        <w:t>P=</w:t>
      </w:r>
      <w:r w:rsidRPr="00747A19">
        <w:t xml:space="preserve">0.0002), and season*treatment interactions (F=1.89; </w:t>
      </w:r>
      <w:r w:rsidRPr="00747A19">
        <w:rPr>
          <w:i/>
        </w:rPr>
        <w:t>P=</w:t>
      </w:r>
      <w:r w:rsidRPr="00747A19">
        <w:t>0.00027) (</w:t>
      </w:r>
      <w:r>
        <w:t>Table 3.2</w:t>
      </w:r>
      <w:r w:rsidRPr="00747A19">
        <w:t>). The September growing season had the highest tissue concentration, while the lowest concentration was found in January. The season concentrations ranged from 3.60 µM</w:t>
      </w:r>
      <w:r w:rsidRPr="00747A19">
        <w:sym w:font="Symbol" w:char="F0D7"/>
      </w:r>
      <w:r w:rsidRPr="00747A19">
        <w:t>g</w:t>
      </w:r>
      <w:r w:rsidRPr="00747A19">
        <w:rPr>
          <w:vertAlign w:val="superscript"/>
        </w:rPr>
        <w:t>-1</w:t>
      </w:r>
      <w:r w:rsidRPr="00747A19">
        <w:t xml:space="preserve"> FM to 6.13 µM</w:t>
      </w:r>
      <w:r w:rsidRPr="00747A19">
        <w:sym w:font="Symbol" w:char="F0D7"/>
      </w:r>
      <w:r w:rsidRPr="00747A19">
        <w:t>g</w:t>
      </w:r>
      <w:r w:rsidRPr="00747A19">
        <w:rPr>
          <w:vertAlign w:val="superscript"/>
        </w:rPr>
        <w:t>-1</w:t>
      </w:r>
      <w:r w:rsidRPr="00747A19">
        <w:t xml:space="preserve"> FM (</w:t>
      </w:r>
      <w:r>
        <w:t>Table 3.3</w:t>
      </w:r>
      <w:r w:rsidRPr="00747A19">
        <w:t xml:space="preserve">). The 6B/94R treatment again had the highest tissue </w:t>
      </w:r>
      <w:r w:rsidRPr="00747A19">
        <w:lastRenderedPageBreak/>
        <w:t>concentrations, which separated from the 660/420/660, 660/450/660, and W/W/W treatments. The 660/420/660 treatment had the lowest concentration, but the only treatment that was statistically significantly different was the 6B/94R treatment. The treatment tissue concentrations ranged from 3.12 µM</w:t>
      </w:r>
      <w:r w:rsidRPr="00747A19">
        <w:sym w:font="Symbol" w:char="F0D7"/>
      </w:r>
      <w:r w:rsidRPr="00747A19">
        <w:t>g</w:t>
      </w:r>
      <w:r w:rsidRPr="00747A19">
        <w:rPr>
          <w:vertAlign w:val="superscript"/>
        </w:rPr>
        <w:t>-1</w:t>
      </w:r>
      <w:r w:rsidRPr="00747A19">
        <w:t xml:space="preserve"> FM to 7.30 µM</w:t>
      </w:r>
      <w:r w:rsidRPr="00747A19">
        <w:sym w:font="Symbol" w:char="F0D7"/>
      </w:r>
      <w:r w:rsidRPr="00747A19">
        <w:t>g</w:t>
      </w:r>
      <w:r w:rsidRPr="00747A19">
        <w:rPr>
          <w:vertAlign w:val="superscript"/>
        </w:rPr>
        <w:t>-1</w:t>
      </w:r>
      <w:r w:rsidRPr="00747A19">
        <w:t xml:space="preserve"> FM (</w:t>
      </w:r>
      <w:r>
        <w:t>Table 3.4</w:t>
      </w:r>
      <w:r w:rsidRPr="00747A19">
        <w:t>).</w:t>
      </w:r>
    </w:p>
    <w:p w14:paraId="5C4C8155" w14:textId="77777777" w:rsidR="00126D8D" w:rsidRPr="00747A19" w:rsidRDefault="00126D8D" w:rsidP="00182739">
      <w:pPr>
        <w:pStyle w:val="MSThesisBodyTextJustified"/>
      </w:pPr>
      <w:r w:rsidRPr="00747A19">
        <w:t xml:space="preserve">trans-Sabinene hydrate concentrations were significantly influenced by season (F=158.38; </w:t>
      </w:r>
      <w:r w:rsidRPr="00747A19">
        <w:rPr>
          <w:i/>
        </w:rPr>
        <w:t>P≤</w:t>
      </w:r>
      <w:r w:rsidRPr="00747A19">
        <w:t xml:space="preserve">0.0001), lighting treatment (F=5.80; </w:t>
      </w:r>
      <w:r w:rsidRPr="00747A19">
        <w:rPr>
          <w:i/>
        </w:rPr>
        <w:t>P≤</w:t>
      </w:r>
      <w:r w:rsidRPr="00747A19">
        <w:t xml:space="preserve">0.0001), and season*treatment interactions (F=2.66; </w:t>
      </w:r>
      <w:r w:rsidRPr="00747A19">
        <w:rPr>
          <w:i/>
        </w:rPr>
        <w:t>P≤</w:t>
      </w:r>
      <w:r w:rsidRPr="00747A19">
        <w:t>0.0001) (</w:t>
      </w:r>
      <w:r>
        <w:t>Table 3.2</w:t>
      </w:r>
      <w:r w:rsidRPr="00747A19">
        <w:t>). The June growing season had the highest tissue concentration, while the lowest concentration was found in January. September and January did not statistically separate. The season concentrations ranged from 10.04 µM</w:t>
      </w:r>
      <w:r w:rsidRPr="00747A19">
        <w:sym w:font="Symbol" w:char="F0D7"/>
      </w:r>
      <w:r w:rsidRPr="00747A19">
        <w:t>g</w:t>
      </w:r>
      <w:r w:rsidRPr="00747A19">
        <w:rPr>
          <w:vertAlign w:val="superscript"/>
        </w:rPr>
        <w:t>-1</w:t>
      </w:r>
      <w:r w:rsidRPr="00747A19">
        <w:t xml:space="preserve"> FM to 37.07 µM</w:t>
      </w:r>
      <w:r w:rsidRPr="00747A19">
        <w:sym w:font="Symbol" w:char="F0D7"/>
      </w:r>
      <w:r w:rsidRPr="00747A19">
        <w:t>g</w:t>
      </w:r>
      <w:r w:rsidRPr="00747A19">
        <w:rPr>
          <w:vertAlign w:val="superscript"/>
        </w:rPr>
        <w:t>-1</w:t>
      </w:r>
      <w:r w:rsidRPr="00747A19">
        <w:t xml:space="preserve"> FM (</w:t>
      </w:r>
      <w:r>
        <w:t>Table 3.3</w:t>
      </w:r>
      <w:r w:rsidRPr="00747A19">
        <w:t>). The 660/470/660 treatment had the highest tissue concentrations, and statistically separated from the NL control, HPS, and W/W/W treatments. The 660/470/660 treatment did not separate from the 6B/94R treatment and some of the other LED treatments. The lowest concentration was found in the NL control, which did not separate from the HPS and W/W/W treatments. The treatment tissue concentrations ranged from 13.09 µM</w:t>
      </w:r>
      <w:r w:rsidRPr="00747A19">
        <w:sym w:font="Symbol" w:char="F0D7"/>
      </w:r>
      <w:r w:rsidRPr="00747A19">
        <w:t>g</w:t>
      </w:r>
      <w:r w:rsidRPr="00747A19">
        <w:rPr>
          <w:vertAlign w:val="superscript"/>
        </w:rPr>
        <w:t>-1</w:t>
      </w:r>
      <w:r w:rsidRPr="00747A19">
        <w:t xml:space="preserve"> FM to 25.92 µM</w:t>
      </w:r>
      <w:r w:rsidRPr="00747A19">
        <w:sym w:font="Symbol" w:char="F0D7"/>
      </w:r>
      <w:r w:rsidRPr="00747A19">
        <w:t>g</w:t>
      </w:r>
      <w:r w:rsidRPr="00747A19">
        <w:rPr>
          <w:vertAlign w:val="superscript"/>
        </w:rPr>
        <w:t>-1</w:t>
      </w:r>
      <w:r w:rsidRPr="00747A19">
        <w:t xml:space="preserve"> FM (</w:t>
      </w:r>
      <w:r>
        <w:t>Table 3.4</w:t>
      </w:r>
      <w:r w:rsidRPr="00747A19">
        <w:t>).</w:t>
      </w:r>
    </w:p>
    <w:p w14:paraId="7E0A89BE" w14:textId="77777777" w:rsidR="00126D8D" w:rsidRPr="00747A19" w:rsidRDefault="00126D8D" w:rsidP="00182739">
      <w:pPr>
        <w:pStyle w:val="MSThesisBodyTextJustified"/>
      </w:pPr>
      <w:r w:rsidRPr="00747A19">
        <w:t xml:space="preserve">α-Pinene concentrations were significantly influenced by season (F=73.74; </w:t>
      </w:r>
      <w:r w:rsidRPr="00747A19">
        <w:rPr>
          <w:i/>
        </w:rPr>
        <w:t>P≤</w:t>
      </w:r>
      <w:r w:rsidRPr="00747A19">
        <w:t xml:space="preserve">0.0001), lighting treatment (F=9.4; </w:t>
      </w:r>
      <w:r w:rsidRPr="00747A19">
        <w:rPr>
          <w:i/>
        </w:rPr>
        <w:t>P≤</w:t>
      </w:r>
      <w:r w:rsidRPr="00747A19">
        <w:t xml:space="preserve">0.0001), and season*treatment interactions (F=1.65; </w:t>
      </w:r>
      <w:r w:rsidRPr="00747A19">
        <w:rPr>
          <w:i/>
        </w:rPr>
        <w:t>P=</w:t>
      </w:r>
      <w:r w:rsidRPr="00747A19">
        <w:t>0.0152) (</w:t>
      </w:r>
      <w:r>
        <w:t>Table 3.2</w:t>
      </w:r>
      <w:r w:rsidRPr="00747A19">
        <w:t>). The September growing season had the highest tissue concentration, while the lowest concentration was found in January. All of the season concentration averages statistically separated, except for April and June. The season concentrations ranged from 17.27 µM</w:t>
      </w:r>
      <w:r w:rsidRPr="00747A19">
        <w:sym w:font="Symbol" w:char="F0D7"/>
      </w:r>
      <w:r w:rsidRPr="00747A19">
        <w:t>g</w:t>
      </w:r>
      <w:r w:rsidRPr="00747A19">
        <w:rPr>
          <w:vertAlign w:val="superscript"/>
        </w:rPr>
        <w:t>-1</w:t>
      </w:r>
      <w:r w:rsidRPr="00747A19">
        <w:t xml:space="preserve"> FM to 46.27 µM</w:t>
      </w:r>
      <w:r w:rsidRPr="00747A19">
        <w:sym w:font="Symbol" w:char="F0D7"/>
      </w:r>
      <w:r w:rsidRPr="00747A19">
        <w:t>g</w:t>
      </w:r>
      <w:r w:rsidRPr="00747A19">
        <w:rPr>
          <w:vertAlign w:val="superscript"/>
        </w:rPr>
        <w:t>-1</w:t>
      </w:r>
      <w:r w:rsidRPr="00747A19">
        <w:t xml:space="preserve"> FM (</w:t>
      </w:r>
      <w:r>
        <w:t>Table 3.3</w:t>
      </w:r>
      <w:r w:rsidRPr="00747A19">
        <w:t xml:space="preserve">). The 450/W/470 and 6B/94R treatments had the highest tissue concentrations and were not statistically separate. The 660/420/660 treatment again had the lowest concentration, which separated from the 660/470/660, 470/450/420, 450/W/470, and PhysioSpec treatments. The 660/420/660 treatment did not separate from the HPS, W/W/W, or the NL control. </w:t>
      </w:r>
      <w:r w:rsidRPr="00747A19">
        <w:lastRenderedPageBreak/>
        <w:t>The treatment tissue concentrations ranged from 16.60 µM</w:t>
      </w:r>
      <w:r w:rsidRPr="00747A19">
        <w:sym w:font="Symbol" w:char="F0D7"/>
      </w:r>
      <w:r w:rsidRPr="00747A19">
        <w:t>g</w:t>
      </w:r>
      <w:r w:rsidRPr="00747A19">
        <w:rPr>
          <w:vertAlign w:val="superscript"/>
        </w:rPr>
        <w:t>-1</w:t>
      </w:r>
      <w:r w:rsidRPr="00747A19">
        <w:t xml:space="preserve"> FM to 41.75 µM</w:t>
      </w:r>
      <w:r w:rsidRPr="00747A19">
        <w:sym w:font="Symbol" w:char="F0D7"/>
      </w:r>
      <w:r w:rsidRPr="00747A19">
        <w:t>g</w:t>
      </w:r>
      <w:r w:rsidRPr="00747A19">
        <w:rPr>
          <w:vertAlign w:val="superscript"/>
        </w:rPr>
        <w:t>-1</w:t>
      </w:r>
      <w:r w:rsidRPr="00747A19">
        <w:t xml:space="preserve"> FM (</w:t>
      </w:r>
      <w:r>
        <w:t>Table 3.4</w:t>
      </w:r>
      <w:r w:rsidRPr="00747A19">
        <w:t>).</w:t>
      </w:r>
    </w:p>
    <w:p w14:paraId="7553457E" w14:textId="77777777" w:rsidR="00126D8D" w:rsidRPr="00747A19" w:rsidRDefault="00126D8D" w:rsidP="00182739">
      <w:pPr>
        <w:pStyle w:val="MSThesisBodyTextJustified"/>
      </w:pPr>
      <w:r w:rsidRPr="00747A19">
        <w:t xml:space="preserve">β-Pinene concentrations were significantly influenced by season (F=49.46; </w:t>
      </w:r>
      <w:r w:rsidRPr="00747A19">
        <w:rPr>
          <w:i/>
        </w:rPr>
        <w:t>P≤</w:t>
      </w:r>
      <w:r w:rsidRPr="00747A19">
        <w:t xml:space="preserve">0.0001), lighting treatment (F=5.93; </w:t>
      </w:r>
      <w:r w:rsidRPr="00747A19">
        <w:rPr>
          <w:i/>
        </w:rPr>
        <w:t>P≤</w:t>
      </w:r>
      <w:r w:rsidRPr="00747A19">
        <w:t xml:space="preserve">0.0001), and season*treatment interactions (F=1.86; </w:t>
      </w:r>
      <w:r w:rsidRPr="00747A19">
        <w:rPr>
          <w:i/>
        </w:rPr>
        <w:t>P=</w:t>
      </w:r>
      <w:r w:rsidRPr="00747A19">
        <w:t>0.0032) (</w:t>
      </w:r>
      <w:r>
        <w:t>Table 3.2</w:t>
      </w:r>
      <w:r w:rsidRPr="00747A19">
        <w:t>). β-Pinene followed a similar pattern to α-Pinene for both season and lighting treatment concentration. In addition, the ratio of α-Pinene to β-Pinene varied less than 8% across all treatments and seasons, and did not show any discernable pattern. The September growing season had the highest tissue concentration, while the lowest concentration was found in January. All of the season concentration averages statistically separated, except for April and June. The season concentrations ranged from 99.30 µM</w:t>
      </w:r>
      <w:r w:rsidRPr="00747A19">
        <w:sym w:font="Symbol" w:char="F0D7"/>
      </w:r>
      <w:r w:rsidRPr="00747A19">
        <w:t>g</w:t>
      </w:r>
      <w:r w:rsidRPr="00747A19">
        <w:rPr>
          <w:vertAlign w:val="superscript"/>
        </w:rPr>
        <w:t>-1</w:t>
      </w:r>
      <w:r w:rsidRPr="00747A19">
        <w:t xml:space="preserve"> FM to 208.12 µM</w:t>
      </w:r>
      <w:r w:rsidRPr="00747A19">
        <w:sym w:font="Symbol" w:char="F0D7"/>
      </w:r>
      <w:r w:rsidRPr="00747A19">
        <w:t>g</w:t>
      </w:r>
      <w:r w:rsidRPr="00747A19">
        <w:rPr>
          <w:vertAlign w:val="superscript"/>
        </w:rPr>
        <w:t>-1</w:t>
      </w:r>
      <w:r w:rsidRPr="00747A19">
        <w:t xml:space="preserve"> FM (</w:t>
      </w:r>
      <w:r>
        <w:t>Table 3.3</w:t>
      </w:r>
      <w:r w:rsidRPr="00747A19">
        <w:t>). The 450/W/470 and 6B/94R treatments again had the highest tissue concentrations and were not statistically separate. The 660/420/660 treatment again had the lowest concentration, which separated from the 660/470/660, 470/450/420, 450/W/470, and 6B/94R treatments. The 660/420/660 treatment did not separate from the HPS, W/W/W, or the NL control. The treatment tissue concentrations ranged from 111.86 µM</w:t>
      </w:r>
      <w:r w:rsidRPr="00747A19">
        <w:sym w:font="Symbol" w:char="F0D7"/>
      </w:r>
      <w:r w:rsidRPr="00747A19">
        <w:t>g</w:t>
      </w:r>
      <w:r w:rsidRPr="00747A19">
        <w:rPr>
          <w:vertAlign w:val="superscript"/>
        </w:rPr>
        <w:t>-1</w:t>
      </w:r>
      <w:r w:rsidRPr="00747A19">
        <w:t xml:space="preserve"> FM to 190.27 µM</w:t>
      </w:r>
      <w:r w:rsidRPr="00747A19">
        <w:sym w:font="Symbol" w:char="F0D7"/>
      </w:r>
      <w:r w:rsidRPr="00747A19">
        <w:t>g</w:t>
      </w:r>
      <w:r w:rsidRPr="00747A19">
        <w:rPr>
          <w:vertAlign w:val="superscript"/>
        </w:rPr>
        <w:t>-1</w:t>
      </w:r>
      <w:r w:rsidRPr="00747A19">
        <w:t xml:space="preserve"> FM (</w:t>
      </w:r>
      <w:r>
        <w:t>Table 3.4</w:t>
      </w:r>
      <w:r w:rsidRPr="00747A19">
        <w:t>).</w:t>
      </w:r>
    </w:p>
    <w:p w14:paraId="169DDC33" w14:textId="77777777" w:rsidR="00126D8D" w:rsidRPr="00747A19" w:rsidRDefault="00126D8D" w:rsidP="000958A5">
      <w:pPr>
        <w:pStyle w:val="MastersThesisSectionHeader"/>
      </w:pPr>
    </w:p>
    <w:p w14:paraId="411559E2" w14:textId="77777777" w:rsidR="00126D8D" w:rsidRPr="00747A19" w:rsidRDefault="00126D8D" w:rsidP="000958A5">
      <w:pPr>
        <w:pStyle w:val="MastersThesisSectionHeader"/>
      </w:pPr>
      <w:bookmarkStart w:id="425" w:name="_Toc139574810"/>
      <w:bookmarkStart w:id="426" w:name="_Toc141478680"/>
      <w:r w:rsidRPr="00747A19">
        <w:t>Cyclic Monoterpenes</w:t>
      </w:r>
      <w:bookmarkEnd w:id="425"/>
      <w:bookmarkEnd w:id="426"/>
    </w:p>
    <w:p w14:paraId="6B260645" w14:textId="77777777" w:rsidR="00126D8D" w:rsidRPr="00747A19" w:rsidRDefault="00126D8D" w:rsidP="00182739">
      <w:pPr>
        <w:pStyle w:val="MSThesisBodyTextJustified"/>
      </w:pPr>
      <w:r w:rsidRPr="00747A19">
        <w:t xml:space="preserve">3-Menthene concentrations were significantly influenced by season (F=10.23; </w:t>
      </w:r>
      <w:r w:rsidRPr="00747A19">
        <w:rPr>
          <w:i/>
        </w:rPr>
        <w:t>P≤</w:t>
      </w:r>
      <w:r w:rsidRPr="00747A19">
        <w:t xml:space="preserve">0.0001), lighting treatment (F=4.23; </w:t>
      </w:r>
      <w:r w:rsidRPr="00747A19">
        <w:rPr>
          <w:i/>
        </w:rPr>
        <w:t>P≤</w:t>
      </w:r>
      <w:r w:rsidRPr="00747A19">
        <w:t xml:space="preserve">0.0001), and season*treatment interactions (F=2.34; </w:t>
      </w:r>
      <w:r w:rsidRPr="00747A19">
        <w:rPr>
          <w:i/>
        </w:rPr>
        <w:t>P≤</w:t>
      </w:r>
      <w:r w:rsidRPr="00747A19">
        <w:t>0.0001) (</w:t>
      </w:r>
      <w:r>
        <w:t>Table 3.2</w:t>
      </w:r>
      <w:r w:rsidRPr="00747A19">
        <w:t>). The June growing season had the highest tissue concentration, while the lowest concentration was found in January. The January growing season separated from the other seasons, but April, June, and September did not separate amongst themselves. The season concentrations ranged from 24.22 µM</w:t>
      </w:r>
      <w:r w:rsidRPr="00747A19">
        <w:sym w:font="Symbol" w:char="F0D7"/>
      </w:r>
      <w:r w:rsidRPr="00747A19">
        <w:t>g</w:t>
      </w:r>
      <w:r w:rsidRPr="00747A19">
        <w:rPr>
          <w:vertAlign w:val="superscript"/>
        </w:rPr>
        <w:t>-1</w:t>
      </w:r>
      <w:r w:rsidRPr="00747A19">
        <w:t xml:space="preserve"> FM to 46.11 µM</w:t>
      </w:r>
      <w:r w:rsidRPr="00747A19">
        <w:sym w:font="Symbol" w:char="F0D7"/>
      </w:r>
      <w:r w:rsidRPr="00747A19">
        <w:t>g</w:t>
      </w:r>
      <w:r w:rsidRPr="00747A19">
        <w:rPr>
          <w:vertAlign w:val="superscript"/>
        </w:rPr>
        <w:t>-1</w:t>
      </w:r>
      <w:r w:rsidRPr="00747A19">
        <w:t xml:space="preserve"> FM (</w:t>
      </w:r>
      <w:r>
        <w:t>Table 3.3</w:t>
      </w:r>
      <w:r w:rsidRPr="00747A19">
        <w:t xml:space="preserve">). The 12B/88R treatment had the </w:t>
      </w:r>
      <w:r w:rsidRPr="00747A19">
        <w:lastRenderedPageBreak/>
        <w:t>highest tissue concentrations and separated from the HPS, and W/W/W, but not the NL control. The 660/420/660 treatment again had the lowest concentration, which separated from the 450/W/470 PhysioSpec treatments. The 660/420/660 treatment did not separate from the HPS, W/W/W, or the NL control. The treatment tissue concentrations ranged from 20.38 µM</w:t>
      </w:r>
      <w:r w:rsidRPr="00747A19">
        <w:sym w:font="Symbol" w:char="F0D7"/>
      </w:r>
      <w:r w:rsidRPr="00747A19">
        <w:t>g</w:t>
      </w:r>
      <w:r w:rsidRPr="00747A19">
        <w:rPr>
          <w:vertAlign w:val="superscript"/>
        </w:rPr>
        <w:t>-1</w:t>
      </w:r>
      <w:r w:rsidRPr="00747A19">
        <w:t xml:space="preserve"> FM to 53.10 µM</w:t>
      </w:r>
      <w:r w:rsidRPr="00747A19">
        <w:sym w:font="Symbol" w:char="F0D7"/>
      </w:r>
      <w:r w:rsidRPr="00747A19">
        <w:t>g</w:t>
      </w:r>
      <w:r w:rsidRPr="00747A19">
        <w:rPr>
          <w:vertAlign w:val="superscript"/>
        </w:rPr>
        <w:t>-1</w:t>
      </w:r>
      <w:r w:rsidRPr="00747A19">
        <w:t xml:space="preserve"> FM (</w:t>
      </w:r>
      <w:r>
        <w:t>Table 3.4</w:t>
      </w:r>
      <w:r w:rsidRPr="00747A19">
        <w:t>).</w:t>
      </w:r>
    </w:p>
    <w:p w14:paraId="2CCB76BC" w14:textId="77777777" w:rsidR="00126D8D" w:rsidRPr="00747A19" w:rsidRDefault="00126D8D" w:rsidP="00182739">
      <w:pPr>
        <w:pStyle w:val="MSThesisBodyTextJustified"/>
      </w:pPr>
      <w:r w:rsidRPr="00747A19">
        <w:t xml:space="preserve">d-Limonene concentrations were significantly influenced by season (F=29.8; </w:t>
      </w:r>
      <w:r w:rsidRPr="00747A19">
        <w:rPr>
          <w:i/>
        </w:rPr>
        <w:t>P≤</w:t>
      </w:r>
      <w:r w:rsidRPr="00747A19">
        <w:t xml:space="preserve">0.0001), lighting treatment (F=7.17; </w:t>
      </w:r>
      <w:r w:rsidRPr="00747A19">
        <w:rPr>
          <w:i/>
        </w:rPr>
        <w:t>P≤</w:t>
      </w:r>
      <w:r w:rsidRPr="00747A19">
        <w:t xml:space="preserve">0.0001), and season*treatment interactions (F=1.74; </w:t>
      </w:r>
      <w:r w:rsidRPr="00747A19">
        <w:rPr>
          <w:i/>
        </w:rPr>
        <w:t>P=</w:t>
      </w:r>
      <w:r w:rsidRPr="00747A19">
        <w:t>0.0076) (</w:t>
      </w:r>
      <w:r>
        <w:t>Table 3.2</w:t>
      </w:r>
      <w:r w:rsidRPr="00747A19">
        <w:t>). The June growing season had the highest tissue concentration, while the lowest concentration was found in January. All of the season concentration averages statistically separated, except for April and September. The season concentrations ranged from 234.61 µM</w:t>
      </w:r>
      <w:r w:rsidRPr="00747A19">
        <w:sym w:font="Symbol" w:char="F0D7"/>
      </w:r>
      <w:r w:rsidRPr="00747A19">
        <w:t>g</w:t>
      </w:r>
      <w:r w:rsidRPr="00747A19">
        <w:rPr>
          <w:vertAlign w:val="superscript"/>
        </w:rPr>
        <w:t>-1</w:t>
      </w:r>
      <w:r w:rsidRPr="00747A19">
        <w:t xml:space="preserve"> FM to 387.51 µM</w:t>
      </w:r>
      <w:r w:rsidRPr="00747A19">
        <w:sym w:font="Symbol" w:char="F0D7"/>
      </w:r>
      <w:r w:rsidRPr="00747A19">
        <w:t>g</w:t>
      </w:r>
      <w:r w:rsidRPr="00747A19">
        <w:rPr>
          <w:vertAlign w:val="superscript"/>
        </w:rPr>
        <w:t>-1</w:t>
      </w:r>
      <w:r w:rsidRPr="00747A19">
        <w:t xml:space="preserve"> FM (</w:t>
      </w:r>
      <w:r>
        <w:t>Table 3.3</w:t>
      </w:r>
      <w:r w:rsidRPr="00747A19">
        <w:t>). The 6B/94R treatment had the highest tissue concentration and was separated from the HPS, W/W/W, and NL control. The 660/420/660 treatment had the lowest concentration, which separated from the 660/470/660, 470/450/420, 450/W/470, and PhysioSpec treatments. The 660/420/660 treatment did not separate from the HPS, W/W/W, or the NL control. The treatment tissue concentrations ranged from 224.30 µM</w:t>
      </w:r>
      <w:r w:rsidRPr="00747A19">
        <w:sym w:font="Symbol" w:char="F0D7"/>
      </w:r>
      <w:r w:rsidRPr="00747A19">
        <w:t>g</w:t>
      </w:r>
      <w:r w:rsidRPr="00747A19">
        <w:rPr>
          <w:vertAlign w:val="superscript"/>
        </w:rPr>
        <w:t>-1</w:t>
      </w:r>
      <w:r w:rsidRPr="00747A19">
        <w:t xml:space="preserve"> FM to 401.22 µM</w:t>
      </w:r>
      <w:r w:rsidRPr="00747A19">
        <w:sym w:font="Symbol" w:char="F0D7"/>
      </w:r>
      <w:r w:rsidRPr="00747A19">
        <w:t>g</w:t>
      </w:r>
      <w:r w:rsidRPr="00747A19">
        <w:rPr>
          <w:vertAlign w:val="superscript"/>
        </w:rPr>
        <w:t>-1</w:t>
      </w:r>
      <w:r w:rsidRPr="00747A19">
        <w:t xml:space="preserve"> FM (</w:t>
      </w:r>
      <w:r>
        <w:t>Table 3.4</w:t>
      </w:r>
      <w:r w:rsidRPr="00747A19">
        <w:t>).</w:t>
      </w:r>
    </w:p>
    <w:p w14:paraId="1496D2E8" w14:textId="77777777" w:rsidR="00126D8D" w:rsidRPr="00747A19" w:rsidRDefault="00126D8D" w:rsidP="00182739">
      <w:pPr>
        <w:pStyle w:val="MSThesisBodyTextJustified"/>
      </w:pPr>
      <w:r w:rsidRPr="00747A19">
        <w:t xml:space="preserve">Fenchyl acetate concentrations were significantly influenced by season (F=14.98; </w:t>
      </w:r>
      <w:r w:rsidRPr="00747A19">
        <w:rPr>
          <w:i/>
        </w:rPr>
        <w:t>P≤</w:t>
      </w:r>
      <w:r w:rsidRPr="00747A19">
        <w:t xml:space="preserve">0.0001), but not by lighting treatment (F=1.58; </w:t>
      </w:r>
      <w:r w:rsidRPr="00747A19">
        <w:rPr>
          <w:i/>
        </w:rPr>
        <w:t>P=</w:t>
      </w:r>
      <w:r w:rsidRPr="00747A19">
        <w:t xml:space="preserve">0.1019) or season*treatment interactions (F=0.62; </w:t>
      </w:r>
      <w:r w:rsidRPr="00747A19">
        <w:rPr>
          <w:i/>
        </w:rPr>
        <w:t>P=</w:t>
      </w:r>
      <w:r w:rsidRPr="00747A19">
        <w:t>0.9467) (</w:t>
      </w:r>
      <w:r>
        <w:t>Table 3.2</w:t>
      </w:r>
      <w:r w:rsidRPr="00747A19">
        <w:t>). The April growing season had the highest tissue concentration, but it did not statistically separate from the January or June seasons. The lowest concentrations were found in the September season. The season concentrations ranged from 81.12 µM</w:t>
      </w:r>
      <w:r w:rsidRPr="00747A19">
        <w:sym w:font="Symbol" w:char="F0D7"/>
      </w:r>
      <w:r w:rsidRPr="00747A19">
        <w:t>g</w:t>
      </w:r>
      <w:r w:rsidRPr="00747A19">
        <w:rPr>
          <w:vertAlign w:val="superscript"/>
        </w:rPr>
        <w:t>-1</w:t>
      </w:r>
      <w:r w:rsidRPr="00747A19">
        <w:t xml:space="preserve"> FM to 149.80 µM</w:t>
      </w:r>
      <w:r w:rsidRPr="00747A19">
        <w:sym w:font="Symbol" w:char="F0D7"/>
      </w:r>
      <w:r w:rsidRPr="00747A19">
        <w:t>g</w:t>
      </w:r>
      <w:r w:rsidRPr="00747A19">
        <w:rPr>
          <w:vertAlign w:val="superscript"/>
        </w:rPr>
        <w:t>-1</w:t>
      </w:r>
      <w:r w:rsidRPr="00747A19">
        <w:t xml:space="preserve"> FM (</w:t>
      </w:r>
      <w:r>
        <w:t>Table 3.3</w:t>
      </w:r>
      <w:r w:rsidRPr="00747A19">
        <w:t>). The treatment tissue concentrations did not statistically separate and ranged from 81.22 µM</w:t>
      </w:r>
      <w:r w:rsidRPr="00747A19">
        <w:sym w:font="Symbol" w:char="F0D7"/>
      </w:r>
      <w:r w:rsidRPr="00747A19">
        <w:t>g</w:t>
      </w:r>
      <w:r w:rsidRPr="00747A19">
        <w:rPr>
          <w:vertAlign w:val="superscript"/>
        </w:rPr>
        <w:t>-1</w:t>
      </w:r>
      <w:r w:rsidRPr="00747A19">
        <w:t xml:space="preserve"> FM to 115.00 µM</w:t>
      </w:r>
      <w:r w:rsidRPr="00747A19">
        <w:sym w:font="Symbol" w:char="F0D7"/>
      </w:r>
      <w:r w:rsidRPr="00747A19">
        <w:t>g</w:t>
      </w:r>
      <w:r w:rsidRPr="00747A19">
        <w:rPr>
          <w:vertAlign w:val="superscript"/>
        </w:rPr>
        <w:t>-1</w:t>
      </w:r>
      <w:r w:rsidRPr="00747A19">
        <w:t xml:space="preserve"> FM (Tables 2 and 4).</w:t>
      </w:r>
    </w:p>
    <w:p w14:paraId="7925C221" w14:textId="77777777" w:rsidR="00126D8D" w:rsidRPr="00747A19" w:rsidRDefault="00126D8D" w:rsidP="00182739">
      <w:pPr>
        <w:pStyle w:val="MSThesisBodyTextJustified"/>
      </w:pPr>
      <w:r w:rsidRPr="00747A19">
        <w:lastRenderedPageBreak/>
        <w:t xml:space="preserve">p-Menth-1-en-8-ol concentrations were significantly influenced by season (F=173.75; </w:t>
      </w:r>
      <w:r w:rsidRPr="00747A19">
        <w:rPr>
          <w:i/>
        </w:rPr>
        <w:t>P≤</w:t>
      </w:r>
      <w:r w:rsidRPr="00747A19">
        <w:t xml:space="preserve">0.0001), lighting treatment (F=10.61; </w:t>
      </w:r>
      <w:r w:rsidRPr="00747A19">
        <w:rPr>
          <w:i/>
        </w:rPr>
        <w:t>P≤</w:t>
      </w:r>
      <w:r w:rsidRPr="00747A19">
        <w:t xml:space="preserve">0.0001) and season*treatment interactions (F=2.56; </w:t>
      </w:r>
      <w:r w:rsidRPr="00747A19">
        <w:rPr>
          <w:i/>
        </w:rPr>
        <w:t>P≤</w:t>
      </w:r>
      <w:r w:rsidRPr="00747A19">
        <w:t>0.0001) (</w:t>
      </w:r>
      <w:r>
        <w:t>Table 3.2</w:t>
      </w:r>
      <w:r w:rsidRPr="00747A19">
        <w:t>). The June growing season had the highest tissue concentration, while the lowest concentration was found in January. All of the season concentration averages statistically separated. The season concentrations ranged from 5.44 µM</w:t>
      </w:r>
      <w:r w:rsidRPr="00747A19">
        <w:sym w:font="Symbol" w:char="F0D7"/>
      </w:r>
      <w:r w:rsidRPr="00747A19">
        <w:t>g</w:t>
      </w:r>
      <w:r w:rsidRPr="00747A19">
        <w:rPr>
          <w:vertAlign w:val="superscript"/>
        </w:rPr>
        <w:t>-1</w:t>
      </w:r>
      <w:r w:rsidRPr="00747A19">
        <w:t xml:space="preserve"> FM to 19.69 µM</w:t>
      </w:r>
      <w:r w:rsidRPr="00747A19">
        <w:sym w:font="Symbol" w:char="F0D7"/>
      </w:r>
      <w:r w:rsidRPr="00747A19">
        <w:t>g</w:t>
      </w:r>
      <w:r w:rsidRPr="00747A19">
        <w:rPr>
          <w:vertAlign w:val="superscript"/>
        </w:rPr>
        <w:t>-1</w:t>
      </w:r>
      <w:r w:rsidRPr="00747A19">
        <w:t xml:space="preserve"> FM (</w:t>
      </w:r>
      <w:r>
        <w:t>Table 3.3</w:t>
      </w:r>
      <w:r w:rsidRPr="00747A19">
        <w:t>). The 6B/94R treatment had the highest tissue concentration and was separated from the HPS, W/W/W, and NL control. The 660/420/660 treatment had the lowest concentration, which separated from the 660/470/660, 470/450/420, 450/W/470, and PhysioSpec treatments. The 660/420/660 treatment did not separate from the HPS or the NL control, as well as a few LED treatments. The treatment tissue concentrations ranged from 7.78 µM</w:t>
      </w:r>
      <w:r w:rsidRPr="00747A19">
        <w:sym w:font="Symbol" w:char="F0D7"/>
      </w:r>
      <w:r w:rsidRPr="00747A19">
        <w:t>g</w:t>
      </w:r>
      <w:r w:rsidRPr="00747A19">
        <w:rPr>
          <w:vertAlign w:val="superscript"/>
        </w:rPr>
        <w:t>-1</w:t>
      </w:r>
      <w:r w:rsidRPr="00747A19">
        <w:t xml:space="preserve"> FM to 17.03 µM</w:t>
      </w:r>
      <w:r w:rsidRPr="00747A19">
        <w:sym w:font="Symbol" w:char="F0D7"/>
      </w:r>
      <w:r w:rsidRPr="00747A19">
        <w:t>g</w:t>
      </w:r>
      <w:r w:rsidRPr="00747A19">
        <w:rPr>
          <w:vertAlign w:val="superscript"/>
        </w:rPr>
        <w:t>-1</w:t>
      </w:r>
      <w:r w:rsidRPr="00747A19">
        <w:t xml:space="preserve"> FM (</w:t>
      </w:r>
      <w:r>
        <w:t>Table 3.4</w:t>
      </w:r>
      <w:r w:rsidRPr="00747A19">
        <w:t>).</w:t>
      </w:r>
    </w:p>
    <w:p w14:paraId="38956081" w14:textId="77777777" w:rsidR="00126D8D" w:rsidRPr="00747A19" w:rsidRDefault="00126D8D" w:rsidP="000958A5">
      <w:pPr>
        <w:pStyle w:val="MastersThesisSectionHeader"/>
      </w:pPr>
    </w:p>
    <w:p w14:paraId="55A3F9B9" w14:textId="77777777" w:rsidR="00126D8D" w:rsidRPr="00747A19" w:rsidRDefault="00126D8D" w:rsidP="000958A5">
      <w:pPr>
        <w:pStyle w:val="MastersThesisSectionHeader"/>
      </w:pPr>
      <w:bookmarkStart w:id="427" w:name="_Toc139574811"/>
      <w:bookmarkStart w:id="428" w:name="_Toc141478681"/>
      <w:r w:rsidRPr="00747A19">
        <w:t>Sesquiterpenes</w:t>
      </w:r>
      <w:bookmarkEnd w:id="427"/>
      <w:bookmarkEnd w:id="428"/>
    </w:p>
    <w:p w14:paraId="0EB00547" w14:textId="77777777" w:rsidR="00126D8D" w:rsidRPr="00747A19" w:rsidRDefault="00126D8D" w:rsidP="00182739">
      <w:pPr>
        <w:pStyle w:val="MSThesisBodyTextJustified"/>
      </w:pPr>
      <w:r w:rsidRPr="00747A19">
        <w:t xml:space="preserve">α-Humulene concentrations were significantly influenced by season (F=19.58; </w:t>
      </w:r>
      <w:r w:rsidRPr="00747A19">
        <w:rPr>
          <w:i/>
        </w:rPr>
        <w:t>P≤</w:t>
      </w:r>
      <w:r w:rsidRPr="00747A19">
        <w:t xml:space="preserve">0.0001) and lighting treatment (F=1.87; </w:t>
      </w:r>
      <w:r w:rsidRPr="00747A19">
        <w:rPr>
          <w:i/>
        </w:rPr>
        <w:t>P=</w:t>
      </w:r>
      <w:r w:rsidRPr="00747A19">
        <w:t xml:space="preserve">0.0420), but not by season*treatment interactions (F=1.12; </w:t>
      </w:r>
      <w:r w:rsidRPr="00747A19">
        <w:rPr>
          <w:i/>
        </w:rPr>
        <w:t>P=</w:t>
      </w:r>
      <w:r w:rsidRPr="00747A19">
        <w:t>0.3001) (</w:t>
      </w:r>
      <w:r>
        <w:t>Table 3.2</w:t>
      </w:r>
      <w:r w:rsidRPr="00747A19">
        <w:t>). The September growing season had the highest tissue concentration, but did not separate from the June season. While the lowest concentration was found in January, it did not statistically separate from April. The season concentrations ranged from 53.69 µM</w:t>
      </w:r>
      <w:r w:rsidRPr="00747A19">
        <w:sym w:font="Symbol" w:char="F0D7"/>
      </w:r>
      <w:r w:rsidRPr="00747A19">
        <w:t>g</w:t>
      </w:r>
      <w:r w:rsidRPr="00747A19">
        <w:rPr>
          <w:vertAlign w:val="superscript"/>
        </w:rPr>
        <w:t>-1</w:t>
      </w:r>
      <w:r w:rsidRPr="00747A19">
        <w:t xml:space="preserve"> FM to 59.58 µM</w:t>
      </w:r>
      <w:r w:rsidRPr="00747A19">
        <w:sym w:font="Symbol" w:char="F0D7"/>
      </w:r>
      <w:r w:rsidRPr="00747A19">
        <w:t>g</w:t>
      </w:r>
      <w:r w:rsidRPr="00747A19">
        <w:rPr>
          <w:vertAlign w:val="superscript"/>
        </w:rPr>
        <w:t>-1</w:t>
      </w:r>
      <w:r w:rsidRPr="00747A19">
        <w:t xml:space="preserve"> FM (</w:t>
      </w:r>
      <w:r>
        <w:t>Table 3.3</w:t>
      </w:r>
      <w:r w:rsidRPr="00747A19">
        <w:t>). The treatment tissue concentrations did not show statistical separation and ranged from 54.51 µM</w:t>
      </w:r>
      <w:r w:rsidRPr="00747A19">
        <w:sym w:font="Symbol" w:char="F0D7"/>
      </w:r>
      <w:r w:rsidRPr="00747A19">
        <w:t>g</w:t>
      </w:r>
      <w:r w:rsidRPr="00747A19">
        <w:rPr>
          <w:vertAlign w:val="superscript"/>
        </w:rPr>
        <w:t>-1</w:t>
      </w:r>
      <w:r w:rsidRPr="00747A19">
        <w:t xml:space="preserve"> FM to 59.41 µM</w:t>
      </w:r>
      <w:r w:rsidRPr="00747A19">
        <w:sym w:font="Symbol" w:char="F0D7"/>
      </w:r>
      <w:r w:rsidRPr="00747A19">
        <w:t>g</w:t>
      </w:r>
      <w:r w:rsidRPr="00747A19">
        <w:rPr>
          <w:vertAlign w:val="superscript"/>
        </w:rPr>
        <w:t>-1</w:t>
      </w:r>
      <w:r w:rsidRPr="00747A19">
        <w:t xml:space="preserve"> FM (Tables 2 and 4).</w:t>
      </w:r>
    </w:p>
    <w:p w14:paraId="11C72AD2" w14:textId="77777777" w:rsidR="00126D8D" w:rsidRDefault="00126D8D" w:rsidP="000958A5">
      <w:pPr>
        <w:pStyle w:val="MastersThesisSectionHeader"/>
      </w:pPr>
    </w:p>
    <w:p w14:paraId="25BECDC2" w14:textId="77777777" w:rsidR="00A37527" w:rsidRDefault="00A37527" w:rsidP="000958A5">
      <w:pPr>
        <w:pStyle w:val="MastersThesisSectionHeader"/>
      </w:pPr>
    </w:p>
    <w:p w14:paraId="753E6778" w14:textId="77777777" w:rsidR="00A37527" w:rsidRPr="00747A19" w:rsidRDefault="00A37527" w:rsidP="000958A5">
      <w:pPr>
        <w:pStyle w:val="MastersThesisSectionHeader"/>
      </w:pPr>
    </w:p>
    <w:p w14:paraId="20C26C58" w14:textId="77777777" w:rsidR="00126D8D" w:rsidRPr="00747A19" w:rsidRDefault="00126D8D" w:rsidP="000958A5">
      <w:pPr>
        <w:pStyle w:val="MastersThesisSectionHeader"/>
      </w:pPr>
      <w:bookmarkStart w:id="429" w:name="_Toc139574812"/>
      <w:bookmarkStart w:id="430" w:name="_Toc141478682"/>
      <w:r w:rsidRPr="00747A19">
        <w:lastRenderedPageBreak/>
        <w:t>Organosulfur</w:t>
      </w:r>
      <w:bookmarkEnd w:id="429"/>
      <w:bookmarkEnd w:id="430"/>
    </w:p>
    <w:p w14:paraId="5DC32C55" w14:textId="77777777" w:rsidR="00126D8D" w:rsidRPr="00747A19" w:rsidRDefault="00126D8D" w:rsidP="00182739">
      <w:pPr>
        <w:pStyle w:val="MSThesisBodyTextJustified"/>
      </w:pPr>
      <w:r w:rsidRPr="00747A19">
        <w:t xml:space="preserve">Isothiocyanatocyclopropane concentrations were significantly influenced by season (F=9.92; </w:t>
      </w:r>
      <w:r w:rsidRPr="00747A19">
        <w:rPr>
          <w:i/>
        </w:rPr>
        <w:t>P≤</w:t>
      </w:r>
      <w:r w:rsidRPr="00747A19">
        <w:t xml:space="preserve">0.0001), but not by lighting treatment (F=1.69; </w:t>
      </w:r>
      <w:r w:rsidRPr="00747A19">
        <w:rPr>
          <w:i/>
        </w:rPr>
        <w:t>P=</w:t>
      </w:r>
      <w:r w:rsidRPr="00747A19">
        <w:t xml:space="preserve">0.0752) or season*treatment interactions (F=0.85; </w:t>
      </w:r>
      <w:r w:rsidRPr="00747A19">
        <w:rPr>
          <w:i/>
        </w:rPr>
        <w:t>P=</w:t>
      </w:r>
      <w:r w:rsidRPr="00747A19">
        <w:t>0.7103) (</w:t>
      </w:r>
      <w:r>
        <w:t>Table 3.2</w:t>
      </w:r>
      <w:r w:rsidRPr="00747A19">
        <w:t>). The September growing season had the highest tissue concentration, while the lowest concentration was found in April. The season concentrations ranged from 1.20 µM</w:t>
      </w:r>
      <w:r w:rsidRPr="00747A19">
        <w:sym w:font="Symbol" w:char="F0D7"/>
      </w:r>
      <w:r w:rsidRPr="00747A19">
        <w:t>g</w:t>
      </w:r>
      <w:r w:rsidRPr="00747A19">
        <w:rPr>
          <w:vertAlign w:val="superscript"/>
        </w:rPr>
        <w:t>-1</w:t>
      </w:r>
      <w:r w:rsidRPr="00747A19">
        <w:t xml:space="preserve"> FM to 2.28 µM</w:t>
      </w:r>
      <w:r w:rsidRPr="00747A19">
        <w:sym w:font="Symbol" w:char="F0D7"/>
      </w:r>
      <w:r w:rsidRPr="00747A19">
        <w:t>g</w:t>
      </w:r>
      <w:r w:rsidRPr="00747A19">
        <w:rPr>
          <w:vertAlign w:val="superscript"/>
        </w:rPr>
        <w:t>-1</w:t>
      </w:r>
      <w:r w:rsidRPr="00747A19">
        <w:t xml:space="preserve"> FM (</w:t>
      </w:r>
      <w:r>
        <w:t>Table 3.3</w:t>
      </w:r>
      <w:r w:rsidRPr="00747A19">
        <w:t>). The treatment tissue concentrations did not show statistical separation, and ranged from 0.99 µM</w:t>
      </w:r>
      <w:r w:rsidRPr="00747A19">
        <w:sym w:font="Symbol" w:char="F0D7"/>
      </w:r>
      <w:r w:rsidRPr="00747A19">
        <w:t>g</w:t>
      </w:r>
      <w:r w:rsidRPr="00747A19">
        <w:rPr>
          <w:vertAlign w:val="superscript"/>
        </w:rPr>
        <w:t>-1</w:t>
      </w:r>
      <w:r w:rsidRPr="00747A19">
        <w:t xml:space="preserve"> FM to 2.32 µM</w:t>
      </w:r>
      <w:r w:rsidRPr="00747A19">
        <w:sym w:font="Symbol" w:char="F0D7"/>
      </w:r>
      <w:r w:rsidRPr="00747A19">
        <w:t>g</w:t>
      </w:r>
      <w:r w:rsidRPr="00747A19">
        <w:rPr>
          <w:vertAlign w:val="superscript"/>
        </w:rPr>
        <w:t>-1</w:t>
      </w:r>
      <w:r w:rsidRPr="00747A19">
        <w:t xml:space="preserve"> FM (</w:t>
      </w:r>
      <w:r>
        <w:t>Table 3.4</w:t>
      </w:r>
      <w:r w:rsidRPr="00747A19">
        <w:t>).</w:t>
      </w:r>
    </w:p>
    <w:p w14:paraId="238893D8" w14:textId="77777777" w:rsidR="00126D8D" w:rsidRPr="00747A19" w:rsidRDefault="00126D8D" w:rsidP="00182739">
      <w:pPr>
        <w:pStyle w:val="MSThesisBodyTextJustified"/>
      </w:pPr>
      <w:r w:rsidRPr="00747A19">
        <w:t xml:space="preserve">2-Isobutylthiazole concentrations were significantly influenced by season (F=10.79; </w:t>
      </w:r>
      <w:r w:rsidRPr="00747A19">
        <w:rPr>
          <w:i/>
        </w:rPr>
        <w:t>P≤</w:t>
      </w:r>
      <w:r w:rsidRPr="00747A19">
        <w:t xml:space="preserve">0.0001), but not by lighting treatment (F=1.90; </w:t>
      </w:r>
      <w:r w:rsidRPr="00747A19">
        <w:rPr>
          <w:i/>
        </w:rPr>
        <w:t>P=</w:t>
      </w:r>
      <w:r w:rsidRPr="00747A19">
        <w:t xml:space="preserve">0.0591) or season*treatment interactions (F=1.23; </w:t>
      </w:r>
      <w:r w:rsidRPr="00747A19">
        <w:rPr>
          <w:i/>
        </w:rPr>
        <w:t>P=</w:t>
      </w:r>
      <w:r w:rsidRPr="00747A19">
        <w:t>0.2101) (</w:t>
      </w:r>
      <w:r>
        <w:t>Table 3.2</w:t>
      </w:r>
      <w:r w:rsidRPr="00747A19">
        <w:t>). The September growing season had the highest tissue concentration, but did not statistically separate from the June season. The lowest concentration was found in January, but it did not separate from the April season. The season concentrations ranged from 5.57 µM</w:t>
      </w:r>
      <w:r w:rsidRPr="00747A19">
        <w:sym w:font="Symbol" w:char="F0D7"/>
      </w:r>
      <w:r w:rsidRPr="00747A19">
        <w:t>g</w:t>
      </w:r>
      <w:r w:rsidRPr="00747A19">
        <w:rPr>
          <w:vertAlign w:val="superscript"/>
        </w:rPr>
        <w:t>-1</w:t>
      </w:r>
      <w:r w:rsidRPr="00747A19">
        <w:t xml:space="preserve"> FM to 8.94 µM</w:t>
      </w:r>
      <w:r w:rsidRPr="00747A19">
        <w:sym w:font="Symbol" w:char="F0D7"/>
      </w:r>
      <w:r w:rsidRPr="00747A19">
        <w:t>g</w:t>
      </w:r>
      <w:r w:rsidRPr="00747A19">
        <w:rPr>
          <w:vertAlign w:val="superscript"/>
        </w:rPr>
        <w:t>-1</w:t>
      </w:r>
      <w:r w:rsidRPr="00747A19">
        <w:t xml:space="preserve"> FM (</w:t>
      </w:r>
      <w:r>
        <w:t>Table 3.3</w:t>
      </w:r>
      <w:r w:rsidRPr="00747A19">
        <w:t xml:space="preserve">). </w:t>
      </w:r>
    </w:p>
    <w:p w14:paraId="15C9CBB5" w14:textId="55DA8BCD" w:rsidR="00126D8D" w:rsidRPr="00747A19" w:rsidRDefault="00126D8D" w:rsidP="00A37527">
      <w:pPr>
        <w:pStyle w:val="MSThesisBodyTextJustified"/>
      </w:pPr>
      <w:r w:rsidRPr="00747A19">
        <w:t xml:space="preserve">Dimethyl Sulfide concentrations were significantly influenced by season (F=25.15; </w:t>
      </w:r>
      <w:r w:rsidRPr="00747A19">
        <w:rPr>
          <w:i/>
        </w:rPr>
        <w:t>P≤</w:t>
      </w:r>
      <w:r w:rsidRPr="00747A19">
        <w:t xml:space="preserve">0.0001), lighting treatment (F=4.30; </w:t>
      </w:r>
      <w:r w:rsidRPr="00747A19">
        <w:rPr>
          <w:i/>
        </w:rPr>
        <w:t>P≤</w:t>
      </w:r>
      <w:r w:rsidRPr="00747A19">
        <w:t xml:space="preserve">0.0001), and season*treatment interactions (F=2.09; </w:t>
      </w:r>
      <w:r w:rsidRPr="00747A19">
        <w:rPr>
          <w:i/>
        </w:rPr>
        <w:t>P=</w:t>
      </w:r>
      <w:r w:rsidRPr="00747A19">
        <w:t>0.0005) (</w:t>
      </w:r>
      <w:r>
        <w:t>Table 3.2</w:t>
      </w:r>
      <w:r w:rsidRPr="00747A19">
        <w:t>). The April growing season had the highest tissue concentration and statistically separated from all other seasons. The lowest season concentration was found in January, which also separated from all other seasons. The season concentrations ranged from 43.42 µM</w:t>
      </w:r>
      <w:r w:rsidRPr="00747A19">
        <w:sym w:font="Symbol" w:char="F0D7"/>
      </w:r>
      <w:r w:rsidRPr="00747A19">
        <w:t>g</w:t>
      </w:r>
      <w:r w:rsidRPr="00747A19">
        <w:rPr>
          <w:vertAlign w:val="superscript"/>
        </w:rPr>
        <w:t>-1</w:t>
      </w:r>
      <w:r w:rsidRPr="00747A19">
        <w:t xml:space="preserve"> FM to 121.98 µM</w:t>
      </w:r>
      <w:r w:rsidRPr="00747A19">
        <w:sym w:font="Symbol" w:char="F0D7"/>
      </w:r>
      <w:r w:rsidRPr="00747A19">
        <w:t>g</w:t>
      </w:r>
      <w:r w:rsidRPr="00747A19">
        <w:rPr>
          <w:vertAlign w:val="superscript"/>
        </w:rPr>
        <w:t>-1</w:t>
      </w:r>
      <w:r w:rsidRPr="00747A19">
        <w:t xml:space="preserve"> FM (</w:t>
      </w:r>
      <w:r>
        <w:t>Table 3.3</w:t>
      </w:r>
      <w:r w:rsidRPr="00747A19">
        <w:t>). The 660/470/660 treatment had the highest tissue concentration and was separated from the W/W/W and NL control. The NL control had the lowest concentration, which separated from some of the narrowband treatments. The treatment tissue concentrations ranged from 32.68 µM</w:t>
      </w:r>
      <w:r w:rsidRPr="00747A19">
        <w:sym w:font="Symbol" w:char="F0D7"/>
      </w:r>
      <w:r w:rsidRPr="00747A19">
        <w:t>g</w:t>
      </w:r>
      <w:r w:rsidRPr="00747A19">
        <w:rPr>
          <w:vertAlign w:val="superscript"/>
        </w:rPr>
        <w:t>-1</w:t>
      </w:r>
      <w:r w:rsidRPr="00747A19">
        <w:t xml:space="preserve"> FM to 112.47 µM</w:t>
      </w:r>
      <w:r w:rsidRPr="00747A19">
        <w:sym w:font="Symbol" w:char="F0D7"/>
      </w:r>
      <w:r w:rsidRPr="00747A19">
        <w:t>g</w:t>
      </w:r>
      <w:r w:rsidRPr="00747A19">
        <w:rPr>
          <w:vertAlign w:val="superscript"/>
        </w:rPr>
        <w:t>-1</w:t>
      </w:r>
      <w:r w:rsidRPr="00747A19">
        <w:t xml:space="preserve"> FM (</w:t>
      </w:r>
      <w:r>
        <w:t>Table 3.4</w:t>
      </w:r>
      <w:r w:rsidRPr="00747A19">
        <w:t>).</w:t>
      </w:r>
    </w:p>
    <w:p w14:paraId="79988C3B" w14:textId="77777777" w:rsidR="00126D8D" w:rsidRPr="00747A19" w:rsidRDefault="00126D8D" w:rsidP="000958A5">
      <w:pPr>
        <w:pStyle w:val="MastersThesisSectionHeader"/>
      </w:pPr>
      <w:bookmarkStart w:id="431" w:name="_Toc139574813"/>
      <w:bookmarkStart w:id="432" w:name="_Toc141478683"/>
      <w:r w:rsidRPr="00747A19">
        <w:lastRenderedPageBreak/>
        <w:t>Phenylpropanoids</w:t>
      </w:r>
      <w:bookmarkEnd w:id="431"/>
      <w:bookmarkEnd w:id="432"/>
    </w:p>
    <w:p w14:paraId="6C48BD73" w14:textId="77777777" w:rsidR="00126D8D" w:rsidRPr="00747A19" w:rsidRDefault="00126D8D" w:rsidP="00182739">
      <w:pPr>
        <w:pStyle w:val="MSThesisBodyTextJustified"/>
      </w:pPr>
      <w:r w:rsidRPr="00747A19">
        <w:t xml:space="preserve">Eugenol concentrations were significantly influenced by season (F=130.1; </w:t>
      </w:r>
      <w:r w:rsidRPr="00747A19">
        <w:rPr>
          <w:i/>
        </w:rPr>
        <w:t>P≤</w:t>
      </w:r>
      <w:r w:rsidRPr="00747A19">
        <w:t xml:space="preserve">0.0001), lighting treatment (F=9.94; </w:t>
      </w:r>
      <w:r w:rsidRPr="00747A19">
        <w:rPr>
          <w:i/>
        </w:rPr>
        <w:t>P≤</w:t>
      </w:r>
      <w:r w:rsidRPr="00747A19">
        <w:t xml:space="preserve">0.0001), and season*treatment interactions (F=4.43; </w:t>
      </w:r>
      <w:r w:rsidRPr="00747A19">
        <w:rPr>
          <w:i/>
        </w:rPr>
        <w:t>P≤</w:t>
      </w:r>
      <w:r w:rsidRPr="00747A19">
        <w:t>0.0001) (</w:t>
      </w:r>
      <w:r>
        <w:t>Table 3.2</w:t>
      </w:r>
      <w:r w:rsidRPr="00747A19">
        <w:t>). The June growing season had the highest tissue concentration, while the lowest concentration was found in January. All of the season tissue concentration averages statistically separated. The season concentrations ranged from 43.16 µM</w:t>
      </w:r>
      <w:r w:rsidRPr="00747A19">
        <w:sym w:font="Symbol" w:char="F0D7"/>
      </w:r>
      <w:r w:rsidRPr="00747A19">
        <w:t>g</w:t>
      </w:r>
      <w:r w:rsidRPr="00747A19">
        <w:rPr>
          <w:vertAlign w:val="superscript"/>
        </w:rPr>
        <w:t>-1</w:t>
      </w:r>
      <w:r w:rsidRPr="00747A19">
        <w:t xml:space="preserve"> FM to 280.02 µM</w:t>
      </w:r>
      <w:r w:rsidRPr="00747A19">
        <w:sym w:font="Symbol" w:char="F0D7"/>
      </w:r>
      <w:r w:rsidRPr="00747A19">
        <w:t>g</w:t>
      </w:r>
      <w:r w:rsidRPr="00747A19">
        <w:rPr>
          <w:vertAlign w:val="superscript"/>
        </w:rPr>
        <w:t>-1</w:t>
      </w:r>
      <w:r w:rsidRPr="00747A19">
        <w:t xml:space="preserve"> FM (</w:t>
      </w:r>
      <w:r>
        <w:t>Table 3.3</w:t>
      </w:r>
      <w:r w:rsidRPr="00747A19">
        <w:t>). The 6B/94R treatment had the highest tissue concentration and separated from all other treatments. The NL control had the lowest concentration, which separated from the 660/420/660, 660/450/660, 660/470/660, 470/450/420, 450/W/470, W/W/W, and PhysioSpec treatments. The treatment tissue concentrations ranged from 90.09 µM</w:t>
      </w:r>
      <w:r w:rsidRPr="00747A19">
        <w:sym w:font="Symbol" w:char="F0D7"/>
      </w:r>
      <w:r w:rsidRPr="00747A19">
        <w:t>g</w:t>
      </w:r>
      <w:r w:rsidRPr="00747A19">
        <w:rPr>
          <w:vertAlign w:val="superscript"/>
        </w:rPr>
        <w:t>-1</w:t>
      </w:r>
      <w:r w:rsidRPr="00747A19">
        <w:t xml:space="preserve"> FM to 283.16 µM</w:t>
      </w:r>
      <w:r w:rsidRPr="00747A19">
        <w:sym w:font="Symbol" w:char="F0D7"/>
      </w:r>
      <w:r w:rsidRPr="00747A19">
        <w:t>g</w:t>
      </w:r>
      <w:r w:rsidRPr="00747A19">
        <w:rPr>
          <w:vertAlign w:val="superscript"/>
        </w:rPr>
        <w:t>-1</w:t>
      </w:r>
      <w:r w:rsidRPr="00747A19">
        <w:t xml:space="preserve"> FM (</w:t>
      </w:r>
      <w:r>
        <w:t>Table 3.4</w:t>
      </w:r>
      <w:r w:rsidRPr="00747A19">
        <w:t>).</w:t>
      </w:r>
    </w:p>
    <w:p w14:paraId="3D98D518" w14:textId="77777777" w:rsidR="00126D8D" w:rsidRPr="00747A19" w:rsidRDefault="00126D8D" w:rsidP="00182739">
      <w:pPr>
        <w:pStyle w:val="MSThesisBodyTextJustified"/>
      </w:pPr>
      <w:r w:rsidRPr="00747A19">
        <w:t xml:space="preserve">Methyl Eugenol concentrations were significantly influenced by season (F=7.95; </w:t>
      </w:r>
      <w:r w:rsidRPr="00747A19">
        <w:rPr>
          <w:i/>
        </w:rPr>
        <w:t>P≤</w:t>
      </w:r>
      <w:r w:rsidRPr="00747A19">
        <w:t xml:space="preserve">0.0001), but not by lighting treatment (F=1.7; </w:t>
      </w:r>
      <w:r w:rsidRPr="00747A19">
        <w:rPr>
          <w:i/>
        </w:rPr>
        <w:t>P=</w:t>
      </w:r>
      <w:r w:rsidRPr="00747A19">
        <w:t xml:space="preserve">0.0997) or season*treatment interactions (F=1.5; </w:t>
      </w:r>
      <w:r w:rsidRPr="00747A19">
        <w:rPr>
          <w:i/>
        </w:rPr>
        <w:t>P=</w:t>
      </w:r>
      <w:r w:rsidRPr="00747A19">
        <w:t>0.1545) (</w:t>
      </w:r>
      <w:r>
        <w:t>Table 3.2</w:t>
      </w:r>
      <w:r w:rsidRPr="00747A19">
        <w:t>). The September growing season had the highest tissue concentration, but did not statistically separate from the June season. The lowest concentration was found in January, but did not separate from April. The season concentrations ranged from 131.23 µM</w:t>
      </w:r>
      <w:r w:rsidRPr="00747A19">
        <w:sym w:font="Symbol" w:char="F0D7"/>
      </w:r>
      <w:r w:rsidRPr="00747A19">
        <w:t>g</w:t>
      </w:r>
      <w:r w:rsidRPr="00747A19">
        <w:rPr>
          <w:vertAlign w:val="superscript"/>
        </w:rPr>
        <w:t>-1</w:t>
      </w:r>
      <w:r w:rsidRPr="00747A19">
        <w:t xml:space="preserve"> FM to 172.11µM</w:t>
      </w:r>
      <w:r w:rsidRPr="00747A19">
        <w:sym w:font="Symbol" w:char="F0D7"/>
      </w:r>
      <w:r w:rsidRPr="00747A19">
        <w:t>g</w:t>
      </w:r>
      <w:r w:rsidRPr="00747A19">
        <w:rPr>
          <w:vertAlign w:val="superscript"/>
        </w:rPr>
        <w:t>-1</w:t>
      </w:r>
      <w:r w:rsidRPr="00747A19">
        <w:t xml:space="preserve"> FM (</w:t>
      </w:r>
      <w:r>
        <w:t>Table 3.3</w:t>
      </w:r>
      <w:r w:rsidRPr="00747A19">
        <w:t>). The treatment tissue concentrations ranged from 158.11 µM</w:t>
      </w:r>
      <w:r w:rsidRPr="00747A19">
        <w:sym w:font="Symbol" w:char="F0D7"/>
      </w:r>
      <w:r w:rsidRPr="00747A19">
        <w:t>g</w:t>
      </w:r>
      <w:r w:rsidRPr="00747A19">
        <w:rPr>
          <w:vertAlign w:val="superscript"/>
        </w:rPr>
        <w:t>-1</w:t>
      </w:r>
      <w:r w:rsidRPr="00747A19">
        <w:t xml:space="preserve"> FM to 165.77 µM</w:t>
      </w:r>
      <w:r w:rsidRPr="00747A19">
        <w:sym w:font="Symbol" w:char="F0D7"/>
      </w:r>
      <w:r w:rsidRPr="00747A19">
        <w:t>g</w:t>
      </w:r>
      <w:r w:rsidRPr="00747A19">
        <w:rPr>
          <w:vertAlign w:val="superscript"/>
        </w:rPr>
        <w:t>-1</w:t>
      </w:r>
      <w:r w:rsidRPr="00747A19">
        <w:t xml:space="preserve"> FM (</w:t>
      </w:r>
      <w:r>
        <w:t>Table 3.4</w:t>
      </w:r>
      <w:r w:rsidRPr="00747A19">
        <w:t>).</w:t>
      </w:r>
    </w:p>
    <w:p w14:paraId="2B33DE59" w14:textId="77777777" w:rsidR="00126D8D" w:rsidRPr="00747A19" w:rsidRDefault="00126D8D" w:rsidP="000958A5">
      <w:pPr>
        <w:spacing w:line="240" w:lineRule="auto"/>
        <w:rPr>
          <w:rFonts w:cs="Times New Roman"/>
          <w:b/>
          <w:bCs/>
          <w:i/>
          <w:iCs/>
        </w:rPr>
      </w:pPr>
    </w:p>
    <w:p w14:paraId="7FE5D3FF" w14:textId="77777777" w:rsidR="00126D8D" w:rsidRPr="00747A19" w:rsidRDefault="00126D8D" w:rsidP="000958A5">
      <w:pPr>
        <w:pStyle w:val="MastersThesisSectionHeader"/>
      </w:pPr>
      <w:bookmarkStart w:id="433" w:name="_Toc139574814"/>
      <w:bookmarkStart w:id="434" w:name="_Toc141478684"/>
      <w:r w:rsidRPr="00747A19">
        <w:t>Principal Component Analysis</w:t>
      </w:r>
      <w:bookmarkEnd w:id="433"/>
      <w:bookmarkEnd w:id="434"/>
      <w:r w:rsidRPr="00747A19">
        <w:t xml:space="preserve"> </w:t>
      </w:r>
    </w:p>
    <w:p w14:paraId="2F02CB68" w14:textId="77777777" w:rsidR="00126D8D" w:rsidRPr="00747A19" w:rsidRDefault="00126D8D" w:rsidP="00182739">
      <w:pPr>
        <w:pStyle w:val="MSThesisBodyTextJustified"/>
      </w:pPr>
      <w:r w:rsidRPr="00747A19">
        <w:t xml:space="preserve">A principal component analysis </w:t>
      </w:r>
      <w:r>
        <w:t xml:space="preserve">(PCA) </w:t>
      </w:r>
      <w:r w:rsidRPr="00747A19">
        <w:t>comparison of key PVOCs and lighting treatments, represented using a biplot, revealed that two components with eigenvalues &gt; 1 accounted for 60.0% of the total data variability (</w:t>
      </w:r>
      <w:r>
        <w:t>Fig. 3.5</w:t>
      </w:r>
      <w:r w:rsidRPr="00747A19">
        <w:t>). Component 1 accounted for 42.1% of the variability, while component 2 accounted for 17.9% of the data variability.</w:t>
      </w:r>
      <w:r>
        <w:t xml:space="preserve"> Many key</w:t>
      </w:r>
      <w:r w:rsidRPr="00747A19">
        <w:t xml:space="preserve"> volatile compounds were positive discriminating factors for component 1 of varying </w:t>
      </w:r>
      <w:r>
        <w:t>magnitudes</w:t>
      </w:r>
      <w:r w:rsidRPr="00747A19">
        <w:t xml:space="preserve">, while component 2 </w:t>
      </w:r>
      <w:r w:rsidRPr="00747A19">
        <w:lastRenderedPageBreak/>
        <w:t xml:space="preserve">evenly separated compounds into positive and negative discriminating factors of various </w:t>
      </w:r>
      <w:r>
        <w:t>magnitudes</w:t>
      </w:r>
      <w:r w:rsidRPr="00747A19">
        <w:t>.</w:t>
      </w:r>
      <w:r>
        <w:t xml:space="preserve"> </w:t>
      </w:r>
      <w:r w:rsidRPr="00747A19">
        <w:t>Quadrant I contained positive discriminating factors for both component 1 and component 2, which were the aroma compounds: (E)-2-Hexenal, α-Humulene, 3-Caren-10-al, Camphene, Linalool, α-Pinene, β-Pinene, d-Limonene, p-Menth-1-en-8-ol, 3-Carene, and Eugenol. Concentration increases of these compounds were generally associated with the narrowband LED treatments 470/450/420, 660/470/660, and 660/400/660.</w:t>
      </w:r>
      <w:r>
        <w:t xml:space="preserve"> </w:t>
      </w:r>
      <w:r w:rsidRPr="00747A19">
        <w:t>Quadrant II and Quadrant III do not contain any of the key aroma compounds and reveal that 450/660/470, 660/420/660, HPS, W/W/W, NL Control, and 660/450/660 are negatively associated with concentration increases of many key aroma volatiles, at various weights. Quadrant IV contained positive discriminating factors for component 1 and negative discriminating factors for component 2, which included the aroma compounds: 2-Phenyl Ethanol, 1-Octen-3-ol, 2-Octyn-1-ol, Benzeneacetaldehyde, trans-Sabinene hydrate, Nonanal, β-Myrcene, and Linalool. Concentration increases of these compounds were generally associated with the PhysioSpec (6B/94R, 12B/88R) and 450/W/470 treatments (</w:t>
      </w:r>
      <w:r>
        <w:t>Fig. 3.5</w:t>
      </w:r>
      <w:r w:rsidRPr="00747A19">
        <w:t>).</w:t>
      </w:r>
    </w:p>
    <w:p w14:paraId="194232AB" w14:textId="77777777" w:rsidR="00126D8D" w:rsidRPr="00747A19" w:rsidRDefault="00126D8D" w:rsidP="000958A5">
      <w:pPr>
        <w:spacing w:line="240" w:lineRule="auto"/>
        <w:rPr>
          <w:rFonts w:cs="Times New Roman"/>
        </w:rPr>
      </w:pPr>
    </w:p>
    <w:p w14:paraId="1B9E9474" w14:textId="77777777" w:rsidR="00126D8D" w:rsidRPr="00747A19" w:rsidRDefault="00126D8D" w:rsidP="000958A5">
      <w:pPr>
        <w:pStyle w:val="MastersThesisMainTitle"/>
        <w:rPr>
          <w:color w:val="000000" w:themeColor="text1"/>
        </w:rPr>
      </w:pPr>
      <w:bookmarkStart w:id="435" w:name="_Toc139574815"/>
      <w:bookmarkStart w:id="436" w:name="_Toc141478685"/>
      <w:r w:rsidRPr="00747A19">
        <w:rPr>
          <w:color w:val="000000" w:themeColor="text1"/>
        </w:rPr>
        <w:t>Discussion</w:t>
      </w:r>
      <w:bookmarkEnd w:id="435"/>
      <w:bookmarkEnd w:id="436"/>
    </w:p>
    <w:p w14:paraId="2DB1E0D0" w14:textId="77777777" w:rsidR="00126D8D" w:rsidRDefault="00126D8D" w:rsidP="00182739">
      <w:pPr>
        <w:pStyle w:val="MSThesisBodyTextJustified"/>
      </w:pPr>
      <w:r w:rsidRPr="00747A19">
        <w:t xml:space="preserve">Light plays a critical role in the growth and development of many crops, including sweet basil. Spectral quality has a significant impact on secondary metabolism, which can directly influence the concentration of flavor and aroma compounds in plant tissues. Leveraging environmental controls and applying abiotic stressors has the ability to influence the secondary metabolism of high-value specialty crops. The results of this study demonstrate that spectral quality manipulations of supplemental greenhouse lighting can directly influence tissue concentrations of key aroma volatiles and other secondary metabolites in sweet basil. Total basil </w:t>
      </w:r>
      <w:r w:rsidRPr="00747A19">
        <w:lastRenderedPageBreak/>
        <w:t xml:space="preserve">tissue VOC concentrations, in addition to many of the concentrations of specific volatile compounds, were significantly impacted by the growing season and lighting treatment. </w:t>
      </w:r>
    </w:p>
    <w:p w14:paraId="1C0A47A8" w14:textId="77777777" w:rsidR="00126D8D" w:rsidRPr="00747A19" w:rsidRDefault="00126D8D" w:rsidP="00182739">
      <w:pPr>
        <w:pStyle w:val="MSThesisBodyTextJustified"/>
      </w:pPr>
      <w:r w:rsidRPr="00747A19">
        <w:t xml:space="preserve">In Figure </w:t>
      </w:r>
      <w:r>
        <w:t>3.</w:t>
      </w:r>
      <w:r w:rsidRPr="00747A19">
        <w:t xml:space="preserve">3, total VOC concentrations are displayed based on lighting treatment and have been broken down into their respective compound classes. All of the </w:t>
      </w:r>
      <w:r>
        <w:t>SL</w:t>
      </w:r>
      <w:r w:rsidRPr="00747A19">
        <w:t xml:space="preserve"> treatments provide the same intensity (100 µmol</w:t>
      </w:r>
      <w:r w:rsidRPr="00747A19">
        <w:rPr>
          <w:b/>
          <w:vertAlign w:val="superscript"/>
        </w:rPr>
        <w:t>.</w:t>
      </w:r>
      <w:r w:rsidRPr="00747A19">
        <w:t>m</w:t>
      </w:r>
      <w:r w:rsidRPr="00747A19">
        <w:rPr>
          <w:vertAlign w:val="superscript"/>
        </w:rPr>
        <w:t>-2</w:t>
      </w:r>
      <w:r w:rsidRPr="00747A19">
        <w:rPr>
          <w:b/>
          <w:vertAlign w:val="superscript"/>
        </w:rPr>
        <w:t>.</w:t>
      </w:r>
      <w:r w:rsidRPr="00747A19">
        <w:t>s</w:t>
      </w:r>
      <w:r w:rsidRPr="00747A19">
        <w:rPr>
          <w:vertAlign w:val="superscript"/>
        </w:rPr>
        <w:t>-1</w:t>
      </w:r>
      <w:r w:rsidRPr="00747A19">
        <w:t xml:space="preserve">) for the same duration (24 h); this isolates </w:t>
      </w:r>
      <w:r>
        <w:t>SL</w:t>
      </w:r>
      <w:r w:rsidRPr="00747A19">
        <w:t xml:space="preserve"> spectral quality as a primary independent variable, while the non-supplemented NL control provides a baseline to compare treatments. Statistical analysis reveals that total VOC concentrations separated across lighting treatments, and a few general patterns emerge. </w:t>
      </w:r>
    </w:p>
    <w:p w14:paraId="516BC56E" w14:textId="77777777" w:rsidR="00126D8D" w:rsidRPr="00747A19" w:rsidRDefault="00126D8D" w:rsidP="00182739">
      <w:pPr>
        <w:pStyle w:val="MSThesisBodyTextJustified"/>
      </w:pPr>
      <w:r w:rsidRPr="00747A19">
        <w:t>First, the 6B/94R treatment had the highest total VOC concentration, but did not statistically separate from the 12B/88R treatment. The total VOC concentration of the 450/660/470 (i.e., 2B:1R or 66.6B/33.3R) was significantly lower than the 6B/94R treatment, but did not separate from the 12B/88R treatment. In one recent study with green basil (</w:t>
      </w:r>
      <w:r w:rsidRPr="00747A19">
        <w:rPr>
          <w:i/>
          <w:iCs/>
        </w:rPr>
        <w:t xml:space="preserve">Ocimum basilicum </w:t>
      </w:r>
      <w:r w:rsidRPr="00747A19">
        <w:t xml:space="preserve">L.), the chemical composition of essential oil and total phenolic content was improved by growing plants under 30B/70R light when compared to monochromatic, dichromatic, and broadband sources </w:t>
      </w:r>
      <w:r w:rsidRPr="00747A19">
        <w:rPr>
          <w:noProof/>
        </w:rPr>
        <w:t>(</w:t>
      </w:r>
      <w:r w:rsidRPr="00805192">
        <w:rPr>
          <w:rFonts w:cstheme="minorBidi"/>
        </w:rPr>
        <w:t>Hosseini et al., 2018</w:t>
      </w:r>
      <w:r w:rsidRPr="00747A19">
        <w:rPr>
          <w:noProof/>
        </w:rPr>
        <w:t>)</w:t>
      </w:r>
      <w:r w:rsidRPr="00747A19">
        <w:t>. Pennisi et. al also found that a ratio of 3 R:B (i.e., 1B:3R) was ideal for resource use efficiency and flavor volatile production in basil (</w:t>
      </w:r>
      <w:r w:rsidRPr="00747A19">
        <w:rPr>
          <w:i/>
          <w:iCs/>
        </w:rPr>
        <w:t xml:space="preserve">Ocimum basilicum </w:t>
      </w:r>
      <w:r w:rsidRPr="00747A19">
        <w:t xml:space="preserve">L.) </w:t>
      </w:r>
      <w:r w:rsidRPr="00747A19">
        <w:rPr>
          <w:noProof/>
        </w:rPr>
        <w:t>(</w:t>
      </w:r>
      <w:r w:rsidRPr="00805192">
        <w:rPr>
          <w:rFonts w:cstheme="minorBidi"/>
        </w:rPr>
        <w:t>Pennisi et al., 2019a</w:t>
      </w:r>
      <w:r w:rsidRPr="00747A19">
        <w:rPr>
          <w:noProof/>
        </w:rPr>
        <w:t>)</w:t>
      </w:r>
      <w:r w:rsidRPr="00747A19">
        <w:t>. Our group determined that for ‘Genovese’ sweet basil (</w:t>
      </w:r>
      <w:r w:rsidRPr="00747A19">
        <w:rPr>
          <w:i/>
          <w:iCs/>
        </w:rPr>
        <w:t xml:space="preserve">Ocimum basilicum </w:t>
      </w:r>
      <w:r w:rsidRPr="00747A19">
        <w:t xml:space="preserve">L.), maximum concentrations for key compounds varied among narrowband lighting treatment, but most monoterpenes and diterpenes evaluated were highest under a </w:t>
      </w:r>
      <w:r>
        <w:t>SL</w:t>
      </w:r>
      <w:r w:rsidRPr="00747A19">
        <w:t xml:space="preserve"> treatment of 20B/80R to 50B/50R </w:t>
      </w:r>
      <w:r w:rsidRPr="00747A19">
        <w:rPr>
          <w:noProof/>
        </w:rPr>
        <w:t>(</w:t>
      </w:r>
      <w:r w:rsidRPr="00805192">
        <w:rPr>
          <w:rFonts w:cstheme="minorBidi"/>
        </w:rPr>
        <w:t>Hammock et al., 2021</w:t>
      </w:r>
      <w:r w:rsidRPr="00747A19">
        <w:rPr>
          <w:noProof/>
        </w:rPr>
        <w:t>)</w:t>
      </w:r>
      <w:r w:rsidRPr="00747A19">
        <w:t xml:space="preserve">. When comparing previous studies, it is clear that light-mediated responses (i.e., isoprenoid and phenylpropanoid metabolism changes based on B:R ratio) are species and even variety-specific </w:t>
      </w:r>
      <w:r w:rsidRPr="00747A19">
        <w:rPr>
          <w:noProof/>
        </w:rPr>
        <w:t>(</w:t>
      </w:r>
      <w:r w:rsidRPr="00805192">
        <w:rPr>
          <w:rFonts w:cstheme="minorBidi"/>
        </w:rPr>
        <w:t>Taulavuori et al., 2016b</w:t>
      </w:r>
      <w:r w:rsidRPr="00747A19">
        <w:rPr>
          <w:noProof/>
        </w:rPr>
        <w:t xml:space="preserve">; </w:t>
      </w:r>
      <w:r w:rsidRPr="00805192">
        <w:rPr>
          <w:rFonts w:cstheme="minorBidi"/>
        </w:rPr>
        <w:t>Toscano et al., 2021</w:t>
      </w:r>
      <w:r w:rsidRPr="00747A19">
        <w:rPr>
          <w:noProof/>
        </w:rPr>
        <w:t>)</w:t>
      </w:r>
      <w:r w:rsidRPr="00747A19">
        <w:t xml:space="preserve">. Based on the results of this experiment and current literature, we recommend supplemental narrowband B:R </w:t>
      </w:r>
      <w:r w:rsidRPr="00747A19">
        <w:lastRenderedPageBreak/>
        <w:t>ratios between 20B/80R and 5B/95R (i.e., 1B:4R to 1B:20R) with the intensity of 100-200 µmol</w:t>
      </w:r>
      <w:r w:rsidRPr="00747A19">
        <w:rPr>
          <w:b/>
          <w:vertAlign w:val="superscript"/>
        </w:rPr>
        <w:t>.</w:t>
      </w:r>
      <w:r w:rsidRPr="00747A19">
        <w:t>m</w:t>
      </w:r>
      <w:r w:rsidRPr="00747A19">
        <w:rPr>
          <w:vertAlign w:val="superscript"/>
        </w:rPr>
        <w:t>-2</w:t>
      </w:r>
      <w:r w:rsidRPr="00747A19">
        <w:rPr>
          <w:b/>
          <w:vertAlign w:val="superscript"/>
        </w:rPr>
        <w:t>.</w:t>
      </w:r>
      <w:r w:rsidRPr="00747A19">
        <w:t>s</w:t>
      </w:r>
      <w:r w:rsidRPr="00747A19">
        <w:rPr>
          <w:vertAlign w:val="superscript"/>
        </w:rPr>
        <w:t xml:space="preserve">-1 </w:t>
      </w:r>
      <w:r w:rsidRPr="00747A19">
        <w:t xml:space="preserve">for 12-24 h daily for high-value specialty crops under standard greenhouse conditions, with direct consideration of the unique ambient spectra and DLI provided for any given location and growing season. Further studies should also be conducted on different varieties of basil and other high-value specialty crop species to determine ideal supplemental B:R ratios. </w:t>
      </w:r>
    </w:p>
    <w:p w14:paraId="2E81FF27" w14:textId="77777777" w:rsidR="00126D8D" w:rsidRPr="00747A19" w:rsidRDefault="00126D8D" w:rsidP="00182739">
      <w:pPr>
        <w:pStyle w:val="MSThesisBodyTextJustified"/>
      </w:pPr>
      <w:r w:rsidRPr="00747A19">
        <w:t xml:space="preserve">Second, the high blue treatment (470/450/420) performed as well as the 2B:1R narrowband treatment (450/660/470). It has generally been shown that high intensities of blue wavelengths promote the synthesis of many phenols and terpenoids </w:t>
      </w:r>
      <w:r>
        <w:rPr>
          <w:noProof/>
        </w:rPr>
        <w:t>(</w:t>
      </w:r>
      <w:r w:rsidRPr="00805192">
        <w:rPr>
          <w:rFonts w:cstheme="minorBidi"/>
        </w:rPr>
        <w:t>Colquhoun et al., 2013</w:t>
      </w:r>
      <w:r>
        <w:rPr>
          <w:noProof/>
        </w:rPr>
        <w:t xml:space="preserve">; </w:t>
      </w:r>
      <w:r w:rsidRPr="00805192">
        <w:rPr>
          <w:rFonts w:cstheme="minorBidi"/>
        </w:rPr>
        <w:t>Carvalho et al., 2016</w:t>
      </w:r>
      <w:r>
        <w:rPr>
          <w:noProof/>
        </w:rPr>
        <w:t xml:space="preserve">; </w:t>
      </w:r>
      <w:r w:rsidRPr="00805192">
        <w:rPr>
          <w:rFonts w:cstheme="minorBidi"/>
        </w:rPr>
        <w:t>Taulavuori et al., 2016b</w:t>
      </w:r>
      <w:r>
        <w:rPr>
          <w:noProof/>
        </w:rPr>
        <w:t xml:space="preserve">; </w:t>
      </w:r>
      <w:r w:rsidRPr="00805192">
        <w:rPr>
          <w:rFonts w:cstheme="minorBidi"/>
        </w:rPr>
        <w:t>Toscano et al., 2021</w:t>
      </w:r>
      <w:r>
        <w:rPr>
          <w:noProof/>
        </w:rPr>
        <w:t xml:space="preserve">; </w:t>
      </w:r>
      <w:r w:rsidRPr="00805192">
        <w:rPr>
          <w:rFonts w:cstheme="minorBidi"/>
        </w:rPr>
        <w:t>Kivimaenpa et al., 2022</w:t>
      </w:r>
      <w:r>
        <w:rPr>
          <w:noProof/>
        </w:rPr>
        <w:t>)</w:t>
      </w:r>
      <w:r w:rsidRPr="00747A19">
        <w:t xml:space="preserve">. That being said, it is likely that the ambient solar spectrum during the natural daylight hours was sufficient to provide additional wavelengths necessary for normal physiological function and secondary metabolite concentrations as observed in this experiment. Some studies have shown that monochromatic or dichromatic sole-source lighting can be detrimental to primary and secondary metabolic function </w:t>
      </w:r>
      <w:r w:rsidRPr="00747A19">
        <w:rPr>
          <w:noProof/>
        </w:rPr>
        <w:t>(</w:t>
      </w:r>
      <w:r w:rsidRPr="00805192">
        <w:rPr>
          <w:rFonts w:cstheme="minorBidi"/>
        </w:rPr>
        <w:t>Carvalho et al., 2016</w:t>
      </w:r>
      <w:r w:rsidRPr="00747A19">
        <w:rPr>
          <w:noProof/>
        </w:rPr>
        <w:t xml:space="preserve">; </w:t>
      </w:r>
      <w:r w:rsidRPr="00805192">
        <w:rPr>
          <w:rFonts w:cstheme="minorBidi"/>
        </w:rPr>
        <w:t>Jishi et al., 2016</w:t>
      </w:r>
      <w:r w:rsidRPr="00747A19">
        <w:rPr>
          <w:noProof/>
        </w:rPr>
        <w:t xml:space="preserve">; </w:t>
      </w:r>
      <w:r w:rsidRPr="00805192">
        <w:rPr>
          <w:rFonts w:cstheme="minorBidi"/>
        </w:rPr>
        <w:t>Kong et al., 2019</w:t>
      </w:r>
      <w:r w:rsidRPr="00747A19">
        <w:rPr>
          <w:noProof/>
        </w:rPr>
        <w:t>)</w:t>
      </w:r>
      <w:r w:rsidRPr="00747A19">
        <w:t xml:space="preserve">. Adding small amounts of discrete wavelengths relative to the total intensity of the ambient spectrum has potential to impart desirable secondary metabolic effects while minimizing electrical energy use. </w:t>
      </w:r>
    </w:p>
    <w:p w14:paraId="4C264E1D" w14:textId="77777777" w:rsidR="00126D8D" w:rsidRPr="00747A19" w:rsidRDefault="00126D8D" w:rsidP="00182739">
      <w:pPr>
        <w:pStyle w:val="MSThesisBodyTextJustified"/>
      </w:pPr>
      <w:r w:rsidRPr="00747A19">
        <w:t>Third, the total VOC concentrations of the four 1B:2R treatments (660/400/660, 660/420/660, 660/450/660, and 660/470/660) each statistically separated from each other. The 660/470/660 had the highest total concentrations, while the 660/420/660 had the lowest. This demonstrates the impact of discrete narrowband blue wavelengths (with the same spectra/intensity of red wavelengths) on total VOC concentration. The 660/470/660 treatment was the only 1B:2R treatment to statistically separate from the NL control. A sole-source lighting study found that several quality parameters and secondary metabolite concentrations in basil (</w:t>
      </w:r>
      <w:r w:rsidRPr="00747A19">
        <w:rPr>
          <w:i/>
          <w:iCs/>
        </w:rPr>
        <w:t xml:space="preserve">Ocimum basilicum </w:t>
      </w:r>
      <w:r w:rsidRPr="00747A19">
        <w:lastRenderedPageBreak/>
        <w:t>L.) and strawberry (</w:t>
      </w:r>
      <w:r w:rsidRPr="00747A19">
        <w:rPr>
          <w:i/>
          <w:iCs/>
        </w:rPr>
        <w:t xml:space="preserve">Fragaria x ananassa) </w:t>
      </w:r>
      <w:r w:rsidRPr="00747A19">
        <w:t xml:space="preserve">were improved by using a 0.7 R:B ratio (i.e., 1.4B:1R) </w:t>
      </w:r>
      <w:r w:rsidRPr="00747A19">
        <w:rPr>
          <w:noProof/>
        </w:rPr>
        <w:t>(</w:t>
      </w:r>
      <w:r w:rsidRPr="00805192">
        <w:rPr>
          <w:rFonts w:cstheme="minorBidi"/>
        </w:rPr>
        <w:t>Piovene et al., 2015</w:t>
      </w:r>
      <w:r w:rsidRPr="00747A19">
        <w:rPr>
          <w:noProof/>
        </w:rPr>
        <w:t>)</w:t>
      </w:r>
      <w:r w:rsidRPr="00747A19">
        <w:t xml:space="preserve">. A study comparing natural light under standard greenhouse conditions to indoor sole-source lighting treatments determined significant increases to monoterpene concentrations when using blue/red/yellow and blue/red/green in growth chambers </w:t>
      </w:r>
      <w:r w:rsidRPr="00747A19">
        <w:rPr>
          <w:noProof/>
        </w:rPr>
        <w:t>(</w:t>
      </w:r>
      <w:r w:rsidRPr="00805192">
        <w:rPr>
          <w:rFonts w:cstheme="minorBidi"/>
        </w:rPr>
        <w:t>Carvalho et al., 2016</w:t>
      </w:r>
      <w:r w:rsidRPr="00747A19">
        <w:rPr>
          <w:noProof/>
        </w:rPr>
        <w:t>)</w:t>
      </w:r>
      <w:r w:rsidRPr="00747A19">
        <w:t xml:space="preserve">. A similar indoor lighting study found that using broadband sources with higher intensities of blue wavelengths (i.e., 1B:2.5R vs. 1B:4R) influenced terpenoid and phenylpropanoid concentrations in relation to phenolic acids </w:t>
      </w:r>
      <w:r w:rsidRPr="00747A19">
        <w:rPr>
          <w:noProof/>
        </w:rPr>
        <w:t>(</w:t>
      </w:r>
      <w:r w:rsidRPr="00805192">
        <w:rPr>
          <w:rFonts w:cstheme="minorBidi"/>
        </w:rPr>
        <w:t>Kivimaenpa et al., 2022</w:t>
      </w:r>
      <w:r w:rsidRPr="00747A19">
        <w:rPr>
          <w:noProof/>
        </w:rPr>
        <w:t>)</w:t>
      </w:r>
      <w:r w:rsidRPr="00747A19">
        <w:t>. This further demonstrates the wide range of effects from sole source</w:t>
      </w:r>
      <w:r>
        <w:t>,</w:t>
      </w:r>
      <w:r w:rsidRPr="00747A19">
        <w:t xml:space="preserve"> and </w:t>
      </w:r>
      <w:r>
        <w:t>SL</w:t>
      </w:r>
      <w:r w:rsidRPr="00747A19">
        <w:t xml:space="preserve"> can be species and variety-specific. </w:t>
      </w:r>
    </w:p>
    <w:p w14:paraId="748F8B4B" w14:textId="77777777" w:rsidR="00126D8D" w:rsidRPr="00747A19" w:rsidRDefault="00126D8D" w:rsidP="00182739">
      <w:pPr>
        <w:pStyle w:val="MSThesisBodyTextJustified"/>
      </w:pPr>
      <w:r w:rsidRPr="00747A19">
        <w:t>This study differs from many previous studies evaluating basil aroma volatiles in that sole-source lighting is utilized as compared to supplementing the natural solar spectrum with specific wavebands. The ambient solar spectra, as well as differing species-specific light mediated responses it imparts, adds an additional layer of complexity. Determining the influence of varying light spectra with and without ambient solar spectra, as well as comparing both, will improve our understanding of plant/light interaction as well as help commercial growers in both indoor farm and greenhouse operations.</w:t>
      </w:r>
    </w:p>
    <w:p w14:paraId="41DFB781" w14:textId="3F1A5951" w:rsidR="00126D8D" w:rsidRPr="00747A19" w:rsidRDefault="00126D8D" w:rsidP="00182739">
      <w:pPr>
        <w:pStyle w:val="MSThesisBodyTextJustified"/>
      </w:pPr>
      <w:r w:rsidRPr="00747A19">
        <w:t>Based on this comparison of discrete blue wavelengths, if using supplemental narrowband B/R lighting for sweet basil production, we also recommend 4</w:t>
      </w:r>
      <w:r>
        <w:t>50</w:t>
      </w:r>
      <w:r w:rsidRPr="00747A19">
        <w:t xml:space="preserve"> nm blue additions to 660 nm red </w:t>
      </w:r>
      <w:r>
        <w:t>(</w:t>
      </w:r>
      <w:r w:rsidRPr="005E52E7">
        <w:t>±</w:t>
      </w:r>
      <w:r>
        <w:t xml:space="preserve"> 20 nm)</w:t>
      </w:r>
      <w:r w:rsidRPr="005E52E7">
        <w:t xml:space="preserve"> </w:t>
      </w:r>
      <w:r w:rsidRPr="00747A19">
        <w:t xml:space="preserve">for ideal total VOC bioaccumulation in basil, using the aforementioned B:R ratio range (i.e., 1B:4R to 1B:20R). Further evaluation is warranted on 420 nm in relation to VOC profiles. The wavelengths around 420 nm have been shown to promote VOCs and other secondary metabolites </w:t>
      </w:r>
      <w:r>
        <w:rPr>
          <w:noProof/>
        </w:rPr>
        <w:t>(</w:t>
      </w:r>
      <w:r w:rsidRPr="00805192">
        <w:rPr>
          <w:rFonts w:cstheme="minorBidi"/>
        </w:rPr>
        <w:t>Singh et al., 2015</w:t>
      </w:r>
      <w:r>
        <w:rPr>
          <w:noProof/>
        </w:rPr>
        <w:t xml:space="preserve">; </w:t>
      </w:r>
      <w:r w:rsidRPr="00805192">
        <w:rPr>
          <w:rFonts w:cstheme="minorBidi"/>
        </w:rPr>
        <w:t>Hasan et al., 2017</w:t>
      </w:r>
      <w:r>
        <w:rPr>
          <w:noProof/>
        </w:rPr>
        <w:t xml:space="preserve">; </w:t>
      </w:r>
      <w:r w:rsidRPr="00805192">
        <w:rPr>
          <w:rFonts w:cstheme="minorBidi"/>
        </w:rPr>
        <w:t>Ueda et al., 2021</w:t>
      </w:r>
      <w:r>
        <w:rPr>
          <w:noProof/>
        </w:rPr>
        <w:t>)</w:t>
      </w:r>
      <w:r w:rsidRPr="00747A19">
        <w:t xml:space="preserve">. The 660/420/660 actually produced the lowest total VOC concentration, and was statistically lower than many of the </w:t>
      </w:r>
      <w:r w:rsidRPr="00747A19">
        <w:lastRenderedPageBreak/>
        <w:t xml:space="preserve">narrowband treatments. Further, it did not statistically separate from the NL control.  It is likely that the 420 nm wavelengths promoted the production of other non-volatile secondary metabolites </w:t>
      </w:r>
      <w:r>
        <w:t xml:space="preserve">which are not detectable using </w:t>
      </w:r>
      <w:r w:rsidRPr="00747A19">
        <w:t xml:space="preserve">HS GC-MS, such as carotenoids and flavonoids. Additional experiments evaluating the entire secondary metabolome with various analytical techniques in addition to metabolomics and/or transcriptomics would further elucidate the specific regulation of key pathways. It is also pertinent for future studies to incorporate both primary and secondary metabolic data to determine further resource allocation based on light responses. </w:t>
      </w:r>
    </w:p>
    <w:p w14:paraId="3E8FA20F" w14:textId="77777777" w:rsidR="00126D8D" w:rsidRPr="00747A19" w:rsidRDefault="00126D8D" w:rsidP="00182739">
      <w:pPr>
        <w:pStyle w:val="MSThesisBodyTextJustified"/>
      </w:pPr>
      <w:r w:rsidRPr="00747A19">
        <w:t xml:space="preserve">Fourth, the broadband spectrum lighting treatments had mixed performance in terms of total VOC concentration. The HPS and W/W/W treatments did not statistically separate from the NL control. The high-blue broad-spectrum treatment (450/W/470) actually had the second-highest total VOC concentration, and did not statistically separate from the 6B/94R and 12B/88R treatments. Further exploration into </w:t>
      </w:r>
      <w:r>
        <w:t xml:space="preserve">specific intensities of </w:t>
      </w:r>
      <w:r w:rsidRPr="00747A19">
        <w:t xml:space="preserve">discrete narrowband wavelengths within broad-spectrum supplement lighting, specifically blue wavelengths, is needed.  Additionally, the color temperature (i.e., Kelvin) of broadband white light, should be evaluated in terms of secondary metabolic resource allocation. </w:t>
      </w:r>
    </w:p>
    <w:p w14:paraId="2748FD41" w14:textId="77777777" w:rsidR="00126D8D" w:rsidRPr="00747A19" w:rsidRDefault="00126D8D" w:rsidP="00182739">
      <w:pPr>
        <w:pStyle w:val="MSThesisBodyTextJustified"/>
      </w:pPr>
      <w:r w:rsidRPr="00747A19">
        <w:t xml:space="preserve">Figure </w:t>
      </w:r>
      <w:r>
        <w:t>3.</w:t>
      </w:r>
      <w:r w:rsidRPr="00747A19">
        <w:t>4 shows total VOC concentrations based on the growing season and have been broken down into their respective compound classes. All of the total VOC concentrations statistically separated across the growing season. In the order of highest to lowest total VOC concentrations, June had the highest total VOC concentration (6140 µM</w:t>
      </w:r>
      <w:r w:rsidRPr="00747A19">
        <w:sym w:font="Symbol" w:char="F0D7"/>
      </w:r>
      <w:r w:rsidRPr="00747A19">
        <w:t>g</w:t>
      </w:r>
      <w:r w:rsidRPr="00747A19">
        <w:rPr>
          <w:vertAlign w:val="superscript"/>
        </w:rPr>
        <w:t>-1</w:t>
      </w:r>
      <w:r w:rsidRPr="00747A19">
        <w:t xml:space="preserve"> FM), April had the second highest total VOC concentration (5015 µM</w:t>
      </w:r>
      <w:r w:rsidRPr="00747A19">
        <w:sym w:font="Symbol" w:char="F0D7"/>
      </w:r>
      <w:r w:rsidRPr="00747A19">
        <w:t>g</w:t>
      </w:r>
      <w:r w:rsidRPr="00747A19">
        <w:rPr>
          <w:vertAlign w:val="superscript"/>
        </w:rPr>
        <w:t>-1</w:t>
      </w:r>
      <w:r w:rsidRPr="00747A19">
        <w:t xml:space="preserve"> FM), January had the third highest total VOC concentration (3840 µM</w:t>
      </w:r>
      <w:r w:rsidRPr="00747A19">
        <w:sym w:font="Symbol" w:char="F0D7"/>
      </w:r>
      <w:r w:rsidRPr="00747A19">
        <w:t>g</w:t>
      </w:r>
      <w:r w:rsidRPr="00747A19">
        <w:rPr>
          <w:vertAlign w:val="superscript"/>
        </w:rPr>
        <w:t>-1</w:t>
      </w:r>
      <w:r w:rsidRPr="00747A19">
        <w:t xml:space="preserve"> FM), and finally</w:t>
      </w:r>
      <w:r>
        <w:t>,</w:t>
      </w:r>
      <w:r w:rsidRPr="00747A19">
        <w:t xml:space="preserve"> September had the lowest concentration (2760 µM</w:t>
      </w:r>
      <w:r w:rsidRPr="00747A19">
        <w:sym w:font="Symbol" w:char="F0D7"/>
      </w:r>
      <w:r w:rsidRPr="00747A19">
        <w:t>g</w:t>
      </w:r>
      <w:r w:rsidRPr="00747A19">
        <w:rPr>
          <w:vertAlign w:val="superscript"/>
        </w:rPr>
        <w:t>-1</w:t>
      </w:r>
      <w:r w:rsidRPr="00747A19">
        <w:t xml:space="preserve"> FM). Greenhouse growing conditions and environmental parameters were similar for all four growing seasons in this experiment (</w:t>
      </w:r>
      <w:r>
        <w:t>Table 3.1</w:t>
      </w:r>
      <w:r w:rsidRPr="00747A19">
        <w:t xml:space="preserve">). The non-supplemented NL control provides </w:t>
      </w:r>
      <w:r w:rsidRPr="00747A19">
        <w:lastRenderedPageBreak/>
        <w:t xml:space="preserve">a baseline to compare across all seasons. Greenhouse day and night temperatures were held constant within 2 ºC across all growing seasons, which isolates two of the primary independent variables utilized in this experiment: change in spectral quality from ambient sunlight across growing seasons and change in total DLI from ambient sunlight across growing seasons. It would generally be expected that increasing the DLI from ambient sunlight would indirectly increase total volatile concentration, due to the increased primary metabolic capacity and ability to allocate additional resources to secondary pathways </w:t>
      </w:r>
      <w:r>
        <w:rPr>
          <w:noProof/>
        </w:rPr>
        <w:t>(</w:t>
      </w:r>
      <w:r w:rsidRPr="00805192">
        <w:rPr>
          <w:rFonts w:cstheme="minorBidi"/>
        </w:rPr>
        <w:t>Faust et al., 2005</w:t>
      </w:r>
      <w:r>
        <w:rPr>
          <w:noProof/>
        </w:rPr>
        <w:t xml:space="preserve">; </w:t>
      </w:r>
      <w:r w:rsidRPr="00805192">
        <w:rPr>
          <w:rFonts w:cstheme="minorBidi"/>
        </w:rPr>
        <w:t>Garland et al., 2010</w:t>
      </w:r>
      <w:r>
        <w:rPr>
          <w:noProof/>
        </w:rPr>
        <w:t xml:space="preserve">; </w:t>
      </w:r>
      <w:r w:rsidRPr="00805192">
        <w:rPr>
          <w:rFonts w:cstheme="minorBidi"/>
        </w:rPr>
        <w:t>Currey and Lopez, 2015</w:t>
      </w:r>
      <w:r>
        <w:rPr>
          <w:noProof/>
        </w:rPr>
        <w:t>)</w:t>
      </w:r>
      <w:r w:rsidRPr="00747A19">
        <w:t>. That being said, it was interesting to see that September had the second-highest DLI, but the lowest total VOC concentration. Additionally, January had the lowest DLI, but had the third-highest total VOC concentration. June had the highest DLI, as well as the highest total VOC concentration (</w:t>
      </w:r>
      <w:r>
        <w:t>Table 3.4</w:t>
      </w:r>
      <w:r w:rsidRPr="00747A19">
        <w:t>). This indicates that the change in both total DLI and spectral quality of the ambient sunlight across growing seasons directly influences total VOC concentrations.</w:t>
      </w:r>
    </w:p>
    <w:p w14:paraId="36287E5B" w14:textId="77777777" w:rsidR="00126D8D" w:rsidRPr="00747A19" w:rsidRDefault="00126D8D" w:rsidP="00182739">
      <w:pPr>
        <w:pStyle w:val="MSThesisBodyTextJustified"/>
      </w:pPr>
      <w:r w:rsidRPr="00747A19">
        <w:t>The June growing seasons generally had the highest tissue concentrations of specific volatile compounds, while January generally had the lowest concentrations. Many of the compounds followed the trend of higher tissue concentrations as the average total growing season DLI increased. That being said, some notable exceptions do not trend with seasonal DLI, demonstrating the complex interaction between seasonal spectral quality and secondary metabolism. These exceptions can be separated into three groups.</w:t>
      </w:r>
      <w:r>
        <w:t xml:space="preserve"> </w:t>
      </w:r>
      <w:r w:rsidRPr="00747A19">
        <w:t>First, the compounds 2-Octyn-1-ol, Nonanal, cis-</w:t>
      </w:r>
      <w:r w:rsidRPr="00747A19">
        <w:sym w:font="Symbol" w:char="F062"/>
      </w:r>
      <w:r w:rsidRPr="00747A19">
        <w:t xml:space="preserve">-Ocimene, Linalool, and </w:t>
      </w:r>
      <w:r w:rsidRPr="00747A19">
        <w:sym w:font="Symbol" w:char="F062"/>
      </w:r>
      <w:r w:rsidRPr="00747A19">
        <w:t xml:space="preserve">-Myrcene had the lowest concentrations in the September growing season rather than the January growing season. Second, the compounds 3-Caren-10-al, Camphene, </w:t>
      </w:r>
      <w:r>
        <w:t>Isoborneol</w:t>
      </w:r>
      <w:r w:rsidRPr="00747A19">
        <w:t xml:space="preserve">, </w:t>
      </w:r>
      <w:r w:rsidRPr="00747A19">
        <w:sym w:font="Symbol" w:char="F061"/>
      </w:r>
      <w:r w:rsidRPr="00747A19">
        <w:t xml:space="preserve">-Pinene, and </w:t>
      </w:r>
      <w:r w:rsidRPr="00747A19">
        <w:sym w:font="Symbol" w:char="F062"/>
      </w:r>
      <w:r w:rsidRPr="00747A19">
        <w:t xml:space="preserve">-Pinene all had the highest concentrations in the September growing season rather than June growing season. Third, Dimethyl Sulfide was the only compound in this experiment to have the highest tissue concentration in the April growing </w:t>
      </w:r>
      <w:r w:rsidRPr="00747A19">
        <w:lastRenderedPageBreak/>
        <w:t xml:space="preserve">season, rather than the June growing season. It was interesting to observe the various effects on compounds across different classes and metabolic pathways, which warrants further exploration using analytical techniques as well as metabolomics.  </w:t>
      </w:r>
    </w:p>
    <w:p w14:paraId="4A84376F" w14:textId="77777777" w:rsidR="00126D8D" w:rsidRPr="00747A19" w:rsidRDefault="00126D8D" w:rsidP="00182739">
      <w:pPr>
        <w:pStyle w:val="MSThesisBodyTextJustified"/>
      </w:pPr>
      <w:r w:rsidRPr="00747A19">
        <w:t xml:space="preserve">For many of the statistically significant compounds evaluated in this study, the 6B/94R treatment produced the highest concentrations, while the lowest was generally observed in the 660/420/660 treatment. </w:t>
      </w:r>
      <w:r>
        <w:t xml:space="preserve">16 </w:t>
      </w:r>
      <w:r w:rsidRPr="00747A19">
        <w:t xml:space="preserve">VOCs were determined to </w:t>
      </w:r>
      <w:r>
        <w:t xml:space="preserve">be </w:t>
      </w:r>
      <w:r w:rsidRPr="00747A19">
        <w:t xml:space="preserve">responsible for </w:t>
      </w:r>
      <w:r>
        <w:t>approximately</w:t>
      </w:r>
      <w:r w:rsidRPr="00747A19">
        <w:t xml:space="preserve"> 90% of the total response area as well as variations in the aromatic profile, which is in agreement with a similar experiment </w:t>
      </w:r>
      <w:r w:rsidRPr="00747A19">
        <w:rPr>
          <w:noProof/>
        </w:rPr>
        <w:t>(</w:t>
      </w:r>
      <w:r w:rsidRPr="00805192">
        <w:rPr>
          <w:rFonts w:cstheme="minorBidi"/>
        </w:rPr>
        <w:t>Pennisi et al., 2019a</w:t>
      </w:r>
      <w:r w:rsidRPr="00747A19">
        <w:rPr>
          <w:noProof/>
        </w:rPr>
        <w:t>)</w:t>
      </w:r>
      <w:r w:rsidRPr="00747A19">
        <w:t xml:space="preserve">. Four compounds deviated from this pattern, all of which have proven significant in sensory perception for sweet basil. </w:t>
      </w:r>
    </w:p>
    <w:p w14:paraId="4D4F7703" w14:textId="77777777" w:rsidR="00126D8D" w:rsidRPr="00747A19" w:rsidRDefault="00126D8D" w:rsidP="00182739">
      <w:pPr>
        <w:pStyle w:val="MSThesisBodyTextJustified"/>
      </w:pPr>
      <w:r w:rsidRPr="00747A19">
        <w:t xml:space="preserve">Nonanal has a strong and unmistakable scent. Its aroma is described as fatty, citrusy orange peel with notes of sweet floral and rose petals. It adds warmth to fragrances, boosts freshness in floral compositions, and offers a distinctive aldehydic odor. Nonanal rounds off the smell of perfumes and helps make them more palatable to the nose. It also has the ability to lend its waxy character to other flavors, giving it a unique sensorial appeal </w:t>
      </w:r>
      <w:r w:rsidRPr="00747A19">
        <w:rPr>
          <w:noProof/>
        </w:rPr>
        <w:t>(</w:t>
      </w:r>
      <w:r w:rsidRPr="00805192">
        <w:rPr>
          <w:rFonts w:cstheme="minorBidi"/>
        </w:rPr>
        <w:t>Sell, 2019</w:t>
      </w:r>
      <w:r w:rsidRPr="00747A19">
        <w:rPr>
          <w:noProof/>
        </w:rPr>
        <w:t>)</w:t>
      </w:r>
      <w:r w:rsidRPr="00747A19">
        <w:t>. The highest tissue concentration of Nonanal was found under the 660/470/660 treatment, which was more than double the concentration found in the NL control.</w:t>
      </w:r>
    </w:p>
    <w:p w14:paraId="7C95982F" w14:textId="77777777" w:rsidR="00126D8D" w:rsidRPr="00747A19" w:rsidRDefault="00126D8D" w:rsidP="00182739">
      <w:pPr>
        <w:pStyle w:val="MSThesisBodyTextJustified"/>
      </w:pPr>
      <w:r w:rsidRPr="00747A19">
        <w:t xml:space="preserve">Linalool is a naturally occurring terpene found in many flowers, spices, and other higher plants. The aroma of linalool is described as sweet, fruity, floral, and herbaceous. It has citrus and spice notes, with a light woodsy character reminiscent of lavender and bergamot oil. Linalool is commonly found in herbs such as oregano, thyme, marjoram, rosemary, and basil </w:t>
      </w:r>
      <w:r w:rsidRPr="00747A19">
        <w:rPr>
          <w:noProof/>
        </w:rPr>
        <w:t>(</w:t>
      </w:r>
      <w:r w:rsidRPr="00805192">
        <w:rPr>
          <w:rFonts w:cstheme="minorBidi"/>
        </w:rPr>
        <w:t>Meligaard et al., 2007</w:t>
      </w:r>
      <w:r w:rsidRPr="00747A19">
        <w:rPr>
          <w:noProof/>
        </w:rPr>
        <w:t xml:space="preserve">; </w:t>
      </w:r>
      <w:r w:rsidRPr="00805192">
        <w:rPr>
          <w:rFonts w:cstheme="minorBidi"/>
        </w:rPr>
        <w:t>Sell, 2019</w:t>
      </w:r>
      <w:r w:rsidRPr="00747A19">
        <w:rPr>
          <w:noProof/>
        </w:rPr>
        <w:t>)</w:t>
      </w:r>
      <w:r w:rsidRPr="00747A19">
        <w:t>. Linalool tissue concentrations were highest in the 660/470/660, while the lowest was under the 660/420/660</w:t>
      </w:r>
      <w:r>
        <w:t xml:space="preserve"> treatment</w:t>
      </w:r>
      <w:r w:rsidRPr="00747A19">
        <w:t>; these were the only two treatments that statistically separated for Linalool.</w:t>
      </w:r>
    </w:p>
    <w:p w14:paraId="11FC4B12" w14:textId="77777777" w:rsidR="00126D8D" w:rsidRPr="00747A19" w:rsidRDefault="00126D8D" w:rsidP="00182739">
      <w:pPr>
        <w:pStyle w:val="MSThesisBodyTextJustified"/>
      </w:pPr>
      <w:r w:rsidRPr="00747A19">
        <w:lastRenderedPageBreak/>
        <w:t xml:space="preserve">Dimethyl Sulfide has a strong, pungent aroma that can be described as earthy, fishy, or sulfuric. It is often compared to the smell of cooked cabbage and is used as an ingredient in certain types of food flavorings. It has high bioactivity and can be detected in extremely small concentrations, even at concentrations below 0.1 ppm; </w:t>
      </w:r>
      <w:r>
        <w:t>relatively low</w:t>
      </w:r>
      <w:r w:rsidRPr="00747A19">
        <w:t xml:space="preserve"> concentrations can lead to negative sensory perception in humans </w:t>
      </w:r>
      <w:r w:rsidRPr="00747A19">
        <w:rPr>
          <w:noProof/>
        </w:rPr>
        <w:t>(</w:t>
      </w:r>
      <w:r w:rsidRPr="00805192">
        <w:rPr>
          <w:rFonts w:cstheme="minorBidi"/>
        </w:rPr>
        <w:t>Meligaard et al., 2007</w:t>
      </w:r>
      <w:r w:rsidRPr="00747A19">
        <w:rPr>
          <w:noProof/>
        </w:rPr>
        <w:t xml:space="preserve">; </w:t>
      </w:r>
      <w:r w:rsidRPr="00805192">
        <w:rPr>
          <w:rFonts w:cstheme="minorBidi"/>
        </w:rPr>
        <w:t>Sell, 2019</w:t>
      </w:r>
      <w:r w:rsidRPr="00747A19">
        <w:rPr>
          <w:noProof/>
        </w:rPr>
        <w:t>)</w:t>
      </w:r>
      <w:r w:rsidRPr="00747A19">
        <w:t xml:space="preserve">. Interestingly, the highest concentration was found in the 660/470/660, but </w:t>
      </w:r>
      <w:r>
        <w:t>was only statistically separate from</w:t>
      </w:r>
      <w:r w:rsidRPr="00747A19">
        <w:t xml:space="preserve"> the W/W/W and the NL control. It should be noted that the addition of narrowband LED treatments directly increased the concentration of this negatively perceived compound, while the same intensity of broad-spectrum white light (W/W/W) was statistically lower. The broad spectrum white and the NL control, despite different DLIs, did not statistically separate, suggesting that spectral quality has a greater influence on Dimethyl Sulfide tissue concentrations than DLI. Other sulfur compounds in this experiment did not show statistically significant differences in concentration across lighting treatments. </w:t>
      </w:r>
    </w:p>
    <w:p w14:paraId="16D8BF18" w14:textId="77777777" w:rsidR="00126D8D" w:rsidRPr="00747A19" w:rsidRDefault="00126D8D" w:rsidP="00182739">
      <w:pPr>
        <w:pStyle w:val="MSThesisBodyTextJustified"/>
      </w:pPr>
      <w:r w:rsidRPr="00747A19">
        <w:t xml:space="preserve">Eugenol is a phenylpropanoid with a sweet, spicy, nutty, and woody aroma, with notes of clove, cinnamon, and allspice. Its scent is reminiscent of bay leaf and is often used as a food flavoring. Eugenol is known for its antimicrobial properties and therapeutic properties. It has been used to create unique perfumes, adding depth and complexity to scents, especially those with a floral or citrus character. It is commonly used to flavor commercially produced food products </w:t>
      </w:r>
      <w:r w:rsidRPr="00747A19">
        <w:rPr>
          <w:noProof/>
        </w:rPr>
        <w:t>(</w:t>
      </w:r>
      <w:r w:rsidRPr="00805192">
        <w:rPr>
          <w:rFonts w:cstheme="minorBidi"/>
        </w:rPr>
        <w:t>Lawless, 2010</w:t>
      </w:r>
      <w:r w:rsidRPr="00747A19">
        <w:rPr>
          <w:noProof/>
        </w:rPr>
        <w:t xml:space="preserve">; </w:t>
      </w:r>
      <w:r w:rsidRPr="00805192">
        <w:rPr>
          <w:rFonts w:cstheme="minorBidi"/>
        </w:rPr>
        <w:t>Sell, 2019</w:t>
      </w:r>
      <w:r w:rsidRPr="00747A19">
        <w:rPr>
          <w:noProof/>
        </w:rPr>
        <w:t>)</w:t>
      </w:r>
      <w:r w:rsidRPr="00747A19">
        <w:t xml:space="preserve">. The highest tissue concentrations were found under the 6B/94R treatment, while the lowest concentrations were found under the NL control, an almost 3.5x difference. The 660/420/660 treatment did not statistically separate from any of the other LED treatments or the NL controls. Additionally, Methyl Eugenol, the synthesis of which is directly related to Eugenol, was not statistically significant across lighting treatments. </w:t>
      </w:r>
    </w:p>
    <w:p w14:paraId="1427AF1F" w14:textId="77777777" w:rsidR="00126D8D" w:rsidRPr="00747A19" w:rsidRDefault="00126D8D" w:rsidP="00182739">
      <w:pPr>
        <w:pStyle w:val="MSThesisBodyTextJustified"/>
      </w:pPr>
      <w:r w:rsidRPr="00747A19">
        <w:lastRenderedPageBreak/>
        <w:t xml:space="preserve">Four terpenoid compounds of key aroma volatiles, consisting of different chemical classes at various points within the isoprenoid pathway, followed the same general pattern across lighting treatments. These include </w:t>
      </w:r>
      <w:r w:rsidRPr="00747A19">
        <w:sym w:font="Symbol" w:char="F061"/>
      </w:r>
      <w:r w:rsidRPr="00747A19">
        <w:t xml:space="preserve">-Pinene, </w:t>
      </w:r>
      <w:r w:rsidRPr="00747A19">
        <w:sym w:font="Symbol" w:char="F062"/>
      </w:r>
      <w:r w:rsidRPr="00747A19">
        <w:t>-Pinene, Camphene, and d-Limonene.</w:t>
      </w:r>
    </w:p>
    <w:p w14:paraId="517602F7" w14:textId="77777777" w:rsidR="00126D8D" w:rsidRPr="00747A19" w:rsidRDefault="00126D8D" w:rsidP="00182739">
      <w:pPr>
        <w:pStyle w:val="MSThesisBodyTextJustified"/>
      </w:pPr>
      <w:r w:rsidRPr="00747A19">
        <w:sym w:font="Symbol" w:char="F061"/>
      </w:r>
      <w:r w:rsidRPr="00747A19">
        <w:t xml:space="preserve">-Pinene and </w:t>
      </w:r>
      <w:r w:rsidRPr="00747A19">
        <w:sym w:font="Symbol" w:char="F062"/>
      </w:r>
      <w:r w:rsidRPr="00747A19">
        <w:t xml:space="preserve">-Pinene are two isomers found ubiquitously in nature, most notably in the essential oils of coniferous trees. </w:t>
      </w:r>
      <w:r w:rsidRPr="00747A19">
        <w:sym w:font="Symbol" w:char="F061"/>
      </w:r>
      <w:r w:rsidRPr="00747A19">
        <w:t xml:space="preserve">-pinene has a sharp, piney aroma. </w:t>
      </w:r>
      <w:r w:rsidRPr="00747A19">
        <w:sym w:font="Symbol" w:char="F062"/>
      </w:r>
      <w:r w:rsidRPr="00747A19">
        <w:t xml:space="preserve">-pinene, on the other hand, has an earthy and herbaceous scent reminiscent of rosemary and sage. The main difference between these two terpenes is their perceived intensity, as </w:t>
      </w:r>
      <w:r w:rsidRPr="00747A19">
        <w:sym w:font="Symbol" w:char="F061"/>
      </w:r>
      <w:r w:rsidRPr="00747A19">
        <w:t xml:space="preserve">-Pinene’s sharp and intense aroma stands out from </w:t>
      </w:r>
      <w:r w:rsidRPr="00747A19">
        <w:sym w:font="Symbol" w:char="F062"/>
      </w:r>
      <w:r w:rsidRPr="00747A19">
        <w:t xml:space="preserve">-pinene's more subtle earthy notes. Both terpenes have significant culinary and therapeutic potential </w:t>
      </w:r>
      <w:r w:rsidRPr="00747A19">
        <w:rPr>
          <w:noProof/>
        </w:rPr>
        <w:t>(</w:t>
      </w:r>
      <w:r w:rsidRPr="00805192">
        <w:rPr>
          <w:rFonts w:cstheme="minorBidi"/>
        </w:rPr>
        <w:t>Sell, 2019</w:t>
      </w:r>
      <w:r w:rsidRPr="00747A19">
        <w:rPr>
          <w:noProof/>
        </w:rPr>
        <w:t>)</w:t>
      </w:r>
      <w:r w:rsidRPr="00747A19">
        <w:t xml:space="preserve">. </w:t>
      </w:r>
    </w:p>
    <w:p w14:paraId="375C9B3E" w14:textId="77777777" w:rsidR="00126D8D" w:rsidRPr="00182739" w:rsidRDefault="00126D8D" w:rsidP="00182739">
      <w:pPr>
        <w:pStyle w:val="MSThesisBodyTextJustified"/>
      </w:pPr>
      <w:r w:rsidRPr="00182739">
        <w:t>Camphene has a strong, piney, camphoraceous aroma with hints of fir and spices. It is often described as having citrus notes with an underlying musky sweetness. Camphene is used in perfume creation to add a woody and earthy edge to fragrances, particularly those with fresh and herbal elements. Camphene accentuates other flavors like citrus, mint, and earthy notes in food flavorings (Lawless, 2010; Sell, 2019).</w:t>
      </w:r>
    </w:p>
    <w:p w14:paraId="76BC675F" w14:textId="77777777" w:rsidR="00126D8D" w:rsidRPr="00747A19" w:rsidRDefault="00126D8D" w:rsidP="00182739">
      <w:pPr>
        <w:pStyle w:val="MSThesisBodyTextJustified"/>
      </w:pPr>
      <w:r w:rsidRPr="00747A19">
        <w:t xml:space="preserve">d-Limonene has a strong and distinct citrus scent reminiscent of oranges and lemons. It is often described as having a distinctive sweet orange aroma, with notes of lemon and lime. d-Limonene is used in the production of perfumes, cosmetics, food flavorings, and cleaning products due to its pleasant smell. Despite being an undernote of basil aroma, it still plays a significant role in the overall aroma perception of some sweet basil varieties </w:t>
      </w:r>
      <w:r w:rsidRPr="00747A19">
        <w:rPr>
          <w:noProof/>
        </w:rPr>
        <w:t>(</w:t>
      </w:r>
      <w:r w:rsidRPr="00805192">
        <w:rPr>
          <w:rFonts w:cstheme="minorBidi"/>
        </w:rPr>
        <w:t>Lawless, 2010</w:t>
      </w:r>
      <w:r w:rsidRPr="00747A19">
        <w:rPr>
          <w:noProof/>
        </w:rPr>
        <w:t xml:space="preserve">; </w:t>
      </w:r>
      <w:r w:rsidRPr="00805192">
        <w:rPr>
          <w:rFonts w:cstheme="minorBidi"/>
        </w:rPr>
        <w:t>Sell, 2019</w:t>
      </w:r>
      <w:r w:rsidRPr="00747A19">
        <w:rPr>
          <w:noProof/>
        </w:rPr>
        <w:t>)</w:t>
      </w:r>
      <w:r w:rsidRPr="00747A19">
        <w:t xml:space="preserve">. </w:t>
      </w:r>
    </w:p>
    <w:p w14:paraId="34D69D26" w14:textId="77777777" w:rsidR="00126D8D" w:rsidRPr="00747A19" w:rsidRDefault="00126D8D" w:rsidP="00182739">
      <w:pPr>
        <w:pStyle w:val="MSThesisBodyTextJustified"/>
      </w:pPr>
      <w:r w:rsidRPr="00747A19">
        <w:t xml:space="preserve">These four terpenoid compounds all have various physical and chemical properties and reside at different locations within the isoprenoid pathway, but generally maintain the same pattern across lighting treatments. This suggests that these pathways are receiving more upstream products to the biosynthesis of some terpenoid compounds (i.e., resource allocation is being shifted to </w:t>
      </w:r>
      <w:r w:rsidRPr="00747A19">
        <w:lastRenderedPageBreak/>
        <w:t>terpenoid pathways due to light stress induced from discrete combinations of narrowband wavelengths), while other specific compounds within the isoprenoid and phenylpropanoid pathway are being differentially regulated based on varying spectral quality and/or DLIs.</w:t>
      </w:r>
    </w:p>
    <w:p w14:paraId="28579B8A" w14:textId="77777777" w:rsidR="00126D8D" w:rsidRPr="00182739" w:rsidRDefault="00126D8D" w:rsidP="00182739">
      <w:pPr>
        <w:pStyle w:val="MSThesisBodyTextJustified"/>
      </w:pPr>
      <w:r w:rsidRPr="00182739">
        <w:t xml:space="preserve">Although basil is one of the most popular herbs globally, it can be challenging to characterize in terms of light-mediated sensory properties at the genomic and phenotypic levels. One limitation to evaluating the interaction of light and sensory quality is that there are over sixty varieties of Ocimum basilicum, each with specific light-mediated secondary metabolic responses; this complicates the comparison of studies found in current literature (Blank et al., 2004). These light-mediated responses cannot be easily generalized to other high-value specialty crops, which provides numerous unique research opportunities. </w:t>
      </w:r>
    </w:p>
    <w:p w14:paraId="43F6C3B7" w14:textId="77777777" w:rsidR="00126D8D" w:rsidRPr="00977990" w:rsidRDefault="00126D8D" w:rsidP="00182739">
      <w:pPr>
        <w:pStyle w:val="MSThesisBodyTextJustified"/>
      </w:pPr>
      <w:r>
        <w:t>Headspace GC-MS is a commonly used analytical technique used to qualify and quantify VOCs from many types of biological samples. It is particularly useful for metabolomics and characterizing aroma profiles for plant tissues and food products. In this experiment, all</w:t>
      </w:r>
      <w:r w:rsidRPr="00747A19">
        <w:t xml:space="preserve"> volatile concentration units are reported in µM</w:t>
      </w:r>
      <w:r w:rsidRPr="00747A19">
        <w:sym w:font="Symbol" w:char="F0D7"/>
      </w:r>
      <w:r w:rsidRPr="00747A19">
        <w:t>g</w:t>
      </w:r>
      <w:r w:rsidRPr="00747A19">
        <w:rPr>
          <w:vertAlign w:val="superscript"/>
        </w:rPr>
        <w:t>-1</w:t>
      </w:r>
      <w:r w:rsidRPr="00747A19">
        <w:t xml:space="preserve"> FM</w:t>
      </w:r>
      <w:r>
        <w:t xml:space="preserve">. </w:t>
      </w:r>
      <w:r w:rsidRPr="00747A19">
        <w:t>This unit (compared to µmol</w:t>
      </w:r>
      <w:r w:rsidRPr="00747A19">
        <w:sym w:font="Symbol" w:char="F0D7"/>
      </w:r>
      <w:r w:rsidRPr="00747A19">
        <w:t>g</w:t>
      </w:r>
      <w:r w:rsidRPr="00747A19">
        <w:rPr>
          <w:vertAlign w:val="superscript"/>
        </w:rPr>
        <w:t>-1</w:t>
      </w:r>
      <w:r w:rsidRPr="00747A19">
        <w:t xml:space="preserve"> FM) was utilized because </w:t>
      </w:r>
      <w:r>
        <w:t xml:space="preserve">it </w:t>
      </w:r>
      <w:r w:rsidRPr="00747A19">
        <w:t>incorporates the concentration of each analyte per unit volume of headspace gas above the plant tissue (i.e., samples the dynamic and complex gaseous matrix which contains numerous pertinent VOCs)</w:t>
      </w:r>
      <w:r>
        <w:t>,</w:t>
      </w:r>
      <w:r w:rsidRPr="00747A19">
        <w:t xml:space="preserve"> which is important for sensory-based studies. </w:t>
      </w:r>
      <w:r>
        <w:t xml:space="preserve">Further, </w:t>
      </w:r>
      <w:r w:rsidRPr="00747A19">
        <w:t xml:space="preserve">VOCs are highly localized and typically require other </w:t>
      </w:r>
      <w:r>
        <w:t>GC-MS</w:t>
      </w:r>
      <w:r w:rsidRPr="00747A19">
        <w:t xml:space="preserve"> techniques (i.e., liquid solvent extraction/injection) to accurately quantify in terms of µmol</w:t>
      </w:r>
      <w:r w:rsidRPr="00747A19">
        <w:sym w:font="Symbol" w:char="F0D7"/>
      </w:r>
      <w:r w:rsidRPr="00747A19">
        <w:t>g</w:t>
      </w:r>
      <w:r w:rsidRPr="00747A19">
        <w:rPr>
          <w:vertAlign w:val="superscript"/>
        </w:rPr>
        <w:t>-1</w:t>
      </w:r>
      <w:r w:rsidRPr="00747A19">
        <w:t xml:space="preserve"> of homogenized plant tissue. </w:t>
      </w:r>
      <w:r>
        <w:t>HS</w:t>
      </w:r>
      <w:r w:rsidRPr="00747A19">
        <w:t xml:space="preserve"> analysis is an ideal </w:t>
      </w:r>
      <w:r>
        <w:t>GC-MS</w:t>
      </w:r>
      <w:r w:rsidRPr="00747A19">
        <w:t xml:space="preserve"> sampling technique </w:t>
      </w:r>
      <w:r>
        <w:t>involving</w:t>
      </w:r>
      <w:r w:rsidRPr="00747A19">
        <w:t xml:space="preserve"> sensory studies </w:t>
      </w:r>
      <w:r>
        <w:t>with</w:t>
      </w:r>
      <w:r w:rsidRPr="00747A19">
        <w:t xml:space="preserve"> plant flavor/aroma</w:t>
      </w:r>
      <w:r>
        <w:t>,</w:t>
      </w:r>
      <w:r w:rsidRPr="00747A19">
        <w:t xml:space="preserve"> because it accounts for the dynamic release of volatiles from plant tissues </w:t>
      </w:r>
      <w:r>
        <w:t>under</w:t>
      </w:r>
      <w:r w:rsidRPr="00747A19">
        <w:t xml:space="preserve"> repeatable conditions</w:t>
      </w:r>
      <w:r>
        <w:t xml:space="preserve"> and can be incorporated with olfactometry (GC-O)</w:t>
      </w:r>
      <w:r w:rsidRPr="00747A19">
        <w:t xml:space="preserve">. Humans </w:t>
      </w:r>
      <w:r>
        <w:t>primarily</w:t>
      </w:r>
      <w:r w:rsidRPr="00747A19">
        <w:t xml:space="preserve"> detect aroma volatiles </w:t>
      </w:r>
      <w:r>
        <w:t>that</w:t>
      </w:r>
      <w:r w:rsidRPr="00747A19">
        <w:t xml:space="preserve"> have been volatilized (i.e., released from trichomes and other specialized structures), which then induces an </w:t>
      </w:r>
      <w:r w:rsidRPr="00747A19">
        <w:lastRenderedPageBreak/>
        <w:t>olfactory response. By accurately calibrating analytical standards to known headspace concentrations, we can determine the micro</w:t>
      </w:r>
      <w:r>
        <w:t xml:space="preserve"> </w:t>
      </w:r>
      <w:r w:rsidRPr="00747A19">
        <w:t>molarity of each analyte, within a known volume of dynamic gaseous headspace matrix, under repeatable conditions (i.e., temperature and pressure using inert analytical grade He) to which a consumer would be exposed to during consumption.</w:t>
      </w:r>
      <w:r>
        <w:t xml:space="preserve"> </w:t>
      </w:r>
      <w:r w:rsidRPr="00747A19">
        <w:t xml:space="preserve">Future studies should use a variety of analytical </w:t>
      </w:r>
      <w:r>
        <w:t>as well as</w:t>
      </w:r>
      <w:r w:rsidRPr="00747A19">
        <w:t xml:space="preserve"> molecular techniques to determine the primary and secondary metabolic impacts of spectral quality. A multidisciplinary approach would allow for greater insight into the complex interactions between light and plant physiology. This could result in the development of light recipe guidelines based on location and weather conditions, to dynamically attenuate </w:t>
      </w:r>
      <w:r>
        <w:t>SL</w:t>
      </w:r>
      <w:r w:rsidRPr="00747A19">
        <w:t xml:space="preserve"> spectra to the natural solar spectra as it changes across seasons; season-specific lighting regimes have the potential to maintain consistent flavor and aroma quality throughout the year.</w:t>
      </w:r>
      <w:r w:rsidRPr="00747A19">
        <w:rPr>
          <w:color w:val="1E293B"/>
          <w:sz w:val="26"/>
          <w:szCs w:val="26"/>
          <w:shd w:val="clear" w:color="auto" w:fill="FFFFFF"/>
        </w:rPr>
        <w:t xml:space="preserve"> </w:t>
      </w:r>
    </w:p>
    <w:p w14:paraId="6CBF215D" w14:textId="77777777" w:rsidR="00126D8D" w:rsidRPr="00747A19" w:rsidRDefault="00126D8D" w:rsidP="00182739">
      <w:pPr>
        <w:pStyle w:val="MSThesisBodyTextJustified"/>
      </w:pPr>
      <w:r w:rsidRPr="00747A19">
        <w:t xml:space="preserve">This experiment utilized continuous </w:t>
      </w:r>
      <w:r>
        <w:t>low-intensity</w:t>
      </w:r>
      <w:r w:rsidRPr="00747A19">
        <w:t xml:space="preserve"> light supplements, which </w:t>
      </w:r>
      <w:r>
        <w:t>have</w:t>
      </w:r>
      <w:r w:rsidRPr="00747A19">
        <w:t xml:space="preserve"> the potential to manipulate secondary metabolite bioaccumulation while efficiently increasing crop DLI (i.e., utilizing cheaper off-peak electrical rates during night hours). Because basil is grown to vegetative maturity and does not require a photoperiodic response, it tolerates 24 h SL very well; other crops will experience deleterious effects when using </w:t>
      </w:r>
      <w:r>
        <w:t xml:space="preserve">this </w:t>
      </w:r>
      <w:r w:rsidRPr="00747A19">
        <w:t xml:space="preserve">type of lighting regime. Increasing the intensity and/or manipulating the duration of SL also has the potential to differentially influence secondary metabolic profiles and should be further evaluated under greenhouse and growth chamber conditions. </w:t>
      </w:r>
    </w:p>
    <w:p w14:paraId="7B6FDD79" w14:textId="77777777" w:rsidR="00126D8D" w:rsidRPr="00747A19" w:rsidRDefault="00126D8D" w:rsidP="00182739">
      <w:pPr>
        <w:pStyle w:val="MSThesisBodyTextJustified"/>
      </w:pPr>
      <w:r w:rsidRPr="00747A19">
        <w:t xml:space="preserve"> While narrowband B/R wavelengths </w:t>
      </w:r>
      <w:r>
        <w:t>have been shown to increase</w:t>
      </w:r>
      <w:r w:rsidRPr="00747A19">
        <w:t xml:space="preserve"> total and specific VOC concentration</w:t>
      </w:r>
      <w:r>
        <w:t xml:space="preserve">s, varying levels of impact have been observed among different species and specific SL spectral qualities; </w:t>
      </w:r>
      <w:r w:rsidRPr="00747A19">
        <w:t xml:space="preserve">further exploration into discrete narrowband wavelengths </w:t>
      </w:r>
      <w:r>
        <w:t xml:space="preserve">at varying ratios </w:t>
      </w:r>
      <w:r w:rsidRPr="00747A19">
        <w:t xml:space="preserve">is warranted (i.e., +/- 2 nm within the ambient spectrum). This could be used to push certain </w:t>
      </w:r>
      <w:r w:rsidRPr="00747A19">
        <w:lastRenderedPageBreak/>
        <w:t xml:space="preserve">secondary metabolic pathways that could be used to improve flavor, the concentration of phytonutrients, human health benefits, and marketability. Many studies have demonstrated the species-specific nature of secondary metabolic light-mediated responses, which provides a vast range of research opportunities. </w:t>
      </w:r>
      <w:r>
        <w:t>F</w:t>
      </w:r>
      <w:r w:rsidRPr="00747A19">
        <w:t xml:space="preserve">actors such as yield, nutrition content, phytonutrient concentrations, texture, </w:t>
      </w:r>
      <w:r>
        <w:t xml:space="preserve">and </w:t>
      </w:r>
      <w:r w:rsidRPr="00747A19">
        <w:t xml:space="preserve">visual characteristics should also be considered when </w:t>
      </w:r>
      <w:r>
        <w:t>selecting SL regimes</w:t>
      </w:r>
      <w:r w:rsidRPr="00747A19">
        <w:t xml:space="preserve">. Certain niche markets may utilize the findings of this study to improve flavor quality or push certain metabolic pathways (i.e., terpenoid and phenylpropanoid).  </w:t>
      </w:r>
    </w:p>
    <w:p w14:paraId="0D90725B" w14:textId="77777777" w:rsidR="00126D8D" w:rsidRDefault="00126D8D" w:rsidP="00182739">
      <w:pPr>
        <w:pStyle w:val="MSThesisBodyTextJustified"/>
      </w:pPr>
      <w:r>
        <w:t>This</w:t>
      </w:r>
      <w:r w:rsidRPr="00747A19">
        <w:t xml:space="preserve"> study utilizes free sunlight and is intended to inform greenhouse basil production with </w:t>
      </w:r>
      <w:r>
        <w:t>SL</w:t>
      </w:r>
      <w:r w:rsidRPr="00747A19">
        <w:t xml:space="preserve"> requirements</w:t>
      </w:r>
      <w:r>
        <w:t>.</w:t>
      </w:r>
      <w:r w:rsidRPr="00747A19">
        <w:t xml:space="preserve"> </w:t>
      </w:r>
      <w:r>
        <w:t>I</w:t>
      </w:r>
      <w:r w:rsidRPr="00747A19">
        <w:t xml:space="preserve">t would be valuable from a scientific perspective to further explore similar methodologies, analytical techniques, and narrowband wavelengths in growth chambers with sole source lighting to determine the influence of ambient solar spectra and if similar results occur without the ambient solar being present. The results of this study show the merit of supplementing broad-spectrum ambient sunlight with targeted discrete narrowband wavelengths to manipulate secondary metabolism. Utilizing growth chambers to manipulate photoperiods and DLI of distinct spectral quality supplements would also prove beneficial for growers, as it would eliminate potential confounding factors from variation in ambient sunlight (i.e., weather, growing location, etc.), as well as provide comparative data for operations that rely on sole-source lighting, such as indoor farms and other types of controlled environment agriculture operations. </w:t>
      </w:r>
    </w:p>
    <w:p w14:paraId="797FC939" w14:textId="77777777" w:rsidR="00126D8D" w:rsidRPr="00747A19" w:rsidRDefault="00126D8D" w:rsidP="00182739">
      <w:pPr>
        <w:pStyle w:val="MSThesisBodyTextJustified"/>
      </w:pPr>
      <w:r w:rsidRPr="00747A19">
        <w:t xml:space="preserve">The results of this experiment will provide useful information on how </w:t>
      </w:r>
      <w:r>
        <w:t>SL</w:t>
      </w:r>
      <w:r w:rsidRPr="00747A19">
        <w:t xml:space="preserve"> can be used to optimize the sensory characteristics of sweet basil and provide a baseline to explore other high-value specialty crops.</w:t>
      </w:r>
      <w:r>
        <w:t xml:space="preserve"> </w:t>
      </w:r>
      <w:r w:rsidRPr="00747A19">
        <w:t xml:space="preserve">It is possible to significantly alter secondary metabolism by using sole source narrowband lighting, as well as narrowband supplements to ambient sunlight. Further research is </w:t>
      </w:r>
      <w:r w:rsidRPr="00747A19">
        <w:lastRenderedPageBreak/>
        <w:t>required to determine patterns within different specialty crops and how wavelengths can be optimiz</w:t>
      </w:r>
      <w:r>
        <w:t>ed</w:t>
      </w:r>
      <w:r w:rsidRPr="00747A19">
        <w:t xml:space="preserve"> for daily and seasonal changes in </w:t>
      </w:r>
      <w:r>
        <w:t xml:space="preserve">the </w:t>
      </w:r>
      <w:r w:rsidRPr="00747A19">
        <w:t>solar spectrum.</w:t>
      </w:r>
    </w:p>
    <w:p w14:paraId="5766D8E8" w14:textId="3C321E6D" w:rsidR="00126D8D" w:rsidRDefault="00126D8D">
      <w:pPr>
        <w:spacing w:line="240" w:lineRule="auto"/>
        <w:rPr>
          <w:rFonts w:cs="Times New Roman"/>
          <w:b/>
          <w:color w:val="000000" w:themeColor="text1"/>
          <w:sz w:val="28"/>
        </w:rPr>
      </w:pPr>
    </w:p>
    <w:p w14:paraId="1F9C1D8A" w14:textId="77777777" w:rsidR="00126D8D" w:rsidRPr="00747A19" w:rsidRDefault="00126D8D" w:rsidP="000958A5">
      <w:pPr>
        <w:pStyle w:val="MastersThesisMainTitle"/>
        <w:rPr>
          <w:color w:val="000000" w:themeColor="text1"/>
        </w:rPr>
      </w:pPr>
      <w:bookmarkStart w:id="437" w:name="_Toc139574816"/>
      <w:bookmarkStart w:id="438" w:name="_Toc141478686"/>
      <w:r w:rsidRPr="00747A19">
        <w:rPr>
          <w:color w:val="000000" w:themeColor="text1"/>
        </w:rPr>
        <w:t>Conclusions</w:t>
      </w:r>
      <w:bookmarkEnd w:id="437"/>
      <w:bookmarkEnd w:id="438"/>
    </w:p>
    <w:p w14:paraId="43260821" w14:textId="77777777" w:rsidR="00126D8D" w:rsidRPr="00747A19" w:rsidRDefault="00126D8D" w:rsidP="00182739">
      <w:pPr>
        <w:pStyle w:val="MSThesisBodyTextJustified"/>
      </w:pPr>
      <w:r w:rsidRPr="00747A19">
        <w:t xml:space="preserve">In this study, we explored, identified, and quantified several important volatile organic compounds with known influence on sensory perception and/or plant physiological processes of greenhouse-grown sweet basil. We determined that the spectral quality from </w:t>
      </w:r>
      <w:r>
        <w:t>SL</w:t>
      </w:r>
      <w:r w:rsidRPr="00747A19">
        <w:t xml:space="preserve"> sources, in addition to changes in the spectral quality and DLI of ambient sunlight across growing seasons, directly influence aroma volatile concentrations. Further, we found that specific ratios of narrowband blue/red wavelengths, combinations of discrete narrowband wavelengths, and broadband wavelengths directly influence the basil aroma profile as well as specific compounds. The results also show that variation in spectral quality and DLI across seasons can dramatically influence aroma concentrations. Narrowband treatments generally produced higher VOC compound concentrations; based on the results of this experiment and current literature, we suggest supplemental narrowband wavelength</w:t>
      </w:r>
      <w:r>
        <w:t>s</w:t>
      </w:r>
      <w:r w:rsidRPr="00747A19">
        <w:t xml:space="preserve"> </w:t>
      </w:r>
      <w:r>
        <w:t>blue (</w:t>
      </w:r>
      <w:r w:rsidRPr="00747A19">
        <w:t>4</w:t>
      </w:r>
      <w:r>
        <w:t>5</w:t>
      </w:r>
      <w:r w:rsidRPr="00747A19">
        <w:t>0</w:t>
      </w:r>
      <w:r>
        <w:t>-470</w:t>
      </w:r>
      <w:r w:rsidRPr="00747A19">
        <w:t xml:space="preserve"> nm</w:t>
      </w:r>
      <w:r>
        <w:t>)</w:t>
      </w:r>
      <w:r w:rsidRPr="00747A19">
        <w:t xml:space="preserve"> and</w:t>
      </w:r>
      <w:r>
        <w:t xml:space="preserve"> red (</w:t>
      </w:r>
      <w:r w:rsidRPr="00747A19">
        <w:t>660</w:t>
      </w:r>
      <w:r>
        <w:t>-700</w:t>
      </w:r>
      <w:r w:rsidRPr="00747A19">
        <w:t xml:space="preserve"> nm</w:t>
      </w:r>
      <w:r>
        <w:t>)</w:t>
      </w:r>
      <w:r w:rsidRPr="00747A19">
        <w:t xml:space="preserve"> at a ratio of approximately 10B/90R at 100-200 µmol</w:t>
      </w:r>
      <w:r w:rsidRPr="00747A19">
        <w:rPr>
          <w:b/>
          <w:vertAlign w:val="superscript"/>
        </w:rPr>
        <w:t>.</w:t>
      </w:r>
      <w:r w:rsidRPr="00747A19">
        <w:t>m</w:t>
      </w:r>
      <w:r w:rsidRPr="00747A19">
        <w:rPr>
          <w:vertAlign w:val="superscript"/>
        </w:rPr>
        <w:t>-2</w:t>
      </w:r>
      <w:r w:rsidRPr="00747A19">
        <w:rPr>
          <w:b/>
          <w:vertAlign w:val="superscript"/>
        </w:rPr>
        <w:t>.</w:t>
      </w:r>
      <w:r w:rsidRPr="00747A19">
        <w:t>s</w:t>
      </w:r>
      <w:r w:rsidRPr="00747A19">
        <w:rPr>
          <w:vertAlign w:val="superscript"/>
        </w:rPr>
        <w:t xml:space="preserve">-1 </w:t>
      </w:r>
      <w:r w:rsidRPr="00747A19">
        <w:t>for 12-24 h for maximum total VOC concentration and key individual aroma volatile concentrations in greenhouse-grown ‘Italian Large Leaf’ sweet basil</w:t>
      </w:r>
      <w:r>
        <w:t xml:space="preserve">; future experiments should determine the influence of lighting regimes on VOC profiles in relation to consumer perception and preference. </w:t>
      </w:r>
      <w:r w:rsidRPr="00747A19">
        <w:t xml:space="preserve">This experiment demonstrates the ability to use discrete narrowband wavelengths to augment the natural solar spectrum in order to provide an optimal light environment across growing seasons. Further, narrowband </w:t>
      </w:r>
      <w:r>
        <w:t>SL</w:t>
      </w:r>
      <w:r w:rsidRPr="00747A19">
        <w:t xml:space="preserve"> can be used to manipulate key flavor and aroma compound concentrations, which can directly impact human sensory perception. Future work should incorporate different analytical and metabolic techniques to determine the impact on important aroma volatiles as well as other primary and secondary </w:t>
      </w:r>
      <w:r w:rsidRPr="00747A19">
        <w:lastRenderedPageBreak/>
        <w:t xml:space="preserve">metabolites; this includes any potential species-specific effects that spectral quality may have on plant physiology with the potential to indirectly impact sensory quality through light-mediated metabolic resource allocation. </w:t>
      </w:r>
    </w:p>
    <w:p w14:paraId="5B91E647" w14:textId="69C6051A" w:rsidR="00126D8D" w:rsidRPr="00747A19" w:rsidRDefault="00126D8D" w:rsidP="000958A5">
      <w:pPr>
        <w:spacing w:line="240" w:lineRule="auto"/>
        <w:rPr>
          <w:rFonts w:cs="Times New Roman"/>
          <w:b/>
          <w:color w:val="000000" w:themeColor="text1"/>
          <w:sz w:val="28"/>
        </w:rPr>
      </w:pPr>
    </w:p>
    <w:p w14:paraId="073C208A" w14:textId="70E14B72" w:rsidR="00126D8D" w:rsidRPr="00747A19" w:rsidRDefault="00126D8D" w:rsidP="000958A5">
      <w:pPr>
        <w:pStyle w:val="MastersThesisMainTitle"/>
        <w:rPr>
          <w:color w:val="000000" w:themeColor="text1"/>
        </w:rPr>
      </w:pPr>
      <w:bookmarkStart w:id="439" w:name="_Toc141478687"/>
      <w:bookmarkStart w:id="440" w:name="_Toc139574817"/>
      <w:r w:rsidRPr="00747A19">
        <w:rPr>
          <w:color w:val="000000" w:themeColor="text1"/>
        </w:rPr>
        <w:t>References</w:t>
      </w:r>
      <w:bookmarkEnd w:id="439"/>
      <w:r>
        <w:rPr>
          <w:color w:val="000000" w:themeColor="text1"/>
        </w:rPr>
        <w:t xml:space="preserve"> </w:t>
      </w:r>
      <w:bookmarkEnd w:id="440"/>
    </w:p>
    <w:p w14:paraId="28B91371" w14:textId="77777777" w:rsidR="00126D8D" w:rsidRPr="000D2ABD" w:rsidRDefault="00126D8D" w:rsidP="000958A5">
      <w:pPr>
        <w:pStyle w:val="EndNoteBibliography"/>
        <w:ind w:left="720" w:hanging="720"/>
        <w:rPr>
          <w:noProof/>
        </w:rPr>
      </w:pPr>
      <w:bookmarkStart w:id="441" w:name="_ENREF_1"/>
      <w:r w:rsidRPr="000D2ABD">
        <w:rPr>
          <w:noProof/>
        </w:rPr>
        <w:t xml:space="preserve">Behn, H., Albert, A., Marx, F., Noga, G., and Ulbrich, A. (2010). Ultraviolet-B and photosynthetically active radiation interactively affect yield and pattern of monoterpenes in leaves of peppermint (Mentha x piperita L.). </w:t>
      </w:r>
      <w:r w:rsidRPr="000D2ABD">
        <w:rPr>
          <w:i/>
          <w:noProof/>
        </w:rPr>
        <w:t>J Agric Food Chem</w:t>
      </w:r>
      <w:r w:rsidRPr="000D2ABD">
        <w:rPr>
          <w:noProof/>
        </w:rPr>
        <w:t xml:space="preserve"> 58(12)</w:t>
      </w:r>
      <w:r w:rsidRPr="000D2ABD">
        <w:rPr>
          <w:b/>
          <w:noProof/>
        </w:rPr>
        <w:t>,</w:t>
      </w:r>
      <w:r w:rsidRPr="000D2ABD">
        <w:rPr>
          <w:noProof/>
        </w:rPr>
        <w:t xml:space="preserve"> 7361-7367. doi: 10.1021/jf9046072.</w:t>
      </w:r>
      <w:bookmarkEnd w:id="441"/>
    </w:p>
    <w:p w14:paraId="5F2BB090" w14:textId="77777777" w:rsidR="00126D8D" w:rsidRPr="000D2ABD" w:rsidRDefault="00126D8D" w:rsidP="000958A5">
      <w:pPr>
        <w:pStyle w:val="EndNoteBibliography"/>
        <w:ind w:left="720" w:hanging="720"/>
        <w:rPr>
          <w:noProof/>
        </w:rPr>
      </w:pPr>
      <w:bookmarkStart w:id="442" w:name="_ENREF_2"/>
      <w:r w:rsidRPr="000D2ABD">
        <w:rPr>
          <w:noProof/>
        </w:rPr>
        <w:t xml:space="preserve">Bernhardt, B., Sipos, L., Kokai, Z., Gere, A., Szabo, K., Bernath, J., et al. (2015). Comparison of different Ocimum basilicum L. gene bank accessions analyzed by GC–MS and sensory profile. </w:t>
      </w:r>
      <w:r w:rsidRPr="000D2ABD">
        <w:rPr>
          <w:i/>
          <w:noProof/>
        </w:rPr>
        <w:t>Ind. Crops Prod</w:t>
      </w:r>
      <w:r w:rsidRPr="000D2ABD">
        <w:rPr>
          <w:noProof/>
        </w:rPr>
        <w:t xml:space="preserve"> 67</w:t>
      </w:r>
      <w:r w:rsidRPr="000D2ABD">
        <w:rPr>
          <w:b/>
          <w:noProof/>
        </w:rPr>
        <w:t>,</w:t>
      </w:r>
      <w:r w:rsidRPr="000D2ABD">
        <w:rPr>
          <w:noProof/>
        </w:rPr>
        <w:t xml:space="preserve"> 498-508.</w:t>
      </w:r>
      <w:bookmarkEnd w:id="442"/>
    </w:p>
    <w:p w14:paraId="2A216E56" w14:textId="77777777" w:rsidR="00126D8D" w:rsidRPr="000D2ABD" w:rsidRDefault="00126D8D" w:rsidP="000958A5">
      <w:pPr>
        <w:pStyle w:val="EndNoteBibliography"/>
        <w:ind w:left="720" w:hanging="720"/>
        <w:rPr>
          <w:noProof/>
        </w:rPr>
      </w:pPr>
      <w:bookmarkStart w:id="443" w:name="_ENREF_3"/>
      <w:r w:rsidRPr="000D2ABD">
        <w:rPr>
          <w:noProof/>
        </w:rPr>
        <w:t xml:space="preserve">Blank, A.F., Carvalho Filho, J.L.S.d., Santos Neto, A.L.d., Alves, P.B., Arrigoni-Blank, M.d.F., Silva-Mann, R., et al. (2004). Caracterização morfológica e agronômica de acessos de manjericão e alfavaca. </w:t>
      </w:r>
      <w:r w:rsidRPr="000D2ABD">
        <w:rPr>
          <w:i/>
          <w:noProof/>
        </w:rPr>
        <w:t>Horticultura Brasileira</w:t>
      </w:r>
      <w:r w:rsidRPr="000D2ABD">
        <w:rPr>
          <w:noProof/>
        </w:rPr>
        <w:t xml:space="preserve"> 22(1)</w:t>
      </w:r>
      <w:r w:rsidRPr="000D2ABD">
        <w:rPr>
          <w:b/>
          <w:noProof/>
        </w:rPr>
        <w:t>,</w:t>
      </w:r>
      <w:r w:rsidRPr="000D2ABD">
        <w:rPr>
          <w:noProof/>
        </w:rPr>
        <w:t xml:space="preserve"> 113-116. doi: 10.1590/s0102-05362004000100024.</w:t>
      </w:r>
      <w:bookmarkEnd w:id="443"/>
    </w:p>
    <w:p w14:paraId="5F92B3E7" w14:textId="77777777" w:rsidR="00126D8D" w:rsidRPr="000D2ABD" w:rsidRDefault="00126D8D" w:rsidP="000958A5">
      <w:pPr>
        <w:pStyle w:val="EndNoteBibliography"/>
        <w:ind w:left="720" w:hanging="720"/>
        <w:rPr>
          <w:noProof/>
        </w:rPr>
      </w:pPr>
      <w:bookmarkStart w:id="444" w:name="_ENREF_4"/>
      <w:r w:rsidRPr="000D2ABD">
        <w:rPr>
          <w:noProof/>
        </w:rPr>
        <w:t xml:space="preserve">Bourgaud, F., Gravot, A., Milesi, S., and Gontier, E. (2001). Production of plant secondary metabolites: a historical perspective. </w:t>
      </w:r>
      <w:r w:rsidRPr="000D2ABD">
        <w:rPr>
          <w:i/>
          <w:noProof/>
        </w:rPr>
        <w:t>Plant Science</w:t>
      </w:r>
      <w:r w:rsidRPr="000D2ABD">
        <w:rPr>
          <w:noProof/>
        </w:rPr>
        <w:t xml:space="preserve"> 161(5)</w:t>
      </w:r>
      <w:r w:rsidRPr="000D2ABD">
        <w:rPr>
          <w:b/>
          <w:noProof/>
        </w:rPr>
        <w:t>,</w:t>
      </w:r>
      <w:r w:rsidRPr="000D2ABD">
        <w:rPr>
          <w:noProof/>
        </w:rPr>
        <w:t xml:space="preserve"> 839-851. doi: 10.1016/s0168-9452(01)00490-3.</w:t>
      </w:r>
      <w:bookmarkEnd w:id="444"/>
    </w:p>
    <w:p w14:paraId="1A0C9CE1" w14:textId="77777777" w:rsidR="00126D8D" w:rsidRPr="000D2ABD" w:rsidRDefault="00126D8D" w:rsidP="000958A5">
      <w:pPr>
        <w:pStyle w:val="EndNoteBibliography"/>
        <w:ind w:left="720" w:hanging="720"/>
        <w:rPr>
          <w:noProof/>
        </w:rPr>
      </w:pPr>
      <w:bookmarkStart w:id="445" w:name="_ENREF_5"/>
      <w:r w:rsidRPr="000D2ABD">
        <w:rPr>
          <w:noProof/>
        </w:rPr>
        <w:t xml:space="preserve">Briggs, W.R., and Olney, M.A. (2001). Photoreceptors in plant photomorphogenesis to date. Five phytochromes, two cryptochromes, one phototropin, and one superchrome. </w:t>
      </w:r>
      <w:r w:rsidRPr="000D2ABD">
        <w:rPr>
          <w:i/>
          <w:noProof/>
        </w:rPr>
        <w:t>Plant Physiol</w:t>
      </w:r>
      <w:r w:rsidRPr="000D2ABD">
        <w:rPr>
          <w:noProof/>
        </w:rPr>
        <w:t xml:space="preserve"> 125(1)</w:t>
      </w:r>
      <w:r w:rsidRPr="000D2ABD">
        <w:rPr>
          <w:b/>
          <w:noProof/>
        </w:rPr>
        <w:t>,</w:t>
      </w:r>
      <w:r w:rsidRPr="000D2ABD">
        <w:rPr>
          <w:noProof/>
        </w:rPr>
        <w:t xml:space="preserve"> 85-88. doi: 10.1104/pp.125.1.85.</w:t>
      </w:r>
      <w:bookmarkEnd w:id="445"/>
    </w:p>
    <w:p w14:paraId="70EB3628" w14:textId="77777777" w:rsidR="00126D8D" w:rsidRPr="000D2ABD" w:rsidRDefault="00126D8D" w:rsidP="000958A5">
      <w:pPr>
        <w:pStyle w:val="EndNoteBibliography"/>
        <w:ind w:left="720" w:hanging="720"/>
        <w:rPr>
          <w:noProof/>
        </w:rPr>
      </w:pPr>
      <w:bookmarkStart w:id="446" w:name="_ENREF_6"/>
      <w:r w:rsidRPr="000D2ABD">
        <w:rPr>
          <w:noProof/>
        </w:rPr>
        <w:t xml:space="preserve">Carvalho, S.D., Schwieterman, M.L., Abrahan, C.E., Colquhoun, T.A., and Folta, K.M. (2016). Light Quality Dependent Changes in Morphology, Antioxidant Capacity, and Volatile </w:t>
      </w:r>
      <w:r w:rsidRPr="000D2ABD">
        <w:rPr>
          <w:noProof/>
        </w:rPr>
        <w:lastRenderedPageBreak/>
        <w:t>Production in Sweet Basil (</w:t>
      </w:r>
      <w:r w:rsidRPr="000D2ABD">
        <w:rPr>
          <w:i/>
          <w:noProof/>
        </w:rPr>
        <w:t>Ocimum basilicum</w:t>
      </w:r>
      <w:r w:rsidRPr="000D2ABD">
        <w:rPr>
          <w:noProof/>
        </w:rPr>
        <w:t xml:space="preserve">). </w:t>
      </w:r>
      <w:r w:rsidRPr="000D2ABD">
        <w:rPr>
          <w:i/>
          <w:noProof/>
        </w:rPr>
        <w:t>Front Plant Sci</w:t>
      </w:r>
      <w:r w:rsidRPr="000D2ABD">
        <w:rPr>
          <w:noProof/>
        </w:rPr>
        <w:t xml:space="preserve"> 7</w:t>
      </w:r>
      <w:r w:rsidRPr="000D2ABD">
        <w:rPr>
          <w:b/>
          <w:noProof/>
        </w:rPr>
        <w:t>,</w:t>
      </w:r>
      <w:r w:rsidRPr="000D2ABD">
        <w:rPr>
          <w:noProof/>
        </w:rPr>
        <w:t xml:space="preserve"> 1328. doi: 10.3389/fpls.2016.01328.</w:t>
      </w:r>
      <w:bookmarkEnd w:id="446"/>
    </w:p>
    <w:p w14:paraId="0A89953F" w14:textId="77777777" w:rsidR="00126D8D" w:rsidRPr="000D2ABD" w:rsidRDefault="00126D8D" w:rsidP="000958A5">
      <w:pPr>
        <w:pStyle w:val="EndNoteBibliography"/>
        <w:ind w:left="720" w:hanging="720"/>
        <w:rPr>
          <w:noProof/>
        </w:rPr>
      </w:pPr>
      <w:bookmarkStart w:id="447" w:name="_ENREF_7"/>
      <w:r w:rsidRPr="000D2ABD">
        <w:rPr>
          <w:noProof/>
        </w:rPr>
        <w:t xml:space="preserve">Casal, J.J. (2000). Phytochromes, cryptochromes, phototropin: photoreceptor interactions in plants. </w:t>
      </w:r>
      <w:r w:rsidRPr="000D2ABD">
        <w:rPr>
          <w:i/>
          <w:noProof/>
        </w:rPr>
        <w:t>Photochem Photobiol</w:t>
      </w:r>
      <w:r w:rsidRPr="000D2ABD">
        <w:rPr>
          <w:noProof/>
        </w:rPr>
        <w:t xml:space="preserve"> 71(1)</w:t>
      </w:r>
      <w:r w:rsidRPr="000D2ABD">
        <w:rPr>
          <w:b/>
          <w:noProof/>
        </w:rPr>
        <w:t>,</w:t>
      </w:r>
      <w:r w:rsidRPr="000D2ABD">
        <w:rPr>
          <w:noProof/>
        </w:rPr>
        <w:t xml:space="preserve"> 1-11. doi: 10.1562/0031-8655(2000)071&lt;0001:pcppii&gt;2.0.co;2.</w:t>
      </w:r>
      <w:bookmarkEnd w:id="447"/>
    </w:p>
    <w:p w14:paraId="5B2F36FA" w14:textId="77777777" w:rsidR="00126D8D" w:rsidRPr="000D2ABD" w:rsidRDefault="00126D8D" w:rsidP="000958A5">
      <w:pPr>
        <w:pStyle w:val="EndNoteBibliography"/>
        <w:ind w:left="720" w:hanging="720"/>
        <w:rPr>
          <w:noProof/>
        </w:rPr>
      </w:pPr>
      <w:bookmarkStart w:id="448" w:name="_ENREF_8"/>
      <w:r w:rsidRPr="000D2ABD">
        <w:rPr>
          <w:noProof/>
        </w:rPr>
        <w:t xml:space="preserve">Casal, J.J., and Yanovsky, M.J. (2005). Regulation of gene expression by light. </w:t>
      </w:r>
      <w:r w:rsidRPr="000D2ABD">
        <w:rPr>
          <w:i/>
          <w:noProof/>
        </w:rPr>
        <w:t>Int J Dev Biol</w:t>
      </w:r>
      <w:r w:rsidRPr="000D2ABD">
        <w:rPr>
          <w:noProof/>
        </w:rPr>
        <w:t xml:space="preserve"> 49(5-6)</w:t>
      </w:r>
      <w:r w:rsidRPr="000D2ABD">
        <w:rPr>
          <w:b/>
          <w:noProof/>
        </w:rPr>
        <w:t>,</w:t>
      </w:r>
      <w:r w:rsidRPr="000D2ABD">
        <w:rPr>
          <w:noProof/>
        </w:rPr>
        <w:t xml:space="preserve"> 501-511. doi: 10.1387/ijdb.051973jc.</w:t>
      </w:r>
      <w:bookmarkEnd w:id="448"/>
    </w:p>
    <w:p w14:paraId="3D5CEB4A" w14:textId="77777777" w:rsidR="00126D8D" w:rsidRPr="000D2ABD" w:rsidRDefault="00126D8D" w:rsidP="000958A5">
      <w:pPr>
        <w:pStyle w:val="EndNoteBibliography"/>
        <w:ind w:left="720" w:hanging="720"/>
        <w:rPr>
          <w:noProof/>
        </w:rPr>
      </w:pPr>
      <w:bookmarkStart w:id="449" w:name="_ENREF_9"/>
      <w:r w:rsidRPr="000D2ABD">
        <w:rPr>
          <w:noProof/>
        </w:rPr>
        <w:t xml:space="preserve">Chen, M., Chory, J., and Fankhauser, C. (2004). Light signal transduction in higher plants. </w:t>
      </w:r>
      <w:r w:rsidRPr="000D2ABD">
        <w:rPr>
          <w:i/>
          <w:noProof/>
        </w:rPr>
        <w:t>Annu Rev Genet</w:t>
      </w:r>
      <w:r w:rsidRPr="000D2ABD">
        <w:rPr>
          <w:noProof/>
        </w:rPr>
        <w:t xml:space="preserve"> 38</w:t>
      </w:r>
      <w:r w:rsidRPr="000D2ABD">
        <w:rPr>
          <w:b/>
          <w:noProof/>
        </w:rPr>
        <w:t>,</w:t>
      </w:r>
      <w:r w:rsidRPr="000D2ABD">
        <w:rPr>
          <w:noProof/>
        </w:rPr>
        <w:t xml:space="preserve"> 87-117. doi: 10.1146/annurev.genet.38.072902.092259.</w:t>
      </w:r>
      <w:bookmarkEnd w:id="449"/>
    </w:p>
    <w:p w14:paraId="30BB40E3" w14:textId="77777777" w:rsidR="00126D8D" w:rsidRPr="000D2ABD" w:rsidRDefault="00126D8D" w:rsidP="000958A5">
      <w:pPr>
        <w:pStyle w:val="EndNoteBibliography"/>
        <w:ind w:left="720" w:hanging="720"/>
        <w:rPr>
          <w:noProof/>
        </w:rPr>
      </w:pPr>
      <w:bookmarkStart w:id="450" w:name="_ENREF_10"/>
      <w:r w:rsidRPr="000D2ABD">
        <w:rPr>
          <w:noProof/>
        </w:rPr>
        <w:t xml:space="preserve">Colquhoun, T.A., Schwieterman, M.L., Gilbert, J.L., Jaworski, E.A., Langer, K.M., Jones, C.R., et al. (2013). Light modulation of volatile organic compounds from petunia flowers and select fruits. </w:t>
      </w:r>
      <w:r w:rsidRPr="000D2ABD">
        <w:rPr>
          <w:i/>
          <w:noProof/>
        </w:rPr>
        <w:t>Postharvest Biology and Technology</w:t>
      </w:r>
      <w:r w:rsidRPr="000D2ABD">
        <w:rPr>
          <w:noProof/>
        </w:rPr>
        <w:t xml:space="preserve"> 86</w:t>
      </w:r>
      <w:r w:rsidRPr="000D2ABD">
        <w:rPr>
          <w:b/>
          <w:noProof/>
        </w:rPr>
        <w:t>,</w:t>
      </w:r>
      <w:r w:rsidRPr="000D2ABD">
        <w:rPr>
          <w:noProof/>
        </w:rPr>
        <w:t xml:space="preserve"> 37-44. doi: 10.1016/j.postharvbio.2013.06.013.</w:t>
      </w:r>
      <w:bookmarkEnd w:id="450"/>
    </w:p>
    <w:p w14:paraId="1AB5177D" w14:textId="77777777" w:rsidR="00126D8D" w:rsidRPr="000D2ABD" w:rsidRDefault="00126D8D" w:rsidP="000958A5">
      <w:pPr>
        <w:pStyle w:val="EndNoteBibliography"/>
        <w:ind w:left="720" w:hanging="720"/>
        <w:rPr>
          <w:noProof/>
        </w:rPr>
      </w:pPr>
      <w:bookmarkStart w:id="451" w:name="_ENREF_11"/>
      <w:r w:rsidRPr="000D2ABD">
        <w:rPr>
          <w:noProof/>
        </w:rPr>
        <w:t xml:space="preserve">Colquhoun, T.A., Verdonk, J.C., Schimmel, B.C., Tieman, D.M., Underwood, B.A., and Clark, D.G. (2010). Petunia floral volatile benzenoid/phenylpropanoid genes are regulated in a similar manner. </w:t>
      </w:r>
      <w:r w:rsidRPr="000D2ABD">
        <w:rPr>
          <w:i/>
          <w:noProof/>
        </w:rPr>
        <w:t>Phytochemistry</w:t>
      </w:r>
      <w:r w:rsidRPr="000D2ABD">
        <w:rPr>
          <w:noProof/>
        </w:rPr>
        <w:t xml:space="preserve"> 71(2-3)</w:t>
      </w:r>
      <w:r w:rsidRPr="000D2ABD">
        <w:rPr>
          <w:b/>
          <w:noProof/>
        </w:rPr>
        <w:t>,</w:t>
      </w:r>
      <w:r w:rsidRPr="000D2ABD">
        <w:rPr>
          <w:noProof/>
        </w:rPr>
        <w:t xml:space="preserve"> 158-167. doi: 10.1016/j.phytochem.2009.09.036.</w:t>
      </w:r>
      <w:bookmarkEnd w:id="451"/>
    </w:p>
    <w:p w14:paraId="3052D3C7" w14:textId="77777777" w:rsidR="00126D8D" w:rsidRPr="000D2ABD" w:rsidRDefault="00126D8D" w:rsidP="000958A5">
      <w:pPr>
        <w:pStyle w:val="EndNoteBibliography"/>
        <w:ind w:left="720" w:hanging="720"/>
        <w:rPr>
          <w:noProof/>
        </w:rPr>
      </w:pPr>
      <w:bookmarkStart w:id="452" w:name="_ENREF_12"/>
      <w:r w:rsidRPr="000D2ABD">
        <w:rPr>
          <w:noProof/>
        </w:rPr>
        <w:t xml:space="preserve">Currey, C.J., Hutchinson, V.A., and Lopez, R.G. (2012). Growth, Morphology, and Quality of Rooted Cuttings of Several Herbaceous Annual Bedding Plants Are Influenced by Photosynthetic Daily Light Integral During Root Development. </w:t>
      </w:r>
      <w:r w:rsidRPr="000D2ABD">
        <w:rPr>
          <w:i/>
          <w:noProof/>
        </w:rPr>
        <w:t>HortScience</w:t>
      </w:r>
      <w:r w:rsidRPr="000D2ABD">
        <w:rPr>
          <w:noProof/>
        </w:rPr>
        <w:t xml:space="preserve"> 47(1)</w:t>
      </w:r>
      <w:r w:rsidRPr="000D2ABD">
        <w:rPr>
          <w:b/>
          <w:noProof/>
        </w:rPr>
        <w:t>,</w:t>
      </w:r>
      <w:r w:rsidRPr="000D2ABD">
        <w:rPr>
          <w:noProof/>
        </w:rPr>
        <w:t xml:space="preserve"> 25-30. doi: 10.21273/hortsci.47.1.25.</w:t>
      </w:r>
      <w:bookmarkEnd w:id="452"/>
    </w:p>
    <w:p w14:paraId="74934A10" w14:textId="77777777" w:rsidR="00126D8D" w:rsidRPr="000D2ABD" w:rsidRDefault="00126D8D" w:rsidP="000958A5">
      <w:pPr>
        <w:pStyle w:val="EndNoteBibliography"/>
        <w:ind w:left="720" w:hanging="720"/>
        <w:rPr>
          <w:noProof/>
        </w:rPr>
      </w:pPr>
      <w:bookmarkStart w:id="453" w:name="_ENREF_13"/>
      <w:r w:rsidRPr="000D2ABD">
        <w:rPr>
          <w:noProof/>
        </w:rPr>
        <w:t xml:space="preserve">Currey, C.J., and Lopez, R.G. (2015). Biomass Accumulation and Allocation, Photosynthesis, and Carbohydrate Status of New Guinea Impatiens, Geranium, and Petunia Cuttings Are Affected by Photosynthetic Daily Light Integral during Root Development. </w:t>
      </w:r>
      <w:r w:rsidRPr="000D2ABD">
        <w:rPr>
          <w:i/>
          <w:noProof/>
        </w:rPr>
        <w:t xml:space="preserve">Journal of the </w:t>
      </w:r>
      <w:r w:rsidRPr="000D2ABD">
        <w:rPr>
          <w:i/>
          <w:noProof/>
        </w:rPr>
        <w:lastRenderedPageBreak/>
        <w:t>American Society for Horticultural Science</w:t>
      </w:r>
      <w:r w:rsidRPr="000D2ABD">
        <w:rPr>
          <w:noProof/>
        </w:rPr>
        <w:t xml:space="preserve"> 140(6)</w:t>
      </w:r>
      <w:r w:rsidRPr="000D2ABD">
        <w:rPr>
          <w:b/>
          <w:noProof/>
        </w:rPr>
        <w:t>,</w:t>
      </w:r>
      <w:r w:rsidRPr="000D2ABD">
        <w:rPr>
          <w:noProof/>
        </w:rPr>
        <w:t xml:space="preserve"> 542-549. doi: 10.21273/jashs.140.6.542.</w:t>
      </w:r>
      <w:bookmarkEnd w:id="453"/>
    </w:p>
    <w:p w14:paraId="518D40AC" w14:textId="77777777" w:rsidR="00126D8D" w:rsidRPr="000D2ABD" w:rsidRDefault="00126D8D" w:rsidP="000958A5">
      <w:pPr>
        <w:pStyle w:val="EndNoteBibliography"/>
        <w:ind w:left="720" w:hanging="720"/>
        <w:rPr>
          <w:noProof/>
        </w:rPr>
      </w:pPr>
      <w:bookmarkStart w:id="454" w:name="_ENREF_14"/>
      <w:r w:rsidRPr="000D2ABD">
        <w:rPr>
          <w:noProof/>
        </w:rPr>
        <w:t xml:space="preserve">Dannehl, D., Schwend, T., Veit, D., and Schmidt, U. (2021). Increase of Yield, Lycopene, and Lutein Content in Tomatoes Grown Under Continuous PAR Spectrum LED Lighting. </w:t>
      </w:r>
      <w:r w:rsidRPr="000D2ABD">
        <w:rPr>
          <w:i/>
          <w:noProof/>
        </w:rPr>
        <w:t>Front Plant Sci</w:t>
      </w:r>
      <w:r w:rsidRPr="000D2ABD">
        <w:rPr>
          <w:noProof/>
        </w:rPr>
        <w:t xml:space="preserve"> 12</w:t>
      </w:r>
      <w:r w:rsidRPr="000D2ABD">
        <w:rPr>
          <w:b/>
          <w:noProof/>
        </w:rPr>
        <w:t>,</w:t>
      </w:r>
      <w:r w:rsidRPr="000D2ABD">
        <w:rPr>
          <w:noProof/>
        </w:rPr>
        <w:t xml:space="preserve"> 611236. doi: 10.3389/fpls.2021.611236.</w:t>
      </w:r>
      <w:bookmarkEnd w:id="454"/>
    </w:p>
    <w:p w14:paraId="32F6DFE0" w14:textId="77777777" w:rsidR="00126D8D" w:rsidRPr="000D2ABD" w:rsidRDefault="00126D8D" w:rsidP="000958A5">
      <w:pPr>
        <w:pStyle w:val="EndNoteBibliography"/>
        <w:ind w:left="720" w:hanging="720"/>
        <w:rPr>
          <w:noProof/>
        </w:rPr>
      </w:pPr>
      <w:bookmarkStart w:id="455" w:name="_ENREF_15"/>
      <w:r w:rsidRPr="000D2ABD">
        <w:rPr>
          <w:noProof/>
        </w:rPr>
        <w:t xml:space="preserve">Darko, E., Heydarizadeh, P., Schoefs, B., and Sabzalian, M.R. (2014). Photosynthesis under artificial light: the shift in primary and secondary metabolism. </w:t>
      </w:r>
      <w:r w:rsidRPr="000D2ABD">
        <w:rPr>
          <w:i/>
          <w:noProof/>
        </w:rPr>
        <w:t>Philos Trans R Soc Lond B Biol Sci</w:t>
      </w:r>
      <w:r w:rsidRPr="000D2ABD">
        <w:rPr>
          <w:noProof/>
        </w:rPr>
        <w:t xml:space="preserve"> 369(1640)</w:t>
      </w:r>
      <w:r w:rsidRPr="000D2ABD">
        <w:rPr>
          <w:b/>
          <w:noProof/>
        </w:rPr>
        <w:t>,</w:t>
      </w:r>
      <w:r w:rsidRPr="000D2ABD">
        <w:rPr>
          <w:noProof/>
        </w:rPr>
        <w:t xml:space="preserve"> 20130243. doi: 10.1098/rstb.2013.0243.</w:t>
      </w:r>
      <w:bookmarkEnd w:id="455"/>
    </w:p>
    <w:p w14:paraId="43F7629A" w14:textId="77777777" w:rsidR="00126D8D" w:rsidRPr="000D2ABD" w:rsidRDefault="00126D8D" w:rsidP="000958A5">
      <w:pPr>
        <w:pStyle w:val="EndNoteBibliography"/>
        <w:ind w:left="720" w:hanging="720"/>
        <w:rPr>
          <w:noProof/>
        </w:rPr>
      </w:pPr>
      <w:bookmarkStart w:id="456" w:name="_ENREF_16"/>
      <w:r w:rsidRPr="000D2ABD">
        <w:rPr>
          <w:noProof/>
        </w:rPr>
        <w:t xml:space="preserve">De Masi, L., Siviero, P., Esposito, C., Castaldo, D., Siano, F., and Laratta, B. (2006). Assessment of agronomic, chemical and genetic variability in common basil (Ocimum basilicum L.). </w:t>
      </w:r>
      <w:r w:rsidRPr="000D2ABD">
        <w:rPr>
          <w:i/>
          <w:noProof/>
        </w:rPr>
        <w:t>European Food Research and Technology</w:t>
      </w:r>
      <w:r w:rsidRPr="000D2ABD">
        <w:rPr>
          <w:noProof/>
        </w:rPr>
        <w:t xml:space="preserve"> 223(2)</w:t>
      </w:r>
      <w:r w:rsidRPr="000D2ABD">
        <w:rPr>
          <w:b/>
          <w:noProof/>
        </w:rPr>
        <w:t>,</w:t>
      </w:r>
      <w:r w:rsidRPr="000D2ABD">
        <w:rPr>
          <w:noProof/>
        </w:rPr>
        <w:t xml:space="preserve"> 273-281. doi: 10.1007/s00217-005-0201-0.</w:t>
      </w:r>
      <w:bookmarkEnd w:id="456"/>
    </w:p>
    <w:p w14:paraId="048E79B4" w14:textId="77777777" w:rsidR="00126D8D" w:rsidRPr="000D2ABD" w:rsidRDefault="00126D8D" w:rsidP="000958A5">
      <w:pPr>
        <w:pStyle w:val="EndNoteBibliography"/>
        <w:ind w:left="720" w:hanging="720"/>
        <w:rPr>
          <w:noProof/>
        </w:rPr>
      </w:pPr>
      <w:bookmarkStart w:id="457" w:name="_ENREF_17"/>
      <w:r w:rsidRPr="000D2ABD">
        <w:rPr>
          <w:noProof/>
        </w:rPr>
        <w:t xml:space="preserve">Dou, H., Niu, G., Gu, M., and Masabni, J. (2017). Effects of Light Quality on Growth and Phytonutrient Accumulation of Herbs under Controlled Environments. </w:t>
      </w:r>
      <w:r w:rsidRPr="000D2ABD">
        <w:rPr>
          <w:i/>
          <w:noProof/>
        </w:rPr>
        <w:t>Horticulturae</w:t>
      </w:r>
      <w:r w:rsidRPr="000D2ABD">
        <w:rPr>
          <w:noProof/>
        </w:rPr>
        <w:t xml:space="preserve"> 3(2). doi: 10.3390/horticulturae3020036.</w:t>
      </w:r>
      <w:bookmarkEnd w:id="457"/>
    </w:p>
    <w:p w14:paraId="68DF9401" w14:textId="77777777" w:rsidR="00126D8D" w:rsidRPr="000D2ABD" w:rsidRDefault="00126D8D" w:rsidP="000958A5">
      <w:pPr>
        <w:pStyle w:val="EndNoteBibliography"/>
        <w:ind w:left="720" w:hanging="720"/>
        <w:rPr>
          <w:noProof/>
        </w:rPr>
      </w:pPr>
      <w:bookmarkStart w:id="458" w:name="_ENREF_18"/>
      <w:r w:rsidRPr="000D2ABD">
        <w:rPr>
          <w:noProof/>
        </w:rPr>
        <w:t xml:space="preserve">Fankhauser, C., and Chory, J. (1997). Light control of plant development. </w:t>
      </w:r>
      <w:r w:rsidRPr="000D2ABD">
        <w:rPr>
          <w:i/>
          <w:noProof/>
        </w:rPr>
        <w:t>Annu Rev Cell Dev Biol</w:t>
      </w:r>
      <w:r w:rsidRPr="000D2ABD">
        <w:rPr>
          <w:noProof/>
        </w:rPr>
        <w:t xml:space="preserve"> 13</w:t>
      </w:r>
      <w:r w:rsidRPr="000D2ABD">
        <w:rPr>
          <w:b/>
          <w:noProof/>
        </w:rPr>
        <w:t>,</w:t>
      </w:r>
      <w:r w:rsidRPr="000D2ABD">
        <w:rPr>
          <w:noProof/>
        </w:rPr>
        <w:t xml:space="preserve"> 203-229. doi: 10.1146/annurev.cellbio.13.1.203.</w:t>
      </w:r>
      <w:bookmarkEnd w:id="458"/>
    </w:p>
    <w:p w14:paraId="643DCB3E" w14:textId="77777777" w:rsidR="00126D8D" w:rsidRPr="000D2ABD" w:rsidRDefault="00126D8D" w:rsidP="000958A5">
      <w:pPr>
        <w:pStyle w:val="EndNoteBibliography"/>
        <w:ind w:left="720" w:hanging="720"/>
        <w:rPr>
          <w:noProof/>
        </w:rPr>
      </w:pPr>
      <w:bookmarkStart w:id="459" w:name="_ENREF_19"/>
      <w:r w:rsidRPr="000D2ABD">
        <w:rPr>
          <w:noProof/>
        </w:rPr>
        <w:t xml:space="preserve">Fausey, B.A., Heins, R.D., and Cameron, A.C. (2005). Daily Light Integral Affects Flowering and Quality of Greenhouse-grown Achillea, Gaura, and Lavandula. </w:t>
      </w:r>
      <w:r w:rsidRPr="000D2ABD">
        <w:rPr>
          <w:i/>
          <w:noProof/>
        </w:rPr>
        <w:t>HortScience</w:t>
      </w:r>
      <w:r w:rsidRPr="000D2ABD">
        <w:rPr>
          <w:noProof/>
        </w:rPr>
        <w:t xml:space="preserve"> 40(1)</w:t>
      </w:r>
      <w:r w:rsidRPr="000D2ABD">
        <w:rPr>
          <w:b/>
          <w:noProof/>
        </w:rPr>
        <w:t>,</w:t>
      </w:r>
      <w:r w:rsidRPr="000D2ABD">
        <w:rPr>
          <w:noProof/>
        </w:rPr>
        <w:t xml:space="preserve"> 114-118. doi: 10.21273/hortsci.40.1.114.</w:t>
      </w:r>
      <w:bookmarkEnd w:id="459"/>
    </w:p>
    <w:p w14:paraId="31AB0468" w14:textId="77777777" w:rsidR="00126D8D" w:rsidRPr="000D2ABD" w:rsidRDefault="00126D8D" w:rsidP="000958A5">
      <w:pPr>
        <w:pStyle w:val="EndNoteBibliography"/>
        <w:ind w:left="720" w:hanging="720"/>
        <w:rPr>
          <w:noProof/>
        </w:rPr>
      </w:pPr>
      <w:bookmarkStart w:id="460" w:name="_ENREF_20"/>
      <w:r w:rsidRPr="000D2ABD">
        <w:rPr>
          <w:noProof/>
        </w:rPr>
        <w:t xml:space="preserve">Faust, J.E., Holcombe, V., Rajapakse, N.C., and Layne, D.R. (2005). The Effect of Daily Light Integral on Bedding Plant Growth and Flowering. </w:t>
      </w:r>
      <w:r w:rsidRPr="000D2ABD">
        <w:rPr>
          <w:i/>
          <w:noProof/>
        </w:rPr>
        <w:t>HortScience</w:t>
      </w:r>
      <w:r w:rsidRPr="000D2ABD">
        <w:rPr>
          <w:noProof/>
        </w:rPr>
        <w:t xml:space="preserve"> 40(3)</w:t>
      </w:r>
      <w:r w:rsidRPr="000D2ABD">
        <w:rPr>
          <w:b/>
          <w:noProof/>
        </w:rPr>
        <w:t>,</w:t>
      </w:r>
      <w:r w:rsidRPr="000D2ABD">
        <w:rPr>
          <w:noProof/>
        </w:rPr>
        <w:t xml:space="preserve"> 645-649. doi: 10.21273/hortsci.40.3.645.</w:t>
      </w:r>
      <w:bookmarkEnd w:id="460"/>
    </w:p>
    <w:p w14:paraId="08D4DF6E" w14:textId="77777777" w:rsidR="00126D8D" w:rsidRPr="000D2ABD" w:rsidRDefault="00126D8D" w:rsidP="000958A5">
      <w:pPr>
        <w:pStyle w:val="EndNoteBibliography"/>
        <w:ind w:left="720" w:hanging="720"/>
        <w:rPr>
          <w:noProof/>
        </w:rPr>
      </w:pPr>
      <w:bookmarkStart w:id="461" w:name="_ENREF_21"/>
      <w:r w:rsidRPr="000D2ABD">
        <w:rPr>
          <w:noProof/>
        </w:rPr>
        <w:lastRenderedPageBreak/>
        <w:t xml:space="preserve">Faust, J.E., and Logan, J. (2018). Daily light integral: A research review and high-resolution maps of the United States. </w:t>
      </w:r>
      <w:r w:rsidRPr="000D2ABD">
        <w:rPr>
          <w:i/>
          <w:noProof/>
        </w:rPr>
        <w:t>HortScience</w:t>
      </w:r>
      <w:r w:rsidRPr="000D2ABD">
        <w:rPr>
          <w:noProof/>
        </w:rPr>
        <w:t xml:space="preserve"> 53(9)</w:t>
      </w:r>
      <w:r w:rsidRPr="000D2ABD">
        <w:rPr>
          <w:b/>
          <w:noProof/>
        </w:rPr>
        <w:t>,</w:t>
      </w:r>
      <w:r w:rsidRPr="000D2ABD">
        <w:rPr>
          <w:noProof/>
        </w:rPr>
        <w:t xml:space="preserve"> 1250-1257.</w:t>
      </w:r>
      <w:bookmarkEnd w:id="461"/>
    </w:p>
    <w:p w14:paraId="698C23AC" w14:textId="77777777" w:rsidR="00126D8D" w:rsidRPr="000D2ABD" w:rsidRDefault="00126D8D" w:rsidP="000958A5">
      <w:pPr>
        <w:pStyle w:val="EndNoteBibliography"/>
        <w:ind w:left="720" w:hanging="720"/>
        <w:rPr>
          <w:noProof/>
        </w:rPr>
      </w:pPr>
      <w:bookmarkStart w:id="462" w:name="_ENREF_22"/>
      <w:r w:rsidRPr="000D2ABD">
        <w:rPr>
          <w:noProof/>
        </w:rPr>
        <w:t xml:space="preserve">Folta, K.M., and Carvalho, S.D. (2015). Photoreceptors and Control of Horticultural Plant Traits. </w:t>
      </w:r>
      <w:r w:rsidRPr="000D2ABD">
        <w:rPr>
          <w:i/>
          <w:noProof/>
        </w:rPr>
        <w:t>HortScience</w:t>
      </w:r>
      <w:r w:rsidRPr="000D2ABD">
        <w:rPr>
          <w:noProof/>
        </w:rPr>
        <w:t xml:space="preserve"> 50(9)</w:t>
      </w:r>
      <w:r w:rsidRPr="000D2ABD">
        <w:rPr>
          <w:b/>
          <w:noProof/>
        </w:rPr>
        <w:t>,</w:t>
      </w:r>
      <w:r w:rsidRPr="000D2ABD">
        <w:rPr>
          <w:noProof/>
        </w:rPr>
        <w:t xml:space="preserve"> 1274-1280. doi: 10.21273/hortsci.50.9.1274.</w:t>
      </w:r>
      <w:bookmarkEnd w:id="462"/>
    </w:p>
    <w:p w14:paraId="40417DD6" w14:textId="77777777" w:rsidR="00126D8D" w:rsidRPr="000D2ABD" w:rsidRDefault="00126D8D" w:rsidP="000958A5">
      <w:pPr>
        <w:pStyle w:val="EndNoteBibliography"/>
        <w:ind w:left="720" w:hanging="720"/>
        <w:rPr>
          <w:noProof/>
        </w:rPr>
      </w:pPr>
      <w:bookmarkStart w:id="463" w:name="_ENREF_23"/>
      <w:r w:rsidRPr="000D2ABD">
        <w:rPr>
          <w:noProof/>
        </w:rPr>
        <w:t xml:space="preserve">Fu, X., Chen, Y., Mei, X., Katsuno, T., Kobayashi, E., Dong, F., et al. (2015). Regulation of formation of volatile compounds of tea (Camellia sinensis) leaves by single light wavelength. </w:t>
      </w:r>
      <w:r w:rsidRPr="000D2ABD">
        <w:rPr>
          <w:i/>
          <w:noProof/>
        </w:rPr>
        <w:t>Sci Rep</w:t>
      </w:r>
      <w:r w:rsidRPr="000D2ABD">
        <w:rPr>
          <w:noProof/>
        </w:rPr>
        <w:t xml:space="preserve"> 5</w:t>
      </w:r>
      <w:r w:rsidRPr="000D2ABD">
        <w:rPr>
          <w:b/>
          <w:noProof/>
        </w:rPr>
        <w:t>,</w:t>
      </w:r>
      <w:r w:rsidRPr="000D2ABD">
        <w:rPr>
          <w:noProof/>
        </w:rPr>
        <w:t xml:space="preserve"> 16858. doi: 10.1038/srep16858.</w:t>
      </w:r>
      <w:bookmarkEnd w:id="463"/>
    </w:p>
    <w:p w14:paraId="2B855A5A" w14:textId="77777777" w:rsidR="00126D8D" w:rsidRPr="000D2ABD" w:rsidRDefault="00126D8D" w:rsidP="000958A5">
      <w:pPr>
        <w:pStyle w:val="EndNoteBibliography"/>
        <w:ind w:left="720" w:hanging="720"/>
        <w:rPr>
          <w:noProof/>
        </w:rPr>
      </w:pPr>
      <w:bookmarkStart w:id="464" w:name="_ENREF_24"/>
      <w:r w:rsidRPr="000D2ABD">
        <w:rPr>
          <w:noProof/>
        </w:rPr>
        <w:t xml:space="preserve">Galvao, V.C., and Fankhauser, C. (2015). Sensing the light environment in plants: photoreceptors and early signaling steps. </w:t>
      </w:r>
      <w:r w:rsidRPr="000D2ABD">
        <w:rPr>
          <w:i/>
          <w:noProof/>
        </w:rPr>
        <w:t>Curr Opin Neurobiol</w:t>
      </w:r>
      <w:r w:rsidRPr="000D2ABD">
        <w:rPr>
          <w:noProof/>
        </w:rPr>
        <w:t xml:space="preserve"> 34</w:t>
      </w:r>
      <w:r w:rsidRPr="000D2ABD">
        <w:rPr>
          <w:b/>
          <w:noProof/>
        </w:rPr>
        <w:t>,</w:t>
      </w:r>
      <w:r w:rsidRPr="000D2ABD">
        <w:rPr>
          <w:noProof/>
        </w:rPr>
        <w:t xml:space="preserve"> 46-53. doi: 10.1016/j.conb.2015.01.013.</w:t>
      </w:r>
      <w:bookmarkEnd w:id="464"/>
    </w:p>
    <w:p w14:paraId="35E7FFD8" w14:textId="77777777" w:rsidR="00126D8D" w:rsidRPr="000D2ABD" w:rsidRDefault="00126D8D" w:rsidP="000958A5">
      <w:pPr>
        <w:pStyle w:val="EndNoteBibliography"/>
        <w:ind w:left="720" w:hanging="720"/>
        <w:rPr>
          <w:noProof/>
        </w:rPr>
      </w:pPr>
      <w:bookmarkStart w:id="465" w:name="_ENREF_25"/>
      <w:r w:rsidRPr="000D2ABD">
        <w:rPr>
          <w:noProof/>
        </w:rPr>
        <w:t xml:space="preserve">Garland, K.F., Burnett, S.E., Stack, L.B., and Zhang, D. (2010). Minimum Daily Light Integral for Growing High-quality Coleus. </w:t>
      </w:r>
      <w:r w:rsidRPr="000D2ABD">
        <w:rPr>
          <w:i/>
          <w:noProof/>
        </w:rPr>
        <w:t>HortTechnology</w:t>
      </w:r>
      <w:r w:rsidRPr="000D2ABD">
        <w:rPr>
          <w:noProof/>
        </w:rPr>
        <w:t xml:space="preserve"> 20(5)</w:t>
      </w:r>
      <w:r w:rsidRPr="000D2ABD">
        <w:rPr>
          <w:b/>
          <w:noProof/>
        </w:rPr>
        <w:t>,</w:t>
      </w:r>
      <w:r w:rsidRPr="000D2ABD">
        <w:rPr>
          <w:noProof/>
        </w:rPr>
        <w:t xml:space="preserve"> 929-933. doi: 10.21273/horttech.20.5.929.</w:t>
      </w:r>
      <w:bookmarkEnd w:id="465"/>
    </w:p>
    <w:p w14:paraId="204ED072" w14:textId="77777777" w:rsidR="00126D8D" w:rsidRPr="000D2ABD" w:rsidRDefault="00126D8D" w:rsidP="000958A5">
      <w:pPr>
        <w:pStyle w:val="EndNoteBibliography"/>
        <w:ind w:left="720" w:hanging="720"/>
        <w:rPr>
          <w:noProof/>
        </w:rPr>
      </w:pPr>
      <w:bookmarkStart w:id="466" w:name="_ENREF_26"/>
      <w:r w:rsidRPr="000D2ABD">
        <w:rPr>
          <w:noProof/>
        </w:rPr>
        <w:t xml:space="preserve">Gómez, C., and Mitchell, C.A. (2014). Supplemental Lighting for Greenhouse-Grown Tomatoes: Intracanopy LED Towers Vs. Overhead HPS Lamps. </w:t>
      </w:r>
      <w:r w:rsidRPr="000D2ABD">
        <w:rPr>
          <w:i/>
          <w:noProof/>
        </w:rPr>
        <w:t>Acta Horticulturae</w:t>
      </w:r>
      <w:r w:rsidRPr="000D2ABD">
        <w:rPr>
          <w:noProof/>
        </w:rPr>
        <w:t xml:space="preserve"> (1037)</w:t>
      </w:r>
      <w:r w:rsidRPr="000D2ABD">
        <w:rPr>
          <w:b/>
          <w:noProof/>
        </w:rPr>
        <w:t>,</w:t>
      </w:r>
      <w:r w:rsidRPr="000D2ABD">
        <w:rPr>
          <w:noProof/>
        </w:rPr>
        <w:t xml:space="preserve"> 855-862. doi: 10.17660/ActaHortic.2014.1037.114.</w:t>
      </w:r>
      <w:bookmarkEnd w:id="466"/>
    </w:p>
    <w:p w14:paraId="0A9F6A20" w14:textId="77777777" w:rsidR="00126D8D" w:rsidRPr="000D2ABD" w:rsidRDefault="00126D8D" w:rsidP="000958A5">
      <w:pPr>
        <w:pStyle w:val="EndNoteBibliography"/>
        <w:ind w:left="720" w:hanging="720"/>
        <w:rPr>
          <w:noProof/>
        </w:rPr>
      </w:pPr>
      <w:bookmarkStart w:id="467" w:name="_ENREF_27"/>
      <w:r w:rsidRPr="000D2ABD">
        <w:rPr>
          <w:noProof/>
        </w:rPr>
        <w:t xml:space="preserve">Halaban, R. (1969). Effects of light quality on the circadian rhythm of leaf movement of a short-day-plant. </w:t>
      </w:r>
      <w:r w:rsidRPr="000D2ABD">
        <w:rPr>
          <w:i/>
          <w:noProof/>
        </w:rPr>
        <w:t>Plant Physiol</w:t>
      </w:r>
      <w:r w:rsidRPr="000D2ABD">
        <w:rPr>
          <w:noProof/>
        </w:rPr>
        <w:t xml:space="preserve"> 44(7)</w:t>
      </w:r>
      <w:r w:rsidRPr="000D2ABD">
        <w:rPr>
          <w:b/>
          <w:noProof/>
        </w:rPr>
        <w:t>,</w:t>
      </w:r>
      <w:r w:rsidRPr="000D2ABD">
        <w:rPr>
          <w:noProof/>
        </w:rPr>
        <w:t xml:space="preserve"> 973-977. doi: 10.1104/pp.44.7.973.</w:t>
      </w:r>
      <w:bookmarkEnd w:id="467"/>
    </w:p>
    <w:p w14:paraId="20B716C2" w14:textId="77777777" w:rsidR="00126D8D" w:rsidRPr="000D2ABD" w:rsidRDefault="00126D8D" w:rsidP="000958A5">
      <w:pPr>
        <w:pStyle w:val="EndNoteBibliography"/>
        <w:ind w:left="720" w:hanging="720"/>
        <w:rPr>
          <w:noProof/>
        </w:rPr>
      </w:pPr>
      <w:bookmarkStart w:id="468" w:name="_ENREF_28"/>
      <w:r w:rsidRPr="000D2ABD">
        <w:rPr>
          <w:noProof/>
        </w:rPr>
        <w:t xml:space="preserve">Hammock, H.A., Kopsell, D.A., and Sams, C.E. (2021). Narrowband Blue and Red LED Supplements Impact Key Flavor Volatiles in Hydroponically Grown Basil Across Growing Seasons. </w:t>
      </w:r>
      <w:r w:rsidRPr="000D2ABD">
        <w:rPr>
          <w:i/>
          <w:noProof/>
        </w:rPr>
        <w:t>Front Plant Sci</w:t>
      </w:r>
      <w:r w:rsidRPr="000D2ABD">
        <w:rPr>
          <w:noProof/>
        </w:rPr>
        <w:t xml:space="preserve"> 12</w:t>
      </w:r>
      <w:r w:rsidRPr="000D2ABD">
        <w:rPr>
          <w:b/>
          <w:noProof/>
        </w:rPr>
        <w:t>,</w:t>
      </w:r>
      <w:r w:rsidRPr="000D2ABD">
        <w:rPr>
          <w:noProof/>
        </w:rPr>
        <w:t xml:space="preserve"> 623314. doi: 10.3389/fpls.2021.623314.</w:t>
      </w:r>
      <w:bookmarkEnd w:id="468"/>
    </w:p>
    <w:p w14:paraId="2AF0CEBE" w14:textId="77777777" w:rsidR="00126D8D" w:rsidRPr="000D2ABD" w:rsidRDefault="00126D8D" w:rsidP="000958A5">
      <w:pPr>
        <w:pStyle w:val="EndNoteBibliography"/>
        <w:ind w:left="720" w:hanging="720"/>
        <w:rPr>
          <w:noProof/>
        </w:rPr>
      </w:pPr>
      <w:bookmarkStart w:id="469" w:name="_ENREF_29"/>
      <w:r w:rsidRPr="000D2ABD">
        <w:rPr>
          <w:noProof/>
        </w:rPr>
        <w:lastRenderedPageBreak/>
        <w:t xml:space="preserve">Hasan, M.M., Bashir, T., Ghosh, R., Lee, S.K., and Bae, H. (2017). An Overview of LEDs' Effects on the Production of Bioactive Compounds and Crop Quality. </w:t>
      </w:r>
      <w:r w:rsidRPr="000D2ABD">
        <w:rPr>
          <w:i/>
          <w:noProof/>
        </w:rPr>
        <w:t>Molecules</w:t>
      </w:r>
      <w:r w:rsidRPr="000D2ABD">
        <w:rPr>
          <w:noProof/>
        </w:rPr>
        <w:t xml:space="preserve"> 22(9). doi: 10.3390/molecules22091420.</w:t>
      </w:r>
      <w:bookmarkEnd w:id="469"/>
    </w:p>
    <w:p w14:paraId="733826B0" w14:textId="77777777" w:rsidR="00126D8D" w:rsidRPr="000D2ABD" w:rsidRDefault="00126D8D" w:rsidP="000958A5">
      <w:pPr>
        <w:pStyle w:val="EndNoteBibliography"/>
        <w:ind w:left="720" w:hanging="720"/>
        <w:rPr>
          <w:noProof/>
        </w:rPr>
      </w:pPr>
      <w:bookmarkStart w:id="470" w:name="_ENREF_30"/>
      <w:r w:rsidRPr="000D2ABD">
        <w:rPr>
          <w:noProof/>
        </w:rPr>
        <w:t xml:space="preserve">Hiltunen, R., and Holm, Y. (2003). </w:t>
      </w:r>
      <w:r w:rsidRPr="000D2ABD">
        <w:rPr>
          <w:i/>
          <w:noProof/>
        </w:rPr>
        <w:t xml:space="preserve">Basil: The Genus Ocimum. </w:t>
      </w:r>
      <w:r w:rsidRPr="000D2ABD">
        <w:rPr>
          <w:noProof/>
        </w:rPr>
        <w:t>Amsterdam: CRC Press.</w:t>
      </w:r>
      <w:bookmarkEnd w:id="470"/>
    </w:p>
    <w:p w14:paraId="4C311BB5" w14:textId="77777777" w:rsidR="00126D8D" w:rsidRPr="000D2ABD" w:rsidRDefault="00126D8D" w:rsidP="000958A5">
      <w:pPr>
        <w:pStyle w:val="EndNoteBibliography"/>
        <w:ind w:left="720" w:hanging="720"/>
        <w:rPr>
          <w:noProof/>
        </w:rPr>
      </w:pPr>
      <w:bookmarkStart w:id="471" w:name="_ENREF_31"/>
      <w:r w:rsidRPr="000D2ABD">
        <w:rPr>
          <w:noProof/>
        </w:rPr>
        <w:t xml:space="preserve">Holopainen, J.K., Kivimaenpaa, M., and Julkunen-Tiitto, R. (2018). New Light for Phytochemicals. </w:t>
      </w:r>
      <w:r w:rsidRPr="000D2ABD">
        <w:rPr>
          <w:i/>
          <w:noProof/>
        </w:rPr>
        <w:t>Trends Biotechnol</w:t>
      </w:r>
      <w:r w:rsidRPr="000D2ABD">
        <w:rPr>
          <w:noProof/>
        </w:rPr>
        <w:t xml:space="preserve"> 36(1)</w:t>
      </w:r>
      <w:r w:rsidRPr="000D2ABD">
        <w:rPr>
          <w:b/>
          <w:noProof/>
        </w:rPr>
        <w:t>,</w:t>
      </w:r>
      <w:r w:rsidRPr="000D2ABD">
        <w:rPr>
          <w:noProof/>
        </w:rPr>
        <w:t xml:space="preserve"> 7-10. doi: 10.1016/j.tibtech.2017.08.009.</w:t>
      </w:r>
      <w:bookmarkEnd w:id="471"/>
    </w:p>
    <w:p w14:paraId="1300CCA4" w14:textId="77777777" w:rsidR="00126D8D" w:rsidRPr="000D2ABD" w:rsidRDefault="00126D8D" w:rsidP="000958A5">
      <w:pPr>
        <w:pStyle w:val="EndNoteBibliography"/>
        <w:ind w:left="720" w:hanging="720"/>
        <w:rPr>
          <w:noProof/>
        </w:rPr>
      </w:pPr>
      <w:bookmarkStart w:id="472" w:name="_ENREF_32"/>
      <w:r w:rsidRPr="000D2ABD">
        <w:rPr>
          <w:noProof/>
        </w:rPr>
        <w:t xml:space="preserve">Hosseini, A., Zare Mehrjerdi, M., and Aliniaeifard, S. (2018). Alteration of Bioactive Compounds in Two Varieties of Basil (Ocimum basilicum) Grown Under Different Light Spectra. </w:t>
      </w:r>
      <w:r w:rsidRPr="000D2ABD">
        <w:rPr>
          <w:i/>
          <w:noProof/>
        </w:rPr>
        <w:t>Journal of Essential Oil Bearing Plants</w:t>
      </w:r>
      <w:r w:rsidRPr="000D2ABD">
        <w:rPr>
          <w:noProof/>
        </w:rPr>
        <w:t xml:space="preserve"> 21(4)</w:t>
      </w:r>
      <w:r w:rsidRPr="000D2ABD">
        <w:rPr>
          <w:b/>
          <w:noProof/>
        </w:rPr>
        <w:t>,</w:t>
      </w:r>
      <w:r w:rsidRPr="000D2ABD">
        <w:rPr>
          <w:noProof/>
        </w:rPr>
        <w:t xml:space="preserve"> 913-923. doi: 10.1080/0972060x.2018.1526126.</w:t>
      </w:r>
      <w:bookmarkEnd w:id="472"/>
    </w:p>
    <w:p w14:paraId="20B779E9" w14:textId="77777777" w:rsidR="00126D8D" w:rsidRPr="000D2ABD" w:rsidRDefault="00126D8D" w:rsidP="000958A5">
      <w:pPr>
        <w:pStyle w:val="EndNoteBibliography"/>
        <w:ind w:left="720" w:hanging="720"/>
        <w:rPr>
          <w:noProof/>
        </w:rPr>
      </w:pPr>
      <w:bookmarkStart w:id="473" w:name="_ENREF_33"/>
      <w:r w:rsidRPr="000D2ABD">
        <w:rPr>
          <w:noProof/>
        </w:rPr>
        <w:t xml:space="preserve">Jiao, Y., Lau, O.S., and Deng, X.W. (2007). Light-regulated transcriptional networks in higher plants. </w:t>
      </w:r>
      <w:r w:rsidRPr="000D2ABD">
        <w:rPr>
          <w:i/>
          <w:noProof/>
        </w:rPr>
        <w:t>Nat Rev Genet</w:t>
      </w:r>
      <w:r w:rsidRPr="000D2ABD">
        <w:rPr>
          <w:noProof/>
        </w:rPr>
        <w:t xml:space="preserve"> 8(3)</w:t>
      </w:r>
      <w:r w:rsidRPr="000D2ABD">
        <w:rPr>
          <w:b/>
          <w:noProof/>
        </w:rPr>
        <w:t>,</w:t>
      </w:r>
      <w:r w:rsidRPr="000D2ABD">
        <w:rPr>
          <w:noProof/>
        </w:rPr>
        <w:t xml:space="preserve"> 217-230. doi: 10.1038/nrg2049.</w:t>
      </w:r>
      <w:bookmarkEnd w:id="473"/>
    </w:p>
    <w:p w14:paraId="39CC9A50" w14:textId="77777777" w:rsidR="00126D8D" w:rsidRPr="000D2ABD" w:rsidRDefault="00126D8D" w:rsidP="000958A5">
      <w:pPr>
        <w:pStyle w:val="EndNoteBibliography"/>
        <w:ind w:left="720" w:hanging="720"/>
        <w:rPr>
          <w:noProof/>
        </w:rPr>
      </w:pPr>
      <w:bookmarkStart w:id="474" w:name="_ENREF_34"/>
      <w:r w:rsidRPr="000D2ABD">
        <w:rPr>
          <w:noProof/>
        </w:rPr>
        <w:t xml:space="preserve">Jishi, T., Kimura, K., Matsuda, R., and Fujiwara, K. (2016). Effects of temporally shifted irradiation of blue and red LED light on cos lettuce growth and morphology. </w:t>
      </w:r>
      <w:r w:rsidRPr="000D2ABD">
        <w:rPr>
          <w:i/>
          <w:noProof/>
        </w:rPr>
        <w:t>Scientia Horticulturae</w:t>
      </w:r>
      <w:r w:rsidRPr="000D2ABD">
        <w:rPr>
          <w:noProof/>
        </w:rPr>
        <w:t xml:space="preserve"> 198</w:t>
      </w:r>
      <w:r w:rsidRPr="000D2ABD">
        <w:rPr>
          <w:b/>
          <w:noProof/>
        </w:rPr>
        <w:t>,</w:t>
      </w:r>
      <w:r w:rsidRPr="000D2ABD">
        <w:rPr>
          <w:noProof/>
        </w:rPr>
        <w:t xml:space="preserve"> 227-232. doi: 10.1016/j.scienta.2015.12.005.</w:t>
      </w:r>
      <w:bookmarkEnd w:id="474"/>
    </w:p>
    <w:p w14:paraId="7948D184" w14:textId="77777777" w:rsidR="00126D8D" w:rsidRPr="000D2ABD" w:rsidRDefault="00126D8D" w:rsidP="000958A5">
      <w:pPr>
        <w:pStyle w:val="EndNoteBibliography"/>
        <w:ind w:left="720" w:hanging="720"/>
        <w:rPr>
          <w:noProof/>
        </w:rPr>
      </w:pPr>
      <w:bookmarkStart w:id="475" w:name="_ENREF_35"/>
      <w:r w:rsidRPr="000D2ABD">
        <w:rPr>
          <w:noProof/>
        </w:rPr>
        <w:t xml:space="preserve">Kaiser, E., Ouzounis, T., Giday, H., Schipper, R., Heuvelink, E., and Marcelis, L.F.M. (2018). Adding Blue to Red Supplemental Light Increases Biomass and Yield of Greenhouse-Grown Tomatoes, but Only to an Optimum. </w:t>
      </w:r>
      <w:r w:rsidRPr="000D2ABD">
        <w:rPr>
          <w:i/>
          <w:noProof/>
        </w:rPr>
        <w:t>Front Plant Sci</w:t>
      </w:r>
      <w:r w:rsidRPr="000D2ABD">
        <w:rPr>
          <w:noProof/>
        </w:rPr>
        <w:t xml:space="preserve"> 9</w:t>
      </w:r>
      <w:r w:rsidRPr="000D2ABD">
        <w:rPr>
          <w:b/>
          <w:noProof/>
        </w:rPr>
        <w:t>,</w:t>
      </w:r>
      <w:r w:rsidRPr="000D2ABD">
        <w:rPr>
          <w:noProof/>
        </w:rPr>
        <w:t xml:space="preserve"> 2002. doi: 10.3389/fpls.2018.02002.</w:t>
      </w:r>
      <w:bookmarkEnd w:id="475"/>
    </w:p>
    <w:p w14:paraId="799AA8B7" w14:textId="77777777" w:rsidR="00126D8D" w:rsidRPr="000D2ABD" w:rsidRDefault="00126D8D" w:rsidP="000958A5">
      <w:pPr>
        <w:pStyle w:val="EndNoteBibliography"/>
        <w:ind w:left="720" w:hanging="720"/>
        <w:rPr>
          <w:noProof/>
        </w:rPr>
      </w:pPr>
      <w:bookmarkStart w:id="476" w:name="_ENREF_36"/>
      <w:r w:rsidRPr="000D2ABD">
        <w:rPr>
          <w:noProof/>
        </w:rPr>
        <w:t xml:space="preserve">Kalaitzoglou, P., van Ieperen, W., Harbinson, J., van der Meer, M., Martinakos, S., Weerheim, K., et al. (2019). Effects of Continuous or End-of-Day Far-Red Light on Tomato Plant Growth, Morphology, Light Absorption, and Fruit Production. </w:t>
      </w:r>
      <w:r w:rsidRPr="000D2ABD">
        <w:rPr>
          <w:i/>
          <w:noProof/>
        </w:rPr>
        <w:t>Front Plant Sci</w:t>
      </w:r>
      <w:r w:rsidRPr="000D2ABD">
        <w:rPr>
          <w:noProof/>
        </w:rPr>
        <w:t xml:space="preserve"> 10</w:t>
      </w:r>
      <w:r w:rsidRPr="000D2ABD">
        <w:rPr>
          <w:b/>
          <w:noProof/>
        </w:rPr>
        <w:t>,</w:t>
      </w:r>
      <w:r w:rsidRPr="000D2ABD">
        <w:rPr>
          <w:noProof/>
        </w:rPr>
        <w:t xml:space="preserve"> 322. doi: 10.3389/fpls.2019.00322.</w:t>
      </w:r>
      <w:bookmarkEnd w:id="476"/>
    </w:p>
    <w:p w14:paraId="3D4766BF" w14:textId="77777777" w:rsidR="00126D8D" w:rsidRPr="000D2ABD" w:rsidRDefault="00126D8D" w:rsidP="000958A5">
      <w:pPr>
        <w:pStyle w:val="EndNoteBibliography"/>
        <w:ind w:left="720" w:hanging="720"/>
        <w:rPr>
          <w:noProof/>
        </w:rPr>
      </w:pPr>
      <w:bookmarkStart w:id="477" w:name="_ENREF_37"/>
      <w:r w:rsidRPr="000D2ABD">
        <w:rPr>
          <w:noProof/>
        </w:rPr>
        <w:lastRenderedPageBreak/>
        <w:t xml:space="preserve">Kasperbauer, M.J., Loughrin, J.H., and Wang, S.Y. (2001). Light reflected from red mulch to ripening strawberries affects aroma, sugar and organic acid concentrations. </w:t>
      </w:r>
      <w:r w:rsidRPr="000D2ABD">
        <w:rPr>
          <w:i/>
          <w:noProof/>
        </w:rPr>
        <w:t>Photochem Photobiol</w:t>
      </w:r>
      <w:r w:rsidRPr="000D2ABD">
        <w:rPr>
          <w:noProof/>
        </w:rPr>
        <w:t xml:space="preserve"> 74(1)</w:t>
      </w:r>
      <w:r w:rsidRPr="000D2ABD">
        <w:rPr>
          <w:b/>
          <w:noProof/>
        </w:rPr>
        <w:t>,</w:t>
      </w:r>
      <w:r w:rsidRPr="000D2ABD">
        <w:rPr>
          <w:noProof/>
        </w:rPr>
        <w:t xml:space="preserve"> 103-107. doi: 10.1562/00318655(2001)074.</w:t>
      </w:r>
      <w:bookmarkEnd w:id="477"/>
    </w:p>
    <w:p w14:paraId="773D875F" w14:textId="77777777" w:rsidR="00126D8D" w:rsidRPr="000D2ABD" w:rsidRDefault="00126D8D" w:rsidP="000958A5">
      <w:pPr>
        <w:pStyle w:val="EndNoteBibliography"/>
        <w:ind w:left="720" w:hanging="720"/>
        <w:rPr>
          <w:noProof/>
        </w:rPr>
      </w:pPr>
      <w:bookmarkStart w:id="478" w:name="_ENREF_38"/>
      <w:r w:rsidRPr="000D2ABD">
        <w:rPr>
          <w:noProof/>
        </w:rPr>
        <w:t xml:space="preserve">Kelly, N., and Runkle, E.S. (2020). Spectral manipulations to elicit desired quality attributes of herbaceous specialty crops. </w:t>
      </w:r>
      <w:r w:rsidRPr="000D2ABD">
        <w:rPr>
          <w:i/>
          <w:noProof/>
        </w:rPr>
        <w:t>European Journal of Horticultural Science</w:t>
      </w:r>
      <w:r w:rsidRPr="000D2ABD">
        <w:rPr>
          <w:noProof/>
        </w:rPr>
        <w:t xml:space="preserve"> 85(5)</w:t>
      </w:r>
      <w:r w:rsidRPr="000D2ABD">
        <w:rPr>
          <w:b/>
          <w:noProof/>
        </w:rPr>
        <w:t>,</w:t>
      </w:r>
      <w:r w:rsidRPr="000D2ABD">
        <w:rPr>
          <w:noProof/>
        </w:rPr>
        <w:t xml:space="preserve"> 339-343. doi: 10.17660/eJHS.2020/85.5.5.</w:t>
      </w:r>
      <w:bookmarkEnd w:id="478"/>
    </w:p>
    <w:p w14:paraId="0E7F4D7D" w14:textId="77777777" w:rsidR="00126D8D" w:rsidRPr="000D2ABD" w:rsidRDefault="00126D8D" w:rsidP="000958A5">
      <w:pPr>
        <w:pStyle w:val="EndNoteBibliography"/>
        <w:ind w:left="720" w:hanging="720"/>
        <w:rPr>
          <w:noProof/>
        </w:rPr>
      </w:pPr>
      <w:bookmarkStart w:id="479" w:name="_ENREF_39"/>
      <w:r w:rsidRPr="000D2ABD">
        <w:rPr>
          <w:noProof/>
        </w:rPr>
        <w:t xml:space="preserve">Kiferle, K., Maggini, R., and Pardossi, P. (2013). Influence of nitrogen nutrition on growth and accumulation of rosmarinic acid in sweet basil (Ocimum basilicum L.) grown in hydroponic culture. </w:t>
      </w:r>
      <w:r w:rsidRPr="000D2ABD">
        <w:rPr>
          <w:i/>
          <w:noProof/>
        </w:rPr>
        <w:t>Aust. J. Crop Sci</w:t>
      </w:r>
      <w:r w:rsidRPr="000D2ABD">
        <w:rPr>
          <w:noProof/>
        </w:rPr>
        <w:t xml:space="preserve"> 7(3)</w:t>
      </w:r>
      <w:r w:rsidRPr="000D2ABD">
        <w:rPr>
          <w:b/>
          <w:noProof/>
        </w:rPr>
        <w:t>,</w:t>
      </w:r>
      <w:r w:rsidRPr="000D2ABD">
        <w:rPr>
          <w:noProof/>
        </w:rPr>
        <w:t xml:space="preserve"> 321-327.</w:t>
      </w:r>
      <w:bookmarkEnd w:id="479"/>
    </w:p>
    <w:p w14:paraId="44CC5F32" w14:textId="77777777" w:rsidR="00126D8D" w:rsidRPr="000D2ABD" w:rsidRDefault="00126D8D" w:rsidP="000958A5">
      <w:pPr>
        <w:pStyle w:val="EndNoteBibliography"/>
        <w:ind w:left="720" w:hanging="720"/>
        <w:rPr>
          <w:noProof/>
        </w:rPr>
      </w:pPr>
      <w:bookmarkStart w:id="480" w:name="_ENREF_40"/>
      <w:r w:rsidRPr="000D2ABD">
        <w:rPr>
          <w:noProof/>
        </w:rPr>
        <w:t xml:space="preserve">Kivimaenpa, M., Mofikoya, A., Abd El-Raheem, A.M., Riikonen, J., Julkunen-Tiitto, R., and Holopainen, J.K. (2022). Alteration in Light Spectra Causes Opposite Responses in Volatile Phenylpropanoids and Terpenoids Compared with Phenolic Acids in Sweet Basil (Ocimum basilicum) Leaves. </w:t>
      </w:r>
      <w:r w:rsidRPr="000D2ABD">
        <w:rPr>
          <w:i/>
          <w:noProof/>
        </w:rPr>
        <w:t>J Agric Food Chem</w:t>
      </w:r>
      <w:r w:rsidRPr="000D2ABD">
        <w:rPr>
          <w:noProof/>
        </w:rPr>
        <w:t xml:space="preserve"> 70(39)</w:t>
      </w:r>
      <w:r w:rsidRPr="000D2ABD">
        <w:rPr>
          <w:b/>
          <w:noProof/>
        </w:rPr>
        <w:t>,</w:t>
      </w:r>
      <w:r w:rsidRPr="000D2ABD">
        <w:rPr>
          <w:noProof/>
        </w:rPr>
        <w:t xml:space="preserve"> 12287-12296. doi: 10.1021/acs.jafc.2c03309.</w:t>
      </w:r>
      <w:bookmarkEnd w:id="480"/>
    </w:p>
    <w:p w14:paraId="6F6CD023" w14:textId="77777777" w:rsidR="00126D8D" w:rsidRPr="000D2ABD" w:rsidRDefault="00126D8D" w:rsidP="000958A5">
      <w:pPr>
        <w:pStyle w:val="EndNoteBibliography"/>
        <w:ind w:left="720" w:hanging="720"/>
        <w:rPr>
          <w:noProof/>
        </w:rPr>
      </w:pPr>
      <w:bookmarkStart w:id="481" w:name="_ENREF_41"/>
      <w:r w:rsidRPr="000D2ABD">
        <w:rPr>
          <w:noProof/>
        </w:rPr>
        <w:t xml:space="preserve">Kong, Y., Schiestel, K., and Zheng, Y.B. (2019). Pure blue light effects on growth and morphology are slightly changed by adding low-level UVA or far-red light: A comparison with red light in four microgreen species. </w:t>
      </w:r>
      <w:r w:rsidRPr="000D2ABD">
        <w:rPr>
          <w:i/>
          <w:noProof/>
        </w:rPr>
        <w:t>Environmental and Experimental Botany</w:t>
      </w:r>
      <w:r w:rsidRPr="000D2ABD">
        <w:rPr>
          <w:noProof/>
        </w:rPr>
        <w:t xml:space="preserve"> 157</w:t>
      </w:r>
      <w:r w:rsidRPr="000D2ABD">
        <w:rPr>
          <w:b/>
          <w:noProof/>
        </w:rPr>
        <w:t>,</w:t>
      </w:r>
      <w:r w:rsidRPr="000D2ABD">
        <w:rPr>
          <w:noProof/>
        </w:rPr>
        <w:t xml:space="preserve"> 58-68. doi: 10.1016/j.envexpbot.2018.09.024.</w:t>
      </w:r>
      <w:bookmarkEnd w:id="481"/>
    </w:p>
    <w:p w14:paraId="3C79B9CA" w14:textId="77777777" w:rsidR="00126D8D" w:rsidRPr="000D2ABD" w:rsidRDefault="00126D8D" w:rsidP="000958A5">
      <w:pPr>
        <w:pStyle w:val="EndNoteBibliography"/>
        <w:ind w:left="720" w:hanging="720"/>
        <w:rPr>
          <w:noProof/>
        </w:rPr>
      </w:pPr>
      <w:bookmarkStart w:id="482" w:name="_ENREF_42"/>
      <w:r w:rsidRPr="000D2ABD">
        <w:rPr>
          <w:noProof/>
        </w:rPr>
        <w:t xml:space="preserve">Kopsell, D.A., Kopsell, D.E., and Curran-Celentano, J. (2005). Carotenoid and Chlorophyll Pigments in Sweet Basil Grown in the Field and Greenhouse. </w:t>
      </w:r>
      <w:r w:rsidRPr="000D2ABD">
        <w:rPr>
          <w:i/>
          <w:noProof/>
        </w:rPr>
        <w:t>HortScience</w:t>
      </w:r>
      <w:r w:rsidRPr="000D2ABD">
        <w:rPr>
          <w:noProof/>
        </w:rPr>
        <w:t xml:space="preserve"> 40(5)</w:t>
      </w:r>
      <w:r w:rsidRPr="000D2ABD">
        <w:rPr>
          <w:b/>
          <w:noProof/>
        </w:rPr>
        <w:t>,</w:t>
      </w:r>
      <w:r w:rsidRPr="000D2ABD">
        <w:rPr>
          <w:noProof/>
        </w:rPr>
        <w:t xml:space="preserve"> 1230-1233. doi: 10.21273/hortsci.40.5.1230.</w:t>
      </w:r>
      <w:bookmarkEnd w:id="482"/>
    </w:p>
    <w:p w14:paraId="24D94397" w14:textId="77777777" w:rsidR="00126D8D" w:rsidRPr="000D2ABD" w:rsidRDefault="00126D8D" w:rsidP="000958A5">
      <w:pPr>
        <w:pStyle w:val="EndNoteBibliography"/>
        <w:ind w:left="720" w:hanging="720"/>
        <w:rPr>
          <w:noProof/>
        </w:rPr>
      </w:pPr>
      <w:bookmarkStart w:id="483" w:name="_ENREF_43"/>
      <w:r w:rsidRPr="000D2ABD">
        <w:rPr>
          <w:noProof/>
        </w:rPr>
        <w:lastRenderedPageBreak/>
        <w:t xml:space="preserve">Korczynski, P.C., Logan, J., and Faust, J.E. (2002). Mapping Monthly Distribution of Daily Light Integrals across the Contiguous United States. </w:t>
      </w:r>
      <w:r w:rsidRPr="000D2ABD">
        <w:rPr>
          <w:i/>
          <w:noProof/>
        </w:rPr>
        <w:t>HortTechnology</w:t>
      </w:r>
      <w:r w:rsidRPr="000D2ABD">
        <w:rPr>
          <w:noProof/>
        </w:rPr>
        <w:t xml:space="preserve"> 12(1)</w:t>
      </w:r>
      <w:r w:rsidRPr="000D2ABD">
        <w:rPr>
          <w:b/>
          <w:noProof/>
        </w:rPr>
        <w:t>,</w:t>
      </w:r>
      <w:r w:rsidRPr="000D2ABD">
        <w:rPr>
          <w:noProof/>
        </w:rPr>
        <w:t xml:space="preserve"> 12-16. doi: 10.21273/horttech.12.1.12.</w:t>
      </w:r>
      <w:bookmarkEnd w:id="483"/>
    </w:p>
    <w:p w14:paraId="3E02BD17" w14:textId="77777777" w:rsidR="00126D8D" w:rsidRPr="000D2ABD" w:rsidRDefault="00126D8D" w:rsidP="000958A5">
      <w:pPr>
        <w:pStyle w:val="EndNoteBibliography"/>
        <w:ind w:left="720" w:hanging="720"/>
        <w:rPr>
          <w:noProof/>
        </w:rPr>
      </w:pPr>
      <w:bookmarkStart w:id="484" w:name="_ENREF_44"/>
      <w:r w:rsidRPr="000D2ABD">
        <w:rPr>
          <w:noProof/>
        </w:rPr>
        <w:t xml:space="preserve">Kyriacou, M.C., El-Nakhel, C., Pannico, A., Graziani, G., Soteriou, G.A., Giordano, M., et al. (2019). Genotype-Specific Modulatory Effects of Select Spectral Bandwidths on the Nutritive and Phytochemical Composition of Microgreens. </w:t>
      </w:r>
      <w:r w:rsidRPr="000D2ABD">
        <w:rPr>
          <w:i/>
          <w:noProof/>
        </w:rPr>
        <w:t>Front Plant Sci</w:t>
      </w:r>
      <w:r w:rsidRPr="000D2ABD">
        <w:rPr>
          <w:noProof/>
        </w:rPr>
        <w:t xml:space="preserve"> 10</w:t>
      </w:r>
      <w:r w:rsidRPr="000D2ABD">
        <w:rPr>
          <w:b/>
          <w:noProof/>
        </w:rPr>
        <w:t>,</w:t>
      </w:r>
      <w:r w:rsidRPr="000D2ABD">
        <w:rPr>
          <w:noProof/>
        </w:rPr>
        <w:t xml:space="preserve"> 1501. doi: 10.3389/fpls.2019.01501.</w:t>
      </w:r>
      <w:bookmarkEnd w:id="484"/>
    </w:p>
    <w:p w14:paraId="0A1CEEE7" w14:textId="77777777" w:rsidR="00126D8D" w:rsidRPr="000D2ABD" w:rsidRDefault="00126D8D" w:rsidP="000958A5">
      <w:pPr>
        <w:pStyle w:val="EndNoteBibliography"/>
        <w:ind w:left="720" w:hanging="720"/>
        <w:rPr>
          <w:noProof/>
        </w:rPr>
      </w:pPr>
      <w:bookmarkStart w:id="485" w:name="_ENREF_45"/>
      <w:r w:rsidRPr="000D2ABD">
        <w:rPr>
          <w:noProof/>
        </w:rPr>
        <w:t xml:space="preserve">Landi, M., Zivcak, M., Sytar, O., Brestic, M., and Allakhverdiev, S.I. (2020). Plasticity of photosynthetic processes and the accumulation of secondary metabolites in plants in response to monochromatic light environments: A review. </w:t>
      </w:r>
      <w:r w:rsidRPr="000D2ABD">
        <w:rPr>
          <w:i/>
          <w:noProof/>
        </w:rPr>
        <w:t>Biochim Biophys Acta Bioenerg</w:t>
      </w:r>
      <w:r w:rsidRPr="000D2ABD">
        <w:rPr>
          <w:noProof/>
        </w:rPr>
        <w:t xml:space="preserve"> 1861(2)</w:t>
      </w:r>
      <w:r w:rsidRPr="000D2ABD">
        <w:rPr>
          <w:b/>
          <w:noProof/>
        </w:rPr>
        <w:t>,</w:t>
      </w:r>
      <w:r w:rsidRPr="000D2ABD">
        <w:rPr>
          <w:noProof/>
        </w:rPr>
        <w:t xml:space="preserve"> 148131. doi: 10.1016/j.bbabio.2019.148131.</w:t>
      </w:r>
      <w:bookmarkEnd w:id="485"/>
    </w:p>
    <w:p w14:paraId="1305DBB4" w14:textId="77777777" w:rsidR="00126D8D" w:rsidRPr="000D2ABD" w:rsidRDefault="00126D8D" w:rsidP="000958A5">
      <w:pPr>
        <w:pStyle w:val="EndNoteBibliography"/>
        <w:ind w:left="720" w:hanging="720"/>
        <w:rPr>
          <w:noProof/>
        </w:rPr>
      </w:pPr>
      <w:bookmarkStart w:id="486" w:name="_ENREF_46"/>
      <w:r w:rsidRPr="000D2ABD">
        <w:rPr>
          <w:noProof/>
        </w:rPr>
        <w:t xml:space="preserve">Larsen, D.H., Woltering, E.J., Nicole, C.C.S., and Marcelis, L.F.M. (2020). Response of Basil Growth and Morphology to Light Intensity and Spectrum in a Vertical Farm. </w:t>
      </w:r>
      <w:r w:rsidRPr="000D2ABD">
        <w:rPr>
          <w:i/>
          <w:noProof/>
        </w:rPr>
        <w:t>Front Plant Sci</w:t>
      </w:r>
      <w:r w:rsidRPr="000D2ABD">
        <w:rPr>
          <w:noProof/>
        </w:rPr>
        <w:t xml:space="preserve"> 11</w:t>
      </w:r>
      <w:r w:rsidRPr="000D2ABD">
        <w:rPr>
          <w:b/>
          <w:noProof/>
        </w:rPr>
        <w:t>,</w:t>
      </w:r>
      <w:r w:rsidRPr="000D2ABD">
        <w:rPr>
          <w:noProof/>
        </w:rPr>
        <w:t xml:space="preserve"> 597906. doi: 10.3389/fpls.2020.597906.</w:t>
      </w:r>
      <w:bookmarkEnd w:id="486"/>
    </w:p>
    <w:p w14:paraId="62CA3C50" w14:textId="77777777" w:rsidR="00126D8D" w:rsidRPr="000D2ABD" w:rsidRDefault="00126D8D" w:rsidP="000958A5">
      <w:pPr>
        <w:pStyle w:val="EndNoteBibliography"/>
        <w:ind w:left="720" w:hanging="720"/>
        <w:rPr>
          <w:noProof/>
        </w:rPr>
      </w:pPr>
      <w:bookmarkStart w:id="487" w:name="_ENREF_47"/>
      <w:r w:rsidRPr="000D2ABD">
        <w:rPr>
          <w:noProof/>
        </w:rPr>
        <w:t xml:space="preserve">Lawless, H.H., H. (2010). </w:t>
      </w:r>
      <w:r w:rsidRPr="000D2ABD">
        <w:rPr>
          <w:i/>
          <w:noProof/>
        </w:rPr>
        <w:t>Sensory Evaluation of Food.</w:t>
      </w:r>
      <w:r w:rsidRPr="000D2ABD">
        <w:rPr>
          <w:noProof/>
        </w:rPr>
        <w:t xml:space="preserve"> SpringerLink.</w:t>
      </w:r>
      <w:bookmarkEnd w:id="487"/>
    </w:p>
    <w:p w14:paraId="0378C48C" w14:textId="77777777" w:rsidR="00126D8D" w:rsidRPr="000D2ABD" w:rsidRDefault="00126D8D" w:rsidP="000958A5">
      <w:pPr>
        <w:pStyle w:val="EndNoteBibliography"/>
        <w:ind w:left="720" w:hanging="720"/>
        <w:rPr>
          <w:noProof/>
        </w:rPr>
      </w:pPr>
      <w:bookmarkStart w:id="488" w:name="_ENREF_48"/>
      <w:r w:rsidRPr="000D2ABD">
        <w:rPr>
          <w:noProof/>
        </w:rPr>
        <w:t xml:space="preserve">Lu, N., Bernardo, E.L., Tippayadarapanich, C., Takagaki, M., Kagawa, N., and Yamori, W. (2017). Growth and Accumulation of Secondary Metabolites in Perilla as Affected by Photosynthetic Photon Flux Density and Electrical Conductivity of the Nutrient Solution. </w:t>
      </w:r>
      <w:r w:rsidRPr="000D2ABD">
        <w:rPr>
          <w:i/>
          <w:noProof/>
        </w:rPr>
        <w:t>Front Plant Sci</w:t>
      </w:r>
      <w:r w:rsidRPr="000D2ABD">
        <w:rPr>
          <w:noProof/>
        </w:rPr>
        <w:t xml:space="preserve"> 8</w:t>
      </w:r>
      <w:r w:rsidRPr="000D2ABD">
        <w:rPr>
          <w:b/>
          <w:noProof/>
        </w:rPr>
        <w:t>,</w:t>
      </w:r>
      <w:r w:rsidRPr="000D2ABD">
        <w:rPr>
          <w:noProof/>
        </w:rPr>
        <w:t xml:space="preserve"> 708. doi: 10.3389/fpls.2017.00708.</w:t>
      </w:r>
      <w:bookmarkEnd w:id="488"/>
    </w:p>
    <w:p w14:paraId="4B18EF86" w14:textId="77777777" w:rsidR="00126D8D" w:rsidRPr="000D2ABD" w:rsidRDefault="00126D8D" w:rsidP="000958A5">
      <w:pPr>
        <w:pStyle w:val="EndNoteBibliography"/>
        <w:ind w:left="720" w:hanging="720"/>
        <w:rPr>
          <w:noProof/>
        </w:rPr>
      </w:pPr>
      <w:bookmarkStart w:id="489" w:name="_ENREF_49"/>
      <w:r w:rsidRPr="000D2ABD">
        <w:rPr>
          <w:noProof/>
        </w:rPr>
        <w:t xml:space="preserve">Massa, G.D., Kim, H.H., Wheeler, R.M., and Mitchell, C.A. (2008). Plant Productivity in Response to LED Lighting. </w:t>
      </w:r>
      <w:r w:rsidRPr="000D2ABD">
        <w:rPr>
          <w:i/>
          <w:noProof/>
        </w:rPr>
        <w:t>Hortscience</w:t>
      </w:r>
      <w:r w:rsidRPr="000D2ABD">
        <w:rPr>
          <w:noProof/>
        </w:rPr>
        <w:t xml:space="preserve"> 43(7)</w:t>
      </w:r>
      <w:r w:rsidRPr="000D2ABD">
        <w:rPr>
          <w:b/>
          <w:noProof/>
        </w:rPr>
        <w:t>,</w:t>
      </w:r>
      <w:r w:rsidRPr="000D2ABD">
        <w:rPr>
          <w:noProof/>
        </w:rPr>
        <w:t xml:space="preserve"> 1951-1956.</w:t>
      </w:r>
      <w:bookmarkEnd w:id="489"/>
    </w:p>
    <w:p w14:paraId="16A9B828" w14:textId="77777777" w:rsidR="00126D8D" w:rsidRPr="000D2ABD" w:rsidRDefault="00126D8D" w:rsidP="000958A5">
      <w:pPr>
        <w:pStyle w:val="EndNoteBibliography"/>
        <w:ind w:left="720" w:hanging="720"/>
        <w:rPr>
          <w:noProof/>
        </w:rPr>
      </w:pPr>
      <w:bookmarkStart w:id="490" w:name="_ENREF_50"/>
      <w:r w:rsidRPr="000D2ABD">
        <w:rPr>
          <w:noProof/>
        </w:rPr>
        <w:t xml:space="preserve">McCree, K.J. (1973). The measurement of photosynthetically active radiation. </w:t>
      </w:r>
      <w:r w:rsidRPr="000D2ABD">
        <w:rPr>
          <w:i/>
          <w:noProof/>
        </w:rPr>
        <w:t>Solar Energy</w:t>
      </w:r>
      <w:r w:rsidRPr="000D2ABD">
        <w:rPr>
          <w:noProof/>
        </w:rPr>
        <w:t xml:space="preserve"> 15(1)</w:t>
      </w:r>
      <w:r w:rsidRPr="000D2ABD">
        <w:rPr>
          <w:b/>
          <w:noProof/>
        </w:rPr>
        <w:t>,</w:t>
      </w:r>
      <w:r w:rsidRPr="000D2ABD">
        <w:rPr>
          <w:noProof/>
        </w:rPr>
        <w:t xml:space="preserve"> 83-87. doi: 10.1016/0038-092x(73)90010-8.</w:t>
      </w:r>
      <w:bookmarkEnd w:id="490"/>
    </w:p>
    <w:p w14:paraId="080A8D28" w14:textId="77777777" w:rsidR="00126D8D" w:rsidRPr="000D2ABD" w:rsidRDefault="00126D8D" w:rsidP="000958A5">
      <w:pPr>
        <w:pStyle w:val="EndNoteBibliography"/>
        <w:ind w:left="720" w:hanging="720"/>
        <w:rPr>
          <w:noProof/>
        </w:rPr>
      </w:pPr>
      <w:bookmarkStart w:id="491" w:name="_ENREF_51"/>
      <w:r w:rsidRPr="000D2ABD">
        <w:rPr>
          <w:noProof/>
        </w:rPr>
        <w:lastRenderedPageBreak/>
        <w:t xml:space="preserve">Meligaard, M., Civile, G.V., and Carr, B.T. (2007). </w:t>
      </w:r>
      <w:r w:rsidRPr="000D2ABD">
        <w:rPr>
          <w:i/>
          <w:noProof/>
        </w:rPr>
        <w:t xml:space="preserve">Sensory Evaluation Techniques, Fourth Edition </w:t>
      </w:r>
      <w:r w:rsidRPr="000D2ABD">
        <w:rPr>
          <w:noProof/>
        </w:rPr>
        <w:t>CRC Press.</w:t>
      </w:r>
      <w:bookmarkEnd w:id="491"/>
    </w:p>
    <w:p w14:paraId="17D5FAF8" w14:textId="77777777" w:rsidR="00126D8D" w:rsidRPr="000D2ABD" w:rsidRDefault="00126D8D" w:rsidP="000958A5">
      <w:pPr>
        <w:pStyle w:val="EndNoteBibliography"/>
        <w:ind w:left="720" w:hanging="720"/>
        <w:rPr>
          <w:noProof/>
        </w:rPr>
      </w:pPr>
      <w:bookmarkStart w:id="492" w:name="_ENREF_52"/>
      <w:r w:rsidRPr="000D2ABD">
        <w:rPr>
          <w:noProof/>
        </w:rPr>
        <w:t xml:space="preserve">Mokvist, F., Mamedov, F., and Styring, S. (2014). Defining the far-red limit of photosystem I: the primary charge separation is functional to 840 nm. </w:t>
      </w:r>
      <w:r w:rsidRPr="000D2ABD">
        <w:rPr>
          <w:i/>
          <w:noProof/>
        </w:rPr>
        <w:t>J Biol Chem</w:t>
      </w:r>
      <w:r w:rsidRPr="000D2ABD">
        <w:rPr>
          <w:noProof/>
        </w:rPr>
        <w:t xml:space="preserve"> 289(35)</w:t>
      </w:r>
      <w:r w:rsidRPr="000D2ABD">
        <w:rPr>
          <w:b/>
          <w:noProof/>
        </w:rPr>
        <w:t>,</w:t>
      </w:r>
      <w:r w:rsidRPr="000D2ABD">
        <w:rPr>
          <w:noProof/>
        </w:rPr>
        <w:t xml:space="preserve"> 24630-24639. doi: 10.1074/jbc.M114.555649.</w:t>
      </w:r>
      <w:bookmarkEnd w:id="492"/>
    </w:p>
    <w:p w14:paraId="0709C1DB" w14:textId="77777777" w:rsidR="00126D8D" w:rsidRPr="000D2ABD" w:rsidRDefault="00126D8D" w:rsidP="000958A5">
      <w:pPr>
        <w:pStyle w:val="EndNoteBibliography"/>
        <w:ind w:left="720" w:hanging="720"/>
        <w:rPr>
          <w:noProof/>
        </w:rPr>
      </w:pPr>
      <w:bookmarkStart w:id="493" w:name="_ENREF_53"/>
      <w:r w:rsidRPr="000D2ABD">
        <w:rPr>
          <w:noProof/>
        </w:rPr>
        <w:t xml:space="preserve">Morrow, R.C. (2008). LED Lighting in Horticulture. </w:t>
      </w:r>
      <w:r w:rsidRPr="000D2ABD">
        <w:rPr>
          <w:i/>
          <w:noProof/>
        </w:rPr>
        <w:t>HortScience</w:t>
      </w:r>
      <w:r w:rsidRPr="000D2ABD">
        <w:rPr>
          <w:noProof/>
        </w:rPr>
        <w:t xml:space="preserve"> 43(7)</w:t>
      </w:r>
      <w:r w:rsidRPr="000D2ABD">
        <w:rPr>
          <w:b/>
          <w:noProof/>
        </w:rPr>
        <w:t>,</w:t>
      </w:r>
      <w:r w:rsidRPr="000D2ABD">
        <w:rPr>
          <w:noProof/>
        </w:rPr>
        <w:t xml:space="preserve"> 1947-1950. doi: 10.21273/hortsci.43.7.1947.</w:t>
      </w:r>
      <w:bookmarkEnd w:id="493"/>
    </w:p>
    <w:p w14:paraId="1C5EA628" w14:textId="77777777" w:rsidR="00126D8D" w:rsidRPr="000D2ABD" w:rsidRDefault="00126D8D" w:rsidP="000958A5">
      <w:pPr>
        <w:pStyle w:val="EndNoteBibliography"/>
        <w:ind w:left="720" w:hanging="720"/>
        <w:rPr>
          <w:noProof/>
        </w:rPr>
      </w:pPr>
      <w:bookmarkStart w:id="494" w:name="_ENREF_54"/>
      <w:r w:rsidRPr="000D2ABD">
        <w:rPr>
          <w:noProof/>
        </w:rPr>
        <w:t xml:space="preserve">Olle, M., and Viršile, A. (2013). The effects of light-emitting diode lighting on greenhouse plant growth and quality. </w:t>
      </w:r>
      <w:r w:rsidRPr="000D2ABD">
        <w:rPr>
          <w:i/>
          <w:noProof/>
        </w:rPr>
        <w:t>Agric. Food Sci</w:t>
      </w:r>
      <w:r w:rsidRPr="000D2ABD">
        <w:rPr>
          <w:noProof/>
        </w:rPr>
        <w:t xml:space="preserve"> 22</w:t>
      </w:r>
      <w:r w:rsidRPr="000D2ABD">
        <w:rPr>
          <w:b/>
          <w:noProof/>
        </w:rPr>
        <w:t>,</w:t>
      </w:r>
      <w:r w:rsidRPr="000D2ABD">
        <w:rPr>
          <w:noProof/>
        </w:rPr>
        <w:t xml:space="preserve"> 223-234.</w:t>
      </w:r>
      <w:bookmarkEnd w:id="494"/>
    </w:p>
    <w:p w14:paraId="76191DD3" w14:textId="77777777" w:rsidR="00126D8D" w:rsidRPr="000D2ABD" w:rsidRDefault="00126D8D" w:rsidP="000958A5">
      <w:pPr>
        <w:pStyle w:val="EndNoteBibliography"/>
        <w:ind w:left="720" w:hanging="720"/>
        <w:rPr>
          <w:noProof/>
        </w:rPr>
      </w:pPr>
      <w:bookmarkStart w:id="495" w:name="_ENREF_55"/>
      <w:r w:rsidRPr="000D2ABD">
        <w:rPr>
          <w:noProof/>
        </w:rPr>
        <w:t xml:space="preserve">Ouzounis, T., Rosenqvist, E., and Ottosen, C.O. (2015). Spectral Effects of Artificial Light on Plant Physiology and Secondary Metabolism: A Review. </w:t>
      </w:r>
      <w:r w:rsidRPr="000D2ABD">
        <w:rPr>
          <w:i/>
          <w:noProof/>
        </w:rPr>
        <w:t>Hortscience</w:t>
      </w:r>
      <w:r w:rsidRPr="000D2ABD">
        <w:rPr>
          <w:noProof/>
        </w:rPr>
        <w:t xml:space="preserve"> 50(8)</w:t>
      </w:r>
      <w:r w:rsidRPr="000D2ABD">
        <w:rPr>
          <w:b/>
          <w:noProof/>
        </w:rPr>
        <w:t>,</w:t>
      </w:r>
      <w:r w:rsidRPr="000D2ABD">
        <w:rPr>
          <w:noProof/>
        </w:rPr>
        <w:t xml:space="preserve"> 1128-1135.</w:t>
      </w:r>
      <w:bookmarkEnd w:id="495"/>
    </w:p>
    <w:p w14:paraId="3C9A2AED" w14:textId="77777777" w:rsidR="00126D8D" w:rsidRPr="000D2ABD" w:rsidRDefault="00126D8D" w:rsidP="000958A5">
      <w:pPr>
        <w:pStyle w:val="EndNoteBibliography"/>
        <w:ind w:left="720" w:hanging="720"/>
        <w:rPr>
          <w:noProof/>
        </w:rPr>
      </w:pPr>
      <w:bookmarkStart w:id="496" w:name="_ENREF_56"/>
      <w:r w:rsidRPr="000D2ABD">
        <w:rPr>
          <w:noProof/>
        </w:rPr>
        <w:t xml:space="preserve">Paradiso, R., and Proietti, S. (2021). Light-Quality Manipulation to Control Plant Growth and Photomorphogenesis in Greenhouse Horticulture: The State of the Art and the Opportunities of Modern LED Systems. </w:t>
      </w:r>
      <w:r w:rsidRPr="000D2ABD">
        <w:rPr>
          <w:i/>
          <w:noProof/>
        </w:rPr>
        <w:t>Journal of Plant Growth Regulation</w:t>
      </w:r>
      <w:r w:rsidRPr="000D2ABD">
        <w:rPr>
          <w:noProof/>
        </w:rPr>
        <w:t xml:space="preserve"> 41(2)</w:t>
      </w:r>
      <w:r w:rsidRPr="000D2ABD">
        <w:rPr>
          <w:b/>
          <w:noProof/>
        </w:rPr>
        <w:t>,</w:t>
      </w:r>
      <w:r w:rsidRPr="000D2ABD">
        <w:rPr>
          <w:noProof/>
        </w:rPr>
        <w:t xml:space="preserve"> 742-780. doi: 10.1007/s00344-021-10337-y.</w:t>
      </w:r>
      <w:bookmarkEnd w:id="496"/>
    </w:p>
    <w:p w14:paraId="016DA8EF" w14:textId="77777777" w:rsidR="00126D8D" w:rsidRPr="000D2ABD" w:rsidRDefault="00126D8D" w:rsidP="000958A5">
      <w:pPr>
        <w:pStyle w:val="EndNoteBibliography"/>
        <w:ind w:left="720" w:hanging="720"/>
        <w:rPr>
          <w:noProof/>
        </w:rPr>
      </w:pPr>
      <w:bookmarkStart w:id="497" w:name="_ENREF_57"/>
      <w:r w:rsidRPr="000D2ABD">
        <w:rPr>
          <w:noProof/>
        </w:rPr>
        <w:t xml:space="preserve">Pattison, P.M., Tsao, J.Y., Brainard, G.C., and Bugbee, B. (2018). LEDs for photons, physiology and food. </w:t>
      </w:r>
      <w:r w:rsidRPr="000D2ABD">
        <w:rPr>
          <w:i/>
          <w:noProof/>
        </w:rPr>
        <w:t>Nature</w:t>
      </w:r>
      <w:r w:rsidRPr="000D2ABD">
        <w:rPr>
          <w:noProof/>
        </w:rPr>
        <w:t xml:space="preserve"> 563(7732)</w:t>
      </w:r>
      <w:r w:rsidRPr="000D2ABD">
        <w:rPr>
          <w:b/>
          <w:noProof/>
        </w:rPr>
        <w:t>,</w:t>
      </w:r>
      <w:r w:rsidRPr="000D2ABD">
        <w:rPr>
          <w:noProof/>
        </w:rPr>
        <w:t xml:space="preserve"> 493-500. doi: 10.1038/s41586-018-0706-x.</w:t>
      </w:r>
      <w:bookmarkEnd w:id="497"/>
    </w:p>
    <w:p w14:paraId="66F67C57" w14:textId="77777777" w:rsidR="00126D8D" w:rsidRPr="000D2ABD" w:rsidRDefault="00126D8D" w:rsidP="000958A5">
      <w:pPr>
        <w:pStyle w:val="EndNoteBibliography"/>
        <w:ind w:left="720" w:hanging="720"/>
        <w:rPr>
          <w:noProof/>
        </w:rPr>
      </w:pPr>
      <w:bookmarkStart w:id="498" w:name="_ENREF_58"/>
      <w:r w:rsidRPr="000D2ABD">
        <w:rPr>
          <w:noProof/>
        </w:rPr>
        <w:t xml:space="preserve">Pennisi, G., Blasioli, S., Cellini, A., Maia, L., Crepaldi, A., Braschi, I., et al. (2019a). Unraveling the Role of Red:Blue LED Lights on Resource Use Efficiency and Nutritional Properties of Indoor Grown Sweet Basil. </w:t>
      </w:r>
      <w:r w:rsidRPr="000D2ABD">
        <w:rPr>
          <w:i/>
          <w:noProof/>
        </w:rPr>
        <w:t>Front Plant Sci</w:t>
      </w:r>
      <w:r w:rsidRPr="000D2ABD">
        <w:rPr>
          <w:noProof/>
        </w:rPr>
        <w:t xml:space="preserve"> 10</w:t>
      </w:r>
      <w:r w:rsidRPr="000D2ABD">
        <w:rPr>
          <w:b/>
          <w:noProof/>
        </w:rPr>
        <w:t>,</w:t>
      </w:r>
      <w:r w:rsidRPr="000D2ABD">
        <w:rPr>
          <w:noProof/>
        </w:rPr>
        <w:t xml:space="preserve"> 305. doi: 10.3389/fpls.2019.00305.</w:t>
      </w:r>
      <w:bookmarkEnd w:id="498"/>
    </w:p>
    <w:p w14:paraId="190CF332" w14:textId="77777777" w:rsidR="00126D8D" w:rsidRPr="000D2ABD" w:rsidRDefault="00126D8D" w:rsidP="000958A5">
      <w:pPr>
        <w:pStyle w:val="EndNoteBibliography"/>
        <w:ind w:left="720" w:hanging="720"/>
        <w:rPr>
          <w:noProof/>
        </w:rPr>
      </w:pPr>
      <w:bookmarkStart w:id="499" w:name="_ENREF_59"/>
      <w:r w:rsidRPr="000D2ABD">
        <w:rPr>
          <w:noProof/>
        </w:rPr>
        <w:t xml:space="preserve">Pennisi, G., Sanyé-Mengual, E., Orsini, F., Crepaldi, A., Nicola, S., Ochoa, J., et al. (2019b). Modelling Environmental Burdens of Indoor-Grown Vegetables and Herbs as Affected by Red and Blue LED Lighting. </w:t>
      </w:r>
      <w:r w:rsidRPr="000D2ABD">
        <w:rPr>
          <w:i/>
          <w:noProof/>
        </w:rPr>
        <w:t>Sustainability</w:t>
      </w:r>
      <w:r w:rsidRPr="000D2ABD">
        <w:rPr>
          <w:noProof/>
        </w:rPr>
        <w:t xml:space="preserve"> 11(15). doi: 10.3390/su11154063.</w:t>
      </w:r>
      <w:bookmarkEnd w:id="499"/>
    </w:p>
    <w:p w14:paraId="20DA7F16" w14:textId="77777777" w:rsidR="00126D8D" w:rsidRPr="000D2ABD" w:rsidRDefault="00126D8D" w:rsidP="000958A5">
      <w:pPr>
        <w:pStyle w:val="EndNoteBibliography"/>
        <w:ind w:left="720" w:hanging="720"/>
        <w:rPr>
          <w:noProof/>
        </w:rPr>
      </w:pPr>
      <w:bookmarkStart w:id="500" w:name="_ENREF_60"/>
      <w:r w:rsidRPr="000D2ABD">
        <w:rPr>
          <w:noProof/>
        </w:rPr>
        <w:lastRenderedPageBreak/>
        <w:t xml:space="preserve">Petrovic, J., Stojkovic, D., and Sokovic, M. (2019). Terpene core in selected aromatic and edible plants: Natural health improving agents. </w:t>
      </w:r>
      <w:r w:rsidRPr="000D2ABD">
        <w:rPr>
          <w:i/>
          <w:noProof/>
        </w:rPr>
        <w:t>Adv Food Nutr Res</w:t>
      </w:r>
      <w:r w:rsidRPr="000D2ABD">
        <w:rPr>
          <w:noProof/>
        </w:rPr>
        <w:t xml:space="preserve"> 90</w:t>
      </w:r>
      <w:r w:rsidRPr="000D2ABD">
        <w:rPr>
          <w:b/>
          <w:noProof/>
        </w:rPr>
        <w:t>,</w:t>
      </w:r>
      <w:r w:rsidRPr="000D2ABD">
        <w:rPr>
          <w:noProof/>
        </w:rPr>
        <w:t xml:space="preserve"> 423-451. doi: 10.1016/bs.afnr.2019.02.009.</w:t>
      </w:r>
      <w:bookmarkEnd w:id="500"/>
    </w:p>
    <w:p w14:paraId="794A3220" w14:textId="77777777" w:rsidR="00126D8D" w:rsidRPr="000D2ABD" w:rsidRDefault="00126D8D" w:rsidP="000958A5">
      <w:pPr>
        <w:pStyle w:val="EndNoteBibliography"/>
        <w:ind w:left="720" w:hanging="720"/>
        <w:rPr>
          <w:noProof/>
        </w:rPr>
      </w:pPr>
      <w:bookmarkStart w:id="501" w:name="_ENREF_61"/>
      <w:r w:rsidRPr="000D2ABD">
        <w:rPr>
          <w:noProof/>
        </w:rPr>
        <w:t xml:space="preserve">Piovene, C., Orsini, F., Bosi, S., Sanoubar, R., Bregola, V., Dinelli, G., et al. (2015). Optimal red:blue ratio in led lighting for nutraceutical indoor horticulture. </w:t>
      </w:r>
      <w:r w:rsidRPr="000D2ABD">
        <w:rPr>
          <w:i/>
          <w:noProof/>
        </w:rPr>
        <w:t>Scientia Horticulturae</w:t>
      </w:r>
      <w:r w:rsidRPr="000D2ABD">
        <w:rPr>
          <w:noProof/>
        </w:rPr>
        <w:t xml:space="preserve"> 193</w:t>
      </w:r>
      <w:r w:rsidRPr="000D2ABD">
        <w:rPr>
          <w:b/>
          <w:noProof/>
        </w:rPr>
        <w:t>,</w:t>
      </w:r>
      <w:r w:rsidRPr="000D2ABD">
        <w:rPr>
          <w:noProof/>
        </w:rPr>
        <w:t xml:space="preserve"> 202-208. doi: 10.1016/j.scienta.2015.07.015.</w:t>
      </w:r>
      <w:bookmarkEnd w:id="501"/>
    </w:p>
    <w:p w14:paraId="2E71EC3D" w14:textId="77777777" w:rsidR="00126D8D" w:rsidRPr="000D2ABD" w:rsidRDefault="00126D8D" w:rsidP="000958A5">
      <w:pPr>
        <w:pStyle w:val="EndNoteBibliography"/>
        <w:ind w:left="720" w:hanging="720"/>
        <w:rPr>
          <w:noProof/>
        </w:rPr>
      </w:pPr>
      <w:bookmarkStart w:id="502" w:name="_ENREF_62"/>
      <w:r w:rsidRPr="000D2ABD">
        <w:rPr>
          <w:noProof/>
        </w:rPr>
        <w:t xml:space="preserve">Poiroux-Gonord, F., Bidel, L.P., Fanciullino, A.L., Gautier, H., Lauri-Lopez, F., and Urban, L. (2010). Health benefits of vitamins and secondary metabolites of fruits and vegetables and prospects to increase their concentrations by agronomic approaches. </w:t>
      </w:r>
      <w:r w:rsidRPr="000D2ABD">
        <w:rPr>
          <w:i/>
          <w:noProof/>
        </w:rPr>
        <w:t>J Agric Food Chem</w:t>
      </w:r>
      <w:r w:rsidRPr="000D2ABD">
        <w:rPr>
          <w:noProof/>
        </w:rPr>
        <w:t xml:space="preserve"> 58(23)</w:t>
      </w:r>
      <w:r w:rsidRPr="000D2ABD">
        <w:rPr>
          <w:b/>
          <w:noProof/>
        </w:rPr>
        <w:t>,</w:t>
      </w:r>
      <w:r w:rsidRPr="000D2ABD">
        <w:rPr>
          <w:noProof/>
        </w:rPr>
        <w:t xml:space="preserve"> 12065-12082. doi: 10.1021/jf1037745.</w:t>
      </w:r>
      <w:bookmarkEnd w:id="502"/>
    </w:p>
    <w:p w14:paraId="6380A850" w14:textId="77777777" w:rsidR="00126D8D" w:rsidRPr="000D2ABD" w:rsidRDefault="00126D8D" w:rsidP="000958A5">
      <w:pPr>
        <w:pStyle w:val="EndNoteBibliography"/>
        <w:ind w:left="720" w:hanging="720"/>
        <w:rPr>
          <w:noProof/>
        </w:rPr>
      </w:pPr>
      <w:bookmarkStart w:id="503" w:name="_ENREF_63"/>
      <w:r w:rsidRPr="000D2ABD">
        <w:rPr>
          <w:noProof/>
        </w:rPr>
        <w:t xml:space="preserve">Putievsky, E., and Galambosi, B. (1999). </w:t>
      </w:r>
      <w:r w:rsidRPr="000D2ABD">
        <w:rPr>
          <w:i/>
          <w:noProof/>
        </w:rPr>
        <w:t xml:space="preserve">Production systems of basils. </w:t>
      </w:r>
      <w:r w:rsidRPr="000D2ABD">
        <w:rPr>
          <w:noProof/>
        </w:rPr>
        <w:t>Basil: The Genus Ocimum. Harwood Academic Publishers.</w:t>
      </w:r>
      <w:bookmarkEnd w:id="503"/>
    </w:p>
    <w:p w14:paraId="59C60231" w14:textId="77777777" w:rsidR="00126D8D" w:rsidRPr="000D2ABD" w:rsidRDefault="00126D8D" w:rsidP="000958A5">
      <w:pPr>
        <w:pStyle w:val="EndNoteBibliography"/>
        <w:ind w:left="720" w:hanging="720"/>
        <w:rPr>
          <w:noProof/>
        </w:rPr>
      </w:pPr>
      <w:bookmarkStart w:id="504" w:name="_ENREF_64"/>
      <w:r w:rsidRPr="000D2ABD">
        <w:rPr>
          <w:noProof/>
        </w:rPr>
        <w:t xml:space="preserve">Rao, A.V., and Rao, L.G. (2007). Carotenoids and human health. </w:t>
      </w:r>
      <w:r w:rsidRPr="000D2ABD">
        <w:rPr>
          <w:i/>
          <w:noProof/>
        </w:rPr>
        <w:t>Pharmacol Res</w:t>
      </w:r>
      <w:r w:rsidRPr="000D2ABD">
        <w:rPr>
          <w:noProof/>
        </w:rPr>
        <w:t xml:space="preserve"> 55(3)</w:t>
      </w:r>
      <w:r w:rsidRPr="000D2ABD">
        <w:rPr>
          <w:b/>
          <w:noProof/>
        </w:rPr>
        <w:t>,</w:t>
      </w:r>
      <w:r w:rsidRPr="000D2ABD">
        <w:rPr>
          <w:noProof/>
        </w:rPr>
        <w:t xml:space="preserve"> 207-216. doi: 10.1016/j.phrs.2007.01.012.</w:t>
      </w:r>
      <w:bookmarkEnd w:id="504"/>
    </w:p>
    <w:p w14:paraId="1C4EF8AE" w14:textId="77777777" w:rsidR="00126D8D" w:rsidRPr="000D2ABD" w:rsidRDefault="00126D8D" w:rsidP="000958A5">
      <w:pPr>
        <w:pStyle w:val="EndNoteBibliography"/>
        <w:ind w:left="720" w:hanging="720"/>
        <w:rPr>
          <w:noProof/>
        </w:rPr>
      </w:pPr>
      <w:bookmarkStart w:id="505" w:name="_ENREF_65"/>
      <w:r w:rsidRPr="000D2ABD">
        <w:rPr>
          <w:noProof/>
        </w:rPr>
        <w:t xml:space="preserve">Rockwell, N.C., Su, Y.S., and Lagarias, J.C. (2006). Phytochrome structure and signaling mechanisms. </w:t>
      </w:r>
      <w:r w:rsidRPr="000D2ABD">
        <w:rPr>
          <w:i/>
          <w:noProof/>
        </w:rPr>
        <w:t>Annu Rev Plant Biol</w:t>
      </w:r>
      <w:r w:rsidRPr="000D2ABD">
        <w:rPr>
          <w:noProof/>
        </w:rPr>
        <w:t xml:space="preserve"> 57</w:t>
      </w:r>
      <w:r w:rsidRPr="000D2ABD">
        <w:rPr>
          <w:b/>
          <w:noProof/>
        </w:rPr>
        <w:t>,</w:t>
      </w:r>
      <w:r w:rsidRPr="000D2ABD">
        <w:rPr>
          <w:noProof/>
        </w:rPr>
        <w:t xml:space="preserve"> 837-858. doi: 10.1146/annurev.arplant.56.032604.144208.</w:t>
      </w:r>
      <w:bookmarkEnd w:id="505"/>
    </w:p>
    <w:p w14:paraId="1CA6EDC0" w14:textId="77777777" w:rsidR="00126D8D" w:rsidRPr="000D2ABD" w:rsidRDefault="00126D8D" w:rsidP="000958A5">
      <w:pPr>
        <w:pStyle w:val="EndNoteBibliography"/>
        <w:ind w:left="720" w:hanging="720"/>
        <w:rPr>
          <w:noProof/>
        </w:rPr>
      </w:pPr>
      <w:bookmarkStart w:id="506" w:name="_ENREF_66"/>
      <w:r w:rsidRPr="000D2ABD">
        <w:rPr>
          <w:noProof/>
        </w:rPr>
        <w:t xml:space="preserve">Sakalauskaite, J., Viskelis, P., Dambrauskiene, E., Sakalauskiene, S., Samuoliene, G., Brazaityte, A., et al. (2013). The effects of different UV-B radiation intensities on morphological and biochemical characteristics in Ocimum basilicum L. </w:t>
      </w:r>
      <w:r w:rsidRPr="000D2ABD">
        <w:rPr>
          <w:i/>
          <w:noProof/>
        </w:rPr>
        <w:t>J Sci Food Agric</w:t>
      </w:r>
      <w:r w:rsidRPr="000D2ABD">
        <w:rPr>
          <w:noProof/>
        </w:rPr>
        <w:t xml:space="preserve"> 93(6)</w:t>
      </w:r>
      <w:r w:rsidRPr="000D2ABD">
        <w:rPr>
          <w:b/>
          <w:noProof/>
        </w:rPr>
        <w:t>,</w:t>
      </w:r>
      <w:r w:rsidRPr="000D2ABD">
        <w:rPr>
          <w:noProof/>
        </w:rPr>
        <w:t xml:space="preserve"> 1266-1271. doi: 10.1002/jsfa.5879.</w:t>
      </w:r>
      <w:bookmarkEnd w:id="506"/>
    </w:p>
    <w:p w14:paraId="4AFB9D9D" w14:textId="77777777" w:rsidR="00126D8D" w:rsidRPr="000D2ABD" w:rsidRDefault="00126D8D" w:rsidP="000958A5">
      <w:pPr>
        <w:pStyle w:val="EndNoteBibliography"/>
        <w:ind w:left="720" w:hanging="720"/>
        <w:rPr>
          <w:noProof/>
        </w:rPr>
      </w:pPr>
      <w:bookmarkStart w:id="507" w:name="_ENREF_67"/>
      <w:r w:rsidRPr="000D2ABD">
        <w:rPr>
          <w:noProof/>
        </w:rPr>
        <w:lastRenderedPageBreak/>
        <w:t xml:space="preserve">Santin, M., Ranieri, A., and Castagna, A. (2021). Anything New under the Sun? An Update on Modulation of Bioactive Compounds by Different Wavelengths in Agricultural Plants. </w:t>
      </w:r>
      <w:r w:rsidRPr="000D2ABD">
        <w:rPr>
          <w:i/>
          <w:noProof/>
        </w:rPr>
        <w:t>Plants (Basel)</w:t>
      </w:r>
      <w:r w:rsidRPr="000D2ABD">
        <w:rPr>
          <w:noProof/>
        </w:rPr>
        <w:t xml:space="preserve"> 10(7). doi: 10.3390/plants10071485.</w:t>
      </w:r>
      <w:bookmarkEnd w:id="507"/>
    </w:p>
    <w:p w14:paraId="31DA7916" w14:textId="77777777" w:rsidR="00126D8D" w:rsidRPr="000D2ABD" w:rsidRDefault="00126D8D" w:rsidP="000958A5">
      <w:pPr>
        <w:pStyle w:val="EndNoteBibliography"/>
        <w:ind w:left="720" w:hanging="720"/>
        <w:rPr>
          <w:noProof/>
        </w:rPr>
      </w:pPr>
      <w:bookmarkStart w:id="508" w:name="_ENREF_68"/>
      <w:r w:rsidRPr="000D2ABD">
        <w:rPr>
          <w:noProof/>
        </w:rPr>
        <w:t xml:space="preserve">Schmitt, J., and Wulff, R.D. (1993). Light spectral quality, phytochrome and plant competition. </w:t>
      </w:r>
      <w:r w:rsidRPr="000D2ABD">
        <w:rPr>
          <w:i/>
          <w:noProof/>
        </w:rPr>
        <w:t>Trends Ecol Evol</w:t>
      </w:r>
      <w:r w:rsidRPr="000D2ABD">
        <w:rPr>
          <w:noProof/>
        </w:rPr>
        <w:t xml:space="preserve"> 8(2)</w:t>
      </w:r>
      <w:r w:rsidRPr="000D2ABD">
        <w:rPr>
          <w:b/>
          <w:noProof/>
        </w:rPr>
        <w:t>,</w:t>
      </w:r>
      <w:r w:rsidRPr="000D2ABD">
        <w:rPr>
          <w:noProof/>
        </w:rPr>
        <w:t xml:space="preserve"> 47-51. doi: 10.1016/0169-5347(93)90157-K.</w:t>
      </w:r>
      <w:bookmarkEnd w:id="508"/>
    </w:p>
    <w:p w14:paraId="25640DCC" w14:textId="77777777" w:rsidR="00126D8D" w:rsidRPr="000D2ABD" w:rsidRDefault="00126D8D" w:rsidP="000958A5">
      <w:pPr>
        <w:pStyle w:val="EndNoteBibliography"/>
        <w:ind w:left="720" w:hanging="720"/>
        <w:rPr>
          <w:noProof/>
        </w:rPr>
      </w:pPr>
      <w:bookmarkStart w:id="509" w:name="_ENREF_69"/>
      <w:r w:rsidRPr="000D2ABD">
        <w:rPr>
          <w:noProof/>
        </w:rPr>
        <w:t xml:space="preserve">Sell, C.S. (2019). </w:t>
      </w:r>
      <w:r w:rsidRPr="000D2ABD">
        <w:rPr>
          <w:i/>
          <w:noProof/>
        </w:rPr>
        <w:t>Fundamentals of Fragrance Chemistry.</w:t>
      </w:r>
      <w:r w:rsidRPr="000D2ABD">
        <w:rPr>
          <w:noProof/>
        </w:rPr>
        <w:t xml:space="preserve"> Wiley.</w:t>
      </w:r>
      <w:bookmarkEnd w:id="509"/>
    </w:p>
    <w:p w14:paraId="0A72058F" w14:textId="77777777" w:rsidR="00126D8D" w:rsidRPr="000D2ABD" w:rsidRDefault="00126D8D" w:rsidP="000958A5">
      <w:pPr>
        <w:pStyle w:val="EndNoteBibliography"/>
        <w:ind w:left="720" w:hanging="720"/>
        <w:rPr>
          <w:noProof/>
        </w:rPr>
      </w:pPr>
      <w:bookmarkStart w:id="510" w:name="_ENREF_70"/>
      <w:r w:rsidRPr="000D2ABD">
        <w:rPr>
          <w:noProof/>
        </w:rPr>
        <w:t xml:space="preserve">Shanmugam, K., Gimbun, J., Ranganathan, B., Suganthi, P., Srinivasan, R.P., and Purushothaman, B. (2018). A Comprehensive Review on Ocimum basilicum. </w:t>
      </w:r>
      <w:r w:rsidRPr="000D2ABD">
        <w:rPr>
          <w:i/>
          <w:noProof/>
        </w:rPr>
        <w:t>Journal of Natural Remedies</w:t>
      </w:r>
      <w:r w:rsidRPr="000D2ABD">
        <w:rPr>
          <w:noProof/>
        </w:rPr>
        <w:t xml:space="preserve"> 18(3)</w:t>
      </w:r>
      <w:r w:rsidRPr="000D2ABD">
        <w:rPr>
          <w:b/>
          <w:noProof/>
        </w:rPr>
        <w:t>,</w:t>
      </w:r>
      <w:r w:rsidRPr="000D2ABD">
        <w:rPr>
          <w:noProof/>
        </w:rPr>
        <w:t xml:space="preserve"> 71-85. doi: 10.18311/jnr/2018/21324.</w:t>
      </w:r>
      <w:bookmarkEnd w:id="510"/>
    </w:p>
    <w:p w14:paraId="534BE623" w14:textId="77777777" w:rsidR="00126D8D" w:rsidRPr="000D2ABD" w:rsidRDefault="00126D8D" w:rsidP="000958A5">
      <w:pPr>
        <w:pStyle w:val="EndNoteBibliography"/>
        <w:ind w:left="720" w:hanging="720"/>
        <w:rPr>
          <w:noProof/>
        </w:rPr>
      </w:pPr>
      <w:bookmarkStart w:id="511" w:name="_ENREF_71"/>
      <w:r w:rsidRPr="000D2ABD">
        <w:rPr>
          <w:noProof/>
        </w:rPr>
        <w:t xml:space="preserve">Singh, D., Basu, C., Meinhardt-Wollweber, M., and Roth, B. (2015). LEDs for energy efficient greenhouse lighting. </w:t>
      </w:r>
      <w:r w:rsidRPr="000D2ABD">
        <w:rPr>
          <w:i/>
          <w:noProof/>
        </w:rPr>
        <w:t>Renewable and Sustainable Energy Reviews</w:t>
      </w:r>
      <w:r w:rsidRPr="000D2ABD">
        <w:rPr>
          <w:noProof/>
        </w:rPr>
        <w:t xml:space="preserve"> 49</w:t>
      </w:r>
      <w:r w:rsidRPr="000D2ABD">
        <w:rPr>
          <w:b/>
          <w:noProof/>
        </w:rPr>
        <w:t>,</w:t>
      </w:r>
      <w:r w:rsidRPr="000D2ABD">
        <w:rPr>
          <w:noProof/>
        </w:rPr>
        <w:t xml:space="preserve"> 139-147. doi: 10.1016/j.rser.2015.04.117.</w:t>
      </w:r>
      <w:bookmarkEnd w:id="511"/>
    </w:p>
    <w:p w14:paraId="21C8A67B" w14:textId="77777777" w:rsidR="00126D8D" w:rsidRPr="000D2ABD" w:rsidRDefault="00126D8D" w:rsidP="000958A5">
      <w:pPr>
        <w:pStyle w:val="EndNoteBibliography"/>
        <w:ind w:left="720" w:hanging="720"/>
        <w:rPr>
          <w:noProof/>
        </w:rPr>
      </w:pPr>
      <w:bookmarkStart w:id="512" w:name="_ENREF_72"/>
      <w:r w:rsidRPr="000D2ABD">
        <w:rPr>
          <w:noProof/>
        </w:rPr>
        <w:t>Sipos, L., Balázs, L., Székely, G., Jung, A., Sárosi, S., Radácsi, P., et al. (2021). Optimization of basil (</w:t>
      </w:r>
      <w:r w:rsidRPr="000D2ABD">
        <w:rPr>
          <w:i/>
          <w:noProof/>
        </w:rPr>
        <w:t>Ocimum basilicum</w:t>
      </w:r>
      <w:r w:rsidRPr="000D2ABD">
        <w:rPr>
          <w:noProof/>
        </w:rPr>
        <w:t xml:space="preserve"> L.) production in LED light environments – a review. </w:t>
      </w:r>
      <w:r w:rsidRPr="000D2ABD">
        <w:rPr>
          <w:i/>
          <w:noProof/>
        </w:rPr>
        <w:t>Scientia Horticulturae</w:t>
      </w:r>
      <w:r w:rsidRPr="000D2ABD">
        <w:rPr>
          <w:noProof/>
        </w:rPr>
        <w:t xml:space="preserve"> 289. doi: 10.1016/j.scienta.2021.110486.</w:t>
      </w:r>
      <w:bookmarkEnd w:id="512"/>
    </w:p>
    <w:p w14:paraId="29A78764" w14:textId="77777777" w:rsidR="00126D8D" w:rsidRPr="000D2ABD" w:rsidRDefault="00126D8D" w:rsidP="000958A5">
      <w:pPr>
        <w:pStyle w:val="EndNoteBibliography"/>
        <w:ind w:left="720" w:hanging="720"/>
        <w:rPr>
          <w:noProof/>
        </w:rPr>
      </w:pPr>
      <w:bookmarkStart w:id="513" w:name="_ENREF_73"/>
      <w:r w:rsidRPr="000D2ABD">
        <w:rPr>
          <w:noProof/>
        </w:rPr>
        <w:t xml:space="preserve">Sipos, L., Boros, I.F., Csambalik, L., Székely, G., Jung, A., and Balázs, L. (2020). Horticultural lighting system optimalization: A review. </w:t>
      </w:r>
      <w:r w:rsidRPr="000D2ABD">
        <w:rPr>
          <w:i/>
          <w:noProof/>
        </w:rPr>
        <w:t>Scientia Horticulturae</w:t>
      </w:r>
      <w:r w:rsidRPr="000D2ABD">
        <w:rPr>
          <w:noProof/>
        </w:rPr>
        <w:t xml:space="preserve"> 273. doi: 10.1016/j.scienta.2020.109631.</w:t>
      </w:r>
      <w:bookmarkEnd w:id="513"/>
    </w:p>
    <w:p w14:paraId="1B01BE7A" w14:textId="77777777" w:rsidR="00126D8D" w:rsidRPr="000D2ABD" w:rsidRDefault="00126D8D" w:rsidP="000958A5">
      <w:pPr>
        <w:pStyle w:val="EndNoteBibliography"/>
        <w:ind w:left="720" w:hanging="720"/>
        <w:rPr>
          <w:noProof/>
        </w:rPr>
      </w:pPr>
      <w:bookmarkStart w:id="514" w:name="_ENREF_74"/>
      <w:r w:rsidRPr="000D2ABD">
        <w:rPr>
          <w:noProof/>
        </w:rPr>
        <w:t xml:space="preserve">Smith, H. (1982). Light Quality, Photoperception, and Plant Strategy. </w:t>
      </w:r>
      <w:r w:rsidRPr="000D2ABD">
        <w:rPr>
          <w:i/>
          <w:noProof/>
        </w:rPr>
        <w:t>Annual Review of Plant Physiology</w:t>
      </w:r>
      <w:r w:rsidRPr="000D2ABD">
        <w:rPr>
          <w:noProof/>
        </w:rPr>
        <w:t xml:space="preserve"> 33(1)</w:t>
      </w:r>
      <w:r w:rsidRPr="000D2ABD">
        <w:rPr>
          <w:b/>
          <w:noProof/>
        </w:rPr>
        <w:t>,</w:t>
      </w:r>
      <w:r w:rsidRPr="000D2ABD">
        <w:rPr>
          <w:noProof/>
        </w:rPr>
        <w:t xml:space="preserve"> 481-518. doi: 10.1146/annurev.pp.33.060182.002405.</w:t>
      </w:r>
      <w:bookmarkEnd w:id="514"/>
    </w:p>
    <w:p w14:paraId="2CF51C2C" w14:textId="77777777" w:rsidR="00126D8D" w:rsidRPr="000D2ABD" w:rsidRDefault="00126D8D" w:rsidP="000958A5">
      <w:pPr>
        <w:pStyle w:val="EndNoteBibliography"/>
        <w:ind w:left="720" w:hanging="720"/>
        <w:rPr>
          <w:noProof/>
        </w:rPr>
      </w:pPr>
      <w:bookmarkStart w:id="515" w:name="_ENREF_75"/>
      <w:r w:rsidRPr="000D2ABD">
        <w:rPr>
          <w:noProof/>
        </w:rPr>
        <w:t xml:space="preserve">Stagnari, F., Di Mattia, C., Galieni, A., Santarelli, V., D'Egidio, S., Pagnani, G., et al. (2018). Light quantity and quality supplies sharply affect growth, morphological, physiological and </w:t>
      </w:r>
      <w:r w:rsidRPr="000D2ABD">
        <w:rPr>
          <w:noProof/>
        </w:rPr>
        <w:lastRenderedPageBreak/>
        <w:t xml:space="preserve">quality traits of basil. </w:t>
      </w:r>
      <w:r w:rsidRPr="000D2ABD">
        <w:rPr>
          <w:i/>
          <w:noProof/>
        </w:rPr>
        <w:t>Industrial Crops and Products</w:t>
      </w:r>
      <w:r w:rsidRPr="000D2ABD">
        <w:rPr>
          <w:noProof/>
        </w:rPr>
        <w:t xml:space="preserve"> 122</w:t>
      </w:r>
      <w:r w:rsidRPr="000D2ABD">
        <w:rPr>
          <w:b/>
          <w:noProof/>
        </w:rPr>
        <w:t>,</w:t>
      </w:r>
      <w:r w:rsidRPr="000D2ABD">
        <w:rPr>
          <w:noProof/>
        </w:rPr>
        <w:t xml:space="preserve"> 277-289. doi: 10.1016/j.indcrop.2018.05.073.</w:t>
      </w:r>
      <w:bookmarkEnd w:id="515"/>
    </w:p>
    <w:p w14:paraId="52469342" w14:textId="77777777" w:rsidR="00126D8D" w:rsidRPr="000D2ABD" w:rsidRDefault="00126D8D" w:rsidP="000958A5">
      <w:pPr>
        <w:pStyle w:val="EndNoteBibliography"/>
        <w:ind w:left="720" w:hanging="720"/>
        <w:rPr>
          <w:noProof/>
        </w:rPr>
      </w:pPr>
      <w:bookmarkStart w:id="516" w:name="_ENREF_76"/>
      <w:r w:rsidRPr="000D2ABD">
        <w:rPr>
          <w:noProof/>
        </w:rPr>
        <w:t xml:space="preserve">Taulavuori, E., Taulavuori, K., Hyoky, V., Oksanen, J., and Julkunen-Tiitto, R. (2016a). Speciesspecific differences in synthesis of flavonoids and phenolic acids under increasing periods of enhanced blue light. </w:t>
      </w:r>
      <w:r w:rsidRPr="000D2ABD">
        <w:rPr>
          <w:i/>
          <w:noProof/>
        </w:rPr>
        <w:t>Environ. Exp. Bot</w:t>
      </w:r>
      <w:r w:rsidRPr="000D2ABD">
        <w:rPr>
          <w:noProof/>
        </w:rPr>
        <w:t xml:space="preserve"> 121</w:t>
      </w:r>
      <w:r w:rsidRPr="000D2ABD">
        <w:rPr>
          <w:b/>
          <w:noProof/>
        </w:rPr>
        <w:t>,</w:t>
      </w:r>
      <w:r w:rsidRPr="000D2ABD">
        <w:rPr>
          <w:noProof/>
        </w:rPr>
        <w:t xml:space="preserve"> 145-150.</w:t>
      </w:r>
      <w:bookmarkEnd w:id="516"/>
    </w:p>
    <w:p w14:paraId="788C2B8E" w14:textId="77777777" w:rsidR="00126D8D" w:rsidRPr="000D2ABD" w:rsidRDefault="00126D8D" w:rsidP="000958A5">
      <w:pPr>
        <w:pStyle w:val="EndNoteBibliography"/>
        <w:ind w:left="720" w:hanging="720"/>
        <w:rPr>
          <w:noProof/>
        </w:rPr>
      </w:pPr>
      <w:bookmarkStart w:id="517" w:name="_ENREF_77"/>
      <w:r w:rsidRPr="000D2ABD">
        <w:rPr>
          <w:noProof/>
        </w:rPr>
        <w:t xml:space="preserve">Taulavuori, K., Hyöky, V., Oksanen, J., Taulavuori, E., and Julkunen-Tiitto, R. (2016b). Species-specific differences in synthesis of flavonoids and phenolic acids under increased periods of enhanced blue light. </w:t>
      </w:r>
      <w:r w:rsidRPr="000D2ABD">
        <w:rPr>
          <w:i/>
          <w:noProof/>
        </w:rPr>
        <w:t>Environ. Exp. Bot</w:t>
      </w:r>
      <w:r w:rsidRPr="000D2ABD">
        <w:rPr>
          <w:noProof/>
        </w:rPr>
        <w:t xml:space="preserve"> 121</w:t>
      </w:r>
      <w:r w:rsidRPr="000D2ABD">
        <w:rPr>
          <w:b/>
          <w:noProof/>
        </w:rPr>
        <w:t>,</w:t>
      </w:r>
      <w:r w:rsidRPr="000D2ABD">
        <w:rPr>
          <w:noProof/>
        </w:rPr>
        <w:t xml:space="preserve"> 145 150.</w:t>
      </w:r>
      <w:bookmarkEnd w:id="517"/>
    </w:p>
    <w:p w14:paraId="346FEBF6" w14:textId="77777777" w:rsidR="00126D8D" w:rsidRPr="000D2ABD" w:rsidRDefault="00126D8D" w:rsidP="000958A5">
      <w:pPr>
        <w:pStyle w:val="EndNoteBibliography"/>
        <w:ind w:left="720" w:hanging="720"/>
        <w:rPr>
          <w:noProof/>
        </w:rPr>
      </w:pPr>
      <w:bookmarkStart w:id="518" w:name="_ENREF_78"/>
      <w:r w:rsidRPr="000D2ABD">
        <w:rPr>
          <w:noProof/>
        </w:rPr>
        <w:t xml:space="preserve">Thoma, F., Somborn-Schulz, A., Schlehuber, D., Keuter, V., and Deerberg, G. (2020). Effects of Light on Secondary Metabolites in Selected Leafy Greens: A Review. </w:t>
      </w:r>
      <w:r w:rsidRPr="000D2ABD">
        <w:rPr>
          <w:i/>
          <w:noProof/>
        </w:rPr>
        <w:t>Front Plant Sci</w:t>
      </w:r>
      <w:r w:rsidRPr="000D2ABD">
        <w:rPr>
          <w:noProof/>
        </w:rPr>
        <w:t xml:space="preserve"> 11</w:t>
      </w:r>
      <w:r w:rsidRPr="000D2ABD">
        <w:rPr>
          <w:b/>
          <w:noProof/>
        </w:rPr>
        <w:t>,</w:t>
      </w:r>
      <w:r w:rsidRPr="000D2ABD">
        <w:rPr>
          <w:noProof/>
        </w:rPr>
        <w:t xml:space="preserve"> 497. doi: 10.3389/fpls.2020.00497.</w:t>
      </w:r>
      <w:bookmarkEnd w:id="518"/>
    </w:p>
    <w:p w14:paraId="44BBFC22" w14:textId="77777777" w:rsidR="00126D8D" w:rsidRPr="000D2ABD" w:rsidRDefault="00126D8D" w:rsidP="000958A5">
      <w:pPr>
        <w:pStyle w:val="EndNoteBibliography"/>
        <w:ind w:left="720" w:hanging="720"/>
        <w:rPr>
          <w:noProof/>
        </w:rPr>
      </w:pPr>
      <w:bookmarkStart w:id="519" w:name="_ENREF_79"/>
      <w:r w:rsidRPr="000D2ABD">
        <w:rPr>
          <w:noProof/>
        </w:rPr>
        <w:t xml:space="preserve">Thorne, H.C., Jones, K.H., Peters, S.P., Archer, S.N., and Dijk, D.J. (2009). Daily and seasonal variation in the spectral composition of light exposure in humans. </w:t>
      </w:r>
      <w:r w:rsidRPr="000D2ABD">
        <w:rPr>
          <w:i/>
          <w:noProof/>
        </w:rPr>
        <w:t>Chronobiol Int</w:t>
      </w:r>
      <w:r w:rsidRPr="000D2ABD">
        <w:rPr>
          <w:noProof/>
        </w:rPr>
        <w:t xml:space="preserve"> 26(5)</w:t>
      </w:r>
      <w:r w:rsidRPr="000D2ABD">
        <w:rPr>
          <w:b/>
          <w:noProof/>
        </w:rPr>
        <w:t>,</w:t>
      </w:r>
      <w:r w:rsidRPr="000D2ABD">
        <w:rPr>
          <w:noProof/>
        </w:rPr>
        <w:t xml:space="preserve"> 854-866. doi: 10.1080/07420520903044315.</w:t>
      </w:r>
      <w:bookmarkEnd w:id="519"/>
    </w:p>
    <w:p w14:paraId="7AC46DEE" w14:textId="77777777" w:rsidR="00126D8D" w:rsidRPr="000D2ABD" w:rsidRDefault="00126D8D" w:rsidP="000958A5">
      <w:pPr>
        <w:pStyle w:val="EndNoteBibliography"/>
        <w:ind w:left="720" w:hanging="720"/>
        <w:rPr>
          <w:noProof/>
        </w:rPr>
      </w:pPr>
      <w:bookmarkStart w:id="520" w:name="_ENREF_80"/>
      <w:r w:rsidRPr="000D2ABD">
        <w:rPr>
          <w:noProof/>
        </w:rPr>
        <w:t xml:space="preserve">Toscano, S., Cavallaro, V., Ferrante, A., Romano, D., and Patane, C. (2021). Effects of Different Light Spectra on Final Biomass Production and Nutritional Quality of Two Microgreens. </w:t>
      </w:r>
      <w:r w:rsidRPr="000D2ABD">
        <w:rPr>
          <w:i/>
          <w:noProof/>
        </w:rPr>
        <w:t>Plants (Basel)</w:t>
      </w:r>
      <w:r w:rsidRPr="000D2ABD">
        <w:rPr>
          <w:noProof/>
        </w:rPr>
        <w:t xml:space="preserve"> 10(8). doi: 10.3390/plants10081584.</w:t>
      </w:r>
      <w:bookmarkEnd w:id="520"/>
    </w:p>
    <w:p w14:paraId="5CBA2B89" w14:textId="77777777" w:rsidR="00126D8D" w:rsidRPr="000D2ABD" w:rsidRDefault="00126D8D" w:rsidP="000958A5">
      <w:pPr>
        <w:pStyle w:val="EndNoteBibliography"/>
        <w:ind w:left="720" w:hanging="720"/>
        <w:rPr>
          <w:noProof/>
        </w:rPr>
      </w:pPr>
      <w:bookmarkStart w:id="521" w:name="_ENREF_81"/>
      <w:r w:rsidRPr="000D2ABD">
        <w:rPr>
          <w:noProof/>
        </w:rPr>
        <w:t xml:space="preserve">Ueda, T., Murata, M., and Yokawa, K. (2021). Single Wavelengths of LED Light Supplement Promote the Biosynthesis of Major Cyclic Monoterpenes in Japanese Mint. </w:t>
      </w:r>
      <w:r w:rsidRPr="000D2ABD">
        <w:rPr>
          <w:i/>
          <w:noProof/>
        </w:rPr>
        <w:t>Plants (Basel)</w:t>
      </w:r>
      <w:r w:rsidRPr="000D2ABD">
        <w:rPr>
          <w:noProof/>
        </w:rPr>
        <w:t xml:space="preserve"> 10(7). doi: 10.3390/plants10071420.</w:t>
      </w:r>
      <w:bookmarkEnd w:id="521"/>
    </w:p>
    <w:p w14:paraId="6D250C25" w14:textId="77777777" w:rsidR="00126D8D" w:rsidRPr="000D2ABD" w:rsidRDefault="00126D8D" w:rsidP="000958A5">
      <w:pPr>
        <w:pStyle w:val="EndNoteBibliography"/>
        <w:ind w:left="720" w:hanging="720"/>
        <w:rPr>
          <w:noProof/>
        </w:rPr>
      </w:pPr>
      <w:bookmarkStart w:id="522" w:name="_ENREF_82"/>
      <w:r w:rsidRPr="000D2ABD">
        <w:rPr>
          <w:noProof/>
        </w:rPr>
        <w:t xml:space="preserve">Vranova, E., Coman, D., and Gruissem, W. (2012). Structure and dynamics of the isoprenoid pathway network. </w:t>
      </w:r>
      <w:r w:rsidRPr="000D2ABD">
        <w:rPr>
          <w:i/>
          <w:noProof/>
        </w:rPr>
        <w:t>Mol Plant</w:t>
      </w:r>
      <w:r w:rsidRPr="000D2ABD">
        <w:rPr>
          <w:noProof/>
        </w:rPr>
        <w:t xml:space="preserve"> 5(2)</w:t>
      </w:r>
      <w:r w:rsidRPr="000D2ABD">
        <w:rPr>
          <w:b/>
          <w:noProof/>
        </w:rPr>
        <w:t>,</w:t>
      </w:r>
      <w:r w:rsidRPr="000D2ABD">
        <w:rPr>
          <w:noProof/>
        </w:rPr>
        <w:t xml:space="preserve"> 318-333. doi: 10.1093/mp/sss015.</w:t>
      </w:r>
      <w:bookmarkEnd w:id="522"/>
    </w:p>
    <w:p w14:paraId="2CDC5DE0" w14:textId="6EB75890" w:rsidR="00126D8D" w:rsidRDefault="00126D8D" w:rsidP="00A37527">
      <w:pPr>
        <w:pStyle w:val="EndNoteBibliography"/>
        <w:ind w:left="720" w:hanging="720"/>
        <w:rPr>
          <w:noProof/>
        </w:rPr>
      </w:pPr>
      <w:bookmarkStart w:id="523" w:name="_ENREF_83"/>
      <w:r w:rsidRPr="000D2ABD">
        <w:rPr>
          <w:noProof/>
        </w:rPr>
        <w:lastRenderedPageBreak/>
        <w:t xml:space="preserve">Zhen, S., and Bugbee, B. (2020). Far-red photons have equivalent efficiency to traditional photosynthetic photons: Implications for redefining photosynthetically active radiation. </w:t>
      </w:r>
      <w:r w:rsidRPr="000D2ABD">
        <w:rPr>
          <w:i/>
          <w:noProof/>
        </w:rPr>
        <w:t>Plant Cell Environ</w:t>
      </w:r>
      <w:r w:rsidRPr="000D2ABD">
        <w:rPr>
          <w:noProof/>
        </w:rPr>
        <w:t xml:space="preserve"> 43(5)</w:t>
      </w:r>
      <w:r w:rsidRPr="000D2ABD">
        <w:rPr>
          <w:b/>
          <w:noProof/>
        </w:rPr>
        <w:t>,</w:t>
      </w:r>
      <w:r w:rsidRPr="000D2ABD">
        <w:rPr>
          <w:noProof/>
        </w:rPr>
        <w:t xml:space="preserve"> 1259-1272. doi: 10.1111/pce.13730.</w:t>
      </w:r>
      <w:bookmarkEnd w:id="523"/>
    </w:p>
    <w:p w14:paraId="0866CECB" w14:textId="77777777" w:rsidR="00A37527" w:rsidRPr="00A37527" w:rsidRDefault="00A37527" w:rsidP="00A37527">
      <w:pPr>
        <w:pStyle w:val="EndNoteBibliography"/>
        <w:ind w:left="720" w:hanging="720"/>
        <w:rPr>
          <w:noProof/>
        </w:rPr>
      </w:pPr>
    </w:p>
    <w:p w14:paraId="2F34C377" w14:textId="77777777" w:rsidR="00EF6679" w:rsidRDefault="00EF6679">
      <w:pPr>
        <w:spacing w:line="240" w:lineRule="auto"/>
        <w:rPr>
          <w:rFonts w:cs="Times New Roman"/>
          <w:b/>
          <w:sz w:val="28"/>
        </w:rPr>
      </w:pPr>
      <w:bookmarkStart w:id="524" w:name="_Toc139574818"/>
      <w:r>
        <w:br w:type="page"/>
      </w:r>
    </w:p>
    <w:p w14:paraId="1D0A20E3" w14:textId="177CF0F6" w:rsidR="00126D8D" w:rsidRPr="00A9290A" w:rsidRDefault="00126D8D" w:rsidP="00A9290A">
      <w:pPr>
        <w:pStyle w:val="MastersThesisMainTitle"/>
      </w:pPr>
      <w:bookmarkStart w:id="525" w:name="_Toc141478688"/>
      <w:r w:rsidRPr="00A9290A">
        <w:lastRenderedPageBreak/>
        <w:t xml:space="preserve">Appendix </w:t>
      </w:r>
      <w:r>
        <w:t>C</w:t>
      </w:r>
      <w:bookmarkEnd w:id="524"/>
      <w:bookmarkEnd w:id="525"/>
    </w:p>
    <w:p w14:paraId="289C5505" w14:textId="2E308C23" w:rsidR="00126D8D" w:rsidRPr="00747A19" w:rsidRDefault="00126D8D" w:rsidP="000958A5">
      <w:pPr>
        <w:pStyle w:val="TableTOC"/>
        <w:jc w:val="both"/>
        <w:rPr>
          <w:rFonts w:cs="Times New Roman"/>
          <w:color w:val="000000" w:themeColor="text1"/>
        </w:rPr>
      </w:pPr>
      <w:bookmarkStart w:id="526" w:name="_Toc501658998"/>
      <w:bookmarkStart w:id="527" w:name="_Toc141478774"/>
      <w:bookmarkStart w:id="528" w:name="_Toc501658996"/>
      <w:r w:rsidRPr="00747A19">
        <w:rPr>
          <w:rFonts w:cs="Times New Roman"/>
          <w:b/>
          <w:color w:val="000000" w:themeColor="text1"/>
        </w:rPr>
        <w:t xml:space="preserve">Table </w:t>
      </w:r>
      <w:r>
        <w:rPr>
          <w:rFonts w:cs="Times New Roman"/>
          <w:b/>
          <w:color w:val="000000" w:themeColor="text1"/>
        </w:rPr>
        <w:t>3.</w:t>
      </w:r>
      <w:r w:rsidRPr="00747A19">
        <w:rPr>
          <w:rFonts w:cs="Times New Roman"/>
          <w:b/>
          <w:color w:val="000000" w:themeColor="text1"/>
        </w:rPr>
        <w:t xml:space="preserve">1. </w:t>
      </w:r>
      <w:bookmarkEnd w:id="526"/>
      <w:r w:rsidRPr="00747A19">
        <w:rPr>
          <w:rFonts w:cs="Times New Roman"/>
        </w:rPr>
        <w:t>Important environmental parameters across growing cycles. All crops grown under greenhouse conditions at The University of Tennessee Institute of Agriculture (UTIA) in Knoxville, TN, USA (35°56'44.5"N, 83°56'17.3"W).</w:t>
      </w:r>
      <w:bookmarkEnd w:id="527"/>
      <w:r w:rsidR="00CD55F9">
        <w:rPr>
          <w:rFonts w:cs="Times New Roman"/>
        </w:rPr>
        <w:t xml:space="preserve"> </w:t>
      </w:r>
    </w:p>
    <w:p w14:paraId="10766F45" w14:textId="77777777" w:rsidR="00126D8D" w:rsidRPr="00747A19" w:rsidRDefault="00126D8D" w:rsidP="000958A5">
      <w:pPr>
        <w:spacing w:line="240" w:lineRule="auto"/>
        <w:rPr>
          <w:rFonts w:cs="Times New Roman"/>
          <w:color w:val="000000" w:themeColor="text1"/>
          <w:sz w:val="20"/>
          <w:szCs w:val="20"/>
        </w:rPr>
      </w:pPr>
    </w:p>
    <w:tbl>
      <w:tblPr>
        <w:tblW w:w="9705" w:type="dxa"/>
        <w:tblBorders>
          <w:top w:val="single" w:sz="12" w:space="0" w:color="FFFFFF" w:themeColor="background1"/>
          <w:left w:val="single" w:sz="12" w:space="0" w:color="FFFFFF" w:themeColor="background1"/>
          <w:bottom w:val="single" w:sz="12" w:space="0" w:color="FFFFFF" w:themeColor="background1"/>
          <w:right w:val="single" w:sz="12" w:space="0" w:color="FFFFFF" w:themeColor="background1"/>
          <w:insideH w:val="single" w:sz="12" w:space="0" w:color="FFFFFF" w:themeColor="background1"/>
          <w:insideV w:val="single" w:sz="12" w:space="0" w:color="FFFFFF" w:themeColor="background1"/>
        </w:tblBorders>
        <w:tblLayout w:type="fixed"/>
        <w:tblLook w:val="04A0" w:firstRow="1" w:lastRow="0" w:firstColumn="1" w:lastColumn="0" w:noHBand="0" w:noVBand="1"/>
      </w:tblPr>
      <w:tblGrid>
        <w:gridCol w:w="2505"/>
        <w:gridCol w:w="1800"/>
        <w:gridCol w:w="1890"/>
        <w:gridCol w:w="1980"/>
        <w:gridCol w:w="1530"/>
      </w:tblGrid>
      <w:tr w:rsidR="00126D8D" w:rsidRPr="00747A19" w14:paraId="10036B2D" w14:textId="77777777" w:rsidTr="00820288">
        <w:trPr>
          <w:trHeight w:val="323"/>
        </w:trPr>
        <w:tc>
          <w:tcPr>
            <w:tcW w:w="2505" w:type="dxa"/>
            <w:tcBorders>
              <w:top w:val="single" w:sz="4" w:space="0" w:color="auto"/>
              <w:bottom w:val="single" w:sz="4" w:space="0" w:color="auto"/>
            </w:tcBorders>
            <w:noWrap/>
            <w:vAlign w:val="center"/>
            <w:hideMark/>
          </w:tcPr>
          <w:p w14:paraId="2A97645D" w14:textId="77777777" w:rsidR="00126D8D" w:rsidRPr="00747A19" w:rsidRDefault="00126D8D" w:rsidP="00820288">
            <w:pPr>
              <w:spacing w:line="240" w:lineRule="auto"/>
              <w:jc w:val="center"/>
              <w:rPr>
                <w:rFonts w:cs="Times New Roman"/>
                <w:color w:val="000000" w:themeColor="text1"/>
                <w:sz w:val="20"/>
                <w:szCs w:val="20"/>
              </w:rPr>
            </w:pPr>
          </w:p>
        </w:tc>
        <w:tc>
          <w:tcPr>
            <w:tcW w:w="1800" w:type="dxa"/>
            <w:tcBorders>
              <w:top w:val="single" w:sz="4" w:space="0" w:color="auto"/>
              <w:bottom w:val="single" w:sz="4" w:space="0" w:color="auto"/>
            </w:tcBorders>
            <w:noWrap/>
            <w:vAlign w:val="center"/>
            <w:hideMark/>
          </w:tcPr>
          <w:p w14:paraId="0CF20367" w14:textId="77777777" w:rsidR="00126D8D" w:rsidRPr="00747A19" w:rsidRDefault="00126D8D" w:rsidP="00820288">
            <w:pPr>
              <w:spacing w:line="240" w:lineRule="auto"/>
              <w:jc w:val="center"/>
              <w:rPr>
                <w:rFonts w:cs="Times New Roman"/>
                <w:b/>
                <w:bCs/>
                <w:color w:val="000000" w:themeColor="text1"/>
                <w:sz w:val="20"/>
                <w:szCs w:val="20"/>
              </w:rPr>
            </w:pPr>
            <w:r w:rsidRPr="00747A19">
              <w:rPr>
                <w:rFonts w:cs="Times New Roman"/>
                <w:b/>
                <w:bCs/>
                <w:color w:val="000000" w:themeColor="text1"/>
                <w:sz w:val="20"/>
                <w:szCs w:val="20"/>
              </w:rPr>
              <w:t>“January”</w:t>
            </w:r>
          </w:p>
        </w:tc>
        <w:tc>
          <w:tcPr>
            <w:tcW w:w="1890" w:type="dxa"/>
            <w:tcBorders>
              <w:top w:val="single" w:sz="4" w:space="0" w:color="auto"/>
              <w:bottom w:val="single" w:sz="4" w:space="0" w:color="auto"/>
            </w:tcBorders>
            <w:noWrap/>
            <w:vAlign w:val="center"/>
            <w:hideMark/>
          </w:tcPr>
          <w:p w14:paraId="3B794210" w14:textId="77777777" w:rsidR="00126D8D" w:rsidRPr="00747A19" w:rsidRDefault="00126D8D" w:rsidP="00820288">
            <w:pPr>
              <w:spacing w:line="240" w:lineRule="auto"/>
              <w:jc w:val="center"/>
              <w:rPr>
                <w:rFonts w:cs="Times New Roman"/>
                <w:b/>
                <w:bCs/>
                <w:color w:val="000000" w:themeColor="text1"/>
                <w:sz w:val="20"/>
                <w:szCs w:val="20"/>
              </w:rPr>
            </w:pPr>
            <w:r w:rsidRPr="00747A19">
              <w:rPr>
                <w:rFonts w:cs="Times New Roman"/>
                <w:b/>
                <w:bCs/>
                <w:color w:val="000000" w:themeColor="text1"/>
                <w:sz w:val="20"/>
                <w:szCs w:val="20"/>
              </w:rPr>
              <w:t>“April”</w:t>
            </w:r>
          </w:p>
        </w:tc>
        <w:tc>
          <w:tcPr>
            <w:tcW w:w="1980" w:type="dxa"/>
            <w:tcBorders>
              <w:top w:val="single" w:sz="4" w:space="0" w:color="auto"/>
              <w:bottom w:val="single" w:sz="4" w:space="0" w:color="auto"/>
            </w:tcBorders>
            <w:noWrap/>
            <w:vAlign w:val="center"/>
            <w:hideMark/>
          </w:tcPr>
          <w:p w14:paraId="35E829C5" w14:textId="77777777" w:rsidR="00126D8D" w:rsidRPr="00747A19" w:rsidRDefault="00126D8D" w:rsidP="00820288">
            <w:pPr>
              <w:spacing w:line="240" w:lineRule="auto"/>
              <w:jc w:val="center"/>
              <w:rPr>
                <w:rFonts w:cs="Times New Roman"/>
                <w:b/>
                <w:bCs/>
                <w:color w:val="000000" w:themeColor="text1"/>
                <w:sz w:val="20"/>
                <w:szCs w:val="20"/>
              </w:rPr>
            </w:pPr>
            <w:r w:rsidRPr="00747A19">
              <w:rPr>
                <w:rFonts w:cs="Times New Roman"/>
                <w:b/>
                <w:bCs/>
                <w:color w:val="000000" w:themeColor="text1"/>
                <w:sz w:val="20"/>
                <w:szCs w:val="20"/>
              </w:rPr>
              <w:t>“June”</w:t>
            </w:r>
          </w:p>
        </w:tc>
        <w:tc>
          <w:tcPr>
            <w:tcW w:w="1530" w:type="dxa"/>
            <w:tcBorders>
              <w:top w:val="single" w:sz="4" w:space="0" w:color="auto"/>
              <w:bottom w:val="single" w:sz="4" w:space="0" w:color="auto"/>
            </w:tcBorders>
            <w:noWrap/>
            <w:vAlign w:val="center"/>
            <w:hideMark/>
          </w:tcPr>
          <w:p w14:paraId="269728C2" w14:textId="77777777" w:rsidR="00126D8D" w:rsidRPr="00747A19" w:rsidRDefault="00126D8D" w:rsidP="00820288">
            <w:pPr>
              <w:spacing w:line="240" w:lineRule="auto"/>
              <w:jc w:val="center"/>
              <w:rPr>
                <w:rFonts w:cs="Times New Roman"/>
                <w:b/>
                <w:bCs/>
                <w:color w:val="000000" w:themeColor="text1"/>
                <w:sz w:val="20"/>
                <w:szCs w:val="20"/>
              </w:rPr>
            </w:pPr>
            <w:r w:rsidRPr="00747A19">
              <w:rPr>
                <w:rFonts w:cs="Times New Roman"/>
                <w:b/>
                <w:bCs/>
                <w:color w:val="000000" w:themeColor="text1"/>
                <w:sz w:val="20"/>
                <w:szCs w:val="20"/>
              </w:rPr>
              <w:t>“September”</w:t>
            </w:r>
          </w:p>
        </w:tc>
      </w:tr>
      <w:tr w:rsidR="00126D8D" w:rsidRPr="00747A19" w14:paraId="602EB141" w14:textId="77777777" w:rsidTr="00820288">
        <w:trPr>
          <w:trHeight w:val="323"/>
        </w:trPr>
        <w:tc>
          <w:tcPr>
            <w:tcW w:w="2505" w:type="dxa"/>
            <w:tcBorders>
              <w:top w:val="single" w:sz="4" w:space="0" w:color="auto"/>
            </w:tcBorders>
            <w:noWrap/>
            <w:vAlign w:val="center"/>
            <w:hideMark/>
          </w:tcPr>
          <w:p w14:paraId="6E3368DF" w14:textId="77777777" w:rsidR="00126D8D" w:rsidRPr="00747A19" w:rsidRDefault="00126D8D" w:rsidP="00820288">
            <w:pPr>
              <w:spacing w:line="240" w:lineRule="auto"/>
              <w:jc w:val="center"/>
              <w:rPr>
                <w:rFonts w:cs="Times New Roman"/>
                <w:b/>
                <w:bCs/>
                <w:color w:val="000000" w:themeColor="text1"/>
                <w:sz w:val="18"/>
                <w:szCs w:val="18"/>
              </w:rPr>
            </w:pPr>
            <w:r w:rsidRPr="00747A19">
              <w:rPr>
                <w:rFonts w:cs="Times New Roman"/>
                <w:b/>
                <w:bCs/>
                <w:color w:val="000000" w:themeColor="text1"/>
                <w:sz w:val="18"/>
                <w:szCs w:val="18"/>
              </w:rPr>
              <w:t>Growing Period</w:t>
            </w:r>
          </w:p>
        </w:tc>
        <w:tc>
          <w:tcPr>
            <w:tcW w:w="1800" w:type="dxa"/>
            <w:tcBorders>
              <w:top w:val="single" w:sz="4" w:space="0" w:color="auto"/>
            </w:tcBorders>
            <w:noWrap/>
            <w:vAlign w:val="center"/>
            <w:hideMark/>
          </w:tcPr>
          <w:p w14:paraId="454B36D0" w14:textId="77777777" w:rsidR="00126D8D" w:rsidRPr="00747A19" w:rsidRDefault="00126D8D" w:rsidP="00820288">
            <w:pPr>
              <w:spacing w:line="240" w:lineRule="auto"/>
              <w:jc w:val="center"/>
              <w:rPr>
                <w:rFonts w:cs="Times New Roman"/>
                <w:color w:val="000000" w:themeColor="text1"/>
                <w:sz w:val="20"/>
                <w:szCs w:val="20"/>
              </w:rPr>
            </w:pPr>
            <w:r w:rsidRPr="00747A19">
              <w:rPr>
                <w:rFonts w:cs="Times New Roman"/>
                <w:color w:val="000000" w:themeColor="text1"/>
                <w:sz w:val="20"/>
                <w:szCs w:val="20"/>
              </w:rPr>
              <w:t>1/7/19-2/18/19</w:t>
            </w:r>
          </w:p>
        </w:tc>
        <w:tc>
          <w:tcPr>
            <w:tcW w:w="1890" w:type="dxa"/>
            <w:tcBorders>
              <w:top w:val="single" w:sz="4" w:space="0" w:color="auto"/>
            </w:tcBorders>
            <w:noWrap/>
            <w:vAlign w:val="center"/>
            <w:hideMark/>
          </w:tcPr>
          <w:p w14:paraId="71829084" w14:textId="77777777" w:rsidR="00126D8D" w:rsidRPr="00747A19" w:rsidRDefault="00126D8D" w:rsidP="00820288">
            <w:pPr>
              <w:spacing w:line="240" w:lineRule="auto"/>
              <w:jc w:val="center"/>
              <w:rPr>
                <w:rFonts w:cs="Times New Roman"/>
                <w:color w:val="000000" w:themeColor="text1"/>
                <w:sz w:val="20"/>
                <w:szCs w:val="20"/>
              </w:rPr>
            </w:pPr>
            <w:r w:rsidRPr="00747A19">
              <w:rPr>
                <w:rFonts w:cs="Times New Roman"/>
                <w:color w:val="000000" w:themeColor="text1"/>
                <w:sz w:val="20"/>
                <w:szCs w:val="20"/>
              </w:rPr>
              <w:t>3/25/19-5/08/19</w:t>
            </w:r>
          </w:p>
        </w:tc>
        <w:tc>
          <w:tcPr>
            <w:tcW w:w="1980" w:type="dxa"/>
            <w:tcBorders>
              <w:top w:val="single" w:sz="4" w:space="0" w:color="auto"/>
            </w:tcBorders>
            <w:noWrap/>
            <w:vAlign w:val="center"/>
            <w:hideMark/>
          </w:tcPr>
          <w:p w14:paraId="38EF18AE" w14:textId="77777777" w:rsidR="00126D8D" w:rsidRPr="00747A19" w:rsidRDefault="00126D8D" w:rsidP="00820288">
            <w:pPr>
              <w:spacing w:line="240" w:lineRule="auto"/>
              <w:jc w:val="center"/>
              <w:rPr>
                <w:rFonts w:cs="Times New Roman"/>
                <w:color w:val="000000" w:themeColor="text1"/>
                <w:sz w:val="20"/>
                <w:szCs w:val="20"/>
              </w:rPr>
            </w:pPr>
            <w:r w:rsidRPr="00747A19">
              <w:rPr>
                <w:rFonts w:cs="Times New Roman"/>
                <w:color w:val="000000" w:themeColor="text1"/>
                <w:sz w:val="20"/>
                <w:szCs w:val="20"/>
              </w:rPr>
              <w:t>5/15/19-7/02/19</w:t>
            </w:r>
          </w:p>
        </w:tc>
        <w:tc>
          <w:tcPr>
            <w:tcW w:w="1530" w:type="dxa"/>
            <w:tcBorders>
              <w:top w:val="single" w:sz="4" w:space="0" w:color="auto"/>
            </w:tcBorders>
            <w:noWrap/>
            <w:vAlign w:val="center"/>
            <w:hideMark/>
          </w:tcPr>
          <w:p w14:paraId="4792A773" w14:textId="77777777" w:rsidR="00126D8D" w:rsidRPr="00747A19" w:rsidRDefault="00126D8D" w:rsidP="00820288">
            <w:pPr>
              <w:spacing w:line="240" w:lineRule="auto"/>
              <w:jc w:val="center"/>
              <w:rPr>
                <w:rFonts w:cs="Times New Roman"/>
                <w:color w:val="000000" w:themeColor="text1"/>
                <w:sz w:val="20"/>
                <w:szCs w:val="20"/>
              </w:rPr>
            </w:pPr>
            <w:r w:rsidRPr="00747A19">
              <w:rPr>
                <w:rFonts w:cs="Times New Roman"/>
                <w:color w:val="000000" w:themeColor="text1"/>
                <w:sz w:val="20"/>
                <w:szCs w:val="20"/>
              </w:rPr>
              <w:t>9/3/19-10/14/19</w:t>
            </w:r>
          </w:p>
        </w:tc>
      </w:tr>
      <w:tr w:rsidR="00126D8D" w:rsidRPr="00747A19" w14:paraId="775C5802" w14:textId="77777777" w:rsidTr="00820288">
        <w:trPr>
          <w:trHeight w:val="350"/>
        </w:trPr>
        <w:tc>
          <w:tcPr>
            <w:tcW w:w="2505" w:type="dxa"/>
            <w:noWrap/>
            <w:vAlign w:val="center"/>
            <w:hideMark/>
          </w:tcPr>
          <w:p w14:paraId="7A52F994" w14:textId="77777777" w:rsidR="00126D8D" w:rsidRPr="00747A19" w:rsidRDefault="00126D8D" w:rsidP="00820288">
            <w:pPr>
              <w:spacing w:line="240" w:lineRule="auto"/>
              <w:jc w:val="center"/>
              <w:rPr>
                <w:rFonts w:cs="Times New Roman"/>
                <w:b/>
                <w:bCs/>
                <w:color w:val="000000" w:themeColor="text1"/>
                <w:sz w:val="18"/>
                <w:szCs w:val="18"/>
              </w:rPr>
            </w:pPr>
            <w:r w:rsidRPr="00747A19">
              <w:rPr>
                <w:rFonts w:cs="Times New Roman"/>
                <w:b/>
                <w:bCs/>
                <w:color w:val="000000" w:themeColor="text1"/>
                <w:sz w:val="18"/>
                <w:szCs w:val="18"/>
              </w:rPr>
              <w:t>Average Day Temp (°C)</w:t>
            </w:r>
          </w:p>
        </w:tc>
        <w:tc>
          <w:tcPr>
            <w:tcW w:w="1800" w:type="dxa"/>
            <w:noWrap/>
            <w:vAlign w:val="center"/>
            <w:hideMark/>
          </w:tcPr>
          <w:p w14:paraId="5C3DA357" w14:textId="77777777" w:rsidR="00126D8D" w:rsidRPr="00747A19" w:rsidRDefault="00126D8D" w:rsidP="00820288">
            <w:pPr>
              <w:spacing w:line="240" w:lineRule="auto"/>
              <w:jc w:val="center"/>
              <w:rPr>
                <w:rFonts w:cs="Times New Roman"/>
                <w:color w:val="000000" w:themeColor="text1"/>
                <w:sz w:val="20"/>
                <w:szCs w:val="20"/>
              </w:rPr>
            </w:pPr>
            <w:r w:rsidRPr="00747A19">
              <w:rPr>
                <w:rFonts w:cs="Times New Roman"/>
                <w:color w:val="000000" w:themeColor="text1"/>
                <w:sz w:val="20"/>
                <w:szCs w:val="20"/>
              </w:rPr>
              <w:t>27.8</w:t>
            </w:r>
          </w:p>
        </w:tc>
        <w:tc>
          <w:tcPr>
            <w:tcW w:w="1890" w:type="dxa"/>
            <w:noWrap/>
            <w:vAlign w:val="center"/>
            <w:hideMark/>
          </w:tcPr>
          <w:p w14:paraId="43B0351E" w14:textId="77777777" w:rsidR="00126D8D" w:rsidRPr="00747A19" w:rsidRDefault="00126D8D" w:rsidP="00820288">
            <w:pPr>
              <w:spacing w:line="240" w:lineRule="auto"/>
              <w:jc w:val="center"/>
              <w:rPr>
                <w:rFonts w:cs="Times New Roman"/>
                <w:color w:val="000000" w:themeColor="text1"/>
                <w:sz w:val="20"/>
                <w:szCs w:val="20"/>
              </w:rPr>
            </w:pPr>
            <w:r w:rsidRPr="00747A19">
              <w:rPr>
                <w:rFonts w:cs="Times New Roman"/>
                <w:color w:val="000000" w:themeColor="text1"/>
                <w:sz w:val="20"/>
                <w:szCs w:val="20"/>
              </w:rPr>
              <w:t>28.1</w:t>
            </w:r>
          </w:p>
        </w:tc>
        <w:tc>
          <w:tcPr>
            <w:tcW w:w="1980" w:type="dxa"/>
            <w:noWrap/>
            <w:vAlign w:val="center"/>
            <w:hideMark/>
          </w:tcPr>
          <w:p w14:paraId="59F2AB0B" w14:textId="77777777" w:rsidR="00126D8D" w:rsidRPr="00747A19" w:rsidRDefault="00126D8D" w:rsidP="00820288">
            <w:pPr>
              <w:spacing w:line="240" w:lineRule="auto"/>
              <w:jc w:val="center"/>
              <w:rPr>
                <w:rFonts w:cs="Times New Roman"/>
                <w:color w:val="000000" w:themeColor="text1"/>
                <w:sz w:val="20"/>
                <w:szCs w:val="20"/>
              </w:rPr>
            </w:pPr>
            <w:r w:rsidRPr="00747A19">
              <w:rPr>
                <w:rFonts w:cs="Times New Roman"/>
                <w:color w:val="000000" w:themeColor="text1"/>
                <w:sz w:val="20"/>
                <w:szCs w:val="20"/>
              </w:rPr>
              <w:t>29.4</w:t>
            </w:r>
          </w:p>
        </w:tc>
        <w:tc>
          <w:tcPr>
            <w:tcW w:w="1530" w:type="dxa"/>
            <w:noWrap/>
            <w:vAlign w:val="center"/>
            <w:hideMark/>
          </w:tcPr>
          <w:p w14:paraId="4D98BB75" w14:textId="77777777" w:rsidR="00126D8D" w:rsidRPr="00747A19" w:rsidRDefault="00126D8D" w:rsidP="00820288">
            <w:pPr>
              <w:spacing w:line="240" w:lineRule="auto"/>
              <w:jc w:val="center"/>
              <w:rPr>
                <w:rFonts w:cs="Times New Roman"/>
                <w:color w:val="000000" w:themeColor="text1"/>
                <w:sz w:val="20"/>
                <w:szCs w:val="20"/>
              </w:rPr>
            </w:pPr>
            <w:r w:rsidRPr="00747A19">
              <w:rPr>
                <w:rFonts w:cs="Times New Roman"/>
                <w:color w:val="000000" w:themeColor="text1"/>
                <w:sz w:val="20"/>
                <w:szCs w:val="20"/>
              </w:rPr>
              <w:t>28.9</w:t>
            </w:r>
          </w:p>
        </w:tc>
      </w:tr>
      <w:tr w:rsidR="00126D8D" w:rsidRPr="00747A19" w14:paraId="660AF2BC" w14:textId="77777777" w:rsidTr="00820288">
        <w:trPr>
          <w:trHeight w:val="323"/>
        </w:trPr>
        <w:tc>
          <w:tcPr>
            <w:tcW w:w="2505" w:type="dxa"/>
            <w:noWrap/>
            <w:vAlign w:val="center"/>
            <w:hideMark/>
          </w:tcPr>
          <w:p w14:paraId="2CA94322" w14:textId="77777777" w:rsidR="00126D8D" w:rsidRPr="00747A19" w:rsidRDefault="00126D8D" w:rsidP="00820288">
            <w:pPr>
              <w:spacing w:line="240" w:lineRule="auto"/>
              <w:jc w:val="center"/>
              <w:rPr>
                <w:rFonts w:cs="Times New Roman"/>
                <w:b/>
                <w:bCs/>
                <w:color w:val="000000" w:themeColor="text1"/>
                <w:sz w:val="18"/>
                <w:szCs w:val="18"/>
              </w:rPr>
            </w:pPr>
            <w:r w:rsidRPr="00747A19">
              <w:rPr>
                <w:rFonts w:cs="Times New Roman"/>
                <w:b/>
                <w:bCs/>
                <w:color w:val="000000" w:themeColor="text1"/>
                <w:sz w:val="18"/>
                <w:szCs w:val="18"/>
              </w:rPr>
              <w:t>Average Night Temp (°C)</w:t>
            </w:r>
          </w:p>
        </w:tc>
        <w:tc>
          <w:tcPr>
            <w:tcW w:w="1800" w:type="dxa"/>
            <w:noWrap/>
            <w:vAlign w:val="center"/>
            <w:hideMark/>
          </w:tcPr>
          <w:p w14:paraId="7481334F" w14:textId="77777777" w:rsidR="00126D8D" w:rsidRPr="00747A19" w:rsidRDefault="00126D8D" w:rsidP="00820288">
            <w:pPr>
              <w:spacing w:line="240" w:lineRule="auto"/>
              <w:jc w:val="center"/>
              <w:rPr>
                <w:rFonts w:cs="Times New Roman"/>
                <w:color w:val="000000" w:themeColor="text1"/>
                <w:sz w:val="20"/>
                <w:szCs w:val="20"/>
              </w:rPr>
            </w:pPr>
            <w:r w:rsidRPr="00747A19">
              <w:rPr>
                <w:rFonts w:cs="Times New Roman"/>
                <w:color w:val="000000" w:themeColor="text1"/>
                <w:sz w:val="20"/>
                <w:szCs w:val="20"/>
              </w:rPr>
              <w:t>20.2</w:t>
            </w:r>
          </w:p>
        </w:tc>
        <w:tc>
          <w:tcPr>
            <w:tcW w:w="1890" w:type="dxa"/>
            <w:noWrap/>
            <w:vAlign w:val="center"/>
            <w:hideMark/>
          </w:tcPr>
          <w:p w14:paraId="1B9A543D" w14:textId="77777777" w:rsidR="00126D8D" w:rsidRPr="00747A19" w:rsidRDefault="00126D8D" w:rsidP="00820288">
            <w:pPr>
              <w:spacing w:line="240" w:lineRule="auto"/>
              <w:jc w:val="center"/>
              <w:rPr>
                <w:rFonts w:cs="Times New Roman"/>
                <w:color w:val="000000" w:themeColor="text1"/>
                <w:sz w:val="20"/>
                <w:szCs w:val="20"/>
              </w:rPr>
            </w:pPr>
            <w:r w:rsidRPr="00747A19">
              <w:rPr>
                <w:rFonts w:cs="Times New Roman"/>
                <w:color w:val="000000" w:themeColor="text1"/>
                <w:sz w:val="20"/>
                <w:szCs w:val="20"/>
              </w:rPr>
              <w:t>21.7</w:t>
            </w:r>
          </w:p>
        </w:tc>
        <w:tc>
          <w:tcPr>
            <w:tcW w:w="1980" w:type="dxa"/>
            <w:noWrap/>
            <w:vAlign w:val="center"/>
            <w:hideMark/>
          </w:tcPr>
          <w:p w14:paraId="0A9E696D" w14:textId="77777777" w:rsidR="00126D8D" w:rsidRPr="00747A19" w:rsidRDefault="00126D8D" w:rsidP="00820288">
            <w:pPr>
              <w:spacing w:line="240" w:lineRule="auto"/>
              <w:jc w:val="center"/>
              <w:rPr>
                <w:rFonts w:cs="Times New Roman"/>
                <w:color w:val="000000" w:themeColor="text1"/>
                <w:sz w:val="20"/>
                <w:szCs w:val="20"/>
              </w:rPr>
            </w:pPr>
            <w:r w:rsidRPr="00747A19">
              <w:rPr>
                <w:rFonts w:cs="Times New Roman"/>
                <w:color w:val="000000" w:themeColor="text1"/>
                <w:sz w:val="20"/>
                <w:szCs w:val="20"/>
              </w:rPr>
              <w:t>22.2</w:t>
            </w:r>
          </w:p>
        </w:tc>
        <w:tc>
          <w:tcPr>
            <w:tcW w:w="1530" w:type="dxa"/>
            <w:noWrap/>
            <w:vAlign w:val="center"/>
            <w:hideMark/>
          </w:tcPr>
          <w:p w14:paraId="7A3F3616" w14:textId="77777777" w:rsidR="00126D8D" w:rsidRPr="00747A19" w:rsidRDefault="00126D8D" w:rsidP="00820288">
            <w:pPr>
              <w:spacing w:line="240" w:lineRule="auto"/>
              <w:jc w:val="center"/>
              <w:rPr>
                <w:rFonts w:cs="Times New Roman"/>
                <w:color w:val="000000" w:themeColor="text1"/>
                <w:sz w:val="20"/>
                <w:szCs w:val="20"/>
              </w:rPr>
            </w:pPr>
            <w:r w:rsidRPr="00747A19">
              <w:rPr>
                <w:rFonts w:cs="Times New Roman"/>
                <w:color w:val="000000" w:themeColor="text1"/>
                <w:sz w:val="20"/>
                <w:szCs w:val="20"/>
              </w:rPr>
              <w:t>21.3</w:t>
            </w:r>
          </w:p>
        </w:tc>
      </w:tr>
      <w:tr w:rsidR="00126D8D" w:rsidRPr="00747A19" w14:paraId="1CCA5BA5" w14:textId="77777777" w:rsidTr="00820288">
        <w:trPr>
          <w:trHeight w:val="369"/>
        </w:trPr>
        <w:tc>
          <w:tcPr>
            <w:tcW w:w="2505" w:type="dxa"/>
            <w:noWrap/>
            <w:vAlign w:val="center"/>
            <w:hideMark/>
          </w:tcPr>
          <w:p w14:paraId="4D0F032B" w14:textId="77777777" w:rsidR="00126D8D" w:rsidRPr="00747A19" w:rsidRDefault="00126D8D" w:rsidP="00820288">
            <w:pPr>
              <w:spacing w:line="240" w:lineRule="auto"/>
              <w:jc w:val="center"/>
              <w:rPr>
                <w:rFonts w:cs="Times New Roman"/>
                <w:b/>
                <w:bCs/>
                <w:color w:val="000000" w:themeColor="text1"/>
                <w:sz w:val="18"/>
                <w:szCs w:val="18"/>
              </w:rPr>
            </w:pPr>
            <w:r w:rsidRPr="00747A19">
              <w:rPr>
                <w:rFonts w:cs="Times New Roman"/>
                <w:b/>
                <w:bCs/>
                <w:color w:val="000000" w:themeColor="text1"/>
                <w:sz w:val="18"/>
                <w:szCs w:val="18"/>
              </w:rPr>
              <w:t>Average Relative Humidity</w:t>
            </w:r>
          </w:p>
        </w:tc>
        <w:tc>
          <w:tcPr>
            <w:tcW w:w="1800" w:type="dxa"/>
            <w:noWrap/>
            <w:vAlign w:val="center"/>
            <w:hideMark/>
          </w:tcPr>
          <w:p w14:paraId="53F95F89" w14:textId="77777777" w:rsidR="00126D8D" w:rsidRPr="00747A19" w:rsidRDefault="00126D8D" w:rsidP="00820288">
            <w:pPr>
              <w:spacing w:line="240" w:lineRule="auto"/>
              <w:jc w:val="center"/>
              <w:rPr>
                <w:rFonts w:cs="Times New Roman"/>
                <w:color w:val="000000" w:themeColor="text1"/>
                <w:sz w:val="20"/>
                <w:szCs w:val="20"/>
              </w:rPr>
            </w:pPr>
            <w:r w:rsidRPr="00747A19">
              <w:rPr>
                <w:rFonts w:cs="Times New Roman"/>
                <w:color w:val="000000" w:themeColor="text1"/>
                <w:sz w:val="20"/>
                <w:szCs w:val="20"/>
              </w:rPr>
              <w:t>55%</w:t>
            </w:r>
          </w:p>
        </w:tc>
        <w:tc>
          <w:tcPr>
            <w:tcW w:w="1890" w:type="dxa"/>
            <w:noWrap/>
            <w:vAlign w:val="center"/>
            <w:hideMark/>
          </w:tcPr>
          <w:p w14:paraId="20D2FF96" w14:textId="77777777" w:rsidR="00126D8D" w:rsidRPr="00747A19" w:rsidRDefault="00126D8D" w:rsidP="00820288">
            <w:pPr>
              <w:spacing w:line="240" w:lineRule="auto"/>
              <w:jc w:val="center"/>
              <w:rPr>
                <w:rFonts w:cs="Times New Roman"/>
                <w:color w:val="000000" w:themeColor="text1"/>
                <w:sz w:val="20"/>
                <w:szCs w:val="20"/>
              </w:rPr>
            </w:pPr>
            <w:r w:rsidRPr="00747A19">
              <w:rPr>
                <w:rFonts w:cs="Times New Roman"/>
                <w:color w:val="000000" w:themeColor="text1"/>
                <w:sz w:val="20"/>
                <w:szCs w:val="20"/>
              </w:rPr>
              <w:t>50%</w:t>
            </w:r>
          </w:p>
        </w:tc>
        <w:tc>
          <w:tcPr>
            <w:tcW w:w="1980" w:type="dxa"/>
            <w:noWrap/>
            <w:vAlign w:val="center"/>
            <w:hideMark/>
          </w:tcPr>
          <w:p w14:paraId="59A3D7C9" w14:textId="77777777" w:rsidR="00126D8D" w:rsidRPr="00747A19" w:rsidRDefault="00126D8D" w:rsidP="00820288">
            <w:pPr>
              <w:spacing w:line="240" w:lineRule="auto"/>
              <w:jc w:val="center"/>
              <w:rPr>
                <w:rFonts w:cs="Times New Roman"/>
                <w:color w:val="000000" w:themeColor="text1"/>
                <w:sz w:val="20"/>
                <w:szCs w:val="20"/>
              </w:rPr>
            </w:pPr>
            <w:r w:rsidRPr="00747A19">
              <w:rPr>
                <w:rFonts w:cs="Times New Roman"/>
                <w:color w:val="000000" w:themeColor="text1"/>
                <w:sz w:val="20"/>
                <w:szCs w:val="20"/>
              </w:rPr>
              <w:t>50%</w:t>
            </w:r>
          </w:p>
        </w:tc>
        <w:tc>
          <w:tcPr>
            <w:tcW w:w="1530" w:type="dxa"/>
            <w:noWrap/>
            <w:vAlign w:val="center"/>
            <w:hideMark/>
          </w:tcPr>
          <w:p w14:paraId="7D9A1FFE" w14:textId="77777777" w:rsidR="00126D8D" w:rsidRPr="00747A19" w:rsidRDefault="00126D8D" w:rsidP="00820288">
            <w:pPr>
              <w:spacing w:line="240" w:lineRule="auto"/>
              <w:jc w:val="center"/>
              <w:rPr>
                <w:rFonts w:cs="Times New Roman"/>
                <w:color w:val="000000" w:themeColor="text1"/>
                <w:sz w:val="20"/>
                <w:szCs w:val="20"/>
              </w:rPr>
            </w:pPr>
            <w:r w:rsidRPr="00747A19">
              <w:rPr>
                <w:rFonts w:cs="Times New Roman"/>
                <w:color w:val="000000" w:themeColor="text1"/>
                <w:sz w:val="20"/>
                <w:szCs w:val="20"/>
              </w:rPr>
              <w:t>55%</w:t>
            </w:r>
          </w:p>
        </w:tc>
      </w:tr>
      <w:tr w:rsidR="00126D8D" w:rsidRPr="00747A19" w14:paraId="4BE689E3" w14:textId="77777777" w:rsidTr="00820288">
        <w:trPr>
          <w:trHeight w:val="323"/>
        </w:trPr>
        <w:tc>
          <w:tcPr>
            <w:tcW w:w="2505" w:type="dxa"/>
            <w:tcBorders>
              <w:bottom w:val="single" w:sz="12" w:space="0" w:color="FFFFFF" w:themeColor="background1"/>
            </w:tcBorders>
            <w:noWrap/>
            <w:vAlign w:val="center"/>
            <w:hideMark/>
          </w:tcPr>
          <w:p w14:paraId="1A2A92E6" w14:textId="77777777" w:rsidR="00126D8D" w:rsidRPr="00747A19" w:rsidRDefault="00126D8D" w:rsidP="00820288">
            <w:pPr>
              <w:spacing w:line="240" w:lineRule="auto"/>
              <w:jc w:val="center"/>
              <w:rPr>
                <w:rFonts w:cs="Times New Roman"/>
                <w:b/>
                <w:bCs/>
                <w:color w:val="000000" w:themeColor="text1"/>
                <w:sz w:val="18"/>
                <w:szCs w:val="18"/>
              </w:rPr>
            </w:pPr>
            <w:r w:rsidRPr="00747A19">
              <w:rPr>
                <w:rFonts w:cs="Times New Roman"/>
                <w:b/>
                <w:bCs/>
                <w:color w:val="000000" w:themeColor="text1"/>
                <w:sz w:val="18"/>
                <w:szCs w:val="18"/>
              </w:rPr>
              <w:t>Average Daily Light Integral (DLI) (mol</w:t>
            </w:r>
            <w:r w:rsidRPr="00747A19">
              <w:rPr>
                <w:rFonts w:cs="Times New Roman"/>
                <w:b/>
                <w:bCs/>
                <w:color w:val="000000" w:themeColor="text1"/>
                <w:sz w:val="18"/>
                <w:szCs w:val="18"/>
                <w:vertAlign w:val="superscript"/>
              </w:rPr>
              <w:t>.</w:t>
            </w:r>
            <w:r w:rsidRPr="00747A19">
              <w:rPr>
                <w:rFonts w:cs="Times New Roman"/>
                <w:b/>
                <w:bCs/>
                <w:color w:val="000000" w:themeColor="text1"/>
                <w:sz w:val="18"/>
                <w:szCs w:val="18"/>
              </w:rPr>
              <w:t>m</w:t>
            </w:r>
            <w:r w:rsidRPr="00747A19">
              <w:rPr>
                <w:rFonts w:cs="Times New Roman"/>
                <w:b/>
                <w:bCs/>
                <w:color w:val="000000" w:themeColor="text1"/>
                <w:sz w:val="18"/>
                <w:szCs w:val="18"/>
                <w:vertAlign w:val="superscript"/>
              </w:rPr>
              <w:t>.-2.</w:t>
            </w:r>
            <w:r w:rsidRPr="00747A19">
              <w:rPr>
                <w:rFonts w:cs="Times New Roman"/>
                <w:b/>
                <w:bCs/>
                <w:color w:val="000000" w:themeColor="text1"/>
                <w:sz w:val="18"/>
                <w:szCs w:val="18"/>
              </w:rPr>
              <w:t>d</w:t>
            </w:r>
            <w:r w:rsidRPr="00747A19">
              <w:rPr>
                <w:rFonts w:cs="Times New Roman"/>
                <w:b/>
                <w:bCs/>
                <w:color w:val="000000" w:themeColor="text1"/>
                <w:sz w:val="18"/>
                <w:szCs w:val="18"/>
                <w:vertAlign w:val="superscript"/>
              </w:rPr>
              <w:t>-1</w:t>
            </w:r>
            <w:r w:rsidRPr="00747A19">
              <w:rPr>
                <w:rFonts w:cs="Times New Roman"/>
                <w:b/>
                <w:bCs/>
                <w:color w:val="000000" w:themeColor="text1"/>
                <w:sz w:val="18"/>
                <w:szCs w:val="18"/>
              </w:rPr>
              <w:t>)</w:t>
            </w:r>
          </w:p>
        </w:tc>
        <w:tc>
          <w:tcPr>
            <w:tcW w:w="1800" w:type="dxa"/>
            <w:tcBorders>
              <w:bottom w:val="single" w:sz="12" w:space="0" w:color="FFFFFF" w:themeColor="background1"/>
            </w:tcBorders>
            <w:noWrap/>
            <w:vAlign w:val="center"/>
            <w:hideMark/>
          </w:tcPr>
          <w:p w14:paraId="6E523FBE" w14:textId="77777777" w:rsidR="00126D8D" w:rsidRPr="00747A19" w:rsidRDefault="00126D8D" w:rsidP="00820288">
            <w:pPr>
              <w:spacing w:line="240" w:lineRule="auto"/>
              <w:jc w:val="center"/>
              <w:rPr>
                <w:rFonts w:cs="Times New Roman"/>
                <w:color w:val="000000" w:themeColor="text1"/>
                <w:sz w:val="20"/>
                <w:szCs w:val="20"/>
              </w:rPr>
            </w:pPr>
            <w:r w:rsidRPr="00747A19">
              <w:rPr>
                <w:rFonts w:cs="Times New Roman"/>
                <w:color w:val="000000" w:themeColor="text1"/>
                <w:sz w:val="20"/>
                <w:szCs w:val="20"/>
              </w:rPr>
              <w:t>7.81</w:t>
            </w:r>
          </w:p>
        </w:tc>
        <w:tc>
          <w:tcPr>
            <w:tcW w:w="1890" w:type="dxa"/>
            <w:tcBorders>
              <w:bottom w:val="single" w:sz="12" w:space="0" w:color="FFFFFF" w:themeColor="background1"/>
            </w:tcBorders>
            <w:noWrap/>
            <w:vAlign w:val="center"/>
            <w:hideMark/>
          </w:tcPr>
          <w:p w14:paraId="64645315" w14:textId="77777777" w:rsidR="00126D8D" w:rsidRPr="00747A19" w:rsidRDefault="00126D8D" w:rsidP="00820288">
            <w:pPr>
              <w:spacing w:line="240" w:lineRule="auto"/>
              <w:jc w:val="center"/>
              <w:rPr>
                <w:rFonts w:cs="Times New Roman"/>
                <w:color w:val="000000" w:themeColor="text1"/>
                <w:sz w:val="20"/>
                <w:szCs w:val="20"/>
              </w:rPr>
            </w:pPr>
            <w:r w:rsidRPr="00747A19">
              <w:rPr>
                <w:rFonts w:cs="Times New Roman"/>
                <w:color w:val="000000" w:themeColor="text1"/>
                <w:sz w:val="20"/>
                <w:szCs w:val="20"/>
              </w:rPr>
              <w:t>10.29</w:t>
            </w:r>
          </w:p>
        </w:tc>
        <w:tc>
          <w:tcPr>
            <w:tcW w:w="1980" w:type="dxa"/>
            <w:tcBorders>
              <w:bottom w:val="single" w:sz="12" w:space="0" w:color="FFFFFF" w:themeColor="background1"/>
            </w:tcBorders>
            <w:noWrap/>
            <w:vAlign w:val="center"/>
            <w:hideMark/>
          </w:tcPr>
          <w:p w14:paraId="77D43E97" w14:textId="77777777" w:rsidR="00126D8D" w:rsidRPr="00747A19" w:rsidRDefault="00126D8D" w:rsidP="00820288">
            <w:pPr>
              <w:spacing w:line="240" w:lineRule="auto"/>
              <w:jc w:val="center"/>
              <w:rPr>
                <w:rFonts w:cs="Times New Roman"/>
                <w:color w:val="000000" w:themeColor="text1"/>
                <w:sz w:val="20"/>
                <w:szCs w:val="20"/>
              </w:rPr>
            </w:pPr>
            <w:r w:rsidRPr="00747A19">
              <w:rPr>
                <w:rFonts w:cs="Times New Roman"/>
                <w:color w:val="000000" w:themeColor="text1"/>
                <w:sz w:val="20"/>
                <w:szCs w:val="20"/>
              </w:rPr>
              <w:t>15.65</w:t>
            </w:r>
          </w:p>
        </w:tc>
        <w:tc>
          <w:tcPr>
            <w:tcW w:w="1530" w:type="dxa"/>
            <w:tcBorders>
              <w:bottom w:val="single" w:sz="12" w:space="0" w:color="FFFFFF" w:themeColor="background1"/>
            </w:tcBorders>
            <w:noWrap/>
            <w:vAlign w:val="center"/>
            <w:hideMark/>
          </w:tcPr>
          <w:p w14:paraId="247231A0" w14:textId="77777777" w:rsidR="00126D8D" w:rsidRPr="00747A19" w:rsidRDefault="00126D8D" w:rsidP="00820288">
            <w:pPr>
              <w:spacing w:line="240" w:lineRule="auto"/>
              <w:jc w:val="center"/>
              <w:rPr>
                <w:rFonts w:cs="Times New Roman"/>
                <w:color w:val="000000" w:themeColor="text1"/>
                <w:sz w:val="20"/>
                <w:szCs w:val="20"/>
              </w:rPr>
            </w:pPr>
            <w:r w:rsidRPr="00747A19">
              <w:rPr>
                <w:rFonts w:cs="Times New Roman"/>
                <w:color w:val="000000" w:themeColor="text1"/>
                <w:sz w:val="20"/>
                <w:szCs w:val="20"/>
              </w:rPr>
              <w:t>13.87</w:t>
            </w:r>
          </w:p>
        </w:tc>
      </w:tr>
      <w:tr w:rsidR="00126D8D" w:rsidRPr="00747A19" w14:paraId="577D40CB" w14:textId="77777777" w:rsidTr="00820288">
        <w:trPr>
          <w:trHeight w:val="323"/>
        </w:trPr>
        <w:tc>
          <w:tcPr>
            <w:tcW w:w="2505" w:type="dxa"/>
            <w:tcBorders>
              <w:bottom w:val="single" w:sz="4" w:space="0" w:color="auto"/>
            </w:tcBorders>
            <w:noWrap/>
            <w:vAlign w:val="center"/>
            <w:hideMark/>
          </w:tcPr>
          <w:p w14:paraId="66449D3C" w14:textId="77777777" w:rsidR="00126D8D" w:rsidRPr="00747A19" w:rsidRDefault="00126D8D" w:rsidP="00820288">
            <w:pPr>
              <w:spacing w:line="240" w:lineRule="auto"/>
              <w:jc w:val="center"/>
              <w:rPr>
                <w:rFonts w:cs="Times New Roman"/>
                <w:b/>
                <w:bCs/>
                <w:color w:val="000000" w:themeColor="text1"/>
                <w:sz w:val="18"/>
                <w:szCs w:val="18"/>
              </w:rPr>
            </w:pPr>
            <w:r w:rsidRPr="00747A19">
              <w:rPr>
                <w:rFonts w:cs="Times New Roman"/>
                <w:b/>
                <w:bCs/>
                <w:color w:val="000000" w:themeColor="text1"/>
                <w:sz w:val="18"/>
                <w:szCs w:val="18"/>
              </w:rPr>
              <w:t>Average Day Length (hours)</w:t>
            </w:r>
          </w:p>
        </w:tc>
        <w:tc>
          <w:tcPr>
            <w:tcW w:w="1800" w:type="dxa"/>
            <w:tcBorders>
              <w:bottom w:val="single" w:sz="4" w:space="0" w:color="auto"/>
            </w:tcBorders>
            <w:noWrap/>
            <w:vAlign w:val="center"/>
            <w:hideMark/>
          </w:tcPr>
          <w:p w14:paraId="7150E37B" w14:textId="77777777" w:rsidR="00126D8D" w:rsidRPr="00747A19" w:rsidRDefault="00126D8D" w:rsidP="00820288">
            <w:pPr>
              <w:spacing w:line="240" w:lineRule="auto"/>
              <w:jc w:val="center"/>
              <w:rPr>
                <w:rFonts w:cs="Times New Roman"/>
                <w:color w:val="000000" w:themeColor="text1"/>
                <w:sz w:val="20"/>
                <w:szCs w:val="20"/>
              </w:rPr>
            </w:pPr>
            <w:r w:rsidRPr="00747A19">
              <w:rPr>
                <w:rFonts w:cs="Times New Roman"/>
                <w:color w:val="000000" w:themeColor="text1"/>
                <w:sz w:val="20"/>
                <w:szCs w:val="20"/>
              </w:rPr>
              <w:t>10:02</w:t>
            </w:r>
          </w:p>
        </w:tc>
        <w:tc>
          <w:tcPr>
            <w:tcW w:w="1890" w:type="dxa"/>
            <w:tcBorders>
              <w:bottom w:val="single" w:sz="4" w:space="0" w:color="auto"/>
            </w:tcBorders>
            <w:noWrap/>
            <w:vAlign w:val="center"/>
            <w:hideMark/>
          </w:tcPr>
          <w:p w14:paraId="4733D9F9" w14:textId="77777777" w:rsidR="00126D8D" w:rsidRPr="00747A19" w:rsidRDefault="00126D8D" w:rsidP="00820288">
            <w:pPr>
              <w:spacing w:line="240" w:lineRule="auto"/>
              <w:jc w:val="center"/>
              <w:rPr>
                <w:rFonts w:cs="Times New Roman"/>
                <w:color w:val="000000" w:themeColor="text1"/>
                <w:sz w:val="20"/>
                <w:szCs w:val="20"/>
              </w:rPr>
            </w:pPr>
            <w:r w:rsidRPr="00747A19">
              <w:rPr>
                <w:rFonts w:cs="Times New Roman"/>
                <w:color w:val="000000" w:themeColor="text1"/>
                <w:sz w:val="20"/>
                <w:szCs w:val="20"/>
              </w:rPr>
              <w:t>13:08</w:t>
            </w:r>
          </w:p>
        </w:tc>
        <w:tc>
          <w:tcPr>
            <w:tcW w:w="1980" w:type="dxa"/>
            <w:tcBorders>
              <w:bottom w:val="single" w:sz="4" w:space="0" w:color="auto"/>
            </w:tcBorders>
            <w:noWrap/>
            <w:vAlign w:val="center"/>
            <w:hideMark/>
          </w:tcPr>
          <w:p w14:paraId="2B3DFBB3" w14:textId="77777777" w:rsidR="00126D8D" w:rsidRPr="00747A19" w:rsidRDefault="00126D8D" w:rsidP="00820288">
            <w:pPr>
              <w:spacing w:line="240" w:lineRule="auto"/>
              <w:jc w:val="center"/>
              <w:rPr>
                <w:rFonts w:cs="Times New Roman"/>
                <w:color w:val="000000" w:themeColor="text1"/>
                <w:sz w:val="20"/>
                <w:szCs w:val="20"/>
              </w:rPr>
            </w:pPr>
            <w:r w:rsidRPr="00747A19">
              <w:rPr>
                <w:rFonts w:cs="Times New Roman"/>
                <w:color w:val="000000" w:themeColor="text1"/>
                <w:sz w:val="20"/>
                <w:szCs w:val="20"/>
              </w:rPr>
              <w:t>14:29</w:t>
            </w:r>
          </w:p>
        </w:tc>
        <w:tc>
          <w:tcPr>
            <w:tcW w:w="1530" w:type="dxa"/>
            <w:tcBorders>
              <w:bottom w:val="single" w:sz="4" w:space="0" w:color="auto"/>
            </w:tcBorders>
            <w:noWrap/>
            <w:vAlign w:val="center"/>
            <w:hideMark/>
          </w:tcPr>
          <w:p w14:paraId="03EDDE7E" w14:textId="77777777" w:rsidR="00126D8D" w:rsidRPr="00747A19" w:rsidRDefault="00126D8D" w:rsidP="00820288">
            <w:pPr>
              <w:spacing w:line="240" w:lineRule="auto"/>
              <w:jc w:val="center"/>
              <w:rPr>
                <w:rFonts w:cs="Times New Roman"/>
                <w:color w:val="000000" w:themeColor="text1"/>
                <w:sz w:val="20"/>
                <w:szCs w:val="20"/>
              </w:rPr>
            </w:pPr>
            <w:r w:rsidRPr="00747A19">
              <w:rPr>
                <w:rFonts w:cs="Times New Roman"/>
                <w:color w:val="000000" w:themeColor="text1"/>
                <w:sz w:val="20"/>
                <w:szCs w:val="20"/>
              </w:rPr>
              <w:t>12:11</w:t>
            </w:r>
          </w:p>
        </w:tc>
      </w:tr>
    </w:tbl>
    <w:p w14:paraId="7B2B8E59" w14:textId="77777777" w:rsidR="00126D8D" w:rsidRPr="00747A19" w:rsidRDefault="00126D8D" w:rsidP="000958A5">
      <w:pPr>
        <w:spacing w:line="240" w:lineRule="auto"/>
        <w:rPr>
          <w:rFonts w:cs="Times New Roman"/>
          <w:color w:val="000000" w:themeColor="text1"/>
        </w:rPr>
      </w:pPr>
    </w:p>
    <w:p w14:paraId="5100EE08" w14:textId="77777777" w:rsidR="00126D8D" w:rsidRPr="00747A19" w:rsidRDefault="00126D8D" w:rsidP="000958A5">
      <w:pPr>
        <w:spacing w:line="240" w:lineRule="auto"/>
        <w:rPr>
          <w:rFonts w:cs="Times New Roman"/>
          <w:b/>
        </w:rPr>
      </w:pPr>
      <w:r w:rsidRPr="00747A19">
        <w:rPr>
          <w:rFonts w:cs="Times New Roman"/>
          <w:b/>
        </w:rPr>
        <w:br w:type="page"/>
      </w:r>
    </w:p>
    <w:p w14:paraId="2BB892EE" w14:textId="77777777" w:rsidR="00126D8D" w:rsidRPr="00747A19" w:rsidRDefault="00126D8D" w:rsidP="000958A5">
      <w:pPr>
        <w:pStyle w:val="TableTOC"/>
        <w:ind w:right="90"/>
        <w:jc w:val="both"/>
        <w:rPr>
          <w:rFonts w:cs="Times New Roman"/>
          <w:color w:val="000000"/>
          <w:sz w:val="14"/>
          <w:szCs w:val="14"/>
        </w:rPr>
      </w:pPr>
      <w:bookmarkStart w:id="529" w:name="_Toc141478775"/>
      <w:r w:rsidRPr="00747A19">
        <w:rPr>
          <w:rFonts w:cs="Times New Roman"/>
          <w:b/>
        </w:rPr>
        <w:lastRenderedPageBreak/>
        <w:t xml:space="preserve">Table </w:t>
      </w:r>
      <w:r>
        <w:rPr>
          <w:rFonts w:cs="Times New Roman"/>
          <w:b/>
        </w:rPr>
        <w:t>3.</w:t>
      </w:r>
      <w:r w:rsidRPr="00747A19">
        <w:rPr>
          <w:rFonts w:cs="Times New Roman"/>
          <w:b/>
        </w:rPr>
        <w:t>2.</w:t>
      </w:r>
      <w:r w:rsidRPr="00747A19">
        <w:rPr>
          <w:rFonts w:cs="Times New Roman"/>
        </w:rPr>
        <w:t xml:space="preserve"> </w:t>
      </w:r>
      <w:bookmarkEnd w:id="528"/>
      <w:r w:rsidRPr="00747A19">
        <w:rPr>
          <w:rFonts w:cs="Times New Roman"/>
        </w:rPr>
        <w:t>Summary of statistical results for pertinent aroma volatile compounds detected using headspace gas chromatography-mass spectrometry.</w:t>
      </w:r>
      <w:bookmarkEnd w:id="529"/>
    </w:p>
    <w:p w14:paraId="62E98F1F" w14:textId="77777777" w:rsidR="00126D8D" w:rsidRPr="00747A19" w:rsidRDefault="00126D8D" w:rsidP="000958A5">
      <w:pPr>
        <w:pStyle w:val="TableTOC"/>
        <w:ind w:right="1530"/>
        <w:rPr>
          <w:rFonts w:cs="Times New Roman"/>
          <w:color w:val="000000"/>
          <w:sz w:val="14"/>
          <w:szCs w:val="14"/>
        </w:rPr>
      </w:pPr>
    </w:p>
    <w:tbl>
      <w:tblPr>
        <w:tblStyle w:val="TableGrid"/>
        <w:tblW w:w="9349"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43" w:type="dxa"/>
          <w:right w:w="43" w:type="dxa"/>
        </w:tblCellMar>
        <w:tblLook w:val="04A0" w:firstRow="1" w:lastRow="0" w:firstColumn="1" w:lastColumn="0" w:noHBand="0" w:noVBand="1"/>
      </w:tblPr>
      <w:tblGrid>
        <w:gridCol w:w="1778"/>
        <w:gridCol w:w="1323"/>
        <w:gridCol w:w="837"/>
        <w:gridCol w:w="763"/>
        <w:gridCol w:w="1478"/>
        <w:gridCol w:w="92"/>
        <w:gridCol w:w="837"/>
        <w:gridCol w:w="763"/>
        <w:gridCol w:w="1478"/>
      </w:tblGrid>
      <w:tr w:rsidR="00126D8D" w:rsidRPr="00747A19" w14:paraId="586E927C" w14:textId="77777777" w:rsidTr="00820288">
        <w:trPr>
          <w:trHeight w:val="144"/>
          <w:jc w:val="center"/>
        </w:trPr>
        <w:tc>
          <w:tcPr>
            <w:tcW w:w="1778" w:type="dxa"/>
            <w:vMerge w:val="restart"/>
            <w:tcBorders>
              <w:top w:val="single" w:sz="4" w:space="0" w:color="auto"/>
            </w:tcBorders>
            <w:noWrap/>
            <w:vAlign w:val="center"/>
            <w:hideMark/>
          </w:tcPr>
          <w:p w14:paraId="35249039" w14:textId="77777777" w:rsidR="00126D8D" w:rsidRPr="004A4899" w:rsidRDefault="00126D8D" w:rsidP="00820288">
            <w:pPr>
              <w:spacing w:line="240" w:lineRule="auto"/>
              <w:rPr>
                <w:rFonts w:ascii="Times New Roman" w:hAnsi="Times New Roman" w:cs="Times New Roman"/>
                <w:b/>
                <w:bCs/>
                <w:color w:val="000000"/>
                <w:sz w:val="15"/>
                <w:szCs w:val="15"/>
              </w:rPr>
            </w:pPr>
            <w:r w:rsidRPr="004A4899">
              <w:rPr>
                <w:rFonts w:ascii="Times New Roman" w:hAnsi="Times New Roman" w:cs="Times New Roman"/>
                <w:b/>
                <w:bCs/>
                <w:color w:val="000000"/>
                <w:sz w:val="15"/>
                <w:szCs w:val="15"/>
              </w:rPr>
              <w:t>Compound Name</w:t>
            </w:r>
          </w:p>
        </w:tc>
        <w:tc>
          <w:tcPr>
            <w:tcW w:w="1323" w:type="dxa"/>
            <w:vMerge w:val="restart"/>
            <w:tcBorders>
              <w:top w:val="single" w:sz="4" w:space="0" w:color="auto"/>
            </w:tcBorders>
            <w:noWrap/>
            <w:vAlign w:val="center"/>
            <w:hideMark/>
          </w:tcPr>
          <w:p w14:paraId="56BDAD21" w14:textId="77777777" w:rsidR="00126D8D" w:rsidRPr="004A4899" w:rsidRDefault="00126D8D" w:rsidP="00820288">
            <w:pPr>
              <w:spacing w:line="240" w:lineRule="auto"/>
              <w:jc w:val="center"/>
              <w:rPr>
                <w:rFonts w:ascii="Times New Roman" w:hAnsi="Times New Roman" w:cs="Times New Roman"/>
                <w:b/>
                <w:bCs/>
                <w:color w:val="000000"/>
                <w:sz w:val="15"/>
                <w:szCs w:val="15"/>
              </w:rPr>
            </w:pPr>
            <w:r w:rsidRPr="004A4899">
              <w:rPr>
                <w:rFonts w:ascii="Times New Roman" w:hAnsi="Times New Roman" w:cs="Times New Roman"/>
                <w:b/>
                <w:bCs/>
                <w:color w:val="000000"/>
                <w:sz w:val="15"/>
                <w:szCs w:val="15"/>
              </w:rPr>
              <w:t>CAS Number</w:t>
            </w:r>
          </w:p>
        </w:tc>
        <w:tc>
          <w:tcPr>
            <w:tcW w:w="837" w:type="dxa"/>
            <w:tcBorders>
              <w:top w:val="single" w:sz="4" w:space="0" w:color="auto"/>
              <w:bottom w:val="single" w:sz="4" w:space="0" w:color="auto"/>
            </w:tcBorders>
            <w:noWrap/>
            <w:vAlign w:val="center"/>
            <w:hideMark/>
          </w:tcPr>
          <w:p w14:paraId="45A79D56" w14:textId="77777777" w:rsidR="00126D8D" w:rsidRPr="004A4899" w:rsidRDefault="00126D8D" w:rsidP="00820288">
            <w:pPr>
              <w:spacing w:line="240" w:lineRule="auto"/>
              <w:jc w:val="center"/>
              <w:rPr>
                <w:rFonts w:ascii="Times New Roman" w:hAnsi="Times New Roman" w:cs="Times New Roman"/>
                <w:color w:val="000000"/>
                <w:sz w:val="15"/>
                <w:szCs w:val="15"/>
              </w:rPr>
            </w:pPr>
          </w:p>
        </w:tc>
        <w:tc>
          <w:tcPr>
            <w:tcW w:w="763" w:type="dxa"/>
            <w:tcBorders>
              <w:top w:val="single" w:sz="4" w:space="0" w:color="auto"/>
              <w:bottom w:val="single" w:sz="4" w:space="0" w:color="auto"/>
            </w:tcBorders>
            <w:noWrap/>
            <w:vAlign w:val="center"/>
            <w:hideMark/>
          </w:tcPr>
          <w:p w14:paraId="4A4BB79F" w14:textId="77777777" w:rsidR="00126D8D" w:rsidRPr="004A4899" w:rsidRDefault="00126D8D" w:rsidP="00820288">
            <w:pPr>
              <w:spacing w:line="240" w:lineRule="auto"/>
              <w:jc w:val="center"/>
              <w:rPr>
                <w:rFonts w:ascii="Times New Roman" w:hAnsi="Times New Roman" w:cs="Times New Roman"/>
                <w:b/>
                <w:bCs/>
                <w:color w:val="000000"/>
                <w:sz w:val="15"/>
                <w:szCs w:val="15"/>
              </w:rPr>
            </w:pPr>
            <w:r w:rsidRPr="004A4899">
              <w:rPr>
                <w:rFonts w:ascii="Times New Roman" w:hAnsi="Times New Roman" w:cs="Times New Roman"/>
                <w:b/>
                <w:bCs/>
                <w:color w:val="000000"/>
                <w:sz w:val="15"/>
                <w:szCs w:val="15"/>
              </w:rPr>
              <w:t>F Value</w:t>
            </w:r>
          </w:p>
        </w:tc>
        <w:tc>
          <w:tcPr>
            <w:tcW w:w="1478" w:type="dxa"/>
            <w:tcBorders>
              <w:top w:val="single" w:sz="4" w:space="0" w:color="auto"/>
              <w:bottom w:val="single" w:sz="4" w:space="0" w:color="auto"/>
            </w:tcBorders>
            <w:noWrap/>
            <w:vAlign w:val="center"/>
            <w:hideMark/>
          </w:tcPr>
          <w:p w14:paraId="55D01E42" w14:textId="77777777" w:rsidR="00126D8D" w:rsidRPr="004A4899" w:rsidRDefault="00126D8D" w:rsidP="00820288">
            <w:pPr>
              <w:spacing w:line="240" w:lineRule="auto"/>
              <w:jc w:val="center"/>
              <w:rPr>
                <w:rFonts w:ascii="Times New Roman" w:hAnsi="Times New Roman" w:cs="Times New Roman"/>
                <w:color w:val="000000"/>
                <w:sz w:val="15"/>
                <w:szCs w:val="15"/>
              </w:rPr>
            </w:pPr>
          </w:p>
        </w:tc>
        <w:tc>
          <w:tcPr>
            <w:tcW w:w="92" w:type="dxa"/>
            <w:tcBorders>
              <w:top w:val="single" w:sz="4" w:space="0" w:color="auto"/>
            </w:tcBorders>
          </w:tcPr>
          <w:p w14:paraId="2C25BF77" w14:textId="77777777" w:rsidR="00126D8D" w:rsidRPr="004A4899" w:rsidRDefault="00126D8D" w:rsidP="00820288">
            <w:pPr>
              <w:spacing w:line="240" w:lineRule="auto"/>
              <w:jc w:val="center"/>
              <w:rPr>
                <w:rFonts w:ascii="Times New Roman" w:hAnsi="Times New Roman" w:cs="Times New Roman"/>
                <w:color w:val="000000"/>
                <w:sz w:val="15"/>
                <w:szCs w:val="15"/>
              </w:rPr>
            </w:pPr>
          </w:p>
        </w:tc>
        <w:tc>
          <w:tcPr>
            <w:tcW w:w="837" w:type="dxa"/>
            <w:tcBorders>
              <w:top w:val="single" w:sz="4" w:space="0" w:color="auto"/>
              <w:bottom w:val="single" w:sz="4" w:space="0" w:color="auto"/>
            </w:tcBorders>
            <w:noWrap/>
            <w:vAlign w:val="center"/>
            <w:hideMark/>
          </w:tcPr>
          <w:p w14:paraId="3F2F0AE0" w14:textId="77777777" w:rsidR="00126D8D" w:rsidRPr="004A4899" w:rsidRDefault="00126D8D" w:rsidP="00820288">
            <w:pPr>
              <w:spacing w:line="240" w:lineRule="auto"/>
              <w:jc w:val="center"/>
              <w:rPr>
                <w:rFonts w:ascii="Times New Roman" w:hAnsi="Times New Roman" w:cs="Times New Roman"/>
                <w:color w:val="000000"/>
                <w:sz w:val="15"/>
                <w:szCs w:val="15"/>
              </w:rPr>
            </w:pPr>
          </w:p>
        </w:tc>
        <w:tc>
          <w:tcPr>
            <w:tcW w:w="763" w:type="dxa"/>
            <w:tcBorders>
              <w:top w:val="single" w:sz="4" w:space="0" w:color="auto"/>
              <w:bottom w:val="single" w:sz="4" w:space="0" w:color="auto"/>
            </w:tcBorders>
            <w:noWrap/>
            <w:vAlign w:val="center"/>
            <w:hideMark/>
          </w:tcPr>
          <w:p w14:paraId="0AC11AA1" w14:textId="77777777" w:rsidR="00126D8D" w:rsidRPr="004A4899" w:rsidRDefault="00126D8D" w:rsidP="00820288">
            <w:pPr>
              <w:spacing w:line="240" w:lineRule="auto"/>
              <w:jc w:val="center"/>
              <w:rPr>
                <w:rFonts w:ascii="Times New Roman" w:hAnsi="Times New Roman" w:cs="Times New Roman"/>
                <w:b/>
                <w:bCs/>
                <w:color w:val="000000"/>
                <w:sz w:val="15"/>
                <w:szCs w:val="15"/>
              </w:rPr>
            </w:pPr>
            <w:r w:rsidRPr="004A4899">
              <w:rPr>
                <w:rFonts w:ascii="Times New Roman" w:hAnsi="Times New Roman" w:cs="Times New Roman"/>
                <w:b/>
                <w:bCs/>
                <w:color w:val="000000"/>
                <w:sz w:val="15"/>
                <w:szCs w:val="15"/>
              </w:rPr>
              <w:t>Pr &gt; F</w:t>
            </w:r>
          </w:p>
        </w:tc>
        <w:tc>
          <w:tcPr>
            <w:tcW w:w="1478" w:type="dxa"/>
            <w:tcBorders>
              <w:top w:val="single" w:sz="4" w:space="0" w:color="auto"/>
              <w:bottom w:val="single" w:sz="4" w:space="0" w:color="auto"/>
            </w:tcBorders>
            <w:noWrap/>
            <w:vAlign w:val="center"/>
            <w:hideMark/>
          </w:tcPr>
          <w:p w14:paraId="2D275181" w14:textId="77777777" w:rsidR="00126D8D" w:rsidRPr="004A4899" w:rsidRDefault="00126D8D" w:rsidP="00820288">
            <w:pPr>
              <w:spacing w:line="240" w:lineRule="auto"/>
              <w:jc w:val="center"/>
              <w:rPr>
                <w:rFonts w:ascii="Times New Roman" w:hAnsi="Times New Roman" w:cs="Times New Roman"/>
                <w:color w:val="000000"/>
                <w:sz w:val="15"/>
                <w:szCs w:val="15"/>
              </w:rPr>
            </w:pPr>
          </w:p>
        </w:tc>
      </w:tr>
      <w:tr w:rsidR="00126D8D" w:rsidRPr="00747A19" w14:paraId="69013FE8" w14:textId="77777777" w:rsidTr="00820288">
        <w:trPr>
          <w:trHeight w:val="144"/>
          <w:jc w:val="center"/>
        </w:trPr>
        <w:tc>
          <w:tcPr>
            <w:tcW w:w="1778" w:type="dxa"/>
            <w:vMerge/>
            <w:tcBorders>
              <w:bottom w:val="single" w:sz="4" w:space="0" w:color="auto"/>
            </w:tcBorders>
            <w:noWrap/>
            <w:vAlign w:val="center"/>
            <w:hideMark/>
          </w:tcPr>
          <w:p w14:paraId="24F689F9" w14:textId="77777777" w:rsidR="00126D8D" w:rsidRPr="004A4899" w:rsidRDefault="00126D8D" w:rsidP="00820288">
            <w:pPr>
              <w:spacing w:line="240" w:lineRule="auto"/>
              <w:rPr>
                <w:rFonts w:ascii="Times New Roman" w:hAnsi="Times New Roman" w:cs="Times New Roman"/>
                <w:color w:val="000000"/>
                <w:sz w:val="15"/>
                <w:szCs w:val="15"/>
              </w:rPr>
            </w:pPr>
          </w:p>
        </w:tc>
        <w:tc>
          <w:tcPr>
            <w:tcW w:w="1323" w:type="dxa"/>
            <w:vMerge/>
            <w:tcBorders>
              <w:bottom w:val="single" w:sz="4" w:space="0" w:color="auto"/>
            </w:tcBorders>
            <w:noWrap/>
            <w:vAlign w:val="center"/>
            <w:hideMark/>
          </w:tcPr>
          <w:p w14:paraId="2117D0A7" w14:textId="77777777" w:rsidR="00126D8D" w:rsidRPr="004A4899" w:rsidRDefault="00126D8D" w:rsidP="00820288">
            <w:pPr>
              <w:spacing w:line="240" w:lineRule="auto"/>
              <w:jc w:val="center"/>
              <w:rPr>
                <w:rFonts w:ascii="Times New Roman" w:hAnsi="Times New Roman" w:cs="Times New Roman"/>
                <w:color w:val="000000"/>
                <w:sz w:val="15"/>
                <w:szCs w:val="15"/>
              </w:rPr>
            </w:pPr>
          </w:p>
        </w:tc>
        <w:tc>
          <w:tcPr>
            <w:tcW w:w="837" w:type="dxa"/>
            <w:tcBorders>
              <w:top w:val="single" w:sz="4" w:space="0" w:color="auto"/>
              <w:bottom w:val="single" w:sz="4" w:space="0" w:color="auto"/>
            </w:tcBorders>
            <w:noWrap/>
            <w:vAlign w:val="center"/>
            <w:hideMark/>
          </w:tcPr>
          <w:p w14:paraId="29AC5D2D" w14:textId="77777777" w:rsidR="00126D8D" w:rsidRPr="004A4899" w:rsidRDefault="00126D8D" w:rsidP="00820288">
            <w:pPr>
              <w:spacing w:line="240" w:lineRule="auto"/>
              <w:jc w:val="center"/>
              <w:rPr>
                <w:rFonts w:ascii="Times New Roman" w:hAnsi="Times New Roman" w:cs="Times New Roman"/>
                <w:color w:val="000000"/>
                <w:sz w:val="15"/>
                <w:szCs w:val="15"/>
              </w:rPr>
            </w:pPr>
            <w:r w:rsidRPr="004A4899">
              <w:rPr>
                <w:rFonts w:ascii="Times New Roman" w:hAnsi="Times New Roman" w:cs="Times New Roman"/>
                <w:color w:val="000000"/>
                <w:sz w:val="15"/>
                <w:szCs w:val="15"/>
              </w:rPr>
              <w:t>Experiment</w:t>
            </w:r>
          </w:p>
        </w:tc>
        <w:tc>
          <w:tcPr>
            <w:tcW w:w="763" w:type="dxa"/>
            <w:tcBorders>
              <w:top w:val="single" w:sz="4" w:space="0" w:color="auto"/>
              <w:bottom w:val="single" w:sz="4" w:space="0" w:color="auto"/>
            </w:tcBorders>
            <w:noWrap/>
            <w:vAlign w:val="center"/>
            <w:hideMark/>
          </w:tcPr>
          <w:p w14:paraId="547F5E43" w14:textId="77777777" w:rsidR="00126D8D" w:rsidRPr="004A4899" w:rsidRDefault="00126D8D" w:rsidP="00820288">
            <w:pPr>
              <w:spacing w:line="240" w:lineRule="auto"/>
              <w:jc w:val="center"/>
              <w:rPr>
                <w:rFonts w:ascii="Times New Roman" w:hAnsi="Times New Roman" w:cs="Times New Roman"/>
                <w:color w:val="000000"/>
                <w:sz w:val="15"/>
                <w:szCs w:val="15"/>
              </w:rPr>
            </w:pPr>
            <w:r w:rsidRPr="004A4899">
              <w:rPr>
                <w:rFonts w:ascii="Times New Roman" w:hAnsi="Times New Roman" w:cs="Times New Roman"/>
                <w:color w:val="000000"/>
                <w:sz w:val="15"/>
                <w:szCs w:val="15"/>
              </w:rPr>
              <w:t>Treatment</w:t>
            </w:r>
          </w:p>
        </w:tc>
        <w:tc>
          <w:tcPr>
            <w:tcW w:w="1478" w:type="dxa"/>
            <w:tcBorders>
              <w:top w:val="single" w:sz="4" w:space="0" w:color="auto"/>
              <w:bottom w:val="single" w:sz="4" w:space="0" w:color="auto"/>
            </w:tcBorders>
            <w:noWrap/>
            <w:vAlign w:val="center"/>
            <w:hideMark/>
          </w:tcPr>
          <w:p w14:paraId="35502527" w14:textId="77777777" w:rsidR="00126D8D" w:rsidRPr="004A4899" w:rsidRDefault="00126D8D" w:rsidP="00820288">
            <w:pPr>
              <w:spacing w:line="240" w:lineRule="auto"/>
              <w:jc w:val="center"/>
              <w:rPr>
                <w:rFonts w:ascii="Times New Roman" w:hAnsi="Times New Roman" w:cs="Times New Roman"/>
                <w:color w:val="000000"/>
                <w:sz w:val="15"/>
                <w:szCs w:val="15"/>
              </w:rPr>
            </w:pPr>
            <w:r w:rsidRPr="004A4899">
              <w:rPr>
                <w:rFonts w:ascii="Times New Roman" w:hAnsi="Times New Roman" w:cs="Times New Roman"/>
                <w:color w:val="000000"/>
                <w:sz w:val="15"/>
                <w:szCs w:val="15"/>
              </w:rPr>
              <w:t>Experiment*Treatment</w:t>
            </w:r>
          </w:p>
        </w:tc>
        <w:tc>
          <w:tcPr>
            <w:tcW w:w="92" w:type="dxa"/>
            <w:tcBorders>
              <w:bottom w:val="single" w:sz="4" w:space="0" w:color="auto"/>
            </w:tcBorders>
          </w:tcPr>
          <w:p w14:paraId="5EAE29D3" w14:textId="77777777" w:rsidR="00126D8D" w:rsidRPr="004A4899" w:rsidRDefault="00126D8D" w:rsidP="00820288">
            <w:pPr>
              <w:spacing w:line="240" w:lineRule="auto"/>
              <w:jc w:val="center"/>
              <w:rPr>
                <w:rFonts w:ascii="Times New Roman" w:hAnsi="Times New Roman" w:cs="Times New Roman"/>
                <w:color w:val="000000"/>
                <w:sz w:val="15"/>
                <w:szCs w:val="15"/>
              </w:rPr>
            </w:pPr>
          </w:p>
        </w:tc>
        <w:tc>
          <w:tcPr>
            <w:tcW w:w="837" w:type="dxa"/>
            <w:tcBorders>
              <w:top w:val="single" w:sz="4" w:space="0" w:color="auto"/>
              <w:bottom w:val="single" w:sz="4" w:space="0" w:color="auto"/>
            </w:tcBorders>
            <w:noWrap/>
            <w:vAlign w:val="center"/>
            <w:hideMark/>
          </w:tcPr>
          <w:p w14:paraId="5A8769A1" w14:textId="77777777" w:rsidR="00126D8D" w:rsidRPr="004A4899" w:rsidRDefault="00126D8D" w:rsidP="00820288">
            <w:pPr>
              <w:spacing w:line="240" w:lineRule="auto"/>
              <w:jc w:val="center"/>
              <w:rPr>
                <w:rFonts w:ascii="Times New Roman" w:hAnsi="Times New Roman" w:cs="Times New Roman"/>
                <w:color w:val="000000"/>
                <w:sz w:val="15"/>
                <w:szCs w:val="15"/>
              </w:rPr>
            </w:pPr>
            <w:r w:rsidRPr="004A4899">
              <w:rPr>
                <w:rFonts w:ascii="Times New Roman" w:hAnsi="Times New Roman" w:cs="Times New Roman"/>
                <w:color w:val="000000"/>
                <w:sz w:val="15"/>
                <w:szCs w:val="15"/>
              </w:rPr>
              <w:t>Experiment</w:t>
            </w:r>
          </w:p>
        </w:tc>
        <w:tc>
          <w:tcPr>
            <w:tcW w:w="763" w:type="dxa"/>
            <w:tcBorders>
              <w:top w:val="single" w:sz="4" w:space="0" w:color="auto"/>
              <w:bottom w:val="single" w:sz="4" w:space="0" w:color="auto"/>
            </w:tcBorders>
            <w:noWrap/>
            <w:vAlign w:val="center"/>
            <w:hideMark/>
          </w:tcPr>
          <w:p w14:paraId="17EC277F" w14:textId="77777777" w:rsidR="00126D8D" w:rsidRPr="004A4899" w:rsidRDefault="00126D8D" w:rsidP="00820288">
            <w:pPr>
              <w:spacing w:line="240" w:lineRule="auto"/>
              <w:jc w:val="center"/>
              <w:rPr>
                <w:rFonts w:ascii="Times New Roman" w:hAnsi="Times New Roman" w:cs="Times New Roman"/>
                <w:color w:val="000000"/>
                <w:sz w:val="15"/>
                <w:szCs w:val="15"/>
              </w:rPr>
            </w:pPr>
            <w:r w:rsidRPr="004A4899">
              <w:rPr>
                <w:rFonts w:ascii="Times New Roman" w:hAnsi="Times New Roman" w:cs="Times New Roman"/>
                <w:color w:val="000000"/>
                <w:sz w:val="15"/>
                <w:szCs w:val="15"/>
              </w:rPr>
              <w:t>Treatment</w:t>
            </w:r>
          </w:p>
        </w:tc>
        <w:tc>
          <w:tcPr>
            <w:tcW w:w="1478" w:type="dxa"/>
            <w:tcBorders>
              <w:top w:val="single" w:sz="4" w:space="0" w:color="auto"/>
              <w:bottom w:val="single" w:sz="4" w:space="0" w:color="auto"/>
            </w:tcBorders>
            <w:noWrap/>
            <w:vAlign w:val="center"/>
            <w:hideMark/>
          </w:tcPr>
          <w:p w14:paraId="59B3FD17" w14:textId="77777777" w:rsidR="00126D8D" w:rsidRPr="004A4899" w:rsidRDefault="00126D8D" w:rsidP="00820288">
            <w:pPr>
              <w:spacing w:line="240" w:lineRule="auto"/>
              <w:jc w:val="center"/>
              <w:rPr>
                <w:rFonts w:ascii="Times New Roman" w:hAnsi="Times New Roman" w:cs="Times New Roman"/>
                <w:color w:val="000000"/>
                <w:sz w:val="15"/>
                <w:szCs w:val="15"/>
              </w:rPr>
            </w:pPr>
            <w:r w:rsidRPr="004A4899">
              <w:rPr>
                <w:rFonts w:ascii="Times New Roman" w:hAnsi="Times New Roman" w:cs="Times New Roman"/>
                <w:color w:val="000000"/>
                <w:sz w:val="15"/>
                <w:szCs w:val="15"/>
              </w:rPr>
              <w:t>Experiment*Treatment</w:t>
            </w:r>
          </w:p>
        </w:tc>
      </w:tr>
      <w:tr w:rsidR="00126D8D" w:rsidRPr="00747A19" w14:paraId="5555B91D" w14:textId="77777777" w:rsidTr="00820288">
        <w:trPr>
          <w:trHeight w:val="144"/>
          <w:jc w:val="center"/>
        </w:trPr>
        <w:tc>
          <w:tcPr>
            <w:tcW w:w="1778" w:type="dxa"/>
            <w:tcBorders>
              <w:top w:val="single" w:sz="4" w:space="0" w:color="auto"/>
            </w:tcBorders>
            <w:noWrap/>
            <w:vAlign w:val="center"/>
          </w:tcPr>
          <w:p w14:paraId="6FFD9E57" w14:textId="77777777" w:rsidR="00126D8D" w:rsidRPr="004A4899" w:rsidRDefault="00126D8D" w:rsidP="00820288">
            <w:pPr>
              <w:spacing w:line="240" w:lineRule="auto"/>
              <w:rPr>
                <w:rFonts w:ascii="Times New Roman" w:hAnsi="Times New Roman" w:cs="Times New Roman"/>
                <w:b/>
                <w:bCs/>
                <w:color w:val="000000"/>
                <w:sz w:val="15"/>
                <w:szCs w:val="15"/>
              </w:rPr>
            </w:pPr>
            <w:r w:rsidRPr="004A4899">
              <w:rPr>
                <w:rFonts w:ascii="Times New Roman" w:hAnsi="Times New Roman" w:cs="Times New Roman"/>
                <w:b/>
                <w:bCs/>
                <w:color w:val="000000"/>
                <w:sz w:val="15"/>
                <w:szCs w:val="15"/>
              </w:rPr>
              <w:t>Alcohols</w:t>
            </w:r>
          </w:p>
        </w:tc>
        <w:tc>
          <w:tcPr>
            <w:tcW w:w="1323" w:type="dxa"/>
            <w:tcBorders>
              <w:top w:val="single" w:sz="4" w:space="0" w:color="auto"/>
            </w:tcBorders>
            <w:noWrap/>
            <w:vAlign w:val="center"/>
          </w:tcPr>
          <w:p w14:paraId="6FB0617E" w14:textId="77777777" w:rsidR="00126D8D" w:rsidRPr="004A4899" w:rsidRDefault="00126D8D" w:rsidP="00820288">
            <w:pPr>
              <w:spacing w:line="240" w:lineRule="auto"/>
              <w:jc w:val="center"/>
              <w:rPr>
                <w:rFonts w:ascii="Times New Roman" w:hAnsi="Times New Roman" w:cs="Times New Roman"/>
                <w:color w:val="000000"/>
                <w:sz w:val="15"/>
                <w:szCs w:val="15"/>
              </w:rPr>
            </w:pPr>
          </w:p>
        </w:tc>
        <w:tc>
          <w:tcPr>
            <w:tcW w:w="837" w:type="dxa"/>
            <w:tcBorders>
              <w:top w:val="single" w:sz="4" w:space="0" w:color="auto"/>
            </w:tcBorders>
            <w:noWrap/>
            <w:vAlign w:val="center"/>
          </w:tcPr>
          <w:p w14:paraId="5C992292" w14:textId="77777777" w:rsidR="00126D8D" w:rsidRPr="004A4899" w:rsidRDefault="00126D8D" w:rsidP="00820288">
            <w:pPr>
              <w:spacing w:line="240" w:lineRule="auto"/>
              <w:jc w:val="center"/>
              <w:rPr>
                <w:rFonts w:ascii="Times New Roman" w:hAnsi="Times New Roman" w:cs="Times New Roman"/>
                <w:color w:val="000000"/>
                <w:sz w:val="15"/>
                <w:szCs w:val="15"/>
              </w:rPr>
            </w:pPr>
          </w:p>
        </w:tc>
        <w:tc>
          <w:tcPr>
            <w:tcW w:w="763" w:type="dxa"/>
            <w:tcBorders>
              <w:top w:val="single" w:sz="4" w:space="0" w:color="auto"/>
            </w:tcBorders>
            <w:noWrap/>
            <w:vAlign w:val="center"/>
          </w:tcPr>
          <w:p w14:paraId="79D0285B" w14:textId="77777777" w:rsidR="00126D8D" w:rsidRPr="004A4899" w:rsidRDefault="00126D8D" w:rsidP="00820288">
            <w:pPr>
              <w:spacing w:line="240" w:lineRule="auto"/>
              <w:jc w:val="center"/>
              <w:rPr>
                <w:rFonts w:ascii="Times New Roman" w:hAnsi="Times New Roman" w:cs="Times New Roman"/>
                <w:color w:val="000000"/>
                <w:sz w:val="15"/>
                <w:szCs w:val="15"/>
              </w:rPr>
            </w:pPr>
          </w:p>
        </w:tc>
        <w:tc>
          <w:tcPr>
            <w:tcW w:w="1478" w:type="dxa"/>
            <w:tcBorders>
              <w:top w:val="single" w:sz="4" w:space="0" w:color="auto"/>
            </w:tcBorders>
            <w:noWrap/>
            <w:vAlign w:val="center"/>
          </w:tcPr>
          <w:p w14:paraId="41A92BC9" w14:textId="77777777" w:rsidR="00126D8D" w:rsidRPr="004A4899" w:rsidRDefault="00126D8D" w:rsidP="00820288">
            <w:pPr>
              <w:spacing w:line="240" w:lineRule="auto"/>
              <w:jc w:val="center"/>
              <w:rPr>
                <w:rFonts w:ascii="Times New Roman" w:hAnsi="Times New Roman" w:cs="Times New Roman"/>
                <w:color w:val="000000"/>
                <w:sz w:val="15"/>
                <w:szCs w:val="15"/>
              </w:rPr>
            </w:pPr>
          </w:p>
        </w:tc>
        <w:tc>
          <w:tcPr>
            <w:tcW w:w="92" w:type="dxa"/>
            <w:tcBorders>
              <w:top w:val="single" w:sz="4" w:space="0" w:color="auto"/>
            </w:tcBorders>
          </w:tcPr>
          <w:p w14:paraId="12019A42" w14:textId="77777777" w:rsidR="00126D8D" w:rsidRPr="004A4899" w:rsidRDefault="00126D8D" w:rsidP="00820288">
            <w:pPr>
              <w:spacing w:line="240" w:lineRule="auto"/>
              <w:jc w:val="center"/>
              <w:rPr>
                <w:rFonts w:ascii="Times New Roman" w:hAnsi="Times New Roman" w:cs="Times New Roman"/>
                <w:color w:val="000000"/>
                <w:sz w:val="15"/>
                <w:szCs w:val="15"/>
              </w:rPr>
            </w:pPr>
          </w:p>
        </w:tc>
        <w:tc>
          <w:tcPr>
            <w:tcW w:w="837" w:type="dxa"/>
            <w:tcBorders>
              <w:top w:val="single" w:sz="4" w:space="0" w:color="auto"/>
            </w:tcBorders>
            <w:noWrap/>
            <w:vAlign w:val="center"/>
          </w:tcPr>
          <w:p w14:paraId="6287A074" w14:textId="77777777" w:rsidR="00126D8D" w:rsidRPr="004A4899" w:rsidRDefault="00126D8D" w:rsidP="00820288">
            <w:pPr>
              <w:spacing w:line="240" w:lineRule="auto"/>
              <w:jc w:val="center"/>
              <w:rPr>
                <w:rFonts w:ascii="Times New Roman" w:hAnsi="Times New Roman" w:cs="Times New Roman"/>
                <w:color w:val="000000"/>
                <w:sz w:val="15"/>
                <w:szCs w:val="15"/>
              </w:rPr>
            </w:pPr>
          </w:p>
        </w:tc>
        <w:tc>
          <w:tcPr>
            <w:tcW w:w="763" w:type="dxa"/>
            <w:tcBorders>
              <w:top w:val="single" w:sz="4" w:space="0" w:color="auto"/>
            </w:tcBorders>
            <w:noWrap/>
            <w:vAlign w:val="center"/>
          </w:tcPr>
          <w:p w14:paraId="0823711D" w14:textId="77777777" w:rsidR="00126D8D" w:rsidRPr="004A4899" w:rsidRDefault="00126D8D" w:rsidP="00820288">
            <w:pPr>
              <w:spacing w:line="240" w:lineRule="auto"/>
              <w:jc w:val="center"/>
              <w:rPr>
                <w:rFonts w:ascii="Times New Roman" w:hAnsi="Times New Roman" w:cs="Times New Roman"/>
                <w:color w:val="000000"/>
                <w:sz w:val="15"/>
                <w:szCs w:val="15"/>
              </w:rPr>
            </w:pPr>
          </w:p>
        </w:tc>
        <w:tc>
          <w:tcPr>
            <w:tcW w:w="1478" w:type="dxa"/>
            <w:tcBorders>
              <w:top w:val="single" w:sz="4" w:space="0" w:color="auto"/>
            </w:tcBorders>
            <w:noWrap/>
            <w:vAlign w:val="center"/>
          </w:tcPr>
          <w:p w14:paraId="52B71962" w14:textId="77777777" w:rsidR="00126D8D" w:rsidRPr="004A4899" w:rsidRDefault="00126D8D" w:rsidP="00820288">
            <w:pPr>
              <w:spacing w:line="240" w:lineRule="auto"/>
              <w:jc w:val="center"/>
              <w:rPr>
                <w:rFonts w:ascii="Times New Roman" w:hAnsi="Times New Roman" w:cs="Times New Roman"/>
                <w:color w:val="000000"/>
                <w:sz w:val="15"/>
                <w:szCs w:val="15"/>
              </w:rPr>
            </w:pPr>
          </w:p>
        </w:tc>
      </w:tr>
      <w:tr w:rsidR="00126D8D" w:rsidRPr="00747A19" w14:paraId="7FA93050" w14:textId="77777777" w:rsidTr="00820288">
        <w:trPr>
          <w:trHeight w:val="144"/>
          <w:jc w:val="center"/>
        </w:trPr>
        <w:tc>
          <w:tcPr>
            <w:tcW w:w="1778" w:type="dxa"/>
            <w:noWrap/>
            <w:vAlign w:val="center"/>
            <w:hideMark/>
          </w:tcPr>
          <w:p w14:paraId="54AB78AF" w14:textId="77777777" w:rsidR="00126D8D" w:rsidRPr="004A4899" w:rsidRDefault="00126D8D" w:rsidP="00820288">
            <w:pPr>
              <w:spacing w:line="240" w:lineRule="auto"/>
              <w:rPr>
                <w:rFonts w:ascii="Times New Roman" w:hAnsi="Times New Roman" w:cs="Times New Roman"/>
                <w:color w:val="000000"/>
                <w:sz w:val="15"/>
                <w:szCs w:val="15"/>
              </w:rPr>
            </w:pPr>
            <w:r w:rsidRPr="004A4899">
              <w:rPr>
                <w:rFonts w:ascii="Times New Roman" w:hAnsi="Times New Roman" w:cs="Times New Roman"/>
                <w:color w:val="000000"/>
                <w:sz w:val="15"/>
                <w:szCs w:val="15"/>
              </w:rPr>
              <w:t>(E)-3-Hexen-1-ol</w:t>
            </w:r>
          </w:p>
        </w:tc>
        <w:tc>
          <w:tcPr>
            <w:tcW w:w="1323" w:type="dxa"/>
            <w:noWrap/>
            <w:vAlign w:val="center"/>
            <w:hideMark/>
          </w:tcPr>
          <w:p w14:paraId="5141A1AC" w14:textId="77777777" w:rsidR="00126D8D" w:rsidRPr="004A4899" w:rsidRDefault="00126D8D" w:rsidP="00820288">
            <w:pPr>
              <w:spacing w:line="240" w:lineRule="auto"/>
              <w:jc w:val="center"/>
              <w:rPr>
                <w:rFonts w:ascii="Times New Roman" w:hAnsi="Times New Roman" w:cs="Times New Roman"/>
                <w:color w:val="000000"/>
                <w:sz w:val="15"/>
                <w:szCs w:val="15"/>
              </w:rPr>
            </w:pPr>
            <w:r w:rsidRPr="004A4899">
              <w:rPr>
                <w:rFonts w:ascii="Times New Roman" w:hAnsi="Times New Roman" w:cs="Times New Roman"/>
                <w:color w:val="000000"/>
                <w:sz w:val="15"/>
                <w:szCs w:val="15"/>
              </w:rPr>
              <w:t>928-96-1</w:t>
            </w:r>
          </w:p>
        </w:tc>
        <w:tc>
          <w:tcPr>
            <w:tcW w:w="837" w:type="dxa"/>
            <w:noWrap/>
            <w:vAlign w:val="center"/>
            <w:hideMark/>
          </w:tcPr>
          <w:p w14:paraId="5DE423FE" w14:textId="77777777" w:rsidR="00126D8D" w:rsidRPr="004A4899" w:rsidRDefault="00126D8D" w:rsidP="00820288">
            <w:pPr>
              <w:spacing w:line="240" w:lineRule="auto"/>
              <w:jc w:val="center"/>
              <w:rPr>
                <w:rFonts w:ascii="Times New Roman" w:hAnsi="Times New Roman" w:cs="Times New Roman"/>
                <w:color w:val="000000"/>
                <w:sz w:val="15"/>
                <w:szCs w:val="15"/>
              </w:rPr>
            </w:pPr>
            <w:r w:rsidRPr="004A4899">
              <w:rPr>
                <w:rFonts w:ascii="Times New Roman" w:hAnsi="Times New Roman" w:cs="Times New Roman"/>
                <w:color w:val="000000"/>
                <w:sz w:val="15"/>
                <w:szCs w:val="15"/>
              </w:rPr>
              <w:t>18.44</w:t>
            </w:r>
          </w:p>
        </w:tc>
        <w:tc>
          <w:tcPr>
            <w:tcW w:w="763" w:type="dxa"/>
            <w:noWrap/>
            <w:vAlign w:val="center"/>
            <w:hideMark/>
          </w:tcPr>
          <w:p w14:paraId="14459F51" w14:textId="77777777" w:rsidR="00126D8D" w:rsidRPr="004A4899" w:rsidRDefault="00126D8D" w:rsidP="00820288">
            <w:pPr>
              <w:spacing w:line="240" w:lineRule="auto"/>
              <w:jc w:val="center"/>
              <w:rPr>
                <w:rFonts w:ascii="Times New Roman" w:hAnsi="Times New Roman" w:cs="Times New Roman"/>
                <w:color w:val="000000"/>
                <w:sz w:val="15"/>
                <w:szCs w:val="15"/>
              </w:rPr>
            </w:pPr>
            <w:r w:rsidRPr="004A4899">
              <w:rPr>
                <w:rFonts w:ascii="Times New Roman" w:hAnsi="Times New Roman" w:cs="Times New Roman"/>
                <w:color w:val="000000"/>
                <w:sz w:val="15"/>
                <w:szCs w:val="15"/>
              </w:rPr>
              <w:t>0.81</w:t>
            </w:r>
          </w:p>
        </w:tc>
        <w:tc>
          <w:tcPr>
            <w:tcW w:w="1478" w:type="dxa"/>
            <w:noWrap/>
            <w:vAlign w:val="center"/>
            <w:hideMark/>
          </w:tcPr>
          <w:p w14:paraId="4DFDAA4F" w14:textId="77777777" w:rsidR="00126D8D" w:rsidRPr="004A4899" w:rsidRDefault="00126D8D" w:rsidP="00820288">
            <w:pPr>
              <w:spacing w:line="240" w:lineRule="auto"/>
              <w:jc w:val="center"/>
              <w:rPr>
                <w:rFonts w:ascii="Times New Roman" w:hAnsi="Times New Roman" w:cs="Times New Roman"/>
                <w:color w:val="000000"/>
                <w:sz w:val="15"/>
                <w:szCs w:val="15"/>
              </w:rPr>
            </w:pPr>
            <w:r w:rsidRPr="004A4899">
              <w:rPr>
                <w:rFonts w:ascii="Times New Roman" w:hAnsi="Times New Roman" w:cs="Times New Roman"/>
                <w:color w:val="000000"/>
                <w:sz w:val="15"/>
                <w:szCs w:val="15"/>
              </w:rPr>
              <w:t>0.67</w:t>
            </w:r>
          </w:p>
        </w:tc>
        <w:tc>
          <w:tcPr>
            <w:tcW w:w="92" w:type="dxa"/>
          </w:tcPr>
          <w:p w14:paraId="177B8845" w14:textId="77777777" w:rsidR="00126D8D" w:rsidRPr="004A4899" w:rsidRDefault="00126D8D" w:rsidP="00820288">
            <w:pPr>
              <w:spacing w:line="240" w:lineRule="auto"/>
              <w:jc w:val="center"/>
              <w:rPr>
                <w:rFonts w:ascii="Times New Roman" w:hAnsi="Times New Roman" w:cs="Times New Roman"/>
                <w:color w:val="000000"/>
                <w:sz w:val="15"/>
                <w:szCs w:val="15"/>
              </w:rPr>
            </w:pPr>
          </w:p>
        </w:tc>
        <w:tc>
          <w:tcPr>
            <w:tcW w:w="837" w:type="dxa"/>
            <w:noWrap/>
            <w:vAlign w:val="center"/>
            <w:hideMark/>
          </w:tcPr>
          <w:p w14:paraId="7927844C" w14:textId="77777777" w:rsidR="00126D8D" w:rsidRPr="004A4899" w:rsidRDefault="00126D8D" w:rsidP="00820288">
            <w:pPr>
              <w:spacing w:line="240" w:lineRule="auto"/>
              <w:jc w:val="center"/>
              <w:rPr>
                <w:rFonts w:ascii="Times New Roman" w:hAnsi="Times New Roman" w:cs="Times New Roman"/>
                <w:color w:val="000000"/>
                <w:sz w:val="15"/>
                <w:szCs w:val="15"/>
              </w:rPr>
            </w:pPr>
            <w:r w:rsidRPr="004A4899">
              <w:rPr>
                <w:rFonts w:ascii="Times New Roman" w:hAnsi="Times New Roman" w:cs="Times New Roman"/>
                <w:color w:val="000000"/>
                <w:sz w:val="15"/>
                <w:szCs w:val="15"/>
              </w:rPr>
              <w:t>&lt;0.0001</w:t>
            </w:r>
          </w:p>
        </w:tc>
        <w:tc>
          <w:tcPr>
            <w:tcW w:w="763" w:type="dxa"/>
            <w:noWrap/>
            <w:vAlign w:val="center"/>
            <w:hideMark/>
          </w:tcPr>
          <w:p w14:paraId="7C0B5184" w14:textId="77777777" w:rsidR="00126D8D" w:rsidRPr="004A4899" w:rsidRDefault="00126D8D" w:rsidP="00820288">
            <w:pPr>
              <w:spacing w:line="240" w:lineRule="auto"/>
              <w:jc w:val="center"/>
              <w:rPr>
                <w:rFonts w:ascii="Times New Roman" w:hAnsi="Times New Roman" w:cs="Times New Roman"/>
                <w:color w:val="000000"/>
                <w:sz w:val="15"/>
                <w:szCs w:val="15"/>
              </w:rPr>
            </w:pPr>
            <w:r w:rsidRPr="004A4899">
              <w:rPr>
                <w:rFonts w:ascii="Times New Roman" w:hAnsi="Times New Roman" w:cs="Times New Roman"/>
                <w:color w:val="000000"/>
                <w:sz w:val="15"/>
                <w:szCs w:val="15"/>
              </w:rPr>
              <w:t>0.6264</w:t>
            </w:r>
          </w:p>
        </w:tc>
        <w:tc>
          <w:tcPr>
            <w:tcW w:w="1478" w:type="dxa"/>
            <w:noWrap/>
            <w:vAlign w:val="center"/>
            <w:hideMark/>
          </w:tcPr>
          <w:p w14:paraId="5943232C" w14:textId="77777777" w:rsidR="00126D8D" w:rsidRPr="004A4899" w:rsidRDefault="00126D8D" w:rsidP="00820288">
            <w:pPr>
              <w:spacing w:line="240" w:lineRule="auto"/>
              <w:jc w:val="center"/>
              <w:rPr>
                <w:rFonts w:ascii="Times New Roman" w:hAnsi="Times New Roman" w:cs="Times New Roman"/>
                <w:color w:val="000000"/>
                <w:sz w:val="15"/>
                <w:szCs w:val="15"/>
              </w:rPr>
            </w:pPr>
            <w:r w:rsidRPr="004A4899">
              <w:rPr>
                <w:rFonts w:ascii="Times New Roman" w:hAnsi="Times New Roman" w:cs="Times New Roman"/>
                <w:color w:val="000000"/>
                <w:sz w:val="15"/>
                <w:szCs w:val="15"/>
              </w:rPr>
              <w:t>0.8682</w:t>
            </w:r>
          </w:p>
        </w:tc>
      </w:tr>
      <w:tr w:rsidR="00126D8D" w:rsidRPr="00747A19" w14:paraId="5DD5E296" w14:textId="77777777" w:rsidTr="00820288">
        <w:trPr>
          <w:trHeight w:val="144"/>
          <w:jc w:val="center"/>
        </w:trPr>
        <w:tc>
          <w:tcPr>
            <w:tcW w:w="1778" w:type="dxa"/>
            <w:noWrap/>
            <w:vAlign w:val="center"/>
            <w:hideMark/>
          </w:tcPr>
          <w:p w14:paraId="18AF6B65" w14:textId="77777777" w:rsidR="00126D8D" w:rsidRPr="004A4899" w:rsidRDefault="00126D8D" w:rsidP="00820288">
            <w:pPr>
              <w:spacing w:line="240" w:lineRule="auto"/>
              <w:rPr>
                <w:rFonts w:ascii="Times New Roman" w:hAnsi="Times New Roman" w:cs="Times New Roman"/>
                <w:color w:val="000000"/>
                <w:sz w:val="15"/>
                <w:szCs w:val="15"/>
              </w:rPr>
            </w:pPr>
            <w:r w:rsidRPr="004A4899">
              <w:rPr>
                <w:rFonts w:ascii="Times New Roman" w:hAnsi="Times New Roman" w:cs="Times New Roman"/>
                <w:color w:val="000000"/>
                <w:sz w:val="15"/>
                <w:szCs w:val="15"/>
              </w:rPr>
              <w:t>1-Octen-3-ol</w:t>
            </w:r>
          </w:p>
        </w:tc>
        <w:tc>
          <w:tcPr>
            <w:tcW w:w="1323" w:type="dxa"/>
            <w:noWrap/>
            <w:vAlign w:val="center"/>
            <w:hideMark/>
          </w:tcPr>
          <w:p w14:paraId="1CB7BEC3" w14:textId="77777777" w:rsidR="00126D8D" w:rsidRPr="004A4899" w:rsidRDefault="00126D8D" w:rsidP="00820288">
            <w:pPr>
              <w:spacing w:line="240" w:lineRule="auto"/>
              <w:jc w:val="center"/>
              <w:rPr>
                <w:rFonts w:ascii="Times New Roman" w:hAnsi="Times New Roman" w:cs="Times New Roman"/>
                <w:color w:val="000000"/>
                <w:sz w:val="15"/>
                <w:szCs w:val="15"/>
              </w:rPr>
            </w:pPr>
            <w:r w:rsidRPr="004A4899">
              <w:rPr>
                <w:rFonts w:ascii="Times New Roman" w:hAnsi="Times New Roman" w:cs="Times New Roman"/>
                <w:color w:val="000000"/>
                <w:sz w:val="15"/>
                <w:szCs w:val="15"/>
              </w:rPr>
              <w:t>3391-86-4</w:t>
            </w:r>
          </w:p>
        </w:tc>
        <w:tc>
          <w:tcPr>
            <w:tcW w:w="837" w:type="dxa"/>
            <w:noWrap/>
            <w:vAlign w:val="center"/>
            <w:hideMark/>
          </w:tcPr>
          <w:p w14:paraId="501DF3BD" w14:textId="77777777" w:rsidR="00126D8D" w:rsidRPr="004A4899" w:rsidRDefault="00126D8D" w:rsidP="00820288">
            <w:pPr>
              <w:spacing w:line="240" w:lineRule="auto"/>
              <w:jc w:val="center"/>
              <w:rPr>
                <w:rFonts w:ascii="Times New Roman" w:hAnsi="Times New Roman" w:cs="Times New Roman"/>
                <w:color w:val="000000"/>
                <w:sz w:val="15"/>
                <w:szCs w:val="15"/>
              </w:rPr>
            </w:pPr>
            <w:r w:rsidRPr="004A4899">
              <w:rPr>
                <w:rFonts w:ascii="Times New Roman" w:hAnsi="Times New Roman" w:cs="Times New Roman"/>
                <w:color w:val="000000"/>
                <w:sz w:val="15"/>
                <w:szCs w:val="15"/>
              </w:rPr>
              <w:t>23.16</w:t>
            </w:r>
          </w:p>
        </w:tc>
        <w:tc>
          <w:tcPr>
            <w:tcW w:w="763" w:type="dxa"/>
            <w:noWrap/>
            <w:vAlign w:val="center"/>
            <w:hideMark/>
          </w:tcPr>
          <w:p w14:paraId="281C7CA4" w14:textId="77777777" w:rsidR="00126D8D" w:rsidRPr="004A4899" w:rsidRDefault="00126D8D" w:rsidP="00820288">
            <w:pPr>
              <w:spacing w:line="240" w:lineRule="auto"/>
              <w:jc w:val="center"/>
              <w:rPr>
                <w:rFonts w:ascii="Times New Roman" w:hAnsi="Times New Roman" w:cs="Times New Roman"/>
                <w:color w:val="000000"/>
                <w:sz w:val="15"/>
                <w:szCs w:val="15"/>
              </w:rPr>
            </w:pPr>
            <w:r w:rsidRPr="004A4899">
              <w:rPr>
                <w:rFonts w:ascii="Times New Roman" w:hAnsi="Times New Roman" w:cs="Times New Roman"/>
                <w:color w:val="000000"/>
                <w:sz w:val="15"/>
                <w:szCs w:val="15"/>
              </w:rPr>
              <w:t>3.47</w:t>
            </w:r>
          </w:p>
        </w:tc>
        <w:tc>
          <w:tcPr>
            <w:tcW w:w="1478" w:type="dxa"/>
            <w:noWrap/>
            <w:vAlign w:val="center"/>
            <w:hideMark/>
          </w:tcPr>
          <w:p w14:paraId="67E67764" w14:textId="77777777" w:rsidR="00126D8D" w:rsidRPr="004A4899" w:rsidRDefault="00126D8D" w:rsidP="00820288">
            <w:pPr>
              <w:spacing w:line="240" w:lineRule="auto"/>
              <w:jc w:val="center"/>
              <w:rPr>
                <w:rFonts w:ascii="Times New Roman" w:hAnsi="Times New Roman" w:cs="Times New Roman"/>
                <w:color w:val="000000"/>
                <w:sz w:val="15"/>
                <w:szCs w:val="15"/>
              </w:rPr>
            </w:pPr>
            <w:r w:rsidRPr="004A4899">
              <w:rPr>
                <w:rFonts w:ascii="Times New Roman" w:hAnsi="Times New Roman" w:cs="Times New Roman"/>
                <w:color w:val="000000"/>
                <w:sz w:val="15"/>
                <w:szCs w:val="15"/>
              </w:rPr>
              <w:t>2.32</w:t>
            </w:r>
          </w:p>
        </w:tc>
        <w:tc>
          <w:tcPr>
            <w:tcW w:w="92" w:type="dxa"/>
          </w:tcPr>
          <w:p w14:paraId="0F7F330A" w14:textId="77777777" w:rsidR="00126D8D" w:rsidRPr="004A4899" w:rsidRDefault="00126D8D" w:rsidP="00820288">
            <w:pPr>
              <w:spacing w:line="240" w:lineRule="auto"/>
              <w:jc w:val="center"/>
              <w:rPr>
                <w:rFonts w:ascii="Times New Roman" w:hAnsi="Times New Roman" w:cs="Times New Roman"/>
                <w:color w:val="000000"/>
                <w:sz w:val="15"/>
                <w:szCs w:val="15"/>
              </w:rPr>
            </w:pPr>
          </w:p>
        </w:tc>
        <w:tc>
          <w:tcPr>
            <w:tcW w:w="837" w:type="dxa"/>
            <w:noWrap/>
            <w:vAlign w:val="center"/>
            <w:hideMark/>
          </w:tcPr>
          <w:p w14:paraId="1DD5B5D7" w14:textId="77777777" w:rsidR="00126D8D" w:rsidRPr="004A4899" w:rsidRDefault="00126D8D" w:rsidP="00820288">
            <w:pPr>
              <w:spacing w:line="240" w:lineRule="auto"/>
              <w:jc w:val="center"/>
              <w:rPr>
                <w:rFonts w:ascii="Times New Roman" w:hAnsi="Times New Roman" w:cs="Times New Roman"/>
                <w:color w:val="000000"/>
                <w:sz w:val="15"/>
                <w:szCs w:val="15"/>
              </w:rPr>
            </w:pPr>
            <w:r w:rsidRPr="004A4899">
              <w:rPr>
                <w:rFonts w:ascii="Times New Roman" w:hAnsi="Times New Roman" w:cs="Times New Roman"/>
                <w:color w:val="000000"/>
                <w:sz w:val="15"/>
                <w:szCs w:val="15"/>
              </w:rPr>
              <w:t>&lt;0.0001</w:t>
            </w:r>
          </w:p>
        </w:tc>
        <w:tc>
          <w:tcPr>
            <w:tcW w:w="763" w:type="dxa"/>
            <w:noWrap/>
            <w:vAlign w:val="center"/>
            <w:hideMark/>
          </w:tcPr>
          <w:p w14:paraId="2AADBD38" w14:textId="77777777" w:rsidR="00126D8D" w:rsidRPr="004A4899" w:rsidRDefault="00126D8D" w:rsidP="00820288">
            <w:pPr>
              <w:spacing w:line="240" w:lineRule="auto"/>
              <w:jc w:val="center"/>
              <w:rPr>
                <w:rFonts w:ascii="Times New Roman" w:hAnsi="Times New Roman" w:cs="Times New Roman"/>
                <w:color w:val="000000"/>
                <w:sz w:val="15"/>
                <w:szCs w:val="15"/>
              </w:rPr>
            </w:pPr>
            <w:r w:rsidRPr="004A4899">
              <w:rPr>
                <w:rFonts w:ascii="Times New Roman" w:hAnsi="Times New Roman" w:cs="Times New Roman"/>
                <w:color w:val="000000"/>
                <w:sz w:val="15"/>
                <w:szCs w:val="15"/>
              </w:rPr>
              <w:t>0.0001</w:t>
            </w:r>
          </w:p>
        </w:tc>
        <w:tc>
          <w:tcPr>
            <w:tcW w:w="1478" w:type="dxa"/>
            <w:noWrap/>
            <w:vAlign w:val="center"/>
            <w:hideMark/>
          </w:tcPr>
          <w:p w14:paraId="6640C517" w14:textId="77777777" w:rsidR="00126D8D" w:rsidRPr="004A4899" w:rsidRDefault="00126D8D" w:rsidP="00820288">
            <w:pPr>
              <w:spacing w:line="240" w:lineRule="auto"/>
              <w:jc w:val="center"/>
              <w:rPr>
                <w:rFonts w:ascii="Times New Roman" w:hAnsi="Times New Roman" w:cs="Times New Roman"/>
                <w:color w:val="000000"/>
                <w:sz w:val="15"/>
                <w:szCs w:val="15"/>
              </w:rPr>
            </w:pPr>
            <w:r w:rsidRPr="004A4899">
              <w:rPr>
                <w:rFonts w:ascii="Times New Roman" w:hAnsi="Times New Roman" w:cs="Times New Roman"/>
                <w:color w:val="000000"/>
                <w:sz w:val="15"/>
                <w:szCs w:val="15"/>
              </w:rPr>
              <w:t>&lt;0.0001</w:t>
            </w:r>
          </w:p>
        </w:tc>
      </w:tr>
      <w:tr w:rsidR="00126D8D" w:rsidRPr="00747A19" w14:paraId="1723C3A7" w14:textId="77777777" w:rsidTr="00820288">
        <w:trPr>
          <w:trHeight w:val="144"/>
          <w:jc w:val="center"/>
        </w:trPr>
        <w:tc>
          <w:tcPr>
            <w:tcW w:w="1778" w:type="dxa"/>
            <w:noWrap/>
            <w:vAlign w:val="center"/>
            <w:hideMark/>
          </w:tcPr>
          <w:p w14:paraId="71628F86" w14:textId="77777777" w:rsidR="00126D8D" w:rsidRPr="004A4899" w:rsidRDefault="00126D8D" w:rsidP="00820288">
            <w:pPr>
              <w:spacing w:line="240" w:lineRule="auto"/>
              <w:rPr>
                <w:rFonts w:ascii="Times New Roman" w:hAnsi="Times New Roman" w:cs="Times New Roman"/>
                <w:color w:val="000000"/>
                <w:sz w:val="15"/>
                <w:szCs w:val="15"/>
              </w:rPr>
            </w:pPr>
            <w:r w:rsidRPr="004A4899">
              <w:rPr>
                <w:rFonts w:ascii="Times New Roman" w:hAnsi="Times New Roman" w:cs="Times New Roman"/>
                <w:color w:val="000000"/>
                <w:sz w:val="15"/>
                <w:szCs w:val="15"/>
              </w:rPr>
              <w:t>2-Octyn-1-ol</w:t>
            </w:r>
          </w:p>
        </w:tc>
        <w:tc>
          <w:tcPr>
            <w:tcW w:w="1323" w:type="dxa"/>
            <w:noWrap/>
            <w:vAlign w:val="center"/>
            <w:hideMark/>
          </w:tcPr>
          <w:p w14:paraId="6D28EB42" w14:textId="77777777" w:rsidR="00126D8D" w:rsidRPr="004A4899" w:rsidRDefault="00126D8D" w:rsidP="00820288">
            <w:pPr>
              <w:spacing w:line="240" w:lineRule="auto"/>
              <w:jc w:val="center"/>
              <w:rPr>
                <w:rFonts w:ascii="Times New Roman" w:hAnsi="Times New Roman" w:cs="Times New Roman"/>
                <w:color w:val="000000"/>
                <w:sz w:val="15"/>
                <w:szCs w:val="15"/>
              </w:rPr>
            </w:pPr>
            <w:r w:rsidRPr="004A4899">
              <w:rPr>
                <w:rFonts w:ascii="Times New Roman" w:hAnsi="Times New Roman" w:cs="Times New Roman"/>
                <w:color w:val="000000"/>
                <w:sz w:val="15"/>
                <w:szCs w:val="15"/>
              </w:rPr>
              <w:t>20739-58-6</w:t>
            </w:r>
          </w:p>
        </w:tc>
        <w:tc>
          <w:tcPr>
            <w:tcW w:w="837" w:type="dxa"/>
            <w:noWrap/>
            <w:vAlign w:val="center"/>
            <w:hideMark/>
          </w:tcPr>
          <w:p w14:paraId="55D62C40" w14:textId="77777777" w:rsidR="00126D8D" w:rsidRPr="004A4899" w:rsidRDefault="00126D8D" w:rsidP="00820288">
            <w:pPr>
              <w:spacing w:line="240" w:lineRule="auto"/>
              <w:jc w:val="center"/>
              <w:rPr>
                <w:rFonts w:ascii="Times New Roman" w:hAnsi="Times New Roman" w:cs="Times New Roman"/>
                <w:color w:val="000000"/>
                <w:sz w:val="15"/>
                <w:szCs w:val="15"/>
              </w:rPr>
            </w:pPr>
            <w:r w:rsidRPr="004A4899">
              <w:rPr>
                <w:rFonts w:ascii="Times New Roman" w:hAnsi="Times New Roman" w:cs="Times New Roman"/>
                <w:color w:val="000000"/>
                <w:sz w:val="15"/>
                <w:szCs w:val="15"/>
              </w:rPr>
              <w:t>36.42</w:t>
            </w:r>
          </w:p>
        </w:tc>
        <w:tc>
          <w:tcPr>
            <w:tcW w:w="763" w:type="dxa"/>
            <w:noWrap/>
            <w:vAlign w:val="center"/>
            <w:hideMark/>
          </w:tcPr>
          <w:p w14:paraId="146C7509" w14:textId="77777777" w:rsidR="00126D8D" w:rsidRPr="004A4899" w:rsidRDefault="00126D8D" w:rsidP="00820288">
            <w:pPr>
              <w:spacing w:line="240" w:lineRule="auto"/>
              <w:jc w:val="center"/>
              <w:rPr>
                <w:rFonts w:ascii="Times New Roman" w:hAnsi="Times New Roman" w:cs="Times New Roman"/>
                <w:color w:val="000000"/>
                <w:sz w:val="15"/>
                <w:szCs w:val="15"/>
              </w:rPr>
            </w:pPr>
            <w:r w:rsidRPr="004A4899">
              <w:rPr>
                <w:rFonts w:ascii="Times New Roman" w:hAnsi="Times New Roman" w:cs="Times New Roman"/>
                <w:color w:val="000000"/>
                <w:sz w:val="15"/>
                <w:szCs w:val="15"/>
              </w:rPr>
              <w:t>10.78</w:t>
            </w:r>
          </w:p>
        </w:tc>
        <w:tc>
          <w:tcPr>
            <w:tcW w:w="1478" w:type="dxa"/>
            <w:noWrap/>
            <w:vAlign w:val="center"/>
            <w:hideMark/>
          </w:tcPr>
          <w:p w14:paraId="1FD28F52" w14:textId="77777777" w:rsidR="00126D8D" w:rsidRPr="004A4899" w:rsidRDefault="00126D8D" w:rsidP="00820288">
            <w:pPr>
              <w:spacing w:line="240" w:lineRule="auto"/>
              <w:jc w:val="center"/>
              <w:rPr>
                <w:rFonts w:ascii="Times New Roman" w:hAnsi="Times New Roman" w:cs="Times New Roman"/>
                <w:color w:val="000000"/>
                <w:sz w:val="15"/>
                <w:szCs w:val="15"/>
              </w:rPr>
            </w:pPr>
            <w:r w:rsidRPr="004A4899">
              <w:rPr>
                <w:rFonts w:ascii="Times New Roman" w:hAnsi="Times New Roman" w:cs="Times New Roman"/>
                <w:color w:val="000000"/>
                <w:sz w:val="15"/>
                <w:szCs w:val="15"/>
              </w:rPr>
              <w:t>3.58</w:t>
            </w:r>
          </w:p>
        </w:tc>
        <w:tc>
          <w:tcPr>
            <w:tcW w:w="92" w:type="dxa"/>
          </w:tcPr>
          <w:p w14:paraId="6BD10757" w14:textId="77777777" w:rsidR="00126D8D" w:rsidRPr="004A4899" w:rsidRDefault="00126D8D" w:rsidP="00820288">
            <w:pPr>
              <w:spacing w:line="240" w:lineRule="auto"/>
              <w:jc w:val="center"/>
              <w:rPr>
                <w:rFonts w:ascii="Times New Roman" w:hAnsi="Times New Roman" w:cs="Times New Roman"/>
                <w:color w:val="000000"/>
                <w:sz w:val="15"/>
                <w:szCs w:val="15"/>
              </w:rPr>
            </w:pPr>
          </w:p>
        </w:tc>
        <w:tc>
          <w:tcPr>
            <w:tcW w:w="837" w:type="dxa"/>
            <w:noWrap/>
            <w:vAlign w:val="center"/>
            <w:hideMark/>
          </w:tcPr>
          <w:p w14:paraId="4D138A8B" w14:textId="77777777" w:rsidR="00126D8D" w:rsidRPr="004A4899" w:rsidRDefault="00126D8D" w:rsidP="00820288">
            <w:pPr>
              <w:spacing w:line="240" w:lineRule="auto"/>
              <w:jc w:val="center"/>
              <w:rPr>
                <w:rFonts w:ascii="Times New Roman" w:hAnsi="Times New Roman" w:cs="Times New Roman"/>
                <w:color w:val="000000"/>
                <w:sz w:val="15"/>
                <w:szCs w:val="15"/>
              </w:rPr>
            </w:pPr>
            <w:r w:rsidRPr="004A4899">
              <w:rPr>
                <w:rFonts w:ascii="Times New Roman" w:hAnsi="Times New Roman" w:cs="Times New Roman"/>
                <w:color w:val="000000"/>
                <w:sz w:val="15"/>
                <w:szCs w:val="15"/>
              </w:rPr>
              <w:t>&lt;0.0001</w:t>
            </w:r>
          </w:p>
        </w:tc>
        <w:tc>
          <w:tcPr>
            <w:tcW w:w="763" w:type="dxa"/>
            <w:noWrap/>
            <w:vAlign w:val="center"/>
            <w:hideMark/>
          </w:tcPr>
          <w:p w14:paraId="01B6CCBE" w14:textId="77777777" w:rsidR="00126D8D" w:rsidRPr="004A4899" w:rsidRDefault="00126D8D" w:rsidP="00820288">
            <w:pPr>
              <w:spacing w:line="240" w:lineRule="auto"/>
              <w:jc w:val="center"/>
              <w:rPr>
                <w:rFonts w:ascii="Times New Roman" w:hAnsi="Times New Roman" w:cs="Times New Roman"/>
                <w:color w:val="000000"/>
                <w:sz w:val="15"/>
                <w:szCs w:val="15"/>
              </w:rPr>
            </w:pPr>
            <w:r w:rsidRPr="004A4899">
              <w:rPr>
                <w:rFonts w:ascii="Times New Roman" w:hAnsi="Times New Roman" w:cs="Times New Roman"/>
                <w:color w:val="000000"/>
                <w:sz w:val="15"/>
                <w:szCs w:val="15"/>
              </w:rPr>
              <w:t>&lt;0.0001</w:t>
            </w:r>
          </w:p>
        </w:tc>
        <w:tc>
          <w:tcPr>
            <w:tcW w:w="1478" w:type="dxa"/>
            <w:noWrap/>
            <w:vAlign w:val="center"/>
            <w:hideMark/>
          </w:tcPr>
          <w:p w14:paraId="5CD94B1F" w14:textId="77777777" w:rsidR="00126D8D" w:rsidRPr="004A4899" w:rsidRDefault="00126D8D" w:rsidP="00820288">
            <w:pPr>
              <w:spacing w:line="240" w:lineRule="auto"/>
              <w:jc w:val="center"/>
              <w:rPr>
                <w:rFonts w:ascii="Times New Roman" w:hAnsi="Times New Roman" w:cs="Times New Roman"/>
                <w:color w:val="000000"/>
                <w:sz w:val="15"/>
                <w:szCs w:val="15"/>
              </w:rPr>
            </w:pPr>
            <w:r w:rsidRPr="004A4899">
              <w:rPr>
                <w:rFonts w:ascii="Times New Roman" w:hAnsi="Times New Roman" w:cs="Times New Roman"/>
                <w:color w:val="000000"/>
                <w:sz w:val="15"/>
                <w:szCs w:val="15"/>
              </w:rPr>
              <w:t>&lt;0.0001</w:t>
            </w:r>
          </w:p>
        </w:tc>
      </w:tr>
      <w:tr w:rsidR="00126D8D" w:rsidRPr="00747A19" w14:paraId="129CE1FC" w14:textId="77777777" w:rsidTr="00820288">
        <w:trPr>
          <w:trHeight w:val="144"/>
          <w:jc w:val="center"/>
        </w:trPr>
        <w:tc>
          <w:tcPr>
            <w:tcW w:w="1778" w:type="dxa"/>
            <w:noWrap/>
            <w:vAlign w:val="center"/>
            <w:hideMark/>
          </w:tcPr>
          <w:p w14:paraId="52158A8D" w14:textId="77777777" w:rsidR="00126D8D" w:rsidRPr="004A4899" w:rsidRDefault="00126D8D" w:rsidP="00820288">
            <w:pPr>
              <w:spacing w:line="240" w:lineRule="auto"/>
              <w:rPr>
                <w:rFonts w:ascii="Times New Roman" w:hAnsi="Times New Roman" w:cs="Times New Roman"/>
                <w:color w:val="000000"/>
                <w:sz w:val="15"/>
                <w:szCs w:val="15"/>
              </w:rPr>
            </w:pPr>
            <w:r w:rsidRPr="004A4899">
              <w:rPr>
                <w:rFonts w:ascii="Times New Roman" w:hAnsi="Times New Roman" w:cs="Times New Roman"/>
                <w:color w:val="000000"/>
                <w:sz w:val="15"/>
                <w:szCs w:val="15"/>
              </w:rPr>
              <w:t>2-Phenylethanol</w:t>
            </w:r>
          </w:p>
        </w:tc>
        <w:tc>
          <w:tcPr>
            <w:tcW w:w="1323" w:type="dxa"/>
            <w:noWrap/>
            <w:vAlign w:val="center"/>
            <w:hideMark/>
          </w:tcPr>
          <w:p w14:paraId="1F71157F" w14:textId="77777777" w:rsidR="00126D8D" w:rsidRPr="004A4899" w:rsidRDefault="00126D8D" w:rsidP="00820288">
            <w:pPr>
              <w:spacing w:line="240" w:lineRule="auto"/>
              <w:jc w:val="center"/>
              <w:rPr>
                <w:rFonts w:ascii="Times New Roman" w:hAnsi="Times New Roman" w:cs="Times New Roman"/>
                <w:color w:val="000000"/>
                <w:sz w:val="15"/>
                <w:szCs w:val="15"/>
              </w:rPr>
            </w:pPr>
            <w:r w:rsidRPr="004A4899">
              <w:rPr>
                <w:rFonts w:ascii="Times New Roman" w:hAnsi="Times New Roman" w:cs="Times New Roman"/>
                <w:color w:val="000000"/>
                <w:sz w:val="15"/>
                <w:szCs w:val="15"/>
              </w:rPr>
              <w:t>60-12-8</w:t>
            </w:r>
          </w:p>
        </w:tc>
        <w:tc>
          <w:tcPr>
            <w:tcW w:w="837" w:type="dxa"/>
            <w:noWrap/>
            <w:vAlign w:val="center"/>
            <w:hideMark/>
          </w:tcPr>
          <w:p w14:paraId="50526D8C" w14:textId="77777777" w:rsidR="00126D8D" w:rsidRPr="004A4899" w:rsidRDefault="00126D8D" w:rsidP="00820288">
            <w:pPr>
              <w:spacing w:line="240" w:lineRule="auto"/>
              <w:jc w:val="center"/>
              <w:rPr>
                <w:rFonts w:ascii="Times New Roman" w:hAnsi="Times New Roman" w:cs="Times New Roman"/>
                <w:color w:val="000000"/>
                <w:sz w:val="15"/>
                <w:szCs w:val="15"/>
              </w:rPr>
            </w:pPr>
            <w:r w:rsidRPr="004A4899">
              <w:rPr>
                <w:rFonts w:ascii="Times New Roman" w:hAnsi="Times New Roman" w:cs="Times New Roman"/>
                <w:color w:val="000000"/>
                <w:sz w:val="15"/>
                <w:szCs w:val="15"/>
              </w:rPr>
              <w:t>44.24</w:t>
            </w:r>
          </w:p>
        </w:tc>
        <w:tc>
          <w:tcPr>
            <w:tcW w:w="763" w:type="dxa"/>
            <w:noWrap/>
            <w:vAlign w:val="center"/>
            <w:hideMark/>
          </w:tcPr>
          <w:p w14:paraId="0541677C" w14:textId="77777777" w:rsidR="00126D8D" w:rsidRPr="004A4899" w:rsidRDefault="00126D8D" w:rsidP="00820288">
            <w:pPr>
              <w:spacing w:line="240" w:lineRule="auto"/>
              <w:jc w:val="center"/>
              <w:rPr>
                <w:rFonts w:ascii="Times New Roman" w:hAnsi="Times New Roman" w:cs="Times New Roman"/>
                <w:color w:val="000000"/>
                <w:sz w:val="15"/>
                <w:szCs w:val="15"/>
              </w:rPr>
            </w:pPr>
            <w:r w:rsidRPr="004A4899">
              <w:rPr>
                <w:rFonts w:ascii="Times New Roman" w:hAnsi="Times New Roman" w:cs="Times New Roman"/>
                <w:color w:val="000000"/>
                <w:sz w:val="15"/>
                <w:szCs w:val="15"/>
              </w:rPr>
              <w:t>11.18</w:t>
            </w:r>
          </w:p>
        </w:tc>
        <w:tc>
          <w:tcPr>
            <w:tcW w:w="1478" w:type="dxa"/>
            <w:noWrap/>
            <w:vAlign w:val="center"/>
            <w:hideMark/>
          </w:tcPr>
          <w:p w14:paraId="392BA86F" w14:textId="77777777" w:rsidR="00126D8D" w:rsidRPr="004A4899" w:rsidRDefault="00126D8D" w:rsidP="00820288">
            <w:pPr>
              <w:spacing w:line="240" w:lineRule="auto"/>
              <w:jc w:val="center"/>
              <w:rPr>
                <w:rFonts w:ascii="Times New Roman" w:hAnsi="Times New Roman" w:cs="Times New Roman"/>
                <w:color w:val="000000"/>
                <w:sz w:val="15"/>
                <w:szCs w:val="15"/>
              </w:rPr>
            </w:pPr>
            <w:r w:rsidRPr="004A4899">
              <w:rPr>
                <w:rFonts w:ascii="Times New Roman" w:hAnsi="Times New Roman" w:cs="Times New Roman"/>
                <w:color w:val="000000"/>
                <w:sz w:val="15"/>
                <w:szCs w:val="15"/>
              </w:rPr>
              <w:t>3.90</w:t>
            </w:r>
          </w:p>
        </w:tc>
        <w:tc>
          <w:tcPr>
            <w:tcW w:w="92" w:type="dxa"/>
          </w:tcPr>
          <w:p w14:paraId="5AE9807E" w14:textId="77777777" w:rsidR="00126D8D" w:rsidRPr="004A4899" w:rsidRDefault="00126D8D" w:rsidP="00820288">
            <w:pPr>
              <w:spacing w:line="240" w:lineRule="auto"/>
              <w:jc w:val="center"/>
              <w:rPr>
                <w:rFonts w:ascii="Times New Roman" w:hAnsi="Times New Roman" w:cs="Times New Roman"/>
                <w:color w:val="000000"/>
                <w:sz w:val="15"/>
                <w:szCs w:val="15"/>
              </w:rPr>
            </w:pPr>
          </w:p>
        </w:tc>
        <w:tc>
          <w:tcPr>
            <w:tcW w:w="837" w:type="dxa"/>
            <w:noWrap/>
            <w:vAlign w:val="center"/>
            <w:hideMark/>
          </w:tcPr>
          <w:p w14:paraId="4AF33744" w14:textId="77777777" w:rsidR="00126D8D" w:rsidRPr="004A4899" w:rsidRDefault="00126D8D" w:rsidP="00820288">
            <w:pPr>
              <w:spacing w:line="240" w:lineRule="auto"/>
              <w:jc w:val="center"/>
              <w:rPr>
                <w:rFonts w:ascii="Times New Roman" w:hAnsi="Times New Roman" w:cs="Times New Roman"/>
                <w:color w:val="000000"/>
                <w:sz w:val="15"/>
                <w:szCs w:val="15"/>
              </w:rPr>
            </w:pPr>
            <w:r w:rsidRPr="004A4899">
              <w:rPr>
                <w:rFonts w:ascii="Times New Roman" w:hAnsi="Times New Roman" w:cs="Times New Roman"/>
                <w:color w:val="000000"/>
                <w:sz w:val="15"/>
                <w:szCs w:val="15"/>
              </w:rPr>
              <w:t>&lt;0.0001</w:t>
            </w:r>
          </w:p>
        </w:tc>
        <w:tc>
          <w:tcPr>
            <w:tcW w:w="763" w:type="dxa"/>
            <w:noWrap/>
            <w:vAlign w:val="center"/>
            <w:hideMark/>
          </w:tcPr>
          <w:p w14:paraId="6F9C0F35" w14:textId="77777777" w:rsidR="00126D8D" w:rsidRPr="004A4899" w:rsidRDefault="00126D8D" w:rsidP="00820288">
            <w:pPr>
              <w:spacing w:line="240" w:lineRule="auto"/>
              <w:jc w:val="center"/>
              <w:rPr>
                <w:rFonts w:ascii="Times New Roman" w:hAnsi="Times New Roman" w:cs="Times New Roman"/>
                <w:color w:val="000000"/>
                <w:sz w:val="15"/>
                <w:szCs w:val="15"/>
              </w:rPr>
            </w:pPr>
            <w:r w:rsidRPr="004A4899">
              <w:rPr>
                <w:rFonts w:ascii="Times New Roman" w:hAnsi="Times New Roman" w:cs="Times New Roman"/>
                <w:color w:val="000000"/>
                <w:sz w:val="15"/>
                <w:szCs w:val="15"/>
              </w:rPr>
              <w:t>&lt;0.0001</w:t>
            </w:r>
          </w:p>
        </w:tc>
        <w:tc>
          <w:tcPr>
            <w:tcW w:w="1478" w:type="dxa"/>
            <w:noWrap/>
            <w:vAlign w:val="center"/>
            <w:hideMark/>
          </w:tcPr>
          <w:p w14:paraId="5100467C" w14:textId="77777777" w:rsidR="00126D8D" w:rsidRPr="004A4899" w:rsidRDefault="00126D8D" w:rsidP="00820288">
            <w:pPr>
              <w:spacing w:line="240" w:lineRule="auto"/>
              <w:jc w:val="center"/>
              <w:rPr>
                <w:rFonts w:ascii="Times New Roman" w:hAnsi="Times New Roman" w:cs="Times New Roman"/>
                <w:color w:val="000000"/>
                <w:sz w:val="15"/>
                <w:szCs w:val="15"/>
              </w:rPr>
            </w:pPr>
            <w:r w:rsidRPr="004A4899">
              <w:rPr>
                <w:rFonts w:ascii="Times New Roman" w:hAnsi="Times New Roman" w:cs="Times New Roman"/>
                <w:color w:val="000000"/>
                <w:sz w:val="15"/>
                <w:szCs w:val="15"/>
              </w:rPr>
              <w:t>&lt;0.0001</w:t>
            </w:r>
          </w:p>
        </w:tc>
      </w:tr>
      <w:tr w:rsidR="00126D8D" w:rsidRPr="00747A19" w14:paraId="3A11015C" w14:textId="77777777" w:rsidTr="00820288">
        <w:trPr>
          <w:trHeight w:val="144"/>
          <w:jc w:val="center"/>
        </w:trPr>
        <w:tc>
          <w:tcPr>
            <w:tcW w:w="1778" w:type="dxa"/>
            <w:noWrap/>
            <w:vAlign w:val="center"/>
          </w:tcPr>
          <w:p w14:paraId="27963958" w14:textId="77777777" w:rsidR="00126D8D" w:rsidRPr="004A4899" w:rsidRDefault="00126D8D" w:rsidP="00820288">
            <w:pPr>
              <w:spacing w:line="240" w:lineRule="auto"/>
              <w:rPr>
                <w:rFonts w:ascii="Times New Roman" w:hAnsi="Times New Roman" w:cs="Times New Roman"/>
                <w:b/>
                <w:bCs/>
                <w:color w:val="000000"/>
                <w:sz w:val="15"/>
                <w:szCs w:val="15"/>
              </w:rPr>
            </w:pPr>
            <w:r w:rsidRPr="004A4899">
              <w:rPr>
                <w:rFonts w:ascii="Times New Roman" w:hAnsi="Times New Roman" w:cs="Times New Roman"/>
                <w:b/>
                <w:bCs/>
                <w:color w:val="000000"/>
                <w:sz w:val="15"/>
                <w:szCs w:val="15"/>
              </w:rPr>
              <w:t>Aldehydes</w:t>
            </w:r>
          </w:p>
        </w:tc>
        <w:tc>
          <w:tcPr>
            <w:tcW w:w="1323" w:type="dxa"/>
            <w:noWrap/>
            <w:vAlign w:val="center"/>
          </w:tcPr>
          <w:p w14:paraId="4922B2AB" w14:textId="77777777" w:rsidR="00126D8D" w:rsidRPr="004A4899" w:rsidRDefault="00126D8D" w:rsidP="00820288">
            <w:pPr>
              <w:spacing w:line="240" w:lineRule="auto"/>
              <w:jc w:val="center"/>
              <w:rPr>
                <w:rFonts w:ascii="Times New Roman" w:hAnsi="Times New Roman" w:cs="Times New Roman"/>
                <w:color w:val="000000"/>
                <w:sz w:val="15"/>
                <w:szCs w:val="15"/>
              </w:rPr>
            </w:pPr>
          </w:p>
        </w:tc>
        <w:tc>
          <w:tcPr>
            <w:tcW w:w="837" w:type="dxa"/>
            <w:noWrap/>
            <w:vAlign w:val="center"/>
          </w:tcPr>
          <w:p w14:paraId="532D31D2" w14:textId="77777777" w:rsidR="00126D8D" w:rsidRPr="004A4899" w:rsidRDefault="00126D8D" w:rsidP="00820288">
            <w:pPr>
              <w:spacing w:line="240" w:lineRule="auto"/>
              <w:jc w:val="center"/>
              <w:rPr>
                <w:rFonts w:ascii="Times New Roman" w:hAnsi="Times New Roman" w:cs="Times New Roman"/>
                <w:color w:val="000000"/>
                <w:sz w:val="15"/>
                <w:szCs w:val="15"/>
              </w:rPr>
            </w:pPr>
          </w:p>
        </w:tc>
        <w:tc>
          <w:tcPr>
            <w:tcW w:w="763" w:type="dxa"/>
            <w:noWrap/>
            <w:vAlign w:val="center"/>
          </w:tcPr>
          <w:p w14:paraId="07DD2E1E" w14:textId="77777777" w:rsidR="00126D8D" w:rsidRPr="004A4899" w:rsidRDefault="00126D8D" w:rsidP="00820288">
            <w:pPr>
              <w:spacing w:line="240" w:lineRule="auto"/>
              <w:jc w:val="center"/>
              <w:rPr>
                <w:rFonts w:ascii="Times New Roman" w:hAnsi="Times New Roman" w:cs="Times New Roman"/>
                <w:color w:val="000000"/>
                <w:sz w:val="15"/>
                <w:szCs w:val="15"/>
              </w:rPr>
            </w:pPr>
          </w:p>
        </w:tc>
        <w:tc>
          <w:tcPr>
            <w:tcW w:w="1478" w:type="dxa"/>
            <w:noWrap/>
            <w:vAlign w:val="center"/>
          </w:tcPr>
          <w:p w14:paraId="4B3EECCB" w14:textId="77777777" w:rsidR="00126D8D" w:rsidRPr="004A4899" w:rsidRDefault="00126D8D" w:rsidP="00820288">
            <w:pPr>
              <w:spacing w:line="240" w:lineRule="auto"/>
              <w:jc w:val="center"/>
              <w:rPr>
                <w:rFonts w:ascii="Times New Roman" w:hAnsi="Times New Roman" w:cs="Times New Roman"/>
                <w:color w:val="000000"/>
                <w:sz w:val="15"/>
                <w:szCs w:val="15"/>
              </w:rPr>
            </w:pPr>
          </w:p>
        </w:tc>
        <w:tc>
          <w:tcPr>
            <w:tcW w:w="92" w:type="dxa"/>
          </w:tcPr>
          <w:p w14:paraId="480F14EB" w14:textId="77777777" w:rsidR="00126D8D" w:rsidRPr="004A4899" w:rsidRDefault="00126D8D" w:rsidP="00820288">
            <w:pPr>
              <w:spacing w:line="240" w:lineRule="auto"/>
              <w:jc w:val="center"/>
              <w:rPr>
                <w:rFonts w:ascii="Times New Roman" w:hAnsi="Times New Roman" w:cs="Times New Roman"/>
                <w:color w:val="000000"/>
                <w:sz w:val="15"/>
                <w:szCs w:val="15"/>
              </w:rPr>
            </w:pPr>
          </w:p>
        </w:tc>
        <w:tc>
          <w:tcPr>
            <w:tcW w:w="837" w:type="dxa"/>
            <w:noWrap/>
            <w:vAlign w:val="center"/>
          </w:tcPr>
          <w:p w14:paraId="05A247CD" w14:textId="77777777" w:rsidR="00126D8D" w:rsidRPr="004A4899" w:rsidRDefault="00126D8D" w:rsidP="00820288">
            <w:pPr>
              <w:spacing w:line="240" w:lineRule="auto"/>
              <w:jc w:val="center"/>
              <w:rPr>
                <w:rFonts w:ascii="Times New Roman" w:hAnsi="Times New Roman" w:cs="Times New Roman"/>
                <w:color w:val="000000"/>
                <w:sz w:val="15"/>
                <w:szCs w:val="15"/>
              </w:rPr>
            </w:pPr>
          </w:p>
        </w:tc>
        <w:tc>
          <w:tcPr>
            <w:tcW w:w="763" w:type="dxa"/>
            <w:noWrap/>
            <w:vAlign w:val="center"/>
          </w:tcPr>
          <w:p w14:paraId="3DA94170" w14:textId="77777777" w:rsidR="00126D8D" w:rsidRPr="004A4899" w:rsidRDefault="00126D8D" w:rsidP="00820288">
            <w:pPr>
              <w:spacing w:line="240" w:lineRule="auto"/>
              <w:jc w:val="center"/>
              <w:rPr>
                <w:rFonts w:ascii="Times New Roman" w:hAnsi="Times New Roman" w:cs="Times New Roman"/>
                <w:color w:val="000000"/>
                <w:sz w:val="15"/>
                <w:szCs w:val="15"/>
              </w:rPr>
            </w:pPr>
          </w:p>
        </w:tc>
        <w:tc>
          <w:tcPr>
            <w:tcW w:w="1478" w:type="dxa"/>
            <w:noWrap/>
            <w:vAlign w:val="center"/>
          </w:tcPr>
          <w:p w14:paraId="214047D9" w14:textId="77777777" w:rsidR="00126D8D" w:rsidRPr="004A4899" w:rsidRDefault="00126D8D" w:rsidP="00820288">
            <w:pPr>
              <w:spacing w:line="240" w:lineRule="auto"/>
              <w:jc w:val="center"/>
              <w:rPr>
                <w:rFonts w:ascii="Times New Roman" w:hAnsi="Times New Roman" w:cs="Times New Roman"/>
                <w:color w:val="000000"/>
                <w:sz w:val="15"/>
                <w:szCs w:val="15"/>
              </w:rPr>
            </w:pPr>
          </w:p>
        </w:tc>
      </w:tr>
      <w:tr w:rsidR="00126D8D" w:rsidRPr="00747A19" w14:paraId="48729914" w14:textId="77777777" w:rsidTr="00820288">
        <w:trPr>
          <w:trHeight w:val="144"/>
          <w:jc w:val="center"/>
        </w:trPr>
        <w:tc>
          <w:tcPr>
            <w:tcW w:w="1778" w:type="dxa"/>
            <w:noWrap/>
            <w:vAlign w:val="center"/>
            <w:hideMark/>
          </w:tcPr>
          <w:p w14:paraId="396E02BC" w14:textId="77777777" w:rsidR="00126D8D" w:rsidRPr="004A4899" w:rsidRDefault="00126D8D" w:rsidP="00820288">
            <w:pPr>
              <w:spacing w:line="240" w:lineRule="auto"/>
              <w:rPr>
                <w:rFonts w:ascii="Times New Roman" w:hAnsi="Times New Roman" w:cs="Times New Roman"/>
                <w:color w:val="000000"/>
                <w:sz w:val="15"/>
                <w:szCs w:val="15"/>
              </w:rPr>
            </w:pPr>
            <w:r w:rsidRPr="004A4899">
              <w:rPr>
                <w:rFonts w:ascii="Times New Roman" w:hAnsi="Times New Roman" w:cs="Times New Roman"/>
                <w:color w:val="000000"/>
                <w:sz w:val="15"/>
                <w:szCs w:val="15"/>
              </w:rPr>
              <w:t>2-Ethyl-2-butenal</w:t>
            </w:r>
          </w:p>
        </w:tc>
        <w:tc>
          <w:tcPr>
            <w:tcW w:w="1323" w:type="dxa"/>
            <w:noWrap/>
            <w:vAlign w:val="center"/>
            <w:hideMark/>
          </w:tcPr>
          <w:p w14:paraId="4C6BB7BE" w14:textId="77777777" w:rsidR="00126D8D" w:rsidRPr="004A4899" w:rsidRDefault="00126D8D" w:rsidP="00820288">
            <w:pPr>
              <w:spacing w:line="240" w:lineRule="auto"/>
              <w:jc w:val="center"/>
              <w:rPr>
                <w:rFonts w:ascii="Times New Roman" w:hAnsi="Times New Roman" w:cs="Times New Roman"/>
                <w:color w:val="000000"/>
                <w:sz w:val="15"/>
                <w:szCs w:val="15"/>
              </w:rPr>
            </w:pPr>
            <w:r w:rsidRPr="004A4899">
              <w:rPr>
                <w:rFonts w:ascii="Times New Roman" w:hAnsi="Times New Roman" w:cs="Times New Roman"/>
                <w:color w:val="000000"/>
                <w:sz w:val="15"/>
                <w:szCs w:val="15"/>
              </w:rPr>
              <w:t>19780-25-7</w:t>
            </w:r>
          </w:p>
        </w:tc>
        <w:tc>
          <w:tcPr>
            <w:tcW w:w="837" w:type="dxa"/>
            <w:noWrap/>
            <w:vAlign w:val="center"/>
            <w:hideMark/>
          </w:tcPr>
          <w:p w14:paraId="5B74DEDF" w14:textId="77777777" w:rsidR="00126D8D" w:rsidRPr="004A4899" w:rsidRDefault="00126D8D" w:rsidP="00820288">
            <w:pPr>
              <w:spacing w:line="240" w:lineRule="auto"/>
              <w:jc w:val="center"/>
              <w:rPr>
                <w:rFonts w:ascii="Times New Roman" w:hAnsi="Times New Roman" w:cs="Times New Roman"/>
                <w:color w:val="000000"/>
                <w:sz w:val="15"/>
                <w:szCs w:val="15"/>
              </w:rPr>
            </w:pPr>
            <w:r w:rsidRPr="004A4899">
              <w:rPr>
                <w:rFonts w:ascii="Times New Roman" w:hAnsi="Times New Roman" w:cs="Times New Roman"/>
                <w:color w:val="000000"/>
                <w:sz w:val="15"/>
                <w:szCs w:val="15"/>
              </w:rPr>
              <w:t>44.87</w:t>
            </w:r>
          </w:p>
        </w:tc>
        <w:tc>
          <w:tcPr>
            <w:tcW w:w="763" w:type="dxa"/>
            <w:noWrap/>
            <w:vAlign w:val="center"/>
            <w:hideMark/>
          </w:tcPr>
          <w:p w14:paraId="2D96EB9A" w14:textId="77777777" w:rsidR="00126D8D" w:rsidRPr="004A4899" w:rsidRDefault="00126D8D" w:rsidP="00820288">
            <w:pPr>
              <w:spacing w:line="240" w:lineRule="auto"/>
              <w:jc w:val="center"/>
              <w:rPr>
                <w:rFonts w:ascii="Times New Roman" w:hAnsi="Times New Roman" w:cs="Times New Roman"/>
                <w:color w:val="000000"/>
                <w:sz w:val="15"/>
                <w:szCs w:val="15"/>
              </w:rPr>
            </w:pPr>
            <w:r w:rsidRPr="004A4899">
              <w:rPr>
                <w:rFonts w:ascii="Times New Roman" w:hAnsi="Times New Roman" w:cs="Times New Roman"/>
                <w:color w:val="000000"/>
                <w:sz w:val="15"/>
                <w:szCs w:val="15"/>
              </w:rPr>
              <w:t>1.60</w:t>
            </w:r>
          </w:p>
        </w:tc>
        <w:tc>
          <w:tcPr>
            <w:tcW w:w="1478" w:type="dxa"/>
            <w:noWrap/>
            <w:vAlign w:val="center"/>
            <w:hideMark/>
          </w:tcPr>
          <w:p w14:paraId="11D93D94" w14:textId="77777777" w:rsidR="00126D8D" w:rsidRPr="004A4899" w:rsidRDefault="00126D8D" w:rsidP="00820288">
            <w:pPr>
              <w:spacing w:line="240" w:lineRule="auto"/>
              <w:jc w:val="center"/>
              <w:rPr>
                <w:rFonts w:ascii="Times New Roman" w:hAnsi="Times New Roman" w:cs="Times New Roman"/>
                <w:color w:val="000000"/>
                <w:sz w:val="15"/>
                <w:szCs w:val="15"/>
              </w:rPr>
            </w:pPr>
            <w:r w:rsidRPr="004A4899">
              <w:rPr>
                <w:rFonts w:ascii="Times New Roman" w:hAnsi="Times New Roman" w:cs="Times New Roman"/>
                <w:color w:val="000000"/>
                <w:sz w:val="15"/>
                <w:szCs w:val="15"/>
              </w:rPr>
              <w:t>2.26</w:t>
            </w:r>
          </w:p>
        </w:tc>
        <w:tc>
          <w:tcPr>
            <w:tcW w:w="92" w:type="dxa"/>
          </w:tcPr>
          <w:p w14:paraId="561C06F2" w14:textId="77777777" w:rsidR="00126D8D" w:rsidRPr="004A4899" w:rsidRDefault="00126D8D" w:rsidP="00820288">
            <w:pPr>
              <w:spacing w:line="240" w:lineRule="auto"/>
              <w:jc w:val="center"/>
              <w:rPr>
                <w:rFonts w:ascii="Times New Roman" w:hAnsi="Times New Roman" w:cs="Times New Roman"/>
                <w:color w:val="000000"/>
                <w:sz w:val="15"/>
                <w:szCs w:val="15"/>
              </w:rPr>
            </w:pPr>
          </w:p>
        </w:tc>
        <w:tc>
          <w:tcPr>
            <w:tcW w:w="837" w:type="dxa"/>
            <w:noWrap/>
            <w:vAlign w:val="center"/>
            <w:hideMark/>
          </w:tcPr>
          <w:p w14:paraId="0C4343E4" w14:textId="77777777" w:rsidR="00126D8D" w:rsidRPr="004A4899" w:rsidRDefault="00126D8D" w:rsidP="00820288">
            <w:pPr>
              <w:spacing w:line="240" w:lineRule="auto"/>
              <w:jc w:val="center"/>
              <w:rPr>
                <w:rFonts w:ascii="Times New Roman" w:hAnsi="Times New Roman" w:cs="Times New Roman"/>
                <w:color w:val="000000"/>
                <w:sz w:val="15"/>
                <w:szCs w:val="15"/>
              </w:rPr>
            </w:pPr>
            <w:r w:rsidRPr="004A4899">
              <w:rPr>
                <w:rFonts w:ascii="Times New Roman" w:hAnsi="Times New Roman" w:cs="Times New Roman"/>
                <w:color w:val="000000"/>
                <w:sz w:val="15"/>
                <w:szCs w:val="15"/>
              </w:rPr>
              <w:t>&lt;0.0001</w:t>
            </w:r>
          </w:p>
        </w:tc>
        <w:tc>
          <w:tcPr>
            <w:tcW w:w="763" w:type="dxa"/>
            <w:noWrap/>
            <w:vAlign w:val="center"/>
            <w:hideMark/>
          </w:tcPr>
          <w:p w14:paraId="0B902A5E" w14:textId="77777777" w:rsidR="00126D8D" w:rsidRPr="004A4899" w:rsidRDefault="00126D8D" w:rsidP="00820288">
            <w:pPr>
              <w:spacing w:line="240" w:lineRule="auto"/>
              <w:jc w:val="center"/>
              <w:rPr>
                <w:rFonts w:ascii="Times New Roman" w:hAnsi="Times New Roman" w:cs="Times New Roman"/>
                <w:color w:val="000000"/>
                <w:sz w:val="15"/>
                <w:szCs w:val="15"/>
              </w:rPr>
            </w:pPr>
            <w:r w:rsidRPr="004A4899">
              <w:rPr>
                <w:rFonts w:ascii="Times New Roman" w:hAnsi="Times New Roman" w:cs="Times New Roman"/>
                <w:color w:val="000000"/>
                <w:sz w:val="15"/>
                <w:szCs w:val="15"/>
              </w:rPr>
              <w:t>0.0977</w:t>
            </w:r>
          </w:p>
        </w:tc>
        <w:tc>
          <w:tcPr>
            <w:tcW w:w="1478" w:type="dxa"/>
            <w:noWrap/>
            <w:vAlign w:val="center"/>
            <w:hideMark/>
          </w:tcPr>
          <w:p w14:paraId="34B615E4" w14:textId="77777777" w:rsidR="00126D8D" w:rsidRPr="004A4899" w:rsidRDefault="00126D8D" w:rsidP="00820288">
            <w:pPr>
              <w:spacing w:line="240" w:lineRule="auto"/>
              <w:jc w:val="center"/>
              <w:rPr>
                <w:rFonts w:ascii="Times New Roman" w:hAnsi="Times New Roman" w:cs="Times New Roman"/>
                <w:color w:val="000000"/>
                <w:sz w:val="15"/>
                <w:szCs w:val="15"/>
              </w:rPr>
            </w:pPr>
            <w:r w:rsidRPr="004A4899">
              <w:rPr>
                <w:rFonts w:ascii="Times New Roman" w:hAnsi="Times New Roman" w:cs="Times New Roman"/>
                <w:color w:val="000000"/>
                <w:sz w:val="15"/>
                <w:szCs w:val="15"/>
              </w:rPr>
              <w:t>0.0002</w:t>
            </w:r>
          </w:p>
        </w:tc>
      </w:tr>
      <w:tr w:rsidR="00126D8D" w:rsidRPr="00747A19" w14:paraId="0DE49306" w14:textId="77777777" w:rsidTr="00820288">
        <w:trPr>
          <w:trHeight w:val="144"/>
          <w:jc w:val="center"/>
        </w:trPr>
        <w:tc>
          <w:tcPr>
            <w:tcW w:w="1778" w:type="dxa"/>
            <w:noWrap/>
            <w:vAlign w:val="center"/>
            <w:hideMark/>
          </w:tcPr>
          <w:p w14:paraId="6F677884" w14:textId="77777777" w:rsidR="00126D8D" w:rsidRPr="004A4899" w:rsidRDefault="00126D8D" w:rsidP="00820288">
            <w:pPr>
              <w:spacing w:line="240" w:lineRule="auto"/>
              <w:rPr>
                <w:rFonts w:ascii="Times New Roman" w:hAnsi="Times New Roman" w:cs="Times New Roman"/>
                <w:color w:val="000000"/>
                <w:sz w:val="15"/>
                <w:szCs w:val="15"/>
              </w:rPr>
            </w:pPr>
            <w:r w:rsidRPr="004A4899">
              <w:rPr>
                <w:rFonts w:ascii="Times New Roman" w:hAnsi="Times New Roman" w:cs="Times New Roman"/>
                <w:color w:val="000000"/>
                <w:sz w:val="15"/>
                <w:szCs w:val="15"/>
              </w:rPr>
              <w:t>2-Hexenal</w:t>
            </w:r>
          </w:p>
        </w:tc>
        <w:tc>
          <w:tcPr>
            <w:tcW w:w="1323" w:type="dxa"/>
            <w:noWrap/>
            <w:vAlign w:val="center"/>
            <w:hideMark/>
          </w:tcPr>
          <w:p w14:paraId="6F876180" w14:textId="77777777" w:rsidR="00126D8D" w:rsidRPr="004A4899" w:rsidRDefault="00126D8D" w:rsidP="00820288">
            <w:pPr>
              <w:spacing w:line="240" w:lineRule="auto"/>
              <w:jc w:val="center"/>
              <w:rPr>
                <w:rFonts w:ascii="Times New Roman" w:hAnsi="Times New Roman" w:cs="Times New Roman"/>
                <w:color w:val="000000"/>
                <w:sz w:val="15"/>
                <w:szCs w:val="15"/>
              </w:rPr>
            </w:pPr>
            <w:r w:rsidRPr="004A4899">
              <w:rPr>
                <w:rFonts w:ascii="Times New Roman" w:hAnsi="Times New Roman" w:cs="Times New Roman"/>
                <w:color w:val="000000"/>
                <w:sz w:val="15"/>
                <w:szCs w:val="15"/>
              </w:rPr>
              <w:t>6728-26-3</w:t>
            </w:r>
          </w:p>
        </w:tc>
        <w:tc>
          <w:tcPr>
            <w:tcW w:w="837" w:type="dxa"/>
            <w:noWrap/>
            <w:vAlign w:val="center"/>
            <w:hideMark/>
          </w:tcPr>
          <w:p w14:paraId="37B46DF3" w14:textId="77777777" w:rsidR="00126D8D" w:rsidRPr="004A4899" w:rsidRDefault="00126D8D" w:rsidP="00820288">
            <w:pPr>
              <w:spacing w:line="240" w:lineRule="auto"/>
              <w:jc w:val="center"/>
              <w:rPr>
                <w:rFonts w:ascii="Times New Roman" w:hAnsi="Times New Roman" w:cs="Times New Roman"/>
                <w:color w:val="000000"/>
                <w:sz w:val="15"/>
                <w:szCs w:val="15"/>
              </w:rPr>
            </w:pPr>
            <w:r w:rsidRPr="004A4899">
              <w:rPr>
                <w:rFonts w:ascii="Times New Roman" w:hAnsi="Times New Roman" w:cs="Times New Roman"/>
                <w:color w:val="000000"/>
                <w:sz w:val="15"/>
                <w:szCs w:val="15"/>
              </w:rPr>
              <w:t>47.52</w:t>
            </w:r>
          </w:p>
        </w:tc>
        <w:tc>
          <w:tcPr>
            <w:tcW w:w="763" w:type="dxa"/>
            <w:noWrap/>
            <w:vAlign w:val="center"/>
            <w:hideMark/>
          </w:tcPr>
          <w:p w14:paraId="1FEAE643" w14:textId="77777777" w:rsidR="00126D8D" w:rsidRPr="004A4899" w:rsidRDefault="00126D8D" w:rsidP="00820288">
            <w:pPr>
              <w:spacing w:line="240" w:lineRule="auto"/>
              <w:jc w:val="center"/>
              <w:rPr>
                <w:rFonts w:ascii="Times New Roman" w:hAnsi="Times New Roman" w:cs="Times New Roman"/>
                <w:color w:val="000000"/>
                <w:sz w:val="15"/>
                <w:szCs w:val="15"/>
              </w:rPr>
            </w:pPr>
            <w:r w:rsidRPr="004A4899">
              <w:rPr>
                <w:rFonts w:ascii="Times New Roman" w:hAnsi="Times New Roman" w:cs="Times New Roman"/>
                <w:color w:val="000000"/>
                <w:sz w:val="15"/>
                <w:szCs w:val="15"/>
              </w:rPr>
              <w:t>2.94</w:t>
            </w:r>
          </w:p>
        </w:tc>
        <w:tc>
          <w:tcPr>
            <w:tcW w:w="1478" w:type="dxa"/>
            <w:noWrap/>
            <w:vAlign w:val="center"/>
            <w:hideMark/>
          </w:tcPr>
          <w:p w14:paraId="119049CC" w14:textId="77777777" w:rsidR="00126D8D" w:rsidRPr="004A4899" w:rsidRDefault="00126D8D" w:rsidP="00820288">
            <w:pPr>
              <w:spacing w:line="240" w:lineRule="auto"/>
              <w:jc w:val="center"/>
              <w:rPr>
                <w:rFonts w:ascii="Times New Roman" w:hAnsi="Times New Roman" w:cs="Times New Roman"/>
                <w:color w:val="000000"/>
                <w:sz w:val="15"/>
                <w:szCs w:val="15"/>
              </w:rPr>
            </w:pPr>
            <w:r w:rsidRPr="004A4899">
              <w:rPr>
                <w:rFonts w:ascii="Times New Roman" w:hAnsi="Times New Roman" w:cs="Times New Roman"/>
                <w:color w:val="000000"/>
                <w:sz w:val="15"/>
                <w:szCs w:val="15"/>
              </w:rPr>
              <w:t>2.11</w:t>
            </w:r>
          </w:p>
        </w:tc>
        <w:tc>
          <w:tcPr>
            <w:tcW w:w="92" w:type="dxa"/>
          </w:tcPr>
          <w:p w14:paraId="676BC616" w14:textId="77777777" w:rsidR="00126D8D" w:rsidRPr="004A4899" w:rsidRDefault="00126D8D" w:rsidP="00820288">
            <w:pPr>
              <w:spacing w:line="240" w:lineRule="auto"/>
              <w:jc w:val="center"/>
              <w:rPr>
                <w:rFonts w:ascii="Times New Roman" w:hAnsi="Times New Roman" w:cs="Times New Roman"/>
                <w:color w:val="000000"/>
                <w:sz w:val="15"/>
                <w:szCs w:val="15"/>
              </w:rPr>
            </w:pPr>
          </w:p>
        </w:tc>
        <w:tc>
          <w:tcPr>
            <w:tcW w:w="837" w:type="dxa"/>
            <w:noWrap/>
            <w:vAlign w:val="center"/>
            <w:hideMark/>
          </w:tcPr>
          <w:p w14:paraId="2C9B35ED" w14:textId="77777777" w:rsidR="00126D8D" w:rsidRPr="004A4899" w:rsidRDefault="00126D8D" w:rsidP="00820288">
            <w:pPr>
              <w:spacing w:line="240" w:lineRule="auto"/>
              <w:jc w:val="center"/>
              <w:rPr>
                <w:rFonts w:ascii="Times New Roman" w:hAnsi="Times New Roman" w:cs="Times New Roman"/>
                <w:color w:val="000000"/>
                <w:sz w:val="15"/>
                <w:szCs w:val="15"/>
              </w:rPr>
            </w:pPr>
            <w:r w:rsidRPr="004A4899">
              <w:rPr>
                <w:rFonts w:ascii="Times New Roman" w:hAnsi="Times New Roman" w:cs="Times New Roman"/>
                <w:color w:val="000000"/>
                <w:sz w:val="15"/>
                <w:szCs w:val="15"/>
              </w:rPr>
              <w:t>&lt;0.0001</w:t>
            </w:r>
          </w:p>
        </w:tc>
        <w:tc>
          <w:tcPr>
            <w:tcW w:w="763" w:type="dxa"/>
            <w:noWrap/>
            <w:vAlign w:val="center"/>
            <w:hideMark/>
          </w:tcPr>
          <w:p w14:paraId="59708935" w14:textId="77777777" w:rsidR="00126D8D" w:rsidRPr="004A4899" w:rsidRDefault="00126D8D" w:rsidP="00820288">
            <w:pPr>
              <w:spacing w:line="240" w:lineRule="auto"/>
              <w:jc w:val="center"/>
              <w:rPr>
                <w:rFonts w:ascii="Times New Roman" w:hAnsi="Times New Roman" w:cs="Times New Roman"/>
                <w:color w:val="000000"/>
                <w:sz w:val="15"/>
                <w:szCs w:val="15"/>
              </w:rPr>
            </w:pPr>
            <w:r w:rsidRPr="004A4899">
              <w:rPr>
                <w:rFonts w:ascii="Times New Roman" w:hAnsi="Times New Roman" w:cs="Times New Roman"/>
                <w:color w:val="000000"/>
                <w:sz w:val="15"/>
                <w:szCs w:val="15"/>
              </w:rPr>
              <w:t>0.0009</w:t>
            </w:r>
          </w:p>
        </w:tc>
        <w:tc>
          <w:tcPr>
            <w:tcW w:w="1478" w:type="dxa"/>
            <w:noWrap/>
            <w:vAlign w:val="center"/>
            <w:hideMark/>
          </w:tcPr>
          <w:p w14:paraId="4D4C945D" w14:textId="77777777" w:rsidR="00126D8D" w:rsidRPr="004A4899" w:rsidRDefault="00126D8D" w:rsidP="00820288">
            <w:pPr>
              <w:spacing w:line="240" w:lineRule="auto"/>
              <w:jc w:val="center"/>
              <w:rPr>
                <w:rFonts w:ascii="Times New Roman" w:hAnsi="Times New Roman" w:cs="Times New Roman"/>
                <w:color w:val="000000"/>
                <w:sz w:val="15"/>
                <w:szCs w:val="15"/>
              </w:rPr>
            </w:pPr>
            <w:r w:rsidRPr="004A4899">
              <w:rPr>
                <w:rFonts w:ascii="Times New Roman" w:hAnsi="Times New Roman" w:cs="Times New Roman"/>
                <w:color w:val="000000"/>
                <w:sz w:val="15"/>
                <w:szCs w:val="15"/>
              </w:rPr>
              <w:t>0.0005</w:t>
            </w:r>
          </w:p>
        </w:tc>
      </w:tr>
      <w:tr w:rsidR="00126D8D" w:rsidRPr="00747A19" w14:paraId="7F414A0D" w14:textId="77777777" w:rsidTr="00820288">
        <w:trPr>
          <w:trHeight w:val="144"/>
          <w:jc w:val="center"/>
        </w:trPr>
        <w:tc>
          <w:tcPr>
            <w:tcW w:w="1778" w:type="dxa"/>
            <w:noWrap/>
            <w:vAlign w:val="center"/>
            <w:hideMark/>
          </w:tcPr>
          <w:p w14:paraId="14E8FB7D" w14:textId="77777777" w:rsidR="00126D8D" w:rsidRPr="004A4899" w:rsidRDefault="00126D8D" w:rsidP="00820288">
            <w:pPr>
              <w:spacing w:line="240" w:lineRule="auto"/>
              <w:rPr>
                <w:rFonts w:ascii="Times New Roman" w:hAnsi="Times New Roman" w:cs="Times New Roman"/>
                <w:color w:val="000000"/>
                <w:sz w:val="15"/>
                <w:szCs w:val="15"/>
              </w:rPr>
            </w:pPr>
            <w:r w:rsidRPr="004A4899">
              <w:rPr>
                <w:rFonts w:ascii="Times New Roman" w:hAnsi="Times New Roman" w:cs="Times New Roman"/>
                <w:color w:val="000000"/>
                <w:sz w:val="15"/>
                <w:szCs w:val="15"/>
              </w:rPr>
              <w:t>Nonanal</w:t>
            </w:r>
          </w:p>
        </w:tc>
        <w:tc>
          <w:tcPr>
            <w:tcW w:w="1323" w:type="dxa"/>
            <w:noWrap/>
            <w:vAlign w:val="center"/>
            <w:hideMark/>
          </w:tcPr>
          <w:p w14:paraId="4904A7A0" w14:textId="77777777" w:rsidR="00126D8D" w:rsidRPr="004A4899" w:rsidRDefault="00126D8D" w:rsidP="00820288">
            <w:pPr>
              <w:spacing w:line="240" w:lineRule="auto"/>
              <w:jc w:val="center"/>
              <w:rPr>
                <w:rFonts w:ascii="Times New Roman" w:hAnsi="Times New Roman" w:cs="Times New Roman"/>
                <w:color w:val="000000"/>
                <w:sz w:val="15"/>
                <w:szCs w:val="15"/>
              </w:rPr>
            </w:pPr>
            <w:r w:rsidRPr="004A4899">
              <w:rPr>
                <w:rFonts w:ascii="Times New Roman" w:hAnsi="Times New Roman" w:cs="Times New Roman"/>
                <w:color w:val="000000"/>
                <w:sz w:val="15"/>
                <w:szCs w:val="15"/>
              </w:rPr>
              <w:t>124-19-6</w:t>
            </w:r>
          </w:p>
        </w:tc>
        <w:tc>
          <w:tcPr>
            <w:tcW w:w="837" w:type="dxa"/>
            <w:noWrap/>
            <w:vAlign w:val="center"/>
            <w:hideMark/>
          </w:tcPr>
          <w:p w14:paraId="529F8E53" w14:textId="77777777" w:rsidR="00126D8D" w:rsidRPr="004A4899" w:rsidRDefault="00126D8D" w:rsidP="00820288">
            <w:pPr>
              <w:spacing w:line="240" w:lineRule="auto"/>
              <w:jc w:val="center"/>
              <w:rPr>
                <w:rFonts w:ascii="Times New Roman" w:hAnsi="Times New Roman" w:cs="Times New Roman"/>
                <w:color w:val="000000"/>
                <w:sz w:val="15"/>
                <w:szCs w:val="15"/>
              </w:rPr>
            </w:pPr>
            <w:r w:rsidRPr="004A4899">
              <w:rPr>
                <w:rFonts w:ascii="Times New Roman" w:hAnsi="Times New Roman" w:cs="Times New Roman"/>
                <w:color w:val="000000"/>
                <w:sz w:val="15"/>
                <w:szCs w:val="15"/>
              </w:rPr>
              <w:t>199.07</w:t>
            </w:r>
          </w:p>
        </w:tc>
        <w:tc>
          <w:tcPr>
            <w:tcW w:w="763" w:type="dxa"/>
            <w:noWrap/>
            <w:vAlign w:val="center"/>
            <w:hideMark/>
          </w:tcPr>
          <w:p w14:paraId="4E23E0E4" w14:textId="77777777" w:rsidR="00126D8D" w:rsidRPr="004A4899" w:rsidRDefault="00126D8D" w:rsidP="00820288">
            <w:pPr>
              <w:spacing w:line="240" w:lineRule="auto"/>
              <w:jc w:val="center"/>
              <w:rPr>
                <w:rFonts w:ascii="Times New Roman" w:hAnsi="Times New Roman" w:cs="Times New Roman"/>
                <w:color w:val="000000"/>
                <w:sz w:val="15"/>
                <w:szCs w:val="15"/>
              </w:rPr>
            </w:pPr>
            <w:r w:rsidRPr="004A4899">
              <w:rPr>
                <w:rFonts w:ascii="Times New Roman" w:hAnsi="Times New Roman" w:cs="Times New Roman"/>
                <w:color w:val="000000"/>
                <w:sz w:val="15"/>
                <w:szCs w:val="15"/>
              </w:rPr>
              <w:t>5.41</w:t>
            </w:r>
          </w:p>
        </w:tc>
        <w:tc>
          <w:tcPr>
            <w:tcW w:w="1478" w:type="dxa"/>
            <w:noWrap/>
            <w:vAlign w:val="center"/>
            <w:hideMark/>
          </w:tcPr>
          <w:p w14:paraId="51776365" w14:textId="77777777" w:rsidR="00126D8D" w:rsidRPr="004A4899" w:rsidRDefault="00126D8D" w:rsidP="00820288">
            <w:pPr>
              <w:spacing w:line="240" w:lineRule="auto"/>
              <w:jc w:val="center"/>
              <w:rPr>
                <w:rFonts w:ascii="Times New Roman" w:hAnsi="Times New Roman" w:cs="Times New Roman"/>
                <w:color w:val="000000"/>
                <w:sz w:val="15"/>
                <w:szCs w:val="15"/>
              </w:rPr>
            </w:pPr>
            <w:r w:rsidRPr="004A4899">
              <w:rPr>
                <w:rFonts w:ascii="Times New Roman" w:hAnsi="Times New Roman" w:cs="Times New Roman"/>
                <w:color w:val="000000"/>
                <w:sz w:val="15"/>
                <w:szCs w:val="15"/>
              </w:rPr>
              <w:t>2.83</w:t>
            </w:r>
          </w:p>
        </w:tc>
        <w:tc>
          <w:tcPr>
            <w:tcW w:w="92" w:type="dxa"/>
          </w:tcPr>
          <w:p w14:paraId="6C2CE7FD" w14:textId="77777777" w:rsidR="00126D8D" w:rsidRPr="004A4899" w:rsidRDefault="00126D8D" w:rsidP="00820288">
            <w:pPr>
              <w:spacing w:line="240" w:lineRule="auto"/>
              <w:jc w:val="center"/>
              <w:rPr>
                <w:rFonts w:ascii="Times New Roman" w:hAnsi="Times New Roman" w:cs="Times New Roman"/>
                <w:color w:val="000000"/>
                <w:sz w:val="15"/>
                <w:szCs w:val="15"/>
              </w:rPr>
            </w:pPr>
          </w:p>
        </w:tc>
        <w:tc>
          <w:tcPr>
            <w:tcW w:w="837" w:type="dxa"/>
            <w:noWrap/>
            <w:vAlign w:val="center"/>
            <w:hideMark/>
          </w:tcPr>
          <w:p w14:paraId="11CCCDFF" w14:textId="77777777" w:rsidR="00126D8D" w:rsidRPr="004A4899" w:rsidRDefault="00126D8D" w:rsidP="00820288">
            <w:pPr>
              <w:spacing w:line="240" w:lineRule="auto"/>
              <w:jc w:val="center"/>
              <w:rPr>
                <w:rFonts w:ascii="Times New Roman" w:hAnsi="Times New Roman" w:cs="Times New Roman"/>
                <w:color w:val="000000"/>
                <w:sz w:val="15"/>
                <w:szCs w:val="15"/>
              </w:rPr>
            </w:pPr>
            <w:r w:rsidRPr="004A4899">
              <w:rPr>
                <w:rFonts w:ascii="Times New Roman" w:hAnsi="Times New Roman" w:cs="Times New Roman"/>
                <w:color w:val="000000"/>
                <w:sz w:val="15"/>
                <w:szCs w:val="15"/>
              </w:rPr>
              <w:t>&lt;0.0001</w:t>
            </w:r>
          </w:p>
        </w:tc>
        <w:tc>
          <w:tcPr>
            <w:tcW w:w="763" w:type="dxa"/>
            <w:noWrap/>
            <w:vAlign w:val="center"/>
            <w:hideMark/>
          </w:tcPr>
          <w:p w14:paraId="7907777D" w14:textId="77777777" w:rsidR="00126D8D" w:rsidRPr="004A4899" w:rsidRDefault="00126D8D" w:rsidP="00820288">
            <w:pPr>
              <w:spacing w:line="240" w:lineRule="auto"/>
              <w:jc w:val="center"/>
              <w:rPr>
                <w:rFonts w:ascii="Times New Roman" w:hAnsi="Times New Roman" w:cs="Times New Roman"/>
                <w:color w:val="000000"/>
                <w:sz w:val="15"/>
                <w:szCs w:val="15"/>
              </w:rPr>
            </w:pPr>
            <w:r w:rsidRPr="004A4899">
              <w:rPr>
                <w:rFonts w:ascii="Times New Roman" w:hAnsi="Times New Roman" w:cs="Times New Roman"/>
                <w:color w:val="000000"/>
                <w:sz w:val="15"/>
                <w:szCs w:val="15"/>
              </w:rPr>
              <w:t>&lt;0.0001</w:t>
            </w:r>
          </w:p>
        </w:tc>
        <w:tc>
          <w:tcPr>
            <w:tcW w:w="1478" w:type="dxa"/>
            <w:noWrap/>
            <w:vAlign w:val="center"/>
            <w:hideMark/>
          </w:tcPr>
          <w:p w14:paraId="2E7FFE08" w14:textId="77777777" w:rsidR="00126D8D" w:rsidRPr="004A4899" w:rsidRDefault="00126D8D" w:rsidP="00820288">
            <w:pPr>
              <w:spacing w:line="240" w:lineRule="auto"/>
              <w:jc w:val="center"/>
              <w:rPr>
                <w:rFonts w:ascii="Times New Roman" w:hAnsi="Times New Roman" w:cs="Times New Roman"/>
                <w:color w:val="000000"/>
                <w:sz w:val="15"/>
                <w:szCs w:val="15"/>
              </w:rPr>
            </w:pPr>
            <w:r w:rsidRPr="004A4899">
              <w:rPr>
                <w:rFonts w:ascii="Times New Roman" w:hAnsi="Times New Roman" w:cs="Times New Roman"/>
                <w:color w:val="000000"/>
                <w:sz w:val="15"/>
                <w:szCs w:val="15"/>
              </w:rPr>
              <w:t>&lt;0.0001</w:t>
            </w:r>
          </w:p>
        </w:tc>
      </w:tr>
      <w:tr w:rsidR="00126D8D" w:rsidRPr="00747A19" w14:paraId="2172F7BE" w14:textId="77777777" w:rsidTr="00820288">
        <w:trPr>
          <w:trHeight w:val="144"/>
          <w:jc w:val="center"/>
        </w:trPr>
        <w:tc>
          <w:tcPr>
            <w:tcW w:w="1778" w:type="dxa"/>
            <w:noWrap/>
            <w:vAlign w:val="center"/>
            <w:hideMark/>
          </w:tcPr>
          <w:p w14:paraId="06C2CA10" w14:textId="77777777" w:rsidR="00126D8D" w:rsidRPr="004A4899" w:rsidRDefault="00126D8D" w:rsidP="00820288">
            <w:pPr>
              <w:spacing w:line="240" w:lineRule="auto"/>
              <w:rPr>
                <w:rFonts w:ascii="Times New Roman" w:hAnsi="Times New Roman" w:cs="Times New Roman"/>
                <w:color w:val="000000"/>
                <w:sz w:val="15"/>
                <w:szCs w:val="15"/>
              </w:rPr>
            </w:pPr>
            <w:r w:rsidRPr="004A4899">
              <w:rPr>
                <w:rFonts w:ascii="Times New Roman" w:hAnsi="Times New Roman" w:cs="Times New Roman"/>
                <w:color w:val="000000"/>
                <w:sz w:val="15"/>
                <w:szCs w:val="15"/>
              </w:rPr>
              <w:t>Hexanal</w:t>
            </w:r>
          </w:p>
        </w:tc>
        <w:tc>
          <w:tcPr>
            <w:tcW w:w="1323" w:type="dxa"/>
            <w:noWrap/>
            <w:vAlign w:val="center"/>
            <w:hideMark/>
          </w:tcPr>
          <w:p w14:paraId="79CE8CAB" w14:textId="77777777" w:rsidR="00126D8D" w:rsidRPr="004A4899" w:rsidRDefault="00126D8D" w:rsidP="00820288">
            <w:pPr>
              <w:spacing w:line="240" w:lineRule="auto"/>
              <w:jc w:val="center"/>
              <w:rPr>
                <w:rFonts w:ascii="Times New Roman" w:hAnsi="Times New Roman" w:cs="Times New Roman"/>
                <w:color w:val="000000"/>
                <w:sz w:val="15"/>
                <w:szCs w:val="15"/>
              </w:rPr>
            </w:pPr>
            <w:r w:rsidRPr="004A4899">
              <w:rPr>
                <w:rFonts w:ascii="Times New Roman" w:hAnsi="Times New Roman" w:cs="Times New Roman"/>
                <w:color w:val="000000"/>
                <w:sz w:val="15"/>
                <w:szCs w:val="15"/>
              </w:rPr>
              <w:t>66-25-1</w:t>
            </w:r>
          </w:p>
        </w:tc>
        <w:tc>
          <w:tcPr>
            <w:tcW w:w="837" w:type="dxa"/>
            <w:noWrap/>
            <w:vAlign w:val="center"/>
            <w:hideMark/>
          </w:tcPr>
          <w:p w14:paraId="03F7798E" w14:textId="77777777" w:rsidR="00126D8D" w:rsidRPr="004A4899" w:rsidRDefault="00126D8D" w:rsidP="00820288">
            <w:pPr>
              <w:spacing w:line="240" w:lineRule="auto"/>
              <w:jc w:val="center"/>
              <w:rPr>
                <w:rFonts w:ascii="Times New Roman" w:hAnsi="Times New Roman" w:cs="Times New Roman"/>
                <w:color w:val="000000"/>
                <w:sz w:val="15"/>
                <w:szCs w:val="15"/>
              </w:rPr>
            </w:pPr>
            <w:r w:rsidRPr="004A4899">
              <w:rPr>
                <w:rFonts w:ascii="Times New Roman" w:hAnsi="Times New Roman" w:cs="Times New Roman"/>
                <w:color w:val="000000"/>
                <w:sz w:val="15"/>
                <w:szCs w:val="15"/>
              </w:rPr>
              <w:t>7.82</w:t>
            </w:r>
          </w:p>
        </w:tc>
        <w:tc>
          <w:tcPr>
            <w:tcW w:w="763" w:type="dxa"/>
            <w:noWrap/>
            <w:vAlign w:val="center"/>
            <w:hideMark/>
          </w:tcPr>
          <w:p w14:paraId="47FEF2C2" w14:textId="77777777" w:rsidR="00126D8D" w:rsidRPr="004A4899" w:rsidRDefault="00126D8D" w:rsidP="00820288">
            <w:pPr>
              <w:spacing w:line="240" w:lineRule="auto"/>
              <w:jc w:val="center"/>
              <w:rPr>
                <w:rFonts w:ascii="Times New Roman" w:hAnsi="Times New Roman" w:cs="Times New Roman"/>
                <w:color w:val="000000"/>
                <w:sz w:val="15"/>
                <w:szCs w:val="15"/>
              </w:rPr>
            </w:pPr>
            <w:r w:rsidRPr="004A4899">
              <w:rPr>
                <w:rFonts w:ascii="Times New Roman" w:hAnsi="Times New Roman" w:cs="Times New Roman"/>
                <w:color w:val="000000"/>
                <w:sz w:val="15"/>
                <w:szCs w:val="15"/>
              </w:rPr>
              <w:t>0.98</w:t>
            </w:r>
          </w:p>
        </w:tc>
        <w:tc>
          <w:tcPr>
            <w:tcW w:w="1478" w:type="dxa"/>
            <w:noWrap/>
            <w:vAlign w:val="center"/>
            <w:hideMark/>
          </w:tcPr>
          <w:p w14:paraId="1AB3E2D5" w14:textId="77777777" w:rsidR="00126D8D" w:rsidRPr="004A4899" w:rsidRDefault="00126D8D" w:rsidP="00820288">
            <w:pPr>
              <w:spacing w:line="240" w:lineRule="auto"/>
              <w:jc w:val="center"/>
              <w:rPr>
                <w:rFonts w:ascii="Times New Roman" w:hAnsi="Times New Roman" w:cs="Times New Roman"/>
                <w:color w:val="000000"/>
                <w:sz w:val="15"/>
                <w:szCs w:val="15"/>
              </w:rPr>
            </w:pPr>
            <w:r w:rsidRPr="004A4899">
              <w:rPr>
                <w:rFonts w:ascii="Times New Roman" w:hAnsi="Times New Roman" w:cs="Times New Roman"/>
                <w:color w:val="000000"/>
                <w:sz w:val="15"/>
                <w:szCs w:val="15"/>
              </w:rPr>
              <w:t>0.91</w:t>
            </w:r>
          </w:p>
        </w:tc>
        <w:tc>
          <w:tcPr>
            <w:tcW w:w="92" w:type="dxa"/>
          </w:tcPr>
          <w:p w14:paraId="0211BD81" w14:textId="77777777" w:rsidR="00126D8D" w:rsidRPr="004A4899" w:rsidRDefault="00126D8D" w:rsidP="00820288">
            <w:pPr>
              <w:spacing w:line="240" w:lineRule="auto"/>
              <w:jc w:val="center"/>
              <w:rPr>
                <w:rFonts w:ascii="Times New Roman" w:hAnsi="Times New Roman" w:cs="Times New Roman"/>
                <w:color w:val="000000"/>
                <w:sz w:val="15"/>
                <w:szCs w:val="15"/>
              </w:rPr>
            </w:pPr>
          </w:p>
        </w:tc>
        <w:tc>
          <w:tcPr>
            <w:tcW w:w="837" w:type="dxa"/>
            <w:noWrap/>
            <w:vAlign w:val="center"/>
            <w:hideMark/>
          </w:tcPr>
          <w:p w14:paraId="7D9FB335" w14:textId="77777777" w:rsidR="00126D8D" w:rsidRPr="004A4899" w:rsidRDefault="00126D8D" w:rsidP="00820288">
            <w:pPr>
              <w:spacing w:line="240" w:lineRule="auto"/>
              <w:jc w:val="center"/>
              <w:rPr>
                <w:rFonts w:ascii="Times New Roman" w:hAnsi="Times New Roman" w:cs="Times New Roman"/>
                <w:color w:val="000000"/>
                <w:sz w:val="15"/>
                <w:szCs w:val="15"/>
              </w:rPr>
            </w:pPr>
            <w:r w:rsidRPr="004A4899">
              <w:rPr>
                <w:rFonts w:ascii="Times New Roman" w:hAnsi="Times New Roman" w:cs="Times New Roman"/>
                <w:color w:val="000000"/>
                <w:sz w:val="15"/>
                <w:szCs w:val="15"/>
              </w:rPr>
              <w:t>&lt;0.0001</w:t>
            </w:r>
          </w:p>
        </w:tc>
        <w:tc>
          <w:tcPr>
            <w:tcW w:w="763" w:type="dxa"/>
            <w:noWrap/>
            <w:vAlign w:val="center"/>
            <w:hideMark/>
          </w:tcPr>
          <w:p w14:paraId="72AB050B" w14:textId="77777777" w:rsidR="00126D8D" w:rsidRPr="004A4899" w:rsidRDefault="00126D8D" w:rsidP="00820288">
            <w:pPr>
              <w:spacing w:line="240" w:lineRule="auto"/>
              <w:jc w:val="center"/>
              <w:rPr>
                <w:rFonts w:ascii="Times New Roman" w:hAnsi="Times New Roman" w:cs="Times New Roman"/>
                <w:color w:val="000000"/>
                <w:sz w:val="15"/>
                <w:szCs w:val="15"/>
              </w:rPr>
            </w:pPr>
            <w:r w:rsidRPr="004A4899">
              <w:rPr>
                <w:rFonts w:ascii="Times New Roman" w:hAnsi="Times New Roman" w:cs="Times New Roman"/>
                <w:color w:val="000000"/>
                <w:sz w:val="15"/>
                <w:szCs w:val="15"/>
              </w:rPr>
              <w:t>0.4703</w:t>
            </w:r>
          </w:p>
        </w:tc>
        <w:tc>
          <w:tcPr>
            <w:tcW w:w="1478" w:type="dxa"/>
            <w:noWrap/>
            <w:vAlign w:val="center"/>
            <w:hideMark/>
          </w:tcPr>
          <w:p w14:paraId="25ED7374" w14:textId="77777777" w:rsidR="00126D8D" w:rsidRPr="004A4899" w:rsidRDefault="00126D8D" w:rsidP="00820288">
            <w:pPr>
              <w:spacing w:line="240" w:lineRule="auto"/>
              <w:jc w:val="center"/>
              <w:rPr>
                <w:rFonts w:ascii="Times New Roman" w:hAnsi="Times New Roman" w:cs="Times New Roman"/>
                <w:color w:val="000000"/>
                <w:sz w:val="15"/>
                <w:szCs w:val="15"/>
              </w:rPr>
            </w:pPr>
            <w:r w:rsidRPr="004A4899">
              <w:rPr>
                <w:rFonts w:ascii="Times New Roman" w:hAnsi="Times New Roman" w:cs="Times New Roman"/>
                <w:color w:val="000000"/>
                <w:sz w:val="15"/>
                <w:szCs w:val="15"/>
              </w:rPr>
              <w:t>0.6094</w:t>
            </w:r>
          </w:p>
        </w:tc>
      </w:tr>
      <w:tr w:rsidR="00126D8D" w:rsidRPr="00747A19" w14:paraId="7A959DDC" w14:textId="77777777" w:rsidTr="00820288">
        <w:trPr>
          <w:trHeight w:val="144"/>
          <w:jc w:val="center"/>
        </w:trPr>
        <w:tc>
          <w:tcPr>
            <w:tcW w:w="1778" w:type="dxa"/>
            <w:noWrap/>
            <w:vAlign w:val="center"/>
          </w:tcPr>
          <w:p w14:paraId="5296FC41" w14:textId="77777777" w:rsidR="00126D8D" w:rsidRPr="004A4899" w:rsidRDefault="00126D8D" w:rsidP="00820288">
            <w:pPr>
              <w:spacing w:line="240" w:lineRule="auto"/>
              <w:rPr>
                <w:rFonts w:ascii="Times New Roman" w:hAnsi="Times New Roman" w:cs="Times New Roman"/>
                <w:b/>
                <w:bCs/>
                <w:color w:val="000000"/>
                <w:sz w:val="15"/>
                <w:szCs w:val="15"/>
              </w:rPr>
            </w:pPr>
            <w:r w:rsidRPr="004A4899">
              <w:rPr>
                <w:rFonts w:ascii="Times New Roman" w:hAnsi="Times New Roman" w:cs="Times New Roman"/>
                <w:b/>
                <w:bCs/>
                <w:color w:val="000000"/>
                <w:sz w:val="15"/>
                <w:szCs w:val="15"/>
              </w:rPr>
              <w:t>Benzyl Aldehydes</w:t>
            </w:r>
          </w:p>
        </w:tc>
        <w:tc>
          <w:tcPr>
            <w:tcW w:w="1323" w:type="dxa"/>
            <w:noWrap/>
            <w:vAlign w:val="center"/>
          </w:tcPr>
          <w:p w14:paraId="0558275A" w14:textId="77777777" w:rsidR="00126D8D" w:rsidRPr="004A4899" w:rsidRDefault="00126D8D" w:rsidP="00820288">
            <w:pPr>
              <w:spacing w:line="240" w:lineRule="auto"/>
              <w:jc w:val="center"/>
              <w:rPr>
                <w:rFonts w:ascii="Times New Roman" w:hAnsi="Times New Roman" w:cs="Times New Roman"/>
                <w:color w:val="000000"/>
                <w:sz w:val="15"/>
                <w:szCs w:val="15"/>
              </w:rPr>
            </w:pPr>
          </w:p>
        </w:tc>
        <w:tc>
          <w:tcPr>
            <w:tcW w:w="837" w:type="dxa"/>
            <w:noWrap/>
            <w:vAlign w:val="center"/>
          </w:tcPr>
          <w:p w14:paraId="21EA6417" w14:textId="77777777" w:rsidR="00126D8D" w:rsidRPr="004A4899" w:rsidRDefault="00126D8D" w:rsidP="00820288">
            <w:pPr>
              <w:spacing w:line="240" w:lineRule="auto"/>
              <w:jc w:val="center"/>
              <w:rPr>
                <w:rFonts w:ascii="Times New Roman" w:hAnsi="Times New Roman" w:cs="Times New Roman"/>
                <w:color w:val="000000"/>
                <w:sz w:val="15"/>
                <w:szCs w:val="15"/>
              </w:rPr>
            </w:pPr>
          </w:p>
        </w:tc>
        <w:tc>
          <w:tcPr>
            <w:tcW w:w="763" w:type="dxa"/>
            <w:noWrap/>
            <w:vAlign w:val="center"/>
          </w:tcPr>
          <w:p w14:paraId="380E8944" w14:textId="77777777" w:rsidR="00126D8D" w:rsidRPr="004A4899" w:rsidRDefault="00126D8D" w:rsidP="00820288">
            <w:pPr>
              <w:spacing w:line="240" w:lineRule="auto"/>
              <w:jc w:val="center"/>
              <w:rPr>
                <w:rFonts w:ascii="Times New Roman" w:hAnsi="Times New Roman" w:cs="Times New Roman"/>
                <w:color w:val="000000"/>
                <w:sz w:val="15"/>
                <w:szCs w:val="15"/>
              </w:rPr>
            </w:pPr>
          </w:p>
        </w:tc>
        <w:tc>
          <w:tcPr>
            <w:tcW w:w="1478" w:type="dxa"/>
            <w:noWrap/>
            <w:vAlign w:val="center"/>
          </w:tcPr>
          <w:p w14:paraId="20B4D769" w14:textId="77777777" w:rsidR="00126D8D" w:rsidRPr="004A4899" w:rsidRDefault="00126D8D" w:rsidP="00820288">
            <w:pPr>
              <w:spacing w:line="240" w:lineRule="auto"/>
              <w:jc w:val="center"/>
              <w:rPr>
                <w:rFonts w:ascii="Times New Roman" w:hAnsi="Times New Roman" w:cs="Times New Roman"/>
                <w:color w:val="000000"/>
                <w:sz w:val="15"/>
                <w:szCs w:val="15"/>
              </w:rPr>
            </w:pPr>
          </w:p>
        </w:tc>
        <w:tc>
          <w:tcPr>
            <w:tcW w:w="92" w:type="dxa"/>
          </w:tcPr>
          <w:p w14:paraId="54B8AB96" w14:textId="77777777" w:rsidR="00126D8D" w:rsidRPr="004A4899" w:rsidRDefault="00126D8D" w:rsidP="00820288">
            <w:pPr>
              <w:spacing w:line="240" w:lineRule="auto"/>
              <w:jc w:val="center"/>
              <w:rPr>
                <w:rFonts w:ascii="Times New Roman" w:hAnsi="Times New Roman" w:cs="Times New Roman"/>
                <w:color w:val="000000"/>
                <w:sz w:val="15"/>
                <w:szCs w:val="15"/>
              </w:rPr>
            </w:pPr>
          </w:p>
        </w:tc>
        <w:tc>
          <w:tcPr>
            <w:tcW w:w="837" w:type="dxa"/>
            <w:noWrap/>
            <w:vAlign w:val="center"/>
          </w:tcPr>
          <w:p w14:paraId="4B9B8E88" w14:textId="77777777" w:rsidR="00126D8D" w:rsidRPr="004A4899" w:rsidRDefault="00126D8D" w:rsidP="00820288">
            <w:pPr>
              <w:spacing w:line="240" w:lineRule="auto"/>
              <w:jc w:val="center"/>
              <w:rPr>
                <w:rFonts w:ascii="Times New Roman" w:hAnsi="Times New Roman" w:cs="Times New Roman"/>
                <w:color w:val="000000"/>
                <w:sz w:val="15"/>
                <w:szCs w:val="15"/>
              </w:rPr>
            </w:pPr>
          </w:p>
        </w:tc>
        <w:tc>
          <w:tcPr>
            <w:tcW w:w="763" w:type="dxa"/>
            <w:noWrap/>
            <w:vAlign w:val="center"/>
          </w:tcPr>
          <w:p w14:paraId="29B7C69B" w14:textId="77777777" w:rsidR="00126D8D" w:rsidRPr="004A4899" w:rsidRDefault="00126D8D" w:rsidP="00820288">
            <w:pPr>
              <w:spacing w:line="240" w:lineRule="auto"/>
              <w:jc w:val="center"/>
              <w:rPr>
                <w:rFonts w:ascii="Times New Roman" w:hAnsi="Times New Roman" w:cs="Times New Roman"/>
                <w:color w:val="000000"/>
                <w:sz w:val="15"/>
                <w:szCs w:val="15"/>
              </w:rPr>
            </w:pPr>
          </w:p>
        </w:tc>
        <w:tc>
          <w:tcPr>
            <w:tcW w:w="1478" w:type="dxa"/>
            <w:noWrap/>
            <w:vAlign w:val="center"/>
          </w:tcPr>
          <w:p w14:paraId="0A4B01ED" w14:textId="77777777" w:rsidR="00126D8D" w:rsidRPr="004A4899" w:rsidRDefault="00126D8D" w:rsidP="00820288">
            <w:pPr>
              <w:spacing w:line="240" w:lineRule="auto"/>
              <w:jc w:val="center"/>
              <w:rPr>
                <w:rFonts w:ascii="Times New Roman" w:hAnsi="Times New Roman" w:cs="Times New Roman"/>
                <w:color w:val="000000"/>
                <w:sz w:val="15"/>
                <w:szCs w:val="15"/>
              </w:rPr>
            </w:pPr>
          </w:p>
        </w:tc>
      </w:tr>
      <w:tr w:rsidR="00126D8D" w:rsidRPr="00747A19" w14:paraId="19E5AC7D" w14:textId="77777777" w:rsidTr="00820288">
        <w:trPr>
          <w:trHeight w:val="144"/>
          <w:jc w:val="center"/>
        </w:trPr>
        <w:tc>
          <w:tcPr>
            <w:tcW w:w="1778" w:type="dxa"/>
            <w:noWrap/>
            <w:vAlign w:val="center"/>
            <w:hideMark/>
          </w:tcPr>
          <w:p w14:paraId="58D60D09" w14:textId="77777777" w:rsidR="00126D8D" w:rsidRPr="004A4899" w:rsidRDefault="00126D8D" w:rsidP="00820288">
            <w:pPr>
              <w:spacing w:line="240" w:lineRule="auto"/>
              <w:rPr>
                <w:rFonts w:ascii="Times New Roman" w:hAnsi="Times New Roman" w:cs="Times New Roman"/>
                <w:color w:val="000000"/>
                <w:sz w:val="15"/>
                <w:szCs w:val="15"/>
              </w:rPr>
            </w:pPr>
            <w:r w:rsidRPr="004A4899">
              <w:rPr>
                <w:rFonts w:ascii="Times New Roman" w:hAnsi="Times New Roman" w:cs="Times New Roman"/>
                <w:color w:val="000000"/>
                <w:sz w:val="15"/>
                <w:szCs w:val="15"/>
              </w:rPr>
              <w:t>3-Ethylbenzaldehyde</w:t>
            </w:r>
          </w:p>
        </w:tc>
        <w:tc>
          <w:tcPr>
            <w:tcW w:w="1323" w:type="dxa"/>
            <w:noWrap/>
            <w:vAlign w:val="center"/>
            <w:hideMark/>
          </w:tcPr>
          <w:p w14:paraId="26BF05E3" w14:textId="77777777" w:rsidR="00126D8D" w:rsidRPr="004A4899" w:rsidRDefault="00126D8D" w:rsidP="00820288">
            <w:pPr>
              <w:spacing w:line="240" w:lineRule="auto"/>
              <w:jc w:val="center"/>
              <w:rPr>
                <w:rFonts w:ascii="Times New Roman" w:hAnsi="Times New Roman" w:cs="Times New Roman"/>
                <w:color w:val="000000"/>
                <w:sz w:val="15"/>
                <w:szCs w:val="15"/>
              </w:rPr>
            </w:pPr>
            <w:r w:rsidRPr="004A4899">
              <w:rPr>
                <w:rFonts w:ascii="Times New Roman" w:hAnsi="Times New Roman" w:cs="Times New Roman"/>
                <w:color w:val="000000"/>
                <w:sz w:val="15"/>
                <w:szCs w:val="15"/>
              </w:rPr>
              <w:t>34246-54-3</w:t>
            </w:r>
          </w:p>
        </w:tc>
        <w:tc>
          <w:tcPr>
            <w:tcW w:w="837" w:type="dxa"/>
            <w:noWrap/>
            <w:vAlign w:val="center"/>
            <w:hideMark/>
          </w:tcPr>
          <w:p w14:paraId="0951935C" w14:textId="77777777" w:rsidR="00126D8D" w:rsidRPr="004A4899" w:rsidRDefault="00126D8D" w:rsidP="00820288">
            <w:pPr>
              <w:spacing w:line="240" w:lineRule="auto"/>
              <w:jc w:val="center"/>
              <w:rPr>
                <w:rFonts w:ascii="Times New Roman" w:hAnsi="Times New Roman" w:cs="Times New Roman"/>
                <w:color w:val="000000"/>
                <w:sz w:val="15"/>
                <w:szCs w:val="15"/>
              </w:rPr>
            </w:pPr>
            <w:r w:rsidRPr="004A4899">
              <w:rPr>
                <w:rFonts w:ascii="Times New Roman" w:hAnsi="Times New Roman" w:cs="Times New Roman"/>
                <w:color w:val="000000"/>
                <w:sz w:val="15"/>
                <w:szCs w:val="15"/>
              </w:rPr>
              <w:t>140.11</w:t>
            </w:r>
          </w:p>
        </w:tc>
        <w:tc>
          <w:tcPr>
            <w:tcW w:w="763" w:type="dxa"/>
            <w:noWrap/>
            <w:vAlign w:val="center"/>
            <w:hideMark/>
          </w:tcPr>
          <w:p w14:paraId="198EE540" w14:textId="77777777" w:rsidR="00126D8D" w:rsidRPr="004A4899" w:rsidRDefault="00126D8D" w:rsidP="00820288">
            <w:pPr>
              <w:spacing w:line="240" w:lineRule="auto"/>
              <w:jc w:val="center"/>
              <w:rPr>
                <w:rFonts w:ascii="Times New Roman" w:hAnsi="Times New Roman" w:cs="Times New Roman"/>
                <w:color w:val="000000"/>
                <w:sz w:val="15"/>
                <w:szCs w:val="15"/>
              </w:rPr>
            </w:pPr>
            <w:r w:rsidRPr="004A4899">
              <w:rPr>
                <w:rFonts w:ascii="Times New Roman" w:hAnsi="Times New Roman" w:cs="Times New Roman"/>
                <w:color w:val="000000"/>
                <w:sz w:val="15"/>
                <w:szCs w:val="15"/>
              </w:rPr>
              <w:t>9.66</w:t>
            </w:r>
          </w:p>
        </w:tc>
        <w:tc>
          <w:tcPr>
            <w:tcW w:w="1478" w:type="dxa"/>
            <w:noWrap/>
            <w:vAlign w:val="center"/>
            <w:hideMark/>
          </w:tcPr>
          <w:p w14:paraId="19FD7DE7" w14:textId="77777777" w:rsidR="00126D8D" w:rsidRPr="004A4899" w:rsidRDefault="00126D8D" w:rsidP="00820288">
            <w:pPr>
              <w:spacing w:line="240" w:lineRule="auto"/>
              <w:jc w:val="center"/>
              <w:rPr>
                <w:rFonts w:ascii="Times New Roman" w:hAnsi="Times New Roman" w:cs="Times New Roman"/>
                <w:color w:val="000000"/>
                <w:sz w:val="15"/>
                <w:szCs w:val="15"/>
              </w:rPr>
            </w:pPr>
            <w:r w:rsidRPr="004A4899">
              <w:rPr>
                <w:rFonts w:ascii="Times New Roman" w:hAnsi="Times New Roman" w:cs="Times New Roman"/>
                <w:color w:val="000000"/>
                <w:sz w:val="15"/>
                <w:szCs w:val="15"/>
              </w:rPr>
              <w:t>3.95</w:t>
            </w:r>
          </w:p>
        </w:tc>
        <w:tc>
          <w:tcPr>
            <w:tcW w:w="92" w:type="dxa"/>
          </w:tcPr>
          <w:p w14:paraId="2CD3BC7E" w14:textId="77777777" w:rsidR="00126D8D" w:rsidRPr="004A4899" w:rsidRDefault="00126D8D" w:rsidP="00820288">
            <w:pPr>
              <w:spacing w:line="240" w:lineRule="auto"/>
              <w:jc w:val="center"/>
              <w:rPr>
                <w:rFonts w:ascii="Times New Roman" w:hAnsi="Times New Roman" w:cs="Times New Roman"/>
                <w:color w:val="000000"/>
                <w:sz w:val="15"/>
                <w:szCs w:val="15"/>
              </w:rPr>
            </w:pPr>
          </w:p>
        </w:tc>
        <w:tc>
          <w:tcPr>
            <w:tcW w:w="837" w:type="dxa"/>
            <w:noWrap/>
            <w:vAlign w:val="center"/>
            <w:hideMark/>
          </w:tcPr>
          <w:p w14:paraId="51F302BE" w14:textId="77777777" w:rsidR="00126D8D" w:rsidRPr="004A4899" w:rsidRDefault="00126D8D" w:rsidP="00820288">
            <w:pPr>
              <w:spacing w:line="240" w:lineRule="auto"/>
              <w:jc w:val="center"/>
              <w:rPr>
                <w:rFonts w:ascii="Times New Roman" w:hAnsi="Times New Roman" w:cs="Times New Roman"/>
                <w:color w:val="000000"/>
                <w:sz w:val="15"/>
                <w:szCs w:val="15"/>
              </w:rPr>
            </w:pPr>
            <w:r w:rsidRPr="004A4899">
              <w:rPr>
                <w:rFonts w:ascii="Times New Roman" w:hAnsi="Times New Roman" w:cs="Times New Roman"/>
                <w:color w:val="000000"/>
                <w:sz w:val="15"/>
                <w:szCs w:val="15"/>
              </w:rPr>
              <w:t>&lt;0.0001</w:t>
            </w:r>
          </w:p>
        </w:tc>
        <w:tc>
          <w:tcPr>
            <w:tcW w:w="763" w:type="dxa"/>
            <w:noWrap/>
            <w:vAlign w:val="center"/>
            <w:hideMark/>
          </w:tcPr>
          <w:p w14:paraId="72BD0C1C" w14:textId="77777777" w:rsidR="00126D8D" w:rsidRPr="004A4899" w:rsidRDefault="00126D8D" w:rsidP="00820288">
            <w:pPr>
              <w:spacing w:line="240" w:lineRule="auto"/>
              <w:jc w:val="center"/>
              <w:rPr>
                <w:rFonts w:ascii="Times New Roman" w:hAnsi="Times New Roman" w:cs="Times New Roman"/>
                <w:color w:val="000000"/>
                <w:sz w:val="15"/>
                <w:szCs w:val="15"/>
              </w:rPr>
            </w:pPr>
            <w:r w:rsidRPr="004A4899">
              <w:rPr>
                <w:rFonts w:ascii="Times New Roman" w:hAnsi="Times New Roman" w:cs="Times New Roman"/>
                <w:color w:val="000000"/>
                <w:sz w:val="15"/>
                <w:szCs w:val="15"/>
              </w:rPr>
              <w:t>&lt;0.0001</w:t>
            </w:r>
          </w:p>
        </w:tc>
        <w:tc>
          <w:tcPr>
            <w:tcW w:w="1478" w:type="dxa"/>
            <w:noWrap/>
            <w:vAlign w:val="center"/>
            <w:hideMark/>
          </w:tcPr>
          <w:p w14:paraId="59868D40" w14:textId="77777777" w:rsidR="00126D8D" w:rsidRPr="004A4899" w:rsidRDefault="00126D8D" w:rsidP="00820288">
            <w:pPr>
              <w:spacing w:line="240" w:lineRule="auto"/>
              <w:jc w:val="center"/>
              <w:rPr>
                <w:rFonts w:ascii="Times New Roman" w:hAnsi="Times New Roman" w:cs="Times New Roman"/>
                <w:color w:val="000000"/>
                <w:sz w:val="15"/>
                <w:szCs w:val="15"/>
              </w:rPr>
            </w:pPr>
            <w:r w:rsidRPr="004A4899">
              <w:rPr>
                <w:rFonts w:ascii="Times New Roman" w:hAnsi="Times New Roman" w:cs="Times New Roman"/>
                <w:color w:val="000000"/>
                <w:sz w:val="15"/>
                <w:szCs w:val="15"/>
              </w:rPr>
              <w:t>&lt;0.0001</w:t>
            </w:r>
          </w:p>
        </w:tc>
      </w:tr>
      <w:tr w:rsidR="00126D8D" w:rsidRPr="00747A19" w14:paraId="23B06DF2" w14:textId="77777777" w:rsidTr="00820288">
        <w:trPr>
          <w:trHeight w:val="144"/>
          <w:jc w:val="center"/>
        </w:trPr>
        <w:tc>
          <w:tcPr>
            <w:tcW w:w="1778" w:type="dxa"/>
            <w:noWrap/>
            <w:vAlign w:val="center"/>
            <w:hideMark/>
          </w:tcPr>
          <w:p w14:paraId="1B1701E4" w14:textId="77777777" w:rsidR="00126D8D" w:rsidRPr="004A4899" w:rsidRDefault="00126D8D" w:rsidP="00820288">
            <w:pPr>
              <w:spacing w:line="240" w:lineRule="auto"/>
              <w:rPr>
                <w:rFonts w:ascii="Times New Roman" w:hAnsi="Times New Roman" w:cs="Times New Roman"/>
                <w:color w:val="000000"/>
                <w:sz w:val="15"/>
                <w:szCs w:val="15"/>
              </w:rPr>
            </w:pPr>
            <w:r w:rsidRPr="004A4899">
              <w:rPr>
                <w:rFonts w:ascii="Times New Roman" w:hAnsi="Times New Roman" w:cs="Times New Roman"/>
                <w:color w:val="000000"/>
                <w:sz w:val="15"/>
                <w:szCs w:val="15"/>
              </w:rPr>
              <w:t>Benzeneacetaldehyde</w:t>
            </w:r>
          </w:p>
        </w:tc>
        <w:tc>
          <w:tcPr>
            <w:tcW w:w="1323" w:type="dxa"/>
            <w:noWrap/>
            <w:vAlign w:val="center"/>
            <w:hideMark/>
          </w:tcPr>
          <w:p w14:paraId="5CB0506F" w14:textId="77777777" w:rsidR="00126D8D" w:rsidRPr="004A4899" w:rsidRDefault="00126D8D" w:rsidP="00820288">
            <w:pPr>
              <w:spacing w:line="240" w:lineRule="auto"/>
              <w:jc w:val="center"/>
              <w:rPr>
                <w:rFonts w:ascii="Times New Roman" w:hAnsi="Times New Roman" w:cs="Times New Roman"/>
                <w:color w:val="000000"/>
                <w:sz w:val="15"/>
                <w:szCs w:val="15"/>
              </w:rPr>
            </w:pPr>
            <w:r w:rsidRPr="004A4899">
              <w:rPr>
                <w:rFonts w:ascii="Times New Roman" w:hAnsi="Times New Roman" w:cs="Times New Roman"/>
                <w:color w:val="000000"/>
                <w:sz w:val="15"/>
                <w:szCs w:val="15"/>
              </w:rPr>
              <w:t>122-78-1</w:t>
            </w:r>
          </w:p>
        </w:tc>
        <w:tc>
          <w:tcPr>
            <w:tcW w:w="837" w:type="dxa"/>
            <w:noWrap/>
            <w:vAlign w:val="center"/>
            <w:hideMark/>
          </w:tcPr>
          <w:p w14:paraId="730A8C89" w14:textId="77777777" w:rsidR="00126D8D" w:rsidRPr="004A4899" w:rsidRDefault="00126D8D" w:rsidP="00820288">
            <w:pPr>
              <w:spacing w:line="240" w:lineRule="auto"/>
              <w:jc w:val="center"/>
              <w:rPr>
                <w:rFonts w:ascii="Times New Roman" w:hAnsi="Times New Roman" w:cs="Times New Roman"/>
                <w:color w:val="000000"/>
                <w:sz w:val="15"/>
                <w:szCs w:val="15"/>
              </w:rPr>
            </w:pPr>
            <w:r w:rsidRPr="004A4899">
              <w:rPr>
                <w:rFonts w:ascii="Times New Roman" w:hAnsi="Times New Roman" w:cs="Times New Roman"/>
                <w:color w:val="000000"/>
                <w:sz w:val="15"/>
                <w:szCs w:val="15"/>
              </w:rPr>
              <w:t>196.22</w:t>
            </w:r>
          </w:p>
        </w:tc>
        <w:tc>
          <w:tcPr>
            <w:tcW w:w="763" w:type="dxa"/>
            <w:noWrap/>
            <w:vAlign w:val="center"/>
            <w:hideMark/>
          </w:tcPr>
          <w:p w14:paraId="76BE5848" w14:textId="77777777" w:rsidR="00126D8D" w:rsidRPr="004A4899" w:rsidRDefault="00126D8D" w:rsidP="00820288">
            <w:pPr>
              <w:spacing w:line="240" w:lineRule="auto"/>
              <w:jc w:val="center"/>
              <w:rPr>
                <w:rFonts w:ascii="Times New Roman" w:hAnsi="Times New Roman" w:cs="Times New Roman"/>
                <w:color w:val="000000"/>
                <w:sz w:val="15"/>
                <w:szCs w:val="15"/>
              </w:rPr>
            </w:pPr>
            <w:r w:rsidRPr="004A4899">
              <w:rPr>
                <w:rFonts w:ascii="Times New Roman" w:hAnsi="Times New Roman" w:cs="Times New Roman"/>
                <w:color w:val="000000"/>
                <w:sz w:val="15"/>
                <w:szCs w:val="15"/>
              </w:rPr>
              <w:t>19.32</w:t>
            </w:r>
          </w:p>
        </w:tc>
        <w:tc>
          <w:tcPr>
            <w:tcW w:w="1478" w:type="dxa"/>
            <w:noWrap/>
            <w:vAlign w:val="center"/>
            <w:hideMark/>
          </w:tcPr>
          <w:p w14:paraId="7F4DAD60" w14:textId="77777777" w:rsidR="00126D8D" w:rsidRPr="004A4899" w:rsidRDefault="00126D8D" w:rsidP="00820288">
            <w:pPr>
              <w:spacing w:line="240" w:lineRule="auto"/>
              <w:jc w:val="center"/>
              <w:rPr>
                <w:rFonts w:ascii="Times New Roman" w:hAnsi="Times New Roman" w:cs="Times New Roman"/>
                <w:color w:val="000000"/>
                <w:sz w:val="15"/>
                <w:szCs w:val="15"/>
              </w:rPr>
            </w:pPr>
            <w:r w:rsidRPr="004A4899">
              <w:rPr>
                <w:rFonts w:ascii="Times New Roman" w:hAnsi="Times New Roman" w:cs="Times New Roman"/>
                <w:color w:val="000000"/>
                <w:sz w:val="15"/>
                <w:szCs w:val="15"/>
              </w:rPr>
              <w:t>7.76</w:t>
            </w:r>
          </w:p>
        </w:tc>
        <w:tc>
          <w:tcPr>
            <w:tcW w:w="92" w:type="dxa"/>
          </w:tcPr>
          <w:p w14:paraId="62013961" w14:textId="77777777" w:rsidR="00126D8D" w:rsidRPr="004A4899" w:rsidRDefault="00126D8D" w:rsidP="00820288">
            <w:pPr>
              <w:spacing w:line="240" w:lineRule="auto"/>
              <w:jc w:val="center"/>
              <w:rPr>
                <w:rFonts w:ascii="Times New Roman" w:hAnsi="Times New Roman" w:cs="Times New Roman"/>
                <w:color w:val="000000"/>
                <w:sz w:val="15"/>
                <w:szCs w:val="15"/>
              </w:rPr>
            </w:pPr>
          </w:p>
        </w:tc>
        <w:tc>
          <w:tcPr>
            <w:tcW w:w="837" w:type="dxa"/>
            <w:noWrap/>
            <w:vAlign w:val="center"/>
            <w:hideMark/>
          </w:tcPr>
          <w:p w14:paraId="640321AB" w14:textId="77777777" w:rsidR="00126D8D" w:rsidRPr="004A4899" w:rsidRDefault="00126D8D" w:rsidP="00820288">
            <w:pPr>
              <w:spacing w:line="240" w:lineRule="auto"/>
              <w:jc w:val="center"/>
              <w:rPr>
                <w:rFonts w:ascii="Times New Roman" w:hAnsi="Times New Roman" w:cs="Times New Roman"/>
                <w:color w:val="000000"/>
                <w:sz w:val="15"/>
                <w:szCs w:val="15"/>
              </w:rPr>
            </w:pPr>
            <w:r w:rsidRPr="004A4899">
              <w:rPr>
                <w:rFonts w:ascii="Times New Roman" w:hAnsi="Times New Roman" w:cs="Times New Roman"/>
                <w:color w:val="000000"/>
                <w:sz w:val="15"/>
                <w:szCs w:val="15"/>
              </w:rPr>
              <w:t>&lt;0.0001</w:t>
            </w:r>
          </w:p>
        </w:tc>
        <w:tc>
          <w:tcPr>
            <w:tcW w:w="763" w:type="dxa"/>
            <w:noWrap/>
            <w:vAlign w:val="center"/>
            <w:hideMark/>
          </w:tcPr>
          <w:p w14:paraId="672F7862" w14:textId="77777777" w:rsidR="00126D8D" w:rsidRPr="004A4899" w:rsidRDefault="00126D8D" w:rsidP="00820288">
            <w:pPr>
              <w:spacing w:line="240" w:lineRule="auto"/>
              <w:jc w:val="center"/>
              <w:rPr>
                <w:rFonts w:ascii="Times New Roman" w:hAnsi="Times New Roman" w:cs="Times New Roman"/>
                <w:color w:val="000000"/>
                <w:sz w:val="15"/>
                <w:szCs w:val="15"/>
              </w:rPr>
            </w:pPr>
            <w:r w:rsidRPr="004A4899">
              <w:rPr>
                <w:rFonts w:ascii="Times New Roman" w:hAnsi="Times New Roman" w:cs="Times New Roman"/>
                <w:color w:val="000000"/>
                <w:sz w:val="15"/>
                <w:szCs w:val="15"/>
              </w:rPr>
              <w:t>&lt;0.0001</w:t>
            </w:r>
          </w:p>
        </w:tc>
        <w:tc>
          <w:tcPr>
            <w:tcW w:w="1478" w:type="dxa"/>
            <w:noWrap/>
            <w:vAlign w:val="center"/>
            <w:hideMark/>
          </w:tcPr>
          <w:p w14:paraId="232A2A95" w14:textId="77777777" w:rsidR="00126D8D" w:rsidRPr="004A4899" w:rsidRDefault="00126D8D" w:rsidP="00820288">
            <w:pPr>
              <w:spacing w:line="240" w:lineRule="auto"/>
              <w:jc w:val="center"/>
              <w:rPr>
                <w:rFonts w:ascii="Times New Roman" w:hAnsi="Times New Roman" w:cs="Times New Roman"/>
                <w:color w:val="000000"/>
                <w:sz w:val="15"/>
                <w:szCs w:val="15"/>
              </w:rPr>
            </w:pPr>
            <w:r w:rsidRPr="004A4899">
              <w:rPr>
                <w:rFonts w:ascii="Times New Roman" w:hAnsi="Times New Roman" w:cs="Times New Roman"/>
                <w:color w:val="000000"/>
                <w:sz w:val="15"/>
                <w:szCs w:val="15"/>
              </w:rPr>
              <w:t>&lt;0.0001</w:t>
            </w:r>
          </w:p>
        </w:tc>
      </w:tr>
      <w:tr w:rsidR="00126D8D" w:rsidRPr="00747A19" w14:paraId="1B1F5365" w14:textId="77777777" w:rsidTr="00820288">
        <w:trPr>
          <w:trHeight w:val="144"/>
          <w:jc w:val="center"/>
        </w:trPr>
        <w:tc>
          <w:tcPr>
            <w:tcW w:w="1778" w:type="dxa"/>
            <w:noWrap/>
            <w:vAlign w:val="center"/>
          </w:tcPr>
          <w:p w14:paraId="4276B242" w14:textId="77777777" w:rsidR="00126D8D" w:rsidRPr="004A4899" w:rsidRDefault="00126D8D" w:rsidP="00820288">
            <w:pPr>
              <w:spacing w:line="240" w:lineRule="auto"/>
              <w:rPr>
                <w:rFonts w:ascii="Times New Roman" w:hAnsi="Times New Roman" w:cs="Times New Roman"/>
                <w:b/>
                <w:bCs/>
                <w:color w:val="000000"/>
                <w:sz w:val="15"/>
                <w:szCs w:val="15"/>
              </w:rPr>
            </w:pPr>
            <w:r w:rsidRPr="004A4899">
              <w:rPr>
                <w:rFonts w:ascii="Times New Roman" w:hAnsi="Times New Roman" w:cs="Times New Roman"/>
                <w:b/>
                <w:bCs/>
                <w:color w:val="000000"/>
                <w:sz w:val="15"/>
                <w:szCs w:val="15"/>
              </w:rPr>
              <w:t>Amides and Furans</w:t>
            </w:r>
          </w:p>
        </w:tc>
        <w:tc>
          <w:tcPr>
            <w:tcW w:w="1323" w:type="dxa"/>
            <w:noWrap/>
            <w:vAlign w:val="center"/>
          </w:tcPr>
          <w:p w14:paraId="5EA1638B" w14:textId="77777777" w:rsidR="00126D8D" w:rsidRPr="004A4899" w:rsidRDefault="00126D8D" w:rsidP="00820288">
            <w:pPr>
              <w:spacing w:line="240" w:lineRule="auto"/>
              <w:jc w:val="center"/>
              <w:rPr>
                <w:rFonts w:ascii="Times New Roman" w:hAnsi="Times New Roman" w:cs="Times New Roman"/>
                <w:color w:val="000000"/>
                <w:sz w:val="15"/>
                <w:szCs w:val="15"/>
              </w:rPr>
            </w:pPr>
          </w:p>
        </w:tc>
        <w:tc>
          <w:tcPr>
            <w:tcW w:w="837" w:type="dxa"/>
            <w:noWrap/>
            <w:vAlign w:val="center"/>
          </w:tcPr>
          <w:p w14:paraId="7074B5F7" w14:textId="77777777" w:rsidR="00126D8D" w:rsidRPr="004A4899" w:rsidRDefault="00126D8D" w:rsidP="00820288">
            <w:pPr>
              <w:spacing w:line="240" w:lineRule="auto"/>
              <w:jc w:val="center"/>
              <w:rPr>
                <w:rFonts w:ascii="Times New Roman" w:hAnsi="Times New Roman" w:cs="Times New Roman"/>
                <w:color w:val="000000"/>
                <w:sz w:val="15"/>
                <w:szCs w:val="15"/>
              </w:rPr>
            </w:pPr>
          </w:p>
        </w:tc>
        <w:tc>
          <w:tcPr>
            <w:tcW w:w="763" w:type="dxa"/>
            <w:noWrap/>
            <w:vAlign w:val="center"/>
          </w:tcPr>
          <w:p w14:paraId="4875C934" w14:textId="77777777" w:rsidR="00126D8D" w:rsidRPr="004A4899" w:rsidRDefault="00126D8D" w:rsidP="00820288">
            <w:pPr>
              <w:spacing w:line="240" w:lineRule="auto"/>
              <w:jc w:val="center"/>
              <w:rPr>
                <w:rFonts w:ascii="Times New Roman" w:hAnsi="Times New Roman" w:cs="Times New Roman"/>
                <w:color w:val="000000"/>
                <w:sz w:val="15"/>
                <w:szCs w:val="15"/>
              </w:rPr>
            </w:pPr>
          </w:p>
        </w:tc>
        <w:tc>
          <w:tcPr>
            <w:tcW w:w="1478" w:type="dxa"/>
            <w:noWrap/>
            <w:vAlign w:val="center"/>
          </w:tcPr>
          <w:p w14:paraId="69B4AF1F" w14:textId="77777777" w:rsidR="00126D8D" w:rsidRPr="004A4899" w:rsidRDefault="00126D8D" w:rsidP="00820288">
            <w:pPr>
              <w:spacing w:line="240" w:lineRule="auto"/>
              <w:jc w:val="center"/>
              <w:rPr>
                <w:rFonts w:ascii="Times New Roman" w:hAnsi="Times New Roman" w:cs="Times New Roman"/>
                <w:color w:val="000000"/>
                <w:sz w:val="15"/>
                <w:szCs w:val="15"/>
              </w:rPr>
            </w:pPr>
          </w:p>
        </w:tc>
        <w:tc>
          <w:tcPr>
            <w:tcW w:w="92" w:type="dxa"/>
          </w:tcPr>
          <w:p w14:paraId="53AF334B" w14:textId="77777777" w:rsidR="00126D8D" w:rsidRPr="004A4899" w:rsidRDefault="00126D8D" w:rsidP="00820288">
            <w:pPr>
              <w:spacing w:line="240" w:lineRule="auto"/>
              <w:jc w:val="center"/>
              <w:rPr>
                <w:rFonts w:ascii="Times New Roman" w:hAnsi="Times New Roman" w:cs="Times New Roman"/>
                <w:color w:val="000000"/>
                <w:sz w:val="15"/>
                <w:szCs w:val="15"/>
              </w:rPr>
            </w:pPr>
          </w:p>
        </w:tc>
        <w:tc>
          <w:tcPr>
            <w:tcW w:w="837" w:type="dxa"/>
            <w:noWrap/>
            <w:vAlign w:val="center"/>
          </w:tcPr>
          <w:p w14:paraId="034FA7D4" w14:textId="77777777" w:rsidR="00126D8D" w:rsidRPr="004A4899" w:rsidRDefault="00126D8D" w:rsidP="00820288">
            <w:pPr>
              <w:spacing w:line="240" w:lineRule="auto"/>
              <w:jc w:val="center"/>
              <w:rPr>
                <w:rFonts w:ascii="Times New Roman" w:hAnsi="Times New Roman" w:cs="Times New Roman"/>
                <w:color w:val="000000"/>
                <w:sz w:val="15"/>
                <w:szCs w:val="15"/>
              </w:rPr>
            </w:pPr>
          </w:p>
        </w:tc>
        <w:tc>
          <w:tcPr>
            <w:tcW w:w="763" w:type="dxa"/>
            <w:noWrap/>
            <w:vAlign w:val="center"/>
          </w:tcPr>
          <w:p w14:paraId="21E632DB" w14:textId="77777777" w:rsidR="00126D8D" w:rsidRPr="004A4899" w:rsidRDefault="00126D8D" w:rsidP="00820288">
            <w:pPr>
              <w:spacing w:line="240" w:lineRule="auto"/>
              <w:jc w:val="center"/>
              <w:rPr>
                <w:rFonts w:ascii="Times New Roman" w:hAnsi="Times New Roman" w:cs="Times New Roman"/>
                <w:color w:val="000000"/>
                <w:sz w:val="15"/>
                <w:szCs w:val="15"/>
              </w:rPr>
            </w:pPr>
          </w:p>
        </w:tc>
        <w:tc>
          <w:tcPr>
            <w:tcW w:w="1478" w:type="dxa"/>
            <w:noWrap/>
            <w:vAlign w:val="center"/>
          </w:tcPr>
          <w:p w14:paraId="1739AFF0" w14:textId="77777777" w:rsidR="00126D8D" w:rsidRPr="004A4899" w:rsidRDefault="00126D8D" w:rsidP="00820288">
            <w:pPr>
              <w:spacing w:line="240" w:lineRule="auto"/>
              <w:jc w:val="center"/>
              <w:rPr>
                <w:rFonts w:ascii="Times New Roman" w:hAnsi="Times New Roman" w:cs="Times New Roman"/>
                <w:color w:val="000000"/>
                <w:sz w:val="15"/>
                <w:szCs w:val="15"/>
              </w:rPr>
            </w:pPr>
          </w:p>
        </w:tc>
      </w:tr>
      <w:tr w:rsidR="00126D8D" w:rsidRPr="00747A19" w14:paraId="51F7ADFA" w14:textId="77777777" w:rsidTr="00820288">
        <w:trPr>
          <w:trHeight w:val="144"/>
          <w:jc w:val="center"/>
        </w:trPr>
        <w:tc>
          <w:tcPr>
            <w:tcW w:w="1778" w:type="dxa"/>
            <w:noWrap/>
            <w:vAlign w:val="center"/>
            <w:hideMark/>
          </w:tcPr>
          <w:p w14:paraId="1BCF0EED" w14:textId="77777777" w:rsidR="00126D8D" w:rsidRPr="004A4899" w:rsidRDefault="00126D8D" w:rsidP="00820288">
            <w:pPr>
              <w:spacing w:line="240" w:lineRule="auto"/>
              <w:rPr>
                <w:rFonts w:ascii="Times New Roman" w:hAnsi="Times New Roman" w:cs="Times New Roman"/>
                <w:color w:val="000000"/>
                <w:sz w:val="15"/>
                <w:szCs w:val="15"/>
              </w:rPr>
            </w:pPr>
            <w:r w:rsidRPr="004A4899">
              <w:rPr>
                <w:rFonts w:ascii="Times New Roman" w:hAnsi="Times New Roman" w:cs="Times New Roman"/>
                <w:color w:val="000000"/>
                <w:sz w:val="15"/>
                <w:szCs w:val="15"/>
              </w:rPr>
              <w:t>Benzamide</w:t>
            </w:r>
          </w:p>
        </w:tc>
        <w:tc>
          <w:tcPr>
            <w:tcW w:w="1323" w:type="dxa"/>
            <w:noWrap/>
            <w:vAlign w:val="center"/>
            <w:hideMark/>
          </w:tcPr>
          <w:p w14:paraId="717C6DA4" w14:textId="77777777" w:rsidR="00126D8D" w:rsidRPr="004A4899" w:rsidRDefault="00126D8D" w:rsidP="00820288">
            <w:pPr>
              <w:spacing w:line="240" w:lineRule="auto"/>
              <w:jc w:val="center"/>
              <w:rPr>
                <w:rFonts w:ascii="Times New Roman" w:hAnsi="Times New Roman" w:cs="Times New Roman"/>
                <w:color w:val="000000"/>
                <w:sz w:val="15"/>
                <w:szCs w:val="15"/>
              </w:rPr>
            </w:pPr>
            <w:r w:rsidRPr="004A4899">
              <w:rPr>
                <w:rFonts w:ascii="Times New Roman" w:hAnsi="Times New Roman" w:cs="Times New Roman"/>
                <w:color w:val="000000"/>
                <w:sz w:val="15"/>
                <w:szCs w:val="15"/>
              </w:rPr>
              <w:t>55-21-0</w:t>
            </w:r>
          </w:p>
        </w:tc>
        <w:tc>
          <w:tcPr>
            <w:tcW w:w="837" w:type="dxa"/>
            <w:noWrap/>
            <w:vAlign w:val="center"/>
            <w:hideMark/>
          </w:tcPr>
          <w:p w14:paraId="4D871AB9" w14:textId="77777777" w:rsidR="00126D8D" w:rsidRPr="004A4899" w:rsidRDefault="00126D8D" w:rsidP="00820288">
            <w:pPr>
              <w:spacing w:line="240" w:lineRule="auto"/>
              <w:jc w:val="center"/>
              <w:rPr>
                <w:rFonts w:ascii="Times New Roman" w:hAnsi="Times New Roman" w:cs="Times New Roman"/>
                <w:color w:val="000000"/>
                <w:sz w:val="15"/>
                <w:szCs w:val="15"/>
              </w:rPr>
            </w:pPr>
            <w:r w:rsidRPr="004A4899">
              <w:rPr>
                <w:rFonts w:ascii="Times New Roman" w:hAnsi="Times New Roman" w:cs="Times New Roman"/>
                <w:color w:val="000000"/>
                <w:sz w:val="15"/>
                <w:szCs w:val="15"/>
              </w:rPr>
              <w:t>345.39</w:t>
            </w:r>
          </w:p>
        </w:tc>
        <w:tc>
          <w:tcPr>
            <w:tcW w:w="763" w:type="dxa"/>
            <w:noWrap/>
            <w:vAlign w:val="center"/>
            <w:hideMark/>
          </w:tcPr>
          <w:p w14:paraId="531905A5" w14:textId="77777777" w:rsidR="00126D8D" w:rsidRPr="004A4899" w:rsidRDefault="00126D8D" w:rsidP="00820288">
            <w:pPr>
              <w:spacing w:line="240" w:lineRule="auto"/>
              <w:jc w:val="center"/>
              <w:rPr>
                <w:rFonts w:ascii="Times New Roman" w:hAnsi="Times New Roman" w:cs="Times New Roman"/>
                <w:color w:val="000000"/>
                <w:sz w:val="15"/>
                <w:szCs w:val="15"/>
              </w:rPr>
            </w:pPr>
            <w:r w:rsidRPr="004A4899">
              <w:rPr>
                <w:rFonts w:ascii="Times New Roman" w:hAnsi="Times New Roman" w:cs="Times New Roman"/>
                <w:color w:val="000000"/>
                <w:sz w:val="15"/>
                <w:szCs w:val="15"/>
              </w:rPr>
              <w:t>2.49</w:t>
            </w:r>
          </w:p>
        </w:tc>
        <w:tc>
          <w:tcPr>
            <w:tcW w:w="1478" w:type="dxa"/>
            <w:noWrap/>
            <w:vAlign w:val="center"/>
            <w:hideMark/>
          </w:tcPr>
          <w:p w14:paraId="01FA6E00" w14:textId="77777777" w:rsidR="00126D8D" w:rsidRPr="004A4899" w:rsidRDefault="00126D8D" w:rsidP="00820288">
            <w:pPr>
              <w:spacing w:line="240" w:lineRule="auto"/>
              <w:jc w:val="center"/>
              <w:rPr>
                <w:rFonts w:ascii="Times New Roman" w:hAnsi="Times New Roman" w:cs="Times New Roman"/>
                <w:color w:val="000000"/>
                <w:sz w:val="15"/>
                <w:szCs w:val="15"/>
              </w:rPr>
            </w:pPr>
            <w:r w:rsidRPr="004A4899">
              <w:rPr>
                <w:rFonts w:ascii="Times New Roman" w:hAnsi="Times New Roman" w:cs="Times New Roman"/>
                <w:color w:val="000000"/>
                <w:sz w:val="15"/>
                <w:szCs w:val="15"/>
              </w:rPr>
              <w:t>2.14</w:t>
            </w:r>
          </w:p>
        </w:tc>
        <w:tc>
          <w:tcPr>
            <w:tcW w:w="92" w:type="dxa"/>
          </w:tcPr>
          <w:p w14:paraId="7F5AAE6B" w14:textId="77777777" w:rsidR="00126D8D" w:rsidRPr="004A4899" w:rsidRDefault="00126D8D" w:rsidP="00820288">
            <w:pPr>
              <w:spacing w:line="240" w:lineRule="auto"/>
              <w:jc w:val="center"/>
              <w:rPr>
                <w:rFonts w:ascii="Times New Roman" w:hAnsi="Times New Roman" w:cs="Times New Roman"/>
                <w:color w:val="000000"/>
                <w:sz w:val="15"/>
                <w:szCs w:val="15"/>
              </w:rPr>
            </w:pPr>
          </w:p>
        </w:tc>
        <w:tc>
          <w:tcPr>
            <w:tcW w:w="837" w:type="dxa"/>
            <w:noWrap/>
            <w:vAlign w:val="center"/>
            <w:hideMark/>
          </w:tcPr>
          <w:p w14:paraId="54E23675" w14:textId="77777777" w:rsidR="00126D8D" w:rsidRPr="004A4899" w:rsidRDefault="00126D8D" w:rsidP="00820288">
            <w:pPr>
              <w:spacing w:line="240" w:lineRule="auto"/>
              <w:jc w:val="center"/>
              <w:rPr>
                <w:rFonts w:ascii="Times New Roman" w:hAnsi="Times New Roman" w:cs="Times New Roman"/>
                <w:color w:val="000000"/>
                <w:sz w:val="15"/>
                <w:szCs w:val="15"/>
              </w:rPr>
            </w:pPr>
            <w:r w:rsidRPr="004A4899">
              <w:rPr>
                <w:rFonts w:ascii="Times New Roman" w:hAnsi="Times New Roman" w:cs="Times New Roman"/>
                <w:color w:val="000000"/>
                <w:sz w:val="15"/>
                <w:szCs w:val="15"/>
              </w:rPr>
              <w:t>&lt;0.0001</w:t>
            </w:r>
          </w:p>
        </w:tc>
        <w:tc>
          <w:tcPr>
            <w:tcW w:w="763" w:type="dxa"/>
            <w:noWrap/>
            <w:vAlign w:val="center"/>
            <w:hideMark/>
          </w:tcPr>
          <w:p w14:paraId="05501387" w14:textId="77777777" w:rsidR="00126D8D" w:rsidRPr="004A4899" w:rsidRDefault="00126D8D" w:rsidP="00820288">
            <w:pPr>
              <w:spacing w:line="240" w:lineRule="auto"/>
              <w:jc w:val="center"/>
              <w:rPr>
                <w:rFonts w:ascii="Times New Roman" w:hAnsi="Times New Roman" w:cs="Times New Roman"/>
                <w:color w:val="000000"/>
                <w:sz w:val="15"/>
                <w:szCs w:val="15"/>
              </w:rPr>
            </w:pPr>
            <w:r w:rsidRPr="004A4899">
              <w:rPr>
                <w:rFonts w:ascii="Times New Roman" w:hAnsi="Times New Roman" w:cs="Times New Roman"/>
                <w:color w:val="000000"/>
                <w:sz w:val="15"/>
                <w:szCs w:val="15"/>
              </w:rPr>
              <w:t>0.0049</w:t>
            </w:r>
          </w:p>
        </w:tc>
        <w:tc>
          <w:tcPr>
            <w:tcW w:w="1478" w:type="dxa"/>
            <w:noWrap/>
            <w:vAlign w:val="center"/>
            <w:hideMark/>
          </w:tcPr>
          <w:p w14:paraId="6C09E088" w14:textId="77777777" w:rsidR="00126D8D" w:rsidRPr="004A4899" w:rsidRDefault="00126D8D" w:rsidP="00820288">
            <w:pPr>
              <w:spacing w:line="240" w:lineRule="auto"/>
              <w:jc w:val="center"/>
              <w:rPr>
                <w:rFonts w:ascii="Times New Roman" w:hAnsi="Times New Roman" w:cs="Times New Roman"/>
                <w:color w:val="000000"/>
                <w:sz w:val="15"/>
                <w:szCs w:val="15"/>
              </w:rPr>
            </w:pPr>
            <w:r w:rsidRPr="004A4899">
              <w:rPr>
                <w:rFonts w:ascii="Times New Roman" w:hAnsi="Times New Roman" w:cs="Times New Roman"/>
                <w:color w:val="000000"/>
                <w:sz w:val="15"/>
                <w:szCs w:val="15"/>
              </w:rPr>
              <w:t>0.0003</w:t>
            </w:r>
          </w:p>
        </w:tc>
      </w:tr>
      <w:tr w:rsidR="00126D8D" w:rsidRPr="00747A19" w14:paraId="36C40280" w14:textId="77777777" w:rsidTr="00820288">
        <w:trPr>
          <w:trHeight w:val="144"/>
          <w:jc w:val="center"/>
        </w:trPr>
        <w:tc>
          <w:tcPr>
            <w:tcW w:w="1778" w:type="dxa"/>
            <w:noWrap/>
            <w:vAlign w:val="center"/>
            <w:hideMark/>
          </w:tcPr>
          <w:p w14:paraId="25DA314E" w14:textId="77777777" w:rsidR="00126D8D" w:rsidRPr="004A4899" w:rsidRDefault="00126D8D" w:rsidP="00820288">
            <w:pPr>
              <w:spacing w:line="240" w:lineRule="auto"/>
              <w:rPr>
                <w:rFonts w:ascii="Times New Roman" w:hAnsi="Times New Roman" w:cs="Times New Roman"/>
                <w:color w:val="000000"/>
                <w:sz w:val="15"/>
                <w:szCs w:val="15"/>
              </w:rPr>
            </w:pPr>
            <w:r w:rsidRPr="004A4899">
              <w:rPr>
                <w:rFonts w:ascii="Times New Roman" w:hAnsi="Times New Roman" w:cs="Times New Roman"/>
                <w:color w:val="000000"/>
                <w:sz w:val="15"/>
                <w:szCs w:val="15"/>
              </w:rPr>
              <w:t>N-phenyl-Formamide</w:t>
            </w:r>
          </w:p>
        </w:tc>
        <w:tc>
          <w:tcPr>
            <w:tcW w:w="1323" w:type="dxa"/>
            <w:noWrap/>
            <w:vAlign w:val="center"/>
            <w:hideMark/>
          </w:tcPr>
          <w:p w14:paraId="3EA23CE0" w14:textId="77777777" w:rsidR="00126D8D" w:rsidRPr="004A4899" w:rsidRDefault="00126D8D" w:rsidP="00820288">
            <w:pPr>
              <w:spacing w:line="240" w:lineRule="auto"/>
              <w:jc w:val="center"/>
              <w:rPr>
                <w:rFonts w:ascii="Times New Roman" w:hAnsi="Times New Roman" w:cs="Times New Roman"/>
                <w:color w:val="000000"/>
                <w:sz w:val="15"/>
                <w:szCs w:val="15"/>
              </w:rPr>
            </w:pPr>
            <w:r w:rsidRPr="004A4899">
              <w:rPr>
                <w:rFonts w:ascii="Times New Roman" w:hAnsi="Times New Roman" w:cs="Times New Roman"/>
                <w:color w:val="000000"/>
                <w:sz w:val="15"/>
                <w:szCs w:val="15"/>
              </w:rPr>
              <w:t>103-70-8</w:t>
            </w:r>
          </w:p>
        </w:tc>
        <w:tc>
          <w:tcPr>
            <w:tcW w:w="837" w:type="dxa"/>
            <w:noWrap/>
            <w:vAlign w:val="center"/>
            <w:hideMark/>
          </w:tcPr>
          <w:p w14:paraId="71063869" w14:textId="77777777" w:rsidR="00126D8D" w:rsidRPr="004A4899" w:rsidRDefault="00126D8D" w:rsidP="00820288">
            <w:pPr>
              <w:spacing w:line="240" w:lineRule="auto"/>
              <w:jc w:val="center"/>
              <w:rPr>
                <w:rFonts w:ascii="Times New Roman" w:hAnsi="Times New Roman" w:cs="Times New Roman"/>
                <w:color w:val="000000"/>
                <w:sz w:val="15"/>
                <w:szCs w:val="15"/>
              </w:rPr>
            </w:pPr>
            <w:r w:rsidRPr="004A4899">
              <w:rPr>
                <w:rFonts w:ascii="Times New Roman" w:hAnsi="Times New Roman" w:cs="Times New Roman"/>
                <w:color w:val="000000"/>
                <w:sz w:val="15"/>
                <w:szCs w:val="15"/>
              </w:rPr>
              <w:t>143.66</w:t>
            </w:r>
          </w:p>
        </w:tc>
        <w:tc>
          <w:tcPr>
            <w:tcW w:w="763" w:type="dxa"/>
            <w:noWrap/>
            <w:vAlign w:val="center"/>
            <w:hideMark/>
          </w:tcPr>
          <w:p w14:paraId="16AF0896" w14:textId="77777777" w:rsidR="00126D8D" w:rsidRPr="004A4899" w:rsidRDefault="00126D8D" w:rsidP="00820288">
            <w:pPr>
              <w:spacing w:line="240" w:lineRule="auto"/>
              <w:jc w:val="center"/>
              <w:rPr>
                <w:rFonts w:ascii="Times New Roman" w:hAnsi="Times New Roman" w:cs="Times New Roman"/>
                <w:color w:val="000000"/>
                <w:sz w:val="15"/>
                <w:szCs w:val="15"/>
              </w:rPr>
            </w:pPr>
            <w:r w:rsidRPr="004A4899">
              <w:rPr>
                <w:rFonts w:ascii="Times New Roman" w:hAnsi="Times New Roman" w:cs="Times New Roman"/>
                <w:color w:val="000000"/>
                <w:sz w:val="15"/>
                <w:szCs w:val="15"/>
              </w:rPr>
              <w:t>1.95</w:t>
            </w:r>
          </w:p>
        </w:tc>
        <w:tc>
          <w:tcPr>
            <w:tcW w:w="1478" w:type="dxa"/>
            <w:noWrap/>
            <w:vAlign w:val="center"/>
            <w:hideMark/>
          </w:tcPr>
          <w:p w14:paraId="53E92075" w14:textId="77777777" w:rsidR="00126D8D" w:rsidRPr="004A4899" w:rsidRDefault="00126D8D" w:rsidP="00820288">
            <w:pPr>
              <w:spacing w:line="240" w:lineRule="auto"/>
              <w:jc w:val="center"/>
              <w:rPr>
                <w:rFonts w:ascii="Times New Roman" w:hAnsi="Times New Roman" w:cs="Times New Roman"/>
                <w:color w:val="000000"/>
                <w:sz w:val="15"/>
                <w:szCs w:val="15"/>
              </w:rPr>
            </w:pPr>
            <w:r w:rsidRPr="004A4899">
              <w:rPr>
                <w:rFonts w:ascii="Times New Roman" w:hAnsi="Times New Roman" w:cs="Times New Roman"/>
                <w:color w:val="000000"/>
                <w:sz w:val="15"/>
                <w:szCs w:val="15"/>
              </w:rPr>
              <w:t>2.31</w:t>
            </w:r>
          </w:p>
        </w:tc>
        <w:tc>
          <w:tcPr>
            <w:tcW w:w="92" w:type="dxa"/>
          </w:tcPr>
          <w:p w14:paraId="318F0AA9" w14:textId="77777777" w:rsidR="00126D8D" w:rsidRPr="004A4899" w:rsidRDefault="00126D8D" w:rsidP="00820288">
            <w:pPr>
              <w:spacing w:line="240" w:lineRule="auto"/>
              <w:jc w:val="center"/>
              <w:rPr>
                <w:rFonts w:ascii="Times New Roman" w:hAnsi="Times New Roman" w:cs="Times New Roman"/>
                <w:color w:val="000000"/>
                <w:sz w:val="15"/>
                <w:szCs w:val="15"/>
              </w:rPr>
            </w:pPr>
          </w:p>
        </w:tc>
        <w:tc>
          <w:tcPr>
            <w:tcW w:w="837" w:type="dxa"/>
            <w:noWrap/>
            <w:vAlign w:val="center"/>
            <w:hideMark/>
          </w:tcPr>
          <w:p w14:paraId="5798CD49" w14:textId="77777777" w:rsidR="00126D8D" w:rsidRPr="004A4899" w:rsidRDefault="00126D8D" w:rsidP="00820288">
            <w:pPr>
              <w:spacing w:line="240" w:lineRule="auto"/>
              <w:jc w:val="center"/>
              <w:rPr>
                <w:rFonts w:ascii="Times New Roman" w:hAnsi="Times New Roman" w:cs="Times New Roman"/>
                <w:color w:val="000000"/>
                <w:sz w:val="15"/>
                <w:szCs w:val="15"/>
              </w:rPr>
            </w:pPr>
            <w:r w:rsidRPr="004A4899">
              <w:rPr>
                <w:rFonts w:ascii="Times New Roman" w:hAnsi="Times New Roman" w:cs="Times New Roman"/>
                <w:color w:val="000000"/>
                <w:sz w:val="15"/>
                <w:szCs w:val="15"/>
              </w:rPr>
              <w:t>&lt;0.0001</w:t>
            </w:r>
          </w:p>
        </w:tc>
        <w:tc>
          <w:tcPr>
            <w:tcW w:w="763" w:type="dxa"/>
            <w:noWrap/>
            <w:vAlign w:val="center"/>
            <w:hideMark/>
          </w:tcPr>
          <w:p w14:paraId="1C0845D5" w14:textId="77777777" w:rsidR="00126D8D" w:rsidRPr="004A4899" w:rsidRDefault="00126D8D" w:rsidP="00820288">
            <w:pPr>
              <w:spacing w:line="240" w:lineRule="auto"/>
              <w:jc w:val="center"/>
              <w:rPr>
                <w:rFonts w:ascii="Times New Roman" w:hAnsi="Times New Roman" w:cs="Times New Roman"/>
                <w:color w:val="000000"/>
                <w:sz w:val="15"/>
                <w:szCs w:val="15"/>
              </w:rPr>
            </w:pPr>
            <w:r w:rsidRPr="004A4899">
              <w:rPr>
                <w:rFonts w:ascii="Times New Roman" w:hAnsi="Times New Roman" w:cs="Times New Roman"/>
                <w:color w:val="000000"/>
                <w:sz w:val="15"/>
                <w:szCs w:val="15"/>
              </w:rPr>
              <w:t>0.0323</w:t>
            </w:r>
          </w:p>
        </w:tc>
        <w:tc>
          <w:tcPr>
            <w:tcW w:w="1478" w:type="dxa"/>
            <w:noWrap/>
            <w:vAlign w:val="center"/>
            <w:hideMark/>
          </w:tcPr>
          <w:p w14:paraId="046BCDD4" w14:textId="77777777" w:rsidR="00126D8D" w:rsidRPr="004A4899" w:rsidRDefault="00126D8D" w:rsidP="00820288">
            <w:pPr>
              <w:spacing w:line="240" w:lineRule="auto"/>
              <w:jc w:val="center"/>
              <w:rPr>
                <w:rFonts w:ascii="Times New Roman" w:hAnsi="Times New Roman" w:cs="Times New Roman"/>
                <w:color w:val="000000"/>
                <w:sz w:val="15"/>
                <w:szCs w:val="15"/>
              </w:rPr>
            </w:pPr>
            <w:r w:rsidRPr="004A4899">
              <w:rPr>
                <w:rFonts w:ascii="Times New Roman" w:hAnsi="Times New Roman" w:cs="Times New Roman"/>
                <w:color w:val="000000"/>
                <w:sz w:val="15"/>
                <w:szCs w:val="15"/>
              </w:rPr>
              <w:t>&lt;0.0001</w:t>
            </w:r>
          </w:p>
        </w:tc>
      </w:tr>
      <w:tr w:rsidR="00126D8D" w:rsidRPr="00747A19" w14:paraId="0893DDEA" w14:textId="77777777" w:rsidTr="00820288">
        <w:trPr>
          <w:trHeight w:val="144"/>
          <w:jc w:val="center"/>
        </w:trPr>
        <w:tc>
          <w:tcPr>
            <w:tcW w:w="1778" w:type="dxa"/>
            <w:noWrap/>
            <w:vAlign w:val="center"/>
            <w:hideMark/>
          </w:tcPr>
          <w:p w14:paraId="18A0C317" w14:textId="77777777" w:rsidR="00126D8D" w:rsidRPr="004A4899" w:rsidRDefault="00126D8D" w:rsidP="00820288">
            <w:pPr>
              <w:spacing w:line="240" w:lineRule="auto"/>
              <w:rPr>
                <w:rFonts w:ascii="Times New Roman" w:hAnsi="Times New Roman" w:cs="Times New Roman"/>
                <w:color w:val="000000"/>
                <w:sz w:val="15"/>
                <w:szCs w:val="15"/>
              </w:rPr>
            </w:pPr>
            <w:r w:rsidRPr="004A4899">
              <w:rPr>
                <w:rFonts w:ascii="Times New Roman" w:hAnsi="Times New Roman" w:cs="Times New Roman"/>
                <w:color w:val="000000"/>
                <w:sz w:val="15"/>
                <w:szCs w:val="15"/>
              </w:rPr>
              <w:t>2-Ethyl-furan</w:t>
            </w:r>
          </w:p>
        </w:tc>
        <w:tc>
          <w:tcPr>
            <w:tcW w:w="1323" w:type="dxa"/>
            <w:noWrap/>
            <w:vAlign w:val="center"/>
            <w:hideMark/>
          </w:tcPr>
          <w:p w14:paraId="6A6913FB" w14:textId="77777777" w:rsidR="00126D8D" w:rsidRPr="004A4899" w:rsidRDefault="00126D8D" w:rsidP="00820288">
            <w:pPr>
              <w:spacing w:line="240" w:lineRule="auto"/>
              <w:jc w:val="center"/>
              <w:rPr>
                <w:rFonts w:ascii="Times New Roman" w:hAnsi="Times New Roman" w:cs="Times New Roman"/>
                <w:color w:val="000000"/>
                <w:sz w:val="15"/>
                <w:szCs w:val="15"/>
              </w:rPr>
            </w:pPr>
            <w:r w:rsidRPr="004A4899">
              <w:rPr>
                <w:rFonts w:ascii="Times New Roman" w:hAnsi="Times New Roman" w:cs="Times New Roman"/>
                <w:color w:val="000000"/>
                <w:sz w:val="15"/>
                <w:szCs w:val="15"/>
              </w:rPr>
              <w:t>3208-16-0</w:t>
            </w:r>
          </w:p>
        </w:tc>
        <w:tc>
          <w:tcPr>
            <w:tcW w:w="837" w:type="dxa"/>
            <w:noWrap/>
            <w:vAlign w:val="center"/>
            <w:hideMark/>
          </w:tcPr>
          <w:p w14:paraId="5C308116" w14:textId="77777777" w:rsidR="00126D8D" w:rsidRPr="004A4899" w:rsidRDefault="00126D8D" w:rsidP="00820288">
            <w:pPr>
              <w:spacing w:line="240" w:lineRule="auto"/>
              <w:jc w:val="center"/>
              <w:rPr>
                <w:rFonts w:ascii="Times New Roman" w:hAnsi="Times New Roman" w:cs="Times New Roman"/>
                <w:color w:val="000000"/>
                <w:sz w:val="15"/>
                <w:szCs w:val="15"/>
              </w:rPr>
            </w:pPr>
            <w:r w:rsidRPr="004A4899">
              <w:rPr>
                <w:rFonts w:ascii="Times New Roman" w:hAnsi="Times New Roman" w:cs="Times New Roman"/>
                <w:color w:val="000000"/>
                <w:sz w:val="15"/>
                <w:szCs w:val="15"/>
              </w:rPr>
              <w:t>16.32</w:t>
            </w:r>
          </w:p>
        </w:tc>
        <w:tc>
          <w:tcPr>
            <w:tcW w:w="763" w:type="dxa"/>
            <w:noWrap/>
            <w:vAlign w:val="center"/>
            <w:hideMark/>
          </w:tcPr>
          <w:p w14:paraId="4BD52154" w14:textId="77777777" w:rsidR="00126D8D" w:rsidRPr="004A4899" w:rsidRDefault="00126D8D" w:rsidP="00820288">
            <w:pPr>
              <w:spacing w:line="240" w:lineRule="auto"/>
              <w:jc w:val="center"/>
              <w:rPr>
                <w:rFonts w:ascii="Times New Roman" w:hAnsi="Times New Roman" w:cs="Times New Roman"/>
                <w:color w:val="000000"/>
                <w:sz w:val="15"/>
                <w:szCs w:val="15"/>
              </w:rPr>
            </w:pPr>
            <w:r w:rsidRPr="004A4899">
              <w:rPr>
                <w:rFonts w:ascii="Times New Roman" w:hAnsi="Times New Roman" w:cs="Times New Roman"/>
                <w:color w:val="000000"/>
                <w:sz w:val="15"/>
                <w:szCs w:val="15"/>
              </w:rPr>
              <w:t>1.48</w:t>
            </w:r>
          </w:p>
        </w:tc>
        <w:tc>
          <w:tcPr>
            <w:tcW w:w="1478" w:type="dxa"/>
            <w:noWrap/>
            <w:vAlign w:val="center"/>
            <w:hideMark/>
          </w:tcPr>
          <w:p w14:paraId="4A6C626A" w14:textId="77777777" w:rsidR="00126D8D" w:rsidRPr="004A4899" w:rsidRDefault="00126D8D" w:rsidP="00820288">
            <w:pPr>
              <w:spacing w:line="240" w:lineRule="auto"/>
              <w:jc w:val="center"/>
              <w:rPr>
                <w:rFonts w:ascii="Times New Roman" w:hAnsi="Times New Roman" w:cs="Times New Roman"/>
                <w:color w:val="000000"/>
                <w:sz w:val="15"/>
                <w:szCs w:val="15"/>
              </w:rPr>
            </w:pPr>
            <w:r w:rsidRPr="004A4899">
              <w:rPr>
                <w:rFonts w:ascii="Times New Roman" w:hAnsi="Times New Roman" w:cs="Times New Roman"/>
                <w:color w:val="000000"/>
                <w:sz w:val="15"/>
                <w:szCs w:val="15"/>
              </w:rPr>
              <w:t>1.83</w:t>
            </w:r>
          </w:p>
        </w:tc>
        <w:tc>
          <w:tcPr>
            <w:tcW w:w="92" w:type="dxa"/>
          </w:tcPr>
          <w:p w14:paraId="3B08609D" w14:textId="77777777" w:rsidR="00126D8D" w:rsidRPr="004A4899" w:rsidRDefault="00126D8D" w:rsidP="00820288">
            <w:pPr>
              <w:spacing w:line="240" w:lineRule="auto"/>
              <w:jc w:val="center"/>
              <w:rPr>
                <w:rFonts w:ascii="Times New Roman" w:hAnsi="Times New Roman" w:cs="Times New Roman"/>
                <w:color w:val="000000"/>
                <w:sz w:val="15"/>
                <w:szCs w:val="15"/>
              </w:rPr>
            </w:pPr>
          </w:p>
        </w:tc>
        <w:tc>
          <w:tcPr>
            <w:tcW w:w="837" w:type="dxa"/>
            <w:noWrap/>
            <w:vAlign w:val="center"/>
            <w:hideMark/>
          </w:tcPr>
          <w:p w14:paraId="4B6F3449" w14:textId="77777777" w:rsidR="00126D8D" w:rsidRPr="004A4899" w:rsidRDefault="00126D8D" w:rsidP="00820288">
            <w:pPr>
              <w:spacing w:line="240" w:lineRule="auto"/>
              <w:jc w:val="center"/>
              <w:rPr>
                <w:rFonts w:ascii="Times New Roman" w:hAnsi="Times New Roman" w:cs="Times New Roman"/>
                <w:color w:val="000000"/>
                <w:sz w:val="15"/>
                <w:szCs w:val="15"/>
              </w:rPr>
            </w:pPr>
            <w:r w:rsidRPr="004A4899">
              <w:rPr>
                <w:rFonts w:ascii="Times New Roman" w:hAnsi="Times New Roman" w:cs="Times New Roman"/>
                <w:color w:val="000000"/>
                <w:sz w:val="15"/>
                <w:szCs w:val="15"/>
              </w:rPr>
              <w:t>&lt;0.0001</w:t>
            </w:r>
          </w:p>
        </w:tc>
        <w:tc>
          <w:tcPr>
            <w:tcW w:w="763" w:type="dxa"/>
            <w:noWrap/>
            <w:vAlign w:val="center"/>
            <w:hideMark/>
          </w:tcPr>
          <w:p w14:paraId="0435B8C7" w14:textId="77777777" w:rsidR="00126D8D" w:rsidRPr="004A4899" w:rsidRDefault="00126D8D" w:rsidP="00820288">
            <w:pPr>
              <w:spacing w:line="240" w:lineRule="auto"/>
              <w:jc w:val="center"/>
              <w:rPr>
                <w:rFonts w:ascii="Times New Roman" w:hAnsi="Times New Roman" w:cs="Times New Roman"/>
                <w:color w:val="000000"/>
                <w:sz w:val="15"/>
                <w:szCs w:val="15"/>
              </w:rPr>
            </w:pPr>
            <w:r w:rsidRPr="004A4899">
              <w:rPr>
                <w:rFonts w:ascii="Times New Roman" w:hAnsi="Times New Roman" w:cs="Times New Roman"/>
                <w:color w:val="000000"/>
                <w:sz w:val="15"/>
                <w:szCs w:val="15"/>
              </w:rPr>
              <w:t>0.1380</w:t>
            </w:r>
          </w:p>
        </w:tc>
        <w:tc>
          <w:tcPr>
            <w:tcW w:w="1478" w:type="dxa"/>
            <w:noWrap/>
            <w:vAlign w:val="center"/>
            <w:hideMark/>
          </w:tcPr>
          <w:p w14:paraId="1BFE5F1F" w14:textId="77777777" w:rsidR="00126D8D" w:rsidRPr="004A4899" w:rsidRDefault="00126D8D" w:rsidP="00820288">
            <w:pPr>
              <w:spacing w:line="240" w:lineRule="auto"/>
              <w:jc w:val="center"/>
              <w:rPr>
                <w:rFonts w:ascii="Times New Roman" w:hAnsi="Times New Roman" w:cs="Times New Roman"/>
                <w:color w:val="000000"/>
                <w:sz w:val="15"/>
                <w:szCs w:val="15"/>
              </w:rPr>
            </w:pPr>
            <w:r w:rsidRPr="004A4899">
              <w:rPr>
                <w:rFonts w:ascii="Times New Roman" w:hAnsi="Times New Roman" w:cs="Times New Roman"/>
                <w:color w:val="000000"/>
                <w:sz w:val="15"/>
                <w:szCs w:val="15"/>
              </w:rPr>
              <w:t>0.0045</w:t>
            </w:r>
          </w:p>
        </w:tc>
      </w:tr>
      <w:tr w:rsidR="00126D8D" w:rsidRPr="00747A19" w14:paraId="48D30F1B" w14:textId="77777777" w:rsidTr="00820288">
        <w:trPr>
          <w:trHeight w:val="144"/>
          <w:jc w:val="center"/>
        </w:trPr>
        <w:tc>
          <w:tcPr>
            <w:tcW w:w="1778" w:type="dxa"/>
            <w:noWrap/>
            <w:vAlign w:val="center"/>
            <w:hideMark/>
          </w:tcPr>
          <w:p w14:paraId="2BB50F95" w14:textId="77777777" w:rsidR="00126D8D" w:rsidRPr="004A4899" w:rsidRDefault="00126D8D" w:rsidP="00820288">
            <w:pPr>
              <w:spacing w:line="240" w:lineRule="auto"/>
              <w:rPr>
                <w:rFonts w:ascii="Times New Roman" w:hAnsi="Times New Roman" w:cs="Times New Roman"/>
                <w:color w:val="000000"/>
                <w:sz w:val="15"/>
                <w:szCs w:val="15"/>
              </w:rPr>
            </w:pPr>
            <w:r w:rsidRPr="004A4899">
              <w:rPr>
                <w:rFonts w:ascii="Times New Roman" w:hAnsi="Times New Roman" w:cs="Times New Roman"/>
                <w:color w:val="000000"/>
                <w:sz w:val="15"/>
                <w:szCs w:val="15"/>
              </w:rPr>
              <w:t>2-Pentyl-furan</w:t>
            </w:r>
          </w:p>
        </w:tc>
        <w:tc>
          <w:tcPr>
            <w:tcW w:w="1323" w:type="dxa"/>
            <w:noWrap/>
            <w:vAlign w:val="center"/>
            <w:hideMark/>
          </w:tcPr>
          <w:p w14:paraId="5C239C19" w14:textId="77777777" w:rsidR="00126D8D" w:rsidRPr="004A4899" w:rsidRDefault="00126D8D" w:rsidP="00820288">
            <w:pPr>
              <w:spacing w:line="240" w:lineRule="auto"/>
              <w:jc w:val="center"/>
              <w:rPr>
                <w:rFonts w:ascii="Times New Roman" w:hAnsi="Times New Roman" w:cs="Times New Roman"/>
                <w:color w:val="000000"/>
                <w:sz w:val="15"/>
                <w:szCs w:val="15"/>
              </w:rPr>
            </w:pPr>
            <w:r w:rsidRPr="004A4899">
              <w:rPr>
                <w:rFonts w:ascii="Times New Roman" w:hAnsi="Times New Roman" w:cs="Times New Roman"/>
                <w:color w:val="000000"/>
                <w:sz w:val="15"/>
                <w:szCs w:val="15"/>
              </w:rPr>
              <w:t>3777-69-3</w:t>
            </w:r>
          </w:p>
        </w:tc>
        <w:tc>
          <w:tcPr>
            <w:tcW w:w="837" w:type="dxa"/>
            <w:noWrap/>
            <w:vAlign w:val="center"/>
            <w:hideMark/>
          </w:tcPr>
          <w:p w14:paraId="5D28442C" w14:textId="77777777" w:rsidR="00126D8D" w:rsidRPr="004A4899" w:rsidRDefault="00126D8D" w:rsidP="00820288">
            <w:pPr>
              <w:spacing w:line="240" w:lineRule="auto"/>
              <w:jc w:val="center"/>
              <w:rPr>
                <w:rFonts w:ascii="Times New Roman" w:hAnsi="Times New Roman" w:cs="Times New Roman"/>
                <w:color w:val="000000"/>
                <w:sz w:val="15"/>
                <w:szCs w:val="15"/>
              </w:rPr>
            </w:pPr>
            <w:r w:rsidRPr="004A4899">
              <w:rPr>
                <w:rFonts w:ascii="Times New Roman" w:hAnsi="Times New Roman" w:cs="Times New Roman"/>
                <w:color w:val="000000"/>
                <w:sz w:val="15"/>
                <w:szCs w:val="15"/>
              </w:rPr>
              <w:t>4.82</w:t>
            </w:r>
          </w:p>
        </w:tc>
        <w:tc>
          <w:tcPr>
            <w:tcW w:w="763" w:type="dxa"/>
            <w:noWrap/>
            <w:vAlign w:val="center"/>
            <w:hideMark/>
          </w:tcPr>
          <w:p w14:paraId="6CCC24B2" w14:textId="77777777" w:rsidR="00126D8D" w:rsidRPr="004A4899" w:rsidRDefault="00126D8D" w:rsidP="00820288">
            <w:pPr>
              <w:spacing w:line="240" w:lineRule="auto"/>
              <w:jc w:val="center"/>
              <w:rPr>
                <w:rFonts w:ascii="Times New Roman" w:hAnsi="Times New Roman" w:cs="Times New Roman"/>
                <w:color w:val="000000"/>
                <w:sz w:val="15"/>
                <w:szCs w:val="15"/>
              </w:rPr>
            </w:pPr>
            <w:r w:rsidRPr="004A4899">
              <w:rPr>
                <w:rFonts w:ascii="Times New Roman" w:hAnsi="Times New Roman" w:cs="Times New Roman"/>
                <w:color w:val="000000"/>
                <w:sz w:val="15"/>
                <w:szCs w:val="15"/>
              </w:rPr>
              <w:t>2.63</w:t>
            </w:r>
          </w:p>
        </w:tc>
        <w:tc>
          <w:tcPr>
            <w:tcW w:w="1478" w:type="dxa"/>
            <w:noWrap/>
            <w:vAlign w:val="center"/>
            <w:hideMark/>
          </w:tcPr>
          <w:p w14:paraId="6EA8C343" w14:textId="77777777" w:rsidR="00126D8D" w:rsidRPr="004A4899" w:rsidRDefault="00126D8D" w:rsidP="00820288">
            <w:pPr>
              <w:spacing w:line="240" w:lineRule="auto"/>
              <w:jc w:val="center"/>
              <w:rPr>
                <w:rFonts w:ascii="Times New Roman" w:hAnsi="Times New Roman" w:cs="Times New Roman"/>
                <w:color w:val="000000"/>
                <w:sz w:val="15"/>
                <w:szCs w:val="15"/>
              </w:rPr>
            </w:pPr>
            <w:r w:rsidRPr="004A4899">
              <w:rPr>
                <w:rFonts w:ascii="Times New Roman" w:hAnsi="Times New Roman" w:cs="Times New Roman"/>
                <w:color w:val="000000"/>
                <w:sz w:val="15"/>
                <w:szCs w:val="15"/>
              </w:rPr>
              <w:t>0.90</w:t>
            </w:r>
          </w:p>
        </w:tc>
        <w:tc>
          <w:tcPr>
            <w:tcW w:w="92" w:type="dxa"/>
          </w:tcPr>
          <w:p w14:paraId="5B57D241" w14:textId="77777777" w:rsidR="00126D8D" w:rsidRPr="004A4899" w:rsidRDefault="00126D8D" w:rsidP="00820288">
            <w:pPr>
              <w:spacing w:line="240" w:lineRule="auto"/>
              <w:jc w:val="center"/>
              <w:rPr>
                <w:rFonts w:ascii="Times New Roman" w:hAnsi="Times New Roman" w:cs="Times New Roman"/>
                <w:color w:val="000000"/>
                <w:sz w:val="15"/>
                <w:szCs w:val="15"/>
              </w:rPr>
            </w:pPr>
          </w:p>
        </w:tc>
        <w:tc>
          <w:tcPr>
            <w:tcW w:w="837" w:type="dxa"/>
            <w:noWrap/>
            <w:vAlign w:val="center"/>
            <w:hideMark/>
          </w:tcPr>
          <w:p w14:paraId="5329FDA0" w14:textId="77777777" w:rsidR="00126D8D" w:rsidRPr="004A4899" w:rsidRDefault="00126D8D" w:rsidP="00820288">
            <w:pPr>
              <w:spacing w:line="240" w:lineRule="auto"/>
              <w:jc w:val="center"/>
              <w:rPr>
                <w:rFonts w:ascii="Times New Roman" w:hAnsi="Times New Roman" w:cs="Times New Roman"/>
                <w:color w:val="000000"/>
                <w:sz w:val="15"/>
                <w:szCs w:val="15"/>
              </w:rPr>
            </w:pPr>
            <w:r w:rsidRPr="004A4899">
              <w:rPr>
                <w:rFonts w:ascii="Times New Roman" w:hAnsi="Times New Roman" w:cs="Times New Roman"/>
                <w:color w:val="000000"/>
                <w:sz w:val="15"/>
                <w:szCs w:val="15"/>
              </w:rPr>
              <w:t>0.0026</w:t>
            </w:r>
          </w:p>
        </w:tc>
        <w:tc>
          <w:tcPr>
            <w:tcW w:w="763" w:type="dxa"/>
            <w:noWrap/>
            <w:vAlign w:val="center"/>
            <w:hideMark/>
          </w:tcPr>
          <w:p w14:paraId="0CF3C030" w14:textId="77777777" w:rsidR="00126D8D" w:rsidRPr="004A4899" w:rsidRDefault="00126D8D" w:rsidP="00820288">
            <w:pPr>
              <w:spacing w:line="240" w:lineRule="auto"/>
              <w:jc w:val="center"/>
              <w:rPr>
                <w:rFonts w:ascii="Times New Roman" w:hAnsi="Times New Roman" w:cs="Times New Roman"/>
                <w:color w:val="000000"/>
                <w:sz w:val="15"/>
                <w:szCs w:val="15"/>
              </w:rPr>
            </w:pPr>
            <w:r w:rsidRPr="004A4899">
              <w:rPr>
                <w:rFonts w:ascii="Times New Roman" w:hAnsi="Times New Roman" w:cs="Times New Roman"/>
                <w:color w:val="000000"/>
                <w:sz w:val="15"/>
                <w:szCs w:val="15"/>
              </w:rPr>
              <w:t>0.0029</w:t>
            </w:r>
          </w:p>
        </w:tc>
        <w:tc>
          <w:tcPr>
            <w:tcW w:w="1478" w:type="dxa"/>
            <w:noWrap/>
            <w:vAlign w:val="center"/>
            <w:hideMark/>
          </w:tcPr>
          <w:p w14:paraId="7E20BBD6" w14:textId="77777777" w:rsidR="00126D8D" w:rsidRPr="004A4899" w:rsidRDefault="00126D8D" w:rsidP="00820288">
            <w:pPr>
              <w:spacing w:line="240" w:lineRule="auto"/>
              <w:jc w:val="center"/>
              <w:rPr>
                <w:rFonts w:ascii="Times New Roman" w:hAnsi="Times New Roman" w:cs="Times New Roman"/>
                <w:color w:val="000000"/>
                <w:sz w:val="15"/>
                <w:szCs w:val="15"/>
              </w:rPr>
            </w:pPr>
            <w:r w:rsidRPr="004A4899">
              <w:rPr>
                <w:rFonts w:ascii="Times New Roman" w:hAnsi="Times New Roman" w:cs="Times New Roman"/>
                <w:color w:val="000000"/>
                <w:sz w:val="15"/>
                <w:szCs w:val="15"/>
              </w:rPr>
              <w:t>0.6374</w:t>
            </w:r>
          </w:p>
        </w:tc>
      </w:tr>
      <w:tr w:rsidR="00126D8D" w:rsidRPr="00747A19" w14:paraId="71F38425" w14:textId="77777777" w:rsidTr="00820288">
        <w:trPr>
          <w:trHeight w:val="144"/>
          <w:jc w:val="center"/>
        </w:trPr>
        <w:tc>
          <w:tcPr>
            <w:tcW w:w="1778" w:type="dxa"/>
            <w:noWrap/>
            <w:vAlign w:val="center"/>
          </w:tcPr>
          <w:p w14:paraId="63F75D24" w14:textId="77777777" w:rsidR="00126D8D" w:rsidRPr="004A4899" w:rsidRDefault="00126D8D" w:rsidP="00820288">
            <w:pPr>
              <w:spacing w:line="240" w:lineRule="auto"/>
              <w:rPr>
                <w:rFonts w:ascii="Times New Roman" w:hAnsi="Times New Roman" w:cs="Times New Roman"/>
                <w:b/>
                <w:bCs/>
                <w:color w:val="000000"/>
                <w:sz w:val="15"/>
                <w:szCs w:val="15"/>
              </w:rPr>
            </w:pPr>
            <w:r w:rsidRPr="004A4899">
              <w:rPr>
                <w:rFonts w:ascii="Times New Roman" w:hAnsi="Times New Roman" w:cs="Times New Roman"/>
                <w:b/>
                <w:bCs/>
                <w:color w:val="000000"/>
                <w:sz w:val="15"/>
                <w:szCs w:val="15"/>
              </w:rPr>
              <w:t>Hydrocarbons</w:t>
            </w:r>
          </w:p>
        </w:tc>
        <w:tc>
          <w:tcPr>
            <w:tcW w:w="1323" w:type="dxa"/>
            <w:noWrap/>
            <w:vAlign w:val="center"/>
          </w:tcPr>
          <w:p w14:paraId="23BD2238" w14:textId="77777777" w:rsidR="00126D8D" w:rsidRPr="004A4899" w:rsidRDefault="00126D8D" w:rsidP="00820288">
            <w:pPr>
              <w:spacing w:line="240" w:lineRule="auto"/>
              <w:jc w:val="center"/>
              <w:rPr>
                <w:rFonts w:ascii="Times New Roman" w:hAnsi="Times New Roman" w:cs="Times New Roman"/>
                <w:color w:val="000000"/>
                <w:sz w:val="15"/>
                <w:szCs w:val="15"/>
              </w:rPr>
            </w:pPr>
          </w:p>
        </w:tc>
        <w:tc>
          <w:tcPr>
            <w:tcW w:w="837" w:type="dxa"/>
            <w:noWrap/>
            <w:vAlign w:val="center"/>
          </w:tcPr>
          <w:p w14:paraId="29D686A7" w14:textId="77777777" w:rsidR="00126D8D" w:rsidRPr="004A4899" w:rsidRDefault="00126D8D" w:rsidP="00820288">
            <w:pPr>
              <w:spacing w:line="240" w:lineRule="auto"/>
              <w:jc w:val="center"/>
              <w:rPr>
                <w:rFonts w:ascii="Times New Roman" w:hAnsi="Times New Roman" w:cs="Times New Roman"/>
                <w:color w:val="000000"/>
                <w:sz w:val="15"/>
                <w:szCs w:val="15"/>
              </w:rPr>
            </w:pPr>
          </w:p>
        </w:tc>
        <w:tc>
          <w:tcPr>
            <w:tcW w:w="763" w:type="dxa"/>
            <w:noWrap/>
            <w:vAlign w:val="center"/>
          </w:tcPr>
          <w:p w14:paraId="25F87303" w14:textId="77777777" w:rsidR="00126D8D" w:rsidRPr="004A4899" w:rsidRDefault="00126D8D" w:rsidP="00820288">
            <w:pPr>
              <w:spacing w:line="240" w:lineRule="auto"/>
              <w:jc w:val="center"/>
              <w:rPr>
                <w:rFonts w:ascii="Times New Roman" w:hAnsi="Times New Roman" w:cs="Times New Roman"/>
                <w:color w:val="000000"/>
                <w:sz w:val="15"/>
                <w:szCs w:val="15"/>
              </w:rPr>
            </w:pPr>
          </w:p>
        </w:tc>
        <w:tc>
          <w:tcPr>
            <w:tcW w:w="1478" w:type="dxa"/>
            <w:noWrap/>
            <w:vAlign w:val="center"/>
          </w:tcPr>
          <w:p w14:paraId="4760F25C" w14:textId="77777777" w:rsidR="00126D8D" w:rsidRPr="004A4899" w:rsidRDefault="00126D8D" w:rsidP="00820288">
            <w:pPr>
              <w:spacing w:line="240" w:lineRule="auto"/>
              <w:jc w:val="center"/>
              <w:rPr>
                <w:rFonts w:ascii="Times New Roman" w:hAnsi="Times New Roman" w:cs="Times New Roman"/>
                <w:color w:val="000000"/>
                <w:sz w:val="15"/>
                <w:szCs w:val="15"/>
              </w:rPr>
            </w:pPr>
          </w:p>
        </w:tc>
        <w:tc>
          <w:tcPr>
            <w:tcW w:w="92" w:type="dxa"/>
          </w:tcPr>
          <w:p w14:paraId="6D3E9D11" w14:textId="77777777" w:rsidR="00126D8D" w:rsidRPr="004A4899" w:rsidRDefault="00126D8D" w:rsidP="00820288">
            <w:pPr>
              <w:spacing w:line="240" w:lineRule="auto"/>
              <w:jc w:val="center"/>
              <w:rPr>
                <w:rFonts w:ascii="Times New Roman" w:hAnsi="Times New Roman" w:cs="Times New Roman"/>
                <w:color w:val="000000"/>
                <w:sz w:val="15"/>
                <w:szCs w:val="15"/>
              </w:rPr>
            </w:pPr>
          </w:p>
        </w:tc>
        <w:tc>
          <w:tcPr>
            <w:tcW w:w="837" w:type="dxa"/>
            <w:noWrap/>
            <w:vAlign w:val="center"/>
          </w:tcPr>
          <w:p w14:paraId="161C99BA" w14:textId="77777777" w:rsidR="00126D8D" w:rsidRPr="004A4899" w:rsidRDefault="00126D8D" w:rsidP="00820288">
            <w:pPr>
              <w:spacing w:line="240" w:lineRule="auto"/>
              <w:jc w:val="center"/>
              <w:rPr>
                <w:rFonts w:ascii="Times New Roman" w:hAnsi="Times New Roman" w:cs="Times New Roman"/>
                <w:color w:val="000000"/>
                <w:sz w:val="15"/>
                <w:szCs w:val="15"/>
              </w:rPr>
            </w:pPr>
          </w:p>
        </w:tc>
        <w:tc>
          <w:tcPr>
            <w:tcW w:w="763" w:type="dxa"/>
            <w:noWrap/>
            <w:vAlign w:val="center"/>
          </w:tcPr>
          <w:p w14:paraId="6242347B" w14:textId="77777777" w:rsidR="00126D8D" w:rsidRPr="004A4899" w:rsidRDefault="00126D8D" w:rsidP="00820288">
            <w:pPr>
              <w:spacing w:line="240" w:lineRule="auto"/>
              <w:jc w:val="center"/>
              <w:rPr>
                <w:rFonts w:ascii="Times New Roman" w:hAnsi="Times New Roman" w:cs="Times New Roman"/>
                <w:color w:val="000000"/>
                <w:sz w:val="15"/>
                <w:szCs w:val="15"/>
              </w:rPr>
            </w:pPr>
          </w:p>
        </w:tc>
        <w:tc>
          <w:tcPr>
            <w:tcW w:w="1478" w:type="dxa"/>
            <w:noWrap/>
            <w:vAlign w:val="center"/>
          </w:tcPr>
          <w:p w14:paraId="20E45091" w14:textId="77777777" w:rsidR="00126D8D" w:rsidRPr="004A4899" w:rsidRDefault="00126D8D" w:rsidP="00820288">
            <w:pPr>
              <w:spacing w:line="240" w:lineRule="auto"/>
              <w:jc w:val="center"/>
              <w:rPr>
                <w:rFonts w:ascii="Times New Roman" w:hAnsi="Times New Roman" w:cs="Times New Roman"/>
                <w:color w:val="000000"/>
                <w:sz w:val="15"/>
                <w:szCs w:val="15"/>
              </w:rPr>
            </w:pPr>
          </w:p>
        </w:tc>
      </w:tr>
      <w:tr w:rsidR="00126D8D" w:rsidRPr="00747A19" w14:paraId="767AFA1F" w14:textId="77777777" w:rsidTr="00820288">
        <w:trPr>
          <w:trHeight w:val="144"/>
          <w:jc w:val="center"/>
        </w:trPr>
        <w:tc>
          <w:tcPr>
            <w:tcW w:w="1778" w:type="dxa"/>
            <w:noWrap/>
            <w:vAlign w:val="center"/>
            <w:hideMark/>
          </w:tcPr>
          <w:p w14:paraId="2621657F" w14:textId="77777777" w:rsidR="00126D8D" w:rsidRPr="004A4899" w:rsidRDefault="00126D8D" w:rsidP="00820288">
            <w:pPr>
              <w:spacing w:line="240" w:lineRule="auto"/>
              <w:rPr>
                <w:rFonts w:ascii="Times New Roman" w:hAnsi="Times New Roman" w:cs="Times New Roman"/>
                <w:color w:val="000000"/>
                <w:sz w:val="15"/>
                <w:szCs w:val="15"/>
              </w:rPr>
            </w:pPr>
            <w:r w:rsidRPr="004A4899">
              <w:rPr>
                <w:rFonts w:ascii="Times New Roman" w:hAnsi="Times New Roman" w:cs="Times New Roman"/>
                <w:color w:val="000000"/>
                <w:sz w:val="15"/>
                <w:szCs w:val="15"/>
              </w:rPr>
              <w:t>1,4-Cyclohexadiene</w:t>
            </w:r>
          </w:p>
        </w:tc>
        <w:tc>
          <w:tcPr>
            <w:tcW w:w="1323" w:type="dxa"/>
            <w:noWrap/>
            <w:vAlign w:val="center"/>
            <w:hideMark/>
          </w:tcPr>
          <w:p w14:paraId="6A3F7BE5" w14:textId="77777777" w:rsidR="00126D8D" w:rsidRPr="004A4899" w:rsidRDefault="00126D8D" w:rsidP="00820288">
            <w:pPr>
              <w:spacing w:line="240" w:lineRule="auto"/>
              <w:jc w:val="center"/>
              <w:rPr>
                <w:rFonts w:ascii="Times New Roman" w:hAnsi="Times New Roman" w:cs="Times New Roman"/>
                <w:color w:val="000000"/>
                <w:sz w:val="15"/>
                <w:szCs w:val="15"/>
              </w:rPr>
            </w:pPr>
            <w:r w:rsidRPr="004A4899">
              <w:rPr>
                <w:rFonts w:ascii="Times New Roman" w:hAnsi="Times New Roman" w:cs="Times New Roman"/>
                <w:color w:val="000000"/>
                <w:sz w:val="15"/>
                <w:szCs w:val="15"/>
              </w:rPr>
              <w:t>628-41-1</w:t>
            </w:r>
          </w:p>
        </w:tc>
        <w:tc>
          <w:tcPr>
            <w:tcW w:w="837" w:type="dxa"/>
            <w:noWrap/>
            <w:vAlign w:val="center"/>
            <w:hideMark/>
          </w:tcPr>
          <w:p w14:paraId="2080FA54" w14:textId="77777777" w:rsidR="00126D8D" w:rsidRPr="004A4899" w:rsidRDefault="00126D8D" w:rsidP="00820288">
            <w:pPr>
              <w:spacing w:line="240" w:lineRule="auto"/>
              <w:jc w:val="center"/>
              <w:rPr>
                <w:rFonts w:ascii="Times New Roman" w:hAnsi="Times New Roman" w:cs="Times New Roman"/>
                <w:color w:val="000000"/>
                <w:sz w:val="15"/>
                <w:szCs w:val="15"/>
              </w:rPr>
            </w:pPr>
            <w:r w:rsidRPr="004A4899">
              <w:rPr>
                <w:rFonts w:ascii="Times New Roman" w:hAnsi="Times New Roman" w:cs="Times New Roman"/>
                <w:color w:val="000000"/>
                <w:sz w:val="15"/>
                <w:szCs w:val="15"/>
              </w:rPr>
              <w:t>80.31</w:t>
            </w:r>
          </w:p>
        </w:tc>
        <w:tc>
          <w:tcPr>
            <w:tcW w:w="763" w:type="dxa"/>
            <w:noWrap/>
            <w:vAlign w:val="center"/>
            <w:hideMark/>
          </w:tcPr>
          <w:p w14:paraId="0F101ED8" w14:textId="77777777" w:rsidR="00126D8D" w:rsidRPr="004A4899" w:rsidRDefault="00126D8D" w:rsidP="00820288">
            <w:pPr>
              <w:spacing w:line="240" w:lineRule="auto"/>
              <w:jc w:val="center"/>
              <w:rPr>
                <w:rFonts w:ascii="Times New Roman" w:hAnsi="Times New Roman" w:cs="Times New Roman"/>
                <w:color w:val="000000"/>
                <w:sz w:val="15"/>
                <w:szCs w:val="15"/>
              </w:rPr>
            </w:pPr>
            <w:r w:rsidRPr="004A4899">
              <w:rPr>
                <w:rFonts w:ascii="Times New Roman" w:hAnsi="Times New Roman" w:cs="Times New Roman"/>
                <w:color w:val="000000"/>
                <w:sz w:val="15"/>
                <w:szCs w:val="15"/>
              </w:rPr>
              <w:t>8.46</w:t>
            </w:r>
          </w:p>
        </w:tc>
        <w:tc>
          <w:tcPr>
            <w:tcW w:w="1478" w:type="dxa"/>
            <w:noWrap/>
            <w:vAlign w:val="center"/>
            <w:hideMark/>
          </w:tcPr>
          <w:p w14:paraId="787BEC07" w14:textId="77777777" w:rsidR="00126D8D" w:rsidRPr="004A4899" w:rsidRDefault="00126D8D" w:rsidP="00820288">
            <w:pPr>
              <w:spacing w:line="240" w:lineRule="auto"/>
              <w:jc w:val="center"/>
              <w:rPr>
                <w:rFonts w:ascii="Times New Roman" w:hAnsi="Times New Roman" w:cs="Times New Roman"/>
                <w:color w:val="000000"/>
                <w:sz w:val="15"/>
                <w:szCs w:val="15"/>
              </w:rPr>
            </w:pPr>
            <w:r w:rsidRPr="004A4899">
              <w:rPr>
                <w:rFonts w:ascii="Times New Roman" w:hAnsi="Times New Roman" w:cs="Times New Roman"/>
                <w:color w:val="000000"/>
                <w:sz w:val="15"/>
                <w:szCs w:val="15"/>
              </w:rPr>
              <w:t>2.74</w:t>
            </w:r>
          </w:p>
        </w:tc>
        <w:tc>
          <w:tcPr>
            <w:tcW w:w="92" w:type="dxa"/>
          </w:tcPr>
          <w:p w14:paraId="451AC526" w14:textId="77777777" w:rsidR="00126D8D" w:rsidRPr="004A4899" w:rsidRDefault="00126D8D" w:rsidP="00820288">
            <w:pPr>
              <w:spacing w:line="240" w:lineRule="auto"/>
              <w:jc w:val="center"/>
              <w:rPr>
                <w:rFonts w:ascii="Times New Roman" w:hAnsi="Times New Roman" w:cs="Times New Roman"/>
                <w:color w:val="000000"/>
                <w:sz w:val="15"/>
                <w:szCs w:val="15"/>
              </w:rPr>
            </w:pPr>
          </w:p>
        </w:tc>
        <w:tc>
          <w:tcPr>
            <w:tcW w:w="837" w:type="dxa"/>
            <w:noWrap/>
            <w:vAlign w:val="center"/>
            <w:hideMark/>
          </w:tcPr>
          <w:p w14:paraId="2F0A1F58" w14:textId="77777777" w:rsidR="00126D8D" w:rsidRPr="004A4899" w:rsidRDefault="00126D8D" w:rsidP="00820288">
            <w:pPr>
              <w:spacing w:line="240" w:lineRule="auto"/>
              <w:jc w:val="center"/>
              <w:rPr>
                <w:rFonts w:ascii="Times New Roman" w:hAnsi="Times New Roman" w:cs="Times New Roman"/>
                <w:color w:val="000000"/>
                <w:sz w:val="15"/>
                <w:szCs w:val="15"/>
              </w:rPr>
            </w:pPr>
            <w:r w:rsidRPr="004A4899">
              <w:rPr>
                <w:rFonts w:ascii="Times New Roman" w:hAnsi="Times New Roman" w:cs="Times New Roman"/>
                <w:color w:val="000000"/>
                <w:sz w:val="15"/>
                <w:szCs w:val="15"/>
              </w:rPr>
              <w:t>&lt;0.0001</w:t>
            </w:r>
          </w:p>
        </w:tc>
        <w:tc>
          <w:tcPr>
            <w:tcW w:w="763" w:type="dxa"/>
            <w:noWrap/>
            <w:vAlign w:val="center"/>
            <w:hideMark/>
          </w:tcPr>
          <w:p w14:paraId="326132F5" w14:textId="77777777" w:rsidR="00126D8D" w:rsidRPr="004A4899" w:rsidRDefault="00126D8D" w:rsidP="00820288">
            <w:pPr>
              <w:spacing w:line="240" w:lineRule="auto"/>
              <w:jc w:val="center"/>
              <w:rPr>
                <w:rFonts w:ascii="Times New Roman" w:hAnsi="Times New Roman" w:cs="Times New Roman"/>
                <w:color w:val="000000"/>
                <w:sz w:val="15"/>
                <w:szCs w:val="15"/>
              </w:rPr>
            </w:pPr>
            <w:r w:rsidRPr="004A4899">
              <w:rPr>
                <w:rFonts w:ascii="Times New Roman" w:hAnsi="Times New Roman" w:cs="Times New Roman"/>
                <w:color w:val="000000"/>
                <w:sz w:val="15"/>
                <w:szCs w:val="15"/>
              </w:rPr>
              <w:t>&lt;0.0001</w:t>
            </w:r>
          </w:p>
        </w:tc>
        <w:tc>
          <w:tcPr>
            <w:tcW w:w="1478" w:type="dxa"/>
            <w:noWrap/>
            <w:vAlign w:val="center"/>
            <w:hideMark/>
          </w:tcPr>
          <w:p w14:paraId="55ECBF7D" w14:textId="77777777" w:rsidR="00126D8D" w:rsidRPr="004A4899" w:rsidRDefault="00126D8D" w:rsidP="00820288">
            <w:pPr>
              <w:spacing w:line="240" w:lineRule="auto"/>
              <w:jc w:val="center"/>
              <w:rPr>
                <w:rFonts w:ascii="Times New Roman" w:hAnsi="Times New Roman" w:cs="Times New Roman"/>
                <w:color w:val="000000"/>
                <w:sz w:val="15"/>
                <w:szCs w:val="15"/>
              </w:rPr>
            </w:pPr>
            <w:r w:rsidRPr="004A4899">
              <w:rPr>
                <w:rFonts w:ascii="Times New Roman" w:hAnsi="Times New Roman" w:cs="Times New Roman"/>
                <w:color w:val="000000"/>
                <w:sz w:val="15"/>
                <w:szCs w:val="15"/>
              </w:rPr>
              <w:t>&lt;0.0001</w:t>
            </w:r>
          </w:p>
        </w:tc>
      </w:tr>
      <w:tr w:rsidR="00126D8D" w:rsidRPr="00747A19" w14:paraId="4464CFBE" w14:textId="77777777" w:rsidTr="00820288">
        <w:trPr>
          <w:trHeight w:val="144"/>
          <w:jc w:val="center"/>
        </w:trPr>
        <w:tc>
          <w:tcPr>
            <w:tcW w:w="1778" w:type="dxa"/>
            <w:noWrap/>
            <w:vAlign w:val="center"/>
            <w:hideMark/>
          </w:tcPr>
          <w:p w14:paraId="66DA5DB0" w14:textId="77777777" w:rsidR="00126D8D" w:rsidRPr="004A4899" w:rsidRDefault="00126D8D" w:rsidP="00820288">
            <w:pPr>
              <w:spacing w:line="240" w:lineRule="auto"/>
              <w:rPr>
                <w:rFonts w:ascii="Times New Roman" w:hAnsi="Times New Roman" w:cs="Times New Roman"/>
                <w:color w:val="000000"/>
                <w:sz w:val="15"/>
                <w:szCs w:val="15"/>
              </w:rPr>
            </w:pPr>
            <w:r w:rsidRPr="004A4899">
              <w:rPr>
                <w:rFonts w:ascii="Times New Roman" w:hAnsi="Times New Roman" w:cs="Times New Roman"/>
                <w:color w:val="000000"/>
                <w:sz w:val="15"/>
                <w:szCs w:val="15"/>
              </w:rPr>
              <w:t>2-Cyclopropyl-2-pentene</w:t>
            </w:r>
          </w:p>
        </w:tc>
        <w:tc>
          <w:tcPr>
            <w:tcW w:w="1323" w:type="dxa"/>
            <w:noWrap/>
            <w:vAlign w:val="center"/>
            <w:hideMark/>
          </w:tcPr>
          <w:p w14:paraId="62490E77" w14:textId="77777777" w:rsidR="00126D8D" w:rsidRPr="004A4899" w:rsidRDefault="00126D8D" w:rsidP="00820288">
            <w:pPr>
              <w:spacing w:line="240" w:lineRule="auto"/>
              <w:jc w:val="center"/>
              <w:rPr>
                <w:rFonts w:ascii="Times New Roman" w:hAnsi="Times New Roman" w:cs="Times New Roman"/>
                <w:color w:val="000000"/>
                <w:sz w:val="15"/>
                <w:szCs w:val="15"/>
              </w:rPr>
            </w:pPr>
            <w:r w:rsidRPr="004A4899">
              <w:rPr>
                <w:rFonts w:ascii="Times New Roman" w:hAnsi="Times New Roman" w:cs="Times New Roman"/>
                <w:color w:val="000000"/>
                <w:sz w:val="15"/>
                <w:szCs w:val="15"/>
              </w:rPr>
              <w:t>5457-40-9</w:t>
            </w:r>
          </w:p>
        </w:tc>
        <w:tc>
          <w:tcPr>
            <w:tcW w:w="837" w:type="dxa"/>
            <w:noWrap/>
            <w:vAlign w:val="center"/>
            <w:hideMark/>
          </w:tcPr>
          <w:p w14:paraId="27BCC9CB" w14:textId="77777777" w:rsidR="00126D8D" w:rsidRPr="004A4899" w:rsidRDefault="00126D8D" w:rsidP="00820288">
            <w:pPr>
              <w:spacing w:line="240" w:lineRule="auto"/>
              <w:jc w:val="center"/>
              <w:rPr>
                <w:rFonts w:ascii="Times New Roman" w:hAnsi="Times New Roman" w:cs="Times New Roman"/>
                <w:color w:val="000000"/>
                <w:sz w:val="15"/>
                <w:szCs w:val="15"/>
              </w:rPr>
            </w:pPr>
            <w:r w:rsidRPr="004A4899">
              <w:rPr>
                <w:rFonts w:ascii="Times New Roman" w:hAnsi="Times New Roman" w:cs="Times New Roman"/>
                <w:color w:val="000000"/>
                <w:sz w:val="15"/>
                <w:szCs w:val="15"/>
              </w:rPr>
              <w:t>58.30</w:t>
            </w:r>
          </w:p>
        </w:tc>
        <w:tc>
          <w:tcPr>
            <w:tcW w:w="763" w:type="dxa"/>
            <w:noWrap/>
            <w:vAlign w:val="center"/>
            <w:hideMark/>
          </w:tcPr>
          <w:p w14:paraId="10962D11" w14:textId="77777777" w:rsidR="00126D8D" w:rsidRPr="004A4899" w:rsidRDefault="00126D8D" w:rsidP="00820288">
            <w:pPr>
              <w:spacing w:line="240" w:lineRule="auto"/>
              <w:jc w:val="center"/>
              <w:rPr>
                <w:rFonts w:ascii="Times New Roman" w:hAnsi="Times New Roman" w:cs="Times New Roman"/>
                <w:color w:val="000000"/>
                <w:sz w:val="15"/>
                <w:szCs w:val="15"/>
              </w:rPr>
            </w:pPr>
            <w:r w:rsidRPr="004A4899">
              <w:rPr>
                <w:rFonts w:ascii="Times New Roman" w:hAnsi="Times New Roman" w:cs="Times New Roman"/>
                <w:color w:val="000000"/>
                <w:sz w:val="15"/>
                <w:szCs w:val="15"/>
              </w:rPr>
              <w:t>9.00</w:t>
            </w:r>
          </w:p>
        </w:tc>
        <w:tc>
          <w:tcPr>
            <w:tcW w:w="1478" w:type="dxa"/>
            <w:noWrap/>
            <w:vAlign w:val="center"/>
            <w:hideMark/>
          </w:tcPr>
          <w:p w14:paraId="6C4BA11E" w14:textId="77777777" w:rsidR="00126D8D" w:rsidRPr="004A4899" w:rsidRDefault="00126D8D" w:rsidP="00820288">
            <w:pPr>
              <w:spacing w:line="240" w:lineRule="auto"/>
              <w:jc w:val="center"/>
              <w:rPr>
                <w:rFonts w:ascii="Times New Roman" w:hAnsi="Times New Roman" w:cs="Times New Roman"/>
                <w:color w:val="000000"/>
                <w:sz w:val="15"/>
                <w:szCs w:val="15"/>
              </w:rPr>
            </w:pPr>
            <w:r w:rsidRPr="004A4899">
              <w:rPr>
                <w:rFonts w:ascii="Times New Roman" w:hAnsi="Times New Roman" w:cs="Times New Roman"/>
                <w:color w:val="000000"/>
                <w:sz w:val="15"/>
                <w:szCs w:val="15"/>
              </w:rPr>
              <w:t>1.98</w:t>
            </w:r>
          </w:p>
        </w:tc>
        <w:tc>
          <w:tcPr>
            <w:tcW w:w="92" w:type="dxa"/>
          </w:tcPr>
          <w:p w14:paraId="2C70E1BA" w14:textId="77777777" w:rsidR="00126D8D" w:rsidRPr="004A4899" w:rsidRDefault="00126D8D" w:rsidP="00820288">
            <w:pPr>
              <w:spacing w:line="240" w:lineRule="auto"/>
              <w:jc w:val="center"/>
              <w:rPr>
                <w:rFonts w:ascii="Times New Roman" w:hAnsi="Times New Roman" w:cs="Times New Roman"/>
                <w:color w:val="000000"/>
                <w:sz w:val="15"/>
                <w:szCs w:val="15"/>
              </w:rPr>
            </w:pPr>
          </w:p>
        </w:tc>
        <w:tc>
          <w:tcPr>
            <w:tcW w:w="837" w:type="dxa"/>
            <w:noWrap/>
            <w:vAlign w:val="center"/>
            <w:hideMark/>
          </w:tcPr>
          <w:p w14:paraId="019070B8" w14:textId="77777777" w:rsidR="00126D8D" w:rsidRPr="004A4899" w:rsidRDefault="00126D8D" w:rsidP="00820288">
            <w:pPr>
              <w:spacing w:line="240" w:lineRule="auto"/>
              <w:jc w:val="center"/>
              <w:rPr>
                <w:rFonts w:ascii="Times New Roman" w:hAnsi="Times New Roman" w:cs="Times New Roman"/>
                <w:color w:val="000000"/>
                <w:sz w:val="15"/>
                <w:szCs w:val="15"/>
              </w:rPr>
            </w:pPr>
            <w:r w:rsidRPr="004A4899">
              <w:rPr>
                <w:rFonts w:ascii="Times New Roman" w:hAnsi="Times New Roman" w:cs="Times New Roman"/>
                <w:color w:val="000000"/>
                <w:sz w:val="15"/>
                <w:szCs w:val="15"/>
              </w:rPr>
              <w:t>&lt;0.0001</w:t>
            </w:r>
          </w:p>
        </w:tc>
        <w:tc>
          <w:tcPr>
            <w:tcW w:w="763" w:type="dxa"/>
            <w:noWrap/>
            <w:vAlign w:val="center"/>
            <w:hideMark/>
          </w:tcPr>
          <w:p w14:paraId="1D40F5A6" w14:textId="77777777" w:rsidR="00126D8D" w:rsidRPr="004A4899" w:rsidRDefault="00126D8D" w:rsidP="00820288">
            <w:pPr>
              <w:spacing w:line="240" w:lineRule="auto"/>
              <w:jc w:val="center"/>
              <w:rPr>
                <w:rFonts w:ascii="Times New Roman" w:hAnsi="Times New Roman" w:cs="Times New Roman"/>
                <w:color w:val="000000"/>
                <w:sz w:val="15"/>
                <w:szCs w:val="15"/>
              </w:rPr>
            </w:pPr>
            <w:r w:rsidRPr="004A4899">
              <w:rPr>
                <w:rFonts w:ascii="Times New Roman" w:hAnsi="Times New Roman" w:cs="Times New Roman"/>
                <w:color w:val="000000"/>
                <w:sz w:val="15"/>
                <w:szCs w:val="15"/>
              </w:rPr>
              <w:t>&lt;0.0001</w:t>
            </w:r>
          </w:p>
        </w:tc>
        <w:tc>
          <w:tcPr>
            <w:tcW w:w="1478" w:type="dxa"/>
            <w:noWrap/>
            <w:vAlign w:val="center"/>
            <w:hideMark/>
          </w:tcPr>
          <w:p w14:paraId="601C9AA0" w14:textId="77777777" w:rsidR="00126D8D" w:rsidRPr="004A4899" w:rsidRDefault="00126D8D" w:rsidP="00820288">
            <w:pPr>
              <w:spacing w:line="240" w:lineRule="auto"/>
              <w:jc w:val="center"/>
              <w:rPr>
                <w:rFonts w:ascii="Times New Roman" w:hAnsi="Times New Roman" w:cs="Times New Roman"/>
                <w:color w:val="000000"/>
                <w:sz w:val="15"/>
                <w:szCs w:val="15"/>
              </w:rPr>
            </w:pPr>
            <w:r w:rsidRPr="004A4899">
              <w:rPr>
                <w:rFonts w:ascii="Times New Roman" w:hAnsi="Times New Roman" w:cs="Times New Roman"/>
                <w:color w:val="000000"/>
                <w:sz w:val="15"/>
                <w:szCs w:val="15"/>
              </w:rPr>
              <w:t>0.0013</w:t>
            </w:r>
          </w:p>
        </w:tc>
      </w:tr>
      <w:tr w:rsidR="00126D8D" w:rsidRPr="00747A19" w14:paraId="5ABB6381" w14:textId="77777777" w:rsidTr="00820288">
        <w:trPr>
          <w:trHeight w:val="144"/>
          <w:jc w:val="center"/>
        </w:trPr>
        <w:tc>
          <w:tcPr>
            <w:tcW w:w="1778" w:type="dxa"/>
            <w:noWrap/>
            <w:vAlign w:val="center"/>
            <w:hideMark/>
          </w:tcPr>
          <w:p w14:paraId="6A82857C" w14:textId="77777777" w:rsidR="00126D8D" w:rsidRPr="004A4899" w:rsidRDefault="00126D8D" w:rsidP="00820288">
            <w:pPr>
              <w:spacing w:line="240" w:lineRule="auto"/>
              <w:rPr>
                <w:rFonts w:ascii="Times New Roman" w:hAnsi="Times New Roman" w:cs="Times New Roman"/>
                <w:color w:val="000000"/>
                <w:sz w:val="15"/>
                <w:szCs w:val="15"/>
              </w:rPr>
            </w:pPr>
            <w:r w:rsidRPr="004A4899">
              <w:rPr>
                <w:rFonts w:ascii="Times New Roman" w:hAnsi="Times New Roman" w:cs="Times New Roman"/>
                <w:color w:val="000000"/>
                <w:sz w:val="15"/>
                <w:szCs w:val="15"/>
              </w:rPr>
              <w:t>Decane</w:t>
            </w:r>
          </w:p>
        </w:tc>
        <w:tc>
          <w:tcPr>
            <w:tcW w:w="1323" w:type="dxa"/>
            <w:noWrap/>
            <w:vAlign w:val="center"/>
            <w:hideMark/>
          </w:tcPr>
          <w:p w14:paraId="2C47E19B" w14:textId="77777777" w:rsidR="00126D8D" w:rsidRPr="004A4899" w:rsidRDefault="00126D8D" w:rsidP="00820288">
            <w:pPr>
              <w:spacing w:line="240" w:lineRule="auto"/>
              <w:jc w:val="center"/>
              <w:rPr>
                <w:rFonts w:ascii="Times New Roman" w:hAnsi="Times New Roman" w:cs="Times New Roman"/>
                <w:color w:val="000000"/>
                <w:sz w:val="15"/>
                <w:szCs w:val="15"/>
              </w:rPr>
            </w:pPr>
            <w:r w:rsidRPr="004A4899">
              <w:rPr>
                <w:rFonts w:ascii="Times New Roman" w:hAnsi="Times New Roman" w:cs="Times New Roman"/>
                <w:color w:val="000000"/>
                <w:sz w:val="15"/>
                <w:szCs w:val="15"/>
              </w:rPr>
              <w:t>124-18-5</w:t>
            </w:r>
          </w:p>
        </w:tc>
        <w:tc>
          <w:tcPr>
            <w:tcW w:w="837" w:type="dxa"/>
            <w:noWrap/>
            <w:vAlign w:val="center"/>
            <w:hideMark/>
          </w:tcPr>
          <w:p w14:paraId="5CA6BEF0" w14:textId="77777777" w:rsidR="00126D8D" w:rsidRPr="004A4899" w:rsidRDefault="00126D8D" w:rsidP="00820288">
            <w:pPr>
              <w:spacing w:line="240" w:lineRule="auto"/>
              <w:jc w:val="center"/>
              <w:rPr>
                <w:rFonts w:ascii="Times New Roman" w:hAnsi="Times New Roman" w:cs="Times New Roman"/>
                <w:color w:val="000000"/>
                <w:sz w:val="15"/>
                <w:szCs w:val="15"/>
              </w:rPr>
            </w:pPr>
            <w:r w:rsidRPr="004A4899">
              <w:rPr>
                <w:rFonts w:ascii="Times New Roman" w:hAnsi="Times New Roman" w:cs="Times New Roman"/>
                <w:color w:val="000000"/>
                <w:sz w:val="15"/>
                <w:szCs w:val="15"/>
              </w:rPr>
              <w:t>158.69</w:t>
            </w:r>
          </w:p>
        </w:tc>
        <w:tc>
          <w:tcPr>
            <w:tcW w:w="763" w:type="dxa"/>
            <w:noWrap/>
            <w:vAlign w:val="center"/>
            <w:hideMark/>
          </w:tcPr>
          <w:p w14:paraId="03F7EFE8" w14:textId="77777777" w:rsidR="00126D8D" w:rsidRPr="004A4899" w:rsidRDefault="00126D8D" w:rsidP="00820288">
            <w:pPr>
              <w:spacing w:line="240" w:lineRule="auto"/>
              <w:jc w:val="center"/>
              <w:rPr>
                <w:rFonts w:ascii="Times New Roman" w:hAnsi="Times New Roman" w:cs="Times New Roman"/>
                <w:color w:val="000000"/>
                <w:sz w:val="15"/>
                <w:szCs w:val="15"/>
              </w:rPr>
            </w:pPr>
            <w:r w:rsidRPr="004A4899">
              <w:rPr>
                <w:rFonts w:ascii="Times New Roman" w:hAnsi="Times New Roman" w:cs="Times New Roman"/>
                <w:color w:val="000000"/>
                <w:sz w:val="15"/>
                <w:szCs w:val="15"/>
              </w:rPr>
              <w:t>5.79</w:t>
            </w:r>
          </w:p>
        </w:tc>
        <w:tc>
          <w:tcPr>
            <w:tcW w:w="1478" w:type="dxa"/>
            <w:noWrap/>
            <w:vAlign w:val="center"/>
            <w:hideMark/>
          </w:tcPr>
          <w:p w14:paraId="59BB4E47" w14:textId="77777777" w:rsidR="00126D8D" w:rsidRPr="004A4899" w:rsidRDefault="00126D8D" w:rsidP="00820288">
            <w:pPr>
              <w:spacing w:line="240" w:lineRule="auto"/>
              <w:jc w:val="center"/>
              <w:rPr>
                <w:rFonts w:ascii="Times New Roman" w:hAnsi="Times New Roman" w:cs="Times New Roman"/>
                <w:color w:val="000000"/>
                <w:sz w:val="15"/>
                <w:szCs w:val="15"/>
              </w:rPr>
            </w:pPr>
            <w:r w:rsidRPr="004A4899">
              <w:rPr>
                <w:rFonts w:ascii="Times New Roman" w:hAnsi="Times New Roman" w:cs="Times New Roman"/>
                <w:color w:val="000000"/>
                <w:sz w:val="15"/>
                <w:szCs w:val="15"/>
              </w:rPr>
              <w:t>2.66</w:t>
            </w:r>
          </w:p>
        </w:tc>
        <w:tc>
          <w:tcPr>
            <w:tcW w:w="92" w:type="dxa"/>
          </w:tcPr>
          <w:p w14:paraId="01B6E013" w14:textId="77777777" w:rsidR="00126D8D" w:rsidRPr="004A4899" w:rsidRDefault="00126D8D" w:rsidP="00820288">
            <w:pPr>
              <w:spacing w:line="240" w:lineRule="auto"/>
              <w:jc w:val="center"/>
              <w:rPr>
                <w:rFonts w:ascii="Times New Roman" w:hAnsi="Times New Roman" w:cs="Times New Roman"/>
                <w:color w:val="000000"/>
                <w:sz w:val="15"/>
                <w:szCs w:val="15"/>
              </w:rPr>
            </w:pPr>
          </w:p>
        </w:tc>
        <w:tc>
          <w:tcPr>
            <w:tcW w:w="837" w:type="dxa"/>
            <w:noWrap/>
            <w:vAlign w:val="center"/>
            <w:hideMark/>
          </w:tcPr>
          <w:p w14:paraId="5FBEEA0E" w14:textId="77777777" w:rsidR="00126D8D" w:rsidRPr="004A4899" w:rsidRDefault="00126D8D" w:rsidP="00820288">
            <w:pPr>
              <w:spacing w:line="240" w:lineRule="auto"/>
              <w:jc w:val="center"/>
              <w:rPr>
                <w:rFonts w:ascii="Times New Roman" w:hAnsi="Times New Roman" w:cs="Times New Roman"/>
                <w:color w:val="000000"/>
                <w:sz w:val="15"/>
                <w:szCs w:val="15"/>
              </w:rPr>
            </w:pPr>
            <w:r w:rsidRPr="004A4899">
              <w:rPr>
                <w:rFonts w:ascii="Times New Roman" w:hAnsi="Times New Roman" w:cs="Times New Roman"/>
                <w:color w:val="000000"/>
                <w:sz w:val="15"/>
                <w:szCs w:val="15"/>
              </w:rPr>
              <w:t>&lt;0.0001</w:t>
            </w:r>
          </w:p>
        </w:tc>
        <w:tc>
          <w:tcPr>
            <w:tcW w:w="763" w:type="dxa"/>
            <w:noWrap/>
            <w:vAlign w:val="center"/>
            <w:hideMark/>
          </w:tcPr>
          <w:p w14:paraId="3A25FAEC" w14:textId="77777777" w:rsidR="00126D8D" w:rsidRPr="004A4899" w:rsidRDefault="00126D8D" w:rsidP="00820288">
            <w:pPr>
              <w:spacing w:line="240" w:lineRule="auto"/>
              <w:jc w:val="center"/>
              <w:rPr>
                <w:rFonts w:ascii="Times New Roman" w:hAnsi="Times New Roman" w:cs="Times New Roman"/>
                <w:color w:val="000000"/>
                <w:sz w:val="15"/>
                <w:szCs w:val="15"/>
              </w:rPr>
            </w:pPr>
            <w:r w:rsidRPr="004A4899">
              <w:rPr>
                <w:rFonts w:ascii="Times New Roman" w:hAnsi="Times New Roman" w:cs="Times New Roman"/>
                <w:color w:val="000000"/>
                <w:sz w:val="15"/>
                <w:szCs w:val="15"/>
              </w:rPr>
              <w:t>&lt;0.0001</w:t>
            </w:r>
          </w:p>
        </w:tc>
        <w:tc>
          <w:tcPr>
            <w:tcW w:w="1478" w:type="dxa"/>
            <w:noWrap/>
            <w:vAlign w:val="center"/>
            <w:hideMark/>
          </w:tcPr>
          <w:p w14:paraId="5E18066D" w14:textId="77777777" w:rsidR="00126D8D" w:rsidRPr="004A4899" w:rsidRDefault="00126D8D" w:rsidP="00820288">
            <w:pPr>
              <w:spacing w:line="240" w:lineRule="auto"/>
              <w:jc w:val="center"/>
              <w:rPr>
                <w:rFonts w:ascii="Times New Roman" w:hAnsi="Times New Roman" w:cs="Times New Roman"/>
                <w:color w:val="000000"/>
                <w:sz w:val="15"/>
                <w:szCs w:val="15"/>
              </w:rPr>
            </w:pPr>
            <w:r w:rsidRPr="004A4899">
              <w:rPr>
                <w:rFonts w:ascii="Times New Roman" w:hAnsi="Times New Roman" w:cs="Times New Roman"/>
                <w:color w:val="000000"/>
                <w:sz w:val="15"/>
                <w:szCs w:val="15"/>
              </w:rPr>
              <w:t>&lt;0.0001</w:t>
            </w:r>
          </w:p>
        </w:tc>
      </w:tr>
      <w:tr w:rsidR="00126D8D" w:rsidRPr="00747A19" w14:paraId="60A62573" w14:textId="77777777" w:rsidTr="00820288">
        <w:trPr>
          <w:trHeight w:val="144"/>
          <w:jc w:val="center"/>
        </w:trPr>
        <w:tc>
          <w:tcPr>
            <w:tcW w:w="1778" w:type="dxa"/>
            <w:noWrap/>
            <w:vAlign w:val="center"/>
            <w:hideMark/>
          </w:tcPr>
          <w:p w14:paraId="61E538E2" w14:textId="77777777" w:rsidR="00126D8D" w:rsidRPr="004A4899" w:rsidRDefault="00126D8D" w:rsidP="00820288">
            <w:pPr>
              <w:spacing w:line="240" w:lineRule="auto"/>
              <w:rPr>
                <w:rFonts w:ascii="Times New Roman" w:hAnsi="Times New Roman" w:cs="Times New Roman"/>
                <w:color w:val="000000"/>
                <w:sz w:val="15"/>
                <w:szCs w:val="15"/>
              </w:rPr>
            </w:pPr>
            <w:r w:rsidRPr="004A4899">
              <w:rPr>
                <w:rFonts w:ascii="Times New Roman" w:hAnsi="Times New Roman" w:cs="Times New Roman"/>
                <w:color w:val="000000"/>
                <w:sz w:val="15"/>
                <w:szCs w:val="15"/>
              </w:rPr>
              <w:t>(E)-3-Methyl-1,3,5-hexatriene</w:t>
            </w:r>
          </w:p>
        </w:tc>
        <w:tc>
          <w:tcPr>
            <w:tcW w:w="1323" w:type="dxa"/>
            <w:noWrap/>
            <w:vAlign w:val="center"/>
            <w:hideMark/>
          </w:tcPr>
          <w:p w14:paraId="31C41AF5" w14:textId="77777777" w:rsidR="00126D8D" w:rsidRPr="004A4899" w:rsidRDefault="00126D8D" w:rsidP="00820288">
            <w:pPr>
              <w:spacing w:line="240" w:lineRule="auto"/>
              <w:jc w:val="center"/>
              <w:rPr>
                <w:rFonts w:ascii="Times New Roman" w:hAnsi="Times New Roman" w:cs="Times New Roman"/>
                <w:color w:val="000000"/>
                <w:sz w:val="15"/>
                <w:szCs w:val="15"/>
              </w:rPr>
            </w:pPr>
            <w:r w:rsidRPr="004A4899">
              <w:rPr>
                <w:rFonts w:ascii="Times New Roman" w:hAnsi="Times New Roman" w:cs="Times New Roman"/>
                <w:color w:val="000000"/>
                <w:sz w:val="15"/>
                <w:szCs w:val="15"/>
              </w:rPr>
              <w:t>24587-26-6</w:t>
            </w:r>
          </w:p>
        </w:tc>
        <w:tc>
          <w:tcPr>
            <w:tcW w:w="837" w:type="dxa"/>
            <w:noWrap/>
            <w:vAlign w:val="center"/>
            <w:hideMark/>
          </w:tcPr>
          <w:p w14:paraId="4B4AEF36" w14:textId="77777777" w:rsidR="00126D8D" w:rsidRPr="004A4899" w:rsidRDefault="00126D8D" w:rsidP="00820288">
            <w:pPr>
              <w:spacing w:line="240" w:lineRule="auto"/>
              <w:jc w:val="center"/>
              <w:rPr>
                <w:rFonts w:ascii="Times New Roman" w:hAnsi="Times New Roman" w:cs="Times New Roman"/>
                <w:color w:val="000000"/>
                <w:sz w:val="15"/>
                <w:szCs w:val="15"/>
              </w:rPr>
            </w:pPr>
            <w:r w:rsidRPr="004A4899">
              <w:rPr>
                <w:rFonts w:ascii="Times New Roman" w:hAnsi="Times New Roman" w:cs="Times New Roman"/>
                <w:color w:val="000000"/>
                <w:sz w:val="15"/>
                <w:szCs w:val="15"/>
              </w:rPr>
              <w:t>6.53</w:t>
            </w:r>
          </w:p>
        </w:tc>
        <w:tc>
          <w:tcPr>
            <w:tcW w:w="763" w:type="dxa"/>
            <w:noWrap/>
            <w:vAlign w:val="center"/>
            <w:hideMark/>
          </w:tcPr>
          <w:p w14:paraId="14C7CC07" w14:textId="77777777" w:rsidR="00126D8D" w:rsidRPr="004A4899" w:rsidRDefault="00126D8D" w:rsidP="00820288">
            <w:pPr>
              <w:spacing w:line="240" w:lineRule="auto"/>
              <w:jc w:val="center"/>
              <w:rPr>
                <w:rFonts w:ascii="Times New Roman" w:hAnsi="Times New Roman" w:cs="Times New Roman"/>
                <w:color w:val="000000"/>
                <w:sz w:val="15"/>
                <w:szCs w:val="15"/>
              </w:rPr>
            </w:pPr>
            <w:r w:rsidRPr="004A4899">
              <w:rPr>
                <w:rFonts w:ascii="Times New Roman" w:hAnsi="Times New Roman" w:cs="Times New Roman"/>
                <w:color w:val="000000"/>
                <w:sz w:val="15"/>
                <w:szCs w:val="15"/>
              </w:rPr>
              <w:t>1.78</w:t>
            </w:r>
          </w:p>
        </w:tc>
        <w:tc>
          <w:tcPr>
            <w:tcW w:w="1478" w:type="dxa"/>
            <w:noWrap/>
            <w:vAlign w:val="center"/>
            <w:hideMark/>
          </w:tcPr>
          <w:p w14:paraId="4FEAE11D" w14:textId="77777777" w:rsidR="00126D8D" w:rsidRPr="004A4899" w:rsidRDefault="00126D8D" w:rsidP="00820288">
            <w:pPr>
              <w:spacing w:line="240" w:lineRule="auto"/>
              <w:jc w:val="center"/>
              <w:rPr>
                <w:rFonts w:ascii="Times New Roman" w:hAnsi="Times New Roman" w:cs="Times New Roman"/>
                <w:color w:val="000000"/>
                <w:sz w:val="15"/>
                <w:szCs w:val="15"/>
              </w:rPr>
            </w:pPr>
            <w:r w:rsidRPr="004A4899">
              <w:rPr>
                <w:rFonts w:ascii="Times New Roman" w:hAnsi="Times New Roman" w:cs="Times New Roman"/>
                <w:color w:val="000000"/>
                <w:sz w:val="15"/>
                <w:szCs w:val="15"/>
              </w:rPr>
              <w:t>1.04</w:t>
            </w:r>
          </w:p>
        </w:tc>
        <w:tc>
          <w:tcPr>
            <w:tcW w:w="92" w:type="dxa"/>
          </w:tcPr>
          <w:p w14:paraId="00CAF4B3" w14:textId="77777777" w:rsidR="00126D8D" w:rsidRPr="004A4899" w:rsidRDefault="00126D8D" w:rsidP="00820288">
            <w:pPr>
              <w:spacing w:line="240" w:lineRule="auto"/>
              <w:jc w:val="center"/>
              <w:rPr>
                <w:rFonts w:ascii="Times New Roman" w:hAnsi="Times New Roman" w:cs="Times New Roman"/>
                <w:color w:val="000000"/>
                <w:sz w:val="15"/>
                <w:szCs w:val="15"/>
              </w:rPr>
            </w:pPr>
          </w:p>
        </w:tc>
        <w:tc>
          <w:tcPr>
            <w:tcW w:w="837" w:type="dxa"/>
            <w:noWrap/>
            <w:vAlign w:val="center"/>
            <w:hideMark/>
          </w:tcPr>
          <w:p w14:paraId="051A1E5E" w14:textId="77777777" w:rsidR="00126D8D" w:rsidRPr="004A4899" w:rsidRDefault="00126D8D" w:rsidP="00820288">
            <w:pPr>
              <w:spacing w:line="240" w:lineRule="auto"/>
              <w:jc w:val="center"/>
              <w:rPr>
                <w:rFonts w:ascii="Times New Roman" w:hAnsi="Times New Roman" w:cs="Times New Roman"/>
                <w:color w:val="000000"/>
                <w:sz w:val="15"/>
                <w:szCs w:val="15"/>
              </w:rPr>
            </w:pPr>
            <w:r w:rsidRPr="004A4899">
              <w:rPr>
                <w:rFonts w:ascii="Times New Roman" w:hAnsi="Times New Roman" w:cs="Times New Roman"/>
                <w:color w:val="000000"/>
                <w:sz w:val="15"/>
                <w:szCs w:val="15"/>
              </w:rPr>
              <w:t>0.0003</w:t>
            </w:r>
          </w:p>
        </w:tc>
        <w:tc>
          <w:tcPr>
            <w:tcW w:w="763" w:type="dxa"/>
            <w:noWrap/>
            <w:vAlign w:val="center"/>
            <w:hideMark/>
          </w:tcPr>
          <w:p w14:paraId="560BBD7C" w14:textId="77777777" w:rsidR="00126D8D" w:rsidRPr="004A4899" w:rsidRDefault="00126D8D" w:rsidP="00820288">
            <w:pPr>
              <w:spacing w:line="240" w:lineRule="auto"/>
              <w:jc w:val="center"/>
              <w:rPr>
                <w:rFonts w:ascii="Times New Roman" w:hAnsi="Times New Roman" w:cs="Times New Roman"/>
                <w:color w:val="000000"/>
                <w:sz w:val="15"/>
                <w:szCs w:val="15"/>
              </w:rPr>
            </w:pPr>
            <w:r w:rsidRPr="004A4899">
              <w:rPr>
                <w:rFonts w:ascii="Times New Roman" w:hAnsi="Times New Roman" w:cs="Times New Roman"/>
                <w:color w:val="000000"/>
                <w:sz w:val="15"/>
                <w:szCs w:val="15"/>
              </w:rPr>
              <w:t>0.0558</w:t>
            </w:r>
          </w:p>
        </w:tc>
        <w:tc>
          <w:tcPr>
            <w:tcW w:w="1478" w:type="dxa"/>
            <w:noWrap/>
            <w:vAlign w:val="center"/>
            <w:hideMark/>
          </w:tcPr>
          <w:p w14:paraId="1B71325F" w14:textId="77777777" w:rsidR="00126D8D" w:rsidRPr="004A4899" w:rsidRDefault="00126D8D" w:rsidP="00820288">
            <w:pPr>
              <w:spacing w:line="240" w:lineRule="auto"/>
              <w:jc w:val="center"/>
              <w:rPr>
                <w:rFonts w:ascii="Times New Roman" w:hAnsi="Times New Roman" w:cs="Times New Roman"/>
                <w:color w:val="000000"/>
                <w:sz w:val="15"/>
                <w:szCs w:val="15"/>
              </w:rPr>
            </w:pPr>
            <w:r w:rsidRPr="004A4899">
              <w:rPr>
                <w:rFonts w:ascii="Times New Roman" w:hAnsi="Times New Roman" w:cs="Times New Roman"/>
                <w:color w:val="000000"/>
                <w:sz w:val="15"/>
                <w:szCs w:val="15"/>
              </w:rPr>
              <w:t>0.4103</w:t>
            </w:r>
          </w:p>
        </w:tc>
      </w:tr>
      <w:tr w:rsidR="00126D8D" w:rsidRPr="00747A19" w14:paraId="68EFECF3" w14:textId="77777777" w:rsidTr="00820288">
        <w:trPr>
          <w:trHeight w:val="144"/>
          <w:jc w:val="center"/>
        </w:trPr>
        <w:tc>
          <w:tcPr>
            <w:tcW w:w="1778" w:type="dxa"/>
            <w:noWrap/>
            <w:vAlign w:val="center"/>
            <w:hideMark/>
          </w:tcPr>
          <w:p w14:paraId="60F79CCB" w14:textId="77777777" w:rsidR="00126D8D" w:rsidRPr="004A4899" w:rsidRDefault="00126D8D" w:rsidP="00820288">
            <w:pPr>
              <w:spacing w:line="240" w:lineRule="auto"/>
              <w:rPr>
                <w:rFonts w:ascii="Times New Roman" w:hAnsi="Times New Roman" w:cs="Times New Roman"/>
                <w:color w:val="000000"/>
                <w:sz w:val="15"/>
                <w:szCs w:val="15"/>
              </w:rPr>
            </w:pPr>
            <w:r w:rsidRPr="004A4899">
              <w:rPr>
                <w:rFonts w:ascii="Times New Roman" w:hAnsi="Times New Roman" w:cs="Times New Roman"/>
                <w:color w:val="000000"/>
                <w:sz w:val="15"/>
                <w:szCs w:val="15"/>
              </w:rPr>
              <w:t>1,3-cis,5-cis-Octatriene</w:t>
            </w:r>
          </w:p>
        </w:tc>
        <w:tc>
          <w:tcPr>
            <w:tcW w:w="1323" w:type="dxa"/>
            <w:noWrap/>
            <w:vAlign w:val="center"/>
            <w:hideMark/>
          </w:tcPr>
          <w:p w14:paraId="164706CB" w14:textId="77777777" w:rsidR="00126D8D" w:rsidRPr="004A4899" w:rsidRDefault="00126D8D" w:rsidP="00820288">
            <w:pPr>
              <w:spacing w:line="240" w:lineRule="auto"/>
              <w:jc w:val="center"/>
              <w:rPr>
                <w:rFonts w:ascii="Times New Roman" w:hAnsi="Times New Roman" w:cs="Times New Roman"/>
                <w:color w:val="000000"/>
                <w:sz w:val="15"/>
                <w:szCs w:val="15"/>
              </w:rPr>
            </w:pPr>
            <w:r w:rsidRPr="004A4899">
              <w:rPr>
                <w:rFonts w:ascii="Times New Roman" w:hAnsi="Times New Roman" w:cs="Times New Roman"/>
                <w:color w:val="000000"/>
                <w:sz w:val="15"/>
                <w:szCs w:val="15"/>
              </w:rPr>
              <w:t>40087-62-5</w:t>
            </w:r>
          </w:p>
        </w:tc>
        <w:tc>
          <w:tcPr>
            <w:tcW w:w="837" w:type="dxa"/>
            <w:noWrap/>
            <w:vAlign w:val="center"/>
            <w:hideMark/>
          </w:tcPr>
          <w:p w14:paraId="3DDC5491" w14:textId="77777777" w:rsidR="00126D8D" w:rsidRPr="004A4899" w:rsidRDefault="00126D8D" w:rsidP="00820288">
            <w:pPr>
              <w:spacing w:line="240" w:lineRule="auto"/>
              <w:jc w:val="center"/>
              <w:rPr>
                <w:rFonts w:ascii="Times New Roman" w:hAnsi="Times New Roman" w:cs="Times New Roman"/>
                <w:color w:val="000000"/>
                <w:sz w:val="15"/>
                <w:szCs w:val="15"/>
              </w:rPr>
            </w:pPr>
            <w:r w:rsidRPr="004A4899">
              <w:rPr>
                <w:rFonts w:ascii="Times New Roman" w:hAnsi="Times New Roman" w:cs="Times New Roman"/>
                <w:color w:val="000000"/>
                <w:sz w:val="15"/>
                <w:szCs w:val="15"/>
              </w:rPr>
              <w:t>42.07</w:t>
            </w:r>
          </w:p>
        </w:tc>
        <w:tc>
          <w:tcPr>
            <w:tcW w:w="763" w:type="dxa"/>
            <w:noWrap/>
            <w:vAlign w:val="center"/>
            <w:hideMark/>
          </w:tcPr>
          <w:p w14:paraId="48A508B4" w14:textId="77777777" w:rsidR="00126D8D" w:rsidRPr="004A4899" w:rsidRDefault="00126D8D" w:rsidP="00820288">
            <w:pPr>
              <w:spacing w:line="240" w:lineRule="auto"/>
              <w:jc w:val="center"/>
              <w:rPr>
                <w:rFonts w:ascii="Times New Roman" w:hAnsi="Times New Roman" w:cs="Times New Roman"/>
                <w:color w:val="000000"/>
                <w:sz w:val="15"/>
                <w:szCs w:val="15"/>
              </w:rPr>
            </w:pPr>
            <w:r w:rsidRPr="004A4899">
              <w:rPr>
                <w:rFonts w:ascii="Times New Roman" w:hAnsi="Times New Roman" w:cs="Times New Roman"/>
                <w:color w:val="000000"/>
                <w:sz w:val="15"/>
                <w:szCs w:val="15"/>
              </w:rPr>
              <w:t>8.62</w:t>
            </w:r>
          </w:p>
        </w:tc>
        <w:tc>
          <w:tcPr>
            <w:tcW w:w="1478" w:type="dxa"/>
            <w:noWrap/>
            <w:vAlign w:val="center"/>
            <w:hideMark/>
          </w:tcPr>
          <w:p w14:paraId="7E4BCCE9" w14:textId="77777777" w:rsidR="00126D8D" w:rsidRPr="004A4899" w:rsidRDefault="00126D8D" w:rsidP="00820288">
            <w:pPr>
              <w:spacing w:line="240" w:lineRule="auto"/>
              <w:jc w:val="center"/>
              <w:rPr>
                <w:rFonts w:ascii="Times New Roman" w:hAnsi="Times New Roman" w:cs="Times New Roman"/>
                <w:color w:val="000000"/>
                <w:sz w:val="15"/>
                <w:szCs w:val="15"/>
              </w:rPr>
            </w:pPr>
            <w:r w:rsidRPr="004A4899">
              <w:rPr>
                <w:rFonts w:ascii="Times New Roman" w:hAnsi="Times New Roman" w:cs="Times New Roman"/>
                <w:color w:val="000000"/>
                <w:sz w:val="15"/>
                <w:szCs w:val="15"/>
              </w:rPr>
              <w:t>1.71</w:t>
            </w:r>
          </w:p>
        </w:tc>
        <w:tc>
          <w:tcPr>
            <w:tcW w:w="92" w:type="dxa"/>
          </w:tcPr>
          <w:p w14:paraId="3D00F996" w14:textId="77777777" w:rsidR="00126D8D" w:rsidRPr="004A4899" w:rsidRDefault="00126D8D" w:rsidP="00820288">
            <w:pPr>
              <w:spacing w:line="240" w:lineRule="auto"/>
              <w:jc w:val="center"/>
              <w:rPr>
                <w:rFonts w:ascii="Times New Roman" w:hAnsi="Times New Roman" w:cs="Times New Roman"/>
                <w:color w:val="000000"/>
                <w:sz w:val="15"/>
                <w:szCs w:val="15"/>
              </w:rPr>
            </w:pPr>
          </w:p>
        </w:tc>
        <w:tc>
          <w:tcPr>
            <w:tcW w:w="837" w:type="dxa"/>
            <w:noWrap/>
            <w:vAlign w:val="center"/>
            <w:hideMark/>
          </w:tcPr>
          <w:p w14:paraId="6973BB8B" w14:textId="77777777" w:rsidR="00126D8D" w:rsidRPr="004A4899" w:rsidRDefault="00126D8D" w:rsidP="00820288">
            <w:pPr>
              <w:spacing w:line="240" w:lineRule="auto"/>
              <w:jc w:val="center"/>
              <w:rPr>
                <w:rFonts w:ascii="Times New Roman" w:hAnsi="Times New Roman" w:cs="Times New Roman"/>
                <w:color w:val="000000"/>
                <w:sz w:val="15"/>
                <w:szCs w:val="15"/>
              </w:rPr>
            </w:pPr>
            <w:r w:rsidRPr="004A4899">
              <w:rPr>
                <w:rFonts w:ascii="Times New Roman" w:hAnsi="Times New Roman" w:cs="Times New Roman"/>
                <w:color w:val="000000"/>
                <w:sz w:val="15"/>
                <w:szCs w:val="15"/>
              </w:rPr>
              <w:t>&lt;0.0001</w:t>
            </w:r>
          </w:p>
        </w:tc>
        <w:tc>
          <w:tcPr>
            <w:tcW w:w="763" w:type="dxa"/>
            <w:noWrap/>
            <w:vAlign w:val="center"/>
            <w:hideMark/>
          </w:tcPr>
          <w:p w14:paraId="17EEAB59" w14:textId="77777777" w:rsidR="00126D8D" w:rsidRPr="004A4899" w:rsidRDefault="00126D8D" w:rsidP="00820288">
            <w:pPr>
              <w:spacing w:line="240" w:lineRule="auto"/>
              <w:jc w:val="center"/>
              <w:rPr>
                <w:rFonts w:ascii="Times New Roman" w:hAnsi="Times New Roman" w:cs="Times New Roman"/>
                <w:color w:val="000000"/>
                <w:sz w:val="15"/>
                <w:szCs w:val="15"/>
              </w:rPr>
            </w:pPr>
            <w:r w:rsidRPr="004A4899">
              <w:rPr>
                <w:rFonts w:ascii="Times New Roman" w:hAnsi="Times New Roman" w:cs="Times New Roman"/>
                <w:color w:val="000000"/>
                <w:sz w:val="15"/>
                <w:szCs w:val="15"/>
              </w:rPr>
              <w:t>&lt;0.0001</w:t>
            </w:r>
          </w:p>
        </w:tc>
        <w:tc>
          <w:tcPr>
            <w:tcW w:w="1478" w:type="dxa"/>
            <w:noWrap/>
            <w:vAlign w:val="center"/>
            <w:hideMark/>
          </w:tcPr>
          <w:p w14:paraId="3A3045BB" w14:textId="77777777" w:rsidR="00126D8D" w:rsidRPr="004A4899" w:rsidRDefault="00126D8D" w:rsidP="00820288">
            <w:pPr>
              <w:spacing w:line="240" w:lineRule="auto"/>
              <w:jc w:val="center"/>
              <w:rPr>
                <w:rFonts w:ascii="Times New Roman" w:hAnsi="Times New Roman" w:cs="Times New Roman"/>
                <w:color w:val="000000"/>
                <w:sz w:val="15"/>
                <w:szCs w:val="15"/>
              </w:rPr>
            </w:pPr>
            <w:r w:rsidRPr="004A4899">
              <w:rPr>
                <w:rFonts w:ascii="Times New Roman" w:hAnsi="Times New Roman" w:cs="Times New Roman"/>
                <w:color w:val="000000"/>
                <w:sz w:val="15"/>
                <w:szCs w:val="15"/>
              </w:rPr>
              <w:t>0.0100</w:t>
            </w:r>
          </w:p>
        </w:tc>
      </w:tr>
      <w:tr w:rsidR="00126D8D" w:rsidRPr="00747A19" w14:paraId="58EE42BC" w14:textId="77777777" w:rsidTr="00820288">
        <w:trPr>
          <w:trHeight w:val="144"/>
          <w:jc w:val="center"/>
        </w:trPr>
        <w:tc>
          <w:tcPr>
            <w:tcW w:w="1778" w:type="dxa"/>
            <w:noWrap/>
            <w:vAlign w:val="center"/>
            <w:hideMark/>
          </w:tcPr>
          <w:p w14:paraId="57621432" w14:textId="77777777" w:rsidR="00126D8D" w:rsidRPr="004A4899" w:rsidRDefault="00126D8D" w:rsidP="00820288">
            <w:pPr>
              <w:spacing w:line="240" w:lineRule="auto"/>
              <w:rPr>
                <w:rFonts w:ascii="Times New Roman" w:hAnsi="Times New Roman" w:cs="Times New Roman"/>
                <w:color w:val="000000"/>
                <w:sz w:val="15"/>
                <w:szCs w:val="15"/>
              </w:rPr>
            </w:pPr>
            <w:r w:rsidRPr="004A4899">
              <w:rPr>
                <w:rFonts w:ascii="Times New Roman" w:hAnsi="Times New Roman" w:cs="Times New Roman"/>
                <w:color w:val="000000"/>
                <w:sz w:val="15"/>
                <w:szCs w:val="15"/>
              </w:rPr>
              <w:t>1,4-Octadiene</w:t>
            </w:r>
          </w:p>
        </w:tc>
        <w:tc>
          <w:tcPr>
            <w:tcW w:w="1323" w:type="dxa"/>
            <w:noWrap/>
            <w:vAlign w:val="center"/>
            <w:hideMark/>
          </w:tcPr>
          <w:p w14:paraId="68ADADE9" w14:textId="77777777" w:rsidR="00126D8D" w:rsidRPr="004A4899" w:rsidRDefault="00126D8D" w:rsidP="00820288">
            <w:pPr>
              <w:spacing w:line="240" w:lineRule="auto"/>
              <w:jc w:val="center"/>
              <w:rPr>
                <w:rFonts w:ascii="Times New Roman" w:hAnsi="Times New Roman" w:cs="Times New Roman"/>
                <w:color w:val="000000"/>
                <w:sz w:val="15"/>
                <w:szCs w:val="15"/>
              </w:rPr>
            </w:pPr>
            <w:r w:rsidRPr="004A4899">
              <w:rPr>
                <w:rFonts w:ascii="Times New Roman" w:hAnsi="Times New Roman" w:cs="Times New Roman"/>
                <w:color w:val="000000"/>
                <w:sz w:val="15"/>
                <w:szCs w:val="15"/>
              </w:rPr>
              <w:t>5675-25-2</w:t>
            </w:r>
          </w:p>
        </w:tc>
        <w:tc>
          <w:tcPr>
            <w:tcW w:w="837" w:type="dxa"/>
            <w:noWrap/>
            <w:vAlign w:val="center"/>
            <w:hideMark/>
          </w:tcPr>
          <w:p w14:paraId="69F5A520" w14:textId="77777777" w:rsidR="00126D8D" w:rsidRPr="004A4899" w:rsidRDefault="00126D8D" w:rsidP="00820288">
            <w:pPr>
              <w:spacing w:line="240" w:lineRule="auto"/>
              <w:jc w:val="center"/>
              <w:rPr>
                <w:rFonts w:ascii="Times New Roman" w:hAnsi="Times New Roman" w:cs="Times New Roman"/>
                <w:color w:val="000000"/>
                <w:sz w:val="15"/>
                <w:szCs w:val="15"/>
              </w:rPr>
            </w:pPr>
            <w:r w:rsidRPr="004A4899">
              <w:rPr>
                <w:rFonts w:ascii="Times New Roman" w:hAnsi="Times New Roman" w:cs="Times New Roman"/>
                <w:color w:val="000000"/>
                <w:sz w:val="15"/>
                <w:szCs w:val="15"/>
              </w:rPr>
              <w:t>27.54</w:t>
            </w:r>
          </w:p>
        </w:tc>
        <w:tc>
          <w:tcPr>
            <w:tcW w:w="763" w:type="dxa"/>
            <w:noWrap/>
            <w:vAlign w:val="center"/>
            <w:hideMark/>
          </w:tcPr>
          <w:p w14:paraId="0FCCA288" w14:textId="77777777" w:rsidR="00126D8D" w:rsidRPr="004A4899" w:rsidRDefault="00126D8D" w:rsidP="00820288">
            <w:pPr>
              <w:spacing w:line="240" w:lineRule="auto"/>
              <w:jc w:val="center"/>
              <w:rPr>
                <w:rFonts w:ascii="Times New Roman" w:hAnsi="Times New Roman" w:cs="Times New Roman"/>
                <w:color w:val="000000"/>
                <w:sz w:val="15"/>
                <w:szCs w:val="15"/>
              </w:rPr>
            </w:pPr>
            <w:r w:rsidRPr="004A4899">
              <w:rPr>
                <w:rFonts w:ascii="Times New Roman" w:hAnsi="Times New Roman" w:cs="Times New Roman"/>
                <w:color w:val="000000"/>
                <w:sz w:val="15"/>
                <w:szCs w:val="15"/>
              </w:rPr>
              <w:t>3.60</w:t>
            </w:r>
          </w:p>
        </w:tc>
        <w:tc>
          <w:tcPr>
            <w:tcW w:w="1478" w:type="dxa"/>
            <w:noWrap/>
            <w:vAlign w:val="center"/>
            <w:hideMark/>
          </w:tcPr>
          <w:p w14:paraId="3883F015" w14:textId="77777777" w:rsidR="00126D8D" w:rsidRPr="004A4899" w:rsidRDefault="00126D8D" w:rsidP="00820288">
            <w:pPr>
              <w:spacing w:line="240" w:lineRule="auto"/>
              <w:jc w:val="center"/>
              <w:rPr>
                <w:rFonts w:ascii="Times New Roman" w:hAnsi="Times New Roman" w:cs="Times New Roman"/>
                <w:color w:val="000000"/>
                <w:sz w:val="15"/>
                <w:szCs w:val="15"/>
              </w:rPr>
            </w:pPr>
            <w:r w:rsidRPr="004A4899">
              <w:rPr>
                <w:rFonts w:ascii="Times New Roman" w:hAnsi="Times New Roman" w:cs="Times New Roman"/>
                <w:color w:val="000000"/>
                <w:sz w:val="15"/>
                <w:szCs w:val="15"/>
              </w:rPr>
              <w:t>2.18</w:t>
            </w:r>
          </w:p>
        </w:tc>
        <w:tc>
          <w:tcPr>
            <w:tcW w:w="92" w:type="dxa"/>
          </w:tcPr>
          <w:p w14:paraId="389E23B4" w14:textId="77777777" w:rsidR="00126D8D" w:rsidRPr="004A4899" w:rsidRDefault="00126D8D" w:rsidP="00820288">
            <w:pPr>
              <w:spacing w:line="240" w:lineRule="auto"/>
              <w:jc w:val="center"/>
              <w:rPr>
                <w:rFonts w:ascii="Times New Roman" w:hAnsi="Times New Roman" w:cs="Times New Roman"/>
                <w:color w:val="000000"/>
                <w:sz w:val="15"/>
                <w:szCs w:val="15"/>
              </w:rPr>
            </w:pPr>
          </w:p>
        </w:tc>
        <w:tc>
          <w:tcPr>
            <w:tcW w:w="837" w:type="dxa"/>
            <w:noWrap/>
            <w:vAlign w:val="center"/>
            <w:hideMark/>
          </w:tcPr>
          <w:p w14:paraId="25CC9492" w14:textId="77777777" w:rsidR="00126D8D" w:rsidRPr="004A4899" w:rsidRDefault="00126D8D" w:rsidP="00820288">
            <w:pPr>
              <w:spacing w:line="240" w:lineRule="auto"/>
              <w:jc w:val="center"/>
              <w:rPr>
                <w:rFonts w:ascii="Times New Roman" w:hAnsi="Times New Roman" w:cs="Times New Roman"/>
                <w:color w:val="000000"/>
                <w:sz w:val="15"/>
                <w:szCs w:val="15"/>
              </w:rPr>
            </w:pPr>
            <w:r w:rsidRPr="004A4899">
              <w:rPr>
                <w:rFonts w:ascii="Times New Roman" w:hAnsi="Times New Roman" w:cs="Times New Roman"/>
                <w:color w:val="000000"/>
                <w:sz w:val="15"/>
                <w:szCs w:val="15"/>
              </w:rPr>
              <w:t>&lt;0.0001</w:t>
            </w:r>
          </w:p>
        </w:tc>
        <w:tc>
          <w:tcPr>
            <w:tcW w:w="763" w:type="dxa"/>
            <w:noWrap/>
            <w:vAlign w:val="center"/>
            <w:hideMark/>
          </w:tcPr>
          <w:p w14:paraId="346C7942" w14:textId="77777777" w:rsidR="00126D8D" w:rsidRPr="004A4899" w:rsidRDefault="00126D8D" w:rsidP="00820288">
            <w:pPr>
              <w:spacing w:line="240" w:lineRule="auto"/>
              <w:jc w:val="center"/>
              <w:rPr>
                <w:rFonts w:ascii="Times New Roman" w:hAnsi="Times New Roman" w:cs="Times New Roman"/>
                <w:color w:val="000000"/>
                <w:sz w:val="15"/>
                <w:szCs w:val="15"/>
              </w:rPr>
            </w:pPr>
            <w:r w:rsidRPr="004A4899">
              <w:rPr>
                <w:rFonts w:ascii="Times New Roman" w:hAnsi="Times New Roman" w:cs="Times New Roman"/>
                <w:color w:val="000000"/>
                <w:sz w:val="15"/>
                <w:szCs w:val="15"/>
              </w:rPr>
              <w:t>&lt;0.0001</w:t>
            </w:r>
          </w:p>
        </w:tc>
        <w:tc>
          <w:tcPr>
            <w:tcW w:w="1478" w:type="dxa"/>
            <w:noWrap/>
            <w:vAlign w:val="center"/>
            <w:hideMark/>
          </w:tcPr>
          <w:p w14:paraId="4074B91C" w14:textId="77777777" w:rsidR="00126D8D" w:rsidRPr="004A4899" w:rsidRDefault="00126D8D" w:rsidP="00820288">
            <w:pPr>
              <w:spacing w:line="240" w:lineRule="auto"/>
              <w:jc w:val="center"/>
              <w:rPr>
                <w:rFonts w:ascii="Times New Roman" w:hAnsi="Times New Roman" w:cs="Times New Roman"/>
                <w:color w:val="000000"/>
                <w:sz w:val="15"/>
                <w:szCs w:val="15"/>
              </w:rPr>
            </w:pPr>
            <w:r w:rsidRPr="004A4899">
              <w:rPr>
                <w:rFonts w:ascii="Times New Roman" w:hAnsi="Times New Roman" w:cs="Times New Roman"/>
                <w:color w:val="000000"/>
                <w:sz w:val="15"/>
                <w:szCs w:val="15"/>
              </w:rPr>
              <w:t>0.0003</w:t>
            </w:r>
          </w:p>
        </w:tc>
      </w:tr>
      <w:tr w:rsidR="00126D8D" w:rsidRPr="00747A19" w14:paraId="4276CD35" w14:textId="77777777" w:rsidTr="00820288">
        <w:trPr>
          <w:trHeight w:val="144"/>
          <w:jc w:val="center"/>
        </w:trPr>
        <w:tc>
          <w:tcPr>
            <w:tcW w:w="1778" w:type="dxa"/>
            <w:noWrap/>
            <w:vAlign w:val="center"/>
            <w:hideMark/>
          </w:tcPr>
          <w:p w14:paraId="4782FEC9" w14:textId="77777777" w:rsidR="00126D8D" w:rsidRPr="004A4899" w:rsidRDefault="00126D8D" w:rsidP="00820288">
            <w:pPr>
              <w:spacing w:line="240" w:lineRule="auto"/>
              <w:rPr>
                <w:rFonts w:ascii="Times New Roman" w:hAnsi="Times New Roman" w:cs="Times New Roman"/>
                <w:color w:val="000000"/>
                <w:sz w:val="15"/>
                <w:szCs w:val="15"/>
              </w:rPr>
            </w:pPr>
            <w:r w:rsidRPr="004A4899">
              <w:rPr>
                <w:rFonts w:ascii="Times New Roman" w:hAnsi="Times New Roman" w:cs="Times New Roman"/>
                <w:color w:val="000000"/>
                <w:sz w:val="15"/>
                <w:szCs w:val="15"/>
              </w:rPr>
              <w:t>2-Methyl-2-hepten-4-yne</w:t>
            </w:r>
          </w:p>
        </w:tc>
        <w:tc>
          <w:tcPr>
            <w:tcW w:w="1323" w:type="dxa"/>
            <w:noWrap/>
            <w:vAlign w:val="center"/>
            <w:hideMark/>
          </w:tcPr>
          <w:p w14:paraId="077552B8" w14:textId="77777777" w:rsidR="00126D8D" w:rsidRPr="004A4899" w:rsidRDefault="00126D8D" w:rsidP="00820288">
            <w:pPr>
              <w:spacing w:line="240" w:lineRule="auto"/>
              <w:jc w:val="center"/>
              <w:rPr>
                <w:rFonts w:ascii="Times New Roman" w:hAnsi="Times New Roman" w:cs="Times New Roman"/>
                <w:color w:val="000000"/>
                <w:sz w:val="15"/>
                <w:szCs w:val="15"/>
              </w:rPr>
            </w:pPr>
            <w:r w:rsidRPr="004A4899">
              <w:rPr>
                <w:rFonts w:ascii="Times New Roman" w:hAnsi="Times New Roman" w:cs="Times New Roman"/>
                <w:color w:val="000000"/>
                <w:sz w:val="15"/>
                <w:szCs w:val="15"/>
              </w:rPr>
              <w:t>58275-91-5</w:t>
            </w:r>
          </w:p>
        </w:tc>
        <w:tc>
          <w:tcPr>
            <w:tcW w:w="837" w:type="dxa"/>
            <w:noWrap/>
            <w:vAlign w:val="center"/>
            <w:hideMark/>
          </w:tcPr>
          <w:p w14:paraId="3AF30D53" w14:textId="77777777" w:rsidR="00126D8D" w:rsidRPr="004A4899" w:rsidRDefault="00126D8D" w:rsidP="00820288">
            <w:pPr>
              <w:spacing w:line="240" w:lineRule="auto"/>
              <w:jc w:val="center"/>
              <w:rPr>
                <w:rFonts w:ascii="Times New Roman" w:hAnsi="Times New Roman" w:cs="Times New Roman"/>
                <w:color w:val="000000"/>
                <w:sz w:val="15"/>
                <w:szCs w:val="15"/>
              </w:rPr>
            </w:pPr>
            <w:r w:rsidRPr="004A4899">
              <w:rPr>
                <w:rFonts w:ascii="Times New Roman" w:hAnsi="Times New Roman" w:cs="Times New Roman"/>
                <w:color w:val="000000"/>
                <w:sz w:val="15"/>
                <w:szCs w:val="15"/>
              </w:rPr>
              <w:t>31.70</w:t>
            </w:r>
          </w:p>
        </w:tc>
        <w:tc>
          <w:tcPr>
            <w:tcW w:w="763" w:type="dxa"/>
            <w:noWrap/>
            <w:vAlign w:val="center"/>
            <w:hideMark/>
          </w:tcPr>
          <w:p w14:paraId="1952F0A3" w14:textId="77777777" w:rsidR="00126D8D" w:rsidRPr="004A4899" w:rsidRDefault="00126D8D" w:rsidP="00820288">
            <w:pPr>
              <w:spacing w:line="240" w:lineRule="auto"/>
              <w:jc w:val="center"/>
              <w:rPr>
                <w:rFonts w:ascii="Times New Roman" w:hAnsi="Times New Roman" w:cs="Times New Roman"/>
                <w:color w:val="000000"/>
                <w:sz w:val="15"/>
                <w:szCs w:val="15"/>
              </w:rPr>
            </w:pPr>
            <w:r w:rsidRPr="004A4899">
              <w:rPr>
                <w:rFonts w:ascii="Times New Roman" w:hAnsi="Times New Roman" w:cs="Times New Roman"/>
                <w:color w:val="000000"/>
                <w:sz w:val="15"/>
                <w:szCs w:val="15"/>
              </w:rPr>
              <w:t>9.23</w:t>
            </w:r>
          </w:p>
        </w:tc>
        <w:tc>
          <w:tcPr>
            <w:tcW w:w="1478" w:type="dxa"/>
            <w:noWrap/>
            <w:vAlign w:val="center"/>
            <w:hideMark/>
          </w:tcPr>
          <w:p w14:paraId="1DE65BA2" w14:textId="77777777" w:rsidR="00126D8D" w:rsidRPr="004A4899" w:rsidRDefault="00126D8D" w:rsidP="00820288">
            <w:pPr>
              <w:spacing w:line="240" w:lineRule="auto"/>
              <w:jc w:val="center"/>
              <w:rPr>
                <w:rFonts w:ascii="Times New Roman" w:hAnsi="Times New Roman" w:cs="Times New Roman"/>
                <w:color w:val="000000"/>
                <w:sz w:val="15"/>
                <w:szCs w:val="15"/>
              </w:rPr>
            </w:pPr>
            <w:r w:rsidRPr="004A4899">
              <w:rPr>
                <w:rFonts w:ascii="Times New Roman" w:hAnsi="Times New Roman" w:cs="Times New Roman"/>
                <w:color w:val="000000"/>
                <w:sz w:val="15"/>
                <w:szCs w:val="15"/>
              </w:rPr>
              <w:t>2.07</w:t>
            </w:r>
          </w:p>
        </w:tc>
        <w:tc>
          <w:tcPr>
            <w:tcW w:w="92" w:type="dxa"/>
          </w:tcPr>
          <w:p w14:paraId="29561518" w14:textId="77777777" w:rsidR="00126D8D" w:rsidRPr="004A4899" w:rsidRDefault="00126D8D" w:rsidP="00820288">
            <w:pPr>
              <w:spacing w:line="240" w:lineRule="auto"/>
              <w:jc w:val="center"/>
              <w:rPr>
                <w:rFonts w:ascii="Times New Roman" w:hAnsi="Times New Roman" w:cs="Times New Roman"/>
                <w:color w:val="000000"/>
                <w:sz w:val="15"/>
                <w:szCs w:val="15"/>
              </w:rPr>
            </w:pPr>
          </w:p>
        </w:tc>
        <w:tc>
          <w:tcPr>
            <w:tcW w:w="837" w:type="dxa"/>
            <w:noWrap/>
            <w:vAlign w:val="center"/>
            <w:hideMark/>
          </w:tcPr>
          <w:p w14:paraId="6673F8E2" w14:textId="77777777" w:rsidR="00126D8D" w:rsidRPr="004A4899" w:rsidRDefault="00126D8D" w:rsidP="00820288">
            <w:pPr>
              <w:spacing w:line="240" w:lineRule="auto"/>
              <w:jc w:val="center"/>
              <w:rPr>
                <w:rFonts w:ascii="Times New Roman" w:hAnsi="Times New Roman" w:cs="Times New Roman"/>
                <w:color w:val="000000"/>
                <w:sz w:val="15"/>
                <w:szCs w:val="15"/>
              </w:rPr>
            </w:pPr>
            <w:r w:rsidRPr="004A4899">
              <w:rPr>
                <w:rFonts w:ascii="Times New Roman" w:hAnsi="Times New Roman" w:cs="Times New Roman"/>
                <w:color w:val="000000"/>
                <w:sz w:val="15"/>
                <w:szCs w:val="15"/>
              </w:rPr>
              <w:t>&lt;0.0001</w:t>
            </w:r>
          </w:p>
        </w:tc>
        <w:tc>
          <w:tcPr>
            <w:tcW w:w="763" w:type="dxa"/>
            <w:noWrap/>
            <w:vAlign w:val="center"/>
            <w:hideMark/>
          </w:tcPr>
          <w:p w14:paraId="0A1FD4AA" w14:textId="77777777" w:rsidR="00126D8D" w:rsidRPr="004A4899" w:rsidRDefault="00126D8D" w:rsidP="00820288">
            <w:pPr>
              <w:spacing w:line="240" w:lineRule="auto"/>
              <w:jc w:val="center"/>
              <w:rPr>
                <w:rFonts w:ascii="Times New Roman" w:hAnsi="Times New Roman" w:cs="Times New Roman"/>
                <w:color w:val="000000"/>
                <w:sz w:val="15"/>
                <w:szCs w:val="15"/>
              </w:rPr>
            </w:pPr>
            <w:r w:rsidRPr="004A4899">
              <w:rPr>
                <w:rFonts w:ascii="Times New Roman" w:hAnsi="Times New Roman" w:cs="Times New Roman"/>
                <w:color w:val="000000"/>
                <w:sz w:val="15"/>
                <w:szCs w:val="15"/>
              </w:rPr>
              <w:t>&lt;0.0001</w:t>
            </w:r>
          </w:p>
        </w:tc>
        <w:tc>
          <w:tcPr>
            <w:tcW w:w="1478" w:type="dxa"/>
            <w:noWrap/>
            <w:vAlign w:val="center"/>
            <w:hideMark/>
          </w:tcPr>
          <w:p w14:paraId="022E3A14" w14:textId="77777777" w:rsidR="00126D8D" w:rsidRPr="004A4899" w:rsidRDefault="00126D8D" w:rsidP="00820288">
            <w:pPr>
              <w:spacing w:line="240" w:lineRule="auto"/>
              <w:jc w:val="center"/>
              <w:rPr>
                <w:rFonts w:ascii="Times New Roman" w:hAnsi="Times New Roman" w:cs="Times New Roman"/>
                <w:color w:val="000000"/>
                <w:sz w:val="15"/>
                <w:szCs w:val="15"/>
              </w:rPr>
            </w:pPr>
            <w:r w:rsidRPr="004A4899">
              <w:rPr>
                <w:rFonts w:ascii="Times New Roman" w:hAnsi="Times New Roman" w:cs="Times New Roman"/>
                <w:color w:val="000000"/>
                <w:sz w:val="15"/>
                <w:szCs w:val="15"/>
              </w:rPr>
              <w:t>0.0006</w:t>
            </w:r>
          </w:p>
        </w:tc>
      </w:tr>
      <w:tr w:rsidR="00126D8D" w:rsidRPr="00747A19" w14:paraId="52FB17B4" w14:textId="77777777" w:rsidTr="00820288">
        <w:trPr>
          <w:trHeight w:val="144"/>
          <w:jc w:val="center"/>
        </w:trPr>
        <w:tc>
          <w:tcPr>
            <w:tcW w:w="1778" w:type="dxa"/>
            <w:noWrap/>
            <w:vAlign w:val="center"/>
            <w:hideMark/>
          </w:tcPr>
          <w:p w14:paraId="62AB5015" w14:textId="77777777" w:rsidR="00126D8D" w:rsidRPr="004A4899" w:rsidRDefault="00126D8D" w:rsidP="00820288">
            <w:pPr>
              <w:spacing w:line="240" w:lineRule="auto"/>
              <w:rPr>
                <w:rFonts w:ascii="Times New Roman" w:hAnsi="Times New Roman" w:cs="Times New Roman"/>
                <w:color w:val="000000"/>
                <w:sz w:val="15"/>
                <w:szCs w:val="15"/>
              </w:rPr>
            </w:pPr>
            <w:r w:rsidRPr="004A4899">
              <w:rPr>
                <w:rFonts w:ascii="Times New Roman" w:hAnsi="Times New Roman" w:cs="Times New Roman"/>
                <w:color w:val="000000"/>
                <w:sz w:val="15"/>
                <w:szCs w:val="15"/>
              </w:rPr>
              <w:t>1-Methylcyclohexene</w:t>
            </w:r>
          </w:p>
        </w:tc>
        <w:tc>
          <w:tcPr>
            <w:tcW w:w="1323" w:type="dxa"/>
            <w:noWrap/>
            <w:vAlign w:val="center"/>
            <w:hideMark/>
          </w:tcPr>
          <w:p w14:paraId="612C20B3" w14:textId="77777777" w:rsidR="00126D8D" w:rsidRPr="004A4899" w:rsidRDefault="00126D8D" w:rsidP="00820288">
            <w:pPr>
              <w:spacing w:line="240" w:lineRule="auto"/>
              <w:jc w:val="center"/>
              <w:rPr>
                <w:rFonts w:ascii="Times New Roman" w:hAnsi="Times New Roman" w:cs="Times New Roman"/>
                <w:color w:val="000000"/>
                <w:sz w:val="15"/>
                <w:szCs w:val="15"/>
              </w:rPr>
            </w:pPr>
            <w:r w:rsidRPr="004A4899">
              <w:rPr>
                <w:rFonts w:ascii="Times New Roman" w:hAnsi="Times New Roman" w:cs="Times New Roman"/>
                <w:color w:val="000000"/>
                <w:sz w:val="15"/>
                <w:szCs w:val="15"/>
              </w:rPr>
              <w:t>591-49-1</w:t>
            </w:r>
          </w:p>
        </w:tc>
        <w:tc>
          <w:tcPr>
            <w:tcW w:w="837" w:type="dxa"/>
            <w:noWrap/>
            <w:vAlign w:val="center"/>
            <w:hideMark/>
          </w:tcPr>
          <w:p w14:paraId="74EF6285" w14:textId="77777777" w:rsidR="00126D8D" w:rsidRPr="004A4899" w:rsidRDefault="00126D8D" w:rsidP="00820288">
            <w:pPr>
              <w:spacing w:line="240" w:lineRule="auto"/>
              <w:jc w:val="center"/>
              <w:rPr>
                <w:rFonts w:ascii="Times New Roman" w:hAnsi="Times New Roman" w:cs="Times New Roman"/>
                <w:color w:val="000000"/>
                <w:sz w:val="15"/>
                <w:szCs w:val="15"/>
              </w:rPr>
            </w:pPr>
            <w:r w:rsidRPr="004A4899">
              <w:rPr>
                <w:rFonts w:ascii="Times New Roman" w:hAnsi="Times New Roman" w:cs="Times New Roman"/>
                <w:color w:val="000000"/>
                <w:sz w:val="15"/>
                <w:szCs w:val="15"/>
              </w:rPr>
              <w:t>135.93</w:t>
            </w:r>
          </w:p>
        </w:tc>
        <w:tc>
          <w:tcPr>
            <w:tcW w:w="763" w:type="dxa"/>
            <w:noWrap/>
            <w:vAlign w:val="center"/>
            <w:hideMark/>
          </w:tcPr>
          <w:p w14:paraId="1EA36CF3" w14:textId="77777777" w:rsidR="00126D8D" w:rsidRPr="004A4899" w:rsidRDefault="00126D8D" w:rsidP="00820288">
            <w:pPr>
              <w:spacing w:line="240" w:lineRule="auto"/>
              <w:jc w:val="center"/>
              <w:rPr>
                <w:rFonts w:ascii="Times New Roman" w:hAnsi="Times New Roman" w:cs="Times New Roman"/>
                <w:color w:val="000000"/>
                <w:sz w:val="15"/>
                <w:szCs w:val="15"/>
              </w:rPr>
            </w:pPr>
            <w:r w:rsidRPr="004A4899">
              <w:rPr>
                <w:rFonts w:ascii="Times New Roman" w:hAnsi="Times New Roman" w:cs="Times New Roman"/>
                <w:color w:val="000000"/>
                <w:sz w:val="15"/>
                <w:szCs w:val="15"/>
              </w:rPr>
              <w:t>1.92</w:t>
            </w:r>
          </w:p>
        </w:tc>
        <w:tc>
          <w:tcPr>
            <w:tcW w:w="1478" w:type="dxa"/>
            <w:noWrap/>
            <w:vAlign w:val="center"/>
            <w:hideMark/>
          </w:tcPr>
          <w:p w14:paraId="7E9757A7" w14:textId="77777777" w:rsidR="00126D8D" w:rsidRPr="004A4899" w:rsidRDefault="00126D8D" w:rsidP="00820288">
            <w:pPr>
              <w:spacing w:line="240" w:lineRule="auto"/>
              <w:jc w:val="center"/>
              <w:rPr>
                <w:rFonts w:ascii="Times New Roman" w:hAnsi="Times New Roman" w:cs="Times New Roman"/>
                <w:color w:val="000000"/>
                <w:sz w:val="15"/>
                <w:szCs w:val="15"/>
              </w:rPr>
            </w:pPr>
            <w:r w:rsidRPr="004A4899">
              <w:rPr>
                <w:rFonts w:ascii="Times New Roman" w:hAnsi="Times New Roman" w:cs="Times New Roman"/>
                <w:color w:val="000000"/>
                <w:sz w:val="15"/>
                <w:szCs w:val="15"/>
              </w:rPr>
              <w:t>1.04</w:t>
            </w:r>
          </w:p>
        </w:tc>
        <w:tc>
          <w:tcPr>
            <w:tcW w:w="92" w:type="dxa"/>
          </w:tcPr>
          <w:p w14:paraId="0F0A9669" w14:textId="77777777" w:rsidR="00126D8D" w:rsidRPr="004A4899" w:rsidRDefault="00126D8D" w:rsidP="00820288">
            <w:pPr>
              <w:spacing w:line="240" w:lineRule="auto"/>
              <w:jc w:val="center"/>
              <w:rPr>
                <w:rFonts w:ascii="Times New Roman" w:hAnsi="Times New Roman" w:cs="Times New Roman"/>
                <w:color w:val="000000"/>
                <w:sz w:val="15"/>
                <w:szCs w:val="15"/>
              </w:rPr>
            </w:pPr>
          </w:p>
        </w:tc>
        <w:tc>
          <w:tcPr>
            <w:tcW w:w="837" w:type="dxa"/>
            <w:noWrap/>
            <w:vAlign w:val="center"/>
            <w:hideMark/>
          </w:tcPr>
          <w:p w14:paraId="2438ED9F" w14:textId="77777777" w:rsidR="00126D8D" w:rsidRPr="004A4899" w:rsidRDefault="00126D8D" w:rsidP="00820288">
            <w:pPr>
              <w:spacing w:line="240" w:lineRule="auto"/>
              <w:jc w:val="center"/>
              <w:rPr>
                <w:rFonts w:ascii="Times New Roman" w:hAnsi="Times New Roman" w:cs="Times New Roman"/>
                <w:color w:val="000000"/>
                <w:sz w:val="15"/>
                <w:szCs w:val="15"/>
              </w:rPr>
            </w:pPr>
            <w:r w:rsidRPr="004A4899">
              <w:rPr>
                <w:rFonts w:ascii="Times New Roman" w:hAnsi="Times New Roman" w:cs="Times New Roman"/>
                <w:color w:val="000000"/>
                <w:sz w:val="15"/>
                <w:szCs w:val="15"/>
              </w:rPr>
              <w:t>&lt;0.0001</w:t>
            </w:r>
          </w:p>
        </w:tc>
        <w:tc>
          <w:tcPr>
            <w:tcW w:w="763" w:type="dxa"/>
            <w:noWrap/>
            <w:vAlign w:val="center"/>
            <w:hideMark/>
          </w:tcPr>
          <w:p w14:paraId="3700BE6F" w14:textId="77777777" w:rsidR="00126D8D" w:rsidRPr="004A4899" w:rsidRDefault="00126D8D" w:rsidP="00820288">
            <w:pPr>
              <w:spacing w:line="240" w:lineRule="auto"/>
              <w:jc w:val="center"/>
              <w:rPr>
                <w:rFonts w:ascii="Times New Roman" w:hAnsi="Times New Roman" w:cs="Times New Roman"/>
                <w:color w:val="000000"/>
                <w:sz w:val="15"/>
                <w:szCs w:val="15"/>
              </w:rPr>
            </w:pPr>
            <w:r w:rsidRPr="004A4899">
              <w:rPr>
                <w:rFonts w:ascii="Times New Roman" w:hAnsi="Times New Roman" w:cs="Times New Roman"/>
                <w:color w:val="000000"/>
                <w:sz w:val="15"/>
                <w:szCs w:val="15"/>
              </w:rPr>
              <w:t>0.0356</w:t>
            </w:r>
          </w:p>
        </w:tc>
        <w:tc>
          <w:tcPr>
            <w:tcW w:w="1478" w:type="dxa"/>
            <w:noWrap/>
            <w:vAlign w:val="center"/>
            <w:hideMark/>
          </w:tcPr>
          <w:p w14:paraId="329681B7" w14:textId="77777777" w:rsidR="00126D8D" w:rsidRPr="004A4899" w:rsidRDefault="00126D8D" w:rsidP="00820288">
            <w:pPr>
              <w:spacing w:line="240" w:lineRule="auto"/>
              <w:jc w:val="center"/>
              <w:rPr>
                <w:rFonts w:ascii="Times New Roman" w:hAnsi="Times New Roman" w:cs="Times New Roman"/>
                <w:color w:val="000000"/>
                <w:sz w:val="15"/>
                <w:szCs w:val="15"/>
              </w:rPr>
            </w:pPr>
            <w:r w:rsidRPr="004A4899">
              <w:rPr>
                <w:rFonts w:ascii="Times New Roman" w:hAnsi="Times New Roman" w:cs="Times New Roman"/>
                <w:color w:val="000000"/>
                <w:sz w:val="15"/>
                <w:szCs w:val="15"/>
              </w:rPr>
              <w:t>0.4174</w:t>
            </w:r>
          </w:p>
        </w:tc>
      </w:tr>
      <w:tr w:rsidR="00126D8D" w:rsidRPr="00747A19" w14:paraId="110B2EF3" w14:textId="77777777" w:rsidTr="00820288">
        <w:trPr>
          <w:trHeight w:val="144"/>
          <w:jc w:val="center"/>
        </w:trPr>
        <w:tc>
          <w:tcPr>
            <w:tcW w:w="1778" w:type="dxa"/>
            <w:noWrap/>
            <w:vAlign w:val="center"/>
            <w:hideMark/>
          </w:tcPr>
          <w:p w14:paraId="05C94683" w14:textId="77777777" w:rsidR="00126D8D" w:rsidRPr="004A4899" w:rsidRDefault="00126D8D" w:rsidP="00820288">
            <w:pPr>
              <w:spacing w:line="240" w:lineRule="auto"/>
              <w:rPr>
                <w:rFonts w:ascii="Times New Roman" w:hAnsi="Times New Roman" w:cs="Times New Roman"/>
                <w:color w:val="000000"/>
                <w:sz w:val="15"/>
                <w:szCs w:val="15"/>
              </w:rPr>
            </w:pPr>
            <w:r w:rsidRPr="004A4899">
              <w:rPr>
                <w:rFonts w:ascii="Times New Roman" w:hAnsi="Times New Roman" w:cs="Times New Roman"/>
                <w:color w:val="000000"/>
                <w:sz w:val="15"/>
                <w:szCs w:val="15"/>
              </w:rPr>
              <w:t>Cycloheptene</w:t>
            </w:r>
          </w:p>
        </w:tc>
        <w:tc>
          <w:tcPr>
            <w:tcW w:w="1323" w:type="dxa"/>
            <w:noWrap/>
            <w:vAlign w:val="center"/>
            <w:hideMark/>
          </w:tcPr>
          <w:p w14:paraId="15A2B535" w14:textId="77777777" w:rsidR="00126D8D" w:rsidRPr="004A4899" w:rsidRDefault="00126D8D" w:rsidP="00820288">
            <w:pPr>
              <w:spacing w:line="240" w:lineRule="auto"/>
              <w:jc w:val="center"/>
              <w:rPr>
                <w:rFonts w:ascii="Times New Roman" w:hAnsi="Times New Roman" w:cs="Times New Roman"/>
                <w:color w:val="000000"/>
                <w:sz w:val="15"/>
                <w:szCs w:val="15"/>
              </w:rPr>
            </w:pPr>
            <w:r w:rsidRPr="004A4899">
              <w:rPr>
                <w:rFonts w:ascii="Times New Roman" w:hAnsi="Times New Roman" w:cs="Times New Roman"/>
                <w:color w:val="000000"/>
                <w:sz w:val="15"/>
                <w:szCs w:val="15"/>
              </w:rPr>
              <w:t>628-92-2</w:t>
            </w:r>
          </w:p>
        </w:tc>
        <w:tc>
          <w:tcPr>
            <w:tcW w:w="837" w:type="dxa"/>
            <w:noWrap/>
            <w:vAlign w:val="center"/>
            <w:hideMark/>
          </w:tcPr>
          <w:p w14:paraId="1E0E6CC6" w14:textId="77777777" w:rsidR="00126D8D" w:rsidRPr="004A4899" w:rsidRDefault="00126D8D" w:rsidP="00820288">
            <w:pPr>
              <w:spacing w:line="240" w:lineRule="auto"/>
              <w:jc w:val="center"/>
              <w:rPr>
                <w:rFonts w:ascii="Times New Roman" w:hAnsi="Times New Roman" w:cs="Times New Roman"/>
                <w:color w:val="000000"/>
                <w:sz w:val="15"/>
                <w:szCs w:val="15"/>
              </w:rPr>
            </w:pPr>
            <w:r w:rsidRPr="004A4899">
              <w:rPr>
                <w:rFonts w:ascii="Times New Roman" w:hAnsi="Times New Roman" w:cs="Times New Roman"/>
                <w:color w:val="000000"/>
                <w:sz w:val="15"/>
                <w:szCs w:val="15"/>
              </w:rPr>
              <w:t>3.18</w:t>
            </w:r>
          </w:p>
        </w:tc>
        <w:tc>
          <w:tcPr>
            <w:tcW w:w="763" w:type="dxa"/>
            <w:noWrap/>
            <w:vAlign w:val="center"/>
            <w:hideMark/>
          </w:tcPr>
          <w:p w14:paraId="2A6FBC73" w14:textId="77777777" w:rsidR="00126D8D" w:rsidRPr="004A4899" w:rsidRDefault="00126D8D" w:rsidP="00820288">
            <w:pPr>
              <w:spacing w:line="240" w:lineRule="auto"/>
              <w:jc w:val="center"/>
              <w:rPr>
                <w:rFonts w:ascii="Times New Roman" w:hAnsi="Times New Roman" w:cs="Times New Roman"/>
                <w:color w:val="000000"/>
                <w:sz w:val="15"/>
                <w:szCs w:val="15"/>
              </w:rPr>
            </w:pPr>
            <w:r w:rsidRPr="004A4899">
              <w:rPr>
                <w:rFonts w:ascii="Times New Roman" w:hAnsi="Times New Roman" w:cs="Times New Roman"/>
                <w:color w:val="000000"/>
                <w:sz w:val="15"/>
                <w:szCs w:val="15"/>
              </w:rPr>
              <w:t>0.67</w:t>
            </w:r>
          </w:p>
        </w:tc>
        <w:tc>
          <w:tcPr>
            <w:tcW w:w="1478" w:type="dxa"/>
            <w:noWrap/>
            <w:vAlign w:val="center"/>
            <w:hideMark/>
          </w:tcPr>
          <w:p w14:paraId="1B9D5D6C" w14:textId="77777777" w:rsidR="00126D8D" w:rsidRPr="004A4899" w:rsidRDefault="00126D8D" w:rsidP="00820288">
            <w:pPr>
              <w:spacing w:line="240" w:lineRule="auto"/>
              <w:jc w:val="center"/>
              <w:rPr>
                <w:rFonts w:ascii="Times New Roman" w:hAnsi="Times New Roman" w:cs="Times New Roman"/>
                <w:color w:val="000000"/>
                <w:sz w:val="15"/>
                <w:szCs w:val="15"/>
              </w:rPr>
            </w:pPr>
            <w:r w:rsidRPr="004A4899">
              <w:rPr>
                <w:rFonts w:ascii="Times New Roman" w:hAnsi="Times New Roman" w:cs="Times New Roman"/>
                <w:color w:val="000000"/>
                <w:sz w:val="15"/>
                <w:szCs w:val="15"/>
              </w:rPr>
              <w:t>1.05</w:t>
            </w:r>
          </w:p>
        </w:tc>
        <w:tc>
          <w:tcPr>
            <w:tcW w:w="92" w:type="dxa"/>
          </w:tcPr>
          <w:p w14:paraId="7F15C34F" w14:textId="77777777" w:rsidR="00126D8D" w:rsidRPr="004A4899" w:rsidRDefault="00126D8D" w:rsidP="00820288">
            <w:pPr>
              <w:spacing w:line="240" w:lineRule="auto"/>
              <w:jc w:val="center"/>
              <w:rPr>
                <w:rFonts w:ascii="Times New Roman" w:hAnsi="Times New Roman" w:cs="Times New Roman"/>
                <w:color w:val="000000"/>
                <w:sz w:val="15"/>
                <w:szCs w:val="15"/>
              </w:rPr>
            </w:pPr>
          </w:p>
        </w:tc>
        <w:tc>
          <w:tcPr>
            <w:tcW w:w="837" w:type="dxa"/>
            <w:noWrap/>
            <w:vAlign w:val="center"/>
            <w:hideMark/>
          </w:tcPr>
          <w:p w14:paraId="00F2AE0E" w14:textId="77777777" w:rsidR="00126D8D" w:rsidRPr="004A4899" w:rsidRDefault="00126D8D" w:rsidP="00820288">
            <w:pPr>
              <w:spacing w:line="240" w:lineRule="auto"/>
              <w:jc w:val="center"/>
              <w:rPr>
                <w:rFonts w:ascii="Times New Roman" w:hAnsi="Times New Roman" w:cs="Times New Roman"/>
                <w:color w:val="000000"/>
                <w:sz w:val="15"/>
                <w:szCs w:val="15"/>
              </w:rPr>
            </w:pPr>
            <w:r w:rsidRPr="004A4899">
              <w:rPr>
                <w:rFonts w:ascii="Times New Roman" w:hAnsi="Times New Roman" w:cs="Times New Roman"/>
                <w:color w:val="000000"/>
                <w:sz w:val="15"/>
                <w:szCs w:val="15"/>
              </w:rPr>
              <w:t>0.0258</w:t>
            </w:r>
          </w:p>
        </w:tc>
        <w:tc>
          <w:tcPr>
            <w:tcW w:w="763" w:type="dxa"/>
            <w:noWrap/>
            <w:vAlign w:val="center"/>
            <w:hideMark/>
          </w:tcPr>
          <w:p w14:paraId="790C0867" w14:textId="77777777" w:rsidR="00126D8D" w:rsidRPr="004A4899" w:rsidRDefault="00126D8D" w:rsidP="00820288">
            <w:pPr>
              <w:spacing w:line="240" w:lineRule="auto"/>
              <w:jc w:val="center"/>
              <w:rPr>
                <w:rFonts w:ascii="Times New Roman" w:hAnsi="Times New Roman" w:cs="Times New Roman"/>
                <w:color w:val="000000"/>
                <w:sz w:val="15"/>
                <w:szCs w:val="15"/>
              </w:rPr>
            </w:pPr>
            <w:r w:rsidRPr="004A4899">
              <w:rPr>
                <w:rFonts w:ascii="Times New Roman" w:hAnsi="Times New Roman" w:cs="Times New Roman"/>
                <w:color w:val="000000"/>
                <w:sz w:val="15"/>
                <w:szCs w:val="15"/>
              </w:rPr>
              <w:t>0.7661</w:t>
            </w:r>
          </w:p>
        </w:tc>
        <w:tc>
          <w:tcPr>
            <w:tcW w:w="1478" w:type="dxa"/>
            <w:noWrap/>
            <w:vAlign w:val="center"/>
            <w:hideMark/>
          </w:tcPr>
          <w:p w14:paraId="5DAB55E6" w14:textId="77777777" w:rsidR="00126D8D" w:rsidRPr="004A4899" w:rsidRDefault="00126D8D" w:rsidP="00820288">
            <w:pPr>
              <w:spacing w:line="240" w:lineRule="auto"/>
              <w:jc w:val="center"/>
              <w:rPr>
                <w:rFonts w:ascii="Times New Roman" w:hAnsi="Times New Roman" w:cs="Times New Roman"/>
                <w:color w:val="000000"/>
                <w:sz w:val="15"/>
                <w:szCs w:val="15"/>
              </w:rPr>
            </w:pPr>
            <w:r w:rsidRPr="004A4899">
              <w:rPr>
                <w:rFonts w:ascii="Times New Roman" w:hAnsi="Times New Roman" w:cs="Times New Roman"/>
                <w:color w:val="000000"/>
                <w:sz w:val="15"/>
                <w:szCs w:val="15"/>
              </w:rPr>
              <w:t>0.4110</w:t>
            </w:r>
          </w:p>
        </w:tc>
      </w:tr>
      <w:tr w:rsidR="00126D8D" w:rsidRPr="00747A19" w14:paraId="4824EDCB" w14:textId="77777777" w:rsidTr="00820288">
        <w:trPr>
          <w:trHeight w:val="144"/>
          <w:jc w:val="center"/>
        </w:trPr>
        <w:tc>
          <w:tcPr>
            <w:tcW w:w="1778" w:type="dxa"/>
            <w:noWrap/>
            <w:vAlign w:val="center"/>
          </w:tcPr>
          <w:p w14:paraId="7514E44F" w14:textId="77777777" w:rsidR="00126D8D" w:rsidRPr="004A4899" w:rsidRDefault="00126D8D" w:rsidP="00820288">
            <w:pPr>
              <w:spacing w:line="240" w:lineRule="auto"/>
              <w:rPr>
                <w:rFonts w:ascii="Times New Roman" w:hAnsi="Times New Roman" w:cs="Times New Roman"/>
                <w:b/>
                <w:bCs/>
                <w:color w:val="000000"/>
                <w:sz w:val="15"/>
                <w:szCs w:val="15"/>
              </w:rPr>
            </w:pPr>
            <w:r w:rsidRPr="004A4899">
              <w:rPr>
                <w:rFonts w:ascii="Times New Roman" w:hAnsi="Times New Roman" w:cs="Times New Roman"/>
                <w:b/>
                <w:bCs/>
                <w:color w:val="000000"/>
                <w:sz w:val="15"/>
                <w:szCs w:val="15"/>
              </w:rPr>
              <w:t>Acyclic Monoterpenes</w:t>
            </w:r>
          </w:p>
        </w:tc>
        <w:tc>
          <w:tcPr>
            <w:tcW w:w="1323" w:type="dxa"/>
            <w:noWrap/>
            <w:vAlign w:val="center"/>
          </w:tcPr>
          <w:p w14:paraId="3D87A834" w14:textId="77777777" w:rsidR="00126D8D" w:rsidRPr="004A4899" w:rsidRDefault="00126D8D" w:rsidP="00820288">
            <w:pPr>
              <w:spacing w:line="240" w:lineRule="auto"/>
              <w:jc w:val="center"/>
              <w:rPr>
                <w:rFonts w:ascii="Times New Roman" w:hAnsi="Times New Roman" w:cs="Times New Roman"/>
                <w:color w:val="000000"/>
                <w:sz w:val="15"/>
                <w:szCs w:val="15"/>
              </w:rPr>
            </w:pPr>
          </w:p>
        </w:tc>
        <w:tc>
          <w:tcPr>
            <w:tcW w:w="837" w:type="dxa"/>
            <w:noWrap/>
            <w:vAlign w:val="center"/>
          </w:tcPr>
          <w:p w14:paraId="184CB653" w14:textId="77777777" w:rsidR="00126D8D" w:rsidRPr="004A4899" w:rsidRDefault="00126D8D" w:rsidP="00820288">
            <w:pPr>
              <w:spacing w:line="240" w:lineRule="auto"/>
              <w:jc w:val="center"/>
              <w:rPr>
                <w:rFonts w:ascii="Times New Roman" w:hAnsi="Times New Roman" w:cs="Times New Roman"/>
                <w:color w:val="000000"/>
                <w:sz w:val="15"/>
                <w:szCs w:val="15"/>
              </w:rPr>
            </w:pPr>
          </w:p>
        </w:tc>
        <w:tc>
          <w:tcPr>
            <w:tcW w:w="763" w:type="dxa"/>
            <w:noWrap/>
            <w:vAlign w:val="center"/>
          </w:tcPr>
          <w:p w14:paraId="51FB430D" w14:textId="77777777" w:rsidR="00126D8D" w:rsidRPr="004A4899" w:rsidRDefault="00126D8D" w:rsidP="00820288">
            <w:pPr>
              <w:spacing w:line="240" w:lineRule="auto"/>
              <w:jc w:val="center"/>
              <w:rPr>
                <w:rFonts w:ascii="Times New Roman" w:hAnsi="Times New Roman" w:cs="Times New Roman"/>
                <w:color w:val="000000"/>
                <w:sz w:val="15"/>
                <w:szCs w:val="15"/>
              </w:rPr>
            </w:pPr>
          </w:p>
        </w:tc>
        <w:tc>
          <w:tcPr>
            <w:tcW w:w="1478" w:type="dxa"/>
            <w:noWrap/>
            <w:vAlign w:val="center"/>
          </w:tcPr>
          <w:p w14:paraId="2F482CB4" w14:textId="77777777" w:rsidR="00126D8D" w:rsidRPr="004A4899" w:rsidRDefault="00126D8D" w:rsidP="00820288">
            <w:pPr>
              <w:spacing w:line="240" w:lineRule="auto"/>
              <w:jc w:val="center"/>
              <w:rPr>
                <w:rFonts w:ascii="Times New Roman" w:hAnsi="Times New Roman" w:cs="Times New Roman"/>
                <w:color w:val="000000"/>
                <w:sz w:val="15"/>
                <w:szCs w:val="15"/>
              </w:rPr>
            </w:pPr>
          </w:p>
        </w:tc>
        <w:tc>
          <w:tcPr>
            <w:tcW w:w="92" w:type="dxa"/>
          </w:tcPr>
          <w:p w14:paraId="7EE7CD34" w14:textId="77777777" w:rsidR="00126D8D" w:rsidRPr="004A4899" w:rsidRDefault="00126D8D" w:rsidP="00820288">
            <w:pPr>
              <w:spacing w:line="240" w:lineRule="auto"/>
              <w:jc w:val="center"/>
              <w:rPr>
                <w:rFonts w:ascii="Times New Roman" w:hAnsi="Times New Roman" w:cs="Times New Roman"/>
                <w:color w:val="000000"/>
                <w:sz w:val="15"/>
                <w:szCs w:val="15"/>
              </w:rPr>
            </w:pPr>
          </w:p>
        </w:tc>
        <w:tc>
          <w:tcPr>
            <w:tcW w:w="837" w:type="dxa"/>
            <w:noWrap/>
            <w:vAlign w:val="center"/>
          </w:tcPr>
          <w:p w14:paraId="1DB83F9A" w14:textId="77777777" w:rsidR="00126D8D" w:rsidRPr="004A4899" w:rsidRDefault="00126D8D" w:rsidP="00820288">
            <w:pPr>
              <w:spacing w:line="240" w:lineRule="auto"/>
              <w:jc w:val="center"/>
              <w:rPr>
                <w:rFonts w:ascii="Times New Roman" w:hAnsi="Times New Roman" w:cs="Times New Roman"/>
                <w:color w:val="000000"/>
                <w:sz w:val="15"/>
                <w:szCs w:val="15"/>
              </w:rPr>
            </w:pPr>
          </w:p>
        </w:tc>
        <w:tc>
          <w:tcPr>
            <w:tcW w:w="763" w:type="dxa"/>
            <w:noWrap/>
            <w:vAlign w:val="center"/>
          </w:tcPr>
          <w:p w14:paraId="406CA63A" w14:textId="77777777" w:rsidR="00126D8D" w:rsidRPr="004A4899" w:rsidRDefault="00126D8D" w:rsidP="00820288">
            <w:pPr>
              <w:spacing w:line="240" w:lineRule="auto"/>
              <w:jc w:val="center"/>
              <w:rPr>
                <w:rFonts w:ascii="Times New Roman" w:hAnsi="Times New Roman" w:cs="Times New Roman"/>
                <w:color w:val="000000"/>
                <w:sz w:val="15"/>
                <w:szCs w:val="15"/>
              </w:rPr>
            </w:pPr>
          </w:p>
        </w:tc>
        <w:tc>
          <w:tcPr>
            <w:tcW w:w="1478" w:type="dxa"/>
            <w:noWrap/>
            <w:vAlign w:val="center"/>
          </w:tcPr>
          <w:p w14:paraId="2331CA27" w14:textId="77777777" w:rsidR="00126D8D" w:rsidRPr="004A4899" w:rsidRDefault="00126D8D" w:rsidP="00820288">
            <w:pPr>
              <w:spacing w:line="240" w:lineRule="auto"/>
              <w:jc w:val="center"/>
              <w:rPr>
                <w:rFonts w:ascii="Times New Roman" w:hAnsi="Times New Roman" w:cs="Times New Roman"/>
                <w:color w:val="000000"/>
                <w:sz w:val="15"/>
                <w:szCs w:val="15"/>
              </w:rPr>
            </w:pPr>
          </w:p>
        </w:tc>
      </w:tr>
      <w:tr w:rsidR="00126D8D" w:rsidRPr="00747A19" w14:paraId="5CBDF465" w14:textId="77777777" w:rsidTr="00820288">
        <w:trPr>
          <w:trHeight w:val="144"/>
          <w:jc w:val="center"/>
        </w:trPr>
        <w:tc>
          <w:tcPr>
            <w:tcW w:w="1778" w:type="dxa"/>
            <w:noWrap/>
            <w:vAlign w:val="center"/>
            <w:hideMark/>
          </w:tcPr>
          <w:p w14:paraId="4BC3645B" w14:textId="77777777" w:rsidR="00126D8D" w:rsidRPr="004A4899" w:rsidRDefault="00126D8D" w:rsidP="00820288">
            <w:pPr>
              <w:spacing w:line="240" w:lineRule="auto"/>
              <w:rPr>
                <w:rFonts w:ascii="Times New Roman" w:hAnsi="Times New Roman" w:cs="Times New Roman"/>
                <w:color w:val="000000"/>
                <w:sz w:val="15"/>
                <w:szCs w:val="15"/>
              </w:rPr>
            </w:pPr>
            <w:r w:rsidRPr="004A4899">
              <w:rPr>
                <w:rFonts w:ascii="Times New Roman" w:hAnsi="Times New Roman" w:cs="Times New Roman"/>
                <w:color w:val="000000"/>
                <w:sz w:val="15"/>
                <w:szCs w:val="15"/>
              </w:rPr>
              <w:t>2,6-Dimethyl-2,4,6-octatriene</w:t>
            </w:r>
          </w:p>
        </w:tc>
        <w:tc>
          <w:tcPr>
            <w:tcW w:w="1323" w:type="dxa"/>
            <w:noWrap/>
            <w:vAlign w:val="center"/>
            <w:hideMark/>
          </w:tcPr>
          <w:p w14:paraId="21EDC835" w14:textId="77777777" w:rsidR="00126D8D" w:rsidRPr="004A4899" w:rsidRDefault="00126D8D" w:rsidP="00820288">
            <w:pPr>
              <w:spacing w:line="240" w:lineRule="auto"/>
              <w:jc w:val="center"/>
              <w:rPr>
                <w:rFonts w:ascii="Times New Roman" w:hAnsi="Times New Roman" w:cs="Times New Roman"/>
                <w:color w:val="000000"/>
                <w:sz w:val="15"/>
                <w:szCs w:val="15"/>
              </w:rPr>
            </w:pPr>
            <w:r w:rsidRPr="004A4899">
              <w:rPr>
                <w:rFonts w:ascii="Times New Roman" w:hAnsi="Times New Roman" w:cs="Times New Roman"/>
                <w:color w:val="000000"/>
                <w:sz w:val="15"/>
                <w:szCs w:val="15"/>
              </w:rPr>
              <w:t>673-84-7</w:t>
            </w:r>
          </w:p>
        </w:tc>
        <w:tc>
          <w:tcPr>
            <w:tcW w:w="837" w:type="dxa"/>
            <w:noWrap/>
            <w:vAlign w:val="center"/>
            <w:hideMark/>
          </w:tcPr>
          <w:p w14:paraId="3A26683B" w14:textId="77777777" w:rsidR="00126D8D" w:rsidRPr="004A4899" w:rsidRDefault="00126D8D" w:rsidP="00820288">
            <w:pPr>
              <w:spacing w:line="240" w:lineRule="auto"/>
              <w:jc w:val="center"/>
              <w:rPr>
                <w:rFonts w:ascii="Times New Roman" w:hAnsi="Times New Roman" w:cs="Times New Roman"/>
                <w:color w:val="000000"/>
                <w:sz w:val="15"/>
                <w:szCs w:val="15"/>
              </w:rPr>
            </w:pPr>
            <w:r w:rsidRPr="004A4899">
              <w:rPr>
                <w:rFonts w:ascii="Times New Roman" w:hAnsi="Times New Roman" w:cs="Times New Roman"/>
                <w:color w:val="000000"/>
                <w:sz w:val="15"/>
                <w:szCs w:val="15"/>
              </w:rPr>
              <w:t>65.54</w:t>
            </w:r>
          </w:p>
        </w:tc>
        <w:tc>
          <w:tcPr>
            <w:tcW w:w="763" w:type="dxa"/>
            <w:noWrap/>
            <w:vAlign w:val="center"/>
            <w:hideMark/>
          </w:tcPr>
          <w:p w14:paraId="6E796424" w14:textId="77777777" w:rsidR="00126D8D" w:rsidRPr="004A4899" w:rsidRDefault="00126D8D" w:rsidP="00820288">
            <w:pPr>
              <w:spacing w:line="240" w:lineRule="auto"/>
              <w:jc w:val="center"/>
              <w:rPr>
                <w:rFonts w:ascii="Times New Roman" w:hAnsi="Times New Roman" w:cs="Times New Roman"/>
                <w:color w:val="000000"/>
                <w:sz w:val="15"/>
                <w:szCs w:val="15"/>
              </w:rPr>
            </w:pPr>
            <w:r w:rsidRPr="004A4899">
              <w:rPr>
                <w:rFonts w:ascii="Times New Roman" w:hAnsi="Times New Roman" w:cs="Times New Roman"/>
                <w:color w:val="000000"/>
                <w:sz w:val="15"/>
                <w:szCs w:val="15"/>
              </w:rPr>
              <w:t>12.59</w:t>
            </w:r>
          </w:p>
        </w:tc>
        <w:tc>
          <w:tcPr>
            <w:tcW w:w="1478" w:type="dxa"/>
            <w:noWrap/>
            <w:vAlign w:val="center"/>
            <w:hideMark/>
          </w:tcPr>
          <w:p w14:paraId="4203A892" w14:textId="77777777" w:rsidR="00126D8D" w:rsidRPr="004A4899" w:rsidRDefault="00126D8D" w:rsidP="00820288">
            <w:pPr>
              <w:spacing w:line="240" w:lineRule="auto"/>
              <w:jc w:val="center"/>
              <w:rPr>
                <w:rFonts w:ascii="Times New Roman" w:hAnsi="Times New Roman" w:cs="Times New Roman"/>
                <w:color w:val="000000"/>
                <w:sz w:val="15"/>
                <w:szCs w:val="15"/>
              </w:rPr>
            </w:pPr>
            <w:r w:rsidRPr="004A4899">
              <w:rPr>
                <w:rFonts w:ascii="Times New Roman" w:hAnsi="Times New Roman" w:cs="Times New Roman"/>
                <w:color w:val="000000"/>
                <w:sz w:val="15"/>
                <w:szCs w:val="15"/>
              </w:rPr>
              <w:t>3.43</w:t>
            </w:r>
          </w:p>
        </w:tc>
        <w:tc>
          <w:tcPr>
            <w:tcW w:w="92" w:type="dxa"/>
          </w:tcPr>
          <w:p w14:paraId="2166CDAC" w14:textId="77777777" w:rsidR="00126D8D" w:rsidRPr="004A4899" w:rsidRDefault="00126D8D" w:rsidP="00820288">
            <w:pPr>
              <w:spacing w:line="240" w:lineRule="auto"/>
              <w:jc w:val="center"/>
              <w:rPr>
                <w:rFonts w:ascii="Times New Roman" w:hAnsi="Times New Roman" w:cs="Times New Roman"/>
                <w:color w:val="000000"/>
                <w:sz w:val="15"/>
                <w:szCs w:val="15"/>
              </w:rPr>
            </w:pPr>
          </w:p>
        </w:tc>
        <w:tc>
          <w:tcPr>
            <w:tcW w:w="837" w:type="dxa"/>
            <w:noWrap/>
            <w:vAlign w:val="center"/>
            <w:hideMark/>
          </w:tcPr>
          <w:p w14:paraId="7FECF0C9" w14:textId="77777777" w:rsidR="00126D8D" w:rsidRPr="004A4899" w:rsidRDefault="00126D8D" w:rsidP="00820288">
            <w:pPr>
              <w:spacing w:line="240" w:lineRule="auto"/>
              <w:jc w:val="center"/>
              <w:rPr>
                <w:rFonts w:ascii="Times New Roman" w:hAnsi="Times New Roman" w:cs="Times New Roman"/>
                <w:color w:val="000000"/>
                <w:sz w:val="15"/>
                <w:szCs w:val="15"/>
              </w:rPr>
            </w:pPr>
            <w:r w:rsidRPr="004A4899">
              <w:rPr>
                <w:rFonts w:ascii="Times New Roman" w:hAnsi="Times New Roman" w:cs="Times New Roman"/>
                <w:color w:val="000000"/>
                <w:sz w:val="15"/>
                <w:szCs w:val="15"/>
              </w:rPr>
              <w:t>&lt;0.0001</w:t>
            </w:r>
          </w:p>
        </w:tc>
        <w:tc>
          <w:tcPr>
            <w:tcW w:w="763" w:type="dxa"/>
            <w:noWrap/>
            <w:vAlign w:val="center"/>
            <w:hideMark/>
          </w:tcPr>
          <w:p w14:paraId="3FDE3CCA" w14:textId="77777777" w:rsidR="00126D8D" w:rsidRPr="004A4899" w:rsidRDefault="00126D8D" w:rsidP="00820288">
            <w:pPr>
              <w:spacing w:line="240" w:lineRule="auto"/>
              <w:jc w:val="center"/>
              <w:rPr>
                <w:rFonts w:ascii="Times New Roman" w:hAnsi="Times New Roman" w:cs="Times New Roman"/>
                <w:color w:val="000000"/>
                <w:sz w:val="15"/>
                <w:szCs w:val="15"/>
              </w:rPr>
            </w:pPr>
            <w:r w:rsidRPr="004A4899">
              <w:rPr>
                <w:rFonts w:ascii="Times New Roman" w:hAnsi="Times New Roman" w:cs="Times New Roman"/>
                <w:color w:val="000000"/>
                <w:sz w:val="15"/>
                <w:szCs w:val="15"/>
              </w:rPr>
              <w:t>&lt;0.0001</w:t>
            </w:r>
          </w:p>
        </w:tc>
        <w:tc>
          <w:tcPr>
            <w:tcW w:w="1478" w:type="dxa"/>
            <w:noWrap/>
            <w:vAlign w:val="center"/>
            <w:hideMark/>
          </w:tcPr>
          <w:p w14:paraId="4BCEEF44" w14:textId="77777777" w:rsidR="00126D8D" w:rsidRPr="004A4899" w:rsidRDefault="00126D8D" w:rsidP="00820288">
            <w:pPr>
              <w:spacing w:line="240" w:lineRule="auto"/>
              <w:jc w:val="center"/>
              <w:rPr>
                <w:rFonts w:ascii="Times New Roman" w:hAnsi="Times New Roman" w:cs="Times New Roman"/>
                <w:color w:val="000000"/>
                <w:sz w:val="15"/>
                <w:szCs w:val="15"/>
              </w:rPr>
            </w:pPr>
            <w:r w:rsidRPr="004A4899">
              <w:rPr>
                <w:rFonts w:ascii="Times New Roman" w:hAnsi="Times New Roman" w:cs="Times New Roman"/>
                <w:color w:val="000000"/>
                <w:sz w:val="15"/>
                <w:szCs w:val="15"/>
              </w:rPr>
              <w:t>&lt;0.0001</w:t>
            </w:r>
          </w:p>
        </w:tc>
      </w:tr>
      <w:tr w:rsidR="00126D8D" w:rsidRPr="00747A19" w14:paraId="51A27E91" w14:textId="77777777" w:rsidTr="00820288">
        <w:trPr>
          <w:trHeight w:val="144"/>
          <w:jc w:val="center"/>
        </w:trPr>
        <w:tc>
          <w:tcPr>
            <w:tcW w:w="1778" w:type="dxa"/>
            <w:noWrap/>
            <w:vAlign w:val="center"/>
            <w:hideMark/>
          </w:tcPr>
          <w:p w14:paraId="7E55A7B8" w14:textId="77777777" w:rsidR="00126D8D" w:rsidRPr="004A4899" w:rsidRDefault="00126D8D" w:rsidP="00820288">
            <w:pPr>
              <w:spacing w:line="240" w:lineRule="auto"/>
              <w:rPr>
                <w:rFonts w:ascii="Times New Roman" w:hAnsi="Times New Roman" w:cs="Times New Roman"/>
                <w:color w:val="000000"/>
                <w:sz w:val="15"/>
                <w:szCs w:val="15"/>
              </w:rPr>
            </w:pPr>
            <w:r w:rsidRPr="004A4899">
              <w:rPr>
                <w:rFonts w:ascii="Times New Roman" w:hAnsi="Times New Roman" w:cs="Times New Roman"/>
                <w:color w:val="000000"/>
                <w:sz w:val="15"/>
                <w:szCs w:val="15"/>
              </w:rPr>
              <w:t>cis-β-Ocimene</w:t>
            </w:r>
          </w:p>
        </w:tc>
        <w:tc>
          <w:tcPr>
            <w:tcW w:w="1323" w:type="dxa"/>
            <w:noWrap/>
            <w:vAlign w:val="center"/>
            <w:hideMark/>
          </w:tcPr>
          <w:p w14:paraId="371046AA" w14:textId="77777777" w:rsidR="00126D8D" w:rsidRPr="004A4899" w:rsidRDefault="00126D8D" w:rsidP="00820288">
            <w:pPr>
              <w:spacing w:line="240" w:lineRule="auto"/>
              <w:jc w:val="center"/>
              <w:rPr>
                <w:rFonts w:ascii="Times New Roman" w:hAnsi="Times New Roman" w:cs="Times New Roman"/>
                <w:color w:val="000000"/>
                <w:sz w:val="15"/>
                <w:szCs w:val="15"/>
              </w:rPr>
            </w:pPr>
            <w:r w:rsidRPr="004A4899">
              <w:rPr>
                <w:rFonts w:ascii="Times New Roman" w:hAnsi="Times New Roman" w:cs="Times New Roman"/>
                <w:color w:val="000000"/>
                <w:sz w:val="15"/>
                <w:szCs w:val="15"/>
              </w:rPr>
              <w:t>3338-55-4</w:t>
            </w:r>
          </w:p>
        </w:tc>
        <w:tc>
          <w:tcPr>
            <w:tcW w:w="837" w:type="dxa"/>
            <w:noWrap/>
            <w:vAlign w:val="center"/>
            <w:hideMark/>
          </w:tcPr>
          <w:p w14:paraId="0673B550" w14:textId="77777777" w:rsidR="00126D8D" w:rsidRPr="004A4899" w:rsidRDefault="00126D8D" w:rsidP="00820288">
            <w:pPr>
              <w:spacing w:line="240" w:lineRule="auto"/>
              <w:jc w:val="center"/>
              <w:rPr>
                <w:rFonts w:ascii="Times New Roman" w:hAnsi="Times New Roman" w:cs="Times New Roman"/>
                <w:color w:val="000000"/>
                <w:sz w:val="15"/>
                <w:szCs w:val="15"/>
              </w:rPr>
            </w:pPr>
            <w:r w:rsidRPr="004A4899">
              <w:rPr>
                <w:rFonts w:ascii="Times New Roman" w:hAnsi="Times New Roman" w:cs="Times New Roman"/>
                <w:color w:val="000000"/>
                <w:sz w:val="15"/>
                <w:szCs w:val="15"/>
              </w:rPr>
              <w:t>48.61</w:t>
            </w:r>
          </w:p>
        </w:tc>
        <w:tc>
          <w:tcPr>
            <w:tcW w:w="763" w:type="dxa"/>
            <w:noWrap/>
            <w:vAlign w:val="center"/>
            <w:hideMark/>
          </w:tcPr>
          <w:p w14:paraId="1FFF7177" w14:textId="77777777" w:rsidR="00126D8D" w:rsidRPr="004A4899" w:rsidRDefault="00126D8D" w:rsidP="00820288">
            <w:pPr>
              <w:spacing w:line="240" w:lineRule="auto"/>
              <w:jc w:val="center"/>
              <w:rPr>
                <w:rFonts w:ascii="Times New Roman" w:hAnsi="Times New Roman" w:cs="Times New Roman"/>
                <w:color w:val="000000"/>
                <w:sz w:val="15"/>
                <w:szCs w:val="15"/>
              </w:rPr>
            </w:pPr>
            <w:r w:rsidRPr="004A4899">
              <w:rPr>
                <w:rFonts w:ascii="Times New Roman" w:hAnsi="Times New Roman" w:cs="Times New Roman"/>
                <w:color w:val="000000"/>
                <w:sz w:val="15"/>
                <w:szCs w:val="15"/>
              </w:rPr>
              <w:t>3.18</w:t>
            </w:r>
          </w:p>
        </w:tc>
        <w:tc>
          <w:tcPr>
            <w:tcW w:w="1478" w:type="dxa"/>
            <w:noWrap/>
            <w:vAlign w:val="center"/>
            <w:hideMark/>
          </w:tcPr>
          <w:p w14:paraId="25B0ACF0" w14:textId="77777777" w:rsidR="00126D8D" w:rsidRPr="004A4899" w:rsidRDefault="00126D8D" w:rsidP="00820288">
            <w:pPr>
              <w:spacing w:line="240" w:lineRule="auto"/>
              <w:jc w:val="center"/>
              <w:rPr>
                <w:rFonts w:ascii="Times New Roman" w:hAnsi="Times New Roman" w:cs="Times New Roman"/>
                <w:color w:val="000000"/>
                <w:sz w:val="15"/>
                <w:szCs w:val="15"/>
              </w:rPr>
            </w:pPr>
            <w:r w:rsidRPr="004A4899">
              <w:rPr>
                <w:rFonts w:ascii="Times New Roman" w:hAnsi="Times New Roman" w:cs="Times New Roman"/>
                <w:color w:val="000000"/>
                <w:sz w:val="15"/>
                <w:szCs w:val="15"/>
              </w:rPr>
              <w:t>1.81</w:t>
            </w:r>
          </w:p>
        </w:tc>
        <w:tc>
          <w:tcPr>
            <w:tcW w:w="92" w:type="dxa"/>
          </w:tcPr>
          <w:p w14:paraId="05E72A57" w14:textId="77777777" w:rsidR="00126D8D" w:rsidRPr="004A4899" w:rsidRDefault="00126D8D" w:rsidP="00820288">
            <w:pPr>
              <w:spacing w:line="240" w:lineRule="auto"/>
              <w:jc w:val="center"/>
              <w:rPr>
                <w:rFonts w:ascii="Times New Roman" w:hAnsi="Times New Roman" w:cs="Times New Roman"/>
                <w:color w:val="000000"/>
                <w:sz w:val="15"/>
                <w:szCs w:val="15"/>
              </w:rPr>
            </w:pPr>
          </w:p>
        </w:tc>
        <w:tc>
          <w:tcPr>
            <w:tcW w:w="837" w:type="dxa"/>
            <w:noWrap/>
            <w:vAlign w:val="center"/>
            <w:hideMark/>
          </w:tcPr>
          <w:p w14:paraId="104FF319" w14:textId="77777777" w:rsidR="00126D8D" w:rsidRPr="004A4899" w:rsidRDefault="00126D8D" w:rsidP="00820288">
            <w:pPr>
              <w:spacing w:line="240" w:lineRule="auto"/>
              <w:jc w:val="center"/>
              <w:rPr>
                <w:rFonts w:ascii="Times New Roman" w:hAnsi="Times New Roman" w:cs="Times New Roman"/>
                <w:color w:val="000000"/>
                <w:sz w:val="15"/>
                <w:szCs w:val="15"/>
              </w:rPr>
            </w:pPr>
            <w:r w:rsidRPr="004A4899">
              <w:rPr>
                <w:rFonts w:ascii="Times New Roman" w:hAnsi="Times New Roman" w:cs="Times New Roman"/>
                <w:color w:val="000000"/>
                <w:sz w:val="15"/>
                <w:szCs w:val="15"/>
              </w:rPr>
              <w:t>&lt;0.0001</w:t>
            </w:r>
          </w:p>
        </w:tc>
        <w:tc>
          <w:tcPr>
            <w:tcW w:w="763" w:type="dxa"/>
            <w:noWrap/>
            <w:vAlign w:val="center"/>
            <w:hideMark/>
          </w:tcPr>
          <w:p w14:paraId="662DAEFE" w14:textId="77777777" w:rsidR="00126D8D" w:rsidRPr="004A4899" w:rsidRDefault="00126D8D" w:rsidP="00820288">
            <w:pPr>
              <w:spacing w:line="240" w:lineRule="auto"/>
              <w:jc w:val="center"/>
              <w:rPr>
                <w:rFonts w:ascii="Times New Roman" w:hAnsi="Times New Roman" w:cs="Times New Roman"/>
                <w:color w:val="000000"/>
                <w:sz w:val="15"/>
                <w:szCs w:val="15"/>
              </w:rPr>
            </w:pPr>
            <w:r w:rsidRPr="004A4899">
              <w:rPr>
                <w:rFonts w:ascii="Times New Roman" w:hAnsi="Times New Roman" w:cs="Times New Roman"/>
                <w:color w:val="000000"/>
                <w:sz w:val="15"/>
                <w:szCs w:val="15"/>
              </w:rPr>
              <w:t>0.0004</w:t>
            </w:r>
          </w:p>
        </w:tc>
        <w:tc>
          <w:tcPr>
            <w:tcW w:w="1478" w:type="dxa"/>
            <w:noWrap/>
            <w:vAlign w:val="center"/>
            <w:hideMark/>
          </w:tcPr>
          <w:p w14:paraId="019F26DC" w14:textId="77777777" w:rsidR="00126D8D" w:rsidRPr="004A4899" w:rsidRDefault="00126D8D" w:rsidP="00820288">
            <w:pPr>
              <w:spacing w:line="240" w:lineRule="auto"/>
              <w:jc w:val="center"/>
              <w:rPr>
                <w:rFonts w:ascii="Times New Roman" w:hAnsi="Times New Roman" w:cs="Times New Roman"/>
                <w:color w:val="000000"/>
                <w:sz w:val="15"/>
                <w:szCs w:val="15"/>
              </w:rPr>
            </w:pPr>
            <w:r w:rsidRPr="004A4899">
              <w:rPr>
                <w:rFonts w:ascii="Times New Roman" w:hAnsi="Times New Roman" w:cs="Times New Roman"/>
                <w:color w:val="000000"/>
                <w:sz w:val="15"/>
                <w:szCs w:val="15"/>
              </w:rPr>
              <w:t>0.0048</w:t>
            </w:r>
          </w:p>
        </w:tc>
      </w:tr>
      <w:tr w:rsidR="00126D8D" w:rsidRPr="00747A19" w14:paraId="306F3C2A" w14:textId="77777777" w:rsidTr="00820288">
        <w:trPr>
          <w:trHeight w:val="144"/>
          <w:jc w:val="center"/>
        </w:trPr>
        <w:tc>
          <w:tcPr>
            <w:tcW w:w="1778" w:type="dxa"/>
            <w:noWrap/>
            <w:vAlign w:val="center"/>
            <w:hideMark/>
          </w:tcPr>
          <w:p w14:paraId="61DE66CD" w14:textId="77777777" w:rsidR="00126D8D" w:rsidRPr="004A4899" w:rsidRDefault="00126D8D" w:rsidP="00820288">
            <w:pPr>
              <w:spacing w:line="240" w:lineRule="auto"/>
              <w:rPr>
                <w:rFonts w:ascii="Times New Roman" w:hAnsi="Times New Roman" w:cs="Times New Roman"/>
                <w:color w:val="000000"/>
                <w:sz w:val="15"/>
                <w:szCs w:val="15"/>
              </w:rPr>
            </w:pPr>
            <w:r w:rsidRPr="004A4899">
              <w:rPr>
                <w:rFonts w:ascii="Times New Roman" w:hAnsi="Times New Roman" w:cs="Times New Roman"/>
                <w:color w:val="000000"/>
                <w:sz w:val="15"/>
                <w:szCs w:val="15"/>
              </w:rPr>
              <w:t>Citronellyl Acetate</w:t>
            </w:r>
          </w:p>
        </w:tc>
        <w:tc>
          <w:tcPr>
            <w:tcW w:w="1323" w:type="dxa"/>
            <w:noWrap/>
            <w:vAlign w:val="center"/>
            <w:hideMark/>
          </w:tcPr>
          <w:p w14:paraId="2C1AC1E2" w14:textId="77777777" w:rsidR="00126D8D" w:rsidRPr="004A4899" w:rsidRDefault="00126D8D" w:rsidP="00820288">
            <w:pPr>
              <w:spacing w:line="240" w:lineRule="auto"/>
              <w:jc w:val="center"/>
              <w:rPr>
                <w:rFonts w:ascii="Times New Roman" w:hAnsi="Times New Roman" w:cs="Times New Roman"/>
                <w:color w:val="000000"/>
                <w:sz w:val="15"/>
                <w:szCs w:val="15"/>
              </w:rPr>
            </w:pPr>
            <w:r w:rsidRPr="004A4899">
              <w:rPr>
                <w:rFonts w:ascii="Times New Roman" w:hAnsi="Times New Roman" w:cs="Times New Roman"/>
                <w:color w:val="000000"/>
                <w:sz w:val="15"/>
                <w:szCs w:val="15"/>
              </w:rPr>
              <w:t>150-84-5</w:t>
            </w:r>
          </w:p>
        </w:tc>
        <w:tc>
          <w:tcPr>
            <w:tcW w:w="837" w:type="dxa"/>
            <w:noWrap/>
            <w:vAlign w:val="center"/>
            <w:hideMark/>
          </w:tcPr>
          <w:p w14:paraId="198CB4CD" w14:textId="77777777" w:rsidR="00126D8D" w:rsidRPr="004A4899" w:rsidRDefault="00126D8D" w:rsidP="00820288">
            <w:pPr>
              <w:spacing w:line="240" w:lineRule="auto"/>
              <w:jc w:val="center"/>
              <w:rPr>
                <w:rFonts w:ascii="Times New Roman" w:hAnsi="Times New Roman" w:cs="Times New Roman"/>
                <w:color w:val="000000"/>
                <w:sz w:val="15"/>
                <w:szCs w:val="15"/>
              </w:rPr>
            </w:pPr>
            <w:r w:rsidRPr="004A4899">
              <w:rPr>
                <w:rFonts w:ascii="Times New Roman" w:hAnsi="Times New Roman" w:cs="Times New Roman"/>
                <w:color w:val="000000"/>
                <w:sz w:val="15"/>
                <w:szCs w:val="15"/>
              </w:rPr>
              <w:t>13.31</w:t>
            </w:r>
          </w:p>
        </w:tc>
        <w:tc>
          <w:tcPr>
            <w:tcW w:w="763" w:type="dxa"/>
            <w:noWrap/>
            <w:vAlign w:val="center"/>
            <w:hideMark/>
          </w:tcPr>
          <w:p w14:paraId="4600CAB4" w14:textId="77777777" w:rsidR="00126D8D" w:rsidRPr="004A4899" w:rsidRDefault="00126D8D" w:rsidP="00820288">
            <w:pPr>
              <w:spacing w:line="240" w:lineRule="auto"/>
              <w:jc w:val="center"/>
              <w:rPr>
                <w:rFonts w:ascii="Times New Roman" w:hAnsi="Times New Roman" w:cs="Times New Roman"/>
                <w:color w:val="000000"/>
                <w:sz w:val="15"/>
                <w:szCs w:val="15"/>
              </w:rPr>
            </w:pPr>
            <w:r w:rsidRPr="004A4899">
              <w:rPr>
                <w:rFonts w:ascii="Times New Roman" w:hAnsi="Times New Roman" w:cs="Times New Roman"/>
                <w:color w:val="000000"/>
                <w:sz w:val="15"/>
                <w:szCs w:val="15"/>
              </w:rPr>
              <w:t>2.70</w:t>
            </w:r>
          </w:p>
        </w:tc>
        <w:tc>
          <w:tcPr>
            <w:tcW w:w="1478" w:type="dxa"/>
            <w:noWrap/>
            <w:vAlign w:val="center"/>
            <w:hideMark/>
          </w:tcPr>
          <w:p w14:paraId="276D3801" w14:textId="77777777" w:rsidR="00126D8D" w:rsidRPr="004A4899" w:rsidRDefault="00126D8D" w:rsidP="00820288">
            <w:pPr>
              <w:spacing w:line="240" w:lineRule="auto"/>
              <w:jc w:val="center"/>
              <w:rPr>
                <w:rFonts w:ascii="Times New Roman" w:hAnsi="Times New Roman" w:cs="Times New Roman"/>
                <w:color w:val="000000"/>
                <w:sz w:val="15"/>
                <w:szCs w:val="15"/>
              </w:rPr>
            </w:pPr>
            <w:r w:rsidRPr="004A4899">
              <w:rPr>
                <w:rFonts w:ascii="Times New Roman" w:hAnsi="Times New Roman" w:cs="Times New Roman"/>
                <w:color w:val="000000"/>
                <w:sz w:val="15"/>
                <w:szCs w:val="15"/>
              </w:rPr>
              <w:t>1.75</w:t>
            </w:r>
          </w:p>
        </w:tc>
        <w:tc>
          <w:tcPr>
            <w:tcW w:w="92" w:type="dxa"/>
          </w:tcPr>
          <w:p w14:paraId="240A4553" w14:textId="77777777" w:rsidR="00126D8D" w:rsidRPr="004A4899" w:rsidRDefault="00126D8D" w:rsidP="00820288">
            <w:pPr>
              <w:spacing w:line="240" w:lineRule="auto"/>
              <w:jc w:val="center"/>
              <w:rPr>
                <w:rFonts w:ascii="Times New Roman" w:hAnsi="Times New Roman" w:cs="Times New Roman"/>
                <w:color w:val="000000"/>
                <w:sz w:val="15"/>
                <w:szCs w:val="15"/>
              </w:rPr>
            </w:pPr>
          </w:p>
        </w:tc>
        <w:tc>
          <w:tcPr>
            <w:tcW w:w="837" w:type="dxa"/>
            <w:noWrap/>
            <w:vAlign w:val="center"/>
            <w:hideMark/>
          </w:tcPr>
          <w:p w14:paraId="39123527" w14:textId="77777777" w:rsidR="00126D8D" w:rsidRPr="004A4899" w:rsidRDefault="00126D8D" w:rsidP="00820288">
            <w:pPr>
              <w:spacing w:line="240" w:lineRule="auto"/>
              <w:jc w:val="center"/>
              <w:rPr>
                <w:rFonts w:ascii="Times New Roman" w:hAnsi="Times New Roman" w:cs="Times New Roman"/>
                <w:color w:val="000000"/>
                <w:sz w:val="15"/>
                <w:szCs w:val="15"/>
              </w:rPr>
            </w:pPr>
            <w:r w:rsidRPr="004A4899">
              <w:rPr>
                <w:rFonts w:ascii="Times New Roman" w:hAnsi="Times New Roman" w:cs="Times New Roman"/>
                <w:color w:val="000000"/>
                <w:sz w:val="15"/>
                <w:szCs w:val="15"/>
              </w:rPr>
              <w:t>&lt;0.0001</w:t>
            </w:r>
          </w:p>
        </w:tc>
        <w:tc>
          <w:tcPr>
            <w:tcW w:w="763" w:type="dxa"/>
            <w:noWrap/>
            <w:vAlign w:val="center"/>
            <w:hideMark/>
          </w:tcPr>
          <w:p w14:paraId="0A8DF542" w14:textId="77777777" w:rsidR="00126D8D" w:rsidRPr="004A4899" w:rsidRDefault="00126D8D" w:rsidP="00820288">
            <w:pPr>
              <w:spacing w:line="240" w:lineRule="auto"/>
              <w:jc w:val="center"/>
              <w:rPr>
                <w:rFonts w:ascii="Times New Roman" w:hAnsi="Times New Roman" w:cs="Times New Roman"/>
                <w:color w:val="000000"/>
                <w:sz w:val="15"/>
                <w:szCs w:val="15"/>
              </w:rPr>
            </w:pPr>
            <w:r w:rsidRPr="004A4899">
              <w:rPr>
                <w:rFonts w:ascii="Times New Roman" w:hAnsi="Times New Roman" w:cs="Times New Roman"/>
                <w:color w:val="000000"/>
                <w:sz w:val="15"/>
                <w:szCs w:val="15"/>
              </w:rPr>
              <w:t>0.0024</w:t>
            </w:r>
          </w:p>
        </w:tc>
        <w:tc>
          <w:tcPr>
            <w:tcW w:w="1478" w:type="dxa"/>
            <w:noWrap/>
            <w:vAlign w:val="center"/>
            <w:hideMark/>
          </w:tcPr>
          <w:p w14:paraId="0306A186" w14:textId="77777777" w:rsidR="00126D8D" w:rsidRPr="004A4899" w:rsidRDefault="00126D8D" w:rsidP="00820288">
            <w:pPr>
              <w:spacing w:line="240" w:lineRule="auto"/>
              <w:jc w:val="center"/>
              <w:rPr>
                <w:rFonts w:ascii="Times New Roman" w:hAnsi="Times New Roman" w:cs="Times New Roman"/>
                <w:color w:val="000000"/>
                <w:sz w:val="15"/>
                <w:szCs w:val="15"/>
              </w:rPr>
            </w:pPr>
            <w:r w:rsidRPr="004A4899">
              <w:rPr>
                <w:rFonts w:ascii="Times New Roman" w:hAnsi="Times New Roman" w:cs="Times New Roman"/>
                <w:color w:val="000000"/>
                <w:sz w:val="15"/>
                <w:szCs w:val="15"/>
              </w:rPr>
              <w:t>0.0085</w:t>
            </w:r>
          </w:p>
        </w:tc>
      </w:tr>
      <w:tr w:rsidR="00126D8D" w:rsidRPr="00747A19" w14:paraId="58017B70" w14:textId="77777777" w:rsidTr="00820288">
        <w:trPr>
          <w:trHeight w:val="144"/>
          <w:jc w:val="center"/>
        </w:trPr>
        <w:tc>
          <w:tcPr>
            <w:tcW w:w="1778" w:type="dxa"/>
            <w:noWrap/>
            <w:vAlign w:val="center"/>
            <w:hideMark/>
          </w:tcPr>
          <w:p w14:paraId="3663F0BA" w14:textId="77777777" w:rsidR="00126D8D" w:rsidRPr="004A4899" w:rsidRDefault="00126D8D" w:rsidP="00820288">
            <w:pPr>
              <w:spacing w:line="240" w:lineRule="auto"/>
              <w:rPr>
                <w:rFonts w:ascii="Times New Roman" w:hAnsi="Times New Roman" w:cs="Times New Roman"/>
                <w:color w:val="000000"/>
                <w:sz w:val="15"/>
                <w:szCs w:val="15"/>
              </w:rPr>
            </w:pPr>
            <w:r w:rsidRPr="004A4899">
              <w:rPr>
                <w:rFonts w:ascii="Times New Roman" w:hAnsi="Times New Roman" w:cs="Times New Roman"/>
                <w:color w:val="000000"/>
                <w:sz w:val="15"/>
                <w:szCs w:val="15"/>
              </w:rPr>
              <w:t>Linalool</w:t>
            </w:r>
          </w:p>
        </w:tc>
        <w:tc>
          <w:tcPr>
            <w:tcW w:w="1323" w:type="dxa"/>
            <w:noWrap/>
            <w:vAlign w:val="center"/>
            <w:hideMark/>
          </w:tcPr>
          <w:p w14:paraId="3316D568" w14:textId="77777777" w:rsidR="00126D8D" w:rsidRPr="004A4899" w:rsidRDefault="00126D8D" w:rsidP="00820288">
            <w:pPr>
              <w:spacing w:line="240" w:lineRule="auto"/>
              <w:jc w:val="center"/>
              <w:rPr>
                <w:rFonts w:ascii="Times New Roman" w:hAnsi="Times New Roman" w:cs="Times New Roman"/>
                <w:color w:val="000000"/>
                <w:sz w:val="15"/>
                <w:szCs w:val="15"/>
              </w:rPr>
            </w:pPr>
            <w:r w:rsidRPr="004A4899">
              <w:rPr>
                <w:rFonts w:ascii="Times New Roman" w:hAnsi="Times New Roman" w:cs="Times New Roman"/>
                <w:color w:val="000000"/>
                <w:sz w:val="15"/>
                <w:szCs w:val="15"/>
              </w:rPr>
              <w:t>78-70-6</w:t>
            </w:r>
          </w:p>
        </w:tc>
        <w:tc>
          <w:tcPr>
            <w:tcW w:w="837" w:type="dxa"/>
            <w:noWrap/>
            <w:vAlign w:val="center"/>
            <w:hideMark/>
          </w:tcPr>
          <w:p w14:paraId="0E05B55A" w14:textId="77777777" w:rsidR="00126D8D" w:rsidRPr="004A4899" w:rsidRDefault="00126D8D" w:rsidP="00820288">
            <w:pPr>
              <w:spacing w:line="240" w:lineRule="auto"/>
              <w:jc w:val="center"/>
              <w:rPr>
                <w:rFonts w:ascii="Times New Roman" w:hAnsi="Times New Roman" w:cs="Times New Roman"/>
                <w:color w:val="000000"/>
                <w:sz w:val="15"/>
                <w:szCs w:val="15"/>
              </w:rPr>
            </w:pPr>
            <w:r w:rsidRPr="004A4899">
              <w:rPr>
                <w:rFonts w:ascii="Times New Roman" w:hAnsi="Times New Roman" w:cs="Times New Roman"/>
                <w:color w:val="000000"/>
                <w:sz w:val="15"/>
                <w:szCs w:val="15"/>
              </w:rPr>
              <w:t>47.53</w:t>
            </w:r>
          </w:p>
        </w:tc>
        <w:tc>
          <w:tcPr>
            <w:tcW w:w="763" w:type="dxa"/>
            <w:noWrap/>
            <w:vAlign w:val="center"/>
            <w:hideMark/>
          </w:tcPr>
          <w:p w14:paraId="0C0AE483" w14:textId="77777777" w:rsidR="00126D8D" w:rsidRPr="004A4899" w:rsidRDefault="00126D8D" w:rsidP="00820288">
            <w:pPr>
              <w:spacing w:line="240" w:lineRule="auto"/>
              <w:jc w:val="center"/>
              <w:rPr>
                <w:rFonts w:ascii="Times New Roman" w:hAnsi="Times New Roman" w:cs="Times New Roman"/>
                <w:color w:val="000000"/>
                <w:sz w:val="15"/>
                <w:szCs w:val="15"/>
              </w:rPr>
            </w:pPr>
            <w:r w:rsidRPr="004A4899">
              <w:rPr>
                <w:rFonts w:ascii="Times New Roman" w:hAnsi="Times New Roman" w:cs="Times New Roman"/>
                <w:color w:val="000000"/>
                <w:sz w:val="15"/>
                <w:szCs w:val="15"/>
              </w:rPr>
              <w:t>2.17</w:t>
            </w:r>
          </w:p>
        </w:tc>
        <w:tc>
          <w:tcPr>
            <w:tcW w:w="1478" w:type="dxa"/>
            <w:noWrap/>
            <w:vAlign w:val="center"/>
            <w:hideMark/>
          </w:tcPr>
          <w:p w14:paraId="18ED2C84" w14:textId="77777777" w:rsidR="00126D8D" w:rsidRPr="004A4899" w:rsidRDefault="00126D8D" w:rsidP="00820288">
            <w:pPr>
              <w:spacing w:line="240" w:lineRule="auto"/>
              <w:jc w:val="center"/>
              <w:rPr>
                <w:rFonts w:ascii="Times New Roman" w:hAnsi="Times New Roman" w:cs="Times New Roman"/>
                <w:color w:val="000000"/>
                <w:sz w:val="15"/>
                <w:szCs w:val="15"/>
              </w:rPr>
            </w:pPr>
            <w:r w:rsidRPr="004A4899">
              <w:rPr>
                <w:rFonts w:ascii="Times New Roman" w:hAnsi="Times New Roman" w:cs="Times New Roman"/>
                <w:color w:val="000000"/>
                <w:sz w:val="15"/>
                <w:szCs w:val="15"/>
              </w:rPr>
              <w:t>1.57</w:t>
            </w:r>
          </w:p>
        </w:tc>
        <w:tc>
          <w:tcPr>
            <w:tcW w:w="92" w:type="dxa"/>
          </w:tcPr>
          <w:p w14:paraId="5DD17CE6" w14:textId="77777777" w:rsidR="00126D8D" w:rsidRPr="004A4899" w:rsidRDefault="00126D8D" w:rsidP="00820288">
            <w:pPr>
              <w:spacing w:line="240" w:lineRule="auto"/>
              <w:jc w:val="center"/>
              <w:rPr>
                <w:rFonts w:ascii="Times New Roman" w:hAnsi="Times New Roman" w:cs="Times New Roman"/>
                <w:color w:val="000000"/>
                <w:sz w:val="15"/>
                <w:szCs w:val="15"/>
              </w:rPr>
            </w:pPr>
          </w:p>
        </w:tc>
        <w:tc>
          <w:tcPr>
            <w:tcW w:w="837" w:type="dxa"/>
            <w:noWrap/>
            <w:vAlign w:val="center"/>
            <w:hideMark/>
          </w:tcPr>
          <w:p w14:paraId="48B15F31" w14:textId="77777777" w:rsidR="00126D8D" w:rsidRPr="004A4899" w:rsidRDefault="00126D8D" w:rsidP="00820288">
            <w:pPr>
              <w:spacing w:line="240" w:lineRule="auto"/>
              <w:jc w:val="center"/>
              <w:rPr>
                <w:rFonts w:ascii="Times New Roman" w:hAnsi="Times New Roman" w:cs="Times New Roman"/>
                <w:color w:val="000000"/>
                <w:sz w:val="15"/>
                <w:szCs w:val="15"/>
              </w:rPr>
            </w:pPr>
            <w:r w:rsidRPr="004A4899">
              <w:rPr>
                <w:rFonts w:ascii="Times New Roman" w:hAnsi="Times New Roman" w:cs="Times New Roman"/>
                <w:color w:val="000000"/>
                <w:sz w:val="15"/>
                <w:szCs w:val="15"/>
              </w:rPr>
              <w:t>&lt;0.0001</w:t>
            </w:r>
          </w:p>
        </w:tc>
        <w:tc>
          <w:tcPr>
            <w:tcW w:w="763" w:type="dxa"/>
            <w:noWrap/>
            <w:vAlign w:val="center"/>
            <w:hideMark/>
          </w:tcPr>
          <w:p w14:paraId="579DBA42" w14:textId="77777777" w:rsidR="00126D8D" w:rsidRPr="004A4899" w:rsidRDefault="00126D8D" w:rsidP="00820288">
            <w:pPr>
              <w:spacing w:line="240" w:lineRule="auto"/>
              <w:jc w:val="center"/>
              <w:rPr>
                <w:rFonts w:ascii="Times New Roman" w:hAnsi="Times New Roman" w:cs="Times New Roman"/>
                <w:color w:val="000000"/>
                <w:sz w:val="15"/>
                <w:szCs w:val="15"/>
              </w:rPr>
            </w:pPr>
            <w:r w:rsidRPr="004A4899">
              <w:rPr>
                <w:rFonts w:ascii="Times New Roman" w:hAnsi="Times New Roman" w:cs="Times New Roman"/>
                <w:color w:val="000000"/>
                <w:sz w:val="15"/>
                <w:szCs w:val="15"/>
              </w:rPr>
              <w:t>0.0152</w:t>
            </w:r>
          </w:p>
        </w:tc>
        <w:tc>
          <w:tcPr>
            <w:tcW w:w="1478" w:type="dxa"/>
            <w:noWrap/>
            <w:vAlign w:val="center"/>
            <w:hideMark/>
          </w:tcPr>
          <w:p w14:paraId="58FF5F8D" w14:textId="77777777" w:rsidR="00126D8D" w:rsidRPr="004A4899" w:rsidRDefault="00126D8D" w:rsidP="00820288">
            <w:pPr>
              <w:spacing w:line="240" w:lineRule="auto"/>
              <w:jc w:val="center"/>
              <w:rPr>
                <w:rFonts w:ascii="Times New Roman" w:hAnsi="Times New Roman" w:cs="Times New Roman"/>
                <w:color w:val="000000"/>
                <w:sz w:val="15"/>
                <w:szCs w:val="15"/>
              </w:rPr>
            </w:pPr>
            <w:r w:rsidRPr="004A4899">
              <w:rPr>
                <w:rFonts w:ascii="Times New Roman" w:hAnsi="Times New Roman" w:cs="Times New Roman"/>
                <w:color w:val="000000"/>
                <w:sz w:val="15"/>
                <w:szCs w:val="15"/>
              </w:rPr>
              <w:t>0.0262</w:t>
            </w:r>
          </w:p>
        </w:tc>
      </w:tr>
      <w:tr w:rsidR="00126D8D" w:rsidRPr="00747A19" w14:paraId="5404DB8D" w14:textId="77777777" w:rsidTr="00820288">
        <w:trPr>
          <w:trHeight w:val="144"/>
          <w:jc w:val="center"/>
        </w:trPr>
        <w:tc>
          <w:tcPr>
            <w:tcW w:w="1778" w:type="dxa"/>
            <w:noWrap/>
            <w:vAlign w:val="center"/>
            <w:hideMark/>
          </w:tcPr>
          <w:p w14:paraId="4BE96203" w14:textId="77777777" w:rsidR="00126D8D" w:rsidRPr="004A4899" w:rsidRDefault="00126D8D" w:rsidP="00820288">
            <w:pPr>
              <w:spacing w:line="240" w:lineRule="auto"/>
              <w:rPr>
                <w:rFonts w:ascii="Times New Roman" w:hAnsi="Times New Roman" w:cs="Times New Roman"/>
                <w:color w:val="000000"/>
                <w:sz w:val="15"/>
                <w:szCs w:val="15"/>
              </w:rPr>
            </w:pPr>
            <w:r w:rsidRPr="004A4899">
              <w:rPr>
                <w:rFonts w:ascii="Times New Roman" w:hAnsi="Times New Roman" w:cs="Times New Roman"/>
                <w:color w:val="000000"/>
                <w:sz w:val="15"/>
                <w:szCs w:val="15"/>
              </w:rPr>
              <w:t>trans-β-Ocimene</w:t>
            </w:r>
          </w:p>
        </w:tc>
        <w:tc>
          <w:tcPr>
            <w:tcW w:w="1323" w:type="dxa"/>
            <w:noWrap/>
            <w:vAlign w:val="center"/>
            <w:hideMark/>
          </w:tcPr>
          <w:p w14:paraId="5361DD43" w14:textId="77777777" w:rsidR="00126D8D" w:rsidRPr="004A4899" w:rsidRDefault="00126D8D" w:rsidP="00820288">
            <w:pPr>
              <w:spacing w:line="240" w:lineRule="auto"/>
              <w:jc w:val="center"/>
              <w:rPr>
                <w:rFonts w:ascii="Times New Roman" w:hAnsi="Times New Roman" w:cs="Times New Roman"/>
                <w:color w:val="000000"/>
                <w:sz w:val="15"/>
                <w:szCs w:val="15"/>
              </w:rPr>
            </w:pPr>
            <w:r w:rsidRPr="004A4899">
              <w:rPr>
                <w:rFonts w:ascii="Times New Roman" w:hAnsi="Times New Roman" w:cs="Times New Roman"/>
                <w:color w:val="000000"/>
                <w:sz w:val="15"/>
                <w:szCs w:val="15"/>
              </w:rPr>
              <w:t>3779-61-1</w:t>
            </w:r>
          </w:p>
        </w:tc>
        <w:tc>
          <w:tcPr>
            <w:tcW w:w="837" w:type="dxa"/>
            <w:noWrap/>
            <w:vAlign w:val="center"/>
            <w:hideMark/>
          </w:tcPr>
          <w:p w14:paraId="6C723AD0" w14:textId="77777777" w:rsidR="00126D8D" w:rsidRPr="004A4899" w:rsidRDefault="00126D8D" w:rsidP="00820288">
            <w:pPr>
              <w:spacing w:line="240" w:lineRule="auto"/>
              <w:jc w:val="center"/>
              <w:rPr>
                <w:rFonts w:ascii="Times New Roman" w:hAnsi="Times New Roman" w:cs="Times New Roman"/>
                <w:color w:val="000000"/>
                <w:sz w:val="15"/>
                <w:szCs w:val="15"/>
              </w:rPr>
            </w:pPr>
            <w:r w:rsidRPr="004A4899">
              <w:rPr>
                <w:rFonts w:ascii="Times New Roman" w:hAnsi="Times New Roman" w:cs="Times New Roman"/>
                <w:color w:val="000000"/>
                <w:sz w:val="15"/>
                <w:szCs w:val="15"/>
              </w:rPr>
              <w:t>80.44</w:t>
            </w:r>
          </w:p>
        </w:tc>
        <w:tc>
          <w:tcPr>
            <w:tcW w:w="763" w:type="dxa"/>
            <w:noWrap/>
            <w:vAlign w:val="center"/>
            <w:hideMark/>
          </w:tcPr>
          <w:p w14:paraId="754737D8" w14:textId="77777777" w:rsidR="00126D8D" w:rsidRPr="004A4899" w:rsidRDefault="00126D8D" w:rsidP="00820288">
            <w:pPr>
              <w:spacing w:line="240" w:lineRule="auto"/>
              <w:jc w:val="center"/>
              <w:rPr>
                <w:rFonts w:ascii="Times New Roman" w:hAnsi="Times New Roman" w:cs="Times New Roman"/>
                <w:color w:val="000000"/>
                <w:sz w:val="15"/>
                <w:szCs w:val="15"/>
              </w:rPr>
            </w:pPr>
            <w:r w:rsidRPr="004A4899">
              <w:rPr>
                <w:rFonts w:ascii="Times New Roman" w:hAnsi="Times New Roman" w:cs="Times New Roman"/>
                <w:color w:val="000000"/>
                <w:sz w:val="15"/>
                <w:szCs w:val="15"/>
              </w:rPr>
              <w:t>6.97</w:t>
            </w:r>
          </w:p>
        </w:tc>
        <w:tc>
          <w:tcPr>
            <w:tcW w:w="1478" w:type="dxa"/>
            <w:noWrap/>
            <w:vAlign w:val="center"/>
            <w:hideMark/>
          </w:tcPr>
          <w:p w14:paraId="48364417" w14:textId="77777777" w:rsidR="00126D8D" w:rsidRPr="004A4899" w:rsidRDefault="00126D8D" w:rsidP="00820288">
            <w:pPr>
              <w:spacing w:line="240" w:lineRule="auto"/>
              <w:jc w:val="center"/>
              <w:rPr>
                <w:rFonts w:ascii="Times New Roman" w:hAnsi="Times New Roman" w:cs="Times New Roman"/>
                <w:color w:val="000000"/>
                <w:sz w:val="15"/>
                <w:szCs w:val="15"/>
              </w:rPr>
            </w:pPr>
            <w:r w:rsidRPr="004A4899">
              <w:rPr>
                <w:rFonts w:ascii="Times New Roman" w:hAnsi="Times New Roman" w:cs="Times New Roman"/>
                <w:color w:val="000000"/>
                <w:sz w:val="15"/>
                <w:szCs w:val="15"/>
              </w:rPr>
              <w:t>3.19</w:t>
            </w:r>
          </w:p>
        </w:tc>
        <w:tc>
          <w:tcPr>
            <w:tcW w:w="92" w:type="dxa"/>
          </w:tcPr>
          <w:p w14:paraId="64DF127A" w14:textId="77777777" w:rsidR="00126D8D" w:rsidRPr="004A4899" w:rsidRDefault="00126D8D" w:rsidP="00820288">
            <w:pPr>
              <w:spacing w:line="240" w:lineRule="auto"/>
              <w:jc w:val="center"/>
              <w:rPr>
                <w:rFonts w:ascii="Times New Roman" w:hAnsi="Times New Roman" w:cs="Times New Roman"/>
                <w:color w:val="000000"/>
                <w:sz w:val="15"/>
                <w:szCs w:val="15"/>
              </w:rPr>
            </w:pPr>
          </w:p>
        </w:tc>
        <w:tc>
          <w:tcPr>
            <w:tcW w:w="837" w:type="dxa"/>
            <w:noWrap/>
            <w:vAlign w:val="center"/>
            <w:hideMark/>
          </w:tcPr>
          <w:p w14:paraId="5CD4B047" w14:textId="77777777" w:rsidR="00126D8D" w:rsidRPr="004A4899" w:rsidRDefault="00126D8D" w:rsidP="00820288">
            <w:pPr>
              <w:spacing w:line="240" w:lineRule="auto"/>
              <w:jc w:val="center"/>
              <w:rPr>
                <w:rFonts w:ascii="Times New Roman" w:hAnsi="Times New Roman" w:cs="Times New Roman"/>
                <w:color w:val="000000"/>
                <w:sz w:val="15"/>
                <w:szCs w:val="15"/>
              </w:rPr>
            </w:pPr>
            <w:r w:rsidRPr="004A4899">
              <w:rPr>
                <w:rFonts w:ascii="Times New Roman" w:hAnsi="Times New Roman" w:cs="Times New Roman"/>
                <w:color w:val="000000"/>
                <w:sz w:val="15"/>
                <w:szCs w:val="15"/>
              </w:rPr>
              <w:t>&lt;0.0001</w:t>
            </w:r>
          </w:p>
        </w:tc>
        <w:tc>
          <w:tcPr>
            <w:tcW w:w="763" w:type="dxa"/>
            <w:noWrap/>
            <w:vAlign w:val="center"/>
            <w:hideMark/>
          </w:tcPr>
          <w:p w14:paraId="667B8B74" w14:textId="77777777" w:rsidR="00126D8D" w:rsidRPr="004A4899" w:rsidRDefault="00126D8D" w:rsidP="00820288">
            <w:pPr>
              <w:spacing w:line="240" w:lineRule="auto"/>
              <w:jc w:val="center"/>
              <w:rPr>
                <w:rFonts w:ascii="Times New Roman" w:hAnsi="Times New Roman" w:cs="Times New Roman"/>
                <w:color w:val="000000"/>
                <w:sz w:val="15"/>
                <w:szCs w:val="15"/>
              </w:rPr>
            </w:pPr>
            <w:r w:rsidRPr="004A4899">
              <w:rPr>
                <w:rFonts w:ascii="Times New Roman" w:hAnsi="Times New Roman" w:cs="Times New Roman"/>
                <w:color w:val="000000"/>
                <w:sz w:val="15"/>
                <w:szCs w:val="15"/>
              </w:rPr>
              <w:t>&lt;0.0001</w:t>
            </w:r>
          </w:p>
        </w:tc>
        <w:tc>
          <w:tcPr>
            <w:tcW w:w="1478" w:type="dxa"/>
            <w:noWrap/>
            <w:vAlign w:val="center"/>
            <w:hideMark/>
          </w:tcPr>
          <w:p w14:paraId="2CA1BE0E" w14:textId="77777777" w:rsidR="00126D8D" w:rsidRPr="004A4899" w:rsidRDefault="00126D8D" w:rsidP="00820288">
            <w:pPr>
              <w:spacing w:line="240" w:lineRule="auto"/>
              <w:jc w:val="center"/>
              <w:rPr>
                <w:rFonts w:ascii="Times New Roman" w:hAnsi="Times New Roman" w:cs="Times New Roman"/>
                <w:color w:val="000000"/>
                <w:sz w:val="15"/>
                <w:szCs w:val="15"/>
              </w:rPr>
            </w:pPr>
            <w:r w:rsidRPr="004A4899">
              <w:rPr>
                <w:rFonts w:ascii="Times New Roman" w:hAnsi="Times New Roman" w:cs="Times New Roman"/>
                <w:color w:val="000000"/>
                <w:sz w:val="15"/>
                <w:szCs w:val="15"/>
              </w:rPr>
              <w:t>&lt;0.0001</w:t>
            </w:r>
          </w:p>
        </w:tc>
      </w:tr>
      <w:tr w:rsidR="00126D8D" w:rsidRPr="00747A19" w14:paraId="3C0E10A3" w14:textId="77777777" w:rsidTr="00820288">
        <w:trPr>
          <w:trHeight w:val="144"/>
          <w:jc w:val="center"/>
        </w:trPr>
        <w:tc>
          <w:tcPr>
            <w:tcW w:w="1778" w:type="dxa"/>
            <w:noWrap/>
            <w:vAlign w:val="center"/>
            <w:hideMark/>
          </w:tcPr>
          <w:p w14:paraId="5967A077" w14:textId="77777777" w:rsidR="00126D8D" w:rsidRPr="004A4899" w:rsidRDefault="00126D8D" w:rsidP="00820288">
            <w:pPr>
              <w:spacing w:line="240" w:lineRule="auto"/>
              <w:rPr>
                <w:rFonts w:ascii="Times New Roman" w:hAnsi="Times New Roman" w:cs="Times New Roman"/>
                <w:color w:val="000000"/>
                <w:sz w:val="15"/>
                <w:szCs w:val="15"/>
              </w:rPr>
            </w:pPr>
            <w:r w:rsidRPr="004A4899">
              <w:rPr>
                <w:rFonts w:ascii="Times New Roman" w:hAnsi="Times New Roman" w:cs="Times New Roman"/>
                <w:color w:val="000000"/>
                <w:sz w:val="15"/>
                <w:szCs w:val="15"/>
              </w:rPr>
              <w:t>α-Ocimene</w:t>
            </w:r>
          </w:p>
        </w:tc>
        <w:tc>
          <w:tcPr>
            <w:tcW w:w="1323" w:type="dxa"/>
            <w:noWrap/>
            <w:vAlign w:val="center"/>
            <w:hideMark/>
          </w:tcPr>
          <w:p w14:paraId="7783D2D0" w14:textId="77777777" w:rsidR="00126D8D" w:rsidRPr="004A4899" w:rsidRDefault="00126D8D" w:rsidP="00820288">
            <w:pPr>
              <w:spacing w:line="240" w:lineRule="auto"/>
              <w:jc w:val="center"/>
              <w:rPr>
                <w:rFonts w:ascii="Times New Roman" w:hAnsi="Times New Roman" w:cs="Times New Roman"/>
                <w:color w:val="000000"/>
                <w:sz w:val="15"/>
                <w:szCs w:val="15"/>
              </w:rPr>
            </w:pPr>
            <w:r w:rsidRPr="004A4899">
              <w:rPr>
                <w:rFonts w:ascii="Times New Roman" w:hAnsi="Times New Roman" w:cs="Times New Roman"/>
                <w:color w:val="000000"/>
                <w:sz w:val="15"/>
                <w:szCs w:val="15"/>
              </w:rPr>
              <w:t>6874-44-8</w:t>
            </w:r>
          </w:p>
        </w:tc>
        <w:tc>
          <w:tcPr>
            <w:tcW w:w="837" w:type="dxa"/>
            <w:noWrap/>
            <w:vAlign w:val="center"/>
            <w:hideMark/>
          </w:tcPr>
          <w:p w14:paraId="173B70BF" w14:textId="77777777" w:rsidR="00126D8D" w:rsidRPr="004A4899" w:rsidRDefault="00126D8D" w:rsidP="00820288">
            <w:pPr>
              <w:spacing w:line="240" w:lineRule="auto"/>
              <w:jc w:val="center"/>
              <w:rPr>
                <w:rFonts w:ascii="Times New Roman" w:hAnsi="Times New Roman" w:cs="Times New Roman"/>
                <w:color w:val="000000"/>
                <w:sz w:val="15"/>
                <w:szCs w:val="15"/>
              </w:rPr>
            </w:pPr>
            <w:r w:rsidRPr="004A4899">
              <w:rPr>
                <w:rFonts w:ascii="Times New Roman" w:hAnsi="Times New Roman" w:cs="Times New Roman"/>
                <w:color w:val="000000"/>
                <w:sz w:val="15"/>
                <w:szCs w:val="15"/>
              </w:rPr>
              <w:t>195.03</w:t>
            </w:r>
          </w:p>
        </w:tc>
        <w:tc>
          <w:tcPr>
            <w:tcW w:w="763" w:type="dxa"/>
            <w:noWrap/>
            <w:vAlign w:val="center"/>
            <w:hideMark/>
          </w:tcPr>
          <w:p w14:paraId="5E611A8A" w14:textId="77777777" w:rsidR="00126D8D" w:rsidRPr="004A4899" w:rsidRDefault="00126D8D" w:rsidP="00820288">
            <w:pPr>
              <w:spacing w:line="240" w:lineRule="auto"/>
              <w:jc w:val="center"/>
              <w:rPr>
                <w:rFonts w:ascii="Times New Roman" w:hAnsi="Times New Roman" w:cs="Times New Roman"/>
                <w:color w:val="000000"/>
                <w:sz w:val="15"/>
                <w:szCs w:val="15"/>
              </w:rPr>
            </w:pPr>
            <w:r w:rsidRPr="004A4899">
              <w:rPr>
                <w:rFonts w:ascii="Times New Roman" w:hAnsi="Times New Roman" w:cs="Times New Roman"/>
                <w:color w:val="000000"/>
                <w:sz w:val="15"/>
                <w:szCs w:val="15"/>
              </w:rPr>
              <w:t>1.29</w:t>
            </w:r>
          </w:p>
        </w:tc>
        <w:tc>
          <w:tcPr>
            <w:tcW w:w="1478" w:type="dxa"/>
            <w:noWrap/>
            <w:vAlign w:val="center"/>
            <w:hideMark/>
          </w:tcPr>
          <w:p w14:paraId="4E440117" w14:textId="77777777" w:rsidR="00126D8D" w:rsidRPr="004A4899" w:rsidRDefault="00126D8D" w:rsidP="00820288">
            <w:pPr>
              <w:spacing w:line="240" w:lineRule="auto"/>
              <w:jc w:val="center"/>
              <w:rPr>
                <w:rFonts w:ascii="Times New Roman" w:hAnsi="Times New Roman" w:cs="Times New Roman"/>
                <w:color w:val="000000"/>
                <w:sz w:val="15"/>
                <w:szCs w:val="15"/>
              </w:rPr>
            </w:pPr>
            <w:r w:rsidRPr="004A4899">
              <w:rPr>
                <w:rFonts w:ascii="Times New Roman" w:hAnsi="Times New Roman" w:cs="Times New Roman"/>
                <w:color w:val="000000"/>
                <w:sz w:val="15"/>
                <w:szCs w:val="15"/>
              </w:rPr>
              <w:t>2.00</w:t>
            </w:r>
          </w:p>
        </w:tc>
        <w:tc>
          <w:tcPr>
            <w:tcW w:w="92" w:type="dxa"/>
          </w:tcPr>
          <w:p w14:paraId="21EAAAD8" w14:textId="77777777" w:rsidR="00126D8D" w:rsidRPr="004A4899" w:rsidRDefault="00126D8D" w:rsidP="00820288">
            <w:pPr>
              <w:spacing w:line="240" w:lineRule="auto"/>
              <w:jc w:val="center"/>
              <w:rPr>
                <w:rFonts w:ascii="Times New Roman" w:hAnsi="Times New Roman" w:cs="Times New Roman"/>
                <w:color w:val="000000"/>
                <w:sz w:val="15"/>
                <w:szCs w:val="15"/>
              </w:rPr>
            </w:pPr>
          </w:p>
        </w:tc>
        <w:tc>
          <w:tcPr>
            <w:tcW w:w="837" w:type="dxa"/>
            <w:noWrap/>
            <w:vAlign w:val="center"/>
            <w:hideMark/>
          </w:tcPr>
          <w:p w14:paraId="42A8F1FE" w14:textId="77777777" w:rsidR="00126D8D" w:rsidRPr="004A4899" w:rsidRDefault="00126D8D" w:rsidP="00820288">
            <w:pPr>
              <w:spacing w:line="240" w:lineRule="auto"/>
              <w:jc w:val="center"/>
              <w:rPr>
                <w:rFonts w:ascii="Times New Roman" w:hAnsi="Times New Roman" w:cs="Times New Roman"/>
                <w:color w:val="000000"/>
                <w:sz w:val="15"/>
                <w:szCs w:val="15"/>
              </w:rPr>
            </w:pPr>
            <w:r w:rsidRPr="004A4899">
              <w:rPr>
                <w:rFonts w:ascii="Times New Roman" w:hAnsi="Times New Roman" w:cs="Times New Roman"/>
                <w:color w:val="000000"/>
                <w:sz w:val="15"/>
                <w:szCs w:val="15"/>
              </w:rPr>
              <w:t>&lt;0.0001</w:t>
            </w:r>
          </w:p>
        </w:tc>
        <w:tc>
          <w:tcPr>
            <w:tcW w:w="763" w:type="dxa"/>
            <w:noWrap/>
            <w:vAlign w:val="center"/>
            <w:hideMark/>
          </w:tcPr>
          <w:p w14:paraId="665868B9" w14:textId="77777777" w:rsidR="00126D8D" w:rsidRPr="004A4899" w:rsidRDefault="00126D8D" w:rsidP="00820288">
            <w:pPr>
              <w:spacing w:line="240" w:lineRule="auto"/>
              <w:jc w:val="center"/>
              <w:rPr>
                <w:rFonts w:ascii="Times New Roman" w:hAnsi="Times New Roman" w:cs="Times New Roman"/>
                <w:color w:val="000000"/>
                <w:sz w:val="15"/>
                <w:szCs w:val="15"/>
              </w:rPr>
            </w:pPr>
            <w:r w:rsidRPr="004A4899">
              <w:rPr>
                <w:rFonts w:ascii="Times New Roman" w:hAnsi="Times New Roman" w:cs="Times New Roman"/>
                <w:color w:val="000000"/>
                <w:sz w:val="15"/>
                <w:szCs w:val="15"/>
              </w:rPr>
              <w:t>0.2295</w:t>
            </w:r>
          </w:p>
        </w:tc>
        <w:tc>
          <w:tcPr>
            <w:tcW w:w="1478" w:type="dxa"/>
            <w:noWrap/>
            <w:vAlign w:val="center"/>
            <w:hideMark/>
          </w:tcPr>
          <w:p w14:paraId="68B67E09" w14:textId="77777777" w:rsidR="00126D8D" w:rsidRPr="004A4899" w:rsidRDefault="00126D8D" w:rsidP="00820288">
            <w:pPr>
              <w:spacing w:line="240" w:lineRule="auto"/>
              <w:jc w:val="center"/>
              <w:rPr>
                <w:rFonts w:ascii="Times New Roman" w:hAnsi="Times New Roman" w:cs="Times New Roman"/>
                <w:color w:val="000000"/>
                <w:sz w:val="15"/>
                <w:szCs w:val="15"/>
              </w:rPr>
            </w:pPr>
            <w:r w:rsidRPr="004A4899">
              <w:rPr>
                <w:rFonts w:ascii="Times New Roman" w:hAnsi="Times New Roman" w:cs="Times New Roman"/>
                <w:color w:val="000000"/>
                <w:sz w:val="15"/>
                <w:szCs w:val="15"/>
              </w:rPr>
              <w:t>0.0011</w:t>
            </w:r>
          </w:p>
        </w:tc>
      </w:tr>
      <w:tr w:rsidR="00126D8D" w:rsidRPr="00747A19" w14:paraId="5BB2B706" w14:textId="77777777" w:rsidTr="00820288">
        <w:trPr>
          <w:trHeight w:val="144"/>
          <w:jc w:val="center"/>
        </w:trPr>
        <w:tc>
          <w:tcPr>
            <w:tcW w:w="1778" w:type="dxa"/>
            <w:noWrap/>
            <w:vAlign w:val="center"/>
            <w:hideMark/>
          </w:tcPr>
          <w:p w14:paraId="02A1103D" w14:textId="77777777" w:rsidR="00126D8D" w:rsidRPr="004A4899" w:rsidRDefault="00126D8D" w:rsidP="00820288">
            <w:pPr>
              <w:spacing w:line="240" w:lineRule="auto"/>
              <w:rPr>
                <w:rFonts w:ascii="Times New Roman" w:hAnsi="Times New Roman" w:cs="Times New Roman"/>
                <w:color w:val="000000"/>
                <w:sz w:val="15"/>
                <w:szCs w:val="15"/>
              </w:rPr>
            </w:pPr>
            <w:r w:rsidRPr="004A4899">
              <w:rPr>
                <w:rFonts w:ascii="Times New Roman" w:hAnsi="Times New Roman" w:cs="Times New Roman"/>
                <w:color w:val="000000"/>
                <w:sz w:val="15"/>
                <w:szCs w:val="15"/>
              </w:rPr>
              <w:t>β-Myrcene</w:t>
            </w:r>
          </w:p>
        </w:tc>
        <w:tc>
          <w:tcPr>
            <w:tcW w:w="1323" w:type="dxa"/>
            <w:noWrap/>
            <w:vAlign w:val="center"/>
            <w:hideMark/>
          </w:tcPr>
          <w:p w14:paraId="77F8B186" w14:textId="77777777" w:rsidR="00126D8D" w:rsidRPr="004A4899" w:rsidRDefault="00126D8D" w:rsidP="00820288">
            <w:pPr>
              <w:spacing w:line="240" w:lineRule="auto"/>
              <w:jc w:val="center"/>
              <w:rPr>
                <w:rFonts w:ascii="Times New Roman" w:hAnsi="Times New Roman" w:cs="Times New Roman"/>
                <w:color w:val="000000"/>
                <w:sz w:val="15"/>
                <w:szCs w:val="15"/>
              </w:rPr>
            </w:pPr>
            <w:r w:rsidRPr="004A4899">
              <w:rPr>
                <w:rFonts w:ascii="Times New Roman" w:hAnsi="Times New Roman" w:cs="Times New Roman"/>
                <w:color w:val="000000"/>
                <w:sz w:val="15"/>
                <w:szCs w:val="15"/>
              </w:rPr>
              <w:t>123-35-3</w:t>
            </w:r>
          </w:p>
        </w:tc>
        <w:tc>
          <w:tcPr>
            <w:tcW w:w="837" w:type="dxa"/>
            <w:noWrap/>
            <w:vAlign w:val="center"/>
            <w:hideMark/>
          </w:tcPr>
          <w:p w14:paraId="1ABF58D2" w14:textId="77777777" w:rsidR="00126D8D" w:rsidRPr="004A4899" w:rsidRDefault="00126D8D" w:rsidP="00820288">
            <w:pPr>
              <w:spacing w:line="240" w:lineRule="auto"/>
              <w:jc w:val="center"/>
              <w:rPr>
                <w:rFonts w:ascii="Times New Roman" w:hAnsi="Times New Roman" w:cs="Times New Roman"/>
                <w:color w:val="000000"/>
                <w:sz w:val="15"/>
                <w:szCs w:val="15"/>
              </w:rPr>
            </w:pPr>
            <w:r w:rsidRPr="004A4899">
              <w:rPr>
                <w:rFonts w:ascii="Times New Roman" w:hAnsi="Times New Roman" w:cs="Times New Roman"/>
                <w:color w:val="000000"/>
                <w:sz w:val="15"/>
                <w:szCs w:val="15"/>
              </w:rPr>
              <w:t>268.90</w:t>
            </w:r>
          </w:p>
        </w:tc>
        <w:tc>
          <w:tcPr>
            <w:tcW w:w="763" w:type="dxa"/>
            <w:noWrap/>
            <w:vAlign w:val="center"/>
            <w:hideMark/>
          </w:tcPr>
          <w:p w14:paraId="39BF3380" w14:textId="77777777" w:rsidR="00126D8D" w:rsidRPr="004A4899" w:rsidRDefault="00126D8D" w:rsidP="00820288">
            <w:pPr>
              <w:spacing w:line="240" w:lineRule="auto"/>
              <w:jc w:val="center"/>
              <w:rPr>
                <w:rFonts w:ascii="Times New Roman" w:hAnsi="Times New Roman" w:cs="Times New Roman"/>
                <w:color w:val="000000"/>
                <w:sz w:val="15"/>
                <w:szCs w:val="15"/>
              </w:rPr>
            </w:pPr>
            <w:r w:rsidRPr="004A4899">
              <w:rPr>
                <w:rFonts w:ascii="Times New Roman" w:hAnsi="Times New Roman" w:cs="Times New Roman"/>
                <w:color w:val="000000"/>
                <w:sz w:val="15"/>
                <w:szCs w:val="15"/>
              </w:rPr>
              <w:t>5.15</w:t>
            </w:r>
          </w:p>
        </w:tc>
        <w:tc>
          <w:tcPr>
            <w:tcW w:w="1478" w:type="dxa"/>
            <w:noWrap/>
            <w:vAlign w:val="center"/>
            <w:hideMark/>
          </w:tcPr>
          <w:p w14:paraId="77278CB7" w14:textId="77777777" w:rsidR="00126D8D" w:rsidRPr="004A4899" w:rsidRDefault="00126D8D" w:rsidP="00820288">
            <w:pPr>
              <w:spacing w:line="240" w:lineRule="auto"/>
              <w:jc w:val="center"/>
              <w:rPr>
                <w:rFonts w:ascii="Times New Roman" w:hAnsi="Times New Roman" w:cs="Times New Roman"/>
                <w:color w:val="000000"/>
                <w:sz w:val="15"/>
                <w:szCs w:val="15"/>
              </w:rPr>
            </w:pPr>
            <w:r w:rsidRPr="004A4899">
              <w:rPr>
                <w:rFonts w:ascii="Times New Roman" w:hAnsi="Times New Roman" w:cs="Times New Roman"/>
                <w:color w:val="000000"/>
                <w:sz w:val="15"/>
                <w:szCs w:val="15"/>
              </w:rPr>
              <w:t>2.83</w:t>
            </w:r>
          </w:p>
        </w:tc>
        <w:tc>
          <w:tcPr>
            <w:tcW w:w="92" w:type="dxa"/>
          </w:tcPr>
          <w:p w14:paraId="434E32CE" w14:textId="77777777" w:rsidR="00126D8D" w:rsidRPr="004A4899" w:rsidRDefault="00126D8D" w:rsidP="00820288">
            <w:pPr>
              <w:spacing w:line="240" w:lineRule="auto"/>
              <w:jc w:val="center"/>
              <w:rPr>
                <w:rFonts w:ascii="Times New Roman" w:hAnsi="Times New Roman" w:cs="Times New Roman"/>
                <w:color w:val="000000"/>
                <w:sz w:val="15"/>
                <w:szCs w:val="15"/>
              </w:rPr>
            </w:pPr>
          </w:p>
        </w:tc>
        <w:tc>
          <w:tcPr>
            <w:tcW w:w="837" w:type="dxa"/>
            <w:noWrap/>
            <w:vAlign w:val="center"/>
            <w:hideMark/>
          </w:tcPr>
          <w:p w14:paraId="29FFD916" w14:textId="77777777" w:rsidR="00126D8D" w:rsidRPr="004A4899" w:rsidRDefault="00126D8D" w:rsidP="00820288">
            <w:pPr>
              <w:spacing w:line="240" w:lineRule="auto"/>
              <w:jc w:val="center"/>
              <w:rPr>
                <w:rFonts w:ascii="Times New Roman" w:hAnsi="Times New Roman" w:cs="Times New Roman"/>
                <w:color w:val="000000"/>
                <w:sz w:val="15"/>
                <w:szCs w:val="15"/>
              </w:rPr>
            </w:pPr>
            <w:r w:rsidRPr="004A4899">
              <w:rPr>
                <w:rFonts w:ascii="Times New Roman" w:hAnsi="Times New Roman" w:cs="Times New Roman"/>
                <w:color w:val="000000"/>
                <w:sz w:val="15"/>
                <w:szCs w:val="15"/>
              </w:rPr>
              <w:t>&lt;0.0001</w:t>
            </w:r>
          </w:p>
        </w:tc>
        <w:tc>
          <w:tcPr>
            <w:tcW w:w="763" w:type="dxa"/>
            <w:noWrap/>
            <w:vAlign w:val="center"/>
            <w:hideMark/>
          </w:tcPr>
          <w:p w14:paraId="5737E912" w14:textId="77777777" w:rsidR="00126D8D" w:rsidRPr="004A4899" w:rsidRDefault="00126D8D" w:rsidP="00820288">
            <w:pPr>
              <w:spacing w:line="240" w:lineRule="auto"/>
              <w:jc w:val="center"/>
              <w:rPr>
                <w:rFonts w:ascii="Times New Roman" w:hAnsi="Times New Roman" w:cs="Times New Roman"/>
                <w:color w:val="000000"/>
                <w:sz w:val="15"/>
                <w:szCs w:val="15"/>
              </w:rPr>
            </w:pPr>
            <w:r w:rsidRPr="004A4899">
              <w:rPr>
                <w:rFonts w:ascii="Times New Roman" w:hAnsi="Times New Roman" w:cs="Times New Roman"/>
                <w:color w:val="000000"/>
                <w:sz w:val="15"/>
                <w:szCs w:val="15"/>
              </w:rPr>
              <w:t>&lt;0.0001</w:t>
            </w:r>
          </w:p>
        </w:tc>
        <w:tc>
          <w:tcPr>
            <w:tcW w:w="1478" w:type="dxa"/>
            <w:noWrap/>
            <w:vAlign w:val="center"/>
            <w:hideMark/>
          </w:tcPr>
          <w:p w14:paraId="16F54DB4" w14:textId="77777777" w:rsidR="00126D8D" w:rsidRPr="004A4899" w:rsidRDefault="00126D8D" w:rsidP="00820288">
            <w:pPr>
              <w:spacing w:line="240" w:lineRule="auto"/>
              <w:jc w:val="center"/>
              <w:rPr>
                <w:rFonts w:ascii="Times New Roman" w:hAnsi="Times New Roman" w:cs="Times New Roman"/>
                <w:color w:val="000000"/>
                <w:sz w:val="15"/>
                <w:szCs w:val="15"/>
              </w:rPr>
            </w:pPr>
            <w:r w:rsidRPr="004A4899">
              <w:rPr>
                <w:rFonts w:ascii="Times New Roman" w:hAnsi="Times New Roman" w:cs="Times New Roman"/>
                <w:color w:val="000000"/>
                <w:sz w:val="15"/>
                <w:szCs w:val="15"/>
              </w:rPr>
              <w:t>&lt;0.0001</w:t>
            </w:r>
          </w:p>
        </w:tc>
      </w:tr>
      <w:tr w:rsidR="00126D8D" w:rsidRPr="00747A19" w14:paraId="5C4DC54C" w14:textId="77777777" w:rsidTr="00820288">
        <w:trPr>
          <w:trHeight w:val="144"/>
          <w:jc w:val="center"/>
        </w:trPr>
        <w:tc>
          <w:tcPr>
            <w:tcW w:w="1778" w:type="dxa"/>
            <w:noWrap/>
            <w:vAlign w:val="center"/>
          </w:tcPr>
          <w:p w14:paraId="722449B4" w14:textId="77777777" w:rsidR="00126D8D" w:rsidRPr="004A4899" w:rsidRDefault="00126D8D" w:rsidP="00820288">
            <w:pPr>
              <w:spacing w:line="240" w:lineRule="auto"/>
              <w:rPr>
                <w:rFonts w:ascii="Times New Roman" w:hAnsi="Times New Roman" w:cs="Times New Roman"/>
                <w:b/>
                <w:bCs/>
                <w:color w:val="000000"/>
                <w:sz w:val="15"/>
                <w:szCs w:val="15"/>
              </w:rPr>
            </w:pPr>
            <w:r w:rsidRPr="004A4899">
              <w:rPr>
                <w:rFonts w:ascii="Times New Roman" w:hAnsi="Times New Roman" w:cs="Times New Roman"/>
                <w:b/>
                <w:bCs/>
                <w:color w:val="000000"/>
                <w:sz w:val="15"/>
                <w:szCs w:val="15"/>
              </w:rPr>
              <w:t>Bicyclic Monoterpenes</w:t>
            </w:r>
          </w:p>
        </w:tc>
        <w:tc>
          <w:tcPr>
            <w:tcW w:w="1323" w:type="dxa"/>
            <w:noWrap/>
            <w:vAlign w:val="center"/>
          </w:tcPr>
          <w:p w14:paraId="752C6723" w14:textId="77777777" w:rsidR="00126D8D" w:rsidRPr="004A4899" w:rsidRDefault="00126D8D" w:rsidP="00820288">
            <w:pPr>
              <w:spacing w:line="240" w:lineRule="auto"/>
              <w:jc w:val="center"/>
              <w:rPr>
                <w:rFonts w:ascii="Times New Roman" w:hAnsi="Times New Roman" w:cs="Times New Roman"/>
                <w:color w:val="000000"/>
                <w:sz w:val="15"/>
                <w:szCs w:val="15"/>
              </w:rPr>
            </w:pPr>
          </w:p>
        </w:tc>
        <w:tc>
          <w:tcPr>
            <w:tcW w:w="837" w:type="dxa"/>
            <w:noWrap/>
            <w:vAlign w:val="center"/>
          </w:tcPr>
          <w:p w14:paraId="437DA785" w14:textId="77777777" w:rsidR="00126D8D" w:rsidRPr="004A4899" w:rsidRDefault="00126D8D" w:rsidP="00820288">
            <w:pPr>
              <w:spacing w:line="240" w:lineRule="auto"/>
              <w:jc w:val="center"/>
              <w:rPr>
                <w:rFonts w:ascii="Times New Roman" w:hAnsi="Times New Roman" w:cs="Times New Roman"/>
                <w:color w:val="000000"/>
                <w:sz w:val="15"/>
                <w:szCs w:val="15"/>
              </w:rPr>
            </w:pPr>
          </w:p>
        </w:tc>
        <w:tc>
          <w:tcPr>
            <w:tcW w:w="763" w:type="dxa"/>
            <w:noWrap/>
            <w:vAlign w:val="center"/>
          </w:tcPr>
          <w:p w14:paraId="46907242" w14:textId="77777777" w:rsidR="00126D8D" w:rsidRPr="004A4899" w:rsidRDefault="00126D8D" w:rsidP="00820288">
            <w:pPr>
              <w:spacing w:line="240" w:lineRule="auto"/>
              <w:jc w:val="center"/>
              <w:rPr>
                <w:rFonts w:ascii="Times New Roman" w:hAnsi="Times New Roman" w:cs="Times New Roman"/>
                <w:color w:val="000000"/>
                <w:sz w:val="15"/>
                <w:szCs w:val="15"/>
              </w:rPr>
            </w:pPr>
          </w:p>
        </w:tc>
        <w:tc>
          <w:tcPr>
            <w:tcW w:w="1478" w:type="dxa"/>
            <w:noWrap/>
            <w:vAlign w:val="center"/>
          </w:tcPr>
          <w:p w14:paraId="2E7C18C2" w14:textId="77777777" w:rsidR="00126D8D" w:rsidRPr="004A4899" w:rsidRDefault="00126D8D" w:rsidP="00820288">
            <w:pPr>
              <w:spacing w:line="240" w:lineRule="auto"/>
              <w:jc w:val="center"/>
              <w:rPr>
                <w:rFonts w:ascii="Times New Roman" w:hAnsi="Times New Roman" w:cs="Times New Roman"/>
                <w:color w:val="000000"/>
                <w:sz w:val="15"/>
                <w:szCs w:val="15"/>
              </w:rPr>
            </w:pPr>
          </w:p>
        </w:tc>
        <w:tc>
          <w:tcPr>
            <w:tcW w:w="92" w:type="dxa"/>
          </w:tcPr>
          <w:p w14:paraId="69CE8897" w14:textId="77777777" w:rsidR="00126D8D" w:rsidRPr="004A4899" w:rsidRDefault="00126D8D" w:rsidP="00820288">
            <w:pPr>
              <w:spacing w:line="240" w:lineRule="auto"/>
              <w:jc w:val="center"/>
              <w:rPr>
                <w:rFonts w:ascii="Times New Roman" w:hAnsi="Times New Roman" w:cs="Times New Roman"/>
                <w:color w:val="000000"/>
                <w:sz w:val="15"/>
                <w:szCs w:val="15"/>
              </w:rPr>
            </w:pPr>
          </w:p>
        </w:tc>
        <w:tc>
          <w:tcPr>
            <w:tcW w:w="837" w:type="dxa"/>
            <w:noWrap/>
            <w:vAlign w:val="center"/>
          </w:tcPr>
          <w:p w14:paraId="335AF8F3" w14:textId="77777777" w:rsidR="00126D8D" w:rsidRPr="004A4899" w:rsidRDefault="00126D8D" w:rsidP="00820288">
            <w:pPr>
              <w:spacing w:line="240" w:lineRule="auto"/>
              <w:jc w:val="center"/>
              <w:rPr>
                <w:rFonts w:ascii="Times New Roman" w:hAnsi="Times New Roman" w:cs="Times New Roman"/>
                <w:color w:val="000000"/>
                <w:sz w:val="15"/>
                <w:szCs w:val="15"/>
              </w:rPr>
            </w:pPr>
          </w:p>
        </w:tc>
        <w:tc>
          <w:tcPr>
            <w:tcW w:w="763" w:type="dxa"/>
            <w:noWrap/>
            <w:vAlign w:val="center"/>
          </w:tcPr>
          <w:p w14:paraId="440D51ED" w14:textId="77777777" w:rsidR="00126D8D" w:rsidRPr="004A4899" w:rsidRDefault="00126D8D" w:rsidP="00820288">
            <w:pPr>
              <w:spacing w:line="240" w:lineRule="auto"/>
              <w:jc w:val="center"/>
              <w:rPr>
                <w:rFonts w:ascii="Times New Roman" w:hAnsi="Times New Roman" w:cs="Times New Roman"/>
                <w:color w:val="000000"/>
                <w:sz w:val="15"/>
                <w:szCs w:val="15"/>
              </w:rPr>
            </w:pPr>
          </w:p>
        </w:tc>
        <w:tc>
          <w:tcPr>
            <w:tcW w:w="1478" w:type="dxa"/>
            <w:noWrap/>
            <w:vAlign w:val="center"/>
          </w:tcPr>
          <w:p w14:paraId="4E0CCE28" w14:textId="77777777" w:rsidR="00126D8D" w:rsidRPr="004A4899" w:rsidRDefault="00126D8D" w:rsidP="00820288">
            <w:pPr>
              <w:spacing w:line="240" w:lineRule="auto"/>
              <w:jc w:val="center"/>
              <w:rPr>
                <w:rFonts w:ascii="Times New Roman" w:hAnsi="Times New Roman" w:cs="Times New Roman"/>
                <w:color w:val="000000"/>
                <w:sz w:val="15"/>
                <w:szCs w:val="15"/>
              </w:rPr>
            </w:pPr>
          </w:p>
        </w:tc>
      </w:tr>
      <w:tr w:rsidR="00126D8D" w:rsidRPr="00747A19" w14:paraId="005C23E6" w14:textId="77777777" w:rsidTr="00820288">
        <w:trPr>
          <w:trHeight w:val="144"/>
          <w:jc w:val="center"/>
        </w:trPr>
        <w:tc>
          <w:tcPr>
            <w:tcW w:w="1778" w:type="dxa"/>
            <w:noWrap/>
            <w:vAlign w:val="center"/>
          </w:tcPr>
          <w:p w14:paraId="2E96DC9C" w14:textId="77777777" w:rsidR="00126D8D" w:rsidRPr="004A4899" w:rsidRDefault="00126D8D" w:rsidP="00820288">
            <w:pPr>
              <w:spacing w:line="240" w:lineRule="auto"/>
              <w:rPr>
                <w:rFonts w:ascii="Times New Roman" w:hAnsi="Times New Roman" w:cs="Times New Roman"/>
                <w:color w:val="000000"/>
                <w:sz w:val="15"/>
                <w:szCs w:val="15"/>
              </w:rPr>
            </w:pPr>
            <w:r w:rsidRPr="004A4899">
              <w:rPr>
                <w:rFonts w:ascii="Times New Roman" w:hAnsi="Times New Roman" w:cs="Times New Roman"/>
                <w:color w:val="000000"/>
                <w:sz w:val="15"/>
                <w:szCs w:val="15"/>
              </w:rPr>
              <w:t>3-Caren-10-al</w:t>
            </w:r>
          </w:p>
        </w:tc>
        <w:tc>
          <w:tcPr>
            <w:tcW w:w="1323" w:type="dxa"/>
            <w:noWrap/>
            <w:vAlign w:val="center"/>
          </w:tcPr>
          <w:p w14:paraId="6C9A2B01" w14:textId="77777777" w:rsidR="00126D8D" w:rsidRPr="004A4899" w:rsidRDefault="00126D8D" w:rsidP="00820288">
            <w:pPr>
              <w:spacing w:line="240" w:lineRule="auto"/>
              <w:jc w:val="center"/>
              <w:rPr>
                <w:rFonts w:ascii="Times New Roman" w:hAnsi="Times New Roman" w:cs="Times New Roman"/>
                <w:color w:val="000000"/>
                <w:sz w:val="15"/>
                <w:szCs w:val="15"/>
              </w:rPr>
            </w:pPr>
            <w:r w:rsidRPr="004A4899">
              <w:rPr>
                <w:rFonts w:ascii="Times New Roman" w:hAnsi="Times New Roman" w:cs="Times New Roman"/>
                <w:color w:val="000000"/>
                <w:sz w:val="15"/>
                <w:szCs w:val="15"/>
              </w:rPr>
              <w:t>14595-13-2</w:t>
            </w:r>
          </w:p>
        </w:tc>
        <w:tc>
          <w:tcPr>
            <w:tcW w:w="837" w:type="dxa"/>
            <w:noWrap/>
            <w:vAlign w:val="center"/>
          </w:tcPr>
          <w:p w14:paraId="7170B980" w14:textId="77777777" w:rsidR="00126D8D" w:rsidRPr="004A4899" w:rsidRDefault="00126D8D" w:rsidP="00820288">
            <w:pPr>
              <w:spacing w:line="240" w:lineRule="auto"/>
              <w:jc w:val="center"/>
              <w:rPr>
                <w:rFonts w:ascii="Times New Roman" w:hAnsi="Times New Roman" w:cs="Times New Roman"/>
                <w:color w:val="000000"/>
                <w:sz w:val="15"/>
                <w:szCs w:val="15"/>
              </w:rPr>
            </w:pPr>
            <w:r w:rsidRPr="004A4899">
              <w:rPr>
                <w:rFonts w:ascii="Times New Roman" w:hAnsi="Times New Roman" w:cs="Times New Roman"/>
                <w:color w:val="000000"/>
                <w:sz w:val="15"/>
                <w:szCs w:val="15"/>
              </w:rPr>
              <w:t>17.21</w:t>
            </w:r>
          </w:p>
        </w:tc>
        <w:tc>
          <w:tcPr>
            <w:tcW w:w="763" w:type="dxa"/>
            <w:noWrap/>
            <w:vAlign w:val="center"/>
          </w:tcPr>
          <w:p w14:paraId="0C895253" w14:textId="77777777" w:rsidR="00126D8D" w:rsidRPr="004A4899" w:rsidRDefault="00126D8D" w:rsidP="00820288">
            <w:pPr>
              <w:spacing w:line="240" w:lineRule="auto"/>
              <w:jc w:val="center"/>
              <w:rPr>
                <w:rFonts w:ascii="Times New Roman" w:hAnsi="Times New Roman" w:cs="Times New Roman"/>
                <w:color w:val="000000"/>
                <w:sz w:val="15"/>
                <w:szCs w:val="15"/>
              </w:rPr>
            </w:pPr>
            <w:r w:rsidRPr="004A4899">
              <w:rPr>
                <w:rFonts w:ascii="Times New Roman" w:hAnsi="Times New Roman" w:cs="Times New Roman"/>
                <w:color w:val="000000"/>
                <w:sz w:val="15"/>
                <w:szCs w:val="15"/>
              </w:rPr>
              <w:t>2.24</w:t>
            </w:r>
          </w:p>
        </w:tc>
        <w:tc>
          <w:tcPr>
            <w:tcW w:w="1478" w:type="dxa"/>
            <w:noWrap/>
            <w:vAlign w:val="center"/>
          </w:tcPr>
          <w:p w14:paraId="0B27E025" w14:textId="77777777" w:rsidR="00126D8D" w:rsidRPr="004A4899" w:rsidRDefault="00126D8D" w:rsidP="00820288">
            <w:pPr>
              <w:spacing w:line="240" w:lineRule="auto"/>
              <w:jc w:val="center"/>
              <w:rPr>
                <w:rFonts w:ascii="Times New Roman" w:hAnsi="Times New Roman" w:cs="Times New Roman"/>
                <w:color w:val="000000"/>
                <w:sz w:val="15"/>
                <w:szCs w:val="15"/>
              </w:rPr>
            </w:pPr>
            <w:r w:rsidRPr="004A4899">
              <w:rPr>
                <w:rFonts w:ascii="Times New Roman" w:hAnsi="Times New Roman" w:cs="Times New Roman"/>
                <w:color w:val="000000"/>
                <w:sz w:val="15"/>
                <w:szCs w:val="15"/>
              </w:rPr>
              <w:t>1.06</w:t>
            </w:r>
          </w:p>
        </w:tc>
        <w:tc>
          <w:tcPr>
            <w:tcW w:w="92" w:type="dxa"/>
          </w:tcPr>
          <w:p w14:paraId="13CEA271" w14:textId="77777777" w:rsidR="00126D8D" w:rsidRPr="004A4899" w:rsidRDefault="00126D8D" w:rsidP="00820288">
            <w:pPr>
              <w:spacing w:line="240" w:lineRule="auto"/>
              <w:jc w:val="center"/>
              <w:rPr>
                <w:rFonts w:ascii="Times New Roman" w:hAnsi="Times New Roman" w:cs="Times New Roman"/>
                <w:color w:val="000000"/>
                <w:sz w:val="15"/>
                <w:szCs w:val="15"/>
              </w:rPr>
            </w:pPr>
          </w:p>
        </w:tc>
        <w:tc>
          <w:tcPr>
            <w:tcW w:w="837" w:type="dxa"/>
            <w:noWrap/>
            <w:vAlign w:val="center"/>
          </w:tcPr>
          <w:p w14:paraId="793A88F6" w14:textId="77777777" w:rsidR="00126D8D" w:rsidRPr="004A4899" w:rsidRDefault="00126D8D" w:rsidP="00820288">
            <w:pPr>
              <w:spacing w:line="240" w:lineRule="auto"/>
              <w:jc w:val="center"/>
              <w:rPr>
                <w:rFonts w:ascii="Times New Roman" w:hAnsi="Times New Roman" w:cs="Times New Roman"/>
                <w:color w:val="000000"/>
                <w:sz w:val="15"/>
                <w:szCs w:val="15"/>
              </w:rPr>
            </w:pPr>
            <w:r w:rsidRPr="004A4899">
              <w:rPr>
                <w:rFonts w:ascii="Times New Roman" w:hAnsi="Times New Roman" w:cs="Times New Roman"/>
                <w:color w:val="000000"/>
                <w:sz w:val="15"/>
                <w:szCs w:val="15"/>
              </w:rPr>
              <w:t>&lt;0.0001</w:t>
            </w:r>
          </w:p>
        </w:tc>
        <w:tc>
          <w:tcPr>
            <w:tcW w:w="763" w:type="dxa"/>
            <w:noWrap/>
            <w:vAlign w:val="center"/>
          </w:tcPr>
          <w:p w14:paraId="55A5433F" w14:textId="77777777" w:rsidR="00126D8D" w:rsidRPr="004A4899" w:rsidRDefault="00126D8D" w:rsidP="00820288">
            <w:pPr>
              <w:spacing w:line="240" w:lineRule="auto"/>
              <w:jc w:val="center"/>
              <w:rPr>
                <w:rFonts w:ascii="Times New Roman" w:hAnsi="Times New Roman" w:cs="Times New Roman"/>
                <w:color w:val="000000"/>
                <w:sz w:val="15"/>
                <w:szCs w:val="15"/>
              </w:rPr>
            </w:pPr>
            <w:r w:rsidRPr="004A4899">
              <w:rPr>
                <w:rFonts w:ascii="Times New Roman" w:hAnsi="Times New Roman" w:cs="Times New Roman"/>
                <w:color w:val="000000"/>
                <w:sz w:val="15"/>
                <w:szCs w:val="15"/>
              </w:rPr>
              <w:t>0.0123</w:t>
            </w:r>
          </w:p>
        </w:tc>
        <w:tc>
          <w:tcPr>
            <w:tcW w:w="1478" w:type="dxa"/>
            <w:noWrap/>
            <w:vAlign w:val="center"/>
          </w:tcPr>
          <w:p w14:paraId="4011A7B8" w14:textId="77777777" w:rsidR="00126D8D" w:rsidRPr="004A4899" w:rsidRDefault="00126D8D" w:rsidP="00820288">
            <w:pPr>
              <w:spacing w:line="240" w:lineRule="auto"/>
              <w:jc w:val="center"/>
              <w:rPr>
                <w:rFonts w:ascii="Times New Roman" w:hAnsi="Times New Roman" w:cs="Times New Roman"/>
                <w:color w:val="000000"/>
                <w:sz w:val="15"/>
                <w:szCs w:val="15"/>
              </w:rPr>
            </w:pPr>
            <w:r w:rsidRPr="004A4899">
              <w:rPr>
                <w:rFonts w:ascii="Times New Roman" w:hAnsi="Times New Roman" w:cs="Times New Roman"/>
                <w:color w:val="000000"/>
                <w:sz w:val="15"/>
                <w:szCs w:val="15"/>
              </w:rPr>
              <w:t>0.3871</w:t>
            </w:r>
          </w:p>
        </w:tc>
      </w:tr>
      <w:tr w:rsidR="00126D8D" w:rsidRPr="00747A19" w14:paraId="57453B97" w14:textId="77777777" w:rsidTr="00820288">
        <w:trPr>
          <w:trHeight w:val="144"/>
          <w:jc w:val="center"/>
        </w:trPr>
        <w:tc>
          <w:tcPr>
            <w:tcW w:w="1778" w:type="dxa"/>
            <w:noWrap/>
            <w:vAlign w:val="center"/>
            <w:hideMark/>
          </w:tcPr>
          <w:p w14:paraId="69D9F12A" w14:textId="77777777" w:rsidR="00126D8D" w:rsidRPr="004A4899" w:rsidRDefault="00126D8D" w:rsidP="00820288">
            <w:pPr>
              <w:spacing w:line="240" w:lineRule="auto"/>
              <w:rPr>
                <w:rFonts w:ascii="Times New Roman" w:hAnsi="Times New Roman" w:cs="Times New Roman"/>
                <w:color w:val="000000"/>
                <w:sz w:val="15"/>
                <w:szCs w:val="15"/>
              </w:rPr>
            </w:pPr>
            <w:r w:rsidRPr="004A4899">
              <w:rPr>
                <w:rFonts w:ascii="Times New Roman" w:hAnsi="Times New Roman" w:cs="Times New Roman"/>
                <w:color w:val="000000"/>
                <w:sz w:val="15"/>
                <w:szCs w:val="15"/>
              </w:rPr>
              <w:t>(+)-4-Carene</w:t>
            </w:r>
          </w:p>
        </w:tc>
        <w:tc>
          <w:tcPr>
            <w:tcW w:w="1323" w:type="dxa"/>
            <w:noWrap/>
            <w:vAlign w:val="center"/>
            <w:hideMark/>
          </w:tcPr>
          <w:p w14:paraId="6905C474" w14:textId="77777777" w:rsidR="00126D8D" w:rsidRPr="004A4899" w:rsidRDefault="00126D8D" w:rsidP="00820288">
            <w:pPr>
              <w:spacing w:line="240" w:lineRule="auto"/>
              <w:jc w:val="center"/>
              <w:rPr>
                <w:rFonts w:ascii="Times New Roman" w:hAnsi="Times New Roman" w:cs="Times New Roman"/>
                <w:color w:val="000000"/>
                <w:sz w:val="15"/>
                <w:szCs w:val="15"/>
              </w:rPr>
            </w:pPr>
            <w:r w:rsidRPr="004A4899">
              <w:rPr>
                <w:rFonts w:ascii="Times New Roman" w:hAnsi="Times New Roman" w:cs="Times New Roman"/>
                <w:color w:val="000000"/>
                <w:sz w:val="15"/>
                <w:szCs w:val="15"/>
              </w:rPr>
              <w:t>29050-33-7</w:t>
            </w:r>
          </w:p>
        </w:tc>
        <w:tc>
          <w:tcPr>
            <w:tcW w:w="837" w:type="dxa"/>
            <w:noWrap/>
            <w:vAlign w:val="center"/>
            <w:hideMark/>
          </w:tcPr>
          <w:p w14:paraId="1D4E8975" w14:textId="77777777" w:rsidR="00126D8D" w:rsidRPr="004A4899" w:rsidRDefault="00126D8D" w:rsidP="00820288">
            <w:pPr>
              <w:spacing w:line="240" w:lineRule="auto"/>
              <w:jc w:val="center"/>
              <w:rPr>
                <w:rFonts w:ascii="Times New Roman" w:hAnsi="Times New Roman" w:cs="Times New Roman"/>
                <w:color w:val="000000"/>
                <w:sz w:val="15"/>
                <w:szCs w:val="15"/>
              </w:rPr>
            </w:pPr>
            <w:r w:rsidRPr="004A4899">
              <w:rPr>
                <w:rFonts w:ascii="Times New Roman" w:hAnsi="Times New Roman" w:cs="Times New Roman"/>
                <w:color w:val="000000"/>
                <w:sz w:val="15"/>
                <w:szCs w:val="15"/>
              </w:rPr>
              <w:t>27.75</w:t>
            </w:r>
          </w:p>
        </w:tc>
        <w:tc>
          <w:tcPr>
            <w:tcW w:w="763" w:type="dxa"/>
            <w:noWrap/>
            <w:vAlign w:val="center"/>
            <w:hideMark/>
          </w:tcPr>
          <w:p w14:paraId="68FC15E2" w14:textId="77777777" w:rsidR="00126D8D" w:rsidRPr="004A4899" w:rsidRDefault="00126D8D" w:rsidP="00820288">
            <w:pPr>
              <w:spacing w:line="240" w:lineRule="auto"/>
              <w:jc w:val="center"/>
              <w:rPr>
                <w:rFonts w:ascii="Times New Roman" w:hAnsi="Times New Roman" w:cs="Times New Roman"/>
                <w:color w:val="000000"/>
                <w:sz w:val="15"/>
                <w:szCs w:val="15"/>
              </w:rPr>
            </w:pPr>
            <w:r w:rsidRPr="004A4899">
              <w:rPr>
                <w:rFonts w:ascii="Times New Roman" w:hAnsi="Times New Roman" w:cs="Times New Roman"/>
                <w:color w:val="000000"/>
                <w:sz w:val="15"/>
                <w:szCs w:val="15"/>
              </w:rPr>
              <w:t>7.00</w:t>
            </w:r>
          </w:p>
        </w:tc>
        <w:tc>
          <w:tcPr>
            <w:tcW w:w="1478" w:type="dxa"/>
            <w:noWrap/>
            <w:vAlign w:val="center"/>
            <w:hideMark/>
          </w:tcPr>
          <w:p w14:paraId="29E06AC6" w14:textId="77777777" w:rsidR="00126D8D" w:rsidRPr="004A4899" w:rsidRDefault="00126D8D" w:rsidP="00820288">
            <w:pPr>
              <w:spacing w:line="240" w:lineRule="auto"/>
              <w:jc w:val="center"/>
              <w:rPr>
                <w:rFonts w:ascii="Times New Roman" w:hAnsi="Times New Roman" w:cs="Times New Roman"/>
                <w:color w:val="000000"/>
                <w:sz w:val="15"/>
                <w:szCs w:val="15"/>
              </w:rPr>
            </w:pPr>
            <w:r w:rsidRPr="004A4899">
              <w:rPr>
                <w:rFonts w:ascii="Times New Roman" w:hAnsi="Times New Roman" w:cs="Times New Roman"/>
                <w:color w:val="000000"/>
                <w:sz w:val="15"/>
                <w:szCs w:val="15"/>
              </w:rPr>
              <w:t>1.57</w:t>
            </w:r>
          </w:p>
        </w:tc>
        <w:tc>
          <w:tcPr>
            <w:tcW w:w="92" w:type="dxa"/>
          </w:tcPr>
          <w:p w14:paraId="216D0872" w14:textId="77777777" w:rsidR="00126D8D" w:rsidRPr="004A4899" w:rsidRDefault="00126D8D" w:rsidP="00820288">
            <w:pPr>
              <w:spacing w:line="240" w:lineRule="auto"/>
              <w:jc w:val="center"/>
              <w:rPr>
                <w:rFonts w:ascii="Times New Roman" w:hAnsi="Times New Roman" w:cs="Times New Roman"/>
                <w:color w:val="000000"/>
                <w:sz w:val="15"/>
                <w:szCs w:val="15"/>
              </w:rPr>
            </w:pPr>
          </w:p>
        </w:tc>
        <w:tc>
          <w:tcPr>
            <w:tcW w:w="837" w:type="dxa"/>
            <w:noWrap/>
            <w:vAlign w:val="center"/>
            <w:hideMark/>
          </w:tcPr>
          <w:p w14:paraId="6EE9C112" w14:textId="77777777" w:rsidR="00126D8D" w:rsidRPr="004A4899" w:rsidRDefault="00126D8D" w:rsidP="00820288">
            <w:pPr>
              <w:spacing w:line="240" w:lineRule="auto"/>
              <w:jc w:val="center"/>
              <w:rPr>
                <w:rFonts w:ascii="Times New Roman" w:hAnsi="Times New Roman" w:cs="Times New Roman"/>
                <w:color w:val="000000"/>
                <w:sz w:val="15"/>
                <w:szCs w:val="15"/>
              </w:rPr>
            </w:pPr>
            <w:r w:rsidRPr="004A4899">
              <w:rPr>
                <w:rFonts w:ascii="Times New Roman" w:hAnsi="Times New Roman" w:cs="Times New Roman"/>
                <w:color w:val="000000"/>
                <w:sz w:val="15"/>
                <w:szCs w:val="15"/>
              </w:rPr>
              <w:t>&lt;0.0001</w:t>
            </w:r>
          </w:p>
        </w:tc>
        <w:tc>
          <w:tcPr>
            <w:tcW w:w="763" w:type="dxa"/>
            <w:noWrap/>
            <w:vAlign w:val="center"/>
            <w:hideMark/>
          </w:tcPr>
          <w:p w14:paraId="18A0D091" w14:textId="77777777" w:rsidR="00126D8D" w:rsidRPr="004A4899" w:rsidRDefault="00126D8D" w:rsidP="00820288">
            <w:pPr>
              <w:spacing w:line="240" w:lineRule="auto"/>
              <w:jc w:val="center"/>
              <w:rPr>
                <w:rFonts w:ascii="Times New Roman" w:hAnsi="Times New Roman" w:cs="Times New Roman"/>
                <w:color w:val="000000"/>
                <w:sz w:val="15"/>
                <w:szCs w:val="15"/>
              </w:rPr>
            </w:pPr>
            <w:r w:rsidRPr="004A4899">
              <w:rPr>
                <w:rFonts w:ascii="Times New Roman" w:hAnsi="Times New Roman" w:cs="Times New Roman"/>
                <w:color w:val="000000"/>
                <w:sz w:val="15"/>
                <w:szCs w:val="15"/>
              </w:rPr>
              <w:t>&lt;0.0001</w:t>
            </w:r>
          </w:p>
        </w:tc>
        <w:tc>
          <w:tcPr>
            <w:tcW w:w="1478" w:type="dxa"/>
            <w:noWrap/>
            <w:vAlign w:val="center"/>
            <w:hideMark/>
          </w:tcPr>
          <w:p w14:paraId="6C6E1C6C" w14:textId="77777777" w:rsidR="00126D8D" w:rsidRPr="004A4899" w:rsidRDefault="00126D8D" w:rsidP="00820288">
            <w:pPr>
              <w:spacing w:line="240" w:lineRule="auto"/>
              <w:jc w:val="center"/>
              <w:rPr>
                <w:rFonts w:ascii="Times New Roman" w:hAnsi="Times New Roman" w:cs="Times New Roman"/>
                <w:color w:val="000000"/>
                <w:sz w:val="15"/>
                <w:szCs w:val="15"/>
              </w:rPr>
            </w:pPr>
            <w:r w:rsidRPr="004A4899">
              <w:rPr>
                <w:rFonts w:ascii="Times New Roman" w:hAnsi="Times New Roman" w:cs="Times New Roman"/>
                <w:color w:val="000000"/>
                <w:sz w:val="15"/>
                <w:szCs w:val="15"/>
              </w:rPr>
              <w:t>0.0254</w:t>
            </w:r>
          </w:p>
        </w:tc>
      </w:tr>
      <w:tr w:rsidR="00126D8D" w:rsidRPr="00747A19" w14:paraId="127DA85C" w14:textId="77777777" w:rsidTr="00820288">
        <w:trPr>
          <w:trHeight w:val="144"/>
          <w:jc w:val="center"/>
        </w:trPr>
        <w:tc>
          <w:tcPr>
            <w:tcW w:w="1778" w:type="dxa"/>
            <w:noWrap/>
            <w:vAlign w:val="center"/>
            <w:hideMark/>
          </w:tcPr>
          <w:p w14:paraId="160C007A" w14:textId="77777777" w:rsidR="00126D8D" w:rsidRPr="004A4899" w:rsidRDefault="00126D8D" w:rsidP="00820288">
            <w:pPr>
              <w:spacing w:line="240" w:lineRule="auto"/>
              <w:rPr>
                <w:rFonts w:ascii="Times New Roman" w:hAnsi="Times New Roman" w:cs="Times New Roman"/>
                <w:color w:val="000000"/>
                <w:sz w:val="15"/>
                <w:szCs w:val="15"/>
              </w:rPr>
            </w:pPr>
            <w:r w:rsidRPr="004A4899">
              <w:rPr>
                <w:rFonts w:ascii="Times New Roman" w:hAnsi="Times New Roman" w:cs="Times New Roman"/>
                <w:color w:val="000000"/>
                <w:sz w:val="15"/>
                <w:szCs w:val="15"/>
              </w:rPr>
              <w:t>3-Carene</w:t>
            </w:r>
          </w:p>
        </w:tc>
        <w:tc>
          <w:tcPr>
            <w:tcW w:w="1323" w:type="dxa"/>
            <w:noWrap/>
            <w:vAlign w:val="center"/>
            <w:hideMark/>
          </w:tcPr>
          <w:p w14:paraId="657AFC05" w14:textId="77777777" w:rsidR="00126D8D" w:rsidRPr="004A4899" w:rsidRDefault="00126D8D" w:rsidP="00820288">
            <w:pPr>
              <w:spacing w:line="240" w:lineRule="auto"/>
              <w:jc w:val="center"/>
              <w:rPr>
                <w:rFonts w:ascii="Times New Roman" w:hAnsi="Times New Roman" w:cs="Times New Roman"/>
                <w:color w:val="000000"/>
                <w:sz w:val="15"/>
                <w:szCs w:val="15"/>
              </w:rPr>
            </w:pPr>
            <w:r w:rsidRPr="004A4899">
              <w:rPr>
                <w:rFonts w:ascii="Times New Roman" w:hAnsi="Times New Roman" w:cs="Times New Roman"/>
                <w:color w:val="000000"/>
                <w:sz w:val="15"/>
                <w:szCs w:val="15"/>
              </w:rPr>
              <w:t>498-15-7</w:t>
            </w:r>
          </w:p>
        </w:tc>
        <w:tc>
          <w:tcPr>
            <w:tcW w:w="837" w:type="dxa"/>
            <w:noWrap/>
            <w:vAlign w:val="center"/>
            <w:hideMark/>
          </w:tcPr>
          <w:p w14:paraId="3A233265" w14:textId="77777777" w:rsidR="00126D8D" w:rsidRPr="004A4899" w:rsidRDefault="00126D8D" w:rsidP="00820288">
            <w:pPr>
              <w:spacing w:line="240" w:lineRule="auto"/>
              <w:jc w:val="center"/>
              <w:rPr>
                <w:rFonts w:ascii="Times New Roman" w:hAnsi="Times New Roman" w:cs="Times New Roman"/>
                <w:color w:val="000000"/>
                <w:sz w:val="15"/>
                <w:szCs w:val="15"/>
              </w:rPr>
            </w:pPr>
            <w:r w:rsidRPr="004A4899">
              <w:rPr>
                <w:rFonts w:ascii="Times New Roman" w:hAnsi="Times New Roman" w:cs="Times New Roman"/>
                <w:color w:val="000000"/>
                <w:sz w:val="15"/>
                <w:szCs w:val="15"/>
              </w:rPr>
              <w:t>24.28</w:t>
            </w:r>
          </w:p>
        </w:tc>
        <w:tc>
          <w:tcPr>
            <w:tcW w:w="763" w:type="dxa"/>
            <w:noWrap/>
            <w:vAlign w:val="center"/>
            <w:hideMark/>
          </w:tcPr>
          <w:p w14:paraId="735119B7" w14:textId="77777777" w:rsidR="00126D8D" w:rsidRPr="004A4899" w:rsidRDefault="00126D8D" w:rsidP="00820288">
            <w:pPr>
              <w:spacing w:line="240" w:lineRule="auto"/>
              <w:jc w:val="center"/>
              <w:rPr>
                <w:rFonts w:ascii="Times New Roman" w:hAnsi="Times New Roman" w:cs="Times New Roman"/>
                <w:color w:val="000000"/>
                <w:sz w:val="15"/>
                <w:szCs w:val="15"/>
              </w:rPr>
            </w:pPr>
            <w:r w:rsidRPr="004A4899">
              <w:rPr>
                <w:rFonts w:ascii="Times New Roman" w:hAnsi="Times New Roman" w:cs="Times New Roman"/>
                <w:color w:val="000000"/>
                <w:sz w:val="15"/>
                <w:szCs w:val="15"/>
              </w:rPr>
              <w:t>4.53</w:t>
            </w:r>
          </w:p>
        </w:tc>
        <w:tc>
          <w:tcPr>
            <w:tcW w:w="1478" w:type="dxa"/>
            <w:noWrap/>
            <w:vAlign w:val="center"/>
            <w:hideMark/>
          </w:tcPr>
          <w:p w14:paraId="09547732" w14:textId="77777777" w:rsidR="00126D8D" w:rsidRPr="004A4899" w:rsidRDefault="00126D8D" w:rsidP="00820288">
            <w:pPr>
              <w:spacing w:line="240" w:lineRule="auto"/>
              <w:jc w:val="center"/>
              <w:rPr>
                <w:rFonts w:ascii="Times New Roman" w:hAnsi="Times New Roman" w:cs="Times New Roman"/>
                <w:color w:val="000000"/>
                <w:sz w:val="15"/>
                <w:szCs w:val="15"/>
              </w:rPr>
            </w:pPr>
            <w:r w:rsidRPr="004A4899">
              <w:rPr>
                <w:rFonts w:ascii="Times New Roman" w:hAnsi="Times New Roman" w:cs="Times New Roman"/>
                <w:color w:val="000000"/>
                <w:sz w:val="15"/>
                <w:szCs w:val="15"/>
              </w:rPr>
              <w:t>2.35</w:t>
            </w:r>
          </w:p>
        </w:tc>
        <w:tc>
          <w:tcPr>
            <w:tcW w:w="92" w:type="dxa"/>
          </w:tcPr>
          <w:p w14:paraId="086D7A6E" w14:textId="77777777" w:rsidR="00126D8D" w:rsidRPr="004A4899" w:rsidRDefault="00126D8D" w:rsidP="00820288">
            <w:pPr>
              <w:spacing w:line="240" w:lineRule="auto"/>
              <w:jc w:val="center"/>
              <w:rPr>
                <w:rFonts w:ascii="Times New Roman" w:hAnsi="Times New Roman" w:cs="Times New Roman"/>
                <w:color w:val="000000"/>
                <w:sz w:val="15"/>
                <w:szCs w:val="15"/>
              </w:rPr>
            </w:pPr>
          </w:p>
        </w:tc>
        <w:tc>
          <w:tcPr>
            <w:tcW w:w="837" w:type="dxa"/>
            <w:noWrap/>
            <w:vAlign w:val="center"/>
            <w:hideMark/>
          </w:tcPr>
          <w:p w14:paraId="6AFE8974" w14:textId="77777777" w:rsidR="00126D8D" w:rsidRPr="004A4899" w:rsidRDefault="00126D8D" w:rsidP="00820288">
            <w:pPr>
              <w:spacing w:line="240" w:lineRule="auto"/>
              <w:jc w:val="center"/>
              <w:rPr>
                <w:rFonts w:ascii="Times New Roman" w:hAnsi="Times New Roman" w:cs="Times New Roman"/>
                <w:color w:val="000000"/>
                <w:sz w:val="15"/>
                <w:szCs w:val="15"/>
              </w:rPr>
            </w:pPr>
            <w:r w:rsidRPr="004A4899">
              <w:rPr>
                <w:rFonts w:ascii="Times New Roman" w:hAnsi="Times New Roman" w:cs="Times New Roman"/>
                <w:color w:val="000000"/>
                <w:sz w:val="15"/>
                <w:szCs w:val="15"/>
              </w:rPr>
              <w:t>&lt;0.0001</w:t>
            </w:r>
          </w:p>
        </w:tc>
        <w:tc>
          <w:tcPr>
            <w:tcW w:w="763" w:type="dxa"/>
            <w:noWrap/>
            <w:vAlign w:val="center"/>
            <w:hideMark/>
          </w:tcPr>
          <w:p w14:paraId="41EC0986" w14:textId="77777777" w:rsidR="00126D8D" w:rsidRPr="004A4899" w:rsidRDefault="00126D8D" w:rsidP="00820288">
            <w:pPr>
              <w:spacing w:line="240" w:lineRule="auto"/>
              <w:jc w:val="center"/>
              <w:rPr>
                <w:rFonts w:ascii="Times New Roman" w:hAnsi="Times New Roman" w:cs="Times New Roman"/>
                <w:color w:val="000000"/>
                <w:sz w:val="15"/>
                <w:szCs w:val="15"/>
              </w:rPr>
            </w:pPr>
            <w:r w:rsidRPr="004A4899">
              <w:rPr>
                <w:rFonts w:ascii="Times New Roman" w:hAnsi="Times New Roman" w:cs="Times New Roman"/>
                <w:color w:val="000000"/>
                <w:sz w:val="15"/>
                <w:szCs w:val="15"/>
              </w:rPr>
              <w:t>0.0521</w:t>
            </w:r>
          </w:p>
        </w:tc>
        <w:tc>
          <w:tcPr>
            <w:tcW w:w="1478" w:type="dxa"/>
            <w:noWrap/>
            <w:vAlign w:val="center"/>
            <w:hideMark/>
          </w:tcPr>
          <w:p w14:paraId="17362031" w14:textId="77777777" w:rsidR="00126D8D" w:rsidRPr="004A4899" w:rsidRDefault="00126D8D" w:rsidP="00820288">
            <w:pPr>
              <w:spacing w:line="240" w:lineRule="auto"/>
              <w:jc w:val="center"/>
              <w:rPr>
                <w:rFonts w:ascii="Times New Roman" w:hAnsi="Times New Roman" w:cs="Times New Roman"/>
                <w:color w:val="000000"/>
                <w:sz w:val="15"/>
                <w:szCs w:val="15"/>
              </w:rPr>
            </w:pPr>
            <w:r w:rsidRPr="004A4899">
              <w:rPr>
                <w:rFonts w:ascii="Times New Roman" w:hAnsi="Times New Roman" w:cs="Times New Roman"/>
                <w:color w:val="000000"/>
                <w:sz w:val="15"/>
                <w:szCs w:val="15"/>
              </w:rPr>
              <w:t>0.0005</w:t>
            </w:r>
          </w:p>
        </w:tc>
      </w:tr>
      <w:tr w:rsidR="00126D8D" w:rsidRPr="00747A19" w14:paraId="7B66CA9F" w14:textId="77777777" w:rsidTr="00820288">
        <w:trPr>
          <w:trHeight w:val="144"/>
          <w:jc w:val="center"/>
        </w:trPr>
        <w:tc>
          <w:tcPr>
            <w:tcW w:w="1778" w:type="dxa"/>
            <w:noWrap/>
            <w:vAlign w:val="center"/>
            <w:hideMark/>
          </w:tcPr>
          <w:p w14:paraId="79B07981" w14:textId="77777777" w:rsidR="00126D8D" w:rsidRPr="004A4899" w:rsidRDefault="00126D8D" w:rsidP="00820288">
            <w:pPr>
              <w:spacing w:line="240" w:lineRule="auto"/>
              <w:rPr>
                <w:rFonts w:ascii="Times New Roman" w:hAnsi="Times New Roman" w:cs="Times New Roman"/>
                <w:color w:val="000000"/>
                <w:sz w:val="15"/>
                <w:szCs w:val="15"/>
              </w:rPr>
            </w:pPr>
            <w:r w:rsidRPr="004A4899">
              <w:rPr>
                <w:rFonts w:ascii="Times New Roman" w:hAnsi="Times New Roman" w:cs="Times New Roman"/>
                <w:color w:val="000000"/>
                <w:sz w:val="15"/>
                <w:szCs w:val="15"/>
              </w:rPr>
              <w:t>Camphene</w:t>
            </w:r>
          </w:p>
        </w:tc>
        <w:tc>
          <w:tcPr>
            <w:tcW w:w="1323" w:type="dxa"/>
            <w:noWrap/>
            <w:vAlign w:val="center"/>
            <w:hideMark/>
          </w:tcPr>
          <w:p w14:paraId="023250E3" w14:textId="77777777" w:rsidR="00126D8D" w:rsidRPr="004A4899" w:rsidRDefault="00126D8D" w:rsidP="00820288">
            <w:pPr>
              <w:spacing w:line="240" w:lineRule="auto"/>
              <w:jc w:val="center"/>
              <w:rPr>
                <w:rFonts w:ascii="Times New Roman" w:hAnsi="Times New Roman" w:cs="Times New Roman"/>
                <w:color w:val="000000"/>
                <w:sz w:val="15"/>
                <w:szCs w:val="15"/>
              </w:rPr>
            </w:pPr>
            <w:r w:rsidRPr="004A4899">
              <w:rPr>
                <w:rFonts w:ascii="Times New Roman" w:hAnsi="Times New Roman" w:cs="Times New Roman"/>
                <w:color w:val="000000"/>
                <w:sz w:val="15"/>
                <w:szCs w:val="15"/>
              </w:rPr>
              <w:t>79-92-5</w:t>
            </w:r>
          </w:p>
        </w:tc>
        <w:tc>
          <w:tcPr>
            <w:tcW w:w="837" w:type="dxa"/>
            <w:noWrap/>
            <w:vAlign w:val="center"/>
            <w:hideMark/>
          </w:tcPr>
          <w:p w14:paraId="5F55D43A" w14:textId="77777777" w:rsidR="00126D8D" w:rsidRPr="004A4899" w:rsidRDefault="00126D8D" w:rsidP="00820288">
            <w:pPr>
              <w:spacing w:line="240" w:lineRule="auto"/>
              <w:jc w:val="center"/>
              <w:rPr>
                <w:rFonts w:ascii="Times New Roman" w:hAnsi="Times New Roman" w:cs="Times New Roman"/>
                <w:color w:val="000000"/>
                <w:sz w:val="15"/>
                <w:szCs w:val="15"/>
              </w:rPr>
            </w:pPr>
            <w:r w:rsidRPr="004A4899">
              <w:rPr>
                <w:rFonts w:ascii="Times New Roman" w:hAnsi="Times New Roman" w:cs="Times New Roman"/>
                <w:color w:val="000000"/>
                <w:sz w:val="15"/>
                <w:szCs w:val="15"/>
              </w:rPr>
              <w:t>70.69</w:t>
            </w:r>
          </w:p>
        </w:tc>
        <w:tc>
          <w:tcPr>
            <w:tcW w:w="763" w:type="dxa"/>
            <w:noWrap/>
            <w:vAlign w:val="center"/>
            <w:hideMark/>
          </w:tcPr>
          <w:p w14:paraId="7ABBA503" w14:textId="77777777" w:rsidR="00126D8D" w:rsidRPr="004A4899" w:rsidRDefault="00126D8D" w:rsidP="00820288">
            <w:pPr>
              <w:spacing w:line="240" w:lineRule="auto"/>
              <w:jc w:val="center"/>
              <w:rPr>
                <w:rFonts w:ascii="Times New Roman" w:hAnsi="Times New Roman" w:cs="Times New Roman"/>
                <w:color w:val="000000"/>
                <w:sz w:val="15"/>
                <w:szCs w:val="15"/>
              </w:rPr>
            </w:pPr>
            <w:r w:rsidRPr="004A4899">
              <w:rPr>
                <w:rFonts w:ascii="Times New Roman" w:hAnsi="Times New Roman" w:cs="Times New Roman"/>
                <w:color w:val="000000"/>
                <w:sz w:val="15"/>
                <w:szCs w:val="15"/>
              </w:rPr>
              <w:t>9.41</w:t>
            </w:r>
          </w:p>
        </w:tc>
        <w:tc>
          <w:tcPr>
            <w:tcW w:w="1478" w:type="dxa"/>
            <w:noWrap/>
            <w:vAlign w:val="center"/>
            <w:hideMark/>
          </w:tcPr>
          <w:p w14:paraId="0BB6632C" w14:textId="77777777" w:rsidR="00126D8D" w:rsidRPr="004A4899" w:rsidRDefault="00126D8D" w:rsidP="00820288">
            <w:pPr>
              <w:spacing w:line="240" w:lineRule="auto"/>
              <w:jc w:val="center"/>
              <w:rPr>
                <w:rFonts w:ascii="Times New Roman" w:hAnsi="Times New Roman" w:cs="Times New Roman"/>
                <w:color w:val="000000"/>
                <w:sz w:val="15"/>
                <w:szCs w:val="15"/>
              </w:rPr>
            </w:pPr>
            <w:r w:rsidRPr="004A4899">
              <w:rPr>
                <w:rFonts w:ascii="Times New Roman" w:hAnsi="Times New Roman" w:cs="Times New Roman"/>
                <w:color w:val="000000"/>
                <w:sz w:val="15"/>
                <w:szCs w:val="15"/>
              </w:rPr>
              <w:t>1.52</w:t>
            </w:r>
          </w:p>
        </w:tc>
        <w:tc>
          <w:tcPr>
            <w:tcW w:w="92" w:type="dxa"/>
          </w:tcPr>
          <w:p w14:paraId="6F0744DB" w14:textId="77777777" w:rsidR="00126D8D" w:rsidRPr="004A4899" w:rsidRDefault="00126D8D" w:rsidP="00820288">
            <w:pPr>
              <w:spacing w:line="240" w:lineRule="auto"/>
              <w:jc w:val="center"/>
              <w:rPr>
                <w:rFonts w:ascii="Times New Roman" w:hAnsi="Times New Roman" w:cs="Times New Roman"/>
                <w:color w:val="000000"/>
                <w:sz w:val="15"/>
                <w:szCs w:val="15"/>
              </w:rPr>
            </w:pPr>
          </w:p>
        </w:tc>
        <w:tc>
          <w:tcPr>
            <w:tcW w:w="837" w:type="dxa"/>
            <w:noWrap/>
            <w:vAlign w:val="center"/>
            <w:hideMark/>
          </w:tcPr>
          <w:p w14:paraId="04E97668" w14:textId="77777777" w:rsidR="00126D8D" w:rsidRPr="004A4899" w:rsidRDefault="00126D8D" w:rsidP="00820288">
            <w:pPr>
              <w:spacing w:line="240" w:lineRule="auto"/>
              <w:jc w:val="center"/>
              <w:rPr>
                <w:rFonts w:ascii="Times New Roman" w:hAnsi="Times New Roman" w:cs="Times New Roman"/>
                <w:color w:val="000000"/>
                <w:sz w:val="15"/>
                <w:szCs w:val="15"/>
              </w:rPr>
            </w:pPr>
            <w:r w:rsidRPr="004A4899">
              <w:rPr>
                <w:rFonts w:ascii="Times New Roman" w:hAnsi="Times New Roman" w:cs="Times New Roman"/>
                <w:color w:val="000000"/>
                <w:sz w:val="15"/>
                <w:szCs w:val="15"/>
              </w:rPr>
              <w:t>&lt;0.0001</w:t>
            </w:r>
          </w:p>
        </w:tc>
        <w:tc>
          <w:tcPr>
            <w:tcW w:w="763" w:type="dxa"/>
            <w:noWrap/>
            <w:vAlign w:val="center"/>
            <w:hideMark/>
          </w:tcPr>
          <w:p w14:paraId="0B70162D" w14:textId="77777777" w:rsidR="00126D8D" w:rsidRPr="004A4899" w:rsidRDefault="00126D8D" w:rsidP="00820288">
            <w:pPr>
              <w:spacing w:line="240" w:lineRule="auto"/>
              <w:jc w:val="center"/>
              <w:rPr>
                <w:rFonts w:ascii="Times New Roman" w:hAnsi="Times New Roman" w:cs="Times New Roman"/>
                <w:color w:val="000000"/>
                <w:sz w:val="15"/>
                <w:szCs w:val="15"/>
              </w:rPr>
            </w:pPr>
            <w:r w:rsidRPr="004A4899">
              <w:rPr>
                <w:rFonts w:ascii="Times New Roman" w:hAnsi="Times New Roman" w:cs="Times New Roman"/>
                <w:color w:val="000000"/>
                <w:sz w:val="15"/>
                <w:szCs w:val="15"/>
              </w:rPr>
              <w:t>&lt;0.0001</w:t>
            </w:r>
          </w:p>
        </w:tc>
        <w:tc>
          <w:tcPr>
            <w:tcW w:w="1478" w:type="dxa"/>
            <w:noWrap/>
            <w:vAlign w:val="center"/>
            <w:hideMark/>
          </w:tcPr>
          <w:p w14:paraId="660F7E22" w14:textId="77777777" w:rsidR="00126D8D" w:rsidRPr="004A4899" w:rsidRDefault="00126D8D" w:rsidP="00820288">
            <w:pPr>
              <w:spacing w:line="240" w:lineRule="auto"/>
              <w:jc w:val="center"/>
              <w:rPr>
                <w:rFonts w:ascii="Times New Roman" w:hAnsi="Times New Roman" w:cs="Times New Roman"/>
                <w:color w:val="000000"/>
                <w:sz w:val="15"/>
                <w:szCs w:val="15"/>
              </w:rPr>
            </w:pPr>
            <w:r w:rsidRPr="004A4899">
              <w:rPr>
                <w:rFonts w:ascii="Times New Roman" w:hAnsi="Times New Roman" w:cs="Times New Roman"/>
                <w:color w:val="000000"/>
                <w:sz w:val="15"/>
                <w:szCs w:val="15"/>
              </w:rPr>
              <w:t>0.0356</w:t>
            </w:r>
          </w:p>
        </w:tc>
      </w:tr>
      <w:tr w:rsidR="00126D8D" w:rsidRPr="00747A19" w14:paraId="0A0AE173" w14:textId="77777777" w:rsidTr="00820288">
        <w:trPr>
          <w:trHeight w:val="144"/>
          <w:jc w:val="center"/>
        </w:trPr>
        <w:tc>
          <w:tcPr>
            <w:tcW w:w="1778" w:type="dxa"/>
            <w:noWrap/>
            <w:vAlign w:val="center"/>
            <w:hideMark/>
          </w:tcPr>
          <w:p w14:paraId="317821A9" w14:textId="77777777" w:rsidR="00126D8D" w:rsidRPr="004A4899" w:rsidRDefault="00126D8D" w:rsidP="00820288">
            <w:pPr>
              <w:spacing w:line="240" w:lineRule="auto"/>
              <w:rPr>
                <w:rFonts w:ascii="Times New Roman" w:hAnsi="Times New Roman" w:cs="Times New Roman"/>
                <w:color w:val="000000"/>
                <w:sz w:val="15"/>
                <w:szCs w:val="15"/>
              </w:rPr>
            </w:pPr>
            <w:r w:rsidRPr="004A4899">
              <w:rPr>
                <w:rFonts w:ascii="Times New Roman" w:hAnsi="Times New Roman" w:cs="Times New Roman"/>
                <w:color w:val="000000"/>
                <w:sz w:val="15"/>
                <w:szCs w:val="15"/>
              </w:rPr>
              <w:t>Isoborneol</w:t>
            </w:r>
          </w:p>
        </w:tc>
        <w:tc>
          <w:tcPr>
            <w:tcW w:w="1323" w:type="dxa"/>
            <w:noWrap/>
            <w:vAlign w:val="center"/>
            <w:hideMark/>
          </w:tcPr>
          <w:p w14:paraId="68B01973" w14:textId="77777777" w:rsidR="00126D8D" w:rsidRPr="004A4899" w:rsidRDefault="00126D8D" w:rsidP="00820288">
            <w:pPr>
              <w:spacing w:line="240" w:lineRule="auto"/>
              <w:jc w:val="center"/>
              <w:rPr>
                <w:rFonts w:ascii="Times New Roman" w:hAnsi="Times New Roman" w:cs="Times New Roman"/>
                <w:color w:val="000000"/>
                <w:sz w:val="15"/>
                <w:szCs w:val="15"/>
              </w:rPr>
            </w:pPr>
            <w:r w:rsidRPr="004A4899">
              <w:rPr>
                <w:rFonts w:ascii="Times New Roman" w:hAnsi="Times New Roman" w:cs="Times New Roman"/>
                <w:color w:val="000000"/>
                <w:sz w:val="15"/>
                <w:szCs w:val="15"/>
              </w:rPr>
              <w:t>507-70-0</w:t>
            </w:r>
          </w:p>
        </w:tc>
        <w:tc>
          <w:tcPr>
            <w:tcW w:w="837" w:type="dxa"/>
            <w:noWrap/>
            <w:vAlign w:val="center"/>
            <w:hideMark/>
          </w:tcPr>
          <w:p w14:paraId="46CD2E70" w14:textId="77777777" w:rsidR="00126D8D" w:rsidRPr="004A4899" w:rsidRDefault="00126D8D" w:rsidP="00820288">
            <w:pPr>
              <w:spacing w:line="240" w:lineRule="auto"/>
              <w:jc w:val="center"/>
              <w:rPr>
                <w:rFonts w:ascii="Times New Roman" w:hAnsi="Times New Roman" w:cs="Times New Roman"/>
                <w:color w:val="000000"/>
                <w:sz w:val="15"/>
                <w:szCs w:val="15"/>
              </w:rPr>
            </w:pPr>
            <w:r w:rsidRPr="004A4899">
              <w:rPr>
                <w:rFonts w:ascii="Times New Roman" w:hAnsi="Times New Roman" w:cs="Times New Roman"/>
                <w:color w:val="000000"/>
                <w:sz w:val="15"/>
                <w:szCs w:val="15"/>
              </w:rPr>
              <w:t>22.21</w:t>
            </w:r>
          </w:p>
        </w:tc>
        <w:tc>
          <w:tcPr>
            <w:tcW w:w="763" w:type="dxa"/>
            <w:noWrap/>
            <w:vAlign w:val="center"/>
            <w:hideMark/>
          </w:tcPr>
          <w:p w14:paraId="487B5A79" w14:textId="77777777" w:rsidR="00126D8D" w:rsidRPr="004A4899" w:rsidRDefault="00126D8D" w:rsidP="00820288">
            <w:pPr>
              <w:spacing w:line="240" w:lineRule="auto"/>
              <w:jc w:val="center"/>
              <w:rPr>
                <w:rFonts w:ascii="Times New Roman" w:hAnsi="Times New Roman" w:cs="Times New Roman"/>
                <w:color w:val="000000"/>
                <w:sz w:val="15"/>
                <w:szCs w:val="15"/>
              </w:rPr>
            </w:pPr>
            <w:r w:rsidRPr="004A4899">
              <w:rPr>
                <w:rFonts w:ascii="Times New Roman" w:hAnsi="Times New Roman" w:cs="Times New Roman"/>
                <w:color w:val="000000"/>
                <w:sz w:val="15"/>
                <w:szCs w:val="15"/>
              </w:rPr>
              <w:t>3.85</w:t>
            </w:r>
          </w:p>
        </w:tc>
        <w:tc>
          <w:tcPr>
            <w:tcW w:w="1478" w:type="dxa"/>
            <w:noWrap/>
            <w:vAlign w:val="center"/>
            <w:hideMark/>
          </w:tcPr>
          <w:p w14:paraId="3F4AC15A" w14:textId="77777777" w:rsidR="00126D8D" w:rsidRPr="004A4899" w:rsidRDefault="00126D8D" w:rsidP="00820288">
            <w:pPr>
              <w:spacing w:line="240" w:lineRule="auto"/>
              <w:jc w:val="center"/>
              <w:rPr>
                <w:rFonts w:ascii="Times New Roman" w:hAnsi="Times New Roman" w:cs="Times New Roman"/>
                <w:color w:val="000000"/>
                <w:sz w:val="15"/>
                <w:szCs w:val="15"/>
              </w:rPr>
            </w:pPr>
            <w:r w:rsidRPr="004A4899">
              <w:rPr>
                <w:rFonts w:ascii="Times New Roman" w:hAnsi="Times New Roman" w:cs="Times New Roman"/>
                <w:color w:val="000000"/>
                <w:sz w:val="15"/>
                <w:szCs w:val="15"/>
              </w:rPr>
              <w:t>1.51</w:t>
            </w:r>
          </w:p>
        </w:tc>
        <w:tc>
          <w:tcPr>
            <w:tcW w:w="92" w:type="dxa"/>
          </w:tcPr>
          <w:p w14:paraId="31E87B07" w14:textId="77777777" w:rsidR="00126D8D" w:rsidRPr="004A4899" w:rsidRDefault="00126D8D" w:rsidP="00820288">
            <w:pPr>
              <w:spacing w:line="240" w:lineRule="auto"/>
              <w:jc w:val="center"/>
              <w:rPr>
                <w:rFonts w:ascii="Times New Roman" w:hAnsi="Times New Roman" w:cs="Times New Roman"/>
                <w:color w:val="000000"/>
                <w:sz w:val="15"/>
                <w:szCs w:val="15"/>
              </w:rPr>
            </w:pPr>
          </w:p>
        </w:tc>
        <w:tc>
          <w:tcPr>
            <w:tcW w:w="837" w:type="dxa"/>
            <w:noWrap/>
            <w:vAlign w:val="center"/>
            <w:hideMark/>
          </w:tcPr>
          <w:p w14:paraId="3EC49382" w14:textId="77777777" w:rsidR="00126D8D" w:rsidRPr="004A4899" w:rsidRDefault="00126D8D" w:rsidP="00820288">
            <w:pPr>
              <w:spacing w:line="240" w:lineRule="auto"/>
              <w:jc w:val="center"/>
              <w:rPr>
                <w:rFonts w:ascii="Times New Roman" w:hAnsi="Times New Roman" w:cs="Times New Roman"/>
                <w:color w:val="000000"/>
                <w:sz w:val="15"/>
                <w:szCs w:val="15"/>
              </w:rPr>
            </w:pPr>
            <w:r w:rsidRPr="004A4899">
              <w:rPr>
                <w:rFonts w:ascii="Times New Roman" w:hAnsi="Times New Roman" w:cs="Times New Roman"/>
                <w:color w:val="000000"/>
                <w:sz w:val="15"/>
                <w:szCs w:val="15"/>
              </w:rPr>
              <w:t>&lt;0.0001</w:t>
            </w:r>
          </w:p>
        </w:tc>
        <w:tc>
          <w:tcPr>
            <w:tcW w:w="763" w:type="dxa"/>
            <w:noWrap/>
            <w:vAlign w:val="center"/>
            <w:hideMark/>
          </w:tcPr>
          <w:p w14:paraId="165BC582" w14:textId="77777777" w:rsidR="00126D8D" w:rsidRPr="004A4899" w:rsidRDefault="00126D8D" w:rsidP="00820288">
            <w:pPr>
              <w:spacing w:line="240" w:lineRule="auto"/>
              <w:jc w:val="center"/>
              <w:rPr>
                <w:rFonts w:ascii="Times New Roman" w:hAnsi="Times New Roman" w:cs="Times New Roman"/>
                <w:color w:val="000000"/>
                <w:sz w:val="15"/>
                <w:szCs w:val="15"/>
              </w:rPr>
            </w:pPr>
            <w:r w:rsidRPr="004A4899">
              <w:rPr>
                <w:rFonts w:ascii="Times New Roman" w:hAnsi="Times New Roman" w:cs="Times New Roman"/>
                <w:color w:val="000000"/>
                <w:sz w:val="15"/>
                <w:szCs w:val="15"/>
              </w:rPr>
              <w:t>&lt;0.0001</w:t>
            </w:r>
          </w:p>
        </w:tc>
        <w:tc>
          <w:tcPr>
            <w:tcW w:w="1478" w:type="dxa"/>
            <w:noWrap/>
            <w:vAlign w:val="center"/>
            <w:hideMark/>
          </w:tcPr>
          <w:p w14:paraId="59B4D98D" w14:textId="77777777" w:rsidR="00126D8D" w:rsidRPr="004A4899" w:rsidRDefault="00126D8D" w:rsidP="00820288">
            <w:pPr>
              <w:spacing w:line="240" w:lineRule="auto"/>
              <w:jc w:val="center"/>
              <w:rPr>
                <w:rFonts w:ascii="Times New Roman" w:hAnsi="Times New Roman" w:cs="Times New Roman"/>
                <w:color w:val="000000"/>
                <w:sz w:val="15"/>
                <w:szCs w:val="15"/>
              </w:rPr>
            </w:pPr>
            <w:r w:rsidRPr="004A4899">
              <w:rPr>
                <w:rFonts w:ascii="Times New Roman" w:hAnsi="Times New Roman" w:cs="Times New Roman"/>
                <w:color w:val="000000"/>
                <w:sz w:val="15"/>
                <w:szCs w:val="15"/>
              </w:rPr>
              <w:t>0.0367</w:t>
            </w:r>
          </w:p>
        </w:tc>
      </w:tr>
      <w:tr w:rsidR="00126D8D" w:rsidRPr="00747A19" w14:paraId="3E9A7AD3" w14:textId="77777777" w:rsidTr="00820288">
        <w:trPr>
          <w:trHeight w:val="144"/>
          <w:jc w:val="center"/>
        </w:trPr>
        <w:tc>
          <w:tcPr>
            <w:tcW w:w="1778" w:type="dxa"/>
            <w:noWrap/>
            <w:vAlign w:val="center"/>
            <w:hideMark/>
          </w:tcPr>
          <w:p w14:paraId="5E77A97B" w14:textId="77777777" w:rsidR="00126D8D" w:rsidRPr="004A4899" w:rsidRDefault="00126D8D" w:rsidP="00820288">
            <w:pPr>
              <w:spacing w:line="240" w:lineRule="auto"/>
              <w:rPr>
                <w:rFonts w:ascii="Times New Roman" w:hAnsi="Times New Roman" w:cs="Times New Roman"/>
                <w:color w:val="000000"/>
                <w:sz w:val="15"/>
                <w:szCs w:val="15"/>
              </w:rPr>
            </w:pPr>
            <w:r w:rsidRPr="004A4899">
              <w:rPr>
                <w:rFonts w:ascii="Times New Roman" w:hAnsi="Times New Roman" w:cs="Times New Roman"/>
                <w:color w:val="000000"/>
                <w:sz w:val="15"/>
                <w:szCs w:val="15"/>
              </w:rPr>
              <w:t>trans-Pinocarveol</w:t>
            </w:r>
          </w:p>
        </w:tc>
        <w:tc>
          <w:tcPr>
            <w:tcW w:w="1323" w:type="dxa"/>
            <w:noWrap/>
            <w:vAlign w:val="center"/>
            <w:hideMark/>
          </w:tcPr>
          <w:p w14:paraId="2FADB012" w14:textId="77777777" w:rsidR="00126D8D" w:rsidRPr="004A4899" w:rsidRDefault="00126D8D" w:rsidP="00820288">
            <w:pPr>
              <w:spacing w:line="240" w:lineRule="auto"/>
              <w:jc w:val="center"/>
              <w:rPr>
                <w:rFonts w:ascii="Times New Roman" w:hAnsi="Times New Roman" w:cs="Times New Roman"/>
                <w:color w:val="000000"/>
                <w:sz w:val="15"/>
                <w:szCs w:val="15"/>
              </w:rPr>
            </w:pPr>
            <w:r w:rsidRPr="004A4899">
              <w:rPr>
                <w:rFonts w:ascii="Times New Roman" w:hAnsi="Times New Roman" w:cs="Times New Roman"/>
                <w:color w:val="000000"/>
                <w:sz w:val="15"/>
                <w:szCs w:val="15"/>
              </w:rPr>
              <w:t>5947-36-4</w:t>
            </w:r>
          </w:p>
        </w:tc>
        <w:tc>
          <w:tcPr>
            <w:tcW w:w="837" w:type="dxa"/>
            <w:noWrap/>
            <w:vAlign w:val="center"/>
            <w:hideMark/>
          </w:tcPr>
          <w:p w14:paraId="35487AF5" w14:textId="77777777" w:rsidR="00126D8D" w:rsidRPr="004A4899" w:rsidRDefault="00126D8D" w:rsidP="00820288">
            <w:pPr>
              <w:spacing w:line="240" w:lineRule="auto"/>
              <w:jc w:val="center"/>
              <w:rPr>
                <w:rFonts w:ascii="Times New Roman" w:hAnsi="Times New Roman" w:cs="Times New Roman"/>
                <w:color w:val="000000"/>
                <w:sz w:val="15"/>
                <w:szCs w:val="15"/>
              </w:rPr>
            </w:pPr>
            <w:r w:rsidRPr="004A4899">
              <w:rPr>
                <w:rFonts w:ascii="Times New Roman" w:hAnsi="Times New Roman" w:cs="Times New Roman"/>
                <w:color w:val="000000"/>
                <w:sz w:val="15"/>
                <w:szCs w:val="15"/>
              </w:rPr>
              <w:t>7.36</w:t>
            </w:r>
          </w:p>
        </w:tc>
        <w:tc>
          <w:tcPr>
            <w:tcW w:w="763" w:type="dxa"/>
            <w:noWrap/>
            <w:vAlign w:val="center"/>
            <w:hideMark/>
          </w:tcPr>
          <w:p w14:paraId="38A1C95E" w14:textId="77777777" w:rsidR="00126D8D" w:rsidRPr="004A4899" w:rsidRDefault="00126D8D" w:rsidP="00820288">
            <w:pPr>
              <w:spacing w:line="240" w:lineRule="auto"/>
              <w:jc w:val="center"/>
              <w:rPr>
                <w:rFonts w:ascii="Times New Roman" w:hAnsi="Times New Roman" w:cs="Times New Roman"/>
                <w:color w:val="000000"/>
                <w:sz w:val="15"/>
                <w:szCs w:val="15"/>
              </w:rPr>
            </w:pPr>
            <w:r w:rsidRPr="004A4899">
              <w:rPr>
                <w:rFonts w:ascii="Times New Roman" w:hAnsi="Times New Roman" w:cs="Times New Roman"/>
                <w:color w:val="000000"/>
                <w:sz w:val="15"/>
                <w:szCs w:val="15"/>
              </w:rPr>
              <w:t>3.32</w:t>
            </w:r>
          </w:p>
        </w:tc>
        <w:tc>
          <w:tcPr>
            <w:tcW w:w="1478" w:type="dxa"/>
            <w:noWrap/>
            <w:vAlign w:val="center"/>
            <w:hideMark/>
          </w:tcPr>
          <w:p w14:paraId="31B6F61D" w14:textId="77777777" w:rsidR="00126D8D" w:rsidRPr="004A4899" w:rsidRDefault="00126D8D" w:rsidP="00820288">
            <w:pPr>
              <w:spacing w:line="240" w:lineRule="auto"/>
              <w:jc w:val="center"/>
              <w:rPr>
                <w:rFonts w:ascii="Times New Roman" w:hAnsi="Times New Roman" w:cs="Times New Roman"/>
                <w:color w:val="000000"/>
                <w:sz w:val="15"/>
                <w:szCs w:val="15"/>
              </w:rPr>
            </w:pPr>
            <w:r w:rsidRPr="004A4899">
              <w:rPr>
                <w:rFonts w:ascii="Times New Roman" w:hAnsi="Times New Roman" w:cs="Times New Roman"/>
                <w:color w:val="000000"/>
                <w:sz w:val="15"/>
                <w:szCs w:val="15"/>
              </w:rPr>
              <w:t>1.89</w:t>
            </w:r>
          </w:p>
        </w:tc>
        <w:tc>
          <w:tcPr>
            <w:tcW w:w="92" w:type="dxa"/>
          </w:tcPr>
          <w:p w14:paraId="530C7DA4" w14:textId="77777777" w:rsidR="00126D8D" w:rsidRPr="004A4899" w:rsidRDefault="00126D8D" w:rsidP="00820288">
            <w:pPr>
              <w:spacing w:line="240" w:lineRule="auto"/>
              <w:jc w:val="center"/>
              <w:rPr>
                <w:rFonts w:ascii="Times New Roman" w:hAnsi="Times New Roman" w:cs="Times New Roman"/>
                <w:color w:val="000000"/>
                <w:sz w:val="15"/>
                <w:szCs w:val="15"/>
              </w:rPr>
            </w:pPr>
          </w:p>
        </w:tc>
        <w:tc>
          <w:tcPr>
            <w:tcW w:w="837" w:type="dxa"/>
            <w:noWrap/>
            <w:vAlign w:val="center"/>
            <w:hideMark/>
          </w:tcPr>
          <w:p w14:paraId="213CE4E1" w14:textId="77777777" w:rsidR="00126D8D" w:rsidRPr="004A4899" w:rsidRDefault="00126D8D" w:rsidP="00820288">
            <w:pPr>
              <w:spacing w:line="240" w:lineRule="auto"/>
              <w:jc w:val="center"/>
              <w:rPr>
                <w:rFonts w:ascii="Times New Roman" w:hAnsi="Times New Roman" w:cs="Times New Roman"/>
                <w:color w:val="000000"/>
                <w:sz w:val="15"/>
                <w:szCs w:val="15"/>
              </w:rPr>
            </w:pPr>
            <w:r w:rsidRPr="004A4899">
              <w:rPr>
                <w:rFonts w:ascii="Times New Roman" w:hAnsi="Times New Roman" w:cs="Times New Roman"/>
                <w:color w:val="000000"/>
                <w:sz w:val="15"/>
                <w:szCs w:val="15"/>
              </w:rPr>
              <w:t>&lt;0.0001</w:t>
            </w:r>
          </w:p>
        </w:tc>
        <w:tc>
          <w:tcPr>
            <w:tcW w:w="763" w:type="dxa"/>
            <w:noWrap/>
            <w:vAlign w:val="center"/>
            <w:hideMark/>
          </w:tcPr>
          <w:p w14:paraId="38255F95" w14:textId="77777777" w:rsidR="00126D8D" w:rsidRPr="004A4899" w:rsidRDefault="00126D8D" w:rsidP="00820288">
            <w:pPr>
              <w:spacing w:line="240" w:lineRule="auto"/>
              <w:jc w:val="center"/>
              <w:rPr>
                <w:rFonts w:ascii="Times New Roman" w:hAnsi="Times New Roman" w:cs="Times New Roman"/>
                <w:color w:val="000000"/>
                <w:sz w:val="15"/>
                <w:szCs w:val="15"/>
              </w:rPr>
            </w:pPr>
            <w:r w:rsidRPr="004A4899">
              <w:rPr>
                <w:rFonts w:ascii="Times New Roman" w:hAnsi="Times New Roman" w:cs="Times New Roman"/>
                <w:color w:val="000000"/>
                <w:sz w:val="15"/>
                <w:szCs w:val="15"/>
              </w:rPr>
              <w:t>0.0002</w:t>
            </w:r>
          </w:p>
        </w:tc>
        <w:tc>
          <w:tcPr>
            <w:tcW w:w="1478" w:type="dxa"/>
            <w:noWrap/>
            <w:vAlign w:val="center"/>
            <w:hideMark/>
          </w:tcPr>
          <w:p w14:paraId="0CD0BAC9" w14:textId="77777777" w:rsidR="00126D8D" w:rsidRPr="004A4899" w:rsidRDefault="00126D8D" w:rsidP="00820288">
            <w:pPr>
              <w:spacing w:line="240" w:lineRule="auto"/>
              <w:jc w:val="center"/>
              <w:rPr>
                <w:rFonts w:ascii="Times New Roman" w:hAnsi="Times New Roman" w:cs="Times New Roman"/>
                <w:color w:val="000000"/>
                <w:sz w:val="15"/>
                <w:szCs w:val="15"/>
              </w:rPr>
            </w:pPr>
            <w:r w:rsidRPr="004A4899">
              <w:rPr>
                <w:rFonts w:ascii="Times New Roman" w:hAnsi="Times New Roman" w:cs="Times New Roman"/>
                <w:color w:val="000000"/>
                <w:sz w:val="15"/>
                <w:szCs w:val="15"/>
              </w:rPr>
              <w:t>0.00027</w:t>
            </w:r>
          </w:p>
        </w:tc>
      </w:tr>
      <w:tr w:rsidR="00126D8D" w:rsidRPr="00747A19" w14:paraId="2D88ABC2" w14:textId="77777777" w:rsidTr="00820288">
        <w:trPr>
          <w:trHeight w:val="144"/>
          <w:jc w:val="center"/>
        </w:trPr>
        <w:tc>
          <w:tcPr>
            <w:tcW w:w="1778" w:type="dxa"/>
            <w:noWrap/>
            <w:vAlign w:val="center"/>
            <w:hideMark/>
          </w:tcPr>
          <w:p w14:paraId="4766C745" w14:textId="77777777" w:rsidR="00126D8D" w:rsidRPr="004A4899" w:rsidRDefault="00126D8D" w:rsidP="00820288">
            <w:pPr>
              <w:spacing w:line="240" w:lineRule="auto"/>
              <w:rPr>
                <w:rFonts w:ascii="Times New Roman" w:hAnsi="Times New Roman" w:cs="Times New Roman"/>
                <w:color w:val="000000"/>
                <w:sz w:val="15"/>
                <w:szCs w:val="15"/>
              </w:rPr>
            </w:pPr>
            <w:r w:rsidRPr="004A4899">
              <w:rPr>
                <w:rFonts w:ascii="Times New Roman" w:hAnsi="Times New Roman" w:cs="Times New Roman"/>
                <w:color w:val="000000"/>
                <w:sz w:val="15"/>
                <w:szCs w:val="15"/>
              </w:rPr>
              <w:t>trans-Sabinene hydrate</w:t>
            </w:r>
          </w:p>
        </w:tc>
        <w:tc>
          <w:tcPr>
            <w:tcW w:w="1323" w:type="dxa"/>
            <w:noWrap/>
            <w:vAlign w:val="center"/>
            <w:hideMark/>
          </w:tcPr>
          <w:p w14:paraId="4CF77B01" w14:textId="77777777" w:rsidR="00126D8D" w:rsidRPr="004A4899" w:rsidRDefault="00126D8D" w:rsidP="00820288">
            <w:pPr>
              <w:spacing w:line="240" w:lineRule="auto"/>
              <w:jc w:val="center"/>
              <w:rPr>
                <w:rFonts w:ascii="Times New Roman" w:hAnsi="Times New Roman" w:cs="Times New Roman"/>
                <w:color w:val="000000"/>
                <w:sz w:val="15"/>
                <w:szCs w:val="15"/>
              </w:rPr>
            </w:pPr>
            <w:r w:rsidRPr="004A4899">
              <w:rPr>
                <w:rFonts w:ascii="Times New Roman" w:hAnsi="Times New Roman" w:cs="Times New Roman"/>
                <w:color w:val="000000"/>
                <w:sz w:val="15"/>
                <w:szCs w:val="15"/>
              </w:rPr>
              <w:t>17699-16-0</w:t>
            </w:r>
          </w:p>
        </w:tc>
        <w:tc>
          <w:tcPr>
            <w:tcW w:w="837" w:type="dxa"/>
            <w:noWrap/>
            <w:vAlign w:val="center"/>
            <w:hideMark/>
          </w:tcPr>
          <w:p w14:paraId="4D36C681" w14:textId="77777777" w:rsidR="00126D8D" w:rsidRPr="004A4899" w:rsidRDefault="00126D8D" w:rsidP="00820288">
            <w:pPr>
              <w:spacing w:line="240" w:lineRule="auto"/>
              <w:jc w:val="center"/>
              <w:rPr>
                <w:rFonts w:ascii="Times New Roman" w:hAnsi="Times New Roman" w:cs="Times New Roman"/>
                <w:color w:val="000000"/>
                <w:sz w:val="15"/>
                <w:szCs w:val="15"/>
              </w:rPr>
            </w:pPr>
            <w:r w:rsidRPr="004A4899">
              <w:rPr>
                <w:rFonts w:ascii="Times New Roman" w:hAnsi="Times New Roman" w:cs="Times New Roman"/>
                <w:color w:val="000000"/>
                <w:sz w:val="15"/>
                <w:szCs w:val="15"/>
              </w:rPr>
              <w:t>158.38</w:t>
            </w:r>
          </w:p>
        </w:tc>
        <w:tc>
          <w:tcPr>
            <w:tcW w:w="763" w:type="dxa"/>
            <w:noWrap/>
            <w:vAlign w:val="center"/>
            <w:hideMark/>
          </w:tcPr>
          <w:p w14:paraId="496A2758" w14:textId="77777777" w:rsidR="00126D8D" w:rsidRPr="004A4899" w:rsidRDefault="00126D8D" w:rsidP="00820288">
            <w:pPr>
              <w:spacing w:line="240" w:lineRule="auto"/>
              <w:jc w:val="center"/>
              <w:rPr>
                <w:rFonts w:ascii="Times New Roman" w:hAnsi="Times New Roman" w:cs="Times New Roman"/>
                <w:color w:val="000000"/>
                <w:sz w:val="15"/>
                <w:szCs w:val="15"/>
              </w:rPr>
            </w:pPr>
            <w:r w:rsidRPr="004A4899">
              <w:rPr>
                <w:rFonts w:ascii="Times New Roman" w:hAnsi="Times New Roman" w:cs="Times New Roman"/>
                <w:color w:val="000000"/>
                <w:sz w:val="15"/>
                <w:szCs w:val="15"/>
              </w:rPr>
              <w:t>5.80</w:t>
            </w:r>
          </w:p>
        </w:tc>
        <w:tc>
          <w:tcPr>
            <w:tcW w:w="1478" w:type="dxa"/>
            <w:noWrap/>
            <w:vAlign w:val="center"/>
            <w:hideMark/>
          </w:tcPr>
          <w:p w14:paraId="087424B4" w14:textId="77777777" w:rsidR="00126D8D" w:rsidRPr="004A4899" w:rsidRDefault="00126D8D" w:rsidP="00820288">
            <w:pPr>
              <w:spacing w:line="240" w:lineRule="auto"/>
              <w:jc w:val="center"/>
              <w:rPr>
                <w:rFonts w:ascii="Times New Roman" w:hAnsi="Times New Roman" w:cs="Times New Roman"/>
                <w:color w:val="000000"/>
                <w:sz w:val="15"/>
                <w:szCs w:val="15"/>
              </w:rPr>
            </w:pPr>
            <w:r w:rsidRPr="004A4899">
              <w:rPr>
                <w:rFonts w:ascii="Times New Roman" w:hAnsi="Times New Roman" w:cs="Times New Roman"/>
                <w:color w:val="000000"/>
                <w:sz w:val="15"/>
                <w:szCs w:val="15"/>
              </w:rPr>
              <w:t>2.66</w:t>
            </w:r>
          </w:p>
        </w:tc>
        <w:tc>
          <w:tcPr>
            <w:tcW w:w="92" w:type="dxa"/>
          </w:tcPr>
          <w:p w14:paraId="6AB0B6AD" w14:textId="77777777" w:rsidR="00126D8D" w:rsidRPr="004A4899" w:rsidRDefault="00126D8D" w:rsidP="00820288">
            <w:pPr>
              <w:spacing w:line="240" w:lineRule="auto"/>
              <w:jc w:val="center"/>
              <w:rPr>
                <w:rFonts w:ascii="Times New Roman" w:hAnsi="Times New Roman" w:cs="Times New Roman"/>
                <w:color w:val="000000"/>
                <w:sz w:val="15"/>
                <w:szCs w:val="15"/>
              </w:rPr>
            </w:pPr>
          </w:p>
        </w:tc>
        <w:tc>
          <w:tcPr>
            <w:tcW w:w="837" w:type="dxa"/>
            <w:noWrap/>
            <w:vAlign w:val="center"/>
            <w:hideMark/>
          </w:tcPr>
          <w:p w14:paraId="185CE7E9" w14:textId="77777777" w:rsidR="00126D8D" w:rsidRPr="004A4899" w:rsidRDefault="00126D8D" w:rsidP="00820288">
            <w:pPr>
              <w:spacing w:line="240" w:lineRule="auto"/>
              <w:jc w:val="center"/>
              <w:rPr>
                <w:rFonts w:ascii="Times New Roman" w:hAnsi="Times New Roman" w:cs="Times New Roman"/>
                <w:color w:val="000000"/>
                <w:sz w:val="15"/>
                <w:szCs w:val="15"/>
              </w:rPr>
            </w:pPr>
            <w:r w:rsidRPr="004A4899">
              <w:rPr>
                <w:rFonts w:ascii="Times New Roman" w:hAnsi="Times New Roman" w:cs="Times New Roman"/>
                <w:color w:val="000000"/>
                <w:sz w:val="15"/>
                <w:szCs w:val="15"/>
              </w:rPr>
              <w:t>&lt;0.0001</w:t>
            </w:r>
          </w:p>
        </w:tc>
        <w:tc>
          <w:tcPr>
            <w:tcW w:w="763" w:type="dxa"/>
            <w:noWrap/>
            <w:vAlign w:val="center"/>
            <w:hideMark/>
          </w:tcPr>
          <w:p w14:paraId="3F39A00C" w14:textId="77777777" w:rsidR="00126D8D" w:rsidRPr="004A4899" w:rsidRDefault="00126D8D" w:rsidP="00820288">
            <w:pPr>
              <w:spacing w:line="240" w:lineRule="auto"/>
              <w:jc w:val="center"/>
              <w:rPr>
                <w:rFonts w:ascii="Times New Roman" w:hAnsi="Times New Roman" w:cs="Times New Roman"/>
                <w:color w:val="000000"/>
                <w:sz w:val="15"/>
                <w:szCs w:val="15"/>
              </w:rPr>
            </w:pPr>
            <w:r w:rsidRPr="004A4899">
              <w:rPr>
                <w:rFonts w:ascii="Times New Roman" w:hAnsi="Times New Roman" w:cs="Times New Roman"/>
                <w:color w:val="000000"/>
                <w:sz w:val="15"/>
                <w:szCs w:val="15"/>
              </w:rPr>
              <w:t>&lt;0.0001</w:t>
            </w:r>
          </w:p>
        </w:tc>
        <w:tc>
          <w:tcPr>
            <w:tcW w:w="1478" w:type="dxa"/>
            <w:noWrap/>
            <w:vAlign w:val="center"/>
            <w:hideMark/>
          </w:tcPr>
          <w:p w14:paraId="20BDD45D" w14:textId="77777777" w:rsidR="00126D8D" w:rsidRPr="004A4899" w:rsidRDefault="00126D8D" w:rsidP="00820288">
            <w:pPr>
              <w:spacing w:line="240" w:lineRule="auto"/>
              <w:jc w:val="center"/>
              <w:rPr>
                <w:rFonts w:ascii="Times New Roman" w:hAnsi="Times New Roman" w:cs="Times New Roman"/>
                <w:color w:val="000000"/>
                <w:sz w:val="15"/>
                <w:szCs w:val="15"/>
              </w:rPr>
            </w:pPr>
            <w:r w:rsidRPr="004A4899">
              <w:rPr>
                <w:rFonts w:ascii="Times New Roman" w:hAnsi="Times New Roman" w:cs="Times New Roman"/>
                <w:color w:val="000000"/>
                <w:sz w:val="15"/>
                <w:szCs w:val="15"/>
              </w:rPr>
              <w:t>&lt;0.0001</w:t>
            </w:r>
          </w:p>
        </w:tc>
      </w:tr>
      <w:tr w:rsidR="00126D8D" w:rsidRPr="00747A19" w14:paraId="6EB617F7" w14:textId="77777777" w:rsidTr="00820288">
        <w:trPr>
          <w:trHeight w:val="144"/>
          <w:jc w:val="center"/>
        </w:trPr>
        <w:tc>
          <w:tcPr>
            <w:tcW w:w="1778" w:type="dxa"/>
            <w:noWrap/>
            <w:vAlign w:val="center"/>
            <w:hideMark/>
          </w:tcPr>
          <w:p w14:paraId="6F31FF40" w14:textId="77777777" w:rsidR="00126D8D" w:rsidRPr="004A4899" w:rsidRDefault="00126D8D" w:rsidP="00820288">
            <w:pPr>
              <w:spacing w:line="240" w:lineRule="auto"/>
              <w:rPr>
                <w:rFonts w:ascii="Times New Roman" w:hAnsi="Times New Roman" w:cs="Times New Roman"/>
                <w:color w:val="000000"/>
                <w:sz w:val="15"/>
                <w:szCs w:val="15"/>
              </w:rPr>
            </w:pPr>
            <w:r w:rsidRPr="004A4899">
              <w:rPr>
                <w:rFonts w:ascii="Times New Roman" w:hAnsi="Times New Roman" w:cs="Times New Roman"/>
                <w:color w:val="000000"/>
                <w:sz w:val="15"/>
                <w:szCs w:val="15"/>
              </w:rPr>
              <w:t>α-Pinene</w:t>
            </w:r>
          </w:p>
        </w:tc>
        <w:tc>
          <w:tcPr>
            <w:tcW w:w="1323" w:type="dxa"/>
            <w:noWrap/>
            <w:vAlign w:val="center"/>
            <w:hideMark/>
          </w:tcPr>
          <w:p w14:paraId="6C1A28EB" w14:textId="77777777" w:rsidR="00126D8D" w:rsidRPr="004A4899" w:rsidRDefault="00126D8D" w:rsidP="00820288">
            <w:pPr>
              <w:spacing w:line="240" w:lineRule="auto"/>
              <w:jc w:val="center"/>
              <w:rPr>
                <w:rFonts w:ascii="Times New Roman" w:hAnsi="Times New Roman" w:cs="Times New Roman"/>
                <w:color w:val="000000"/>
                <w:sz w:val="15"/>
                <w:szCs w:val="15"/>
              </w:rPr>
            </w:pPr>
            <w:r w:rsidRPr="004A4899">
              <w:rPr>
                <w:rFonts w:ascii="Times New Roman" w:hAnsi="Times New Roman" w:cs="Times New Roman"/>
                <w:color w:val="000000"/>
                <w:sz w:val="15"/>
                <w:szCs w:val="15"/>
              </w:rPr>
              <w:t>80-56-8</w:t>
            </w:r>
          </w:p>
        </w:tc>
        <w:tc>
          <w:tcPr>
            <w:tcW w:w="837" w:type="dxa"/>
            <w:noWrap/>
            <w:vAlign w:val="center"/>
            <w:hideMark/>
          </w:tcPr>
          <w:p w14:paraId="42A0A426" w14:textId="77777777" w:rsidR="00126D8D" w:rsidRPr="004A4899" w:rsidRDefault="00126D8D" w:rsidP="00820288">
            <w:pPr>
              <w:spacing w:line="240" w:lineRule="auto"/>
              <w:jc w:val="center"/>
              <w:rPr>
                <w:rFonts w:ascii="Times New Roman" w:hAnsi="Times New Roman" w:cs="Times New Roman"/>
                <w:color w:val="000000"/>
                <w:sz w:val="15"/>
                <w:szCs w:val="15"/>
              </w:rPr>
            </w:pPr>
            <w:r w:rsidRPr="004A4899">
              <w:rPr>
                <w:rFonts w:ascii="Times New Roman" w:hAnsi="Times New Roman" w:cs="Times New Roman"/>
                <w:color w:val="000000"/>
                <w:sz w:val="15"/>
                <w:szCs w:val="15"/>
              </w:rPr>
              <w:t>73.74</w:t>
            </w:r>
          </w:p>
        </w:tc>
        <w:tc>
          <w:tcPr>
            <w:tcW w:w="763" w:type="dxa"/>
            <w:noWrap/>
            <w:vAlign w:val="center"/>
            <w:hideMark/>
          </w:tcPr>
          <w:p w14:paraId="27C62B7C" w14:textId="77777777" w:rsidR="00126D8D" w:rsidRPr="004A4899" w:rsidRDefault="00126D8D" w:rsidP="00820288">
            <w:pPr>
              <w:spacing w:line="240" w:lineRule="auto"/>
              <w:jc w:val="center"/>
              <w:rPr>
                <w:rFonts w:ascii="Times New Roman" w:hAnsi="Times New Roman" w:cs="Times New Roman"/>
                <w:color w:val="000000"/>
                <w:sz w:val="15"/>
                <w:szCs w:val="15"/>
              </w:rPr>
            </w:pPr>
            <w:r w:rsidRPr="004A4899">
              <w:rPr>
                <w:rFonts w:ascii="Times New Roman" w:hAnsi="Times New Roman" w:cs="Times New Roman"/>
                <w:color w:val="000000"/>
                <w:sz w:val="15"/>
                <w:szCs w:val="15"/>
              </w:rPr>
              <w:t>9.40</w:t>
            </w:r>
          </w:p>
        </w:tc>
        <w:tc>
          <w:tcPr>
            <w:tcW w:w="1478" w:type="dxa"/>
            <w:noWrap/>
            <w:vAlign w:val="center"/>
            <w:hideMark/>
          </w:tcPr>
          <w:p w14:paraId="787EFA2D" w14:textId="77777777" w:rsidR="00126D8D" w:rsidRPr="004A4899" w:rsidRDefault="00126D8D" w:rsidP="00820288">
            <w:pPr>
              <w:spacing w:line="240" w:lineRule="auto"/>
              <w:jc w:val="center"/>
              <w:rPr>
                <w:rFonts w:ascii="Times New Roman" w:hAnsi="Times New Roman" w:cs="Times New Roman"/>
                <w:color w:val="000000"/>
                <w:sz w:val="15"/>
                <w:szCs w:val="15"/>
              </w:rPr>
            </w:pPr>
            <w:r w:rsidRPr="004A4899">
              <w:rPr>
                <w:rFonts w:ascii="Times New Roman" w:hAnsi="Times New Roman" w:cs="Times New Roman"/>
                <w:color w:val="000000"/>
                <w:sz w:val="15"/>
                <w:szCs w:val="15"/>
              </w:rPr>
              <w:t>1.65</w:t>
            </w:r>
          </w:p>
        </w:tc>
        <w:tc>
          <w:tcPr>
            <w:tcW w:w="92" w:type="dxa"/>
          </w:tcPr>
          <w:p w14:paraId="3A509126" w14:textId="77777777" w:rsidR="00126D8D" w:rsidRPr="004A4899" w:rsidRDefault="00126D8D" w:rsidP="00820288">
            <w:pPr>
              <w:spacing w:line="240" w:lineRule="auto"/>
              <w:jc w:val="center"/>
              <w:rPr>
                <w:rFonts w:ascii="Times New Roman" w:hAnsi="Times New Roman" w:cs="Times New Roman"/>
                <w:color w:val="000000"/>
                <w:sz w:val="15"/>
                <w:szCs w:val="15"/>
              </w:rPr>
            </w:pPr>
          </w:p>
        </w:tc>
        <w:tc>
          <w:tcPr>
            <w:tcW w:w="837" w:type="dxa"/>
            <w:noWrap/>
            <w:vAlign w:val="center"/>
            <w:hideMark/>
          </w:tcPr>
          <w:p w14:paraId="3FDD41EF" w14:textId="77777777" w:rsidR="00126D8D" w:rsidRPr="004A4899" w:rsidRDefault="00126D8D" w:rsidP="00820288">
            <w:pPr>
              <w:spacing w:line="240" w:lineRule="auto"/>
              <w:jc w:val="center"/>
              <w:rPr>
                <w:rFonts w:ascii="Times New Roman" w:hAnsi="Times New Roman" w:cs="Times New Roman"/>
                <w:color w:val="000000"/>
                <w:sz w:val="15"/>
                <w:szCs w:val="15"/>
              </w:rPr>
            </w:pPr>
            <w:r w:rsidRPr="004A4899">
              <w:rPr>
                <w:rFonts w:ascii="Times New Roman" w:hAnsi="Times New Roman" w:cs="Times New Roman"/>
                <w:color w:val="000000"/>
                <w:sz w:val="15"/>
                <w:szCs w:val="15"/>
              </w:rPr>
              <w:t>&lt;0.0001</w:t>
            </w:r>
          </w:p>
        </w:tc>
        <w:tc>
          <w:tcPr>
            <w:tcW w:w="763" w:type="dxa"/>
            <w:noWrap/>
            <w:vAlign w:val="center"/>
            <w:hideMark/>
          </w:tcPr>
          <w:p w14:paraId="26375394" w14:textId="77777777" w:rsidR="00126D8D" w:rsidRPr="004A4899" w:rsidRDefault="00126D8D" w:rsidP="00820288">
            <w:pPr>
              <w:spacing w:line="240" w:lineRule="auto"/>
              <w:jc w:val="center"/>
              <w:rPr>
                <w:rFonts w:ascii="Times New Roman" w:hAnsi="Times New Roman" w:cs="Times New Roman"/>
                <w:color w:val="000000"/>
                <w:sz w:val="15"/>
                <w:szCs w:val="15"/>
              </w:rPr>
            </w:pPr>
            <w:r w:rsidRPr="004A4899">
              <w:rPr>
                <w:rFonts w:ascii="Times New Roman" w:hAnsi="Times New Roman" w:cs="Times New Roman"/>
                <w:color w:val="000000"/>
                <w:sz w:val="15"/>
                <w:szCs w:val="15"/>
              </w:rPr>
              <w:t>&lt;0.0001</w:t>
            </w:r>
          </w:p>
        </w:tc>
        <w:tc>
          <w:tcPr>
            <w:tcW w:w="1478" w:type="dxa"/>
            <w:noWrap/>
            <w:vAlign w:val="center"/>
            <w:hideMark/>
          </w:tcPr>
          <w:p w14:paraId="338E21DE" w14:textId="77777777" w:rsidR="00126D8D" w:rsidRPr="004A4899" w:rsidRDefault="00126D8D" w:rsidP="00820288">
            <w:pPr>
              <w:spacing w:line="240" w:lineRule="auto"/>
              <w:jc w:val="center"/>
              <w:rPr>
                <w:rFonts w:ascii="Times New Roman" w:hAnsi="Times New Roman" w:cs="Times New Roman"/>
                <w:color w:val="000000"/>
                <w:sz w:val="15"/>
                <w:szCs w:val="15"/>
              </w:rPr>
            </w:pPr>
            <w:r w:rsidRPr="004A4899">
              <w:rPr>
                <w:rFonts w:ascii="Times New Roman" w:hAnsi="Times New Roman" w:cs="Times New Roman"/>
                <w:color w:val="000000"/>
                <w:sz w:val="15"/>
                <w:szCs w:val="15"/>
              </w:rPr>
              <w:t>0.0152</w:t>
            </w:r>
          </w:p>
        </w:tc>
      </w:tr>
      <w:tr w:rsidR="00126D8D" w:rsidRPr="00747A19" w14:paraId="3493C69E" w14:textId="77777777" w:rsidTr="00820288">
        <w:trPr>
          <w:trHeight w:val="144"/>
          <w:jc w:val="center"/>
        </w:trPr>
        <w:tc>
          <w:tcPr>
            <w:tcW w:w="1778" w:type="dxa"/>
            <w:noWrap/>
            <w:vAlign w:val="center"/>
            <w:hideMark/>
          </w:tcPr>
          <w:p w14:paraId="5AC24229" w14:textId="77777777" w:rsidR="00126D8D" w:rsidRPr="004A4899" w:rsidRDefault="00126D8D" w:rsidP="00820288">
            <w:pPr>
              <w:spacing w:line="240" w:lineRule="auto"/>
              <w:rPr>
                <w:rFonts w:ascii="Times New Roman" w:hAnsi="Times New Roman" w:cs="Times New Roman"/>
                <w:color w:val="000000"/>
                <w:sz w:val="15"/>
                <w:szCs w:val="15"/>
              </w:rPr>
            </w:pPr>
            <w:r w:rsidRPr="004A4899">
              <w:rPr>
                <w:rFonts w:ascii="Times New Roman" w:hAnsi="Times New Roman" w:cs="Times New Roman"/>
                <w:color w:val="000000"/>
                <w:sz w:val="15"/>
                <w:szCs w:val="15"/>
              </w:rPr>
              <w:t>β-Pinene</w:t>
            </w:r>
          </w:p>
        </w:tc>
        <w:tc>
          <w:tcPr>
            <w:tcW w:w="1323" w:type="dxa"/>
            <w:noWrap/>
            <w:vAlign w:val="center"/>
            <w:hideMark/>
          </w:tcPr>
          <w:p w14:paraId="6970FA3B" w14:textId="77777777" w:rsidR="00126D8D" w:rsidRPr="004A4899" w:rsidRDefault="00126D8D" w:rsidP="00820288">
            <w:pPr>
              <w:spacing w:line="240" w:lineRule="auto"/>
              <w:jc w:val="center"/>
              <w:rPr>
                <w:rFonts w:ascii="Times New Roman" w:hAnsi="Times New Roman" w:cs="Times New Roman"/>
                <w:color w:val="000000"/>
                <w:sz w:val="15"/>
                <w:szCs w:val="15"/>
              </w:rPr>
            </w:pPr>
            <w:r w:rsidRPr="004A4899">
              <w:rPr>
                <w:rFonts w:ascii="Times New Roman" w:hAnsi="Times New Roman" w:cs="Times New Roman"/>
                <w:color w:val="000000"/>
                <w:sz w:val="15"/>
                <w:szCs w:val="15"/>
              </w:rPr>
              <w:t>127-91-3</w:t>
            </w:r>
          </w:p>
        </w:tc>
        <w:tc>
          <w:tcPr>
            <w:tcW w:w="837" w:type="dxa"/>
            <w:noWrap/>
            <w:vAlign w:val="center"/>
            <w:hideMark/>
          </w:tcPr>
          <w:p w14:paraId="2E3C9362" w14:textId="77777777" w:rsidR="00126D8D" w:rsidRPr="004A4899" w:rsidRDefault="00126D8D" w:rsidP="00820288">
            <w:pPr>
              <w:spacing w:line="240" w:lineRule="auto"/>
              <w:jc w:val="center"/>
              <w:rPr>
                <w:rFonts w:ascii="Times New Roman" w:hAnsi="Times New Roman" w:cs="Times New Roman"/>
                <w:color w:val="000000"/>
                <w:sz w:val="15"/>
                <w:szCs w:val="15"/>
              </w:rPr>
            </w:pPr>
            <w:r w:rsidRPr="004A4899">
              <w:rPr>
                <w:rFonts w:ascii="Times New Roman" w:hAnsi="Times New Roman" w:cs="Times New Roman"/>
                <w:color w:val="000000"/>
                <w:sz w:val="15"/>
                <w:szCs w:val="15"/>
              </w:rPr>
              <w:t>49.46</w:t>
            </w:r>
          </w:p>
        </w:tc>
        <w:tc>
          <w:tcPr>
            <w:tcW w:w="763" w:type="dxa"/>
            <w:noWrap/>
            <w:vAlign w:val="center"/>
            <w:hideMark/>
          </w:tcPr>
          <w:p w14:paraId="64EEEA4B" w14:textId="77777777" w:rsidR="00126D8D" w:rsidRPr="004A4899" w:rsidRDefault="00126D8D" w:rsidP="00820288">
            <w:pPr>
              <w:spacing w:line="240" w:lineRule="auto"/>
              <w:jc w:val="center"/>
              <w:rPr>
                <w:rFonts w:ascii="Times New Roman" w:hAnsi="Times New Roman" w:cs="Times New Roman"/>
                <w:color w:val="000000"/>
                <w:sz w:val="15"/>
                <w:szCs w:val="15"/>
              </w:rPr>
            </w:pPr>
            <w:r w:rsidRPr="004A4899">
              <w:rPr>
                <w:rFonts w:ascii="Times New Roman" w:hAnsi="Times New Roman" w:cs="Times New Roman"/>
                <w:color w:val="000000"/>
                <w:sz w:val="15"/>
                <w:szCs w:val="15"/>
              </w:rPr>
              <w:t>5.93</w:t>
            </w:r>
          </w:p>
        </w:tc>
        <w:tc>
          <w:tcPr>
            <w:tcW w:w="1478" w:type="dxa"/>
            <w:noWrap/>
            <w:vAlign w:val="center"/>
            <w:hideMark/>
          </w:tcPr>
          <w:p w14:paraId="3C9F3B54" w14:textId="77777777" w:rsidR="00126D8D" w:rsidRPr="004A4899" w:rsidRDefault="00126D8D" w:rsidP="00820288">
            <w:pPr>
              <w:spacing w:line="240" w:lineRule="auto"/>
              <w:jc w:val="center"/>
              <w:rPr>
                <w:rFonts w:ascii="Times New Roman" w:hAnsi="Times New Roman" w:cs="Times New Roman"/>
                <w:color w:val="000000"/>
                <w:sz w:val="15"/>
                <w:szCs w:val="15"/>
              </w:rPr>
            </w:pPr>
            <w:r w:rsidRPr="004A4899">
              <w:rPr>
                <w:rFonts w:ascii="Times New Roman" w:hAnsi="Times New Roman" w:cs="Times New Roman"/>
                <w:color w:val="000000"/>
                <w:sz w:val="15"/>
                <w:szCs w:val="15"/>
              </w:rPr>
              <w:t>1.86</w:t>
            </w:r>
          </w:p>
        </w:tc>
        <w:tc>
          <w:tcPr>
            <w:tcW w:w="92" w:type="dxa"/>
          </w:tcPr>
          <w:p w14:paraId="43B3D790" w14:textId="77777777" w:rsidR="00126D8D" w:rsidRPr="004A4899" w:rsidRDefault="00126D8D" w:rsidP="00820288">
            <w:pPr>
              <w:spacing w:line="240" w:lineRule="auto"/>
              <w:jc w:val="center"/>
              <w:rPr>
                <w:rFonts w:ascii="Times New Roman" w:hAnsi="Times New Roman" w:cs="Times New Roman"/>
                <w:color w:val="000000"/>
                <w:sz w:val="15"/>
                <w:szCs w:val="15"/>
              </w:rPr>
            </w:pPr>
          </w:p>
        </w:tc>
        <w:tc>
          <w:tcPr>
            <w:tcW w:w="837" w:type="dxa"/>
            <w:noWrap/>
            <w:vAlign w:val="center"/>
            <w:hideMark/>
          </w:tcPr>
          <w:p w14:paraId="6561852E" w14:textId="77777777" w:rsidR="00126D8D" w:rsidRPr="004A4899" w:rsidRDefault="00126D8D" w:rsidP="00820288">
            <w:pPr>
              <w:spacing w:line="240" w:lineRule="auto"/>
              <w:jc w:val="center"/>
              <w:rPr>
                <w:rFonts w:ascii="Times New Roman" w:hAnsi="Times New Roman" w:cs="Times New Roman"/>
                <w:color w:val="000000"/>
                <w:sz w:val="15"/>
                <w:szCs w:val="15"/>
              </w:rPr>
            </w:pPr>
            <w:r w:rsidRPr="004A4899">
              <w:rPr>
                <w:rFonts w:ascii="Times New Roman" w:hAnsi="Times New Roman" w:cs="Times New Roman"/>
                <w:color w:val="000000"/>
                <w:sz w:val="15"/>
                <w:szCs w:val="15"/>
              </w:rPr>
              <w:t>&lt;0.0001</w:t>
            </w:r>
          </w:p>
        </w:tc>
        <w:tc>
          <w:tcPr>
            <w:tcW w:w="763" w:type="dxa"/>
            <w:noWrap/>
            <w:vAlign w:val="center"/>
            <w:hideMark/>
          </w:tcPr>
          <w:p w14:paraId="693F15B1" w14:textId="77777777" w:rsidR="00126D8D" w:rsidRPr="004A4899" w:rsidRDefault="00126D8D" w:rsidP="00820288">
            <w:pPr>
              <w:spacing w:line="240" w:lineRule="auto"/>
              <w:jc w:val="center"/>
              <w:rPr>
                <w:rFonts w:ascii="Times New Roman" w:hAnsi="Times New Roman" w:cs="Times New Roman"/>
                <w:color w:val="000000"/>
                <w:sz w:val="15"/>
                <w:szCs w:val="15"/>
              </w:rPr>
            </w:pPr>
            <w:r w:rsidRPr="004A4899">
              <w:rPr>
                <w:rFonts w:ascii="Times New Roman" w:hAnsi="Times New Roman" w:cs="Times New Roman"/>
                <w:color w:val="000000"/>
                <w:sz w:val="15"/>
                <w:szCs w:val="15"/>
              </w:rPr>
              <w:t>&lt;0.0001</w:t>
            </w:r>
          </w:p>
        </w:tc>
        <w:tc>
          <w:tcPr>
            <w:tcW w:w="1478" w:type="dxa"/>
            <w:noWrap/>
            <w:vAlign w:val="center"/>
            <w:hideMark/>
          </w:tcPr>
          <w:p w14:paraId="34301B4A" w14:textId="77777777" w:rsidR="00126D8D" w:rsidRPr="004A4899" w:rsidRDefault="00126D8D" w:rsidP="00820288">
            <w:pPr>
              <w:spacing w:line="240" w:lineRule="auto"/>
              <w:jc w:val="center"/>
              <w:rPr>
                <w:rFonts w:ascii="Times New Roman" w:hAnsi="Times New Roman" w:cs="Times New Roman"/>
                <w:color w:val="000000"/>
                <w:sz w:val="15"/>
                <w:szCs w:val="15"/>
              </w:rPr>
            </w:pPr>
            <w:r w:rsidRPr="004A4899">
              <w:rPr>
                <w:rFonts w:ascii="Times New Roman" w:hAnsi="Times New Roman" w:cs="Times New Roman"/>
                <w:color w:val="000000"/>
                <w:sz w:val="15"/>
                <w:szCs w:val="15"/>
              </w:rPr>
              <w:t>0.0032</w:t>
            </w:r>
          </w:p>
        </w:tc>
      </w:tr>
      <w:tr w:rsidR="00126D8D" w:rsidRPr="00747A19" w14:paraId="5785856E" w14:textId="77777777" w:rsidTr="00820288">
        <w:trPr>
          <w:trHeight w:val="144"/>
          <w:jc w:val="center"/>
        </w:trPr>
        <w:tc>
          <w:tcPr>
            <w:tcW w:w="1778" w:type="dxa"/>
            <w:noWrap/>
            <w:vAlign w:val="center"/>
          </w:tcPr>
          <w:p w14:paraId="243761FC" w14:textId="77777777" w:rsidR="00126D8D" w:rsidRPr="004A4899" w:rsidRDefault="00126D8D" w:rsidP="00820288">
            <w:pPr>
              <w:spacing w:line="240" w:lineRule="auto"/>
              <w:rPr>
                <w:rFonts w:ascii="Times New Roman" w:hAnsi="Times New Roman" w:cs="Times New Roman"/>
                <w:b/>
                <w:bCs/>
                <w:color w:val="000000"/>
                <w:sz w:val="15"/>
                <w:szCs w:val="15"/>
              </w:rPr>
            </w:pPr>
            <w:r w:rsidRPr="004A4899">
              <w:rPr>
                <w:rFonts w:ascii="Times New Roman" w:hAnsi="Times New Roman" w:cs="Times New Roman"/>
                <w:b/>
                <w:bCs/>
                <w:color w:val="000000"/>
                <w:sz w:val="15"/>
                <w:szCs w:val="15"/>
              </w:rPr>
              <w:t>Cyclic Monoterpenes</w:t>
            </w:r>
          </w:p>
        </w:tc>
        <w:tc>
          <w:tcPr>
            <w:tcW w:w="1323" w:type="dxa"/>
            <w:noWrap/>
            <w:vAlign w:val="center"/>
          </w:tcPr>
          <w:p w14:paraId="7BB6B811" w14:textId="77777777" w:rsidR="00126D8D" w:rsidRPr="004A4899" w:rsidRDefault="00126D8D" w:rsidP="00820288">
            <w:pPr>
              <w:spacing w:line="240" w:lineRule="auto"/>
              <w:jc w:val="center"/>
              <w:rPr>
                <w:rFonts w:ascii="Times New Roman" w:hAnsi="Times New Roman" w:cs="Times New Roman"/>
                <w:color w:val="000000"/>
                <w:sz w:val="15"/>
                <w:szCs w:val="15"/>
              </w:rPr>
            </w:pPr>
          </w:p>
        </w:tc>
        <w:tc>
          <w:tcPr>
            <w:tcW w:w="837" w:type="dxa"/>
            <w:noWrap/>
            <w:vAlign w:val="center"/>
          </w:tcPr>
          <w:p w14:paraId="2BC054DF" w14:textId="77777777" w:rsidR="00126D8D" w:rsidRPr="004A4899" w:rsidRDefault="00126D8D" w:rsidP="00820288">
            <w:pPr>
              <w:spacing w:line="240" w:lineRule="auto"/>
              <w:jc w:val="center"/>
              <w:rPr>
                <w:rFonts w:ascii="Times New Roman" w:hAnsi="Times New Roman" w:cs="Times New Roman"/>
                <w:color w:val="000000"/>
                <w:sz w:val="15"/>
                <w:szCs w:val="15"/>
              </w:rPr>
            </w:pPr>
          </w:p>
        </w:tc>
        <w:tc>
          <w:tcPr>
            <w:tcW w:w="763" w:type="dxa"/>
            <w:noWrap/>
            <w:vAlign w:val="center"/>
          </w:tcPr>
          <w:p w14:paraId="0C84A9AF" w14:textId="77777777" w:rsidR="00126D8D" w:rsidRPr="004A4899" w:rsidRDefault="00126D8D" w:rsidP="00820288">
            <w:pPr>
              <w:spacing w:line="240" w:lineRule="auto"/>
              <w:jc w:val="center"/>
              <w:rPr>
                <w:rFonts w:ascii="Times New Roman" w:hAnsi="Times New Roman" w:cs="Times New Roman"/>
                <w:color w:val="000000"/>
                <w:sz w:val="15"/>
                <w:szCs w:val="15"/>
              </w:rPr>
            </w:pPr>
          </w:p>
        </w:tc>
        <w:tc>
          <w:tcPr>
            <w:tcW w:w="1478" w:type="dxa"/>
            <w:noWrap/>
            <w:vAlign w:val="center"/>
          </w:tcPr>
          <w:p w14:paraId="586E5AAA" w14:textId="77777777" w:rsidR="00126D8D" w:rsidRPr="004A4899" w:rsidRDefault="00126D8D" w:rsidP="00820288">
            <w:pPr>
              <w:spacing w:line="240" w:lineRule="auto"/>
              <w:jc w:val="center"/>
              <w:rPr>
                <w:rFonts w:ascii="Times New Roman" w:hAnsi="Times New Roman" w:cs="Times New Roman"/>
                <w:color w:val="000000"/>
                <w:sz w:val="15"/>
                <w:szCs w:val="15"/>
              </w:rPr>
            </w:pPr>
          </w:p>
        </w:tc>
        <w:tc>
          <w:tcPr>
            <w:tcW w:w="92" w:type="dxa"/>
          </w:tcPr>
          <w:p w14:paraId="1C991F86" w14:textId="77777777" w:rsidR="00126D8D" w:rsidRPr="004A4899" w:rsidRDefault="00126D8D" w:rsidP="00820288">
            <w:pPr>
              <w:spacing w:line="240" w:lineRule="auto"/>
              <w:jc w:val="center"/>
              <w:rPr>
                <w:rFonts w:ascii="Times New Roman" w:hAnsi="Times New Roman" w:cs="Times New Roman"/>
                <w:color w:val="000000"/>
                <w:sz w:val="15"/>
                <w:szCs w:val="15"/>
              </w:rPr>
            </w:pPr>
          </w:p>
        </w:tc>
        <w:tc>
          <w:tcPr>
            <w:tcW w:w="837" w:type="dxa"/>
            <w:noWrap/>
            <w:vAlign w:val="center"/>
          </w:tcPr>
          <w:p w14:paraId="395B2382" w14:textId="77777777" w:rsidR="00126D8D" w:rsidRPr="004A4899" w:rsidRDefault="00126D8D" w:rsidP="00820288">
            <w:pPr>
              <w:spacing w:line="240" w:lineRule="auto"/>
              <w:jc w:val="center"/>
              <w:rPr>
                <w:rFonts w:ascii="Times New Roman" w:hAnsi="Times New Roman" w:cs="Times New Roman"/>
                <w:color w:val="000000"/>
                <w:sz w:val="15"/>
                <w:szCs w:val="15"/>
              </w:rPr>
            </w:pPr>
          </w:p>
        </w:tc>
        <w:tc>
          <w:tcPr>
            <w:tcW w:w="763" w:type="dxa"/>
            <w:noWrap/>
            <w:vAlign w:val="center"/>
          </w:tcPr>
          <w:p w14:paraId="786E052B" w14:textId="77777777" w:rsidR="00126D8D" w:rsidRPr="004A4899" w:rsidRDefault="00126D8D" w:rsidP="00820288">
            <w:pPr>
              <w:spacing w:line="240" w:lineRule="auto"/>
              <w:jc w:val="center"/>
              <w:rPr>
                <w:rFonts w:ascii="Times New Roman" w:hAnsi="Times New Roman" w:cs="Times New Roman"/>
                <w:color w:val="000000"/>
                <w:sz w:val="15"/>
                <w:szCs w:val="15"/>
              </w:rPr>
            </w:pPr>
          </w:p>
        </w:tc>
        <w:tc>
          <w:tcPr>
            <w:tcW w:w="1478" w:type="dxa"/>
            <w:noWrap/>
            <w:vAlign w:val="center"/>
          </w:tcPr>
          <w:p w14:paraId="2FC945BF" w14:textId="77777777" w:rsidR="00126D8D" w:rsidRPr="004A4899" w:rsidRDefault="00126D8D" w:rsidP="00820288">
            <w:pPr>
              <w:spacing w:line="240" w:lineRule="auto"/>
              <w:jc w:val="center"/>
              <w:rPr>
                <w:rFonts w:ascii="Times New Roman" w:hAnsi="Times New Roman" w:cs="Times New Roman"/>
                <w:color w:val="000000"/>
                <w:sz w:val="15"/>
                <w:szCs w:val="15"/>
              </w:rPr>
            </w:pPr>
          </w:p>
        </w:tc>
      </w:tr>
      <w:tr w:rsidR="00126D8D" w:rsidRPr="00747A19" w14:paraId="2A064CE7" w14:textId="77777777" w:rsidTr="00820288">
        <w:trPr>
          <w:trHeight w:val="144"/>
          <w:jc w:val="center"/>
        </w:trPr>
        <w:tc>
          <w:tcPr>
            <w:tcW w:w="1778" w:type="dxa"/>
            <w:noWrap/>
            <w:vAlign w:val="center"/>
            <w:hideMark/>
          </w:tcPr>
          <w:p w14:paraId="385CAD05" w14:textId="77777777" w:rsidR="00126D8D" w:rsidRPr="004A4899" w:rsidRDefault="00126D8D" w:rsidP="00820288">
            <w:pPr>
              <w:spacing w:line="240" w:lineRule="auto"/>
              <w:rPr>
                <w:rFonts w:ascii="Times New Roman" w:hAnsi="Times New Roman" w:cs="Times New Roman"/>
                <w:color w:val="000000"/>
                <w:sz w:val="15"/>
                <w:szCs w:val="15"/>
              </w:rPr>
            </w:pPr>
            <w:r w:rsidRPr="004A4899">
              <w:rPr>
                <w:rFonts w:ascii="Times New Roman" w:hAnsi="Times New Roman" w:cs="Times New Roman"/>
                <w:color w:val="000000"/>
                <w:sz w:val="15"/>
                <w:szCs w:val="15"/>
              </w:rPr>
              <w:t>3-Menthene</w:t>
            </w:r>
          </w:p>
        </w:tc>
        <w:tc>
          <w:tcPr>
            <w:tcW w:w="1323" w:type="dxa"/>
            <w:noWrap/>
            <w:vAlign w:val="center"/>
            <w:hideMark/>
          </w:tcPr>
          <w:p w14:paraId="56666D69" w14:textId="77777777" w:rsidR="00126D8D" w:rsidRPr="004A4899" w:rsidRDefault="00126D8D" w:rsidP="00820288">
            <w:pPr>
              <w:spacing w:line="240" w:lineRule="auto"/>
              <w:jc w:val="center"/>
              <w:rPr>
                <w:rFonts w:ascii="Times New Roman" w:hAnsi="Times New Roman" w:cs="Times New Roman"/>
                <w:color w:val="000000"/>
                <w:sz w:val="15"/>
                <w:szCs w:val="15"/>
              </w:rPr>
            </w:pPr>
            <w:r w:rsidRPr="004A4899">
              <w:rPr>
                <w:rFonts w:ascii="Times New Roman" w:hAnsi="Times New Roman" w:cs="Times New Roman"/>
                <w:color w:val="000000"/>
                <w:sz w:val="15"/>
                <w:szCs w:val="15"/>
              </w:rPr>
              <w:t>500-00-5</w:t>
            </w:r>
          </w:p>
        </w:tc>
        <w:tc>
          <w:tcPr>
            <w:tcW w:w="837" w:type="dxa"/>
            <w:noWrap/>
            <w:vAlign w:val="center"/>
            <w:hideMark/>
          </w:tcPr>
          <w:p w14:paraId="328031C2" w14:textId="77777777" w:rsidR="00126D8D" w:rsidRPr="004A4899" w:rsidRDefault="00126D8D" w:rsidP="00820288">
            <w:pPr>
              <w:spacing w:line="240" w:lineRule="auto"/>
              <w:jc w:val="center"/>
              <w:rPr>
                <w:rFonts w:ascii="Times New Roman" w:hAnsi="Times New Roman" w:cs="Times New Roman"/>
                <w:color w:val="000000"/>
                <w:sz w:val="15"/>
                <w:szCs w:val="15"/>
              </w:rPr>
            </w:pPr>
            <w:r w:rsidRPr="004A4899">
              <w:rPr>
                <w:rFonts w:ascii="Times New Roman" w:hAnsi="Times New Roman" w:cs="Times New Roman"/>
                <w:color w:val="000000"/>
                <w:sz w:val="15"/>
                <w:szCs w:val="15"/>
              </w:rPr>
              <w:t>10.23</w:t>
            </w:r>
          </w:p>
        </w:tc>
        <w:tc>
          <w:tcPr>
            <w:tcW w:w="763" w:type="dxa"/>
            <w:noWrap/>
            <w:vAlign w:val="center"/>
            <w:hideMark/>
          </w:tcPr>
          <w:p w14:paraId="7B01A66E" w14:textId="77777777" w:rsidR="00126D8D" w:rsidRPr="004A4899" w:rsidRDefault="00126D8D" w:rsidP="00820288">
            <w:pPr>
              <w:spacing w:line="240" w:lineRule="auto"/>
              <w:jc w:val="center"/>
              <w:rPr>
                <w:rFonts w:ascii="Times New Roman" w:hAnsi="Times New Roman" w:cs="Times New Roman"/>
                <w:color w:val="000000"/>
                <w:sz w:val="15"/>
                <w:szCs w:val="15"/>
              </w:rPr>
            </w:pPr>
            <w:r w:rsidRPr="004A4899">
              <w:rPr>
                <w:rFonts w:ascii="Times New Roman" w:hAnsi="Times New Roman" w:cs="Times New Roman"/>
                <w:color w:val="000000"/>
                <w:sz w:val="15"/>
                <w:szCs w:val="15"/>
              </w:rPr>
              <w:t>4.23</w:t>
            </w:r>
          </w:p>
        </w:tc>
        <w:tc>
          <w:tcPr>
            <w:tcW w:w="1478" w:type="dxa"/>
            <w:noWrap/>
            <w:vAlign w:val="center"/>
            <w:hideMark/>
          </w:tcPr>
          <w:p w14:paraId="095ACAB1" w14:textId="77777777" w:rsidR="00126D8D" w:rsidRPr="004A4899" w:rsidRDefault="00126D8D" w:rsidP="00820288">
            <w:pPr>
              <w:spacing w:line="240" w:lineRule="auto"/>
              <w:jc w:val="center"/>
              <w:rPr>
                <w:rFonts w:ascii="Times New Roman" w:hAnsi="Times New Roman" w:cs="Times New Roman"/>
                <w:color w:val="000000"/>
                <w:sz w:val="15"/>
                <w:szCs w:val="15"/>
              </w:rPr>
            </w:pPr>
            <w:r w:rsidRPr="004A4899">
              <w:rPr>
                <w:rFonts w:ascii="Times New Roman" w:hAnsi="Times New Roman" w:cs="Times New Roman"/>
                <w:color w:val="000000"/>
                <w:sz w:val="15"/>
                <w:szCs w:val="15"/>
              </w:rPr>
              <w:t>2.34</w:t>
            </w:r>
          </w:p>
        </w:tc>
        <w:tc>
          <w:tcPr>
            <w:tcW w:w="92" w:type="dxa"/>
          </w:tcPr>
          <w:p w14:paraId="7B1E9E2C" w14:textId="77777777" w:rsidR="00126D8D" w:rsidRPr="004A4899" w:rsidRDefault="00126D8D" w:rsidP="00820288">
            <w:pPr>
              <w:spacing w:line="240" w:lineRule="auto"/>
              <w:jc w:val="center"/>
              <w:rPr>
                <w:rFonts w:ascii="Times New Roman" w:hAnsi="Times New Roman" w:cs="Times New Roman"/>
                <w:color w:val="000000"/>
                <w:sz w:val="15"/>
                <w:szCs w:val="15"/>
              </w:rPr>
            </w:pPr>
          </w:p>
        </w:tc>
        <w:tc>
          <w:tcPr>
            <w:tcW w:w="837" w:type="dxa"/>
            <w:noWrap/>
            <w:vAlign w:val="center"/>
            <w:hideMark/>
          </w:tcPr>
          <w:p w14:paraId="60A6EED3" w14:textId="77777777" w:rsidR="00126D8D" w:rsidRPr="004A4899" w:rsidRDefault="00126D8D" w:rsidP="00820288">
            <w:pPr>
              <w:spacing w:line="240" w:lineRule="auto"/>
              <w:jc w:val="center"/>
              <w:rPr>
                <w:rFonts w:ascii="Times New Roman" w:hAnsi="Times New Roman" w:cs="Times New Roman"/>
                <w:color w:val="000000"/>
                <w:sz w:val="15"/>
                <w:szCs w:val="15"/>
              </w:rPr>
            </w:pPr>
            <w:r w:rsidRPr="004A4899">
              <w:rPr>
                <w:rFonts w:ascii="Times New Roman" w:hAnsi="Times New Roman" w:cs="Times New Roman"/>
                <w:color w:val="000000"/>
                <w:sz w:val="15"/>
                <w:szCs w:val="15"/>
              </w:rPr>
              <w:t>&lt;0.0001</w:t>
            </w:r>
          </w:p>
        </w:tc>
        <w:tc>
          <w:tcPr>
            <w:tcW w:w="763" w:type="dxa"/>
            <w:noWrap/>
            <w:vAlign w:val="center"/>
            <w:hideMark/>
          </w:tcPr>
          <w:p w14:paraId="7F2503C4" w14:textId="77777777" w:rsidR="00126D8D" w:rsidRPr="004A4899" w:rsidRDefault="00126D8D" w:rsidP="00820288">
            <w:pPr>
              <w:spacing w:line="240" w:lineRule="auto"/>
              <w:jc w:val="center"/>
              <w:rPr>
                <w:rFonts w:ascii="Times New Roman" w:hAnsi="Times New Roman" w:cs="Times New Roman"/>
                <w:color w:val="000000"/>
                <w:sz w:val="15"/>
                <w:szCs w:val="15"/>
              </w:rPr>
            </w:pPr>
            <w:r w:rsidRPr="004A4899">
              <w:rPr>
                <w:rFonts w:ascii="Times New Roman" w:hAnsi="Times New Roman" w:cs="Times New Roman"/>
                <w:color w:val="000000"/>
                <w:sz w:val="15"/>
                <w:szCs w:val="15"/>
              </w:rPr>
              <w:t>&lt;0.0001</w:t>
            </w:r>
          </w:p>
        </w:tc>
        <w:tc>
          <w:tcPr>
            <w:tcW w:w="1478" w:type="dxa"/>
            <w:noWrap/>
            <w:vAlign w:val="center"/>
            <w:hideMark/>
          </w:tcPr>
          <w:p w14:paraId="4A0E84B7" w14:textId="77777777" w:rsidR="00126D8D" w:rsidRPr="004A4899" w:rsidRDefault="00126D8D" w:rsidP="00820288">
            <w:pPr>
              <w:spacing w:line="240" w:lineRule="auto"/>
              <w:jc w:val="center"/>
              <w:rPr>
                <w:rFonts w:ascii="Times New Roman" w:hAnsi="Times New Roman" w:cs="Times New Roman"/>
                <w:color w:val="000000"/>
                <w:sz w:val="15"/>
                <w:szCs w:val="15"/>
              </w:rPr>
            </w:pPr>
            <w:r w:rsidRPr="004A4899">
              <w:rPr>
                <w:rFonts w:ascii="Times New Roman" w:hAnsi="Times New Roman" w:cs="Times New Roman"/>
                <w:color w:val="000000"/>
                <w:sz w:val="15"/>
                <w:szCs w:val="15"/>
              </w:rPr>
              <w:t>&lt;0.0001</w:t>
            </w:r>
          </w:p>
        </w:tc>
      </w:tr>
      <w:tr w:rsidR="00126D8D" w:rsidRPr="00747A19" w14:paraId="4B8944EF" w14:textId="77777777" w:rsidTr="00820288">
        <w:trPr>
          <w:trHeight w:val="144"/>
          <w:jc w:val="center"/>
        </w:trPr>
        <w:tc>
          <w:tcPr>
            <w:tcW w:w="1778" w:type="dxa"/>
            <w:noWrap/>
            <w:vAlign w:val="center"/>
            <w:hideMark/>
          </w:tcPr>
          <w:p w14:paraId="4EC10D63" w14:textId="77777777" w:rsidR="00126D8D" w:rsidRPr="004A4899" w:rsidRDefault="00126D8D" w:rsidP="00820288">
            <w:pPr>
              <w:spacing w:line="240" w:lineRule="auto"/>
              <w:rPr>
                <w:rFonts w:ascii="Times New Roman" w:hAnsi="Times New Roman" w:cs="Times New Roman"/>
                <w:color w:val="000000"/>
                <w:sz w:val="15"/>
                <w:szCs w:val="15"/>
              </w:rPr>
            </w:pPr>
            <w:r w:rsidRPr="004A4899">
              <w:rPr>
                <w:rFonts w:ascii="Times New Roman" w:hAnsi="Times New Roman" w:cs="Times New Roman"/>
                <w:color w:val="000000"/>
                <w:sz w:val="15"/>
                <w:szCs w:val="15"/>
              </w:rPr>
              <w:t>d-Limonene</w:t>
            </w:r>
          </w:p>
        </w:tc>
        <w:tc>
          <w:tcPr>
            <w:tcW w:w="1323" w:type="dxa"/>
            <w:noWrap/>
            <w:vAlign w:val="center"/>
            <w:hideMark/>
          </w:tcPr>
          <w:p w14:paraId="5F2B7624" w14:textId="77777777" w:rsidR="00126D8D" w:rsidRPr="004A4899" w:rsidRDefault="00126D8D" w:rsidP="00820288">
            <w:pPr>
              <w:spacing w:line="240" w:lineRule="auto"/>
              <w:jc w:val="center"/>
              <w:rPr>
                <w:rFonts w:ascii="Times New Roman" w:hAnsi="Times New Roman" w:cs="Times New Roman"/>
                <w:color w:val="000000"/>
                <w:sz w:val="15"/>
                <w:szCs w:val="15"/>
              </w:rPr>
            </w:pPr>
            <w:r w:rsidRPr="004A4899">
              <w:rPr>
                <w:rFonts w:ascii="Times New Roman" w:hAnsi="Times New Roman" w:cs="Times New Roman"/>
                <w:color w:val="000000"/>
                <w:sz w:val="15"/>
                <w:szCs w:val="15"/>
              </w:rPr>
              <w:t>5989-27-5</w:t>
            </w:r>
          </w:p>
        </w:tc>
        <w:tc>
          <w:tcPr>
            <w:tcW w:w="837" w:type="dxa"/>
            <w:noWrap/>
            <w:vAlign w:val="center"/>
            <w:hideMark/>
          </w:tcPr>
          <w:p w14:paraId="2160217D" w14:textId="77777777" w:rsidR="00126D8D" w:rsidRPr="004A4899" w:rsidRDefault="00126D8D" w:rsidP="00820288">
            <w:pPr>
              <w:spacing w:line="240" w:lineRule="auto"/>
              <w:jc w:val="center"/>
              <w:rPr>
                <w:rFonts w:ascii="Times New Roman" w:hAnsi="Times New Roman" w:cs="Times New Roman"/>
                <w:color w:val="000000"/>
                <w:sz w:val="15"/>
                <w:szCs w:val="15"/>
              </w:rPr>
            </w:pPr>
            <w:r w:rsidRPr="004A4899">
              <w:rPr>
                <w:rFonts w:ascii="Times New Roman" w:hAnsi="Times New Roman" w:cs="Times New Roman"/>
                <w:color w:val="000000"/>
                <w:sz w:val="15"/>
                <w:szCs w:val="15"/>
              </w:rPr>
              <w:t>29.80</w:t>
            </w:r>
          </w:p>
        </w:tc>
        <w:tc>
          <w:tcPr>
            <w:tcW w:w="763" w:type="dxa"/>
            <w:noWrap/>
            <w:vAlign w:val="center"/>
            <w:hideMark/>
          </w:tcPr>
          <w:p w14:paraId="7FF18D27" w14:textId="77777777" w:rsidR="00126D8D" w:rsidRPr="004A4899" w:rsidRDefault="00126D8D" w:rsidP="00820288">
            <w:pPr>
              <w:spacing w:line="240" w:lineRule="auto"/>
              <w:jc w:val="center"/>
              <w:rPr>
                <w:rFonts w:ascii="Times New Roman" w:hAnsi="Times New Roman" w:cs="Times New Roman"/>
                <w:color w:val="000000"/>
                <w:sz w:val="15"/>
                <w:szCs w:val="15"/>
              </w:rPr>
            </w:pPr>
            <w:r w:rsidRPr="004A4899">
              <w:rPr>
                <w:rFonts w:ascii="Times New Roman" w:hAnsi="Times New Roman" w:cs="Times New Roman"/>
                <w:color w:val="000000"/>
                <w:sz w:val="15"/>
                <w:szCs w:val="15"/>
              </w:rPr>
              <w:t>7.17</w:t>
            </w:r>
          </w:p>
        </w:tc>
        <w:tc>
          <w:tcPr>
            <w:tcW w:w="1478" w:type="dxa"/>
            <w:noWrap/>
            <w:vAlign w:val="center"/>
            <w:hideMark/>
          </w:tcPr>
          <w:p w14:paraId="70C0FBB7" w14:textId="77777777" w:rsidR="00126D8D" w:rsidRPr="004A4899" w:rsidRDefault="00126D8D" w:rsidP="00820288">
            <w:pPr>
              <w:spacing w:line="240" w:lineRule="auto"/>
              <w:jc w:val="center"/>
              <w:rPr>
                <w:rFonts w:ascii="Times New Roman" w:hAnsi="Times New Roman" w:cs="Times New Roman"/>
                <w:color w:val="000000"/>
                <w:sz w:val="15"/>
                <w:szCs w:val="15"/>
              </w:rPr>
            </w:pPr>
            <w:r w:rsidRPr="004A4899">
              <w:rPr>
                <w:rFonts w:ascii="Times New Roman" w:hAnsi="Times New Roman" w:cs="Times New Roman"/>
                <w:color w:val="000000"/>
                <w:sz w:val="15"/>
                <w:szCs w:val="15"/>
              </w:rPr>
              <w:t>1.74</w:t>
            </w:r>
          </w:p>
        </w:tc>
        <w:tc>
          <w:tcPr>
            <w:tcW w:w="92" w:type="dxa"/>
          </w:tcPr>
          <w:p w14:paraId="368580B6" w14:textId="77777777" w:rsidR="00126D8D" w:rsidRPr="004A4899" w:rsidRDefault="00126D8D" w:rsidP="00820288">
            <w:pPr>
              <w:spacing w:line="240" w:lineRule="auto"/>
              <w:jc w:val="center"/>
              <w:rPr>
                <w:rFonts w:ascii="Times New Roman" w:hAnsi="Times New Roman" w:cs="Times New Roman"/>
                <w:color w:val="000000"/>
                <w:sz w:val="15"/>
                <w:szCs w:val="15"/>
              </w:rPr>
            </w:pPr>
          </w:p>
        </w:tc>
        <w:tc>
          <w:tcPr>
            <w:tcW w:w="837" w:type="dxa"/>
            <w:noWrap/>
            <w:vAlign w:val="center"/>
            <w:hideMark/>
          </w:tcPr>
          <w:p w14:paraId="3AA788E1" w14:textId="77777777" w:rsidR="00126D8D" w:rsidRPr="004A4899" w:rsidRDefault="00126D8D" w:rsidP="00820288">
            <w:pPr>
              <w:spacing w:line="240" w:lineRule="auto"/>
              <w:jc w:val="center"/>
              <w:rPr>
                <w:rFonts w:ascii="Times New Roman" w:hAnsi="Times New Roman" w:cs="Times New Roman"/>
                <w:color w:val="000000"/>
                <w:sz w:val="15"/>
                <w:szCs w:val="15"/>
              </w:rPr>
            </w:pPr>
            <w:r w:rsidRPr="004A4899">
              <w:rPr>
                <w:rFonts w:ascii="Times New Roman" w:hAnsi="Times New Roman" w:cs="Times New Roman"/>
                <w:color w:val="000000"/>
                <w:sz w:val="15"/>
                <w:szCs w:val="15"/>
              </w:rPr>
              <w:t>&lt;0.0001</w:t>
            </w:r>
          </w:p>
        </w:tc>
        <w:tc>
          <w:tcPr>
            <w:tcW w:w="763" w:type="dxa"/>
            <w:noWrap/>
            <w:vAlign w:val="center"/>
            <w:hideMark/>
          </w:tcPr>
          <w:p w14:paraId="483AF382" w14:textId="77777777" w:rsidR="00126D8D" w:rsidRPr="004A4899" w:rsidRDefault="00126D8D" w:rsidP="00820288">
            <w:pPr>
              <w:spacing w:line="240" w:lineRule="auto"/>
              <w:jc w:val="center"/>
              <w:rPr>
                <w:rFonts w:ascii="Times New Roman" w:hAnsi="Times New Roman" w:cs="Times New Roman"/>
                <w:color w:val="000000"/>
                <w:sz w:val="15"/>
                <w:szCs w:val="15"/>
              </w:rPr>
            </w:pPr>
            <w:r w:rsidRPr="004A4899">
              <w:rPr>
                <w:rFonts w:ascii="Times New Roman" w:hAnsi="Times New Roman" w:cs="Times New Roman"/>
                <w:color w:val="000000"/>
                <w:sz w:val="15"/>
                <w:szCs w:val="15"/>
              </w:rPr>
              <w:t>&lt;0.0001</w:t>
            </w:r>
          </w:p>
        </w:tc>
        <w:tc>
          <w:tcPr>
            <w:tcW w:w="1478" w:type="dxa"/>
            <w:noWrap/>
            <w:vAlign w:val="center"/>
            <w:hideMark/>
          </w:tcPr>
          <w:p w14:paraId="189C9EEA" w14:textId="77777777" w:rsidR="00126D8D" w:rsidRPr="004A4899" w:rsidRDefault="00126D8D" w:rsidP="00820288">
            <w:pPr>
              <w:spacing w:line="240" w:lineRule="auto"/>
              <w:jc w:val="center"/>
              <w:rPr>
                <w:rFonts w:ascii="Times New Roman" w:hAnsi="Times New Roman" w:cs="Times New Roman"/>
                <w:color w:val="000000"/>
                <w:sz w:val="15"/>
                <w:szCs w:val="15"/>
              </w:rPr>
            </w:pPr>
            <w:r w:rsidRPr="004A4899">
              <w:rPr>
                <w:rFonts w:ascii="Times New Roman" w:hAnsi="Times New Roman" w:cs="Times New Roman"/>
                <w:color w:val="000000"/>
                <w:sz w:val="15"/>
                <w:szCs w:val="15"/>
              </w:rPr>
              <w:t>0.0076</w:t>
            </w:r>
          </w:p>
        </w:tc>
      </w:tr>
      <w:tr w:rsidR="00126D8D" w:rsidRPr="00747A19" w14:paraId="0CC680B7" w14:textId="77777777" w:rsidTr="00820288">
        <w:trPr>
          <w:trHeight w:val="144"/>
          <w:jc w:val="center"/>
        </w:trPr>
        <w:tc>
          <w:tcPr>
            <w:tcW w:w="1778" w:type="dxa"/>
            <w:noWrap/>
            <w:vAlign w:val="center"/>
            <w:hideMark/>
          </w:tcPr>
          <w:p w14:paraId="6C265B10" w14:textId="77777777" w:rsidR="00126D8D" w:rsidRPr="004A4899" w:rsidRDefault="00126D8D" w:rsidP="00820288">
            <w:pPr>
              <w:spacing w:line="240" w:lineRule="auto"/>
              <w:rPr>
                <w:rFonts w:ascii="Times New Roman" w:hAnsi="Times New Roman" w:cs="Times New Roman"/>
                <w:color w:val="000000"/>
                <w:sz w:val="15"/>
                <w:szCs w:val="15"/>
              </w:rPr>
            </w:pPr>
            <w:r w:rsidRPr="004A4899">
              <w:rPr>
                <w:rFonts w:ascii="Times New Roman" w:hAnsi="Times New Roman" w:cs="Times New Roman"/>
                <w:color w:val="000000"/>
                <w:sz w:val="15"/>
                <w:szCs w:val="15"/>
              </w:rPr>
              <w:t>Fenchyl acetate</w:t>
            </w:r>
          </w:p>
        </w:tc>
        <w:tc>
          <w:tcPr>
            <w:tcW w:w="1323" w:type="dxa"/>
            <w:noWrap/>
            <w:vAlign w:val="center"/>
            <w:hideMark/>
          </w:tcPr>
          <w:p w14:paraId="168077A4" w14:textId="77777777" w:rsidR="00126D8D" w:rsidRPr="004A4899" w:rsidRDefault="00126D8D" w:rsidP="00820288">
            <w:pPr>
              <w:spacing w:line="240" w:lineRule="auto"/>
              <w:jc w:val="center"/>
              <w:rPr>
                <w:rFonts w:ascii="Times New Roman" w:hAnsi="Times New Roman" w:cs="Times New Roman"/>
                <w:color w:val="000000"/>
                <w:sz w:val="15"/>
                <w:szCs w:val="15"/>
              </w:rPr>
            </w:pPr>
            <w:r w:rsidRPr="004A4899">
              <w:rPr>
                <w:rFonts w:ascii="Times New Roman" w:hAnsi="Times New Roman" w:cs="Times New Roman"/>
                <w:color w:val="000000"/>
                <w:sz w:val="15"/>
                <w:szCs w:val="15"/>
              </w:rPr>
              <w:t>13851-11-1</w:t>
            </w:r>
          </w:p>
        </w:tc>
        <w:tc>
          <w:tcPr>
            <w:tcW w:w="837" w:type="dxa"/>
            <w:noWrap/>
            <w:vAlign w:val="center"/>
            <w:hideMark/>
          </w:tcPr>
          <w:p w14:paraId="597A87BF" w14:textId="77777777" w:rsidR="00126D8D" w:rsidRPr="004A4899" w:rsidRDefault="00126D8D" w:rsidP="00820288">
            <w:pPr>
              <w:spacing w:line="240" w:lineRule="auto"/>
              <w:jc w:val="center"/>
              <w:rPr>
                <w:rFonts w:ascii="Times New Roman" w:hAnsi="Times New Roman" w:cs="Times New Roman"/>
                <w:color w:val="000000"/>
                <w:sz w:val="15"/>
                <w:szCs w:val="15"/>
              </w:rPr>
            </w:pPr>
            <w:r w:rsidRPr="004A4899">
              <w:rPr>
                <w:rFonts w:ascii="Times New Roman" w:hAnsi="Times New Roman" w:cs="Times New Roman"/>
                <w:color w:val="000000"/>
                <w:sz w:val="15"/>
                <w:szCs w:val="15"/>
              </w:rPr>
              <w:t>14.98</w:t>
            </w:r>
          </w:p>
        </w:tc>
        <w:tc>
          <w:tcPr>
            <w:tcW w:w="763" w:type="dxa"/>
            <w:noWrap/>
            <w:vAlign w:val="center"/>
            <w:hideMark/>
          </w:tcPr>
          <w:p w14:paraId="4CB69AEE" w14:textId="77777777" w:rsidR="00126D8D" w:rsidRPr="004A4899" w:rsidRDefault="00126D8D" w:rsidP="00820288">
            <w:pPr>
              <w:spacing w:line="240" w:lineRule="auto"/>
              <w:jc w:val="center"/>
              <w:rPr>
                <w:rFonts w:ascii="Times New Roman" w:hAnsi="Times New Roman" w:cs="Times New Roman"/>
                <w:color w:val="000000"/>
                <w:sz w:val="15"/>
                <w:szCs w:val="15"/>
              </w:rPr>
            </w:pPr>
            <w:r w:rsidRPr="004A4899">
              <w:rPr>
                <w:rFonts w:ascii="Times New Roman" w:hAnsi="Times New Roman" w:cs="Times New Roman"/>
                <w:color w:val="000000"/>
                <w:sz w:val="15"/>
                <w:szCs w:val="15"/>
              </w:rPr>
              <w:t>1.58</w:t>
            </w:r>
          </w:p>
        </w:tc>
        <w:tc>
          <w:tcPr>
            <w:tcW w:w="1478" w:type="dxa"/>
            <w:noWrap/>
            <w:vAlign w:val="center"/>
            <w:hideMark/>
          </w:tcPr>
          <w:p w14:paraId="14626F8F" w14:textId="77777777" w:rsidR="00126D8D" w:rsidRPr="004A4899" w:rsidRDefault="00126D8D" w:rsidP="00820288">
            <w:pPr>
              <w:spacing w:line="240" w:lineRule="auto"/>
              <w:jc w:val="center"/>
              <w:rPr>
                <w:rFonts w:ascii="Times New Roman" w:hAnsi="Times New Roman" w:cs="Times New Roman"/>
                <w:color w:val="000000"/>
                <w:sz w:val="15"/>
                <w:szCs w:val="15"/>
              </w:rPr>
            </w:pPr>
            <w:r w:rsidRPr="004A4899">
              <w:rPr>
                <w:rFonts w:ascii="Times New Roman" w:hAnsi="Times New Roman" w:cs="Times New Roman"/>
                <w:color w:val="000000"/>
                <w:sz w:val="15"/>
                <w:szCs w:val="15"/>
              </w:rPr>
              <w:t>0.62</w:t>
            </w:r>
          </w:p>
        </w:tc>
        <w:tc>
          <w:tcPr>
            <w:tcW w:w="92" w:type="dxa"/>
          </w:tcPr>
          <w:p w14:paraId="1F5E8549" w14:textId="77777777" w:rsidR="00126D8D" w:rsidRPr="004A4899" w:rsidRDefault="00126D8D" w:rsidP="00820288">
            <w:pPr>
              <w:spacing w:line="240" w:lineRule="auto"/>
              <w:jc w:val="center"/>
              <w:rPr>
                <w:rFonts w:ascii="Times New Roman" w:hAnsi="Times New Roman" w:cs="Times New Roman"/>
                <w:color w:val="000000"/>
                <w:sz w:val="15"/>
                <w:szCs w:val="15"/>
              </w:rPr>
            </w:pPr>
          </w:p>
        </w:tc>
        <w:tc>
          <w:tcPr>
            <w:tcW w:w="837" w:type="dxa"/>
            <w:noWrap/>
            <w:vAlign w:val="center"/>
            <w:hideMark/>
          </w:tcPr>
          <w:p w14:paraId="082C0E2D" w14:textId="77777777" w:rsidR="00126D8D" w:rsidRPr="004A4899" w:rsidRDefault="00126D8D" w:rsidP="00820288">
            <w:pPr>
              <w:spacing w:line="240" w:lineRule="auto"/>
              <w:jc w:val="center"/>
              <w:rPr>
                <w:rFonts w:ascii="Times New Roman" w:hAnsi="Times New Roman" w:cs="Times New Roman"/>
                <w:color w:val="000000"/>
                <w:sz w:val="15"/>
                <w:szCs w:val="15"/>
              </w:rPr>
            </w:pPr>
            <w:r w:rsidRPr="004A4899">
              <w:rPr>
                <w:rFonts w:ascii="Times New Roman" w:hAnsi="Times New Roman" w:cs="Times New Roman"/>
                <w:color w:val="000000"/>
                <w:sz w:val="15"/>
                <w:szCs w:val="15"/>
              </w:rPr>
              <w:t>&lt;0.0001</w:t>
            </w:r>
          </w:p>
        </w:tc>
        <w:tc>
          <w:tcPr>
            <w:tcW w:w="763" w:type="dxa"/>
            <w:noWrap/>
            <w:vAlign w:val="center"/>
            <w:hideMark/>
          </w:tcPr>
          <w:p w14:paraId="1D2880DC" w14:textId="77777777" w:rsidR="00126D8D" w:rsidRPr="004A4899" w:rsidRDefault="00126D8D" w:rsidP="00820288">
            <w:pPr>
              <w:spacing w:line="240" w:lineRule="auto"/>
              <w:jc w:val="center"/>
              <w:rPr>
                <w:rFonts w:ascii="Times New Roman" w:hAnsi="Times New Roman" w:cs="Times New Roman"/>
                <w:color w:val="000000"/>
                <w:sz w:val="15"/>
                <w:szCs w:val="15"/>
              </w:rPr>
            </w:pPr>
            <w:r w:rsidRPr="004A4899">
              <w:rPr>
                <w:rFonts w:ascii="Times New Roman" w:hAnsi="Times New Roman" w:cs="Times New Roman"/>
                <w:color w:val="000000"/>
                <w:sz w:val="15"/>
                <w:szCs w:val="15"/>
              </w:rPr>
              <w:t>0.1019</w:t>
            </w:r>
          </w:p>
        </w:tc>
        <w:tc>
          <w:tcPr>
            <w:tcW w:w="1478" w:type="dxa"/>
            <w:noWrap/>
            <w:vAlign w:val="center"/>
            <w:hideMark/>
          </w:tcPr>
          <w:p w14:paraId="35E4275A" w14:textId="77777777" w:rsidR="00126D8D" w:rsidRPr="004A4899" w:rsidRDefault="00126D8D" w:rsidP="00820288">
            <w:pPr>
              <w:spacing w:line="240" w:lineRule="auto"/>
              <w:jc w:val="center"/>
              <w:rPr>
                <w:rFonts w:ascii="Times New Roman" w:hAnsi="Times New Roman" w:cs="Times New Roman"/>
                <w:color w:val="000000"/>
                <w:sz w:val="15"/>
                <w:szCs w:val="15"/>
              </w:rPr>
            </w:pPr>
            <w:r w:rsidRPr="004A4899">
              <w:rPr>
                <w:rFonts w:ascii="Times New Roman" w:hAnsi="Times New Roman" w:cs="Times New Roman"/>
                <w:color w:val="000000"/>
                <w:sz w:val="15"/>
                <w:szCs w:val="15"/>
              </w:rPr>
              <w:t>0.9467</w:t>
            </w:r>
          </w:p>
        </w:tc>
      </w:tr>
      <w:tr w:rsidR="00126D8D" w:rsidRPr="00747A19" w14:paraId="7544A0A5" w14:textId="77777777" w:rsidTr="00820288">
        <w:trPr>
          <w:trHeight w:val="144"/>
          <w:jc w:val="center"/>
        </w:trPr>
        <w:tc>
          <w:tcPr>
            <w:tcW w:w="1778" w:type="dxa"/>
            <w:noWrap/>
            <w:vAlign w:val="center"/>
            <w:hideMark/>
          </w:tcPr>
          <w:p w14:paraId="364497DD" w14:textId="77777777" w:rsidR="00126D8D" w:rsidRPr="004A4899" w:rsidRDefault="00126D8D" w:rsidP="00820288">
            <w:pPr>
              <w:spacing w:line="240" w:lineRule="auto"/>
              <w:rPr>
                <w:rFonts w:ascii="Times New Roman" w:hAnsi="Times New Roman" w:cs="Times New Roman"/>
                <w:color w:val="000000"/>
                <w:sz w:val="15"/>
                <w:szCs w:val="15"/>
              </w:rPr>
            </w:pPr>
            <w:r w:rsidRPr="004A4899">
              <w:rPr>
                <w:rFonts w:ascii="Times New Roman" w:hAnsi="Times New Roman" w:cs="Times New Roman"/>
                <w:color w:val="000000"/>
                <w:sz w:val="15"/>
                <w:szCs w:val="15"/>
              </w:rPr>
              <w:t>p-Menth-1-en-8-ol</w:t>
            </w:r>
          </w:p>
        </w:tc>
        <w:tc>
          <w:tcPr>
            <w:tcW w:w="1323" w:type="dxa"/>
            <w:noWrap/>
            <w:vAlign w:val="center"/>
            <w:hideMark/>
          </w:tcPr>
          <w:p w14:paraId="0082D9A6" w14:textId="77777777" w:rsidR="00126D8D" w:rsidRPr="004A4899" w:rsidRDefault="00126D8D" w:rsidP="00820288">
            <w:pPr>
              <w:spacing w:line="240" w:lineRule="auto"/>
              <w:jc w:val="center"/>
              <w:rPr>
                <w:rFonts w:ascii="Times New Roman" w:hAnsi="Times New Roman" w:cs="Times New Roman"/>
                <w:color w:val="000000"/>
                <w:sz w:val="15"/>
                <w:szCs w:val="15"/>
              </w:rPr>
            </w:pPr>
            <w:r w:rsidRPr="004A4899">
              <w:rPr>
                <w:rFonts w:ascii="Times New Roman" w:hAnsi="Times New Roman" w:cs="Times New Roman"/>
                <w:color w:val="000000"/>
                <w:sz w:val="15"/>
                <w:szCs w:val="15"/>
              </w:rPr>
              <w:t>98-55-5</w:t>
            </w:r>
          </w:p>
        </w:tc>
        <w:tc>
          <w:tcPr>
            <w:tcW w:w="837" w:type="dxa"/>
            <w:noWrap/>
            <w:vAlign w:val="center"/>
            <w:hideMark/>
          </w:tcPr>
          <w:p w14:paraId="36E4590C" w14:textId="77777777" w:rsidR="00126D8D" w:rsidRPr="004A4899" w:rsidRDefault="00126D8D" w:rsidP="00820288">
            <w:pPr>
              <w:spacing w:line="240" w:lineRule="auto"/>
              <w:jc w:val="center"/>
              <w:rPr>
                <w:rFonts w:ascii="Times New Roman" w:hAnsi="Times New Roman" w:cs="Times New Roman"/>
                <w:color w:val="000000"/>
                <w:sz w:val="15"/>
                <w:szCs w:val="15"/>
              </w:rPr>
            </w:pPr>
            <w:r w:rsidRPr="004A4899">
              <w:rPr>
                <w:rFonts w:ascii="Times New Roman" w:hAnsi="Times New Roman" w:cs="Times New Roman"/>
                <w:color w:val="000000"/>
                <w:sz w:val="15"/>
                <w:szCs w:val="15"/>
              </w:rPr>
              <w:t>173.75</w:t>
            </w:r>
          </w:p>
        </w:tc>
        <w:tc>
          <w:tcPr>
            <w:tcW w:w="763" w:type="dxa"/>
            <w:noWrap/>
            <w:vAlign w:val="center"/>
            <w:hideMark/>
          </w:tcPr>
          <w:p w14:paraId="7138ED7C" w14:textId="77777777" w:rsidR="00126D8D" w:rsidRPr="004A4899" w:rsidRDefault="00126D8D" w:rsidP="00820288">
            <w:pPr>
              <w:spacing w:line="240" w:lineRule="auto"/>
              <w:jc w:val="center"/>
              <w:rPr>
                <w:rFonts w:ascii="Times New Roman" w:hAnsi="Times New Roman" w:cs="Times New Roman"/>
                <w:color w:val="000000"/>
                <w:sz w:val="15"/>
                <w:szCs w:val="15"/>
              </w:rPr>
            </w:pPr>
            <w:r w:rsidRPr="004A4899">
              <w:rPr>
                <w:rFonts w:ascii="Times New Roman" w:hAnsi="Times New Roman" w:cs="Times New Roman"/>
                <w:color w:val="000000"/>
                <w:sz w:val="15"/>
                <w:szCs w:val="15"/>
              </w:rPr>
              <w:t>10.61</w:t>
            </w:r>
          </w:p>
        </w:tc>
        <w:tc>
          <w:tcPr>
            <w:tcW w:w="1478" w:type="dxa"/>
            <w:noWrap/>
            <w:vAlign w:val="center"/>
            <w:hideMark/>
          </w:tcPr>
          <w:p w14:paraId="2FFBA855" w14:textId="77777777" w:rsidR="00126D8D" w:rsidRPr="004A4899" w:rsidRDefault="00126D8D" w:rsidP="00820288">
            <w:pPr>
              <w:spacing w:line="240" w:lineRule="auto"/>
              <w:jc w:val="center"/>
              <w:rPr>
                <w:rFonts w:ascii="Times New Roman" w:hAnsi="Times New Roman" w:cs="Times New Roman"/>
                <w:color w:val="000000"/>
                <w:sz w:val="15"/>
                <w:szCs w:val="15"/>
              </w:rPr>
            </w:pPr>
            <w:r w:rsidRPr="004A4899">
              <w:rPr>
                <w:rFonts w:ascii="Times New Roman" w:hAnsi="Times New Roman" w:cs="Times New Roman"/>
                <w:color w:val="000000"/>
                <w:sz w:val="15"/>
                <w:szCs w:val="15"/>
              </w:rPr>
              <w:t>2.56</w:t>
            </w:r>
          </w:p>
        </w:tc>
        <w:tc>
          <w:tcPr>
            <w:tcW w:w="92" w:type="dxa"/>
          </w:tcPr>
          <w:p w14:paraId="64758923" w14:textId="77777777" w:rsidR="00126D8D" w:rsidRPr="004A4899" w:rsidRDefault="00126D8D" w:rsidP="00820288">
            <w:pPr>
              <w:spacing w:line="240" w:lineRule="auto"/>
              <w:jc w:val="center"/>
              <w:rPr>
                <w:rFonts w:ascii="Times New Roman" w:hAnsi="Times New Roman" w:cs="Times New Roman"/>
                <w:color w:val="000000"/>
                <w:sz w:val="15"/>
                <w:szCs w:val="15"/>
              </w:rPr>
            </w:pPr>
          </w:p>
        </w:tc>
        <w:tc>
          <w:tcPr>
            <w:tcW w:w="837" w:type="dxa"/>
            <w:noWrap/>
            <w:vAlign w:val="center"/>
            <w:hideMark/>
          </w:tcPr>
          <w:p w14:paraId="0C1AEFC4" w14:textId="77777777" w:rsidR="00126D8D" w:rsidRPr="004A4899" w:rsidRDefault="00126D8D" w:rsidP="00820288">
            <w:pPr>
              <w:spacing w:line="240" w:lineRule="auto"/>
              <w:jc w:val="center"/>
              <w:rPr>
                <w:rFonts w:ascii="Times New Roman" w:hAnsi="Times New Roman" w:cs="Times New Roman"/>
                <w:color w:val="000000"/>
                <w:sz w:val="15"/>
                <w:szCs w:val="15"/>
              </w:rPr>
            </w:pPr>
            <w:r w:rsidRPr="004A4899">
              <w:rPr>
                <w:rFonts w:ascii="Times New Roman" w:hAnsi="Times New Roman" w:cs="Times New Roman"/>
                <w:color w:val="000000"/>
                <w:sz w:val="15"/>
                <w:szCs w:val="15"/>
              </w:rPr>
              <w:t>&lt;0.0001</w:t>
            </w:r>
          </w:p>
        </w:tc>
        <w:tc>
          <w:tcPr>
            <w:tcW w:w="763" w:type="dxa"/>
            <w:noWrap/>
            <w:vAlign w:val="center"/>
            <w:hideMark/>
          </w:tcPr>
          <w:p w14:paraId="006CE2D6" w14:textId="77777777" w:rsidR="00126D8D" w:rsidRPr="004A4899" w:rsidRDefault="00126D8D" w:rsidP="00820288">
            <w:pPr>
              <w:spacing w:line="240" w:lineRule="auto"/>
              <w:jc w:val="center"/>
              <w:rPr>
                <w:rFonts w:ascii="Times New Roman" w:hAnsi="Times New Roman" w:cs="Times New Roman"/>
                <w:color w:val="000000"/>
                <w:sz w:val="15"/>
                <w:szCs w:val="15"/>
              </w:rPr>
            </w:pPr>
            <w:r w:rsidRPr="004A4899">
              <w:rPr>
                <w:rFonts w:ascii="Times New Roman" w:hAnsi="Times New Roman" w:cs="Times New Roman"/>
                <w:color w:val="000000"/>
                <w:sz w:val="15"/>
                <w:szCs w:val="15"/>
              </w:rPr>
              <w:t>&lt;0.0001</w:t>
            </w:r>
          </w:p>
        </w:tc>
        <w:tc>
          <w:tcPr>
            <w:tcW w:w="1478" w:type="dxa"/>
            <w:noWrap/>
            <w:vAlign w:val="center"/>
            <w:hideMark/>
          </w:tcPr>
          <w:p w14:paraId="6C46DACB" w14:textId="77777777" w:rsidR="00126D8D" w:rsidRPr="004A4899" w:rsidRDefault="00126D8D" w:rsidP="00820288">
            <w:pPr>
              <w:spacing w:line="240" w:lineRule="auto"/>
              <w:jc w:val="center"/>
              <w:rPr>
                <w:rFonts w:ascii="Times New Roman" w:hAnsi="Times New Roman" w:cs="Times New Roman"/>
                <w:color w:val="000000"/>
                <w:sz w:val="15"/>
                <w:szCs w:val="15"/>
              </w:rPr>
            </w:pPr>
            <w:r w:rsidRPr="004A4899">
              <w:rPr>
                <w:rFonts w:ascii="Times New Roman" w:hAnsi="Times New Roman" w:cs="Times New Roman"/>
                <w:color w:val="000000"/>
                <w:sz w:val="15"/>
                <w:szCs w:val="15"/>
              </w:rPr>
              <w:t>&lt;0.0001</w:t>
            </w:r>
          </w:p>
        </w:tc>
      </w:tr>
      <w:tr w:rsidR="00126D8D" w:rsidRPr="00747A19" w14:paraId="66A7F436" w14:textId="77777777" w:rsidTr="00820288">
        <w:trPr>
          <w:trHeight w:val="144"/>
          <w:jc w:val="center"/>
        </w:trPr>
        <w:tc>
          <w:tcPr>
            <w:tcW w:w="1778" w:type="dxa"/>
            <w:noWrap/>
            <w:vAlign w:val="center"/>
          </w:tcPr>
          <w:p w14:paraId="64D3CBE8" w14:textId="77777777" w:rsidR="00126D8D" w:rsidRPr="004A4899" w:rsidRDefault="00126D8D" w:rsidP="00820288">
            <w:pPr>
              <w:spacing w:line="240" w:lineRule="auto"/>
              <w:rPr>
                <w:rFonts w:ascii="Times New Roman" w:hAnsi="Times New Roman" w:cs="Times New Roman"/>
                <w:b/>
                <w:bCs/>
                <w:color w:val="000000"/>
                <w:sz w:val="15"/>
                <w:szCs w:val="15"/>
              </w:rPr>
            </w:pPr>
            <w:r w:rsidRPr="004A4899">
              <w:rPr>
                <w:rFonts w:ascii="Times New Roman" w:hAnsi="Times New Roman" w:cs="Times New Roman"/>
                <w:b/>
                <w:bCs/>
                <w:color w:val="000000"/>
                <w:sz w:val="15"/>
                <w:szCs w:val="15"/>
              </w:rPr>
              <w:t>Sesquiterpenes</w:t>
            </w:r>
          </w:p>
        </w:tc>
        <w:tc>
          <w:tcPr>
            <w:tcW w:w="1323" w:type="dxa"/>
            <w:noWrap/>
            <w:vAlign w:val="center"/>
          </w:tcPr>
          <w:p w14:paraId="2C4267C3" w14:textId="77777777" w:rsidR="00126D8D" w:rsidRPr="004A4899" w:rsidRDefault="00126D8D" w:rsidP="00820288">
            <w:pPr>
              <w:spacing w:line="240" w:lineRule="auto"/>
              <w:jc w:val="center"/>
              <w:rPr>
                <w:rFonts w:ascii="Times New Roman" w:hAnsi="Times New Roman" w:cs="Times New Roman"/>
                <w:color w:val="000000"/>
                <w:sz w:val="15"/>
                <w:szCs w:val="15"/>
              </w:rPr>
            </w:pPr>
          </w:p>
        </w:tc>
        <w:tc>
          <w:tcPr>
            <w:tcW w:w="837" w:type="dxa"/>
            <w:noWrap/>
            <w:vAlign w:val="center"/>
          </w:tcPr>
          <w:p w14:paraId="0A936D93" w14:textId="77777777" w:rsidR="00126D8D" w:rsidRPr="004A4899" w:rsidRDefault="00126D8D" w:rsidP="00820288">
            <w:pPr>
              <w:spacing w:line="240" w:lineRule="auto"/>
              <w:jc w:val="center"/>
              <w:rPr>
                <w:rFonts w:ascii="Times New Roman" w:hAnsi="Times New Roman" w:cs="Times New Roman"/>
                <w:color w:val="000000"/>
                <w:sz w:val="15"/>
                <w:szCs w:val="15"/>
              </w:rPr>
            </w:pPr>
          </w:p>
        </w:tc>
        <w:tc>
          <w:tcPr>
            <w:tcW w:w="763" w:type="dxa"/>
            <w:noWrap/>
            <w:vAlign w:val="center"/>
          </w:tcPr>
          <w:p w14:paraId="54DF49B0" w14:textId="77777777" w:rsidR="00126D8D" w:rsidRPr="004A4899" w:rsidRDefault="00126D8D" w:rsidP="00820288">
            <w:pPr>
              <w:spacing w:line="240" w:lineRule="auto"/>
              <w:jc w:val="center"/>
              <w:rPr>
                <w:rFonts w:ascii="Times New Roman" w:hAnsi="Times New Roman" w:cs="Times New Roman"/>
                <w:color w:val="000000"/>
                <w:sz w:val="15"/>
                <w:szCs w:val="15"/>
              </w:rPr>
            </w:pPr>
          </w:p>
        </w:tc>
        <w:tc>
          <w:tcPr>
            <w:tcW w:w="1478" w:type="dxa"/>
            <w:noWrap/>
            <w:vAlign w:val="center"/>
          </w:tcPr>
          <w:p w14:paraId="151AC200" w14:textId="77777777" w:rsidR="00126D8D" w:rsidRPr="004A4899" w:rsidRDefault="00126D8D" w:rsidP="00820288">
            <w:pPr>
              <w:spacing w:line="240" w:lineRule="auto"/>
              <w:jc w:val="center"/>
              <w:rPr>
                <w:rFonts w:ascii="Times New Roman" w:hAnsi="Times New Roman" w:cs="Times New Roman"/>
                <w:color w:val="000000"/>
                <w:sz w:val="15"/>
                <w:szCs w:val="15"/>
              </w:rPr>
            </w:pPr>
          </w:p>
        </w:tc>
        <w:tc>
          <w:tcPr>
            <w:tcW w:w="92" w:type="dxa"/>
          </w:tcPr>
          <w:p w14:paraId="3E914467" w14:textId="77777777" w:rsidR="00126D8D" w:rsidRPr="004A4899" w:rsidRDefault="00126D8D" w:rsidP="00820288">
            <w:pPr>
              <w:spacing w:line="240" w:lineRule="auto"/>
              <w:jc w:val="center"/>
              <w:rPr>
                <w:rFonts w:ascii="Times New Roman" w:hAnsi="Times New Roman" w:cs="Times New Roman"/>
                <w:color w:val="000000"/>
                <w:sz w:val="15"/>
                <w:szCs w:val="15"/>
              </w:rPr>
            </w:pPr>
          </w:p>
        </w:tc>
        <w:tc>
          <w:tcPr>
            <w:tcW w:w="837" w:type="dxa"/>
            <w:noWrap/>
            <w:vAlign w:val="center"/>
          </w:tcPr>
          <w:p w14:paraId="65FA0B6B" w14:textId="77777777" w:rsidR="00126D8D" w:rsidRPr="004A4899" w:rsidRDefault="00126D8D" w:rsidP="00820288">
            <w:pPr>
              <w:spacing w:line="240" w:lineRule="auto"/>
              <w:jc w:val="center"/>
              <w:rPr>
                <w:rFonts w:ascii="Times New Roman" w:hAnsi="Times New Roman" w:cs="Times New Roman"/>
                <w:color w:val="000000"/>
                <w:sz w:val="15"/>
                <w:szCs w:val="15"/>
              </w:rPr>
            </w:pPr>
          </w:p>
        </w:tc>
        <w:tc>
          <w:tcPr>
            <w:tcW w:w="763" w:type="dxa"/>
            <w:noWrap/>
            <w:vAlign w:val="center"/>
          </w:tcPr>
          <w:p w14:paraId="4494E635" w14:textId="77777777" w:rsidR="00126D8D" w:rsidRPr="004A4899" w:rsidRDefault="00126D8D" w:rsidP="00820288">
            <w:pPr>
              <w:spacing w:line="240" w:lineRule="auto"/>
              <w:jc w:val="center"/>
              <w:rPr>
                <w:rFonts w:ascii="Times New Roman" w:hAnsi="Times New Roman" w:cs="Times New Roman"/>
                <w:color w:val="000000"/>
                <w:sz w:val="15"/>
                <w:szCs w:val="15"/>
              </w:rPr>
            </w:pPr>
          </w:p>
        </w:tc>
        <w:tc>
          <w:tcPr>
            <w:tcW w:w="1478" w:type="dxa"/>
            <w:noWrap/>
            <w:vAlign w:val="center"/>
          </w:tcPr>
          <w:p w14:paraId="1F504D08" w14:textId="77777777" w:rsidR="00126D8D" w:rsidRPr="004A4899" w:rsidRDefault="00126D8D" w:rsidP="00820288">
            <w:pPr>
              <w:spacing w:line="240" w:lineRule="auto"/>
              <w:jc w:val="center"/>
              <w:rPr>
                <w:rFonts w:ascii="Times New Roman" w:hAnsi="Times New Roman" w:cs="Times New Roman"/>
                <w:color w:val="000000"/>
                <w:sz w:val="15"/>
                <w:szCs w:val="15"/>
              </w:rPr>
            </w:pPr>
          </w:p>
        </w:tc>
      </w:tr>
      <w:tr w:rsidR="00126D8D" w:rsidRPr="00747A19" w14:paraId="127D779D" w14:textId="77777777" w:rsidTr="00820288">
        <w:trPr>
          <w:trHeight w:val="144"/>
          <w:jc w:val="center"/>
        </w:trPr>
        <w:tc>
          <w:tcPr>
            <w:tcW w:w="1778" w:type="dxa"/>
            <w:noWrap/>
            <w:vAlign w:val="center"/>
            <w:hideMark/>
          </w:tcPr>
          <w:p w14:paraId="5450A052" w14:textId="77777777" w:rsidR="00126D8D" w:rsidRPr="004A4899" w:rsidRDefault="00126D8D" w:rsidP="00820288">
            <w:pPr>
              <w:spacing w:line="240" w:lineRule="auto"/>
              <w:rPr>
                <w:rFonts w:ascii="Times New Roman" w:hAnsi="Times New Roman" w:cs="Times New Roman"/>
                <w:color w:val="000000"/>
                <w:sz w:val="15"/>
                <w:szCs w:val="15"/>
              </w:rPr>
            </w:pPr>
            <w:r w:rsidRPr="004A4899">
              <w:rPr>
                <w:rFonts w:ascii="Times New Roman" w:hAnsi="Times New Roman" w:cs="Times New Roman"/>
                <w:color w:val="000000"/>
                <w:sz w:val="15"/>
                <w:szCs w:val="15"/>
              </w:rPr>
              <w:t>a-Humulene</w:t>
            </w:r>
          </w:p>
        </w:tc>
        <w:tc>
          <w:tcPr>
            <w:tcW w:w="1323" w:type="dxa"/>
            <w:noWrap/>
            <w:vAlign w:val="center"/>
            <w:hideMark/>
          </w:tcPr>
          <w:p w14:paraId="3423486D" w14:textId="77777777" w:rsidR="00126D8D" w:rsidRPr="004A4899" w:rsidRDefault="00126D8D" w:rsidP="00820288">
            <w:pPr>
              <w:spacing w:line="240" w:lineRule="auto"/>
              <w:jc w:val="center"/>
              <w:rPr>
                <w:rFonts w:ascii="Times New Roman" w:hAnsi="Times New Roman" w:cs="Times New Roman"/>
                <w:color w:val="000000"/>
                <w:sz w:val="15"/>
                <w:szCs w:val="15"/>
              </w:rPr>
            </w:pPr>
            <w:r w:rsidRPr="004A4899">
              <w:rPr>
                <w:rFonts w:ascii="Times New Roman" w:hAnsi="Times New Roman" w:cs="Times New Roman"/>
                <w:color w:val="000000"/>
                <w:sz w:val="15"/>
                <w:szCs w:val="15"/>
              </w:rPr>
              <w:t>6753-98-6</w:t>
            </w:r>
          </w:p>
        </w:tc>
        <w:tc>
          <w:tcPr>
            <w:tcW w:w="837" w:type="dxa"/>
            <w:noWrap/>
            <w:vAlign w:val="center"/>
            <w:hideMark/>
          </w:tcPr>
          <w:p w14:paraId="489E40E2" w14:textId="77777777" w:rsidR="00126D8D" w:rsidRPr="004A4899" w:rsidRDefault="00126D8D" w:rsidP="00820288">
            <w:pPr>
              <w:spacing w:line="240" w:lineRule="auto"/>
              <w:jc w:val="center"/>
              <w:rPr>
                <w:rFonts w:ascii="Times New Roman" w:hAnsi="Times New Roman" w:cs="Times New Roman"/>
                <w:color w:val="000000"/>
                <w:sz w:val="15"/>
                <w:szCs w:val="15"/>
              </w:rPr>
            </w:pPr>
            <w:r w:rsidRPr="004A4899">
              <w:rPr>
                <w:rFonts w:ascii="Times New Roman" w:hAnsi="Times New Roman" w:cs="Times New Roman"/>
                <w:color w:val="000000"/>
                <w:sz w:val="15"/>
                <w:szCs w:val="15"/>
              </w:rPr>
              <w:t>19.58</w:t>
            </w:r>
          </w:p>
        </w:tc>
        <w:tc>
          <w:tcPr>
            <w:tcW w:w="763" w:type="dxa"/>
            <w:noWrap/>
            <w:vAlign w:val="center"/>
            <w:hideMark/>
          </w:tcPr>
          <w:p w14:paraId="7A2BFC48" w14:textId="77777777" w:rsidR="00126D8D" w:rsidRPr="004A4899" w:rsidRDefault="00126D8D" w:rsidP="00820288">
            <w:pPr>
              <w:spacing w:line="240" w:lineRule="auto"/>
              <w:jc w:val="center"/>
              <w:rPr>
                <w:rFonts w:ascii="Times New Roman" w:hAnsi="Times New Roman" w:cs="Times New Roman"/>
                <w:color w:val="000000"/>
                <w:sz w:val="15"/>
                <w:szCs w:val="15"/>
              </w:rPr>
            </w:pPr>
            <w:r w:rsidRPr="004A4899">
              <w:rPr>
                <w:rFonts w:ascii="Times New Roman" w:hAnsi="Times New Roman" w:cs="Times New Roman"/>
                <w:color w:val="000000"/>
                <w:sz w:val="15"/>
                <w:szCs w:val="15"/>
              </w:rPr>
              <w:t>1.87</w:t>
            </w:r>
          </w:p>
        </w:tc>
        <w:tc>
          <w:tcPr>
            <w:tcW w:w="1478" w:type="dxa"/>
            <w:noWrap/>
            <w:vAlign w:val="center"/>
            <w:hideMark/>
          </w:tcPr>
          <w:p w14:paraId="047A62BA" w14:textId="77777777" w:rsidR="00126D8D" w:rsidRPr="004A4899" w:rsidRDefault="00126D8D" w:rsidP="00820288">
            <w:pPr>
              <w:spacing w:line="240" w:lineRule="auto"/>
              <w:jc w:val="center"/>
              <w:rPr>
                <w:rFonts w:ascii="Times New Roman" w:hAnsi="Times New Roman" w:cs="Times New Roman"/>
                <w:color w:val="000000"/>
                <w:sz w:val="15"/>
                <w:szCs w:val="15"/>
              </w:rPr>
            </w:pPr>
            <w:r w:rsidRPr="004A4899">
              <w:rPr>
                <w:rFonts w:ascii="Times New Roman" w:hAnsi="Times New Roman" w:cs="Times New Roman"/>
                <w:color w:val="000000"/>
                <w:sz w:val="15"/>
                <w:szCs w:val="15"/>
              </w:rPr>
              <w:t>1.12</w:t>
            </w:r>
          </w:p>
        </w:tc>
        <w:tc>
          <w:tcPr>
            <w:tcW w:w="92" w:type="dxa"/>
          </w:tcPr>
          <w:p w14:paraId="662A23C1" w14:textId="77777777" w:rsidR="00126D8D" w:rsidRPr="004A4899" w:rsidRDefault="00126D8D" w:rsidP="00820288">
            <w:pPr>
              <w:spacing w:line="240" w:lineRule="auto"/>
              <w:jc w:val="center"/>
              <w:rPr>
                <w:rFonts w:ascii="Times New Roman" w:hAnsi="Times New Roman" w:cs="Times New Roman"/>
                <w:color w:val="000000"/>
                <w:sz w:val="15"/>
                <w:szCs w:val="15"/>
              </w:rPr>
            </w:pPr>
          </w:p>
        </w:tc>
        <w:tc>
          <w:tcPr>
            <w:tcW w:w="837" w:type="dxa"/>
            <w:noWrap/>
            <w:vAlign w:val="center"/>
            <w:hideMark/>
          </w:tcPr>
          <w:p w14:paraId="79AA8710" w14:textId="77777777" w:rsidR="00126D8D" w:rsidRPr="004A4899" w:rsidRDefault="00126D8D" w:rsidP="00820288">
            <w:pPr>
              <w:spacing w:line="240" w:lineRule="auto"/>
              <w:jc w:val="center"/>
              <w:rPr>
                <w:rFonts w:ascii="Times New Roman" w:hAnsi="Times New Roman" w:cs="Times New Roman"/>
                <w:color w:val="000000"/>
                <w:sz w:val="15"/>
                <w:szCs w:val="15"/>
              </w:rPr>
            </w:pPr>
            <w:r w:rsidRPr="004A4899">
              <w:rPr>
                <w:rFonts w:ascii="Times New Roman" w:hAnsi="Times New Roman" w:cs="Times New Roman"/>
                <w:color w:val="000000"/>
                <w:sz w:val="15"/>
                <w:szCs w:val="15"/>
              </w:rPr>
              <w:t>&lt;0.0001</w:t>
            </w:r>
          </w:p>
        </w:tc>
        <w:tc>
          <w:tcPr>
            <w:tcW w:w="763" w:type="dxa"/>
            <w:noWrap/>
            <w:vAlign w:val="center"/>
            <w:hideMark/>
          </w:tcPr>
          <w:p w14:paraId="1E0C7CDB" w14:textId="77777777" w:rsidR="00126D8D" w:rsidRPr="004A4899" w:rsidRDefault="00126D8D" w:rsidP="00820288">
            <w:pPr>
              <w:spacing w:line="240" w:lineRule="auto"/>
              <w:jc w:val="center"/>
              <w:rPr>
                <w:rFonts w:ascii="Times New Roman" w:hAnsi="Times New Roman" w:cs="Times New Roman"/>
                <w:color w:val="000000"/>
                <w:sz w:val="15"/>
                <w:szCs w:val="15"/>
              </w:rPr>
            </w:pPr>
            <w:r w:rsidRPr="004A4899">
              <w:rPr>
                <w:rFonts w:ascii="Times New Roman" w:hAnsi="Times New Roman" w:cs="Times New Roman"/>
                <w:color w:val="000000"/>
                <w:sz w:val="15"/>
                <w:szCs w:val="15"/>
              </w:rPr>
              <w:t>0.0420</w:t>
            </w:r>
          </w:p>
        </w:tc>
        <w:tc>
          <w:tcPr>
            <w:tcW w:w="1478" w:type="dxa"/>
            <w:noWrap/>
            <w:vAlign w:val="center"/>
            <w:hideMark/>
          </w:tcPr>
          <w:p w14:paraId="601EA3C4" w14:textId="77777777" w:rsidR="00126D8D" w:rsidRPr="004A4899" w:rsidRDefault="00126D8D" w:rsidP="00820288">
            <w:pPr>
              <w:spacing w:line="240" w:lineRule="auto"/>
              <w:jc w:val="center"/>
              <w:rPr>
                <w:rFonts w:ascii="Times New Roman" w:hAnsi="Times New Roman" w:cs="Times New Roman"/>
                <w:color w:val="000000"/>
                <w:sz w:val="15"/>
                <w:szCs w:val="15"/>
              </w:rPr>
            </w:pPr>
            <w:r w:rsidRPr="004A4899">
              <w:rPr>
                <w:rFonts w:ascii="Times New Roman" w:hAnsi="Times New Roman" w:cs="Times New Roman"/>
                <w:color w:val="000000"/>
                <w:sz w:val="15"/>
                <w:szCs w:val="15"/>
              </w:rPr>
              <w:t>0.3001</w:t>
            </w:r>
          </w:p>
        </w:tc>
      </w:tr>
      <w:tr w:rsidR="00126D8D" w:rsidRPr="00747A19" w14:paraId="62A091B4" w14:textId="77777777" w:rsidTr="00820288">
        <w:trPr>
          <w:trHeight w:val="144"/>
          <w:jc w:val="center"/>
        </w:trPr>
        <w:tc>
          <w:tcPr>
            <w:tcW w:w="1778" w:type="dxa"/>
            <w:noWrap/>
            <w:vAlign w:val="center"/>
          </w:tcPr>
          <w:p w14:paraId="72627A9A" w14:textId="77777777" w:rsidR="00126D8D" w:rsidRPr="004A4899" w:rsidRDefault="00126D8D" w:rsidP="00820288">
            <w:pPr>
              <w:spacing w:line="240" w:lineRule="auto"/>
              <w:rPr>
                <w:rFonts w:ascii="Times New Roman" w:hAnsi="Times New Roman" w:cs="Times New Roman"/>
                <w:b/>
                <w:bCs/>
                <w:color w:val="000000"/>
                <w:sz w:val="15"/>
                <w:szCs w:val="15"/>
              </w:rPr>
            </w:pPr>
            <w:r w:rsidRPr="004A4899">
              <w:rPr>
                <w:rFonts w:ascii="Times New Roman" w:hAnsi="Times New Roman" w:cs="Times New Roman"/>
                <w:b/>
                <w:bCs/>
                <w:color w:val="000000"/>
                <w:sz w:val="15"/>
                <w:szCs w:val="15"/>
              </w:rPr>
              <w:t>Organosulfur</w:t>
            </w:r>
          </w:p>
        </w:tc>
        <w:tc>
          <w:tcPr>
            <w:tcW w:w="1323" w:type="dxa"/>
            <w:noWrap/>
            <w:vAlign w:val="center"/>
          </w:tcPr>
          <w:p w14:paraId="47066B78" w14:textId="77777777" w:rsidR="00126D8D" w:rsidRPr="004A4899" w:rsidRDefault="00126D8D" w:rsidP="00820288">
            <w:pPr>
              <w:spacing w:line="240" w:lineRule="auto"/>
              <w:jc w:val="center"/>
              <w:rPr>
                <w:rFonts w:ascii="Times New Roman" w:hAnsi="Times New Roman" w:cs="Times New Roman"/>
                <w:color w:val="000000"/>
                <w:sz w:val="15"/>
                <w:szCs w:val="15"/>
              </w:rPr>
            </w:pPr>
          </w:p>
        </w:tc>
        <w:tc>
          <w:tcPr>
            <w:tcW w:w="837" w:type="dxa"/>
            <w:noWrap/>
            <w:vAlign w:val="center"/>
          </w:tcPr>
          <w:p w14:paraId="5C55A871" w14:textId="77777777" w:rsidR="00126D8D" w:rsidRPr="004A4899" w:rsidRDefault="00126D8D" w:rsidP="00820288">
            <w:pPr>
              <w:spacing w:line="240" w:lineRule="auto"/>
              <w:jc w:val="center"/>
              <w:rPr>
                <w:rFonts w:ascii="Times New Roman" w:hAnsi="Times New Roman" w:cs="Times New Roman"/>
                <w:color w:val="000000"/>
                <w:sz w:val="15"/>
                <w:szCs w:val="15"/>
              </w:rPr>
            </w:pPr>
          </w:p>
        </w:tc>
        <w:tc>
          <w:tcPr>
            <w:tcW w:w="763" w:type="dxa"/>
            <w:noWrap/>
            <w:vAlign w:val="center"/>
          </w:tcPr>
          <w:p w14:paraId="5D2BECB0" w14:textId="77777777" w:rsidR="00126D8D" w:rsidRPr="004A4899" w:rsidRDefault="00126D8D" w:rsidP="00820288">
            <w:pPr>
              <w:spacing w:line="240" w:lineRule="auto"/>
              <w:jc w:val="center"/>
              <w:rPr>
                <w:rFonts w:ascii="Times New Roman" w:hAnsi="Times New Roman" w:cs="Times New Roman"/>
                <w:color w:val="000000"/>
                <w:sz w:val="15"/>
                <w:szCs w:val="15"/>
              </w:rPr>
            </w:pPr>
          </w:p>
        </w:tc>
        <w:tc>
          <w:tcPr>
            <w:tcW w:w="1478" w:type="dxa"/>
            <w:noWrap/>
            <w:vAlign w:val="center"/>
          </w:tcPr>
          <w:p w14:paraId="7923FC84" w14:textId="77777777" w:rsidR="00126D8D" w:rsidRPr="004A4899" w:rsidRDefault="00126D8D" w:rsidP="00820288">
            <w:pPr>
              <w:spacing w:line="240" w:lineRule="auto"/>
              <w:jc w:val="center"/>
              <w:rPr>
                <w:rFonts w:ascii="Times New Roman" w:hAnsi="Times New Roman" w:cs="Times New Roman"/>
                <w:color w:val="000000"/>
                <w:sz w:val="15"/>
                <w:szCs w:val="15"/>
              </w:rPr>
            </w:pPr>
          </w:p>
        </w:tc>
        <w:tc>
          <w:tcPr>
            <w:tcW w:w="92" w:type="dxa"/>
          </w:tcPr>
          <w:p w14:paraId="749B5953" w14:textId="77777777" w:rsidR="00126D8D" w:rsidRPr="004A4899" w:rsidRDefault="00126D8D" w:rsidP="00820288">
            <w:pPr>
              <w:spacing w:line="240" w:lineRule="auto"/>
              <w:jc w:val="center"/>
              <w:rPr>
                <w:rFonts w:ascii="Times New Roman" w:hAnsi="Times New Roman" w:cs="Times New Roman"/>
                <w:color w:val="000000"/>
                <w:sz w:val="15"/>
                <w:szCs w:val="15"/>
              </w:rPr>
            </w:pPr>
          </w:p>
        </w:tc>
        <w:tc>
          <w:tcPr>
            <w:tcW w:w="837" w:type="dxa"/>
            <w:noWrap/>
            <w:vAlign w:val="center"/>
          </w:tcPr>
          <w:p w14:paraId="06BEAB49" w14:textId="77777777" w:rsidR="00126D8D" w:rsidRPr="004A4899" w:rsidRDefault="00126D8D" w:rsidP="00820288">
            <w:pPr>
              <w:spacing w:line="240" w:lineRule="auto"/>
              <w:jc w:val="center"/>
              <w:rPr>
                <w:rFonts w:ascii="Times New Roman" w:hAnsi="Times New Roman" w:cs="Times New Roman"/>
                <w:color w:val="000000"/>
                <w:sz w:val="15"/>
                <w:szCs w:val="15"/>
              </w:rPr>
            </w:pPr>
          </w:p>
        </w:tc>
        <w:tc>
          <w:tcPr>
            <w:tcW w:w="763" w:type="dxa"/>
            <w:noWrap/>
            <w:vAlign w:val="center"/>
          </w:tcPr>
          <w:p w14:paraId="5BBDB2CF" w14:textId="77777777" w:rsidR="00126D8D" w:rsidRPr="004A4899" w:rsidRDefault="00126D8D" w:rsidP="00820288">
            <w:pPr>
              <w:spacing w:line="240" w:lineRule="auto"/>
              <w:jc w:val="center"/>
              <w:rPr>
                <w:rFonts w:ascii="Times New Roman" w:hAnsi="Times New Roman" w:cs="Times New Roman"/>
                <w:color w:val="000000"/>
                <w:sz w:val="15"/>
                <w:szCs w:val="15"/>
              </w:rPr>
            </w:pPr>
          </w:p>
        </w:tc>
        <w:tc>
          <w:tcPr>
            <w:tcW w:w="1478" w:type="dxa"/>
            <w:noWrap/>
            <w:vAlign w:val="center"/>
          </w:tcPr>
          <w:p w14:paraId="17819E3F" w14:textId="77777777" w:rsidR="00126D8D" w:rsidRPr="004A4899" w:rsidRDefault="00126D8D" w:rsidP="00820288">
            <w:pPr>
              <w:spacing w:line="240" w:lineRule="auto"/>
              <w:jc w:val="center"/>
              <w:rPr>
                <w:rFonts w:ascii="Times New Roman" w:hAnsi="Times New Roman" w:cs="Times New Roman"/>
                <w:color w:val="000000"/>
                <w:sz w:val="15"/>
                <w:szCs w:val="15"/>
              </w:rPr>
            </w:pPr>
          </w:p>
        </w:tc>
      </w:tr>
      <w:tr w:rsidR="00126D8D" w:rsidRPr="00747A19" w14:paraId="5AFEB4C9" w14:textId="77777777" w:rsidTr="00820288">
        <w:trPr>
          <w:trHeight w:val="144"/>
          <w:jc w:val="center"/>
        </w:trPr>
        <w:tc>
          <w:tcPr>
            <w:tcW w:w="1778" w:type="dxa"/>
            <w:noWrap/>
            <w:vAlign w:val="center"/>
            <w:hideMark/>
          </w:tcPr>
          <w:p w14:paraId="450296C8" w14:textId="77777777" w:rsidR="00126D8D" w:rsidRPr="004A4899" w:rsidRDefault="00126D8D" w:rsidP="00820288">
            <w:pPr>
              <w:spacing w:line="240" w:lineRule="auto"/>
              <w:rPr>
                <w:rFonts w:ascii="Times New Roman" w:hAnsi="Times New Roman" w:cs="Times New Roman"/>
                <w:color w:val="000000"/>
                <w:sz w:val="15"/>
                <w:szCs w:val="15"/>
              </w:rPr>
            </w:pPr>
            <w:r w:rsidRPr="004A4899">
              <w:rPr>
                <w:rFonts w:ascii="Times New Roman" w:hAnsi="Times New Roman" w:cs="Times New Roman"/>
                <w:color w:val="000000"/>
                <w:sz w:val="15"/>
                <w:szCs w:val="15"/>
              </w:rPr>
              <w:t>Isothiocyanatocyclopropane</w:t>
            </w:r>
          </w:p>
        </w:tc>
        <w:tc>
          <w:tcPr>
            <w:tcW w:w="1323" w:type="dxa"/>
            <w:noWrap/>
            <w:vAlign w:val="center"/>
            <w:hideMark/>
          </w:tcPr>
          <w:p w14:paraId="0F5F622F" w14:textId="77777777" w:rsidR="00126D8D" w:rsidRPr="004A4899" w:rsidRDefault="00126D8D" w:rsidP="00820288">
            <w:pPr>
              <w:spacing w:line="240" w:lineRule="auto"/>
              <w:jc w:val="center"/>
              <w:rPr>
                <w:rFonts w:ascii="Times New Roman" w:hAnsi="Times New Roman" w:cs="Times New Roman"/>
                <w:color w:val="000000"/>
                <w:sz w:val="15"/>
                <w:szCs w:val="15"/>
              </w:rPr>
            </w:pPr>
            <w:r w:rsidRPr="004A4899">
              <w:rPr>
                <w:rFonts w:ascii="Times New Roman" w:hAnsi="Times New Roman" w:cs="Times New Roman"/>
                <w:color w:val="000000"/>
                <w:sz w:val="15"/>
                <w:szCs w:val="15"/>
              </w:rPr>
              <w:t>56601-42-4</w:t>
            </w:r>
          </w:p>
        </w:tc>
        <w:tc>
          <w:tcPr>
            <w:tcW w:w="837" w:type="dxa"/>
            <w:noWrap/>
            <w:vAlign w:val="center"/>
            <w:hideMark/>
          </w:tcPr>
          <w:p w14:paraId="59464B49" w14:textId="77777777" w:rsidR="00126D8D" w:rsidRPr="004A4899" w:rsidRDefault="00126D8D" w:rsidP="00820288">
            <w:pPr>
              <w:spacing w:line="240" w:lineRule="auto"/>
              <w:jc w:val="center"/>
              <w:rPr>
                <w:rFonts w:ascii="Times New Roman" w:hAnsi="Times New Roman" w:cs="Times New Roman"/>
                <w:color w:val="000000"/>
                <w:sz w:val="15"/>
                <w:szCs w:val="15"/>
              </w:rPr>
            </w:pPr>
            <w:r w:rsidRPr="004A4899">
              <w:rPr>
                <w:rFonts w:ascii="Times New Roman" w:hAnsi="Times New Roman" w:cs="Times New Roman"/>
                <w:color w:val="000000"/>
                <w:sz w:val="15"/>
                <w:szCs w:val="15"/>
              </w:rPr>
              <w:t>9.92</w:t>
            </w:r>
          </w:p>
        </w:tc>
        <w:tc>
          <w:tcPr>
            <w:tcW w:w="763" w:type="dxa"/>
            <w:noWrap/>
            <w:vAlign w:val="center"/>
            <w:hideMark/>
          </w:tcPr>
          <w:p w14:paraId="78C321C8" w14:textId="77777777" w:rsidR="00126D8D" w:rsidRPr="004A4899" w:rsidRDefault="00126D8D" w:rsidP="00820288">
            <w:pPr>
              <w:spacing w:line="240" w:lineRule="auto"/>
              <w:jc w:val="center"/>
              <w:rPr>
                <w:rFonts w:ascii="Times New Roman" w:hAnsi="Times New Roman" w:cs="Times New Roman"/>
                <w:color w:val="000000"/>
                <w:sz w:val="15"/>
                <w:szCs w:val="15"/>
              </w:rPr>
            </w:pPr>
            <w:r w:rsidRPr="004A4899">
              <w:rPr>
                <w:rFonts w:ascii="Times New Roman" w:hAnsi="Times New Roman" w:cs="Times New Roman"/>
                <w:color w:val="000000"/>
                <w:sz w:val="15"/>
                <w:szCs w:val="15"/>
              </w:rPr>
              <w:t>1.69</w:t>
            </w:r>
          </w:p>
        </w:tc>
        <w:tc>
          <w:tcPr>
            <w:tcW w:w="1478" w:type="dxa"/>
            <w:noWrap/>
            <w:vAlign w:val="center"/>
            <w:hideMark/>
          </w:tcPr>
          <w:p w14:paraId="70F3F5EE" w14:textId="77777777" w:rsidR="00126D8D" w:rsidRPr="004A4899" w:rsidRDefault="00126D8D" w:rsidP="00820288">
            <w:pPr>
              <w:spacing w:line="240" w:lineRule="auto"/>
              <w:jc w:val="center"/>
              <w:rPr>
                <w:rFonts w:ascii="Times New Roman" w:hAnsi="Times New Roman" w:cs="Times New Roman"/>
                <w:color w:val="000000"/>
                <w:sz w:val="15"/>
                <w:szCs w:val="15"/>
              </w:rPr>
            </w:pPr>
            <w:r w:rsidRPr="004A4899">
              <w:rPr>
                <w:rFonts w:ascii="Times New Roman" w:hAnsi="Times New Roman" w:cs="Times New Roman"/>
                <w:color w:val="000000"/>
                <w:sz w:val="15"/>
                <w:szCs w:val="15"/>
              </w:rPr>
              <w:t>0.85</w:t>
            </w:r>
          </w:p>
        </w:tc>
        <w:tc>
          <w:tcPr>
            <w:tcW w:w="92" w:type="dxa"/>
          </w:tcPr>
          <w:p w14:paraId="5A2EAA77" w14:textId="77777777" w:rsidR="00126D8D" w:rsidRPr="004A4899" w:rsidRDefault="00126D8D" w:rsidP="00820288">
            <w:pPr>
              <w:spacing w:line="240" w:lineRule="auto"/>
              <w:jc w:val="center"/>
              <w:rPr>
                <w:rFonts w:ascii="Times New Roman" w:hAnsi="Times New Roman" w:cs="Times New Roman"/>
                <w:color w:val="000000"/>
                <w:sz w:val="15"/>
                <w:szCs w:val="15"/>
              </w:rPr>
            </w:pPr>
          </w:p>
        </w:tc>
        <w:tc>
          <w:tcPr>
            <w:tcW w:w="837" w:type="dxa"/>
            <w:noWrap/>
            <w:vAlign w:val="center"/>
            <w:hideMark/>
          </w:tcPr>
          <w:p w14:paraId="4B4E6C93" w14:textId="77777777" w:rsidR="00126D8D" w:rsidRPr="004A4899" w:rsidRDefault="00126D8D" w:rsidP="00820288">
            <w:pPr>
              <w:spacing w:line="240" w:lineRule="auto"/>
              <w:jc w:val="center"/>
              <w:rPr>
                <w:rFonts w:ascii="Times New Roman" w:hAnsi="Times New Roman" w:cs="Times New Roman"/>
                <w:color w:val="000000"/>
                <w:sz w:val="15"/>
                <w:szCs w:val="15"/>
              </w:rPr>
            </w:pPr>
            <w:r w:rsidRPr="004A4899">
              <w:rPr>
                <w:rFonts w:ascii="Times New Roman" w:hAnsi="Times New Roman" w:cs="Times New Roman"/>
                <w:color w:val="000000"/>
                <w:sz w:val="15"/>
                <w:szCs w:val="15"/>
              </w:rPr>
              <w:t>&lt;0.0001</w:t>
            </w:r>
          </w:p>
        </w:tc>
        <w:tc>
          <w:tcPr>
            <w:tcW w:w="763" w:type="dxa"/>
            <w:noWrap/>
            <w:vAlign w:val="center"/>
            <w:hideMark/>
          </w:tcPr>
          <w:p w14:paraId="1AA818F9" w14:textId="77777777" w:rsidR="00126D8D" w:rsidRPr="004A4899" w:rsidRDefault="00126D8D" w:rsidP="00820288">
            <w:pPr>
              <w:spacing w:line="240" w:lineRule="auto"/>
              <w:jc w:val="center"/>
              <w:rPr>
                <w:rFonts w:ascii="Times New Roman" w:hAnsi="Times New Roman" w:cs="Times New Roman"/>
                <w:color w:val="000000"/>
                <w:sz w:val="15"/>
                <w:szCs w:val="15"/>
              </w:rPr>
            </w:pPr>
            <w:r w:rsidRPr="004A4899">
              <w:rPr>
                <w:rFonts w:ascii="Times New Roman" w:hAnsi="Times New Roman" w:cs="Times New Roman"/>
                <w:color w:val="000000"/>
                <w:sz w:val="15"/>
                <w:szCs w:val="15"/>
              </w:rPr>
              <w:t>0.0752</w:t>
            </w:r>
          </w:p>
        </w:tc>
        <w:tc>
          <w:tcPr>
            <w:tcW w:w="1478" w:type="dxa"/>
            <w:noWrap/>
            <w:vAlign w:val="center"/>
            <w:hideMark/>
          </w:tcPr>
          <w:p w14:paraId="3DD2CC91" w14:textId="77777777" w:rsidR="00126D8D" w:rsidRPr="004A4899" w:rsidRDefault="00126D8D" w:rsidP="00820288">
            <w:pPr>
              <w:spacing w:line="240" w:lineRule="auto"/>
              <w:jc w:val="center"/>
              <w:rPr>
                <w:rFonts w:ascii="Times New Roman" w:hAnsi="Times New Roman" w:cs="Times New Roman"/>
                <w:color w:val="000000"/>
                <w:sz w:val="15"/>
                <w:szCs w:val="15"/>
              </w:rPr>
            </w:pPr>
            <w:r w:rsidRPr="004A4899">
              <w:rPr>
                <w:rFonts w:ascii="Times New Roman" w:hAnsi="Times New Roman" w:cs="Times New Roman"/>
                <w:color w:val="000000"/>
                <w:sz w:val="15"/>
                <w:szCs w:val="15"/>
              </w:rPr>
              <w:t>0.7103</w:t>
            </w:r>
          </w:p>
        </w:tc>
      </w:tr>
      <w:tr w:rsidR="00126D8D" w:rsidRPr="00747A19" w14:paraId="7C61AE0F" w14:textId="77777777" w:rsidTr="00820288">
        <w:trPr>
          <w:trHeight w:val="144"/>
          <w:jc w:val="center"/>
        </w:trPr>
        <w:tc>
          <w:tcPr>
            <w:tcW w:w="1778" w:type="dxa"/>
            <w:noWrap/>
            <w:vAlign w:val="center"/>
            <w:hideMark/>
          </w:tcPr>
          <w:p w14:paraId="786A6240" w14:textId="77777777" w:rsidR="00126D8D" w:rsidRPr="004A4899" w:rsidRDefault="00126D8D" w:rsidP="00820288">
            <w:pPr>
              <w:spacing w:line="240" w:lineRule="auto"/>
              <w:rPr>
                <w:rFonts w:ascii="Times New Roman" w:hAnsi="Times New Roman" w:cs="Times New Roman"/>
                <w:color w:val="000000"/>
                <w:sz w:val="15"/>
                <w:szCs w:val="15"/>
              </w:rPr>
            </w:pPr>
            <w:r w:rsidRPr="004A4899">
              <w:rPr>
                <w:rFonts w:ascii="Times New Roman" w:hAnsi="Times New Roman" w:cs="Times New Roman"/>
                <w:color w:val="000000"/>
                <w:sz w:val="15"/>
                <w:szCs w:val="15"/>
              </w:rPr>
              <w:t>2-Isobutylthiazole</w:t>
            </w:r>
          </w:p>
        </w:tc>
        <w:tc>
          <w:tcPr>
            <w:tcW w:w="1323" w:type="dxa"/>
            <w:noWrap/>
            <w:vAlign w:val="center"/>
            <w:hideMark/>
          </w:tcPr>
          <w:p w14:paraId="24482C49" w14:textId="77777777" w:rsidR="00126D8D" w:rsidRPr="004A4899" w:rsidRDefault="00126D8D" w:rsidP="00820288">
            <w:pPr>
              <w:spacing w:line="240" w:lineRule="auto"/>
              <w:jc w:val="center"/>
              <w:rPr>
                <w:rFonts w:ascii="Times New Roman" w:hAnsi="Times New Roman" w:cs="Times New Roman"/>
                <w:color w:val="000000"/>
                <w:sz w:val="15"/>
                <w:szCs w:val="15"/>
              </w:rPr>
            </w:pPr>
            <w:r w:rsidRPr="004A4899">
              <w:rPr>
                <w:rFonts w:ascii="Times New Roman" w:hAnsi="Times New Roman" w:cs="Times New Roman"/>
                <w:color w:val="000000"/>
                <w:sz w:val="15"/>
                <w:szCs w:val="15"/>
              </w:rPr>
              <w:t>18640-74-9</w:t>
            </w:r>
          </w:p>
        </w:tc>
        <w:tc>
          <w:tcPr>
            <w:tcW w:w="837" w:type="dxa"/>
            <w:noWrap/>
            <w:vAlign w:val="center"/>
            <w:hideMark/>
          </w:tcPr>
          <w:p w14:paraId="7FD7A9E2" w14:textId="77777777" w:rsidR="00126D8D" w:rsidRPr="004A4899" w:rsidRDefault="00126D8D" w:rsidP="00820288">
            <w:pPr>
              <w:spacing w:line="240" w:lineRule="auto"/>
              <w:jc w:val="center"/>
              <w:rPr>
                <w:rFonts w:ascii="Times New Roman" w:hAnsi="Times New Roman" w:cs="Times New Roman"/>
                <w:color w:val="000000"/>
                <w:sz w:val="15"/>
                <w:szCs w:val="15"/>
              </w:rPr>
            </w:pPr>
            <w:r w:rsidRPr="004A4899">
              <w:rPr>
                <w:rFonts w:ascii="Times New Roman" w:hAnsi="Times New Roman" w:cs="Times New Roman"/>
                <w:color w:val="000000"/>
                <w:sz w:val="15"/>
                <w:szCs w:val="15"/>
              </w:rPr>
              <w:t>10.79</w:t>
            </w:r>
          </w:p>
        </w:tc>
        <w:tc>
          <w:tcPr>
            <w:tcW w:w="763" w:type="dxa"/>
            <w:noWrap/>
            <w:vAlign w:val="center"/>
            <w:hideMark/>
          </w:tcPr>
          <w:p w14:paraId="0F9D3A3E" w14:textId="77777777" w:rsidR="00126D8D" w:rsidRPr="004A4899" w:rsidRDefault="00126D8D" w:rsidP="00820288">
            <w:pPr>
              <w:spacing w:line="240" w:lineRule="auto"/>
              <w:jc w:val="center"/>
              <w:rPr>
                <w:rFonts w:ascii="Times New Roman" w:hAnsi="Times New Roman" w:cs="Times New Roman"/>
                <w:color w:val="000000"/>
                <w:sz w:val="15"/>
                <w:szCs w:val="15"/>
              </w:rPr>
            </w:pPr>
            <w:r w:rsidRPr="004A4899">
              <w:rPr>
                <w:rFonts w:ascii="Times New Roman" w:hAnsi="Times New Roman" w:cs="Times New Roman"/>
                <w:color w:val="000000"/>
                <w:sz w:val="15"/>
                <w:szCs w:val="15"/>
              </w:rPr>
              <w:t>1.90</w:t>
            </w:r>
          </w:p>
        </w:tc>
        <w:tc>
          <w:tcPr>
            <w:tcW w:w="1478" w:type="dxa"/>
            <w:noWrap/>
            <w:vAlign w:val="center"/>
            <w:hideMark/>
          </w:tcPr>
          <w:p w14:paraId="1DD008CF" w14:textId="77777777" w:rsidR="00126D8D" w:rsidRPr="004A4899" w:rsidRDefault="00126D8D" w:rsidP="00820288">
            <w:pPr>
              <w:spacing w:line="240" w:lineRule="auto"/>
              <w:jc w:val="center"/>
              <w:rPr>
                <w:rFonts w:ascii="Times New Roman" w:hAnsi="Times New Roman" w:cs="Times New Roman"/>
                <w:color w:val="000000"/>
                <w:sz w:val="15"/>
                <w:szCs w:val="15"/>
              </w:rPr>
            </w:pPr>
            <w:r w:rsidRPr="004A4899">
              <w:rPr>
                <w:rFonts w:ascii="Times New Roman" w:hAnsi="Times New Roman" w:cs="Times New Roman"/>
                <w:color w:val="000000"/>
                <w:sz w:val="15"/>
                <w:szCs w:val="15"/>
              </w:rPr>
              <w:t>1.23</w:t>
            </w:r>
          </w:p>
        </w:tc>
        <w:tc>
          <w:tcPr>
            <w:tcW w:w="92" w:type="dxa"/>
          </w:tcPr>
          <w:p w14:paraId="50EEAE16" w14:textId="77777777" w:rsidR="00126D8D" w:rsidRPr="004A4899" w:rsidRDefault="00126D8D" w:rsidP="00820288">
            <w:pPr>
              <w:spacing w:line="240" w:lineRule="auto"/>
              <w:jc w:val="center"/>
              <w:rPr>
                <w:rFonts w:ascii="Times New Roman" w:hAnsi="Times New Roman" w:cs="Times New Roman"/>
                <w:color w:val="000000"/>
                <w:sz w:val="15"/>
                <w:szCs w:val="15"/>
              </w:rPr>
            </w:pPr>
          </w:p>
        </w:tc>
        <w:tc>
          <w:tcPr>
            <w:tcW w:w="837" w:type="dxa"/>
            <w:noWrap/>
            <w:vAlign w:val="center"/>
            <w:hideMark/>
          </w:tcPr>
          <w:p w14:paraId="6F99675E" w14:textId="77777777" w:rsidR="00126D8D" w:rsidRPr="004A4899" w:rsidRDefault="00126D8D" w:rsidP="00820288">
            <w:pPr>
              <w:spacing w:line="240" w:lineRule="auto"/>
              <w:jc w:val="center"/>
              <w:rPr>
                <w:rFonts w:ascii="Times New Roman" w:hAnsi="Times New Roman" w:cs="Times New Roman"/>
                <w:color w:val="000000"/>
                <w:sz w:val="15"/>
                <w:szCs w:val="15"/>
              </w:rPr>
            </w:pPr>
            <w:r w:rsidRPr="004A4899">
              <w:rPr>
                <w:rFonts w:ascii="Times New Roman" w:hAnsi="Times New Roman" w:cs="Times New Roman"/>
                <w:color w:val="000000"/>
                <w:sz w:val="15"/>
                <w:szCs w:val="15"/>
              </w:rPr>
              <w:t>&lt;0.0001</w:t>
            </w:r>
          </w:p>
        </w:tc>
        <w:tc>
          <w:tcPr>
            <w:tcW w:w="763" w:type="dxa"/>
            <w:noWrap/>
            <w:vAlign w:val="center"/>
            <w:hideMark/>
          </w:tcPr>
          <w:p w14:paraId="6B1F7822" w14:textId="77777777" w:rsidR="00126D8D" w:rsidRPr="004A4899" w:rsidRDefault="00126D8D" w:rsidP="00820288">
            <w:pPr>
              <w:spacing w:line="240" w:lineRule="auto"/>
              <w:jc w:val="center"/>
              <w:rPr>
                <w:rFonts w:ascii="Times New Roman" w:hAnsi="Times New Roman" w:cs="Times New Roman"/>
                <w:color w:val="000000"/>
                <w:sz w:val="15"/>
                <w:szCs w:val="15"/>
              </w:rPr>
            </w:pPr>
            <w:r w:rsidRPr="004A4899">
              <w:rPr>
                <w:rFonts w:ascii="Times New Roman" w:hAnsi="Times New Roman" w:cs="Times New Roman"/>
                <w:color w:val="000000"/>
                <w:sz w:val="15"/>
                <w:szCs w:val="15"/>
              </w:rPr>
              <w:t>0.0391</w:t>
            </w:r>
          </w:p>
        </w:tc>
        <w:tc>
          <w:tcPr>
            <w:tcW w:w="1478" w:type="dxa"/>
            <w:noWrap/>
            <w:vAlign w:val="center"/>
            <w:hideMark/>
          </w:tcPr>
          <w:p w14:paraId="31509B47" w14:textId="77777777" w:rsidR="00126D8D" w:rsidRPr="004A4899" w:rsidRDefault="00126D8D" w:rsidP="00820288">
            <w:pPr>
              <w:spacing w:line="240" w:lineRule="auto"/>
              <w:jc w:val="center"/>
              <w:rPr>
                <w:rFonts w:ascii="Times New Roman" w:hAnsi="Times New Roman" w:cs="Times New Roman"/>
                <w:color w:val="000000"/>
                <w:sz w:val="15"/>
                <w:szCs w:val="15"/>
              </w:rPr>
            </w:pPr>
            <w:r w:rsidRPr="004A4899">
              <w:rPr>
                <w:rFonts w:ascii="Times New Roman" w:hAnsi="Times New Roman" w:cs="Times New Roman"/>
                <w:color w:val="000000"/>
                <w:sz w:val="15"/>
                <w:szCs w:val="15"/>
              </w:rPr>
              <w:t>0.2101</w:t>
            </w:r>
          </w:p>
        </w:tc>
      </w:tr>
      <w:tr w:rsidR="00126D8D" w:rsidRPr="00747A19" w14:paraId="3B14D03E" w14:textId="77777777" w:rsidTr="00820288">
        <w:trPr>
          <w:trHeight w:val="144"/>
          <w:jc w:val="center"/>
        </w:trPr>
        <w:tc>
          <w:tcPr>
            <w:tcW w:w="1778" w:type="dxa"/>
            <w:noWrap/>
            <w:vAlign w:val="center"/>
            <w:hideMark/>
          </w:tcPr>
          <w:p w14:paraId="4A5F694A" w14:textId="77777777" w:rsidR="00126D8D" w:rsidRPr="004A4899" w:rsidRDefault="00126D8D" w:rsidP="00820288">
            <w:pPr>
              <w:spacing w:line="240" w:lineRule="auto"/>
              <w:rPr>
                <w:rFonts w:ascii="Times New Roman" w:hAnsi="Times New Roman" w:cs="Times New Roman"/>
                <w:color w:val="000000"/>
                <w:sz w:val="15"/>
                <w:szCs w:val="15"/>
              </w:rPr>
            </w:pPr>
            <w:r w:rsidRPr="004A4899">
              <w:rPr>
                <w:rFonts w:ascii="Times New Roman" w:hAnsi="Times New Roman" w:cs="Times New Roman"/>
                <w:color w:val="000000"/>
                <w:sz w:val="15"/>
                <w:szCs w:val="15"/>
              </w:rPr>
              <w:t>Diallyl Disulfide</w:t>
            </w:r>
          </w:p>
        </w:tc>
        <w:tc>
          <w:tcPr>
            <w:tcW w:w="1323" w:type="dxa"/>
            <w:noWrap/>
            <w:vAlign w:val="center"/>
            <w:hideMark/>
          </w:tcPr>
          <w:p w14:paraId="49570ED4" w14:textId="77777777" w:rsidR="00126D8D" w:rsidRPr="004A4899" w:rsidRDefault="00126D8D" w:rsidP="00820288">
            <w:pPr>
              <w:spacing w:line="240" w:lineRule="auto"/>
              <w:jc w:val="center"/>
              <w:rPr>
                <w:rFonts w:ascii="Times New Roman" w:hAnsi="Times New Roman" w:cs="Times New Roman"/>
                <w:color w:val="000000"/>
                <w:sz w:val="15"/>
                <w:szCs w:val="15"/>
              </w:rPr>
            </w:pPr>
            <w:r w:rsidRPr="004A4899">
              <w:rPr>
                <w:rFonts w:ascii="Times New Roman" w:hAnsi="Times New Roman" w:cs="Times New Roman"/>
                <w:color w:val="000000"/>
                <w:sz w:val="15"/>
                <w:szCs w:val="15"/>
              </w:rPr>
              <w:t>2179-57-9</w:t>
            </w:r>
          </w:p>
        </w:tc>
        <w:tc>
          <w:tcPr>
            <w:tcW w:w="837" w:type="dxa"/>
            <w:noWrap/>
            <w:vAlign w:val="center"/>
            <w:hideMark/>
          </w:tcPr>
          <w:p w14:paraId="2BE0B7C7" w14:textId="77777777" w:rsidR="00126D8D" w:rsidRPr="004A4899" w:rsidRDefault="00126D8D" w:rsidP="00820288">
            <w:pPr>
              <w:spacing w:line="240" w:lineRule="auto"/>
              <w:jc w:val="center"/>
              <w:rPr>
                <w:rFonts w:ascii="Times New Roman" w:hAnsi="Times New Roman" w:cs="Times New Roman"/>
                <w:color w:val="000000"/>
                <w:sz w:val="15"/>
                <w:szCs w:val="15"/>
              </w:rPr>
            </w:pPr>
            <w:r w:rsidRPr="004A4899">
              <w:rPr>
                <w:rFonts w:ascii="Times New Roman" w:hAnsi="Times New Roman" w:cs="Times New Roman"/>
                <w:color w:val="000000"/>
                <w:sz w:val="15"/>
                <w:szCs w:val="15"/>
              </w:rPr>
              <w:t>1.69</w:t>
            </w:r>
          </w:p>
        </w:tc>
        <w:tc>
          <w:tcPr>
            <w:tcW w:w="763" w:type="dxa"/>
            <w:noWrap/>
            <w:vAlign w:val="center"/>
            <w:hideMark/>
          </w:tcPr>
          <w:p w14:paraId="66F7222F" w14:textId="77777777" w:rsidR="00126D8D" w:rsidRPr="004A4899" w:rsidRDefault="00126D8D" w:rsidP="00820288">
            <w:pPr>
              <w:spacing w:line="240" w:lineRule="auto"/>
              <w:jc w:val="center"/>
              <w:rPr>
                <w:rFonts w:ascii="Times New Roman" w:hAnsi="Times New Roman" w:cs="Times New Roman"/>
                <w:color w:val="000000"/>
                <w:sz w:val="15"/>
                <w:szCs w:val="15"/>
              </w:rPr>
            </w:pPr>
            <w:r w:rsidRPr="004A4899">
              <w:rPr>
                <w:rFonts w:ascii="Times New Roman" w:hAnsi="Times New Roman" w:cs="Times New Roman"/>
                <w:color w:val="000000"/>
                <w:sz w:val="15"/>
                <w:szCs w:val="15"/>
              </w:rPr>
              <w:t>0.40</w:t>
            </w:r>
          </w:p>
        </w:tc>
        <w:tc>
          <w:tcPr>
            <w:tcW w:w="1478" w:type="dxa"/>
            <w:noWrap/>
            <w:vAlign w:val="center"/>
            <w:hideMark/>
          </w:tcPr>
          <w:p w14:paraId="31E75D8F" w14:textId="77777777" w:rsidR="00126D8D" w:rsidRPr="004A4899" w:rsidRDefault="00126D8D" w:rsidP="00820288">
            <w:pPr>
              <w:spacing w:line="240" w:lineRule="auto"/>
              <w:jc w:val="center"/>
              <w:rPr>
                <w:rFonts w:ascii="Times New Roman" w:hAnsi="Times New Roman" w:cs="Times New Roman"/>
                <w:color w:val="000000"/>
                <w:sz w:val="15"/>
                <w:szCs w:val="15"/>
              </w:rPr>
            </w:pPr>
            <w:r w:rsidRPr="004A4899">
              <w:rPr>
                <w:rFonts w:ascii="Times New Roman" w:hAnsi="Times New Roman" w:cs="Times New Roman"/>
                <w:color w:val="000000"/>
                <w:sz w:val="15"/>
                <w:szCs w:val="15"/>
              </w:rPr>
              <w:t>0.67</w:t>
            </w:r>
          </w:p>
        </w:tc>
        <w:tc>
          <w:tcPr>
            <w:tcW w:w="92" w:type="dxa"/>
          </w:tcPr>
          <w:p w14:paraId="13FD13CA" w14:textId="77777777" w:rsidR="00126D8D" w:rsidRPr="004A4899" w:rsidRDefault="00126D8D" w:rsidP="00820288">
            <w:pPr>
              <w:spacing w:line="240" w:lineRule="auto"/>
              <w:jc w:val="center"/>
              <w:rPr>
                <w:rFonts w:ascii="Times New Roman" w:hAnsi="Times New Roman" w:cs="Times New Roman"/>
                <w:color w:val="000000"/>
                <w:sz w:val="15"/>
                <w:szCs w:val="15"/>
              </w:rPr>
            </w:pPr>
          </w:p>
        </w:tc>
        <w:tc>
          <w:tcPr>
            <w:tcW w:w="837" w:type="dxa"/>
            <w:noWrap/>
            <w:vAlign w:val="center"/>
            <w:hideMark/>
          </w:tcPr>
          <w:p w14:paraId="6EECE1E1" w14:textId="77777777" w:rsidR="00126D8D" w:rsidRPr="004A4899" w:rsidRDefault="00126D8D" w:rsidP="00820288">
            <w:pPr>
              <w:spacing w:line="240" w:lineRule="auto"/>
              <w:jc w:val="center"/>
              <w:rPr>
                <w:rFonts w:ascii="Times New Roman" w:hAnsi="Times New Roman" w:cs="Times New Roman"/>
                <w:color w:val="000000"/>
                <w:sz w:val="15"/>
                <w:szCs w:val="15"/>
              </w:rPr>
            </w:pPr>
            <w:r w:rsidRPr="004A4899">
              <w:rPr>
                <w:rFonts w:ascii="Times New Roman" w:hAnsi="Times New Roman" w:cs="Times New Roman"/>
                <w:color w:val="000000"/>
                <w:sz w:val="15"/>
                <w:szCs w:val="15"/>
              </w:rPr>
              <w:t>0.1684</w:t>
            </w:r>
          </w:p>
        </w:tc>
        <w:tc>
          <w:tcPr>
            <w:tcW w:w="763" w:type="dxa"/>
            <w:noWrap/>
            <w:vAlign w:val="center"/>
            <w:hideMark/>
          </w:tcPr>
          <w:p w14:paraId="10A2691B" w14:textId="77777777" w:rsidR="00126D8D" w:rsidRPr="004A4899" w:rsidRDefault="00126D8D" w:rsidP="00820288">
            <w:pPr>
              <w:spacing w:line="240" w:lineRule="auto"/>
              <w:jc w:val="center"/>
              <w:rPr>
                <w:rFonts w:ascii="Times New Roman" w:hAnsi="Times New Roman" w:cs="Times New Roman"/>
                <w:color w:val="000000"/>
                <w:sz w:val="15"/>
                <w:szCs w:val="15"/>
              </w:rPr>
            </w:pPr>
            <w:r w:rsidRPr="004A4899">
              <w:rPr>
                <w:rFonts w:ascii="Times New Roman" w:hAnsi="Times New Roman" w:cs="Times New Roman"/>
                <w:color w:val="000000"/>
                <w:sz w:val="15"/>
                <w:szCs w:val="15"/>
              </w:rPr>
              <w:t>0.9559</w:t>
            </w:r>
          </w:p>
        </w:tc>
        <w:tc>
          <w:tcPr>
            <w:tcW w:w="1478" w:type="dxa"/>
            <w:noWrap/>
            <w:vAlign w:val="center"/>
            <w:hideMark/>
          </w:tcPr>
          <w:p w14:paraId="41A6E7BB" w14:textId="77777777" w:rsidR="00126D8D" w:rsidRPr="004A4899" w:rsidRDefault="00126D8D" w:rsidP="00820288">
            <w:pPr>
              <w:spacing w:line="240" w:lineRule="auto"/>
              <w:jc w:val="center"/>
              <w:rPr>
                <w:rFonts w:ascii="Times New Roman" w:hAnsi="Times New Roman" w:cs="Times New Roman"/>
                <w:color w:val="000000"/>
                <w:sz w:val="15"/>
                <w:szCs w:val="15"/>
              </w:rPr>
            </w:pPr>
            <w:r w:rsidRPr="004A4899">
              <w:rPr>
                <w:rFonts w:ascii="Times New Roman" w:hAnsi="Times New Roman" w:cs="Times New Roman"/>
                <w:color w:val="000000"/>
                <w:sz w:val="15"/>
                <w:szCs w:val="15"/>
              </w:rPr>
              <w:t>0.9145</w:t>
            </w:r>
          </w:p>
        </w:tc>
      </w:tr>
      <w:tr w:rsidR="00126D8D" w:rsidRPr="00747A19" w14:paraId="71D8C97E" w14:textId="77777777" w:rsidTr="00820288">
        <w:trPr>
          <w:trHeight w:val="144"/>
          <w:jc w:val="center"/>
        </w:trPr>
        <w:tc>
          <w:tcPr>
            <w:tcW w:w="1778" w:type="dxa"/>
            <w:noWrap/>
            <w:vAlign w:val="center"/>
            <w:hideMark/>
          </w:tcPr>
          <w:p w14:paraId="2885B62A" w14:textId="77777777" w:rsidR="00126D8D" w:rsidRPr="004A4899" w:rsidRDefault="00126D8D" w:rsidP="00820288">
            <w:pPr>
              <w:spacing w:line="240" w:lineRule="auto"/>
              <w:rPr>
                <w:rFonts w:ascii="Times New Roman" w:hAnsi="Times New Roman" w:cs="Times New Roman"/>
                <w:color w:val="000000"/>
                <w:sz w:val="15"/>
                <w:szCs w:val="15"/>
              </w:rPr>
            </w:pPr>
            <w:r w:rsidRPr="004A4899">
              <w:rPr>
                <w:rFonts w:ascii="Times New Roman" w:hAnsi="Times New Roman" w:cs="Times New Roman"/>
                <w:color w:val="000000"/>
                <w:sz w:val="15"/>
                <w:szCs w:val="15"/>
              </w:rPr>
              <w:t>Dimethyl Sulfide</w:t>
            </w:r>
          </w:p>
        </w:tc>
        <w:tc>
          <w:tcPr>
            <w:tcW w:w="1323" w:type="dxa"/>
            <w:noWrap/>
            <w:vAlign w:val="center"/>
            <w:hideMark/>
          </w:tcPr>
          <w:p w14:paraId="2CAA225B" w14:textId="77777777" w:rsidR="00126D8D" w:rsidRPr="004A4899" w:rsidRDefault="00126D8D" w:rsidP="00820288">
            <w:pPr>
              <w:spacing w:line="240" w:lineRule="auto"/>
              <w:jc w:val="center"/>
              <w:rPr>
                <w:rFonts w:ascii="Times New Roman" w:hAnsi="Times New Roman" w:cs="Times New Roman"/>
                <w:color w:val="000000"/>
                <w:sz w:val="15"/>
                <w:szCs w:val="15"/>
              </w:rPr>
            </w:pPr>
            <w:r w:rsidRPr="004A4899">
              <w:rPr>
                <w:rFonts w:ascii="Times New Roman" w:hAnsi="Times New Roman" w:cs="Times New Roman"/>
                <w:color w:val="000000"/>
                <w:sz w:val="15"/>
                <w:szCs w:val="15"/>
              </w:rPr>
              <w:t>75-18-3</w:t>
            </w:r>
          </w:p>
        </w:tc>
        <w:tc>
          <w:tcPr>
            <w:tcW w:w="837" w:type="dxa"/>
            <w:noWrap/>
            <w:vAlign w:val="center"/>
            <w:hideMark/>
          </w:tcPr>
          <w:p w14:paraId="15F4C046" w14:textId="77777777" w:rsidR="00126D8D" w:rsidRPr="004A4899" w:rsidRDefault="00126D8D" w:rsidP="00820288">
            <w:pPr>
              <w:spacing w:line="240" w:lineRule="auto"/>
              <w:jc w:val="center"/>
              <w:rPr>
                <w:rFonts w:ascii="Times New Roman" w:hAnsi="Times New Roman" w:cs="Times New Roman"/>
                <w:color w:val="000000"/>
                <w:sz w:val="15"/>
                <w:szCs w:val="15"/>
              </w:rPr>
            </w:pPr>
            <w:r w:rsidRPr="004A4899">
              <w:rPr>
                <w:rFonts w:ascii="Times New Roman" w:hAnsi="Times New Roman" w:cs="Times New Roman"/>
                <w:color w:val="000000"/>
                <w:sz w:val="15"/>
                <w:szCs w:val="15"/>
              </w:rPr>
              <w:t>25.15</w:t>
            </w:r>
          </w:p>
        </w:tc>
        <w:tc>
          <w:tcPr>
            <w:tcW w:w="763" w:type="dxa"/>
            <w:noWrap/>
            <w:vAlign w:val="center"/>
            <w:hideMark/>
          </w:tcPr>
          <w:p w14:paraId="6980EE48" w14:textId="77777777" w:rsidR="00126D8D" w:rsidRPr="004A4899" w:rsidRDefault="00126D8D" w:rsidP="00820288">
            <w:pPr>
              <w:spacing w:line="240" w:lineRule="auto"/>
              <w:jc w:val="center"/>
              <w:rPr>
                <w:rFonts w:ascii="Times New Roman" w:hAnsi="Times New Roman" w:cs="Times New Roman"/>
                <w:color w:val="000000"/>
                <w:sz w:val="15"/>
                <w:szCs w:val="15"/>
              </w:rPr>
            </w:pPr>
            <w:r w:rsidRPr="004A4899">
              <w:rPr>
                <w:rFonts w:ascii="Times New Roman" w:hAnsi="Times New Roman" w:cs="Times New Roman"/>
                <w:color w:val="000000"/>
                <w:sz w:val="15"/>
                <w:szCs w:val="15"/>
              </w:rPr>
              <w:t>4.30</w:t>
            </w:r>
          </w:p>
        </w:tc>
        <w:tc>
          <w:tcPr>
            <w:tcW w:w="1478" w:type="dxa"/>
            <w:noWrap/>
            <w:vAlign w:val="center"/>
            <w:hideMark/>
          </w:tcPr>
          <w:p w14:paraId="12422A7C" w14:textId="77777777" w:rsidR="00126D8D" w:rsidRPr="004A4899" w:rsidRDefault="00126D8D" w:rsidP="00820288">
            <w:pPr>
              <w:spacing w:line="240" w:lineRule="auto"/>
              <w:jc w:val="center"/>
              <w:rPr>
                <w:rFonts w:ascii="Times New Roman" w:hAnsi="Times New Roman" w:cs="Times New Roman"/>
                <w:color w:val="000000"/>
                <w:sz w:val="15"/>
                <w:szCs w:val="15"/>
              </w:rPr>
            </w:pPr>
            <w:r w:rsidRPr="004A4899">
              <w:rPr>
                <w:rFonts w:ascii="Times New Roman" w:hAnsi="Times New Roman" w:cs="Times New Roman"/>
                <w:color w:val="000000"/>
                <w:sz w:val="15"/>
                <w:szCs w:val="15"/>
              </w:rPr>
              <w:t>2.09</w:t>
            </w:r>
          </w:p>
        </w:tc>
        <w:tc>
          <w:tcPr>
            <w:tcW w:w="92" w:type="dxa"/>
          </w:tcPr>
          <w:p w14:paraId="0F6480DC" w14:textId="77777777" w:rsidR="00126D8D" w:rsidRPr="004A4899" w:rsidRDefault="00126D8D" w:rsidP="00820288">
            <w:pPr>
              <w:spacing w:line="240" w:lineRule="auto"/>
              <w:jc w:val="center"/>
              <w:rPr>
                <w:rFonts w:ascii="Times New Roman" w:hAnsi="Times New Roman" w:cs="Times New Roman"/>
                <w:color w:val="000000"/>
                <w:sz w:val="15"/>
                <w:szCs w:val="15"/>
              </w:rPr>
            </w:pPr>
          </w:p>
        </w:tc>
        <w:tc>
          <w:tcPr>
            <w:tcW w:w="837" w:type="dxa"/>
            <w:noWrap/>
            <w:vAlign w:val="center"/>
            <w:hideMark/>
          </w:tcPr>
          <w:p w14:paraId="1DB03909" w14:textId="77777777" w:rsidR="00126D8D" w:rsidRPr="004A4899" w:rsidRDefault="00126D8D" w:rsidP="00820288">
            <w:pPr>
              <w:spacing w:line="240" w:lineRule="auto"/>
              <w:jc w:val="center"/>
              <w:rPr>
                <w:rFonts w:ascii="Times New Roman" w:hAnsi="Times New Roman" w:cs="Times New Roman"/>
                <w:color w:val="000000"/>
                <w:sz w:val="15"/>
                <w:szCs w:val="15"/>
              </w:rPr>
            </w:pPr>
            <w:r w:rsidRPr="004A4899">
              <w:rPr>
                <w:rFonts w:ascii="Times New Roman" w:hAnsi="Times New Roman" w:cs="Times New Roman"/>
                <w:color w:val="000000"/>
                <w:sz w:val="15"/>
                <w:szCs w:val="15"/>
              </w:rPr>
              <w:t>&lt;0.0001</w:t>
            </w:r>
          </w:p>
        </w:tc>
        <w:tc>
          <w:tcPr>
            <w:tcW w:w="763" w:type="dxa"/>
            <w:noWrap/>
            <w:vAlign w:val="center"/>
            <w:hideMark/>
          </w:tcPr>
          <w:p w14:paraId="0C88E231" w14:textId="77777777" w:rsidR="00126D8D" w:rsidRPr="004A4899" w:rsidRDefault="00126D8D" w:rsidP="00820288">
            <w:pPr>
              <w:spacing w:line="240" w:lineRule="auto"/>
              <w:jc w:val="center"/>
              <w:rPr>
                <w:rFonts w:ascii="Times New Roman" w:hAnsi="Times New Roman" w:cs="Times New Roman"/>
                <w:color w:val="000000"/>
                <w:sz w:val="15"/>
                <w:szCs w:val="15"/>
              </w:rPr>
            </w:pPr>
            <w:r w:rsidRPr="004A4899">
              <w:rPr>
                <w:rFonts w:ascii="Times New Roman" w:hAnsi="Times New Roman" w:cs="Times New Roman"/>
                <w:color w:val="000000"/>
                <w:sz w:val="15"/>
                <w:szCs w:val="15"/>
              </w:rPr>
              <w:t>&lt;0.0001</w:t>
            </w:r>
          </w:p>
        </w:tc>
        <w:tc>
          <w:tcPr>
            <w:tcW w:w="1478" w:type="dxa"/>
            <w:noWrap/>
            <w:vAlign w:val="center"/>
            <w:hideMark/>
          </w:tcPr>
          <w:p w14:paraId="7A5A360F" w14:textId="77777777" w:rsidR="00126D8D" w:rsidRPr="004A4899" w:rsidRDefault="00126D8D" w:rsidP="00820288">
            <w:pPr>
              <w:spacing w:line="240" w:lineRule="auto"/>
              <w:jc w:val="center"/>
              <w:rPr>
                <w:rFonts w:ascii="Times New Roman" w:hAnsi="Times New Roman" w:cs="Times New Roman"/>
                <w:color w:val="000000"/>
                <w:sz w:val="15"/>
                <w:szCs w:val="15"/>
              </w:rPr>
            </w:pPr>
            <w:r w:rsidRPr="004A4899">
              <w:rPr>
                <w:rFonts w:ascii="Times New Roman" w:hAnsi="Times New Roman" w:cs="Times New Roman"/>
                <w:color w:val="000000"/>
                <w:sz w:val="15"/>
                <w:szCs w:val="15"/>
              </w:rPr>
              <w:t>0.0005</w:t>
            </w:r>
          </w:p>
        </w:tc>
      </w:tr>
      <w:tr w:rsidR="00126D8D" w:rsidRPr="00747A19" w14:paraId="770E4991" w14:textId="77777777" w:rsidTr="00820288">
        <w:trPr>
          <w:trHeight w:val="144"/>
          <w:jc w:val="center"/>
        </w:trPr>
        <w:tc>
          <w:tcPr>
            <w:tcW w:w="1778" w:type="dxa"/>
            <w:noWrap/>
            <w:vAlign w:val="center"/>
          </w:tcPr>
          <w:p w14:paraId="24B6E448" w14:textId="77777777" w:rsidR="00126D8D" w:rsidRPr="004A4899" w:rsidRDefault="00126D8D" w:rsidP="00820288">
            <w:pPr>
              <w:spacing w:line="240" w:lineRule="auto"/>
              <w:rPr>
                <w:rFonts w:ascii="Times New Roman" w:hAnsi="Times New Roman" w:cs="Times New Roman"/>
                <w:b/>
                <w:bCs/>
                <w:color w:val="000000"/>
                <w:sz w:val="15"/>
                <w:szCs w:val="15"/>
              </w:rPr>
            </w:pPr>
            <w:r w:rsidRPr="004A4899">
              <w:rPr>
                <w:rFonts w:ascii="Times New Roman" w:hAnsi="Times New Roman" w:cs="Times New Roman"/>
                <w:b/>
                <w:bCs/>
                <w:color w:val="000000"/>
                <w:sz w:val="15"/>
                <w:szCs w:val="15"/>
              </w:rPr>
              <w:t>Phenylpropanoids</w:t>
            </w:r>
          </w:p>
        </w:tc>
        <w:tc>
          <w:tcPr>
            <w:tcW w:w="1323" w:type="dxa"/>
            <w:noWrap/>
            <w:vAlign w:val="center"/>
          </w:tcPr>
          <w:p w14:paraId="17605B3A" w14:textId="77777777" w:rsidR="00126D8D" w:rsidRPr="004A4899" w:rsidRDefault="00126D8D" w:rsidP="00820288">
            <w:pPr>
              <w:spacing w:line="240" w:lineRule="auto"/>
              <w:jc w:val="center"/>
              <w:rPr>
                <w:rFonts w:ascii="Times New Roman" w:hAnsi="Times New Roman" w:cs="Times New Roman"/>
                <w:color w:val="000000"/>
                <w:sz w:val="15"/>
                <w:szCs w:val="15"/>
              </w:rPr>
            </w:pPr>
          </w:p>
        </w:tc>
        <w:tc>
          <w:tcPr>
            <w:tcW w:w="837" w:type="dxa"/>
            <w:noWrap/>
            <w:vAlign w:val="center"/>
          </w:tcPr>
          <w:p w14:paraId="669874F8" w14:textId="77777777" w:rsidR="00126D8D" w:rsidRPr="004A4899" w:rsidRDefault="00126D8D" w:rsidP="00820288">
            <w:pPr>
              <w:spacing w:line="240" w:lineRule="auto"/>
              <w:jc w:val="center"/>
              <w:rPr>
                <w:rFonts w:ascii="Times New Roman" w:hAnsi="Times New Roman" w:cs="Times New Roman"/>
                <w:color w:val="000000"/>
                <w:sz w:val="15"/>
                <w:szCs w:val="15"/>
              </w:rPr>
            </w:pPr>
          </w:p>
        </w:tc>
        <w:tc>
          <w:tcPr>
            <w:tcW w:w="763" w:type="dxa"/>
            <w:noWrap/>
            <w:vAlign w:val="center"/>
          </w:tcPr>
          <w:p w14:paraId="01CC3114" w14:textId="77777777" w:rsidR="00126D8D" w:rsidRPr="004A4899" w:rsidRDefault="00126D8D" w:rsidP="00820288">
            <w:pPr>
              <w:spacing w:line="240" w:lineRule="auto"/>
              <w:jc w:val="center"/>
              <w:rPr>
                <w:rFonts w:ascii="Times New Roman" w:hAnsi="Times New Roman" w:cs="Times New Roman"/>
                <w:color w:val="000000"/>
                <w:sz w:val="15"/>
                <w:szCs w:val="15"/>
              </w:rPr>
            </w:pPr>
          </w:p>
        </w:tc>
        <w:tc>
          <w:tcPr>
            <w:tcW w:w="1478" w:type="dxa"/>
            <w:noWrap/>
            <w:vAlign w:val="center"/>
          </w:tcPr>
          <w:p w14:paraId="11837DB9" w14:textId="77777777" w:rsidR="00126D8D" w:rsidRPr="004A4899" w:rsidRDefault="00126D8D" w:rsidP="00820288">
            <w:pPr>
              <w:spacing w:line="240" w:lineRule="auto"/>
              <w:jc w:val="center"/>
              <w:rPr>
                <w:rFonts w:ascii="Times New Roman" w:hAnsi="Times New Roman" w:cs="Times New Roman"/>
                <w:color w:val="000000"/>
                <w:sz w:val="15"/>
                <w:szCs w:val="15"/>
              </w:rPr>
            </w:pPr>
          </w:p>
        </w:tc>
        <w:tc>
          <w:tcPr>
            <w:tcW w:w="92" w:type="dxa"/>
          </w:tcPr>
          <w:p w14:paraId="7C7AD130" w14:textId="77777777" w:rsidR="00126D8D" w:rsidRPr="004A4899" w:rsidRDefault="00126D8D" w:rsidP="00820288">
            <w:pPr>
              <w:spacing w:line="240" w:lineRule="auto"/>
              <w:jc w:val="center"/>
              <w:rPr>
                <w:rFonts w:ascii="Times New Roman" w:hAnsi="Times New Roman" w:cs="Times New Roman"/>
                <w:color w:val="000000"/>
                <w:sz w:val="15"/>
                <w:szCs w:val="15"/>
              </w:rPr>
            </w:pPr>
          </w:p>
        </w:tc>
        <w:tc>
          <w:tcPr>
            <w:tcW w:w="837" w:type="dxa"/>
            <w:noWrap/>
            <w:vAlign w:val="center"/>
          </w:tcPr>
          <w:p w14:paraId="0EB80B03" w14:textId="77777777" w:rsidR="00126D8D" w:rsidRPr="004A4899" w:rsidRDefault="00126D8D" w:rsidP="00820288">
            <w:pPr>
              <w:spacing w:line="240" w:lineRule="auto"/>
              <w:jc w:val="center"/>
              <w:rPr>
                <w:rFonts w:ascii="Times New Roman" w:hAnsi="Times New Roman" w:cs="Times New Roman"/>
                <w:color w:val="000000"/>
                <w:sz w:val="15"/>
                <w:szCs w:val="15"/>
              </w:rPr>
            </w:pPr>
          </w:p>
        </w:tc>
        <w:tc>
          <w:tcPr>
            <w:tcW w:w="763" w:type="dxa"/>
            <w:noWrap/>
            <w:vAlign w:val="center"/>
          </w:tcPr>
          <w:p w14:paraId="458B2D35" w14:textId="77777777" w:rsidR="00126D8D" w:rsidRPr="004A4899" w:rsidRDefault="00126D8D" w:rsidP="00820288">
            <w:pPr>
              <w:spacing w:line="240" w:lineRule="auto"/>
              <w:jc w:val="center"/>
              <w:rPr>
                <w:rFonts w:ascii="Times New Roman" w:hAnsi="Times New Roman" w:cs="Times New Roman"/>
                <w:color w:val="000000"/>
                <w:sz w:val="15"/>
                <w:szCs w:val="15"/>
              </w:rPr>
            </w:pPr>
          </w:p>
        </w:tc>
        <w:tc>
          <w:tcPr>
            <w:tcW w:w="1478" w:type="dxa"/>
            <w:noWrap/>
            <w:vAlign w:val="center"/>
          </w:tcPr>
          <w:p w14:paraId="07523029" w14:textId="77777777" w:rsidR="00126D8D" w:rsidRPr="004A4899" w:rsidRDefault="00126D8D" w:rsidP="00820288">
            <w:pPr>
              <w:spacing w:line="240" w:lineRule="auto"/>
              <w:jc w:val="center"/>
              <w:rPr>
                <w:rFonts w:ascii="Times New Roman" w:hAnsi="Times New Roman" w:cs="Times New Roman"/>
                <w:color w:val="000000"/>
                <w:sz w:val="15"/>
                <w:szCs w:val="15"/>
              </w:rPr>
            </w:pPr>
          </w:p>
        </w:tc>
      </w:tr>
      <w:tr w:rsidR="00126D8D" w:rsidRPr="00747A19" w14:paraId="173906CA" w14:textId="77777777" w:rsidTr="00820288">
        <w:trPr>
          <w:trHeight w:val="144"/>
          <w:jc w:val="center"/>
        </w:trPr>
        <w:tc>
          <w:tcPr>
            <w:tcW w:w="1778" w:type="dxa"/>
            <w:noWrap/>
            <w:vAlign w:val="center"/>
            <w:hideMark/>
          </w:tcPr>
          <w:p w14:paraId="7A29341C" w14:textId="77777777" w:rsidR="00126D8D" w:rsidRPr="004A4899" w:rsidRDefault="00126D8D" w:rsidP="00820288">
            <w:pPr>
              <w:spacing w:line="240" w:lineRule="auto"/>
              <w:rPr>
                <w:rFonts w:ascii="Times New Roman" w:hAnsi="Times New Roman" w:cs="Times New Roman"/>
                <w:color w:val="000000"/>
                <w:sz w:val="15"/>
                <w:szCs w:val="15"/>
              </w:rPr>
            </w:pPr>
            <w:r w:rsidRPr="004A4899">
              <w:rPr>
                <w:rFonts w:ascii="Times New Roman" w:hAnsi="Times New Roman" w:cs="Times New Roman"/>
                <w:color w:val="000000"/>
                <w:sz w:val="15"/>
                <w:szCs w:val="15"/>
              </w:rPr>
              <w:t>Eugenol</w:t>
            </w:r>
          </w:p>
        </w:tc>
        <w:tc>
          <w:tcPr>
            <w:tcW w:w="1323" w:type="dxa"/>
            <w:noWrap/>
            <w:vAlign w:val="center"/>
            <w:hideMark/>
          </w:tcPr>
          <w:p w14:paraId="19C120DE" w14:textId="77777777" w:rsidR="00126D8D" w:rsidRPr="004A4899" w:rsidRDefault="00126D8D" w:rsidP="00820288">
            <w:pPr>
              <w:spacing w:line="240" w:lineRule="auto"/>
              <w:jc w:val="center"/>
              <w:rPr>
                <w:rFonts w:ascii="Times New Roman" w:hAnsi="Times New Roman" w:cs="Times New Roman"/>
                <w:color w:val="000000"/>
                <w:sz w:val="15"/>
                <w:szCs w:val="15"/>
              </w:rPr>
            </w:pPr>
            <w:r w:rsidRPr="004A4899">
              <w:rPr>
                <w:rFonts w:ascii="Times New Roman" w:hAnsi="Times New Roman" w:cs="Times New Roman"/>
                <w:color w:val="000000"/>
                <w:sz w:val="15"/>
                <w:szCs w:val="15"/>
              </w:rPr>
              <w:t>97-53-0</w:t>
            </w:r>
          </w:p>
        </w:tc>
        <w:tc>
          <w:tcPr>
            <w:tcW w:w="837" w:type="dxa"/>
            <w:noWrap/>
            <w:vAlign w:val="center"/>
            <w:hideMark/>
          </w:tcPr>
          <w:p w14:paraId="2116A085" w14:textId="77777777" w:rsidR="00126D8D" w:rsidRPr="004A4899" w:rsidRDefault="00126D8D" w:rsidP="00820288">
            <w:pPr>
              <w:spacing w:line="240" w:lineRule="auto"/>
              <w:jc w:val="center"/>
              <w:rPr>
                <w:rFonts w:ascii="Times New Roman" w:hAnsi="Times New Roman" w:cs="Times New Roman"/>
                <w:color w:val="000000"/>
                <w:sz w:val="15"/>
                <w:szCs w:val="15"/>
              </w:rPr>
            </w:pPr>
            <w:r w:rsidRPr="004A4899">
              <w:rPr>
                <w:rFonts w:ascii="Times New Roman" w:hAnsi="Times New Roman" w:cs="Times New Roman"/>
                <w:color w:val="000000"/>
                <w:sz w:val="15"/>
                <w:szCs w:val="15"/>
              </w:rPr>
              <w:t>130.10</w:t>
            </w:r>
          </w:p>
        </w:tc>
        <w:tc>
          <w:tcPr>
            <w:tcW w:w="763" w:type="dxa"/>
            <w:noWrap/>
            <w:vAlign w:val="center"/>
            <w:hideMark/>
          </w:tcPr>
          <w:p w14:paraId="7C18C6CF" w14:textId="77777777" w:rsidR="00126D8D" w:rsidRPr="004A4899" w:rsidRDefault="00126D8D" w:rsidP="00820288">
            <w:pPr>
              <w:spacing w:line="240" w:lineRule="auto"/>
              <w:jc w:val="center"/>
              <w:rPr>
                <w:rFonts w:ascii="Times New Roman" w:hAnsi="Times New Roman" w:cs="Times New Roman"/>
                <w:color w:val="000000"/>
                <w:sz w:val="15"/>
                <w:szCs w:val="15"/>
              </w:rPr>
            </w:pPr>
            <w:r w:rsidRPr="004A4899">
              <w:rPr>
                <w:rFonts w:ascii="Times New Roman" w:hAnsi="Times New Roman" w:cs="Times New Roman"/>
                <w:color w:val="000000"/>
                <w:sz w:val="15"/>
                <w:szCs w:val="15"/>
              </w:rPr>
              <w:t>9.94</w:t>
            </w:r>
          </w:p>
        </w:tc>
        <w:tc>
          <w:tcPr>
            <w:tcW w:w="1478" w:type="dxa"/>
            <w:noWrap/>
            <w:vAlign w:val="center"/>
            <w:hideMark/>
          </w:tcPr>
          <w:p w14:paraId="5D8FF1C0" w14:textId="77777777" w:rsidR="00126D8D" w:rsidRPr="004A4899" w:rsidRDefault="00126D8D" w:rsidP="00820288">
            <w:pPr>
              <w:spacing w:line="240" w:lineRule="auto"/>
              <w:jc w:val="center"/>
              <w:rPr>
                <w:rFonts w:ascii="Times New Roman" w:hAnsi="Times New Roman" w:cs="Times New Roman"/>
                <w:color w:val="000000"/>
                <w:sz w:val="15"/>
                <w:szCs w:val="15"/>
              </w:rPr>
            </w:pPr>
            <w:r w:rsidRPr="004A4899">
              <w:rPr>
                <w:rFonts w:ascii="Times New Roman" w:hAnsi="Times New Roman" w:cs="Times New Roman"/>
                <w:color w:val="000000"/>
                <w:sz w:val="15"/>
                <w:szCs w:val="15"/>
              </w:rPr>
              <w:t>4.43</w:t>
            </w:r>
          </w:p>
        </w:tc>
        <w:tc>
          <w:tcPr>
            <w:tcW w:w="92" w:type="dxa"/>
          </w:tcPr>
          <w:p w14:paraId="763A4B02" w14:textId="77777777" w:rsidR="00126D8D" w:rsidRPr="004A4899" w:rsidRDefault="00126D8D" w:rsidP="00820288">
            <w:pPr>
              <w:spacing w:line="240" w:lineRule="auto"/>
              <w:jc w:val="center"/>
              <w:rPr>
                <w:rFonts w:ascii="Times New Roman" w:hAnsi="Times New Roman" w:cs="Times New Roman"/>
                <w:color w:val="000000"/>
                <w:sz w:val="15"/>
                <w:szCs w:val="15"/>
              </w:rPr>
            </w:pPr>
          </w:p>
        </w:tc>
        <w:tc>
          <w:tcPr>
            <w:tcW w:w="837" w:type="dxa"/>
            <w:noWrap/>
            <w:vAlign w:val="center"/>
            <w:hideMark/>
          </w:tcPr>
          <w:p w14:paraId="355C7A06" w14:textId="77777777" w:rsidR="00126D8D" w:rsidRPr="004A4899" w:rsidRDefault="00126D8D" w:rsidP="00820288">
            <w:pPr>
              <w:spacing w:line="240" w:lineRule="auto"/>
              <w:jc w:val="center"/>
              <w:rPr>
                <w:rFonts w:ascii="Times New Roman" w:hAnsi="Times New Roman" w:cs="Times New Roman"/>
                <w:color w:val="000000"/>
                <w:sz w:val="15"/>
                <w:szCs w:val="15"/>
              </w:rPr>
            </w:pPr>
            <w:r w:rsidRPr="004A4899">
              <w:rPr>
                <w:rFonts w:ascii="Times New Roman" w:hAnsi="Times New Roman" w:cs="Times New Roman"/>
                <w:color w:val="000000"/>
                <w:sz w:val="15"/>
                <w:szCs w:val="15"/>
              </w:rPr>
              <w:t>&lt;0.0001</w:t>
            </w:r>
          </w:p>
        </w:tc>
        <w:tc>
          <w:tcPr>
            <w:tcW w:w="763" w:type="dxa"/>
            <w:noWrap/>
            <w:vAlign w:val="center"/>
            <w:hideMark/>
          </w:tcPr>
          <w:p w14:paraId="37C1FA0B" w14:textId="77777777" w:rsidR="00126D8D" w:rsidRPr="004A4899" w:rsidRDefault="00126D8D" w:rsidP="00820288">
            <w:pPr>
              <w:spacing w:line="240" w:lineRule="auto"/>
              <w:jc w:val="center"/>
              <w:rPr>
                <w:rFonts w:ascii="Times New Roman" w:hAnsi="Times New Roman" w:cs="Times New Roman"/>
                <w:color w:val="000000"/>
                <w:sz w:val="15"/>
                <w:szCs w:val="15"/>
              </w:rPr>
            </w:pPr>
            <w:r w:rsidRPr="004A4899">
              <w:rPr>
                <w:rFonts w:ascii="Times New Roman" w:hAnsi="Times New Roman" w:cs="Times New Roman"/>
                <w:color w:val="000000"/>
                <w:sz w:val="15"/>
                <w:szCs w:val="15"/>
              </w:rPr>
              <w:t>&lt;0.0001</w:t>
            </w:r>
          </w:p>
        </w:tc>
        <w:tc>
          <w:tcPr>
            <w:tcW w:w="1478" w:type="dxa"/>
            <w:noWrap/>
            <w:vAlign w:val="center"/>
            <w:hideMark/>
          </w:tcPr>
          <w:p w14:paraId="27A244E0" w14:textId="77777777" w:rsidR="00126D8D" w:rsidRPr="004A4899" w:rsidRDefault="00126D8D" w:rsidP="00820288">
            <w:pPr>
              <w:spacing w:line="240" w:lineRule="auto"/>
              <w:jc w:val="center"/>
              <w:rPr>
                <w:rFonts w:ascii="Times New Roman" w:hAnsi="Times New Roman" w:cs="Times New Roman"/>
                <w:color w:val="000000"/>
                <w:sz w:val="15"/>
                <w:szCs w:val="15"/>
              </w:rPr>
            </w:pPr>
            <w:r w:rsidRPr="004A4899">
              <w:rPr>
                <w:rFonts w:ascii="Times New Roman" w:hAnsi="Times New Roman" w:cs="Times New Roman"/>
                <w:color w:val="000000"/>
                <w:sz w:val="15"/>
                <w:szCs w:val="15"/>
              </w:rPr>
              <w:t>&lt;0.0001</w:t>
            </w:r>
          </w:p>
        </w:tc>
      </w:tr>
      <w:tr w:rsidR="00126D8D" w:rsidRPr="00747A19" w14:paraId="23D964D0" w14:textId="77777777" w:rsidTr="00820288">
        <w:trPr>
          <w:trHeight w:val="144"/>
          <w:jc w:val="center"/>
        </w:trPr>
        <w:tc>
          <w:tcPr>
            <w:tcW w:w="1778" w:type="dxa"/>
            <w:tcBorders>
              <w:bottom w:val="single" w:sz="4" w:space="0" w:color="auto"/>
            </w:tcBorders>
            <w:noWrap/>
            <w:vAlign w:val="center"/>
            <w:hideMark/>
          </w:tcPr>
          <w:p w14:paraId="01C63CD1" w14:textId="77777777" w:rsidR="00126D8D" w:rsidRPr="004A4899" w:rsidRDefault="00126D8D" w:rsidP="00820288">
            <w:pPr>
              <w:spacing w:line="240" w:lineRule="auto"/>
              <w:rPr>
                <w:rFonts w:ascii="Times New Roman" w:hAnsi="Times New Roman" w:cs="Times New Roman"/>
                <w:color w:val="000000"/>
                <w:sz w:val="15"/>
                <w:szCs w:val="15"/>
              </w:rPr>
            </w:pPr>
            <w:r w:rsidRPr="004A4899">
              <w:rPr>
                <w:rFonts w:ascii="Times New Roman" w:hAnsi="Times New Roman" w:cs="Times New Roman"/>
                <w:color w:val="000000"/>
                <w:sz w:val="15"/>
                <w:szCs w:val="15"/>
              </w:rPr>
              <w:t>Methyl Eugenol</w:t>
            </w:r>
          </w:p>
        </w:tc>
        <w:tc>
          <w:tcPr>
            <w:tcW w:w="1323" w:type="dxa"/>
            <w:tcBorders>
              <w:bottom w:val="single" w:sz="4" w:space="0" w:color="auto"/>
            </w:tcBorders>
            <w:noWrap/>
            <w:vAlign w:val="center"/>
            <w:hideMark/>
          </w:tcPr>
          <w:p w14:paraId="2D17D1B4" w14:textId="77777777" w:rsidR="00126D8D" w:rsidRPr="004A4899" w:rsidRDefault="00126D8D" w:rsidP="00820288">
            <w:pPr>
              <w:spacing w:line="240" w:lineRule="auto"/>
              <w:jc w:val="center"/>
              <w:rPr>
                <w:rFonts w:ascii="Times New Roman" w:hAnsi="Times New Roman" w:cs="Times New Roman"/>
                <w:color w:val="000000"/>
                <w:sz w:val="15"/>
                <w:szCs w:val="15"/>
              </w:rPr>
            </w:pPr>
            <w:r w:rsidRPr="004A4899">
              <w:rPr>
                <w:rFonts w:ascii="Times New Roman" w:hAnsi="Times New Roman" w:cs="Times New Roman"/>
                <w:color w:val="000000"/>
                <w:sz w:val="15"/>
                <w:szCs w:val="15"/>
              </w:rPr>
              <w:t>93-15-2</w:t>
            </w:r>
          </w:p>
        </w:tc>
        <w:tc>
          <w:tcPr>
            <w:tcW w:w="837" w:type="dxa"/>
            <w:tcBorders>
              <w:bottom w:val="single" w:sz="4" w:space="0" w:color="auto"/>
            </w:tcBorders>
            <w:noWrap/>
            <w:vAlign w:val="center"/>
            <w:hideMark/>
          </w:tcPr>
          <w:p w14:paraId="05D4AD94" w14:textId="77777777" w:rsidR="00126D8D" w:rsidRPr="004A4899" w:rsidRDefault="00126D8D" w:rsidP="00820288">
            <w:pPr>
              <w:spacing w:line="240" w:lineRule="auto"/>
              <w:jc w:val="center"/>
              <w:rPr>
                <w:rFonts w:ascii="Times New Roman" w:hAnsi="Times New Roman" w:cs="Times New Roman"/>
                <w:color w:val="000000"/>
                <w:sz w:val="15"/>
                <w:szCs w:val="15"/>
              </w:rPr>
            </w:pPr>
            <w:r w:rsidRPr="004A4899">
              <w:rPr>
                <w:rFonts w:ascii="Times New Roman" w:hAnsi="Times New Roman" w:cs="Times New Roman"/>
                <w:color w:val="000000"/>
                <w:sz w:val="15"/>
                <w:szCs w:val="15"/>
              </w:rPr>
              <w:t>7.95</w:t>
            </w:r>
          </w:p>
        </w:tc>
        <w:tc>
          <w:tcPr>
            <w:tcW w:w="763" w:type="dxa"/>
            <w:tcBorders>
              <w:bottom w:val="single" w:sz="4" w:space="0" w:color="auto"/>
            </w:tcBorders>
            <w:noWrap/>
            <w:vAlign w:val="center"/>
            <w:hideMark/>
          </w:tcPr>
          <w:p w14:paraId="4B13C04F" w14:textId="77777777" w:rsidR="00126D8D" w:rsidRPr="004A4899" w:rsidRDefault="00126D8D" w:rsidP="00820288">
            <w:pPr>
              <w:spacing w:line="240" w:lineRule="auto"/>
              <w:jc w:val="center"/>
              <w:rPr>
                <w:rFonts w:ascii="Times New Roman" w:hAnsi="Times New Roman" w:cs="Times New Roman"/>
                <w:color w:val="000000"/>
                <w:sz w:val="15"/>
                <w:szCs w:val="15"/>
              </w:rPr>
            </w:pPr>
            <w:r w:rsidRPr="004A4899">
              <w:rPr>
                <w:rFonts w:ascii="Times New Roman" w:hAnsi="Times New Roman" w:cs="Times New Roman"/>
                <w:color w:val="000000"/>
                <w:sz w:val="15"/>
                <w:szCs w:val="15"/>
              </w:rPr>
              <w:t>1.70</w:t>
            </w:r>
          </w:p>
        </w:tc>
        <w:tc>
          <w:tcPr>
            <w:tcW w:w="1478" w:type="dxa"/>
            <w:tcBorders>
              <w:bottom w:val="single" w:sz="4" w:space="0" w:color="auto"/>
            </w:tcBorders>
            <w:noWrap/>
            <w:vAlign w:val="center"/>
            <w:hideMark/>
          </w:tcPr>
          <w:p w14:paraId="4FC583B8" w14:textId="77777777" w:rsidR="00126D8D" w:rsidRPr="004A4899" w:rsidRDefault="00126D8D" w:rsidP="00820288">
            <w:pPr>
              <w:spacing w:line="240" w:lineRule="auto"/>
              <w:jc w:val="center"/>
              <w:rPr>
                <w:rFonts w:ascii="Times New Roman" w:hAnsi="Times New Roman" w:cs="Times New Roman"/>
                <w:color w:val="000000"/>
                <w:sz w:val="15"/>
                <w:szCs w:val="15"/>
              </w:rPr>
            </w:pPr>
            <w:r w:rsidRPr="004A4899">
              <w:rPr>
                <w:rFonts w:ascii="Times New Roman" w:hAnsi="Times New Roman" w:cs="Times New Roman"/>
                <w:color w:val="000000"/>
                <w:sz w:val="15"/>
                <w:szCs w:val="15"/>
              </w:rPr>
              <w:t>1.50</w:t>
            </w:r>
          </w:p>
        </w:tc>
        <w:tc>
          <w:tcPr>
            <w:tcW w:w="92" w:type="dxa"/>
            <w:tcBorders>
              <w:bottom w:val="single" w:sz="4" w:space="0" w:color="auto"/>
            </w:tcBorders>
          </w:tcPr>
          <w:p w14:paraId="675B0EB2" w14:textId="77777777" w:rsidR="00126D8D" w:rsidRPr="004A4899" w:rsidRDefault="00126D8D" w:rsidP="00820288">
            <w:pPr>
              <w:spacing w:line="240" w:lineRule="auto"/>
              <w:jc w:val="center"/>
              <w:rPr>
                <w:rFonts w:ascii="Times New Roman" w:hAnsi="Times New Roman" w:cs="Times New Roman"/>
                <w:color w:val="000000"/>
                <w:sz w:val="15"/>
                <w:szCs w:val="15"/>
              </w:rPr>
            </w:pPr>
          </w:p>
        </w:tc>
        <w:tc>
          <w:tcPr>
            <w:tcW w:w="837" w:type="dxa"/>
            <w:tcBorders>
              <w:bottom w:val="single" w:sz="4" w:space="0" w:color="auto"/>
            </w:tcBorders>
            <w:noWrap/>
            <w:vAlign w:val="center"/>
            <w:hideMark/>
          </w:tcPr>
          <w:p w14:paraId="2B4FAF3D" w14:textId="77777777" w:rsidR="00126D8D" w:rsidRPr="004A4899" w:rsidRDefault="00126D8D" w:rsidP="00820288">
            <w:pPr>
              <w:spacing w:line="240" w:lineRule="auto"/>
              <w:jc w:val="center"/>
              <w:rPr>
                <w:rFonts w:ascii="Times New Roman" w:hAnsi="Times New Roman" w:cs="Times New Roman"/>
                <w:color w:val="000000"/>
                <w:sz w:val="15"/>
                <w:szCs w:val="15"/>
              </w:rPr>
            </w:pPr>
            <w:r w:rsidRPr="004A4899">
              <w:rPr>
                <w:rFonts w:ascii="Times New Roman" w:hAnsi="Times New Roman" w:cs="Times New Roman"/>
                <w:color w:val="000000"/>
                <w:sz w:val="15"/>
                <w:szCs w:val="15"/>
              </w:rPr>
              <w:t>0.0010</w:t>
            </w:r>
          </w:p>
        </w:tc>
        <w:tc>
          <w:tcPr>
            <w:tcW w:w="763" w:type="dxa"/>
            <w:tcBorders>
              <w:bottom w:val="single" w:sz="4" w:space="0" w:color="auto"/>
            </w:tcBorders>
            <w:noWrap/>
            <w:vAlign w:val="center"/>
            <w:hideMark/>
          </w:tcPr>
          <w:p w14:paraId="2B027235" w14:textId="77777777" w:rsidR="00126D8D" w:rsidRPr="004A4899" w:rsidRDefault="00126D8D" w:rsidP="00820288">
            <w:pPr>
              <w:spacing w:line="240" w:lineRule="auto"/>
              <w:jc w:val="center"/>
              <w:rPr>
                <w:rFonts w:ascii="Times New Roman" w:hAnsi="Times New Roman" w:cs="Times New Roman"/>
                <w:color w:val="000000"/>
                <w:sz w:val="15"/>
                <w:szCs w:val="15"/>
              </w:rPr>
            </w:pPr>
            <w:r w:rsidRPr="004A4899">
              <w:rPr>
                <w:rFonts w:ascii="Times New Roman" w:hAnsi="Times New Roman" w:cs="Times New Roman"/>
                <w:color w:val="000000"/>
                <w:sz w:val="15"/>
                <w:szCs w:val="15"/>
              </w:rPr>
              <w:t>0.0997</w:t>
            </w:r>
          </w:p>
        </w:tc>
        <w:tc>
          <w:tcPr>
            <w:tcW w:w="1478" w:type="dxa"/>
            <w:tcBorders>
              <w:bottom w:val="single" w:sz="4" w:space="0" w:color="auto"/>
            </w:tcBorders>
            <w:noWrap/>
            <w:vAlign w:val="center"/>
            <w:hideMark/>
          </w:tcPr>
          <w:p w14:paraId="17E413D4" w14:textId="77777777" w:rsidR="00126D8D" w:rsidRPr="004A4899" w:rsidRDefault="00126D8D" w:rsidP="00820288">
            <w:pPr>
              <w:spacing w:line="240" w:lineRule="auto"/>
              <w:jc w:val="center"/>
              <w:rPr>
                <w:rFonts w:ascii="Times New Roman" w:hAnsi="Times New Roman" w:cs="Times New Roman"/>
                <w:color w:val="000000"/>
                <w:sz w:val="15"/>
                <w:szCs w:val="15"/>
              </w:rPr>
            </w:pPr>
            <w:r w:rsidRPr="004A4899">
              <w:rPr>
                <w:rFonts w:ascii="Times New Roman" w:hAnsi="Times New Roman" w:cs="Times New Roman"/>
                <w:color w:val="000000"/>
                <w:sz w:val="15"/>
                <w:szCs w:val="15"/>
              </w:rPr>
              <w:t>0.1545</w:t>
            </w:r>
          </w:p>
        </w:tc>
      </w:tr>
    </w:tbl>
    <w:p w14:paraId="65FD4D43" w14:textId="77777777" w:rsidR="00126D8D" w:rsidRPr="00747A19" w:rsidRDefault="00126D8D" w:rsidP="000958A5">
      <w:pPr>
        <w:spacing w:line="240" w:lineRule="auto"/>
        <w:rPr>
          <w:rFonts w:cs="Times New Roman"/>
          <w:color w:val="000000"/>
          <w:sz w:val="14"/>
          <w:szCs w:val="14"/>
        </w:rPr>
      </w:pPr>
      <w:r w:rsidRPr="00747A19">
        <w:rPr>
          <w:rFonts w:cs="Times New Roman"/>
          <w:color w:val="000000"/>
          <w:sz w:val="14"/>
          <w:szCs w:val="14"/>
        </w:rPr>
        <w:br w:type="page"/>
      </w:r>
    </w:p>
    <w:p w14:paraId="4189EB0A" w14:textId="77777777" w:rsidR="00126D8D" w:rsidRPr="00747A19" w:rsidRDefault="00126D8D" w:rsidP="004A4899">
      <w:pPr>
        <w:pStyle w:val="TableTOC"/>
      </w:pPr>
      <w:bookmarkStart w:id="530" w:name="_Toc141478776"/>
      <w:r w:rsidRPr="00747A19">
        <w:rPr>
          <w:b/>
          <w:bCs/>
        </w:rPr>
        <w:lastRenderedPageBreak/>
        <w:t xml:space="preserve">Table </w:t>
      </w:r>
      <w:r>
        <w:rPr>
          <w:b/>
          <w:bCs/>
        </w:rPr>
        <w:t>3.</w:t>
      </w:r>
      <w:r w:rsidRPr="00747A19">
        <w:rPr>
          <w:b/>
          <w:bCs/>
        </w:rPr>
        <w:t xml:space="preserve">3. </w:t>
      </w:r>
      <w:r w:rsidRPr="00747A19">
        <w:t>Influence of growing season on aroma volatile tissue concentrations in hydroponically grown greenhouse sweet basil (</w:t>
      </w:r>
      <w:r w:rsidRPr="00747A19">
        <w:rPr>
          <w:i/>
          <w:iCs/>
        </w:rPr>
        <w:t xml:space="preserve">Ocimum basilicum </w:t>
      </w:r>
      <w:r w:rsidRPr="00747A19">
        <w:t>var. Italian Large Leaf).</w:t>
      </w:r>
      <w:bookmarkEnd w:id="530"/>
    </w:p>
    <w:p w14:paraId="630AC775" w14:textId="77777777" w:rsidR="00126D8D" w:rsidRPr="00747A19" w:rsidRDefault="00126D8D" w:rsidP="000958A5">
      <w:pPr>
        <w:spacing w:line="240" w:lineRule="auto"/>
        <w:rPr>
          <w:rFonts w:cs="Times New Roman"/>
          <w:b/>
          <w:bCs/>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29" w:type="dxa"/>
          <w:right w:w="0" w:type="dxa"/>
        </w:tblCellMar>
        <w:tblLook w:val="04A0" w:firstRow="1" w:lastRow="0" w:firstColumn="1" w:lastColumn="0" w:noHBand="0" w:noVBand="1"/>
      </w:tblPr>
      <w:tblGrid>
        <w:gridCol w:w="1916"/>
        <w:gridCol w:w="758"/>
        <w:gridCol w:w="366"/>
        <w:gridCol w:w="712"/>
        <w:gridCol w:w="368"/>
        <w:gridCol w:w="712"/>
        <w:gridCol w:w="368"/>
        <w:gridCol w:w="916"/>
        <w:gridCol w:w="627"/>
      </w:tblGrid>
      <w:tr w:rsidR="00126D8D" w:rsidRPr="004A4899" w14:paraId="70DB0684" w14:textId="77777777" w:rsidTr="00820288">
        <w:trPr>
          <w:trHeight w:val="144"/>
        </w:trPr>
        <w:tc>
          <w:tcPr>
            <w:tcW w:w="1916" w:type="dxa"/>
            <w:vMerge w:val="restart"/>
            <w:tcBorders>
              <w:top w:val="single" w:sz="4" w:space="0" w:color="auto"/>
            </w:tcBorders>
            <w:noWrap/>
            <w:vAlign w:val="center"/>
          </w:tcPr>
          <w:p w14:paraId="2F92B1C4" w14:textId="77777777" w:rsidR="00126D8D" w:rsidRPr="004A4899" w:rsidRDefault="00126D8D" w:rsidP="00820288">
            <w:pPr>
              <w:spacing w:line="240" w:lineRule="auto"/>
              <w:rPr>
                <w:rFonts w:ascii="Times New Roman" w:hAnsi="Times New Roman" w:cs="Times New Roman"/>
                <w:b/>
                <w:bCs/>
                <w:sz w:val="15"/>
                <w:szCs w:val="15"/>
              </w:rPr>
            </w:pPr>
            <w:r w:rsidRPr="004A4899">
              <w:rPr>
                <w:rFonts w:ascii="Times New Roman" w:hAnsi="Times New Roman" w:cs="Times New Roman"/>
                <w:b/>
                <w:bCs/>
                <w:sz w:val="15"/>
                <w:szCs w:val="15"/>
              </w:rPr>
              <w:t>Compound Name</w:t>
            </w:r>
          </w:p>
        </w:tc>
        <w:tc>
          <w:tcPr>
            <w:tcW w:w="4827" w:type="dxa"/>
            <w:gridSpan w:val="8"/>
            <w:tcBorders>
              <w:top w:val="single" w:sz="4" w:space="0" w:color="auto"/>
              <w:bottom w:val="single" w:sz="4" w:space="0" w:color="auto"/>
            </w:tcBorders>
            <w:noWrap/>
            <w:vAlign w:val="center"/>
          </w:tcPr>
          <w:p w14:paraId="29BA7303" w14:textId="77777777" w:rsidR="00126D8D" w:rsidRPr="004A4899" w:rsidRDefault="00126D8D" w:rsidP="00820288">
            <w:pPr>
              <w:tabs>
                <w:tab w:val="left" w:pos="327"/>
              </w:tabs>
              <w:spacing w:line="240" w:lineRule="auto"/>
              <w:jc w:val="center"/>
              <w:rPr>
                <w:rFonts w:ascii="Times New Roman" w:hAnsi="Times New Roman" w:cs="Times New Roman"/>
                <w:b/>
                <w:bCs/>
                <w:sz w:val="15"/>
                <w:szCs w:val="15"/>
              </w:rPr>
            </w:pPr>
            <w:r w:rsidRPr="004A4899">
              <w:rPr>
                <w:rFonts w:ascii="Times New Roman" w:hAnsi="Times New Roman" w:cs="Times New Roman"/>
                <w:b/>
                <w:bCs/>
                <w:sz w:val="15"/>
                <w:szCs w:val="15"/>
              </w:rPr>
              <w:t>Growing Season</w:t>
            </w:r>
          </w:p>
        </w:tc>
      </w:tr>
      <w:tr w:rsidR="00126D8D" w:rsidRPr="004A4899" w14:paraId="2B30B628" w14:textId="77777777" w:rsidTr="00820288">
        <w:trPr>
          <w:trHeight w:val="144"/>
        </w:trPr>
        <w:tc>
          <w:tcPr>
            <w:tcW w:w="1916" w:type="dxa"/>
            <w:vMerge/>
            <w:tcBorders>
              <w:bottom w:val="single" w:sz="4" w:space="0" w:color="auto"/>
            </w:tcBorders>
            <w:noWrap/>
            <w:vAlign w:val="center"/>
          </w:tcPr>
          <w:p w14:paraId="1D95DA49" w14:textId="77777777" w:rsidR="00126D8D" w:rsidRPr="004A4899" w:rsidRDefault="00126D8D" w:rsidP="00820288">
            <w:pPr>
              <w:spacing w:line="240" w:lineRule="auto"/>
              <w:rPr>
                <w:rFonts w:ascii="Times New Roman" w:hAnsi="Times New Roman" w:cs="Times New Roman"/>
                <w:b/>
                <w:bCs/>
                <w:sz w:val="15"/>
                <w:szCs w:val="15"/>
              </w:rPr>
            </w:pPr>
          </w:p>
        </w:tc>
        <w:tc>
          <w:tcPr>
            <w:tcW w:w="1124" w:type="dxa"/>
            <w:gridSpan w:val="2"/>
            <w:tcBorders>
              <w:top w:val="single" w:sz="4" w:space="0" w:color="auto"/>
              <w:bottom w:val="single" w:sz="4" w:space="0" w:color="auto"/>
            </w:tcBorders>
            <w:noWrap/>
            <w:vAlign w:val="center"/>
          </w:tcPr>
          <w:p w14:paraId="18E3DE64" w14:textId="77777777" w:rsidR="00126D8D" w:rsidRPr="004A4899" w:rsidRDefault="00126D8D" w:rsidP="00820288">
            <w:pPr>
              <w:spacing w:line="240" w:lineRule="auto"/>
              <w:jc w:val="center"/>
              <w:rPr>
                <w:rFonts w:ascii="Times New Roman" w:hAnsi="Times New Roman" w:cs="Times New Roman"/>
                <w:b/>
                <w:bCs/>
                <w:sz w:val="15"/>
                <w:szCs w:val="15"/>
              </w:rPr>
            </w:pPr>
            <w:r w:rsidRPr="004A4899">
              <w:rPr>
                <w:rFonts w:ascii="Times New Roman" w:hAnsi="Times New Roman" w:cs="Times New Roman"/>
                <w:b/>
                <w:bCs/>
                <w:sz w:val="15"/>
                <w:szCs w:val="15"/>
              </w:rPr>
              <w:t>January</w:t>
            </w:r>
          </w:p>
        </w:tc>
        <w:tc>
          <w:tcPr>
            <w:tcW w:w="1080" w:type="dxa"/>
            <w:gridSpan w:val="2"/>
            <w:tcBorders>
              <w:top w:val="single" w:sz="4" w:space="0" w:color="auto"/>
              <w:bottom w:val="single" w:sz="4" w:space="0" w:color="auto"/>
            </w:tcBorders>
            <w:noWrap/>
            <w:vAlign w:val="center"/>
          </w:tcPr>
          <w:p w14:paraId="78D75AD2" w14:textId="77777777" w:rsidR="00126D8D" w:rsidRPr="004A4899" w:rsidRDefault="00126D8D" w:rsidP="00820288">
            <w:pPr>
              <w:spacing w:line="240" w:lineRule="auto"/>
              <w:jc w:val="center"/>
              <w:rPr>
                <w:rFonts w:ascii="Times New Roman" w:hAnsi="Times New Roman" w:cs="Times New Roman"/>
                <w:b/>
                <w:bCs/>
                <w:sz w:val="15"/>
                <w:szCs w:val="15"/>
              </w:rPr>
            </w:pPr>
            <w:r w:rsidRPr="004A4899">
              <w:rPr>
                <w:rFonts w:ascii="Times New Roman" w:hAnsi="Times New Roman" w:cs="Times New Roman"/>
                <w:b/>
                <w:bCs/>
                <w:sz w:val="15"/>
                <w:szCs w:val="15"/>
              </w:rPr>
              <w:t>April</w:t>
            </w:r>
          </w:p>
        </w:tc>
        <w:tc>
          <w:tcPr>
            <w:tcW w:w="1080" w:type="dxa"/>
            <w:gridSpan w:val="2"/>
            <w:tcBorders>
              <w:top w:val="single" w:sz="4" w:space="0" w:color="auto"/>
              <w:bottom w:val="single" w:sz="4" w:space="0" w:color="auto"/>
            </w:tcBorders>
            <w:noWrap/>
            <w:vAlign w:val="center"/>
          </w:tcPr>
          <w:p w14:paraId="78C428D7" w14:textId="77777777" w:rsidR="00126D8D" w:rsidRPr="004A4899" w:rsidRDefault="00126D8D" w:rsidP="00820288">
            <w:pPr>
              <w:spacing w:line="240" w:lineRule="auto"/>
              <w:jc w:val="center"/>
              <w:rPr>
                <w:rFonts w:ascii="Times New Roman" w:hAnsi="Times New Roman" w:cs="Times New Roman"/>
                <w:b/>
                <w:bCs/>
                <w:sz w:val="15"/>
                <w:szCs w:val="15"/>
              </w:rPr>
            </w:pPr>
            <w:r w:rsidRPr="004A4899">
              <w:rPr>
                <w:rFonts w:ascii="Times New Roman" w:hAnsi="Times New Roman" w:cs="Times New Roman"/>
                <w:b/>
                <w:bCs/>
                <w:sz w:val="15"/>
                <w:szCs w:val="15"/>
              </w:rPr>
              <w:t>June</w:t>
            </w:r>
          </w:p>
        </w:tc>
        <w:tc>
          <w:tcPr>
            <w:tcW w:w="1543" w:type="dxa"/>
            <w:gridSpan w:val="2"/>
            <w:tcBorders>
              <w:top w:val="single" w:sz="4" w:space="0" w:color="auto"/>
              <w:bottom w:val="single" w:sz="4" w:space="0" w:color="auto"/>
            </w:tcBorders>
            <w:noWrap/>
            <w:vAlign w:val="center"/>
          </w:tcPr>
          <w:p w14:paraId="185FB85E" w14:textId="77777777" w:rsidR="00126D8D" w:rsidRPr="004A4899" w:rsidRDefault="00126D8D" w:rsidP="00820288">
            <w:pPr>
              <w:spacing w:line="240" w:lineRule="auto"/>
              <w:jc w:val="center"/>
              <w:rPr>
                <w:rFonts w:ascii="Times New Roman" w:hAnsi="Times New Roman" w:cs="Times New Roman"/>
                <w:b/>
                <w:bCs/>
                <w:sz w:val="15"/>
                <w:szCs w:val="15"/>
              </w:rPr>
            </w:pPr>
            <w:r w:rsidRPr="004A4899">
              <w:rPr>
                <w:rFonts w:ascii="Times New Roman" w:hAnsi="Times New Roman" w:cs="Times New Roman"/>
                <w:b/>
                <w:bCs/>
                <w:sz w:val="15"/>
                <w:szCs w:val="15"/>
              </w:rPr>
              <w:t>September</w:t>
            </w:r>
          </w:p>
        </w:tc>
      </w:tr>
      <w:tr w:rsidR="00126D8D" w:rsidRPr="004A4899" w14:paraId="515BFC0D" w14:textId="77777777" w:rsidTr="00820288">
        <w:trPr>
          <w:trHeight w:val="144"/>
        </w:trPr>
        <w:tc>
          <w:tcPr>
            <w:tcW w:w="1916" w:type="dxa"/>
            <w:tcBorders>
              <w:top w:val="single" w:sz="4" w:space="0" w:color="auto"/>
            </w:tcBorders>
            <w:noWrap/>
            <w:vAlign w:val="center"/>
          </w:tcPr>
          <w:p w14:paraId="06C8E55E" w14:textId="77777777" w:rsidR="00126D8D" w:rsidRPr="004A4899" w:rsidRDefault="00126D8D" w:rsidP="00820288">
            <w:pPr>
              <w:spacing w:line="240" w:lineRule="auto"/>
              <w:rPr>
                <w:rFonts w:ascii="Times New Roman" w:hAnsi="Times New Roman" w:cs="Times New Roman"/>
                <w:b/>
                <w:bCs/>
                <w:sz w:val="15"/>
                <w:szCs w:val="15"/>
              </w:rPr>
            </w:pPr>
            <w:r w:rsidRPr="004A4899">
              <w:rPr>
                <w:rFonts w:ascii="Times New Roman" w:hAnsi="Times New Roman" w:cs="Times New Roman"/>
                <w:b/>
                <w:bCs/>
                <w:sz w:val="15"/>
                <w:szCs w:val="15"/>
              </w:rPr>
              <w:t>Alcohols</w:t>
            </w:r>
          </w:p>
        </w:tc>
        <w:tc>
          <w:tcPr>
            <w:tcW w:w="758" w:type="dxa"/>
            <w:tcBorders>
              <w:top w:val="single" w:sz="4" w:space="0" w:color="auto"/>
            </w:tcBorders>
            <w:noWrap/>
            <w:vAlign w:val="center"/>
          </w:tcPr>
          <w:p w14:paraId="6413E98A" w14:textId="77777777" w:rsidR="00126D8D" w:rsidRPr="004A4899" w:rsidRDefault="00126D8D" w:rsidP="00820288">
            <w:pPr>
              <w:spacing w:line="240" w:lineRule="auto"/>
              <w:jc w:val="right"/>
              <w:rPr>
                <w:rFonts w:ascii="Times New Roman" w:hAnsi="Times New Roman" w:cs="Times New Roman"/>
                <w:sz w:val="15"/>
                <w:szCs w:val="15"/>
              </w:rPr>
            </w:pPr>
          </w:p>
        </w:tc>
        <w:tc>
          <w:tcPr>
            <w:tcW w:w="366" w:type="dxa"/>
            <w:tcBorders>
              <w:top w:val="single" w:sz="4" w:space="0" w:color="auto"/>
            </w:tcBorders>
            <w:noWrap/>
            <w:vAlign w:val="center"/>
          </w:tcPr>
          <w:p w14:paraId="6AF33B48" w14:textId="77777777" w:rsidR="00126D8D" w:rsidRPr="004A4899" w:rsidRDefault="00126D8D" w:rsidP="00820288">
            <w:pPr>
              <w:spacing w:line="240" w:lineRule="auto"/>
              <w:rPr>
                <w:rFonts w:ascii="Times New Roman" w:hAnsi="Times New Roman" w:cs="Times New Roman"/>
                <w:sz w:val="15"/>
                <w:szCs w:val="15"/>
              </w:rPr>
            </w:pPr>
          </w:p>
        </w:tc>
        <w:tc>
          <w:tcPr>
            <w:tcW w:w="712" w:type="dxa"/>
            <w:tcBorders>
              <w:top w:val="single" w:sz="4" w:space="0" w:color="auto"/>
            </w:tcBorders>
            <w:noWrap/>
            <w:vAlign w:val="center"/>
          </w:tcPr>
          <w:p w14:paraId="1036256E" w14:textId="77777777" w:rsidR="00126D8D" w:rsidRPr="004A4899" w:rsidRDefault="00126D8D" w:rsidP="00820288">
            <w:pPr>
              <w:spacing w:line="240" w:lineRule="auto"/>
              <w:jc w:val="right"/>
              <w:rPr>
                <w:rFonts w:ascii="Times New Roman" w:hAnsi="Times New Roman" w:cs="Times New Roman"/>
                <w:sz w:val="15"/>
                <w:szCs w:val="15"/>
              </w:rPr>
            </w:pPr>
          </w:p>
        </w:tc>
        <w:tc>
          <w:tcPr>
            <w:tcW w:w="368" w:type="dxa"/>
            <w:tcBorders>
              <w:top w:val="single" w:sz="4" w:space="0" w:color="auto"/>
            </w:tcBorders>
            <w:noWrap/>
            <w:vAlign w:val="center"/>
          </w:tcPr>
          <w:p w14:paraId="0846B293" w14:textId="77777777" w:rsidR="00126D8D" w:rsidRPr="004A4899" w:rsidRDefault="00126D8D" w:rsidP="00820288">
            <w:pPr>
              <w:spacing w:line="240" w:lineRule="auto"/>
              <w:rPr>
                <w:rFonts w:ascii="Times New Roman" w:hAnsi="Times New Roman" w:cs="Times New Roman"/>
                <w:sz w:val="15"/>
                <w:szCs w:val="15"/>
              </w:rPr>
            </w:pPr>
          </w:p>
        </w:tc>
        <w:tc>
          <w:tcPr>
            <w:tcW w:w="712" w:type="dxa"/>
            <w:tcBorders>
              <w:top w:val="single" w:sz="4" w:space="0" w:color="auto"/>
            </w:tcBorders>
            <w:noWrap/>
            <w:vAlign w:val="center"/>
          </w:tcPr>
          <w:p w14:paraId="1B3D5B11" w14:textId="77777777" w:rsidR="00126D8D" w:rsidRPr="004A4899" w:rsidRDefault="00126D8D" w:rsidP="00820288">
            <w:pPr>
              <w:spacing w:line="240" w:lineRule="auto"/>
              <w:jc w:val="right"/>
              <w:rPr>
                <w:rFonts w:ascii="Times New Roman" w:hAnsi="Times New Roman" w:cs="Times New Roman"/>
                <w:sz w:val="15"/>
                <w:szCs w:val="15"/>
              </w:rPr>
            </w:pPr>
          </w:p>
        </w:tc>
        <w:tc>
          <w:tcPr>
            <w:tcW w:w="368" w:type="dxa"/>
            <w:tcBorders>
              <w:top w:val="single" w:sz="4" w:space="0" w:color="auto"/>
            </w:tcBorders>
            <w:noWrap/>
            <w:vAlign w:val="center"/>
          </w:tcPr>
          <w:p w14:paraId="1BDB4E5B" w14:textId="77777777" w:rsidR="00126D8D" w:rsidRPr="004A4899" w:rsidRDefault="00126D8D" w:rsidP="00820288">
            <w:pPr>
              <w:spacing w:line="240" w:lineRule="auto"/>
              <w:rPr>
                <w:rFonts w:ascii="Times New Roman" w:hAnsi="Times New Roman" w:cs="Times New Roman"/>
                <w:sz w:val="15"/>
                <w:szCs w:val="15"/>
              </w:rPr>
            </w:pPr>
          </w:p>
        </w:tc>
        <w:tc>
          <w:tcPr>
            <w:tcW w:w="916" w:type="dxa"/>
            <w:tcBorders>
              <w:top w:val="single" w:sz="4" w:space="0" w:color="auto"/>
            </w:tcBorders>
            <w:noWrap/>
            <w:vAlign w:val="center"/>
          </w:tcPr>
          <w:p w14:paraId="4759AEDB" w14:textId="77777777" w:rsidR="00126D8D" w:rsidRPr="004A4899" w:rsidRDefault="00126D8D" w:rsidP="00820288">
            <w:pPr>
              <w:spacing w:line="240" w:lineRule="auto"/>
              <w:jc w:val="right"/>
              <w:rPr>
                <w:rFonts w:ascii="Times New Roman" w:hAnsi="Times New Roman" w:cs="Times New Roman"/>
                <w:sz w:val="15"/>
                <w:szCs w:val="15"/>
              </w:rPr>
            </w:pPr>
          </w:p>
        </w:tc>
        <w:tc>
          <w:tcPr>
            <w:tcW w:w="627" w:type="dxa"/>
            <w:tcBorders>
              <w:top w:val="single" w:sz="4" w:space="0" w:color="auto"/>
            </w:tcBorders>
            <w:noWrap/>
            <w:vAlign w:val="center"/>
          </w:tcPr>
          <w:p w14:paraId="5695F16E" w14:textId="77777777" w:rsidR="00126D8D" w:rsidRPr="004A4899" w:rsidRDefault="00126D8D" w:rsidP="00820288">
            <w:pPr>
              <w:spacing w:line="240" w:lineRule="auto"/>
              <w:rPr>
                <w:rFonts w:ascii="Times New Roman" w:hAnsi="Times New Roman" w:cs="Times New Roman"/>
                <w:sz w:val="15"/>
                <w:szCs w:val="15"/>
              </w:rPr>
            </w:pPr>
          </w:p>
        </w:tc>
      </w:tr>
      <w:tr w:rsidR="00126D8D" w:rsidRPr="004A4899" w14:paraId="1A9086CC" w14:textId="77777777" w:rsidTr="00820288">
        <w:trPr>
          <w:trHeight w:val="144"/>
        </w:trPr>
        <w:tc>
          <w:tcPr>
            <w:tcW w:w="1916" w:type="dxa"/>
            <w:noWrap/>
            <w:vAlign w:val="center"/>
            <w:hideMark/>
          </w:tcPr>
          <w:p w14:paraId="50E15890" w14:textId="77777777" w:rsidR="00126D8D" w:rsidRPr="004A4899" w:rsidRDefault="00126D8D" w:rsidP="00820288">
            <w:pPr>
              <w:spacing w:line="240" w:lineRule="auto"/>
              <w:rPr>
                <w:rFonts w:ascii="Times New Roman" w:hAnsi="Times New Roman" w:cs="Times New Roman"/>
                <w:sz w:val="15"/>
                <w:szCs w:val="15"/>
              </w:rPr>
            </w:pPr>
            <w:r w:rsidRPr="004A4899">
              <w:rPr>
                <w:rFonts w:ascii="Times New Roman" w:hAnsi="Times New Roman" w:cs="Times New Roman"/>
                <w:sz w:val="15"/>
                <w:szCs w:val="15"/>
              </w:rPr>
              <w:t>(E)-3-Hexen-1-ol</w:t>
            </w:r>
          </w:p>
        </w:tc>
        <w:tc>
          <w:tcPr>
            <w:tcW w:w="758" w:type="dxa"/>
            <w:noWrap/>
            <w:vAlign w:val="center"/>
            <w:hideMark/>
          </w:tcPr>
          <w:p w14:paraId="700F5DFB" w14:textId="77777777" w:rsidR="00126D8D" w:rsidRPr="004A4899" w:rsidRDefault="00126D8D" w:rsidP="00820288">
            <w:pPr>
              <w:spacing w:line="240" w:lineRule="auto"/>
              <w:jc w:val="right"/>
              <w:rPr>
                <w:rFonts w:ascii="Times New Roman" w:hAnsi="Times New Roman" w:cs="Times New Roman"/>
                <w:sz w:val="15"/>
                <w:szCs w:val="15"/>
              </w:rPr>
            </w:pPr>
            <w:r w:rsidRPr="004A4899">
              <w:rPr>
                <w:rFonts w:ascii="Times New Roman" w:hAnsi="Times New Roman" w:cs="Times New Roman"/>
                <w:sz w:val="15"/>
                <w:szCs w:val="15"/>
              </w:rPr>
              <w:t>2.27</w:t>
            </w:r>
          </w:p>
        </w:tc>
        <w:tc>
          <w:tcPr>
            <w:tcW w:w="366" w:type="dxa"/>
            <w:noWrap/>
            <w:vAlign w:val="center"/>
            <w:hideMark/>
          </w:tcPr>
          <w:p w14:paraId="189565F0" w14:textId="77777777" w:rsidR="00126D8D" w:rsidRPr="004A4899" w:rsidRDefault="00126D8D" w:rsidP="00820288">
            <w:pPr>
              <w:spacing w:line="240" w:lineRule="auto"/>
              <w:rPr>
                <w:rFonts w:ascii="Times New Roman" w:hAnsi="Times New Roman" w:cs="Times New Roman"/>
                <w:sz w:val="15"/>
                <w:szCs w:val="15"/>
              </w:rPr>
            </w:pPr>
            <w:r w:rsidRPr="004A4899">
              <w:rPr>
                <w:rFonts w:ascii="Times New Roman" w:hAnsi="Times New Roman" w:cs="Times New Roman"/>
                <w:sz w:val="15"/>
                <w:szCs w:val="15"/>
              </w:rPr>
              <w:t>b</w:t>
            </w:r>
          </w:p>
        </w:tc>
        <w:tc>
          <w:tcPr>
            <w:tcW w:w="712" w:type="dxa"/>
            <w:noWrap/>
            <w:vAlign w:val="center"/>
            <w:hideMark/>
          </w:tcPr>
          <w:p w14:paraId="3674767D" w14:textId="77777777" w:rsidR="00126D8D" w:rsidRPr="004A4899" w:rsidRDefault="00126D8D" w:rsidP="00820288">
            <w:pPr>
              <w:spacing w:line="240" w:lineRule="auto"/>
              <w:jc w:val="right"/>
              <w:rPr>
                <w:rFonts w:ascii="Times New Roman" w:hAnsi="Times New Roman" w:cs="Times New Roman"/>
                <w:sz w:val="15"/>
                <w:szCs w:val="15"/>
              </w:rPr>
            </w:pPr>
            <w:r w:rsidRPr="004A4899">
              <w:rPr>
                <w:rFonts w:ascii="Times New Roman" w:hAnsi="Times New Roman" w:cs="Times New Roman"/>
                <w:sz w:val="15"/>
                <w:szCs w:val="15"/>
              </w:rPr>
              <w:t>2.07</w:t>
            </w:r>
          </w:p>
        </w:tc>
        <w:tc>
          <w:tcPr>
            <w:tcW w:w="368" w:type="dxa"/>
            <w:noWrap/>
            <w:vAlign w:val="center"/>
            <w:hideMark/>
          </w:tcPr>
          <w:p w14:paraId="2CF26C22" w14:textId="77777777" w:rsidR="00126D8D" w:rsidRPr="004A4899" w:rsidRDefault="00126D8D" w:rsidP="00820288">
            <w:pPr>
              <w:spacing w:line="240" w:lineRule="auto"/>
              <w:rPr>
                <w:rFonts w:ascii="Times New Roman" w:hAnsi="Times New Roman" w:cs="Times New Roman"/>
                <w:sz w:val="15"/>
                <w:szCs w:val="15"/>
              </w:rPr>
            </w:pPr>
            <w:r w:rsidRPr="004A4899">
              <w:rPr>
                <w:rFonts w:ascii="Times New Roman" w:hAnsi="Times New Roman" w:cs="Times New Roman"/>
                <w:sz w:val="15"/>
                <w:szCs w:val="15"/>
              </w:rPr>
              <w:t>b</w:t>
            </w:r>
          </w:p>
        </w:tc>
        <w:tc>
          <w:tcPr>
            <w:tcW w:w="712" w:type="dxa"/>
            <w:noWrap/>
            <w:vAlign w:val="center"/>
            <w:hideMark/>
          </w:tcPr>
          <w:p w14:paraId="6B2B1C35" w14:textId="77777777" w:rsidR="00126D8D" w:rsidRPr="004A4899" w:rsidRDefault="00126D8D" w:rsidP="00820288">
            <w:pPr>
              <w:spacing w:line="240" w:lineRule="auto"/>
              <w:jc w:val="right"/>
              <w:rPr>
                <w:rFonts w:ascii="Times New Roman" w:hAnsi="Times New Roman" w:cs="Times New Roman"/>
                <w:sz w:val="15"/>
                <w:szCs w:val="15"/>
              </w:rPr>
            </w:pPr>
            <w:r w:rsidRPr="004A4899">
              <w:rPr>
                <w:rFonts w:ascii="Times New Roman" w:hAnsi="Times New Roman" w:cs="Times New Roman"/>
                <w:sz w:val="15"/>
                <w:szCs w:val="15"/>
              </w:rPr>
              <w:t>6.24</w:t>
            </w:r>
          </w:p>
        </w:tc>
        <w:tc>
          <w:tcPr>
            <w:tcW w:w="368" w:type="dxa"/>
            <w:noWrap/>
            <w:vAlign w:val="center"/>
            <w:hideMark/>
          </w:tcPr>
          <w:p w14:paraId="6FE5FE82" w14:textId="77777777" w:rsidR="00126D8D" w:rsidRPr="004A4899" w:rsidRDefault="00126D8D" w:rsidP="00820288">
            <w:pPr>
              <w:spacing w:line="240" w:lineRule="auto"/>
              <w:rPr>
                <w:rFonts w:ascii="Times New Roman" w:hAnsi="Times New Roman" w:cs="Times New Roman"/>
                <w:sz w:val="15"/>
                <w:szCs w:val="15"/>
              </w:rPr>
            </w:pPr>
            <w:r w:rsidRPr="004A4899">
              <w:rPr>
                <w:rFonts w:ascii="Times New Roman" w:hAnsi="Times New Roman" w:cs="Times New Roman"/>
                <w:sz w:val="15"/>
                <w:szCs w:val="15"/>
              </w:rPr>
              <w:t>a</w:t>
            </w:r>
          </w:p>
        </w:tc>
        <w:tc>
          <w:tcPr>
            <w:tcW w:w="916" w:type="dxa"/>
            <w:noWrap/>
            <w:vAlign w:val="center"/>
            <w:hideMark/>
          </w:tcPr>
          <w:p w14:paraId="6561B8BC" w14:textId="77777777" w:rsidR="00126D8D" w:rsidRPr="004A4899" w:rsidRDefault="00126D8D" w:rsidP="00820288">
            <w:pPr>
              <w:spacing w:line="240" w:lineRule="auto"/>
              <w:jc w:val="right"/>
              <w:rPr>
                <w:rFonts w:ascii="Times New Roman" w:hAnsi="Times New Roman" w:cs="Times New Roman"/>
                <w:sz w:val="15"/>
                <w:szCs w:val="15"/>
              </w:rPr>
            </w:pPr>
            <w:r w:rsidRPr="004A4899">
              <w:rPr>
                <w:rFonts w:ascii="Times New Roman" w:hAnsi="Times New Roman" w:cs="Times New Roman"/>
                <w:sz w:val="15"/>
                <w:szCs w:val="15"/>
              </w:rPr>
              <w:t>5.99</w:t>
            </w:r>
          </w:p>
        </w:tc>
        <w:tc>
          <w:tcPr>
            <w:tcW w:w="627" w:type="dxa"/>
            <w:noWrap/>
            <w:vAlign w:val="center"/>
            <w:hideMark/>
          </w:tcPr>
          <w:p w14:paraId="70F8F9B5" w14:textId="77777777" w:rsidR="00126D8D" w:rsidRPr="004A4899" w:rsidRDefault="00126D8D" w:rsidP="00820288">
            <w:pPr>
              <w:spacing w:line="240" w:lineRule="auto"/>
              <w:rPr>
                <w:rFonts w:ascii="Times New Roman" w:hAnsi="Times New Roman" w:cs="Times New Roman"/>
                <w:sz w:val="15"/>
                <w:szCs w:val="15"/>
              </w:rPr>
            </w:pPr>
            <w:r w:rsidRPr="004A4899">
              <w:rPr>
                <w:rFonts w:ascii="Times New Roman" w:hAnsi="Times New Roman" w:cs="Times New Roman"/>
                <w:sz w:val="15"/>
                <w:szCs w:val="15"/>
              </w:rPr>
              <w:t>a</w:t>
            </w:r>
          </w:p>
        </w:tc>
      </w:tr>
      <w:tr w:rsidR="00126D8D" w:rsidRPr="004A4899" w14:paraId="1C5D4212" w14:textId="77777777" w:rsidTr="00820288">
        <w:trPr>
          <w:trHeight w:val="144"/>
        </w:trPr>
        <w:tc>
          <w:tcPr>
            <w:tcW w:w="1916" w:type="dxa"/>
            <w:noWrap/>
            <w:vAlign w:val="center"/>
            <w:hideMark/>
          </w:tcPr>
          <w:p w14:paraId="35900545" w14:textId="77777777" w:rsidR="00126D8D" w:rsidRPr="004A4899" w:rsidRDefault="00126D8D" w:rsidP="00820288">
            <w:pPr>
              <w:spacing w:line="240" w:lineRule="auto"/>
              <w:rPr>
                <w:rFonts w:ascii="Times New Roman" w:hAnsi="Times New Roman" w:cs="Times New Roman"/>
                <w:sz w:val="15"/>
                <w:szCs w:val="15"/>
              </w:rPr>
            </w:pPr>
            <w:r w:rsidRPr="004A4899">
              <w:rPr>
                <w:rFonts w:ascii="Times New Roman" w:hAnsi="Times New Roman" w:cs="Times New Roman"/>
                <w:sz w:val="15"/>
                <w:szCs w:val="15"/>
              </w:rPr>
              <w:t>1-Octen-3-ol</w:t>
            </w:r>
          </w:p>
        </w:tc>
        <w:tc>
          <w:tcPr>
            <w:tcW w:w="758" w:type="dxa"/>
            <w:noWrap/>
            <w:vAlign w:val="center"/>
            <w:hideMark/>
          </w:tcPr>
          <w:p w14:paraId="7126F4A4" w14:textId="77777777" w:rsidR="00126D8D" w:rsidRPr="004A4899" w:rsidRDefault="00126D8D" w:rsidP="00820288">
            <w:pPr>
              <w:spacing w:line="240" w:lineRule="auto"/>
              <w:jc w:val="right"/>
              <w:rPr>
                <w:rFonts w:ascii="Times New Roman" w:hAnsi="Times New Roman" w:cs="Times New Roman"/>
                <w:sz w:val="15"/>
                <w:szCs w:val="15"/>
              </w:rPr>
            </w:pPr>
            <w:r w:rsidRPr="004A4899">
              <w:rPr>
                <w:rFonts w:ascii="Times New Roman" w:hAnsi="Times New Roman" w:cs="Times New Roman"/>
                <w:sz w:val="15"/>
                <w:szCs w:val="15"/>
              </w:rPr>
              <w:t>16.43</w:t>
            </w:r>
          </w:p>
        </w:tc>
        <w:tc>
          <w:tcPr>
            <w:tcW w:w="366" w:type="dxa"/>
            <w:noWrap/>
            <w:vAlign w:val="center"/>
            <w:hideMark/>
          </w:tcPr>
          <w:p w14:paraId="7E8429D7" w14:textId="77777777" w:rsidR="00126D8D" w:rsidRPr="004A4899" w:rsidRDefault="00126D8D" w:rsidP="00820288">
            <w:pPr>
              <w:spacing w:line="240" w:lineRule="auto"/>
              <w:rPr>
                <w:rFonts w:ascii="Times New Roman" w:hAnsi="Times New Roman" w:cs="Times New Roman"/>
                <w:sz w:val="15"/>
                <w:szCs w:val="15"/>
              </w:rPr>
            </w:pPr>
            <w:r w:rsidRPr="004A4899">
              <w:rPr>
                <w:rFonts w:ascii="Times New Roman" w:hAnsi="Times New Roman" w:cs="Times New Roman"/>
                <w:sz w:val="15"/>
                <w:szCs w:val="15"/>
              </w:rPr>
              <w:t>bc</w:t>
            </w:r>
          </w:p>
        </w:tc>
        <w:tc>
          <w:tcPr>
            <w:tcW w:w="712" w:type="dxa"/>
            <w:noWrap/>
            <w:vAlign w:val="center"/>
            <w:hideMark/>
          </w:tcPr>
          <w:p w14:paraId="2F461D75" w14:textId="77777777" w:rsidR="00126D8D" w:rsidRPr="004A4899" w:rsidRDefault="00126D8D" w:rsidP="00820288">
            <w:pPr>
              <w:spacing w:line="240" w:lineRule="auto"/>
              <w:jc w:val="right"/>
              <w:rPr>
                <w:rFonts w:ascii="Times New Roman" w:hAnsi="Times New Roman" w:cs="Times New Roman"/>
                <w:sz w:val="15"/>
                <w:szCs w:val="15"/>
              </w:rPr>
            </w:pPr>
            <w:r w:rsidRPr="004A4899">
              <w:rPr>
                <w:rFonts w:ascii="Times New Roman" w:hAnsi="Times New Roman" w:cs="Times New Roman"/>
                <w:sz w:val="15"/>
                <w:szCs w:val="15"/>
              </w:rPr>
              <w:t>23.23</w:t>
            </w:r>
          </w:p>
        </w:tc>
        <w:tc>
          <w:tcPr>
            <w:tcW w:w="368" w:type="dxa"/>
            <w:noWrap/>
            <w:vAlign w:val="center"/>
            <w:hideMark/>
          </w:tcPr>
          <w:p w14:paraId="2FE4F130" w14:textId="77777777" w:rsidR="00126D8D" w:rsidRPr="004A4899" w:rsidRDefault="00126D8D" w:rsidP="00820288">
            <w:pPr>
              <w:spacing w:line="240" w:lineRule="auto"/>
              <w:rPr>
                <w:rFonts w:ascii="Times New Roman" w:hAnsi="Times New Roman" w:cs="Times New Roman"/>
                <w:sz w:val="15"/>
                <w:szCs w:val="15"/>
              </w:rPr>
            </w:pPr>
            <w:r w:rsidRPr="004A4899">
              <w:rPr>
                <w:rFonts w:ascii="Times New Roman" w:hAnsi="Times New Roman" w:cs="Times New Roman"/>
                <w:sz w:val="15"/>
                <w:szCs w:val="15"/>
              </w:rPr>
              <w:t>b</w:t>
            </w:r>
          </w:p>
        </w:tc>
        <w:tc>
          <w:tcPr>
            <w:tcW w:w="712" w:type="dxa"/>
            <w:noWrap/>
            <w:vAlign w:val="center"/>
            <w:hideMark/>
          </w:tcPr>
          <w:p w14:paraId="7D05968D" w14:textId="77777777" w:rsidR="00126D8D" w:rsidRPr="004A4899" w:rsidRDefault="00126D8D" w:rsidP="00820288">
            <w:pPr>
              <w:spacing w:line="240" w:lineRule="auto"/>
              <w:jc w:val="right"/>
              <w:rPr>
                <w:rFonts w:ascii="Times New Roman" w:hAnsi="Times New Roman" w:cs="Times New Roman"/>
                <w:sz w:val="15"/>
                <w:szCs w:val="15"/>
              </w:rPr>
            </w:pPr>
            <w:r w:rsidRPr="004A4899">
              <w:rPr>
                <w:rFonts w:ascii="Times New Roman" w:hAnsi="Times New Roman" w:cs="Times New Roman"/>
                <w:sz w:val="15"/>
                <w:szCs w:val="15"/>
              </w:rPr>
              <w:t>39.72</w:t>
            </w:r>
          </w:p>
        </w:tc>
        <w:tc>
          <w:tcPr>
            <w:tcW w:w="368" w:type="dxa"/>
            <w:noWrap/>
            <w:vAlign w:val="center"/>
            <w:hideMark/>
          </w:tcPr>
          <w:p w14:paraId="5A6D9070" w14:textId="77777777" w:rsidR="00126D8D" w:rsidRPr="004A4899" w:rsidRDefault="00126D8D" w:rsidP="00820288">
            <w:pPr>
              <w:spacing w:line="240" w:lineRule="auto"/>
              <w:rPr>
                <w:rFonts w:ascii="Times New Roman" w:hAnsi="Times New Roman" w:cs="Times New Roman"/>
                <w:sz w:val="15"/>
                <w:szCs w:val="15"/>
              </w:rPr>
            </w:pPr>
            <w:r w:rsidRPr="004A4899">
              <w:rPr>
                <w:rFonts w:ascii="Times New Roman" w:hAnsi="Times New Roman" w:cs="Times New Roman"/>
                <w:sz w:val="15"/>
                <w:szCs w:val="15"/>
              </w:rPr>
              <w:t>a</w:t>
            </w:r>
          </w:p>
        </w:tc>
        <w:tc>
          <w:tcPr>
            <w:tcW w:w="916" w:type="dxa"/>
            <w:noWrap/>
            <w:vAlign w:val="center"/>
            <w:hideMark/>
          </w:tcPr>
          <w:p w14:paraId="384B0436" w14:textId="77777777" w:rsidR="00126D8D" w:rsidRPr="004A4899" w:rsidRDefault="00126D8D" w:rsidP="00820288">
            <w:pPr>
              <w:spacing w:line="240" w:lineRule="auto"/>
              <w:jc w:val="right"/>
              <w:rPr>
                <w:rFonts w:ascii="Times New Roman" w:hAnsi="Times New Roman" w:cs="Times New Roman"/>
                <w:sz w:val="15"/>
                <w:szCs w:val="15"/>
              </w:rPr>
            </w:pPr>
            <w:r w:rsidRPr="004A4899">
              <w:rPr>
                <w:rFonts w:ascii="Times New Roman" w:hAnsi="Times New Roman" w:cs="Times New Roman"/>
                <w:sz w:val="15"/>
                <w:szCs w:val="15"/>
              </w:rPr>
              <w:t>13.03</w:t>
            </w:r>
          </w:p>
        </w:tc>
        <w:tc>
          <w:tcPr>
            <w:tcW w:w="627" w:type="dxa"/>
            <w:noWrap/>
            <w:vAlign w:val="center"/>
            <w:hideMark/>
          </w:tcPr>
          <w:p w14:paraId="30ED5832" w14:textId="77777777" w:rsidR="00126D8D" w:rsidRPr="004A4899" w:rsidRDefault="00126D8D" w:rsidP="00820288">
            <w:pPr>
              <w:spacing w:line="240" w:lineRule="auto"/>
              <w:rPr>
                <w:rFonts w:ascii="Times New Roman" w:hAnsi="Times New Roman" w:cs="Times New Roman"/>
                <w:sz w:val="15"/>
                <w:szCs w:val="15"/>
              </w:rPr>
            </w:pPr>
            <w:r w:rsidRPr="004A4899">
              <w:rPr>
                <w:rFonts w:ascii="Times New Roman" w:hAnsi="Times New Roman" w:cs="Times New Roman"/>
                <w:sz w:val="15"/>
                <w:szCs w:val="15"/>
              </w:rPr>
              <w:t>c</w:t>
            </w:r>
          </w:p>
        </w:tc>
      </w:tr>
      <w:tr w:rsidR="00126D8D" w:rsidRPr="004A4899" w14:paraId="4E23631B" w14:textId="77777777" w:rsidTr="00820288">
        <w:trPr>
          <w:trHeight w:val="144"/>
        </w:trPr>
        <w:tc>
          <w:tcPr>
            <w:tcW w:w="1916" w:type="dxa"/>
            <w:noWrap/>
            <w:vAlign w:val="center"/>
            <w:hideMark/>
          </w:tcPr>
          <w:p w14:paraId="40BC6017" w14:textId="77777777" w:rsidR="00126D8D" w:rsidRPr="004A4899" w:rsidRDefault="00126D8D" w:rsidP="00820288">
            <w:pPr>
              <w:spacing w:line="240" w:lineRule="auto"/>
              <w:rPr>
                <w:rFonts w:ascii="Times New Roman" w:hAnsi="Times New Roman" w:cs="Times New Roman"/>
                <w:sz w:val="15"/>
                <w:szCs w:val="15"/>
              </w:rPr>
            </w:pPr>
            <w:r w:rsidRPr="004A4899">
              <w:rPr>
                <w:rFonts w:ascii="Times New Roman" w:hAnsi="Times New Roman" w:cs="Times New Roman"/>
                <w:sz w:val="15"/>
                <w:szCs w:val="15"/>
              </w:rPr>
              <w:t>2-Octyn-1-ol</w:t>
            </w:r>
          </w:p>
        </w:tc>
        <w:tc>
          <w:tcPr>
            <w:tcW w:w="758" w:type="dxa"/>
            <w:noWrap/>
            <w:vAlign w:val="center"/>
            <w:hideMark/>
          </w:tcPr>
          <w:p w14:paraId="15BF2B00" w14:textId="77777777" w:rsidR="00126D8D" w:rsidRPr="004A4899" w:rsidRDefault="00126D8D" w:rsidP="00820288">
            <w:pPr>
              <w:spacing w:line="240" w:lineRule="auto"/>
              <w:jc w:val="right"/>
              <w:rPr>
                <w:rFonts w:ascii="Times New Roman" w:hAnsi="Times New Roman" w:cs="Times New Roman"/>
                <w:sz w:val="15"/>
                <w:szCs w:val="15"/>
              </w:rPr>
            </w:pPr>
            <w:r w:rsidRPr="004A4899">
              <w:rPr>
                <w:rFonts w:ascii="Times New Roman" w:hAnsi="Times New Roman" w:cs="Times New Roman"/>
                <w:sz w:val="15"/>
                <w:szCs w:val="15"/>
              </w:rPr>
              <w:t>408.20</w:t>
            </w:r>
          </w:p>
        </w:tc>
        <w:tc>
          <w:tcPr>
            <w:tcW w:w="366" w:type="dxa"/>
            <w:noWrap/>
            <w:vAlign w:val="center"/>
            <w:hideMark/>
          </w:tcPr>
          <w:p w14:paraId="61E14DE7" w14:textId="77777777" w:rsidR="00126D8D" w:rsidRPr="004A4899" w:rsidRDefault="00126D8D" w:rsidP="00820288">
            <w:pPr>
              <w:spacing w:line="240" w:lineRule="auto"/>
              <w:rPr>
                <w:rFonts w:ascii="Times New Roman" w:hAnsi="Times New Roman" w:cs="Times New Roman"/>
                <w:sz w:val="15"/>
                <w:szCs w:val="15"/>
              </w:rPr>
            </w:pPr>
            <w:r w:rsidRPr="004A4899">
              <w:rPr>
                <w:rFonts w:ascii="Times New Roman" w:hAnsi="Times New Roman" w:cs="Times New Roman"/>
                <w:sz w:val="15"/>
                <w:szCs w:val="15"/>
              </w:rPr>
              <w:t>c</w:t>
            </w:r>
          </w:p>
        </w:tc>
        <w:tc>
          <w:tcPr>
            <w:tcW w:w="712" w:type="dxa"/>
            <w:noWrap/>
            <w:vAlign w:val="center"/>
            <w:hideMark/>
          </w:tcPr>
          <w:p w14:paraId="1B768BE2" w14:textId="77777777" w:rsidR="00126D8D" w:rsidRPr="004A4899" w:rsidRDefault="00126D8D" w:rsidP="00820288">
            <w:pPr>
              <w:spacing w:line="240" w:lineRule="auto"/>
              <w:jc w:val="right"/>
              <w:rPr>
                <w:rFonts w:ascii="Times New Roman" w:hAnsi="Times New Roman" w:cs="Times New Roman"/>
                <w:sz w:val="15"/>
                <w:szCs w:val="15"/>
              </w:rPr>
            </w:pPr>
            <w:r w:rsidRPr="004A4899">
              <w:rPr>
                <w:rFonts w:ascii="Times New Roman" w:hAnsi="Times New Roman" w:cs="Times New Roman"/>
                <w:sz w:val="15"/>
                <w:szCs w:val="15"/>
              </w:rPr>
              <w:t>547.80</w:t>
            </w:r>
          </w:p>
        </w:tc>
        <w:tc>
          <w:tcPr>
            <w:tcW w:w="368" w:type="dxa"/>
            <w:noWrap/>
            <w:vAlign w:val="center"/>
            <w:hideMark/>
          </w:tcPr>
          <w:p w14:paraId="2DE12555" w14:textId="77777777" w:rsidR="00126D8D" w:rsidRPr="004A4899" w:rsidRDefault="00126D8D" w:rsidP="00820288">
            <w:pPr>
              <w:spacing w:line="240" w:lineRule="auto"/>
              <w:rPr>
                <w:rFonts w:ascii="Times New Roman" w:hAnsi="Times New Roman" w:cs="Times New Roman"/>
                <w:sz w:val="15"/>
                <w:szCs w:val="15"/>
              </w:rPr>
            </w:pPr>
            <w:r w:rsidRPr="004A4899">
              <w:rPr>
                <w:rFonts w:ascii="Times New Roman" w:hAnsi="Times New Roman" w:cs="Times New Roman"/>
                <w:sz w:val="15"/>
                <w:szCs w:val="15"/>
              </w:rPr>
              <w:t>b</w:t>
            </w:r>
          </w:p>
        </w:tc>
        <w:tc>
          <w:tcPr>
            <w:tcW w:w="712" w:type="dxa"/>
            <w:noWrap/>
            <w:vAlign w:val="center"/>
            <w:hideMark/>
          </w:tcPr>
          <w:p w14:paraId="31620B9E" w14:textId="77777777" w:rsidR="00126D8D" w:rsidRPr="004A4899" w:rsidRDefault="00126D8D" w:rsidP="00820288">
            <w:pPr>
              <w:spacing w:line="240" w:lineRule="auto"/>
              <w:jc w:val="right"/>
              <w:rPr>
                <w:rFonts w:ascii="Times New Roman" w:hAnsi="Times New Roman" w:cs="Times New Roman"/>
                <w:sz w:val="15"/>
                <w:szCs w:val="15"/>
              </w:rPr>
            </w:pPr>
            <w:r w:rsidRPr="004A4899">
              <w:rPr>
                <w:rFonts w:ascii="Times New Roman" w:hAnsi="Times New Roman" w:cs="Times New Roman"/>
                <w:sz w:val="15"/>
                <w:szCs w:val="15"/>
              </w:rPr>
              <w:t>653.76</w:t>
            </w:r>
          </w:p>
        </w:tc>
        <w:tc>
          <w:tcPr>
            <w:tcW w:w="368" w:type="dxa"/>
            <w:noWrap/>
            <w:vAlign w:val="center"/>
            <w:hideMark/>
          </w:tcPr>
          <w:p w14:paraId="196468CB" w14:textId="77777777" w:rsidR="00126D8D" w:rsidRPr="004A4899" w:rsidRDefault="00126D8D" w:rsidP="00820288">
            <w:pPr>
              <w:spacing w:line="240" w:lineRule="auto"/>
              <w:rPr>
                <w:rFonts w:ascii="Times New Roman" w:hAnsi="Times New Roman" w:cs="Times New Roman"/>
                <w:sz w:val="15"/>
                <w:szCs w:val="15"/>
              </w:rPr>
            </w:pPr>
            <w:r w:rsidRPr="004A4899">
              <w:rPr>
                <w:rFonts w:ascii="Times New Roman" w:hAnsi="Times New Roman" w:cs="Times New Roman"/>
                <w:sz w:val="15"/>
                <w:szCs w:val="15"/>
              </w:rPr>
              <w:t>a</w:t>
            </w:r>
          </w:p>
        </w:tc>
        <w:tc>
          <w:tcPr>
            <w:tcW w:w="916" w:type="dxa"/>
            <w:noWrap/>
            <w:vAlign w:val="center"/>
            <w:hideMark/>
          </w:tcPr>
          <w:p w14:paraId="3C14F6A8" w14:textId="77777777" w:rsidR="00126D8D" w:rsidRPr="004A4899" w:rsidRDefault="00126D8D" w:rsidP="00820288">
            <w:pPr>
              <w:spacing w:line="240" w:lineRule="auto"/>
              <w:jc w:val="right"/>
              <w:rPr>
                <w:rFonts w:ascii="Times New Roman" w:hAnsi="Times New Roman" w:cs="Times New Roman"/>
                <w:sz w:val="15"/>
                <w:szCs w:val="15"/>
              </w:rPr>
            </w:pPr>
            <w:r w:rsidRPr="004A4899">
              <w:rPr>
                <w:rFonts w:ascii="Times New Roman" w:hAnsi="Times New Roman" w:cs="Times New Roman"/>
                <w:sz w:val="15"/>
                <w:szCs w:val="15"/>
              </w:rPr>
              <w:t>395.22</w:t>
            </w:r>
          </w:p>
        </w:tc>
        <w:tc>
          <w:tcPr>
            <w:tcW w:w="627" w:type="dxa"/>
            <w:noWrap/>
            <w:vAlign w:val="center"/>
            <w:hideMark/>
          </w:tcPr>
          <w:p w14:paraId="0B476CBE" w14:textId="77777777" w:rsidR="00126D8D" w:rsidRPr="004A4899" w:rsidRDefault="00126D8D" w:rsidP="00820288">
            <w:pPr>
              <w:spacing w:line="240" w:lineRule="auto"/>
              <w:rPr>
                <w:rFonts w:ascii="Times New Roman" w:hAnsi="Times New Roman" w:cs="Times New Roman"/>
                <w:sz w:val="15"/>
                <w:szCs w:val="15"/>
              </w:rPr>
            </w:pPr>
            <w:r w:rsidRPr="004A4899">
              <w:rPr>
                <w:rFonts w:ascii="Times New Roman" w:hAnsi="Times New Roman" w:cs="Times New Roman"/>
                <w:sz w:val="15"/>
                <w:szCs w:val="15"/>
              </w:rPr>
              <w:t>d</w:t>
            </w:r>
          </w:p>
        </w:tc>
      </w:tr>
      <w:tr w:rsidR="00126D8D" w:rsidRPr="004A4899" w14:paraId="0AE99F0C" w14:textId="77777777" w:rsidTr="00820288">
        <w:trPr>
          <w:trHeight w:val="144"/>
        </w:trPr>
        <w:tc>
          <w:tcPr>
            <w:tcW w:w="1916" w:type="dxa"/>
            <w:noWrap/>
            <w:vAlign w:val="center"/>
            <w:hideMark/>
          </w:tcPr>
          <w:p w14:paraId="3E9DD17C" w14:textId="77777777" w:rsidR="00126D8D" w:rsidRPr="004A4899" w:rsidRDefault="00126D8D" w:rsidP="00820288">
            <w:pPr>
              <w:spacing w:line="240" w:lineRule="auto"/>
              <w:rPr>
                <w:rFonts w:ascii="Times New Roman" w:hAnsi="Times New Roman" w:cs="Times New Roman"/>
                <w:sz w:val="15"/>
                <w:szCs w:val="15"/>
              </w:rPr>
            </w:pPr>
            <w:r w:rsidRPr="004A4899">
              <w:rPr>
                <w:rFonts w:ascii="Times New Roman" w:hAnsi="Times New Roman" w:cs="Times New Roman"/>
                <w:sz w:val="15"/>
                <w:szCs w:val="15"/>
              </w:rPr>
              <w:t>2-Phenylethanol</w:t>
            </w:r>
          </w:p>
        </w:tc>
        <w:tc>
          <w:tcPr>
            <w:tcW w:w="758" w:type="dxa"/>
            <w:noWrap/>
            <w:vAlign w:val="center"/>
            <w:hideMark/>
          </w:tcPr>
          <w:p w14:paraId="477A513F" w14:textId="77777777" w:rsidR="00126D8D" w:rsidRPr="004A4899" w:rsidRDefault="00126D8D" w:rsidP="00820288">
            <w:pPr>
              <w:spacing w:line="240" w:lineRule="auto"/>
              <w:jc w:val="right"/>
              <w:rPr>
                <w:rFonts w:ascii="Times New Roman" w:hAnsi="Times New Roman" w:cs="Times New Roman"/>
                <w:sz w:val="15"/>
                <w:szCs w:val="15"/>
              </w:rPr>
            </w:pPr>
            <w:r w:rsidRPr="004A4899">
              <w:rPr>
                <w:rFonts w:ascii="Times New Roman" w:hAnsi="Times New Roman" w:cs="Times New Roman"/>
                <w:sz w:val="15"/>
                <w:szCs w:val="15"/>
              </w:rPr>
              <w:t>19.56</w:t>
            </w:r>
          </w:p>
        </w:tc>
        <w:tc>
          <w:tcPr>
            <w:tcW w:w="366" w:type="dxa"/>
            <w:noWrap/>
            <w:vAlign w:val="center"/>
            <w:hideMark/>
          </w:tcPr>
          <w:p w14:paraId="3A8BB780" w14:textId="77777777" w:rsidR="00126D8D" w:rsidRPr="004A4899" w:rsidRDefault="00126D8D" w:rsidP="00820288">
            <w:pPr>
              <w:spacing w:line="240" w:lineRule="auto"/>
              <w:rPr>
                <w:rFonts w:ascii="Times New Roman" w:hAnsi="Times New Roman" w:cs="Times New Roman"/>
                <w:sz w:val="15"/>
                <w:szCs w:val="15"/>
              </w:rPr>
            </w:pPr>
            <w:r w:rsidRPr="004A4899">
              <w:rPr>
                <w:rFonts w:ascii="Times New Roman" w:hAnsi="Times New Roman" w:cs="Times New Roman"/>
                <w:sz w:val="15"/>
                <w:szCs w:val="15"/>
              </w:rPr>
              <w:t>c</w:t>
            </w:r>
          </w:p>
        </w:tc>
        <w:tc>
          <w:tcPr>
            <w:tcW w:w="712" w:type="dxa"/>
            <w:noWrap/>
            <w:vAlign w:val="center"/>
            <w:hideMark/>
          </w:tcPr>
          <w:p w14:paraId="1D0B8CA2" w14:textId="77777777" w:rsidR="00126D8D" w:rsidRPr="004A4899" w:rsidRDefault="00126D8D" w:rsidP="00820288">
            <w:pPr>
              <w:spacing w:line="240" w:lineRule="auto"/>
              <w:jc w:val="right"/>
              <w:rPr>
                <w:rFonts w:ascii="Times New Roman" w:hAnsi="Times New Roman" w:cs="Times New Roman"/>
                <w:sz w:val="15"/>
                <w:szCs w:val="15"/>
              </w:rPr>
            </w:pPr>
            <w:r w:rsidRPr="004A4899">
              <w:rPr>
                <w:rFonts w:ascii="Times New Roman" w:hAnsi="Times New Roman" w:cs="Times New Roman"/>
                <w:sz w:val="15"/>
                <w:szCs w:val="15"/>
              </w:rPr>
              <w:t>35.55</w:t>
            </w:r>
          </w:p>
        </w:tc>
        <w:tc>
          <w:tcPr>
            <w:tcW w:w="368" w:type="dxa"/>
            <w:noWrap/>
            <w:vAlign w:val="center"/>
            <w:hideMark/>
          </w:tcPr>
          <w:p w14:paraId="5F1EE23D" w14:textId="77777777" w:rsidR="00126D8D" w:rsidRPr="004A4899" w:rsidRDefault="00126D8D" w:rsidP="00820288">
            <w:pPr>
              <w:spacing w:line="240" w:lineRule="auto"/>
              <w:rPr>
                <w:rFonts w:ascii="Times New Roman" w:hAnsi="Times New Roman" w:cs="Times New Roman"/>
                <w:sz w:val="15"/>
                <w:szCs w:val="15"/>
              </w:rPr>
            </w:pPr>
            <w:r w:rsidRPr="004A4899">
              <w:rPr>
                <w:rFonts w:ascii="Times New Roman" w:hAnsi="Times New Roman" w:cs="Times New Roman"/>
                <w:sz w:val="15"/>
                <w:szCs w:val="15"/>
              </w:rPr>
              <w:t>b</w:t>
            </w:r>
          </w:p>
        </w:tc>
        <w:tc>
          <w:tcPr>
            <w:tcW w:w="712" w:type="dxa"/>
            <w:noWrap/>
            <w:vAlign w:val="center"/>
            <w:hideMark/>
          </w:tcPr>
          <w:p w14:paraId="3EDA31A0" w14:textId="77777777" w:rsidR="00126D8D" w:rsidRPr="004A4899" w:rsidRDefault="00126D8D" w:rsidP="00820288">
            <w:pPr>
              <w:spacing w:line="240" w:lineRule="auto"/>
              <w:jc w:val="right"/>
              <w:rPr>
                <w:rFonts w:ascii="Times New Roman" w:hAnsi="Times New Roman" w:cs="Times New Roman"/>
                <w:sz w:val="15"/>
                <w:szCs w:val="15"/>
              </w:rPr>
            </w:pPr>
            <w:r w:rsidRPr="004A4899">
              <w:rPr>
                <w:rFonts w:ascii="Times New Roman" w:hAnsi="Times New Roman" w:cs="Times New Roman"/>
                <w:sz w:val="15"/>
                <w:szCs w:val="15"/>
              </w:rPr>
              <w:t>58.43</w:t>
            </w:r>
          </w:p>
        </w:tc>
        <w:tc>
          <w:tcPr>
            <w:tcW w:w="368" w:type="dxa"/>
            <w:noWrap/>
            <w:vAlign w:val="center"/>
            <w:hideMark/>
          </w:tcPr>
          <w:p w14:paraId="53AE9D71" w14:textId="77777777" w:rsidR="00126D8D" w:rsidRPr="004A4899" w:rsidRDefault="00126D8D" w:rsidP="00820288">
            <w:pPr>
              <w:spacing w:line="240" w:lineRule="auto"/>
              <w:rPr>
                <w:rFonts w:ascii="Times New Roman" w:hAnsi="Times New Roman" w:cs="Times New Roman"/>
                <w:sz w:val="15"/>
                <w:szCs w:val="15"/>
              </w:rPr>
            </w:pPr>
            <w:r w:rsidRPr="004A4899">
              <w:rPr>
                <w:rFonts w:ascii="Times New Roman" w:hAnsi="Times New Roman" w:cs="Times New Roman"/>
                <w:sz w:val="15"/>
                <w:szCs w:val="15"/>
              </w:rPr>
              <w:t>a</w:t>
            </w:r>
          </w:p>
        </w:tc>
        <w:tc>
          <w:tcPr>
            <w:tcW w:w="916" w:type="dxa"/>
            <w:noWrap/>
            <w:vAlign w:val="center"/>
            <w:hideMark/>
          </w:tcPr>
          <w:p w14:paraId="6CDADB7A" w14:textId="77777777" w:rsidR="00126D8D" w:rsidRPr="004A4899" w:rsidRDefault="00126D8D" w:rsidP="00820288">
            <w:pPr>
              <w:spacing w:line="240" w:lineRule="auto"/>
              <w:jc w:val="right"/>
              <w:rPr>
                <w:rFonts w:ascii="Times New Roman" w:hAnsi="Times New Roman" w:cs="Times New Roman"/>
                <w:sz w:val="15"/>
                <w:szCs w:val="15"/>
              </w:rPr>
            </w:pPr>
            <w:r w:rsidRPr="004A4899">
              <w:rPr>
                <w:rFonts w:ascii="Times New Roman" w:hAnsi="Times New Roman" w:cs="Times New Roman"/>
                <w:sz w:val="15"/>
                <w:szCs w:val="15"/>
              </w:rPr>
              <w:t>26.41</w:t>
            </w:r>
          </w:p>
        </w:tc>
        <w:tc>
          <w:tcPr>
            <w:tcW w:w="627" w:type="dxa"/>
            <w:noWrap/>
            <w:vAlign w:val="center"/>
            <w:hideMark/>
          </w:tcPr>
          <w:p w14:paraId="2322D8F3" w14:textId="77777777" w:rsidR="00126D8D" w:rsidRPr="004A4899" w:rsidRDefault="00126D8D" w:rsidP="00820288">
            <w:pPr>
              <w:spacing w:line="240" w:lineRule="auto"/>
              <w:rPr>
                <w:rFonts w:ascii="Times New Roman" w:hAnsi="Times New Roman" w:cs="Times New Roman"/>
                <w:sz w:val="15"/>
                <w:szCs w:val="15"/>
              </w:rPr>
            </w:pPr>
            <w:r w:rsidRPr="004A4899">
              <w:rPr>
                <w:rFonts w:ascii="Times New Roman" w:hAnsi="Times New Roman" w:cs="Times New Roman"/>
                <w:sz w:val="15"/>
                <w:szCs w:val="15"/>
              </w:rPr>
              <w:t>bc</w:t>
            </w:r>
          </w:p>
        </w:tc>
      </w:tr>
      <w:tr w:rsidR="00126D8D" w:rsidRPr="004A4899" w14:paraId="7B539570" w14:textId="77777777" w:rsidTr="00820288">
        <w:trPr>
          <w:trHeight w:val="144"/>
        </w:trPr>
        <w:tc>
          <w:tcPr>
            <w:tcW w:w="1916" w:type="dxa"/>
            <w:noWrap/>
            <w:vAlign w:val="center"/>
          </w:tcPr>
          <w:p w14:paraId="3F874EC0" w14:textId="77777777" w:rsidR="00126D8D" w:rsidRPr="004A4899" w:rsidRDefault="00126D8D" w:rsidP="00820288">
            <w:pPr>
              <w:spacing w:line="240" w:lineRule="auto"/>
              <w:rPr>
                <w:rFonts w:ascii="Times New Roman" w:hAnsi="Times New Roman" w:cs="Times New Roman"/>
                <w:b/>
                <w:bCs/>
                <w:sz w:val="15"/>
                <w:szCs w:val="15"/>
              </w:rPr>
            </w:pPr>
            <w:r w:rsidRPr="004A4899">
              <w:rPr>
                <w:rFonts w:ascii="Times New Roman" w:hAnsi="Times New Roman" w:cs="Times New Roman"/>
                <w:b/>
                <w:bCs/>
                <w:sz w:val="15"/>
                <w:szCs w:val="15"/>
              </w:rPr>
              <w:t>Aldehydes</w:t>
            </w:r>
          </w:p>
        </w:tc>
        <w:tc>
          <w:tcPr>
            <w:tcW w:w="758" w:type="dxa"/>
            <w:noWrap/>
            <w:vAlign w:val="center"/>
          </w:tcPr>
          <w:p w14:paraId="44E4E8DA" w14:textId="77777777" w:rsidR="00126D8D" w:rsidRPr="004A4899" w:rsidRDefault="00126D8D" w:rsidP="00820288">
            <w:pPr>
              <w:spacing w:line="240" w:lineRule="auto"/>
              <w:jc w:val="right"/>
              <w:rPr>
                <w:rFonts w:ascii="Times New Roman" w:hAnsi="Times New Roman" w:cs="Times New Roman"/>
                <w:sz w:val="15"/>
                <w:szCs w:val="15"/>
              </w:rPr>
            </w:pPr>
          </w:p>
        </w:tc>
        <w:tc>
          <w:tcPr>
            <w:tcW w:w="366" w:type="dxa"/>
            <w:noWrap/>
            <w:vAlign w:val="center"/>
          </w:tcPr>
          <w:p w14:paraId="1CC5C984" w14:textId="77777777" w:rsidR="00126D8D" w:rsidRPr="004A4899" w:rsidRDefault="00126D8D" w:rsidP="00820288">
            <w:pPr>
              <w:spacing w:line="240" w:lineRule="auto"/>
              <w:rPr>
                <w:rFonts w:ascii="Times New Roman" w:hAnsi="Times New Roman" w:cs="Times New Roman"/>
                <w:sz w:val="15"/>
                <w:szCs w:val="15"/>
              </w:rPr>
            </w:pPr>
          </w:p>
        </w:tc>
        <w:tc>
          <w:tcPr>
            <w:tcW w:w="712" w:type="dxa"/>
            <w:noWrap/>
            <w:vAlign w:val="center"/>
          </w:tcPr>
          <w:p w14:paraId="6AD08A04" w14:textId="77777777" w:rsidR="00126D8D" w:rsidRPr="004A4899" w:rsidRDefault="00126D8D" w:rsidP="00820288">
            <w:pPr>
              <w:spacing w:line="240" w:lineRule="auto"/>
              <w:jc w:val="right"/>
              <w:rPr>
                <w:rFonts w:ascii="Times New Roman" w:hAnsi="Times New Roman" w:cs="Times New Roman"/>
                <w:sz w:val="15"/>
                <w:szCs w:val="15"/>
              </w:rPr>
            </w:pPr>
          </w:p>
        </w:tc>
        <w:tc>
          <w:tcPr>
            <w:tcW w:w="368" w:type="dxa"/>
            <w:noWrap/>
            <w:vAlign w:val="center"/>
          </w:tcPr>
          <w:p w14:paraId="5D4BBD14" w14:textId="77777777" w:rsidR="00126D8D" w:rsidRPr="004A4899" w:rsidRDefault="00126D8D" w:rsidP="00820288">
            <w:pPr>
              <w:spacing w:line="240" w:lineRule="auto"/>
              <w:rPr>
                <w:rFonts w:ascii="Times New Roman" w:hAnsi="Times New Roman" w:cs="Times New Roman"/>
                <w:sz w:val="15"/>
                <w:szCs w:val="15"/>
              </w:rPr>
            </w:pPr>
          </w:p>
        </w:tc>
        <w:tc>
          <w:tcPr>
            <w:tcW w:w="712" w:type="dxa"/>
            <w:noWrap/>
            <w:vAlign w:val="center"/>
          </w:tcPr>
          <w:p w14:paraId="3DA18B65" w14:textId="77777777" w:rsidR="00126D8D" w:rsidRPr="004A4899" w:rsidRDefault="00126D8D" w:rsidP="00820288">
            <w:pPr>
              <w:spacing w:line="240" w:lineRule="auto"/>
              <w:jc w:val="right"/>
              <w:rPr>
                <w:rFonts w:ascii="Times New Roman" w:hAnsi="Times New Roman" w:cs="Times New Roman"/>
                <w:sz w:val="15"/>
                <w:szCs w:val="15"/>
              </w:rPr>
            </w:pPr>
          </w:p>
        </w:tc>
        <w:tc>
          <w:tcPr>
            <w:tcW w:w="368" w:type="dxa"/>
            <w:noWrap/>
            <w:vAlign w:val="center"/>
          </w:tcPr>
          <w:p w14:paraId="796D8771" w14:textId="77777777" w:rsidR="00126D8D" w:rsidRPr="004A4899" w:rsidRDefault="00126D8D" w:rsidP="00820288">
            <w:pPr>
              <w:spacing w:line="240" w:lineRule="auto"/>
              <w:rPr>
                <w:rFonts w:ascii="Times New Roman" w:hAnsi="Times New Roman" w:cs="Times New Roman"/>
                <w:sz w:val="15"/>
                <w:szCs w:val="15"/>
              </w:rPr>
            </w:pPr>
          </w:p>
        </w:tc>
        <w:tc>
          <w:tcPr>
            <w:tcW w:w="916" w:type="dxa"/>
            <w:noWrap/>
            <w:vAlign w:val="center"/>
          </w:tcPr>
          <w:p w14:paraId="79F1ED83" w14:textId="77777777" w:rsidR="00126D8D" w:rsidRPr="004A4899" w:rsidRDefault="00126D8D" w:rsidP="00820288">
            <w:pPr>
              <w:spacing w:line="240" w:lineRule="auto"/>
              <w:jc w:val="right"/>
              <w:rPr>
                <w:rFonts w:ascii="Times New Roman" w:hAnsi="Times New Roman" w:cs="Times New Roman"/>
                <w:sz w:val="15"/>
                <w:szCs w:val="15"/>
              </w:rPr>
            </w:pPr>
          </w:p>
        </w:tc>
        <w:tc>
          <w:tcPr>
            <w:tcW w:w="627" w:type="dxa"/>
            <w:noWrap/>
            <w:vAlign w:val="center"/>
          </w:tcPr>
          <w:p w14:paraId="5131B758" w14:textId="77777777" w:rsidR="00126D8D" w:rsidRPr="004A4899" w:rsidRDefault="00126D8D" w:rsidP="00820288">
            <w:pPr>
              <w:spacing w:line="240" w:lineRule="auto"/>
              <w:rPr>
                <w:rFonts w:ascii="Times New Roman" w:hAnsi="Times New Roman" w:cs="Times New Roman"/>
                <w:sz w:val="15"/>
                <w:szCs w:val="15"/>
              </w:rPr>
            </w:pPr>
          </w:p>
        </w:tc>
      </w:tr>
      <w:tr w:rsidR="00126D8D" w:rsidRPr="004A4899" w14:paraId="0EB0C04F" w14:textId="77777777" w:rsidTr="00820288">
        <w:trPr>
          <w:trHeight w:val="144"/>
        </w:trPr>
        <w:tc>
          <w:tcPr>
            <w:tcW w:w="1916" w:type="dxa"/>
            <w:noWrap/>
            <w:vAlign w:val="center"/>
            <w:hideMark/>
          </w:tcPr>
          <w:p w14:paraId="5098EE29" w14:textId="77777777" w:rsidR="00126D8D" w:rsidRPr="004A4899" w:rsidRDefault="00126D8D" w:rsidP="00820288">
            <w:pPr>
              <w:spacing w:line="240" w:lineRule="auto"/>
              <w:rPr>
                <w:rFonts w:ascii="Times New Roman" w:hAnsi="Times New Roman" w:cs="Times New Roman"/>
                <w:sz w:val="15"/>
                <w:szCs w:val="15"/>
              </w:rPr>
            </w:pPr>
            <w:r w:rsidRPr="004A4899">
              <w:rPr>
                <w:rFonts w:ascii="Times New Roman" w:hAnsi="Times New Roman" w:cs="Times New Roman"/>
                <w:sz w:val="15"/>
                <w:szCs w:val="15"/>
              </w:rPr>
              <w:t>2-Ethyl-2-butenal</w:t>
            </w:r>
          </w:p>
        </w:tc>
        <w:tc>
          <w:tcPr>
            <w:tcW w:w="758" w:type="dxa"/>
            <w:noWrap/>
            <w:vAlign w:val="center"/>
            <w:hideMark/>
          </w:tcPr>
          <w:p w14:paraId="15F57A22" w14:textId="77777777" w:rsidR="00126D8D" w:rsidRPr="004A4899" w:rsidRDefault="00126D8D" w:rsidP="00820288">
            <w:pPr>
              <w:spacing w:line="240" w:lineRule="auto"/>
              <w:jc w:val="right"/>
              <w:rPr>
                <w:rFonts w:ascii="Times New Roman" w:hAnsi="Times New Roman" w:cs="Times New Roman"/>
                <w:sz w:val="15"/>
                <w:szCs w:val="15"/>
              </w:rPr>
            </w:pPr>
            <w:r w:rsidRPr="004A4899">
              <w:rPr>
                <w:rFonts w:ascii="Times New Roman" w:hAnsi="Times New Roman" w:cs="Times New Roman"/>
                <w:sz w:val="15"/>
                <w:szCs w:val="15"/>
              </w:rPr>
              <w:t>0.87</w:t>
            </w:r>
          </w:p>
        </w:tc>
        <w:tc>
          <w:tcPr>
            <w:tcW w:w="366" w:type="dxa"/>
            <w:noWrap/>
            <w:vAlign w:val="center"/>
            <w:hideMark/>
          </w:tcPr>
          <w:p w14:paraId="055B18A9" w14:textId="77777777" w:rsidR="00126D8D" w:rsidRPr="004A4899" w:rsidRDefault="00126D8D" w:rsidP="00820288">
            <w:pPr>
              <w:spacing w:line="240" w:lineRule="auto"/>
              <w:rPr>
                <w:rFonts w:ascii="Times New Roman" w:hAnsi="Times New Roman" w:cs="Times New Roman"/>
                <w:sz w:val="15"/>
                <w:szCs w:val="15"/>
              </w:rPr>
            </w:pPr>
            <w:r w:rsidRPr="004A4899">
              <w:rPr>
                <w:rFonts w:ascii="Times New Roman" w:hAnsi="Times New Roman" w:cs="Times New Roman"/>
                <w:sz w:val="15"/>
                <w:szCs w:val="15"/>
              </w:rPr>
              <w:t>c</w:t>
            </w:r>
          </w:p>
        </w:tc>
        <w:tc>
          <w:tcPr>
            <w:tcW w:w="712" w:type="dxa"/>
            <w:noWrap/>
            <w:vAlign w:val="center"/>
            <w:hideMark/>
          </w:tcPr>
          <w:p w14:paraId="12CDC89D" w14:textId="77777777" w:rsidR="00126D8D" w:rsidRPr="004A4899" w:rsidRDefault="00126D8D" w:rsidP="00820288">
            <w:pPr>
              <w:spacing w:line="240" w:lineRule="auto"/>
              <w:jc w:val="right"/>
              <w:rPr>
                <w:rFonts w:ascii="Times New Roman" w:hAnsi="Times New Roman" w:cs="Times New Roman"/>
                <w:sz w:val="15"/>
                <w:szCs w:val="15"/>
              </w:rPr>
            </w:pPr>
            <w:r w:rsidRPr="004A4899">
              <w:rPr>
                <w:rFonts w:ascii="Times New Roman" w:hAnsi="Times New Roman" w:cs="Times New Roman"/>
                <w:sz w:val="15"/>
                <w:szCs w:val="15"/>
              </w:rPr>
              <w:t>1.11</w:t>
            </w:r>
          </w:p>
        </w:tc>
        <w:tc>
          <w:tcPr>
            <w:tcW w:w="368" w:type="dxa"/>
            <w:noWrap/>
            <w:vAlign w:val="center"/>
            <w:hideMark/>
          </w:tcPr>
          <w:p w14:paraId="7B95F1DE" w14:textId="77777777" w:rsidR="00126D8D" w:rsidRPr="004A4899" w:rsidRDefault="00126D8D" w:rsidP="00820288">
            <w:pPr>
              <w:spacing w:line="240" w:lineRule="auto"/>
              <w:rPr>
                <w:rFonts w:ascii="Times New Roman" w:hAnsi="Times New Roman" w:cs="Times New Roman"/>
                <w:sz w:val="15"/>
                <w:szCs w:val="15"/>
              </w:rPr>
            </w:pPr>
            <w:r w:rsidRPr="004A4899">
              <w:rPr>
                <w:rFonts w:ascii="Times New Roman" w:hAnsi="Times New Roman" w:cs="Times New Roman"/>
                <w:sz w:val="15"/>
                <w:szCs w:val="15"/>
              </w:rPr>
              <w:t>bc</w:t>
            </w:r>
          </w:p>
        </w:tc>
        <w:tc>
          <w:tcPr>
            <w:tcW w:w="712" w:type="dxa"/>
            <w:noWrap/>
            <w:vAlign w:val="center"/>
            <w:hideMark/>
          </w:tcPr>
          <w:p w14:paraId="426CD2C0" w14:textId="77777777" w:rsidR="00126D8D" w:rsidRPr="004A4899" w:rsidRDefault="00126D8D" w:rsidP="00820288">
            <w:pPr>
              <w:spacing w:line="240" w:lineRule="auto"/>
              <w:jc w:val="right"/>
              <w:rPr>
                <w:rFonts w:ascii="Times New Roman" w:hAnsi="Times New Roman" w:cs="Times New Roman"/>
                <w:sz w:val="15"/>
                <w:szCs w:val="15"/>
              </w:rPr>
            </w:pPr>
            <w:r w:rsidRPr="004A4899">
              <w:rPr>
                <w:rFonts w:ascii="Times New Roman" w:hAnsi="Times New Roman" w:cs="Times New Roman"/>
                <w:sz w:val="15"/>
                <w:szCs w:val="15"/>
              </w:rPr>
              <w:t>1.37</w:t>
            </w:r>
          </w:p>
        </w:tc>
        <w:tc>
          <w:tcPr>
            <w:tcW w:w="368" w:type="dxa"/>
            <w:noWrap/>
            <w:vAlign w:val="center"/>
            <w:hideMark/>
          </w:tcPr>
          <w:p w14:paraId="63DDE863" w14:textId="77777777" w:rsidR="00126D8D" w:rsidRPr="004A4899" w:rsidRDefault="00126D8D" w:rsidP="00820288">
            <w:pPr>
              <w:spacing w:line="240" w:lineRule="auto"/>
              <w:rPr>
                <w:rFonts w:ascii="Times New Roman" w:hAnsi="Times New Roman" w:cs="Times New Roman"/>
                <w:sz w:val="15"/>
                <w:szCs w:val="15"/>
              </w:rPr>
            </w:pPr>
            <w:r w:rsidRPr="004A4899">
              <w:rPr>
                <w:rFonts w:ascii="Times New Roman" w:hAnsi="Times New Roman" w:cs="Times New Roman"/>
                <w:sz w:val="15"/>
                <w:szCs w:val="15"/>
              </w:rPr>
              <w:t>bc</w:t>
            </w:r>
          </w:p>
        </w:tc>
        <w:tc>
          <w:tcPr>
            <w:tcW w:w="916" w:type="dxa"/>
            <w:noWrap/>
            <w:vAlign w:val="center"/>
            <w:hideMark/>
          </w:tcPr>
          <w:p w14:paraId="53291998" w14:textId="77777777" w:rsidR="00126D8D" w:rsidRPr="004A4899" w:rsidRDefault="00126D8D" w:rsidP="00820288">
            <w:pPr>
              <w:spacing w:line="240" w:lineRule="auto"/>
              <w:jc w:val="right"/>
              <w:rPr>
                <w:rFonts w:ascii="Times New Roman" w:hAnsi="Times New Roman" w:cs="Times New Roman"/>
                <w:sz w:val="15"/>
                <w:szCs w:val="15"/>
              </w:rPr>
            </w:pPr>
            <w:r w:rsidRPr="004A4899">
              <w:rPr>
                <w:rFonts w:ascii="Times New Roman" w:hAnsi="Times New Roman" w:cs="Times New Roman"/>
                <w:sz w:val="15"/>
                <w:szCs w:val="15"/>
              </w:rPr>
              <w:t>2.32</w:t>
            </w:r>
          </w:p>
        </w:tc>
        <w:tc>
          <w:tcPr>
            <w:tcW w:w="627" w:type="dxa"/>
            <w:noWrap/>
            <w:vAlign w:val="center"/>
            <w:hideMark/>
          </w:tcPr>
          <w:p w14:paraId="6AC7D12E" w14:textId="77777777" w:rsidR="00126D8D" w:rsidRPr="004A4899" w:rsidRDefault="00126D8D" w:rsidP="00820288">
            <w:pPr>
              <w:spacing w:line="240" w:lineRule="auto"/>
              <w:rPr>
                <w:rFonts w:ascii="Times New Roman" w:hAnsi="Times New Roman" w:cs="Times New Roman"/>
                <w:sz w:val="15"/>
                <w:szCs w:val="15"/>
              </w:rPr>
            </w:pPr>
            <w:r w:rsidRPr="004A4899">
              <w:rPr>
                <w:rFonts w:ascii="Times New Roman" w:hAnsi="Times New Roman" w:cs="Times New Roman"/>
                <w:sz w:val="15"/>
                <w:szCs w:val="15"/>
              </w:rPr>
              <w:t>a</w:t>
            </w:r>
          </w:p>
        </w:tc>
      </w:tr>
      <w:tr w:rsidR="00126D8D" w:rsidRPr="004A4899" w14:paraId="2DD06DC7" w14:textId="77777777" w:rsidTr="00820288">
        <w:trPr>
          <w:trHeight w:val="144"/>
        </w:trPr>
        <w:tc>
          <w:tcPr>
            <w:tcW w:w="1916" w:type="dxa"/>
            <w:noWrap/>
            <w:vAlign w:val="center"/>
            <w:hideMark/>
          </w:tcPr>
          <w:p w14:paraId="2DCE4E13" w14:textId="77777777" w:rsidR="00126D8D" w:rsidRPr="004A4899" w:rsidRDefault="00126D8D" w:rsidP="00820288">
            <w:pPr>
              <w:spacing w:line="240" w:lineRule="auto"/>
              <w:rPr>
                <w:rFonts w:ascii="Times New Roman" w:hAnsi="Times New Roman" w:cs="Times New Roman"/>
                <w:sz w:val="15"/>
                <w:szCs w:val="15"/>
              </w:rPr>
            </w:pPr>
            <w:r w:rsidRPr="004A4899">
              <w:rPr>
                <w:rFonts w:ascii="Times New Roman" w:hAnsi="Times New Roman" w:cs="Times New Roman"/>
                <w:sz w:val="15"/>
                <w:szCs w:val="15"/>
              </w:rPr>
              <w:t>2-Hexenal</w:t>
            </w:r>
          </w:p>
        </w:tc>
        <w:tc>
          <w:tcPr>
            <w:tcW w:w="758" w:type="dxa"/>
            <w:noWrap/>
            <w:vAlign w:val="center"/>
            <w:hideMark/>
          </w:tcPr>
          <w:p w14:paraId="5E95EB4B" w14:textId="77777777" w:rsidR="00126D8D" w:rsidRPr="004A4899" w:rsidRDefault="00126D8D" w:rsidP="00820288">
            <w:pPr>
              <w:spacing w:line="240" w:lineRule="auto"/>
              <w:jc w:val="right"/>
              <w:rPr>
                <w:rFonts w:ascii="Times New Roman" w:hAnsi="Times New Roman" w:cs="Times New Roman"/>
                <w:sz w:val="15"/>
                <w:szCs w:val="15"/>
              </w:rPr>
            </w:pPr>
            <w:r w:rsidRPr="004A4899">
              <w:rPr>
                <w:rFonts w:ascii="Times New Roman" w:hAnsi="Times New Roman" w:cs="Times New Roman"/>
                <w:sz w:val="15"/>
                <w:szCs w:val="15"/>
              </w:rPr>
              <w:t>3.39</w:t>
            </w:r>
          </w:p>
        </w:tc>
        <w:tc>
          <w:tcPr>
            <w:tcW w:w="366" w:type="dxa"/>
            <w:noWrap/>
            <w:vAlign w:val="center"/>
            <w:hideMark/>
          </w:tcPr>
          <w:p w14:paraId="38708585" w14:textId="77777777" w:rsidR="00126D8D" w:rsidRPr="004A4899" w:rsidRDefault="00126D8D" w:rsidP="00820288">
            <w:pPr>
              <w:spacing w:line="240" w:lineRule="auto"/>
              <w:rPr>
                <w:rFonts w:ascii="Times New Roman" w:hAnsi="Times New Roman" w:cs="Times New Roman"/>
                <w:sz w:val="15"/>
                <w:szCs w:val="15"/>
              </w:rPr>
            </w:pPr>
            <w:r w:rsidRPr="004A4899">
              <w:rPr>
                <w:rFonts w:ascii="Times New Roman" w:hAnsi="Times New Roman" w:cs="Times New Roman"/>
                <w:sz w:val="15"/>
                <w:szCs w:val="15"/>
              </w:rPr>
              <w:t>c</w:t>
            </w:r>
          </w:p>
        </w:tc>
        <w:tc>
          <w:tcPr>
            <w:tcW w:w="712" w:type="dxa"/>
            <w:noWrap/>
            <w:vAlign w:val="center"/>
            <w:hideMark/>
          </w:tcPr>
          <w:p w14:paraId="4FBF2106" w14:textId="77777777" w:rsidR="00126D8D" w:rsidRPr="004A4899" w:rsidRDefault="00126D8D" w:rsidP="00820288">
            <w:pPr>
              <w:spacing w:line="240" w:lineRule="auto"/>
              <w:jc w:val="right"/>
              <w:rPr>
                <w:rFonts w:ascii="Times New Roman" w:hAnsi="Times New Roman" w:cs="Times New Roman"/>
                <w:sz w:val="15"/>
                <w:szCs w:val="15"/>
              </w:rPr>
            </w:pPr>
            <w:r w:rsidRPr="004A4899">
              <w:rPr>
                <w:rFonts w:ascii="Times New Roman" w:hAnsi="Times New Roman" w:cs="Times New Roman"/>
                <w:sz w:val="15"/>
                <w:szCs w:val="15"/>
              </w:rPr>
              <w:t>4.43</w:t>
            </w:r>
          </w:p>
        </w:tc>
        <w:tc>
          <w:tcPr>
            <w:tcW w:w="368" w:type="dxa"/>
            <w:noWrap/>
            <w:vAlign w:val="center"/>
            <w:hideMark/>
          </w:tcPr>
          <w:p w14:paraId="7262B79F" w14:textId="77777777" w:rsidR="00126D8D" w:rsidRPr="004A4899" w:rsidRDefault="00126D8D" w:rsidP="00820288">
            <w:pPr>
              <w:spacing w:line="240" w:lineRule="auto"/>
              <w:rPr>
                <w:rFonts w:ascii="Times New Roman" w:hAnsi="Times New Roman" w:cs="Times New Roman"/>
                <w:sz w:val="15"/>
                <w:szCs w:val="15"/>
              </w:rPr>
            </w:pPr>
            <w:r w:rsidRPr="004A4899">
              <w:rPr>
                <w:rFonts w:ascii="Times New Roman" w:hAnsi="Times New Roman" w:cs="Times New Roman"/>
                <w:sz w:val="15"/>
                <w:szCs w:val="15"/>
              </w:rPr>
              <w:t>bc</w:t>
            </w:r>
          </w:p>
        </w:tc>
        <w:tc>
          <w:tcPr>
            <w:tcW w:w="712" w:type="dxa"/>
            <w:noWrap/>
            <w:vAlign w:val="center"/>
            <w:hideMark/>
          </w:tcPr>
          <w:p w14:paraId="502B43CD" w14:textId="77777777" w:rsidR="00126D8D" w:rsidRPr="004A4899" w:rsidRDefault="00126D8D" w:rsidP="00820288">
            <w:pPr>
              <w:spacing w:line="240" w:lineRule="auto"/>
              <w:jc w:val="right"/>
              <w:rPr>
                <w:rFonts w:ascii="Times New Roman" w:hAnsi="Times New Roman" w:cs="Times New Roman"/>
                <w:sz w:val="15"/>
                <w:szCs w:val="15"/>
              </w:rPr>
            </w:pPr>
            <w:r w:rsidRPr="004A4899">
              <w:rPr>
                <w:rFonts w:ascii="Times New Roman" w:hAnsi="Times New Roman" w:cs="Times New Roman"/>
                <w:sz w:val="15"/>
                <w:szCs w:val="15"/>
              </w:rPr>
              <w:t>5.39</w:t>
            </w:r>
          </w:p>
        </w:tc>
        <w:tc>
          <w:tcPr>
            <w:tcW w:w="368" w:type="dxa"/>
            <w:noWrap/>
            <w:vAlign w:val="center"/>
            <w:hideMark/>
          </w:tcPr>
          <w:p w14:paraId="26D4DED3" w14:textId="77777777" w:rsidR="00126D8D" w:rsidRPr="004A4899" w:rsidRDefault="00126D8D" w:rsidP="00820288">
            <w:pPr>
              <w:spacing w:line="240" w:lineRule="auto"/>
              <w:rPr>
                <w:rFonts w:ascii="Times New Roman" w:hAnsi="Times New Roman" w:cs="Times New Roman"/>
                <w:sz w:val="15"/>
                <w:szCs w:val="15"/>
              </w:rPr>
            </w:pPr>
            <w:r w:rsidRPr="004A4899">
              <w:rPr>
                <w:rFonts w:ascii="Times New Roman" w:hAnsi="Times New Roman" w:cs="Times New Roman"/>
                <w:sz w:val="15"/>
                <w:szCs w:val="15"/>
              </w:rPr>
              <w:t>b</w:t>
            </w:r>
          </w:p>
        </w:tc>
        <w:tc>
          <w:tcPr>
            <w:tcW w:w="916" w:type="dxa"/>
            <w:noWrap/>
            <w:vAlign w:val="center"/>
            <w:hideMark/>
          </w:tcPr>
          <w:p w14:paraId="4F7505D7" w14:textId="77777777" w:rsidR="00126D8D" w:rsidRPr="004A4899" w:rsidRDefault="00126D8D" w:rsidP="00820288">
            <w:pPr>
              <w:spacing w:line="240" w:lineRule="auto"/>
              <w:jc w:val="right"/>
              <w:rPr>
                <w:rFonts w:ascii="Times New Roman" w:hAnsi="Times New Roman" w:cs="Times New Roman"/>
                <w:sz w:val="15"/>
                <w:szCs w:val="15"/>
              </w:rPr>
            </w:pPr>
            <w:r w:rsidRPr="004A4899">
              <w:rPr>
                <w:rFonts w:ascii="Times New Roman" w:hAnsi="Times New Roman" w:cs="Times New Roman"/>
                <w:sz w:val="15"/>
                <w:szCs w:val="15"/>
              </w:rPr>
              <w:t>9.69</w:t>
            </w:r>
          </w:p>
        </w:tc>
        <w:tc>
          <w:tcPr>
            <w:tcW w:w="627" w:type="dxa"/>
            <w:noWrap/>
            <w:vAlign w:val="center"/>
            <w:hideMark/>
          </w:tcPr>
          <w:p w14:paraId="576DE3FE" w14:textId="77777777" w:rsidR="00126D8D" w:rsidRPr="004A4899" w:rsidRDefault="00126D8D" w:rsidP="00820288">
            <w:pPr>
              <w:spacing w:line="240" w:lineRule="auto"/>
              <w:rPr>
                <w:rFonts w:ascii="Times New Roman" w:hAnsi="Times New Roman" w:cs="Times New Roman"/>
                <w:sz w:val="15"/>
                <w:szCs w:val="15"/>
              </w:rPr>
            </w:pPr>
            <w:r w:rsidRPr="004A4899">
              <w:rPr>
                <w:rFonts w:ascii="Times New Roman" w:hAnsi="Times New Roman" w:cs="Times New Roman"/>
                <w:sz w:val="15"/>
                <w:szCs w:val="15"/>
              </w:rPr>
              <w:t>a</w:t>
            </w:r>
          </w:p>
        </w:tc>
      </w:tr>
      <w:tr w:rsidR="00126D8D" w:rsidRPr="004A4899" w14:paraId="36C87934" w14:textId="77777777" w:rsidTr="00820288">
        <w:trPr>
          <w:trHeight w:val="144"/>
        </w:trPr>
        <w:tc>
          <w:tcPr>
            <w:tcW w:w="1916" w:type="dxa"/>
            <w:noWrap/>
            <w:vAlign w:val="center"/>
            <w:hideMark/>
          </w:tcPr>
          <w:p w14:paraId="3010315A" w14:textId="77777777" w:rsidR="00126D8D" w:rsidRPr="004A4899" w:rsidRDefault="00126D8D" w:rsidP="00820288">
            <w:pPr>
              <w:spacing w:line="240" w:lineRule="auto"/>
              <w:rPr>
                <w:rFonts w:ascii="Times New Roman" w:hAnsi="Times New Roman" w:cs="Times New Roman"/>
                <w:sz w:val="15"/>
                <w:szCs w:val="15"/>
              </w:rPr>
            </w:pPr>
            <w:r w:rsidRPr="004A4899">
              <w:rPr>
                <w:rFonts w:ascii="Times New Roman" w:hAnsi="Times New Roman" w:cs="Times New Roman"/>
                <w:sz w:val="15"/>
                <w:szCs w:val="15"/>
              </w:rPr>
              <w:t>Nonanal</w:t>
            </w:r>
          </w:p>
        </w:tc>
        <w:tc>
          <w:tcPr>
            <w:tcW w:w="758" w:type="dxa"/>
            <w:noWrap/>
            <w:vAlign w:val="center"/>
            <w:hideMark/>
          </w:tcPr>
          <w:p w14:paraId="78421D2A" w14:textId="77777777" w:rsidR="00126D8D" w:rsidRPr="004A4899" w:rsidRDefault="00126D8D" w:rsidP="00820288">
            <w:pPr>
              <w:spacing w:line="240" w:lineRule="auto"/>
              <w:jc w:val="right"/>
              <w:rPr>
                <w:rFonts w:ascii="Times New Roman" w:hAnsi="Times New Roman" w:cs="Times New Roman"/>
                <w:sz w:val="15"/>
                <w:szCs w:val="15"/>
              </w:rPr>
            </w:pPr>
            <w:r w:rsidRPr="004A4899">
              <w:rPr>
                <w:rFonts w:ascii="Times New Roman" w:hAnsi="Times New Roman" w:cs="Times New Roman"/>
                <w:sz w:val="15"/>
                <w:szCs w:val="15"/>
              </w:rPr>
              <w:t>10.05</w:t>
            </w:r>
          </w:p>
        </w:tc>
        <w:tc>
          <w:tcPr>
            <w:tcW w:w="366" w:type="dxa"/>
            <w:noWrap/>
            <w:vAlign w:val="center"/>
            <w:hideMark/>
          </w:tcPr>
          <w:p w14:paraId="1B65BB70" w14:textId="77777777" w:rsidR="00126D8D" w:rsidRPr="004A4899" w:rsidRDefault="00126D8D" w:rsidP="00820288">
            <w:pPr>
              <w:spacing w:line="240" w:lineRule="auto"/>
              <w:rPr>
                <w:rFonts w:ascii="Times New Roman" w:hAnsi="Times New Roman" w:cs="Times New Roman"/>
                <w:sz w:val="15"/>
                <w:szCs w:val="15"/>
              </w:rPr>
            </w:pPr>
            <w:r w:rsidRPr="004A4899">
              <w:rPr>
                <w:rFonts w:ascii="Times New Roman" w:hAnsi="Times New Roman" w:cs="Times New Roman"/>
                <w:sz w:val="15"/>
                <w:szCs w:val="15"/>
              </w:rPr>
              <w:t>c</w:t>
            </w:r>
          </w:p>
        </w:tc>
        <w:tc>
          <w:tcPr>
            <w:tcW w:w="712" w:type="dxa"/>
            <w:noWrap/>
            <w:vAlign w:val="center"/>
            <w:hideMark/>
          </w:tcPr>
          <w:p w14:paraId="28D46FCF" w14:textId="77777777" w:rsidR="00126D8D" w:rsidRPr="004A4899" w:rsidRDefault="00126D8D" w:rsidP="00820288">
            <w:pPr>
              <w:spacing w:line="240" w:lineRule="auto"/>
              <w:jc w:val="right"/>
              <w:rPr>
                <w:rFonts w:ascii="Times New Roman" w:hAnsi="Times New Roman" w:cs="Times New Roman"/>
                <w:sz w:val="15"/>
                <w:szCs w:val="15"/>
              </w:rPr>
            </w:pPr>
            <w:r w:rsidRPr="004A4899">
              <w:rPr>
                <w:rFonts w:ascii="Times New Roman" w:hAnsi="Times New Roman" w:cs="Times New Roman"/>
                <w:sz w:val="15"/>
                <w:szCs w:val="15"/>
              </w:rPr>
              <w:t>20.82</w:t>
            </w:r>
          </w:p>
        </w:tc>
        <w:tc>
          <w:tcPr>
            <w:tcW w:w="368" w:type="dxa"/>
            <w:noWrap/>
            <w:vAlign w:val="center"/>
            <w:hideMark/>
          </w:tcPr>
          <w:p w14:paraId="78D233E9" w14:textId="77777777" w:rsidR="00126D8D" w:rsidRPr="004A4899" w:rsidRDefault="00126D8D" w:rsidP="00820288">
            <w:pPr>
              <w:spacing w:line="240" w:lineRule="auto"/>
              <w:rPr>
                <w:rFonts w:ascii="Times New Roman" w:hAnsi="Times New Roman" w:cs="Times New Roman"/>
                <w:sz w:val="15"/>
                <w:szCs w:val="15"/>
              </w:rPr>
            </w:pPr>
            <w:r w:rsidRPr="004A4899">
              <w:rPr>
                <w:rFonts w:ascii="Times New Roman" w:hAnsi="Times New Roman" w:cs="Times New Roman"/>
                <w:sz w:val="15"/>
                <w:szCs w:val="15"/>
              </w:rPr>
              <w:t>b</w:t>
            </w:r>
          </w:p>
        </w:tc>
        <w:tc>
          <w:tcPr>
            <w:tcW w:w="712" w:type="dxa"/>
            <w:noWrap/>
            <w:vAlign w:val="center"/>
            <w:hideMark/>
          </w:tcPr>
          <w:p w14:paraId="331E5813" w14:textId="77777777" w:rsidR="00126D8D" w:rsidRPr="004A4899" w:rsidRDefault="00126D8D" w:rsidP="00820288">
            <w:pPr>
              <w:spacing w:line="240" w:lineRule="auto"/>
              <w:jc w:val="right"/>
              <w:rPr>
                <w:rFonts w:ascii="Times New Roman" w:hAnsi="Times New Roman" w:cs="Times New Roman"/>
                <w:sz w:val="15"/>
                <w:szCs w:val="15"/>
              </w:rPr>
            </w:pPr>
            <w:r w:rsidRPr="004A4899">
              <w:rPr>
                <w:rFonts w:ascii="Times New Roman" w:hAnsi="Times New Roman" w:cs="Times New Roman"/>
                <w:sz w:val="15"/>
                <w:szCs w:val="15"/>
              </w:rPr>
              <w:t>37.32</w:t>
            </w:r>
          </w:p>
        </w:tc>
        <w:tc>
          <w:tcPr>
            <w:tcW w:w="368" w:type="dxa"/>
            <w:noWrap/>
            <w:vAlign w:val="center"/>
            <w:hideMark/>
          </w:tcPr>
          <w:p w14:paraId="2E259011" w14:textId="77777777" w:rsidR="00126D8D" w:rsidRPr="004A4899" w:rsidRDefault="00126D8D" w:rsidP="00820288">
            <w:pPr>
              <w:spacing w:line="240" w:lineRule="auto"/>
              <w:rPr>
                <w:rFonts w:ascii="Times New Roman" w:hAnsi="Times New Roman" w:cs="Times New Roman"/>
                <w:sz w:val="15"/>
                <w:szCs w:val="15"/>
              </w:rPr>
            </w:pPr>
            <w:r w:rsidRPr="004A4899">
              <w:rPr>
                <w:rFonts w:ascii="Times New Roman" w:hAnsi="Times New Roman" w:cs="Times New Roman"/>
                <w:sz w:val="15"/>
                <w:szCs w:val="15"/>
              </w:rPr>
              <w:t>a</w:t>
            </w:r>
          </w:p>
        </w:tc>
        <w:tc>
          <w:tcPr>
            <w:tcW w:w="916" w:type="dxa"/>
            <w:noWrap/>
            <w:vAlign w:val="center"/>
            <w:hideMark/>
          </w:tcPr>
          <w:p w14:paraId="7214BABC" w14:textId="77777777" w:rsidR="00126D8D" w:rsidRPr="004A4899" w:rsidRDefault="00126D8D" w:rsidP="00820288">
            <w:pPr>
              <w:spacing w:line="240" w:lineRule="auto"/>
              <w:jc w:val="right"/>
              <w:rPr>
                <w:rFonts w:ascii="Times New Roman" w:hAnsi="Times New Roman" w:cs="Times New Roman"/>
                <w:sz w:val="15"/>
                <w:szCs w:val="15"/>
              </w:rPr>
            </w:pPr>
            <w:r w:rsidRPr="004A4899">
              <w:rPr>
                <w:rFonts w:ascii="Times New Roman" w:hAnsi="Times New Roman" w:cs="Times New Roman"/>
                <w:sz w:val="15"/>
                <w:szCs w:val="15"/>
              </w:rPr>
              <w:t>5.26</w:t>
            </w:r>
          </w:p>
        </w:tc>
        <w:tc>
          <w:tcPr>
            <w:tcW w:w="627" w:type="dxa"/>
            <w:noWrap/>
            <w:vAlign w:val="center"/>
            <w:hideMark/>
          </w:tcPr>
          <w:p w14:paraId="204CA0FB" w14:textId="77777777" w:rsidR="00126D8D" w:rsidRPr="004A4899" w:rsidRDefault="00126D8D" w:rsidP="00820288">
            <w:pPr>
              <w:spacing w:line="240" w:lineRule="auto"/>
              <w:rPr>
                <w:rFonts w:ascii="Times New Roman" w:hAnsi="Times New Roman" w:cs="Times New Roman"/>
                <w:sz w:val="15"/>
                <w:szCs w:val="15"/>
              </w:rPr>
            </w:pPr>
            <w:r w:rsidRPr="004A4899">
              <w:rPr>
                <w:rFonts w:ascii="Times New Roman" w:hAnsi="Times New Roman" w:cs="Times New Roman"/>
                <w:sz w:val="15"/>
                <w:szCs w:val="15"/>
              </w:rPr>
              <w:t>d</w:t>
            </w:r>
          </w:p>
        </w:tc>
      </w:tr>
      <w:tr w:rsidR="00126D8D" w:rsidRPr="004A4899" w14:paraId="2814D734" w14:textId="77777777" w:rsidTr="00820288">
        <w:trPr>
          <w:trHeight w:val="144"/>
        </w:trPr>
        <w:tc>
          <w:tcPr>
            <w:tcW w:w="1916" w:type="dxa"/>
            <w:noWrap/>
            <w:vAlign w:val="center"/>
            <w:hideMark/>
          </w:tcPr>
          <w:p w14:paraId="43DE8653" w14:textId="77777777" w:rsidR="00126D8D" w:rsidRPr="004A4899" w:rsidRDefault="00126D8D" w:rsidP="00820288">
            <w:pPr>
              <w:spacing w:line="240" w:lineRule="auto"/>
              <w:rPr>
                <w:rFonts w:ascii="Times New Roman" w:hAnsi="Times New Roman" w:cs="Times New Roman"/>
                <w:sz w:val="15"/>
                <w:szCs w:val="15"/>
              </w:rPr>
            </w:pPr>
            <w:r w:rsidRPr="004A4899">
              <w:rPr>
                <w:rFonts w:ascii="Times New Roman" w:hAnsi="Times New Roman" w:cs="Times New Roman"/>
                <w:sz w:val="15"/>
                <w:szCs w:val="15"/>
              </w:rPr>
              <w:t>Hexanal</w:t>
            </w:r>
          </w:p>
        </w:tc>
        <w:tc>
          <w:tcPr>
            <w:tcW w:w="758" w:type="dxa"/>
            <w:noWrap/>
            <w:vAlign w:val="center"/>
            <w:hideMark/>
          </w:tcPr>
          <w:p w14:paraId="4AD3EE1A" w14:textId="77777777" w:rsidR="00126D8D" w:rsidRPr="004A4899" w:rsidRDefault="00126D8D" w:rsidP="00820288">
            <w:pPr>
              <w:spacing w:line="240" w:lineRule="auto"/>
              <w:jc w:val="right"/>
              <w:rPr>
                <w:rFonts w:ascii="Times New Roman" w:hAnsi="Times New Roman" w:cs="Times New Roman"/>
                <w:sz w:val="15"/>
                <w:szCs w:val="15"/>
              </w:rPr>
            </w:pPr>
            <w:r w:rsidRPr="004A4899">
              <w:rPr>
                <w:rFonts w:ascii="Times New Roman" w:hAnsi="Times New Roman" w:cs="Times New Roman"/>
                <w:sz w:val="15"/>
                <w:szCs w:val="15"/>
              </w:rPr>
              <w:t>128.96</w:t>
            </w:r>
          </w:p>
        </w:tc>
        <w:tc>
          <w:tcPr>
            <w:tcW w:w="366" w:type="dxa"/>
            <w:noWrap/>
            <w:vAlign w:val="center"/>
            <w:hideMark/>
          </w:tcPr>
          <w:p w14:paraId="3F622E04" w14:textId="77777777" w:rsidR="00126D8D" w:rsidRPr="004A4899" w:rsidRDefault="00126D8D" w:rsidP="00820288">
            <w:pPr>
              <w:spacing w:line="240" w:lineRule="auto"/>
              <w:rPr>
                <w:rFonts w:ascii="Times New Roman" w:hAnsi="Times New Roman" w:cs="Times New Roman"/>
                <w:sz w:val="15"/>
                <w:szCs w:val="15"/>
              </w:rPr>
            </w:pPr>
            <w:r w:rsidRPr="004A4899">
              <w:rPr>
                <w:rFonts w:ascii="Times New Roman" w:hAnsi="Times New Roman" w:cs="Times New Roman"/>
                <w:sz w:val="15"/>
                <w:szCs w:val="15"/>
              </w:rPr>
              <w:t>c</w:t>
            </w:r>
          </w:p>
        </w:tc>
        <w:tc>
          <w:tcPr>
            <w:tcW w:w="712" w:type="dxa"/>
            <w:noWrap/>
            <w:vAlign w:val="center"/>
            <w:hideMark/>
          </w:tcPr>
          <w:p w14:paraId="348C2FBD" w14:textId="77777777" w:rsidR="00126D8D" w:rsidRPr="004A4899" w:rsidRDefault="00126D8D" w:rsidP="00820288">
            <w:pPr>
              <w:spacing w:line="240" w:lineRule="auto"/>
              <w:jc w:val="right"/>
              <w:rPr>
                <w:rFonts w:ascii="Times New Roman" w:hAnsi="Times New Roman" w:cs="Times New Roman"/>
                <w:sz w:val="15"/>
                <w:szCs w:val="15"/>
              </w:rPr>
            </w:pPr>
            <w:r w:rsidRPr="004A4899">
              <w:rPr>
                <w:rFonts w:ascii="Times New Roman" w:hAnsi="Times New Roman" w:cs="Times New Roman"/>
                <w:sz w:val="15"/>
                <w:szCs w:val="15"/>
              </w:rPr>
              <w:t>130.21</w:t>
            </w:r>
          </w:p>
        </w:tc>
        <w:tc>
          <w:tcPr>
            <w:tcW w:w="368" w:type="dxa"/>
            <w:noWrap/>
            <w:vAlign w:val="center"/>
            <w:hideMark/>
          </w:tcPr>
          <w:p w14:paraId="011028CD" w14:textId="77777777" w:rsidR="00126D8D" w:rsidRPr="004A4899" w:rsidRDefault="00126D8D" w:rsidP="00820288">
            <w:pPr>
              <w:spacing w:line="240" w:lineRule="auto"/>
              <w:rPr>
                <w:rFonts w:ascii="Times New Roman" w:hAnsi="Times New Roman" w:cs="Times New Roman"/>
                <w:sz w:val="15"/>
                <w:szCs w:val="15"/>
              </w:rPr>
            </w:pPr>
            <w:r w:rsidRPr="004A4899">
              <w:rPr>
                <w:rFonts w:ascii="Times New Roman" w:hAnsi="Times New Roman" w:cs="Times New Roman"/>
                <w:sz w:val="15"/>
                <w:szCs w:val="15"/>
              </w:rPr>
              <w:t>bc</w:t>
            </w:r>
          </w:p>
        </w:tc>
        <w:tc>
          <w:tcPr>
            <w:tcW w:w="712" w:type="dxa"/>
            <w:noWrap/>
            <w:vAlign w:val="center"/>
            <w:hideMark/>
          </w:tcPr>
          <w:p w14:paraId="63F9EA5B" w14:textId="77777777" w:rsidR="00126D8D" w:rsidRPr="004A4899" w:rsidRDefault="00126D8D" w:rsidP="00820288">
            <w:pPr>
              <w:spacing w:line="240" w:lineRule="auto"/>
              <w:jc w:val="right"/>
              <w:rPr>
                <w:rFonts w:ascii="Times New Roman" w:hAnsi="Times New Roman" w:cs="Times New Roman"/>
                <w:sz w:val="15"/>
                <w:szCs w:val="15"/>
              </w:rPr>
            </w:pPr>
            <w:r w:rsidRPr="004A4899">
              <w:rPr>
                <w:rFonts w:ascii="Times New Roman" w:hAnsi="Times New Roman" w:cs="Times New Roman"/>
                <w:sz w:val="15"/>
                <w:szCs w:val="15"/>
              </w:rPr>
              <w:t>131.06</w:t>
            </w:r>
          </w:p>
        </w:tc>
        <w:tc>
          <w:tcPr>
            <w:tcW w:w="368" w:type="dxa"/>
            <w:noWrap/>
            <w:vAlign w:val="center"/>
            <w:hideMark/>
          </w:tcPr>
          <w:p w14:paraId="05A09382" w14:textId="77777777" w:rsidR="00126D8D" w:rsidRPr="004A4899" w:rsidRDefault="00126D8D" w:rsidP="00820288">
            <w:pPr>
              <w:spacing w:line="240" w:lineRule="auto"/>
              <w:rPr>
                <w:rFonts w:ascii="Times New Roman" w:hAnsi="Times New Roman" w:cs="Times New Roman"/>
                <w:sz w:val="15"/>
                <w:szCs w:val="15"/>
              </w:rPr>
            </w:pPr>
            <w:r w:rsidRPr="004A4899">
              <w:rPr>
                <w:rFonts w:ascii="Times New Roman" w:hAnsi="Times New Roman" w:cs="Times New Roman"/>
                <w:sz w:val="15"/>
                <w:szCs w:val="15"/>
              </w:rPr>
              <w:t>ab</w:t>
            </w:r>
          </w:p>
        </w:tc>
        <w:tc>
          <w:tcPr>
            <w:tcW w:w="916" w:type="dxa"/>
            <w:noWrap/>
            <w:vAlign w:val="center"/>
            <w:hideMark/>
          </w:tcPr>
          <w:p w14:paraId="7C47971F" w14:textId="77777777" w:rsidR="00126D8D" w:rsidRPr="004A4899" w:rsidRDefault="00126D8D" w:rsidP="00820288">
            <w:pPr>
              <w:spacing w:line="240" w:lineRule="auto"/>
              <w:jc w:val="right"/>
              <w:rPr>
                <w:rFonts w:ascii="Times New Roman" w:hAnsi="Times New Roman" w:cs="Times New Roman"/>
                <w:sz w:val="15"/>
                <w:szCs w:val="15"/>
              </w:rPr>
            </w:pPr>
            <w:r w:rsidRPr="004A4899">
              <w:rPr>
                <w:rFonts w:ascii="Times New Roman" w:hAnsi="Times New Roman" w:cs="Times New Roman"/>
                <w:sz w:val="15"/>
                <w:szCs w:val="15"/>
              </w:rPr>
              <w:t>132.15</w:t>
            </w:r>
          </w:p>
        </w:tc>
        <w:tc>
          <w:tcPr>
            <w:tcW w:w="627" w:type="dxa"/>
            <w:noWrap/>
            <w:vAlign w:val="center"/>
            <w:hideMark/>
          </w:tcPr>
          <w:p w14:paraId="617D899B" w14:textId="77777777" w:rsidR="00126D8D" w:rsidRPr="004A4899" w:rsidRDefault="00126D8D" w:rsidP="00820288">
            <w:pPr>
              <w:spacing w:line="240" w:lineRule="auto"/>
              <w:rPr>
                <w:rFonts w:ascii="Times New Roman" w:hAnsi="Times New Roman" w:cs="Times New Roman"/>
                <w:sz w:val="15"/>
                <w:szCs w:val="15"/>
              </w:rPr>
            </w:pPr>
            <w:r w:rsidRPr="004A4899">
              <w:rPr>
                <w:rFonts w:ascii="Times New Roman" w:hAnsi="Times New Roman" w:cs="Times New Roman"/>
                <w:sz w:val="15"/>
                <w:szCs w:val="15"/>
              </w:rPr>
              <w:t>a</w:t>
            </w:r>
          </w:p>
        </w:tc>
      </w:tr>
      <w:tr w:rsidR="00126D8D" w:rsidRPr="004A4899" w14:paraId="34A86344" w14:textId="77777777" w:rsidTr="00820288">
        <w:trPr>
          <w:trHeight w:val="144"/>
        </w:trPr>
        <w:tc>
          <w:tcPr>
            <w:tcW w:w="1916" w:type="dxa"/>
            <w:noWrap/>
            <w:vAlign w:val="center"/>
          </w:tcPr>
          <w:p w14:paraId="42909BD7" w14:textId="77777777" w:rsidR="00126D8D" w:rsidRPr="004A4899" w:rsidRDefault="00126D8D" w:rsidP="00820288">
            <w:pPr>
              <w:spacing w:line="240" w:lineRule="auto"/>
              <w:rPr>
                <w:rFonts w:ascii="Times New Roman" w:hAnsi="Times New Roman" w:cs="Times New Roman"/>
                <w:b/>
                <w:bCs/>
                <w:sz w:val="15"/>
                <w:szCs w:val="15"/>
              </w:rPr>
            </w:pPr>
            <w:r w:rsidRPr="004A4899">
              <w:rPr>
                <w:rFonts w:ascii="Times New Roman" w:hAnsi="Times New Roman" w:cs="Times New Roman"/>
                <w:b/>
                <w:bCs/>
                <w:sz w:val="15"/>
                <w:szCs w:val="15"/>
              </w:rPr>
              <w:t>Benzyl Aldehydes</w:t>
            </w:r>
          </w:p>
        </w:tc>
        <w:tc>
          <w:tcPr>
            <w:tcW w:w="758" w:type="dxa"/>
            <w:noWrap/>
            <w:vAlign w:val="center"/>
          </w:tcPr>
          <w:p w14:paraId="40B7588E" w14:textId="77777777" w:rsidR="00126D8D" w:rsidRPr="004A4899" w:rsidRDefault="00126D8D" w:rsidP="00820288">
            <w:pPr>
              <w:spacing w:line="240" w:lineRule="auto"/>
              <w:jc w:val="right"/>
              <w:rPr>
                <w:rFonts w:ascii="Times New Roman" w:hAnsi="Times New Roman" w:cs="Times New Roman"/>
                <w:sz w:val="15"/>
                <w:szCs w:val="15"/>
              </w:rPr>
            </w:pPr>
          </w:p>
        </w:tc>
        <w:tc>
          <w:tcPr>
            <w:tcW w:w="366" w:type="dxa"/>
            <w:noWrap/>
            <w:vAlign w:val="center"/>
          </w:tcPr>
          <w:p w14:paraId="54CD0412" w14:textId="77777777" w:rsidR="00126D8D" w:rsidRPr="004A4899" w:rsidRDefault="00126D8D" w:rsidP="00820288">
            <w:pPr>
              <w:spacing w:line="240" w:lineRule="auto"/>
              <w:rPr>
                <w:rFonts w:ascii="Times New Roman" w:hAnsi="Times New Roman" w:cs="Times New Roman"/>
                <w:sz w:val="15"/>
                <w:szCs w:val="15"/>
              </w:rPr>
            </w:pPr>
          </w:p>
        </w:tc>
        <w:tc>
          <w:tcPr>
            <w:tcW w:w="712" w:type="dxa"/>
            <w:noWrap/>
            <w:vAlign w:val="center"/>
          </w:tcPr>
          <w:p w14:paraId="58220120" w14:textId="77777777" w:rsidR="00126D8D" w:rsidRPr="004A4899" w:rsidRDefault="00126D8D" w:rsidP="00820288">
            <w:pPr>
              <w:spacing w:line="240" w:lineRule="auto"/>
              <w:jc w:val="right"/>
              <w:rPr>
                <w:rFonts w:ascii="Times New Roman" w:hAnsi="Times New Roman" w:cs="Times New Roman"/>
                <w:sz w:val="15"/>
                <w:szCs w:val="15"/>
              </w:rPr>
            </w:pPr>
          </w:p>
        </w:tc>
        <w:tc>
          <w:tcPr>
            <w:tcW w:w="368" w:type="dxa"/>
            <w:noWrap/>
            <w:vAlign w:val="center"/>
          </w:tcPr>
          <w:p w14:paraId="2B92199E" w14:textId="77777777" w:rsidR="00126D8D" w:rsidRPr="004A4899" w:rsidRDefault="00126D8D" w:rsidP="00820288">
            <w:pPr>
              <w:spacing w:line="240" w:lineRule="auto"/>
              <w:rPr>
                <w:rFonts w:ascii="Times New Roman" w:hAnsi="Times New Roman" w:cs="Times New Roman"/>
                <w:sz w:val="15"/>
                <w:szCs w:val="15"/>
              </w:rPr>
            </w:pPr>
          </w:p>
        </w:tc>
        <w:tc>
          <w:tcPr>
            <w:tcW w:w="712" w:type="dxa"/>
            <w:noWrap/>
            <w:vAlign w:val="center"/>
          </w:tcPr>
          <w:p w14:paraId="1EED98F1" w14:textId="77777777" w:rsidR="00126D8D" w:rsidRPr="004A4899" w:rsidRDefault="00126D8D" w:rsidP="00820288">
            <w:pPr>
              <w:spacing w:line="240" w:lineRule="auto"/>
              <w:jc w:val="right"/>
              <w:rPr>
                <w:rFonts w:ascii="Times New Roman" w:hAnsi="Times New Roman" w:cs="Times New Roman"/>
                <w:sz w:val="15"/>
                <w:szCs w:val="15"/>
              </w:rPr>
            </w:pPr>
          </w:p>
        </w:tc>
        <w:tc>
          <w:tcPr>
            <w:tcW w:w="368" w:type="dxa"/>
            <w:noWrap/>
            <w:vAlign w:val="center"/>
          </w:tcPr>
          <w:p w14:paraId="1C112786" w14:textId="77777777" w:rsidR="00126D8D" w:rsidRPr="004A4899" w:rsidRDefault="00126D8D" w:rsidP="00820288">
            <w:pPr>
              <w:spacing w:line="240" w:lineRule="auto"/>
              <w:rPr>
                <w:rFonts w:ascii="Times New Roman" w:hAnsi="Times New Roman" w:cs="Times New Roman"/>
                <w:sz w:val="15"/>
                <w:szCs w:val="15"/>
              </w:rPr>
            </w:pPr>
          </w:p>
        </w:tc>
        <w:tc>
          <w:tcPr>
            <w:tcW w:w="916" w:type="dxa"/>
            <w:noWrap/>
            <w:vAlign w:val="center"/>
          </w:tcPr>
          <w:p w14:paraId="59260E94" w14:textId="77777777" w:rsidR="00126D8D" w:rsidRPr="004A4899" w:rsidRDefault="00126D8D" w:rsidP="00820288">
            <w:pPr>
              <w:spacing w:line="240" w:lineRule="auto"/>
              <w:jc w:val="right"/>
              <w:rPr>
                <w:rFonts w:ascii="Times New Roman" w:hAnsi="Times New Roman" w:cs="Times New Roman"/>
                <w:sz w:val="15"/>
                <w:szCs w:val="15"/>
              </w:rPr>
            </w:pPr>
          </w:p>
        </w:tc>
        <w:tc>
          <w:tcPr>
            <w:tcW w:w="627" w:type="dxa"/>
            <w:noWrap/>
            <w:vAlign w:val="center"/>
          </w:tcPr>
          <w:p w14:paraId="240A27DF" w14:textId="77777777" w:rsidR="00126D8D" w:rsidRPr="004A4899" w:rsidRDefault="00126D8D" w:rsidP="00820288">
            <w:pPr>
              <w:spacing w:line="240" w:lineRule="auto"/>
              <w:rPr>
                <w:rFonts w:ascii="Times New Roman" w:hAnsi="Times New Roman" w:cs="Times New Roman"/>
                <w:sz w:val="15"/>
                <w:szCs w:val="15"/>
              </w:rPr>
            </w:pPr>
          </w:p>
        </w:tc>
      </w:tr>
      <w:tr w:rsidR="00126D8D" w:rsidRPr="004A4899" w14:paraId="5DA2B05E" w14:textId="77777777" w:rsidTr="00820288">
        <w:trPr>
          <w:trHeight w:val="144"/>
        </w:trPr>
        <w:tc>
          <w:tcPr>
            <w:tcW w:w="1916" w:type="dxa"/>
            <w:noWrap/>
            <w:vAlign w:val="center"/>
            <w:hideMark/>
          </w:tcPr>
          <w:p w14:paraId="3AF4E598" w14:textId="77777777" w:rsidR="00126D8D" w:rsidRPr="004A4899" w:rsidRDefault="00126D8D" w:rsidP="00820288">
            <w:pPr>
              <w:spacing w:line="240" w:lineRule="auto"/>
              <w:rPr>
                <w:rFonts w:ascii="Times New Roman" w:hAnsi="Times New Roman" w:cs="Times New Roman"/>
                <w:sz w:val="15"/>
                <w:szCs w:val="15"/>
              </w:rPr>
            </w:pPr>
            <w:r w:rsidRPr="004A4899">
              <w:rPr>
                <w:rFonts w:ascii="Times New Roman" w:hAnsi="Times New Roman" w:cs="Times New Roman"/>
                <w:sz w:val="15"/>
                <w:szCs w:val="15"/>
              </w:rPr>
              <w:t>3-Ethylbenzaldehyde</w:t>
            </w:r>
          </w:p>
        </w:tc>
        <w:tc>
          <w:tcPr>
            <w:tcW w:w="758" w:type="dxa"/>
            <w:noWrap/>
            <w:vAlign w:val="center"/>
            <w:hideMark/>
          </w:tcPr>
          <w:p w14:paraId="6018D368" w14:textId="77777777" w:rsidR="00126D8D" w:rsidRPr="004A4899" w:rsidRDefault="00126D8D" w:rsidP="00820288">
            <w:pPr>
              <w:spacing w:line="240" w:lineRule="auto"/>
              <w:jc w:val="right"/>
              <w:rPr>
                <w:rFonts w:ascii="Times New Roman" w:hAnsi="Times New Roman" w:cs="Times New Roman"/>
                <w:sz w:val="15"/>
                <w:szCs w:val="15"/>
              </w:rPr>
            </w:pPr>
            <w:r w:rsidRPr="004A4899">
              <w:rPr>
                <w:rFonts w:ascii="Times New Roman" w:hAnsi="Times New Roman" w:cs="Times New Roman"/>
                <w:sz w:val="15"/>
                <w:szCs w:val="15"/>
              </w:rPr>
              <w:t>5.82</w:t>
            </w:r>
          </w:p>
        </w:tc>
        <w:tc>
          <w:tcPr>
            <w:tcW w:w="366" w:type="dxa"/>
            <w:noWrap/>
            <w:vAlign w:val="center"/>
            <w:hideMark/>
          </w:tcPr>
          <w:p w14:paraId="337318CB" w14:textId="77777777" w:rsidR="00126D8D" w:rsidRPr="004A4899" w:rsidRDefault="00126D8D" w:rsidP="00820288">
            <w:pPr>
              <w:spacing w:line="240" w:lineRule="auto"/>
              <w:rPr>
                <w:rFonts w:ascii="Times New Roman" w:hAnsi="Times New Roman" w:cs="Times New Roman"/>
                <w:sz w:val="15"/>
                <w:szCs w:val="15"/>
              </w:rPr>
            </w:pPr>
            <w:r w:rsidRPr="004A4899">
              <w:rPr>
                <w:rFonts w:ascii="Times New Roman" w:hAnsi="Times New Roman" w:cs="Times New Roman"/>
                <w:sz w:val="15"/>
                <w:szCs w:val="15"/>
              </w:rPr>
              <w:t>c</w:t>
            </w:r>
          </w:p>
        </w:tc>
        <w:tc>
          <w:tcPr>
            <w:tcW w:w="712" w:type="dxa"/>
            <w:noWrap/>
            <w:vAlign w:val="center"/>
            <w:hideMark/>
          </w:tcPr>
          <w:p w14:paraId="618AFFAE" w14:textId="77777777" w:rsidR="00126D8D" w:rsidRPr="004A4899" w:rsidRDefault="00126D8D" w:rsidP="00820288">
            <w:pPr>
              <w:spacing w:line="240" w:lineRule="auto"/>
              <w:jc w:val="right"/>
              <w:rPr>
                <w:rFonts w:ascii="Times New Roman" w:hAnsi="Times New Roman" w:cs="Times New Roman"/>
                <w:sz w:val="15"/>
                <w:szCs w:val="15"/>
              </w:rPr>
            </w:pPr>
            <w:r w:rsidRPr="004A4899">
              <w:rPr>
                <w:rFonts w:ascii="Times New Roman" w:hAnsi="Times New Roman" w:cs="Times New Roman"/>
                <w:sz w:val="15"/>
                <w:szCs w:val="15"/>
              </w:rPr>
              <w:t>10.14</w:t>
            </w:r>
          </w:p>
        </w:tc>
        <w:tc>
          <w:tcPr>
            <w:tcW w:w="368" w:type="dxa"/>
            <w:noWrap/>
            <w:vAlign w:val="center"/>
            <w:hideMark/>
          </w:tcPr>
          <w:p w14:paraId="2C7FB18B" w14:textId="77777777" w:rsidR="00126D8D" w:rsidRPr="004A4899" w:rsidRDefault="00126D8D" w:rsidP="00820288">
            <w:pPr>
              <w:spacing w:line="240" w:lineRule="auto"/>
              <w:rPr>
                <w:rFonts w:ascii="Times New Roman" w:hAnsi="Times New Roman" w:cs="Times New Roman"/>
                <w:sz w:val="15"/>
                <w:szCs w:val="15"/>
              </w:rPr>
            </w:pPr>
            <w:r w:rsidRPr="004A4899">
              <w:rPr>
                <w:rFonts w:ascii="Times New Roman" w:hAnsi="Times New Roman" w:cs="Times New Roman"/>
                <w:sz w:val="15"/>
                <w:szCs w:val="15"/>
              </w:rPr>
              <w:t>b</w:t>
            </w:r>
          </w:p>
        </w:tc>
        <w:tc>
          <w:tcPr>
            <w:tcW w:w="712" w:type="dxa"/>
            <w:noWrap/>
            <w:vAlign w:val="center"/>
            <w:hideMark/>
          </w:tcPr>
          <w:p w14:paraId="39CAFA96" w14:textId="77777777" w:rsidR="00126D8D" w:rsidRPr="004A4899" w:rsidRDefault="00126D8D" w:rsidP="00820288">
            <w:pPr>
              <w:spacing w:line="240" w:lineRule="auto"/>
              <w:jc w:val="right"/>
              <w:rPr>
                <w:rFonts w:ascii="Times New Roman" w:hAnsi="Times New Roman" w:cs="Times New Roman"/>
                <w:sz w:val="15"/>
                <w:szCs w:val="15"/>
              </w:rPr>
            </w:pPr>
            <w:r w:rsidRPr="004A4899">
              <w:rPr>
                <w:rFonts w:ascii="Times New Roman" w:hAnsi="Times New Roman" w:cs="Times New Roman"/>
                <w:sz w:val="15"/>
                <w:szCs w:val="15"/>
              </w:rPr>
              <w:t>17.15</w:t>
            </w:r>
          </w:p>
        </w:tc>
        <w:tc>
          <w:tcPr>
            <w:tcW w:w="368" w:type="dxa"/>
            <w:noWrap/>
            <w:vAlign w:val="center"/>
            <w:hideMark/>
          </w:tcPr>
          <w:p w14:paraId="3AFC2535" w14:textId="77777777" w:rsidR="00126D8D" w:rsidRPr="004A4899" w:rsidRDefault="00126D8D" w:rsidP="00820288">
            <w:pPr>
              <w:spacing w:line="240" w:lineRule="auto"/>
              <w:rPr>
                <w:rFonts w:ascii="Times New Roman" w:hAnsi="Times New Roman" w:cs="Times New Roman"/>
                <w:sz w:val="15"/>
                <w:szCs w:val="15"/>
              </w:rPr>
            </w:pPr>
            <w:r w:rsidRPr="004A4899">
              <w:rPr>
                <w:rFonts w:ascii="Times New Roman" w:hAnsi="Times New Roman" w:cs="Times New Roman"/>
                <w:sz w:val="15"/>
                <w:szCs w:val="15"/>
              </w:rPr>
              <w:t>a</w:t>
            </w:r>
          </w:p>
        </w:tc>
        <w:tc>
          <w:tcPr>
            <w:tcW w:w="916" w:type="dxa"/>
            <w:noWrap/>
            <w:vAlign w:val="center"/>
            <w:hideMark/>
          </w:tcPr>
          <w:p w14:paraId="762C3E7D" w14:textId="77777777" w:rsidR="00126D8D" w:rsidRPr="004A4899" w:rsidRDefault="00126D8D" w:rsidP="00820288">
            <w:pPr>
              <w:spacing w:line="240" w:lineRule="auto"/>
              <w:jc w:val="right"/>
              <w:rPr>
                <w:rFonts w:ascii="Times New Roman" w:hAnsi="Times New Roman" w:cs="Times New Roman"/>
                <w:sz w:val="15"/>
                <w:szCs w:val="15"/>
              </w:rPr>
            </w:pPr>
            <w:r w:rsidRPr="004A4899">
              <w:rPr>
                <w:rFonts w:ascii="Times New Roman" w:hAnsi="Times New Roman" w:cs="Times New Roman"/>
                <w:sz w:val="15"/>
                <w:szCs w:val="15"/>
              </w:rPr>
              <w:t>4.28</w:t>
            </w:r>
          </w:p>
        </w:tc>
        <w:tc>
          <w:tcPr>
            <w:tcW w:w="627" w:type="dxa"/>
            <w:noWrap/>
            <w:vAlign w:val="center"/>
            <w:hideMark/>
          </w:tcPr>
          <w:p w14:paraId="1A663241" w14:textId="77777777" w:rsidR="00126D8D" w:rsidRPr="004A4899" w:rsidRDefault="00126D8D" w:rsidP="00820288">
            <w:pPr>
              <w:spacing w:line="240" w:lineRule="auto"/>
              <w:rPr>
                <w:rFonts w:ascii="Times New Roman" w:hAnsi="Times New Roman" w:cs="Times New Roman"/>
                <w:sz w:val="15"/>
                <w:szCs w:val="15"/>
              </w:rPr>
            </w:pPr>
            <w:r w:rsidRPr="004A4899">
              <w:rPr>
                <w:rFonts w:ascii="Times New Roman" w:hAnsi="Times New Roman" w:cs="Times New Roman"/>
                <w:sz w:val="15"/>
                <w:szCs w:val="15"/>
              </w:rPr>
              <w:t>c</w:t>
            </w:r>
          </w:p>
        </w:tc>
      </w:tr>
      <w:tr w:rsidR="00126D8D" w:rsidRPr="004A4899" w14:paraId="2E6C28C1" w14:textId="77777777" w:rsidTr="00820288">
        <w:trPr>
          <w:trHeight w:val="144"/>
        </w:trPr>
        <w:tc>
          <w:tcPr>
            <w:tcW w:w="1916" w:type="dxa"/>
            <w:noWrap/>
            <w:vAlign w:val="center"/>
            <w:hideMark/>
          </w:tcPr>
          <w:p w14:paraId="4554EE4C" w14:textId="77777777" w:rsidR="00126D8D" w:rsidRPr="004A4899" w:rsidRDefault="00126D8D" w:rsidP="00820288">
            <w:pPr>
              <w:spacing w:line="240" w:lineRule="auto"/>
              <w:rPr>
                <w:rFonts w:ascii="Times New Roman" w:hAnsi="Times New Roman" w:cs="Times New Roman"/>
                <w:sz w:val="15"/>
                <w:szCs w:val="15"/>
              </w:rPr>
            </w:pPr>
            <w:r w:rsidRPr="004A4899">
              <w:rPr>
                <w:rFonts w:ascii="Times New Roman" w:hAnsi="Times New Roman" w:cs="Times New Roman"/>
                <w:sz w:val="15"/>
                <w:szCs w:val="15"/>
              </w:rPr>
              <w:t>Benzeneacetaldehyde</w:t>
            </w:r>
          </w:p>
        </w:tc>
        <w:tc>
          <w:tcPr>
            <w:tcW w:w="758" w:type="dxa"/>
            <w:noWrap/>
            <w:vAlign w:val="center"/>
            <w:hideMark/>
          </w:tcPr>
          <w:p w14:paraId="6646C5E1" w14:textId="77777777" w:rsidR="00126D8D" w:rsidRPr="004A4899" w:rsidRDefault="00126D8D" w:rsidP="00820288">
            <w:pPr>
              <w:spacing w:line="240" w:lineRule="auto"/>
              <w:jc w:val="right"/>
              <w:rPr>
                <w:rFonts w:ascii="Times New Roman" w:hAnsi="Times New Roman" w:cs="Times New Roman"/>
                <w:sz w:val="15"/>
                <w:szCs w:val="15"/>
              </w:rPr>
            </w:pPr>
            <w:r w:rsidRPr="004A4899">
              <w:rPr>
                <w:rFonts w:ascii="Times New Roman" w:hAnsi="Times New Roman" w:cs="Times New Roman"/>
                <w:sz w:val="15"/>
                <w:szCs w:val="15"/>
              </w:rPr>
              <w:t>76.12</w:t>
            </w:r>
          </w:p>
        </w:tc>
        <w:tc>
          <w:tcPr>
            <w:tcW w:w="366" w:type="dxa"/>
            <w:noWrap/>
            <w:vAlign w:val="center"/>
            <w:hideMark/>
          </w:tcPr>
          <w:p w14:paraId="442234A3" w14:textId="77777777" w:rsidR="00126D8D" w:rsidRPr="004A4899" w:rsidRDefault="00126D8D" w:rsidP="00820288">
            <w:pPr>
              <w:spacing w:line="240" w:lineRule="auto"/>
              <w:rPr>
                <w:rFonts w:ascii="Times New Roman" w:hAnsi="Times New Roman" w:cs="Times New Roman"/>
                <w:sz w:val="15"/>
                <w:szCs w:val="15"/>
              </w:rPr>
            </w:pPr>
            <w:r w:rsidRPr="004A4899">
              <w:rPr>
                <w:rFonts w:ascii="Times New Roman" w:hAnsi="Times New Roman" w:cs="Times New Roman"/>
                <w:sz w:val="15"/>
                <w:szCs w:val="15"/>
              </w:rPr>
              <w:t>c</w:t>
            </w:r>
          </w:p>
        </w:tc>
        <w:tc>
          <w:tcPr>
            <w:tcW w:w="712" w:type="dxa"/>
            <w:noWrap/>
            <w:vAlign w:val="center"/>
            <w:hideMark/>
          </w:tcPr>
          <w:p w14:paraId="6F4A1A44" w14:textId="77777777" w:rsidR="00126D8D" w:rsidRPr="004A4899" w:rsidRDefault="00126D8D" w:rsidP="00820288">
            <w:pPr>
              <w:spacing w:line="240" w:lineRule="auto"/>
              <w:jc w:val="right"/>
              <w:rPr>
                <w:rFonts w:ascii="Times New Roman" w:hAnsi="Times New Roman" w:cs="Times New Roman"/>
                <w:sz w:val="15"/>
                <w:szCs w:val="15"/>
              </w:rPr>
            </w:pPr>
            <w:r w:rsidRPr="004A4899">
              <w:rPr>
                <w:rFonts w:ascii="Times New Roman" w:hAnsi="Times New Roman" w:cs="Times New Roman"/>
                <w:sz w:val="15"/>
                <w:szCs w:val="15"/>
              </w:rPr>
              <w:t>181.19</w:t>
            </w:r>
          </w:p>
        </w:tc>
        <w:tc>
          <w:tcPr>
            <w:tcW w:w="368" w:type="dxa"/>
            <w:noWrap/>
            <w:vAlign w:val="center"/>
            <w:hideMark/>
          </w:tcPr>
          <w:p w14:paraId="08DEA6BB" w14:textId="77777777" w:rsidR="00126D8D" w:rsidRPr="004A4899" w:rsidRDefault="00126D8D" w:rsidP="00820288">
            <w:pPr>
              <w:spacing w:line="240" w:lineRule="auto"/>
              <w:rPr>
                <w:rFonts w:ascii="Times New Roman" w:hAnsi="Times New Roman" w:cs="Times New Roman"/>
                <w:sz w:val="15"/>
                <w:szCs w:val="15"/>
              </w:rPr>
            </w:pPr>
            <w:r w:rsidRPr="004A4899">
              <w:rPr>
                <w:rFonts w:ascii="Times New Roman" w:hAnsi="Times New Roman" w:cs="Times New Roman"/>
                <w:sz w:val="15"/>
                <w:szCs w:val="15"/>
              </w:rPr>
              <w:t>b</w:t>
            </w:r>
          </w:p>
        </w:tc>
        <w:tc>
          <w:tcPr>
            <w:tcW w:w="712" w:type="dxa"/>
            <w:noWrap/>
            <w:vAlign w:val="center"/>
            <w:hideMark/>
          </w:tcPr>
          <w:p w14:paraId="60AF0981" w14:textId="77777777" w:rsidR="00126D8D" w:rsidRPr="004A4899" w:rsidRDefault="00126D8D" w:rsidP="00820288">
            <w:pPr>
              <w:spacing w:line="240" w:lineRule="auto"/>
              <w:jc w:val="right"/>
              <w:rPr>
                <w:rFonts w:ascii="Times New Roman" w:hAnsi="Times New Roman" w:cs="Times New Roman"/>
                <w:sz w:val="15"/>
                <w:szCs w:val="15"/>
              </w:rPr>
            </w:pPr>
            <w:r w:rsidRPr="004A4899">
              <w:rPr>
                <w:rFonts w:ascii="Times New Roman" w:hAnsi="Times New Roman" w:cs="Times New Roman"/>
                <w:sz w:val="15"/>
                <w:szCs w:val="15"/>
              </w:rPr>
              <w:t>250.85</w:t>
            </w:r>
          </w:p>
        </w:tc>
        <w:tc>
          <w:tcPr>
            <w:tcW w:w="368" w:type="dxa"/>
            <w:noWrap/>
            <w:vAlign w:val="center"/>
            <w:hideMark/>
          </w:tcPr>
          <w:p w14:paraId="360C9532" w14:textId="77777777" w:rsidR="00126D8D" w:rsidRPr="004A4899" w:rsidRDefault="00126D8D" w:rsidP="00820288">
            <w:pPr>
              <w:spacing w:line="240" w:lineRule="auto"/>
              <w:rPr>
                <w:rFonts w:ascii="Times New Roman" w:hAnsi="Times New Roman" w:cs="Times New Roman"/>
                <w:sz w:val="15"/>
                <w:szCs w:val="15"/>
              </w:rPr>
            </w:pPr>
            <w:r w:rsidRPr="004A4899">
              <w:rPr>
                <w:rFonts w:ascii="Times New Roman" w:hAnsi="Times New Roman" w:cs="Times New Roman"/>
                <w:sz w:val="15"/>
                <w:szCs w:val="15"/>
              </w:rPr>
              <w:t>a</w:t>
            </w:r>
          </w:p>
        </w:tc>
        <w:tc>
          <w:tcPr>
            <w:tcW w:w="916" w:type="dxa"/>
            <w:noWrap/>
            <w:vAlign w:val="center"/>
            <w:hideMark/>
          </w:tcPr>
          <w:p w14:paraId="1BC47842" w14:textId="77777777" w:rsidR="00126D8D" w:rsidRPr="004A4899" w:rsidRDefault="00126D8D" w:rsidP="00820288">
            <w:pPr>
              <w:spacing w:line="240" w:lineRule="auto"/>
              <w:jc w:val="right"/>
              <w:rPr>
                <w:rFonts w:ascii="Times New Roman" w:hAnsi="Times New Roman" w:cs="Times New Roman"/>
                <w:sz w:val="15"/>
                <w:szCs w:val="15"/>
              </w:rPr>
            </w:pPr>
            <w:r w:rsidRPr="004A4899">
              <w:rPr>
                <w:rFonts w:ascii="Times New Roman" w:hAnsi="Times New Roman" w:cs="Times New Roman"/>
                <w:sz w:val="15"/>
                <w:szCs w:val="15"/>
              </w:rPr>
              <w:t>9.92</w:t>
            </w:r>
          </w:p>
        </w:tc>
        <w:tc>
          <w:tcPr>
            <w:tcW w:w="627" w:type="dxa"/>
            <w:noWrap/>
            <w:vAlign w:val="center"/>
            <w:hideMark/>
          </w:tcPr>
          <w:p w14:paraId="5B462E54" w14:textId="77777777" w:rsidR="00126D8D" w:rsidRPr="004A4899" w:rsidRDefault="00126D8D" w:rsidP="00820288">
            <w:pPr>
              <w:spacing w:line="240" w:lineRule="auto"/>
              <w:rPr>
                <w:rFonts w:ascii="Times New Roman" w:hAnsi="Times New Roman" w:cs="Times New Roman"/>
                <w:sz w:val="15"/>
                <w:szCs w:val="15"/>
              </w:rPr>
            </w:pPr>
            <w:r w:rsidRPr="004A4899">
              <w:rPr>
                <w:rFonts w:ascii="Times New Roman" w:hAnsi="Times New Roman" w:cs="Times New Roman"/>
                <w:sz w:val="15"/>
                <w:szCs w:val="15"/>
              </w:rPr>
              <w:t>d</w:t>
            </w:r>
          </w:p>
        </w:tc>
      </w:tr>
      <w:tr w:rsidR="00126D8D" w:rsidRPr="004A4899" w14:paraId="4C26D78F" w14:textId="77777777" w:rsidTr="00820288">
        <w:trPr>
          <w:trHeight w:val="144"/>
        </w:trPr>
        <w:tc>
          <w:tcPr>
            <w:tcW w:w="1916" w:type="dxa"/>
            <w:noWrap/>
            <w:vAlign w:val="center"/>
          </w:tcPr>
          <w:p w14:paraId="06643E99" w14:textId="77777777" w:rsidR="00126D8D" w:rsidRPr="004A4899" w:rsidRDefault="00126D8D" w:rsidP="00820288">
            <w:pPr>
              <w:spacing w:line="240" w:lineRule="auto"/>
              <w:rPr>
                <w:rFonts w:ascii="Times New Roman" w:hAnsi="Times New Roman" w:cs="Times New Roman"/>
                <w:b/>
                <w:bCs/>
                <w:sz w:val="15"/>
                <w:szCs w:val="15"/>
              </w:rPr>
            </w:pPr>
            <w:r w:rsidRPr="004A4899">
              <w:rPr>
                <w:rFonts w:ascii="Times New Roman" w:hAnsi="Times New Roman" w:cs="Times New Roman"/>
                <w:b/>
                <w:bCs/>
                <w:sz w:val="15"/>
                <w:szCs w:val="15"/>
              </w:rPr>
              <w:t>Amides and Furans</w:t>
            </w:r>
          </w:p>
        </w:tc>
        <w:tc>
          <w:tcPr>
            <w:tcW w:w="758" w:type="dxa"/>
            <w:noWrap/>
            <w:vAlign w:val="center"/>
          </w:tcPr>
          <w:p w14:paraId="4EC215D3" w14:textId="77777777" w:rsidR="00126D8D" w:rsidRPr="004A4899" w:rsidRDefault="00126D8D" w:rsidP="00820288">
            <w:pPr>
              <w:spacing w:line="240" w:lineRule="auto"/>
              <w:jc w:val="right"/>
              <w:rPr>
                <w:rFonts w:ascii="Times New Roman" w:hAnsi="Times New Roman" w:cs="Times New Roman"/>
                <w:sz w:val="15"/>
                <w:szCs w:val="15"/>
              </w:rPr>
            </w:pPr>
          </w:p>
        </w:tc>
        <w:tc>
          <w:tcPr>
            <w:tcW w:w="366" w:type="dxa"/>
            <w:noWrap/>
            <w:vAlign w:val="center"/>
          </w:tcPr>
          <w:p w14:paraId="06CC19DF" w14:textId="77777777" w:rsidR="00126D8D" w:rsidRPr="004A4899" w:rsidRDefault="00126D8D" w:rsidP="00820288">
            <w:pPr>
              <w:spacing w:line="240" w:lineRule="auto"/>
              <w:rPr>
                <w:rFonts w:ascii="Times New Roman" w:hAnsi="Times New Roman" w:cs="Times New Roman"/>
                <w:sz w:val="15"/>
                <w:szCs w:val="15"/>
              </w:rPr>
            </w:pPr>
          </w:p>
        </w:tc>
        <w:tc>
          <w:tcPr>
            <w:tcW w:w="712" w:type="dxa"/>
            <w:noWrap/>
            <w:vAlign w:val="center"/>
          </w:tcPr>
          <w:p w14:paraId="5F0927CC" w14:textId="77777777" w:rsidR="00126D8D" w:rsidRPr="004A4899" w:rsidRDefault="00126D8D" w:rsidP="00820288">
            <w:pPr>
              <w:spacing w:line="240" w:lineRule="auto"/>
              <w:jc w:val="center"/>
              <w:rPr>
                <w:rFonts w:ascii="Times New Roman" w:hAnsi="Times New Roman" w:cs="Times New Roman"/>
                <w:sz w:val="15"/>
                <w:szCs w:val="15"/>
              </w:rPr>
            </w:pPr>
          </w:p>
        </w:tc>
        <w:tc>
          <w:tcPr>
            <w:tcW w:w="368" w:type="dxa"/>
            <w:noWrap/>
            <w:vAlign w:val="center"/>
          </w:tcPr>
          <w:p w14:paraId="7D48A841" w14:textId="77777777" w:rsidR="00126D8D" w:rsidRPr="004A4899" w:rsidRDefault="00126D8D" w:rsidP="00820288">
            <w:pPr>
              <w:spacing w:line="240" w:lineRule="auto"/>
              <w:rPr>
                <w:rFonts w:ascii="Times New Roman" w:hAnsi="Times New Roman" w:cs="Times New Roman"/>
                <w:sz w:val="15"/>
                <w:szCs w:val="15"/>
              </w:rPr>
            </w:pPr>
          </w:p>
        </w:tc>
        <w:tc>
          <w:tcPr>
            <w:tcW w:w="712" w:type="dxa"/>
            <w:noWrap/>
            <w:vAlign w:val="center"/>
          </w:tcPr>
          <w:p w14:paraId="676BBC13" w14:textId="77777777" w:rsidR="00126D8D" w:rsidRPr="004A4899" w:rsidRDefault="00126D8D" w:rsidP="00820288">
            <w:pPr>
              <w:spacing w:line="240" w:lineRule="auto"/>
              <w:jc w:val="right"/>
              <w:rPr>
                <w:rFonts w:ascii="Times New Roman" w:hAnsi="Times New Roman" w:cs="Times New Roman"/>
                <w:sz w:val="15"/>
                <w:szCs w:val="15"/>
              </w:rPr>
            </w:pPr>
          </w:p>
        </w:tc>
        <w:tc>
          <w:tcPr>
            <w:tcW w:w="368" w:type="dxa"/>
            <w:noWrap/>
            <w:vAlign w:val="center"/>
          </w:tcPr>
          <w:p w14:paraId="2B1B057D" w14:textId="77777777" w:rsidR="00126D8D" w:rsidRPr="004A4899" w:rsidRDefault="00126D8D" w:rsidP="00820288">
            <w:pPr>
              <w:spacing w:line="240" w:lineRule="auto"/>
              <w:rPr>
                <w:rFonts w:ascii="Times New Roman" w:hAnsi="Times New Roman" w:cs="Times New Roman"/>
                <w:sz w:val="15"/>
                <w:szCs w:val="15"/>
              </w:rPr>
            </w:pPr>
          </w:p>
        </w:tc>
        <w:tc>
          <w:tcPr>
            <w:tcW w:w="916" w:type="dxa"/>
            <w:noWrap/>
            <w:vAlign w:val="center"/>
          </w:tcPr>
          <w:p w14:paraId="46AE450E" w14:textId="77777777" w:rsidR="00126D8D" w:rsidRPr="004A4899" w:rsidRDefault="00126D8D" w:rsidP="00820288">
            <w:pPr>
              <w:spacing w:line="240" w:lineRule="auto"/>
              <w:jc w:val="right"/>
              <w:rPr>
                <w:rFonts w:ascii="Times New Roman" w:hAnsi="Times New Roman" w:cs="Times New Roman"/>
                <w:sz w:val="15"/>
                <w:szCs w:val="15"/>
              </w:rPr>
            </w:pPr>
          </w:p>
        </w:tc>
        <w:tc>
          <w:tcPr>
            <w:tcW w:w="627" w:type="dxa"/>
            <w:noWrap/>
            <w:vAlign w:val="center"/>
          </w:tcPr>
          <w:p w14:paraId="269C1037" w14:textId="77777777" w:rsidR="00126D8D" w:rsidRPr="004A4899" w:rsidRDefault="00126D8D" w:rsidP="00820288">
            <w:pPr>
              <w:spacing w:line="240" w:lineRule="auto"/>
              <w:rPr>
                <w:rFonts w:ascii="Times New Roman" w:hAnsi="Times New Roman" w:cs="Times New Roman"/>
                <w:sz w:val="15"/>
                <w:szCs w:val="15"/>
              </w:rPr>
            </w:pPr>
          </w:p>
        </w:tc>
      </w:tr>
      <w:tr w:rsidR="00126D8D" w:rsidRPr="004A4899" w14:paraId="0D2F53FF" w14:textId="77777777" w:rsidTr="00820288">
        <w:trPr>
          <w:trHeight w:val="144"/>
        </w:trPr>
        <w:tc>
          <w:tcPr>
            <w:tcW w:w="1916" w:type="dxa"/>
            <w:noWrap/>
            <w:vAlign w:val="center"/>
            <w:hideMark/>
          </w:tcPr>
          <w:p w14:paraId="09287107" w14:textId="77777777" w:rsidR="00126D8D" w:rsidRPr="004A4899" w:rsidRDefault="00126D8D" w:rsidP="00820288">
            <w:pPr>
              <w:spacing w:line="240" w:lineRule="auto"/>
              <w:rPr>
                <w:rFonts w:ascii="Times New Roman" w:hAnsi="Times New Roman" w:cs="Times New Roman"/>
                <w:sz w:val="15"/>
                <w:szCs w:val="15"/>
              </w:rPr>
            </w:pPr>
            <w:r w:rsidRPr="004A4899">
              <w:rPr>
                <w:rFonts w:ascii="Times New Roman" w:hAnsi="Times New Roman" w:cs="Times New Roman"/>
                <w:sz w:val="15"/>
                <w:szCs w:val="15"/>
              </w:rPr>
              <w:t>Benzamide</w:t>
            </w:r>
          </w:p>
        </w:tc>
        <w:tc>
          <w:tcPr>
            <w:tcW w:w="758" w:type="dxa"/>
            <w:noWrap/>
            <w:vAlign w:val="center"/>
            <w:hideMark/>
          </w:tcPr>
          <w:p w14:paraId="6F84D87B" w14:textId="77777777" w:rsidR="00126D8D" w:rsidRPr="004A4899" w:rsidRDefault="00126D8D" w:rsidP="00820288">
            <w:pPr>
              <w:spacing w:line="240" w:lineRule="auto"/>
              <w:jc w:val="right"/>
              <w:rPr>
                <w:rFonts w:ascii="Times New Roman" w:hAnsi="Times New Roman" w:cs="Times New Roman"/>
                <w:sz w:val="15"/>
                <w:szCs w:val="15"/>
              </w:rPr>
            </w:pPr>
            <w:r w:rsidRPr="004A4899">
              <w:rPr>
                <w:rFonts w:ascii="Times New Roman" w:hAnsi="Times New Roman" w:cs="Times New Roman"/>
                <w:sz w:val="15"/>
                <w:szCs w:val="15"/>
              </w:rPr>
              <w:t>2.92</w:t>
            </w:r>
          </w:p>
        </w:tc>
        <w:tc>
          <w:tcPr>
            <w:tcW w:w="366" w:type="dxa"/>
            <w:noWrap/>
            <w:vAlign w:val="center"/>
            <w:hideMark/>
          </w:tcPr>
          <w:p w14:paraId="5671D6B3" w14:textId="77777777" w:rsidR="00126D8D" w:rsidRPr="004A4899" w:rsidRDefault="00126D8D" w:rsidP="00820288">
            <w:pPr>
              <w:spacing w:line="240" w:lineRule="auto"/>
              <w:rPr>
                <w:rFonts w:ascii="Times New Roman" w:hAnsi="Times New Roman" w:cs="Times New Roman"/>
                <w:sz w:val="15"/>
                <w:szCs w:val="15"/>
              </w:rPr>
            </w:pPr>
            <w:r w:rsidRPr="004A4899">
              <w:rPr>
                <w:rFonts w:ascii="Times New Roman" w:hAnsi="Times New Roman" w:cs="Times New Roman"/>
                <w:sz w:val="15"/>
                <w:szCs w:val="15"/>
              </w:rPr>
              <w:t>b</w:t>
            </w:r>
          </w:p>
        </w:tc>
        <w:tc>
          <w:tcPr>
            <w:tcW w:w="712" w:type="dxa"/>
            <w:noWrap/>
            <w:vAlign w:val="center"/>
            <w:hideMark/>
          </w:tcPr>
          <w:p w14:paraId="68468025" w14:textId="77777777" w:rsidR="00126D8D" w:rsidRPr="004A4899" w:rsidRDefault="00126D8D" w:rsidP="00820288">
            <w:pPr>
              <w:spacing w:line="240" w:lineRule="auto"/>
              <w:jc w:val="right"/>
              <w:rPr>
                <w:rFonts w:ascii="Times New Roman" w:hAnsi="Times New Roman" w:cs="Times New Roman"/>
                <w:sz w:val="15"/>
                <w:szCs w:val="15"/>
              </w:rPr>
            </w:pPr>
            <w:r w:rsidRPr="004A4899">
              <w:rPr>
                <w:rFonts w:ascii="Times New Roman" w:hAnsi="Times New Roman" w:cs="Times New Roman"/>
                <w:sz w:val="15"/>
                <w:szCs w:val="15"/>
              </w:rPr>
              <w:t>3.30</w:t>
            </w:r>
          </w:p>
        </w:tc>
        <w:tc>
          <w:tcPr>
            <w:tcW w:w="368" w:type="dxa"/>
            <w:noWrap/>
            <w:vAlign w:val="center"/>
            <w:hideMark/>
          </w:tcPr>
          <w:p w14:paraId="73AEF397" w14:textId="77777777" w:rsidR="00126D8D" w:rsidRPr="004A4899" w:rsidRDefault="00126D8D" w:rsidP="00820288">
            <w:pPr>
              <w:spacing w:line="240" w:lineRule="auto"/>
              <w:rPr>
                <w:rFonts w:ascii="Times New Roman" w:hAnsi="Times New Roman" w:cs="Times New Roman"/>
                <w:sz w:val="15"/>
                <w:szCs w:val="15"/>
              </w:rPr>
            </w:pPr>
            <w:r w:rsidRPr="004A4899">
              <w:rPr>
                <w:rFonts w:ascii="Times New Roman" w:hAnsi="Times New Roman" w:cs="Times New Roman"/>
                <w:sz w:val="15"/>
                <w:szCs w:val="15"/>
              </w:rPr>
              <w:t>b</w:t>
            </w:r>
          </w:p>
        </w:tc>
        <w:tc>
          <w:tcPr>
            <w:tcW w:w="712" w:type="dxa"/>
            <w:noWrap/>
            <w:vAlign w:val="center"/>
            <w:hideMark/>
          </w:tcPr>
          <w:p w14:paraId="19C3D421" w14:textId="77777777" w:rsidR="00126D8D" w:rsidRPr="004A4899" w:rsidRDefault="00126D8D" w:rsidP="00820288">
            <w:pPr>
              <w:spacing w:line="240" w:lineRule="auto"/>
              <w:jc w:val="right"/>
              <w:rPr>
                <w:rFonts w:ascii="Times New Roman" w:hAnsi="Times New Roman" w:cs="Times New Roman"/>
                <w:sz w:val="15"/>
                <w:szCs w:val="15"/>
              </w:rPr>
            </w:pPr>
            <w:r w:rsidRPr="004A4899">
              <w:rPr>
                <w:rFonts w:ascii="Times New Roman" w:hAnsi="Times New Roman" w:cs="Times New Roman"/>
                <w:sz w:val="15"/>
                <w:szCs w:val="15"/>
              </w:rPr>
              <w:t>3.49</w:t>
            </w:r>
          </w:p>
        </w:tc>
        <w:tc>
          <w:tcPr>
            <w:tcW w:w="368" w:type="dxa"/>
            <w:noWrap/>
            <w:vAlign w:val="center"/>
            <w:hideMark/>
          </w:tcPr>
          <w:p w14:paraId="08ADBB9A" w14:textId="77777777" w:rsidR="00126D8D" w:rsidRPr="004A4899" w:rsidRDefault="00126D8D" w:rsidP="00820288">
            <w:pPr>
              <w:spacing w:line="240" w:lineRule="auto"/>
              <w:rPr>
                <w:rFonts w:ascii="Times New Roman" w:hAnsi="Times New Roman" w:cs="Times New Roman"/>
                <w:sz w:val="15"/>
                <w:szCs w:val="15"/>
              </w:rPr>
            </w:pPr>
            <w:r w:rsidRPr="004A4899">
              <w:rPr>
                <w:rFonts w:ascii="Times New Roman" w:hAnsi="Times New Roman" w:cs="Times New Roman"/>
                <w:sz w:val="15"/>
                <w:szCs w:val="15"/>
              </w:rPr>
              <w:t>b</w:t>
            </w:r>
          </w:p>
        </w:tc>
        <w:tc>
          <w:tcPr>
            <w:tcW w:w="916" w:type="dxa"/>
            <w:noWrap/>
            <w:vAlign w:val="center"/>
            <w:hideMark/>
          </w:tcPr>
          <w:p w14:paraId="0C02AC9C" w14:textId="77777777" w:rsidR="00126D8D" w:rsidRPr="004A4899" w:rsidRDefault="00126D8D" w:rsidP="00820288">
            <w:pPr>
              <w:spacing w:line="240" w:lineRule="auto"/>
              <w:jc w:val="right"/>
              <w:rPr>
                <w:rFonts w:ascii="Times New Roman" w:hAnsi="Times New Roman" w:cs="Times New Roman"/>
                <w:sz w:val="15"/>
                <w:szCs w:val="15"/>
              </w:rPr>
            </w:pPr>
            <w:r w:rsidRPr="004A4899">
              <w:rPr>
                <w:rFonts w:ascii="Times New Roman" w:hAnsi="Times New Roman" w:cs="Times New Roman"/>
                <w:sz w:val="15"/>
                <w:szCs w:val="15"/>
              </w:rPr>
              <w:t>36.32</w:t>
            </w:r>
          </w:p>
        </w:tc>
        <w:tc>
          <w:tcPr>
            <w:tcW w:w="627" w:type="dxa"/>
            <w:noWrap/>
            <w:vAlign w:val="center"/>
            <w:hideMark/>
          </w:tcPr>
          <w:p w14:paraId="5DA48FD9" w14:textId="77777777" w:rsidR="00126D8D" w:rsidRPr="004A4899" w:rsidRDefault="00126D8D" w:rsidP="00820288">
            <w:pPr>
              <w:spacing w:line="240" w:lineRule="auto"/>
              <w:rPr>
                <w:rFonts w:ascii="Times New Roman" w:hAnsi="Times New Roman" w:cs="Times New Roman"/>
                <w:sz w:val="15"/>
                <w:szCs w:val="15"/>
              </w:rPr>
            </w:pPr>
            <w:r w:rsidRPr="004A4899">
              <w:rPr>
                <w:rFonts w:ascii="Times New Roman" w:hAnsi="Times New Roman" w:cs="Times New Roman"/>
                <w:sz w:val="15"/>
                <w:szCs w:val="15"/>
              </w:rPr>
              <w:t>a</w:t>
            </w:r>
          </w:p>
        </w:tc>
      </w:tr>
      <w:tr w:rsidR="00126D8D" w:rsidRPr="004A4899" w14:paraId="60E9EC93" w14:textId="77777777" w:rsidTr="00820288">
        <w:trPr>
          <w:trHeight w:val="144"/>
        </w:trPr>
        <w:tc>
          <w:tcPr>
            <w:tcW w:w="1916" w:type="dxa"/>
            <w:noWrap/>
            <w:vAlign w:val="center"/>
            <w:hideMark/>
          </w:tcPr>
          <w:p w14:paraId="6BB62125" w14:textId="77777777" w:rsidR="00126D8D" w:rsidRPr="004A4899" w:rsidRDefault="00126D8D" w:rsidP="00820288">
            <w:pPr>
              <w:spacing w:line="240" w:lineRule="auto"/>
              <w:rPr>
                <w:rFonts w:ascii="Times New Roman" w:hAnsi="Times New Roman" w:cs="Times New Roman"/>
                <w:sz w:val="15"/>
                <w:szCs w:val="15"/>
              </w:rPr>
            </w:pPr>
            <w:r w:rsidRPr="004A4899">
              <w:rPr>
                <w:rFonts w:ascii="Times New Roman" w:hAnsi="Times New Roman" w:cs="Times New Roman"/>
                <w:sz w:val="15"/>
                <w:szCs w:val="15"/>
              </w:rPr>
              <w:t>N-phenyl-Formamide</w:t>
            </w:r>
          </w:p>
        </w:tc>
        <w:tc>
          <w:tcPr>
            <w:tcW w:w="758" w:type="dxa"/>
            <w:noWrap/>
            <w:vAlign w:val="center"/>
            <w:hideMark/>
          </w:tcPr>
          <w:p w14:paraId="45227B88" w14:textId="77777777" w:rsidR="00126D8D" w:rsidRPr="004A4899" w:rsidRDefault="00126D8D" w:rsidP="00820288">
            <w:pPr>
              <w:spacing w:line="240" w:lineRule="auto"/>
              <w:jc w:val="right"/>
              <w:rPr>
                <w:rFonts w:ascii="Times New Roman" w:hAnsi="Times New Roman" w:cs="Times New Roman"/>
                <w:sz w:val="15"/>
                <w:szCs w:val="15"/>
              </w:rPr>
            </w:pPr>
            <w:r w:rsidRPr="004A4899">
              <w:rPr>
                <w:rFonts w:ascii="Times New Roman" w:hAnsi="Times New Roman" w:cs="Times New Roman"/>
                <w:sz w:val="15"/>
                <w:szCs w:val="15"/>
              </w:rPr>
              <w:t>6.92</w:t>
            </w:r>
          </w:p>
        </w:tc>
        <w:tc>
          <w:tcPr>
            <w:tcW w:w="366" w:type="dxa"/>
            <w:noWrap/>
            <w:vAlign w:val="center"/>
            <w:hideMark/>
          </w:tcPr>
          <w:p w14:paraId="56E9EA3F" w14:textId="77777777" w:rsidR="00126D8D" w:rsidRPr="004A4899" w:rsidRDefault="00126D8D" w:rsidP="00820288">
            <w:pPr>
              <w:spacing w:line="240" w:lineRule="auto"/>
              <w:rPr>
                <w:rFonts w:ascii="Times New Roman" w:hAnsi="Times New Roman" w:cs="Times New Roman"/>
                <w:sz w:val="15"/>
                <w:szCs w:val="15"/>
              </w:rPr>
            </w:pPr>
            <w:r w:rsidRPr="004A4899">
              <w:rPr>
                <w:rFonts w:ascii="Times New Roman" w:hAnsi="Times New Roman" w:cs="Times New Roman"/>
                <w:sz w:val="15"/>
                <w:szCs w:val="15"/>
              </w:rPr>
              <w:t>b</w:t>
            </w:r>
          </w:p>
        </w:tc>
        <w:tc>
          <w:tcPr>
            <w:tcW w:w="712" w:type="dxa"/>
            <w:noWrap/>
            <w:vAlign w:val="center"/>
            <w:hideMark/>
          </w:tcPr>
          <w:p w14:paraId="66CC448E" w14:textId="77777777" w:rsidR="00126D8D" w:rsidRPr="004A4899" w:rsidRDefault="00126D8D" w:rsidP="00820288">
            <w:pPr>
              <w:spacing w:line="240" w:lineRule="auto"/>
              <w:jc w:val="right"/>
              <w:rPr>
                <w:rFonts w:ascii="Times New Roman" w:hAnsi="Times New Roman" w:cs="Times New Roman"/>
                <w:sz w:val="15"/>
                <w:szCs w:val="15"/>
              </w:rPr>
            </w:pPr>
            <w:r w:rsidRPr="004A4899">
              <w:rPr>
                <w:rFonts w:ascii="Times New Roman" w:hAnsi="Times New Roman" w:cs="Times New Roman"/>
                <w:sz w:val="15"/>
                <w:szCs w:val="15"/>
              </w:rPr>
              <w:t>6.32</w:t>
            </w:r>
          </w:p>
        </w:tc>
        <w:tc>
          <w:tcPr>
            <w:tcW w:w="368" w:type="dxa"/>
            <w:noWrap/>
            <w:vAlign w:val="center"/>
            <w:hideMark/>
          </w:tcPr>
          <w:p w14:paraId="456EFB57" w14:textId="77777777" w:rsidR="00126D8D" w:rsidRPr="004A4899" w:rsidRDefault="00126D8D" w:rsidP="00820288">
            <w:pPr>
              <w:spacing w:line="240" w:lineRule="auto"/>
              <w:rPr>
                <w:rFonts w:ascii="Times New Roman" w:hAnsi="Times New Roman" w:cs="Times New Roman"/>
                <w:sz w:val="15"/>
                <w:szCs w:val="15"/>
              </w:rPr>
            </w:pPr>
            <w:r w:rsidRPr="004A4899">
              <w:rPr>
                <w:rFonts w:ascii="Times New Roman" w:hAnsi="Times New Roman" w:cs="Times New Roman"/>
                <w:sz w:val="15"/>
                <w:szCs w:val="15"/>
              </w:rPr>
              <w:t>b</w:t>
            </w:r>
          </w:p>
        </w:tc>
        <w:tc>
          <w:tcPr>
            <w:tcW w:w="712" w:type="dxa"/>
            <w:noWrap/>
            <w:vAlign w:val="center"/>
            <w:hideMark/>
          </w:tcPr>
          <w:p w14:paraId="4DAD06D5" w14:textId="77777777" w:rsidR="00126D8D" w:rsidRPr="004A4899" w:rsidRDefault="00126D8D" w:rsidP="00820288">
            <w:pPr>
              <w:spacing w:line="240" w:lineRule="auto"/>
              <w:jc w:val="right"/>
              <w:rPr>
                <w:rFonts w:ascii="Times New Roman" w:hAnsi="Times New Roman" w:cs="Times New Roman"/>
                <w:sz w:val="15"/>
                <w:szCs w:val="15"/>
              </w:rPr>
            </w:pPr>
            <w:r w:rsidRPr="004A4899">
              <w:rPr>
                <w:rFonts w:ascii="Times New Roman" w:hAnsi="Times New Roman" w:cs="Times New Roman"/>
                <w:sz w:val="15"/>
                <w:szCs w:val="15"/>
              </w:rPr>
              <w:t>9.05</w:t>
            </w:r>
          </w:p>
        </w:tc>
        <w:tc>
          <w:tcPr>
            <w:tcW w:w="368" w:type="dxa"/>
            <w:noWrap/>
            <w:vAlign w:val="center"/>
            <w:hideMark/>
          </w:tcPr>
          <w:p w14:paraId="01EBE523" w14:textId="77777777" w:rsidR="00126D8D" w:rsidRPr="004A4899" w:rsidRDefault="00126D8D" w:rsidP="00820288">
            <w:pPr>
              <w:spacing w:line="240" w:lineRule="auto"/>
              <w:rPr>
                <w:rFonts w:ascii="Times New Roman" w:hAnsi="Times New Roman" w:cs="Times New Roman"/>
                <w:sz w:val="15"/>
                <w:szCs w:val="15"/>
              </w:rPr>
            </w:pPr>
            <w:r w:rsidRPr="004A4899">
              <w:rPr>
                <w:rFonts w:ascii="Times New Roman" w:hAnsi="Times New Roman" w:cs="Times New Roman"/>
                <w:sz w:val="15"/>
                <w:szCs w:val="15"/>
              </w:rPr>
              <w:t>b</w:t>
            </w:r>
          </w:p>
        </w:tc>
        <w:tc>
          <w:tcPr>
            <w:tcW w:w="916" w:type="dxa"/>
            <w:noWrap/>
            <w:vAlign w:val="center"/>
            <w:hideMark/>
          </w:tcPr>
          <w:p w14:paraId="51C21554" w14:textId="77777777" w:rsidR="00126D8D" w:rsidRPr="004A4899" w:rsidRDefault="00126D8D" w:rsidP="00820288">
            <w:pPr>
              <w:spacing w:line="240" w:lineRule="auto"/>
              <w:jc w:val="right"/>
              <w:rPr>
                <w:rFonts w:ascii="Times New Roman" w:hAnsi="Times New Roman" w:cs="Times New Roman"/>
                <w:sz w:val="15"/>
                <w:szCs w:val="15"/>
              </w:rPr>
            </w:pPr>
            <w:r w:rsidRPr="004A4899">
              <w:rPr>
                <w:rFonts w:ascii="Times New Roman" w:hAnsi="Times New Roman" w:cs="Times New Roman"/>
                <w:sz w:val="15"/>
                <w:szCs w:val="15"/>
              </w:rPr>
              <w:t>39.48</w:t>
            </w:r>
          </w:p>
        </w:tc>
        <w:tc>
          <w:tcPr>
            <w:tcW w:w="627" w:type="dxa"/>
            <w:noWrap/>
            <w:vAlign w:val="center"/>
            <w:hideMark/>
          </w:tcPr>
          <w:p w14:paraId="1DB91867" w14:textId="77777777" w:rsidR="00126D8D" w:rsidRPr="004A4899" w:rsidRDefault="00126D8D" w:rsidP="00820288">
            <w:pPr>
              <w:spacing w:line="240" w:lineRule="auto"/>
              <w:rPr>
                <w:rFonts w:ascii="Times New Roman" w:hAnsi="Times New Roman" w:cs="Times New Roman"/>
                <w:sz w:val="15"/>
                <w:szCs w:val="15"/>
              </w:rPr>
            </w:pPr>
            <w:r w:rsidRPr="004A4899">
              <w:rPr>
                <w:rFonts w:ascii="Times New Roman" w:hAnsi="Times New Roman" w:cs="Times New Roman"/>
                <w:sz w:val="15"/>
                <w:szCs w:val="15"/>
              </w:rPr>
              <w:t>a</w:t>
            </w:r>
          </w:p>
        </w:tc>
      </w:tr>
      <w:tr w:rsidR="00126D8D" w:rsidRPr="004A4899" w14:paraId="68EFCF7D" w14:textId="77777777" w:rsidTr="00820288">
        <w:trPr>
          <w:trHeight w:val="144"/>
        </w:trPr>
        <w:tc>
          <w:tcPr>
            <w:tcW w:w="1916" w:type="dxa"/>
            <w:noWrap/>
            <w:vAlign w:val="center"/>
            <w:hideMark/>
          </w:tcPr>
          <w:p w14:paraId="0925B659" w14:textId="77777777" w:rsidR="00126D8D" w:rsidRPr="004A4899" w:rsidRDefault="00126D8D" w:rsidP="00820288">
            <w:pPr>
              <w:spacing w:line="240" w:lineRule="auto"/>
              <w:rPr>
                <w:rFonts w:ascii="Times New Roman" w:hAnsi="Times New Roman" w:cs="Times New Roman"/>
                <w:sz w:val="15"/>
                <w:szCs w:val="15"/>
              </w:rPr>
            </w:pPr>
            <w:r w:rsidRPr="004A4899">
              <w:rPr>
                <w:rFonts w:ascii="Times New Roman" w:hAnsi="Times New Roman" w:cs="Times New Roman"/>
                <w:sz w:val="15"/>
                <w:szCs w:val="15"/>
              </w:rPr>
              <w:t>2-Ethyl-furan</w:t>
            </w:r>
          </w:p>
        </w:tc>
        <w:tc>
          <w:tcPr>
            <w:tcW w:w="758" w:type="dxa"/>
            <w:noWrap/>
            <w:vAlign w:val="center"/>
            <w:hideMark/>
          </w:tcPr>
          <w:p w14:paraId="06D119E0" w14:textId="77777777" w:rsidR="00126D8D" w:rsidRPr="004A4899" w:rsidRDefault="00126D8D" w:rsidP="00820288">
            <w:pPr>
              <w:spacing w:line="240" w:lineRule="auto"/>
              <w:jc w:val="right"/>
              <w:rPr>
                <w:rFonts w:ascii="Times New Roman" w:hAnsi="Times New Roman" w:cs="Times New Roman"/>
                <w:sz w:val="15"/>
                <w:szCs w:val="15"/>
              </w:rPr>
            </w:pPr>
            <w:r w:rsidRPr="004A4899">
              <w:rPr>
                <w:rFonts w:ascii="Times New Roman" w:hAnsi="Times New Roman" w:cs="Times New Roman"/>
                <w:sz w:val="15"/>
                <w:szCs w:val="15"/>
              </w:rPr>
              <w:t>27.51</w:t>
            </w:r>
          </w:p>
        </w:tc>
        <w:tc>
          <w:tcPr>
            <w:tcW w:w="366" w:type="dxa"/>
            <w:noWrap/>
            <w:vAlign w:val="center"/>
            <w:hideMark/>
          </w:tcPr>
          <w:p w14:paraId="1EDA59EE" w14:textId="77777777" w:rsidR="00126D8D" w:rsidRPr="004A4899" w:rsidRDefault="00126D8D" w:rsidP="00820288">
            <w:pPr>
              <w:spacing w:line="240" w:lineRule="auto"/>
              <w:rPr>
                <w:rFonts w:ascii="Times New Roman" w:hAnsi="Times New Roman" w:cs="Times New Roman"/>
                <w:sz w:val="15"/>
                <w:szCs w:val="15"/>
              </w:rPr>
            </w:pPr>
            <w:r w:rsidRPr="004A4899">
              <w:rPr>
                <w:rFonts w:ascii="Times New Roman" w:hAnsi="Times New Roman" w:cs="Times New Roman"/>
                <w:sz w:val="15"/>
                <w:szCs w:val="15"/>
              </w:rPr>
              <w:t>c</w:t>
            </w:r>
          </w:p>
        </w:tc>
        <w:tc>
          <w:tcPr>
            <w:tcW w:w="712" w:type="dxa"/>
            <w:noWrap/>
            <w:vAlign w:val="center"/>
            <w:hideMark/>
          </w:tcPr>
          <w:p w14:paraId="39B8B1BD" w14:textId="77777777" w:rsidR="00126D8D" w:rsidRPr="004A4899" w:rsidRDefault="00126D8D" w:rsidP="00820288">
            <w:pPr>
              <w:spacing w:line="240" w:lineRule="auto"/>
              <w:jc w:val="right"/>
              <w:rPr>
                <w:rFonts w:ascii="Times New Roman" w:hAnsi="Times New Roman" w:cs="Times New Roman"/>
                <w:sz w:val="15"/>
                <w:szCs w:val="15"/>
              </w:rPr>
            </w:pPr>
            <w:r w:rsidRPr="004A4899">
              <w:rPr>
                <w:rFonts w:ascii="Times New Roman" w:hAnsi="Times New Roman" w:cs="Times New Roman"/>
                <w:sz w:val="15"/>
                <w:szCs w:val="15"/>
              </w:rPr>
              <w:t>29.83</w:t>
            </w:r>
          </w:p>
        </w:tc>
        <w:tc>
          <w:tcPr>
            <w:tcW w:w="368" w:type="dxa"/>
            <w:noWrap/>
            <w:vAlign w:val="center"/>
            <w:hideMark/>
          </w:tcPr>
          <w:p w14:paraId="7D8774ED" w14:textId="77777777" w:rsidR="00126D8D" w:rsidRPr="004A4899" w:rsidRDefault="00126D8D" w:rsidP="00820288">
            <w:pPr>
              <w:spacing w:line="240" w:lineRule="auto"/>
              <w:rPr>
                <w:rFonts w:ascii="Times New Roman" w:hAnsi="Times New Roman" w:cs="Times New Roman"/>
                <w:sz w:val="15"/>
                <w:szCs w:val="15"/>
              </w:rPr>
            </w:pPr>
            <w:r w:rsidRPr="004A4899">
              <w:rPr>
                <w:rFonts w:ascii="Times New Roman" w:hAnsi="Times New Roman" w:cs="Times New Roman"/>
                <w:sz w:val="15"/>
                <w:szCs w:val="15"/>
              </w:rPr>
              <w:t>b</w:t>
            </w:r>
          </w:p>
        </w:tc>
        <w:tc>
          <w:tcPr>
            <w:tcW w:w="712" w:type="dxa"/>
            <w:noWrap/>
            <w:vAlign w:val="center"/>
            <w:hideMark/>
          </w:tcPr>
          <w:p w14:paraId="509D9D0F" w14:textId="77777777" w:rsidR="00126D8D" w:rsidRPr="004A4899" w:rsidRDefault="00126D8D" w:rsidP="00820288">
            <w:pPr>
              <w:spacing w:line="240" w:lineRule="auto"/>
              <w:jc w:val="right"/>
              <w:rPr>
                <w:rFonts w:ascii="Times New Roman" w:hAnsi="Times New Roman" w:cs="Times New Roman"/>
                <w:sz w:val="15"/>
                <w:szCs w:val="15"/>
              </w:rPr>
            </w:pPr>
            <w:r w:rsidRPr="004A4899">
              <w:rPr>
                <w:rFonts w:ascii="Times New Roman" w:hAnsi="Times New Roman" w:cs="Times New Roman"/>
                <w:sz w:val="15"/>
                <w:szCs w:val="15"/>
              </w:rPr>
              <w:t>29.59</w:t>
            </w:r>
          </w:p>
        </w:tc>
        <w:tc>
          <w:tcPr>
            <w:tcW w:w="368" w:type="dxa"/>
            <w:noWrap/>
            <w:vAlign w:val="center"/>
            <w:hideMark/>
          </w:tcPr>
          <w:p w14:paraId="499F371E" w14:textId="77777777" w:rsidR="00126D8D" w:rsidRPr="004A4899" w:rsidRDefault="00126D8D" w:rsidP="00820288">
            <w:pPr>
              <w:spacing w:line="240" w:lineRule="auto"/>
              <w:rPr>
                <w:rFonts w:ascii="Times New Roman" w:hAnsi="Times New Roman" w:cs="Times New Roman"/>
                <w:sz w:val="15"/>
                <w:szCs w:val="15"/>
              </w:rPr>
            </w:pPr>
            <w:r w:rsidRPr="004A4899">
              <w:rPr>
                <w:rFonts w:ascii="Times New Roman" w:hAnsi="Times New Roman" w:cs="Times New Roman"/>
                <w:sz w:val="15"/>
                <w:szCs w:val="15"/>
              </w:rPr>
              <w:t>b</w:t>
            </w:r>
          </w:p>
        </w:tc>
        <w:tc>
          <w:tcPr>
            <w:tcW w:w="916" w:type="dxa"/>
            <w:noWrap/>
            <w:vAlign w:val="center"/>
            <w:hideMark/>
          </w:tcPr>
          <w:p w14:paraId="7C125E99" w14:textId="77777777" w:rsidR="00126D8D" w:rsidRPr="004A4899" w:rsidRDefault="00126D8D" w:rsidP="00820288">
            <w:pPr>
              <w:spacing w:line="240" w:lineRule="auto"/>
              <w:jc w:val="right"/>
              <w:rPr>
                <w:rFonts w:ascii="Times New Roman" w:hAnsi="Times New Roman" w:cs="Times New Roman"/>
                <w:sz w:val="15"/>
                <w:szCs w:val="15"/>
              </w:rPr>
            </w:pPr>
            <w:r w:rsidRPr="004A4899">
              <w:rPr>
                <w:rFonts w:ascii="Times New Roman" w:hAnsi="Times New Roman" w:cs="Times New Roman"/>
                <w:sz w:val="15"/>
                <w:szCs w:val="15"/>
              </w:rPr>
              <w:t>32.22</w:t>
            </w:r>
          </w:p>
        </w:tc>
        <w:tc>
          <w:tcPr>
            <w:tcW w:w="627" w:type="dxa"/>
            <w:noWrap/>
            <w:vAlign w:val="center"/>
            <w:hideMark/>
          </w:tcPr>
          <w:p w14:paraId="67C41894" w14:textId="77777777" w:rsidR="00126D8D" w:rsidRPr="004A4899" w:rsidRDefault="00126D8D" w:rsidP="00820288">
            <w:pPr>
              <w:spacing w:line="240" w:lineRule="auto"/>
              <w:rPr>
                <w:rFonts w:ascii="Times New Roman" w:hAnsi="Times New Roman" w:cs="Times New Roman"/>
                <w:sz w:val="15"/>
                <w:szCs w:val="15"/>
              </w:rPr>
            </w:pPr>
            <w:r w:rsidRPr="004A4899">
              <w:rPr>
                <w:rFonts w:ascii="Times New Roman" w:hAnsi="Times New Roman" w:cs="Times New Roman"/>
                <w:sz w:val="15"/>
                <w:szCs w:val="15"/>
              </w:rPr>
              <w:t>a</w:t>
            </w:r>
          </w:p>
        </w:tc>
      </w:tr>
      <w:tr w:rsidR="00126D8D" w:rsidRPr="004A4899" w14:paraId="0166B7B8" w14:textId="77777777" w:rsidTr="00820288">
        <w:trPr>
          <w:trHeight w:val="144"/>
        </w:trPr>
        <w:tc>
          <w:tcPr>
            <w:tcW w:w="1916" w:type="dxa"/>
            <w:noWrap/>
            <w:vAlign w:val="center"/>
            <w:hideMark/>
          </w:tcPr>
          <w:p w14:paraId="52F7D390" w14:textId="77777777" w:rsidR="00126D8D" w:rsidRPr="004A4899" w:rsidRDefault="00126D8D" w:rsidP="00820288">
            <w:pPr>
              <w:spacing w:line="240" w:lineRule="auto"/>
              <w:rPr>
                <w:rFonts w:ascii="Times New Roman" w:hAnsi="Times New Roman" w:cs="Times New Roman"/>
                <w:sz w:val="15"/>
                <w:szCs w:val="15"/>
              </w:rPr>
            </w:pPr>
            <w:r w:rsidRPr="004A4899">
              <w:rPr>
                <w:rFonts w:ascii="Times New Roman" w:hAnsi="Times New Roman" w:cs="Times New Roman"/>
                <w:sz w:val="15"/>
                <w:szCs w:val="15"/>
              </w:rPr>
              <w:t>2-Pentyl-furan</w:t>
            </w:r>
          </w:p>
        </w:tc>
        <w:tc>
          <w:tcPr>
            <w:tcW w:w="758" w:type="dxa"/>
            <w:noWrap/>
            <w:vAlign w:val="center"/>
            <w:hideMark/>
          </w:tcPr>
          <w:p w14:paraId="087C1D66" w14:textId="77777777" w:rsidR="00126D8D" w:rsidRPr="004A4899" w:rsidRDefault="00126D8D" w:rsidP="00820288">
            <w:pPr>
              <w:spacing w:line="240" w:lineRule="auto"/>
              <w:jc w:val="right"/>
              <w:rPr>
                <w:rFonts w:ascii="Times New Roman" w:hAnsi="Times New Roman" w:cs="Times New Roman"/>
                <w:sz w:val="15"/>
                <w:szCs w:val="15"/>
              </w:rPr>
            </w:pPr>
            <w:r w:rsidRPr="004A4899">
              <w:rPr>
                <w:rFonts w:ascii="Times New Roman" w:hAnsi="Times New Roman" w:cs="Times New Roman"/>
                <w:sz w:val="15"/>
                <w:szCs w:val="15"/>
              </w:rPr>
              <w:t>4.83</w:t>
            </w:r>
          </w:p>
        </w:tc>
        <w:tc>
          <w:tcPr>
            <w:tcW w:w="366" w:type="dxa"/>
            <w:noWrap/>
            <w:vAlign w:val="center"/>
            <w:hideMark/>
          </w:tcPr>
          <w:p w14:paraId="1C807C9E" w14:textId="77777777" w:rsidR="00126D8D" w:rsidRPr="004A4899" w:rsidRDefault="00126D8D" w:rsidP="00820288">
            <w:pPr>
              <w:spacing w:line="240" w:lineRule="auto"/>
              <w:rPr>
                <w:rFonts w:ascii="Times New Roman" w:hAnsi="Times New Roman" w:cs="Times New Roman"/>
                <w:sz w:val="15"/>
                <w:szCs w:val="15"/>
              </w:rPr>
            </w:pPr>
            <w:r w:rsidRPr="004A4899">
              <w:rPr>
                <w:rFonts w:ascii="Times New Roman" w:hAnsi="Times New Roman" w:cs="Times New Roman"/>
                <w:sz w:val="15"/>
                <w:szCs w:val="15"/>
              </w:rPr>
              <w:t>b</w:t>
            </w:r>
          </w:p>
        </w:tc>
        <w:tc>
          <w:tcPr>
            <w:tcW w:w="712" w:type="dxa"/>
            <w:noWrap/>
            <w:vAlign w:val="center"/>
            <w:hideMark/>
          </w:tcPr>
          <w:p w14:paraId="08397379" w14:textId="77777777" w:rsidR="00126D8D" w:rsidRPr="004A4899" w:rsidRDefault="00126D8D" w:rsidP="00820288">
            <w:pPr>
              <w:spacing w:line="240" w:lineRule="auto"/>
              <w:jc w:val="right"/>
              <w:rPr>
                <w:rFonts w:ascii="Times New Roman" w:hAnsi="Times New Roman" w:cs="Times New Roman"/>
                <w:sz w:val="15"/>
                <w:szCs w:val="15"/>
              </w:rPr>
            </w:pPr>
            <w:r w:rsidRPr="004A4899">
              <w:rPr>
                <w:rFonts w:ascii="Times New Roman" w:hAnsi="Times New Roman" w:cs="Times New Roman"/>
                <w:sz w:val="15"/>
                <w:szCs w:val="15"/>
              </w:rPr>
              <w:t>5.97</w:t>
            </w:r>
          </w:p>
        </w:tc>
        <w:tc>
          <w:tcPr>
            <w:tcW w:w="368" w:type="dxa"/>
            <w:noWrap/>
            <w:vAlign w:val="center"/>
            <w:hideMark/>
          </w:tcPr>
          <w:p w14:paraId="1F0F93AB" w14:textId="77777777" w:rsidR="00126D8D" w:rsidRPr="004A4899" w:rsidRDefault="00126D8D" w:rsidP="00820288">
            <w:pPr>
              <w:spacing w:line="240" w:lineRule="auto"/>
              <w:rPr>
                <w:rFonts w:ascii="Times New Roman" w:hAnsi="Times New Roman" w:cs="Times New Roman"/>
                <w:sz w:val="15"/>
                <w:szCs w:val="15"/>
              </w:rPr>
            </w:pPr>
            <w:r w:rsidRPr="004A4899">
              <w:rPr>
                <w:rFonts w:ascii="Times New Roman" w:hAnsi="Times New Roman" w:cs="Times New Roman"/>
                <w:sz w:val="15"/>
                <w:szCs w:val="15"/>
              </w:rPr>
              <w:t>ab</w:t>
            </w:r>
          </w:p>
        </w:tc>
        <w:tc>
          <w:tcPr>
            <w:tcW w:w="712" w:type="dxa"/>
            <w:noWrap/>
            <w:vAlign w:val="center"/>
            <w:hideMark/>
          </w:tcPr>
          <w:p w14:paraId="33A0CF21" w14:textId="77777777" w:rsidR="00126D8D" w:rsidRPr="004A4899" w:rsidRDefault="00126D8D" w:rsidP="00820288">
            <w:pPr>
              <w:spacing w:line="240" w:lineRule="auto"/>
              <w:jc w:val="right"/>
              <w:rPr>
                <w:rFonts w:ascii="Times New Roman" w:hAnsi="Times New Roman" w:cs="Times New Roman"/>
                <w:sz w:val="15"/>
                <w:szCs w:val="15"/>
              </w:rPr>
            </w:pPr>
            <w:r w:rsidRPr="004A4899">
              <w:rPr>
                <w:rFonts w:ascii="Times New Roman" w:hAnsi="Times New Roman" w:cs="Times New Roman"/>
                <w:sz w:val="15"/>
                <w:szCs w:val="15"/>
              </w:rPr>
              <w:t>6.33</w:t>
            </w:r>
          </w:p>
        </w:tc>
        <w:tc>
          <w:tcPr>
            <w:tcW w:w="368" w:type="dxa"/>
            <w:noWrap/>
            <w:vAlign w:val="center"/>
            <w:hideMark/>
          </w:tcPr>
          <w:p w14:paraId="3B36EDD2" w14:textId="77777777" w:rsidR="00126D8D" w:rsidRPr="004A4899" w:rsidRDefault="00126D8D" w:rsidP="00820288">
            <w:pPr>
              <w:spacing w:line="240" w:lineRule="auto"/>
              <w:rPr>
                <w:rFonts w:ascii="Times New Roman" w:hAnsi="Times New Roman" w:cs="Times New Roman"/>
                <w:sz w:val="15"/>
                <w:szCs w:val="15"/>
              </w:rPr>
            </w:pPr>
            <w:r w:rsidRPr="004A4899">
              <w:rPr>
                <w:rFonts w:ascii="Times New Roman" w:hAnsi="Times New Roman" w:cs="Times New Roman"/>
                <w:sz w:val="15"/>
                <w:szCs w:val="15"/>
              </w:rPr>
              <w:t>a</w:t>
            </w:r>
          </w:p>
        </w:tc>
        <w:tc>
          <w:tcPr>
            <w:tcW w:w="916" w:type="dxa"/>
            <w:noWrap/>
            <w:vAlign w:val="center"/>
            <w:hideMark/>
          </w:tcPr>
          <w:p w14:paraId="454E5A0B" w14:textId="77777777" w:rsidR="00126D8D" w:rsidRPr="004A4899" w:rsidRDefault="00126D8D" w:rsidP="00820288">
            <w:pPr>
              <w:spacing w:line="240" w:lineRule="auto"/>
              <w:jc w:val="right"/>
              <w:rPr>
                <w:rFonts w:ascii="Times New Roman" w:hAnsi="Times New Roman" w:cs="Times New Roman"/>
                <w:sz w:val="15"/>
                <w:szCs w:val="15"/>
              </w:rPr>
            </w:pPr>
            <w:r w:rsidRPr="004A4899">
              <w:rPr>
                <w:rFonts w:ascii="Times New Roman" w:hAnsi="Times New Roman" w:cs="Times New Roman"/>
                <w:sz w:val="15"/>
                <w:szCs w:val="15"/>
              </w:rPr>
              <w:t>5.27</w:t>
            </w:r>
          </w:p>
        </w:tc>
        <w:tc>
          <w:tcPr>
            <w:tcW w:w="627" w:type="dxa"/>
            <w:noWrap/>
            <w:vAlign w:val="center"/>
            <w:hideMark/>
          </w:tcPr>
          <w:p w14:paraId="69E14025" w14:textId="77777777" w:rsidR="00126D8D" w:rsidRPr="004A4899" w:rsidRDefault="00126D8D" w:rsidP="00820288">
            <w:pPr>
              <w:spacing w:line="240" w:lineRule="auto"/>
              <w:rPr>
                <w:rFonts w:ascii="Times New Roman" w:hAnsi="Times New Roman" w:cs="Times New Roman"/>
                <w:sz w:val="15"/>
                <w:szCs w:val="15"/>
              </w:rPr>
            </w:pPr>
            <w:r w:rsidRPr="004A4899">
              <w:rPr>
                <w:rFonts w:ascii="Times New Roman" w:hAnsi="Times New Roman" w:cs="Times New Roman"/>
                <w:sz w:val="15"/>
                <w:szCs w:val="15"/>
              </w:rPr>
              <w:t>ab</w:t>
            </w:r>
          </w:p>
        </w:tc>
      </w:tr>
      <w:tr w:rsidR="00126D8D" w:rsidRPr="004A4899" w14:paraId="07B7257C" w14:textId="77777777" w:rsidTr="00820288">
        <w:trPr>
          <w:trHeight w:val="144"/>
        </w:trPr>
        <w:tc>
          <w:tcPr>
            <w:tcW w:w="1916" w:type="dxa"/>
            <w:noWrap/>
            <w:vAlign w:val="center"/>
          </w:tcPr>
          <w:p w14:paraId="5CA2AD03" w14:textId="77777777" w:rsidR="00126D8D" w:rsidRPr="004A4899" w:rsidRDefault="00126D8D" w:rsidP="00820288">
            <w:pPr>
              <w:spacing w:line="240" w:lineRule="auto"/>
              <w:rPr>
                <w:rFonts w:ascii="Times New Roman" w:hAnsi="Times New Roman" w:cs="Times New Roman"/>
                <w:b/>
                <w:bCs/>
                <w:sz w:val="15"/>
                <w:szCs w:val="15"/>
              </w:rPr>
            </w:pPr>
            <w:r w:rsidRPr="004A4899">
              <w:rPr>
                <w:rFonts w:ascii="Times New Roman" w:hAnsi="Times New Roman" w:cs="Times New Roman"/>
                <w:b/>
                <w:bCs/>
                <w:sz w:val="15"/>
                <w:szCs w:val="15"/>
              </w:rPr>
              <w:t>Hydrocarbons</w:t>
            </w:r>
          </w:p>
        </w:tc>
        <w:tc>
          <w:tcPr>
            <w:tcW w:w="758" w:type="dxa"/>
            <w:noWrap/>
            <w:vAlign w:val="center"/>
          </w:tcPr>
          <w:p w14:paraId="67D43B82" w14:textId="77777777" w:rsidR="00126D8D" w:rsidRPr="004A4899" w:rsidRDefault="00126D8D" w:rsidP="00820288">
            <w:pPr>
              <w:spacing w:line="240" w:lineRule="auto"/>
              <w:jc w:val="right"/>
              <w:rPr>
                <w:rFonts w:ascii="Times New Roman" w:hAnsi="Times New Roman" w:cs="Times New Roman"/>
                <w:sz w:val="15"/>
                <w:szCs w:val="15"/>
              </w:rPr>
            </w:pPr>
          </w:p>
        </w:tc>
        <w:tc>
          <w:tcPr>
            <w:tcW w:w="366" w:type="dxa"/>
            <w:noWrap/>
            <w:vAlign w:val="center"/>
          </w:tcPr>
          <w:p w14:paraId="53FBD35A" w14:textId="77777777" w:rsidR="00126D8D" w:rsidRPr="004A4899" w:rsidRDefault="00126D8D" w:rsidP="00820288">
            <w:pPr>
              <w:spacing w:line="240" w:lineRule="auto"/>
              <w:rPr>
                <w:rFonts w:ascii="Times New Roman" w:hAnsi="Times New Roman" w:cs="Times New Roman"/>
                <w:sz w:val="15"/>
                <w:szCs w:val="15"/>
              </w:rPr>
            </w:pPr>
          </w:p>
        </w:tc>
        <w:tc>
          <w:tcPr>
            <w:tcW w:w="712" w:type="dxa"/>
            <w:noWrap/>
            <w:vAlign w:val="center"/>
          </w:tcPr>
          <w:p w14:paraId="7EE7F776" w14:textId="77777777" w:rsidR="00126D8D" w:rsidRPr="004A4899" w:rsidRDefault="00126D8D" w:rsidP="00820288">
            <w:pPr>
              <w:spacing w:line="240" w:lineRule="auto"/>
              <w:jc w:val="right"/>
              <w:rPr>
                <w:rFonts w:ascii="Times New Roman" w:hAnsi="Times New Roman" w:cs="Times New Roman"/>
                <w:sz w:val="15"/>
                <w:szCs w:val="15"/>
              </w:rPr>
            </w:pPr>
          </w:p>
        </w:tc>
        <w:tc>
          <w:tcPr>
            <w:tcW w:w="368" w:type="dxa"/>
            <w:noWrap/>
            <w:vAlign w:val="center"/>
          </w:tcPr>
          <w:p w14:paraId="240D6CEB" w14:textId="77777777" w:rsidR="00126D8D" w:rsidRPr="004A4899" w:rsidRDefault="00126D8D" w:rsidP="00820288">
            <w:pPr>
              <w:spacing w:line="240" w:lineRule="auto"/>
              <w:rPr>
                <w:rFonts w:ascii="Times New Roman" w:hAnsi="Times New Roman" w:cs="Times New Roman"/>
                <w:sz w:val="15"/>
                <w:szCs w:val="15"/>
              </w:rPr>
            </w:pPr>
          </w:p>
        </w:tc>
        <w:tc>
          <w:tcPr>
            <w:tcW w:w="712" w:type="dxa"/>
            <w:noWrap/>
            <w:vAlign w:val="center"/>
          </w:tcPr>
          <w:p w14:paraId="3218415F" w14:textId="77777777" w:rsidR="00126D8D" w:rsidRPr="004A4899" w:rsidRDefault="00126D8D" w:rsidP="00820288">
            <w:pPr>
              <w:spacing w:line="240" w:lineRule="auto"/>
              <w:jc w:val="right"/>
              <w:rPr>
                <w:rFonts w:ascii="Times New Roman" w:hAnsi="Times New Roman" w:cs="Times New Roman"/>
                <w:sz w:val="15"/>
                <w:szCs w:val="15"/>
              </w:rPr>
            </w:pPr>
          </w:p>
        </w:tc>
        <w:tc>
          <w:tcPr>
            <w:tcW w:w="368" w:type="dxa"/>
            <w:noWrap/>
            <w:vAlign w:val="center"/>
          </w:tcPr>
          <w:p w14:paraId="6790B6B8" w14:textId="77777777" w:rsidR="00126D8D" w:rsidRPr="004A4899" w:rsidRDefault="00126D8D" w:rsidP="00820288">
            <w:pPr>
              <w:spacing w:line="240" w:lineRule="auto"/>
              <w:rPr>
                <w:rFonts w:ascii="Times New Roman" w:hAnsi="Times New Roman" w:cs="Times New Roman"/>
                <w:sz w:val="15"/>
                <w:szCs w:val="15"/>
              </w:rPr>
            </w:pPr>
          </w:p>
        </w:tc>
        <w:tc>
          <w:tcPr>
            <w:tcW w:w="916" w:type="dxa"/>
            <w:noWrap/>
            <w:vAlign w:val="center"/>
          </w:tcPr>
          <w:p w14:paraId="35BEAF8C" w14:textId="77777777" w:rsidR="00126D8D" w:rsidRPr="004A4899" w:rsidRDefault="00126D8D" w:rsidP="00820288">
            <w:pPr>
              <w:spacing w:line="240" w:lineRule="auto"/>
              <w:jc w:val="center"/>
              <w:rPr>
                <w:rFonts w:ascii="Times New Roman" w:hAnsi="Times New Roman" w:cs="Times New Roman"/>
                <w:sz w:val="15"/>
                <w:szCs w:val="15"/>
              </w:rPr>
            </w:pPr>
          </w:p>
        </w:tc>
        <w:tc>
          <w:tcPr>
            <w:tcW w:w="627" w:type="dxa"/>
            <w:noWrap/>
            <w:vAlign w:val="center"/>
          </w:tcPr>
          <w:p w14:paraId="6F616D9D" w14:textId="77777777" w:rsidR="00126D8D" w:rsidRPr="004A4899" w:rsidRDefault="00126D8D" w:rsidP="00820288">
            <w:pPr>
              <w:spacing w:line="240" w:lineRule="auto"/>
              <w:rPr>
                <w:rFonts w:ascii="Times New Roman" w:hAnsi="Times New Roman" w:cs="Times New Roman"/>
                <w:sz w:val="15"/>
                <w:szCs w:val="15"/>
              </w:rPr>
            </w:pPr>
          </w:p>
        </w:tc>
      </w:tr>
      <w:tr w:rsidR="00126D8D" w:rsidRPr="004A4899" w14:paraId="708C4DEA" w14:textId="77777777" w:rsidTr="00820288">
        <w:trPr>
          <w:trHeight w:val="144"/>
        </w:trPr>
        <w:tc>
          <w:tcPr>
            <w:tcW w:w="1916" w:type="dxa"/>
            <w:noWrap/>
            <w:vAlign w:val="center"/>
            <w:hideMark/>
          </w:tcPr>
          <w:p w14:paraId="1825CCDB" w14:textId="77777777" w:rsidR="00126D8D" w:rsidRPr="004A4899" w:rsidRDefault="00126D8D" w:rsidP="00820288">
            <w:pPr>
              <w:spacing w:line="240" w:lineRule="auto"/>
              <w:rPr>
                <w:rFonts w:ascii="Times New Roman" w:hAnsi="Times New Roman" w:cs="Times New Roman"/>
                <w:sz w:val="15"/>
                <w:szCs w:val="15"/>
              </w:rPr>
            </w:pPr>
            <w:r w:rsidRPr="004A4899">
              <w:rPr>
                <w:rFonts w:ascii="Times New Roman" w:hAnsi="Times New Roman" w:cs="Times New Roman"/>
                <w:sz w:val="15"/>
                <w:szCs w:val="15"/>
              </w:rPr>
              <w:t>1,4-Cyclohexadiene</w:t>
            </w:r>
          </w:p>
        </w:tc>
        <w:tc>
          <w:tcPr>
            <w:tcW w:w="758" w:type="dxa"/>
            <w:noWrap/>
            <w:vAlign w:val="center"/>
            <w:hideMark/>
          </w:tcPr>
          <w:p w14:paraId="7D30B9FB" w14:textId="77777777" w:rsidR="00126D8D" w:rsidRPr="004A4899" w:rsidRDefault="00126D8D" w:rsidP="00820288">
            <w:pPr>
              <w:spacing w:line="240" w:lineRule="auto"/>
              <w:jc w:val="right"/>
              <w:rPr>
                <w:rFonts w:ascii="Times New Roman" w:hAnsi="Times New Roman" w:cs="Times New Roman"/>
                <w:sz w:val="15"/>
                <w:szCs w:val="15"/>
              </w:rPr>
            </w:pPr>
            <w:r w:rsidRPr="004A4899">
              <w:rPr>
                <w:rFonts w:ascii="Times New Roman" w:hAnsi="Times New Roman" w:cs="Times New Roman"/>
                <w:sz w:val="15"/>
                <w:szCs w:val="15"/>
              </w:rPr>
              <w:t>6.00</w:t>
            </w:r>
          </w:p>
        </w:tc>
        <w:tc>
          <w:tcPr>
            <w:tcW w:w="366" w:type="dxa"/>
            <w:noWrap/>
            <w:vAlign w:val="center"/>
            <w:hideMark/>
          </w:tcPr>
          <w:p w14:paraId="515BDCE0" w14:textId="77777777" w:rsidR="00126D8D" w:rsidRPr="004A4899" w:rsidRDefault="00126D8D" w:rsidP="00820288">
            <w:pPr>
              <w:spacing w:line="240" w:lineRule="auto"/>
              <w:rPr>
                <w:rFonts w:ascii="Times New Roman" w:hAnsi="Times New Roman" w:cs="Times New Roman"/>
                <w:sz w:val="15"/>
                <w:szCs w:val="15"/>
              </w:rPr>
            </w:pPr>
            <w:r w:rsidRPr="004A4899">
              <w:rPr>
                <w:rFonts w:ascii="Times New Roman" w:hAnsi="Times New Roman" w:cs="Times New Roman"/>
                <w:sz w:val="15"/>
                <w:szCs w:val="15"/>
              </w:rPr>
              <w:t>c</w:t>
            </w:r>
          </w:p>
        </w:tc>
        <w:tc>
          <w:tcPr>
            <w:tcW w:w="712" w:type="dxa"/>
            <w:noWrap/>
            <w:vAlign w:val="center"/>
            <w:hideMark/>
          </w:tcPr>
          <w:p w14:paraId="4C355F9B" w14:textId="77777777" w:rsidR="00126D8D" w:rsidRPr="004A4899" w:rsidRDefault="00126D8D" w:rsidP="00820288">
            <w:pPr>
              <w:spacing w:line="240" w:lineRule="auto"/>
              <w:jc w:val="right"/>
              <w:rPr>
                <w:rFonts w:ascii="Times New Roman" w:hAnsi="Times New Roman" w:cs="Times New Roman"/>
                <w:sz w:val="15"/>
                <w:szCs w:val="15"/>
              </w:rPr>
            </w:pPr>
            <w:r w:rsidRPr="004A4899">
              <w:rPr>
                <w:rFonts w:ascii="Times New Roman" w:hAnsi="Times New Roman" w:cs="Times New Roman"/>
                <w:sz w:val="15"/>
                <w:szCs w:val="15"/>
              </w:rPr>
              <w:t>10.31</w:t>
            </w:r>
          </w:p>
        </w:tc>
        <w:tc>
          <w:tcPr>
            <w:tcW w:w="368" w:type="dxa"/>
            <w:noWrap/>
            <w:vAlign w:val="center"/>
            <w:hideMark/>
          </w:tcPr>
          <w:p w14:paraId="36A19C2B" w14:textId="77777777" w:rsidR="00126D8D" w:rsidRPr="004A4899" w:rsidRDefault="00126D8D" w:rsidP="00820288">
            <w:pPr>
              <w:spacing w:line="240" w:lineRule="auto"/>
              <w:rPr>
                <w:rFonts w:ascii="Times New Roman" w:hAnsi="Times New Roman" w:cs="Times New Roman"/>
                <w:sz w:val="15"/>
                <w:szCs w:val="15"/>
              </w:rPr>
            </w:pPr>
            <w:r w:rsidRPr="004A4899">
              <w:rPr>
                <w:rFonts w:ascii="Times New Roman" w:hAnsi="Times New Roman" w:cs="Times New Roman"/>
                <w:sz w:val="15"/>
                <w:szCs w:val="15"/>
              </w:rPr>
              <w:t>b</w:t>
            </w:r>
          </w:p>
        </w:tc>
        <w:tc>
          <w:tcPr>
            <w:tcW w:w="712" w:type="dxa"/>
            <w:noWrap/>
            <w:vAlign w:val="center"/>
            <w:hideMark/>
          </w:tcPr>
          <w:p w14:paraId="70F0F5CF" w14:textId="77777777" w:rsidR="00126D8D" w:rsidRPr="004A4899" w:rsidRDefault="00126D8D" w:rsidP="00820288">
            <w:pPr>
              <w:spacing w:line="240" w:lineRule="auto"/>
              <w:jc w:val="right"/>
              <w:rPr>
                <w:rFonts w:ascii="Times New Roman" w:hAnsi="Times New Roman" w:cs="Times New Roman"/>
                <w:sz w:val="15"/>
                <w:szCs w:val="15"/>
              </w:rPr>
            </w:pPr>
            <w:r w:rsidRPr="004A4899">
              <w:rPr>
                <w:rFonts w:ascii="Times New Roman" w:hAnsi="Times New Roman" w:cs="Times New Roman"/>
                <w:sz w:val="15"/>
                <w:szCs w:val="15"/>
              </w:rPr>
              <w:t>17.34</w:t>
            </w:r>
          </w:p>
        </w:tc>
        <w:tc>
          <w:tcPr>
            <w:tcW w:w="368" w:type="dxa"/>
            <w:noWrap/>
            <w:vAlign w:val="center"/>
            <w:hideMark/>
          </w:tcPr>
          <w:p w14:paraId="6712FE62" w14:textId="77777777" w:rsidR="00126D8D" w:rsidRPr="004A4899" w:rsidRDefault="00126D8D" w:rsidP="00820288">
            <w:pPr>
              <w:spacing w:line="240" w:lineRule="auto"/>
              <w:rPr>
                <w:rFonts w:ascii="Times New Roman" w:hAnsi="Times New Roman" w:cs="Times New Roman"/>
                <w:sz w:val="15"/>
                <w:szCs w:val="15"/>
              </w:rPr>
            </w:pPr>
            <w:r w:rsidRPr="004A4899">
              <w:rPr>
                <w:rFonts w:ascii="Times New Roman" w:hAnsi="Times New Roman" w:cs="Times New Roman"/>
                <w:sz w:val="15"/>
                <w:szCs w:val="15"/>
              </w:rPr>
              <w:t>a</w:t>
            </w:r>
          </w:p>
        </w:tc>
        <w:tc>
          <w:tcPr>
            <w:tcW w:w="916" w:type="dxa"/>
            <w:noWrap/>
            <w:vAlign w:val="center"/>
            <w:hideMark/>
          </w:tcPr>
          <w:p w14:paraId="5EB5DCED" w14:textId="77777777" w:rsidR="00126D8D" w:rsidRPr="004A4899" w:rsidRDefault="00126D8D" w:rsidP="00820288">
            <w:pPr>
              <w:spacing w:line="240" w:lineRule="auto"/>
              <w:jc w:val="right"/>
              <w:rPr>
                <w:rFonts w:ascii="Times New Roman" w:hAnsi="Times New Roman" w:cs="Times New Roman"/>
                <w:sz w:val="15"/>
                <w:szCs w:val="15"/>
              </w:rPr>
            </w:pPr>
            <w:r w:rsidRPr="004A4899">
              <w:rPr>
                <w:rFonts w:ascii="Times New Roman" w:hAnsi="Times New Roman" w:cs="Times New Roman"/>
                <w:sz w:val="15"/>
                <w:szCs w:val="15"/>
              </w:rPr>
              <w:t>16.76</w:t>
            </w:r>
          </w:p>
        </w:tc>
        <w:tc>
          <w:tcPr>
            <w:tcW w:w="627" w:type="dxa"/>
            <w:noWrap/>
            <w:vAlign w:val="center"/>
            <w:hideMark/>
          </w:tcPr>
          <w:p w14:paraId="01E95C73" w14:textId="77777777" w:rsidR="00126D8D" w:rsidRPr="004A4899" w:rsidRDefault="00126D8D" w:rsidP="00820288">
            <w:pPr>
              <w:spacing w:line="240" w:lineRule="auto"/>
              <w:rPr>
                <w:rFonts w:ascii="Times New Roman" w:hAnsi="Times New Roman" w:cs="Times New Roman"/>
                <w:sz w:val="15"/>
                <w:szCs w:val="15"/>
              </w:rPr>
            </w:pPr>
            <w:r w:rsidRPr="004A4899">
              <w:rPr>
                <w:rFonts w:ascii="Times New Roman" w:hAnsi="Times New Roman" w:cs="Times New Roman"/>
                <w:sz w:val="15"/>
                <w:szCs w:val="15"/>
              </w:rPr>
              <w:t>a</w:t>
            </w:r>
          </w:p>
        </w:tc>
      </w:tr>
      <w:tr w:rsidR="00126D8D" w:rsidRPr="004A4899" w14:paraId="1F76283F" w14:textId="77777777" w:rsidTr="00820288">
        <w:trPr>
          <w:trHeight w:val="144"/>
        </w:trPr>
        <w:tc>
          <w:tcPr>
            <w:tcW w:w="1916" w:type="dxa"/>
            <w:noWrap/>
            <w:vAlign w:val="center"/>
            <w:hideMark/>
          </w:tcPr>
          <w:p w14:paraId="5195F54F" w14:textId="77777777" w:rsidR="00126D8D" w:rsidRPr="004A4899" w:rsidRDefault="00126D8D" w:rsidP="00820288">
            <w:pPr>
              <w:spacing w:line="240" w:lineRule="auto"/>
              <w:rPr>
                <w:rFonts w:ascii="Times New Roman" w:hAnsi="Times New Roman" w:cs="Times New Roman"/>
                <w:sz w:val="15"/>
                <w:szCs w:val="15"/>
              </w:rPr>
            </w:pPr>
            <w:r w:rsidRPr="004A4899">
              <w:rPr>
                <w:rFonts w:ascii="Times New Roman" w:hAnsi="Times New Roman" w:cs="Times New Roman"/>
                <w:sz w:val="15"/>
                <w:szCs w:val="15"/>
              </w:rPr>
              <w:t>2-Cyclopropyl-2-pentene</w:t>
            </w:r>
          </w:p>
        </w:tc>
        <w:tc>
          <w:tcPr>
            <w:tcW w:w="758" w:type="dxa"/>
            <w:noWrap/>
            <w:vAlign w:val="center"/>
            <w:hideMark/>
          </w:tcPr>
          <w:p w14:paraId="00F0A674" w14:textId="77777777" w:rsidR="00126D8D" w:rsidRPr="004A4899" w:rsidRDefault="00126D8D" w:rsidP="00820288">
            <w:pPr>
              <w:spacing w:line="240" w:lineRule="auto"/>
              <w:jc w:val="right"/>
              <w:rPr>
                <w:rFonts w:ascii="Times New Roman" w:hAnsi="Times New Roman" w:cs="Times New Roman"/>
                <w:sz w:val="15"/>
                <w:szCs w:val="15"/>
              </w:rPr>
            </w:pPr>
            <w:r w:rsidRPr="004A4899">
              <w:rPr>
                <w:rFonts w:ascii="Times New Roman" w:hAnsi="Times New Roman" w:cs="Times New Roman"/>
                <w:sz w:val="15"/>
                <w:szCs w:val="15"/>
              </w:rPr>
              <w:t>12.09</w:t>
            </w:r>
          </w:p>
        </w:tc>
        <w:tc>
          <w:tcPr>
            <w:tcW w:w="366" w:type="dxa"/>
            <w:noWrap/>
            <w:vAlign w:val="center"/>
            <w:hideMark/>
          </w:tcPr>
          <w:p w14:paraId="2B2E5FF2" w14:textId="77777777" w:rsidR="00126D8D" w:rsidRPr="004A4899" w:rsidRDefault="00126D8D" w:rsidP="00820288">
            <w:pPr>
              <w:spacing w:line="240" w:lineRule="auto"/>
              <w:rPr>
                <w:rFonts w:ascii="Times New Roman" w:hAnsi="Times New Roman" w:cs="Times New Roman"/>
                <w:sz w:val="15"/>
                <w:szCs w:val="15"/>
              </w:rPr>
            </w:pPr>
            <w:r w:rsidRPr="004A4899">
              <w:rPr>
                <w:rFonts w:ascii="Times New Roman" w:hAnsi="Times New Roman" w:cs="Times New Roman"/>
                <w:sz w:val="15"/>
                <w:szCs w:val="15"/>
              </w:rPr>
              <w:t>c</w:t>
            </w:r>
          </w:p>
        </w:tc>
        <w:tc>
          <w:tcPr>
            <w:tcW w:w="712" w:type="dxa"/>
            <w:noWrap/>
            <w:vAlign w:val="center"/>
            <w:hideMark/>
          </w:tcPr>
          <w:p w14:paraId="2D239C69" w14:textId="77777777" w:rsidR="00126D8D" w:rsidRPr="004A4899" w:rsidRDefault="00126D8D" w:rsidP="00820288">
            <w:pPr>
              <w:spacing w:line="240" w:lineRule="auto"/>
              <w:jc w:val="right"/>
              <w:rPr>
                <w:rFonts w:ascii="Times New Roman" w:hAnsi="Times New Roman" w:cs="Times New Roman"/>
                <w:sz w:val="15"/>
                <w:szCs w:val="15"/>
              </w:rPr>
            </w:pPr>
            <w:r w:rsidRPr="004A4899">
              <w:rPr>
                <w:rFonts w:ascii="Times New Roman" w:hAnsi="Times New Roman" w:cs="Times New Roman"/>
                <w:sz w:val="15"/>
                <w:szCs w:val="15"/>
              </w:rPr>
              <w:t>20.43</w:t>
            </w:r>
          </w:p>
        </w:tc>
        <w:tc>
          <w:tcPr>
            <w:tcW w:w="368" w:type="dxa"/>
            <w:noWrap/>
            <w:vAlign w:val="center"/>
            <w:hideMark/>
          </w:tcPr>
          <w:p w14:paraId="4A3430CA" w14:textId="77777777" w:rsidR="00126D8D" w:rsidRPr="004A4899" w:rsidRDefault="00126D8D" w:rsidP="00820288">
            <w:pPr>
              <w:spacing w:line="240" w:lineRule="auto"/>
              <w:rPr>
                <w:rFonts w:ascii="Times New Roman" w:hAnsi="Times New Roman" w:cs="Times New Roman"/>
                <w:sz w:val="15"/>
                <w:szCs w:val="15"/>
              </w:rPr>
            </w:pPr>
            <w:r w:rsidRPr="004A4899">
              <w:rPr>
                <w:rFonts w:ascii="Times New Roman" w:hAnsi="Times New Roman" w:cs="Times New Roman"/>
                <w:sz w:val="15"/>
                <w:szCs w:val="15"/>
              </w:rPr>
              <w:t>b</w:t>
            </w:r>
          </w:p>
        </w:tc>
        <w:tc>
          <w:tcPr>
            <w:tcW w:w="712" w:type="dxa"/>
            <w:noWrap/>
            <w:vAlign w:val="center"/>
            <w:hideMark/>
          </w:tcPr>
          <w:p w14:paraId="4F407FE6" w14:textId="77777777" w:rsidR="00126D8D" w:rsidRPr="004A4899" w:rsidRDefault="00126D8D" w:rsidP="00820288">
            <w:pPr>
              <w:spacing w:line="240" w:lineRule="auto"/>
              <w:jc w:val="right"/>
              <w:rPr>
                <w:rFonts w:ascii="Times New Roman" w:hAnsi="Times New Roman" w:cs="Times New Roman"/>
                <w:sz w:val="15"/>
                <w:szCs w:val="15"/>
              </w:rPr>
            </w:pPr>
            <w:r w:rsidRPr="004A4899">
              <w:rPr>
                <w:rFonts w:ascii="Times New Roman" w:hAnsi="Times New Roman" w:cs="Times New Roman"/>
                <w:sz w:val="15"/>
                <w:szCs w:val="15"/>
              </w:rPr>
              <w:t>24.59</w:t>
            </w:r>
          </w:p>
        </w:tc>
        <w:tc>
          <w:tcPr>
            <w:tcW w:w="368" w:type="dxa"/>
            <w:noWrap/>
            <w:vAlign w:val="center"/>
            <w:hideMark/>
          </w:tcPr>
          <w:p w14:paraId="787779DC" w14:textId="77777777" w:rsidR="00126D8D" w:rsidRPr="004A4899" w:rsidRDefault="00126D8D" w:rsidP="00820288">
            <w:pPr>
              <w:spacing w:line="240" w:lineRule="auto"/>
              <w:rPr>
                <w:rFonts w:ascii="Times New Roman" w:hAnsi="Times New Roman" w:cs="Times New Roman"/>
                <w:sz w:val="15"/>
                <w:szCs w:val="15"/>
              </w:rPr>
            </w:pPr>
            <w:r w:rsidRPr="004A4899">
              <w:rPr>
                <w:rFonts w:ascii="Times New Roman" w:hAnsi="Times New Roman" w:cs="Times New Roman"/>
                <w:sz w:val="15"/>
                <w:szCs w:val="15"/>
              </w:rPr>
              <w:t>a</w:t>
            </w:r>
          </w:p>
        </w:tc>
        <w:tc>
          <w:tcPr>
            <w:tcW w:w="916" w:type="dxa"/>
            <w:noWrap/>
            <w:vAlign w:val="center"/>
            <w:hideMark/>
          </w:tcPr>
          <w:p w14:paraId="1A8AEEED" w14:textId="77777777" w:rsidR="00126D8D" w:rsidRPr="004A4899" w:rsidRDefault="00126D8D" w:rsidP="00820288">
            <w:pPr>
              <w:spacing w:line="240" w:lineRule="auto"/>
              <w:jc w:val="right"/>
              <w:rPr>
                <w:rFonts w:ascii="Times New Roman" w:hAnsi="Times New Roman" w:cs="Times New Roman"/>
                <w:sz w:val="15"/>
                <w:szCs w:val="15"/>
              </w:rPr>
            </w:pPr>
            <w:r w:rsidRPr="004A4899">
              <w:rPr>
                <w:rFonts w:ascii="Times New Roman" w:hAnsi="Times New Roman" w:cs="Times New Roman"/>
                <w:sz w:val="15"/>
                <w:szCs w:val="15"/>
              </w:rPr>
              <w:t>25.58</w:t>
            </w:r>
          </w:p>
        </w:tc>
        <w:tc>
          <w:tcPr>
            <w:tcW w:w="627" w:type="dxa"/>
            <w:noWrap/>
            <w:vAlign w:val="center"/>
            <w:hideMark/>
          </w:tcPr>
          <w:p w14:paraId="5EFCB344" w14:textId="77777777" w:rsidR="00126D8D" w:rsidRPr="004A4899" w:rsidRDefault="00126D8D" w:rsidP="00820288">
            <w:pPr>
              <w:spacing w:line="240" w:lineRule="auto"/>
              <w:rPr>
                <w:rFonts w:ascii="Times New Roman" w:hAnsi="Times New Roman" w:cs="Times New Roman"/>
                <w:sz w:val="15"/>
                <w:szCs w:val="15"/>
              </w:rPr>
            </w:pPr>
            <w:r w:rsidRPr="004A4899">
              <w:rPr>
                <w:rFonts w:ascii="Times New Roman" w:hAnsi="Times New Roman" w:cs="Times New Roman"/>
                <w:sz w:val="15"/>
                <w:szCs w:val="15"/>
              </w:rPr>
              <w:t>a</w:t>
            </w:r>
          </w:p>
        </w:tc>
      </w:tr>
      <w:tr w:rsidR="00126D8D" w:rsidRPr="004A4899" w14:paraId="0405C6B7" w14:textId="77777777" w:rsidTr="00820288">
        <w:trPr>
          <w:trHeight w:val="144"/>
        </w:trPr>
        <w:tc>
          <w:tcPr>
            <w:tcW w:w="1916" w:type="dxa"/>
            <w:noWrap/>
            <w:vAlign w:val="center"/>
            <w:hideMark/>
          </w:tcPr>
          <w:p w14:paraId="12F2CBFC" w14:textId="77777777" w:rsidR="00126D8D" w:rsidRPr="004A4899" w:rsidRDefault="00126D8D" w:rsidP="00820288">
            <w:pPr>
              <w:spacing w:line="240" w:lineRule="auto"/>
              <w:rPr>
                <w:rFonts w:ascii="Times New Roman" w:hAnsi="Times New Roman" w:cs="Times New Roman"/>
                <w:sz w:val="15"/>
                <w:szCs w:val="15"/>
              </w:rPr>
            </w:pPr>
            <w:r w:rsidRPr="004A4899">
              <w:rPr>
                <w:rFonts w:ascii="Times New Roman" w:hAnsi="Times New Roman" w:cs="Times New Roman"/>
                <w:sz w:val="15"/>
                <w:szCs w:val="15"/>
              </w:rPr>
              <w:t>Decane</w:t>
            </w:r>
          </w:p>
        </w:tc>
        <w:tc>
          <w:tcPr>
            <w:tcW w:w="758" w:type="dxa"/>
            <w:noWrap/>
            <w:vAlign w:val="center"/>
            <w:hideMark/>
          </w:tcPr>
          <w:p w14:paraId="078846E3" w14:textId="77777777" w:rsidR="00126D8D" w:rsidRPr="004A4899" w:rsidRDefault="00126D8D" w:rsidP="00820288">
            <w:pPr>
              <w:spacing w:line="240" w:lineRule="auto"/>
              <w:jc w:val="right"/>
              <w:rPr>
                <w:rFonts w:ascii="Times New Roman" w:hAnsi="Times New Roman" w:cs="Times New Roman"/>
                <w:sz w:val="15"/>
                <w:szCs w:val="15"/>
              </w:rPr>
            </w:pPr>
            <w:r w:rsidRPr="004A4899">
              <w:rPr>
                <w:rFonts w:ascii="Times New Roman" w:hAnsi="Times New Roman" w:cs="Times New Roman"/>
                <w:sz w:val="15"/>
                <w:szCs w:val="15"/>
              </w:rPr>
              <w:t>9.99</w:t>
            </w:r>
          </w:p>
        </w:tc>
        <w:tc>
          <w:tcPr>
            <w:tcW w:w="366" w:type="dxa"/>
            <w:noWrap/>
            <w:vAlign w:val="center"/>
            <w:hideMark/>
          </w:tcPr>
          <w:p w14:paraId="121418C2" w14:textId="77777777" w:rsidR="00126D8D" w:rsidRPr="004A4899" w:rsidRDefault="00126D8D" w:rsidP="00820288">
            <w:pPr>
              <w:spacing w:line="240" w:lineRule="auto"/>
              <w:rPr>
                <w:rFonts w:ascii="Times New Roman" w:hAnsi="Times New Roman" w:cs="Times New Roman"/>
                <w:sz w:val="15"/>
                <w:szCs w:val="15"/>
              </w:rPr>
            </w:pPr>
            <w:r w:rsidRPr="004A4899">
              <w:rPr>
                <w:rFonts w:ascii="Times New Roman" w:hAnsi="Times New Roman" w:cs="Times New Roman"/>
                <w:sz w:val="15"/>
                <w:szCs w:val="15"/>
              </w:rPr>
              <w:t>c</w:t>
            </w:r>
          </w:p>
        </w:tc>
        <w:tc>
          <w:tcPr>
            <w:tcW w:w="712" w:type="dxa"/>
            <w:noWrap/>
            <w:vAlign w:val="center"/>
            <w:hideMark/>
          </w:tcPr>
          <w:p w14:paraId="280676FC" w14:textId="77777777" w:rsidR="00126D8D" w:rsidRPr="004A4899" w:rsidRDefault="00126D8D" w:rsidP="00820288">
            <w:pPr>
              <w:spacing w:line="240" w:lineRule="auto"/>
              <w:jc w:val="right"/>
              <w:rPr>
                <w:rFonts w:ascii="Times New Roman" w:hAnsi="Times New Roman" w:cs="Times New Roman"/>
                <w:sz w:val="15"/>
                <w:szCs w:val="15"/>
              </w:rPr>
            </w:pPr>
            <w:r w:rsidRPr="004A4899">
              <w:rPr>
                <w:rFonts w:ascii="Times New Roman" w:hAnsi="Times New Roman" w:cs="Times New Roman"/>
                <w:sz w:val="15"/>
                <w:szCs w:val="15"/>
              </w:rPr>
              <w:t>20.71</w:t>
            </w:r>
          </w:p>
        </w:tc>
        <w:tc>
          <w:tcPr>
            <w:tcW w:w="368" w:type="dxa"/>
            <w:noWrap/>
            <w:vAlign w:val="center"/>
            <w:hideMark/>
          </w:tcPr>
          <w:p w14:paraId="1B0F7758" w14:textId="77777777" w:rsidR="00126D8D" w:rsidRPr="004A4899" w:rsidRDefault="00126D8D" w:rsidP="00820288">
            <w:pPr>
              <w:spacing w:line="240" w:lineRule="auto"/>
              <w:rPr>
                <w:rFonts w:ascii="Times New Roman" w:hAnsi="Times New Roman" w:cs="Times New Roman"/>
                <w:sz w:val="15"/>
                <w:szCs w:val="15"/>
              </w:rPr>
            </w:pPr>
            <w:r w:rsidRPr="004A4899">
              <w:rPr>
                <w:rFonts w:ascii="Times New Roman" w:hAnsi="Times New Roman" w:cs="Times New Roman"/>
                <w:sz w:val="15"/>
                <w:szCs w:val="15"/>
              </w:rPr>
              <w:t>b</w:t>
            </w:r>
          </w:p>
        </w:tc>
        <w:tc>
          <w:tcPr>
            <w:tcW w:w="712" w:type="dxa"/>
            <w:noWrap/>
            <w:vAlign w:val="center"/>
            <w:hideMark/>
          </w:tcPr>
          <w:p w14:paraId="3B621D9F" w14:textId="77777777" w:rsidR="00126D8D" w:rsidRPr="004A4899" w:rsidRDefault="00126D8D" w:rsidP="00820288">
            <w:pPr>
              <w:spacing w:line="240" w:lineRule="auto"/>
              <w:jc w:val="right"/>
              <w:rPr>
                <w:rFonts w:ascii="Times New Roman" w:hAnsi="Times New Roman" w:cs="Times New Roman"/>
                <w:sz w:val="15"/>
                <w:szCs w:val="15"/>
              </w:rPr>
            </w:pPr>
            <w:r w:rsidRPr="004A4899">
              <w:rPr>
                <w:rFonts w:ascii="Times New Roman" w:hAnsi="Times New Roman" w:cs="Times New Roman"/>
                <w:sz w:val="15"/>
                <w:szCs w:val="15"/>
              </w:rPr>
              <w:t>37.07</w:t>
            </w:r>
          </w:p>
        </w:tc>
        <w:tc>
          <w:tcPr>
            <w:tcW w:w="368" w:type="dxa"/>
            <w:noWrap/>
            <w:vAlign w:val="center"/>
            <w:hideMark/>
          </w:tcPr>
          <w:p w14:paraId="3E172E82" w14:textId="77777777" w:rsidR="00126D8D" w:rsidRPr="004A4899" w:rsidRDefault="00126D8D" w:rsidP="00820288">
            <w:pPr>
              <w:spacing w:line="240" w:lineRule="auto"/>
              <w:rPr>
                <w:rFonts w:ascii="Times New Roman" w:hAnsi="Times New Roman" w:cs="Times New Roman"/>
                <w:sz w:val="15"/>
                <w:szCs w:val="15"/>
              </w:rPr>
            </w:pPr>
            <w:r w:rsidRPr="004A4899">
              <w:rPr>
                <w:rFonts w:ascii="Times New Roman" w:hAnsi="Times New Roman" w:cs="Times New Roman"/>
                <w:sz w:val="15"/>
                <w:szCs w:val="15"/>
              </w:rPr>
              <w:t>a</w:t>
            </w:r>
          </w:p>
        </w:tc>
        <w:tc>
          <w:tcPr>
            <w:tcW w:w="916" w:type="dxa"/>
            <w:noWrap/>
            <w:vAlign w:val="center"/>
            <w:hideMark/>
          </w:tcPr>
          <w:p w14:paraId="1A601196" w14:textId="77777777" w:rsidR="00126D8D" w:rsidRPr="004A4899" w:rsidRDefault="00126D8D" w:rsidP="00820288">
            <w:pPr>
              <w:spacing w:line="240" w:lineRule="auto"/>
              <w:jc w:val="right"/>
              <w:rPr>
                <w:rFonts w:ascii="Times New Roman" w:hAnsi="Times New Roman" w:cs="Times New Roman"/>
                <w:sz w:val="15"/>
                <w:szCs w:val="15"/>
              </w:rPr>
            </w:pPr>
            <w:r w:rsidRPr="004A4899">
              <w:rPr>
                <w:rFonts w:ascii="Times New Roman" w:hAnsi="Times New Roman" w:cs="Times New Roman"/>
                <w:sz w:val="15"/>
                <w:szCs w:val="15"/>
              </w:rPr>
              <w:t>10.61</w:t>
            </w:r>
          </w:p>
        </w:tc>
        <w:tc>
          <w:tcPr>
            <w:tcW w:w="627" w:type="dxa"/>
            <w:noWrap/>
            <w:vAlign w:val="center"/>
            <w:hideMark/>
          </w:tcPr>
          <w:p w14:paraId="728F7198" w14:textId="77777777" w:rsidR="00126D8D" w:rsidRPr="004A4899" w:rsidRDefault="00126D8D" w:rsidP="00820288">
            <w:pPr>
              <w:spacing w:line="240" w:lineRule="auto"/>
              <w:rPr>
                <w:rFonts w:ascii="Times New Roman" w:hAnsi="Times New Roman" w:cs="Times New Roman"/>
                <w:sz w:val="15"/>
                <w:szCs w:val="15"/>
              </w:rPr>
            </w:pPr>
            <w:r w:rsidRPr="004A4899">
              <w:rPr>
                <w:rFonts w:ascii="Times New Roman" w:hAnsi="Times New Roman" w:cs="Times New Roman"/>
                <w:sz w:val="15"/>
                <w:szCs w:val="15"/>
              </w:rPr>
              <w:t>c</w:t>
            </w:r>
          </w:p>
        </w:tc>
      </w:tr>
      <w:tr w:rsidR="00126D8D" w:rsidRPr="004A4899" w14:paraId="7034A8EE" w14:textId="77777777" w:rsidTr="00820288">
        <w:trPr>
          <w:trHeight w:val="144"/>
        </w:trPr>
        <w:tc>
          <w:tcPr>
            <w:tcW w:w="1916" w:type="dxa"/>
            <w:noWrap/>
            <w:vAlign w:val="center"/>
            <w:hideMark/>
          </w:tcPr>
          <w:p w14:paraId="6CA4FC92" w14:textId="77777777" w:rsidR="00126D8D" w:rsidRPr="004A4899" w:rsidRDefault="00126D8D" w:rsidP="00820288">
            <w:pPr>
              <w:spacing w:line="240" w:lineRule="auto"/>
              <w:rPr>
                <w:rFonts w:ascii="Times New Roman" w:hAnsi="Times New Roman" w:cs="Times New Roman"/>
                <w:sz w:val="15"/>
                <w:szCs w:val="15"/>
              </w:rPr>
            </w:pPr>
            <w:r w:rsidRPr="004A4899">
              <w:rPr>
                <w:rFonts w:ascii="Times New Roman" w:hAnsi="Times New Roman" w:cs="Times New Roman"/>
                <w:sz w:val="15"/>
                <w:szCs w:val="15"/>
              </w:rPr>
              <w:t>(E)-3-Methyl-1,3,5-hexatriene</w:t>
            </w:r>
          </w:p>
        </w:tc>
        <w:tc>
          <w:tcPr>
            <w:tcW w:w="758" w:type="dxa"/>
            <w:noWrap/>
            <w:vAlign w:val="center"/>
            <w:hideMark/>
          </w:tcPr>
          <w:p w14:paraId="107A5FAF" w14:textId="77777777" w:rsidR="00126D8D" w:rsidRPr="004A4899" w:rsidRDefault="00126D8D" w:rsidP="00820288">
            <w:pPr>
              <w:spacing w:line="240" w:lineRule="auto"/>
              <w:jc w:val="right"/>
              <w:rPr>
                <w:rFonts w:ascii="Times New Roman" w:hAnsi="Times New Roman" w:cs="Times New Roman"/>
                <w:sz w:val="15"/>
                <w:szCs w:val="15"/>
              </w:rPr>
            </w:pPr>
            <w:r w:rsidRPr="004A4899">
              <w:rPr>
                <w:rFonts w:ascii="Times New Roman" w:hAnsi="Times New Roman" w:cs="Times New Roman"/>
                <w:sz w:val="15"/>
                <w:szCs w:val="15"/>
              </w:rPr>
              <w:t>2.00</w:t>
            </w:r>
          </w:p>
        </w:tc>
        <w:tc>
          <w:tcPr>
            <w:tcW w:w="366" w:type="dxa"/>
            <w:noWrap/>
            <w:vAlign w:val="center"/>
            <w:hideMark/>
          </w:tcPr>
          <w:p w14:paraId="41B56CC1" w14:textId="77777777" w:rsidR="00126D8D" w:rsidRPr="004A4899" w:rsidRDefault="00126D8D" w:rsidP="00820288">
            <w:pPr>
              <w:spacing w:line="240" w:lineRule="auto"/>
              <w:rPr>
                <w:rFonts w:ascii="Times New Roman" w:hAnsi="Times New Roman" w:cs="Times New Roman"/>
                <w:sz w:val="15"/>
                <w:szCs w:val="15"/>
              </w:rPr>
            </w:pPr>
            <w:r w:rsidRPr="004A4899">
              <w:rPr>
                <w:rFonts w:ascii="Times New Roman" w:hAnsi="Times New Roman" w:cs="Times New Roman"/>
                <w:sz w:val="15"/>
                <w:szCs w:val="15"/>
              </w:rPr>
              <w:t>b</w:t>
            </w:r>
          </w:p>
        </w:tc>
        <w:tc>
          <w:tcPr>
            <w:tcW w:w="712" w:type="dxa"/>
            <w:noWrap/>
            <w:vAlign w:val="center"/>
            <w:hideMark/>
          </w:tcPr>
          <w:p w14:paraId="6819FA15" w14:textId="77777777" w:rsidR="00126D8D" w:rsidRPr="004A4899" w:rsidRDefault="00126D8D" w:rsidP="00820288">
            <w:pPr>
              <w:spacing w:line="240" w:lineRule="auto"/>
              <w:jc w:val="right"/>
              <w:rPr>
                <w:rFonts w:ascii="Times New Roman" w:hAnsi="Times New Roman" w:cs="Times New Roman"/>
                <w:sz w:val="15"/>
                <w:szCs w:val="15"/>
              </w:rPr>
            </w:pPr>
            <w:r w:rsidRPr="004A4899">
              <w:rPr>
                <w:rFonts w:ascii="Times New Roman" w:hAnsi="Times New Roman" w:cs="Times New Roman"/>
                <w:sz w:val="15"/>
                <w:szCs w:val="15"/>
              </w:rPr>
              <w:t>2.15</w:t>
            </w:r>
          </w:p>
        </w:tc>
        <w:tc>
          <w:tcPr>
            <w:tcW w:w="368" w:type="dxa"/>
            <w:noWrap/>
            <w:vAlign w:val="center"/>
            <w:hideMark/>
          </w:tcPr>
          <w:p w14:paraId="479BECE4" w14:textId="77777777" w:rsidR="00126D8D" w:rsidRPr="004A4899" w:rsidRDefault="00126D8D" w:rsidP="00820288">
            <w:pPr>
              <w:spacing w:line="240" w:lineRule="auto"/>
              <w:rPr>
                <w:rFonts w:ascii="Times New Roman" w:hAnsi="Times New Roman" w:cs="Times New Roman"/>
                <w:sz w:val="15"/>
                <w:szCs w:val="15"/>
              </w:rPr>
            </w:pPr>
            <w:r w:rsidRPr="004A4899">
              <w:rPr>
                <w:rFonts w:ascii="Times New Roman" w:hAnsi="Times New Roman" w:cs="Times New Roman"/>
                <w:sz w:val="15"/>
                <w:szCs w:val="15"/>
              </w:rPr>
              <w:t>b</w:t>
            </w:r>
          </w:p>
        </w:tc>
        <w:tc>
          <w:tcPr>
            <w:tcW w:w="712" w:type="dxa"/>
            <w:noWrap/>
            <w:vAlign w:val="center"/>
            <w:hideMark/>
          </w:tcPr>
          <w:p w14:paraId="43DBCAEF" w14:textId="77777777" w:rsidR="00126D8D" w:rsidRPr="004A4899" w:rsidRDefault="00126D8D" w:rsidP="00820288">
            <w:pPr>
              <w:spacing w:line="240" w:lineRule="auto"/>
              <w:jc w:val="right"/>
              <w:rPr>
                <w:rFonts w:ascii="Times New Roman" w:hAnsi="Times New Roman" w:cs="Times New Roman"/>
                <w:sz w:val="15"/>
                <w:szCs w:val="15"/>
              </w:rPr>
            </w:pPr>
            <w:r w:rsidRPr="004A4899">
              <w:rPr>
                <w:rFonts w:ascii="Times New Roman" w:hAnsi="Times New Roman" w:cs="Times New Roman"/>
                <w:sz w:val="15"/>
                <w:szCs w:val="15"/>
              </w:rPr>
              <w:t>2.67</w:t>
            </w:r>
          </w:p>
        </w:tc>
        <w:tc>
          <w:tcPr>
            <w:tcW w:w="368" w:type="dxa"/>
            <w:noWrap/>
            <w:vAlign w:val="center"/>
            <w:hideMark/>
          </w:tcPr>
          <w:p w14:paraId="62050013" w14:textId="77777777" w:rsidR="00126D8D" w:rsidRPr="004A4899" w:rsidRDefault="00126D8D" w:rsidP="00820288">
            <w:pPr>
              <w:spacing w:line="240" w:lineRule="auto"/>
              <w:rPr>
                <w:rFonts w:ascii="Times New Roman" w:hAnsi="Times New Roman" w:cs="Times New Roman"/>
                <w:sz w:val="15"/>
                <w:szCs w:val="15"/>
              </w:rPr>
            </w:pPr>
            <w:r w:rsidRPr="004A4899">
              <w:rPr>
                <w:rFonts w:ascii="Times New Roman" w:hAnsi="Times New Roman" w:cs="Times New Roman"/>
                <w:sz w:val="15"/>
                <w:szCs w:val="15"/>
              </w:rPr>
              <w:t>ab</w:t>
            </w:r>
          </w:p>
        </w:tc>
        <w:tc>
          <w:tcPr>
            <w:tcW w:w="916" w:type="dxa"/>
            <w:noWrap/>
            <w:vAlign w:val="center"/>
            <w:hideMark/>
          </w:tcPr>
          <w:p w14:paraId="74E0BD27" w14:textId="77777777" w:rsidR="00126D8D" w:rsidRPr="004A4899" w:rsidRDefault="00126D8D" w:rsidP="00820288">
            <w:pPr>
              <w:spacing w:line="240" w:lineRule="auto"/>
              <w:jc w:val="right"/>
              <w:rPr>
                <w:rFonts w:ascii="Times New Roman" w:hAnsi="Times New Roman" w:cs="Times New Roman"/>
                <w:sz w:val="15"/>
                <w:szCs w:val="15"/>
              </w:rPr>
            </w:pPr>
            <w:r w:rsidRPr="004A4899">
              <w:rPr>
                <w:rFonts w:ascii="Times New Roman" w:hAnsi="Times New Roman" w:cs="Times New Roman"/>
                <w:sz w:val="15"/>
                <w:szCs w:val="15"/>
              </w:rPr>
              <w:t>3.19</w:t>
            </w:r>
          </w:p>
        </w:tc>
        <w:tc>
          <w:tcPr>
            <w:tcW w:w="627" w:type="dxa"/>
            <w:noWrap/>
            <w:vAlign w:val="center"/>
            <w:hideMark/>
          </w:tcPr>
          <w:p w14:paraId="6CC582B7" w14:textId="77777777" w:rsidR="00126D8D" w:rsidRPr="004A4899" w:rsidRDefault="00126D8D" w:rsidP="00820288">
            <w:pPr>
              <w:spacing w:line="240" w:lineRule="auto"/>
              <w:rPr>
                <w:rFonts w:ascii="Times New Roman" w:hAnsi="Times New Roman" w:cs="Times New Roman"/>
                <w:sz w:val="15"/>
                <w:szCs w:val="15"/>
              </w:rPr>
            </w:pPr>
            <w:r w:rsidRPr="004A4899">
              <w:rPr>
                <w:rFonts w:ascii="Times New Roman" w:hAnsi="Times New Roman" w:cs="Times New Roman"/>
                <w:sz w:val="15"/>
                <w:szCs w:val="15"/>
              </w:rPr>
              <w:t>a</w:t>
            </w:r>
          </w:p>
        </w:tc>
      </w:tr>
      <w:tr w:rsidR="00126D8D" w:rsidRPr="004A4899" w14:paraId="1440E218" w14:textId="77777777" w:rsidTr="00820288">
        <w:trPr>
          <w:trHeight w:val="144"/>
        </w:trPr>
        <w:tc>
          <w:tcPr>
            <w:tcW w:w="1916" w:type="dxa"/>
            <w:noWrap/>
            <w:vAlign w:val="center"/>
            <w:hideMark/>
          </w:tcPr>
          <w:p w14:paraId="2F419571" w14:textId="77777777" w:rsidR="00126D8D" w:rsidRPr="004A4899" w:rsidRDefault="00126D8D" w:rsidP="00820288">
            <w:pPr>
              <w:spacing w:line="240" w:lineRule="auto"/>
              <w:rPr>
                <w:rFonts w:ascii="Times New Roman" w:hAnsi="Times New Roman" w:cs="Times New Roman"/>
                <w:sz w:val="15"/>
                <w:szCs w:val="15"/>
              </w:rPr>
            </w:pPr>
            <w:r w:rsidRPr="004A4899">
              <w:rPr>
                <w:rFonts w:ascii="Times New Roman" w:hAnsi="Times New Roman" w:cs="Times New Roman"/>
                <w:sz w:val="15"/>
                <w:szCs w:val="15"/>
              </w:rPr>
              <w:t>1,3-cis,5-cis-Octatriene</w:t>
            </w:r>
          </w:p>
        </w:tc>
        <w:tc>
          <w:tcPr>
            <w:tcW w:w="758" w:type="dxa"/>
            <w:noWrap/>
            <w:vAlign w:val="center"/>
            <w:hideMark/>
          </w:tcPr>
          <w:p w14:paraId="020EE7F2" w14:textId="77777777" w:rsidR="00126D8D" w:rsidRPr="004A4899" w:rsidRDefault="00126D8D" w:rsidP="00820288">
            <w:pPr>
              <w:spacing w:line="240" w:lineRule="auto"/>
              <w:jc w:val="right"/>
              <w:rPr>
                <w:rFonts w:ascii="Times New Roman" w:hAnsi="Times New Roman" w:cs="Times New Roman"/>
                <w:sz w:val="15"/>
                <w:szCs w:val="15"/>
              </w:rPr>
            </w:pPr>
            <w:r w:rsidRPr="004A4899">
              <w:rPr>
                <w:rFonts w:ascii="Times New Roman" w:hAnsi="Times New Roman" w:cs="Times New Roman"/>
                <w:sz w:val="15"/>
                <w:szCs w:val="15"/>
              </w:rPr>
              <w:t>5.41</w:t>
            </w:r>
          </w:p>
        </w:tc>
        <w:tc>
          <w:tcPr>
            <w:tcW w:w="366" w:type="dxa"/>
            <w:noWrap/>
            <w:vAlign w:val="center"/>
            <w:hideMark/>
          </w:tcPr>
          <w:p w14:paraId="10E4E4DE" w14:textId="77777777" w:rsidR="00126D8D" w:rsidRPr="004A4899" w:rsidRDefault="00126D8D" w:rsidP="00820288">
            <w:pPr>
              <w:spacing w:line="240" w:lineRule="auto"/>
              <w:rPr>
                <w:rFonts w:ascii="Times New Roman" w:hAnsi="Times New Roman" w:cs="Times New Roman"/>
                <w:sz w:val="15"/>
                <w:szCs w:val="15"/>
              </w:rPr>
            </w:pPr>
            <w:r w:rsidRPr="004A4899">
              <w:rPr>
                <w:rFonts w:ascii="Times New Roman" w:hAnsi="Times New Roman" w:cs="Times New Roman"/>
                <w:sz w:val="15"/>
                <w:szCs w:val="15"/>
              </w:rPr>
              <w:t>b</w:t>
            </w:r>
          </w:p>
        </w:tc>
        <w:tc>
          <w:tcPr>
            <w:tcW w:w="712" w:type="dxa"/>
            <w:noWrap/>
            <w:vAlign w:val="center"/>
            <w:hideMark/>
          </w:tcPr>
          <w:p w14:paraId="382CC3BC" w14:textId="77777777" w:rsidR="00126D8D" w:rsidRPr="004A4899" w:rsidRDefault="00126D8D" w:rsidP="00820288">
            <w:pPr>
              <w:spacing w:line="240" w:lineRule="auto"/>
              <w:jc w:val="right"/>
              <w:rPr>
                <w:rFonts w:ascii="Times New Roman" w:hAnsi="Times New Roman" w:cs="Times New Roman"/>
                <w:sz w:val="15"/>
                <w:szCs w:val="15"/>
              </w:rPr>
            </w:pPr>
            <w:r w:rsidRPr="004A4899">
              <w:rPr>
                <w:rFonts w:ascii="Times New Roman" w:hAnsi="Times New Roman" w:cs="Times New Roman"/>
                <w:sz w:val="15"/>
                <w:szCs w:val="15"/>
              </w:rPr>
              <w:t>6.27</w:t>
            </w:r>
          </w:p>
        </w:tc>
        <w:tc>
          <w:tcPr>
            <w:tcW w:w="368" w:type="dxa"/>
            <w:noWrap/>
            <w:vAlign w:val="center"/>
            <w:hideMark/>
          </w:tcPr>
          <w:p w14:paraId="285DDEC9" w14:textId="77777777" w:rsidR="00126D8D" w:rsidRPr="004A4899" w:rsidRDefault="00126D8D" w:rsidP="00820288">
            <w:pPr>
              <w:spacing w:line="240" w:lineRule="auto"/>
              <w:rPr>
                <w:rFonts w:ascii="Times New Roman" w:hAnsi="Times New Roman" w:cs="Times New Roman"/>
                <w:sz w:val="15"/>
                <w:szCs w:val="15"/>
              </w:rPr>
            </w:pPr>
            <w:r w:rsidRPr="004A4899">
              <w:rPr>
                <w:rFonts w:ascii="Times New Roman" w:hAnsi="Times New Roman" w:cs="Times New Roman"/>
                <w:sz w:val="15"/>
                <w:szCs w:val="15"/>
              </w:rPr>
              <w:t>b</w:t>
            </w:r>
          </w:p>
        </w:tc>
        <w:tc>
          <w:tcPr>
            <w:tcW w:w="712" w:type="dxa"/>
            <w:noWrap/>
            <w:vAlign w:val="center"/>
            <w:hideMark/>
          </w:tcPr>
          <w:p w14:paraId="3438968B" w14:textId="77777777" w:rsidR="00126D8D" w:rsidRPr="004A4899" w:rsidRDefault="00126D8D" w:rsidP="00820288">
            <w:pPr>
              <w:spacing w:line="240" w:lineRule="auto"/>
              <w:jc w:val="right"/>
              <w:rPr>
                <w:rFonts w:ascii="Times New Roman" w:hAnsi="Times New Roman" w:cs="Times New Roman"/>
                <w:sz w:val="15"/>
                <w:szCs w:val="15"/>
              </w:rPr>
            </w:pPr>
            <w:r w:rsidRPr="004A4899">
              <w:rPr>
                <w:rFonts w:ascii="Times New Roman" w:hAnsi="Times New Roman" w:cs="Times New Roman"/>
                <w:sz w:val="15"/>
                <w:szCs w:val="15"/>
              </w:rPr>
              <w:t>8.84</w:t>
            </w:r>
          </w:p>
        </w:tc>
        <w:tc>
          <w:tcPr>
            <w:tcW w:w="368" w:type="dxa"/>
            <w:noWrap/>
            <w:vAlign w:val="center"/>
            <w:hideMark/>
          </w:tcPr>
          <w:p w14:paraId="79F41DF2" w14:textId="77777777" w:rsidR="00126D8D" w:rsidRPr="004A4899" w:rsidRDefault="00126D8D" w:rsidP="00820288">
            <w:pPr>
              <w:spacing w:line="240" w:lineRule="auto"/>
              <w:rPr>
                <w:rFonts w:ascii="Times New Roman" w:hAnsi="Times New Roman" w:cs="Times New Roman"/>
                <w:sz w:val="15"/>
                <w:szCs w:val="15"/>
              </w:rPr>
            </w:pPr>
            <w:r w:rsidRPr="004A4899">
              <w:rPr>
                <w:rFonts w:ascii="Times New Roman" w:hAnsi="Times New Roman" w:cs="Times New Roman"/>
                <w:sz w:val="15"/>
                <w:szCs w:val="15"/>
              </w:rPr>
              <w:t>a</w:t>
            </w:r>
          </w:p>
        </w:tc>
        <w:tc>
          <w:tcPr>
            <w:tcW w:w="916" w:type="dxa"/>
            <w:noWrap/>
            <w:vAlign w:val="center"/>
            <w:hideMark/>
          </w:tcPr>
          <w:p w14:paraId="252DC9BF" w14:textId="77777777" w:rsidR="00126D8D" w:rsidRPr="004A4899" w:rsidRDefault="00126D8D" w:rsidP="00820288">
            <w:pPr>
              <w:spacing w:line="240" w:lineRule="auto"/>
              <w:jc w:val="right"/>
              <w:rPr>
                <w:rFonts w:ascii="Times New Roman" w:hAnsi="Times New Roman" w:cs="Times New Roman"/>
                <w:sz w:val="15"/>
                <w:szCs w:val="15"/>
              </w:rPr>
            </w:pPr>
            <w:r w:rsidRPr="004A4899">
              <w:rPr>
                <w:rFonts w:ascii="Times New Roman" w:hAnsi="Times New Roman" w:cs="Times New Roman"/>
                <w:sz w:val="15"/>
                <w:szCs w:val="15"/>
              </w:rPr>
              <w:t>8.20</w:t>
            </w:r>
          </w:p>
        </w:tc>
        <w:tc>
          <w:tcPr>
            <w:tcW w:w="627" w:type="dxa"/>
            <w:noWrap/>
            <w:vAlign w:val="center"/>
            <w:hideMark/>
          </w:tcPr>
          <w:p w14:paraId="68A16F8A" w14:textId="77777777" w:rsidR="00126D8D" w:rsidRPr="004A4899" w:rsidRDefault="00126D8D" w:rsidP="00820288">
            <w:pPr>
              <w:spacing w:line="240" w:lineRule="auto"/>
              <w:rPr>
                <w:rFonts w:ascii="Times New Roman" w:hAnsi="Times New Roman" w:cs="Times New Roman"/>
                <w:sz w:val="15"/>
                <w:szCs w:val="15"/>
              </w:rPr>
            </w:pPr>
            <w:r w:rsidRPr="004A4899">
              <w:rPr>
                <w:rFonts w:ascii="Times New Roman" w:hAnsi="Times New Roman" w:cs="Times New Roman"/>
                <w:sz w:val="15"/>
                <w:szCs w:val="15"/>
              </w:rPr>
              <w:t>a</w:t>
            </w:r>
          </w:p>
        </w:tc>
      </w:tr>
      <w:tr w:rsidR="00126D8D" w:rsidRPr="004A4899" w14:paraId="49FD7D8C" w14:textId="77777777" w:rsidTr="00820288">
        <w:trPr>
          <w:trHeight w:val="144"/>
        </w:trPr>
        <w:tc>
          <w:tcPr>
            <w:tcW w:w="1916" w:type="dxa"/>
            <w:noWrap/>
            <w:vAlign w:val="center"/>
            <w:hideMark/>
          </w:tcPr>
          <w:p w14:paraId="182E67D8" w14:textId="77777777" w:rsidR="00126D8D" w:rsidRPr="004A4899" w:rsidRDefault="00126D8D" w:rsidP="00820288">
            <w:pPr>
              <w:spacing w:line="240" w:lineRule="auto"/>
              <w:rPr>
                <w:rFonts w:ascii="Times New Roman" w:hAnsi="Times New Roman" w:cs="Times New Roman"/>
                <w:sz w:val="15"/>
                <w:szCs w:val="15"/>
              </w:rPr>
            </w:pPr>
            <w:r w:rsidRPr="004A4899">
              <w:rPr>
                <w:rFonts w:ascii="Times New Roman" w:hAnsi="Times New Roman" w:cs="Times New Roman"/>
                <w:sz w:val="15"/>
                <w:szCs w:val="15"/>
              </w:rPr>
              <w:t>1,4-Octadiene</w:t>
            </w:r>
          </w:p>
        </w:tc>
        <w:tc>
          <w:tcPr>
            <w:tcW w:w="758" w:type="dxa"/>
            <w:noWrap/>
            <w:vAlign w:val="center"/>
            <w:hideMark/>
          </w:tcPr>
          <w:p w14:paraId="47529AFE" w14:textId="77777777" w:rsidR="00126D8D" w:rsidRPr="004A4899" w:rsidRDefault="00126D8D" w:rsidP="00820288">
            <w:pPr>
              <w:spacing w:line="240" w:lineRule="auto"/>
              <w:jc w:val="right"/>
              <w:rPr>
                <w:rFonts w:ascii="Times New Roman" w:hAnsi="Times New Roman" w:cs="Times New Roman"/>
                <w:sz w:val="15"/>
                <w:szCs w:val="15"/>
              </w:rPr>
            </w:pPr>
            <w:r w:rsidRPr="004A4899">
              <w:rPr>
                <w:rFonts w:ascii="Times New Roman" w:hAnsi="Times New Roman" w:cs="Times New Roman"/>
                <w:sz w:val="15"/>
                <w:szCs w:val="15"/>
              </w:rPr>
              <w:t>16.63</w:t>
            </w:r>
          </w:p>
        </w:tc>
        <w:tc>
          <w:tcPr>
            <w:tcW w:w="366" w:type="dxa"/>
            <w:noWrap/>
            <w:vAlign w:val="center"/>
            <w:hideMark/>
          </w:tcPr>
          <w:p w14:paraId="4710CDBA" w14:textId="77777777" w:rsidR="00126D8D" w:rsidRPr="004A4899" w:rsidRDefault="00126D8D" w:rsidP="00820288">
            <w:pPr>
              <w:spacing w:line="240" w:lineRule="auto"/>
              <w:rPr>
                <w:rFonts w:ascii="Times New Roman" w:hAnsi="Times New Roman" w:cs="Times New Roman"/>
                <w:sz w:val="15"/>
                <w:szCs w:val="15"/>
              </w:rPr>
            </w:pPr>
            <w:r w:rsidRPr="004A4899">
              <w:rPr>
                <w:rFonts w:ascii="Times New Roman" w:hAnsi="Times New Roman" w:cs="Times New Roman"/>
                <w:sz w:val="15"/>
                <w:szCs w:val="15"/>
              </w:rPr>
              <w:t>bc</w:t>
            </w:r>
          </w:p>
        </w:tc>
        <w:tc>
          <w:tcPr>
            <w:tcW w:w="712" w:type="dxa"/>
            <w:noWrap/>
            <w:vAlign w:val="center"/>
            <w:hideMark/>
          </w:tcPr>
          <w:p w14:paraId="6AB12F09" w14:textId="77777777" w:rsidR="00126D8D" w:rsidRPr="004A4899" w:rsidRDefault="00126D8D" w:rsidP="00820288">
            <w:pPr>
              <w:spacing w:line="240" w:lineRule="auto"/>
              <w:jc w:val="right"/>
              <w:rPr>
                <w:rFonts w:ascii="Times New Roman" w:hAnsi="Times New Roman" w:cs="Times New Roman"/>
                <w:sz w:val="15"/>
                <w:szCs w:val="15"/>
              </w:rPr>
            </w:pPr>
            <w:r w:rsidRPr="004A4899">
              <w:rPr>
                <w:rFonts w:ascii="Times New Roman" w:hAnsi="Times New Roman" w:cs="Times New Roman"/>
                <w:sz w:val="15"/>
                <w:szCs w:val="15"/>
              </w:rPr>
              <w:t>23.04</w:t>
            </w:r>
          </w:p>
        </w:tc>
        <w:tc>
          <w:tcPr>
            <w:tcW w:w="368" w:type="dxa"/>
            <w:noWrap/>
            <w:vAlign w:val="center"/>
            <w:hideMark/>
          </w:tcPr>
          <w:p w14:paraId="2A665DA3" w14:textId="77777777" w:rsidR="00126D8D" w:rsidRPr="004A4899" w:rsidRDefault="00126D8D" w:rsidP="00820288">
            <w:pPr>
              <w:spacing w:line="240" w:lineRule="auto"/>
              <w:rPr>
                <w:rFonts w:ascii="Times New Roman" w:hAnsi="Times New Roman" w:cs="Times New Roman"/>
                <w:sz w:val="15"/>
                <w:szCs w:val="15"/>
              </w:rPr>
            </w:pPr>
            <w:r w:rsidRPr="004A4899">
              <w:rPr>
                <w:rFonts w:ascii="Times New Roman" w:hAnsi="Times New Roman" w:cs="Times New Roman"/>
                <w:sz w:val="15"/>
                <w:szCs w:val="15"/>
              </w:rPr>
              <w:t>b</w:t>
            </w:r>
          </w:p>
        </w:tc>
        <w:tc>
          <w:tcPr>
            <w:tcW w:w="712" w:type="dxa"/>
            <w:noWrap/>
            <w:vAlign w:val="center"/>
            <w:hideMark/>
          </w:tcPr>
          <w:p w14:paraId="3423093D" w14:textId="77777777" w:rsidR="00126D8D" w:rsidRPr="004A4899" w:rsidRDefault="00126D8D" w:rsidP="00820288">
            <w:pPr>
              <w:spacing w:line="240" w:lineRule="auto"/>
              <w:jc w:val="right"/>
              <w:rPr>
                <w:rFonts w:ascii="Times New Roman" w:hAnsi="Times New Roman" w:cs="Times New Roman"/>
                <w:sz w:val="15"/>
                <w:szCs w:val="15"/>
              </w:rPr>
            </w:pPr>
            <w:r w:rsidRPr="004A4899">
              <w:rPr>
                <w:rFonts w:ascii="Times New Roman" w:hAnsi="Times New Roman" w:cs="Times New Roman"/>
                <w:sz w:val="15"/>
                <w:szCs w:val="15"/>
              </w:rPr>
              <w:t>40.63</w:t>
            </w:r>
          </w:p>
        </w:tc>
        <w:tc>
          <w:tcPr>
            <w:tcW w:w="368" w:type="dxa"/>
            <w:noWrap/>
            <w:vAlign w:val="center"/>
            <w:hideMark/>
          </w:tcPr>
          <w:p w14:paraId="3F262687" w14:textId="77777777" w:rsidR="00126D8D" w:rsidRPr="004A4899" w:rsidRDefault="00126D8D" w:rsidP="00820288">
            <w:pPr>
              <w:spacing w:line="240" w:lineRule="auto"/>
              <w:rPr>
                <w:rFonts w:ascii="Times New Roman" w:hAnsi="Times New Roman" w:cs="Times New Roman"/>
                <w:sz w:val="15"/>
                <w:szCs w:val="15"/>
              </w:rPr>
            </w:pPr>
            <w:r w:rsidRPr="004A4899">
              <w:rPr>
                <w:rFonts w:ascii="Times New Roman" w:hAnsi="Times New Roman" w:cs="Times New Roman"/>
                <w:sz w:val="15"/>
                <w:szCs w:val="15"/>
              </w:rPr>
              <w:t>a</w:t>
            </w:r>
          </w:p>
        </w:tc>
        <w:tc>
          <w:tcPr>
            <w:tcW w:w="916" w:type="dxa"/>
            <w:noWrap/>
            <w:vAlign w:val="center"/>
            <w:hideMark/>
          </w:tcPr>
          <w:p w14:paraId="35A0D9D1" w14:textId="77777777" w:rsidR="00126D8D" w:rsidRPr="004A4899" w:rsidRDefault="00126D8D" w:rsidP="00820288">
            <w:pPr>
              <w:spacing w:line="240" w:lineRule="auto"/>
              <w:jc w:val="right"/>
              <w:rPr>
                <w:rFonts w:ascii="Times New Roman" w:hAnsi="Times New Roman" w:cs="Times New Roman"/>
                <w:sz w:val="15"/>
                <w:szCs w:val="15"/>
              </w:rPr>
            </w:pPr>
            <w:r w:rsidRPr="004A4899">
              <w:rPr>
                <w:rFonts w:ascii="Times New Roman" w:hAnsi="Times New Roman" w:cs="Times New Roman"/>
                <w:sz w:val="15"/>
                <w:szCs w:val="15"/>
              </w:rPr>
              <w:t>7.28</w:t>
            </w:r>
          </w:p>
        </w:tc>
        <w:tc>
          <w:tcPr>
            <w:tcW w:w="627" w:type="dxa"/>
            <w:noWrap/>
            <w:vAlign w:val="center"/>
            <w:hideMark/>
          </w:tcPr>
          <w:p w14:paraId="76D0F96B" w14:textId="77777777" w:rsidR="00126D8D" w:rsidRPr="004A4899" w:rsidRDefault="00126D8D" w:rsidP="00820288">
            <w:pPr>
              <w:spacing w:line="240" w:lineRule="auto"/>
              <w:rPr>
                <w:rFonts w:ascii="Times New Roman" w:hAnsi="Times New Roman" w:cs="Times New Roman"/>
                <w:sz w:val="15"/>
                <w:szCs w:val="15"/>
              </w:rPr>
            </w:pPr>
            <w:r w:rsidRPr="004A4899">
              <w:rPr>
                <w:rFonts w:ascii="Times New Roman" w:hAnsi="Times New Roman" w:cs="Times New Roman"/>
                <w:sz w:val="15"/>
                <w:szCs w:val="15"/>
              </w:rPr>
              <w:t>c</w:t>
            </w:r>
          </w:p>
        </w:tc>
      </w:tr>
      <w:tr w:rsidR="00126D8D" w:rsidRPr="004A4899" w14:paraId="2D3D5ABE" w14:textId="77777777" w:rsidTr="00820288">
        <w:trPr>
          <w:trHeight w:val="144"/>
        </w:trPr>
        <w:tc>
          <w:tcPr>
            <w:tcW w:w="1916" w:type="dxa"/>
            <w:noWrap/>
            <w:vAlign w:val="center"/>
            <w:hideMark/>
          </w:tcPr>
          <w:p w14:paraId="1CC6517B" w14:textId="77777777" w:rsidR="00126D8D" w:rsidRPr="004A4899" w:rsidRDefault="00126D8D" w:rsidP="00820288">
            <w:pPr>
              <w:spacing w:line="240" w:lineRule="auto"/>
              <w:rPr>
                <w:rFonts w:ascii="Times New Roman" w:hAnsi="Times New Roman" w:cs="Times New Roman"/>
                <w:sz w:val="15"/>
                <w:szCs w:val="15"/>
              </w:rPr>
            </w:pPr>
            <w:r w:rsidRPr="004A4899">
              <w:rPr>
                <w:rFonts w:ascii="Times New Roman" w:hAnsi="Times New Roman" w:cs="Times New Roman"/>
                <w:sz w:val="15"/>
                <w:szCs w:val="15"/>
              </w:rPr>
              <w:t>2-Methyl-2-hepten-4-yne</w:t>
            </w:r>
          </w:p>
        </w:tc>
        <w:tc>
          <w:tcPr>
            <w:tcW w:w="758" w:type="dxa"/>
            <w:noWrap/>
            <w:vAlign w:val="center"/>
            <w:hideMark/>
          </w:tcPr>
          <w:p w14:paraId="7F30AB8E" w14:textId="77777777" w:rsidR="00126D8D" w:rsidRPr="004A4899" w:rsidRDefault="00126D8D" w:rsidP="00820288">
            <w:pPr>
              <w:spacing w:line="240" w:lineRule="auto"/>
              <w:jc w:val="right"/>
              <w:rPr>
                <w:rFonts w:ascii="Times New Roman" w:hAnsi="Times New Roman" w:cs="Times New Roman"/>
                <w:sz w:val="15"/>
                <w:szCs w:val="15"/>
              </w:rPr>
            </w:pPr>
            <w:r w:rsidRPr="004A4899">
              <w:rPr>
                <w:rFonts w:ascii="Times New Roman" w:hAnsi="Times New Roman" w:cs="Times New Roman"/>
                <w:sz w:val="15"/>
                <w:szCs w:val="15"/>
              </w:rPr>
              <w:t>6.56</w:t>
            </w:r>
          </w:p>
        </w:tc>
        <w:tc>
          <w:tcPr>
            <w:tcW w:w="366" w:type="dxa"/>
            <w:noWrap/>
            <w:vAlign w:val="center"/>
            <w:hideMark/>
          </w:tcPr>
          <w:p w14:paraId="0932588E" w14:textId="77777777" w:rsidR="00126D8D" w:rsidRPr="004A4899" w:rsidRDefault="00126D8D" w:rsidP="00820288">
            <w:pPr>
              <w:spacing w:line="240" w:lineRule="auto"/>
              <w:rPr>
                <w:rFonts w:ascii="Times New Roman" w:hAnsi="Times New Roman" w:cs="Times New Roman"/>
                <w:sz w:val="15"/>
                <w:szCs w:val="15"/>
              </w:rPr>
            </w:pPr>
            <w:r w:rsidRPr="004A4899">
              <w:rPr>
                <w:rFonts w:ascii="Times New Roman" w:hAnsi="Times New Roman" w:cs="Times New Roman"/>
                <w:sz w:val="15"/>
                <w:szCs w:val="15"/>
              </w:rPr>
              <w:t>b</w:t>
            </w:r>
          </w:p>
        </w:tc>
        <w:tc>
          <w:tcPr>
            <w:tcW w:w="712" w:type="dxa"/>
            <w:noWrap/>
            <w:vAlign w:val="center"/>
            <w:hideMark/>
          </w:tcPr>
          <w:p w14:paraId="6B7BFDB3" w14:textId="77777777" w:rsidR="00126D8D" w:rsidRPr="004A4899" w:rsidRDefault="00126D8D" w:rsidP="00820288">
            <w:pPr>
              <w:spacing w:line="240" w:lineRule="auto"/>
              <w:jc w:val="right"/>
              <w:rPr>
                <w:rFonts w:ascii="Times New Roman" w:hAnsi="Times New Roman" w:cs="Times New Roman"/>
                <w:sz w:val="15"/>
                <w:szCs w:val="15"/>
              </w:rPr>
            </w:pPr>
            <w:r w:rsidRPr="004A4899">
              <w:rPr>
                <w:rFonts w:ascii="Times New Roman" w:hAnsi="Times New Roman" w:cs="Times New Roman"/>
                <w:sz w:val="15"/>
                <w:szCs w:val="15"/>
              </w:rPr>
              <w:t>6.80</w:t>
            </w:r>
          </w:p>
        </w:tc>
        <w:tc>
          <w:tcPr>
            <w:tcW w:w="368" w:type="dxa"/>
            <w:noWrap/>
            <w:vAlign w:val="center"/>
            <w:hideMark/>
          </w:tcPr>
          <w:p w14:paraId="0EC0AC20" w14:textId="77777777" w:rsidR="00126D8D" w:rsidRPr="004A4899" w:rsidRDefault="00126D8D" w:rsidP="00820288">
            <w:pPr>
              <w:spacing w:line="240" w:lineRule="auto"/>
              <w:rPr>
                <w:rFonts w:ascii="Times New Roman" w:hAnsi="Times New Roman" w:cs="Times New Roman"/>
                <w:sz w:val="15"/>
                <w:szCs w:val="15"/>
              </w:rPr>
            </w:pPr>
            <w:r w:rsidRPr="004A4899">
              <w:rPr>
                <w:rFonts w:ascii="Times New Roman" w:hAnsi="Times New Roman" w:cs="Times New Roman"/>
                <w:sz w:val="15"/>
                <w:szCs w:val="15"/>
              </w:rPr>
              <w:t>b</w:t>
            </w:r>
          </w:p>
        </w:tc>
        <w:tc>
          <w:tcPr>
            <w:tcW w:w="712" w:type="dxa"/>
            <w:noWrap/>
            <w:vAlign w:val="center"/>
            <w:hideMark/>
          </w:tcPr>
          <w:p w14:paraId="1097F0EA" w14:textId="77777777" w:rsidR="00126D8D" w:rsidRPr="004A4899" w:rsidRDefault="00126D8D" w:rsidP="00820288">
            <w:pPr>
              <w:spacing w:line="240" w:lineRule="auto"/>
              <w:jc w:val="right"/>
              <w:rPr>
                <w:rFonts w:ascii="Times New Roman" w:hAnsi="Times New Roman" w:cs="Times New Roman"/>
                <w:sz w:val="15"/>
                <w:szCs w:val="15"/>
              </w:rPr>
            </w:pPr>
            <w:r w:rsidRPr="004A4899">
              <w:rPr>
                <w:rFonts w:ascii="Times New Roman" w:hAnsi="Times New Roman" w:cs="Times New Roman"/>
                <w:sz w:val="15"/>
                <w:szCs w:val="15"/>
              </w:rPr>
              <w:t>8.85</w:t>
            </w:r>
          </w:p>
        </w:tc>
        <w:tc>
          <w:tcPr>
            <w:tcW w:w="368" w:type="dxa"/>
            <w:noWrap/>
            <w:vAlign w:val="center"/>
            <w:hideMark/>
          </w:tcPr>
          <w:p w14:paraId="3001F7B5" w14:textId="77777777" w:rsidR="00126D8D" w:rsidRPr="004A4899" w:rsidRDefault="00126D8D" w:rsidP="00820288">
            <w:pPr>
              <w:spacing w:line="240" w:lineRule="auto"/>
              <w:rPr>
                <w:rFonts w:ascii="Times New Roman" w:hAnsi="Times New Roman" w:cs="Times New Roman"/>
                <w:sz w:val="15"/>
                <w:szCs w:val="15"/>
              </w:rPr>
            </w:pPr>
            <w:r w:rsidRPr="004A4899">
              <w:rPr>
                <w:rFonts w:ascii="Times New Roman" w:hAnsi="Times New Roman" w:cs="Times New Roman"/>
                <w:sz w:val="15"/>
                <w:szCs w:val="15"/>
              </w:rPr>
              <w:t>a</w:t>
            </w:r>
          </w:p>
        </w:tc>
        <w:tc>
          <w:tcPr>
            <w:tcW w:w="916" w:type="dxa"/>
            <w:noWrap/>
            <w:vAlign w:val="center"/>
            <w:hideMark/>
          </w:tcPr>
          <w:p w14:paraId="5688A528" w14:textId="77777777" w:rsidR="00126D8D" w:rsidRPr="004A4899" w:rsidRDefault="00126D8D" w:rsidP="00820288">
            <w:pPr>
              <w:spacing w:line="240" w:lineRule="auto"/>
              <w:jc w:val="right"/>
              <w:rPr>
                <w:rFonts w:ascii="Times New Roman" w:hAnsi="Times New Roman" w:cs="Times New Roman"/>
                <w:sz w:val="15"/>
                <w:szCs w:val="15"/>
              </w:rPr>
            </w:pPr>
            <w:r w:rsidRPr="004A4899">
              <w:rPr>
                <w:rFonts w:ascii="Times New Roman" w:hAnsi="Times New Roman" w:cs="Times New Roman"/>
                <w:sz w:val="15"/>
                <w:szCs w:val="15"/>
              </w:rPr>
              <w:t>9.08</w:t>
            </w:r>
          </w:p>
        </w:tc>
        <w:tc>
          <w:tcPr>
            <w:tcW w:w="627" w:type="dxa"/>
            <w:noWrap/>
            <w:vAlign w:val="center"/>
            <w:hideMark/>
          </w:tcPr>
          <w:p w14:paraId="5334D788" w14:textId="77777777" w:rsidR="00126D8D" w:rsidRPr="004A4899" w:rsidRDefault="00126D8D" w:rsidP="00820288">
            <w:pPr>
              <w:spacing w:line="240" w:lineRule="auto"/>
              <w:rPr>
                <w:rFonts w:ascii="Times New Roman" w:hAnsi="Times New Roman" w:cs="Times New Roman"/>
                <w:sz w:val="15"/>
                <w:szCs w:val="15"/>
              </w:rPr>
            </w:pPr>
            <w:r w:rsidRPr="004A4899">
              <w:rPr>
                <w:rFonts w:ascii="Times New Roman" w:hAnsi="Times New Roman" w:cs="Times New Roman"/>
                <w:sz w:val="15"/>
                <w:szCs w:val="15"/>
              </w:rPr>
              <w:t>a</w:t>
            </w:r>
          </w:p>
        </w:tc>
      </w:tr>
      <w:tr w:rsidR="00126D8D" w:rsidRPr="004A4899" w14:paraId="5A809706" w14:textId="77777777" w:rsidTr="00820288">
        <w:trPr>
          <w:trHeight w:val="144"/>
        </w:trPr>
        <w:tc>
          <w:tcPr>
            <w:tcW w:w="1916" w:type="dxa"/>
            <w:noWrap/>
            <w:vAlign w:val="center"/>
            <w:hideMark/>
          </w:tcPr>
          <w:p w14:paraId="25CEF8CD" w14:textId="77777777" w:rsidR="00126D8D" w:rsidRPr="004A4899" w:rsidRDefault="00126D8D" w:rsidP="00820288">
            <w:pPr>
              <w:spacing w:line="240" w:lineRule="auto"/>
              <w:rPr>
                <w:rFonts w:ascii="Times New Roman" w:hAnsi="Times New Roman" w:cs="Times New Roman"/>
                <w:sz w:val="15"/>
                <w:szCs w:val="15"/>
              </w:rPr>
            </w:pPr>
            <w:r w:rsidRPr="004A4899">
              <w:rPr>
                <w:rFonts w:ascii="Times New Roman" w:hAnsi="Times New Roman" w:cs="Times New Roman"/>
                <w:sz w:val="15"/>
                <w:szCs w:val="15"/>
              </w:rPr>
              <w:t>1-Methylcyclohexene</w:t>
            </w:r>
          </w:p>
        </w:tc>
        <w:tc>
          <w:tcPr>
            <w:tcW w:w="758" w:type="dxa"/>
            <w:noWrap/>
            <w:vAlign w:val="center"/>
            <w:hideMark/>
          </w:tcPr>
          <w:p w14:paraId="102B98C8" w14:textId="77777777" w:rsidR="00126D8D" w:rsidRPr="004A4899" w:rsidRDefault="00126D8D" w:rsidP="00820288">
            <w:pPr>
              <w:spacing w:line="240" w:lineRule="auto"/>
              <w:jc w:val="right"/>
              <w:rPr>
                <w:rFonts w:ascii="Times New Roman" w:hAnsi="Times New Roman" w:cs="Times New Roman"/>
                <w:sz w:val="15"/>
                <w:szCs w:val="15"/>
              </w:rPr>
            </w:pPr>
            <w:r w:rsidRPr="004A4899">
              <w:rPr>
                <w:rFonts w:ascii="Times New Roman" w:hAnsi="Times New Roman" w:cs="Times New Roman"/>
                <w:sz w:val="15"/>
                <w:szCs w:val="15"/>
              </w:rPr>
              <w:t>23.40</w:t>
            </w:r>
          </w:p>
        </w:tc>
        <w:tc>
          <w:tcPr>
            <w:tcW w:w="366" w:type="dxa"/>
            <w:noWrap/>
            <w:vAlign w:val="center"/>
            <w:hideMark/>
          </w:tcPr>
          <w:p w14:paraId="7390EEFE" w14:textId="77777777" w:rsidR="00126D8D" w:rsidRPr="004A4899" w:rsidRDefault="00126D8D" w:rsidP="00820288">
            <w:pPr>
              <w:spacing w:line="240" w:lineRule="auto"/>
              <w:rPr>
                <w:rFonts w:ascii="Times New Roman" w:hAnsi="Times New Roman" w:cs="Times New Roman"/>
                <w:sz w:val="15"/>
                <w:szCs w:val="15"/>
              </w:rPr>
            </w:pPr>
            <w:r w:rsidRPr="004A4899">
              <w:rPr>
                <w:rFonts w:ascii="Times New Roman" w:hAnsi="Times New Roman" w:cs="Times New Roman"/>
                <w:sz w:val="15"/>
                <w:szCs w:val="15"/>
              </w:rPr>
              <w:t>b</w:t>
            </w:r>
          </w:p>
        </w:tc>
        <w:tc>
          <w:tcPr>
            <w:tcW w:w="712" w:type="dxa"/>
            <w:noWrap/>
            <w:vAlign w:val="center"/>
            <w:hideMark/>
          </w:tcPr>
          <w:p w14:paraId="1A2D8B46" w14:textId="77777777" w:rsidR="00126D8D" w:rsidRPr="004A4899" w:rsidRDefault="00126D8D" w:rsidP="00820288">
            <w:pPr>
              <w:spacing w:line="240" w:lineRule="auto"/>
              <w:jc w:val="right"/>
              <w:rPr>
                <w:rFonts w:ascii="Times New Roman" w:hAnsi="Times New Roman" w:cs="Times New Roman"/>
                <w:sz w:val="15"/>
                <w:szCs w:val="15"/>
              </w:rPr>
            </w:pPr>
            <w:r w:rsidRPr="004A4899">
              <w:rPr>
                <w:rFonts w:ascii="Times New Roman" w:hAnsi="Times New Roman" w:cs="Times New Roman"/>
                <w:sz w:val="15"/>
                <w:szCs w:val="15"/>
              </w:rPr>
              <w:t>29.14</w:t>
            </w:r>
          </w:p>
        </w:tc>
        <w:tc>
          <w:tcPr>
            <w:tcW w:w="368" w:type="dxa"/>
            <w:noWrap/>
            <w:vAlign w:val="center"/>
            <w:hideMark/>
          </w:tcPr>
          <w:p w14:paraId="6044BFCA" w14:textId="77777777" w:rsidR="00126D8D" w:rsidRPr="004A4899" w:rsidRDefault="00126D8D" w:rsidP="00820288">
            <w:pPr>
              <w:spacing w:line="240" w:lineRule="auto"/>
              <w:rPr>
                <w:rFonts w:ascii="Times New Roman" w:hAnsi="Times New Roman" w:cs="Times New Roman"/>
                <w:sz w:val="15"/>
                <w:szCs w:val="15"/>
              </w:rPr>
            </w:pPr>
            <w:r w:rsidRPr="004A4899">
              <w:rPr>
                <w:rFonts w:ascii="Times New Roman" w:hAnsi="Times New Roman" w:cs="Times New Roman"/>
                <w:sz w:val="15"/>
                <w:szCs w:val="15"/>
              </w:rPr>
              <w:t>b</w:t>
            </w:r>
          </w:p>
        </w:tc>
        <w:tc>
          <w:tcPr>
            <w:tcW w:w="712" w:type="dxa"/>
            <w:noWrap/>
            <w:vAlign w:val="center"/>
            <w:hideMark/>
          </w:tcPr>
          <w:p w14:paraId="487E8D89" w14:textId="77777777" w:rsidR="00126D8D" w:rsidRPr="004A4899" w:rsidRDefault="00126D8D" w:rsidP="00820288">
            <w:pPr>
              <w:spacing w:line="240" w:lineRule="auto"/>
              <w:jc w:val="right"/>
              <w:rPr>
                <w:rFonts w:ascii="Times New Roman" w:hAnsi="Times New Roman" w:cs="Times New Roman"/>
                <w:sz w:val="15"/>
                <w:szCs w:val="15"/>
              </w:rPr>
            </w:pPr>
            <w:r w:rsidRPr="004A4899">
              <w:rPr>
                <w:rFonts w:ascii="Times New Roman" w:hAnsi="Times New Roman" w:cs="Times New Roman"/>
                <w:sz w:val="15"/>
                <w:szCs w:val="15"/>
              </w:rPr>
              <w:t>32.83</w:t>
            </w:r>
          </w:p>
        </w:tc>
        <w:tc>
          <w:tcPr>
            <w:tcW w:w="368" w:type="dxa"/>
            <w:noWrap/>
            <w:vAlign w:val="center"/>
            <w:hideMark/>
          </w:tcPr>
          <w:p w14:paraId="3A08A2DA" w14:textId="77777777" w:rsidR="00126D8D" w:rsidRPr="004A4899" w:rsidRDefault="00126D8D" w:rsidP="00820288">
            <w:pPr>
              <w:spacing w:line="240" w:lineRule="auto"/>
              <w:rPr>
                <w:rFonts w:ascii="Times New Roman" w:hAnsi="Times New Roman" w:cs="Times New Roman"/>
                <w:sz w:val="15"/>
                <w:szCs w:val="15"/>
              </w:rPr>
            </w:pPr>
            <w:r w:rsidRPr="004A4899">
              <w:rPr>
                <w:rFonts w:ascii="Times New Roman" w:hAnsi="Times New Roman" w:cs="Times New Roman"/>
                <w:sz w:val="15"/>
                <w:szCs w:val="15"/>
              </w:rPr>
              <w:t>b</w:t>
            </w:r>
          </w:p>
        </w:tc>
        <w:tc>
          <w:tcPr>
            <w:tcW w:w="916" w:type="dxa"/>
            <w:noWrap/>
            <w:vAlign w:val="center"/>
            <w:hideMark/>
          </w:tcPr>
          <w:p w14:paraId="785C561D" w14:textId="77777777" w:rsidR="00126D8D" w:rsidRPr="004A4899" w:rsidRDefault="00126D8D" w:rsidP="00820288">
            <w:pPr>
              <w:spacing w:line="240" w:lineRule="auto"/>
              <w:jc w:val="right"/>
              <w:rPr>
                <w:rFonts w:ascii="Times New Roman" w:hAnsi="Times New Roman" w:cs="Times New Roman"/>
                <w:sz w:val="15"/>
                <w:szCs w:val="15"/>
              </w:rPr>
            </w:pPr>
            <w:r w:rsidRPr="004A4899">
              <w:rPr>
                <w:rFonts w:ascii="Times New Roman" w:hAnsi="Times New Roman" w:cs="Times New Roman"/>
                <w:sz w:val="15"/>
                <w:szCs w:val="15"/>
              </w:rPr>
              <w:t>89.07</w:t>
            </w:r>
          </w:p>
        </w:tc>
        <w:tc>
          <w:tcPr>
            <w:tcW w:w="627" w:type="dxa"/>
            <w:noWrap/>
            <w:vAlign w:val="center"/>
            <w:hideMark/>
          </w:tcPr>
          <w:p w14:paraId="09609D56" w14:textId="77777777" w:rsidR="00126D8D" w:rsidRPr="004A4899" w:rsidRDefault="00126D8D" w:rsidP="00820288">
            <w:pPr>
              <w:spacing w:line="240" w:lineRule="auto"/>
              <w:rPr>
                <w:rFonts w:ascii="Times New Roman" w:hAnsi="Times New Roman" w:cs="Times New Roman"/>
                <w:sz w:val="15"/>
                <w:szCs w:val="15"/>
              </w:rPr>
            </w:pPr>
            <w:r w:rsidRPr="004A4899">
              <w:rPr>
                <w:rFonts w:ascii="Times New Roman" w:hAnsi="Times New Roman" w:cs="Times New Roman"/>
                <w:sz w:val="15"/>
                <w:szCs w:val="15"/>
              </w:rPr>
              <w:t>a</w:t>
            </w:r>
          </w:p>
        </w:tc>
      </w:tr>
      <w:tr w:rsidR="00126D8D" w:rsidRPr="004A4899" w14:paraId="2CFC2098" w14:textId="77777777" w:rsidTr="00820288">
        <w:trPr>
          <w:trHeight w:val="144"/>
        </w:trPr>
        <w:tc>
          <w:tcPr>
            <w:tcW w:w="1916" w:type="dxa"/>
            <w:noWrap/>
            <w:vAlign w:val="center"/>
            <w:hideMark/>
          </w:tcPr>
          <w:p w14:paraId="122EB685" w14:textId="77777777" w:rsidR="00126D8D" w:rsidRPr="004A4899" w:rsidRDefault="00126D8D" w:rsidP="00820288">
            <w:pPr>
              <w:spacing w:line="240" w:lineRule="auto"/>
              <w:rPr>
                <w:rFonts w:ascii="Times New Roman" w:hAnsi="Times New Roman" w:cs="Times New Roman"/>
                <w:sz w:val="15"/>
                <w:szCs w:val="15"/>
              </w:rPr>
            </w:pPr>
            <w:r w:rsidRPr="004A4899">
              <w:rPr>
                <w:rFonts w:ascii="Times New Roman" w:hAnsi="Times New Roman" w:cs="Times New Roman"/>
                <w:sz w:val="15"/>
                <w:szCs w:val="15"/>
              </w:rPr>
              <w:t>Cycloheptene</w:t>
            </w:r>
          </w:p>
        </w:tc>
        <w:tc>
          <w:tcPr>
            <w:tcW w:w="758" w:type="dxa"/>
            <w:noWrap/>
            <w:vAlign w:val="center"/>
            <w:hideMark/>
          </w:tcPr>
          <w:p w14:paraId="251CD107" w14:textId="77777777" w:rsidR="00126D8D" w:rsidRPr="004A4899" w:rsidRDefault="00126D8D" w:rsidP="00820288">
            <w:pPr>
              <w:spacing w:line="240" w:lineRule="auto"/>
              <w:jc w:val="right"/>
              <w:rPr>
                <w:rFonts w:ascii="Times New Roman" w:hAnsi="Times New Roman" w:cs="Times New Roman"/>
                <w:sz w:val="15"/>
                <w:szCs w:val="15"/>
              </w:rPr>
            </w:pPr>
            <w:r w:rsidRPr="004A4899">
              <w:rPr>
                <w:rFonts w:ascii="Times New Roman" w:hAnsi="Times New Roman" w:cs="Times New Roman"/>
                <w:sz w:val="15"/>
                <w:szCs w:val="15"/>
              </w:rPr>
              <w:t>0.73</w:t>
            </w:r>
          </w:p>
        </w:tc>
        <w:tc>
          <w:tcPr>
            <w:tcW w:w="366" w:type="dxa"/>
            <w:noWrap/>
            <w:vAlign w:val="center"/>
            <w:hideMark/>
          </w:tcPr>
          <w:p w14:paraId="5D8BC2AC" w14:textId="77777777" w:rsidR="00126D8D" w:rsidRPr="004A4899" w:rsidRDefault="00126D8D" w:rsidP="00820288">
            <w:pPr>
              <w:spacing w:line="240" w:lineRule="auto"/>
              <w:rPr>
                <w:rFonts w:ascii="Times New Roman" w:hAnsi="Times New Roman" w:cs="Times New Roman"/>
                <w:sz w:val="15"/>
                <w:szCs w:val="15"/>
              </w:rPr>
            </w:pPr>
            <w:r w:rsidRPr="004A4899">
              <w:rPr>
                <w:rFonts w:ascii="Times New Roman" w:hAnsi="Times New Roman" w:cs="Times New Roman"/>
                <w:sz w:val="15"/>
                <w:szCs w:val="15"/>
              </w:rPr>
              <w:t>b</w:t>
            </w:r>
          </w:p>
        </w:tc>
        <w:tc>
          <w:tcPr>
            <w:tcW w:w="712" w:type="dxa"/>
            <w:noWrap/>
            <w:vAlign w:val="center"/>
            <w:hideMark/>
          </w:tcPr>
          <w:p w14:paraId="55B8251D" w14:textId="77777777" w:rsidR="00126D8D" w:rsidRPr="004A4899" w:rsidRDefault="00126D8D" w:rsidP="00820288">
            <w:pPr>
              <w:spacing w:line="240" w:lineRule="auto"/>
              <w:jc w:val="right"/>
              <w:rPr>
                <w:rFonts w:ascii="Times New Roman" w:hAnsi="Times New Roman" w:cs="Times New Roman"/>
                <w:sz w:val="15"/>
                <w:szCs w:val="15"/>
              </w:rPr>
            </w:pPr>
            <w:r w:rsidRPr="004A4899">
              <w:rPr>
                <w:rFonts w:ascii="Times New Roman" w:hAnsi="Times New Roman" w:cs="Times New Roman"/>
                <w:sz w:val="15"/>
                <w:szCs w:val="15"/>
              </w:rPr>
              <w:t>0.81</w:t>
            </w:r>
          </w:p>
        </w:tc>
        <w:tc>
          <w:tcPr>
            <w:tcW w:w="368" w:type="dxa"/>
            <w:noWrap/>
            <w:vAlign w:val="center"/>
            <w:hideMark/>
          </w:tcPr>
          <w:p w14:paraId="1474A134" w14:textId="77777777" w:rsidR="00126D8D" w:rsidRPr="004A4899" w:rsidRDefault="00126D8D" w:rsidP="00820288">
            <w:pPr>
              <w:spacing w:line="240" w:lineRule="auto"/>
              <w:rPr>
                <w:rFonts w:ascii="Times New Roman" w:hAnsi="Times New Roman" w:cs="Times New Roman"/>
                <w:sz w:val="15"/>
                <w:szCs w:val="15"/>
              </w:rPr>
            </w:pPr>
            <w:r w:rsidRPr="004A4899">
              <w:rPr>
                <w:rFonts w:ascii="Times New Roman" w:hAnsi="Times New Roman" w:cs="Times New Roman"/>
                <w:sz w:val="15"/>
                <w:szCs w:val="15"/>
              </w:rPr>
              <w:t>b</w:t>
            </w:r>
          </w:p>
        </w:tc>
        <w:tc>
          <w:tcPr>
            <w:tcW w:w="712" w:type="dxa"/>
            <w:noWrap/>
            <w:vAlign w:val="center"/>
            <w:hideMark/>
          </w:tcPr>
          <w:p w14:paraId="59590F4C" w14:textId="77777777" w:rsidR="00126D8D" w:rsidRPr="004A4899" w:rsidRDefault="00126D8D" w:rsidP="00820288">
            <w:pPr>
              <w:spacing w:line="240" w:lineRule="auto"/>
              <w:jc w:val="right"/>
              <w:rPr>
                <w:rFonts w:ascii="Times New Roman" w:hAnsi="Times New Roman" w:cs="Times New Roman"/>
                <w:sz w:val="15"/>
                <w:szCs w:val="15"/>
              </w:rPr>
            </w:pPr>
            <w:r w:rsidRPr="004A4899">
              <w:rPr>
                <w:rFonts w:ascii="Times New Roman" w:hAnsi="Times New Roman" w:cs="Times New Roman"/>
                <w:sz w:val="15"/>
                <w:szCs w:val="15"/>
              </w:rPr>
              <w:t>1.02</w:t>
            </w:r>
          </w:p>
        </w:tc>
        <w:tc>
          <w:tcPr>
            <w:tcW w:w="368" w:type="dxa"/>
            <w:noWrap/>
            <w:vAlign w:val="center"/>
            <w:hideMark/>
          </w:tcPr>
          <w:p w14:paraId="48ACB46B" w14:textId="77777777" w:rsidR="00126D8D" w:rsidRPr="004A4899" w:rsidRDefault="00126D8D" w:rsidP="00820288">
            <w:pPr>
              <w:spacing w:line="240" w:lineRule="auto"/>
              <w:rPr>
                <w:rFonts w:ascii="Times New Roman" w:hAnsi="Times New Roman" w:cs="Times New Roman"/>
                <w:sz w:val="15"/>
                <w:szCs w:val="15"/>
              </w:rPr>
            </w:pPr>
            <w:r w:rsidRPr="004A4899">
              <w:rPr>
                <w:rFonts w:ascii="Times New Roman" w:hAnsi="Times New Roman" w:cs="Times New Roman"/>
                <w:sz w:val="15"/>
                <w:szCs w:val="15"/>
              </w:rPr>
              <w:t>a</w:t>
            </w:r>
          </w:p>
        </w:tc>
        <w:tc>
          <w:tcPr>
            <w:tcW w:w="916" w:type="dxa"/>
            <w:noWrap/>
            <w:vAlign w:val="center"/>
            <w:hideMark/>
          </w:tcPr>
          <w:p w14:paraId="24925699" w14:textId="77777777" w:rsidR="00126D8D" w:rsidRPr="004A4899" w:rsidRDefault="00126D8D" w:rsidP="00820288">
            <w:pPr>
              <w:spacing w:line="240" w:lineRule="auto"/>
              <w:jc w:val="right"/>
              <w:rPr>
                <w:rFonts w:ascii="Times New Roman" w:hAnsi="Times New Roman" w:cs="Times New Roman"/>
                <w:sz w:val="15"/>
                <w:szCs w:val="15"/>
              </w:rPr>
            </w:pPr>
            <w:r w:rsidRPr="004A4899">
              <w:rPr>
                <w:rFonts w:ascii="Times New Roman" w:hAnsi="Times New Roman" w:cs="Times New Roman"/>
                <w:sz w:val="15"/>
                <w:szCs w:val="15"/>
              </w:rPr>
              <w:t>1.09</w:t>
            </w:r>
          </w:p>
        </w:tc>
        <w:tc>
          <w:tcPr>
            <w:tcW w:w="627" w:type="dxa"/>
            <w:noWrap/>
            <w:vAlign w:val="center"/>
            <w:hideMark/>
          </w:tcPr>
          <w:p w14:paraId="1D10EA60" w14:textId="77777777" w:rsidR="00126D8D" w:rsidRPr="004A4899" w:rsidRDefault="00126D8D" w:rsidP="00820288">
            <w:pPr>
              <w:spacing w:line="240" w:lineRule="auto"/>
              <w:rPr>
                <w:rFonts w:ascii="Times New Roman" w:hAnsi="Times New Roman" w:cs="Times New Roman"/>
                <w:sz w:val="15"/>
                <w:szCs w:val="15"/>
              </w:rPr>
            </w:pPr>
            <w:r w:rsidRPr="004A4899">
              <w:rPr>
                <w:rFonts w:ascii="Times New Roman" w:hAnsi="Times New Roman" w:cs="Times New Roman"/>
                <w:sz w:val="15"/>
                <w:szCs w:val="15"/>
              </w:rPr>
              <w:t>a</w:t>
            </w:r>
          </w:p>
        </w:tc>
      </w:tr>
      <w:tr w:rsidR="00126D8D" w:rsidRPr="004A4899" w14:paraId="3EA6F46D" w14:textId="77777777" w:rsidTr="00820288">
        <w:trPr>
          <w:trHeight w:val="144"/>
        </w:trPr>
        <w:tc>
          <w:tcPr>
            <w:tcW w:w="1916" w:type="dxa"/>
            <w:noWrap/>
            <w:vAlign w:val="center"/>
          </w:tcPr>
          <w:p w14:paraId="5F7B3824" w14:textId="77777777" w:rsidR="00126D8D" w:rsidRPr="004A4899" w:rsidRDefault="00126D8D" w:rsidP="00820288">
            <w:pPr>
              <w:spacing w:line="240" w:lineRule="auto"/>
              <w:rPr>
                <w:rFonts w:ascii="Times New Roman" w:hAnsi="Times New Roman" w:cs="Times New Roman"/>
                <w:b/>
                <w:bCs/>
                <w:sz w:val="15"/>
                <w:szCs w:val="15"/>
              </w:rPr>
            </w:pPr>
            <w:r w:rsidRPr="004A4899">
              <w:rPr>
                <w:rFonts w:ascii="Times New Roman" w:hAnsi="Times New Roman" w:cs="Times New Roman"/>
                <w:b/>
                <w:bCs/>
                <w:sz w:val="15"/>
                <w:szCs w:val="15"/>
              </w:rPr>
              <w:t>Acyclic monoterpenes</w:t>
            </w:r>
          </w:p>
        </w:tc>
        <w:tc>
          <w:tcPr>
            <w:tcW w:w="758" w:type="dxa"/>
            <w:noWrap/>
            <w:vAlign w:val="center"/>
          </w:tcPr>
          <w:p w14:paraId="15259D84" w14:textId="77777777" w:rsidR="00126D8D" w:rsidRPr="004A4899" w:rsidRDefault="00126D8D" w:rsidP="00820288">
            <w:pPr>
              <w:spacing w:line="240" w:lineRule="auto"/>
              <w:jc w:val="right"/>
              <w:rPr>
                <w:rFonts w:ascii="Times New Roman" w:hAnsi="Times New Roman" w:cs="Times New Roman"/>
                <w:sz w:val="15"/>
                <w:szCs w:val="15"/>
              </w:rPr>
            </w:pPr>
          </w:p>
        </w:tc>
        <w:tc>
          <w:tcPr>
            <w:tcW w:w="366" w:type="dxa"/>
            <w:noWrap/>
            <w:vAlign w:val="center"/>
          </w:tcPr>
          <w:p w14:paraId="5F187BA9" w14:textId="77777777" w:rsidR="00126D8D" w:rsidRPr="004A4899" w:rsidRDefault="00126D8D" w:rsidP="00820288">
            <w:pPr>
              <w:spacing w:line="240" w:lineRule="auto"/>
              <w:rPr>
                <w:rFonts w:ascii="Times New Roman" w:hAnsi="Times New Roman" w:cs="Times New Roman"/>
                <w:sz w:val="15"/>
                <w:szCs w:val="15"/>
              </w:rPr>
            </w:pPr>
          </w:p>
        </w:tc>
        <w:tc>
          <w:tcPr>
            <w:tcW w:w="712" w:type="dxa"/>
            <w:noWrap/>
            <w:vAlign w:val="center"/>
          </w:tcPr>
          <w:p w14:paraId="494CF0C3" w14:textId="77777777" w:rsidR="00126D8D" w:rsidRPr="004A4899" w:rsidRDefault="00126D8D" w:rsidP="00820288">
            <w:pPr>
              <w:spacing w:line="240" w:lineRule="auto"/>
              <w:jc w:val="right"/>
              <w:rPr>
                <w:rFonts w:ascii="Times New Roman" w:hAnsi="Times New Roman" w:cs="Times New Roman"/>
                <w:sz w:val="15"/>
                <w:szCs w:val="15"/>
              </w:rPr>
            </w:pPr>
          </w:p>
        </w:tc>
        <w:tc>
          <w:tcPr>
            <w:tcW w:w="368" w:type="dxa"/>
            <w:noWrap/>
            <w:vAlign w:val="center"/>
          </w:tcPr>
          <w:p w14:paraId="27BD5809" w14:textId="77777777" w:rsidR="00126D8D" w:rsidRPr="004A4899" w:rsidRDefault="00126D8D" w:rsidP="00820288">
            <w:pPr>
              <w:spacing w:line="240" w:lineRule="auto"/>
              <w:rPr>
                <w:rFonts w:ascii="Times New Roman" w:hAnsi="Times New Roman" w:cs="Times New Roman"/>
                <w:sz w:val="15"/>
                <w:szCs w:val="15"/>
              </w:rPr>
            </w:pPr>
          </w:p>
        </w:tc>
        <w:tc>
          <w:tcPr>
            <w:tcW w:w="712" w:type="dxa"/>
            <w:noWrap/>
            <w:vAlign w:val="center"/>
          </w:tcPr>
          <w:p w14:paraId="25E71A07" w14:textId="77777777" w:rsidR="00126D8D" w:rsidRPr="004A4899" w:rsidRDefault="00126D8D" w:rsidP="00820288">
            <w:pPr>
              <w:spacing w:line="240" w:lineRule="auto"/>
              <w:jc w:val="right"/>
              <w:rPr>
                <w:rFonts w:ascii="Times New Roman" w:hAnsi="Times New Roman" w:cs="Times New Roman"/>
                <w:sz w:val="15"/>
                <w:szCs w:val="15"/>
              </w:rPr>
            </w:pPr>
          </w:p>
        </w:tc>
        <w:tc>
          <w:tcPr>
            <w:tcW w:w="368" w:type="dxa"/>
            <w:noWrap/>
            <w:vAlign w:val="center"/>
          </w:tcPr>
          <w:p w14:paraId="2DDE4055" w14:textId="77777777" w:rsidR="00126D8D" w:rsidRPr="004A4899" w:rsidRDefault="00126D8D" w:rsidP="00820288">
            <w:pPr>
              <w:spacing w:line="240" w:lineRule="auto"/>
              <w:rPr>
                <w:rFonts w:ascii="Times New Roman" w:hAnsi="Times New Roman" w:cs="Times New Roman"/>
                <w:sz w:val="15"/>
                <w:szCs w:val="15"/>
              </w:rPr>
            </w:pPr>
          </w:p>
        </w:tc>
        <w:tc>
          <w:tcPr>
            <w:tcW w:w="916" w:type="dxa"/>
            <w:noWrap/>
            <w:vAlign w:val="center"/>
          </w:tcPr>
          <w:p w14:paraId="4256C2CA" w14:textId="77777777" w:rsidR="00126D8D" w:rsidRPr="004A4899" w:rsidRDefault="00126D8D" w:rsidP="00820288">
            <w:pPr>
              <w:spacing w:line="240" w:lineRule="auto"/>
              <w:jc w:val="right"/>
              <w:rPr>
                <w:rFonts w:ascii="Times New Roman" w:hAnsi="Times New Roman" w:cs="Times New Roman"/>
                <w:sz w:val="15"/>
                <w:szCs w:val="15"/>
              </w:rPr>
            </w:pPr>
          </w:p>
        </w:tc>
        <w:tc>
          <w:tcPr>
            <w:tcW w:w="627" w:type="dxa"/>
            <w:noWrap/>
            <w:vAlign w:val="center"/>
          </w:tcPr>
          <w:p w14:paraId="157B84EB" w14:textId="77777777" w:rsidR="00126D8D" w:rsidRPr="004A4899" w:rsidRDefault="00126D8D" w:rsidP="00820288">
            <w:pPr>
              <w:spacing w:line="240" w:lineRule="auto"/>
              <w:rPr>
                <w:rFonts w:ascii="Times New Roman" w:hAnsi="Times New Roman" w:cs="Times New Roman"/>
                <w:sz w:val="15"/>
                <w:szCs w:val="15"/>
              </w:rPr>
            </w:pPr>
          </w:p>
        </w:tc>
      </w:tr>
      <w:tr w:rsidR="00126D8D" w:rsidRPr="004A4899" w14:paraId="508C3916" w14:textId="77777777" w:rsidTr="00820288">
        <w:trPr>
          <w:trHeight w:val="144"/>
        </w:trPr>
        <w:tc>
          <w:tcPr>
            <w:tcW w:w="1916" w:type="dxa"/>
            <w:noWrap/>
            <w:vAlign w:val="center"/>
            <w:hideMark/>
          </w:tcPr>
          <w:p w14:paraId="25FBD743" w14:textId="77777777" w:rsidR="00126D8D" w:rsidRPr="004A4899" w:rsidRDefault="00126D8D" w:rsidP="00820288">
            <w:pPr>
              <w:spacing w:line="240" w:lineRule="auto"/>
              <w:rPr>
                <w:rFonts w:ascii="Times New Roman" w:hAnsi="Times New Roman" w:cs="Times New Roman"/>
                <w:sz w:val="15"/>
                <w:szCs w:val="15"/>
              </w:rPr>
            </w:pPr>
            <w:r w:rsidRPr="004A4899">
              <w:rPr>
                <w:rFonts w:ascii="Times New Roman" w:hAnsi="Times New Roman" w:cs="Times New Roman"/>
                <w:sz w:val="15"/>
                <w:szCs w:val="15"/>
              </w:rPr>
              <w:t>2,6-Dimethyl-2,4,6-octatriene</w:t>
            </w:r>
          </w:p>
        </w:tc>
        <w:tc>
          <w:tcPr>
            <w:tcW w:w="758" w:type="dxa"/>
            <w:noWrap/>
            <w:vAlign w:val="center"/>
            <w:hideMark/>
          </w:tcPr>
          <w:p w14:paraId="497DDAC3" w14:textId="77777777" w:rsidR="00126D8D" w:rsidRPr="004A4899" w:rsidRDefault="00126D8D" w:rsidP="00820288">
            <w:pPr>
              <w:spacing w:line="240" w:lineRule="auto"/>
              <w:jc w:val="right"/>
              <w:rPr>
                <w:rFonts w:ascii="Times New Roman" w:hAnsi="Times New Roman" w:cs="Times New Roman"/>
                <w:sz w:val="15"/>
                <w:szCs w:val="15"/>
              </w:rPr>
            </w:pPr>
            <w:r w:rsidRPr="004A4899">
              <w:rPr>
                <w:rFonts w:ascii="Times New Roman" w:hAnsi="Times New Roman" w:cs="Times New Roman"/>
                <w:sz w:val="15"/>
                <w:szCs w:val="15"/>
              </w:rPr>
              <w:t>1.77</w:t>
            </w:r>
          </w:p>
        </w:tc>
        <w:tc>
          <w:tcPr>
            <w:tcW w:w="366" w:type="dxa"/>
            <w:noWrap/>
            <w:vAlign w:val="center"/>
            <w:hideMark/>
          </w:tcPr>
          <w:p w14:paraId="7C3E583B" w14:textId="77777777" w:rsidR="00126D8D" w:rsidRPr="004A4899" w:rsidRDefault="00126D8D" w:rsidP="00820288">
            <w:pPr>
              <w:spacing w:line="240" w:lineRule="auto"/>
              <w:rPr>
                <w:rFonts w:ascii="Times New Roman" w:hAnsi="Times New Roman" w:cs="Times New Roman"/>
                <w:sz w:val="15"/>
                <w:szCs w:val="15"/>
              </w:rPr>
            </w:pPr>
            <w:r w:rsidRPr="004A4899">
              <w:rPr>
                <w:rFonts w:ascii="Times New Roman" w:hAnsi="Times New Roman" w:cs="Times New Roman"/>
                <w:sz w:val="15"/>
                <w:szCs w:val="15"/>
              </w:rPr>
              <w:t>d</w:t>
            </w:r>
          </w:p>
        </w:tc>
        <w:tc>
          <w:tcPr>
            <w:tcW w:w="712" w:type="dxa"/>
            <w:noWrap/>
            <w:vAlign w:val="center"/>
            <w:hideMark/>
          </w:tcPr>
          <w:p w14:paraId="7ECBD720" w14:textId="77777777" w:rsidR="00126D8D" w:rsidRPr="004A4899" w:rsidRDefault="00126D8D" w:rsidP="00820288">
            <w:pPr>
              <w:spacing w:line="240" w:lineRule="auto"/>
              <w:jc w:val="right"/>
              <w:rPr>
                <w:rFonts w:ascii="Times New Roman" w:hAnsi="Times New Roman" w:cs="Times New Roman"/>
                <w:sz w:val="15"/>
                <w:szCs w:val="15"/>
              </w:rPr>
            </w:pPr>
            <w:r w:rsidRPr="004A4899">
              <w:rPr>
                <w:rFonts w:ascii="Times New Roman" w:hAnsi="Times New Roman" w:cs="Times New Roman"/>
                <w:sz w:val="15"/>
                <w:szCs w:val="15"/>
              </w:rPr>
              <w:t>4.16</w:t>
            </w:r>
          </w:p>
        </w:tc>
        <w:tc>
          <w:tcPr>
            <w:tcW w:w="368" w:type="dxa"/>
            <w:noWrap/>
            <w:vAlign w:val="center"/>
            <w:hideMark/>
          </w:tcPr>
          <w:p w14:paraId="6D08E507" w14:textId="77777777" w:rsidR="00126D8D" w:rsidRPr="004A4899" w:rsidRDefault="00126D8D" w:rsidP="00820288">
            <w:pPr>
              <w:spacing w:line="240" w:lineRule="auto"/>
              <w:rPr>
                <w:rFonts w:ascii="Times New Roman" w:hAnsi="Times New Roman" w:cs="Times New Roman"/>
                <w:sz w:val="15"/>
                <w:szCs w:val="15"/>
              </w:rPr>
            </w:pPr>
            <w:r w:rsidRPr="004A4899">
              <w:rPr>
                <w:rFonts w:ascii="Times New Roman" w:hAnsi="Times New Roman" w:cs="Times New Roman"/>
                <w:sz w:val="15"/>
                <w:szCs w:val="15"/>
              </w:rPr>
              <w:t>c</w:t>
            </w:r>
          </w:p>
        </w:tc>
        <w:tc>
          <w:tcPr>
            <w:tcW w:w="712" w:type="dxa"/>
            <w:noWrap/>
            <w:vAlign w:val="center"/>
            <w:hideMark/>
          </w:tcPr>
          <w:p w14:paraId="094727DF" w14:textId="77777777" w:rsidR="00126D8D" w:rsidRPr="004A4899" w:rsidRDefault="00126D8D" w:rsidP="00820288">
            <w:pPr>
              <w:spacing w:line="240" w:lineRule="auto"/>
              <w:jc w:val="right"/>
              <w:rPr>
                <w:rFonts w:ascii="Times New Roman" w:hAnsi="Times New Roman" w:cs="Times New Roman"/>
                <w:sz w:val="15"/>
                <w:szCs w:val="15"/>
              </w:rPr>
            </w:pPr>
            <w:r w:rsidRPr="004A4899">
              <w:rPr>
                <w:rFonts w:ascii="Times New Roman" w:hAnsi="Times New Roman" w:cs="Times New Roman"/>
                <w:sz w:val="15"/>
                <w:szCs w:val="15"/>
              </w:rPr>
              <w:t>6.30</w:t>
            </w:r>
          </w:p>
        </w:tc>
        <w:tc>
          <w:tcPr>
            <w:tcW w:w="368" w:type="dxa"/>
            <w:noWrap/>
            <w:vAlign w:val="center"/>
            <w:hideMark/>
          </w:tcPr>
          <w:p w14:paraId="09D13FE6" w14:textId="77777777" w:rsidR="00126D8D" w:rsidRPr="004A4899" w:rsidRDefault="00126D8D" w:rsidP="00820288">
            <w:pPr>
              <w:spacing w:line="240" w:lineRule="auto"/>
              <w:rPr>
                <w:rFonts w:ascii="Times New Roman" w:hAnsi="Times New Roman" w:cs="Times New Roman"/>
                <w:sz w:val="15"/>
                <w:szCs w:val="15"/>
              </w:rPr>
            </w:pPr>
            <w:r w:rsidRPr="004A4899">
              <w:rPr>
                <w:rFonts w:ascii="Times New Roman" w:hAnsi="Times New Roman" w:cs="Times New Roman"/>
                <w:sz w:val="15"/>
                <w:szCs w:val="15"/>
              </w:rPr>
              <w:t>a</w:t>
            </w:r>
          </w:p>
        </w:tc>
        <w:tc>
          <w:tcPr>
            <w:tcW w:w="916" w:type="dxa"/>
            <w:noWrap/>
            <w:vAlign w:val="center"/>
            <w:hideMark/>
          </w:tcPr>
          <w:p w14:paraId="3B8D22A3" w14:textId="77777777" w:rsidR="00126D8D" w:rsidRPr="004A4899" w:rsidRDefault="00126D8D" w:rsidP="00820288">
            <w:pPr>
              <w:spacing w:line="240" w:lineRule="auto"/>
              <w:jc w:val="right"/>
              <w:rPr>
                <w:rFonts w:ascii="Times New Roman" w:hAnsi="Times New Roman" w:cs="Times New Roman"/>
                <w:sz w:val="15"/>
                <w:szCs w:val="15"/>
              </w:rPr>
            </w:pPr>
            <w:r w:rsidRPr="004A4899">
              <w:rPr>
                <w:rFonts w:ascii="Times New Roman" w:hAnsi="Times New Roman" w:cs="Times New Roman"/>
                <w:sz w:val="15"/>
                <w:szCs w:val="15"/>
              </w:rPr>
              <w:t>5.15</w:t>
            </w:r>
          </w:p>
        </w:tc>
        <w:tc>
          <w:tcPr>
            <w:tcW w:w="627" w:type="dxa"/>
            <w:noWrap/>
            <w:vAlign w:val="center"/>
            <w:hideMark/>
          </w:tcPr>
          <w:p w14:paraId="30769704" w14:textId="77777777" w:rsidR="00126D8D" w:rsidRPr="004A4899" w:rsidRDefault="00126D8D" w:rsidP="00820288">
            <w:pPr>
              <w:spacing w:line="240" w:lineRule="auto"/>
              <w:rPr>
                <w:rFonts w:ascii="Times New Roman" w:hAnsi="Times New Roman" w:cs="Times New Roman"/>
                <w:sz w:val="15"/>
                <w:szCs w:val="15"/>
              </w:rPr>
            </w:pPr>
            <w:r w:rsidRPr="004A4899">
              <w:rPr>
                <w:rFonts w:ascii="Times New Roman" w:hAnsi="Times New Roman" w:cs="Times New Roman"/>
                <w:sz w:val="15"/>
                <w:szCs w:val="15"/>
              </w:rPr>
              <w:t>b</w:t>
            </w:r>
          </w:p>
        </w:tc>
      </w:tr>
      <w:tr w:rsidR="00126D8D" w:rsidRPr="004A4899" w14:paraId="5EE8EB19" w14:textId="77777777" w:rsidTr="00820288">
        <w:trPr>
          <w:trHeight w:val="144"/>
        </w:trPr>
        <w:tc>
          <w:tcPr>
            <w:tcW w:w="1916" w:type="dxa"/>
            <w:noWrap/>
            <w:vAlign w:val="center"/>
            <w:hideMark/>
          </w:tcPr>
          <w:p w14:paraId="2E76E985" w14:textId="77777777" w:rsidR="00126D8D" w:rsidRPr="004A4899" w:rsidRDefault="00126D8D" w:rsidP="00820288">
            <w:pPr>
              <w:spacing w:line="240" w:lineRule="auto"/>
              <w:rPr>
                <w:rFonts w:ascii="Times New Roman" w:hAnsi="Times New Roman" w:cs="Times New Roman"/>
                <w:sz w:val="15"/>
                <w:szCs w:val="15"/>
              </w:rPr>
            </w:pPr>
            <w:r w:rsidRPr="004A4899">
              <w:rPr>
                <w:rFonts w:ascii="Times New Roman" w:hAnsi="Times New Roman" w:cs="Times New Roman"/>
                <w:sz w:val="15"/>
                <w:szCs w:val="15"/>
              </w:rPr>
              <w:t>cis-β-Ocimene</w:t>
            </w:r>
          </w:p>
        </w:tc>
        <w:tc>
          <w:tcPr>
            <w:tcW w:w="758" w:type="dxa"/>
            <w:noWrap/>
            <w:vAlign w:val="center"/>
            <w:hideMark/>
          </w:tcPr>
          <w:p w14:paraId="22E955B4" w14:textId="77777777" w:rsidR="00126D8D" w:rsidRPr="004A4899" w:rsidRDefault="00126D8D" w:rsidP="00820288">
            <w:pPr>
              <w:spacing w:line="240" w:lineRule="auto"/>
              <w:jc w:val="right"/>
              <w:rPr>
                <w:rFonts w:ascii="Times New Roman" w:hAnsi="Times New Roman" w:cs="Times New Roman"/>
                <w:sz w:val="15"/>
                <w:szCs w:val="15"/>
              </w:rPr>
            </w:pPr>
            <w:r w:rsidRPr="004A4899">
              <w:rPr>
                <w:rFonts w:ascii="Times New Roman" w:hAnsi="Times New Roman" w:cs="Times New Roman"/>
                <w:sz w:val="15"/>
                <w:szCs w:val="15"/>
              </w:rPr>
              <w:t>370.45</w:t>
            </w:r>
          </w:p>
        </w:tc>
        <w:tc>
          <w:tcPr>
            <w:tcW w:w="366" w:type="dxa"/>
            <w:noWrap/>
            <w:vAlign w:val="center"/>
            <w:hideMark/>
          </w:tcPr>
          <w:p w14:paraId="6C89B1AE" w14:textId="77777777" w:rsidR="00126D8D" w:rsidRPr="004A4899" w:rsidRDefault="00126D8D" w:rsidP="00820288">
            <w:pPr>
              <w:spacing w:line="240" w:lineRule="auto"/>
              <w:rPr>
                <w:rFonts w:ascii="Times New Roman" w:hAnsi="Times New Roman" w:cs="Times New Roman"/>
                <w:sz w:val="15"/>
                <w:szCs w:val="15"/>
              </w:rPr>
            </w:pPr>
            <w:r w:rsidRPr="004A4899">
              <w:rPr>
                <w:rFonts w:ascii="Times New Roman" w:hAnsi="Times New Roman" w:cs="Times New Roman"/>
                <w:sz w:val="15"/>
                <w:szCs w:val="15"/>
              </w:rPr>
              <w:t>c</w:t>
            </w:r>
          </w:p>
        </w:tc>
        <w:tc>
          <w:tcPr>
            <w:tcW w:w="712" w:type="dxa"/>
            <w:noWrap/>
            <w:vAlign w:val="center"/>
            <w:hideMark/>
          </w:tcPr>
          <w:p w14:paraId="79725180" w14:textId="77777777" w:rsidR="00126D8D" w:rsidRPr="004A4899" w:rsidRDefault="00126D8D" w:rsidP="00820288">
            <w:pPr>
              <w:spacing w:line="240" w:lineRule="auto"/>
              <w:jc w:val="right"/>
              <w:rPr>
                <w:rFonts w:ascii="Times New Roman" w:hAnsi="Times New Roman" w:cs="Times New Roman"/>
                <w:sz w:val="15"/>
                <w:szCs w:val="15"/>
              </w:rPr>
            </w:pPr>
            <w:r w:rsidRPr="004A4899">
              <w:rPr>
                <w:rFonts w:ascii="Times New Roman" w:hAnsi="Times New Roman" w:cs="Times New Roman"/>
                <w:sz w:val="15"/>
                <w:szCs w:val="15"/>
              </w:rPr>
              <w:t>538.33</w:t>
            </w:r>
          </w:p>
        </w:tc>
        <w:tc>
          <w:tcPr>
            <w:tcW w:w="368" w:type="dxa"/>
            <w:noWrap/>
            <w:vAlign w:val="center"/>
            <w:hideMark/>
          </w:tcPr>
          <w:p w14:paraId="31AD8DEB" w14:textId="77777777" w:rsidR="00126D8D" w:rsidRPr="004A4899" w:rsidRDefault="00126D8D" w:rsidP="00820288">
            <w:pPr>
              <w:spacing w:line="240" w:lineRule="auto"/>
              <w:rPr>
                <w:rFonts w:ascii="Times New Roman" w:hAnsi="Times New Roman" w:cs="Times New Roman"/>
                <w:sz w:val="15"/>
                <w:szCs w:val="15"/>
              </w:rPr>
            </w:pPr>
            <w:r w:rsidRPr="004A4899">
              <w:rPr>
                <w:rFonts w:ascii="Times New Roman" w:hAnsi="Times New Roman" w:cs="Times New Roman"/>
                <w:sz w:val="15"/>
                <w:szCs w:val="15"/>
              </w:rPr>
              <w:t>b</w:t>
            </w:r>
          </w:p>
        </w:tc>
        <w:tc>
          <w:tcPr>
            <w:tcW w:w="712" w:type="dxa"/>
            <w:noWrap/>
            <w:vAlign w:val="center"/>
            <w:hideMark/>
          </w:tcPr>
          <w:p w14:paraId="6A2A31EE" w14:textId="77777777" w:rsidR="00126D8D" w:rsidRPr="004A4899" w:rsidRDefault="00126D8D" w:rsidP="00820288">
            <w:pPr>
              <w:spacing w:line="240" w:lineRule="auto"/>
              <w:jc w:val="right"/>
              <w:rPr>
                <w:rFonts w:ascii="Times New Roman" w:hAnsi="Times New Roman" w:cs="Times New Roman"/>
                <w:sz w:val="15"/>
                <w:szCs w:val="15"/>
              </w:rPr>
            </w:pPr>
            <w:r w:rsidRPr="004A4899">
              <w:rPr>
                <w:rFonts w:ascii="Times New Roman" w:hAnsi="Times New Roman" w:cs="Times New Roman"/>
                <w:sz w:val="15"/>
                <w:szCs w:val="15"/>
              </w:rPr>
              <w:t>754.18</w:t>
            </w:r>
          </w:p>
        </w:tc>
        <w:tc>
          <w:tcPr>
            <w:tcW w:w="368" w:type="dxa"/>
            <w:noWrap/>
            <w:vAlign w:val="center"/>
            <w:hideMark/>
          </w:tcPr>
          <w:p w14:paraId="6FCA7530" w14:textId="77777777" w:rsidR="00126D8D" w:rsidRPr="004A4899" w:rsidRDefault="00126D8D" w:rsidP="00820288">
            <w:pPr>
              <w:spacing w:line="240" w:lineRule="auto"/>
              <w:rPr>
                <w:rFonts w:ascii="Times New Roman" w:hAnsi="Times New Roman" w:cs="Times New Roman"/>
                <w:sz w:val="15"/>
                <w:szCs w:val="15"/>
              </w:rPr>
            </w:pPr>
            <w:r w:rsidRPr="004A4899">
              <w:rPr>
                <w:rFonts w:ascii="Times New Roman" w:hAnsi="Times New Roman" w:cs="Times New Roman"/>
                <w:sz w:val="15"/>
                <w:szCs w:val="15"/>
              </w:rPr>
              <w:t>a</w:t>
            </w:r>
          </w:p>
        </w:tc>
        <w:tc>
          <w:tcPr>
            <w:tcW w:w="916" w:type="dxa"/>
            <w:noWrap/>
            <w:vAlign w:val="center"/>
            <w:hideMark/>
          </w:tcPr>
          <w:p w14:paraId="44FEAAB3" w14:textId="77777777" w:rsidR="00126D8D" w:rsidRPr="004A4899" w:rsidRDefault="00126D8D" w:rsidP="00820288">
            <w:pPr>
              <w:spacing w:line="240" w:lineRule="auto"/>
              <w:jc w:val="right"/>
              <w:rPr>
                <w:rFonts w:ascii="Times New Roman" w:hAnsi="Times New Roman" w:cs="Times New Roman"/>
                <w:sz w:val="15"/>
                <w:szCs w:val="15"/>
              </w:rPr>
            </w:pPr>
            <w:r w:rsidRPr="004A4899">
              <w:rPr>
                <w:rFonts w:ascii="Times New Roman" w:hAnsi="Times New Roman" w:cs="Times New Roman"/>
                <w:sz w:val="15"/>
                <w:szCs w:val="15"/>
              </w:rPr>
              <w:t>145.81</w:t>
            </w:r>
          </w:p>
        </w:tc>
        <w:tc>
          <w:tcPr>
            <w:tcW w:w="627" w:type="dxa"/>
            <w:noWrap/>
            <w:vAlign w:val="center"/>
            <w:hideMark/>
          </w:tcPr>
          <w:p w14:paraId="78E75D08" w14:textId="77777777" w:rsidR="00126D8D" w:rsidRPr="004A4899" w:rsidRDefault="00126D8D" w:rsidP="00820288">
            <w:pPr>
              <w:spacing w:line="240" w:lineRule="auto"/>
              <w:rPr>
                <w:rFonts w:ascii="Times New Roman" w:hAnsi="Times New Roman" w:cs="Times New Roman"/>
                <w:sz w:val="15"/>
                <w:szCs w:val="15"/>
              </w:rPr>
            </w:pPr>
            <w:r w:rsidRPr="004A4899">
              <w:rPr>
                <w:rFonts w:ascii="Times New Roman" w:hAnsi="Times New Roman" w:cs="Times New Roman"/>
                <w:sz w:val="15"/>
                <w:szCs w:val="15"/>
              </w:rPr>
              <w:t>d</w:t>
            </w:r>
          </w:p>
        </w:tc>
      </w:tr>
      <w:tr w:rsidR="00126D8D" w:rsidRPr="004A4899" w14:paraId="639959ED" w14:textId="77777777" w:rsidTr="00820288">
        <w:trPr>
          <w:trHeight w:val="144"/>
        </w:trPr>
        <w:tc>
          <w:tcPr>
            <w:tcW w:w="1916" w:type="dxa"/>
            <w:noWrap/>
            <w:vAlign w:val="center"/>
            <w:hideMark/>
          </w:tcPr>
          <w:p w14:paraId="28900D34" w14:textId="77777777" w:rsidR="00126D8D" w:rsidRPr="004A4899" w:rsidRDefault="00126D8D" w:rsidP="00820288">
            <w:pPr>
              <w:spacing w:line="240" w:lineRule="auto"/>
              <w:rPr>
                <w:rFonts w:ascii="Times New Roman" w:hAnsi="Times New Roman" w:cs="Times New Roman"/>
                <w:sz w:val="15"/>
                <w:szCs w:val="15"/>
              </w:rPr>
            </w:pPr>
            <w:r w:rsidRPr="004A4899">
              <w:rPr>
                <w:rFonts w:ascii="Times New Roman" w:hAnsi="Times New Roman" w:cs="Times New Roman"/>
                <w:sz w:val="15"/>
                <w:szCs w:val="15"/>
              </w:rPr>
              <w:t>Citronellyl Acetate</w:t>
            </w:r>
          </w:p>
        </w:tc>
        <w:tc>
          <w:tcPr>
            <w:tcW w:w="758" w:type="dxa"/>
            <w:noWrap/>
            <w:vAlign w:val="center"/>
            <w:hideMark/>
          </w:tcPr>
          <w:p w14:paraId="395745AE" w14:textId="77777777" w:rsidR="00126D8D" w:rsidRPr="004A4899" w:rsidRDefault="00126D8D" w:rsidP="00820288">
            <w:pPr>
              <w:spacing w:line="240" w:lineRule="auto"/>
              <w:jc w:val="right"/>
              <w:rPr>
                <w:rFonts w:ascii="Times New Roman" w:hAnsi="Times New Roman" w:cs="Times New Roman"/>
                <w:sz w:val="15"/>
                <w:szCs w:val="15"/>
              </w:rPr>
            </w:pPr>
            <w:r w:rsidRPr="004A4899">
              <w:rPr>
                <w:rFonts w:ascii="Times New Roman" w:hAnsi="Times New Roman" w:cs="Times New Roman"/>
                <w:sz w:val="15"/>
                <w:szCs w:val="15"/>
              </w:rPr>
              <w:t>188.27</w:t>
            </w:r>
          </w:p>
        </w:tc>
        <w:tc>
          <w:tcPr>
            <w:tcW w:w="366" w:type="dxa"/>
            <w:noWrap/>
            <w:vAlign w:val="center"/>
            <w:hideMark/>
          </w:tcPr>
          <w:p w14:paraId="6418EA1E" w14:textId="77777777" w:rsidR="00126D8D" w:rsidRPr="004A4899" w:rsidRDefault="00126D8D" w:rsidP="00820288">
            <w:pPr>
              <w:spacing w:line="240" w:lineRule="auto"/>
              <w:rPr>
                <w:rFonts w:ascii="Times New Roman" w:hAnsi="Times New Roman" w:cs="Times New Roman"/>
                <w:sz w:val="15"/>
                <w:szCs w:val="15"/>
              </w:rPr>
            </w:pPr>
            <w:r w:rsidRPr="004A4899">
              <w:rPr>
                <w:rFonts w:ascii="Times New Roman" w:hAnsi="Times New Roman" w:cs="Times New Roman"/>
                <w:sz w:val="15"/>
                <w:szCs w:val="15"/>
              </w:rPr>
              <w:t>c</w:t>
            </w:r>
          </w:p>
        </w:tc>
        <w:tc>
          <w:tcPr>
            <w:tcW w:w="712" w:type="dxa"/>
            <w:noWrap/>
            <w:vAlign w:val="center"/>
            <w:hideMark/>
          </w:tcPr>
          <w:p w14:paraId="2ADA6CCC" w14:textId="77777777" w:rsidR="00126D8D" w:rsidRPr="004A4899" w:rsidRDefault="00126D8D" w:rsidP="00820288">
            <w:pPr>
              <w:spacing w:line="240" w:lineRule="auto"/>
              <w:jc w:val="right"/>
              <w:rPr>
                <w:rFonts w:ascii="Times New Roman" w:hAnsi="Times New Roman" w:cs="Times New Roman"/>
                <w:sz w:val="15"/>
                <w:szCs w:val="15"/>
              </w:rPr>
            </w:pPr>
            <w:r w:rsidRPr="004A4899">
              <w:rPr>
                <w:rFonts w:ascii="Times New Roman" w:hAnsi="Times New Roman" w:cs="Times New Roman"/>
                <w:sz w:val="15"/>
                <w:szCs w:val="15"/>
              </w:rPr>
              <w:t>190.24</w:t>
            </w:r>
          </w:p>
        </w:tc>
        <w:tc>
          <w:tcPr>
            <w:tcW w:w="368" w:type="dxa"/>
            <w:noWrap/>
            <w:vAlign w:val="center"/>
            <w:hideMark/>
          </w:tcPr>
          <w:p w14:paraId="188C972B" w14:textId="77777777" w:rsidR="00126D8D" w:rsidRPr="004A4899" w:rsidRDefault="00126D8D" w:rsidP="00820288">
            <w:pPr>
              <w:spacing w:line="240" w:lineRule="auto"/>
              <w:rPr>
                <w:rFonts w:ascii="Times New Roman" w:hAnsi="Times New Roman" w:cs="Times New Roman"/>
                <w:sz w:val="15"/>
                <w:szCs w:val="15"/>
              </w:rPr>
            </w:pPr>
            <w:r w:rsidRPr="004A4899">
              <w:rPr>
                <w:rFonts w:ascii="Times New Roman" w:hAnsi="Times New Roman" w:cs="Times New Roman"/>
                <w:sz w:val="15"/>
                <w:szCs w:val="15"/>
              </w:rPr>
              <w:t>bc</w:t>
            </w:r>
          </w:p>
        </w:tc>
        <w:tc>
          <w:tcPr>
            <w:tcW w:w="712" w:type="dxa"/>
            <w:noWrap/>
            <w:vAlign w:val="center"/>
            <w:hideMark/>
          </w:tcPr>
          <w:p w14:paraId="649003EB" w14:textId="77777777" w:rsidR="00126D8D" w:rsidRPr="004A4899" w:rsidRDefault="00126D8D" w:rsidP="00820288">
            <w:pPr>
              <w:spacing w:line="240" w:lineRule="auto"/>
              <w:jc w:val="right"/>
              <w:rPr>
                <w:rFonts w:ascii="Times New Roman" w:hAnsi="Times New Roman" w:cs="Times New Roman"/>
                <w:sz w:val="15"/>
                <w:szCs w:val="15"/>
              </w:rPr>
            </w:pPr>
            <w:r w:rsidRPr="004A4899">
              <w:rPr>
                <w:rFonts w:ascii="Times New Roman" w:hAnsi="Times New Roman" w:cs="Times New Roman"/>
                <w:sz w:val="15"/>
                <w:szCs w:val="15"/>
              </w:rPr>
              <w:t>193.66</w:t>
            </w:r>
          </w:p>
        </w:tc>
        <w:tc>
          <w:tcPr>
            <w:tcW w:w="368" w:type="dxa"/>
            <w:noWrap/>
            <w:vAlign w:val="center"/>
            <w:hideMark/>
          </w:tcPr>
          <w:p w14:paraId="03F32A2A" w14:textId="77777777" w:rsidR="00126D8D" w:rsidRPr="004A4899" w:rsidRDefault="00126D8D" w:rsidP="00820288">
            <w:pPr>
              <w:spacing w:line="240" w:lineRule="auto"/>
              <w:rPr>
                <w:rFonts w:ascii="Times New Roman" w:hAnsi="Times New Roman" w:cs="Times New Roman"/>
                <w:sz w:val="15"/>
                <w:szCs w:val="15"/>
              </w:rPr>
            </w:pPr>
            <w:r w:rsidRPr="004A4899">
              <w:rPr>
                <w:rFonts w:ascii="Times New Roman" w:hAnsi="Times New Roman" w:cs="Times New Roman"/>
                <w:sz w:val="15"/>
                <w:szCs w:val="15"/>
              </w:rPr>
              <w:t>a</w:t>
            </w:r>
          </w:p>
        </w:tc>
        <w:tc>
          <w:tcPr>
            <w:tcW w:w="916" w:type="dxa"/>
            <w:noWrap/>
            <w:vAlign w:val="center"/>
            <w:hideMark/>
          </w:tcPr>
          <w:p w14:paraId="22A52DEE" w14:textId="77777777" w:rsidR="00126D8D" w:rsidRPr="004A4899" w:rsidRDefault="00126D8D" w:rsidP="00820288">
            <w:pPr>
              <w:spacing w:line="240" w:lineRule="auto"/>
              <w:jc w:val="right"/>
              <w:rPr>
                <w:rFonts w:ascii="Times New Roman" w:hAnsi="Times New Roman" w:cs="Times New Roman"/>
                <w:sz w:val="15"/>
                <w:szCs w:val="15"/>
              </w:rPr>
            </w:pPr>
            <w:r w:rsidRPr="004A4899">
              <w:rPr>
                <w:rFonts w:ascii="Times New Roman" w:hAnsi="Times New Roman" w:cs="Times New Roman"/>
                <w:sz w:val="15"/>
                <w:szCs w:val="15"/>
              </w:rPr>
              <w:t>191.75</w:t>
            </w:r>
          </w:p>
        </w:tc>
        <w:tc>
          <w:tcPr>
            <w:tcW w:w="627" w:type="dxa"/>
            <w:noWrap/>
            <w:vAlign w:val="center"/>
            <w:hideMark/>
          </w:tcPr>
          <w:p w14:paraId="35DFBE6E" w14:textId="77777777" w:rsidR="00126D8D" w:rsidRPr="004A4899" w:rsidRDefault="00126D8D" w:rsidP="00820288">
            <w:pPr>
              <w:spacing w:line="240" w:lineRule="auto"/>
              <w:rPr>
                <w:rFonts w:ascii="Times New Roman" w:hAnsi="Times New Roman" w:cs="Times New Roman"/>
                <w:sz w:val="15"/>
                <w:szCs w:val="15"/>
              </w:rPr>
            </w:pPr>
            <w:r w:rsidRPr="004A4899">
              <w:rPr>
                <w:rFonts w:ascii="Times New Roman" w:hAnsi="Times New Roman" w:cs="Times New Roman"/>
                <w:sz w:val="15"/>
                <w:szCs w:val="15"/>
              </w:rPr>
              <w:t>b</w:t>
            </w:r>
          </w:p>
        </w:tc>
      </w:tr>
      <w:tr w:rsidR="00126D8D" w:rsidRPr="004A4899" w14:paraId="7C7697EB" w14:textId="77777777" w:rsidTr="00820288">
        <w:trPr>
          <w:trHeight w:val="144"/>
        </w:trPr>
        <w:tc>
          <w:tcPr>
            <w:tcW w:w="1916" w:type="dxa"/>
            <w:noWrap/>
            <w:vAlign w:val="center"/>
            <w:hideMark/>
          </w:tcPr>
          <w:p w14:paraId="0D1BBC62" w14:textId="77777777" w:rsidR="00126D8D" w:rsidRPr="004A4899" w:rsidRDefault="00126D8D" w:rsidP="00820288">
            <w:pPr>
              <w:spacing w:line="240" w:lineRule="auto"/>
              <w:rPr>
                <w:rFonts w:ascii="Times New Roman" w:hAnsi="Times New Roman" w:cs="Times New Roman"/>
                <w:sz w:val="15"/>
                <w:szCs w:val="15"/>
              </w:rPr>
            </w:pPr>
            <w:r w:rsidRPr="004A4899">
              <w:rPr>
                <w:rFonts w:ascii="Times New Roman" w:hAnsi="Times New Roman" w:cs="Times New Roman"/>
                <w:sz w:val="15"/>
                <w:szCs w:val="15"/>
              </w:rPr>
              <w:t>Linalool</w:t>
            </w:r>
          </w:p>
        </w:tc>
        <w:tc>
          <w:tcPr>
            <w:tcW w:w="758" w:type="dxa"/>
            <w:noWrap/>
            <w:vAlign w:val="center"/>
            <w:hideMark/>
          </w:tcPr>
          <w:p w14:paraId="7C16A290" w14:textId="77777777" w:rsidR="00126D8D" w:rsidRPr="004A4899" w:rsidRDefault="00126D8D" w:rsidP="00820288">
            <w:pPr>
              <w:spacing w:line="240" w:lineRule="auto"/>
              <w:jc w:val="right"/>
              <w:rPr>
                <w:rFonts w:ascii="Times New Roman" w:hAnsi="Times New Roman" w:cs="Times New Roman"/>
                <w:sz w:val="15"/>
                <w:szCs w:val="15"/>
              </w:rPr>
            </w:pPr>
            <w:r w:rsidRPr="004A4899">
              <w:rPr>
                <w:rFonts w:ascii="Times New Roman" w:hAnsi="Times New Roman" w:cs="Times New Roman"/>
                <w:sz w:val="15"/>
                <w:szCs w:val="15"/>
              </w:rPr>
              <w:t>925.12</w:t>
            </w:r>
          </w:p>
        </w:tc>
        <w:tc>
          <w:tcPr>
            <w:tcW w:w="366" w:type="dxa"/>
            <w:noWrap/>
            <w:vAlign w:val="center"/>
            <w:hideMark/>
          </w:tcPr>
          <w:p w14:paraId="0B67598A" w14:textId="77777777" w:rsidR="00126D8D" w:rsidRPr="004A4899" w:rsidRDefault="00126D8D" w:rsidP="00820288">
            <w:pPr>
              <w:spacing w:line="240" w:lineRule="auto"/>
              <w:rPr>
                <w:rFonts w:ascii="Times New Roman" w:hAnsi="Times New Roman" w:cs="Times New Roman"/>
                <w:sz w:val="15"/>
                <w:szCs w:val="15"/>
              </w:rPr>
            </w:pPr>
            <w:r w:rsidRPr="004A4899">
              <w:rPr>
                <w:rFonts w:ascii="Times New Roman" w:hAnsi="Times New Roman" w:cs="Times New Roman"/>
                <w:sz w:val="15"/>
                <w:szCs w:val="15"/>
              </w:rPr>
              <w:t>a</w:t>
            </w:r>
          </w:p>
        </w:tc>
        <w:tc>
          <w:tcPr>
            <w:tcW w:w="712" w:type="dxa"/>
            <w:noWrap/>
            <w:vAlign w:val="center"/>
            <w:hideMark/>
          </w:tcPr>
          <w:p w14:paraId="16E2B3EA" w14:textId="77777777" w:rsidR="00126D8D" w:rsidRPr="004A4899" w:rsidRDefault="00126D8D" w:rsidP="00820288">
            <w:pPr>
              <w:spacing w:line="240" w:lineRule="auto"/>
              <w:jc w:val="right"/>
              <w:rPr>
                <w:rFonts w:ascii="Times New Roman" w:hAnsi="Times New Roman" w:cs="Times New Roman"/>
                <w:sz w:val="15"/>
                <w:szCs w:val="15"/>
              </w:rPr>
            </w:pPr>
            <w:r w:rsidRPr="004A4899">
              <w:rPr>
                <w:rFonts w:ascii="Times New Roman" w:hAnsi="Times New Roman" w:cs="Times New Roman"/>
                <w:sz w:val="15"/>
                <w:szCs w:val="15"/>
              </w:rPr>
              <w:t>876.30</w:t>
            </w:r>
          </w:p>
        </w:tc>
        <w:tc>
          <w:tcPr>
            <w:tcW w:w="368" w:type="dxa"/>
            <w:noWrap/>
            <w:vAlign w:val="center"/>
            <w:hideMark/>
          </w:tcPr>
          <w:p w14:paraId="121CD501" w14:textId="77777777" w:rsidR="00126D8D" w:rsidRPr="004A4899" w:rsidRDefault="00126D8D" w:rsidP="00820288">
            <w:pPr>
              <w:spacing w:line="240" w:lineRule="auto"/>
              <w:rPr>
                <w:rFonts w:ascii="Times New Roman" w:hAnsi="Times New Roman" w:cs="Times New Roman"/>
                <w:sz w:val="15"/>
                <w:szCs w:val="15"/>
              </w:rPr>
            </w:pPr>
            <w:r w:rsidRPr="004A4899">
              <w:rPr>
                <w:rFonts w:ascii="Times New Roman" w:hAnsi="Times New Roman" w:cs="Times New Roman"/>
                <w:sz w:val="15"/>
                <w:szCs w:val="15"/>
              </w:rPr>
              <w:t>a</w:t>
            </w:r>
          </w:p>
        </w:tc>
        <w:tc>
          <w:tcPr>
            <w:tcW w:w="712" w:type="dxa"/>
            <w:noWrap/>
            <w:vAlign w:val="center"/>
            <w:hideMark/>
          </w:tcPr>
          <w:p w14:paraId="7724354B" w14:textId="77777777" w:rsidR="00126D8D" w:rsidRPr="004A4899" w:rsidRDefault="00126D8D" w:rsidP="00820288">
            <w:pPr>
              <w:spacing w:line="240" w:lineRule="auto"/>
              <w:jc w:val="right"/>
              <w:rPr>
                <w:rFonts w:ascii="Times New Roman" w:hAnsi="Times New Roman" w:cs="Times New Roman"/>
                <w:sz w:val="15"/>
                <w:szCs w:val="15"/>
              </w:rPr>
            </w:pPr>
            <w:r w:rsidRPr="004A4899">
              <w:rPr>
                <w:rFonts w:ascii="Times New Roman" w:hAnsi="Times New Roman" w:cs="Times New Roman"/>
                <w:sz w:val="15"/>
                <w:szCs w:val="15"/>
              </w:rPr>
              <w:t>870.25</w:t>
            </w:r>
          </w:p>
        </w:tc>
        <w:tc>
          <w:tcPr>
            <w:tcW w:w="368" w:type="dxa"/>
            <w:noWrap/>
            <w:vAlign w:val="center"/>
            <w:hideMark/>
          </w:tcPr>
          <w:p w14:paraId="431D6559" w14:textId="77777777" w:rsidR="00126D8D" w:rsidRPr="004A4899" w:rsidRDefault="00126D8D" w:rsidP="00820288">
            <w:pPr>
              <w:spacing w:line="240" w:lineRule="auto"/>
              <w:rPr>
                <w:rFonts w:ascii="Times New Roman" w:hAnsi="Times New Roman" w:cs="Times New Roman"/>
                <w:sz w:val="15"/>
                <w:szCs w:val="15"/>
              </w:rPr>
            </w:pPr>
            <w:r w:rsidRPr="004A4899">
              <w:rPr>
                <w:rFonts w:ascii="Times New Roman" w:hAnsi="Times New Roman" w:cs="Times New Roman"/>
                <w:sz w:val="15"/>
                <w:szCs w:val="15"/>
              </w:rPr>
              <w:t>a</w:t>
            </w:r>
          </w:p>
        </w:tc>
        <w:tc>
          <w:tcPr>
            <w:tcW w:w="916" w:type="dxa"/>
            <w:noWrap/>
            <w:vAlign w:val="center"/>
            <w:hideMark/>
          </w:tcPr>
          <w:p w14:paraId="59C5DEC6" w14:textId="77777777" w:rsidR="00126D8D" w:rsidRPr="004A4899" w:rsidRDefault="00126D8D" w:rsidP="00820288">
            <w:pPr>
              <w:spacing w:line="240" w:lineRule="auto"/>
              <w:jc w:val="right"/>
              <w:rPr>
                <w:rFonts w:ascii="Times New Roman" w:hAnsi="Times New Roman" w:cs="Times New Roman"/>
                <w:sz w:val="15"/>
                <w:szCs w:val="15"/>
              </w:rPr>
            </w:pPr>
            <w:r w:rsidRPr="004A4899">
              <w:rPr>
                <w:rFonts w:ascii="Times New Roman" w:hAnsi="Times New Roman" w:cs="Times New Roman"/>
                <w:sz w:val="15"/>
                <w:szCs w:val="15"/>
              </w:rPr>
              <w:t>239.32</w:t>
            </w:r>
          </w:p>
        </w:tc>
        <w:tc>
          <w:tcPr>
            <w:tcW w:w="627" w:type="dxa"/>
            <w:noWrap/>
            <w:vAlign w:val="center"/>
            <w:hideMark/>
          </w:tcPr>
          <w:p w14:paraId="17002ACC" w14:textId="77777777" w:rsidR="00126D8D" w:rsidRPr="004A4899" w:rsidRDefault="00126D8D" w:rsidP="00820288">
            <w:pPr>
              <w:spacing w:line="240" w:lineRule="auto"/>
              <w:rPr>
                <w:rFonts w:ascii="Times New Roman" w:hAnsi="Times New Roman" w:cs="Times New Roman"/>
                <w:sz w:val="15"/>
                <w:szCs w:val="15"/>
              </w:rPr>
            </w:pPr>
            <w:r w:rsidRPr="004A4899">
              <w:rPr>
                <w:rFonts w:ascii="Times New Roman" w:hAnsi="Times New Roman" w:cs="Times New Roman"/>
                <w:sz w:val="15"/>
                <w:szCs w:val="15"/>
              </w:rPr>
              <w:t>b</w:t>
            </w:r>
          </w:p>
        </w:tc>
      </w:tr>
      <w:tr w:rsidR="00126D8D" w:rsidRPr="004A4899" w14:paraId="597951BB" w14:textId="77777777" w:rsidTr="00820288">
        <w:trPr>
          <w:trHeight w:val="144"/>
        </w:trPr>
        <w:tc>
          <w:tcPr>
            <w:tcW w:w="1916" w:type="dxa"/>
            <w:noWrap/>
            <w:vAlign w:val="center"/>
            <w:hideMark/>
          </w:tcPr>
          <w:p w14:paraId="6CAEFAF8" w14:textId="77777777" w:rsidR="00126D8D" w:rsidRPr="004A4899" w:rsidRDefault="00126D8D" w:rsidP="00820288">
            <w:pPr>
              <w:spacing w:line="240" w:lineRule="auto"/>
              <w:rPr>
                <w:rFonts w:ascii="Times New Roman" w:hAnsi="Times New Roman" w:cs="Times New Roman"/>
                <w:sz w:val="15"/>
                <w:szCs w:val="15"/>
              </w:rPr>
            </w:pPr>
            <w:r w:rsidRPr="004A4899">
              <w:rPr>
                <w:rFonts w:ascii="Times New Roman" w:hAnsi="Times New Roman" w:cs="Times New Roman"/>
                <w:sz w:val="15"/>
                <w:szCs w:val="15"/>
              </w:rPr>
              <w:t>trans-β-Ocimene</w:t>
            </w:r>
          </w:p>
        </w:tc>
        <w:tc>
          <w:tcPr>
            <w:tcW w:w="758" w:type="dxa"/>
            <w:noWrap/>
            <w:vAlign w:val="center"/>
            <w:hideMark/>
          </w:tcPr>
          <w:p w14:paraId="0FDEEBD1" w14:textId="77777777" w:rsidR="00126D8D" w:rsidRPr="004A4899" w:rsidRDefault="00126D8D" w:rsidP="00820288">
            <w:pPr>
              <w:spacing w:line="240" w:lineRule="auto"/>
              <w:jc w:val="right"/>
              <w:rPr>
                <w:rFonts w:ascii="Times New Roman" w:hAnsi="Times New Roman" w:cs="Times New Roman"/>
                <w:sz w:val="15"/>
                <w:szCs w:val="15"/>
              </w:rPr>
            </w:pPr>
            <w:r w:rsidRPr="004A4899">
              <w:rPr>
                <w:rFonts w:ascii="Times New Roman" w:hAnsi="Times New Roman" w:cs="Times New Roman"/>
                <w:sz w:val="15"/>
                <w:szCs w:val="15"/>
              </w:rPr>
              <w:t>106.90</w:t>
            </w:r>
          </w:p>
        </w:tc>
        <w:tc>
          <w:tcPr>
            <w:tcW w:w="366" w:type="dxa"/>
            <w:noWrap/>
            <w:vAlign w:val="center"/>
            <w:hideMark/>
          </w:tcPr>
          <w:p w14:paraId="76095DCE" w14:textId="77777777" w:rsidR="00126D8D" w:rsidRPr="004A4899" w:rsidRDefault="00126D8D" w:rsidP="00820288">
            <w:pPr>
              <w:spacing w:line="240" w:lineRule="auto"/>
              <w:rPr>
                <w:rFonts w:ascii="Times New Roman" w:hAnsi="Times New Roman" w:cs="Times New Roman"/>
                <w:sz w:val="15"/>
                <w:szCs w:val="15"/>
              </w:rPr>
            </w:pPr>
            <w:r w:rsidRPr="004A4899">
              <w:rPr>
                <w:rFonts w:ascii="Times New Roman" w:hAnsi="Times New Roman" w:cs="Times New Roman"/>
                <w:sz w:val="15"/>
                <w:szCs w:val="15"/>
              </w:rPr>
              <w:t>c</w:t>
            </w:r>
          </w:p>
        </w:tc>
        <w:tc>
          <w:tcPr>
            <w:tcW w:w="712" w:type="dxa"/>
            <w:noWrap/>
            <w:vAlign w:val="center"/>
            <w:hideMark/>
          </w:tcPr>
          <w:p w14:paraId="6060A078" w14:textId="77777777" w:rsidR="00126D8D" w:rsidRPr="004A4899" w:rsidRDefault="00126D8D" w:rsidP="00820288">
            <w:pPr>
              <w:spacing w:line="240" w:lineRule="auto"/>
              <w:jc w:val="right"/>
              <w:rPr>
                <w:rFonts w:ascii="Times New Roman" w:hAnsi="Times New Roman" w:cs="Times New Roman"/>
                <w:sz w:val="15"/>
                <w:szCs w:val="15"/>
              </w:rPr>
            </w:pPr>
            <w:r w:rsidRPr="004A4899">
              <w:rPr>
                <w:rFonts w:ascii="Times New Roman" w:hAnsi="Times New Roman" w:cs="Times New Roman"/>
                <w:sz w:val="15"/>
                <w:szCs w:val="15"/>
              </w:rPr>
              <w:t>279.90</w:t>
            </w:r>
          </w:p>
        </w:tc>
        <w:tc>
          <w:tcPr>
            <w:tcW w:w="368" w:type="dxa"/>
            <w:noWrap/>
            <w:vAlign w:val="center"/>
            <w:hideMark/>
          </w:tcPr>
          <w:p w14:paraId="75F90683" w14:textId="77777777" w:rsidR="00126D8D" w:rsidRPr="004A4899" w:rsidRDefault="00126D8D" w:rsidP="00820288">
            <w:pPr>
              <w:spacing w:line="240" w:lineRule="auto"/>
              <w:rPr>
                <w:rFonts w:ascii="Times New Roman" w:hAnsi="Times New Roman" w:cs="Times New Roman"/>
                <w:sz w:val="15"/>
                <w:szCs w:val="15"/>
              </w:rPr>
            </w:pPr>
            <w:r w:rsidRPr="004A4899">
              <w:rPr>
                <w:rFonts w:ascii="Times New Roman" w:hAnsi="Times New Roman" w:cs="Times New Roman"/>
                <w:sz w:val="15"/>
                <w:szCs w:val="15"/>
              </w:rPr>
              <w:t>b</w:t>
            </w:r>
          </w:p>
        </w:tc>
        <w:tc>
          <w:tcPr>
            <w:tcW w:w="712" w:type="dxa"/>
            <w:noWrap/>
            <w:vAlign w:val="center"/>
            <w:hideMark/>
          </w:tcPr>
          <w:p w14:paraId="6D7BD782" w14:textId="77777777" w:rsidR="00126D8D" w:rsidRPr="004A4899" w:rsidRDefault="00126D8D" w:rsidP="00820288">
            <w:pPr>
              <w:spacing w:line="240" w:lineRule="auto"/>
              <w:jc w:val="right"/>
              <w:rPr>
                <w:rFonts w:ascii="Times New Roman" w:hAnsi="Times New Roman" w:cs="Times New Roman"/>
                <w:sz w:val="15"/>
                <w:szCs w:val="15"/>
              </w:rPr>
            </w:pPr>
            <w:r w:rsidRPr="004A4899">
              <w:rPr>
                <w:rFonts w:ascii="Times New Roman" w:hAnsi="Times New Roman" w:cs="Times New Roman"/>
                <w:sz w:val="15"/>
                <w:szCs w:val="15"/>
              </w:rPr>
              <w:t>351.14</w:t>
            </w:r>
          </w:p>
        </w:tc>
        <w:tc>
          <w:tcPr>
            <w:tcW w:w="368" w:type="dxa"/>
            <w:noWrap/>
            <w:vAlign w:val="center"/>
            <w:hideMark/>
          </w:tcPr>
          <w:p w14:paraId="4307833F" w14:textId="77777777" w:rsidR="00126D8D" w:rsidRPr="004A4899" w:rsidRDefault="00126D8D" w:rsidP="00820288">
            <w:pPr>
              <w:spacing w:line="240" w:lineRule="auto"/>
              <w:rPr>
                <w:rFonts w:ascii="Times New Roman" w:hAnsi="Times New Roman" w:cs="Times New Roman"/>
                <w:sz w:val="15"/>
                <w:szCs w:val="15"/>
              </w:rPr>
            </w:pPr>
            <w:r w:rsidRPr="004A4899">
              <w:rPr>
                <w:rFonts w:ascii="Times New Roman" w:hAnsi="Times New Roman" w:cs="Times New Roman"/>
                <w:sz w:val="15"/>
                <w:szCs w:val="15"/>
              </w:rPr>
              <w:t>a</w:t>
            </w:r>
          </w:p>
        </w:tc>
        <w:tc>
          <w:tcPr>
            <w:tcW w:w="916" w:type="dxa"/>
            <w:noWrap/>
            <w:vAlign w:val="center"/>
            <w:hideMark/>
          </w:tcPr>
          <w:p w14:paraId="1242ECD1" w14:textId="77777777" w:rsidR="00126D8D" w:rsidRPr="004A4899" w:rsidRDefault="00126D8D" w:rsidP="00820288">
            <w:pPr>
              <w:spacing w:line="240" w:lineRule="auto"/>
              <w:jc w:val="right"/>
              <w:rPr>
                <w:rFonts w:ascii="Times New Roman" w:hAnsi="Times New Roman" w:cs="Times New Roman"/>
                <w:sz w:val="15"/>
                <w:szCs w:val="15"/>
              </w:rPr>
            </w:pPr>
            <w:r w:rsidRPr="004A4899">
              <w:rPr>
                <w:rFonts w:ascii="Times New Roman" w:hAnsi="Times New Roman" w:cs="Times New Roman"/>
                <w:sz w:val="15"/>
                <w:szCs w:val="15"/>
              </w:rPr>
              <w:t>57.16</w:t>
            </w:r>
          </w:p>
        </w:tc>
        <w:tc>
          <w:tcPr>
            <w:tcW w:w="627" w:type="dxa"/>
            <w:noWrap/>
            <w:vAlign w:val="center"/>
            <w:hideMark/>
          </w:tcPr>
          <w:p w14:paraId="2C83DB1A" w14:textId="77777777" w:rsidR="00126D8D" w:rsidRPr="004A4899" w:rsidRDefault="00126D8D" w:rsidP="00820288">
            <w:pPr>
              <w:spacing w:line="240" w:lineRule="auto"/>
              <w:rPr>
                <w:rFonts w:ascii="Times New Roman" w:hAnsi="Times New Roman" w:cs="Times New Roman"/>
                <w:sz w:val="15"/>
                <w:szCs w:val="15"/>
              </w:rPr>
            </w:pPr>
            <w:r w:rsidRPr="004A4899">
              <w:rPr>
                <w:rFonts w:ascii="Times New Roman" w:hAnsi="Times New Roman" w:cs="Times New Roman"/>
                <w:sz w:val="15"/>
                <w:szCs w:val="15"/>
              </w:rPr>
              <w:t>c</w:t>
            </w:r>
          </w:p>
        </w:tc>
      </w:tr>
      <w:tr w:rsidR="00126D8D" w:rsidRPr="004A4899" w14:paraId="46D563CA" w14:textId="77777777" w:rsidTr="00820288">
        <w:trPr>
          <w:trHeight w:val="144"/>
        </w:trPr>
        <w:tc>
          <w:tcPr>
            <w:tcW w:w="1916" w:type="dxa"/>
            <w:noWrap/>
            <w:vAlign w:val="center"/>
            <w:hideMark/>
          </w:tcPr>
          <w:p w14:paraId="1E41523F" w14:textId="77777777" w:rsidR="00126D8D" w:rsidRPr="004A4899" w:rsidRDefault="00126D8D" w:rsidP="00820288">
            <w:pPr>
              <w:spacing w:line="240" w:lineRule="auto"/>
              <w:rPr>
                <w:rFonts w:ascii="Times New Roman" w:hAnsi="Times New Roman" w:cs="Times New Roman"/>
                <w:sz w:val="15"/>
                <w:szCs w:val="15"/>
              </w:rPr>
            </w:pPr>
            <w:r w:rsidRPr="004A4899">
              <w:rPr>
                <w:rFonts w:ascii="Times New Roman" w:hAnsi="Times New Roman" w:cs="Times New Roman"/>
                <w:sz w:val="15"/>
                <w:szCs w:val="15"/>
              </w:rPr>
              <w:t>α-Ocimene</w:t>
            </w:r>
          </w:p>
        </w:tc>
        <w:tc>
          <w:tcPr>
            <w:tcW w:w="758" w:type="dxa"/>
            <w:noWrap/>
            <w:vAlign w:val="center"/>
            <w:hideMark/>
          </w:tcPr>
          <w:p w14:paraId="4AFCF029" w14:textId="77777777" w:rsidR="00126D8D" w:rsidRPr="004A4899" w:rsidRDefault="00126D8D" w:rsidP="00820288">
            <w:pPr>
              <w:spacing w:line="240" w:lineRule="auto"/>
              <w:jc w:val="right"/>
              <w:rPr>
                <w:rFonts w:ascii="Times New Roman" w:hAnsi="Times New Roman" w:cs="Times New Roman"/>
                <w:sz w:val="15"/>
                <w:szCs w:val="15"/>
              </w:rPr>
            </w:pPr>
            <w:r w:rsidRPr="004A4899">
              <w:rPr>
                <w:rFonts w:ascii="Times New Roman" w:hAnsi="Times New Roman" w:cs="Times New Roman"/>
                <w:sz w:val="15"/>
                <w:szCs w:val="15"/>
              </w:rPr>
              <w:t>45.66</w:t>
            </w:r>
          </w:p>
        </w:tc>
        <w:tc>
          <w:tcPr>
            <w:tcW w:w="366" w:type="dxa"/>
            <w:noWrap/>
            <w:vAlign w:val="center"/>
            <w:hideMark/>
          </w:tcPr>
          <w:p w14:paraId="6496345A" w14:textId="77777777" w:rsidR="00126D8D" w:rsidRPr="004A4899" w:rsidRDefault="00126D8D" w:rsidP="00820288">
            <w:pPr>
              <w:spacing w:line="240" w:lineRule="auto"/>
              <w:rPr>
                <w:rFonts w:ascii="Times New Roman" w:hAnsi="Times New Roman" w:cs="Times New Roman"/>
                <w:sz w:val="15"/>
                <w:szCs w:val="15"/>
              </w:rPr>
            </w:pPr>
            <w:r w:rsidRPr="004A4899">
              <w:rPr>
                <w:rFonts w:ascii="Times New Roman" w:hAnsi="Times New Roman" w:cs="Times New Roman"/>
                <w:sz w:val="15"/>
                <w:szCs w:val="15"/>
              </w:rPr>
              <w:t>b</w:t>
            </w:r>
          </w:p>
        </w:tc>
        <w:tc>
          <w:tcPr>
            <w:tcW w:w="712" w:type="dxa"/>
            <w:noWrap/>
            <w:vAlign w:val="center"/>
            <w:hideMark/>
          </w:tcPr>
          <w:p w14:paraId="71634A44" w14:textId="77777777" w:rsidR="00126D8D" w:rsidRPr="004A4899" w:rsidRDefault="00126D8D" w:rsidP="00820288">
            <w:pPr>
              <w:spacing w:line="240" w:lineRule="auto"/>
              <w:jc w:val="right"/>
              <w:rPr>
                <w:rFonts w:ascii="Times New Roman" w:hAnsi="Times New Roman" w:cs="Times New Roman"/>
                <w:sz w:val="15"/>
                <w:szCs w:val="15"/>
              </w:rPr>
            </w:pPr>
            <w:r w:rsidRPr="004A4899">
              <w:rPr>
                <w:rFonts w:ascii="Times New Roman" w:hAnsi="Times New Roman" w:cs="Times New Roman"/>
                <w:sz w:val="15"/>
                <w:szCs w:val="15"/>
              </w:rPr>
              <w:t>27.88</w:t>
            </w:r>
          </w:p>
        </w:tc>
        <w:tc>
          <w:tcPr>
            <w:tcW w:w="368" w:type="dxa"/>
            <w:noWrap/>
            <w:vAlign w:val="center"/>
            <w:hideMark/>
          </w:tcPr>
          <w:p w14:paraId="09251049" w14:textId="77777777" w:rsidR="00126D8D" w:rsidRPr="004A4899" w:rsidRDefault="00126D8D" w:rsidP="00820288">
            <w:pPr>
              <w:spacing w:line="240" w:lineRule="auto"/>
              <w:rPr>
                <w:rFonts w:ascii="Times New Roman" w:hAnsi="Times New Roman" w:cs="Times New Roman"/>
                <w:sz w:val="15"/>
                <w:szCs w:val="15"/>
              </w:rPr>
            </w:pPr>
            <w:r w:rsidRPr="004A4899">
              <w:rPr>
                <w:rFonts w:ascii="Times New Roman" w:hAnsi="Times New Roman" w:cs="Times New Roman"/>
                <w:sz w:val="15"/>
                <w:szCs w:val="15"/>
              </w:rPr>
              <w:t>b</w:t>
            </w:r>
          </w:p>
        </w:tc>
        <w:tc>
          <w:tcPr>
            <w:tcW w:w="712" w:type="dxa"/>
            <w:noWrap/>
            <w:vAlign w:val="center"/>
            <w:hideMark/>
          </w:tcPr>
          <w:p w14:paraId="6DEE847A" w14:textId="77777777" w:rsidR="00126D8D" w:rsidRPr="004A4899" w:rsidRDefault="00126D8D" w:rsidP="00820288">
            <w:pPr>
              <w:spacing w:line="240" w:lineRule="auto"/>
              <w:jc w:val="right"/>
              <w:rPr>
                <w:rFonts w:ascii="Times New Roman" w:hAnsi="Times New Roman" w:cs="Times New Roman"/>
                <w:sz w:val="15"/>
                <w:szCs w:val="15"/>
              </w:rPr>
            </w:pPr>
            <w:r w:rsidRPr="004A4899">
              <w:rPr>
                <w:rFonts w:ascii="Times New Roman" w:hAnsi="Times New Roman" w:cs="Times New Roman"/>
                <w:sz w:val="15"/>
                <w:szCs w:val="15"/>
              </w:rPr>
              <w:t>75.23</w:t>
            </w:r>
          </w:p>
        </w:tc>
        <w:tc>
          <w:tcPr>
            <w:tcW w:w="368" w:type="dxa"/>
            <w:noWrap/>
            <w:vAlign w:val="center"/>
            <w:hideMark/>
          </w:tcPr>
          <w:p w14:paraId="725D32DB" w14:textId="77777777" w:rsidR="00126D8D" w:rsidRPr="004A4899" w:rsidRDefault="00126D8D" w:rsidP="00820288">
            <w:pPr>
              <w:spacing w:line="240" w:lineRule="auto"/>
              <w:rPr>
                <w:rFonts w:ascii="Times New Roman" w:hAnsi="Times New Roman" w:cs="Times New Roman"/>
                <w:sz w:val="15"/>
                <w:szCs w:val="15"/>
              </w:rPr>
            </w:pPr>
            <w:r w:rsidRPr="004A4899">
              <w:rPr>
                <w:rFonts w:ascii="Times New Roman" w:hAnsi="Times New Roman" w:cs="Times New Roman"/>
                <w:sz w:val="15"/>
                <w:szCs w:val="15"/>
              </w:rPr>
              <w:t>b</w:t>
            </w:r>
          </w:p>
        </w:tc>
        <w:tc>
          <w:tcPr>
            <w:tcW w:w="916" w:type="dxa"/>
            <w:noWrap/>
            <w:vAlign w:val="center"/>
            <w:hideMark/>
          </w:tcPr>
          <w:p w14:paraId="7C74E32E" w14:textId="77777777" w:rsidR="00126D8D" w:rsidRPr="004A4899" w:rsidRDefault="00126D8D" w:rsidP="00820288">
            <w:pPr>
              <w:spacing w:line="240" w:lineRule="auto"/>
              <w:jc w:val="right"/>
              <w:rPr>
                <w:rFonts w:ascii="Times New Roman" w:hAnsi="Times New Roman" w:cs="Times New Roman"/>
                <w:sz w:val="15"/>
                <w:szCs w:val="15"/>
              </w:rPr>
            </w:pPr>
            <w:r w:rsidRPr="004A4899">
              <w:rPr>
                <w:rFonts w:ascii="Times New Roman" w:hAnsi="Times New Roman" w:cs="Times New Roman"/>
                <w:sz w:val="15"/>
                <w:szCs w:val="15"/>
              </w:rPr>
              <w:t>493.99</w:t>
            </w:r>
          </w:p>
        </w:tc>
        <w:tc>
          <w:tcPr>
            <w:tcW w:w="627" w:type="dxa"/>
            <w:noWrap/>
            <w:vAlign w:val="center"/>
            <w:hideMark/>
          </w:tcPr>
          <w:p w14:paraId="2B3C6402" w14:textId="77777777" w:rsidR="00126D8D" w:rsidRPr="004A4899" w:rsidRDefault="00126D8D" w:rsidP="00820288">
            <w:pPr>
              <w:spacing w:line="240" w:lineRule="auto"/>
              <w:rPr>
                <w:rFonts w:ascii="Times New Roman" w:hAnsi="Times New Roman" w:cs="Times New Roman"/>
                <w:sz w:val="15"/>
                <w:szCs w:val="15"/>
              </w:rPr>
            </w:pPr>
            <w:r w:rsidRPr="004A4899">
              <w:rPr>
                <w:rFonts w:ascii="Times New Roman" w:hAnsi="Times New Roman" w:cs="Times New Roman"/>
                <w:sz w:val="15"/>
                <w:szCs w:val="15"/>
              </w:rPr>
              <w:t>a</w:t>
            </w:r>
          </w:p>
        </w:tc>
      </w:tr>
      <w:tr w:rsidR="00126D8D" w:rsidRPr="004A4899" w14:paraId="6DA88171" w14:textId="77777777" w:rsidTr="00820288">
        <w:trPr>
          <w:trHeight w:val="144"/>
        </w:trPr>
        <w:tc>
          <w:tcPr>
            <w:tcW w:w="1916" w:type="dxa"/>
            <w:noWrap/>
            <w:vAlign w:val="center"/>
            <w:hideMark/>
          </w:tcPr>
          <w:p w14:paraId="036205AB" w14:textId="77777777" w:rsidR="00126D8D" w:rsidRPr="004A4899" w:rsidRDefault="00126D8D" w:rsidP="00820288">
            <w:pPr>
              <w:spacing w:line="240" w:lineRule="auto"/>
              <w:rPr>
                <w:rFonts w:ascii="Times New Roman" w:hAnsi="Times New Roman" w:cs="Times New Roman"/>
                <w:sz w:val="15"/>
                <w:szCs w:val="15"/>
              </w:rPr>
            </w:pPr>
            <w:r w:rsidRPr="004A4899">
              <w:rPr>
                <w:rFonts w:ascii="Times New Roman" w:hAnsi="Times New Roman" w:cs="Times New Roman"/>
                <w:sz w:val="15"/>
                <w:szCs w:val="15"/>
              </w:rPr>
              <w:t>β-Myrcene</w:t>
            </w:r>
          </w:p>
        </w:tc>
        <w:tc>
          <w:tcPr>
            <w:tcW w:w="758" w:type="dxa"/>
            <w:noWrap/>
            <w:vAlign w:val="center"/>
            <w:hideMark/>
          </w:tcPr>
          <w:p w14:paraId="628016F5" w14:textId="77777777" w:rsidR="00126D8D" w:rsidRPr="004A4899" w:rsidRDefault="00126D8D" w:rsidP="00820288">
            <w:pPr>
              <w:spacing w:line="240" w:lineRule="auto"/>
              <w:jc w:val="right"/>
              <w:rPr>
                <w:rFonts w:ascii="Times New Roman" w:hAnsi="Times New Roman" w:cs="Times New Roman"/>
                <w:sz w:val="15"/>
                <w:szCs w:val="15"/>
              </w:rPr>
            </w:pPr>
            <w:r w:rsidRPr="004A4899">
              <w:rPr>
                <w:rFonts w:ascii="Times New Roman" w:hAnsi="Times New Roman" w:cs="Times New Roman"/>
                <w:sz w:val="15"/>
                <w:szCs w:val="15"/>
              </w:rPr>
              <w:t>281.89</w:t>
            </w:r>
          </w:p>
        </w:tc>
        <w:tc>
          <w:tcPr>
            <w:tcW w:w="366" w:type="dxa"/>
            <w:noWrap/>
            <w:vAlign w:val="center"/>
            <w:hideMark/>
          </w:tcPr>
          <w:p w14:paraId="66FDAACA" w14:textId="77777777" w:rsidR="00126D8D" w:rsidRPr="004A4899" w:rsidRDefault="00126D8D" w:rsidP="00820288">
            <w:pPr>
              <w:spacing w:line="240" w:lineRule="auto"/>
              <w:rPr>
                <w:rFonts w:ascii="Times New Roman" w:hAnsi="Times New Roman" w:cs="Times New Roman"/>
                <w:sz w:val="15"/>
                <w:szCs w:val="15"/>
              </w:rPr>
            </w:pPr>
            <w:r w:rsidRPr="004A4899">
              <w:rPr>
                <w:rFonts w:ascii="Times New Roman" w:hAnsi="Times New Roman" w:cs="Times New Roman"/>
                <w:sz w:val="15"/>
                <w:szCs w:val="15"/>
              </w:rPr>
              <w:t>b</w:t>
            </w:r>
          </w:p>
        </w:tc>
        <w:tc>
          <w:tcPr>
            <w:tcW w:w="712" w:type="dxa"/>
            <w:noWrap/>
            <w:vAlign w:val="center"/>
            <w:hideMark/>
          </w:tcPr>
          <w:p w14:paraId="2C8DF5E7" w14:textId="77777777" w:rsidR="00126D8D" w:rsidRPr="004A4899" w:rsidRDefault="00126D8D" w:rsidP="00820288">
            <w:pPr>
              <w:spacing w:line="240" w:lineRule="auto"/>
              <w:jc w:val="right"/>
              <w:rPr>
                <w:rFonts w:ascii="Times New Roman" w:hAnsi="Times New Roman" w:cs="Times New Roman"/>
                <w:sz w:val="15"/>
                <w:szCs w:val="15"/>
              </w:rPr>
            </w:pPr>
            <w:r w:rsidRPr="004A4899">
              <w:rPr>
                <w:rFonts w:ascii="Times New Roman" w:hAnsi="Times New Roman" w:cs="Times New Roman"/>
                <w:sz w:val="15"/>
                <w:szCs w:val="15"/>
              </w:rPr>
              <w:t>371.46</w:t>
            </w:r>
          </w:p>
        </w:tc>
        <w:tc>
          <w:tcPr>
            <w:tcW w:w="368" w:type="dxa"/>
            <w:noWrap/>
            <w:vAlign w:val="center"/>
            <w:hideMark/>
          </w:tcPr>
          <w:p w14:paraId="5D1F75AF" w14:textId="77777777" w:rsidR="00126D8D" w:rsidRPr="004A4899" w:rsidRDefault="00126D8D" w:rsidP="00820288">
            <w:pPr>
              <w:spacing w:line="240" w:lineRule="auto"/>
              <w:rPr>
                <w:rFonts w:ascii="Times New Roman" w:hAnsi="Times New Roman" w:cs="Times New Roman"/>
                <w:sz w:val="15"/>
                <w:szCs w:val="15"/>
              </w:rPr>
            </w:pPr>
            <w:r w:rsidRPr="004A4899">
              <w:rPr>
                <w:rFonts w:ascii="Times New Roman" w:hAnsi="Times New Roman" w:cs="Times New Roman"/>
                <w:sz w:val="15"/>
                <w:szCs w:val="15"/>
              </w:rPr>
              <w:t>a</w:t>
            </w:r>
          </w:p>
        </w:tc>
        <w:tc>
          <w:tcPr>
            <w:tcW w:w="712" w:type="dxa"/>
            <w:noWrap/>
            <w:vAlign w:val="center"/>
            <w:hideMark/>
          </w:tcPr>
          <w:p w14:paraId="1AF2A174" w14:textId="77777777" w:rsidR="00126D8D" w:rsidRPr="004A4899" w:rsidRDefault="00126D8D" w:rsidP="00820288">
            <w:pPr>
              <w:spacing w:line="240" w:lineRule="auto"/>
              <w:jc w:val="right"/>
              <w:rPr>
                <w:rFonts w:ascii="Times New Roman" w:hAnsi="Times New Roman" w:cs="Times New Roman"/>
                <w:sz w:val="15"/>
                <w:szCs w:val="15"/>
              </w:rPr>
            </w:pPr>
            <w:r w:rsidRPr="004A4899">
              <w:rPr>
                <w:rFonts w:ascii="Times New Roman" w:hAnsi="Times New Roman" w:cs="Times New Roman"/>
                <w:sz w:val="15"/>
                <w:szCs w:val="15"/>
              </w:rPr>
              <w:t>407.65</w:t>
            </w:r>
          </w:p>
        </w:tc>
        <w:tc>
          <w:tcPr>
            <w:tcW w:w="368" w:type="dxa"/>
            <w:noWrap/>
            <w:vAlign w:val="center"/>
            <w:hideMark/>
          </w:tcPr>
          <w:p w14:paraId="6928A1AD" w14:textId="77777777" w:rsidR="00126D8D" w:rsidRPr="004A4899" w:rsidRDefault="00126D8D" w:rsidP="00820288">
            <w:pPr>
              <w:spacing w:line="240" w:lineRule="auto"/>
              <w:rPr>
                <w:rFonts w:ascii="Times New Roman" w:hAnsi="Times New Roman" w:cs="Times New Roman"/>
                <w:sz w:val="15"/>
                <w:szCs w:val="15"/>
              </w:rPr>
            </w:pPr>
            <w:r w:rsidRPr="004A4899">
              <w:rPr>
                <w:rFonts w:ascii="Times New Roman" w:hAnsi="Times New Roman" w:cs="Times New Roman"/>
                <w:sz w:val="15"/>
                <w:szCs w:val="15"/>
              </w:rPr>
              <w:t>a</w:t>
            </w:r>
          </w:p>
        </w:tc>
        <w:tc>
          <w:tcPr>
            <w:tcW w:w="916" w:type="dxa"/>
            <w:noWrap/>
            <w:vAlign w:val="center"/>
            <w:hideMark/>
          </w:tcPr>
          <w:p w14:paraId="56CF4F13" w14:textId="77777777" w:rsidR="00126D8D" w:rsidRPr="004A4899" w:rsidRDefault="00126D8D" w:rsidP="00820288">
            <w:pPr>
              <w:spacing w:line="240" w:lineRule="auto"/>
              <w:jc w:val="right"/>
              <w:rPr>
                <w:rFonts w:ascii="Times New Roman" w:hAnsi="Times New Roman" w:cs="Times New Roman"/>
                <w:sz w:val="15"/>
                <w:szCs w:val="15"/>
              </w:rPr>
            </w:pPr>
            <w:r w:rsidRPr="004A4899">
              <w:rPr>
                <w:rFonts w:ascii="Times New Roman" w:hAnsi="Times New Roman" w:cs="Times New Roman"/>
                <w:sz w:val="15"/>
                <w:szCs w:val="15"/>
              </w:rPr>
              <w:t>9.36</w:t>
            </w:r>
          </w:p>
        </w:tc>
        <w:tc>
          <w:tcPr>
            <w:tcW w:w="627" w:type="dxa"/>
            <w:noWrap/>
            <w:vAlign w:val="center"/>
            <w:hideMark/>
          </w:tcPr>
          <w:p w14:paraId="6A1974F3" w14:textId="77777777" w:rsidR="00126D8D" w:rsidRPr="004A4899" w:rsidRDefault="00126D8D" w:rsidP="00820288">
            <w:pPr>
              <w:spacing w:line="240" w:lineRule="auto"/>
              <w:rPr>
                <w:rFonts w:ascii="Times New Roman" w:hAnsi="Times New Roman" w:cs="Times New Roman"/>
                <w:sz w:val="15"/>
                <w:szCs w:val="15"/>
              </w:rPr>
            </w:pPr>
            <w:r w:rsidRPr="004A4899">
              <w:rPr>
                <w:rFonts w:ascii="Times New Roman" w:hAnsi="Times New Roman" w:cs="Times New Roman"/>
                <w:sz w:val="15"/>
                <w:szCs w:val="15"/>
              </w:rPr>
              <w:t>c</w:t>
            </w:r>
          </w:p>
        </w:tc>
      </w:tr>
      <w:tr w:rsidR="00126D8D" w:rsidRPr="004A4899" w14:paraId="0235AA25" w14:textId="77777777" w:rsidTr="00820288">
        <w:trPr>
          <w:trHeight w:val="144"/>
        </w:trPr>
        <w:tc>
          <w:tcPr>
            <w:tcW w:w="1916" w:type="dxa"/>
            <w:noWrap/>
            <w:vAlign w:val="center"/>
          </w:tcPr>
          <w:p w14:paraId="747AACDB" w14:textId="77777777" w:rsidR="00126D8D" w:rsidRPr="004A4899" w:rsidRDefault="00126D8D" w:rsidP="00820288">
            <w:pPr>
              <w:spacing w:line="240" w:lineRule="auto"/>
              <w:rPr>
                <w:rFonts w:ascii="Times New Roman" w:hAnsi="Times New Roman" w:cs="Times New Roman"/>
                <w:sz w:val="15"/>
                <w:szCs w:val="15"/>
              </w:rPr>
            </w:pPr>
            <w:r w:rsidRPr="004A4899">
              <w:rPr>
                <w:rFonts w:ascii="Times New Roman" w:hAnsi="Times New Roman" w:cs="Times New Roman"/>
                <w:b/>
                <w:bCs/>
                <w:sz w:val="15"/>
                <w:szCs w:val="15"/>
              </w:rPr>
              <w:t>Bicyclic</w:t>
            </w:r>
            <w:r w:rsidRPr="004A4899">
              <w:rPr>
                <w:rFonts w:ascii="Times New Roman" w:hAnsi="Times New Roman" w:cs="Times New Roman"/>
                <w:sz w:val="15"/>
                <w:szCs w:val="15"/>
              </w:rPr>
              <w:t xml:space="preserve"> </w:t>
            </w:r>
            <w:r w:rsidRPr="004A4899">
              <w:rPr>
                <w:rFonts w:ascii="Times New Roman" w:hAnsi="Times New Roman" w:cs="Times New Roman"/>
                <w:b/>
                <w:bCs/>
                <w:sz w:val="15"/>
                <w:szCs w:val="15"/>
              </w:rPr>
              <w:t>monoterpenes</w:t>
            </w:r>
          </w:p>
        </w:tc>
        <w:tc>
          <w:tcPr>
            <w:tcW w:w="758" w:type="dxa"/>
            <w:noWrap/>
            <w:vAlign w:val="center"/>
          </w:tcPr>
          <w:p w14:paraId="2146417A" w14:textId="77777777" w:rsidR="00126D8D" w:rsidRPr="004A4899" w:rsidRDefault="00126D8D" w:rsidP="00820288">
            <w:pPr>
              <w:spacing w:line="240" w:lineRule="auto"/>
              <w:jc w:val="right"/>
              <w:rPr>
                <w:rFonts w:ascii="Times New Roman" w:hAnsi="Times New Roman" w:cs="Times New Roman"/>
                <w:sz w:val="15"/>
                <w:szCs w:val="15"/>
              </w:rPr>
            </w:pPr>
          </w:p>
        </w:tc>
        <w:tc>
          <w:tcPr>
            <w:tcW w:w="366" w:type="dxa"/>
            <w:noWrap/>
            <w:vAlign w:val="center"/>
          </w:tcPr>
          <w:p w14:paraId="1F4A98CC" w14:textId="77777777" w:rsidR="00126D8D" w:rsidRPr="004A4899" w:rsidRDefault="00126D8D" w:rsidP="00820288">
            <w:pPr>
              <w:spacing w:line="240" w:lineRule="auto"/>
              <w:rPr>
                <w:rFonts w:ascii="Times New Roman" w:hAnsi="Times New Roman" w:cs="Times New Roman"/>
                <w:sz w:val="15"/>
                <w:szCs w:val="15"/>
              </w:rPr>
            </w:pPr>
          </w:p>
        </w:tc>
        <w:tc>
          <w:tcPr>
            <w:tcW w:w="712" w:type="dxa"/>
            <w:noWrap/>
            <w:vAlign w:val="center"/>
          </w:tcPr>
          <w:p w14:paraId="0BD49BC9" w14:textId="77777777" w:rsidR="00126D8D" w:rsidRPr="004A4899" w:rsidRDefault="00126D8D" w:rsidP="00820288">
            <w:pPr>
              <w:spacing w:line="240" w:lineRule="auto"/>
              <w:jc w:val="right"/>
              <w:rPr>
                <w:rFonts w:ascii="Times New Roman" w:hAnsi="Times New Roman" w:cs="Times New Roman"/>
                <w:sz w:val="15"/>
                <w:szCs w:val="15"/>
              </w:rPr>
            </w:pPr>
          </w:p>
        </w:tc>
        <w:tc>
          <w:tcPr>
            <w:tcW w:w="368" w:type="dxa"/>
            <w:noWrap/>
            <w:vAlign w:val="center"/>
          </w:tcPr>
          <w:p w14:paraId="7669210B" w14:textId="77777777" w:rsidR="00126D8D" w:rsidRPr="004A4899" w:rsidRDefault="00126D8D" w:rsidP="00820288">
            <w:pPr>
              <w:spacing w:line="240" w:lineRule="auto"/>
              <w:rPr>
                <w:rFonts w:ascii="Times New Roman" w:hAnsi="Times New Roman" w:cs="Times New Roman"/>
                <w:sz w:val="15"/>
                <w:szCs w:val="15"/>
              </w:rPr>
            </w:pPr>
          </w:p>
        </w:tc>
        <w:tc>
          <w:tcPr>
            <w:tcW w:w="712" w:type="dxa"/>
            <w:noWrap/>
            <w:vAlign w:val="center"/>
          </w:tcPr>
          <w:p w14:paraId="3A259796" w14:textId="77777777" w:rsidR="00126D8D" w:rsidRPr="004A4899" w:rsidRDefault="00126D8D" w:rsidP="00820288">
            <w:pPr>
              <w:spacing w:line="240" w:lineRule="auto"/>
              <w:jc w:val="right"/>
              <w:rPr>
                <w:rFonts w:ascii="Times New Roman" w:hAnsi="Times New Roman" w:cs="Times New Roman"/>
                <w:sz w:val="15"/>
                <w:szCs w:val="15"/>
              </w:rPr>
            </w:pPr>
          </w:p>
        </w:tc>
        <w:tc>
          <w:tcPr>
            <w:tcW w:w="368" w:type="dxa"/>
            <w:noWrap/>
            <w:vAlign w:val="center"/>
          </w:tcPr>
          <w:p w14:paraId="4F35213E" w14:textId="77777777" w:rsidR="00126D8D" w:rsidRPr="004A4899" w:rsidRDefault="00126D8D" w:rsidP="00820288">
            <w:pPr>
              <w:spacing w:line="240" w:lineRule="auto"/>
              <w:rPr>
                <w:rFonts w:ascii="Times New Roman" w:hAnsi="Times New Roman" w:cs="Times New Roman"/>
                <w:sz w:val="15"/>
                <w:szCs w:val="15"/>
              </w:rPr>
            </w:pPr>
          </w:p>
        </w:tc>
        <w:tc>
          <w:tcPr>
            <w:tcW w:w="916" w:type="dxa"/>
            <w:noWrap/>
            <w:vAlign w:val="center"/>
          </w:tcPr>
          <w:p w14:paraId="444939DD" w14:textId="77777777" w:rsidR="00126D8D" w:rsidRPr="004A4899" w:rsidRDefault="00126D8D" w:rsidP="00820288">
            <w:pPr>
              <w:spacing w:line="240" w:lineRule="auto"/>
              <w:jc w:val="right"/>
              <w:rPr>
                <w:rFonts w:ascii="Times New Roman" w:hAnsi="Times New Roman" w:cs="Times New Roman"/>
                <w:sz w:val="15"/>
                <w:szCs w:val="15"/>
              </w:rPr>
            </w:pPr>
          </w:p>
        </w:tc>
        <w:tc>
          <w:tcPr>
            <w:tcW w:w="627" w:type="dxa"/>
            <w:noWrap/>
            <w:vAlign w:val="center"/>
          </w:tcPr>
          <w:p w14:paraId="483DB42B" w14:textId="77777777" w:rsidR="00126D8D" w:rsidRPr="004A4899" w:rsidRDefault="00126D8D" w:rsidP="00820288">
            <w:pPr>
              <w:spacing w:line="240" w:lineRule="auto"/>
              <w:rPr>
                <w:rFonts w:ascii="Times New Roman" w:hAnsi="Times New Roman" w:cs="Times New Roman"/>
                <w:sz w:val="15"/>
                <w:szCs w:val="15"/>
              </w:rPr>
            </w:pPr>
          </w:p>
        </w:tc>
      </w:tr>
      <w:tr w:rsidR="00126D8D" w:rsidRPr="004A4899" w14:paraId="7415A2ED" w14:textId="77777777" w:rsidTr="00820288">
        <w:trPr>
          <w:trHeight w:val="144"/>
        </w:trPr>
        <w:tc>
          <w:tcPr>
            <w:tcW w:w="1916" w:type="dxa"/>
            <w:noWrap/>
            <w:vAlign w:val="center"/>
          </w:tcPr>
          <w:p w14:paraId="5FCCFCB8" w14:textId="77777777" w:rsidR="00126D8D" w:rsidRPr="004A4899" w:rsidRDefault="00126D8D" w:rsidP="00820288">
            <w:pPr>
              <w:spacing w:line="240" w:lineRule="auto"/>
              <w:rPr>
                <w:rFonts w:ascii="Times New Roman" w:hAnsi="Times New Roman" w:cs="Times New Roman"/>
                <w:sz w:val="15"/>
                <w:szCs w:val="15"/>
              </w:rPr>
            </w:pPr>
            <w:r w:rsidRPr="004A4899">
              <w:rPr>
                <w:rFonts w:ascii="Times New Roman" w:hAnsi="Times New Roman" w:cs="Times New Roman"/>
                <w:sz w:val="15"/>
                <w:szCs w:val="15"/>
              </w:rPr>
              <w:t>3-Caren-10-al</w:t>
            </w:r>
          </w:p>
        </w:tc>
        <w:tc>
          <w:tcPr>
            <w:tcW w:w="758" w:type="dxa"/>
            <w:noWrap/>
            <w:vAlign w:val="center"/>
          </w:tcPr>
          <w:p w14:paraId="56081049" w14:textId="77777777" w:rsidR="00126D8D" w:rsidRPr="004A4899" w:rsidRDefault="00126D8D" w:rsidP="00820288">
            <w:pPr>
              <w:spacing w:line="240" w:lineRule="auto"/>
              <w:jc w:val="right"/>
              <w:rPr>
                <w:rFonts w:ascii="Times New Roman" w:hAnsi="Times New Roman" w:cs="Times New Roman"/>
                <w:sz w:val="15"/>
                <w:szCs w:val="15"/>
              </w:rPr>
            </w:pPr>
            <w:r w:rsidRPr="004A4899">
              <w:rPr>
                <w:rFonts w:ascii="Times New Roman" w:hAnsi="Times New Roman" w:cs="Times New Roman"/>
                <w:sz w:val="15"/>
                <w:szCs w:val="15"/>
              </w:rPr>
              <w:t>1.79</w:t>
            </w:r>
          </w:p>
        </w:tc>
        <w:tc>
          <w:tcPr>
            <w:tcW w:w="366" w:type="dxa"/>
            <w:noWrap/>
            <w:vAlign w:val="center"/>
          </w:tcPr>
          <w:p w14:paraId="0E65B184" w14:textId="77777777" w:rsidR="00126D8D" w:rsidRPr="004A4899" w:rsidRDefault="00126D8D" w:rsidP="00820288">
            <w:pPr>
              <w:spacing w:line="240" w:lineRule="auto"/>
              <w:rPr>
                <w:rFonts w:ascii="Times New Roman" w:hAnsi="Times New Roman" w:cs="Times New Roman"/>
                <w:sz w:val="15"/>
                <w:szCs w:val="15"/>
              </w:rPr>
            </w:pPr>
            <w:r w:rsidRPr="004A4899">
              <w:rPr>
                <w:rFonts w:ascii="Times New Roman" w:hAnsi="Times New Roman" w:cs="Times New Roman"/>
                <w:sz w:val="15"/>
                <w:szCs w:val="15"/>
              </w:rPr>
              <w:t>b</w:t>
            </w:r>
          </w:p>
        </w:tc>
        <w:tc>
          <w:tcPr>
            <w:tcW w:w="712" w:type="dxa"/>
            <w:noWrap/>
            <w:vAlign w:val="center"/>
          </w:tcPr>
          <w:p w14:paraId="6E57C521" w14:textId="77777777" w:rsidR="00126D8D" w:rsidRPr="004A4899" w:rsidRDefault="00126D8D" w:rsidP="00820288">
            <w:pPr>
              <w:spacing w:line="240" w:lineRule="auto"/>
              <w:jc w:val="right"/>
              <w:rPr>
                <w:rFonts w:ascii="Times New Roman" w:hAnsi="Times New Roman" w:cs="Times New Roman"/>
                <w:sz w:val="15"/>
                <w:szCs w:val="15"/>
              </w:rPr>
            </w:pPr>
            <w:r w:rsidRPr="004A4899">
              <w:rPr>
                <w:rFonts w:ascii="Times New Roman" w:hAnsi="Times New Roman" w:cs="Times New Roman"/>
                <w:sz w:val="15"/>
                <w:szCs w:val="15"/>
              </w:rPr>
              <w:t>1.21</w:t>
            </w:r>
          </w:p>
        </w:tc>
        <w:tc>
          <w:tcPr>
            <w:tcW w:w="368" w:type="dxa"/>
            <w:noWrap/>
            <w:vAlign w:val="center"/>
          </w:tcPr>
          <w:p w14:paraId="38327B53" w14:textId="77777777" w:rsidR="00126D8D" w:rsidRPr="004A4899" w:rsidRDefault="00126D8D" w:rsidP="00820288">
            <w:pPr>
              <w:spacing w:line="240" w:lineRule="auto"/>
              <w:rPr>
                <w:rFonts w:ascii="Times New Roman" w:hAnsi="Times New Roman" w:cs="Times New Roman"/>
                <w:sz w:val="15"/>
                <w:szCs w:val="15"/>
              </w:rPr>
            </w:pPr>
            <w:r w:rsidRPr="004A4899">
              <w:rPr>
                <w:rFonts w:ascii="Times New Roman" w:hAnsi="Times New Roman" w:cs="Times New Roman"/>
                <w:sz w:val="15"/>
                <w:szCs w:val="15"/>
              </w:rPr>
              <w:t>c</w:t>
            </w:r>
          </w:p>
        </w:tc>
        <w:tc>
          <w:tcPr>
            <w:tcW w:w="712" w:type="dxa"/>
            <w:noWrap/>
            <w:vAlign w:val="center"/>
          </w:tcPr>
          <w:p w14:paraId="03B1EE35" w14:textId="77777777" w:rsidR="00126D8D" w:rsidRPr="004A4899" w:rsidRDefault="00126D8D" w:rsidP="00820288">
            <w:pPr>
              <w:spacing w:line="240" w:lineRule="auto"/>
              <w:jc w:val="right"/>
              <w:rPr>
                <w:rFonts w:ascii="Times New Roman" w:hAnsi="Times New Roman" w:cs="Times New Roman"/>
                <w:sz w:val="15"/>
                <w:szCs w:val="15"/>
              </w:rPr>
            </w:pPr>
            <w:r w:rsidRPr="004A4899">
              <w:rPr>
                <w:rFonts w:ascii="Times New Roman" w:hAnsi="Times New Roman" w:cs="Times New Roman"/>
                <w:sz w:val="15"/>
                <w:szCs w:val="15"/>
              </w:rPr>
              <w:t>1.52</w:t>
            </w:r>
          </w:p>
        </w:tc>
        <w:tc>
          <w:tcPr>
            <w:tcW w:w="368" w:type="dxa"/>
            <w:noWrap/>
            <w:vAlign w:val="center"/>
          </w:tcPr>
          <w:p w14:paraId="5C0C0C91" w14:textId="77777777" w:rsidR="00126D8D" w:rsidRPr="004A4899" w:rsidRDefault="00126D8D" w:rsidP="00820288">
            <w:pPr>
              <w:spacing w:line="240" w:lineRule="auto"/>
              <w:rPr>
                <w:rFonts w:ascii="Times New Roman" w:hAnsi="Times New Roman" w:cs="Times New Roman"/>
                <w:sz w:val="15"/>
                <w:szCs w:val="15"/>
              </w:rPr>
            </w:pPr>
            <w:r w:rsidRPr="004A4899">
              <w:rPr>
                <w:rFonts w:ascii="Times New Roman" w:hAnsi="Times New Roman" w:cs="Times New Roman"/>
                <w:sz w:val="15"/>
                <w:szCs w:val="15"/>
              </w:rPr>
              <w:t>bc</w:t>
            </w:r>
          </w:p>
        </w:tc>
        <w:tc>
          <w:tcPr>
            <w:tcW w:w="916" w:type="dxa"/>
            <w:noWrap/>
            <w:vAlign w:val="center"/>
          </w:tcPr>
          <w:p w14:paraId="554B020C" w14:textId="77777777" w:rsidR="00126D8D" w:rsidRPr="004A4899" w:rsidRDefault="00126D8D" w:rsidP="00820288">
            <w:pPr>
              <w:spacing w:line="240" w:lineRule="auto"/>
              <w:jc w:val="right"/>
              <w:rPr>
                <w:rFonts w:ascii="Times New Roman" w:hAnsi="Times New Roman" w:cs="Times New Roman"/>
                <w:sz w:val="15"/>
                <w:szCs w:val="15"/>
              </w:rPr>
            </w:pPr>
            <w:r w:rsidRPr="004A4899">
              <w:rPr>
                <w:rFonts w:ascii="Times New Roman" w:hAnsi="Times New Roman" w:cs="Times New Roman"/>
                <w:sz w:val="15"/>
                <w:szCs w:val="15"/>
              </w:rPr>
              <w:t>2.51</w:t>
            </w:r>
          </w:p>
        </w:tc>
        <w:tc>
          <w:tcPr>
            <w:tcW w:w="627" w:type="dxa"/>
            <w:noWrap/>
            <w:vAlign w:val="center"/>
          </w:tcPr>
          <w:p w14:paraId="399A6B5D" w14:textId="77777777" w:rsidR="00126D8D" w:rsidRPr="004A4899" w:rsidRDefault="00126D8D" w:rsidP="00820288">
            <w:pPr>
              <w:spacing w:line="240" w:lineRule="auto"/>
              <w:rPr>
                <w:rFonts w:ascii="Times New Roman" w:hAnsi="Times New Roman" w:cs="Times New Roman"/>
                <w:sz w:val="15"/>
                <w:szCs w:val="15"/>
              </w:rPr>
            </w:pPr>
            <w:r w:rsidRPr="004A4899">
              <w:rPr>
                <w:rFonts w:ascii="Times New Roman" w:hAnsi="Times New Roman" w:cs="Times New Roman"/>
                <w:sz w:val="15"/>
                <w:szCs w:val="15"/>
              </w:rPr>
              <w:t>a</w:t>
            </w:r>
          </w:p>
        </w:tc>
      </w:tr>
      <w:tr w:rsidR="00126D8D" w:rsidRPr="004A4899" w14:paraId="60206083" w14:textId="77777777" w:rsidTr="00820288">
        <w:trPr>
          <w:trHeight w:val="144"/>
        </w:trPr>
        <w:tc>
          <w:tcPr>
            <w:tcW w:w="1916" w:type="dxa"/>
            <w:noWrap/>
            <w:vAlign w:val="center"/>
            <w:hideMark/>
          </w:tcPr>
          <w:p w14:paraId="7D185D9F" w14:textId="77777777" w:rsidR="00126D8D" w:rsidRPr="004A4899" w:rsidRDefault="00126D8D" w:rsidP="00820288">
            <w:pPr>
              <w:spacing w:line="240" w:lineRule="auto"/>
              <w:rPr>
                <w:rFonts w:ascii="Times New Roman" w:hAnsi="Times New Roman" w:cs="Times New Roman"/>
                <w:sz w:val="15"/>
                <w:szCs w:val="15"/>
              </w:rPr>
            </w:pPr>
            <w:r w:rsidRPr="004A4899">
              <w:rPr>
                <w:rFonts w:ascii="Times New Roman" w:hAnsi="Times New Roman" w:cs="Times New Roman"/>
                <w:sz w:val="15"/>
                <w:szCs w:val="15"/>
              </w:rPr>
              <w:t>(+)-4-Carene</w:t>
            </w:r>
          </w:p>
        </w:tc>
        <w:tc>
          <w:tcPr>
            <w:tcW w:w="758" w:type="dxa"/>
            <w:noWrap/>
            <w:vAlign w:val="center"/>
            <w:hideMark/>
          </w:tcPr>
          <w:p w14:paraId="2ACCA2F6" w14:textId="77777777" w:rsidR="00126D8D" w:rsidRPr="004A4899" w:rsidRDefault="00126D8D" w:rsidP="00820288">
            <w:pPr>
              <w:spacing w:line="240" w:lineRule="auto"/>
              <w:jc w:val="right"/>
              <w:rPr>
                <w:rFonts w:ascii="Times New Roman" w:hAnsi="Times New Roman" w:cs="Times New Roman"/>
                <w:sz w:val="15"/>
                <w:szCs w:val="15"/>
              </w:rPr>
            </w:pPr>
            <w:r w:rsidRPr="004A4899">
              <w:rPr>
                <w:rFonts w:ascii="Times New Roman" w:hAnsi="Times New Roman" w:cs="Times New Roman"/>
                <w:sz w:val="15"/>
                <w:szCs w:val="15"/>
              </w:rPr>
              <w:t>16.93</w:t>
            </w:r>
          </w:p>
        </w:tc>
        <w:tc>
          <w:tcPr>
            <w:tcW w:w="366" w:type="dxa"/>
            <w:noWrap/>
            <w:vAlign w:val="center"/>
            <w:hideMark/>
          </w:tcPr>
          <w:p w14:paraId="07947723" w14:textId="77777777" w:rsidR="00126D8D" w:rsidRPr="004A4899" w:rsidRDefault="00126D8D" w:rsidP="00820288">
            <w:pPr>
              <w:spacing w:line="240" w:lineRule="auto"/>
              <w:rPr>
                <w:rFonts w:ascii="Times New Roman" w:hAnsi="Times New Roman" w:cs="Times New Roman"/>
                <w:sz w:val="15"/>
                <w:szCs w:val="15"/>
              </w:rPr>
            </w:pPr>
            <w:r w:rsidRPr="004A4899">
              <w:rPr>
                <w:rFonts w:ascii="Times New Roman" w:hAnsi="Times New Roman" w:cs="Times New Roman"/>
                <w:sz w:val="15"/>
                <w:szCs w:val="15"/>
              </w:rPr>
              <w:t>d</w:t>
            </w:r>
          </w:p>
        </w:tc>
        <w:tc>
          <w:tcPr>
            <w:tcW w:w="712" w:type="dxa"/>
            <w:noWrap/>
            <w:vAlign w:val="center"/>
            <w:hideMark/>
          </w:tcPr>
          <w:p w14:paraId="65AB1CEE" w14:textId="77777777" w:rsidR="00126D8D" w:rsidRPr="004A4899" w:rsidRDefault="00126D8D" w:rsidP="00820288">
            <w:pPr>
              <w:spacing w:line="240" w:lineRule="auto"/>
              <w:jc w:val="right"/>
              <w:rPr>
                <w:rFonts w:ascii="Times New Roman" w:hAnsi="Times New Roman" w:cs="Times New Roman"/>
                <w:sz w:val="15"/>
                <w:szCs w:val="15"/>
              </w:rPr>
            </w:pPr>
            <w:r w:rsidRPr="004A4899">
              <w:rPr>
                <w:rFonts w:ascii="Times New Roman" w:hAnsi="Times New Roman" w:cs="Times New Roman"/>
                <w:sz w:val="15"/>
                <w:szCs w:val="15"/>
              </w:rPr>
              <w:t>26.22</w:t>
            </w:r>
          </w:p>
        </w:tc>
        <w:tc>
          <w:tcPr>
            <w:tcW w:w="368" w:type="dxa"/>
            <w:noWrap/>
            <w:vAlign w:val="center"/>
            <w:hideMark/>
          </w:tcPr>
          <w:p w14:paraId="7081BE89" w14:textId="77777777" w:rsidR="00126D8D" w:rsidRPr="004A4899" w:rsidRDefault="00126D8D" w:rsidP="00820288">
            <w:pPr>
              <w:spacing w:line="240" w:lineRule="auto"/>
              <w:rPr>
                <w:rFonts w:ascii="Times New Roman" w:hAnsi="Times New Roman" w:cs="Times New Roman"/>
                <w:sz w:val="15"/>
                <w:szCs w:val="15"/>
              </w:rPr>
            </w:pPr>
            <w:r w:rsidRPr="004A4899">
              <w:rPr>
                <w:rFonts w:ascii="Times New Roman" w:hAnsi="Times New Roman" w:cs="Times New Roman"/>
                <w:sz w:val="15"/>
                <w:szCs w:val="15"/>
              </w:rPr>
              <w:t>c</w:t>
            </w:r>
          </w:p>
        </w:tc>
        <w:tc>
          <w:tcPr>
            <w:tcW w:w="712" w:type="dxa"/>
            <w:noWrap/>
            <w:vAlign w:val="center"/>
            <w:hideMark/>
          </w:tcPr>
          <w:p w14:paraId="3C777313" w14:textId="77777777" w:rsidR="00126D8D" w:rsidRPr="004A4899" w:rsidRDefault="00126D8D" w:rsidP="00820288">
            <w:pPr>
              <w:spacing w:line="240" w:lineRule="auto"/>
              <w:jc w:val="right"/>
              <w:rPr>
                <w:rFonts w:ascii="Times New Roman" w:hAnsi="Times New Roman" w:cs="Times New Roman"/>
                <w:sz w:val="15"/>
                <w:szCs w:val="15"/>
              </w:rPr>
            </w:pPr>
            <w:r w:rsidRPr="004A4899">
              <w:rPr>
                <w:rFonts w:ascii="Times New Roman" w:hAnsi="Times New Roman" w:cs="Times New Roman"/>
                <w:sz w:val="15"/>
                <w:szCs w:val="15"/>
              </w:rPr>
              <w:t>61.46</w:t>
            </w:r>
          </w:p>
        </w:tc>
        <w:tc>
          <w:tcPr>
            <w:tcW w:w="368" w:type="dxa"/>
            <w:noWrap/>
            <w:vAlign w:val="center"/>
            <w:hideMark/>
          </w:tcPr>
          <w:p w14:paraId="4D86698E" w14:textId="77777777" w:rsidR="00126D8D" w:rsidRPr="004A4899" w:rsidRDefault="00126D8D" w:rsidP="00820288">
            <w:pPr>
              <w:spacing w:line="240" w:lineRule="auto"/>
              <w:rPr>
                <w:rFonts w:ascii="Times New Roman" w:hAnsi="Times New Roman" w:cs="Times New Roman"/>
                <w:sz w:val="15"/>
                <w:szCs w:val="15"/>
              </w:rPr>
            </w:pPr>
            <w:r w:rsidRPr="004A4899">
              <w:rPr>
                <w:rFonts w:ascii="Times New Roman" w:hAnsi="Times New Roman" w:cs="Times New Roman"/>
                <w:sz w:val="15"/>
                <w:szCs w:val="15"/>
              </w:rPr>
              <w:t>a</w:t>
            </w:r>
          </w:p>
        </w:tc>
        <w:tc>
          <w:tcPr>
            <w:tcW w:w="916" w:type="dxa"/>
            <w:noWrap/>
            <w:vAlign w:val="center"/>
            <w:hideMark/>
          </w:tcPr>
          <w:p w14:paraId="388C5BA1" w14:textId="77777777" w:rsidR="00126D8D" w:rsidRPr="004A4899" w:rsidRDefault="00126D8D" w:rsidP="00820288">
            <w:pPr>
              <w:spacing w:line="240" w:lineRule="auto"/>
              <w:jc w:val="right"/>
              <w:rPr>
                <w:rFonts w:ascii="Times New Roman" w:hAnsi="Times New Roman" w:cs="Times New Roman"/>
                <w:sz w:val="15"/>
                <w:szCs w:val="15"/>
              </w:rPr>
            </w:pPr>
            <w:r w:rsidRPr="004A4899">
              <w:rPr>
                <w:rFonts w:ascii="Times New Roman" w:hAnsi="Times New Roman" w:cs="Times New Roman"/>
                <w:sz w:val="15"/>
                <w:szCs w:val="15"/>
              </w:rPr>
              <w:t>40.74</w:t>
            </w:r>
          </w:p>
        </w:tc>
        <w:tc>
          <w:tcPr>
            <w:tcW w:w="627" w:type="dxa"/>
            <w:noWrap/>
            <w:vAlign w:val="center"/>
            <w:hideMark/>
          </w:tcPr>
          <w:p w14:paraId="7BA410AB" w14:textId="77777777" w:rsidR="00126D8D" w:rsidRPr="004A4899" w:rsidRDefault="00126D8D" w:rsidP="00820288">
            <w:pPr>
              <w:spacing w:line="240" w:lineRule="auto"/>
              <w:rPr>
                <w:rFonts w:ascii="Times New Roman" w:hAnsi="Times New Roman" w:cs="Times New Roman"/>
                <w:sz w:val="15"/>
                <w:szCs w:val="15"/>
              </w:rPr>
            </w:pPr>
            <w:r w:rsidRPr="004A4899">
              <w:rPr>
                <w:rFonts w:ascii="Times New Roman" w:hAnsi="Times New Roman" w:cs="Times New Roman"/>
                <w:sz w:val="15"/>
                <w:szCs w:val="15"/>
              </w:rPr>
              <w:t>b</w:t>
            </w:r>
          </w:p>
        </w:tc>
      </w:tr>
      <w:tr w:rsidR="00126D8D" w:rsidRPr="004A4899" w14:paraId="4064D3E1" w14:textId="77777777" w:rsidTr="00820288">
        <w:trPr>
          <w:trHeight w:val="144"/>
        </w:trPr>
        <w:tc>
          <w:tcPr>
            <w:tcW w:w="1916" w:type="dxa"/>
            <w:noWrap/>
            <w:vAlign w:val="center"/>
            <w:hideMark/>
          </w:tcPr>
          <w:p w14:paraId="55236D1C" w14:textId="77777777" w:rsidR="00126D8D" w:rsidRPr="004A4899" w:rsidRDefault="00126D8D" w:rsidP="00820288">
            <w:pPr>
              <w:spacing w:line="240" w:lineRule="auto"/>
              <w:rPr>
                <w:rFonts w:ascii="Times New Roman" w:hAnsi="Times New Roman" w:cs="Times New Roman"/>
                <w:sz w:val="15"/>
                <w:szCs w:val="15"/>
              </w:rPr>
            </w:pPr>
            <w:r w:rsidRPr="004A4899">
              <w:rPr>
                <w:rFonts w:ascii="Times New Roman" w:hAnsi="Times New Roman" w:cs="Times New Roman"/>
                <w:sz w:val="15"/>
                <w:szCs w:val="15"/>
              </w:rPr>
              <w:t>3-Carene</w:t>
            </w:r>
          </w:p>
        </w:tc>
        <w:tc>
          <w:tcPr>
            <w:tcW w:w="758" w:type="dxa"/>
            <w:noWrap/>
            <w:vAlign w:val="center"/>
            <w:hideMark/>
          </w:tcPr>
          <w:p w14:paraId="4B1DBE1D" w14:textId="77777777" w:rsidR="00126D8D" w:rsidRPr="004A4899" w:rsidRDefault="00126D8D" w:rsidP="00820288">
            <w:pPr>
              <w:spacing w:line="240" w:lineRule="auto"/>
              <w:jc w:val="right"/>
              <w:rPr>
                <w:rFonts w:ascii="Times New Roman" w:hAnsi="Times New Roman" w:cs="Times New Roman"/>
                <w:sz w:val="15"/>
                <w:szCs w:val="15"/>
              </w:rPr>
            </w:pPr>
            <w:r w:rsidRPr="004A4899">
              <w:rPr>
                <w:rFonts w:ascii="Times New Roman" w:hAnsi="Times New Roman" w:cs="Times New Roman"/>
                <w:sz w:val="15"/>
                <w:szCs w:val="15"/>
              </w:rPr>
              <w:t>379.21</w:t>
            </w:r>
          </w:p>
        </w:tc>
        <w:tc>
          <w:tcPr>
            <w:tcW w:w="366" w:type="dxa"/>
            <w:noWrap/>
            <w:vAlign w:val="center"/>
            <w:hideMark/>
          </w:tcPr>
          <w:p w14:paraId="4F132A70" w14:textId="77777777" w:rsidR="00126D8D" w:rsidRPr="004A4899" w:rsidRDefault="00126D8D" w:rsidP="00820288">
            <w:pPr>
              <w:spacing w:line="240" w:lineRule="auto"/>
              <w:rPr>
                <w:rFonts w:ascii="Times New Roman" w:hAnsi="Times New Roman" w:cs="Times New Roman"/>
                <w:sz w:val="15"/>
                <w:szCs w:val="15"/>
              </w:rPr>
            </w:pPr>
            <w:r w:rsidRPr="004A4899">
              <w:rPr>
                <w:rFonts w:ascii="Times New Roman" w:hAnsi="Times New Roman" w:cs="Times New Roman"/>
                <w:sz w:val="15"/>
                <w:szCs w:val="15"/>
              </w:rPr>
              <w:t>b</w:t>
            </w:r>
          </w:p>
        </w:tc>
        <w:tc>
          <w:tcPr>
            <w:tcW w:w="712" w:type="dxa"/>
            <w:noWrap/>
            <w:vAlign w:val="center"/>
            <w:hideMark/>
          </w:tcPr>
          <w:p w14:paraId="2D4FE49A" w14:textId="77777777" w:rsidR="00126D8D" w:rsidRPr="004A4899" w:rsidRDefault="00126D8D" w:rsidP="00820288">
            <w:pPr>
              <w:spacing w:line="240" w:lineRule="auto"/>
              <w:jc w:val="right"/>
              <w:rPr>
                <w:rFonts w:ascii="Times New Roman" w:hAnsi="Times New Roman" w:cs="Times New Roman"/>
                <w:sz w:val="15"/>
                <w:szCs w:val="15"/>
              </w:rPr>
            </w:pPr>
            <w:r w:rsidRPr="004A4899">
              <w:rPr>
                <w:rFonts w:ascii="Times New Roman" w:hAnsi="Times New Roman" w:cs="Times New Roman"/>
                <w:sz w:val="15"/>
                <w:szCs w:val="15"/>
              </w:rPr>
              <w:t>507.44</w:t>
            </w:r>
          </w:p>
        </w:tc>
        <w:tc>
          <w:tcPr>
            <w:tcW w:w="368" w:type="dxa"/>
            <w:noWrap/>
            <w:vAlign w:val="center"/>
            <w:hideMark/>
          </w:tcPr>
          <w:p w14:paraId="6D01C095" w14:textId="77777777" w:rsidR="00126D8D" w:rsidRPr="004A4899" w:rsidRDefault="00126D8D" w:rsidP="00820288">
            <w:pPr>
              <w:spacing w:line="240" w:lineRule="auto"/>
              <w:rPr>
                <w:rFonts w:ascii="Times New Roman" w:hAnsi="Times New Roman" w:cs="Times New Roman"/>
                <w:sz w:val="15"/>
                <w:szCs w:val="15"/>
              </w:rPr>
            </w:pPr>
            <w:r w:rsidRPr="004A4899">
              <w:rPr>
                <w:rFonts w:ascii="Times New Roman" w:hAnsi="Times New Roman" w:cs="Times New Roman"/>
                <w:sz w:val="15"/>
                <w:szCs w:val="15"/>
              </w:rPr>
              <w:t>a</w:t>
            </w:r>
          </w:p>
        </w:tc>
        <w:tc>
          <w:tcPr>
            <w:tcW w:w="712" w:type="dxa"/>
            <w:noWrap/>
            <w:vAlign w:val="center"/>
            <w:hideMark/>
          </w:tcPr>
          <w:p w14:paraId="77460FC2" w14:textId="77777777" w:rsidR="00126D8D" w:rsidRPr="004A4899" w:rsidRDefault="00126D8D" w:rsidP="00820288">
            <w:pPr>
              <w:spacing w:line="240" w:lineRule="auto"/>
              <w:jc w:val="right"/>
              <w:rPr>
                <w:rFonts w:ascii="Times New Roman" w:hAnsi="Times New Roman" w:cs="Times New Roman"/>
                <w:sz w:val="15"/>
                <w:szCs w:val="15"/>
              </w:rPr>
            </w:pPr>
            <w:r w:rsidRPr="004A4899">
              <w:rPr>
                <w:rFonts w:ascii="Times New Roman" w:hAnsi="Times New Roman" w:cs="Times New Roman"/>
                <w:sz w:val="15"/>
                <w:szCs w:val="15"/>
              </w:rPr>
              <w:t>559.24</w:t>
            </w:r>
          </w:p>
        </w:tc>
        <w:tc>
          <w:tcPr>
            <w:tcW w:w="368" w:type="dxa"/>
            <w:noWrap/>
            <w:vAlign w:val="center"/>
            <w:hideMark/>
          </w:tcPr>
          <w:p w14:paraId="55D77A97" w14:textId="77777777" w:rsidR="00126D8D" w:rsidRPr="004A4899" w:rsidRDefault="00126D8D" w:rsidP="00820288">
            <w:pPr>
              <w:spacing w:line="240" w:lineRule="auto"/>
              <w:rPr>
                <w:rFonts w:ascii="Times New Roman" w:hAnsi="Times New Roman" w:cs="Times New Roman"/>
                <w:sz w:val="15"/>
                <w:szCs w:val="15"/>
              </w:rPr>
            </w:pPr>
            <w:r w:rsidRPr="004A4899">
              <w:rPr>
                <w:rFonts w:ascii="Times New Roman" w:hAnsi="Times New Roman" w:cs="Times New Roman"/>
                <w:sz w:val="15"/>
                <w:szCs w:val="15"/>
              </w:rPr>
              <w:t>a</w:t>
            </w:r>
          </w:p>
        </w:tc>
        <w:tc>
          <w:tcPr>
            <w:tcW w:w="916" w:type="dxa"/>
            <w:noWrap/>
            <w:vAlign w:val="center"/>
            <w:hideMark/>
          </w:tcPr>
          <w:p w14:paraId="4686C919" w14:textId="77777777" w:rsidR="00126D8D" w:rsidRPr="004A4899" w:rsidRDefault="00126D8D" w:rsidP="00820288">
            <w:pPr>
              <w:spacing w:line="240" w:lineRule="auto"/>
              <w:jc w:val="right"/>
              <w:rPr>
                <w:rFonts w:ascii="Times New Roman" w:hAnsi="Times New Roman" w:cs="Times New Roman"/>
                <w:sz w:val="15"/>
                <w:szCs w:val="15"/>
              </w:rPr>
            </w:pPr>
            <w:r w:rsidRPr="004A4899">
              <w:rPr>
                <w:rFonts w:ascii="Times New Roman" w:hAnsi="Times New Roman" w:cs="Times New Roman"/>
                <w:sz w:val="15"/>
                <w:szCs w:val="15"/>
              </w:rPr>
              <w:t>535.31</w:t>
            </w:r>
          </w:p>
        </w:tc>
        <w:tc>
          <w:tcPr>
            <w:tcW w:w="627" w:type="dxa"/>
            <w:noWrap/>
            <w:vAlign w:val="center"/>
            <w:hideMark/>
          </w:tcPr>
          <w:p w14:paraId="3BDDA08B" w14:textId="77777777" w:rsidR="00126D8D" w:rsidRPr="004A4899" w:rsidRDefault="00126D8D" w:rsidP="00820288">
            <w:pPr>
              <w:spacing w:line="240" w:lineRule="auto"/>
              <w:rPr>
                <w:rFonts w:ascii="Times New Roman" w:hAnsi="Times New Roman" w:cs="Times New Roman"/>
                <w:sz w:val="15"/>
                <w:szCs w:val="15"/>
              </w:rPr>
            </w:pPr>
            <w:r w:rsidRPr="004A4899">
              <w:rPr>
                <w:rFonts w:ascii="Times New Roman" w:hAnsi="Times New Roman" w:cs="Times New Roman"/>
                <w:sz w:val="15"/>
                <w:szCs w:val="15"/>
              </w:rPr>
              <w:t>a</w:t>
            </w:r>
          </w:p>
        </w:tc>
      </w:tr>
      <w:tr w:rsidR="00126D8D" w:rsidRPr="004A4899" w14:paraId="12CEF591" w14:textId="77777777" w:rsidTr="00820288">
        <w:trPr>
          <w:trHeight w:val="144"/>
        </w:trPr>
        <w:tc>
          <w:tcPr>
            <w:tcW w:w="1916" w:type="dxa"/>
            <w:noWrap/>
            <w:vAlign w:val="center"/>
            <w:hideMark/>
          </w:tcPr>
          <w:p w14:paraId="77214157" w14:textId="77777777" w:rsidR="00126D8D" w:rsidRPr="004A4899" w:rsidRDefault="00126D8D" w:rsidP="00820288">
            <w:pPr>
              <w:spacing w:line="240" w:lineRule="auto"/>
              <w:rPr>
                <w:rFonts w:ascii="Times New Roman" w:hAnsi="Times New Roman" w:cs="Times New Roman"/>
                <w:sz w:val="15"/>
                <w:szCs w:val="15"/>
              </w:rPr>
            </w:pPr>
            <w:r w:rsidRPr="004A4899">
              <w:rPr>
                <w:rFonts w:ascii="Times New Roman" w:hAnsi="Times New Roman" w:cs="Times New Roman"/>
                <w:sz w:val="15"/>
                <w:szCs w:val="15"/>
              </w:rPr>
              <w:t>Camphene</w:t>
            </w:r>
          </w:p>
        </w:tc>
        <w:tc>
          <w:tcPr>
            <w:tcW w:w="758" w:type="dxa"/>
            <w:noWrap/>
            <w:vAlign w:val="center"/>
            <w:hideMark/>
          </w:tcPr>
          <w:p w14:paraId="51D4A84E" w14:textId="77777777" w:rsidR="00126D8D" w:rsidRPr="004A4899" w:rsidRDefault="00126D8D" w:rsidP="00820288">
            <w:pPr>
              <w:spacing w:line="240" w:lineRule="auto"/>
              <w:jc w:val="right"/>
              <w:rPr>
                <w:rFonts w:ascii="Times New Roman" w:hAnsi="Times New Roman" w:cs="Times New Roman"/>
                <w:sz w:val="15"/>
                <w:szCs w:val="15"/>
              </w:rPr>
            </w:pPr>
            <w:r w:rsidRPr="004A4899">
              <w:rPr>
                <w:rFonts w:ascii="Times New Roman" w:hAnsi="Times New Roman" w:cs="Times New Roman"/>
                <w:sz w:val="15"/>
                <w:szCs w:val="15"/>
              </w:rPr>
              <w:t>23.41</w:t>
            </w:r>
          </w:p>
        </w:tc>
        <w:tc>
          <w:tcPr>
            <w:tcW w:w="366" w:type="dxa"/>
            <w:noWrap/>
            <w:vAlign w:val="center"/>
            <w:hideMark/>
          </w:tcPr>
          <w:p w14:paraId="6649A25C" w14:textId="77777777" w:rsidR="00126D8D" w:rsidRPr="004A4899" w:rsidRDefault="00126D8D" w:rsidP="00820288">
            <w:pPr>
              <w:spacing w:line="240" w:lineRule="auto"/>
              <w:rPr>
                <w:rFonts w:ascii="Times New Roman" w:hAnsi="Times New Roman" w:cs="Times New Roman"/>
                <w:sz w:val="15"/>
                <w:szCs w:val="15"/>
              </w:rPr>
            </w:pPr>
            <w:r w:rsidRPr="004A4899">
              <w:rPr>
                <w:rFonts w:ascii="Times New Roman" w:hAnsi="Times New Roman" w:cs="Times New Roman"/>
                <w:sz w:val="15"/>
                <w:szCs w:val="15"/>
              </w:rPr>
              <w:t>c</w:t>
            </w:r>
          </w:p>
        </w:tc>
        <w:tc>
          <w:tcPr>
            <w:tcW w:w="712" w:type="dxa"/>
            <w:noWrap/>
            <w:vAlign w:val="center"/>
            <w:hideMark/>
          </w:tcPr>
          <w:p w14:paraId="31E67E16" w14:textId="77777777" w:rsidR="00126D8D" w:rsidRPr="004A4899" w:rsidRDefault="00126D8D" w:rsidP="00820288">
            <w:pPr>
              <w:spacing w:line="240" w:lineRule="auto"/>
              <w:jc w:val="right"/>
              <w:rPr>
                <w:rFonts w:ascii="Times New Roman" w:hAnsi="Times New Roman" w:cs="Times New Roman"/>
                <w:sz w:val="15"/>
                <w:szCs w:val="15"/>
              </w:rPr>
            </w:pPr>
            <w:r w:rsidRPr="004A4899">
              <w:rPr>
                <w:rFonts w:ascii="Times New Roman" w:hAnsi="Times New Roman" w:cs="Times New Roman"/>
                <w:sz w:val="15"/>
                <w:szCs w:val="15"/>
              </w:rPr>
              <w:t>29.25</w:t>
            </w:r>
          </w:p>
        </w:tc>
        <w:tc>
          <w:tcPr>
            <w:tcW w:w="368" w:type="dxa"/>
            <w:noWrap/>
            <w:vAlign w:val="center"/>
            <w:hideMark/>
          </w:tcPr>
          <w:p w14:paraId="727FE396" w14:textId="77777777" w:rsidR="00126D8D" w:rsidRPr="004A4899" w:rsidRDefault="00126D8D" w:rsidP="00820288">
            <w:pPr>
              <w:spacing w:line="240" w:lineRule="auto"/>
              <w:rPr>
                <w:rFonts w:ascii="Times New Roman" w:hAnsi="Times New Roman" w:cs="Times New Roman"/>
                <w:sz w:val="15"/>
                <w:szCs w:val="15"/>
              </w:rPr>
            </w:pPr>
            <w:r w:rsidRPr="004A4899">
              <w:rPr>
                <w:rFonts w:ascii="Times New Roman" w:hAnsi="Times New Roman" w:cs="Times New Roman"/>
                <w:sz w:val="15"/>
                <w:szCs w:val="15"/>
              </w:rPr>
              <w:t>bc</w:t>
            </w:r>
          </w:p>
        </w:tc>
        <w:tc>
          <w:tcPr>
            <w:tcW w:w="712" w:type="dxa"/>
            <w:noWrap/>
            <w:vAlign w:val="center"/>
            <w:hideMark/>
          </w:tcPr>
          <w:p w14:paraId="2F4AEA47" w14:textId="77777777" w:rsidR="00126D8D" w:rsidRPr="004A4899" w:rsidRDefault="00126D8D" w:rsidP="00820288">
            <w:pPr>
              <w:spacing w:line="240" w:lineRule="auto"/>
              <w:jc w:val="right"/>
              <w:rPr>
                <w:rFonts w:ascii="Times New Roman" w:hAnsi="Times New Roman" w:cs="Times New Roman"/>
                <w:sz w:val="15"/>
                <w:szCs w:val="15"/>
              </w:rPr>
            </w:pPr>
            <w:r w:rsidRPr="004A4899">
              <w:rPr>
                <w:rFonts w:ascii="Times New Roman" w:hAnsi="Times New Roman" w:cs="Times New Roman"/>
                <w:sz w:val="15"/>
                <w:szCs w:val="15"/>
              </w:rPr>
              <w:t>32.83</w:t>
            </w:r>
          </w:p>
        </w:tc>
        <w:tc>
          <w:tcPr>
            <w:tcW w:w="368" w:type="dxa"/>
            <w:noWrap/>
            <w:vAlign w:val="center"/>
            <w:hideMark/>
          </w:tcPr>
          <w:p w14:paraId="680A7823" w14:textId="77777777" w:rsidR="00126D8D" w:rsidRPr="004A4899" w:rsidRDefault="00126D8D" w:rsidP="00820288">
            <w:pPr>
              <w:spacing w:line="240" w:lineRule="auto"/>
              <w:rPr>
                <w:rFonts w:ascii="Times New Roman" w:hAnsi="Times New Roman" w:cs="Times New Roman"/>
                <w:sz w:val="15"/>
                <w:szCs w:val="15"/>
              </w:rPr>
            </w:pPr>
            <w:r w:rsidRPr="004A4899">
              <w:rPr>
                <w:rFonts w:ascii="Times New Roman" w:hAnsi="Times New Roman" w:cs="Times New Roman"/>
                <w:sz w:val="15"/>
                <w:szCs w:val="15"/>
              </w:rPr>
              <w:t>bc</w:t>
            </w:r>
          </w:p>
        </w:tc>
        <w:tc>
          <w:tcPr>
            <w:tcW w:w="916" w:type="dxa"/>
            <w:noWrap/>
            <w:vAlign w:val="center"/>
            <w:hideMark/>
          </w:tcPr>
          <w:p w14:paraId="74AFC874" w14:textId="77777777" w:rsidR="00126D8D" w:rsidRPr="004A4899" w:rsidRDefault="00126D8D" w:rsidP="00820288">
            <w:pPr>
              <w:spacing w:line="240" w:lineRule="auto"/>
              <w:jc w:val="right"/>
              <w:rPr>
                <w:rFonts w:ascii="Times New Roman" w:hAnsi="Times New Roman" w:cs="Times New Roman"/>
                <w:sz w:val="15"/>
                <w:szCs w:val="15"/>
              </w:rPr>
            </w:pPr>
            <w:r w:rsidRPr="004A4899">
              <w:rPr>
                <w:rFonts w:ascii="Times New Roman" w:hAnsi="Times New Roman" w:cs="Times New Roman"/>
                <w:sz w:val="15"/>
                <w:szCs w:val="15"/>
              </w:rPr>
              <w:t>55.77</w:t>
            </w:r>
          </w:p>
        </w:tc>
        <w:tc>
          <w:tcPr>
            <w:tcW w:w="627" w:type="dxa"/>
            <w:noWrap/>
            <w:vAlign w:val="center"/>
            <w:hideMark/>
          </w:tcPr>
          <w:p w14:paraId="16AA0001" w14:textId="77777777" w:rsidR="00126D8D" w:rsidRPr="004A4899" w:rsidRDefault="00126D8D" w:rsidP="00820288">
            <w:pPr>
              <w:spacing w:line="240" w:lineRule="auto"/>
              <w:rPr>
                <w:rFonts w:ascii="Times New Roman" w:hAnsi="Times New Roman" w:cs="Times New Roman"/>
                <w:sz w:val="15"/>
                <w:szCs w:val="15"/>
              </w:rPr>
            </w:pPr>
            <w:r w:rsidRPr="004A4899">
              <w:rPr>
                <w:rFonts w:ascii="Times New Roman" w:hAnsi="Times New Roman" w:cs="Times New Roman"/>
                <w:sz w:val="15"/>
                <w:szCs w:val="15"/>
              </w:rPr>
              <w:t>a</w:t>
            </w:r>
          </w:p>
        </w:tc>
      </w:tr>
      <w:tr w:rsidR="00126D8D" w:rsidRPr="004A4899" w14:paraId="16962DCF" w14:textId="77777777" w:rsidTr="00820288">
        <w:trPr>
          <w:trHeight w:val="144"/>
        </w:trPr>
        <w:tc>
          <w:tcPr>
            <w:tcW w:w="1916" w:type="dxa"/>
            <w:noWrap/>
            <w:vAlign w:val="center"/>
            <w:hideMark/>
          </w:tcPr>
          <w:p w14:paraId="28AF6EEE" w14:textId="77777777" w:rsidR="00126D8D" w:rsidRPr="004A4899" w:rsidRDefault="00126D8D" w:rsidP="00820288">
            <w:pPr>
              <w:spacing w:line="240" w:lineRule="auto"/>
              <w:rPr>
                <w:rFonts w:ascii="Times New Roman" w:hAnsi="Times New Roman" w:cs="Times New Roman"/>
                <w:sz w:val="15"/>
                <w:szCs w:val="15"/>
              </w:rPr>
            </w:pPr>
            <w:r w:rsidRPr="004A4899">
              <w:rPr>
                <w:rFonts w:ascii="Times New Roman" w:hAnsi="Times New Roman" w:cs="Times New Roman"/>
                <w:sz w:val="15"/>
                <w:szCs w:val="15"/>
              </w:rPr>
              <w:t>Isoborneol</w:t>
            </w:r>
          </w:p>
        </w:tc>
        <w:tc>
          <w:tcPr>
            <w:tcW w:w="758" w:type="dxa"/>
            <w:noWrap/>
            <w:vAlign w:val="center"/>
            <w:hideMark/>
          </w:tcPr>
          <w:p w14:paraId="6D3F5D3A" w14:textId="77777777" w:rsidR="00126D8D" w:rsidRPr="004A4899" w:rsidRDefault="00126D8D" w:rsidP="00820288">
            <w:pPr>
              <w:spacing w:line="240" w:lineRule="auto"/>
              <w:jc w:val="right"/>
              <w:rPr>
                <w:rFonts w:ascii="Times New Roman" w:hAnsi="Times New Roman" w:cs="Times New Roman"/>
                <w:sz w:val="15"/>
                <w:szCs w:val="15"/>
              </w:rPr>
            </w:pPr>
            <w:r w:rsidRPr="004A4899">
              <w:rPr>
                <w:rFonts w:ascii="Times New Roman" w:hAnsi="Times New Roman" w:cs="Times New Roman"/>
                <w:sz w:val="15"/>
                <w:szCs w:val="15"/>
              </w:rPr>
              <w:t>28.97</w:t>
            </w:r>
          </w:p>
        </w:tc>
        <w:tc>
          <w:tcPr>
            <w:tcW w:w="366" w:type="dxa"/>
            <w:noWrap/>
            <w:vAlign w:val="center"/>
            <w:hideMark/>
          </w:tcPr>
          <w:p w14:paraId="32E85FD3" w14:textId="77777777" w:rsidR="00126D8D" w:rsidRPr="004A4899" w:rsidRDefault="00126D8D" w:rsidP="00820288">
            <w:pPr>
              <w:spacing w:line="240" w:lineRule="auto"/>
              <w:rPr>
                <w:rFonts w:ascii="Times New Roman" w:hAnsi="Times New Roman" w:cs="Times New Roman"/>
                <w:sz w:val="15"/>
                <w:szCs w:val="15"/>
              </w:rPr>
            </w:pPr>
            <w:r w:rsidRPr="004A4899">
              <w:rPr>
                <w:rFonts w:ascii="Times New Roman" w:hAnsi="Times New Roman" w:cs="Times New Roman"/>
                <w:sz w:val="15"/>
                <w:szCs w:val="15"/>
              </w:rPr>
              <w:t>bc</w:t>
            </w:r>
          </w:p>
        </w:tc>
        <w:tc>
          <w:tcPr>
            <w:tcW w:w="712" w:type="dxa"/>
            <w:noWrap/>
            <w:vAlign w:val="center"/>
            <w:hideMark/>
          </w:tcPr>
          <w:p w14:paraId="17B0EEE8" w14:textId="77777777" w:rsidR="00126D8D" w:rsidRPr="004A4899" w:rsidRDefault="00126D8D" w:rsidP="00820288">
            <w:pPr>
              <w:spacing w:line="240" w:lineRule="auto"/>
              <w:jc w:val="right"/>
              <w:rPr>
                <w:rFonts w:ascii="Times New Roman" w:hAnsi="Times New Roman" w:cs="Times New Roman"/>
                <w:sz w:val="15"/>
                <w:szCs w:val="15"/>
              </w:rPr>
            </w:pPr>
            <w:r w:rsidRPr="004A4899">
              <w:rPr>
                <w:rFonts w:ascii="Times New Roman" w:hAnsi="Times New Roman" w:cs="Times New Roman"/>
                <w:sz w:val="15"/>
                <w:szCs w:val="15"/>
              </w:rPr>
              <w:t>23.53</w:t>
            </w:r>
          </w:p>
        </w:tc>
        <w:tc>
          <w:tcPr>
            <w:tcW w:w="368" w:type="dxa"/>
            <w:noWrap/>
            <w:vAlign w:val="center"/>
            <w:hideMark/>
          </w:tcPr>
          <w:p w14:paraId="79C9F82B" w14:textId="77777777" w:rsidR="00126D8D" w:rsidRPr="004A4899" w:rsidRDefault="00126D8D" w:rsidP="00820288">
            <w:pPr>
              <w:spacing w:line="240" w:lineRule="auto"/>
              <w:rPr>
                <w:rFonts w:ascii="Times New Roman" w:hAnsi="Times New Roman" w:cs="Times New Roman"/>
                <w:sz w:val="15"/>
                <w:szCs w:val="15"/>
              </w:rPr>
            </w:pPr>
            <w:r w:rsidRPr="004A4899">
              <w:rPr>
                <w:rFonts w:ascii="Times New Roman" w:hAnsi="Times New Roman" w:cs="Times New Roman"/>
                <w:sz w:val="15"/>
                <w:szCs w:val="15"/>
              </w:rPr>
              <w:t>c</w:t>
            </w:r>
          </w:p>
        </w:tc>
        <w:tc>
          <w:tcPr>
            <w:tcW w:w="712" w:type="dxa"/>
            <w:noWrap/>
            <w:vAlign w:val="center"/>
            <w:hideMark/>
          </w:tcPr>
          <w:p w14:paraId="54428B2C" w14:textId="77777777" w:rsidR="00126D8D" w:rsidRPr="004A4899" w:rsidRDefault="00126D8D" w:rsidP="00820288">
            <w:pPr>
              <w:spacing w:line="240" w:lineRule="auto"/>
              <w:jc w:val="right"/>
              <w:rPr>
                <w:rFonts w:ascii="Times New Roman" w:hAnsi="Times New Roman" w:cs="Times New Roman"/>
                <w:sz w:val="15"/>
                <w:szCs w:val="15"/>
              </w:rPr>
            </w:pPr>
            <w:r w:rsidRPr="004A4899">
              <w:rPr>
                <w:rFonts w:ascii="Times New Roman" w:hAnsi="Times New Roman" w:cs="Times New Roman"/>
                <w:sz w:val="15"/>
                <w:szCs w:val="15"/>
              </w:rPr>
              <w:t>32.50</w:t>
            </w:r>
          </w:p>
        </w:tc>
        <w:tc>
          <w:tcPr>
            <w:tcW w:w="368" w:type="dxa"/>
            <w:noWrap/>
            <w:vAlign w:val="center"/>
            <w:hideMark/>
          </w:tcPr>
          <w:p w14:paraId="17E1F313" w14:textId="77777777" w:rsidR="00126D8D" w:rsidRPr="004A4899" w:rsidRDefault="00126D8D" w:rsidP="00820288">
            <w:pPr>
              <w:spacing w:line="240" w:lineRule="auto"/>
              <w:rPr>
                <w:rFonts w:ascii="Times New Roman" w:hAnsi="Times New Roman" w:cs="Times New Roman"/>
                <w:sz w:val="15"/>
                <w:szCs w:val="15"/>
              </w:rPr>
            </w:pPr>
            <w:r w:rsidRPr="004A4899">
              <w:rPr>
                <w:rFonts w:ascii="Times New Roman" w:hAnsi="Times New Roman" w:cs="Times New Roman"/>
                <w:sz w:val="15"/>
                <w:szCs w:val="15"/>
              </w:rPr>
              <w:t>b</w:t>
            </w:r>
          </w:p>
        </w:tc>
        <w:tc>
          <w:tcPr>
            <w:tcW w:w="916" w:type="dxa"/>
            <w:noWrap/>
            <w:vAlign w:val="center"/>
            <w:hideMark/>
          </w:tcPr>
          <w:p w14:paraId="5236DC72" w14:textId="77777777" w:rsidR="00126D8D" w:rsidRPr="004A4899" w:rsidRDefault="00126D8D" w:rsidP="00820288">
            <w:pPr>
              <w:spacing w:line="240" w:lineRule="auto"/>
              <w:jc w:val="right"/>
              <w:rPr>
                <w:rFonts w:ascii="Times New Roman" w:hAnsi="Times New Roman" w:cs="Times New Roman"/>
                <w:sz w:val="15"/>
                <w:szCs w:val="15"/>
              </w:rPr>
            </w:pPr>
            <w:r w:rsidRPr="004A4899">
              <w:rPr>
                <w:rFonts w:ascii="Times New Roman" w:hAnsi="Times New Roman" w:cs="Times New Roman"/>
                <w:sz w:val="15"/>
                <w:szCs w:val="15"/>
              </w:rPr>
              <w:t>49.74</w:t>
            </w:r>
          </w:p>
        </w:tc>
        <w:tc>
          <w:tcPr>
            <w:tcW w:w="627" w:type="dxa"/>
            <w:noWrap/>
            <w:vAlign w:val="center"/>
            <w:hideMark/>
          </w:tcPr>
          <w:p w14:paraId="1DB3D244" w14:textId="77777777" w:rsidR="00126D8D" w:rsidRPr="004A4899" w:rsidRDefault="00126D8D" w:rsidP="00820288">
            <w:pPr>
              <w:spacing w:line="240" w:lineRule="auto"/>
              <w:rPr>
                <w:rFonts w:ascii="Times New Roman" w:hAnsi="Times New Roman" w:cs="Times New Roman"/>
                <w:sz w:val="15"/>
                <w:szCs w:val="15"/>
              </w:rPr>
            </w:pPr>
            <w:r w:rsidRPr="004A4899">
              <w:rPr>
                <w:rFonts w:ascii="Times New Roman" w:hAnsi="Times New Roman" w:cs="Times New Roman"/>
                <w:sz w:val="15"/>
                <w:szCs w:val="15"/>
              </w:rPr>
              <w:t>a</w:t>
            </w:r>
          </w:p>
        </w:tc>
      </w:tr>
      <w:tr w:rsidR="00126D8D" w:rsidRPr="004A4899" w14:paraId="376128C0" w14:textId="77777777" w:rsidTr="00820288">
        <w:trPr>
          <w:trHeight w:val="144"/>
        </w:trPr>
        <w:tc>
          <w:tcPr>
            <w:tcW w:w="1916" w:type="dxa"/>
            <w:noWrap/>
            <w:vAlign w:val="center"/>
            <w:hideMark/>
          </w:tcPr>
          <w:p w14:paraId="1A680D08" w14:textId="77777777" w:rsidR="00126D8D" w:rsidRPr="004A4899" w:rsidRDefault="00126D8D" w:rsidP="00820288">
            <w:pPr>
              <w:spacing w:line="240" w:lineRule="auto"/>
              <w:rPr>
                <w:rFonts w:ascii="Times New Roman" w:hAnsi="Times New Roman" w:cs="Times New Roman"/>
                <w:sz w:val="15"/>
                <w:szCs w:val="15"/>
              </w:rPr>
            </w:pPr>
            <w:r w:rsidRPr="004A4899">
              <w:rPr>
                <w:rFonts w:ascii="Times New Roman" w:hAnsi="Times New Roman" w:cs="Times New Roman"/>
                <w:sz w:val="15"/>
                <w:szCs w:val="15"/>
              </w:rPr>
              <w:t>trans-Pinocarveol</w:t>
            </w:r>
          </w:p>
        </w:tc>
        <w:tc>
          <w:tcPr>
            <w:tcW w:w="758" w:type="dxa"/>
            <w:noWrap/>
            <w:vAlign w:val="center"/>
            <w:hideMark/>
          </w:tcPr>
          <w:p w14:paraId="24C8B38A" w14:textId="77777777" w:rsidR="00126D8D" w:rsidRPr="004A4899" w:rsidRDefault="00126D8D" w:rsidP="00820288">
            <w:pPr>
              <w:spacing w:line="240" w:lineRule="auto"/>
              <w:jc w:val="right"/>
              <w:rPr>
                <w:rFonts w:ascii="Times New Roman" w:hAnsi="Times New Roman" w:cs="Times New Roman"/>
                <w:sz w:val="15"/>
                <w:szCs w:val="15"/>
              </w:rPr>
            </w:pPr>
            <w:r w:rsidRPr="004A4899">
              <w:rPr>
                <w:rFonts w:ascii="Times New Roman" w:hAnsi="Times New Roman" w:cs="Times New Roman"/>
                <w:sz w:val="15"/>
                <w:szCs w:val="15"/>
              </w:rPr>
              <w:t>3.60</w:t>
            </w:r>
          </w:p>
        </w:tc>
        <w:tc>
          <w:tcPr>
            <w:tcW w:w="366" w:type="dxa"/>
            <w:noWrap/>
            <w:vAlign w:val="center"/>
            <w:hideMark/>
          </w:tcPr>
          <w:p w14:paraId="429C817C" w14:textId="77777777" w:rsidR="00126D8D" w:rsidRPr="004A4899" w:rsidRDefault="00126D8D" w:rsidP="00820288">
            <w:pPr>
              <w:spacing w:line="240" w:lineRule="auto"/>
              <w:rPr>
                <w:rFonts w:ascii="Times New Roman" w:hAnsi="Times New Roman" w:cs="Times New Roman"/>
                <w:sz w:val="15"/>
                <w:szCs w:val="15"/>
              </w:rPr>
            </w:pPr>
            <w:r w:rsidRPr="004A4899">
              <w:rPr>
                <w:rFonts w:ascii="Times New Roman" w:hAnsi="Times New Roman" w:cs="Times New Roman"/>
                <w:sz w:val="15"/>
                <w:szCs w:val="15"/>
              </w:rPr>
              <w:t>b</w:t>
            </w:r>
          </w:p>
        </w:tc>
        <w:tc>
          <w:tcPr>
            <w:tcW w:w="712" w:type="dxa"/>
            <w:noWrap/>
            <w:vAlign w:val="center"/>
            <w:hideMark/>
          </w:tcPr>
          <w:p w14:paraId="09204F69" w14:textId="77777777" w:rsidR="00126D8D" w:rsidRPr="004A4899" w:rsidRDefault="00126D8D" w:rsidP="00820288">
            <w:pPr>
              <w:spacing w:line="240" w:lineRule="auto"/>
              <w:jc w:val="right"/>
              <w:rPr>
                <w:rFonts w:ascii="Times New Roman" w:hAnsi="Times New Roman" w:cs="Times New Roman"/>
                <w:sz w:val="15"/>
                <w:szCs w:val="15"/>
              </w:rPr>
            </w:pPr>
            <w:r w:rsidRPr="004A4899">
              <w:rPr>
                <w:rFonts w:ascii="Times New Roman" w:hAnsi="Times New Roman" w:cs="Times New Roman"/>
                <w:sz w:val="15"/>
                <w:szCs w:val="15"/>
              </w:rPr>
              <w:t>4.89</w:t>
            </w:r>
          </w:p>
        </w:tc>
        <w:tc>
          <w:tcPr>
            <w:tcW w:w="368" w:type="dxa"/>
            <w:noWrap/>
            <w:vAlign w:val="center"/>
            <w:hideMark/>
          </w:tcPr>
          <w:p w14:paraId="37932F0F" w14:textId="77777777" w:rsidR="00126D8D" w:rsidRPr="004A4899" w:rsidRDefault="00126D8D" w:rsidP="00820288">
            <w:pPr>
              <w:spacing w:line="240" w:lineRule="auto"/>
              <w:rPr>
                <w:rFonts w:ascii="Times New Roman" w:hAnsi="Times New Roman" w:cs="Times New Roman"/>
                <w:sz w:val="15"/>
                <w:szCs w:val="15"/>
              </w:rPr>
            </w:pPr>
            <w:r w:rsidRPr="004A4899">
              <w:rPr>
                <w:rFonts w:ascii="Times New Roman" w:hAnsi="Times New Roman" w:cs="Times New Roman"/>
                <w:sz w:val="15"/>
                <w:szCs w:val="15"/>
              </w:rPr>
              <w:t>ab</w:t>
            </w:r>
          </w:p>
        </w:tc>
        <w:tc>
          <w:tcPr>
            <w:tcW w:w="712" w:type="dxa"/>
            <w:noWrap/>
            <w:vAlign w:val="center"/>
            <w:hideMark/>
          </w:tcPr>
          <w:p w14:paraId="248129F8" w14:textId="77777777" w:rsidR="00126D8D" w:rsidRPr="004A4899" w:rsidRDefault="00126D8D" w:rsidP="00820288">
            <w:pPr>
              <w:spacing w:line="240" w:lineRule="auto"/>
              <w:jc w:val="right"/>
              <w:rPr>
                <w:rFonts w:ascii="Times New Roman" w:hAnsi="Times New Roman" w:cs="Times New Roman"/>
                <w:sz w:val="15"/>
                <w:szCs w:val="15"/>
              </w:rPr>
            </w:pPr>
            <w:r w:rsidRPr="004A4899">
              <w:rPr>
                <w:rFonts w:ascii="Times New Roman" w:hAnsi="Times New Roman" w:cs="Times New Roman"/>
                <w:sz w:val="15"/>
                <w:szCs w:val="15"/>
              </w:rPr>
              <w:t>5.87</w:t>
            </w:r>
          </w:p>
        </w:tc>
        <w:tc>
          <w:tcPr>
            <w:tcW w:w="368" w:type="dxa"/>
            <w:noWrap/>
            <w:vAlign w:val="center"/>
            <w:hideMark/>
          </w:tcPr>
          <w:p w14:paraId="0A33C891" w14:textId="77777777" w:rsidR="00126D8D" w:rsidRPr="004A4899" w:rsidRDefault="00126D8D" w:rsidP="00820288">
            <w:pPr>
              <w:spacing w:line="240" w:lineRule="auto"/>
              <w:rPr>
                <w:rFonts w:ascii="Times New Roman" w:hAnsi="Times New Roman" w:cs="Times New Roman"/>
                <w:sz w:val="15"/>
                <w:szCs w:val="15"/>
              </w:rPr>
            </w:pPr>
            <w:r w:rsidRPr="004A4899">
              <w:rPr>
                <w:rFonts w:ascii="Times New Roman" w:hAnsi="Times New Roman" w:cs="Times New Roman"/>
                <w:sz w:val="15"/>
                <w:szCs w:val="15"/>
              </w:rPr>
              <w:t>a</w:t>
            </w:r>
          </w:p>
        </w:tc>
        <w:tc>
          <w:tcPr>
            <w:tcW w:w="916" w:type="dxa"/>
            <w:noWrap/>
            <w:vAlign w:val="center"/>
            <w:hideMark/>
          </w:tcPr>
          <w:p w14:paraId="7FA2225C" w14:textId="77777777" w:rsidR="00126D8D" w:rsidRPr="004A4899" w:rsidRDefault="00126D8D" w:rsidP="00820288">
            <w:pPr>
              <w:spacing w:line="240" w:lineRule="auto"/>
              <w:jc w:val="right"/>
              <w:rPr>
                <w:rFonts w:ascii="Times New Roman" w:hAnsi="Times New Roman" w:cs="Times New Roman"/>
                <w:sz w:val="15"/>
                <w:szCs w:val="15"/>
              </w:rPr>
            </w:pPr>
            <w:r w:rsidRPr="004A4899">
              <w:rPr>
                <w:rFonts w:ascii="Times New Roman" w:hAnsi="Times New Roman" w:cs="Times New Roman"/>
                <w:sz w:val="15"/>
                <w:szCs w:val="15"/>
              </w:rPr>
              <w:t>6.13</w:t>
            </w:r>
          </w:p>
        </w:tc>
        <w:tc>
          <w:tcPr>
            <w:tcW w:w="627" w:type="dxa"/>
            <w:noWrap/>
            <w:vAlign w:val="center"/>
            <w:hideMark/>
          </w:tcPr>
          <w:p w14:paraId="0A0D32C3" w14:textId="77777777" w:rsidR="00126D8D" w:rsidRPr="004A4899" w:rsidRDefault="00126D8D" w:rsidP="00820288">
            <w:pPr>
              <w:spacing w:line="240" w:lineRule="auto"/>
              <w:rPr>
                <w:rFonts w:ascii="Times New Roman" w:hAnsi="Times New Roman" w:cs="Times New Roman"/>
                <w:sz w:val="15"/>
                <w:szCs w:val="15"/>
              </w:rPr>
            </w:pPr>
            <w:r w:rsidRPr="004A4899">
              <w:rPr>
                <w:rFonts w:ascii="Times New Roman" w:hAnsi="Times New Roman" w:cs="Times New Roman"/>
                <w:sz w:val="15"/>
                <w:szCs w:val="15"/>
              </w:rPr>
              <w:t>a</w:t>
            </w:r>
          </w:p>
        </w:tc>
      </w:tr>
      <w:tr w:rsidR="00126D8D" w:rsidRPr="004A4899" w14:paraId="0E13DC93" w14:textId="77777777" w:rsidTr="00820288">
        <w:trPr>
          <w:trHeight w:val="144"/>
        </w:trPr>
        <w:tc>
          <w:tcPr>
            <w:tcW w:w="1916" w:type="dxa"/>
            <w:noWrap/>
            <w:vAlign w:val="center"/>
            <w:hideMark/>
          </w:tcPr>
          <w:p w14:paraId="25651349" w14:textId="77777777" w:rsidR="00126D8D" w:rsidRPr="004A4899" w:rsidRDefault="00126D8D" w:rsidP="00820288">
            <w:pPr>
              <w:spacing w:line="240" w:lineRule="auto"/>
              <w:rPr>
                <w:rFonts w:ascii="Times New Roman" w:hAnsi="Times New Roman" w:cs="Times New Roman"/>
                <w:sz w:val="15"/>
                <w:szCs w:val="15"/>
              </w:rPr>
            </w:pPr>
            <w:r w:rsidRPr="004A4899">
              <w:rPr>
                <w:rFonts w:ascii="Times New Roman" w:hAnsi="Times New Roman" w:cs="Times New Roman"/>
                <w:sz w:val="15"/>
                <w:szCs w:val="15"/>
              </w:rPr>
              <w:t>trans-Sabinene hydrate</w:t>
            </w:r>
          </w:p>
        </w:tc>
        <w:tc>
          <w:tcPr>
            <w:tcW w:w="758" w:type="dxa"/>
            <w:noWrap/>
            <w:vAlign w:val="center"/>
            <w:hideMark/>
          </w:tcPr>
          <w:p w14:paraId="31A1A093" w14:textId="77777777" w:rsidR="00126D8D" w:rsidRPr="004A4899" w:rsidRDefault="00126D8D" w:rsidP="00820288">
            <w:pPr>
              <w:spacing w:line="240" w:lineRule="auto"/>
              <w:jc w:val="right"/>
              <w:rPr>
                <w:rFonts w:ascii="Times New Roman" w:hAnsi="Times New Roman" w:cs="Times New Roman"/>
                <w:sz w:val="15"/>
                <w:szCs w:val="15"/>
              </w:rPr>
            </w:pPr>
            <w:r w:rsidRPr="004A4899">
              <w:rPr>
                <w:rFonts w:ascii="Times New Roman" w:hAnsi="Times New Roman" w:cs="Times New Roman"/>
                <w:sz w:val="15"/>
                <w:szCs w:val="15"/>
              </w:rPr>
              <w:t>10.04</w:t>
            </w:r>
          </w:p>
        </w:tc>
        <w:tc>
          <w:tcPr>
            <w:tcW w:w="366" w:type="dxa"/>
            <w:noWrap/>
            <w:vAlign w:val="center"/>
            <w:hideMark/>
          </w:tcPr>
          <w:p w14:paraId="209A0511" w14:textId="77777777" w:rsidR="00126D8D" w:rsidRPr="004A4899" w:rsidRDefault="00126D8D" w:rsidP="00820288">
            <w:pPr>
              <w:spacing w:line="240" w:lineRule="auto"/>
              <w:rPr>
                <w:rFonts w:ascii="Times New Roman" w:hAnsi="Times New Roman" w:cs="Times New Roman"/>
                <w:sz w:val="15"/>
                <w:szCs w:val="15"/>
              </w:rPr>
            </w:pPr>
            <w:r w:rsidRPr="004A4899">
              <w:rPr>
                <w:rFonts w:ascii="Times New Roman" w:hAnsi="Times New Roman" w:cs="Times New Roman"/>
                <w:sz w:val="15"/>
                <w:szCs w:val="15"/>
              </w:rPr>
              <w:t>c</w:t>
            </w:r>
          </w:p>
        </w:tc>
        <w:tc>
          <w:tcPr>
            <w:tcW w:w="712" w:type="dxa"/>
            <w:noWrap/>
            <w:vAlign w:val="center"/>
            <w:hideMark/>
          </w:tcPr>
          <w:p w14:paraId="4FC11299" w14:textId="77777777" w:rsidR="00126D8D" w:rsidRPr="004A4899" w:rsidRDefault="00126D8D" w:rsidP="00820288">
            <w:pPr>
              <w:spacing w:line="240" w:lineRule="auto"/>
              <w:jc w:val="right"/>
              <w:rPr>
                <w:rFonts w:ascii="Times New Roman" w:hAnsi="Times New Roman" w:cs="Times New Roman"/>
                <w:sz w:val="15"/>
                <w:szCs w:val="15"/>
              </w:rPr>
            </w:pPr>
            <w:r w:rsidRPr="004A4899">
              <w:rPr>
                <w:rFonts w:ascii="Times New Roman" w:hAnsi="Times New Roman" w:cs="Times New Roman"/>
                <w:sz w:val="15"/>
                <w:szCs w:val="15"/>
              </w:rPr>
              <w:t>20.71</w:t>
            </w:r>
          </w:p>
        </w:tc>
        <w:tc>
          <w:tcPr>
            <w:tcW w:w="368" w:type="dxa"/>
            <w:noWrap/>
            <w:vAlign w:val="center"/>
            <w:hideMark/>
          </w:tcPr>
          <w:p w14:paraId="3CF364FA" w14:textId="77777777" w:rsidR="00126D8D" w:rsidRPr="004A4899" w:rsidRDefault="00126D8D" w:rsidP="00820288">
            <w:pPr>
              <w:spacing w:line="240" w:lineRule="auto"/>
              <w:rPr>
                <w:rFonts w:ascii="Times New Roman" w:hAnsi="Times New Roman" w:cs="Times New Roman"/>
                <w:sz w:val="15"/>
                <w:szCs w:val="15"/>
              </w:rPr>
            </w:pPr>
            <w:r w:rsidRPr="004A4899">
              <w:rPr>
                <w:rFonts w:ascii="Times New Roman" w:hAnsi="Times New Roman" w:cs="Times New Roman"/>
                <w:sz w:val="15"/>
                <w:szCs w:val="15"/>
              </w:rPr>
              <w:t>b</w:t>
            </w:r>
          </w:p>
        </w:tc>
        <w:tc>
          <w:tcPr>
            <w:tcW w:w="712" w:type="dxa"/>
            <w:noWrap/>
            <w:vAlign w:val="center"/>
            <w:hideMark/>
          </w:tcPr>
          <w:p w14:paraId="6075AC27" w14:textId="77777777" w:rsidR="00126D8D" w:rsidRPr="004A4899" w:rsidRDefault="00126D8D" w:rsidP="00820288">
            <w:pPr>
              <w:spacing w:line="240" w:lineRule="auto"/>
              <w:jc w:val="right"/>
              <w:rPr>
                <w:rFonts w:ascii="Times New Roman" w:hAnsi="Times New Roman" w:cs="Times New Roman"/>
                <w:sz w:val="15"/>
                <w:szCs w:val="15"/>
              </w:rPr>
            </w:pPr>
            <w:r w:rsidRPr="004A4899">
              <w:rPr>
                <w:rFonts w:ascii="Times New Roman" w:hAnsi="Times New Roman" w:cs="Times New Roman"/>
                <w:sz w:val="15"/>
                <w:szCs w:val="15"/>
              </w:rPr>
              <w:t>37.07</w:t>
            </w:r>
          </w:p>
        </w:tc>
        <w:tc>
          <w:tcPr>
            <w:tcW w:w="368" w:type="dxa"/>
            <w:noWrap/>
            <w:vAlign w:val="center"/>
            <w:hideMark/>
          </w:tcPr>
          <w:p w14:paraId="1D5A2C23" w14:textId="77777777" w:rsidR="00126D8D" w:rsidRPr="004A4899" w:rsidRDefault="00126D8D" w:rsidP="00820288">
            <w:pPr>
              <w:spacing w:line="240" w:lineRule="auto"/>
              <w:rPr>
                <w:rFonts w:ascii="Times New Roman" w:hAnsi="Times New Roman" w:cs="Times New Roman"/>
                <w:sz w:val="15"/>
                <w:szCs w:val="15"/>
              </w:rPr>
            </w:pPr>
            <w:r w:rsidRPr="004A4899">
              <w:rPr>
                <w:rFonts w:ascii="Times New Roman" w:hAnsi="Times New Roman" w:cs="Times New Roman"/>
                <w:sz w:val="15"/>
                <w:szCs w:val="15"/>
              </w:rPr>
              <w:t>a</w:t>
            </w:r>
          </w:p>
        </w:tc>
        <w:tc>
          <w:tcPr>
            <w:tcW w:w="916" w:type="dxa"/>
            <w:noWrap/>
            <w:vAlign w:val="center"/>
            <w:hideMark/>
          </w:tcPr>
          <w:p w14:paraId="275BF7A2" w14:textId="77777777" w:rsidR="00126D8D" w:rsidRPr="004A4899" w:rsidRDefault="00126D8D" w:rsidP="00820288">
            <w:pPr>
              <w:spacing w:line="240" w:lineRule="auto"/>
              <w:jc w:val="right"/>
              <w:rPr>
                <w:rFonts w:ascii="Times New Roman" w:hAnsi="Times New Roman" w:cs="Times New Roman"/>
                <w:sz w:val="15"/>
                <w:szCs w:val="15"/>
              </w:rPr>
            </w:pPr>
            <w:r w:rsidRPr="004A4899">
              <w:rPr>
                <w:rFonts w:ascii="Times New Roman" w:hAnsi="Times New Roman" w:cs="Times New Roman"/>
                <w:sz w:val="15"/>
                <w:szCs w:val="15"/>
              </w:rPr>
              <w:t>10.60</w:t>
            </w:r>
          </w:p>
        </w:tc>
        <w:tc>
          <w:tcPr>
            <w:tcW w:w="627" w:type="dxa"/>
            <w:noWrap/>
            <w:vAlign w:val="center"/>
            <w:hideMark/>
          </w:tcPr>
          <w:p w14:paraId="0E37CF2E" w14:textId="77777777" w:rsidR="00126D8D" w:rsidRPr="004A4899" w:rsidRDefault="00126D8D" w:rsidP="00820288">
            <w:pPr>
              <w:spacing w:line="240" w:lineRule="auto"/>
              <w:rPr>
                <w:rFonts w:ascii="Times New Roman" w:hAnsi="Times New Roman" w:cs="Times New Roman"/>
                <w:sz w:val="15"/>
                <w:szCs w:val="15"/>
              </w:rPr>
            </w:pPr>
            <w:r w:rsidRPr="004A4899">
              <w:rPr>
                <w:rFonts w:ascii="Times New Roman" w:hAnsi="Times New Roman" w:cs="Times New Roman"/>
                <w:sz w:val="15"/>
                <w:szCs w:val="15"/>
              </w:rPr>
              <w:t>c</w:t>
            </w:r>
          </w:p>
        </w:tc>
      </w:tr>
      <w:tr w:rsidR="00126D8D" w:rsidRPr="004A4899" w14:paraId="67ABBAD1" w14:textId="77777777" w:rsidTr="00820288">
        <w:trPr>
          <w:trHeight w:val="144"/>
        </w:trPr>
        <w:tc>
          <w:tcPr>
            <w:tcW w:w="1916" w:type="dxa"/>
            <w:noWrap/>
            <w:vAlign w:val="center"/>
            <w:hideMark/>
          </w:tcPr>
          <w:p w14:paraId="2B01A41B" w14:textId="77777777" w:rsidR="00126D8D" w:rsidRPr="004A4899" w:rsidRDefault="00126D8D" w:rsidP="00820288">
            <w:pPr>
              <w:spacing w:line="240" w:lineRule="auto"/>
              <w:rPr>
                <w:rFonts w:ascii="Times New Roman" w:hAnsi="Times New Roman" w:cs="Times New Roman"/>
                <w:sz w:val="15"/>
                <w:szCs w:val="15"/>
              </w:rPr>
            </w:pPr>
            <w:r w:rsidRPr="004A4899">
              <w:rPr>
                <w:rFonts w:ascii="Times New Roman" w:hAnsi="Times New Roman" w:cs="Times New Roman"/>
                <w:sz w:val="15"/>
                <w:szCs w:val="15"/>
              </w:rPr>
              <w:t>α-Pinene</w:t>
            </w:r>
          </w:p>
        </w:tc>
        <w:tc>
          <w:tcPr>
            <w:tcW w:w="758" w:type="dxa"/>
            <w:noWrap/>
            <w:vAlign w:val="center"/>
            <w:hideMark/>
          </w:tcPr>
          <w:p w14:paraId="79017C31" w14:textId="77777777" w:rsidR="00126D8D" w:rsidRPr="004A4899" w:rsidRDefault="00126D8D" w:rsidP="00820288">
            <w:pPr>
              <w:spacing w:line="240" w:lineRule="auto"/>
              <w:jc w:val="right"/>
              <w:rPr>
                <w:rFonts w:ascii="Times New Roman" w:hAnsi="Times New Roman" w:cs="Times New Roman"/>
                <w:sz w:val="15"/>
                <w:szCs w:val="15"/>
              </w:rPr>
            </w:pPr>
            <w:r w:rsidRPr="004A4899">
              <w:rPr>
                <w:rFonts w:ascii="Times New Roman" w:hAnsi="Times New Roman" w:cs="Times New Roman"/>
                <w:sz w:val="15"/>
                <w:szCs w:val="15"/>
              </w:rPr>
              <w:t>17.27</w:t>
            </w:r>
          </w:p>
        </w:tc>
        <w:tc>
          <w:tcPr>
            <w:tcW w:w="366" w:type="dxa"/>
            <w:noWrap/>
            <w:vAlign w:val="center"/>
            <w:hideMark/>
          </w:tcPr>
          <w:p w14:paraId="49066294" w14:textId="77777777" w:rsidR="00126D8D" w:rsidRPr="004A4899" w:rsidRDefault="00126D8D" w:rsidP="00820288">
            <w:pPr>
              <w:spacing w:line="240" w:lineRule="auto"/>
              <w:rPr>
                <w:rFonts w:ascii="Times New Roman" w:hAnsi="Times New Roman" w:cs="Times New Roman"/>
                <w:sz w:val="15"/>
                <w:szCs w:val="15"/>
              </w:rPr>
            </w:pPr>
            <w:r w:rsidRPr="004A4899">
              <w:rPr>
                <w:rFonts w:ascii="Times New Roman" w:hAnsi="Times New Roman" w:cs="Times New Roman"/>
                <w:sz w:val="15"/>
                <w:szCs w:val="15"/>
              </w:rPr>
              <w:t>c</w:t>
            </w:r>
          </w:p>
        </w:tc>
        <w:tc>
          <w:tcPr>
            <w:tcW w:w="712" w:type="dxa"/>
            <w:noWrap/>
            <w:vAlign w:val="center"/>
            <w:hideMark/>
          </w:tcPr>
          <w:p w14:paraId="1500AE7F" w14:textId="77777777" w:rsidR="00126D8D" w:rsidRPr="004A4899" w:rsidRDefault="00126D8D" w:rsidP="00820288">
            <w:pPr>
              <w:spacing w:line="240" w:lineRule="auto"/>
              <w:jc w:val="right"/>
              <w:rPr>
                <w:rFonts w:ascii="Times New Roman" w:hAnsi="Times New Roman" w:cs="Times New Roman"/>
                <w:sz w:val="15"/>
                <w:szCs w:val="15"/>
              </w:rPr>
            </w:pPr>
            <w:r w:rsidRPr="004A4899">
              <w:rPr>
                <w:rFonts w:ascii="Times New Roman" w:hAnsi="Times New Roman" w:cs="Times New Roman"/>
                <w:sz w:val="15"/>
                <w:szCs w:val="15"/>
              </w:rPr>
              <w:t>22.81</w:t>
            </w:r>
          </w:p>
        </w:tc>
        <w:tc>
          <w:tcPr>
            <w:tcW w:w="368" w:type="dxa"/>
            <w:noWrap/>
            <w:vAlign w:val="center"/>
            <w:hideMark/>
          </w:tcPr>
          <w:p w14:paraId="5632F2BC" w14:textId="77777777" w:rsidR="00126D8D" w:rsidRPr="004A4899" w:rsidRDefault="00126D8D" w:rsidP="00820288">
            <w:pPr>
              <w:spacing w:line="240" w:lineRule="auto"/>
              <w:rPr>
                <w:rFonts w:ascii="Times New Roman" w:hAnsi="Times New Roman" w:cs="Times New Roman"/>
                <w:sz w:val="15"/>
                <w:szCs w:val="15"/>
              </w:rPr>
            </w:pPr>
            <w:r w:rsidRPr="004A4899">
              <w:rPr>
                <w:rFonts w:ascii="Times New Roman" w:hAnsi="Times New Roman" w:cs="Times New Roman"/>
                <w:sz w:val="15"/>
                <w:szCs w:val="15"/>
              </w:rPr>
              <w:t>b</w:t>
            </w:r>
          </w:p>
        </w:tc>
        <w:tc>
          <w:tcPr>
            <w:tcW w:w="712" w:type="dxa"/>
            <w:noWrap/>
            <w:vAlign w:val="center"/>
            <w:hideMark/>
          </w:tcPr>
          <w:p w14:paraId="7B9703C4" w14:textId="77777777" w:rsidR="00126D8D" w:rsidRPr="004A4899" w:rsidRDefault="00126D8D" w:rsidP="00820288">
            <w:pPr>
              <w:spacing w:line="240" w:lineRule="auto"/>
              <w:jc w:val="right"/>
              <w:rPr>
                <w:rFonts w:ascii="Times New Roman" w:hAnsi="Times New Roman" w:cs="Times New Roman"/>
                <w:sz w:val="15"/>
                <w:szCs w:val="15"/>
              </w:rPr>
            </w:pPr>
            <w:r w:rsidRPr="004A4899">
              <w:rPr>
                <w:rFonts w:ascii="Times New Roman" w:hAnsi="Times New Roman" w:cs="Times New Roman"/>
                <w:sz w:val="15"/>
                <w:szCs w:val="15"/>
              </w:rPr>
              <w:t>25.94</w:t>
            </w:r>
          </w:p>
        </w:tc>
        <w:tc>
          <w:tcPr>
            <w:tcW w:w="368" w:type="dxa"/>
            <w:noWrap/>
            <w:vAlign w:val="center"/>
            <w:hideMark/>
          </w:tcPr>
          <w:p w14:paraId="6B785E80" w14:textId="77777777" w:rsidR="00126D8D" w:rsidRPr="004A4899" w:rsidRDefault="00126D8D" w:rsidP="00820288">
            <w:pPr>
              <w:spacing w:line="240" w:lineRule="auto"/>
              <w:rPr>
                <w:rFonts w:ascii="Times New Roman" w:hAnsi="Times New Roman" w:cs="Times New Roman"/>
                <w:sz w:val="15"/>
                <w:szCs w:val="15"/>
              </w:rPr>
            </w:pPr>
            <w:r w:rsidRPr="004A4899">
              <w:rPr>
                <w:rFonts w:ascii="Times New Roman" w:hAnsi="Times New Roman" w:cs="Times New Roman"/>
                <w:sz w:val="15"/>
                <w:szCs w:val="15"/>
              </w:rPr>
              <w:t>b</w:t>
            </w:r>
          </w:p>
        </w:tc>
        <w:tc>
          <w:tcPr>
            <w:tcW w:w="916" w:type="dxa"/>
            <w:noWrap/>
            <w:vAlign w:val="center"/>
            <w:hideMark/>
          </w:tcPr>
          <w:p w14:paraId="03CE4EB6" w14:textId="77777777" w:rsidR="00126D8D" w:rsidRPr="004A4899" w:rsidRDefault="00126D8D" w:rsidP="00820288">
            <w:pPr>
              <w:spacing w:line="240" w:lineRule="auto"/>
              <w:jc w:val="right"/>
              <w:rPr>
                <w:rFonts w:ascii="Times New Roman" w:hAnsi="Times New Roman" w:cs="Times New Roman"/>
                <w:sz w:val="15"/>
                <w:szCs w:val="15"/>
              </w:rPr>
            </w:pPr>
            <w:r w:rsidRPr="004A4899">
              <w:rPr>
                <w:rFonts w:ascii="Times New Roman" w:hAnsi="Times New Roman" w:cs="Times New Roman"/>
                <w:sz w:val="15"/>
                <w:szCs w:val="15"/>
              </w:rPr>
              <w:t>46.27</w:t>
            </w:r>
          </w:p>
        </w:tc>
        <w:tc>
          <w:tcPr>
            <w:tcW w:w="627" w:type="dxa"/>
            <w:noWrap/>
            <w:vAlign w:val="center"/>
            <w:hideMark/>
          </w:tcPr>
          <w:p w14:paraId="1CAE597C" w14:textId="77777777" w:rsidR="00126D8D" w:rsidRPr="004A4899" w:rsidRDefault="00126D8D" w:rsidP="00820288">
            <w:pPr>
              <w:spacing w:line="240" w:lineRule="auto"/>
              <w:rPr>
                <w:rFonts w:ascii="Times New Roman" w:hAnsi="Times New Roman" w:cs="Times New Roman"/>
                <w:sz w:val="15"/>
                <w:szCs w:val="15"/>
              </w:rPr>
            </w:pPr>
            <w:r w:rsidRPr="004A4899">
              <w:rPr>
                <w:rFonts w:ascii="Times New Roman" w:hAnsi="Times New Roman" w:cs="Times New Roman"/>
                <w:sz w:val="15"/>
                <w:szCs w:val="15"/>
              </w:rPr>
              <w:t>a</w:t>
            </w:r>
          </w:p>
        </w:tc>
      </w:tr>
      <w:tr w:rsidR="00126D8D" w:rsidRPr="004A4899" w14:paraId="6CCC6B64" w14:textId="77777777" w:rsidTr="00820288">
        <w:trPr>
          <w:trHeight w:val="144"/>
        </w:trPr>
        <w:tc>
          <w:tcPr>
            <w:tcW w:w="1916" w:type="dxa"/>
            <w:noWrap/>
            <w:vAlign w:val="center"/>
            <w:hideMark/>
          </w:tcPr>
          <w:p w14:paraId="422ADCC9" w14:textId="77777777" w:rsidR="00126D8D" w:rsidRPr="004A4899" w:rsidRDefault="00126D8D" w:rsidP="00820288">
            <w:pPr>
              <w:spacing w:line="240" w:lineRule="auto"/>
              <w:rPr>
                <w:rFonts w:ascii="Times New Roman" w:hAnsi="Times New Roman" w:cs="Times New Roman"/>
                <w:sz w:val="15"/>
                <w:szCs w:val="15"/>
              </w:rPr>
            </w:pPr>
            <w:r w:rsidRPr="004A4899">
              <w:rPr>
                <w:rFonts w:ascii="Times New Roman" w:hAnsi="Times New Roman" w:cs="Times New Roman"/>
                <w:sz w:val="15"/>
                <w:szCs w:val="15"/>
              </w:rPr>
              <w:t>β-Pinene</w:t>
            </w:r>
          </w:p>
        </w:tc>
        <w:tc>
          <w:tcPr>
            <w:tcW w:w="758" w:type="dxa"/>
            <w:noWrap/>
            <w:vAlign w:val="center"/>
            <w:hideMark/>
          </w:tcPr>
          <w:p w14:paraId="0164E457" w14:textId="77777777" w:rsidR="00126D8D" w:rsidRPr="004A4899" w:rsidRDefault="00126D8D" w:rsidP="00820288">
            <w:pPr>
              <w:spacing w:line="240" w:lineRule="auto"/>
              <w:jc w:val="right"/>
              <w:rPr>
                <w:rFonts w:ascii="Times New Roman" w:hAnsi="Times New Roman" w:cs="Times New Roman"/>
                <w:sz w:val="15"/>
                <w:szCs w:val="15"/>
              </w:rPr>
            </w:pPr>
            <w:r w:rsidRPr="004A4899">
              <w:rPr>
                <w:rFonts w:ascii="Times New Roman" w:hAnsi="Times New Roman" w:cs="Times New Roman"/>
                <w:sz w:val="15"/>
                <w:szCs w:val="15"/>
              </w:rPr>
              <w:t>99.30</w:t>
            </w:r>
          </w:p>
        </w:tc>
        <w:tc>
          <w:tcPr>
            <w:tcW w:w="366" w:type="dxa"/>
            <w:noWrap/>
            <w:vAlign w:val="center"/>
            <w:hideMark/>
          </w:tcPr>
          <w:p w14:paraId="16987E80" w14:textId="77777777" w:rsidR="00126D8D" w:rsidRPr="004A4899" w:rsidRDefault="00126D8D" w:rsidP="00820288">
            <w:pPr>
              <w:spacing w:line="240" w:lineRule="auto"/>
              <w:rPr>
                <w:rFonts w:ascii="Times New Roman" w:hAnsi="Times New Roman" w:cs="Times New Roman"/>
                <w:sz w:val="15"/>
                <w:szCs w:val="15"/>
              </w:rPr>
            </w:pPr>
            <w:r w:rsidRPr="004A4899">
              <w:rPr>
                <w:rFonts w:ascii="Times New Roman" w:hAnsi="Times New Roman" w:cs="Times New Roman"/>
                <w:sz w:val="15"/>
                <w:szCs w:val="15"/>
              </w:rPr>
              <w:t>c</w:t>
            </w:r>
          </w:p>
        </w:tc>
        <w:tc>
          <w:tcPr>
            <w:tcW w:w="712" w:type="dxa"/>
            <w:noWrap/>
            <w:vAlign w:val="center"/>
            <w:hideMark/>
          </w:tcPr>
          <w:p w14:paraId="7339C45F" w14:textId="77777777" w:rsidR="00126D8D" w:rsidRPr="004A4899" w:rsidRDefault="00126D8D" w:rsidP="00820288">
            <w:pPr>
              <w:spacing w:line="240" w:lineRule="auto"/>
              <w:jc w:val="right"/>
              <w:rPr>
                <w:rFonts w:ascii="Times New Roman" w:hAnsi="Times New Roman" w:cs="Times New Roman"/>
                <w:sz w:val="15"/>
                <w:szCs w:val="15"/>
              </w:rPr>
            </w:pPr>
            <w:r w:rsidRPr="004A4899">
              <w:rPr>
                <w:rFonts w:ascii="Times New Roman" w:hAnsi="Times New Roman" w:cs="Times New Roman"/>
                <w:sz w:val="15"/>
                <w:szCs w:val="15"/>
              </w:rPr>
              <w:t>137.69</w:t>
            </w:r>
          </w:p>
        </w:tc>
        <w:tc>
          <w:tcPr>
            <w:tcW w:w="368" w:type="dxa"/>
            <w:noWrap/>
            <w:vAlign w:val="center"/>
            <w:hideMark/>
          </w:tcPr>
          <w:p w14:paraId="0A2F6DFC" w14:textId="77777777" w:rsidR="00126D8D" w:rsidRPr="004A4899" w:rsidRDefault="00126D8D" w:rsidP="00820288">
            <w:pPr>
              <w:spacing w:line="240" w:lineRule="auto"/>
              <w:rPr>
                <w:rFonts w:ascii="Times New Roman" w:hAnsi="Times New Roman" w:cs="Times New Roman"/>
                <w:sz w:val="15"/>
                <w:szCs w:val="15"/>
              </w:rPr>
            </w:pPr>
            <w:r w:rsidRPr="004A4899">
              <w:rPr>
                <w:rFonts w:ascii="Times New Roman" w:hAnsi="Times New Roman" w:cs="Times New Roman"/>
                <w:sz w:val="15"/>
                <w:szCs w:val="15"/>
              </w:rPr>
              <w:t>b</w:t>
            </w:r>
          </w:p>
        </w:tc>
        <w:tc>
          <w:tcPr>
            <w:tcW w:w="712" w:type="dxa"/>
            <w:noWrap/>
            <w:vAlign w:val="center"/>
            <w:hideMark/>
          </w:tcPr>
          <w:p w14:paraId="589B02FC" w14:textId="77777777" w:rsidR="00126D8D" w:rsidRPr="004A4899" w:rsidRDefault="00126D8D" w:rsidP="00820288">
            <w:pPr>
              <w:spacing w:line="240" w:lineRule="auto"/>
              <w:jc w:val="right"/>
              <w:rPr>
                <w:rFonts w:ascii="Times New Roman" w:hAnsi="Times New Roman" w:cs="Times New Roman"/>
                <w:sz w:val="15"/>
                <w:szCs w:val="15"/>
              </w:rPr>
            </w:pPr>
            <w:r w:rsidRPr="004A4899">
              <w:rPr>
                <w:rFonts w:ascii="Times New Roman" w:hAnsi="Times New Roman" w:cs="Times New Roman"/>
                <w:sz w:val="15"/>
                <w:szCs w:val="15"/>
              </w:rPr>
              <w:t>152.76</w:t>
            </w:r>
          </w:p>
        </w:tc>
        <w:tc>
          <w:tcPr>
            <w:tcW w:w="368" w:type="dxa"/>
            <w:noWrap/>
            <w:vAlign w:val="center"/>
            <w:hideMark/>
          </w:tcPr>
          <w:p w14:paraId="4DCE5E5B" w14:textId="77777777" w:rsidR="00126D8D" w:rsidRPr="004A4899" w:rsidRDefault="00126D8D" w:rsidP="00820288">
            <w:pPr>
              <w:spacing w:line="240" w:lineRule="auto"/>
              <w:rPr>
                <w:rFonts w:ascii="Times New Roman" w:hAnsi="Times New Roman" w:cs="Times New Roman"/>
                <w:sz w:val="15"/>
                <w:szCs w:val="15"/>
              </w:rPr>
            </w:pPr>
            <w:r w:rsidRPr="004A4899">
              <w:rPr>
                <w:rFonts w:ascii="Times New Roman" w:hAnsi="Times New Roman" w:cs="Times New Roman"/>
                <w:sz w:val="15"/>
                <w:szCs w:val="15"/>
              </w:rPr>
              <w:t>b</w:t>
            </w:r>
          </w:p>
        </w:tc>
        <w:tc>
          <w:tcPr>
            <w:tcW w:w="916" w:type="dxa"/>
            <w:noWrap/>
            <w:vAlign w:val="center"/>
            <w:hideMark/>
          </w:tcPr>
          <w:p w14:paraId="0106969D" w14:textId="77777777" w:rsidR="00126D8D" w:rsidRPr="004A4899" w:rsidRDefault="00126D8D" w:rsidP="00820288">
            <w:pPr>
              <w:spacing w:line="240" w:lineRule="auto"/>
              <w:jc w:val="right"/>
              <w:rPr>
                <w:rFonts w:ascii="Times New Roman" w:hAnsi="Times New Roman" w:cs="Times New Roman"/>
                <w:sz w:val="15"/>
                <w:szCs w:val="15"/>
              </w:rPr>
            </w:pPr>
            <w:r w:rsidRPr="004A4899">
              <w:rPr>
                <w:rFonts w:ascii="Times New Roman" w:hAnsi="Times New Roman" w:cs="Times New Roman"/>
                <w:sz w:val="15"/>
                <w:szCs w:val="15"/>
              </w:rPr>
              <w:t>208.12</w:t>
            </w:r>
          </w:p>
        </w:tc>
        <w:tc>
          <w:tcPr>
            <w:tcW w:w="627" w:type="dxa"/>
            <w:noWrap/>
            <w:vAlign w:val="center"/>
            <w:hideMark/>
          </w:tcPr>
          <w:p w14:paraId="74CCB86F" w14:textId="77777777" w:rsidR="00126D8D" w:rsidRPr="004A4899" w:rsidRDefault="00126D8D" w:rsidP="00820288">
            <w:pPr>
              <w:spacing w:line="240" w:lineRule="auto"/>
              <w:rPr>
                <w:rFonts w:ascii="Times New Roman" w:hAnsi="Times New Roman" w:cs="Times New Roman"/>
                <w:sz w:val="15"/>
                <w:szCs w:val="15"/>
              </w:rPr>
            </w:pPr>
            <w:r w:rsidRPr="004A4899">
              <w:rPr>
                <w:rFonts w:ascii="Times New Roman" w:hAnsi="Times New Roman" w:cs="Times New Roman"/>
                <w:sz w:val="15"/>
                <w:szCs w:val="15"/>
              </w:rPr>
              <w:t>a</w:t>
            </w:r>
          </w:p>
        </w:tc>
      </w:tr>
      <w:tr w:rsidR="00126D8D" w:rsidRPr="004A4899" w14:paraId="6F3B4044" w14:textId="77777777" w:rsidTr="00820288">
        <w:trPr>
          <w:trHeight w:val="144"/>
        </w:trPr>
        <w:tc>
          <w:tcPr>
            <w:tcW w:w="1916" w:type="dxa"/>
            <w:noWrap/>
            <w:vAlign w:val="center"/>
          </w:tcPr>
          <w:p w14:paraId="7940C473" w14:textId="77777777" w:rsidR="00126D8D" w:rsidRPr="004A4899" w:rsidRDefault="00126D8D" w:rsidP="00820288">
            <w:pPr>
              <w:spacing w:line="240" w:lineRule="auto"/>
              <w:rPr>
                <w:rFonts w:ascii="Times New Roman" w:hAnsi="Times New Roman" w:cs="Times New Roman"/>
                <w:b/>
                <w:bCs/>
                <w:sz w:val="15"/>
                <w:szCs w:val="15"/>
              </w:rPr>
            </w:pPr>
            <w:r w:rsidRPr="004A4899">
              <w:rPr>
                <w:rFonts w:ascii="Times New Roman" w:hAnsi="Times New Roman" w:cs="Times New Roman"/>
                <w:b/>
                <w:bCs/>
                <w:sz w:val="15"/>
                <w:szCs w:val="15"/>
              </w:rPr>
              <w:t>Cyclic monoterpenes</w:t>
            </w:r>
          </w:p>
        </w:tc>
        <w:tc>
          <w:tcPr>
            <w:tcW w:w="758" w:type="dxa"/>
            <w:noWrap/>
            <w:vAlign w:val="center"/>
          </w:tcPr>
          <w:p w14:paraId="44BD69FC" w14:textId="77777777" w:rsidR="00126D8D" w:rsidRPr="004A4899" w:rsidRDefault="00126D8D" w:rsidP="00820288">
            <w:pPr>
              <w:spacing w:line="240" w:lineRule="auto"/>
              <w:jc w:val="right"/>
              <w:rPr>
                <w:rFonts w:ascii="Times New Roman" w:hAnsi="Times New Roman" w:cs="Times New Roman"/>
                <w:sz w:val="15"/>
                <w:szCs w:val="15"/>
              </w:rPr>
            </w:pPr>
          </w:p>
        </w:tc>
        <w:tc>
          <w:tcPr>
            <w:tcW w:w="366" w:type="dxa"/>
            <w:noWrap/>
            <w:vAlign w:val="center"/>
          </w:tcPr>
          <w:p w14:paraId="3197CC47" w14:textId="77777777" w:rsidR="00126D8D" w:rsidRPr="004A4899" w:rsidRDefault="00126D8D" w:rsidP="00820288">
            <w:pPr>
              <w:spacing w:line="240" w:lineRule="auto"/>
              <w:rPr>
                <w:rFonts w:ascii="Times New Roman" w:hAnsi="Times New Roman" w:cs="Times New Roman"/>
                <w:sz w:val="15"/>
                <w:szCs w:val="15"/>
              </w:rPr>
            </w:pPr>
          </w:p>
        </w:tc>
        <w:tc>
          <w:tcPr>
            <w:tcW w:w="712" w:type="dxa"/>
            <w:noWrap/>
            <w:vAlign w:val="center"/>
          </w:tcPr>
          <w:p w14:paraId="27849091" w14:textId="77777777" w:rsidR="00126D8D" w:rsidRPr="004A4899" w:rsidRDefault="00126D8D" w:rsidP="00820288">
            <w:pPr>
              <w:spacing w:line="240" w:lineRule="auto"/>
              <w:jc w:val="right"/>
              <w:rPr>
                <w:rFonts w:ascii="Times New Roman" w:hAnsi="Times New Roman" w:cs="Times New Roman"/>
                <w:sz w:val="15"/>
                <w:szCs w:val="15"/>
              </w:rPr>
            </w:pPr>
          </w:p>
        </w:tc>
        <w:tc>
          <w:tcPr>
            <w:tcW w:w="368" w:type="dxa"/>
            <w:noWrap/>
            <w:vAlign w:val="center"/>
          </w:tcPr>
          <w:p w14:paraId="23AADD2D" w14:textId="77777777" w:rsidR="00126D8D" w:rsidRPr="004A4899" w:rsidRDefault="00126D8D" w:rsidP="00820288">
            <w:pPr>
              <w:spacing w:line="240" w:lineRule="auto"/>
              <w:rPr>
                <w:rFonts w:ascii="Times New Roman" w:hAnsi="Times New Roman" w:cs="Times New Roman"/>
                <w:sz w:val="15"/>
                <w:szCs w:val="15"/>
              </w:rPr>
            </w:pPr>
          </w:p>
        </w:tc>
        <w:tc>
          <w:tcPr>
            <w:tcW w:w="712" w:type="dxa"/>
            <w:noWrap/>
            <w:vAlign w:val="center"/>
          </w:tcPr>
          <w:p w14:paraId="6CF3BA4C" w14:textId="77777777" w:rsidR="00126D8D" w:rsidRPr="004A4899" w:rsidRDefault="00126D8D" w:rsidP="00820288">
            <w:pPr>
              <w:spacing w:line="240" w:lineRule="auto"/>
              <w:jc w:val="right"/>
              <w:rPr>
                <w:rFonts w:ascii="Times New Roman" w:hAnsi="Times New Roman" w:cs="Times New Roman"/>
                <w:sz w:val="15"/>
                <w:szCs w:val="15"/>
              </w:rPr>
            </w:pPr>
          </w:p>
        </w:tc>
        <w:tc>
          <w:tcPr>
            <w:tcW w:w="368" w:type="dxa"/>
            <w:noWrap/>
            <w:vAlign w:val="center"/>
          </w:tcPr>
          <w:p w14:paraId="5D3EE33A" w14:textId="77777777" w:rsidR="00126D8D" w:rsidRPr="004A4899" w:rsidRDefault="00126D8D" w:rsidP="00820288">
            <w:pPr>
              <w:spacing w:line="240" w:lineRule="auto"/>
              <w:rPr>
                <w:rFonts w:ascii="Times New Roman" w:hAnsi="Times New Roman" w:cs="Times New Roman"/>
                <w:sz w:val="15"/>
                <w:szCs w:val="15"/>
              </w:rPr>
            </w:pPr>
          </w:p>
        </w:tc>
        <w:tc>
          <w:tcPr>
            <w:tcW w:w="916" w:type="dxa"/>
            <w:noWrap/>
            <w:vAlign w:val="center"/>
          </w:tcPr>
          <w:p w14:paraId="50A01E62" w14:textId="77777777" w:rsidR="00126D8D" w:rsidRPr="004A4899" w:rsidRDefault="00126D8D" w:rsidP="00820288">
            <w:pPr>
              <w:spacing w:line="240" w:lineRule="auto"/>
              <w:jc w:val="right"/>
              <w:rPr>
                <w:rFonts w:ascii="Times New Roman" w:hAnsi="Times New Roman" w:cs="Times New Roman"/>
                <w:sz w:val="15"/>
                <w:szCs w:val="15"/>
              </w:rPr>
            </w:pPr>
          </w:p>
        </w:tc>
        <w:tc>
          <w:tcPr>
            <w:tcW w:w="627" w:type="dxa"/>
            <w:noWrap/>
            <w:vAlign w:val="center"/>
          </w:tcPr>
          <w:p w14:paraId="29BA682D" w14:textId="77777777" w:rsidR="00126D8D" w:rsidRPr="004A4899" w:rsidRDefault="00126D8D" w:rsidP="00820288">
            <w:pPr>
              <w:spacing w:line="240" w:lineRule="auto"/>
              <w:rPr>
                <w:rFonts w:ascii="Times New Roman" w:hAnsi="Times New Roman" w:cs="Times New Roman"/>
                <w:sz w:val="15"/>
                <w:szCs w:val="15"/>
              </w:rPr>
            </w:pPr>
          </w:p>
        </w:tc>
      </w:tr>
      <w:tr w:rsidR="00126D8D" w:rsidRPr="004A4899" w14:paraId="51BF74D0" w14:textId="77777777" w:rsidTr="00820288">
        <w:trPr>
          <w:trHeight w:val="144"/>
        </w:trPr>
        <w:tc>
          <w:tcPr>
            <w:tcW w:w="1916" w:type="dxa"/>
            <w:noWrap/>
            <w:vAlign w:val="center"/>
            <w:hideMark/>
          </w:tcPr>
          <w:p w14:paraId="4F1D5A34" w14:textId="77777777" w:rsidR="00126D8D" w:rsidRPr="004A4899" w:rsidRDefault="00126D8D" w:rsidP="00820288">
            <w:pPr>
              <w:spacing w:line="240" w:lineRule="auto"/>
              <w:rPr>
                <w:rFonts w:ascii="Times New Roman" w:hAnsi="Times New Roman" w:cs="Times New Roman"/>
                <w:sz w:val="15"/>
                <w:szCs w:val="15"/>
              </w:rPr>
            </w:pPr>
            <w:r w:rsidRPr="004A4899">
              <w:rPr>
                <w:rFonts w:ascii="Times New Roman" w:hAnsi="Times New Roman" w:cs="Times New Roman"/>
                <w:sz w:val="15"/>
                <w:szCs w:val="15"/>
              </w:rPr>
              <w:t>3-Menthene</w:t>
            </w:r>
          </w:p>
        </w:tc>
        <w:tc>
          <w:tcPr>
            <w:tcW w:w="758" w:type="dxa"/>
            <w:noWrap/>
            <w:vAlign w:val="center"/>
            <w:hideMark/>
          </w:tcPr>
          <w:p w14:paraId="341A4D24" w14:textId="77777777" w:rsidR="00126D8D" w:rsidRPr="004A4899" w:rsidRDefault="00126D8D" w:rsidP="00820288">
            <w:pPr>
              <w:spacing w:line="240" w:lineRule="auto"/>
              <w:jc w:val="right"/>
              <w:rPr>
                <w:rFonts w:ascii="Times New Roman" w:hAnsi="Times New Roman" w:cs="Times New Roman"/>
                <w:sz w:val="15"/>
                <w:szCs w:val="15"/>
              </w:rPr>
            </w:pPr>
            <w:r w:rsidRPr="004A4899">
              <w:rPr>
                <w:rFonts w:ascii="Times New Roman" w:hAnsi="Times New Roman" w:cs="Times New Roman"/>
                <w:sz w:val="15"/>
                <w:szCs w:val="15"/>
              </w:rPr>
              <w:t>24.22</w:t>
            </w:r>
          </w:p>
        </w:tc>
        <w:tc>
          <w:tcPr>
            <w:tcW w:w="366" w:type="dxa"/>
            <w:noWrap/>
            <w:vAlign w:val="center"/>
            <w:hideMark/>
          </w:tcPr>
          <w:p w14:paraId="700E2628" w14:textId="77777777" w:rsidR="00126D8D" w:rsidRPr="004A4899" w:rsidRDefault="00126D8D" w:rsidP="00820288">
            <w:pPr>
              <w:spacing w:line="240" w:lineRule="auto"/>
              <w:rPr>
                <w:rFonts w:ascii="Times New Roman" w:hAnsi="Times New Roman" w:cs="Times New Roman"/>
                <w:sz w:val="15"/>
                <w:szCs w:val="15"/>
              </w:rPr>
            </w:pPr>
            <w:r w:rsidRPr="004A4899">
              <w:rPr>
                <w:rFonts w:ascii="Times New Roman" w:hAnsi="Times New Roman" w:cs="Times New Roman"/>
                <w:sz w:val="15"/>
                <w:szCs w:val="15"/>
              </w:rPr>
              <w:t>b</w:t>
            </w:r>
          </w:p>
        </w:tc>
        <w:tc>
          <w:tcPr>
            <w:tcW w:w="712" w:type="dxa"/>
            <w:noWrap/>
            <w:vAlign w:val="center"/>
            <w:hideMark/>
          </w:tcPr>
          <w:p w14:paraId="69DAC2B1" w14:textId="77777777" w:rsidR="00126D8D" w:rsidRPr="004A4899" w:rsidRDefault="00126D8D" w:rsidP="00820288">
            <w:pPr>
              <w:spacing w:line="240" w:lineRule="auto"/>
              <w:jc w:val="right"/>
              <w:rPr>
                <w:rFonts w:ascii="Times New Roman" w:hAnsi="Times New Roman" w:cs="Times New Roman"/>
                <w:sz w:val="15"/>
                <w:szCs w:val="15"/>
              </w:rPr>
            </w:pPr>
            <w:r w:rsidRPr="004A4899">
              <w:rPr>
                <w:rFonts w:ascii="Times New Roman" w:hAnsi="Times New Roman" w:cs="Times New Roman"/>
                <w:sz w:val="15"/>
                <w:szCs w:val="15"/>
              </w:rPr>
              <w:t>36.08</w:t>
            </w:r>
          </w:p>
        </w:tc>
        <w:tc>
          <w:tcPr>
            <w:tcW w:w="368" w:type="dxa"/>
            <w:noWrap/>
            <w:vAlign w:val="center"/>
            <w:hideMark/>
          </w:tcPr>
          <w:p w14:paraId="086BEB61" w14:textId="77777777" w:rsidR="00126D8D" w:rsidRPr="004A4899" w:rsidRDefault="00126D8D" w:rsidP="00820288">
            <w:pPr>
              <w:spacing w:line="240" w:lineRule="auto"/>
              <w:rPr>
                <w:rFonts w:ascii="Times New Roman" w:hAnsi="Times New Roman" w:cs="Times New Roman"/>
                <w:sz w:val="15"/>
                <w:szCs w:val="15"/>
              </w:rPr>
            </w:pPr>
            <w:r w:rsidRPr="004A4899">
              <w:rPr>
                <w:rFonts w:ascii="Times New Roman" w:hAnsi="Times New Roman" w:cs="Times New Roman"/>
                <w:sz w:val="15"/>
                <w:szCs w:val="15"/>
              </w:rPr>
              <w:t>a</w:t>
            </w:r>
          </w:p>
        </w:tc>
        <w:tc>
          <w:tcPr>
            <w:tcW w:w="712" w:type="dxa"/>
            <w:noWrap/>
            <w:vAlign w:val="center"/>
            <w:hideMark/>
          </w:tcPr>
          <w:p w14:paraId="2F318B02" w14:textId="77777777" w:rsidR="00126D8D" w:rsidRPr="004A4899" w:rsidRDefault="00126D8D" w:rsidP="00820288">
            <w:pPr>
              <w:spacing w:line="240" w:lineRule="auto"/>
              <w:jc w:val="right"/>
              <w:rPr>
                <w:rFonts w:ascii="Times New Roman" w:hAnsi="Times New Roman" w:cs="Times New Roman"/>
                <w:sz w:val="15"/>
                <w:szCs w:val="15"/>
              </w:rPr>
            </w:pPr>
            <w:r w:rsidRPr="004A4899">
              <w:rPr>
                <w:rFonts w:ascii="Times New Roman" w:hAnsi="Times New Roman" w:cs="Times New Roman"/>
                <w:sz w:val="15"/>
                <w:szCs w:val="15"/>
              </w:rPr>
              <w:t>46.11</w:t>
            </w:r>
          </w:p>
        </w:tc>
        <w:tc>
          <w:tcPr>
            <w:tcW w:w="368" w:type="dxa"/>
            <w:noWrap/>
            <w:vAlign w:val="center"/>
            <w:hideMark/>
          </w:tcPr>
          <w:p w14:paraId="1AAE89FF" w14:textId="77777777" w:rsidR="00126D8D" w:rsidRPr="004A4899" w:rsidRDefault="00126D8D" w:rsidP="00820288">
            <w:pPr>
              <w:spacing w:line="240" w:lineRule="auto"/>
              <w:rPr>
                <w:rFonts w:ascii="Times New Roman" w:hAnsi="Times New Roman" w:cs="Times New Roman"/>
                <w:sz w:val="15"/>
                <w:szCs w:val="15"/>
              </w:rPr>
            </w:pPr>
            <w:r w:rsidRPr="004A4899">
              <w:rPr>
                <w:rFonts w:ascii="Times New Roman" w:hAnsi="Times New Roman" w:cs="Times New Roman"/>
                <w:sz w:val="15"/>
                <w:szCs w:val="15"/>
              </w:rPr>
              <w:t>a</w:t>
            </w:r>
          </w:p>
        </w:tc>
        <w:tc>
          <w:tcPr>
            <w:tcW w:w="916" w:type="dxa"/>
            <w:noWrap/>
            <w:vAlign w:val="center"/>
            <w:hideMark/>
          </w:tcPr>
          <w:p w14:paraId="34F0ACF1" w14:textId="77777777" w:rsidR="00126D8D" w:rsidRPr="004A4899" w:rsidRDefault="00126D8D" w:rsidP="00820288">
            <w:pPr>
              <w:spacing w:line="240" w:lineRule="auto"/>
              <w:jc w:val="right"/>
              <w:rPr>
                <w:rFonts w:ascii="Times New Roman" w:hAnsi="Times New Roman" w:cs="Times New Roman"/>
                <w:sz w:val="15"/>
                <w:szCs w:val="15"/>
              </w:rPr>
            </w:pPr>
            <w:r w:rsidRPr="004A4899">
              <w:rPr>
                <w:rFonts w:ascii="Times New Roman" w:hAnsi="Times New Roman" w:cs="Times New Roman"/>
                <w:sz w:val="15"/>
                <w:szCs w:val="15"/>
              </w:rPr>
              <w:t>39.59</w:t>
            </w:r>
          </w:p>
        </w:tc>
        <w:tc>
          <w:tcPr>
            <w:tcW w:w="627" w:type="dxa"/>
            <w:noWrap/>
            <w:vAlign w:val="center"/>
            <w:hideMark/>
          </w:tcPr>
          <w:p w14:paraId="102760F6" w14:textId="77777777" w:rsidR="00126D8D" w:rsidRPr="004A4899" w:rsidRDefault="00126D8D" w:rsidP="00820288">
            <w:pPr>
              <w:spacing w:line="240" w:lineRule="auto"/>
              <w:rPr>
                <w:rFonts w:ascii="Times New Roman" w:hAnsi="Times New Roman" w:cs="Times New Roman"/>
                <w:sz w:val="15"/>
                <w:szCs w:val="15"/>
              </w:rPr>
            </w:pPr>
            <w:r w:rsidRPr="004A4899">
              <w:rPr>
                <w:rFonts w:ascii="Times New Roman" w:hAnsi="Times New Roman" w:cs="Times New Roman"/>
                <w:sz w:val="15"/>
                <w:szCs w:val="15"/>
              </w:rPr>
              <w:t>a</w:t>
            </w:r>
          </w:p>
        </w:tc>
      </w:tr>
      <w:tr w:rsidR="00126D8D" w:rsidRPr="004A4899" w14:paraId="106D72A6" w14:textId="77777777" w:rsidTr="00820288">
        <w:trPr>
          <w:trHeight w:val="144"/>
        </w:trPr>
        <w:tc>
          <w:tcPr>
            <w:tcW w:w="1916" w:type="dxa"/>
            <w:noWrap/>
            <w:vAlign w:val="center"/>
            <w:hideMark/>
          </w:tcPr>
          <w:p w14:paraId="38F13949" w14:textId="77777777" w:rsidR="00126D8D" w:rsidRPr="004A4899" w:rsidRDefault="00126D8D" w:rsidP="00820288">
            <w:pPr>
              <w:spacing w:line="240" w:lineRule="auto"/>
              <w:rPr>
                <w:rFonts w:ascii="Times New Roman" w:hAnsi="Times New Roman" w:cs="Times New Roman"/>
                <w:sz w:val="15"/>
                <w:szCs w:val="15"/>
              </w:rPr>
            </w:pPr>
            <w:r w:rsidRPr="004A4899">
              <w:rPr>
                <w:rFonts w:ascii="Times New Roman" w:hAnsi="Times New Roman" w:cs="Times New Roman"/>
                <w:sz w:val="15"/>
                <w:szCs w:val="15"/>
              </w:rPr>
              <w:t>d-Limonene</w:t>
            </w:r>
          </w:p>
        </w:tc>
        <w:tc>
          <w:tcPr>
            <w:tcW w:w="758" w:type="dxa"/>
            <w:noWrap/>
            <w:vAlign w:val="center"/>
            <w:hideMark/>
          </w:tcPr>
          <w:p w14:paraId="192F8AAD" w14:textId="77777777" w:rsidR="00126D8D" w:rsidRPr="004A4899" w:rsidRDefault="00126D8D" w:rsidP="00820288">
            <w:pPr>
              <w:spacing w:line="240" w:lineRule="auto"/>
              <w:jc w:val="right"/>
              <w:rPr>
                <w:rFonts w:ascii="Times New Roman" w:hAnsi="Times New Roman" w:cs="Times New Roman"/>
                <w:sz w:val="15"/>
                <w:szCs w:val="15"/>
              </w:rPr>
            </w:pPr>
            <w:r w:rsidRPr="004A4899">
              <w:rPr>
                <w:rFonts w:ascii="Times New Roman" w:hAnsi="Times New Roman" w:cs="Times New Roman"/>
                <w:sz w:val="15"/>
                <w:szCs w:val="15"/>
              </w:rPr>
              <w:t>234.61</w:t>
            </w:r>
          </w:p>
        </w:tc>
        <w:tc>
          <w:tcPr>
            <w:tcW w:w="366" w:type="dxa"/>
            <w:noWrap/>
            <w:vAlign w:val="center"/>
            <w:hideMark/>
          </w:tcPr>
          <w:p w14:paraId="4FE7CA91" w14:textId="77777777" w:rsidR="00126D8D" w:rsidRPr="004A4899" w:rsidRDefault="00126D8D" w:rsidP="00820288">
            <w:pPr>
              <w:spacing w:line="240" w:lineRule="auto"/>
              <w:rPr>
                <w:rFonts w:ascii="Times New Roman" w:hAnsi="Times New Roman" w:cs="Times New Roman"/>
                <w:sz w:val="15"/>
                <w:szCs w:val="15"/>
              </w:rPr>
            </w:pPr>
            <w:r w:rsidRPr="004A4899">
              <w:rPr>
                <w:rFonts w:ascii="Times New Roman" w:hAnsi="Times New Roman" w:cs="Times New Roman"/>
                <w:sz w:val="15"/>
                <w:szCs w:val="15"/>
              </w:rPr>
              <w:t>c</w:t>
            </w:r>
          </w:p>
        </w:tc>
        <w:tc>
          <w:tcPr>
            <w:tcW w:w="712" w:type="dxa"/>
            <w:noWrap/>
            <w:vAlign w:val="center"/>
            <w:hideMark/>
          </w:tcPr>
          <w:p w14:paraId="0A52ED9A" w14:textId="77777777" w:rsidR="00126D8D" w:rsidRPr="004A4899" w:rsidRDefault="00126D8D" w:rsidP="00820288">
            <w:pPr>
              <w:spacing w:line="240" w:lineRule="auto"/>
              <w:jc w:val="right"/>
              <w:rPr>
                <w:rFonts w:ascii="Times New Roman" w:hAnsi="Times New Roman" w:cs="Times New Roman"/>
                <w:sz w:val="15"/>
                <w:szCs w:val="15"/>
              </w:rPr>
            </w:pPr>
            <w:r w:rsidRPr="004A4899">
              <w:rPr>
                <w:rFonts w:ascii="Times New Roman" w:hAnsi="Times New Roman" w:cs="Times New Roman"/>
                <w:sz w:val="15"/>
                <w:szCs w:val="15"/>
              </w:rPr>
              <w:t>311.32</w:t>
            </w:r>
          </w:p>
        </w:tc>
        <w:tc>
          <w:tcPr>
            <w:tcW w:w="368" w:type="dxa"/>
            <w:noWrap/>
            <w:vAlign w:val="center"/>
            <w:hideMark/>
          </w:tcPr>
          <w:p w14:paraId="2A71E704" w14:textId="77777777" w:rsidR="00126D8D" w:rsidRPr="004A4899" w:rsidRDefault="00126D8D" w:rsidP="00820288">
            <w:pPr>
              <w:spacing w:line="240" w:lineRule="auto"/>
              <w:rPr>
                <w:rFonts w:ascii="Times New Roman" w:hAnsi="Times New Roman" w:cs="Times New Roman"/>
                <w:sz w:val="15"/>
                <w:szCs w:val="15"/>
              </w:rPr>
            </w:pPr>
            <w:r w:rsidRPr="004A4899">
              <w:rPr>
                <w:rFonts w:ascii="Times New Roman" w:hAnsi="Times New Roman" w:cs="Times New Roman"/>
                <w:sz w:val="15"/>
                <w:szCs w:val="15"/>
              </w:rPr>
              <w:t>b</w:t>
            </w:r>
          </w:p>
        </w:tc>
        <w:tc>
          <w:tcPr>
            <w:tcW w:w="712" w:type="dxa"/>
            <w:noWrap/>
            <w:vAlign w:val="center"/>
            <w:hideMark/>
          </w:tcPr>
          <w:p w14:paraId="6EB85586" w14:textId="77777777" w:rsidR="00126D8D" w:rsidRPr="004A4899" w:rsidRDefault="00126D8D" w:rsidP="00820288">
            <w:pPr>
              <w:spacing w:line="240" w:lineRule="auto"/>
              <w:jc w:val="right"/>
              <w:rPr>
                <w:rFonts w:ascii="Times New Roman" w:hAnsi="Times New Roman" w:cs="Times New Roman"/>
                <w:sz w:val="15"/>
                <w:szCs w:val="15"/>
              </w:rPr>
            </w:pPr>
            <w:r w:rsidRPr="004A4899">
              <w:rPr>
                <w:rFonts w:ascii="Times New Roman" w:hAnsi="Times New Roman" w:cs="Times New Roman"/>
                <w:sz w:val="15"/>
                <w:szCs w:val="15"/>
              </w:rPr>
              <w:t>378.51</w:t>
            </w:r>
          </w:p>
        </w:tc>
        <w:tc>
          <w:tcPr>
            <w:tcW w:w="368" w:type="dxa"/>
            <w:noWrap/>
            <w:vAlign w:val="center"/>
            <w:hideMark/>
          </w:tcPr>
          <w:p w14:paraId="30B5E40D" w14:textId="77777777" w:rsidR="00126D8D" w:rsidRPr="004A4899" w:rsidRDefault="00126D8D" w:rsidP="00820288">
            <w:pPr>
              <w:spacing w:line="240" w:lineRule="auto"/>
              <w:rPr>
                <w:rFonts w:ascii="Times New Roman" w:hAnsi="Times New Roman" w:cs="Times New Roman"/>
                <w:sz w:val="15"/>
                <w:szCs w:val="15"/>
              </w:rPr>
            </w:pPr>
            <w:r w:rsidRPr="004A4899">
              <w:rPr>
                <w:rFonts w:ascii="Times New Roman" w:hAnsi="Times New Roman" w:cs="Times New Roman"/>
                <w:sz w:val="15"/>
                <w:szCs w:val="15"/>
              </w:rPr>
              <w:t>a</w:t>
            </w:r>
          </w:p>
        </w:tc>
        <w:tc>
          <w:tcPr>
            <w:tcW w:w="916" w:type="dxa"/>
            <w:noWrap/>
            <w:vAlign w:val="center"/>
            <w:hideMark/>
          </w:tcPr>
          <w:p w14:paraId="4CFA8FA1" w14:textId="77777777" w:rsidR="00126D8D" w:rsidRPr="004A4899" w:rsidRDefault="00126D8D" w:rsidP="00820288">
            <w:pPr>
              <w:spacing w:line="240" w:lineRule="auto"/>
              <w:jc w:val="right"/>
              <w:rPr>
                <w:rFonts w:ascii="Times New Roman" w:hAnsi="Times New Roman" w:cs="Times New Roman"/>
                <w:sz w:val="15"/>
                <w:szCs w:val="15"/>
              </w:rPr>
            </w:pPr>
            <w:r w:rsidRPr="004A4899">
              <w:rPr>
                <w:rFonts w:ascii="Times New Roman" w:hAnsi="Times New Roman" w:cs="Times New Roman"/>
                <w:sz w:val="15"/>
                <w:szCs w:val="15"/>
              </w:rPr>
              <w:t>315.24</w:t>
            </w:r>
          </w:p>
        </w:tc>
        <w:tc>
          <w:tcPr>
            <w:tcW w:w="627" w:type="dxa"/>
            <w:noWrap/>
            <w:vAlign w:val="center"/>
            <w:hideMark/>
          </w:tcPr>
          <w:p w14:paraId="4364E336" w14:textId="77777777" w:rsidR="00126D8D" w:rsidRPr="004A4899" w:rsidRDefault="00126D8D" w:rsidP="00820288">
            <w:pPr>
              <w:spacing w:line="240" w:lineRule="auto"/>
              <w:rPr>
                <w:rFonts w:ascii="Times New Roman" w:hAnsi="Times New Roman" w:cs="Times New Roman"/>
                <w:sz w:val="15"/>
                <w:szCs w:val="15"/>
              </w:rPr>
            </w:pPr>
            <w:r w:rsidRPr="004A4899">
              <w:rPr>
                <w:rFonts w:ascii="Times New Roman" w:hAnsi="Times New Roman" w:cs="Times New Roman"/>
                <w:sz w:val="15"/>
                <w:szCs w:val="15"/>
              </w:rPr>
              <w:t>b</w:t>
            </w:r>
          </w:p>
        </w:tc>
      </w:tr>
      <w:tr w:rsidR="00126D8D" w:rsidRPr="004A4899" w14:paraId="37CFBD92" w14:textId="77777777" w:rsidTr="00820288">
        <w:trPr>
          <w:trHeight w:val="144"/>
        </w:trPr>
        <w:tc>
          <w:tcPr>
            <w:tcW w:w="1916" w:type="dxa"/>
            <w:noWrap/>
            <w:vAlign w:val="center"/>
            <w:hideMark/>
          </w:tcPr>
          <w:p w14:paraId="51D41096" w14:textId="77777777" w:rsidR="00126D8D" w:rsidRPr="004A4899" w:rsidRDefault="00126D8D" w:rsidP="00820288">
            <w:pPr>
              <w:spacing w:line="240" w:lineRule="auto"/>
              <w:rPr>
                <w:rFonts w:ascii="Times New Roman" w:hAnsi="Times New Roman" w:cs="Times New Roman"/>
                <w:sz w:val="15"/>
                <w:szCs w:val="15"/>
              </w:rPr>
            </w:pPr>
            <w:r w:rsidRPr="004A4899">
              <w:rPr>
                <w:rFonts w:ascii="Times New Roman" w:hAnsi="Times New Roman" w:cs="Times New Roman"/>
                <w:sz w:val="15"/>
                <w:szCs w:val="15"/>
              </w:rPr>
              <w:t>Fenchyl acetate</w:t>
            </w:r>
          </w:p>
        </w:tc>
        <w:tc>
          <w:tcPr>
            <w:tcW w:w="758" w:type="dxa"/>
            <w:noWrap/>
            <w:vAlign w:val="center"/>
            <w:hideMark/>
          </w:tcPr>
          <w:p w14:paraId="4F8D32DE" w14:textId="77777777" w:rsidR="00126D8D" w:rsidRPr="004A4899" w:rsidRDefault="00126D8D" w:rsidP="00820288">
            <w:pPr>
              <w:spacing w:line="240" w:lineRule="auto"/>
              <w:jc w:val="right"/>
              <w:rPr>
                <w:rFonts w:ascii="Times New Roman" w:hAnsi="Times New Roman" w:cs="Times New Roman"/>
                <w:sz w:val="15"/>
                <w:szCs w:val="15"/>
              </w:rPr>
            </w:pPr>
            <w:r w:rsidRPr="004A4899">
              <w:rPr>
                <w:rFonts w:ascii="Times New Roman" w:hAnsi="Times New Roman" w:cs="Times New Roman"/>
                <w:sz w:val="15"/>
                <w:szCs w:val="15"/>
              </w:rPr>
              <w:t>132.80</w:t>
            </w:r>
          </w:p>
        </w:tc>
        <w:tc>
          <w:tcPr>
            <w:tcW w:w="366" w:type="dxa"/>
            <w:noWrap/>
            <w:vAlign w:val="center"/>
            <w:hideMark/>
          </w:tcPr>
          <w:p w14:paraId="76E54975" w14:textId="77777777" w:rsidR="00126D8D" w:rsidRPr="004A4899" w:rsidRDefault="00126D8D" w:rsidP="00820288">
            <w:pPr>
              <w:spacing w:line="240" w:lineRule="auto"/>
              <w:rPr>
                <w:rFonts w:ascii="Times New Roman" w:hAnsi="Times New Roman" w:cs="Times New Roman"/>
                <w:sz w:val="15"/>
                <w:szCs w:val="15"/>
              </w:rPr>
            </w:pPr>
            <w:r w:rsidRPr="004A4899">
              <w:rPr>
                <w:rFonts w:ascii="Times New Roman" w:hAnsi="Times New Roman" w:cs="Times New Roman"/>
                <w:sz w:val="15"/>
                <w:szCs w:val="15"/>
              </w:rPr>
              <w:t>a</w:t>
            </w:r>
          </w:p>
        </w:tc>
        <w:tc>
          <w:tcPr>
            <w:tcW w:w="712" w:type="dxa"/>
            <w:noWrap/>
            <w:vAlign w:val="center"/>
            <w:hideMark/>
          </w:tcPr>
          <w:p w14:paraId="55401366" w14:textId="77777777" w:rsidR="00126D8D" w:rsidRPr="004A4899" w:rsidRDefault="00126D8D" w:rsidP="00820288">
            <w:pPr>
              <w:spacing w:line="240" w:lineRule="auto"/>
              <w:jc w:val="right"/>
              <w:rPr>
                <w:rFonts w:ascii="Times New Roman" w:hAnsi="Times New Roman" w:cs="Times New Roman"/>
                <w:sz w:val="15"/>
                <w:szCs w:val="15"/>
              </w:rPr>
            </w:pPr>
            <w:r w:rsidRPr="004A4899">
              <w:rPr>
                <w:rFonts w:ascii="Times New Roman" w:hAnsi="Times New Roman" w:cs="Times New Roman"/>
                <w:sz w:val="15"/>
                <w:szCs w:val="15"/>
              </w:rPr>
              <w:t>149.80</w:t>
            </w:r>
          </w:p>
        </w:tc>
        <w:tc>
          <w:tcPr>
            <w:tcW w:w="368" w:type="dxa"/>
            <w:noWrap/>
            <w:vAlign w:val="center"/>
            <w:hideMark/>
          </w:tcPr>
          <w:p w14:paraId="163520AD" w14:textId="77777777" w:rsidR="00126D8D" w:rsidRPr="004A4899" w:rsidRDefault="00126D8D" w:rsidP="00820288">
            <w:pPr>
              <w:spacing w:line="240" w:lineRule="auto"/>
              <w:rPr>
                <w:rFonts w:ascii="Times New Roman" w:hAnsi="Times New Roman" w:cs="Times New Roman"/>
                <w:sz w:val="15"/>
                <w:szCs w:val="15"/>
              </w:rPr>
            </w:pPr>
            <w:r w:rsidRPr="004A4899">
              <w:rPr>
                <w:rFonts w:ascii="Times New Roman" w:hAnsi="Times New Roman" w:cs="Times New Roman"/>
                <w:sz w:val="15"/>
                <w:szCs w:val="15"/>
              </w:rPr>
              <w:t>a</w:t>
            </w:r>
          </w:p>
        </w:tc>
        <w:tc>
          <w:tcPr>
            <w:tcW w:w="712" w:type="dxa"/>
            <w:noWrap/>
            <w:vAlign w:val="center"/>
            <w:hideMark/>
          </w:tcPr>
          <w:p w14:paraId="0F33408D" w14:textId="77777777" w:rsidR="00126D8D" w:rsidRPr="004A4899" w:rsidRDefault="00126D8D" w:rsidP="00820288">
            <w:pPr>
              <w:spacing w:line="240" w:lineRule="auto"/>
              <w:jc w:val="right"/>
              <w:rPr>
                <w:rFonts w:ascii="Times New Roman" w:hAnsi="Times New Roman" w:cs="Times New Roman"/>
                <w:sz w:val="15"/>
                <w:szCs w:val="15"/>
              </w:rPr>
            </w:pPr>
            <w:r w:rsidRPr="004A4899">
              <w:rPr>
                <w:rFonts w:ascii="Times New Roman" w:hAnsi="Times New Roman" w:cs="Times New Roman"/>
                <w:sz w:val="15"/>
                <w:szCs w:val="15"/>
              </w:rPr>
              <w:t>127.37</w:t>
            </w:r>
          </w:p>
        </w:tc>
        <w:tc>
          <w:tcPr>
            <w:tcW w:w="368" w:type="dxa"/>
            <w:noWrap/>
            <w:vAlign w:val="center"/>
            <w:hideMark/>
          </w:tcPr>
          <w:p w14:paraId="3C402170" w14:textId="77777777" w:rsidR="00126D8D" w:rsidRPr="004A4899" w:rsidRDefault="00126D8D" w:rsidP="00820288">
            <w:pPr>
              <w:spacing w:line="240" w:lineRule="auto"/>
              <w:rPr>
                <w:rFonts w:ascii="Times New Roman" w:hAnsi="Times New Roman" w:cs="Times New Roman"/>
                <w:sz w:val="15"/>
                <w:szCs w:val="15"/>
              </w:rPr>
            </w:pPr>
            <w:r w:rsidRPr="004A4899">
              <w:rPr>
                <w:rFonts w:ascii="Times New Roman" w:hAnsi="Times New Roman" w:cs="Times New Roman"/>
                <w:sz w:val="15"/>
                <w:szCs w:val="15"/>
              </w:rPr>
              <w:t>a</w:t>
            </w:r>
          </w:p>
        </w:tc>
        <w:tc>
          <w:tcPr>
            <w:tcW w:w="916" w:type="dxa"/>
            <w:noWrap/>
            <w:vAlign w:val="center"/>
            <w:hideMark/>
          </w:tcPr>
          <w:p w14:paraId="034F92B8" w14:textId="77777777" w:rsidR="00126D8D" w:rsidRPr="004A4899" w:rsidRDefault="00126D8D" w:rsidP="00820288">
            <w:pPr>
              <w:spacing w:line="240" w:lineRule="auto"/>
              <w:jc w:val="right"/>
              <w:rPr>
                <w:rFonts w:ascii="Times New Roman" w:hAnsi="Times New Roman" w:cs="Times New Roman"/>
                <w:sz w:val="15"/>
                <w:szCs w:val="15"/>
              </w:rPr>
            </w:pPr>
            <w:r w:rsidRPr="004A4899">
              <w:rPr>
                <w:rFonts w:ascii="Times New Roman" w:hAnsi="Times New Roman" w:cs="Times New Roman"/>
                <w:sz w:val="15"/>
                <w:szCs w:val="15"/>
              </w:rPr>
              <w:t>81.12</w:t>
            </w:r>
          </w:p>
        </w:tc>
        <w:tc>
          <w:tcPr>
            <w:tcW w:w="627" w:type="dxa"/>
            <w:noWrap/>
            <w:vAlign w:val="center"/>
            <w:hideMark/>
          </w:tcPr>
          <w:p w14:paraId="1EBC45D5" w14:textId="77777777" w:rsidR="00126D8D" w:rsidRPr="004A4899" w:rsidRDefault="00126D8D" w:rsidP="00820288">
            <w:pPr>
              <w:spacing w:line="240" w:lineRule="auto"/>
              <w:rPr>
                <w:rFonts w:ascii="Times New Roman" w:hAnsi="Times New Roman" w:cs="Times New Roman"/>
                <w:sz w:val="15"/>
                <w:szCs w:val="15"/>
              </w:rPr>
            </w:pPr>
            <w:r w:rsidRPr="004A4899">
              <w:rPr>
                <w:rFonts w:ascii="Times New Roman" w:hAnsi="Times New Roman" w:cs="Times New Roman"/>
                <w:sz w:val="15"/>
                <w:szCs w:val="15"/>
              </w:rPr>
              <w:t>b</w:t>
            </w:r>
          </w:p>
        </w:tc>
      </w:tr>
      <w:tr w:rsidR="00126D8D" w:rsidRPr="004A4899" w14:paraId="2A7865A5" w14:textId="77777777" w:rsidTr="00820288">
        <w:trPr>
          <w:trHeight w:val="144"/>
        </w:trPr>
        <w:tc>
          <w:tcPr>
            <w:tcW w:w="1916" w:type="dxa"/>
            <w:noWrap/>
            <w:vAlign w:val="center"/>
            <w:hideMark/>
          </w:tcPr>
          <w:p w14:paraId="37A85591" w14:textId="77777777" w:rsidR="00126D8D" w:rsidRPr="004A4899" w:rsidRDefault="00126D8D" w:rsidP="00820288">
            <w:pPr>
              <w:spacing w:line="240" w:lineRule="auto"/>
              <w:rPr>
                <w:rFonts w:ascii="Times New Roman" w:hAnsi="Times New Roman" w:cs="Times New Roman"/>
                <w:sz w:val="15"/>
                <w:szCs w:val="15"/>
              </w:rPr>
            </w:pPr>
            <w:r w:rsidRPr="004A4899">
              <w:rPr>
                <w:rFonts w:ascii="Times New Roman" w:hAnsi="Times New Roman" w:cs="Times New Roman"/>
                <w:sz w:val="15"/>
                <w:szCs w:val="15"/>
              </w:rPr>
              <w:t>p-Menth-1-en-8-ol</w:t>
            </w:r>
          </w:p>
        </w:tc>
        <w:tc>
          <w:tcPr>
            <w:tcW w:w="758" w:type="dxa"/>
            <w:noWrap/>
            <w:vAlign w:val="center"/>
            <w:hideMark/>
          </w:tcPr>
          <w:p w14:paraId="4FE7791C" w14:textId="77777777" w:rsidR="00126D8D" w:rsidRPr="004A4899" w:rsidRDefault="00126D8D" w:rsidP="00820288">
            <w:pPr>
              <w:spacing w:line="240" w:lineRule="auto"/>
              <w:jc w:val="right"/>
              <w:rPr>
                <w:rFonts w:ascii="Times New Roman" w:hAnsi="Times New Roman" w:cs="Times New Roman"/>
                <w:sz w:val="15"/>
                <w:szCs w:val="15"/>
              </w:rPr>
            </w:pPr>
            <w:r w:rsidRPr="004A4899">
              <w:rPr>
                <w:rFonts w:ascii="Times New Roman" w:hAnsi="Times New Roman" w:cs="Times New Roman"/>
                <w:sz w:val="15"/>
                <w:szCs w:val="15"/>
              </w:rPr>
              <w:t>5.44</w:t>
            </w:r>
          </w:p>
        </w:tc>
        <w:tc>
          <w:tcPr>
            <w:tcW w:w="366" w:type="dxa"/>
            <w:noWrap/>
            <w:vAlign w:val="center"/>
            <w:hideMark/>
          </w:tcPr>
          <w:p w14:paraId="7E1E146A" w14:textId="77777777" w:rsidR="00126D8D" w:rsidRPr="004A4899" w:rsidRDefault="00126D8D" w:rsidP="00820288">
            <w:pPr>
              <w:spacing w:line="240" w:lineRule="auto"/>
              <w:rPr>
                <w:rFonts w:ascii="Times New Roman" w:hAnsi="Times New Roman" w:cs="Times New Roman"/>
                <w:sz w:val="15"/>
                <w:szCs w:val="15"/>
              </w:rPr>
            </w:pPr>
            <w:r w:rsidRPr="004A4899">
              <w:rPr>
                <w:rFonts w:ascii="Times New Roman" w:hAnsi="Times New Roman" w:cs="Times New Roman"/>
                <w:sz w:val="15"/>
                <w:szCs w:val="15"/>
              </w:rPr>
              <w:t>d</w:t>
            </w:r>
          </w:p>
        </w:tc>
        <w:tc>
          <w:tcPr>
            <w:tcW w:w="712" w:type="dxa"/>
            <w:noWrap/>
            <w:vAlign w:val="center"/>
            <w:hideMark/>
          </w:tcPr>
          <w:p w14:paraId="63022044" w14:textId="77777777" w:rsidR="00126D8D" w:rsidRPr="004A4899" w:rsidRDefault="00126D8D" w:rsidP="00820288">
            <w:pPr>
              <w:spacing w:line="240" w:lineRule="auto"/>
              <w:jc w:val="right"/>
              <w:rPr>
                <w:rFonts w:ascii="Times New Roman" w:hAnsi="Times New Roman" w:cs="Times New Roman"/>
                <w:sz w:val="15"/>
                <w:szCs w:val="15"/>
              </w:rPr>
            </w:pPr>
            <w:r w:rsidRPr="004A4899">
              <w:rPr>
                <w:rFonts w:ascii="Times New Roman" w:hAnsi="Times New Roman" w:cs="Times New Roman"/>
                <w:sz w:val="15"/>
                <w:szCs w:val="15"/>
              </w:rPr>
              <w:t>9.75</w:t>
            </w:r>
          </w:p>
        </w:tc>
        <w:tc>
          <w:tcPr>
            <w:tcW w:w="368" w:type="dxa"/>
            <w:noWrap/>
            <w:vAlign w:val="center"/>
            <w:hideMark/>
          </w:tcPr>
          <w:p w14:paraId="639CB0FC" w14:textId="77777777" w:rsidR="00126D8D" w:rsidRPr="004A4899" w:rsidRDefault="00126D8D" w:rsidP="00820288">
            <w:pPr>
              <w:spacing w:line="240" w:lineRule="auto"/>
              <w:rPr>
                <w:rFonts w:ascii="Times New Roman" w:hAnsi="Times New Roman" w:cs="Times New Roman"/>
                <w:sz w:val="15"/>
                <w:szCs w:val="15"/>
              </w:rPr>
            </w:pPr>
            <w:r w:rsidRPr="004A4899">
              <w:rPr>
                <w:rFonts w:ascii="Times New Roman" w:hAnsi="Times New Roman" w:cs="Times New Roman"/>
                <w:sz w:val="15"/>
                <w:szCs w:val="15"/>
              </w:rPr>
              <w:t>c</w:t>
            </w:r>
          </w:p>
        </w:tc>
        <w:tc>
          <w:tcPr>
            <w:tcW w:w="712" w:type="dxa"/>
            <w:noWrap/>
            <w:vAlign w:val="center"/>
            <w:hideMark/>
          </w:tcPr>
          <w:p w14:paraId="0D3E9D0D" w14:textId="77777777" w:rsidR="00126D8D" w:rsidRPr="004A4899" w:rsidRDefault="00126D8D" w:rsidP="00820288">
            <w:pPr>
              <w:spacing w:line="240" w:lineRule="auto"/>
              <w:jc w:val="right"/>
              <w:rPr>
                <w:rFonts w:ascii="Times New Roman" w:hAnsi="Times New Roman" w:cs="Times New Roman"/>
                <w:sz w:val="15"/>
                <w:szCs w:val="15"/>
              </w:rPr>
            </w:pPr>
            <w:r w:rsidRPr="004A4899">
              <w:rPr>
                <w:rFonts w:ascii="Times New Roman" w:hAnsi="Times New Roman" w:cs="Times New Roman"/>
                <w:sz w:val="15"/>
                <w:szCs w:val="15"/>
              </w:rPr>
              <w:t>19.69</w:t>
            </w:r>
          </w:p>
        </w:tc>
        <w:tc>
          <w:tcPr>
            <w:tcW w:w="368" w:type="dxa"/>
            <w:noWrap/>
            <w:vAlign w:val="center"/>
            <w:hideMark/>
          </w:tcPr>
          <w:p w14:paraId="361BA59C" w14:textId="77777777" w:rsidR="00126D8D" w:rsidRPr="004A4899" w:rsidRDefault="00126D8D" w:rsidP="00820288">
            <w:pPr>
              <w:spacing w:line="240" w:lineRule="auto"/>
              <w:rPr>
                <w:rFonts w:ascii="Times New Roman" w:hAnsi="Times New Roman" w:cs="Times New Roman"/>
                <w:sz w:val="15"/>
                <w:szCs w:val="15"/>
              </w:rPr>
            </w:pPr>
            <w:r w:rsidRPr="004A4899">
              <w:rPr>
                <w:rFonts w:ascii="Times New Roman" w:hAnsi="Times New Roman" w:cs="Times New Roman"/>
                <w:sz w:val="15"/>
                <w:szCs w:val="15"/>
              </w:rPr>
              <w:t>a</w:t>
            </w:r>
          </w:p>
        </w:tc>
        <w:tc>
          <w:tcPr>
            <w:tcW w:w="916" w:type="dxa"/>
            <w:noWrap/>
            <w:vAlign w:val="center"/>
            <w:hideMark/>
          </w:tcPr>
          <w:p w14:paraId="5DAD19C0" w14:textId="77777777" w:rsidR="00126D8D" w:rsidRPr="004A4899" w:rsidRDefault="00126D8D" w:rsidP="00820288">
            <w:pPr>
              <w:spacing w:line="240" w:lineRule="auto"/>
              <w:jc w:val="right"/>
              <w:rPr>
                <w:rFonts w:ascii="Times New Roman" w:hAnsi="Times New Roman" w:cs="Times New Roman"/>
                <w:sz w:val="15"/>
                <w:szCs w:val="15"/>
              </w:rPr>
            </w:pPr>
            <w:r w:rsidRPr="004A4899">
              <w:rPr>
                <w:rFonts w:ascii="Times New Roman" w:hAnsi="Times New Roman" w:cs="Times New Roman"/>
                <w:sz w:val="15"/>
                <w:szCs w:val="15"/>
              </w:rPr>
              <w:t>13.33</w:t>
            </w:r>
          </w:p>
        </w:tc>
        <w:tc>
          <w:tcPr>
            <w:tcW w:w="627" w:type="dxa"/>
            <w:noWrap/>
            <w:vAlign w:val="center"/>
            <w:hideMark/>
          </w:tcPr>
          <w:p w14:paraId="54C1D0E9" w14:textId="77777777" w:rsidR="00126D8D" w:rsidRPr="004A4899" w:rsidRDefault="00126D8D" w:rsidP="00820288">
            <w:pPr>
              <w:spacing w:line="240" w:lineRule="auto"/>
              <w:rPr>
                <w:rFonts w:ascii="Times New Roman" w:hAnsi="Times New Roman" w:cs="Times New Roman"/>
                <w:sz w:val="15"/>
                <w:szCs w:val="15"/>
              </w:rPr>
            </w:pPr>
            <w:r w:rsidRPr="004A4899">
              <w:rPr>
                <w:rFonts w:ascii="Times New Roman" w:hAnsi="Times New Roman" w:cs="Times New Roman"/>
                <w:sz w:val="15"/>
                <w:szCs w:val="15"/>
              </w:rPr>
              <w:t>b</w:t>
            </w:r>
          </w:p>
        </w:tc>
      </w:tr>
      <w:tr w:rsidR="00126D8D" w:rsidRPr="004A4899" w14:paraId="5EBE441A" w14:textId="77777777" w:rsidTr="00820288">
        <w:trPr>
          <w:trHeight w:val="144"/>
        </w:trPr>
        <w:tc>
          <w:tcPr>
            <w:tcW w:w="1916" w:type="dxa"/>
            <w:noWrap/>
            <w:vAlign w:val="center"/>
          </w:tcPr>
          <w:p w14:paraId="67E02D1A" w14:textId="77777777" w:rsidR="00126D8D" w:rsidRPr="004A4899" w:rsidRDefault="00126D8D" w:rsidP="00820288">
            <w:pPr>
              <w:spacing w:line="240" w:lineRule="auto"/>
              <w:rPr>
                <w:rFonts w:ascii="Times New Roman" w:hAnsi="Times New Roman" w:cs="Times New Roman"/>
                <w:b/>
                <w:bCs/>
                <w:sz w:val="15"/>
                <w:szCs w:val="15"/>
              </w:rPr>
            </w:pPr>
            <w:r w:rsidRPr="004A4899">
              <w:rPr>
                <w:rFonts w:ascii="Times New Roman" w:hAnsi="Times New Roman" w:cs="Times New Roman"/>
                <w:b/>
                <w:bCs/>
                <w:sz w:val="15"/>
                <w:szCs w:val="15"/>
              </w:rPr>
              <w:t>Sesquiterpenes</w:t>
            </w:r>
          </w:p>
        </w:tc>
        <w:tc>
          <w:tcPr>
            <w:tcW w:w="758" w:type="dxa"/>
            <w:noWrap/>
            <w:vAlign w:val="center"/>
          </w:tcPr>
          <w:p w14:paraId="1E2F2733" w14:textId="77777777" w:rsidR="00126D8D" w:rsidRPr="004A4899" w:rsidRDefault="00126D8D" w:rsidP="00820288">
            <w:pPr>
              <w:spacing w:line="240" w:lineRule="auto"/>
              <w:jc w:val="right"/>
              <w:rPr>
                <w:rFonts w:ascii="Times New Roman" w:hAnsi="Times New Roman" w:cs="Times New Roman"/>
                <w:sz w:val="15"/>
                <w:szCs w:val="15"/>
              </w:rPr>
            </w:pPr>
          </w:p>
        </w:tc>
        <w:tc>
          <w:tcPr>
            <w:tcW w:w="366" w:type="dxa"/>
            <w:noWrap/>
            <w:vAlign w:val="center"/>
          </w:tcPr>
          <w:p w14:paraId="11FF8075" w14:textId="77777777" w:rsidR="00126D8D" w:rsidRPr="004A4899" w:rsidRDefault="00126D8D" w:rsidP="00820288">
            <w:pPr>
              <w:spacing w:line="240" w:lineRule="auto"/>
              <w:rPr>
                <w:rFonts w:ascii="Times New Roman" w:hAnsi="Times New Roman" w:cs="Times New Roman"/>
                <w:sz w:val="15"/>
                <w:szCs w:val="15"/>
              </w:rPr>
            </w:pPr>
          </w:p>
        </w:tc>
        <w:tc>
          <w:tcPr>
            <w:tcW w:w="712" w:type="dxa"/>
            <w:noWrap/>
            <w:vAlign w:val="center"/>
          </w:tcPr>
          <w:p w14:paraId="11EFD36F" w14:textId="77777777" w:rsidR="00126D8D" w:rsidRPr="004A4899" w:rsidRDefault="00126D8D" w:rsidP="00820288">
            <w:pPr>
              <w:spacing w:line="240" w:lineRule="auto"/>
              <w:jc w:val="right"/>
              <w:rPr>
                <w:rFonts w:ascii="Times New Roman" w:hAnsi="Times New Roman" w:cs="Times New Roman"/>
                <w:sz w:val="15"/>
                <w:szCs w:val="15"/>
              </w:rPr>
            </w:pPr>
          </w:p>
        </w:tc>
        <w:tc>
          <w:tcPr>
            <w:tcW w:w="368" w:type="dxa"/>
            <w:noWrap/>
            <w:vAlign w:val="center"/>
          </w:tcPr>
          <w:p w14:paraId="388F1561" w14:textId="77777777" w:rsidR="00126D8D" w:rsidRPr="004A4899" w:rsidRDefault="00126D8D" w:rsidP="00820288">
            <w:pPr>
              <w:spacing w:line="240" w:lineRule="auto"/>
              <w:rPr>
                <w:rFonts w:ascii="Times New Roman" w:hAnsi="Times New Roman" w:cs="Times New Roman"/>
                <w:sz w:val="15"/>
                <w:szCs w:val="15"/>
              </w:rPr>
            </w:pPr>
          </w:p>
        </w:tc>
        <w:tc>
          <w:tcPr>
            <w:tcW w:w="712" w:type="dxa"/>
            <w:noWrap/>
            <w:vAlign w:val="center"/>
          </w:tcPr>
          <w:p w14:paraId="6433EBB9" w14:textId="77777777" w:rsidR="00126D8D" w:rsidRPr="004A4899" w:rsidRDefault="00126D8D" w:rsidP="00820288">
            <w:pPr>
              <w:spacing w:line="240" w:lineRule="auto"/>
              <w:jc w:val="right"/>
              <w:rPr>
                <w:rFonts w:ascii="Times New Roman" w:hAnsi="Times New Roman" w:cs="Times New Roman"/>
                <w:sz w:val="15"/>
                <w:szCs w:val="15"/>
              </w:rPr>
            </w:pPr>
          </w:p>
        </w:tc>
        <w:tc>
          <w:tcPr>
            <w:tcW w:w="368" w:type="dxa"/>
            <w:noWrap/>
            <w:vAlign w:val="center"/>
          </w:tcPr>
          <w:p w14:paraId="36E70EF8" w14:textId="77777777" w:rsidR="00126D8D" w:rsidRPr="004A4899" w:rsidRDefault="00126D8D" w:rsidP="00820288">
            <w:pPr>
              <w:spacing w:line="240" w:lineRule="auto"/>
              <w:rPr>
                <w:rFonts w:ascii="Times New Roman" w:hAnsi="Times New Roman" w:cs="Times New Roman"/>
                <w:sz w:val="15"/>
                <w:szCs w:val="15"/>
              </w:rPr>
            </w:pPr>
          </w:p>
        </w:tc>
        <w:tc>
          <w:tcPr>
            <w:tcW w:w="916" w:type="dxa"/>
            <w:noWrap/>
            <w:vAlign w:val="center"/>
          </w:tcPr>
          <w:p w14:paraId="5936161C" w14:textId="77777777" w:rsidR="00126D8D" w:rsidRPr="004A4899" w:rsidRDefault="00126D8D" w:rsidP="00820288">
            <w:pPr>
              <w:spacing w:line="240" w:lineRule="auto"/>
              <w:jc w:val="right"/>
              <w:rPr>
                <w:rFonts w:ascii="Times New Roman" w:hAnsi="Times New Roman" w:cs="Times New Roman"/>
                <w:sz w:val="15"/>
                <w:szCs w:val="15"/>
              </w:rPr>
            </w:pPr>
          </w:p>
        </w:tc>
        <w:tc>
          <w:tcPr>
            <w:tcW w:w="627" w:type="dxa"/>
            <w:noWrap/>
            <w:vAlign w:val="center"/>
          </w:tcPr>
          <w:p w14:paraId="0AFB1E18" w14:textId="77777777" w:rsidR="00126D8D" w:rsidRPr="004A4899" w:rsidRDefault="00126D8D" w:rsidP="00820288">
            <w:pPr>
              <w:spacing w:line="240" w:lineRule="auto"/>
              <w:rPr>
                <w:rFonts w:ascii="Times New Roman" w:hAnsi="Times New Roman" w:cs="Times New Roman"/>
                <w:sz w:val="15"/>
                <w:szCs w:val="15"/>
              </w:rPr>
            </w:pPr>
          </w:p>
        </w:tc>
      </w:tr>
      <w:tr w:rsidR="00126D8D" w:rsidRPr="004A4899" w14:paraId="66F12F8D" w14:textId="77777777" w:rsidTr="00820288">
        <w:trPr>
          <w:trHeight w:val="144"/>
        </w:trPr>
        <w:tc>
          <w:tcPr>
            <w:tcW w:w="1916" w:type="dxa"/>
            <w:noWrap/>
            <w:vAlign w:val="center"/>
            <w:hideMark/>
          </w:tcPr>
          <w:p w14:paraId="44477AED" w14:textId="77777777" w:rsidR="00126D8D" w:rsidRPr="004A4899" w:rsidRDefault="00126D8D" w:rsidP="00820288">
            <w:pPr>
              <w:spacing w:line="240" w:lineRule="auto"/>
              <w:rPr>
                <w:rFonts w:ascii="Times New Roman" w:hAnsi="Times New Roman" w:cs="Times New Roman"/>
                <w:sz w:val="15"/>
                <w:szCs w:val="15"/>
              </w:rPr>
            </w:pPr>
            <w:r w:rsidRPr="004A4899">
              <w:rPr>
                <w:rFonts w:ascii="Times New Roman" w:hAnsi="Times New Roman" w:cs="Times New Roman"/>
                <w:sz w:val="15"/>
                <w:szCs w:val="15"/>
              </w:rPr>
              <w:t>α-Humulene</w:t>
            </w:r>
          </w:p>
        </w:tc>
        <w:tc>
          <w:tcPr>
            <w:tcW w:w="758" w:type="dxa"/>
            <w:noWrap/>
            <w:vAlign w:val="center"/>
            <w:hideMark/>
          </w:tcPr>
          <w:p w14:paraId="0543BC01" w14:textId="77777777" w:rsidR="00126D8D" w:rsidRPr="004A4899" w:rsidRDefault="00126D8D" w:rsidP="00820288">
            <w:pPr>
              <w:spacing w:line="240" w:lineRule="auto"/>
              <w:jc w:val="right"/>
              <w:rPr>
                <w:rFonts w:ascii="Times New Roman" w:hAnsi="Times New Roman" w:cs="Times New Roman"/>
                <w:sz w:val="15"/>
                <w:szCs w:val="15"/>
              </w:rPr>
            </w:pPr>
            <w:r w:rsidRPr="004A4899">
              <w:rPr>
                <w:rFonts w:ascii="Times New Roman" w:hAnsi="Times New Roman" w:cs="Times New Roman"/>
                <w:sz w:val="15"/>
                <w:szCs w:val="15"/>
              </w:rPr>
              <w:t>53.69</w:t>
            </w:r>
          </w:p>
        </w:tc>
        <w:tc>
          <w:tcPr>
            <w:tcW w:w="366" w:type="dxa"/>
            <w:noWrap/>
            <w:vAlign w:val="center"/>
            <w:hideMark/>
          </w:tcPr>
          <w:p w14:paraId="1290270A" w14:textId="77777777" w:rsidR="00126D8D" w:rsidRPr="004A4899" w:rsidRDefault="00126D8D" w:rsidP="00820288">
            <w:pPr>
              <w:spacing w:line="240" w:lineRule="auto"/>
              <w:rPr>
                <w:rFonts w:ascii="Times New Roman" w:hAnsi="Times New Roman" w:cs="Times New Roman"/>
                <w:sz w:val="15"/>
                <w:szCs w:val="15"/>
              </w:rPr>
            </w:pPr>
            <w:r w:rsidRPr="004A4899">
              <w:rPr>
                <w:rFonts w:ascii="Times New Roman" w:hAnsi="Times New Roman" w:cs="Times New Roman"/>
                <w:sz w:val="15"/>
                <w:szCs w:val="15"/>
              </w:rPr>
              <w:t>b</w:t>
            </w:r>
          </w:p>
        </w:tc>
        <w:tc>
          <w:tcPr>
            <w:tcW w:w="712" w:type="dxa"/>
            <w:noWrap/>
            <w:vAlign w:val="center"/>
            <w:hideMark/>
          </w:tcPr>
          <w:p w14:paraId="3F3678B5" w14:textId="77777777" w:rsidR="00126D8D" w:rsidRPr="004A4899" w:rsidRDefault="00126D8D" w:rsidP="00820288">
            <w:pPr>
              <w:spacing w:line="240" w:lineRule="auto"/>
              <w:jc w:val="right"/>
              <w:rPr>
                <w:rFonts w:ascii="Times New Roman" w:hAnsi="Times New Roman" w:cs="Times New Roman"/>
                <w:sz w:val="15"/>
                <w:szCs w:val="15"/>
              </w:rPr>
            </w:pPr>
            <w:r w:rsidRPr="004A4899">
              <w:rPr>
                <w:rFonts w:ascii="Times New Roman" w:hAnsi="Times New Roman" w:cs="Times New Roman"/>
                <w:sz w:val="15"/>
                <w:szCs w:val="15"/>
              </w:rPr>
              <w:t>54.88</w:t>
            </w:r>
          </w:p>
        </w:tc>
        <w:tc>
          <w:tcPr>
            <w:tcW w:w="368" w:type="dxa"/>
            <w:noWrap/>
            <w:vAlign w:val="center"/>
            <w:hideMark/>
          </w:tcPr>
          <w:p w14:paraId="27C19BEF" w14:textId="77777777" w:rsidR="00126D8D" w:rsidRPr="004A4899" w:rsidRDefault="00126D8D" w:rsidP="00820288">
            <w:pPr>
              <w:spacing w:line="240" w:lineRule="auto"/>
              <w:rPr>
                <w:rFonts w:ascii="Times New Roman" w:hAnsi="Times New Roman" w:cs="Times New Roman"/>
                <w:sz w:val="15"/>
                <w:szCs w:val="15"/>
              </w:rPr>
            </w:pPr>
            <w:r w:rsidRPr="004A4899">
              <w:rPr>
                <w:rFonts w:ascii="Times New Roman" w:hAnsi="Times New Roman" w:cs="Times New Roman"/>
                <w:sz w:val="15"/>
                <w:szCs w:val="15"/>
              </w:rPr>
              <w:t>b</w:t>
            </w:r>
          </w:p>
        </w:tc>
        <w:tc>
          <w:tcPr>
            <w:tcW w:w="712" w:type="dxa"/>
            <w:noWrap/>
            <w:vAlign w:val="center"/>
            <w:hideMark/>
          </w:tcPr>
          <w:p w14:paraId="4987F40B" w14:textId="77777777" w:rsidR="00126D8D" w:rsidRPr="004A4899" w:rsidRDefault="00126D8D" w:rsidP="00820288">
            <w:pPr>
              <w:spacing w:line="240" w:lineRule="auto"/>
              <w:jc w:val="right"/>
              <w:rPr>
                <w:rFonts w:ascii="Times New Roman" w:hAnsi="Times New Roman" w:cs="Times New Roman"/>
                <w:sz w:val="15"/>
                <w:szCs w:val="15"/>
              </w:rPr>
            </w:pPr>
            <w:r w:rsidRPr="004A4899">
              <w:rPr>
                <w:rFonts w:ascii="Times New Roman" w:hAnsi="Times New Roman" w:cs="Times New Roman"/>
                <w:sz w:val="15"/>
                <w:szCs w:val="15"/>
              </w:rPr>
              <w:t>58.92</w:t>
            </w:r>
          </w:p>
        </w:tc>
        <w:tc>
          <w:tcPr>
            <w:tcW w:w="368" w:type="dxa"/>
            <w:noWrap/>
            <w:vAlign w:val="center"/>
            <w:hideMark/>
          </w:tcPr>
          <w:p w14:paraId="7FAA2A20" w14:textId="77777777" w:rsidR="00126D8D" w:rsidRPr="004A4899" w:rsidRDefault="00126D8D" w:rsidP="00820288">
            <w:pPr>
              <w:spacing w:line="240" w:lineRule="auto"/>
              <w:rPr>
                <w:rFonts w:ascii="Times New Roman" w:hAnsi="Times New Roman" w:cs="Times New Roman"/>
                <w:sz w:val="15"/>
                <w:szCs w:val="15"/>
              </w:rPr>
            </w:pPr>
            <w:r w:rsidRPr="004A4899">
              <w:rPr>
                <w:rFonts w:ascii="Times New Roman" w:hAnsi="Times New Roman" w:cs="Times New Roman"/>
                <w:sz w:val="15"/>
                <w:szCs w:val="15"/>
              </w:rPr>
              <w:t>a</w:t>
            </w:r>
          </w:p>
        </w:tc>
        <w:tc>
          <w:tcPr>
            <w:tcW w:w="916" w:type="dxa"/>
            <w:noWrap/>
            <w:vAlign w:val="center"/>
            <w:hideMark/>
          </w:tcPr>
          <w:p w14:paraId="3E1F0F8D" w14:textId="77777777" w:rsidR="00126D8D" w:rsidRPr="004A4899" w:rsidRDefault="00126D8D" w:rsidP="00820288">
            <w:pPr>
              <w:spacing w:line="240" w:lineRule="auto"/>
              <w:jc w:val="right"/>
              <w:rPr>
                <w:rFonts w:ascii="Times New Roman" w:hAnsi="Times New Roman" w:cs="Times New Roman"/>
                <w:sz w:val="15"/>
                <w:szCs w:val="15"/>
              </w:rPr>
            </w:pPr>
            <w:r w:rsidRPr="004A4899">
              <w:rPr>
                <w:rFonts w:ascii="Times New Roman" w:hAnsi="Times New Roman" w:cs="Times New Roman"/>
                <w:sz w:val="15"/>
                <w:szCs w:val="15"/>
              </w:rPr>
              <w:t>59.58</w:t>
            </w:r>
          </w:p>
        </w:tc>
        <w:tc>
          <w:tcPr>
            <w:tcW w:w="627" w:type="dxa"/>
            <w:noWrap/>
            <w:vAlign w:val="center"/>
            <w:hideMark/>
          </w:tcPr>
          <w:p w14:paraId="48A46CDD" w14:textId="77777777" w:rsidR="00126D8D" w:rsidRPr="004A4899" w:rsidRDefault="00126D8D" w:rsidP="00820288">
            <w:pPr>
              <w:spacing w:line="240" w:lineRule="auto"/>
              <w:rPr>
                <w:rFonts w:ascii="Times New Roman" w:hAnsi="Times New Roman" w:cs="Times New Roman"/>
                <w:sz w:val="15"/>
                <w:szCs w:val="15"/>
              </w:rPr>
            </w:pPr>
            <w:r w:rsidRPr="004A4899">
              <w:rPr>
                <w:rFonts w:ascii="Times New Roman" w:hAnsi="Times New Roman" w:cs="Times New Roman"/>
                <w:sz w:val="15"/>
                <w:szCs w:val="15"/>
              </w:rPr>
              <w:t>a</w:t>
            </w:r>
          </w:p>
        </w:tc>
      </w:tr>
      <w:tr w:rsidR="00126D8D" w:rsidRPr="004A4899" w14:paraId="494AD9A6" w14:textId="77777777" w:rsidTr="00820288">
        <w:trPr>
          <w:trHeight w:val="144"/>
        </w:trPr>
        <w:tc>
          <w:tcPr>
            <w:tcW w:w="1916" w:type="dxa"/>
            <w:noWrap/>
            <w:vAlign w:val="center"/>
          </w:tcPr>
          <w:p w14:paraId="4DBA292F" w14:textId="77777777" w:rsidR="00126D8D" w:rsidRPr="004A4899" w:rsidRDefault="00126D8D" w:rsidP="00820288">
            <w:pPr>
              <w:spacing w:line="240" w:lineRule="auto"/>
              <w:rPr>
                <w:rFonts w:ascii="Times New Roman" w:hAnsi="Times New Roman" w:cs="Times New Roman"/>
                <w:b/>
                <w:bCs/>
                <w:sz w:val="15"/>
                <w:szCs w:val="15"/>
              </w:rPr>
            </w:pPr>
            <w:r w:rsidRPr="004A4899">
              <w:rPr>
                <w:rFonts w:ascii="Times New Roman" w:hAnsi="Times New Roman" w:cs="Times New Roman"/>
                <w:b/>
                <w:bCs/>
                <w:sz w:val="15"/>
                <w:szCs w:val="15"/>
              </w:rPr>
              <w:t>Organosulfur</w:t>
            </w:r>
          </w:p>
        </w:tc>
        <w:tc>
          <w:tcPr>
            <w:tcW w:w="758" w:type="dxa"/>
            <w:noWrap/>
            <w:vAlign w:val="center"/>
          </w:tcPr>
          <w:p w14:paraId="79CADEAA" w14:textId="77777777" w:rsidR="00126D8D" w:rsidRPr="004A4899" w:rsidRDefault="00126D8D" w:rsidP="00820288">
            <w:pPr>
              <w:spacing w:line="240" w:lineRule="auto"/>
              <w:jc w:val="right"/>
              <w:rPr>
                <w:rFonts w:ascii="Times New Roman" w:hAnsi="Times New Roman" w:cs="Times New Roman"/>
                <w:sz w:val="15"/>
                <w:szCs w:val="15"/>
              </w:rPr>
            </w:pPr>
          </w:p>
        </w:tc>
        <w:tc>
          <w:tcPr>
            <w:tcW w:w="366" w:type="dxa"/>
            <w:noWrap/>
            <w:vAlign w:val="center"/>
          </w:tcPr>
          <w:p w14:paraId="76CD23DA" w14:textId="77777777" w:rsidR="00126D8D" w:rsidRPr="004A4899" w:rsidRDefault="00126D8D" w:rsidP="00820288">
            <w:pPr>
              <w:spacing w:line="240" w:lineRule="auto"/>
              <w:rPr>
                <w:rFonts w:ascii="Times New Roman" w:hAnsi="Times New Roman" w:cs="Times New Roman"/>
                <w:sz w:val="15"/>
                <w:szCs w:val="15"/>
              </w:rPr>
            </w:pPr>
          </w:p>
        </w:tc>
        <w:tc>
          <w:tcPr>
            <w:tcW w:w="712" w:type="dxa"/>
            <w:noWrap/>
            <w:vAlign w:val="center"/>
          </w:tcPr>
          <w:p w14:paraId="36E56B64" w14:textId="77777777" w:rsidR="00126D8D" w:rsidRPr="004A4899" w:rsidRDefault="00126D8D" w:rsidP="00820288">
            <w:pPr>
              <w:spacing w:line="240" w:lineRule="auto"/>
              <w:jc w:val="right"/>
              <w:rPr>
                <w:rFonts w:ascii="Times New Roman" w:hAnsi="Times New Roman" w:cs="Times New Roman"/>
                <w:sz w:val="15"/>
                <w:szCs w:val="15"/>
              </w:rPr>
            </w:pPr>
          </w:p>
        </w:tc>
        <w:tc>
          <w:tcPr>
            <w:tcW w:w="368" w:type="dxa"/>
            <w:noWrap/>
            <w:vAlign w:val="center"/>
          </w:tcPr>
          <w:p w14:paraId="1A55A549" w14:textId="77777777" w:rsidR="00126D8D" w:rsidRPr="004A4899" w:rsidRDefault="00126D8D" w:rsidP="00820288">
            <w:pPr>
              <w:spacing w:line="240" w:lineRule="auto"/>
              <w:rPr>
                <w:rFonts w:ascii="Times New Roman" w:hAnsi="Times New Roman" w:cs="Times New Roman"/>
                <w:sz w:val="15"/>
                <w:szCs w:val="15"/>
              </w:rPr>
            </w:pPr>
          </w:p>
        </w:tc>
        <w:tc>
          <w:tcPr>
            <w:tcW w:w="712" w:type="dxa"/>
            <w:noWrap/>
            <w:vAlign w:val="center"/>
          </w:tcPr>
          <w:p w14:paraId="62B29FB5" w14:textId="77777777" w:rsidR="00126D8D" w:rsidRPr="004A4899" w:rsidRDefault="00126D8D" w:rsidP="00820288">
            <w:pPr>
              <w:spacing w:line="240" w:lineRule="auto"/>
              <w:jc w:val="right"/>
              <w:rPr>
                <w:rFonts w:ascii="Times New Roman" w:hAnsi="Times New Roman" w:cs="Times New Roman"/>
                <w:sz w:val="15"/>
                <w:szCs w:val="15"/>
              </w:rPr>
            </w:pPr>
          </w:p>
        </w:tc>
        <w:tc>
          <w:tcPr>
            <w:tcW w:w="368" w:type="dxa"/>
            <w:noWrap/>
            <w:vAlign w:val="center"/>
          </w:tcPr>
          <w:p w14:paraId="79A5D9D0" w14:textId="77777777" w:rsidR="00126D8D" w:rsidRPr="004A4899" w:rsidRDefault="00126D8D" w:rsidP="00820288">
            <w:pPr>
              <w:spacing w:line="240" w:lineRule="auto"/>
              <w:rPr>
                <w:rFonts w:ascii="Times New Roman" w:hAnsi="Times New Roman" w:cs="Times New Roman"/>
                <w:sz w:val="15"/>
                <w:szCs w:val="15"/>
              </w:rPr>
            </w:pPr>
          </w:p>
        </w:tc>
        <w:tc>
          <w:tcPr>
            <w:tcW w:w="916" w:type="dxa"/>
            <w:noWrap/>
            <w:vAlign w:val="center"/>
          </w:tcPr>
          <w:p w14:paraId="6AA1F274" w14:textId="77777777" w:rsidR="00126D8D" w:rsidRPr="004A4899" w:rsidRDefault="00126D8D" w:rsidP="00820288">
            <w:pPr>
              <w:spacing w:line="240" w:lineRule="auto"/>
              <w:jc w:val="right"/>
              <w:rPr>
                <w:rFonts w:ascii="Times New Roman" w:hAnsi="Times New Roman" w:cs="Times New Roman"/>
                <w:sz w:val="15"/>
                <w:szCs w:val="15"/>
              </w:rPr>
            </w:pPr>
          </w:p>
        </w:tc>
        <w:tc>
          <w:tcPr>
            <w:tcW w:w="627" w:type="dxa"/>
            <w:noWrap/>
            <w:vAlign w:val="center"/>
          </w:tcPr>
          <w:p w14:paraId="61DF2993" w14:textId="77777777" w:rsidR="00126D8D" w:rsidRPr="004A4899" w:rsidRDefault="00126D8D" w:rsidP="00820288">
            <w:pPr>
              <w:spacing w:line="240" w:lineRule="auto"/>
              <w:rPr>
                <w:rFonts w:ascii="Times New Roman" w:hAnsi="Times New Roman" w:cs="Times New Roman"/>
                <w:sz w:val="15"/>
                <w:szCs w:val="15"/>
              </w:rPr>
            </w:pPr>
          </w:p>
        </w:tc>
      </w:tr>
      <w:tr w:rsidR="00126D8D" w:rsidRPr="004A4899" w14:paraId="1E9CE42F" w14:textId="77777777" w:rsidTr="00820288">
        <w:trPr>
          <w:trHeight w:val="144"/>
        </w:trPr>
        <w:tc>
          <w:tcPr>
            <w:tcW w:w="1916" w:type="dxa"/>
            <w:noWrap/>
            <w:vAlign w:val="center"/>
            <w:hideMark/>
          </w:tcPr>
          <w:p w14:paraId="578C88B3" w14:textId="77777777" w:rsidR="00126D8D" w:rsidRPr="004A4899" w:rsidRDefault="00126D8D" w:rsidP="00820288">
            <w:pPr>
              <w:spacing w:line="240" w:lineRule="auto"/>
              <w:rPr>
                <w:rFonts w:ascii="Times New Roman" w:hAnsi="Times New Roman" w:cs="Times New Roman"/>
                <w:sz w:val="15"/>
                <w:szCs w:val="15"/>
              </w:rPr>
            </w:pPr>
            <w:r w:rsidRPr="004A4899">
              <w:rPr>
                <w:rFonts w:ascii="Times New Roman" w:hAnsi="Times New Roman" w:cs="Times New Roman"/>
                <w:sz w:val="15"/>
                <w:szCs w:val="15"/>
              </w:rPr>
              <w:t>Isothiocyanatocyclopropane</w:t>
            </w:r>
          </w:p>
        </w:tc>
        <w:tc>
          <w:tcPr>
            <w:tcW w:w="758" w:type="dxa"/>
            <w:noWrap/>
            <w:vAlign w:val="center"/>
            <w:hideMark/>
          </w:tcPr>
          <w:p w14:paraId="45651B3C" w14:textId="77777777" w:rsidR="00126D8D" w:rsidRPr="004A4899" w:rsidRDefault="00126D8D" w:rsidP="00820288">
            <w:pPr>
              <w:spacing w:line="240" w:lineRule="auto"/>
              <w:jc w:val="right"/>
              <w:rPr>
                <w:rFonts w:ascii="Times New Roman" w:hAnsi="Times New Roman" w:cs="Times New Roman"/>
                <w:sz w:val="15"/>
                <w:szCs w:val="15"/>
              </w:rPr>
            </w:pPr>
            <w:r w:rsidRPr="004A4899">
              <w:rPr>
                <w:rFonts w:ascii="Times New Roman" w:hAnsi="Times New Roman" w:cs="Times New Roman"/>
                <w:sz w:val="15"/>
                <w:szCs w:val="15"/>
              </w:rPr>
              <w:t>1.28</w:t>
            </w:r>
          </w:p>
        </w:tc>
        <w:tc>
          <w:tcPr>
            <w:tcW w:w="366" w:type="dxa"/>
            <w:noWrap/>
            <w:vAlign w:val="center"/>
            <w:hideMark/>
          </w:tcPr>
          <w:p w14:paraId="52D2AF54" w14:textId="77777777" w:rsidR="00126D8D" w:rsidRPr="004A4899" w:rsidRDefault="00126D8D" w:rsidP="00820288">
            <w:pPr>
              <w:spacing w:line="240" w:lineRule="auto"/>
              <w:rPr>
                <w:rFonts w:ascii="Times New Roman" w:hAnsi="Times New Roman" w:cs="Times New Roman"/>
                <w:sz w:val="15"/>
                <w:szCs w:val="15"/>
              </w:rPr>
            </w:pPr>
            <w:r w:rsidRPr="004A4899">
              <w:rPr>
                <w:rFonts w:ascii="Times New Roman" w:hAnsi="Times New Roman" w:cs="Times New Roman"/>
                <w:sz w:val="15"/>
                <w:szCs w:val="15"/>
              </w:rPr>
              <w:t>b</w:t>
            </w:r>
          </w:p>
        </w:tc>
        <w:tc>
          <w:tcPr>
            <w:tcW w:w="712" w:type="dxa"/>
            <w:noWrap/>
            <w:vAlign w:val="center"/>
            <w:hideMark/>
          </w:tcPr>
          <w:p w14:paraId="779CFDE2" w14:textId="77777777" w:rsidR="00126D8D" w:rsidRPr="004A4899" w:rsidRDefault="00126D8D" w:rsidP="00820288">
            <w:pPr>
              <w:spacing w:line="240" w:lineRule="auto"/>
              <w:jc w:val="right"/>
              <w:rPr>
                <w:rFonts w:ascii="Times New Roman" w:hAnsi="Times New Roman" w:cs="Times New Roman"/>
                <w:sz w:val="15"/>
                <w:szCs w:val="15"/>
              </w:rPr>
            </w:pPr>
            <w:r w:rsidRPr="004A4899">
              <w:rPr>
                <w:rFonts w:ascii="Times New Roman" w:hAnsi="Times New Roman" w:cs="Times New Roman"/>
                <w:sz w:val="15"/>
                <w:szCs w:val="15"/>
              </w:rPr>
              <w:t>1.20</w:t>
            </w:r>
          </w:p>
        </w:tc>
        <w:tc>
          <w:tcPr>
            <w:tcW w:w="368" w:type="dxa"/>
            <w:noWrap/>
            <w:vAlign w:val="center"/>
            <w:hideMark/>
          </w:tcPr>
          <w:p w14:paraId="5CC4B52B" w14:textId="77777777" w:rsidR="00126D8D" w:rsidRPr="004A4899" w:rsidRDefault="00126D8D" w:rsidP="00820288">
            <w:pPr>
              <w:spacing w:line="240" w:lineRule="auto"/>
              <w:rPr>
                <w:rFonts w:ascii="Times New Roman" w:hAnsi="Times New Roman" w:cs="Times New Roman"/>
                <w:sz w:val="15"/>
                <w:szCs w:val="15"/>
              </w:rPr>
            </w:pPr>
            <w:r w:rsidRPr="004A4899">
              <w:rPr>
                <w:rFonts w:ascii="Times New Roman" w:hAnsi="Times New Roman" w:cs="Times New Roman"/>
                <w:sz w:val="15"/>
                <w:szCs w:val="15"/>
              </w:rPr>
              <w:t>b</w:t>
            </w:r>
          </w:p>
        </w:tc>
        <w:tc>
          <w:tcPr>
            <w:tcW w:w="712" w:type="dxa"/>
            <w:noWrap/>
            <w:vAlign w:val="center"/>
            <w:hideMark/>
          </w:tcPr>
          <w:p w14:paraId="01672C62" w14:textId="77777777" w:rsidR="00126D8D" w:rsidRPr="004A4899" w:rsidRDefault="00126D8D" w:rsidP="00820288">
            <w:pPr>
              <w:spacing w:line="240" w:lineRule="auto"/>
              <w:jc w:val="right"/>
              <w:rPr>
                <w:rFonts w:ascii="Times New Roman" w:hAnsi="Times New Roman" w:cs="Times New Roman"/>
                <w:sz w:val="15"/>
                <w:szCs w:val="15"/>
              </w:rPr>
            </w:pPr>
            <w:r w:rsidRPr="004A4899">
              <w:rPr>
                <w:rFonts w:ascii="Times New Roman" w:hAnsi="Times New Roman" w:cs="Times New Roman"/>
                <w:sz w:val="15"/>
                <w:szCs w:val="15"/>
              </w:rPr>
              <w:t>1.78</w:t>
            </w:r>
          </w:p>
        </w:tc>
        <w:tc>
          <w:tcPr>
            <w:tcW w:w="368" w:type="dxa"/>
            <w:noWrap/>
            <w:vAlign w:val="center"/>
            <w:hideMark/>
          </w:tcPr>
          <w:p w14:paraId="6E1E6572" w14:textId="77777777" w:rsidR="00126D8D" w:rsidRPr="004A4899" w:rsidRDefault="00126D8D" w:rsidP="00820288">
            <w:pPr>
              <w:spacing w:line="240" w:lineRule="auto"/>
              <w:rPr>
                <w:rFonts w:ascii="Times New Roman" w:hAnsi="Times New Roman" w:cs="Times New Roman"/>
                <w:sz w:val="15"/>
                <w:szCs w:val="15"/>
              </w:rPr>
            </w:pPr>
            <w:r w:rsidRPr="004A4899">
              <w:rPr>
                <w:rFonts w:ascii="Times New Roman" w:hAnsi="Times New Roman" w:cs="Times New Roman"/>
                <w:sz w:val="15"/>
                <w:szCs w:val="15"/>
              </w:rPr>
              <w:t>ab</w:t>
            </w:r>
          </w:p>
        </w:tc>
        <w:tc>
          <w:tcPr>
            <w:tcW w:w="916" w:type="dxa"/>
            <w:noWrap/>
            <w:vAlign w:val="center"/>
            <w:hideMark/>
          </w:tcPr>
          <w:p w14:paraId="1F26A8F3" w14:textId="77777777" w:rsidR="00126D8D" w:rsidRPr="004A4899" w:rsidRDefault="00126D8D" w:rsidP="00820288">
            <w:pPr>
              <w:spacing w:line="240" w:lineRule="auto"/>
              <w:jc w:val="right"/>
              <w:rPr>
                <w:rFonts w:ascii="Times New Roman" w:hAnsi="Times New Roman" w:cs="Times New Roman"/>
                <w:sz w:val="15"/>
                <w:szCs w:val="15"/>
              </w:rPr>
            </w:pPr>
            <w:r w:rsidRPr="004A4899">
              <w:rPr>
                <w:rFonts w:ascii="Times New Roman" w:hAnsi="Times New Roman" w:cs="Times New Roman"/>
                <w:sz w:val="15"/>
                <w:szCs w:val="15"/>
              </w:rPr>
              <w:t>2.28</w:t>
            </w:r>
          </w:p>
        </w:tc>
        <w:tc>
          <w:tcPr>
            <w:tcW w:w="627" w:type="dxa"/>
            <w:noWrap/>
            <w:vAlign w:val="center"/>
            <w:hideMark/>
          </w:tcPr>
          <w:p w14:paraId="292C2BE6" w14:textId="77777777" w:rsidR="00126D8D" w:rsidRPr="004A4899" w:rsidRDefault="00126D8D" w:rsidP="00820288">
            <w:pPr>
              <w:spacing w:line="240" w:lineRule="auto"/>
              <w:rPr>
                <w:rFonts w:ascii="Times New Roman" w:hAnsi="Times New Roman" w:cs="Times New Roman"/>
                <w:sz w:val="15"/>
                <w:szCs w:val="15"/>
              </w:rPr>
            </w:pPr>
            <w:r w:rsidRPr="004A4899">
              <w:rPr>
                <w:rFonts w:ascii="Times New Roman" w:hAnsi="Times New Roman" w:cs="Times New Roman"/>
                <w:sz w:val="15"/>
                <w:szCs w:val="15"/>
              </w:rPr>
              <w:t>ab</w:t>
            </w:r>
          </w:p>
        </w:tc>
      </w:tr>
      <w:tr w:rsidR="00126D8D" w:rsidRPr="004A4899" w14:paraId="5C781743" w14:textId="77777777" w:rsidTr="00820288">
        <w:trPr>
          <w:trHeight w:val="144"/>
        </w:trPr>
        <w:tc>
          <w:tcPr>
            <w:tcW w:w="1916" w:type="dxa"/>
            <w:noWrap/>
            <w:vAlign w:val="center"/>
            <w:hideMark/>
          </w:tcPr>
          <w:p w14:paraId="03EA9973" w14:textId="77777777" w:rsidR="00126D8D" w:rsidRPr="004A4899" w:rsidRDefault="00126D8D" w:rsidP="00820288">
            <w:pPr>
              <w:spacing w:line="240" w:lineRule="auto"/>
              <w:rPr>
                <w:rFonts w:ascii="Times New Roman" w:hAnsi="Times New Roman" w:cs="Times New Roman"/>
                <w:sz w:val="15"/>
                <w:szCs w:val="15"/>
              </w:rPr>
            </w:pPr>
            <w:r w:rsidRPr="004A4899">
              <w:rPr>
                <w:rFonts w:ascii="Times New Roman" w:hAnsi="Times New Roman" w:cs="Times New Roman"/>
                <w:sz w:val="15"/>
                <w:szCs w:val="15"/>
              </w:rPr>
              <w:t>2-Isobutylthiazole</w:t>
            </w:r>
          </w:p>
        </w:tc>
        <w:tc>
          <w:tcPr>
            <w:tcW w:w="758" w:type="dxa"/>
            <w:noWrap/>
            <w:vAlign w:val="center"/>
            <w:hideMark/>
          </w:tcPr>
          <w:p w14:paraId="5A0D70FF" w14:textId="77777777" w:rsidR="00126D8D" w:rsidRPr="004A4899" w:rsidRDefault="00126D8D" w:rsidP="00820288">
            <w:pPr>
              <w:spacing w:line="240" w:lineRule="auto"/>
              <w:jc w:val="right"/>
              <w:rPr>
                <w:rFonts w:ascii="Times New Roman" w:hAnsi="Times New Roman" w:cs="Times New Roman"/>
                <w:sz w:val="15"/>
                <w:szCs w:val="15"/>
              </w:rPr>
            </w:pPr>
            <w:r w:rsidRPr="004A4899">
              <w:rPr>
                <w:rFonts w:ascii="Times New Roman" w:hAnsi="Times New Roman" w:cs="Times New Roman"/>
                <w:sz w:val="15"/>
                <w:szCs w:val="15"/>
              </w:rPr>
              <w:t>5.57</w:t>
            </w:r>
          </w:p>
        </w:tc>
        <w:tc>
          <w:tcPr>
            <w:tcW w:w="366" w:type="dxa"/>
            <w:noWrap/>
            <w:vAlign w:val="center"/>
            <w:hideMark/>
          </w:tcPr>
          <w:p w14:paraId="50B4C485" w14:textId="77777777" w:rsidR="00126D8D" w:rsidRPr="004A4899" w:rsidRDefault="00126D8D" w:rsidP="00820288">
            <w:pPr>
              <w:spacing w:line="240" w:lineRule="auto"/>
              <w:rPr>
                <w:rFonts w:ascii="Times New Roman" w:hAnsi="Times New Roman" w:cs="Times New Roman"/>
                <w:sz w:val="15"/>
                <w:szCs w:val="15"/>
              </w:rPr>
            </w:pPr>
            <w:r w:rsidRPr="004A4899">
              <w:rPr>
                <w:rFonts w:ascii="Times New Roman" w:hAnsi="Times New Roman" w:cs="Times New Roman"/>
                <w:sz w:val="15"/>
                <w:szCs w:val="15"/>
              </w:rPr>
              <w:t>b</w:t>
            </w:r>
          </w:p>
        </w:tc>
        <w:tc>
          <w:tcPr>
            <w:tcW w:w="712" w:type="dxa"/>
            <w:noWrap/>
            <w:vAlign w:val="center"/>
            <w:hideMark/>
          </w:tcPr>
          <w:p w14:paraId="41E41302" w14:textId="77777777" w:rsidR="00126D8D" w:rsidRPr="004A4899" w:rsidRDefault="00126D8D" w:rsidP="00820288">
            <w:pPr>
              <w:spacing w:line="240" w:lineRule="auto"/>
              <w:jc w:val="right"/>
              <w:rPr>
                <w:rFonts w:ascii="Times New Roman" w:hAnsi="Times New Roman" w:cs="Times New Roman"/>
                <w:sz w:val="15"/>
                <w:szCs w:val="15"/>
              </w:rPr>
            </w:pPr>
            <w:r w:rsidRPr="004A4899">
              <w:rPr>
                <w:rFonts w:ascii="Times New Roman" w:hAnsi="Times New Roman" w:cs="Times New Roman"/>
                <w:sz w:val="15"/>
                <w:szCs w:val="15"/>
              </w:rPr>
              <w:t>6.74</w:t>
            </w:r>
          </w:p>
        </w:tc>
        <w:tc>
          <w:tcPr>
            <w:tcW w:w="368" w:type="dxa"/>
            <w:noWrap/>
            <w:vAlign w:val="center"/>
            <w:hideMark/>
          </w:tcPr>
          <w:p w14:paraId="65BA14C2" w14:textId="77777777" w:rsidR="00126D8D" w:rsidRPr="004A4899" w:rsidRDefault="00126D8D" w:rsidP="00820288">
            <w:pPr>
              <w:spacing w:line="240" w:lineRule="auto"/>
              <w:rPr>
                <w:rFonts w:ascii="Times New Roman" w:hAnsi="Times New Roman" w:cs="Times New Roman"/>
                <w:sz w:val="15"/>
                <w:szCs w:val="15"/>
              </w:rPr>
            </w:pPr>
            <w:r w:rsidRPr="004A4899">
              <w:rPr>
                <w:rFonts w:ascii="Times New Roman" w:hAnsi="Times New Roman" w:cs="Times New Roman"/>
                <w:sz w:val="15"/>
                <w:szCs w:val="15"/>
              </w:rPr>
              <w:t>b</w:t>
            </w:r>
          </w:p>
        </w:tc>
        <w:tc>
          <w:tcPr>
            <w:tcW w:w="712" w:type="dxa"/>
            <w:noWrap/>
            <w:vAlign w:val="center"/>
            <w:hideMark/>
          </w:tcPr>
          <w:p w14:paraId="2EBB38EF" w14:textId="77777777" w:rsidR="00126D8D" w:rsidRPr="004A4899" w:rsidRDefault="00126D8D" w:rsidP="00820288">
            <w:pPr>
              <w:spacing w:line="240" w:lineRule="auto"/>
              <w:jc w:val="right"/>
              <w:rPr>
                <w:rFonts w:ascii="Times New Roman" w:hAnsi="Times New Roman" w:cs="Times New Roman"/>
                <w:sz w:val="15"/>
                <w:szCs w:val="15"/>
              </w:rPr>
            </w:pPr>
            <w:r w:rsidRPr="004A4899">
              <w:rPr>
                <w:rFonts w:ascii="Times New Roman" w:hAnsi="Times New Roman" w:cs="Times New Roman"/>
                <w:sz w:val="15"/>
                <w:szCs w:val="15"/>
              </w:rPr>
              <w:t>8.86</w:t>
            </w:r>
          </w:p>
        </w:tc>
        <w:tc>
          <w:tcPr>
            <w:tcW w:w="368" w:type="dxa"/>
            <w:noWrap/>
            <w:vAlign w:val="center"/>
            <w:hideMark/>
          </w:tcPr>
          <w:p w14:paraId="5F83F639" w14:textId="77777777" w:rsidR="00126D8D" w:rsidRPr="004A4899" w:rsidRDefault="00126D8D" w:rsidP="00820288">
            <w:pPr>
              <w:spacing w:line="240" w:lineRule="auto"/>
              <w:rPr>
                <w:rFonts w:ascii="Times New Roman" w:hAnsi="Times New Roman" w:cs="Times New Roman"/>
                <w:sz w:val="15"/>
                <w:szCs w:val="15"/>
              </w:rPr>
            </w:pPr>
            <w:r w:rsidRPr="004A4899">
              <w:rPr>
                <w:rFonts w:ascii="Times New Roman" w:hAnsi="Times New Roman" w:cs="Times New Roman"/>
                <w:sz w:val="15"/>
                <w:szCs w:val="15"/>
              </w:rPr>
              <w:t>a</w:t>
            </w:r>
          </w:p>
        </w:tc>
        <w:tc>
          <w:tcPr>
            <w:tcW w:w="916" w:type="dxa"/>
            <w:noWrap/>
            <w:vAlign w:val="center"/>
            <w:hideMark/>
          </w:tcPr>
          <w:p w14:paraId="6489DAE5" w14:textId="77777777" w:rsidR="00126D8D" w:rsidRPr="004A4899" w:rsidRDefault="00126D8D" w:rsidP="00820288">
            <w:pPr>
              <w:spacing w:line="240" w:lineRule="auto"/>
              <w:jc w:val="right"/>
              <w:rPr>
                <w:rFonts w:ascii="Times New Roman" w:hAnsi="Times New Roman" w:cs="Times New Roman"/>
                <w:sz w:val="15"/>
                <w:szCs w:val="15"/>
              </w:rPr>
            </w:pPr>
            <w:r w:rsidRPr="004A4899">
              <w:rPr>
                <w:rFonts w:ascii="Times New Roman" w:hAnsi="Times New Roman" w:cs="Times New Roman"/>
                <w:sz w:val="15"/>
                <w:szCs w:val="15"/>
              </w:rPr>
              <w:t>8.94</w:t>
            </w:r>
          </w:p>
        </w:tc>
        <w:tc>
          <w:tcPr>
            <w:tcW w:w="627" w:type="dxa"/>
            <w:noWrap/>
            <w:vAlign w:val="center"/>
            <w:hideMark/>
          </w:tcPr>
          <w:p w14:paraId="179F7C81" w14:textId="77777777" w:rsidR="00126D8D" w:rsidRPr="004A4899" w:rsidRDefault="00126D8D" w:rsidP="00820288">
            <w:pPr>
              <w:spacing w:line="240" w:lineRule="auto"/>
              <w:rPr>
                <w:rFonts w:ascii="Times New Roman" w:hAnsi="Times New Roman" w:cs="Times New Roman"/>
                <w:sz w:val="15"/>
                <w:szCs w:val="15"/>
              </w:rPr>
            </w:pPr>
            <w:r w:rsidRPr="004A4899">
              <w:rPr>
                <w:rFonts w:ascii="Times New Roman" w:hAnsi="Times New Roman" w:cs="Times New Roman"/>
                <w:sz w:val="15"/>
                <w:szCs w:val="15"/>
              </w:rPr>
              <w:t>a</w:t>
            </w:r>
          </w:p>
        </w:tc>
      </w:tr>
      <w:tr w:rsidR="00126D8D" w:rsidRPr="004A4899" w14:paraId="02ACC6C4" w14:textId="77777777" w:rsidTr="00820288">
        <w:trPr>
          <w:trHeight w:val="144"/>
        </w:trPr>
        <w:tc>
          <w:tcPr>
            <w:tcW w:w="1916" w:type="dxa"/>
            <w:noWrap/>
            <w:vAlign w:val="center"/>
            <w:hideMark/>
          </w:tcPr>
          <w:p w14:paraId="06213A3D" w14:textId="77777777" w:rsidR="00126D8D" w:rsidRPr="004A4899" w:rsidRDefault="00126D8D" w:rsidP="00820288">
            <w:pPr>
              <w:spacing w:line="240" w:lineRule="auto"/>
              <w:rPr>
                <w:rFonts w:ascii="Times New Roman" w:hAnsi="Times New Roman" w:cs="Times New Roman"/>
                <w:sz w:val="15"/>
                <w:szCs w:val="15"/>
              </w:rPr>
            </w:pPr>
            <w:r w:rsidRPr="004A4899">
              <w:rPr>
                <w:rFonts w:ascii="Times New Roman" w:hAnsi="Times New Roman" w:cs="Times New Roman"/>
                <w:sz w:val="15"/>
                <w:szCs w:val="15"/>
              </w:rPr>
              <w:t>Diallyl Disulfide</w:t>
            </w:r>
          </w:p>
        </w:tc>
        <w:tc>
          <w:tcPr>
            <w:tcW w:w="758" w:type="dxa"/>
            <w:noWrap/>
            <w:vAlign w:val="center"/>
            <w:hideMark/>
          </w:tcPr>
          <w:p w14:paraId="43C3E1EB" w14:textId="77777777" w:rsidR="00126D8D" w:rsidRPr="004A4899" w:rsidRDefault="00126D8D" w:rsidP="00820288">
            <w:pPr>
              <w:spacing w:line="240" w:lineRule="auto"/>
              <w:jc w:val="right"/>
              <w:rPr>
                <w:rFonts w:ascii="Times New Roman" w:hAnsi="Times New Roman" w:cs="Times New Roman"/>
                <w:sz w:val="15"/>
                <w:szCs w:val="15"/>
              </w:rPr>
            </w:pPr>
            <w:r w:rsidRPr="004A4899">
              <w:rPr>
                <w:rFonts w:ascii="Times New Roman" w:hAnsi="Times New Roman" w:cs="Times New Roman"/>
                <w:sz w:val="15"/>
                <w:szCs w:val="15"/>
              </w:rPr>
              <w:t>0.65</w:t>
            </w:r>
          </w:p>
        </w:tc>
        <w:tc>
          <w:tcPr>
            <w:tcW w:w="366" w:type="dxa"/>
            <w:noWrap/>
            <w:vAlign w:val="center"/>
            <w:hideMark/>
          </w:tcPr>
          <w:p w14:paraId="4CBED135" w14:textId="77777777" w:rsidR="00126D8D" w:rsidRPr="004A4899" w:rsidRDefault="00126D8D" w:rsidP="00820288">
            <w:pPr>
              <w:spacing w:line="240" w:lineRule="auto"/>
              <w:rPr>
                <w:rFonts w:ascii="Times New Roman" w:hAnsi="Times New Roman" w:cs="Times New Roman"/>
                <w:sz w:val="15"/>
                <w:szCs w:val="15"/>
              </w:rPr>
            </w:pPr>
            <w:r w:rsidRPr="004A4899">
              <w:rPr>
                <w:rFonts w:ascii="Times New Roman" w:hAnsi="Times New Roman" w:cs="Times New Roman"/>
                <w:sz w:val="15"/>
                <w:szCs w:val="15"/>
              </w:rPr>
              <w:t>a</w:t>
            </w:r>
          </w:p>
        </w:tc>
        <w:tc>
          <w:tcPr>
            <w:tcW w:w="712" w:type="dxa"/>
            <w:noWrap/>
            <w:vAlign w:val="center"/>
            <w:hideMark/>
          </w:tcPr>
          <w:p w14:paraId="4F6CBA1E" w14:textId="77777777" w:rsidR="00126D8D" w:rsidRPr="004A4899" w:rsidRDefault="00126D8D" w:rsidP="00820288">
            <w:pPr>
              <w:spacing w:line="240" w:lineRule="auto"/>
              <w:jc w:val="right"/>
              <w:rPr>
                <w:rFonts w:ascii="Times New Roman" w:hAnsi="Times New Roman" w:cs="Times New Roman"/>
                <w:sz w:val="15"/>
                <w:szCs w:val="15"/>
              </w:rPr>
            </w:pPr>
            <w:r w:rsidRPr="004A4899">
              <w:rPr>
                <w:rFonts w:ascii="Times New Roman" w:hAnsi="Times New Roman" w:cs="Times New Roman"/>
                <w:sz w:val="15"/>
                <w:szCs w:val="15"/>
              </w:rPr>
              <w:t>0.87</w:t>
            </w:r>
          </w:p>
        </w:tc>
        <w:tc>
          <w:tcPr>
            <w:tcW w:w="368" w:type="dxa"/>
            <w:noWrap/>
            <w:vAlign w:val="center"/>
            <w:hideMark/>
          </w:tcPr>
          <w:p w14:paraId="192CDEE7" w14:textId="77777777" w:rsidR="00126D8D" w:rsidRPr="004A4899" w:rsidRDefault="00126D8D" w:rsidP="00820288">
            <w:pPr>
              <w:spacing w:line="240" w:lineRule="auto"/>
              <w:rPr>
                <w:rFonts w:ascii="Times New Roman" w:hAnsi="Times New Roman" w:cs="Times New Roman"/>
                <w:sz w:val="15"/>
                <w:szCs w:val="15"/>
              </w:rPr>
            </w:pPr>
            <w:r w:rsidRPr="004A4899">
              <w:rPr>
                <w:rFonts w:ascii="Times New Roman" w:hAnsi="Times New Roman" w:cs="Times New Roman"/>
                <w:sz w:val="15"/>
                <w:szCs w:val="15"/>
              </w:rPr>
              <w:t>a</w:t>
            </w:r>
          </w:p>
        </w:tc>
        <w:tc>
          <w:tcPr>
            <w:tcW w:w="712" w:type="dxa"/>
            <w:noWrap/>
            <w:vAlign w:val="center"/>
            <w:hideMark/>
          </w:tcPr>
          <w:p w14:paraId="696FFAC3" w14:textId="77777777" w:rsidR="00126D8D" w:rsidRPr="004A4899" w:rsidRDefault="00126D8D" w:rsidP="00820288">
            <w:pPr>
              <w:spacing w:line="240" w:lineRule="auto"/>
              <w:jc w:val="right"/>
              <w:rPr>
                <w:rFonts w:ascii="Times New Roman" w:hAnsi="Times New Roman" w:cs="Times New Roman"/>
                <w:sz w:val="15"/>
                <w:szCs w:val="15"/>
              </w:rPr>
            </w:pPr>
            <w:r w:rsidRPr="004A4899">
              <w:rPr>
                <w:rFonts w:ascii="Times New Roman" w:hAnsi="Times New Roman" w:cs="Times New Roman"/>
                <w:sz w:val="15"/>
                <w:szCs w:val="15"/>
              </w:rPr>
              <w:t>1.05</w:t>
            </w:r>
          </w:p>
        </w:tc>
        <w:tc>
          <w:tcPr>
            <w:tcW w:w="368" w:type="dxa"/>
            <w:noWrap/>
            <w:vAlign w:val="center"/>
            <w:hideMark/>
          </w:tcPr>
          <w:p w14:paraId="07F4098C" w14:textId="77777777" w:rsidR="00126D8D" w:rsidRPr="004A4899" w:rsidRDefault="00126D8D" w:rsidP="00820288">
            <w:pPr>
              <w:spacing w:line="240" w:lineRule="auto"/>
              <w:rPr>
                <w:rFonts w:ascii="Times New Roman" w:hAnsi="Times New Roman" w:cs="Times New Roman"/>
                <w:sz w:val="15"/>
                <w:szCs w:val="15"/>
              </w:rPr>
            </w:pPr>
            <w:r w:rsidRPr="004A4899">
              <w:rPr>
                <w:rFonts w:ascii="Times New Roman" w:hAnsi="Times New Roman" w:cs="Times New Roman"/>
                <w:sz w:val="15"/>
                <w:szCs w:val="15"/>
              </w:rPr>
              <w:t>a</w:t>
            </w:r>
          </w:p>
        </w:tc>
        <w:tc>
          <w:tcPr>
            <w:tcW w:w="916" w:type="dxa"/>
            <w:noWrap/>
            <w:vAlign w:val="center"/>
            <w:hideMark/>
          </w:tcPr>
          <w:p w14:paraId="381EF941" w14:textId="77777777" w:rsidR="00126D8D" w:rsidRPr="004A4899" w:rsidRDefault="00126D8D" w:rsidP="00820288">
            <w:pPr>
              <w:spacing w:line="240" w:lineRule="auto"/>
              <w:jc w:val="right"/>
              <w:rPr>
                <w:rFonts w:ascii="Times New Roman" w:hAnsi="Times New Roman" w:cs="Times New Roman"/>
                <w:sz w:val="15"/>
                <w:szCs w:val="15"/>
              </w:rPr>
            </w:pPr>
            <w:r w:rsidRPr="004A4899">
              <w:rPr>
                <w:rFonts w:ascii="Times New Roman" w:hAnsi="Times New Roman" w:cs="Times New Roman"/>
                <w:sz w:val="15"/>
                <w:szCs w:val="15"/>
              </w:rPr>
              <w:t>1.60</w:t>
            </w:r>
          </w:p>
        </w:tc>
        <w:tc>
          <w:tcPr>
            <w:tcW w:w="627" w:type="dxa"/>
            <w:noWrap/>
            <w:vAlign w:val="center"/>
            <w:hideMark/>
          </w:tcPr>
          <w:p w14:paraId="174D11B3" w14:textId="77777777" w:rsidR="00126D8D" w:rsidRPr="004A4899" w:rsidRDefault="00126D8D" w:rsidP="00820288">
            <w:pPr>
              <w:spacing w:line="240" w:lineRule="auto"/>
              <w:rPr>
                <w:rFonts w:ascii="Times New Roman" w:hAnsi="Times New Roman" w:cs="Times New Roman"/>
                <w:sz w:val="15"/>
                <w:szCs w:val="15"/>
              </w:rPr>
            </w:pPr>
            <w:r w:rsidRPr="004A4899">
              <w:rPr>
                <w:rFonts w:ascii="Times New Roman" w:hAnsi="Times New Roman" w:cs="Times New Roman"/>
                <w:sz w:val="15"/>
                <w:szCs w:val="15"/>
              </w:rPr>
              <w:t>a</w:t>
            </w:r>
          </w:p>
        </w:tc>
      </w:tr>
      <w:tr w:rsidR="00126D8D" w:rsidRPr="004A4899" w14:paraId="0DCD17B9" w14:textId="77777777" w:rsidTr="00820288">
        <w:trPr>
          <w:trHeight w:val="144"/>
        </w:trPr>
        <w:tc>
          <w:tcPr>
            <w:tcW w:w="1916" w:type="dxa"/>
            <w:noWrap/>
            <w:vAlign w:val="center"/>
            <w:hideMark/>
          </w:tcPr>
          <w:p w14:paraId="3951EC4D" w14:textId="77777777" w:rsidR="00126D8D" w:rsidRPr="004A4899" w:rsidRDefault="00126D8D" w:rsidP="00820288">
            <w:pPr>
              <w:spacing w:line="240" w:lineRule="auto"/>
              <w:rPr>
                <w:rFonts w:ascii="Times New Roman" w:hAnsi="Times New Roman" w:cs="Times New Roman"/>
                <w:sz w:val="15"/>
                <w:szCs w:val="15"/>
              </w:rPr>
            </w:pPr>
            <w:r w:rsidRPr="004A4899">
              <w:rPr>
                <w:rFonts w:ascii="Times New Roman" w:hAnsi="Times New Roman" w:cs="Times New Roman"/>
                <w:sz w:val="15"/>
                <w:szCs w:val="15"/>
              </w:rPr>
              <w:t>Dimethyl Sulfide</w:t>
            </w:r>
          </w:p>
        </w:tc>
        <w:tc>
          <w:tcPr>
            <w:tcW w:w="758" w:type="dxa"/>
            <w:noWrap/>
            <w:vAlign w:val="center"/>
            <w:hideMark/>
          </w:tcPr>
          <w:p w14:paraId="16E30811" w14:textId="77777777" w:rsidR="00126D8D" w:rsidRPr="004A4899" w:rsidRDefault="00126D8D" w:rsidP="00820288">
            <w:pPr>
              <w:spacing w:line="240" w:lineRule="auto"/>
              <w:jc w:val="right"/>
              <w:rPr>
                <w:rFonts w:ascii="Times New Roman" w:hAnsi="Times New Roman" w:cs="Times New Roman"/>
                <w:sz w:val="15"/>
                <w:szCs w:val="15"/>
              </w:rPr>
            </w:pPr>
            <w:r w:rsidRPr="004A4899">
              <w:rPr>
                <w:rFonts w:ascii="Times New Roman" w:hAnsi="Times New Roman" w:cs="Times New Roman"/>
                <w:sz w:val="15"/>
                <w:szCs w:val="15"/>
              </w:rPr>
              <w:t>43.42</w:t>
            </w:r>
          </w:p>
        </w:tc>
        <w:tc>
          <w:tcPr>
            <w:tcW w:w="366" w:type="dxa"/>
            <w:noWrap/>
            <w:vAlign w:val="center"/>
            <w:hideMark/>
          </w:tcPr>
          <w:p w14:paraId="1EB9203C" w14:textId="77777777" w:rsidR="00126D8D" w:rsidRPr="004A4899" w:rsidRDefault="00126D8D" w:rsidP="00820288">
            <w:pPr>
              <w:spacing w:line="240" w:lineRule="auto"/>
              <w:rPr>
                <w:rFonts w:ascii="Times New Roman" w:hAnsi="Times New Roman" w:cs="Times New Roman"/>
                <w:sz w:val="15"/>
                <w:szCs w:val="15"/>
              </w:rPr>
            </w:pPr>
            <w:r w:rsidRPr="004A4899">
              <w:rPr>
                <w:rFonts w:ascii="Times New Roman" w:hAnsi="Times New Roman" w:cs="Times New Roman"/>
                <w:sz w:val="15"/>
                <w:szCs w:val="15"/>
              </w:rPr>
              <w:t>c</w:t>
            </w:r>
          </w:p>
        </w:tc>
        <w:tc>
          <w:tcPr>
            <w:tcW w:w="712" w:type="dxa"/>
            <w:noWrap/>
            <w:vAlign w:val="center"/>
            <w:hideMark/>
          </w:tcPr>
          <w:p w14:paraId="3F167025" w14:textId="77777777" w:rsidR="00126D8D" w:rsidRPr="004A4899" w:rsidRDefault="00126D8D" w:rsidP="00820288">
            <w:pPr>
              <w:spacing w:line="240" w:lineRule="auto"/>
              <w:jc w:val="right"/>
              <w:rPr>
                <w:rFonts w:ascii="Times New Roman" w:hAnsi="Times New Roman" w:cs="Times New Roman"/>
                <w:sz w:val="15"/>
                <w:szCs w:val="15"/>
              </w:rPr>
            </w:pPr>
            <w:r w:rsidRPr="004A4899">
              <w:rPr>
                <w:rFonts w:ascii="Times New Roman" w:hAnsi="Times New Roman" w:cs="Times New Roman"/>
                <w:sz w:val="15"/>
                <w:szCs w:val="15"/>
              </w:rPr>
              <w:t>121.98</w:t>
            </w:r>
          </w:p>
        </w:tc>
        <w:tc>
          <w:tcPr>
            <w:tcW w:w="368" w:type="dxa"/>
            <w:noWrap/>
            <w:vAlign w:val="center"/>
            <w:hideMark/>
          </w:tcPr>
          <w:p w14:paraId="5AD906D1" w14:textId="77777777" w:rsidR="00126D8D" w:rsidRPr="004A4899" w:rsidRDefault="00126D8D" w:rsidP="00820288">
            <w:pPr>
              <w:spacing w:line="240" w:lineRule="auto"/>
              <w:rPr>
                <w:rFonts w:ascii="Times New Roman" w:hAnsi="Times New Roman" w:cs="Times New Roman"/>
                <w:sz w:val="15"/>
                <w:szCs w:val="15"/>
              </w:rPr>
            </w:pPr>
            <w:r w:rsidRPr="004A4899">
              <w:rPr>
                <w:rFonts w:ascii="Times New Roman" w:hAnsi="Times New Roman" w:cs="Times New Roman"/>
                <w:sz w:val="15"/>
                <w:szCs w:val="15"/>
              </w:rPr>
              <w:t>a</w:t>
            </w:r>
          </w:p>
        </w:tc>
        <w:tc>
          <w:tcPr>
            <w:tcW w:w="712" w:type="dxa"/>
            <w:noWrap/>
            <w:vAlign w:val="center"/>
            <w:hideMark/>
          </w:tcPr>
          <w:p w14:paraId="52E775CA" w14:textId="77777777" w:rsidR="00126D8D" w:rsidRPr="004A4899" w:rsidRDefault="00126D8D" w:rsidP="00820288">
            <w:pPr>
              <w:spacing w:line="240" w:lineRule="auto"/>
              <w:jc w:val="right"/>
              <w:rPr>
                <w:rFonts w:ascii="Times New Roman" w:hAnsi="Times New Roman" w:cs="Times New Roman"/>
                <w:sz w:val="15"/>
                <w:szCs w:val="15"/>
              </w:rPr>
            </w:pPr>
            <w:r w:rsidRPr="004A4899">
              <w:rPr>
                <w:rFonts w:ascii="Times New Roman" w:hAnsi="Times New Roman" w:cs="Times New Roman"/>
                <w:sz w:val="15"/>
                <w:szCs w:val="15"/>
              </w:rPr>
              <w:t>68.87</w:t>
            </w:r>
          </w:p>
        </w:tc>
        <w:tc>
          <w:tcPr>
            <w:tcW w:w="368" w:type="dxa"/>
            <w:noWrap/>
            <w:vAlign w:val="center"/>
            <w:hideMark/>
          </w:tcPr>
          <w:p w14:paraId="149E9583" w14:textId="77777777" w:rsidR="00126D8D" w:rsidRPr="004A4899" w:rsidRDefault="00126D8D" w:rsidP="00820288">
            <w:pPr>
              <w:spacing w:line="240" w:lineRule="auto"/>
              <w:rPr>
                <w:rFonts w:ascii="Times New Roman" w:hAnsi="Times New Roman" w:cs="Times New Roman"/>
                <w:sz w:val="15"/>
                <w:szCs w:val="15"/>
              </w:rPr>
            </w:pPr>
            <w:r w:rsidRPr="004A4899">
              <w:rPr>
                <w:rFonts w:ascii="Times New Roman" w:hAnsi="Times New Roman" w:cs="Times New Roman"/>
                <w:sz w:val="15"/>
                <w:szCs w:val="15"/>
              </w:rPr>
              <w:t>b</w:t>
            </w:r>
          </w:p>
        </w:tc>
        <w:tc>
          <w:tcPr>
            <w:tcW w:w="916" w:type="dxa"/>
            <w:noWrap/>
            <w:vAlign w:val="center"/>
            <w:hideMark/>
          </w:tcPr>
          <w:p w14:paraId="22DA6EE0" w14:textId="77777777" w:rsidR="00126D8D" w:rsidRPr="004A4899" w:rsidRDefault="00126D8D" w:rsidP="00820288">
            <w:pPr>
              <w:spacing w:line="240" w:lineRule="auto"/>
              <w:jc w:val="right"/>
              <w:rPr>
                <w:rFonts w:ascii="Times New Roman" w:hAnsi="Times New Roman" w:cs="Times New Roman"/>
                <w:sz w:val="15"/>
                <w:szCs w:val="15"/>
              </w:rPr>
            </w:pPr>
            <w:r w:rsidRPr="004A4899">
              <w:rPr>
                <w:rFonts w:ascii="Times New Roman" w:hAnsi="Times New Roman" w:cs="Times New Roman"/>
                <w:sz w:val="15"/>
                <w:szCs w:val="15"/>
              </w:rPr>
              <w:t>69.76</w:t>
            </w:r>
          </w:p>
        </w:tc>
        <w:tc>
          <w:tcPr>
            <w:tcW w:w="627" w:type="dxa"/>
            <w:noWrap/>
            <w:vAlign w:val="center"/>
            <w:hideMark/>
          </w:tcPr>
          <w:p w14:paraId="30DC4844" w14:textId="77777777" w:rsidR="00126D8D" w:rsidRPr="004A4899" w:rsidRDefault="00126D8D" w:rsidP="00820288">
            <w:pPr>
              <w:spacing w:line="240" w:lineRule="auto"/>
              <w:rPr>
                <w:rFonts w:ascii="Times New Roman" w:hAnsi="Times New Roman" w:cs="Times New Roman"/>
                <w:sz w:val="15"/>
                <w:szCs w:val="15"/>
              </w:rPr>
            </w:pPr>
            <w:r w:rsidRPr="004A4899">
              <w:rPr>
                <w:rFonts w:ascii="Times New Roman" w:hAnsi="Times New Roman" w:cs="Times New Roman"/>
                <w:sz w:val="15"/>
                <w:szCs w:val="15"/>
              </w:rPr>
              <w:t>b</w:t>
            </w:r>
          </w:p>
        </w:tc>
      </w:tr>
      <w:tr w:rsidR="00126D8D" w:rsidRPr="004A4899" w14:paraId="22E6C18F" w14:textId="77777777" w:rsidTr="00820288">
        <w:trPr>
          <w:trHeight w:val="144"/>
        </w:trPr>
        <w:tc>
          <w:tcPr>
            <w:tcW w:w="1916" w:type="dxa"/>
            <w:noWrap/>
            <w:vAlign w:val="center"/>
          </w:tcPr>
          <w:p w14:paraId="1013BE78" w14:textId="77777777" w:rsidR="00126D8D" w:rsidRPr="004A4899" w:rsidRDefault="00126D8D" w:rsidP="00820288">
            <w:pPr>
              <w:spacing w:line="240" w:lineRule="auto"/>
              <w:rPr>
                <w:rFonts w:ascii="Times New Roman" w:hAnsi="Times New Roman" w:cs="Times New Roman"/>
                <w:b/>
                <w:bCs/>
                <w:sz w:val="15"/>
                <w:szCs w:val="15"/>
              </w:rPr>
            </w:pPr>
            <w:r w:rsidRPr="004A4899">
              <w:rPr>
                <w:rFonts w:ascii="Times New Roman" w:hAnsi="Times New Roman" w:cs="Times New Roman"/>
                <w:b/>
                <w:bCs/>
                <w:sz w:val="15"/>
                <w:szCs w:val="15"/>
              </w:rPr>
              <w:t>Phenylpropanoids</w:t>
            </w:r>
          </w:p>
        </w:tc>
        <w:tc>
          <w:tcPr>
            <w:tcW w:w="758" w:type="dxa"/>
            <w:noWrap/>
            <w:vAlign w:val="center"/>
          </w:tcPr>
          <w:p w14:paraId="607EC627" w14:textId="77777777" w:rsidR="00126D8D" w:rsidRPr="004A4899" w:rsidRDefault="00126D8D" w:rsidP="00820288">
            <w:pPr>
              <w:spacing w:line="240" w:lineRule="auto"/>
              <w:jc w:val="right"/>
              <w:rPr>
                <w:rFonts w:ascii="Times New Roman" w:hAnsi="Times New Roman" w:cs="Times New Roman"/>
                <w:sz w:val="15"/>
                <w:szCs w:val="15"/>
              </w:rPr>
            </w:pPr>
          </w:p>
        </w:tc>
        <w:tc>
          <w:tcPr>
            <w:tcW w:w="366" w:type="dxa"/>
            <w:noWrap/>
            <w:vAlign w:val="center"/>
          </w:tcPr>
          <w:p w14:paraId="7A84A7B9" w14:textId="77777777" w:rsidR="00126D8D" w:rsidRPr="004A4899" w:rsidRDefault="00126D8D" w:rsidP="00820288">
            <w:pPr>
              <w:spacing w:line="240" w:lineRule="auto"/>
              <w:rPr>
                <w:rFonts w:ascii="Times New Roman" w:hAnsi="Times New Roman" w:cs="Times New Roman"/>
                <w:sz w:val="15"/>
                <w:szCs w:val="15"/>
              </w:rPr>
            </w:pPr>
          </w:p>
        </w:tc>
        <w:tc>
          <w:tcPr>
            <w:tcW w:w="712" w:type="dxa"/>
            <w:noWrap/>
            <w:vAlign w:val="center"/>
          </w:tcPr>
          <w:p w14:paraId="4E235114" w14:textId="77777777" w:rsidR="00126D8D" w:rsidRPr="004A4899" w:rsidRDefault="00126D8D" w:rsidP="00820288">
            <w:pPr>
              <w:spacing w:line="240" w:lineRule="auto"/>
              <w:jc w:val="right"/>
              <w:rPr>
                <w:rFonts w:ascii="Times New Roman" w:hAnsi="Times New Roman" w:cs="Times New Roman"/>
                <w:sz w:val="15"/>
                <w:szCs w:val="15"/>
              </w:rPr>
            </w:pPr>
          </w:p>
        </w:tc>
        <w:tc>
          <w:tcPr>
            <w:tcW w:w="368" w:type="dxa"/>
            <w:noWrap/>
            <w:vAlign w:val="center"/>
          </w:tcPr>
          <w:p w14:paraId="3BEA4342" w14:textId="77777777" w:rsidR="00126D8D" w:rsidRPr="004A4899" w:rsidRDefault="00126D8D" w:rsidP="00820288">
            <w:pPr>
              <w:spacing w:line="240" w:lineRule="auto"/>
              <w:rPr>
                <w:rFonts w:ascii="Times New Roman" w:hAnsi="Times New Roman" w:cs="Times New Roman"/>
                <w:sz w:val="15"/>
                <w:szCs w:val="15"/>
              </w:rPr>
            </w:pPr>
          </w:p>
        </w:tc>
        <w:tc>
          <w:tcPr>
            <w:tcW w:w="712" w:type="dxa"/>
            <w:noWrap/>
            <w:vAlign w:val="center"/>
          </w:tcPr>
          <w:p w14:paraId="25231066" w14:textId="77777777" w:rsidR="00126D8D" w:rsidRPr="004A4899" w:rsidRDefault="00126D8D" w:rsidP="00820288">
            <w:pPr>
              <w:spacing w:line="240" w:lineRule="auto"/>
              <w:jc w:val="right"/>
              <w:rPr>
                <w:rFonts w:ascii="Times New Roman" w:hAnsi="Times New Roman" w:cs="Times New Roman"/>
                <w:sz w:val="15"/>
                <w:szCs w:val="15"/>
              </w:rPr>
            </w:pPr>
          </w:p>
        </w:tc>
        <w:tc>
          <w:tcPr>
            <w:tcW w:w="368" w:type="dxa"/>
            <w:noWrap/>
            <w:vAlign w:val="center"/>
          </w:tcPr>
          <w:p w14:paraId="4D38CF3A" w14:textId="77777777" w:rsidR="00126D8D" w:rsidRPr="004A4899" w:rsidRDefault="00126D8D" w:rsidP="00820288">
            <w:pPr>
              <w:spacing w:line="240" w:lineRule="auto"/>
              <w:rPr>
                <w:rFonts w:ascii="Times New Roman" w:hAnsi="Times New Roman" w:cs="Times New Roman"/>
                <w:sz w:val="15"/>
                <w:szCs w:val="15"/>
              </w:rPr>
            </w:pPr>
          </w:p>
        </w:tc>
        <w:tc>
          <w:tcPr>
            <w:tcW w:w="916" w:type="dxa"/>
            <w:noWrap/>
            <w:vAlign w:val="center"/>
          </w:tcPr>
          <w:p w14:paraId="1772CA6D" w14:textId="77777777" w:rsidR="00126D8D" w:rsidRPr="004A4899" w:rsidRDefault="00126D8D" w:rsidP="00820288">
            <w:pPr>
              <w:spacing w:line="240" w:lineRule="auto"/>
              <w:jc w:val="right"/>
              <w:rPr>
                <w:rFonts w:ascii="Times New Roman" w:hAnsi="Times New Roman" w:cs="Times New Roman"/>
                <w:sz w:val="15"/>
                <w:szCs w:val="15"/>
              </w:rPr>
            </w:pPr>
          </w:p>
        </w:tc>
        <w:tc>
          <w:tcPr>
            <w:tcW w:w="627" w:type="dxa"/>
            <w:noWrap/>
            <w:vAlign w:val="center"/>
          </w:tcPr>
          <w:p w14:paraId="29CC6FB8" w14:textId="77777777" w:rsidR="00126D8D" w:rsidRPr="004A4899" w:rsidRDefault="00126D8D" w:rsidP="00820288">
            <w:pPr>
              <w:spacing w:line="240" w:lineRule="auto"/>
              <w:rPr>
                <w:rFonts w:ascii="Times New Roman" w:hAnsi="Times New Roman" w:cs="Times New Roman"/>
                <w:sz w:val="15"/>
                <w:szCs w:val="15"/>
              </w:rPr>
            </w:pPr>
          </w:p>
        </w:tc>
      </w:tr>
      <w:tr w:rsidR="00126D8D" w:rsidRPr="004A4899" w14:paraId="78BF582B" w14:textId="77777777" w:rsidTr="00820288">
        <w:trPr>
          <w:trHeight w:val="144"/>
        </w:trPr>
        <w:tc>
          <w:tcPr>
            <w:tcW w:w="1916" w:type="dxa"/>
            <w:noWrap/>
            <w:vAlign w:val="center"/>
            <w:hideMark/>
          </w:tcPr>
          <w:p w14:paraId="099C4B04" w14:textId="77777777" w:rsidR="00126D8D" w:rsidRPr="004A4899" w:rsidRDefault="00126D8D" w:rsidP="00820288">
            <w:pPr>
              <w:spacing w:line="240" w:lineRule="auto"/>
              <w:rPr>
                <w:rFonts w:ascii="Times New Roman" w:hAnsi="Times New Roman" w:cs="Times New Roman"/>
                <w:sz w:val="15"/>
                <w:szCs w:val="15"/>
              </w:rPr>
            </w:pPr>
            <w:r w:rsidRPr="004A4899">
              <w:rPr>
                <w:rFonts w:ascii="Times New Roman" w:hAnsi="Times New Roman" w:cs="Times New Roman"/>
                <w:sz w:val="15"/>
                <w:szCs w:val="15"/>
              </w:rPr>
              <w:t>Eugenol</w:t>
            </w:r>
          </w:p>
        </w:tc>
        <w:tc>
          <w:tcPr>
            <w:tcW w:w="758" w:type="dxa"/>
            <w:noWrap/>
            <w:vAlign w:val="center"/>
            <w:hideMark/>
          </w:tcPr>
          <w:p w14:paraId="4BF6978B" w14:textId="77777777" w:rsidR="00126D8D" w:rsidRPr="004A4899" w:rsidRDefault="00126D8D" w:rsidP="00820288">
            <w:pPr>
              <w:spacing w:line="240" w:lineRule="auto"/>
              <w:jc w:val="right"/>
              <w:rPr>
                <w:rFonts w:ascii="Times New Roman" w:hAnsi="Times New Roman" w:cs="Times New Roman"/>
                <w:sz w:val="15"/>
                <w:szCs w:val="15"/>
              </w:rPr>
            </w:pPr>
            <w:r w:rsidRPr="004A4899">
              <w:rPr>
                <w:rFonts w:ascii="Times New Roman" w:hAnsi="Times New Roman" w:cs="Times New Roman"/>
                <w:sz w:val="15"/>
                <w:szCs w:val="15"/>
              </w:rPr>
              <w:t>43.16</w:t>
            </w:r>
          </w:p>
        </w:tc>
        <w:tc>
          <w:tcPr>
            <w:tcW w:w="366" w:type="dxa"/>
            <w:noWrap/>
            <w:vAlign w:val="center"/>
            <w:hideMark/>
          </w:tcPr>
          <w:p w14:paraId="4E208716" w14:textId="77777777" w:rsidR="00126D8D" w:rsidRPr="004A4899" w:rsidRDefault="00126D8D" w:rsidP="00820288">
            <w:pPr>
              <w:spacing w:line="240" w:lineRule="auto"/>
              <w:rPr>
                <w:rFonts w:ascii="Times New Roman" w:hAnsi="Times New Roman" w:cs="Times New Roman"/>
                <w:sz w:val="15"/>
                <w:szCs w:val="15"/>
              </w:rPr>
            </w:pPr>
            <w:r w:rsidRPr="004A4899">
              <w:rPr>
                <w:rFonts w:ascii="Times New Roman" w:hAnsi="Times New Roman" w:cs="Times New Roman"/>
                <w:sz w:val="15"/>
                <w:szCs w:val="15"/>
              </w:rPr>
              <w:t>d</w:t>
            </w:r>
          </w:p>
        </w:tc>
        <w:tc>
          <w:tcPr>
            <w:tcW w:w="712" w:type="dxa"/>
            <w:noWrap/>
            <w:vAlign w:val="center"/>
            <w:hideMark/>
          </w:tcPr>
          <w:p w14:paraId="50EB3DCB" w14:textId="77777777" w:rsidR="00126D8D" w:rsidRPr="004A4899" w:rsidRDefault="00126D8D" w:rsidP="00820288">
            <w:pPr>
              <w:spacing w:line="240" w:lineRule="auto"/>
              <w:jc w:val="right"/>
              <w:rPr>
                <w:rFonts w:ascii="Times New Roman" w:hAnsi="Times New Roman" w:cs="Times New Roman"/>
                <w:sz w:val="15"/>
                <w:szCs w:val="15"/>
              </w:rPr>
            </w:pPr>
            <w:r w:rsidRPr="004A4899">
              <w:rPr>
                <w:rFonts w:ascii="Times New Roman" w:hAnsi="Times New Roman" w:cs="Times New Roman"/>
                <w:sz w:val="15"/>
                <w:szCs w:val="15"/>
              </w:rPr>
              <w:t>139.70</w:t>
            </w:r>
          </w:p>
        </w:tc>
        <w:tc>
          <w:tcPr>
            <w:tcW w:w="368" w:type="dxa"/>
            <w:noWrap/>
            <w:vAlign w:val="center"/>
            <w:hideMark/>
          </w:tcPr>
          <w:p w14:paraId="6BAE76AD" w14:textId="77777777" w:rsidR="00126D8D" w:rsidRPr="004A4899" w:rsidRDefault="00126D8D" w:rsidP="00820288">
            <w:pPr>
              <w:spacing w:line="240" w:lineRule="auto"/>
              <w:rPr>
                <w:rFonts w:ascii="Times New Roman" w:hAnsi="Times New Roman" w:cs="Times New Roman"/>
                <w:sz w:val="15"/>
                <w:szCs w:val="15"/>
              </w:rPr>
            </w:pPr>
            <w:r w:rsidRPr="004A4899">
              <w:rPr>
                <w:rFonts w:ascii="Times New Roman" w:hAnsi="Times New Roman" w:cs="Times New Roman"/>
                <w:sz w:val="15"/>
                <w:szCs w:val="15"/>
              </w:rPr>
              <w:t>c</w:t>
            </w:r>
          </w:p>
        </w:tc>
        <w:tc>
          <w:tcPr>
            <w:tcW w:w="712" w:type="dxa"/>
            <w:noWrap/>
            <w:vAlign w:val="center"/>
            <w:hideMark/>
          </w:tcPr>
          <w:p w14:paraId="1F0BB433" w14:textId="77777777" w:rsidR="00126D8D" w:rsidRPr="004A4899" w:rsidRDefault="00126D8D" w:rsidP="00820288">
            <w:pPr>
              <w:spacing w:line="240" w:lineRule="auto"/>
              <w:jc w:val="right"/>
              <w:rPr>
                <w:rFonts w:ascii="Times New Roman" w:hAnsi="Times New Roman" w:cs="Times New Roman"/>
                <w:sz w:val="15"/>
                <w:szCs w:val="15"/>
              </w:rPr>
            </w:pPr>
            <w:r w:rsidRPr="004A4899">
              <w:rPr>
                <w:rFonts w:ascii="Times New Roman" w:hAnsi="Times New Roman" w:cs="Times New Roman"/>
                <w:sz w:val="15"/>
                <w:szCs w:val="15"/>
              </w:rPr>
              <w:t>280.02</w:t>
            </w:r>
          </w:p>
        </w:tc>
        <w:tc>
          <w:tcPr>
            <w:tcW w:w="368" w:type="dxa"/>
            <w:noWrap/>
            <w:vAlign w:val="center"/>
            <w:hideMark/>
          </w:tcPr>
          <w:p w14:paraId="1F0CCAFE" w14:textId="77777777" w:rsidR="00126D8D" w:rsidRPr="004A4899" w:rsidRDefault="00126D8D" w:rsidP="00820288">
            <w:pPr>
              <w:spacing w:line="240" w:lineRule="auto"/>
              <w:rPr>
                <w:rFonts w:ascii="Times New Roman" w:hAnsi="Times New Roman" w:cs="Times New Roman"/>
                <w:sz w:val="15"/>
                <w:szCs w:val="15"/>
              </w:rPr>
            </w:pPr>
            <w:r w:rsidRPr="004A4899">
              <w:rPr>
                <w:rFonts w:ascii="Times New Roman" w:hAnsi="Times New Roman" w:cs="Times New Roman"/>
                <w:sz w:val="15"/>
                <w:szCs w:val="15"/>
              </w:rPr>
              <w:t>a</w:t>
            </w:r>
          </w:p>
        </w:tc>
        <w:tc>
          <w:tcPr>
            <w:tcW w:w="916" w:type="dxa"/>
            <w:noWrap/>
            <w:vAlign w:val="center"/>
            <w:hideMark/>
          </w:tcPr>
          <w:p w14:paraId="48D42A2B" w14:textId="77777777" w:rsidR="00126D8D" w:rsidRPr="004A4899" w:rsidRDefault="00126D8D" w:rsidP="00820288">
            <w:pPr>
              <w:spacing w:line="240" w:lineRule="auto"/>
              <w:jc w:val="right"/>
              <w:rPr>
                <w:rFonts w:ascii="Times New Roman" w:hAnsi="Times New Roman" w:cs="Times New Roman"/>
                <w:sz w:val="15"/>
                <w:szCs w:val="15"/>
              </w:rPr>
            </w:pPr>
            <w:r w:rsidRPr="004A4899">
              <w:rPr>
                <w:rFonts w:ascii="Times New Roman" w:hAnsi="Times New Roman" w:cs="Times New Roman"/>
                <w:sz w:val="15"/>
                <w:szCs w:val="15"/>
              </w:rPr>
              <w:t>212.33</w:t>
            </w:r>
          </w:p>
        </w:tc>
        <w:tc>
          <w:tcPr>
            <w:tcW w:w="627" w:type="dxa"/>
            <w:noWrap/>
            <w:vAlign w:val="center"/>
            <w:hideMark/>
          </w:tcPr>
          <w:p w14:paraId="0E62A0CC" w14:textId="77777777" w:rsidR="00126D8D" w:rsidRPr="004A4899" w:rsidRDefault="00126D8D" w:rsidP="00820288">
            <w:pPr>
              <w:spacing w:line="240" w:lineRule="auto"/>
              <w:rPr>
                <w:rFonts w:ascii="Times New Roman" w:hAnsi="Times New Roman" w:cs="Times New Roman"/>
                <w:sz w:val="15"/>
                <w:szCs w:val="15"/>
              </w:rPr>
            </w:pPr>
            <w:r w:rsidRPr="004A4899">
              <w:rPr>
                <w:rFonts w:ascii="Times New Roman" w:hAnsi="Times New Roman" w:cs="Times New Roman"/>
                <w:sz w:val="15"/>
                <w:szCs w:val="15"/>
              </w:rPr>
              <w:t>b</w:t>
            </w:r>
          </w:p>
        </w:tc>
      </w:tr>
      <w:tr w:rsidR="00126D8D" w:rsidRPr="004A4899" w14:paraId="4B19E0EE" w14:textId="77777777" w:rsidTr="00820288">
        <w:trPr>
          <w:trHeight w:val="144"/>
        </w:trPr>
        <w:tc>
          <w:tcPr>
            <w:tcW w:w="1916" w:type="dxa"/>
            <w:tcBorders>
              <w:bottom w:val="single" w:sz="4" w:space="0" w:color="auto"/>
            </w:tcBorders>
            <w:noWrap/>
            <w:vAlign w:val="center"/>
            <w:hideMark/>
          </w:tcPr>
          <w:p w14:paraId="5FA67450" w14:textId="77777777" w:rsidR="00126D8D" w:rsidRPr="004A4899" w:rsidRDefault="00126D8D" w:rsidP="00820288">
            <w:pPr>
              <w:spacing w:line="240" w:lineRule="auto"/>
              <w:rPr>
                <w:rFonts w:ascii="Times New Roman" w:hAnsi="Times New Roman" w:cs="Times New Roman"/>
                <w:sz w:val="15"/>
                <w:szCs w:val="15"/>
              </w:rPr>
            </w:pPr>
            <w:r w:rsidRPr="004A4899">
              <w:rPr>
                <w:rFonts w:ascii="Times New Roman" w:hAnsi="Times New Roman" w:cs="Times New Roman"/>
                <w:sz w:val="15"/>
                <w:szCs w:val="15"/>
              </w:rPr>
              <w:t>Methyl Eugenol</w:t>
            </w:r>
          </w:p>
        </w:tc>
        <w:tc>
          <w:tcPr>
            <w:tcW w:w="758" w:type="dxa"/>
            <w:tcBorders>
              <w:bottom w:val="single" w:sz="4" w:space="0" w:color="auto"/>
            </w:tcBorders>
            <w:noWrap/>
            <w:vAlign w:val="center"/>
            <w:hideMark/>
          </w:tcPr>
          <w:p w14:paraId="0FC9034C" w14:textId="77777777" w:rsidR="00126D8D" w:rsidRPr="004A4899" w:rsidRDefault="00126D8D" w:rsidP="00820288">
            <w:pPr>
              <w:spacing w:line="240" w:lineRule="auto"/>
              <w:jc w:val="right"/>
              <w:rPr>
                <w:rFonts w:ascii="Times New Roman" w:hAnsi="Times New Roman" w:cs="Times New Roman"/>
                <w:sz w:val="15"/>
                <w:szCs w:val="15"/>
              </w:rPr>
            </w:pPr>
            <w:r w:rsidRPr="004A4899">
              <w:rPr>
                <w:rFonts w:ascii="Times New Roman" w:hAnsi="Times New Roman" w:cs="Times New Roman"/>
                <w:sz w:val="15"/>
                <w:szCs w:val="15"/>
              </w:rPr>
              <w:t>131.23</w:t>
            </w:r>
          </w:p>
        </w:tc>
        <w:tc>
          <w:tcPr>
            <w:tcW w:w="366" w:type="dxa"/>
            <w:tcBorders>
              <w:bottom w:val="single" w:sz="4" w:space="0" w:color="auto"/>
            </w:tcBorders>
            <w:noWrap/>
            <w:vAlign w:val="center"/>
            <w:hideMark/>
          </w:tcPr>
          <w:p w14:paraId="2D90331B" w14:textId="77777777" w:rsidR="00126D8D" w:rsidRPr="004A4899" w:rsidRDefault="00126D8D" w:rsidP="00820288">
            <w:pPr>
              <w:spacing w:line="240" w:lineRule="auto"/>
              <w:rPr>
                <w:rFonts w:ascii="Times New Roman" w:hAnsi="Times New Roman" w:cs="Times New Roman"/>
                <w:sz w:val="15"/>
                <w:szCs w:val="15"/>
              </w:rPr>
            </w:pPr>
            <w:r w:rsidRPr="004A4899">
              <w:rPr>
                <w:rFonts w:ascii="Times New Roman" w:hAnsi="Times New Roman" w:cs="Times New Roman"/>
                <w:sz w:val="15"/>
                <w:szCs w:val="15"/>
              </w:rPr>
              <w:t>b</w:t>
            </w:r>
          </w:p>
        </w:tc>
        <w:tc>
          <w:tcPr>
            <w:tcW w:w="712" w:type="dxa"/>
            <w:tcBorders>
              <w:bottom w:val="single" w:sz="4" w:space="0" w:color="auto"/>
            </w:tcBorders>
            <w:noWrap/>
            <w:vAlign w:val="center"/>
            <w:hideMark/>
          </w:tcPr>
          <w:p w14:paraId="10056B01" w14:textId="77777777" w:rsidR="00126D8D" w:rsidRPr="004A4899" w:rsidRDefault="00126D8D" w:rsidP="00820288">
            <w:pPr>
              <w:spacing w:line="240" w:lineRule="auto"/>
              <w:jc w:val="right"/>
              <w:rPr>
                <w:rFonts w:ascii="Times New Roman" w:hAnsi="Times New Roman" w:cs="Times New Roman"/>
                <w:sz w:val="15"/>
                <w:szCs w:val="15"/>
              </w:rPr>
            </w:pPr>
            <w:r w:rsidRPr="004A4899">
              <w:rPr>
                <w:rFonts w:ascii="Times New Roman" w:hAnsi="Times New Roman" w:cs="Times New Roman"/>
                <w:sz w:val="15"/>
                <w:szCs w:val="15"/>
              </w:rPr>
              <w:t>138.51</w:t>
            </w:r>
          </w:p>
        </w:tc>
        <w:tc>
          <w:tcPr>
            <w:tcW w:w="368" w:type="dxa"/>
            <w:tcBorders>
              <w:bottom w:val="single" w:sz="4" w:space="0" w:color="auto"/>
            </w:tcBorders>
            <w:noWrap/>
            <w:vAlign w:val="center"/>
            <w:hideMark/>
          </w:tcPr>
          <w:p w14:paraId="3AE6B0D3" w14:textId="77777777" w:rsidR="00126D8D" w:rsidRPr="004A4899" w:rsidRDefault="00126D8D" w:rsidP="00820288">
            <w:pPr>
              <w:spacing w:line="240" w:lineRule="auto"/>
              <w:rPr>
                <w:rFonts w:ascii="Times New Roman" w:hAnsi="Times New Roman" w:cs="Times New Roman"/>
                <w:sz w:val="15"/>
                <w:szCs w:val="15"/>
              </w:rPr>
            </w:pPr>
            <w:r w:rsidRPr="004A4899">
              <w:rPr>
                <w:rFonts w:ascii="Times New Roman" w:hAnsi="Times New Roman" w:cs="Times New Roman"/>
                <w:sz w:val="15"/>
                <w:szCs w:val="15"/>
              </w:rPr>
              <w:t>b</w:t>
            </w:r>
          </w:p>
        </w:tc>
        <w:tc>
          <w:tcPr>
            <w:tcW w:w="712" w:type="dxa"/>
            <w:tcBorders>
              <w:bottom w:val="single" w:sz="4" w:space="0" w:color="auto"/>
            </w:tcBorders>
            <w:noWrap/>
            <w:vAlign w:val="center"/>
            <w:hideMark/>
          </w:tcPr>
          <w:p w14:paraId="3F1A4F9E" w14:textId="77777777" w:rsidR="00126D8D" w:rsidRPr="004A4899" w:rsidRDefault="00126D8D" w:rsidP="00820288">
            <w:pPr>
              <w:spacing w:line="240" w:lineRule="auto"/>
              <w:jc w:val="right"/>
              <w:rPr>
                <w:rFonts w:ascii="Times New Roman" w:hAnsi="Times New Roman" w:cs="Times New Roman"/>
                <w:sz w:val="15"/>
                <w:szCs w:val="15"/>
              </w:rPr>
            </w:pPr>
            <w:r w:rsidRPr="004A4899">
              <w:rPr>
                <w:rFonts w:ascii="Times New Roman" w:hAnsi="Times New Roman" w:cs="Times New Roman"/>
                <w:sz w:val="15"/>
                <w:szCs w:val="15"/>
              </w:rPr>
              <w:t>160.17</w:t>
            </w:r>
          </w:p>
        </w:tc>
        <w:tc>
          <w:tcPr>
            <w:tcW w:w="368" w:type="dxa"/>
            <w:tcBorders>
              <w:bottom w:val="single" w:sz="4" w:space="0" w:color="auto"/>
            </w:tcBorders>
            <w:noWrap/>
            <w:vAlign w:val="center"/>
            <w:hideMark/>
          </w:tcPr>
          <w:p w14:paraId="6F6D2661" w14:textId="77777777" w:rsidR="00126D8D" w:rsidRPr="004A4899" w:rsidRDefault="00126D8D" w:rsidP="00820288">
            <w:pPr>
              <w:spacing w:line="240" w:lineRule="auto"/>
              <w:rPr>
                <w:rFonts w:ascii="Times New Roman" w:hAnsi="Times New Roman" w:cs="Times New Roman"/>
                <w:sz w:val="15"/>
                <w:szCs w:val="15"/>
              </w:rPr>
            </w:pPr>
            <w:r w:rsidRPr="004A4899">
              <w:rPr>
                <w:rFonts w:ascii="Times New Roman" w:hAnsi="Times New Roman" w:cs="Times New Roman"/>
                <w:sz w:val="15"/>
                <w:szCs w:val="15"/>
              </w:rPr>
              <w:t>a</w:t>
            </w:r>
          </w:p>
        </w:tc>
        <w:tc>
          <w:tcPr>
            <w:tcW w:w="916" w:type="dxa"/>
            <w:tcBorders>
              <w:bottom w:val="single" w:sz="4" w:space="0" w:color="auto"/>
            </w:tcBorders>
            <w:noWrap/>
            <w:vAlign w:val="center"/>
            <w:hideMark/>
          </w:tcPr>
          <w:p w14:paraId="49664A1A" w14:textId="77777777" w:rsidR="00126D8D" w:rsidRPr="004A4899" w:rsidRDefault="00126D8D" w:rsidP="00820288">
            <w:pPr>
              <w:spacing w:line="240" w:lineRule="auto"/>
              <w:jc w:val="right"/>
              <w:rPr>
                <w:rFonts w:ascii="Times New Roman" w:hAnsi="Times New Roman" w:cs="Times New Roman"/>
                <w:sz w:val="15"/>
                <w:szCs w:val="15"/>
              </w:rPr>
            </w:pPr>
            <w:r w:rsidRPr="004A4899">
              <w:rPr>
                <w:rFonts w:ascii="Times New Roman" w:hAnsi="Times New Roman" w:cs="Times New Roman"/>
                <w:sz w:val="15"/>
                <w:szCs w:val="15"/>
              </w:rPr>
              <w:t>172.11</w:t>
            </w:r>
          </w:p>
        </w:tc>
        <w:tc>
          <w:tcPr>
            <w:tcW w:w="627" w:type="dxa"/>
            <w:tcBorders>
              <w:bottom w:val="single" w:sz="4" w:space="0" w:color="auto"/>
            </w:tcBorders>
            <w:noWrap/>
            <w:vAlign w:val="center"/>
            <w:hideMark/>
          </w:tcPr>
          <w:p w14:paraId="7435B2D1" w14:textId="77777777" w:rsidR="00126D8D" w:rsidRPr="004A4899" w:rsidRDefault="00126D8D" w:rsidP="00820288">
            <w:pPr>
              <w:spacing w:line="240" w:lineRule="auto"/>
              <w:rPr>
                <w:rFonts w:ascii="Times New Roman" w:hAnsi="Times New Roman" w:cs="Times New Roman"/>
                <w:sz w:val="15"/>
                <w:szCs w:val="15"/>
              </w:rPr>
            </w:pPr>
            <w:r w:rsidRPr="004A4899">
              <w:rPr>
                <w:rFonts w:ascii="Times New Roman" w:hAnsi="Times New Roman" w:cs="Times New Roman"/>
                <w:sz w:val="15"/>
                <w:szCs w:val="15"/>
              </w:rPr>
              <w:t>a</w:t>
            </w:r>
          </w:p>
        </w:tc>
      </w:tr>
    </w:tbl>
    <w:p w14:paraId="3AD6DE9B" w14:textId="77777777" w:rsidR="00126D8D" w:rsidRPr="004A4899" w:rsidRDefault="00126D8D" w:rsidP="000958A5">
      <w:pPr>
        <w:spacing w:line="240" w:lineRule="auto"/>
        <w:ind w:right="2610"/>
        <w:jc w:val="both"/>
        <w:rPr>
          <w:rFonts w:cs="Times New Roman"/>
          <w:color w:val="000000"/>
          <w:sz w:val="14"/>
          <w:szCs w:val="14"/>
        </w:rPr>
      </w:pPr>
      <w:r w:rsidRPr="004A4899">
        <w:rPr>
          <w:rFonts w:cs="Times New Roman"/>
          <w:color w:val="000000"/>
          <w:sz w:val="14"/>
          <w:szCs w:val="14"/>
        </w:rPr>
        <w:t>All concentrations are presented in micro molarity of analyte per gram of fresh mass (µM</w:t>
      </w:r>
      <w:r w:rsidRPr="004A4899">
        <w:rPr>
          <w:rFonts w:cs="Times New Roman"/>
          <w:color w:val="000000"/>
          <w:sz w:val="14"/>
          <w:szCs w:val="14"/>
        </w:rPr>
        <w:sym w:font="Symbol" w:char="F0D7"/>
      </w:r>
      <w:r w:rsidRPr="004A4899">
        <w:rPr>
          <w:rFonts w:cs="Times New Roman"/>
          <w:color w:val="000000"/>
          <w:sz w:val="14"/>
          <w:szCs w:val="14"/>
        </w:rPr>
        <w:t>g</w:t>
      </w:r>
      <w:r w:rsidRPr="004A4899">
        <w:rPr>
          <w:rFonts w:cs="Times New Roman"/>
          <w:color w:val="000000"/>
          <w:sz w:val="14"/>
          <w:szCs w:val="14"/>
          <w:vertAlign w:val="superscript"/>
        </w:rPr>
        <w:t>-1</w:t>
      </w:r>
      <w:r w:rsidRPr="004A4899">
        <w:rPr>
          <w:rFonts w:cs="Times New Roman"/>
          <w:color w:val="000000"/>
          <w:sz w:val="14"/>
          <w:szCs w:val="14"/>
        </w:rPr>
        <w:t xml:space="preserve"> FM). Mean values represent two plants per replication and ten replications per treatment. Values for each season are averaged across all treatments within that season. Values were analyzed using Tukey’s protected least significant difference. Data in the same row followed by the same letter are not significantly different (</w:t>
      </w:r>
      <w:r w:rsidRPr="004A4899">
        <w:rPr>
          <w:rFonts w:cs="Times New Roman"/>
          <w:sz w:val="16"/>
          <w:szCs w:val="16"/>
        </w:rPr>
        <w:t>α = 0.05)</w:t>
      </w:r>
      <w:r w:rsidRPr="004A4899">
        <w:rPr>
          <w:rFonts w:cs="Times New Roman"/>
          <w:color w:val="000000"/>
          <w:sz w:val="14"/>
          <w:szCs w:val="14"/>
        </w:rPr>
        <w:t xml:space="preserve">. </w:t>
      </w:r>
    </w:p>
    <w:p w14:paraId="6026B979" w14:textId="77777777" w:rsidR="00126D8D" w:rsidRDefault="00126D8D">
      <w:pPr>
        <w:spacing w:line="240" w:lineRule="auto"/>
        <w:rPr>
          <w:rFonts w:cs="Times New Roman"/>
          <w:b/>
          <w:bCs/>
        </w:rPr>
      </w:pPr>
      <w:r>
        <w:rPr>
          <w:rFonts w:cs="Times New Roman"/>
          <w:b/>
          <w:bCs/>
        </w:rPr>
        <w:br w:type="page"/>
      </w:r>
    </w:p>
    <w:p w14:paraId="48A636A4" w14:textId="77777777" w:rsidR="00126D8D" w:rsidRPr="00747A19" w:rsidRDefault="00126D8D" w:rsidP="004A4899">
      <w:pPr>
        <w:pStyle w:val="TableTOC"/>
      </w:pPr>
      <w:bookmarkStart w:id="531" w:name="_Toc141478777"/>
      <w:r w:rsidRPr="00747A19">
        <w:rPr>
          <w:b/>
          <w:bCs/>
        </w:rPr>
        <w:lastRenderedPageBreak/>
        <w:t xml:space="preserve">Table </w:t>
      </w:r>
      <w:r>
        <w:rPr>
          <w:b/>
          <w:bCs/>
        </w:rPr>
        <w:t>3.</w:t>
      </w:r>
      <w:r w:rsidRPr="00747A19">
        <w:rPr>
          <w:b/>
          <w:bCs/>
        </w:rPr>
        <w:t xml:space="preserve">4. </w:t>
      </w:r>
      <w:r w:rsidRPr="00747A19">
        <w:t>Influence of light treatment on aroma volatile tissue concentrations in hydroponically grown greenhouse sweet basil (</w:t>
      </w:r>
      <w:r w:rsidRPr="00747A19">
        <w:rPr>
          <w:i/>
          <w:iCs/>
        </w:rPr>
        <w:t xml:space="preserve">Ocimum basilicum </w:t>
      </w:r>
      <w:r w:rsidRPr="00747A19">
        <w:t>var. Italian Large Leaf).</w:t>
      </w:r>
      <w:bookmarkEnd w:id="531"/>
    </w:p>
    <w:p w14:paraId="2B8B09B2" w14:textId="77777777" w:rsidR="00126D8D" w:rsidRPr="00747A19" w:rsidRDefault="00126D8D" w:rsidP="000958A5">
      <w:pPr>
        <w:spacing w:line="240" w:lineRule="auto"/>
        <w:rPr>
          <w:rFonts w:cs="Times New Roman"/>
          <w:b/>
          <w:bCs/>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14" w:type="dxa"/>
        </w:tblCellMar>
        <w:tblLook w:val="04A0" w:firstRow="1" w:lastRow="0" w:firstColumn="1" w:lastColumn="0" w:noHBand="0" w:noVBand="1"/>
      </w:tblPr>
      <w:tblGrid>
        <w:gridCol w:w="1440"/>
        <w:gridCol w:w="377"/>
        <w:gridCol w:w="274"/>
        <w:gridCol w:w="411"/>
        <w:gridCol w:w="239"/>
        <w:gridCol w:w="377"/>
        <w:gridCol w:w="273"/>
        <w:gridCol w:w="377"/>
        <w:gridCol w:w="273"/>
        <w:gridCol w:w="377"/>
        <w:gridCol w:w="326"/>
        <w:gridCol w:w="377"/>
        <w:gridCol w:w="326"/>
        <w:gridCol w:w="377"/>
        <w:gridCol w:w="219"/>
        <w:gridCol w:w="377"/>
        <w:gridCol w:w="159"/>
        <w:gridCol w:w="377"/>
        <w:gridCol w:w="326"/>
        <w:gridCol w:w="377"/>
        <w:gridCol w:w="252"/>
        <w:gridCol w:w="377"/>
        <w:gridCol w:w="273"/>
        <w:gridCol w:w="377"/>
        <w:gridCol w:w="273"/>
      </w:tblGrid>
      <w:tr w:rsidR="00126D8D" w:rsidRPr="004A4899" w14:paraId="7225D806" w14:textId="77777777" w:rsidTr="00820288">
        <w:trPr>
          <w:trHeight w:val="173"/>
        </w:trPr>
        <w:tc>
          <w:tcPr>
            <w:tcW w:w="1440" w:type="dxa"/>
            <w:tcBorders>
              <w:top w:val="single" w:sz="4" w:space="0" w:color="auto"/>
            </w:tcBorders>
            <w:noWrap/>
            <w:vAlign w:val="center"/>
          </w:tcPr>
          <w:p w14:paraId="0FFFBC85" w14:textId="77777777" w:rsidR="00126D8D" w:rsidRPr="004A4899" w:rsidRDefault="00126D8D" w:rsidP="00820288">
            <w:pPr>
              <w:spacing w:line="240" w:lineRule="auto"/>
              <w:rPr>
                <w:rFonts w:ascii="Times New Roman" w:hAnsi="Times New Roman" w:cs="Times New Roman"/>
                <w:sz w:val="11"/>
                <w:szCs w:val="11"/>
              </w:rPr>
            </w:pPr>
          </w:p>
        </w:tc>
        <w:tc>
          <w:tcPr>
            <w:tcW w:w="7771" w:type="dxa"/>
            <w:gridSpan w:val="24"/>
            <w:tcBorders>
              <w:top w:val="single" w:sz="4" w:space="0" w:color="auto"/>
              <w:bottom w:val="single" w:sz="4" w:space="0" w:color="auto"/>
            </w:tcBorders>
            <w:noWrap/>
            <w:vAlign w:val="center"/>
          </w:tcPr>
          <w:p w14:paraId="60EFFF66" w14:textId="77777777" w:rsidR="00126D8D" w:rsidRPr="004A4899" w:rsidRDefault="00126D8D" w:rsidP="00820288">
            <w:pPr>
              <w:spacing w:line="240" w:lineRule="auto"/>
              <w:jc w:val="center"/>
              <w:rPr>
                <w:rFonts w:ascii="Times New Roman" w:hAnsi="Times New Roman" w:cs="Times New Roman"/>
                <w:b/>
                <w:bCs/>
                <w:sz w:val="13"/>
                <w:szCs w:val="13"/>
              </w:rPr>
            </w:pPr>
            <w:r w:rsidRPr="004A4899">
              <w:rPr>
                <w:rFonts w:ascii="Times New Roman" w:hAnsi="Times New Roman" w:cs="Times New Roman"/>
                <w:b/>
                <w:bCs/>
                <w:sz w:val="13"/>
                <w:szCs w:val="13"/>
              </w:rPr>
              <w:t>Lighting Treatments</w:t>
            </w:r>
          </w:p>
        </w:tc>
      </w:tr>
      <w:tr w:rsidR="00126D8D" w:rsidRPr="004A4899" w14:paraId="462FEE2F" w14:textId="77777777" w:rsidTr="00820288">
        <w:trPr>
          <w:trHeight w:val="173"/>
        </w:trPr>
        <w:tc>
          <w:tcPr>
            <w:tcW w:w="1440" w:type="dxa"/>
            <w:tcBorders>
              <w:bottom w:val="single" w:sz="4" w:space="0" w:color="auto"/>
            </w:tcBorders>
            <w:noWrap/>
            <w:vAlign w:val="center"/>
            <w:hideMark/>
          </w:tcPr>
          <w:p w14:paraId="30DD5491" w14:textId="77777777" w:rsidR="00126D8D" w:rsidRPr="004A4899" w:rsidRDefault="00126D8D" w:rsidP="00820288">
            <w:pPr>
              <w:spacing w:line="240" w:lineRule="auto"/>
              <w:rPr>
                <w:rFonts w:ascii="Times New Roman" w:hAnsi="Times New Roman" w:cs="Times New Roman"/>
                <w:b/>
                <w:bCs/>
                <w:sz w:val="12"/>
                <w:szCs w:val="12"/>
              </w:rPr>
            </w:pPr>
            <w:r w:rsidRPr="004A4899">
              <w:rPr>
                <w:rFonts w:ascii="Times New Roman" w:hAnsi="Times New Roman" w:cs="Times New Roman"/>
                <w:b/>
                <w:bCs/>
                <w:sz w:val="13"/>
                <w:szCs w:val="13"/>
              </w:rPr>
              <w:t>Compound Name</w:t>
            </w:r>
          </w:p>
        </w:tc>
        <w:tc>
          <w:tcPr>
            <w:tcW w:w="651" w:type="dxa"/>
            <w:gridSpan w:val="2"/>
            <w:tcBorders>
              <w:top w:val="single" w:sz="4" w:space="0" w:color="auto"/>
              <w:bottom w:val="single" w:sz="4" w:space="0" w:color="auto"/>
            </w:tcBorders>
            <w:noWrap/>
            <w:vAlign w:val="center"/>
            <w:hideMark/>
          </w:tcPr>
          <w:p w14:paraId="36021837" w14:textId="77777777" w:rsidR="00126D8D" w:rsidRPr="004A4899" w:rsidRDefault="00126D8D" w:rsidP="00820288">
            <w:pPr>
              <w:spacing w:line="240" w:lineRule="auto"/>
              <w:jc w:val="center"/>
              <w:rPr>
                <w:rFonts w:ascii="Times New Roman" w:hAnsi="Times New Roman" w:cs="Times New Roman"/>
                <w:b/>
                <w:bCs/>
                <w:sz w:val="11"/>
                <w:szCs w:val="11"/>
              </w:rPr>
            </w:pPr>
            <w:r w:rsidRPr="004A4899">
              <w:rPr>
                <w:rFonts w:ascii="Times New Roman" w:hAnsi="Times New Roman" w:cs="Times New Roman"/>
                <w:b/>
                <w:bCs/>
                <w:sz w:val="11"/>
                <w:szCs w:val="11"/>
              </w:rPr>
              <w:t>660/400/660</w:t>
            </w:r>
          </w:p>
        </w:tc>
        <w:tc>
          <w:tcPr>
            <w:tcW w:w="650" w:type="dxa"/>
            <w:gridSpan w:val="2"/>
            <w:tcBorders>
              <w:top w:val="single" w:sz="4" w:space="0" w:color="auto"/>
              <w:bottom w:val="single" w:sz="4" w:space="0" w:color="auto"/>
            </w:tcBorders>
            <w:noWrap/>
            <w:vAlign w:val="center"/>
            <w:hideMark/>
          </w:tcPr>
          <w:p w14:paraId="0967D225" w14:textId="77777777" w:rsidR="00126D8D" w:rsidRPr="004A4899" w:rsidRDefault="00126D8D" w:rsidP="00820288">
            <w:pPr>
              <w:spacing w:line="240" w:lineRule="auto"/>
              <w:jc w:val="center"/>
              <w:rPr>
                <w:rFonts w:ascii="Times New Roman" w:hAnsi="Times New Roman" w:cs="Times New Roman"/>
                <w:b/>
                <w:bCs/>
                <w:sz w:val="11"/>
                <w:szCs w:val="11"/>
              </w:rPr>
            </w:pPr>
            <w:r w:rsidRPr="004A4899">
              <w:rPr>
                <w:rFonts w:ascii="Times New Roman" w:hAnsi="Times New Roman" w:cs="Times New Roman"/>
                <w:b/>
                <w:bCs/>
                <w:sz w:val="11"/>
                <w:szCs w:val="11"/>
              </w:rPr>
              <w:t>660/420/660</w:t>
            </w:r>
          </w:p>
        </w:tc>
        <w:tc>
          <w:tcPr>
            <w:tcW w:w="650" w:type="dxa"/>
            <w:gridSpan w:val="2"/>
            <w:tcBorders>
              <w:top w:val="single" w:sz="4" w:space="0" w:color="auto"/>
              <w:bottom w:val="single" w:sz="4" w:space="0" w:color="auto"/>
            </w:tcBorders>
            <w:noWrap/>
            <w:vAlign w:val="center"/>
            <w:hideMark/>
          </w:tcPr>
          <w:p w14:paraId="6EF598F3" w14:textId="77777777" w:rsidR="00126D8D" w:rsidRPr="004A4899" w:rsidRDefault="00126D8D" w:rsidP="00820288">
            <w:pPr>
              <w:spacing w:line="240" w:lineRule="auto"/>
              <w:jc w:val="center"/>
              <w:rPr>
                <w:rFonts w:ascii="Times New Roman" w:hAnsi="Times New Roman" w:cs="Times New Roman"/>
                <w:b/>
                <w:bCs/>
                <w:sz w:val="11"/>
                <w:szCs w:val="11"/>
              </w:rPr>
            </w:pPr>
            <w:r w:rsidRPr="004A4899">
              <w:rPr>
                <w:rFonts w:ascii="Times New Roman" w:hAnsi="Times New Roman" w:cs="Times New Roman"/>
                <w:b/>
                <w:bCs/>
                <w:sz w:val="11"/>
                <w:szCs w:val="11"/>
              </w:rPr>
              <w:t>660/450/660</w:t>
            </w:r>
          </w:p>
        </w:tc>
        <w:tc>
          <w:tcPr>
            <w:tcW w:w="650" w:type="dxa"/>
            <w:gridSpan w:val="2"/>
            <w:tcBorders>
              <w:top w:val="single" w:sz="4" w:space="0" w:color="auto"/>
              <w:bottom w:val="single" w:sz="4" w:space="0" w:color="auto"/>
            </w:tcBorders>
            <w:noWrap/>
            <w:vAlign w:val="center"/>
            <w:hideMark/>
          </w:tcPr>
          <w:p w14:paraId="5EF9955E" w14:textId="77777777" w:rsidR="00126D8D" w:rsidRPr="004A4899" w:rsidRDefault="00126D8D" w:rsidP="00820288">
            <w:pPr>
              <w:spacing w:line="240" w:lineRule="auto"/>
              <w:jc w:val="center"/>
              <w:rPr>
                <w:rFonts w:ascii="Times New Roman" w:hAnsi="Times New Roman" w:cs="Times New Roman"/>
                <w:b/>
                <w:bCs/>
                <w:sz w:val="11"/>
                <w:szCs w:val="11"/>
              </w:rPr>
            </w:pPr>
            <w:r w:rsidRPr="004A4899">
              <w:rPr>
                <w:rFonts w:ascii="Times New Roman" w:hAnsi="Times New Roman" w:cs="Times New Roman"/>
                <w:b/>
                <w:bCs/>
                <w:sz w:val="11"/>
                <w:szCs w:val="11"/>
              </w:rPr>
              <w:t>660/470/660</w:t>
            </w:r>
          </w:p>
        </w:tc>
        <w:tc>
          <w:tcPr>
            <w:tcW w:w="703" w:type="dxa"/>
            <w:gridSpan w:val="2"/>
            <w:tcBorders>
              <w:top w:val="single" w:sz="4" w:space="0" w:color="auto"/>
              <w:bottom w:val="single" w:sz="4" w:space="0" w:color="auto"/>
            </w:tcBorders>
            <w:noWrap/>
            <w:vAlign w:val="center"/>
            <w:hideMark/>
          </w:tcPr>
          <w:p w14:paraId="27E410FD" w14:textId="77777777" w:rsidR="00126D8D" w:rsidRPr="004A4899" w:rsidRDefault="00126D8D" w:rsidP="00820288">
            <w:pPr>
              <w:spacing w:line="240" w:lineRule="auto"/>
              <w:jc w:val="center"/>
              <w:rPr>
                <w:rFonts w:ascii="Times New Roman" w:hAnsi="Times New Roman" w:cs="Times New Roman"/>
                <w:b/>
                <w:bCs/>
                <w:sz w:val="11"/>
                <w:szCs w:val="11"/>
              </w:rPr>
            </w:pPr>
            <w:r w:rsidRPr="004A4899">
              <w:rPr>
                <w:rFonts w:ascii="Times New Roman" w:hAnsi="Times New Roman" w:cs="Times New Roman"/>
                <w:b/>
                <w:bCs/>
                <w:sz w:val="11"/>
                <w:szCs w:val="11"/>
              </w:rPr>
              <w:t>470/450/420</w:t>
            </w:r>
          </w:p>
        </w:tc>
        <w:tc>
          <w:tcPr>
            <w:tcW w:w="703" w:type="dxa"/>
            <w:gridSpan w:val="2"/>
            <w:tcBorders>
              <w:top w:val="single" w:sz="4" w:space="0" w:color="auto"/>
              <w:bottom w:val="single" w:sz="4" w:space="0" w:color="auto"/>
            </w:tcBorders>
            <w:noWrap/>
            <w:vAlign w:val="center"/>
            <w:hideMark/>
          </w:tcPr>
          <w:p w14:paraId="736C8B94" w14:textId="77777777" w:rsidR="00126D8D" w:rsidRPr="004A4899" w:rsidRDefault="00126D8D" w:rsidP="00820288">
            <w:pPr>
              <w:spacing w:line="240" w:lineRule="auto"/>
              <w:jc w:val="center"/>
              <w:rPr>
                <w:rFonts w:ascii="Times New Roman" w:hAnsi="Times New Roman" w:cs="Times New Roman"/>
                <w:b/>
                <w:bCs/>
                <w:sz w:val="11"/>
                <w:szCs w:val="11"/>
              </w:rPr>
            </w:pPr>
            <w:r w:rsidRPr="004A4899">
              <w:rPr>
                <w:rFonts w:ascii="Times New Roman" w:hAnsi="Times New Roman" w:cs="Times New Roman"/>
                <w:b/>
                <w:bCs/>
                <w:sz w:val="11"/>
                <w:szCs w:val="11"/>
              </w:rPr>
              <w:t>450/660/470</w:t>
            </w:r>
          </w:p>
        </w:tc>
        <w:tc>
          <w:tcPr>
            <w:tcW w:w="596" w:type="dxa"/>
            <w:gridSpan w:val="2"/>
            <w:tcBorders>
              <w:top w:val="single" w:sz="4" w:space="0" w:color="auto"/>
              <w:bottom w:val="single" w:sz="4" w:space="0" w:color="auto"/>
            </w:tcBorders>
            <w:noWrap/>
            <w:vAlign w:val="center"/>
            <w:hideMark/>
          </w:tcPr>
          <w:p w14:paraId="2633AC85" w14:textId="77777777" w:rsidR="00126D8D" w:rsidRPr="004A4899" w:rsidRDefault="00126D8D" w:rsidP="00820288">
            <w:pPr>
              <w:spacing w:line="240" w:lineRule="auto"/>
              <w:jc w:val="center"/>
              <w:rPr>
                <w:rFonts w:ascii="Times New Roman" w:hAnsi="Times New Roman" w:cs="Times New Roman"/>
                <w:b/>
                <w:bCs/>
                <w:sz w:val="11"/>
                <w:szCs w:val="11"/>
              </w:rPr>
            </w:pPr>
            <w:r w:rsidRPr="004A4899">
              <w:rPr>
                <w:rFonts w:ascii="Times New Roman" w:hAnsi="Times New Roman" w:cs="Times New Roman"/>
                <w:b/>
                <w:bCs/>
                <w:sz w:val="11"/>
                <w:szCs w:val="11"/>
              </w:rPr>
              <w:t>450/W/470</w:t>
            </w:r>
          </w:p>
        </w:tc>
        <w:tc>
          <w:tcPr>
            <w:tcW w:w="536" w:type="dxa"/>
            <w:gridSpan w:val="2"/>
            <w:tcBorders>
              <w:top w:val="single" w:sz="4" w:space="0" w:color="auto"/>
              <w:bottom w:val="single" w:sz="4" w:space="0" w:color="auto"/>
            </w:tcBorders>
            <w:noWrap/>
            <w:vAlign w:val="center"/>
            <w:hideMark/>
          </w:tcPr>
          <w:p w14:paraId="276E389E" w14:textId="77777777" w:rsidR="00126D8D" w:rsidRPr="004A4899" w:rsidRDefault="00126D8D" w:rsidP="00820288">
            <w:pPr>
              <w:spacing w:line="240" w:lineRule="auto"/>
              <w:jc w:val="center"/>
              <w:rPr>
                <w:rFonts w:ascii="Times New Roman" w:hAnsi="Times New Roman" w:cs="Times New Roman"/>
                <w:b/>
                <w:bCs/>
                <w:sz w:val="11"/>
                <w:szCs w:val="11"/>
              </w:rPr>
            </w:pPr>
            <w:r w:rsidRPr="004A4899">
              <w:rPr>
                <w:rFonts w:ascii="Times New Roman" w:hAnsi="Times New Roman" w:cs="Times New Roman"/>
                <w:b/>
                <w:bCs/>
                <w:sz w:val="11"/>
                <w:szCs w:val="11"/>
              </w:rPr>
              <w:t>6B/94R</w:t>
            </w:r>
          </w:p>
        </w:tc>
        <w:tc>
          <w:tcPr>
            <w:tcW w:w="703" w:type="dxa"/>
            <w:gridSpan w:val="2"/>
            <w:tcBorders>
              <w:top w:val="single" w:sz="4" w:space="0" w:color="auto"/>
              <w:bottom w:val="single" w:sz="4" w:space="0" w:color="auto"/>
            </w:tcBorders>
            <w:noWrap/>
            <w:vAlign w:val="center"/>
            <w:hideMark/>
          </w:tcPr>
          <w:p w14:paraId="4A7ED81E" w14:textId="77777777" w:rsidR="00126D8D" w:rsidRPr="004A4899" w:rsidRDefault="00126D8D" w:rsidP="00820288">
            <w:pPr>
              <w:spacing w:line="240" w:lineRule="auto"/>
              <w:jc w:val="center"/>
              <w:rPr>
                <w:rFonts w:ascii="Times New Roman" w:hAnsi="Times New Roman" w:cs="Times New Roman"/>
                <w:b/>
                <w:bCs/>
                <w:sz w:val="11"/>
                <w:szCs w:val="11"/>
              </w:rPr>
            </w:pPr>
            <w:r w:rsidRPr="004A4899">
              <w:rPr>
                <w:rFonts w:ascii="Times New Roman" w:hAnsi="Times New Roman" w:cs="Times New Roman"/>
                <w:b/>
                <w:bCs/>
                <w:sz w:val="11"/>
                <w:szCs w:val="11"/>
              </w:rPr>
              <w:t>12B/88R</w:t>
            </w:r>
          </w:p>
        </w:tc>
        <w:tc>
          <w:tcPr>
            <w:tcW w:w="629" w:type="dxa"/>
            <w:gridSpan w:val="2"/>
            <w:tcBorders>
              <w:top w:val="single" w:sz="4" w:space="0" w:color="auto"/>
              <w:bottom w:val="single" w:sz="4" w:space="0" w:color="auto"/>
            </w:tcBorders>
            <w:noWrap/>
            <w:vAlign w:val="center"/>
            <w:hideMark/>
          </w:tcPr>
          <w:p w14:paraId="7F35E51D" w14:textId="77777777" w:rsidR="00126D8D" w:rsidRPr="004A4899" w:rsidRDefault="00126D8D" w:rsidP="00820288">
            <w:pPr>
              <w:spacing w:line="240" w:lineRule="auto"/>
              <w:jc w:val="center"/>
              <w:rPr>
                <w:rFonts w:ascii="Times New Roman" w:hAnsi="Times New Roman" w:cs="Times New Roman"/>
                <w:b/>
                <w:bCs/>
                <w:sz w:val="11"/>
                <w:szCs w:val="11"/>
              </w:rPr>
            </w:pPr>
            <w:r w:rsidRPr="004A4899">
              <w:rPr>
                <w:rFonts w:ascii="Times New Roman" w:hAnsi="Times New Roman" w:cs="Times New Roman"/>
                <w:b/>
                <w:bCs/>
                <w:sz w:val="11"/>
                <w:szCs w:val="11"/>
              </w:rPr>
              <w:t>HPS</w:t>
            </w:r>
          </w:p>
        </w:tc>
        <w:tc>
          <w:tcPr>
            <w:tcW w:w="650" w:type="dxa"/>
            <w:gridSpan w:val="2"/>
            <w:tcBorders>
              <w:top w:val="single" w:sz="4" w:space="0" w:color="auto"/>
              <w:bottom w:val="single" w:sz="4" w:space="0" w:color="auto"/>
            </w:tcBorders>
            <w:noWrap/>
            <w:vAlign w:val="center"/>
            <w:hideMark/>
          </w:tcPr>
          <w:p w14:paraId="51A39128" w14:textId="77777777" w:rsidR="00126D8D" w:rsidRPr="004A4899" w:rsidRDefault="00126D8D" w:rsidP="00820288">
            <w:pPr>
              <w:spacing w:line="240" w:lineRule="auto"/>
              <w:jc w:val="center"/>
              <w:rPr>
                <w:rFonts w:ascii="Times New Roman" w:hAnsi="Times New Roman" w:cs="Times New Roman"/>
                <w:b/>
                <w:bCs/>
                <w:sz w:val="11"/>
                <w:szCs w:val="11"/>
              </w:rPr>
            </w:pPr>
            <w:r w:rsidRPr="004A4899">
              <w:rPr>
                <w:rFonts w:ascii="Times New Roman" w:hAnsi="Times New Roman" w:cs="Times New Roman"/>
                <w:b/>
                <w:bCs/>
                <w:sz w:val="11"/>
                <w:szCs w:val="11"/>
              </w:rPr>
              <w:t>W/W/W</w:t>
            </w:r>
          </w:p>
        </w:tc>
        <w:tc>
          <w:tcPr>
            <w:tcW w:w="650" w:type="dxa"/>
            <w:gridSpan w:val="2"/>
            <w:tcBorders>
              <w:top w:val="single" w:sz="4" w:space="0" w:color="auto"/>
              <w:bottom w:val="single" w:sz="4" w:space="0" w:color="auto"/>
            </w:tcBorders>
            <w:noWrap/>
            <w:vAlign w:val="center"/>
            <w:hideMark/>
          </w:tcPr>
          <w:p w14:paraId="0B047CAF" w14:textId="77777777" w:rsidR="00126D8D" w:rsidRPr="004A4899" w:rsidRDefault="00126D8D" w:rsidP="00820288">
            <w:pPr>
              <w:spacing w:line="240" w:lineRule="auto"/>
              <w:jc w:val="center"/>
              <w:rPr>
                <w:rFonts w:ascii="Times New Roman" w:hAnsi="Times New Roman" w:cs="Times New Roman"/>
                <w:sz w:val="11"/>
                <w:szCs w:val="11"/>
              </w:rPr>
            </w:pPr>
            <w:r w:rsidRPr="004A4899">
              <w:rPr>
                <w:rFonts w:ascii="Times New Roman" w:hAnsi="Times New Roman" w:cs="Times New Roman"/>
                <w:b/>
                <w:bCs/>
                <w:sz w:val="11"/>
                <w:szCs w:val="11"/>
              </w:rPr>
              <w:t>NL Control</w:t>
            </w:r>
          </w:p>
        </w:tc>
      </w:tr>
      <w:tr w:rsidR="00126D8D" w:rsidRPr="004A4899" w14:paraId="37295546" w14:textId="77777777" w:rsidTr="00820288">
        <w:trPr>
          <w:trHeight w:val="173"/>
        </w:trPr>
        <w:tc>
          <w:tcPr>
            <w:tcW w:w="1440" w:type="dxa"/>
            <w:tcBorders>
              <w:top w:val="single" w:sz="4" w:space="0" w:color="auto"/>
            </w:tcBorders>
            <w:noWrap/>
            <w:vAlign w:val="center"/>
            <w:hideMark/>
          </w:tcPr>
          <w:p w14:paraId="37D16C26" w14:textId="77777777" w:rsidR="00126D8D" w:rsidRPr="004A4899" w:rsidRDefault="00126D8D" w:rsidP="00820288">
            <w:pPr>
              <w:spacing w:line="240" w:lineRule="auto"/>
              <w:rPr>
                <w:rFonts w:ascii="Times New Roman" w:hAnsi="Times New Roman" w:cs="Times New Roman"/>
                <w:b/>
                <w:bCs/>
                <w:sz w:val="12"/>
                <w:szCs w:val="12"/>
              </w:rPr>
            </w:pPr>
            <w:r w:rsidRPr="004A4899">
              <w:rPr>
                <w:rFonts w:ascii="Times New Roman" w:hAnsi="Times New Roman" w:cs="Times New Roman"/>
                <w:b/>
                <w:bCs/>
                <w:sz w:val="12"/>
                <w:szCs w:val="12"/>
              </w:rPr>
              <w:t>Alcohols</w:t>
            </w:r>
          </w:p>
        </w:tc>
        <w:tc>
          <w:tcPr>
            <w:tcW w:w="377" w:type="dxa"/>
            <w:tcBorders>
              <w:top w:val="single" w:sz="4" w:space="0" w:color="auto"/>
            </w:tcBorders>
            <w:noWrap/>
            <w:vAlign w:val="center"/>
            <w:hideMark/>
          </w:tcPr>
          <w:p w14:paraId="782EB6EE" w14:textId="77777777" w:rsidR="00126D8D" w:rsidRPr="004A4899" w:rsidRDefault="00126D8D" w:rsidP="00820288">
            <w:pPr>
              <w:spacing w:line="240" w:lineRule="auto"/>
              <w:jc w:val="right"/>
              <w:rPr>
                <w:rFonts w:ascii="Times New Roman" w:hAnsi="Times New Roman" w:cs="Times New Roman"/>
                <w:sz w:val="12"/>
                <w:szCs w:val="12"/>
              </w:rPr>
            </w:pPr>
          </w:p>
        </w:tc>
        <w:tc>
          <w:tcPr>
            <w:tcW w:w="274" w:type="dxa"/>
            <w:tcBorders>
              <w:top w:val="single" w:sz="4" w:space="0" w:color="auto"/>
            </w:tcBorders>
            <w:noWrap/>
            <w:vAlign w:val="center"/>
            <w:hideMark/>
          </w:tcPr>
          <w:p w14:paraId="332CD374" w14:textId="77777777" w:rsidR="00126D8D" w:rsidRPr="004A4899" w:rsidRDefault="00126D8D" w:rsidP="00820288">
            <w:pPr>
              <w:spacing w:line="240" w:lineRule="auto"/>
              <w:rPr>
                <w:rFonts w:ascii="Times New Roman" w:hAnsi="Times New Roman" w:cs="Times New Roman"/>
                <w:sz w:val="12"/>
                <w:szCs w:val="12"/>
              </w:rPr>
            </w:pPr>
          </w:p>
        </w:tc>
        <w:tc>
          <w:tcPr>
            <w:tcW w:w="411" w:type="dxa"/>
            <w:tcBorders>
              <w:top w:val="single" w:sz="4" w:space="0" w:color="auto"/>
            </w:tcBorders>
            <w:noWrap/>
            <w:vAlign w:val="center"/>
            <w:hideMark/>
          </w:tcPr>
          <w:p w14:paraId="59B8E0E1" w14:textId="77777777" w:rsidR="00126D8D" w:rsidRPr="004A4899" w:rsidRDefault="00126D8D" w:rsidP="00820288">
            <w:pPr>
              <w:spacing w:line="240" w:lineRule="auto"/>
              <w:jc w:val="right"/>
              <w:rPr>
                <w:rFonts w:ascii="Times New Roman" w:hAnsi="Times New Roman" w:cs="Times New Roman"/>
                <w:sz w:val="12"/>
                <w:szCs w:val="12"/>
              </w:rPr>
            </w:pPr>
          </w:p>
        </w:tc>
        <w:tc>
          <w:tcPr>
            <w:tcW w:w="239" w:type="dxa"/>
            <w:tcBorders>
              <w:top w:val="single" w:sz="4" w:space="0" w:color="auto"/>
            </w:tcBorders>
            <w:noWrap/>
            <w:vAlign w:val="center"/>
            <w:hideMark/>
          </w:tcPr>
          <w:p w14:paraId="24980C7B" w14:textId="77777777" w:rsidR="00126D8D" w:rsidRPr="004A4899" w:rsidRDefault="00126D8D" w:rsidP="00820288">
            <w:pPr>
              <w:spacing w:line="240" w:lineRule="auto"/>
              <w:rPr>
                <w:rFonts w:ascii="Times New Roman" w:hAnsi="Times New Roman" w:cs="Times New Roman"/>
                <w:sz w:val="12"/>
                <w:szCs w:val="12"/>
              </w:rPr>
            </w:pPr>
          </w:p>
        </w:tc>
        <w:tc>
          <w:tcPr>
            <w:tcW w:w="377" w:type="dxa"/>
            <w:tcBorders>
              <w:top w:val="single" w:sz="4" w:space="0" w:color="auto"/>
            </w:tcBorders>
            <w:noWrap/>
            <w:vAlign w:val="center"/>
            <w:hideMark/>
          </w:tcPr>
          <w:p w14:paraId="78237E02" w14:textId="77777777" w:rsidR="00126D8D" w:rsidRPr="004A4899" w:rsidRDefault="00126D8D" w:rsidP="00820288">
            <w:pPr>
              <w:spacing w:line="240" w:lineRule="auto"/>
              <w:jc w:val="right"/>
              <w:rPr>
                <w:rFonts w:ascii="Times New Roman" w:hAnsi="Times New Roman" w:cs="Times New Roman"/>
                <w:sz w:val="12"/>
                <w:szCs w:val="12"/>
              </w:rPr>
            </w:pPr>
          </w:p>
        </w:tc>
        <w:tc>
          <w:tcPr>
            <w:tcW w:w="273" w:type="dxa"/>
            <w:tcBorders>
              <w:top w:val="single" w:sz="4" w:space="0" w:color="auto"/>
            </w:tcBorders>
            <w:noWrap/>
            <w:vAlign w:val="center"/>
            <w:hideMark/>
          </w:tcPr>
          <w:p w14:paraId="04A5FCD4" w14:textId="77777777" w:rsidR="00126D8D" w:rsidRPr="004A4899" w:rsidRDefault="00126D8D" w:rsidP="00820288">
            <w:pPr>
              <w:spacing w:line="240" w:lineRule="auto"/>
              <w:rPr>
                <w:rFonts w:ascii="Times New Roman" w:hAnsi="Times New Roman" w:cs="Times New Roman"/>
                <w:sz w:val="12"/>
                <w:szCs w:val="12"/>
              </w:rPr>
            </w:pPr>
          </w:p>
        </w:tc>
        <w:tc>
          <w:tcPr>
            <w:tcW w:w="377" w:type="dxa"/>
            <w:tcBorders>
              <w:top w:val="single" w:sz="4" w:space="0" w:color="auto"/>
            </w:tcBorders>
            <w:noWrap/>
            <w:vAlign w:val="center"/>
            <w:hideMark/>
          </w:tcPr>
          <w:p w14:paraId="6EE10C48" w14:textId="77777777" w:rsidR="00126D8D" w:rsidRPr="004A4899" w:rsidRDefault="00126D8D" w:rsidP="00820288">
            <w:pPr>
              <w:spacing w:line="240" w:lineRule="auto"/>
              <w:jc w:val="right"/>
              <w:rPr>
                <w:rFonts w:ascii="Times New Roman" w:hAnsi="Times New Roman" w:cs="Times New Roman"/>
                <w:sz w:val="12"/>
                <w:szCs w:val="12"/>
              </w:rPr>
            </w:pPr>
          </w:p>
        </w:tc>
        <w:tc>
          <w:tcPr>
            <w:tcW w:w="273" w:type="dxa"/>
            <w:tcBorders>
              <w:top w:val="single" w:sz="4" w:space="0" w:color="auto"/>
            </w:tcBorders>
            <w:noWrap/>
            <w:vAlign w:val="center"/>
            <w:hideMark/>
          </w:tcPr>
          <w:p w14:paraId="4AA119FF" w14:textId="77777777" w:rsidR="00126D8D" w:rsidRPr="004A4899" w:rsidRDefault="00126D8D" w:rsidP="00820288">
            <w:pPr>
              <w:spacing w:line="240" w:lineRule="auto"/>
              <w:rPr>
                <w:rFonts w:ascii="Times New Roman" w:hAnsi="Times New Roman" w:cs="Times New Roman"/>
                <w:sz w:val="12"/>
                <w:szCs w:val="12"/>
              </w:rPr>
            </w:pPr>
          </w:p>
        </w:tc>
        <w:tc>
          <w:tcPr>
            <w:tcW w:w="377" w:type="dxa"/>
            <w:tcBorders>
              <w:top w:val="single" w:sz="4" w:space="0" w:color="auto"/>
            </w:tcBorders>
            <w:noWrap/>
            <w:vAlign w:val="center"/>
            <w:hideMark/>
          </w:tcPr>
          <w:p w14:paraId="216F1E96" w14:textId="77777777" w:rsidR="00126D8D" w:rsidRPr="004A4899" w:rsidRDefault="00126D8D" w:rsidP="00820288">
            <w:pPr>
              <w:spacing w:line="240" w:lineRule="auto"/>
              <w:jc w:val="right"/>
              <w:rPr>
                <w:rFonts w:ascii="Times New Roman" w:hAnsi="Times New Roman" w:cs="Times New Roman"/>
                <w:sz w:val="12"/>
                <w:szCs w:val="12"/>
              </w:rPr>
            </w:pPr>
          </w:p>
        </w:tc>
        <w:tc>
          <w:tcPr>
            <w:tcW w:w="326" w:type="dxa"/>
            <w:tcBorders>
              <w:top w:val="single" w:sz="4" w:space="0" w:color="auto"/>
            </w:tcBorders>
            <w:noWrap/>
            <w:vAlign w:val="center"/>
            <w:hideMark/>
          </w:tcPr>
          <w:p w14:paraId="3EF516E4" w14:textId="77777777" w:rsidR="00126D8D" w:rsidRPr="004A4899" w:rsidRDefault="00126D8D" w:rsidP="00820288">
            <w:pPr>
              <w:spacing w:line="240" w:lineRule="auto"/>
              <w:rPr>
                <w:rFonts w:ascii="Times New Roman" w:hAnsi="Times New Roman" w:cs="Times New Roman"/>
                <w:sz w:val="12"/>
                <w:szCs w:val="12"/>
              </w:rPr>
            </w:pPr>
          </w:p>
        </w:tc>
        <w:tc>
          <w:tcPr>
            <w:tcW w:w="377" w:type="dxa"/>
            <w:tcBorders>
              <w:top w:val="single" w:sz="4" w:space="0" w:color="auto"/>
            </w:tcBorders>
            <w:noWrap/>
            <w:vAlign w:val="center"/>
            <w:hideMark/>
          </w:tcPr>
          <w:p w14:paraId="5B7BFDB8" w14:textId="77777777" w:rsidR="00126D8D" w:rsidRPr="004A4899" w:rsidRDefault="00126D8D" w:rsidP="00820288">
            <w:pPr>
              <w:spacing w:line="240" w:lineRule="auto"/>
              <w:jc w:val="right"/>
              <w:rPr>
                <w:rFonts w:ascii="Times New Roman" w:hAnsi="Times New Roman" w:cs="Times New Roman"/>
                <w:sz w:val="12"/>
                <w:szCs w:val="12"/>
              </w:rPr>
            </w:pPr>
          </w:p>
        </w:tc>
        <w:tc>
          <w:tcPr>
            <w:tcW w:w="326" w:type="dxa"/>
            <w:tcBorders>
              <w:top w:val="single" w:sz="4" w:space="0" w:color="auto"/>
            </w:tcBorders>
            <w:noWrap/>
            <w:vAlign w:val="center"/>
            <w:hideMark/>
          </w:tcPr>
          <w:p w14:paraId="3EC17454" w14:textId="77777777" w:rsidR="00126D8D" w:rsidRPr="004A4899" w:rsidRDefault="00126D8D" w:rsidP="00820288">
            <w:pPr>
              <w:spacing w:line="240" w:lineRule="auto"/>
              <w:rPr>
                <w:rFonts w:ascii="Times New Roman" w:hAnsi="Times New Roman" w:cs="Times New Roman"/>
                <w:sz w:val="12"/>
                <w:szCs w:val="12"/>
              </w:rPr>
            </w:pPr>
          </w:p>
        </w:tc>
        <w:tc>
          <w:tcPr>
            <w:tcW w:w="377" w:type="dxa"/>
            <w:tcBorders>
              <w:top w:val="single" w:sz="4" w:space="0" w:color="auto"/>
            </w:tcBorders>
            <w:noWrap/>
            <w:vAlign w:val="center"/>
            <w:hideMark/>
          </w:tcPr>
          <w:p w14:paraId="1E98975B" w14:textId="77777777" w:rsidR="00126D8D" w:rsidRPr="004A4899" w:rsidRDefault="00126D8D" w:rsidP="00820288">
            <w:pPr>
              <w:spacing w:line="240" w:lineRule="auto"/>
              <w:jc w:val="right"/>
              <w:rPr>
                <w:rFonts w:ascii="Times New Roman" w:hAnsi="Times New Roman" w:cs="Times New Roman"/>
                <w:sz w:val="12"/>
                <w:szCs w:val="12"/>
              </w:rPr>
            </w:pPr>
          </w:p>
        </w:tc>
        <w:tc>
          <w:tcPr>
            <w:tcW w:w="219" w:type="dxa"/>
            <w:tcBorders>
              <w:top w:val="single" w:sz="4" w:space="0" w:color="auto"/>
            </w:tcBorders>
            <w:noWrap/>
            <w:vAlign w:val="center"/>
            <w:hideMark/>
          </w:tcPr>
          <w:p w14:paraId="5EF3338E" w14:textId="77777777" w:rsidR="00126D8D" w:rsidRPr="004A4899" w:rsidRDefault="00126D8D" w:rsidP="00820288">
            <w:pPr>
              <w:spacing w:line="240" w:lineRule="auto"/>
              <w:rPr>
                <w:rFonts w:ascii="Times New Roman" w:hAnsi="Times New Roman" w:cs="Times New Roman"/>
                <w:sz w:val="12"/>
                <w:szCs w:val="12"/>
              </w:rPr>
            </w:pPr>
          </w:p>
        </w:tc>
        <w:tc>
          <w:tcPr>
            <w:tcW w:w="377" w:type="dxa"/>
            <w:tcBorders>
              <w:top w:val="single" w:sz="4" w:space="0" w:color="auto"/>
            </w:tcBorders>
            <w:noWrap/>
            <w:vAlign w:val="center"/>
            <w:hideMark/>
          </w:tcPr>
          <w:p w14:paraId="330DC2F3" w14:textId="77777777" w:rsidR="00126D8D" w:rsidRPr="004A4899" w:rsidRDefault="00126D8D" w:rsidP="00820288">
            <w:pPr>
              <w:spacing w:line="240" w:lineRule="auto"/>
              <w:jc w:val="right"/>
              <w:rPr>
                <w:rFonts w:ascii="Times New Roman" w:hAnsi="Times New Roman" w:cs="Times New Roman"/>
                <w:sz w:val="12"/>
                <w:szCs w:val="12"/>
              </w:rPr>
            </w:pPr>
          </w:p>
        </w:tc>
        <w:tc>
          <w:tcPr>
            <w:tcW w:w="159" w:type="dxa"/>
            <w:tcBorders>
              <w:top w:val="single" w:sz="4" w:space="0" w:color="auto"/>
            </w:tcBorders>
            <w:noWrap/>
            <w:vAlign w:val="center"/>
            <w:hideMark/>
          </w:tcPr>
          <w:p w14:paraId="31FCC17D" w14:textId="77777777" w:rsidR="00126D8D" w:rsidRPr="004A4899" w:rsidRDefault="00126D8D" w:rsidP="00820288">
            <w:pPr>
              <w:spacing w:line="240" w:lineRule="auto"/>
              <w:rPr>
                <w:rFonts w:ascii="Times New Roman" w:hAnsi="Times New Roman" w:cs="Times New Roman"/>
                <w:sz w:val="12"/>
                <w:szCs w:val="12"/>
              </w:rPr>
            </w:pPr>
          </w:p>
        </w:tc>
        <w:tc>
          <w:tcPr>
            <w:tcW w:w="377" w:type="dxa"/>
            <w:tcBorders>
              <w:top w:val="single" w:sz="4" w:space="0" w:color="auto"/>
            </w:tcBorders>
            <w:noWrap/>
            <w:vAlign w:val="center"/>
            <w:hideMark/>
          </w:tcPr>
          <w:p w14:paraId="4897B0C0" w14:textId="77777777" w:rsidR="00126D8D" w:rsidRPr="004A4899" w:rsidRDefault="00126D8D" w:rsidP="00820288">
            <w:pPr>
              <w:spacing w:line="240" w:lineRule="auto"/>
              <w:jc w:val="right"/>
              <w:rPr>
                <w:rFonts w:ascii="Times New Roman" w:hAnsi="Times New Roman" w:cs="Times New Roman"/>
                <w:sz w:val="12"/>
                <w:szCs w:val="12"/>
              </w:rPr>
            </w:pPr>
          </w:p>
        </w:tc>
        <w:tc>
          <w:tcPr>
            <w:tcW w:w="326" w:type="dxa"/>
            <w:tcBorders>
              <w:top w:val="single" w:sz="4" w:space="0" w:color="auto"/>
            </w:tcBorders>
            <w:noWrap/>
            <w:vAlign w:val="center"/>
            <w:hideMark/>
          </w:tcPr>
          <w:p w14:paraId="7E649581" w14:textId="77777777" w:rsidR="00126D8D" w:rsidRPr="004A4899" w:rsidRDefault="00126D8D" w:rsidP="00820288">
            <w:pPr>
              <w:spacing w:line="240" w:lineRule="auto"/>
              <w:rPr>
                <w:rFonts w:ascii="Times New Roman" w:hAnsi="Times New Roman" w:cs="Times New Roman"/>
                <w:sz w:val="12"/>
                <w:szCs w:val="12"/>
              </w:rPr>
            </w:pPr>
          </w:p>
        </w:tc>
        <w:tc>
          <w:tcPr>
            <w:tcW w:w="377" w:type="dxa"/>
            <w:tcBorders>
              <w:top w:val="single" w:sz="4" w:space="0" w:color="auto"/>
            </w:tcBorders>
            <w:noWrap/>
            <w:vAlign w:val="center"/>
            <w:hideMark/>
          </w:tcPr>
          <w:p w14:paraId="73C87B4F" w14:textId="77777777" w:rsidR="00126D8D" w:rsidRPr="004A4899" w:rsidRDefault="00126D8D" w:rsidP="00820288">
            <w:pPr>
              <w:spacing w:line="240" w:lineRule="auto"/>
              <w:jc w:val="right"/>
              <w:rPr>
                <w:rFonts w:ascii="Times New Roman" w:hAnsi="Times New Roman" w:cs="Times New Roman"/>
                <w:sz w:val="12"/>
                <w:szCs w:val="12"/>
              </w:rPr>
            </w:pPr>
          </w:p>
        </w:tc>
        <w:tc>
          <w:tcPr>
            <w:tcW w:w="252" w:type="dxa"/>
            <w:tcBorders>
              <w:top w:val="single" w:sz="4" w:space="0" w:color="auto"/>
            </w:tcBorders>
            <w:noWrap/>
            <w:vAlign w:val="center"/>
            <w:hideMark/>
          </w:tcPr>
          <w:p w14:paraId="6D2F72DE" w14:textId="77777777" w:rsidR="00126D8D" w:rsidRPr="004A4899" w:rsidRDefault="00126D8D" w:rsidP="00820288">
            <w:pPr>
              <w:spacing w:line="240" w:lineRule="auto"/>
              <w:rPr>
                <w:rFonts w:ascii="Times New Roman" w:hAnsi="Times New Roman" w:cs="Times New Roman"/>
                <w:sz w:val="12"/>
                <w:szCs w:val="12"/>
              </w:rPr>
            </w:pPr>
          </w:p>
        </w:tc>
        <w:tc>
          <w:tcPr>
            <w:tcW w:w="377" w:type="dxa"/>
            <w:tcBorders>
              <w:top w:val="single" w:sz="4" w:space="0" w:color="auto"/>
            </w:tcBorders>
            <w:noWrap/>
            <w:vAlign w:val="center"/>
            <w:hideMark/>
          </w:tcPr>
          <w:p w14:paraId="5056A183" w14:textId="77777777" w:rsidR="00126D8D" w:rsidRPr="004A4899" w:rsidRDefault="00126D8D" w:rsidP="00820288">
            <w:pPr>
              <w:spacing w:line="240" w:lineRule="auto"/>
              <w:jc w:val="right"/>
              <w:rPr>
                <w:rFonts w:ascii="Times New Roman" w:hAnsi="Times New Roman" w:cs="Times New Roman"/>
                <w:sz w:val="12"/>
                <w:szCs w:val="12"/>
              </w:rPr>
            </w:pPr>
          </w:p>
        </w:tc>
        <w:tc>
          <w:tcPr>
            <w:tcW w:w="273" w:type="dxa"/>
            <w:tcBorders>
              <w:top w:val="single" w:sz="4" w:space="0" w:color="auto"/>
            </w:tcBorders>
            <w:noWrap/>
            <w:vAlign w:val="center"/>
            <w:hideMark/>
          </w:tcPr>
          <w:p w14:paraId="267F09F7" w14:textId="77777777" w:rsidR="00126D8D" w:rsidRPr="004A4899" w:rsidRDefault="00126D8D" w:rsidP="00820288">
            <w:pPr>
              <w:spacing w:line="240" w:lineRule="auto"/>
              <w:rPr>
                <w:rFonts w:ascii="Times New Roman" w:hAnsi="Times New Roman" w:cs="Times New Roman"/>
                <w:sz w:val="12"/>
                <w:szCs w:val="12"/>
              </w:rPr>
            </w:pPr>
          </w:p>
        </w:tc>
        <w:tc>
          <w:tcPr>
            <w:tcW w:w="377" w:type="dxa"/>
            <w:tcBorders>
              <w:top w:val="single" w:sz="4" w:space="0" w:color="auto"/>
            </w:tcBorders>
            <w:noWrap/>
            <w:vAlign w:val="center"/>
            <w:hideMark/>
          </w:tcPr>
          <w:p w14:paraId="72AE075E" w14:textId="77777777" w:rsidR="00126D8D" w:rsidRPr="004A4899" w:rsidRDefault="00126D8D" w:rsidP="00820288">
            <w:pPr>
              <w:spacing w:line="240" w:lineRule="auto"/>
              <w:jc w:val="right"/>
              <w:rPr>
                <w:rFonts w:ascii="Times New Roman" w:hAnsi="Times New Roman" w:cs="Times New Roman"/>
                <w:sz w:val="12"/>
                <w:szCs w:val="12"/>
              </w:rPr>
            </w:pPr>
          </w:p>
        </w:tc>
        <w:tc>
          <w:tcPr>
            <w:tcW w:w="273" w:type="dxa"/>
            <w:tcBorders>
              <w:top w:val="single" w:sz="4" w:space="0" w:color="auto"/>
            </w:tcBorders>
            <w:noWrap/>
            <w:vAlign w:val="center"/>
            <w:hideMark/>
          </w:tcPr>
          <w:p w14:paraId="195D9BA9" w14:textId="77777777" w:rsidR="00126D8D" w:rsidRPr="004A4899" w:rsidRDefault="00126D8D" w:rsidP="00820288">
            <w:pPr>
              <w:spacing w:line="240" w:lineRule="auto"/>
              <w:rPr>
                <w:rFonts w:ascii="Times New Roman" w:hAnsi="Times New Roman" w:cs="Times New Roman"/>
                <w:sz w:val="12"/>
                <w:szCs w:val="12"/>
              </w:rPr>
            </w:pPr>
          </w:p>
        </w:tc>
      </w:tr>
      <w:tr w:rsidR="00126D8D" w:rsidRPr="004A4899" w14:paraId="68BD992F" w14:textId="77777777" w:rsidTr="00820288">
        <w:trPr>
          <w:trHeight w:val="173"/>
        </w:trPr>
        <w:tc>
          <w:tcPr>
            <w:tcW w:w="1440" w:type="dxa"/>
            <w:noWrap/>
            <w:vAlign w:val="center"/>
            <w:hideMark/>
          </w:tcPr>
          <w:p w14:paraId="47B91EB8" w14:textId="77777777" w:rsidR="00126D8D" w:rsidRPr="004A4899" w:rsidRDefault="00126D8D" w:rsidP="00820288">
            <w:pPr>
              <w:spacing w:line="240" w:lineRule="auto"/>
              <w:rPr>
                <w:rFonts w:ascii="Times New Roman" w:hAnsi="Times New Roman" w:cs="Times New Roman"/>
                <w:sz w:val="12"/>
                <w:szCs w:val="12"/>
              </w:rPr>
            </w:pPr>
            <w:r w:rsidRPr="004A4899">
              <w:rPr>
                <w:rFonts w:ascii="Times New Roman" w:hAnsi="Times New Roman" w:cs="Times New Roman"/>
                <w:sz w:val="12"/>
                <w:szCs w:val="12"/>
              </w:rPr>
              <w:t>(E)-3-Hexen-1-ol</w:t>
            </w:r>
          </w:p>
        </w:tc>
        <w:tc>
          <w:tcPr>
            <w:tcW w:w="377" w:type="dxa"/>
            <w:noWrap/>
            <w:vAlign w:val="center"/>
            <w:hideMark/>
          </w:tcPr>
          <w:p w14:paraId="23DC4CD7" w14:textId="77777777" w:rsidR="00126D8D" w:rsidRPr="004A4899" w:rsidRDefault="00126D8D" w:rsidP="00820288">
            <w:pPr>
              <w:spacing w:line="240" w:lineRule="auto"/>
              <w:jc w:val="right"/>
              <w:rPr>
                <w:rFonts w:ascii="Times New Roman" w:hAnsi="Times New Roman" w:cs="Times New Roman"/>
                <w:sz w:val="13"/>
                <w:szCs w:val="13"/>
              </w:rPr>
            </w:pPr>
            <w:r w:rsidRPr="004A4899">
              <w:rPr>
                <w:rFonts w:ascii="Times New Roman" w:hAnsi="Times New Roman" w:cs="Times New Roman"/>
                <w:sz w:val="13"/>
                <w:szCs w:val="13"/>
              </w:rPr>
              <w:t>4.45</w:t>
            </w:r>
          </w:p>
        </w:tc>
        <w:tc>
          <w:tcPr>
            <w:tcW w:w="274" w:type="dxa"/>
            <w:noWrap/>
            <w:vAlign w:val="center"/>
            <w:hideMark/>
          </w:tcPr>
          <w:p w14:paraId="557C9F55" w14:textId="77777777" w:rsidR="00126D8D" w:rsidRPr="004A4899" w:rsidRDefault="00126D8D" w:rsidP="00820288">
            <w:pPr>
              <w:spacing w:line="240" w:lineRule="auto"/>
              <w:rPr>
                <w:rFonts w:ascii="Times New Roman" w:hAnsi="Times New Roman" w:cs="Times New Roman"/>
                <w:sz w:val="13"/>
                <w:szCs w:val="13"/>
              </w:rPr>
            </w:pPr>
            <w:r w:rsidRPr="004A4899">
              <w:rPr>
                <w:rFonts w:ascii="Times New Roman" w:hAnsi="Times New Roman" w:cs="Times New Roman"/>
                <w:sz w:val="13"/>
                <w:szCs w:val="13"/>
              </w:rPr>
              <w:t>a</w:t>
            </w:r>
          </w:p>
        </w:tc>
        <w:tc>
          <w:tcPr>
            <w:tcW w:w="411" w:type="dxa"/>
            <w:noWrap/>
            <w:vAlign w:val="center"/>
            <w:hideMark/>
          </w:tcPr>
          <w:p w14:paraId="28F967CE" w14:textId="77777777" w:rsidR="00126D8D" w:rsidRPr="004A4899" w:rsidRDefault="00126D8D" w:rsidP="00820288">
            <w:pPr>
              <w:spacing w:line="240" w:lineRule="auto"/>
              <w:jc w:val="right"/>
              <w:rPr>
                <w:rFonts w:ascii="Times New Roman" w:hAnsi="Times New Roman" w:cs="Times New Roman"/>
                <w:sz w:val="13"/>
                <w:szCs w:val="13"/>
              </w:rPr>
            </w:pPr>
            <w:r w:rsidRPr="004A4899">
              <w:rPr>
                <w:rFonts w:ascii="Times New Roman" w:hAnsi="Times New Roman" w:cs="Times New Roman"/>
                <w:sz w:val="13"/>
                <w:szCs w:val="13"/>
              </w:rPr>
              <w:t>2.90</w:t>
            </w:r>
          </w:p>
        </w:tc>
        <w:tc>
          <w:tcPr>
            <w:tcW w:w="239" w:type="dxa"/>
            <w:noWrap/>
            <w:vAlign w:val="center"/>
            <w:hideMark/>
          </w:tcPr>
          <w:p w14:paraId="03102135" w14:textId="77777777" w:rsidR="00126D8D" w:rsidRPr="004A4899" w:rsidRDefault="00126D8D" w:rsidP="00820288">
            <w:pPr>
              <w:spacing w:line="240" w:lineRule="auto"/>
              <w:rPr>
                <w:rFonts w:ascii="Times New Roman" w:hAnsi="Times New Roman" w:cs="Times New Roman"/>
                <w:sz w:val="13"/>
                <w:szCs w:val="13"/>
              </w:rPr>
            </w:pPr>
            <w:r w:rsidRPr="004A4899">
              <w:rPr>
                <w:rFonts w:ascii="Times New Roman" w:hAnsi="Times New Roman" w:cs="Times New Roman"/>
                <w:sz w:val="13"/>
                <w:szCs w:val="13"/>
              </w:rPr>
              <w:t>a</w:t>
            </w:r>
          </w:p>
        </w:tc>
        <w:tc>
          <w:tcPr>
            <w:tcW w:w="377" w:type="dxa"/>
            <w:noWrap/>
            <w:vAlign w:val="center"/>
            <w:hideMark/>
          </w:tcPr>
          <w:p w14:paraId="1CD699CA" w14:textId="77777777" w:rsidR="00126D8D" w:rsidRPr="004A4899" w:rsidRDefault="00126D8D" w:rsidP="00820288">
            <w:pPr>
              <w:spacing w:line="240" w:lineRule="auto"/>
              <w:jc w:val="right"/>
              <w:rPr>
                <w:rFonts w:ascii="Times New Roman" w:hAnsi="Times New Roman" w:cs="Times New Roman"/>
                <w:sz w:val="13"/>
                <w:szCs w:val="13"/>
              </w:rPr>
            </w:pPr>
            <w:r w:rsidRPr="004A4899">
              <w:rPr>
                <w:rFonts w:ascii="Times New Roman" w:hAnsi="Times New Roman" w:cs="Times New Roman"/>
                <w:sz w:val="13"/>
                <w:szCs w:val="13"/>
              </w:rPr>
              <w:t>5.78</w:t>
            </w:r>
          </w:p>
        </w:tc>
        <w:tc>
          <w:tcPr>
            <w:tcW w:w="273" w:type="dxa"/>
            <w:noWrap/>
            <w:vAlign w:val="center"/>
            <w:hideMark/>
          </w:tcPr>
          <w:p w14:paraId="6FD6A250" w14:textId="77777777" w:rsidR="00126D8D" w:rsidRPr="004A4899" w:rsidRDefault="00126D8D" w:rsidP="00820288">
            <w:pPr>
              <w:spacing w:line="240" w:lineRule="auto"/>
              <w:rPr>
                <w:rFonts w:ascii="Times New Roman" w:hAnsi="Times New Roman" w:cs="Times New Roman"/>
                <w:sz w:val="13"/>
                <w:szCs w:val="13"/>
              </w:rPr>
            </w:pPr>
            <w:r w:rsidRPr="004A4899">
              <w:rPr>
                <w:rFonts w:ascii="Times New Roman" w:hAnsi="Times New Roman" w:cs="Times New Roman"/>
                <w:sz w:val="13"/>
                <w:szCs w:val="13"/>
              </w:rPr>
              <w:t>a</w:t>
            </w:r>
          </w:p>
        </w:tc>
        <w:tc>
          <w:tcPr>
            <w:tcW w:w="377" w:type="dxa"/>
            <w:noWrap/>
            <w:vAlign w:val="center"/>
            <w:hideMark/>
          </w:tcPr>
          <w:p w14:paraId="181DD64B" w14:textId="77777777" w:rsidR="00126D8D" w:rsidRPr="004A4899" w:rsidRDefault="00126D8D" w:rsidP="00820288">
            <w:pPr>
              <w:spacing w:line="240" w:lineRule="auto"/>
              <w:jc w:val="right"/>
              <w:rPr>
                <w:rFonts w:ascii="Times New Roman" w:hAnsi="Times New Roman" w:cs="Times New Roman"/>
                <w:sz w:val="13"/>
                <w:szCs w:val="13"/>
              </w:rPr>
            </w:pPr>
            <w:r w:rsidRPr="004A4899">
              <w:rPr>
                <w:rFonts w:ascii="Times New Roman" w:hAnsi="Times New Roman" w:cs="Times New Roman"/>
                <w:sz w:val="13"/>
                <w:szCs w:val="13"/>
              </w:rPr>
              <w:t>3.32</w:t>
            </w:r>
          </w:p>
        </w:tc>
        <w:tc>
          <w:tcPr>
            <w:tcW w:w="273" w:type="dxa"/>
            <w:noWrap/>
            <w:vAlign w:val="center"/>
            <w:hideMark/>
          </w:tcPr>
          <w:p w14:paraId="4BB2BF35" w14:textId="77777777" w:rsidR="00126D8D" w:rsidRPr="004A4899" w:rsidRDefault="00126D8D" w:rsidP="00820288">
            <w:pPr>
              <w:spacing w:line="240" w:lineRule="auto"/>
              <w:rPr>
                <w:rFonts w:ascii="Times New Roman" w:hAnsi="Times New Roman" w:cs="Times New Roman"/>
                <w:sz w:val="13"/>
                <w:szCs w:val="13"/>
              </w:rPr>
            </w:pPr>
            <w:r w:rsidRPr="004A4899">
              <w:rPr>
                <w:rFonts w:ascii="Times New Roman" w:hAnsi="Times New Roman" w:cs="Times New Roman"/>
                <w:sz w:val="13"/>
                <w:szCs w:val="13"/>
              </w:rPr>
              <w:t>a</w:t>
            </w:r>
          </w:p>
        </w:tc>
        <w:tc>
          <w:tcPr>
            <w:tcW w:w="377" w:type="dxa"/>
            <w:noWrap/>
            <w:vAlign w:val="center"/>
            <w:hideMark/>
          </w:tcPr>
          <w:p w14:paraId="235E246E" w14:textId="77777777" w:rsidR="00126D8D" w:rsidRPr="004A4899" w:rsidRDefault="00126D8D" w:rsidP="00820288">
            <w:pPr>
              <w:spacing w:line="240" w:lineRule="auto"/>
              <w:jc w:val="right"/>
              <w:rPr>
                <w:rFonts w:ascii="Times New Roman" w:hAnsi="Times New Roman" w:cs="Times New Roman"/>
                <w:sz w:val="13"/>
                <w:szCs w:val="13"/>
              </w:rPr>
            </w:pPr>
            <w:r w:rsidRPr="004A4899">
              <w:rPr>
                <w:rFonts w:ascii="Times New Roman" w:hAnsi="Times New Roman" w:cs="Times New Roman"/>
                <w:sz w:val="13"/>
                <w:szCs w:val="13"/>
              </w:rPr>
              <w:t>28.15</w:t>
            </w:r>
          </w:p>
        </w:tc>
        <w:tc>
          <w:tcPr>
            <w:tcW w:w="326" w:type="dxa"/>
            <w:noWrap/>
            <w:vAlign w:val="center"/>
            <w:hideMark/>
          </w:tcPr>
          <w:p w14:paraId="6DA85112" w14:textId="77777777" w:rsidR="00126D8D" w:rsidRPr="004A4899" w:rsidRDefault="00126D8D" w:rsidP="00820288">
            <w:pPr>
              <w:spacing w:line="240" w:lineRule="auto"/>
              <w:rPr>
                <w:rFonts w:ascii="Times New Roman" w:hAnsi="Times New Roman" w:cs="Times New Roman"/>
                <w:sz w:val="13"/>
                <w:szCs w:val="13"/>
              </w:rPr>
            </w:pPr>
            <w:r w:rsidRPr="004A4899">
              <w:rPr>
                <w:rFonts w:ascii="Times New Roman" w:hAnsi="Times New Roman" w:cs="Times New Roman"/>
                <w:sz w:val="13"/>
                <w:szCs w:val="13"/>
              </w:rPr>
              <w:t>a</w:t>
            </w:r>
          </w:p>
        </w:tc>
        <w:tc>
          <w:tcPr>
            <w:tcW w:w="377" w:type="dxa"/>
            <w:noWrap/>
            <w:vAlign w:val="center"/>
            <w:hideMark/>
          </w:tcPr>
          <w:p w14:paraId="6D3B19D2" w14:textId="77777777" w:rsidR="00126D8D" w:rsidRPr="004A4899" w:rsidRDefault="00126D8D" w:rsidP="00820288">
            <w:pPr>
              <w:spacing w:line="240" w:lineRule="auto"/>
              <w:jc w:val="right"/>
              <w:rPr>
                <w:rFonts w:ascii="Times New Roman" w:hAnsi="Times New Roman" w:cs="Times New Roman"/>
                <w:sz w:val="13"/>
                <w:szCs w:val="13"/>
              </w:rPr>
            </w:pPr>
            <w:r w:rsidRPr="004A4899">
              <w:rPr>
                <w:rFonts w:ascii="Times New Roman" w:hAnsi="Times New Roman" w:cs="Times New Roman"/>
                <w:sz w:val="13"/>
                <w:szCs w:val="13"/>
              </w:rPr>
              <w:t>4.57</w:t>
            </w:r>
          </w:p>
        </w:tc>
        <w:tc>
          <w:tcPr>
            <w:tcW w:w="326" w:type="dxa"/>
            <w:noWrap/>
            <w:vAlign w:val="center"/>
            <w:hideMark/>
          </w:tcPr>
          <w:p w14:paraId="0F5A77EA" w14:textId="77777777" w:rsidR="00126D8D" w:rsidRPr="004A4899" w:rsidRDefault="00126D8D" w:rsidP="00820288">
            <w:pPr>
              <w:spacing w:line="240" w:lineRule="auto"/>
              <w:rPr>
                <w:rFonts w:ascii="Times New Roman" w:hAnsi="Times New Roman" w:cs="Times New Roman"/>
                <w:sz w:val="13"/>
                <w:szCs w:val="13"/>
              </w:rPr>
            </w:pPr>
            <w:r w:rsidRPr="004A4899">
              <w:rPr>
                <w:rFonts w:ascii="Times New Roman" w:hAnsi="Times New Roman" w:cs="Times New Roman"/>
                <w:sz w:val="13"/>
                <w:szCs w:val="13"/>
              </w:rPr>
              <w:t>a</w:t>
            </w:r>
          </w:p>
        </w:tc>
        <w:tc>
          <w:tcPr>
            <w:tcW w:w="377" w:type="dxa"/>
            <w:noWrap/>
            <w:vAlign w:val="center"/>
            <w:hideMark/>
          </w:tcPr>
          <w:p w14:paraId="1CB711C5" w14:textId="77777777" w:rsidR="00126D8D" w:rsidRPr="004A4899" w:rsidRDefault="00126D8D" w:rsidP="00820288">
            <w:pPr>
              <w:spacing w:line="240" w:lineRule="auto"/>
              <w:jc w:val="right"/>
              <w:rPr>
                <w:rFonts w:ascii="Times New Roman" w:hAnsi="Times New Roman" w:cs="Times New Roman"/>
                <w:sz w:val="13"/>
                <w:szCs w:val="13"/>
              </w:rPr>
            </w:pPr>
            <w:r w:rsidRPr="004A4899">
              <w:rPr>
                <w:rFonts w:ascii="Times New Roman" w:hAnsi="Times New Roman" w:cs="Times New Roman"/>
                <w:sz w:val="13"/>
                <w:szCs w:val="13"/>
              </w:rPr>
              <w:t>4.06</w:t>
            </w:r>
          </w:p>
        </w:tc>
        <w:tc>
          <w:tcPr>
            <w:tcW w:w="219" w:type="dxa"/>
            <w:noWrap/>
            <w:vAlign w:val="center"/>
            <w:hideMark/>
          </w:tcPr>
          <w:p w14:paraId="36316A2A" w14:textId="77777777" w:rsidR="00126D8D" w:rsidRPr="004A4899" w:rsidRDefault="00126D8D" w:rsidP="00820288">
            <w:pPr>
              <w:spacing w:line="240" w:lineRule="auto"/>
              <w:rPr>
                <w:rFonts w:ascii="Times New Roman" w:hAnsi="Times New Roman" w:cs="Times New Roman"/>
                <w:sz w:val="13"/>
                <w:szCs w:val="13"/>
              </w:rPr>
            </w:pPr>
            <w:r w:rsidRPr="004A4899">
              <w:rPr>
                <w:rFonts w:ascii="Times New Roman" w:hAnsi="Times New Roman" w:cs="Times New Roman"/>
                <w:sz w:val="13"/>
                <w:szCs w:val="13"/>
              </w:rPr>
              <w:t>a</w:t>
            </w:r>
          </w:p>
        </w:tc>
        <w:tc>
          <w:tcPr>
            <w:tcW w:w="377" w:type="dxa"/>
            <w:noWrap/>
            <w:vAlign w:val="center"/>
            <w:hideMark/>
          </w:tcPr>
          <w:p w14:paraId="20C29E8F" w14:textId="77777777" w:rsidR="00126D8D" w:rsidRPr="004A4899" w:rsidRDefault="00126D8D" w:rsidP="00820288">
            <w:pPr>
              <w:spacing w:line="240" w:lineRule="auto"/>
              <w:jc w:val="right"/>
              <w:rPr>
                <w:rFonts w:ascii="Times New Roman" w:hAnsi="Times New Roman" w:cs="Times New Roman"/>
                <w:sz w:val="13"/>
                <w:szCs w:val="13"/>
              </w:rPr>
            </w:pPr>
            <w:r w:rsidRPr="004A4899">
              <w:rPr>
                <w:rFonts w:ascii="Times New Roman" w:hAnsi="Times New Roman" w:cs="Times New Roman"/>
                <w:sz w:val="13"/>
                <w:szCs w:val="13"/>
              </w:rPr>
              <w:t>3.66</w:t>
            </w:r>
          </w:p>
        </w:tc>
        <w:tc>
          <w:tcPr>
            <w:tcW w:w="159" w:type="dxa"/>
            <w:noWrap/>
            <w:vAlign w:val="center"/>
            <w:hideMark/>
          </w:tcPr>
          <w:p w14:paraId="65498A7F" w14:textId="77777777" w:rsidR="00126D8D" w:rsidRPr="004A4899" w:rsidRDefault="00126D8D" w:rsidP="00820288">
            <w:pPr>
              <w:spacing w:line="240" w:lineRule="auto"/>
              <w:rPr>
                <w:rFonts w:ascii="Times New Roman" w:hAnsi="Times New Roman" w:cs="Times New Roman"/>
                <w:sz w:val="13"/>
                <w:szCs w:val="13"/>
              </w:rPr>
            </w:pPr>
            <w:r w:rsidRPr="004A4899">
              <w:rPr>
                <w:rFonts w:ascii="Times New Roman" w:hAnsi="Times New Roman" w:cs="Times New Roman"/>
                <w:sz w:val="13"/>
                <w:szCs w:val="13"/>
              </w:rPr>
              <w:t>a</w:t>
            </w:r>
          </w:p>
        </w:tc>
        <w:tc>
          <w:tcPr>
            <w:tcW w:w="377" w:type="dxa"/>
            <w:noWrap/>
            <w:vAlign w:val="center"/>
            <w:hideMark/>
          </w:tcPr>
          <w:p w14:paraId="51530CF7" w14:textId="77777777" w:rsidR="00126D8D" w:rsidRPr="004A4899" w:rsidRDefault="00126D8D" w:rsidP="00820288">
            <w:pPr>
              <w:spacing w:line="240" w:lineRule="auto"/>
              <w:jc w:val="right"/>
              <w:rPr>
                <w:rFonts w:ascii="Times New Roman" w:hAnsi="Times New Roman" w:cs="Times New Roman"/>
                <w:sz w:val="13"/>
                <w:szCs w:val="13"/>
              </w:rPr>
            </w:pPr>
            <w:r w:rsidRPr="004A4899">
              <w:rPr>
                <w:rFonts w:ascii="Times New Roman" w:hAnsi="Times New Roman" w:cs="Times New Roman"/>
                <w:sz w:val="13"/>
                <w:szCs w:val="13"/>
              </w:rPr>
              <w:t>1.97</w:t>
            </w:r>
          </w:p>
        </w:tc>
        <w:tc>
          <w:tcPr>
            <w:tcW w:w="326" w:type="dxa"/>
            <w:noWrap/>
            <w:vAlign w:val="center"/>
            <w:hideMark/>
          </w:tcPr>
          <w:p w14:paraId="7A254FF8" w14:textId="77777777" w:rsidR="00126D8D" w:rsidRPr="004A4899" w:rsidRDefault="00126D8D" w:rsidP="00820288">
            <w:pPr>
              <w:spacing w:line="240" w:lineRule="auto"/>
              <w:rPr>
                <w:rFonts w:ascii="Times New Roman" w:hAnsi="Times New Roman" w:cs="Times New Roman"/>
                <w:sz w:val="13"/>
                <w:szCs w:val="13"/>
              </w:rPr>
            </w:pPr>
            <w:r w:rsidRPr="004A4899">
              <w:rPr>
                <w:rFonts w:ascii="Times New Roman" w:hAnsi="Times New Roman" w:cs="Times New Roman"/>
                <w:sz w:val="13"/>
                <w:szCs w:val="13"/>
              </w:rPr>
              <w:t>a</w:t>
            </w:r>
          </w:p>
        </w:tc>
        <w:tc>
          <w:tcPr>
            <w:tcW w:w="377" w:type="dxa"/>
            <w:noWrap/>
            <w:vAlign w:val="center"/>
            <w:hideMark/>
          </w:tcPr>
          <w:p w14:paraId="0479E10C" w14:textId="77777777" w:rsidR="00126D8D" w:rsidRPr="004A4899" w:rsidRDefault="00126D8D" w:rsidP="00820288">
            <w:pPr>
              <w:spacing w:line="240" w:lineRule="auto"/>
              <w:jc w:val="right"/>
              <w:rPr>
                <w:rFonts w:ascii="Times New Roman" w:hAnsi="Times New Roman" w:cs="Times New Roman"/>
                <w:sz w:val="13"/>
                <w:szCs w:val="13"/>
              </w:rPr>
            </w:pPr>
            <w:r w:rsidRPr="004A4899">
              <w:rPr>
                <w:rFonts w:ascii="Times New Roman" w:hAnsi="Times New Roman" w:cs="Times New Roman"/>
                <w:sz w:val="13"/>
                <w:szCs w:val="13"/>
              </w:rPr>
              <w:t>4.33</w:t>
            </w:r>
          </w:p>
        </w:tc>
        <w:tc>
          <w:tcPr>
            <w:tcW w:w="252" w:type="dxa"/>
            <w:noWrap/>
            <w:vAlign w:val="center"/>
            <w:hideMark/>
          </w:tcPr>
          <w:p w14:paraId="52BB37E4" w14:textId="77777777" w:rsidR="00126D8D" w:rsidRPr="004A4899" w:rsidRDefault="00126D8D" w:rsidP="00820288">
            <w:pPr>
              <w:spacing w:line="240" w:lineRule="auto"/>
              <w:rPr>
                <w:rFonts w:ascii="Times New Roman" w:hAnsi="Times New Roman" w:cs="Times New Roman"/>
                <w:sz w:val="13"/>
                <w:szCs w:val="13"/>
              </w:rPr>
            </w:pPr>
            <w:r w:rsidRPr="004A4899">
              <w:rPr>
                <w:rFonts w:ascii="Times New Roman" w:hAnsi="Times New Roman" w:cs="Times New Roman"/>
                <w:sz w:val="13"/>
                <w:szCs w:val="13"/>
              </w:rPr>
              <w:t>a</w:t>
            </w:r>
          </w:p>
        </w:tc>
        <w:tc>
          <w:tcPr>
            <w:tcW w:w="377" w:type="dxa"/>
            <w:noWrap/>
            <w:vAlign w:val="center"/>
            <w:hideMark/>
          </w:tcPr>
          <w:p w14:paraId="735BF7F2" w14:textId="77777777" w:rsidR="00126D8D" w:rsidRPr="004A4899" w:rsidRDefault="00126D8D" w:rsidP="00820288">
            <w:pPr>
              <w:spacing w:line="240" w:lineRule="auto"/>
              <w:jc w:val="right"/>
              <w:rPr>
                <w:rFonts w:ascii="Times New Roman" w:hAnsi="Times New Roman" w:cs="Times New Roman"/>
                <w:sz w:val="13"/>
                <w:szCs w:val="13"/>
              </w:rPr>
            </w:pPr>
            <w:r w:rsidRPr="004A4899">
              <w:rPr>
                <w:rFonts w:ascii="Times New Roman" w:hAnsi="Times New Roman" w:cs="Times New Roman"/>
                <w:sz w:val="13"/>
                <w:szCs w:val="13"/>
              </w:rPr>
              <w:t>2.88</w:t>
            </w:r>
          </w:p>
        </w:tc>
        <w:tc>
          <w:tcPr>
            <w:tcW w:w="273" w:type="dxa"/>
            <w:noWrap/>
            <w:vAlign w:val="center"/>
            <w:hideMark/>
          </w:tcPr>
          <w:p w14:paraId="2A44021D" w14:textId="77777777" w:rsidR="00126D8D" w:rsidRPr="004A4899" w:rsidRDefault="00126D8D" w:rsidP="00820288">
            <w:pPr>
              <w:spacing w:line="240" w:lineRule="auto"/>
              <w:rPr>
                <w:rFonts w:ascii="Times New Roman" w:hAnsi="Times New Roman" w:cs="Times New Roman"/>
                <w:sz w:val="13"/>
                <w:szCs w:val="13"/>
              </w:rPr>
            </w:pPr>
            <w:r w:rsidRPr="004A4899">
              <w:rPr>
                <w:rFonts w:ascii="Times New Roman" w:hAnsi="Times New Roman" w:cs="Times New Roman"/>
                <w:sz w:val="13"/>
                <w:szCs w:val="13"/>
              </w:rPr>
              <w:t>a</w:t>
            </w:r>
          </w:p>
        </w:tc>
        <w:tc>
          <w:tcPr>
            <w:tcW w:w="377" w:type="dxa"/>
            <w:noWrap/>
            <w:vAlign w:val="center"/>
            <w:hideMark/>
          </w:tcPr>
          <w:p w14:paraId="0E11EE7A" w14:textId="77777777" w:rsidR="00126D8D" w:rsidRPr="004A4899" w:rsidRDefault="00126D8D" w:rsidP="00820288">
            <w:pPr>
              <w:spacing w:line="240" w:lineRule="auto"/>
              <w:jc w:val="right"/>
              <w:rPr>
                <w:rFonts w:ascii="Times New Roman" w:hAnsi="Times New Roman" w:cs="Times New Roman"/>
                <w:sz w:val="13"/>
                <w:szCs w:val="13"/>
              </w:rPr>
            </w:pPr>
            <w:r w:rsidRPr="004A4899">
              <w:rPr>
                <w:rFonts w:ascii="Times New Roman" w:hAnsi="Times New Roman" w:cs="Times New Roman"/>
                <w:sz w:val="13"/>
                <w:szCs w:val="13"/>
              </w:rPr>
              <w:t>2.54</w:t>
            </w:r>
          </w:p>
        </w:tc>
        <w:tc>
          <w:tcPr>
            <w:tcW w:w="273" w:type="dxa"/>
            <w:noWrap/>
            <w:vAlign w:val="center"/>
            <w:hideMark/>
          </w:tcPr>
          <w:p w14:paraId="60F66CED" w14:textId="77777777" w:rsidR="00126D8D" w:rsidRPr="004A4899" w:rsidRDefault="00126D8D" w:rsidP="00820288">
            <w:pPr>
              <w:spacing w:line="240" w:lineRule="auto"/>
              <w:rPr>
                <w:rFonts w:ascii="Times New Roman" w:hAnsi="Times New Roman" w:cs="Times New Roman"/>
                <w:sz w:val="13"/>
                <w:szCs w:val="13"/>
              </w:rPr>
            </w:pPr>
            <w:r w:rsidRPr="004A4899">
              <w:rPr>
                <w:rFonts w:ascii="Times New Roman" w:hAnsi="Times New Roman" w:cs="Times New Roman"/>
                <w:sz w:val="13"/>
                <w:szCs w:val="13"/>
              </w:rPr>
              <w:t>a</w:t>
            </w:r>
          </w:p>
        </w:tc>
      </w:tr>
      <w:tr w:rsidR="00126D8D" w:rsidRPr="004A4899" w14:paraId="6CEB79B7" w14:textId="77777777" w:rsidTr="00820288">
        <w:trPr>
          <w:trHeight w:val="173"/>
        </w:trPr>
        <w:tc>
          <w:tcPr>
            <w:tcW w:w="1440" w:type="dxa"/>
            <w:noWrap/>
            <w:vAlign w:val="center"/>
            <w:hideMark/>
          </w:tcPr>
          <w:p w14:paraId="4CAA9F27" w14:textId="77777777" w:rsidR="00126D8D" w:rsidRPr="004A4899" w:rsidRDefault="00126D8D" w:rsidP="00820288">
            <w:pPr>
              <w:spacing w:line="240" w:lineRule="auto"/>
              <w:rPr>
                <w:rFonts w:ascii="Times New Roman" w:hAnsi="Times New Roman" w:cs="Times New Roman"/>
                <w:sz w:val="12"/>
                <w:szCs w:val="12"/>
              </w:rPr>
            </w:pPr>
            <w:r w:rsidRPr="004A4899">
              <w:rPr>
                <w:rFonts w:ascii="Times New Roman" w:hAnsi="Times New Roman" w:cs="Times New Roman"/>
                <w:sz w:val="12"/>
                <w:szCs w:val="12"/>
              </w:rPr>
              <w:t>1-Octen-3-ol</w:t>
            </w:r>
          </w:p>
        </w:tc>
        <w:tc>
          <w:tcPr>
            <w:tcW w:w="377" w:type="dxa"/>
            <w:noWrap/>
            <w:vAlign w:val="center"/>
            <w:hideMark/>
          </w:tcPr>
          <w:p w14:paraId="48A87768" w14:textId="77777777" w:rsidR="00126D8D" w:rsidRPr="004A4899" w:rsidRDefault="00126D8D" w:rsidP="00820288">
            <w:pPr>
              <w:spacing w:line="240" w:lineRule="auto"/>
              <w:jc w:val="right"/>
              <w:rPr>
                <w:rFonts w:ascii="Times New Roman" w:hAnsi="Times New Roman" w:cs="Times New Roman"/>
                <w:sz w:val="13"/>
                <w:szCs w:val="13"/>
              </w:rPr>
            </w:pPr>
            <w:r w:rsidRPr="004A4899">
              <w:rPr>
                <w:rFonts w:ascii="Times New Roman" w:hAnsi="Times New Roman" w:cs="Times New Roman"/>
                <w:sz w:val="13"/>
                <w:szCs w:val="13"/>
              </w:rPr>
              <w:t>20.48</w:t>
            </w:r>
          </w:p>
        </w:tc>
        <w:tc>
          <w:tcPr>
            <w:tcW w:w="274" w:type="dxa"/>
            <w:noWrap/>
            <w:vAlign w:val="center"/>
            <w:hideMark/>
          </w:tcPr>
          <w:p w14:paraId="01F99B44" w14:textId="77777777" w:rsidR="00126D8D" w:rsidRPr="004A4899" w:rsidRDefault="00126D8D" w:rsidP="00820288">
            <w:pPr>
              <w:spacing w:line="240" w:lineRule="auto"/>
              <w:rPr>
                <w:rFonts w:ascii="Times New Roman" w:hAnsi="Times New Roman" w:cs="Times New Roman"/>
                <w:sz w:val="13"/>
                <w:szCs w:val="13"/>
              </w:rPr>
            </w:pPr>
            <w:r w:rsidRPr="004A4899">
              <w:rPr>
                <w:rFonts w:ascii="Times New Roman" w:hAnsi="Times New Roman" w:cs="Times New Roman"/>
                <w:sz w:val="13"/>
                <w:szCs w:val="13"/>
              </w:rPr>
              <w:t>abc</w:t>
            </w:r>
          </w:p>
        </w:tc>
        <w:tc>
          <w:tcPr>
            <w:tcW w:w="411" w:type="dxa"/>
            <w:noWrap/>
            <w:vAlign w:val="center"/>
            <w:hideMark/>
          </w:tcPr>
          <w:p w14:paraId="5FC621F2" w14:textId="77777777" w:rsidR="00126D8D" w:rsidRPr="004A4899" w:rsidRDefault="00126D8D" w:rsidP="00820288">
            <w:pPr>
              <w:spacing w:line="240" w:lineRule="auto"/>
              <w:jc w:val="right"/>
              <w:rPr>
                <w:rFonts w:ascii="Times New Roman" w:hAnsi="Times New Roman" w:cs="Times New Roman"/>
                <w:sz w:val="13"/>
                <w:szCs w:val="13"/>
              </w:rPr>
            </w:pPr>
            <w:r w:rsidRPr="004A4899">
              <w:rPr>
                <w:rFonts w:ascii="Times New Roman" w:hAnsi="Times New Roman" w:cs="Times New Roman"/>
                <w:sz w:val="13"/>
                <w:szCs w:val="13"/>
              </w:rPr>
              <w:t>10.40</w:t>
            </w:r>
          </w:p>
        </w:tc>
        <w:tc>
          <w:tcPr>
            <w:tcW w:w="239" w:type="dxa"/>
            <w:noWrap/>
            <w:vAlign w:val="center"/>
            <w:hideMark/>
          </w:tcPr>
          <w:p w14:paraId="4F111B21" w14:textId="77777777" w:rsidR="00126D8D" w:rsidRPr="004A4899" w:rsidRDefault="00126D8D" w:rsidP="00820288">
            <w:pPr>
              <w:spacing w:line="240" w:lineRule="auto"/>
              <w:rPr>
                <w:rFonts w:ascii="Times New Roman" w:hAnsi="Times New Roman" w:cs="Times New Roman"/>
                <w:sz w:val="13"/>
                <w:szCs w:val="13"/>
              </w:rPr>
            </w:pPr>
            <w:r w:rsidRPr="004A4899">
              <w:rPr>
                <w:rFonts w:ascii="Times New Roman" w:hAnsi="Times New Roman" w:cs="Times New Roman"/>
                <w:sz w:val="13"/>
                <w:szCs w:val="13"/>
              </w:rPr>
              <w:t>c</w:t>
            </w:r>
          </w:p>
        </w:tc>
        <w:tc>
          <w:tcPr>
            <w:tcW w:w="377" w:type="dxa"/>
            <w:noWrap/>
            <w:vAlign w:val="center"/>
            <w:hideMark/>
          </w:tcPr>
          <w:p w14:paraId="5E4AA624" w14:textId="77777777" w:rsidR="00126D8D" w:rsidRPr="004A4899" w:rsidRDefault="00126D8D" w:rsidP="00820288">
            <w:pPr>
              <w:spacing w:line="240" w:lineRule="auto"/>
              <w:jc w:val="right"/>
              <w:rPr>
                <w:rFonts w:ascii="Times New Roman" w:hAnsi="Times New Roman" w:cs="Times New Roman"/>
                <w:sz w:val="13"/>
                <w:szCs w:val="13"/>
              </w:rPr>
            </w:pPr>
            <w:r w:rsidRPr="004A4899">
              <w:rPr>
                <w:rFonts w:ascii="Times New Roman" w:hAnsi="Times New Roman" w:cs="Times New Roman"/>
                <w:sz w:val="13"/>
                <w:szCs w:val="13"/>
              </w:rPr>
              <w:t>15.17</w:t>
            </w:r>
          </w:p>
        </w:tc>
        <w:tc>
          <w:tcPr>
            <w:tcW w:w="273" w:type="dxa"/>
            <w:noWrap/>
            <w:vAlign w:val="center"/>
            <w:hideMark/>
          </w:tcPr>
          <w:p w14:paraId="70D49528" w14:textId="77777777" w:rsidR="00126D8D" w:rsidRPr="004A4899" w:rsidRDefault="00126D8D" w:rsidP="00820288">
            <w:pPr>
              <w:spacing w:line="240" w:lineRule="auto"/>
              <w:rPr>
                <w:rFonts w:ascii="Times New Roman" w:hAnsi="Times New Roman" w:cs="Times New Roman"/>
                <w:sz w:val="13"/>
                <w:szCs w:val="13"/>
              </w:rPr>
            </w:pPr>
            <w:r w:rsidRPr="004A4899">
              <w:rPr>
                <w:rFonts w:ascii="Times New Roman" w:hAnsi="Times New Roman" w:cs="Times New Roman"/>
                <w:sz w:val="13"/>
                <w:szCs w:val="13"/>
              </w:rPr>
              <w:t>bc</w:t>
            </w:r>
          </w:p>
        </w:tc>
        <w:tc>
          <w:tcPr>
            <w:tcW w:w="377" w:type="dxa"/>
            <w:noWrap/>
            <w:vAlign w:val="center"/>
            <w:hideMark/>
          </w:tcPr>
          <w:p w14:paraId="266B16D2" w14:textId="77777777" w:rsidR="00126D8D" w:rsidRPr="004A4899" w:rsidRDefault="00126D8D" w:rsidP="00820288">
            <w:pPr>
              <w:spacing w:line="240" w:lineRule="auto"/>
              <w:jc w:val="right"/>
              <w:rPr>
                <w:rFonts w:ascii="Times New Roman" w:hAnsi="Times New Roman" w:cs="Times New Roman"/>
                <w:sz w:val="13"/>
                <w:szCs w:val="13"/>
              </w:rPr>
            </w:pPr>
            <w:r w:rsidRPr="004A4899">
              <w:rPr>
                <w:rFonts w:ascii="Times New Roman" w:hAnsi="Times New Roman" w:cs="Times New Roman"/>
                <w:sz w:val="13"/>
                <w:szCs w:val="13"/>
              </w:rPr>
              <w:t>36.11</w:t>
            </w:r>
          </w:p>
        </w:tc>
        <w:tc>
          <w:tcPr>
            <w:tcW w:w="273" w:type="dxa"/>
            <w:noWrap/>
            <w:vAlign w:val="center"/>
            <w:hideMark/>
          </w:tcPr>
          <w:p w14:paraId="7557305B" w14:textId="77777777" w:rsidR="00126D8D" w:rsidRPr="004A4899" w:rsidRDefault="00126D8D" w:rsidP="00820288">
            <w:pPr>
              <w:spacing w:line="240" w:lineRule="auto"/>
              <w:rPr>
                <w:rFonts w:ascii="Times New Roman" w:hAnsi="Times New Roman" w:cs="Times New Roman"/>
                <w:sz w:val="13"/>
                <w:szCs w:val="13"/>
              </w:rPr>
            </w:pPr>
            <w:r w:rsidRPr="004A4899">
              <w:rPr>
                <w:rFonts w:ascii="Times New Roman" w:hAnsi="Times New Roman" w:cs="Times New Roman"/>
                <w:sz w:val="13"/>
                <w:szCs w:val="13"/>
              </w:rPr>
              <w:t>a</w:t>
            </w:r>
          </w:p>
        </w:tc>
        <w:tc>
          <w:tcPr>
            <w:tcW w:w="377" w:type="dxa"/>
            <w:noWrap/>
            <w:vAlign w:val="center"/>
            <w:hideMark/>
          </w:tcPr>
          <w:p w14:paraId="2CE70A7F" w14:textId="77777777" w:rsidR="00126D8D" w:rsidRPr="004A4899" w:rsidRDefault="00126D8D" w:rsidP="00820288">
            <w:pPr>
              <w:spacing w:line="240" w:lineRule="auto"/>
              <w:jc w:val="right"/>
              <w:rPr>
                <w:rFonts w:ascii="Times New Roman" w:hAnsi="Times New Roman" w:cs="Times New Roman"/>
                <w:sz w:val="13"/>
                <w:szCs w:val="13"/>
              </w:rPr>
            </w:pPr>
            <w:r w:rsidRPr="004A4899">
              <w:rPr>
                <w:rFonts w:ascii="Times New Roman" w:hAnsi="Times New Roman" w:cs="Times New Roman"/>
                <w:sz w:val="13"/>
                <w:szCs w:val="13"/>
              </w:rPr>
              <w:t>16.03</w:t>
            </w:r>
          </w:p>
        </w:tc>
        <w:tc>
          <w:tcPr>
            <w:tcW w:w="326" w:type="dxa"/>
            <w:noWrap/>
            <w:vAlign w:val="center"/>
            <w:hideMark/>
          </w:tcPr>
          <w:p w14:paraId="368A724B" w14:textId="77777777" w:rsidR="00126D8D" w:rsidRPr="004A4899" w:rsidRDefault="00126D8D" w:rsidP="00820288">
            <w:pPr>
              <w:spacing w:line="240" w:lineRule="auto"/>
              <w:rPr>
                <w:rFonts w:ascii="Times New Roman" w:hAnsi="Times New Roman" w:cs="Times New Roman"/>
                <w:sz w:val="13"/>
                <w:szCs w:val="13"/>
              </w:rPr>
            </w:pPr>
            <w:r w:rsidRPr="004A4899">
              <w:rPr>
                <w:rFonts w:ascii="Times New Roman" w:hAnsi="Times New Roman" w:cs="Times New Roman"/>
                <w:sz w:val="13"/>
                <w:szCs w:val="13"/>
              </w:rPr>
              <w:t>bc</w:t>
            </w:r>
          </w:p>
        </w:tc>
        <w:tc>
          <w:tcPr>
            <w:tcW w:w="377" w:type="dxa"/>
            <w:noWrap/>
            <w:vAlign w:val="center"/>
            <w:hideMark/>
          </w:tcPr>
          <w:p w14:paraId="784F7E03" w14:textId="77777777" w:rsidR="00126D8D" w:rsidRPr="004A4899" w:rsidRDefault="00126D8D" w:rsidP="00820288">
            <w:pPr>
              <w:spacing w:line="240" w:lineRule="auto"/>
              <w:jc w:val="right"/>
              <w:rPr>
                <w:rFonts w:ascii="Times New Roman" w:hAnsi="Times New Roman" w:cs="Times New Roman"/>
                <w:sz w:val="13"/>
                <w:szCs w:val="13"/>
              </w:rPr>
            </w:pPr>
            <w:r w:rsidRPr="004A4899">
              <w:rPr>
                <w:rFonts w:ascii="Times New Roman" w:hAnsi="Times New Roman" w:cs="Times New Roman"/>
                <w:sz w:val="13"/>
                <w:szCs w:val="13"/>
              </w:rPr>
              <w:t>24.75</w:t>
            </w:r>
          </w:p>
        </w:tc>
        <w:tc>
          <w:tcPr>
            <w:tcW w:w="326" w:type="dxa"/>
            <w:noWrap/>
            <w:vAlign w:val="center"/>
            <w:hideMark/>
          </w:tcPr>
          <w:p w14:paraId="1CA21FF8" w14:textId="77777777" w:rsidR="00126D8D" w:rsidRPr="004A4899" w:rsidRDefault="00126D8D" w:rsidP="00820288">
            <w:pPr>
              <w:spacing w:line="240" w:lineRule="auto"/>
              <w:rPr>
                <w:rFonts w:ascii="Times New Roman" w:hAnsi="Times New Roman" w:cs="Times New Roman"/>
                <w:sz w:val="13"/>
                <w:szCs w:val="13"/>
              </w:rPr>
            </w:pPr>
            <w:r w:rsidRPr="004A4899">
              <w:rPr>
                <w:rFonts w:ascii="Times New Roman" w:hAnsi="Times New Roman" w:cs="Times New Roman"/>
                <w:sz w:val="13"/>
                <w:szCs w:val="13"/>
              </w:rPr>
              <w:t>abc</w:t>
            </w:r>
          </w:p>
        </w:tc>
        <w:tc>
          <w:tcPr>
            <w:tcW w:w="377" w:type="dxa"/>
            <w:noWrap/>
            <w:vAlign w:val="center"/>
            <w:hideMark/>
          </w:tcPr>
          <w:p w14:paraId="12B12FB5" w14:textId="77777777" w:rsidR="00126D8D" w:rsidRPr="004A4899" w:rsidRDefault="00126D8D" w:rsidP="00820288">
            <w:pPr>
              <w:spacing w:line="240" w:lineRule="auto"/>
              <w:jc w:val="right"/>
              <w:rPr>
                <w:rFonts w:ascii="Times New Roman" w:hAnsi="Times New Roman" w:cs="Times New Roman"/>
                <w:sz w:val="13"/>
                <w:szCs w:val="13"/>
              </w:rPr>
            </w:pPr>
            <w:r w:rsidRPr="004A4899">
              <w:rPr>
                <w:rFonts w:ascii="Times New Roman" w:hAnsi="Times New Roman" w:cs="Times New Roman"/>
                <w:sz w:val="13"/>
                <w:szCs w:val="13"/>
              </w:rPr>
              <w:t>35.65</w:t>
            </w:r>
          </w:p>
        </w:tc>
        <w:tc>
          <w:tcPr>
            <w:tcW w:w="219" w:type="dxa"/>
            <w:noWrap/>
            <w:vAlign w:val="center"/>
            <w:hideMark/>
          </w:tcPr>
          <w:p w14:paraId="327FF897" w14:textId="77777777" w:rsidR="00126D8D" w:rsidRPr="004A4899" w:rsidRDefault="00126D8D" w:rsidP="00820288">
            <w:pPr>
              <w:spacing w:line="240" w:lineRule="auto"/>
              <w:rPr>
                <w:rFonts w:ascii="Times New Roman" w:hAnsi="Times New Roman" w:cs="Times New Roman"/>
                <w:sz w:val="13"/>
                <w:szCs w:val="13"/>
              </w:rPr>
            </w:pPr>
            <w:r w:rsidRPr="004A4899">
              <w:rPr>
                <w:rFonts w:ascii="Times New Roman" w:hAnsi="Times New Roman" w:cs="Times New Roman"/>
                <w:sz w:val="13"/>
                <w:szCs w:val="13"/>
              </w:rPr>
              <w:t>a</w:t>
            </w:r>
          </w:p>
        </w:tc>
        <w:tc>
          <w:tcPr>
            <w:tcW w:w="377" w:type="dxa"/>
            <w:noWrap/>
            <w:vAlign w:val="center"/>
            <w:hideMark/>
          </w:tcPr>
          <w:p w14:paraId="7270776B" w14:textId="77777777" w:rsidR="00126D8D" w:rsidRPr="004A4899" w:rsidRDefault="00126D8D" w:rsidP="00820288">
            <w:pPr>
              <w:spacing w:line="240" w:lineRule="auto"/>
              <w:jc w:val="right"/>
              <w:rPr>
                <w:rFonts w:ascii="Times New Roman" w:hAnsi="Times New Roman" w:cs="Times New Roman"/>
                <w:sz w:val="13"/>
                <w:szCs w:val="13"/>
              </w:rPr>
            </w:pPr>
            <w:r w:rsidRPr="004A4899">
              <w:rPr>
                <w:rFonts w:ascii="Times New Roman" w:hAnsi="Times New Roman" w:cs="Times New Roman"/>
                <w:sz w:val="13"/>
                <w:szCs w:val="13"/>
              </w:rPr>
              <w:t>31.25</w:t>
            </w:r>
          </w:p>
        </w:tc>
        <w:tc>
          <w:tcPr>
            <w:tcW w:w="159" w:type="dxa"/>
            <w:noWrap/>
            <w:vAlign w:val="center"/>
            <w:hideMark/>
          </w:tcPr>
          <w:p w14:paraId="5FA23769" w14:textId="77777777" w:rsidR="00126D8D" w:rsidRPr="004A4899" w:rsidRDefault="00126D8D" w:rsidP="00820288">
            <w:pPr>
              <w:spacing w:line="240" w:lineRule="auto"/>
              <w:rPr>
                <w:rFonts w:ascii="Times New Roman" w:hAnsi="Times New Roman" w:cs="Times New Roman"/>
                <w:sz w:val="13"/>
                <w:szCs w:val="13"/>
              </w:rPr>
            </w:pPr>
            <w:r w:rsidRPr="004A4899">
              <w:rPr>
                <w:rFonts w:ascii="Times New Roman" w:hAnsi="Times New Roman" w:cs="Times New Roman"/>
                <w:sz w:val="13"/>
                <w:szCs w:val="13"/>
              </w:rPr>
              <w:t>ab</w:t>
            </w:r>
          </w:p>
        </w:tc>
        <w:tc>
          <w:tcPr>
            <w:tcW w:w="377" w:type="dxa"/>
            <w:noWrap/>
            <w:vAlign w:val="center"/>
            <w:hideMark/>
          </w:tcPr>
          <w:p w14:paraId="6D349494" w14:textId="77777777" w:rsidR="00126D8D" w:rsidRPr="004A4899" w:rsidRDefault="00126D8D" w:rsidP="00820288">
            <w:pPr>
              <w:spacing w:line="240" w:lineRule="auto"/>
              <w:jc w:val="right"/>
              <w:rPr>
                <w:rFonts w:ascii="Times New Roman" w:hAnsi="Times New Roman" w:cs="Times New Roman"/>
                <w:sz w:val="13"/>
                <w:szCs w:val="13"/>
              </w:rPr>
            </w:pPr>
            <w:r w:rsidRPr="004A4899">
              <w:rPr>
                <w:rFonts w:ascii="Times New Roman" w:hAnsi="Times New Roman" w:cs="Times New Roman"/>
                <w:sz w:val="13"/>
                <w:szCs w:val="13"/>
              </w:rPr>
              <w:t>24.65</w:t>
            </w:r>
          </w:p>
        </w:tc>
        <w:tc>
          <w:tcPr>
            <w:tcW w:w="326" w:type="dxa"/>
            <w:noWrap/>
            <w:vAlign w:val="center"/>
            <w:hideMark/>
          </w:tcPr>
          <w:p w14:paraId="1534DF04" w14:textId="77777777" w:rsidR="00126D8D" w:rsidRPr="004A4899" w:rsidRDefault="00126D8D" w:rsidP="00820288">
            <w:pPr>
              <w:spacing w:line="240" w:lineRule="auto"/>
              <w:rPr>
                <w:rFonts w:ascii="Times New Roman" w:hAnsi="Times New Roman" w:cs="Times New Roman"/>
                <w:sz w:val="13"/>
                <w:szCs w:val="13"/>
              </w:rPr>
            </w:pPr>
            <w:r w:rsidRPr="004A4899">
              <w:rPr>
                <w:rFonts w:ascii="Times New Roman" w:hAnsi="Times New Roman" w:cs="Times New Roman"/>
                <w:sz w:val="13"/>
                <w:szCs w:val="13"/>
              </w:rPr>
              <w:t>abc</w:t>
            </w:r>
          </w:p>
        </w:tc>
        <w:tc>
          <w:tcPr>
            <w:tcW w:w="377" w:type="dxa"/>
            <w:noWrap/>
            <w:vAlign w:val="center"/>
            <w:hideMark/>
          </w:tcPr>
          <w:p w14:paraId="285C49A3" w14:textId="77777777" w:rsidR="00126D8D" w:rsidRPr="004A4899" w:rsidRDefault="00126D8D" w:rsidP="00820288">
            <w:pPr>
              <w:spacing w:line="240" w:lineRule="auto"/>
              <w:jc w:val="right"/>
              <w:rPr>
                <w:rFonts w:ascii="Times New Roman" w:hAnsi="Times New Roman" w:cs="Times New Roman"/>
                <w:sz w:val="13"/>
                <w:szCs w:val="13"/>
              </w:rPr>
            </w:pPr>
            <w:r w:rsidRPr="004A4899">
              <w:rPr>
                <w:rFonts w:ascii="Times New Roman" w:hAnsi="Times New Roman" w:cs="Times New Roman"/>
                <w:sz w:val="13"/>
                <w:szCs w:val="13"/>
              </w:rPr>
              <w:t>18.57</w:t>
            </w:r>
          </w:p>
        </w:tc>
        <w:tc>
          <w:tcPr>
            <w:tcW w:w="252" w:type="dxa"/>
            <w:noWrap/>
            <w:vAlign w:val="center"/>
            <w:hideMark/>
          </w:tcPr>
          <w:p w14:paraId="7781B9FE" w14:textId="77777777" w:rsidR="00126D8D" w:rsidRPr="004A4899" w:rsidRDefault="00126D8D" w:rsidP="00820288">
            <w:pPr>
              <w:spacing w:line="240" w:lineRule="auto"/>
              <w:rPr>
                <w:rFonts w:ascii="Times New Roman" w:hAnsi="Times New Roman" w:cs="Times New Roman"/>
                <w:sz w:val="13"/>
                <w:szCs w:val="13"/>
              </w:rPr>
            </w:pPr>
            <w:r w:rsidRPr="004A4899">
              <w:rPr>
                <w:rFonts w:ascii="Times New Roman" w:hAnsi="Times New Roman" w:cs="Times New Roman"/>
                <w:sz w:val="13"/>
                <w:szCs w:val="13"/>
              </w:rPr>
              <w:t>abc</w:t>
            </w:r>
          </w:p>
        </w:tc>
        <w:tc>
          <w:tcPr>
            <w:tcW w:w="377" w:type="dxa"/>
            <w:noWrap/>
            <w:vAlign w:val="center"/>
            <w:hideMark/>
          </w:tcPr>
          <w:p w14:paraId="46C945ED" w14:textId="77777777" w:rsidR="00126D8D" w:rsidRPr="004A4899" w:rsidRDefault="00126D8D" w:rsidP="00820288">
            <w:pPr>
              <w:spacing w:line="240" w:lineRule="auto"/>
              <w:jc w:val="right"/>
              <w:rPr>
                <w:rFonts w:ascii="Times New Roman" w:hAnsi="Times New Roman" w:cs="Times New Roman"/>
                <w:sz w:val="13"/>
                <w:szCs w:val="13"/>
              </w:rPr>
            </w:pPr>
            <w:r w:rsidRPr="004A4899">
              <w:rPr>
                <w:rFonts w:ascii="Times New Roman" w:hAnsi="Times New Roman" w:cs="Times New Roman"/>
                <w:sz w:val="13"/>
                <w:szCs w:val="13"/>
              </w:rPr>
              <w:t>20.41</w:t>
            </w:r>
          </w:p>
        </w:tc>
        <w:tc>
          <w:tcPr>
            <w:tcW w:w="273" w:type="dxa"/>
            <w:noWrap/>
            <w:vAlign w:val="center"/>
            <w:hideMark/>
          </w:tcPr>
          <w:p w14:paraId="328C6A4B" w14:textId="77777777" w:rsidR="00126D8D" w:rsidRPr="004A4899" w:rsidRDefault="00126D8D" w:rsidP="00820288">
            <w:pPr>
              <w:spacing w:line="240" w:lineRule="auto"/>
              <w:rPr>
                <w:rFonts w:ascii="Times New Roman" w:hAnsi="Times New Roman" w:cs="Times New Roman"/>
                <w:sz w:val="13"/>
                <w:szCs w:val="13"/>
              </w:rPr>
            </w:pPr>
            <w:r w:rsidRPr="004A4899">
              <w:rPr>
                <w:rFonts w:ascii="Times New Roman" w:hAnsi="Times New Roman" w:cs="Times New Roman"/>
                <w:sz w:val="13"/>
                <w:szCs w:val="13"/>
              </w:rPr>
              <w:t>abc</w:t>
            </w:r>
          </w:p>
        </w:tc>
        <w:tc>
          <w:tcPr>
            <w:tcW w:w="377" w:type="dxa"/>
            <w:noWrap/>
            <w:vAlign w:val="center"/>
            <w:hideMark/>
          </w:tcPr>
          <w:p w14:paraId="4FD686E0" w14:textId="77777777" w:rsidR="00126D8D" w:rsidRPr="004A4899" w:rsidRDefault="00126D8D" w:rsidP="00820288">
            <w:pPr>
              <w:spacing w:line="240" w:lineRule="auto"/>
              <w:jc w:val="right"/>
              <w:rPr>
                <w:rFonts w:ascii="Times New Roman" w:hAnsi="Times New Roman" w:cs="Times New Roman"/>
                <w:sz w:val="13"/>
                <w:szCs w:val="13"/>
              </w:rPr>
            </w:pPr>
            <w:r w:rsidRPr="004A4899">
              <w:rPr>
                <w:rFonts w:ascii="Times New Roman" w:hAnsi="Times New Roman" w:cs="Times New Roman"/>
                <w:sz w:val="13"/>
                <w:szCs w:val="13"/>
              </w:rPr>
              <w:t>24.70</w:t>
            </w:r>
          </w:p>
        </w:tc>
        <w:tc>
          <w:tcPr>
            <w:tcW w:w="273" w:type="dxa"/>
            <w:noWrap/>
            <w:vAlign w:val="center"/>
            <w:hideMark/>
          </w:tcPr>
          <w:p w14:paraId="74013216" w14:textId="77777777" w:rsidR="00126D8D" w:rsidRPr="004A4899" w:rsidRDefault="00126D8D" w:rsidP="00820288">
            <w:pPr>
              <w:spacing w:line="240" w:lineRule="auto"/>
              <w:rPr>
                <w:rFonts w:ascii="Times New Roman" w:hAnsi="Times New Roman" w:cs="Times New Roman"/>
                <w:sz w:val="13"/>
                <w:szCs w:val="13"/>
              </w:rPr>
            </w:pPr>
            <w:r w:rsidRPr="004A4899">
              <w:rPr>
                <w:rFonts w:ascii="Times New Roman" w:hAnsi="Times New Roman" w:cs="Times New Roman"/>
                <w:sz w:val="13"/>
                <w:szCs w:val="13"/>
              </w:rPr>
              <w:t>abc</w:t>
            </w:r>
          </w:p>
        </w:tc>
      </w:tr>
      <w:tr w:rsidR="00126D8D" w:rsidRPr="004A4899" w14:paraId="26B142D0" w14:textId="77777777" w:rsidTr="00820288">
        <w:trPr>
          <w:trHeight w:val="173"/>
        </w:trPr>
        <w:tc>
          <w:tcPr>
            <w:tcW w:w="1440" w:type="dxa"/>
            <w:noWrap/>
            <w:vAlign w:val="center"/>
            <w:hideMark/>
          </w:tcPr>
          <w:p w14:paraId="20A947E9" w14:textId="77777777" w:rsidR="00126D8D" w:rsidRPr="004A4899" w:rsidRDefault="00126D8D" w:rsidP="00820288">
            <w:pPr>
              <w:spacing w:line="240" w:lineRule="auto"/>
              <w:rPr>
                <w:rFonts w:ascii="Times New Roman" w:hAnsi="Times New Roman" w:cs="Times New Roman"/>
                <w:sz w:val="12"/>
                <w:szCs w:val="12"/>
              </w:rPr>
            </w:pPr>
            <w:r w:rsidRPr="004A4899">
              <w:rPr>
                <w:rFonts w:ascii="Times New Roman" w:hAnsi="Times New Roman" w:cs="Times New Roman"/>
                <w:sz w:val="12"/>
                <w:szCs w:val="12"/>
              </w:rPr>
              <w:t>2-Phenylethanol</w:t>
            </w:r>
          </w:p>
        </w:tc>
        <w:tc>
          <w:tcPr>
            <w:tcW w:w="377" w:type="dxa"/>
            <w:noWrap/>
            <w:vAlign w:val="center"/>
            <w:hideMark/>
          </w:tcPr>
          <w:p w14:paraId="193874D0" w14:textId="77777777" w:rsidR="00126D8D" w:rsidRPr="004A4899" w:rsidRDefault="00126D8D" w:rsidP="00820288">
            <w:pPr>
              <w:spacing w:line="240" w:lineRule="auto"/>
              <w:jc w:val="right"/>
              <w:rPr>
                <w:rFonts w:ascii="Times New Roman" w:hAnsi="Times New Roman" w:cs="Times New Roman"/>
                <w:sz w:val="13"/>
                <w:szCs w:val="13"/>
              </w:rPr>
            </w:pPr>
            <w:r w:rsidRPr="004A4899">
              <w:rPr>
                <w:rFonts w:ascii="Times New Roman" w:hAnsi="Times New Roman" w:cs="Times New Roman"/>
                <w:sz w:val="13"/>
                <w:szCs w:val="13"/>
              </w:rPr>
              <w:t>29.64</w:t>
            </w:r>
          </w:p>
        </w:tc>
        <w:tc>
          <w:tcPr>
            <w:tcW w:w="274" w:type="dxa"/>
            <w:noWrap/>
            <w:vAlign w:val="center"/>
            <w:hideMark/>
          </w:tcPr>
          <w:p w14:paraId="25E607C3" w14:textId="77777777" w:rsidR="00126D8D" w:rsidRPr="004A4899" w:rsidRDefault="00126D8D" w:rsidP="00820288">
            <w:pPr>
              <w:spacing w:line="240" w:lineRule="auto"/>
              <w:rPr>
                <w:rFonts w:ascii="Times New Roman" w:hAnsi="Times New Roman" w:cs="Times New Roman"/>
                <w:sz w:val="13"/>
                <w:szCs w:val="13"/>
              </w:rPr>
            </w:pPr>
            <w:r w:rsidRPr="004A4899">
              <w:rPr>
                <w:rFonts w:ascii="Times New Roman" w:hAnsi="Times New Roman" w:cs="Times New Roman"/>
                <w:sz w:val="13"/>
                <w:szCs w:val="13"/>
              </w:rPr>
              <w:t>bcd</w:t>
            </w:r>
          </w:p>
        </w:tc>
        <w:tc>
          <w:tcPr>
            <w:tcW w:w="411" w:type="dxa"/>
            <w:noWrap/>
            <w:vAlign w:val="center"/>
            <w:hideMark/>
          </w:tcPr>
          <w:p w14:paraId="04C48029" w14:textId="77777777" w:rsidR="00126D8D" w:rsidRPr="004A4899" w:rsidRDefault="00126D8D" w:rsidP="00820288">
            <w:pPr>
              <w:spacing w:line="240" w:lineRule="auto"/>
              <w:jc w:val="right"/>
              <w:rPr>
                <w:rFonts w:ascii="Times New Roman" w:hAnsi="Times New Roman" w:cs="Times New Roman"/>
                <w:sz w:val="13"/>
                <w:szCs w:val="13"/>
              </w:rPr>
            </w:pPr>
            <w:r w:rsidRPr="004A4899">
              <w:rPr>
                <w:rFonts w:ascii="Times New Roman" w:hAnsi="Times New Roman" w:cs="Times New Roman"/>
                <w:sz w:val="13"/>
                <w:szCs w:val="13"/>
              </w:rPr>
              <w:t>20.70</w:t>
            </w:r>
          </w:p>
        </w:tc>
        <w:tc>
          <w:tcPr>
            <w:tcW w:w="239" w:type="dxa"/>
            <w:noWrap/>
            <w:vAlign w:val="center"/>
            <w:hideMark/>
          </w:tcPr>
          <w:p w14:paraId="017560D7" w14:textId="77777777" w:rsidR="00126D8D" w:rsidRPr="004A4899" w:rsidRDefault="00126D8D" w:rsidP="00820288">
            <w:pPr>
              <w:spacing w:line="240" w:lineRule="auto"/>
              <w:rPr>
                <w:rFonts w:ascii="Times New Roman" w:hAnsi="Times New Roman" w:cs="Times New Roman"/>
                <w:sz w:val="13"/>
                <w:szCs w:val="13"/>
              </w:rPr>
            </w:pPr>
            <w:r w:rsidRPr="004A4899">
              <w:rPr>
                <w:rFonts w:ascii="Times New Roman" w:hAnsi="Times New Roman" w:cs="Times New Roman"/>
                <w:sz w:val="13"/>
                <w:szCs w:val="13"/>
              </w:rPr>
              <w:t>d</w:t>
            </w:r>
          </w:p>
        </w:tc>
        <w:tc>
          <w:tcPr>
            <w:tcW w:w="377" w:type="dxa"/>
            <w:noWrap/>
            <w:vAlign w:val="center"/>
            <w:hideMark/>
          </w:tcPr>
          <w:p w14:paraId="0F10D793" w14:textId="77777777" w:rsidR="00126D8D" w:rsidRPr="004A4899" w:rsidRDefault="00126D8D" w:rsidP="00820288">
            <w:pPr>
              <w:spacing w:line="240" w:lineRule="auto"/>
              <w:jc w:val="right"/>
              <w:rPr>
                <w:rFonts w:ascii="Times New Roman" w:hAnsi="Times New Roman" w:cs="Times New Roman"/>
                <w:sz w:val="13"/>
                <w:szCs w:val="13"/>
              </w:rPr>
            </w:pPr>
            <w:r w:rsidRPr="004A4899">
              <w:rPr>
                <w:rFonts w:ascii="Times New Roman" w:hAnsi="Times New Roman" w:cs="Times New Roman"/>
                <w:sz w:val="13"/>
                <w:szCs w:val="13"/>
              </w:rPr>
              <w:t>28.35</w:t>
            </w:r>
          </w:p>
        </w:tc>
        <w:tc>
          <w:tcPr>
            <w:tcW w:w="273" w:type="dxa"/>
            <w:noWrap/>
            <w:vAlign w:val="center"/>
            <w:hideMark/>
          </w:tcPr>
          <w:p w14:paraId="142AD01D" w14:textId="77777777" w:rsidR="00126D8D" w:rsidRPr="004A4899" w:rsidRDefault="00126D8D" w:rsidP="00820288">
            <w:pPr>
              <w:spacing w:line="240" w:lineRule="auto"/>
              <w:rPr>
                <w:rFonts w:ascii="Times New Roman" w:hAnsi="Times New Roman" w:cs="Times New Roman"/>
                <w:sz w:val="13"/>
                <w:szCs w:val="13"/>
              </w:rPr>
            </w:pPr>
            <w:r w:rsidRPr="004A4899">
              <w:rPr>
                <w:rFonts w:ascii="Times New Roman" w:hAnsi="Times New Roman" w:cs="Times New Roman"/>
                <w:sz w:val="13"/>
                <w:szCs w:val="13"/>
              </w:rPr>
              <w:t>bcd</w:t>
            </w:r>
          </w:p>
        </w:tc>
        <w:tc>
          <w:tcPr>
            <w:tcW w:w="377" w:type="dxa"/>
            <w:noWrap/>
            <w:vAlign w:val="center"/>
            <w:hideMark/>
          </w:tcPr>
          <w:p w14:paraId="497E9FDF" w14:textId="77777777" w:rsidR="00126D8D" w:rsidRPr="004A4899" w:rsidRDefault="00126D8D" w:rsidP="00820288">
            <w:pPr>
              <w:spacing w:line="240" w:lineRule="auto"/>
              <w:jc w:val="right"/>
              <w:rPr>
                <w:rFonts w:ascii="Times New Roman" w:hAnsi="Times New Roman" w:cs="Times New Roman"/>
                <w:sz w:val="13"/>
                <w:szCs w:val="13"/>
              </w:rPr>
            </w:pPr>
            <w:r w:rsidRPr="004A4899">
              <w:rPr>
                <w:rFonts w:ascii="Times New Roman" w:hAnsi="Times New Roman" w:cs="Times New Roman"/>
                <w:sz w:val="13"/>
                <w:szCs w:val="13"/>
              </w:rPr>
              <w:t>42.26</w:t>
            </w:r>
          </w:p>
        </w:tc>
        <w:tc>
          <w:tcPr>
            <w:tcW w:w="273" w:type="dxa"/>
            <w:noWrap/>
            <w:vAlign w:val="center"/>
            <w:hideMark/>
          </w:tcPr>
          <w:p w14:paraId="19C7FA1B" w14:textId="77777777" w:rsidR="00126D8D" w:rsidRPr="004A4899" w:rsidRDefault="00126D8D" w:rsidP="00820288">
            <w:pPr>
              <w:spacing w:line="240" w:lineRule="auto"/>
              <w:rPr>
                <w:rFonts w:ascii="Times New Roman" w:hAnsi="Times New Roman" w:cs="Times New Roman"/>
                <w:sz w:val="13"/>
                <w:szCs w:val="13"/>
              </w:rPr>
            </w:pPr>
            <w:r w:rsidRPr="004A4899">
              <w:rPr>
                <w:rFonts w:ascii="Times New Roman" w:hAnsi="Times New Roman" w:cs="Times New Roman"/>
                <w:sz w:val="13"/>
                <w:szCs w:val="13"/>
              </w:rPr>
              <w:t>bc</w:t>
            </w:r>
          </w:p>
        </w:tc>
        <w:tc>
          <w:tcPr>
            <w:tcW w:w="377" w:type="dxa"/>
            <w:noWrap/>
            <w:vAlign w:val="center"/>
            <w:hideMark/>
          </w:tcPr>
          <w:p w14:paraId="27D28F90" w14:textId="77777777" w:rsidR="00126D8D" w:rsidRPr="004A4899" w:rsidRDefault="00126D8D" w:rsidP="00820288">
            <w:pPr>
              <w:spacing w:line="240" w:lineRule="auto"/>
              <w:jc w:val="right"/>
              <w:rPr>
                <w:rFonts w:ascii="Times New Roman" w:hAnsi="Times New Roman" w:cs="Times New Roman"/>
                <w:sz w:val="13"/>
                <w:szCs w:val="13"/>
              </w:rPr>
            </w:pPr>
            <w:r w:rsidRPr="004A4899">
              <w:rPr>
                <w:rFonts w:ascii="Times New Roman" w:hAnsi="Times New Roman" w:cs="Times New Roman"/>
                <w:sz w:val="13"/>
                <w:szCs w:val="13"/>
              </w:rPr>
              <w:t>36.71</w:t>
            </w:r>
          </w:p>
        </w:tc>
        <w:tc>
          <w:tcPr>
            <w:tcW w:w="326" w:type="dxa"/>
            <w:noWrap/>
            <w:vAlign w:val="center"/>
            <w:hideMark/>
          </w:tcPr>
          <w:p w14:paraId="53DA522A" w14:textId="77777777" w:rsidR="00126D8D" w:rsidRPr="004A4899" w:rsidRDefault="00126D8D" w:rsidP="00820288">
            <w:pPr>
              <w:spacing w:line="240" w:lineRule="auto"/>
              <w:rPr>
                <w:rFonts w:ascii="Times New Roman" w:hAnsi="Times New Roman" w:cs="Times New Roman"/>
                <w:sz w:val="13"/>
                <w:szCs w:val="13"/>
              </w:rPr>
            </w:pPr>
            <w:r w:rsidRPr="004A4899">
              <w:rPr>
                <w:rFonts w:ascii="Times New Roman" w:hAnsi="Times New Roman" w:cs="Times New Roman"/>
                <w:sz w:val="13"/>
                <w:szCs w:val="13"/>
              </w:rPr>
              <w:t>bcd</w:t>
            </w:r>
          </w:p>
        </w:tc>
        <w:tc>
          <w:tcPr>
            <w:tcW w:w="377" w:type="dxa"/>
            <w:noWrap/>
            <w:vAlign w:val="center"/>
            <w:hideMark/>
          </w:tcPr>
          <w:p w14:paraId="798F00B4" w14:textId="77777777" w:rsidR="00126D8D" w:rsidRPr="004A4899" w:rsidRDefault="00126D8D" w:rsidP="00820288">
            <w:pPr>
              <w:spacing w:line="240" w:lineRule="auto"/>
              <w:jc w:val="right"/>
              <w:rPr>
                <w:rFonts w:ascii="Times New Roman" w:hAnsi="Times New Roman" w:cs="Times New Roman"/>
                <w:sz w:val="13"/>
                <w:szCs w:val="13"/>
              </w:rPr>
            </w:pPr>
            <w:r w:rsidRPr="004A4899">
              <w:rPr>
                <w:rFonts w:ascii="Times New Roman" w:hAnsi="Times New Roman" w:cs="Times New Roman"/>
                <w:sz w:val="13"/>
                <w:szCs w:val="13"/>
              </w:rPr>
              <w:t>33.43</w:t>
            </w:r>
          </w:p>
        </w:tc>
        <w:tc>
          <w:tcPr>
            <w:tcW w:w="326" w:type="dxa"/>
            <w:noWrap/>
            <w:vAlign w:val="center"/>
            <w:hideMark/>
          </w:tcPr>
          <w:p w14:paraId="7E1AE55C" w14:textId="77777777" w:rsidR="00126D8D" w:rsidRPr="004A4899" w:rsidRDefault="00126D8D" w:rsidP="00820288">
            <w:pPr>
              <w:spacing w:line="240" w:lineRule="auto"/>
              <w:rPr>
                <w:rFonts w:ascii="Times New Roman" w:hAnsi="Times New Roman" w:cs="Times New Roman"/>
                <w:sz w:val="13"/>
                <w:szCs w:val="13"/>
              </w:rPr>
            </w:pPr>
            <w:r w:rsidRPr="004A4899">
              <w:rPr>
                <w:rFonts w:ascii="Times New Roman" w:hAnsi="Times New Roman" w:cs="Times New Roman"/>
                <w:sz w:val="13"/>
                <w:szCs w:val="13"/>
              </w:rPr>
              <w:t>bcd</w:t>
            </w:r>
          </w:p>
        </w:tc>
        <w:tc>
          <w:tcPr>
            <w:tcW w:w="377" w:type="dxa"/>
            <w:noWrap/>
            <w:vAlign w:val="center"/>
            <w:hideMark/>
          </w:tcPr>
          <w:p w14:paraId="68DDF0E2" w14:textId="77777777" w:rsidR="00126D8D" w:rsidRPr="004A4899" w:rsidRDefault="00126D8D" w:rsidP="00820288">
            <w:pPr>
              <w:spacing w:line="240" w:lineRule="auto"/>
              <w:jc w:val="right"/>
              <w:rPr>
                <w:rFonts w:ascii="Times New Roman" w:hAnsi="Times New Roman" w:cs="Times New Roman"/>
                <w:sz w:val="13"/>
                <w:szCs w:val="13"/>
              </w:rPr>
            </w:pPr>
            <w:r w:rsidRPr="004A4899">
              <w:rPr>
                <w:rFonts w:ascii="Times New Roman" w:hAnsi="Times New Roman" w:cs="Times New Roman"/>
                <w:sz w:val="13"/>
                <w:szCs w:val="13"/>
              </w:rPr>
              <w:t>37.98</w:t>
            </w:r>
          </w:p>
        </w:tc>
        <w:tc>
          <w:tcPr>
            <w:tcW w:w="219" w:type="dxa"/>
            <w:noWrap/>
            <w:vAlign w:val="center"/>
            <w:hideMark/>
          </w:tcPr>
          <w:p w14:paraId="256EEEB0" w14:textId="77777777" w:rsidR="00126D8D" w:rsidRPr="004A4899" w:rsidRDefault="00126D8D" w:rsidP="00820288">
            <w:pPr>
              <w:spacing w:line="240" w:lineRule="auto"/>
              <w:rPr>
                <w:rFonts w:ascii="Times New Roman" w:hAnsi="Times New Roman" w:cs="Times New Roman"/>
                <w:sz w:val="13"/>
                <w:szCs w:val="13"/>
              </w:rPr>
            </w:pPr>
            <w:r w:rsidRPr="004A4899">
              <w:rPr>
                <w:rFonts w:ascii="Times New Roman" w:hAnsi="Times New Roman" w:cs="Times New Roman"/>
                <w:sz w:val="13"/>
                <w:szCs w:val="13"/>
              </w:rPr>
              <w:t>bcd</w:t>
            </w:r>
          </w:p>
        </w:tc>
        <w:tc>
          <w:tcPr>
            <w:tcW w:w="377" w:type="dxa"/>
            <w:noWrap/>
            <w:vAlign w:val="center"/>
            <w:hideMark/>
          </w:tcPr>
          <w:p w14:paraId="2BC78E96" w14:textId="77777777" w:rsidR="00126D8D" w:rsidRPr="004A4899" w:rsidRDefault="00126D8D" w:rsidP="00820288">
            <w:pPr>
              <w:spacing w:line="240" w:lineRule="auto"/>
              <w:jc w:val="right"/>
              <w:rPr>
                <w:rFonts w:ascii="Times New Roman" w:hAnsi="Times New Roman" w:cs="Times New Roman"/>
                <w:sz w:val="13"/>
                <w:szCs w:val="13"/>
              </w:rPr>
            </w:pPr>
            <w:r w:rsidRPr="004A4899">
              <w:rPr>
                <w:rFonts w:ascii="Times New Roman" w:hAnsi="Times New Roman" w:cs="Times New Roman"/>
                <w:sz w:val="13"/>
                <w:szCs w:val="13"/>
              </w:rPr>
              <w:t>74.13</w:t>
            </w:r>
          </w:p>
        </w:tc>
        <w:tc>
          <w:tcPr>
            <w:tcW w:w="159" w:type="dxa"/>
            <w:noWrap/>
            <w:vAlign w:val="center"/>
            <w:hideMark/>
          </w:tcPr>
          <w:p w14:paraId="21B5D042" w14:textId="77777777" w:rsidR="00126D8D" w:rsidRPr="004A4899" w:rsidRDefault="00126D8D" w:rsidP="00820288">
            <w:pPr>
              <w:spacing w:line="240" w:lineRule="auto"/>
              <w:rPr>
                <w:rFonts w:ascii="Times New Roman" w:hAnsi="Times New Roman" w:cs="Times New Roman"/>
                <w:sz w:val="13"/>
                <w:szCs w:val="13"/>
              </w:rPr>
            </w:pPr>
            <w:r w:rsidRPr="004A4899">
              <w:rPr>
                <w:rFonts w:ascii="Times New Roman" w:hAnsi="Times New Roman" w:cs="Times New Roman"/>
                <w:sz w:val="13"/>
                <w:szCs w:val="13"/>
              </w:rPr>
              <w:t>a</w:t>
            </w:r>
          </w:p>
        </w:tc>
        <w:tc>
          <w:tcPr>
            <w:tcW w:w="377" w:type="dxa"/>
            <w:noWrap/>
            <w:vAlign w:val="center"/>
            <w:hideMark/>
          </w:tcPr>
          <w:p w14:paraId="57033D8E" w14:textId="77777777" w:rsidR="00126D8D" w:rsidRPr="004A4899" w:rsidRDefault="00126D8D" w:rsidP="00820288">
            <w:pPr>
              <w:spacing w:line="240" w:lineRule="auto"/>
              <w:jc w:val="right"/>
              <w:rPr>
                <w:rFonts w:ascii="Times New Roman" w:hAnsi="Times New Roman" w:cs="Times New Roman"/>
                <w:sz w:val="13"/>
                <w:szCs w:val="13"/>
              </w:rPr>
            </w:pPr>
            <w:r w:rsidRPr="004A4899">
              <w:rPr>
                <w:rFonts w:ascii="Times New Roman" w:hAnsi="Times New Roman" w:cs="Times New Roman"/>
                <w:sz w:val="13"/>
                <w:szCs w:val="13"/>
              </w:rPr>
              <w:t>44.78</w:t>
            </w:r>
          </w:p>
        </w:tc>
        <w:tc>
          <w:tcPr>
            <w:tcW w:w="326" w:type="dxa"/>
            <w:noWrap/>
            <w:vAlign w:val="center"/>
            <w:hideMark/>
          </w:tcPr>
          <w:p w14:paraId="325D58AA" w14:textId="77777777" w:rsidR="00126D8D" w:rsidRPr="004A4899" w:rsidRDefault="00126D8D" w:rsidP="00820288">
            <w:pPr>
              <w:spacing w:line="240" w:lineRule="auto"/>
              <w:rPr>
                <w:rFonts w:ascii="Times New Roman" w:hAnsi="Times New Roman" w:cs="Times New Roman"/>
                <w:sz w:val="13"/>
                <w:szCs w:val="13"/>
              </w:rPr>
            </w:pPr>
            <w:r w:rsidRPr="004A4899">
              <w:rPr>
                <w:rFonts w:ascii="Times New Roman" w:hAnsi="Times New Roman" w:cs="Times New Roman"/>
                <w:sz w:val="13"/>
                <w:szCs w:val="13"/>
              </w:rPr>
              <w:t>b</w:t>
            </w:r>
          </w:p>
        </w:tc>
        <w:tc>
          <w:tcPr>
            <w:tcW w:w="377" w:type="dxa"/>
            <w:noWrap/>
            <w:vAlign w:val="center"/>
            <w:hideMark/>
          </w:tcPr>
          <w:p w14:paraId="421F30B3" w14:textId="77777777" w:rsidR="00126D8D" w:rsidRPr="004A4899" w:rsidRDefault="00126D8D" w:rsidP="00820288">
            <w:pPr>
              <w:spacing w:line="240" w:lineRule="auto"/>
              <w:jc w:val="right"/>
              <w:rPr>
                <w:rFonts w:ascii="Times New Roman" w:hAnsi="Times New Roman" w:cs="Times New Roman"/>
                <w:sz w:val="13"/>
                <w:szCs w:val="13"/>
              </w:rPr>
            </w:pPr>
            <w:r w:rsidRPr="004A4899">
              <w:rPr>
                <w:rFonts w:ascii="Times New Roman" w:hAnsi="Times New Roman" w:cs="Times New Roman"/>
                <w:sz w:val="13"/>
                <w:szCs w:val="13"/>
              </w:rPr>
              <w:t>19.62</w:t>
            </w:r>
          </w:p>
        </w:tc>
        <w:tc>
          <w:tcPr>
            <w:tcW w:w="252" w:type="dxa"/>
            <w:noWrap/>
            <w:vAlign w:val="center"/>
            <w:hideMark/>
          </w:tcPr>
          <w:p w14:paraId="419C0CAF" w14:textId="77777777" w:rsidR="00126D8D" w:rsidRPr="004A4899" w:rsidRDefault="00126D8D" w:rsidP="00820288">
            <w:pPr>
              <w:spacing w:line="240" w:lineRule="auto"/>
              <w:rPr>
                <w:rFonts w:ascii="Times New Roman" w:hAnsi="Times New Roman" w:cs="Times New Roman"/>
                <w:sz w:val="13"/>
                <w:szCs w:val="13"/>
              </w:rPr>
            </w:pPr>
            <w:r w:rsidRPr="004A4899">
              <w:rPr>
                <w:rFonts w:ascii="Times New Roman" w:hAnsi="Times New Roman" w:cs="Times New Roman"/>
                <w:sz w:val="13"/>
                <w:szCs w:val="13"/>
              </w:rPr>
              <w:t>d</w:t>
            </w:r>
          </w:p>
        </w:tc>
        <w:tc>
          <w:tcPr>
            <w:tcW w:w="377" w:type="dxa"/>
            <w:noWrap/>
            <w:vAlign w:val="center"/>
            <w:hideMark/>
          </w:tcPr>
          <w:p w14:paraId="1A9F5E42" w14:textId="77777777" w:rsidR="00126D8D" w:rsidRPr="004A4899" w:rsidRDefault="00126D8D" w:rsidP="00820288">
            <w:pPr>
              <w:spacing w:line="240" w:lineRule="auto"/>
              <w:jc w:val="right"/>
              <w:rPr>
                <w:rFonts w:ascii="Times New Roman" w:hAnsi="Times New Roman" w:cs="Times New Roman"/>
                <w:sz w:val="13"/>
                <w:szCs w:val="13"/>
              </w:rPr>
            </w:pPr>
            <w:r w:rsidRPr="004A4899">
              <w:rPr>
                <w:rFonts w:ascii="Times New Roman" w:hAnsi="Times New Roman" w:cs="Times New Roman"/>
                <w:sz w:val="13"/>
                <w:szCs w:val="13"/>
              </w:rPr>
              <w:t>26.80</w:t>
            </w:r>
          </w:p>
        </w:tc>
        <w:tc>
          <w:tcPr>
            <w:tcW w:w="273" w:type="dxa"/>
            <w:noWrap/>
            <w:vAlign w:val="center"/>
            <w:hideMark/>
          </w:tcPr>
          <w:p w14:paraId="6EEFC4CB" w14:textId="77777777" w:rsidR="00126D8D" w:rsidRPr="004A4899" w:rsidRDefault="00126D8D" w:rsidP="00820288">
            <w:pPr>
              <w:spacing w:line="240" w:lineRule="auto"/>
              <w:rPr>
                <w:rFonts w:ascii="Times New Roman" w:hAnsi="Times New Roman" w:cs="Times New Roman"/>
                <w:sz w:val="13"/>
                <w:szCs w:val="13"/>
              </w:rPr>
            </w:pPr>
            <w:r w:rsidRPr="004A4899">
              <w:rPr>
                <w:rFonts w:ascii="Times New Roman" w:hAnsi="Times New Roman" w:cs="Times New Roman"/>
                <w:sz w:val="13"/>
                <w:szCs w:val="13"/>
              </w:rPr>
              <w:t>bcd</w:t>
            </w:r>
          </w:p>
        </w:tc>
        <w:tc>
          <w:tcPr>
            <w:tcW w:w="377" w:type="dxa"/>
            <w:noWrap/>
            <w:vAlign w:val="center"/>
            <w:hideMark/>
          </w:tcPr>
          <w:p w14:paraId="7F5D9023" w14:textId="77777777" w:rsidR="00126D8D" w:rsidRPr="004A4899" w:rsidRDefault="00126D8D" w:rsidP="00820288">
            <w:pPr>
              <w:spacing w:line="240" w:lineRule="auto"/>
              <w:jc w:val="right"/>
              <w:rPr>
                <w:rFonts w:ascii="Times New Roman" w:hAnsi="Times New Roman" w:cs="Times New Roman"/>
                <w:sz w:val="13"/>
                <w:szCs w:val="13"/>
              </w:rPr>
            </w:pPr>
            <w:r w:rsidRPr="004A4899">
              <w:rPr>
                <w:rFonts w:ascii="Times New Roman" w:hAnsi="Times New Roman" w:cs="Times New Roman"/>
                <w:sz w:val="13"/>
                <w:szCs w:val="13"/>
              </w:rPr>
              <w:t>24.47</w:t>
            </w:r>
          </w:p>
        </w:tc>
        <w:tc>
          <w:tcPr>
            <w:tcW w:w="273" w:type="dxa"/>
            <w:noWrap/>
            <w:vAlign w:val="center"/>
            <w:hideMark/>
          </w:tcPr>
          <w:p w14:paraId="436F7A3D" w14:textId="77777777" w:rsidR="00126D8D" w:rsidRPr="004A4899" w:rsidRDefault="00126D8D" w:rsidP="00820288">
            <w:pPr>
              <w:spacing w:line="240" w:lineRule="auto"/>
              <w:rPr>
                <w:rFonts w:ascii="Times New Roman" w:hAnsi="Times New Roman" w:cs="Times New Roman"/>
                <w:sz w:val="13"/>
                <w:szCs w:val="13"/>
              </w:rPr>
            </w:pPr>
            <w:r w:rsidRPr="004A4899">
              <w:rPr>
                <w:rFonts w:ascii="Times New Roman" w:hAnsi="Times New Roman" w:cs="Times New Roman"/>
                <w:sz w:val="13"/>
                <w:szCs w:val="13"/>
              </w:rPr>
              <w:t>cd</w:t>
            </w:r>
          </w:p>
        </w:tc>
      </w:tr>
      <w:tr w:rsidR="00126D8D" w:rsidRPr="004A4899" w14:paraId="19687B5D" w14:textId="77777777" w:rsidTr="00820288">
        <w:trPr>
          <w:trHeight w:val="173"/>
        </w:trPr>
        <w:tc>
          <w:tcPr>
            <w:tcW w:w="1440" w:type="dxa"/>
            <w:noWrap/>
            <w:vAlign w:val="center"/>
            <w:hideMark/>
          </w:tcPr>
          <w:p w14:paraId="795CF86E" w14:textId="77777777" w:rsidR="00126D8D" w:rsidRPr="004A4899" w:rsidRDefault="00126D8D" w:rsidP="00820288">
            <w:pPr>
              <w:spacing w:line="240" w:lineRule="auto"/>
              <w:rPr>
                <w:rFonts w:ascii="Times New Roman" w:hAnsi="Times New Roman" w:cs="Times New Roman"/>
                <w:b/>
                <w:bCs/>
                <w:sz w:val="12"/>
                <w:szCs w:val="12"/>
              </w:rPr>
            </w:pPr>
            <w:r w:rsidRPr="004A4899">
              <w:rPr>
                <w:rFonts w:ascii="Times New Roman" w:hAnsi="Times New Roman" w:cs="Times New Roman"/>
                <w:b/>
                <w:bCs/>
                <w:sz w:val="12"/>
                <w:szCs w:val="12"/>
              </w:rPr>
              <w:t>Aldehydes</w:t>
            </w:r>
          </w:p>
        </w:tc>
        <w:tc>
          <w:tcPr>
            <w:tcW w:w="377" w:type="dxa"/>
            <w:noWrap/>
            <w:vAlign w:val="center"/>
            <w:hideMark/>
          </w:tcPr>
          <w:p w14:paraId="7EB3901D" w14:textId="77777777" w:rsidR="00126D8D" w:rsidRPr="004A4899" w:rsidRDefault="00126D8D" w:rsidP="00820288">
            <w:pPr>
              <w:spacing w:line="240" w:lineRule="auto"/>
              <w:jc w:val="right"/>
              <w:rPr>
                <w:rFonts w:ascii="Times New Roman" w:hAnsi="Times New Roman" w:cs="Times New Roman"/>
                <w:sz w:val="13"/>
                <w:szCs w:val="13"/>
              </w:rPr>
            </w:pPr>
          </w:p>
        </w:tc>
        <w:tc>
          <w:tcPr>
            <w:tcW w:w="274" w:type="dxa"/>
            <w:noWrap/>
            <w:vAlign w:val="center"/>
            <w:hideMark/>
          </w:tcPr>
          <w:p w14:paraId="49ACA7FD" w14:textId="77777777" w:rsidR="00126D8D" w:rsidRPr="004A4899" w:rsidRDefault="00126D8D" w:rsidP="00820288">
            <w:pPr>
              <w:spacing w:line="240" w:lineRule="auto"/>
              <w:rPr>
                <w:rFonts w:ascii="Times New Roman" w:hAnsi="Times New Roman" w:cs="Times New Roman"/>
                <w:sz w:val="13"/>
                <w:szCs w:val="13"/>
              </w:rPr>
            </w:pPr>
          </w:p>
        </w:tc>
        <w:tc>
          <w:tcPr>
            <w:tcW w:w="411" w:type="dxa"/>
            <w:noWrap/>
            <w:vAlign w:val="center"/>
            <w:hideMark/>
          </w:tcPr>
          <w:p w14:paraId="7FB56DB2" w14:textId="77777777" w:rsidR="00126D8D" w:rsidRPr="004A4899" w:rsidRDefault="00126D8D" w:rsidP="00820288">
            <w:pPr>
              <w:spacing w:line="240" w:lineRule="auto"/>
              <w:jc w:val="right"/>
              <w:rPr>
                <w:rFonts w:ascii="Times New Roman" w:hAnsi="Times New Roman" w:cs="Times New Roman"/>
                <w:sz w:val="13"/>
                <w:szCs w:val="13"/>
              </w:rPr>
            </w:pPr>
          </w:p>
        </w:tc>
        <w:tc>
          <w:tcPr>
            <w:tcW w:w="239" w:type="dxa"/>
            <w:noWrap/>
            <w:vAlign w:val="center"/>
            <w:hideMark/>
          </w:tcPr>
          <w:p w14:paraId="6E3E4F3B" w14:textId="77777777" w:rsidR="00126D8D" w:rsidRPr="004A4899" w:rsidRDefault="00126D8D" w:rsidP="00820288">
            <w:pPr>
              <w:spacing w:line="240" w:lineRule="auto"/>
              <w:rPr>
                <w:rFonts w:ascii="Times New Roman" w:hAnsi="Times New Roman" w:cs="Times New Roman"/>
                <w:sz w:val="13"/>
                <w:szCs w:val="13"/>
              </w:rPr>
            </w:pPr>
          </w:p>
        </w:tc>
        <w:tc>
          <w:tcPr>
            <w:tcW w:w="377" w:type="dxa"/>
            <w:noWrap/>
            <w:vAlign w:val="center"/>
            <w:hideMark/>
          </w:tcPr>
          <w:p w14:paraId="67727727" w14:textId="77777777" w:rsidR="00126D8D" w:rsidRPr="004A4899" w:rsidRDefault="00126D8D" w:rsidP="00820288">
            <w:pPr>
              <w:spacing w:line="240" w:lineRule="auto"/>
              <w:jc w:val="right"/>
              <w:rPr>
                <w:rFonts w:ascii="Times New Roman" w:hAnsi="Times New Roman" w:cs="Times New Roman"/>
                <w:sz w:val="13"/>
                <w:szCs w:val="13"/>
              </w:rPr>
            </w:pPr>
          </w:p>
        </w:tc>
        <w:tc>
          <w:tcPr>
            <w:tcW w:w="273" w:type="dxa"/>
            <w:noWrap/>
            <w:vAlign w:val="center"/>
            <w:hideMark/>
          </w:tcPr>
          <w:p w14:paraId="2D520296" w14:textId="77777777" w:rsidR="00126D8D" w:rsidRPr="004A4899" w:rsidRDefault="00126D8D" w:rsidP="00820288">
            <w:pPr>
              <w:spacing w:line="240" w:lineRule="auto"/>
              <w:rPr>
                <w:rFonts w:ascii="Times New Roman" w:hAnsi="Times New Roman" w:cs="Times New Roman"/>
                <w:sz w:val="13"/>
                <w:szCs w:val="13"/>
              </w:rPr>
            </w:pPr>
          </w:p>
        </w:tc>
        <w:tc>
          <w:tcPr>
            <w:tcW w:w="377" w:type="dxa"/>
            <w:noWrap/>
            <w:vAlign w:val="center"/>
            <w:hideMark/>
          </w:tcPr>
          <w:p w14:paraId="3E3A1227" w14:textId="77777777" w:rsidR="00126D8D" w:rsidRPr="004A4899" w:rsidRDefault="00126D8D" w:rsidP="00820288">
            <w:pPr>
              <w:spacing w:line="240" w:lineRule="auto"/>
              <w:jc w:val="right"/>
              <w:rPr>
                <w:rFonts w:ascii="Times New Roman" w:hAnsi="Times New Roman" w:cs="Times New Roman"/>
                <w:sz w:val="13"/>
                <w:szCs w:val="13"/>
              </w:rPr>
            </w:pPr>
          </w:p>
        </w:tc>
        <w:tc>
          <w:tcPr>
            <w:tcW w:w="273" w:type="dxa"/>
            <w:noWrap/>
            <w:vAlign w:val="center"/>
            <w:hideMark/>
          </w:tcPr>
          <w:p w14:paraId="54D73DF4" w14:textId="77777777" w:rsidR="00126D8D" w:rsidRPr="004A4899" w:rsidRDefault="00126D8D" w:rsidP="00820288">
            <w:pPr>
              <w:spacing w:line="240" w:lineRule="auto"/>
              <w:rPr>
                <w:rFonts w:ascii="Times New Roman" w:hAnsi="Times New Roman" w:cs="Times New Roman"/>
                <w:sz w:val="13"/>
                <w:szCs w:val="13"/>
              </w:rPr>
            </w:pPr>
          </w:p>
        </w:tc>
        <w:tc>
          <w:tcPr>
            <w:tcW w:w="377" w:type="dxa"/>
            <w:noWrap/>
            <w:vAlign w:val="center"/>
            <w:hideMark/>
          </w:tcPr>
          <w:p w14:paraId="6070A709" w14:textId="77777777" w:rsidR="00126D8D" w:rsidRPr="004A4899" w:rsidRDefault="00126D8D" w:rsidP="00820288">
            <w:pPr>
              <w:spacing w:line="240" w:lineRule="auto"/>
              <w:jc w:val="right"/>
              <w:rPr>
                <w:rFonts w:ascii="Times New Roman" w:hAnsi="Times New Roman" w:cs="Times New Roman"/>
                <w:sz w:val="13"/>
                <w:szCs w:val="13"/>
              </w:rPr>
            </w:pPr>
          </w:p>
        </w:tc>
        <w:tc>
          <w:tcPr>
            <w:tcW w:w="326" w:type="dxa"/>
            <w:noWrap/>
            <w:vAlign w:val="center"/>
            <w:hideMark/>
          </w:tcPr>
          <w:p w14:paraId="5CC4E59A" w14:textId="77777777" w:rsidR="00126D8D" w:rsidRPr="004A4899" w:rsidRDefault="00126D8D" w:rsidP="00820288">
            <w:pPr>
              <w:spacing w:line="240" w:lineRule="auto"/>
              <w:rPr>
                <w:rFonts w:ascii="Times New Roman" w:hAnsi="Times New Roman" w:cs="Times New Roman"/>
                <w:sz w:val="13"/>
                <w:szCs w:val="13"/>
              </w:rPr>
            </w:pPr>
          </w:p>
        </w:tc>
        <w:tc>
          <w:tcPr>
            <w:tcW w:w="377" w:type="dxa"/>
            <w:noWrap/>
            <w:vAlign w:val="center"/>
            <w:hideMark/>
          </w:tcPr>
          <w:p w14:paraId="08A91CEA" w14:textId="77777777" w:rsidR="00126D8D" w:rsidRPr="004A4899" w:rsidRDefault="00126D8D" w:rsidP="00820288">
            <w:pPr>
              <w:spacing w:line="240" w:lineRule="auto"/>
              <w:jc w:val="right"/>
              <w:rPr>
                <w:rFonts w:ascii="Times New Roman" w:hAnsi="Times New Roman" w:cs="Times New Roman"/>
                <w:sz w:val="13"/>
                <w:szCs w:val="13"/>
              </w:rPr>
            </w:pPr>
          </w:p>
        </w:tc>
        <w:tc>
          <w:tcPr>
            <w:tcW w:w="326" w:type="dxa"/>
            <w:noWrap/>
            <w:vAlign w:val="center"/>
            <w:hideMark/>
          </w:tcPr>
          <w:p w14:paraId="5AC6F9EC" w14:textId="77777777" w:rsidR="00126D8D" w:rsidRPr="004A4899" w:rsidRDefault="00126D8D" w:rsidP="00820288">
            <w:pPr>
              <w:spacing w:line="240" w:lineRule="auto"/>
              <w:rPr>
                <w:rFonts w:ascii="Times New Roman" w:hAnsi="Times New Roman" w:cs="Times New Roman"/>
                <w:sz w:val="13"/>
                <w:szCs w:val="13"/>
              </w:rPr>
            </w:pPr>
          </w:p>
        </w:tc>
        <w:tc>
          <w:tcPr>
            <w:tcW w:w="377" w:type="dxa"/>
            <w:noWrap/>
            <w:vAlign w:val="center"/>
            <w:hideMark/>
          </w:tcPr>
          <w:p w14:paraId="1E6EC66D" w14:textId="77777777" w:rsidR="00126D8D" w:rsidRPr="004A4899" w:rsidRDefault="00126D8D" w:rsidP="00820288">
            <w:pPr>
              <w:spacing w:line="240" w:lineRule="auto"/>
              <w:jc w:val="right"/>
              <w:rPr>
                <w:rFonts w:ascii="Times New Roman" w:hAnsi="Times New Roman" w:cs="Times New Roman"/>
                <w:sz w:val="13"/>
                <w:szCs w:val="13"/>
              </w:rPr>
            </w:pPr>
          </w:p>
        </w:tc>
        <w:tc>
          <w:tcPr>
            <w:tcW w:w="219" w:type="dxa"/>
            <w:noWrap/>
            <w:vAlign w:val="center"/>
            <w:hideMark/>
          </w:tcPr>
          <w:p w14:paraId="1ABF0876" w14:textId="77777777" w:rsidR="00126D8D" w:rsidRPr="004A4899" w:rsidRDefault="00126D8D" w:rsidP="00820288">
            <w:pPr>
              <w:spacing w:line="240" w:lineRule="auto"/>
              <w:rPr>
                <w:rFonts w:ascii="Times New Roman" w:hAnsi="Times New Roman" w:cs="Times New Roman"/>
                <w:sz w:val="13"/>
                <w:szCs w:val="13"/>
              </w:rPr>
            </w:pPr>
          </w:p>
        </w:tc>
        <w:tc>
          <w:tcPr>
            <w:tcW w:w="377" w:type="dxa"/>
            <w:noWrap/>
            <w:vAlign w:val="center"/>
            <w:hideMark/>
          </w:tcPr>
          <w:p w14:paraId="2DB44792" w14:textId="77777777" w:rsidR="00126D8D" w:rsidRPr="004A4899" w:rsidRDefault="00126D8D" w:rsidP="00820288">
            <w:pPr>
              <w:spacing w:line="240" w:lineRule="auto"/>
              <w:jc w:val="right"/>
              <w:rPr>
                <w:rFonts w:ascii="Times New Roman" w:hAnsi="Times New Roman" w:cs="Times New Roman"/>
                <w:sz w:val="13"/>
                <w:szCs w:val="13"/>
              </w:rPr>
            </w:pPr>
          </w:p>
        </w:tc>
        <w:tc>
          <w:tcPr>
            <w:tcW w:w="159" w:type="dxa"/>
            <w:noWrap/>
            <w:vAlign w:val="center"/>
            <w:hideMark/>
          </w:tcPr>
          <w:p w14:paraId="782A886C" w14:textId="77777777" w:rsidR="00126D8D" w:rsidRPr="004A4899" w:rsidRDefault="00126D8D" w:rsidP="00820288">
            <w:pPr>
              <w:spacing w:line="240" w:lineRule="auto"/>
              <w:rPr>
                <w:rFonts w:ascii="Times New Roman" w:hAnsi="Times New Roman" w:cs="Times New Roman"/>
                <w:sz w:val="13"/>
                <w:szCs w:val="13"/>
              </w:rPr>
            </w:pPr>
          </w:p>
        </w:tc>
        <w:tc>
          <w:tcPr>
            <w:tcW w:w="377" w:type="dxa"/>
            <w:noWrap/>
            <w:vAlign w:val="center"/>
            <w:hideMark/>
          </w:tcPr>
          <w:p w14:paraId="12C09604" w14:textId="77777777" w:rsidR="00126D8D" w:rsidRPr="004A4899" w:rsidRDefault="00126D8D" w:rsidP="00820288">
            <w:pPr>
              <w:spacing w:line="240" w:lineRule="auto"/>
              <w:jc w:val="right"/>
              <w:rPr>
                <w:rFonts w:ascii="Times New Roman" w:hAnsi="Times New Roman" w:cs="Times New Roman"/>
                <w:sz w:val="13"/>
                <w:szCs w:val="13"/>
              </w:rPr>
            </w:pPr>
          </w:p>
        </w:tc>
        <w:tc>
          <w:tcPr>
            <w:tcW w:w="326" w:type="dxa"/>
            <w:noWrap/>
            <w:vAlign w:val="center"/>
            <w:hideMark/>
          </w:tcPr>
          <w:p w14:paraId="0147D7D2" w14:textId="77777777" w:rsidR="00126D8D" w:rsidRPr="004A4899" w:rsidRDefault="00126D8D" w:rsidP="00820288">
            <w:pPr>
              <w:spacing w:line="240" w:lineRule="auto"/>
              <w:rPr>
                <w:rFonts w:ascii="Times New Roman" w:hAnsi="Times New Roman" w:cs="Times New Roman"/>
                <w:sz w:val="13"/>
                <w:szCs w:val="13"/>
              </w:rPr>
            </w:pPr>
          </w:p>
        </w:tc>
        <w:tc>
          <w:tcPr>
            <w:tcW w:w="377" w:type="dxa"/>
            <w:noWrap/>
            <w:vAlign w:val="center"/>
            <w:hideMark/>
          </w:tcPr>
          <w:p w14:paraId="3C2F47E4" w14:textId="77777777" w:rsidR="00126D8D" w:rsidRPr="004A4899" w:rsidRDefault="00126D8D" w:rsidP="00820288">
            <w:pPr>
              <w:spacing w:line="240" w:lineRule="auto"/>
              <w:jc w:val="right"/>
              <w:rPr>
                <w:rFonts w:ascii="Times New Roman" w:hAnsi="Times New Roman" w:cs="Times New Roman"/>
                <w:sz w:val="13"/>
                <w:szCs w:val="13"/>
              </w:rPr>
            </w:pPr>
          </w:p>
        </w:tc>
        <w:tc>
          <w:tcPr>
            <w:tcW w:w="252" w:type="dxa"/>
            <w:noWrap/>
            <w:vAlign w:val="center"/>
            <w:hideMark/>
          </w:tcPr>
          <w:p w14:paraId="7CE5BCEF" w14:textId="77777777" w:rsidR="00126D8D" w:rsidRPr="004A4899" w:rsidRDefault="00126D8D" w:rsidP="00820288">
            <w:pPr>
              <w:spacing w:line="240" w:lineRule="auto"/>
              <w:rPr>
                <w:rFonts w:ascii="Times New Roman" w:hAnsi="Times New Roman" w:cs="Times New Roman"/>
                <w:sz w:val="13"/>
                <w:szCs w:val="13"/>
              </w:rPr>
            </w:pPr>
          </w:p>
        </w:tc>
        <w:tc>
          <w:tcPr>
            <w:tcW w:w="377" w:type="dxa"/>
            <w:noWrap/>
            <w:vAlign w:val="center"/>
            <w:hideMark/>
          </w:tcPr>
          <w:p w14:paraId="148E1097" w14:textId="77777777" w:rsidR="00126D8D" w:rsidRPr="004A4899" w:rsidRDefault="00126D8D" w:rsidP="00820288">
            <w:pPr>
              <w:spacing w:line="240" w:lineRule="auto"/>
              <w:jc w:val="right"/>
              <w:rPr>
                <w:rFonts w:ascii="Times New Roman" w:hAnsi="Times New Roman" w:cs="Times New Roman"/>
                <w:sz w:val="13"/>
                <w:szCs w:val="13"/>
              </w:rPr>
            </w:pPr>
          </w:p>
        </w:tc>
        <w:tc>
          <w:tcPr>
            <w:tcW w:w="273" w:type="dxa"/>
            <w:noWrap/>
            <w:vAlign w:val="center"/>
            <w:hideMark/>
          </w:tcPr>
          <w:p w14:paraId="291F3CC2" w14:textId="77777777" w:rsidR="00126D8D" w:rsidRPr="004A4899" w:rsidRDefault="00126D8D" w:rsidP="00820288">
            <w:pPr>
              <w:spacing w:line="240" w:lineRule="auto"/>
              <w:rPr>
                <w:rFonts w:ascii="Times New Roman" w:hAnsi="Times New Roman" w:cs="Times New Roman"/>
                <w:sz w:val="13"/>
                <w:szCs w:val="13"/>
              </w:rPr>
            </w:pPr>
          </w:p>
        </w:tc>
        <w:tc>
          <w:tcPr>
            <w:tcW w:w="377" w:type="dxa"/>
            <w:noWrap/>
            <w:vAlign w:val="center"/>
            <w:hideMark/>
          </w:tcPr>
          <w:p w14:paraId="2E6AB864" w14:textId="77777777" w:rsidR="00126D8D" w:rsidRPr="004A4899" w:rsidRDefault="00126D8D" w:rsidP="00820288">
            <w:pPr>
              <w:spacing w:line="240" w:lineRule="auto"/>
              <w:jc w:val="right"/>
              <w:rPr>
                <w:rFonts w:ascii="Times New Roman" w:hAnsi="Times New Roman" w:cs="Times New Roman"/>
                <w:sz w:val="13"/>
                <w:szCs w:val="13"/>
              </w:rPr>
            </w:pPr>
          </w:p>
        </w:tc>
        <w:tc>
          <w:tcPr>
            <w:tcW w:w="273" w:type="dxa"/>
            <w:noWrap/>
            <w:vAlign w:val="center"/>
            <w:hideMark/>
          </w:tcPr>
          <w:p w14:paraId="4F30ACF8" w14:textId="77777777" w:rsidR="00126D8D" w:rsidRPr="004A4899" w:rsidRDefault="00126D8D" w:rsidP="00820288">
            <w:pPr>
              <w:spacing w:line="240" w:lineRule="auto"/>
              <w:rPr>
                <w:rFonts w:ascii="Times New Roman" w:hAnsi="Times New Roman" w:cs="Times New Roman"/>
                <w:sz w:val="13"/>
                <w:szCs w:val="13"/>
              </w:rPr>
            </w:pPr>
          </w:p>
        </w:tc>
      </w:tr>
      <w:tr w:rsidR="00126D8D" w:rsidRPr="004A4899" w14:paraId="0AB494A0" w14:textId="77777777" w:rsidTr="00820288">
        <w:trPr>
          <w:trHeight w:val="173"/>
        </w:trPr>
        <w:tc>
          <w:tcPr>
            <w:tcW w:w="1440" w:type="dxa"/>
            <w:noWrap/>
            <w:vAlign w:val="center"/>
            <w:hideMark/>
          </w:tcPr>
          <w:p w14:paraId="58516D62" w14:textId="77777777" w:rsidR="00126D8D" w:rsidRPr="004A4899" w:rsidRDefault="00126D8D" w:rsidP="00820288">
            <w:pPr>
              <w:spacing w:line="240" w:lineRule="auto"/>
              <w:rPr>
                <w:rFonts w:ascii="Times New Roman" w:hAnsi="Times New Roman" w:cs="Times New Roman"/>
                <w:sz w:val="12"/>
                <w:szCs w:val="12"/>
              </w:rPr>
            </w:pPr>
            <w:r w:rsidRPr="004A4899">
              <w:rPr>
                <w:rFonts w:ascii="Times New Roman" w:hAnsi="Times New Roman" w:cs="Times New Roman"/>
                <w:sz w:val="12"/>
                <w:szCs w:val="12"/>
              </w:rPr>
              <w:t>2-Ethyl-2-butenal</w:t>
            </w:r>
          </w:p>
        </w:tc>
        <w:tc>
          <w:tcPr>
            <w:tcW w:w="377" w:type="dxa"/>
            <w:noWrap/>
            <w:vAlign w:val="center"/>
            <w:hideMark/>
          </w:tcPr>
          <w:p w14:paraId="46DE3732" w14:textId="77777777" w:rsidR="00126D8D" w:rsidRPr="004A4899" w:rsidRDefault="00126D8D" w:rsidP="00820288">
            <w:pPr>
              <w:spacing w:line="240" w:lineRule="auto"/>
              <w:jc w:val="right"/>
              <w:rPr>
                <w:rFonts w:ascii="Times New Roman" w:hAnsi="Times New Roman" w:cs="Times New Roman"/>
                <w:sz w:val="13"/>
                <w:szCs w:val="13"/>
              </w:rPr>
            </w:pPr>
            <w:r w:rsidRPr="004A4899">
              <w:rPr>
                <w:rFonts w:ascii="Times New Roman" w:hAnsi="Times New Roman" w:cs="Times New Roman"/>
                <w:sz w:val="13"/>
                <w:szCs w:val="13"/>
              </w:rPr>
              <w:t>1.51</w:t>
            </w:r>
          </w:p>
        </w:tc>
        <w:tc>
          <w:tcPr>
            <w:tcW w:w="274" w:type="dxa"/>
            <w:noWrap/>
            <w:vAlign w:val="center"/>
            <w:hideMark/>
          </w:tcPr>
          <w:p w14:paraId="55F856E6" w14:textId="77777777" w:rsidR="00126D8D" w:rsidRPr="004A4899" w:rsidRDefault="00126D8D" w:rsidP="00820288">
            <w:pPr>
              <w:spacing w:line="240" w:lineRule="auto"/>
              <w:rPr>
                <w:rFonts w:ascii="Times New Roman" w:hAnsi="Times New Roman" w:cs="Times New Roman"/>
                <w:sz w:val="13"/>
                <w:szCs w:val="13"/>
              </w:rPr>
            </w:pPr>
            <w:r w:rsidRPr="004A4899">
              <w:rPr>
                <w:rFonts w:ascii="Times New Roman" w:hAnsi="Times New Roman" w:cs="Times New Roman"/>
                <w:sz w:val="13"/>
                <w:szCs w:val="13"/>
              </w:rPr>
              <w:t>a</w:t>
            </w:r>
          </w:p>
        </w:tc>
        <w:tc>
          <w:tcPr>
            <w:tcW w:w="411" w:type="dxa"/>
            <w:noWrap/>
            <w:vAlign w:val="center"/>
            <w:hideMark/>
          </w:tcPr>
          <w:p w14:paraId="332A9850" w14:textId="77777777" w:rsidR="00126D8D" w:rsidRPr="004A4899" w:rsidRDefault="00126D8D" w:rsidP="00820288">
            <w:pPr>
              <w:spacing w:line="240" w:lineRule="auto"/>
              <w:jc w:val="right"/>
              <w:rPr>
                <w:rFonts w:ascii="Times New Roman" w:hAnsi="Times New Roman" w:cs="Times New Roman"/>
                <w:sz w:val="13"/>
                <w:szCs w:val="13"/>
              </w:rPr>
            </w:pPr>
            <w:r w:rsidRPr="004A4899">
              <w:rPr>
                <w:rFonts w:ascii="Times New Roman" w:hAnsi="Times New Roman" w:cs="Times New Roman"/>
                <w:sz w:val="13"/>
                <w:szCs w:val="13"/>
              </w:rPr>
              <w:t>1.12</w:t>
            </w:r>
          </w:p>
        </w:tc>
        <w:tc>
          <w:tcPr>
            <w:tcW w:w="239" w:type="dxa"/>
            <w:noWrap/>
            <w:vAlign w:val="center"/>
            <w:hideMark/>
          </w:tcPr>
          <w:p w14:paraId="0421F7FA" w14:textId="77777777" w:rsidR="00126D8D" w:rsidRPr="004A4899" w:rsidRDefault="00126D8D" w:rsidP="00820288">
            <w:pPr>
              <w:spacing w:line="240" w:lineRule="auto"/>
              <w:rPr>
                <w:rFonts w:ascii="Times New Roman" w:hAnsi="Times New Roman" w:cs="Times New Roman"/>
                <w:sz w:val="13"/>
                <w:szCs w:val="13"/>
              </w:rPr>
            </w:pPr>
            <w:r w:rsidRPr="004A4899">
              <w:rPr>
                <w:rFonts w:ascii="Times New Roman" w:hAnsi="Times New Roman" w:cs="Times New Roman"/>
                <w:sz w:val="13"/>
                <w:szCs w:val="13"/>
              </w:rPr>
              <w:t>a</w:t>
            </w:r>
          </w:p>
        </w:tc>
        <w:tc>
          <w:tcPr>
            <w:tcW w:w="377" w:type="dxa"/>
            <w:noWrap/>
            <w:vAlign w:val="center"/>
            <w:hideMark/>
          </w:tcPr>
          <w:p w14:paraId="2632ED2A" w14:textId="77777777" w:rsidR="00126D8D" w:rsidRPr="004A4899" w:rsidRDefault="00126D8D" w:rsidP="00820288">
            <w:pPr>
              <w:spacing w:line="240" w:lineRule="auto"/>
              <w:jc w:val="right"/>
              <w:rPr>
                <w:rFonts w:ascii="Times New Roman" w:hAnsi="Times New Roman" w:cs="Times New Roman"/>
                <w:sz w:val="13"/>
                <w:szCs w:val="13"/>
              </w:rPr>
            </w:pPr>
            <w:r w:rsidRPr="004A4899">
              <w:rPr>
                <w:rFonts w:ascii="Times New Roman" w:hAnsi="Times New Roman" w:cs="Times New Roman"/>
                <w:sz w:val="13"/>
                <w:szCs w:val="13"/>
              </w:rPr>
              <w:t>1.14</w:t>
            </w:r>
          </w:p>
        </w:tc>
        <w:tc>
          <w:tcPr>
            <w:tcW w:w="273" w:type="dxa"/>
            <w:noWrap/>
            <w:vAlign w:val="center"/>
            <w:hideMark/>
          </w:tcPr>
          <w:p w14:paraId="0AC138B5" w14:textId="77777777" w:rsidR="00126D8D" w:rsidRPr="004A4899" w:rsidRDefault="00126D8D" w:rsidP="00820288">
            <w:pPr>
              <w:spacing w:line="240" w:lineRule="auto"/>
              <w:rPr>
                <w:rFonts w:ascii="Times New Roman" w:hAnsi="Times New Roman" w:cs="Times New Roman"/>
                <w:sz w:val="13"/>
                <w:szCs w:val="13"/>
              </w:rPr>
            </w:pPr>
            <w:r w:rsidRPr="004A4899">
              <w:rPr>
                <w:rFonts w:ascii="Times New Roman" w:hAnsi="Times New Roman" w:cs="Times New Roman"/>
                <w:sz w:val="13"/>
                <w:szCs w:val="13"/>
              </w:rPr>
              <w:t>a</w:t>
            </w:r>
          </w:p>
        </w:tc>
        <w:tc>
          <w:tcPr>
            <w:tcW w:w="377" w:type="dxa"/>
            <w:noWrap/>
            <w:vAlign w:val="center"/>
            <w:hideMark/>
          </w:tcPr>
          <w:p w14:paraId="31A92011" w14:textId="77777777" w:rsidR="00126D8D" w:rsidRPr="004A4899" w:rsidRDefault="00126D8D" w:rsidP="00820288">
            <w:pPr>
              <w:spacing w:line="240" w:lineRule="auto"/>
              <w:jc w:val="right"/>
              <w:rPr>
                <w:rFonts w:ascii="Times New Roman" w:hAnsi="Times New Roman" w:cs="Times New Roman"/>
                <w:sz w:val="13"/>
                <w:szCs w:val="13"/>
              </w:rPr>
            </w:pPr>
            <w:r w:rsidRPr="004A4899">
              <w:rPr>
                <w:rFonts w:ascii="Times New Roman" w:hAnsi="Times New Roman" w:cs="Times New Roman"/>
                <w:sz w:val="13"/>
                <w:szCs w:val="13"/>
              </w:rPr>
              <w:t>1.36</w:t>
            </w:r>
          </w:p>
        </w:tc>
        <w:tc>
          <w:tcPr>
            <w:tcW w:w="273" w:type="dxa"/>
            <w:noWrap/>
            <w:vAlign w:val="center"/>
            <w:hideMark/>
          </w:tcPr>
          <w:p w14:paraId="403FFB60" w14:textId="77777777" w:rsidR="00126D8D" w:rsidRPr="004A4899" w:rsidRDefault="00126D8D" w:rsidP="00820288">
            <w:pPr>
              <w:spacing w:line="240" w:lineRule="auto"/>
              <w:rPr>
                <w:rFonts w:ascii="Times New Roman" w:hAnsi="Times New Roman" w:cs="Times New Roman"/>
                <w:sz w:val="13"/>
                <w:szCs w:val="13"/>
              </w:rPr>
            </w:pPr>
            <w:r w:rsidRPr="004A4899">
              <w:rPr>
                <w:rFonts w:ascii="Times New Roman" w:hAnsi="Times New Roman" w:cs="Times New Roman"/>
                <w:sz w:val="13"/>
                <w:szCs w:val="13"/>
              </w:rPr>
              <w:t>a</w:t>
            </w:r>
          </w:p>
        </w:tc>
        <w:tc>
          <w:tcPr>
            <w:tcW w:w="377" w:type="dxa"/>
            <w:noWrap/>
            <w:vAlign w:val="center"/>
            <w:hideMark/>
          </w:tcPr>
          <w:p w14:paraId="719B6B7D" w14:textId="77777777" w:rsidR="00126D8D" w:rsidRPr="004A4899" w:rsidRDefault="00126D8D" w:rsidP="00820288">
            <w:pPr>
              <w:spacing w:line="240" w:lineRule="auto"/>
              <w:jc w:val="right"/>
              <w:rPr>
                <w:rFonts w:ascii="Times New Roman" w:hAnsi="Times New Roman" w:cs="Times New Roman"/>
                <w:sz w:val="13"/>
                <w:szCs w:val="13"/>
              </w:rPr>
            </w:pPr>
            <w:r w:rsidRPr="004A4899">
              <w:rPr>
                <w:rFonts w:ascii="Times New Roman" w:hAnsi="Times New Roman" w:cs="Times New Roman"/>
                <w:sz w:val="13"/>
                <w:szCs w:val="13"/>
              </w:rPr>
              <w:t>1.70</w:t>
            </w:r>
          </w:p>
        </w:tc>
        <w:tc>
          <w:tcPr>
            <w:tcW w:w="326" w:type="dxa"/>
            <w:noWrap/>
            <w:vAlign w:val="center"/>
            <w:hideMark/>
          </w:tcPr>
          <w:p w14:paraId="72777D8A" w14:textId="77777777" w:rsidR="00126D8D" w:rsidRPr="004A4899" w:rsidRDefault="00126D8D" w:rsidP="00820288">
            <w:pPr>
              <w:spacing w:line="240" w:lineRule="auto"/>
              <w:rPr>
                <w:rFonts w:ascii="Times New Roman" w:hAnsi="Times New Roman" w:cs="Times New Roman"/>
                <w:sz w:val="13"/>
                <w:szCs w:val="13"/>
              </w:rPr>
            </w:pPr>
            <w:r w:rsidRPr="004A4899">
              <w:rPr>
                <w:rFonts w:ascii="Times New Roman" w:hAnsi="Times New Roman" w:cs="Times New Roman"/>
                <w:sz w:val="13"/>
                <w:szCs w:val="13"/>
              </w:rPr>
              <w:t>a</w:t>
            </w:r>
          </w:p>
        </w:tc>
        <w:tc>
          <w:tcPr>
            <w:tcW w:w="377" w:type="dxa"/>
            <w:noWrap/>
            <w:vAlign w:val="center"/>
            <w:hideMark/>
          </w:tcPr>
          <w:p w14:paraId="6D17FCF5" w14:textId="77777777" w:rsidR="00126D8D" w:rsidRPr="004A4899" w:rsidRDefault="00126D8D" w:rsidP="00820288">
            <w:pPr>
              <w:spacing w:line="240" w:lineRule="auto"/>
              <w:jc w:val="right"/>
              <w:rPr>
                <w:rFonts w:ascii="Times New Roman" w:hAnsi="Times New Roman" w:cs="Times New Roman"/>
                <w:sz w:val="13"/>
                <w:szCs w:val="13"/>
              </w:rPr>
            </w:pPr>
            <w:r w:rsidRPr="004A4899">
              <w:rPr>
                <w:rFonts w:ascii="Times New Roman" w:hAnsi="Times New Roman" w:cs="Times New Roman"/>
                <w:sz w:val="13"/>
                <w:szCs w:val="13"/>
              </w:rPr>
              <w:t>1.26</w:t>
            </w:r>
          </w:p>
        </w:tc>
        <w:tc>
          <w:tcPr>
            <w:tcW w:w="326" w:type="dxa"/>
            <w:noWrap/>
            <w:vAlign w:val="center"/>
            <w:hideMark/>
          </w:tcPr>
          <w:p w14:paraId="4C503D83" w14:textId="77777777" w:rsidR="00126D8D" w:rsidRPr="004A4899" w:rsidRDefault="00126D8D" w:rsidP="00820288">
            <w:pPr>
              <w:spacing w:line="240" w:lineRule="auto"/>
              <w:rPr>
                <w:rFonts w:ascii="Times New Roman" w:hAnsi="Times New Roman" w:cs="Times New Roman"/>
                <w:sz w:val="13"/>
                <w:szCs w:val="13"/>
              </w:rPr>
            </w:pPr>
            <w:r w:rsidRPr="004A4899">
              <w:rPr>
                <w:rFonts w:ascii="Times New Roman" w:hAnsi="Times New Roman" w:cs="Times New Roman"/>
                <w:sz w:val="13"/>
                <w:szCs w:val="13"/>
              </w:rPr>
              <w:t>a</w:t>
            </w:r>
          </w:p>
        </w:tc>
        <w:tc>
          <w:tcPr>
            <w:tcW w:w="377" w:type="dxa"/>
            <w:noWrap/>
            <w:vAlign w:val="center"/>
            <w:hideMark/>
          </w:tcPr>
          <w:p w14:paraId="3D54A3D4" w14:textId="77777777" w:rsidR="00126D8D" w:rsidRPr="004A4899" w:rsidRDefault="00126D8D" w:rsidP="00820288">
            <w:pPr>
              <w:spacing w:line="240" w:lineRule="auto"/>
              <w:jc w:val="right"/>
              <w:rPr>
                <w:rFonts w:ascii="Times New Roman" w:hAnsi="Times New Roman" w:cs="Times New Roman"/>
                <w:sz w:val="13"/>
                <w:szCs w:val="13"/>
              </w:rPr>
            </w:pPr>
            <w:r w:rsidRPr="004A4899">
              <w:rPr>
                <w:rFonts w:ascii="Times New Roman" w:hAnsi="Times New Roman" w:cs="Times New Roman"/>
                <w:sz w:val="13"/>
                <w:szCs w:val="13"/>
              </w:rPr>
              <w:t>1.42</w:t>
            </w:r>
          </w:p>
        </w:tc>
        <w:tc>
          <w:tcPr>
            <w:tcW w:w="219" w:type="dxa"/>
            <w:noWrap/>
            <w:vAlign w:val="center"/>
            <w:hideMark/>
          </w:tcPr>
          <w:p w14:paraId="731DE2AA" w14:textId="77777777" w:rsidR="00126D8D" w:rsidRPr="004A4899" w:rsidRDefault="00126D8D" w:rsidP="00820288">
            <w:pPr>
              <w:spacing w:line="240" w:lineRule="auto"/>
              <w:rPr>
                <w:rFonts w:ascii="Times New Roman" w:hAnsi="Times New Roman" w:cs="Times New Roman"/>
                <w:sz w:val="13"/>
                <w:szCs w:val="13"/>
              </w:rPr>
            </w:pPr>
            <w:r w:rsidRPr="004A4899">
              <w:rPr>
                <w:rFonts w:ascii="Times New Roman" w:hAnsi="Times New Roman" w:cs="Times New Roman"/>
                <w:sz w:val="13"/>
                <w:szCs w:val="13"/>
              </w:rPr>
              <w:t>a</w:t>
            </w:r>
          </w:p>
        </w:tc>
        <w:tc>
          <w:tcPr>
            <w:tcW w:w="377" w:type="dxa"/>
            <w:noWrap/>
            <w:vAlign w:val="center"/>
            <w:hideMark/>
          </w:tcPr>
          <w:p w14:paraId="5C8D8E1D" w14:textId="77777777" w:rsidR="00126D8D" w:rsidRPr="004A4899" w:rsidRDefault="00126D8D" w:rsidP="00820288">
            <w:pPr>
              <w:spacing w:line="240" w:lineRule="auto"/>
              <w:jc w:val="right"/>
              <w:rPr>
                <w:rFonts w:ascii="Times New Roman" w:hAnsi="Times New Roman" w:cs="Times New Roman"/>
                <w:sz w:val="13"/>
                <w:szCs w:val="13"/>
              </w:rPr>
            </w:pPr>
            <w:r w:rsidRPr="004A4899">
              <w:rPr>
                <w:rFonts w:ascii="Times New Roman" w:hAnsi="Times New Roman" w:cs="Times New Roman"/>
                <w:sz w:val="13"/>
                <w:szCs w:val="13"/>
              </w:rPr>
              <w:t>1.43</w:t>
            </w:r>
          </w:p>
        </w:tc>
        <w:tc>
          <w:tcPr>
            <w:tcW w:w="159" w:type="dxa"/>
            <w:noWrap/>
            <w:vAlign w:val="center"/>
            <w:hideMark/>
          </w:tcPr>
          <w:p w14:paraId="3D91E034" w14:textId="77777777" w:rsidR="00126D8D" w:rsidRPr="004A4899" w:rsidRDefault="00126D8D" w:rsidP="00820288">
            <w:pPr>
              <w:spacing w:line="240" w:lineRule="auto"/>
              <w:rPr>
                <w:rFonts w:ascii="Times New Roman" w:hAnsi="Times New Roman" w:cs="Times New Roman"/>
                <w:sz w:val="13"/>
                <w:szCs w:val="13"/>
              </w:rPr>
            </w:pPr>
            <w:r w:rsidRPr="004A4899">
              <w:rPr>
                <w:rFonts w:ascii="Times New Roman" w:hAnsi="Times New Roman" w:cs="Times New Roman"/>
                <w:sz w:val="13"/>
                <w:szCs w:val="13"/>
              </w:rPr>
              <w:t>a</w:t>
            </w:r>
          </w:p>
        </w:tc>
        <w:tc>
          <w:tcPr>
            <w:tcW w:w="377" w:type="dxa"/>
            <w:noWrap/>
            <w:vAlign w:val="center"/>
            <w:hideMark/>
          </w:tcPr>
          <w:p w14:paraId="2052F36C" w14:textId="77777777" w:rsidR="00126D8D" w:rsidRPr="004A4899" w:rsidRDefault="00126D8D" w:rsidP="00820288">
            <w:pPr>
              <w:spacing w:line="240" w:lineRule="auto"/>
              <w:jc w:val="right"/>
              <w:rPr>
                <w:rFonts w:ascii="Times New Roman" w:hAnsi="Times New Roman" w:cs="Times New Roman"/>
                <w:sz w:val="13"/>
                <w:szCs w:val="13"/>
              </w:rPr>
            </w:pPr>
            <w:r w:rsidRPr="004A4899">
              <w:rPr>
                <w:rFonts w:ascii="Times New Roman" w:hAnsi="Times New Roman" w:cs="Times New Roman"/>
                <w:sz w:val="13"/>
                <w:szCs w:val="13"/>
              </w:rPr>
              <w:t>1.26</w:t>
            </w:r>
          </w:p>
        </w:tc>
        <w:tc>
          <w:tcPr>
            <w:tcW w:w="326" w:type="dxa"/>
            <w:noWrap/>
            <w:vAlign w:val="center"/>
            <w:hideMark/>
          </w:tcPr>
          <w:p w14:paraId="2951497B" w14:textId="77777777" w:rsidR="00126D8D" w:rsidRPr="004A4899" w:rsidRDefault="00126D8D" w:rsidP="00820288">
            <w:pPr>
              <w:spacing w:line="240" w:lineRule="auto"/>
              <w:rPr>
                <w:rFonts w:ascii="Times New Roman" w:hAnsi="Times New Roman" w:cs="Times New Roman"/>
                <w:sz w:val="13"/>
                <w:szCs w:val="13"/>
              </w:rPr>
            </w:pPr>
            <w:r w:rsidRPr="004A4899">
              <w:rPr>
                <w:rFonts w:ascii="Times New Roman" w:hAnsi="Times New Roman" w:cs="Times New Roman"/>
                <w:sz w:val="13"/>
                <w:szCs w:val="13"/>
              </w:rPr>
              <w:t>a</w:t>
            </w:r>
          </w:p>
        </w:tc>
        <w:tc>
          <w:tcPr>
            <w:tcW w:w="377" w:type="dxa"/>
            <w:noWrap/>
            <w:vAlign w:val="center"/>
            <w:hideMark/>
          </w:tcPr>
          <w:p w14:paraId="2E7CC5F5" w14:textId="77777777" w:rsidR="00126D8D" w:rsidRPr="004A4899" w:rsidRDefault="00126D8D" w:rsidP="00820288">
            <w:pPr>
              <w:spacing w:line="240" w:lineRule="auto"/>
              <w:jc w:val="right"/>
              <w:rPr>
                <w:rFonts w:ascii="Times New Roman" w:hAnsi="Times New Roman" w:cs="Times New Roman"/>
                <w:sz w:val="13"/>
                <w:szCs w:val="13"/>
              </w:rPr>
            </w:pPr>
            <w:r w:rsidRPr="004A4899">
              <w:rPr>
                <w:rFonts w:ascii="Times New Roman" w:hAnsi="Times New Roman" w:cs="Times New Roman"/>
                <w:sz w:val="13"/>
                <w:szCs w:val="13"/>
              </w:rPr>
              <w:t>1.39</w:t>
            </w:r>
          </w:p>
        </w:tc>
        <w:tc>
          <w:tcPr>
            <w:tcW w:w="252" w:type="dxa"/>
            <w:noWrap/>
            <w:vAlign w:val="center"/>
            <w:hideMark/>
          </w:tcPr>
          <w:p w14:paraId="03C30C6B" w14:textId="77777777" w:rsidR="00126D8D" w:rsidRPr="004A4899" w:rsidRDefault="00126D8D" w:rsidP="00820288">
            <w:pPr>
              <w:spacing w:line="240" w:lineRule="auto"/>
              <w:rPr>
                <w:rFonts w:ascii="Times New Roman" w:hAnsi="Times New Roman" w:cs="Times New Roman"/>
                <w:sz w:val="13"/>
                <w:szCs w:val="13"/>
              </w:rPr>
            </w:pPr>
            <w:r w:rsidRPr="004A4899">
              <w:rPr>
                <w:rFonts w:ascii="Times New Roman" w:hAnsi="Times New Roman" w:cs="Times New Roman"/>
                <w:sz w:val="13"/>
                <w:szCs w:val="13"/>
              </w:rPr>
              <w:t>a</w:t>
            </w:r>
          </w:p>
        </w:tc>
        <w:tc>
          <w:tcPr>
            <w:tcW w:w="377" w:type="dxa"/>
            <w:noWrap/>
            <w:vAlign w:val="center"/>
            <w:hideMark/>
          </w:tcPr>
          <w:p w14:paraId="6CC01220" w14:textId="77777777" w:rsidR="00126D8D" w:rsidRPr="004A4899" w:rsidRDefault="00126D8D" w:rsidP="00820288">
            <w:pPr>
              <w:spacing w:line="240" w:lineRule="auto"/>
              <w:jc w:val="right"/>
              <w:rPr>
                <w:rFonts w:ascii="Times New Roman" w:hAnsi="Times New Roman" w:cs="Times New Roman"/>
                <w:sz w:val="13"/>
                <w:szCs w:val="13"/>
              </w:rPr>
            </w:pPr>
            <w:r w:rsidRPr="004A4899">
              <w:rPr>
                <w:rFonts w:ascii="Times New Roman" w:hAnsi="Times New Roman" w:cs="Times New Roman"/>
                <w:sz w:val="13"/>
                <w:szCs w:val="13"/>
              </w:rPr>
              <w:t>1.47</w:t>
            </w:r>
          </w:p>
        </w:tc>
        <w:tc>
          <w:tcPr>
            <w:tcW w:w="273" w:type="dxa"/>
            <w:noWrap/>
            <w:vAlign w:val="center"/>
            <w:hideMark/>
          </w:tcPr>
          <w:p w14:paraId="1F844ABD" w14:textId="77777777" w:rsidR="00126D8D" w:rsidRPr="004A4899" w:rsidRDefault="00126D8D" w:rsidP="00820288">
            <w:pPr>
              <w:spacing w:line="240" w:lineRule="auto"/>
              <w:rPr>
                <w:rFonts w:ascii="Times New Roman" w:hAnsi="Times New Roman" w:cs="Times New Roman"/>
                <w:sz w:val="13"/>
                <w:szCs w:val="13"/>
              </w:rPr>
            </w:pPr>
            <w:r w:rsidRPr="004A4899">
              <w:rPr>
                <w:rFonts w:ascii="Times New Roman" w:hAnsi="Times New Roman" w:cs="Times New Roman"/>
                <w:sz w:val="13"/>
                <w:szCs w:val="13"/>
              </w:rPr>
              <w:t>a</w:t>
            </w:r>
          </w:p>
        </w:tc>
        <w:tc>
          <w:tcPr>
            <w:tcW w:w="377" w:type="dxa"/>
            <w:noWrap/>
            <w:vAlign w:val="center"/>
            <w:hideMark/>
          </w:tcPr>
          <w:p w14:paraId="31340AE7" w14:textId="77777777" w:rsidR="00126D8D" w:rsidRPr="004A4899" w:rsidRDefault="00126D8D" w:rsidP="00820288">
            <w:pPr>
              <w:spacing w:line="240" w:lineRule="auto"/>
              <w:jc w:val="right"/>
              <w:rPr>
                <w:rFonts w:ascii="Times New Roman" w:hAnsi="Times New Roman" w:cs="Times New Roman"/>
                <w:sz w:val="13"/>
                <w:szCs w:val="13"/>
              </w:rPr>
            </w:pPr>
            <w:r w:rsidRPr="004A4899">
              <w:rPr>
                <w:rFonts w:ascii="Times New Roman" w:hAnsi="Times New Roman" w:cs="Times New Roman"/>
                <w:sz w:val="13"/>
                <w:szCs w:val="13"/>
              </w:rPr>
              <w:t>2.15</w:t>
            </w:r>
          </w:p>
        </w:tc>
        <w:tc>
          <w:tcPr>
            <w:tcW w:w="273" w:type="dxa"/>
            <w:noWrap/>
            <w:vAlign w:val="center"/>
            <w:hideMark/>
          </w:tcPr>
          <w:p w14:paraId="34931C61" w14:textId="77777777" w:rsidR="00126D8D" w:rsidRPr="004A4899" w:rsidRDefault="00126D8D" w:rsidP="00820288">
            <w:pPr>
              <w:spacing w:line="240" w:lineRule="auto"/>
              <w:rPr>
                <w:rFonts w:ascii="Times New Roman" w:hAnsi="Times New Roman" w:cs="Times New Roman"/>
                <w:sz w:val="13"/>
                <w:szCs w:val="13"/>
              </w:rPr>
            </w:pPr>
            <w:r w:rsidRPr="004A4899">
              <w:rPr>
                <w:rFonts w:ascii="Times New Roman" w:hAnsi="Times New Roman" w:cs="Times New Roman"/>
                <w:sz w:val="13"/>
                <w:szCs w:val="13"/>
              </w:rPr>
              <w:t>a</w:t>
            </w:r>
          </w:p>
        </w:tc>
      </w:tr>
      <w:tr w:rsidR="00126D8D" w:rsidRPr="004A4899" w14:paraId="7897E9A3" w14:textId="77777777" w:rsidTr="00820288">
        <w:trPr>
          <w:trHeight w:val="173"/>
        </w:trPr>
        <w:tc>
          <w:tcPr>
            <w:tcW w:w="1440" w:type="dxa"/>
            <w:noWrap/>
            <w:vAlign w:val="center"/>
            <w:hideMark/>
          </w:tcPr>
          <w:p w14:paraId="4CB67A5E" w14:textId="77777777" w:rsidR="00126D8D" w:rsidRPr="004A4899" w:rsidRDefault="00126D8D" w:rsidP="00820288">
            <w:pPr>
              <w:spacing w:line="240" w:lineRule="auto"/>
              <w:rPr>
                <w:rFonts w:ascii="Times New Roman" w:hAnsi="Times New Roman" w:cs="Times New Roman"/>
                <w:sz w:val="12"/>
                <w:szCs w:val="12"/>
              </w:rPr>
            </w:pPr>
            <w:r w:rsidRPr="004A4899">
              <w:rPr>
                <w:rFonts w:ascii="Times New Roman" w:hAnsi="Times New Roman" w:cs="Times New Roman"/>
                <w:sz w:val="12"/>
                <w:szCs w:val="12"/>
              </w:rPr>
              <w:t>2-Hexenal</w:t>
            </w:r>
          </w:p>
        </w:tc>
        <w:tc>
          <w:tcPr>
            <w:tcW w:w="377" w:type="dxa"/>
            <w:noWrap/>
            <w:vAlign w:val="center"/>
            <w:hideMark/>
          </w:tcPr>
          <w:p w14:paraId="0F81437D" w14:textId="77777777" w:rsidR="00126D8D" w:rsidRPr="004A4899" w:rsidRDefault="00126D8D" w:rsidP="00820288">
            <w:pPr>
              <w:spacing w:line="240" w:lineRule="auto"/>
              <w:jc w:val="right"/>
              <w:rPr>
                <w:rFonts w:ascii="Times New Roman" w:hAnsi="Times New Roman" w:cs="Times New Roman"/>
                <w:sz w:val="13"/>
                <w:szCs w:val="13"/>
              </w:rPr>
            </w:pPr>
            <w:r w:rsidRPr="004A4899">
              <w:rPr>
                <w:rFonts w:ascii="Times New Roman" w:hAnsi="Times New Roman" w:cs="Times New Roman"/>
                <w:sz w:val="13"/>
                <w:szCs w:val="13"/>
              </w:rPr>
              <w:t>5.84</w:t>
            </w:r>
          </w:p>
        </w:tc>
        <w:tc>
          <w:tcPr>
            <w:tcW w:w="274" w:type="dxa"/>
            <w:noWrap/>
            <w:vAlign w:val="center"/>
            <w:hideMark/>
          </w:tcPr>
          <w:p w14:paraId="6D06D5FE" w14:textId="77777777" w:rsidR="00126D8D" w:rsidRPr="004A4899" w:rsidRDefault="00126D8D" w:rsidP="00820288">
            <w:pPr>
              <w:spacing w:line="240" w:lineRule="auto"/>
              <w:rPr>
                <w:rFonts w:ascii="Times New Roman" w:hAnsi="Times New Roman" w:cs="Times New Roman"/>
                <w:sz w:val="13"/>
                <w:szCs w:val="13"/>
              </w:rPr>
            </w:pPr>
            <w:r w:rsidRPr="004A4899">
              <w:rPr>
                <w:rFonts w:ascii="Times New Roman" w:hAnsi="Times New Roman" w:cs="Times New Roman"/>
                <w:sz w:val="13"/>
                <w:szCs w:val="13"/>
              </w:rPr>
              <w:t>ab</w:t>
            </w:r>
          </w:p>
        </w:tc>
        <w:tc>
          <w:tcPr>
            <w:tcW w:w="411" w:type="dxa"/>
            <w:noWrap/>
            <w:vAlign w:val="center"/>
            <w:hideMark/>
          </w:tcPr>
          <w:p w14:paraId="3A4C6B55" w14:textId="77777777" w:rsidR="00126D8D" w:rsidRPr="004A4899" w:rsidRDefault="00126D8D" w:rsidP="00820288">
            <w:pPr>
              <w:spacing w:line="240" w:lineRule="auto"/>
              <w:jc w:val="right"/>
              <w:rPr>
                <w:rFonts w:ascii="Times New Roman" w:hAnsi="Times New Roman" w:cs="Times New Roman"/>
                <w:sz w:val="13"/>
                <w:szCs w:val="13"/>
              </w:rPr>
            </w:pPr>
            <w:r w:rsidRPr="004A4899">
              <w:rPr>
                <w:rFonts w:ascii="Times New Roman" w:hAnsi="Times New Roman" w:cs="Times New Roman"/>
                <w:sz w:val="13"/>
                <w:szCs w:val="13"/>
              </w:rPr>
              <w:t>4.35</w:t>
            </w:r>
          </w:p>
        </w:tc>
        <w:tc>
          <w:tcPr>
            <w:tcW w:w="239" w:type="dxa"/>
            <w:noWrap/>
            <w:vAlign w:val="center"/>
            <w:hideMark/>
          </w:tcPr>
          <w:p w14:paraId="20BE71AD" w14:textId="77777777" w:rsidR="00126D8D" w:rsidRPr="004A4899" w:rsidRDefault="00126D8D" w:rsidP="00820288">
            <w:pPr>
              <w:spacing w:line="240" w:lineRule="auto"/>
              <w:rPr>
                <w:rFonts w:ascii="Times New Roman" w:hAnsi="Times New Roman" w:cs="Times New Roman"/>
                <w:sz w:val="13"/>
                <w:szCs w:val="13"/>
              </w:rPr>
            </w:pPr>
            <w:r w:rsidRPr="004A4899">
              <w:rPr>
                <w:rFonts w:ascii="Times New Roman" w:hAnsi="Times New Roman" w:cs="Times New Roman"/>
                <w:sz w:val="13"/>
                <w:szCs w:val="13"/>
              </w:rPr>
              <w:t>b</w:t>
            </w:r>
          </w:p>
        </w:tc>
        <w:tc>
          <w:tcPr>
            <w:tcW w:w="377" w:type="dxa"/>
            <w:noWrap/>
            <w:vAlign w:val="center"/>
            <w:hideMark/>
          </w:tcPr>
          <w:p w14:paraId="451BAC80" w14:textId="77777777" w:rsidR="00126D8D" w:rsidRPr="004A4899" w:rsidRDefault="00126D8D" w:rsidP="00820288">
            <w:pPr>
              <w:spacing w:line="240" w:lineRule="auto"/>
              <w:jc w:val="right"/>
              <w:rPr>
                <w:rFonts w:ascii="Times New Roman" w:hAnsi="Times New Roman" w:cs="Times New Roman"/>
                <w:sz w:val="13"/>
                <w:szCs w:val="13"/>
              </w:rPr>
            </w:pPr>
            <w:r w:rsidRPr="004A4899">
              <w:rPr>
                <w:rFonts w:ascii="Times New Roman" w:hAnsi="Times New Roman" w:cs="Times New Roman"/>
                <w:sz w:val="13"/>
                <w:szCs w:val="13"/>
              </w:rPr>
              <w:t>4.72</w:t>
            </w:r>
          </w:p>
        </w:tc>
        <w:tc>
          <w:tcPr>
            <w:tcW w:w="273" w:type="dxa"/>
            <w:noWrap/>
            <w:vAlign w:val="center"/>
            <w:hideMark/>
          </w:tcPr>
          <w:p w14:paraId="51B57C3F" w14:textId="77777777" w:rsidR="00126D8D" w:rsidRPr="004A4899" w:rsidRDefault="00126D8D" w:rsidP="00820288">
            <w:pPr>
              <w:spacing w:line="240" w:lineRule="auto"/>
              <w:rPr>
                <w:rFonts w:ascii="Times New Roman" w:hAnsi="Times New Roman" w:cs="Times New Roman"/>
                <w:sz w:val="13"/>
                <w:szCs w:val="13"/>
              </w:rPr>
            </w:pPr>
            <w:r w:rsidRPr="004A4899">
              <w:rPr>
                <w:rFonts w:ascii="Times New Roman" w:hAnsi="Times New Roman" w:cs="Times New Roman"/>
                <w:sz w:val="13"/>
                <w:szCs w:val="13"/>
              </w:rPr>
              <w:t>b</w:t>
            </w:r>
          </w:p>
        </w:tc>
        <w:tc>
          <w:tcPr>
            <w:tcW w:w="377" w:type="dxa"/>
            <w:noWrap/>
            <w:vAlign w:val="center"/>
            <w:hideMark/>
          </w:tcPr>
          <w:p w14:paraId="3A6C5D3F" w14:textId="77777777" w:rsidR="00126D8D" w:rsidRPr="004A4899" w:rsidRDefault="00126D8D" w:rsidP="00820288">
            <w:pPr>
              <w:spacing w:line="240" w:lineRule="auto"/>
              <w:jc w:val="right"/>
              <w:rPr>
                <w:rFonts w:ascii="Times New Roman" w:hAnsi="Times New Roman" w:cs="Times New Roman"/>
                <w:sz w:val="13"/>
                <w:szCs w:val="13"/>
              </w:rPr>
            </w:pPr>
            <w:r w:rsidRPr="004A4899">
              <w:rPr>
                <w:rFonts w:ascii="Times New Roman" w:hAnsi="Times New Roman" w:cs="Times New Roman"/>
                <w:sz w:val="13"/>
                <w:szCs w:val="13"/>
              </w:rPr>
              <w:t>5.98</w:t>
            </w:r>
          </w:p>
        </w:tc>
        <w:tc>
          <w:tcPr>
            <w:tcW w:w="273" w:type="dxa"/>
            <w:noWrap/>
            <w:vAlign w:val="center"/>
            <w:hideMark/>
          </w:tcPr>
          <w:p w14:paraId="6A4203FD" w14:textId="77777777" w:rsidR="00126D8D" w:rsidRPr="004A4899" w:rsidRDefault="00126D8D" w:rsidP="00820288">
            <w:pPr>
              <w:spacing w:line="240" w:lineRule="auto"/>
              <w:rPr>
                <w:rFonts w:ascii="Times New Roman" w:hAnsi="Times New Roman" w:cs="Times New Roman"/>
                <w:sz w:val="13"/>
                <w:szCs w:val="13"/>
              </w:rPr>
            </w:pPr>
            <w:r w:rsidRPr="004A4899">
              <w:rPr>
                <w:rFonts w:ascii="Times New Roman" w:hAnsi="Times New Roman" w:cs="Times New Roman"/>
                <w:sz w:val="13"/>
                <w:szCs w:val="13"/>
              </w:rPr>
              <w:t>ab</w:t>
            </w:r>
          </w:p>
        </w:tc>
        <w:tc>
          <w:tcPr>
            <w:tcW w:w="377" w:type="dxa"/>
            <w:noWrap/>
            <w:vAlign w:val="center"/>
            <w:hideMark/>
          </w:tcPr>
          <w:p w14:paraId="019FF368" w14:textId="77777777" w:rsidR="00126D8D" w:rsidRPr="004A4899" w:rsidRDefault="00126D8D" w:rsidP="00820288">
            <w:pPr>
              <w:spacing w:line="240" w:lineRule="auto"/>
              <w:jc w:val="right"/>
              <w:rPr>
                <w:rFonts w:ascii="Times New Roman" w:hAnsi="Times New Roman" w:cs="Times New Roman"/>
                <w:sz w:val="13"/>
                <w:szCs w:val="13"/>
              </w:rPr>
            </w:pPr>
            <w:r w:rsidRPr="004A4899">
              <w:rPr>
                <w:rFonts w:ascii="Times New Roman" w:hAnsi="Times New Roman" w:cs="Times New Roman"/>
                <w:sz w:val="13"/>
                <w:szCs w:val="13"/>
              </w:rPr>
              <w:t>4.85</w:t>
            </w:r>
          </w:p>
        </w:tc>
        <w:tc>
          <w:tcPr>
            <w:tcW w:w="326" w:type="dxa"/>
            <w:noWrap/>
            <w:vAlign w:val="center"/>
            <w:hideMark/>
          </w:tcPr>
          <w:p w14:paraId="70497EDF" w14:textId="77777777" w:rsidR="00126D8D" w:rsidRPr="004A4899" w:rsidRDefault="00126D8D" w:rsidP="00820288">
            <w:pPr>
              <w:spacing w:line="240" w:lineRule="auto"/>
              <w:rPr>
                <w:rFonts w:ascii="Times New Roman" w:hAnsi="Times New Roman" w:cs="Times New Roman"/>
                <w:sz w:val="13"/>
                <w:szCs w:val="13"/>
              </w:rPr>
            </w:pPr>
            <w:r w:rsidRPr="004A4899">
              <w:rPr>
                <w:rFonts w:ascii="Times New Roman" w:hAnsi="Times New Roman" w:cs="Times New Roman"/>
                <w:sz w:val="13"/>
                <w:szCs w:val="13"/>
              </w:rPr>
              <w:t>b</w:t>
            </w:r>
          </w:p>
        </w:tc>
        <w:tc>
          <w:tcPr>
            <w:tcW w:w="377" w:type="dxa"/>
            <w:noWrap/>
            <w:vAlign w:val="center"/>
            <w:hideMark/>
          </w:tcPr>
          <w:p w14:paraId="4E9523A7" w14:textId="77777777" w:rsidR="00126D8D" w:rsidRPr="004A4899" w:rsidRDefault="00126D8D" w:rsidP="00820288">
            <w:pPr>
              <w:spacing w:line="240" w:lineRule="auto"/>
              <w:jc w:val="right"/>
              <w:rPr>
                <w:rFonts w:ascii="Times New Roman" w:hAnsi="Times New Roman" w:cs="Times New Roman"/>
                <w:sz w:val="13"/>
                <w:szCs w:val="13"/>
              </w:rPr>
            </w:pPr>
            <w:r w:rsidRPr="004A4899">
              <w:rPr>
                <w:rFonts w:ascii="Times New Roman" w:hAnsi="Times New Roman" w:cs="Times New Roman"/>
                <w:sz w:val="13"/>
                <w:szCs w:val="13"/>
              </w:rPr>
              <w:t>5.26</w:t>
            </w:r>
          </w:p>
        </w:tc>
        <w:tc>
          <w:tcPr>
            <w:tcW w:w="326" w:type="dxa"/>
            <w:noWrap/>
            <w:vAlign w:val="center"/>
            <w:hideMark/>
          </w:tcPr>
          <w:p w14:paraId="4A859F99" w14:textId="77777777" w:rsidR="00126D8D" w:rsidRPr="004A4899" w:rsidRDefault="00126D8D" w:rsidP="00820288">
            <w:pPr>
              <w:spacing w:line="240" w:lineRule="auto"/>
              <w:rPr>
                <w:rFonts w:ascii="Times New Roman" w:hAnsi="Times New Roman" w:cs="Times New Roman"/>
                <w:sz w:val="13"/>
                <w:szCs w:val="13"/>
              </w:rPr>
            </w:pPr>
            <w:r w:rsidRPr="004A4899">
              <w:rPr>
                <w:rFonts w:ascii="Times New Roman" w:hAnsi="Times New Roman" w:cs="Times New Roman"/>
                <w:sz w:val="13"/>
                <w:szCs w:val="13"/>
              </w:rPr>
              <w:t>b</w:t>
            </w:r>
          </w:p>
        </w:tc>
        <w:tc>
          <w:tcPr>
            <w:tcW w:w="377" w:type="dxa"/>
            <w:noWrap/>
            <w:vAlign w:val="center"/>
            <w:hideMark/>
          </w:tcPr>
          <w:p w14:paraId="034899EF" w14:textId="77777777" w:rsidR="00126D8D" w:rsidRPr="004A4899" w:rsidRDefault="00126D8D" w:rsidP="00820288">
            <w:pPr>
              <w:spacing w:line="240" w:lineRule="auto"/>
              <w:jc w:val="right"/>
              <w:rPr>
                <w:rFonts w:ascii="Times New Roman" w:hAnsi="Times New Roman" w:cs="Times New Roman"/>
                <w:sz w:val="13"/>
                <w:szCs w:val="13"/>
              </w:rPr>
            </w:pPr>
            <w:r w:rsidRPr="004A4899">
              <w:rPr>
                <w:rFonts w:ascii="Times New Roman" w:hAnsi="Times New Roman" w:cs="Times New Roman"/>
                <w:sz w:val="13"/>
                <w:szCs w:val="13"/>
              </w:rPr>
              <w:t>6.15</w:t>
            </w:r>
          </w:p>
        </w:tc>
        <w:tc>
          <w:tcPr>
            <w:tcW w:w="219" w:type="dxa"/>
            <w:noWrap/>
            <w:vAlign w:val="center"/>
            <w:hideMark/>
          </w:tcPr>
          <w:p w14:paraId="13462824" w14:textId="77777777" w:rsidR="00126D8D" w:rsidRPr="004A4899" w:rsidRDefault="00126D8D" w:rsidP="00820288">
            <w:pPr>
              <w:spacing w:line="240" w:lineRule="auto"/>
              <w:rPr>
                <w:rFonts w:ascii="Times New Roman" w:hAnsi="Times New Roman" w:cs="Times New Roman"/>
                <w:sz w:val="13"/>
                <w:szCs w:val="13"/>
              </w:rPr>
            </w:pPr>
            <w:r w:rsidRPr="004A4899">
              <w:rPr>
                <w:rFonts w:ascii="Times New Roman" w:hAnsi="Times New Roman" w:cs="Times New Roman"/>
                <w:sz w:val="13"/>
                <w:szCs w:val="13"/>
              </w:rPr>
              <w:t>ab</w:t>
            </w:r>
          </w:p>
        </w:tc>
        <w:tc>
          <w:tcPr>
            <w:tcW w:w="377" w:type="dxa"/>
            <w:noWrap/>
            <w:vAlign w:val="center"/>
            <w:hideMark/>
          </w:tcPr>
          <w:p w14:paraId="057E970B" w14:textId="77777777" w:rsidR="00126D8D" w:rsidRPr="004A4899" w:rsidRDefault="00126D8D" w:rsidP="00820288">
            <w:pPr>
              <w:spacing w:line="240" w:lineRule="auto"/>
              <w:jc w:val="right"/>
              <w:rPr>
                <w:rFonts w:ascii="Times New Roman" w:hAnsi="Times New Roman" w:cs="Times New Roman"/>
                <w:sz w:val="13"/>
                <w:szCs w:val="13"/>
              </w:rPr>
            </w:pPr>
            <w:r w:rsidRPr="004A4899">
              <w:rPr>
                <w:rFonts w:ascii="Times New Roman" w:hAnsi="Times New Roman" w:cs="Times New Roman"/>
                <w:sz w:val="13"/>
                <w:szCs w:val="13"/>
              </w:rPr>
              <w:t>5.82</w:t>
            </w:r>
          </w:p>
        </w:tc>
        <w:tc>
          <w:tcPr>
            <w:tcW w:w="159" w:type="dxa"/>
            <w:noWrap/>
            <w:vAlign w:val="center"/>
            <w:hideMark/>
          </w:tcPr>
          <w:p w14:paraId="647540AF" w14:textId="77777777" w:rsidR="00126D8D" w:rsidRPr="004A4899" w:rsidRDefault="00126D8D" w:rsidP="00820288">
            <w:pPr>
              <w:spacing w:line="240" w:lineRule="auto"/>
              <w:rPr>
                <w:rFonts w:ascii="Times New Roman" w:hAnsi="Times New Roman" w:cs="Times New Roman"/>
                <w:sz w:val="13"/>
                <w:szCs w:val="13"/>
              </w:rPr>
            </w:pPr>
            <w:r w:rsidRPr="004A4899">
              <w:rPr>
                <w:rFonts w:ascii="Times New Roman" w:hAnsi="Times New Roman" w:cs="Times New Roman"/>
                <w:sz w:val="13"/>
                <w:szCs w:val="13"/>
              </w:rPr>
              <w:t>ab</w:t>
            </w:r>
          </w:p>
        </w:tc>
        <w:tc>
          <w:tcPr>
            <w:tcW w:w="377" w:type="dxa"/>
            <w:noWrap/>
            <w:vAlign w:val="center"/>
            <w:hideMark/>
          </w:tcPr>
          <w:p w14:paraId="013F628E" w14:textId="77777777" w:rsidR="00126D8D" w:rsidRPr="004A4899" w:rsidRDefault="00126D8D" w:rsidP="00820288">
            <w:pPr>
              <w:spacing w:line="240" w:lineRule="auto"/>
              <w:jc w:val="right"/>
              <w:rPr>
                <w:rFonts w:ascii="Times New Roman" w:hAnsi="Times New Roman" w:cs="Times New Roman"/>
                <w:sz w:val="13"/>
                <w:szCs w:val="13"/>
              </w:rPr>
            </w:pPr>
            <w:r w:rsidRPr="004A4899">
              <w:rPr>
                <w:rFonts w:ascii="Times New Roman" w:hAnsi="Times New Roman" w:cs="Times New Roman"/>
                <w:sz w:val="13"/>
                <w:szCs w:val="13"/>
              </w:rPr>
              <w:t>5.03</w:t>
            </w:r>
          </w:p>
        </w:tc>
        <w:tc>
          <w:tcPr>
            <w:tcW w:w="326" w:type="dxa"/>
            <w:noWrap/>
            <w:vAlign w:val="center"/>
            <w:hideMark/>
          </w:tcPr>
          <w:p w14:paraId="77B4810E" w14:textId="77777777" w:rsidR="00126D8D" w:rsidRPr="004A4899" w:rsidRDefault="00126D8D" w:rsidP="00820288">
            <w:pPr>
              <w:spacing w:line="240" w:lineRule="auto"/>
              <w:rPr>
                <w:rFonts w:ascii="Times New Roman" w:hAnsi="Times New Roman" w:cs="Times New Roman"/>
                <w:sz w:val="13"/>
                <w:szCs w:val="13"/>
              </w:rPr>
            </w:pPr>
            <w:r w:rsidRPr="004A4899">
              <w:rPr>
                <w:rFonts w:ascii="Times New Roman" w:hAnsi="Times New Roman" w:cs="Times New Roman"/>
                <w:sz w:val="13"/>
                <w:szCs w:val="13"/>
              </w:rPr>
              <w:t>b</w:t>
            </w:r>
          </w:p>
        </w:tc>
        <w:tc>
          <w:tcPr>
            <w:tcW w:w="377" w:type="dxa"/>
            <w:noWrap/>
            <w:vAlign w:val="center"/>
            <w:hideMark/>
          </w:tcPr>
          <w:p w14:paraId="62C7DB04" w14:textId="77777777" w:rsidR="00126D8D" w:rsidRPr="004A4899" w:rsidRDefault="00126D8D" w:rsidP="00820288">
            <w:pPr>
              <w:spacing w:line="240" w:lineRule="auto"/>
              <w:jc w:val="right"/>
              <w:rPr>
                <w:rFonts w:ascii="Times New Roman" w:hAnsi="Times New Roman" w:cs="Times New Roman"/>
                <w:sz w:val="13"/>
                <w:szCs w:val="13"/>
              </w:rPr>
            </w:pPr>
            <w:r w:rsidRPr="004A4899">
              <w:rPr>
                <w:rFonts w:ascii="Times New Roman" w:hAnsi="Times New Roman" w:cs="Times New Roman"/>
                <w:sz w:val="13"/>
                <w:szCs w:val="13"/>
              </w:rPr>
              <w:t>5.55</w:t>
            </w:r>
          </w:p>
        </w:tc>
        <w:tc>
          <w:tcPr>
            <w:tcW w:w="252" w:type="dxa"/>
            <w:noWrap/>
            <w:vAlign w:val="center"/>
            <w:hideMark/>
          </w:tcPr>
          <w:p w14:paraId="282A013F" w14:textId="77777777" w:rsidR="00126D8D" w:rsidRPr="004A4899" w:rsidRDefault="00126D8D" w:rsidP="00820288">
            <w:pPr>
              <w:spacing w:line="240" w:lineRule="auto"/>
              <w:rPr>
                <w:rFonts w:ascii="Times New Roman" w:hAnsi="Times New Roman" w:cs="Times New Roman"/>
                <w:sz w:val="13"/>
                <w:szCs w:val="13"/>
              </w:rPr>
            </w:pPr>
            <w:r w:rsidRPr="004A4899">
              <w:rPr>
                <w:rFonts w:ascii="Times New Roman" w:hAnsi="Times New Roman" w:cs="Times New Roman"/>
                <w:sz w:val="13"/>
                <w:szCs w:val="13"/>
              </w:rPr>
              <w:t>b</w:t>
            </w:r>
          </w:p>
        </w:tc>
        <w:tc>
          <w:tcPr>
            <w:tcW w:w="377" w:type="dxa"/>
            <w:noWrap/>
            <w:vAlign w:val="center"/>
            <w:hideMark/>
          </w:tcPr>
          <w:p w14:paraId="6E7E8ABA" w14:textId="77777777" w:rsidR="00126D8D" w:rsidRPr="004A4899" w:rsidRDefault="00126D8D" w:rsidP="00820288">
            <w:pPr>
              <w:spacing w:line="240" w:lineRule="auto"/>
              <w:jc w:val="right"/>
              <w:rPr>
                <w:rFonts w:ascii="Times New Roman" w:hAnsi="Times New Roman" w:cs="Times New Roman"/>
                <w:sz w:val="13"/>
                <w:szCs w:val="13"/>
              </w:rPr>
            </w:pPr>
            <w:r w:rsidRPr="004A4899">
              <w:rPr>
                <w:rFonts w:ascii="Times New Roman" w:hAnsi="Times New Roman" w:cs="Times New Roman"/>
                <w:sz w:val="13"/>
                <w:szCs w:val="13"/>
              </w:rPr>
              <w:t>5.84</w:t>
            </w:r>
          </w:p>
        </w:tc>
        <w:tc>
          <w:tcPr>
            <w:tcW w:w="273" w:type="dxa"/>
            <w:noWrap/>
            <w:vAlign w:val="center"/>
            <w:hideMark/>
          </w:tcPr>
          <w:p w14:paraId="079CEE4C" w14:textId="77777777" w:rsidR="00126D8D" w:rsidRPr="004A4899" w:rsidRDefault="00126D8D" w:rsidP="00820288">
            <w:pPr>
              <w:spacing w:line="240" w:lineRule="auto"/>
              <w:rPr>
                <w:rFonts w:ascii="Times New Roman" w:hAnsi="Times New Roman" w:cs="Times New Roman"/>
                <w:sz w:val="13"/>
                <w:szCs w:val="13"/>
              </w:rPr>
            </w:pPr>
            <w:r w:rsidRPr="004A4899">
              <w:rPr>
                <w:rFonts w:ascii="Times New Roman" w:hAnsi="Times New Roman" w:cs="Times New Roman"/>
                <w:sz w:val="13"/>
                <w:szCs w:val="13"/>
              </w:rPr>
              <w:t>ab</w:t>
            </w:r>
          </w:p>
        </w:tc>
        <w:tc>
          <w:tcPr>
            <w:tcW w:w="377" w:type="dxa"/>
            <w:noWrap/>
            <w:vAlign w:val="center"/>
            <w:hideMark/>
          </w:tcPr>
          <w:p w14:paraId="2A6E7C4E" w14:textId="77777777" w:rsidR="00126D8D" w:rsidRPr="004A4899" w:rsidRDefault="00126D8D" w:rsidP="00820288">
            <w:pPr>
              <w:spacing w:line="240" w:lineRule="auto"/>
              <w:jc w:val="right"/>
              <w:rPr>
                <w:rFonts w:ascii="Times New Roman" w:hAnsi="Times New Roman" w:cs="Times New Roman"/>
                <w:sz w:val="13"/>
                <w:szCs w:val="13"/>
              </w:rPr>
            </w:pPr>
            <w:r w:rsidRPr="004A4899">
              <w:rPr>
                <w:rFonts w:ascii="Times New Roman" w:hAnsi="Times New Roman" w:cs="Times New Roman"/>
                <w:sz w:val="13"/>
                <w:szCs w:val="13"/>
              </w:rPr>
              <w:t>9.00</w:t>
            </w:r>
          </w:p>
        </w:tc>
        <w:tc>
          <w:tcPr>
            <w:tcW w:w="273" w:type="dxa"/>
            <w:noWrap/>
            <w:vAlign w:val="center"/>
            <w:hideMark/>
          </w:tcPr>
          <w:p w14:paraId="6BA373A1" w14:textId="77777777" w:rsidR="00126D8D" w:rsidRPr="004A4899" w:rsidRDefault="00126D8D" w:rsidP="00820288">
            <w:pPr>
              <w:spacing w:line="240" w:lineRule="auto"/>
              <w:rPr>
                <w:rFonts w:ascii="Times New Roman" w:hAnsi="Times New Roman" w:cs="Times New Roman"/>
                <w:sz w:val="13"/>
                <w:szCs w:val="13"/>
              </w:rPr>
            </w:pPr>
            <w:r w:rsidRPr="004A4899">
              <w:rPr>
                <w:rFonts w:ascii="Times New Roman" w:hAnsi="Times New Roman" w:cs="Times New Roman"/>
                <w:sz w:val="13"/>
                <w:szCs w:val="13"/>
              </w:rPr>
              <w:t>a</w:t>
            </w:r>
          </w:p>
        </w:tc>
      </w:tr>
      <w:tr w:rsidR="00126D8D" w:rsidRPr="004A4899" w14:paraId="6873CC29" w14:textId="77777777" w:rsidTr="00820288">
        <w:trPr>
          <w:trHeight w:val="173"/>
        </w:trPr>
        <w:tc>
          <w:tcPr>
            <w:tcW w:w="1440" w:type="dxa"/>
            <w:noWrap/>
            <w:vAlign w:val="center"/>
            <w:hideMark/>
          </w:tcPr>
          <w:p w14:paraId="76EAFFAF" w14:textId="77777777" w:rsidR="00126D8D" w:rsidRPr="004A4899" w:rsidRDefault="00126D8D" w:rsidP="00820288">
            <w:pPr>
              <w:spacing w:line="240" w:lineRule="auto"/>
              <w:rPr>
                <w:rFonts w:ascii="Times New Roman" w:hAnsi="Times New Roman" w:cs="Times New Roman"/>
                <w:sz w:val="12"/>
                <w:szCs w:val="12"/>
              </w:rPr>
            </w:pPr>
            <w:r w:rsidRPr="004A4899">
              <w:rPr>
                <w:rFonts w:ascii="Times New Roman" w:hAnsi="Times New Roman" w:cs="Times New Roman"/>
                <w:sz w:val="12"/>
                <w:szCs w:val="12"/>
              </w:rPr>
              <w:t>Nonanal</w:t>
            </w:r>
          </w:p>
        </w:tc>
        <w:tc>
          <w:tcPr>
            <w:tcW w:w="377" w:type="dxa"/>
            <w:noWrap/>
            <w:vAlign w:val="center"/>
            <w:hideMark/>
          </w:tcPr>
          <w:p w14:paraId="305FC4F3" w14:textId="77777777" w:rsidR="00126D8D" w:rsidRPr="004A4899" w:rsidRDefault="00126D8D" w:rsidP="00820288">
            <w:pPr>
              <w:spacing w:line="240" w:lineRule="auto"/>
              <w:jc w:val="right"/>
              <w:rPr>
                <w:rFonts w:ascii="Times New Roman" w:hAnsi="Times New Roman" w:cs="Times New Roman"/>
                <w:sz w:val="13"/>
                <w:szCs w:val="13"/>
              </w:rPr>
            </w:pPr>
            <w:r w:rsidRPr="004A4899">
              <w:rPr>
                <w:rFonts w:ascii="Times New Roman" w:hAnsi="Times New Roman" w:cs="Times New Roman"/>
                <w:sz w:val="13"/>
                <w:szCs w:val="13"/>
              </w:rPr>
              <w:t>20.31</w:t>
            </w:r>
          </w:p>
        </w:tc>
        <w:tc>
          <w:tcPr>
            <w:tcW w:w="274" w:type="dxa"/>
            <w:noWrap/>
            <w:vAlign w:val="center"/>
            <w:hideMark/>
          </w:tcPr>
          <w:p w14:paraId="6513792A" w14:textId="77777777" w:rsidR="00126D8D" w:rsidRPr="004A4899" w:rsidRDefault="00126D8D" w:rsidP="00820288">
            <w:pPr>
              <w:spacing w:line="240" w:lineRule="auto"/>
              <w:rPr>
                <w:rFonts w:ascii="Times New Roman" w:hAnsi="Times New Roman" w:cs="Times New Roman"/>
                <w:sz w:val="13"/>
                <w:szCs w:val="13"/>
              </w:rPr>
            </w:pPr>
            <w:r w:rsidRPr="004A4899">
              <w:rPr>
                <w:rFonts w:ascii="Times New Roman" w:hAnsi="Times New Roman" w:cs="Times New Roman"/>
                <w:sz w:val="13"/>
                <w:szCs w:val="13"/>
              </w:rPr>
              <w:t>abcd</w:t>
            </w:r>
          </w:p>
        </w:tc>
        <w:tc>
          <w:tcPr>
            <w:tcW w:w="411" w:type="dxa"/>
            <w:noWrap/>
            <w:vAlign w:val="center"/>
            <w:hideMark/>
          </w:tcPr>
          <w:p w14:paraId="371C26C3" w14:textId="77777777" w:rsidR="00126D8D" w:rsidRPr="004A4899" w:rsidRDefault="00126D8D" w:rsidP="00820288">
            <w:pPr>
              <w:spacing w:line="240" w:lineRule="auto"/>
              <w:jc w:val="right"/>
              <w:rPr>
                <w:rFonts w:ascii="Times New Roman" w:hAnsi="Times New Roman" w:cs="Times New Roman"/>
                <w:sz w:val="13"/>
                <w:szCs w:val="13"/>
              </w:rPr>
            </w:pPr>
            <w:r w:rsidRPr="004A4899">
              <w:rPr>
                <w:rFonts w:ascii="Times New Roman" w:hAnsi="Times New Roman" w:cs="Times New Roman"/>
                <w:sz w:val="13"/>
                <w:szCs w:val="13"/>
              </w:rPr>
              <w:t>15.37</w:t>
            </w:r>
          </w:p>
        </w:tc>
        <w:tc>
          <w:tcPr>
            <w:tcW w:w="239" w:type="dxa"/>
            <w:noWrap/>
            <w:vAlign w:val="center"/>
            <w:hideMark/>
          </w:tcPr>
          <w:p w14:paraId="4E07CCE6" w14:textId="77777777" w:rsidR="00126D8D" w:rsidRPr="004A4899" w:rsidRDefault="00126D8D" w:rsidP="00820288">
            <w:pPr>
              <w:spacing w:line="240" w:lineRule="auto"/>
              <w:rPr>
                <w:rFonts w:ascii="Times New Roman" w:hAnsi="Times New Roman" w:cs="Times New Roman"/>
                <w:sz w:val="13"/>
                <w:szCs w:val="13"/>
              </w:rPr>
            </w:pPr>
            <w:r w:rsidRPr="004A4899">
              <w:rPr>
                <w:rFonts w:ascii="Times New Roman" w:hAnsi="Times New Roman" w:cs="Times New Roman"/>
                <w:sz w:val="13"/>
                <w:szCs w:val="13"/>
              </w:rPr>
              <w:t>cde</w:t>
            </w:r>
          </w:p>
        </w:tc>
        <w:tc>
          <w:tcPr>
            <w:tcW w:w="377" w:type="dxa"/>
            <w:noWrap/>
            <w:vAlign w:val="center"/>
            <w:hideMark/>
          </w:tcPr>
          <w:p w14:paraId="1C4C6707" w14:textId="77777777" w:rsidR="00126D8D" w:rsidRPr="004A4899" w:rsidRDefault="00126D8D" w:rsidP="00820288">
            <w:pPr>
              <w:spacing w:line="240" w:lineRule="auto"/>
              <w:jc w:val="right"/>
              <w:rPr>
                <w:rFonts w:ascii="Times New Roman" w:hAnsi="Times New Roman" w:cs="Times New Roman"/>
                <w:sz w:val="13"/>
                <w:szCs w:val="13"/>
              </w:rPr>
            </w:pPr>
            <w:r w:rsidRPr="004A4899">
              <w:rPr>
                <w:rFonts w:ascii="Times New Roman" w:hAnsi="Times New Roman" w:cs="Times New Roman"/>
                <w:sz w:val="13"/>
                <w:szCs w:val="13"/>
              </w:rPr>
              <w:t>16.10</w:t>
            </w:r>
          </w:p>
        </w:tc>
        <w:tc>
          <w:tcPr>
            <w:tcW w:w="273" w:type="dxa"/>
            <w:noWrap/>
            <w:vAlign w:val="center"/>
            <w:hideMark/>
          </w:tcPr>
          <w:p w14:paraId="3A19385B" w14:textId="77777777" w:rsidR="00126D8D" w:rsidRPr="004A4899" w:rsidRDefault="00126D8D" w:rsidP="00820288">
            <w:pPr>
              <w:spacing w:line="240" w:lineRule="auto"/>
              <w:rPr>
                <w:rFonts w:ascii="Times New Roman" w:hAnsi="Times New Roman" w:cs="Times New Roman"/>
                <w:sz w:val="13"/>
                <w:szCs w:val="13"/>
              </w:rPr>
            </w:pPr>
            <w:r w:rsidRPr="004A4899">
              <w:rPr>
                <w:rFonts w:ascii="Times New Roman" w:hAnsi="Times New Roman" w:cs="Times New Roman"/>
                <w:sz w:val="13"/>
                <w:szCs w:val="13"/>
              </w:rPr>
              <w:t>bcde</w:t>
            </w:r>
          </w:p>
        </w:tc>
        <w:tc>
          <w:tcPr>
            <w:tcW w:w="377" w:type="dxa"/>
            <w:noWrap/>
            <w:vAlign w:val="center"/>
            <w:hideMark/>
          </w:tcPr>
          <w:p w14:paraId="7493D977" w14:textId="77777777" w:rsidR="00126D8D" w:rsidRPr="004A4899" w:rsidRDefault="00126D8D" w:rsidP="00820288">
            <w:pPr>
              <w:spacing w:line="240" w:lineRule="auto"/>
              <w:jc w:val="right"/>
              <w:rPr>
                <w:rFonts w:ascii="Times New Roman" w:hAnsi="Times New Roman" w:cs="Times New Roman"/>
                <w:sz w:val="13"/>
                <w:szCs w:val="13"/>
              </w:rPr>
            </w:pPr>
            <w:r w:rsidRPr="004A4899">
              <w:rPr>
                <w:rFonts w:ascii="Times New Roman" w:hAnsi="Times New Roman" w:cs="Times New Roman"/>
                <w:sz w:val="13"/>
                <w:szCs w:val="13"/>
              </w:rPr>
              <w:t>24.48</w:t>
            </w:r>
          </w:p>
        </w:tc>
        <w:tc>
          <w:tcPr>
            <w:tcW w:w="273" w:type="dxa"/>
            <w:noWrap/>
            <w:vAlign w:val="center"/>
            <w:hideMark/>
          </w:tcPr>
          <w:p w14:paraId="670AA556" w14:textId="77777777" w:rsidR="00126D8D" w:rsidRPr="004A4899" w:rsidRDefault="00126D8D" w:rsidP="00820288">
            <w:pPr>
              <w:spacing w:line="240" w:lineRule="auto"/>
              <w:rPr>
                <w:rFonts w:ascii="Times New Roman" w:hAnsi="Times New Roman" w:cs="Times New Roman"/>
                <w:sz w:val="13"/>
                <w:szCs w:val="13"/>
              </w:rPr>
            </w:pPr>
            <w:r w:rsidRPr="004A4899">
              <w:rPr>
                <w:rFonts w:ascii="Times New Roman" w:hAnsi="Times New Roman" w:cs="Times New Roman"/>
                <w:sz w:val="13"/>
                <w:szCs w:val="13"/>
              </w:rPr>
              <w:t>a</w:t>
            </w:r>
          </w:p>
        </w:tc>
        <w:tc>
          <w:tcPr>
            <w:tcW w:w="377" w:type="dxa"/>
            <w:noWrap/>
            <w:vAlign w:val="center"/>
            <w:hideMark/>
          </w:tcPr>
          <w:p w14:paraId="1E75BEDE" w14:textId="77777777" w:rsidR="00126D8D" w:rsidRPr="004A4899" w:rsidRDefault="00126D8D" w:rsidP="00820288">
            <w:pPr>
              <w:spacing w:line="240" w:lineRule="auto"/>
              <w:jc w:val="right"/>
              <w:rPr>
                <w:rFonts w:ascii="Times New Roman" w:hAnsi="Times New Roman" w:cs="Times New Roman"/>
                <w:sz w:val="13"/>
                <w:szCs w:val="13"/>
              </w:rPr>
            </w:pPr>
            <w:r w:rsidRPr="004A4899">
              <w:rPr>
                <w:rFonts w:ascii="Times New Roman" w:hAnsi="Times New Roman" w:cs="Times New Roman"/>
                <w:sz w:val="13"/>
                <w:szCs w:val="13"/>
              </w:rPr>
              <w:t>18.40</w:t>
            </w:r>
          </w:p>
        </w:tc>
        <w:tc>
          <w:tcPr>
            <w:tcW w:w="326" w:type="dxa"/>
            <w:noWrap/>
            <w:vAlign w:val="center"/>
            <w:hideMark/>
          </w:tcPr>
          <w:p w14:paraId="26281055" w14:textId="77777777" w:rsidR="00126D8D" w:rsidRPr="004A4899" w:rsidRDefault="00126D8D" w:rsidP="00820288">
            <w:pPr>
              <w:spacing w:line="240" w:lineRule="auto"/>
              <w:rPr>
                <w:rFonts w:ascii="Times New Roman" w:hAnsi="Times New Roman" w:cs="Times New Roman"/>
                <w:sz w:val="13"/>
                <w:szCs w:val="13"/>
              </w:rPr>
            </w:pPr>
            <w:r w:rsidRPr="004A4899">
              <w:rPr>
                <w:rFonts w:ascii="Times New Roman" w:hAnsi="Times New Roman" w:cs="Times New Roman"/>
                <w:sz w:val="13"/>
                <w:szCs w:val="13"/>
              </w:rPr>
              <w:t>abcde</w:t>
            </w:r>
          </w:p>
        </w:tc>
        <w:tc>
          <w:tcPr>
            <w:tcW w:w="377" w:type="dxa"/>
            <w:noWrap/>
            <w:vAlign w:val="center"/>
            <w:hideMark/>
          </w:tcPr>
          <w:p w14:paraId="6A0763DE" w14:textId="77777777" w:rsidR="00126D8D" w:rsidRPr="004A4899" w:rsidRDefault="00126D8D" w:rsidP="00820288">
            <w:pPr>
              <w:spacing w:line="240" w:lineRule="auto"/>
              <w:jc w:val="right"/>
              <w:rPr>
                <w:rFonts w:ascii="Times New Roman" w:hAnsi="Times New Roman" w:cs="Times New Roman"/>
                <w:sz w:val="13"/>
                <w:szCs w:val="13"/>
              </w:rPr>
            </w:pPr>
            <w:r w:rsidRPr="004A4899">
              <w:rPr>
                <w:rFonts w:ascii="Times New Roman" w:hAnsi="Times New Roman" w:cs="Times New Roman"/>
                <w:sz w:val="13"/>
                <w:szCs w:val="13"/>
              </w:rPr>
              <w:t>18.82</w:t>
            </w:r>
          </w:p>
        </w:tc>
        <w:tc>
          <w:tcPr>
            <w:tcW w:w="326" w:type="dxa"/>
            <w:noWrap/>
            <w:vAlign w:val="center"/>
            <w:hideMark/>
          </w:tcPr>
          <w:p w14:paraId="388F376E" w14:textId="77777777" w:rsidR="00126D8D" w:rsidRPr="004A4899" w:rsidRDefault="00126D8D" w:rsidP="00820288">
            <w:pPr>
              <w:spacing w:line="240" w:lineRule="auto"/>
              <w:rPr>
                <w:rFonts w:ascii="Times New Roman" w:hAnsi="Times New Roman" w:cs="Times New Roman"/>
                <w:sz w:val="13"/>
                <w:szCs w:val="13"/>
              </w:rPr>
            </w:pPr>
            <w:r w:rsidRPr="004A4899">
              <w:rPr>
                <w:rFonts w:ascii="Times New Roman" w:hAnsi="Times New Roman" w:cs="Times New Roman"/>
                <w:sz w:val="13"/>
                <w:szCs w:val="13"/>
              </w:rPr>
              <w:t>abcde</w:t>
            </w:r>
          </w:p>
        </w:tc>
        <w:tc>
          <w:tcPr>
            <w:tcW w:w="377" w:type="dxa"/>
            <w:noWrap/>
            <w:vAlign w:val="center"/>
            <w:hideMark/>
          </w:tcPr>
          <w:p w14:paraId="694E537F" w14:textId="77777777" w:rsidR="00126D8D" w:rsidRPr="004A4899" w:rsidRDefault="00126D8D" w:rsidP="00820288">
            <w:pPr>
              <w:spacing w:line="240" w:lineRule="auto"/>
              <w:jc w:val="right"/>
              <w:rPr>
                <w:rFonts w:ascii="Times New Roman" w:hAnsi="Times New Roman" w:cs="Times New Roman"/>
                <w:sz w:val="13"/>
                <w:szCs w:val="13"/>
              </w:rPr>
            </w:pPr>
            <w:r w:rsidRPr="004A4899">
              <w:rPr>
                <w:rFonts w:ascii="Times New Roman" w:hAnsi="Times New Roman" w:cs="Times New Roman"/>
                <w:sz w:val="13"/>
                <w:szCs w:val="13"/>
              </w:rPr>
              <w:t>23.03</w:t>
            </w:r>
          </w:p>
        </w:tc>
        <w:tc>
          <w:tcPr>
            <w:tcW w:w="219" w:type="dxa"/>
            <w:noWrap/>
            <w:vAlign w:val="center"/>
            <w:hideMark/>
          </w:tcPr>
          <w:p w14:paraId="7CE6157C" w14:textId="77777777" w:rsidR="00126D8D" w:rsidRPr="004A4899" w:rsidRDefault="00126D8D" w:rsidP="00820288">
            <w:pPr>
              <w:spacing w:line="240" w:lineRule="auto"/>
              <w:rPr>
                <w:rFonts w:ascii="Times New Roman" w:hAnsi="Times New Roman" w:cs="Times New Roman"/>
                <w:sz w:val="13"/>
                <w:szCs w:val="13"/>
              </w:rPr>
            </w:pPr>
            <w:r w:rsidRPr="004A4899">
              <w:rPr>
                <w:rFonts w:ascii="Times New Roman" w:hAnsi="Times New Roman" w:cs="Times New Roman"/>
                <w:sz w:val="13"/>
                <w:szCs w:val="13"/>
              </w:rPr>
              <w:t>abc</w:t>
            </w:r>
          </w:p>
        </w:tc>
        <w:tc>
          <w:tcPr>
            <w:tcW w:w="377" w:type="dxa"/>
            <w:noWrap/>
            <w:vAlign w:val="center"/>
            <w:hideMark/>
          </w:tcPr>
          <w:p w14:paraId="21D33AE6" w14:textId="77777777" w:rsidR="00126D8D" w:rsidRPr="004A4899" w:rsidRDefault="00126D8D" w:rsidP="00820288">
            <w:pPr>
              <w:spacing w:line="240" w:lineRule="auto"/>
              <w:jc w:val="right"/>
              <w:rPr>
                <w:rFonts w:ascii="Times New Roman" w:hAnsi="Times New Roman" w:cs="Times New Roman"/>
                <w:sz w:val="13"/>
                <w:szCs w:val="13"/>
              </w:rPr>
            </w:pPr>
            <w:r w:rsidRPr="004A4899">
              <w:rPr>
                <w:rFonts w:ascii="Times New Roman" w:hAnsi="Times New Roman" w:cs="Times New Roman"/>
                <w:sz w:val="13"/>
                <w:szCs w:val="13"/>
              </w:rPr>
              <w:t>24.14</w:t>
            </w:r>
          </w:p>
        </w:tc>
        <w:tc>
          <w:tcPr>
            <w:tcW w:w="159" w:type="dxa"/>
            <w:noWrap/>
            <w:vAlign w:val="center"/>
            <w:hideMark/>
          </w:tcPr>
          <w:p w14:paraId="3F873EFB" w14:textId="77777777" w:rsidR="00126D8D" w:rsidRPr="004A4899" w:rsidRDefault="00126D8D" w:rsidP="00820288">
            <w:pPr>
              <w:spacing w:line="240" w:lineRule="auto"/>
              <w:rPr>
                <w:rFonts w:ascii="Times New Roman" w:hAnsi="Times New Roman" w:cs="Times New Roman"/>
                <w:sz w:val="13"/>
                <w:szCs w:val="13"/>
              </w:rPr>
            </w:pPr>
            <w:r w:rsidRPr="004A4899">
              <w:rPr>
                <w:rFonts w:ascii="Times New Roman" w:hAnsi="Times New Roman" w:cs="Times New Roman"/>
                <w:sz w:val="13"/>
                <w:szCs w:val="13"/>
              </w:rPr>
              <w:t>ab</w:t>
            </w:r>
          </w:p>
        </w:tc>
        <w:tc>
          <w:tcPr>
            <w:tcW w:w="377" w:type="dxa"/>
            <w:noWrap/>
            <w:vAlign w:val="center"/>
            <w:hideMark/>
          </w:tcPr>
          <w:p w14:paraId="4287EA37" w14:textId="77777777" w:rsidR="00126D8D" w:rsidRPr="004A4899" w:rsidRDefault="00126D8D" w:rsidP="00820288">
            <w:pPr>
              <w:spacing w:line="240" w:lineRule="auto"/>
              <w:jc w:val="right"/>
              <w:rPr>
                <w:rFonts w:ascii="Times New Roman" w:hAnsi="Times New Roman" w:cs="Times New Roman"/>
                <w:sz w:val="13"/>
                <w:szCs w:val="13"/>
              </w:rPr>
            </w:pPr>
            <w:r w:rsidRPr="004A4899">
              <w:rPr>
                <w:rFonts w:ascii="Times New Roman" w:hAnsi="Times New Roman" w:cs="Times New Roman"/>
                <w:sz w:val="13"/>
                <w:szCs w:val="13"/>
              </w:rPr>
              <w:t>18.75</w:t>
            </w:r>
          </w:p>
        </w:tc>
        <w:tc>
          <w:tcPr>
            <w:tcW w:w="326" w:type="dxa"/>
            <w:noWrap/>
            <w:vAlign w:val="center"/>
            <w:hideMark/>
          </w:tcPr>
          <w:p w14:paraId="7331214F" w14:textId="77777777" w:rsidR="00126D8D" w:rsidRPr="004A4899" w:rsidRDefault="00126D8D" w:rsidP="00820288">
            <w:pPr>
              <w:spacing w:line="240" w:lineRule="auto"/>
              <w:rPr>
                <w:rFonts w:ascii="Times New Roman" w:hAnsi="Times New Roman" w:cs="Times New Roman"/>
                <w:sz w:val="13"/>
                <w:szCs w:val="13"/>
              </w:rPr>
            </w:pPr>
            <w:r w:rsidRPr="004A4899">
              <w:rPr>
                <w:rFonts w:ascii="Times New Roman" w:hAnsi="Times New Roman" w:cs="Times New Roman"/>
                <w:sz w:val="13"/>
                <w:szCs w:val="13"/>
              </w:rPr>
              <w:t>bcde</w:t>
            </w:r>
          </w:p>
        </w:tc>
        <w:tc>
          <w:tcPr>
            <w:tcW w:w="377" w:type="dxa"/>
            <w:noWrap/>
            <w:vAlign w:val="center"/>
            <w:hideMark/>
          </w:tcPr>
          <w:p w14:paraId="3ED7D207" w14:textId="77777777" w:rsidR="00126D8D" w:rsidRPr="004A4899" w:rsidRDefault="00126D8D" w:rsidP="00820288">
            <w:pPr>
              <w:spacing w:line="240" w:lineRule="auto"/>
              <w:jc w:val="right"/>
              <w:rPr>
                <w:rFonts w:ascii="Times New Roman" w:hAnsi="Times New Roman" w:cs="Times New Roman"/>
                <w:sz w:val="13"/>
                <w:szCs w:val="13"/>
              </w:rPr>
            </w:pPr>
            <w:r w:rsidRPr="004A4899">
              <w:rPr>
                <w:rFonts w:ascii="Times New Roman" w:hAnsi="Times New Roman" w:cs="Times New Roman"/>
                <w:sz w:val="13"/>
                <w:szCs w:val="13"/>
              </w:rPr>
              <w:t>14.58</w:t>
            </w:r>
          </w:p>
        </w:tc>
        <w:tc>
          <w:tcPr>
            <w:tcW w:w="252" w:type="dxa"/>
            <w:noWrap/>
            <w:vAlign w:val="center"/>
            <w:hideMark/>
          </w:tcPr>
          <w:p w14:paraId="78A139F8" w14:textId="77777777" w:rsidR="00126D8D" w:rsidRPr="004A4899" w:rsidRDefault="00126D8D" w:rsidP="00820288">
            <w:pPr>
              <w:spacing w:line="240" w:lineRule="auto"/>
              <w:rPr>
                <w:rFonts w:ascii="Times New Roman" w:hAnsi="Times New Roman" w:cs="Times New Roman"/>
                <w:sz w:val="13"/>
                <w:szCs w:val="13"/>
              </w:rPr>
            </w:pPr>
            <w:r w:rsidRPr="004A4899">
              <w:rPr>
                <w:rFonts w:ascii="Times New Roman" w:hAnsi="Times New Roman" w:cs="Times New Roman"/>
                <w:sz w:val="13"/>
                <w:szCs w:val="13"/>
              </w:rPr>
              <w:t>de</w:t>
            </w:r>
          </w:p>
        </w:tc>
        <w:tc>
          <w:tcPr>
            <w:tcW w:w="377" w:type="dxa"/>
            <w:noWrap/>
            <w:vAlign w:val="center"/>
            <w:hideMark/>
          </w:tcPr>
          <w:p w14:paraId="5C39E0B8" w14:textId="77777777" w:rsidR="00126D8D" w:rsidRPr="004A4899" w:rsidRDefault="00126D8D" w:rsidP="00820288">
            <w:pPr>
              <w:spacing w:line="240" w:lineRule="auto"/>
              <w:jc w:val="right"/>
              <w:rPr>
                <w:rFonts w:ascii="Times New Roman" w:hAnsi="Times New Roman" w:cs="Times New Roman"/>
                <w:sz w:val="13"/>
                <w:szCs w:val="13"/>
              </w:rPr>
            </w:pPr>
            <w:r w:rsidRPr="004A4899">
              <w:rPr>
                <w:rFonts w:ascii="Times New Roman" w:hAnsi="Times New Roman" w:cs="Times New Roman"/>
                <w:sz w:val="13"/>
                <w:szCs w:val="13"/>
              </w:rPr>
              <w:t>14.18</w:t>
            </w:r>
          </w:p>
        </w:tc>
        <w:tc>
          <w:tcPr>
            <w:tcW w:w="273" w:type="dxa"/>
            <w:noWrap/>
            <w:vAlign w:val="center"/>
            <w:hideMark/>
          </w:tcPr>
          <w:p w14:paraId="336ED5FA" w14:textId="77777777" w:rsidR="00126D8D" w:rsidRPr="004A4899" w:rsidRDefault="00126D8D" w:rsidP="00820288">
            <w:pPr>
              <w:spacing w:line="240" w:lineRule="auto"/>
              <w:rPr>
                <w:rFonts w:ascii="Times New Roman" w:hAnsi="Times New Roman" w:cs="Times New Roman"/>
                <w:sz w:val="13"/>
                <w:szCs w:val="13"/>
              </w:rPr>
            </w:pPr>
            <w:r w:rsidRPr="004A4899">
              <w:rPr>
                <w:rFonts w:ascii="Times New Roman" w:hAnsi="Times New Roman" w:cs="Times New Roman"/>
                <w:sz w:val="13"/>
                <w:szCs w:val="13"/>
              </w:rPr>
              <w:t>de</w:t>
            </w:r>
          </w:p>
        </w:tc>
        <w:tc>
          <w:tcPr>
            <w:tcW w:w="377" w:type="dxa"/>
            <w:noWrap/>
            <w:vAlign w:val="center"/>
            <w:hideMark/>
          </w:tcPr>
          <w:p w14:paraId="3E139736" w14:textId="77777777" w:rsidR="00126D8D" w:rsidRPr="004A4899" w:rsidRDefault="00126D8D" w:rsidP="00820288">
            <w:pPr>
              <w:spacing w:line="240" w:lineRule="auto"/>
              <w:jc w:val="right"/>
              <w:rPr>
                <w:rFonts w:ascii="Times New Roman" w:hAnsi="Times New Roman" w:cs="Times New Roman"/>
                <w:sz w:val="13"/>
                <w:szCs w:val="13"/>
              </w:rPr>
            </w:pPr>
            <w:r w:rsidRPr="004A4899">
              <w:rPr>
                <w:rFonts w:ascii="Times New Roman" w:hAnsi="Times New Roman" w:cs="Times New Roman"/>
                <w:sz w:val="13"/>
                <w:szCs w:val="13"/>
              </w:rPr>
              <w:t>12.02</w:t>
            </w:r>
          </w:p>
        </w:tc>
        <w:tc>
          <w:tcPr>
            <w:tcW w:w="273" w:type="dxa"/>
            <w:noWrap/>
            <w:vAlign w:val="center"/>
            <w:hideMark/>
          </w:tcPr>
          <w:p w14:paraId="109CBFB9" w14:textId="77777777" w:rsidR="00126D8D" w:rsidRPr="004A4899" w:rsidRDefault="00126D8D" w:rsidP="00820288">
            <w:pPr>
              <w:spacing w:line="240" w:lineRule="auto"/>
              <w:rPr>
                <w:rFonts w:ascii="Times New Roman" w:hAnsi="Times New Roman" w:cs="Times New Roman"/>
                <w:sz w:val="13"/>
                <w:szCs w:val="13"/>
              </w:rPr>
            </w:pPr>
            <w:r w:rsidRPr="004A4899">
              <w:rPr>
                <w:rFonts w:ascii="Times New Roman" w:hAnsi="Times New Roman" w:cs="Times New Roman"/>
                <w:sz w:val="13"/>
                <w:szCs w:val="13"/>
              </w:rPr>
              <w:t>e</w:t>
            </w:r>
          </w:p>
        </w:tc>
      </w:tr>
      <w:tr w:rsidR="00126D8D" w:rsidRPr="004A4899" w14:paraId="1C6C4F5B" w14:textId="77777777" w:rsidTr="00820288">
        <w:trPr>
          <w:trHeight w:val="173"/>
        </w:trPr>
        <w:tc>
          <w:tcPr>
            <w:tcW w:w="1440" w:type="dxa"/>
            <w:noWrap/>
            <w:vAlign w:val="center"/>
            <w:hideMark/>
          </w:tcPr>
          <w:p w14:paraId="3D6C2453" w14:textId="77777777" w:rsidR="00126D8D" w:rsidRPr="004A4899" w:rsidRDefault="00126D8D" w:rsidP="00820288">
            <w:pPr>
              <w:spacing w:line="240" w:lineRule="auto"/>
              <w:rPr>
                <w:rFonts w:ascii="Times New Roman" w:hAnsi="Times New Roman" w:cs="Times New Roman"/>
                <w:sz w:val="12"/>
                <w:szCs w:val="12"/>
              </w:rPr>
            </w:pPr>
            <w:r w:rsidRPr="004A4899">
              <w:rPr>
                <w:rFonts w:ascii="Times New Roman" w:hAnsi="Times New Roman" w:cs="Times New Roman"/>
                <w:sz w:val="12"/>
                <w:szCs w:val="12"/>
              </w:rPr>
              <w:t>Hexanal</w:t>
            </w:r>
          </w:p>
        </w:tc>
        <w:tc>
          <w:tcPr>
            <w:tcW w:w="377" w:type="dxa"/>
            <w:noWrap/>
            <w:vAlign w:val="center"/>
            <w:hideMark/>
          </w:tcPr>
          <w:p w14:paraId="78BA5F69" w14:textId="77777777" w:rsidR="00126D8D" w:rsidRPr="004A4899" w:rsidRDefault="00126D8D" w:rsidP="00820288">
            <w:pPr>
              <w:spacing w:line="240" w:lineRule="auto"/>
              <w:jc w:val="right"/>
              <w:rPr>
                <w:rFonts w:ascii="Times New Roman" w:hAnsi="Times New Roman" w:cs="Times New Roman"/>
                <w:sz w:val="13"/>
                <w:szCs w:val="13"/>
              </w:rPr>
            </w:pPr>
            <w:r w:rsidRPr="004A4899">
              <w:rPr>
                <w:rFonts w:ascii="Times New Roman" w:hAnsi="Times New Roman" w:cs="Times New Roman"/>
                <w:sz w:val="13"/>
                <w:szCs w:val="13"/>
              </w:rPr>
              <w:t>131.48</w:t>
            </w:r>
          </w:p>
        </w:tc>
        <w:tc>
          <w:tcPr>
            <w:tcW w:w="274" w:type="dxa"/>
            <w:noWrap/>
            <w:vAlign w:val="center"/>
            <w:hideMark/>
          </w:tcPr>
          <w:p w14:paraId="20EB487E" w14:textId="77777777" w:rsidR="00126D8D" w:rsidRPr="004A4899" w:rsidRDefault="00126D8D" w:rsidP="00820288">
            <w:pPr>
              <w:spacing w:line="240" w:lineRule="auto"/>
              <w:rPr>
                <w:rFonts w:ascii="Times New Roman" w:hAnsi="Times New Roman" w:cs="Times New Roman"/>
                <w:sz w:val="13"/>
                <w:szCs w:val="13"/>
              </w:rPr>
            </w:pPr>
            <w:r w:rsidRPr="004A4899">
              <w:rPr>
                <w:rFonts w:ascii="Times New Roman" w:hAnsi="Times New Roman" w:cs="Times New Roman"/>
                <w:sz w:val="13"/>
                <w:szCs w:val="13"/>
              </w:rPr>
              <w:t>a</w:t>
            </w:r>
          </w:p>
        </w:tc>
        <w:tc>
          <w:tcPr>
            <w:tcW w:w="411" w:type="dxa"/>
            <w:noWrap/>
            <w:vAlign w:val="center"/>
            <w:hideMark/>
          </w:tcPr>
          <w:p w14:paraId="7D48BB4C" w14:textId="77777777" w:rsidR="00126D8D" w:rsidRPr="004A4899" w:rsidRDefault="00126D8D" w:rsidP="00820288">
            <w:pPr>
              <w:spacing w:line="240" w:lineRule="auto"/>
              <w:jc w:val="right"/>
              <w:rPr>
                <w:rFonts w:ascii="Times New Roman" w:hAnsi="Times New Roman" w:cs="Times New Roman"/>
                <w:sz w:val="13"/>
                <w:szCs w:val="13"/>
              </w:rPr>
            </w:pPr>
            <w:r w:rsidRPr="004A4899">
              <w:rPr>
                <w:rFonts w:ascii="Times New Roman" w:hAnsi="Times New Roman" w:cs="Times New Roman"/>
                <w:sz w:val="13"/>
                <w:szCs w:val="13"/>
              </w:rPr>
              <w:t>131.12</w:t>
            </w:r>
          </w:p>
        </w:tc>
        <w:tc>
          <w:tcPr>
            <w:tcW w:w="239" w:type="dxa"/>
            <w:noWrap/>
            <w:vAlign w:val="center"/>
            <w:hideMark/>
          </w:tcPr>
          <w:p w14:paraId="6A465548" w14:textId="77777777" w:rsidR="00126D8D" w:rsidRPr="004A4899" w:rsidRDefault="00126D8D" w:rsidP="00820288">
            <w:pPr>
              <w:spacing w:line="240" w:lineRule="auto"/>
              <w:rPr>
                <w:rFonts w:ascii="Times New Roman" w:hAnsi="Times New Roman" w:cs="Times New Roman"/>
                <w:sz w:val="13"/>
                <w:szCs w:val="13"/>
              </w:rPr>
            </w:pPr>
            <w:r w:rsidRPr="004A4899">
              <w:rPr>
                <w:rFonts w:ascii="Times New Roman" w:hAnsi="Times New Roman" w:cs="Times New Roman"/>
                <w:sz w:val="13"/>
                <w:szCs w:val="13"/>
              </w:rPr>
              <w:t>a</w:t>
            </w:r>
          </w:p>
        </w:tc>
        <w:tc>
          <w:tcPr>
            <w:tcW w:w="377" w:type="dxa"/>
            <w:noWrap/>
            <w:vAlign w:val="center"/>
            <w:hideMark/>
          </w:tcPr>
          <w:p w14:paraId="2742A2F8" w14:textId="77777777" w:rsidR="00126D8D" w:rsidRPr="004A4899" w:rsidRDefault="00126D8D" w:rsidP="00820288">
            <w:pPr>
              <w:spacing w:line="240" w:lineRule="auto"/>
              <w:jc w:val="right"/>
              <w:rPr>
                <w:rFonts w:ascii="Times New Roman" w:hAnsi="Times New Roman" w:cs="Times New Roman"/>
                <w:sz w:val="13"/>
                <w:szCs w:val="13"/>
              </w:rPr>
            </w:pPr>
            <w:r w:rsidRPr="004A4899">
              <w:rPr>
                <w:rFonts w:ascii="Times New Roman" w:hAnsi="Times New Roman" w:cs="Times New Roman"/>
                <w:sz w:val="13"/>
                <w:szCs w:val="13"/>
              </w:rPr>
              <w:t>130.58</w:t>
            </w:r>
          </w:p>
        </w:tc>
        <w:tc>
          <w:tcPr>
            <w:tcW w:w="273" w:type="dxa"/>
            <w:noWrap/>
            <w:vAlign w:val="center"/>
            <w:hideMark/>
          </w:tcPr>
          <w:p w14:paraId="4272C894" w14:textId="77777777" w:rsidR="00126D8D" w:rsidRPr="004A4899" w:rsidRDefault="00126D8D" w:rsidP="00820288">
            <w:pPr>
              <w:spacing w:line="240" w:lineRule="auto"/>
              <w:rPr>
                <w:rFonts w:ascii="Times New Roman" w:hAnsi="Times New Roman" w:cs="Times New Roman"/>
                <w:sz w:val="13"/>
                <w:szCs w:val="13"/>
              </w:rPr>
            </w:pPr>
            <w:r w:rsidRPr="004A4899">
              <w:rPr>
                <w:rFonts w:ascii="Times New Roman" w:hAnsi="Times New Roman" w:cs="Times New Roman"/>
                <w:sz w:val="13"/>
                <w:szCs w:val="13"/>
              </w:rPr>
              <w:t>a</w:t>
            </w:r>
          </w:p>
        </w:tc>
        <w:tc>
          <w:tcPr>
            <w:tcW w:w="377" w:type="dxa"/>
            <w:noWrap/>
            <w:vAlign w:val="center"/>
            <w:hideMark/>
          </w:tcPr>
          <w:p w14:paraId="4885B05B" w14:textId="77777777" w:rsidR="00126D8D" w:rsidRPr="004A4899" w:rsidRDefault="00126D8D" w:rsidP="00820288">
            <w:pPr>
              <w:spacing w:line="240" w:lineRule="auto"/>
              <w:jc w:val="right"/>
              <w:rPr>
                <w:rFonts w:ascii="Times New Roman" w:hAnsi="Times New Roman" w:cs="Times New Roman"/>
                <w:sz w:val="13"/>
                <w:szCs w:val="13"/>
              </w:rPr>
            </w:pPr>
            <w:r w:rsidRPr="004A4899">
              <w:rPr>
                <w:rFonts w:ascii="Times New Roman" w:hAnsi="Times New Roman" w:cs="Times New Roman"/>
                <w:sz w:val="13"/>
                <w:szCs w:val="13"/>
              </w:rPr>
              <w:t>130.03</w:t>
            </w:r>
          </w:p>
        </w:tc>
        <w:tc>
          <w:tcPr>
            <w:tcW w:w="273" w:type="dxa"/>
            <w:noWrap/>
            <w:vAlign w:val="center"/>
            <w:hideMark/>
          </w:tcPr>
          <w:p w14:paraId="4BCB5DB0" w14:textId="77777777" w:rsidR="00126D8D" w:rsidRPr="004A4899" w:rsidRDefault="00126D8D" w:rsidP="00820288">
            <w:pPr>
              <w:spacing w:line="240" w:lineRule="auto"/>
              <w:rPr>
                <w:rFonts w:ascii="Times New Roman" w:hAnsi="Times New Roman" w:cs="Times New Roman"/>
                <w:sz w:val="13"/>
                <w:szCs w:val="13"/>
              </w:rPr>
            </w:pPr>
            <w:r w:rsidRPr="004A4899">
              <w:rPr>
                <w:rFonts w:ascii="Times New Roman" w:hAnsi="Times New Roman" w:cs="Times New Roman"/>
                <w:sz w:val="13"/>
                <w:szCs w:val="13"/>
              </w:rPr>
              <w:t>a</w:t>
            </w:r>
          </w:p>
        </w:tc>
        <w:tc>
          <w:tcPr>
            <w:tcW w:w="377" w:type="dxa"/>
            <w:noWrap/>
            <w:vAlign w:val="center"/>
            <w:hideMark/>
          </w:tcPr>
          <w:p w14:paraId="53D5FF7B" w14:textId="77777777" w:rsidR="00126D8D" w:rsidRPr="004A4899" w:rsidRDefault="00126D8D" w:rsidP="00820288">
            <w:pPr>
              <w:spacing w:line="240" w:lineRule="auto"/>
              <w:jc w:val="right"/>
              <w:rPr>
                <w:rFonts w:ascii="Times New Roman" w:hAnsi="Times New Roman" w:cs="Times New Roman"/>
                <w:sz w:val="13"/>
                <w:szCs w:val="13"/>
              </w:rPr>
            </w:pPr>
            <w:r w:rsidRPr="004A4899">
              <w:rPr>
                <w:rFonts w:ascii="Times New Roman" w:hAnsi="Times New Roman" w:cs="Times New Roman"/>
                <w:sz w:val="13"/>
                <w:szCs w:val="13"/>
              </w:rPr>
              <w:t>131.23</w:t>
            </w:r>
          </w:p>
        </w:tc>
        <w:tc>
          <w:tcPr>
            <w:tcW w:w="326" w:type="dxa"/>
            <w:noWrap/>
            <w:vAlign w:val="center"/>
            <w:hideMark/>
          </w:tcPr>
          <w:p w14:paraId="53B6E3A7" w14:textId="77777777" w:rsidR="00126D8D" w:rsidRPr="004A4899" w:rsidRDefault="00126D8D" w:rsidP="00820288">
            <w:pPr>
              <w:spacing w:line="240" w:lineRule="auto"/>
              <w:rPr>
                <w:rFonts w:ascii="Times New Roman" w:hAnsi="Times New Roman" w:cs="Times New Roman"/>
                <w:sz w:val="13"/>
                <w:szCs w:val="13"/>
              </w:rPr>
            </w:pPr>
            <w:r w:rsidRPr="004A4899">
              <w:rPr>
                <w:rFonts w:ascii="Times New Roman" w:hAnsi="Times New Roman" w:cs="Times New Roman"/>
                <w:sz w:val="13"/>
                <w:szCs w:val="13"/>
              </w:rPr>
              <w:t>a</w:t>
            </w:r>
          </w:p>
        </w:tc>
        <w:tc>
          <w:tcPr>
            <w:tcW w:w="377" w:type="dxa"/>
            <w:noWrap/>
            <w:vAlign w:val="center"/>
            <w:hideMark/>
          </w:tcPr>
          <w:p w14:paraId="2A4872EF" w14:textId="77777777" w:rsidR="00126D8D" w:rsidRPr="004A4899" w:rsidRDefault="00126D8D" w:rsidP="00820288">
            <w:pPr>
              <w:spacing w:line="240" w:lineRule="auto"/>
              <w:jc w:val="right"/>
              <w:rPr>
                <w:rFonts w:ascii="Times New Roman" w:hAnsi="Times New Roman" w:cs="Times New Roman"/>
                <w:sz w:val="13"/>
                <w:szCs w:val="13"/>
              </w:rPr>
            </w:pPr>
            <w:r w:rsidRPr="004A4899">
              <w:rPr>
                <w:rFonts w:ascii="Times New Roman" w:hAnsi="Times New Roman" w:cs="Times New Roman"/>
                <w:sz w:val="13"/>
                <w:szCs w:val="13"/>
              </w:rPr>
              <w:t>132.24</w:t>
            </w:r>
          </w:p>
        </w:tc>
        <w:tc>
          <w:tcPr>
            <w:tcW w:w="326" w:type="dxa"/>
            <w:noWrap/>
            <w:vAlign w:val="center"/>
            <w:hideMark/>
          </w:tcPr>
          <w:p w14:paraId="386DF891" w14:textId="77777777" w:rsidR="00126D8D" w:rsidRPr="004A4899" w:rsidRDefault="00126D8D" w:rsidP="00820288">
            <w:pPr>
              <w:spacing w:line="240" w:lineRule="auto"/>
              <w:rPr>
                <w:rFonts w:ascii="Times New Roman" w:hAnsi="Times New Roman" w:cs="Times New Roman"/>
                <w:sz w:val="13"/>
                <w:szCs w:val="13"/>
              </w:rPr>
            </w:pPr>
            <w:r w:rsidRPr="004A4899">
              <w:rPr>
                <w:rFonts w:ascii="Times New Roman" w:hAnsi="Times New Roman" w:cs="Times New Roman"/>
                <w:sz w:val="13"/>
                <w:szCs w:val="13"/>
              </w:rPr>
              <w:t>a</w:t>
            </w:r>
          </w:p>
        </w:tc>
        <w:tc>
          <w:tcPr>
            <w:tcW w:w="377" w:type="dxa"/>
            <w:noWrap/>
            <w:vAlign w:val="center"/>
            <w:hideMark/>
          </w:tcPr>
          <w:p w14:paraId="6DE59FED" w14:textId="77777777" w:rsidR="00126D8D" w:rsidRPr="004A4899" w:rsidRDefault="00126D8D" w:rsidP="00820288">
            <w:pPr>
              <w:spacing w:line="240" w:lineRule="auto"/>
              <w:jc w:val="right"/>
              <w:rPr>
                <w:rFonts w:ascii="Times New Roman" w:hAnsi="Times New Roman" w:cs="Times New Roman"/>
                <w:sz w:val="13"/>
                <w:szCs w:val="13"/>
              </w:rPr>
            </w:pPr>
            <w:r w:rsidRPr="004A4899">
              <w:rPr>
                <w:rFonts w:ascii="Times New Roman" w:hAnsi="Times New Roman" w:cs="Times New Roman"/>
                <w:sz w:val="13"/>
                <w:szCs w:val="13"/>
              </w:rPr>
              <w:t>131.00</w:t>
            </w:r>
          </w:p>
        </w:tc>
        <w:tc>
          <w:tcPr>
            <w:tcW w:w="219" w:type="dxa"/>
            <w:noWrap/>
            <w:vAlign w:val="center"/>
            <w:hideMark/>
          </w:tcPr>
          <w:p w14:paraId="1D352B5B" w14:textId="77777777" w:rsidR="00126D8D" w:rsidRPr="004A4899" w:rsidRDefault="00126D8D" w:rsidP="00820288">
            <w:pPr>
              <w:spacing w:line="240" w:lineRule="auto"/>
              <w:rPr>
                <w:rFonts w:ascii="Times New Roman" w:hAnsi="Times New Roman" w:cs="Times New Roman"/>
                <w:sz w:val="13"/>
                <w:szCs w:val="13"/>
              </w:rPr>
            </w:pPr>
            <w:r w:rsidRPr="004A4899">
              <w:rPr>
                <w:rFonts w:ascii="Times New Roman" w:hAnsi="Times New Roman" w:cs="Times New Roman"/>
                <w:sz w:val="13"/>
                <w:szCs w:val="13"/>
              </w:rPr>
              <w:t>a</w:t>
            </w:r>
          </w:p>
        </w:tc>
        <w:tc>
          <w:tcPr>
            <w:tcW w:w="377" w:type="dxa"/>
            <w:noWrap/>
            <w:vAlign w:val="center"/>
            <w:hideMark/>
          </w:tcPr>
          <w:p w14:paraId="1BCCF709" w14:textId="77777777" w:rsidR="00126D8D" w:rsidRPr="004A4899" w:rsidRDefault="00126D8D" w:rsidP="00820288">
            <w:pPr>
              <w:spacing w:line="240" w:lineRule="auto"/>
              <w:jc w:val="right"/>
              <w:rPr>
                <w:rFonts w:ascii="Times New Roman" w:hAnsi="Times New Roman" w:cs="Times New Roman"/>
                <w:sz w:val="13"/>
                <w:szCs w:val="13"/>
              </w:rPr>
            </w:pPr>
            <w:r w:rsidRPr="004A4899">
              <w:rPr>
                <w:rFonts w:ascii="Times New Roman" w:hAnsi="Times New Roman" w:cs="Times New Roman"/>
                <w:sz w:val="13"/>
                <w:szCs w:val="13"/>
              </w:rPr>
              <w:t>129.98</w:t>
            </w:r>
          </w:p>
        </w:tc>
        <w:tc>
          <w:tcPr>
            <w:tcW w:w="159" w:type="dxa"/>
            <w:noWrap/>
            <w:vAlign w:val="center"/>
            <w:hideMark/>
          </w:tcPr>
          <w:p w14:paraId="212DD7DB" w14:textId="77777777" w:rsidR="00126D8D" w:rsidRPr="004A4899" w:rsidRDefault="00126D8D" w:rsidP="00820288">
            <w:pPr>
              <w:spacing w:line="240" w:lineRule="auto"/>
              <w:rPr>
                <w:rFonts w:ascii="Times New Roman" w:hAnsi="Times New Roman" w:cs="Times New Roman"/>
                <w:sz w:val="13"/>
                <w:szCs w:val="13"/>
              </w:rPr>
            </w:pPr>
            <w:r w:rsidRPr="004A4899">
              <w:rPr>
                <w:rFonts w:ascii="Times New Roman" w:hAnsi="Times New Roman" w:cs="Times New Roman"/>
                <w:sz w:val="13"/>
                <w:szCs w:val="13"/>
              </w:rPr>
              <w:t>a</w:t>
            </w:r>
          </w:p>
        </w:tc>
        <w:tc>
          <w:tcPr>
            <w:tcW w:w="377" w:type="dxa"/>
            <w:noWrap/>
            <w:vAlign w:val="center"/>
            <w:hideMark/>
          </w:tcPr>
          <w:p w14:paraId="76BEC040" w14:textId="77777777" w:rsidR="00126D8D" w:rsidRPr="004A4899" w:rsidRDefault="00126D8D" w:rsidP="00820288">
            <w:pPr>
              <w:spacing w:line="240" w:lineRule="auto"/>
              <w:jc w:val="right"/>
              <w:rPr>
                <w:rFonts w:ascii="Times New Roman" w:hAnsi="Times New Roman" w:cs="Times New Roman"/>
                <w:sz w:val="13"/>
                <w:szCs w:val="13"/>
              </w:rPr>
            </w:pPr>
            <w:r w:rsidRPr="004A4899">
              <w:rPr>
                <w:rFonts w:ascii="Times New Roman" w:hAnsi="Times New Roman" w:cs="Times New Roman"/>
                <w:sz w:val="13"/>
                <w:szCs w:val="13"/>
              </w:rPr>
              <w:t>130.56</w:t>
            </w:r>
          </w:p>
        </w:tc>
        <w:tc>
          <w:tcPr>
            <w:tcW w:w="326" w:type="dxa"/>
            <w:noWrap/>
            <w:vAlign w:val="center"/>
            <w:hideMark/>
          </w:tcPr>
          <w:p w14:paraId="0EE25356" w14:textId="77777777" w:rsidR="00126D8D" w:rsidRPr="004A4899" w:rsidRDefault="00126D8D" w:rsidP="00820288">
            <w:pPr>
              <w:spacing w:line="240" w:lineRule="auto"/>
              <w:rPr>
                <w:rFonts w:ascii="Times New Roman" w:hAnsi="Times New Roman" w:cs="Times New Roman"/>
                <w:sz w:val="13"/>
                <w:szCs w:val="13"/>
              </w:rPr>
            </w:pPr>
            <w:r w:rsidRPr="004A4899">
              <w:rPr>
                <w:rFonts w:ascii="Times New Roman" w:hAnsi="Times New Roman" w:cs="Times New Roman"/>
                <w:sz w:val="13"/>
                <w:szCs w:val="13"/>
              </w:rPr>
              <w:t>a</w:t>
            </w:r>
          </w:p>
        </w:tc>
        <w:tc>
          <w:tcPr>
            <w:tcW w:w="377" w:type="dxa"/>
            <w:noWrap/>
            <w:vAlign w:val="center"/>
            <w:hideMark/>
          </w:tcPr>
          <w:p w14:paraId="1BA3B5EE" w14:textId="77777777" w:rsidR="00126D8D" w:rsidRPr="004A4899" w:rsidRDefault="00126D8D" w:rsidP="00820288">
            <w:pPr>
              <w:spacing w:line="240" w:lineRule="auto"/>
              <w:jc w:val="right"/>
              <w:rPr>
                <w:rFonts w:ascii="Times New Roman" w:hAnsi="Times New Roman" w:cs="Times New Roman"/>
                <w:sz w:val="13"/>
                <w:szCs w:val="13"/>
              </w:rPr>
            </w:pPr>
            <w:r w:rsidRPr="004A4899">
              <w:rPr>
                <w:rFonts w:ascii="Times New Roman" w:hAnsi="Times New Roman" w:cs="Times New Roman"/>
                <w:sz w:val="13"/>
                <w:szCs w:val="13"/>
              </w:rPr>
              <w:t>131.11</w:t>
            </w:r>
          </w:p>
        </w:tc>
        <w:tc>
          <w:tcPr>
            <w:tcW w:w="252" w:type="dxa"/>
            <w:noWrap/>
            <w:vAlign w:val="center"/>
            <w:hideMark/>
          </w:tcPr>
          <w:p w14:paraId="72871AF6" w14:textId="77777777" w:rsidR="00126D8D" w:rsidRPr="004A4899" w:rsidRDefault="00126D8D" w:rsidP="00820288">
            <w:pPr>
              <w:spacing w:line="240" w:lineRule="auto"/>
              <w:rPr>
                <w:rFonts w:ascii="Times New Roman" w:hAnsi="Times New Roman" w:cs="Times New Roman"/>
                <w:sz w:val="13"/>
                <w:szCs w:val="13"/>
              </w:rPr>
            </w:pPr>
            <w:r w:rsidRPr="004A4899">
              <w:rPr>
                <w:rFonts w:ascii="Times New Roman" w:hAnsi="Times New Roman" w:cs="Times New Roman"/>
                <w:sz w:val="13"/>
                <w:szCs w:val="13"/>
              </w:rPr>
              <w:t>a</w:t>
            </w:r>
          </w:p>
        </w:tc>
        <w:tc>
          <w:tcPr>
            <w:tcW w:w="377" w:type="dxa"/>
            <w:noWrap/>
            <w:vAlign w:val="center"/>
            <w:hideMark/>
          </w:tcPr>
          <w:p w14:paraId="442255B7" w14:textId="77777777" w:rsidR="00126D8D" w:rsidRPr="004A4899" w:rsidRDefault="00126D8D" w:rsidP="00820288">
            <w:pPr>
              <w:spacing w:line="240" w:lineRule="auto"/>
              <w:jc w:val="right"/>
              <w:rPr>
                <w:rFonts w:ascii="Times New Roman" w:hAnsi="Times New Roman" w:cs="Times New Roman"/>
                <w:sz w:val="13"/>
                <w:szCs w:val="13"/>
              </w:rPr>
            </w:pPr>
            <w:r w:rsidRPr="004A4899">
              <w:rPr>
                <w:rFonts w:ascii="Times New Roman" w:hAnsi="Times New Roman" w:cs="Times New Roman"/>
                <w:sz w:val="13"/>
                <w:szCs w:val="13"/>
              </w:rPr>
              <w:t>128.63</w:t>
            </w:r>
          </w:p>
        </w:tc>
        <w:tc>
          <w:tcPr>
            <w:tcW w:w="273" w:type="dxa"/>
            <w:noWrap/>
            <w:vAlign w:val="center"/>
            <w:hideMark/>
          </w:tcPr>
          <w:p w14:paraId="743F1B2E" w14:textId="77777777" w:rsidR="00126D8D" w:rsidRPr="004A4899" w:rsidRDefault="00126D8D" w:rsidP="00820288">
            <w:pPr>
              <w:spacing w:line="240" w:lineRule="auto"/>
              <w:rPr>
                <w:rFonts w:ascii="Times New Roman" w:hAnsi="Times New Roman" w:cs="Times New Roman"/>
                <w:sz w:val="13"/>
                <w:szCs w:val="13"/>
              </w:rPr>
            </w:pPr>
            <w:r w:rsidRPr="004A4899">
              <w:rPr>
                <w:rFonts w:ascii="Times New Roman" w:hAnsi="Times New Roman" w:cs="Times New Roman"/>
                <w:sz w:val="13"/>
                <w:szCs w:val="13"/>
              </w:rPr>
              <w:t>a</w:t>
            </w:r>
          </w:p>
        </w:tc>
        <w:tc>
          <w:tcPr>
            <w:tcW w:w="377" w:type="dxa"/>
            <w:noWrap/>
            <w:vAlign w:val="center"/>
            <w:hideMark/>
          </w:tcPr>
          <w:p w14:paraId="34029B6A" w14:textId="77777777" w:rsidR="00126D8D" w:rsidRPr="004A4899" w:rsidRDefault="00126D8D" w:rsidP="00820288">
            <w:pPr>
              <w:spacing w:line="240" w:lineRule="auto"/>
              <w:jc w:val="right"/>
              <w:rPr>
                <w:rFonts w:ascii="Times New Roman" w:hAnsi="Times New Roman" w:cs="Times New Roman"/>
                <w:sz w:val="13"/>
                <w:szCs w:val="13"/>
              </w:rPr>
            </w:pPr>
            <w:r w:rsidRPr="004A4899">
              <w:rPr>
                <w:rFonts w:ascii="Times New Roman" w:hAnsi="Times New Roman" w:cs="Times New Roman"/>
                <w:sz w:val="13"/>
                <w:szCs w:val="13"/>
              </w:rPr>
              <w:t>130.84</w:t>
            </w:r>
          </w:p>
        </w:tc>
        <w:tc>
          <w:tcPr>
            <w:tcW w:w="273" w:type="dxa"/>
            <w:noWrap/>
            <w:vAlign w:val="center"/>
            <w:hideMark/>
          </w:tcPr>
          <w:p w14:paraId="6310F3F8" w14:textId="77777777" w:rsidR="00126D8D" w:rsidRPr="004A4899" w:rsidRDefault="00126D8D" w:rsidP="00820288">
            <w:pPr>
              <w:spacing w:line="240" w:lineRule="auto"/>
              <w:rPr>
                <w:rFonts w:ascii="Times New Roman" w:hAnsi="Times New Roman" w:cs="Times New Roman"/>
                <w:sz w:val="13"/>
                <w:szCs w:val="13"/>
              </w:rPr>
            </w:pPr>
            <w:r w:rsidRPr="004A4899">
              <w:rPr>
                <w:rFonts w:ascii="Times New Roman" w:hAnsi="Times New Roman" w:cs="Times New Roman"/>
                <w:sz w:val="13"/>
                <w:szCs w:val="13"/>
              </w:rPr>
              <w:t>a</w:t>
            </w:r>
          </w:p>
        </w:tc>
      </w:tr>
      <w:tr w:rsidR="00126D8D" w:rsidRPr="004A4899" w14:paraId="1EB9C97C" w14:textId="77777777" w:rsidTr="00820288">
        <w:trPr>
          <w:trHeight w:val="173"/>
        </w:trPr>
        <w:tc>
          <w:tcPr>
            <w:tcW w:w="1440" w:type="dxa"/>
            <w:noWrap/>
            <w:vAlign w:val="center"/>
            <w:hideMark/>
          </w:tcPr>
          <w:p w14:paraId="022D1CDF" w14:textId="77777777" w:rsidR="00126D8D" w:rsidRPr="004A4899" w:rsidRDefault="00126D8D" w:rsidP="00820288">
            <w:pPr>
              <w:spacing w:line="240" w:lineRule="auto"/>
              <w:rPr>
                <w:rFonts w:ascii="Times New Roman" w:hAnsi="Times New Roman" w:cs="Times New Roman"/>
                <w:b/>
                <w:bCs/>
                <w:sz w:val="12"/>
                <w:szCs w:val="12"/>
              </w:rPr>
            </w:pPr>
            <w:r w:rsidRPr="004A4899">
              <w:rPr>
                <w:rFonts w:ascii="Times New Roman" w:hAnsi="Times New Roman" w:cs="Times New Roman"/>
                <w:b/>
                <w:bCs/>
                <w:sz w:val="12"/>
                <w:szCs w:val="12"/>
              </w:rPr>
              <w:t>Benzyl Aldehydes</w:t>
            </w:r>
          </w:p>
        </w:tc>
        <w:tc>
          <w:tcPr>
            <w:tcW w:w="377" w:type="dxa"/>
            <w:noWrap/>
            <w:vAlign w:val="center"/>
            <w:hideMark/>
          </w:tcPr>
          <w:p w14:paraId="17B93D14" w14:textId="77777777" w:rsidR="00126D8D" w:rsidRPr="004A4899" w:rsidRDefault="00126D8D" w:rsidP="00820288">
            <w:pPr>
              <w:spacing w:line="240" w:lineRule="auto"/>
              <w:jc w:val="right"/>
              <w:rPr>
                <w:rFonts w:ascii="Times New Roman" w:hAnsi="Times New Roman" w:cs="Times New Roman"/>
                <w:sz w:val="13"/>
                <w:szCs w:val="13"/>
              </w:rPr>
            </w:pPr>
          </w:p>
        </w:tc>
        <w:tc>
          <w:tcPr>
            <w:tcW w:w="274" w:type="dxa"/>
            <w:noWrap/>
            <w:vAlign w:val="center"/>
            <w:hideMark/>
          </w:tcPr>
          <w:p w14:paraId="3868E63C" w14:textId="77777777" w:rsidR="00126D8D" w:rsidRPr="004A4899" w:rsidRDefault="00126D8D" w:rsidP="00820288">
            <w:pPr>
              <w:spacing w:line="240" w:lineRule="auto"/>
              <w:rPr>
                <w:rFonts w:ascii="Times New Roman" w:hAnsi="Times New Roman" w:cs="Times New Roman"/>
                <w:sz w:val="13"/>
                <w:szCs w:val="13"/>
              </w:rPr>
            </w:pPr>
          </w:p>
        </w:tc>
        <w:tc>
          <w:tcPr>
            <w:tcW w:w="411" w:type="dxa"/>
            <w:noWrap/>
            <w:vAlign w:val="center"/>
            <w:hideMark/>
          </w:tcPr>
          <w:p w14:paraId="2B555E98" w14:textId="77777777" w:rsidR="00126D8D" w:rsidRPr="004A4899" w:rsidRDefault="00126D8D" w:rsidP="00820288">
            <w:pPr>
              <w:spacing w:line="240" w:lineRule="auto"/>
              <w:jc w:val="right"/>
              <w:rPr>
                <w:rFonts w:ascii="Times New Roman" w:hAnsi="Times New Roman" w:cs="Times New Roman"/>
                <w:sz w:val="13"/>
                <w:szCs w:val="13"/>
              </w:rPr>
            </w:pPr>
          </w:p>
        </w:tc>
        <w:tc>
          <w:tcPr>
            <w:tcW w:w="239" w:type="dxa"/>
            <w:noWrap/>
            <w:vAlign w:val="center"/>
            <w:hideMark/>
          </w:tcPr>
          <w:p w14:paraId="051ABC0C" w14:textId="77777777" w:rsidR="00126D8D" w:rsidRPr="004A4899" w:rsidRDefault="00126D8D" w:rsidP="00820288">
            <w:pPr>
              <w:spacing w:line="240" w:lineRule="auto"/>
              <w:rPr>
                <w:rFonts w:ascii="Times New Roman" w:hAnsi="Times New Roman" w:cs="Times New Roman"/>
                <w:sz w:val="13"/>
                <w:szCs w:val="13"/>
              </w:rPr>
            </w:pPr>
          </w:p>
        </w:tc>
        <w:tc>
          <w:tcPr>
            <w:tcW w:w="377" w:type="dxa"/>
            <w:noWrap/>
            <w:vAlign w:val="center"/>
            <w:hideMark/>
          </w:tcPr>
          <w:p w14:paraId="6DACCF21" w14:textId="77777777" w:rsidR="00126D8D" w:rsidRPr="004A4899" w:rsidRDefault="00126D8D" w:rsidP="00820288">
            <w:pPr>
              <w:spacing w:line="240" w:lineRule="auto"/>
              <w:jc w:val="right"/>
              <w:rPr>
                <w:rFonts w:ascii="Times New Roman" w:hAnsi="Times New Roman" w:cs="Times New Roman"/>
                <w:sz w:val="13"/>
                <w:szCs w:val="13"/>
              </w:rPr>
            </w:pPr>
          </w:p>
        </w:tc>
        <w:tc>
          <w:tcPr>
            <w:tcW w:w="273" w:type="dxa"/>
            <w:noWrap/>
            <w:vAlign w:val="center"/>
            <w:hideMark/>
          </w:tcPr>
          <w:p w14:paraId="19931CBA" w14:textId="77777777" w:rsidR="00126D8D" w:rsidRPr="004A4899" w:rsidRDefault="00126D8D" w:rsidP="00820288">
            <w:pPr>
              <w:spacing w:line="240" w:lineRule="auto"/>
              <w:rPr>
                <w:rFonts w:ascii="Times New Roman" w:hAnsi="Times New Roman" w:cs="Times New Roman"/>
                <w:sz w:val="13"/>
                <w:szCs w:val="13"/>
              </w:rPr>
            </w:pPr>
          </w:p>
        </w:tc>
        <w:tc>
          <w:tcPr>
            <w:tcW w:w="377" w:type="dxa"/>
            <w:noWrap/>
            <w:vAlign w:val="center"/>
            <w:hideMark/>
          </w:tcPr>
          <w:p w14:paraId="3BC1C93D" w14:textId="77777777" w:rsidR="00126D8D" w:rsidRPr="004A4899" w:rsidRDefault="00126D8D" w:rsidP="00820288">
            <w:pPr>
              <w:spacing w:line="240" w:lineRule="auto"/>
              <w:jc w:val="right"/>
              <w:rPr>
                <w:rFonts w:ascii="Times New Roman" w:hAnsi="Times New Roman" w:cs="Times New Roman"/>
                <w:sz w:val="13"/>
                <w:szCs w:val="13"/>
              </w:rPr>
            </w:pPr>
          </w:p>
        </w:tc>
        <w:tc>
          <w:tcPr>
            <w:tcW w:w="273" w:type="dxa"/>
            <w:noWrap/>
            <w:vAlign w:val="center"/>
            <w:hideMark/>
          </w:tcPr>
          <w:p w14:paraId="1451EF72" w14:textId="77777777" w:rsidR="00126D8D" w:rsidRPr="004A4899" w:rsidRDefault="00126D8D" w:rsidP="00820288">
            <w:pPr>
              <w:spacing w:line="240" w:lineRule="auto"/>
              <w:rPr>
                <w:rFonts w:ascii="Times New Roman" w:hAnsi="Times New Roman" w:cs="Times New Roman"/>
                <w:sz w:val="13"/>
                <w:szCs w:val="13"/>
              </w:rPr>
            </w:pPr>
          </w:p>
        </w:tc>
        <w:tc>
          <w:tcPr>
            <w:tcW w:w="377" w:type="dxa"/>
            <w:noWrap/>
            <w:vAlign w:val="center"/>
            <w:hideMark/>
          </w:tcPr>
          <w:p w14:paraId="265BAA6E" w14:textId="77777777" w:rsidR="00126D8D" w:rsidRPr="004A4899" w:rsidRDefault="00126D8D" w:rsidP="00820288">
            <w:pPr>
              <w:spacing w:line="240" w:lineRule="auto"/>
              <w:jc w:val="right"/>
              <w:rPr>
                <w:rFonts w:ascii="Times New Roman" w:hAnsi="Times New Roman" w:cs="Times New Roman"/>
                <w:sz w:val="13"/>
                <w:szCs w:val="13"/>
              </w:rPr>
            </w:pPr>
          </w:p>
        </w:tc>
        <w:tc>
          <w:tcPr>
            <w:tcW w:w="326" w:type="dxa"/>
            <w:noWrap/>
            <w:vAlign w:val="center"/>
            <w:hideMark/>
          </w:tcPr>
          <w:p w14:paraId="25A5F26A" w14:textId="77777777" w:rsidR="00126D8D" w:rsidRPr="004A4899" w:rsidRDefault="00126D8D" w:rsidP="00820288">
            <w:pPr>
              <w:spacing w:line="240" w:lineRule="auto"/>
              <w:rPr>
                <w:rFonts w:ascii="Times New Roman" w:hAnsi="Times New Roman" w:cs="Times New Roman"/>
                <w:sz w:val="13"/>
                <w:szCs w:val="13"/>
              </w:rPr>
            </w:pPr>
          </w:p>
        </w:tc>
        <w:tc>
          <w:tcPr>
            <w:tcW w:w="377" w:type="dxa"/>
            <w:noWrap/>
            <w:vAlign w:val="center"/>
            <w:hideMark/>
          </w:tcPr>
          <w:p w14:paraId="6A5185AD" w14:textId="77777777" w:rsidR="00126D8D" w:rsidRPr="004A4899" w:rsidRDefault="00126D8D" w:rsidP="00820288">
            <w:pPr>
              <w:spacing w:line="240" w:lineRule="auto"/>
              <w:jc w:val="right"/>
              <w:rPr>
                <w:rFonts w:ascii="Times New Roman" w:hAnsi="Times New Roman" w:cs="Times New Roman"/>
                <w:sz w:val="13"/>
                <w:szCs w:val="13"/>
              </w:rPr>
            </w:pPr>
          </w:p>
        </w:tc>
        <w:tc>
          <w:tcPr>
            <w:tcW w:w="326" w:type="dxa"/>
            <w:noWrap/>
            <w:vAlign w:val="center"/>
            <w:hideMark/>
          </w:tcPr>
          <w:p w14:paraId="54822E64" w14:textId="77777777" w:rsidR="00126D8D" w:rsidRPr="004A4899" w:rsidRDefault="00126D8D" w:rsidP="00820288">
            <w:pPr>
              <w:spacing w:line="240" w:lineRule="auto"/>
              <w:rPr>
                <w:rFonts w:ascii="Times New Roman" w:hAnsi="Times New Roman" w:cs="Times New Roman"/>
                <w:sz w:val="13"/>
                <w:szCs w:val="13"/>
              </w:rPr>
            </w:pPr>
          </w:p>
        </w:tc>
        <w:tc>
          <w:tcPr>
            <w:tcW w:w="377" w:type="dxa"/>
            <w:noWrap/>
            <w:vAlign w:val="center"/>
            <w:hideMark/>
          </w:tcPr>
          <w:p w14:paraId="213A856D" w14:textId="77777777" w:rsidR="00126D8D" w:rsidRPr="004A4899" w:rsidRDefault="00126D8D" w:rsidP="00820288">
            <w:pPr>
              <w:spacing w:line="240" w:lineRule="auto"/>
              <w:jc w:val="right"/>
              <w:rPr>
                <w:rFonts w:ascii="Times New Roman" w:hAnsi="Times New Roman" w:cs="Times New Roman"/>
                <w:sz w:val="13"/>
                <w:szCs w:val="13"/>
              </w:rPr>
            </w:pPr>
          </w:p>
        </w:tc>
        <w:tc>
          <w:tcPr>
            <w:tcW w:w="219" w:type="dxa"/>
            <w:noWrap/>
            <w:vAlign w:val="center"/>
            <w:hideMark/>
          </w:tcPr>
          <w:p w14:paraId="5D1D6AEE" w14:textId="77777777" w:rsidR="00126D8D" w:rsidRPr="004A4899" w:rsidRDefault="00126D8D" w:rsidP="00820288">
            <w:pPr>
              <w:spacing w:line="240" w:lineRule="auto"/>
              <w:rPr>
                <w:rFonts w:ascii="Times New Roman" w:hAnsi="Times New Roman" w:cs="Times New Roman"/>
                <w:sz w:val="13"/>
                <w:szCs w:val="13"/>
              </w:rPr>
            </w:pPr>
          </w:p>
        </w:tc>
        <w:tc>
          <w:tcPr>
            <w:tcW w:w="377" w:type="dxa"/>
            <w:noWrap/>
            <w:vAlign w:val="center"/>
            <w:hideMark/>
          </w:tcPr>
          <w:p w14:paraId="4C9C1F7A" w14:textId="77777777" w:rsidR="00126D8D" w:rsidRPr="004A4899" w:rsidRDefault="00126D8D" w:rsidP="00820288">
            <w:pPr>
              <w:spacing w:line="240" w:lineRule="auto"/>
              <w:jc w:val="right"/>
              <w:rPr>
                <w:rFonts w:ascii="Times New Roman" w:hAnsi="Times New Roman" w:cs="Times New Roman"/>
                <w:sz w:val="13"/>
                <w:szCs w:val="13"/>
              </w:rPr>
            </w:pPr>
          </w:p>
        </w:tc>
        <w:tc>
          <w:tcPr>
            <w:tcW w:w="159" w:type="dxa"/>
            <w:noWrap/>
            <w:vAlign w:val="center"/>
            <w:hideMark/>
          </w:tcPr>
          <w:p w14:paraId="1C705E32" w14:textId="77777777" w:rsidR="00126D8D" w:rsidRPr="004A4899" w:rsidRDefault="00126D8D" w:rsidP="00820288">
            <w:pPr>
              <w:spacing w:line="240" w:lineRule="auto"/>
              <w:rPr>
                <w:rFonts w:ascii="Times New Roman" w:hAnsi="Times New Roman" w:cs="Times New Roman"/>
                <w:sz w:val="13"/>
                <w:szCs w:val="13"/>
              </w:rPr>
            </w:pPr>
          </w:p>
        </w:tc>
        <w:tc>
          <w:tcPr>
            <w:tcW w:w="377" w:type="dxa"/>
            <w:noWrap/>
            <w:vAlign w:val="center"/>
            <w:hideMark/>
          </w:tcPr>
          <w:p w14:paraId="1DDA5399" w14:textId="77777777" w:rsidR="00126D8D" w:rsidRPr="004A4899" w:rsidRDefault="00126D8D" w:rsidP="00820288">
            <w:pPr>
              <w:spacing w:line="240" w:lineRule="auto"/>
              <w:jc w:val="right"/>
              <w:rPr>
                <w:rFonts w:ascii="Times New Roman" w:hAnsi="Times New Roman" w:cs="Times New Roman"/>
                <w:sz w:val="13"/>
                <w:szCs w:val="13"/>
              </w:rPr>
            </w:pPr>
          </w:p>
        </w:tc>
        <w:tc>
          <w:tcPr>
            <w:tcW w:w="326" w:type="dxa"/>
            <w:noWrap/>
            <w:vAlign w:val="center"/>
            <w:hideMark/>
          </w:tcPr>
          <w:p w14:paraId="5BC5C73B" w14:textId="77777777" w:rsidR="00126D8D" w:rsidRPr="004A4899" w:rsidRDefault="00126D8D" w:rsidP="00820288">
            <w:pPr>
              <w:spacing w:line="240" w:lineRule="auto"/>
              <w:rPr>
                <w:rFonts w:ascii="Times New Roman" w:hAnsi="Times New Roman" w:cs="Times New Roman"/>
                <w:sz w:val="13"/>
                <w:szCs w:val="13"/>
              </w:rPr>
            </w:pPr>
          </w:p>
        </w:tc>
        <w:tc>
          <w:tcPr>
            <w:tcW w:w="377" w:type="dxa"/>
            <w:noWrap/>
            <w:vAlign w:val="center"/>
            <w:hideMark/>
          </w:tcPr>
          <w:p w14:paraId="4D791A8B" w14:textId="77777777" w:rsidR="00126D8D" w:rsidRPr="004A4899" w:rsidRDefault="00126D8D" w:rsidP="00820288">
            <w:pPr>
              <w:spacing w:line="240" w:lineRule="auto"/>
              <w:jc w:val="right"/>
              <w:rPr>
                <w:rFonts w:ascii="Times New Roman" w:hAnsi="Times New Roman" w:cs="Times New Roman"/>
                <w:sz w:val="13"/>
                <w:szCs w:val="13"/>
              </w:rPr>
            </w:pPr>
          </w:p>
        </w:tc>
        <w:tc>
          <w:tcPr>
            <w:tcW w:w="252" w:type="dxa"/>
            <w:noWrap/>
            <w:vAlign w:val="center"/>
            <w:hideMark/>
          </w:tcPr>
          <w:p w14:paraId="39FC26DB" w14:textId="77777777" w:rsidR="00126D8D" w:rsidRPr="004A4899" w:rsidRDefault="00126D8D" w:rsidP="00820288">
            <w:pPr>
              <w:spacing w:line="240" w:lineRule="auto"/>
              <w:rPr>
                <w:rFonts w:ascii="Times New Roman" w:hAnsi="Times New Roman" w:cs="Times New Roman"/>
                <w:sz w:val="13"/>
                <w:szCs w:val="13"/>
              </w:rPr>
            </w:pPr>
          </w:p>
        </w:tc>
        <w:tc>
          <w:tcPr>
            <w:tcW w:w="377" w:type="dxa"/>
            <w:noWrap/>
            <w:vAlign w:val="center"/>
            <w:hideMark/>
          </w:tcPr>
          <w:p w14:paraId="196B69AA" w14:textId="77777777" w:rsidR="00126D8D" w:rsidRPr="004A4899" w:rsidRDefault="00126D8D" w:rsidP="00820288">
            <w:pPr>
              <w:spacing w:line="240" w:lineRule="auto"/>
              <w:jc w:val="right"/>
              <w:rPr>
                <w:rFonts w:ascii="Times New Roman" w:hAnsi="Times New Roman" w:cs="Times New Roman"/>
                <w:sz w:val="13"/>
                <w:szCs w:val="13"/>
              </w:rPr>
            </w:pPr>
          </w:p>
        </w:tc>
        <w:tc>
          <w:tcPr>
            <w:tcW w:w="273" w:type="dxa"/>
            <w:noWrap/>
            <w:vAlign w:val="center"/>
            <w:hideMark/>
          </w:tcPr>
          <w:p w14:paraId="48C16AE2" w14:textId="77777777" w:rsidR="00126D8D" w:rsidRPr="004A4899" w:rsidRDefault="00126D8D" w:rsidP="00820288">
            <w:pPr>
              <w:spacing w:line="240" w:lineRule="auto"/>
              <w:rPr>
                <w:rFonts w:ascii="Times New Roman" w:hAnsi="Times New Roman" w:cs="Times New Roman"/>
                <w:sz w:val="13"/>
                <w:szCs w:val="13"/>
              </w:rPr>
            </w:pPr>
          </w:p>
        </w:tc>
        <w:tc>
          <w:tcPr>
            <w:tcW w:w="377" w:type="dxa"/>
            <w:noWrap/>
            <w:vAlign w:val="center"/>
            <w:hideMark/>
          </w:tcPr>
          <w:p w14:paraId="3F2E4EEC" w14:textId="77777777" w:rsidR="00126D8D" w:rsidRPr="004A4899" w:rsidRDefault="00126D8D" w:rsidP="00820288">
            <w:pPr>
              <w:spacing w:line="240" w:lineRule="auto"/>
              <w:jc w:val="right"/>
              <w:rPr>
                <w:rFonts w:ascii="Times New Roman" w:hAnsi="Times New Roman" w:cs="Times New Roman"/>
                <w:sz w:val="13"/>
                <w:szCs w:val="13"/>
              </w:rPr>
            </w:pPr>
          </w:p>
        </w:tc>
        <w:tc>
          <w:tcPr>
            <w:tcW w:w="273" w:type="dxa"/>
            <w:noWrap/>
            <w:vAlign w:val="center"/>
            <w:hideMark/>
          </w:tcPr>
          <w:p w14:paraId="6E968002" w14:textId="77777777" w:rsidR="00126D8D" w:rsidRPr="004A4899" w:rsidRDefault="00126D8D" w:rsidP="00820288">
            <w:pPr>
              <w:spacing w:line="240" w:lineRule="auto"/>
              <w:rPr>
                <w:rFonts w:ascii="Times New Roman" w:hAnsi="Times New Roman" w:cs="Times New Roman"/>
                <w:sz w:val="13"/>
                <w:szCs w:val="13"/>
              </w:rPr>
            </w:pPr>
          </w:p>
        </w:tc>
      </w:tr>
      <w:tr w:rsidR="00126D8D" w:rsidRPr="004A4899" w14:paraId="45CA54ED" w14:textId="77777777" w:rsidTr="00820288">
        <w:trPr>
          <w:trHeight w:val="173"/>
        </w:trPr>
        <w:tc>
          <w:tcPr>
            <w:tcW w:w="1440" w:type="dxa"/>
            <w:noWrap/>
            <w:vAlign w:val="center"/>
            <w:hideMark/>
          </w:tcPr>
          <w:p w14:paraId="58735E28" w14:textId="77777777" w:rsidR="00126D8D" w:rsidRPr="004A4899" w:rsidRDefault="00126D8D" w:rsidP="00820288">
            <w:pPr>
              <w:spacing w:line="240" w:lineRule="auto"/>
              <w:rPr>
                <w:rFonts w:ascii="Times New Roman" w:hAnsi="Times New Roman" w:cs="Times New Roman"/>
                <w:sz w:val="12"/>
                <w:szCs w:val="12"/>
              </w:rPr>
            </w:pPr>
            <w:r w:rsidRPr="004A4899">
              <w:rPr>
                <w:rFonts w:ascii="Times New Roman" w:hAnsi="Times New Roman" w:cs="Times New Roman"/>
                <w:sz w:val="12"/>
                <w:szCs w:val="12"/>
              </w:rPr>
              <w:t>3-Ethylbenzaldehyde</w:t>
            </w:r>
          </w:p>
        </w:tc>
        <w:tc>
          <w:tcPr>
            <w:tcW w:w="377" w:type="dxa"/>
            <w:noWrap/>
            <w:vAlign w:val="center"/>
            <w:hideMark/>
          </w:tcPr>
          <w:p w14:paraId="5CF002A4" w14:textId="77777777" w:rsidR="00126D8D" w:rsidRPr="004A4899" w:rsidRDefault="00126D8D" w:rsidP="00820288">
            <w:pPr>
              <w:spacing w:line="240" w:lineRule="auto"/>
              <w:jc w:val="right"/>
              <w:rPr>
                <w:rFonts w:ascii="Times New Roman" w:hAnsi="Times New Roman" w:cs="Times New Roman"/>
                <w:sz w:val="13"/>
                <w:szCs w:val="13"/>
              </w:rPr>
            </w:pPr>
            <w:r w:rsidRPr="004A4899">
              <w:rPr>
                <w:rFonts w:ascii="Times New Roman" w:hAnsi="Times New Roman" w:cs="Times New Roman"/>
                <w:sz w:val="13"/>
                <w:szCs w:val="13"/>
              </w:rPr>
              <w:t>8.94</w:t>
            </w:r>
          </w:p>
        </w:tc>
        <w:tc>
          <w:tcPr>
            <w:tcW w:w="274" w:type="dxa"/>
            <w:noWrap/>
            <w:vAlign w:val="center"/>
            <w:hideMark/>
          </w:tcPr>
          <w:p w14:paraId="7EA22CCF" w14:textId="77777777" w:rsidR="00126D8D" w:rsidRPr="004A4899" w:rsidRDefault="00126D8D" w:rsidP="00820288">
            <w:pPr>
              <w:spacing w:line="240" w:lineRule="auto"/>
              <w:rPr>
                <w:rFonts w:ascii="Times New Roman" w:hAnsi="Times New Roman" w:cs="Times New Roman"/>
                <w:sz w:val="13"/>
                <w:szCs w:val="13"/>
              </w:rPr>
            </w:pPr>
            <w:r w:rsidRPr="004A4899">
              <w:rPr>
                <w:rFonts w:ascii="Times New Roman" w:hAnsi="Times New Roman" w:cs="Times New Roman"/>
                <w:sz w:val="13"/>
                <w:szCs w:val="13"/>
              </w:rPr>
              <w:t>bcd</w:t>
            </w:r>
          </w:p>
        </w:tc>
        <w:tc>
          <w:tcPr>
            <w:tcW w:w="411" w:type="dxa"/>
            <w:noWrap/>
            <w:vAlign w:val="center"/>
            <w:hideMark/>
          </w:tcPr>
          <w:p w14:paraId="2E9DFC3C" w14:textId="77777777" w:rsidR="00126D8D" w:rsidRPr="004A4899" w:rsidRDefault="00126D8D" w:rsidP="00820288">
            <w:pPr>
              <w:spacing w:line="240" w:lineRule="auto"/>
              <w:jc w:val="right"/>
              <w:rPr>
                <w:rFonts w:ascii="Times New Roman" w:hAnsi="Times New Roman" w:cs="Times New Roman"/>
                <w:sz w:val="13"/>
                <w:szCs w:val="13"/>
              </w:rPr>
            </w:pPr>
            <w:r w:rsidRPr="004A4899">
              <w:rPr>
                <w:rFonts w:ascii="Times New Roman" w:hAnsi="Times New Roman" w:cs="Times New Roman"/>
                <w:sz w:val="13"/>
                <w:szCs w:val="13"/>
              </w:rPr>
              <w:t>5.35</w:t>
            </w:r>
          </w:p>
        </w:tc>
        <w:tc>
          <w:tcPr>
            <w:tcW w:w="239" w:type="dxa"/>
            <w:noWrap/>
            <w:vAlign w:val="center"/>
            <w:hideMark/>
          </w:tcPr>
          <w:p w14:paraId="7DE24729" w14:textId="77777777" w:rsidR="00126D8D" w:rsidRPr="004A4899" w:rsidRDefault="00126D8D" w:rsidP="00820288">
            <w:pPr>
              <w:spacing w:line="240" w:lineRule="auto"/>
              <w:rPr>
                <w:rFonts w:ascii="Times New Roman" w:hAnsi="Times New Roman" w:cs="Times New Roman"/>
                <w:sz w:val="13"/>
                <w:szCs w:val="13"/>
              </w:rPr>
            </w:pPr>
            <w:r w:rsidRPr="004A4899">
              <w:rPr>
                <w:rFonts w:ascii="Times New Roman" w:hAnsi="Times New Roman" w:cs="Times New Roman"/>
                <w:sz w:val="13"/>
                <w:szCs w:val="13"/>
              </w:rPr>
              <w:t>d</w:t>
            </w:r>
          </w:p>
        </w:tc>
        <w:tc>
          <w:tcPr>
            <w:tcW w:w="377" w:type="dxa"/>
            <w:noWrap/>
            <w:vAlign w:val="center"/>
            <w:hideMark/>
          </w:tcPr>
          <w:p w14:paraId="6CD0E707" w14:textId="77777777" w:rsidR="00126D8D" w:rsidRPr="004A4899" w:rsidRDefault="00126D8D" w:rsidP="00820288">
            <w:pPr>
              <w:spacing w:line="240" w:lineRule="auto"/>
              <w:jc w:val="right"/>
              <w:rPr>
                <w:rFonts w:ascii="Times New Roman" w:hAnsi="Times New Roman" w:cs="Times New Roman"/>
                <w:sz w:val="13"/>
                <w:szCs w:val="13"/>
              </w:rPr>
            </w:pPr>
            <w:r w:rsidRPr="004A4899">
              <w:rPr>
                <w:rFonts w:ascii="Times New Roman" w:hAnsi="Times New Roman" w:cs="Times New Roman"/>
                <w:sz w:val="13"/>
                <w:szCs w:val="13"/>
              </w:rPr>
              <w:t>7.71</w:t>
            </w:r>
          </w:p>
        </w:tc>
        <w:tc>
          <w:tcPr>
            <w:tcW w:w="273" w:type="dxa"/>
            <w:noWrap/>
            <w:vAlign w:val="center"/>
            <w:hideMark/>
          </w:tcPr>
          <w:p w14:paraId="253BF08E" w14:textId="77777777" w:rsidR="00126D8D" w:rsidRPr="004A4899" w:rsidRDefault="00126D8D" w:rsidP="00820288">
            <w:pPr>
              <w:spacing w:line="240" w:lineRule="auto"/>
              <w:rPr>
                <w:rFonts w:ascii="Times New Roman" w:hAnsi="Times New Roman" w:cs="Times New Roman"/>
                <w:sz w:val="13"/>
                <w:szCs w:val="13"/>
              </w:rPr>
            </w:pPr>
            <w:r w:rsidRPr="004A4899">
              <w:rPr>
                <w:rFonts w:ascii="Times New Roman" w:hAnsi="Times New Roman" w:cs="Times New Roman"/>
                <w:sz w:val="13"/>
                <w:szCs w:val="13"/>
              </w:rPr>
              <w:t>cd</w:t>
            </w:r>
          </w:p>
        </w:tc>
        <w:tc>
          <w:tcPr>
            <w:tcW w:w="377" w:type="dxa"/>
            <w:noWrap/>
            <w:vAlign w:val="center"/>
            <w:hideMark/>
          </w:tcPr>
          <w:p w14:paraId="0788388D" w14:textId="77777777" w:rsidR="00126D8D" w:rsidRPr="004A4899" w:rsidRDefault="00126D8D" w:rsidP="00820288">
            <w:pPr>
              <w:spacing w:line="240" w:lineRule="auto"/>
              <w:jc w:val="right"/>
              <w:rPr>
                <w:rFonts w:ascii="Times New Roman" w:hAnsi="Times New Roman" w:cs="Times New Roman"/>
                <w:sz w:val="13"/>
                <w:szCs w:val="13"/>
              </w:rPr>
            </w:pPr>
            <w:r w:rsidRPr="004A4899">
              <w:rPr>
                <w:rFonts w:ascii="Times New Roman" w:hAnsi="Times New Roman" w:cs="Times New Roman"/>
                <w:sz w:val="13"/>
                <w:szCs w:val="13"/>
              </w:rPr>
              <w:t>11.48</w:t>
            </w:r>
          </w:p>
        </w:tc>
        <w:tc>
          <w:tcPr>
            <w:tcW w:w="273" w:type="dxa"/>
            <w:noWrap/>
            <w:vAlign w:val="center"/>
            <w:hideMark/>
          </w:tcPr>
          <w:p w14:paraId="0FEE3F35" w14:textId="77777777" w:rsidR="00126D8D" w:rsidRPr="004A4899" w:rsidRDefault="00126D8D" w:rsidP="00820288">
            <w:pPr>
              <w:spacing w:line="240" w:lineRule="auto"/>
              <w:rPr>
                <w:rFonts w:ascii="Times New Roman" w:hAnsi="Times New Roman" w:cs="Times New Roman"/>
                <w:sz w:val="13"/>
                <w:szCs w:val="13"/>
              </w:rPr>
            </w:pPr>
            <w:r w:rsidRPr="004A4899">
              <w:rPr>
                <w:rFonts w:ascii="Times New Roman" w:hAnsi="Times New Roman" w:cs="Times New Roman"/>
                <w:sz w:val="13"/>
                <w:szCs w:val="13"/>
              </w:rPr>
              <w:t>abc</w:t>
            </w:r>
          </w:p>
        </w:tc>
        <w:tc>
          <w:tcPr>
            <w:tcW w:w="377" w:type="dxa"/>
            <w:noWrap/>
            <w:vAlign w:val="center"/>
            <w:hideMark/>
          </w:tcPr>
          <w:p w14:paraId="41FBA0C2" w14:textId="77777777" w:rsidR="00126D8D" w:rsidRPr="004A4899" w:rsidRDefault="00126D8D" w:rsidP="00820288">
            <w:pPr>
              <w:spacing w:line="240" w:lineRule="auto"/>
              <w:jc w:val="right"/>
              <w:rPr>
                <w:rFonts w:ascii="Times New Roman" w:hAnsi="Times New Roman" w:cs="Times New Roman"/>
                <w:sz w:val="13"/>
                <w:szCs w:val="13"/>
              </w:rPr>
            </w:pPr>
            <w:r w:rsidRPr="004A4899">
              <w:rPr>
                <w:rFonts w:ascii="Times New Roman" w:hAnsi="Times New Roman" w:cs="Times New Roman"/>
                <w:sz w:val="13"/>
                <w:szCs w:val="13"/>
              </w:rPr>
              <w:t>8.96</w:t>
            </w:r>
          </w:p>
        </w:tc>
        <w:tc>
          <w:tcPr>
            <w:tcW w:w="326" w:type="dxa"/>
            <w:noWrap/>
            <w:vAlign w:val="center"/>
            <w:hideMark/>
          </w:tcPr>
          <w:p w14:paraId="6D52F768" w14:textId="77777777" w:rsidR="00126D8D" w:rsidRPr="004A4899" w:rsidRDefault="00126D8D" w:rsidP="00820288">
            <w:pPr>
              <w:spacing w:line="240" w:lineRule="auto"/>
              <w:rPr>
                <w:rFonts w:ascii="Times New Roman" w:hAnsi="Times New Roman" w:cs="Times New Roman"/>
                <w:sz w:val="13"/>
                <w:szCs w:val="13"/>
              </w:rPr>
            </w:pPr>
            <w:r w:rsidRPr="004A4899">
              <w:rPr>
                <w:rFonts w:ascii="Times New Roman" w:hAnsi="Times New Roman" w:cs="Times New Roman"/>
                <w:sz w:val="13"/>
                <w:szCs w:val="13"/>
              </w:rPr>
              <w:t>bcd</w:t>
            </w:r>
          </w:p>
        </w:tc>
        <w:tc>
          <w:tcPr>
            <w:tcW w:w="377" w:type="dxa"/>
            <w:noWrap/>
            <w:vAlign w:val="center"/>
            <w:hideMark/>
          </w:tcPr>
          <w:p w14:paraId="22EA552F" w14:textId="77777777" w:rsidR="00126D8D" w:rsidRPr="004A4899" w:rsidRDefault="00126D8D" w:rsidP="00820288">
            <w:pPr>
              <w:spacing w:line="240" w:lineRule="auto"/>
              <w:jc w:val="right"/>
              <w:rPr>
                <w:rFonts w:ascii="Times New Roman" w:hAnsi="Times New Roman" w:cs="Times New Roman"/>
                <w:sz w:val="13"/>
                <w:szCs w:val="13"/>
              </w:rPr>
            </w:pPr>
            <w:r w:rsidRPr="004A4899">
              <w:rPr>
                <w:rFonts w:ascii="Times New Roman" w:hAnsi="Times New Roman" w:cs="Times New Roman"/>
                <w:sz w:val="13"/>
                <w:szCs w:val="13"/>
              </w:rPr>
              <w:t>8.44</w:t>
            </w:r>
          </w:p>
        </w:tc>
        <w:tc>
          <w:tcPr>
            <w:tcW w:w="326" w:type="dxa"/>
            <w:noWrap/>
            <w:vAlign w:val="center"/>
            <w:hideMark/>
          </w:tcPr>
          <w:p w14:paraId="12D29E0E" w14:textId="77777777" w:rsidR="00126D8D" w:rsidRPr="004A4899" w:rsidRDefault="00126D8D" w:rsidP="00820288">
            <w:pPr>
              <w:spacing w:line="240" w:lineRule="auto"/>
              <w:rPr>
                <w:rFonts w:ascii="Times New Roman" w:hAnsi="Times New Roman" w:cs="Times New Roman"/>
                <w:sz w:val="13"/>
                <w:szCs w:val="13"/>
              </w:rPr>
            </w:pPr>
            <w:r w:rsidRPr="004A4899">
              <w:rPr>
                <w:rFonts w:ascii="Times New Roman" w:hAnsi="Times New Roman" w:cs="Times New Roman"/>
                <w:sz w:val="13"/>
                <w:szCs w:val="13"/>
              </w:rPr>
              <w:t>bcd</w:t>
            </w:r>
          </w:p>
        </w:tc>
        <w:tc>
          <w:tcPr>
            <w:tcW w:w="377" w:type="dxa"/>
            <w:noWrap/>
            <w:vAlign w:val="center"/>
            <w:hideMark/>
          </w:tcPr>
          <w:p w14:paraId="3506387B" w14:textId="77777777" w:rsidR="00126D8D" w:rsidRPr="004A4899" w:rsidRDefault="00126D8D" w:rsidP="00820288">
            <w:pPr>
              <w:spacing w:line="240" w:lineRule="auto"/>
              <w:jc w:val="right"/>
              <w:rPr>
                <w:rFonts w:ascii="Times New Roman" w:hAnsi="Times New Roman" w:cs="Times New Roman"/>
                <w:sz w:val="13"/>
                <w:szCs w:val="13"/>
              </w:rPr>
            </w:pPr>
            <w:r w:rsidRPr="004A4899">
              <w:rPr>
                <w:rFonts w:ascii="Times New Roman" w:hAnsi="Times New Roman" w:cs="Times New Roman"/>
                <w:sz w:val="13"/>
                <w:szCs w:val="13"/>
              </w:rPr>
              <w:t>10.98</w:t>
            </w:r>
          </w:p>
        </w:tc>
        <w:tc>
          <w:tcPr>
            <w:tcW w:w="219" w:type="dxa"/>
            <w:noWrap/>
            <w:vAlign w:val="center"/>
            <w:hideMark/>
          </w:tcPr>
          <w:p w14:paraId="4AB1A5C4" w14:textId="77777777" w:rsidR="00126D8D" w:rsidRPr="004A4899" w:rsidRDefault="00126D8D" w:rsidP="00820288">
            <w:pPr>
              <w:spacing w:line="240" w:lineRule="auto"/>
              <w:rPr>
                <w:rFonts w:ascii="Times New Roman" w:hAnsi="Times New Roman" w:cs="Times New Roman"/>
                <w:sz w:val="13"/>
                <w:szCs w:val="13"/>
              </w:rPr>
            </w:pPr>
            <w:r w:rsidRPr="004A4899">
              <w:rPr>
                <w:rFonts w:ascii="Times New Roman" w:hAnsi="Times New Roman" w:cs="Times New Roman"/>
                <w:sz w:val="13"/>
                <w:szCs w:val="13"/>
              </w:rPr>
              <w:t>bc</w:t>
            </w:r>
          </w:p>
        </w:tc>
        <w:tc>
          <w:tcPr>
            <w:tcW w:w="377" w:type="dxa"/>
            <w:noWrap/>
            <w:vAlign w:val="center"/>
            <w:hideMark/>
          </w:tcPr>
          <w:p w14:paraId="1C313D4D" w14:textId="77777777" w:rsidR="00126D8D" w:rsidRPr="004A4899" w:rsidRDefault="00126D8D" w:rsidP="00820288">
            <w:pPr>
              <w:spacing w:line="240" w:lineRule="auto"/>
              <w:jc w:val="right"/>
              <w:rPr>
                <w:rFonts w:ascii="Times New Roman" w:hAnsi="Times New Roman" w:cs="Times New Roman"/>
                <w:sz w:val="13"/>
                <w:szCs w:val="13"/>
              </w:rPr>
            </w:pPr>
            <w:r w:rsidRPr="004A4899">
              <w:rPr>
                <w:rFonts w:ascii="Times New Roman" w:hAnsi="Times New Roman" w:cs="Times New Roman"/>
                <w:sz w:val="13"/>
                <w:szCs w:val="13"/>
              </w:rPr>
              <w:t>15.18</w:t>
            </w:r>
          </w:p>
        </w:tc>
        <w:tc>
          <w:tcPr>
            <w:tcW w:w="159" w:type="dxa"/>
            <w:noWrap/>
            <w:vAlign w:val="center"/>
            <w:hideMark/>
          </w:tcPr>
          <w:p w14:paraId="2809786F" w14:textId="77777777" w:rsidR="00126D8D" w:rsidRPr="004A4899" w:rsidRDefault="00126D8D" w:rsidP="00820288">
            <w:pPr>
              <w:spacing w:line="240" w:lineRule="auto"/>
              <w:rPr>
                <w:rFonts w:ascii="Times New Roman" w:hAnsi="Times New Roman" w:cs="Times New Roman"/>
                <w:sz w:val="13"/>
                <w:szCs w:val="13"/>
              </w:rPr>
            </w:pPr>
            <w:r w:rsidRPr="004A4899">
              <w:rPr>
                <w:rFonts w:ascii="Times New Roman" w:hAnsi="Times New Roman" w:cs="Times New Roman"/>
                <w:sz w:val="13"/>
                <w:szCs w:val="13"/>
              </w:rPr>
              <w:t>a</w:t>
            </w:r>
          </w:p>
        </w:tc>
        <w:tc>
          <w:tcPr>
            <w:tcW w:w="377" w:type="dxa"/>
            <w:noWrap/>
            <w:vAlign w:val="center"/>
            <w:hideMark/>
          </w:tcPr>
          <w:p w14:paraId="0E5DFC6A" w14:textId="77777777" w:rsidR="00126D8D" w:rsidRPr="004A4899" w:rsidRDefault="00126D8D" w:rsidP="00820288">
            <w:pPr>
              <w:spacing w:line="240" w:lineRule="auto"/>
              <w:jc w:val="right"/>
              <w:rPr>
                <w:rFonts w:ascii="Times New Roman" w:hAnsi="Times New Roman" w:cs="Times New Roman"/>
                <w:sz w:val="13"/>
                <w:szCs w:val="13"/>
              </w:rPr>
            </w:pPr>
            <w:r w:rsidRPr="004A4899">
              <w:rPr>
                <w:rFonts w:ascii="Times New Roman" w:hAnsi="Times New Roman" w:cs="Times New Roman"/>
                <w:sz w:val="13"/>
                <w:szCs w:val="13"/>
              </w:rPr>
              <w:t>11.80</w:t>
            </w:r>
          </w:p>
        </w:tc>
        <w:tc>
          <w:tcPr>
            <w:tcW w:w="326" w:type="dxa"/>
            <w:noWrap/>
            <w:vAlign w:val="center"/>
            <w:hideMark/>
          </w:tcPr>
          <w:p w14:paraId="46A929ED" w14:textId="77777777" w:rsidR="00126D8D" w:rsidRPr="004A4899" w:rsidRDefault="00126D8D" w:rsidP="00820288">
            <w:pPr>
              <w:spacing w:line="240" w:lineRule="auto"/>
              <w:rPr>
                <w:rFonts w:ascii="Times New Roman" w:hAnsi="Times New Roman" w:cs="Times New Roman"/>
                <w:sz w:val="13"/>
                <w:szCs w:val="13"/>
              </w:rPr>
            </w:pPr>
            <w:r w:rsidRPr="004A4899">
              <w:rPr>
                <w:rFonts w:ascii="Times New Roman" w:hAnsi="Times New Roman" w:cs="Times New Roman"/>
                <w:sz w:val="13"/>
                <w:szCs w:val="13"/>
              </w:rPr>
              <w:t>abc</w:t>
            </w:r>
          </w:p>
        </w:tc>
        <w:tc>
          <w:tcPr>
            <w:tcW w:w="377" w:type="dxa"/>
            <w:noWrap/>
            <w:vAlign w:val="center"/>
            <w:hideMark/>
          </w:tcPr>
          <w:p w14:paraId="62BA4482" w14:textId="77777777" w:rsidR="00126D8D" w:rsidRPr="004A4899" w:rsidRDefault="00126D8D" w:rsidP="00820288">
            <w:pPr>
              <w:spacing w:line="240" w:lineRule="auto"/>
              <w:jc w:val="right"/>
              <w:rPr>
                <w:rFonts w:ascii="Times New Roman" w:hAnsi="Times New Roman" w:cs="Times New Roman"/>
                <w:sz w:val="13"/>
                <w:szCs w:val="13"/>
              </w:rPr>
            </w:pPr>
            <w:r w:rsidRPr="004A4899">
              <w:rPr>
                <w:rFonts w:ascii="Times New Roman" w:hAnsi="Times New Roman" w:cs="Times New Roman"/>
                <w:sz w:val="13"/>
                <w:szCs w:val="13"/>
              </w:rPr>
              <w:t>7.98</w:t>
            </w:r>
          </w:p>
        </w:tc>
        <w:tc>
          <w:tcPr>
            <w:tcW w:w="252" w:type="dxa"/>
            <w:noWrap/>
            <w:vAlign w:val="center"/>
            <w:hideMark/>
          </w:tcPr>
          <w:p w14:paraId="1EE32025" w14:textId="77777777" w:rsidR="00126D8D" w:rsidRPr="004A4899" w:rsidRDefault="00126D8D" w:rsidP="00820288">
            <w:pPr>
              <w:spacing w:line="240" w:lineRule="auto"/>
              <w:rPr>
                <w:rFonts w:ascii="Times New Roman" w:hAnsi="Times New Roman" w:cs="Times New Roman"/>
                <w:sz w:val="13"/>
                <w:szCs w:val="13"/>
              </w:rPr>
            </w:pPr>
            <w:r w:rsidRPr="004A4899">
              <w:rPr>
                <w:rFonts w:ascii="Times New Roman" w:hAnsi="Times New Roman" w:cs="Times New Roman"/>
                <w:sz w:val="13"/>
                <w:szCs w:val="13"/>
              </w:rPr>
              <w:t>bcd</w:t>
            </w:r>
          </w:p>
        </w:tc>
        <w:tc>
          <w:tcPr>
            <w:tcW w:w="377" w:type="dxa"/>
            <w:noWrap/>
            <w:vAlign w:val="center"/>
            <w:hideMark/>
          </w:tcPr>
          <w:p w14:paraId="0A54FB05" w14:textId="77777777" w:rsidR="00126D8D" w:rsidRPr="004A4899" w:rsidRDefault="00126D8D" w:rsidP="00820288">
            <w:pPr>
              <w:spacing w:line="240" w:lineRule="auto"/>
              <w:jc w:val="right"/>
              <w:rPr>
                <w:rFonts w:ascii="Times New Roman" w:hAnsi="Times New Roman" w:cs="Times New Roman"/>
                <w:sz w:val="13"/>
                <w:szCs w:val="13"/>
              </w:rPr>
            </w:pPr>
            <w:r w:rsidRPr="004A4899">
              <w:rPr>
                <w:rFonts w:ascii="Times New Roman" w:hAnsi="Times New Roman" w:cs="Times New Roman"/>
                <w:sz w:val="13"/>
                <w:szCs w:val="13"/>
              </w:rPr>
              <w:t>8.36</w:t>
            </w:r>
          </w:p>
        </w:tc>
        <w:tc>
          <w:tcPr>
            <w:tcW w:w="273" w:type="dxa"/>
            <w:noWrap/>
            <w:vAlign w:val="center"/>
            <w:hideMark/>
          </w:tcPr>
          <w:p w14:paraId="792E9E8B" w14:textId="77777777" w:rsidR="00126D8D" w:rsidRPr="004A4899" w:rsidRDefault="00126D8D" w:rsidP="00820288">
            <w:pPr>
              <w:spacing w:line="240" w:lineRule="auto"/>
              <w:rPr>
                <w:rFonts w:ascii="Times New Roman" w:hAnsi="Times New Roman" w:cs="Times New Roman"/>
                <w:sz w:val="13"/>
                <w:szCs w:val="13"/>
              </w:rPr>
            </w:pPr>
            <w:r w:rsidRPr="004A4899">
              <w:rPr>
                <w:rFonts w:ascii="Times New Roman" w:hAnsi="Times New Roman" w:cs="Times New Roman"/>
                <w:sz w:val="13"/>
                <w:szCs w:val="13"/>
              </w:rPr>
              <w:t>bcd</w:t>
            </w:r>
          </w:p>
        </w:tc>
        <w:tc>
          <w:tcPr>
            <w:tcW w:w="377" w:type="dxa"/>
            <w:noWrap/>
            <w:vAlign w:val="center"/>
            <w:hideMark/>
          </w:tcPr>
          <w:p w14:paraId="0C852F63" w14:textId="77777777" w:rsidR="00126D8D" w:rsidRPr="004A4899" w:rsidRDefault="00126D8D" w:rsidP="00820288">
            <w:pPr>
              <w:spacing w:line="240" w:lineRule="auto"/>
              <w:jc w:val="right"/>
              <w:rPr>
                <w:rFonts w:ascii="Times New Roman" w:hAnsi="Times New Roman" w:cs="Times New Roman"/>
                <w:sz w:val="13"/>
                <w:szCs w:val="13"/>
              </w:rPr>
            </w:pPr>
            <w:r w:rsidRPr="004A4899">
              <w:rPr>
                <w:rFonts w:ascii="Times New Roman" w:hAnsi="Times New Roman" w:cs="Times New Roman"/>
                <w:sz w:val="13"/>
                <w:szCs w:val="13"/>
              </w:rPr>
              <w:t>6.91</w:t>
            </w:r>
          </w:p>
        </w:tc>
        <w:tc>
          <w:tcPr>
            <w:tcW w:w="273" w:type="dxa"/>
            <w:noWrap/>
            <w:vAlign w:val="center"/>
            <w:hideMark/>
          </w:tcPr>
          <w:p w14:paraId="6C77AA3A" w14:textId="77777777" w:rsidR="00126D8D" w:rsidRPr="004A4899" w:rsidRDefault="00126D8D" w:rsidP="00820288">
            <w:pPr>
              <w:spacing w:line="240" w:lineRule="auto"/>
              <w:rPr>
                <w:rFonts w:ascii="Times New Roman" w:hAnsi="Times New Roman" w:cs="Times New Roman"/>
                <w:sz w:val="13"/>
                <w:szCs w:val="13"/>
              </w:rPr>
            </w:pPr>
            <w:r w:rsidRPr="004A4899">
              <w:rPr>
                <w:rFonts w:ascii="Times New Roman" w:hAnsi="Times New Roman" w:cs="Times New Roman"/>
                <w:sz w:val="13"/>
                <w:szCs w:val="13"/>
              </w:rPr>
              <w:t>d</w:t>
            </w:r>
          </w:p>
        </w:tc>
      </w:tr>
      <w:tr w:rsidR="00126D8D" w:rsidRPr="004A4899" w14:paraId="35FB86B5" w14:textId="77777777" w:rsidTr="00820288">
        <w:trPr>
          <w:trHeight w:val="173"/>
        </w:trPr>
        <w:tc>
          <w:tcPr>
            <w:tcW w:w="1440" w:type="dxa"/>
            <w:noWrap/>
            <w:vAlign w:val="center"/>
            <w:hideMark/>
          </w:tcPr>
          <w:p w14:paraId="7E28EAA0" w14:textId="77777777" w:rsidR="00126D8D" w:rsidRPr="004A4899" w:rsidRDefault="00126D8D" w:rsidP="00820288">
            <w:pPr>
              <w:spacing w:line="240" w:lineRule="auto"/>
              <w:rPr>
                <w:rFonts w:ascii="Times New Roman" w:hAnsi="Times New Roman" w:cs="Times New Roman"/>
                <w:sz w:val="12"/>
                <w:szCs w:val="12"/>
              </w:rPr>
            </w:pPr>
            <w:r w:rsidRPr="004A4899">
              <w:rPr>
                <w:rFonts w:ascii="Times New Roman" w:hAnsi="Times New Roman" w:cs="Times New Roman"/>
                <w:sz w:val="12"/>
                <w:szCs w:val="12"/>
              </w:rPr>
              <w:t>Benzeneacetaldehyde</w:t>
            </w:r>
          </w:p>
        </w:tc>
        <w:tc>
          <w:tcPr>
            <w:tcW w:w="377" w:type="dxa"/>
            <w:noWrap/>
            <w:vAlign w:val="center"/>
            <w:hideMark/>
          </w:tcPr>
          <w:p w14:paraId="02BDF6DD" w14:textId="77777777" w:rsidR="00126D8D" w:rsidRPr="004A4899" w:rsidRDefault="00126D8D" w:rsidP="00820288">
            <w:pPr>
              <w:spacing w:line="240" w:lineRule="auto"/>
              <w:jc w:val="right"/>
              <w:rPr>
                <w:rFonts w:ascii="Times New Roman" w:hAnsi="Times New Roman" w:cs="Times New Roman"/>
                <w:sz w:val="13"/>
                <w:szCs w:val="13"/>
              </w:rPr>
            </w:pPr>
            <w:r w:rsidRPr="004A4899">
              <w:rPr>
                <w:rFonts w:ascii="Times New Roman" w:hAnsi="Times New Roman" w:cs="Times New Roman"/>
                <w:sz w:val="13"/>
                <w:szCs w:val="13"/>
              </w:rPr>
              <w:t>112.53</w:t>
            </w:r>
          </w:p>
        </w:tc>
        <w:tc>
          <w:tcPr>
            <w:tcW w:w="274" w:type="dxa"/>
            <w:noWrap/>
            <w:vAlign w:val="center"/>
            <w:hideMark/>
          </w:tcPr>
          <w:p w14:paraId="4CB41DC7" w14:textId="77777777" w:rsidR="00126D8D" w:rsidRPr="004A4899" w:rsidRDefault="00126D8D" w:rsidP="00820288">
            <w:pPr>
              <w:spacing w:line="240" w:lineRule="auto"/>
              <w:rPr>
                <w:rFonts w:ascii="Times New Roman" w:hAnsi="Times New Roman" w:cs="Times New Roman"/>
                <w:sz w:val="13"/>
                <w:szCs w:val="13"/>
              </w:rPr>
            </w:pPr>
            <w:r w:rsidRPr="004A4899">
              <w:rPr>
                <w:rFonts w:ascii="Times New Roman" w:hAnsi="Times New Roman" w:cs="Times New Roman"/>
                <w:sz w:val="13"/>
                <w:szCs w:val="13"/>
              </w:rPr>
              <w:t>bcde</w:t>
            </w:r>
          </w:p>
        </w:tc>
        <w:tc>
          <w:tcPr>
            <w:tcW w:w="411" w:type="dxa"/>
            <w:noWrap/>
            <w:vAlign w:val="center"/>
            <w:hideMark/>
          </w:tcPr>
          <w:p w14:paraId="34E73C8E" w14:textId="77777777" w:rsidR="00126D8D" w:rsidRPr="004A4899" w:rsidRDefault="00126D8D" w:rsidP="00820288">
            <w:pPr>
              <w:spacing w:line="240" w:lineRule="auto"/>
              <w:jc w:val="right"/>
              <w:rPr>
                <w:rFonts w:ascii="Times New Roman" w:hAnsi="Times New Roman" w:cs="Times New Roman"/>
                <w:sz w:val="13"/>
                <w:szCs w:val="13"/>
              </w:rPr>
            </w:pPr>
            <w:r w:rsidRPr="004A4899">
              <w:rPr>
                <w:rFonts w:ascii="Times New Roman" w:hAnsi="Times New Roman" w:cs="Times New Roman"/>
                <w:sz w:val="13"/>
                <w:szCs w:val="13"/>
              </w:rPr>
              <w:t>72.21</w:t>
            </w:r>
          </w:p>
        </w:tc>
        <w:tc>
          <w:tcPr>
            <w:tcW w:w="239" w:type="dxa"/>
            <w:noWrap/>
            <w:vAlign w:val="center"/>
            <w:hideMark/>
          </w:tcPr>
          <w:p w14:paraId="260AD53A" w14:textId="77777777" w:rsidR="00126D8D" w:rsidRPr="004A4899" w:rsidRDefault="00126D8D" w:rsidP="00820288">
            <w:pPr>
              <w:spacing w:line="240" w:lineRule="auto"/>
              <w:rPr>
                <w:rFonts w:ascii="Times New Roman" w:hAnsi="Times New Roman" w:cs="Times New Roman"/>
                <w:sz w:val="13"/>
                <w:szCs w:val="13"/>
              </w:rPr>
            </w:pPr>
            <w:r w:rsidRPr="004A4899">
              <w:rPr>
                <w:rFonts w:ascii="Times New Roman" w:hAnsi="Times New Roman" w:cs="Times New Roman"/>
                <w:sz w:val="13"/>
                <w:szCs w:val="13"/>
              </w:rPr>
              <w:t>e</w:t>
            </w:r>
          </w:p>
        </w:tc>
        <w:tc>
          <w:tcPr>
            <w:tcW w:w="377" w:type="dxa"/>
            <w:noWrap/>
            <w:vAlign w:val="center"/>
            <w:hideMark/>
          </w:tcPr>
          <w:p w14:paraId="08A2CA0C" w14:textId="77777777" w:rsidR="00126D8D" w:rsidRPr="004A4899" w:rsidRDefault="00126D8D" w:rsidP="00820288">
            <w:pPr>
              <w:spacing w:line="240" w:lineRule="auto"/>
              <w:jc w:val="right"/>
              <w:rPr>
                <w:rFonts w:ascii="Times New Roman" w:hAnsi="Times New Roman" w:cs="Times New Roman"/>
                <w:sz w:val="13"/>
                <w:szCs w:val="13"/>
              </w:rPr>
            </w:pPr>
            <w:r w:rsidRPr="004A4899">
              <w:rPr>
                <w:rFonts w:ascii="Times New Roman" w:hAnsi="Times New Roman" w:cs="Times New Roman"/>
                <w:sz w:val="13"/>
                <w:szCs w:val="13"/>
              </w:rPr>
              <w:t>97.43</w:t>
            </w:r>
          </w:p>
        </w:tc>
        <w:tc>
          <w:tcPr>
            <w:tcW w:w="273" w:type="dxa"/>
            <w:noWrap/>
            <w:vAlign w:val="center"/>
            <w:hideMark/>
          </w:tcPr>
          <w:p w14:paraId="682DD5C5" w14:textId="77777777" w:rsidR="00126D8D" w:rsidRPr="004A4899" w:rsidRDefault="00126D8D" w:rsidP="00820288">
            <w:pPr>
              <w:spacing w:line="240" w:lineRule="auto"/>
              <w:rPr>
                <w:rFonts w:ascii="Times New Roman" w:hAnsi="Times New Roman" w:cs="Times New Roman"/>
                <w:sz w:val="13"/>
                <w:szCs w:val="13"/>
              </w:rPr>
            </w:pPr>
            <w:r w:rsidRPr="004A4899">
              <w:rPr>
                <w:rFonts w:ascii="Times New Roman" w:hAnsi="Times New Roman" w:cs="Times New Roman"/>
                <w:sz w:val="13"/>
                <w:szCs w:val="13"/>
              </w:rPr>
              <w:t>cde</w:t>
            </w:r>
          </w:p>
        </w:tc>
        <w:tc>
          <w:tcPr>
            <w:tcW w:w="377" w:type="dxa"/>
            <w:noWrap/>
            <w:vAlign w:val="center"/>
            <w:hideMark/>
          </w:tcPr>
          <w:p w14:paraId="416ED53C" w14:textId="77777777" w:rsidR="00126D8D" w:rsidRPr="004A4899" w:rsidRDefault="00126D8D" w:rsidP="00820288">
            <w:pPr>
              <w:spacing w:line="240" w:lineRule="auto"/>
              <w:jc w:val="right"/>
              <w:rPr>
                <w:rFonts w:ascii="Times New Roman" w:hAnsi="Times New Roman" w:cs="Times New Roman"/>
                <w:sz w:val="13"/>
                <w:szCs w:val="13"/>
              </w:rPr>
            </w:pPr>
            <w:r w:rsidRPr="004A4899">
              <w:rPr>
                <w:rFonts w:ascii="Times New Roman" w:hAnsi="Times New Roman" w:cs="Times New Roman"/>
                <w:sz w:val="13"/>
                <w:szCs w:val="13"/>
              </w:rPr>
              <w:t>126.75</w:t>
            </w:r>
          </w:p>
        </w:tc>
        <w:tc>
          <w:tcPr>
            <w:tcW w:w="273" w:type="dxa"/>
            <w:noWrap/>
            <w:vAlign w:val="center"/>
            <w:hideMark/>
          </w:tcPr>
          <w:p w14:paraId="53F74380" w14:textId="77777777" w:rsidR="00126D8D" w:rsidRPr="004A4899" w:rsidRDefault="00126D8D" w:rsidP="00820288">
            <w:pPr>
              <w:spacing w:line="240" w:lineRule="auto"/>
              <w:rPr>
                <w:rFonts w:ascii="Times New Roman" w:hAnsi="Times New Roman" w:cs="Times New Roman"/>
                <w:sz w:val="13"/>
                <w:szCs w:val="13"/>
              </w:rPr>
            </w:pPr>
            <w:r w:rsidRPr="004A4899">
              <w:rPr>
                <w:rFonts w:ascii="Times New Roman" w:hAnsi="Times New Roman" w:cs="Times New Roman"/>
                <w:sz w:val="13"/>
                <w:szCs w:val="13"/>
              </w:rPr>
              <w:t>bcde</w:t>
            </w:r>
          </w:p>
        </w:tc>
        <w:tc>
          <w:tcPr>
            <w:tcW w:w="377" w:type="dxa"/>
            <w:noWrap/>
            <w:vAlign w:val="center"/>
            <w:hideMark/>
          </w:tcPr>
          <w:p w14:paraId="4FE56422" w14:textId="77777777" w:rsidR="00126D8D" w:rsidRPr="004A4899" w:rsidRDefault="00126D8D" w:rsidP="00820288">
            <w:pPr>
              <w:spacing w:line="240" w:lineRule="auto"/>
              <w:jc w:val="right"/>
              <w:rPr>
                <w:rFonts w:ascii="Times New Roman" w:hAnsi="Times New Roman" w:cs="Times New Roman"/>
                <w:sz w:val="13"/>
                <w:szCs w:val="13"/>
              </w:rPr>
            </w:pPr>
            <w:r w:rsidRPr="004A4899">
              <w:rPr>
                <w:rFonts w:ascii="Times New Roman" w:hAnsi="Times New Roman" w:cs="Times New Roman"/>
                <w:sz w:val="13"/>
                <w:szCs w:val="13"/>
              </w:rPr>
              <w:t>161.13</w:t>
            </w:r>
          </w:p>
        </w:tc>
        <w:tc>
          <w:tcPr>
            <w:tcW w:w="326" w:type="dxa"/>
            <w:noWrap/>
            <w:vAlign w:val="center"/>
            <w:hideMark/>
          </w:tcPr>
          <w:p w14:paraId="2E3F5600" w14:textId="77777777" w:rsidR="00126D8D" w:rsidRPr="004A4899" w:rsidRDefault="00126D8D" w:rsidP="00820288">
            <w:pPr>
              <w:spacing w:line="240" w:lineRule="auto"/>
              <w:rPr>
                <w:rFonts w:ascii="Times New Roman" w:hAnsi="Times New Roman" w:cs="Times New Roman"/>
                <w:sz w:val="13"/>
                <w:szCs w:val="13"/>
              </w:rPr>
            </w:pPr>
            <w:r w:rsidRPr="004A4899">
              <w:rPr>
                <w:rFonts w:ascii="Times New Roman" w:hAnsi="Times New Roman" w:cs="Times New Roman"/>
                <w:sz w:val="13"/>
                <w:szCs w:val="13"/>
              </w:rPr>
              <w:t>b</w:t>
            </w:r>
          </w:p>
        </w:tc>
        <w:tc>
          <w:tcPr>
            <w:tcW w:w="377" w:type="dxa"/>
            <w:noWrap/>
            <w:vAlign w:val="center"/>
            <w:hideMark/>
          </w:tcPr>
          <w:p w14:paraId="4ED31C2F" w14:textId="77777777" w:rsidR="00126D8D" w:rsidRPr="004A4899" w:rsidRDefault="00126D8D" w:rsidP="00820288">
            <w:pPr>
              <w:spacing w:line="240" w:lineRule="auto"/>
              <w:jc w:val="right"/>
              <w:rPr>
                <w:rFonts w:ascii="Times New Roman" w:hAnsi="Times New Roman" w:cs="Times New Roman"/>
                <w:sz w:val="13"/>
                <w:szCs w:val="13"/>
              </w:rPr>
            </w:pPr>
            <w:r w:rsidRPr="004A4899">
              <w:rPr>
                <w:rFonts w:ascii="Times New Roman" w:hAnsi="Times New Roman" w:cs="Times New Roman"/>
                <w:sz w:val="13"/>
                <w:szCs w:val="13"/>
              </w:rPr>
              <w:t>136.60</w:t>
            </w:r>
          </w:p>
        </w:tc>
        <w:tc>
          <w:tcPr>
            <w:tcW w:w="326" w:type="dxa"/>
            <w:noWrap/>
            <w:vAlign w:val="center"/>
            <w:hideMark/>
          </w:tcPr>
          <w:p w14:paraId="13ED1D48" w14:textId="77777777" w:rsidR="00126D8D" w:rsidRPr="004A4899" w:rsidRDefault="00126D8D" w:rsidP="00820288">
            <w:pPr>
              <w:spacing w:line="240" w:lineRule="auto"/>
              <w:rPr>
                <w:rFonts w:ascii="Times New Roman" w:hAnsi="Times New Roman" w:cs="Times New Roman"/>
                <w:sz w:val="13"/>
                <w:szCs w:val="13"/>
              </w:rPr>
            </w:pPr>
            <w:r w:rsidRPr="004A4899">
              <w:rPr>
                <w:rFonts w:ascii="Times New Roman" w:hAnsi="Times New Roman" w:cs="Times New Roman"/>
                <w:sz w:val="13"/>
                <w:szCs w:val="13"/>
              </w:rPr>
              <w:t>bcd</w:t>
            </w:r>
          </w:p>
        </w:tc>
        <w:tc>
          <w:tcPr>
            <w:tcW w:w="377" w:type="dxa"/>
            <w:noWrap/>
            <w:vAlign w:val="center"/>
            <w:hideMark/>
          </w:tcPr>
          <w:p w14:paraId="0A88FD58" w14:textId="77777777" w:rsidR="00126D8D" w:rsidRPr="004A4899" w:rsidRDefault="00126D8D" w:rsidP="00820288">
            <w:pPr>
              <w:spacing w:line="240" w:lineRule="auto"/>
              <w:jc w:val="right"/>
              <w:rPr>
                <w:rFonts w:ascii="Times New Roman" w:hAnsi="Times New Roman" w:cs="Times New Roman"/>
                <w:sz w:val="13"/>
                <w:szCs w:val="13"/>
              </w:rPr>
            </w:pPr>
            <w:r w:rsidRPr="004A4899">
              <w:rPr>
                <w:rFonts w:ascii="Times New Roman" w:hAnsi="Times New Roman" w:cs="Times New Roman"/>
                <w:sz w:val="13"/>
                <w:szCs w:val="13"/>
              </w:rPr>
              <w:t>158.82</w:t>
            </w:r>
          </w:p>
        </w:tc>
        <w:tc>
          <w:tcPr>
            <w:tcW w:w="219" w:type="dxa"/>
            <w:noWrap/>
            <w:vAlign w:val="center"/>
            <w:hideMark/>
          </w:tcPr>
          <w:p w14:paraId="446BD68F" w14:textId="77777777" w:rsidR="00126D8D" w:rsidRPr="004A4899" w:rsidRDefault="00126D8D" w:rsidP="00820288">
            <w:pPr>
              <w:spacing w:line="240" w:lineRule="auto"/>
              <w:rPr>
                <w:rFonts w:ascii="Times New Roman" w:hAnsi="Times New Roman" w:cs="Times New Roman"/>
                <w:sz w:val="13"/>
                <w:szCs w:val="13"/>
              </w:rPr>
            </w:pPr>
            <w:r w:rsidRPr="004A4899">
              <w:rPr>
                <w:rFonts w:ascii="Times New Roman" w:hAnsi="Times New Roman" w:cs="Times New Roman"/>
                <w:sz w:val="13"/>
                <w:szCs w:val="13"/>
              </w:rPr>
              <w:t>bc</w:t>
            </w:r>
          </w:p>
        </w:tc>
        <w:tc>
          <w:tcPr>
            <w:tcW w:w="377" w:type="dxa"/>
            <w:noWrap/>
            <w:vAlign w:val="center"/>
            <w:hideMark/>
          </w:tcPr>
          <w:p w14:paraId="781311A0" w14:textId="77777777" w:rsidR="00126D8D" w:rsidRPr="004A4899" w:rsidRDefault="00126D8D" w:rsidP="00820288">
            <w:pPr>
              <w:spacing w:line="240" w:lineRule="auto"/>
              <w:jc w:val="right"/>
              <w:rPr>
                <w:rFonts w:ascii="Times New Roman" w:hAnsi="Times New Roman" w:cs="Times New Roman"/>
                <w:sz w:val="13"/>
                <w:szCs w:val="13"/>
              </w:rPr>
            </w:pPr>
            <w:r w:rsidRPr="004A4899">
              <w:rPr>
                <w:rFonts w:ascii="Times New Roman" w:hAnsi="Times New Roman" w:cs="Times New Roman"/>
                <w:sz w:val="13"/>
                <w:szCs w:val="13"/>
              </w:rPr>
              <w:t>276.22</w:t>
            </w:r>
          </w:p>
        </w:tc>
        <w:tc>
          <w:tcPr>
            <w:tcW w:w="159" w:type="dxa"/>
            <w:noWrap/>
            <w:vAlign w:val="center"/>
            <w:hideMark/>
          </w:tcPr>
          <w:p w14:paraId="0E9813A0" w14:textId="77777777" w:rsidR="00126D8D" w:rsidRPr="004A4899" w:rsidRDefault="00126D8D" w:rsidP="00820288">
            <w:pPr>
              <w:spacing w:line="240" w:lineRule="auto"/>
              <w:rPr>
                <w:rFonts w:ascii="Times New Roman" w:hAnsi="Times New Roman" w:cs="Times New Roman"/>
                <w:sz w:val="13"/>
                <w:szCs w:val="13"/>
              </w:rPr>
            </w:pPr>
            <w:r w:rsidRPr="004A4899">
              <w:rPr>
                <w:rFonts w:ascii="Times New Roman" w:hAnsi="Times New Roman" w:cs="Times New Roman"/>
                <w:sz w:val="13"/>
                <w:szCs w:val="13"/>
              </w:rPr>
              <w:t>a</w:t>
            </w:r>
          </w:p>
        </w:tc>
        <w:tc>
          <w:tcPr>
            <w:tcW w:w="377" w:type="dxa"/>
            <w:noWrap/>
            <w:vAlign w:val="center"/>
            <w:hideMark/>
          </w:tcPr>
          <w:p w14:paraId="7B359532" w14:textId="77777777" w:rsidR="00126D8D" w:rsidRPr="004A4899" w:rsidRDefault="00126D8D" w:rsidP="00820288">
            <w:pPr>
              <w:spacing w:line="240" w:lineRule="auto"/>
              <w:jc w:val="right"/>
              <w:rPr>
                <w:rFonts w:ascii="Times New Roman" w:hAnsi="Times New Roman" w:cs="Times New Roman"/>
                <w:sz w:val="13"/>
                <w:szCs w:val="13"/>
              </w:rPr>
            </w:pPr>
            <w:r w:rsidRPr="004A4899">
              <w:rPr>
                <w:rFonts w:ascii="Times New Roman" w:hAnsi="Times New Roman" w:cs="Times New Roman"/>
                <w:sz w:val="13"/>
                <w:szCs w:val="13"/>
              </w:rPr>
              <w:t>172.59</w:t>
            </w:r>
          </w:p>
        </w:tc>
        <w:tc>
          <w:tcPr>
            <w:tcW w:w="326" w:type="dxa"/>
            <w:noWrap/>
            <w:vAlign w:val="center"/>
            <w:hideMark/>
          </w:tcPr>
          <w:p w14:paraId="51A9A895" w14:textId="77777777" w:rsidR="00126D8D" w:rsidRPr="004A4899" w:rsidRDefault="00126D8D" w:rsidP="00820288">
            <w:pPr>
              <w:spacing w:line="240" w:lineRule="auto"/>
              <w:rPr>
                <w:rFonts w:ascii="Times New Roman" w:hAnsi="Times New Roman" w:cs="Times New Roman"/>
                <w:sz w:val="13"/>
                <w:szCs w:val="13"/>
              </w:rPr>
            </w:pPr>
            <w:r w:rsidRPr="004A4899">
              <w:rPr>
                <w:rFonts w:ascii="Times New Roman" w:hAnsi="Times New Roman" w:cs="Times New Roman"/>
                <w:sz w:val="13"/>
                <w:szCs w:val="13"/>
              </w:rPr>
              <w:t>b</w:t>
            </w:r>
          </w:p>
        </w:tc>
        <w:tc>
          <w:tcPr>
            <w:tcW w:w="377" w:type="dxa"/>
            <w:noWrap/>
            <w:vAlign w:val="center"/>
            <w:hideMark/>
          </w:tcPr>
          <w:p w14:paraId="74B53B0F" w14:textId="77777777" w:rsidR="00126D8D" w:rsidRPr="004A4899" w:rsidRDefault="00126D8D" w:rsidP="00820288">
            <w:pPr>
              <w:spacing w:line="240" w:lineRule="auto"/>
              <w:jc w:val="right"/>
              <w:rPr>
                <w:rFonts w:ascii="Times New Roman" w:hAnsi="Times New Roman" w:cs="Times New Roman"/>
                <w:sz w:val="13"/>
                <w:szCs w:val="13"/>
              </w:rPr>
            </w:pPr>
            <w:r w:rsidRPr="004A4899">
              <w:rPr>
                <w:rFonts w:ascii="Times New Roman" w:hAnsi="Times New Roman" w:cs="Times New Roman"/>
                <w:sz w:val="13"/>
                <w:szCs w:val="13"/>
              </w:rPr>
              <w:t>83.91</w:t>
            </w:r>
          </w:p>
        </w:tc>
        <w:tc>
          <w:tcPr>
            <w:tcW w:w="252" w:type="dxa"/>
            <w:noWrap/>
            <w:vAlign w:val="center"/>
            <w:hideMark/>
          </w:tcPr>
          <w:p w14:paraId="67A7B3F8" w14:textId="77777777" w:rsidR="00126D8D" w:rsidRPr="004A4899" w:rsidRDefault="00126D8D" w:rsidP="00820288">
            <w:pPr>
              <w:spacing w:line="240" w:lineRule="auto"/>
              <w:rPr>
                <w:rFonts w:ascii="Times New Roman" w:hAnsi="Times New Roman" w:cs="Times New Roman"/>
                <w:sz w:val="13"/>
                <w:szCs w:val="13"/>
              </w:rPr>
            </w:pPr>
            <w:r w:rsidRPr="004A4899">
              <w:rPr>
                <w:rFonts w:ascii="Times New Roman" w:hAnsi="Times New Roman" w:cs="Times New Roman"/>
                <w:sz w:val="13"/>
                <w:szCs w:val="13"/>
              </w:rPr>
              <w:t>de</w:t>
            </w:r>
          </w:p>
        </w:tc>
        <w:tc>
          <w:tcPr>
            <w:tcW w:w="377" w:type="dxa"/>
            <w:noWrap/>
            <w:vAlign w:val="center"/>
            <w:hideMark/>
          </w:tcPr>
          <w:p w14:paraId="27B0254F" w14:textId="77777777" w:rsidR="00126D8D" w:rsidRPr="004A4899" w:rsidRDefault="00126D8D" w:rsidP="00820288">
            <w:pPr>
              <w:spacing w:line="240" w:lineRule="auto"/>
              <w:jc w:val="right"/>
              <w:rPr>
                <w:rFonts w:ascii="Times New Roman" w:hAnsi="Times New Roman" w:cs="Times New Roman"/>
                <w:sz w:val="13"/>
                <w:szCs w:val="13"/>
              </w:rPr>
            </w:pPr>
            <w:r w:rsidRPr="004A4899">
              <w:rPr>
                <w:rFonts w:ascii="Times New Roman" w:hAnsi="Times New Roman" w:cs="Times New Roman"/>
                <w:sz w:val="13"/>
                <w:szCs w:val="13"/>
              </w:rPr>
              <w:t>86.51</w:t>
            </w:r>
          </w:p>
        </w:tc>
        <w:tc>
          <w:tcPr>
            <w:tcW w:w="273" w:type="dxa"/>
            <w:noWrap/>
            <w:vAlign w:val="center"/>
            <w:hideMark/>
          </w:tcPr>
          <w:p w14:paraId="2B9416FA" w14:textId="77777777" w:rsidR="00126D8D" w:rsidRPr="004A4899" w:rsidRDefault="00126D8D" w:rsidP="00820288">
            <w:pPr>
              <w:spacing w:line="240" w:lineRule="auto"/>
              <w:rPr>
                <w:rFonts w:ascii="Times New Roman" w:hAnsi="Times New Roman" w:cs="Times New Roman"/>
                <w:sz w:val="13"/>
                <w:szCs w:val="13"/>
              </w:rPr>
            </w:pPr>
            <w:r w:rsidRPr="004A4899">
              <w:rPr>
                <w:rFonts w:ascii="Times New Roman" w:hAnsi="Times New Roman" w:cs="Times New Roman"/>
                <w:sz w:val="13"/>
                <w:szCs w:val="13"/>
              </w:rPr>
              <w:t>de</w:t>
            </w:r>
          </w:p>
        </w:tc>
        <w:tc>
          <w:tcPr>
            <w:tcW w:w="377" w:type="dxa"/>
            <w:noWrap/>
            <w:vAlign w:val="center"/>
            <w:hideMark/>
          </w:tcPr>
          <w:p w14:paraId="6B422F0A" w14:textId="77777777" w:rsidR="00126D8D" w:rsidRPr="004A4899" w:rsidRDefault="00126D8D" w:rsidP="00820288">
            <w:pPr>
              <w:spacing w:line="240" w:lineRule="auto"/>
              <w:jc w:val="right"/>
              <w:rPr>
                <w:rFonts w:ascii="Times New Roman" w:hAnsi="Times New Roman" w:cs="Times New Roman"/>
                <w:sz w:val="13"/>
                <w:szCs w:val="13"/>
              </w:rPr>
            </w:pPr>
            <w:r w:rsidRPr="004A4899">
              <w:rPr>
                <w:rFonts w:ascii="Times New Roman" w:hAnsi="Times New Roman" w:cs="Times New Roman"/>
                <w:sz w:val="13"/>
                <w:szCs w:val="13"/>
              </w:rPr>
              <w:t>69.70</w:t>
            </w:r>
          </w:p>
        </w:tc>
        <w:tc>
          <w:tcPr>
            <w:tcW w:w="273" w:type="dxa"/>
            <w:noWrap/>
            <w:vAlign w:val="center"/>
            <w:hideMark/>
          </w:tcPr>
          <w:p w14:paraId="651371A4" w14:textId="77777777" w:rsidR="00126D8D" w:rsidRPr="004A4899" w:rsidRDefault="00126D8D" w:rsidP="00820288">
            <w:pPr>
              <w:spacing w:line="240" w:lineRule="auto"/>
              <w:rPr>
                <w:rFonts w:ascii="Times New Roman" w:hAnsi="Times New Roman" w:cs="Times New Roman"/>
                <w:sz w:val="13"/>
                <w:szCs w:val="13"/>
              </w:rPr>
            </w:pPr>
            <w:r w:rsidRPr="004A4899">
              <w:rPr>
                <w:rFonts w:ascii="Times New Roman" w:hAnsi="Times New Roman" w:cs="Times New Roman"/>
                <w:sz w:val="13"/>
                <w:szCs w:val="13"/>
              </w:rPr>
              <w:t>e</w:t>
            </w:r>
          </w:p>
        </w:tc>
      </w:tr>
      <w:tr w:rsidR="00126D8D" w:rsidRPr="004A4899" w14:paraId="06816C7F" w14:textId="77777777" w:rsidTr="00820288">
        <w:trPr>
          <w:trHeight w:val="173"/>
        </w:trPr>
        <w:tc>
          <w:tcPr>
            <w:tcW w:w="1440" w:type="dxa"/>
            <w:noWrap/>
            <w:vAlign w:val="center"/>
            <w:hideMark/>
          </w:tcPr>
          <w:p w14:paraId="0D6B9756" w14:textId="77777777" w:rsidR="00126D8D" w:rsidRPr="004A4899" w:rsidRDefault="00126D8D" w:rsidP="00820288">
            <w:pPr>
              <w:spacing w:line="240" w:lineRule="auto"/>
              <w:rPr>
                <w:rFonts w:ascii="Times New Roman" w:hAnsi="Times New Roman" w:cs="Times New Roman"/>
                <w:b/>
                <w:bCs/>
                <w:sz w:val="12"/>
                <w:szCs w:val="12"/>
              </w:rPr>
            </w:pPr>
            <w:r w:rsidRPr="004A4899">
              <w:rPr>
                <w:rFonts w:ascii="Times New Roman" w:hAnsi="Times New Roman" w:cs="Times New Roman"/>
                <w:b/>
                <w:bCs/>
                <w:sz w:val="12"/>
                <w:szCs w:val="12"/>
              </w:rPr>
              <w:t>Amides and Furans</w:t>
            </w:r>
          </w:p>
        </w:tc>
        <w:tc>
          <w:tcPr>
            <w:tcW w:w="377" w:type="dxa"/>
            <w:noWrap/>
            <w:vAlign w:val="center"/>
            <w:hideMark/>
          </w:tcPr>
          <w:p w14:paraId="73997FF4" w14:textId="77777777" w:rsidR="00126D8D" w:rsidRPr="004A4899" w:rsidRDefault="00126D8D" w:rsidP="00820288">
            <w:pPr>
              <w:spacing w:line="240" w:lineRule="auto"/>
              <w:jc w:val="right"/>
              <w:rPr>
                <w:rFonts w:ascii="Times New Roman" w:hAnsi="Times New Roman" w:cs="Times New Roman"/>
                <w:sz w:val="13"/>
                <w:szCs w:val="13"/>
              </w:rPr>
            </w:pPr>
          </w:p>
        </w:tc>
        <w:tc>
          <w:tcPr>
            <w:tcW w:w="274" w:type="dxa"/>
            <w:noWrap/>
            <w:vAlign w:val="center"/>
            <w:hideMark/>
          </w:tcPr>
          <w:p w14:paraId="62CE98F1" w14:textId="77777777" w:rsidR="00126D8D" w:rsidRPr="004A4899" w:rsidRDefault="00126D8D" w:rsidP="00820288">
            <w:pPr>
              <w:spacing w:line="240" w:lineRule="auto"/>
              <w:rPr>
                <w:rFonts w:ascii="Times New Roman" w:hAnsi="Times New Roman" w:cs="Times New Roman"/>
                <w:sz w:val="13"/>
                <w:szCs w:val="13"/>
              </w:rPr>
            </w:pPr>
          </w:p>
        </w:tc>
        <w:tc>
          <w:tcPr>
            <w:tcW w:w="411" w:type="dxa"/>
            <w:noWrap/>
            <w:vAlign w:val="center"/>
            <w:hideMark/>
          </w:tcPr>
          <w:p w14:paraId="2ACE4592" w14:textId="77777777" w:rsidR="00126D8D" w:rsidRPr="004A4899" w:rsidRDefault="00126D8D" w:rsidP="00820288">
            <w:pPr>
              <w:spacing w:line="240" w:lineRule="auto"/>
              <w:jc w:val="right"/>
              <w:rPr>
                <w:rFonts w:ascii="Times New Roman" w:hAnsi="Times New Roman" w:cs="Times New Roman"/>
                <w:sz w:val="13"/>
                <w:szCs w:val="13"/>
              </w:rPr>
            </w:pPr>
          </w:p>
        </w:tc>
        <w:tc>
          <w:tcPr>
            <w:tcW w:w="239" w:type="dxa"/>
            <w:noWrap/>
            <w:vAlign w:val="center"/>
            <w:hideMark/>
          </w:tcPr>
          <w:p w14:paraId="464FBAB8" w14:textId="77777777" w:rsidR="00126D8D" w:rsidRPr="004A4899" w:rsidRDefault="00126D8D" w:rsidP="00820288">
            <w:pPr>
              <w:spacing w:line="240" w:lineRule="auto"/>
              <w:rPr>
                <w:rFonts w:ascii="Times New Roman" w:hAnsi="Times New Roman" w:cs="Times New Roman"/>
                <w:sz w:val="13"/>
                <w:szCs w:val="13"/>
              </w:rPr>
            </w:pPr>
          </w:p>
        </w:tc>
        <w:tc>
          <w:tcPr>
            <w:tcW w:w="377" w:type="dxa"/>
            <w:noWrap/>
            <w:vAlign w:val="center"/>
            <w:hideMark/>
          </w:tcPr>
          <w:p w14:paraId="7BBB0606" w14:textId="77777777" w:rsidR="00126D8D" w:rsidRPr="004A4899" w:rsidRDefault="00126D8D" w:rsidP="00820288">
            <w:pPr>
              <w:spacing w:line="240" w:lineRule="auto"/>
              <w:jc w:val="right"/>
              <w:rPr>
                <w:rFonts w:ascii="Times New Roman" w:hAnsi="Times New Roman" w:cs="Times New Roman"/>
                <w:sz w:val="13"/>
                <w:szCs w:val="13"/>
              </w:rPr>
            </w:pPr>
          </w:p>
        </w:tc>
        <w:tc>
          <w:tcPr>
            <w:tcW w:w="273" w:type="dxa"/>
            <w:noWrap/>
            <w:vAlign w:val="center"/>
            <w:hideMark/>
          </w:tcPr>
          <w:p w14:paraId="50E30492" w14:textId="77777777" w:rsidR="00126D8D" w:rsidRPr="004A4899" w:rsidRDefault="00126D8D" w:rsidP="00820288">
            <w:pPr>
              <w:spacing w:line="240" w:lineRule="auto"/>
              <w:rPr>
                <w:rFonts w:ascii="Times New Roman" w:hAnsi="Times New Roman" w:cs="Times New Roman"/>
                <w:sz w:val="13"/>
                <w:szCs w:val="13"/>
              </w:rPr>
            </w:pPr>
          </w:p>
        </w:tc>
        <w:tc>
          <w:tcPr>
            <w:tcW w:w="377" w:type="dxa"/>
            <w:noWrap/>
            <w:vAlign w:val="center"/>
            <w:hideMark/>
          </w:tcPr>
          <w:p w14:paraId="30334090" w14:textId="77777777" w:rsidR="00126D8D" w:rsidRPr="004A4899" w:rsidRDefault="00126D8D" w:rsidP="00820288">
            <w:pPr>
              <w:spacing w:line="240" w:lineRule="auto"/>
              <w:jc w:val="right"/>
              <w:rPr>
                <w:rFonts w:ascii="Times New Roman" w:hAnsi="Times New Roman" w:cs="Times New Roman"/>
                <w:sz w:val="13"/>
                <w:szCs w:val="13"/>
              </w:rPr>
            </w:pPr>
          </w:p>
        </w:tc>
        <w:tc>
          <w:tcPr>
            <w:tcW w:w="273" w:type="dxa"/>
            <w:noWrap/>
            <w:vAlign w:val="center"/>
            <w:hideMark/>
          </w:tcPr>
          <w:p w14:paraId="3940A0E4" w14:textId="77777777" w:rsidR="00126D8D" w:rsidRPr="004A4899" w:rsidRDefault="00126D8D" w:rsidP="00820288">
            <w:pPr>
              <w:spacing w:line="240" w:lineRule="auto"/>
              <w:rPr>
                <w:rFonts w:ascii="Times New Roman" w:hAnsi="Times New Roman" w:cs="Times New Roman"/>
                <w:sz w:val="13"/>
                <w:szCs w:val="13"/>
              </w:rPr>
            </w:pPr>
          </w:p>
        </w:tc>
        <w:tc>
          <w:tcPr>
            <w:tcW w:w="377" w:type="dxa"/>
            <w:noWrap/>
            <w:vAlign w:val="center"/>
            <w:hideMark/>
          </w:tcPr>
          <w:p w14:paraId="7F6916BA" w14:textId="77777777" w:rsidR="00126D8D" w:rsidRPr="004A4899" w:rsidRDefault="00126D8D" w:rsidP="00820288">
            <w:pPr>
              <w:spacing w:line="240" w:lineRule="auto"/>
              <w:jc w:val="right"/>
              <w:rPr>
                <w:rFonts w:ascii="Times New Roman" w:hAnsi="Times New Roman" w:cs="Times New Roman"/>
                <w:sz w:val="13"/>
                <w:szCs w:val="13"/>
              </w:rPr>
            </w:pPr>
          </w:p>
        </w:tc>
        <w:tc>
          <w:tcPr>
            <w:tcW w:w="326" w:type="dxa"/>
            <w:noWrap/>
            <w:vAlign w:val="center"/>
            <w:hideMark/>
          </w:tcPr>
          <w:p w14:paraId="7D99DDD8" w14:textId="77777777" w:rsidR="00126D8D" w:rsidRPr="004A4899" w:rsidRDefault="00126D8D" w:rsidP="00820288">
            <w:pPr>
              <w:spacing w:line="240" w:lineRule="auto"/>
              <w:rPr>
                <w:rFonts w:ascii="Times New Roman" w:hAnsi="Times New Roman" w:cs="Times New Roman"/>
                <w:sz w:val="13"/>
                <w:szCs w:val="13"/>
              </w:rPr>
            </w:pPr>
          </w:p>
        </w:tc>
        <w:tc>
          <w:tcPr>
            <w:tcW w:w="377" w:type="dxa"/>
            <w:noWrap/>
            <w:vAlign w:val="center"/>
            <w:hideMark/>
          </w:tcPr>
          <w:p w14:paraId="12E0A67A" w14:textId="77777777" w:rsidR="00126D8D" w:rsidRPr="004A4899" w:rsidRDefault="00126D8D" w:rsidP="00820288">
            <w:pPr>
              <w:spacing w:line="240" w:lineRule="auto"/>
              <w:jc w:val="right"/>
              <w:rPr>
                <w:rFonts w:ascii="Times New Roman" w:hAnsi="Times New Roman" w:cs="Times New Roman"/>
                <w:sz w:val="13"/>
                <w:szCs w:val="13"/>
              </w:rPr>
            </w:pPr>
          </w:p>
        </w:tc>
        <w:tc>
          <w:tcPr>
            <w:tcW w:w="326" w:type="dxa"/>
            <w:noWrap/>
            <w:vAlign w:val="center"/>
            <w:hideMark/>
          </w:tcPr>
          <w:p w14:paraId="4F5F454D" w14:textId="77777777" w:rsidR="00126D8D" w:rsidRPr="004A4899" w:rsidRDefault="00126D8D" w:rsidP="00820288">
            <w:pPr>
              <w:spacing w:line="240" w:lineRule="auto"/>
              <w:rPr>
                <w:rFonts w:ascii="Times New Roman" w:hAnsi="Times New Roman" w:cs="Times New Roman"/>
                <w:sz w:val="13"/>
                <w:szCs w:val="13"/>
              </w:rPr>
            </w:pPr>
          </w:p>
        </w:tc>
        <w:tc>
          <w:tcPr>
            <w:tcW w:w="377" w:type="dxa"/>
            <w:noWrap/>
            <w:vAlign w:val="center"/>
            <w:hideMark/>
          </w:tcPr>
          <w:p w14:paraId="14F2708B" w14:textId="77777777" w:rsidR="00126D8D" w:rsidRPr="004A4899" w:rsidRDefault="00126D8D" w:rsidP="00820288">
            <w:pPr>
              <w:spacing w:line="240" w:lineRule="auto"/>
              <w:jc w:val="right"/>
              <w:rPr>
                <w:rFonts w:ascii="Times New Roman" w:hAnsi="Times New Roman" w:cs="Times New Roman"/>
                <w:sz w:val="13"/>
                <w:szCs w:val="13"/>
              </w:rPr>
            </w:pPr>
          </w:p>
        </w:tc>
        <w:tc>
          <w:tcPr>
            <w:tcW w:w="219" w:type="dxa"/>
            <w:noWrap/>
            <w:vAlign w:val="center"/>
            <w:hideMark/>
          </w:tcPr>
          <w:p w14:paraId="33D4489B" w14:textId="77777777" w:rsidR="00126D8D" w:rsidRPr="004A4899" w:rsidRDefault="00126D8D" w:rsidP="00820288">
            <w:pPr>
              <w:spacing w:line="240" w:lineRule="auto"/>
              <w:rPr>
                <w:rFonts w:ascii="Times New Roman" w:hAnsi="Times New Roman" w:cs="Times New Roman"/>
                <w:sz w:val="13"/>
                <w:szCs w:val="13"/>
              </w:rPr>
            </w:pPr>
          </w:p>
        </w:tc>
        <w:tc>
          <w:tcPr>
            <w:tcW w:w="377" w:type="dxa"/>
            <w:noWrap/>
            <w:vAlign w:val="center"/>
            <w:hideMark/>
          </w:tcPr>
          <w:p w14:paraId="71F2406A" w14:textId="77777777" w:rsidR="00126D8D" w:rsidRPr="004A4899" w:rsidRDefault="00126D8D" w:rsidP="00820288">
            <w:pPr>
              <w:spacing w:line="240" w:lineRule="auto"/>
              <w:jc w:val="right"/>
              <w:rPr>
                <w:rFonts w:ascii="Times New Roman" w:hAnsi="Times New Roman" w:cs="Times New Roman"/>
                <w:sz w:val="13"/>
                <w:szCs w:val="13"/>
              </w:rPr>
            </w:pPr>
          </w:p>
        </w:tc>
        <w:tc>
          <w:tcPr>
            <w:tcW w:w="159" w:type="dxa"/>
            <w:noWrap/>
            <w:vAlign w:val="center"/>
            <w:hideMark/>
          </w:tcPr>
          <w:p w14:paraId="759E281A" w14:textId="77777777" w:rsidR="00126D8D" w:rsidRPr="004A4899" w:rsidRDefault="00126D8D" w:rsidP="00820288">
            <w:pPr>
              <w:spacing w:line="240" w:lineRule="auto"/>
              <w:rPr>
                <w:rFonts w:ascii="Times New Roman" w:hAnsi="Times New Roman" w:cs="Times New Roman"/>
                <w:sz w:val="13"/>
                <w:szCs w:val="13"/>
              </w:rPr>
            </w:pPr>
          </w:p>
        </w:tc>
        <w:tc>
          <w:tcPr>
            <w:tcW w:w="377" w:type="dxa"/>
            <w:noWrap/>
            <w:vAlign w:val="center"/>
            <w:hideMark/>
          </w:tcPr>
          <w:p w14:paraId="4F75688D" w14:textId="77777777" w:rsidR="00126D8D" w:rsidRPr="004A4899" w:rsidRDefault="00126D8D" w:rsidP="00820288">
            <w:pPr>
              <w:spacing w:line="240" w:lineRule="auto"/>
              <w:jc w:val="right"/>
              <w:rPr>
                <w:rFonts w:ascii="Times New Roman" w:hAnsi="Times New Roman" w:cs="Times New Roman"/>
                <w:sz w:val="13"/>
                <w:szCs w:val="13"/>
              </w:rPr>
            </w:pPr>
          </w:p>
        </w:tc>
        <w:tc>
          <w:tcPr>
            <w:tcW w:w="326" w:type="dxa"/>
            <w:noWrap/>
            <w:vAlign w:val="center"/>
            <w:hideMark/>
          </w:tcPr>
          <w:p w14:paraId="6638D3D8" w14:textId="77777777" w:rsidR="00126D8D" w:rsidRPr="004A4899" w:rsidRDefault="00126D8D" w:rsidP="00820288">
            <w:pPr>
              <w:spacing w:line="240" w:lineRule="auto"/>
              <w:rPr>
                <w:rFonts w:ascii="Times New Roman" w:hAnsi="Times New Roman" w:cs="Times New Roman"/>
                <w:sz w:val="13"/>
                <w:szCs w:val="13"/>
              </w:rPr>
            </w:pPr>
          </w:p>
        </w:tc>
        <w:tc>
          <w:tcPr>
            <w:tcW w:w="377" w:type="dxa"/>
            <w:noWrap/>
            <w:vAlign w:val="center"/>
            <w:hideMark/>
          </w:tcPr>
          <w:p w14:paraId="2D23F184" w14:textId="77777777" w:rsidR="00126D8D" w:rsidRPr="004A4899" w:rsidRDefault="00126D8D" w:rsidP="00820288">
            <w:pPr>
              <w:spacing w:line="240" w:lineRule="auto"/>
              <w:jc w:val="right"/>
              <w:rPr>
                <w:rFonts w:ascii="Times New Roman" w:hAnsi="Times New Roman" w:cs="Times New Roman"/>
                <w:sz w:val="13"/>
                <w:szCs w:val="13"/>
              </w:rPr>
            </w:pPr>
          </w:p>
        </w:tc>
        <w:tc>
          <w:tcPr>
            <w:tcW w:w="252" w:type="dxa"/>
            <w:noWrap/>
            <w:vAlign w:val="center"/>
            <w:hideMark/>
          </w:tcPr>
          <w:p w14:paraId="56F52BF2" w14:textId="77777777" w:rsidR="00126D8D" w:rsidRPr="004A4899" w:rsidRDefault="00126D8D" w:rsidP="00820288">
            <w:pPr>
              <w:spacing w:line="240" w:lineRule="auto"/>
              <w:rPr>
                <w:rFonts w:ascii="Times New Roman" w:hAnsi="Times New Roman" w:cs="Times New Roman"/>
                <w:sz w:val="13"/>
                <w:szCs w:val="13"/>
              </w:rPr>
            </w:pPr>
          </w:p>
        </w:tc>
        <w:tc>
          <w:tcPr>
            <w:tcW w:w="377" w:type="dxa"/>
            <w:noWrap/>
            <w:vAlign w:val="center"/>
            <w:hideMark/>
          </w:tcPr>
          <w:p w14:paraId="16A3B856" w14:textId="77777777" w:rsidR="00126D8D" w:rsidRPr="004A4899" w:rsidRDefault="00126D8D" w:rsidP="00820288">
            <w:pPr>
              <w:spacing w:line="240" w:lineRule="auto"/>
              <w:jc w:val="right"/>
              <w:rPr>
                <w:rFonts w:ascii="Times New Roman" w:hAnsi="Times New Roman" w:cs="Times New Roman"/>
                <w:sz w:val="13"/>
                <w:szCs w:val="13"/>
              </w:rPr>
            </w:pPr>
          </w:p>
        </w:tc>
        <w:tc>
          <w:tcPr>
            <w:tcW w:w="273" w:type="dxa"/>
            <w:noWrap/>
            <w:vAlign w:val="center"/>
            <w:hideMark/>
          </w:tcPr>
          <w:p w14:paraId="21E3716B" w14:textId="77777777" w:rsidR="00126D8D" w:rsidRPr="004A4899" w:rsidRDefault="00126D8D" w:rsidP="00820288">
            <w:pPr>
              <w:spacing w:line="240" w:lineRule="auto"/>
              <w:rPr>
                <w:rFonts w:ascii="Times New Roman" w:hAnsi="Times New Roman" w:cs="Times New Roman"/>
                <w:sz w:val="13"/>
                <w:szCs w:val="13"/>
              </w:rPr>
            </w:pPr>
          </w:p>
        </w:tc>
        <w:tc>
          <w:tcPr>
            <w:tcW w:w="377" w:type="dxa"/>
            <w:noWrap/>
            <w:vAlign w:val="center"/>
            <w:hideMark/>
          </w:tcPr>
          <w:p w14:paraId="2D82D5DC" w14:textId="77777777" w:rsidR="00126D8D" w:rsidRPr="004A4899" w:rsidRDefault="00126D8D" w:rsidP="00820288">
            <w:pPr>
              <w:spacing w:line="240" w:lineRule="auto"/>
              <w:jc w:val="right"/>
              <w:rPr>
                <w:rFonts w:ascii="Times New Roman" w:hAnsi="Times New Roman" w:cs="Times New Roman"/>
                <w:sz w:val="13"/>
                <w:szCs w:val="13"/>
              </w:rPr>
            </w:pPr>
          </w:p>
        </w:tc>
        <w:tc>
          <w:tcPr>
            <w:tcW w:w="273" w:type="dxa"/>
            <w:noWrap/>
            <w:vAlign w:val="center"/>
            <w:hideMark/>
          </w:tcPr>
          <w:p w14:paraId="0F533769" w14:textId="77777777" w:rsidR="00126D8D" w:rsidRPr="004A4899" w:rsidRDefault="00126D8D" w:rsidP="00820288">
            <w:pPr>
              <w:spacing w:line="240" w:lineRule="auto"/>
              <w:rPr>
                <w:rFonts w:ascii="Times New Roman" w:hAnsi="Times New Roman" w:cs="Times New Roman"/>
                <w:sz w:val="13"/>
                <w:szCs w:val="13"/>
              </w:rPr>
            </w:pPr>
          </w:p>
        </w:tc>
      </w:tr>
      <w:tr w:rsidR="00126D8D" w:rsidRPr="004A4899" w14:paraId="4358CC46" w14:textId="77777777" w:rsidTr="00820288">
        <w:trPr>
          <w:trHeight w:val="173"/>
        </w:trPr>
        <w:tc>
          <w:tcPr>
            <w:tcW w:w="1440" w:type="dxa"/>
            <w:noWrap/>
            <w:vAlign w:val="center"/>
            <w:hideMark/>
          </w:tcPr>
          <w:p w14:paraId="2E2C0434" w14:textId="77777777" w:rsidR="00126D8D" w:rsidRPr="004A4899" w:rsidRDefault="00126D8D" w:rsidP="00820288">
            <w:pPr>
              <w:spacing w:line="240" w:lineRule="auto"/>
              <w:rPr>
                <w:rFonts w:ascii="Times New Roman" w:hAnsi="Times New Roman" w:cs="Times New Roman"/>
                <w:sz w:val="12"/>
                <w:szCs w:val="12"/>
              </w:rPr>
            </w:pPr>
            <w:r w:rsidRPr="004A4899">
              <w:rPr>
                <w:rFonts w:ascii="Times New Roman" w:hAnsi="Times New Roman" w:cs="Times New Roman"/>
                <w:sz w:val="12"/>
                <w:szCs w:val="12"/>
              </w:rPr>
              <w:t>Benzamide</w:t>
            </w:r>
          </w:p>
        </w:tc>
        <w:tc>
          <w:tcPr>
            <w:tcW w:w="377" w:type="dxa"/>
            <w:noWrap/>
            <w:vAlign w:val="center"/>
            <w:hideMark/>
          </w:tcPr>
          <w:p w14:paraId="69A9FDFA" w14:textId="77777777" w:rsidR="00126D8D" w:rsidRPr="004A4899" w:rsidRDefault="00126D8D" w:rsidP="00820288">
            <w:pPr>
              <w:spacing w:line="240" w:lineRule="auto"/>
              <w:jc w:val="right"/>
              <w:rPr>
                <w:rFonts w:ascii="Times New Roman" w:hAnsi="Times New Roman" w:cs="Times New Roman"/>
                <w:sz w:val="13"/>
                <w:szCs w:val="13"/>
              </w:rPr>
            </w:pPr>
            <w:r w:rsidRPr="004A4899">
              <w:rPr>
                <w:rFonts w:ascii="Times New Roman" w:hAnsi="Times New Roman" w:cs="Times New Roman"/>
                <w:sz w:val="13"/>
                <w:szCs w:val="13"/>
              </w:rPr>
              <w:t>9.97</w:t>
            </w:r>
          </w:p>
        </w:tc>
        <w:tc>
          <w:tcPr>
            <w:tcW w:w="274" w:type="dxa"/>
            <w:noWrap/>
            <w:vAlign w:val="center"/>
            <w:hideMark/>
          </w:tcPr>
          <w:p w14:paraId="39815DC7" w14:textId="77777777" w:rsidR="00126D8D" w:rsidRPr="004A4899" w:rsidRDefault="00126D8D" w:rsidP="00820288">
            <w:pPr>
              <w:spacing w:line="240" w:lineRule="auto"/>
              <w:rPr>
                <w:rFonts w:ascii="Times New Roman" w:hAnsi="Times New Roman" w:cs="Times New Roman"/>
                <w:sz w:val="13"/>
                <w:szCs w:val="13"/>
              </w:rPr>
            </w:pPr>
            <w:r w:rsidRPr="004A4899">
              <w:rPr>
                <w:rFonts w:ascii="Times New Roman" w:hAnsi="Times New Roman" w:cs="Times New Roman"/>
                <w:sz w:val="13"/>
                <w:szCs w:val="13"/>
              </w:rPr>
              <w:t>ab</w:t>
            </w:r>
          </w:p>
        </w:tc>
        <w:tc>
          <w:tcPr>
            <w:tcW w:w="411" w:type="dxa"/>
            <w:noWrap/>
            <w:vAlign w:val="center"/>
            <w:hideMark/>
          </w:tcPr>
          <w:p w14:paraId="32F75BBC" w14:textId="77777777" w:rsidR="00126D8D" w:rsidRPr="004A4899" w:rsidRDefault="00126D8D" w:rsidP="00820288">
            <w:pPr>
              <w:spacing w:line="240" w:lineRule="auto"/>
              <w:jc w:val="right"/>
              <w:rPr>
                <w:rFonts w:ascii="Times New Roman" w:hAnsi="Times New Roman" w:cs="Times New Roman"/>
                <w:sz w:val="13"/>
                <w:szCs w:val="13"/>
              </w:rPr>
            </w:pPr>
            <w:r w:rsidRPr="004A4899">
              <w:rPr>
                <w:rFonts w:ascii="Times New Roman" w:hAnsi="Times New Roman" w:cs="Times New Roman"/>
                <w:sz w:val="13"/>
                <w:szCs w:val="13"/>
              </w:rPr>
              <w:t>8.40</w:t>
            </w:r>
          </w:p>
        </w:tc>
        <w:tc>
          <w:tcPr>
            <w:tcW w:w="239" w:type="dxa"/>
            <w:noWrap/>
            <w:vAlign w:val="center"/>
            <w:hideMark/>
          </w:tcPr>
          <w:p w14:paraId="5686F6DD" w14:textId="77777777" w:rsidR="00126D8D" w:rsidRPr="004A4899" w:rsidRDefault="00126D8D" w:rsidP="00820288">
            <w:pPr>
              <w:spacing w:line="240" w:lineRule="auto"/>
              <w:rPr>
                <w:rFonts w:ascii="Times New Roman" w:hAnsi="Times New Roman" w:cs="Times New Roman"/>
                <w:sz w:val="13"/>
                <w:szCs w:val="13"/>
              </w:rPr>
            </w:pPr>
            <w:r w:rsidRPr="004A4899">
              <w:rPr>
                <w:rFonts w:ascii="Times New Roman" w:hAnsi="Times New Roman" w:cs="Times New Roman"/>
                <w:sz w:val="13"/>
                <w:szCs w:val="13"/>
              </w:rPr>
              <w:t>b</w:t>
            </w:r>
          </w:p>
        </w:tc>
        <w:tc>
          <w:tcPr>
            <w:tcW w:w="377" w:type="dxa"/>
            <w:noWrap/>
            <w:vAlign w:val="center"/>
            <w:hideMark/>
          </w:tcPr>
          <w:p w14:paraId="12B965A3" w14:textId="77777777" w:rsidR="00126D8D" w:rsidRPr="004A4899" w:rsidRDefault="00126D8D" w:rsidP="00820288">
            <w:pPr>
              <w:spacing w:line="240" w:lineRule="auto"/>
              <w:jc w:val="right"/>
              <w:rPr>
                <w:rFonts w:ascii="Times New Roman" w:hAnsi="Times New Roman" w:cs="Times New Roman"/>
                <w:sz w:val="13"/>
                <w:szCs w:val="13"/>
              </w:rPr>
            </w:pPr>
            <w:r w:rsidRPr="004A4899">
              <w:rPr>
                <w:rFonts w:ascii="Times New Roman" w:hAnsi="Times New Roman" w:cs="Times New Roman"/>
                <w:sz w:val="13"/>
                <w:szCs w:val="13"/>
              </w:rPr>
              <w:t>9.94</w:t>
            </w:r>
          </w:p>
        </w:tc>
        <w:tc>
          <w:tcPr>
            <w:tcW w:w="273" w:type="dxa"/>
            <w:noWrap/>
            <w:vAlign w:val="center"/>
            <w:hideMark/>
          </w:tcPr>
          <w:p w14:paraId="6D7CE086" w14:textId="77777777" w:rsidR="00126D8D" w:rsidRPr="004A4899" w:rsidRDefault="00126D8D" w:rsidP="00820288">
            <w:pPr>
              <w:spacing w:line="240" w:lineRule="auto"/>
              <w:rPr>
                <w:rFonts w:ascii="Times New Roman" w:hAnsi="Times New Roman" w:cs="Times New Roman"/>
                <w:sz w:val="13"/>
                <w:szCs w:val="13"/>
              </w:rPr>
            </w:pPr>
            <w:r w:rsidRPr="004A4899">
              <w:rPr>
                <w:rFonts w:ascii="Times New Roman" w:hAnsi="Times New Roman" w:cs="Times New Roman"/>
                <w:sz w:val="13"/>
                <w:szCs w:val="13"/>
              </w:rPr>
              <w:t>ab</w:t>
            </w:r>
          </w:p>
        </w:tc>
        <w:tc>
          <w:tcPr>
            <w:tcW w:w="377" w:type="dxa"/>
            <w:noWrap/>
            <w:vAlign w:val="center"/>
            <w:hideMark/>
          </w:tcPr>
          <w:p w14:paraId="6ABE6B5D" w14:textId="77777777" w:rsidR="00126D8D" w:rsidRPr="004A4899" w:rsidRDefault="00126D8D" w:rsidP="00820288">
            <w:pPr>
              <w:spacing w:line="240" w:lineRule="auto"/>
              <w:jc w:val="right"/>
              <w:rPr>
                <w:rFonts w:ascii="Times New Roman" w:hAnsi="Times New Roman" w:cs="Times New Roman"/>
                <w:sz w:val="13"/>
                <w:szCs w:val="13"/>
              </w:rPr>
            </w:pPr>
            <w:r w:rsidRPr="004A4899">
              <w:rPr>
                <w:rFonts w:ascii="Times New Roman" w:hAnsi="Times New Roman" w:cs="Times New Roman"/>
                <w:sz w:val="13"/>
                <w:szCs w:val="13"/>
              </w:rPr>
              <w:t>10.23</w:t>
            </w:r>
          </w:p>
        </w:tc>
        <w:tc>
          <w:tcPr>
            <w:tcW w:w="273" w:type="dxa"/>
            <w:noWrap/>
            <w:vAlign w:val="center"/>
            <w:hideMark/>
          </w:tcPr>
          <w:p w14:paraId="2629C433" w14:textId="77777777" w:rsidR="00126D8D" w:rsidRPr="004A4899" w:rsidRDefault="00126D8D" w:rsidP="00820288">
            <w:pPr>
              <w:spacing w:line="240" w:lineRule="auto"/>
              <w:rPr>
                <w:rFonts w:ascii="Times New Roman" w:hAnsi="Times New Roman" w:cs="Times New Roman"/>
                <w:sz w:val="13"/>
                <w:szCs w:val="13"/>
              </w:rPr>
            </w:pPr>
            <w:r w:rsidRPr="004A4899">
              <w:rPr>
                <w:rFonts w:ascii="Times New Roman" w:hAnsi="Times New Roman" w:cs="Times New Roman"/>
                <w:sz w:val="13"/>
                <w:szCs w:val="13"/>
              </w:rPr>
              <w:t>ab</w:t>
            </w:r>
          </w:p>
        </w:tc>
        <w:tc>
          <w:tcPr>
            <w:tcW w:w="377" w:type="dxa"/>
            <w:noWrap/>
            <w:vAlign w:val="center"/>
            <w:hideMark/>
          </w:tcPr>
          <w:p w14:paraId="2B58A435" w14:textId="77777777" w:rsidR="00126D8D" w:rsidRPr="004A4899" w:rsidRDefault="00126D8D" w:rsidP="00820288">
            <w:pPr>
              <w:spacing w:line="240" w:lineRule="auto"/>
              <w:jc w:val="right"/>
              <w:rPr>
                <w:rFonts w:ascii="Times New Roman" w:hAnsi="Times New Roman" w:cs="Times New Roman"/>
                <w:sz w:val="13"/>
                <w:szCs w:val="13"/>
              </w:rPr>
            </w:pPr>
            <w:r w:rsidRPr="004A4899">
              <w:rPr>
                <w:rFonts w:ascii="Times New Roman" w:hAnsi="Times New Roman" w:cs="Times New Roman"/>
                <w:sz w:val="13"/>
                <w:szCs w:val="13"/>
              </w:rPr>
              <w:t>14.69</w:t>
            </w:r>
          </w:p>
        </w:tc>
        <w:tc>
          <w:tcPr>
            <w:tcW w:w="326" w:type="dxa"/>
            <w:noWrap/>
            <w:vAlign w:val="center"/>
            <w:hideMark/>
          </w:tcPr>
          <w:p w14:paraId="02A04A44" w14:textId="77777777" w:rsidR="00126D8D" w:rsidRPr="004A4899" w:rsidRDefault="00126D8D" w:rsidP="00820288">
            <w:pPr>
              <w:spacing w:line="240" w:lineRule="auto"/>
              <w:rPr>
                <w:rFonts w:ascii="Times New Roman" w:hAnsi="Times New Roman" w:cs="Times New Roman"/>
                <w:sz w:val="13"/>
                <w:szCs w:val="13"/>
              </w:rPr>
            </w:pPr>
            <w:r w:rsidRPr="004A4899">
              <w:rPr>
                <w:rFonts w:ascii="Times New Roman" w:hAnsi="Times New Roman" w:cs="Times New Roman"/>
                <w:sz w:val="13"/>
                <w:szCs w:val="13"/>
              </w:rPr>
              <w:t>ab</w:t>
            </w:r>
          </w:p>
        </w:tc>
        <w:tc>
          <w:tcPr>
            <w:tcW w:w="377" w:type="dxa"/>
            <w:noWrap/>
            <w:vAlign w:val="center"/>
            <w:hideMark/>
          </w:tcPr>
          <w:p w14:paraId="5A4DD158" w14:textId="77777777" w:rsidR="00126D8D" w:rsidRPr="004A4899" w:rsidRDefault="00126D8D" w:rsidP="00820288">
            <w:pPr>
              <w:spacing w:line="240" w:lineRule="auto"/>
              <w:jc w:val="right"/>
              <w:rPr>
                <w:rFonts w:ascii="Times New Roman" w:hAnsi="Times New Roman" w:cs="Times New Roman"/>
                <w:sz w:val="13"/>
                <w:szCs w:val="13"/>
              </w:rPr>
            </w:pPr>
            <w:r w:rsidRPr="004A4899">
              <w:rPr>
                <w:rFonts w:ascii="Times New Roman" w:hAnsi="Times New Roman" w:cs="Times New Roman"/>
                <w:sz w:val="13"/>
                <w:szCs w:val="13"/>
              </w:rPr>
              <w:t>12.25</w:t>
            </w:r>
          </w:p>
        </w:tc>
        <w:tc>
          <w:tcPr>
            <w:tcW w:w="326" w:type="dxa"/>
            <w:noWrap/>
            <w:vAlign w:val="center"/>
            <w:hideMark/>
          </w:tcPr>
          <w:p w14:paraId="7664F11D" w14:textId="77777777" w:rsidR="00126D8D" w:rsidRPr="004A4899" w:rsidRDefault="00126D8D" w:rsidP="00820288">
            <w:pPr>
              <w:spacing w:line="240" w:lineRule="auto"/>
              <w:rPr>
                <w:rFonts w:ascii="Times New Roman" w:hAnsi="Times New Roman" w:cs="Times New Roman"/>
                <w:sz w:val="13"/>
                <w:szCs w:val="13"/>
              </w:rPr>
            </w:pPr>
            <w:r w:rsidRPr="004A4899">
              <w:rPr>
                <w:rFonts w:ascii="Times New Roman" w:hAnsi="Times New Roman" w:cs="Times New Roman"/>
                <w:sz w:val="13"/>
                <w:szCs w:val="13"/>
              </w:rPr>
              <w:t>ab</w:t>
            </w:r>
          </w:p>
        </w:tc>
        <w:tc>
          <w:tcPr>
            <w:tcW w:w="377" w:type="dxa"/>
            <w:noWrap/>
            <w:vAlign w:val="center"/>
            <w:hideMark/>
          </w:tcPr>
          <w:p w14:paraId="1982D5B5" w14:textId="77777777" w:rsidR="00126D8D" w:rsidRPr="004A4899" w:rsidRDefault="00126D8D" w:rsidP="00820288">
            <w:pPr>
              <w:spacing w:line="240" w:lineRule="auto"/>
              <w:jc w:val="right"/>
              <w:rPr>
                <w:rFonts w:ascii="Times New Roman" w:hAnsi="Times New Roman" w:cs="Times New Roman"/>
                <w:sz w:val="13"/>
                <w:szCs w:val="13"/>
              </w:rPr>
            </w:pPr>
            <w:r w:rsidRPr="004A4899">
              <w:rPr>
                <w:rFonts w:ascii="Times New Roman" w:hAnsi="Times New Roman" w:cs="Times New Roman"/>
                <w:sz w:val="13"/>
                <w:szCs w:val="13"/>
              </w:rPr>
              <w:t>16.33</w:t>
            </w:r>
          </w:p>
        </w:tc>
        <w:tc>
          <w:tcPr>
            <w:tcW w:w="219" w:type="dxa"/>
            <w:noWrap/>
            <w:vAlign w:val="center"/>
            <w:hideMark/>
          </w:tcPr>
          <w:p w14:paraId="4B4D3115" w14:textId="77777777" w:rsidR="00126D8D" w:rsidRPr="004A4899" w:rsidRDefault="00126D8D" w:rsidP="00820288">
            <w:pPr>
              <w:spacing w:line="240" w:lineRule="auto"/>
              <w:rPr>
                <w:rFonts w:ascii="Times New Roman" w:hAnsi="Times New Roman" w:cs="Times New Roman"/>
                <w:sz w:val="13"/>
                <w:szCs w:val="13"/>
              </w:rPr>
            </w:pPr>
            <w:r w:rsidRPr="004A4899">
              <w:rPr>
                <w:rFonts w:ascii="Times New Roman" w:hAnsi="Times New Roman" w:cs="Times New Roman"/>
                <w:sz w:val="13"/>
                <w:szCs w:val="13"/>
              </w:rPr>
              <w:t>a</w:t>
            </w:r>
          </w:p>
        </w:tc>
        <w:tc>
          <w:tcPr>
            <w:tcW w:w="377" w:type="dxa"/>
            <w:noWrap/>
            <w:vAlign w:val="center"/>
            <w:hideMark/>
          </w:tcPr>
          <w:p w14:paraId="6B60D289" w14:textId="77777777" w:rsidR="00126D8D" w:rsidRPr="004A4899" w:rsidRDefault="00126D8D" w:rsidP="00820288">
            <w:pPr>
              <w:spacing w:line="240" w:lineRule="auto"/>
              <w:jc w:val="right"/>
              <w:rPr>
                <w:rFonts w:ascii="Times New Roman" w:hAnsi="Times New Roman" w:cs="Times New Roman"/>
                <w:sz w:val="13"/>
                <w:szCs w:val="13"/>
              </w:rPr>
            </w:pPr>
            <w:r w:rsidRPr="004A4899">
              <w:rPr>
                <w:rFonts w:ascii="Times New Roman" w:hAnsi="Times New Roman" w:cs="Times New Roman"/>
                <w:sz w:val="13"/>
                <w:szCs w:val="13"/>
              </w:rPr>
              <w:t>14.29</w:t>
            </w:r>
          </w:p>
        </w:tc>
        <w:tc>
          <w:tcPr>
            <w:tcW w:w="159" w:type="dxa"/>
            <w:noWrap/>
            <w:vAlign w:val="center"/>
            <w:hideMark/>
          </w:tcPr>
          <w:p w14:paraId="7C79BEC9" w14:textId="77777777" w:rsidR="00126D8D" w:rsidRPr="004A4899" w:rsidRDefault="00126D8D" w:rsidP="00820288">
            <w:pPr>
              <w:spacing w:line="240" w:lineRule="auto"/>
              <w:rPr>
                <w:rFonts w:ascii="Times New Roman" w:hAnsi="Times New Roman" w:cs="Times New Roman"/>
                <w:sz w:val="13"/>
                <w:szCs w:val="13"/>
              </w:rPr>
            </w:pPr>
            <w:r w:rsidRPr="004A4899">
              <w:rPr>
                <w:rFonts w:ascii="Times New Roman" w:hAnsi="Times New Roman" w:cs="Times New Roman"/>
                <w:sz w:val="13"/>
                <w:szCs w:val="13"/>
              </w:rPr>
              <w:t>ab</w:t>
            </w:r>
          </w:p>
        </w:tc>
        <w:tc>
          <w:tcPr>
            <w:tcW w:w="377" w:type="dxa"/>
            <w:noWrap/>
            <w:vAlign w:val="center"/>
            <w:hideMark/>
          </w:tcPr>
          <w:p w14:paraId="6599304F" w14:textId="77777777" w:rsidR="00126D8D" w:rsidRPr="004A4899" w:rsidRDefault="00126D8D" w:rsidP="00820288">
            <w:pPr>
              <w:spacing w:line="240" w:lineRule="auto"/>
              <w:jc w:val="right"/>
              <w:rPr>
                <w:rFonts w:ascii="Times New Roman" w:hAnsi="Times New Roman" w:cs="Times New Roman"/>
                <w:sz w:val="13"/>
                <w:szCs w:val="13"/>
              </w:rPr>
            </w:pPr>
            <w:r w:rsidRPr="004A4899">
              <w:rPr>
                <w:rFonts w:ascii="Times New Roman" w:hAnsi="Times New Roman" w:cs="Times New Roman"/>
                <w:sz w:val="13"/>
                <w:szCs w:val="13"/>
              </w:rPr>
              <w:t>11.89</w:t>
            </w:r>
          </w:p>
        </w:tc>
        <w:tc>
          <w:tcPr>
            <w:tcW w:w="326" w:type="dxa"/>
            <w:noWrap/>
            <w:vAlign w:val="center"/>
            <w:hideMark/>
          </w:tcPr>
          <w:p w14:paraId="40DF3A50" w14:textId="77777777" w:rsidR="00126D8D" w:rsidRPr="004A4899" w:rsidRDefault="00126D8D" w:rsidP="00820288">
            <w:pPr>
              <w:spacing w:line="240" w:lineRule="auto"/>
              <w:rPr>
                <w:rFonts w:ascii="Times New Roman" w:hAnsi="Times New Roman" w:cs="Times New Roman"/>
                <w:sz w:val="13"/>
                <w:szCs w:val="13"/>
              </w:rPr>
            </w:pPr>
            <w:r w:rsidRPr="004A4899">
              <w:rPr>
                <w:rFonts w:ascii="Times New Roman" w:hAnsi="Times New Roman" w:cs="Times New Roman"/>
                <w:sz w:val="13"/>
                <w:szCs w:val="13"/>
              </w:rPr>
              <w:t>ab</w:t>
            </w:r>
          </w:p>
        </w:tc>
        <w:tc>
          <w:tcPr>
            <w:tcW w:w="377" w:type="dxa"/>
            <w:noWrap/>
            <w:vAlign w:val="center"/>
            <w:hideMark/>
          </w:tcPr>
          <w:p w14:paraId="4ECCF351" w14:textId="77777777" w:rsidR="00126D8D" w:rsidRPr="004A4899" w:rsidRDefault="00126D8D" w:rsidP="00820288">
            <w:pPr>
              <w:spacing w:line="240" w:lineRule="auto"/>
              <w:jc w:val="right"/>
              <w:rPr>
                <w:rFonts w:ascii="Times New Roman" w:hAnsi="Times New Roman" w:cs="Times New Roman"/>
                <w:sz w:val="13"/>
                <w:szCs w:val="13"/>
              </w:rPr>
            </w:pPr>
            <w:r w:rsidRPr="004A4899">
              <w:rPr>
                <w:rFonts w:ascii="Times New Roman" w:hAnsi="Times New Roman" w:cs="Times New Roman"/>
                <w:sz w:val="13"/>
                <w:szCs w:val="13"/>
              </w:rPr>
              <w:t>9.73</w:t>
            </w:r>
          </w:p>
        </w:tc>
        <w:tc>
          <w:tcPr>
            <w:tcW w:w="252" w:type="dxa"/>
            <w:noWrap/>
            <w:vAlign w:val="center"/>
            <w:hideMark/>
          </w:tcPr>
          <w:p w14:paraId="279F459E" w14:textId="77777777" w:rsidR="00126D8D" w:rsidRPr="004A4899" w:rsidRDefault="00126D8D" w:rsidP="00820288">
            <w:pPr>
              <w:spacing w:line="240" w:lineRule="auto"/>
              <w:rPr>
                <w:rFonts w:ascii="Times New Roman" w:hAnsi="Times New Roman" w:cs="Times New Roman"/>
                <w:sz w:val="13"/>
                <w:szCs w:val="13"/>
              </w:rPr>
            </w:pPr>
            <w:r w:rsidRPr="004A4899">
              <w:rPr>
                <w:rFonts w:ascii="Times New Roman" w:hAnsi="Times New Roman" w:cs="Times New Roman"/>
                <w:sz w:val="13"/>
                <w:szCs w:val="13"/>
              </w:rPr>
              <w:t>ab</w:t>
            </w:r>
          </w:p>
        </w:tc>
        <w:tc>
          <w:tcPr>
            <w:tcW w:w="377" w:type="dxa"/>
            <w:noWrap/>
            <w:vAlign w:val="center"/>
            <w:hideMark/>
          </w:tcPr>
          <w:p w14:paraId="243E740D" w14:textId="77777777" w:rsidR="00126D8D" w:rsidRPr="004A4899" w:rsidRDefault="00126D8D" w:rsidP="00820288">
            <w:pPr>
              <w:spacing w:line="240" w:lineRule="auto"/>
              <w:jc w:val="right"/>
              <w:rPr>
                <w:rFonts w:ascii="Times New Roman" w:hAnsi="Times New Roman" w:cs="Times New Roman"/>
                <w:sz w:val="13"/>
                <w:szCs w:val="13"/>
              </w:rPr>
            </w:pPr>
            <w:r w:rsidRPr="004A4899">
              <w:rPr>
                <w:rFonts w:ascii="Times New Roman" w:hAnsi="Times New Roman" w:cs="Times New Roman"/>
                <w:sz w:val="13"/>
                <w:szCs w:val="13"/>
              </w:rPr>
              <w:t>11.13</w:t>
            </w:r>
          </w:p>
        </w:tc>
        <w:tc>
          <w:tcPr>
            <w:tcW w:w="273" w:type="dxa"/>
            <w:noWrap/>
            <w:vAlign w:val="center"/>
            <w:hideMark/>
          </w:tcPr>
          <w:p w14:paraId="0AF6CC4D" w14:textId="77777777" w:rsidR="00126D8D" w:rsidRPr="004A4899" w:rsidRDefault="00126D8D" w:rsidP="00820288">
            <w:pPr>
              <w:spacing w:line="240" w:lineRule="auto"/>
              <w:rPr>
                <w:rFonts w:ascii="Times New Roman" w:hAnsi="Times New Roman" w:cs="Times New Roman"/>
                <w:sz w:val="13"/>
                <w:szCs w:val="13"/>
              </w:rPr>
            </w:pPr>
            <w:r w:rsidRPr="004A4899">
              <w:rPr>
                <w:rFonts w:ascii="Times New Roman" w:hAnsi="Times New Roman" w:cs="Times New Roman"/>
                <w:sz w:val="13"/>
                <w:szCs w:val="13"/>
              </w:rPr>
              <w:t>ab</w:t>
            </w:r>
          </w:p>
        </w:tc>
        <w:tc>
          <w:tcPr>
            <w:tcW w:w="377" w:type="dxa"/>
            <w:noWrap/>
            <w:vAlign w:val="center"/>
            <w:hideMark/>
          </w:tcPr>
          <w:p w14:paraId="39085494" w14:textId="77777777" w:rsidR="00126D8D" w:rsidRPr="004A4899" w:rsidRDefault="00126D8D" w:rsidP="00820288">
            <w:pPr>
              <w:spacing w:line="240" w:lineRule="auto"/>
              <w:jc w:val="right"/>
              <w:rPr>
                <w:rFonts w:ascii="Times New Roman" w:hAnsi="Times New Roman" w:cs="Times New Roman"/>
                <w:sz w:val="13"/>
                <w:szCs w:val="13"/>
              </w:rPr>
            </w:pPr>
            <w:r w:rsidRPr="004A4899">
              <w:rPr>
                <w:rFonts w:ascii="Times New Roman" w:hAnsi="Times New Roman" w:cs="Times New Roman"/>
                <w:sz w:val="13"/>
                <w:szCs w:val="13"/>
              </w:rPr>
              <w:t>9.49</w:t>
            </w:r>
          </w:p>
        </w:tc>
        <w:tc>
          <w:tcPr>
            <w:tcW w:w="273" w:type="dxa"/>
            <w:noWrap/>
            <w:vAlign w:val="center"/>
            <w:hideMark/>
          </w:tcPr>
          <w:p w14:paraId="0FA18ADC" w14:textId="77777777" w:rsidR="00126D8D" w:rsidRPr="004A4899" w:rsidRDefault="00126D8D" w:rsidP="00820288">
            <w:pPr>
              <w:spacing w:line="240" w:lineRule="auto"/>
              <w:rPr>
                <w:rFonts w:ascii="Times New Roman" w:hAnsi="Times New Roman" w:cs="Times New Roman"/>
                <w:sz w:val="13"/>
                <w:szCs w:val="13"/>
              </w:rPr>
            </w:pPr>
            <w:r w:rsidRPr="004A4899">
              <w:rPr>
                <w:rFonts w:ascii="Times New Roman" w:hAnsi="Times New Roman" w:cs="Times New Roman"/>
                <w:sz w:val="13"/>
                <w:szCs w:val="13"/>
              </w:rPr>
              <w:t>ab</w:t>
            </w:r>
          </w:p>
        </w:tc>
      </w:tr>
      <w:tr w:rsidR="00126D8D" w:rsidRPr="004A4899" w14:paraId="1D6169FB" w14:textId="77777777" w:rsidTr="00820288">
        <w:trPr>
          <w:trHeight w:val="173"/>
        </w:trPr>
        <w:tc>
          <w:tcPr>
            <w:tcW w:w="1440" w:type="dxa"/>
            <w:noWrap/>
            <w:vAlign w:val="center"/>
            <w:hideMark/>
          </w:tcPr>
          <w:p w14:paraId="40A175AB" w14:textId="77777777" w:rsidR="00126D8D" w:rsidRPr="004A4899" w:rsidRDefault="00126D8D" w:rsidP="00820288">
            <w:pPr>
              <w:spacing w:line="240" w:lineRule="auto"/>
              <w:rPr>
                <w:rFonts w:ascii="Times New Roman" w:hAnsi="Times New Roman" w:cs="Times New Roman"/>
                <w:sz w:val="12"/>
                <w:szCs w:val="12"/>
              </w:rPr>
            </w:pPr>
            <w:r w:rsidRPr="004A4899">
              <w:rPr>
                <w:rFonts w:ascii="Times New Roman" w:hAnsi="Times New Roman" w:cs="Times New Roman"/>
                <w:sz w:val="12"/>
                <w:szCs w:val="12"/>
              </w:rPr>
              <w:t>N-phenyl-Formamide</w:t>
            </w:r>
          </w:p>
        </w:tc>
        <w:tc>
          <w:tcPr>
            <w:tcW w:w="377" w:type="dxa"/>
            <w:noWrap/>
            <w:vAlign w:val="center"/>
            <w:hideMark/>
          </w:tcPr>
          <w:p w14:paraId="0D2BEB9A" w14:textId="77777777" w:rsidR="00126D8D" w:rsidRPr="004A4899" w:rsidRDefault="00126D8D" w:rsidP="00820288">
            <w:pPr>
              <w:spacing w:line="240" w:lineRule="auto"/>
              <w:jc w:val="right"/>
              <w:rPr>
                <w:rFonts w:ascii="Times New Roman" w:hAnsi="Times New Roman" w:cs="Times New Roman"/>
                <w:sz w:val="13"/>
                <w:szCs w:val="13"/>
              </w:rPr>
            </w:pPr>
            <w:r w:rsidRPr="004A4899">
              <w:rPr>
                <w:rFonts w:ascii="Times New Roman" w:hAnsi="Times New Roman" w:cs="Times New Roman"/>
                <w:sz w:val="13"/>
                <w:szCs w:val="13"/>
              </w:rPr>
              <w:t>12.85</w:t>
            </w:r>
          </w:p>
        </w:tc>
        <w:tc>
          <w:tcPr>
            <w:tcW w:w="274" w:type="dxa"/>
            <w:noWrap/>
            <w:vAlign w:val="center"/>
            <w:hideMark/>
          </w:tcPr>
          <w:p w14:paraId="68FA3B8C" w14:textId="77777777" w:rsidR="00126D8D" w:rsidRPr="004A4899" w:rsidRDefault="00126D8D" w:rsidP="00820288">
            <w:pPr>
              <w:spacing w:line="240" w:lineRule="auto"/>
              <w:rPr>
                <w:rFonts w:ascii="Times New Roman" w:hAnsi="Times New Roman" w:cs="Times New Roman"/>
                <w:sz w:val="13"/>
                <w:szCs w:val="13"/>
              </w:rPr>
            </w:pPr>
            <w:r w:rsidRPr="004A4899">
              <w:rPr>
                <w:rFonts w:ascii="Times New Roman" w:hAnsi="Times New Roman" w:cs="Times New Roman"/>
                <w:sz w:val="13"/>
                <w:szCs w:val="13"/>
              </w:rPr>
              <w:t>ab</w:t>
            </w:r>
          </w:p>
        </w:tc>
        <w:tc>
          <w:tcPr>
            <w:tcW w:w="411" w:type="dxa"/>
            <w:noWrap/>
            <w:vAlign w:val="center"/>
            <w:hideMark/>
          </w:tcPr>
          <w:p w14:paraId="62CB6A6F" w14:textId="77777777" w:rsidR="00126D8D" w:rsidRPr="004A4899" w:rsidRDefault="00126D8D" w:rsidP="00820288">
            <w:pPr>
              <w:spacing w:line="240" w:lineRule="auto"/>
              <w:jc w:val="right"/>
              <w:rPr>
                <w:rFonts w:ascii="Times New Roman" w:hAnsi="Times New Roman" w:cs="Times New Roman"/>
                <w:sz w:val="13"/>
                <w:szCs w:val="13"/>
              </w:rPr>
            </w:pPr>
            <w:r w:rsidRPr="004A4899">
              <w:rPr>
                <w:rFonts w:ascii="Times New Roman" w:hAnsi="Times New Roman" w:cs="Times New Roman"/>
                <w:sz w:val="13"/>
                <w:szCs w:val="13"/>
              </w:rPr>
              <w:t>16.24</w:t>
            </w:r>
          </w:p>
        </w:tc>
        <w:tc>
          <w:tcPr>
            <w:tcW w:w="239" w:type="dxa"/>
            <w:noWrap/>
            <w:vAlign w:val="center"/>
            <w:hideMark/>
          </w:tcPr>
          <w:p w14:paraId="30BF18D7" w14:textId="77777777" w:rsidR="00126D8D" w:rsidRPr="004A4899" w:rsidRDefault="00126D8D" w:rsidP="00820288">
            <w:pPr>
              <w:spacing w:line="240" w:lineRule="auto"/>
              <w:rPr>
                <w:rFonts w:ascii="Times New Roman" w:hAnsi="Times New Roman" w:cs="Times New Roman"/>
                <w:sz w:val="13"/>
                <w:szCs w:val="13"/>
              </w:rPr>
            </w:pPr>
            <w:r w:rsidRPr="004A4899">
              <w:rPr>
                <w:rFonts w:ascii="Times New Roman" w:hAnsi="Times New Roman" w:cs="Times New Roman"/>
                <w:sz w:val="13"/>
                <w:szCs w:val="13"/>
              </w:rPr>
              <w:t>ab</w:t>
            </w:r>
          </w:p>
        </w:tc>
        <w:tc>
          <w:tcPr>
            <w:tcW w:w="377" w:type="dxa"/>
            <w:noWrap/>
            <w:vAlign w:val="center"/>
            <w:hideMark/>
          </w:tcPr>
          <w:p w14:paraId="2E28B4E4" w14:textId="77777777" w:rsidR="00126D8D" w:rsidRPr="004A4899" w:rsidRDefault="00126D8D" w:rsidP="00820288">
            <w:pPr>
              <w:spacing w:line="240" w:lineRule="auto"/>
              <w:jc w:val="right"/>
              <w:rPr>
                <w:rFonts w:ascii="Times New Roman" w:hAnsi="Times New Roman" w:cs="Times New Roman"/>
                <w:sz w:val="13"/>
                <w:szCs w:val="13"/>
              </w:rPr>
            </w:pPr>
            <w:r w:rsidRPr="004A4899">
              <w:rPr>
                <w:rFonts w:ascii="Times New Roman" w:hAnsi="Times New Roman" w:cs="Times New Roman"/>
                <w:sz w:val="13"/>
                <w:szCs w:val="13"/>
              </w:rPr>
              <w:t>15.69</w:t>
            </w:r>
          </w:p>
        </w:tc>
        <w:tc>
          <w:tcPr>
            <w:tcW w:w="273" w:type="dxa"/>
            <w:noWrap/>
            <w:vAlign w:val="center"/>
            <w:hideMark/>
          </w:tcPr>
          <w:p w14:paraId="6AB05EED" w14:textId="77777777" w:rsidR="00126D8D" w:rsidRPr="004A4899" w:rsidRDefault="00126D8D" w:rsidP="00820288">
            <w:pPr>
              <w:spacing w:line="240" w:lineRule="auto"/>
              <w:rPr>
                <w:rFonts w:ascii="Times New Roman" w:hAnsi="Times New Roman" w:cs="Times New Roman"/>
                <w:sz w:val="13"/>
                <w:szCs w:val="13"/>
              </w:rPr>
            </w:pPr>
            <w:r w:rsidRPr="004A4899">
              <w:rPr>
                <w:rFonts w:ascii="Times New Roman" w:hAnsi="Times New Roman" w:cs="Times New Roman"/>
                <w:sz w:val="13"/>
                <w:szCs w:val="13"/>
              </w:rPr>
              <w:t>ab</w:t>
            </w:r>
          </w:p>
        </w:tc>
        <w:tc>
          <w:tcPr>
            <w:tcW w:w="377" w:type="dxa"/>
            <w:noWrap/>
            <w:vAlign w:val="center"/>
            <w:hideMark/>
          </w:tcPr>
          <w:p w14:paraId="0B368A9C" w14:textId="77777777" w:rsidR="00126D8D" w:rsidRPr="004A4899" w:rsidRDefault="00126D8D" w:rsidP="00820288">
            <w:pPr>
              <w:spacing w:line="240" w:lineRule="auto"/>
              <w:jc w:val="right"/>
              <w:rPr>
                <w:rFonts w:ascii="Times New Roman" w:hAnsi="Times New Roman" w:cs="Times New Roman"/>
                <w:sz w:val="13"/>
                <w:szCs w:val="13"/>
              </w:rPr>
            </w:pPr>
            <w:r w:rsidRPr="004A4899">
              <w:rPr>
                <w:rFonts w:ascii="Times New Roman" w:hAnsi="Times New Roman" w:cs="Times New Roman"/>
                <w:sz w:val="13"/>
                <w:szCs w:val="13"/>
              </w:rPr>
              <w:t>16.85</w:t>
            </w:r>
          </w:p>
        </w:tc>
        <w:tc>
          <w:tcPr>
            <w:tcW w:w="273" w:type="dxa"/>
            <w:noWrap/>
            <w:vAlign w:val="center"/>
            <w:hideMark/>
          </w:tcPr>
          <w:p w14:paraId="46703459" w14:textId="77777777" w:rsidR="00126D8D" w:rsidRPr="004A4899" w:rsidRDefault="00126D8D" w:rsidP="00820288">
            <w:pPr>
              <w:spacing w:line="240" w:lineRule="auto"/>
              <w:rPr>
                <w:rFonts w:ascii="Times New Roman" w:hAnsi="Times New Roman" w:cs="Times New Roman"/>
                <w:sz w:val="13"/>
                <w:szCs w:val="13"/>
              </w:rPr>
            </w:pPr>
            <w:r w:rsidRPr="004A4899">
              <w:rPr>
                <w:rFonts w:ascii="Times New Roman" w:hAnsi="Times New Roman" w:cs="Times New Roman"/>
                <w:sz w:val="13"/>
                <w:szCs w:val="13"/>
              </w:rPr>
              <w:t>ab</w:t>
            </w:r>
          </w:p>
        </w:tc>
        <w:tc>
          <w:tcPr>
            <w:tcW w:w="377" w:type="dxa"/>
            <w:noWrap/>
            <w:vAlign w:val="center"/>
            <w:hideMark/>
          </w:tcPr>
          <w:p w14:paraId="59952494" w14:textId="77777777" w:rsidR="00126D8D" w:rsidRPr="004A4899" w:rsidRDefault="00126D8D" w:rsidP="00820288">
            <w:pPr>
              <w:spacing w:line="240" w:lineRule="auto"/>
              <w:jc w:val="right"/>
              <w:rPr>
                <w:rFonts w:ascii="Times New Roman" w:hAnsi="Times New Roman" w:cs="Times New Roman"/>
                <w:sz w:val="13"/>
                <w:szCs w:val="13"/>
              </w:rPr>
            </w:pPr>
            <w:r w:rsidRPr="004A4899">
              <w:rPr>
                <w:rFonts w:ascii="Times New Roman" w:hAnsi="Times New Roman" w:cs="Times New Roman"/>
                <w:sz w:val="13"/>
                <w:szCs w:val="13"/>
              </w:rPr>
              <w:t>9.87</w:t>
            </w:r>
          </w:p>
        </w:tc>
        <w:tc>
          <w:tcPr>
            <w:tcW w:w="326" w:type="dxa"/>
            <w:noWrap/>
            <w:vAlign w:val="center"/>
            <w:hideMark/>
          </w:tcPr>
          <w:p w14:paraId="49A93155" w14:textId="77777777" w:rsidR="00126D8D" w:rsidRPr="004A4899" w:rsidRDefault="00126D8D" w:rsidP="00820288">
            <w:pPr>
              <w:spacing w:line="240" w:lineRule="auto"/>
              <w:rPr>
                <w:rFonts w:ascii="Times New Roman" w:hAnsi="Times New Roman" w:cs="Times New Roman"/>
                <w:sz w:val="13"/>
                <w:szCs w:val="13"/>
              </w:rPr>
            </w:pPr>
            <w:r w:rsidRPr="004A4899">
              <w:rPr>
                <w:rFonts w:ascii="Times New Roman" w:hAnsi="Times New Roman" w:cs="Times New Roman"/>
                <w:sz w:val="13"/>
                <w:szCs w:val="13"/>
              </w:rPr>
              <w:t>b</w:t>
            </w:r>
          </w:p>
        </w:tc>
        <w:tc>
          <w:tcPr>
            <w:tcW w:w="377" w:type="dxa"/>
            <w:noWrap/>
            <w:vAlign w:val="center"/>
            <w:hideMark/>
          </w:tcPr>
          <w:p w14:paraId="7AD67579" w14:textId="77777777" w:rsidR="00126D8D" w:rsidRPr="004A4899" w:rsidRDefault="00126D8D" w:rsidP="00820288">
            <w:pPr>
              <w:spacing w:line="240" w:lineRule="auto"/>
              <w:jc w:val="right"/>
              <w:rPr>
                <w:rFonts w:ascii="Times New Roman" w:hAnsi="Times New Roman" w:cs="Times New Roman"/>
                <w:sz w:val="13"/>
                <w:szCs w:val="13"/>
              </w:rPr>
            </w:pPr>
            <w:r w:rsidRPr="004A4899">
              <w:rPr>
                <w:rFonts w:ascii="Times New Roman" w:hAnsi="Times New Roman" w:cs="Times New Roman"/>
                <w:sz w:val="13"/>
                <w:szCs w:val="13"/>
              </w:rPr>
              <w:t>22.42</w:t>
            </w:r>
          </w:p>
        </w:tc>
        <w:tc>
          <w:tcPr>
            <w:tcW w:w="326" w:type="dxa"/>
            <w:noWrap/>
            <w:vAlign w:val="center"/>
            <w:hideMark/>
          </w:tcPr>
          <w:p w14:paraId="10659CDE" w14:textId="77777777" w:rsidR="00126D8D" w:rsidRPr="004A4899" w:rsidRDefault="00126D8D" w:rsidP="00820288">
            <w:pPr>
              <w:spacing w:line="240" w:lineRule="auto"/>
              <w:rPr>
                <w:rFonts w:ascii="Times New Roman" w:hAnsi="Times New Roman" w:cs="Times New Roman"/>
                <w:sz w:val="13"/>
                <w:szCs w:val="13"/>
              </w:rPr>
            </w:pPr>
            <w:r w:rsidRPr="004A4899">
              <w:rPr>
                <w:rFonts w:ascii="Times New Roman" w:hAnsi="Times New Roman" w:cs="Times New Roman"/>
                <w:sz w:val="13"/>
                <w:szCs w:val="13"/>
              </w:rPr>
              <w:t>a</w:t>
            </w:r>
          </w:p>
        </w:tc>
        <w:tc>
          <w:tcPr>
            <w:tcW w:w="377" w:type="dxa"/>
            <w:noWrap/>
            <w:vAlign w:val="center"/>
            <w:hideMark/>
          </w:tcPr>
          <w:p w14:paraId="253FB882" w14:textId="77777777" w:rsidR="00126D8D" w:rsidRPr="004A4899" w:rsidRDefault="00126D8D" w:rsidP="00820288">
            <w:pPr>
              <w:spacing w:line="240" w:lineRule="auto"/>
              <w:jc w:val="right"/>
              <w:rPr>
                <w:rFonts w:ascii="Times New Roman" w:hAnsi="Times New Roman" w:cs="Times New Roman"/>
                <w:sz w:val="13"/>
                <w:szCs w:val="13"/>
              </w:rPr>
            </w:pPr>
            <w:r w:rsidRPr="004A4899">
              <w:rPr>
                <w:rFonts w:ascii="Times New Roman" w:hAnsi="Times New Roman" w:cs="Times New Roman"/>
                <w:sz w:val="13"/>
                <w:szCs w:val="13"/>
              </w:rPr>
              <w:t>11.66</w:t>
            </w:r>
          </w:p>
        </w:tc>
        <w:tc>
          <w:tcPr>
            <w:tcW w:w="219" w:type="dxa"/>
            <w:noWrap/>
            <w:vAlign w:val="center"/>
            <w:hideMark/>
          </w:tcPr>
          <w:p w14:paraId="18960E1F" w14:textId="77777777" w:rsidR="00126D8D" w:rsidRPr="004A4899" w:rsidRDefault="00126D8D" w:rsidP="00820288">
            <w:pPr>
              <w:spacing w:line="240" w:lineRule="auto"/>
              <w:rPr>
                <w:rFonts w:ascii="Times New Roman" w:hAnsi="Times New Roman" w:cs="Times New Roman"/>
                <w:sz w:val="13"/>
                <w:szCs w:val="13"/>
              </w:rPr>
            </w:pPr>
            <w:r w:rsidRPr="004A4899">
              <w:rPr>
                <w:rFonts w:ascii="Times New Roman" w:hAnsi="Times New Roman" w:cs="Times New Roman"/>
                <w:sz w:val="13"/>
                <w:szCs w:val="13"/>
              </w:rPr>
              <w:t>ab</w:t>
            </w:r>
          </w:p>
        </w:tc>
        <w:tc>
          <w:tcPr>
            <w:tcW w:w="377" w:type="dxa"/>
            <w:noWrap/>
            <w:vAlign w:val="center"/>
            <w:hideMark/>
          </w:tcPr>
          <w:p w14:paraId="4FA88C42" w14:textId="77777777" w:rsidR="00126D8D" w:rsidRPr="004A4899" w:rsidRDefault="00126D8D" w:rsidP="00820288">
            <w:pPr>
              <w:spacing w:line="240" w:lineRule="auto"/>
              <w:jc w:val="right"/>
              <w:rPr>
                <w:rFonts w:ascii="Times New Roman" w:hAnsi="Times New Roman" w:cs="Times New Roman"/>
                <w:sz w:val="13"/>
                <w:szCs w:val="13"/>
              </w:rPr>
            </w:pPr>
            <w:r w:rsidRPr="004A4899">
              <w:rPr>
                <w:rFonts w:ascii="Times New Roman" w:hAnsi="Times New Roman" w:cs="Times New Roman"/>
                <w:sz w:val="13"/>
                <w:szCs w:val="13"/>
              </w:rPr>
              <w:t>15.04</w:t>
            </w:r>
          </w:p>
        </w:tc>
        <w:tc>
          <w:tcPr>
            <w:tcW w:w="159" w:type="dxa"/>
            <w:noWrap/>
            <w:vAlign w:val="center"/>
            <w:hideMark/>
          </w:tcPr>
          <w:p w14:paraId="1019A761" w14:textId="77777777" w:rsidR="00126D8D" w:rsidRPr="004A4899" w:rsidRDefault="00126D8D" w:rsidP="00820288">
            <w:pPr>
              <w:spacing w:line="240" w:lineRule="auto"/>
              <w:rPr>
                <w:rFonts w:ascii="Times New Roman" w:hAnsi="Times New Roman" w:cs="Times New Roman"/>
                <w:sz w:val="13"/>
                <w:szCs w:val="13"/>
              </w:rPr>
            </w:pPr>
            <w:r w:rsidRPr="004A4899">
              <w:rPr>
                <w:rFonts w:ascii="Times New Roman" w:hAnsi="Times New Roman" w:cs="Times New Roman"/>
                <w:sz w:val="13"/>
                <w:szCs w:val="13"/>
              </w:rPr>
              <w:t>ab</w:t>
            </w:r>
          </w:p>
        </w:tc>
        <w:tc>
          <w:tcPr>
            <w:tcW w:w="377" w:type="dxa"/>
            <w:noWrap/>
            <w:vAlign w:val="center"/>
            <w:hideMark/>
          </w:tcPr>
          <w:p w14:paraId="43370131" w14:textId="77777777" w:rsidR="00126D8D" w:rsidRPr="004A4899" w:rsidRDefault="00126D8D" w:rsidP="00820288">
            <w:pPr>
              <w:spacing w:line="240" w:lineRule="auto"/>
              <w:jc w:val="right"/>
              <w:rPr>
                <w:rFonts w:ascii="Times New Roman" w:hAnsi="Times New Roman" w:cs="Times New Roman"/>
                <w:sz w:val="13"/>
                <w:szCs w:val="13"/>
              </w:rPr>
            </w:pPr>
            <w:r w:rsidRPr="004A4899">
              <w:rPr>
                <w:rFonts w:ascii="Times New Roman" w:hAnsi="Times New Roman" w:cs="Times New Roman"/>
                <w:sz w:val="13"/>
                <w:szCs w:val="13"/>
              </w:rPr>
              <w:t>15.37</w:t>
            </w:r>
          </w:p>
        </w:tc>
        <w:tc>
          <w:tcPr>
            <w:tcW w:w="326" w:type="dxa"/>
            <w:noWrap/>
            <w:vAlign w:val="center"/>
            <w:hideMark/>
          </w:tcPr>
          <w:p w14:paraId="30357D2F" w14:textId="77777777" w:rsidR="00126D8D" w:rsidRPr="004A4899" w:rsidRDefault="00126D8D" w:rsidP="00820288">
            <w:pPr>
              <w:spacing w:line="240" w:lineRule="auto"/>
              <w:rPr>
                <w:rFonts w:ascii="Times New Roman" w:hAnsi="Times New Roman" w:cs="Times New Roman"/>
                <w:sz w:val="13"/>
                <w:szCs w:val="13"/>
              </w:rPr>
            </w:pPr>
            <w:r w:rsidRPr="004A4899">
              <w:rPr>
                <w:rFonts w:ascii="Times New Roman" w:hAnsi="Times New Roman" w:cs="Times New Roman"/>
                <w:sz w:val="13"/>
                <w:szCs w:val="13"/>
              </w:rPr>
              <w:t>ab</w:t>
            </w:r>
          </w:p>
        </w:tc>
        <w:tc>
          <w:tcPr>
            <w:tcW w:w="377" w:type="dxa"/>
            <w:noWrap/>
            <w:vAlign w:val="center"/>
            <w:hideMark/>
          </w:tcPr>
          <w:p w14:paraId="0F103963" w14:textId="77777777" w:rsidR="00126D8D" w:rsidRPr="004A4899" w:rsidRDefault="00126D8D" w:rsidP="00820288">
            <w:pPr>
              <w:spacing w:line="240" w:lineRule="auto"/>
              <w:jc w:val="right"/>
              <w:rPr>
                <w:rFonts w:ascii="Times New Roman" w:hAnsi="Times New Roman" w:cs="Times New Roman"/>
                <w:sz w:val="13"/>
                <w:szCs w:val="13"/>
              </w:rPr>
            </w:pPr>
            <w:r w:rsidRPr="004A4899">
              <w:rPr>
                <w:rFonts w:ascii="Times New Roman" w:hAnsi="Times New Roman" w:cs="Times New Roman"/>
                <w:sz w:val="13"/>
                <w:szCs w:val="13"/>
              </w:rPr>
              <w:t>15.91</w:t>
            </w:r>
          </w:p>
        </w:tc>
        <w:tc>
          <w:tcPr>
            <w:tcW w:w="252" w:type="dxa"/>
            <w:noWrap/>
            <w:vAlign w:val="center"/>
            <w:hideMark/>
          </w:tcPr>
          <w:p w14:paraId="7C763F1D" w14:textId="77777777" w:rsidR="00126D8D" w:rsidRPr="004A4899" w:rsidRDefault="00126D8D" w:rsidP="00820288">
            <w:pPr>
              <w:spacing w:line="240" w:lineRule="auto"/>
              <w:rPr>
                <w:rFonts w:ascii="Times New Roman" w:hAnsi="Times New Roman" w:cs="Times New Roman"/>
                <w:sz w:val="13"/>
                <w:szCs w:val="13"/>
              </w:rPr>
            </w:pPr>
            <w:r w:rsidRPr="004A4899">
              <w:rPr>
                <w:rFonts w:ascii="Times New Roman" w:hAnsi="Times New Roman" w:cs="Times New Roman"/>
                <w:sz w:val="13"/>
                <w:szCs w:val="13"/>
              </w:rPr>
              <w:t>ab</w:t>
            </w:r>
          </w:p>
        </w:tc>
        <w:tc>
          <w:tcPr>
            <w:tcW w:w="377" w:type="dxa"/>
            <w:noWrap/>
            <w:vAlign w:val="center"/>
            <w:hideMark/>
          </w:tcPr>
          <w:p w14:paraId="5F60258F" w14:textId="77777777" w:rsidR="00126D8D" w:rsidRPr="004A4899" w:rsidRDefault="00126D8D" w:rsidP="00820288">
            <w:pPr>
              <w:spacing w:line="240" w:lineRule="auto"/>
              <w:jc w:val="right"/>
              <w:rPr>
                <w:rFonts w:ascii="Times New Roman" w:hAnsi="Times New Roman" w:cs="Times New Roman"/>
                <w:sz w:val="13"/>
                <w:szCs w:val="13"/>
              </w:rPr>
            </w:pPr>
            <w:r w:rsidRPr="004A4899">
              <w:rPr>
                <w:rFonts w:ascii="Times New Roman" w:hAnsi="Times New Roman" w:cs="Times New Roman"/>
                <w:sz w:val="13"/>
                <w:szCs w:val="13"/>
              </w:rPr>
              <w:t>14.69</w:t>
            </w:r>
          </w:p>
        </w:tc>
        <w:tc>
          <w:tcPr>
            <w:tcW w:w="273" w:type="dxa"/>
            <w:noWrap/>
            <w:vAlign w:val="center"/>
            <w:hideMark/>
          </w:tcPr>
          <w:p w14:paraId="068DB9B1" w14:textId="77777777" w:rsidR="00126D8D" w:rsidRPr="004A4899" w:rsidRDefault="00126D8D" w:rsidP="00820288">
            <w:pPr>
              <w:spacing w:line="240" w:lineRule="auto"/>
              <w:rPr>
                <w:rFonts w:ascii="Times New Roman" w:hAnsi="Times New Roman" w:cs="Times New Roman"/>
                <w:sz w:val="13"/>
                <w:szCs w:val="13"/>
              </w:rPr>
            </w:pPr>
            <w:r w:rsidRPr="004A4899">
              <w:rPr>
                <w:rFonts w:ascii="Times New Roman" w:hAnsi="Times New Roman" w:cs="Times New Roman"/>
                <w:sz w:val="13"/>
                <w:szCs w:val="13"/>
              </w:rPr>
              <w:t>ab</w:t>
            </w:r>
          </w:p>
        </w:tc>
        <w:tc>
          <w:tcPr>
            <w:tcW w:w="377" w:type="dxa"/>
            <w:noWrap/>
            <w:vAlign w:val="center"/>
            <w:hideMark/>
          </w:tcPr>
          <w:p w14:paraId="06196D82" w14:textId="77777777" w:rsidR="00126D8D" w:rsidRPr="004A4899" w:rsidRDefault="00126D8D" w:rsidP="00820288">
            <w:pPr>
              <w:spacing w:line="240" w:lineRule="auto"/>
              <w:jc w:val="right"/>
              <w:rPr>
                <w:rFonts w:ascii="Times New Roman" w:hAnsi="Times New Roman" w:cs="Times New Roman"/>
                <w:sz w:val="13"/>
                <w:szCs w:val="13"/>
              </w:rPr>
            </w:pPr>
            <w:r w:rsidRPr="004A4899">
              <w:rPr>
                <w:rFonts w:ascii="Times New Roman" w:hAnsi="Times New Roman" w:cs="Times New Roman"/>
                <w:sz w:val="13"/>
                <w:szCs w:val="13"/>
              </w:rPr>
              <w:t>18.73</w:t>
            </w:r>
          </w:p>
        </w:tc>
        <w:tc>
          <w:tcPr>
            <w:tcW w:w="273" w:type="dxa"/>
            <w:noWrap/>
            <w:vAlign w:val="center"/>
            <w:hideMark/>
          </w:tcPr>
          <w:p w14:paraId="188ABC2B" w14:textId="77777777" w:rsidR="00126D8D" w:rsidRPr="004A4899" w:rsidRDefault="00126D8D" w:rsidP="00820288">
            <w:pPr>
              <w:spacing w:line="240" w:lineRule="auto"/>
              <w:rPr>
                <w:rFonts w:ascii="Times New Roman" w:hAnsi="Times New Roman" w:cs="Times New Roman"/>
                <w:sz w:val="13"/>
                <w:szCs w:val="13"/>
              </w:rPr>
            </w:pPr>
            <w:r w:rsidRPr="004A4899">
              <w:rPr>
                <w:rFonts w:ascii="Times New Roman" w:hAnsi="Times New Roman" w:cs="Times New Roman"/>
                <w:sz w:val="13"/>
                <w:szCs w:val="13"/>
              </w:rPr>
              <w:t>ab</w:t>
            </w:r>
          </w:p>
        </w:tc>
      </w:tr>
      <w:tr w:rsidR="00126D8D" w:rsidRPr="004A4899" w14:paraId="282E9F7F" w14:textId="77777777" w:rsidTr="00820288">
        <w:trPr>
          <w:trHeight w:val="173"/>
        </w:trPr>
        <w:tc>
          <w:tcPr>
            <w:tcW w:w="1440" w:type="dxa"/>
            <w:noWrap/>
            <w:vAlign w:val="center"/>
            <w:hideMark/>
          </w:tcPr>
          <w:p w14:paraId="3D2B8A0A" w14:textId="77777777" w:rsidR="00126D8D" w:rsidRPr="004A4899" w:rsidRDefault="00126D8D" w:rsidP="00820288">
            <w:pPr>
              <w:spacing w:line="240" w:lineRule="auto"/>
              <w:rPr>
                <w:rFonts w:ascii="Times New Roman" w:hAnsi="Times New Roman" w:cs="Times New Roman"/>
                <w:sz w:val="12"/>
                <w:szCs w:val="12"/>
              </w:rPr>
            </w:pPr>
            <w:r w:rsidRPr="004A4899">
              <w:rPr>
                <w:rFonts w:ascii="Times New Roman" w:hAnsi="Times New Roman" w:cs="Times New Roman"/>
                <w:sz w:val="12"/>
                <w:szCs w:val="12"/>
              </w:rPr>
              <w:t>2-Ethyl-furan</w:t>
            </w:r>
          </w:p>
        </w:tc>
        <w:tc>
          <w:tcPr>
            <w:tcW w:w="377" w:type="dxa"/>
            <w:noWrap/>
            <w:vAlign w:val="center"/>
            <w:hideMark/>
          </w:tcPr>
          <w:p w14:paraId="4A5B82E4" w14:textId="77777777" w:rsidR="00126D8D" w:rsidRPr="004A4899" w:rsidRDefault="00126D8D" w:rsidP="00820288">
            <w:pPr>
              <w:spacing w:line="240" w:lineRule="auto"/>
              <w:jc w:val="right"/>
              <w:rPr>
                <w:rFonts w:ascii="Times New Roman" w:hAnsi="Times New Roman" w:cs="Times New Roman"/>
                <w:sz w:val="13"/>
                <w:szCs w:val="13"/>
              </w:rPr>
            </w:pPr>
            <w:r w:rsidRPr="004A4899">
              <w:rPr>
                <w:rFonts w:ascii="Times New Roman" w:hAnsi="Times New Roman" w:cs="Times New Roman"/>
                <w:sz w:val="13"/>
                <w:szCs w:val="13"/>
              </w:rPr>
              <w:t>29.05</w:t>
            </w:r>
          </w:p>
        </w:tc>
        <w:tc>
          <w:tcPr>
            <w:tcW w:w="274" w:type="dxa"/>
            <w:noWrap/>
            <w:vAlign w:val="center"/>
            <w:hideMark/>
          </w:tcPr>
          <w:p w14:paraId="33B935D4" w14:textId="77777777" w:rsidR="00126D8D" w:rsidRPr="004A4899" w:rsidRDefault="00126D8D" w:rsidP="00820288">
            <w:pPr>
              <w:spacing w:line="240" w:lineRule="auto"/>
              <w:rPr>
                <w:rFonts w:ascii="Times New Roman" w:hAnsi="Times New Roman" w:cs="Times New Roman"/>
                <w:sz w:val="13"/>
                <w:szCs w:val="13"/>
              </w:rPr>
            </w:pPr>
            <w:r w:rsidRPr="004A4899">
              <w:rPr>
                <w:rFonts w:ascii="Times New Roman" w:hAnsi="Times New Roman" w:cs="Times New Roman"/>
                <w:sz w:val="13"/>
                <w:szCs w:val="13"/>
              </w:rPr>
              <w:t>a</w:t>
            </w:r>
          </w:p>
        </w:tc>
        <w:tc>
          <w:tcPr>
            <w:tcW w:w="411" w:type="dxa"/>
            <w:noWrap/>
            <w:vAlign w:val="center"/>
            <w:hideMark/>
          </w:tcPr>
          <w:p w14:paraId="6352C70D" w14:textId="77777777" w:rsidR="00126D8D" w:rsidRPr="004A4899" w:rsidRDefault="00126D8D" w:rsidP="00820288">
            <w:pPr>
              <w:spacing w:line="240" w:lineRule="auto"/>
              <w:jc w:val="right"/>
              <w:rPr>
                <w:rFonts w:ascii="Times New Roman" w:hAnsi="Times New Roman" w:cs="Times New Roman"/>
                <w:sz w:val="13"/>
                <w:szCs w:val="13"/>
              </w:rPr>
            </w:pPr>
            <w:r w:rsidRPr="004A4899">
              <w:rPr>
                <w:rFonts w:ascii="Times New Roman" w:hAnsi="Times New Roman" w:cs="Times New Roman"/>
                <w:sz w:val="13"/>
                <w:szCs w:val="13"/>
              </w:rPr>
              <w:t>29.77</w:t>
            </w:r>
          </w:p>
        </w:tc>
        <w:tc>
          <w:tcPr>
            <w:tcW w:w="239" w:type="dxa"/>
            <w:noWrap/>
            <w:vAlign w:val="center"/>
            <w:hideMark/>
          </w:tcPr>
          <w:p w14:paraId="79AB3109" w14:textId="77777777" w:rsidR="00126D8D" w:rsidRPr="004A4899" w:rsidRDefault="00126D8D" w:rsidP="00820288">
            <w:pPr>
              <w:spacing w:line="240" w:lineRule="auto"/>
              <w:rPr>
                <w:rFonts w:ascii="Times New Roman" w:hAnsi="Times New Roman" w:cs="Times New Roman"/>
                <w:sz w:val="13"/>
                <w:szCs w:val="13"/>
              </w:rPr>
            </w:pPr>
            <w:r w:rsidRPr="004A4899">
              <w:rPr>
                <w:rFonts w:ascii="Times New Roman" w:hAnsi="Times New Roman" w:cs="Times New Roman"/>
                <w:sz w:val="13"/>
                <w:szCs w:val="13"/>
              </w:rPr>
              <w:t>a</w:t>
            </w:r>
          </w:p>
        </w:tc>
        <w:tc>
          <w:tcPr>
            <w:tcW w:w="377" w:type="dxa"/>
            <w:noWrap/>
            <w:vAlign w:val="center"/>
            <w:hideMark/>
          </w:tcPr>
          <w:p w14:paraId="37851504" w14:textId="77777777" w:rsidR="00126D8D" w:rsidRPr="004A4899" w:rsidRDefault="00126D8D" w:rsidP="00820288">
            <w:pPr>
              <w:spacing w:line="240" w:lineRule="auto"/>
              <w:jc w:val="right"/>
              <w:rPr>
                <w:rFonts w:ascii="Times New Roman" w:hAnsi="Times New Roman" w:cs="Times New Roman"/>
                <w:sz w:val="13"/>
                <w:szCs w:val="13"/>
              </w:rPr>
            </w:pPr>
            <w:r w:rsidRPr="004A4899">
              <w:rPr>
                <w:rFonts w:ascii="Times New Roman" w:hAnsi="Times New Roman" w:cs="Times New Roman"/>
                <w:sz w:val="13"/>
                <w:szCs w:val="13"/>
              </w:rPr>
              <w:t>28.40</w:t>
            </w:r>
          </w:p>
        </w:tc>
        <w:tc>
          <w:tcPr>
            <w:tcW w:w="273" w:type="dxa"/>
            <w:noWrap/>
            <w:vAlign w:val="center"/>
            <w:hideMark/>
          </w:tcPr>
          <w:p w14:paraId="0783FFEA" w14:textId="77777777" w:rsidR="00126D8D" w:rsidRPr="004A4899" w:rsidRDefault="00126D8D" w:rsidP="00820288">
            <w:pPr>
              <w:spacing w:line="240" w:lineRule="auto"/>
              <w:rPr>
                <w:rFonts w:ascii="Times New Roman" w:hAnsi="Times New Roman" w:cs="Times New Roman"/>
                <w:sz w:val="13"/>
                <w:szCs w:val="13"/>
              </w:rPr>
            </w:pPr>
            <w:r w:rsidRPr="004A4899">
              <w:rPr>
                <w:rFonts w:ascii="Times New Roman" w:hAnsi="Times New Roman" w:cs="Times New Roman"/>
                <w:sz w:val="13"/>
                <w:szCs w:val="13"/>
              </w:rPr>
              <w:t>a</w:t>
            </w:r>
          </w:p>
        </w:tc>
        <w:tc>
          <w:tcPr>
            <w:tcW w:w="377" w:type="dxa"/>
            <w:noWrap/>
            <w:vAlign w:val="center"/>
            <w:hideMark/>
          </w:tcPr>
          <w:p w14:paraId="6DFD7618" w14:textId="77777777" w:rsidR="00126D8D" w:rsidRPr="004A4899" w:rsidRDefault="00126D8D" w:rsidP="00820288">
            <w:pPr>
              <w:spacing w:line="240" w:lineRule="auto"/>
              <w:jc w:val="right"/>
              <w:rPr>
                <w:rFonts w:ascii="Times New Roman" w:hAnsi="Times New Roman" w:cs="Times New Roman"/>
                <w:sz w:val="13"/>
                <w:szCs w:val="13"/>
              </w:rPr>
            </w:pPr>
            <w:r w:rsidRPr="004A4899">
              <w:rPr>
                <w:rFonts w:ascii="Times New Roman" w:hAnsi="Times New Roman" w:cs="Times New Roman"/>
                <w:sz w:val="13"/>
                <w:szCs w:val="13"/>
              </w:rPr>
              <w:t>28.63</w:t>
            </w:r>
          </w:p>
        </w:tc>
        <w:tc>
          <w:tcPr>
            <w:tcW w:w="273" w:type="dxa"/>
            <w:noWrap/>
            <w:vAlign w:val="center"/>
            <w:hideMark/>
          </w:tcPr>
          <w:p w14:paraId="2FA85880" w14:textId="77777777" w:rsidR="00126D8D" w:rsidRPr="004A4899" w:rsidRDefault="00126D8D" w:rsidP="00820288">
            <w:pPr>
              <w:spacing w:line="240" w:lineRule="auto"/>
              <w:rPr>
                <w:rFonts w:ascii="Times New Roman" w:hAnsi="Times New Roman" w:cs="Times New Roman"/>
                <w:sz w:val="13"/>
                <w:szCs w:val="13"/>
              </w:rPr>
            </w:pPr>
            <w:r w:rsidRPr="004A4899">
              <w:rPr>
                <w:rFonts w:ascii="Times New Roman" w:hAnsi="Times New Roman" w:cs="Times New Roman"/>
                <w:sz w:val="13"/>
                <w:szCs w:val="13"/>
              </w:rPr>
              <w:t>a</w:t>
            </w:r>
          </w:p>
        </w:tc>
        <w:tc>
          <w:tcPr>
            <w:tcW w:w="377" w:type="dxa"/>
            <w:noWrap/>
            <w:vAlign w:val="center"/>
            <w:hideMark/>
          </w:tcPr>
          <w:p w14:paraId="685801FC" w14:textId="77777777" w:rsidR="00126D8D" w:rsidRPr="004A4899" w:rsidRDefault="00126D8D" w:rsidP="00820288">
            <w:pPr>
              <w:spacing w:line="240" w:lineRule="auto"/>
              <w:jc w:val="right"/>
              <w:rPr>
                <w:rFonts w:ascii="Times New Roman" w:hAnsi="Times New Roman" w:cs="Times New Roman"/>
                <w:sz w:val="13"/>
                <w:szCs w:val="13"/>
              </w:rPr>
            </w:pPr>
            <w:r w:rsidRPr="004A4899">
              <w:rPr>
                <w:rFonts w:ascii="Times New Roman" w:hAnsi="Times New Roman" w:cs="Times New Roman"/>
                <w:sz w:val="13"/>
                <w:szCs w:val="13"/>
              </w:rPr>
              <w:t>31.32</w:t>
            </w:r>
          </w:p>
        </w:tc>
        <w:tc>
          <w:tcPr>
            <w:tcW w:w="326" w:type="dxa"/>
            <w:noWrap/>
            <w:vAlign w:val="center"/>
            <w:hideMark/>
          </w:tcPr>
          <w:p w14:paraId="1351186F" w14:textId="77777777" w:rsidR="00126D8D" w:rsidRPr="004A4899" w:rsidRDefault="00126D8D" w:rsidP="00820288">
            <w:pPr>
              <w:spacing w:line="240" w:lineRule="auto"/>
              <w:rPr>
                <w:rFonts w:ascii="Times New Roman" w:hAnsi="Times New Roman" w:cs="Times New Roman"/>
                <w:sz w:val="13"/>
                <w:szCs w:val="13"/>
              </w:rPr>
            </w:pPr>
            <w:r w:rsidRPr="004A4899">
              <w:rPr>
                <w:rFonts w:ascii="Times New Roman" w:hAnsi="Times New Roman" w:cs="Times New Roman"/>
                <w:sz w:val="13"/>
                <w:szCs w:val="13"/>
              </w:rPr>
              <w:t>a</w:t>
            </w:r>
          </w:p>
        </w:tc>
        <w:tc>
          <w:tcPr>
            <w:tcW w:w="377" w:type="dxa"/>
            <w:noWrap/>
            <w:vAlign w:val="center"/>
            <w:hideMark/>
          </w:tcPr>
          <w:p w14:paraId="292325C7" w14:textId="77777777" w:rsidR="00126D8D" w:rsidRPr="004A4899" w:rsidRDefault="00126D8D" w:rsidP="00820288">
            <w:pPr>
              <w:spacing w:line="240" w:lineRule="auto"/>
              <w:jc w:val="right"/>
              <w:rPr>
                <w:rFonts w:ascii="Times New Roman" w:hAnsi="Times New Roman" w:cs="Times New Roman"/>
                <w:sz w:val="13"/>
                <w:szCs w:val="13"/>
              </w:rPr>
            </w:pPr>
            <w:r w:rsidRPr="004A4899">
              <w:rPr>
                <w:rFonts w:ascii="Times New Roman" w:hAnsi="Times New Roman" w:cs="Times New Roman"/>
                <w:sz w:val="13"/>
                <w:szCs w:val="13"/>
              </w:rPr>
              <w:t>31.16</w:t>
            </w:r>
          </w:p>
        </w:tc>
        <w:tc>
          <w:tcPr>
            <w:tcW w:w="326" w:type="dxa"/>
            <w:noWrap/>
            <w:vAlign w:val="center"/>
            <w:hideMark/>
          </w:tcPr>
          <w:p w14:paraId="446D19C3" w14:textId="77777777" w:rsidR="00126D8D" w:rsidRPr="004A4899" w:rsidRDefault="00126D8D" w:rsidP="00820288">
            <w:pPr>
              <w:spacing w:line="240" w:lineRule="auto"/>
              <w:rPr>
                <w:rFonts w:ascii="Times New Roman" w:hAnsi="Times New Roman" w:cs="Times New Roman"/>
                <w:sz w:val="13"/>
                <w:szCs w:val="13"/>
              </w:rPr>
            </w:pPr>
            <w:r w:rsidRPr="004A4899">
              <w:rPr>
                <w:rFonts w:ascii="Times New Roman" w:hAnsi="Times New Roman" w:cs="Times New Roman"/>
                <w:sz w:val="13"/>
                <w:szCs w:val="13"/>
              </w:rPr>
              <w:t>a</w:t>
            </w:r>
          </w:p>
        </w:tc>
        <w:tc>
          <w:tcPr>
            <w:tcW w:w="377" w:type="dxa"/>
            <w:noWrap/>
            <w:vAlign w:val="center"/>
            <w:hideMark/>
          </w:tcPr>
          <w:p w14:paraId="288218D8" w14:textId="77777777" w:rsidR="00126D8D" w:rsidRPr="004A4899" w:rsidRDefault="00126D8D" w:rsidP="00820288">
            <w:pPr>
              <w:spacing w:line="240" w:lineRule="auto"/>
              <w:jc w:val="right"/>
              <w:rPr>
                <w:rFonts w:ascii="Times New Roman" w:hAnsi="Times New Roman" w:cs="Times New Roman"/>
                <w:sz w:val="13"/>
                <w:szCs w:val="13"/>
              </w:rPr>
            </w:pPr>
            <w:r w:rsidRPr="004A4899">
              <w:rPr>
                <w:rFonts w:ascii="Times New Roman" w:hAnsi="Times New Roman" w:cs="Times New Roman"/>
                <w:sz w:val="13"/>
                <w:szCs w:val="13"/>
              </w:rPr>
              <w:t>30.66</w:t>
            </w:r>
          </w:p>
        </w:tc>
        <w:tc>
          <w:tcPr>
            <w:tcW w:w="219" w:type="dxa"/>
            <w:noWrap/>
            <w:vAlign w:val="center"/>
            <w:hideMark/>
          </w:tcPr>
          <w:p w14:paraId="21FFE97E" w14:textId="77777777" w:rsidR="00126D8D" w:rsidRPr="004A4899" w:rsidRDefault="00126D8D" w:rsidP="00820288">
            <w:pPr>
              <w:spacing w:line="240" w:lineRule="auto"/>
              <w:rPr>
                <w:rFonts w:ascii="Times New Roman" w:hAnsi="Times New Roman" w:cs="Times New Roman"/>
                <w:sz w:val="13"/>
                <w:szCs w:val="13"/>
              </w:rPr>
            </w:pPr>
            <w:r w:rsidRPr="004A4899">
              <w:rPr>
                <w:rFonts w:ascii="Times New Roman" w:hAnsi="Times New Roman" w:cs="Times New Roman"/>
                <w:sz w:val="13"/>
                <w:szCs w:val="13"/>
              </w:rPr>
              <w:t>a</w:t>
            </w:r>
          </w:p>
        </w:tc>
        <w:tc>
          <w:tcPr>
            <w:tcW w:w="377" w:type="dxa"/>
            <w:noWrap/>
            <w:vAlign w:val="center"/>
            <w:hideMark/>
          </w:tcPr>
          <w:p w14:paraId="71AD4423" w14:textId="77777777" w:rsidR="00126D8D" w:rsidRPr="004A4899" w:rsidRDefault="00126D8D" w:rsidP="00820288">
            <w:pPr>
              <w:spacing w:line="240" w:lineRule="auto"/>
              <w:jc w:val="right"/>
              <w:rPr>
                <w:rFonts w:ascii="Times New Roman" w:hAnsi="Times New Roman" w:cs="Times New Roman"/>
                <w:sz w:val="13"/>
                <w:szCs w:val="13"/>
              </w:rPr>
            </w:pPr>
            <w:r w:rsidRPr="004A4899">
              <w:rPr>
                <w:rFonts w:ascii="Times New Roman" w:hAnsi="Times New Roman" w:cs="Times New Roman"/>
                <w:sz w:val="13"/>
                <w:szCs w:val="13"/>
              </w:rPr>
              <w:t>29.05</w:t>
            </w:r>
          </w:p>
        </w:tc>
        <w:tc>
          <w:tcPr>
            <w:tcW w:w="159" w:type="dxa"/>
            <w:noWrap/>
            <w:vAlign w:val="center"/>
            <w:hideMark/>
          </w:tcPr>
          <w:p w14:paraId="1F1BE9DA" w14:textId="77777777" w:rsidR="00126D8D" w:rsidRPr="004A4899" w:rsidRDefault="00126D8D" w:rsidP="00820288">
            <w:pPr>
              <w:spacing w:line="240" w:lineRule="auto"/>
              <w:rPr>
                <w:rFonts w:ascii="Times New Roman" w:hAnsi="Times New Roman" w:cs="Times New Roman"/>
                <w:sz w:val="13"/>
                <w:szCs w:val="13"/>
              </w:rPr>
            </w:pPr>
            <w:r w:rsidRPr="004A4899">
              <w:rPr>
                <w:rFonts w:ascii="Times New Roman" w:hAnsi="Times New Roman" w:cs="Times New Roman"/>
                <w:sz w:val="13"/>
                <w:szCs w:val="13"/>
              </w:rPr>
              <w:t>a</w:t>
            </w:r>
          </w:p>
        </w:tc>
        <w:tc>
          <w:tcPr>
            <w:tcW w:w="377" w:type="dxa"/>
            <w:noWrap/>
            <w:vAlign w:val="center"/>
            <w:hideMark/>
          </w:tcPr>
          <w:p w14:paraId="0CE722D8" w14:textId="77777777" w:rsidR="00126D8D" w:rsidRPr="004A4899" w:rsidRDefault="00126D8D" w:rsidP="00820288">
            <w:pPr>
              <w:spacing w:line="240" w:lineRule="auto"/>
              <w:jc w:val="right"/>
              <w:rPr>
                <w:rFonts w:ascii="Times New Roman" w:hAnsi="Times New Roman" w:cs="Times New Roman"/>
                <w:sz w:val="13"/>
                <w:szCs w:val="13"/>
              </w:rPr>
            </w:pPr>
            <w:r w:rsidRPr="004A4899">
              <w:rPr>
                <w:rFonts w:ascii="Times New Roman" w:hAnsi="Times New Roman" w:cs="Times New Roman"/>
                <w:sz w:val="13"/>
                <w:szCs w:val="13"/>
              </w:rPr>
              <w:t>28.99</w:t>
            </w:r>
          </w:p>
        </w:tc>
        <w:tc>
          <w:tcPr>
            <w:tcW w:w="326" w:type="dxa"/>
            <w:noWrap/>
            <w:vAlign w:val="center"/>
            <w:hideMark/>
          </w:tcPr>
          <w:p w14:paraId="1A30795C" w14:textId="77777777" w:rsidR="00126D8D" w:rsidRPr="004A4899" w:rsidRDefault="00126D8D" w:rsidP="00820288">
            <w:pPr>
              <w:spacing w:line="240" w:lineRule="auto"/>
              <w:rPr>
                <w:rFonts w:ascii="Times New Roman" w:hAnsi="Times New Roman" w:cs="Times New Roman"/>
                <w:sz w:val="13"/>
                <w:szCs w:val="13"/>
              </w:rPr>
            </w:pPr>
            <w:r w:rsidRPr="004A4899">
              <w:rPr>
                <w:rFonts w:ascii="Times New Roman" w:hAnsi="Times New Roman" w:cs="Times New Roman"/>
                <w:sz w:val="13"/>
                <w:szCs w:val="13"/>
              </w:rPr>
              <w:t>a</w:t>
            </w:r>
          </w:p>
        </w:tc>
        <w:tc>
          <w:tcPr>
            <w:tcW w:w="377" w:type="dxa"/>
            <w:noWrap/>
            <w:vAlign w:val="center"/>
            <w:hideMark/>
          </w:tcPr>
          <w:p w14:paraId="50AC7D70" w14:textId="77777777" w:rsidR="00126D8D" w:rsidRPr="004A4899" w:rsidRDefault="00126D8D" w:rsidP="00820288">
            <w:pPr>
              <w:spacing w:line="240" w:lineRule="auto"/>
              <w:jc w:val="right"/>
              <w:rPr>
                <w:rFonts w:ascii="Times New Roman" w:hAnsi="Times New Roman" w:cs="Times New Roman"/>
                <w:sz w:val="13"/>
                <w:szCs w:val="13"/>
              </w:rPr>
            </w:pPr>
            <w:r w:rsidRPr="004A4899">
              <w:rPr>
                <w:rFonts w:ascii="Times New Roman" w:hAnsi="Times New Roman" w:cs="Times New Roman"/>
                <w:sz w:val="13"/>
                <w:szCs w:val="13"/>
              </w:rPr>
              <w:t>29.68</w:t>
            </w:r>
          </w:p>
        </w:tc>
        <w:tc>
          <w:tcPr>
            <w:tcW w:w="252" w:type="dxa"/>
            <w:noWrap/>
            <w:vAlign w:val="center"/>
            <w:hideMark/>
          </w:tcPr>
          <w:p w14:paraId="04550250" w14:textId="77777777" w:rsidR="00126D8D" w:rsidRPr="004A4899" w:rsidRDefault="00126D8D" w:rsidP="00820288">
            <w:pPr>
              <w:spacing w:line="240" w:lineRule="auto"/>
              <w:rPr>
                <w:rFonts w:ascii="Times New Roman" w:hAnsi="Times New Roman" w:cs="Times New Roman"/>
                <w:sz w:val="13"/>
                <w:szCs w:val="13"/>
              </w:rPr>
            </w:pPr>
            <w:r w:rsidRPr="004A4899">
              <w:rPr>
                <w:rFonts w:ascii="Times New Roman" w:hAnsi="Times New Roman" w:cs="Times New Roman"/>
                <w:sz w:val="13"/>
                <w:szCs w:val="13"/>
              </w:rPr>
              <w:t>a</w:t>
            </w:r>
          </w:p>
        </w:tc>
        <w:tc>
          <w:tcPr>
            <w:tcW w:w="377" w:type="dxa"/>
            <w:noWrap/>
            <w:vAlign w:val="center"/>
            <w:hideMark/>
          </w:tcPr>
          <w:p w14:paraId="4C467B9F" w14:textId="77777777" w:rsidR="00126D8D" w:rsidRPr="004A4899" w:rsidRDefault="00126D8D" w:rsidP="00820288">
            <w:pPr>
              <w:spacing w:line="240" w:lineRule="auto"/>
              <w:jc w:val="right"/>
              <w:rPr>
                <w:rFonts w:ascii="Times New Roman" w:hAnsi="Times New Roman" w:cs="Times New Roman"/>
                <w:sz w:val="13"/>
                <w:szCs w:val="13"/>
              </w:rPr>
            </w:pPr>
            <w:r w:rsidRPr="004A4899">
              <w:rPr>
                <w:rFonts w:ascii="Times New Roman" w:hAnsi="Times New Roman" w:cs="Times New Roman"/>
                <w:sz w:val="13"/>
                <w:szCs w:val="13"/>
              </w:rPr>
              <w:t>30.07</w:t>
            </w:r>
          </w:p>
        </w:tc>
        <w:tc>
          <w:tcPr>
            <w:tcW w:w="273" w:type="dxa"/>
            <w:noWrap/>
            <w:vAlign w:val="center"/>
            <w:hideMark/>
          </w:tcPr>
          <w:p w14:paraId="47016451" w14:textId="77777777" w:rsidR="00126D8D" w:rsidRPr="004A4899" w:rsidRDefault="00126D8D" w:rsidP="00820288">
            <w:pPr>
              <w:spacing w:line="240" w:lineRule="auto"/>
              <w:rPr>
                <w:rFonts w:ascii="Times New Roman" w:hAnsi="Times New Roman" w:cs="Times New Roman"/>
                <w:sz w:val="13"/>
                <w:szCs w:val="13"/>
              </w:rPr>
            </w:pPr>
            <w:r w:rsidRPr="004A4899">
              <w:rPr>
                <w:rFonts w:ascii="Times New Roman" w:hAnsi="Times New Roman" w:cs="Times New Roman"/>
                <w:sz w:val="13"/>
                <w:szCs w:val="13"/>
              </w:rPr>
              <w:t>a</w:t>
            </w:r>
          </w:p>
        </w:tc>
        <w:tc>
          <w:tcPr>
            <w:tcW w:w="377" w:type="dxa"/>
            <w:noWrap/>
            <w:vAlign w:val="center"/>
            <w:hideMark/>
          </w:tcPr>
          <w:p w14:paraId="1B72644D" w14:textId="77777777" w:rsidR="00126D8D" w:rsidRPr="004A4899" w:rsidRDefault="00126D8D" w:rsidP="00820288">
            <w:pPr>
              <w:spacing w:line="240" w:lineRule="auto"/>
              <w:jc w:val="right"/>
              <w:rPr>
                <w:rFonts w:ascii="Times New Roman" w:hAnsi="Times New Roman" w:cs="Times New Roman"/>
                <w:sz w:val="13"/>
                <w:szCs w:val="13"/>
              </w:rPr>
            </w:pPr>
            <w:r w:rsidRPr="004A4899">
              <w:rPr>
                <w:rFonts w:ascii="Times New Roman" w:hAnsi="Times New Roman" w:cs="Times New Roman"/>
                <w:sz w:val="13"/>
                <w:szCs w:val="13"/>
              </w:rPr>
              <w:t>30.75</w:t>
            </w:r>
          </w:p>
        </w:tc>
        <w:tc>
          <w:tcPr>
            <w:tcW w:w="273" w:type="dxa"/>
            <w:noWrap/>
            <w:vAlign w:val="center"/>
            <w:hideMark/>
          </w:tcPr>
          <w:p w14:paraId="0E7E8E88" w14:textId="77777777" w:rsidR="00126D8D" w:rsidRPr="004A4899" w:rsidRDefault="00126D8D" w:rsidP="00820288">
            <w:pPr>
              <w:spacing w:line="240" w:lineRule="auto"/>
              <w:rPr>
                <w:rFonts w:ascii="Times New Roman" w:hAnsi="Times New Roman" w:cs="Times New Roman"/>
                <w:sz w:val="13"/>
                <w:szCs w:val="13"/>
              </w:rPr>
            </w:pPr>
            <w:r w:rsidRPr="004A4899">
              <w:rPr>
                <w:rFonts w:ascii="Times New Roman" w:hAnsi="Times New Roman" w:cs="Times New Roman"/>
                <w:sz w:val="13"/>
                <w:szCs w:val="13"/>
              </w:rPr>
              <w:t>a</w:t>
            </w:r>
          </w:p>
        </w:tc>
      </w:tr>
      <w:tr w:rsidR="00126D8D" w:rsidRPr="004A4899" w14:paraId="5882CC91" w14:textId="77777777" w:rsidTr="00820288">
        <w:trPr>
          <w:trHeight w:val="173"/>
        </w:trPr>
        <w:tc>
          <w:tcPr>
            <w:tcW w:w="1440" w:type="dxa"/>
            <w:noWrap/>
            <w:vAlign w:val="center"/>
            <w:hideMark/>
          </w:tcPr>
          <w:p w14:paraId="1FA9856F" w14:textId="77777777" w:rsidR="00126D8D" w:rsidRPr="004A4899" w:rsidRDefault="00126D8D" w:rsidP="00820288">
            <w:pPr>
              <w:spacing w:line="240" w:lineRule="auto"/>
              <w:rPr>
                <w:rFonts w:ascii="Times New Roman" w:hAnsi="Times New Roman" w:cs="Times New Roman"/>
                <w:sz w:val="12"/>
                <w:szCs w:val="12"/>
              </w:rPr>
            </w:pPr>
            <w:r w:rsidRPr="004A4899">
              <w:rPr>
                <w:rFonts w:ascii="Times New Roman" w:hAnsi="Times New Roman" w:cs="Times New Roman"/>
                <w:sz w:val="12"/>
                <w:szCs w:val="12"/>
              </w:rPr>
              <w:t>2-Pentyl-furan</w:t>
            </w:r>
          </w:p>
        </w:tc>
        <w:tc>
          <w:tcPr>
            <w:tcW w:w="377" w:type="dxa"/>
            <w:noWrap/>
            <w:vAlign w:val="center"/>
            <w:hideMark/>
          </w:tcPr>
          <w:p w14:paraId="4570B2F0" w14:textId="77777777" w:rsidR="00126D8D" w:rsidRPr="004A4899" w:rsidRDefault="00126D8D" w:rsidP="00820288">
            <w:pPr>
              <w:spacing w:line="240" w:lineRule="auto"/>
              <w:jc w:val="right"/>
              <w:rPr>
                <w:rFonts w:ascii="Times New Roman" w:hAnsi="Times New Roman" w:cs="Times New Roman"/>
                <w:sz w:val="13"/>
                <w:szCs w:val="13"/>
              </w:rPr>
            </w:pPr>
            <w:r w:rsidRPr="004A4899">
              <w:rPr>
                <w:rFonts w:ascii="Times New Roman" w:hAnsi="Times New Roman" w:cs="Times New Roman"/>
                <w:sz w:val="13"/>
                <w:szCs w:val="13"/>
              </w:rPr>
              <w:t>5.74</w:t>
            </w:r>
          </w:p>
        </w:tc>
        <w:tc>
          <w:tcPr>
            <w:tcW w:w="274" w:type="dxa"/>
            <w:noWrap/>
            <w:vAlign w:val="center"/>
            <w:hideMark/>
          </w:tcPr>
          <w:p w14:paraId="0F8D8332" w14:textId="77777777" w:rsidR="00126D8D" w:rsidRPr="004A4899" w:rsidRDefault="00126D8D" w:rsidP="00820288">
            <w:pPr>
              <w:spacing w:line="240" w:lineRule="auto"/>
              <w:rPr>
                <w:rFonts w:ascii="Times New Roman" w:hAnsi="Times New Roman" w:cs="Times New Roman"/>
                <w:sz w:val="13"/>
                <w:szCs w:val="13"/>
              </w:rPr>
            </w:pPr>
            <w:r w:rsidRPr="004A4899">
              <w:rPr>
                <w:rFonts w:ascii="Times New Roman" w:hAnsi="Times New Roman" w:cs="Times New Roman"/>
                <w:sz w:val="13"/>
                <w:szCs w:val="13"/>
              </w:rPr>
              <w:t>ab</w:t>
            </w:r>
          </w:p>
        </w:tc>
        <w:tc>
          <w:tcPr>
            <w:tcW w:w="411" w:type="dxa"/>
            <w:noWrap/>
            <w:vAlign w:val="center"/>
            <w:hideMark/>
          </w:tcPr>
          <w:p w14:paraId="42EEDF1E" w14:textId="77777777" w:rsidR="00126D8D" w:rsidRPr="004A4899" w:rsidRDefault="00126D8D" w:rsidP="00820288">
            <w:pPr>
              <w:spacing w:line="240" w:lineRule="auto"/>
              <w:jc w:val="right"/>
              <w:rPr>
                <w:rFonts w:ascii="Times New Roman" w:hAnsi="Times New Roman" w:cs="Times New Roman"/>
                <w:sz w:val="13"/>
                <w:szCs w:val="13"/>
              </w:rPr>
            </w:pPr>
            <w:r w:rsidRPr="004A4899">
              <w:rPr>
                <w:rFonts w:ascii="Times New Roman" w:hAnsi="Times New Roman" w:cs="Times New Roman"/>
                <w:sz w:val="13"/>
                <w:szCs w:val="13"/>
              </w:rPr>
              <w:t>4.80</w:t>
            </w:r>
          </w:p>
        </w:tc>
        <w:tc>
          <w:tcPr>
            <w:tcW w:w="239" w:type="dxa"/>
            <w:noWrap/>
            <w:vAlign w:val="center"/>
            <w:hideMark/>
          </w:tcPr>
          <w:p w14:paraId="60F26673" w14:textId="77777777" w:rsidR="00126D8D" w:rsidRPr="004A4899" w:rsidRDefault="00126D8D" w:rsidP="00820288">
            <w:pPr>
              <w:spacing w:line="240" w:lineRule="auto"/>
              <w:rPr>
                <w:rFonts w:ascii="Times New Roman" w:hAnsi="Times New Roman" w:cs="Times New Roman"/>
                <w:sz w:val="13"/>
                <w:szCs w:val="13"/>
              </w:rPr>
            </w:pPr>
            <w:r w:rsidRPr="004A4899">
              <w:rPr>
                <w:rFonts w:ascii="Times New Roman" w:hAnsi="Times New Roman" w:cs="Times New Roman"/>
                <w:sz w:val="13"/>
                <w:szCs w:val="13"/>
              </w:rPr>
              <w:t>ab</w:t>
            </w:r>
          </w:p>
        </w:tc>
        <w:tc>
          <w:tcPr>
            <w:tcW w:w="377" w:type="dxa"/>
            <w:noWrap/>
            <w:vAlign w:val="center"/>
            <w:hideMark/>
          </w:tcPr>
          <w:p w14:paraId="4E5140D6" w14:textId="77777777" w:rsidR="00126D8D" w:rsidRPr="004A4899" w:rsidRDefault="00126D8D" w:rsidP="00820288">
            <w:pPr>
              <w:spacing w:line="240" w:lineRule="auto"/>
              <w:jc w:val="right"/>
              <w:rPr>
                <w:rFonts w:ascii="Times New Roman" w:hAnsi="Times New Roman" w:cs="Times New Roman"/>
                <w:sz w:val="13"/>
                <w:szCs w:val="13"/>
              </w:rPr>
            </w:pPr>
            <w:r w:rsidRPr="004A4899">
              <w:rPr>
                <w:rFonts w:ascii="Times New Roman" w:hAnsi="Times New Roman" w:cs="Times New Roman"/>
                <w:sz w:val="13"/>
                <w:szCs w:val="13"/>
              </w:rPr>
              <w:t>5.02</w:t>
            </w:r>
          </w:p>
        </w:tc>
        <w:tc>
          <w:tcPr>
            <w:tcW w:w="273" w:type="dxa"/>
            <w:noWrap/>
            <w:vAlign w:val="center"/>
            <w:hideMark/>
          </w:tcPr>
          <w:p w14:paraId="1E3143A3" w14:textId="77777777" w:rsidR="00126D8D" w:rsidRPr="004A4899" w:rsidRDefault="00126D8D" w:rsidP="00820288">
            <w:pPr>
              <w:spacing w:line="240" w:lineRule="auto"/>
              <w:rPr>
                <w:rFonts w:ascii="Times New Roman" w:hAnsi="Times New Roman" w:cs="Times New Roman"/>
                <w:sz w:val="13"/>
                <w:szCs w:val="13"/>
              </w:rPr>
            </w:pPr>
            <w:r w:rsidRPr="004A4899">
              <w:rPr>
                <w:rFonts w:ascii="Times New Roman" w:hAnsi="Times New Roman" w:cs="Times New Roman"/>
                <w:sz w:val="13"/>
                <w:szCs w:val="13"/>
              </w:rPr>
              <w:t>ab</w:t>
            </w:r>
          </w:p>
        </w:tc>
        <w:tc>
          <w:tcPr>
            <w:tcW w:w="377" w:type="dxa"/>
            <w:noWrap/>
            <w:vAlign w:val="center"/>
            <w:hideMark/>
          </w:tcPr>
          <w:p w14:paraId="62FC7B49" w14:textId="77777777" w:rsidR="00126D8D" w:rsidRPr="004A4899" w:rsidRDefault="00126D8D" w:rsidP="00820288">
            <w:pPr>
              <w:spacing w:line="240" w:lineRule="auto"/>
              <w:jc w:val="right"/>
              <w:rPr>
                <w:rFonts w:ascii="Times New Roman" w:hAnsi="Times New Roman" w:cs="Times New Roman"/>
                <w:sz w:val="13"/>
                <w:szCs w:val="13"/>
              </w:rPr>
            </w:pPr>
            <w:r w:rsidRPr="004A4899">
              <w:rPr>
                <w:rFonts w:ascii="Times New Roman" w:hAnsi="Times New Roman" w:cs="Times New Roman"/>
                <w:sz w:val="13"/>
                <w:szCs w:val="13"/>
              </w:rPr>
              <w:t>6.52</w:t>
            </w:r>
          </w:p>
        </w:tc>
        <w:tc>
          <w:tcPr>
            <w:tcW w:w="273" w:type="dxa"/>
            <w:noWrap/>
            <w:vAlign w:val="center"/>
            <w:hideMark/>
          </w:tcPr>
          <w:p w14:paraId="0B128CC5" w14:textId="77777777" w:rsidR="00126D8D" w:rsidRPr="004A4899" w:rsidRDefault="00126D8D" w:rsidP="00820288">
            <w:pPr>
              <w:spacing w:line="240" w:lineRule="auto"/>
              <w:rPr>
                <w:rFonts w:ascii="Times New Roman" w:hAnsi="Times New Roman" w:cs="Times New Roman"/>
                <w:sz w:val="13"/>
                <w:szCs w:val="13"/>
              </w:rPr>
            </w:pPr>
            <w:r w:rsidRPr="004A4899">
              <w:rPr>
                <w:rFonts w:ascii="Times New Roman" w:hAnsi="Times New Roman" w:cs="Times New Roman"/>
                <w:sz w:val="13"/>
                <w:szCs w:val="13"/>
              </w:rPr>
              <w:t>ab</w:t>
            </w:r>
          </w:p>
        </w:tc>
        <w:tc>
          <w:tcPr>
            <w:tcW w:w="377" w:type="dxa"/>
            <w:noWrap/>
            <w:vAlign w:val="center"/>
            <w:hideMark/>
          </w:tcPr>
          <w:p w14:paraId="61AF0E99" w14:textId="77777777" w:rsidR="00126D8D" w:rsidRPr="004A4899" w:rsidRDefault="00126D8D" w:rsidP="00820288">
            <w:pPr>
              <w:spacing w:line="240" w:lineRule="auto"/>
              <w:jc w:val="right"/>
              <w:rPr>
                <w:rFonts w:ascii="Times New Roman" w:hAnsi="Times New Roman" w:cs="Times New Roman"/>
                <w:sz w:val="13"/>
                <w:szCs w:val="13"/>
              </w:rPr>
            </w:pPr>
            <w:r w:rsidRPr="004A4899">
              <w:rPr>
                <w:rFonts w:ascii="Times New Roman" w:hAnsi="Times New Roman" w:cs="Times New Roman"/>
                <w:sz w:val="13"/>
                <w:szCs w:val="13"/>
              </w:rPr>
              <w:t>5.38</w:t>
            </w:r>
          </w:p>
        </w:tc>
        <w:tc>
          <w:tcPr>
            <w:tcW w:w="326" w:type="dxa"/>
            <w:noWrap/>
            <w:vAlign w:val="center"/>
            <w:hideMark/>
          </w:tcPr>
          <w:p w14:paraId="13CFE3CB" w14:textId="77777777" w:rsidR="00126D8D" w:rsidRPr="004A4899" w:rsidRDefault="00126D8D" w:rsidP="00820288">
            <w:pPr>
              <w:spacing w:line="240" w:lineRule="auto"/>
              <w:rPr>
                <w:rFonts w:ascii="Times New Roman" w:hAnsi="Times New Roman" w:cs="Times New Roman"/>
                <w:sz w:val="13"/>
                <w:szCs w:val="13"/>
              </w:rPr>
            </w:pPr>
            <w:r w:rsidRPr="004A4899">
              <w:rPr>
                <w:rFonts w:ascii="Times New Roman" w:hAnsi="Times New Roman" w:cs="Times New Roman"/>
                <w:sz w:val="13"/>
                <w:szCs w:val="13"/>
              </w:rPr>
              <w:t>ab</w:t>
            </w:r>
          </w:p>
        </w:tc>
        <w:tc>
          <w:tcPr>
            <w:tcW w:w="377" w:type="dxa"/>
            <w:noWrap/>
            <w:vAlign w:val="center"/>
            <w:hideMark/>
          </w:tcPr>
          <w:p w14:paraId="29629EEA" w14:textId="77777777" w:rsidR="00126D8D" w:rsidRPr="004A4899" w:rsidRDefault="00126D8D" w:rsidP="00820288">
            <w:pPr>
              <w:spacing w:line="240" w:lineRule="auto"/>
              <w:jc w:val="right"/>
              <w:rPr>
                <w:rFonts w:ascii="Times New Roman" w:hAnsi="Times New Roman" w:cs="Times New Roman"/>
                <w:sz w:val="13"/>
                <w:szCs w:val="13"/>
              </w:rPr>
            </w:pPr>
            <w:r w:rsidRPr="004A4899">
              <w:rPr>
                <w:rFonts w:ascii="Times New Roman" w:hAnsi="Times New Roman" w:cs="Times New Roman"/>
                <w:sz w:val="13"/>
                <w:szCs w:val="13"/>
              </w:rPr>
              <w:t>5.02</w:t>
            </w:r>
          </w:p>
        </w:tc>
        <w:tc>
          <w:tcPr>
            <w:tcW w:w="326" w:type="dxa"/>
            <w:noWrap/>
            <w:vAlign w:val="center"/>
            <w:hideMark/>
          </w:tcPr>
          <w:p w14:paraId="47774B60" w14:textId="77777777" w:rsidR="00126D8D" w:rsidRPr="004A4899" w:rsidRDefault="00126D8D" w:rsidP="00820288">
            <w:pPr>
              <w:spacing w:line="240" w:lineRule="auto"/>
              <w:rPr>
                <w:rFonts w:ascii="Times New Roman" w:hAnsi="Times New Roman" w:cs="Times New Roman"/>
                <w:sz w:val="13"/>
                <w:szCs w:val="13"/>
              </w:rPr>
            </w:pPr>
            <w:r w:rsidRPr="004A4899">
              <w:rPr>
                <w:rFonts w:ascii="Times New Roman" w:hAnsi="Times New Roman" w:cs="Times New Roman"/>
                <w:sz w:val="13"/>
                <w:szCs w:val="13"/>
              </w:rPr>
              <w:t>ab</w:t>
            </w:r>
          </w:p>
        </w:tc>
        <w:tc>
          <w:tcPr>
            <w:tcW w:w="377" w:type="dxa"/>
            <w:noWrap/>
            <w:vAlign w:val="center"/>
            <w:hideMark/>
          </w:tcPr>
          <w:p w14:paraId="46938FF2" w14:textId="77777777" w:rsidR="00126D8D" w:rsidRPr="004A4899" w:rsidRDefault="00126D8D" w:rsidP="00820288">
            <w:pPr>
              <w:spacing w:line="240" w:lineRule="auto"/>
              <w:jc w:val="right"/>
              <w:rPr>
                <w:rFonts w:ascii="Times New Roman" w:hAnsi="Times New Roman" w:cs="Times New Roman"/>
                <w:sz w:val="13"/>
                <w:szCs w:val="13"/>
              </w:rPr>
            </w:pPr>
            <w:r w:rsidRPr="004A4899">
              <w:rPr>
                <w:rFonts w:ascii="Times New Roman" w:hAnsi="Times New Roman" w:cs="Times New Roman"/>
                <w:sz w:val="13"/>
                <w:szCs w:val="13"/>
              </w:rPr>
              <w:t>6.79</w:t>
            </w:r>
          </w:p>
        </w:tc>
        <w:tc>
          <w:tcPr>
            <w:tcW w:w="219" w:type="dxa"/>
            <w:noWrap/>
            <w:vAlign w:val="center"/>
            <w:hideMark/>
          </w:tcPr>
          <w:p w14:paraId="26060A3C" w14:textId="77777777" w:rsidR="00126D8D" w:rsidRPr="004A4899" w:rsidRDefault="00126D8D" w:rsidP="00820288">
            <w:pPr>
              <w:spacing w:line="240" w:lineRule="auto"/>
              <w:rPr>
                <w:rFonts w:ascii="Times New Roman" w:hAnsi="Times New Roman" w:cs="Times New Roman"/>
                <w:sz w:val="13"/>
                <w:szCs w:val="13"/>
              </w:rPr>
            </w:pPr>
            <w:r w:rsidRPr="004A4899">
              <w:rPr>
                <w:rFonts w:ascii="Times New Roman" w:hAnsi="Times New Roman" w:cs="Times New Roman"/>
                <w:sz w:val="13"/>
                <w:szCs w:val="13"/>
              </w:rPr>
              <w:t>ab</w:t>
            </w:r>
          </w:p>
        </w:tc>
        <w:tc>
          <w:tcPr>
            <w:tcW w:w="377" w:type="dxa"/>
            <w:noWrap/>
            <w:vAlign w:val="center"/>
            <w:hideMark/>
          </w:tcPr>
          <w:p w14:paraId="50C37909" w14:textId="77777777" w:rsidR="00126D8D" w:rsidRPr="004A4899" w:rsidRDefault="00126D8D" w:rsidP="00820288">
            <w:pPr>
              <w:spacing w:line="240" w:lineRule="auto"/>
              <w:jc w:val="right"/>
              <w:rPr>
                <w:rFonts w:ascii="Times New Roman" w:hAnsi="Times New Roman" w:cs="Times New Roman"/>
                <w:sz w:val="13"/>
                <w:szCs w:val="13"/>
              </w:rPr>
            </w:pPr>
            <w:r w:rsidRPr="004A4899">
              <w:rPr>
                <w:rFonts w:ascii="Times New Roman" w:hAnsi="Times New Roman" w:cs="Times New Roman"/>
                <w:sz w:val="13"/>
                <w:szCs w:val="13"/>
              </w:rPr>
              <w:t>7.04</w:t>
            </w:r>
          </w:p>
        </w:tc>
        <w:tc>
          <w:tcPr>
            <w:tcW w:w="159" w:type="dxa"/>
            <w:noWrap/>
            <w:vAlign w:val="center"/>
            <w:hideMark/>
          </w:tcPr>
          <w:p w14:paraId="760734EB" w14:textId="77777777" w:rsidR="00126D8D" w:rsidRPr="004A4899" w:rsidRDefault="00126D8D" w:rsidP="00820288">
            <w:pPr>
              <w:spacing w:line="240" w:lineRule="auto"/>
              <w:rPr>
                <w:rFonts w:ascii="Times New Roman" w:hAnsi="Times New Roman" w:cs="Times New Roman"/>
                <w:sz w:val="13"/>
                <w:szCs w:val="13"/>
              </w:rPr>
            </w:pPr>
            <w:r w:rsidRPr="004A4899">
              <w:rPr>
                <w:rFonts w:ascii="Times New Roman" w:hAnsi="Times New Roman" w:cs="Times New Roman"/>
                <w:sz w:val="13"/>
                <w:szCs w:val="13"/>
              </w:rPr>
              <w:t>a</w:t>
            </w:r>
          </w:p>
        </w:tc>
        <w:tc>
          <w:tcPr>
            <w:tcW w:w="377" w:type="dxa"/>
            <w:noWrap/>
            <w:vAlign w:val="center"/>
            <w:hideMark/>
          </w:tcPr>
          <w:p w14:paraId="0D8615BB" w14:textId="77777777" w:rsidR="00126D8D" w:rsidRPr="004A4899" w:rsidRDefault="00126D8D" w:rsidP="00820288">
            <w:pPr>
              <w:spacing w:line="240" w:lineRule="auto"/>
              <w:jc w:val="right"/>
              <w:rPr>
                <w:rFonts w:ascii="Times New Roman" w:hAnsi="Times New Roman" w:cs="Times New Roman"/>
                <w:sz w:val="13"/>
                <w:szCs w:val="13"/>
              </w:rPr>
            </w:pPr>
            <w:r w:rsidRPr="004A4899">
              <w:rPr>
                <w:rFonts w:ascii="Times New Roman" w:hAnsi="Times New Roman" w:cs="Times New Roman"/>
                <w:sz w:val="13"/>
                <w:szCs w:val="13"/>
              </w:rPr>
              <w:t>6.19</w:t>
            </w:r>
          </w:p>
        </w:tc>
        <w:tc>
          <w:tcPr>
            <w:tcW w:w="326" w:type="dxa"/>
            <w:noWrap/>
            <w:vAlign w:val="center"/>
            <w:hideMark/>
          </w:tcPr>
          <w:p w14:paraId="6BFC723C" w14:textId="77777777" w:rsidR="00126D8D" w:rsidRPr="004A4899" w:rsidRDefault="00126D8D" w:rsidP="00820288">
            <w:pPr>
              <w:spacing w:line="240" w:lineRule="auto"/>
              <w:rPr>
                <w:rFonts w:ascii="Times New Roman" w:hAnsi="Times New Roman" w:cs="Times New Roman"/>
                <w:sz w:val="13"/>
                <w:szCs w:val="13"/>
              </w:rPr>
            </w:pPr>
            <w:r w:rsidRPr="004A4899">
              <w:rPr>
                <w:rFonts w:ascii="Times New Roman" w:hAnsi="Times New Roman" w:cs="Times New Roman"/>
                <w:sz w:val="13"/>
                <w:szCs w:val="13"/>
              </w:rPr>
              <w:t>ab</w:t>
            </w:r>
          </w:p>
        </w:tc>
        <w:tc>
          <w:tcPr>
            <w:tcW w:w="377" w:type="dxa"/>
            <w:noWrap/>
            <w:vAlign w:val="center"/>
            <w:hideMark/>
          </w:tcPr>
          <w:p w14:paraId="4EB756B1" w14:textId="77777777" w:rsidR="00126D8D" w:rsidRPr="004A4899" w:rsidRDefault="00126D8D" w:rsidP="00820288">
            <w:pPr>
              <w:spacing w:line="240" w:lineRule="auto"/>
              <w:jc w:val="right"/>
              <w:rPr>
                <w:rFonts w:ascii="Times New Roman" w:hAnsi="Times New Roman" w:cs="Times New Roman"/>
                <w:sz w:val="13"/>
                <w:szCs w:val="13"/>
              </w:rPr>
            </w:pPr>
            <w:r w:rsidRPr="004A4899">
              <w:rPr>
                <w:rFonts w:ascii="Times New Roman" w:hAnsi="Times New Roman" w:cs="Times New Roman"/>
                <w:sz w:val="13"/>
                <w:szCs w:val="13"/>
              </w:rPr>
              <w:t>5.51</w:t>
            </w:r>
          </w:p>
        </w:tc>
        <w:tc>
          <w:tcPr>
            <w:tcW w:w="252" w:type="dxa"/>
            <w:noWrap/>
            <w:vAlign w:val="center"/>
            <w:hideMark/>
          </w:tcPr>
          <w:p w14:paraId="6A85978B" w14:textId="77777777" w:rsidR="00126D8D" w:rsidRPr="004A4899" w:rsidRDefault="00126D8D" w:rsidP="00820288">
            <w:pPr>
              <w:spacing w:line="240" w:lineRule="auto"/>
              <w:rPr>
                <w:rFonts w:ascii="Times New Roman" w:hAnsi="Times New Roman" w:cs="Times New Roman"/>
                <w:sz w:val="13"/>
                <w:szCs w:val="13"/>
              </w:rPr>
            </w:pPr>
            <w:r w:rsidRPr="004A4899">
              <w:rPr>
                <w:rFonts w:ascii="Times New Roman" w:hAnsi="Times New Roman" w:cs="Times New Roman"/>
                <w:sz w:val="13"/>
                <w:szCs w:val="13"/>
              </w:rPr>
              <w:t>ab</w:t>
            </w:r>
          </w:p>
        </w:tc>
        <w:tc>
          <w:tcPr>
            <w:tcW w:w="377" w:type="dxa"/>
            <w:noWrap/>
            <w:vAlign w:val="center"/>
            <w:hideMark/>
          </w:tcPr>
          <w:p w14:paraId="2213A822" w14:textId="77777777" w:rsidR="00126D8D" w:rsidRPr="004A4899" w:rsidRDefault="00126D8D" w:rsidP="00820288">
            <w:pPr>
              <w:spacing w:line="240" w:lineRule="auto"/>
              <w:jc w:val="right"/>
              <w:rPr>
                <w:rFonts w:ascii="Times New Roman" w:hAnsi="Times New Roman" w:cs="Times New Roman"/>
                <w:sz w:val="13"/>
                <w:szCs w:val="13"/>
              </w:rPr>
            </w:pPr>
            <w:r w:rsidRPr="004A4899">
              <w:rPr>
                <w:rFonts w:ascii="Times New Roman" w:hAnsi="Times New Roman" w:cs="Times New Roman"/>
                <w:sz w:val="13"/>
                <w:szCs w:val="13"/>
              </w:rPr>
              <w:t>4.81</w:t>
            </w:r>
          </w:p>
        </w:tc>
        <w:tc>
          <w:tcPr>
            <w:tcW w:w="273" w:type="dxa"/>
            <w:noWrap/>
            <w:vAlign w:val="center"/>
            <w:hideMark/>
          </w:tcPr>
          <w:p w14:paraId="6725E4C2" w14:textId="77777777" w:rsidR="00126D8D" w:rsidRPr="004A4899" w:rsidRDefault="00126D8D" w:rsidP="00820288">
            <w:pPr>
              <w:spacing w:line="240" w:lineRule="auto"/>
              <w:rPr>
                <w:rFonts w:ascii="Times New Roman" w:hAnsi="Times New Roman" w:cs="Times New Roman"/>
                <w:sz w:val="13"/>
                <w:szCs w:val="13"/>
              </w:rPr>
            </w:pPr>
            <w:r w:rsidRPr="004A4899">
              <w:rPr>
                <w:rFonts w:ascii="Times New Roman" w:hAnsi="Times New Roman" w:cs="Times New Roman"/>
                <w:sz w:val="13"/>
                <w:szCs w:val="13"/>
              </w:rPr>
              <w:t>ab</w:t>
            </w:r>
          </w:p>
        </w:tc>
        <w:tc>
          <w:tcPr>
            <w:tcW w:w="377" w:type="dxa"/>
            <w:noWrap/>
            <w:vAlign w:val="center"/>
            <w:hideMark/>
          </w:tcPr>
          <w:p w14:paraId="33C5E076" w14:textId="77777777" w:rsidR="00126D8D" w:rsidRPr="004A4899" w:rsidRDefault="00126D8D" w:rsidP="00820288">
            <w:pPr>
              <w:spacing w:line="240" w:lineRule="auto"/>
              <w:jc w:val="right"/>
              <w:rPr>
                <w:rFonts w:ascii="Times New Roman" w:hAnsi="Times New Roman" w:cs="Times New Roman"/>
                <w:sz w:val="13"/>
                <w:szCs w:val="13"/>
              </w:rPr>
            </w:pPr>
            <w:r w:rsidRPr="004A4899">
              <w:rPr>
                <w:rFonts w:ascii="Times New Roman" w:hAnsi="Times New Roman" w:cs="Times New Roman"/>
                <w:sz w:val="13"/>
                <w:szCs w:val="13"/>
              </w:rPr>
              <w:t>4.54</w:t>
            </w:r>
          </w:p>
        </w:tc>
        <w:tc>
          <w:tcPr>
            <w:tcW w:w="273" w:type="dxa"/>
            <w:noWrap/>
            <w:vAlign w:val="center"/>
            <w:hideMark/>
          </w:tcPr>
          <w:p w14:paraId="4940DD9E" w14:textId="77777777" w:rsidR="00126D8D" w:rsidRPr="004A4899" w:rsidRDefault="00126D8D" w:rsidP="00820288">
            <w:pPr>
              <w:spacing w:line="240" w:lineRule="auto"/>
              <w:rPr>
                <w:rFonts w:ascii="Times New Roman" w:hAnsi="Times New Roman" w:cs="Times New Roman"/>
                <w:sz w:val="13"/>
                <w:szCs w:val="13"/>
              </w:rPr>
            </w:pPr>
            <w:r w:rsidRPr="004A4899">
              <w:rPr>
                <w:rFonts w:ascii="Times New Roman" w:hAnsi="Times New Roman" w:cs="Times New Roman"/>
                <w:sz w:val="13"/>
                <w:szCs w:val="13"/>
              </w:rPr>
              <w:t>b</w:t>
            </w:r>
          </w:p>
        </w:tc>
      </w:tr>
      <w:tr w:rsidR="00126D8D" w:rsidRPr="004A4899" w14:paraId="44B15375" w14:textId="77777777" w:rsidTr="00820288">
        <w:trPr>
          <w:trHeight w:val="173"/>
        </w:trPr>
        <w:tc>
          <w:tcPr>
            <w:tcW w:w="1440" w:type="dxa"/>
            <w:noWrap/>
            <w:vAlign w:val="center"/>
            <w:hideMark/>
          </w:tcPr>
          <w:p w14:paraId="2CEEAC2C" w14:textId="77777777" w:rsidR="00126D8D" w:rsidRPr="004A4899" w:rsidRDefault="00126D8D" w:rsidP="00820288">
            <w:pPr>
              <w:spacing w:line="240" w:lineRule="auto"/>
              <w:rPr>
                <w:rFonts w:ascii="Times New Roman" w:hAnsi="Times New Roman" w:cs="Times New Roman"/>
                <w:b/>
                <w:bCs/>
                <w:sz w:val="12"/>
                <w:szCs w:val="12"/>
              </w:rPr>
            </w:pPr>
            <w:r w:rsidRPr="004A4899">
              <w:rPr>
                <w:rFonts w:ascii="Times New Roman" w:hAnsi="Times New Roman" w:cs="Times New Roman"/>
                <w:b/>
                <w:bCs/>
                <w:sz w:val="12"/>
                <w:szCs w:val="12"/>
              </w:rPr>
              <w:t>Hydrocarbons</w:t>
            </w:r>
          </w:p>
        </w:tc>
        <w:tc>
          <w:tcPr>
            <w:tcW w:w="377" w:type="dxa"/>
            <w:noWrap/>
            <w:vAlign w:val="center"/>
            <w:hideMark/>
          </w:tcPr>
          <w:p w14:paraId="5B4FD120" w14:textId="77777777" w:rsidR="00126D8D" w:rsidRPr="004A4899" w:rsidRDefault="00126D8D" w:rsidP="00820288">
            <w:pPr>
              <w:spacing w:line="240" w:lineRule="auto"/>
              <w:jc w:val="right"/>
              <w:rPr>
                <w:rFonts w:ascii="Times New Roman" w:hAnsi="Times New Roman" w:cs="Times New Roman"/>
                <w:sz w:val="13"/>
                <w:szCs w:val="13"/>
              </w:rPr>
            </w:pPr>
          </w:p>
        </w:tc>
        <w:tc>
          <w:tcPr>
            <w:tcW w:w="274" w:type="dxa"/>
            <w:noWrap/>
            <w:vAlign w:val="center"/>
            <w:hideMark/>
          </w:tcPr>
          <w:p w14:paraId="20169ADC" w14:textId="77777777" w:rsidR="00126D8D" w:rsidRPr="004A4899" w:rsidRDefault="00126D8D" w:rsidP="00820288">
            <w:pPr>
              <w:spacing w:line="240" w:lineRule="auto"/>
              <w:rPr>
                <w:rFonts w:ascii="Times New Roman" w:hAnsi="Times New Roman" w:cs="Times New Roman"/>
                <w:sz w:val="13"/>
                <w:szCs w:val="13"/>
              </w:rPr>
            </w:pPr>
          </w:p>
        </w:tc>
        <w:tc>
          <w:tcPr>
            <w:tcW w:w="411" w:type="dxa"/>
            <w:noWrap/>
            <w:vAlign w:val="center"/>
            <w:hideMark/>
          </w:tcPr>
          <w:p w14:paraId="1E3FA26C" w14:textId="77777777" w:rsidR="00126D8D" w:rsidRPr="004A4899" w:rsidRDefault="00126D8D" w:rsidP="00820288">
            <w:pPr>
              <w:spacing w:line="240" w:lineRule="auto"/>
              <w:jc w:val="right"/>
              <w:rPr>
                <w:rFonts w:ascii="Times New Roman" w:hAnsi="Times New Roman" w:cs="Times New Roman"/>
                <w:sz w:val="13"/>
                <w:szCs w:val="13"/>
              </w:rPr>
            </w:pPr>
          </w:p>
        </w:tc>
        <w:tc>
          <w:tcPr>
            <w:tcW w:w="239" w:type="dxa"/>
            <w:noWrap/>
            <w:vAlign w:val="center"/>
            <w:hideMark/>
          </w:tcPr>
          <w:p w14:paraId="0A46BB11" w14:textId="77777777" w:rsidR="00126D8D" w:rsidRPr="004A4899" w:rsidRDefault="00126D8D" w:rsidP="00820288">
            <w:pPr>
              <w:spacing w:line="240" w:lineRule="auto"/>
              <w:rPr>
                <w:rFonts w:ascii="Times New Roman" w:hAnsi="Times New Roman" w:cs="Times New Roman"/>
                <w:sz w:val="13"/>
                <w:szCs w:val="13"/>
              </w:rPr>
            </w:pPr>
          </w:p>
        </w:tc>
        <w:tc>
          <w:tcPr>
            <w:tcW w:w="377" w:type="dxa"/>
            <w:noWrap/>
            <w:vAlign w:val="center"/>
            <w:hideMark/>
          </w:tcPr>
          <w:p w14:paraId="568326A2" w14:textId="77777777" w:rsidR="00126D8D" w:rsidRPr="004A4899" w:rsidRDefault="00126D8D" w:rsidP="00820288">
            <w:pPr>
              <w:spacing w:line="240" w:lineRule="auto"/>
              <w:jc w:val="right"/>
              <w:rPr>
                <w:rFonts w:ascii="Times New Roman" w:hAnsi="Times New Roman" w:cs="Times New Roman"/>
                <w:sz w:val="13"/>
                <w:szCs w:val="13"/>
              </w:rPr>
            </w:pPr>
          </w:p>
        </w:tc>
        <w:tc>
          <w:tcPr>
            <w:tcW w:w="273" w:type="dxa"/>
            <w:noWrap/>
            <w:vAlign w:val="center"/>
            <w:hideMark/>
          </w:tcPr>
          <w:p w14:paraId="006DFC2F" w14:textId="77777777" w:rsidR="00126D8D" w:rsidRPr="004A4899" w:rsidRDefault="00126D8D" w:rsidP="00820288">
            <w:pPr>
              <w:spacing w:line="240" w:lineRule="auto"/>
              <w:rPr>
                <w:rFonts w:ascii="Times New Roman" w:hAnsi="Times New Roman" w:cs="Times New Roman"/>
                <w:sz w:val="13"/>
                <w:szCs w:val="13"/>
              </w:rPr>
            </w:pPr>
          </w:p>
        </w:tc>
        <w:tc>
          <w:tcPr>
            <w:tcW w:w="377" w:type="dxa"/>
            <w:noWrap/>
            <w:vAlign w:val="center"/>
            <w:hideMark/>
          </w:tcPr>
          <w:p w14:paraId="167036B2" w14:textId="77777777" w:rsidR="00126D8D" w:rsidRPr="004A4899" w:rsidRDefault="00126D8D" w:rsidP="00820288">
            <w:pPr>
              <w:spacing w:line="240" w:lineRule="auto"/>
              <w:jc w:val="right"/>
              <w:rPr>
                <w:rFonts w:ascii="Times New Roman" w:hAnsi="Times New Roman" w:cs="Times New Roman"/>
                <w:sz w:val="13"/>
                <w:szCs w:val="13"/>
              </w:rPr>
            </w:pPr>
          </w:p>
        </w:tc>
        <w:tc>
          <w:tcPr>
            <w:tcW w:w="273" w:type="dxa"/>
            <w:noWrap/>
            <w:vAlign w:val="center"/>
            <w:hideMark/>
          </w:tcPr>
          <w:p w14:paraId="69EF172A" w14:textId="77777777" w:rsidR="00126D8D" w:rsidRPr="004A4899" w:rsidRDefault="00126D8D" w:rsidP="00820288">
            <w:pPr>
              <w:spacing w:line="240" w:lineRule="auto"/>
              <w:rPr>
                <w:rFonts w:ascii="Times New Roman" w:hAnsi="Times New Roman" w:cs="Times New Roman"/>
                <w:sz w:val="13"/>
                <w:szCs w:val="13"/>
              </w:rPr>
            </w:pPr>
          </w:p>
        </w:tc>
        <w:tc>
          <w:tcPr>
            <w:tcW w:w="377" w:type="dxa"/>
            <w:noWrap/>
            <w:vAlign w:val="center"/>
            <w:hideMark/>
          </w:tcPr>
          <w:p w14:paraId="14589D0F" w14:textId="77777777" w:rsidR="00126D8D" w:rsidRPr="004A4899" w:rsidRDefault="00126D8D" w:rsidP="00820288">
            <w:pPr>
              <w:spacing w:line="240" w:lineRule="auto"/>
              <w:jc w:val="right"/>
              <w:rPr>
                <w:rFonts w:ascii="Times New Roman" w:hAnsi="Times New Roman" w:cs="Times New Roman"/>
                <w:sz w:val="13"/>
                <w:szCs w:val="13"/>
              </w:rPr>
            </w:pPr>
          </w:p>
        </w:tc>
        <w:tc>
          <w:tcPr>
            <w:tcW w:w="326" w:type="dxa"/>
            <w:noWrap/>
            <w:vAlign w:val="center"/>
            <w:hideMark/>
          </w:tcPr>
          <w:p w14:paraId="268E0EBC" w14:textId="77777777" w:rsidR="00126D8D" w:rsidRPr="004A4899" w:rsidRDefault="00126D8D" w:rsidP="00820288">
            <w:pPr>
              <w:spacing w:line="240" w:lineRule="auto"/>
              <w:rPr>
                <w:rFonts w:ascii="Times New Roman" w:hAnsi="Times New Roman" w:cs="Times New Roman"/>
                <w:sz w:val="13"/>
                <w:szCs w:val="13"/>
              </w:rPr>
            </w:pPr>
          </w:p>
        </w:tc>
        <w:tc>
          <w:tcPr>
            <w:tcW w:w="377" w:type="dxa"/>
            <w:noWrap/>
            <w:vAlign w:val="center"/>
            <w:hideMark/>
          </w:tcPr>
          <w:p w14:paraId="32D8044F" w14:textId="77777777" w:rsidR="00126D8D" w:rsidRPr="004A4899" w:rsidRDefault="00126D8D" w:rsidP="00820288">
            <w:pPr>
              <w:spacing w:line="240" w:lineRule="auto"/>
              <w:jc w:val="right"/>
              <w:rPr>
                <w:rFonts w:ascii="Times New Roman" w:hAnsi="Times New Roman" w:cs="Times New Roman"/>
                <w:sz w:val="13"/>
                <w:szCs w:val="13"/>
              </w:rPr>
            </w:pPr>
          </w:p>
        </w:tc>
        <w:tc>
          <w:tcPr>
            <w:tcW w:w="326" w:type="dxa"/>
            <w:noWrap/>
            <w:vAlign w:val="center"/>
            <w:hideMark/>
          </w:tcPr>
          <w:p w14:paraId="242A2584" w14:textId="77777777" w:rsidR="00126D8D" w:rsidRPr="004A4899" w:rsidRDefault="00126D8D" w:rsidP="00820288">
            <w:pPr>
              <w:spacing w:line="240" w:lineRule="auto"/>
              <w:rPr>
                <w:rFonts w:ascii="Times New Roman" w:hAnsi="Times New Roman" w:cs="Times New Roman"/>
                <w:sz w:val="13"/>
                <w:szCs w:val="13"/>
              </w:rPr>
            </w:pPr>
          </w:p>
        </w:tc>
        <w:tc>
          <w:tcPr>
            <w:tcW w:w="377" w:type="dxa"/>
            <w:noWrap/>
            <w:vAlign w:val="center"/>
            <w:hideMark/>
          </w:tcPr>
          <w:p w14:paraId="7FEDF21F" w14:textId="77777777" w:rsidR="00126D8D" w:rsidRPr="004A4899" w:rsidRDefault="00126D8D" w:rsidP="00820288">
            <w:pPr>
              <w:spacing w:line="240" w:lineRule="auto"/>
              <w:jc w:val="right"/>
              <w:rPr>
                <w:rFonts w:ascii="Times New Roman" w:hAnsi="Times New Roman" w:cs="Times New Roman"/>
                <w:sz w:val="13"/>
                <w:szCs w:val="13"/>
              </w:rPr>
            </w:pPr>
          </w:p>
        </w:tc>
        <w:tc>
          <w:tcPr>
            <w:tcW w:w="219" w:type="dxa"/>
            <w:noWrap/>
            <w:vAlign w:val="center"/>
            <w:hideMark/>
          </w:tcPr>
          <w:p w14:paraId="666E7FCD" w14:textId="77777777" w:rsidR="00126D8D" w:rsidRPr="004A4899" w:rsidRDefault="00126D8D" w:rsidP="00820288">
            <w:pPr>
              <w:spacing w:line="240" w:lineRule="auto"/>
              <w:rPr>
                <w:rFonts w:ascii="Times New Roman" w:hAnsi="Times New Roman" w:cs="Times New Roman"/>
                <w:sz w:val="13"/>
                <w:szCs w:val="13"/>
              </w:rPr>
            </w:pPr>
          </w:p>
        </w:tc>
        <w:tc>
          <w:tcPr>
            <w:tcW w:w="377" w:type="dxa"/>
            <w:noWrap/>
            <w:vAlign w:val="center"/>
            <w:hideMark/>
          </w:tcPr>
          <w:p w14:paraId="3829D515" w14:textId="77777777" w:rsidR="00126D8D" w:rsidRPr="004A4899" w:rsidRDefault="00126D8D" w:rsidP="00820288">
            <w:pPr>
              <w:spacing w:line="240" w:lineRule="auto"/>
              <w:jc w:val="right"/>
              <w:rPr>
                <w:rFonts w:ascii="Times New Roman" w:hAnsi="Times New Roman" w:cs="Times New Roman"/>
                <w:sz w:val="13"/>
                <w:szCs w:val="13"/>
              </w:rPr>
            </w:pPr>
          </w:p>
        </w:tc>
        <w:tc>
          <w:tcPr>
            <w:tcW w:w="159" w:type="dxa"/>
            <w:noWrap/>
            <w:vAlign w:val="center"/>
            <w:hideMark/>
          </w:tcPr>
          <w:p w14:paraId="37E058E7" w14:textId="77777777" w:rsidR="00126D8D" w:rsidRPr="004A4899" w:rsidRDefault="00126D8D" w:rsidP="00820288">
            <w:pPr>
              <w:spacing w:line="240" w:lineRule="auto"/>
              <w:rPr>
                <w:rFonts w:ascii="Times New Roman" w:hAnsi="Times New Roman" w:cs="Times New Roman"/>
                <w:sz w:val="13"/>
                <w:szCs w:val="13"/>
              </w:rPr>
            </w:pPr>
          </w:p>
        </w:tc>
        <w:tc>
          <w:tcPr>
            <w:tcW w:w="377" w:type="dxa"/>
            <w:noWrap/>
            <w:vAlign w:val="center"/>
            <w:hideMark/>
          </w:tcPr>
          <w:p w14:paraId="34BF5A54" w14:textId="77777777" w:rsidR="00126D8D" w:rsidRPr="004A4899" w:rsidRDefault="00126D8D" w:rsidP="00820288">
            <w:pPr>
              <w:spacing w:line="240" w:lineRule="auto"/>
              <w:jc w:val="right"/>
              <w:rPr>
                <w:rFonts w:ascii="Times New Roman" w:hAnsi="Times New Roman" w:cs="Times New Roman"/>
                <w:sz w:val="13"/>
                <w:szCs w:val="13"/>
              </w:rPr>
            </w:pPr>
          </w:p>
        </w:tc>
        <w:tc>
          <w:tcPr>
            <w:tcW w:w="326" w:type="dxa"/>
            <w:noWrap/>
            <w:vAlign w:val="center"/>
            <w:hideMark/>
          </w:tcPr>
          <w:p w14:paraId="2BF91C23" w14:textId="77777777" w:rsidR="00126D8D" w:rsidRPr="004A4899" w:rsidRDefault="00126D8D" w:rsidP="00820288">
            <w:pPr>
              <w:spacing w:line="240" w:lineRule="auto"/>
              <w:rPr>
                <w:rFonts w:ascii="Times New Roman" w:hAnsi="Times New Roman" w:cs="Times New Roman"/>
                <w:sz w:val="13"/>
                <w:szCs w:val="13"/>
              </w:rPr>
            </w:pPr>
          </w:p>
        </w:tc>
        <w:tc>
          <w:tcPr>
            <w:tcW w:w="377" w:type="dxa"/>
            <w:noWrap/>
            <w:vAlign w:val="center"/>
            <w:hideMark/>
          </w:tcPr>
          <w:p w14:paraId="0EB93978" w14:textId="77777777" w:rsidR="00126D8D" w:rsidRPr="004A4899" w:rsidRDefault="00126D8D" w:rsidP="00820288">
            <w:pPr>
              <w:spacing w:line="240" w:lineRule="auto"/>
              <w:jc w:val="right"/>
              <w:rPr>
                <w:rFonts w:ascii="Times New Roman" w:hAnsi="Times New Roman" w:cs="Times New Roman"/>
                <w:sz w:val="13"/>
                <w:szCs w:val="13"/>
              </w:rPr>
            </w:pPr>
          </w:p>
        </w:tc>
        <w:tc>
          <w:tcPr>
            <w:tcW w:w="252" w:type="dxa"/>
            <w:noWrap/>
            <w:vAlign w:val="center"/>
            <w:hideMark/>
          </w:tcPr>
          <w:p w14:paraId="72DE6065" w14:textId="77777777" w:rsidR="00126D8D" w:rsidRPr="004A4899" w:rsidRDefault="00126D8D" w:rsidP="00820288">
            <w:pPr>
              <w:spacing w:line="240" w:lineRule="auto"/>
              <w:rPr>
                <w:rFonts w:ascii="Times New Roman" w:hAnsi="Times New Roman" w:cs="Times New Roman"/>
                <w:sz w:val="13"/>
                <w:szCs w:val="13"/>
              </w:rPr>
            </w:pPr>
          </w:p>
        </w:tc>
        <w:tc>
          <w:tcPr>
            <w:tcW w:w="377" w:type="dxa"/>
            <w:noWrap/>
            <w:vAlign w:val="center"/>
            <w:hideMark/>
          </w:tcPr>
          <w:p w14:paraId="5824FE8C" w14:textId="77777777" w:rsidR="00126D8D" w:rsidRPr="004A4899" w:rsidRDefault="00126D8D" w:rsidP="00820288">
            <w:pPr>
              <w:spacing w:line="240" w:lineRule="auto"/>
              <w:jc w:val="right"/>
              <w:rPr>
                <w:rFonts w:ascii="Times New Roman" w:hAnsi="Times New Roman" w:cs="Times New Roman"/>
                <w:sz w:val="13"/>
                <w:szCs w:val="13"/>
              </w:rPr>
            </w:pPr>
          </w:p>
        </w:tc>
        <w:tc>
          <w:tcPr>
            <w:tcW w:w="273" w:type="dxa"/>
            <w:noWrap/>
            <w:vAlign w:val="center"/>
            <w:hideMark/>
          </w:tcPr>
          <w:p w14:paraId="1E462471" w14:textId="77777777" w:rsidR="00126D8D" w:rsidRPr="004A4899" w:rsidRDefault="00126D8D" w:rsidP="00820288">
            <w:pPr>
              <w:spacing w:line="240" w:lineRule="auto"/>
              <w:rPr>
                <w:rFonts w:ascii="Times New Roman" w:hAnsi="Times New Roman" w:cs="Times New Roman"/>
                <w:sz w:val="13"/>
                <w:szCs w:val="13"/>
              </w:rPr>
            </w:pPr>
          </w:p>
        </w:tc>
        <w:tc>
          <w:tcPr>
            <w:tcW w:w="377" w:type="dxa"/>
            <w:noWrap/>
            <w:vAlign w:val="center"/>
            <w:hideMark/>
          </w:tcPr>
          <w:p w14:paraId="03F0C5E4" w14:textId="77777777" w:rsidR="00126D8D" w:rsidRPr="004A4899" w:rsidRDefault="00126D8D" w:rsidP="00820288">
            <w:pPr>
              <w:spacing w:line="240" w:lineRule="auto"/>
              <w:jc w:val="right"/>
              <w:rPr>
                <w:rFonts w:ascii="Times New Roman" w:hAnsi="Times New Roman" w:cs="Times New Roman"/>
                <w:sz w:val="13"/>
                <w:szCs w:val="13"/>
              </w:rPr>
            </w:pPr>
          </w:p>
        </w:tc>
        <w:tc>
          <w:tcPr>
            <w:tcW w:w="273" w:type="dxa"/>
            <w:noWrap/>
            <w:vAlign w:val="center"/>
            <w:hideMark/>
          </w:tcPr>
          <w:p w14:paraId="46E47034" w14:textId="77777777" w:rsidR="00126D8D" w:rsidRPr="004A4899" w:rsidRDefault="00126D8D" w:rsidP="00820288">
            <w:pPr>
              <w:spacing w:line="240" w:lineRule="auto"/>
              <w:rPr>
                <w:rFonts w:ascii="Times New Roman" w:hAnsi="Times New Roman" w:cs="Times New Roman"/>
                <w:sz w:val="13"/>
                <w:szCs w:val="13"/>
              </w:rPr>
            </w:pPr>
          </w:p>
        </w:tc>
      </w:tr>
      <w:tr w:rsidR="00126D8D" w:rsidRPr="004A4899" w14:paraId="1B89B304" w14:textId="77777777" w:rsidTr="00820288">
        <w:trPr>
          <w:trHeight w:val="173"/>
        </w:trPr>
        <w:tc>
          <w:tcPr>
            <w:tcW w:w="1440" w:type="dxa"/>
            <w:noWrap/>
            <w:vAlign w:val="center"/>
            <w:hideMark/>
          </w:tcPr>
          <w:p w14:paraId="61DB7DCD" w14:textId="77777777" w:rsidR="00126D8D" w:rsidRPr="004A4899" w:rsidRDefault="00126D8D" w:rsidP="00820288">
            <w:pPr>
              <w:spacing w:line="240" w:lineRule="auto"/>
              <w:rPr>
                <w:rFonts w:ascii="Times New Roman" w:hAnsi="Times New Roman" w:cs="Times New Roman"/>
                <w:sz w:val="12"/>
                <w:szCs w:val="12"/>
              </w:rPr>
            </w:pPr>
            <w:r w:rsidRPr="004A4899">
              <w:rPr>
                <w:rFonts w:ascii="Times New Roman" w:hAnsi="Times New Roman" w:cs="Times New Roman"/>
                <w:sz w:val="12"/>
                <w:szCs w:val="12"/>
              </w:rPr>
              <w:t>1,4-Cyclohexadiene</w:t>
            </w:r>
          </w:p>
        </w:tc>
        <w:tc>
          <w:tcPr>
            <w:tcW w:w="377" w:type="dxa"/>
            <w:noWrap/>
            <w:vAlign w:val="center"/>
            <w:hideMark/>
          </w:tcPr>
          <w:p w14:paraId="3C761A8F" w14:textId="77777777" w:rsidR="00126D8D" w:rsidRPr="004A4899" w:rsidRDefault="00126D8D" w:rsidP="00820288">
            <w:pPr>
              <w:spacing w:line="240" w:lineRule="auto"/>
              <w:jc w:val="right"/>
              <w:rPr>
                <w:rFonts w:ascii="Times New Roman" w:hAnsi="Times New Roman" w:cs="Times New Roman"/>
                <w:sz w:val="13"/>
                <w:szCs w:val="13"/>
              </w:rPr>
            </w:pPr>
            <w:r w:rsidRPr="004A4899">
              <w:rPr>
                <w:rFonts w:ascii="Times New Roman" w:hAnsi="Times New Roman" w:cs="Times New Roman"/>
                <w:sz w:val="13"/>
                <w:szCs w:val="13"/>
              </w:rPr>
              <w:t>12.21</w:t>
            </w:r>
          </w:p>
        </w:tc>
        <w:tc>
          <w:tcPr>
            <w:tcW w:w="274" w:type="dxa"/>
            <w:noWrap/>
            <w:vAlign w:val="center"/>
            <w:hideMark/>
          </w:tcPr>
          <w:p w14:paraId="19E5A7CF" w14:textId="77777777" w:rsidR="00126D8D" w:rsidRPr="004A4899" w:rsidRDefault="00126D8D" w:rsidP="00820288">
            <w:pPr>
              <w:spacing w:line="240" w:lineRule="auto"/>
              <w:rPr>
                <w:rFonts w:ascii="Times New Roman" w:hAnsi="Times New Roman" w:cs="Times New Roman"/>
                <w:sz w:val="13"/>
                <w:szCs w:val="13"/>
              </w:rPr>
            </w:pPr>
            <w:r w:rsidRPr="004A4899">
              <w:rPr>
                <w:rFonts w:ascii="Times New Roman" w:hAnsi="Times New Roman" w:cs="Times New Roman"/>
                <w:sz w:val="13"/>
                <w:szCs w:val="13"/>
              </w:rPr>
              <w:t>bcd</w:t>
            </w:r>
          </w:p>
        </w:tc>
        <w:tc>
          <w:tcPr>
            <w:tcW w:w="411" w:type="dxa"/>
            <w:noWrap/>
            <w:vAlign w:val="center"/>
            <w:hideMark/>
          </w:tcPr>
          <w:p w14:paraId="1A636B18" w14:textId="77777777" w:rsidR="00126D8D" w:rsidRPr="004A4899" w:rsidRDefault="00126D8D" w:rsidP="00820288">
            <w:pPr>
              <w:spacing w:line="240" w:lineRule="auto"/>
              <w:jc w:val="right"/>
              <w:rPr>
                <w:rFonts w:ascii="Times New Roman" w:hAnsi="Times New Roman" w:cs="Times New Roman"/>
                <w:sz w:val="13"/>
                <w:szCs w:val="13"/>
              </w:rPr>
            </w:pPr>
            <w:r w:rsidRPr="004A4899">
              <w:rPr>
                <w:rFonts w:ascii="Times New Roman" w:hAnsi="Times New Roman" w:cs="Times New Roman"/>
                <w:sz w:val="13"/>
                <w:szCs w:val="13"/>
              </w:rPr>
              <w:t>6.38</w:t>
            </w:r>
          </w:p>
        </w:tc>
        <w:tc>
          <w:tcPr>
            <w:tcW w:w="239" w:type="dxa"/>
            <w:noWrap/>
            <w:vAlign w:val="center"/>
            <w:hideMark/>
          </w:tcPr>
          <w:p w14:paraId="731048B7" w14:textId="77777777" w:rsidR="00126D8D" w:rsidRPr="004A4899" w:rsidRDefault="00126D8D" w:rsidP="00820288">
            <w:pPr>
              <w:spacing w:line="240" w:lineRule="auto"/>
              <w:rPr>
                <w:rFonts w:ascii="Times New Roman" w:hAnsi="Times New Roman" w:cs="Times New Roman"/>
                <w:sz w:val="13"/>
                <w:szCs w:val="13"/>
              </w:rPr>
            </w:pPr>
            <w:r w:rsidRPr="004A4899">
              <w:rPr>
                <w:rFonts w:ascii="Times New Roman" w:hAnsi="Times New Roman" w:cs="Times New Roman"/>
                <w:sz w:val="13"/>
                <w:szCs w:val="13"/>
              </w:rPr>
              <w:t>d</w:t>
            </w:r>
          </w:p>
        </w:tc>
        <w:tc>
          <w:tcPr>
            <w:tcW w:w="377" w:type="dxa"/>
            <w:noWrap/>
            <w:vAlign w:val="center"/>
            <w:hideMark/>
          </w:tcPr>
          <w:p w14:paraId="52C27BE1" w14:textId="77777777" w:rsidR="00126D8D" w:rsidRPr="004A4899" w:rsidRDefault="00126D8D" w:rsidP="00820288">
            <w:pPr>
              <w:spacing w:line="240" w:lineRule="auto"/>
              <w:jc w:val="right"/>
              <w:rPr>
                <w:rFonts w:ascii="Times New Roman" w:hAnsi="Times New Roman" w:cs="Times New Roman"/>
                <w:sz w:val="13"/>
                <w:szCs w:val="13"/>
              </w:rPr>
            </w:pPr>
            <w:r w:rsidRPr="004A4899">
              <w:rPr>
                <w:rFonts w:ascii="Times New Roman" w:hAnsi="Times New Roman" w:cs="Times New Roman"/>
                <w:sz w:val="13"/>
                <w:szCs w:val="13"/>
              </w:rPr>
              <w:t>10.39</w:t>
            </w:r>
          </w:p>
        </w:tc>
        <w:tc>
          <w:tcPr>
            <w:tcW w:w="273" w:type="dxa"/>
            <w:noWrap/>
            <w:vAlign w:val="center"/>
            <w:hideMark/>
          </w:tcPr>
          <w:p w14:paraId="0A175A0E" w14:textId="77777777" w:rsidR="00126D8D" w:rsidRPr="004A4899" w:rsidRDefault="00126D8D" w:rsidP="00820288">
            <w:pPr>
              <w:spacing w:line="240" w:lineRule="auto"/>
              <w:rPr>
                <w:rFonts w:ascii="Times New Roman" w:hAnsi="Times New Roman" w:cs="Times New Roman"/>
                <w:sz w:val="13"/>
                <w:szCs w:val="13"/>
              </w:rPr>
            </w:pPr>
            <w:r w:rsidRPr="004A4899">
              <w:rPr>
                <w:rFonts w:ascii="Times New Roman" w:hAnsi="Times New Roman" w:cs="Times New Roman"/>
                <w:sz w:val="13"/>
                <w:szCs w:val="13"/>
              </w:rPr>
              <w:t>cd</w:t>
            </w:r>
          </w:p>
        </w:tc>
        <w:tc>
          <w:tcPr>
            <w:tcW w:w="377" w:type="dxa"/>
            <w:noWrap/>
            <w:vAlign w:val="center"/>
            <w:hideMark/>
          </w:tcPr>
          <w:p w14:paraId="3CE69378" w14:textId="77777777" w:rsidR="00126D8D" w:rsidRPr="004A4899" w:rsidRDefault="00126D8D" w:rsidP="00820288">
            <w:pPr>
              <w:spacing w:line="240" w:lineRule="auto"/>
              <w:jc w:val="right"/>
              <w:rPr>
                <w:rFonts w:ascii="Times New Roman" w:hAnsi="Times New Roman" w:cs="Times New Roman"/>
                <w:sz w:val="13"/>
                <w:szCs w:val="13"/>
              </w:rPr>
            </w:pPr>
            <w:r w:rsidRPr="004A4899">
              <w:rPr>
                <w:rFonts w:ascii="Times New Roman" w:hAnsi="Times New Roman" w:cs="Times New Roman"/>
                <w:sz w:val="13"/>
                <w:szCs w:val="13"/>
              </w:rPr>
              <w:t>14.17</w:t>
            </w:r>
          </w:p>
        </w:tc>
        <w:tc>
          <w:tcPr>
            <w:tcW w:w="273" w:type="dxa"/>
            <w:noWrap/>
            <w:vAlign w:val="center"/>
            <w:hideMark/>
          </w:tcPr>
          <w:p w14:paraId="74B427E6" w14:textId="77777777" w:rsidR="00126D8D" w:rsidRPr="004A4899" w:rsidRDefault="00126D8D" w:rsidP="00820288">
            <w:pPr>
              <w:spacing w:line="240" w:lineRule="auto"/>
              <w:rPr>
                <w:rFonts w:ascii="Times New Roman" w:hAnsi="Times New Roman" w:cs="Times New Roman"/>
                <w:sz w:val="13"/>
                <w:szCs w:val="13"/>
              </w:rPr>
            </w:pPr>
            <w:r w:rsidRPr="004A4899">
              <w:rPr>
                <w:rFonts w:ascii="Times New Roman" w:hAnsi="Times New Roman" w:cs="Times New Roman"/>
                <w:sz w:val="13"/>
                <w:szCs w:val="13"/>
              </w:rPr>
              <w:t>abc</w:t>
            </w:r>
          </w:p>
        </w:tc>
        <w:tc>
          <w:tcPr>
            <w:tcW w:w="377" w:type="dxa"/>
            <w:noWrap/>
            <w:vAlign w:val="center"/>
            <w:hideMark/>
          </w:tcPr>
          <w:p w14:paraId="3E6BA36F" w14:textId="77777777" w:rsidR="00126D8D" w:rsidRPr="004A4899" w:rsidRDefault="00126D8D" w:rsidP="00820288">
            <w:pPr>
              <w:spacing w:line="240" w:lineRule="auto"/>
              <w:jc w:val="right"/>
              <w:rPr>
                <w:rFonts w:ascii="Times New Roman" w:hAnsi="Times New Roman" w:cs="Times New Roman"/>
                <w:sz w:val="13"/>
                <w:szCs w:val="13"/>
              </w:rPr>
            </w:pPr>
            <w:r w:rsidRPr="004A4899">
              <w:rPr>
                <w:rFonts w:ascii="Times New Roman" w:hAnsi="Times New Roman" w:cs="Times New Roman"/>
                <w:sz w:val="13"/>
                <w:szCs w:val="13"/>
              </w:rPr>
              <w:t>12.84</w:t>
            </w:r>
          </w:p>
        </w:tc>
        <w:tc>
          <w:tcPr>
            <w:tcW w:w="326" w:type="dxa"/>
            <w:noWrap/>
            <w:vAlign w:val="center"/>
            <w:hideMark/>
          </w:tcPr>
          <w:p w14:paraId="42699CFC" w14:textId="77777777" w:rsidR="00126D8D" w:rsidRPr="004A4899" w:rsidRDefault="00126D8D" w:rsidP="00820288">
            <w:pPr>
              <w:spacing w:line="240" w:lineRule="auto"/>
              <w:rPr>
                <w:rFonts w:ascii="Times New Roman" w:hAnsi="Times New Roman" w:cs="Times New Roman"/>
                <w:sz w:val="13"/>
                <w:szCs w:val="13"/>
              </w:rPr>
            </w:pPr>
            <w:r w:rsidRPr="004A4899">
              <w:rPr>
                <w:rFonts w:ascii="Times New Roman" w:hAnsi="Times New Roman" w:cs="Times New Roman"/>
                <w:sz w:val="13"/>
                <w:szCs w:val="13"/>
              </w:rPr>
              <w:t>bcd</w:t>
            </w:r>
          </w:p>
        </w:tc>
        <w:tc>
          <w:tcPr>
            <w:tcW w:w="377" w:type="dxa"/>
            <w:noWrap/>
            <w:vAlign w:val="center"/>
            <w:hideMark/>
          </w:tcPr>
          <w:p w14:paraId="68B84A35" w14:textId="77777777" w:rsidR="00126D8D" w:rsidRPr="004A4899" w:rsidRDefault="00126D8D" w:rsidP="00820288">
            <w:pPr>
              <w:spacing w:line="240" w:lineRule="auto"/>
              <w:jc w:val="right"/>
              <w:rPr>
                <w:rFonts w:ascii="Times New Roman" w:hAnsi="Times New Roman" w:cs="Times New Roman"/>
                <w:sz w:val="13"/>
                <w:szCs w:val="13"/>
              </w:rPr>
            </w:pPr>
            <w:r w:rsidRPr="004A4899">
              <w:rPr>
                <w:rFonts w:ascii="Times New Roman" w:hAnsi="Times New Roman" w:cs="Times New Roman"/>
                <w:sz w:val="13"/>
                <w:szCs w:val="13"/>
              </w:rPr>
              <w:t>11.24</w:t>
            </w:r>
          </w:p>
        </w:tc>
        <w:tc>
          <w:tcPr>
            <w:tcW w:w="326" w:type="dxa"/>
            <w:noWrap/>
            <w:vAlign w:val="center"/>
            <w:hideMark/>
          </w:tcPr>
          <w:p w14:paraId="0103CB38" w14:textId="77777777" w:rsidR="00126D8D" w:rsidRPr="004A4899" w:rsidRDefault="00126D8D" w:rsidP="00820288">
            <w:pPr>
              <w:spacing w:line="240" w:lineRule="auto"/>
              <w:rPr>
                <w:rFonts w:ascii="Times New Roman" w:hAnsi="Times New Roman" w:cs="Times New Roman"/>
                <w:sz w:val="13"/>
                <w:szCs w:val="13"/>
              </w:rPr>
            </w:pPr>
            <w:r w:rsidRPr="004A4899">
              <w:rPr>
                <w:rFonts w:ascii="Times New Roman" w:hAnsi="Times New Roman" w:cs="Times New Roman"/>
                <w:sz w:val="13"/>
                <w:szCs w:val="13"/>
              </w:rPr>
              <w:t>bcd</w:t>
            </w:r>
          </w:p>
        </w:tc>
        <w:tc>
          <w:tcPr>
            <w:tcW w:w="377" w:type="dxa"/>
            <w:noWrap/>
            <w:vAlign w:val="center"/>
            <w:hideMark/>
          </w:tcPr>
          <w:p w14:paraId="0997CF68" w14:textId="77777777" w:rsidR="00126D8D" w:rsidRPr="004A4899" w:rsidRDefault="00126D8D" w:rsidP="00820288">
            <w:pPr>
              <w:spacing w:line="240" w:lineRule="auto"/>
              <w:jc w:val="right"/>
              <w:rPr>
                <w:rFonts w:ascii="Times New Roman" w:hAnsi="Times New Roman" w:cs="Times New Roman"/>
                <w:sz w:val="13"/>
                <w:szCs w:val="13"/>
              </w:rPr>
            </w:pPr>
            <w:r w:rsidRPr="004A4899">
              <w:rPr>
                <w:rFonts w:ascii="Times New Roman" w:hAnsi="Times New Roman" w:cs="Times New Roman"/>
                <w:sz w:val="13"/>
                <w:szCs w:val="13"/>
              </w:rPr>
              <w:t>16.01</w:t>
            </w:r>
          </w:p>
        </w:tc>
        <w:tc>
          <w:tcPr>
            <w:tcW w:w="219" w:type="dxa"/>
            <w:noWrap/>
            <w:vAlign w:val="center"/>
            <w:hideMark/>
          </w:tcPr>
          <w:p w14:paraId="1FFC74C5" w14:textId="77777777" w:rsidR="00126D8D" w:rsidRPr="004A4899" w:rsidRDefault="00126D8D" w:rsidP="00820288">
            <w:pPr>
              <w:spacing w:line="240" w:lineRule="auto"/>
              <w:rPr>
                <w:rFonts w:ascii="Times New Roman" w:hAnsi="Times New Roman" w:cs="Times New Roman"/>
                <w:sz w:val="13"/>
                <w:szCs w:val="13"/>
              </w:rPr>
            </w:pPr>
            <w:r w:rsidRPr="004A4899">
              <w:rPr>
                <w:rFonts w:ascii="Times New Roman" w:hAnsi="Times New Roman" w:cs="Times New Roman"/>
                <w:sz w:val="13"/>
                <w:szCs w:val="13"/>
              </w:rPr>
              <w:t>ab</w:t>
            </w:r>
          </w:p>
        </w:tc>
        <w:tc>
          <w:tcPr>
            <w:tcW w:w="377" w:type="dxa"/>
            <w:noWrap/>
            <w:vAlign w:val="center"/>
            <w:hideMark/>
          </w:tcPr>
          <w:p w14:paraId="33185A15" w14:textId="77777777" w:rsidR="00126D8D" w:rsidRPr="004A4899" w:rsidRDefault="00126D8D" w:rsidP="00820288">
            <w:pPr>
              <w:spacing w:line="240" w:lineRule="auto"/>
              <w:jc w:val="right"/>
              <w:rPr>
                <w:rFonts w:ascii="Times New Roman" w:hAnsi="Times New Roman" w:cs="Times New Roman"/>
                <w:sz w:val="13"/>
                <w:szCs w:val="13"/>
              </w:rPr>
            </w:pPr>
            <w:r w:rsidRPr="004A4899">
              <w:rPr>
                <w:rFonts w:ascii="Times New Roman" w:hAnsi="Times New Roman" w:cs="Times New Roman"/>
                <w:sz w:val="13"/>
                <w:szCs w:val="13"/>
              </w:rPr>
              <w:t>18.66</w:t>
            </w:r>
          </w:p>
        </w:tc>
        <w:tc>
          <w:tcPr>
            <w:tcW w:w="159" w:type="dxa"/>
            <w:noWrap/>
            <w:vAlign w:val="center"/>
            <w:hideMark/>
          </w:tcPr>
          <w:p w14:paraId="4844B5C7" w14:textId="77777777" w:rsidR="00126D8D" w:rsidRPr="004A4899" w:rsidRDefault="00126D8D" w:rsidP="00820288">
            <w:pPr>
              <w:spacing w:line="240" w:lineRule="auto"/>
              <w:rPr>
                <w:rFonts w:ascii="Times New Roman" w:hAnsi="Times New Roman" w:cs="Times New Roman"/>
                <w:sz w:val="13"/>
                <w:szCs w:val="13"/>
              </w:rPr>
            </w:pPr>
            <w:r w:rsidRPr="004A4899">
              <w:rPr>
                <w:rFonts w:ascii="Times New Roman" w:hAnsi="Times New Roman" w:cs="Times New Roman"/>
                <w:sz w:val="13"/>
                <w:szCs w:val="13"/>
              </w:rPr>
              <w:t>a</w:t>
            </w:r>
          </w:p>
        </w:tc>
        <w:tc>
          <w:tcPr>
            <w:tcW w:w="377" w:type="dxa"/>
            <w:noWrap/>
            <w:vAlign w:val="center"/>
            <w:hideMark/>
          </w:tcPr>
          <w:p w14:paraId="0EFE62D5" w14:textId="77777777" w:rsidR="00126D8D" w:rsidRPr="004A4899" w:rsidRDefault="00126D8D" w:rsidP="00820288">
            <w:pPr>
              <w:spacing w:line="240" w:lineRule="auto"/>
              <w:jc w:val="right"/>
              <w:rPr>
                <w:rFonts w:ascii="Times New Roman" w:hAnsi="Times New Roman" w:cs="Times New Roman"/>
                <w:sz w:val="13"/>
                <w:szCs w:val="13"/>
              </w:rPr>
            </w:pPr>
            <w:r w:rsidRPr="004A4899">
              <w:rPr>
                <w:rFonts w:ascii="Times New Roman" w:hAnsi="Times New Roman" w:cs="Times New Roman"/>
                <w:sz w:val="13"/>
                <w:szCs w:val="13"/>
              </w:rPr>
              <w:t>15.92</w:t>
            </w:r>
          </w:p>
        </w:tc>
        <w:tc>
          <w:tcPr>
            <w:tcW w:w="326" w:type="dxa"/>
            <w:noWrap/>
            <w:vAlign w:val="center"/>
            <w:hideMark/>
          </w:tcPr>
          <w:p w14:paraId="502244C5" w14:textId="77777777" w:rsidR="00126D8D" w:rsidRPr="004A4899" w:rsidRDefault="00126D8D" w:rsidP="00820288">
            <w:pPr>
              <w:spacing w:line="240" w:lineRule="auto"/>
              <w:rPr>
                <w:rFonts w:ascii="Times New Roman" w:hAnsi="Times New Roman" w:cs="Times New Roman"/>
                <w:sz w:val="13"/>
                <w:szCs w:val="13"/>
              </w:rPr>
            </w:pPr>
            <w:r w:rsidRPr="004A4899">
              <w:rPr>
                <w:rFonts w:ascii="Times New Roman" w:hAnsi="Times New Roman" w:cs="Times New Roman"/>
                <w:sz w:val="13"/>
                <w:szCs w:val="13"/>
              </w:rPr>
              <w:t>ab</w:t>
            </w:r>
          </w:p>
        </w:tc>
        <w:tc>
          <w:tcPr>
            <w:tcW w:w="377" w:type="dxa"/>
            <w:noWrap/>
            <w:vAlign w:val="center"/>
            <w:hideMark/>
          </w:tcPr>
          <w:p w14:paraId="4DB506AB" w14:textId="77777777" w:rsidR="00126D8D" w:rsidRPr="004A4899" w:rsidRDefault="00126D8D" w:rsidP="00820288">
            <w:pPr>
              <w:spacing w:line="240" w:lineRule="auto"/>
              <w:jc w:val="right"/>
              <w:rPr>
                <w:rFonts w:ascii="Times New Roman" w:hAnsi="Times New Roman" w:cs="Times New Roman"/>
                <w:sz w:val="13"/>
                <w:szCs w:val="13"/>
              </w:rPr>
            </w:pPr>
            <w:r w:rsidRPr="004A4899">
              <w:rPr>
                <w:rFonts w:ascii="Times New Roman" w:hAnsi="Times New Roman" w:cs="Times New Roman"/>
                <w:sz w:val="13"/>
                <w:szCs w:val="13"/>
              </w:rPr>
              <w:t>10.67</w:t>
            </w:r>
          </w:p>
        </w:tc>
        <w:tc>
          <w:tcPr>
            <w:tcW w:w="252" w:type="dxa"/>
            <w:noWrap/>
            <w:vAlign w:val="center"/>
            <w:hideMark/>
          </w:tcPr>
          <w:p w14:paraId="34CDA471" w14:textId="77777777" w:rsidR="00126D8D" w:rsidRPr="004A4899" w:rsidRDefault="00126D8D" w:rsidP="00820288">
            <w:pPr>
              <w:spacing w:line="240" w:lineRule="auto"/>
              <w:rPr>
                <w:rFonts w:ascii="Times New Roman" w:hAnsi="Times New Roman" w:cs="Times New Roman"/>
                <w:sz w:val="13"/>
                <w:szCs w:val="13"/>
              </w:rPr>
            </w:pPr>
            <w:r w:rsidRPr="004A4899">
              <w:rPr>
                <w:rFonts w:ascii="Times New Roman" w:hAnsi="Times New Roman" w:cs="Times New Roman"/>
                <w:sz w:val="13"/>
                <w:szCs w:val="13"/>
              </w:rPr>
              <w:t>cd</w:t>
            </w:r>
          </w:p>
        </w:tc>
        <w:tc>
          <w:tcPr>
            <w:tcW w:w="377" w:type="dxa"/>
            <w:noWrap/>
            <w:vAlign w:val="center"/>
            <w:hideMark/>
          </w:tcPr>
          <w:p w14:paraId="502A401E" w14:textId="77777777" w:rsidR="00126D8D" w:rsidRPr="004A4899" w:rsidRDefault="00126D8D" w:rsidP="00820288">
            <w:pPr>
              <w:spacing w:line="240" w:lineRule="auto"/>
              <w:jc w:val="right"/>
              <w:rPr>
                <w:rFonts w:ascii="Times New Roman" w:hAnsi="Times New Roman" w:cs="Times New Roman"/>
                <w:sz w:val="13"/>
                <w:szCs w:val="13"/>
              </w:rPr>
            </w:pPr>
            <w:r w:rsidRPr="004A4899">
              <w:rPr>
                <w:rFonts w:ascii="Times New Roman" w:hAnsi="Times New Roman" w:cs="Times New Roman"/>
                <w:sz w:val="13"/>
                <w:szCs w:val="13"/>
              </w:rPr>
              <w:t>11.74</w:t>
            </w:r>
          </w:p>
        </w:tc>
        <w:tc>
          <w:tcPr>
            <w:tcW w:w="273" w:type="dxa"/>
            <w:noWrap/>
            <w:vAlign w:val="center"/>
            <w:hideMark/>
          </w:tcPr>
          <w:p w14:paraId="7FEA9A28" w14:textId="77777777" w:rsidR="00126D8D" w:rsidRPr="004A4899" w:rsidRDefault="00126D8D" w:rsidP="00820288">
            <w:pPr>
              <w:spacing w:line="240" w:lineRule="auto"/>
              <w:rPr>
                <w:rFonts w:ascii="Times New Roman" w:hAnsi="Times New Roman" w:cs="Times New Roman"/>
                <w:sz w:val="13"/>
                <w:szCs w:val="13"/>
              </w:rPr>
            </w:pPr>
            <w:r w:rsidRPr="004A4899">
              <w:rPr>
                <w:rFonts w:ascii="Times New Roman" w:hAnsi="Times New Roman" w:cs="Times New Roman"/>
                <w:sz w:val="13"/>
                <w:szCs w:val="13"/>
              </w:rPr>
              <w:t>bcd</w:t>
            </w:r>
          </w:p>
        </w:tc>
        <w:tc>
          <w:tcPr>
            <w:tcW w:w="377" w:type="dxa"/>
            <w:noWrap/>
            <w:vAlign w:val="center"/>
            <w:hideMark/>
          </w:tcPr>
          <w:p w14:paraId="6628F9DF" w14:textId="77777777" w:rsidR="00126D8D" w:rsidRPr="004A4899" w:rsidRDefault="00126D8D" w:rsidP="00820288">
            <w:pPr>
              <w:spacing w:line="240" w:lineRule="auto"/>
              <w:jc w:val="right"/>
              <w:rPr>
                <w:rFonts w:ascii="Times New Roman" w:hAnsi="Times New Roman" w:cs="Times New Roman"/>
                <w:sz w:val="13"/>
                <w:szCs w:val="13"/>
              </w:rPr>
            </w:pPr>
            <w:r w:rsidRPr="004A4899">
              <w:rPr>
                <w:rFonts w:ascii="Times New Roman" w:hAnsi="Times New Roman" w:cs="Times New Roman"/>
                <w:sz w:val="13"/>
                <w:szCs w:val="13"/>
              </w:rPr>
              <w:t>9.16</w:t>
            </w:r>
          </w:p>
        </w:tc>
        <w:tc>
          <w:tcPr>
            <w:tcW w:w="273" w:type="dxa"/>
            <w:noWrap/>
            <w:vAlign w:val="center"/>
            <w:hideMark/>
          </w:tcPr>
          <w:p w14:paraId="4D06DE44" w14:textId="77777777" w:rsidR="00126D8D" w:rsidRPr="004A4899" w:rsidRDefault="00126D8D" w:rsidP="00820288">
            <w:pPr>
              <w:spacing w:line="240" w:lineRule="auto"/>
              <w:rPr>
                <w:rFonts w:ascii="Times New Roman" w:hAnsi="Times New Roman" w:cs="Times New Roman"/>
                <w:sz w:val="13"/>
                <w:szCs w:val="13"/>
              </w:rPr>
            </w:pPr>
            <w:r w:rsidRPr="004A4899">
              <w:rPr>
                <w:rFonts w:ascii="Times New Roman" w:hAnsi="Times New Roman" w:cs="Times New Roman"/>
                <w:sz w:val="13"/>
                <w:szCs w:val="13"/>
              </w:rPr>
              <w:t>d</w:t>
            </w:r>
          </w:p>
        </w:tc>
      </w:tr>
      <w:tr w:rsidR="00126D8D" w:rsidRPr="004A4899" w14:paraId="1E30455A" w14:textId="77777777" w:rsidTr="00820288">
        <w:trPr>
          <w:trHeight w:val="173"/>
        </w:trPr>
        <w:tc>
          <w:tcPr>
            <w:tcW w:w="1440" w:type="dxa"/>
            <w:noWrap/>
            <w:vAlign w:val="center"/>
            <w:hideMark/>
          </w:tcPr>
          <w:p w14:paraId="0CA571E7" w14:textId="77777777" w:rsidR="00126D8D" w:rsidRPr="004A4899" w:rsidRDefault="00126D8D" w:rsidP="00820288">
            <w:pPr>
              <w:spacing w:line="240" w:lineRule="auto"/>
              <w:rPr>
                <w:rFonts w:ascii="Times New Roman" w:hAnsi="Times New Roman" w:cs="Times New Roman"/>
                <w:sz w:val="12"/>
                <w:szCs w:val="12"/>
              </w:rPr>
            </w:pPr>
            <w:r w:rsidRPr="004A4899">
              <w:rPr>
                <w:rFonts w:ascii="Times New Roman" w:hAnsi="Times New Roman" w:cs="Times New Roman"/>
                <w:sz w:val="12"/>
                <w:szCs w:val="12"/>
              </w:rPr>
              <w:t>2-Cyclopropyl-2-pentene</w:t>
            </w:r>
          </w:p>
        </w:tc>
        <w:tc>
          <w:tcPr>
            <w:tcW w:w="377" w:type="dxa"/>
            <w:noWrap/>
            <w:vAlign w:val="center"/>
            <w:hideMark/>
          </w:tcPr>
          <w:p w14:paraId="420F6F67" w14:textId="77777777" w:rsidR="00126D8D" w:rsidRPr="004A4899" w:rsidRDefault="00126D8D" w:rsidP="00820288">
            <w:pPr>
              <w:spacing w:line="240" w:lineRule="auto"/>
              <w:jc w:val="right"/>
              <w:rPr>
                <w:rFonts w:ascii="Times New Roman" w:hAnsi="Times New Roman" w:cs="Times New Roman"/>
                <w:sz w:val="13"/>
                <w:szCs w:val="13"/>
              </w:rPr>
            </w:pPr>
            <w:r w:rsidRPr="004A4899">
              <w:rPr>
                <w:rFonts w:ascii="Times New Roman" w:hAnsi="Times New Roman" w:cs="Times New Roman"/>
                <w:sz w:val="13"/>
                <w:szCs w:val="13"/>
              </w:rPr>
              <w:t>19.42</w:t>
            </w:r>
          </w:p>
        </w:tc>
        <w:tc>
          <w:tcPr>
            <w:tcW w:w="274" w:type="dxa"/>
            <w:noWrap/>
            <w:vAlign w:val="center"/>
            <w:hideMark/>
          </w:tcPr>
          <w:p w14:paraId="65319D01" w14:textId="77777777" w:rsidR="00126D8D" w:rsidRPr="004A4899" w:rsidRDefault="00126D8D" w:rsidP="00820288">
            <w:pPr>
              <w:spacing w:line="240" w:lineRule="auto"/>
              <w:rPr>
                <w:rFonts w:ascii="Times New Roman" w:hAnsi="Times New Roman" w:cs="Times New Roman"/>
                <w:sz w:val="13"/>
                <w:szCs w:val="13"/>
              </w:rPr>
            </w:pPr>
            <w:r w:rsidRPr="004A4899">
              <w:rPr>
                <w:rFonts w:ascii="Times New Roman" w:hAnsi="Times New Roman" w:cs="Times New Roman"/>
                <w:sz w:val="13"/>
                <w:szCs w:val="13"/>
              </w:rPr>
              <w:t>cdef</w:t>
            </w:r>
          </w:p>
        </w:tc>
        <w:tc>
          <w:tcPr>
            <w:tcW w:w="411" w:type="dxa"/>
            <w:noWrap/>
            <w:vAlign w:val="center"/>
            <w:hideMark/>
          </w:tcPr>
          <w:p w14:paraId="3B61205B" w14:textId="77777777" w:rsidR="00126D8D" w:rsidRPr="004A4899" w:rsidRDefault="00126D8D" w:rsidP="00820288">
            <w:pPr>
              <w:spacing w:line="240" w:lineRule="auto"/>
              <w:jc w:val="right"/>
              <w:rPr>
                <w:rFonts w:ascii="Times New Roman" w:hAnsi="Times New Roman" w:cs="Times New Roman"/>
                <w:sz w:val="13"/>
                <w:szCs w:val="13"/>
              </w:rPr>
            </w:pPr>
            <w:r w:rsidRPr="004A4899">
              <w:rPr>
                <w:rFonts w:ascii="Times New Roman" w:hAnsi="Times New Roman" w:cs="Times New Roman"/>
                <w:sz w:val="13"/>
                <w:szCs w:val="13"/>
              </w:rPr>
              <w:t>14.51</w:t>
            </w:r>
          </w:p>
        </w:tc>
        <w:tc>
          <w:tcPr>
            <w:tcW w:w="239" w:type="dxa"/>
            <w:noWrap/>
            <w:vAlign w:val="center"/>
            <w:hideMark/>
          </w:tcPr>
          <w:p w14:paraId="1823199B" w14:textId="77777777" w:rsidR="00126D8D" w:rsidRPr="004A4899" w:rsidRDefault="00126D8D" w:rsidP="00820288">
            <w:pPr>
              <w:spacing w:line="240" w:lineRule="auto"/>
              <w:rPr>
                <w:rFonts w:ascii="Times New Roman" w:hAnsi="Times New Roman" w:cs="Times New Roman"/>
                <w:sz w:val="13"/>
                <w:szCs w:val="13"/>
              </w:rPr>
            </w:pPr>
            <w:r w:rsidRPr="004A4899">
              <w:rPr>
                <w:rFonts w:ascii="Times New Roman" w:hAnsi="Times New Roman" w:cs="Times New Roman"/>
                <w:sz w:val="13"/>
                <w:szCs w:val="13"/>
              </w:rPr>
              <w:t>f</w:t>
            </w:r>
          </w:p>
        </w:tc>
        <w:tc>
          <w:tcPr>
            <w:tcW w:w="377" w:type="dxa"/>
            <w:noWrap/>
            <w:vAlign w:val="center"/>
            <w:hideMark/>
          </w:tcPr>
          <w:p w14:paraId="1599FAEB" w14:textId="77777777" w:rsidR="00126D8D" w:rsidRPr="004A4899" w:rsidRDefault="00126D8D" w:rsidP="00820288">
            <w:pPr>
              <w:spacing w:line="240" w:lineRule="auto"/>
              <w:jc w:val="right"/>
              <w:rPr>
                <w:rFonts w:ascii="Times New Roman" w:hAnsi="Times New Roman" w:cs="Times New Roman"/>
                <w:sz w:val="13"/>
                <w:szCs w:val="13"/>
              </w:rPr>
            </w:pPr>
            <w:r w:rsidRPr="004A4899">
              <w:rPr>
                <w:rFonts w:ascii="Times New Roman" w:hAnsi="Times New Roman" w:cs="Times New Roman"/>
                <w:sz w:val="13"/>
                <w:szCs w:val="13"/>
              </w:rPr>
              <w:t>17.05</w:t>
            </w:r>
          </w:p>
        </w:tc>
        <w:tc>
          <w:tcPr>
            <w:tcW w:w="273" w:type="dxa"/>
            <w:noWrap/>
            <w:vAlign w:val="center"/>
            <w:hideMark/>
          </w:tcPr>
          <w:p w14:paraId="4F3BD845" w14:textId="77777777" w:rsidR="00126D8D" w:rsidRPr="004A4899" w:rsidRDefault="00126D8D" w:rsidP="00820288">
            <w:pPr>
              <w:spacing w:line="240" w:lineRule="auto"/>
              <w:rPr>
                <w:rFonts w:ascii="Times New Roman" w:hAnsi="Times New Roman" w:cs="Times New Roman"/>
                <w:sz w:val="13"/>
                <w:szCs w:val="13"/>
              </w:rPr>
            </w:pPr>
            <w:r w:rsidRPr="004A4899">
              <w:rPr>
                <w:rFonts w:ascii="Times New Roman" w:hAnsi="Times New Roman" w:cs="Times New Roman"/>
                <w:sz w:val="13"/>
                <w:szCs w:val="13"/>
              </w:rPr>
              <w:t>def</w:t>
            </w:r>
          </w:p>
        </w:tc>
        <w:tc>
          <w:tcPr>
            <w:tcW w:w="377" w:type="dxa"/>
            <w:noWrap/>
            <w:vAlign w:val="center"/>
            <w:hideMark/>
          </w:tcPr>
          <w:p w14:paraId="45E4B32C" w14:textId="77777777" w:rsidR="00126D8D" w:rsidRPr="004A4899" w:rsidRDefault="00126D8D" w:rsidP="00820288">
            <w:pPr>
              <w:spacing w:line="240" w:lineRule="auto"/>
              <w:jc w:val="right"/>
              <w:rPr>
                <w:rFonts w:ascii="Times New Roman" w:hAnsi="Times New Roman" w:cs="Times New Roman"/>
                <w:sz w:val="13"/>
                <w:szCs w:val="13"/>
              </w:rPr>
            </w:pPr>
            <w:r w:rsidRPr="004A4899">
              <w:rPr>
                <w:rFonts w:ascii="Times New Roman" w:hAnsi="Times New Roman" w:cs="Times New Roman"/>
                <w:sz w:val="13"/>
                <w:szCs w:val="13"/>
              </w:rPr>
              <w:t>24.41</w:t>
            </w:r>
          </w:p>
        </w:tc>
        <w:tc>
          <w:tcPr>
            <w:tcW w:w="273" w:type="dxa"/>
            <w:noWrap/>
            <w:vAlign w:val="center"/>
            <w:hideMark/>
          </w:tcPr>
          <w:p w14:paraId="71BA6C3C" w14:textId="77777777" w:rsidR="00126D8D" w:rsidRPr="004A4899" w:rsidRDefault="00126D8D" w:rsidP="00820288">
            <w:pPr>
              <w:spacing w:line="240" w:lineRule="auto"/>
              <w:rPr>
                <w:rFonts w:ascii="Times New Roman" w:hAnsi="Times New Roman" w:cs="Times New Roman"/>
                <w:sz w:val="13"/>
                <w:szCs w:val="13"/>
              </w:rPr>
            </w:pPr>
            <w:r w:rsidRPr="004A4899">
              <w:rPr>
                <w:rFonts w:ascii="Times New Roman" w:hAnsi="Times New Roman" w:cs="Times New Roman"/>
                <w:sz w:val="13"/>
                <w:szCs w:val="13"/>
              </w:rPr>
              <w:t>abc</w:t>
            </w:r>
          </w:p>
        </w:tc>
        <w:tc>
          <w:tcPr>
            <w:tcW w:w="377" w:type="dxa"/>
            <w:noWrap/>
            <w:vAlign w:val="center"/>
            <w:hideMark/>
          </w:tcPr>
          <w:p w14:paraId="17D71E0E" w14:textId="77777777" w:rsidR="00126D8D" w:rsidRPr="004A4899" w:rsidRDefault="00126D8D" w:rsidP="00820288">
            <w:pPr>
              <w:spacing w:line="240" w:lineRule="auto"/>
              <w:jc w:val="right"/>
              <w:rPr>
                <w:rFonts w:ascii="Times New Roman" w:hAnsi="Times New Roman" w:cs="Times New Roman"/>
                <w:sz w:val="13"/>
                <w:szCs w:val="13"/>
              </w:rPr>
            </w:pPr>
            <w:r w:rsidRPr="004A4899">
              <w:rPr>
                <w:rFonts w:ascii="Times New Roman" w:hAnsi="Times New Roman" w:cs="Times New Roman"/>
                <w:sz w:val="13"/>
                <w:szCs w:val="13"/>
              </w:rPr>
              <w:t>23.26</w:t>
            </w:r>
          </w:p>
        </w:tc>
        <w:tc>
          <w:tcPr>
            <w:tcW w:w="326" w:type="dxa"/>
            <w:noWrap/>
            <w:vAlign w:val="center"/>
            <w:hideMark/>
          </w:tcPr>
          <w:p w14:paraId="32A8B410" w14:textId="77777777" w:rsidR="00126D8D" w:rsidRPr="004A4899" w:rsidRDefault="00126D8D" w:rsidP="00820288">
            <w:pPr>
              <w:spacing w:line="240" w:lineRule="auto"/>
              <w:rPr>
                <w:rFonts w:ascii="Times New Roman" w:hAnsi="Times New Roman" w:cs="Times New Roman"/>
                <w:sz w:val="13"/>
                <w:szCs w:val="13"/>
              </w:rPr>
            </w:pPr>
            <w:r w:rsidRPr="004A4899">
              <w:rPr>
                <w:rFonts w:ascii="Times New Roman" w:hAnsi="Times New Roman" w:cs="Times New Roman"/>
                <w:sz w:val="13"/>
                <w:szCs w:val="13"/>
              </w:rPr>
              <w:t>abcd</w:t>
            </w:r>
          </w:p>
        </w:tc>
        <w:tc>
          <w:tcPr>
            <w:tcW w:w="377" w:type="dxa"/>
            <w:noWrap/>
            <w:vAlign w:val="center"/>
            <w:hideMark/>
          </w:tcPr>
          <w:p w14:paraId="0D108D67" w14:textId="77777777" w:rsidR="00126D8D" w:rsidRPr="004A4899" w:rsidRDefault="00126D8D" w:rsidP="00820288">
            <w:pPr>
              <w:spacing w:line="240" w:lineRule="auto"/>
              <w:jc w:val="right"/>
              <w:rPr>
                <w:rFonts w:ascii="Times New Roman" w:hAnsi="Times New Roman" w:cs="Times New Roman"/>
                <w:sz w:val="13"/>
                <w:szCs w:val="13"/>
              </w:rPr>
            </w:pPr>
            <w:r w:rsidRPr="004A4899">
              <w:rPr>
                <w:rFonts w:ascii="Times New Roman" w:hAnsi="Times New Roman" w:cs="Times New Roman"/>
                <w:sz w:val="13"/>
                <w:szCs w:val="13"/>
              </w:rPr>
              <w:t>20.81</w:t>
            </w:r>
          </w:p>
        </w:tc>
        <w:tc>
          <w:tcPr>
            <w:tcW w:w="326" w:type="dxa"/>
            <w:noWrap/>
            <w:vAlign w:val="center"/>
            <w:hideMark/>
          </w:tcPr>
          <w:p w14:paraId="4F0D55C0" w14:textId="77777777" w:rsidR="00126D8D" w:rsidRPr="004A4899" w:rsidRDefault="00126D8D" w:rsidP="00820288">
            <w:pPr>
              <w:spacing w:line="240" w:lineRule="auto"/>
              <w:rPr>
                <w:rFonts w:ascii="Times New Roman" w:hAnsi="Times New Roman" w:cs="Times New Roman"/>
                <w:sz w:val="13"/>
                <w:szCs w:val="13"/>
              </w:rPr>
            </w:pPr>
            <w:r w:rsidRPr="004A4899">
              <w:rPr>
                <w:rFonts w:ascii="Times New Roman" w:hAnsi="Times New Roman" w:cs="Times New Roman"/>
                <w:sz w:val="13"/>
                <w:szCs w:val="13"/>
              </w:rPr>
              <w:t>bcdef</w:t>
            </w:r>
          </w:p>
        </w:tc>
        <w:tc>
          <w:tcPr>
            <w:tcW w:w="377" w:type="dxa"/>
            <w:noWrap/>
            <w:vAlign w:val="center"/>
            <w:hideMark/>
          </w:tcPr>
          <w:p w14:paraId="4D9F7C78" w14:textId="77777777" w:rsidR="00126D8D" w:rsidRPr="004A4899" w:rsidRDefault="00126D8D" w:rsidP="00820288">
            <w:pPr>
              <w:spacing w:line="240" w:lineRule="auto"/>
              <w:jc w:val="right"/>
              <w:rPr>
                <w:rFonts w:ascii="Times New Roman" w:hAnsi="Times New Roman" w:cs="Times New Roman"/>
                <w:sz w:val="13"/>
                <w:szCs w:val="13"/>
              </w:rPr>
            </w:pPr>
            <w:r w:rsidRPr="004A4899">
              <w:rPr>
                <w:rFonts w:ascii="Times New Roman" w:hAnsi="Times New Roman" w:cs="Times New Roman"/>
                <w:sz w:val="13"/>
                <w:szCs w:val="13"/>
              </w:rPr>
              <w:t>26.17</w:t>
            </w:r>
          </w:p>
        </w:tc>
        <w:tc>
          <w:tcPr>
            <w:tcW w:w="219" w:type="dxa"/>
            <w:noWrap/>
            <w:vAlign w:val="center"/>
            <w:hideMark/>
          </w:tcPr>
          <w:p w14:paraId="7A76D9A3" w14:textId="77777777" w:rsidR="00126D8D" w:rsidRPr="004A4899" w:rsidRDefault="00126D8D" w:rsidP="00820288">
            <w:pPr>
              <w:spacing w:line="240" w:lineRule="auto"/>
              <w:rPr>
                <w:rFonts w:ascii="Times New Roman" w:hAnsi="Times New Roman" w:cs="Times New Roman"/>
                <w:sz w:val="13"/>
                <w:szCs w:val="13"/>
              </w:rPr>
            </w:pPr>
            <w:r w:rsidRPr="004A4899">
              <w:rPr>
                <w:rFonts w:ascii="Times New Roman" w:hAnsi="Times New Roman" w:cs="Times New Roman"/>
                <w:sz w:val="13"/>
                <w:szCs w:val="13"/>
              </w:rPr>
              <w:t>ab</w:t>
            </w:r>
          </w:p>
        </w:tc>
        <w:tc>
          <w:tcPr>
            <w:tcW w:w="377" w:type="dxa"/>
            <w:noWrap/>
            <w:vAlign w:val="center"/>
            <w:hideMark/>
          </w:tcPr>
          <w:p w14:paraId="3C883E72" w14:textId="77777777" w:rsidR="00126D8D" w:rsidRPr="004A4899" w:rsidRDefault="00126D8D" w:rsidP="00820288">
            <w:pPr>
              <w:spacing w:line="240" w:lineRule="auto"/>
              <w:jc w:val="right"/>
              <w:rPr>
                <w:rFonts w:ascii="Times New Roman" w:hAnsi="Times New Roman" w:cs="Times New Roman"/>
                <w:sz w:val="13"/>
                <w:szCs w:val="13"/>
              </w:rPr>
            </w:pPr>
            <w:r w:rsidRPr="004A4899">
              <w:rPr>
                <w:rFonts w:ascii="Times New Roman" w:hAnsi="Times New Roman" w:cs="Times New Roman"/>
                <w:sz w:val="13"/>
                <w:szCs w:val="13"/>
              </w:rPr>
              <w:t>27.61</w:t>
            </w:r>
          </w:p>
        </w:tc>
        <w:tc>
          <w:tcPr>
            <w:tcW w:w="159" w:type="dxa"/>
            <w:noWrap/>
            <w:vAlign w:val="center"/>
            <w:hideMark/>
          </w:tcPr>
          <w:p w14:paraId="51D07B8C" w14:textId="77777777" w:rsidR="00126D8D" w:rsidRPr="004A4899" w:rsidRDefault="00126D8D" w:rsidP="00820288">
            <w:pPr>
              <w:spacing w:line="240" w:lineRule="auto"/>
              <w:rPr>
                <w:rFonts w:ascii="Times New Roman" w:hAnsi="Times New Roman" w:cs="Times New Roman"/>
                <w:sz w:val="13"/>
                <w:szCs w:val="13"/>
              </w:rPr>
            </w:pPr>
            <w:r w:rsidRPr="004A4899">
              <w:rPr>
                <w:rFonts w:ascii="Times New Roman" w:hAnsi="Times New Roman" w:cs="Times New Roman"/>
                <w:sz w:val="13"/>
                <w:szCs w:val="13"/>
              </w:rPr>
              <w:t>a</w:t>
            </w:r>
          </w:p>
        </w:tc>
        <w:tc>
          <w:tcPr>
            <w:tcW w:w="377" w:type="dxa"/>
            <w:noWrap/>
            <w:vAlign w:val="center"/>
            <w:hideMark/>
          </w:tcPr>
          <w:p w14:paraId="4620856C" w14:textId="77777777" w:rsidR="00126D8D" w:rsidRPr="004A4899" w:rsidRDefault="00126D8D" w:rsidP="00820288">
            <w:pPr>
              <w:spacing w:line="240" w:lineRule="auto"/>
              <w:jc w:val="right"/>
              <w:rPr>
                <w:rFonts w:ascii="Times New Roman" w:hAnsi="Times New Roman" w:cs="Times New Roman"/>
                <w:sz w:val="13"/>
                <w:szCs w:val="13"/>
              </w:rPr>
            </w:pPr>
            <w:r w:rsidRPr="004A4899">
              <w:rPr>
                <w:rFonts w:ascii="Times New Roman" w:hAnsi="Times New Roman" w:cs="Times New Roman"/>
                <w:sz w:val="13"/>
                <w:szCs w:val="13"/>
              </w:rPr>
              <w:t>22.97</w:t>
            </w:r>
          </w:p>
        </w:tc>
        <w:tc>
          <w:tcPr>
            <w:tcW w:w="326" w:type="dxa"/>
            <w:noWrap/>
            <w:vAlign w:val="center"/>
            <w:hideMark/>
          </w:tcPr>
          <w:p w14:paraId="68AB58B9" w14:textId="77777777" w:rsidR="00126D8D" w:rsidRPr="004A4899" w:rsidRDefault="00126D8D" w:rsidP="00820288">
            <w:pPr>
              <w:spacing w:line="240" w:lineRule="auto"/>
              <w:rPr>
                <w:rFonts w:ascii="Times New Roman" w:hAnsi="Times New Roman" w:cs="Times New Roman"/>
                <w:sz w:val="13"/>
                <w:szCs w:val="13"/>
              </w:rPr>
            </w:pPr>
            <w:r w:rsidRPr="004A4899">
              <w:rPr>
                <w:rFonts w:ascii="Times New Roman" w:hAnsi="Times New Roman" w:cs="Times New Roman"/>
                <w:sz w:val="13"/>
                <w:szCs w:val="13"/>
              </w:rPr>
              <w:t>abcde</w:t>
            </w:r>
          </w:p>
        </w:tc>
        <w:tc>
          <w:tcPr>
            <w:tcW w:w="377" w:type="dxa"/>
            <w:noWrap/>
            <w:vAlign w:val="center"/>
            <w:hideMark/>
          </w:tcPr>
          <w:p w14:paraId="10779EE8" w14:textId="77777777" w:rsidR="00126D8D" w:rsidRPr="004A4899" w:rsidRDefault="00126D8D" w:rsidP="00820288">
            <w:pPr>
              <w:spacing w:line="240" w:lineRule="auto"/>
              <w:jc w:val="right"/>
              <w:rPr>
                <w:rFonts w:ascii="Times New Roman" w:hAnsi="Times New Roman" w:cs="Times New Roman"/>
                <w:sz w:val="13"/>
                <w:szCs w:val="13"/>
              </w:rPr>
            </w:pPr>
            <w:r w:rsidRPr="004A4899">
              <w:rPr>
                <w:rFonts w:ascii="Times New Roman" w:hAnsi="Times New Roman" w:cs="Times New Roman"/>
                <w:sz w:val="13"/>
                <w:szCs w:val="13"/>
              </w:rPr>
              <w:t>17.43</w:t>
            </w:r>
          </w:p>
        </w:tc>
        <w:tc>
          <w:tcPr>
            <w:tcW w:w="252" w:type="dxa"/>
            <w:noWrap/>
            <w:vAlign w:val="center"/>
            <w:hideMark/>
          </w:tcPr>
          <w:p w14:paraId="5817DAC2" w14:textId="77777777" w:rsidR="00126D8D" w:rsidRPr="004A4899" w:rsidRDefault="00126D8D" w:rsidP="00820288">
            <w:pPr>
              <w:spacing w:line="240" w:lineRule="auto"/>
              <w:rPr>
                <w:rFonts w:ascii="Times New Roman" w:hAnsi="Times New Roman" w:cs="Times New Roman"/>
                <w:sz w:val="13"/>
                <w:szCs w:val="13"/>
              </w:rPr>
            </w:pPr>
            <w:r w:rsidRPr="004A4899">
              <w:rPr>
                <w:rFonts w:ascii="Times New Roman" w:hAnsi="Times New Roman" w:cs="Times New Roman"/>
                <w:sz w:val="13"/>
                <w:szCs w:val="13"/>
              </w:rPr>
              <w:t>def</w:t>
            </w:r>
          </w:p>
        </w:tc>
        <w:tc>
          <w:tcPr>
            <w:tcW w:w="377" w:type="dxa"/>
            <w:noWrap/>
            <w:vAlign w:val="center"/>
            <w:hideMark/>
          </w:tcPr>
          <w:p w14:paraId="26303253" w14:textId="77777777" w:rsidR="00126D8D" w:rsidRPr="004A4899" w:rsidRDefault="00126D8D" w:rsidP="00820288">
            <w:pPr>
              <w:spacing w:line="240" w:lineRule="auto"/>
              <w:jc w:val="right"/>
              <w:rPr>
                <w:rFonts w:ascii="Times New Roman" w:hAnsi="Times New Roman" w:cs="Times New Roman"/>
                <w:sz w:val="13"/>
                <w:szCs w:val="13"/>
              </w:rPr>
            </w:pPr>
            <w:r w:rsidRPr="004A4899">
              <w:rPr>
                <w:rFonts w:ascii="Times New Roman" w:hAnsi="Times New Roman" w:cs="Times New Roman"/>
                <w:sz w:val="13"/>
                <w:szCs w:val="13"/>
              </w:rPr>
              <w:t>17.71</w:t>
            </w:r>
          </w:p>
        </w:tc>
        <w:tc>
          <w:tcPr>
            <w:tcW w:w="273" w:type="dxa"/>
            <w:noWrap/>
            <w:vAlign w:val="center"/>
            <w:hideMark/>
          </w:tcPr>
          <w:p w14:paraId="22075892" w14:textId="77777777" w:rsidR="00126D8D" w:rsidRPr="004A4899" w:rsidRDefault="00126D8D" w:rsidP="00820288">
            <w:pPr>
              <w:spacing w:line="240" w:lineRule="auto"/>
              <w:rPr>
                <w:rFonts w:ascii="Times New Roman" w:hAnsi="Times New Roman" w:cs="Times New Roman"/>
                <w:sz w:val="13"/>
                <w:szCs w:val="13"/>
              </w:rPr>
            </w:pPr>
            <w:r w:rsidRPr="004A4899">
              <w:rPr>
                <w:rFonts w:ascii="Times New Roman" w:hAnsi="Times New Roman" w:cs="Times New Roman"/>
                <w:sz w:val="13"/>
                <w:szCs w:val="13"/>
              </w:rPr>
              <w:t>def</w:t>
            </w:r>
          </w:p>
        </w:tc>
        <w:tc>
          <w:tcPr>
            <w:tcW w:w="377" w:type="dxa"/>
            <w:noWrap/>
            <w:vAlign w:val="center"/>
            <w:hideMark/>
          </w:tcPr>
          <w:p w14:paraId="0EDD9848" w14:textId="77777777" w:rsidR="00126D8D" w:rsidRPr="004A4899" w:rsidRDefault="00126D8D" w:rsidP="00820288">
            <w:pPr>
              <w:spacing w:line="240" w:lineRule="auto"/>
              <w:jc w:val="right"/>
              <w:rPr>
                <w:rFonts w:ascii="Times New Roman" w:hAnsi="Times New Roman" w:cs="Times New Roman"/>
                <w:sz w:val="13"/>
                <w:szCs w:val="13"/>
              </w:rPr>
            </w:pPr>
            <w:r w:rsidRPr="004A4899">
              <w:rPr>
                <w:rFonts w:ascii="Times New Roman" w:hAnsi="Times New Roman" w:cs="Times New Roman"/>
                <w:sz w:val="13"/>
                <w:szCs w:val="13"/>
              </w:rPr>
              <w:t>16.74</w:t>
            </w:r>
          </w:p>
        </w:tc>
        <w:tc>
          <w:tcPr>
            <w:tcW w:w="273" w:type="dxa"/>
            <w:noWrap/>
            <w:vAlign w:val="center"/>
            <w:hideMark/>
          </w:tcPr>
          <w:p w14:paraId="6627C152" w14:textId="77777777" w:rsidR="00126D8D" w:rsidRPr="004A4899" w:rsidRDefault="00126D8D" w:rsidP="00820288">
            <w:pPr>
              <w:spacing w:line="240" w:lineRule="auto"/>
              <w:rPr>
                <w:rFonts w:ascii="Times New Roman" w:hAnsi="Times New Roman" w:cs="Times New Roman"/>
                <w:sz w:val="13"/>
                <w:szCs w:val="13"/>
              </w:rPr>
            </w:pPr>
            <w:r w:rsidRPr="004A4899">
              <w:rPr>
                <w:rFonts w:ascii="Times New Roman" w:hAnsi="Times New Roman" w:cs="Times New Roman"/>
                <w:sz w:val="13"/>
                <w:szCs w:val="13"/>
              </w:rPr>
              <w:t>ef</w:t>
            </w:r>
          </w:p>
        </w:tc>
      </w:tr>
      <w:tr w:rsidR="00126D8D" w:rsidRPr="004A4899" w14:paraId="09DDF07C" w14:textId="77777777" w:rsidTr="00820288">
        <w:trPr>
          <w:trHeight w:val="173"/>
        </w:trPr>
        <w:tc>
          <w:tcPr>
            <w:tcW w:w="1440" w:type="dxa"/>
            <w:noWrap/>
            <w:vAlign w:val="center"/>
            <w:hideMark/>
          </w:tcPr>
          <w:p w14:paraId="3CE14A03" w14:textId="77777777" w:rsidR="00126D8D" w:rsidRPr="004A4899" w:rsidRDefault="00126D8D" w:rsidP="00820288">
            <w:pPr>
              <w:spacing w:line="240" w:lineRule="auto"/>
              <w:rPr>
                <w:rFonts w:ascii="Times New Roman" w:hAnsi="Times New Roman" w:cs="Times New Roman"/>
                <w:sz w:val="12"/>
                <w:szCs w:val="12"/>
              </w:rPr>
            </w:pPr>
            <w:r w:rsidRPr="004A4899">
              <w:rPr>
                <w:rFonts w:ascii="Times New Roman" w:hAnsi="Times New Roman" w:cs="Times New Roman"/>
                <w:sz w:val="12"/>
                <w:szCs w:val="12"/>
              </w:rPr>
              <w:t>Decane</w:t>
            </w:r>
          </w:p>
        </w:tc>
        <w:tc>
          <w:tcPr>
            <w:tcW w:w="377" w:type="dxa"/>
            <w:noWrap/>
            <w:vAlign w:val="center"/>
            <w:hideMark/>
          </w:tcPr>
          <w:p w14:paraId="29E13766" w14:textId="77777777" w:rsidR="00126D8D" w:rsidRPr="004A4899" w:rsidRDefault="00126D8D" w:rsidP="00820288">
            <w:pPr>
              <w:spacing w:line="240" w:lineRule="auto"/>
              <w:jc w:val="right"/>
              <w:rPr>
                <w:rFonts w:ascii="Times New Roman" w:hAnsi="Times New Roman" w:cs="Times New Roman"/>
                <w:sz w:val="13"/>
                <w:szCs w:val="13"/>
              </w:rPr>
            </w:pPr>
            <w:r w:rsidRPr="004A4899">
              <w:rPr>
                <w:rFonts w:ascii="Times New Roman" w:hAnsi="Times New Roman" w:cs="Times New Roman"/>
                <w:sz w:val="13"/>
                <w:szCs w:val="13"/>
              </w:rPr>
              <w:t>21.66</w:t>
            </w:r>
          </w:p>
        </w:tc>
        <w:tc>
          <w:tcPr>
            <w:tcW w:w="274" w:type="dxa"/>
            <w:noWrap/>
            <w:vAlign w:val="center"/>
            <w:hideMark/>
          </w:tcPr>
          <w:p w14:paraId="40170385" w14:textId="77777777" w:rsidR="00126D8D" w:rsidRPr="004A4899" w:rsidRDefault="00126D8D" w:rsidP="00820288">
            <w:pPr>
              <w:spacing w:line="240" w:lineRule="auto"/>
              <w:rPr>
                <w:rFonts w:ascii="Times New Roman" w:hAnsi="Times New Roman" w:cs="Times New Roman"/>
                <w:sz w:val="13"/>
                <w:szCs w:val="13"/>
              </w:rPr>
            </w:pPr>
            <w:r w:rsidRPr="004A4899">
              <w:rPr>
                <w:rFonts w:ascii="Times New Roman" w:hAnsi="Times New Roman" w:cs="Times New Roman"/>
                <w:sz w:val="13"/>
                <w:szCs w:val="13"/>
              </w:rPr>
              <w:t>abc</w:t>
            </w:r>
          </w:p>
        </w:tc>
        <w:tc>
          <w:tcPr>
            <w:tcW w:w="411" w:type="dxa"/>
            <w:noWrap/>
            <w:vAlign w:val="center"/>
            <w:hideMark/>
          </w:tcPr>
          <w:p w14:paraId="4DEED963" w14:textId="77777777" w:rsidR="00126D8D" w:rsidRPr="004A4899" w:rsidRDefault="00126D8D" w:rsidP="00820288">
            <w:pPr>
              <w:spacing w:line="240" w:lineRule="auto"/>
              <w:jc w:val="right"/>
              <w:rPr>
                <w:rFonts w:ascii="Times New Roman" w:hAnsi="Times New Roman" w:cs="Times New Roman"/>
                <w:sz w:val="13"/>
                <w:szCs w:val="13"/>
              </w:rPr>
            </w:pPr>
            <w:r w:rsidRPr="004A4899">
              <w:rPr>
                <w:rFonts w:ascii="Times New Roman" w:hAnsi="Times New Roman" w:cs="Times New Roman"/>
                <w:sz w:val="13"/>
                <w:szCs w:val="13"/>
              </w:rPr>
              <w:t>17.05</w:t>
            </w:r>
          </w:p>
        </w:tc>
        <w:tc>
          <w:tcPr>
            <w:tcW w:w="239" w:type="dxa"/>
            <w:noWrap/>
            <w:vAlign w:val="center"/>
            <w:hideMark/>
          </w:tcPr>
          <w:p w14:paraId="5F167D29" w14:textId="77777777" w:rsidR="00126D8D" w:rsidRPr="004A4899" w:rsidRDefault="00126D8D" w:rsidP="00820288">
            <w:pPr>
              <w:spacing w:line="240" w:lineRule="auto"/>
              <w:rPr>
                <w:rFonts w:ascii="Times New Roman" w:hAnsi="Times New Roman" w:cs="Times New Roman"/>
                <w:sz w:val="13"/>
                <w:szCs w:val="13"/>
              </w:rPr>
            </w:pPr>
            <w:r w:rsidRPr="004A4899">
              <w:rPr>
                <w:rFonts w:ascii="Times New Roman" w:hAnsi="Times New Roman" w:cs="Times New Roman"/>
                <w:sz w:val="13"/>
                <w:szCs w:val="13"/>
              </w:rPr>
              <w:t>bcd</w:t>
            </w:r>
          </w:p>
        </w:tc>
        <w:tc>
          <w:tcPr>
            <w:tcW w:w="377" w:type="dxa"/>
            <w:noWrap/>
            <w:vAlign w:val="center"/>
            <w:hideMark/>
          </w:tcPr>
          <w:p w14:paraId="7CCC71B2" w14:textId="77777777" w:rsidR="00126D8D" w:rsidRPr="004A4899" w:rsidRDefault="00126D8D" w:rsidP="00820288">
            <w:pPr>
              <w:spacing w:line="240" w:lineRule="auto"/>
              <w:jc w:val="right"/>
              <w:rPr>
                <w:rFonts w:ascii="Times New Roman" w:hAnsi="Times New Roman" w:cs="Times New Roman"/>
                <w:sz w:val="13"/>
                <w:szCs w:val="13"/>
              </w:rPr>
            </w:pPr>
            <w:r w:rsidRPr="004A4899">
              <w:rPr>
                <w:rFonts w:ascii="Times New Roman" w:hAnsi="Times New Roman" w:cs="Times New Roman"/>
                <w:sz w:val="13"/>
                <w:szCs w:val="13"/>
              </w:rPr>
              <w:t>16.91</w:t>
            </w:r>
          </w:p>
        </w:tc>
        <w:tc>
          <w:tcPr>
            <w:tcW w:w="273" w:type="dxa"/>
            <w:noWrap/>
            <w:vAlign w:val="center"/>
            <w:hideMark/>
          </w:tcPr>
          <w:p w14:paraId="4A32B7C5" w14:textId="77777777" w:rsidR="00126D8D" w:rsidRPr="004A4899" w:rsidRDefault="00126D8D" w:rsidP="00820288">
            <w:pPr>
              <w:spacing w:line="240" w:lineRule="auto"/>
              <w:rPr>
                <w:rFonts w:ascii="Times New Roman" w:hAnsi="Times New Roman" w:cs="Times New Roman"/>
                <w:sz w:val="13"/>
                <w:szCs w:val="13"/>
              </w:rPr>
            </w:pPr>
            <w:r w:rsidRPr="004A4899">
              <w:rPr>
                <w:rFonts w:ascii="Times New Roman" w:hAnsi="Times New Roman" w:cs="Times New Roman"/>
                <w:sz w:val="13"/>
                <w:szCs w:val="13"/>
              </w:rPr>
              <w:t>bcd</w:t>
            </w:r>
          </w:p>
        </w:tc>
        <w:tc>
          <w:tcPr>
            <w:tcW w:w="377" w:type="dxa"/>
            <w:noWrap/>
            <w:vAlign w:val="center"/>
            <w:hideMark/>
          </w:tcPr>
          <w:p w14:paraId="16C0CF05" w14:textId="77777777" w:rsidR="00126D8D" w:rsidRPr="004A4899" w:rsidRDefault="00126D8D" w:rsidP="00820288">
            <w:pPr>
              <w:spacing w:line="240" w:lineRule="auto"/>
              <w:jc w:val="right"/>
              <w:rPr>
                <w:rFonts w:ascii="Times New Roman" w:hAnsi="Times New Roman" w:cs="Times New Roman"/>
                <w:sz w:val="13"/>
                <w:szCs w:val="13"/>
              </w:rPr>
            </w:pPr>
            <w:r w:rsidRPr="004A4899">
              <w:rPr>
                <w:rFonts w:ascii="Times New Roman" w:hAnsi="Times New Roman" w:cs="Times New Roman"/>
                <w:sz w:val="13"/>
                <w:szCs w:val="13"/>
              </w:rPr>
              <w:t>25.92</w:t>
            </w:r>
          </w:p>
        </w:tc>
        <w:tc>
          <w:tcPr>
            <w:tcW w:w="273" w:type="dxa"/>
            <w:noWrap/>
            <w:vAlign w:val="center"/>
            <w:hideMark/>
          </w:tcPr>
          <w:p w14:paraId="7DD2AD1B" w14:textId="77777777" w:rsidR="00126D8D" w:rsidRPr="004A4899" w:rsidRDefault="00126D8D" w:rsidP="00820288">
            <w:pPr>
              <w:spacing w:line="240" w:lineRule="auto"/>
              <w:rPr>
                <w:rFonts w:ascii="Times New Roman" w:hAnsi="Times New Roman" w:cs="Times New Roman"/>
                <w:sz w:val="13"/>
                <w:szCs w:val="13"/>
              </w:rPr>
            </w:pPr>
            <w:r w:rsidRPr="004A4899">
              <w:rPr>
                <w:rFonts w:ascii="Times New Roman" w:hAnsi="Times New Roman" w:cs="Times New Roman"/>
                <w:sz w:val="13"/>
                <w:szCs w:val="13"/>
              </w:rPr>
              <w:t>a</w:t>
            </w:r>
          </w:p>
        </w:tc>
        <w:tc>
          <w:tcPr>
            <w:tcW w:w="377" w:type="dxa"/>
            <w:noWrap/>
            <w:vAlign w:val="center"/>
            <w:hideMark/>
          </w:tcPr>
          <w:p w14:paraId="1647F127" w14:textId="77777777" w:rsidR="00126D8D" w:rsidRPr="004A4899" w:rsidRDefault="00126D8D" w:rsidP="00820288">
            <w:pPr>
              <w:spacing w:line="240" w:lineRule="auto"/>
              <w:jc w:val="right"/>
              <w:rPr>
                <w:rFonts w:ascii="Times New Roman" w:hAnsi="Times New Roman" w:cs="Times New Roman"/>
                <w:sz w:val="13"/>
                <w:szCs w:val="13"/>
              </w:rPr>
            </w:pPr>
            <w:r w:rsidRPr="004A4899">
              <w:rPr>
                <w:rFonts w:ascii="Times New Roman" w:hAnsi="Times New Roman" w:cs="Times New Roman"/>
                <w:sz w:val="13"/>
                <w:szCs w:val="13"/>
              </w:rPr>
              <w:t>19.65</w:t>
            </w:r>
          </w:p>
        </w:tc>
        <w:tc>
          <w:tcPr>
            <w:tcW w:w="326" w:type="dxa"/>
            <w:noWrap/>
            <w:vAlign w:val="center"/>
            <w:hideMark/>
          </w:tcPr>
          <w:p w14:paraId="60FB20E2" w14:textId="77777777" w:rsidR="00126D8D" w:rsidRPr="004A4899" w:rsidRDefault="00126D8D" w:rsidP="00820288">
            <w:pPr>
              <w:spacing w:line="240" w:lineRule="auto"/>
              <w:rPr>
                <w:rFonts w:ascii="Times New Roman" w:hAnsi="Times New Roman" w:cs="Times New Roman"/>
                <w:sz w:val="13"/>
                <w:szCs w:val="13"/>
              </w:rPr>
            </w:pPr>
            <w:r w:rsidRPr="004A4899">
              <w:rPr>
                <w:rFonts w:ascii="Times New Roman" w:hAnsi="Times New Roman" w:cs="Times New Roman"/>
                <w:sz w:val="13"/>
                <w:szCs w:val="13"/>
              </w:rPr>
              <w:t>abcd</w:t>
            </w:r>
          </w:p>
        </w:tc>
        <w:tc>
          <w:tcPr>
            <w:tcW w:w="377" w:type="dxa"/>
            <w:noWrap/>
            <w:vAlign w:val="center"/>
            <w:hideMark/>
          </w:tcPr>
          <w:p w14:paraId="1D297564" w14:textId="77777777" w:rsidR="00126D8D" w:rsidRPr="004A4899" w:rsidRDefault="00126D8D" w:rsidP="00820288">
            <w:pPr>
              <w:spacing w:line="240" w:lineRule="auto"/>
              <w:jc w:val="right"/>
              <w:rPr>
                <w:rFonts w:ascii="Times New Roman" w:hAnsi="Times New Roman" w:cs="Times New Roman"/>
                <w:sz w:val="13"/>
                <w:szCs w:val="13"/>
              </w:rPr>
            </w:pPr>
            <w:r w:rsidRPr="004A4899">
              <w:rPr>
                <w:rFonts w:ascii="Times New Roman" w:hAnsi="Times New Roman" w:cs="Times New Roman"/>
                <w:sz w:val="13"/>
                <w:szCs w:val="13"/>
              </w:rPr>
              <w:t>19.96</w:t>
            </w:r>
          </w:p>
        </w:tc>
        <w:tc>
          <w:tcPr>
            <w:tcW w:w="326" w:type="dxa"/>
            <w:noWrap/>
            <w:vAlign w:val="center"/>
            <w:hideMark/>
          </w:tcPr>
          <w:p w14:paraId="5A893765" w14:textId="77777777" w:rsidR="00126D8D" w:rsidRPr="004A4899" w:rsidRDefault="00126D8D" w:rsidP="00820288">
            <w:pPr>
              <w:spacing w:line="240" w:lineRule="auto"/>
              <w:rPr>
                <w:rFonts w:ascii="Times New Roman" w:hAnsi="Times New Roman" w:cs="Times New Roman"/>
                <w:sz w:val="13"/>
                <w:szCs w:val="13"/>
              </w:rPr>
            </w:pPr>
            <w:r w:rsidRPr="004A4899">
              <w:rPr>
                <w:rFonts w:ascii="Times New Roman" w:hAnsi="Times New Roman" w:cs="Times New Roman"/>
                <w:sz w:val="13"/>
                <w:szCs w:val="13"/>
              </w:rPr>
              <w:t>abcd</w:t>
            </w:r>
          </w:p>
        </w:tc>
        <w:tc>
          <w:tcPr>
            <w:tcW w:w="377" w:type="dxa"/>
            <w:noWrap/>
            <w:vAlign w:val="center"/>
            <w:hideMark/>
          </w:tcPr>
          <w:p w14:paraId="5D1F1520" w14:textId="77777777" w:rsidR="00126D8D" w:rsidRPr="004A4899" w:rsidRDefault="00126D8D" w:rsidP="00820288">
            <w:pPr>
              <w:spacing w:line="240" w:lineRule="auto"/>
              <w:jc w:val="right"/>
              <w:rPr>
                <w:rFonts w:ascii="Times New Roman" w:hAnsi="Times New Roman" w:cs="Times New Roman"/>
                <w:sz w:val="13"/>
                <w:szCs w:val="13"/>
              </w:rPr>
            </w:pPr>
            <w:r w:rsidRPr="004A4899">
              <w:rPr>
                <w:rFonts w:ascii="Times New Roman" w:hAnsi="Times New Roman" w:cs="Times New Roman"/>
                <w:sz w:val="13"/>
                <w:szCs w:val="13"/>
              </w:rPr>
              <w:t>24.46</w:t>
            </w:r>
          </w:p>
        </w:tc>
        <w:tc>
          <w:tcPr>
            <w:tcW w:w="219" w:type="dxa"/>
            <w:noWrap/>
            <w:vAlign w:val="center"/>
            <w:hideMark/>
          </w:tcPr>
          <w:p w14:paraId="0C7A5AFF" w14:textId="77777777" w:rsidR="00126D8D" w:rsidRPr="004A4899" w:rsidRDefault="00126D8D" w:rsidP="00820288">
            <w:pPr>
              <w:spacing w:line="240" w:lineRule="auto"/>
              <w:rPr>
                <w:rFonts w:ascii="Times New Roman" w:hAnsi="Times New Roman" w:cs="Times New Roman"/>
                <w:sz w:val="13"/>
                <w:szCs w:val="13"/>
              </w:rPr>
            </w:pPr>
            <w:r w:rsidRPr="004A4899">
              <w:rPr>
                <w:rFonts w:ascii="Times New Roman" w:hAnsi="Times New Roman" w:cs="Times New Roman"/>
                <w:sz w:val="13"/>
                <w:szCs w:val="13"/>
              </w:rPr>
              <w:t>ab</w:t>
            </w:r>
          </w:p>
        </w:tc>
        <w:tc>
          <w:tcPr>
            <w:tcW w:w="377" w:type="dxa"/>
            <w:noWrap/>
            <w:vAlign w:val="center"/>
            <w:hideMark/>
          </w:tcPr>
          <w:p w14:paraId="4D01B177" w14:textId="77777777" w:rsidR="00126D8D" w:rsidRPr="004A4899" w:rsidRDefault="00126D8D" w:rsidP="00820288">
            <w:pPr>
              <w:spacing w:line="240" w:lineRule="auto"/>
              <w:jc w:val="right"/>
              <w:rPr>
                <w:rFonts w:ascii="Times New Roman" w:hAnsi="Times New Roman" w:cs="Times New Roman"/>
                <w:sz w:val="13"/>
                <w:szCs w:val="13"/>
              </w:rPr>
            </w:pPr>
            <w:r w:rsidRPr="004A4899">
              <w:rPr>
                <w:rFonts w:ascii="Times New Roman" w:hAnsi="Times New Roman" w:cs="Times New Roman"/>
                <w:sz w:val="13"/>
                <w:szCs w:val="13"/>
              </w:rPr>
              <w:t>25.57</w:t>
            </w:r>
          </w:p>
        </w:tc>
        <w:tc>
          <w:tcPr>
            <w:tcW w:w="159" w:type="dxa"/>
            <w:noWrap/>
            <w:vAlign w:val="center"/>
            <w:hideMark/>
          </w:tcPr>
          <w:p w14:paraId="55021159" w14:textId="77777777" w:rsidR="00126D8D" w:rsidRPr="004A4899" w:rsidRDefault="00126D8D" w:rsidP="00820288">
            <w:pPr>
              <w:spacing w:line="240" w:lineRule="auto"/>
              <w:rPr>
                <w:rFonts w:ascii="Times New Roman" w:hAnsi="Times New Roman" w:cs="Times New Roman"/>
                <w:sz w:val="13"/>
                <w:szCs w:val="13"/>
              </w:rPr>
            </w:pPr>
            <w:r w:rsidRPr="004A4899">
              <w:rPr>
                <w:rFonts w:ascii="Times New Roman" w:hAnsi="Times New Roman" w:cs="Times New Roman"/>
                <w:sz w:val="13"/>
                <w:szCs w:val="13"/>
              </w:rPr>
              <w:t>a</w:t>
            </w:r>
          </w:p>
        </w:tc>
        <w:tc>
          <w:tcPr>
            <w:tcW w:w="377" w:type="dxa"/>
            <w:noWrap/>
            <w:vAlign w:val="center"/>
            <w:hideMark/>
          </w:tcPr>
          <w:p w14:paraId="4B606B7B" w14:textId="77777777" w:rsidR="00126D8D" w:rsidRPr="004A4899" w:rsidRDefault="00126D8D" w:rsidP="00820288">
            <w:pPr>
              <w:spacing w:line="240" w:lineRule="auto"/>
              <w:jc w:val="right"/>
              <w:rPr>
                <w:rFonts w:ascii="Times New Roman" w:hAnsi="Times New Roman" w:cs="Times New Roman"/>
                <w:sz w:val="13"/>
                <w:szCs w:val="13"/>
              </w:rPr>
            </w:pPr>
            <w:r w:rsidRPr="004A4899">
              <w:rPr>
                <w:rFonts w:ascii="Times New Roman" w:hAnsi="Times New Roman" w:cs="Times New Roman"/>
                <w:sz w:val="13"/>
                <w:szCs w:val="13"/>
              </w:rPr>
              <w:t>19.90</w:t>
            </w:r>
          </w:p>
        </w:tc>
        <w:tc>
          <w:tcPr>
            <w:tcW w:w="326" w:type="dxa"/>
            <w:noWrap/>
            <w:vAlign w:val="center"/>
            <w:hideMark/>
          </w:tcPr>
          <w:p w14:paraId="4D0839F4" w14:textId="77777777" w:rsidR="00126D8D" w:rsidRPr="004A4899" w:rsidRDefault="00126D8D" w:rsidP="00820288">
            <w:pPr>
              <w:spacing w:line="240" w:lineRule="auto"/>
              <w:rPr>
                <w:rFonts w:ascii="Times New Roman" w:hAnsi="Times New Roman" w:cs="Times New Roman"/>
                <w:sz w:val="13"/>
                <w:szCs w:val="13"/>
              </w:rPr>
            </w:pPr>
            <w:r w:rsidRPr="004A4899">
              <w:rPr>
                <w:rFonts w:ascii="Times New Roman" w:hAnsi="Times New Roman" w:cs="Times New Roman"/>
                <w:sz w:val="13"/>
                <w:szCs w:val="13"/>
              </w:rPr>
              <w:t>abcd</w:t>
            </w:r>
          </w:p>
        </w:tc>
        <w:tc>
          <w:tcPr>
            <w:tcW w:w="377" w:type="dxa"/>
            <w:noWrap/>
            <w:vAlign w:val="center"/>
            <w:hideMark/>
          </w:tcPr>
          <w:p w14:paraId="4FA43189" w14:textId="77777777" w:rsidR="00126D8D" w:rsidRPr="004A4899" w:rsidRDefault="00126D8D" w:rsidP="00820288">
            <w:pPr>
              <w:spacing w:line="240" w:lineRule="auto"/>
              <w:jc w:val="right"/>
              <w:rPr>
                <w:rFonts w:ascii="Times New Roman" w:hAnsi="Times New Roman" w:cs="Times New Roman"/>
                <w:sz w:val="13"/>
                <w:szCs w:val="13"/>
              </w:rPr>
            </w:pPr>
            <w:r w:rsidRPr="004A4899">
              <w:rPr>
                <w:rFonts w:ascii="Times New Roman" w:hAnsi="Times New Roman" w:cs="Times New Roman"/>
                <w:sz w:val="13"/>
                <w:szCs w:val="13"/>
              </w:rPr>
              <w:t>15.52</w:t>
            </w:r>
          </w:p>
        </w:tc>
        <w:tc>
          <w:tcPr>
            <w:tcW w:w="252" w:type="dxa"/>
            <w:noWrap/>
            <w:vAlign w:val="center"/>
            <w:hideMark/>
          </w:tcPr>
          <w:p w14:paraId="690D4430" w14:textId="77777777" w:rsidR="00126D8D" w:rsidRPr="004A4899" w:rsidRDefault="00126D8D" w:rsidP="00820288">
            <w:pPr>
              <w:spacing w:line="240" w:lineRule="auto"/>
              <w:rPr>
                <w:rFonts w:ascii="Times New Roman" w:hAnsi="Times New Roman" w:cs="Times New Roman"/>
                <w:sz w:val="13"/>
                <w:szCs w:val="13"/>
              </w:rPr>
            </w:pPr>
            <w:r w:rsidRPr="004A4899">
              <w:rPr>
                <w:rFonts w:ascii="Times New Roman" w:hAnsi="Times New Roman" w:cs="Times New Roman"/>
                <w:sz w:val="13"/>
                <w:szCs w:val="13"/>
              </w:rPr>
              <w:t>cd</w:t>
            </w:r>
          </w:p>
        </w:tc>
        <w:tc>
          <w:tcPr>
            <w:tcW w:w="377" w:type="dxa"/>
            <w:noWrap/>
            <w:vAlign w:val="center"/>
            <w:hideMark/>
          </w:tcPr>
          <w:p w14:paraId="3CFDC319" w14:textId="77777777" w:rsidR="00126D8D" w:rsidRPr="004A4899" w:rsidRDefault="00126D8D" w:rsidP="00820288">
            <w:pPr>
              <w:spacing w:line="240" w:lineRule="auto"/>
              <w:jc w:val="right"/>
              <w:rPr>
                <w:rFonts w:ascii="Times New Roman" w:hAnsi="Times New Roman" w:cs="Times New Roman"/>
                <w:sz w:val="13"/>
                <w:szCs w:val="13"/>
              </w:rPr>
            </w:pPr>
            <w:r w:rsidRPr="004A4899">
              <w:rPr>
                <w:rFonts w:ascii="Times New Roman" w:hAnsi="Times New Roman" w:cs="Times New Roman"/>
                <w:sz w:val="13"/>
                <w:szCs w:val="13"/>
              </w:rPr>
              <w:t>15.58</w:t>
            </w:r>
          </w:p>
        </w:tc>
        <w:tc>
          <w:tcPr>
            <w:tcW w:w="273" w:type="dxa"/>
            <w:noWrap/>
            <w:vAlign w:val="center"/>
            <w:hideMark/>
          </w:tcPr>
          <w:p w14:paraId="6E3271DE" w14:textId="77777777" w:rsidR="00126D8D" w:rsidRPr="004A4899" w:rsidRDefault="00126D8D" w:rsidP="00820288">
            <w:pPr>
              <w:spacing w:line="240" w:lineRule="auto"/>
              <w:rPr>
                <w:rFonts w:ascii="Times New Roman" w:hAnsi="Times New Roman" w:cs="Times New Roman"/>
                <w:sz w:val="13"/>
                <w:szCs w:val="13"/>
              </w:rPr>
            </w:pPr>
            <w:r w:rsidRPr="004A4899">
              <w:rPr>
                <w:rFonts w:ascii="Times New Roman" w:hAnsi="Times New Roman" w:cs="Times New Roman"/>
                <w:sz w:val="13"/>
                <w:szCs w:val="13"/>
              </w:rPr>
              <w:t>cd</w:t>
            </w:r>
          </w:p>
        </w:tc>
        <w:tc>
          <w:tcPr>
            <w:tcW w:w="377" w:type="dxa"/>
            <w:noWrap/>
            <w:vAlign w:val="center"/>
            <w:hideMark/>
          </w:tcPr>
          <w:p w14:paraId="20473F0C" w14:textId="77777777" w:rsidR="00126D8D" w:rsidRPr="004A4899" w:rsidRDefault="00126D8D" w:rsidP="00820288">
            <w:pPr>
              <w:spacing w:line="240" w:lineRule="auto"/>
              <w:jc w:val="right"/>
              <w:rPr>
                <w:rFonts w:ascii="Times New Roman" w:hAnsi="Times New Roman" w:cs="Times New Roman"/>
                <w:sz w:val="13"/>
                <w:szCs w:val="13"/>
              </w:rPr>
            </w:pPr>
            <w:r w:rsidRPr="004A4899">
              <w:rPr>
                <w:rFonts w:ascii="Times New Roman" w:hAnsi="Times New Roman" w:cs="Times New Roman"/>
                <w:sz w:val="13"/>
                <w:szCs w:val="13"/>
              </w:rPr>
              <w:t>13.10</w:t>
            </w:r>
          </w:p>
        </w:tc>
        <w:tc>
          <w:tcPr>
            <w:tcW w:w="273" w:type="dxa"/>
            <w:noWrap/>
            <w:vAlign w:val="center"/>
            <w:hideMark/>
          </w:tcPr>
          <w:p w14:paraId="684A6A53" w14:textId="77777777" w:rsidR="00126D8D" w:rsidRPr="004A4899" w:rsidRDefault="00126D8D" w:rsidP="00820288">
            <w:pPr>
              <w:spacing w:line="240" w:lineRule="auto"/>
              <w:rPr>
                <w:rFonts w:ascii="Times New Roman" w:hAnsi="Times New Roman" w:cs="Times New Roman"/>
                <w:sz w:val="13"/>
                <w:szCs w:val="13"/>
              </w:rPr>
            </w:pPr>
            <w:r w:rsidRPr="004A4899">
              <w:rPr>
                <w:rFonts w:ascii="Times New Roman" w:hAnsi="Times New Roman" w:cs="Times New Roman"/>
                <w:sz w:val="13"/>
                <w:szCs w:val="13"/>
              </w:rPr>
              <w:t>d</w:t>
            </w:r>
          </w:p>
        </w:tc>
      </w:tr>
      <w:tr w:rsidR="00126D8D" w:rsidRPr="004A4899" w14:paraId="39F15AE5" w14:textId="77777777" w:rsidTr="00820288">
        <w:trPr>
          <w:trHeight w:val="173"/>
        </w:trPr>
        <w:tc>
          <w:tcPr>
            <w:tcW w:w="1440" w:type="dxa"/>
            <w:noWrap/>
            <w:vAlign w:val="center"/>
            <w:hideMark/>
          </w:tcPr>
          <w:p w14:paraId="225F81F7" w14:textId="77777777" w:rsidR="00126D8D" w:rsidRPr="004A4899" w:rsidRDefault="00126D8D" w:rsidP="00820288">
            <w:pPr>
              <w:spacing w:line="240" w:lineRule="auto"/>
              <w:rPr>
                <w:rFonts w:ascii="Times New Roman" w:hAnsi="Times New Roman" w:cs="Times New Roman"/>
                <w:sz w:val="12"/>
                <w:szCs w:val="12"/>
              </w:rPr>
            </w:pPr>
            <w:r w:rsidRPr="004A4899">
              <w:rPr>
                <w:rFonts w:ascii="Times New Roman" w:hAnsi="Times New Roman" w:cs="Times New Roman"/>
                <w:sz w:val="12"/>
                <w:szCs w:val="12"/>
              </w:rPr>
              <w:t>(E)-3-Methyl-1,3,5-hexatriene</w:t>
            </w:r>
          </w:p>
        </w:tc>
        <w:tc>
          <w:tcPr>
            <w:tcW w:w="377" w:type="dxa"/>
            <w:noWrap/>
            <w:vAlign w:val="center"/>
            <w:hideMark/>
          </w:tcPr>
          <w:p w14:paraId="4509AE0E" w14:textId="77777777" w:rsidR="00126D8D" w:rsidRPr="004A4899" w:rsidRDefault="00126D8D" w:rsidP="00820288">
            <w:pPr>
              <w:spacing w:line="240" w:lineRule="auto"/>
              <w:jc w:val="right"/>
              <w:rPr>
                <w:rFonts w:ascii="Times New Roman" w:hAnsi="Times New Roman" w:cs="Times New Roman"/>
                <w:sz w:val="13"/>
                <w:szCs w:val="13"/>
              </w:rPr>
            </w:pPr>
            <w:r w:rsidRPr="004A4899">
              <w:rPr>
                <w:rFonts w:ascii="Times New Roman" w:hAnsi="Times New Roman" w:cs="Times New Roman"/>
                <w:sz w:val="13"/>
                <w:szCs w:val="13"/>
              </w:rPr>
              <w:t>2.33</w:t>
            </w:r>
          </w:p>
        </w:tc>
        <w:tc>
          <w:tcPr>
            <w:tcW w:w="274" w:type="dxa"/>
            <w:noWrap/>
            <w:vAlign w:val="center"/>
            <w:hideMark/>
          </w:tcPr>
          <w:p w14:paraId="1F673A50" w14:textId="77777777" w:rsidR="00126D8D" w:rsidRPr="004A4899" w:rsidRDefault="00126D8D" w:rsidP="00820288">
            <w:pPr>
              <w:spacing w:line="240" w:lineRule="auto"/>
              <w:rPr>
                <w:rFonts w:ascii="Times New Roman" w:hAnsi="Times New Roman" w:cs="Times New Roman"/>
                <w:sz w:val="13"/>
                <w:szCs w:val="13"/>
              </w:rPr>
            </w:pPr>
            <w:r w:rsidRPr="004A4899">
              <w:rPr>
                <w:rFonts w:ascii="Times New Roman" w:hAnsi="Times New Roman" w:cs="Times New Roman"/>
                <w:sz w:val="13"/>
                <w:szCs w:val="13"/>
              </w:rPr>
              <w:t>a</w:t>
            </w:r>
          </w:p>
        </w:tc>
        <w:tc>
          <w:tcPr>
            <w:tcW w:w="411" w:type="dxa"/>
            <w:noWrap/>
            <w:vAlign w:val="center"/>
            <w:hideMark/>
          </w:tcPr>
          <w:p w14:paraId="5634BFC4" w14:textId="77777777" w:rsidR="00126D8D" w:rsidRPr="004A4899" w:rsidRDefault="00126D8D" w:rsidP="00820288">
            <w:pPr>
              <w:spacing w:line="240" w:lineRule="auto"/>
              <w:jc w:val="right"/>
              <w:rPr>
                <w:rFonts w:ascii="Times New Roman" w:hAnsi="Times New Roman" w:cs="Times New Roman"/>
                <w:sz w:val="13"/>
                <w:szCs w:val="13"/>
              </w:rPr>
            </w:pPr>
            <w:r w:rsidRPr="004A4899">
              <w:rPr>
                <w:rFonts w:ascii="Times New Roman" w:hAnsi="Times New Roman" w:cs="Times New Roman"/>
                <w:sz w:val="13"/>
                <w:szCs w:val="13"/>
              </w:rPr>
              <w:t>1.78</w:t>
            </w:r>
          </w:p>
        </w:tc>
        <w:tc>
          <w:tcPr>
            <w:tcW w:w="239" w:type="dxa"/>
            <w:noWrap/>
            <w:vAlign w:val="center"/>
            <w:hideMark/>
          </w:tcPr>
          <w:p w14:paraId="40AD9E97" w14:textId="77777777" w:rsidR="00126D8D" w:rsidRPr="004A4899" w:rsidRDefault="00126D8D" w:rsidP="00820288">
            <w:pPr>
              <w:spacing w:line="240" w:lineRule="auto"/>
              <w:rPr>
                <w:rFonts w:ascii="Times New Roman" w:hAnsi="Times New Roman" w:cs="Times New Roman"/>
                <w:sz w:val="13"/>
                <w:szCs w:val="13"/>
              </w:rPr>
            </w:pPr>
            <w:r w:rsidRPr="004A4899">
              <w:rPr>
                <w:rFonts w:ascii="Times New Roman" w:hAnsi="Times New Roman" w:cs="Times New Roman"/>
                <w:sz w:val="13"/>
                <w:szCs w:val="13"/>
              </w:rPr>
              <w:t>a</w:t>
            </w:r>
          </w:p>
        </w:tc>
        <w:tc>
          <w:tcPr>
            <w:tcW w:w="377" w:type="dxa"/>
            <w:noWrap/>
            <w:vAlign w:val="center"/>
            <w:hideMark/>
          </w:tcPr>
          <w:p w14:paraId="5FA9DF45" w14:textId="77777777" w:rsidR="00126D8D" w:rsidRPr="004A4899" w:rsidRDefault="00126D8D" w:rsidP="00820288">
            <w:pPr>
              <w:spacing w:line="240" w:lineRule="auto"/>
              <w:jc w:val="right"/>
              <w:rPr>
                <w:rFonts w:ascii="Times New Roman" w:hAnsi="Times New Roman" w:cs="Times New Roman"/>
                <w:sz w:val="13"/>
                <w:szCs w:val="13"/>
              </w:rPr>
            </w:pPr>
            <w:r w:rsidRPr="004A4899">
              <w:rPr>
                <w:rFonts w:ascii="Times New Roman" w:hAnsi="Times New Roman" w:cs="Times New Roman"/>
                <w:sz w:val="13"/>
                <w:szCs w:val="13"/>
              </w:rPr>
              <w:t>2.25</w:t>
            </w:r>
          </w:p>
        </w:tc>
        <w:tc>
          <w:tcPr>
            <w:tcW w:w="273" w:type="dxa"/>
            <w:noWrap/>
            <w:vAlign w:val="center"/>
            <w:hideMark/>
          </w:tcPr>
          <w:p w14:paraId="12E740CC" w14:textId="77777777" w:rsidR="00126D8D" w:rsidRPr="004A4899" w:rsidRDefault="00126D8D" w:rsidP="00820288">
            <w:pPr>
              <w:spacing w:line="240" w:lineRule="auto"/>
              <w:rPr>
                <w:rFonts w:ascii="Times New Roman" w:hAnsi="Times New Roman" w:cs="Times New Roman"/>
                <w:sz w:val="13"/>
                <w:szCs w:val="13"/>
              </w:rPr>
            </w:pPr>
            <w:r w:rsidRPr="004A4899">
              <w:rPr>
                <w:rFonts w:ascii="Times New Roman" w:hAnsi="Times New Roman" w:cs="Times New Roman"/>
                <w:sz w:val="13"/>
                <w:szCs w:val="13"/>
              </w:rPr>
              <w:t>a</w:t>
            </w:r>
          </w:p>
        </w:tc>
        <w:tc>
          <w:tcPr>
            <w:tcW w:w="377" w:type="dxa"/>
            <w:noWrap/>
            <w:vAlign w:val="center"/>
            <w:hideMark/>
          </w:tcPr>
          <w:p w14:paraId="4CAD86B5" w14:textId="77777777" w:rsidR="00126D8D" w:rsidRPr="004A4899" w:rsidRDefault="00126D8D" w:rsidP="00820288">
            <w:pPr>
              <w:spacing w:line="240" w:lineRule="auto"/>
              <w:jc w:val="right"/>
              <w:rPr>
                <w:rFonts w:ascii="Times New Roman" w:hAnsi="Times New Roman" w:cs="Times New Roman"/>
                <w:sz w:val="13"/>
                <w:szCs w:val="13"/>
              </w:rPr>
            </w:pPr>
            <w:r w:rsidRPr="004A4899">
              <w:rPr>
                <w:rFonts w:ascii="Times New Roman" w:hAnsi="Times New Roman" w:cs="Times New Roman"/>
                <w:sz w:val="13"/>
                <w:szCs w:val="13"/>
              </w:rPr>
              <w:t>2.28</w:t>
            </w:r>
          </w:p>
        </w:tc>
        <w:tc>
          <w:tcPr>
            <w:tcW w:w="273" w:type="dxa"/>
            <w:noWrap/>
            <w:vAlign w:val="center"/>
            <w:hideMark/>
          </w:tcPr>
          <w:p w14:paraId="3815BB3A" w14:textId="77777777" w:rsidR="00126D8D" w:rsidRPr="004A4899" w:rsidRDefault="00126D8D" w:rsidP="00820288">
            <w:pPr>
              <w:spacing w:line="240" w:lineRule="auto"/>
              <w:rPr>
                <w:rFonts w:ascii="Times New Roman" w:hAnsi="Times New Roman" w:cs="Times New Roman"/>
                <w:sz w:val="13"/>
                <w:szCs w:val="13"/>
              </w:rPr>
            </w:pPr>
            <w:r w:rsidRPr="004A4899">
              <w:rPr>
                <w:rFonts w:ascii="Times New Roman" w:hAnsi="Times New Roman" w:cs="Times New Roman"/>
                <w:sz w:val="13"/>
                <w:szCs w:val="13"/>
              </w:rPr>
              <w:t>a</w:t>
            </w:r>
          </w:p>
        </w:tc>
        <w:tc>
          <w:tcPr>
            <w:tcW w:w="377" w:type="dxa"/>
            <w:noWrap/>
            <w:vAlign w:val="center"/>
            <w:hideMark/>
          </w:tcPr>
          <w:p w14:paraId="34BC6202" w14:textId="77777777" w:rsidR="00126D8D" w:rsidRPr="004A4899" w:rsidRDefault="00126D8D" w:rsidP="00820288">
            <w:pPr>
              <w:spacing w:line="240" w:lineRule="auto"/>
              <w:jc w:val="right"/>
              <w:rPr>
                <w:rFonts w:ascii="Times New Roman" w:hAnsi="Times New Roman" w:cs="Times New Roman"/>
                <w:sz w:val="13"/>
                <w:szCs w:val="13"/>
              </w:rPr>
            </w:pPr>
            <w:r w:rsidRPr="004A4899">
              <w:rPr>
                <w:rFonts w:ascii="Times New Roman" w:hAnsi="Times New Roman" w:cs="Times New Roman"/>
                <w:sz w:val="13"/>
                <w:szCs w:val="13"/>
              </w:rPr>
              <w:t>2.50</w:t>
            </w:r>
          </w:p>
        </w:tc>
        <w:tc>
          <w:tcPr>
            <w:tcW w:w="326" w:type="dxa"/>
            <w:noWrap/>
            <w:vAlign w:val="center"/>
            <w:hideMark/>
          </w:tcPr>
          <w:p w14:paraId="3A08BA92" w14:textId="77777777" w:rsidR="00126D8D" w:rsidRPr="004A4899" w:rsidRDefault="00126D8D" w:rsidP="00820288">
            <w:pPr>
              <w:spacing w:line="240" w:lineRule="auto"/>
              <w:rPr>
                <w:rFonts w:ascii="Times New Roman" w:hAnsi="Times New Roman" w:cs="Times New Roman"/>
                <w:sz w:val="13"/>
                <w:szCs w:val="13"/>
              </w:rPr>
            </w:pPr>
            <w:r w:rsidRPr="004A4899">
              <w:rPr>
                <w:rFonts w:ascii="Times New Roman" w:hAnsi="Times New Roman" w:cs="Times New Roman"/>
                <w:sz w:val="13"/>
                <w:szCs w:val="13"/>
              </w:rPr>
              <w:t>a</w:t>
            </w:r>
          </w:p>
        </w:tc>
        <w:tc>
          <w:tcPr>
            <w:tcW w:w="377" w:type="dxa"/>
            <w:noWrap/>
            <w:vAlign w:val="center"/>
            <w:hideMark/>
          </w:tcPr>
          <w:p w14:paraId="7BEA56B1" w14:textId="77777777" w:rsidR="00126D8D" w:rsidRPr="004A4899" w:rsidRDefault="00126D8D" w:rsidP="00820288">
            <w:pPr>
              <w:spacing w:line="240" w:lineRule="auto"/>
              <w:jc w:val="right"/>
              <w:rPr>
                <w:rFonts w:ascii="Times New Roman" w:hAnsi="Times New Roman" w:cs="Times New Roman"/>
                <w:sz w:val="13"/>
                <w:szCs w:val="13"/>
              </w:rPr>
            </w:pPr>
            <w:r w:rsidRPr="004A4899">
              <w:rPr>
                <w:rFonts w:ascii="Times New Roman" w:hAnsi="Times New Roman" w:cs="Times New Roman"/>
                <w:sz w:val="13"/>
                <w:szCs w:val="13"/>
              </w:rPr>
              <w:t>2.81</w:t>
            </w:r>
          </w:p>
        </w:tc>
        <w:tc>
          <w:tcPr>
            <w:tcW w:w="326" w:type="dxa"/>
            <w:noWrap/>
            <w:vAlign w:val="center"/>
            <w:hideMark/>
          </w:tcPr>
          <w:p w14:paraId="680CB477" w14:textId="77777777" w:rsidR="00126D8D" w:rsidRPr="004A4899" w:rsidRDefault="00126D8D" w:rsidP="00820288">
            <w:pPr>
              <w:spacing w:line="240" w:lineRule="auto"/>
              <w:rPr>
                <w:rFonts w:ascii="Times New Roman" w:hAnsi="Times New Roman" w:cs="Times New Roman"/>
                <w:sz w:val="13"/>
                <w:szCs w:val="13"/>
              </w:rPr>
            </w:pPr>
            <w:r w:rsidRPr="004A4899">
              <w:rPr>
                <w:rFonts w:ascii="Times New Roman" w:hAnsi="Times New Roman" w:cs="Times New Roman"/>
                <w:sz w:val="13"/>
                <w:szCs w:val="13"/>
              </w:rPr>
              <w:t>a</w:t>
            </w:r>
          </w:p>
        </w:tc>
        <w:tc>
          <w:tcPr>
            <w:tcW w:w="377" w:type="dxa"/>
            <w:noWrap/>
            <w:vAlign w:val="center"/>
            <w:hideMark/>
          </w:tcPr>
          <w:p w14:paraId="4A743649" w14:textId="77777777" w:rsidR="00126D8D" w:rsidRPr="004A4899" w:rsidRDefault="00126D8D" w:rsidP="00820288">
            <w:pPr>
              <w:spacing w:line="240" w:lineRule="auto"/>
              <w:jc w:val="right"/>
              <w:rPr>
                <w:rFonts w:ascii="Times New Roman" w:hAnsi="Times New Roman" w:cs="Times New Roman"/>
                <w:sz w:val="13"/>
                <w:szCs w:val="13"/>
              </w:rPr>
            </w:pPr>
            <w:r w:rsidRPr="004A4899">
              <w:rPr>
                <w:rFonts w:ascii="Times New Roman" w:hAnsi="Times New Roman" w:cs="Times New Roman"/>
                <w:sz w:val="13"/>
                <w:szCs w:val="13"/>
              </w:rPr>
              <w:t>2.59</w:t>
            </w:r>
          </w:p>
        </w:tc>
        <w:tc>
          <w:tcPr>
            <w:tcW w:w="219" w:type="dxa"/>
            <w:noWrap/>
            <w:vAlign w:val="center"/>
            <w:hideMark/>
          </w:tcPr>
          <w:p w14:paraId="67536E6D" w14:textId="77777777" w:rsidR="00126D8D" w:rsidRPr="004A4899" w:rsidRDefault="00126D8D" w:rsidP="00820288">
            <w:pPr>
              <w:spacing w:line="240" w:lineRule="auto"/>
              <w:rPr>
                <w:rFonts w:ascii="Times New Roman" w:hAnsi="Times New Roman" w:cs="Times New Roman"/>
                <w:sz w:val="13"/>
                <w:szCs w:val="13"/>
              </w:rPr>
            </w:pPr>
            <w:r w:rsidRPr="004A4899">
              <w:rPr>
                <w:rFonts w:ascii="Times New Roman" w:hAnsi="Times New Roman" w:cs="Times New Roman"/>
                <w:sz w:val="13"/>
                <w:szCs w:val="13"/>
              </w:rPr>
              <w:t>a</w:t>
            </w:r>
          </w:p>
        </w:tc>
        <w:tc>
          <w:tcPr>
            <w:tcW w:w="377" w:type="dxa"/>
            <w:noWrap/>
            <w:vAlign w:val="center"/>
            <w:hideMark/>
          </w:tcPr>
          <w:p w14:paraId="06C0389F" w14:textId="77777777" w:rsidR="00126D8D" w:rsidRPr="004A4899" w:rsidRDefault="00126D8D" w:rsidP="00820288">
            <w:pPr>
              <w:spacing w:line="240" w:lineRule="auto"/>
              <w:jc w:val="right"/>
              <w:rPr>
                <w:rFonts w:ascii="Times New Roman" w:hAnsi="Times New Roman" w:cs="Times New Roman"/>
                <w:sz w:val="13"/>
                <w:szCs w:val="13"/>
              </w:rPr>
            </w:pPr>
            <w:r w:rsidRPr="004A4899">
              <w:rPr>
                <w:rFonts w:ascii="Times New Roman" w:hAnsi="Times New Roman" w:cs="Times New Roman"/>
                <w:sz w:val="13"/>
                <w:szCs w:val="13"/>
              </w:rPr>
              <w:t>3.37</w:t>
            </w:r>
          </w:p>
        </w:tc>
        <w:tc>
          <w:tcPr>
            <w:tcW w:w="159" w:type="dxa"/>
            <w:noWrap/>
            <w:vAlign w:val="center"/>
            <w:hideMark/>
          </w:tcPr>
          <w:p w14:paraId="1748EA41" w14:textId="77777777" w:rsidR="00126D8D" w:rsidRPr="004A4899" w:rsidRDefault="00126D8D" w:rsidP="00820288">
            <w:pPr>
              <w:spacing w:line="240" w:lineRule="auto"/>
              <w:rPr>
                <w:rFonts w:ascii="Times New Roman" w:hAnsi="Times New Roman" w:cs="Times New Roman"/>
                <w:sz w:val="13"/>
                <w:szCs w:val="13"/>
              </w:rPr>
            </w:pPr>
            <w:r w:rsidRPr="004A4899">
              <w:rPr>
                <w:rFonts w:ascii="Times New Roman" w:hAnsi="Times New Roman" w:cs="Times New Roman"/>
                <w:sz w:val="13"/>
                <w:szCs w:val="13"/>
              </w:rPr>
              <w:t>a</w:t>
            </w:r>
          </w:p>
        </w:tc>
        <w:tc>
          <w:tcPr>
            <w:tcW w:w="377" w:type="dxa"/>
            <w:noWrap/>
            <w:vAlign w:val="center"/>
            <w:hideMark/>
          </w:tcPr>
          <w:p w14:paraId="634F85D2" w14:textId="77777777" w:rsidR="00126D8D" w:rsidRPr="004A4899" w:rsidRDefault="00126D8D" w:rsidP="00820288">
            <w:pPr>
              <w:spacing w:line="240" w:lineRule="auto"/>
              <w:jc w:val="right"/>
              <w:rPr>
                <w:rFonts w:ascii="Times New Roman" w:hAnsi="Times New Roman" w:cs="Times New Roman"/>
                <w:sz w:val="13"/>
                <w:szCs w:val="13"/>
              </w:rPr>
            </w:pPr>
            <w:r w:rsidRPr="004A4899">
              <w:rPr>
                <w:rFonts w:ascii="Times New Roman" w:hAnsi="Times New Roman" w:cs="Times New Roman"/>
                <w:sz w:val="13"/>
                <w:szCs w:val="13"/>
              </w:rPr>
              <w:t>3.38</w:t>
            </w:r>
          </w:p>
        </w:tc>
        <w:tc>
          <w:tcPr>
            <w:tcW w:w="326" w:type="dxa"/>
            <w:noWrap/>
            <w:vAlign w:val="center"/>
            <w:hideMark/>
          </w:tcPr>
          <w:p w14:paraId="7CCDAAB1" w14:textId="77777777" w:rsidR="00126D8D" w:rsidRPr="004A4899" w:rsidRDefault="00126D8D" w:rsidP="00820288">
            <w:pPr>
              <w:spacing w:line="240" w:lineRule="auto"/>
              <w:rPr>
                <w:rFonts w:ascii="Times New Roman" w:hAnsi="Times New Roman" w:cs="Times New Roman"/>
                <w:sz w:val="13"/>
                <w:szCs w:val="13"/>
              </w:rPr>
            </w:pPr>
            <w:r w:rsidRPr="004A4899">
              <w:rPr>
                <w:rFonts w:ascii="Times New Roman" w:hAnsi="Times New Roman" w:cs="Times New Roman"/>
                <w:sz w:val="13"/>
                <w:szCs w:val="13"/>
              </w:rPr>
              <w:t>a</w:t>
            </w:r>
          </w:p>
        </w:tc>
        <w:tc>
          <w:tcPr>
            <w:tcW w:w="377" w:type="dxa"/>
            <w:noWrap/>
            <w:vAlign w:val="center"/>
            <w:hideMark/>
          </w:tcPr>
          <w:p w14:paraId="791A4D98" w14:textId="77777777" w:rsidR="00126D8D" w:rsidRPr="004A4899" w:rsidRDefault="00126D8D" w:rsidP="00820288">
            <w:pPr>
              <w:spacing w:line="240" w:lineRule="auto"/>
              <w:jc w:val="right"/>
              <w:rPr>
                <w:rFonts w:ascii="Times New Roman" w:hAnsi="Times New Roman" w:cs="Times New Roman"/>
                <w:sz w:val="13"/>
                <w:szCs w:val="13"/>
              </w:rPr>
            </w:pPr>
            <w:r w:rsidRPr="004A4899">
              <w:rPr>
                <w:rFonts w:ascii="Times New Roman" w:hAnsi="Times New Roman" w:cs="Times New Roman"/>
                <w:sz w:val="13"/>
                <w:szCs w:val="13"/>
              </w:rPr>
              <w:t>2.30</w:t>
            </w:r>
          </w:p>
        </w:tc>
        <w:tc>
          <w:tcPr>
            <w:tcW w:w="252" w:type="dxa"/>
            <w:noWrap/>
            <w:vAlign w:val="center"/>
            <w:hideMark/>
          </w:tcPr>
          <w:p w14:paraId="011FC5D2" w14:textId="77777777" w:rsidR="00126D8D" w:rsidRPr="004A4899" w:rsidRDefault="00126D8D" w:rsidP="00820288">
            <w:pPr>
              <w:spacing w:line="240" w:lineRule="auto"/>
              <w:rPr>
                <w:rFonts w:ascii="Times New Roman" w:hAnsi="Times New Roman" w:cs="Times New Roman"/>
                <w:sz w:val="13"/>
                <w:szCs w:val="13"/>
              </w:rPr>
            </w:pPr>
            <w:r w:rsidRPr="004A4899">
              <w:rPr>
                <w:rFonts w:ascii="Times New Roman" w:hAnsi="Times New Roman" w:cs="Times New Roman"/>
                <w:sz w:val="13"/>
                <w:szCs w:val="13"/>
              </w:rPr>
              <w:t>a</w:t>
            </w:r>
          </w:p>
        </w:tc>
        <w:tc>
          <w:tcPr>
            <w:tcW w:w="377" w:type="dxa"/>
            <w:noWrap/>
            <w:vAlign w:val="center"/>
            <w:hideMark/>
          </w:tcPr>
          <w:p w14:paraId="3AF4B7AC" w14:textId="77777777" w:rsidR="00126D8D" w:rsidRPr="004A4899" w:rsidRDefault="00126D8D" w:rsidP="00820288">
            <w:pPr>
              <w:spacing w:line="240" w:lineRule="auto"/>
              <w:jc w:val="right"/>
              <w:rPr>
                <w:rFonts w:ascii="Times New Roman" w:hAnsi="Times New Roman" w:cs="Times New Roman"/>
                <w:sz w:val="13"/>
                <w:szCs w:val="13"/>
              </w:rPr>
            </w:pPr>
            <w:r w:rsidRPr="004A4899">
              <w:rPr>
                <w:rFonts w:ascii="Times New Roman" w:hAnsi="Times New Roman" w:cs="Times New Roman"/>
                <w:sz w:val="13"/>
                <w:szCs w:val="13"/>
              </w:rPr>
              <w:t>1.95</w:t>
            </w:r>
          </w:p>
        </w:tc>
        <w:tc>
          <w:tcPr>
            <w:tcW w:w="273" w:type="dxa"/>
            <w:noWrap/>
            <w:vAlign w:val="center"/>
            <w:hideMark/>
          </w:tcPr>
          <w:p w14:paraId="593705AB" w14:textId="77777777" w:rsidR="00126D8D" w:rsidRPr="004A4899" w:rsidRDefault="00126D8D" w:rsidP="00820288">
            <w:pPr>
              <w:spacing w:line="240" w:lineRule="auto"/>
              <w:rPr>
                <w:rFonts w:ascii="Times New Roman" w:hAnsi="Times New Roman" w:cs="Times New Roman"/>
                <w:sz w:val="13"/>
                <w:szCs w:val="13"/>
              </w:rPr>
            </w:pPr>
            <w:r w:rsidRPr="004A4899">
              <w:rPr>
                <w:rFonts w:ascii="Times New Roman" w:hAnsi="Times New Roman" w:cs="Times New Roman"/>
                <w:sz w:val="13"/>
                <w:szCs w:val="13"/>
              </w:rPr>
              <w:t>a</w:t>
            </w:r>
          </w:p>
        </w:tc>
        <w:tc>
          <w:tcPr>
            <w:tcW w:w="377" w:type="dxa"/>
            <w:noWrap/>
            <w:vAlign w:val="center"/>
            <w:hideMark/>
          </w:tcPr>
          <w:p w14:paraId="2EE161AA" w14:textId="77777777" w:rsidR="00126D8D" w:rsidRPr="004A4899" w:rsidRDefault="00126D8D" w:rsidP="00820288">
            <w:pPr>
              <w:spacing w:line="240" w:lineRule="auto"/>
              <w:jc w:val="right"/>
              <w:rPr>
                <w:rFonts w:ascii="Times New Roman" w:hAnsi="Times New Roman" w:cs="Times New Roman"/>
                <w:sz w:val="13"/>
                <w:szCs w:val="13"/>
              </w:rPr>
            </w:pPr>
            <w:r w:rsidRPr="004A4899">
              <w:rPr>
                <w:rFonts w:ascii="Times New Roman" w:hAnsi="Times New Roman" w:cs="Times New Roman"/>
                <w:sz w:val="13"/>
                <w:szCs w:val="13"/>
              </w:rPr>
              <w:t>2.56</w:t>
            </w:r>
          </w:p>
        </w:tc>
        <w:tc>
          <w:tcPr>
            <w:tcW w:w="273" w:type="dxa"/>
            <w:noWrap/>
            <w:vAlign w:val="center"/>
            <w:hideMark/>
          </w:tcPr>
          <w:p w14:paraId="176C89DB" w14:textId="77777777" w:rsidR="00126D8D" w:rsidRPr="004A4899" w:rsidRDefault="00126D8D" w:rsidP="00820288">
            <w:pPr>
              <w:spacing w:line="240" w:lineRule="auto"/>
              <w:rPr>
                <w:rFonts w:ascii="Times New Roman" w:hAnsi="Times New Roman" w:cs="Times New Roman"/>
                <w:sz w:val="13"/>
                <w:szCs w:val="13"/>
              </w:rPr>
            </w:pPr>
            <w:r w:rsidRPr="004A4899">
              <w:rPr>
                <w:rFonts w:ascii="Times New Roman" w:hAnsi="Times New Roman" w:cs="Times New Roman"/>
                <w:sz w:val="13"/>
                <w:szCs w:val="13"/>
              </w:rPr>
              <w:t>a</w:t>
            </w:r>
          </w:p>
        </w:tc>
      </w:tr>
      <w:tr w:rsidR="00126D8D" w:rsidRPr="004A4899" w14:paraId="3660185E" w14:textId="77777777" w:rsidTr="00820288">
        <w:trPr>
          <w:trHeight w:val="173"/>
        </w:trPr>
        <w:tc>
          <w:tcPr>
            <w:tcW w:w="1440" w:type="dxa"/>
            <w:noWrap/>
            <w:vAlign w:val="center"/>
            <w:hideMark/>
          </w:tcPr>
          <w:p w14:paraId="7B38CFD7" w14:textId="77777777" w:rsidR="00126D8D" w:rsidRPr="004A4899" w:rsidRDefault="00126D8D" w:rsidP="00820288">
            <w:pPr>
              <w:spacing w:line="240" w:lineRule="auto"/>
              <w:rPr>
                <w:rFonts w:ascii="Times New Roman" w:hAnsi="Times New Roman" w:cs="Times New Roman"/>
                <w:sz w:val="12"/>
                <w:szCs w:val="12"/>
              </w:rPr>
            </w:pPr>
            <w:r w:rsidRPr="004A4899">
              <w:rPr>
                <w:rFonts w:ascii="Times New Roman" w:hAnsi="Times New Roman" w:cs="Times New Roman"/>
                <w:sz w:val="12"/>
                <w:szCs w:val="12"/>
              </w:rPr>
              <w:t>1,3-cis,5-cis-Octatriene</w:t>
            </w:r>
          </w:p>
        </w:tc>
        <w:tc>
          <w:tcPr>
            <w:tcW w:w="377" w:type="dxa"/>
            <w:noWrap/>
            <w:vAlign w:val="center"/>
            <w:hideMark/>
          </w:tcPr>
          <w:p w14:paraId="4D8A6457" w14:textId="77777777" w:rsidR="00126D8D" w:rsidRPr="004A4899" w:rsidRDefault="00126D8D" w:rsidP="00820288">
            <w:pPr>
              <w:spacing w:line="240" w:lineRule="auto"/>
              <w:jc w:val="right"/>
              <w:rPr>
                <w:rFonts w:ascii="Times New Roman" w:hAnsi="Times New Roman" w:cs="Times New Roman"/>
                <w:sz w:val="13"/>
                <w:szCs w:val="13"/>
              </w:rPr>
            </w:pPr>
            <w:r w:rsidRPr="004A4899">
              <w:rPr>
                <w:rFonts w:ascii="Times New Roman" w:hAnsi="Times New Roman" w:cs="Times New Roman"/>
                <w:sz w:val="13"/>
                <w:szCs w:val="13"/>
              </w:rPr>
              <w:t>6.81</w:t>
            </w:r>
          </w:p>
        </w:tc>
        <w:tc>
          <w:tcPr>
            <w:tcW w:w="274" w:type="dxa"/>
            <w:noWrap/>
            <w:vAlign w:val="center"/>
            <w:hideMark/>
          </w:tcPr>
          <w:p w14:paraId="5138338C" w14:textId="77777777" w:rsidR="00126D8D" w:rsidRPr="004A4899" w:rsidRDefault="00126D8D" w:rsidP="00820288">
            <w:pPr>
              <w:spacing w:line="240" w:lineRule="auto"/>
              <w:rPr>
                <w:rFonts w:ascii="Times New Roman" w:hAnsi="Times New Roman" w:cs="Times New Roman"/>
                <w:sz w:val="13"/>
                <w:szCs w:val="13"/>
              </w:rPr>
            </w:pPr>
            <w:r w:rsidRPr="004A4899">
              <w:rPr>
                <w:rFonts w:ascii="Times New Roman" w:hAnsi="Times New Roman" w:cs="Times New Roman"/>
                <w:sz w:val="13"/>
                <w:szCs w:val="13"/>
              </w:rPr>
              <w:t>cd</w:t>
            </w:r>
          </w:p>
        </w:tc>
        <w:tc>
          <w:tcPr>
            <w:tcW w:w="411" w:type="dxa"/>
            <w:noWrap/>
            <w:vAlign w:val="center"/>
            <w:hideMark/>
          </w:tcPr>
          <w:p w14:paraId="741E68CF" w14:textId="77777777" w:rsidR="00126D8D" w:rsidRPr="004A4899" w:rsidRDefault="00126D8D" w:rsidP="00820288">
            <w:pPr>
              <w:spacing w:line="240" w:lineRule="auto"/>
              <w:jc w:val="right"/>
              <w:rPr>
                <w:rFonts w:ascii="Times New Roman" w:hAnsi="Times New Roman" w:cs="Times New Roman"/>
                <w:sz w:val="13"/>
                <w:szCs w:val="13"/>
              </w:rPr>
            </w:pPr>
            <w:r w:rsidRPr="004A4899">
              <w:rPr>
                <w:rFonts w:ascii="Times New Roman" w:hAnsi="Times New Roman" w:cs="Times New Roman"/>
                <w:sz w:val="13"/>
                <w:szCs w:val="13"/>
              </w:rPr>
              <w:t>5.08</w:t>
            </w:r>
          </w:p>
        </w:tc>
        <w:tc>
          <w:tcPr>
            <w:tcW w:w="239" w:type="dxa"/>
            <w:noWrap/>
            <w:vAlign w:val="center"/>
            <w:hideMark/>
          </w:tcPr>
          <w:p w14:paraId="4DA7BD11" w14:textId="77777777" w:rsidR="00126D8D" w:rsidRPr="004A4899" w:rsidRDefault="00126D8D" w:rsidP="00820288">
            <w:pPr>
              <w:spacing w:line="240" w:lineRule="auto"/>
              <w:rPr>
                <w:rFonts w:ascii="Times New Roman" w:hAnsi="Times New Roman" w:cs="Times New Roman"/>
                <w:sz w:val="13"/>
                <w:szCs w:val="13"/>
              </w:rPr>
            </w:pPr>
            <w:r w:rsidRPr="004A4899">
              <w:rPr>
                <w:rFonts w:ascii="Times New Roman" w:hAnsi="Times New Roman" w:cs="Times New Roman"/>
                <w:sz w:val="13"/>
                <w:szCs w:val="13"/>
              </w:rPr>
              <w:t>d</w:t>
            </w:r>
          </w:p>
        </w:tc>
        <w:tc>
          <w:tcPr>
            <w:tcW w:w="377" w:type="dxa"/>
            <w:noWrap/>
            <w:vAlign w:val="center"/>
            <w:hideMark/>
          </w:tcPr>
          <w:p w14:paraId="370D165C" w14:textId="77777777" w:rsidR="00126D8D" w:rsidRPr="004A4899" w:rsidRDefault="00126D8D" w:rsidP="00820288">
            <w:pPr>
              <w:spacing w:line="240" w:lineRule="auto"/>
              <w:jc w:val="right"/>
              <w:rPr>
                <w:rFonts w:ascii="Times New Roman" w:hAnsi="Times New Roman" w:cs="Times New Roman"/>
                <w:sz w:val="13"/>
                <w:szCs w:val="13"/>
              </w:rPr>
            </w:pPr>
            <w:r w:rsidRPr="004A4899">
              <w:rPr>
                <w:rFonts w:ascii="Times New Roman" w:hAnsi="Times New Roman" w:cs="Times New Roman"/>
                <w:sz w:val="13"/>
                <w:szCs w:val="13"/>
              </w:rPr>
              <w:t>5.97</w:t>
            </w:r>
          </w:p>
        </w:tc>
        <w:tc>
          <w:tcPr>
            <w:tcW w:w="273" w:type="dxa"/>
            <w:noWrap/>
            <w:vAlign w:val="center"/>
            <w:hideMark/>
          </w:tcPr>
          <w:p w14:paraId="0C1F9174" w14:textId="77777777" w:rsidR="00126D8D" w:rsidRPr="004A4899" w:rsidRDefault="00126D8D" w:rsidP="00820288">
            <w:pPr>
              <w:spacing w:line="240" w:lineRule="auto"/>
              <w:rPr>
                <w:rFonts w:ascii="Times New Roman" w:hAnsi="Times New Roman" w:cs="Times New Roman"/>
                <w:sz w:val="13"/>
                <w:szCs w:val="13"/>
              </w:rPr>
            </w:pPr>
            <w:r w:rsidRPr="004A4899">
              <w:rPr>
                <w:rFonts w:ascii="Times New Roman" w:hAnsi="Times New Roman" w:cs="Times New Roman"/>
                <w:sz w:val="13"/>
                <w:szCs w:val="13"/>
              </w:rPr>
              <w:t>cd</w:t>
            </w:r>
          </w:p>
        </w:tc>
        <w:tc>
          <w:tcPr>
            <w:tcW w:w="377" w:type="dxa"/>
            <w:noWrap/>
            <w:vAlign w:val="center"/>
            <w:hideMark/>
          </w:tcPr>
          <w:p w14:paraId="321BD44D" w14:textId="77777777" w:rsidR="00126D8D" w:rsidRPr="004A4899" w:rsidRDefault="00126D8D" w:rsidP="00820288">
            <w:pPr>
              <w:spacing w:line="240" w:lineRule="auto"/>
              <w:jc w:val="right"/>
              <w:rPr>
                <w:rFonts w:ascii="Times New Roman" w:hAnsi="Times New Roman" w:cs="Times New Roman"/>
                <w:sz w:val="13"/>
                <w:szCs w:val="13"/>
              </w:rPr>
            </w:pPr>
            <w:r w:rsidRPr="004A4899">
              <w:rPr>
                <w:rFonts w:ascii="Times New Roman" w:hAnsi="Times New Roman" w:cs="Times New Roman"/>
                <w:sz w:val="13"/>
                <w:szCs w:val="13"/>
              </w:rPr>
              <w:t>7.67</w:t>
            </w:r>
          </w:p>
        </w:tc>
        <w:tc>
          <w:tcPr>
            <w:tcW w:w="273" w:type="dxa"/>
            <w:noWrap/>
            <w:vAlign w:val="center"/>
            <w:hideMark/>
          </w:tcPr>
          <w:p w14:paraId="70AC5A8C" w14:textId="77777777" w:rsidR="00126D8D" w:rsidRPr="004A4899" w:rsidRDefault="00126D8D" w:rsidP="00820288">
            <w:pPr>
              <w:spacing w:line="240" w:lineRule="auto"/>
              <w:rPr>
                <w:rFonts w:ascii="Times New Roman" w:hAnsi="Times New Roman" w:cs="Times New Roman"/>
                <w:sz w:val="13"/>
                <w:szCs w:val="13"/>
              </w:rPr>
            </w:pPr>
            <w:r w:rsidRPr="004A4899">
              <w:rPr>
                <w:rFonts w:ascii="Times New Roman" w:hAnsi="Times New Roman" w:cs="Times New Roman"/>
                <w:sz w:val="13"/>
                <w:szCs w:val="13"/>
              </w:rPr>
              <w:t>bc</w:t>
            </w:r>
          </w:p>
        </w:tc>
        <w:tc>
          <w:tcPr>
            <w:tcW w:w="377" w:type="dxa"/>
            <w:noWrap/>
            <w:vAlign w:val="center"/>
            <w:hideMark/>
          </w:tcPr>
          <w:p w14:paraId="1F1A9F21" w14:textId="77777777" w:rsidR="00126D8D" w:rsidRPr="004A4899" w:rsidRDefault="00126D8D" w:rsidP="00820288">
            <w:pPr>
              <w:spacing w:line="240" w:lineRule="auto"/>
              <w:jc w:val="right"/>
              <w:rPr>
                <w:rFonts w:ascii="Times New Roman" w:hAnsi="Times New Roman" w:cs="Times New Roman"/>
                <w:sz w:val="13"/>
                <w:szCs w:val="13"/>
              </w:rPr>
            </w:pPr>
            <w:r w:rsidRPr="004A4899">
              <w:rPr>
                <w:rFonts w:ascii="Times New Roman" w:hAnsi="Times New Roman" w:cs="Times New Roman"/>
                <w:sz w:val="13"/>
                <w:szCs w:val="13"/>
              </w:rPr>
              <w:t>7.42</w:t>
            </w:r>
          </w:p>
        </w:tc>
        <w:tc>
          <w:tcPr>
            <w:tcW w:w="326" w:type="dxa"/>
            <w:noWrap/>
            <w:vAlign w:val="center"/>
            <w:hideMark/>
          </w:tcPr>
          <w:p w14:paraId="5B57689D" w14:textId="77777777" w:rsidR="00126D8D" w:rsidRPr="004A4899" w:rsidRDefault="00126D8D" w:rsidP="00820288">
            <w:pPr>
              <w:spacing w:line="240" w:lineRule="auto"/>
              <w:rPr>
                <w:rFonts w:ascii="Times New Roman" w:hAnsi="Times New Roman" w:cs="Times New Roman"/>
                <w:sz w:val="13"/>
                <w:szCs w:val="13"/>
              </w:rPr>
            </w:pPr>
            <w:r w:rsidRPr="004A4899">
              <w:rPr>
                <w:rFonts w:ascii="Times New Roman" w:hAnsi="Times New Roman" w:cs="Times New Roman"/>
                <w:sz w:val="13"/>
                <w:szCs w:val="13"/>
              </w:rPr>
              <w:t>bc</w:t>
            </w:r>
          </w:p>
        </w:tc>
        <w:tc>
          <w:tcPr>
            <w:tcW w:w="377" w:type="dxa"/>
            <w:noWrap/>
            <w:vAlign w:val="center"/>
            <w:hideMark/>
          </w:tcPr>
          <w:p w14:paraId="43552EA5" w14:textId="77777777" w:rsidR="00126D8D" w:rsidRPr="004A4899" w:rsidRDefault="00126D8D" w:rsidP="00820288">
            <w:pPr>
              <w:spacing w:line="240" w:lineRule="auto"/>
              <w:jc w:val="right"/>
              <w:rPr>
                <w:rFonts w:ascii="Times New Roman" w:hAnsi="Times New Roman" w:cs="Times New Roman"/>
                <w:sz w:val="13"/>
                <w:szCs w:val="13"/>
              </w:rPr>
            </w:pPr>
            <w:r w:rsidRPr="004A4899">
              <w:rPr>
                <w:rFonts w:ascii="Times New Roman" w:hAnsi="Times New Roman" w:cs="Times New Roman"/>
                <w:sz w:val="13"/>
                <w:szCs w:val="13"/>
              </w:rPr>
              <w:t>6.61</w:t>
            </w:r>
          </w:p>
        </w:tc>
        <w:tc>
          <w:tcPr>
            <w:tcW w:w="326" w:type="dxa"/>
            <w:noWrap/>
            <w:vAlign w:val="center"/>
            <w:hideMark/>
          </w:tcPr>
          <w:p w14:paraId="35EB4117" w14:textId="77777777" w:rsidR="00126D8D" w:rsidRPr="004A4899" w:rsidRDefault="00126D8D" w:rsidP="00820288">
            <w:pPr>
              <w:spacing w:line="240" w:lineRule="auto"/>
              <w:rPr>
                <w:rFonts w:ascii="Times New Roman" w:hAnsi="Times New Roman" w:cs="Times New Roman"/>
                <w:sz w:val="13"/>
                <w:szCs w:val="13"/>
              </w:rPr>
            </w:pPr>
            <w:r w:rsidRPr="004A4899">
              <w:rPr>
                <w:rFonts w:ascii="Times New Roman" w:hAnsi="Times New Roman" w:cs="Times New Roman"/>
                <w:sz w:val="13"/>
                <w:szCs w:val="13"/>
              </w:rPr>
              <w:t>cd</w:t>
            </w:r>
          </w:p>
        </w:tc>
        <w:tc>
          <w:tcPr>
            <w:tcW w:w="377" w:type="dxa"/>
            <w:noWrap/>
            <w:vAlign w:val="center"/>
            <w:hideMark/>
          </w:tcPr>
          <w:p w14:paraId="1D2CDE55" w14:textId="77777777" w:rsidR="00126D8D" w:rsidRPr="004A4899" w:rsidRDefault="00126D8D" w:rsidP="00820288">
            <w:pPr>
              <w:spacing w:line="240" w:lineRule="auto"/>
              <w:jc w:val="right"/>
              <w:rPr>
                <w:rFonts w:ascii="Times New Roman" w:hAnsi="Times New Roman" w:cs="Times New Roman"/>
                <w:sz w:val="13"/>
                <w:szCs w:val="13"/>
              </w:rPr>
            </w:pPr>
            <w:r w:rsidRPr="004A4899">
              <w:rPr>
                <w:rFonts w:ascii="Times New Roman" w:hAnsi="Times New Roman" w:cs="Times New Roman"/>
                <w:sz w:val="13"/>
                <w:szCs w:val="13"/>
              </w:rPr>
              <w:t>8.82</w:t>
            </w:r>
          </w:p>
        </w:tc>
        <w:tc>
          <w:tcPr>
            <w:tcW w:w="219" w:type="dxa"/>
            <w:noWrap/>
            <w:vAlign w:val="center"/>
            <w:hideMark/>
          </w:tcPr>
          <w:p w14:paraId="5D5A2796" w14:textId="77777777" w:rsidR="00126D8D" w:rsidRPr="004A4899" w:rsidRDefault="00126D8D" w:rsidP="00820288">
            <w:pPr>
              <w:spacing w:line="240" w:lineRule="auto"/>
              <w:rPr>
                <w:rFonts w:ascii="Times New Roman" w:hAnsi="Times New Roman" w:cs="Times New Roman"/>
                <w:sz w:val="13"/>
                <w:szCs w:val="13"/>
              </w:rPr>
            </w:pPr>
            <w:r w:rsidRPr="004A4899">
              <w:rPr>
                <w:rFonts w:ascii="Times New Roman" w:hAnsi="Times New Roman" w:cs="Times New Roman"/>
                <w:sz w:val="13"/>
                <w:szCs w:val="13"/>
              </w:rPr>
              <w:t>ab</w:t>
            </w:r>
          </w:p>
        </w:tc>
        <w:tc>
          <w:tcPr>
            <w:tcW w:w="377" w:type="dxa"/>
            <w:noWrap/>
            <w:vAlign w:val="center"/>
            <w:hideMark/>
          </w:tcPr>
          <w:p w14:paraId="66AD94FC" w14:textId="77777777" w:rsidR="00126D8D" w:rsidRPr="004A4899" w:rsidRDefault="00126D8D" w:rsidP="00820288">
            <w:pPr>
              <w:spacing w:line="240" w:lineRule="auto"/>
              <w:jc w:val="right"/>
              <w:rPr>
                <w:rFonts w:ascii="Times New Roman" w:hAnsi="Times New Roman" w:cs="Times New Roman"/>
                <w:sz w:val="13"/>
                <w:szCs w:val="13"/>
              </w:rPr>
            </w:pPr>
            <w:r w:rsidRPr="004A4899">
              <w:rPr>
                <w:rFonts w:ascii="Times New Roman" w:hAnsi="Times New Roman" w:cs="Times New Roman"/>
                <w:sz w:val="13"/>
                <w:szCs w:val="13"/>
              </w:rPr>
              <w:t>9.77</w:t>
            </w:r>
          </w:p>
        </w:tc>
        <w:tc>
          <w:tcPr>
            <w:tcW w:w="159" w:type="dxa"/>
            <w:noWrap/>
            <w:vAlign w:val="center"/>
            <w:hideMark/>
          </w:tcPr>
          <w:p w14:paraId="2C396C2D" w14:textId="77777777" w:rsidR="00126D8D" w:rsidRPr="004A4899" w:rsidRDefault="00126D8D" w:rsidP="00820288">
            <w:pPr>
              <w:spacing w:line="240" w:lineRule="auto"/>
              <w:rPr>
                <w:rFonts w:ascii="Times New Roman" w:hAnsi="Times New Roman" w:cs="Times New Roman"/>
                <w:sz w:val="13"/>
                <w:szCs w:val="13"/>
              </w:rPr>
            </w:pPr>
            <w:r w:rsidRPr="004A4899">
              <w:rPr>
                <w:rFonts w:ascii="Times New Roman" w:hAnsi="Times New Roman" w:cs="Times New Roman"/>
                <w:sz w:val="13"/>
                <w:szCs w:val="13"/>
              </w:rPr>
              <w:t>a</w:t>
            </w:r>
          </w:p>
        </w:tc>
        <w:tc>
          <w:tcPr>
            <w:tcW w:w="377" w:type="dxa"/>
            <w:noWrap/>
            <w:vAlign w:val="center"/>
            <w:hideMark/>
          </w:tcPr>
          <w:p w14:paraId="31F7D204" w14:textId="77777777" w:rsidR="00126D8D" w:rsidRPr="004A4899" w:rsidRDefault="00126D8D" w:rsidP="00820288">
            <w:pPr>
              <w:spacing w:line="240" w:lineRule="auto"/>
              <w:jc w:val="right"/>
              <w:rPr>
                <w:rFonts w:ascii="Times New Roman" w:hAnsi="Times New Roman" w:cs="Times New Roman"/>
                <w:sz w:val="13"/>
                <w:szCs w:val="13"/>
              </w:rPr>
            </w:pPr>
            <w:r w:rsidRPr="004A4899">
              <w:rPr>
                <w:rFonts w:ascii="Times New Roman" w:hAnsi="Times New Roman" w:cs="Times New Roman"/>
                <w:sz w:val="13"/>
                <w:szCs w:val="13"/>
              </w:rPr>
              <w:t>7.86</w:t>
            </w:r>
          </w:p>
        </w:tc>
        <w:tc>
          <w:tcPr>
            <w:tcW w:w="326" w:type="dxa"/>
            <w:noWrap/>
            <w:vAlign w:val="center"/>
            <w:hideMark/>
          </w:tcPr>
          <w:p w14:paraId="0B40AADD" w14:textId="77777777" w:rsidR="00126D8D" w:rsidRPr="004A4899" w:rsidRDefault="00126D8D" w:rsidP="00820288">
            <w:pPr>
              <w:spacing w:line="240" w:lineRule="auto"/>
              <w:rPr>
                <w:rFonts w:ascii="Times New Roman" w:hAnsi="Times New Roman" w:cs="Times New Roman"/>
                <w:sz w:val="13"/>
                <w:szCs w:val="13"/>
              </w:rPr>
            </w:pPr>
            <w:r w:rsidRPr="004A4899">
              <w:rPr>
                <w:rFonts w:ascii="Times New Roman" w:hAnsi="Times New Roman" w:cs="Times New Roman"/>
                <w:sz w:val="13"/>
                <w:szCs w:val="13"/>
              </w:rPr>
              <w:t>abc</w:t>
            </w:r>
          </w:p>
        </w:tc>
        <w:tc>
          <w:tcPr>
            <w:tcW w:w="377" w:type="dxa"/>
            <w:noWrap/>
            <w:vAlign w:val="center"/>
            <w:hideMark/>
          </w:tcPr>
          <w:p w14:paraId="4AE797BB" w14:textId="77777777" w:rsidR="00126D8D" w:rsidRPr="004A4899" w:rsidRDefault="00126D8D" w:rsidP="00820288">
            <w:pPr>
              <w:spacing w:line="240" w:lineRule="auto"/>
              <w:jc w:val="right"/>
              <w:rPr>
                <w:rFonts w:ascii="Times New Roman" w:hAnsi="Times New Roman" w:cs="Times New Roman"/>
                <w:sz w:val="13"/>
                <w:szCs w:val="13"/>
              </w:rPr>
            </w:pPr>
            <w:r w:rsidRPr="004A4899">
              <w:rPr>
                <w:rFonts w:ascii="Times New Roman" w:hAnsi="Times New Roman" w:cs="Times New Roman"/>
                <w:sz w:val="13"/>
                <w:szCs w:val="13"/>
              </w:rPr>
              <w:t>6.49</w:t>
            </w:r>
          </w:p>
        </w:tc>
        <w:tc>
          <w:tcPr>
            <w:tcW w:w="252" w:type="dxa"/>
            <w:noWrap/>
            <w:vAlign w:val="center"/>
            <w:hideMark/>
          </w:tcPr>
          <w:p w14:paraId="31B4CAA9" w14:textId="77777777" w:rsidR="00126D8D" w:rsidRPr="004A4899" w:rsidRDefault="00126D8D" w:rsidP="00820288">
            <w:pPr>
              <w:spacing w:line="240" w:lineRule="auto"/>
              <w:rPr>
                <w:rFonts w:ascii="Times New Roman" w:hAnsi="Times New Roman" w:cs="Times New Roman"/>
                <w:sz w:val="13"/>
                <w:szCs w:val="13"/>
              </w:rPr>
            </w:pPr>
            <w:r w:rsidRPr="004A4899">
              <w:rPr>
                <w:rFonts w:ascii="Times New Roman" w:hAnsi="Times New Roman" w:cs="Times New Roman"/>
                <w:sz w:val="13"/>
                <w:szCs w:val="13"/>
              </w:rPr>
              <w:t>cd</w:t>
            </w:r>
          </w:p>
        </w:tc>
        <w:tc>
          <w:tcPr>
            <w:tcW w:w="377" w:type="dxa"/>
            <w:noWrap/>
            <w:vAlign w:val="center"/>
            <w:hideMark/>
          </w:tcPr>
          <w:p w14:paraId="7FCF742E" w14:textId="77777777" w:rsidR="00126D8D" w:rsidRPr="004A4899" w:rsidRDefault="00126D8D" w:rsidP="00820288">
            <w:pPr>
              <w:spacing w:line="240" w:lineRule="auto"/>
              <w:jc w:val="right"/>
              <w:rPr>
                <w:rFonts w:ascii="Times New Roman" w:hAnsi="Times New Roman" w:cs="Times New Roman"/>
                <w:sz w:val="13"/>
                <w:szCs w:val="13"/>
              </w:rPr>
            </w:pPr>
            <w:r w:rsidRPr="004A4899">
              <w:rPr>
                <w:rFonts w:ascii="Times New Roman" w:hAnsi="Times New Roman" w:cs="Times New Roman"/>
                <w:sz w:val="13"/>
                <w:szCs w:val="13"/>
              </w:rPr>
              <w:t>7.55</w:t>
            </w:r>
          </w:p>
        </w:tc>
        <w:tc>
          <w:tcPr>
            <w:tcW w:w="273" w:type="dxa"/>
            <w:noWrap/>
            <w:vAlign w:val="center"/>
            <w:hideMark/>
          </w:tcPr>
          <w:p w14:paraId="54A91128" w14:textId="77777777" w:rsidR="00126D8D" w:rsidRPr="004A4899" w:rsidRDefault="00126D8D" w:rsidP="00820288">
            <w:pPr>
              <w:spacing w:line="240" w:lineRule="auto"/>
              <w:rPr>
                <w:rFonts w:ascii="Times New Roman" w:hAnsi="Times New Roman" w:cs="Times New Roman"/>
                <w:sz w:val="13"/>
                <w:szCs w:val="13"/>
              </w:rPr>
            </w:pPr>
            <w:r w:rsidRPr="004A4899">
              <w:rPr>
                <w:rFonts w:ascii="Times New Roman" w:hAnsi="Times New Roman" w:cs="Times New Roman"/>
                <w:sz w:val="13"/>
                <w:szCs w:val="13"/>
              </w:rPr>
              <w:t>bc</w:t>
            </w:r>
          </w:p>
        </w:tc>
        <w:tc>
          <w:tcPr>
            <w:tcW w:w="377" w:type="dxa"/>
            <w:noWrap/>
            <w:vAlign w:val="center"/>
            <w:hideMark/>
          </w:tcPr>
          <w:p w14:paraId="7503FC87" w14:textId="77777777" w:rsidR="00126D8D" w:rsidRPr="004A4899" w:rsidRDefault="00126D8D" w:rsidP="00820288">
            <w:pPr>
              <w:spacing w:line="240" w:lineRule="auto"/>
              <w:jc w:val="right"/>
              <w:rPr>
                <w:rFonts w:ascii="Times New Roman" w:hAnsi="Times New Roman" w:cs="Times New Roman"/>
                <w:sz w:val="13"/>
                <w:szCs w:val="13"/>
              </w:rPr>
            </w:pPr>
            <w:r w:rsidRPr="004A4899">
              <w:rPr>
                <w:rFonts w:ascii="Times New Roman" w:hAnsi="Times New Roman" w:cs="Times New Roman"/>
                <w:sz w:val="13"/>
                <w:szCs w:val="13"/>
              </w:rPr>
              <w:t>6.19</w:t>
            </w:r>
          </w:p>
        </w:tc>
        <w:tc>
          <w:tcPr>
            <w:tcW w:w="273" w:type="dxa"/>
            <w:noWrap/>
            <w:vAlign w:val="center"/>
            <w:hideMark/>
          </w:tcPr>
          <w:p w14:paraId="34FBAE72" w14:textId="77777777" w:rsidR="00126D8D" w:rsidRPr="004A4899" w:rsidRDefault="00126D8D" w:rsidP="00820288">
            <w:pPr>
              <w:spacing w:line="240" w:lineRule="auto"/>
              <w:rPr>
                <w:rFonts w:ascii="Times New Roman" w:hAnsi="Times New Roman" w:cs="Times New Roman"/>
                <w:sz w:val="13"/>
                <w:szCs w:val="13"/>
              </w:rPr>
            </w:pPr>
            <w:r w:rsidRPr="004A4899">
              <w:rPr>
                <w:rFonts w:ascii="Times New Roman" w:hAnsi="Times New Roman" w:cs="Times New Roman"/>
                <w:sz w:val="13"/>
                <w:szCs w:val="13"/>
              </w:rPr>
              <w:t>cd</w:t>
            </w:r>
          </w:p>
        </w:tc>
      </w:tr>
      <w:tr w:rsidR="00126D8D" w:rsidRPr="004A4899" w14:paraId="1F5E02B9" w14:textId="77777777" w:rsidTr="00820288">
        <w:trPr>
          <w:trHeight w:val="173"/>
        </w:trPr>
        <w:tc>
          <w:tcPr>
            <w:tcW w:w="1440" w:type="dxa"/>
            <w:noWrap/>
            <w:vAlign w:val="center"/>
            <w:hideMark/>
          </w:tcPr>
          <w:p w14:paraId="1F939688" w14:textId="77777777" w:rsidR="00126D8D" w:rsidRPr="004A4899" w:rsidRDefault="00126D8D" w:rsidP="00820288">
            <w:pPr>
              <w:spacing w:line="240" w:lineRule="auto"/>
              <w:rPr>
                <w:rFonts w:ascii="Times New Roman" w:hAnsi="Times New Roman" w:cs="Times New Roman"/>
                <w:sz w:val="12"/>
                <w:szCs w:val="12"/>
              </w:rPr>
            </w:pPr>
            <w:r w:rsidRPr="004A4899">
              <w:rPr>
                <w:rFonts w:ascii="Times New Roman" w:hAnsi="Times New Roman" w:cs="Times New Roman"/>
                <w:sz w:val="12"/>
                <w:szCs w:val="12"/>
              </w:rPr>
              <w:t>1,4-Octadiene</w:t>
            </w:r>
          </w:p>
        </w:tc>
        <w:tc>
          <w:tcPr>
            <w:tcW w:w="377" w:type="dxa"/>
            <w:noWrap/>
            <w:vAlign w:val="center"/>
            <w:hideMark/>
          </w:tcPr>
          <w:p w14:paraId="7C02A4B6" w14:textId="77777777" w:rsidR="00126D8D" w:rsidRPr="004A4899" w:rsidRDefault="00126D8D" w:rsidP="00820288">
            <w:pPr>
              <w:spacing w:line="240" w:lineRule="auto"/>
              <w:jc w:val="right"/>
              <w:rPr>
                <w:rFonts w:ascii="Times New Roman" w:hAnsi="Times New Roman" w:cs="Times New Roman"/>
                <w:sz w:val="13"/>
                <w:szCs w:val="13"/>
              </w:rPr>
            </w:pPr>
            <w:r w:rsidRPr="004A4899">
              <w:rPr>
                <w:rFonts w:ascii="Times New Roman" w:hAnsi="Times New Roman" w:cs="Times New Roman"/>
                <w:sz w:val="13"/>
                <w:szCs w:val="13"/>
              </w:rPr>
              <w:t>19.76</w:t>
            </w:r>
          </w:p>
        </w:tc>
        <w:tc>
          <w:tcPr>
            <w:tcW w:w="274" w:type="dxa"/>
            <w:noWrap/>
            <w:vAlign w:val="center"/>
            <w:hideMark/>
          </w:tcPr>
          <w:p w14:paraId="0C75DAFF" w14:textId="77777777" w:rsidR="00126D8D" w:rsidRPr="004A4899" w:rsidRDefault="00126D8D" w:rsidP="00820288">
            <w:pPr>
              <w:spacing w:line="240" w:lineRule="auto"/>
              <w:rPr>
                <w:rFonts w:ascii="Times New Roman" w:hAnsi="Times New Roman" w:cs="Times New Roman"/>
                <w:sz w:val="13"/>
                <w:szCs w:val="13"/>
              </w:rPr>
            </w:pPr>
            <w:r w:rsidRPr="004A4899">
              <w:rPr>
                <w:rFonts w:ascii="Times New Roman" w:hAnsi="Times New Roman" w:cs="Times New Roman"/>
                <w:sz w:val="13"/>
                <w:szCs w:val="13"/>
              </w:rPr>
              <w:t>abc</w:t>
            </w:r>
          </w:p>
        </w:tc>
        <w:tc>
          <w:tcPr>
            <w:tcW w:w="411" w:type="dxa"/>
            <w:noWrap/>
            <w:vAlign w:val="center"/>
            <w:hideMark/>
          </w:tcPr>
          <w:p w14:paraId="205F2C4D" w14:textId="77777777" w:rsidR="00126D8D" w:rsidRPr="004A4899" w:rsidRDefault="00126D8D" w:rsidP="00820288">
            <w:pPr>
              <w:spacing w:line="240" w:lineRule="auto"/>
              <w:jc w:val="right"/>
              <w:rPr>
                <w:rFonts w:ascii="Times New Roman" w:hAnsi="Times New Roman" w:cs="Times New Roman"/>
                <w:sz w:val="13"/>
                <w:szCs w:val="13"/>
              </w:rPr>
            </w:pPr>
            <w:r w:rsidRPr="004A4899">
              <w:rPr>
                <w:rFonts w:ascii="Times New Roman" w:hAnsi="Times New Roman" w:cs="Times New Roman"/>
                <w:sz w:val="13"/>
                <w:szCs w:val="13"/>
              </w:rPr>
              <w:t>8.98</w:t>
            </w:r>
          </w:p>
        </w:tc>
        <w:tc>
          <w:tcPr>
            <w:tcW w:w="239" w:type="dxa"/>
            <w:noWrap/>
            <w:vAlign w:val="center"/>
            <w:hideMark/>
          </w:tcPr>
          <w:p w14:paraId="7E333A45" w14:textId="77777777" w:rsidR="00126D8D" w:rsidRPr="004A4899" w:rsidRDefault="00126D8D" w:rsidP="00820288">
            <w:pPr>
              <w:spacing w:line="240" w:lineRule="auto"/>
              <w:rPr>
                <w:rFonts w:ascii="Times New Roman" w:hAnsi="Times New Roman" w:cs="Times New Roman"/>
                <w:sz w:val="13"/>
                <w:szCs w:val="13"/>
              </w:rPr>
            </w:pPr>
            <w:r w:rsidRPr="004A4899">
              <w:rPr>
                <w:rFonts w:ascii="Times New Roman" w:hAnsi="Times New Roman" w:cs="Times New Roman"/>
                <w:sz w:val="13"/>
                <w:szCs w:val="13"/>
              </w:rPr>
              <w:t>c</w:t>
            </w:r>
          </w:p>
        </w:tc>
        <w:tc>
          <w:tcPr>
            <w:tcW w:w="377" w:type="dxa"/>
            <w:noWrap/>
            <w:vAlign w:val="center"/>
            <w:hideMark/>
          </w:tcPr>
          <w:p w14:paraId="0E4F6108" w14:textId="77777777" w:rsidR="00126D8D" w:rsidRPr="004A4899" w:rsidRDefault="00126D8D" w:rsidP="00820288">
            <w:pPr>
              <w:spacing w:line="240" w:lineRule="auto"/>
              <w:jc w:val="right"/>
              <w:rPr>
                <w:rFonts w:ascii="Times New Roman" w:hAnsi="Times New Roman" w:cs="Times New Roman"/>
                <w:sz w:val="13"/>
                <w:szCs w:val="13"/>
              </w:rPr>
            </w:pPr>
            <w:r w:rsidRPr="004A4899">
              <w:rPr>
                <w:rFonts w:ascii="Times New Roman" w:hAnsi="Times New Roman" w:cs="Times New Roman"/>
                <w:sz w:val="13"/>
                <w:szCs w:val="13"/>
              </w:rPr>
              <w:t>14.86</w:t>
            </w:r>
          </w:p>
        </w:tc>
        <w:tc>
          <w:tcPr>
            <w:tcW w:w="273" w:type="dxa"/>
            <w:noWrap/>
            <w:vAlign w:val="center"/>
            <w:hideMark/>
          </w:tcPr>
          <w:p w14:paraId="164A1C0B" w14:textId="77777777" w:rsidR="00126D8D" w:rsidRPr="004A4899" w:rsidRDefault="00126D8D" w:rsidP="00820288">
            <w:pPr>
              <w:spacing w:line="240" w:lineRule="auto"/>
              <w:rPr>
                <w:rFonts w:ascii="Times New Roman" w:hAnsi="Times New Roman" w:cs="Times New Roman"/>
                <w:sz w:val="13"/>
                <w:szCs w:val="13"/>
              </w:rPr>
            </w:pPr>
            <w:r w:rsidRPr="004A4899">
              <w:rPr>
                <w:rFonts w:ascii="Times New Roman" w:hAnsi="Times New Roman" w:cs="Times New Roman"/>
                <w:sz w:val="13"/>
                <w:szCs w:val="13"/>
              </w:rPr>
              <w:t>bc</w:t>
            </w:r>
          </w:p>
        </w:tc>
        <w:tc>
          <w:tcPr>
            <w:tcW w:w="377" w:type="dxa"/>
            <w:noWrap/>
            <w:vAlign w:val="center"/>
            <w:hideMark/>
          </w:tcPr>
          <w:p w14:paraId="342284F3" w14:textId="77777777" w:rsidR="00126D8D" w:rsidRPr="004A4899" w:rsidRDefault="00126D8D" w:rsidP="00820288">
            <w:pPr>
              <w:spacing w:line="240" w:lineRule="auto"/>
              <w:jc w:val="right"/>
              <w:rPr>
                <w:rFonts w:ascii="Times New Roman" w:hAnsi="Times New Roman" w:cs="Times New Roman"/>
                <w:sz w:val="13"/>
                <w:szCs w:val="13"/>
              </w:rPr>
            </w:pPr>
            <w:r w:rsidRPr="004A4899">
              <w:rPr>
                <w:rFonts w:ascii="Times New Roman" w:hAnsi="Times New Roman" w:cs="Times New Roman"/>
                <w:sz w:val="13"/>
                <w:szCs w:val="13"/>
              </w:rPr>
              <w:t>35.66</w:t>
            </w:r>
          </w:p>
        </w:tc>
        <w:tc>
          <w:tcPr>
            <w:tcW w:w="273" w:type="dxa"/>
            <w:noWrap/>
            <w:vAlign w:val="center"/>
            <w:hideMark/>
          </w:tcPr>
          <w:p w14:paraId="2B532589" w14:textId="77777777" w:rsidR="00126D8D" w:rsidRPr="004A4899" w:rsidRDefault="00126D8D" w:rsidP="00820288">
            <w:pPr>
              <w:spacing w:line="240" w:lineRule="auto"/>
              <w:rPr>
                <w:rFonts w:ascii="Times New Roman" w:hAnsi="Times New Roman" w:cs="Times New Roman"/>
                <w:sz w:val="13"/>
                <w:szCs w:val="13"/>
              </w:rPr>
            </w:pPr>
            <w:r w:rsidRPr="004A4899">
              <w:rPr>
                <w:rFonts w:ascii="Times New Roman" w:hAnsi="Times New Roman" w:cs="Times New Roman"/>
                <w:sz w:val="13"/>
                <w:szCs w:val="13"/>
              </w:rPr>
              <w:t>a</w:t>
            </w:r>
          </w:p>
        </w:tc>
        <w:tc>
          <w:tcPr>
            <w:tcW w:w="377" w:type="dxa"/>
            <w:noWrap/>
            <w:vAlign w:val="center"/>
            <w:hideMark/>
          </w:tcPr>
          <w:p w14:paraId="2FD3C8A5" w14:textId="77777777" w:rsidR="00126D8D" w:rsidRPr="004A4899" w:rsidRDefault="00126D8D" w:rsidP="00820288">
            <w:pPr>
              <w:spacing w:line="240" w:lineRule="auto"/>
              <w:jc w:val="right"/>
              <w:rPr>
                <w:rFonts w:ascii="Times New Roman" w:hAnsi="Times New Roman" w:cs="Times New Roman"/>
                <w:sz w:val="13"/>
                <w:szCs w:val="13"/>
              </w:rPr>
            </w:pPr>
            <w:r w:rsidRPr="004A4899">
              <w:rPr>
                <w:rFonts w:ascii="Times New Roman" w:hAnsi="Times New Roman" w:cs="Times New Roman"/>
                <w:sz w:val="13"/>
                <w:szCs w:val="13"/>
              </w:rPr>
              <w:t>16.99</w:t>
            </w:r>
          </w:p>
        </w:tc>
        <w:tc>
          <w:tcPr>
            <w:tcW w:w="326" w:type="dxa"/>
            <w:noWrap/>
            <w:vAlign w:val="center"/>
            <w:hideMark/>
          </w:tcPr>
          <w:p w14:paraId="6AC52D8B" w14:textId="77777777" w:rsidR="00126D8D" w:rsidRPr="004A4899" w:rsidRDefault="00126D8D" w:rsidP="00820288">
            <w:pPr>
              <w:spacing w:line="240" w:lineRule="auto"/>
              <w:rPr>
                <w:rFonts w:ascii="Times New Roman" w:hAnsi="Times New Roman" w:cs="Times New Roman"/>
                <w:sz w:val="13"/>
                <w:szCs w:val="13"/>
              </w:rPr>
            </w:pPr>
            <w:r w:rsidRPr="004A4899">
              <w:rPr>
                <w:rFonts w:ascii="Times New Roman" w:hAnsi="Times New Roman" w:cs="Times New Roman"/>
                <w:sz w:val="13"/>
                <w:szCs w:val="13"/>
              </w:rPr>
              <w:t>abc</w:t>
            </w:r>
          </w:p>
        </w:tc>
        <w:tc>
          <w:tcPr>
            <w:tcW w:w="377" w:type="dxa"/>
            <w:noWrap/>
            <w:vAlign w:val="center"/>
            <w:hideMark/>
          </w:tcPr>
          <w:p w14:paraId="297111E7" w14:textId="77777777" w:rsidR="00126D8D" w:rsidRPr="004A4899" w:rsidRDefault="00126D8D" w:rsidP="00820288">
            <w:pPr>
              <w:spacing w:line="240" w:lineRule="auto"/>
              <w:jc w:val="right"/>
              <w:rPr>
                <w:rFonts w:ascii="Times New Roman" w:hAnsi="Times New Roman" w:cs="Times New Roman"/>
                <w:sz w:val="13"/>
                <w:szCs w:val="13"/>
              </w:rPr>
            </w:pPr>
            <w:r w:rsidRPr="004A4899">
              <w:rPr>
                <w:rFonts w:ascii="Times New Roman" w:hAnsi="Times New Roman" w:cs="Times New Roman"/>
                <w:sz w:val="13"/>
                <w:szCs w:val="13"/>
              </w:rPr>
              <w:t>24.25</w:t>
            </w:r>
          </w:p>
        </w:tc>
        <w:tc>
          <w:tcPr>
            <w:tcW w:w="326" w:type="dxa"/>
            <w:noWrap/>
            <w:vAlign w:val="center"/>
            <w:hideMark/>
          </w:tcPr>
          <w:p w14:paraId="71C88DAD" w14:textId="77777777" w:rsidR="00126D8D" w:rsidRPr="004A4899" w:rsidRDefault="00126D8D" w:rsidP="00820288">
            <w:pPr>
              <w:spacing w:line="240" w:lineRule="auto"/>
              <w:rPr>
                <w:rFonts w:ascii="Times New Roman" w:hAnsi="Times New Roman" w:cs="Times New Roman"/>
                <w:sz w:val="13"/>
                <w:szCs w:val="13"/>
              </w:rPr>
            </w:pPr>
            <w:r w:rsidRPr="004A4899">
              <w:rPr>
                <w:rFonts w:ascii="Times New Roman" w:hAnsi="Times New Roman" w:cs="Times New Roman"/>
                <w:sz w:val="13"/>
                <w:szCs w:val="13"/>
              </w:rPr>
              <w:t>abc</w:t>
            </w:r>
          </w:p>
        </w:tc>
        <w:tc>
          <w:tcPr>
            <w:tcW w:w="377" w:type="dxa"/>
            <w:noWrap/>
            <w:vAlign w:val="center"/>
            <w:hideMark/>
          </w:tcPr>
          <w:p w14:paraId="35F01FFB" w14:textId="77777777" w:rsidR="00126D8D" w:rsidRPr="004A4899" w:rsidRDefault="00126D8D" w:rsidP="00820288">
            <w:pPr>
              <w:spacing w:line="240" w:lineRule="auto"/>
              <w:jc w:val="right"/>
              <w:rPr>
                <w:rFonts w:ascii="Times New Roman" w:hAnsi="Times New Roman" w:cs="Times New Roman"/>
                <w:sz w:val="13"/>
                <w:szCs w:val="13"/>
              </w:rPr>
            </w:pPr>
            <w:r w:rsidRPr="004A4899">
              <w:rPr>
                <w:rFonts w:ascii="Times New Roman" w:hAnsi="Times New Roman" w:cs="Times New Roman"/>
                <w:sz w:val="13"/>
                <w:szCs w:val="13"/>
              </w:rPr>
              <w:t>35.60</w:t>
            </w:r>
          </w:p>
        </w:tc>
        <w:tc>
          <w:tcPr>
            <w:tcW w:w="219" w:type="dxa"/>
            <w:noWrap/>
            <w:vAlign w:val="center"/>
            <w:hideMark/>
          </w:tcPr>
          <w:p w14:paraId="5807BD05" w14:textId="77777777" w:rsidR="00126D8D" w:rsidRPr="004A4899" w:rsidRDefault="00126D8D" w:rsidP="00820288">
            <w:pPr>
              <w:spacing w:line="240" w:lineRule="auto"/>
              <w:rPr>
                <w:rFonts w:ascii="Times New Roman" w:hAnsi="Times New Roman" w:cs="Times New Roman"/>
                <w:sz w:val="13"/>
                <w:szCs w:val="13"/>
              </w:rPr>
            </w:pPr>
            <w:r w:rsidRPr="004A4899">
              <w:rPr>
                <w:rFonts w:ascii="Times New Roman" w:hAnsi="Times New Roman" w:cs="Times New Roman"/>
                <w:sz w:val="13"/>
                <w:szCs w:val="13"/>
              </w:rPr>
              <w:t>a</w:t>
            </w:r>
          </w:p>
        </w:tc>
        <w:tc>
          <w:tcPr>
            <w:tcW w:w="377" w:type="dxa"/>
            <w:noWrap/>
            <w:vAlign w:val="center"/>
            <w:hideMark/>
          </w:tcPr>
          <w:p w14:paraId="3BEB44AE" w14:textId="77777777" w:rsidR="00126D8D" w:rsidRPr="004A4899" w:rsidRDefault="00126D8D" w:rsidP="00820288">
            <w:pPr>
              <w:spacing w:line="240" w:lineRule="auto"/>
              <w:jc w:val="right"/>
              <w:rPr>
                <w:rFonts w:ascii="Times New Roman" w:hAnsi="Times New Roman" w:cs="Times New Roman"/>
                <w:sz w:val="13"/>
                <w:szCs w:val="13"/>
              </w:rPr>
            </w:pPr>
            <w:r w:rsidRPr="004A4899">
              <w:rPr>
                <w:rFonts w:ascii="Times New Roman" w:hAnsi="Times New Roman" w:cs="Times New Roman"/>
                <w:sz w:val="13"/>
                <w:szCs w:val="13"/>
              </w:rPr>
              <w:t>31.24</w:t>
            </w:r>
          </w:p>
        </w:tc>
        <w:tc>
          <w:tcPr>
            <w:tcW w:w="159" w:type="dxa"/>
            <w:noWrap/>
            <w:vAlign w:val="center"/>
            <w:hideMark/>
          </w:tcPr>
          <w:p w14:paraId="4BB69536" w14:textId="77777777" w:rsidR="00126D8D" w:rsidRPr="004A4899" w:rsidRDefault="00126D8D" w:rsidP="00820288">
            <w:pPr>
              <w:spacing w:line="240" w:lineRule="auto"/>
              <w:rPr>
                <w:rFonts w:ascii="Times New Roman" w:hAnsi="Times New Roman" w:cs="Times New Roman"/>
                <w:sz w:val="13"/>
                <w:szCs w:val="13"/>
              </w:rPr>
            </w:pPr>
            <w:r w:rsidRPr="004A4899">
              <w:rPr>
                <w:rFonts w:ascii="Times New Roman" w:hAnsi="Times New Roman" w:cs="Times New Roman"/>
                <w:sz w:val="13"/>
                <w:szCs w:val="13"/>
              </w:rPr>
              <w:t>ab</w:t>
            </w:r>
          </w:p>
        </w:tc>
        <w:tc>
          <w:tcPr>
            <w:tcW w:w="377" w:type="dxa"/>
            <w:noWrap/>
            <w:vAlign w:val="center"/>
            <w:hideMark/>
          </w:tcPr>
          <w:p w14:paraId="368715D4" w14:textId="77777777" w:rsidR="00126D8D" w:rsidRPr="004A4899" w:rsidRDefault="00126D8D" w:rsidP="00820288">
            <w:pPr>
              <w:spacing w:line="240" w:lineRule="auto"/>
              <w:jc w:val="right"/>
              <w:rPr>
                <w:rFonts w:ascii="Times New Roman" w:hAnsi="Times New Roman" w:cs="Times New Roman"/>
                <w:sz w:val="13"/>
                <w:szCs w:val="13"/>
              </w:rPr>
            </w:pPr>
            <w:r w:rsidRPr="004A4899">
              <w:rPr>
                <w:rFonts w:ascii="Times New Roman" w:hAnsi="Times New Roman" w:cs="Times New Roman"/>
                <w:sz w:val="13"/>
                <w:szCs w:val="13"/>
              </w:rPr>
              <w:t>22.96</w:t>
            </w:r>
          </w:p>
        </w:tc>
        <w:tc>
          <w:tcPr>
            <w:tcW w:w="326" w:type="dxa"/>
            <w:noWrap/>
            <w:vAlign w:val="center"/>
            <w:hideMark/>
          </w:tcPr>
          <w:p w14:paraId="775D3E5A" w14:textId="77777777" w:rsidR="00126D8D" w:rsidRPr="004A4899" w:rsidRDefault="00126D8D" w:rsidP="00820288">
            <w:pPr>
              <w:spacing w:line="240" w:lineRule="auto"/>
              <w:rPr>
                <w:rFonts w:ascii="Times New Roman" w:hAnsi="Times New Roman" w:cs="Times New Roman"/>
                <w:sz w:val="13"/>
                <w:szCs w:val="13"/>
              </w:rPr>
            </w:pPr>
            <w:r w:rsidRPr="004A4899">
              <w:rPr>
                <w:rFonts w:ascii="Times New Roman" w:hAnsi="Times New Roman" w:cs="Times New Roman"/>
                <w:sz w:val="13"/>
                <w:szCs w:val="13"/>
              </w:rPr>
              <w:t>abc</w:t>
            </w:r>
          </w:p>
        </w:tc>
        <w:tc>
          <w:tcPr>
            <w:tcW w:w="377" w:type="dxa"/>
            <w:noWrap/>
            <w:vAlign w:val="center"/>
            <w:hideMark/>
          </w:tcPr>
          <w:p w14:paraId="4F2E08D1" w14:textId="77777777" w:rsidR="00126D8D" w:rsidRPr="004A4899" w:rsidRDefault="00126D8D" w:rsidP="00820288">
            <w:pPr>
              <w:spacing w:line="240" w:lineRule="auto"/>
              <w:jc w:val="right"/>
              <w:rPr>
                <w:rFonts w:ascii="Times New Roman" w:hAnsi="Times New Roman" w:cs="Times New Roman"/>
                <w:sz w:val="13"/>
                <w:szCs w:val="13"/>
              </w:rPr>
            </w:pPr>
            <w:r w:rsidRPr="004A4899">
              <w:rPr>
                <w:rFonts w:ascii="Times New Roman" w:hAnsi="Times New Roman" w:cs="Times New Roman"/>
                <w:sz w:val="13"/>
                <w:szCs w:val="13"/>
              </w:rPr>
              <w:t>17.61</w:t>
            </w:r>
          </w:p>
        </w:tc>
        <w:tc>
          <w:tcPr>
            <w:tcW w:w="252" w:type="dxa"/>
            <w:noWrap/>
            <w:vAlign w:val="center"/>
            <w:hideMark/>
          </w:tcPr>
          <w:p w14:paraId="34151929" w14:textId="77777777" w:rsidR="00126D8D" w:rsidRPr="004A4899" w:rsidRDefault="00126D8D" w:rsidP="00820288">
            <w:pPr>
              <w:spacing w:line="240" w:lineRule="auto"/>
              <w:rPr>
                <w:rFonts w:ascii="Times New Roman" w:hAnsi="Times New Roman" w:cs="Times New Roman"/>
                <w:sz w:val="13"/>
                <w:szCs w:val="13"/>
              </w:rPr>
            </w:pPr>
            <w:r w:rsidRPr="004A4899">
              <w:rPr>
                <w:rFonts w:ascii="Times New Roman" w:hAnsi="Times New Roman" w:cs="Times New Roman"/>
                <w:sz w:val="13"/>
                <w:szCs w:val="13"/>
              </w:rPr>
              <w:t>abc</w:t>
            </w:r>
          </w:p>
        </w:tc>
        <w:tc>
          <w:tcPr>
            <w:tcW w:w="377" w:type="dxa"/>
            <w:noWrap/>
            <w:vAlign w:val="center"/>
            <w:hideMark/>
          </w:tcPr>
          <w:p w14:paraId="28730E91" w14:textId="77777777" w:rsidR="00126D8D" w:rsidRPr="004A4899" w:rsidRDefault="00126D8D" w:rsidP="00820288">
            <w:pPr>
              <w:spacing w:line="240" w:lineRule="auto"/>
              <w:jc w:val="right"/>
              <w:rPr>
                <w:rFonts w:ascii="Times New Roman" w:hAnsi="Times New Roman" w:cs="Times New Roman"/>
                <w:sz w:val="13"/>
                <w:szCs w:val="13"/>
              </w:rPr>
            </w:pPr>
            <w:r w:rsidRPr="004A4899">
              <w:rPr>
                <w:rFonts w:ascii="Times New Roman" w:hAnsi="Times New Roman" w:cs="Times New Roman"/>
                <w:sz w:val="13"/>
                <w:szCs w:val="13"/>
              </w:rPr>
              <w:t>20.19</w:t>
            </w:r>
          </w:p>
        </w:tc>
        <w:tc>
          <w:tcPr>
            <w:tcW w:w="273" w:type="dxa"/>
            <w:noWrap/>
            <w:vAlign w:val="center"/>
            <w:hideMark/>
          </w:tcPr>
          <w:p w14:paraId="61028DE4" w14:textId="77777777" w:rsidR="00126D8D" w:rsidRPr="004A4899" w:rsidRDefault="00126D8D" w:rsidP="00820288">
            <w:pPr>
              <w:spacing w:line="240" w:lineRule="auto"/>
              <w:rPr>
                <w:rFonts w:ascii="Times New Roman" w:hAnsi="Times New Roman" w:cs="Times New Roman"/>
                <w:sz w:val="13"/>
                <w:szCs w:val="13"/>
              </w:rPr>
            </w:pPr>
            <w:r w:rsidRPr="004A4899">
              <w:rPr>
                <w:rFonts w:ascii="Times New Roman" w:hAnsi="Times New Roman" w:cs="Times New Roman"/>
                <w:sz w:val="13"/>
                <w:szCs w:val="13"/>
              </w:rPr>
              <w:t>abc</w:t>
            </w:r>
          </w:p>
        </w:tc>
        <w:tc>
          <w:tcPr>
            <w:tcW w:w="377" w:type="dxa"/>
            <w:noWrap/>
            <w:vAlign w:val="center"/>
            <w:hideMark/>
          </w:tcPr>
          <w:p w14:paraId="3A0A4D07" w14:textId="77777777" w:rsidR="00126D8D" w:rsidRPr="004A4899" w:rsidRDefault="00126D8D" w:rsidP="00820288">
            <w:pPr>
              <w:spacing w:line="240" w:lineRule="auto"/>
              <w:jc w:val="right"/>
              <w:rPr>
                <w:rFonts w:ascii="Times New Roman" w:hAnsi="Times New Roman" w:cs="Times New Roman"/>
                <w:sz w:val="13"/>
                <w:szCs w:val="13"/>
              </w:rPr>
            </w:pPr>
            <w:r w:rsidRPr="004A4899">
              <w:rPr>
                <w:rFonts w:ascii="Times New Roman" w:hAnsi="Times New Roman" w:cs="Times New Roman"/>
                <w:sz w:val="13"/>
                <w:szCs w:val="13"/>
              </w:rPr>
              <w:t>14.70</w:t>
            </w:r>
          </w:p>
        </w:tc>
        <w:tc>
          <w:tcPr>
            <w:tcW w:w="273" w:type="dxa"/>
            <w:noWrap/>
            <w:vAlign w:val="center"/>
            <w:hideMark/>
          </w:tcPr>
          <w:p w14:paraId="3839E048" w14:textId="77777777" w:rsidR="00126D8D" w:rsidRPr="004A4899" w:rsidRDefault="00126D8D" w:rsidP="00820288">
            <w:pPr>
              <w:spacing w:line="240" w:lineRule="auto"/>
              <w:rPr>
                <w:rFonts w:ascii="Times New Roman" w:hAnsi="Times New Roman" w:cs="Times New Roman"/>
                <w:sz w:val="13"/>
                <w:szCs w:val="13"/>
              </w:rPr>
            </w:pPr>
            <w:r w:rsidRPr="004A4899">
              <w:rPr>
                <w:rFonts w:ascii="Times New Roman" w:hAnsi="Times New Roman" w:cs="Times New Roman"/>
                <w:sz w:val="13"/>
                <w:szCs w:val="13"/>
              </w:rPr>
              <w:t>abc</w:t>
            </w:r>
          </w:p>
        </w:tc>
      </w:tr>
      <w:tr w:rsidR="00126D8D" w:rsidRPr="004A4899" w14:paraId="3764DEB4" w14:textId="77777777" w:rsidTr="00820288">
        <w:trPr>
          <w:trHeight w:val="173"/>
        </w:trPr>
        <w:tc>
          <w:tcPr>
            <w:tcW w:w="1440" w:type="dxa"/>
            <w:noWrap/>
            <w:vAlign w:val="center"/>
            <w:hideMark/>
          </w:tcPr>
          <w:p w14:paraId="749B4181" w14:textId="77777777" w:rsidR="00126D8D" w:rsidRPr="004A4899" w:rsidRDefault="00126D8D" w:rsidP="00820288">
            <w:pPr>
              <w:spacing w:line="240" w:lineRule="auto"/>
              <w:rPr>
                <w:rFonts w:ascii="Times New Roman" w:hAnsi="Times New Roman" w:cs="Times New Roman"/>
                <w:sz w:val="12"/>
                <w:szCs w:val="12"/>
              </w:rPr>
            </w:pPr>
            <w:r w:rsidRPr="004A4899">
              <w:rPr>
                <w:rFonts w:ascii="Times New Roman" w:hAnsi="Times New Roman" w:cs="Times New Roman"/>
                <w:sz w:val="12"/>
                <w:szCs w:val="12"/>
              </w:rPr>
              <w:t>2-Methyl-2-hepten-4-yne</w:t>
            </w:r>
          </w:p>
        </w:tc>
        <w:tc>
          <w:tcPr>
            <w:tcW w:w="377" w:type="dxa"/>
            <w:noWrap/>
            <w:vAlign w:val="center"/>
            <w:hideMark/>
          </w:tcPr>
          <w:p w14:paraId="032CEAF4" w14:textId="77777777" w:rsidR="00126D8D" w:rsidRPr="004A4899" w:rsidRDefault="00126D8D" w:rsidP="00820288">
            <w:pPr>
              <w:spacing w:line="240" w:lineRule="auto"/>
              <w:jc w:val="right"/>
              <w:rPr>
                <w:rFonts w:ascii="Times New Roman" w:hAnsi="Times New Roman" w:cs="Times New Roman"/>
                <w:sz w:val="13"/>
                <w:szCs w:val="13"/>
              </w:rPr>
            </w:pPr>
            <w:r w:rsidRPr="004A4899">
              <w:rPr>
                <w:rFonts w:ascii="Times New Roman" w:hAnsi="Times New Roman" w:cs="Times New Roman"/>
                <w:sz w:val="13"/>
                <w:szCs w:val="13"/>
              </w:rPr>
              <w:t>7.40</w:t>
            </w:r>
          </w:p>
        </w:tc>
        <w:tc>
          <w:tcPr>
            <w:tcW w:w="274" w:type="dxa"/>
            <w:noWrap/>
            <w:vAlign w:val="center"/>
            <w:hideMark/>
          </w:tcPr>
          <w:p w14:paraId="6D3E3422" w14:textId="77777777" w:rsidR="00126D8D" w:rsidRPr="004A4899" w:rsidRDefault="00126D8D" w:rsidP="00820288">
            <w:pPr>
              <w:spacing w:line="240" w:lineRule="auto"/>
              <w:rPr>
                <w:rFonts w:ascii="Times New Roman" w:hAnsi="Times New Roman" w:cs="Times New Roman"/>
                <w:sz w:val="13"/>
                <w:szCs w:val="13"/>
              </w:rPr>
            </w:pPr>
            <w:r w:rsidRPr="004A4899">
              <w:rPr>
                <w:rFonts w:ascii="Times New Roman" w:hAnsi="Times New Roman" w:cs="Times New Roman"/>
                <w:sz w:val="13"/>
                <w:szCs w:val="13"/>
              </w:rPr>
              <w:t>cde</w:t>
            </w:r>
          </w:p>
        </w:tc>
        <w:tc>
          <w:tcPr>
            <w:tcW w:w="411" w:type="dxa"/>
            <w:noWrap/>
            <w:vAlign w:val="center"/>
            <w:hideMark/>
          </w:tcPr>
          <w:p w14:paraId="0662DD9D" w14:textId="77777777" w:rsidR="00126D8D" w:rsidRPr="004A4899" w:rsidRDefault="00126D8D" w:rsidP="00820288">
            <w:pPr>
              <w:spacing w:line="240" w:lineRule="auto"/>
              <w:jc w:val="right"/>
              <w:rPr>
                <w:rFonts w:ascii="Times New Roman" w:hAnsi="Times New Roman" w:cs="Times New Roman"/>
                <w:sz w:val="13"/>
                <w:szCs w:val="13"/>
              </w:rPr>
            </w:pPr>
            <w:r w:rsidRPr="004A4899">
              <w:rPr>
                <w:rFonts w:ascii="Times New Roman" w:hAnsi="Times New Roman" w:cs="Times New Roman"/>
                <w:sz w:val="13"/>
                <w:szCs w:val="13"/>
              </w:rPr>
              <w:t>5.52</w:t>
            </w:r>
          </w:p>
        </w:tc>
        <w:tc>
          <w:tcPr>
            <w:tcW w:w="239" w:type="dxa"/>
            <w:noWrap/>
            <w:vAlign w:val="center"/>
            <w:hideMark/>
          </w:tcPr>
          <w:p w14:paraId="19DC91C0" w14:textId="77777777" w:rsidR="00126D8D" w:rsidRPr="004A4899" w:rsidRDefault="00126D8D" w:rsidP="00820288">
            <w:pPr>
              <w:spacing w:line="240" w:lineRule="auto"/>
              <w:rPr>
                <w:rFonts w:ascii="Times New Roman" w:hAnsi="Times New Roman" w:cs="Times New Roman"/>
                <w:sz w:val="13"/>
                <w:szCs w:val="13"/>
              </w:rPr>
            </w:pPr>
            <w:r w:rsidRPr="004A4899">
              <w:rPr>
                <w:rFonts w:ascii="Times New Roman" w:hAnsi="Times New Roman" w:cs="Times New Roman"/>
                <w:sz w:val="13"/>
                <w:szCs w:val="13"/>
              </w:rPr>
              <w:t>e</w:t>
            </w:r>
          </w:p>
        </w:tc>
        <w:tc>
          <w:tcPr>
            <w:tcW w:w="377" w:type="dxa"/>
            <w:noWrap/>
            <w:vAlign w:val="center"/>
            <w:hideMark/>
          </w:tcPr>
          <w:p w14:paraId="3DD031B1" w14:textId="77777777" w:rsidR="00126D8D" w:rsidRPr="004A4899" w:rsidRDefault="00126D8D" w:rsidP="00820288">
            <w:pPr>
              <w:spacing w:line="240" w:lineRule="auto"/>
              <w:jc w:val="right"/>
              <w:rPr>
                <w:rFonts w:ascii="Times New Roman" w:hAnsi="Times New Roman" w:cs="Times New Roman"/>
                <w:sz w:val="13"/>
                <w:szCs w:val="13"/>
              </w:rPr>
            </w:pPr>
            <w:r w:rsidRPr="004A4899">
              <w:rPr>
                <w:rFonts w:ascii="Times New Roman" w:hAnsi="Times New Roman" w:cs="Times New Roman"/>
                <w:sz w:val="13"/>
                <w:szCs w:val="13"/>
              </w:rPr>
              <w:t>6.74</w:t>
            </w:r>
          </w:p>
        </w:tc>
        <w:tc>
          <w:tcPr>
            <w:tcW w:w="273" w:type="dxa"/>
            <w:noWrap/>
            <w:vAlign w:val="center"/>
            <w:hideMark/>
          </w:tcPr>
          <w:p w14:paraId="770F1CF4" w14:textId="77777777" w:rsidR="00126D8D" w:rsidRPr="004A4899" w:rsidRDefault="00126D8D" w:rsidP="00820288">
            <w:pPr>
              <w:spacing w:line="240" w:lineRule="auto"/>
              <w:rPr>
                <w:rFonts w:ascii="Times New Roman" w:hAnsi="Times New Roman" w:cs="Times New Roman"/>
                <w:sz w:val="13"/>
                <w:szCs w:val="13"/>
              </w:rPr>
            </w:pPr>
            <w:r w:rsidRPr="004A4899">
              <w:rPr>
                <w:rFonts w:ascii="Times New Roman" w:hAnsi="Times New Roman" w:cs="Times New Roman"/>
                <w:sz w:val="13"/>
                <w:szCs w:val="13"/>
              </w:rPr>
              <w:t>de</w:t>
            </w:r>
          </w:p>
        </w:tc>
        <w:tc>
          <w:tcPr>
            <w:tcW w:w="377" w:type="dxa"/>
            <w:noWrap/>
            <w:vAlign w:val="center"/>
            <w:hideMark/>
          </w:tcPr>
          <w:p w14:paraId="19D6ABB0" w14:textId="77777777" w:rsidR="00126D8D" w:rsidRPr="004A4899" w:rsidRDefault="00126D8D" w:rsidP="00820288">
            <w:pPr>
              <w:spacing w:line="240" w:lineRule="auto"/>
              <w:jc w:val="right"/>
              <w:rPr>
                <w:rFonts w:ascii="Times New Roman" w:hAnsi="Times New Roman" w:cs="Times New Roman"/>
                <w:sz w:val="13"/>
                <w:szCs w:val="13"/>
              </w:rPr>
            </w:pPr>
            <w:r w:rsidRPr="004A4899">
              <w:rPr>
                <w:rFonts w:ascii="Times New Roman" w:hAnsi="Times New Roman" w:cs="Times New Roman"/>
                <w:sz w:val="13"/>
                <w:szCs w:val="13"/>
              </w:rPr>
              <w:t>8.27</w:t>
            </w:r>
          </w:p>
        </w:tc>
        <w:tc>
          <w:tcPr>
            <w:tcW w:w="273" w:type="dxa"/>
            <w:noWrap/>
            <w:vAlign w:val="center"/>
            <w:hideMark/>
          </w:tcPr>
          <w:p w14:paraId="5B8539E8" w14:textId="77777777" w:rsidR="00126D8D" w:rsidRPr="004A4899" w:rsidRDefault="00126D8D" w:rsidP="00820288">
            <w:pPr>
              <w:spacing w:line="240" w:lineRule="auto"/>
              <w:rPr>
                <w:rFonts w:ascii="Times New Roman" w:hAnsi="Times New Roman" w:cs="Times New Roman"/>
                <w:sz w:val="13"/>
                <w:szCs w:val="13"/>
              </w:rPr>
            </w:pPr>
            <w:r w:rsidRPr="004A4899">
              <w:rPr>
                <w:rFonts w:ascii="Times New Roman" w:hAnsi="Times New Roman" w:cs="Times New Roman"/>
                <w:sz w:val="13"/>
                <w:szCs w:val="13"/>
              </w:rPr>
              <w:t>bcd</w:t>
            </w:r>
          </w:p>
        </w:tc>
        <w:tc>
          <w:tcPr>
            <w:tcW w:w="377" w:type="dxa"/>
            <w:noWrap/>
            <w:vAlign w:val="center"/>
            <w:hideMark/>
          </w:tcPr>
          <w:p w14:paraId="210B5140" w14:textId="77777777" w:rsidR="00126D8D" w:rsidRPr="004A4899" w:rsidRDefault="00126D8D" w:rsidP="00820288">
            <w:pPr>
              <w:spacing w:line="240" w:lineRule="auto"/>
              <w:jc w:val="right"/>
              <w:rPr>
                <w:rFonts w:ascii="Times New Roman" w:hAnsi="Times New Roman" w:cs="Times New Roman"/>
                <w:sz w:val="13"/>
                <w:szCs w:val="13"/>
              </w:rPr>
            </w:pPr>
            <w:r w:rsidRPr="004A4899">
              <w:rPr>
                <w:rFonts w:ascii="Times New Roman" w:hAnsi="Times New Roman" w:cs="Times New Roman"/>
                <w:sz w:val="13"/>
                <w:szCs w:val="13"/>
              </w:rPr>
              <w:t>7.92</w:t>
            </w:r>
          </w:p>
        </w:tc>
        <w:tc>
          <w:tcPr>
            <w:tcW w:w="326" w:type="dxa"/>
            <w:noWrap/>
            <w:vAlign w:val="center"/>
            <w:hideMark/>
          </w:tcPr>
          <w:p w14:paraId="4A38C12B" w14:textId="77777777" w:rsidR="00126D8D" w:rsidRPr="004A4899" w:rsidRDefault="00126D8D" w:rsidP="00820288">
            <w:pPr>
              <w:spacing w:line="240" w:lineRule="auto"/>
              <w:rPr>
                <w:rFonts w:ascii="Times New Roman" w:hAnsi="Times New Roman" w:cs="Times New Roman"/>
                <w:sz w:val="13"/>
                <w:szCs w:val="13"/>
              </w:rPr>
            </w:pPr>
            <w:r w:rsidRPr="004A4899">
              <w:rPr>
                <w:rFonts w:ascii="Times New Roman" w:hAnsi="Times New Roman" w:cs="Times New Roman"/>
                <w:sz w:val="13"/>
                <w:szCs w:val="13"/>
              </w:rPr>
              <w:t>bcd</w:t>
            </w:r>
          </w:p>
        </w:tc>
        <w:tc>
          <w:tcPr>
            <w:tcW w:w="377" w:type="dxa"/>
            <w:noWrap/>
            <w:vAlign w:val="center"/>
            <w:hideMark/>
          </w:tcPr>
          <w:p w14:paraId="7E575BF2" w14:textId="77777777" w:rsidR="00126D8D" w:rsidRPr="004A4899" w:rsidRDefault="00126D8D" w:rsidP="00820288">
            <w:pPr>
              <w:spacing w:line="240" w:lineRule="auto"/>
              <w:jc w:val="right"/>
              <w:rPr>
                <w:rFonts w:ascii="Times New Roman" w:hAnsi="Times New Roman" w:cs="Times New Roman"/>
                <w:sz w:val="13"/>
                <w:szCs w:val="13"/>
              </w:rPr>
            </w:pPr>
            <w:r w:rsidRPr="004A4899">
              <w:rPr>
                <w:rFonts w:ascii="Times New Roman" w:hAnsi="Times New Roman" w:cs="Times New Roman"/>
                <w:sz w:val="13"/>
                <w:szCs w:val="13"/>
              </w:rPr>
              <w:t>7.34</w:t>
            </w:r>
          </w:p>
        </w:tc>
        <w:tc>
          <w:tcPr>
            <w:tcW w:w="326" w:type="dxa"/>
            <w:noWrap/>
            <w:vAlign w:val="center"/>
            <w:hideMark/>
          </w:tcPr>
          <w:p w14:paraId="786F3E22" w14:textId="77777777" w:rsidR="00126D8D" w:rsidRPr="004A4899" w:rsidRDefault="00126D8D" w:rsidP="00820288">
            <w:pPr>
              <w:spacing w:line="240" w:lineRule="auto"/>
              <w:rPr>
                <w:rFonts w:ascii="Times New Roman" w:hAnsi="Times New Roman" w:cs="Times New Roman"/>
                <w:sz w:val="13"/>
                <w:szCs w:val="13"/>
              </w:rPr>
            </w:pPr>
            <w:r w:rsidRPr="004A4899">
              <w:rPr>
                <w:rFonts w:ascii="Times New Roman" w:hAnsi="Times New Roman" w:cs="Times New Roman"/>
                <w:sz w:val="13"/>
                <w:szCs w:val="13"/>
              </w:rPr>
              <w:t>cde</w:t>
            </w:r>
          </w:p>
        </w:tc>
        <w:tc>
          <w:tcPr>
            <w:tcW w:w="377" w:type="dxa"/>
            <w:noWrap/>
            <w:vAlign w:val="center"/>
            <w:hideMark/>
          </w:tcPr>
          <w:p w14:paraId="5EAF9BDB" w14:textId="77777777" w:rsidR="00126D8D" w:rsidRPr="004A4899" w:rsidRDefault="00126D8D" w:rsidP="00820288">
            <w:pPr>
              <w:spacing w:line="240" w:lineRule="auto"/>
              <w:jc w:val="right"/>
              <w:rPr>
                <w:rFonts w:ascii="Times New Roman" w:hAnsi="Times New Roman" w:cs="Times New Roman"/>
                <w:sz w:val="13"/>
                <w:szCs w:val="13"/>
              </w:rPr>
            </w:pPr>
            <w:r w:rsidRPr="004A4899">
              <w:rPr>
                <w:rFonts w:ascii="Times New Roman" w:hAnsi="Times New Roman" w:cs="Times New Roman"/>
                <w:sz w:val="13"/>
                <w:szCs w:val="13"/>
              </w:rPr>
              <w:t>9.44</w:t>
            </w:r>
          </w:p>
        </w:tc>
        <w:tc>
          <w:tcPr>
            <w:tcW w:w="219" w:type="dxa"/>
            <w:noWrap/>
            <w:vAlign w:val="center"/>
            <w:hideMark/>
          </w:tcPr>
          <w:p w14:paraId="11FB03FE" w14:textId="77777777" w:rsidR="00126D8D" w:rsidRPr="004A4899" w:rsidRDefault="00126D8D" w:rsidP="00820288">
            <w:pPr>
              <w:spacing w:line="240" w:lineRule="auto"/>
              <w:rPr>
                <w:rFonts w:ascii="Times New Roman" w:hAnsi="Times New Roman" w:cs="Times New Roman"/>
                <w:sz w:val="13"/>
                <w:szCs w:val="13"/>
              </w:rPr>
            </w:pPr>
            <w:r w:rsidRPr="004A4899">
              <w:rPr>
                <w:rFonts w:ascii="Times New Roman" w:hAnsi="Times New Roman" w:cs="Times New Roman"/>
                <w:sz w:val="13"/>
                <w:szCs w:val="13"/>
              </w:rPr>
              <w:t>ab</w:t>
            </w:r>
          </w:p>
        </w:tc>
        <w:tc>
          <w:tcPr>
            <w:tcW w:w="377" w:type="dxa"/>
            <w:noWrap/>
            <w:vAlign w:val="center"/>
            <w:hideMark/>
          </w:tcPr>
          <w:p w14:paraId="65D4DC2C" w14:textId="77777777" w:rsidR="00126D8D" w:rsidRPr="004A4899" w:rsidRDefault="00126D8D" w:rsidP="00820288">
            <w:pPr>
              <w:spacing w:line="240" w:lineRule="auto"/>
              <w:jc w:val="right"/>
              <w:rPr>
                <w:rFonts w:ascii="Times New Roman" w:hAnsi="Times New Roman" w:cs="Times New Roman"/>
                <w:sz w:val="13"/>
                <w:szCs w:val="13"/>
              </w:rPr>
            </w:pPr>
            <w:r w:rsidRPr="004A4899">
              <w:rPr>
                <w:rFonts w:ascii="Times New Roman" w:hAnsi="Times New Roman" w:cs="Times New Roman"/>
                <w:sz w:val="13"/>
                <w:szCs w:val="13"/>
              </w:rPr>
              <w:t>10.20</w:t>
            </w:r>
          </w:p>
        </w:tc>
        <w:tc>
          <w:tcPr>
            <w:tcW w:w="159" w:type="dxa"/>
            <w:noWrap/>
            <w:vAlign w:val="center"/>
            <w:hideMark/>
          </w:tcPr>
          <w:p w14:paraId="320F66F7" w14:textId="77777777" w:rsidR="00126D8D" w:rsidRPr="004A4899" w:rsidRDefault="00126D8D" w:rsidP="00820288">
            <w:pPr>
              <w:spacing w:line="240" w:lineRule="auto"/>
              <w:rPr>
                <w:rFonts w:ascii="Times New Roman" w:hAnsi="Times New Roman" w:cs="Times New Roman"/>
                <w:sz w:val="13"/>
                <w:szCs w:val="13"/>
              </w:rPr>
            </w:pPr>
            <w:r w:rsidRPr="004A4899">
              <w:rPr>
                <w:rFonts w:ascii="Times New Roman" w:hAnsi="Times New Roman" w:cs="Times New Roman"/>
                <w:sz w:val="13"/>
                <w:szCs w:val="13"/>
              </w:rPr>
              <w:t>a</w:t>
            </w:r>
          </w:p>
        </w:tc>
        <w:tc>
          <w:tcPr>
            <w:tcW w:w="377" w:type="dxa"/>
            <w:noWrap/>
            <w:vAlign w:val="center"/>
            <w:hideMark/>
          </w:tcPr>
          <w:p w14:paraId="13EDE98D" w14:textId="77777777" w:rsidR="00126D8D" w:rsidRPr="004A4899" w:rsidRDefault="00126D8D" w:rsidP="00820288">
            <w:pPr>
              <w:spacing w:line="240" w:lineRule="auto"/>
              <w:jc w:val="right"/>
              <w:rPr>
                <w:rFonts w:ascii="Times New Roman" w:hAnsi="Times New Roman" w:cs="Times New Roman"/>
                <w:sz w:val="13"/>
                <w:szCs w:val="13"/>
              </w:rPr>
            </w:pPr>
            <w:r w:rsidRPr="004A4899">
              <w:rPr>
                <w:rFonts w:ascii="Times New Roman" w:hAnsi="Times New Roman" w:cs="Times New Roman"/>
                <w:sz w:val="13"/>
                <w:szCs w:val="13"/>
              </w:rPr>
              <w:t>8.72</w:t>
            </w:r>
          </w:p>
        </w:tc>
        <w:tc>
          <w:tcPr>
            <w:tcW w:w="326" w:type="dxa"/>
            <w:noWrap/>
            <w:vAlign w:val="center"/>
            <w:hideMark/>
          </w:tcPr>
          <w:p w14:paraId="29257534" w14:textId="77777777" w:rsidR="00126D8D" w:rsidRPr="004A4899" w:rsidRDefault="00126D8D" w:rsidP="00820288">
            <w:pPr>
              <w:spacing w:line="240" w:lineRule="auto"/>
              <w:rPr>
                <w:rFonts w:ascii="Times New Roman" w:hAnsi="Times New Roman" w:cs="Times New Roman"/>
                <w:sz w:val="13"/>
                <w:szCs w:val="13"/>
              </w:rPr>
            </w:pPr>
            <w:r w:rsidRPr="004A4899">
              <w:rPr>
                <w:rFonts w:ascii="Times New Roman" w:hAnsi="Times New Roman" w:cs="Times New Roman"/>
                <w:sz w:val="13"/>
                <w:szCs w:val="13"/>
              </w:rPr>
              <w:t>abc</w:t>
            </w:r>
          </w:p>
        </w:tc>
        <w:tc>
          <w:tcPr>
            <w:tcW w:w="377" w:type="dxa"/>
            <w:noWrap/>
            <w:vAlign w:val="center"/>
            <w:hideMark/>
          </w:tcPr>
          <w:p w14:paraId="1D0E2176" w14:textId="77777777" w:rsidR="00126D8D" w:rsidRPr="004A4899" w:rsidRDefault="00126D8D" w:rsidP="00820288">
            <w:pPr>
              <w:spacing w:line="240" w:lineRule="auto"/>
              <w:jc w:val="right"/>
              <w:rPr>
                <w:rFonts w:ascii="Times New Roman" w:hAnsi="Times New Roman" w:cs="Times New Roman"/>
                <w:sz w:val="13"/>
                <w:szCs w:val="13"/>
              </w:rPr>
            </w:pPr>
            <w:r w:rsidRPr="004A4899">
              <w:rPr>
                <w:rFonts w:ascii="Times New Roman" w:hAnsi="Times New Roman" w:cs="Times New Roman"/>
                <w:sz w:val="13"/>
                <w:szCs w:val="13"/>
              </w:rPr>
              <w:t>7.30</w:t>
            </w:r>
          </w:p>
        </w:tc>
        <w:tc>
          <w:tcPr>
            <w:tcW w:w="252" w:type="dxa"/>
            <w:noWrap/>
            <w:vAlign w:val="center"/>
            <w:hideMark/>
          </w:tcPr>
          <w:p w14:paraId="42266FFA" w14:textId="77777777" w:rsidR="00126D8D" w:rsidRPr="004A4899" w:rsidRDefault="00126D8D" w:rsidP="00820288">
            <w:pPr>
              <w:spacing w:line="240" w:lineRule="auto"/>
              <w:rPr>
                <w:rFonts w:ascii="Times New Roman" w:hAnsi="Times New Roman" w:cs="Times New Roman"/>
                <w:sz w:val="13"/>
                <w:szCs w:val="13"/>
              </w:rPr>
            </w:pPr>
            <w:r w:rsidRPr="004A4899">
              <w:rPr>
                <w:rFonts w:ascii="Times New Roman" w:hAnsi="Times New Roman" w:cs="Times New Roman"/>
                <w:sz w:val="13"/>
                <w:szCs w:val="13"/>
              </w:rPr>
              <w:t>cde</w:t>
            </w:r>
          </w:p>
        </w:tc>
        <w:tc>
          <w:tcPr>
            <w:tcW w:w="377" w:type="dxa"/>
            <w:noWrap/>
            <w:vAlign w:val="center"/>
            <w:hideMark/>
          </w:tcPr>
          <w:p w14:paraId="57A2A7EE" w14:textId="77777777" w:rsidR="00126D8D" w:rsidRPr="004A4899" w:rsidRDefault="00126D8D" w:rsidP="00820288">
            <w:pPr>
              <w:spacing w:line="240" w:lineRule="auto"/>
              <w:jc w:val="right"/>
              <w:rPr>
                <w:rFonts w:ascii="Times New Roman" w:hAnsi="Times New Roman" w:cs="Times New Roman"/>
                <w:sz w:val="13"/>
                <w:szCs w:val="13"/>
              </w:rPr>
            </w:pPr>
            <w:r w:rsidRPr="004A4899">
              <w:rPr>
                <w:rFonts w:ascii="Times New Roman" w:hAnsi="Times New Roman" w:cs="Times New Roman"/>
                <w:sz w:val="13"/>
                <w:szCs w:val="13"/>
              </w:rPr>
              <w:t>7.96</w:t>
            </w:r>
          </w:p>
        </w:tc>
        <w:tc>
          <w:tcPr>
            <w:tcW w:w="273" w:type="dxa"/>
            <w:noWrap/>
            <w:vAlign w:val="center"/>
            <w:hideMark/>
          </w:tcPr>
          <w:p w14:paraId="161134B3" w14:textId="77777777" w:rsidR="00126D8D" w:rsidRPr="004A4899" w:rsidRDefault="00126D8D" w:rsidP="00820288">
            <w:pPr>
              <w:spacing w:line="240" w:lineRule="auto"/>
              <w:rPr>
                <w:rFonts w:ascii="Times New Roman" w:hAnsi="Times New Roman" w:cs="Times New Roman"/>
                <w:sz w:val="13"/>
                <w:szCs w:val="13"/>
              </w:rPr>
            </w:pPr>
            <w:r w:rsidRPr="004A4899">
              <w:rPr>
                <w:rFonts w:ascii="Times New Roman" w:hAnsi="Times New Roman" w:cs="Times New Roman"/>
                <w:sz w:val="13"/>
                <w:szCs w:val="13"/>
              </w:rPr>
              <w:t>bcd</w:t>
            </w:r>
          </w:p>
        </w:tc>
        <w:tc>
          <w:tcPr>
            <w:tcW w:w="377" w:type="dxa"/>
            <w:noWrap/>
            <w:vAlign w:val="center"/>
            <w:hideMark/>
          </w:tcPr>
          <w:p w14:paraId="2D1F6556" w14:textId="77777777" w:rsidR="00126D8D" w:rsidRPr="004A4899" w:rsidRDefault="00126D8D" w:rsidP="00820288">
            <w:pPr>
              <w:spacing w:line="240" w:lineRule="auto"/>
              <w:jc w:val="right"/>
              <w:rPr>
                <w:rFonts w:ascii="Times New Roman" w:hAnsi="Times New Roman" w:cs="Times New Roman"/>
                <w:sz w:val="13"/>
                <w:szCs w:val="13"/>
              </w:rPr>
            </w:pPr>
            <w:r w:rsidRPr="004A4899">
              <w:rPr>
                <w:rFonts w:ascii="Times New Roman" w:hAnsi="Times New Roman" w:cs="Times New Roman"/>
                <w:sz w:val="13"/>
                <w:szCs w:val="13"/>
              </w:rPr>
              <w:t>7.17</w:t>
            </w:r>
          </w:p>
        </w:tc>
        <w:tc>
          <w:tcPr>
            <w:tcW w:w="273" w:type="dxa"/>
            <w:noWrap/>
            <w:vAlign w:val="center"/>
            <w:hideMark/>
          </w:tcPr>
          <w:p w14:paraId="287F5176" w14:textId="77777777" w:rsidR="00126D8D" w:rsidRPr="004A4899" w:rsidRDefault="00126D8D" w:rsidP="00820288">
            <w:pPr>
              <w:spacing w:line="240" w:lineRule="auto"/>
              <w:rPr>
                <w:rFonts w:ascii="Times New Roman" w:hAnsi="Times New Roman" w:cs="Times New Roman"/>
                <w:sz w:val="13"/>
                <w:szCs w:val="13"/>
              </w:rPr>
            </w:pPr>
            <w:r w:rsidRPr="004A4899">
              <w:rPr>
                <w:rFonts w:ascii="Times New Roman" w:hAnsi="Times New Roman" w:cs="Times New Roman"/>
                <w:sz w:val="13"/>
                <w:szCs w:val="13"/>
              </w:rPr>
              <w:t>cde</w:t>
            </w:r>
          </w:p>
        </w:tc>
      </w:tr>
      <w:tr w:rsidR="00126D8D" w:rsidRPr="004A4899" w14:paraId="00618AFE" w14:textId="77777777" w:rsidTr="00820288">
        <w:trPr>
          <w:trHeight w:val="173"/>
        </w:trPr>
        <w:tc>
          <w:tcPr>
            <w:tcW w:w="1440" w:type="dxa"/>
            <w:noWrap/>
            <w:vAlign w:val="center"/>
            <w:hideMark/>
          </w:tcPr>
          <w:p w14:paraId="33C07A21" w14:textId="77777777" w:rsidR="00126D8D" w:rsidRPr="004A4899" w:rsidRDefault="00126D8D" w:rsidP="00820288">
            <w:pPr>
              <w:spacing w:line="240" w:lineRule="auto"/>
              <w:rPr>
                <w:rFonts w:ascii="Times New Roman" w:hAnsi="Times New Roman" w:cs="Times New Roman"/>
                <w:sz w:val="12"/>
                <w:szCs w:val="12"/>
              </w:rPr>
            </w:pPr>
            <w:r w:rsidRPr="004A4899">
              <w:rPr>
                <w:rFonts w:ascii="Times New Roman" w:hAnsi="Times New Roman" w:cs="Times New Roman"/>
                <w:sz w:val="12"/>
                <w:szCs w:val="12"/>
              </w:rPr>
              <w:t>1-Methylcyclohexene</w:t>
            </w:r>
          </w:p>
        </w:tc>
        <w:tc>
          <w:tcPr>
            <w:tcW w:w="377" w:type="dxa"/>
            <w:noWrap/>
            <w:vAlign w:val="center"/>
            <w:hideMark/>
          </w:tcPr>
          <w:p w14:paraId="7A1A1C8D" w14:textId="77777777" w:rsidR="00126D8D" w:rsidRPr="004A4899" w:rsidRDefault="00126D8D" w:rsidP="00820288">
            <w:pPr>
              <w:spacing w:line="240" w:lineRule="auto"/>
              <w:jc w:val="right"/>
              <w:rPr>
                <w:rFonts w:ascii="Times New Roman" w:hAnsi="Times New Roman" w:cs="Times New Roman"/>
                <w:sz w:val="13"/>
                <w:szCs w:val="13"/>
              </w:rPr>
            </w:pPr>
            <w:r w:rsidRPr="004A4899">
              <w:rPr>
                <w:rFonts w:ascii="Times New Roman" w:hAnsi="Times New Roman" w:cs="Times New Roman"/>
                <w:sz w:val="13"/>
                <w:szCs w:val="13"/>
              </w:rPr>
              <w:t>198.20</w:t>
            </w:r>
          </w:p>
        </w:tc>
        <w:tc>
          <w:tcPr>
            <w:tcW w:w="274" w:type="dxa"/>
            <w:noWrap/>
            <w:vAlign w:val="center"/>
            <w:hideMark/>
          </w:tcPr>
          <w:p w14:paraId="56C641E3" w14:textId="77777777" w:rsidR="00126D8D" w:rsidRPr="004A4899" w:rsidRDefault="00126D8D" w:rsidP="00820288">
            <w:pPr>
              <w:spacing w:line="240" w:lineRule="auto"/>
              <w:rPr>
                <w:rFonts w:ascii="Times New Roman" w:hAnsi="Times New Roman" w:cs="Times New Roman"/>
                <w:sz w:val="13"/>
                <w:szCs w:val="13"/>
              </w:rPr>
            </w:pPr>
            <w:r w:rsidRPr="004A4899">
              <w:rPr>
                <w:rFonts w:ascii="Times New Roman" w:hAnsi="Times New Roman" w:cs="Times New Roman"/>
                <w:sz w:val="13"/>
                <w:szCs w:val="13"/>
              </w:rPr>
              <w:t>a</w:t>
            </w:r>
          </w:p>
        </w:tc>
        <w:tc>
          <w:tcPr>
            <w:tcW w:w="411" w:type="dxa"/>
            <w:noWrap/>
            <w:vAlign w:val="center"/>
            <w:hideMark/>
          </w:tcPr>
          <w:p w14:paraId="0EDA7444" w14:textId="77777777" w:rsidR="00126D8D" w:rsidRPr="004A4899" w:rsidRDefault="00126D8D" w:rsidP="00820288">
            <w:pPr>
              <w:spacing w:line="240" w:lineRule="auto"/>
              <w:jc w:val="right"/>
              <w:rPr>
                <w:rFonts w:ascii="Times New Roman" w:hAnsi="Times New Roman" w:cs="Times New Roman"/>
                <w:sz w:val="13"/>
                <w:szCs w:val="13"/>
              </w:rPr>
            </w:pPr>
            <w:r w:rsidRPr="004A4899">
              <w:rPr>
                <w:rFonts w:ascii="Times New Roman" w:hAnsi="Times New Roman" w:cs="Times New Roman"/>
                <w:sz w:val="13"/>
                <w:szCs w:val="13"/>
              </w:rPr>
              <w:t>153.05</w:t>
            </w:r>
          </w:p>
        </w:tc>
        <w:tc>
          <w:tcPr>
            <w:tcW w:w="239" w:type="dxa"/>
            <w:noWrap/>
            <w:vAlign w:val="center"/>
            <w:hideMark/>
          </w:tcPr>
          <w:p w14:paraId="6DAAFD29" w14:textId="77777777" w:rsidR="00126D8D" w:rsidRPr="004A4899" w:rsidRDefault="00126D8D" w:rsidP="00820288">
            <w:pPr>
              <w:spacing w:line="240" w:lineRule="auto"/>
              <w:rPr>
                <w:rFonts w:ascii="Times New Roman" w:hAnsi="Times New Roman" w:cs="Times New Roman"/>
                <w:sz w:val="13"/>
                <w:szCs w:val="13"/>
              </w:rPr>
            </w:pPr>
            <w:r w:rsidRPr="004A4899">
              <w:rPr>
                <w:rFonts w:ascii="Times New Roman" w:hAnsi="Times New Roman" w:cs="Times New Roman"/>
                <w:sz w:val="13"/>
                <w:szCs w:val="13"/>
              </w:rPr>
              <w:t>a</w:t>
            </w:r>
          </w:p>
        </w:tc>
        <w:tc>
          <w:tcPr>
            <w:tcW w:w="377" w:type="dxa"/>
            <w:noWrap/>
            <w:vAlign w:val="center"/>
            <w:hideMark/>
          </w:tcPr>
          <w:p w14:paraId="53BF1165" w14:textId="77777777" w:rsidR="00126D8D" w:rsidRPr="004A4899" w:rsidRDefault="00126D8D" w:rsidP="00820288">
            <w:pPr>
              <w:spacing w:line="240" w:lineRule="auto"/>
              <w:jc w:val="right"/>
              <w:rPr>
                <w:rFonts w:ascii="Times New Roman" w:hAnsi="Times New Roman" w:cs="Times New Roman"/>
                <w:sz w:val="13"/>
                <w:szCs w:val="13"/>
              </w:rPr>
            </w:pPr>
            <w:r w:rsidRPr="004A4899">
              <w:rPr>
                <w:rFonts w:ascii="Times New Roman" w:hAnsi="Times New Roman" w:cs="Times New Roman"/>
                <w:sz w:val="13"/>
                <w:szCs w:val="13"/>
              </w:rPr>
              <w:t>190.83</w:t>
            </w:r>
          </w:p>
        </w:tc>
        <w:tc>
          <w:tcPr>
            <w:tcW w:w="273" w:type="dxa"/>
            <w:noWrap/>
            <w:vAlign w:val="center"/>
            <w:hideMark/>
          </w:tcPr>
          <w:p w14:paraId="640B2123" w14:textId="77777777" w:rsidR="00126D8D" w:rsidRPr="004A4899" w:rsidRDefault="00126D8D" w:rsidP="00820288">
            <w:pPr>
              <w:spacing w:line="240" w:lineRule="auto"/>
              <w:rPr>
                <w:rFonts w:ascii="Times New Roman" w:hAnsi="Times New Roman" w:cs="Times New Roman"/>
                <w:sz w:val="13"/>
                <w:szCs w:val="13"/>
              </w:rPr>
            </w:pPr>
            <w:r w:rsidRPr="004A4899">
              <w:rPr>
                <w:rFonts w:ascii="Times New Roman" w:hAnsi="Times New Roman" w:cs="Times New Roman"/>
                <w:sz w:val="13"/>
                <w:szCs w:val="13"/>
              </w:rPr>
              <w:t>a</w:t>
            </w:r>
          </w:p>
        </w:tc>
        <w:tc>
          <w:tcPr>
            <w:tcW w:w="377" w:type="dxa"/>
            <w:noWrap/>
            <w:vAlign w:val="center"/>
            <w:hideMark/>
          </w:tcPr>
          <w:p w14:paraId="1A032691" w14:textId="77777777" w:rsidR="00126D8D" w:rsidRPr="004A4899" w:rsidRDefault="00126D8D" w:rsidP="00820288">
            <w:pPr>
              <w:spacing w:line="240" w:lineRule="auto"/>
              <w:jc w:val="right"/>
              <w:rPr>
                <w:rFonts w:ascii="Times New Roman" w:hAnsi="Times New Roman" w:cs="Times New Roman"/>
                <w:sz w:val="13"/>
                <w:szCs w:val="13"/>
              </w:rPr>
            </w:pPr>
            <w:r w:rsidRPr="004A4899">
              <w:rPr>
                <w:rFonts w:ascii="Times New Roman" w:hAnsi="Times New Roman" w:cs="Times New Roman"/>
                <w:sz w:val="13"/>
                <w:szCs w:val="13"/>
              </w:rPr>
              <w:t>191.56</w:t>
            </w:r>
          </w:p>
        </w:tc>
        <w:tc>
          <w:tcPr>
            <w:tcW w:w="273" w:type="dxa"/>
            <w:noWrap/>
            <w:vAlign w:val="center"/>
            <w:hideMark/>
          </w:tcPr>
          <w:p w14:paraId="05EB3CE8" w14:textId="77777777" w:rsidR="00126D8D" w:rsidRPr="004A4899" w:rsidRDefault="00126D8D" w:rsidP="00820288">
            <w:pPr>
              <w:spacing w:line="240" w:lineRule="auto"/>
              <w:rPr>
                <w:rFonts w:ascii="Times New Roman" w:hAnsi="Times New Roman" w:cs="Times New Roman"/>
                <w:sz w:val="13"/>
                <w:szCs w:val="13"/>
              </w:rPr>
            </w:pPr>
            <w:r w:rsidRPr="004A4899">
              <w:rPr>
                <w:rFonts w:ascii="Times New Roman" w:hAnsi="Times New Roman" w:cs="Times New Roman"/>
                <w:sz w:val="13"/>
                <w:szCs w:val="13"/>
              </w:rPr>
              <w:t>a</w:t>
            </w:r>
          </w:p>
        </w:tc>
        <w:tc>
          <w:tcPr>
            <w:tcW w:w="377" w:type="dxa"/>
            <w:noWrap/>
            <w:vAlign w:val="center"/>
            <w:hideMark/>
          </w:tcPr>
          <w:p w14:paraId="2C8C348C" w14:textId="77777777" w:rsidR="00126D8D" w:rsidRPr="004A4899" w:rsidRDefault="00126D8D" w:rsidP="00820288">
            <w:pPr>
              <w:spacing w:line="240" w:lineRule="auto"/>
              <w:jc w:val="right"/>
              <w:rPr>
                <w:rFonts w:ascii="Times New Roman" w:hAnsi="Times New Roman" w:cs="Times New Roman"/>
                <w:sz w:val="13"/>
                <w:szCs w:val="13"/>
              </w:rPr>
            </w:pPr>
            <w:r w:rsidRPr="004A4899">
              <w:rPr>
                <w:rFonts w:ascii="Times New Roman" w:hAnsi="Times New Roman" w:cs="Times New Roman"/>
                <w:sz w:val="13"/>
                <w:szCs w:val="13"/>
              </w:rPr>
              <w:t>200.03</w:t>
            </w:r>
          </w:p>
        </w:tc>
        <w:tc>
          <w:tcPr>
            <w:tcW w:w="326" w:type="dxa"/>
            <w:noWrap/>
            <w:vAlign w:val="center"/>
            <w:hideMark/>
          </w:tcPr>
          <w:p w14:paraId="19C8B567" w14:textId="77777777" w:rsidR="00126D8D" w:rsidRPr="004A4899" w:rsidRDefault="00126D8D" w:rsidP="00820288">
            <w:pPr>
              <w:spacing w:line="240" w:lineRule="auto"/>
              <w:rPr>
                <w:rFonts w:ascii="Times New Roman" w:hAnsi="Times New Roman" w:cs="Times New Roman"/>
                <w:sz w:val="13"/>
                <w:szCs w:val="13"/>
              </w:rPr>
            </w:pPr>
            <w:r w:rsidRPr="004A4899">
              <w:rPr>
                <w:rFonts w:ascii="Times New Roman" w:hAnsi="Times New Roman" w:cs="Times New Roman"/>
                <w:sz w:val="13"/>
                <w:szCs w:val="13"/>
              </w:rPr>
              <w:t>a</w:t>
            </w:r>
          </w:p>
        </w:tc>
        <w:tc>
          <w:tcPr>
            <w:tcW w:w="377" w:type="dxa"/>
            <w:noWrap/>
            <w:vAlign w:val="center"/>
            <w:hideMark/>
          </w:tcPr>
          <w:p w14:paraId="43E40264" w14:textId="77777777" w:rsidR="00126D8D" w:rsidRPr="004A4899" w:rsidRDefault="00126D8D" w:rsidP="00820288">
            <w:pPr>
              <w:spacing w:line="240" w:lineRule="auto"/>
              <w:jc w:val="right"/>
              <w:rPr>
                <w:rFonts w:ascii="Times New Roman" w:hAnsi="Times New Roman" w:cs="Times New Roman"/>
                <w:sz w:val="13"/>
                <w:szCs w:val="13"/>
              </w:rPr>
            </w:pPr>
            <w:r w:rsidRPr="004A4899">
              <w:rPr>
                <w:rFonts w:ascii="Times New Roman" w:hAnsi="Times New Roman" w:cs="Times New Roman"/>
                <w:sz w:val="13"/>
                <w:szCs w:val="13"/>
              </w:rPr>
              <w:t>181.60</w:t>
            </w:r>
          </w:p>
        </w:tc>
        <w:tc>
          <w:tcPr>
            <w:tcW w:w="326" w:type="dxa"/>
            <w:noWrap/>
            <w:vAlign w:val="center"/>
            <w:hideMark/>
          </w:tcPr>
          <w:p w14:paraId="1D3C853B" w14:textId="77777777" w:rsidR="00126D8D" w:rsidRPr="004A4899" w:rsidRDefault="00126D8D" w:rsidP="00820288">
            <w:pPr>
              <w:spacing w:line="240" w:lineRule="auto"/>
              <w:rPr>
                <w:rFonts w:ascii="Times New Roman" w:hAnsi="Times New Roman" w:cs="Times New Roman"/>
                <w:sz w:val="13"/>
                <w:szCs w:val="13"/>
              </w:rPr>
            </w:pPr>
            <w:r w:rsidRPr="004A4899">
              <w:rPr>
                <w:rFonts w:ascii="Times New Roman" w:hAnsi="Times New Roman" w:cs="Times New Roman"/>
                <w:sz w:val="13"/>
                <w:szCs w:val="13"/>
              </w:rPr>
              <w:t>a</w:t>
            </w:r>
          </w:p>
        </w:tc>
        <w:tc>
          <w:tcPr>
            <w:tcW w:w="377" w:type="dxa"/>
            <w:noWrap/>
            <w:vAlign w:val="center"/>
            <w:hideMark/>
          </w:tcPr>
          <w:p w14:paraId="35CFE62D" w14:textId="77777777" w:rsidR="00126D8D" w:rsidRPr="004A4899" w:rsidRDefault="00126D8D" w:rsidP="00820288">
            <w:pPr>
              <w:spacing w:line="240" w:lineRule="auto"/>
              <w:jc w:val="right"/>
              <w:rPr>
                <w:rFonts w:ascii="Times New Roman" w:hAnsi="Times New Roman" w:cs="Times New Roman"/>
                <w:sz w:val="13"/>
                <w:szCs w:val="13"/>
              </w:rPr>
            </w:pPr>
            <w:r w:rsidRPr="004A4899">
              <w:rPr>
                <w:rFonts w:ascii="Times New Roman" w:hAnsi="Times New Roman" w:cs="Times New Roman"/>
                <w:sz w:val="13"/>
                <w:szCs w:val="13"/>
              </w:rPr>
              <w:t>235.55</w:t>
            </w:r>
          </w:p>
        </w:tc>
        <w:tc>
          <w:tcPr>
            <w:tcW w:w="219" w:type="dxa"/>
            <w:noWrap/>
            <w:vAlign w:val="center"/>
            <w:hideMark/>
          </w:tcPr>
          <w:p w14:paraId="03BE199A" w14:textId="77777777" w:rsidR="00126D8D" w:rsidRPr="004A4899" w:rsidRDefault="00126D8D" w:rsidP="00820288">
            <w:pPr>
              <w:spacing w:line="240" w:lineRule="auto"/>
              <w:rPr>
                <w:rFonts w:ascii="Times New Roman" w:hAnsi="Times New Roman" w:cs="Times New Roman"/>
                <w:sz w:val="13"/>
                <w:szCs w:val="13"/>
              </w:rPr>
            </w:pPr>
            <w:r w:rsidRPr="004A4899">
              <w:rPr>
                <w:rFonts w:ascii="Times New Roman" w:hAnsi="Times New Roman" w:cs="Times New Roman"/>
                <w:sz w:val="13"/>
                <w:szCs w:val="13"/>
              </w:rPr>
              <w:t>a</w:t>
            </w:r>
          </w:p>
        </w:tc>
        <w:tc>
          <w:tcPr>
            <w:tcW w:w="377" w:type="dxa"/>
            <w:noWrap/>
            <w:vAlign w:val="center"/>
            <w:hideMark/>
          </w:tcPr>
          <w:p w14:paraId="2EE8E6D6" w14:textId="77777777" w:rsidR="00126D8D" w:rsidRPr="004A4899" w:rsidRDefault="00126D8D" w:rsidP="00820288">
            <w:pPr>
              <w:spacing w:line="240" w:lineRule="auto"/>
              <w:jc w:val="right"/>
              <w:rPr>
                <w:rFonts w:ascii="Times New Roman" w:hAnsi="Times New Roman" w:cs="Times New Roman"/>
                <w:sz w:val="13"/>
                <w:szCs w:val="13"/>
              </w:rPr>
            </w:pPr>
            <w:r w:rsidRPr="004A4899">
              <w:rPr>
                <w:rFonts w:ascii="Times New Roman" w:hAnsi="Times New Roman" w:cs="Times New Roman"/>
                <w:sz w:val="13"/>
                <w:szCs w:val="13"/>
              </w:rPr>
              <w:t>234.54</w:t>
            </w:r>
          </w:p>
        </w:tc>
        <w:tc>
          <w:tcPr>
            <w:tcW w:w="159" w:type="dxa"/>
            <w:noWrap/>
            <w:vAlign w:val="center"/>
            <w:hideMark/>
          </w:tcPr>
          <w:p w14:paraId="37EC7AEE" w14:textId="77777777" w:rsidR="00126D8D" w:rsidRPr="004A4899" w:rsidRDefault="00126D8D" w:rsidP="00820288">
            <w:pPr>
              <w:spacing w:line="240" w:lineRule="auto"/>
              <w:rPr>
                <w:rFonts w:ascii="Times New Roman" w:hAnsi="Times New Roman" w:cs="Times New Roman"/>
                <w:sz w:val="13"/>
                <w:szCs w:val="13"/>
              </w:rPr>
            </w:pPr>
            <w:r w:rsidRPr="004A4899">
              <w:rPr>
                <w:rFonts w:ascii="Times New Roman" w:hAnsi="Times New Roman" w:cs="Times New Roman"/>
                <w:sz w:val="13"/>
                <w:szCs w:val="13"/>
              </w:rPr>
              <w:t>a</w:t>
            </w:r>
          </w:p>
        </w:tc>
        <w:tc>
          <w:tcPr>
            <w:tcW w:w="377" w:type="dxa"/>
            <w:noWrap/>
            <w:vAlign w:val="center"/>
            <w:hideMark/>
          </w:tcPr>
          <w:p w14:paraId="0634D87A" w14:textId="77777777" w:rsidR="00126D8D" w:rsidRPr="004A4899" w:rsidRDefault="00126D8D" w:rsidP="00820288">
            <w:pPr>
              <w:spacing w:line="240" w:lineRule="auto"/>
              <w:jc w:val="right"/>
              <w:rPr>
                <w:rFonts w:ascii="Times New Roman" w:hAnsi="Times New Roman" w:cs="Times New Roman"/>
                <w:sz w:val="13"/>
                <w:szCs w:val="13"/>
              </w:rPr>
            </w:pPr>
            <w:r w:rsidRPr="004A4899">
              <w:rPr>
                <w:rFonts w:ascii="Times New Roman" w:hAnsi="Times New Roman" w:cs="Times New Roman"/>
                <w:sz w:val="13"/>
                <w:szCs w:val="13"/>
              </w:rPr>
              <w:t>207.13</w:t>
            </w:r>
          </w:p>
        </w:tc>
        <w:tc>
          <w:tcPr>
            <w:tcW w:w="326" w:type="dxa"/>
            <w:noWrap/>
            <w:vAlign w:val="center"/>
            <w:hideMark/>
          </w:tcPr>
          <w:p w14:paraId="346175E5" w14:textId="77777777" w:rsidR="00126D8D" w:rsidRPr="004A4899" w:rsidRDefault="00126D8D" w:rsidP="00820288">
            <w:pPr>
              <w:spacing w:line="240" w:lineRule="auto"/>
              <w:rPr>
                <w:rFonts w:ascii="Times New Roman" w:hAnsi="Times New Roman" w:cs="Times New Roman"/>
                <w:sz w:val="13"/>
                <w:szCs w:val="13"/>
              </w:rPr>
            </w:pPr>
            <w:r w:rsidRPr="004A4899">
              <w:rPr>
                <w:rFonts w:ascii="Times New Roman" w:hAnsi="Times New Roman" w:cs="Times New Roman"/>
                <w:sz w:val="13"/>
                <w:szCs w:val="13"/>
              </w:rPr>
              <w:t>a</w:t>
            </w:r>
          </w:p>
        </w:tc>
        <w:tc>
          <w:tcPr>
            <w:tcW w:w="377" w:type="dxa"/>
            <w:noWrap/>
            <w:vAlign w:val="center"/>
            <w:hideMark/>
          </w:tcPr>
          <w:p w14:paraId="19F4A72A" w14:textId="77777777" w:rsidR="00126D8D" w:rsidRPr="004A4899" w:rsidRDefault="00126D8D" w:rsidP="00820288">
            <w:pPr>
              <w:spacing w:line="240" w:lineRule="auto"/>
              <w:jc w:val="right"/>
              <w:rPr>
                <w:rFonts w:ascii="Times New Roman" w:hAnsi="Times New Roman" w:cs="Times New Roman"/>
                <w:sz w:val="13"/>
                <w:szCs w:val="13"/>
              </w:rPr>
            </w:pPr>
            <w:r w:rsidRPr="004A4899">
              <w:rPr>
                <w:rFonts w:ascii="Times New Roman" w:hAnsi="Times New Roman" w:cs="Times New Roman"/>
                <w:sz w:val="13"/>
                <w:szCs w:val="13"/>
              </w:rPr>
              <w:t>179.01</w:t>
            </w:r>
          </w:p>
        </w:tc>
        <w:tc>
          <w:tcPr>
            <w:tcW w:w="252" w:type="dxa"/>
            <w:noWrap/>
            <w:vAlign w:val="center"/>
            <w:hideMark/>
          </w:tcPr>
          <w:p w14:paraId="59BDA8FC" w14:textId="77777777" w:rsidR="00126D8D" w:rsidRPr="004A4899" w:rsidRDefault="00126D8D" w:rsidP="00820288">
            <w:pPr>
              <w:spacing w:line="240" w:lineRule="auto"/>
              <w:rPr>
                <w:rFonts w:ascii="Times New Roman" w:hAnsi="Times New Roman" w:cs="Times New Roman"/>
                <w:sz w:val="13"/>
                <w:szCs w:val="13"/>
              </w:rPr>
            </w:pPr>
            <w:r w:rsidRPr="004A4899">
              <w:rPr>
                <w:rFonts w:ascii="Times New Roman" w:hAnsi="Times New Roman" w:cs="Times New Roman"/>
                <w:sz w:val="13"/>
                <w:szCs w:val="13"/>
              </w:rPr>
              <w:t>a</w:t>
            </w:r>
          </w:p>
        </w:tc>
        <w:tc>
          <w:tcPr>
            <w:tcW w:w="377" w:type="dxa"/>
            <w:noWrap/>
            <w:vAlign w:val="center"/>
            <w:hideMark/>
          </w:tcPr>
          <w:p w14:paraId="5C08A443" w14:textId="77777777" w:rsidR="00126D8D" w:rsidRPr="004A4899" w:rsidRDefault="00126D8D" w:rsidP="00820288">
            <w:pPr>
              <w:spacing w:line="240" w:lineRule="auto"/>
              <w:jc w:val="right"/>
              <w:rPr>
                <w:rFonts w:ascii="Times New Roman" w:hAnsi="Times New Roman" w:cs="Times New Roman"/>
                <w:sz w:val="13"/>
                <w:szCs w:val="13"/>
              </w:rPr>
            </w:pPr>
            <w:r w:rsidRPr="004A4899">
              <w:rPr>
                <w:rFonts w:ascii="Times New Roman" w:hAnsi="Times New Roman" w:cs="Times New Roman"/>
                <w:sz w:val="13"/>
                <w:szCs w:val="13"/>
              </w:rPr>
              <w:t>163.04</w:t>
            </w:r>
          </w:p>
        </w:tc>
        <w:tc>
          <w:tcPr>
            <w:tcW w:w="273" w:type="dxa"/>
            <w:noWrap/>
            <w:vAlign w:val="center"/>
            <w:hideMark/>
          </w:tcPr>
          <w:p w14:paraId="52927A93" w14:textId="77777777" w:rsidR="00126D8D" w:rsidRPr="004A4899" w:rsidRDefault="00126D8D" w:rsidP="00820288">
            <w:pPr>
              <w:spacing w:line="240" w:lineRule="auto"/>
              <w:rPr>
                <w:rFonts w:ascii="Times New Roman" w:hAnsi="Times New Roman" w:cs="Times New Roman"/>
                <w:sz w:val="13"/>
                <w:szCs w:val="13"/>
              </w:rPr>
            </w:pPr>
            <w:r w:rsidRPr="004A4899">
              <w:rPr>
                <w:rFonts w:ascii="Times New Roman" w:hAnsi="Times New Roman" w:cs="Times New Roman"/>
                <w:sz w:val="13"/>
                <w:szCs w:val="13"/>
              </w:rPr>
              <w:t>a</w:t>
            </w:r>
          </w:p>
        </w:tc>
        <w:tc>
          <w:tcPr>
            <w:tcW w:w="377" w:type="dxa"/>
            <w:noWrap/>
            <w:vAlign w:val="center"/>
            <w:hideMark/>
          </w:tcPr>
          <w:p w14:paraId="58754A3E" w14:textId="77777777" w:rsidR="00126D8D" w:rsidRPr="004A4899" w:rsidRDefault="00126D8D" w:rsidP="00820288">
            <w:pPr>
              <w:spacing w:line="240" w:lineRule="auto"/>
              <w:jc w:val="right"/>
              <w:rPr>
                <w:rFonts w:ascii="Times New Roman" w:hAnsi="Times New Roman" w:cs="Times New Roman"/>
                <w:sz w:val="13"/>
                <w:szCs w:val="13"/>
              </w:rPr>
            </w:pPr>
            <w:r w:rsidRPr="004A4899">
              <w:rPr>
                <w:rFonts w:ascii="Times New Roman" w:hAnsi="Times New Roman" w:cs="Times New Roman"/>
                <w:sz w:val="13"/>
                <w:szCs w:val="13"/>
              </w:rPr>
              <w:t>188.81</w:t>
            </w:r>
          </w:p>
        </w:tc>
        <w:tc>
          <w:tcPr>
            <w:tcW w:w="273" w:type="dxa"/>
            <w:noWrap/>
            <w:vAlign w:val="center"/>
            <w:hideMark/>
          </w:tcPr>
          <w:p w14:paraId="26AE1B7E" w14:textId="77777777" w:rsidR="00126D8D" w:rsidRPr="004A4899" w:rsidRDefault="00126D8D" w:rsidP="00820288">
            <w:pPr>
              <w:spacing w:line="240" w:lineRule="auto"/>
              <w:rPr>
                <w:rFonts w:ascii="Times New Roman" w:hAnsi="Times New Roman" w:cs="Times New Roman"/>
                <w:sz w:val="13"/>
                <w:szCs w:val="13"/>
              </w:rPr>
            </w:pPr>
            <w:r w:rsidRPr="004A4899">
              <w:rPr>
                <w:rFonts w:ascii="Times New Roman" w:hAnsi="Times New Roman" w:cs="Times New Roman"/>
                <w:sz w:val="13"/>
                <w:szCs w:val="13"/>
              </w:rPr>
              <w:t>a</w:t>
            </w:r>
          </w:p>
        </w:tc>
      </w:tr>
      <w:tr w:rsidR="00126D8D" w:rsidRPr="004A4899" w14:paraId="617A214E" w14:textId="77777777" w:rsidTr="00820288">
        <w:trPr>
          <w:trHeight w:val="173"/>
        </w:trPr>
        <w:tc>
          <w:tcPr>
            <w:tcW w:w="1440" w:type="dxa"/>
            <w:noWrap/>
            <w:vAlign w:val="center"/>
            <w:hideMark/>
          </w:tcPr>
          <w:p w14:paraId="391DDA10" w14:textId="77777777" w:rsidR="00126D8D" w:rsidRPr="004A4899" w:rsidRDefault="00126D8D" w:rsidP="00820288">
            <w:pPr>
              <w:spacing w:line="240" w:lineRule="auto"/>
              <w:rPr>
                <w:rFonts w:ascii="Times New Roman" w:hAnsi="Times New Roman" w:cs="Times New Roman"/>
                <w:b/>
                <w:bCs/>
                <w:sz w:val="12"/>
                <w:szCs w:val="12"/>
              </w:rPr>
            </w:pPr>
            <w:r w:rsidRPr="004A4899">
              <w:rPr>
                <w:rFonts w:ascii="Times New Roman" w:hAnsi="Times New Roman" w:cs="Times New Roman"/>
                <w:b/>
                <w:bCs/>
                <w:sz w:val="12"/>
                <w:szCs w:val="12"/>
              </w:rPr>
              <w:t>Acyclic Monoterpenes</w:t>
            </w:r>
          </w:p>
        </w:tc>
        <w:tc>
          <w:tcPr>
            <w:tcW w:w="377" w:type="dxa"/>
            <w:noWrap/>
            <w:vAlign w:val="center"/>
            <w:hideMark/>
          </w:tcPr>
          <w:p w14:paraId="49435C99" w14:textId="77777777" w:rsidR="00126D8D" w:rsidRPr="004A4899" w:rsidRDefault="00126D8D" w:rsidP="00820288">
            <w:pPr>
              <w:spacing w:line="240" w:lineRule="auto"/>
              <w:jc w:val="right"/>
              <w:rPr>
                <w:rFonts w:ascii="Times New Roman" w:hAnsi="Times New Roman" w:cs="Times New Roman"/>
                <w:sz w:val="13"/>
                <w:szCs w:val="13"/>
              </w:rPr>
            </w:pPr>
          </w:p>
        </w:tc>
        <w:tc>
          <w:tcPr>
            <w:tcW w:w="274" w:type="dxa"/>
            <w:noWrap/>
            <w:vAlign w:val="center"/>
            <w:hideMark/>
          </w:tcPr>
          <w:p w14:paraId="38443811" w14:textId="77777777" w:rsidR="00126D8D" w:rsidRPr="004A4899" w:rsidRDefault="00126D8D" w:rsidP="00820288">
            <w:pPr>
              <w:spacing w:line="240" w:lineRule="auto"/>
              <w:rPr>
                <w:rFonts w:ascii="Times New Roman" w:hAnsi="Times New Roman" w:cs="Times New Roman"/>
                <w:sz w:val="13"/>
                <w:szCs w:val="13"/>
              </w:rPr>
            </w:pPr>
          </w:p>
        </w:tc>
        <w:tc>
          <w:tcPr>
            <w:tcW w:w="411" w:type="dxa"/>
            <w:noWrap/>
            <w:vAlign w:val="center"/>
            <w:hideMark/>
          </w:tcPr>
          <w:p w14:paraId="2C27BFE4" w14:textId="77777777" w:rsidR="00126D8D" w:rsidRPr="004A4899" w:rsidRDefault="00126D8D" w:rsidP="00820288">
            <w:pPr>
              <w:spacing w:line="240" w:lineRule="auto"/>
              <w:jc w:val="right"/>
              <w:rPr>
                <w:rFonts w:ascii="Times New Roman" w:hAnsi="Times New Roman" w:cs="Times New Roman"/>
                <w:sz w:val="13"/>
                <w:szCs w:val="13"/>
              </w:rPr>
            </w:pPr>
          </w:p>
        </w:tc>
        <w:tc>
          <w:tcPr>
            <w:tcW w:w="239" w:type="dxa"/>
            <w:noWrap/>
            <w:vAlign w:val="center"/>
            <w:hideMark/>
          </w:tcPr>
          <w:p w14:paraId="0BF94DE5" w14:textId="77777777" w:rsidR="00126D8D" w:rsidRPr="004A4899" w:rsidRDefault="00126D8D" w:rsidP="00820288">
            <w:pPr>
              <w:spacing w:line="240" w:lineRule="auto"/>
              <w:rPr>
                <w:rFonts w:ascii="Times New Roman" w:hAnsi="Times New Roman" w:cs="Times New Roman"/>
                <w:sz w:val="13"/>
                <w:szCs w:val="13"/>
              </w:rPr>
            </w:pPr>
          </w:p>
        </w:tc>
        <w:tc>
          <w:tcPr>
            <w:tcW w:w="377" w:type="dxa"/>
            <w:noWrap/>
            <w:vAlign w:val="center"/>
            <w:hideMark/>
          </w:tcPr>
          <w:p w14:paraId="762E0947" w14:textId="77777777" w:rsidR="00126D8D" w:rsidRPr="004A4899" w:rsidRDefault="00126D8D" w:rsidP="00820288">
            <w:pPr>
              <w:spacing w:line="240" w:lineRule="auto"/>
              <w:jc w:val="right"/>
              <w:rPr>
                <w:rFonts w:ascii="Times New Roman" w:hAnsi="Times New Roman" w:cs="Times New Roman"/>
                <w:sz w:val="13"/>
                <w:szCs w:val="13"/>
              </w:rPr>
            </w:pPr>
          </w:p>
        </w:tc>
        <w:tc>
          <w:tcPr>
            <w:tcW w:w="273" w:type="dxa"/>
            <w:noWrap/>
            <w:vAlign w:val="center"/>
            <w:hideMark/>
          </w:tcPr>
          <w:p w14:paraId="5F26E6BF" w14:textId="77777777" w:rsidR="00126D8D" w:rsidRPr="004A4899" w:rsidRDefault="00126D8D" w:rsidP="00820288">
            <w:pPr>
              <w:spacing w:line="240" w:lineRule="auto"/>
              <w:rPr>
                <w:rFonts w:ascii="Times New Roman" w:hAnsi="Times New Roman" w:cs="Times New Roman"/>
                <w:sz w:val="13"/>
                <w:szCs w:val="13"/>
              </w:rPr>
            </w:pPr>
          </w:p>
        </w:tc>
        <w:tc>
          <w:tcPr>
            <w:tcW w:w="377" w:type="dxa"/>
            <w:noWrap/>
            <w:vAlign w:val="center"/>
            <w:hideMark/>
          </w:tcPr>
          <w:p w14:paraId="726F1443" w14:textId="77777777" w:rsidR="00126D8D" w:rsidRPr="004A4899" w:rsidRDefault="00126D8D" w:rsidP="00820288">
            <w:pPr>
              <w:spacing w:line="240" w:lineRule="auto"/>
              <w:jc w:val="right"/>
              <w:rPr>
                <w:rFonts w:ascii="Times New Roman" w:hAnsi="Times New Roman" w:cs="Times New Roman"/>
                <w:sz w:val="13"/>
                <w:szCs w:val="13"/>
              </w:rPr>
            </w:pPr>
          </w:p>
        </w:tc>
        <w:tc>
          <w:tcPr>
            <w:tcW w:w="273" w:type="dxa"/>
            <w:noWrap/>
            <w:vAlign w:val="center"/>
            <w:hideMark/>
          </w:tcPr>
          <w:p w14:paraId="2A69373E" w14:textId="77777777" w:rsidR="00126D8D" w:rsidRPr="004A4899" w:rsidRDefault="00126D8D" w:rsidP="00820288">
            <w:pPr>
              <w:spacing w:line="240" w:lineRule="auto"/>
              <w:rPr>
                <w:rFonts w:ascii="Times New Roman" w:hAnsi="Times New Roman" w:cs="Times New Roman"/>
                <w:sz w:val="13"/>
                <w:szCs w:val="13"/>
              </w:rPr>
            </w:pPr>
          </w:p>
        </w:tc>
        <w:tc>
          <w:tcPr>
            <w:tcW w:w="377" w:type="dxa"/>
            <w:noWrap/>
            <w:vAlign w:val="center"/>
            <w:hideMark/>
          </w:tcPr>
          <w:p w14:paraId="21790464" w14:textId="77777777" w:rsidR="00126D8D" w:rsidRPr="004A4899" w:rsidRDefault="00126D8D" w:rsidP="00820288">
            <w:pPr>
              <w:spacing w:line="240" w:lineRule="auto"/>
              <w:jc w:val="right"/>
              <w:rPr>
                <w:rFonts w:ascii="Times New Roman" w:hAnsi="Times New Roman" w:cs="Times New Roman"/>
                <w:sz w:val="13"/>
                <w:szCs w:val="13"/>
              </w:rPr>
            </w:pPr>
          </w:p>
        </w:tc>
        <w:tc>
          <w:tcPr>
            <w:tcW w:w="326" w:type="dxa"/>
            <w:noWrap/>
            <w:vAlign w:val="center"/>
            <w:hideMark/>
          </w:tcPr>
          <w:p w14:paraId="3AAA3304" w14:textId="77777777" w:rsidR="00126D8D" w:rsidRPr="004A4899" w:rsidRDefault="00126D8D" w:rsidP="00820288">
            <w:pPr>
              <w:spacing w:line="240" w:lineRule="auto"/>
              <w:rPr>
                <w:rFonts w:ascii="Times New Roman" w:hAnsi="Times New Roman" w:cs="Times New Roman"/>
                <w:sz w:val="13"/>
                <w:szCs w:val="13"/>
              </w:rPr>
            </w:pPr>
          </w:p>
        </w:tc>
        <w:tc>
          <w:tcPr>
            <w:tcW w:w="377" w:type="dxa"/>
            <w:noWrap/>
            <w:vAlign w:val="center"/>
            <w:hideMark/>
          </w:tcPr>
          <w:p w14:paraId="2E73ED42" w14:textId="77777777" w:rsidR="00126D8D" w:rsidRPr="004A4899" w:rsidRDefault="00126D8D" w:rsidP="00820288">
            <w:pPr>
              <w:spacing w:line="240" w:lineRule="auto"/>
              <w:jc w:val="right"/>
              <w:rPr>
                <w:rFonts w:ascii="Times New Roman" w:hAnsi="Times New Roman" w:cs="Times New Roman"/>
                <w:sz w:val="13"/>
                <w:szCs w:val="13"/>
              </w:rPr>
            </w:pPr>
          </w:p>
        </w:tc>
        <w:tc>
          <w:tcPr>
            <w:tcW w:w="326" w:type="dxa"/>
            <w:noWrap/>
            <w:vAlign w:val="center"/>
            <w:hideMark/>
          </w:tcPr>
          <w:p w14:paraId="3061B76C" w14:textId="77777777" w:rsidR="00126D8D" w:rsidRPr="004A4899" w:rsidRDefault="00126D8D" w:rsidP="00820288">
            <w:pPr>
              <w:spacing w:line="240" w:lineRule="auto"/>
              <w:rPr>
                <w:rFonts w:ascii="Times New Roman" w:hAnsi="Times New Roman" w:cs="Times New Roman"/>
                <w:sz w:val="13"/>
                <w:szCs w:val="13"/>
              </w:rPr>
            </w:pPr>
          </w:p>
        </w:tc>
        <w:tc>
          <w:tcPr>
            <w:tcW w:w="377" w:type="dxa"/>
            <w:noWrap/>
            <w:vAlign w:val="center"/>
            <w:hideMark/>
          </w:tcPr>
          <w:p w14:paraId="2FC677C9" w14:textId="77777777" w:rsidR="00126D8D" w:rsidRPr="004A4899" w:rsidRDefault="00126D8D" w:rsidP="00820288">
            <w:pPr>
              <w:spacing w:line="240" w:lineRule="auto"/>
              <w:jc w:val="right"/>
              <w:rPr>
                <w:rFonts w:ascii="Times New Roman" w:hAnsi="Times New Roman" w:cs="Times New Roman"/>
                <w:sz w:val="13"/>
                <w:szCs w:val="13"/>
              </w:rPr>
            </w:pPr>
          </w:p>
        </w:tc>
        <w:tc>
          <w:tcPr>
            <w:tcW w:w="219" w:type="dxa"/>
            <w:noWrap/>
            <w:vAlign w:val="center"/>
            <w:hideMark/>
          </w:tcPr>
          <w:p w14:paraId="6BEE33C8" w14:textId="77777777" w:rsidR="00126D8D" w:rsidRPr="004A4899" w:rsidRDefault="00126D8D" w:rsidP="00820288">
            <w:pPr>
              <w:spacing w:line="240" w:lineRule="auto"/>
              <w:rPr>
                <w:rFonts w:ascii="Times New Roman" w:hAnsi="Times New Roman" w:cs="Times New Roman"/>
                <w:sz w:val="13"/>
                <w:szCs w:val="13"/>
              </w:rPr>
            </w:pPr>
          </w:p>
        </w:tc>
        <w:tc>
          <w:tcPr>
            <w:tcW w:w="377" w:type="dxa"/>
            <w:noWrap/>
            <w:vAlign w:val="center"/>
            <w:hideMark/>
          </w:tcPr>
          <w:p w14:paraId="2C4570B9" w14:textId="77777777" w:rsidR="00126D8D" w:rsidRPr="004A4899" w:rsidRDefault="00126D8D" w:rsidP="00820288">
            <w:pPr>
              <w:spacing w:line="240" w:lineRule="auto"/>
              <w:jc w:val="right"/>
              <w:rPr>
                <w:rFonts w:ascii="Times New Roman" w:hAnsi="Times New Roman" w:cs="Times New Roman"/>
                <w:sz w:val="13"/>
                <w:szCs w:val="13"/>
              </w:rPr>
            </w:pPr>
          </w:p>
        </w:tc>
        <w:tc>
          <w:tcPr>
            <w:tcW w:w="159" w:type="dxa"/>
            <w:noWrap/>
            <w:vAlign w:val="center"/>
            <w:hideMark/>
          </w:tcPr>
          <w:p w14:paraId="7F0246CA" w14:textId="77777777" w:rsidR="00126D8D" w:rsidRPr="004A4899" w:rsidRDefault="00126D8D" w:rsidP="00820288">
            <w:pPr>
              <w:spacing w:line="240" w:lineRule="auto"/>
              <w:rPr>
                <w:rFonts w:ascii="Times New Roman" w:hAnsi="Times New Roman" w:cs="Times New Roman"/>
                <w:sz w:val="13"/>
                <w:szCs w:val="13"/>
              </w:rPr>
            </w:pPr>
          </w:p>
        </w:tc>
        <w:tc>
          <w:tcPr>
            <w:tcW w:w="377" w:type="dxa"/>
            <w:noWrap/>
            <w:vAlign w:val="center"/>
            <w:hideMark/>
          </w:tcPr>
          <w:p w14:paraId="1562AE91" w14:textId="77777777" w:rsidR="00126D8D" w:rsidRPr="004A4899" w:rsidRDefault="00126D8D" w:rsidP="00820288">
            <w:pPr>
              <w:spacing w:line="240" w:lineRule="auto"/>
              <w:jc w:val="right"/>
              <w:rPr>
                <w:rFonts w:ascii="Times New Roman" w:hAnsi="Times New Roman" w:cs="Times New Roman"/>
                <w:sz w:val="13"/>
                <w:szCs w:val="13"/>
              </w:rPr>
            </w:pPr>
          </w:p>
        </w:tc>
        <w:tc>
          <w:tcPr>
            <w:tcW w:w="326" w:type="dxa"/>
            <w:noWrap/>
            <w:vAlign w:val="center"/>
            <w:hideMark/>
          </w:tcPr>
          <w:p w14:paraId="05CFBBD5" w14:textId="77777777" w:rsidR="00126D8D" w:rsidRPr="004A4899" w:rsidRDefault="00126D8D" w:rsidP="00820288">
            <w:pPr>
              <w:spacing w:line="240" w:lineRule="auto"/>
              <w:rPr>
                <w:rFonts w:ascii="Times New Roman" w:hAnsi="Times New Roman" w:cs="Times New Roman"/>
                <w:sz w:val="13"/>
                <w:szCs w:val="13"/>
              </w:rPr>
            </w:pPr>
          </w:p>
        </w:tc>
        <w:tc>
          <w:tcPr>
            <w:tcW w:w="377" w:type="dxa"/>
            <w:noWrap/>
            <w:vAlign w:val="center"/>
            <w:hideMark/>
          </w:tcPr>
          <w:p w14:paraId="0D6594FA" w14:textId="77777777" w:rsidR="00126D8D" w:rsidRPr="004A4899" w:rsidRDefault="00126D8D" w:rsidP="00820288">
            <w:pPr>
              <w:spacing w:line="240" w:lineRule="auto"/>
              <w:jc w:val="right"/>
              <w:rPr>
                <w:rFonts w:ascii="Times New Roman" w:hAnsi="Times New Roman" w:cs="Times New Roman"/>
                <w:sz w:val="13"/>
                <w:szCs w:val="13"/>
              </w:rPr>
            </w:pPr>
          </w:p>
        </w:tc>
        <w:tc>
          <w:tcPr>
            <w:tcW w:w="252" w:type="dxa"/>
            <w:noWrap/>
            <w:vAlign w:val="center"/>
            <w:hideMark/>
          </w:tcPr>
          <w:p w14:paraId="0D10EFF3" w14:textId="77777777" w:rsidR="00126D8D" w:rsidRPr="004A4899" w:rsidRDefault="00126D8D" w:rsidP="00820288">
            <w:pPr>
              <w:spacing w:line="240" w:lineRule="auto"/>
              <w:rPr>
                <w:rFonts w:ascii="Times New Roman" w:hAnsi="Times New Roman" w:cs="Times New Roman"/>
                <w:sz w:val="13"/>
                <w:szCs w:val="13"/>
              </w:rPr>
            </w:pPr>
          </w:p>
        </w:tc>
        <w:tc>
          <w:tcPr>
            <w:tcW w:w="377" w:type="dxa"/>
            <w:noWrap/>
            <w:vAlign w:val="center"/>
            <w:hideMark/>
          </w:tcPr>
          <w:p w14:paraId="5DD1E86F" w14:textId="77777777" w:rsidR="00126D8D" w:rsidRPr="004A4899" w:rsidRDefault="00126D8D" w:rsidP="00820288">
            <w:pPr>
              <w:spacing w:line="240" w:lineRule="auto"/>
              <w:jc w:val="right"/>
              <w:rPr>
                <w:rFonts w:ascii="Times New Roman" w:hAnsi="Times New Roman" w:cs="Times New Roman"/>
                <w:sz w:val="13"/>
                <w:szCs w:val="13"/>
              </w:rPr>
            </w:pPr>
          </w:p>
        </w:tc>
        <w:tc>
          <w:tcPr>
            <w:tcW w:w="273" w:type="dxa"/>
            <w:noWrap/>
            <w:vAlign w:val="center"/>
            <w:hideMark/>
          </w:tcPr>
          <w:p w14:paraId="58CEDC24" w14:textId="77777777" w:rsidR="00126D8D" w:rsidRPr="004A4899" w:rsidRDefault="00126D8D" w:rsidP="00820288">
            <w:pPr>
              <w:spacing w:line="240" w:lineRule="auto"/>
              <w:rPr>
                <w:rFonts w:ascii="Times New Roman" w:hAnsi="Times New Roman" w:cs="Times New Roman"/>
                <w:sz w:val="13"/>
                <w:szCs w:val="13"/>
              </w:rPr>
            </w:pPr>
          </w:p>
        </w:tc>
        <w:tc>
          <w:tcPr>
            <w:tcW w:w="377" w:type="dxa"/>
            <w:noWrap/>
            <w:vAlign w:val="center"/>
            <w:hideMark/>
          </w:tcPr>
          <w:p w14:paraId="12E0278C" w14:textId="77777777" w:rsidR="00126D8D" w:rsidRPr="004A4899" w:rsidRDefault="00126D8D" w:rsidP="00820288">
            <w:pPr>
              <w:spacing w:line="240" w:lineRule="auto"/>
              <w:jc w:val="right"/>
              <w:rPr>
                <w:rFonts w:ascii="Times New Roman" w:hAnsi="Times New Roman" w:cs="Times New Roman"/>
                <w:sz w:val="13"/>
                <w:szCs w:val="13"/>
              </w:rPr>
            </w:pPr>
          </w:p>
        </w:tc>
        <w:tc>
          <w:tcPr>
            <w:tcW w:w="273" w:type="dxa"/>
            <w:noWrap/>
            <w:vAlign w:val="center"/>
            <w:hideMark/>
          </w:tcPr>
          <w:p w14:paraId="3C59F0DD" w14:textId="77777777" w:rsidR="00126D8D" w:rsidRPr="004A4899" w:rsidRDefault="00126D8D" w:rsidP="00820288">
            <w:pPr>
              <w:spacing w:line="240" w:lineRule="auto"/>
              <w:rPr>
                <w:rFonts w:ascii="Times New Roman" w:hAnsi="Times New Roman" w:cs="Times New Roman"/>
                <w:sz w:val="13"/>
                <w:szCs w:val="13"/>
              </w:rPr>
            </w:pPr>
          </w:p>
        </w:tc>
      </w:tr>
      <w:tr w:rsidR="00126D8D" w:rsidRPr="004A4899" w14:paraId="43871B31" w14:textId="77777777" w:rsidTr="00820288">
        <w:trPr>
          <w:trHeight w:val="173"/>
        </w:trPr>
        <w:tc>
          <w:tcPr>
            <w:tcW w:w="1440" w:type="dxa"/>
            <w:noWrap/>
            <w:vAlign w:val="center"/>
            <w:hideMark/>
          </w:tcPr>
          <w:p w14:paraId="255C9111" w14:textId="77777777" w:rsidR="00126D8D" w:rsidRPr="004A4899" w:rsidRDefault="00126D8D" w:rsidP="00820288">
            <w:pPr>
              <w:spacing w:line="240" w:lineRule="auto"/>
              <w:rPr>
                <w:rFonts w:ascii="Times New Roman" w:hAnsi="Times New Roman" w:cs="Times New Roman"/>
                <w:sz w:val="12"/>
                <w:szCs w:val="12"/>
              </w:rPr>
            </w:pPr>
            <w:r w:rsidRPr="004A4899">
              <w:rPr>
                <w:rFonts w:ascii="Times New Roman" w:hAnsi="Times New Roman" w:cs="Times New Roman"/>
                <w:sz w:val="12"/>
                <w:szCs w:val="12"/>
              </w:rPr>
              <w:t>2,6-Dimethyl-2,4,6-octatriene</w:t>
            </w:r>
          </w:p>
        </w:tc>
        <w:tc>
          <w:tcPr>
            <w:tcW w:w="377" w:type="dxa"/>
            <w:noWrap/>
            <w:vAlign w:val="center"/>
            <w:hideMark/>
          </w:tcPr>
          <w:p w14:paraId="6B3609F2" w14:textId="77777777" w:rsidR="00126D8D" w:rsidRPr="004A4899" w:rsidRDefault="00126D8D" w:rsidP="00820288">
            <w:pPr>
              <w:spacing w:line="240" w:lineRule="auto"/>
              <w:jc w:val="right"/>
              <w:rPr>
                <w:rFonts w:ascii="Times New Roman" w:hAnsi="Times New Roman" w:cs="Times New Roman"/>
                <w:sz w:val="13"/>
                <w:szCs w:val="13"/>
              </w:rPr>
            </w:pPr>
            <w:r w:rsidRPr="004A4899">
              <w:rPr>
                <w:rFonts w:ascii="Times New Roman" w:hAnsi="Times New Roman" w:cs="Times New Roman"/>
                <w:sz w:val="13"/>
                <w:szCs w:val="13"/>
              </w:rPr>
              <w:t>3.89</w:t>
            </w:r>
          </w:p>
        </w:tc>
        <w:tc>
          <w:tcPr>
            <w:tcW w:w="274" w:type="dxa"/>
            <w:noWrap/>
            <w:vAlign w:val="center"/>
            <w:hideMark/>
          </w:tcPr>
          <w:p w14:paraId="132881C7" w14:textId="77777777" w:rsidR="00126D8D" w:rsidRPr="004A4899" w:rsidRDefault="00126D8D" w:rsidP="00820288">
            <w:pPr>
              <w:spacing w:line="240" w:lineRule="auto"/>
              <w:rPr>
                <w:rFonts w:ascii="Times New Roman" w:hAnsi="Times New Roman" w:cs="Times New Roman"/>
                <w:sz w:val="13"/>
                <w:szCs w:val="13"/>
              </w:rPr>
            </w:pPr>
            <w:r w:rsidRPr="004A4899">
              <w:rPr>
                <w:rFonts w:ascii="Times New Roman" w:hAnsi="Times New Roman" w:cs="Times New Roman"/>
                <w:sz w:val="13"/>
                <w:szCs w:val="13"/>
              </w:rPr>
              <w:t>bcde</w:t>
            </w:r>
          </w:p>
        </w:tc>
        <w:tc>
          <w:tcPr>
            <w:tcW w:w="411" w:type="dxa"/>
            <w:noWrap/>
            <w:vAlign w:val="center"/>
            <w:hideMark/>
          </w:tcPr>
          <w:p w14:paraId="14076252" w14:textId="77777777" w:rsidR="00126D8D" w:rsidRPr="004A4899" w:rsidRDefault="00126D8D" w:rsidP="00820288">
            <w:pPr>
              <w:spacing w:line="240" w:lineRule="auto"/>
              <w:jc w:val="right"/>
              <w:rPr>
                <w:rFonts w:ascii="Times New Roman" w:hAnsi="Times New Roman" w:cs="Times New Roman"/>
                <w:sz w:val="13"/>
                <w:szCs w:val="13"/>
              </w:rPr>
            </w:pPr>
            <w:r w:rsidRPr="004A4899">
              <w:rPr>
                <w:rFonts w:ascii="Times New Roman" w:hAnsi="Times New Roman" w:cs="Times New Roman"/>
                <w:sz w:val="13"/>
                <w:szCs w:val="13"/>
              </w:rPr>
              <w:t>2.62</w:t>
            </w:r>
          </w:p>
        </w:tc>
        <w:tc>
          <w:tcPr>
            <w:tcW w:w="239" w:type="dxa"/>
            <w:noWrap/>
            <w:vAlign w:val="center"/>
            <w:hideMark/>
          </w:tcPr>
          <w:p w14:paraId="7A53B203" w14:textId="77777777" w:rsidR="00126D8D" w:rsidRPr="004A4899" w:rsidRDefault="00126D8D" w:rsidP="00820288">
            <w:pPr>
              <w:spacing w:line="240" w:lineRule="auto"/>
              <w:rPr>
                <w:rFonts w:ascii="Times New Roman" w:hAnsi="Times New Roman" w:cs="Times New Roman"/>
                <w:sz w:val="13"/>
                <w:szCs w:val="13"/>
              </w:rPr>
            </w:pPr>
            <w:r w:rsidRPr="004A4899">
              <w:rPr>
                <w:rFonts w:ascii="Times New Roman" w:hAnsi="Times New Roman" w:cs="Times New Roman"/>
                <w:sz w:val="13"/>
                <w:szCs w:val="13"/>
              </w:rPr>
              <w:t>e</w:t>
            </w:r>
          </w:p>
        </w:tc>
        <w:tc>
          <w:tcPr>
            <w:tcW w:w="377" w:type="dxa"/>
            <w:noWrap/>
            <w:vAlign w:val="center"/>
            <w:hideMark/>
          </w:tcPr>
          <w:p w14:paraId="77E10F34" w14:textId="77777777" w:rsidR="00126D8D" w:rsidRPr="004A4899" w:rsidRDefault="00126D8D" w:rsidP="00820288">
            <w:pPr>
              <w:spacing w:line="240" w:lineRule="auto"/>
              <w:jc w:val="right"/>
              <w:rPr>
                <w:rFonts w:ascii="Times New Roman" w:hAnsi="Times New Roman" w:cs="Times New Roman"/>
                <w:sz w:val="13"/>
                <w:szCs w:val="13"/>
              </w:rPr>
            </w:pPr>
            <w:r w:rsidRPr="004A4899">
              <w:rPr>
                <w:rFonts w:ascii="Times New Roman" w:hAnsi="Times New Roman" w:cs="Times New Roman"/>
                <w:sz w:val="13"/>
                <w:szCs w:val="13"/>
              </w:rPr>
              <w:t>3.41</w:t>
            </w:r>
          </w:p>
        </w:tc>
        <w:tc>
          <w:tcPr>
            <w:tcW w:w="273" w:type="dxa"/>
            <w:noWrap/>
            <w:vAlign w:val="center"/>
            <w:hideMark/>
          </w:tcPr>
          <w:p w14:paraId="1011304F" w14:textId="77777777" w:rsidR="00126D8D" w:rsidRPr="004A4899" w:rsidRDefault="00126D8D" w:rsidP="00820288">
            <w:pPr>
              <w:spacing w:line="240" w:lineRule="auto"/>
              <w:rPr>
                <w:rFonts w:ascii="Times New Roman" w:hAnsi="Times New Roman" w:cs="Times New Roman"/>
                <w:sz w:val="13"/>
                <w:szCs w:val="13"/>
              </w:rPr>
            </w:pPr>
            <w:r w:rsidRPr="004A4899">
              <w:rPr>
                <w:rFonts w:ascii="Times New Roman" w:hAnsi="Times New Roman" w:cs="Times New Roman"/>
                <w:sz w:val="13"/>
                <w:szCs w:val="13"/>
              </w:rPr>
              <w:t>cde</w:t>
            </w:r>
          </w:p>
        </w:tc>
        <w:tc>
          <w:tcPr>
            <w:tcW w:w="377" w:type="dxa"/>
            <w:noWrap/>
            <w:vAlign w:val="center"/>
            <w:hideMark/>
          </w:tcPr>
          <w:p w14:paraId="7E770842" w14:textId="77777777" w:rsidR="00126D8D" w:rsidRPr="004A4899" w:rsidRDefault="00126D8D" w:rsidP="00820288">
            <w:pPr>
              <w:spacing w:line="240" w:lineRule="auto"/>
              <w:jc w:val="right"/>
              <w:rPr>
                <w:rFonts w:ascii="Times New Roman" w:hAnsi="Times New Roman" w:cs="Times New Roman"/>
                <w:sz w:val="13"/>
                <w:szCs w:val="13"/>
              </w:rPr>
            </w:pPr>
            <w:r w:rsidRPr="004A4899">
              <w:rPr>
                <w:rFonts w:ascii="Times New Roman" w:hAnsi="Times New Roman" w:cs="Times New Roman"/>
                <w:sz w:val="13"/>
                <w:szCs w:val="13"/>
              </w:rPr>
              <w:t>4.15</w:t>
            </w:r>
          </w:p>
        </w:tc>
        <w:tc>
          <w:tcPr>
            <w:tcW w:w="273" w:type="dxa"/>
            <w:noWrap/>
            <w:vAlign w:val="center"/>
            <w:hideMark/>
          </w:tcPr>
          <w:p w14:paraId="3784C9B5" w14:textId="77777777" w:rsidR="00126D8D" w:rsidRPr="004A4899" w:rsidRDefault="00126D8D" w:rsidP="00820288">
            <w:pPr>
              <w:spacing w:line="240" w:lineRule="auto"/>
              <w:rPr>
                <w:rFonts w:ascii="Times New Roman" w:hAnsi="Times New Roman" w:cs="Times New Roman"/>
                <w:sz w:val="13"/>
                <w:szCs w:val="13"/>
              </w:rPr>
            </w:pPr>
            <w:r w:rsidRPr="004A4899">
              <w:rPr>
                <w:rFonts w:ascii="Times New Roman" w:hAnsi="Times New Roman" w:cs="Times New Roman"/>
                <w:sz w:val="13"/>
                <w:szCs w:val="13"/>
              </w:rPr>
              <w:t>bcde</w:t>
            </w:r>
          </w:p>
        </w:tc>
        <w:tc>
          <w:tcPr>
            <w:tcW w:w="377" w:type="dxa"/>
            <w:noWrap/>
            <w:vAlign w:val="center"/>
            <w:hideMark/>
          </w:tcPr>
          <w:p w14:paraId="7C3AF6CC" w14:textId="77777777" w:rsidR="00126D8D" w:rsidRPr="004A4899" w:rsidRDefault="00126D8D" w:rsidP="00820288">
            <w:pPr>
              <w:spacing w:line="240" w:lineRule="auto"/>
              <w:jc w:val="right"/>
              <w:rPr>
                <w:rFonts w:ascii="Times New Roman" w:hAnsi="Times New Roman" w:cs="Times New Roman"/>
                <w:sz w:val="13"/>
                <w:szCs w:val="13"/>
              </w:rPr>
            </w:pPr>
            <w:r w:rsidRPr="004A4899">
              <w:rPr>
                <w:rFonts w:ascii="Times New Roman" w:hAnsi="Times New Roman" w:cs="Times New Roman"/>
                <w:sz w:val="13"/>
                <w:szCs w:val="13"/>
              </w:rPr>
              <w:t>5.39</w:t>
            </w:r>
          </w:p>
        </w:tc>
        <w:tc>
          <w:tcPr>
            <w:tcW w:w="326" w:type="dxa"/>
            <w:noWrap/>
            <w:vAlign w:val="center"/>
            <w:hideMark/>
          </w:tcPr>
          <w:p w14:paraId="7D1AEC56" w14:textId="77777777" w:rsidR="00126D8D" w:rsidRPr="004A4899" w:rsidRDefault="00126D8D" w:rsidP="00820288">
            <w:pPr>
              <w:spacing w:line="240" w:lineRule="auto"/>
              <w:rPr>
                <w:rFonts w:ascii="Times New Roman" w:hAnsi="Times New Roman" w:cs="Times New Roman"/>
                <w:sz w:val="13"/>
                <w:szCs w:val="13"/>
              </w:rPr>
            </w:pPr>
            <w:r w:rsidRPr="004A4899">
              <w:rPr>
                <w:rFonts w:ascii="Times New Roman" w:hAnsi="Times New Roman" w:cs="Times New Roman"/>
                <w:sz w:val="13"/>
                <w:szCs w:val="13"/>
              </w:rPr>
              <w:t>b</w:t>
            </w:r>
          </w:p>
        </w:tc>
        <w:tc>
          <w:tcPr>
            <w:tcW w:w="377" w:type="dxa"/>
            <w:noWrap/>
            <w:vAlign w:val="center"/>
            <w:hideMark/>
          </w:tcPr>
          <w:p w14:paraId="0CE9A5BE" w14:textId="77777777" w:rsidR="00126D8D" w:rsidRPr="004A4899" w:rsidRDefault="00126D8D" w:rsidP="00820288">
            <w:pPr>
              <w:spacing w:line="240" w:lineRule="auto"/>
              <w:jc w:val="right"/>
              <w:rPr>
                <w:rFonts w:ascii="Times New Roman" w:hAnsi="Times New Roman" w:cs="Times New Roman"/>
                <w:sz w:val="13"/>
                <w:szCs w:val="13"/>
              </w:rPr>
            </w:pPr>
            <w:r w:rsidRPr="004A4899">
              <w:rPr>
                <w:rFonts w:ascii="Times New Roman" w:hAnsi="Times New Roman" w:cs="Times New Roman"/>
                <w:sz w:val="13"/>
                <w:szCs w:val="13"/>
              </w:rPr>
              <w:t>4.76</w:t>
            </w:r>
          </w:p>
        </w:tc>
        <w:tc>
          <w:tcPr>
            <w:tcW w:w="326" w:type="dxa"/>
            <w:noWrap/>
            <w:vAlign w:val="center"/>
            <w:hideMark/>
          </w:tcPr>
          <w:p w14:paraId="7A881F4B" w14:textId="77777777" w:rsidR="00126D8D" w:rsidRPr="004A4899" w:rsidRDefault="00126D8D" w:rsidP="00820288">
            <w:pPr>
              <w:spacing w:line="240" w:lineRule="auto"/>
              <w:rPr>
                <w:rFonts w:ascii="Times New Roman" w:hAnsi="Times New Roman" w:cs="Times New Roman"/>
                <w:sz w:val="13"/>
                <w:szCs w:val="13"/>
              </w:rPr>
            </w:pPr>
            <w:r w:rsidRPr="004A4899">
              <w:rPr>
                <w:rFonts w:ascii="Times New Roman" w:hAnsi="Times New Roman" w:cs="Times New Roman"/>
                <w:sz w:val="13"/>
                <w:szCs w:val="13"/>
              </w:rPr>
              <w:t>bcd</w:t>
            </w:r>
          </w:p>
        </w:tc>
        <w:tc>
          <w:tcPr>
            <w:tcW w:w="377" w:type="dxa"/>
            <w:noWrap/>
            <w:vAlign w:val="center"/>
            <w:hideMark/>
          </w:tcPr>
          <w:p w14:paraId="53258611" w14:textId="77777777" w:rsidR="00126D8D" w:rsidRPr="004A4899" w:rsidRDefault="00126D8D" w:rsidP="00820288">
            <w:pPr>
              <w:spacing w:line="240" w:lineRule="auto"/>
              <w:jc w:val="right"/>
              <w:rPr>
                <w:rFonts w:ascii="Times New Roman" w:hAnsi="Times New Roman" w:cs="Times New Roman"/>
                <w:sz w:val="13"/>
                <w:szCs w:val="13"/>
              </w:rPr>
            </w:pPr>
            <w:r w:rsidRPr="004A4899">
              <w:rPr>
                <w:rFonts w:ascii="Times New Roman" w:hAnsi="Times New Roman" w:cs="Times New Roman"/>
                <w:sz w:val="13"/>
                <w:szCs w:val="13"/>
              </w:rPr>
              <w:t>5.27</w:t>
            </w:r>
          </w:p>
        </w:tc>
        <w:tc>
          <w:tcPr>
            <w:tcW w:w="219" w:type="dxa"/>
            <w:noWrap/>
            <w:vAlign w:val="center"/>
            <w:hideMark/>
          </w:tcPr>
          <w:p w14:paraId="619523E6" w14:textId="77777777" w:rsidR="00126D8D" w:rsidRPr="004A4899" w:rsidRDefault="00126D8D" w:rsidP="00820288">
            <w:pPr>
              <w:spacing w:line="240" w:lineRule="auto"/>
              <w:rPr>
                <w:rFonts w:ascii="Times New Roman" w:hAnsi="Times New Roman" w:cs="Times New Roman"/>
                <w:sz w:val="13"/>
                <w:szCs w:val="13"/>
              </w:rPr>
            </w:pPr>
            <w:r w:rsidRPr="004A4899">
              <w:rPr>
                <w:rFonts w:ascii="Times New Roman" w:hAnsi="Times New Roman" w:cs="Times New Roman"/>
                <w:sz w:val="13"/>
                <w:szCs w:val="13"/>
              </w:rPr>
              <w:t>bc</w:t>
            </w:r>
          </w:p>
        </w:tc>
        <w:tc>
          <w:tcPr>
            <w:tcW w:w="377" w:type="dxa"/>
            <w:noWrap/>
            <w:vAlign w:val="center"/>
            <w:hideMark/>
          </w:tcPr>
          <w:p w14:paraId="318F13B6" w14:textId="77777777" w:rsidR="00126D8D" w:rsidRPr="004A4899" w:rsidRDefault="00126D8D" w:rsidP="00820288">
            <w:pPr>
              <w:spacing w:line="240" w:lineRule="auto"/>
              <w:jc w:val="right"/>
              <w:rPr>
                <w:rFonts w:ascii="Times New Roman" w:hAnsi="Times New Roman" w:cs="Times New Roman"/>
                <w:sz w:val="13"/>
                <w:szCs w:val="13"/>
              </w:rPr>
            </w:pPr>
            <w:r w:rsidRPr="004A4899">
              <w:rPr>
                <w:rFonts w:ascii="Times New Roman" w:hAnsi="Times New Roman" w:cs="Times New Roman"/>
                <w:sz w:val="13"/>
                <w:szCs w:val="13"/>
              </w:rPr>
              <w:t>7.65</w:t>
            </w:r>
          </w:p>
        </w:tc>
        <w:tc>
          <w:tcPr>
            <w:tcW w:w="159" w:type="dxa"/>
            <w:noWrap/>
            <w:vAlign w:val="center"/>
            <w:hideMark/>
          </w:tcPr>
          <w:p w14:paraId="58F3E8D5" w14:textId="77777777" w:rsidR="00126D8D" w:rsidRPr="004A4899" w:rsidRDefault="00126D8D" w:rsidP="00820288">
            <w:pPr>
              <w:spacing w:line="240" w:lineRule="auto"/>
              <w:rPr>
                <w:rFonts w:ascii="Times New Roman" w:hAnsi="Times New Roman" w:cs="Times New Roman"/>
                <w:sz w:val="13"/>
                <w:szCs w:val="13"/>
              </w:rPr>
            </w:pPr>
            <w:r w:rsidRPr="004A4899">
              <w:rPr>
                <w:rFonts w:ascii="Times New Roman" w:hAnsi="Times New Roman" w:cs="Times New Roman"/>
                <w:sz w:val="13"/>
                <w:szCs w:val="13"/>
              </w:rPr>
              <w:t>a</w:t>
            </w:r>
          </w:p>
        </w:tc>
        <w:tc>
          <w:tcPr>
            <w:tcW w:w="377" w:type="dxa"/>
            <w:noWrap/>
            <w:vAlign w:val="center"/>
            <w:hideMark/>
          </w:tcPr>
          <w:p w14:paraId="20382AAB" w14:textId="77777777" w:rsidR="00126D8D" w:rsidRPr="004A4899" w:rsidRDefault="00126D8D" w:rsidP="00820288">
            <w:pPr>
              <w:spacing w:line="240" w:lineRule="auto"/>
              <w:jc w:val="right"/>
              <w:rPr>
                <w:rFonts w:ascii="Times New Roman" w:hAnsi="Times New Roman" w:cs="Times New Roman"/>
                <w:sz w:val="13"/>
                <w:szCs w:val="13"/>
              </w:rPr>
            </w:pPr>
            <w:r w:rsidRPr="004A4899">
              <w:rPr>
                <w:rFonts w:ascii="Times New Roman" w:hAnsi="Times New Roman" w:cs="Times New Roman"/>
                <w:sz w:val="13"/>
                <w:szCs w:val="13"/>
              </w:rPr>
              <w:t>5.56</w:t>
            </w:r>
          </w:p>
        </w:tc>
        <w:tc>
          <w:tcPr>
            <w:tcW w:w="326" w:type="dxa"/>
            <w:noWrap/>
            <w:vAlign w:val="center"/>
            <w:hideMark/>
          </w:tcPr>
          <w:p w14:paraId="25C99C31" w14:textId="77777777" w:rsidR="00126D8D" w:rsidRPr="004A4899" w:rsidRDefault="00126D8D" w:rsidP="00820288">
            <w:pPr>
              <w:spacing w:line="240" w:lineRule="auto"/>
              <w:rPr>
                <w:rFonts w:ascii="Times New Roman" w:hAnsi="Times New Roman" w:cs="Times New Roman"/>
                <w:sz w:val="13"/>
                <w:szCs w:val="13"/>
              </w:rPr>
            </w:pPr>
            <w:r w:rsidRPr="004A4899">
              <w:rPr>
                <w:rFonts w:ascii="Times New Roman" w:hAnsi="Times New Roman" w:cs="Times New Roman"/>
                <w:sz w:val="13"/>
                <w:szCs w:val="13"/>
              </w:rPr>
              <w:t>b</w:t>
            </w:r>
          </w:p>
        </w:tc>
        <w:tc>
          <w:tcPr>
            <w:tcW w:w="377" w:type="dxa"/>
            <w:noWrap/>
            <w:vAlign w:val="center"/>
            <w:hideMark/>
          </w:tcPr>
          <w:p w14:paraId="4279D4E0" w14:textId="77777777" w:rsidR="00126D8D" w:rsidRPr="004A4899" w:rsidRDefault="00126D8D" w:rsidP="00820288">
            <w:pPr>
              <w:spacing w:line="240" w:lineRule="auto"/>
              <w:jc w:val="right"/>
              <w:rPr>
                <w:rFonts w:ascii="Times New Roman" w:hAnsi="Times New Roman" w:cs="Times New Roman"/>
                <w:sz w:val="13"/>
                <w:szCs w:val="13"/>
              </w:rPr>
            </w:pPr>
            <w:r w:rsidRPr="004A4899">
              <w:rPr>
                <w:rFonts w:ascii="Times New Roman" w:hAnsi="Times New Roman" w:cs="Times New Roman"/>
                <w:sz w:val="13"/>
                <w:szCs w:val="13"/>
              </w:rPr>
              <w:t>3.20</w:t>
            </w:r>
          </w:p>
        </w:tc>
        <w:tc>
          <w:tcPr>
            <w:tcW w:w="252" w:type="dxa"/>
            <w:noWrap/>
            <w:vAlign w:val="center"/>
            <w:hideMark/>
          </w:tcPr>
          <w:p w14:paraId="56E85D61" w14:textId="77777777" w:rsidR="00126D8D" w:rsidRPr="004A4899" w:rsidRDefault="00126D8D" w:rsidP="00820288">
            <w:pPr>
              <w:spacing w:line="240" w:lineRule="auto"/>
              <w:rPr>
                <w:rFonts w:ascii="Times New Roman" w:hAnsi="Times New Roman" w:cs="Times New Roman"/>
                <w:sz w:val="13"/>
                <w:szCs w:val="13"/>
              </w:rPr>
            </w:pPr>
            <w:r w:rsidRPr="004A4899">
              <w:rPr>
                <w:rFonts w:ascii="Times New Roman" w:hAnsi="Times New Roman" w:cs="Times New Roman"/>
                <w:sz w:val="13"/>
                <w:szCs w:val="13"/>
              </w:rPr>
              <w:t>de</w:t>
            </w:r>
          </w:p>
        </w:tc>
        <w:tc>
          <w:tcPr>
            <w:tcW w:w="377" w:type="dxa"/>
            <w:noWrap/>
            <w:vAlign w:val="center"/>
            <w:hideMark/>
          </w:tcPr>
          <w:p w14:paraId="2B53416F" w14:textId="77777777" w:rsidR="00126D8D" w:rsidRPr="004A4899" w:rsidRDefault="00126D8D" w:rsidP="00820288">
            <w:pPr>
              <w:spacing w:line="240" w:lineRule="auto"/>
              <w:jc w:val="right"/>
              <w:rPr>
                <w:rFonts w:ascii="Times New Roman" w:hAnsi="Times New Roman" w:cs="Times New Roman"/>
                <w:sz w:val="13"/>
                <w:szCs w:val="13"/>
              </w:rPr>
            </w:pPr>
            <w:r w:rsidRPr="004A4899">
              <w:rPr>
                <w:rFonts w:ascii="Times New Roman" w:hAnsi="Times New Roman" w:cs="Times New Roman"/>
                <w:sz w:val="13"/>
                <w:szCs w:val="13"/>
              </w:rPr>
              <w:t>3.78</w:t>
            </w:r>
          </w:p>
        </w:tc>
        <w:tc>
          <w:tcPr>
            <w:tcW w:w="273" w:type="dxa"/>
            <w:noWrap/>
            <w:vAlign w:val="center"/>
            <w:hideMark/>
          </w:tcPr>
          <w:p w14:paraId="34020815" w14:textId="77777777" w:rsidR="00126D8D" w:rsidRPr="004A4899" w:rsidRDefault="00126D8D" w:rsidP="00820288">
            <w:pPr>
              <w:spacing w:line="240" w:lineRule="auto"/>
              <w:rPr>
                <w:rFonts w:ascii="Times New Roman" w:hAnsi="Times New Roman" w:cs="Times New Roman"/>
                <w:sz w:val="13"/>
                <w:szCs w:val="13"/>
              </w:rPr>
            </w:pPr>
            <w:r w:rsidRPr="004A4899">
              <w:rPr>
                <w:rFonts w:ascii="Times New Roman" w:hAnsi="Times New Roman" w:cs="Times New Roman"/>
                <w:sz w:val="13"/>
                <w:szCs w:val="13"/>
              </w:rPr>
              <w:t>bcde</w:t>
            </w:r>
          </w:p>
        </w:tc>
        <w:tc>
          <w:tcPr>
            <w:tcW w:w="377" w:type="dxa"/>
            <w:noWrap/>
            <w:vAlign w:val="center"/>
            <w:hideMark/>
          </w:tcPr>
          <w:p w14:paraId="4CFCCF6A" w14:textId="77777777" w:rsidR="00126D8D" w:rsidRPr="004A4899" w:rsidRDefault="00126D8D" w:rsidP="00820288">
            <w:pPr>
              <w:spacing w:line="240" w:lineRule="auto"/>
              <w:jc w:val="right"/>
              <w:rPr>
                <w:rFonts w:ascii="Times New Roman" w:hAnsi="Times New Roman" w:cs="Times New Roman"/>
                <w:sz w:val="13"/>
                <w:szCs w:val="13"/>
              </w:rPr>
            </w:pPr>
            <w:r w:rsidRPr="004A4899">
              <w:rPr>
                <w:rFonts w:ascii="Times New Roman" w:hAnsi="Times New Roman" w:cs="Times New Roman"/>
                <w:sz w:val="13"/>
                <w:szCs w:val="13"/>
              </w:rPr>
              <w:t>2.55</w:t>
            </w:r>
          </w:p>
        </w:tc>
        <w:tc>
          <w:tcPr>
            <w:tcW w:w="273" w:type="dxa"/>
            <w:noWrap/>
            <w:vAlign w:val="center"/>
            <w:hideMark/>
          </w:tcPr>
          <w:p w14:paraId="19AE01C8" w14:textId="77777777" w:rsidR="00126D8D" w:rsidRPr="004A4899" w:rsidRDefault="00126D8D" w:rsidP="00820288">
            <w:pPr>
              <w:spacing w:line="240" w:lineRule="auto"/>
              <w:rPr>
                <w:rFonts w:ascii="Times New Roman" w:hAnsi="Times New Roman" w:cs="Times New Roman"/>
                <w:sz w:val="13"/>
                <w:szCs w:val="13"/>
              </w:rPr>
            </w:pPr>
            <w:r w:rsidRPr="004A4899">
              <w:rPr>
                <w:rFonts w:ascii="Times New Roman" w:hAnsi="Times New Roman" w:cs="Times New Roman"/>
                <w:sz w:val="13"/>
                <w:szCs w:val="13"/>
              </w:rPr>
              <w:t>e</w:t>
            </w:r>
          </w:p>
        </w:tc>
      </w:tr>
      <w:tr w:rsidR="00126D8D" w:rsidRPr="004A4899" w14:paraId="7F4947FA" w14:textId="77777777" w:rsidTr="00820288">
        <w:trPr>
          <w:trHeight w:val="173"/>
        </w:trPr>
        <w:tc>
          <w:tcPr>
            <w:tcW w:w="1440" w:type="dxa"/>
            <w:noWrap/>
            <w:vAlign w:val="center"/>
            <w:hideMark/>
          </w:tcPr>
          <w:p w14:paraId="312AEFDB" w14:textId="77777777" w:rsidR="00126D8D" w:rsidRPr="004A4899" w:rsidRDefault="00126D8D" w:rsidP="00820288">
            <w:pPr>
              <w:spacing w:line="240" w:lineRule="auto"/>
              <w:rPr>
                <w:rFonts w:ascii="Times New Roman" w:hAnsi="Times New Roman" w:cs="Times New Roman"/>
                <w:sz w:val="12"/>
                <w:szCs w:val="12"/>
              </w:rPr>
            </w:pPr>
            <w:r w:rsidRPr="004A4899">
              <w:rPr>
                <w:rFonts w:ascii="Times New Roman" w:hAnsi="Times New Roman" w:cs="Times New Roman"/>
                <w:sz w:val="12"/>
                <w:szCs w:val="12"/>
              </w:rPr>
              <w:t>cis-β-Ocimene</w:t>
            </w:r>
          </w:p>
        </w:tc>
        <w:tc>
          <w:tcPr>
            <w:tcW w:w="377" w:type="dxa"/>
            <w:noWrap/>
            <w:vAlign w:val="center"/>
            <w:hideMark/>
          </w:tcPr>
          <w:p w14:paraId="57408238" w14:textId="77777777" w:rsidR="00126D8D" w:rsidRPr="004A4899" w:rsidRDefault="00126D8D" w:rsidP="00820288">
            <w:pPr>
              <w:spacing w:line="240" w:lineRule="auto"/>
              <w:jc w:val="right"/>
              <w:rPr>
                <w:rFonts w:ascii="Times New Roman" w:hAnsi="Times New Roman" w:cs="Times New Roman"/>
                <w:sz w:val="13"/>
                <w:szCs w:val="13"/>
              </w:rPr>
            </w:pPr>
            <w:r w:rsidRPr="004A4899">
              <w:rPr>
                <w:rFonts w:ascii="Times New Roman" w:hAnsi="Times New Roman" w:cs="Times New Roman"/>
                <w:sz w:val="13"/>
                <w:szCs w:val="13"/>
              </w:rPr>
              <w:t>454.45</w:t>
            </w:r>
          </w:p>
        </w:tc>
        <w:tc>
          <w:tcPr>
            <w:tcW w:w="274" w:type="dxa"/>
            <w:noWrap/>
            <w:vAlign w:val="center"/>
            <w:hideMark/>
          </w:tcPr>
          <w:p w14:paraId="60D07A21" w14:textId="77777777" w:rsidR="00126D8D" w:rsidRPr="004A4899" w:rsidRDefault="00126D8D" w:rsidP="00820288">
            <w:pPr>
              <w:spacing w:line="240" w:lineRule="auto"/>
              <w:rPr>
                <w:rFonts w:ascii="Times New Roman" w:hAnsi="Times New Roman" w:cs="Times New Roman"/>
                <w:sz w:val="13"/>
                <w:szCs w:val="13"/>
              </w:rPr>
            </w:pPr>
            <w:r w:rsidRPr="004A4899">
              <w:rPr>
                <w:rFonts w:ascii="Times New Roman" w:hAnsi="Times New Roman" w:cs="Times New Roman"/>
                <w:sz w:val="13"/>
                <w:szCs w:val="13"/>
              </w:rPr>
              <w:t>b</w:t>
            </w:r>
          </w:p>
        </w:tc>
        <w:tc>
          <w:tcPr>
            <w:tcW w:w="411" w:type="dxa"/>
            <w:noWrap/>
            <w:vAlign w:val="center"/>
            <w:hideMark/>
          </w:tcPr>
          <w:p w14:paraId="38EA3162" w14:textId="77777777" w:rsidR="00126D8D" w:rsidRPr="004A4899" w:rsidRDefault="00126D8D" w:rsidP="00820288">
            <w:pPr>
              <w:spacing w:line="240" w:lineRule="auto"/>
              <w:jc w:val="right"/>
              <w:rPr>
                <w:rFonts w:ascii="Times New Roman" w:hAnsi="Times New Roman" w:cs="Times New Roman"/>
                <w:sz w:val="13"/>
                <w:szCs w:val="13"/>
              </w:rPr>
            </w:pPr>
            <w:r w:rsidRPr="004A4899">
              <w:rPr>
                <w:rFonts w:ascii="Times New Roman" w:hAnsi="Times New Roman" w:cs="Times New Roman"/>
                <w:sz w:val="13"/>
                <w:szCs w:val="13"/>
              </w:rPr>
              <w:t>345.75</w:t>
            </w:r>
          </w:p>
        </w:tc>
        <w:tc>
          <w:tcPr>
            <w:tcW w:w="239" w:type="dxa"/>
            <w:noWrap/>
            <w:vAlign w:val="center"/>
            <w:hideMark/>
          </w:tcPr>
          <w:p w14:paraId="0B755DF0" w14:textId="77777777" w:rsidR="00126D8D" w:rsidRPr="004A4899" w:rsidRDefault="00126D8D" w:rsidP="00820288">
            <w:pPr>
              <w:spacing w:line="240" w:lineRule="auto"/>
              <w:rPr>
                <w:rFonts w:ascii="Times New Roman" w:hAnsi="Times New Roman" w:cs="Times New Roman"/>
                <w:sz w:val="13"/>
                <w:szCs w:val="13"/>
              </w:rPr>
            </w:pPr>
            <w:r w:rsidRPr="004A4899">
              <w:rPr>
                <w:rFonts w:ascii="Times New Roman" w:hAnsi="Times New Roman" w:cs="Times New Roman"/>
                <w:sz w:val="13"/>
                <w:szCs w:val="13"/>
              </w:rPr>
              <w:t>b</w:t>
            </w:r>
          </w:p>
        </w:tc>
        <w:tc>
          <w:tcPr>
            <w:tcW w:w="377" w:type="dxa"/>
            <w:noWrap/>
            <w:vAlign w:val="center"/>
            <w:hideMark/>
          </w:tcPr>
          <w:p w14:paraId="30A171CB" w14:textId="77777777" w:rsidR="00126D8D" w:rsidRPr="004A4899" w:rsidRDefault="00126D8D" w:rsidP="00820288">
            <w:pPr>
              <w:spacing w:line="240" w:lineRule="auto"/>
              <w:jc w:val="right"/>
              <w:rPr>
                <w:rFonts w:ascii="Times New Roman" w:hAnsi="Times New Roman" w:cs="Times New Roman"/>
                <w:sz w:val="13"/>
                <w:szCs w:val="13"/>
              </w:rPr>
            </w:pPr>
            <w:r w:rsidRPr="004A4899">
              <w:rPr>
                <w:rFonts w:ascii="Times New Roman" w:hAnsi="Times New Roman" w:cs="Times New Roman"/>
                <w:sz w:val="13"/>
                <w:szCs w:val="13"/>
              </w:rPr>
              <w:t>474.37</w:t>
            </w:r>
          </w:p>
        </w:tc>
        <w:tc>
          <w:tcPr>
            <w:tcW w:w="273" w:type="dxa"/>
            <w:noWrap/>
            <w:vAlign w:val="center"/>
            <w:hideMark/>
          </w:tcPr>
          <w:p w14:paraId="3C9735AA" w14:textId="77777777" w:rsidR="00126D8D" w:rsidRPr="004A4899" w:rsidRDefault="00126D8D" w:rsidP="00820288">
            <w:pPr>
              <w:spacing w:line="240" w:lineRule="auto"/>
              <w:rPr>
                <w:rFonts w:ascii="Times New Roman" w:hAnsi="Times New Roman" w:cs="Times New Roman"/>
                <w:sz w:val="13"/>
                <w:szCs w:val="13"/>
              </w:rPr>
            </w:pPr>
            <w:r w:rsidRPr="004A4899">
              <w:rPr>
                <w:rFonts w:ascii="Times New Roman" w:hAnsi="Times New Roman" w:cs="Times New Roman"/>
                <w:sz w:val="13"/>
                <w:szCs w:val="13"/>
              </w:rPr>
              <w:t>ab</w:t>
            </w:r>
          </w:p>
        </w:tc>
        <w:tc>
          <w:tcPr>
            <w:tcW w:w="377" w:type="dxa"/>
            <w:noWrap/>
            <w:vAlign w:val="center"/>
            <w:hideMark/>
          </w:tcPr>
          <w:p w14:paraId="0FF28816" w14:textId="77777777" w:rsidR="00126D8D" w:rsidRPr="004A4899" w:rsidRDefault="00126D8D" w:rsidP="00820288">
            <w:pPr>
              <w:spacing w:line="240" w:lineRule="auto"/>
              <w:jc w:val="right"/>
              <w:rPr>
                <w:rFonts w:ascii="Times New Roman" w:hAnsi="Times New Roman" w:cs="Times New Roman"/>
                <w:sz w:val="13"/>
                <w:szCs w:val="13"/>
              </w:rPr>
            </w:pPr>
            <w:r w:rsidRPr="004A4899">
              <w:rPr>
                <w:rFonts w:ascii="Times New Roman" w:hAnsi="Times New Roman" w:cs="Times New Roman"/>
                <w:sz w:val="13"/>
                <w:szCs w:val="13"/>
              </w:rPr>
              <w:t>435.78</w:t>
            </w:r>
          </w:p>
        </w:tc>
        <w:tc>
          <w:tcPr>
            <w:tcW w:w="273" w:type="dxa"/>
            <w:noWrap/>
            <w:vAlign w:val="center"/>
            <w:hideMark/>
          </w:tcPr>
          <w:p w14:paraId="665B78D9" w14:textId="77777777" w:rsidR="00126D8D" w:rsidRPr="004A4899" w:rsidRDefault="00126D8D" w:rsidP="00820288">
            <w:pPr>
              <w:spacing w:line="240" w:lineRule="auto"/>
              <w:rPr>
                <w:rFonts w:ascii="Times New Roman" w:hAnsi="Times New Roman" w:cs="Times New Roman"/>
                <w:sz w:val="13"/>
                <w:szCs w:val="13"/>
              </w:rPr>
            </w:pPr>
            <w:r w:rsidRPr="004A4899">
              <w:rPr>
                <w:rFonts w:ascii="Times New Roman" w:hAnsi="Times New Roman" w:cs="Times New Roman"/>
                <w:sz w:val="13"/>
                <w:szCs w:val="13"/>
              </w:rPr>
              <w:t>b</w:t>
            </w:r>
          </w:p>
        </w:tc>
        <w:tc>
          <w:tcPr>
            <w:tcW w:w="377" w:type="dxa"/>
            <w:noWrap/>
            <w:vAlign w:val="center"/>
            <w:hideMark/>
          </w:tcPr>
          <w:p w14:paraId="5E381A43" w14:textId="77777777" w:rsidR="00126D8D" w:rsidRPr="004A4899" w:rsidRDefault="00126D8D" w:rsidP="00820288">
            <w:pPr>
              <w:spacing w:line="240" w:lineRule="auto"/>
              <w:jc w:val="right"/>
              <w:rPr>
                <w:rFonts w:ascii="Times New Roman" w:hAnsi="Times New Roman" w:cs="Times New Roman"/>
                <w:sz w:val="13"/>
                <w:szCs w:val="13"/>
              </w:rPr>
            </w:pPr>
            <w:r w:rsidRPr="004A4899">
              <w:rPr>
                <w:rFonts w:ascii="Times New Roman" w:hAnsi="Times New Roman" w:cs="Times New Roman"/>
                <w:sz w:val="13"/>
                <w:szCs w:val="13"/>
              </w:rPr>
              <w:t>442.53</w:t>
            </w:r>
          </w:p>
        </w:tc>
        <w:tc>
          <w:tcPr>
            <w:tcW w:w="326" w:type="dxa"/>
            <w:noWrap/>
            <w:vAlign w:val="center"/>
            <w:hideMark/>
          </w:tcPr>
          <w:p w14:paraId="295458BA" w14:textId="77777777" w:rsidR="00126D8D" w:rsidRPr="004A4899" w:rsidRDefault="00126D8D" w:rsidP="00820288">
            <w:pPr>
              <w:spacing w:line="240" w:lineRule="auto"/>
              <w:rPr>
                <w:rFonts w:ascii="Times New Roman" w:hAnsi="Times New Roman" w:cs="Times New Roman"/>
                <w:sz w:val="13"/>
                <w:szCs w:val="13"/>
              </w:rPr>
            </w:pPr>
            <w:r w:rsidRPr="004A4899">
              <w:rPr>
                <w:rFonts w:ascii="Times New Roman" w:hAnsi="Times New Roman" w:cs="Times New Roman"/>
                <w:sz w:val="13"/>
                <w:szCs w:val="13"/>
              </w:rPr>
              <w:t>b</w:t>
            </w:r>
          </w:p>
        </w:tc>
        <w:tc>
          <w:tcPr>
            <w:tcW w:w="377" w:type="dxa"/>
            <w:noWrap/>
            <w:vAlign w:val="center"/>
            <w:hideMark/>
          </w:tcPr>
          <w:p w14:paraId="23DCAFFD" w14:textId="77777777" w:rsidR="00126D8D" w:rsidRPr="004A4899" w:rsidRDefault="00126D8D" w:rsidP="00820288">
            <w:pPr>
              <w:spacing w:line="240" w:lineRule="auto"/>
              <w:jc w:val="right"/>
              <w:rPr>
                <w:rFonts w:ascii="Times New Roman" w:hAnsi="Times New Roman" w:cs="Times New Roman"/>
                <w:sz w:val="13"/>
                <w:szCs w:val="13"/>
              </w:rPr>
            </w:pPr>
            <w:r w:rsidRPr="004A4899">
              <w:rPr>
                <w:rFonts w:ascii="Times New Roman" w:hAnsi="Times New Roman" w:cs="Times New Roman"/>
                <w:sz w:val="13"/>
                <w:szCs w:val="13"/>
              </w:rPr>
              <w:t>526.31</w:t>
            </w:r>
          </w:p>
        </w:tc>
        <w:tc>
          <w:tcPr>
            <w:tcW w:w="326" w:type="dxa"/>
            <w:noWrap/>
            <w:vAlign w:val="center"/>
            <w:hideMark/>
          </w:tcPr>
          <w:p w14:paraId="64583D46" w14:textId="77777777" w:rsidR="00126D8D" w:rsidRPr="004A4899" w:rsidRDefault="00126D8D" w:rsidP="00820288">
            <w:pPr>
              <w:spacing w:line="240" w:lineRule="auto"/>
              <w:rPr>
                <w:rFonts w:ascii="Times New Roman" w:hAnsi="Times New Roman" w:cs="Times New Roman"/>
                <w:sz w:val="13"/>
                <w:szCs w:val="13"/>
              </w:rPr>
            </w:pPr>
            <w:r w:rsidRPr="004A4899">
              <w:rPr>
                <w:rFonts w:ascii="Times New Roman" w:hAnsi="Times New Roman" w:cs="Times New Roman"/>
                <w:sz w:val="13"/>
                <w:szCs w:val="13"/>
              </w:rPr>
              <w:t>ab</w:t>
            </w:r>
          </w:p>
        </w:tc>
        <w:tc>
          <w:tcPr>
            <w:tcW w:w="377" w:type="dxa"/>
            <w:noWrap/>
            <w:vAlign w:val="center"/>
            <w:hideMark/>
          </w:tcPr>
          <w:p w14:paraId="28338165" w14:textId="77777777" w:rsidR="00126D8D" w:rsidRPr="004A4899" w:rsidRDefault="00126D8D" w:rsidP="00820288">
            <w:pPr>
              <w:spacing w:line="240" w:lineRule="auto"/>
              <w:jc w:val="right"/>
              <w:rPr>
                <w:rFonts w:ascii="Times New Roman" w:hAnsi="Times New Roman" w:cs="Times New Roman"/>
                <w:sz w:val="13"/>
                <w:szCs w:val="13"/>
              </w:rPr>
            </w:pPr>
            <w:r w:rsidRPr="004A4899">
              <w:rPr>
                <w:rFonts w:ascii="Times New Roman" w:hAnsi="Times New Roman" w:cs="Times New Roman"/>
                <w:sz w:val="13"/>
                <w:szCs w:val="13"/>
              </w:rPr>
              <w:t>446.03</w:t>
            </w:r>
          </w:p>
        </w:tc>
        <w:tc>
          <w:tcPr>
            <w:tcW w:w="219" w:type="dxa"/>
            <w:noWrap/>
            <w:vAlign w:val="center"/>
            <w:hideMark/>
          </w:tcPr>
          <w:p w14:paraId="5AF7C6CC" w14:textId="77777777" w:rsidR="00126D8D" w:rsidRPr="004A4899" w:rsidRDefault="00126D8D" w:rsidP="00820288">
            <w:pPr>
              <w:spacing w:line="240" w:lineRule="auto"/>
              <w:rPr>
                <w:rFonts w:ascii="Times New Roman" w:hAnsi="Times New Roman" w:cs="Times New Roman"/>
                <w:sz w:val="13"/>
                <w:szCs w:val="13"/>
              </w:rPr>
            </w:pPr>
            <w:r w:rsidRPr="004A4899">
              <w:rPr>
                <w:rFonts w:ascii="Times New Roman" w:hAnsi="Times New Roman" w:cs="Times New Roman"/>
                <w:sz w:val="13"/>
                <w:szCs w:val="13"/>
              </w:rPr>
              <w:t>b</w:t>
            </w:r>
          </w:p>
        </w:tc>
        <w:tc>
          <w:tcPr>
            <w:tcW w:w="377" w:type="dxa"/>
            <w:noWrap/>
            <w:vAlign w:val="center"/>
            <w:hideMark/>
          </w:tcPr>
          <w:p w14:paraId="6E926868" w14:textId="77777777" w:rsidR="00126D8D" w:rsidRPr="004A4899" w:rsidRDefault="00126D8D" w:rsidP="00820288">
            <w:pPr>
              <w:spacing w:line="240" w:lineRule="auto"/>
              <w:jc w:val="right"/>
              <w:rPr>
                <w:rFonts w:ascii="Times New Roman" w:hAnsi="Times New Roman" w:cs="Times New Roman"/>
                <w:sz w:val="13"/>
                <w:szCs w:val="13"/>
              </w:rPr>
            </w:pPr>
            <w:r w:rsidRPr="004A4899">
              <w:rPr>
                <w:rFonts w:ascii="Times New Roman" w:hAnsi="Times New Roman" w:cs="Times New Roman"/>
                <w:sz w:val="13"/>
                <w:szCs w:val="13"/>
              </w:rPr>
              <w:t>756.25</w:t>
            </w:r>
          </w:p>
        </w:tc>
        <w:tc>
          <w:tcPr>
            <w:tcW w:w="159" w:type="dxa"/>
            <w:noWrap/>
            <w:vAlign w:val="center"/>
            <w:hideMark/>
          </w:tcPr>
          <w:p w14:paraId="01BC57FE" w14:textId="77777777" w:rsidR="00126D8D" w:rsidRPr="004A4899" w:rsidRDefault="00126D8D" w:rsidP="00820288">
            <w:pPr>
              <w:spacing w:line="240" w:lineRule="auto"/>
              <w:rPr>
                <w:rFonts w:ascii="Times New Roman" w:hAnsi="Times New Roman" w:cs="Times New Roman"/>
                <w:sz w:val="13"/>
                <w:szCs w:val="13"/>
              </w:rPr>
            </w:pPr>
            <w:r w:rsidRPr="004A4899">
              <w:rPr>
                <w:rFonts w:ascii="Times New Roman" w:hAnsi="Times New Roman" w:cs="Times New Roman"/>
                <w:sz w:val="13"/>
                <w:szCs w:val="13"/>
              </w:rPr>
              <w:t>a</w:t>
            </w:r>
          </w:p>
        </w:tc>
        <w:tc>
          <w:tcPr>
            <w:tcW w:w="377" w:type="dxa"/>
            <w:noWrap/>
            <w:vAlign w:val="center"/>
            <w:hideMark/>
          </w:tcPr>
          <w:p w14:paraId="318868A4" w14:textId="77777777" w:rsidR="00126D8D" w:rsidRPr="004A4899" w:rsidRDefault="00126D8D" w:rsidP="00820288">
            <w:pPr>
              <w:spacing w:line="240" w:lineRule="auto"/>
              <w:jc w:val="right"/>
              <w:rPr>
                <w:rFonts w:ascii="Times New Roman" w:hAnsi="Times New Roman" w:cs="Times New Roman"/>
                <w:sz w:val="13"/>
                <w:szCs w:val="13"/>
              </w:rPr>
            </w:pPr>
            <w:r w:rsidRPr="004A4899">
              <w:rPr>
                <w:rFonts w:ascii="Times New Roman" w:hAnsi="Times New Roman" w:cs="Times New Roman"/>
                <w:sz w:val="13"/>
                <w:szCs w:val="13"/>
              </w:rPr>
              <w:t>489.82</w:t>
            </w:r>
          </w:p>
        </w:tc>
        <w:tc>
          <w:tcPr>
            <w:tcW w:w="326" w:type="dxa"/>
            <w:noWrap/>
            <w:vAlign w:val="center"/>
            <w:hideMark/>
          </w:tcPr>
          <w:p w14:paraId="59232C5A" w14:textId="77777777" w:rsidR="00126D8D" w:rsidRPr="004A4899" w:rsidRDefault="00126D8D" w:rsidP="00820288">
            <w:pPr>
              <w:spacing w:line="240" w:lineRule="auto"/>
              <w:rPr>
                <w:rFonts w:ascii="Times New Roman" w:hAnsi="Times New Roman" w:cs="Times New Roman"/>
                <w:sz w:val="13"/>
                <w:szCs w:val="13"/>
              </w:rPr>
            </w:pPr>
            <w:r w:rsidRPr="004A4899">
              <w:rPr>
                <w:rFonts w:ascii="Times New Roman" w:hAnsi="Times New Roman" w:cs="Times New Roman"/>
                <w:sz w:val="13"/>
                <w:szCs w:val="13"/>
              </w:rPr>
              <w:t>ab</w:t>
            </w:r>
          </w:p>
        </w:tc>
        <w:tc>
          <w:tcPr>
            <w:tcW w:w="377" w:type="dxa"/>
            <w:noWrap/>
            <w:vAlign w:val="center"/>
            <w:hideMark/>
          </w:tcPr>
          <w:p w14:paraId="35696232" w14:textId="77777777" w:rsidR="00126D8D" w:rsidRPr="004A4899" w:rsidRDefault="00126D8D" w:rsidP="00820288">
            <w:pPr>
              <w:spacing w:line="240" w:lineRule="auto"/>
              <w:jc w:val="right"/>
              <w:rPr>
                <w:rFonts w:ascii="Times New Roman" w:hAnsi="Times New Roman" w:cs="Times New Roman"/>
                <w:sz w:val="13"/>
                <w:szCs w:val="13"/>
              </w:rPr>
            </w:pPr>
            <w:r w:rsidRPr="004A4899">
              <w:rPr>
                <w:rFonts w:ascii="Times New Roman" w:hAnsi="Times New Roman" w:cs="Times New Roman"/>
                <w:sz w:val="13"/>
                <w:szCs w:val="13"/>
              </w:rPr>
              <w:t>380.42</w:t>
            </w:r>
          </w:p>
        </w:tc>
        <w:tc>
          <w:tcPr>
            <w:tcW w:w="252" w:type="dxa"/>
            <w:noWrap/>
            <w:vAlign w:val="center"/>
            <w:hideMark/>
          </w:tcPr>
          <w:p w14:paraId="26E8E86A" w14:textId="77777777" w:rsidR="00126D8D" w:rsidRPr="004A4899" w:rsidRDefault="00126D8D" w:rsidP="00820288">
            <w:pPr>
              <w:spacing w:line="240" w:lineRule="auto"/>
              <w:rPr>
                <w:rFonts w:ascii="Times New Roman" w:hAnsi="Times New Roman" w:cs="Times New Roman"/>
                <w:sz w:val="13"/>
                <w:szCs w:val="13"/>
              </w:rPr>
            </w:pPr>
            <w:r w:rsidRPr="004A4899">
              <w:rPr>
                <w:rFonts w:ascii="Times New Roman" w:hAnsi="Times New Roman" w:cs="Times New Roman"/>
                <w:sz w:val="13"/>
                <w:szCs w:val="13"/>
              </w:rPr>
              <w:t>b</w:t>
            </w:r>
          </w:p>
        </w:tc>
        <w:tc>
          <w:tcPr>
            <w:tcW w:w="377" w:type="dxa"/>
            <w:noWrap/>
            <w:vAlign w:val="center"/>
            <w:hideMark/>
          </w:tcPr>
          <w:p w14:paraId="5028F297" w14:textId="77777777" w:rsidR="00126D8D" w:rsidRPr="004A4899" w:rsidRDefault="00126D8D" w:rsidP="00820288">
            <w:pPr>
              <w:spacing w:line="240" w:lineRule="auto"/>
              <w:jc w:val="right"/>
              <w:rPr>
                <w:rFonts w:ascii="Times New Roman" w:hAnsi="Times New Roman" w:cs="Times New Roman"/>
                <w:sz w:val="13"/>
                <w:szCs w:val="13"/>
              </w:rPr>
            </w:pPr>
            <w:r w:rsidRPr="004A4899">
              <w:rPr>
                <w:rFonts w:ascii="Times New Roman" w:hAnsi="Times New Roman" w:cs="Times New Roman"/>
                <w:sz w:val="13"/>
                <w:szCs w:val="13"/>
              </w:rPr>
              <w:t>331.10</w:t>
            </w:r>
          </w:p>
        </w:tc>
        <w:tc>
          <w:tcPr>
            <w:tcW w:w="273" w:type="dxa"/>
            <w:noWrap/>
            <w:vAlign w:val="center"/>
            <w:hideMark/>
          </w:tcPr>
          <w:p w14:paraId="4DEF5AA7" w14:textId="77777777" w:rsidR="00126D8D" w:rsidRPr="004A4899" w:rsidRDefault="00126D8D" w:rsidP="00820288">
            <w:pPr>
              <w:spacing w:line="240" w:lineRule="auto"/>
              <w:rPr>
                <w:rFonts w:ascii="Times New Roman" w:hAnsi="Times New Roman" w:cs="Times New Roman"/>
                <w:sz w:val="13"/>
                <w:szCs w:val="13"/>
              </w:rPr>
            </w:pPr>
            <w:r w:rsidRPr="004A4899">
              <w:rPr>
                <w:rFonts w:ascii="Times New Roman" w:hAnsi="Times New Roman" w:cs="Times New Roman"/>
                <w:sz w:val="13"/>
                <w:szCs w:val="13"/>
              </w:rPr>
              <w:t>b</w:t>
            </w:r>
          </w:p>
        </w:tc>
        <w:tc>
          <w:tcPr>
            <w:tcW w:w="377" w:type="dxa"/>
            <w:noWrap/>
            <w:vAlign w:val="center"/>
            <w:hideMark/>
          </w:tcPr>
          <w:p w14:paraId="7275A3AA" w14:textId="77777777" w:rsidR="00126D8D" w:rsidRPr="004A4899" w:rsidRDefault="00126D8D" w:rsidP="00820288">
            <w:pPr>
              <w:spacing w:line="240" w:lineRule="auto"/>
              <w:jc w:val="right"/>
              <w:rPr>
                <w:rFonts w:ascii="Times New Roman" w:hAnsi="Times New Roman" w:cs="Times New Roman"/>
                <w:sz w:val="13"/>
                <w:szCs w:val="13"/>
              </w:rPr>
            </w:pPr>
            <w:r w:rsidRPr="004A4899">
              <w:rPr>
                <w:rFonts w:ascii="Times New Roman" w:hAnsi="Times New Roman" w:cs="Times New Roman"/>
                <w:sz w:val="13"/>
                <w:szCs w:val="13"/>
              </w:rPr>
              <w:t>343.47</w:t>
            </w:r>
          </w:p>
        </w:tc>
        <w:tc>
          <w:tcPr>
            <w:tcW w:w="273" w:type="dxa"/>
            <w:noWrap/>
            <w:vAlign w:val="center"/>
            <w:hideMark/>
          </w:tcPr>
          <w:p w14:paraId="26149949" w14:textId="77777777" w:rsidR="00126D8D" w:rsidRPr="004A4899" w:rsidRDefault="00126D8D" w:rsidP="00820288">
            <w:pPr>
              <w:spacing w:line="240" w:lineRule="auto"/>
              <w:rPr>
                <w:rFonts w:ascii="Times New Roman" w:hAnsi="Times New Roman" w:cs="Times New Roman"/>
                <w:sz w:val="13"/>
                <w:szCs w:val="13"/>
              </w:rPr>
            </w:pPr>
            <w:r w:rsidRPr="004A4899">
              <w:rPr>
                <w:rFonts w:ascii="Times New Roman" w:hAnsi="Times New Roman" w:cs="Times New Roman"/>
                <w:sz w:val="13"/>
                <w:szCs w:val="13"/>
              </w:rPr>
              <w:t>b</w:t>
            </w:r>
          </w:p>
        </w:tc>
      </w:tr>
      <w:tr w:rsidR="00126D8D" w:rsidRPr="004A4899" w14:paraId="4498543A" w14:textId="77777777" w:rsidTr="00820288">
        <w:trPr>
          <w:trHeight w:val="173"/>
        </w:trPr>
        <w:tc>
          <w:tcPr>
            <w:tcW w:w="1440" w:type="dxa"/>
            <w:noWrap/>
            <w:vAlign w:val="center"/>
            <w:hideMark/>
          </w:tcPr>
          <w:p w14:paraId="395B4672" w14:textId="77777777" w:rsidR="00126D8D" w:rsidRPr="004A4899" w:rsidRDefault="00126D8D" w:rsidP="00820288">
            <w:pPr>
              <w:spacing w:line="240" w:lineRule="auto"/>
              <w:rPr>
                <w:rFonts w:ascii="Times New Roman" w:hAnsi="Times New Roman" w:cs="Times New Roman"/>
                <w:sz w:val="12"/>
                <w:szCs w:val="12"/>
              </w:rPr>
            </w:pPr>
            <w:r w:rsidRPr="004A4899">
              <w:rPr>
                <w:rFonts w:ascii="Times New Roman" w:hAnsi="Times New Roman" w:cs="Times New Roman"/>
                <w:sz w:val="12"/>
                <w:szCs w:val="12"/>
              </w:rPr>
              <w:t>Citronellyl Acetate</w:t>
            </w:r>
          </w:p>
        </w:tc>
        <w:tc>
          <w:tcPr>
            <w:tcW w:w="377" w:type="dxa"/>
            <w:noWrap/>
            <w:vAlign w:val="center"/>
            <w:hideMark/>
          </w:tcPr>
          <w:p w14:paraId="7DAA4A5E" w14:textId="77777777" w:rsidR="00126D8D" w:rsidRPr="004A4899" w:rsidRDefault="00126D8D" w:rsidP="00820288">
            <w:pPr>
              <w:spacing w:line="240" w:lineRule="auto"/>
              <w:jc w:val="right"/>
              <w:rPr>
                <w:rFonts w:ascii="Times New Roman" w:hAnsi="Times New Roman" w:cs="Times New Roman"/>
                <w:sz w:val="13"/>
                <w:szCs w:val="13"/>
              </w:rPr>
            </w:pPr>
            <w:r w:rsidRPr="004A4899">
              <w:rPr>
                <w:rFonts w:ascii="Times New Roman" w:hAnsi="Times New Roman" w:cs="Times New Roman"/>
                <w:sz w:val="13"/>
                <w:szCs w:val="13"/>
              </w:rPr>
              <w:t>191.03</w:t>
            </w:r>
          </w:p>
        </w:tc>
        <w:tc>
          <w:tcPr>
            <w:tcW w:w="274" w:type="dxa"/>
            <w:noWrap/>
            <w:vAlign w:val="center"/>
            <w:hideMark/>
          </w:tcPr>
          <w:p w14:paraId="08F3F8E1" w14:textId="77777777" w:rsidR="00126D8D" w:rsidRPr="004A4899" w:rsidRDefault="00126D8D" w:rsidP="00820288">
            <w:pPr>
              <w:spacing w:line="240" w:lineRule="auto"/>
              <w:rPr>
                <w:rFonts w:ascii="Times New Roman" w:hAnsi="Times New Roman" w:cs="Times New Roman"/>
                <w:sz w:val="13"/>
                <w:szCs w:val="13"/>
              </w:rPr>
            </w:pPr>
            <w:r w:rsidRPr="004A4899">
              <w:rPr>
                <w:rFonts w:ascii="Times New Roman" w:hAnsi="Times New Roman" w:cs="Times New Roman"/>
                <w:sz w:val="13"/>
                <w:szCs w:val="13"/>
              </w:rPr>
              <w:t>ab</w:t>
            </w:r>
          </w:p>
        </w:tc>
        <w:tc>
          <w:tcPr>
            <w:tcW w:w="411" w:type="dxa"/>
            <w:noWrap/>
            <w:vAlign w:val="center"/>
            <w:hideMark/>
          </w:tcPr>
          <w:p w14:paraId="129F859D" w14:textId="77777777" w:rsidR="00126D8D" w:rsidRPr="004A4899" w:rsidRDefault="00126D8D" w:rsidP="00820288">
            <w:pPr>
              <w:spacing w:line="240" w:lineRule="auto"/>
              <w:jc w:val="right"/>
              <w:rPr>
                <w:rFonts w:ascii="Times New Roman" w:hAnsi="Times New Roman" w:cs="Times New Roman"/>
                <w:sz w:val="13"/>
                <w:szCs w:val="13"/>
              </w:rPr>
            </w:pPr>
            <w:r w:rsidRPr="004A4899">
              <w:rPr>
                <w:rFonts w:ascii="Times New Roman" w:hAnsi="Times New Roman" w:cs="Times New Roman"/>
                <w:sz w:val="13"/>
                <w:szCs w:val="13"/>
              </w:rPr>
              <w:t>189.75</w:t>
            </w:r>
          </w:p>
        </w:tc>
        <w:tc>
          <w:tcPr>
            <w:tcW w:w="239" w:type="dxa"/>
            <w:noWrap/>
            <w:vAlign w:val="center"/>
            <w:hideMark/>
          </w:tcPr>
          <w:p w14:paraId="0CD5A284" w14:textId="77777777" w:rsidR="00126D8D" w:rsidRPr="004A4899" w:rsidRDefault="00126D8D" w:rsidP="00820288">
            <w:pPr>
              <w:spacing w:line="240" w:lineRule="auto"/>
              <w:rPr>
                <w:rFonts w:ascii="Times New Roman" w:hAnsi="Times New Roman" w:cs="Times New Roman"/>
                <w:sz w:val="13"/>
                <w:szCs w:val="13"/>
              </w:rPr>
            </w:pPr>
            <w:r w:rsidRPr="004A4899">
              <w:rPr>
                <w:rFonts w:ascii="Times New Roman" w:hAnsi="Times New Roman" w:cs="Times New Roman"/>
                <w:sz w:val="13"/>
                <w:szCs w:val="13"/>
              </w:rPr>
              <w:t>b</w:t>
            </w:r>
          </w:p>
        </w:tc>
        <w:tc>
          <w:tcPr>
            <w:tcW w:w="377" w:type="dxa"/>
            <w:noWrap/>
            <w:vAlign w:val="center"/>
            <w:hideMark/>
          </w:tcPr>
          <w:p w14:paraId="7AC86A8E" w14:textId="77777777" w:rsidR="00126D8D" w:rsidRPr="004A4899" w:rsidRDefault="00126D8D" w:rsidP="00820288">
            <w:pPr>
              <w:spacing w:line="240" w:lineRule="auto"/>
              <w:jc w:val="right"/>
              <w:rPr>
                <w:rFonts w:ascii="Times New Roman" w:hAnsi="Times New Roman" w:cs="Times New Roman"/>
                <w:sz w:val="13"/>
                <w:szCs w:val="13"/>
              </w:rPr>
            </w:pPr>
            <w:r w:rsidRPr="004A4899">
              <w:rPr>
                <w:rFonts w:ascii="Times New Roman" w:hAnsi="Times New Roman" w:cs="Times New Roman"/>
                <w:sz w:val="13"/>
                <w:szCs w:val="13"/>
              </w:rPr>
              <w:t>190.81</w:t>
            </w:r>
          </w:p>
        </w:tc>
        <w:tc>
          <w:tcPr>
            <w:tcW w:w="273" w:type="dxa"/>
            <w:noWrap/>
            <w:vAlign w:val="center"/>
            <w:hideMark/>
          </w:tcPr>
          <w:p w14:paraId="75ACCA29" w14:textId="77777777" w:rsidR="00126D8D" w:rsidRPr="004A4899" w:rsidRDefault="00126D8D" w:rsidP="00820288">
            <w:pPr>
              <w:spacing w:line="240" w:lineRule="auto"/>
              <w:rPr>
                <w:rFonts w:ascii="Times New Roman" w:hAnsi="Times New Roman" w:cs="Times New Roman"/>
                <w:sz w:val="13"/>
                <w:szCs w:val="13"/>
              </w:rPr>
            </w:pPr>
            <w:r w:rsidRPr="004A4899">
              <w:rPr>
                <w:rFonts w:ascii="Times New Roman" w:hAnsi="Times New Roman" w:cs="Times New Roman"/>
                <w:sz w:val="13"/>
                <w:szCs w:val="13"/>
              </w:rPr>
              <w:t>ab</w:t>
            </w:r>
          </w:p>
        </w:tc>
        <w:tc>
          <w:tcPr>
            <w:tcW w:w="377" w:type="dxa"/>
            <w:noWrap/>
            <w:vAlign w:val="center"/>
            <w:hideMark/>
          </w:tcPr>
          <w:p w14:paraId="00D47B6A" w14:textId="77777777" w:rsidR="00126D8D" w:rsidRPr="004A4899" w:rsidRDefault="00126D8D" w:rsidP="00820288">
            <w:pPr>
              <w:spacing w:line="240" w:lineRule="auto"/>
              <w:jc w:val="right"/>
              <w:rPr>
                <w:rFonts w:ascii="Times New Roman" w:hAnsi="Times New Roman" w:cs="Times New Roman"/>
                <w:sz w:val="13"/>
                <w:szCs w:val="13"/>
              </w:rPr>
            </w:pPr>
            <w:r w:rsidRPr="004A4899">
              <w:rPr>
                <w:rFonts w:ascii="Times New Roman" w:hAnsi="Times New Roman" w:cs="Times New Roman"/>
                <w:sz w:val="13"/>
                <w:szCs w:val="13"/>
              </w:rPr>
              <w:t>189.65</w:t>
            </w:r>
          </w:p>
        </w:tc>
        <w:tc>
          <w:tcPr>
            <w:tcW w:w="273" w:type="dxa"/>
            <w:noWrap/>
            <w:vAlign w:val="center"/>
            <w:hideMark/>
          </w:tcPr>
          <w:p w14:paraId="728F3000" w14:textId="77777777" w:rsidR="00126D8D" w:rsidRPr="004A4899" w:rsidRDefault="00126D8D" w:rsidP="00820288">
            <w:pPr>
              <w:spacing w:line="240" w:lineRule="auto"/>
              <w:rPr>
                <w:rFonts w:ascii="Times New Roman" w:hAnsi="Times New Roman" w:cs="Times New Roman"/>
                <w:sz w:val="13"/>
                <w:szCs w:val="13"/>
              </w:rPr>
            </w:pPr>
            <w:r w:rsidRPr="004A4899">
              <w:rPr>
                <w:rFonts w:ascii="Times New Roman" w:hAnsi="Times New Roman" w:cs="Times New Roman"/>
                <w:sz w:val="13"/>
                <w:szCs w:val="13"/>
              </w:rPr>
              <w:t>b</w:t>
            </w:r>
          </w:p>
        </w:tc>
        <w:tc>
          <w:tcPr>
            <w:tcW w:w="377" w:type="dxa"/>
            <w:noWrap/>
            <w:vAlign w:val="center"/>
            <w:hideMark/>
          </w:tcPr>
          <w:p w14:paraId="7A316D6E" w14:textId="77777777" w:rsidR="00126D8D" w:rsidRPr="004A4899" w:rsidRDefault="00126D8D" w:rsidP="00820288">
            <w:pPr>
              <w:spacing w:line="240" w:lineRule="auto"/>
              <w:jc w:val="right"/>
              <w:rPr>
                <w:rFonts w:ascii="Times New Roman" w:hAnsi="Times New Roman" w:cs="Times New Roman"/>
                <w:sz w:val="13"/>
                <w:szCs w:val="13"/>
              </w:rPr>
            </w:pPr>
            <w:r w:rsidRPr="004A4899">
              <w:rPr>
                <w:rFonts w:ascii="Times New Roman" w:hAnsi="Times New Roman" w:cs="Times New Roman"/>
                <w:sz w:val="13"/>
                <w:szCs w:val="13"/>
              </w:rPr>
              <w:t>189.24</w:t>
            </w:r>
          </w:p>
        </w:tc>
        <w:tc>
          <w:tcPr>
            <w:tcW w:w="326" w:type="dxa"/>
            <w:noWrap/>
            <w:vAlign w:val="center"/>
            <w:hideMark/>
          </w:tcPr>
          <w:p w14:paraId="553FFCE3" w14:textId="77777777" w:rsidR="00126D8D" w:rsidRPr="004A4899" w:rsidRDefault="00126D8D" w:rsidP="00820288">
            <w:pPr>
              <w:spacing w:line="240" w:lineRule="auto"/>
              <w:rPr>
                <w:rFonts w:ascii="Times New Roman" w:hAnsi="Times New Roman" w:cs="Times New Roman"/>
                <w:sz w:val="13"/>
                <w:szCs w:val="13"/>
              </w:rPr>
            </w:pPr>
            <w:r w:rsidRPr="004A4899">
              <w:rPr>
                <w:rFonts w:ascii="Times New Roman" w:hAnsi="Times New Roman" w:cs="Times New Roman"/>
                <w:sz w:val="13"/>
                <w:szCs w:val="13"/>
              </w:rPr>
              <w:t>b</w:t>
            </w:r>
          </w:p>
        </w:tc>
        <w:tc>
          <w:tcPr>
            <w:tcW w:w="377" w:type="dxa"/>
            <w:noWrap/>
            <w:vAlign w:val="center"/>
            <w:hideMark/>
          </w:tcPr>
          <w:p w14:paraId="12D567E9" w14:textId="77777777" w:rsidR="00126D8D" w:rsidRPr="004A4899" w:rsidRDefault="00126D8D" w:rsidP="00820288">
            <w:pPr>
              <w:spacing w:line="240" w:lineRule="auto"/>
              <w:jc w:val="right"/>
              <w:rPr>
                <w:rFonts w:ascii="Times New Roman" w:hAnsi="Times New Roman" w:cs="Times New Roman"/>
                <w:sz w:val="13"/>
                <w:szCs w:val="13"/>
              </w:rPr>
            </w:pPr>
            <w:r w:rsidRPr="004A4899">
              <w:rPr>
                <w:rFonts w:ascii="Times New Roman" w:hAnsi="Times New Roman" w:cs="Times New Roman"/>
                <w:sz w:val="13"/>
                <w:szCs w:val="13"/>
              </w:rPr>
              <w:t>191.93</w:t>
            </w:r>
          </w:p>
        </w:tc>
        <w:tc>
          <w:tcPr>
            <w:tcW w:w="326" w:type="dxa"/>
            <w:noWrap/>
            <w:vAlign w:val="center"/>
            <w:hideMark/>
          </w:tcPr>
          <w:p w14:paraId="20000826" w14:textId="77777777" w:rsidR="00126D8D" w:rsidRPr="004A4899" w:rsidRDefault="00126D8D" w:rsidP="00820288">
            <w:pPr>
              <w:spacing w:line="240" w:lineRule="auto"/>
              <w:rPr>
                <w:rFonts w:ascii="Times New Roman" w:hAnsi="Times New Roman" w:cs="Times New Roman"/>
                <w:sz w:val="13"/>
                <w:szCs w:val="13"/>
              </w:rPr>
            </w:pPr>
            <w:r w:rsidRPr="004A4899">
              <w:rPr>
                <w:rFonts w:ascii="Times New Roman" w:hAnsi="Times New Roman" w:cs="Times New Roman"/>
                <w:sz w:val="13"/>
                <w:szCs w:val="13"/>
              </w:rPr>
              <w:t>ab</w:t>
            </w:r>
          </w:p>
        </w:tc>
        <w:tc>
          <w:tcPr>
            <w:tcW w:w="377" w:type="dxa"/>
            <w:noWrap/>
            <w:vAlign w:val="center"/>
            <w:hideMark/>
          </w:tcPr>
          <w:p w14:paraId="3C455D9E" w14:textId="77777777" w:rsidR="00126D8D" w:rsidRPr="004A4899" w:rsidRDefault="00126D8D" w:rsidP="00820288">
            <w:pPr>
              <w:spacing w:line="240" w:lineRule="auto"/>
              <w:jc w:val="right"/>
              <w:rPr>
                <w:rFonts w:ascii="Times New Roman" w:hAnsi="Times New Roman" w:cs="Times New Roman"/>
                <w:sz w:val="13"/>
                <w:szCs w:val="13"/>
              </w:rPr>
            </w:pPr>
            <w:r w:rsidRPr="004A4899">
              <w:rPr>
                <w:rFonts w:ascii="Times New Roman" w:hAnsi="Times New Roman" w:cs="Times New Roman"/>
                <w:sz w:val="13"/>
                <w:szCs w:val="13"/>
              </w:rPr>
              <w:t>191.62</w:t>
            </w:r>
          </w:p>
        </w:tc>
        <w:tc>
          <w:tcPr>
            <w:tcW w:w="219" w:type="dxa"/>
            <w:noWrap/>
            <w:vAlign w:val="center"/>
            <w:hideMark/>
          </w:tcPr>
          <w:p w14:paraId="4C2538A2" w14:textId="77777777" w:rsidR="00126D8D" w:rsidRPr="004A4899" w:rsidRDefault="00126D8D" w:rsidP="00820288">
            <w:pPr>
              <w:spacing w:line="240" w:lineRule="auto"/>
              <w:rPr>
                <w:rFonts w:ascii="Times New Roman" w:hAnsi="Times New Roman" w:cs="Times New Roman"/>
                <w:sz w:val="13"/>
                <w:szCs w:val="13"/>
              </w:rPr>
            </w:pPr>
            <w:r w:rsidRPr="004A4899">
              <w:rPr>
                <w:rFonts w:ascii="Times New Roman" w:hAnsi="Times New Roman" w:cs="Times New Roman"/>
                <w:sz w:val="13"/>
                <w:szCs w:val="13"/>
              </w:rPr>
              <w:t>ab</w:t>
            </w:r>
          </w:p>
        </w:tc>
        <w:tc>
          <w:tcPr>
            <w:tcW w:w="377" w:type="dxa"/>
            <w:noWrap/>
            <w:vAlign w:val="center"/>
            <w:hideMark/>
          </w:tcPr>
          <w:p w14:paraId="4AFA8E92" w14:textId="77777777" w:rsidR="00126D8D" w:rsidRPr="004A4899" w:rsidRDefault="00126D8D" w:rsidP="00820288">
            <w:pPr>
              <w:spacing w:line="240" w:lineRule="auto"/>
              <w:jc w:val="right"/>
              <w:rPr>
                <w:rFonts w:ascii="Times New Roman" w:hAnsi="Times New Roman" w:cs="Times New Roman"/>
                <w:sz w:val="13"/>
                <w:szCs w:val="13"/>
              </w:rPr>
            </w:pPr>
            <w:r w:rsidRPr="004A4899">
              <w:rPr>
                <w:rFonts w:ascii="Times New Roman" w:hAnsi="Times New Roman" w:cs="Times New Roman"/>
                <w:sz w:val="13"/>
                <w:szCs w:val="13"/>
              </w:rPr>
              <w:t>194.78</w:t>
            </w:r>
          </w:p>
        </w:tc>
        <w:tc>
          <w:tcPr>
            <w:tcW w:w="159" w:type="dxa"/>
            <w:noWrap/>
            <w:vAlign w:val="center"/>
            <w:hideMark/>
          </w:tcPr>
          <w:p w14:paraId="093C4A37" w14:textId="77777777" w:rsidR="00126D8D" w:rsidRPr="004A4899" w:rsidRDefault="00126D8D" w:rsidP="00820288">
            <w:pPr>
              <w:spacing w:line="240" w:lineRule="auto"/>
              <w:rPr>
                <w:rFonts w:ascii="Times New Roman" w:hAnsi="Times New Roman" w:cs="Times New Roman"/>
                <w:sz w:val="13"/>
                <w:szCs w:val="13"/>
              </w:rPr>
            </w:pPr>
            <w:r w:rsidRPr="004A4899">
              <w:rPr>
                <w:rFonts w:ascii="Times New Roman" w:hAnsi="Times New Roman" w:cs="Times New Roman"/>
                <w:sz w:val="13"/>
                <w:szCs w:val="13"/>
              </w:rPr>
              <w:t>a</w:t>
            </w:r>
          </w:p>
        </w:tc>
        <w:tc>
          <w:tcPr>
            <w:tcW w:w="377" w:type="dxa"/>
            <w:noWrap/>
            <w:vAlign w:val="center"/>
            <w:hideMark/>
          </w:tcPr>
          <w:p w14:paraId="68F7C4EB" w14:textId="77777777" w:rsidR="00126D8D" w:rsidRPr="004A4899" w:rsidRDefault="00126D8D" w:rsidP="00820288">
            <w:pPr>
              <w:spacing w:line="240" w:lineRule="auto"/>
              <w:jc w:val="right"/>
              <w:rPr>
                <w:rFonts w:ascii="Times New Roman" w:hAnsi="Times New Roman" w:cs="Times New Roman"/>
                <w:sz w:val="13"/>
                <w:szCs w:val="13"/>
              </w:rPr>
            </w:pPr>
            <w:r w:rsidRPr="004A4899">
              <w:rPr>
                <w:rFonts w:ascii="Times New Roman" w:hAnsi="Times New Roman" w:cs="Times New Roman"/>
                <w:sz w:val="13"/>
                <w:szCs w:val="13"/>
              </w:rPr>
              <w:t>190.54</w:t>
            </w:r>
          </w:p>
        </w:tc>
        <w:tc>
          <w:tcPr>
            <w:tcW w:w="326" w:type="dxa"/>
            <w:noWrap/>
            <w:vAlign w:val="center"/>
            <w:hideMark/>
          </w:tcPr>
          <w:p w14:paraId="044A5A45" w14:textId="77777777" w:rsidR="00126D8D" w:rsidRPr="004A4899" w:rsidRDefault="00126D8D" w:rsidP="00820288">
            <w:pPr>
              <w:spacing w:line="240" w:lineRule="auto"/>
              <w:rPr>
                <w:rFonts w:ascii="Times New Roman" w:hAnsi="Times New Roman" w:cs="Times New Roman"/>
                <w:sz w:val="13"/>
                <w:szCs w:val="13"/>
              </w:rPr>
            </w:pPr>
            <w:r w:rsidRPr="004A4899">
              <w:rPr>
                <w:rFonts w:ascii="Times New Roman" w:hAnsi="Times New Roman" w:cs="Times New Roman"/>
                <w:sz w:val="13"/>
                <w:szCs w:val="13"/>
              </w:rPr>
              <w:t>b</w:t>
            </w:r>
          </w:p>
        </w:tc>
        <w:tc>
          <w:tcPr>
            <w:tcW w:w="377" w:type="dxa"/>
            <w:noWrap/>
            <w:vAlign w:val="center"/>
            <w:hideMark/>
          </w:tcPr>
          <w:p w14:paraId="3375B5F3" w14:textId="77777777" w:rsidR="00126D8D" w:rsidRPr="004A4899" w:rsidRDefault="00126D8D" w:rsidP="00820288">
            <w:pPr>
              <w:spacing w:line="240" w:lineRule="auto"/>
              <w:jc w:val="right"/>
              <w:rPr>
                <w:rFonts w:ascii="Times New Roman" w:hAnsi="Times New Roman" w:cs="Times New Roman"/>
                <w:sz w:val="13"/>
                <w:szCs w:val="13"/>
              </w:rPr>
            </w:pPr>
            <w:r w:rsidRPr="004A4899">
              <w:rPr>
                <w:rFonts w:ascii="Times New Roman" w:hAnsi="Times New Roman" w:cs="Times New Roman"/>
                <w:sz w:val="13"/>
                <w:szCs w:val="13"/>
              </w:rPr>
              <w:t>191.23</w:t>
            </w:r>
          </w:p>
        </w:tc>
        <w:tc>
          <w:tcPr>
            <w:tcW w:w="252" w:type="dxa"/>
            <w:noWrap/>
            <w:vAlign w:val="center"/>
            <w:hideMark/>
          </w:tcPr>
          <w:p w14:paraId="45D1FD8C" w14:textId="77777777" w:rsidR="00126D8D" w:rsidRPr="004A4899" w:rsidRDefault="00126D8D" w:rsidP="00820288">
            <w:pPr>
              <w:spacing w:line="240" w:lineRule="auto"/>
              <w:rPr>
                <w:rFonts w:ascii="Times New Roman" w:hAnsi="Times New Roman" w:cs="Times New Roman"/>
                <w:sz w:val="13"/>
                <w:szCs w:val="13"/>
              </w:rPr>
            </w:pPr>
            <w:r w:rsidRPr="004A4899">
              <w:rPr>
                <w:rFonts w:ascii="Times New Roman" w:hAnsi="Times New Roman" w:cs="Times New Roman"/>
                <w:sz w:val="13"/>
                <w:szCs w:val="13"/>
              </w:rPr>
              <w:t>ab</w:t>
            </w:r>
          </w:p>
        </w:tc>
        <w:tc>
          <w:tcPr>
            <w:tcW w:w="377" w:type="dxa"/>
            <w:noWrap/>
            <w:vAlign w:val="center"/>
            <w:hideMark/>
          </w:tcPr>
          <w:p w14:paraId="23F8CEA2" w14:textId="77777777" w:rsidR="00126D8D" w:rsidRPr="004A4899" w:rsidRDefault="00126D8D" w:rsidP="00820288">
            <w:pPr>
              <w:spacing w:line="240" w:lineRule="auto"/>
              <w:jc w:val="right"/>
              <w:rPr>
                <w:rFonts w:ascii="Times New Roman" w:hAnsi="Times New Roman" w:cs="Times New Roman"/>
                <w:sz w:val="13"/>
                <w:szCs w:val="13"/>
              </w:rPr>
            </w:pPr>
            <w:r w:rsidRPr="004A4899">
              <w:rPr>
                <w:rFonts w:ascii="Times New Roman" w:hAnsi="Times New Roman" w:cs="Times New Roman"/>
                <w:sz w:val="13"/>
                <w:szCs w:val="13"/>
              </w:rPr>
              <w:t>191.00</w:t>
            </w:r>
          </w:p>
        </w:tc>
        <w:tc>
          <w:tcPr>
            <w:tcW w:w="273" w:type="dxa"/>
            <w:noWrap/>
            <w:vAlign w:val="center"/>
            <w:hideMark/>
          </w:tcPr>
          <w:p w14:paraId="1B1BF079" w14:textId="77777777" w:rsidR="00126D8D" w:rsidRPr="004A4899" w:rsidRDefault="00126D8D" w:rsidP="00820288">
            <w:pPr>
              <w:spacing w:line="240" w:lineRule="auto"/>
              <w:rPr>
                <w:rFonts w:ascii="Times New Roman" w:hAnsi="Times New Roman" w:cs="Times New Roman"/>
                <w:sz w:val="13"/>
                <w:szCs w:val="13"/>
              </w:rPr>
            </w:pPr>
            <w:r w:rsidRPr="004A4899">
              <w:rPr>
                <w:rFonts w:ascii="Times New Roman" w:hAnsi="Times New Roman" w:cs="Times New Roman"/>
                <w:sz w:val="13"/>
                <w:szCs w:val="13"/>
              </w:rPr>
              <w:t>ab</w:t>
            </w:r>
          </w:p>
        </w:tc>
        <w:tc>
          <w:tcPr>
            <w:tcW w:w="377" w:type="dxa"/>
            <w:noWrap/>
            <w:vAlign w:val="center"/>
            <w:hideMark/>
          </w:tcPr>
          <w:p w14:paraId="19E520B6" w14:textId="77777777" w:rsidR="00126D8D" w:rsidRPr="004A4899" w:rsidRDefault="00126D8D" w:rsidP="00820288">
            <w:pPr>
              <w:spacing w:line="240" w:lineRule="auto"/>
              <w:jc w:val="right"/>
              <w:rPr>
                <w:rFonts w:ascii="Times New Roman" w:hAnsi="Times New Roman" w:cs="Times New Roman"/>
                <w:sz w:val="13"/>
                <w:szCs w:val="13"/>
              </w:rPr>
            </w:pPr>
            <w:r w:rsidRPr="004A4899">
              <w:rPr>
                <w:rFonts w:ascii="Times New Roman" w:hAnsi="Times New Roman" w:cs="Times New Roman"/>
                <w:sz w:val="13"/>
                <w:szCs w:val="13"/>
              </w:rPr>
              <w:t>190.14</w:t>
            </w:r>
          </w:p>
        </w:tc>
        <w:tc>
          <w:tcPr>
            <w:tcW w:w="273" w:type="dxa"/>
            <w:noWrap/>
            <w:vAlign w:val="center"/>
            <w:hideMark/>
          </w:tcPr>
          <w:p w14:paraId="062495ED" w14:textId="77777777" w:rsidR="00126D8D" w:rsidRPr="004A4899" w:rsidRDefault="00126D8D" w:rsidP="00820288">
            <w:pPr>
              <w:spacing w:line="240" w:lineRule="auto"/>
              <w:rPr>
                <w:rFonts w:ascii="Times New Roman" w:hAnsi="Times New Roman" w:cs="Times New Roman"/>
                <w:sz w:val="13"/>
                <w:szCs w:val="13"/>
              </w:rPr>
            </w:pPr>
            <w:r w:rsidRPr="004A4899">
              <w:rPr>
                <w:rFonts w:ascii="Times New Roman" w:hAnsi="Times New Roman" w:cs="Times New Roman"/>
                <w:sz w:val="13"/>
                <w:szCs w:val="13"/>
              </w:rPr>
              <w:t>ab</w:t>
            </w:r>
          </w:p>
        </w:tc>
      </w:tr>
      <w:tr w:rsidR="00126D8D" w:rsidRPr="004A4899" w14:paraId="6BB0F5E7" w14:textId="77777777" w:rsidTr="00820288">
        <w:trPr>
          <w:trHeight w:val="173"/>
        </w:trPr>
        <w:tc>
          <w:tcPr>
            <w:tcW w:w="1440" w:type="dxa"/>
            <w:noWrap/>
            <w:vAlign w:val="center"/>
            <w:hideMark/>
          </w:tcPr>
          <w:p w14:paraId="22E41894" w14:textId="77777777" w:rsidR="00126D8D" w:rsidRPr="004A4899" w:rsidRDefault="00126D8D" w:rsidP="00820288">
            <w:pPr>
              <w:spacing w:line="240" w:lineRule="auto"/>
              <w:rPr>
                <w:rFonts w:ascii="Times New Roman" w:hAnsi="Times New Roman" w:cs="Times New Roman"/>
                <w:sz w:val="12"/>
                <w:szCs w:val="12"/>
              </w:rPr>
            </w:pPr>
            <w:r w:rsidRPr="004A4899">
              <w:rPr>
                <w:rFonts w:ascii="Times New Roman" w:hAnsi="Times New Roman" w:cs="Times New Roman"/>
                <w:sz w:val="12"/>
                <w:szCs w:val="12"/>
              </w:rPr>
              <w:t>Linalool</w:t>
            </w:r>
          </w:p>
        </w:tc>
        <w:tc>
          <w:tcPr>
            <w:tcW w:w="377" w:type="dxa"/>
            <w:noWrap/>
            <w:vAlign w:val="center"/>
            <w:hideMark/>
          </w:tcPr>
          <w:p w14:paraId="238FA1A3" w14:textId="77777777" w:rsidR="00126D8D" w:rsidRPr="004A4899" w:rsidRDefault="00126D8D" w:rsidP="00820288">
            <w:pPr>
              <w:spacing w:line="240" w:lineRule="auto"/>
              <w:jc w:val="right"/>
              <w:rPr>
                <w:rFonts w:ascii="Times New Roman" w:hAnsi="Times New Roman" w:cs="Times New Roman"/>
                <w:sz w:val="13"/>
                <w:szCs w:val="13"/>
              </w:rPr>
            </w:pPr>
            <w:r w:rsidRPr="004A4899">
              <w:rPr>
                <w:rFonts w:ascii="Times New Roman" w:hAnsi="Times New Roman" w:cs="Times New Roman"/>
                <w:sz w:val="13"/>
                <w:szCs w:val="13"/>
              </w:rPr>
              <w:t>753.22</w:t>
            </w:r>
          </w:p>
        </w:tc>
        <w:tc>
          <w:tcPr>
            <w:tcW w:w="274" w:type="dxa"/>
            <w:noWrap/>
            <w:vAlign w:val="center"/>
            <w:hideMark/>
          </w:tcPr>
          <w:p w14:paraId="5838A2B6" w14:textId="77777777" w:rsidR="00126D8D" w:rsidRPr="004A4899" w:rsidRDefault="00126D8D" w:rsidP="00820288">
            <w:pPr>
              <w:spacing w:line="240" w:lineRule="auto"/>
              <w:rPr>
                <w:rFonts w:ascii="Times New Roman" w:hAnsi="Times New Roman" w:cs="Times New Roman"/>
                <w:sz w:val="13"/>
                <w:szCs w:val="13"/>
              </w:rPr>
            </w:pPr>
            <w:r w:rsidRPr="004A4899">
              <w:rPr>
                <w:rFonts w:ascii="Times New Roman" w:hAnsi="Times New Roman" w:cs="Times New Roman"/>
                <w:sz w:val="13"/>
                <w:szCs w:val="13"/>
              </w:rPr>
              <w:t>ab</w:t>
            </w:r>
          </w:p>
        </w:tc>
        <w:tc>
          <w:tcPr>
            <w:tcW w:w="411" w:type="dxa"/>
            <w:noWrap/>
            <w:vAlign w:val="center"/>
            <w:hideMark/>
          </w:tcPr>
          <w:p w14:paraId="0FC6F850" w14:textId="77777777" w:rsidR="00126D8D" w:rsidRPr="004A4899" w:rsidRDefault="00126D8D" w:rsidP="00820288">
            <w:pPr>
              <w:spacing w:line="240" w:lineRule="auto"/>
              <w:jc w:val="right"/>
              <w:rPr>
                <w:rFonts w:ascii="Times New Roman" w:hAnsi="Times New Roman" w:cs="Times New Roman"/>
                <w:sz w:val="13"/>
                <w:szCs w:val="13"/>
              </w:rPr>
            </w:pPr>
            <w:r w:rsidRPr="004A4899">
              <w:rPr>
                <w:rFonts w:ascii="Times New Roman" w:hAnsi="Times New Roman" w:cs="Times New Roman"/>
                <w:sz w:val="13"/>
                <w:szCs w:val="13"/>
              </w:rPr>
              <w:t>602.95</w:t>
            </w:r>
          </w:p>
        </w:tc>
        <w:tc>
          <w:tcPr>
            <w:tcW w:w="239" w:type="dxa"/>
            <w:noWrap/>
            <w:vAlign w:val="center"/>
            <w:hideMark/>
          </w:tcPr>
          <w:p w14:paraId="5F30C085" w14:textId="77777777" w:rsidR="00126D8D" w:rsidRPr="004A4899" w:rsidRDefault="00126D8D" w:rsidP="00820288">
            <w:pPr>
              <w:spacing w:line="240" w:lineRule="auto"/>
              <w:rPr>
                <w:rFonts w:ascii="Times New Roman" w:hAnsi="Times New Roman" w:cs="Times New Roman"/>
                <w:sz w:val="13"/>
                <w:szCs w:val="13"/>
              </w:rPr>
            </w:pPr>
            <w:r w:rsidRPr="004A4899">
              <w:rPr>
                <w:rFonts w:ascii="Times New Roman" w:hAnsi="Times New Roman" w:cs="Times New Roman"/>
                <w:sz w:val="13"/>
                <w:szCs w:val="13"/>
              </w:rPr>
              <w:t>b</w:t>
            </w:r>
          </w:p>
        </w:tc>
        <w:tc>
          <w:tcPr>
            <w:tcW w:w="377" w:type="dxa"/>
            <w:noWrap/>
            <w:vAlign w:val="center"/>
            <w:hideMark/>
          </w:tcPr>
          <w:p w14:paraId="6C5695A4" w14:textId="77777777" w:rsidR="00126D8D" w:rsidRPr="004A4899" w:rsidRDefault="00126D8D" w:rsidP="00820288">
            <w:pPr>
              <w:spacing w:line="240" w:lineRule="auto"/>
              <w:jc w:val="right"/>
              <w:rPr>
                <w:rFonts w:ascii="Times New Roman" w:hAnsi="Times New Roman" w:cs="Times New Roman"/>
                <w:sz w:val="13"/>
                <w:szCs w:val="13"/>
              </w:rPr>
            </w:pPr>
            <w:r w:rsidRPr="004A4899">
              <w:rPr>
                <w:rFonts w:ascii="Times New Roman" w:hAnsi="Times New Roman" w:cs="Times New Roman"/>
                <w:sz w:val="13"/>
                <w:szCs w:val="13"/>
              </w:rPr>
              <w:t>628.48</w:t>
            </w:r>
          </w:p>
        </w:tc>
        <w:tc>
          <w:tcPr>
            <w:tcW w:w="273" w:type="dxa"/>
            <w:noWrap/>
            <w:vAlign w:val="center"/>
            <w:hideMark/>
          </w:tcPr>
          <w:p w14:paraId="50B7A0EC" w14:textId="77777777" w:rsidR="00126D8D" w:rsidRPr="004A4899" w:rsidRDefault="00126D8D" w:rsidP="00820288">
            <w:pPr>
              <w:spacing w:line="240" w:lineRule="auto"/>
              <w:rPr>
                <w:rFonts w:ascii="Times New Roman" w:hAnsi="Times New Roman" w:cs="Times New Roman"/>
                <w:sz w:val="13"/>
                <w:szCs w:val="13"/>
              </w:rPr>
            </w:pPr>
            <w:r w:rsidRPr="004A4899">
              <w:rPr>
                <w:rFonts w:ascii="Times New Roman" w:hAnsi="Times New Roman" w:cs="Times New Roman"/>
                <w:sz w:val="13"/>
                <w:szCs w:val="13"/>
              </w:rPr>
              <w:t>ab</w:t>
            </w:r>
          </w:p>
        </w:tc>
        <w:tc>
          <w:tcPr>
            <w:tcW w:w="377" w:type="dxa"/>
            <w:noWrap/>
            <w:vAlign w:val="center"/>
            <w:hideMark/>
          </w:tcPr>
          <w:p w14:paraId="2FA570C0" w14:textId="77777777" w:rsidR="00126D8D" w:rsidRPr="004A4899" w:rsidRDefault="00126D8D" w:rsidP="00820288">
            <w:pPr>
              <w:spacing w:line="240" w:lineRule="auto"/>
              <w:jc w:val="right"/>
              <w:rPr>
                <w:rFonts w:ascii="Times New Roman" w:hAnsi="Times New Roman" w:cs="Times New Roman"/>
                <w:sz w:val="13"/>
                <w:szCs w:val="13"/>
              </w:rPr>
            </w:pPr>
            <w:r w:rsidRPr="004A4899">
              <w:rPr>
                <w:rFonts w:ascii="Times New Roman" w:hAnsi="Times New Roman" w:cs="Times New Roman"/>
                <w:sz w:val="13"/>
                <w:szCs w:val="13"/>
              </w:rPr>
              <w:t>924.86</w:t>
            </w:r>
          </w:p>
        </w:tc>
        <w:tc>
          <w:tcPr>
            <w:tcW w:w="273" w:type="dxa"/>
            <w:noWrap/>
            <w:vAlign w:val="center"/>
            <w:hideMark/>
          </w:tcPr>
          <w:p w14:paraId="78E3489E" w14:textId="77777777" w:rsidR="00126D8D" w:rsidRPr="004A4899" w:rsidRDefault="00126D8D" w:rsidP="00820288">
            <w:pPr>
              <w:spacing w:line="240" w:lineRule="auto"/>
              <w:rPr>
                <w:rFonts w:ascii="Times New Roman" w:hAnsi="Times New Roman" w:cs="Times New Roman"/>
                <w:sz w:val="13"/>
                <w:szCs w:val="13"/>
              </w:rPr>
            </w:pPr>
            <w:r w:rsidRPr="004A4899">
              <w:rPr>
                <w:rFonts w:ascii="Times New Roman" w:hAnsi="Times New Roman" w:cs="Times New Roman"/>
                <w:sz w:val="13"/>
                <w:szCs w:val="13"/>
              </w:rPr>
              <w:t>a</w:t>
            </w:r>
          </w:p>
        </w:tc>
        <w:tc>
          <w:tcPr>
            <w:tcW w:w="377" w:type="dxa"/>
            <w:noWrap/>
            <w:vAlign w:val="center"/>
            <w:hideMark/>
          </w:tcPr>
          <w:p w14:paraId="4265D18E" w14:textId="77777777" w:rsidR="00126D8D" w:rsidRPr="004A4899" w:rsidRDefault="00126D8D" w:rsidP="00820288">
            <w:pPr>
              <w:spacing w:line="240" w:lineRule="auto"/>
              <w:jc w:val="right"/>
              <w:rPr>
                <w:rFonts w:ascii="Times New Roman" w:hAnsi="Times New Roman" w:cs="Times New Roman"/>
                <w:sz w:val="13"/>
                <w:szCs w:val="13"/>
              </w:rPr>
            </w:pPr>
            <w:r w:rsidRPr="004A4899">
              <w:rPr>
                <w:rFonts w:ascii="Times New Roman" w:hAnsi="Times New Roman" w:cs="Times New Roman"/>
                <w:sz w:val="13"/>
                <w:szCs w:val="13"/>
              </w:rPr>
              <w:t>696.32</w:t>
            </w:r>
          </w:p>
        </w:tc>
        <w:tc>
          <w:tcPr>
            <w:tcW w:w="326" w:type="dxa"/>
            <w:noWrap/>
            <w:vAlign w:val="center"/>
            <w:hideMark/>
          </w:tcPr>
          <w:p w14:paraId="57250DAD" w14:textId="77777777" w:rsidR="00126D8D" w:rsidRPr="004A4899" w:rsidRDefault="00126D8D" w:rsidP="00820288">
            <w:pPr>
              <w:spacing w:line="240" w:lineRule="auto"/>
              <w:rPr>
                <w:rFonts w:ascii="Times New Roman" w:hAnsi="Times New Roman" w:cs="Times New Roman"/>
                <w:sz w:val="13"/>
                <w:szCs w:val="13"/>
              </w:rPr>
            </w:pPr>
            <w:r w:rsidRPr="004A4899">
              <w:rPr>
                <w:rFonts w:ascii="Times New Roman" w:hAnsi="Times New Roman" w:cs="Times New Roman"/>
                <w:sz w:val="13"/>
                <w:szCs w:val="13"/>
              </w:rPr>
              <w:t>ab</w:t>
            </w:r>
          </w:p>
        </w:tc>
        <w:tc>
          <w:tcPr>
            <w:tcW w:w="377" w:type="dxa"/>
            <w:noWrap/>
            <w:vAlign w:val="center"/>
            <w:hideMark/>
          </w:tcPr>
          <w:p w14:paraId="438A7E90" w14:textId="77777777" w:rsidR="00126D8D" w:rsidRPr="004A4899" w:rsidRDefault="00126D8D" w:rsidP="00820288">
            <w:pPr>
              <w:spacing w:line="240" w:lineRule="auto"/>
              <w:jc w:val="right"/>
              <w:rPr>
                <w:rFonts w:ascii="Times New Roman" w:hAnsi="Times New Roman" w:cs="Times New Roman"/>
                <w:sz w:val="13"/>
                <w:szCs w:val="13"/>
              </w:rPr>
            </w:pPr>
            <w:r w:rsidRPr="004A4899">
              <w:rPr>
                <w:rFonts w:ascii="Times New Roman" w:hAnsi="Times New Roman" w:cs="Times New Roman"/>
                <w:sz w:val="13"/>
                <w:szCs w:val="13"/>
              </w:rPr>
              <w:t>714.47</w:t>
            </w:r>
          </w:p>
        </w:tc>
        <w:tc>
          <w:tcPr>
            <w:tcW w:w="326" w:type="dxa"/>
            <w:noWrap/>
            <w:vAlign w:val="center"/>
            <w:hideMark/>
          </w:tcPr>
          <w:p w14:paraId="3326368D" w14:textId="77777777" w:rsidR="00126D8D" w:rsidRPr="004A4899" w:rsidRDefault="00126D8D" w:rsidP="00820288">
            <w:pPr>
              <w:spacing w:line="240" w:lineRule="auto"/>
              <w:rPr>
                <w:rFonts w:ascii="Times New Roman" w:hAnsi="Times New Roman" w:cs="Times New Roman"/>
                <w:sz w:val="13"/>
                <w:szCs w:val="13"/>
              </w:rPr>
            </w:pPr>
            <w:r w:rsidRPr="004A4899">
              <w:rPr>
                <w:rFonts w:ascii="Times New Roman" w:hAnsi="Times New Roman" w:cs="Times New Roman"/>
                <w:sz w:val="13"/>
                <w:szCs w:val="13"/>
              </w:rPr>
              <w:t>ab</w:t>
            </w:r>
          </w:p>
        </w:tc>
        <w:tc>
          <w:tcPr>
            <w:tcW w:w="377" w:type="dxa"/>
            <w:noWrap/>
            <w:vAlign w:val="center"/>
            <w:hideMark/>
          </w:tcPr>
          <w:p w14:paraId="5C0789B3" w14:textId="77777777" w:rsidR="00126D8D" w:rsidRPr="004A4899" w:rsidRDefault="00126D8D" w:rsidP="00820288">
            <w:pPr>
              <w:spacing w:line="240" w:lineRule="auto"/>
              <w:jc w:val="right"/>
              <w:rPr>
                <w:rFonts w:ascii="Times New Roman" w:hAnsi="Times New Roman" w:cs="Times New Roman"/>
                <w:sz w:val="13"/>
                <w:szCs w:val="13"/>
              </w:rPr>
            </w:pPr>
            <w:r w:rsidRPr="004A4899">
              <w:rPr>
                <w:rFonts w:ascii="Times New Roman" w:hAnsi="Times New Roman" w:cs="Times New Roman"/>
                <w:sz w:val="13"/>
                <w:szCs w:val="13"/>
              </w:rPr>
              <w:t>767.72</w:t>
            </w:r>
          </w:p>
        </w:tc>
        <w:tc>
          <w:tcPr>
            <w:tcW w:w="219" w:type="dxa"/>
            <w:noWrap/>
            <w:vAlign w:val="center"/>
            <w:hideMark/>
          </w:tcPr>
          <w:p w14:paraId="283A86FF" w14:textId="77777777" w:rsidR="00126D8D" w:rsidRPr="004A4899" w:rsidRDefault="00126D8D" w:rsidP="00820288">
            <w:pPr>
              <w:spacing w:line="240" w:lineRule="auto"/>
              <w:rPr>
                <w:rFonts w:ascii="Times New Roman" w:hAnsi="Times New Roman" w:cs="Times New Roman"/>
                <w:sz w:val="13"/>
                <w:szCs w:val="13"/>
              </w:rPr>
            </w:pPr>
            <w:r w:rsidRPr="004A4899">
              <w:rPr>
                <w:rFonts w:ascii="Times New Roman" w:hAnsi="Times New Roman" w:cs="Times New Roman"/>
                <w:sz w:val="13"/>
                <w:szCs w:val="13"/>
              </w:rPr>
              <w:t>ab</w:t>
            </w:r>
          </w:p>
        </w:tc>
        <w:tc>
          <w:tcPr>
            <w:tcW w:w="377" w:type="dxa"/>
            <w:noWrap/>
            <w:vAlign w:val="center"/>
            <w:hideMark/>
          </w:tcPr>
          <w:p w14:paraId="6859BED9" w14:textId="77777777" w:rsidR="00126D8D" w:rsidRPr="004A4899" w:rsidRDefault="00126D8D" w:rsidP="00820288">
            <w:pPr>
              <w:spacing w:line="240" w:lineRule="auto"/>
              <w:jc w:val="right"/>
              <w:rPr>
                <w:rFonts w:ascii="Times New Roman" w:hAnsi="Times New Roman" w:cs="Times New Roman"/>
                <w:sz w:val="13"/>
                <w:szCs w:val="13"/>
              </w:rPr>
            </w:pPr>
            <w:r w:rsidRPr="004A4899">
              <w:rPr>
                <w:rFonts w:ascii="Times New Roman" w:hAnsi="Times New Roman" w:cs="Times New Roman"/>
                <w:sz w:val="13"/>
                <w:szCs w:val="13"/>
              </w:rPr>
              <w:t>848.92</w:t>
            </w:r>
          </w:p>
        </w:tc>
        <w:tc>
          <w:tcPr>
            <w:tcW w:w="159" w:type="dxa"/>
            <w:noWrap/>
            <w:vAlign w:val="center"/>
            <w:hideMark/>
          </w:tcPr>
          <w:p w14:paraId="55FB7F58" w14:textId="77777777" w:rsidR="00126D8D" w:rsidRPr="004A4899" w:rsidRDefault="00126D8D" w:rsidP="00820288">
            <w:pPr>
              <w:spacing w:line="240" w:lineRule="auto"/>
              <w:rPr>
                <w:rFonts w:ascii="Times New Roman" w:hAnsi="Times New Roman" w:cs="Times New Roman"/>
                <w:sz w:val="13"/>
                <w:szCs w:val="13"/>
              </w:rPr>
            </w:pPr>
            <w:r w:rsidRPr="004A4899">
              <w:rPr>
                <w:rFonts w:ascii="Times New Roman" w:hAnsi="Times New Roman" w:cs="Times New Roman"/>
                <w:sz w:val="13"/>
                <w:szCs w:val="13"/>
              </w:rPr>
              <w:t>ab</w:t>
            </w:r>
          </w:p>
        </w:tc>
        <w:tc>
          <w:tcPr>
            <w:tcW w:w="377" w:type="dxa"/>
            <w:noWrap/>
            <w:vAlign w:val="center"/>
            <w:hideMark/>
          </w:tcPr>
          <w:p w14:paraId="2C513E1E" w14:textId="77777777" w:rsidR="00126D8D" w:rsidRPr="004A4899" w:rsidRDefault="00126D8D" w:rsidP="00820288">
            <w:pPr>
              <w:spacing w:line="240" w:lineRule="auto"/>
              <w:jc w:val="right"/>
              <w:rPr>
                <w:rFonts w:ascii="Times New Roman" w:hAnsi="Times New Roman" w:cs="Times New Roman"/>
                <w:sz w:val="13"/>
                <w:szCs w:val="13"/>
              </w:rPr>
            </w:pPr>
            <w:r w:rsidRPr="004A4899">
              <w:rPr>
                <w:rFonts w:ascii="Times New Roman" w:hAnsi="Times New Roman" w:cs="Times New Roman"/>
                <w:sz w:val="13"/>
                <w:szCs w:val="13"/>
              </w:rPr>
              <w:t>779.51</w:t>
            </w:r>
          </w:p>
        </w:tc>
        <w:tc>
          <w:tcPr>
            <w:tcW w:w="326" w:type="dxa"/>
            <w:noWrap/>
            <w:vAlign w:val="center"/>
            <w:hideMark/>
          </w:tcPr>
          <w:p w14:paraId="43C8D4FF" w14:textId="77777777" w:rsidR="00126D8D" w:rsidRPr="004A4899" w:rsidRDefault="00126D8D" w:rsidP="00820288">
            <w:pPr>
              <w:spacing w:line="240" w:lineRule="auto"/>
              <w:rPr>
                <w:rFonts w:ascii="Times New Roman" w:hAnsi="Times New Roman" w:cs="Times New Roman"/>
                <w:sz w:val="13"/>
                <w:szCs w:val="13"/>
              </w:rPr>
            </w:pPr>
            <w:r w:rsidRPr="004A4899">
              <w:rPr>
                <w:rFonts w:ascii="Times New Roman" w:hAnsi="Times New Roman" w:cs="Times New Roman"/>
                <w:sz w:val="13"/>
                <w:szCs w:val="13"/>
              </w:rPr>
              <w:t>ab</w:t>
            </w:r>
          </w:p>
        </w:tc>
        <w:tc>
          <w:tcPr>
            <w:tcW w:w="377" w:type="dxa"/>
            <w:noWrap/>
            <w:vAlign w:val="center"/>
            <w:hideMark/>
          </w:tcPr>
          <w:p w14:paraId="0AA01B26" w14:textId="77777777" w:rsidR="00126D8D" w:rsidRPr="004A4899" w:rsidRDefault="00126D8D" w:rsidP="00820288">
            <w:pPr>
              <w:spacing w:line="240" w:lineRule="auto"/>
              <w:jc w:val="right"/>
              <w:rPr>
                <w:rFonts w:ascii="Times New Roman" w:hAnsi="Times New Roman" w:cs="Times New Roman"/>
                <w:sz w:val="13"/>
                <w:szCs w:val="13"/>
              </w:rPr>
            </w:pPr>
            <w:r w:rsidRPr="004A4899">
              <w:rPr>
                <w:rFonts w:ascii="Times New Roman" w:hAnsi="Times New Roman" w:cs="Times New Roman"/>
                <w:sz w:val="13"/>
                <w:szCs w:val="13"/>
              </w:rPr>
              <w:t>650.81</w:t>
            </w:r>
          </w:p>
        </w:tc>
        <w:tc>
          <w:tcPr>
            <w:tcW w:w="252" w:type="dxa"/>
            <w:noWrap/>
            <w:vAlign w:val="center"/>
            <w:hideMark/>
          </w:tcPr>
          <w:p w14:paraId="3B3E327C" w14:textId="77777777" w:rsidR="00126D8D" w:rsidRPr="004A4899" w:rsidRDefault="00126D8D" w:rsidP="00820288">
            <w:pPr>
              <w:spacing w:line="240" w:lineRule="auto"/>
              <w:rPr>
                <w:rFonts w:ascii="Times New Roman" w:hAnsi="Times New Roman" w:cs="Times New Roman"/>
                <w:sz w:val="13"/>
                <w:szCs w:val="13"/>
              </w:rPr>
            </w:pPr>
            <w:r w:rsidRPr="004A4899">
              <w:rPr>
                <w:rFonts w:ascii="Times New Roman" w:hAnsi="Times New Roman" w:cs="Times New Roman"/>
                <w:sz w:val="13"/>
                <w:szCs w:val="13"/>
              </w:rPr>
              <w:t>ab</w:t>
            </w:r>
          </w:p>
        </w:tc>
        <w:tc>
          <w:tcPr>
            <w:tcW w:w="377" w:type="dxa"/>
            <w:noWrap/>
            <w:vAlign w:val="center"/>
            <w:hideMark/>
          </w:tcPr>
          <w:p w14:paraId="5C2382EE" w14:textId="77777777" w:rsidR="00126D8D" w:rsidRPr="004A4899" w:rsidRDefault="00126D8D" w:rsidP="00820288">
            <w:pPr>
              <w:spacing w:line="240" w:lineRule="auto"/>
              <w:jc w:val="right"/>
              <w:rPr>
                <w:rFonts w:ascii="Times New Roman" w:hAnsi="Times New Roman" w:cs="Times New Roman"/>
                <w:sz w:val="13"/>
                <w:szCs w:val="13"/>
              </w:rPr>
            </w:pPr>
            <w:r w:rsidRPr="004A4899">
              <w:rPr>
                <w:rFonts w:ascii="Times New Roman" w:hAnsi="Times New Roman" w:cs="Times New Roman"/>
                <w:sz w:val="13"/>
                <w:szCs w:val="13"/>
              </w:rPr>
              <w:t>778.87</w:t>
            </w:r>
          </w:p>
        </w:tc>
        <w:tc>
          <w:tcPr>
            <w:tcW w:w="273" w:type="dxa"/>
            <w:noWrap/>
            <w:vAlign w:val="center"/>
            <w:hideMark/>
          </w:tcPr>
          <w:p w14:paraId="5962D407" w14:textId="77777777" w:rsidR="00126D8D" w:rsidRPr="004A4899" w:rsidRDefault="00126D8D" w:rsidP="00820288">
            <w:pPr>
              <w:spacing w:line="240" w:lineRule="auto"/>
              <w:rPr>
                <w:rFonts w:ascii="Times New Roman" w:hAnsi="Times New Roman" w:cs="Times New Roman"/>
                <w:sz w:val="13"/>
                <w:szCs w:val="13"/>
              </w:rPr>
            </w:pPr>
            <w:r w:rsidRPr="004A4899">
              <w:rPr>
                <w:rFonts w:ascii="Times New Roman" w:hAnsi="Times New Roman" w:cs="Times New Roman"/>
                <w:sz w:val="13"/>
                <w:szCs w:val="13"/>
              </w:rPr>
              <w:t>ab</w:t>
            </w:r>
          </w:p>
        </w:tc>
        <w:tc>
          <w:tcPr>
            <w:tcW w:w="377" w:type="dxa"/>
            <w:noWrap/>
            <w:vAlign w:val="center"/>
            <w:hideMark/>
          </w:tcPr>
          <w:p w14:paraId="3F6CFC24" w14:textId="77777777" w:rsidR="00126D8D" w:rsidRPr="004A4899" w:rsidRDefault="00126D8D" w:rsidP="00820288">
            <w:pPr>
              <w:spacing w:line="240" w:lineRule="auto"/>
              <w:jc w:val="right"/>
              <w:rPr>
                <w:rFonts w:ascii="Times New Roman" w:hAnsi="Times New Roman" w:cs="Times New Roman"/>
                <w:sz w:val="13"/>
                <w:szCs w:val="13"/>
              </w:rPr>
            </w:pPr>
            <w:r w:rsidRPr="004A4899">
              <w:rPr>
                <w:rFonts w:ascii="Times New Roman" w:hAnsi="Times New Roman" w:cs="Times New Roman"/>
                <w:sz w:val="13"/>
                <w:szCs w:val="13"/>
              </w:rPr>
              <w:t>586.82</w:t>
            </w:r>
          </w:p>
        </w:tc>
        <w:tc>
          <w:tcPr>
            <w:tcW w:w="273" w:type="dxa"/>
            <w:noWrap/>
            <w:vAlign w:val="center"/>
            <w:hideMark/>
          </w:tcPr>
          <w:p w14:paraId="5311C49F" w14:textId="77777777" w:rsidR="00126D8D" w:rsidRPr="004A4899" w:rsidRDefault="00126D8D" w:rsidP="00820288">
            <w:pPr>
              <w:spacing w:line="240" w:lineRule="auto"/>
              <w:rPr>
                <w:rFonts w:ascii="Times New Roman" w:hAnsi="Times New Roman" w:cs="Times New Roman"/>
                <w:sz w:val="13"/>
                <w:szCs w:val="13"/>
              </w:rPr>
            </w:pPr>
            <w:r w:rsidRPr="004A4899">
              <w:rPr>
                <w:rFonts w:ascii="Times New Roman" w:hAnsi="Times New Roman" w:cs="Times New Roman"/>
                <w:sz w:val="13"/>
                <w:szCs w:val="13"/>
              </w:rPr>
              <w:t>ab</w:t>
            </w:r>
          </w:p>
        </w:tc>
      </w:tr>
      <w:tr w:rsidR="00126D8D" w:rsidRPr="004A4899" w14:paraId="0765368E" w14:textId="77777777" w:rsidTr="00820288">
        <w:trPr>
          <w:trHeight w:val="173"/>
        </w:trPr>
        <w:tc>
          <w:tcPr>
            <w:tcW w:w="1440" w:type="dxa"/>
            <w:noWrap/>
            <w:vAlign w:val="center"/>
            <w:hideMark/>
          </w:tcPr>
          <w:p w14:paraId="7ED69F91" w14:textId="77777777" w:rsidR="00126D8D" w:rsidRPr="004A4899" w:rsidRDefault="00126D8D" w:rsidP="00820288">
            <w:pPr>
              <w:spacing w:line="240" w:lineRule="auto"/>
              <w:rPr>
                <w:rFonts w:ascii="Times New Roman" w:hAnsi="Times New Roman" w:cs="Times New Roman"/>
                <w:sz w:val="12"/>
                <w:szCs w:val="12"/>
              </w:rPr>
            </w:pPr>
            <w:r w:rsidRPr="004A4899">
              <w:rPr>
                <w:rFonts w:ascii="Times New Roman" w:hAnsi="Times New Roman" w:cs="Times New Roman"/>
                <w:sz w:val="12"/>
                <w:szCs w:val="12"/>
              </w:rPr>
              <w:t>trans-β-Ocimene</w:t>
            </w:r>
          </w:p>
        </w:tc>
        <w:tc>
          <w:tcPr>
            <w:tcW w:w="377" w:type="dxa"/>
            <w:noWrap/>
            <w:vAlign w:val="center"/>
            <w:hideMark/>
          </w:tcPr>
          <w:p w14:paraId="0AB4793C" w14:textId="77777777" w:rsidR="00126D8D" w:rsidRPr="004A4899" w:rsidRDefault="00126D8D" w:rsidP="00820288">
            <w:pPr>
              <w:spacing w:line="240" w:lineRule="auto"/>
              <w:jc w:val="right"/>
              <w:rPr>
                <w:rFonts w:ascii="Times New Roman" w:hAnsi="Times New Roman" w:cs="Times New Roman"/>
                <w:sz w:val="13"/>
                <w:szCs w:val="13"/>
              </w:rPr>
            </w:pPr>
            <w:r w:rsidRPr="004A4899">
              <w:rPr>
                <w:rFonts w:ascii="Times New Roman" w:hAnsi="Times New Roman" w:cs="Times New Roman"/>
                <w:sz w:val="13"/>
                <w:szCs w:val="13"/>
              </w:rPr>
              <w:t>195.86</w:t>
            </w:r>
          </w:p>
        </w:tc>
        <w:tc>
          <w:tcPr>
            <w:tcW w:w="274" w:type="dxa"/>
            <w:noWrap/>
            <w:vAlign w:val="center"/>
            <w:hideMark/>
          </w:tcPr>
          <w:p w14:paraId="489BBA81" w14:textId="77777777" w:rsidR="00126D8D" w:rsidRPr="004A4899" w:rsidRDefault="00126D8D" w:rsidP="00820288">
            <w:pPr>
              <w:spacing w:line="240" w:lineRule="auto"/>
              <w:rPr>
                <w:rFonts w:ascii="Times New Roman" w:hAnsi="Times New Roman" w:cs="Times New Roman"/>
                <w:sz w:val="13"/>
                <w:szCs w:val="13"/>
              </w:rPr>
            </w:pPr>
            <w:r w:rsidRPr="004A4899">
              <w:rPr>
                <w:rFonts w:ascii="Times New Roman" w:hAnsi="Times New Roman" w:cs="Times New Roman"/>
                <w:sz w:val="13"/>
                <w:szCs w:val="13"/>
              </w:rPr>
              <w:t>bcd</w:t>
            </w:r>
          </w:p>
        </w:tc>
        <w:tc>
          <w:tcPr>
            <w:tcW w:w="411" w:type="dxa"/>
            <w:noWrap/>
            <w:vAlign w:val="center"/>
            <w:hideMark/>
          </w:tcPr>
          <w:p w14:paraId="194EBA30" w14:textId="77777777" w:rsidR="00126D8D" w:rsidRPr="004A4899" w:rsidRDefault="00126D8D" w:rsidP="00820288">
            <w:pPr>
              <w:spacing w:line="240" w:lineRule="auto"/>
              <w:jc w:val="right"/>
              <w:rPr>
                <w:rFonts w:ascii="Times New Roman" w:hAnsi="Times New Roman" w:cs="Times New Roman"/>
                <w:sz w:val="13"/>
                <w:szCs w:val="13"/>
              </w:rPr>
            </w:pPr>
            <w:r w:rsidRPr="004A4899">
              <w:rPr>
                <w:rFonts w:ascii="Times New Roman" w:hAnsi="Times New Roman" w:cs="Times New Roman"/>
                <w:sz w:val="13"/>
                <w:szCs w:val="13"/>
              </w:rPr>
              <w:t>111.37</w:t>
            </w:r>
          </w:p>
        </w:tc>
        <w:tc>
          <w:tcPr>
            <w:tcW w:w="239" w:type="dxa"/>
            <w:noWrap/>
            <w:vAlign w:val="center"/>
            <w:hideMark/>
          </w:tcPr>
          <w:p w14:paraId="7C49764F" w14:textId="77777777" w:rsidR="00126D8D" w:rsidRPr="004A4899" w:rsidRDefault="00126D8D" w:rsidP="00820288">
            <w:pPr>
              <w:spacing w:line="240" w:lineRule="auto"/>
              <w:rPr>
                <w:rFonts w:ascii="Times New Roman" w:hAnsi="Times New Roman" w:cs="Times New Roman"/>
                <w:sz w:val="13"/>
                <w:szCs w:val="13"/>
              </w:rPr>
            </w:pPr>
            <w:r w:rsidRPr="004A4899">
              <w:rPr>
                <w:rFonts w:ascii="Times New Roman" w:hAnsi="Times New Roman" w:cs="Times New Roman"/>
                <w:sz w:val="13"/>
                <w:szCs w:val="13"/>
              </w:rPr>
              <w:t>d</w:t>
            </w:r>
          </w:p>
        </w:tc>
        <w:tc>
          <w:tcPr>
            <w:tcW w:w="377" w:type="dxa"/>
            <w:noWrap/>
            <w:vAlign w:val="center"/>
            <w:hideMark/>
          </w:tcPr>
          <w:p w14:paraId="294CC1B7" w14:textId="77777777" w:rsidR="00126D8D" w:rsidRPr="004A4899" w:rsidRDefault="00126D8D" w:rsidP="00820288">
            <w:pPr>
              <w:spacing w:line="240" w:lineRule="auto"/>
              <w:jc w:val="right"/>
              <w:rPr>
                <w:rFonts w:ascii="Times New Roman" w:hAnsi="Times New Roman" w:cs="Times New Roman"/>
                <w:sz w:val="13"/>
                <w:szCs w:val="13"/>
              </w:rPr>
            </w:pPr>
            <w:r w:rsidRPr="004A4899">
              <w:rPr>
                <w:rFonts w:ascii="Times New Roman" w:hAnsi="Times New Roman" w:cs="Times New Roman"/>
                <w:sz w:val="13"/>
                <w:szCs w:val="13"/>
              </w:rPr>
              <w:t>168.39</w:t>
            </w:r>
          </w:p>
        </w:tc>
        <w:tc>
          <w:tcPr>
            <w:tcW w:w="273" w:type="dxa"/>
            <w:noWrap/>
            <w:vAlign w:val="center"/>
            <w:hideMark/>
          </w:tcPr>
          <w:p w14:paraId="00B05DA1" w14:textId="77777777" w:rsidR="00126D8D" w:rsidRPr="004A4899" w:rsidRDefault="00126D8D" w:rsidP="00820288">
            <w:pPr>
              <w:spacing w:line="240" w:lineRule="auto"/>
              <w:rPr>
                <w:rFonts w:ascii="Times New Roman" w:hAnsi="Times New Roman" w:cs="Times New Roman"/>
                <w:sz w:val="13"/>
                <w:szCs w:val="13"/>
              </w:rPr>
            </w:pPr>
            <w:r w:rsidRPr="004A4899">
              <w:rPr>
                <w:rFonts w:ascii="Times New Roman" w:hAnsi="Times New Roman" w:cs="Times New Roman"/>
                <w:sz w:val="13"/>
                <w:szCs w:val="13"/>
              </w:rPr>
              <w:t>bcd</w:t>
            </w:r>
          </w:p>
        </w:tc>
        <w:tc>
          <w:tcPr>
            <w:tcW w:w="377" w:type="dxa"/>
            <w:noWrap/>
            <w:vAlign w:val="center"/>
            <w:hideMark/>
          </w:tcPr>
          <w:p w14:paraId="09049C4B" w14:textId="77777777" w:rsidR="00126D8D" w:rsidRPr="004A4899" w:rsidRDefault="00126D8D" w:rsidP="00820288">
            <w:pPr>
              <w:spacing w:line="240" w:lineRule="auto"/>
              <w:jc w:val="right"/>
              <w:rPr>
                <w:rFonts w:ascii="Times New Roman" w:hAnsi="Times New Roman" w:cs="Times New Roman"/>
                <w:sz w:val="13"/>
                <w:szCs w:val="13"/>
              </w:rPr>
            </w:pPr>
            <w:r w:rsidRPr="004A4899">
              <w:rPr>
                <w:rFonts w:ascii="Times New Roman" w:hAnsi="Times New Roman" w:cs="Times New Roman"/>
                <w:sz w:val="13"/>
                <w:szCs w:val="13"/>
              </w:rPr>
              <w:t>239.57</w:t>
            </w:r>
          </w:p>
        </w:tc>
        <w:tc>
          <w:tcPr>
            <w:tcW w:w="273" w:type="dxa"/>
            <w:noWrap/>
            <w:vAlign w:val="center"/>
            <w:hideMark/>
          </w:tcPr>
          <w:p w14:paraId="10ECA292" w14:textId="77777777" w:rsidR="00126D8D" w:rsidRPr="004A4899" w:rsidRDefault="00126D8D" w:rsidP="00820288">
            <w:pPr>
              <w:spacing w:line="240" w:lineRule="auto"/>
              <w:rPr>
                <w:rFonts w:ascii="Times New Roman" w:hAnsi="Times New Roman" w:cs="Times New Roman"/>
                <w:sz w:val="13"/>
                <w:szCs w:val="13"/>
              </w:rPr>
            </w:pPr>
            <w:r w:rsidRPr="004A4899">
              <w:rPr>
                <w:rFonts w:ascii="Times New Roman" w:hAnsi="Times New Roman" w:cs="Times New Roman"/>
                <w:sz w:val="13"/>
                <w:szCs w:val="13"/>
              </w:rPr>
              <w:t>abc</w:t>
            </w:r>
          </w:p>
        </w:tc>
        <w:tc>
          <w:tcPr>
            <w:tcW w:w="377" w:type="dxa"/>
            <w:noWrap/>
            <w:vAlign w:val="center"/>
            <w:hideMark/>
          </w:tcPr>
          <w:p w14:paraId="6125784B" w14:textId="77777777" w:rsidR="00126D8D" w:rsidRPr="004A4899" w:rsidRDefault="00126D8D" w:rsidP="00820288">
            <w:pPr>
              <w:spacing w:line="240" w:lineRule="auto"/>
              <w:jc w:val="right"/>
              <w:rPr>
                <w:rFonts w:ascii="Times New Roman" w:hAnsi="Times New Roman" w:cs="Times New Roman"/>
                <w:sz w:val="13"/>
                <w:szCs w:val="13"/>
              </w:rPr>
            </w:pPr>
            <w:r w:rsidRPr="004A4899">
              <w:rPr>
                <w:rFonts w:ascii="Times New Roman" w:hAnsi="Times New Roman" w:cs="Times New Roman"/>
                <w:sz w:val="13"/>
                <w:szCs w:val="13"/>
              </w:rPr>
              <w:t>216.57</w:t>
            </w:r>
          </w:p>
        </w:tc>
        <w:tc>
          <w:tcPr>
            <w:tcW w:w="326" w:type="dxa"/>
            <w:noWrap/>
            <w:vAlign w:val="center"/>
            <w:hideMark/>
          </w:tcPr>
          <w:p w14:paraId="7584AEBF" w14:textId="77777777" w:rsidR="00126D8D" w:rsidRPr="004A4899" w:rsidRDefault="00126D8D" w:rsidP="00820288">
            <w:pPr>
              <w:spacing w:line="240" w:lineRule="auto"/>
              <w:rPr>
                <w:rFonts w:ascii="Times New Roman" w:hAnsi="Times New Roman" w:cs="Times New Roman"/>
                <w:sz w:val="13"/>
                <w:szCs w:val="13"/>
              </w:rPr>
            </w:pPr>
            <w:r w:rsidRPr="004A4899">
              <w:rPr>
                <w:rFonts w:ascii="Times New Roman" w:hAnsi="Times New Roman" w:cs="Times New Roman"/>
                <w:sz w:val="13"/>
                <w:szCs w:val="13"/>
              </w:rPr>
              <w:t>bcd</w:t>
            </w:r>
          </w:p>
        </w:tc>
        <w:tc>
          <w:tcPr>
            <w:tcW w:w="377" w:type="dxa"/>
            <w:noWrap/>
            <w:vAlign w:val="center"/>
            <w:hideMark/>
          </w:tcPr>
          <w:p w14:paraId="7E30C148" w14:textId="77777777" w:rsidR="00126D8D" w:rsidRPr="004A4899" w:rsidRDefault="00126D8D" w:rsidP="00820288">
            <w:pPr>
              <w:spacing w:line="240" w:lineRule="auto"/>
              <w:jc w:val="right"/>
              <w:rPr>
                <w:rFonts w:ascii="Times New Roman" w:hAnsi="Times New Roman" w:cs="Times New Roman"/>
                <w:sz w:val="13"/>
                <w:szCs w:val="13"/>
              </w:rPr>
            </w:pPr>
            <w:r w:rsidRPr="004A4899">
              <w:rPr>
                <w:rFonts w:ascii="Times New Roman" w:hAnsi="Times New Roman" w:cs="Times New Roman"/>
                <w:sz w:val="13"/>
                <w:szCs w:val="13"/>
              </w:rPr>
              <w:t>232.42</w:t>
            </w:r>
          </w:p>
        </w:tc>
        <w:tc>
          <w:tcPr>
            <w:tcW w:w="326" w:type="dxa"/>
            <w:noWrap/>
            <w:vAlign w:val="center"/>
            <w:hideMark/>
          </w:tcPr>
          <w:p w14:paraId="2F73D693" w14:textId="77777777" w:rsidR="00126D8D" w:rsidRPr="004A4899" w:rsidRDefault="00126D8D" w:rsidP="00820288">
            <w:pPr>
              <w:spacing w:line="240" w:lineRule="auto"/>
              <w:rPr>
                <w:rFonts w:ascii="Times New Roman" w:hAnsi="Times New Roman" w:cs="Times New Roman"/>
                <w:sz w:val="13"/>
                <w:szCs w:val="13"/>
              </w:rPr>
            </w:pPr>
            <w:r w:rsidRPr="004A4899">
              <w:rPr>
                <w:rFonts w:ascii="Times New Roman" w:hAnsi="Times New Roman" w:cs="Times New Roman"/>
                <w:sz w:val="13"/>
                <w:szCs w:val="13"/>
              </w:rPr>
              <w:t>bcd</w:t>
            </w:r>
          </w:p>
        </w:tc>
        <w:tc>
          <w:tcPr>
            <w:tcW w:w="377" w:type="dxa"/>
            <w:noWrap/>
            <w:vAlign w:val="center"/>
            <w:hideMark/>
          </w:tcPr>
          <w:p w14:paraId="09FBA324" w14:textId="77777777" w:rsidR="00126D8D" w:rsidRPr="004A4899" w:rsidRDefault="00126D8D" w:rsidP="00820288">
            <w:pPr>
              <w:spacing w:line="240" w:lineRule="auto"/>
              <w:jc w:val="right"/>
              <w:rPr>
                <w:rFonts w:ascii="Times New Roman" w:hAnsi="Times New Roman" w:cs="Times New Roman"/>
                <w:sz w:val="13"/>
                <w:szCs w:val="13"/>
              </w:rPr>
            </w:pPr>
            <w:r w:rsidRPr="004A4899">
              <w:rPr>
                <w:rFonts w:ascii="Times New Roman" w:hAnsi="Times New Roman" w:cs="Times New Roman"/>
                <w:sz w:val="13"/>
                <w:szCs w:val="13"/>
              </w:rPr>
              <w:t>262.02</w:t>
            </w:r>
          </w:p>
        </w:tc>
        <w:tc>
          <w:tcPr>
            <w:tcW w:w="219" w:type="dxa"/>
            <w:noWrap/>
            <w:vAlign w:val="center"/>
            <w:hideMark/>
          </w:tcPr>
          <w:p w14:paraId="15AE5879" w14:textId="77777777" w:rsidR="00126D8D" w:rsidRPr="004A4899" w:rsidRDefault="00126D8D" w:rsidP="00820288">
            <w:pPr>
              <w:spacing w:line="240" w:lineRule="auto"/>
              <w:rPr>
                <w:rFonts w:ascii="Times New Roman" w:hAnsi="Times New Roman" w:cs="Times New Roman"/>
                <w:sz w:val="13"/>
                <w:szCs w:val="13"/>
              </w:rPr>
            </w:pPr>
            <w:r w:rsidRPr="004A4899">
              <w:rPr>
                <w:rFonts w:ascii="Times New Roman" w:hAnsi="Times New Roman" w:cs="Times New Roman"/>
                <w:sz w:val="13"/>
                <w:szCs w:val="13"/>
              </w:rPr>
              <w:t>ab</w:t>
            </w:r>
          </w:p>
        </w:tc>
        <w:tc>
          <w:tcPr>
            <w:tcW w:w="377" w:type="dxa"/>
            <w:noWrap/>
            <w:vAlign w:val="center"/>
            <w:hideMark/>
          </w:tcPr>
          <w:p w14:paraId="5C84DCDE" w14:textId="77777777" w:rsidR="00126D8D" w:rsidRPr="004A4899" w:rsidRDefault="00126D8D" w:rsidP="00820288">
            <w:pPr>
              <w:spacing w:line="240" w:lineRule="auto"/>
              <w:jc w:val="right"/>
              <w:rPr>
                <w:rFonts w:ascii="Times New Roman" w:hAnsi="Times New Roman" w:cs="Times New Roman"/>
                <w:sz w:val="13"/>
                <w:szCs w:val="13"/>
              </w:rPr>
            </w:pPr>
            <w:r w:rsidRPr="004A4899">
              <w:rPr>
                <w:rFonts w:ascii="Times New Roman" w:hAnsi="Times New Roman" w:cs="Times New Roman"/>
                <w:sz w:val="13"/>
                <w:szCs w:val="13"/>
              </w:rPr>
              <w:t>357.86</w:t>
            </w:r>
          </w:p>
        </w:tc>
        <w:tc>
          <w:tcPr>
            <w:tcW w:w="159" w:type="dxa"/>
            <w:noWrap/>
            <w:vAlign w:val="center"/>
            <w:hideMark/>
          </w:tcPr>
          <w:p w14:paraId="701A125A" w14:textId="77777777" w:rsidR="00126D8D" w:rsidRPr="004A4899" w:rsidRDefault="00126D8D" w:rsidP="00820288">
            <w:pPr>
              <w:spacing w:line="240" w:lineRule="auto"/>
              <w:rPr>
                <w:rFonts w:ascii="Times New Roman" w:hAnsi="Times New Roman" w:cs="Times New Roman"/>
                <w:sz w:val="13"/>
                <w:szCs w:val="13"/>
              </w:rPr>
            </w:pPr>
            <w:r w:rsidRPr="004A4899">
              <w:rPr>
                <w:rFonts w:ascii="Times New Roman" w:hAnsi="Times New Roman" w:cs="Times New Roman"/>
                <w:sz w:val="13"/>
                <w:szCs w:val="13"/>
              </w:rPr>
              <w:t>a</w:t>
            </w:r>
          </w:p>
        </w:tc>
        <w:tc>
          <w:tcPr>
            <w:tcW w:w="377" w:type="dxa"/>
            <w:noWrap/>
            <w:vAlign w:val="center"/>
            <w:hideMark/>
          </w:tcPr>
          <w:p w14:paraId="333F0181" w14:textId="77777777" w:rsidR="00126D8D" w:rsidRPr="004A4899" w:rsidRDefault="00126D8D" w:rsidP="00820288">
            <w:pPr>
              <w:spacing w:line="240" w:lineRule="auto"/>
              <w:jc w:val="right"/>
              <w:rPr>
                <w:rFonts w:ascii="Times New Roman" w:hAnsi="Times New Roman" w:cs="Times New Roman"/>
                <w:sz w:val="13"/>
                <w:szCs w:val="13"/>
              </w:rPr>
            </w:pPr>
            <w:r w:rsidRPr="004A4899">
              <w:rPr>
                <w:rFonts w:ascii="Times New Roman" w:hAnsi="Times New Roman" w:cs="Times New Roman"/>
                <w:sz w:val="13"/>
                <w:szCs w:val="13"/>
              </w:rPr>
              <w:t>205.60</w:t>
            </w:r>
          </w:p>
        </w:tc>
        <w:tc>
          <w:tcPr>
            <w:tcW w:w="326" w:type="dxa"/>
            <w:noWrap/>
            <w:vAlign w:val="center"/>
            <w:hideMark/>
          </w:tcPr>
          <w:p w14:paraId="1329809E" w14:textId="77777777" w:rsidR="00126D8D" w:rsidRPr="004A4899" w:rsidRDefault="00126D8D" w:rsidP="00820288">
            <w:pPr>
              <w:spacing w:line="240" w:lineRule="auto"/>
              <w:rPr>
                <w:rFonts w:ascii="Times New Roman" w:hAnsi="Times New Roman" w:cs="Times New Roman"/>
                <w:sz w:val="13"/>
                <w:szCs w:val="13"/>
              </w:rPr>
            </w:pPr>
            <w:r w:rsidRPr="004A4899">
              <w:rPr>
                <w:rFonts w:ascii="Times New Roman" w:hAnsi="Times New Roman" w:cs="Times New Roman"/>
                <w:sz w:val="13"/>
                <w:szCs w:val="13"/>
              </w:rPr>
              <w:t>bcd</w:t>
            </w:r>
          </w:p>
        </w:tc>
        <w:tc>
          <w:tcPr>
            <w:tcW w:w="377" w:type="dxa"/>
            <w:noWrap/>
            <w:vAlign w:val="center"/>
            <w:hideMark/>
          </w:tcPr>
          <w:p w14:paraId="3A37DD34" w14:textId="77777777" w:rsidR="00126D8D" w:rsidRPr="004A4899" w:rsidRDefault="00126D8D" w:rsidP="00820288">
            <w:pPr>
              <w:spacing w:line="240" w:lineRule="auto"/>
              <w:jc w:val="right"/>
              <w:rPr>
                <w:rFonts w:ascii="Times New Roman" w:hAnsi="Times New Roman" w:cs="Times New Roman"/>
                <w:sz w:val="13"/>
                <w:szCs w:val="13"/>
              </w:rPr>
            </w:pPr>
            <w:r w:rsidRPr="004A4899">
              <w:rPr>
                <w:rFonts w:ascii="Times New Roman" w:hAnsi="Times New Roman" w:cs="Times New Roman"/>
                <w:sz w:val="13"/>
                <w:szCs w:val="13"/>
              </w:rPr>
              <w:t>119.00</w:t>
            </w:r>
          </w:p>
        </w:tc>
        <w:tc>
          <w:tcPr>
            <w:tcW w:w="252" w:type="dxa"/>
            <w:noWrap/>
            <w:vAlign w:val="center"/>
            <w:hideMark/>
          </w:tcPr>
          <w:p w14:paraId="0C2DE963" w14:textId="77777777" w:rsidR="00126D8D" w:rsidRPr="004A4899" w:rsidRDefault="00126D8D" w:rsidP="00820288">
            <w:pPr>
              <w:spacing w:line="240" w:lineRule="auto"/>
              <w:rPr>
                <w:rFonts w:ascii="Times New Roman" w:hAnsi="Times New Roman" w:cs="Times New Roman"/>
                <w:sz w:val="13"/>
                <w:szCs w:val="13"/>
              </w:rPr>
            </w:pPr>
            <w:r w:rsidRPr="004A4899">
              <w:rPr>
                <w:rFonts w:ascii="Times New Roman" w:hAnsi="Times New Roman" w:cs="Times New Roman"/>
                <w:sz w:val="13"/>
                <w:szCs w:val="13"/>
              </w:rPr>
              <w:t>cd</w:t>
            </w:r>
          </w:p>
        </w:tc>
        <w:tc>
          <w:tcPr>
            <w:tcW w:w="377" w:type="dxa"/>
            <w:noWrap/>
            <w:vAlign w:val="center"/>
            <w:hideMark/>
          </w:tcPr>
          <w:p w14:paraId="585F381B" w14:textId="77777777" w:rsidR="00126D8D" w:rsidRPr="004A4899" w:rsidRDefault="00126D8D" w:rsidP="00820288">
            <w:pPr>
              <w:spacing w:line="240" w:lineRule="auto"/>
              <w:jc w:val="right"/>
              <w:rPr>
                <w:rFonts w:ascii="Times New Roman" w:hAnsi="Times New Roman" w:cs="Times New Roman"/>
                <w:sz w:val="13"/>
                <w:szCs w:val="13"/>
              </w:rPr>
            </w:pPr>
            <w:r w:rsidRPr="004A4899">
              <w:rPr>
                <w:rFonts w:ascii="Times New Roman" w:hAnsi="Times New Roman" w:cs="Times New Roman"/>
                <w:sz w:val="13"/>
                <w:szCs w:val="13"/>
              </w:rPr>
              <w:t>158.82</w:t>
            </w:r>
          </w:p>
        </w:tc>
        <w:tc>
          <w:tcPr>
            <w:tcW w:w="273" w:type="dxa"/>
            <w:noWrap/>
            <w:vAlign w:val="center"/>
            <w:hideMark/>
          </w:tcPr>
          <w:p w14:paraId="57F8460A" w14:textId="77777777" w:rsidR="00126D8D" w:rsidRPr="004A4899" w:rsidRDefault="00126D8D" w:rsidP="00820288">
            <w:pPr>
              <w:spacing w:line="240" w:lineRule="auto"/>
              <w:rPr>
                <w:rFonts w:ascii="Times New Roman" w:hAnsi="Times New Roman" w:cs="Times New Roman"/>
                <w:sz w:val="13"/>
                <w:szCs w:val="13"/>
              </w:rPr>
            </w:pPr>
            <w:r w:rsidRPr="004A4899">
              <w:rPr>
                <w:rFonts w:ascii="Times New Roman" w:hAnsi="Times New Roman" w:cs="Times New Roman"/>
                <w:sz w:val="13"/>
                <w:szCs w:val="13"/>
              </w:rPr>
              <w:t>bcd</w:t>
            </w:r>
          </w:p>
        </w:tc>
        <w:tc>
          <w:tcPr>
            <w:tcW w:w="377" w:type="dxa"/>
            <w:noWrap/>
            <w:vAlign w:val="center"/>
            <w:hideMark/>
          </w:tcPr>
          <w:p w14:paraId="6AA3CC7D" w14:textId="77777777" w:rsidR="00126D8D" w:rsidRPr="004A4899" w:rsidRDefault="00126D8D" w:rsidP="00820288">
            <w:pPr>
              <w:spacing w:line="240" w:lineRule="auto"/>
              <w:jc w:val="right"/>
              <w:rPr>
                <w:rFonts w:ascii="Times New Roman" w:hAnsi="Times New Roman" w:cs="Times New Roman"/>
                <w:sz w:val="13"/>
                <w:szCs w:val="13"/>
              </w:rPr>
            </w:pPr>
            <w:r w:rsidRPr="004A4899">
              <w:rPr>
                <w:rFonts w:ascii="Times New Roman" w:hAnsi="Times New Roman" w:cs="Times New Roman"/>
                <w:sz w:val="13"/>
                <w:szCs w:val="13"/>
              </w:rPr>
              <w:t>117.86</w:t>
            </w:r>
          </w:p>
        </w:tc>
        <w:tc>
          <w:tcPr>
            <w:tcW w:w="273" w:type="dxa"/>
            <w:noWrap/>
            <w:vAlign w:val="center"/>
            <w:hideMark/>
          </w:tcPr>
          <w:p w14:paraId="28E8D5F7" w14:textId="77777777" w:rsidR="00126D8D" w:rsidRPr="004A4899" w:rsidRDefault="00126D8D" w:rsidP="00820288">
            <w:pPr>
              <w:spacing w:line="240" w:lineRule="auto"/>
              <w:rPr>
                <w:rFonts w:ascii="Times New Roman" w:hAnsi="Times New Roman" w:cs="Times New Roman"/>
                <w:sz w:val="13"/>
                <w:szCs w:val="13"/>
              </w:rPr>
            </w:pPr>
            <w:r w:rsidRPr="004A4899">
              <w:rPr>
                <w:rFonts w:ascii="Times New Roman" w:hAnsi="Times New Roman" w:cs="Times New Roman"/>
                <w:sz w:val="13"/>
                <w:szCs w:val="13"/>
              </w:rPr>
              <w:t>cd</w:t>
            </w:r>
          </w:p>
        </w:tc>
      </w:tr>
      <w:tr w:rsidR="00126D8D" w:rsidRPr="004A4899" w14:paraId="50EF715F" w14:textId="77777777" w:rsidTr="00820288">
        <w:trPr>
          <w:trHeight w:val="173"/>
        </w:trPr>
        <w:tc>
          <w:tcPr>
            <w:tcW w:w="1440" w:type="dxa"/>
            <w:noWrap/>
            <w:vAlign w:val="center"/>
            <w:hideMark/>
          </w:tcPr>
          <w:p w14:paraId="50EAA68C" w14:textId="77777777" w:rsidR="00126D8D" w:rsidRPr="004A4899" w:rsidRDefault="00126D8D" w:rsidP="00820288">
            <w:pPr>
              <w:spacing w:line="240" w:lineRule="auto"/>
              <w:rPr>
                <w:rFonts w:ascii="Times New Roman" w:hAnsi="Times New Roman" w:cs="Times New Roman"/>
                <w:sz w:val="12"/>
                <w:szCs w:val="12"/>
              </w:rPr>
            </w:pPr>
            <w:r w:rsidRPr="004A4899">
              <w:rPr>
                <w:rFonts w:ascii="Times New Roman" w:hAnsi="Times New Roman" w:cs="Times New Roman"/>
                <w:sz w:val="12"/>
                <w:szCs w:val="12"/>
              </w:rPr>
              <w:t>α-Ocimene</w:t>
            </w:r>
          </w:p>
        </w:tc>
        <w:tc>
          <w:tcPr>
            <w:tcW w:w="377" w:type="dxa"/>
            <w:noWrap/>
            <w:vAlign w:val="center"/>
            <w:hideMark/>
          </w:tcPr>
          <w:p w14:paraId="55043534" w14:textId="77777777" w:rsidR="00126D8D" w:rsidRPr="004A4899" w:rsidRDefault="00126D8D" w:rsidP="00820288">
            <w:pPr>
              <w:spacing w:line="240" w:lineRule="auto"/>
              <w:jc w:val="right"/>
              <w:rPr>
                <w:rFonts w:ascii="Times New Roman" w:hAnsi="Times New Roman" w:cs="Times New Roman"/>
                <w:sz w:val="13"/>
                <w:szCs w:val="13"/>
              </w:rPr>
            </w:pPr>
            <w:r w:rsidRPr="004A4899">
              <w:rPr>
                <w:rFonts w:ascii="Times New Roman" w:hAnsi="Times New Roman" w:cs="Times New Roman"/>
                <w:sz w:val="13"/>
                <w:szCs w:val="13"/>
              </w:rPr>
              <w:t>152.20</w:t>
            </w:r>
          </w:p>
        </w:tc>
        <w:tc>
          <w:tcPr>
            <w:tcW w:w="274" w:type="dxa"/>
            <w:noWrap/>
            <w:vAlign w:val="center"/>
            <w:hideMark/>
          </w:tcPr>
          <w:p w14:paraId="1D79FEC2" w14:textId="77777777" w:rsidR="00126D8D" w:rsidRPr="004A4899" w:rsidRDefault="00126D8D" w:rsidP="00820288">
            <w:pPr>
              <w:spacing w:line="240" w:lineRule="auto"/>
              <w:rPr>
                <w:rFonts w:ascii="Times New Roman" w:hAnsi="Times New Roman" w:cs="Times New Roman"/>
                <w:sz w:val="13"/>
                <w:szCs w:val="13"/>
              </w:rPr>
            </w:pPr>
            <w:r w:rsidRPr="004A4899">
              <w:rPr>
                <w:rFonts w:ascii="Times New Roman" w:hAnsi="Times New Roman" w:cs="Times New Roman"/>
                <w:sz w:val="13"/>
                <w:szCs w:val="13"/>
              </w:rPr>
              <w:t>a</w:t>
            </w:r>
          </w:p>
        </w:tc>
        <w:tc>
          <w:tcPr>
            <w:tcW w:w="411" w:type="dxa"/>
            <w:noWrap/>
            <w:vAlign w:val="center"/>
            <w:hideMark/>
          </w:tcPr>
          <w:p w14:paraId="6C2F1D69" w14:textId="77777777" w:rsidR="00126D8D" w:rsidRPr="004A4899" w:rsidRDefault="00126D8D" w:rsidP="00820288">
            <w:pPr>
              <w:spacing w:line="240" w:lineRule="auto"/>
              <w:jc w:val="right"/>
              <w:rPr>
                <w:rFonts w:ascii="Times New Roman" w:hAnsi="Times New Roman" w:cs="Times New Roman"/>
                <w:sz w:val="13"/>
                <w:szCs w:val="13"/>
              </w:rPr>
            </w:pPr>
            <w:r w:rsidRPr="004A4899">
              <w:rPr>
                <w:rFonts w:ascii="Times New Roman" w:hAnsi="Times New Roman" w:cs="Times New Roman"/>
                <w:sz w:val="13"/>
                <w:szCs w:val="13"/>
              </w:rPr>
              <w:t>144.29</w:t>
            </w:r>
          </w:p>
        </w:tc>
        <w:tc>
          <w:tcPr>
            <w:tcW w:w="239" w:type="dxa"/>
            <w:noWrap/>
            <w:vAlign w:val="center"/>
            <w:hideMark/>
          </w:tcPr>
          <w:p w14:paraId="6688232D" w14:textId="77777777" w:rsidR="00126D8D" w:rsidRPr="004A4899" w:rsidRDefault="00126D8D" w:rsidP="00820288">
            <w:pPr>
              <w:spacing w:line="240" w:lineRule="auto"/>
              <w:rPr>
                <w:rFonts w:ascii="Times New Roman" w:hAnsi="Times New Roman" w:cs="Times New Roman"/>
                <w:sz w:val="13"/>
                <w:szCs w:val="13"/>
              </w:rPr>
            </w:pPr>
            <w:r w:rsidRPr="004A4899">
              <w:rPr>
                <w:rFonts w:ascii="Times New Roman" w:hAnsi="Times New Roman" w:cs="Times New Roman"/>
                <w:sz w:val="13"/>
                <w:szCs w:val="13"/>
              </w:rPr>
              <w:t>a</w:t>
            </w:r>
          </w:p>
        </w:tc>
        <w:tc>
          <w:tcPr>
            <w:tcW w:w="377" w:type="dxa"/>
            <w:noWrap/>
            <w:vAlign w:val="center"/>
            <w:hideMark/>
          </w:tcPr>
          <w:p w14:paraId="0FBA740E" w14:textId="77777777" w:rsidR="00126D8D" w:rsidRPr="004A4899" w:rsidRDefault="00126D8D" w:rsidP="00820288">
            <w:pPr>
              <w:spacing w:line="240" w:lineRule="auto"/>
              <w:jc w:val="right"/>
              <w:rPr>
                <w:rFonts w:ascii="Times New Roman" w:hAnsi="Times New Roman" w:cs="Times New Roman"/>
                <w:sz w:val="13"/>
                <w:szCs w:val="13"/>
              </w:rPr>
            </w:pPr>
            <w:r w:rsidRPr="004A4899">
              <w:rPr>
                <w:rFonts w:ascii="Times New Roman" w:hAnsi="Times New Roman" w:cs="Times New Roman"/>
                <w:sz w:val="13"/>
                <w:szCs w:val="13"/>
              </w:rPr>
              <w:t>122.17</w:t>
            </w:r>
          </w:p>
        </w:tc>
        <w:tc>
          <w:tcPr>
            <w:tcW w:w="273" w:type="dxa"/>
            <w:noWrap/>
            <w:vAlign w:val="center"/>
            <w:hideMark/>
          </w:tcPr>
          <w:p w14:paraId="7F02F67A" w14:textId="77777777" w:rsidR="00126D8D" w:rsidRPr="004A4899" w:rsidRDefault="00126D8D" w:rsidP="00820288">
            <w:pPr>
              <w:spacing w:line="240" w:lineRule="auto"/>
              <w:rPr>
                <w:rFonts w:ascii="Times New Roman" w:hAnsi="Times New Roman" w:cs="Times New Roman"/>
                <w:sz w:val="13"/>
                <w:szCs w:val="13"/>
              </w:rPr>
            </w:pPr>
            <w:r w:rsidRPr="004A4899">
              <w:rPr>
                <w:rFonts w:ascii="Times New Roman" w:hAnsi="Times New Roman" w:cs="Times New Roman"/>
                <w:sz w:val="13"/>
                <w:szCs w:val="13"/>
              </w:rPr>
              <w:t>a</w:t>
            </w:r>
          </w:p>
        </w:tc>
        <w:tc>
          <w:tcPr>
            <w:tcW w:w="377" w:type="dxa"/>
            <w:noWrap/>
            <w:vAlign w:val="center"/>
            <w:hideMark/>
          </w:tcPr>
          <w:p w14:paraId="2FB6ABC5" w14:textId="77777777" w:rsidR="00126D8D" w:rsidRPr="004A4899" w:rsidRDefault="00126D8D" w:rsidP="00820288">
            <w:pPr>
              <w:spacing w:line="240" w:lineRule="auto"/>
              <w:jc w:val="right"/>
              <w:rPr>
                <w:rFonts w:ascii="Times New Roman" w:hAnsi="Times New Roman" w:cs="Times New Roman"/>
                <w:sz w:val="13"/>
                <w:szCs w:val="13"/>
              </w:rPr>
            </w:pPr>
            <w:r w:rsidRPr="004A4899">
              <w:rPr>
                <w:rFonts w:ascii="Times New Roman" w:hAnsi="Times New Roman" w:cs="Times New Roman"/>
                <w:sz w:val="13"/>
                <w:szCs w:val="13"/>
              </w:rPr>
              <w:t>140.02</w:t>
            </w:r>
          </w:p>
        </w:tc>
        <w:tc>
          <w:tcPr>
            <w:tcW w:w="273" w:type="dxa"/>
            <w:noWrap/>
            <w:vAlign w:val="center"/>
            <w:hideMark/>
          </w:tcPr>
          <w:p w14:paraId="0DE86B61" w14:textId="77777777" w:rsidR="00126D8D" w:rsidRPr="004A4899" w:rsidRDefault="00126D8D" w:rsidP="00820288">
            <w:pPr>
              <w:spacing w:line="240" w:lineRule="auto"/>
              <w:rPr>
                <w:rFonts w:ascii="Times New Roman" w:hAnsi="Times New Roman" w:cs="Times New Roman"/>
                <w:sz w:val="13"/>
                <w:szCs w:val="13"/>
              </w:rPr>
            </w:pPr>
            <w:r w:rsidRPr="004A4899">
              <w:rPr>
                <w:rFonts w:ascii="Times New Roman" w:hAnsi="Times New Roman" w:cs="Times New Roman"/>
                <w:sz w:val="13"/>
                <w:szCs w:val="13"/>
              </w:rPr>
              <w:t>a</w:t>
            </w:r>
          </w:p>
        </w:tc>
        <w:tc>
          <w:tcPr>
            <w:tcW w:w="377" w:type="dxa"/>
            <w:noWrap/>
            <w:vAlign w:val="center"/>
            <w:hideMark/>
          </w:tcPr>
          <w:p w14:paraId="286C0E4E" w14:textId="77777777" w:rsidR="00126D8D" w:rsidRPr="004A4899" w:rsidRDefault="00126D8D" w:rsidP="00820288">
            <w:pPr>
              <w:spacing w:line="240" w:lineRule="auto"/>
              <w:jc w:val="right"/>
              <w:rPr>
                <w:rFonts w:ascii="Times New Roman" w:hAnsi="Times New Roman" w:cs="Times New Roman"/>
                <w:sz w:val="13"/>
                <w:szCs w:val="13"/>
              </w:rPr>
            </w:pPr>
            <w:r w:rsidRPr="004A4899">
              <w:rPr>
                <w:rFonts w:ascii="Times New Roman" w:hAnsi="Times New Roman" w:cs="Times New Roman"/>
                <w:sz w:val="13"/>
                <w:szCs w:val="13"/>
              </w:rPr>
              <w:t>186.90</w:t>
            </w:r>
          </w:p>
        </w:tc>
        <w:tc>
          <w:tcPr>
            <w:tcW w:w="326" w:type="dxa"/>
            <w:noWrap/>
            <w:vAlign w:val="center"/>
            <w:hideMark/>
          </w:tcPr>
          <w:p w14:paraId="546D844D" w14:textId="77777777" w:rsidR="00126D8D" w:rsidRPr="004A4899" w:rsidRDefault="00126D8D" w:rsidP="00820288">
            <w:pPr>
              <w:spacing w:line="240" w:lineRule="auto"/>
              <w:rPr>
                <w:rFonts w:ascii="Times New Roman" w:hAnsi="Times New Roman" w:cs="Times New Roman"/>
                <w:sz w:val="13"/>
                <w:szCs w:val="13"/>
              </w:rPr>
            </w:pPr>
            <w:r w:rsidRPr="004A4899">
              <w:rPr>
                <w:rFonts w:ascii="Times New Roman" w:hAnsi="Times New Roman" w:cs="Times New Roman"/>
                <w:sz w:val="13"/>
                <w:szCs w:val="13"/>
              </w:rPr>
              <w:t>a</w:t>
            </w:r>
          </w:p>
        </w:tc>
        <w:tc>
          <w:tcPr>
            <w:tcW w:w="377" w:type="dxa"/>
            <w:noWrap/>
            <w:vAlign w:val="center"/>
            <w:hideMark/>
          </w:tcPr>
          <w:p w14:paraId="08796022" w14:textId="77777777" w:rsidR="00126D8D" w:rsidRPr="004A4899" w:rsidRDefault="00126D8D" w:rsidP="00820288">
            <w:pPr>
              <w:spacing w:line="240" w:lineRule="auto"/>
              <w:jc w:val="right"/>
              <w:rPr>
                <w:rFonts w:ascii="Times New Roman" w:hAnsi="Times New Roman" w:cs="Times New Roman"/>
                <w:sz w:val="13"/>
                <w:szCs w:val="13"/>
              </w:rPr>
            </w:pPr>
            <w:r w:rsidRPr="004A4899">
              <w:rPr>
                <w:rFonts w:ascii="Times New Roman" w:hAnsi="Times New Roman" w:cs="Times New Roman"/>
                <w:sz w:val="13"/>
                <w:szCs w:val="13"/>
              </w:rPr>
              <w:t>212.20</w:t>
            </w:r>
          </w:p>
        </w:tc>
        <w:tc>
          <w:tcPr>
            <w:tcW w:w="326" w:type="dxa"/>
            <w:noWrap/>
            <w:vAlign w:val="center"/>
            <w:hideMark/>
          </w:tcPr>
          <w:p w14:paraId="3369A9E1" w14:textId="77777777" w:rsidR="00126D8D" w:rsidRPr="004A4899" w:rsidRDefault="00126D8D" w:rsidP="00820288">
            <w:pPr>
              <w:spacing w:line="240" w:lineRule="auto"/>
              <w:rPr>
                <w:rFonts w:ascii="Times New Roman" w:hAnsi="Times New Roman" w:cs="Times New Roman"/>
                <w:sz w:val="13"/>
                <w:szCs w:val="13"/>
              </w:rPr>
            </w:pPr>
            <w:r w:rsidRPr="004A4899">
              <w:rPr>
                <w:rFonts w:ascii="Times New Roman" w:hAnsi="Times New Roman" w:cs="Times New Roman"/>
                <w:sz w:val="13"/>
                <w:szCs w:val="13"/>
              </w:rPr>
              <w:t>a</w:t>
            </w:r>
          </w:p>
        </w:tc>
        <w:tc>
          <w:tcPr>
            <w:tcW w:w="377" w:type="dxa"/>
            <w:noWrap/>
            <w:vAlign w:val="center"/>
            <w:hideMark/>
          </w:tcPr>
          <w:p w14:paraId="77A6F90C" w14:textId="77777777" w:rsidR="00126D8D" w:rsidRPr="004A4899" w:rsidRDefault="00126D8D" w:rsidP="00820288">
            <w:pPr>
              <w:spacing w:line="240" w:lineRule="auto"/>
              <w:jc w:val="right"/>
              <w:rPr>
                <w:rFonts w:ascii="Times New Roman" w:hAnsi="Times New Roman" w:cs="Times New Roman"/>
                <w:sz w:val="13"/>
                <w:szCs w:val="13"/>
              </w:rPr>
            </w:pPr>
            <w:r w:rsidRPr="004A4899">
              <w:rPr>
                <w:rFonts w:ascii="Times New Roman" w:hAnsi="Times New Roman" w:cs="Times New Roman"/>
                <w:sz w:val="13"/>
                <w:szCs w:val="13"/>
              </w:rPr>
              <w:t>186.24</w:t>
            </w:r>
          </w:p>
        </w:tc>
        <w:tc>
          <w:tcPr>
            <w:tcW w:w="219" w:type="dxa"/>
            <w:noWrap/>
            <w:vAlign w:val="center"/>
            <w:hideMark/>
          </w:tcPr>
          <w:p w14:paraId="5BAD392B" w14:textId="77777777" w:rsidR="00126D8D" w:rsidRPr="004A4899" w:rsidRDefault="00126D8D" w:rsidP="00820288">
            <w:pPr>
              <w:spacing w:line="240" w:lineRule="auto"/>
              <w:rPr>
                <w:rFonts w:ascii="Times New Roman" w:hAnsi="Times New Roman" w:cs="Times New Roman"/>
                <w:sz w:val="13"/>
                <w:szCs w:val="13"/>
              </w:rPr>
            </w:pPr>
            <w:r w:rsidRPr="004A4899">
              <w:rPr>
                <w:rFonts w:ascii="Times New Roman" w:hAnsi="Times New Roman" w:cs="Times New Roman"/>
                <w:sz w:val="13"/>
                <w:szCs w:val="13"/>
              </w:rPr>
              <w:t>a</w:t>
            </w:r>
          </w:p>
        </w:tc>
        <w:tc>
          <w:tcPr>
            <w:tcW w:w="377" w:type="dxa"/>
            <w:noWrap/>
            <w:vAlign w:val="center"/>
            <w:hideMark/>
          </w:tcPr>
          <w:p w14:paraId="1F77118C" w14:textId="77777777" w:rsidR="00126D8D" w:rsidRPr="004A4899" w:rsidRDefault="00126D8D" w:rsidP="00820288">
            <w:pPr>
              <w:spacing w:line="240" w:lineRule="auto"/>
              <w:jc w:val="right"/>
              <w:rPr>
                <w:rFonts w:ascii="Times New Roman" w:hAnsi="Times New Roman" w:cs="Times New Roman"/>
                <w:sz w:val="13"/>
                <w:szCs w:val="13"/>
              </w:rPr>
            </w:pPr>
            <w:r w:rsidRPr="004A4899">
              <w:rPr>
                <w:rFonts w:ascii="Times New Roman" w:hAnsi="Times New Roman" w:cs="Times New Roman"/>
                <w:sz w:val="13"/>
                <w:szCs w:val="13"/>
              </w:rPr>
              <w:t>183.96</w:t>
            </w:r>
          </w:p>
        </w:tc>
        <w:tc>
          <w:tcPr>
            <w:tcW w:w="159" w:type="dxa"/>
            <w:noWrap/>
            <w:vAlign w:val="center"/>
            <w:hideMark/>
          </w:tcPr>
          <w:p w14:paraId="35E8E30E" w14:textId="77777777" w:rsidR="00126D8D" w:rsidRPr="004A4899" w:rsidRDefault="00126D8D" w:rsidP="00820288">
            <w:pPr>
              <w:spacing w:line="240" w:lineRule="auto"/>
              <w:rPr>
                <w:rFonts w:ascii="Times New Roman" w:hAnsi="Times New Roman" w:cs="Times New Roman"/>
                <w:sz w:val="13"/>
                <w:szCs w:val="13"/>
              </w:rPr>
            </w:pPr>
            <w:r w:rsidRPr="004A4899">
              <w:rPr>
                <w:rFonts w:ascii="Times New Roman" w:hAnsi="Times New Roman" w:cs="Times New Roman"/>
                <w:sz w:val="13"/>
                <w:szCs w:val="13"/>
              </w:rPr>
              <w:t>a</w:t>
            </w:r>
          </w:p>
        </w:tc>
        <w:tc>
          <w:tcPr>
            <w:tcW w:w="377" w:type="dxa"/>
            <w:noWrap/>
            <w:vAlign w:val="center"/>
            <w:hideMark/>
          </w:tcPr>
          <w:p w14:paraId="425B5698" w14:textId="77777777" w:rsidR="00126D8D" w:rsidRPr="004A4899" w:rsidRDefault="00126D8D" w:rsidP="00820288">
            <w:pPr>
              <w:spacing w:line="240" w:lineRule="auto"/>
              <w:jc w:val="right"/>
              <w:rPr>
                <w:rFonts w:ascii="Times New Roman" w:hAnsi="Times New Roman" w:cs="Times New Roman"/>
                <w:sz w:val="13"/>
                <w:szCs w:val="13"/>
              </w:rPr>
            </w:pPr>
            <w:r w:rsidRPr="004A4899">
              <w:rPr>
                <w:rFonts w:ascii="Times New Roman" w:hAnsi="Times New Roman" w:cs="Times New Roman"/>
                <w:sz w:val="13"/>
                <w:szCs w:val="13"/>
              </w:rPr>
              <w:t>173.81</w:t>
            </w:r>
          </w:p>
        </w:tc>
        <w:tc>
          <w:tcPr>
            <w:tcW w:w="326" w:type="dxa"/>
            <w:noWrap/>
            <w:vAlign w:val="center"/>
            <w:hideMark/>
          </w:tcPr>
          <w:p w14:paraId="4515DC23" w14:textId="77777777" w:rsidR="00126D8D" w:rsidRPr="004A4899" w:rsidRDefault="00126D8D" w:rsidP="00820288">
            <w:pPr>
              <w:spacing w:line="240" w:lineRule="auto"/>
              <w:rPr>
                <w:rFonts w:ascii="Times New Roman" w:hAnsi="Times New Roman" w:cs="Times New Roman"/>
                <w:sz w:val="13"/>
                <w:szCs w:val="13"/>
              </w:rPr>
            </w:pPr>
            <w:r w:rsidRPr="004A4899">
              <w:rPr>
                <w:rFonts w:ascii="Times New Roman" w:hAnsi="Times New Roman" w:cs="Times New Roman"/>
                <w:sz w:val="13"/>
                <w:szCs w:val="13"/>
              </w:rPr>
              <w:t>a</w:t>
            </w:r>
          </w:p>
        </w:tc>
        <w:tc>
          <w:tcPr>
            <w:tcW w:w="377" w:type="dxa"/>
            <w:noWrap/>
            <w:vAlign w:val="center"/>
            <w:hideMark/>
          </w:tcPr>
          <w:p w14:paraId="72AAF929" w14:textId="77777777" w:rsidR="00126D8D" w:rsidRPr="004A4899" w:rsidRDefault="00126D8D" w:rsidP="00820288">
            <w:pPr>
              <w:spacing w:line="240" w:lineRule="auto"/>
              <w:jc w:val="right"/>
              <w:rPr>
                <w:rFonts w:ascii="Times New Roman" w:hAnsi="Times New Roman" w:cs="Times New Roman"/>
                <w:sz w:val="13"/>
                <w:szCs w:val="13"/>
              </w:rPr>
            </w:pPr>
            <w:r w:rsidRPr="004A4899">
              <w:rPr>
                <w:rFonts w:ascii="Times New Roman" w:hAnsi="Times New Roman" w:cs="Times New Roman"/>
                <w:sz w:val="13"/>
                <w:szCs w:val="13"/>
              </w:rPr>
              <w:t>164.77</w:t>
            </w:r>
          </w:p>
        </w:tc>
        <w:tc>
          <w:tcPr>
            <w:tcW w:w="252" w:type="dxa"/>
            <w:noWrap/>
            <w:vAlign w:val="center"/>
            <w:hideMark/>
          </w:tcPr>
          <w:p w14:paraId="2425A0EB" w14:textId="77777777" w:rsidR="00126D8D" w:rsidRPr="004A4899" w:rsidRDefault="00126D8D" w:rsidP="00820288">
            <w:pPr>
              <w:spacing w:line="240" w:lineRule="auto"/>
              <w:rPr>
                <w:rFonts w:ascii="Times New Roman" w:hAnsi="Times New Roman" w:cs="Times New Roman"/>
                <w:sz w:val="13"/>
                <w:szCs w:val="13"/>
              </w:rPr>
            </w:pPr>
            <w:r w:rsidRPr="004A4899">
              <w:rPr>
                <w:rFonts w:ascii="Times New Roman" w:hAnsi="Times New Roman" w:cs="Times New Roman"/>
                <w:sz w:val="13"/>
                <w:szCs w:val="13"/>
              </w:rPr>
              <w:t>a</w:t>
            </w:r>
          </w:p>
        </w:tc>
        <w:tc>
          <w:tcPr>
            <w:tcW w:w="377" w:type="dxa"/>
            <w:noWrap/>
            <w:vAlign w:val="center"/>
            <w:hideMark/>
          </w:tcPr>
          <w:p w14:paraId="529B1722" w14:textId="77777777" w:rsidR="00126D8D" w:rsidRPr="004A4899" w:rsidRDefault="00126D8D" w:rsidP="00820288">
            <w:pPr>
              <w:spacing w:line="240" w:lineRule="auto"/>
              <w:jc w:val="right"/>
              <w:rPr>
                <w:rFonts w:ascii="Times New Roman" w:hAnsi="Times New Roman" w:cs="Times New Roman"/>
                <w:sz w:val="13"/>
                <w:szCs w:val="13"/>
              </w:rPr>
            </w:pPr>
            <w:r w:rsidRPr="004A4899">
              <w:rPr>
                <w:rFonts w:ascii="Times New Roman" w:hAnsi="Times New Roman" w:cs="Times New Roman"/>
                <w:sz w:val="13"/>
                <w:szCs w:val="13"/>
              </w:rPr>
              <w:t>163.11</w:t>
            </w:r>
          </w:p>
        </w:tc>
        <w:tc>
          <w:tcPr>
            <w:tcW w:w="273" w:type="dxa"/>
            <w:noWrap/>
            <w:vAlign w:val="center"/>
            <w:hideMark/>
          </w:tcPr>
          <w:p w14:paraId="22D3634C" w14:textId="77777777" w:rsidR="00126D8D" w:rsidRPr="004A4899" w:rsidRDefault="00126D8D" w:rsidP="00820288">
            <w:pPr>
              <w:spacing w:line="240" w:lineRule="auto"/>
              <w:rPr>
                <w:rFonts w:ascii="Times New Roman" w:hAnsi="Times New Roman" w:cs="Times New Roman"/>
                <w:sz w:val="13"/>
                <w:szCs w:val="13"/>
              </w:rPr>
            </w:pPr>
            <w:r w:rsidRPr="004A4899">
              <w:rPr>
                <w:rFonts w:ascii="Times New Roman" w:hAnsi="Times New Roman" w:cs="Times New Roman"/>
                <w:sz w:val="13"/>
                <w:szCs w:val="13"/>
              </w:rPr>
              <w:t>a</w:t>
            </w:r>
          </w:p>
        </w:tc>
        <w:tc>
          <w:tcPr>
            <w:tcW w:w="377" w:type="dxa"/>
            <w:noWrap/>
            <w:vAlign w:val="center"/>
            <w:hideMark/>
          </w:tcPr>
          <w:p w14:paraId="22951C53" w14:textId="77777777" w:rsidR="00126D8D" w:rsidRPr="004A4899" w:rsidRDefault="00126D8D" w:rsidP="00820288">
            <w:pPr>
              <w:spacing w:line="240" w:lineRule="auto"/>
              <w:jc w:val="right"/>
              <w:rPr>
                <w:rFonts w:ascii="Times New Roman" w:hAnsi="Times New Roman" w:cs="Times New Roman"/>
                <w:sz w:val="13"/>
                <w:szCs w:val="13"/>
              </w:rPr>
            </w:pPr>
            <w:r w:rsidRPr="004A4899">
              <w:rPr>
                <w:rFonts w:ascii="Times New Roman" w:hAnsi="Times New Roman" w:cs="Times New Roman"/>
                <w:sz w:val="13"/>
                <w:szCs w:val="13"/>
              </w:rPr>
              <w:t>98.66</w:t>
            </w:r>
          </w:p>
        </w:tc>
        <w:tc>
          <w:tcPr>
            <w:tcW w:w="273" w:type="dxa"/>
            <w:noWrap/>
            <w:vAlign w:val="center"/>
            <w:hideMark/>
          </w:tcPr>
          <w:p w14:paraId="4D6C5B17" w14:textId="77777777" w:rsidR="00126D8D" w:rsidRPr="004A4899" w:rsidRDefault="00126D8D" w:rsidP="00820288">
            <w:pPr>
              <w:spacing w:line="240" w:lineRule="auto"/>
              <w:rPr>
                <w:rFonts w:ascii="Times New Roman" w:hAnsi="Times New Roman" w:cs="Times New Roman"/>
                <w:sz w:val="13"/>
                <w:szCs w:val="13"/>
              </w:rPr>
            </w:pPr>
            <w:r w:rsidRPr="004A4899">
              <w:rPr>
                <w:rFonts w:ascii="Times New Roman" w:hAnsi="Times New Roman" w:cs="Times New Roman"/>
                <w:sz w:val="13"/>
                <w:szCs w:val="13"/>
              </w:rPr>
              <w:t>a</w:t>
            </w:r>
          </w:p>
        </w:tc>
      </w:tr>
      <w:tr w:rsidR="00126D8D" w:rsidRPr="004A4899" w14:paraId="49538BA8" w14:textId="77777777" w:rsidTr="00820288">
        <w:trPr>
          <w:trHeight w:val="173"/>
        </w:trPr>
        <w:tc>
          <w:tcPr>
            <w:tcW w:w="1440" w:type="dxa"/>
            <w:noWrap/>
            <w:vAlign w:val="center"/>
            <w:hideMark/>
          </w:tcPr>
          <w:p w14:paraId="0CDD388F" w14:textId="77777777" w:rsidR="00126D8D" w:rsidRPr="004A4899" w:rsidRDefault="00126D8D" w:rsidP="00820288">
            <w:pPr>
              <w:spacing w:line="240" w:lineRule="auto"/>
              <w:rPr>
                <w:rFonts w:ascii="Times New Roman" w:hAnsi="Times New Roman" w:cs="Times New Roman"/>
                <w:sz w:val="12"/>
                <w:szCs w:val="12"/>
              </w:rPr>
            </w:pPr>
            <w:r w:rsidRPr="004A4899">
              <w:rPr>
                <w:rFonts w:ascii="Times New Roman" w:hAnsi="Times New Roman" w:cs="Times New Roman"/>
                <w:sz w:val="12"/>
                <w:szCs w:val="12"/>
              </w:rPr>
              <w:t>β-Myrcene</w:t>
            </w:r>
          </w:p>
        </w:tc>
        <w:tc>
          <w:tcPr>
            <w:tcW w:w="377" w:type="dxa"/>
            <w:noWrap/>
            <w:vAlign w:val="center"/>
            <w:hideMark/>
          </w:tcPr>
          <w:p w14:paraId="1DCF80C5" w14:textId="77777777" w:rsidR="00126D8D" w:rsidRPr="004A4899" w:rsidRDefault="00126D8D" w:rsidP="00820288">
            <w:pPr>
              <w:spacing w:line="240" w:lineRule="auto"/>
              <w:jc w:val="right"/>
              <w:rPr>
                <w:rFonts w:ascii="Times New Roman" w:hAnsi="Times New Roman" w:cs="Times New Roman"/>
                <w:sz w:val="13"/>
                <w:szCs w:val="13"/>
              </w:rPr>
            </w:pPr>
            <w:r w:rsidRPr="004A4899">
              <w:rPr>
                <w:rFonts w:ascii="Times New Roman" w:hAnsi="Times New Roman" w:cs="Times New Roman"/>
                <w:sz w:val="13"/>
                <w:szCs w:val="13"/>
              </w:rPr>
              <w:t>268.91</w:t>
            </w:r>
          </w:p>
        </w:tc>
        <w:tc>
          <w:tcPr>
            <w:tcW w:w="274" w:type="dxa"/>
            <w:noWrap/>
            <w:vAlign w:val="center"/>
            <w:hideMark/>
          </w:tcPr>
          <w:p w14:paraId="3C8BCF99" w14:textId="77777777" w:rsidR="00126D8D" w:rsidRPr="004A4899" w:rsidRDefault="00126D8D" w:rsidP="00820288">
            <w:pPr>
              <w:spacing w:line="240" w:lineRule="auto"/>
              <w:rPr>
                <w:rFonts w:ascii="Times New Roman" w:hAnsi="Times New Roman" w:cs="Times New Roman"/>
                <w:sz w:val="13"/>
                <w:szCs w:val="13"/>
              </w:rPr>
            </w:pPr>
            <w:r w:rsidRPr="004A4899">
              <w:rPr>
                <w:rFonts w:ascii="Times New Roman" w:hAnsi="Times New Roman" w:cs="Times New Roman"/>
                <w:sz w:val="13"/>
                <w:szCs w:val="13"/>
              </w:rPr>
              <w:t>abcd</w:t>
            </w:r>
          </w:p>
        </w:tc>
        <w:tc>
          <w:tcPr>
            <w:tcW w:w="411" w:type="dxa"/>
            <w:noWrap/>
            <w:vAlign w:val="center"/>
            <w:hideMark/>
          </w:tcPr>
          <w:p w14:paraId="5AA7E5BD" w14:textId="77777777" w:rsidR="00126D8D" w:rsidRPr="004A4899" w:rsidRDefault="00126D8D" w:rsidP="00820288">
            <w:pPr>
              <w:spacing w:line="240" w:lineRule="auto"/>
              <w:jc w:val="right"/>
              <w:rPr>
                <w:rFonts w:ascii="Times New Roman" w:hAnsi="Times New Roman" w:cs="Times New Roman"/>
                <w:sz w:val="13"/>
                <w:szCs w:val="13"/>
              </w:rPr>
            </w:pPr>
            <w:r w:rsidRPr="004A4899">
              <w:rPr>
                <w:rFonts w:ascii="Times New Roman" w:hAnsi="Times New Roman" w:cs="Times New Roman"/>
                <w:sz w:val="13"/>
                <w:szCs w:val="13"/>
              </w:rPr>
              <w:t>203.27</w:t>
            </w:r>
          </w:p>
        </w:tc>
        <w:tc>
          <w:tcPr>
            <w:tcW w:w="239" w:type="dxa"/>
            <w:noWrap/>
            <w:vAlign w:val="center"/>
            <w:hideMark/>
          </w:tcPr>
          <w:p w14:paraId="76257699" w14:textId="77777777" w:rsidR="00126D8D" w:rsidRPr="004A4899" w:rsidRDefault="00126D8D" w:rsidP="00820288">
            <w:pPr>
              <w:spacing w:line="240" w:lineRule="auto"/>
              <w:rPr>
                <w:rFonts w:ascii="Times New Roman" w:hAnsi="Times New Roman" w:cs="Times New Roman"/>
                <w:sz w:val="13"/>
                <w:szCs w:val="13"/>
              </w:rPr>
            </w:pPr>
            <w:r w:rsidRPr="004A4899">
              <w:rPr>
                <w:rFonts w:ascii="Times New Roman" w:hAnsi="Times New Roman" w:cs="Times New Roman"/>
                <w:sz w:val="13"/>
                <w:szCs w:val="13"/>
              </w:rPr>
              <w:t>d</w:t>
            </w:r>
          </w:p>
        </w:tc>
        <w:tc>
          <w:tcPr>
            <w:tcW w:w="377" w:type="dxa"/>
            <w:noWrap/>
            <w:vAlign w:val="center"/>
            <w:hideMark/>
          </w:tcPr>
          <w:p w14:paraId="1643BDDA" w14:textId="77777777" w:rsidR="00126D8D" w:rsidRPr="004A4899" w:rsidRDefault="00126D8D" w:rsidP="00820288">
            <w:pPr>
              <w:spacing w:line="240" w:lineRule="auto"/>
              <w:jc w:val="right"/>
              <w:rPr>
                <w:rFonts w:ascii="Times New Roman" w:hAnsi="Times New Roman" w:cs="Times New Roman"/>
                <w:sz w:val="13"/>
                <w:szCs w:val="13"/>
              </w:rPr>
            </w:pPr>
            <w:r w:rsidRPr="004A4899">
              <w:rPr>
                <w:rFonts w:ascii="Times New Roman" w:hAnsi="Times New Roman" w:cs="Times New Roman"/>
                <w:sz w:val="13"/>
                <w:szCs w:val="13"/>
              </w:rPr>
              <w:t>225.35</w:t>
            </w:r>
          </w:p>
        </w:tc>
        <w:tc>
          <w:tcPr>
            <w:tcW w:w="273" w:type="dxa"/>
            <w:noWrap/>
            <w:vAlign w:val="center"/>
            <w:hideMark/>
          </w:tcPr>
          <w:p w14:paraId="3FD707D2" w14:textId="77777777" w:rsidR="00126D8D" w:rsidRPr="004A4899" w:rsidRDefault="00126D8D" w:rsidP="00820288">
            <w:pPr>
              <w:spacing w:line="240" w:lineRule="auto"/>
              <w:rPr>
                <w:rFonts w:ascii="Times New Roman" w:hAnsi="Times New Roman" w:cs="Times New Roman"/>
                <w:sz w:val="13"/>
                <w:szCs w:val="13"/>
              </w:rPr>
            </w:pPr>
            <w:r w:rsidRPr="004A4899">
              <w:rPr>
                <w:rFonts w:ascii="Times New Roman" w:hAnsi="Times New Roman" w:cs="Times New Roman"/>
                <w:sz w:val="13"/>
                <w:szCs w:val="13"/>
              </w:rPr>
              <w:t>bcd</w:t>
            </w:r>
          </w:p>
        </w:tc>
        <w:tc>
          <w:tcPr>
            <w:tcW w:w="377" w:type="dxa"/>
            <w:noWrap/>
            <w:vAlign w:val="center"/>
            <w:hideMark/>
          </w:tcPr>
          <w:p w14:paraId="3753E2E6" w14:textId="77777777" w:rsidR="00126D8D" w:rsidRPr="004A4899" w:rsidRDefault="00126D8D" w:rsidP="00820288">
            <w:pPr>
              <w:spacing w:line="240" w:lineRule="auto"/>
              <w:jc w:val="right"/>
              <w:rPr>
                <w:rFonts w:ascii="Times New Roman" w:hAnsi="Times New Roman" w:cs="Times New Roman"/>
                <w:sz w:val="13"/>
                <w:szCs w:val="13"/>
              </w:rPr>
            </w:pPr>
            <w:r w:rsidRPr="004A4899">
              <w:rPr>
                <w:rFonts w:ascii="Times New Roman" w:hAnsi="Times New Roman" w:cs="Times New Roman"/>
                <w:sz w:val="13"/>
                <w:szCs w:val="13"/>
              </w:rPr>
              <w:t>308.12</w:t>
            </w:r>
          </w:p>
        </w:tc>
        <w:tc>
          <w:tcPr>
            <w:tcW w:w="273" w:type="dxa"/>
            <w:noWrap/>
            <w:vAlign w:val="center"/>
            <w:hideMark/>
          </w:tcPr>
          <w:p w14:paraId="283462B4" w14:textId="77777777" w:rsidR="00126D8D" w:rsidRPr="004A4899" w:rsidRDefault="00126D8D" w:rsidP="00820288">
            <w:pPr>
              <w:spacing w:line="240" w:lineRule="auto"/>
              <w:rPr>
                <w:rFonts w:ascii="Times New Roman" w:hAnsi="Times New Roman" w:cs="Times New Roman"/>
                <w:sz w:val="13"/>
                <w:szCs w:val="13"/>
              </w:rPr>
            </w:pPr>
            <w:r w:rsidRPr="004A4899">
              <w:rPr>
                <w:rFonts w:ascii="Times New Roman" w:hAnsi="Times New Roman" w:cs="Times New Roman"/>
                <w:sz w:val="13"/>
                <w:szCs w:val="13"/>
              </w:rPr>
              <w:t>ab</w:t>
            </w:r>
          </w:p>
        </w:tc>
        <w:tc>
          <w:tcPr>
            <w:tcW w:w="377" w:type="dxa"/>
            <w:noWrap/>
            <w:vAlign w:val="center"/>
            <w:hideMark/>
          </w:tcPr>
          <w:p w14:paraId="7CBB625D" w14:textId="77777777" w:rsidR="00126D8D" w:rsidRPr="004A4899" w:rsidRDefault="00126D8D" w:rsidP="00820288">
            <w:pPr>
              <w:spacing w:line="240" w:lineRule="auto"/>
              <w:jc w:val="right"/>
              <w:rPr>
                <w:rFonts w:ascii="Times New Roman" w:hAnsi="Times New Roman" w:cs="Times New Roman"/>
                <w:sz w:val="13"/>
                <w:szCs w:val="13"/>
              </w:rPr>
            </w:pPr>
            <w:r w:rsidRPr="004A4899">
              <w:rPr>
                <w:rFonts w:ascii="Times New Roman" w:hAnsi="Times New Roman" w:cs="Times New Roman"/>
                <w:sz w:val="13"/>
                <w:szCs w:val="13"/>
              </w:rPr>
              <w:t>287.72</w:t>
            </w:r>
          </w:p>
        </w:tc>
        <w:tc>
          <w:tcPr>
            <w:tcW w:w="326" w:type="dxa"/>
            <w:noWrap/>
            <w:vAlign w:val="center"/>
            <w:hideMark/>
          </w:tcPr>
          <w:p w14:paraId="3BB974DC" w14:textId="77777777" w:rsidR="00126D8D" w:rsidRPr="004A4899" w:rsidRDefault="00126D8D" w:rsidP="00820288">
            <w:pPr>
              <w:spacing w:line="240" w:lineRule="auto"/>
              <w:rPr>
                <w:rFonts w:ascii="Times New Roman" w:hAnsi="Times New Roman" w:cs="Times New Roman"/>
                <w:sz w:val="13"/>
                <w:szCs w:val="13"/>
              </w:rPr>
            </w:pPr>
            <w:r w:rsidRPr="004A4899">
              <w:rPr>
                <w:rFonts w:ascii="Times New Roman" w:hAnsi="Times New Roman" w:cs="Times New Roman"/>
                <w:sz w:val="13"/>
                <w:szCs w:val="13"/>
              </w:rPr>
              <w:t>abcd</w:t>
            </w:r>
          </w:p>
        </w:tc>
        <w:tc>
          <w:tcPr>
            <w:tcW w:w="377" w:type="dxa"/>
            <w:noWrap/>
            <w:vAlign w:val="center"/>
            <w:hideMark/>
          </w:tcPr>
          <w:p w14:paraId="54C4E520" w14:textId="77777777" w:rsidR="00126D8D" w:rsidRPr="004A4899" w:rsidRDefault="00126D8D" w:rsidP="00820288">
            <w:pPr>
              <w:spacing w:line="240" w:lineRule="auto"/>
              <w:jc w:val="right"/>
              <w:rPr>
                <w:rFonts w:ascii="Times New Roman" w:hAnsi="Times New Roman" w:cs="Times New Roman"/>
                <w:sz w:val="13"/>
                <w:szCs w:val="13"/>
              </w:rPr>
            </w:pPr>
            <w:r w:rsidRPr="004A4899">
              <w:rPr>
                <w:rFonts w:ascii="Times New Roman" w:hAnsi="Times New Roman" w:cs="Times New Roman"/>
                <w:sz w:val="13"/>
                <w:szCs w:val="13"/>
              </w:rPr>
              <w:t>271.36</w:t>
            </w:r>
          </w:p>
        </w:tc>
        <w:tc>
          <w:tcPr>
            <w:tcW w:w="326" w:type="dxa"/>
            <w:noWrap/>
            <w:vAlign w:val="center"/>
            <w:hideMark/>
          </w:tcPr>
          <w:p w14:paraId="2096E839" w14:textId="77777777" w:rsidR="00126D8D" w:rsidRPr="004A4899" w:rsidRDefault="00126D8D" w:rsidP="00820288">
            <w:pPr>
              <w:spacing w:line="240" w:lineRule="auto"/>
              <w:rPr>
                <w:rFonts w:ascii="Times New Roman" w:hAnsi="Times New Roman" w:cs="Times New Roman"/>
                <w:sz w:val="13"/>
                <w:szCs w:val="13"/>
              </w:rPr>
            </w:pPr>
            <w:r w:rsidRPr="004A4899">
              <w:rPr>
                <w:rFonts w:ascii="Times New Roman" w:hAnsi="Times New Roman" w:cs="Times New Roman"/>
                <w:sz w:val="13"/>
                <w:szCs w:val="13"/>
              </w:rPr>
              <w:t>abcd</w:t>
            </w:r>
          </w:p>
        </w:tc>
        <w:tc>
          <w:tcPr>
            <w:tcW w:w="377" w:type="dxa"/>
            <w:noWrap/>
            <w:vAlign w:val="center"/>
            <w:hideMark/>
          </w:tcPr>
          <w:p w14:paraId="5857A640" w14:textId="77777777" w:rsidR="00126D8D" w:rsidRPr="004A4899" w:rsidRDefault="00126D8D" w:rsidP="00820288">
            <w:pPr>
              <w:spacing w:line="240" w:lineRule="auto"/>
              <w:jc w:val="right"/>
              <w:rPr>
                <w:rFonts w:ascii="Times New Roman" w:hAnsi="Times New Roman" w:cs="Times New Roman"/>
                <w:sz w:val="13"/>
                <w:szCs w:val="13"/>
              </w:rPr>
            </w:pPr>
            <w:r w:rsidRPr="004A4899">
              <w:rPr>
                <w:rFonts w:ascii="Times New Roman" w:hAnsi="Times New Roman" w:cs="Times New Roman"/>
                <w:sz w:val="13"/>
                <w:szCs w:val="13"/>
              </w:rPr>
              <w:t>301.56</w:t>
            </w:r>
          </w:p>
        </w:tc>
        <w:tc>
          <w:tcPr>
            <w:tcW w:w="219" w:type="dxa"/>
            <w:noWrap/>
            <w:vAlign w:val="center"/>
            <w:hideMark/>
          </w:tcPr>
          <w:p w14:paraId="3591D365" w14:textId="77777777" w:rsidR="00126D8D" w:rsidRPr="004A4899" w:rsidRDefault="00126D8D" w:rsidP="00820288">
            <w:pPr>
              <w:spacing w:line="240" w:lineRule="auto"/>
              <w:rPr>
                <w:rFonts w:ascii="Times New Roman" w:hAnsi="Times New Roman" w:cs="Times New Roman"/>
                <w:sz w:val="13"/>
                <w:szCs w:val="13"/>
              </w:rPr>
            </w:pPr>
            <w:r w:rsidRPr="004A4899">
              <w:rPr>
                <w:rFonts w:ascii="Times New Roman" w:hAnsi="Times New Roman" w:cs="Times New Roman"/>
                <w:sz w:val="13"/>
                <w:szCs w:val="13"/>
              </w:rPr>
              <w:t>abc</w:t>
            </w:r>
          </w:p>
        </w:tc>
        <w:tc>
          <w:tcPr>
            <w:tcW w:w="377" w:type="dxa"/>
            <w:noWrap/>
            <w:vAlign w:val="center"/>
            <w:hideMark/>
          </w:tcPr>
          <w:p w14:paraId="3667A3FB" w14:textId="77777777" w:rsidR="00126D8D" w:rsidRPr="004A4899" w:rsidRDefault="00126D8D" w:rsidP="00820288">
            <w:pPr>
              <w:spacing w:line="240" w:lineRule="auto"/>
              <w:jc w:val="right"/>
              <w:rPr>
                <w:rFonts w:ascii="Times New Roman" w:hAnsi="Times New Roman" w:cs="Times New Roman"/>
                <w:sz w:val="13"/>
                <w:szCs w:val="13"/>
              </w:rPr>
            </w:pPr>
            <w:r w:rsidRPr="004A4899">
              <w:rPr>
                <w:rFonts w:ascii="Times New Roman" w:hAnsi="Times New Roman" w:cs="Times New Roman"/>
                <w:sz w:val="13"/>
                <w:szCs w:val="13"/>
              </w:rPr>
              <w:t>345.31</w:t>
            </w:r>
          </w:p>
        </w:tc>
        <w:tc>
          <w:tcPr>
            <w:tcW w:w="159" w:type="dxa"/>
            <w:noWrap/>
            <w:vAlign w:val="center"/>
            <w:hideMark/>
          </w:tcPr>
          <w:p w14:paraId="410AA94D" w14:textId="77777777" w:rsidR="00126D8D" w:rsidRPr="004A4899" w:rsidRDefault="00126D8D" w:rsidP="00820288">
            <w:pPr>
              <w:spacing w:line="240" w:lineRule="auto"/>
              <w:rPr>
                <w:rFonts w:ascii="Times New Roman" w:hAnsi="Times New Roman" w:cs="Times New Roman"/>
                <w:sz w:val="13"/>
                <w:szCs w:val="13"/>
              </w:rPr>
            </w:pPr>
            <w:r w:rsidRPr="004A4899">
              <w:rPr>
                <w:rFonts w:ascii="Times New Roman" w:hAnsi="Times New Roman" w:cs="Times New Roman"/>
                <w:sz w:val="13"/>
                <w:szCs w:val="13"/>
              </w:rPr>
              <w:t>a</w:t>
            </w:r>
          </w:p>
        </w:tc>
        <w:tc>
          <w:tcPr>
            <w:tcW w:w="377" w:type="dxa"/>
            <w:noWrap/>
            <w:vAlign w:val="center"/>
            <w:hideMark/>
          </w:tcPr>
          <w:p w14:paraId="510DD600" w14:textId="77777777" w:rsidR="00126D8D" w:rsidRPr="004A4899" w:rsidRDefault="00126D8D" w:rsidP="00820288">
            <w:pPr>
              <w:spacing w:line="240" w:lineRule="auto"/>
              <w:jc w:val="right"/>
              <w:rPr>
                <w:rFonts w:ascii="Times New Roman" w:hAnsi="Times New Roman" w:cs="Times New Roman"/>
                <w:sz w:val="13"/>
                <w:szCs w:val="13"/>
              </w:rPr>
            </w:pPr>
            <w:r w:rsidRPr="004A4899">
              <w:rPr>
                <w:rFonts w:ascii="Times New Roman" w:hAnsi="Times New Roman" w:cs="Times New Roman"/>
                <w:sz w:val="13"/>
                <w:szCs w:val="13"/>
              </w:rPr>
              <w:t>301.92</w:t>
            </w:r>
          </w:p>
        </w:tc>
        <w:tc>
          <w:tcPr>
            <w:tcW w:w="326" w:type="dxa"/>
            <w:noWrap/>
            <w:vAlign w:val="center"/>
            <w:hideMark/>
          </w:tcPr>
          <w:p w14:paraId="1AD78E7A" w14:textId="77777777" w:rsidR="00126D8D" w:rsidRPr="004A4899" w:rsidRDefault="00126D8D" w:rsidP="00820288">
            <w:pPr>
              <w:spacing w:line="240" w:lineRule="auto"/>
              <w:rPr>
                <w:rFonts w:ascii="Times New Roman" w:hAnsi="Times New Roman" w:cs="Times New Roman"/>
                <w:sz w:val="13"/>
                <w:szCs w:val="13"/>
              </w:rPr>
            </w:pPr>
            <w:r w:rsidRPr="004A4899">
              <w:rPr>
                <w:rFonts w:ascii="Times New Roman" w:hAnsi="Times New Roman" w:cs="Times New Roman"/>
                <w:sz w:val="13"/>
                <w:szCs w:val="13"/>
              </w:rPr>
              <w:t>abc</w:t>
            </w:r>
          </w:p>
        </w:tc>
        <w:tc>
          <w:tcPr>
            <w:tcW w:w="377" w:type="dxa"/>
            <w:noWrap/>
            <w:vAlign w:val="center"/>
            <w:hideMark/>
          </w:tcPr>
          <w:p w14:paraId="5A8194F1" w14:textId="77777777" w:rsidR="00126D8D" w:rsidRPr="004A4899" w:rsidRDefault="00126D8D" w:rsidP="00820288">
            <w:pPr>
              <w:spacing w:line="240" w:lineRule="auto"/>
              <w:jc w:val="right"/>
              <w:rPr>
                <w:rFonts w:ascii="Times New Roman" w:hAnsi="Times New Roman" w:cs="Times New Roman"/>
                <w:sz w:val="13"/>
                <w:szCs w:val="13"/>
              </w:rPr>
            </w:pPr>
            <w:r w:rsidRPr="004A4899">
              <w:rPr>
                <w:rFonts w:ascii="Times New Roman" w:hAnsi="Times New Roman" w:cs="Times New Roman"/>
                <w:sz w:val="13"/>
                <w:szCs w:val="13"/>
              </w:rPr>
              <w:t>245.65</w:t>
            </w:r>
          </w:p>
        </w:tc>
        <w:tc>
          <w:tcPr>
            <w:tcW w:w="252" w:type="dxa"/>
            <w:noWrap/>
            <w:vAlign w:val="center"/>
            <w:hideMark/>
          </w:tcPr>
          <w:p w14:paraId="383BCB5A" w14:textId="77777777" w:rsidR="00126D8D" w:rsidRPr="004A4899" w:rsidRDefault="00126D8D" w:rsidP="00820288">
            <w:pPr>
              <w:spacing w:line="240" w:lineRule="auto"/>
              <w:rPr>
                <w:rFonts w:ascii="Times New Roman" w:hAnsi="Times New Roman" w:cs="Times New Roman"/>
                <w:sz w:val="13"/>
                <w:szCs w:val="13"/>
              </w:rPr>
            </w:pPr>
            <w:r w:rsidRPr="004A4899">
              <w:rPr>
                <w:rFonts w:ascii="Times New Roman" w:hAnsi="Times New Roman" w:cs="Times New Roman"/>
                <w:sz w:val="13"/>
                <w:szCs w:val="13"/>
              </w:rPr>
              <w:t>bcd</w:t>
            </w:r>
          </w:p>
        </w:tc>
        <w:tc>
          <w:tcPr>
            <w:tcW w:w="377" w:type="dxa"/>
            <w:noWrap/>
            <w:vAlign w:val="center"/>
            <w:hideMark/>
          </w:tcPr>
          <w:p w14:paraId="68F50174" w14:textId="77777777" w:rsidR="00126D8D" w:rsidRPr="004A4899" w:rsidRDefault="00126D8D" w:rsidP="00820288">
            <w:pPr>
              <w:spacing w:line="240" w:lineRule="auto"/>
              <w:jc w:val="right"/>
              <w:rPr>
                <w:rFonts w:ascii="Times New Roman" w:hAnsi="Times New Roman" w:cs="Times New Roman"/>
                <w:sz w:val="13"/>
                <w:szCs w:val="13"/>
              </w:rPr>
            </w:pPr>
            <w:r w:rsidRPr="004A4899">
              <w:rPr>
                <w:rFonts w:ascii="Times New Roman" w:hAnsi="Times New Roman" w:cs="Times New Roman"/>
                <w:sz w:val="13"/>
                <w:szCs w:val="13"/>
              </w:rPr>
              <w:t>235.39</w:t>
            </w:r>
          </w:p>
        </w:tc>
        <w:tc>
          <w:tcPr>
            <w:tcW w:w="273" w:type="dxa"/>
            <w:noWrap/>
            <w:vAlign w:val="center"/>
            <w:hideMark/>
          </w:tcPr>
          <w:p w14:paraId="1A459D1A" w14:textId="77777777" w:rsidR="00126D8D" w:rsidRPr="004A4899" w:rsidRDefault="00126D8D" w:rsidP="00820288">
            <w:pPr>
              <w:spacing w:line="240" w:lineRule="auto"/>
              <w:rPr>
                <w:rFonts w:ascii="Times New Roman" w:hAnsi="Times New Roman" w:cs="Times New Roman"/>
                <w:sz w:val="13"/>
                <w:szCs w:val="13"/>
              </w:rPr>
            </w:pPr>
            <w:r w:rsidRPr="004A4899">
              <w:rPr>
                <w:rFonts w:ascii="Times New Roman" w:hAnsi="Times New Roman" w:cs="Times New Roman"/>
                <w:sz w:val="13"/>
                <w:szCs w:val="13"/>
              </w:rPr>
              <w:t>bcd</w:t>
            </w:r>
          </w:p>
        </w:tc>
        <w:tc>
          <w:tcPr>
            <w:tcW w:w="377" w:type="dxa"/>
            <w:noWrap/>
            <w:vAlign w:val="center"/>
            <w:hideMark/>
          </w:tcPr>
          <w:p w14:paraId="7BA8BFBD" w14:textId="77777777" w:rsidR="00126D8D" w:rsidRPr="004A4899" w:rsidRDefault="00126D8D" w:rsidP="00820288">
            <w:pPr>
              <w:spacing w:line="240" w:lineRule="auto"/>
              <w:jc w:val="right"/>
              <w:rPr>
                <w:rFonts w:ascii="Times New Roman" w:hAnsi="Times New Roman" w:cs="Times New Roman"/>
                <w:sz w:val="13"/>
                <w:szCs w:val="13"/>
              </w:rPr>
            </w:pPr>
            <w:r w:rsidRPr="004A4899">
              <w:rPr>
                <w:rFonts w:ascii="Times New Roman" w:hAnsi="Times New Roman" w:cs="Times New Roman"/>
                <w:sz w:val="13"/>
                <w:szCs w:val="13"/>
              </w:rPr>
              <w:t>216.54</w:t>
            </w:r>
          </w:p>
        </w:tc>
        <w:tc>
          <w:tcPr>
            <w:tcW w:w="273" w:type="dxa"/>
            <w:noWrap/>
            <w:vAlign w:val="center"/>
            <w:hideMark/>
          </w:tcPr>
          <w:p w14:paraId="13D0B8F0" w14:textId="77777777" w:rsidR="00126D8D" w:rsidRPr="004A4899" w:rsidRDefault="00126D8D" w:rsidP="00820288">
            <w:pPr>
              <w:spacing w:line="240" w:lineRule="auto"/>
              <w:rPr>
                <w:rFonts w:ascii="Times New Roman" w:hAnsi="Times New Roman" w:cs="Times New Roman"/>
                <w:sz w:val="13"/>
                <w:szCs w:val="13"/>
              </w:rPr>
            </w:pPr>
            <w:r w:rsidRPr="004A4899">
              <w:rPr>
                <w:rFonts w:ascii="Times New Roman" w:hAnsi="Times New Roman" w:cs="Times New Roman"/>
                <w:sz w:val="13"/>
                <w:szCs w:val="13"/>
              </w:rPr>
              <w:t>cd</w:t>
            </w:r>
          </w:p>
        </w:tc>
      </w:tr>
      <w:tr w:rsidR="00126D8D" w:rsidRPr="004A4899" w14:paraId="6E8855A4" w14:textId="77777777" w:rsidTr="00820288">
        <w:trPr>
          <w:trHeight w:val="173"/>
        </w:trPr>
        <w:tc>
          <w:tcPr>
            <w:tcW w:w="1440" w:type="dxa"/>
            <w:noWrap/>
            <w:vAlign w:val="center"/>
            <w:hideMark/>
          </w:tcPr>
          <w:p w14:paraId="252175EA" w14:textId="77777777" w:rsidR="00126D8D" w:rsidRPr="004A4899" w:rsidRDefault="00126D8D" w:rsidP="00820288">
            <w:pPr>
              <w:spacing w:line="240" w:lineRule="auto"/>
              <w:rPr>
                <w:rFonts w:ascii="Times New Roman" w:hAnsi="Times New Roman" w:cs="Times New Roman"/>
                <w:b/>
                <w:bCs/>
                <w:sz w:val="12"/>
                <w:szCs w:val="12"/>
              </w:rPr>
            </w:pPr>
            <w:r w:rsidRPr="004A4899">
              <w:rPr>
                <w:rFonts w:ascii="Times New Roman" w:hAnsi="Times New Roman" w:cs="Times New Roman"/>
                <w:b/>
                <w:bCs/>
                <w:sz w:val="12"/>
                <w:szCs w:val="12"/>
              </w:rPr>
              <w:t>Bicyclic Monoterpenes</w:t>
            </w:r>
          </w:p>
        </w:tc>
        <w:tc>
          <w:tcPr>
            <w:tcW w:w="377" w:type="dxa"/>
            <w:noWrap/>
            <w:vAlign w:val="center"/>
            <w:hideMark/>
          </w:tcPr>
          <w:p w14:paraId="0FB5493C" w14:textId="77777777" w:rsidR="00126D8D" w:rsidRPr="004A4899" w:rsidRDefault="00126D8D" w:rsidP="00820288">
            <w:pPr>
              <w:spacing w:line="240" w:lineRule="auto"/>
              <w:jc w:val="right"/>
              <w:rPr>
                <w:rFonts w:ascii="Times New Roman" w:hAnsi="Times New Roman" w:cs="Times New Roman"/>
                <w:sz w:val="13"/>
                <w:szCs w:val="13"/>
              </w:rPr>
            </w:pPr>
          </w:p>
        </w:tc>
        <w:tc>
          <w:tcPr>
            <w:tcW w:w="274" w:type="dxa"/>
            <w:noWrap/>
            <w:vAlign w:val="center"/>
            <w:hideMark/>
          </w:tcPr>
          <w:p w14:paraId="38C73141" w14:textId="77777777" w:rsidR="00126D8D" w:rsidRPr="004A4899" w:rsidRDefault="00126D8D" w:rsidP="00820288">
            <w:pPr>
              <w:spacing w:line="240" w:lineRule="auto"/>
              <w:rPr>
                <w:rFonts w:ascii="Times New Roman" w:hAnsi="Times New Roman" w:cs="Times New Roman"/>
                <w:sz w:val="13"/>
                <w:szCs w:val="13"/>
              </w:rPr>
            </w:pPr>
          </w:p>
        </w:tc>
        <w:tc>
          <w:tcPr>
            <w:tcW w:w="411" w:type="dxa"/>
            <w:noWrap/>
            <w:vAlign w:val="center"/>
            <w:hideMark/>
          </w:tcPr>
          <w:p w14:paraId="4CB955C4" w14:textId="77777777" w:rsidR="00126D8D" w:rsidRPr="004A4899" w:rsidRDefault="00126D8D" w:rsidP="00820288">
            <w:pPr>
              <w:spacing w:line="240" w:lineRule="auto"/>
              <w:jc w:val="right"/>
              <w:rPr>
                <w:rFonts w:ascii="Times New Roman" w:hAnsi="Times New Roman" w:cs="Times New Roman"/>
                <w:sz w:val="13"/>
                <w:szCs w:val="13"/>
              </w:rPr>
            </w:pPr>
          </w:p>
        </w:tc>
        <w:tc>
          <w:tcPr>
            <w:tcW w:w="239" w:type="dxa"/>
            <w:noWrap/>
            <w:vAlign w:val="center"/>
            <w:hideMark/>
          </w:tcPr>
          <w:p w14:paraId="7D1C2128" w14:textId="77777777" w:rsidR="00126D8D" w:rsidRPr="004A4899" w:rsidRDefault="00126D8D" w:rsidP="00820288">
            <w:pPr>
              <w:spacing w:line="240" w:lineRule="auto"/>
              <w:rPr>
                <w:rFonts w:ascii="Times New Roman" w:hAnsi="Times New Roman" w:cs="Times New Roman"/>
                <w:sz w:val="13"/>
                <w:szCs w:val="13"/>
              </w:rPr>
            </w:pPr>
          </w:p>
        </w:tc>
        <w:tc>
          <w:tcPr>
            <w:tcW w:w="377" w:type="dxa"/>
            <w:noWrap/>
            <w:vAlign w:val="center"/>
            <w:hideMark/>
          </w:tcPr>
          <w:p w14:paraId="3B30FD62" w14:textId="77777777" w:rsidR="00126D8D" w:rsidRPr="004A4899" w:rsidRDefault="00126D8D" w:rsidP="00820288">
            <w:pPr>
              <w:spacing w:line="240" w:lineRule="auto"/>
              <w:jc w:val="right"/>
              <w:rPr>
                <w:rFonts w:ascii="Times New Roman" w:hAnsi="Times New Roman" w:cs="Times New Roman"/>
                <w:sz w:val="13"/>
                <w:szCs w:val="13"/>
              </w:rPr>
            </w:pPr>
          </w:p>
        </w:tc>
        <w:tc>
          <w:tcPr>
            <w:tcW w:w="273" w:type="dxa"/>
            <w:noWrap/>
            <w:vAlign w:val="center"/>
            <w:hideMark/>
          </w:tcPr>
          <w:p w14:paraId="61756A32" w14:textId="77777777" w:rsidR="00126D8D" w:rsidRPr="004A4899" w:rsidRDefault="00126D8D" w:rsidP="00820288">
            <w:pPr>
              <w:spacing w:line="240" w:lineRule="auto"/>
              <w:rPr>
                <w:rFonts w:ascii="Times New Roman" w:hAnsi="Times New Roman" w:cs="Times New Roman"/>
                <w:sz w:val="13"/>
                <w:szCs w:val="13"/>
              </w:rPr>
            </w:pPr>
          </w:p>
        </w:tc>
        <w:tc>
          <w:tcPr>
            <w:tcW w:w="377" w:type="dxa"/>
            <w:noWrap/>
            <w:vAlign w:val="center"/>
            <w:hideMark/>
          </w:tcPr>
          <w:p w14:paraId="7077F8F2" w14:textId="77777777" w:rsidR="00126D8D" w:rsidRPr="004A4899" w:rsidRDefault="00126D8D" w:rsidP="00820288">
            <w:pPr>
              <w:spacing w:line="240" w:lineRule="auto"/>
              <w:jc w:val="right"/>
              <w:rPr>
                <w:rFonts w:ascii="Times New Roman" w:hAnsi="Times New Roman" w:cs="Times New Roman"/>
                <w:sz w:val="13"/>
                <w:szCs w:val="13"/>
              </w:rPr>
            </w:pPr>
          </w:p>
        </w:tc>
        <w:tc>
          <w:tcPr>
            <w:tcW w:w="273" w:type="dxa"/>
            <w:noWrap/>
            <w:vAlign w:val="center"/>
            <w:hideMark/>
          </w:tcPr>
          <w:p w14:paraId="459654A0" w14:textId="77777777" w:rsidR="00126D8D" w:rsidRPr="004A4899" w:rsidRDefault="00126D8D" w:rsidP="00820288">
            <w:pPr>
              <w:spacing w:line="240" w:lineRule="auto"/>
              <w:rPr>
                <w:rFonts w:ascii="Times New Roman" w:hAnsi="Times New Roman" w:cs="Times New Roman"/>
                <w:sz w:val="13"/>
                <w:szCs w:val="13"/>
              </w:rPr>
            </w:pPr>
          </w:p>
        </w:tc>
        <w:tc>
          <w:tcPr>
            <w:tcW w:w="377" w:type="dxa"/>
            <w:noWrap/>
            <w:vAlign w:val="center"/>
            <w:hideMark/>
          </w:tcPr>
          <w:p w14:paraId="33394994" w14:textId="77777777" w:rsidR="00126D8D" w:rsidRPr="004A4899" w:rsidRDefault="00126D8D" w:rsidP="00820288">
            <w:pPr>
              <w:spacing w:line="240" w:lineRule="auto"/>
              <w:jc w:val="right"/>
              <w:rPr>
                <w:rFonts w:ascii="Times New Roman" w:hAnsi="Times New Roman" w:cs="Times New Roman"/>
                <w:sz w:val="13"/>
                <w:szCs w:val="13"/>
              </w:rPr>
            </w:pPr>
          </w:p>
        </w:tc>
        <w:tc>
          <w:tcPr>
            <w:tcW w:w="326" w:type="dxa"/>
            <w:noWrap/>
            <w:vAlign w:val="center"/>
            <w:hideMark/>
          </w:tcPr>
          <w:p w14:paraId="37C8893C" w14:textId="77777777" w:rsidR="00126D8D" w:rsidRPr="004A4899" w:rsidRDefault="00126D8D" w:rsidP="00820288">
            <w:pPr>
              <w:spacing w:line="240" w:lineRule="auto"/>
              <w:rPr>
                <w:rFonts w:ascii="Times New Roman" w:hAnsi="Times New Roman" w:cs="Times New Roman"/>
                <w:sz w:val="13"/>
                <w:szCs w:val="13"/>
              </w:rPr>
            </w:pPr>
          </w:p>
        </w:tc>
        <w:tc>
          <w:tcPr>
            <w:tcW w:w="377" w:type="dxa"/>
            <w:noWrap/>
            <w:vAlign w:val="center"/>
            <w:hideMark/>
          </w:tcPr>
          <w:p w14:paraId="23458DCD" w14:textId="77777777" w:rsidR="00126D8D" w:rsidRPr="004A4899" w:rsidRDefault="00126D8D" w:rsidP="00820288">
            <w:pPr>
              <w:spacing w:line="240" w:lineRule="auto"/>
              <w:jc w:val="right"/>
              <w:rPr>
                <w:rFonts w:ascii="Times New Roman" w:hAnsi="Times New Roman" w:cs="Times New Roman"/>
                <w:sz w:val="13"/>
                <w:szCs w:val="13"/>
              </w:rPr>
            </w:pPr>
          </w:p>
        </w:tc>
        <w:tc>
          <w:tcPr>
            <w:tcW w:w="326" w:type="dxa"/>
            <w:noWrap/>
            <w:vAlign w:val="center"/>
            <w:hideMark/>
          </w:tcPr>
          <w:p w14:paraId="3E5DC47E" w14:textId="77777777" w:rsidR="00126D8D" w:rsidRPr="004A4899" w:rsidRDefault="00126D8D" w:rsidP="00820288">
            <w:pPr>
              <w:spacing w:line="240" w:lineRule="auto"/>
              <w:rPr>
                <w:rFonts w:ascii="Times New Roman" w:hAnsi="Times New Roman" w:cs="Times New Roman"/>
                <w:sz w:val="13"/>
                <w:szCs w:val="13"/>
              </w:rPr>
            </w:pPr>
          </w:p>
        </w:tc>
        <w:tc>
          <w:tcPr>
            <w:tcW w:w="377" w:type="dxa"/>
            <w:noWrap/>
            <w:vAlign w:val="center"/>
            <w:hideMark/>
          </w:tcPr>
          <w:p w14:paraId="2E47F981" w14:textId="77777777" w:rsidR="00126D8D" w:rsidRPr="004A4899" w:rsidRDefault="00126D8D" w:rsidP="00820288">
            <w:pPr>
              <w:spacing w:line="240" w:lineRule="auto"/>
              <w:jc w:val="right"/>
              <w:rPr>
                <w:rFonts w:ascii="Times New Roman" w:hAnsi="Times New Roman" w:cs="Times New Roman"/>
                <w:sz w:val="13"/>
                <w:szCs w:val="13"/>
              </w:rPr>
            </w:pPr>
          </w:p>
        </w:tc>
        <w:tc>
          <w:tcPr>
            <w:tcW w:w="219" w:type="dxa"/>
            <w:noWrap/>
            <w:vAlign w:val="center"/>
            <w:hideMark/>
          </w:tcPr>
          <w:p w14:paraId="1A3B9AA3" w14:textId="77777777" w:rsidR="00126D8D" w:rsidRPr="004A4899" w:rsidRDefault="00126D8D" w:rsidP="00820288">
            <w:pPr>
              <w:spacing w:line="240" w:lineRule="auto"/>
              <w:rPr>
                <w:rFonts w:ascii="Times New Roman" w:hAnsi="Times New Roman" w:cs="Times New Roman"/>
                <w:sz w:val="13"/>
                <w:szCs w:val="13"/>
              </w:rPr>
            </w:pPr>
          </w:p>
        </w:tc>
        <w:tc>
          <w:tcPr>
            <w:tcW w:w="377" w:type="dxa"/>
            <w:noWrap/>
            <w:vAlign w:val="center"/>
            <w:hideMark/>
          </w:tcPr>
          <w:p w14:paraId="7BA831B5" w14:textId="77777777" w:rsidR="00126D8D" w:rsidRPr="004A4899" w:rsidRDefault="00126D8D" w:rsidP="00820288">
            <w:pPr>
              <w:spacing w:line="240" w:lineRule="auto"/>
              <w:jc w:val="right"/>
              <w:rPr>
                <w:rFonts w:ascii="Times New Roman" w:hAnsi="Times New Roman" w:cs="Times New Roman"/>
                <w:sz w:val="13"/>
                <w:szCs w:val="13"/>
              </w:rPr>
            </w:pPr>
          </w:p>
        </w:tc>
        <w:tc>
          <w:tcPr>
            <w:tcW w:w="159" w:type="dxa"/>
            <w:noWrap/>
            <w:vAlign w:val="center"/>
            <w:hideMark/>
          </w:tcPr>
          <w:p w14:paraId="7E87EC6E" w14:textId="77777777" w:rsidR="00126D8D" w:rsidRPr="004A4899" w:rsidRDefault="00126D8D" w:rsidP="00820288">
            <w:pPr>
              <w:spacing w:line="240" w:lineRule="auto"/>
              <w:rPr>
                <w:rFonts w:ascii="Times New Roman" w:hAnsi="Times New Roman" w:cs="Times New Roman"/>
                <w:sz w:val="13"/>
                <w:szCs w:val="13"/>
              </w:rPr>
            </w:pPr>
          </w:p>
        </w:tc>
        <w:tc>
          <w:tcPr>
            <w:tcW w:w="377" w:type="dxa"/>
            <w:noWrap/>
            <w:vAlign w:val="center"/>
            <w:hideMark/>
          </w:tcPr>
          <w:p w14:paraId="3F862595" w14:textId="77777777" w:rsidR="00126D8D" w:rsidRPr="004A4899" w:rsidRDefault="00126D8D" w:rsidP="00820288">
            <w:pPr>
              <w:spacing w:line="240" w:lineRule="auto"/>
              <w:jc w:val="right"/>
              <w:rPr>
                <w:rFonts w:ascii="Times New Roman" w:hAnsi="Times New Roman" w:cs="Times New Roman"/>
                <w:sz w:val="13"/>
                <w:szCs w:val="13"/>
              </w:rPr>
            </w:pPr>
          </w:p>
        </w:tc>
        <w:tc>
          <w:tcPr>
            <w:tcW w:w="326" w:type="dxa"/>
            <w:noWrap/>
            <w:vAlign w:val="center"/>
            <w:hideMark/>
          </w:tcPr>
          <w:p w14:paraId="185C9515" w14:textId="77777777" w:rsidR="00126D8D" w:rsidRPr="004A4899" w:rsidRDefault="00126D8D" w:rsidP="00820288">
            <w:pPr>
              <w:spacing w:line="240" w:lineRule="auto"/>
              <w:rPr>
                <w:rFonts w:ascii="Times New Roman" w:hAnsi="Times New Roman" w:cs="Times New Roman"/>
                <w:sz w:val="13"/>
                <w:szCs w:val="13"/>
              </w:rPr>
            </w:pPr>
          </w:p>
        </w:tc>
        <w:tc>
          <w:tcPr>
            <w:tcW w:w="377" w:type="dxa"/>
            <w:noWrap/>
            <w:vAlign w:val="center"/>
            <w:hideMark/>
          </w:tcPr>
          <w:p w14:paraId="32CFF2D6" w14:textId="77777777" w:rsidR="00126D8D" w:rsidRPr="004A4899" w:rsidRDefault="00126D8D" w:rsidP="00820288">
            <w:pPr>
              <w:spacing w:line="240" w:lineRule="auto"/>
              <w:jc w:val="right"/>
              <w:rPr>
                <w:rFonts w:ascii="Times New Roman" w:hAnsi="Times New Roman" w:cs="Times New Roman"/>
                <w:sz w:val="13"/>
                <w:szCs w:val="13"/>
              </w:rPr>
            </w:pPr>
          </w:p>
        </w:tc>
        <w:tc>
          <w:tcPr>
            <w:tcW w:w="252" w:type="dxa"/>
            <w:noWrap/>
            <w:vAlign w:val="center"/>
            <w:hideMark/>
          </w:tcPr>
          <w:p w14:paraId="6EA3DC06" w14:textId="77777777" w:rsidR="00126D8D" w:rsidRPr="004A4899" w:rsidRDefault="00126D8D" w:rsidP="00820288">
            <w:pPr>
              <w:spacing w:line="240" w:lineRule="auto"/>
              <w:rPr>
                <w:rFonts w:ascii="Times New Roman" w:hAnsi="Times New Roman" w:cs="Times New Roman"/>
                <w:sz w:val="13"/>
                <w:szCs w:val="13"/>
              </w:rPr>
            </w:pPr>
          </w:p>
        </w:tc>
        <w:tc>
          <w:tcPr>
            <w:tcW w:w="377" w:type="dxa"/>
            <w:noWrap/>
            <w:vAlign w:val="center"/>
            <w:hideMark/>
          </w:tcPr>
          <w:p w14:paraId="1F3CBBAE" w14:textId="77777777" w:rsidR="00126D8D" w:rsidRPr="004A4899" w:rsidRDefault="00126D8D" w:rsidP="00820288">
            <w:pPr>
              <w:spacing w:line="240" w:lineRule="auto"/>
              <w:jc w:val="right"/>
              <w:rPr>
                <w:rFonts w:ascii="Times New Roman" w:hAnsi="Times New Roman" w:cs="Times New Roman"/>
                <w:sz w:val="13"/>
                <w:szCs w:val="13"/>
              </w:rPr>
            </w:pPr>
          </w:p>
        </w:tc>
        <w:tc>
          <w:tcPr>
            <w:tcW w:w="273" w:type="dxa"/>
            <w:noWrap/>
            <w:vAlign w:val="center"/>
            <w:hideMark/>
          </w:tcPr>
          <w:p w14:paraId="77F8D275" w14:textId="77777777" w:rsidR="00126D8D" w:rsidRPr="004A4899" w:rsidRDefault="00126D8D" w:rsidP="00820288">
            <w:pPr>
              <w:spacing w:line="240" w:lineRule="auto"/>
              <w:rPr>
                <w:rFonts w:ascii="Times New Roman" w:hAnsi="Times New Roman" w:cs="Times New Roman"/>
                <w:sz w:val="13"/>
                <w:szCs w:val="13"/>
              </w:rPr>
            </w:pPr>
          </w:p>
        </w:tc>
        <w:tc>
          <w:tcPr>
            <w:tcW w:w="377" w:type="dxa"/>
            <w:noWrap/>
            <w:vAlign w:val="center"/>
            <w:hideMark/>
          </w:tcPr>
          <w:p w14:paraId="1FAEC0F3" w14:textId="77777777" w:rsidR="00126D8D" w:rsidRPr="004A4899" w:rsidRDefault="00126D8D" w:rsidP="00820288">
            <w:pPr>
              <w:spacing w:line="240" w:lineRule="auto"/>
              <w:jc w:val="right"/>
              <w:rPr>
                <w:rFonts w:ascii="Times New Roman" w:hAnsi="Times New Roman" w:cs="Times New Roman"/>
                <w:sz w:val="13"/>
                <w:szCs w:val="13"/>
              </w:rPr>
            </w:pPr>
          </w:p>
        </w:tc>
        <w:tc>
          <w:tcPr>
            <w:tcW w:w="273" w:type="dxa"/>
            <w:noWrap/>
            <w:vAlign w:val="center"/>
            <w:hideMark/>
          </w:tcPr>
          <w:p w14:paraId="0E2CFA3B" w14:textId="77777777" w:rsidR="00126D8D" w:rsidRPr="004A4899" w:rsidRDefault="00126D8D" w:rsidP="00820288">
            <w:pPr>
              <w:spacing w:line="240" w:lineRule="auto"/>
              <w:rPr>
                <w:rFonts w:ascii="Times New Roman" w:hAnsi="Times New Roman" w:cs="Times New Roman"/>
                <w:sz w:val="13"/>
                <w:szCs w:val="13"/>
              </w:rPr>
            </w:pPr>
          </w:p>
        </w:tc>
      </w:tr>
      <w:tr w:rsidR="00126D8D" w:rsidRPr="004A4899" w14:paraId="7E56CA3C" w14:textId="77777777" w:rsidTr="00820288">
        <w:trPr>
          <w:trHeight w:val="173"/>
        </w:trPr>
        <w:tc>
          <w:tcPr>
            <w:tcW w:w="1440" w:type="dxa"/>
            <w:noWrap/>
            <w:vAlign w:val="center"/>
            <w:hideMark/>
          </w:tcPr>
          <w:p w14:paraId="7F4A54DC" w14:textId="77777777" w:rsidR="00126D8D" w:rsidRPr="004A4899" w:rsidRDefault="00126D8D" w:rsidP="00820288">
            <w:pPr>
              <w:spacing w:line="240" w:lineRule="auto"/>
              <w:rPr>
                <w:rFonts w:ascii="Times New Roman" w:hAnsi="Times New Roman" w:cs="Times New Roman"/>
                <w:sz w:val="12"/>
                <w:szCs w:val="12"/>
              </w:rPr>
            </w:pPr>
            <w:r w:rsidRPr="004A4899">
              <w:rPr>
                <w:rFonts w:ascii="Times New Roman" w:hAnsi="Times New Roman" w:cs="Times New Roman"/>
                <w:sz w:val="12"/>
                <w:szCs w:val="12"/>
              </w:rPr>
              <w:t>3-Caren-10-al</w:t>
            </w:r>
          </w:p>
        </w:tc>
        <w:tc>
          <w:tcPr>
            <w:tcW w:w="377" w:type="dxa"/>
            <w:noWrap/>
            <w:vAlign w:val="center"/>
            <w:hideMark/>
          </w:tcPr>
          <w:p w14:paraId="61A6657E" w14:textId="77777777" w:rsidR="00126D8D" w:rsidRPr="004A4899" w:rsidRDefault="00126D8D" w:rsidP="00820288">
            <w:pPr>
              <w:spacing w:line="240" w:lineRule="auto"/>
              <w:jc w:val="right"/>
              <w:rPr>
                <w:rFonts w:ascii="Times New Roman" w:hAnsi="Times New Roman" w:cs="Times New Roman"/>
                <w:sz w:val="13"/>
                <w:szCs w:val="13"/>
              </w:rPr>
            </w:pPr>
            <w:r w:rsidRPr="004A4899">
              <w:rPr>
                <w:rFonts w:ascii="Times New Roman" w:hAnsi="Times New Roman" w:cs="Times New Roman"/>
                <w:sz w:val="13"/>
                <w:szCs w:val="13"/>
              </w:rPr>
              <w:t>1.70</w:t>
            </w:r>
          </w:p>
        </w:tc>
        <w:tc>
          <w:tcPr>
            <w:tcW w:w="274" w:type="dxa"/>
            <w:noWrap/>
            <w:vAlign w:val="center"/>
            <w:hideMark/>
          </w:tcPr>
          <w:p w14:paraId="4790906E" w14:textId="77777777" w:rsidR="00126D8D" w:rsidRPr="004A4899" w:rsidRDefault="00126D8D" w:rsidP="00820288">
            <w:pPr>
              <w:spacing w:line="240" w:lineRule="auto"/>
              <w:rPr>
                <w:rFonts w:ascii="Times New Roman" w:hAnsi="Times New Roman" w:cs="Times New Roman"/>
                <w:sz w:val="13"/>
                <w:szCs w:val="13"/>
              </w:rPr>
            </w:pPr>
            <w:r w:rsidRPr="004A4899">
              <w:rPr>
                <w:rFonts w:ascii="Times New Roman" w:hAnsi="Times New Roman" w:cs="Times New Roman"/>
                <w:sz w:val="13"/>
                <w:szCs w:val="13"/>
              </w:rPr>
              <w:t>ab</w:t>
            </w:r>
          </w:p>
        </w:tc>
        <w:tc>
          <w:tcPr>
            <w:tcW w:w="411" w:type="dxa"/>
            <w:noWrap/>
            <w:vAlign w:val="center"/>
            <w:hideMark/>
          </w:tcPr>
          <w:p w14:paraId="100196E4" w14:textId="77777777" w:rsidR="00126D8D" w:rsidRPr="004A4899" w:rsidRDefault="00126D8D" w:rsidP="00820288">
            <w:pPr>
              <w:spacing w:line="240" w:lineRule="auto"/>
              <w:jc w:val="right"/>
              <w:rPr>
                <w:rFonts w:ascii="Times New Roman" w:hAnsi="Times New Roman" w:cs="Times New Roman"/>
                <w:sz w:val="13"/>
                <w:szCs w:val="13"/>
              </w:rPr>
            </w:pPr>
            <w:r w:rsidRPr="004A4899">
              <w:rPr>
                <w:rFonts w:ascii="Times New Roman" w:hAnsi="Times New Roman" w:cs="Times New Roman"/>
                <w:sz w:val="13"/>
                <w:szCs w:val="13"/>
              </w:rPr>
              <w:t>1.54</w:t>
            </w:r>
          </w:p>
        </w:tc>
        <w:tc>
          <w:tcPr>
            <w:tcW w:w="239" w:type="dxa"/>
            <w:noWrap/>
            <w:vAlign w:val="center"/>
            <w:hideMark/>
          </w:tcPr>
          <w:p w14:paraId="280674E2" w14:textId="77777777" w:rsidR="00126D8D" w:rsidRPr="004A4899" w:rsidRDefault="00126D8D" w:rsidP="00820288">
            <w:pPr>
              <w:spacing w:line="240" w:lineRule="auto"/>
              <w:rPr>
                <w:rFonts w:ascii="Times New Roman" w:hAnsi="Times New Roman" w:cs="Times New Roman"/>
                <w:sz w:val="13"/>
                <w:szCs w:val="13"/>
              </w:rPr>
            </w:pPr>
            <w:r w:rsidRPr="004A4899">
              <w:rPr>
                <w:rFonts w:ascii="Times New Roman" w:hAnsi="Times New Roman" w:cs="Times New Roman"/>
                <w:sz w:val="13"/>
                <w:szCs w:val="13"/>
              </w:rPr>
              <w:t>ab</w:t>
            </w:r>
          </w:p>
        </w:tc>
        <w:tc>
          <w:tcPr>
            <w:tcW w:w="377" w:type="dxa"/>
            <w:noWrap/>
            <w:vAlign w:val="center"/>
            <w:hideMark/>
          </w:tcPr>
          <w:p w14:paraId="1ABEC397" w14:textId="77777777" w:rsidR="00126D8D" w:rsidRPr="004A4899" w:rsidRDefault="00126D8D" w:rsidP="00820288">
            <w:pPr>
              <w:spacing w:line="240" w:lineRule="auto"/>
              <w:jc w:val="right"/>
              <w:rPr>
                <w:rFonts w:ascii="Times New Roman" w:hAnsi="Times New Roman" w:cs="Times New Roman"/>
                <w:sz w:val="13"/>
                <w:szCs w:val="13"/>
              </w:rPr>
            </w:pPr>
            <w:r w:rsidRPr="004A4899">
              <w:rPr>
                <w:rFonts w:ascii="Times New Roman" w:hAnsi="Times New Roman" w:cs="Times New Roman"/>
                <w:sz w:val="13"/>
                <w:szCs w:val="13"/>
              </w:rPr>
              <w:t>1.54</w:t>
            </w:r>
          </w:p>
        </w:tc>
        <w:tc>
          <w:tcPr>
            <w:tcW w:w="273" w:type="dxa"/>
            <w:noWrap/>
            <w:vAlign w:val="center"/>
            <w:hideMark/>
          </w:tcPr>
          <w:p w14:paraId="23624841" w14:textId="77777777" w:rsidR="00126D8D" w:rsidRPr="004A4899" w:rsidRDefault="00126D8D" w:rsidP="00820288">
            <w:pPr>
              <w:spacing w:line="240" w:lineRule="auto"/>
              <w:rPr>
                <w:rFonts w:ascii="Times New Roman" w:hAnsi="Times New Roman" w:cs="Times New Roman"/>
                <w:sz w:val="13"/>
                <w:szCs w:val="13"/>
              </w:rPr>
            </w:pPr>
            <w:r w:rsidRPr="004A4899">
              <w:rPr>
                <w:rFonts w:ascii="Times New Roman" w:hAnsi="Times New Roman" w:cs="Times New Roman"/>
                <w:sz w:val="13"/>
                <w:szCs w:val="13"/>
              </w:rPr>
              <w:t>ab</w:t>
            </w:r>
          </w:p>
        </w:tc>
        <w:tc>
          <w:tcPr>
            <w:tcW w:w="377" w:type="dxa"/>
            <w:noWrap/>
            <w:vAlign w:val="center"/>
            <w:hideMark/>
          </w:tcPr>
          <w:p w14:paraId="0C7ABBA2" w14:textId="77777777" w:rsidR="00126D8D" w:rsidRPr="004A4899" w:rsidRDefault="00126D8D" w:rsidP="00820288">
            <w:pPr>
              <w:spacing w:line="240" w:lineRule="auto"/>
              <w:jc w:val="right"/>
              <w:rPr>
                <w:rFonts w:ascii="Times New Roman" w:hAnsi="Times New Roman" w:cs="Times New Roman"/>
                <w:sz w:val="13"/>
                <w:szCs w:val="13"/>
              </w:rPr>
            </w:pPr>
            <w:r w:rsidRPr="004A4899">
              <w:rPr>
                <w:rFonts w:ascii="Times New Roman" w:hAnsi="Times New Roman" w:cs="Times New Roman"/>
                <w:sz w:val="13"/>
                <w:szCs w:val="13"/>
              </w:rPr>
              <w:t>1.77</w:t>
            </w:r>
          </w:p>
        </w:tc>
        <w:tc>
          <w:tcPr>
            <w:tcW w:w="273" w:type="dxa"/>
            <w:noWrap/>
            <w:vAlign w:val="center"/>
            <w:hideMark/>
          </w:tcPr>
          <w:p w14:paraId="5B7CFD68" w14:textId="77777777" w:rsidR="00126D8D" w:rsidRPr="004A4899" w:rsidRDefault="00126D8D" w:rsidP="00820288">
            <w:pPr>
              <w:spacing w:line="240" w:lineRule="auto"/>
              <w:rPr>
                <w:rFonts w:ascii="Times New Roman" w:hAnsi="Times New Roman" w:cs="Times New Roman"/>
                <w:sz w:val="13"/>
                <w:szCs w:val="13"/>
              </w:rPr>
            </w:pPr>
            <w:r w:rsidRPr="004A4899">
              <w:rPr>
                <w:rFonts w:ascii="Times New Roman" w:hAnsi="Times New Roman" w:cs="Times New Roman"/>
                <w:sz w:val="13"/>
                <w:szCs w:val="13"/>
              </w:rPr>
              <w:t>ab</w:t>
            </w:r>
          </w:p>
        </w:tc>
        <w:tc>
          <w:tcPr>
            <w:tcW w:w="377" w:type="dxa"/>
            <w:noWrap/>
            <w:vAlign w:val="center"/>
            <w:hideMark/>
          </w:tcPr>
          <w:p w14:paraId="65126A87" w14:textId="77777777" w:rsidR="00126D8D" w:rsidRPr="004A4899" w:rsidRDefault="00126D8D" w:rsidP="00820288">
            <w:pPr>
              <w:spacing w:line="240" w:lineRule="auto"/>
              <w:jc w:val="right"/>
              <w:rPr>
                <w:rFonts w:ascii="Times New Roman" w:hAnsi="Times New Roman" w:cs="Times New Roman"/>
                <w:sz w:val="13"/>
                <w:szCs w:val="13"/>
              </w:rPr>
            </w:pPr>
            <w:r w:rsidRPr="004A4899">
              <w:rPr>
                <w:rFonts w:ascii="Times New Roman" w:hAnsi="Times New Roman" w:cs="Times New Roman"/>
                <w:sz w:val="13"/>
                <w:szCs w:val="13"/>
              </w:rPr>
              <w:t>1.61</w:t>
            </w:r>
          </w:p>
        </w:tc>
        <w:tc>
          <w:tcPr>
            <w:tcW w:w="326" w:type="dxa"/>
            <w:noWrap/>
            <w:vAlign w:val="center"/>
            <w:hideMark/>
          </w:tcPr>
          <w:p w14:paraId="0E8D9E87" w14:textId="77777777" w:rsidR="00126D8D" w:rsidRPr="004A4899" w:rsidRDefault="00126D8D" w:rsidP="00820288">
            <w:pPr>
              <w:spacing w:line="240" w:lineRule="auto"/>
              <w:rPr>
                <w:rFonts w:ascii="Times New Roman" w:hAnsi="Times New Roman" w:cs="Times New Roman"/>
                <w:sz w:val="13"/>
                <w:szCs w:val="13"/>
              </w:rPr>
            </w:pPr>
            <w:r w:rsidRPr="004A4899">
              <w:rPr>
                <w:rFonts w:ascii="Times New Roman" w:hAnsi="Times New Roman" w:cs="Times New Roman"/>
                <w:sz w:val="13"/>
                <w:szCs w:val="13"/>
              </w:rPr>
              <w:t>ab</w:t>
            </w:r>
          </w:p>
        </w:tc>
        <w:tc>
          <w:tcPr>
            <w:tcW w:w="377" w:type="dxa"/>
            <w:noWrap/>
            <w:vAlign w:val="center"/>
            <w:hideMark/>
          </w:tcPr>
          <w:p w14:paraId="6A076094" w14:textId="77777777" w:rsidR="00126D8D" w:rsidRPr="004A4899" w:rsidRDefault="00126D8D" w:rsidP="00820288">
            <w:pPr>
              <w:spacing w:line="240" w:lineRule="auto"/>
              <w:jc w:val="right"/>
              <w:rPr>
                <w:rFonts w:ascii="Times New Roman" w:hAnsi="Times New Roman" w:cs="Times New Roman"/>
                <w:sz w:val="13"/>
                <w:szCs w:val="13"/>
              </w:rPr>
            </w:pPr>
            <w:r w:rsidRPr="004A4899">
              <w:rPr>
                <w:rFonts w:ascii="Times New Roman" w:hAnsi="Times New Roman" w:cs="Times New Roman"/>
                <w:sz w:val="13"/>
                <w:szCs w:val="13"/>
              </w:rPr>
              <w:t>1.66</w:t>
            </w:r>
          </w:p>
        </w:tc>
        <w:tc>
          <w:tcPr>
            <w:tcW w:w="326" w:type="dxa"/>
            <w:noWrap/>
            <w:vAlign w:val="center"/>
            <w:hideMark/>
          </w:tcPr>
          <w:p w14:paraId="38110F2B" w14:textId="77777777" w:rsidR="00126D8D" w:rsidRPr="004A4899" w:rsidRDefault="00126D8D" w:rsidP="00820288">
            <w:pPr>
              <w:spacing w:line="240" w:lineRule="auto"/>
              <w:rPr>
                <w:rFonts w:ascii="Times New Roman" w:hAnsi="Times New Roman" w:cs="Times New Roman"/>
                <w:sz w:val="13"/>
                <w:szCs w:val="13"/>
              </w:rPr>
            </w:pPr>
            <w:r w:rsidRPr="004A4899">
              <w:rPr>
                <w:rFonts w:ascii="Times New Roman" w:hAnsi="Times New Roman" w:cs="Times New Roman"/>
                <w:sz w:val="13"/>
                <w:szCs w:val="13"/>
              </w:rPr>
              <w:t>ab</w:t>
            </w:r>
          </w:p>
        </w:tc>
        <w:tc>
          <w:tcPr>
            <w:tcW w:w="377" w:type="dxa"/>
            <w:noWrap/>
            <w:vAlign w:val="center"/>
            <w:hideMark/>
          </w:tcPr>
          <w:p w14:paraId="017FB2B3" w14:textId="77777777" w:rsidR="00126D8D" w:rsidRPr="004A4899" w:rsidRDefault="00126D8D" w:rsidP="00820288">
            <w:pPr>
              <w:spacing w:line="240" w:lineRule="auto"/>
              <w:jc w:val="right"/>
              <w:rPr>
                <w:rFonts w:ascii="Times New Roman" w:hAnsi="Times New Roman" w:cs="Times New Roman"/>
                <w:sz w:val="13"/>
                <w:szCs w:val="13"/>
              </w:rPr>
            </w:pPr>
            <w:r w:rsidRPr="004A4899">
              <w:rPr>
                <w:rFonts w:ascii="Times New Roman" w:hAnsi="Times New Roman" w:cs="Times New Roman"/>
                <w:sz w:val="13"/>
                <w:szCs w:val="13"/>
              </w:rPr>
              <w:t>2.31</w:t>
            </w:r>
          </w:p>
        </w:tc>
        <w:tc>
          <w:tcPr>
            <w:tcW w:w="219" w:type="dxa"/>
            <w:noWrap/>
            <w:vAlign w:val="center"/>
            <w:hideMark/>
          </w:tcPr>
          <w:p w14:paraId="1AF73AD9" w14:textId="77777777" w:rsidR="00126D8D" w:rsidRPr="004A4899" w:rsidRDefault="00126D8D" w:rsidP="00820288">
            <w:pPr>
              <w:spacing w:line="240" w:lineRule="auto"/>
              <w:rPr>
                <w:rFonts w:ascii="Times New Roman" w:hAnsi="Times New Roman" w:cs="Times New Roman"/>
                <w:sz w:val="13"/>
                <w:szCs w:val="13"/>
              </w:rPr>
            </w:pPr>
            <w:r w:rsidRPr="004A4899">
              <w:rPr>
                <w:rFonts w:ascii="Times New Roman" w:hAnsi="Times New Roman" w:cs="Times New Roman"/>
                <w:sz w:val="13"/>
                <w:szCs w:val="13"/>
              </w:rPr>
              <w:t>a</w:t>
            </w:r>
          </w:p>
        </w:tc>
        <w:tc>
          <w:tcPr>
            <w:tcW w:w="377" w:type="dxa"/>
            <w:noWrap/>
            <w:vAlign w:val="center"/>
            <w:hideMark/>
          </w:tcPr>
          <w:p w14:paraId="199944B1" w14:textId="77777777" w:rsidR="00126D8D" w:rsidRPr="004A4899" w:rsidRDefault="00126D8D" w:rsidP="00820288">
            <w:pPr>
              <w:spacing w:line="240" w:lineRule="auto"/>
              <w:jc w:val="right"/>
              <w:rPr>
                <w:rFonts w:ascii="Times New Roman" w:hAnsi="Times New Roman" w:cs="Times New Roman"/>
                <w:sz w:val="13"/>
                <w:szCs w:val="13"/>
              </w:rPr>
            </w:pPr>
            <w:r w:rsidRPr="004A4899">
              <w:rPr>
                <w:rFonts w:ascii="Times New Roman" w:hAnsi="Times New Roman" w:cs="Times New Roman"/>
                <w:sz w:val="13"/>
                <w:szCs w:val="13"/>
              </w:rPr>
              <w:t>2.40</w:t>
            </w:r>
          </w:p>
        </w:tc>
        <w:tc>
          <w:tcPr>
            <w:tcW w:w="159" w:type="dxa"/>
            <w:noWrap/>
            <w:vAlign w:val="center"/>
            <w:hideMark/>
          </w:tcPr>
          <w:p w14:paraId="27ECFF93" w14:textId="77777777" w:rsidR="00126D8D" w:rsidRPr="004A4899" w:rsidRDefault="00126D8D" w:rsidP="00820288">
            <w:pPr>
              <w:spacing w:line="240" w:lineRule="auto"/>
              <w:rPr>
                <w:rFonts w:ascii="Times New Roman" w:hAnsi="Times New Roman" w:cs="Times New Roman"/>
                <w:sz w:val="13"/>
                <w:szCs w:val="13"/>
              </w:rPr>
            </w:pPr>
            <w:r w:rsidRPr="004A4899">
              <w:rPr>
                <w:rFonts w:ascii="Times New Roman" w:hAnsi="Times New Roman" w:cs="Times New Roman"/>
                <w:sz w:val="13"/>
                <w:szCs w:val="13"/>
              </w:rPr>
              <w:t>a</w:t>
            </w:r>
          </w:p>
        </w:tc>
        <w:tc>
          <w:tcPr>
            <w:tcW w:w="377" w:type="dxa"/>
            <w:noWrap/>
            <w:vAlign w:val="center"/>
            <w:hideMark/>
          </w:tcPr>
          <w:p w14:paraId="4A156E40" w14:textId="77777777" w:rsidR="00126D8D" w:rsidRPr="004A4899" w:rsidRDefault="00126D8D" w:rsidP="00820288">
            <w:pPr>
              <w:spacing w:line="240" w:lineRule="auto"/>
              <w:jc w:val="right"/>
              <w:rPr>
                <w:rFonts w:ascii="Times New Roman" w:hAnsi="Times New Roman" w:cs="Times New Roman"/>
                <w:sz w:val="13"/>
                <w:szCs w:val="13"/>
              </w:rPr>
            </w:pPr>
            <w:r w:rsidRPr="004A4899">
              <w:rPr>
                <w:rFonts w:ascii="Times New Roman" w:hAnsi="Times New Roman" w:cs="Times New Roman"/>
                <w:sz w:val="13"/>
                <w:szCs w:val="13"/>
              </w:rPr>
              <w:t>1.58</w:t>
            </w:r>
          </w:p>
        </w:tc>
        <w:tc>
          <w:tcPr>
            <w:tcW w:w="326" w:type="dxa"/>
            <w:noWrap/>
            <w:vAlign w:val="center"/>
            <w:hideMark/>
          </w:tcPr>
          <w:p w14:paraId="33336627" w14:textId="77777777" w:rsidR="00126D8D" w:rsidRPr="004A4899" w:rsidRDefault="00126D8D" w:rsidP="00820288">
            <w:pPr>
              <w:spacing w:line="240" w:lineRule="auto"/>
              <w:rPr>
                <w:rFonts w:ascii="Times New Roman" w:hAnsi="Times New Roman" w:cs="Times New Roman"/>
                <w:sz w:val="13"/>
                <w:szCs w:val="13"/>
              </w:rPr>
            </w:pPr>
            <w:r w:rsidRPr="004A4899">
              <w:rPr>
                <w:rFonts w:ascii="Times New Roman" w:hAnsi="Times New Roman" w:cs="Times New Roman"/>
                <w:sz w:val="13"/>
                <w:szCs w:val="13"/>
              </w:rPr>
              <w:t>ab</w:t>
            </w:r>
          </w:p>
        </w:tc>
        <w:tc>
          <w:tcPr>
            <w:tcW w:w="377" w:type="dxa"/>
            <w:noWrap/>
            <w:vAlign w:val="center"/>
            <w:hideMark/>
          </w:tcPr>
          <w:p w14:paraId="55E2C0AE" w14:textId="77777777" w:rsidR="00126D8D" w:rsidRPr="004A4899" w:rsidRDefault="00126D8D" w:rsidP="00820288">
            <w:pPr>
              <w:spacing w:line="240" w:lineRule="auto"/>
              <w:jc w:val="right"/>
              <w:rPr>
                <w:rFonts w:ascii="Times New Roman" w:hAnsi="Times New Roman" w:cs="Times New Roman"/>
                <w:sz w:val="13"/>
                <w:szCs w:val="13"/>
              </w:rPr>
            </w:pPr>
            <w:r w:rsidRPr="004A4899">
              <w:rPr>
                <w:rFonts w:ascii="Times New Roman" w:hAnsi="Times New Roman" w:cs="Times New Roman"/>
                <w:sz w:val="13"/>
                <w:szCs w:val="13"/>
              </w:rPr>
              <w:t>1.75</w:t>
            </w:r>
          </w:p>
        </w:tc>
        <w:tc>
          <w:tcPr>
            <w:tcW w:w="252" w:type="dxa"/>
            <w:noWrap/>
            <w:vAlign w:val="center"/>
            <w:hideMark/>
          </w:tcPr>
          <w:p w14:paraId="7706BD3B" w14:textId="77777777" w:rsidR="00126D8D" w:rsidRPr="004A4899" w:rsidRDefault="00126D8D" w:rsidP="00820288">
            <w:pPr>
              <w:spacing w:line="240" w:lineRule="auto"/>
              <w:rPr>
                <w:rFonts w:ascii="Times New Roman" w:hAnsi="Times New Roman" w:cs="Times New Roman"/>
                <w:sz w:val="13"/>
                <w:szCs w:val="13"/>
              </w:rPr>
            </w:pPr>
            <w:r w:rsidRPr="004A4899">
              <w:rPr>
                <w:rFonts w:ascii="Times New Roman" w:hAnsi="Times New Roman" w:cs="Times New Roman"/>
                <w:sz w:val="13"/>
                <w:szCs w:val="13"/>
              </w:rPr>
              <w:t>ab</w:t>
            </w:r>
          </w:p>
        </w:tc>
        <w:tc>
          <w:tcPr>
            <w:tcW w:w="377" w:type="dxa"/>
            <w:noWrap/>
            <w:vAlign w:val="center"/>
            <w:hideMark/>
          </w:tcPr>
          <w:p w14:paraId="58968175" w14:textId="77777777" w:rsidR="00126D8D" w:rsidRPr="004A4899" w:rsidRDefault="00126D8D" w:rsidP="00820288">
            <w:pPr>
              <w:spacing w:line="240" w:lineRule="auto"/>
              <w:jc w:val="right"/>
              <w:rPr>
                <w:rFonts w:ascii="Times New Roman" w:hAnsi="Times New Roman" w:cs="Times New Roman"/>
                <w:sz w:val="13"/>
                <w:szCs w:val="13"/>
              </w:rPr>
            </w:pPr>
            <w:r w:rsidRPr="004A4899">
              <w:rPr>
                <w:rFonts w:ascii="Times New Roman" w:hAnsi="Times New Roman" w:cs="Times New Roman"/>
                <w:sz w:val="13"/>
                <w:szCs w:val="13"/>
              </w:rPr>
              <w:t>1.95</w:t>
            </w:r>
          </w:p>
        </w:tc>
        <w:tc>
          <w:tcPr>
            <w:tcW w:w="273" w:type="dxa"/>
            <w:noWrap/>
            <w:vAlign w:val="center"/>
            <w:hideMark/>
          </w:tcPr>
          <w:p w14:paraId="20F15D9E" w14:textId="77777777" w:rsidR="00126D8D" w:rsidRPr="004A4899" w:rsidRDefault="00126D8D" w:rsidP="00820288">
            <w:pPr>
              <w:spacing w:line="240" w:lineRule="auto"/>
              <w:rPr>
                <w:rFonts w:ascii="Times New Roman" w:hAnsi="Times New Roman" w:cs="Times New Roman"/>
                <w:sz w:val="13"/>
                <w:szCs w:val="13"/>
              </w:rPr>
            </w:pPr>
            <w:r w:rsidRPr="004A4899">
              <w:rPr>
                <w:rFonts w:ascii="Times New Roman" w:hAnsi="Times New Roman" w:cs="Times New Roman"/>
                <w:sz w:val="13"/>
                <w:szCs w:val="13"/>
              </w:rPr>
              <w:t>ab</w:t>
            </w:r>
          </w:p>
        </w:tc>
        <w:tc>
          <w:tcPr>
            <w:tcW w:w="377" w:type="dxa"/>
            <w:noWrap/>
            <w:vAlign w:val="center"/>
            <w:hideMark/>
          </w:tcPr>
          <w:p w14:paraId="66A13064" w14:textId="77777777" w:rsidR="00126D8D" w:rsidRPr="004A4899" w:rsidRDefault="00126D8D" w:rsidP="00820288">
            <w:pPr>
              <w:spacing w:line="240" w:lineRule="auto"/>
              <w:jc w:val="right"/>
              <w:rPr>
                <w:rFonts w:ascii="Times New Roman" w:hAnsi="Times New Roman" w:cs="Times New Roman"/>
                <w:sz w:val="13"/>
                <w:szCs w:val="13"/>
              </w:rPr>
            </w:pPr>
            <w:r w:rsidRPr="004A4899">
              <w:rPr>
                <w:rFonts w:ascii="Times New Roman" w:hAnsi="Times New Roman" w:cs="Times New Roman"/>
                <w:sz w:val="13"/>
                <w:szCs w:val="13"/>
              </w:rPr>
              <w:t>1.32</w:t>
            </w:r>
          </w:p>
        </w:tc>
        <w:tc>
          <w:tcPr>
            <w:tcW w:w="273" w:type="dxa"/>
            <w:noWrap/>
            <w:vAlign w:val="center"/>
            <w:hideMark/>
          </w:tcPr>
          <w:p w14:paraId="50CA5CCB" w14:textId="77777777" w:rsidR="00126D8D" w:rsidRPr="004A4899" w:rsidRDefault="00126D8D" w:rsidP="00820288">
            <w:pPr>
              <w:spacing w:line="240" w:lineRule="auto"/>
              <w:rPr>
                <w:rFonts w:ascii="Times New Roman" w:hAnsi="Times New Roman" w:cs="Times New Roman"/>
                <w:sz w:val="13"/>
                <w:szCs w:val="13"/>
              </w:rPr>
            </w:pPr>
            <w:r w:rsidRPr="004A4899">
              <w:rPr>
                <w:rFonts w:ascii="Times New Roman" w:hAnsi="Times New Roman" w:cs="Times New Roman"/>
                <w:sz w:val="13"/>
                <w:szCs w:val="13"/>
              </w:rPr>
              <w:t>b</w:t>
            </w:r>
          </w:p>
        </w:tc>
      </w:tr>
      <w:tr w:rsidR="00126D8D" w:rsidRPr="004A4899" w14:paraId="4D262601" w14:textId="77777777" w:rsidTr="00820288">
        <w:trPr>
          <w:trHeight w:val="173"/>
        </w:trPr>
        <w:tc>
          <w:tcPr>
            <w:tcW w:w="1440" w:type="dxa"/>
            <w:noWrap/>
            <w:vAlign w:val="center"/>
            <w:hideMark/>
          </w:tcPr>
          <w:p w14:paraId="62994E9D" w14:textId="77777777" w:rsidR="00126D8D" w:rsidRPr="004A4899" w:rsidRDefault="00126D8D" w:rsidP="00820288">
            <w:pPr>
              <w:spacing w:line="240" w:lineRule="auto"/>
              <w:rPr>
                <w:rFonts w:ascii="Times New Roman" w:hAnsi="Times New Roman" w:cs="Times New Roman"/>
                <w:sz w:val="12"/>
                <w:szCs w:val="12"/>
              </w:rPr>
            </w:pPr>
            <w:r w:rsidRPr="004A4899">
              <w:rPr>
                <w:rFonts w:ascii="Times New Roman" w:hAnsi="Times New Roman" w:cs="Times New Roman"/>
                <w:sz w:val="12"/>
                <w:szCs w:val="12"/>
              </w:rPr>
              <w:t>(+)-4-Carene</w:t>
            </w:r>
          </w:p>
        </w:tc>
        <w:tc>
          <w:tcPr>
            <w:tcW w:w="377" w:type="dxa"/>
            <w:noWrap/>
            <w:vAlign w:val="center"/>
            <w:hideMark/>
          </w:tcPr>
          <w:p w14:paraId="2E69CFC0" w14:textId="77777777" w:rsidR="00126D8D" w:rsidRPr="004A4899" w:rsidRDefault="00126D8D" w:rsidP="00820288">
            <w:pPr>
              <w:spacing w:line="240" w:lineRule="auto"/>
              <w:jc w:val="right"/>
              <w:rPr>
                <w:rFonts w:ascii="Times New Roman" w:hAnsi="Times New Roman" w:cs="Times New Roman"/>
                <w:sz w:val="13"/>
                <w:szCs w:val="13"/>
              </w:rPr>
            </w:pPr>
            <w:r w:rsidRPr="004A4899">
              <w:rPr>
                <w:rFonts w:ascii="Times New Roman" w:hAnsi="Times New Roman" w:cs="Times New Roman"/>
                <w:sz w:val="13"/>
                <w:szCs w:val="13"/>
              </w:rPr>
              <w:t>24.34</w:t>
            </w:r>
          </w:p>
        </w:tc>
        <w:tc>
          <w:tcPr>
            <w:tcW w:w="274" w:type="dxa"/>
            <w:noWrap/>
            <w:vAlign w:val="center"/>
            <w:hideMark/>
          </w:tcPr>
          <w:p w14:paraId="2C53D61D" w14:textId="77777777" w:rsidR="00126D8D" w:rsidRPr="004A4899" w:rsidRDefault="00126D8D" w:rsidP="00820288">
            <w:pPr>
              <w:spacing w:line="240" w:lineRule="auto"/>
              <w:rPr>
                <w:rFonts w:ascii="Times New Roman" w:hAnsi="Times New Roman" w:cs="Times New Roman"/>
                <w:sz w:val="13"/>
                <w:szCs w:val="13"/>
              </w:rPr>
            </w:pPr>
            <w:r w:rsidRPr="004A4899">
              <w:rPr>
                <w:rFonts w:ascii="Times New Roman" w:hAnsi="Times New Roman" w:cs="Times New Roman"/>
                <w:sz w:val="13"/>
                <w:szCs w:val="13"/>
              </w:rPr>
              <w:t>bc</w:t>
            </w:r>
          </w:p>
        </w:tc>
        <w:tc>
          <w:tcPr>
            <w:tcW w:w="411" w:type="dxa"/>
            <w:noWrap/>
            <w:vAlign w:val="center"/>
            <w:hideMark/>
          </w:tcPr>
          <w:p w14:paraId="2749D673" w14:textId="77777777" w:rsidR="00126D8D" w:rsidRPr="004A4899" w:rsidRDefault="00126D8D" w:rsidP="00820288">
            <w:pPr>
              <w:spacing w:line="240" w:lineRule="auto"/>
              <w:jc w:val="right"/>
              <w:rPr>
                <w:rFonts w:ascii="Times New Roman" w:hAnsi="Times New Roman" w:cs="Times New Roman"/>
                <w:sz w:val="13"/>
                <w:szCs w:val="13"/>
              </w:rPr>
            </w:pPr>
            <w:r w:rsidRPr="004A4899">
              <w:rPr>
                <w:rFonts w:ascii="Times New Roman" w:hAnsi="Times New Roman" w:cs="Times New Roman"/>
                <w:sz w:val="13"/>
                <w:szCs w:val="13"/>
              </w:rPr>
              <w:t>18.67</w:t>
            </w:r>
          </w:p>
        </w:tc>
        <w:tc>
          <w:tcPr>
            <w:tcW w:w="239" w:type="dxa"/>
            <w:noWrap/>
            <w:vAlign w:val="center"/>
            <w:hideMark/>
          </w:tcPr>
          <w:p w14:paraId="56B4D14B" w14:textId="77777777" w:rsidR="00126D8D" w:rsidRPr="004A4899" w:rsidRDefault="00126D8D" w:rsidP="00820288">
            <w:pPr>
              <w:spacing w:line="240" w:lineRule="auto"/>
              <w:rPr>
                <w:rFonts w:ascii="Times New Roman" w:hAnsi="Times New Roman" w:cs="Times New Roman"/>
                <w:sz w:val="13"/>
                <w:szCs w:val="13"/>
              </w:rPr>
            </w:pPr>
            <w:r w:rsidRPr="004A4899">
              <w:rPr>
                <w:rFonts w:ascii="Times New Roman" w:hAnsi="Times New Roman" w:cs="Times New Roman"/>
                <w:sz w:val="13"/>
                <w:szCs w:val="13"/>
              </w:rPr>
              <w:t>c</w:t>
            </w:r>
          </w:p>
        </w:tc>
        <w:tc>
          <w:tcPr>
            <w:tcW w:w="377" w:type="dxa"/>
            <w:noWrap/>
            <w:vAlign w:val="center"/>
            <w:hideMark/>
          </w:tcPr>
          <w:p w14:paraId="71CE0A14" w14:textId="77777777" w:rsidR="00126D8D" w:rsidRPr="004A4899" w:rsidRDefault="00126D8D" w:rsidP="00820288">
            <w:pPr>
              <w:spacing w:line="240" w:lineRule="auto"/>
              <w:jc w:val="right"/>
              <w:rPr>
                <w:rFonts w:ascii="Times New Roman" w:hAnsi="Times New Roman" w:cs="Times New Roman"/>
                <w:sz w:val="13"/>
                <w:szCs w:val="13"/>
              </w:rPr>
            </w:pPr>
            <w:r w:rsidRPr="004A4899">
              <w:rPr>
                <w:rFonts w:ascii="Times New Roman" w:hAnsi="Times New Roman" w:cs="Times New Roman"/>
                <w:sz w:val="13"/>
                <w:szCs w:val="13"/>
              </w:rPr>
              <w:t>22.85</w:t>
            </w:r>
          </w:p>
        </w:tc>
        <w:tc>
          <w:tcPr>
            <w:tcW w:w="273" w:type="dxa"/>
            <w:noWrap/>
            <w:vAlign w:val="center"/>
            <w:hideMark/>
          </w:tcPr>
          <w:p w14:paraId="08658752" w14:textId="77777777" w:rsidR="00126D8D" w:rsidRPr="004A4899" w:rsidRDefault="00126D8D" w:rsidP="00820288">
            <w:pPr>
              <w:spacing w:line="240" w:lineRule="auto"/>
              <w:rPr>
                <w:rFonts w:ascii="Times New Roman" w:hAnsi="Times New Roman" w:cs="Times New Roman"/>
                <w:sz w:val="13"/>
                <w:szCs w:val="13"/>
              </w:rPr>
            </w:pPr>
            <w:r w:rsidRPr="004A4899">
              <w:rPr>
                <w:rFonts w:ascii="Times New Roman" w:hAnsi="Times New Roman" w:cs="Times New Roman"/>
                <w:sz w:val="13"/>
                <w:szCs w:val="13"/>
              </w:rPr>
              <w:t>bc</w:t>
            </w:r>
          </w:p>
        </w:tc>
        <w:tc>
          <w:tcPr>
            <w:tcW w:w="377" w:type="dxa"/>
            <w:noWrap/>
            <w:vAlign w:val="center"/>
            <w:hideMark/>
          </w:tcPr>
          <w:p w14:paraId="3A05178D" w14:textId="77777777" w:rsidR="00126D8D" w:rsidRPr="004A4899" w:rsidRDefault="00126D8D" w:rsidP="00820288">
            <w:pPr>
              <w:spacing w:line="240" w:lineRule="auto"/>
              <w:jc w:val="right"/>
              <w:rPr>
                <w:rFonts w:ascii="Times New Roman" w:hAnsi="Times New Roman" w:cs="Times New Roman"/>
                <w:sz w:val="13"/>
                <w:szCs w:val="13"/>
              </w:rPr>
            </w:pPr>
            <w:r w:rsidRPr="004A4899">
              <w:rPr>
                <w:rFonts w:ascii="Times New Roman" w:hAnsi="Times New Roman" w:cs="Times New Roman"/>
                <w:sz w:val="13"/>
                <w:szCs w:val="13"/>
              </w:rPr>
              <w:t>35.92</w:t>
            </w:r>
          </w:p>
        </w:tc>
        <w:tc>
          <w:tcPr>
            <w:tcW w:w="273" w:type="dxa"/>
            <w:noWrap/>
            <w:vAlign w:val="center"/>
            <w:hideMark/>
          </w:tcPr>
          <w:p w14:paraId="70654FFD" w14:textId="77777777" w:rsidR="00126D8D" w:rsidRPr="004A4899" w:rsidRDefault="00126D8D" w:rsidP="00820288">
            <w:pPr>
              <w:spacing w:line="240" w:lineRule="auto"/>
              <w:rPr>
                <w:rFonts w:ascii="Times New Roman" w:hAnsi="Times New Roman" w:cs="Times New Roman"/>
                <w:sz w:val="13"/>
                <w:szCs w:val="13"/>
              </w:rPr>
            </w:pPr>
            <w:r w:rsidRPr="004A4899">
              <w:rPr>
                <w:rFonts w:ascii="Times New Roman" w:hAnsi="Times New Roman" w:cs="Times New Roman"/>
                <w:sz w:val="13"/>
                <w:szCs w:val="13"/>
              </w:rPr>
              <w:t>ab</w:t>
            </w:r>
          </w:p>
        </w:tc>
        <w:tc>
          <w:tcPr>
            <w:tcW w:w="377" w:type="dxa"/>
            <w:noWrap/>
            <w:vAlign w:val="center"/>
            <w:hideMark/>
          </w:tcPr>
          <w:p w14:paraId="79BA9FF5" w14:textId="77777777" w:rsidR="00126D8D" w:rsidRPr="004A4899" w:rsidRDefault="00126D8D" w:rsidP="00820288">
            <w:pPr>
              <w:spacing w:line="240" w:lineRule="auto"/>
              <w:jc w:val="right"/>
              <w:rPr>
                <w:rFonts w:ascii="Times New Roman" w:hAnsi="Times New Roman" w:cs="Times New Roman"/>
                <w:sz w:val="13"/>
                <w:szCs w:val="13"/>
              </w:rPr>
            </w:pPr>
            <w:r w:rsidRPr="004A4899">
              <w:rPr>
                <w:rFonts w:ascii="Times New Roman" w:hAnsi="Times New Roman" w:cs="Times New Roman"/>
                <w:sz w:val="13"/>
                <w:szCs w:val="13"/>
              </w:rPr>
              <w:t>32.04</w:t>
            </w:r>
          </w:p>
        </w:tc>
        <w:tc>
          <w:tcPr>
            <w:tcW w:w="326" w:type="dxa"/>
            <w:noWrap/>
            <w:vAlign w:val="center"/>
            <w:hideMark/>
          </w:tcPr>
          <w:p w14:paraId="07976E5F" w14:textId="77777777" w:rsidR="00126D8D" w:rsidRPr="004A4899" w:rsidRDefault="00126D8D" w:rsidP="00820288">
            <w:pPr>
              <w:spacing w:line="240" w:lineRule="auto"/>
              <w:rPr>
                <w:rFonts w:ascii="Times New Roman" w:hAnsi="Times New Roman" w:cs="Times New Roman"/>
                <w:sz w:val="13"/>
                <w:szCs w:val="13"/>
              </w:rPr>
            </w:pPr>
            <w:r w:rsidRPr="004A4899">
              <w:rPr>
                <w:rFonts w:ascii="Times New Roman" w:hAnsi="Times New Roman" w:cs="Times New Roman"/>
                <w:sz w:val="13"/>
                <w:szCs w:val="13"/>
              </w:rPr>
              <w:t>abc</w:t>
            </w:r>
          </w:p>
        </w:tc>
        <w:tc>
          <w:tcPr>
            <w:tcW w:w="377" w:type="dxa"/>
            <w:noWrap/>
            <w:vAlign w:val="center"/>
            <w:hideMark/>
          </w:tcPr>
          <w:p w14:paraId="5771E96F" w14:textId="77777777" w:rsidR="00126D8D" w:rsidRPr="004A4899" w:rsidRDefault="00126D8D" w:rsidP="00820288">
            <w:pPr>
              <w:spacing w:line="240" w:lineRule="auto"/>
              <w:jc w:val="right"/>
              <w:rPr>
                <w:rFonts w:ascii="Times New Roman" w:hAnsi="Times New Roman" w:cs="Times New Roman"/>
                <w:sz w:val="13"/>
                <w:szCs w:val="13"/>
              </w:rPr>
            </w:pPr>
            <w:r w:rsidRPr="004A4899">
              <w:rPr>
                <w:rFonts w:ascii="Times New Roman" w:hAnsi="Times New Roman" w:cs="Times New Roman"/>
                <w:sz w:val="13"/>
                <w:szCs w:val="13"/>
              </w:rPr>
              <w:t>31.81</w:t>
            </w:r>
          </w:p>
        </w:tc>
        <w:tc>
          <w:tcPr>
            <w:tcW w:w="326" w:type="dxa"/>
            <w:noWrap/>
            <w:vAlign w:val="center"/>
            <w:hideMark/>
          </w:tcPr>
          <w:p w14:paraId="481526A2" w14:textId="77777777" w:rsidR="00126D8D" w:rsidRPr="004A4899" w:rsidRDefault="00126D8D" w:rsidP="00820288">
            <w:pPr>
              <w:spacing w:line="240" w:lineRule="auto"/>
              <w:rPr>
                <w:rFonts w:ascii="Times New Roman" w:hAnsi="Times New Roman" w:cs="Times New Roman"/>
                <w:sz w:val="13"/>
                <w:szCs w:val="13"/>
              </w:rPr>
            </w:pPr>
            <w:r w:rsidRPr="004A4899">
              <w:rPr>
                <w:rFonts w:ascii="Times New Roman" w:hAnsi="Times New Roman" w:cs="Times New Roman"/>
                <w:sz w:val="13"/>
                <w:szCs w:val="13"/>
              </w:rPr>
              <w:t>abc</w:t>
            </w:r>
          </w:p>
        </w:tc>
        <w:tc>
          <w:tcPr>
            <w:tcW w:w="377" w:type="dxa"/>
            <w:noWrap/>
            <w:vAlign w:val="center"/>
            <w:hideMark/>
          </w:tcPr>
          <w:p w14:paraId="6E77F07D" w14:textId="77777777" w:rsidR="00126D8D" w:rsidRPr="004A4899" w:rsidRDefault="00126D8D" w:rsidP="00820288">
            <w:pPr>
              <w:spacing w:line="240" w:lineRule="auto"/>
              <w:jc w:val="right"/>
              <w:rPr>
                <w:rFonts w:ascii="Times New Roman" w:hAnsi="Times New Roman" w:cs="Times New Roman"/>
                <w:sz w:val="13"/>
                <w:szCs w:val="13"/>
              </w:rPr>
            </w:pPr>
            <w:r w:rsidRPr="004A4899">
              <w:rPr>
                <w:rFonts w:ascii="Times New Roman" w:hAnsi="Times New Roman" w:cs="Times New Roman"/>
                <w:sz w:val="13"/>
                <w:szCs w:val="13"/>
              </w:rPr>
              <w:t>40.76</w:t>
            </w:r>
          </w:p>
        </w:tc>
        <w:tc>
          <w:tcPr>
            <w:tcW w:w="219" w:type="dxa"/>
            <w:noWrap/>
            <w:vAlign w:val="center"/>
            <w:hideMark/>
          </w:tcPr>
          <w:p w14:paraId="0A51CADF" w14:textId="77777777" w:rsidR="00126D8D" w:rsidRPr="004A4899" w:rsidRDefault="00126D8D" w:rsidP="00820288">
            <w:pPr>
              <w:spacing w:line="240" w:lineRule="auto"/>
              <w:rPr>
                <w:rFonts w:ascii="Times New Roman" w:hAnsi="Times New Roman" w:cs="Times New Roman"/>
                <w:sz w:val="13"/>
                <w:szCs w:val="13"/>
              </w:rPr>
            </w:pPr>
            <w:r w:rsidRPr="004A4899">
              <w:rPr>
                <w:rFonts w:ascii="Times New Roman" w:hAnsi="Times New Roman" w:cs="Times New Roman"/>
                <w:sz w:val="13"/>
                <w:szCs w:val="13"/>
              </w:rPr>
              <w:t>a</w:t>
            </w:r>
          </w:p>
        </w:tc>
        <w:tc>
          <w:tcPr>
            <w:tcW w:w="377" w:type="dxa"/>
            <w:noWrap/>
            <w:vAlign w:val="center"/>
            <w:hideMark/>
          </w:tcPr>
          <w:p w14:paraId="7EE0905E" w14:textId="77777777" w:rsidR="00126D8D" w:rsidRPr="004A4899" w:rsidRDefault="00126D8D" w:rsidP="00820288">
            <w:pPr>
              <w:spacing w:line="240" w:lineRule="auto"/>
              <w:jc w:val="right"/>
              <w:rPr>
                <w:rFonts w:ascii="Times New Roman" w:hAnsi="Times New Roman" w:cs="Times New Roman"/>
                <w:sz w:val="13"/>
                <w:szCs w:val="13"/>
              </w:rPr>
            </w:pPr>
            <w:r w:rsidRPr="004A4899">
              <w:rPr>
                <w:rFonts w:ascii="Times New Roman" w:hAnsi="Times New Roman" w:cs="Times New Roman"/>
                <w:sz w:val="13"/>
                <w:szCs w:val="13"/>
              </w:rPr>
              <w:t>45.46</w:t>
            </w:r>
          </w:p>
        </w:tc>
        <w:tc>
          <w:tcPr>
            <w:tcW w:w="159" w:type="dxa"/>
            <w:noWrap/>
            <w:vAlign w:val="center"/>
            <w:hideMark/>
          </w:tcPr>
          <w:p w14:paraId="080F71AB" w14:textId="77777777" w:rsidR="00126D8D" w:rsidRPr="004A4899" w:rsidRDefault="00126D8D" w:rsidP="00820288">
            <w:pPr>
              <w:spacing w:line="240" w:lineRule="auto"/>
              <w:rPr>
                <w:rFonts w:ascii="Times New Roman" w:hAnsi="Times New Roman" w:cs="Times New Roman"/>
                <w:sz w:val="13"/>
                <w:szCs w:val="13"/>
              </w:rPr>
            </w:pPr>
            <w:r w:rsidRPr="004A4899">
              <w:rPr>
                <w:rFonts w:ascii="Times New Roman" w:hAnsi="Times New Roman" w:cs="Times New Roman"/>
                <w:sz w:val="13"/>
                <w:szCs w:val="13"/>
              </w:rPr>
              <w:t>a</w:t>
            </w:r>
          </w:p>
        </w:tc>
        <w:tc>
          <w:tcPr>
            <w:tcW w:w="377" w:type="dxa"/>
            <w:noWrap/>
            <w:vAlign w:val="center"/>
            <w:hideMark/>
          </w:tcPr>
          <w:p w14:paraId="538868FD" w14:textId="77777777" w:rsidR="00126D8D" w:rsidRPr="004A4899" w:rsidRDefault="00126D8D" w:rsidP="00820288">
            <w:pPr>
              <w:spacing w:line="240" w:lineRule="auto"/>
              <w:jc w:val="right"/>
              <w:rPr>
                <w:rFonts w:ascii="Times New Roman" w:hAnsi="Times New Roman" w:cs="Times New Roman"/>
                <w:sz w:val="13"/>
                <w:szCs w:val="13"/>
              </w:rPr>
            </w:pPr>
            <w:r w:rsidRPr="004A4899">
              <w:rPr>
                <w:rFonts w:ascii="Times New Roman" w:hAnsi="Times New Roman" w:cs="Times New Roman"/>
                <w:sz w:val="13"/>
                <w:szCs w:val="13"/>
              </w:rPr>
              <w:t>30.60</w:t>
            </w:r>
          </w:p>
        </w:tc>
        <w:tc>
          <w:tcPr>
            <w:tcW w:w="326" w:type="dxa"/>
            <w:noWrap/>
            <w:vAlign w:val="center"/>
            <w:hideMark/>
          </w:tcPr>
          <w:p w14:paraId="333090C5" w14:textId="77777777" w:rsidR="00126D8D" w:rsidRPr="004A4899" w:rsidRDefault="00126D8D" w:rsidP="00820288">
            <w:pPr>
              <w:spacing w:line="240" w:lineRule="auto"/>
              <w:rPr>
                <w:rFonts w:ascii="Times New Roman" w:hAnsi="Times New Roman" w:cs="Times New Roman"/>
                <w:sz w:val="13"/>
                <w:szCs w:val="13"/>
              </w:rPr>
            </w:pPr>
            <w:r w:rsidRPr="004A4899">
              <w:rPr>
                <w:rFonts w:ascii="Times New Roman" w:hAnsi="Times New Roman" w:cs="Times New Roman"/>
                <w:sz w:val="13"/>
                <w:szCs w:val="13"/>
              </w:rPr>
              <w:t>abc</w:t>
            </w:r>
          </w:p>
        </w:tc>
        <w:tc>
          <w:tcPr>
            <w:tcW w:w="377" w:type="dxa"/>
            <w:noWrap/>
            <w:vAlign w:val="center"/>
            <w:hideMark/>
          </w:tcPr>
          <w:p w14:paraId="692EADC1" w14:textId="77777777" w:rsidR="00126D8D" w:rsidRPr="004A4899" w:rsidRDefault="00126D8D" w:rsidP="00820288">
            <w:pPr>
              <w:spacing w:line="240" w:lineRule="auto"/>
              <w:jc w:val="right"/>
              <w:rPr>
                <w:rFonts w:ascii="Times New Roman" w:hAnsi="Times New Roman" w:cs="Times New Roman"/>
                <w:sz w:val="13"/>
                <w:szCs w:val="13"/>
              </w:rPr>
            </w:pPr>
            <w:r w:rsidRPr="004A4899">
              <w:rPr>
                <w:rFonts w:ascii="Times New Roman" w:hAnsi="Times New Roman" w:cs="Times New Roman"/>
                <w:sz w:val="13"/>
                <w:szCs w:val="13"/>
              </w:rPr>
              <w:t>21.72</w:t>
            </w:r>
          </w:p>
        </w:tc>
        <w:tc>
          <w:tcPr>
            <w:tcW w:w="252" w:type="dxa"/>
            <w:noWrap/>
            <w:vAlign w:val="center"/>
            <w:hideMark/>
          </w:tcPr>
          <w:p w14:paraId="3ECCBD4C" w14:textId="77777777" w:rsidR="00126D8D" w:rsidRPr="004A4899" w:rsidRDefault="00126D8D" w:rsidP="00820288">
            <w:pPr>
              <w:spacing w:line="240" w:lineRule="auto"/>
              <w:rPr>
                <w:rFonts w:ascii="Times New Roman" w:hAnsi="Times New Roman" w:cs="Times New Roman"/>
                <w:sz w:val="13"/>
                <w:szCs w:val="13"/>
              </w:rPr>
            </w:pPr>
            <w:r w:rsidRPr="004A4899">
              <w:rPr>
                <w:rFonts w:ascii="Times New Roman" w:hAnsi="Times New Roman" w:cs="Times New Roman"/>
                <w:sz w:val="13"/>
                <w:szCs w:val="13"/>
              </w:rPr>
              <w:t>bc</w:t>
            </w:r>
          </w:p>
        </w:tc>
        <w:tc>
          <w:tcPr>
            <w:tcW w:w="377" w:type="dxa"/>
            <w:noWrap/>
            <w:vAlign w:val="center"/>
            <w:hideMark/>
          </w:tcPr>
          <w:p w14:paraId="4F86F3EF" w14:textId="77777777" w:rsidR="00126D8D" w:rsidRPr="004A4899" w:rsidRDefault="00126D8D" w:rsidP="00820288">
            <w:pPr>
              <w:spacing w:line="240" w:lineRule="auto"/>
              <w:jc w:val="right"/>
              <w:rPr>
                <w:rFonts w:ascii="Times New Roman" w:hAnsi="Times New Roman" w:cs="Times New Roman"/>
                <w:sz w:val="13"/>
                <w:szCs w:val="13"/>
              </w:rPr>
            </w:pPr>
            <w:r w:rsidRPr="004A4899">
              <w:rPr>
                <w:rFonts w:ascii="Times New Roman" w:hAnsi="Times New Roman" w:cs="Times New Roman"/>
                <w:sz w:val="13"/>
                <w:szCs w:val="13"/>
              </w:rPr>
              <w:t>21.06</w:t>
            </w:r>
          </w:p>
        </w:tc>
        <w:tc>
          <w:tcPr>
            <w:tcW w:w="273" w:type="dxa"/>
            <w:noWrap/>
            <w:vAlign w:val="center"/>
            <w:hideMark/>
          </w:tcPr>
          <w:p w14:paraId="0749042D" w14:textId="77777777" w:rsidR="00126D8D" w:rsidRPr="004A4899" w:rsidRDefault="00126D8D" w:rsidP="00820288">
            <w:pPr>
              <w:spacing w:line="240" w:lineRule="auto"/>
              <w:rPr>
                <w:rFonts w:ascii="Times New Roman" w:hAnsi="Times New Roman" w:cs="Times New Roman"/>
                <w:sz w:val="13"/>
                <w:szCs w:val="13"/>
              </w:rPr>
            </w:pPr>
            <w:r w:rsidRPr="004A4899">
              <w:rPr>
                <w:rFonts w:ascii="Times New Roman" w:hAnsi="Times New Roman" w:cs="Times New Roman"/>
                <w:sz w:val="13"/>
                <w:szCs w:val="13"/>
              </w:rPr>
              <w:t>bc</w:t>
            </w:r>
          </w:p>
        </w:tc>
        <w:tc>
          <w:tcPr>
            <w:tcW w:w="377" w:type="dxa"/>
            <w:noWrap/>
            <w:vAlign w:val="center"/>
            <w:hideMark/>
          </w:tcPr>
          <w:p w14:paraId="1731D87D" w14:textId="77777777" w:rsidR="00126D8D" w:rsidRPr="004A4899" w:rsidRDefault="00126D8D" w:rsidP="00820288">
            <w:pPr>
              <w:spacing w:line="240" w:lineRule="auto"/>
              <w:jc w:val="right"/>
              <w:rPr>
                <w:rFonts w:ascii="Times New Roman" w:hAnsi="Times New Roman" w:cs="Times New Roman"/>
                <w:sz w:val="13"/>
                <w:szCs w:val="13"/>
              </w:rPr>
            </w:pPr>
            <w:r w:rsidRPr="004A4899">
              <w:rPr>
                <w:rFonts w:ascii="Times New Roman" w:hAnsi="Times New Roman" w:cs="Times New Roman"/>
                <w:sz w:val="13"/>
                <w:szCs w:val="13"/>
              </w:rPr>
              <w:t>20.90</w:t>
            </w:r>
          </w:p>
        </w:tc>
        <w:tc>
          <w:tcPr>
            <w:tcW w:w="273" w:type="dxa"/>
            <w:noWrap/>
            <w:vAlign w:val="center"/>
            <w:hideMark/>
          </w:tcPr>
          <w:p w14:paraId="6E4AF857" w14:textId="77777777" w:rsidR="00126D8D" w:rsidRPr="004A4899" w:rsidRDefault="00126D8D" w:rsidP="00820288">
            <w:pPr>
              <w:spacing w:line="240" w:lineRule="auto"/>
              <w:rPr>
                <w:rFonts w:ascii="Times New Roman" w:hAnsi="Times New Roman" w:cs="Times New Roman"/>
                <w:sz w:val="13"/>
                <w:szCs w:val="13"/>
              </w:rPr>
            </w:pPr>
            <w:r w:rsidRPr="004A4899">
              <w:rPr>
                <w:rFonts w:ascii="Times New Roman" w:hAnsi="Times New Roman" w:cs="Times New Roman"/>
                <w:sz w:val="13"/>
                <w:szCs w:val="13"/>
              </w:rPr>
              <w:t>bc</w:t>
            </w:r>
          </w:p>
        </w:tc>
      </w:tr>
      <w:tr w:rsidR="00126D8D" w:rsidRPr="004A4899" w14:paraId="4FB733F7" w14:textId="77777777" w:rsidTr="00820288">
        <w:trPr>
          <w:trHeight w:val="173"/>
        </w:trPr>
        <w:tc>
          <w:tcPr>
            <w:tcW w:w="1440" w:type="dxa"/>
            <w:noWrap/>
            <w:vAlign w:val="center"/>
            <w:hideMark/>
          </w:tcPr>
          <w:p w14:paraId="4B8CCCB4" w14:textId="77777777" w:rsidR="00126D8D" w:rsidRPr="004A4899" w:rsidRDefault="00126D8D" w:rsidP="00820288">
            <w:pPr>
              <w:spacing w:line="240" w:lineRule="auto"/>
              <w:rPr>
                <w:rFonts w:ascii="Times New Roman" w:hAnsi="Times New Roman" w:cs="Times New Roman"/>
                <w:sz w:val="12"/>
                <w:szCs w:val="12"/>
              </w:rPr>
            </w:pPr>
            <w:r w:rsidRPr="004A4899">
              <w:rPr>
                <w:rFonts w:ascii="Times New Roman" w:hAnsi="Times New Roman" w:cs="Times New Roman"/>
                <w:sz w:val="12"/>
                <w:szCs w:val="12"/>
              </w:rPr>
              <w:t>Camphene</w:t>
            </w:r>
          </w:p>
        </w:tc>
        <w:tc>
          <w:tcPr>
            <w:tcW w:w="377" w:type="dxa"/>
            <w:noWrap/>
            <w:vAlign w:val="center"/>
            <w:hideMark/>
          </w:tcPr>
          <w:p w14:paraId="7395F525" w14:textId="77777777" w:rsidR="00126D8D" w:rsidRPr="004A4899" w:rsidRDefault="00126D8D" w:rsidP="00820288">
            <w:pPr>
              <w:spacing w:line="240" w:lineRule="auto"/>
              <w:jc w:val="right"/>
              <w:rPr>
                <w:rFonts w:ascii="Times New Roman" w:hAnsi="Times New Roman" w:cs="Times New Roman"/>
                <w:sz w:val="13"/>
                <w:szCs w:val="13"/>
              </w:rPr>
            </w:pPr>
            <w:r w:rsidRPr="004A4899">
              <w:rPr>
                <w:rFonts w:ascii="Times New Roman" w:hAnsi="Times New Roman" w:cs="Times New Roman"/>
                <w:sz w:val="13"/>
                <w:szCs w:val="13"/>
              </w:rPr>
              <w:t>35.12</w:t>
            </w:r>
          </w:p>
        </w:tc>
        <w:tc>
          <w:tcPr>
            <w:tcW w:w="274" w:type="dxa"/>
            <w:noWrap/>
            <w:vAlign w:val="center"/>
            <w:hideMark/>
          </w:tcPr>
          <w:p w14:paraId="5AEA91E3" w14:textId="77777777" w:rsidR="00126D8D" w:rsidRPr="004A4899" w:rsidRDefault="00126D8D" w:rsidP="00820288">
            <w:pPr>
              <w:spacing w:line="240" w:lineRule="auto"/>
              <w:rPr>
                <w:rFonts w:ascii="Times New Roman" w:hAnsi="Times New Roman" w:cs="Times New Roman"/>
                <w:sz w:val="13"/>
                <w:szCs w:val="13"/>
              </w:rPr>
            </w:pPr>
            <w:r w:rsidRPr="004A4899">
              <w:rPr>
                <w:rFonts w:ascii="Times New Roman" w:hAnsi="Times New Roman" w:cs="Times New Roman"/>
                <w:sz w:val="13"/>
                <w:szCs w:val="13"/>
              </w:rPr>
              <w:t>bcd</w:t>
            </w:r>
          </w:p>
        </w:tc>
        <w:tc>
          <w:tcPr>
            <w:tcW w:w="411" w:type="dxa"/>
            <w:noWrap/>
            <w:vAlign w:val="center"/>
            <w:hideMark/>
          </w:tcPr>
          <w:p w14:paraId="73EB9EA2" w14:textId="77777777" w:rsidR="00126D8D" w:rsidRPr="004A4899" w:rsidRDefault="00126D8D" w:rsidP="00820288">
            <w:pPr>
              <w:spacing w:line="240" w:lineRule="auto"/>
              <w:jc w:val="right"/>
              <w:rPr>
                <w:rFonts w:ascii="Times New Roman" w:hAnsi="Times New Roman" w:cs="Times New Roman"/>
                <w:sz w:val="13"/>
                <w:szCs w:val="13"/>
              </w:rPr>
            </w:pPr>
            <w:r w:rsidRPr="004A4899">
              <w:rPr>
                <w:rFonts w:ascii="Times New Roman" w:hAnsi="Times New Roman" w:cs="Times New Roman"/>
                <w:sz w:val="13"/>
                <w:szCs w:val="13"/>
              </w:rPr>
              <w:t>22.72</w:t>
            </w:r>
          </w:p>
        </w:tc>
        <w:tc>
          <w:tcPr>
            <w:tcW w:w="239" w:type="dxa"/>
            <w:noWrap/>
            <w:vAlign w:val="center"/>
            <w:hideMark/>
          </w:tcPr>
          <w:p w14:paraId="31319FA5" w14:textId="77777777" w:rsidR="00126D8D" w:rsidRPr="004A4899" w:rsidRDefault="00126D8D" w:rsidP="00820288">
            <w:pPr>
              <w:spacing w:line="240" w:lineRule="auto"/>
              <w:rPr>
                <w:rFonts w:ascii="Times New Roman" w:hAnsi="Times New Roman" w:cs="Times New Roman"/>
                <w:sz w:val="13"/>
                <w:szCs w:val="13"/>
              </w:rPr>
            </w:pPr>
            <w:r w:rsidRPr="004A4899">
              <w:rPr>
                <w:rFonts w:ascii="Times New Roman" w:hAnsi="Times New Roman" w:cs="Times New Roman"/>
                <w:sz w:val="13"/>
                <w:szCs w:val="13"/>
              </w:rPr>
              <w:t>d</w:t>
            </w:r>
          </w:p>
        </w:tc>
        <w:tc>
          <w:tcPr>
            <w:tcW w:w="377" w:type="dxa"/>
            <w:noWrap/>
            <w:vAlign w:val="center"/>
            <w:hideMark/>
          </w:tcPr>
          <w:p w14:paraId="57C63AE8" w14:textId="77777777" w:rsidR="00126D8D" w:rsidRPr="004A4899" w:rsidRDefault="00126D8D" w:rsidP="00820288">
            <w:pPr>
              <w:spacing w:line="240" w:lineRule="auto"/>
              <w:jc w:val="right"/>
              <w:rPr>
                <w:rFonts w:ascii="Times New Roman" w:hAnsi="Times New Roman" w:cs="Times New Roman"/>
                <w:sz w:val="13"/>
                <w:szCs w:val="13"/>
              </w:rPr>
            </w:pPr>
            <w:r w:rsidRPr="004A4899">
              <w:rPr>
                <w:rFonts w:ascii="Times New Roman" w:hAnsi="Times New Roman" w:cs="Times New Roman"/>
                <w:sz w:val="13"/>
                <w:szCs w:val="13"/>
              </w:rPr>
              <w:t>30.86</w:t>
            </w:r>
          </w:p>
        </w:tc>
        <w:tc>
          <w:tcPr>
            <w:tcW w:w="273" w:type="dxa"/>
            <w:noWrap/>
            <w:vAlign w:val="center"/>
            <w:hideMark/>
          </w:tcPr>
          <w:p w14:paraId="6ACEB86F" w14:textId="77777777" w:rsidR="00126D8D" w:rsidRPr="004A4899" w:rsidRDefault="00126D8D" w:rsidP="00820288">
            <w:pPr>
              <w:spacing w:line="240" w:lineRule="auto"/>
              <w:rPr>
                <w:rFonts w:ascii="Times New Roman" w:hAnsi="Times New Roman" w:cs="Times New Roman"/>
                <w:sz w:val="13"/>
                <w:szCs w:val="13"/>
              </w:rPr>
            </w:pPr>
            <w:r w:rsidRPr="004A4899">
              <w:rPr>
                <w:rFonts w:ascii="Times New Roman" w:hAnsi="Times New Roman" w:cs="Times New Roman"/>
                <w:sz w:val="13"/>
                <w:szCs w:val="13"/>
              </w:rPr>
              <w:t>bcd</w:t>
            </w:r>
          </w:p>
        </w:tc>
        <w:tc>
          <w:tcPr>
            <w:tcW w:w="377" w:type="dxa"/>
            <w:noWrap/>
            <w:vAlign w:val="center"/>
            <w:hideMark/>
          </w:tcPr>
          <w:p w14:paraId="17867895" w14:textId="77777777" w:rsidR="00126D8D" w:rsidRPr="004A4899" w:rsidRDefault="00126D8D" w:rsidP="00820288">
            <w:pPr>
              <w:spacing w:line="240" w:lineRule="auto"/>
              <w:jc w:val="right"/>
              <w:rPr>
                <w:rFonts w:ascii="Times New Roman" w:hAnsi="Times New Roman" w:cs="Times New Roman"/>
                <w:sz w:val="13"/>
                <w:szCs w:val="13"/>
              </w:rPr>
            </w:pPr>
            <w:r w:rsidRPr="004A4899">
              <w:rPr>
                <w:rFonts w:ascii="Times New Roman" w:hAnsi="Times New Roman" w:cs="Times New Roman"/>
                <w:sz w:val="13"/>
                <w:szCs w:val="13"/>
              </w:rPr>
              <w:t>41.10</w:t>
            </w:r>
          </w:p>
        </w:tc>
        <w:tc>
          <w:tcPr>
            <w:tcW w:w="273" w:type="dxa"/>
            <w:noWrap/>
            <w:vAlign w:val="center"/>
            <w:hideMark/>
          </w:tcPr>
          <w:p w14:paraId="1CCCA228" w14:textId="77777777" w:rsidR="00126D8D" w:rsidRPr="004A4899" w:rsidRDefault="00126D8D" w:rsidP="00820288">
            <w:pPr>
              <w:spacing w:line="240" w:lineRule="auto"/>
              <w:rPr>
                <w:rFonts w:ascii="Times New Roman" w:hAnsi="Times New Roman" w:cs="Times New Roman"/>
                <w:sz w:val="13"/>
                <w:szCs w:val="13"/>
              </w:rPr>
            </w:pPr>
            <w:r w:rsidRPr="004A4899">
              <w:rPr>
                <w:rFonts w:ascii="Times New Roman" w:hAnsi="Times New Roman" w:cs="Times New Roman"/>
                <w:sz w:val="13"/>
                <w:szCs w:val="13"/>
              </w:rPr>
              <w:t>ab</w:t>
            </w:r>
          </w:p>
        </w:tc>
        <w:tc>
          <w:tcPr>
            <w:tcW w:w="377" w:type="dxa"/>
            <w:noWrap/>
            <w:vAlign w:val="center"/>
            <w:hideMark/>
          </w:tcPr>
          <w:p w14:paraId="71758A95" w14:textId="77777777" w:rsidR="00126D8D" w:rsidRPr="004A4899" w:rsidRDefault="00126D8D" w:rsidP="00820288">
            <w:pPr>
              <w:spacing w:line="240" w:lineRule="auto"/>
              <w:jc w:val="right"/>
              <w:rPr>
                <w:rFonts w:ascii="Times New Roman" w:hAnsi="Times New Roman" w:cs="Times New Roman"/>
                <w:sz w:val="13"/>
                <w:szCs w:val="13"/>
              </w:rPr>
            </w:pPr>
            <w:r w:rsidRPr="004A4899">
              <w:rPr>
                <w:rFonts w:ascii="Times New Roman" w:hAnsi="Times New Roman" w:cs="Times New Roman"/>
                <w:sz w:val="13"/>
                <w:szCs w:val="13"/>
              </w:rPr>
              <w:t>35.81</w:t>
            </w:r>
          </w:p>
        </w:tc>
        <w:tc>
          <w:tcPr>
            <w:tcW w:w="326" w:type="dxa"/>
            <w:noWrap/>
            <w:vAlign w:val="center"/>
            <w:hideMark/>
          </w:tcPr>
          <w:p w14:paraId="45525CDB" w14:textId="77777777" w:rsidR="00126D8D" w:rsidRPr="004A4899" w:rsidRDefault="00126D8D" w:rsidP="00820288">
            <w:pPr>
              <w:spacing w:line="240" w:lineRule="auto"/>
              <w:rPr>
                <w:rFonts w:ascii="Times New Roman" w:hAnsi="Times New Roman" w:cs="Times New Roman"/>
                <w:sz w:val="13"/>
                <w:szCs w:val="13"/>
              </w:rPr>
            </w:pPr>
            <w:r w:rsidRPr="004A4899">
              <w:rPr>
                <w:rFonts w:ascii="Times New Roman" w:hAnsi="Times New Roman" w:cs="Times New Roman"/>
                <w:sz w:val="13"/>
                <w:szCs w:val="13"/>
              </w:rPr>
              <w:t>bcd</w:t>
            </w:r>
          </w:p>
        </w:tc>
        <w:tc>
          <w:tcPr>
            <w:tcW w:w="377" w:type="dxa"/>
            <w:noWrap/>
            <w:vAlign w:val="center"/>
            <w:hideMark/>
          </w:tcPr>
          <w:p w14:paraId="03C1189A" w14:textId="77777777" w:rsidR="00126D8D" w:rsidRPr="004A4899" w:rsidRDefault="00126D8D" w:rsidP="00820288">
            <w:pPr>
              <w:spacing w:line="240" w:lineRule="auto"/>
              <w:jc w:val="right"/>
              <w:rPr>
                <w:rFonts w:ascii="Times New Roman" w:hAnsi="Times New Roman" w:cs="Times New Roman"/>
                <w:sz w:val="13"/>
                <w:szCs w:val="13"/>
              </w:rPr>
            </w:pPr>
            <w:r w:rsidRPr="004A4899">
              <w:rPr>
                <w:rFonts w:ascii="Times New Roman" w:hAnsi="Times New Roman" w:cs="Times New Roman"/>
                <w:sz w:val="13"/>
                <w:szCs w:val="13"/>
              </w:rPr>
              <w:t>30.27</w:t>
            </w:r>
          </w:p>
        </w:tc>
        <w:tc>
          <w:tcPr>
            <w:tcW w:w="326" w:type="dxa"/>
            <w:noWrap/>
            <w:vAlign w:val="center"/>
            <w:hideMark/>
          </w:tcPr>
          <w:p w14:paraId="21D973A9" w14:textId="77777777" w:rsidR="00126D8D" w:rsidRPr="004A4899" w:rsidRDefault="00126D8D" w:rsidP="00820288">
            <w:pPr>
              <w:spacing w:line="240" w:lineRule="auto"/>
              <w:rPr>
                <w:rFonts w:ascii="Times New Roman" w:hAnsi="Times New Roman" w:cs="Times New Roman"/>
                <w:sz w:val="13"/>
                <w:szCs w:val="13"/>
              </w:rPr>
            </w:pPr>
            <w:r w:rsidRPr="004A4899">
              <w:rPr>
                <w:rFonts w:ascii="Times New Roman" w:hAnsi="Times New Roman" w:cs="Times New Roman"/>
                <w:sz w:val="13"/>
                <w:szCs w:val="13"/>
              </w:rPr>
              <w:t>bcd</w:t>
            </w:r>
          </w:p>
        </w:tc>
        <w:tc>
          <w:tcPr>
            <w:tcW w:w="377" w:type="dxa"/>
            <w:noWrap/>
            <w:vAlign w:val="center"/>
            <w:hideMark/>
          </w:tcPr>
          <w:p w14:paraId="2E36D836" w14:textId="77777777" w:rsidR="00126D8D" w:rsidRPr="004A4899" w:rsidRDefault="00126D8D" w:rsidP="00820288">
            <w:pPr>
              <w:spacing w:line="240" w:lineRule="auto"/>
              <w:jc w:val="right"/>
              <w:rPr>
                <w:rFonts w:ascii="Times New Roman" w:hAnsi="Times New Roman" w:cs="Times New Roman"/>
                <w:sz w:val="13"/>
                <w:szCs w:val="13"/>
              </w:rPr>
            </w:pPr>
            <w:r w:rsidRPr="004A4899">
              <w:rPr>
                <w:rFonts w:ascii="Times New Roman" w:hAnsi="Times New Roman" w:cs="Times New Roman"/>
                <w:sz w:val="13"/>
                <w:szCs w:val="13"/>
              </w:rPr>
              <w:t>51.23</w:t>
            </w:r>
          </w:p>
        </w:tc>
        <w:tc>
          <w:tcPr>
            <w:tcW w:w="219" w:type="dxa"/>
            <w:noWrap/>
            <w:vAlign w:val="center"/>
            <w:hideMark/>
          </w:tcPr>
          <w:p w14:paraId="091163D7" w14:textId="77777777" w:rsidR="00126D8D" w:rsidRPr="004A4899" w:rsidRDefault="00126D8D" w:rsidP="00820288">
            <w:pPr>
              <w:spacing w:line="240" w:lineRule="auto"/>
              <w:rPr>
                <w:rFonts w:ascii="Times New Roman" w:hAnsi="Times New Roman" w:cs="Times New Roman"/>
                <w:sz w:val="13"/>
                <w:szCs w:val="13"/>
              </w:rPr>
            </w:pPr>
            <w:r w:rsidRPr="004A4899">
              <w:rPr>
                <w:rFonts w:ascii="Times New Roman" w:hAnsi="Times New Roman" w:cs="Times New Roman"/>
                <w:sz w:val="13"/>
                <w:szCs w:val="13"/>
              </w:rPr>
              <w:t>a</w:t>
            </w:r>
          </w:p>
        </w:tc>
        <w:tc>
          <w:tcPr>
            <w:tcW w:w="377" w:type="dxa"/>
            <w:noWrap/>
            <w:vAlign w:val="center"/>
            <w:hideMark/>
          </w:tcPr>
          <w:p w14:paraId="7B2FE8DF" w14:textId="77777777" w:rsidR="00126D8D" w:rsidRPr="004A4899" w:rsidRDefault="00126D8D" w:rsidP="00820288">
            <w:pPr>
              <w:spacing w:line="240" w:lineRule="auto"/>
              <w:jc w:val="right"/>
              <w:rPr>
                <w:rFonts w:ascii="Times New Roman" w:hAnsi="Times New Roman" w:cs="Times New Roman"/>
                <w:sz w:val="13"/>
                <w:szCs w:val="13"/>
              </w:rPr>
            </w:pPr>
            <w:r w:rsidRPr="004A4899">
              <w:rPr>
                <w:rFonts w:ascii="Times New Roman" w:hAnsi="Times New Roman" w:cs="Times New Roman"/>
                <w:sz w:val="13"/>
                <w:szCs w:val="13"/>
              </w:rPr>
              <w:t>51.21</w:t>
            </w:r>
          </w:p>
        </w:tc>
        <w:tc>
          <w:tcPr>
            <w:tcW w:w="159" w:type="dxa"/>
            <w:noWrap/>
            <w:vAlign w:val="center"/>
            <w:hideMark/>
          </w:tcPr>
          <w:p w14:paraId="7805B4EF" w14:textId="77777777" w:rsidR="00126D8D" w:rsidRPr="004A4899" w:rsidRDefault="00126D8D" w:rsidP="00820288">
            <w:pPr>
              <w:spacing w:line="240" w:lineRule="auto"/>
              <w:rPr>
                <w:rFonts w:ascii="Times New Roman" w:hAnsi="Times New Roman" w:cs="Times New Roman"/>
                <w:sz w:val="13"/>
                <w:szCs w:val="13"/>
              </w:rPr>
            </w:pPr>
            <w:r w:rsidRPr="004A4899">
              <w:rPr>
                <w:rFonts w:ascii="Times New Roman" w:hAnsi="Times New Roman" w:cs="Times New Roman"/>
                <w:sz w:val="13"/>
                <w:szCs w:val="13"/>
              </w:rPr>
              <w:t>a</w:t>
            </w:r>
          </w:p>
        </w:tc>
        <w:tc>
          <w:tcPr>
            <w:tcW w:w="377" w:type="dxa"/>
            <w:noWrap/>
            <w:vAlign w:val="center"/>
            <w:hideMark/>
          </w:tcPr>
          <w:p w14:paraId="0DFB33D5" w14:textId="77777777" w:rsidR="00126D8D" w:rsidRPr="004A4899" w:rsidRDefault="00126D8D" w:rsidP="00820288">
            <w:pPr>
              <w:spacing w:line="240" w:lineRule="auto"/>
              <w:jc w:val="right"/>
              <w:rPr>
                <w:rFonts w:ascii="Times New Roman" w:hAnsi="Times New Roman" w:cs="Times New Roman"/>
                <w:sz w:val="13"/>
                <w:szCs w:val="13"/>
              </w:rPr>
            </w:pPr>
            <w:r w:rsidRPr="004A4899">
              <w:rPr>
                <w:rFonts w:ascii="Times New Roman" w:hAnsi="Times New Roman" w:cs="Times New Roman"/>
                <w:sz w:val="13"/>
                <w:szCs w:val="13"/>
              </w:rPr>
              <w:t>38.04</w:t>
            </w:r>
          </w:p>
        </w:tc>
        <w:tc>
          <w:tcPr>
            <w:tcW w:w="326" w:type="dxa"/>
            <w:noWrap/>
            <w:vAlign w:val="center"/>
            <w:hideMark/>
          </w:tcPr>
          <w:p w14:paraId="7900215B" w14:textId="77777777" w:rsidR="00126D8D" w:rsidRPr="004A4899" w:rsidRDefault="00126D8D" w:rsidP="00820288">
            <w:pPr>
              <w:spacing w:line="240" w:lineRule="auto"/>
              <w:rPr>
                <w:rFonts w:ascii="Times New Roman" w:hAnsi="Times New Roman" w:cs="Times New Roman"/>
                <w:sz w:val="13"/>
                <w:szCs w:val="13"/>
              </w:rPr>
            </w:pPr>
            <w:r w:rsidRPr="004A4899">
              <w:rPr>
                <w:rFonts w:ascii="Times New Roman" w:hAnsi="Times New Roman" w:cs="Times New Roman"/>
                <w:sz w:val="13"/>
                <w:szCs w:val="13"/>
              </w:rPr>
              <w:t>abc</w:t>
            </w:r>
          </w:p>
        </w:tc>
        <w:tc>
          <w:tcPr>
            <w:tcW w:w="377" w:type="dxa"/>
            <w:noWrap/>
            <w:vAlign w:val="center"/>
            <w:hideMark/>
          </w:tcPr>
          <w:p w14:paraId="150C9BFE" w14:textId="77777777" w:rsidR="00126D8D" w:rsidRPr="004A4899" w:rsidRDefault="00126D8D" w:rsidP="00820288">
            <w:pPr>
              <w:spacing w:line="240" w:lineRule="auto"/>
              <w:jc w:val="right"/>
              <w:rPr>
                <w:rFonts w:ascii="Times New Roman" w:hAnsi="Times New Roman" w:cs="Times New Roman"/>
                <w:sz w:val="13"/>
                <w:szCs w:val="13"/>
              </w:rPr>
            </w:pPr>
            <w:r w:rsidRPr="004A4899">
              <w:rPr>
                <w:rFonts w:ascii="Times New Roman" w:hAnsi="Times New Roman" w:cs="Times New Roman"/>
                <w:sz w:val="13"/>
                <w:szCs w:val="13"/>
              </w:rPr>
              <w:t>28.27</w:t>
            </w:r>
          </w:p>
        </w:tc>
        <w:tc>
          <w:tcPr>
            <w:tcW w:w="252" w:type="dxa"/>
            <w:noWrap/>
            <w:vAlign w:val="center"/>
            <w:hideMark/>
          </w:tcPr>
          <w:p w14:paraId="1FC92389" w14:textId="77777777" w:rsidR="00126D8D" w:rsidRPr="004A4899" w:rsidRDefault="00126D8D" w:rsidP="00820288">
            <w:pPr>
              <w:spacing w:line="240" w:lineRule="auto"/>
              <w:rPr>
                <w:rFonts w:ascii="Times New Roman" w:hAnsi="Times New Roman" w:cs="Times New Roman"/>
                <w:sz w:val="13"/>
                <w:szCs w:val="13"/>
              </w:rPr>
            </w:pPr>
            <w:r w:rsidRPr="004A4899">
              <w:rPr>
                <w:rFonts w:ascii="Times New Roman" w:hAnsi="Times New Roman" w:cs="Times New Roman"/>
                <w:sz w:val="13"/>
                <w:szCs w:val="13"/>
              </w:rPr>
              <w:t>bcd</w:t>
            </w:r>
          </w:p>
        </w:tc>
        <w:tc>
          <w:tcPr>
            <w:tcW w:w="377" w:type="dxa"/>
            <w:noWrap/>
            <w:vAlign w:val="center"/>
            <w:hideMark/>
          </w:tcPr>
          <w:p w14:paraId="02650475" w14:textId="77777777" w:rsidR="00126D8D" w:rsidRPr="004A4899" w:rsidRDefault="00126D8D" w:rsidP="00820288">
            <w:pPr>
              <w:spacing w:line="240" w:lineRule="auto"/>
              <w:jc w:val="right"/>
              <w:rPr>
                <w:rFonts w:ascii="Times New Roman" w:hAnsi="Times New Roman" w:cs="Times New Roman"/>
                <w:sz w:val="13"/>
                <w:szCs w:val="13"/>
              </w:rPr>
            </w:pPr>
            <w:r w:rsidRPr="004A4899">
              <w:rPr>
                <w:rFonts w:ascii="Times New Roman" w:hAnsi="Times New Roman" w:cs="Times New Roman"/>
                <w:sz w:val="13"/>
                <w:szCs w:val="13"/>
              </w:rPr>
              <w:t>32.50</w:t>
            </w:r>
          </w:p>
        </w:tc>
        <w:tc>
          <w:tcPr>
            <w:tcW w:w="273" w:type="dxa"/>
            <w:noWrap/>
            <w:vAlign w:val="center"/>
            <w:hideMark/>
          </w:tcPr>
          <w:p w14:paraId="7868AD21" w14:textId="77777777" w:rsidR="00126D8D" w:rsidRPr="004A4899" w:rsidRDefault="00126D8D" w:rsidP="00820288">
            <w:pPr>
              <w:spacing w:line="240" w:lineRule="auto"/>
              <w:rPr>
                <w:rFonts w:ascii="Times New Roman" w:hAnsi="Times New Roman" w:cs="Times New Roman"/>
                <w:sz w:val="13"/>
                <w:szCs w:val="13"/>
              </w:rPr>
            </w:pPr>
            <w:r w:rsidRPr="004A4899">
              <w:rPr>
                <w:rFonts w:ascii="Times New Roman" w:hAnsi="Times New Roman" w:cs="Times New Roman"/>
                <w:sz w:val="13"/>
                <w:szCs w:val="13"/>
              </w:rPr>
              <w:t>bcd</w:t>
            </w:r>
          </w:p>
        </w:tc>
        <w:tc>
          <w:tcPr>
            <w:tcW w:w="377" w:type="dxa"/>
            <w:noWrap/>
            <w:vAlign w:val="center"/>
            <w:hideMark/>
          </w:tcPr>
          <w:p w14:paraId="62C6C6C5" w14:textId="77777777" w:rsidR="00126D8D" w:rsidRPr="004A4899" w:rsidRDefault="00126D8D" w:rsidP="00820288">
            <w:pPr>
              <w:spacing w:line="240" w:lineRule="auto"/>
              <w:jc w:val="right"/>
              <w:rPr>
                <w:rFonts w:ascii="Times New Roman" w:hAnsi="Times New Roman" w:cs="Times New Roman"/>
                <w:sz w:val="13"/>
                <w:szCs w:val="13"/>
              </w:rPr>
            </w:pPr>
            <w:r w:rsidRPr="004A4899">
              <w:rPr>
                <w:rFonts w:ascii="Times New Roman" w:hAnsi="Times New Roman" w:cs="Times New Roman"/>
                <w:sz w:val="13"/>
                <w:szCs w:val="13"/>
              </w:rPr>
              <w:t>26.70</w:t>
            </w:r>
          </w:p>
        </w:tc>
        <w:tc>
          <w:tcPr>
            <w:tcW w:w="273" w:type="dxa"/>
            <w:noWrap/>
            <w:vAlign w:val="center"/>
            <w:hideMark/>
          </w:tcPr>
          <w:p w14:paraId="7EC4672D" w14:textId="77777777" w:rsidR="00126D8D" w:rsidRPr="004A4899" w:rsidRDefault="00126D8D" w:rsidP="00820288">
            <w:pPr>
              <w:spacing w:line="240" w:lineRule="auto"/>
              <w:rPr>
                <w:rFonts w:ascii="Times New Roman" w:hAnsi="Times New Roman" w:cs="Times New Roman"/>
                <w:sz w:val="13"/>
                <w:szCs w:val="13"/>
              </w:rPr>
            </w:pPr>
            <w:r w:rsidRPr="004A4899">
              <w:rPr>
                <w:rFonts w:ascii="Times New Roman" w:hAnsi="Times New Roman" w:cs="Times New Roman"/>
                <w:sz w:val="13"/>
                <w:szCs w:val="13"/>
              </w:rPr>
              <w:t>cd</w:t>
            </w:r>
          </w:p>
        </w:tc>
      </w:tr>
      <w:tr w:rsidR="00126D8D" w:rsidRPr="004A4899" w14:paraId="47857C17" w14:textId="77777777" w:rsidTr="00820288">
        <w:trPr>
          <w:trHeight w:val="173"/>
        </w:trPr>
        <w:tc>
          <w:tcPr>
            <w:tcW w:w="1440" w:type="dxa"/>
            <w:noWrap/>
            <w:vAlign w:val="center"/>
            <w:hideMark/>
          </w:tcPr>
          <w:p w14:paraId="42516611" w14:textId="77777777" w:rsidR="00126D8D" w:rsidRPr="004A4899" w:rsidRDefault="00126D8D" w:rsidP="00820288">
            <w:pPr>
              <w:spacing w:line="240" w:lineRule="auto"/>
              <w:rPr>
                <w:rFonts w:ascii="Times New Roman" w:hAnsi="Times New Roman" w:cs="Times New Roman"/>
                <w:sz w:val="12"/>
                <w:szCs w:val="12"/>
              </w:rPr>
            </w:pPr>
            <w:r w:rsidRPr="004A4899">
              <w:rPr>
                <w:rFonts w:ascii="Times New Roman" w:hAnsi="Times New Roman" w:cs="Times New Roman"/>
                <w:sz w:val="12"/>
                <w:szCs w:val="12"/>
              </w:rPr>
              <w:t>Isoborneol</w:t>
            </w:r>
          </w:p>
        </w:tc>
        <w:tc>
          <w:tcPr>
            <w:tcW w:w="377" w:type="dxa"/>
            <w:noWrap/>
            <w:vAlign w:val="center"/>
            <w:hideMark/>
          </w:tcPr>
          <w:p w14:paraId="47C58420" w14:textId="77777777" w:rsidR="00126D8D" w:rsidRPr="004A4899" w:rsidRDefault="00126D8D" w:rsidP="00820288">
            <w:pPr>
              <w:spacing w:line="240" w:lineRule="auto"/>
              <w:jc w:val="right"/>
              <w:rPr>
                <w:rFonts w:ascii="Times New Roman" w:hAnsi="Times New Roman" w:cs="Times New Roman"/>
                <w:sz w:val="13"/>
                <w:szCs w:val="13"/>
              </w:rPr>
            </w:pPr>
            <w:r w:rsidRPr="004A4899">
              <w:rPr>
                <w:rFonts w:ascii="Times New Roman" w:hAnsi="Times New Roman" w:cs="Times New Roman"/>
                <w:sz w:val="13"/>
                <w:szCs w:val="13"/>
              </w:rPr>
              <w:t>32.04</w:t>
            </w:r>
          </w:p>
        </w:tc>
        <w:tc>
          <w:tcPr>
            <w:tcW w:w="274" w:type="dxa"/>
            <w:noWrap/>
            <w:vAlign w:val="center"/>
            <w:hideMark/>
          </w:tcPr>
          <w:p w14:paraId="7F6A9351" w14:textId="77777777" w:rsidR="00126D8D" w:rsidRPr="004A4899" w:rsidRDefault="00126D8D" w:rsidP="00820288">
            <w:pPr>
              <w:spacing w:line="240" w:lineRule="auto"/>
              <w:rPr>
                <w:rFonts w:ascii="Times New Roman" w:hAnsi="Times New Roman" w:cs="Times New Roman"/>
                <w:sz w:val="13"/>
                <w:szCs w:val="13"/>
              </w:rPr>
            </w:pPr>
            <w:r w:rsidRPr="004A4899">
              <w:rPr>
                <w:rFonts w:ascii="Times New Roman" w:hAnsi="Times New Roman" w:cs="Times New Roman"/>
                <w:sz w:val="13"/>
                <w:szCs w:val="13"/>
              </w:rPr>
              <w:t>abc</w:t>
            </w:r>
          </w:p>
        </w:tc>
        <w:tc>
          <w:tcPr>
            <w:tcW w:w="411" w:type="dxa"/>
            <w:noWrap/>
            <w:vAlign w:val="center"/>
            <w:hideMark/>
          </w:tcPr>
          <w:p w14:paraId="36A28682" w14:textId="77777777" w:rsidR="00126D8D" w:rsidRPr="004A4899" w:rsidRDefault="00126D8D" w:rsidP="00820288">
            <w:pPr>
              <w:spacing w:line="240" w:lineRule="auto"/>
              <w:jc w:val="right"/>
              <w:rPr>
                <w:rFonts w:ascii="Times New Roman" w:hAnsi="Times New Roman" w:cs="Times New Roman"/>
                <w:sz w:val="13"/>
                <w:szCs w:val="13"/>
              </w:rPr>
            </w:pPr>
            <w:r w:rsidRPr="004A4899">
              <w:rPr>
                <w:rFonts w:ascii="Times New Roman" w:hAnsi="Times New Roman" w:cs="Times New Roman"/>
                <w:sz w:val="13"/>
                <w:szCs w:val="13"/>
              </w:rPr>
              <w:t>22.05</w:t>
            </w:r>
          </w:p>
        </w:tc>
        <w:tc>
          <w:tcPr>
            <w:tcW w:w="239" w:type="dxa"/>
            <w:noWrap/>
            <w:vAlign w:val="center"/>
            <w:hideMark/>
          </w:tcPr>
          <w:p w14:paraId="140EFB47" w14:textId="77777777" w:rsidR="00126D8D" w:rsidRPr="004A4899" w:rsidRDefault="00126D8D" w:rsidP="00820288">
            <w:pPr>
              <w:spacing w:line="240" w:lineRule="auto"/>
              <w:rPr>
                <w:rFonts w:ascii="Times New Roman" w:hAnsi="Times New Roman" w:cs="Times New Roman"/>
                <w:sz w:val="13"/>
                <w:szCs w:val="13"/>
              </w:rPr>
            </w:pPr>
            <w:r w:rsidRPr="004A4899">
              <w:rPr>
                <w:rFonts w:ascii="Times New Roman" w:hAnsi="Times New Roman" w:cs="Times New Roman"/>
                <w:sz w:val="13"/>
                <w:szCs w:val="13"/>
              </w:rPr>
              <w:t>c</w:t>
            </w:r>
          </w:p>
        </w:tc>
        <w:tc>
          <w:tcPr>
            <w:tcW w:w="377" w:type="dxa"/>
            <w:noWrap/>
            <w:vAlign w:val="center"/>
            <w:hideMark/>
          </w:tcPr>
          <w:p w14:paraId="1DCA824D" w14:textId="77777777" w:rsidR="00126D8D" w:rsidRPr="004A4899" w:rsidRDefault="00126D8D" w:rsidP="00820288">
            <w:pPr>
              <w:spacing w:line="240" w:lineRule="auto"/>
              <w:jc w:val="right"/>
              <w:rPr>
                <w:rFonts w:ascii="Times New Roman" w:hAnsi="Times New Roman" w:cs="Times New Roman"/>
                <w:sz w:val="13"/>
                <w:szCs w:val="13"/>
              </w:rPr>
            </w:pPr>
            <w:r w:rsidRPr="004A4899">
              <w:rPr>
                <w:rFonts w:ascii="Times New Roman" w:hAnsi="Times New Roman" w:cs="Times New Roman"/>
                <w:sz w:val="13"/>
                <w:szCs w:val="13"/>
              </w:rPr>
              <w:t>29.66</w:t>
            </w:r>
          </w:p>
        </w:tc>
        <w:tc>
          <w:tcPr>
            <w:tcW w:w="273" w:type="dxa"/>
            <w:noWrap/>
            <w:vAlign w:val="center"/>
            <w:hideMark/>
          </w:tcPr>
          <w:p w14:paraId="7CF57D97" w14:textId="77777777" w:rsidR="00126D8D" w:rsidRPr="004A4899" w:rsidRDefault="00126D8D" w:rsidP="00820288">
            <w:pPr>
              <w:spacing w:line="240" w:lineRule="auto"/>
              <w:rPr>
                <w:rFonts w:ascii="Times New Roman" w:hAnsi="Times New Roman" w:cs="Times New Roman"/>
                <w:sz w:val="13"/>
                <w:szCs w:val="13"/>
              </w:rPr>
            </w:pPr>
            <w:r w:rsidRPr="004A4899">
              <w:rPr>
                <w:rFonts w:ascii="Times New Roman" w:hAnsi="Times New Roman" w:cs="Times New Roman"/>
                <w:sz w:val="13"/>
                <w:szCs w:val="13"/>
              </w:rPr>
              <w:t>bc</w:t>
            </w:r>
          </w:p>
        </w:tc>
        <w:tc>
          <w:tcPr>
            <w:tcW w:w="377" w:type="dxa"/>
            <w:noWrap/>
            <w:vAlign w:val="center"/>
            <w:hideMark/>
          </w:tcPr>
          <w:p w14:paraId="70DFFDD8" w14:textId="77777777" w:rsidR="00126D8D" w:rsidRPr="004A4899" w:rsidRDefault="00126D8D" w:rsidP="00820288">
            <w:pPr>
              <w:spacing w:line="240" w:lineRule="auto"/>
              <w:jc w:val="right"/>
              <w:rPr>
                <w:rFonts w:ascii="Times New Roman" w:hAnsi="Times New Roman" w:cs="Times New Roman"/>
                <w:sz w:val="13"/>
                <w:szCs w:val="13"/>
              </w:rPr>
            </w:pPr>
            <w:r w:rsidRPr="004A4899">
              <w:rPr>
                <w:rFonts w:ascii="Times New Roman" w:hAnsi="Times New Roman" w:cs="Times New Roman"/>
                <w:sz w:val="13"/>
                <w:szCs w:val="13"/>
              </w:rPr>
              <w:t>37.27</w:t>
            </w:r>
          </w:p>
        </w:tc>
        <w:tc>
          <w:tcPr>
            <w:tcW w:w="273" w:type="dxa"/>
            <w:noWrap/>
            <w:vAlign w:val="center"/>
            <w:hideMark/>
          </w:tcPr>
          <w:p w14:paraId="5C1A2833" w14:textId="77777777" w:rsidR="00126D8D" w:rsidRPr="004A4899" w:rsidRDefault="00126D8D" w:rsidP="00820288">
            <w:pPr>
              <w:spacing w:line="240" w:lineRule="auto"/>
              <w:rPr>
                <w:rFonts w:ascii="Times New Roman" w:hAnsi="Times New Roman" w:cs="Times New Roman"/>
                <w:sz w:val="13"/>
                <w:szCs w:val="13"/>
              </w:rPr>
            </w:pPr>
            <w:r w:rsidRPr="004A4899">
              <w:rPr>
                <w:rFonts w:ascii="Times New Roman" w:hAnsi="Times New Roman" w:cs="Times New Roman"/>
                <w:sz w:val="13"/>
                <w:szCs w:val="13"/>
              </w:rPr>
              <w:t>abc</w:t>
            </w:r>
          </w:p>
        </w:tc>
        <w:tc>
          <w:tcPr>
            <w:tcW w:w="377" w:type="dxa"/>
            <w:noWrap/>
            <w:vAlign w:val="center"/>
            <w:hideMark/>
          </w:tcPr>
          <w:p w14:paraId="7285198C" w14:textId="77777777" w:rsidR="00126D8D" w:rsidRPr="004A4899" w:rsidRDefault="00126D8D" w:rsidP="00820288">
            <w:pPr>
              <w:spacing w:line="240" w:lineRule="auto"/>
              <w:jc w:val="right"/>
              <w:rPr>
                <w:rFonts w:ascii="Times New Roman" w:hAnsi="Times New Roman" w:cs="Times New Roman"/>
                <w:sz w:val="13"/>
                <w:szCs w:val="13"/>
              </w:rPr>
            </w:pPr>
            <w:r w:rsidRPr="004A4899">
              <w:rPr>
                <w:rFonts w:ascii="Times New Roman" w:hAnsi="Times New Roman" w:cs="Times New Roman"/>
                <w:sz w:val="13"/>
                <w:szCs w:val="13"/>
              </w:rPr>
              <w:t>28.57</w:t>
            </w:r>
          </w:p>
        </w:tc>
        <w:tc>
          <w:tcPr>
            <w:tcW w:w="326" w:type="dxa"/>
            <w:noWrap/>
            <w:vAlign w:val="center"/>
            <w:hideMark/>
          </w:tcPr>
          <w:p w14:paraId="7731F4B6" w14:textId="77777777" w:rsidR="00126D8D" w:rsidRPr="004A4899" w:rsidRDefault="00126D8D" w:rsidP="00820288">
            <w:pPr>
              <w:spacing w:line="240" w:lineRule="auto"/>
              <w:rPr>
                <w:rFonts w:ascii="Times New Roman" w:hAnsi="Times New Roman" w:cs="Times New Roman"/>
                <w:sz w:val="13"/>
                <w:szCs w:val="13"/>
              </w:rPr>
            </w:pPr>
            <w:r w:rsidRPr="004A4899">
              <w:rPr>
                <w:rFonts w:ascii="Times New Roman" w:hAnsi="Times New Roman" w:cs="Times New Roman"/>
                <w:sz w:val="13"/>
                <w:szCs w:val="13"/>
              </w:rPr>
              <w:t>bc</w:t>
            </w:r>
          </w:p>
        </w:tc>
        <w:tc>
          <w:tcPr>
            <w:tcW w:w="377" w:type="dxa"/>
            <w:noWrap/>
            <w:vAlign w:val="center"/>
            <w:hideMark/>
          </w:tcPr>
          <w:p w14:paraId="5285D6D6" w14:textId="77777777" w:rsidR="00126D8D" w:rsidRPr="004A4899" w:rsidRDefault="00126D8D" w:rsidP="00820288">
            <w:pPr>
              <w:spacing w:line="240" w:lineRule="auto"/>
              <w:jc w:val="right"/>
              <w:rPr>
                <w:rFonts w:ascii="Times New Roman" w:hAnsi="Times New Roman" w:cs="Times New Roman"/>
                <w:sz w:val="13"/>
                <w:szCs w:val="13"/>
              </w:rPr>
            </w:pPr>
            <w:r w:rsidRPr="004A4899">
              <w:rPr>
                <w:rFonts w:ascii="Times New Roman" w:hAnsi="Times New Roman" w:cs="Times New Roman"/>
                <w:sz w:val="13"/>
                <w:szCs w:val="13"/>
              </w:rPr>
              <w:t>33.55</w:t>
            </w:r>
          </w:p>
        </w:tc>
        <w:tc>
          <w:tcPr>
            <w:tcW w:w="326" w:type="dxa"/>
            <w:noWrap/>
            <w:vAlign w:val="center"/>
            <w:hideMark/>
          </w:tcPr>
          <w:p w14:paraId="738FBF28" w14:textId="77777777" w:rsidR="00126D8D" w:rsidRPr="004A4899" w:rsidRDefault="00126D8D" w:rsidP="00820288">
            <w:pPr>
              <w:spacing w:line="240" w:lineRule="auto"/>
              <w:rPr>
                <w:rFonts w:ascii="Times New Roman" w:hAnsi="Times New Roman" w:cs="Times New Roman"/>
                <w:sz w:val="13"/>
                <w:szCs w:val="13"/>
              </w:rPr>
            </w:pPr>
            <w:r w:rsidRPr="004A4899">
              <w:rPr>
                <w:rFonts w:ascii="Times New Roman" w:hAnsi="Times New Roman" w:cs="Times New Roman"/>
                <w:sz w:val="13"/>
                <w:szCs w:val="13"/>
              </w:rPr>
              <w:t>abc</w:t>
            </w:r>
          </w:p>
        </w:tc>
        <w:tc>
          <w:tcPr>
            <w:tcW w:w="377" w:type="dxa"/>
            <w:noWrap/>
            <w:vAlign w:val="center"/>
            <w:hideMark/>
          </w:tcPr>
          <w:p w14:paraId="6CA5658D" w14:textId="77777777" w:rsidR="00126D8D" w:rsidRPr="004A4899" w:rsidRDefault="00126D8D" w:rsidP="00820288">
            <w:pPr>
              <w:spacing w:line="240" w:lineRule="auto"/>
              <w:jc w:val="right"/>
              <w:rPr>
                <w:rFonts w:ascii="Times New Roman" w:hAnsi="Times New Roman" w:cs="Times New Roman"/>
                <w:sz w:val="13"/>
                <w:szCs w:val="13"/>
              </w:rPr>
            </w:pPr>
            <w:r w:rsidRPr="004A4899">
              <w:rPr>
                <w:rFonts w:ascii="Times New Roman" w:hAnsi="Times New Roman" w:cs="Times New Roman"/>
                <w:sz w:val="13"/>
                <w:szCs w:val="13"/>
              </w:rPr>
              <w:t>44.80</w:t>
            </w:r>
          </w:p>
        </w:tc>
        <w:tc>
          <w:tcPr>
            <w:tcW w:w="219" w:type="dxa"/>
            <w:noWrap/>
            <w:vAlign w:val="center"/>
            <w:hideMark/>
          </w:tcPr>
          <w:p w14:paraId="2035D486" w14:textId="77777777" w:rsidR="00126D8D" w:rsidRPr="004A4899" w:rsidRDefault="00126D8D" w:rsidP="00820288">
            <w:pPr>
              <w:spacing w:line="240" w:lineRule="auto"/>
              <w:rPr>
                <w:rFonts w:ascii="Times New Roman" w:hAnsi="Times New Roman" w:cs="Times New Roman"/>
                <w:sz w:val="13"/>
                <w:szCs w:val="13"/>
              </w:rPr>
            </w:pPr>
            <w:r w:rsidRPr="004A4899">
              <w:rPr>
                <w:rFonts w:ascii="Times New Roman" w:hAnsi="Times New Roman" w:cs="Times New Roman"/>
                <w:sz w:val="13"/>
                <w:szCs w:val="13"/>
              </w:rPr>
              <w:t>ab</w:t>
            </w:r>
          </w:p>
        </w:tc>
        <w:tc>
          <w:tcPr>
            <w:tcW w:w="377" w:type="dxa"/>
            <w:noWrap/>
            <w:vAlign w:val="center"/>
            <w:hideMark/>
          </w:tcPr>
          <w:p w14:paraId="4C26EDB9" w14:textId="77777777" w:rsidR="00126D8D" w:rsidRPr="004A4899" w:rsidRDefault="00126D8D" w:rsidP="00820288">
            <w:pPr>
              <w:spacing w:line="240" w:lineRule="auto"/>
              <w:jc w:val="right"/>
              <w:rPr>
                <w:rFonts w:ascii="Times New Roman" w:hAnsi="Times New Roman" w:cs="Times New Roman"/>
                <w:sz w:val="13"/>
                <w:szCs w:val="13"/>
              </w:rPr>
            </w:pPr>
            <w:r w:rsidRPr="004A4899">
              <w:rPr>
                <w:rFonts w:ascii="Times New Roman" w:hAnsi="Times New Roman" w:cs="Times New Roman"/>
                <w:sz w:val="13"/>
                <w:szCs w:val="13"/>
              </w:rPr>
              <w:t>51.35</w:t>
            </w:r>
          </w:p>
        </w:tc>
        <w:tc>
          <w:tcPr>
            <w:tcW w:w="159" w:type="dxa"/>
            <w:noWrap/>
            <w:vAlign w:val="center"/>
            <w:hideMark/>
          </w:tcPr>
          <w:p w14:paraId="0C7AB245" w14:textId="77777777" w:rsidR="00126D8D" w:rsidRPr="004A4899" w:rsidRDefault="00126D8D" w:rsidP="00820288">
            <w:pPr>
              <w:spacing w:line="240" w:lineRule="auto"/>
              <w:rPr>
                <w:rFonts w:ascii="Times New Roman" w:hAnsi="Times New Roman" w:cs="Times New Roman"/>
                <w:sz w:val="13"/>
                <w:szCs w:val="13"/>
              </w:rPr>
            </w:pPr>
            <w:r w:rsidRPr="004A4899">
              <w:rPr>
                <w:rFonts w:ascii="Times New Roman" w:hAnsi="Times New Roman" w:cs="Times New Roman"/>
                <w:sz w:val="13"/>
                <w:szCs w:val="13"/>
              </w:rPr>
              <w:t>a</w:t>
            </w:r>
          </w:p>
        </w:tc>
        <w:tc>
          <w:tcPr>
            <w:tcW w:w="377" w:type="dxa"/>
            <w:noWrap/>
            <w:vAlign w:val="center"/>
            <w:hideMark/>
          </w:tcPr>
          <w:p w14:paraId="5A15AF4C" w14:textId="77777777" w:rsidR="00126D8D" w:rsidRPr="004A4899" w:rsidRDefault="00126D8D" w:rsidP="00820288">
            <w:pPr>
              <w:spacing w:line="240" w:lineRule="auto"/>
              <w:jc w:val="right"/>
              <w:rPr>
                <w:rFonts w:ascii="Times New Roman" w:hAnsi="Times New Roman" w:cs="Times New Roman"/>
                <w:sz w:val="13"/>
                <w:szCs w:val="13"/>
              </w:rPr>
            </w:pPr>
            <w:r w:rsidRPr="004A4899">
              <w:rPr>
                <w:rFonts w:ascii="Times New Roman" w:hAnsi="Times New Roman" w:cs="Times New Roman"/>
                <w:sz w:val="13"/>
                <w:szCs w:val="13"/>
              </w:rPr>
              <w:t>32.38</w:t>
            </w:r>
          </w:p>
        </w:tc>
        <w:tc>
          <w:tcPr>
            <w:tcW w:w="326" w:type="dxa"/>
            <w:noWrap/>
            <w:vAlign w:val="center"/>
            <w:hideMark/>
          </w:tcPr>
          <w:p w14:paraId="0CF2D339" w14:textId="77777777" w:rsidR="00126D8D" w:rsidRPr="004A4899" w:rsidRDefault="00126D8D" w:rsidP="00820288">
            <w:pPr>
              <w:spacing w:line="240" w:lineRule="auto"/>
              <w:rPr>
                <w:rFonts w:ascii="Times New Roman" w:hAnsi="Times New Roman" w:cs="Times New Roman"/>
                <w:sz w:val="13"/>
                <w:szCs w:val="13"/>
              </w:rPr>
            </w:pPr>
            <w:r w:rsidRPr="004A4899">
              <w:rPr>
                <w:rFonts w:ascii="Times New Roman" w:hAnsi="Times New Roman" w:cs="Times New Roman"/>
                <w:sz w:val="13"/>
                <w:szCs w:val="13"/>
              </w:rPr>
              <w:t>abc</w:t>
            </w:r>
          </w:p>
        </w:tc>
        <w:tc>
          <w:tcPr>
            <w:tcW w:w="377" w:type="dxa"/>
            <w:noWrap/>
            <w:vAlign w:val="center"/>
            <w:hideMark/>
          </w:tcPr>
          <w:p w14:paraId="5A9DF8AA" w14:textId="77777777" w:rsidR="00126D8D" w:rsidRPr="004A4899" w:rsidRDefault="00126D8D" w:rsidP="00820288">
            <w:pPr>
              <w:spacing w:line="240" w:lineRule="auto"/>
              <w:jc w:val="right"/>
              <w:rPr>
                <w:rFonts w:ascii="Times New Roman" w:hAnsi="Times New Roman" w:cs="Times New Roman"/>
                <w:sz w:val="13"/>
                <w:szCs w:val="13"/>
              </w:rPr>
            </w:pPr>
            <w:r w:rsidRPr="004A4899">
              <w:rPr>
                <w:rFonts w:ascii="Times New Roman" w:hAnsi="Times New Roman" w:cs="Times New Roman"/>
                <w:sz w:val="13"/>
                <w:szCs w:val="13"/>
              </w:rPr>
              <w:t>30.87</w:t>
            </w:r>
          </w:p>
        </w:tc>
        <w:tc>
          <w:tcPr>
            <w:tcW w:w="252" w:type="dxa"/>
            <w:noWrap/>
            <w:vAlign w:val="center"/>
            <w:hideMark/>
          </w:tcPr>
          <w:p w14:paraId="79596C1E" w14:textId="77777777" w:rsidR="00126D8D" w:rsidRPr="004A4899" w:rsidRDefault="00126D8D" w:rsidP="00820288">
            <w:pPr>
              <w:spacing w:line="240" w:lineRule="auto"/>
              <w:rPr>
                <w:rFonts w:ascii="Times New Roman" w:hAnsi="Times New Roman" w:cs="Times New Roman"/>
                <w:sz w:val="13"/>
                <w:szCs w:val="13"/>
              </w:rPr>
            </w:pPr>
            <w:r w:rsidRPr="004A4899">
              <w:rPr>
                <w:rFonts w:ascii="Times New Roman" w:hAnsi="Times New Roman" w:cs="Times New Roman"/>
                <w:sz w:val="13"/>
                <w:szCs w:val="13"/>
              </w:rPr>
              <w:t>bc</w:t>
            </w:r>
          </w:p>
        </w:tc>
        <w:tc>
          <w:tcPr>
            <w:tcW w:w="377" w:type="dxa"/>
            <w:noWrap/>
            <w:vAlign w:val="center"/>
            <w:hideMark/>
          </w:tcPr>
          <w:p w14:paraId="7695BD58" w14:textId="77777777" w:rsidR="00126D8D" w:rsidRPr="004A4899" w:rsidRDefault="00126D8D" w:rsidP="00820288">
            <w:pPr>
              <w:spacing w:line="240" w:lineRule="auto"/>
              <w:jc w:val="right"/>
              <w:rPr>
                <w:rFonts w:ascii="Times New Roman" w:hAnsi="Times New Roman" w:cs="Times New Roman"/>
                <w:sz w:val="13"/>
                <w:szCs w:val="13"/>
              </w:rPr>
            </w:pPr>
            <w:r w:rsidRPr="004A4899">
              <w:rPr>
                <w:rFonts w:ascii="Times New Roman" w:hAnsi="Times New Roman" w:cs="Times New Roman"/>
                <w:sz w:val="13"/>
                <w:szCs w:val="13"/>
              </w:rPr>
              <w:t>37.14</w:t>
            </w:r>
          </w:p>
        </w:tc>
        <w:tc>
          <w:tcPr>
            <w:tcW w:w="273" w:type="dxa"/>
            <w:noWrap/>
            <w:vAlign w:val="center"/>
            <w:hideMark/>
          </w:tcPr>
          <w:p w14:paraId="698DE24F" w14:textId="77777777" w:rsidR="00126D8D" w:rsidRPr="004A4899" w:rsidRDefault="00126D8D" w:rsidP="00820288">
            <w:pPr>
              <w:spacing w:line="240" w:lineRule="auto"/>
              <w:rPr>
                <w:rFonts w:ascii="Times New Roman" w:hAnsi="Times New Roman" w:cs="Times New Roman"/>
                <w:sz w:val="13"/>
                <w:szCs w:val="13"/>
              </w:rPr>
            </w:pPr>
            <w:r w:rsidRPr="004A4899">
              <w:rPr>
                <w:rFonts w:ascii="Times New Roman" w:hAnsi="Times New Roman" w:cs="Times New Roman"/>
                <w:sz w:val="13"/>
                <w:szCs w:val="13"/>
              </w:rPr>
              <w:t>abc</w:t>
            </w:r>
          </w:p>
        </w:tc>
        <w:tc>
          <w:tcPr>
            <w:tcW w:w="377" w:type="dxa"/>
            <w:noWrap/>
            <w:vAlign w:val="center"/>
            <w:hideMark/>
          </w:tcPr>
          <w:p w14:paraId="032FEEF5" w14:textId="77777777" w:rsidR="00126D8D" w:rsidRPr="004A4899" w:rsidRDefault="00126D8D" w:rsidP="00820288">
            <w:pPr>
              <w:spacing w:line="240" w:lineRule="auto"/>
              <w:jc w:val="right"/>
              <w:rPr>
                <w:rFonts w:ascii="Times New Roman" w:hAnsi="Times New Roman" w:cs="Times New Roman"/>
                <w:sz w:val="13"/>
                <w:szCs w:val="13"/>
              </w:rPr>
            </w:pPr>
            <w:r w:rsidRPr="004A4899">
              <w:rPr>
                <w:rFonts w:ascii="Times New Roman" w:hAnsi="Times New Roman" w:cs="Times New Roman"/>
                <w:sz w:val="13"/>
                <w:szCs w:val="13"/>
              </w:rPr>
              <w:t>24.62</w:t>
            </w:r>
          </w:p>
        </w:tc>
        <w:tc>
          <w:tcPr>
            <w:tcW w:w="273" w:type="dxa"/>
            <w:noWrap/>
            <w:vAlign w:val="center"/>
            <w:hideMark/>
          </w:tcPr>
          <w:p w14:paraId="60EEE2F3" w14:textId="77777777" w:rsidR="00126D8D" w:rsidRPr="004A4899" w:rsidRDefault="00126D8D" w:rsidP="00820288">
            <w:pPr>
              <w:spacing w:line="240" w:lineRule="auto"/>
              <w:rPr>
                <w:rFonts w:ascii="Times New Roman" w:hAnsi="Times New Roman" w:cs="Times New Roman"/>
                <w:sz w:val="13"/>
                <w:szCs w:val="13"/>
              </w:rPr>
            </w:pPr>
            <w:r w:rsidRPr="004A4899">
              <w:rPr>
                <w:rFonts w:ascii="Times New Roman" w:hAnsi="Times New Roman" w:cs="Times New Roman"/>
                <w:sz w:val="13"/>
                <w:szCs w:val="13"/>
              </w:rPr>
              <w:t>c</w:t>
            </w:r>
          </w:p>
        </w:tc>
      </w:tr>
      <w:tr w:rsidR="00126D8D" w:rsidRPr="004A4899" w14:paraId="021AF1DC" w14:textId="77777777" w:rsidTr="00820288">
        <w:trPr>
          <w:trHeight w:val="173"/>
        </w:trPr>
        <w:tc>
          <w:tcPr>
            <w:tcW w:w="1440" w:type="dxa"/>
            <w:noWrap/>
            <w:vAlign w:val="center"/>
            <w:hideMark/>
          </w:tcPr>
          <w:p w14:paraId="66F659D7" w14:textId="77777777" w:rsidR="00126D8D" w:rsidRPr="004A4899" w:rsidRDefault="00126D8D" w:rsidP="00820288">
            <w:pPr>
              <w:spacing w:line="240" w:lineRule="auto"/>
              <w:rPr>
                <w:rFonts w:ascii="Times New Roman" w:hAnsi="Times New Roman" w:cs="Times New Roman"/>
                <w:sz w:val="12"/>
                <w:szCs w:val="12"/>
              </w:rPr>
            </w:pPr>
            <w:r w:rsidRPr="004A4899">
              <w:rPr>
                <w:rFonts w:ascii="Times New Roman" w:hAnsi="Times New Roman" w:cs="Times New Roman"/>
                <w:sz w:val="12"/>
                <w:szCs w:val="12"/>
              </w:rPr>
              <w:t>trans-Pinocarveol</w:t>
            </w:r>
          </w:p>
        </w:tc>
        <w:tc>
          <w:tcPr>
            <w:tcW w:w="377" w:type="dxa"/>
            <w:noWrap/>
            <w:vAlign w:val="center"/>
            <w:hideMark/>
          </w:tcPr>
          <w:p w14:paraId="13E184FE" w14:textId="77777777" w:rsidR="00126D8D" w:rsidRPr="004A4899" w:rsidRDefault="00126D8D" w:rsidP="00820288">
            <w:pPr>
              <w:spacing w:line="240" w:lineRule="auto"/>
              <w:jc w:val="right"/>
              <w:rPr>
                <w:rFonts w:ascii="Times New Roman" w:hAnsi="Times New Roman" w:cs="Times New Roman"/>
                <w:sz w:val="13"/>
                <w:szCs w:val="13"/>
              </w:rPr>
            </w:pPr>
            <w:r w:rsidRPr="004A4899">
              <w:rPr>
                <w:rFonts w:ascii="Times New Roman" w:hAnsi="Times New Roman" w:cs="Times New Roman"/>
                <w:sz w:val="13"/>
                <w:szCs w:val="13"/>
              </w:rPr>
              <w:t>4.77</w:t>
            </w:r>
          </w:p>
        </w:tc>
        <w:tc>
          <w:tcPr>
            <w:tcW w:w="274" w:type="dxa"/>
            <w:noWrap/>
            <w:vAlign w:val="center"/>
            <w:hideMark/>
          </w:tcPr>
          <w:p w14:paraId="4DB7CFBA" w14:textId="77777777" w:rsidR="00126D8D" w:rsidRPr="004A4899" w:rsidRDefault="00126D8D" w:rsidP="00820288">
            <w:pPr>
              <w:spacing w:line="240" w:lineRule="auto"/>
              <w:rPr>
                <w:rFonts w:ascii="Times New Roman" w:hAnsi="Times New Roman" w:cs="Times New Roman"/>
                <w:sz w:val="13"/>
                <w:szCs w:val="13"/>
              </w:rPr>
            </w:pPr>
            <w:r w:rsidRPr="004A4899">
              <w:rPr>
                <w:rFonts w:ascii="Times New Roman" w:hAnsi="Times New Roman" w:cs="Times New Roman"/>
                <w:sz w:val="13"/>
                <w:szCs w:val="13"/>
              </w:rPr>
              <w:t>ab</w:t>
            </w:r>
          </w:p>
        </w:tc>
        <w:tc>
          <w:tcPr>
            <w:tcW w:w="411" w:type="dxa"/>
            <w:noWrap/>
            <w:vAlign w:val="center"/>
            <w:hideMark/>
          </w:tcPr>
          <w:p w14:paraId="1FA8E90A" w14:textId="77777777" w:rsidR="00126D8D" w:rsidRPr="004A4899" w:rsidRDefault="00126D8D" w:rsidP="00820288">
            <w:pPr>
              <w:spacing w:line="240" w:lineRule="auto"/>
              <w:jc w:val="right"/>
              <w:rPr>
                <w:rFonts w:ascii="Times New Roman" w:hAnsi="Times New Roman" w:cs="Times New Roman"/>
                <w:sz w:val="13"/>
                <w:szCs w:val="13"/>
              </w:rPr>
            </w:pPr>
            <w:r w:rsidRPr="004A4899">
              <w:rPr>
                <w:rFonts w:ascii="Times New Roman" w:hAnsi="Times New Roman" w:cs="Times New Roman"/>
                <w:sz w:val="13"/>
                <w:szCs w:val="13"/>
              </w:rPr>
              <w:t>3.12</w:t>
            </w:r>
          </w:p>
        </w:tc>
        <w:tc>
          <w:tcPr>
            <w:tcW w:w="239" w:type="dxa"/>
            <w:noWrap/>
            <w:vAlign w:val="center"/>
            <w:hideMark/>
          </w:tcPr>
          <w:p w14:paraId="2E00EFA3" w14:textId="77777777" w:rsidR="00126D8D" w:rsidRPr="004A4899" w:rsidRDefault="00126D8D" w:rsidP="00820288">
            <w:pPr>
              <w:spacing w:line="240" w:lineRule="auto"/>
              <w:rPr>
                <w:rFonts w:ascii="Times New Roman" w:hAnsi="Times New Roman" w:cs="Times New Roman"/>
                <w:sz w:val="13"/>
                <w:szCs w:val="13"/>
              </w:rPr>
            </w:pPr>
            <w:r w:rsidRPr="004A4899">
              <w:rPr>
                <w:rFonts w:ascii="Times New Roman" w:hAnsi="Times New Roman" w:cs="Times New Roman"/>
                <w:sz w:val="13"/>
                <w:szCs w:val="13"/>
              </w:rPr>
              <w:t>b</w:t>
            </w:r>
          </w:p>
        </w:tc>
        <w:tc>
          <w:tcPr>
            <w:tcW w:w="377" w:type="dxa"/>
            <w:noWrap/>
            <w:vAlign w:val="center"/>
            <w:hideMark/>
          </w:tcPr>
          <w:p w14:paraId="74F6133C" w14:textId="77777777" w:rsidR="00126D8D" w:rsidRPr="004A4899" w:rsidRDefault="00126D8D" w:rsidP="00820288">
            <w:pPr>
              <w:spacing w:line="240" w:lineRule="auto"/>
              <w:jc w:val="right"/>
              <w:rPr>
                <w:rFonts w:ascii="Times New Roman" w:hAnsi="Times New Roman" w:cs="Times New Roman"/>
                <w:sz w:val="13"/>
                <w:szCs w:val="13"/>
              </w:rPr>
            </w:pPr>
            <w:r w:rsidRPr="004A4899">
              <w:rPr>
                <w:rFonts w:ascii="Times New Roman" w:hAnsi="Times New Roman" w:cs="Times New Roman"/>
                <w:sz w:val="13"/>
                <w:szCs w:val="13"/>
              </w:rPr>
              <w:t>3.67</w:t>
            </w:r>
          </w:p>
        </w:tc>
        <w:tc>
          <w:tcPr>
            <w:tcW w:w="273" w:type="dxa"/>
            <w:noWrap/>
            <w:vAlign w:val="center"/>
            <w:hideMark/>
          </w:tcPr>
          <w:p w14:paraId="1F4CC887" w14:textId="77777777" w:rsidR="00126D8D" w:rsidRPr="004A4899" w:rsidRDefault="00126D8D" w:rsidP="00820288">
            <w:pPr>
              <w:spacing w:line="240" w:lineRule="auto"/>
              <w:rPr>
                <w:rFonts w:ascii="Times New Roman" w:hAnsi="Times New Roman" w:cs="Times New Roman"/>
                <w:sz w:val="13"/>
                <w:szCs w:val="13"/>
              </w:rPr>
            </w:pPr>
            <w:r w:rsidRPr="004A4899">
              <w:rPr>
                <w:rFonts w:ascii="Times New Roman" w:hAnsi="Times New Roman" w:cs="Times New Roman"/>
                <w:sz w:val="13"/>
                <w:szCs w:val="13"/>
              </w:rPr>
              <w:t>b</w:t>
            </w:r>
          </w:p>
        </w:tc>
        <w:tc>
          <w:tcPr>
            <w:tcW w:w="377" w:type="dxa"/>
            <w:noWrap/>
            <w:vAlign w:val="center"/>
            <w:hideMark/>
          </w:tcPr>
          <w:p w14:paraId="5FB5B3E4" w14:textId="77777777" w:rsidR="00126D8D" w:rsidRPr="004A4899" w:rsidRDefault="00126D8D" w:rsidP="00820288">
            <w:pPr>
              <w:spacing w:line="240" w:lineRule="auto"/>
              <w:jc w:val="right"/>
              <w:rPr>
                <w:rFonts w:ascii="Times New Roman" w:hAnsi="Times New Roman" w:cs="Times New Roman"/>
                <w:sz w:val="13"/>
                <w:szCs w:val="13"/>
              </w:rPr>
            </w:pPr>
            <w:r w:rsidRPr="004A4899">
              <w:rPr>
                <w:rFonts w:ascii="Times New Roman" w:hAnsi="Times New Roman" w:cs="Times New Roman"/>
                <w:sz w:val="13"/>
                <w:szCs w:val="13"/>
              </w:rPr>
              <w:t>4.68</w:t>
            </w:r>
          </w:p>
        </w:tc>
        <w:tc>
          <w:tcPr>
            <w:tcW w:w="273" w:type="dxa"/>
            <w:noWrap/>
            <w:vAlign w:val="center"/>
            <w:hideMark/>
          </w:tcPr>
          <w:p w14:paraId="58C30B4B" w14:textId="77777777" w:rsidR="00126D8D" w:rsidRPr="004A4899" w:rsidRDefault="00126D8D" w:rsidP="00820288">
            <w:pPr>
              <w:spacing w:line="240" w:lineRule="auto"/>
              <w:rPr>
                <w:rFonts w:ascii="Times New Roman" w:hAnsi="Times New Roman" w:cs="Times New Roman"/>
                <w:sz w:val="13"/>
                <w:szCs w:val="13"/>
              </w:rPr>
            </w:pPr>
            <w:r w:rsidRPr="004A4899">
              <w:rPr>
                <w:rFonts w:ascii="Times New Roman" w:hAnsi="Times New Roman" w:cs="Times New Roman"/>
                <w:sz w:val="13"/>
                <w:szCs w:val="13"/>
              </w:rPr>
              <w:t>ab</w:t>
            </w:r>
          </w:p>
        </w:tc>
        <w:tc>
          <w:tcPr>
            <w:tcW w:w="377" w:type="dxa"/>
            <w:noWrap/>
            <w:vAlign w:val="center"/>
            <w:hideMark/>
          </w:tcPr>
          <w:p w14:paraId="4D951170" w14:textId="77777777" w:rsidR="00126D8D" w:rsidRPr="004A4899" w:rsidRDefault="00126D8D" w:rsidP="00820288">
            <w:pPr>
              <w:spacing w:line="240" w:lineRule="auto"/>
              <w:jc w:val="right"/>
              <w:rPr>
                <w:rFonts w:ascii="Times New Roman" w:hAnsi="Times New Roman" w:cs="Times New Roman"/>
                <w:sz w:val="13"/>
                <w:szCs w:val="13"/>
              </w:rPr>
            </w:pPr>
            <w:r w:rsidRPr="004A4899">
              <w:rPr>
                <w:rFonts w:ascii="Times New Roman" w:hAnsi="Times New Roman" w:cs="Times New Roman"/>
                <w:sz w:val="13"/>
                <w:szCs w:val="13"/>
              </w:rPr>
              <w:t>5.39</w:t>
            </w:r>
          </w:p>
        </w:tc>
        <w:tc>
          <w:tcPr>
            <w:tcW w:w="326" w:type="dxa"/>
            <w:noWrap/>
            <w:vAlign w:val="center"/>
            <w:hideMark/>
          </w:tcPr>
          <w:p w14:paraId="6ACAE3AE" w14:textId="77777777" w:rsidR="00126D8D" w:rsidRPr="004A4899" w:rsidRDefault="00126D8D" w:rsidP="00820288">
            <w:pPr>
              <w:spacing w:line="240" w:lineRule="auto"/>
              <w:rPr>
                <w:rFonts w:ascii="Times New Roman" w:hAnsi="Times New Roman" w:cs="Times New Roman"/>
                <w:sz w:val="13"/>
                <w:szCs w:val="13"/>
              </w:rPr>
            </w:pPr>
            <w:r w:rsidRPr="004A4899">
              <w:rPr>
                <w:rFonts w:ascii="Times New Roman" w:hAnsi="Times New Roman" w:cs="Times New Roman"/>
                <w:sz w:val="13"/>
                <w:szCs w:val="13"/>
              </w:rPr>
              <w:t>ab</w:t>
            </w:r>
          </w:p>
        </w:tc>
        <w:tc>
          <w:tcPr>
            <w:tcW w:w="377" w:type="dxa"/>
            <w:noWrap/>
            <w:vAlign w:val="center"/>
            <w:hideMark/>
          </w:tcPr>
          <w:p w14:paraId="048D7CEE" w14:textId="77777777" w:rsidR="00126D8D" w:rsidRPr="004A4899" w:rsidRDefault="00126D8D" w:rsidP="00820288">
            <w:pPr>
              <w:spacing w:line="240" w:lineRule="auto"/>
              <w:jc w:val="right"/>
              <w:rPr>
                <w:rFonts w:ascii="Times New Roman" w:hAnsi="Times New Roman" w:cs="Times New Roman"/>
                <w:sz w:val="13"/>
                <w:szCs w:val="13"/>
              </w:rPr>
            </w:pPr>
            <w:r w:rsidRPr="004A4899">
              <w:rPr>
                <w:rFonts w:ascii="Times New Roman" w:hAnsi="Times New Roman" w:cs="Times New Roman"/>
                <w:sz w:val="13"/>
                <w:szCs w:val="13"/>
              </w:rPr>
              <w:t>5.68</w:t>
            </w:r>
          </w:p>
        </w:tc>
        <w:tc>
          <w:tcPr>
            <w:tcW w:w="326" w:type="dxa"/>
            <w:noWrap/>
            <w:vAlign w:val="center"/>
            <w:hideMark/>
          </w:tcPr>
          <w:p w14:paraId="42FE6D89" w14:textId="77777777" w:rsidR="00126D8D" w:rsidRPr="004A4899" w:rsidRDefault="00126D8D" w:rsidP="00820288">
            <w:pPr>
              <w:spacing w:line="240" w:lineRule="auto"/>
              <w:rPr>
                <w:rFonts w:ascii="Times New Roman" w:hAnsi="Times New Roman" w:cs="Times New Roman"/>
                <w:sz w:val="13"/>
                <w:szCs w:val="13"/>
              </w:rPr>
            </w:pPr>
            <w:r w:rsidRPr="004A4899">
              <w:rPr>
                <w:rFonts w:ascii="Times New Roman" w:hAnsi="Times New Roman" w:cs="Times New Roman"/>
                <w:sz w:val="13"/>
                <w:szCs w:val="13"/>
              </w:rPr>
              <w:t>ab</w:t>
            </w:r>
          </w:p>
        </w:tc>
        <w:tc>
          <w:tcPr>
            <w:tcW w:w="377" w:type="dxa"/>
            <w:noWrap/>
            <w:vAlign w:val="center"/>
            <w:hideMark/>
          </w:tcPr>
          <w:p w14:paraId="35BCE7A7" w14:textId="77777777" w:rsidR="00126D8D" w:rsidRPr="004A4899" w:rsidRDefault="00126D8D" w:rsidP="00820288">
            <w:pPr>
              <w:spacing w:line="240" w:lineRule="auto"/>
              <w:jc w:val="right"/>
              <w:rPr>
                <w:rFonts w:ascii="Times New Roman" w:hAnsi="Times New Roman" w:cs="Times New Roman"/>
                <w:sz w:val="13"/>
                <w:szCs w:val="13"/>
              </w:rPr>
            </w:pPr>
            <w:r w:rsidRPr="004A4899">
              <w:rPr>
                <w:rFonts w:ascii="Times New Roman" w:hAnsi="Times New Roman" w:cs="Times New Roman"/>
                <w:sz w:val="13"/>
                <w:szCs w:val="13"/>
              </w:rPr>
              <w:t>6.46</w:t>
            </w:r>
          </w:p>
        </w:tc>
        <w:tc>
          <w:tcPr>
            <w:tcW w:w="219" w:type="dxa"/>
            <w:noWrap/>
            <w:vAlign w:val="center"/>
            <w:hideMark/>
          </w:tcPr>
          <w:p w14:paraId="2B0FC511" w14:textId="77777777" w:rsidR="00126D8D" w:rsidRPr="004A4899" w:rsidRDefault="00126D8D" w:rsidP="00820288">
            <w:pPr>
              <w:spacing w:line="240" w:lineRule="auto"/>
              <w:rPr>
                <w:rFonts w:ascii="Times New Roman" w:hAnsi="Times New Roman" w:cs="Times New Roman"/>
                <w:sz w:val="13"/>
                <w:szCs w:val="13"/>
              </w:rPr>
            </w:pPr>
            <w:r w:rsidRPr="004A4899">
              <w:rPr>
                <w:rFonts w:ascii="Times New Roman" w:hAnsi="Times New Roman" w:cs="Times New Roman"/>
                <w:sz w:val="13"/>
                <w:szCs w:val="13"/>
              </w:rPr>
              <w:t>ab</w:t>
            </w:r>
          </w:p>
        </w:tc>
        <w:tc>
          <w:tcPr>
            <w:tcW w:w="377" w:type="dxa"/>
            <w:noWrap/>
            <w:vAlign w:val="center"/>
            <w:hideMark/>
          </w:tcPr>
          <w:p w14:paraId="1707D706" w14:textId="77777777" w:rsidR="00126D8D" w:rsidRPr="004A4899" w:rsidRDefault="00126D8D" w:rsidP="00820288">
            <w:pPr>
              <w:spacing w:line="240" w:lineRule="auto"/>
              <w:jc w:val="right"/>
              <w:rPr>
                <w:rFonts w:ascii="Times New Roman" w:hAnsi="Times New Roman" w:cs="Times New Roman"/>
                <w:sz w:val="13"/>
                <w:szCs w:val="13"/>
              </w:rPr>
            </w:pPr>
            <w:r w:rsidRPr="004A4899">
              <w:rPr>
                <w:rFonts w:ascii="Times New Roman" w:hAnsi="Times New Roman" w:cs="Times New Roman"/>
                <w:sz w:val="13"/>
                <w:szCs w:val="13"/>
              </w:rPr>
              <w:t>6.36</w:t>
            </w:r>
          </w:p>
        </w:tc>
        <w:tc>
          <w:tcPr>
            <w:tcW w:w="159" w:type="dxa"/>
            <w:noWrap/>
            <w:vAlign w:val="center"/>
            <w:hideMark/>
          </w:tcPr>
          <w:p w14:paraId="22D0BD59" w14:textId="77777777" w:rsidR="00126D8D" w:rsidRPr="004A4899" w:rsidRDefault="00126D8D" w:rsidP="00820288">
            <w:pPr>
              <w:spacing w:line="240" w:lineRule="auto"/>
              <w:rPr>
                <w:rFonts w:ascii="Times New Roman" w:hAnsi="Times New Roman" w:cs="Times New Roman"/>
                <w:sz w:val="13"/>
                <w:szCs w:val="13"/>
              </w:rPr>
            </w:pPr>
            <w:r w:rsidRPr="004A4899">
              <w:rPr>
                <w:rFonts w:ascii="Times New Roman" w:hAnsi="Times New Roman" w:cs="Times New Roman"/>
                <w:sz w:val="13"/>
                <w:szCs w:val="13"/>
              </w:rPr>
              <w:t>ab</w:t>
            </w:r>
          </w:p>
        </w:tc>
        <w:tc>
          <w:tcPr>
            <w:tcW w:w="377" w:type="dxa"/>
            <w:noWrap/>
            <w:vAlign w:val="center"/>
            <w:hideMark/>
          </w:tcPr>
          <w:p w14:paraId="3CFCD3B4" w14:textId="77777777" w:rsidR="00126D8D" w:rsidRPr="004A4899" w:rsidRDefault="00126D8D" w:rsidP="00820288">
            <w:pPr>
              <w:spacing w:line="240" w:lineRule="auto"/>
              <w:jc w:val="right"/>
              <w:rPr>
                <w:rFonts w:ascii="Times New Roman" w:hAnsi="Times New Roman" w:cs="Times New Roman"/>
                <w:sz w:val="13"/>
                <w:szCs w:val="13"/>
              </w:rPr>
            </w:pPr>
            <w:r w:rsidRPr="004A4899">
              <w:rPr>
                <w:rFonts w:ascii="Times New Roman" w:hAnsi="Times New Roman" w:cs="Times New Roman"/>
                <w:sz w:val="13"/>
                <w:szCs w:val="13"/>
              </w:rPr>
              <w:t>7.30</w:t>
            </w:r>
          </w:p>
        </w:tc>
        <w:tc>
          <w:tcPr>
            <w:tcW w:w="326" w:type="dxa"/>
            <w:noWrap/>
            <w:vAlign w:val="center"/>
            <w:hideMark/>
          </w:tcPr>
          <w:p w14:paraId="4A526819" w14:textId="77777777" w:rsidR="00126D8D" w:rsidRPr="004A4899" w:rsidRDefault="00126D8D" w:rsidP="00820288">
            <w:pPr>
              <w:spacing w:line="240" w:lineRule="auto"/>
              <w:rPr>
                <w:rFonts w:ascii="Times New Roman" w:hAnsi="Times New Roman" w:cs="Times New Roman"/>
                <w:sz w:val="13"/>
                <w:szCs w:val="13"/>
              </w:rPr>
            </w:pPr>
            <w:r w:rsidRPr="004A4899">
              <w:rPr>
                <w:rFonts w:ascii="Times New Roman" w:hAnsi="Times New Roman" w:cs="Times New Roman"/>
                <w:sz w:val="13"/>
                <w:szCs w:val="13"/>
              </w:rPr>
              <w:t>a</w:t>
            </w:r>
          </w:p>
        </w:tc>
        <w:tc>
          <w:tcPr>
            <w:tcW w:w="377" w:type="dxa"/>
            <w:noWrap/>
            <w:vAlign w:val="center"/>
            <w:hideMark/>
          </w:tcPr>
          <w:p w14:paraId="56705A67" w14:textId="77777777" w:rsidR="00126D8D" w:rsidRPr="004A4899" w:rsidRDefault="00126D8D" w:rsidP="00820288">
            <w:pPr>
              <w:spacing w:line="240" w:lineRule="auto"/>
              <w:jc w:val="right"/>
              <w:rPr>
                <w:rFonts w:ascii="Times New Roman" w:hAnsi="Times New Roman" w:cs="Times New Roman"/>
                <w:sz w:val="13"/>
                <w:szCs w:val="13"/>
              </w:rPr>
            </w:pPr>
            <w:r w:rsidRPr="004A4899">
              <w:rPr>
                <w:rFonts w:ascii="Times New Roman" w:hAnsi="Times New Roman" w:cs="Times New Roman"/>
                <w:sz w:val="13"/>
                <w:szCs w:val="13"/>
              </w:rPr>
              <w:t>4.19</w:t>
            </w:r>
          </w:p>
        </w:tc>
        <w:tc>
          <w:tcPr>
            <w:tcW w:w="252" w:type="dxa"/>
            <w:noWrap/>
            <w:vAlign w:val="center"/>
            <w:hideMark/>
          </w:tcPr>
          <w:p w14:paraId="2F48FAA9" w14:textId="77777777" w:rsidR="00126D8D" w:rsidRPr="004A4899" w:rsidRDefault="00126D8D" w:rsidP="00820288">
            <w:pPr>
              <w:spacing w:line="240" w:lineRule="auto"/>
              <w:rPr>
                <w:rFonts w:ascii="Times New Roman" w:hAnsi="Times New Roman" w:cs="Times New Roman"/>
                <w:sz w:val="13"/>
                <w:szCs w:val="13"/>
              </w:rPr>
            </w:pPr>
            <w:r w:rsidRPr="004A4899">
              <w:rPr>
                <w:rFonts w:ascii="Times New Roman" w:hAnsi="Times New Roman" w:cs="Times New Roman"/>
                <w:sz w:val="13"/>
                <w:szCs w:val="13"/>
              </w:rPr>
              <w:t>ab</w:t>
            </w:r>
          </w:p>
        </w:tc>
        <w:tc>
          <w:tcPr>
            <w:tcW w:w="377" w:type="dxa"/>
            <w:noWrap/>
            <w:vAlign w:val="center"/>
            <w:hideMark/>
          </w:tcPr>
          <w:p w14:paraId="1DC4E5AF" w14:textId="77777777" w:rsidR="00126D8D" w:rsidRPr="004A4899" w:rsidRDefault="00126D8D" w:rsidP="00820288">
            <w:pPr>
              <w:spacing w:line="240" w:lineRule="auto"/>
              <w:jc w:val="right"/>
              <w:rPr>
                <w:rFonts w:ascii="Times New Roman" w:hAnsi="Times New Roman" w:cs="Times New Roman"/>
                <w:sz w:val="13"/>
                <w:szCs w:val="13"/>
              </w:rPr>
            </w:pPr>
            <w:r w:rsidRPr="004A4899">
              <w:rPr>
                <w:rFonts w:ascii="Times New Roman" w:hAnsi="Times New Roman" w:cs="Times New Roman"/>
                <w:sz w:val="13"/>
                <w:szCs w:val="13"/>
              </w:rPr>
              <w:t>3.66</w:t>
            </w:r>
          </w:p>
        </w:tc>
        <w:tc>
          <w:tcPr>
            <w:tcW w:w="273" w:type="dxa"/>
            <w:noWrap/>
            <w:vAlign w:val="center"/>
            <w:hideMark/>
          </w:tcPr>
          <w:p w14:paraId="25AC3E92" w14:textId="77777777" w:rsidR="00126D8D" w:rsidRPr="004A4899" w:rsidRDefault="00126D8D" w:rsidP="00820288">
            <w:pPr>
              <w:spacing w:line="240" w:lineRule="auto"/>
              <w:rPr>
                <w:rFonts w:ascii="Times New Roman" w:hAnsi="Times New Roman" w:cs="Times New Roman"/>
                <w:sz w:val="13"/>
                <w:szCs w:val="13"/>
              </w:rPr>
            </w:pPr>
            <w:r w:rsidRPr="004A4899">
              <w:rPr>
                <w:rFonts w:ascii="Times New Roman" w:hAnsi="Times New Roman" w:cs="Times New Roman"/>
                <w:sz w:val="13"/>
                <w:szCs w:val="13"/>
              </w:rPr>
              <w:t>b</w:t>
            </w:r>
          </w:p>
        </w:tc>
        <w:tc>
          <w:tcPr>
            <w:tcW w:w="377" w:type="dxa"/>
            <w:noWrap/>
            <w:vAlign w:val="center"/>
            <w:hideMark/>
          </w:tcPr>
          <w:p w14:paraId="5BE93244" w14:textId="77777777" w:rsidR="00126D8D" w:rsidRPr="004A4899" w:rsidRDefault="00126D8D" w:rsidP="00820288">
            <w:pPr>
              <w:spacing w:line="240" w:lineRule="auto"/>
              <w:jc w:val="right"/>
              <w:rPr>
                <w:rFonts w:ascii="Times New Roman" w:hAnsi="Times New Roman" w:cs="Times New Roman"/>
                <w:sz w:val="13"/>
                <w:szCs w:val="13"/>
              </w:rPr>
            </w:pPr>
            <w:r w:rsidRPr="004A4899">
              <w:rPr>
                <w:rFonts w:ascii="Times New Roman" w:hAnsi="Times New Roman" w:cs="Times New Roman"/>
                <w:sz w:val="13"/>
                <w:szCs w:val="13"/>
              </w:rPr>
              <w:t>6.27</w:t>
            </w:r>
          </w:p>
        </w:tc>
        <w:tc>
          <w:tcPr>
            <w:tcW w:w="273" w:type="dxa"/>
            <w:noWrap/>
            <w:vAlign w:val="center"/>
            <w:hideMark/>
          </w:tcPr>
          <w:p w14:paraId="1C3A42A2" w14:textId="77777777" w:rsidR="00126D8D" w:rsidRPr="004A4899" w:rsidRDefault="00126D8D" w:rsidP="00820288">
            <w:pPr>
              <w:spacing w:line="240" w:lineRule="auto"/>
              <w:rPr>
                <w:rFonts w:ascii="Times New Roman" w:hAnsi="Times New Roman" w:cs="Times New Roman"/>
                <w:sz w:val="13"/>
                <w:szCs w:val="13"/>
              </w:rPr>
            </w:pPr>
            <w:r w:rsidRPr="004A4899">
              <w:rPr>
                <w:rFonts w:ascii="Times New Roman" w:hAnsi="Times New Roman" w:cs="Times New Roman"/>
                <w:sz w:val="13"/>
                <w:szCs w:val="13"/>
              </w:rPr>
              <w:t>ab</w:t>
            </w:r>
          </w:p>
        </w:tc>
      </w:tr>
      <w:tr w:rsidR="00126D8D" w:rsidRPr="004A4899" w14:paraId="47539DA0" w14:textId="77777777" w:rsidTr="00820288">
        <w:trPr>
          <w:trHeight w:val="173"/>
        </w:trPr>
        <w:tc>
          <w:tcPr>
            <w:tcW w:w="1440" w:type="dxa"/>
            <w:noWrap/>
            <w:vAlign w:val="center"/>
            <w:hideMark/>
          </w:tcPr>
          <w:p w14:paraId="5EBD3074" w14:textId="77777777" w:rsidR="00126D8D" w:rsidRPr="004A4899" w:rsidRDefault="00126D8D" w:rsidP="00820288">
            <w:pPr>
              <w:spacing w:line="240" w:lineRule="auto"/>
              <w:rPr>
                <w:rFonts w:ascii="Times New Roman" w:hAnsi="Times New Roman" w:cs="Times New Roman"/>
                <w:sz w:val="12"/>
                <w:szCs w:val="12"/>
              </w:rPr>
            </w:pPr>
            <w:r w:rsidRPr="004A4899">
              <w:rPr>
                <w:rFonts w:ascii="Times New Roman" w:hAnsi="Times New Roman" w:cs="Times New Roman"/>
                <w:sz w:val="12"/>
                <w:szCs w:val="12"/>
              </w:rPr>
              <w:t>trans-Sabinene hydrate</w:t>
            </w:r>
          </w:p>
        </w:tc>
        <w:tc>
          <w:tcPr>
            <w:tcW w:w="377" w:type="dxa"/>
            <w:noWrap/>
            <w:vAlign w:val="center"/>
            <w:hideMark/>
          </w:tcPr>
          <w:p w14:paraId="1AF8C071" w14:textId="77777777" w:rsidR="00126D8D" w:rsidRPr="004A4899" w:rsidRDefault="00126D8D" w:rsidP="00820288">
            <w:pPr>
              <w:spacing w:line="240" w:lineRule="auto"/>
              <w:jc w:val="right"/>
              <w:rPr>
                <w:rFonts w:ascii="Times New Roman" w:hAnsi="Times New Roman" w:cs="Times New Roman"/>
                <w:sz w:val="13"/>
                <w:szCs w:val="13"/>
              </w:rPr>
            </w:pPr>
            <w:r w:rsidRPr="004A4899">
              <w:rPr>
                <w:rFonts w:ascii="Times New Roman" w:hAnsi="Times New Roman" w:cs="Times New Roman"/>
                <w:sz w:val="13"/>
                <w:szCs w:val="13"/>
              </w:rPr>
              <w:t>21.66</w:t>
            </w:r>
          </w:p>
        </w:tc>
        <w:tc>
          <w:tcPr>
            <w:tcW w:w="274" w:type="dxa"/>
            <w:noWrap/>
            <w:vAlign w:val="center"/>
            <w:hideMark/>
          </w:tcPr>
          <w:p w14:paraId="53FB618D" w14:textId="77777777" w:rsidR="00126D8D" w:rsidRPr="004A4899" w:rsidRDefault="00126D8D" w:rsidP="00820288">
            <w:pPr>
              <w:spacing w:line="240" w:lineRule="auto"/>
              <w:rPr>
                <w:rFonts w:ascii="Times New Roman" w:hAnsi="Times New Roman" w:cs="Times New Roman"/>
                <w:sz w:val="13"/>
                <w:szCs w:val="13"/>
              </w:rPr>
            </w:pPr>
            <w:r w:rsidRPr="004A4899">
              <w:rPr>
                <w:rFonts w:ascii="Times New Roman" w:hAnsi="Times New Roman" w:cs="Times New Roman"/>
                <w:sz w:val="13"/>
                <w:szCs w:val="13"/>
              </w:rPr>
              <w:t>abc</w:t>
            </w:r>
          </w:p>
        </w:tc>
        <w:tc>
          <w:tcPr>
            <w:tcW w:w="411" w:type="dxa"/>
            <w:noWrap/>
            <w:vAlign w:val="center"/>
            <w:hideMark/>
          </w:tcPr>
          <w:p w14:paraId="6DDA4865" w14:textId="77777777" w:rsidR="00126D8D" w:rsidRPr="004A4899" w:rsidRDefault="00126D8D" w:rsidP="00820288">
            <w:pPr>
              <w:spacing w:line="240" w:lineRule="auto"/>
              <w:jc w:val="right"/>
              <w:rPr>
                <w:rFonts w:ascii="Times New Roman" w:hAnsi="Times New Roman" w:cs="Times New Roman"/>
                <w:sz w:val="13"/>
                <w:szCs w:val="13"/>
              </w:rPr>
            </w:pPr>
            <w:r w:rsidRPr="004A4899">
              <w:rPr>
                <w:rFonts w:ascii="Times New Roman" w:hAnsi="Times New Roman" w:cs="Times New Roman"/>
                <w:sz w:val="13"/>
                <w:szCs w:val="13"/>
              </w:rPr>
              <w:t>17.05</w:t>
            </w:r>
          </w:p>
        </w:tc>
        <w:tc>
          <w:tcPr>
            <w:tcW w:w="239" w:type="dxa"/>
            <w:noWrap/>
            <w:vAlign w:val="center"/>
            <w:hideMark/>
          </w:tcPr>
          <w:p w14:paraId="6A18334A" w14:textId="77777777" w:rsidR="00126D8D" w:rsidRPr="004A4899" w:rsidRDefault="00126D8D" w:rsidP="00820288">
            <w:pPr>
              <w:spacing w:line="240" w:lineRule="auto"/>
              <w:rPr>
                <w:rFonts w:ascii="Times New Roman" w:hAnsi="Times New Roman" w:cs="Times New Roman"/>
                <w:sz w:val="13"/>
                <w:szCs w:val="13"/>
              </w:rPr>
            </w:pPr>
            <w:r w:rsidRPr="004A4899">
              <w:rPr>
                <w:rFonts w:ascii="Times New Roman" w:hAnsi="Times New Roman" w:cs="Times New Roman"/>
                <w:sz w:val="13"/>
                <w:szCs w:val="13"/>
              </w:rPr>
              <w:t>bcd</w:t>
            </w:r>
          </w:p>
        </w:tc>
        <w:tc>
          <w:tcPr>
            <w:tcW w:w="377" w:type="dxa"/>
            <w:noWrap/>
            <w:vAlign w:val="center"/>
            <w:hideMark/>
          </w:tcPr>
          <w:p w14:paraId="3D748D9A" w14:textId="77777777" w:rsidR="00126D8D" w:rsidRPr="004A4899" w:rsidRDefault="00126D8D" w:rsidP="00820288">
            <w:pPr>
              <w:spacing w:line="240" w:lineRule="auto"/>
              <w:jc w:val="right"/>
              <w:rPr>
                <w:rFonts w:ascii="Times New Roman" w:hAnsi="Times New Roman" w:cs="Times New Roman"/>
                <w:sz w:val="13"/>
                <w:szCs w:val="13"/>
              </w:rPr>
            </w:pPr>
            <w:r w:rsidRPr="004A4899">
              <w:rPr>
                <w:rFonts w:ascii="Times New Roman" w:hAnsi="Times New Roman" w:cs="Times New Roman"/>
                <w:sz w:val="13"/>
                <w:szCs w:val="13"/>
              </w:rPr>
              <w:t>16.98</w:t>
            </w:r>
          </w:p>
        </w:tc>
        <w:tc>
          <w:tcPr>
            <w:tcW w:w="273" w:type="dxa"/>
            <w:noWrap/>
            <w:vAlign w:val="center"/>
            <w:hideMark/>
          </w:tcPr>
          <w:p w14:paraId="3B69201E" w14:textId="77777777" w:rsidR="00126D8D" w:rsidRPr="004A4899" w:rsidRDefault="00126D8D" w:rsidP="00820288">
            <w:pPr>
              <w:spacing w:line="240" w:lineRule="auto"/>
              <w:rPr>
                <w:rFonts w:ascii="Times New Roman" w:hAnsi="Times New Roman" w:cs="Times New Roman"/>
                <w:sz w:val="13"/>
                <w:szCs w:val="13"/>
              </w:rPr>
            </w:pPr>
            <w:r w:rsidRPr="004A4899">
              <w:rPr>
                <w:rFonts w:ascii="Times New Roman" w:hAnsi="Times New Roman" w:cs="Times New Roman"/>
                <w:sz w:val="13"/>
                <w:szCs w:val="13"/>
              </w:rPr>
              <w:t>bcd</w:t>
            </w:r>
          </w:p>
        </w:tc>
        <w:tc>
          <w:tcPr>
            <w:tcW w:w="377" w:type="dxa"/>
            <w:noWrap/>
            <w:vAlign w:val="center"/>
            <w:hideMark/>
          </w:tcPr>
          <w:p w14:paraId="4B01EA33" w14:textId="77777777" w:rsidR="00126D8D" w:rsidRPr="004A4899" w:rsidRDefault="00126D8D" w:rsidP="00820288">
            <w:pPr>
              <w:spacing w:line="240" w:lineRule="auto"/>
              <w:jc w:val="right"/>
              <w:rPr>
                <w:rFonts w:ascii="Times New Roman" w:hAnsi="Times New Roman" w:cs="Times New Roman"/>
                <w:sz w:val="13"/>
                <w:szCs w:val="13"/>
              </w:rPr>
            </w:pPr>
            <w:r w:rsidRPr="004A4899">
              <w:rPr>
                <w:rFonts w:ascii="Times New Roman" w:hAnsi="Times New Roman" w:cs="Times New Roman"/>
                <w:sz w:val="13"/>
                <w:szCs w:val="13"/>
              </w:rPr>
              <w:t>25.92</w:t>
            </w:r>
          </w:p>
        </w:tc>
        <w:tc>
          <w:tcPr>
            <w:tcW w:w="273" w:type="dxa"/>
            <w:noWrap/>
            <w:vAlign w:val="center"/>
            <w:hideMark/>
          </w:tcPr>
          <w:p w14:paraId="2382956C" w14:textId="77777777" w:rsidR="00126D8D" w:rsidRPr="004A4899" w:rsidRDefault="00126D8D" w:rsidP="00820288">
            <w:pPr>
              <w:spacing w:line="240" w:lineRule="auto"/>
              <w:rPr>
                <w:rFonts w:ascii="Times New Roman" w:hAnsi="Times New Roman" w:cs="Times New Roman"/>
                <w:sz w:val="13"/>
                <w:szCs w:val="13"/>
              </w:rPr>
            </w:pPr>
            <w:r w:rsidRPr="004A4899">
              <w:rPr>
                <w:rFonts w:ascii="Times New Roman" w:hAnsi="Times New Roman" w:cs="Times New Roman"/>
                <w:sz w:val="13"/>
                <w:szCs w:val="13"/>
              </w:rPr>
              <w:t>a</w:t>
            </w:r>
          </w:p>
        </w:tc>
        <w:tc>
          <w:tcPr>
            <w:tcW w:w="377" w:type="dxa"/>
            <w:noWrap/>
            <w:vAlign w:val="center"/>
            <w:hideMark/>
          </w:tcPr>
          <w:p w14:paraId="63AB237A" w14:textId="77777777" w:rsidR="00126D8D" w:rsidRPr="004A4899" w:rsidRDefault="00126D8D" w:rsidP="00820288">
            <w:pPr>
              <w:spacing w:line="240" w:lineRule="auto"/>
              <w:jc w:val="right"/>
              <w:rPr>
                <w:rFonts w:ascii="Times New Roman" w:hAnsi="Times New Roman" w:cs="Times New Roman"/>
                <w:sz w:val="13"/>
                <w:szCs w:val="13"/>
              </w:rPr>
            </w:pPr>
            <w:r w:rsidRPr="004A4899">
              <w:rPr>
                <w:rFonts w:ascii="Times New Roman" w:hAnsi="Times New Roman" w:cs="Times New Roman"/>
                <w:sz w:val="13"/>
                <w:szCs w:val="13"/>
              </w:rPr>
              <w:t>19.65</w:t>
            </w:r>
          </w:p>
        </w:tc>
        <w:tc>
          <w:tcPr>
            <w:tcW w:w="326" w:type="dxa"/>
            <w:noWrap/>
            <w:vAlign w:val="center"/>
            <w:hideMark/>
          </w:tcPr>
          <w:p w14:paraId="377CF7F5" w14:textId="77777777" w:rsidR="00126D8D" w:rsidRPr="004A4899" w:rsidRDefault="00126D8D" w:rsidP="00820288">
            <w:pPr>
              <w:spacing w:line="240" w:lineRule="auto"/>
              <w:rPr>
                <w:rFonts w:ascii="Times New Roman" w:hAnsi="Times New Roman" w:cs="Times New Roman"/>
                <w:sz w:val="13"/>
                <w:szCs w:val="13"/>
              </w:rPr>
            </w:pPr>
            <w:r w:rsidRPr="004A4899">
              <w:rPr>
                <w:rFonts w:ascii="Times New Roman" w:hAnsi="Times New Roman" w:cs="Times New Roman"/>
                <w:sz w:val="13"/>
                <w:szCs w:val="13"/>
              </w:rPr>
              <w:t>abcd</w:t>
            </w:r>
          </w:p>
        </w:tc>
        <w:tc>
          <w:tcPr>
            <w:tcW w:w="377" w:type="dxa"/>
            <w:noWrap/>
            <w:vAlign w:val="center"/>
            <w:hideMark/>
          </w:tcPr>
          <w:p w14:paraId="5041366A" w14:textId="77777777" w:rsidR="00126D8D" w:rsidRPr="004A4899" w:rsidRDefault="00126D8D" w:rsidP="00820288">
            <w:pPr>
              <w:spacing w:line="240" w:lineRule="auto"/>
              <w:jc w:val="right"/>
              <w:rPr>
                <w:rFonts w:ascii="Times New Roman" w:hAnsi="Times New Roman" w:cs="Times New Roman"/>
                <w:sz w:val="13"/>
                <w:szCs w:val="13"/>
              </w:rPr>
            </w:pPr>
            <w:r w:rsidRPr="004A4899">
              <w:rPr>
                <w:rFonts w:ascii="Times New Roman" w:hAnsi="Times New Roman" w:cs="Times New Roman"/>
                <w:sz w:val="13"/>
                <w:szCs w:val="13"/>
              </w:rPr>
              <w:t>19.91</w:t>
            </w:r>
          </w:p>
        </w:tc>
        <w:tc>
          <w:tcPr>
            <w:tcW w:w="326" w:type="dxa"/>
            <w:noWrap/>
            <w:vAlign w:val="center"/>
            <w:hideMark/>
          </w:tcPr>
          <w:p w14:paraId="70D15420" w14:textId="77777777" w:rsidR="00126D8D" w:rsidRPr="004A4899" w:rsidRDefault="00126D8D" w:rsidP="00820288">
            <w:pPr>
              <w:spacing w:line="240" w:lineRule="auto"/>
              <w:rPr>
                <w:rFonts w:ascii="Times New Roman" w:hAnsi="Times New Roman" w:cs="Times New Roman"/>
                <w:sz w:val="13"/>
                <w:szCs w:val="13"/>
              </w:rPr>
            </w:pPr>
            <w:r w:rsidRPr="004A4899">
              <w:rPr>
                <w:rFonts w:ascii="Times New Roman" w:hAnsi="Times New Roman" w:cs="Times New Roman"/>
                <w:sz w:val="13"/>
                <w:szCs w:val="13"/>
              </w:rPr>
              <w:t>abcd</w:t>
            </w:r>
          </w:p>
        </w:tc>
        <w:tc>
          <w:tcPr>
            <w:tcW w:w="377" w:type="dxa"/>
            <w:noWrap/>
            <w:vAlign w:val="center"/>
            <w:hideMark/>
          </w:tcPr>
          <w:p w14:paraId="299544BD" w14:textId="77777777" w:rsidR="00126D8D" w:rsidRPr="004A4899" w:rsidRDefault="00126D8D" w:rsidP="00820288">
            <w:pPr>
              <w:spacing w:line="240" w:lineRule="auto"/>
              <w:jc w:val="right"/>
              <w:rPr>
                <w:rFonts w:ascii="Times New Roman" w:hAnsi="Times New Roman" w:cs="Times New Roman"/>
                <w:sz w:val="13"/>
                <w:szCs w:val="13"/>
              </w:rPr>
            </w:pPr>
            <w:r w:rsidRPr="004A4899">
              <w:rPr>
                <w:rFonts w:ascii="Times New Roman" w:hAnsi="Times New Roman" w:cs="Times New Roman"/>
                <w:sz w:val="13"/>
                <w:szCs w:val="13"/>
              </w:rPr>
              <w:t>24.47</w:t>
            </w:r>
          </w:p>
        </w:tc>
        <w:tc>
          <w:tcPr>
            <w:tcW w:w="219" w:type="dxa"/>
            <w:noWrap/>
            <w:vAlign w:val="center"/>
            <w:hideMark/>
          </w:tcPr>
          <w:p w14:paraId="5E7ADCE7" w14:textId="77777777" w:rsidR="00126D8D" w:rsidRPr="004A4899" w:rsidRDefault="00126D8D" w:rsidP="00820288">
            <w:pPr>
              <w:spacing w:line="240" w:lineRule="auto"/>
              <w:rPr>
                <w:rFonts w:ascii="Times New Roman" w:hAnsi="Times New Roman" w:cs="Times New Roman"/>
                <w:sz w:val="13"/>
                <w:szCs w:val="13"/>
              </w:rPr>
            </w:pPr>
            <w:r w:rsidRPr="004A4899">
              <w:rPr>
                <w:rFonts w:ascii="Times New Roman" w:hAnsi="Times New Roman" w:cs="Times New Roman"/>
                <w:sz w:val="13"/>
                <w:szCs w:val="13"/>
              </w:rPr>
              <w:t>ab</w:t>
            </w:r>
          </w:p>
        </w:tc>
        <w:tc>
          <w:tcPr>
            <w:tcW w:w="377" w:type="dxa"/>
            <w:noWrap/>
            <w:vAlign w:val="center"/>
            <w:hideMark/>
          </w:tcPr>
          <w:p w14:paraId="2A796662" w14:textId="77777777" w:rsidR="00126D8D" w:rsidRPr="004A4899" w:rsidRDefault="00126D8D" w:rsidP="00820288">
            <w:pPr>
              <w:spacing w:line="240" w:lineRule="auto"/>
              <w:jc w:val="right"/>
              <w:rPr>
                <w:rFonts w:ascii="Times New Roman" w:hAnsi="Times New Roman" w:cs="Times New Roman"/>
                <w:sz w:val="13"/>
                <w:szCs w:val="13"/>
              </w:rPr>
            </w:pPr>
            <w:r w:rsidRPr="004A4899">
              <w:rPr>
                <w:rFonts w:ascii="Times New Roman" w:hAnsi="Times New Roman" w:cs="Times New Roman"/>
                <w:sz w:val="13"/>
                <w:szCs w:val="13"/>
              </w:rPr>
              <w:t>25.63</w:t>
            </w:r>
          </w:p>
        </w:tc>
        <w:tc>
          <w:tcPr>
            <w:tcW w:w="159" w:type="dxa"/>
            <w:noWrap/>
            <w:vAlign w:val="center"/>
            <w:hideMark/>
          </w:tcPr>
          <w:p w14:paraId="0E5976A0" w14:textId="77777777" w:rsidR="00126D8D" w:rsidRPr="004A4899" w:rsidRDefault="00126D8D" w:rsidP="00820288">
            <w:pPr>
              <w:spacing w:line="240" w:lineRule="auto"/>
              <w:rPr>
                <w:rFonts w:ascii="Times New Roman" w:hAnsi="Times New Roman" w:cs="Times New Roman"/>
                <w:sz w:val="13"/>
                <w:szCs w:val="13"/>
              </w:rPr>
            </w:pPr>
            <w:r w:rsidRPr="004A4899">
              <w:rPr>
                <w:rFonts w:ascii="Times New Roman" w:hAnsi="Times New Roman" w:cs="Times New Roman"/>
                <w:sz w:val="13"/>
                <w:szCs w:val="13"/>
              </w:rPr>
              <w:t>a</w:t>
            </w:r>
          </w:p>
        </w:tc>
        <w:tc>
          <w:tcPr>
            <w:tcW w:w="377" w:type="dxa"/>
            <w:noWrap/>
            <w:vAlign w:val="center"/>
            <w:hideMark/>
          </w:tcPr>
          <w:p w14:paraId="1928945F" w14:textId="77777777" w:rsidR="00126D8D" w:rsidRPr="004A4899" w:rsidRDefault="00126D8D" w:rsidP="00820288">
            <w:pPr>
              <w:spacing w:line="240" w:lineRule="auto"/>
              <w:jc w:val="right"/>
              <w:rPr>
                <w:rFonts w:ascii="Times New Roman" w:hAnsi="Times New Roman" w:cs="Times New Roman"/>
                <w:sz w:val="13"/>
                <w:szCs w:val="13"/>
              </w:rPr>
            </w:pPr>
            <w:r w:rsidRPr="004A4899">
              <w:rPr>
                <w:rFonts w:ascii="Times New Roman" w:hAnsi="Times New Roman" w:cs="Times New Roman"/>
                <w:sz w:val="13"/>
                <w:szCs w:val="13"/>
              </w:rPr>
              <w:t>19.90</w:t>
            </w:r>
          </w:p>
        </w:tc>
        <w:tc>
          <w:tcPr>
            <w:tcW w:w="326" w:type="dxa"/>
            <w:noWrap/>
            <w:vAlign w:val="center"/>
            <w:hideMark/>
          </w:tcPr>
          <w:p w14:paraId="44D0B57C" w14:textId="77777777" w:rsidR="00126D8D" w:rsidRPr="004A4899" w:rsidRDefault="00126D8D" w:rsidP="00820288">
            <w:pPr>
              <w:spacing w:line="240" w:lineRule="auto"/>
              <w:rPr>
                <w:rFonts w:ascii="Times New Roman" w:hAnsi="Times New Roman" w:cs="Times New Roman"/>
                <w:sz w:val="13"/>
                <w:szCs w:val="13"/>
              </w:rPr>
            </w:pPr>
            <w:r w:rsidRPr="004A4899">
              <w:rPr>
                <w:rFonts w:ascii="Times New Roman" w:hAnsi="Times New Roman" w:cs="Times New Roman"/>
                <w:sz w:val="13"/>
                <w:szCs w:val="13"/>
              </w:rPr>
              <w:t>abcd</w:t>
            </w:r>
          </w:p>
        </w:tc>
        <w:tc>
          <w:tcPr>
            <w:tcW w:w="377" w:type="dxa"/>
            <w:noWrap/>
            <w:vAlign w:val="center"/>
            <w:hideMark/>
          </w:tcPr>
          <w:p w14:paraId="15CF4000" w14:textId="77777777" w:rsidR="00126D8D" w:rsidRPr="004A4899" w:rsidRDefault="00126D8D" w:rsidP="00820288">
            <w:pPr>
              <w:spacing w:line="240" w:lineRule="auto"/>
              <w:jc w:val="right"/>
              <w:rPr>
                <w:rFonts w:ascii="Times New Roman" w:hAnsi="Times New Roman" w:cs="Times New Roman"/>
                <w:sz w:val="13"/>
                <w:szCs w:val="13"/>
              </w:rPr>
            </w:pPr>
            <w:r w:rsidRPr="004A4899">
              <w:rPr>
                <w:rFonts w:ascii="Times New Roman" w:hAnsi="Times New Roman" w:cs="Times New Roman"/>
                <w:sz w:val="13"/>
                <w:szCs w:val="13"/>
              </w:rPr>
              <w:t>15.51</w:t>
            </w:r>
          </w:p>
        </w:tc>
        <w:tc>
          <w:tcPr>
            <w:tcW w:w="252" w:type="dxa"/>
            <w:noWrap/>
            <w:vAlign w:val="center"/>
            <w:hideMark/>
          </w:tcPr>
          <w:p w14:paraId="4AD6ED55" w14:textId="77777777" w:rsidR="00126D8D" w:rsidRPr="004A4899" w:rsidRDefault="00126D8D" w:rsidP="00820288">
            <w:pPr>
              <w:spacing w:line="240" w:lineRule="auto"/>
              <w:rPr>
                <w:rFonts w:ascii="Times New Roman" w:hAnsi="Times New Roman" w:cs="Times New Roman"/>
                <w:sz w:val="13"/>
                <w:szCs w:val="13"/>
              </w:rPr>
            </w:pPr>
            <w:r w:rsidRPr="004A4899">
              <w:rPr>
                <w:rFonts w:ascii="Times New Roman" w:hAnsi="Times New Roman" w:cs="Times New Roman"/>
                <w:sz w:val="13"/>
                <w:szCs w:val="13"/>
              </w:rPr>
              <w:t>cd</w:t>
            </w:r>
          </w:p>
        </w:tc>
        <w:tc>
          <w:tcPr>
            <w:tcW w:w="377" w:type="dxa"/>
            <w:noWrap/>
            <w:vAlign w:val="center"/>
            <w:hideMark/>
          </w:tcPr>
          <w:p w14:paraId="325BAB99" w14:textId="77777777" w:rsidR="00126D8D" w:rsidRPr="004A4899" w:rsidRDefault="00126D8D" w:rsidP="00820288">
            <w:pPr>
              <w:spacing w:line="240" w:lineRule="auto"/>
              <w:jc w:val="right"/>
              <w:rPr>
                <w:rFonts w:ascii="Times New Roman" w:hAnsi="Times New Roman" w:cs="Times New Roman"/>
                <w:sz w:val="13"/>
                <w:szCs w:val="13"/>
              </w:rPr>
            </w:pPr>
            <w:r w:rsidRPr="004A4899">
              <w:rPr>
                <w:rFonts w:ascii="Times New Roman" w:hAnsi="Times New Roman" w:cs="Times New Roman"/>
                <w:sz w:val="13"/>
                <w:szCs w:val="13"/>
              </w:rPr>
              <w:t>15.57</w:t>
            </w:r>
          </w:p>
        </w:tc>
        <w:tc>
          <w:tcPr>
            <w:tcW w:w="273" w:type="dxa"/>
            <w:noWrap/>
            <w:vAlign w:val="center"/>
            <w:hideMark/>
          </w:tcPr>
          <w:p w14:paraId="01D2DEA2" w14:textId="77777777" w:rsidR="00126D8D" w:rsidRPr="004A4899" w:rsidRDefault="00126D8D" w:rsidP="00820288">
            <w:pPr>
              <w:spacing w:line="240" w:lineRule="auto"/>
              <w:rPr>
                <w:rFonts w:ascii="Times New Roman" w:hAnsi="Times New Roman" w:cs="Times New Roman"/>
                <w:sz w:val="13"/>
                <w:szCs w:val="13"/>
              </w:rPr>
            </w:pPr>
            <w:r w:rsidRPr="004A4899">
              <w:rPr>
                <w:rFonts w:ascii="Times New Roman" w:hAnsi="Times New Roman" w:cs="Times New Roman"/>
                <w:sz w:val="13"/>
                <w:szCs w:val="13"/>
              </w:rPr>
              <w:t>cd</w:t>
            </w:r>
          </w:p>
        </w:tc>
        <w:tc>
          <w:tcPr>
            <w:tcW w:w="377" w:type="dxa"/>
            <w:noWrap/>
            <w:vAlign w:val="center"/>
            <w:hideMark/>
          </w:tcPr>
          <w:p w14:paraId="11B39C5C" w14:textId="77777777" w:rsidR="00126D8D" w:rsidRPr="004A4899" w:rsidRDefault="00126D8D" w:rsidP="00820288">
            <w:pPr>
              <w:spacing w:line="240" w:lineRule="auto"/>
              <w:jc w:val="right"/>
              <w:rPr>
                <w:rFonts w:ascii="Times New Roman" w:hAnsi="Times New Roman" w:cs="Times New Roman"/>
                <w:sz w:val="13"/>
                <w:szCs w:val="13"/>
              </w:rPr>
            </w:pPr>
            <w:r w:rsidRPr="004A4899">
              <w:rPr>
                <w:rFonts w:ascii="Times New Roman" w:hAnsi="Times New Roman" w:cs="Times New Roman"/>
                <w:sz w:val="13"/>
                <w:szCs w:val="13"/>
              </w:rPr>
              <w:t>13.09</w:t>
            </w:r>
          </w:p>
        </w:tc>
        <w:tc>
          <w:tcPr>
            <w:tcW w:w="273" w:type="dxa"/>
            <w:noWrap/>
            <w:vAlign w:val="center"/>
            <w:hideMark/>
          </w:tcPr>
          <w:p w14:paraId="32822F0C" w14:textId="77777777" w:rsidR="00126D8D" w:rsidRPr="004A4899" w:rsidRDefault="00126D8D" w:rsidP="00820288">
            <w:pPr>
              <w:spacing w:line="240" w:lineRule="auto"/>
              <w:rPr>
                <w:rFonts w:ascii="Times New Roman" w:hAnsi="Times New Roman" w:cs="Times New Roman"/>
                <w:sz w:val="13"/>
                <w:szCs w:val="13"/>
              </w:rPr>
            </w:pPr>
            <w:r w:rsidRPr="004A4899">
              <w:rPr>
                <w:rFonts w:ascii="Times New Roman" w:hAnsi="Times New Roman" w:cs="Times New Roman"/>
                <w:sz w:val="13"/>
                <w:szCs w:val="13"/>
              </w:rPr>
              <w:t>d</w:t>
            </w:r>
          </w:p>
        </w:tc>
      </w:tr>
      <w:tr w:rsidR="00126D8D" w:rsidRPr="004A4899" w14:paraId="5514B8F6" w14:textId="77777777" w:rsidTr="00820288">
        <w:trPr>
          <w:trHeight w:val="173"/>
        </w:trPr>
        <w:tc>
          <w:tcPr>
            <w:tcW w:w="1440" w:type="dxa"/>
            <w:noWrap/>
            <w:vAlign w:val="center"/>
            <w:hideMark/>
          </w:tcPr>
          <w:p w14:paraId="6DD2DACA" w14:textId="77777777" w:rsidR="00126D8D" w:rsidRPr="004A4899" w:rsidRDefault="00126D8D" w:rsidP="00820288">
            <w:pPr>
              <w:spacing w:line="240" w:lineRule="auto"/>
              <w:rPr>
                <w:rFonts w:ascii="Times New Roman" w:hAnsi="Times New Roman" w:cs="Times New Roman"/>
                <w:sz w:val="12"/>
                <w:szCs w:val="12"/>
              </w:rPr>
            </w:pPr>
            <w:r w:rsidRPr="004A4899">
              <w:rPr>
                <w:rFonts w:ascii="Times New Roman" w:hAnsi="Times New Roman" w:cs="Times New Roman"/>
                <w:sz w:val="12"/>
                <w:szCs w:val="12"/>
              </w:rPr>
              <w:t>α-Pinene</w:t>
            </w:r>
          </w:p>
        </w:tc>
        <w:tc>
          <w:tcPr>
            <w:tcW w:w="377" w:type="dxa"/>
            <w:noWrap/>
            <w:vAlign w:val="center"/>
            <w:hideMark/>
          </w:tcPr>
          <w:p w14:paraId="4D206527" w14:textId="77777777" w:rsidR="00126D8D" w:rsidRPr="004A4899" w:rsidRDefault="00126D8D" w:rsidP="00820288">
            <w:pPr>
              <w:spacing w:line="240" w:lineRule="auto"/>
              <w:jc w:val="right"/>
              <w:rPr>
                <w:rFonts w:ascii="Times New Roman" w:hAnsi="Times New Roman" w:cs="Times New Roman"/>
                <w:sz w:val="13"/>
                <w:szCs w:val="13"/>
              </w:rPr>
            </w:pPr>
            <w:r w:rsidRPr="004A4899">
              <w:rPr>
                <w:rFonts w:ascii="Times New Roman" w:hAnsi="Times New Roman" w:cs="Times New Roman"/>
                <w:sz w:val="13"/>
                <w:szCs w:val="13"/>
              </w:rPr>
              <w:t>28.39</w:t>
            </w:r>
          </w:p>
        </w:tc>
        <w:tc>
          <w:tcPr>
            <w:tcW w:w="274" w:type="dxa"/>
            <w:noWrap/>
            <w:vAlign w:val="center"/>
            <w:hideMark/>
          </w:tcPr>
          <w:p w14:paraId="6ED5670D" w14:textId="77777777" w:rsidR="00126D8D" w:rsidRPr="004A4899" w:rsidRDefault="00126D8D" w:rsidP="00820288">
            <w:pPr>
              <w:spacing w:line="240" w:lineRule="auto"/>
              <w:rPr>
                <w:rFonts w:ascii="Times New Roman" w:hAnsi="Times New Roman" w:cs="Times New Roman"/>
                <w:sz w:val="13"/>
                <w:szCs w:val="13"/>
              </w:rPr>
            </w:pPr>
            <w:r w:rsidRPr="004A4899">
              <w:rPr>
                <w:rFonts w:ascii="Times New Roman" w:hAnsi="Times New Roman" w:cs="Times New Roman"/>
                <w:sz w:val="13"/>
                <w:szCs w:val="13"/>
              </w:rPr>
              <w:t>bcd</w:t>
            </w:r>
          </w:p>
        </w:tc>
        <w:tc>
          <w:tcPr>
            <w:tcW w:w="411" w:type="dxa"/>
            <w:noWrap/>
            <w:vAlign w:val="center"/>
            <w:hideMark/>
          </w:tcPr>
          <w:p w14:paraId="0BDF4E6B" w14:textId="77777777" w:rsidR="00126D8D" w:rsidRPr="004A4899" w:rsidRDefault="00126D8D" w:rsidP="00820288">
            <w:pPr>
              <w:spacing w:line="240" w:lineRule="auto"/>
              <w:jc w:val="right"/>
              <w:rPr>
                <w:rFonts w:ascii="Times New Roman" w:hAnsi="Times New Roman" w:cs="Times New Roman"/>
                <w:sz w:val="13"/>
                <w:szCs w:val="13"/>
              </w:rPr>
            </w:pPr>
            <w:r w:rsidRPr="004A4899">
              <w:rPr>
                <w:rFonts w:ascii="Times New Roman" w:hAnsi="Times New Roman" w:cs="Times New Roman"/>
                <w:sz w:val="13"/>
                <w:szCs w:val="13"/>
              </w:rPr>
              <w:t>16.60</w:t>
            </w:r>
          </w:p>
        </w:tc>
        <w:tc>
          <w:tcPr>
            <w:tcW w:w="239" w:type="dxa"/>
            <w:noWrap/>
            <w:vAlign w:val="center"/>
            <w:hideMark/>
          </w:tcPr>
          <w:p w14:paraId="10D0198B" w14:textId="77777777" w:rsidR="00126D8D" w:rsidRPr="004A4899" w:rsidRDefault="00126D8D" w:rsidP="00820288">
            <w:pPr>
              <w:spacing w:line="240" w:lineRule="auto"/>
              <w:rPr>
                <w:rFonts w:ascii="Times New Roman" w:hAnsi="Times New Roman" w:cs="Times New Roman"/>
                <w:sz w:val="13"/>
                <w:szCs w:val="13"/>
              </w:rPr>
            </w:pPr>
            <w:r w:rsidRPr="004A4899">
              <w:rPr>
                <w:rFonts w:ascii="Times New Roman" w:hAnsi="Times New Roman" w:cs="Times New Roman"/>
                <w:sz w:val="13"/>
                <w:szCs w:val="13"/>
              </w:rPr>
              <w:t>d</w:t>
            </w:r>
          </w:p>
        </w:tc>
        <w:tc>
          <w:tcPr>
            <w:tcW w:w="377" w:type="dxa"/>
            <w:noWrap/>
            <w:vAlign w:val="center"/>
            <w:hideMark/>
          </w:tcPr>
          <w:p w14:paraId="1A70A597" w14:textId="77777777" w:rsidR="00126D8D" w:rsidRPr="004A4899" w:rsidRDefault="00126D8D" w:rsidP="00820288">
            <w:pPr>
              <w:spacing w:line="240" w:lineRule="auto"/>
              <w:jc w:val="right"/>
              <w:rPr>
                <w:rFonts w:ascii="Times New Roman" w:hAnsi="Times New Roman" w:cs="Times New Roman"/>
                <w:sz w:val="13"/>
                <w:szCs w:val="13"/>
              </w:rPr>
            </w:pPr>
            <w:r w:rsidRPr="004A4899">
              <w:rPr>
                <w:rFonts w:ascii="Times New Roman" w:hAnsi="Times New Roman" w:cs="Times New Roman"/>
                <w:sz w:val="13"/>
                <w:szCs w:val="13"/>
              </w:rPr>
              <w:t>23.75</w:t>
            </w:r>
          </w:p>
        </w:tc>
        <w:tc>
          <w:tcPr>
            <w:tcW w:w="273" w:type="dxa"/>
            <w:noWrap/>
            <w:vAlign w:val="center"/>
            <w:hideMark/>
          </w:tcPr>
          <w:p w14:paraId="6E8D5F41" w14:textId="77777777" w:rsidR="00126D8D" w:rsidRPr="004A4899" w:rsidRDefault="00126D8D" w:rsidP="00820288">
            <w:pPr>
              <w:spacing w:line="240" w:lineRule="auto"/>
              <w:rPr>
                <w:rFonts w:ascii="Times New Roman" w:hAnsi="Times New Roman" w:cs="Times New Roman"/>
                <w:sz w:val="13"/>
                <w:szCs w:val="13"/>
              </w:rPr>
            </w:pPr>
            <w:r w:rsidRPr="004A4899">
              <w:rPr>
                <w:rFonts w:ascii="Times New Roman" w:hAnsi="Times New Roman" w:cs="Times New Roman"/>
                <w:sz w:val="13"/>
                <w:szCs w:val="13"/>
              </w:rPr>
              <w:t>bcd</w:t>
            </w:r>
          </w:p>
        </w:tc>
        <w:tc>
          <w:tcPr>
            <w:tcW w:w="377" w:type="dxa"/>
            <w:noWrap/>
            <w:vAlign w:val="center"/>
            <w:hideMark/>
          </w:tcPr>
          <w:p w14:paraId="408C32CE" w14:textId="77777777" w:rsidR="00126D8D" w:rsidRPr="004A4899" w:rsidRDefault="00126D8D" w:rsidP="00820288">
            <w:pPr>
              <w:spacing w:line="240" w:lineRule="auto"/>
              <w:jc w:val="right"/>
              <w:rPr>
                <w:rFonts w:ascii="Times New Roman" w:hAnsi="Times New Roman" w:cs="Times New Roman"/>
                <w:sz w:val="13"/>
                <w:szCs w:val="13"/>
              </w:rPr>
            </w:pPr>
            <w:r w:rsidRPr="004A4899">
              <w:rPr>
                <w:rFonts w:ascii="Times New Roman" w:hAnsi="Times New Roman" w:cs="Times New Roman"/>
                <w:sz w:val="13"/>
                <w:szCs w:val="13"/>
              </w:rPr>
              <w:t>32.82</w:t>
            </w:r>
          </w:p>
        </w:tc>
        <w:tc>
          <w:tcPr>
            <w:tcW w:w="273" w:type="dxa"/>
            <w:noWrap/>
            <w:vAlign w:val="center"/>
            <w:hideMark/>
          </w:tcPr>
          <w:p w14:paraId="5D85DBC8" w14:textId="77777777" w:rsidR="00126D8D" w:rsidRPr="004A4899" w:rsidRDefault="00126D8D" w:rsidP="00820288">
            <w:pPr>
              <w:spacing w:line="240" w:lineRule="auto"/>
              <w:rPr>
                <w:rFonts w:ascii="Times New Roman" w:hAnsi="Times New Roman" w:cs="Times New Roman"/>
                <w:sz w:val="13"/>
                <w:szCs w:val="13"/>
              </w:rPr>
            </w:pPr>
            <w:r w:rsidRPr="004A4899">
              <w:rPr>
                <w:rFonts w:ascii="Times New Roman" w:hAnsi="Times New Roman" w:cs="Times New Roman"/>
                <w:sz w:val="13"/>
                <w:szCs w:val="13"/>
              </w:rPr>
              <w:t>ab</w:t>
            </w:r>
          </w:p>
        </w:tc>
        <w:tc>
          <w:tcPr>
            <w:tcW w:w="377" w:type="dxa"/>
            <w:noWrap/>
            <w:vAlign w:val="center"/>
            <w:hideMark/>
          </w:tcPr>
          <w:p w14:paraId="734D646A" w14:textId="77777777" w:rsidR="00126D8D" w:rsidRPr="004A4899" w:rsidRDefault="00126D8D" w:rsidP="00820288">
            <w:pPr>
              <w:spacing w:line="240" w:lineRule="auto"/>
              <w:jc w:val="right"/>
              <w:rPr>
                <w:rFonts w:ascii="Times New Roman" w:hAnsi="Times New Roman" w:cs="Times New Roman"/>
                <w:sz w:val="13"/>
                <w:szCs w:val="13"/>
              </w:rPr>
            </w:pPr>
            <w:r w:rsidRPr="004A4899">
              <w:rPr>
                <w:rFonts w:ascii="Times New Roman" w:hAnsi="Times New Roman" w:cs="Times New Roman"/>
                <w:sz w:val="13"/>
                <w:szCs w:val="13"/>
              </w:rPr>
              <w:t>29.58</w:t>
            </w:r>
          </w:p>
        </w:tc>
        <w:tc>
          <w:tcPr>
            <w:tcW w:w="326" w:type="dxa"/>
            <w:noWrap/>
            <w:vAlign w:val="center"/>
            <w:hideMark/>
          </w:tcPr>
          <w:p w14:paraId="7B1231C3" w14:textId="77777777" w:rsidR="00126D8D" w:rsidRPr="004A4899" w:rsidRDefault="00126D8D" w:rsidP="00820288">
            <w:pPr>
              <w:spacing w:line="240" w:lineRule="auto"/>
              <w:rPr>
                <w:rFonts w:ascii="Times New Roman" w:hAnsi="Times New Roman" w:cs="Times New Roman"/>
                <w:sz w:val="13"/>
                <w:szCs w:val="13"/>
              </w:rPr>
            </w:pPr>
            <w:r w:rsidRPr="004A4899">
              <w:rPr>
                <w:rFonts w:ascii="Times New Roman" w:hAnsi="Times New Roman" w:cs="Times New Roman"/>
                <w:sz w:val="13"/>
                <w:szCs w:val="13"/>
              </w:rPr>
              <w:t>bc</w:t>
            </w:r>
          </w:p>
        </w:tc>
        <w:tc>
          <w:tcPr>
            <w:tcW w:w="377" w:type="dxa"/>
            <w:noWrap/>
            <w:vAlign w:val="center"/>
            <w:hideMark/>
          </w:tcPr>
          <w:p w14:paraId="040BFE67" w14:textId="77777777" w:rsidR="00126D8D" w:rsidRPr="004A4899" w:rsidRDefault="00126D8D" w:rsidP="00820288">
            <w:pPr>
              <w:spacing w:line="240" w:lineRule="auto"/>
              <w:jc w:val="right"/>
              <w:rPr>
                <w:rFonts w:ascii="Times New Roman" w:hAnsi="Times New Roman" w:cs="Times New Roman"/>
                <w:sz w:val="13"/>
                <w:szCs w:val="13"/>
              </w:rPr>
            </w:pPr>
            <w:r w:rsidRPr="004A4899">
              <w:rPr>
                <w:rFonts w:ascii="Times New Roman" w:hAnsi="Times New Roman" w:cs="Times New Roman"/>
                <w:sz w:val="13"/>
                <w:szCs w:val="13"/>
              </w:rPr>
              <w:t>24.52</w:t>
            </w:r>
          </w:p>
        </w:tc>
        <w:tc>
          <w:tcPr>
            <w:tcW w:w="326" w:type="dxa"/>
            <w:noWrap/>
            <w:vAlign w:val="center"/>
            <w:hideMark/>
          </w:tcPr>
          <w:p w14:paraId="5B2B72EF" w14:textId="77777777" w:rsidR="00126D8D" w:rsidRPr="004A4899" w:rsidRDefault="00126D8D" w:rsidP="00820288">
            <w:pPr>
              <w:spacing w:line="240" w:lineRule="auto"/>
              <w:rPr>
                <w:rFonts w:ascii="Times New Roman" w:hAnsi="Times New Roman" w:cs="Times New Roman"/>
                <w:sz w:val="13"/>
                <w:szCs w:val="13"/>
              </w:rPr>
            </w:pPr>
            <w:r w:rsidRPr="004A4899">
              <w:rPr>
                <w:rFonts w:ascii="Times New Roman" w:hAnsi="Times New Roman" w:cs="Times New Roman"/>
                <w:sz w:val="13"/>
                <w:szCs w:val="13"/>
              </w:rPr>
              <w:t>bcd</w:t>
            </w:r>
          </w:p>
        </w:tc>
        <w:tc>
          <w:tcPr>
            <w:tcW w:w="377" w:type="dxa"/>
            <w:noWrap/>
            <w:vAlign w:val="center"/>
            <w:hideMark/>
          </w:tcPr>
          <w:p w14:paraId="2CE51989" w14:textId="77777777" w:rsidR="00126D8D" w:rsidRPr="004A4899" w:rsidRDefault="00126D8D" w:rsidP="00820288">
            <w:pPr>
              <w:spacing w:line="240" w:lineRule="auto"/>
              <w:jc w:val="right"/>
              <w:rPr>
                <w:rFonts w:ascii="Times New Roman" w:hAnsi="Times New Roman" w:cs="Times New Roman"/>
                <w:sz w:val="13"/>
                <w:szCs w:val="13"/>
              </w:rPr>
            </w:pPr>
            <w:r w:rsidRPr="004A4899">
              <w:rPr>
                <w:rFonts w:ascii="Times New Roman" w:hAnsi="Times New Roman" w:cs="Times New Roman"/>
                <w:sz w:val="13"/>
                <w:szCs w:val="13"/>
              </w:rPr>
              <w:t>41.75</w:t>
            </w:r>
          </w:p>
        </w:tc>
        <w:tc>
          <w:tcPr>
            <w:tcW w:w="219" w:type="dxa"/>
            <w:noWrap/>
            <w:vAlign w:val="center"/>
            <w:hideMark/>
          </w:tcPr>
          <w:p w14:paraId="6C116705" w14:textId="77777777" w:rsidR="00126D8D" w:rsidRPr="004A4899" w:rsidRDefault="00126D8D" w:rsidP="00820288">
            <w:pPr>
              <w:spacing w:line="240" w:lineRule="auto"/>
              <w:rPr>
                <w:rFonts w:ascii="Times New Roman" w:hAnsi="Times New Roman" w:cs="Times New Roman"/>
                <w:sz w:val="13"/>
                <w:szCs w:val="13"/>
              </w:rPr>
            </w:pPr>
            <w:r w:rsidRPr="004A4899">
              <w:rPr>
                <w:rFonts w:ascii="Times New Roman" w:hAnsi="Times New Roman" w:cs="Times New Roman"/>
                <w:sz w:val="13"/>
                <w:szCs w:val="13"/>
              </w:rPr>
              <w:t>a</w:t>
            </w:r>
          </w:p>
        </w:tc>
        <w:tc>
          <w:tcPr>
            <w:tcW w:w="377" w:type="dxa"/>
            <w:noWrap/>
            <w:vAlign w:val="center"/>
            <w:hideMark/>
          </w:tcPr>
          <w:p w14:paraId="72AA2B3E" w14:textId="77777777" w:rsidR="00126D8D" w:rsidRPr="004A4899" w:rsidRDefault="00126D8D" w:rsidP="00820288">
            <w:pPr>
              <w:spacing w:line="240" w:lineRule="auto"/>
              <w:jc w:val="right"/>
              <w:rPr>
                <w:rFonts w:ascii="Times New Roman" w:hAnsi="Times New Roman" w:cs="Times New Roman"/>
                <w:sz w:val="13"/>
                <w:szCs w:val="13"/>
              </w:rPr>
            </w:pPr>
            <w:r w:rsidRPr="004A4899">
              <w:rPr>
                <w:rFonts w:ascii="Times New Roman" w:hAnsi="Times New Roman" w:cs="Times New Roman"/>
                <w:sz w:val="13"/>
                <w:szCs w:val="13"/>
              </w:rPr>
              <w:t>41.74</w:t>
            </w:r>
          </w:p>
        </w:tc>
        <w:tc>
          <w:tcPr>
            <w:tcW w:w="159" w:type="dxa"/>
            <w:noWrap/>
            <w:vAlign w:val="center"/>
            <w:hideMark/>
          </w:tcPr>
          <w:p w14:paraId="0549D041" w14:textId="77777777" w:rsidR="00126D8D" w:rsidRPr="004A4899" w:rsidRDefault="00126D8D" w:rsidP="00820288">
            <w:pPr>
              <w:spacing w:line="240" w:lineRule="auto"/>
              <w:rPr>
                <w:rFonts w:ascii="Times New Roman" w:hAnsi="Times New Roman" w:cs="Times New Roman"/>
                <w:sz w:val="13"/>
                <w:szCs w:val="13"/>
              </w:rPr>
            </w:pPr>
            <w:r w:rsidRPr="004A4899">
              <w:rPr>
                <w:rFonts w:ascii="Times New Roman" w:hAnsi="Times New Roman" w:cs="Times New Roman"/>
                <w:sz w:val="13"/>
                <w:szCs w:val="13"/>
              </w:rPr>
              <w:t>a</w:t>
            </w:r>
          </w:p>
        </w:tc>
        <w:tc>
          <w:tcPr>
            <w:tcW w:w="377" w:type="dxa"/>
            <w:noWrap/>
            <w:vAlign w:val="center"/>
            <w:hideMark/>
          </w:tcPr>
          <w:p w14:paraId="7BC70249" w14:textId="77777777" w:rsidR="00126D8D" w:rsidRPr="004A4899" w:rsidRDefault="00126D8D" w:rsidP="00820288">
            <w:pPr>
              <w:spacing w:line="240" w:lineRule="auto"/>
              <w:jc w:val="right"/>
              <w:rPr>
                <w:rFonts w:ascii="Times New Roman" w:hAnsi="Times New Roman" w:cs="Times New Roman"/>
                <w:sz w:val="13"/>
                <w:szCs w:val="13"/>
              </w:rPr>
            </w:pPr>
            <w:r w:rsidRPr="004A4899">
              <w:rPr>
                <w:rFonts w:ascii="Times New Roman" w:hAnsi="Times New Roman" w:cs="Times New Roman"/>
                <w:sz w:val="13"/>
                <w:szCs w:val="13"/>
              </w:rPr>
              <w:t>30.10</w:t>
            </w:r>
          </w:p>
        </w:tc>
        <w:tc>
          <w:tcPr>
            <w:tcW w:w="326" w:type="dxa"/>
            <w:noWrap/>
            <w:vAlign w:val="center"/>
            <w:hideMark/>
          </w:tcPr>
          <w:p w14:paraId="1CAF9EF6" w14:textId="77777777" w:rsidR="00126D8D" w:rsidRPr="004A4899" w:rsidRDefault="00126D8D" w:rsidP="00820288">
            <w:pPr>
              <w:spacing w:line="240" w:lineRule="auto"/>
              <w:rPr>
                <w:rFonts w:ascii="Times New Roman" w:hAnsi="Times New Roman" w:cs="Times New Roman"/>
                <w:sz w:val="13"/>
                <w:szCs w:val="13"/>
              </w:rPr>
            </w:pPr>
            <w:r w:rsidRPr="004A4899">
              <w:rPr>
                <w:rFonts w:ascii="Times New Roman" w:hAnsi="Times New Roman" w:cs="Times New Roman"/>
                <w:sz w:val="13"/>
                <w:szCs w:val="13"/>
              </w:rPr>
              <w:t>abc</w:t>
            </w:r>
          </w:p>
        </w:tc>
        <w:tc>
          <w:tcPr>
            <w:tcW w:w="377" w:type="dxa"/>
            <w:noWrap/>
            <w:vAlign w:val="center"/>
            <w:hideMark/>
          </w:tcPr>
          <w:p w14:paraId="18720156" w14:textId="77777777" w:rsidR="00126D8D" w:rsidRPr="004A4899" w:rsidRDefault="00126D8D" w:rsidP="00820288">
            <w:pPr>
              <w:spacing w:line="240" w:lineRule="auto"/>
              <w:jc w:val="right"/>
              <w:rPr>
                <w:rFonts w:ascii="Times New Roman" w:hAnsi="Times New Roman" w:cs="Times New Roman"/>
                <w:sz w:val="13"/>
                <w:szCs w:val="13"/>
              </w:rPr>
            </w:pPr>
            <w:r w:rsidRPr="004A4899">
              <w:rPr>
                <w:rFonts w:ascii="Times New Roman" w:hAnsi="Times New Roman" w:cs="Times New Roman"/>
                <w:sz w:val="13"/>
                <w:szCs w:val="13"/>
              </w:rPr>
              <w:t>22.02</w:t>
            </w:r>
          </w:p>
        </w:tc>
        <w:tc>
          <w:tcPr>
            <w:tcW w:w="252" w:type="dxa"/>
            <w:noWrap/>
            <w:vAlign w:val="center"/>
            <w:hideMark/>
          </w:tcPr>
          <w:p w14:paraId="68A9FC08" w14:textId="77777777" w:rsidR="00126D8D" w:rsidRPr="004A4899" w:rsidRDefault="00126D8D" w:rsidP="00820288">
            <w:pPr>
              <w:spacing w:line="240" w:lineRule="auto"/>
              <w:rPr>
                <w:rFonts w:ascii="Times New Roman" w:hAnsi="Times New Roman" w:cs="Times New Roman"/>
                <w:sz w:val="13"/>
                <w:szCs w:val="13"/>
              </w:rPr>
            </w:pPr>
            <w:r w:rsidRPr="004A4899">
              <w:rPr>
                <w:rFonts w:ascii="Times New Roman" w:hAnsi="Times New Roman" w:cs="Times New Roman"/>
                <w:sz w:val="13"/>
                <w:szCs w:val="13"/>
              </w:rPr>
              <w:t>bcd</w:t>
            </w:r>
          </w:p>
        </w:tc>
        <w:tc>
          <w:tcPr>
            <w:tcW w:w="377" w:type="dxa"/>
            <w:noWrap/>
            <w:vAlign w:val="center"/>
            <w:hideMark/>
          </w:tcPr>
          <w:p w14:paraId="5C36BD29" w14:textId="77777777" w:rsidR="00126D8D" w:rsidRPr="004A4899" w:rsidRDefault="00126D8D" w:rsidP="00820288">
            <w:pPr>
              <w:spacing w:line="240" w:lineRule="auto"/>
              <w:jc w:val="right"/>
              <w:rPr>
                <w:rFonts w:ascii="Times New Roman" w:hAnsi="Times New Roman" w:cs="Times New Roman"/>
                <w:sz w:val="13"/>
                <w:szCs w:val="13"/>
              </w:rPr>
            </w:pPr>
            <w:r w:rsidRPr="004A4899">
              <w:rPr>
                <w:rFonts w:ascii="Times New Roman" w:hAnsi="Times New Roman" w:cs="Times New Roman"/>
                <w:sz w:val="13"/>
                <w:szCs w:val="13"/>
              </w:rPr>
              <w:t>25.19</w:t>
            </w:r>
          </w:p>
        </w:tc>
        <w:tc>
          <w:tcPr>
            <w:tcW w:w="273" w:type="dxa"/>
            <w:noWrap/>
            <w:vAlign w:val="center"/>
            <w:hideMark/>
          </w:tcPr>
          <w:p w14:paraId="3B03AA35" w14:textId="77777777" w:rsidR="00126D8D" w:rsidRPr="004A4899" w:rsidRDefault="00126D8D" w:rsidP="00820288">
            <w:pPr>
              <w:spacing w:line="240" w:lineRule="auto"/>
              <w:rPr>
                <w:rFonts w:ascii="Times New Roman" w:hAnsi="Times New Roman" w:cs="Times New Roman"/>
                <w:sz w:val="13"/>
                <w:szCs w:val="13"/>
              </w:rPr>
            </w:pPr>
            <w:r w:rsidRPr="004A4899">
              <w:rPr>
                <w:rFonts w:ascii="Times New Roman" w:hAnsi="Times New Roman" w:cs="Times New Roman"/>
                <w:sz w:val="13"/>
                <w:szCs w:val="13"/>
              </w:rPr>
              <w:t>bcd</w:t>
            </w:r>
          </w:p>
        </w:tc>
        <w:tc>
          <w:tcPr>
            <w:tcW w:w="377" w:type="dxa"/>
            <w:noWrap/>
            <w:vAlign w:val="center"/>
            <w:hideMark/>
          </w:tcPr>
          <w:p w14:paraId="16A584B4" w14:textId="77777777" w:rsidR="00126D8D" w:rsidRPr="004A4899" w:rsidRDefault="00126D8D" w:rsidP="00820288">
            <w:pPr>
              <w:spacing w:line="240" w:lineRule="auto"/>
              <w:jc w:val="right"/>
              <w:rPr>
                <w:rFonts w:ascii="Times New Roman" w:hAnsi="Times New Roman" w:cs="Times New Roman"/>
                <w:sz w:val="13"/>
                <w:szCs w:val="13"/>
              </w:rPr>
            </w:pPr>
            <w:r w:rsidRPr="004A4899">
              <w:rPr>
                <w:rFonts w:ascii="Times New Roman" w:hAnsi="Times New Roman" w:cs="Times New Roman"/>
                <w:sz w:val="13"/>
                <w:szCs w:val="13"/>
              </w:rPr>
              <w:t>20.42</w:t>
            </w:r>
          </w:p>
        </w:tc>
        <w:tc>
          <w:tcPr>
            <w:tcW w:w="273" w:type="dxa"/>
            <w:noWrap/>
            <w:vAlign w:val="center"/>
            <w:hideMark/>
          </w:tcPr>
          <w:p w14:paraId="66E0B1DF" w14:textId="77777777" w:rsidR="00126D8D" w:rsidRPr="004A4899" w:rsidRDefault="00126D8D" w:rsidP="00820288">
            <w:pPr>
              <w:spacing w:line="240" w:lineRule="auto"/>
              <w:rPr>
                <w:rFonts w:ascii="Times New Roman" w:hAnsi="Times New Roman" w:cs="Times New Roman"/>
                <w:sz w:val="13"/>
                <w:szCs w:val="13"/>
              </w:rPr>
            </w:pPr>
            <w:r w:rsidRPr="004A4899">
              <w:rPr>
                <w:rFonts w:ascii="Times New Roman" w:hAnsi="Times New Roman" w:cs="Times New Roman"/>
                <w:sz w:val="13"/>
                <w:szCs w:val="13"/>
              </w:rPr>
              <w:t>cd</w:t>
            </w:r>
          </w:p>
        </w:tc>
      </w:tr>
      <w:tr w:rsidR="00126D8D" w:rsidRPr="004A4899" w14:paraId="42B140BC" w14:textId="77777777" w:rsidTr="00820288">
        <w:trPr>
          <w:trHeight w:val="173"/>
        </w:trPr>
        <w:tc>
          <w:tcPr>
            <w:tcW w:w="1440" w:type="dxa"/>
            <w:noWrap/>
            <w:vAlign w:val="center"/>
            <w:hideMark/>
          </w:tcPr>
          <w:p w14:paraId="1708A65D" w14:textId="77777777" w:rsidR="00126D8D" w:rsidRPr="004A4899" w:rsidRDefault="00126D8D" w:rsidP="00820288">
            <w:pPr>
              <w:spacing w:line="240" w:lineRule="auto"/>
              <w:rPr>
                <w:rFonts w:ascii="Times New Roman" w:hAnsi="Times New Roman" w:cs="Times New Roman"/>
                <w:sz w:val="12"/>
                <w:szCs w:val="12"/>
              </w:rPr>
            </w:pPr>
            <w:r w:rsidRPr="004A4899">
              <w:rPr>
                <w:rFonts w:ascii="Times New Roman" w:hAnsi="Times New Roman" w:cs="Times New Roman"/>
                <w:sz w:val="12"/>
                <w:szCs w:val="12"/>
              </w:rPr>
              <w:t>β-Pinene</w:t>
            </w:r>
          </w:p>
        </w:tc>
        <w:tc>
          <w:tcPr>
            <w:tcW w:w="377" w:type="dxa"/>
            <w:noWrap/>
            <w:vAlign w:val="center"/>
            <w:hideMark/>
          </w:tcPr>
          <w:p w14:paraId="41E2EDF7" w14:textId="77777777" w:rsidR="00126D8D" w:rsidRPr="004A4899" w:rsidRDefault="00126D8D" w:rsidP="00820288">
            <w:pPr>
              <w:spacing w:line="240" w:lineRule="auto"/>
              <w:jc w:val="right"/>
              <w:rPr>
                <w:rFonts w:ascii="Times New Roman" w:hAnsi="Times New Roman" w:cs="Times New Roman"/>
                <w:sz w:val="13"/>
                <w:szCs w:val="13"/>
              </w:rPr>
            </w:pPr>
            <w:r w:rsidRPr="004A4899">
              <w:rPr>
                <w:rFonts w:ascii="Times New Roman" w:hAnsi="Times New Roman" w:cs="Times New Roman"/>
                <w:sz w:val="13"/>
                <w:szCs w:val="13"/>
              </w:rPr>
              <w:t>155.77</w:t>
            </w:r>
          </w:p>
        </w:tc>
        <w:tc>
          <w:tcPr>
            <w:tcW w:w="274" w:type="dxa"/>
            <w:noWrap/>
            <w:vAlign w:val="center"/>
            <w:hideMark/>
          </w:tcPr>
          <w:p w14:paraId="39CFEEB4" w14:textId="77777777" w:rsidR="00126D8D" w:rsidRPr="004A4899" w:rsidRDefault="00126D8D" w:rsidP="00820288">
            <w:pPr>
              <w:spacing w:line="240" w:lineRule="auto"/>
              <w:rPr>
                <w:rFonts w:ascii="Times New Roman" w:hAnsi="Times New Roman" w:cs="Times New Roman"/>
                <w:sz w:val="13"/>
                <w:szCs w:val="13"/>
              </w:rPr>
            </w:pPr>
            <w:r w:rsidRPr="004A4899">
              <w:rPr>
                <w:rFonts w:ascii="Times New Roman" w:hAnsi="Times New Roman" w:cs="Times New Roman"/>
                <w:sz w:val="13"/>
                <w:szCs w:val="13"/>
              </w:rPr>
              <w:t>abcd</w:t>
            </w:r>
          </w:p>
        </w:tc>
        <w:tc>
          <w:tcPr>
            <w:tcW w:w="411" w:type="dxa"/>
            <w:noWrap/>
            <w:vAlign w:val="center"/>
            <w:hideMark/>
          </w:tcPr>
          <w:p w14:paraId="79053E49" w14:textId="77777777" w:rsidR="00126D8D" w:rsidRPr="004A4899" w:rsidRDefault="00126D8D" w:rsidP="00820288">
            <w:pPr>
              <w:spacing w:line="240" w:lineRule="auto"/>
              <w:jc w:val="right"/>
              <w:rPr>
                <w:rFonts w:ascii="Times New Roman" w:hAnsi="Times New Roman" w:cs="Times New Roman"/>
                <w:sz w:val="13"/>
                <w:szCs w:val="13"/>
              </w:rPr>
            </w:pPr>
            <w:r w:rsidRPr="004A4899">
              <w:rPr>
                <w:rFonts w:ascii="Times New Roman" w:hAnsi="Times New Roman" w:cs="Times New Roman"/>
                <w:sz w:val="13"/>
                <w:szCs w:val="13"/>
              </w:rPr>
              <w:t>111.86</w:t>
            </w:r>
          </w:p>
        </w:tc>
        <w:tc>
          <w:tcPr>
            <w:tcW w:w="239" w:type="dxa"/>
            <w:noWrap/>
            <w:vAlign w:val="center"/>
            <w:hideMark/>
          </w:tcPr>
          <w:p w14:paraId="593380FC" w14:textId="77777777" w:rsidR="00126D8D" w:rsidRPr="004A4899" w:rsidRDefault="00126D8D" w:rsidP="00820288">
            <w:pPr>
              <w:spacing w:line="240" w:lineRule="auto"/>
              <w:rPr>
                <w:rFonts w:ascii="Times New Roman" w:hAnsi="Times New Roman" w:cs="Times New Roman"/>
                <w:sz w:val="13"/>
                <w:szCs w:val="13"/>
              </w:rPr>
            </w:pPr>
            <w:r w:rsidRPr="004A4899">
              <w:rPr>
                <w:rFonts w:ascii="Times New Roman" w:hAnsi="Times New Roman" w:cs="Times New Roman"/>
                <w:sz w:val="13"/>
                <w:szCs w:val="13"/>
              </w:rPr>
              <w:t>d</w:t>
            </w:r>
          </w:p>
        </w:tc>
        <w:tc>
          <w:tcPr>
            <w:tcW w:w="377" w:type="dxa"/>
            <w:noWrap/>
            <w:vAlign w:val="center"/>
            <w:hideMark/>
          </w:tcPr>
          <w:p w14:paraId="27E8372A" w14:textId="77777777" w:rsidR="00126D8D" w:rsidRPr="004A4899" w:rsidRDefault="00126D8D" w:rsidP="00820288">
            <w:pPr>
              <w:spacing w:line="240" w:lineRule="auto"/>
              <w:jc w:val="right"/>
              <w:rPr>
                <w:rFonts w:ascii="Times New Roman" w:hAnsi="Times New Roman" w:cs="Times New Roman"/>
                <w:sz w:val="13"/>
                <w:szCs w:val="13"/>
              </w:rPr>
            </w:pPr>
            <w:r w:rsidRPr="004A4899">
              <w:rPr>
                <w:rFonts w:ascii="Times New Roman" w:hAnsi="Times New Roman" w:cs="Times New Roman"/>
                <w:sz w:val="13"/>
                <w:szCs w:val="13"/>
              </w:rPr>
              <w:t>117.45</w:t>
            </w:r>
          </w:p>
        </w:tc>
        <w:tc>
          <w:tcPr>
            <w:tcW w:w="273" w:type="dxa"/>
            <w:noWrap/>
            <w:vAlign w:val="center"/>
            <w:hideMark/>
          </w:tcPr>
          <w:p w14:paraId="12990427" w14:textId="77777777" w:rsidR="00126D8D" w:rsidRPr="004A4899" w:rsidRDefault="00126D8D" w:rsidP="00820288">
            <w:pPr>
              <w:spacing w:line="240" w:lineRule="auto"/>
              <w:rPr>
                <w:rFonts w:ascii="Times New Roman" w:hAnsi="Times New Roman" w:cs="Times New Roman"/>
                <w:sz w:val="13"/>
                <w:szCs w:val="13"/>
              </w:rPr>
            </w:pPr>
            <w:r w:rsidRPr="004A4899">
              <w:rPr>
                <w:rFonts w:ascii="Times New Roman" w:hAnsi="Times New Roman" w:cs="Times New Roman"/>
                <w:sz w:val="13"/>
                <w:szCs w:val="13"/>
              </w:rPr>
              <w:t>cd</w:t>
            </w:r>
          </w:p>
        </w:tc>
        <w:tc>
          <w:tcPr>
            <w:tcW w:w="377" w:type="dxa"/>
            <w:noWrap/>
            <w:vAlign w:val="center"/>
            <w:hideMark/>
          </w:tcPr>
          <w:p w14:paraId="134100FF" w14:textId="77777777" w:rsidR="00126D8D" w:rsidRPr="004A4899" w:rsidRDefault="00126D8D" w:rsidP="00820288">
            <w:pPr>
              <w:spacing w:line="240" w:lineRule="auto"/>
              <w:jc w:val="right"/>
              <w:rPr>
                <w:rFonts w:ascii="Times New Roman" w:hAnsi="Times New Roman" w:cs="Times New Roman"/>
                <w:sz w:val="13"/>
                <w:szCs w:val="13"/>
              </w:rPr>
            </w:pPr>
            <w:r w:rsidRPr="004A4899">
              <w:rPr>
                <w:rFonts w:ascii="Times New Roman" w:hAnsi="Times New Roman" w:cs="Times New Roman"/>
                <w:sz w:val="13"/>
                <w:szCs w:val="13"/>
              </w:rPr>
              <w:t>167.90</w:t>
            </w:r>
          </w:p>
        </w:tc>
        <w:tc>
          <w:tcPr>
            <w:tcW w:w="273" w:type="dxa"/>
            <w:noWrap/>
            <w:vAlign w:val="center"/>
            <w:hideMark/>
          </w:tcPr>
          <w:p w14:paraId="3FCFEC49" w14:textId="77777777" w:rsidR="00126D8D" w:rsidRPr="004A4899" w:rsidRDefault="00126D8D" w:rsidP="00820288">
            <w:pPr>
              <w:spacing w:line="240" w:lineRule="auto"/>
              <w:rPr>
                <w:rFonts w:ascii="Times New Roman" w:hAnsi="Times New Roman" w:cs="Times New Roman"/>
                <w:sz w:val="13"/>
                <w:szCs w:val="13"/>
              </w:rPr>
            </w:pPr>
            <w:r w:rsidRPr="004A4899">
              <w:rPr>
                <w:rFonts w:ascii="Times New Roman" w:hAnsi="Times New Roman" w:cs="Times New Roman"/>
                <w:sz w:val="13"/>
                <w:szCs w:val="13"/>
              </w:rPr>
              <w:t>abc</w:t>
            </w:r>
          </w:p>
        </w:tc>
        <w:tc>
          <w:tcPr>
            <w:tcW w:w="377" w:type="dxa"/>
            <w:noWrap/>
            <w:vAlign w:val="center"/>
            <w:hideMark/>
          </w:tcPr>
          <w:p w14:paraId="26A88875" w14:textId="77777777" w:rsidR="00126D8D" w:rsidRPr="004A4899" w:rsidRDefault="00126D8D" w:rsidP="00820288">
            <w:pPr>
              <w:spacing w:line="240" w:lineRule="auto"/>
              <w:jc w:val="right"/>
              <w:rPr>
                <w:rFonts w:ascii="Times New Roman" w:hAnsi="Times New Roman" w:cs="Times New Roman"/>
                <w:sz w:val="13"/>
                <w:szCs w:val="13"/>
              </w:rPr>
            </w:pPr>
            <w:r w:rsidRPr="004A4899">
              <w:rPr>
                <w:rFonts w:ascii="Times New Roman" w:hAnsi="Times New Roman" w:cs="Times New Roman"/>
                <w:sz w:val="13"/>
                <w:szCs w:val="13"/>
              </w:rPr>
              <w:t>170.62</w:t>
            </w:r>
          </w:p>
        </w:tc>
        <w:tc>
          <w:tcPr>
            <w:tcW w:w="326" w:type="dxa"/>
            <w:noWrap/>
            <w:vAlign w:val="center"/>
            <w:hideMark/>
          </w:tcPr>
          <w:p w14:paraId="2A87C579" w14:textId="77777777" w:rsidR="00126D8D" w:rsidRPr="004A4899" w:rsidRDefault="00126D8D" w:rsidP="00820288">
            <w:pPr>
              <w:spacing w:line="240" w:lineRule="auto"/>
              <w:rPr>
                <w:rFonts w:ascii="Times New Roman" w:hAnsi="Times New Roman" w:cs="Times New Roman"/>
                <w:sz w:val="13"/>
                <w:szCs w:val="13"/>
              </w:rPr>
            </w:pPr>
            <w:r w:rsidRPr="004A4899">
              <w:rPr>
                <w:rFonts w:ascii="Times New Roman" w:hAnsi="Times New Roman" w:cs="Times New Roman"/>
                <w:sz w:val="13"/>
                <w:szCs w:val="13"/>
              </w:rPr>
              <w:t>ab</w:t>
            </w:r>
          </w:p>
        </w:tc>
        <w:tc>
          <w:tcPr>
            <w:tcW w:w="377" w:type="dxa"/>
            <w:noWrap/>
            <w:vAlign w:val="center"/>
            <w:hideMark/>
          </w:tcPr>
          <w:p w14:paraId="35AF8C0C" w14:textId="77777777" w:rsidR="00126D8D" w:rsidRPr="004A4899" w:rsidRDefault="00126D8D" w:rsidP="00820288">
            <w:pPr>
              <w:spacing w:line="240" w:lineRule="auto"/>
              <w:jc w:val="right"/>
              <w:rPr>
                <w:rFonts w:ascii="Times New Roman" w:hAnsi="Times New Roman" w:cs="Times New Roman"/>
                <w:sz w:val="13"/>
                <w:szCs w:val="13"/>
              </w:rPr>
            </w:pPr>
            <w:r w:rsidRPr="004A4899">
              <w:rPr>
                <w:rFonts w:ascii="Times New Roman" w:hAnsi="Times New Roman" w:cs="Times New Roman"/>
                <w:sz w:val="13"/>
                <w:szCs w:val="13"/>
              </w:rPr>
              <w:t>153.17</w:t>
            </w:r>
          </w:p>
        </w:tc>
        <w:tc>
          <w:tcPr>
            <w:tcW w:w="326" w:type="dxa"/>
            <w:noWrap/>
            <w:vAlign w:val="center"/>
            <w:hideMark/>
          </w:tcPr>
          <w:p w14:paraId="2A9C8113" w14:textId="77777777" w:rsidR="00126D8D" w:rsidRPr="004A4899" w:rsidRDefault="00126D8D" w:rsidP="00820288">
            <w:pPr>
              <w:spacing w:line="240" w:lineRule="auto"/>
              <w:rPr>
                <w:rFonts w:ascii="Times New Roman" w:hAnsi="Times New Roman" w:cs="Times New Roman"/>
                <w:sz w:val="13"/>
                <w:szCs w:val="13"/>
              </w:rPr>
            </w:pPr>
            <w:r w:rsidRPr="004A4899">
              <w:rPr>
                <w:rFonts w:ascii="Times New Roman" w:hAnsi="Times New Roman" w:cs="Times New Roman"/>
                <w:sz w:val="13"/>
                <w:szCs w:val="13"/>
              </w:rPr>
              <w:t>abcd</w:t>
            </w:r>
          </w:p>
        </w:tc>
        <w:tc>
          <w:tcPr>
            <w:tcW w:w="377" w:type="dxa"/>
            <w:noWrap/>
            <w:vAlign w:val="center"/>
            <w:hideMark/>
          </w:tcPr>
          <w:p w14:paraId="51109223" w14:textId="77777777" w:rsidR="00126D8D" w:rsidRPr="004A4899" w:rsidRDefault="00126D8D" w:rsidP="00820288">
            <w:pPr>
              <w:spacing w:line="240" w:lineRule="auto"/>
              <w:jc w:val="right"/>
              <w:rPr>
                <w:rFonts w:ascii="Times New Roman" w:hAnsi="Times New Roman" w:cs="Times New Roman"/>
                <w:sz w:val="13"/>
                <w:szCs w:val="13"/>
              </w:rPr>
            </w:pPr>
            <w:r w:rsidRPr="004A4899">
              <w:rPr>
                <w:rFonts w:ascii="Times New Roman" w:hAnsi="Times New Roman" w:cs="Times New Roman"/>
                <w:sz w:val="13"/>
                <w:szCs w:val="13"/>
              </w:rPr>
              <w:t>190.27</w:t>
            </w:r>
          </w:p>
        </w:tc>
        <w:tc>
          <w:tcPr>
            <w:tcW w:w="219" w:type="dxa"/>
            <w:noWrap/>
            <w:vAlign w:val="center"/>
            <w:hideMark/>
          </w:tcPr>
          <w:p w14:paraId="03C33990" w14:textId="77777777" w:rsidR="00126D8D" w:rsidRPr="004A4899" w:rsidRDefault="00126D8D" w:rsidP="00820288">
            <w:pPr>
              <w:spacing w:line="240" w:lineRule="auto"/>
              <w:rPr>
                <w:rFonts w:ascii="Times New Roman" w:hAnsi="Times New Roman" w:cs="Times New Roman"/>
                <w:sz w:val="13"/>
                <w:szCs w:val="13"/>
              </w:rPr>
            </w:pPr>
            <w:r w:rsidRPr="004A4899">
              <w:rPr>
                <w:rFonts w:ascii="Times New Roman" w:hAnsi="Times New Roman" w:cs="Times New Roman"/>
                <w:sz w:val="13"/>
                <w:szCs w:val="13"/>
              </w:rPr>
              <w:t>a</w:t>
            </w:r>
          </w:p>
        </w:tc>
        <w:tc>
          <w:tcPr>
            <w:tcW w:w="377" w:type="dxa"/>
            <w:noWrap/>
            <w:vAlign w:val="center"/>
            <w:hideMark/>
          </w:tcPr>
          <w:p w14:paraId="7383EB8D" w14:textId="77777777" w:rsidR="00126D8D" w:rsidRPr="004A4899" w:rsidRDefault="00126D8D" w:rsidP="00820288">
            <w:pPr>
              <w:spacing w:line="240" w:lineRule="auto"/>
              <w:jc w:val="right"/>
              <w:rPr>
                <w:rFonts w:ascii="Times New Roman" w:hAnsi="Times New Roman" w:cs="Times New Roman"/>
                <w:sz w:val="13"/>
                <w:szCs w:val="13"/>
              </w:rPr>
            </w:pPr>
            <w:r w:rsidRPr="004A4899">
              <w:rPr>
                <w:rFonts w:ascii="Times New Roman" w:hAnsi="Times New Roman" w:cs="Times New Roman"/>
                <w:sz w:val="13"/>
                <w:szCs w:val="13"/>
              </w:rPr>
              <w:t>187.17</w:t>
            </w:r>
          </w:p>
        </w:tc>
        <w:tc>
          <w:tcPr>
            <w:tcW w:w="159" w:type="dxa"/>
            <w:noWrap/>
            <w:vAlign w:val="center"/>
            <w:hideMark/>
          </w:tcPr>
          <w:p w14:paraId="26F080CD" w14:textId="77777777" w:rsidR="00126D8D" w:rsidRPr="004A4899" w:rsidRDefault="00126D8D" w:rsidP="00820288">
            <w:pPr>
              <w:spacing w:line="240" w:lineRule="auto"/>
              <w:rPr>
                <w:rFonts w:ascii="Times New Roman" w:hAnsi="Times New Roman" w:cs="Times New Roman"/>
                <w:sz w:val="13"/>
                <w:szCs w:val="13"/>
              </w:rPr>
            </w:pPr>
            <w:r w:rsidRPr="004A4899">
              <w:rPr>
                <w:rFonts w:ascii="Times New Roman" w:hAnsi="Times New Roman" w:cs="Times New Roman"/>
                <w:sz w:val="13"/>
                <w:szCs w:val="13"/>
              </w:rPr>
              <w:t>a</w:t>
            </w:r>
          </w:p>
        </w:tc>
        <w:tc>
          <w:tcPr>
            <w:tcW w:w="377" w:type="dxa"/>
            <w:noWrap/>
            <w:vAlign w:val="center"/>
            <w:hideMark/>
          </w:tcPr>
          <w:p w14:paraId="738A069F" w14:textId="77777777" w:rsidR="00126D8D" w:rsidRPr="004A4899" w:rsidRDefault="00126D8D" w:rsidP="00820288">
            <w:pPr>
              <w:spacing w:line="240" w:lineRule="auto"/>
              <w:jc w:val="right"/>
              <w:rPr>
                <w:rFonts w:ascii="Times New Roman" w:hAnsi="Times New Roman" w:cs="Times New Roman"/>
                <w:sz w:val="13"/>
                <w:szCs w:val="13"/>
              </w:rPr>
            </w:pPr>
            <w:r w:rsidRPr="004A4899">
              <w:rPr>
                <w:rFonts w:ascii="Times New Roman" w:hAnsi="Times New Roman" w:cs="Times New Roman"/>
                <w:sz w:val="13"/>
                <w:szCs w:val="13"/>
              </w:rPr>
              <w:t>158.70</w:t>
            </w:r>
          </w:p>
        </w:tc>
        <w:tc>
          <w:tcPr>
            <w:tcW w:w="326" w:type="dxa"/>
            <w:noWrap/>
            <w:vAlign w:val="center"/>
            <w:hideMark/>
          </w:tcPr>
          <w:p w14:paraId="112CECEA" w14:textId="77777777" w:rsidR="00126D8D" w:rsidRPr="004A4899" w:rsidRDefault="00126D8D" w:rsidP="00820288">
            <w:pPr>
              <w:spacing w:line="240" w:lineRule="auto"/>
              <w:rPr>
                <w:rFonts w:ascii="Times New Roman" w:hAnsi="Times New Roman" w:cs="Times New Roman"/>
                <w:sz w:val="13"/>
                <w:szCs w:val="13"/>
              </w:rPr>
            </w:pPr>
            <w:r w:rsidRPr="004A4899">
              <w:rPr>
                <w:rFonts w:ascii="Times New Roman" w:hAnsi="Times New Roman" w:cs="Times New Roman"/>
                <w:sz w:val="13"/>
                <w:szCs w:val="13"/>
              </w:rPr>
              <w:t>abcd</w:t>
            </w:r>
          </w:p>
        </w:tc>
        <w:tc>
          <w:tcPr>
            <w:tcW w:w="377" w:type="dxa"/>
            <w:noWrap/>
            <w:vAlign w:val="center"/>
            <w:hideMark/>
          </w:tcPr>
          <w:p w14:paraId="038976E6" w14:textId="77777777" w:rsidR="00126D8D" w:rsidRPr="004A4899" w:rsidRDefault="00126D8D" w:rsidP="00820288">
            <w:pPr>
              <w:spacing w:line="240" w:lineRule="auto"/>
              <w:jc w:val="right"/>
              <w:rPr>
                <w:rFonts w:ascii="Times New Roman" w:hAnsi="Times New Roman" w:cs="Times New Roman"/>
                <w:sz w:val="13"/>
                <w:szCs w:val="13"/>
              </w:rPr>
            </w:pPr>
            <w:r w:rsidRPr="004A4899">
              <w:rPr>
                <w:rFonts w:ascii="Times New Roman" w:hAnsi="Times New Roman" w:cs="Times New Roman"/>
                <w:sz w:val="13"/>
                <w:szCs w:val="13"/>
              </w:rPr>
              <w:t>134.33</w:t>
            </w:r>
          </w:p>
        </w:tc>
        <w:tc>
          <w:tcPr>
            <w:tcW w:w="252" w:type="dxa"/>
            <w:noWrap/>
            <w:vAlign w:val="center"/>
            <w:hideMark/>
          </w:tcPr>
          <w:p w14:paraId="4BA2F746" w14:textId="77777777" w:rsidR="00126D8D" w:rsidRPr="004A4899" w:rsidRDefault="00126D8D" w:rsidP="00820288">
            <w:pPr>
              <w:spacing w:line="240" w:lineRule="auto"/>
              <w:rPr>
                <w:rFonts w:ascii="Times New Roman" w:hAnsi="Times New Roman" w:cs="Times New Roman"/>
                <w:sz w:val="13"/>
                <w:szCs w:val="13"/>
              </w:rPr>
            </w:pPr>
            <w:r w:rsidRPr="004A4899">
              <w:rPr>
                <w:rFonts w:ascii="Times New Roman" w:hAnsi="Times New Roman" w:cs="Times New Roman"/>
                <w:sz w:val="13"/>
                <w:szCs w:val="13"/>
              </w:rPr>
              <w:t>bcd</w:t>
            </w:r>
          </w:p>
        </w:tc>
        <w:tc>
          <w:tcPr>
            <w:tcW w:w="377" w:type="dxa"/>
            <w:noWrap/>
            <w:vAlign w:val="center"/>
            <w:hideMark/>
          </w:tcPr>
          <w:p w14:paraId="45F5083A" w14:textId="77777777" w:rsidR="00126D8D" w:rsidRPr="004A4899" w:rsidRDefault="00126D8D" w:rsidP="00820288">
            <w:pPr>
              <w:spacing w:line="240" w:lineRule="auto"/>
              <w:jc w:val="right"/>
              <w:rPr>
                <w:rFonts w:ascii="Times New Roman" w:hAnsi="Times New Roman" w:cs="Times New Roman"/>
                <w:sz w:val="13"/>
                <w:szCs w:val="13"/>
              </w:rPr>
            </w:pPr>
            <w:r w:rsidRPr="004A4899">
              <w:rPr>
                <w:rFonts w:ascii="Times New Roman" w:hAnsi="Times New Roman" w:cs="Times New Roman"/>
                <w:sz w:val="13"/>
                <w:szCs w:val="13"/>
              </w:rPr>
              <w:t>125.50</w:t>
            </w:r>
          </w:p>
        </w:tc>
        <w:tc>
          <w:tcPr>
            <w:tcW w:w="273" w:type="dxa"/>
            <w:noWrap/>
            <w:vAlign w:val="center"/>
            <w:hideMark/>
          </w:tcPr>
          <w:p w14:paraId="64498411" w14:textId="77777777" w:rsidR="00126D8D" w:rsidRPr="004A4899" w:rsidRDefault="00126D8D" w:rsidP="00820288">
            <w:pPr>
              <w:spacing w:line="240" w:lineRule="auto"/>
              <w:rPr>
                <w:rFonts w:ascii="Times New Roman" w:hAnsi="Times New Roman" w:cs="Times New Roman"/>
                <w:sz w:val="13"/>
                <w:szCs w:val="13"/>
              </w:rPr>
            </w:pPr>
            <w:r w:rsidRPr="004A4899">
              <w:rPr>
                <w:rFonts w:ascii="Times New Roman" w:hAnsi="Times New Roman" w:cs="Times New Roman"/>
                <w:sz w:val="13"/>
                <w:szCs w:val="13"/>
              </w:rPr>
              <w:t>bcd</w:t>
            </w:r>
          </w:p>
        </w:tc>
        <w:tc>
          <w:tcPr>
            <w:tcW w:w="377" w:type="dxa"/>
            <w:noWrap/>
            <w:vAlign w:val="center"/>
            <w:hideMark/>
          </w:tcPr>
          <w:p w14:paraId="735C68B3" w14:textId="77777777" w:rsidR="00126D8D" w:rsidRPr="004A4899" w:rsidRDefault="00126D8D" w:rsidP="00820288">
            <w:pPr>
              <w:spacing w:line="240" w:lineRule="auto"/>
              <w:jc w:val="right"/>
              <w:rPr>
                <w:rFonts w:ascii="Times New Roman" w:hAnsi="Times New Roman" w:cs="Times New Roman"/>
                <w:sz w:val="13"/>
                <w:szCs w:val="13"/>
              </w:rPr>
            </w:pPr>
            <w:r w:rsidRPr="004A4899">
              <w:rPr>
                <w:rFonts w:ascii="Times New Roman" w:hAnsi="Times New Roman" w:cs="Times New Roman"/>
                <w:sz w:val="13"/>
                <w:szCs w:val="13"/>
              </w:rPr>
              <w:t>120.90</w:t>
            </w:r>
          </w:p>
        </w:tc>
        <w:tc>
          <w:tcPr>
            <w:tcW w:w="273" w:type="dxa"/>
            <w:noWrap/>
            <w:vAlign w:val="center"/>
            <w:hideMark/>
          </w:tcPr>
          <w:p w14:paraId="3B2983C7" w14:textId="77777777" w:rsidR="00126D8D" w:rsidRPr="004A4899" w:rsidRDefault="00126D8D" w:rsidP="00820288">
            <w:pPr>
              <w:spacing w:line="240" w:lineRule="auto"/>
              <w:rPr>
                <w:rFonts w:ascii="Times New Roman" w:hAnsi="Times New Roman" w:cs="Times New Roman"/>
                <w:sz w:val="13"/>
                <w:szCs w:val="13"/>
              </w:rPr>
            </w:pPr>
            <w:r w:rsidRPr="004A4899">
              <w:rPr>
                <w:rFonts w:ascii="Times New Roman" w:hAnsi="Times New Roman" w:cs="Times New Roman"/>
                <w:sz w:val="13"/>
                <w:szCs w:val="13"/>
              </w:rPr>
              <w:t>bcd</w:t>
            </w:r>
          </w:p>
        </w:tc>
      </w:tr>
      <w:tr w:rsidR="00126D8D" w:rsidRPr="004A4899" w14:paraId="69044601" w14:textId="77777777" w:rsidTr="00820288">
        <w:trPr>
          <w:trHeight w:val="173"/>
        </w:trPr>
        <w:tc>
          <w:tcPr>
            <w:tcW w:w="1440" w:type="dxa"/>
            <w:noWrap/>
            <w:vAlign w:val="center"/>
            <w:hideMark/>
          </w:tcPr>
          <w:p w14:paraId="250D452A" w14:textId="77777777" w:rsidR="00126D8D" w:rsidRPr="004A4899" w:rsidRDefault="00126D8D" w:rsidP="00820288">
            <w:pPr>
              <w:spacing w:line="240" w:lineRule="auto"/>
              <w:rPr>
                <w:rFonts w:ascii="Times New Roman" w:hAnsi="Times New Roman" w:cs="Times New Roman"/>
                <w:b/>
                <w:bCs/>
                <w:sz w:val="12"/>
                <w:szCs w:val="12"/>
              </w:rPr>
            </w:pPr>
            <w:r w:rsidRPr="004A4899">
              <w:rPr>
                <w:rFonts w:ascii="Times New Roman" w:hAnsi="Times New Roman" w:cs="Times New Roman"/>
                <w:b/>
                <w:bCs/>
                <w:sz w:val="12"/>
                <w:szCs w:val="12"/>
              </w:rPr>
              <w:t>Cyclic Monoterpenes</w:t>
            </w:r>
          </w:p>
        </w:tc>
        <w:tc>
          <w:tcPr>
            <w:tcW w:w="377" w:type="dxa"/>
            <w:noWrap/>
            <w:vAlign w:val="center"/>
            <w:hideMark/>
          </w:tcPr>
          <w:p w14:paraId="09232012" w14:textId="77777777" w:rsidR="00126D8D" w:rsidRPr="004A4899" w:rsidRDefault="00126D8D" w:rsidP="00820288">
            <w:pPr>
              <w:spacing w:line="240" w:lineRule="auto"/>
              <w:jc w:val="right"/>
              <w:rPr>
                <w:rFonts w:ascii="Times New Roman" w:hAnsi="Times New Roman" w:cs="Times New Roman"/>
                <w:sz w:val="13"/>
                <w:szCs w:val="13"/>
              </w:rPr>
            </w:pPr>
          </w:p>
        </w:tc>
        <w:tc>
          <w:tcPr>
            <w:tcW w:w="274" w:type="dxa"/>
            <w:noWrap/>
            <w:vAlign w:val="center"/>
            <w:hideMark/>
          </w:tcPr>
          <w:p w14:paraId="239214C7" w14:textId="77777777" w:rsidR="00126D8D" w:rsidRPr="004A4899" w:rsidRDefault="00126D8D" w:rsidP="00820288">
            <w:pPr>
              <w:spacing w:line="240" w:lineRule="auto"/>
              <w:rPr>
                <w:rFonts w:ascii="Times New Roman" w:hAnsi="Times New Roman" w:cs="Times New Roman"/>
                <w:sz w:val="13"/>
                <w:szCs w:val="13"/>
              </w:rPr>
            </w:pPr>
          </w:p>
        </w:tc>
        <w:tc>
          <w:tcPr>
            <w:tcW w:w="411" w:type="dxa"/>
            <w:noWrap/>
            <w:vAlign w:val="center"/>
            <w:hideMark/>
          </w:tcPr>
          <w:p w14:paraId="3633DFA6" w14:textId="77777777" w:rsidR="00126D8D" w:rsidRPr="004A4899" w:rsidRDefault="00126D8D" w:rsidP="00820288">
            <w:pPr>
              <w:spacing w:line="240" w:lineRule="auto"/>
              <w:jc w:val="right"/>
              <w:rPr>
                <w:rFonts w:ascii="Times New Roman" w:hAnsi="Times New Roman" w:cs="Times New Roman"/>
                <w:sz w:val="13"/>
                <w:szCs w:val="13"/>
              </w:rPr>
            </w:pPr>
          </w:p>
        </w:tc>
        <w:tc>
          <w:tcPr>
            <w:tcW w:w="239" w:type="dxa"/>
            <w:noWrap/>
            <w:vAlign w:val="center"/>
            <w:hideMark/>
          </w:tcPr>
          <w:p w14:paraId="7F17B679" w14:textId="77777777" w:rsidR="00126D8D" w:rsidRPr="004A4899" w:rsidRDefault="00126D8D" w:rsidP="00820288">
            <w:pPr>
              <w:spacing w:line="240" w:lineRule="auto"/>
              <w:rPr>
                <w:rFonts w:ascii="Times New Roman" w:hAnsi="Times New Roman" w:cs="Times New Roman"/>
                <w:sz w:val="13"/>
                <w:szCs w:val="13"/>
              </w:rPr>
            </w:pPr>
          </w:p>
        </w:tc>
        <w:tc>
          <w:tcPr>
            <w:tcW w:w="377" w:type="dxa"/>
            <w:noWrap/>
            <w:vAlign w:val="center"/>
            <w:hideMark/>
          </w:tcPr>
          <w:p w14:paraId="4BC0319F" w14:textId="77777777" w:rsidR="00126D8D" w:rsidRPr="004A4899" w:rsidRDefault="00126D8D" w:rsidP="00820288">
            <w:pPr>
              <w:spacing w:line="240" w:lineRule="auto"/>
              <w:jc w:val="right"/>
              <w:rPr>
                <w:rFonts w:ascii="Times New Roman" w:hAnsi="Times New Roman" w:cs="Times New Roman"/>
                <w:sz w:val="13"/>
                <w:szCs w:val="13"/>
              </w:rPr>
            </w:pPr>
          </w:p>
        </w:tc>
        <w:tc>
          <w:tcPr>
            <w:tcW w:w="273" w:type="dxa"/>
            <w:noWrap/>
            <w:vAlign w:val="center"/>
            <w:hideMark/>
          </w:tcPr>
          <w:p w14:paraId="273C8FBB" w14:textId="77777777" w:rsidR="00126D8D" w:rsidRPr="004A4899" w:rsidRDefault="00126D8D" w:rsidP="00820288">
            <w:pPr>
              <w:spacing w:line="240" w:lineRule="auto"/>
              <w:rPr>
                <w:rFonts w:ascii="Times New Roman" w:hAnsi="Times New Roman" w:cs="Times New Roman"/>
                <w:sz w:val="13"/>
                <w:szCs w:val="13"/>
              </w:rPr>
            </w:pPr>
          </w:p>
        </w:tc>
        <w:tc>
          <w:tcPr>
            <w:tcW w:w="377" w:type="dxa"/>
            <w:noWrap/>
            <w:vAlign w:val="center"/>
            <w:hideMark/>
          </w:tcPr>
          <w:p w14:paraId="5962D325" w14:textId="77777777" w:rsidR="00126D8D" w:rsidRPr="004A4899" w:rsidRDefault="00126D8D" w:rsidP="00820288">
            <w:pPr>
              <w:spacing w:line="240" w:lineRule="auto"/>
              <w:jc w:val="right"/>
              <w:rPr>
                <w:rFonts w:ascii="Times New Roman" w:hAnsi="Times New Roman" w:cs="Times New Roman"/>
                <w:sz w:val="13"/>
                <w:szCs w:val="13"/>
              </w:rPr>
            </w:pPr>
          </w:p>
        </w:tc>
        <w:tc>
          <w:tcPr>
            <w:tcW w:w="273" w:type="dxa"/>
            <w:noWrap/>
            <w:vAlign w:val="center"/>
            <w:hideMark/>
          </w:tcPr>
          <w:p w14:paraId="3F4B26F5" w14:textId="77777777" w:rsidR="00126D8D" w:rsidRPr="004A4899" w:rsidRDefault="00126D8D" w:rsidP="00820288">
            <w:pPr>
              <w:spacing w:line="240" w:lineRule="auto"/>
              <w:rPr>
                <w:rFonts w:ascii="Times New Roman" w:hAnsi="Times New Roman" w:cs="Times New Roman"/>
                <w:sz w:val="13"/>
                <w:szCs w:val="13"/>
              </w:rPr>
            </w:pPr>
          </w:p>
        </w:tc>
        <w:tc>
          <w:tcPr>
            <w:tcW w:w="377" w:type="dxa"/>
            <w:noWrap/>
            <w:vAlign w:val="center"/>
            <w:hideMark/>
          </w:tcPr>
          <w:p w14:paraId="412249CA" w14:textId="77777777" w:rsidR="00126D8D" w:rsidRPr="004A4899" w:rsidRDefault="00126D8D" w:rsidP="00820288">
            <w:pPr>
              <w:spacing w:line="240" w:lineRule="auto"/>
              <w:jc w:val="right"/>
              <w:rPr>
                <w:rFonts w:ascii="Times New Roman" w:hAnsi="Times New Roman" w:cs="Times New Roman"/>
                <w:sz w:val="13"/>
                <w:szCs w:val="13"/>
              </w:rPr>
            </w:pPr>
          </w:p>
        </w:tc>
        <w:tc>
          <w:tcPr>
            <w:tcW w:w="326" w:type="dxa"/>
            <w:noWrap/>
            <w:vAlign w:val="center"/>
            <w:hideMark/>
          </w:tcPr>
          <w:p w14:paraId="5B759A7B" w14:textId="77777777" w:rsidR="00126D8D" w:rsidRPr="004A4899" w:rsidRDefault="00126D8D" w:rsidP="00820288">
            <w:pPr>
              <w:spacing w:line="240" w:lineRule="auto"/>
              <w:rPr>
                <w:rFonts w:ascii="Times New Roman" w:hAnsi="Times New Roman" w:cs="Times New Roman"/>
                <w:sz w:val="13"/>
                <w:szCs w:val="13"/>
              </w:rPr>
            </w:pPr>
          </w:p>
        </w:tc>
        <w:tc>
          <w:tcPr>
            <w:tcW w:w="377" w:type="dxa"/>
            <w:noWrap/>
            <w:vAlign w:val="center"/>
            <w:hideMark/>
          </w:tcPr>
          <w:p w14:paraId="49B44131" w14:textId="77777777" w:rsidR="00126D8D" w:rsidRPr="004A4899" w:rsidRDefault="00126D8D" w:rsidP="00820288">
            <w:pPr>
              <w:spacing w:line="240" w:lineRule="auto"/>
              <w:jc w:val="right"/>
              <w:rPr>
                <w:rFonts w:ascii="Times New Roman" w:hAnsi="Times New Roman" w:cs="Times New Roman"/>
                <w:sz w:val="13"/>
                <w:szCs w:val="13"/>
              </w:rPr>
            </w:pPr>
          </w:p>
        </w:tc>
        <w:tc>
          <w:tcPr>
            <w:tcW w:w="326" w:type="dxa"/>
            <w:noWrap/>
            <w:vAlign w:val="center"/>
            <w:hideMark/>
          </w:tcPr>
          <w:p w14:paraId="2335CCD8" w14:textId="77777777" w:rsidR="00126D8D" w:rsidRPr="004A4899" w:rsidRDefault="00126D8D" w:rsidP="00820288">
            <w:pPr>
              <w:spacing w:line="240" w:lineRule="auto"/>
              <w:rPr>
                <w:rFonts w:ascii="Times New Roman" w:hAnsi="Times New Roman" w:cs="Times New Roman"/>
                <w:sz w:val="13"/>
                <w:szCs w:val="13"/>
              </w:rPr>
            </w:pPr>
          </w:p>
        </w:tc>
        <w:tc>
          <w:tcPr>
            <w:tcW w:w="377" w:type="dxa"/>
            <w:noWrap/>
            <w:vAlign w:val="center"/>
            <w:hideMark/>
          </w:tcPr>
          <w:p w14:paraId="62003E5A" w14:textId="77777777" w:rsidR="00126D8D" w:rsidRPr="004A4899" w:rsidRDefault="00126D8D" w:rsidP="00820288">
            <w:pPr>
              <w:spacing w:line="240" w:lineRule="auto"/>
              <w:jc w:val="right"/>
              <w:rPr>
                <w:rFonts w:ascii="Times New Roman" w:hAnsi="Times New Roman" w:cs="Times New Roman"/>
                <w:sz w:val="13"/>
                <w:szCs w:val="13"/>
              </w:rPr>
            </w:pPr>
          </w:p>
        </w:tc>
        <w:tc>
          <w:tcPr>
            <w:tcW w:w="219" w:type="dxa"/>
            <w:noWrap/>
            <w:vAlign w:val="center"/>
            <w:hideMark/>
          </w:tcPr>
          <w:p w14:paraId="3E64F244" w14:textId="77777777" w:rsidR="00126D8D" w:rsidRPr="004A4899" w:rsidRDefault="00126D8D" w:rsidP="00820288">
            <w:pPr>
              <w:spacing w:line="240" w:lineRule="auto"/>
              <w:rPr>
                <w:rFonts w:ascii="Times New Roman" w:hAnsi="Times New Roman" w:cs="Times New Roman"/>
                <w:sz w:val="13"/>
                <w:szCs w:val="13"/>
              </w:rPr>
            </w:pPr>
          </w:p>
        </w:tc>
        <w:tc>
          <w:tcPr>
            <w:tcW w:w="377" w:type="dxa"/>
            <w:noWrap/>
            <w:vAlign w:val="center"/>
            <w:hideMark/>
          </w:tcPr>
          <w:p w14:paraId="41AEDFF0" w14:textId="77777777" w:rsidR="00126D8D" w:rsidRPr="004A4899" w:rsidRDefault="00126D8D" w:rsidP="00820288">
            <w:pPr>
              <w:spacing w:line="240" w:lineRule="auto"/>
              <w:jc w:val="right"/>
              <w:rPr>
                <w:rFonts w:ascii="Times New Roman" w:hAnsi="Times New Roman" w:cs="Times New Roman"/>
                <w:sz w:val="13"/>
                <w:szCs w:val="13"/>
              </w:rPr>
            </w:pPr>
          </w:p>
        </w:tc>
        <w:tc>
          <w:tcPr>
            <w:tcW w:w="159" w:type="dxa"/>
            <w:noWrap/>
            <w:vAlign w:val="center"/>
            <w:hideMark/>
          </w:tcPr>
          <w:p w14:paraId="6CD1CDBB" w14:textId="77777777" w:rsidR="00126D8D" w:rsidRPr="004A4899" w:rsidRDefault="00126D8D" w:rsidP="00820288">
            <w:pPr>
              <w:spacing w:line="240" w:lineRule="auto"/>
              <w:rPr>
                <w:rFonts w:ascii="Times New Roman" w:hAnsi="Times New Roman" w:cs="Times New Roman"/>
                <w:sz w:val="13"/>
                <w:szCs w:val="13"/>
              </w:rPr>
            </w:pPr>
          </w:p>
        </w:tc>
        <w:tc>
          <w:tcPr>
            <w:tcW w:w="377" w:type="dxa"/>
            <w:noWrap/>
            <w:vAlign w:val="center"/>
            <w:hideMark/>
          </w:tcPr>
          <w:p w14:paraId="47CE6D14" w14:textId="77777777" w:rsidR="00126D8D" w:rsidRPr="004A4899" w:rsidRDefault="00126D8D" w:rsidP="00820288">
            <w:pPr>
              <w:spacing w:line="240" w:lineRule="auto"/>
              <w:jc w:val="right"/>
              <w:rPr>
                <w:rFonts w:ascii="Times New Roman" w:hAnsi="Times New Roman" w:cs="Times New Roman"/>
                <w:sz w:val="13"/>
                <w:szCs w:val="13"/>
              </w:rPr>
            </w:pPr>
          </w:p>
        </w:tc>
        <w:tc>
          <w:tcPr>
            <w:tcW w:w="326" w:type="dxa"/>
            <w:noWrap/>
            <w:vAlign w:val="center"/>
            <w:hideMark/>
          </w:tcPr>
          <w:p w14:paraId="553B72B4" w14:textId="77777777" w:rsidR="00126D8D" w:rsidRPr="004A4899" w:rsidRDefault="00126D8D" w:rsidP="00820288">
            <w:pPr>
              <w:spacing w:line="240" w:lineRule="auto"/>
              <w:rPr>
                <w:rFonts w:ascii="Times New Roman" w:hAnsi="Times New Roman" w:cs="Times New Roman"/>
                <w:sz w:val="13"/>
                <w:szCs w:val="13"/>
              </w:rPr>
            </w:pPr>
          </w:p>
        </w:tc>
        <w:tc>
          <w:tcPr>
            <w:tcW w:w="377" w:type="dxa"/>
            <w:noWrap/>
            <w:vAlign w:val="center"/>
            <w:hideMark/>
          </w:tcPr>
          <w:p w14:paraId="64AC4672" w14:textId="77777777" w:rsidR="00126D8D" w:rsidRPr="004A4899" w:rsidRDefault="00126D8D" w:rsidP="00820288">
            <w:pPr>
              <w:spacing w:line="240" w:lineRule="auto"/>
              <w:jc w:val="right"/>
              <w:rPr>
                <w:rFonts w:ascii="Times New Roman" w:hAnsi="Times New Roman" w:cs="Times New Roman"/>
                <w:sz w:val="13"/>
                <w:szCs w:val="13"/>
              </w:rPr>
            </w:pPr>
          </w:p>
        </w:tc>
        <w:tc>
          <w:tcPr>
            <w:tcW w:w="252" w:type="dxa"/>
            <w:noWrap/>
            <w:vAlign w:val="center"/>
            <w:hideMark/>
          </w:tcPr>
          <w:p w14:paraId="40176233" w14:textId="77777777" w:rsidR="00126D8D" w:rsidRPr="004A4899" w:rsidRDefault="00126D8D" w:rsidP="00820288">
            <w:pPr>
              <w:spacing w:line="240" w:lineRule="auto"/>
              <w:rPr>
                <w:rFonts w:ascii="Times New Roman" w:hAnsi="Times New Roman" w:cs="Times New Roman"/>
                <w:sz w:val="13"/>
                <w:szCs w:val="13"/>
              </w:rPr>
            </w:pPr>
          </w:p>
        </w:tc>
        <w:tc>
          <w:tcPr>
            <w:tcW w:w="377" w:type="dxa"/>
            <w:noWrap/>
            <w:vAlign w:val="center"/>
            <w:hideMark/>
          </w:tcPr>
          <w:p w14:paraId="5C1F0FC0" w14:textId="77777777" w:rsidR="00126D8D" w:rsidRPr="004A4899" w:rsidRDefault="00126D8D" w:rsidP="00820288">
            <w:pPr>
              <w:spacing w:line="240" w:lineRule="auto"/>
              <w:jc w:val="right"/>
              <w:rPr>
                <w:rFonts w:ascii="Times New Roman" w:hAnsi="Times New Roman" w:cs="Times New Roman"/>
                <w:sz w:val="13"/>
                <w:szCs w:val="13"/>
              </w:rPr>
            </w:pPr>
          </w:p>
        </w:tc>
        <w:tc>
          <w:tcPr>
            <w:tcW w:w="273" w:type="dxa"/>
            <w:noWrap/>
            <w:vAlign w:val="center"/>
            <w:hideMark/>
          </w:tcPr>
          <w:p w14:paraId="2EAC0EB2" w14:textId="77777777" w:rsidR="00126D8D" w:rsidRPr="004A4899" w:rsidRDefault="00126D8D" w:rsidP="00820288">
            <w:pPr>
              <w:spacing w:line="240" w:lineRule="auto"/>
              <w:rPr>
                <w:rFonts w:ascii="Times New Roman" w:hAnsi="Times New Roman" w:cs="Times New Roman"/>
                <w:sz w:val="13"/>
                <w:szCs w:val="13"/>
              </w:rPr>
            </w:pPr>
          </w:p>
        </w:tc>
        <w:tc>
          <w:tcPr>
            <w:tcW w:w="377" w:type="dxa"/>
            <w:noWrap/>
            <w:vAlign w:val="center"/>
            <w:hideMark/>
          </w:tcPr>
          <w:p w14:paraId="19BC8341" w14:textId="77777777" w:rsidR="00126D8D" w:rsidRPr="004A4899" w:rsidRDefault="00126D8D" w:rsidP="00820288">
            <w:pPr>
              <w:spacing w:line="240" w:lineRule="auto"/>
              <w:jc w:val="right"/>
              <w:rPr>
                <w:rFonts w:ascii="Times New Roman" w:hAnsi="Times New Roman" w:cs="Times New Roman"/>
                <w:sz w:val="13"/>
                <w:szCs w:val="13"/>
              </w:rPr>
            </w:pPr>
          </w:p>
        </w:tc>
        <w:tc>
          <w:tcPr>
            <w:tcW w:w="273" w:type="dxa"/>
            <w:noWrap/>
            <w:vAlign w:val="center"/>
            <w:hideMark/>
          </w:tcPr>
          <w:p w14:paraId="70041E1E" w14:textId="77777777" w:rsidR="00126D8D" w:rsidRPr="004A4899" w:rsidRDefault="00126D8D" w:rsidP="00820288">
            <w:pPr>
              <w:spacing w:line="240" w:lineRule="auto"/>
              <w:rPr>
                <w:rFonts w:ascii="Times New Roman" w:hAnsi="Times New Roman" w:cs="Times New Roman"/>
                <w:sz w:val="13"/>
                <w:szCs w:val="13"/>
              </w:rPr>
            </w:pPr>
          </w:p>
        </w:tc>
      </w:tr>
      <w:tr w:rsidR="00126D8D" w:rsidRPr="004A4899" w14:paraId="0275E0A0" w14:textId="77777777" w:rsidTr="00820288">
        <w:trPr>
          <w:trHeight w:val="173"/>
        </w:trPr>
        <w:tc>
          <w:tcPr>
            <w:tcW w:w="1440" w:type="dxa"/>
            <w:noWrap/>
            <w:vAlign w:val="center"/>
            <w:hideMark/>
          </w:tcPr>
          <w:p w14:paraId="63FE7DC9" w14:textId="77777777" w:rsidR="00126D8D" w:rsidRPr="004A4899" w:rsidRDefault="00126D8D" w:rsidP="00820288">
            <w:pPr>
              <w:spacing w:line="240" w:lineRule="auto"/>
              <w:rPr>
                <w:rFonts w:ascii="Times New Roman" w:hAnsi="Times New Roman" w:cs="Times New Roman"/>
                <w:sz w:val="12"/>
                <w:szCs w:val="12"/>
              </w:rPr>
            </w:pPr>
            <w:r w:rsidRPr="004A4899">
              <w:rPr>
                <w:rFonts w:ascii="Times New Roman" w:hAnsi="Times New Roman" w:cs="Times New Roman"/>
                <w:sz w:val="12"/>
                <w:szCs w:val="12"/>
              </w:rPr>
              <w:t>3-Menthene</w:t>
            </w:r>
          </w:p>
        </w:tc>
        <w:tc>
          <w:tcPr>
            <w:tcW w:w="377" w:type="dxa"/>
            <w:noWrap/>
            <w:vAlign w:val="center"/>
            <w:hideMark/>
          </w:tcPr>
          <w:p w14:paraId="352C77AA" w14:textId="77777777" w:rsidR="00126D8D" w:rsidRPr="004A4899" w:rsidRDefault="00126D8D" w:rsidP="00820288">
            <w:pPr>
              <w:spacing w:line="240" w:lineRule="auto"/>
              <w:jc w:val="right"/>
              <w:rPr>
                <w:rFonts w:ascii="Times New Roman" w:hAnsi="Times New Roman" w:cs="Times New Roman"/>
                <w:sz w:val="13"/>
                <w:szCs w:val="13"/>
              </w:rPr>
            </w:pPr>
            <w:r w:rsidRPr="004A4899">
              <w:rPr>
                <w:rFonts w:ascii="Times New Roman" w:hAnsi="Times New Roman" w:cs="Times New Roman"/>
                <w:sz w:val="13"/>
                <w:szCs w:val="13"/>
              </w:rPr>
              <w:t>35.99</w:t>
            </w:r>
          </w:p>
        </w:tc>
        <w:tc>
          <w:tcPr>
            <w:tcW w:w="274" w:type="dxa"/>
            <w:noWrap/>
            <w:vAlign w:val="center"/>
            <w:hideMark/>
          </w:tcPr>
          <w:p w14:paraId="05F780F7" w14:textId="77777777" w:rsidR="00126D8D" w:rsidRPr="004A4899" w:rsidRDefault="00126D8D" w:rsidP="00820288">
            <w:pPr>
              <w:spacing w:line="240" w:lineRule="auto"/>
              <w:rPr>
                <w:rFonts w:ascii="Times New Roman" w:hAnsi="Times New Roman" w:cs="Times New Roman"/>
                <w:sz w:val="13"/>
                <w:szCs w:val="13"/>
              </w:rPr>
            </w:pPr>
            <w:r w:rsidRPr="004A4899">
              <w:rPr>
                <w:rFonts w:ascii="Times New Roman" w:hAnsi="Times New Roman" w:cs="Times New Roman"/>
                <w:sz w:val="13"/>
                <w:szCs w:val="13"/>
              </w:rPr>
              <w:t>abcd</w:t>
            </w:r>
          </w:p>
        </w:tc>
        <w:tc>
          <w:tcPr>
            <w:tcW w:w="411" w:type="dxa"/>
            <w:noWrap/>
            <w:vAlign w:val="center"/>
            <w:hideMark/>
          </w:tcPr>
          <w:p w14:paraId="031B2CCC" w14:textId="77777777" w:rsidR="00126D8D" w:rsidRPr="004A4899" w:rsidRDefault="00126D8D" w:rsidP="00820288">
            <w:pPr>
              <w:spacing w:line="240" w:lineRule="auto"/>
              <w:jc w:val="right"/>
              <w:rPr>
                <w:rFonts w:ascii="Times New Roman" w:hAnsi="Times New Roman" w:cs="Times New Roman"/>
                <w:sz w:val="13"/>
                <w:szCs w:val="13"/>
              </w:rPr>
            </w:pPr>
            <w:r w:rsidRPr="004A4899">
              <w:rPr>
                <w:rFonts w:ascii="Times New Roman" w:hAnsi="Times New Roman" w:cs="Times New Roman"/>
                <w:sz w:val="13"/>
                <w:szCs w:val="13"/>
              </w:rPr>
              <w:t>20.38</w:t>
            </w:r>
          </w:p>
        </w:tc>
        <w:tc>
          <w:tcPr>
            <w:tcW w:w="239" w:type="dxa"/>
            <w:noWrap/>
            <w:vAlign w:val="center"/>
            <w:hideMark/>
          </w:tcPr>
          <w:p w14:paraId="44922FE7" w14:textId="77777777" w:rsidR="00126D8D" w:rsidRPr="004A4899" w:rsidRDefault="00126D8D" w:rsidP="00820288">
            <w:pPr>
              <w:spacing w:line="240" w:lineRule="auto"/>
              <w:rPr>
                <w:rFonts w:ascii="Times New Roman" w:hAnsi="Times New Roman" w:cs="Times New Roman"/>
                <w:sz w:val="13"/>
                <w:szCs w:val="13"/>
              </w:rPr>
            </w:pPr>
            <w:r w:rsidRPr="004A4899">
              <w:rPr>
                <w:rFonts w:ascii="Times New Roman" w:hAnsi="Times New Roman" w:cs="Times New Roman"/>
                <w:sz w:val="13"/>
                <w:szCs w:val="13"/>
              </w:rPr>
              <w:t>d</w:t>
            </w:r>
          </w:p>
        </w:tc>
        <w:tc>
          <w:tcPr>
            <w:tcW w:w="377" w:type="dxa"/>
            <w:noWrap/>
            <w:vAlign w:val="center"/>
            <w:hideMark/>
          </w:tcPr>
          <w:p w14:paraId="374487B0" w14:textId="77777777" w:rsidR="00126D8D" w:rsidRPr="004A4899" w:rsidRDefault="00126D8D" w:rsidP="00820288">
            <w:pPr>
              <w:spacing w:line="240" w:lineRule="auto"/>
              <w:jc w:val="right"/>
              <w:rPr>
                <w:rFonts w:ascii="Times New Roman" w:hAnsi="Times New Roman" w:cs="Times New Roman"/>
                <w:sz w:val="13"/>
                <w:szCs w:val="13"/>
              </w:rPr>
            </w:pPr>
            <w:r w:rsidRPr="004A4899">
              <w:rPr>
                <w:rFonts w:ascii="Times New Roman" w:hAnsi="Times New Roman" w:cs="Times New Roman"/>
                <w:sz w:val="13"/>
                <w:szCs w:val="13"/>
              </w:rPr>
              <w:t>25.47</w:t>
            </w:r>
          </w:p>
        </w:tc>
        <w:tc>
          <w:tcPr>
            <w:tcW w:w="273" w:type="dxa"/>
            <w:noWrap/>
            <w:vAlign w:val="center"/>
            <w:hideMark/>
          </w:tcPr>
          <w:p w14:paraId="5B164274" w14:textId="77777777" w:rsidR="00126D8D" w:rsidRPr="004A4899" w:rsidRDefault="00126D8D" w:rsidP="00820288">
            <w:pPr>
              <w:spacing w:line="240" w:lineRule="auto"/>
              <w:rPr>
                <w:rFonts w:ascii="Times New Roman" w:hAnsi="Times New Roman" w:cs="Times New Roman"/>
                <w:sz w:val="13"/>
                <w:szCs w:val="13"/>
              </w:rPr>
            </w:pPr>
            <w:r w:rsidRPr="004A4899">
              <w:rPr>
                <w:rFonts w:ascii="Times New Roman" w:hAnsi="Times New Roman" w:cs="Times New Roman"/>
                <w:sz w:val="13"/>
                <w:szCs w:val="13"/>
              </w:rPr>
              <w:t>bcd</w:t>
            </w:r>
          </w:p>
        </w:tc>
        <w:tc>
          <w:tcPr>
            <w:tcW w:w="377" w:type="dxa"/>
            <w:noWrap/>
            <w:vAlign w:val="center"/>
            <w:hideMark/>
          </w:tcPr>
          <w:p w14:paraId="00003BFA" w14:textId="77777777" w:rsidR="00126D8D" w:rsidRPr="004A4899" w:rsidRDefault="00126D8D" w:rsidP="00820288">
            <w:pPr>
              <w:spacing w:line="240" w:lineRule="auto"/>
              <w:jc w:val="right"/>
              <w:rPr>
                <w:rFonts w:ascii="Times New Roman" w:hAnsi="Times New Roman" w:cs="Times New Roman"/>
                <w:sz w:val="13"/>
                <w:szCs w:val="13"/>
              </w:rPr>
            </w:pPr>
            <w:r w:rsidRPr="004A4899">
              <w:rPr>
                <w:rFonts w:ascii="Times New Roman" w:hAnsi="Times New Roman" w:cs="Times New Roman"/>
                <w:sz w:val="13"/>
                <w:szCs w:val="13"/>
              </w:rPr>
              <w:t>31.81</w:t>
            </w:r>
          </w:p>
        </w:tc>
        <w:tc>
          <w:tcPr>
            <w:tcW w:w="273" w:type="dxa"/>
            <w:noWrap/>
            <w:vAlign w:val="center"/>
            <w:hideMark/>
          </w:tcPr>
          <w:p w14:paraId="2409A583" w14:textId="77777777" w:rsidR="00126D8D" w:rsidRPr="004A4899" w:rsidRDefault="00126D8D" w:rsidP="00820288">
            <w:pPr>
              <w:spacing w:line="240" w:lineRule="auto"/>
              <w:rPr>
                <w:rFonts w:ascii="Times New Roman" w:hAnsi="Times New Roman" w:cs="Times New Roman"/>
                <w:sz w:val="13"/>
                <w:szCs w:val="13"/>
              </w:rPr>
            </w:pPr>
            <w:r w:rsidRPr="004A4899">
              <w:rPr>
                <w:rFonts w:ascii="Times New Roman" w:hAnsi="Times New Roman" w:cs="Times New Roman"/>
                <w:sz w:val="13"/>
                <w:szCs w:val="13"/>
              </w:rPr>
              <w:t>abcd</w:t>
            </w:r>
          </w:p>
        </w:tc>
        <w:tc>
          <w:tcPr>
            <w:tcW w:w="377" w:type="dxa"/>
            <w:noWrap/>
            <w:vAlign w:val="center"/>
            <w:hideMark/>
          </w:tcPr>
          <w:p w14:paraId="211F5534" w14:textId="77777777" w:rsidR="00126D8D" w:rsidRPr="004A4899" w:rsidRDefault="00126D8D" w:rsidP="00820288">
            <w:pPr>
              <w:spacing w:line="240" w:lineRule="auto"/>
              <w:jc w:val="right"/>
              <w:rPr>
                <w:rFonts w:ascii="Times New Roman" w:hAnsi="Times New Roman" w:cs="Times New Roman"/>
                <w:sz w:val="13"/>
                <w:szCs w:val="13"/>
              </w:rPr>
            </w:pPr>
            <w:r w:rsidRPr="004A4899">
              <w:rPr>
                <w:rFonts w:ascii="Times New Roman" w:hAnsi="Times New Roman" w:cs="Times New Roman"/>
                <w:sz w:val="13"/>
                <w:szCs w:val="13"/>
              </w:rPr>
              <w:t>41.70</w:t>
            </w:r>
          </w:p>
        </w:tc>
        <w:tc>
          <w:tcPr>
            <w:tcW w:w="326" w:type="dxa"/>
            <w:noWrap/>
            <w:vAlign w:val="center"/>
            <w:hideMark/>
          </w:tcPr>
          <w:p w14:paraId="4A147F83" w14:textId="77777777" w:rsidR="00126D8D" w:rsidRPr="004A4899" w:rsidRDefault="00126D8D" w:rsidP="00820288">
            <w:pPr>
              <w:spacing w:line="240" w:lineRule="auto"/>
              <w:rPr>
                <w:rFonts w:ascii="Times New Roman" w:hAnsi="Times New Roman" w:cs="Times New Roman"/>
                <w:sz w:val="13"/>
                <w:szCs w:val="13"/>
              </w:rPr>
            </w:pPr>
            <w:r w:rsidRPr="004A4899">
              <w:rPr>
                <w:rFonts w:ascii="Times New Roman" w:hAnsi="Times New Roman" w:cs="Times New Roman"/>
                <w:sz w:val="13"/>
                <w:szCs w:val="13"/>
              </w:rPr>
              <w:t>abcd</w:t>
            </w:r>
          </w:p>
        </w:tc>
        <w:tc>
          <w:tcPr>
            <w:tcW w:w="377" w:type="dxa"/>
            <w:noWrap/>
            <w:vAlign w:val="center"/>
            <w:hideMark/>
          </w:tcPr>
          <w:p w14:paraId="0F6C9358" w14:textId="77777777" w:rsidR="00126D8D" w:rsidRPr="004A4899" w:rsidRDefault="00126D8D" w:rsidP="00820288">
            <w:pPr>
              <w:spacing w:line="240" w:lineRule="auto"/>
              <w:jc w:val="right"/>
              <w:rPr>
                <w:rFonts w:ascii="Times New Roman" w:hAnsi="Times New Roman" w:cs="Times New Roman"/>
                <w:sz w:val="13"/>
                <w:szCs w:val="13"/>
              </w:rPr>
            </w:pPr>
            <w:r w:rsidRPr="004A4899">
              <w:rPr>
                <w:rFonts w:ascii="Times New Roman" w:hAnsi="Times New Roman" w:cs="Times New Roman"/>
                <w:sz w:val="13"/>
                <w:szCs w:val="13"/>
              </w:rPr>
              <w:t>39.30</w:t>
            </w:r>
          </w:p>
        </w:tc>
        <w:tc>
          <w:tcPr>
            <w:tcW w:w="326" w:type="dxa"/>
            <w:noWrap/>
            <w:vAlign w:val="center"/>
            <w:hideMark/>
          </w:tcPr>
          <w:p w14:paraId="535D46C6" w14:textId="77777777" w:rsidR="00126D8D" w:rsidRPr="004A4899" w:rsidRDefault="00126D8D" w:rsidP="00820288">
            <w:pPr>
              <w:spacing w:line="240" w:lineRule="auto"/>
              <w:rPr>
                <w:rFonts w:ascii="Times New Roman" w:hAnsi="Times New Roman" w:cs="Times New Roman"/>
                <w:sz w:val="13"/>
                <w:szCs w:val="13"/>
              </w:rPr>
            </w:pPr>
            <w:r w:rsidRPr="004A4899">
              <w:rPr>
                <w:rFonts w:ascii="Times New Roman" w:hAnsi="Times New Roman" w:cs="Times New Roman"/>
                <w:sz w:val="13"/>
                <w:szCs w:val="13"/>
              </w:rPr>
              <w:t>abcd</w:t>
            </w:r>
          </w:p>
        </w:tc>
        <w:tc>
          <w:tcPr>
            <w:tcW w:w="377" w:type="dxa"/>
            <w:noWrap/>
            <w:vAlign w:val="center"/>
            <w:hideMark/>
          </w:tcPr>
          <w:p w14:paraId="3C70EF6C" w14:textId="77777777" w:rsidR="00126D8D" w:rsidRPr="004A4899" w:rsidRDefault="00126D8D" w:rsidP="00820288">
            <w:pPr>
              <w:spacing w:line="240" w:lineRule="auto"/>
              <w:jc w:val="right"/>
              <w:rPr>
                <w:rFonts w:ascii="Times New Roman" w:hAnsi="Times New Roman" w:cs="Times New Roman"/>
                <w:sz w:val="13"/>
                <w:szCs w:val="13"/>
              </w:rPr>
            </w:pPr>
            <w:r w:rsidRPr="004A4899">
              <w:rPr>
                <w:rFonts w:ascii="Times New Roman" w:hAnsi="Times New Roman" w:cs="Times New Roman"/>
                <w:sz w:val="13"/>
                <w:szCs w:val="13"/>
              </w:rPr>
              <w:t>45.50</w:t>
            </w:r>
          </w:p>
        </w:tc>
        <w:tc>
          <w:tcPr>
            <w:tcW w:w="219" w:type="dxa"/>
            <w:noWrap/>
            <w:vAlign w:val="center"/>
            <w:hideMark/>
          </w:tcPr>
          <w:p w14:paraId="539DE5BD" w14:textId="77777777" w:rsidR="00126D8D" w:rsidRPr="004A4899" w:rsidRDefault="00126D8D" w:rsidP="00820288">
            <w:pPr>
              <w:spacing w:line="240" w:lineRule="auto"/>
              <w:rPr>
                <w:rFonts w:ascii="Times New Roman" w:hAnsi="Times New Roman" w:cs="Times New Roman"/>
                <w:sz w:val="13"/>
                <w:szCs w:val="13"/>
              </w:rPr>
            </w:pPr>
            <w:r w:rsidRPr="004A4899">
              <w:rPr>
                <w:rFonts w:ascii="Times New Roman" w:hAnsi="Times New Roman" w:cs="Times New Roman"/>
                <w:sz w:val="13"/>
                <w:szCs w:val="13"/>
              </w:rPr>
              <w:t>abc</w:t>
            </w:r>
          </w:p>
        </w:tc>
        <w:tc>
          <w:tcPr>
            <w:tcW w:w="377" w:type="dxa"/>
            <w:noWrap/>
            <w:vAlign w:val="center"/>
            <w:hideMark/>
          </w:tcPr>
          <w:p w14:paraId="6B8365E4" w14:textId="77777777" w:rsidR="00126D8D" w:rsidRPr="004A4899" w:rsidRDefault="00126D8D" w:rsidP="00820288">
            <w:pPr>
              <w:spacing w:line="240" w:lineRule="auto"/>
              <w:jc w:val="right"/>
              <w:rPr>
                <w:rFonts w:ascii="Times New Roman" w:hAnsi="Times New Roman" w:cs="Times New Roman"/>
                <w:sz w:val="13"/>
                <w:szCs w:val="13"/>
              </w:rPr>
            </w:pPr>
            <w:r w:rsidRPr="004A4899">
              <w:rPr>
                <w:rFonts w:ascii="Times New Roman" w:hAnsi="Times New Roman" w:cs="Times New Roman"/>
                <w:sz w:val="13"/>
                <w:szCs w:val="13"/>
              </w:rPr>
              <w:t>48.01</w:t>
            </w:r>
          </w:p>
        </w:tc>
        <w:tc>
          <w:tcPr>
            <w:tcW w:w="159" w:type="dxa"/>
            <w:noWrap/>
            <w:vAlign w:val="center"/>
            <w:hideMark/>
          </w:tcPr>
          <w:p w14:paraId="2AE8BAB0" w14:textId="77777777" w:rsidR="00126D8D" w:rsidRPr="004A4899" w:rsidRDefault="00126D8D" w:rsidP="00820288">
            <w:pPr>
              <w:spacing w:line="240" w:lineRule="auto"/>
              <w:rPr>
                <w:rFonts w:ascii="Times New Roman" w:hAnsi="Times New Roman" w:cs="Times New Roman"/>
                <w:sz w:val="13"/>
                <w:szCs w:val="13"/>
              </w:rPr>
            </w:pPr>
            <w:r w:rsidRPr="004A4899">
              <w:rPr>
                <w:rFonts w:ascii="Times New Roman" w:hAnsi="Times New Roman" w:cs="Times New Roman"/>
                <w:sz w:val="13"/>
                <w:szCs w:val="13"/>
              </w:rPr>
              <w:t>ab</w:t>
            </w:r>
          </w:p>
        </w:tc>
        <w:tc>
          <w:tcPr>
            <w:tcW w:w="377" w:type="dxa"/>
            <w:noWrap/>
            <w:vAlign w:val="center"/>
            <w:hideMark/>
          </w:tcPr>
          <w:p w14:paraId="3D4ECA47" w14:textId="77777777" w:rsidR="00126D8D" w:rsidRPr="004A4899" w:rsidRDefault="00126D8D" w:rsidP="00820288">
            <w:pPr>
              <w:spacing w:line="240" w:lineRule="auto"/>
              <w:jc w:val="right"/>
              <w:rPr>
                <w:rFonts w:ascii="Times New Roman" w:hAnsi="Times New Roman" w:cs="Times New Roman"/>
                <w:sz w:val="13"/>
                <w:szCs w:val="13"/>
              </w:rPr>
            </w:pPr>
            <w:r w:rsidRPr="004A4899">
              <w:rPr>
                <w:rFonts w:ascii="Times New Roman" w:hAnsi="Times New Roman" w:cs="Times New Roman"/>
                <w:sz w:val="13"/>
                <w:szCs w:val="13"/>
              </w:rPr>
              <w:t>53.10</w:t>
            </w:r>
          </w:p>
        </w:tc>
        <w:tc>
          <w:tcPr>
            <w:tcW w:w="326" w:type="dxa"/>
            <w:noWrap/>
            <w:vAlign w:val="center"/>
            <w:hideMark/>
          </w:tcPr>
          <w:p w14:paraId="12B2E58E" w14:textId="77777777" w:rsidR="00126D8D" w:rsidRPr="004A4899" w:rsidRDefault="00126D8D" w:rsidP="00820288">
            <w:pPr>
              <w:spacing w:line="240" w:lineRule="auto"/>
              <w:rPr>
                <w:rFonts w:ascii="Times New Roman" w:hAnsi="Times New Roman" w:cs="Times New Roman"/>
                <w:sz w:val="13"/>
                <w:szCs w:val="13"/>
              </w:rPr>
            </w:pPr>
            <w:r w:rsidRPr="004A4899">
              <w:rPr>
                <w:rFonts w:ascii="Times New Roman" w:hAnsi="Times New Roman" w:cs="Times New Roman"/>
                <w:sz w:val="13"/>
                <w:szCs w:val="13"/>
              </w:rPr>
              <w:t>a</w:t>
            </w:r>
          </w:p>
        </w:tc>
        <w:tc>
          <w:tcPr>
            <w:tcW w:w="377" w:type="dxa"/>
            <w:noWrap/>
            <w:vAlign w:val="center"/>
            <w:hideMark/>
          </w:tcPr>
          <w:p w14:paraId="741D314E" w14:textId="77777777" w:rsidR="00126D8D" w:rsidRPr="004A4899" w:rsidRDefault="00126D8D" w:rsidP="00820288">
            <w:pPr>
              <w:spacing w:line="240" w:lineRule="auto"/>
              <w:jc w:val="right"/>
              <w:rPr>
                <w:rFonts w:ascii="Times New Roman" w:hAnsi="Times New Roman" w:cs="Times New Roman"/>
                <w:sz w:val="13"/>
                <w:szCs w:val="13"/>
              </w:rPr>
            </w:pPr>
            <w:r w:rsidRPr="004A4899">
              <w:rPr>
                <w:rFonts w:ascii="Times New Roman" w:hAnsi="Times New Roman" w:cs="Times New Roman"/>
                <w:sz w:val="13"/>
                <w:szCs w:val="13"/>
              </w:rPr>
              <w:t>29.57</w:t>
            </w:r>
          </w:p>
        </w:tc>
        <w:tc>
          <w:tcPr>
            <w:tcW w:w="252" w:type="dxa"/>
            <w:noWrap/>
            <w:vAlign w:val="center"/>
            <w:hideMark/>
          </w:tcPr>
          <w:p w14:paraId="1EF96A6F" w14:textId="77777777" w:rsidR="00126D8D" w:rsidRPr="004A4899" w:rsidRDefault="00126D8D" w:rsidP="00820288">
            <w:pPr>
              <w:spacing w:line="240" w:lineRule="auto"/>
              <w:rPr>
                <w:rFonts w:ascii="Times New Roman" w:hAnsi="Times New Roman" w:cs="Times New Roman"/>
                <w:sz w:val="13"/>
                <w:szCs w:val="13"/>
              </w:rPr>
            </w:pPr>
            <w:r w:rsidRPr="004A4899">
              <w:rPr>
                <w:rFonts w:ascii="Times New Roman" w:hAnsi="Times New Roman" w:cs="Times New Roman"/>
                <w:sz w:val="13"/>
                <w:szCs w:val="13"/>
              </w:rPr>
              <w:t>bcd</w:t>
            </w:r>
          </w:p>
        </w:tc>
        <w:tc>
          <w:tcPr>
            <w:tcW w:w="377" w:type="dxa"/>
            <w:noWrap/>
            <w:vAlign w:val="center"/>
            <w:hideMark/>
          </w:tcPr>
          <w:p w14:paraId="6174E9C8" w14:textId="77777777" w:rsidR="00126D8D" w:rsidRPr="004A4899" w:rsidRDefault="00126D8D" w:rsidP="00820288">
            <w:pPr>
              <w:spacing w:line="240" w:lineRule="auto"/>
              <w:jc w:val="right"/>
              <w:rPr>
                <w:rFonts w:ascii="Times New Roman" w:hAnsi="Times New Roman" w:cs="Times New Roman"/>
                <w:sz w:val="13"/>
                <w:szCs w:val="13"/>
              </w:rPr>
            </w:pPr>
            <w:r w:rsidRPr="004A4899">
              <w:rPr>
                <w:rFonts w:ascii="Times New Roman" w:hAnsi="Times New Roman" w:cs="Times New Roman"/>
                <w:sz w:val="13"/>
                <w:szCs w:val="13"/>
              </w:rPr>
              <w:t>24.96</w:t>
            </w:r>
          </w:p>
        </w:tc>
        <w:tc>
          <w:tcPr>
            <w:tcW w:w="273" w:type="dxa"/>
            <w:noWrap/>
            <w:vAlign w:val="center"/>
            <w:hideMark/>
          </w:tcPr>
          <w:p w14:paraId="5D39861B" w14:textId="77777777" w:rsidR="00126D8D" w:rsidRPr="004A4899" w:rsidRDefault="00126D8D" w:rsidP="00820288">
            <w:pPr>
              <w:spacing w:line="240" w:lineRule="auto"/>
              <w:rPr>
                <w:rFonts w:ascii="Times New Roman" w:hAnsi="Times New Roman" w:cs="Times New Roman"/>
                <w:sz w:val="13"/>
                <w:szCs w:val="13"/>
              </w:rPr>
            </w:pPr>
            <w:r w:rsidRPr="004A4899">
              <w:rPr>
                <w:rFonts w:ascii="Times New Roman" w:hAnsi="Times New Roman" w:cs="Times New Roman"/>
                <w:sz w:val="13"/>
                <w:szCs w:val="13"/>
              </w:rPr>
              <w:t>cd</w:t>
            </w:r>
          </w:p>
        </w:tc>
        <w:tc>
          <w:tcPr>
            <w:tcW w:w="377" w:type="dxa"/>
            <w:noWrap/>
            <w:vAlign w:val="center"/>
            <w:hideMark/>
          </w:tcPr>
          <w:p w14:paraId="02DA9B98" w14:textId="77777777" w:rsidR="00126D8D" w:rsidRPr="004A4899" w:rsidRDefault="00126D8D" w:rsidP="00820288">
            <w:pPr>
              <w:spacing w:line="240" w:lineRule="auto"/>
              <w:jc w:val="right"/>
              <w:rPr>
                <w:rFonts w:ascii="Times New Roman" w:hAnsi="Times New Roman" w:cs="Times New Roman"/>
                <w:sz w:val="13"/>
                <w:szCs w:val="13"/>
              </w:rPr>
            </w:pPr>
            <w:r w:rsidRPr="004A4899">
              <w:rPr>
                <w:rFonts w:ascii="Times New Roman" w:hAnsi="Times New Roman" w:cs="Times New Roman"/>
                <w:sz w:val="13"/>
                <w:szCs w:val="13"/>
              </w:rPr>
              <w:t>42.28</w:t>
            </w:r>
          </w:p>
        </w:tc>
        <w:tc>
          <w:tcPr>
            <w:tcW w:w="273" w:type="dxa"/>
            <w:noWrap/>
            <w:vAlign w:val="center"/>
            <w:hideMark/>
          </w:tcPr>
          <w:p w14:paraId="178FCB45" w14:textId="77777777" w:rsidR="00126D8D" w:rsidRPr="004A4899" w:rsidRDefault="00126D8D" w:rsidP="00820288">
            <w:pPr>
              <w:spacing w:line="240" w:lineRule="auto"/>
              <w:rPr>
                <w:rFonts w:ascii="Times New Roman" w:hAnsi="Times New Roman" w:cs="Times New Roman"/>
                <w:sz w:val="13"/>
                <w:szCs w:val="13"/>
              </w:rPr>
            </w:pPr>
            <w:r w:rsidRPr="004A4899">
              <w:rPr>
                <w:rFonts w:ascii="Times New Roman" w:hAnsi="Times New Roman" w:cs="Times New Roman"/>
                <w:sz w:val="13"/>
                <w:szCs w:val="13"/>
              </w:rPr>
              <w:t>abcd</w:t>
            </w:r>
          </w:p>
        </w:tc>
      </w:tr>
      <w:tr w:rsidR="00126D8D" w:rsidRPr="004A4899" w14:paraId="7A15579D" w14:textId="77777777" w:rsidTr="00820288">
        <w:trPr>
          <w:trHeight w:val="173"/>
        </w:trPr>
        <w:tc>
          <w:tcPr>
            <w:tcW w:w="1440" w:type="dxa"/>
            <w:noWrap/>
            <w:vAlign w:val="center"/>
            <w:hideMark/>
          </w:tcPr>
          <w:p w14:paraId="7F371A56" w14:textId="77777777" w:rsidR="00126D8D" w:rsidRPr="004A4899" w:rsidRDefault="00126D8D" w:rsidP="00820288">
            <w:pPr>
              <w:spacing w:line="240" w:lineRule="auto"/>
              <w:rPr>
                <w:rFonts w:ascii="Times New Roman" w:hAnsi="Times New Roman" w:cs="Times New Roman"/>
                <w:sz w:val="12"/>
                <w:szCs w:val="12"/>
              </w:rPr>
            </w:pPr>
            <w:r w:rsidRPr="004A4899">
              <w:rPr>
                <w:rFonts w:ascii="Times New Roman" w:hAnsi="Times New Roman" w:cs="Times New Roman"/>
                <w:sz w:val="12"/>
                <w:szCs w:val="12"/>
              </w:rPr>
              <w:t>d-Limonene</w:t>
            </w:r>
          </w:p>
        </w:tc>
        <w:tc>
          <w:tcPr>
            <w:tcW w:w="377" w:type="dxa"/>
            <w:noWrap/>
            <w:vAlign w:val="center"/>
            <w:hideMark/>
          </w:tcPr>
          <w:p w14:paraId="7FFA48A1" w14:textId="77777777" w:rsidR="00126D8D" w:rsidRPr="004A4899" w:rsidRDefault="00126D8D" w:rsidP="00820288">
            <w:pPr>
              <w:spacing w:line="240" w:lineRule="auto"/>
              <w:jc w:val="right"/>
              <w:rPr>
                <w:rFonts w:ascii="Times New Roman" w:hAnsi="Times New Roman" w:cs="Times New Roman"/>
                <w:sz w:val="13"/>
                <w:szCs w:val="13"/>
              </w:rPr>
            </w:pPr>
            <w:r w:rsidRPr="004A4899">
              <w:rPr>
                <w:rFonts w:ascii="Times New Roman" w:hAnsi="Times New Roman" w:cs="Times New Roman"/>
                <w:sz w:val="13"/>
                <w:szCs w:val="13"/>
              </w:rPr>
              <w:t>308.17</w:t>
            </w:r>
          </w:p>
        </w:tc>
        <w:tc>
          <w:tcPr>
            <w:tcW w:w="274" w:type="dxa"/>
            <w:noWrap/>
            <w:vAlign w:val="center"/>
            <w:hideMark/>
          </w:tcPr>
          <w:p w14:paraId="3FC15547" w14:textId="77777777" w:rsidR="00126D8D" w:rsidRPr="004A4899" w:rsidRDefault="00126D8D" w:rsidP="00820288">
            <w:pPr>
              <w:spacing w:line="240" w:lineRule="auto"/>
              <w:rPr>
                <w:rFonts w:ascii="Times New Roman" w:hAnsi="Times New Roman" w:cs="Times New Roman"/>
                <w:sz w:val="13"/>
                <w:szCs w:val="13"/>
              </w:rPr>
            </w:pPr>
            <w:r w:rsidRPr="004A4899">
              <w:rPr>
                <w:rFonts w:ascii="Times New Roman" w:hAnsi="Times New Roman" w:cs="Times New Roman"/>
                <w:sz w:val="13"/>
                <w:szCs w:val="13"/>
              </w:rPr>
              <w:t>bcd</w:t>
            </w:r>
          </w:p>
        </w:tc>
        <w:tc>
          <w:tcPr>
            <w:tcW w:w="411" w:type="dxa"/>
            <w:noWrap/>
            <w:vAlign w:val="center"/>
            <w:hideMark/>
          </w:tcPr>
          <w:p w14:paraId="76F16A51" w14:textId="77777777" w:rsidR="00126D8D" w:rsidRPr="004A4899" w:rsidRDefault="00126D8D" w:rsidP="00820288">
            <w:pPr>
              <w:spacing w:line="240" w:lineRule="auto"/>
              <w:jc w:val="right"/>
              <w:rPr>
                <w:rFonts w:ascii="Times New Roman" w:hAnsi="Times New Roman" w:cs="Times New Roman"/>
                <w:sz w:val="13"/>
                <w:szCs w:val="13"/>
              </w:rPr>
            </w:pPr>
            <w:r w:rsidRPr="004A4899">
              <w:rPr>
                <w:rFonts w:ascii="Times New Roman" w:hAnsi="Times New Roman" w:cs="Times New Roman"/>
                <w:sz w:val="13"/>
                <w:szCs w:val="13"/>
              </w:rPr>
              <w:t>224.30</w:t>
            </w:r>
          </w:p>
        </w:tc>
        <w:tc>
          <w:tcPr>
            <w:tcW w:w="239" w:type="dxa"/>
            <w:noWrap/>
            <w:vAlign w:val="center"/>
            <w:hideMark/>
          </w:tcPr>
          <w:p w14:paraId="2688AA5A" w14:textId="77777777" w:rsidR="00126D8D" w:rsidRPr="004A4899" w:rsidRDefault="00126D8D" w:rsidP="00820288">
            <w:pPr>
              <w:spacing w:line="240" w:lineRule="auto"/>
              <w:rPr>
                <w:rFonts w:ascii="Times New Roman" w:hAnsi="Times New Roman" w:cs="Times New Roman"/>
                <w:sz w:val="13"/>
                <w:szCs w:val="13"/>
              </w:rPr>
            </w:pPr>
            <w:r w:rsidRPr="004A4899">
              <w:rPr>
                <w:rFonts w:ascii="Times New Roman" w:hAnsi="Times New Roman" w:cs="Times New Roman"/>
                <w:sz w:val="13"/>
                <w:szCs w:val="13"/>
              </w:rPr>
              <w:t>d</w:t>
            </w:r>
          </w:p>
        </w:tc>
        <w:tc>
          <w:tcPr>
            <w:tcW w:w="377" w:type="dxa"/>
            <w:noWrap/>
            <w:vAlign w:val="center"/>
            <w:hideMark/>
          </w:tcPr>
          <w:p w14:paraId="63FBFB29" w14:textId="77777777" w:rsidR="00126D8D" w:rsidRPr="004A4899" w:rsidRDefault="00126D8D" w:rsidP="00820288">
            <w:pPr>
              <w:spacing w:line="240" w:lineRule="auto"/>
              <w:jc w:val="right"/>
              <w:rPr>
                <w:rFonts w:ascii="Times New Roman" w:hAnsi="Times New Roman" w:cs="Times New Roman"/>
                <w:sz w:val="13"/>
                <w:szCs w:val="13"/>
              </w:rPr>
            </w:pPr>
            <w:r w:rsidRPr="004A4899">
              <w:rPr>
                <w:rFonts w:ascii="Times New Roman" w:hAnsi="Times New Roman" w:cs="Times New Roman"/>
                <w:sz w:val="13"/>
                <w:szCs w:val="13"/>
              </w:rPr>
              <w:t>271.77</w:t>
            </w:r>
          </w:p>
        </w:tc>
        <w:tc>
          <w:tcPr>
            <w:tcW w:w="273" w:type="dxa"/>
            <w:noWrap/>
            <w:vAlign w:val="center"/>
            <w:hideMark/>
          </w:tcPr>
          <w:p w14:paraId="54DF4423" w14:textId="77777777" w:rsidR="00126D8D" w:rsidRPr="004A4899" w:rsidRDefault="00126D8D" w:rsidP="00820288">
            <w:pPr>
              <w:spacing w:line="240" w:lineRule="auto"/>
              <w:rPr>
                <w:rFonts w:ascii="Times New Roman" w:hAnsi="Times New Roman" w:cs="Times New Roman"/>
                <w:sz w:val="13"/>
                <w:szCs w:val="13"/>
              </w:rPr>
            </w:pPr>
            <w:r w:rsidRPr="004A4899">
              <w:rPr>
                <w:rFonts w:ascii="Times New Roman" w:hAnsi="Times New Roman" w:cs="Times New Roman"/>
                <w:sz w:val="13"/>
                <w:szCs w:val="13"/>
              </w:rPr>
              <w:t>cd</w:t>
            </w:r>
          </w:p>
        </w:tc>
        <w:tc>
          <w:tcPr>
            <w:tcW w:w="377" w:type="dxa"/>
            <w:noWrap/>
            <w:vAlign w:val="center"/>
            <w:hideMark/>
          </w:tcPr>
          <w:p w14:paraId="1445D04E" w14:textId="77777777" w:rsidR="00126D8D" w:rsidRPr="004A4899" w:rsidRDefault="00126D8D" w:rsidP="00820288">
            <w:pPr>
              <w:spacing w:line="240" w:lineRule="auto"/>
              <w:jc w:val="right"/>
              <w:rPr>
                <w:rFonts w:ascii="Times New Roman" w:hAnsi="Times New Roman" w:cs="Times New Roman"/>
                <w:sz w:val="13"/>
                <w:szCs w:val="13"/>
              </w:rPr>
            </w:pPr>
            <w:r w:rsidRPr="004A4899">
              <w:rPr>
                <w:rFonts w:ascii="Times New Roman" w:hAnsi="Times New Roman" w:cs="Times New Roman"/>
                <w:sz w:val="13"/>
                <w:szCs w:val="13"/>
              </w:rPr>
              <w:t>343.69</w:t>
            </w:r>
          </w:p>
        </w:tc>
        <w:tc>
          <w:tcPr>
            <w:tcW w:w="273" w:type="dxa"/>
            <w:noWrap/>
            <w:vAlign w:val="center"/>
            <w:hideMark/>
          </w:tcPr>
          <w:p w14:paraId="5554EECA" w14:textId="77777777" w:rsidR="00126D8D" w:rsidRPr="004A4899" w:rsidRDefault="00126D8D" w:rsidP="00820288">
            <w:pPr>
              <w:spacing w:line="240" w:lineRule="auto"/>
              <w:rPr>
                <w:rFonts w:ascii="Times New Roman" w:hAnsi="Times New Roman" w:cs="Times New Roman"/>
                <w:sz w:val="13"/>
                <w:szCs w:val="13"/>
              </w:rPr>
            </w:pPr>
            <w:r w:rsidRPr="004A4899">
              <w:rPr>
                <w:rFonts w:ascii="Times New Roman" w:hAnsi="Times New Roman" w:cs="Times New Roman"/>
                <w:sz w:val="13"/>
                <w:szCs w:val="13"/>
              </w:rPr>
              <w:t>abc</w:t>
            </w:r>
          </w:p>
        </w:tc>
        <w:tc>
          <w:tcPr>
            <w:tcW w:w="377" w:type="dxa"/>
            <w:noWrap/>
            <w:vAlign w:val="center"/>
            <w:hideMark/>
          </w:tcPr>
          <w:p w14:paraId="3659ACE6" w14:textId="77777777" w:rsidR="00126D8D" w:rsidRPr="004A4899" w:rsidRDefault="00126D8D" w:rsidP="00820288">
            <w:pPr>
              <w:spacing w:line="240" w:lineRule="auto"/>
              <w:jc w:val="right"/>
              <w:rPr>
                <w:rFonts w:ascii="Times New Roman" w:hAnsi="Times New Roman" w:cs="Times New Roman"/>
                <w:sz w:val="13"/>
                <w:szCs w:val="13"/>
              </w:rPr>
            </w:pPr>
            <w:r w:rsidRPr="004A4899">
              <w:rPr>
                <w:rFonts w:ascii="Times New Roman" w:hAnsi="Times New Roman" w:cs="Times New Roman"/>
                <w:sz w:val="13"/>
                <w:szCs w:val="13"/>
              </w:rPr>
              <w:t>331.01</w:t>
            </w:r>
          </w:p>
        </w:tc>
        <w:tc>
          <w:tcPr>
            <w:tcW w:w="326" w:type="dxa"/>
            <w:noWrap/>
            <w:vAlign w:val="center"/>
            <w:hideMark/>
          </w:tcPr>
          <w:p w14:paraId="294AD483" w14:textId="77777777" w:rsidR="00126D8D" w:rsidRPr="004A4899" w:rsidRDefault="00126D8D" w:rsidP="00820288">
            <w:pPr>
              <w:spacing w:line="240" w:lineRule="auto"/>
              <w:rPr>
                <w:rFonts w:ascii="Times New Roman" w:hAnsi="Times New Roman" w:cs="Times New Roman"/>
                <w:sz w:val="13"/>
                <w:szCs w:val="13"/>
              </w:rPr>
            </w:pPr>
            <w:r w:rsidRPr="004A4899">
              <w:rPr>
                <w:rFonts w:ascii="Times New Roman" w:hAnsi="Times New Roman" w:cs="Times New Roman"/>
                <w:sz w:val="13"/>
                <w:szCs w:val="13"/>
              </w:rPr>
              <w:t>abc</w:t>
            </w:r>
          </w:p>
        </w:tc>
        <w:tc>
          <w:tcPr>
            <w:tcW w:w="377" w:type="dxa"/>
            <w:noWrap/>
            <w:vAlign w:val="center"/>
            <w:hideMark/>
          </w:tcPr>
          <w:p w14:paraId="36C78114" w14:textId="77777777" w:rsidR="00126D8D" w:rsidRPr="004A4899" w:rsidRDefault="00126D8D" w:rsidP="00820288">
            <w:pPr>
              <w:spacing w:line="240" w:lineRule="auto"/>
              <w:jc w:val="right"/>
              <w:rPr>
                <w:rFonts w:ascii="Times New Roman" w:hAnsi="Times New Roman" w:cs="Times New Roman"/>
                <w:sz w:val="13"/>
                <w:szCs w:val="13"/>
              </w:rPr>
            </w:pPr>
            <w:r w:rsidRPr="004A4899">
              <w:rPr>
                <w:rFonts w:ascii="Times New Roman" w:hAnsi="Times New Roman" w:cs="Times New Roman"/>
                <w:sz w:val="13"/>
                <w:szCs w:val="13"/>
              </w:rPr>
              <w:t>301.89</w:t>
            </w:r>
          </w:p>
        </w:tc>
        <w:tc>
          <w:tcPr>
            <w:tcW w:w="326" w:type="dxa"/>
            <w:noWrap/>
            <w:vAlign w:val="center"/>
            <w:hideMark/>
          </w:tcPr>
          <w:p w14:paraId="1EAFADCA" w14:textId="77777777" w:rsidR="00126D8D" w:rsidRPr="004A4899" w:rsidRDefault="00126D8D" w:rsidP="00820288">
            <w:pPr>
              <w:spacing w:line="240" w:lineRule="auto"/>
              <w:rPr>
                <w:rFonts w:ascii="Times New Roman" w:hAnsi="Times New Roman" w:cs="Times New Roman"/>
                <w:sz w:val="13"/>
                <w:szCs w:val="13"/>
              </w:rPr>
            </w:pPr>
            <w:r w:rsidRPr="004A4899">
              <w:rPr>
                <w:rFonts w:ascii="Times New Roman" w:hAnsi="Times New Roman" w:cs="Times New Roman"/>
                <w:sz w:val="13"/>
                <w:szCs w:val="13"/>
              </w:rPr>
              <w:t>bcd</w:t>
            </w:r>
          </w:p>
        </w:tc>
        <w:tc>
          <w:tcPr>
            <w:tcW w:w="377" w:type="dxa"/>
            <w:noWrap/>
            <w:vAlign w:val="center"/>
            <w:hideMark/>
          </w:tcPr>
          <w:p w14:paraId="54AAE9D6" w14:textId="77777777" w:rsidR="00126D8D" w:rsidRPr="004A4899" w:rsidRDefault="00126D8D" w:rsidP="00820288">
            <w:pPr>
              <w:spacing w:line="240" w:lineRule="auto"/>
              <w:jc w:val="right"/>
              <w:rPr>
                <w:rFonts w:ascii="Times New Roman" w:hAnsi="Times New Roman" w:cs="Times New Roman"/>
                <w:sz w:val="13"/>
                <w:szCs w:val="13"/>
              </w:rPr>
            </w:pPr>
            <w:r w:rsidRPr="004A4899">
              <w:rPr>
                <w:rFonts w:ascii="Times New Roman" w:hAnsi="Times New Roman" w:cs="Times New Roman"/>
                <w:sz w:val="13"/>
                <w:szCs w:val="13"/>
              </w:rPr>
              <w:t>371.93</w:t>
            </w:r>
          </w:p>
        </w:tc>
        <w:tc>
          <w:tcPr>
            <w:tcW w:w="219" w:type="dxa"/>
            <w:noWrap/>
            <w:vAlign w:val="center"/>
            <w:hideMark/>
          </w:tcPr>
          <w:p w14:paraId="3BD98D36" w14:textId="77777777" w:rsidR="00126D8D" w:rsidRPr="004A4899" w:rsidRDefault="00126D8D" w:rsidP="00820288">
            <w:pPr>
              <w:spacing w:line="240" w:lineRule="auto"/>
              <w:rPr>
                <w:rFonts w:ascii="Times New Roman" w:hAnsi="Times New Roman" w:cs="Times New Roman"/>
                <w:sz w:val="13"/>
                <w:szCs w:val="13"/>
              </w:rPr>
            </w:pPr>
            <w:r w:rsidRPr="004A4899">
              <w:rPr>
                <w:rFonts w:ascii="Times New Roman" w:hAnsi="Times New Roman" w:cs="Times New Roman"/>
                <w:sz w:val="13"/>
                <w:szCs w:val="13"/>
              </w:rPr>
              <w:t>ab</w:t>
            </w:r>
          </w:p>
        </w:tc>
        <w:tc>
          <w:tcPr>
            <w:tcW w:w="377" w:type="dxa"/>
            <w:noWrap/>
            <w:vAlign w:val="center"/>
            <w:hideMark/>
          </w:tcPr>
          <w:p w14:paraId="240B1B9F" w14:textId="77777777" w:rsidR="00126D8D" w:rsidRPr="004A4899" w:rsidRDefault="00126D8D" w:rsidP="00820288">
            <w:pPr>
              <w:spacing w:line="240" w:lineRule="auto"/>
              <w:jc w:val="right"/>
              <w:rPr>
                <w:rFonts w:ascii="Times New Roman" w:hAnsi="Times New Roman" w:cs="Times New Roman"/>
                <w:sz w:val="13"/>
                <w:szCs w:val="13"/>
              </w:rPr>
            </w:pPr>
            <w:r w:rsidRPr="004A4899">
              <w:rPr>
                <w:rFonts w:ascii="Times New Roman" w:hAnsi="Times New Roman" w:cs="Times New Roman"/>
                <w:sz w:val="13"/>
                <w:szCs w:val="13"/>
              </w:rPr>
              <w:t>401.22</w:t>
            </w:r>
          </w:p>
        </w:tc>
        <w:tc>
          <w:tcPr>
            <w:tcW w:w="159" w:type="dxa"/>
            <w:noWrap/>
            <w:vAlign w:val="center"/>
            <w:hideMark/>
          </w:tcPr>
          <w:p w14:paraId="592F75C8" w14:textId="77777777" w:rsidR="00126D8D" w:rsidRPr="004A4899" w:rsidRDefault="00126D8D" w:rsidP="00820288">
            <w:pPr>
              <w:spacing w:line="240" w:lineRule="auto"/>
              <w:rPr>
                <w:rFonts w:ascii="Times New Roman" w:hAnsi="Times New Roman" w:cs="Times New Roman"/>
                <w:sz w:val="13"/>
                <w:szCs w:val="13"/>
              </w:rPr>
            </w:pPr>
            <w:r w:rsidRPr="004A4899">
              <w:rPr>
                <w:rFonts w:ascii="Times New Roman" w:hAnsi="Times New Roman" w:cs="Times New Roman"/>
                <w:sz w:val="13"/>
                <w:szCs w:val="13"/>
              </w:rPr>
              <w:t>a</w:t>
            </w:r>
          </w:p>
        </w:tc>
        <w:tc>
          <w:tcPr>
            <w:tcW w:w="377" w:type="dxa"/>
            <w:noWrap/>
            <w:vAlign w:val="center"/>
            <w:hideMark/>
          </w:tcPr>
          <w:p w14:paraId="0CC65D64" w14:textId="77777777" w:rsidR="00126D8D" w:rsidRPr="004A4899" w:rsidRDefault="00126D8D" w:rsidP="00820288">
            <w:pPr>
              <w:spacing w:line="240" w:lineRule="auto"/>
              <w:jc w:val="right"/>
              <w:rPr>
                <w:rFonts w:ascii="Times New Roman" w:hAnsi="Times New Roman" w:cs="Times New Roman"/>
                <w:sz w:val="13"/>
                <w:szCs w:val="13"/>
              </w:rPr>
            </w:pPr>
            <w:r w:rsidRPr="004A4899">
              <w:rPr>
                <w:rFonts w:ascii="Times New Roman" w:hAnsi="Times New Roman" w:cs="Times New Roman"/>
                <w:sz w:val="13"/>
                <w:szCs w:val="13"/>
              </w:rPr>
              <w:t>341.25</w:t>
            </w:r>
          </w:p>
        </w:tc>
        <w:tc>
          <w:tcPr>
            <w:tcW w:w="326" w:type="dxa"/>
            <w:noWrap/>
            <w:vAlign w:val="center"/>
            <w:hideMark/>
          </w:tcPr>
          <w:p w14:paraId="30F96FBD" w14:textId="77777777" w:rsidR="00126D8D" w:rsidRPr="004A4899" w:rsidRDefault="00126D8D" w:rsidP="00820288">
            <w:pPr>
              <w:spacing w:line="240" w:lineRule="auto"/>
              <w:rPr>
                <w:rFonts w:ascii="Times New Roman" w:hAnsi="Times New Roman" w:cs="Times New Roman"/>
                <w:sz w:val="13"/>
                <w:szCs w:val="13"/>
              </w:rPr>
            </w:pPr>
            <w:r w:rsidRPr="004A4899">
              <w:rPr>
                <w:rFonts w:ascii="Times New Roman" w:hAnsi="Times New Roman" w:cs="Times New Roman"/>
                <w:sz w:val="13"/>
                <w:szCs w:val="13"/>
              </w:rPr>
              <w:t>abc</w:t>
            </w:r>
          </w:p>
        </w:tc>
        <w:tc>
          <w:tcPr>
            <w:tcW w:w="377" w:type="dxa"/>
            <w:noWrap/>
            <w:vAlign w:val="center"/>
            <w:hideMark/>
          </w:tcPr>
          <w:p w14:paraId="6C407827" w14:textId="77777777" w:rsidR="00126D8D" w:rsidRPr="004A4899" w:rsidRDefault="00126D8D" w:rsidP="00820288">
            <w:pPr>
              <w:spacing w:line="240" w:lineRule="auto"/>
              <w:jc w:val="right"/>
              <w:rPr>
                <w:rFonts w:ascii="Times New Roman" w:hAnsi="Times New Roman" w:cs="Times New Roman"/>
                <w:sz w:val="13"/>
                <w:szCs w:val="13"/>
              </w:rPr>
            </w:pPr>
            <w:r w:rsidRPr="004A4899">
              <w:rPr>
                <w:rFonts w:ascii="Times New Roman" w:hAnsi="Times New Roman" w:cs="Times New Roman"/>
                <w:sz w:val="13"/>
                <w:szCs w:val="13"/>
              </w:rPr>
              <w:t>281.49</w:t>
            </w:r>
          </w:p>
        </w:tc>
        <w:tc>
          <w:tcPr>
            <w:tcW w:w="252" w:type="dxa"/>
            <w:noWrap/>
            <w:vAlign w:val="center"/>
            <w:hideMark/>
          </w:tcPr>
          <w:p w14:paraId="004E6FDA" w14:textId="77777777" w:rsidR="00126D8D" w:rsidRPr="004A4899" w:rsidRDefault="00126D8D" w:rsidP="00820288">
            <w:pPr>
              <w:spacing w:line="240" w:lineRule="auto"/>
              <w:rPr>
                <w:rFonts w:ascii="Times New Roman" w:hAnsi="Times New Roman" w:cs="Times New Roman"/>
                <w:sz w:val="13"/>
                <w:szCs w:val="13"/>
              </w:rPr>
            </w:pPr>
            <w:r w:rsidRPr="004A4899">
              <w:rPr>
                <w:rFonts w:ascii="Times New Roman" w:hAnsi="Times New Roman" w:cs="Times New Roman"/>
                <w:sz w:val="13"/>
                <w:szCs w:val="13"/>
              </w:rPr>
              <w:t>cd</w:t>
            </w:r>
          </w:p>
        </w:tc>
        <w:tc>
          <w:tcPr>
            <w:tcW w:w="377" w:type="dxa"/>
            <w:noWrap/>
            <w:vAlign w:val="center"/>
            <w:hideMark/>
          </w:tcPr>
          <w:p w14:paraId="5C259F16" w14:textId="77777777" w:rsidR="00126D8D" w:rsidRPr="004A4899" w:rsidRDefault="00126D8D" w:rsidP="00820288">
            <w:pPr>
              <w:spacing w:line="240" w:lineRule="auto"/>
              <w:jc w:val="right"/>
              <w:rPr>
                <w:rFonts w:ascii="Times New Roman" w:hAnsi="Times New Roman" w:cs="Times New Roman"/>
                <w:sz w:val="13"/>
                <w:szCs w:val="13"/>
              </w:rPr>
            </w:pPr>
            <w:r w:rsidRPr="004A4899">
              <w:rPr>
                <w:rFonts w:ascii="Times New Roman" w:hAnsi="Times New Roman" w:cs="Times New Roman"/>
                <w:sz w:val="13"/>
                <w:szCs w:val="13"/>
              </w:rPr>
              <w:t>278.99</w:t>
            </w:r>
          </w:p>
        </w:tc>
        <w:tc>
          <w:tcPr>
            <w:tcW w:w="273" w:type="dxa"/>
            <w:noWrap/>
            <w:vAlign w:val="center"/>
            <w:hideMark/>
          </w:tcPr>
          <w:p w14:paraId="2A55053B" w14:textId="77777777" w:rsidR="00126D8D" w:rsidRPr="004A4899" w:rsidRDefault="00126D8D" w:rsidP="00820288">
            <w:pPr>
              <w:spacing w:line="240" w:lineRule="auto"/>
              <w:rPr>
                <w:rFonts w:ascii="Times New Roman" w:hAnsi="Times New Roman" w:cs="Times New Roman"/>
                <w:sz w:val="13"/>
                <w:szCs w:val="13"/>
              </w:rPr>
            </w:pPr>
            <w:r w:rsidRPr="004A4899">
              <w:rPr>
                <w:rFonts w:ascii="Times New Roman" w:hAnsi="Times New Roman" w:cs="Times New Roman"/>
                <w:sz w:val="13"/>
                <w:szCs w:val="13"/>
              </w:rPr>
              <w:t>cd</w:t>
            </w:r>
          </w:p>
        </w:tc>
        <w:tc>
          <w:tcPr>
            <w:tcW w:w="377" w:type="dxa"/>
            <w:noWrap/>
            <w:vAlign w:val="center"/>
            <w:hideMark/>
          </w:tcPr>
          <w:p w14:paraId="1AB6826D" w14:textId="77777777" w:rsidR="00126D8D" w:rsidRPr="004A4899" w:rsidRDefault="00126D8D" w:rsidP="00820288">
            <w:pPr>
              <w:spacing w:line="240" w:lineRule="auto"/>
              <w:jc w:val="right"/>
              <w:rPr>
                <w:rFonts w:ascii="Times New Roman" w:hAnsi="Times New Roman" w:cs="Times New Roman"/>
                <w:sz w:val="13"/>
                <w:szCs w:val="13"/>
              </w:rPr>
            </w:pPr>
            <w:r w:rsidRPr="004A4899">
              <w:rPr>
                <w:rFonts w:ascii="Times New Roman" w:hAnsi="Times New Roman" w:cs="Times New Roman"/>
                <w:sz w:val="13"/>
                <w:szCs w:val="13"/>
              </w:rPr>
              <w:t>263.32</w:t>
            </w:r>
          </w:p>
        </w:tc>
        <w:tc>
          <w:tcPr>
            <w:tcW w:w="273" w:type="dxa"/>
            <w:noWrap/>
            <w:vAlign w:val="center"/>
            <w:hideMark/>
          </w:tcPr>
          <w:p w14:paraId="66B648D7" w14:textId="77777777" w:rsidR="00126D8D" w:rsidRPr="004A4899" w:rsidRDefault="00126D8D" w:rsidP="00820288">
            <w:pPr>
              <w:spacing w:line="240" w:lineRule="auto"/>
              <w:rPr>
                <w:rFonts w:ascii="Times New Roman" w:hAnsi="Times New Roman" w:cs="Times New Roman"/>
                <w:sz w:val="13"/>
                <w:szCs w:val="13"/>
              </w:rPr>
            </w:pPr>
            <w:r w:rsidRPr="004A4899">
              <w:rPr>
                <w:rFonts w:ascii="Times New Roman" w:hAnsi="Times New Roman" w:cs="Times New Roman"/>
                <w:sz w:val="13"/>
                <w:szCs w:val="13"/>
              </w:rPr>
              <w:t>cd</w:t>
            </w:r>
          </w:p>
        </w:tc>
      </w:tr>
      <w:tr w:rsidR="00126D8D" w:rsidRPr="004A4899" w14:paraId="6B0224CF" w14:textId="77777777" w:rsidTr="00820288">
        <w:trPr>
          <w:trHeight w:val="173"/>
        </w:trPr>
        <w:tc>
          <w:tcPr>
            <w:tcW w:w="1440" w:type="dxa"/>
            <w:noWrap/>
            <w:vAlign w:val="center"/>
            <w:hideMark/>
          </w:tcPr>
          <w:p w14:paraId="1FCF1760" w14:textId="77777777" w:rsidR="00126D8D" w:rsidRPr="004A4899" w:rsidRDefault="00126D8D" w:rsidP="00820288">
            <w:pPr>
              <w:spacing w:line="240" w:lineRule="auto"/>
              <w:rPr>
                <w:rFonts w:ascii="Times New Roman" w:hAnsi="Times New Roman" w:cs="Times New Roman"/>
                <w:sz w:val="12"/>
                <w:szCs w:val="12"/>
              </w:rPr>
            </w:pPr>
            <w:r w:rsidRPr="004A4899">
              <w:rPr>
                <w:rFonts w:ascii="Times New Roman" w:hAnsi="Times New Roman" w:cs="Times New Roman"/>
                <w:sz w:val="12"/>
                <w:szCs w:val="12"/>
              </w:rPr>
              <w:t>Fenchyl acetate</w:t>
            </w:r>
          </w:p>
        </w:tc>
        <w:tc>
          <w:tcPr>
            <w:tcW w:w="377" w:type="dxa"/>
            <w:noWrap/>
            <w:vAlign w:val="center"/>
            <w:hideMark/>
          </w:tcPr>
          <w:p w14:paraId="66C082BB" w14:textId="77777777" w:rsidR="00126D8D" w:rsidRPr="004A4899" w:rsidRDefault="00126D8D" w:rsidP="00820288">
            <w:pPr>
              <w:spacing w:line="240" w:lineRule="auto"/>
              <w:jc w:val="right"/>
              <w:rPr>
                <w:rFonts w:ascii="Times New Roman" w:hAnsi="Times New Roman" w:cs="Times New Roman"/>
                <w:sz w:val="13"/>
                <w:szCs w:val="13"/>
              </w:rPr>
            </w:pPr>
            <w:r w:rsidRPr="004A4899">
              <w:rPr>
                <w:rFonts w:ascii="Times New Roman" w:hAnsi="Times New Roman" w:cs="Times New Roman"/>
                <w:sz w:val="13"/>
                <w:szCs w:val="13"/>
              </w:rPr>
              <w:t>92.03</w:t>
            </w:r>
          </w:p>
        </w:tc>
        <w:tc>
          <w:tcPr>
            <w:tcW w:w="274" w:type="dxa"/>
            <w:noWrap/>
            <w:vAlign w:val="center"/>
            <w:hideMark/>
          </w:tcPr>
          <w:p w14:paraId="02643D5E" w14:textId="77777777" w:rsidR="00126D8D" w:rsidRPr="004A4899" w:rsidRDefault="00126D8D" w:rsidP="00820288">
            <w:pPr>
              <w:spacing w:line="240" w:lineRule="auto"/>
              <w:rPr>
                <w:rFonts w:ascii="Times New Roman" w:hAnsi="Times New Roman" w:cs="Times New Roman"/>
                <w:sz w:val="13"/>
                <w:szCs w:val="13"/>
              </w:rPr>
            </w:pPr>
            <w:r w:rsidRPr="004A4899">
              <w:rPr>
                <w:rFonts w:ascii="Times New Roman" w:hAnsi="Times New Roman" w:cs="Times New Roman"/>
                <w:sz w:val="13"/>
                <w:szCs w:val="13"/>
              </w:rPr>
              <w:t>a</w:t>
            </w:r>
          </w:p>
        </w:tc>
        <w:tc>
          <w:tcPr>
            <w:tcW w:w="411" w:type="dxa"/>
            <w:noWrap/>
            <w:vAlign w:val="center"/>
            <w:hideMark/>
          </w:tcPr>
          <w:p w14:paraId="5A92F52C" w14:textId="77777777" w:rsidR="00126D8D" w:rsidRPr="004A4899" w:rsidRDefault="00126D8D" w:rsidP="00820288">
            <w:pPr>
              <w:spacing w:line="240" w:lineRule="auto"/>
              <w:jc w:val="right"/>
              <w:rPr>
                <w:rFonts w:ascii="Times New Roman" w:hAnsi="Times New Roman" w:cs="Times New Roman"/>
                <w:sz w:val="13"/>
                <w:szCs w:val="13"/>
              </w:rPr>
            </w:pPr>
            <w:r w:rsidRPr="004A4899">
              <w:rPr>
                <w:rFonts w:ascii="Times New Roman" w:hAnsi="Times New Roman" w:cs="Times New Roman"/>
                <w:sz w:val="13"/>
                <w:szCs w:val="13"/>
              </w:rPr>
              <w:t>81.94</w:t>
            </w:r>
          </w:p>
        </w:tc>
        <w:tc>
          <w:tcPr>
            <w:tcW w:w="239" w:type="dxa"/>
            <w:noWrap/>
            <w:vAlign w:val="center"/>
            <w:hideMark/>
          </w:tcPr>
          <w:p w14:paraId="52D47167" w14:textId="77777777" w:rsidR="00126D8D" w:rsidRPr="004A4899" w:rsidRDefault="00126D8D" w:rsidP="00820288">
            <w:pPr>
              <w:spacing w:line="240" w:lineRule="auto"/>
              <w:rPr>
                <w:rFonts w:ascii="Times New Roman" w:hAnsi="Times New Roman" w:cs="Times New Roman"/>
                <w:sz w:val="13"/>
                <w:szCs w:val="13"/>
              </w:rPr>
            </w:pPr>
            <w:r w:rsidRPr="004A4899">
              <w:rPr>
                <w:rFonts w:ascii="Times New Roman" w:hAnsi="Times New Roman" w:cs="Times New Roman"/>
                <w:sz w:val="13"/>
                <w:szCs w:val="13"/>
              </w:rPr>
              <w:t>a</w:t>
            </w:r>
          </w:p>
        </w:tc>
        <w:tc>
          <w:tcPr>
            <w:tcW w:w="377" w:type="dxa"/>
            <w:noWrap/>
            <w:vAlign w:val="center"/>
            <w:hideMark/>
          </w:tcPr>
          <w:p w14:paraId="3B0F53C9" w14:textId="77777777" w:rsidR="00126D8D" w:rsidRPr="004A4899" w:rsidRDefault="00126D8D" w:rsidP="00820288">
            <w:pPr>
              <w:spacing w:line="240" w:lineRule="auto"/>
              <w:jc w:val="right"/>
              <w:rPr>
                <w:rFonts w:ascii="Times New Roman" w:hAnsi="Times New Roman" w:cs="Times New Roman"/>
                <w:sz w:val="13"/>
                <w:szCs w:val="13"/>
              </w:rPr>
            </w:pPr>
            <w:r w:rsidRPr="004A4899">
              <w:rPr>
                <w:rFonts w:ascii="Times New Roman" w:hAnsi="Times New Roman" w:cs="Times New Roman"/>
                <w:sz w:val="13"/>
                <w:szCs w:val="13"/>
              </w:rPr>
              <w:t>97.62</w:t>
            </w:r>
          </w:p>
        </w:tc>
        <w:tc>
          <w:tcPr>
            <w:tcW w:w="273" w:type="dxa"/>
            <w:noWrap/>
            <w:vAlign w:val="center"/>
            <w:hideMark/>
          </w:tcPr>
          <w:p w14:paraId="560E17EA" w14:textId="77777777" w:rsidR="00126D8D" w:rsidRPr="004A4899" w:rsidRDefault="00126D8D" w:rsidP="00820288">
            <w:pPr>
              <w:spacing w:line="240" w:lineRule="auto"/>
              <w:rPr>
                <w:rFonts w:ascii="Times New Roman" w:hAnsi="Times New Roman" w:cs="Times New Roman"/>
                <w:sz w:val="13"/>
                <w:szCs w:val="13"/>
              </w:rPr>
            </w:pPr>
            <w:r w:rsidRPr="004A4899">
              <w:rPr>
                <w:rFonts w:ascii="Times New Roman" w:hAnsi="Times New Roman" w:cs="Times New Roman"/>
                <w:sz w:val="13"/>
                <w:szCs w:val="13"/>
              </w:rPr>
              <w:t>a</w:t>
            </w:r>
          </w:p>
        </w:tc>
        <w:tc>
          <w:tcPr>
            <w:tcW w:w="377" w:type="dxa"/>
            <w:noWrap/>
            <w:vAlign w:val="center"/>
            <w:hideMark/>
          </w:tcPr>
          <w:p w14:paraId="75B85A4D" w14:textId="77777777" w:rsidR="00126D8D" w:rsidRPr="004A4899" w:rsidRDefault="00126D8D" w:rsidP="00820288">
            <w:pPr>
              <w:spacing w:line="240" w:lineRule="auto"/>
              <w:jc w:val="right"/>
              <w:rPr>
                <w:rFonts w:ascii="Times New Roman" w:hAnsi="Times New Roman" w:cs="Times New Roman"/>
                <w:sz w:val="13"/>
                <w:szCs w:val="13"/>
              </w:rPr>
            </w:pPr>
            <w:r w:rsidRPr="004A4899">
              <w:rPr>
                <w:rFonts w:ascii="Times New Roman" w:hAnsi="Times New Roman" w:cs="Times New Roman"/>
                <w:sz w:val="13"/>
                <w:szCs w:val="13"/>
              </w:rPr>
              <w:t>111.13</w:t>
            </w:r>
          </w:p>
        </w:tc>
        <w:tc>
          <w:tcPr>
            <w:tcW w:w="273" w:type="dxa"/>
            <w:noWrap/>
            <w:vAlign w:val="center"/>
            <w:hideMark/>
          </w:tcPr>
          <w:p w14:paraId="3C6D2433" w14:textId="77777777" w:rsidR="00126D8D" w:rsidRPr="004A4899" w:rsidRDefault="00126D8D" w:rsidP="00820288">
            <w:pPr>
              <w:spacing w:line="240" w:lineRule="auto"/>
              <w:rPr>
                <w:rFonts w:ascii="Times New Roman" w:hAnsi="Times New Roman" w:cs="Times New Roman"/>
                <w:sz w:val="13"/>
                <w:szCs w:val="13"/>
              </w:rPr>
            </w:pPr>
            <w:r w:rsidRPr="004A4899">
              <w:rPr>
                <w:rFonts w:ascii="Times New Roman" w:hAnsi="Times New Roman" w:cs="Times New Roman"/>
                <w:sz w:val="13"/>
                <w:szCs w:val="13"/>
              </w:rPr>
              <w:t>a</w:t>
            </w:r>
          </w:p>
        </w:tc>
        <w:tc>
          <w:tcPr>
            <w:tcW w:w="377" w:type="dxa"/>
            <w:noWrap/>
            <w:vAlign w:val="center"/>
            <w:hideMark/>
          </w:tcPr>
          <w:p w14:paraId="4212857B" w14:textId="77777777" w:rsidR="00126D8D" w:rsidRPr="004A4899" w:rsidRDefault="00126D8D" w:rsidP="00820288">
            <w:pPr>
              <w:spacing w:line="240" w:lineRule="auto"/>
              <w:jc w:val="right"/>
              <w:rPr>
                <w:rFonts w:ascii="Times New Roman" w:hAnsi="Times New Roman" w:cs="Times New Roman"/>
                <w:sz w:val="13"/>
                <w:szCs w:val="13"/>
              </w:rPr>
            </w:pPr>
            <w:r w:rsidRPr="004A4899">
              <w:rPr>
                <w:rFonts w:ascii="Times New Roman" w:hAnsi="Times New Roman" w:cs="Times New Roman"/>
                <w:sz w:val="13"/>
                <w:szCs w:val="13"/>
              </w:rPr>
              <w:t>95.53</w:t>
            </w:r>
          </w:p>
        </w:tc>
        <w:tc>
          <w:tcPr>
            <w:tcW w:w="326" w:type="dxa"/>
            <w:noWrap/>
            <w:vAlign w:val="center"/>
            <w:hideMark/>
          </w:tcPr>
          <w:p w14:paraId="5B978810" w14:textId="77777777" w:rsidR="00126D8D" w:rsidRPr="004A4899" w:rsidRDefault="00126D8D" w:rsidP="00820288">
            <w:pPr>
              <w:spacing w:line="240" w:lineRule="auto"/>
              <w:rPr>
                <w:rFonts w:ascii="Times New Roman" w:hAnsi="Times New Roman" w:cs="Times New Roman"/>
                <w:sz w:val="13"/>
                <w:szCs w:val="13"/>
              </w:rPr>
            </w:pPr>
            <w:r w:rsidRPr="004A4899">
              <w:rPr>
                <w:rFonts w:ascii="Times New Roman" w:hAnsi="Times New Roman" w:cs="Times New Roman"/>
                <w:sz w:val="13"/>
                <w:szCs w:val="13"/>
              </w:rPr>
              <w:t>a</w:t>
            </w:r>
          </w:p>
        </w:tc>
        <w:tc>
          <w:tcPr>
            <w:tcW w:w="377" w:type="dxa"/>
            <w:noWrap/>
            <w:vAlign w:val="center"/>
            <w:hideMark/>
          </w:tcPr>
          <w:p w14:paraId="5F4BB97C" w14:textId="77777777" w:rsidR="00126D8D" w:rsidRPr="004A4899" w:rsidRDefault="00126D8D" w:rsidP="00820288">
            <w:pPr>
              <w:spacing w:line="240" w:lineRule="auto"/>
              <w:jc w:val="right"/>
              <w:rPr>
                <w:rFonts w:ascii="Times New Roman" w:hAnsi="Times New Roman" w:cs="Times New Roman"/>
                <w:sz w:val="13"/>
                <w:szCs w:val="13"/>
              </w:rPr>
            </w:pPr>
            <w:r w:rsidRPr="004A4899">
              <w:rPr>
                <w:rFonts w:ascii="Times New Roman" w:hAnsi="Times New Roman" w:cs="Times New Roman"/>
                <w:sz w:val="13"/>
                <w:szCs w:val="13"/>
              </w:rPr>
              <w:t>115.00</w:t>
            </w:r>
          </w:p>
        </w:tc>
        <w:tc>
          <w:tcPr>
            <w:tcW w:w="326" w:type="dxa"/>
            <w:noWrap/>
            <w:vAlign w:val="center"/>
            <w:hideMark/>
          </w:tcPr>
          <w:p w14:paraId="7717A48F" w14:textId="77777777" w:rsidR="00126D8D" w:rsidRPr="004A4899" w:rsidRDefault="00126D8D" w:rsidP="00820288">
            <w:pPr>
              <w:spacing w:line="240" w:lineRule="auto"/>
              <w:rPr>
                <w:rFonts w:ascii="Times New Roman" w:hAnsi="Times New Roman" w:cs="Times New Roman"/>
                <w:sz w:val="13"/>
                <w:szCs w:val="13"/>
              </w:rPr>
            </w:pPr>
            <w:r w:rsidRPr="004A4899">
              <w:rPr>
                <w:rFonts w:ascii="Times New Roman" w:hAnsi="Times New Roman" w:cs="Times New Roman"/>
                <w:sz w:val="13"/>
                <w:szCs w:val="13"/>
              </w:rPr>
              <w:t>a</w:t>
            </w:r>
          </w:p>
        </w:tc>
        <w:tc>
          <w:tcPr>
            <w:tcW w:w="377" w:type="dxa"/>
            <w:noWrap/>
            <w:vAlign w:val="center"/>
            <w:hideMark/>
          </w:tcPr>
          <w:p w14:paraId="6110EBF9" w14:textId="77777777" w:rsidR="00126D8D" w:rsidRPr="004A4899" w:rsidRDefault="00126D8D" w:rsidP="00820288">
            <w:pPr>
              <w:spacing w:line="240" w:lineRule="auto"/>
              <w:jc w:val="right"/>
              <w:rPr>
                <w:rFonts w:ascii="Times New Roman" w:hAnsi="Times New Roman" w:cs="Times New Roman"/>
                <w:sz w:val="13"/>
                <w:szCs w:val="13"/>
              </w:rPr>
            </w:pPr>
            <w:r w:rsidRPr="004A4899">
              <w:rPr>
                <w:rFonts w:ascii="Times New Roman" w:hAnsi="Times New Roman" w:cs="Times New Roman"/>
                <w:sz w:val="13"/>
                <w:szCs w:val="13"/>
              </w:rPr>
              <w:t>109.94</w:t>
            </w:r>
          </w:p>
        </w:tc>
        <w:tc>
          <w:tcPr>
            <w:tcW w:w="219" w:type="dxa"/>
            <w:noWrap/>
            <w:vAlign w:val="center"/>
            <w:hideMark/>
          </w:tcPr>
          <w:p w14:paraId="61398A32" w14:textId="77777777" w:rsidR="00126D8D" w:rsidRPr="004A4899" w:rsidRDefault="00126D8D" w:rsidP="00820288">
            <w:pPr>
              <w:spacing w:line="240" w:lineRule="auto"/>
              <w:rPr>
                <w:rFonts w:ascii="Times New Roman" w:hAnsi="Times New Roman" w:cs="Times New Roman"/>
                <w:sz w:val="13"/>
                <w:szCs w:val="13"/>
              </w:rPr>
            </w:pPr>
            <w:r w:rsidRPr="004A4899">
              <w:rPr>
                <w:rFonts w:ascii="Times New Roman" w:hAnsi="Times New Roman" w:cs="Times New Roman"/>
                <w:sz w:val="13"/>
                <w:szCs w:val="13"/>
              </w:rPr>
              <w:t>a</w:t>
            </w:r>
          </w:p>
        </w:tc>
        <w:tc>
          <w:tcPr>
            <w:tcW w:w="377" w:type="dxa"/>
            <w:noWrap/>
            <w:vAlign w:val="center"/>
            <w:hideMark/>
          </w:tcPr>
          <w:p w14:paraId="777778BA" w14:textId="77777777" w:rsidR="00126D8D" w:rsidRPr="004A4899" w:rsidRDefault="00126D8D" w:rsidP="00820288">
            <w:pPr>
              <w:spacing w:line="240" w:lineRule="auto"/>
              <w:jc w:val="right"/>
              <w:rPr>
                <w:rFonts w:ascii="Times New Roman" w:hAnsi="Times New Roman" w:cs="Times New Roman"/>
                <w:sz w:val="13"/>
                <w:szCs w:val="13"/>
              </w:rPr>
            </w:pPr>
            <w:r w:rsidRPr="004A4899">
              <w:rPr>
                <w:rFonts w:ascii="Times New Roman" w:hAnsi="Times New Roman" w:cs="Times New Roman"/>
                <w:sz w:val="13"/>
                <w:szCs w:val="13"/>
              </w:rPr>
              <w:t>111.16</w:t>
            </w:r>
          </w:p>
        </w:tc>
        <w:tc>
          <w:tcPr>
            <w:tcW w:w="159" w:type="dxa"/>
            <w:noWrap/>
            <w:vAlign w:val="center"/>
            <w:hideMark/>
          </w:tcPr>
          <w:p w14:paraId="3D5F6C3C" w14:textId="77777777" w:rsidR="00126D8D" w:rsidRPr="004A4899" w:rsidRDefault="00126D8D" w:rsidP="00820288">
            <w:pPr>
              <w:spacing w:line="240" w:lineRule="auto"/>
              <w:rPr>
                <w:rFonts w:ascii="Times New Roman" w:hAnsi="Times New Roman" w:cs="Times New Roman"/>
                <w:sz w:val="13"/>
                <w:szCs w:val="13"/>
              </w:rPr>
            </w:pPr>
            <w:r w:rsidRPr="004A4899">
              <w:rPr>
                <w:rFonts w:ascii="Times New Roman" w:hAnsi="Times New Roman" w:cs="Times New Roman"/>
                <w:sz w:val="13"/>
                <w:szCs w:val="13"/>
              </w:rPr>
              <w:t>a</w:t>
            </w:r>
          </w:p>
        </w:tc>
        <w:tc>
          <w:tcPr>
            <w:tcW w:w="377" w:type="dxa"/>
            <w:noWrap/>
            <w:vAlign w:val="center"/>
            <w:hideMark/>
          </w:tcPr>
          <w:p w14:paraId="10C80C99" w14:textId="77777777" w:rsidR="00126D8D" w:rsidRPr="004A4899" w:rsidRDefault="00126D8D" w:rsidP="00820288">
            <w:pPr>
              <w:spacing w:line="240" w:lineRule="auto"/>
              <w:jc w:val="right"/>
              <w:rPr>
                <w:rFonts w:ascii="Times New Roman" w:hAnsi="Times New Roman" w:cs="Times New Roman"/>
                <w:sz w:val="13"/>
                <w:szCs w:val="13"/>
              </w:rPr>
            </w:pPr>
            <w:r w:rsidRPr="004A4899">
              <w:rPr>
                <w:rFonts w:ascii="Times New Roman" w:hAnsi="Times New Roman" w:cs="Times New Roman"/>
                <w:sz w:val="13"/>
                <w:szCs w:val="13"/>
              </w:rPr>
              <w:t>112.12</w:t>
            </w:r>
          </w:p>
        </w:tc>
        <w:tc>
          <w:tcPr>
            <w:tcW w:w="326" w:type="dxa"/>
            <w:noWrap/>
            <w:vAlign w:val="center"/>
            <w:hideMark/>
          </w:tcPr>
          <w:p w14:paraId="6597F20B" w14:textId="77777777" w:rsidR="00126D8D" w:rsidRPr="004A4899" w:rsidRDefault="00126D8D" w:rsidP="00820288">
            <w:pPr>
              <w:spacing w:line="240" w:lineRule="auto"/>
              <w:rPr>
                <w:rFonts w:ascii="Times New Roman" w:hAnsi="Times New Roman" w:cs="Times New Roman"/>
                <w:sz w:val="13"/>
                <w:szCs w:val="13"/>
              </w:rPr>
            </w:pPr>
            <w:r w:rsidRPr="004A4899">
              <w:rPr>
                <w:rFonts w:ascii="Times New Roman" w:hAnsi="Times New Roman" w:cs="Times New Roman"/>
                <w:sz w:val="13"/>
                <w:szCs w:val="13"/>
              </w:rPr>
              <w:t>a</w:t>
            </w:r>
          </w:p>
        </w:tc>
        <w:tc>
          <w:tcPr>
            <w:tcW w:w="377" w:type="dxa"/>
            <w:noWrap/>
            <w:vAlign w:val="center"/>
            <w:hideMark/>
          </w:tcPr>
          <w:p w14:paraId="112D6D23" w14:textId="77777777" w:rsidR="00126D8D" w:rsidRPr="004A4899" w:rsidRDefault="00126D8D" w:rsidP="00820288">
            <w:pPr>
              <w:spacing w:line="240" w:lineRule="auto"/>
              <w:jc w:val="right"/>
              <w:rPr>
                <w:rFonts w:ascii="Times New Roman" w:hAnsi="Times New Roman" w:cs="Times New Roman"/>
                <w:sz w:val="13"/>
                <w:szCs w:val="13"/>
              </w:rPr>
            </w:pPr>
            <w:r w:rsidRPr="004A4899">
              <w:rPr>
                <w:rFonts w:ascii="Times New Roman" w:hAnsi="Times New Roman" w:cs="Times New Roman"/>
                <w:sz w:val="13"/>
                <w:szCs w:val="13"/>
              </w:rPr>
              <w:t>86.90</w:t>
            </w:r>
          </w:p>
        </w:tc>
        <w:tc>
          <w:tcPr>
            <w:tcW w:w="252" w:type="dxa"/>
            <w:noWrap/>
            <w:vAlign w:val="center"/>
            <w:hideMark/>
          </w:tcPr>
          <w:p w14:paraId="16C082BA" w14:textId="77777777" w:rsidR="00126D8D" w:rsidRPr="004A4899" w:rsidRDefault="00126D8D" w:rsidP="00820288">
            <w:pPr>
              <w:spacing w:line="240" w:lineRule="auto"/>
              <w:rPr>
                <w:rFonts w:ascii="Times New Roman" w:hAnsi="Times New Roman" w:cs="Times New Roman"/>
                <w:sz w:val="13"/>
                <w:szCs w:val="13"/>
              </w:rPr>
            </w:pPr>
            <w:r w:rsidRPr="004A4899">
              <w:rPr>
                <w:rFonts w:ascii="Times New Roman" w:hAnsi="Times New Roman" w:cs="Times New Roman"/>
                <w:sz w:val="13"/>
                <w:szCs w:val="13"/>
              </w:rPr>
              <w:t>a</w:t>
            </w:r>
          </w:p>
        </w:tc>
        <w:tc>
          <w:tcPr>
            <w:tcW w:w="377" w:type="dxa"/>
            <w:noWrap/>
            <w:vAlign w:val="center"/>
            <w:hideMark/>
          </w:tcPr>
          <w:p w14:paraId="7263D715" w14:textId="77777777" w:rsidR="00126D8D" w:rsidRPr="004A4899" w:rsidRDefault="00126D8D" w:rsidP="00820288">
            <w:pPr>
              <w:spacing w:line="240" w:lineRule="auto"/>
              <w:jc w:val="right"/>
              <w:rPr>
                <w:rFonts w:ascii="Times New Roman" w:hAnsi="Times New Roman" w:cs="Times New Roman"/>
                <w:sz w:val="13"/>
                <w:szCs w:val="13"/>
              </w:rPr>
            </w:pPr>
            <w:r w:rsidRPr="004A4899">
              <w:rPr>
                <w:rFonts w:ascii="Times New Roman" w:hAnsi="Times New Roman" w:cs="Times New Roman"/>
                <w:sz w:val="13"/>
                <w:szCs w:val="13"/>
              </w:rPr>
              <w:t>105.84</w:t>
            </w:r>
          </w:p>
        </w:tc>
        <w:tc>
          <w:tcPr>
            <w:tcW w:w="273" w:type="dxa"/>
            <w:noWrap/>
            <w:vAlign w:val="center"/>
            <w:hideMark/>
          </w:tcPr>
          <w:p w14:paraId="7B3F45B3" w14:textId="77777777" w:rsidR="00126D8D" w:rsidRPr="004A4899" w:rsidRDefault="00126D8D" w:rsidP="00820288">
            <w:pPr>
              <w:spacing w:line="240" w:lineRule="auto"/>
              <w:rPr>
                <w:rFonts w:ascii="Times New Roman" w:hAnsi="Times New Roman" w:cs="Times New Roman"/>
                <w:sz w:val="13"/>
                <w:szCs w:val="13"/>
              </w:rPr>
            </w:pPr>
            <w:r w:rsidRPr="004A4899">
              <w:rPr>
                <w:rFonts w:ascii="Times New Roman" w:hAnsi="Times New Roman" w:cs="Times New Roman"/>
                <w:sz w:val="13"/>
                <w:szCs w:val="13"/>
              </w:rPr>
              <w:t>a</w:t>
            </w:r>
          </w:p>
        </w:tc>
        <w:tc>
          <w:tcPr>
            <w:tcW w:w="377" w:type="dxa"/>
            <w:noWrap/>
            <w:vAlign w:val="center"/>
            <w:hideMark/>
          </w:tcPr>
          <w:p w14:paraId="4561D4A5" w14:textId="77777777" w:rsidR="00126D8D" w:rsidRPr="004A4899" w:rsidRDefault="00126D8D" w:rsidP="00820288">
            <w:pPr>
              <w:spacing w:line="240" w:lineRule="auto"/>
              <w:jc w:val="right"/>
              <w:rPr>
                <w:rFonts w:ascii="Times New Roman" w:hAnsi="Times New Roman" w:cs="Times New Roman"/>
                <w:sz w:val="13"/>
                <w:szCs w:val="13"/>
              </w:rPr>
            </w:pPr>
            <w:r w:rsidRPr="004A4899">
              <w:rPr>
                <w:rFonts w:ascii="Times New Roman" w:hAnsi="Times New Roman" w:cs="Times New Roman"/>
                <w:sz w:val="13"/>
                <w:szCs w:val="13"/>
              </w:rPr>
              <w:t>81.22</w:t>
            </w:r>
          </w:p>
        </w:tc>
        <w:tc>
          <w:tcPr>
            <w:tcW w:w="273" w:type="dxa"/>
            <w:noWrap/>
            <w:vAlign w:val="center"/>
            <w:hideMark/>
          </w:tcPr>
          <w:p w14:paraId="55279814" w14:textId="77777777" w:rsidR="00126D8D" w:rsidRPr="004A4899" w:rsidRDefault="00126D8D" w:rsidP="00820288">
            <w:pPr>
              <w:spacing w:line="240" w:lineRule="auto"/>
              <w:rPr>
                <w:rFonts w:ascii="Times New Roman" w:hAnsi="Times New Roman" w:cs="Times New Roman"/>
                <w:sz w:val="13"/>
                <w:szCs w:val="13"/>
              </w:rPr>
            </w:pPr>
            <w:r w:rsidRPr="004A4899">
              <w:rPr>
                <w:rFonts w:ascii="Times New Roman" w:hAnsi="Times New Roman" w:cs="Times New Roman"/>
                <w:sz w:val="13"/>
                <w:szCs w:val="13"/>
              </w:rPr>
              <w:t>a</w:t>
            </w:r>
          </w:p>
        </w:tc>
      </w:tr>
      <w:tr w:rsidR="00126D8D" w:rsidRPr="004A4899" w14:paraId="3E51113A" w14:textId="77777777" w:rsidTr="00820288">
        <w:trPr>
          <w:trHeight w:val="173"/>
        </w:trPr>
        <w:tc>
          <w:tcPr>
            <w:tcW w:w="1440" w:type="dxa"/>
            <w:noWrap/>
            <w:vAlign w:val="center"/>
            <w:hideMark/>
          </w:tcPr>
          <w:p w14:paraId="4C4B0878" w14:textId="77777777" w:rsidR="00126D8D" w:rsidRPr="004A4899" w:rsidRDefault="00126D8D" w:rsidP="00820288">
            <w:pPr>
              <w:spacing w:line="240" w:lineRule="auto"/>
              <w:rPr>
                <w:rFonts w:ascii="Times New Roman" w:hAnsi="Times New Roman" w:cs="Times New Roman"/>
                <w:sz w:val="12"/>
                <w:szCs w:val="12"/>
              </w:rPr>
            </w:pPr>
            <w:r w:rsidRPr="004A4899">
              <w:rPr>
                <w:rFonts w:ascii="Times New Roman" w:hAnsi="Times New Roman" w:cs="Times New Roman"/>
                <w:sz w:val="12"/>
                <w:szCs w:val="12"/>
              </w:rPr>
              <w:t>p-Menth-1-en-8-ol</w:t>
            </w:r>
          </w:p>
        </w:tc>
        <w:tc>
          <w:tcPr>
            <w:tcW w:w="377" w:type="dxa"/>
            <w:noWrap/>
            <w:vAlign w:val="center"/>
            <w:hideMark/>
          </w:tcPr>
          <w:p w14:paraId="7590B364" w14:textId="77777777" w:rsidR="00126D8D" w:rsidRPr="004A4899" w:rsidRDefault="00126D8D" w:rsidP="00820288">
            <w:pPr>
              <w:spacing w:line="240" w:lineRule="auto"/>
              <w:jc w:val="right"/>
              <w:rPr>
                <w:rFonts w:ascii="Times New Roman" w:hAnsi="Times New Roman" w:cs="Times New Roman"/>
                <w:sz w:val="13"/>
                <w:szCs w:val="13"/>
              </w:rPr>
            </w:pPr>
            <w:r w:rsidRPr="004A4899">
              <w:rPr>
                <w:rFonts w:ascii="Times New Roman" w:hAnsi="Times New Roman" w:cs="Times New Roman"/>
                <w:sz w:val="13"/>
                <w:szCs w:val="13"/>
              </w:rPr>
              <w:t>10.99</w:t>
            </w:r>
          </w:p>
        </w:tc>
        <w:tc>
          <w:tcPr>
            <w:tcW w:w="274" w:type="dxa"/>
            <w:noWrap/>
            <w:vAlign w:val="center"/>
            <w:hideMark/>
          </w:tcPr>
          <w:p w14:paraId="4B3EEE53" w14:textId="77777777" w:rsidR="00126D8D" w:rsidRPr="004A4899" w:rsidRDefault="00126D8D" w:rsidP="00820288">
            <w:pPr>
              <w:spacing w:line="240" w:lineRule="auto"/>
              <w:rPr>
                <w:rFonts w:ascii="Times New Roman" w:hAnsi="Times New Roman" w:cs="Times New Roman"/>
                <w:sz w:val="13"/>
                <w:szCs w:val="13"/>
              </w:rPr>
            </w:pPr>
            <w:r w:rsidRPr="004A4899">
              <w:rPr>
                <w:rFonts w:ascii="Times New Roman" w:hAnsi="Times New Roman" w:cs="Times New Roman"/>
                <w:sz w:val="13"/>
                <w:szCs w:val="13"/>
              </w:rPr>
              <w:t>cdef</w:t>
            </w:r>
          </w:p>
        </w:tc>
        <w:tc>
          <w:tcPr>
            <w:tcW w:w="411" w:type="dxa"/>
            <w:noWrap/>
            <w:vAlign w:val="center"/>
            <w:hideMark/>
          </w:tcPr>
          <w:p w14:paraId="4849CEAD" w14:textId="77777777" w:rsidR="00126D8D" w:rsidRPr="004A4899" w:rsidRDefault="00126D8D" w:rsidP="00820288">
            <w:pPr>
              <w:spacing w:line="240" w:lineRule="auto"/>
              <w:jc w:val="right"/>
              <w:rPr>
                <w:rFonts w:ascii="Times New Roman" w:hAnsi="Times New Roman" w:cs="Times New Roman"/>
                <w:sz w:val="13"/>
                <w:szCs w:val="13"/>
              </w:rPr>
            </w:pPr>
            <w:r w:rsidRPr="004A4899">
              <w:rPr>
                <w:rFonts w:ascii="Times New Roman" w:hAnsi="Times New Roman" w:cs="Times New Roman"/>
                <w:sz w:val="13"/>
                <w:szCs w:val="13"/>
              </w:rPr>
              <w:t>7.78</w:t>
            </w:r>
          </w:p>
        </w:tc>
        <w:tc>
          <w:tcPr>
            <w:tcW w:w="239" w:type="dxa"/>
            <w:noWrap/>
            <w:vAlign w:val="center"/>
            <w:hideMark/>
          </w:tcPr>
          <w:p w14:paraId="528AAB99" w14:textId="77777777" w:rsidR="00126D8D" w:rsidRPr="004A4899" w:rsidRDefault="00126D8D" w:rsidP="00820288">
            <w:pPr>
              <w:spacing w:line="240" w:lineRule="auto"/>
              <w:rPr>
                <w:rFonts w:ascii="Times New Roman" w:hAnsi="Times New Roman" w:cs="Times New Roman"/>
                <w:sz w:val="13"/>
                <w:szCs w:val="13"/>
              </w:rPr>
            </w:pPr>
            <w:r w:rsidRPr="004A4899">
              <w:rPr>
                <w:rFonts w:ascii="Times New Roman" w:hAnsi="Times New Roman" w:cs="Times New Roman"/>
                <w:sz w:val="13"/>
                <w:szCs w:val="13"/>
              </w:rPr>
              <w:t>f</w:t>
            </w:r>
          </w:p>
        </w:tc>
        <w:tc>
          <w:tcPr>
            <w:tcW w:w="377" w:type="dxa"/>
            <w:noWrap/>
            <w:vAlign w:val="center"/>
            <w:hideMark/>
          </w:tcPr>
          <w:p w14:paraId="2CE5E3E0" w14:textId="77777777" w:rsidR="00126D8D" w:rsidRPr="004A4899" w:rsidRDefault="00126D8D" w:rsidP="00820288">
            <w:pPr>
              <w:spacing w:line="240" w:lineRule="auto"/>
              <w:jc w:val="right"/>
              <w:rPr>
                <w:rFonts w:ascii="Times New Roman" w:hAnsi="Times New Roman" w:cs="Times New Roman"/>
                <w:sz w:val="13"/>
                <w:szCs w:val="13"/>
              </w:rPr>
            </w:pPr>
            <w:r w:rsidRPr="004A4899">
              <w:rPr>
                <w:rFonts w:ascii="Times New Roman" w:hAnsi="Times New Roman" w:cs="Times New Roman"/>
                <w:sz w:val="13"/>
                <w:szCs w:val="13"/>
              </w:rPr>
              <w:t>9.53</w:t>
            </w:r>
          </w:p>
        </w:tc>
        <w:tc>
          <w:tcPr>
            <w:tcW w:w="273" w:type="dxa"/>
            <w:noWrap/>
            <w:vAlign w:val="center"/>
            <w:hideMark/>
          </w:tcPr>
          <w:p w14:paraId="0A63D34F" w14:textId="77777777" w:rsidR="00126D8D" w:rsidRPr="004A4899" w:rsidRDefault="00126D8D" w:rsidP="00820288">
            <w:pPr>
              <w:spacing w:line="240" w:lineRule="auto"/>
              <w:rPr>
                <w:rFonts w:ascii="Times New Roman" w:hAnsi="Times New Roman" w:cs="Times New Roman"/>
                <w:sz w:val="13"/>
                <w:szCs w:val="13"/>
              </w:rPr>
            </w:pPr>
            <w:r w:rsidRPr="004A4899">
              <w:rPr>
                <w:rFonts w:ascii="Times New Roman" w:hAnsi="Times New Roman" w:cs="Times New Roman"/>
                <w:sz w:val="13"/>
                <w:szCs w:val="13"/>
              </w:rPr>
              <w:t>ef</w:t>
            </w:r>
          </w:p>
        </w:tc>
        <w:tc>
          <w:tcPr>
            <w:tcW w:w="377" w:type="dxa"/>
            <w:noWrap/>
            <w:vAlign w:val="center"/>
            <w:hideMark/>
          </w:tcPr>
          <w:p w14:paraId="32AE2364" w14:textId="77777777" w:rsidR="00126D8D" w:rsidRPr="004A4899" w:rsidRDefault="00126D8D" w:rsidP="00820288">
            <w:pPr>
              <w:spacing w:line="240" w:lineRule="auto"/>
              <w:jc w:val="right"/>
              <w:rPr>
                <w:rFonts w:ascii="Times New Roman" w:hAnsi="Times New Roman" w:cs="Times New Roman"/>
                <w:sz w:val="13"/>
                <w:szCs w:val="13"/>
              </w:rPr>
            </w:pPr>
            <w:r w:rsidRPr="004A4899">
              <w:rPr>
                <w:rFonts w:ascii="Times New Roman" w:hAnsi="Times New Roman" w:cs="Times New Roman"/>
                <w:sz w:val="13"/>
                <w:szCs w:val="13"/>
              </w:rPr>
              <w:t>13.32</w:t>
            </w:r>
          </w:p>
        </w:tc>
        <w:tc>
          <w:tcPr>
            <w:tcW w:w="273" w:type="dxa"/>
            <w:noWrap/>
            <w:vAlign w:val="center"/>
            <w:hideMark/>
          </w:tcPr>
          <w:p w14:paraId="5D9074D0" w14:textId="77777777" w:rsidR="00126D8D" w:rsidRPr="004A4899" w:rsidRDefault="00126D8D" w:rsidP="00820288">
            <w:pPr>
              <w:spacing w:line="240" w:lineRule="auto"/>
              <w:rPr>
                <w:rFonts w:ascii="Times New Roman" w:hAnsi="Times New Roman" w:cs="Times New Roman"/>
                <w:sz w:val="13"/>
                <w:szCs w:val="13"/>
              </w:rPr>
            </w:pPr>
            <w:r w:rsidRPr="004A4899">
              <w:rPr>
                <w:rFonts w:ascii="Times New Roman" w:hAnsi="Times New Roman" w:cs="Times New Roman"/>
                <w:sz w:val="13"/>
                <w:szCs w:val="13"/>
              </w:rPr>
              <w:t>bcd</w:t>
            </w:r>
          </w:p>
        </w:tc>
        <w:tc>
          <w:tcPr>
            <w:tcW w:w="377" w:type="dxa"/>
            <w:noWrap/>
            <w:vAlign w:val="center"/>
            <w:hideMark/>
          </w:tcPr>
          <w:p w14:paraId="09DE4654" w14:textId="77777777" w:rsidR="00126D8D" w:rsidRPr="004A4899" w:rsidRDefault="00126D8D" w:rsidP="00820288">
            <w:pPr>
              <w:spacing w:line="240" w:lineRule="auto"/>
              <w:jc w:val="right"/>
              <w:rPr>
                <w:rFonts w:ascii="Times New Roman" w:hAnsi="Times New Roman" w:cs="Times New Roman"/>
                <w:sz w:val="13"/>
                <w:szCs w:val="13"/>
              </w:rPr>
            </w:pPr>
            <w:r w:rsidRPr="004A4899">
              <w:rPr>
                <w:rFonts w:ascii="Times New Roman" w:hAnsi="Times New Roman" w:cs="Times New Roman"/>
                <w:sz w:val="13"/>
                <w:szCs w:val="13"/>
              </w:rPr>
              <w:t>12.78</w:t>
            </w:r>
          </w:p>
        </w:tc>
        <w:tc>
          <w:tcPr>
            <w:tcW w:w="326" w:type="dxa"/>
            <w:noWrap/>
            <w:vAlign w:val="center"/>
            <w:hideMark/>
          </w:tcPr>
          <w:p w14:paraId="2F3CB42C" w14:textId="77777777" w:rsidR="00126D8D" w:rsidRPr="004A4899" w:rsidRDefault="00126D8D" w:rsidP="00820288">
            <w:pPr>
              <w:spacing w:line="240" w:lineRule="auto"/>
              <w:rPr>
                <w:rFonts w:ascii="Times New Roman" w:hAnsi="Times New Roman" w:cs="Times New Roman"/>
                <w:sz w:val="13"/>
                <w:szCs w:val="13"/>
              </w:rPr>
            </w:pPr>
            <w:r w:rsidRPr="004A4899">
              <w:rPr>
                <w:rFonts w:ascii="Times New Roman" w:hAnsi="Times New Roman" w:cs="Times New Roman"/>
                <w:sz w:val="13"/>
                <w:szCs w:val="13"/>
              </w:rPr>
              <w:t>bcde</w:t>
            </w:r>
          </w:p>
        </w:tc>
        <w:tc>
          <w:tcPr>
            <w:tcW w:w="377" w:type="dxa"/>
            <w:noWrap/>
            <w:vAlign w:val="center"/>
            <w:hideMark/>
          </w:tcPr>
          <w:p w14:paraId="46D8C38A" w14:textId="77777777" w:rsidR="00126D8D" w:rsidRPr="004A4899" w:rsidRDefault="00126D8D" w:rsidP="00820288">
            <w:pPr>
              <w:spacing w:line="240" w:lineRule="auto"/>
              <w:jc w:val="right"/>
              <w:rPr>
                <w:rFonts w:ascii="Times New Roman" w:hAnsi="Times New Roman" w:cs="Times New Roman"/>
                <w:sz w:val="13"/>
                <w:szCs w:val="13"/>
              </w:rPr>
            </w:pPr>
            <w:r w:rsidRPr="004A4899">
              <w:rPr>
                <w:rFonts w:ascii="Times New Roman" w:hAnsi="Times New Roman" w:cs="Times New Roman"/>
                <w:sz w:val="13"/>
                <w:szCs w:val="13"/>
              </w:rPr>
              <w:t>11.46</w:t>
            </w:r>
          </w:p>
        </w:tc>
        <w:tc>
          <w:tcPr>
            <w:tcW w:w="326" w:type="dxa"/>
            <w:noWrap/>
            <w:vAlign w:val="center"/>
            <w:hideMark/>
          </w:tcPr>
          <w:p w14:paraId="04D270E2" w14:textId="77777777" w:rsidR="00126D8D" w:rsidRPr="004A4899" w:rsidRDefault="00126D8D" w:rsidP="00820288">
            <w:pPr>
              <w:spacing w:line="240" w:lineRule="auto"/>
              <w:rPr>
                <w:rFonts w:ascii="Times New Roman" w:hAnsi="Times New Roman" w:cs="Times New Roman"/>
                <w:sz w:val="13"/>
                <w:szCs w:val="13"/>
              </w:rPr>
            </w:pPr>
            <w:r w:rsidRPr="004A4899">
              <w:rPr>
                <w:rFonts w:ascii="Times New Roman" w:hAnsi="Times New Roman" w:cs="Times New Roman"/>
                <w:sz w:val="13"/>
                <w:szCs w:val="13"/>
              </w:rPr>
              <w:t>bcdef</w:t>
            </w:r>
          </w:p>
        </w:tc>
        <w:tc>
          <w:tcPr>
            <w:tcW w:w="377" w:type="dxa"/>
            <w:noWrap/>
            <w:vAlign w:val="center"/>
            <w:hideMark/>
          </w:tcPr>
          <w:p w14:paraId="18414939" w14:textId="77777777" w:rsidR="00126D8D" w:rsidRPr="004A4899" w:rsidRDefault="00126D8D" w:rsidP="00820288">
            <w:pPr>
              <w:spacing w:line="240" w:lineRule="auto"/>
              <w:jc w:val="right"/>
              <w:rPr>
                <w:rFonts w:ascii="Times New Roman" w:hAnsi="Times New Roman" w:cs="Times New Roman"/>
                <w:sz w:val="13"/>
                <w:szCs w:val="13"/>
              </w:rPr>
            </w:pPr>
            <w:r w:rsidRPr="004A4899">
              <w:rPr>
                <w:rFonts w:ascii="Times New Roman" w:hAnsi="Times New Roman" w:cs="Times New Roman"/>
                <w:sz w:val="13"/>
                <w:szCs w:val="13"/>
              </w:rPr>
              <w:t>15.01</w:t>
            </w:r>
          </w:p>
        </w:tc>
        <w:tc>
          <w:tcPr>
            <w:tcW w:w="219" w:type="dxa"/>
            <w:noWrap/>
            <w:vAlign w:val="center"/>
            <w:hideMark/>
          </w:tcPr>
          <w:p w14:paraId="1BA2CF40" w14:textId="77777777" w:rsidR="00126D8D" w:rsidRPr="004A4899" w:rsidRDefault="00126D8D" w:rsidP="00820288">
            <w:pPr>
              <w:spacing w:line="240" w:lineRule="auto"/>
              <w:rPr>
                <w:rFonts w:ascii="Times New Roman" w:hAnsi="Times New Roman" w:cs="Times New Roman"/>
                <w:sz w:val="13"/>
                <w:szCs w:val="13"/>
              </w:rPr>
            </w:pPr>
            <w:r w:rsidRPr="004A4899">
              <w:rPr>
                <w:rFonts w:ascii="Times New Roman" w:hAnsi="Times New Roman" w:cs="Times New Roman"/>
                <w:sz w:val="13"/>
                <w:szCs w:val="13"/>
              </w:rPr>
              <w:t>ab</w:t>
            </w:r>
          </w:p>
        </w:tc>
        <w:tc>
          <w:tcPr>
            <w:tcW w:w="377" w:type="dxa"/>
            <w:noWrap/>
            <w:vAlign w:val="center"/>
            <w:hideMark/>
          </w:tcPr>
          <w:p w14:paraId="4FF57EED" w14:textId="77777777" w:rsidR="00126D8D" w:rsidRPr="004A4899" w:rsidRDefault="00126D8D" w:rsidP="00820288">
            <w:pPr>
              <w:spacing w:line="240" w:lineRule="auto"/>
              <w:jc w:val="right"/>
              <w:rPr>
                <w:rFonts w:ascii="Times New Roman" w:hAnsi="Times New Roman" w:cs="Times New Roman"/>
                <w:sz w:val="13"/>
                <w:szCs w:val="13"/>
              </w:rPr>
            </w:pPr>
            <w:r w:rsidRPr="004A4899">
              <w:rPr>
                <w:rFonts w:ascii="Times New Roman" w:hAnsi="Times New Roman" w:cs="Times New Roman"/>
                <w:sz w:val="13"/>
                <w:szCs w:val="13"/>
              </w:rPr>
              <w:t>17.03</w:t>
            </w:r>
          </w:p>
        </w:tc>
        <w:tc>
          <w:tcPr>
            <w:tcW w:w="159" w:type="dxa"/>
            <w:noWrap/>
            <w:vAlign w:val="center"/>
            <w:hideMark/>
          </w:tcPr>
          <w:p w14:paraId="1813182D" w14:textId="77777777" w:rsidR="00126D8D" w:rsidRPr="004A4899" w:rsidRDefault="00126D8D" w:rsidP="00820288">
            <w:pPr>
              <w:spacing w:line="240" w:lineRule="auto"/>
              <w:rPr>
                <w:rFonts w:ascii="Times New Roman" w:hAnsi="Times New Roman" w:cs="Times New Roman"/>
                <w:sz w:val="13"/>
                <w:szCs w:val="13"/>
              </w:rPr>
            </w:pPr>
            <w:r w:rsidRPr="004A4899">
              <w:rPr>
                <w:rFonts w:ascii="Times New Roman" w:hAnsi="Times New Roman" w:cs="Times New Roman"/>
                <w:sz w:val="13"/>
                <w:szCs w:val="13"/>
              </w:rPr>
              <w:t>a</w:t>
            </w:r>
          </w:p>
        </w:tc>
        <w:tc>
          <w:tcPr>
            <w:tcW w:w="377" w:type="dxa"/>
            <w:noWrap/>
            <w:vAlign w:val="center"/>
            <w:hideMark/>
          </w:tcPr>
          <w:p w14:paraId="2F93342A" w14:textId="77777777" w:rsidR="00126D8D" w:rsidRPr="004A4899" w:rsidRDefault="00126D8D" w:rsidP="00820288">
            <w:pPr>
              <w:spacing w:line="240" w:lineRule="auto"/>
              <w:jc w:val="right"/>
              <w:rPr>
                <w:rFonts w:ascii="Times New Roman" w:hAnsi="Times New Roman" w:cs="Times New Roman"/>
                <w:sz w:val="13"/>
                <w:szCs w:val="13"/>
              </w:rPr>
            </w:pPr>
            <w:r w:rsidRPr="004A4899">
              <w:rPr>
                <w:rFonts w:ascii="Times New Roman" w:hAnsi="Times New Roman" w:cs="Times New Roman"/>
                <w:sz w:val="13"/>
                <w:szCs w:val="13"/>
              </w:rPr>
              <w:t>14.39</w:t>
            </w:r>
          </w:p>
        </w:tc>
        <w:tc>
          <w:tcPr>
            <w:tcW w:w="326" w:type="dxa"/>
            <w:noWrap/>
            <w:vAlign w:val="center"/>
            <w:hideMark/>
          </w:tcPr>
          <w:p w14:paraId="3D45037A" w14:textId="77777777" w:rsidR="00126D8D" w:rsidRPr="004A4899" w:rsidRDefault="00126D8D" w:rsidP="00820288">
            <w:pPr>
              <w:spacing w:line="240" w:lineRule="auto"/>
              <w:rPr>
                <w:rFonts w:ascii="Times New Roman" w:hAnsi="Times New Roman" w:cs="Times New Roman"/>
                <w:sz w:val="13"/>
                <w:szCs w:val="13"/>
              </w:rPr>
            </w:pPr>
            <w:r w:rsidRPr="004A4899">
              <w:rPr>
                <w:rFonts w:ascii="Times New Roman" w:hAnsi="Times New Roman" w:cs="Times New Roman"/>
                <w:sz w:val="13"/>
                <w:szCs w:val="13"/>
              </w:rPr>
              <w:t>abc</w:t>
            </w:r>
          </w:p>
        </w:tc>
        <w:tc>
          <w:tcPr>
            <w:tcW w:w="377" w:type="dxa"/>
            <w:noWrap/>
            <w:vAlign w:val="center"/>
            <w:hideMark/>
          </w:tcPr>
          <w:p w14:paraId="1BA33F75" w14:textId="77777777" w:rsidR="00126D8D" w:rsidRPr="004A4899" w:rsidRDefault="00126D8D" w:rsidP="00820288">
            <w:pPr>
              <w:spacing w:line="240" w:lineRule="auto"/>
              <w:jc w:val="right"/>
              <w:rPr>
                <w:rFonts w:ascii="Times New Roman" w:hAnsi="Times New Roman" w:cs="Times New Roman"/>
                <w:sz w:val="13"/>
                <w:szCs w:val="13"/>
              </w:rPr>
            </w:pPr>
            <w:r w:rsidRPr="004A4899">
              <w:rPr>
                <w:rFonts w:ascii="Times New Roman" w:hAnsi="Times New Roman" w:cs="Times New Roman"/>
                <w:sz w:val="13"/>
                <w:szCs w:val="13"/>
              </w:rPr>
              <w:t>10.77</w:t>
            </w:r>
          </w:p>
        </w:tc>
        <w:tc>
          <w:tcPr>
            <w:tcW w:w="252" w:type="dxa"/>
            <w:noWrap/>
            <w:vAlign w:val="center"/>
            <w:hideMark/>
          </w:tcPr>
          <w:p w14:paraId="60C620B4" w14:textId="77777777" w:rsidR="00126D8D" w:rsidRPr="004A4899" w:rsidRDefault="00126D8D" w:rsidP="00820288">
            <w:pPr>
              <w:spacing w:line="240" w:lineRule="auto"/>
              <w:rPr>
                <w:rFonts w:ascii="Times New Roman" w:hAnsi="Times New Roman" w:cs="Times New Roman"/>
                <w:sz w:val="13"/>
                <w:szCs w:val="13"/>
              </w:rPr>
            </w:pPr>
            <w:r w:rsidRPr="004A4899">
              <w:rPr>
                <w:rFonts w:ascii="Times New Roman" w:hAnsi="Times New Roman" w:cs="Times New Roman"/>
                <w:sz w:val="13"/>
                <w:szCs w:val="13"/>
              </w:rPr>
              <w:t>cdef</w:t>
            </w:r>
          </w:p>
        </w:tc>
        <w:tc>
          <w:tcPr>
            <w:tcW w:w="377" w:type="dxa"/>
            <w:noWrap/>
            <w:vAlign w:val="center"/>
            <w:hideMark/>
          </w:tcPr>
          <w:p w14:paraId="2BE171E2" w14:textId="77777777" w:rsidR="00126D8D" w:rsidRPr="004A4899" w:rsidRDefault="00126D8D" w:rsidP="00820288">
            <w:pPr>
              <w:spacing w:line="240" w:lineRule="auto"/>
              <w:jc w:val="right"/>
              <w:rPr>
                <w:rFonts w:ascii="Times New Roman" w:hAnsi="Times New Roman" w:cs="Times New Roman"/>
                <w:sz w:val="13"/>
                <w:szCs w:val="13"/>
              </w:rPr>
            </w:pPr>
            <w:r w:rsidRPr="004A4899">
              <w:rPr>
                <w:rFonts w:ascii="Times New Roman" w:hAnsi="Times New Roman" w:cs="Times New Roman"/>
                <w:sz w:val="13"/>
                <w:szCs w:val="13"/>
              </w:rPr>
              <w:t>11.64</w:t>
            </w:r>
          </w:p>
        </w:tc>
        <w:tc>
          <w:tcPr>
            <w:tcW w:w="273" w:type="dxa"/>
            <w:noWrap/>
            <w:vAlign w:val="center"/>
            <w:hideMark/>
          </w:tcPr>
          <w:p w14:paraId="02DAB270" w14:textId="77777777" w:rsidR="00126D8D" w:rsidRPr="004A4899" w:rsidRDefault="00126D8D" w:rsidP="00820288">
            <w:pPr>
              <w:spacing w:line="240" w:lineRule="auto"/>
              <w:rPr>
                <w:rFonts w:ascii="Times New Roman" w:hAnsi="Times New Roman" w:cs="Times New Roman"/>
                <w:sz w:val="13"/>
                <w:szCs w:val="13"/>
              </w:rPr>
            </w:pPr>
            <w:r w:rsidRPr="004A4899">
              <w:rPr>
                <w:rFonts w:ascii="Times New Roman" w:hAnsi="Times New Roman" w:cs="Times New Roman"/>
                <w:sz w:val="13"/>
                <w:szCs w:val="13"/>
              </w:rPr>
              <w:t>bcde</w:t>
            </w:r>
          </w:p>
        </w:tc>
        <w:tc>
          <w:tcPr>
            <w:tcW w:w="377" w:type="dxa"/>
            <w:noWrap/>
            <w:vAlign w:val="center"/>
            <w:hideMark/>
          </w:tcPr>
          <w:p w14:paraId="1AFC232B" w14:textId="77777777" w:rsidR="00126D8D" w:rsidRPr="004A4899" w:rsidRDefault="00126D8D" w:rsidP="00820288">
            <w:pPr>
              <w:spacing w:line="240" w:lineRule="auto"/>
              <w:jc w:val="right"/>
              <w:rPr>
                <w:rFonts w:ascii="Times New Roman" w:hAnsi="Times New Roman" w:cs="Times New Roman"/>
                <w:sz w:val="13"/>
                <w:szCs w:val="13"/>
              </w:rPr>
            </w:pPr>
            <w:r w:rsidRPr="004A4899">
              <w:rPr>
                <w:rFonts w:ascii="Times New Roman" w:hAnsi="Times New Roman" w:cs="Times New Roman"/>
                <w:sz w:val="13"/>
                <w:szCs w:val="13"/>
              </w:rPr>
              <w:t>10.02</w:t>
            </w:r>
          </w:p>
        </w:tc>
        <w:tc>
          <w:tcPr>
            <w:tcW w:w="273" w:type="dxa"/>
            <w:noWrap/>
            <w:vAlign w:val="center"/>
            <w:hideMark/>
          </w:tcPr>
          <w:p w14:paraId="55DDF01B" w14:textId="77777777" w:rsidR="00126D8D" w:rsidRPr="004A4899" w:rsidRDefault="00126D8D" w:rsidP="00820288">
            <w:pPr>
              <w:spacing w:line="240" w:lineRule="auto"/>
              <w:rPr>
                <w:rFonts w:ascii="Times New Roman" w:hAnsi="Times New Roman" w:cs="Times New Roman"/>
                <w:sz w:val="13"/>
                <w:szCs w:val="13"/>
              </w:rPr>
            </w:pPr>
            <w:r w:rsidRPr="004A4899">
              <w:rPr>
                <w:rFonts w:ascii="Times New Roman" w:hAnsi="Times New Roman" w:cs="Times New Roman"/>
                <w:sz w:val="13"/>
                <w:szCs w:val="13"/>
              </w:rPr>
              <w:t>def</w:t>
            </w:r>
          </w:p>
        </w:tc>
      </w:tr>
      <w:tr w:rsidR="00126D8D" w:rsidRPr="004A4899" w14:paraId="57085CD0" w14:textId="77777777" w:rsidTr="00820288">
        <w:trPr>
          <w:trHeight w:val="173"/>
        </w:trPr>
        <w:tc>
          <w:tcPr>
            <w:tcW w:w="1440" w:type="dxa"/>
            <w:noWrap/>
            <w:vAlign w:val="center"/>
          </w:tcPr>
          <w:p w14:paraId="470EBA9B" w14:textId="77777777" w:rsidR="00126D8D" w:rsidRPr="004A4899" w:rsidRDefault="00126D8D" w:rsidP="00820288">
            <w:pPr>
              <w:spacing w:line="240" w:lineRule="auto"/>
              <w:rPr>
                <w:rFonts w:ascii="Times New Roman" w:hAnsi="Times New Roman" w:cs="Times New Roman"/>
                <w:b/>
                <w:bCs/>
                <w:sz w:val="12"/>
                <w:szCs w:val="12"/>
              </w:rPr>
            </w:pPr>
            <w:r w:rsidRPr="004A4899">
              <w:rPr>
                <w:rFonts w:ascii="Times New Roman" w:hAnsi="Times New Roman" w:cs="Times New Roman"/>
                <w:b/>
                <w:bCs/>
                <w:sz w:val="12"/>
                <w:szCs w:val="12"/>
              </w:rPr>
              <w:t>Sesquiterpene</w:t>
            </w:r>
          </w:p>
        </w:tc>
        <w:tc>
          <w:tcPr>
            <w:tcW w:w="377" w:type="dxa"/>
            <w:noWrap/>
            <w:vAlign w:val="center"/>
          </w:tcPr>
          <w:p w14:paraId="1B19B2AA" w14:textId="77777777" w:rsidR="00126D8D" w:rsidRPr="004A4899" w:rsidRDefault="00126D8D" w:rsidP="00820288">
            <w:pPr>
              <w:spacing w:line="240" w:lineRule="auto"/>
              <w:jc w:val="right"/>
              <w:rPr>
                <w:rFonts w:ascii="Times New Roman" w:hAnsi="Times New Roman" w:cs="Times New Roman"/>
                <w:sz w:val="13"/>
                <w:szCs w:val="13"/>
              </w:rPr>
            </w:pPr>
          </w:p>
        </w:tc>
        <w:tc>
          <w:tcPr>
            <w:tcW w:w="274" w:type="dxa"/>
            <w:noWrap/>
            <w:vAlign w:val="center"/>
          </w:tcPr>
          <w:p w14:paraId="43E7DBE1" w14:textId="77777777" w:rsidR="00126D8D" w:rsidRPr="004A4899" w:rsidRDefault="00126D8D" w:rsidP="00820288">
            <w:pPr>
              <w:spacing w:line="240" w:lineRule="auto"/>
              <w:rPr>
                <w:rFonts w:ascii="Times New Roman" w:hAnsi="Times New Roman" w:cs="Times New Roman"/>
                <w:sz w:val="13"/>
                <w:szCs w:val="13"/>
              </w:rPr>
            </w:pPr>
          </w:p>
        </w:tc>
        <w:tc>
          <w:tcPr>
            <w:tcW w:w="411" w:type="dxa"/>
            <w:noWrap/>
            <w:vAlign w:val="center"/>
          </w:tcPr>
          <w:p w14:paraId="30EB2274" w14:textId="77777777" w:rsidR="00126D8D" w:rsidRPr="004A4899" w:rsidRDefault="00126D8D" w:rsidP="00820288">
            <w:pPr>
              <w:spacing w:line="240" w:lineRule="auto"/>
              <w:jc w:val="right"/>
              <w:rPr>
                <w:rFonts w:ascii="Times New Roman" w:hAnsi="Times New Roman" w:cs="Times New Roman"/>
                <w:sz w:val="13"/>
                <w:szCs w:val="13"/>
              </w:rPr>
            </w:pPr>
          </w:p>
        </w:tc>
        <w:tc>
          <w:tcPr>
            <w:tcW w:w="239" w:type="dxa"/>
            <w:noWrap/>
            <w:vAlign w:val="center"/>
          </w:tcPr>
          <w:p w14:paraId="47957C34" w14:textId="77777777" w:rsidR="00126D8D" w:rsidRPr="004A4899" w:rsidRDefault="00126D8D" w:rsidP="00820288">
            <w:pPr>
              <w:spacing w:line="240" w:lineRule="auto"/>
              <w:rPr>
                <w:rFonts w:ascii="Times New Roman" w:hAnsi="Times New Roman" w:cs="Times New Roman"/>
                <w:sz w:val="13"/>
                <w:szCs w:val="13"/>
              </w:rPr>
            </w:pPr>
          </w:p>
        </w:tc>
        <w:tc>
          <w:tcPr>
            <w:tcW w:w="377" w:type="dxa"/>
            <w:noWrap/>
            <w:vAlign w:val="center"/>
          </w:tcPr>
          <w:p w14:paraId="4CCABC58" w14:textId="77777777" w:rsidR="00126D8D" w:rsidRPr="004A4899" w:rsidRDefault="00126D8D" w:rsidP="00820288">
            <w:pPr>
              <w:spacing w:line="240" w:lineRule="auto"/>
              <w:jc w:val="right"/>
              <w:rPr>
                <w:rFonts w:ascii="Times New Roman" w:hAnsi="Times New Roman" w:cs="Times New Roman"/>
                <w:sz w:val="13"/>
                <w:szCs w:val="13"/>
              </w:rPr>
            </w:pPr>
          </w:p>
        </w:tc>
        <w:tc>
          <w:tcPr>
            <w:tcW w:w="273" w:type="dxa"/>
            <w:noWrap/>
            <w:vAlign w:val="center"/>
          </w:tcPr>
          <w:p w14:paraId="18A85390" w14:textId="77777777" w:rsidR="00126D8D" w:rsidRPr="004A4899" w:rsidRDefault="00126D8D" w:rsidP="00820288">
            <w:pPr>
              <w:spacing w:line="240" w:lineRule="auto"/>
              <w:rPr>
                <w:rFonts w:ascii="Times New Roman" w:hAnsi="Times New Roman" w:cs="Times New Roman"/>
                <w:sz w:val="13"/>
                <w:szCs w:val="13"/>
              </w:rPr>
            </w:pPr>
          </w:p>
        </w:tc>
        <w:tc>
          <w:tcPr>
            <w:tcW w:w="377" w:type="dxa"/>
            <w:noWrap/>
            <w:vAlign w:val="center"/>
          </w:tcPr>
          <w:p w14:paraId="0C9A7BC1" w14:textId="77777777" w:rsidR="00126D8D" w:rsidRPr="004A4899" w:rsidRDefault="00126D8D" w:rsidP="00820288">
            <w:pPr>
              <w:spacing w:line="240" w:lineRule="auto"/>
              <w:jc w:val="right"/>
              <w:rPr>
                <w:rFonts w:ascii="Times New Roman" w:hAnsi="Times New Roman" w:cs="Times New Roman"/>
                <w:sz w:val="13"/>
                <w:szCs w:val="13"/>
              </w:rPr>
            </w:pPr>
          </w:p>
        </w:tc>
        <w:tc>
          <w:tcPr>
            <w:tcW w:w="273" w:type="dxa"/>
            <w:noWrap/>
            <w:vAlign w:val="center"/>
          </w:tcPr>
          <w:p w14:paraId="1D8A56AF" w14:textId="77777777" w:rsidR="00126D8D" w:rsidRPr="004A4899" w:rsidRDefault="00126D8D" w:rsidP="00820288">
            <w:pPr>
              <w:spacing w:line="240" w:lineRule="auto"/>
              <w:rPr>
                <w:rFonts w:ascii="Times New Roman" w:hAnsi="Times New Roman" w:cs="Times New Roman"/>
                <w:sz w:val="13"/>
                <w:szCs w:val="13"/>
              </w:rPr>
            </w:pPr>
          </w:p>
        </w:tc>
        <w:tc>
          <w:tcPr>
            <w:tcW w:w="377" w:type="dxa"/>
            <w:noWrap/>
            <w:vAlign w:val="center"/>
          </w:tcPr>
          <w:p w14:paraId="5F2C3A8F" w14:textId="77777777" w:rsidR="00126D8D" w:rsidRPr="004A4899" w:rsidRDefault="00126D8D" w:rsidP="00820288">
            <w:pPr>
              <w:spacing w:line="240" w:lineRule="auto"/>
              <w:jc w:val="right"/>
              <w:rPr>
                <w:rFonts w:ascii="Times New Roman" w:hAnsi="Times New Roman" w:cs="Times New Roman"/>
                <w:sz w:val="13"/>
                <w:szCs w:val="13"/>
              </w:rPr>
            </w:pPr>
          </w:p>
        </w:tc>
        <w:tc>
          <w:tcPr>
            <w:tcW w:w="326" w:type="dxa"/>
            <w:noWrap/>
            <w:vAlign w:val="center"/>
          </w:tcPr>
          <w:p w14:paraId="3ECF68A0" w14:textId="77777777" w:rsidR="00126D8D" w:rsidRPr="004A4899" w:rsidRDefault="00126D8D" w:rsidP="00820288">
            <w:pPr>
              <w:spacing w:line="240" w:lineRule="auto"/>
              <w:rPr>
                <w:rFonts w:ascii="Times New Roman" w:hAnsi="Times New Roman" w:cs="Times New Roman"/>
                <w:sz w:val="13"/>
                <w:szCs w:val="13"/>
              </w:rPr>
            </w:pPr>
          </w:p>
        </w:tc>
        <w:tc>
          <w:tcPr>
            <w:tcW w:w="377" w:type="dxa"/>
            <w:noWrap/>
            <w:vAlign w:val="center"/>
          </w:tcPr>
          <w:p w14:paraId="35ED9273" w14:textId="77777777" w:rsidR="00126D8D" w:rsidRPr="004A4899" w:rsidRDefault="00126D8D" w:rsidP="00820288">
            <w:pPr>
              <w:spacing w:line="240" w:lineRule="auto"/>
              <w:jc w:val="right"/>
              <w:rPr>
                <w:rFonts w:ascii="Times New Roman" w:hAnsi="Times New Roman" w:cs="Times New Roman"/>
                <w:sz w:val="13"/>
                <w:szCs w:val="13"/>
              </w:rPr>
            </w:pPr>
          </w:p>
        </w:tc>
        <w:tc>
          <w:tcPr>
            <w:tcW w:w="326" w:type="dxa"/>
            <w:noWrap/>
            <w:vAlign w:val="center"/>
          </w:tcPr>
          <w:p w14:paraId="761814D3" w14:textId="77777777" w:rsidR="00126D8D" w:rsidRPr="004A4899" w:rsidRDefault="00126D8D" w:rsidP="00820288">
            <w:pPr>
              <w:spacing w:line="240" w:lineRule="auto"/>
              <w:rPr>
                <w:rFonts w:ascii="Times New Roman" w:hAnsi="Times New Roman" w:cs="Times New Roman"/>
                <w:sz w:val="13"/>
                <w:szCs w:val="13"/>
              </w:rPr>
            </w:pPr>
          </w:p>
        </w:tc>
        <w:tc>
          <w:tcPr>
            <w:tcW w:w="377" w:type="dxa"/>
            <w:noWrap/>
            <w:vAlign w:val="center"/>
          </w:tcPr>
          <w:p w14:paraId="14E3D4B2" w14:textId="77777777" w:rsidR="00126D8D" w:rsidRPr="004A4899" w:rsidRDefault="00126D8D" w:rsidP="00820288">
            <w:pPr>
              <w:spacing w:line="240" w:lineRule="auto"/>
              <w:jc w:val="right"/>
              <w:rPr>
                <w:rFonts w:ascii="Times New Roman" w:hAnsi="Times New Roman" w:cs="Times New Roman"/>
                <w:sz w:val="13"/>
                <w:szCs w:val="13"/>
              </w:rPr>
            </w:pPr>
          </w:p>
        </w:tc>
        <w:tc>
          <w:tcPr>
            <w:tcW w:w="219" w:type="dxa"/>
            <w:noWrap/>
            <w:vAlign w:val="center"/>
          </w:tcPr>
          <w:p w14:paraId="036375D4" w14:textId="77777777" w:rsidR="00126D8D" w:rsidRPr="004A4899" w:rsidRDefault="00126D8D" w:rsidP="00820288">
            <w:pPr>
              <w:spacing w:line="240" w:lineRule="auto"/>
              <w:rPr>
                <w:rFonts w:ascii="Times New Roman" w:hAnsi="Times New Roman" w:cs="Times New Roman"/>
                <w:sz w:val="13"/>
                <w:szCs w:val="13"/>
              </w:rPr>
            </w:pPr>
          </w:p>
        </w:tc>
        <w:tc>
          <w:tcPr>
            <w:tcW w:w="377" w:type="dxa"/>
            <w:noWrap/>
            <w:vAlign w:val="center"/>
          </w:tcPr>
          <w:p w14:paraId="19ABEC3B" w14:textId="77777777" w:rsidR="00126D8D" w:rsidRPr="004A4899" w:rsidRDefault="00126D8D" w:rsidP="00820288">
            <w:pPr>
              <w:spacing w:line="240" w:lineRule="auto"/>
              <w:jc w:val="right"/>
              <w:rPr>
                <w:rFonts w:ascii="Times New Roman" w:hAnsi="Times New Roman" w:cs="Times New Roman"/>
                <w:sz w:val="13"/>
                <w:szCs w:val="13"/>
              </w:rPr>
            </w:pPr>
          </w:p>
        </w:tc>
        <w:tc>
          <w:tcPr>
            <w:tcW w:w="159" w:type="dxa"/>
            <w:noWrap/>
            <w:vAlign w:val="center"/>
          </w:tcPr>
          <w:p w14:paraId="73925F55" w14:textId="77777777" w:rsidR="00126D8D" w:rsidRPr="004A4899" w:rsidRDefault="00126D8D" w:rsidP="00820288">
            <w:pPr>
              <w:spacing w:line="240" w:lineRule="auto"/>
              <w:rPr>
                <w:rFonts w:ascii="Times New Roman" w:hAnsi="Times New Roman" w:cs="Times New Roman"/>
                <w:sz w:val="13"/>
                <w:szCs w:val="13"/>
              </w:rPr>
            </w:pPr>
          </w:p>
        </w:tc>
        <w:tc>
          <w:tcPr>
            <w:tcW w:w="377" w:type="dxa"/>
            <w:noWrap/>
            <w:vAlign w:val="center"/>
          </w:tcPr>
          <w:p w14:paraId="51604028" w14:textId="77777777" w:rsidR="00126D8D" w:rsidRPr="004A4899" w:rsidRDefault="00126D8D" w:rsidP="00820288">
            <w:pPr>
              <w:spacing w:line="240" w:lineRule="auto"/>
              <w:jc w:val="right"/>
              <w:rPr>
                <w:rFonts w:ascii="Times New Roman" w:hAnsi="Times New Roman" w:cs="Times New Roman"/>
                <w:sz w:val="13"/>
                <w:szCs w:val="13"/>
              </w:rPr>
            </w:pPr>
          </w:p>
        </w:tc>
        <w:tc>
          <w:tcPr>
            <w:tcW w:w="326" w:type="dxa"/>
            <w:noWrap/>
            <w:vAlign w:val="center"/>
          </w:tcPr>
          <w:p w14:paraId="748A172B" w14:textId="77777777" w:rsidR="00126D8D" w:rsidRPr="004A4899" w:rsidRDefault="00126D8D" w:rsidP="00820288">
            <w:pPr>
              <w:spacing w:line="240" w:lineRule="auto"/>
              <w:rPr>
                <w:rFonts w:ascii="Times New Roman" w:hAnsi="Times New Roman" w:cs="Times New Roman"/>
                <w:sz w:val="13"/>
                <w:szCs w:val="13"/>
              </w:rPr>
            </w:pPr>
          </w:p>
        </w:tc>
        <w:tc>
          <w:tcPr>
            <w:tcW w:w="377" w:type="dxa"/>
            <w:noWrap/>
            <w:vAlign w:val="center"/>
          </w:tcPr>
          <w:p w14:paraId="70A7C840" w14:textId="77777777" w:rsidR="00126D8D" w:rsidRPr="004A4899" w:rsidRDefault="00126D8D" w:rsidP="00820288">
            <w:pPr>
              <w:spacing w:line="240" w:lineRule="auto"/>
              <w:jc w:val="right"/>
              <w:rPr>
                <w:rFonts w:ascii="Times New Roman" w:hAnsi="Times New Roman" w:cs="Times New Roman"/>
                <w:sz w:val="13"/>
                <w:szCs w:val="13"/>
              </w:rPr>
            </w:pPr>
          </w:p>
        </w:tc>
        <w:tc>
          <w:tcPr>
            <w:tcW w:w="252" w:type="dxa"/>
            <w:noWrap/>
            <w:vAlign w:val="center"/>
          </w:tcPr>
          <w:p w14:paraId="6FBA345C" w14:textId="77777777" w:rsidR="00126D8D" w:rsidRPr="004A4899" w:rsidRDefault="00126D8D" w:rsidP="00820288">
            <w:pPr>
              <w:spacing w:line="240" w:lineRule="auto"/>
              <w:rPr>
                <w:rFonts w:ascii="Times New Roman" w:hAnsi="Times New Roman" w:cs="Times New Roman"/>
                <w:sz w:val="13"/>
                <w:szCs w:val="13"/>
              </w:rPr>
            </w:pPr>
          </w:p>
        </w:tc>
        <w:tc>
          <w:tcPr>
            <w:tcW w:w="377" w:type="dxa"/>
            <w:noWrap/>
            <w:vAlign w:val="center"/>
          </w:tcPr>
          <w:p w14:paraId="5577AA07" w14:textId="77777777" w:rsidR="00126D8D" w:rsidRPr="004A4899" w:rsidRDefault="00126D8D" w:rsidP="00820288">
            <w:pPr>
              <w:spacing w:line="240" w:lineRule="auto"/>
              <w:jc w:val="right"/>
              <w:rPr>
                <w:rFonts w:ascii="Times New Roman" w:hAnsi="Times New Roman" w:cs="Times New Roman"/>
                <w:sz w:val="13"/>
                <w:szCs w:val="13"/>
              </w:rPr>
            </w:pPr>
          </w:p>
        </w:tc>
        <w:tc>
          <w:tcPr>
            <w:tcW w:w="273" w:type="dxa"/>
            <w:noWrap/>
            <w:vAlign w:val="center"/>
          </w:tcPr>
          <w:p w14:paraId="6AC2AB14" w14:textId="77777777" w:rsidR="00126D8D" w:rsidRPr="004A4899" w:rsidRDefault="00126D8D" w:rsidP="00820288">
            <w:pPr>
              <w:spacing w:line="240" w:lineRule="auto"/>
              <w:rPr>
                <w:rFonts w:ascii="Times New Roman" w:hAnsi="Times New Roman" w:cs="Times New Roman"/>
                <w:sz w:val="13"/>
                <w:szCs w:val="13"/>
              </w:rPr>
            </w:pPr>
          </w:p>
        </w:tc>
        <w:tc>
          <w:tcPr>
            <w:tcW w:w="377" w:type="dxa"/>
            <w:noWrap/>
            <w:vAlign w:val="center"/>
          </w:tcPr>
          <w:p w14:paraId="492A049E" w14:textId="77777777" w:rsidR="00126D8D" w:rsidRPr="004A4899" w:rsidRDefault="00126D8D" w:rsidP="00820288">
            <w:pPr>
              <w:spacing w:line="240" w:lineRule="auto"/>
              <w:jc w:val="right"/>
              <w:rPr>
                <w:rFonts w:ascii="Times New Roman" w:hAnsi="Times New Roman" w:cs="Times New Roman"/>
                <w:sz w:val="13"/>
                <w:szCs w:val="13"/>
              </w:rPr>
            </w:pPr>
          </w:p>
        </w:tc>
        <w:tc>
          <w:tcPr>
            <w:tcW w:w="273" w:type="dxa"/>
            <w:noWrap/>
            <w:vAlign w:val="center"/>
          </w:tcPr>
          <w:p w14:paraId="6BFFFFE1" w14:textId="77777777" w:rsidR="00126D8D" w:rsidRPr="004A4899" w:rsidRDefault="00126D8D" w:rsidP="00820288">
            <w:pPr>
              <w:spacing w:line="240" w:lineRule="auto"/>
              <w:rPr>
                <w:rFonts w:ascii="Times New Roman" w:hAnsi="Times New Roman" w:cs="Times New Roman"/>
                <w:sz w:val="13"/>
                <w:szCs w:val="13"/>
              </w:rPr>
            </w:pPr>
          </w:p>
        </w:tc>
      </w:tr>
      <w:tr w:rsidR="00126D8D" w:rsidRPr="004A4899" w14:paraId="4C0F87F7" w14:textId="77777777" w:rsidTr="00820288">
        <w:trPr>
          <w:trHeight w:val="173"/>
        </w:trPr>
        <w:tc>
          <w:tcPr>
            <w:tcW w:w="1440" w:type="dxa"/>
            <w:noWrap/>
            <w:vAlign w:val="center"/>
            <w:hideMark/>
          </w:tcPr>
          <w:p w14:paraId="76DD7DFD" w14:textId="77777777" w:rsidR="00126D8D" w:rsidRPr="004A4899" w:rsidRDefault="00126D8D" w:rsidP="00820288">
            <w:pPr>
              <w:spacing w:line="240" w:lineRule="auto"/>
              <w:rPr>
                <w:rFonts w:ascii="Times New Roman" w:hAnsi="Times New Roman" w:cs="Times New Roman"/>
                <w:sz w:val="12"/>
                <w:szCs w:val="12"/>
              </w:rPr>
            </w:pPr>
            <w:r w:rsidRPr="004A4899">
              <w:rPr>
                <w:rFonts w:ascii="Times New Roman" w:hAnsi="Times New Roman" w:cs="Times New Roman"/>
                <w:sz w:val="12"/>
                <w:szCs w:val="12"/>
              </w:rPr>
              <w:t>a-Humulene</w:t>
            </w:r>
          </w:p>
        </w:tc>
        <w:tc>
          <w:tcPr>
            <w:tcW w:w="377" w:type="dxa"/>
            <w:noWrap/>
            <w:vAlign w:val="center"/>
            <w:hideMark/>
          </w:tcPr>
          <w:p w14:paraId="2A37385D" w14:textId="77777777" w:rsidR="00126D8D" w:rsidRPr="004A4899" w:rsidRDefault="00126D8D" w:rsidP="00820288">
            <w:pPr>
              <w:spacing w:line="240" w:lineRule="auto"/>
              <w:jc w:val="right"/>
              <w:rPr>
                <w:rFonts w:ascii="Times New Roman" w:hAnsi="Times New Roman" w:cs="Times New Roman"/>
                <w:sz w:val="13"/>
                <w:szCs w:val="13"/>
              </w:rPr>
            </w:pPr>
            <w:r w:rsidRPr="004A4899">
              <w:rPr>
                <w:rFonts w:ascii="Times New Roman" w:hAnsi="Times New Roman" w:cs="Times New Roman"/>
                <w:sz w:val="13"/>
                <w:szCs w:val="13"/>
              </w:rPr>
              <w:t>55.29</w:t>
            </w:r>
          </w:p>
        </w:tc>
        <w:tc>
          <w:tcPr>
            <w:tcW w:w="274" w:type="dxa"/>
            <w:noWrap/>
            <w:vAlign w:val="center"/>
            <w:hideMark/>
          </w:tcPr>
          <w:p w14:paraId="237A1F87" w14:textId="77777777" w:rsidR="00126D8D" w:rsidRPr="004A4899" w:rsidRDefault="00126D8D" w:rsidP="00820288">
            <w:pPr>
              <w:spacing w:line="240" w:lineRule="auto"/>
              <w:rPr>
                <w:rFonts w:ascii="Times New Roman" w:hAnsi="Times New Roman" w:cs="Times New Roman"/>
                <w:sz w:val="13"/>
                <w:szCs w:val="13"/>
              </w:rPr>
            </w:pPr>
            <w:r w:rsidRPr="004A4899">
              <w:rPr>
                <w:rFonts w:ascii="Times New Roman" w:hAnsi="Times New Roman" w:cs="Times New Roman"/>
                <w:sz w:val="13"/>
                <w:szCs w:val="13"/>
              </w:rPr>
              <w:t>a</w:t>
            </w:r>
          </w:p>
        </w:tc>
        <w:tc>
          <w:tcPr>
            <w:tcW w:w="411" w:type="dxa"/>
            <w:noWrap/>
            <w:vAlign w:val="center"/>
            <w:hideMark/>
          </w:tcPr>
          <w:p w14:paraId="1F184C6C" w14:textId="77777777" w:rsidR="00126D8D" w:rsidRPr="004A4899" w:rsidRDefault="00126D8D" w:rsidP="00820288">
            <w:pPr>
              <w:spacing w:line="240" w:lineRule="auto"/>
              <w:jc w:val="right"/>
              <w:rPr>
                <w:rFonts w:ascii="Times New Roman" w:hAnsi="Times New Roman" w:cs="Times New Roman"/>
                <w:sz w:val="13"/>
                <w:szCs w:val="13"/>
              </w:rPr>
            </w:pPr>
            <w:r w:rsidRPr="004A4899">
              <w:rPr>
                <w:rFonts w:ascii="Times New Roman" w:hAnsi="Times New Roman" w:cs="Times New Roman"/>
                <w:sz w:val="13"/>
                <w:szCs w:val="13"/>
              </w:rPr>
              <w:t>55.99</w:t>
            </w:r>
          </w:p>
        </w:tc>
        <w:tc>
          <w:tcPr>
            <w:tcW w:w="239" w:type="dxa"/>
            <w:noWrap/>
            <w:vAlign w:val="center"/>
            <w:hideMark/>
          </w:tcPr>
          <w:p w14:paraId="02387E90" w14:textId="77777777" w:rsidR="00126D8D" w:rsidRPr="004A4899" w:rsidRDefault="00126D8D" w:rsidP="00820288">
            <w:pPr>
              <w:spacing w:line="240" w:lineRule="auto"/>
              <w:rPr>
                <w:rFonts w:ascii="Times New Roman" w:hAnsi="Times New Roman" w:cs="Times New Roman"/>
                <w:sz w:val="13"/>
                <w:szCs w:val="13"/>
              </w:rPr>
            </w:pPr>
            <w:r w:rsidRPr="004A4899">
              <w:rPr>
                <w:rFonts w:ascii="Times New Roman" w:hAnsi="Times New Roman" w:cs="Times New Roman"/>
                <w:sz w:val="13"/>
                <w:szCs w:val="13"/>
              </w:rPr>
              <w:t>a</w:t>
            </w:r>
          </w:p>
        </w:tc>
        <w:tc>
          <w:tcPr>
            <w:tcW w:w="377" w:type="dxa"/>
            <w:noWrap/>
            <w:vAlign w:val="center"/>
            <w:hideMark/>
          </w:tcPr>
          <w:p w14:paraId="4C5C1E0C" w14:textId="77777777" w:rsidR="00126D8D" w:rsidRPr="004A4899" w:rsidRDefault="00126D8D" w:rsidP="00820288">
            <w:pPr>
              <w:spacing w:line="240" w:lineRule="auto"/>
              <w:jc w:val="right"/>
              <w:rPr>
                <w:rFonts w:ascii="Times New Roman" w:hAnsi="Times New Roman" w:cs="Times New Roman"/>
                <w:sz w:val="13"/>
                <w:szCs w:val="13"/>
              </w:rPr>
            </w:pPr>
            <w:r w:rsidRPr="004A4899">
              <w:rPr>
                <w:rFonts w:ascii="Times New Roman" w:hAnsi="Times New Roman" w:cs="Times New Roman"/>
                <w:sz w:val="13"/>
                <w:szCs w:val="13"/>
              </w:rPr>
              <w:t>55.79</w:t>
            </w:r>
          </w:p>
        </w:tc>
        <w:tc>
          <w:tcPr>
            <w:tcW w:w="273" w:type="dxa"/>
            <w:noWrap/>
            <w:vAlign w:val="center"/>
            <w:hideMark/>
          </w:tcPr>
          <w:p w14:paraId="04F993FF" w14:textId="77777777" w:rsidR="00126D8D" w:rsidRPr="004A4899" w:rsidRDefault="00126D8D" w:rsidP="00820288">
            <w:pPr>
              <w:spacing w:line="240" w:lineRule="auto"/>
              <w:rPr>
                <w:rFonts w:ascii="Times New Roman" w:hAnsi="Times New Roman" w:cs="Times New Roman"/>
                <w:sz w:val="13"/>
                <w:szCs w:val="13"/>
              </w:rPr>
            </w:pPr>
            <w:r w:rsidRPr="004A4899">
              <w:rPr>
                <w:rFonts w:ascii="Times New Roman" w:hAnsi="Times New Roman" w:cs="Times New Roman"/>
                <w:sz w:val="13"/>
                <w:szCs w:val="13"/>
              </w:rPr>
              <w:t>a</w:t>
            </w:r>
          </w:p>
        </w:tc>
        <w:tc>
          <w:tcPr>
            <w:tcW w:w="377" w:type="dxa"/>
            <w:noWrap/>
            <w:vAlign w:val="center"/>
            <w:hideMark/>
          </w:tcPr>
          <w:p w14:paraId="75AF5BC0" w14:textId="77777777" w:rsidR="00126D8D" w:rsidRPr="004A4899" w:rsidRDefault="00126D8D" w:rsidP="00820288">
            <w:pPr>
              <w:spacing w:line="240" w:lineRule="auto"/>
              <w:jc w:val="right"/>
              <w:rPr>
                <w:rFonts w:ascii="Times New Roman" w:hAnsi="Times New Roman" w:cs="Times New Roman"/>
                <w:sz w:val="13"/>
                <w:szCs w:val="13"/>
              </w:rPr>
            </w:pPr>
            <w:r w:rsidRPr="004A4899">
              <w:rPr>
                <w:rFonts w:ascii="Times New Roman" w:hAnsi="Times New Roman" w:cs="Times New Roman"/>
                <w:sz w:val="13"/>
                <w:szCs w:val="13"/>
              </w:rPr>
              <w:t>56.25</w:t>
            </w:r>
          </w:p>
        </w:tc>
        <w:tc>
          <w:tcPr>
            <w:tcW w:w="273" w:type="dxa"/>
            <w:noWrap/>
            <w:vAlign w:val="center"/>
            <w:hideMark/>
          </w:tcPr>
          <w:p w14:paraId="635FC4D7" w14:textId="77777777" w:rsidR="00126D8D" w:rsidRPr="004A4899" w:rsidRDefault="00126D8D" w:rsidP="00820288">
            <w:pPr>
              <w:spacing w:line="240" w:lineRule="auto"/>
              <w:rPr>
                <w:rFonts w:ascii="Times New Roman" w:hAnsi="Times New Roman" w:cs="Times New Roman"/>
                <w:sz w:val="13"/>
                <w:szCs w:val="13"/>
              </w:rPr>
            </w:pPr>
            <w:r w:rsidRPr="004A4899">
              <w:rPr>
                <w:rFonts w:ascii="Times New Roman" w:hAnsi="Times New Roman" w:cs="Times New Roman"/>
                <w:sz w:val="13"/>
                <w:szCs w:val="13"/>
              </w:rPr>
              <w:t>a</w:t>
            </w:r>
          </w:p>
        </w:tc>
        <w:tc>
          <w:tcPr>
            <w:tcW w:w="377" w:type="dxa"/>
            <w:noWrap/>
            <w:vAlign w:val="center"/>
            <w:hideMark/>
          </w:tcPr>
          <w:p w14:paraId="6C0F621D" w14:textId="77777777" w:rsidR="00126D8D" w:rsidRPr="004A4899" w:rsidRDefault="00126D8D" w:rsidP="00820288">
            <w:pPr>
              <w:spacing w:line="240" w:lineRule="auto"/>
              <w:jc w:val="right"/>
              <w:rPr>
                <w:rFonts w:ascii="Times New Roman" w:hAnsi="Times New Roman" w:cs="Times New Roman"/>
                <w:sz w:val="13"/>
                <w:szCs w:val="13"/>
              </w:rPr>
            </w:pPr>
            <w:r w:rsidRPr="004A4899">
              <w:rPr>
                <w:rFonts w:ascii="Times New Roman" w:hAnsi="Times New Roman" w:cs="Times New Roman"/>
                <w:sz w:val="13"/>
                <w:szCs w:val="13"/>
              </w:rPr>
              <w:t>59.41</w:t>
            </w:r>
          </w:p>
        </w:tc>
        <w:tc>
          <w:tcPr>
            <w:tcW w:w="326" w:type="dxa"/>
            <w:noWrap/>
            <w:vAlign w:val="center"/>
            <w:hideMark/>
          </w:tcPr>
          <w:p w14:paraId="2533F5F6" w14:textId="77777777" w:rsidR="00126D8D" w:rsidRPr="004A4899" w:rsidRDefault="00126D8D" w:rsidP="00820288">
            <w:pPr>
              <w:spacing w:line="240" w:lineRule="auto"/>
              <w:rPr>
                <w:rFonts w:ascii="Times New Roman" w:hAnsi="Times New Roman" w:cs="Times New Roman"/>
                <w:sz w:val="13"/>
                <w:szCs w:val="13"/>
              </w:rPr>
            </w:pPr>
            <w:r w:rsidRPr="004A4899">
              <w:rPr>
                <w:rFonts w:ascii="Times New Roman" w:hAnsi="Times New Roman" w:cs="Times New Roman"/>
                <w:sz w:val="13"/>
                <w:szCs w:val="13"/>
              </w:rPr>
              <w:t>a</w:t>
            </w:r>
          </w:p>
        </w:tc>
        <w:tc>
          <w:tcPr>
            <w:tcW w:w="377" w:type="dxa"/>
            <w:noWrap/>
            <w:vAlign w:val="center"/>
            <w:hideMark/>
          </w:tcPr>
          <w:p w14:paraId="556FA8EB" w14:textId="77777777" w:rsidR="00126D8D" w:rsidRPr="004A4899" w:rsidRDefault="00126D8D" w:rsidP="00820288">
            <w:pPr>
              <w:spacing w:line="240" w:lineRule="auto"/>
              <w:jc w:val="right"/>
              <w:rPr>
                <w:rFonts w:ascii="Times New Roman" w:hAnsi="Times New Roman" w:cs="Times New Roman"/>
                <w:sz w:val="13"/>
                <w:szCs w:val="13"/>
              </w:rPr>
            </w:pPr>
            <w:r w:rsidRPr="004A4899">
              <w:rPr>
                <w:rFonts w:ascii="Times New Roman" w:hAnsi="Times New Roman" w:cs="Times New Roman"/>
                <w:sz w:val="13"/>
                <w:szCs w:val="13"/>
              </w:rPr>
              <w:t>59.01</w:t>
            </w:r>
          </w:p>
        </w:tc>
        <w:tc>
          <w:tcPr>
            <w:tcW w:w="326" w:type="dxa"/>
            <w:noWrap/>
            <w:vAlign w:val="center"/>
            <w:hideMark/>
          </w:tcPr>
          <w:p w14:paraId="37B0354F" w14:textId="77777777" w:rsidR="00126D8D" w:rsidRPr="004A4899" w:rsidRDefault="00126D8D" w:rsidP="00820288">
            <w:pPr>
              <w:spacing w:line="240" w:lineRule="auto"/>
              <w:rPr>
                <w:rFonts w:ascii="Times New Roman" w:hAnsi="Times New Roman" w:cs="Times New Roman"/>
                <w:sz w:val="13"/>
                <w:szCs w:val="13"/>
              </w:rPr>
            </w:pPr>
            <w:r w:rsidRPr="004A4899">
              <w:rPr>
                <w:rFonts w:ascii="Times New Roman" w:hAnsi="Times New Roman" w:cs="Times New Roman"/>
                <w:sz w:val="13"/>
                <w:szCs w:val="13"/>
              </w:rPr>
              <w:t>a</w:t>
            </w:r>
          </w:p>
        </w:tc>
        <w:tc>
          <w:tcPr>
            <w:tcW w:w="377" w:type="dxa"/>
            <w:noWrap/>
            <w:vAlign w:val="center"/>
            <w:hideMark/>
          </w:tcPr>
          <w:p w14:paraId="7DF9EDCA" w14:textId="77777777" w:rsidR="00126D8D" w:rsidRPr="004A4899" w:rsidRDefault="00126D8D" w:rsidP="00820288">
            <w:pPr>
              <w:spacing w:line="240" w:lineRule="auto"/>
              <w:jc w:val="right"/>
              <w:rPr>
                <w:rFonts w:ascii="Times New Roman" w:hAnsi="Times New Roman" w:cs="Times New Roman"/>
                <w:sz w:val="13"/>
                <w:szCs w:val="13"/>
              </w:rPr>
            </w:pPr>
            <w:r w:rsidRPr="004A4899">
              <w:rPr>
                <w:rFonts w:ascii="Times New Roman" w:hAnsi="Times New Roman" w:cs="Times New Roman"/>
                <w:sz w:val="13"/>
                <w:szCs w:val="13"/>
              </w:rPr>
              <w:t>57.52</w:t>
            </w:r>
          </w:p>
        </w:tc>
        <w:tc>
          <w:tcPr>
            <w:tcW w:w="219" w:type="dxa"/>
            <w:noWrap/>
            <w:vAlign w:val="center"/>
            <w:hideMark/>
          </w:tcPr>
          <w:p w14:paraId="78245345" w14:textId="77777777" w:rsidR="00126D8D" w:rsidRPr="004A4899" w:rsidRDefault="00126D8D" w:rsidP="00820288">
            <w:pPr>
              <w:spacing w:line="240" w:lineRule="auto"/>
              <w:rPr>
                <w:rFonts w:ascii="Times New Roman" w:hAnsi="Times New Roman" w:cs="Times New Roman"/>
                <w:sz w:val="13"/>
                <w:szCs w:val="13"/>
              </w:rPr>
            </w:pPr>
            <w:r w:rsidRPr="004A4899">
              <w:rPr>
                <w:rFonts w:ascii="Times New Roman" w:hAnsi="Times New Roman" w:cs="Times New Roman"/>
                <w:sz w:val="13"/>
                <w:szCs w:val="13"/>
              </w:rPr>
              <w:t>a</w:t>
            </w:r>
          </w:p>
        </w:tc>
        <w:tc>
          <w:tcPr>
            <w:tcW w:w="377" w:type="dxa"/>
            <w:noWrap/>
            <w:vAlign w:val="center"/>
            <w:hideMark/>
          </w:tcPr>
          <w:p w14:paraId="249B65B2" w14:textId="77777777" w:rsidR="00126D8D" w:rsidRPr="004A4899" w:rsidRDefault="00126D8D" w:rsidP="00820288">
            <w:pPr>
              <w:spacing w:line="240" w:lineRule="auto"/>
              <w:jc w:val="right"/>
              <w:rPr>
                <w:rFonts w:ascii="Times New Roman" w:hAnsi="Times New Roman" w:cs="Times New Roman"/>
                <w:sz w:val="13"/>
                <w:szCs w:val="13"/>
              </w:rPr>
            </w:pPr>
            <w:r w:rsidRPr="004A4899">
              <w:rPr>
                <w:rFonts w:ascii="Times New Roman" w:hAnsi="Times New Roman" w:cs="Times New Roman"/>
                <w:sz w:val="13"/>
                <w:szCs w:val="13"/>
              </w:rPr>
              <w:t>58.82</w:t>
            </w:r>
          </w:p>
        </w:tc>
        <w:tc>
          <w:tcPr>
            <w:tcW w:w="159" w:type="dxa"/>
            <w:noWrap/>
            <w:vAlign w:val="center"/>
            <w:hideMark/>
          </w:tcPr>
          <w:p w14:paraId="7899193B" w14:textId="77777777" w:rsidR="00126D8D" w:rsidRPr="004A4899" w:rsidRDefault="00126D8D" w:rsidP="00820288">
            <w:pPr>
              <w:spacing w:line="240" w:lineRule="auto"/>
              <w:rPr>
                <w:rFonts w:ascii="Times New Roman" w:hAnsi="Times New Roman" w:cs="Times New Roman"/>
                <w:sz w:val="13"/>
                <w:szCs w:val="13"/>
              </w:rPr>
            </w:pPr>
            <w:r w:rsidRPr="004A4899">
              <w:rPr>
                <w:rFonts w:ascii="Times New Roman" w:hAnsi="Times New Roman" w:cs="Times New Roman"/>
                <w:sz w:val="13"/>
                <w:szCs w:val="13"/>
              </w:rPr>
              <w:t>a</w:t>
            </w:r>
          </w:p>
        </w:tc>
        <w:tc>
          <w:tcPr>
            <w:tcW w:w="377" w:type="dxa"/>
            <w:noWrap/>
            <w:vAlign w:val="center"/>
            <w:hideMark/>
          </w:tcPr>
          <w:p w14:paraId="2469D5C9" w14:textId="77777777" w:rsidR="00126D8D" w:rsidRPr="004A4899" w:rsidRDefault="00126D8D" w:rsidP="00820288">
            <w:pPr>
              <w:spacing w:line="240" w:lineRule="auto"/>
              <w:jc w:val="right"/>
              <w:rPr>
                <w:rFonts w:ascii="Times New Roman" w:hAnsi="Times New Roman" w:cs="Times New Roman"/>
                <w:sz w:val="13"/>
                <w:szCs w:val="13"/>
              </w:rPr>
            </w:pPr>
            <w:r w:rsidRPr="004A4899">
              <w:rPr>
                <w:rFonts w:ascii="Times New Roman" w:hAnsi="Times New Roman" w:cs="Times New Roman"/>
                <w:sz w:val="13"/>
                <w:szCs w:val="13"/>
              </w:rPr>
              <w:t>56.25</w:t>
            </w:r>
          </w:p>
        </w:tc>
        <w:tc>
          <w:tcPr>
            <w:tcW w:w="326" w:type="dxa"/>
            <w:noWrap/>
            <w:vAlign w:val="center"/>
            <w:hideMark/>
          </w:tcPr>
          <w:p w14:paraId="0B3B427C" w14:textId="77777777" w:rsidR="00126D8D" w:rsidRPr="004A4899" w:rsidRDefault="00126D8D" w:rsidP="00820288">
            <w:pPr>
              <w:spacing w:line="240" w:lineRule="auto"/>
              <w:rPr>
                <w:rFonts w:ascii="Times New Roman" w:hAnsi="Times New Roman" w:cs="Times New Roman"/>
                <w:sz w:val="13"/>
                <w:szCs w:val="13"/>
              </w:rPr>
            </w:pPr>
            <w:r w:rsidRPr="004A4899">
              <w:rPr>
                <w:rFonts w:ascii="Times New Roman" w:hAnsi="Times New Roman" w:cs="Times New Roman"/>
                <w:sz w:val="13"/>
                <w:szCs w:val="13"/>
              </w:rPr>
              <w:t>a</w:t>
            </w:r>
          </w:p>
        </w:tc>
        <w:tc>
          <w:tcPr>
            <w:tcW w:w="377" w:type="dxa"/>
            <w:noWrap/>
            <w:vAlign w:val="center"/>
            <w:hideMark/>
          </w:tcPr>
          <w:p w14:paraId="7B7246F1" w14:textId="77777777" w:rsidR="00126D8D" w:rsidRPr="004A4899" w:rsidRDefault="00126D8D" w:rsidP="00820288">
            <w:pPr>
              <w:spacing w:line="240" w:lineRule="auto"/>
              <w:jc w:val="right"/>
              <w:rPr>
                <w:rFonts w:ascii="Times New Roman" w:hAnsi="Times New Roman" w:cs="Times New Roman"/>
                <w:sz w:val="13"/>
                <w:szCs w:val="13"/>
              </w:rPr>
            </w:pPr>
            <w:r w:rsidRPr="004A4899">
              <w:rPr>
                <w:rFonts w:ascii="Times New Roman" w:hAnsi="Times New Roman" w:cs="Times New Roman"/>
                <w:sz w:val="13"/>
                <w:szCs w:val="13"/>
              </w:rPr>
              <w:t>56.05</w:t>
            </w:r>
          </w:p>
        </w:tc>
        <w:tc>
          <w:tcPr>
            <w:tcW w:w="252" w:type="dxa"/>
            <w:noWrap/>
            <w:vAlign w:val="center"/>
            <w:hideMark/>
          </w:tcPr>
          <w:p w14:paraId="6A1878B8" w14:textId="77777777" w:rsidR="00126D8D" w:rsidRPr="004A4899" w:rsidRDefault="00126D8D" w:rsidP="00820288">
            <w:pPr>
              <w:spacing w:line="240" w:lineRule="auto"/>
              <w:rPr>
                <w:rFonts w:ascii="Times New Roman" w:hAnsi="Times New Roman" w:cs="Times New Roman"/>
                <w:sz w:val="13"/>
                <w:szCs w:val="13"/>
              </w:rPr>
            </w:pPr>
            <w:r w:rsidRPr="004A4899">
              <w:rPr>
                <w:rFonts w:ascii="Times New Roman" w:hAnsi="Times New Roman" w:cs="Times New Roman"/>
                <w:sz w:val="13"/>
                <w:szCs w:val="13"/>
              </w:rPr>
              <w:t>a</w:t>
            </w:r>
          </w:p>
        </w:tc>
        <w:tc>
          <w:tcPr>
            <w:tcW w:w="377" w:type="dxa"/>
            <w:noWrap/>
            <w:vAlign w:val="center"/>
            <w:hideMark/>
          </w:tcPr>
          <w:p w14:paraId="47DC1DB5" w14:textId="77777777" w:rsidR="00126D8D" w:rsidRPr="004A4899" w:rsidRDefault="00126D8D" w:rsidP="00820288">
            <w:pPr>
              <w:spacing w:line="240" w:lineRule="auto"/>
              <w:jc w:val="right"/>
              <w:rPr>
                <w:rFonts w:ascii="Times New Roman" w:hAnsi="Times New Roman" w:cs="Times New Roman"/>
                <w:sz w:val="13"/>
                <w:szCs w:val="13"/>
              </w:rPr>
            </w:pPr>
            <w:r w:rsidRPr="004A4899">
              <w:rPr>
                <w:rFonts w:ascii="Times New Roman" w:hAnsi="Times New Roman" w:cs="Times New Roman"/>
                <w:sz w:val="13"/>
                <w:szCs w:val="13"/>
              </w:rPr>
              <w:t>54.51</w:t>
            </w:r>
          </w:p>
        </w:tc>
        <w:tc>
          <w:tcPr>
            <w:tcW w:w="273" w:type="dxa"/>
            <w:noWrap/>
            <w:vAlign w:val="center"/>
            <w:hideMark/>
          </w:tcPr>
          <w:p w14:paraId="626C940D" w14:textId="77777777" w:rsidR="00126D8D" w:rsidRPr="004A4899" w:rsidRDefault="00126D8D" w:rsidP="00820288">
            <w:pPr>
              <w:spacing w:line="240" w:lineRule="auto"/>
              <w:rPr>
                <w:rFonts w:ascii="Times New Roman" w:hAnsi="Times New Roman" w:cs="Times New Roman"/>
                <w:sz w:val="13"/>
                <w:szCs w:val="13"/>
              </w:rPr>
            </w:pPr>
            <w:r w:rsidRPr="004A4899">
              <w:rPr>
                <w:rFonts w:ascii="Times New Roman" w:hAnsi="Times New Roman" w:cs="Times New Roman"/>
                <w:sz w:val="13"/>
                <w:szCs w:val="13"/>
              </w:rPr>
              <w:t>a</w:t>
            </w:r>
          </w:p>
        </w:tc>
        <w:tc>
          <w:tcPr>
            <w:tcW w:w="377" w:type="dxa"/>
            <w:noWrap/>
            <w:vAlign w:val="center"/>
            <w:hideMark/>
          </w:tcPr>
          <w:p w14:paraId="7A7894C1" w14:textId="77777777" w:rsidR="00126D8D" w:rsidRPr="004A4899" w:rsidRDefault="00126D8D" w:rsidP="00820288">
            <w:pPr>
              <w:spacing w:line="240" w:lineRule="auto"/>
              <w:jc w:val="right"/>
              <w:rPr>
                <w:rFonts w:ascii="Times New Roman" w:hAnsi="Times New Roman" w:cs="Times New Roman"/>
                <w:sz w:val="13"/>
                <w:szCs w:val="13"/>
              </w:rPr>
            </w:pPr>
            <w:r w:rsidRPr="004A4899">
              <w:rPr>
                <w:rFonts w:ascii="Times New Roman" w:hAnsi="Times New Roman" w:cs="Times New Roman"/>
                <w:sz w:val="13"/>
                <w:szCs w:val="13"/>
              </w:rPr>
              <w:t>56.36</w:t>
            </w:r>
          </w:p>
        </w:tc>
        <w:tc>
          <w:tcPr>
            <w:tcW w:w="273" w:type="dxa"/>
            <w:noWrap/>
            <w:vAlign w:val="center"/>
            <w:hideMark/>
          </w:tcPr>
          <w:p w14:paraId="7EEFAEBD" w14:textId="77777777" w:rsidR="00126D8D" w:rsidRPr="004A4899" w:rsidRDefault="00126D8D" w:rsidP="00820288">
            <w:pPr>
              <w:spacing w:line="240" w:lineRule="auto"/>
              <w:rPr>
                <w:rFonts w:ascii="Times New Roman" w:hAnsi="Times New Roman" w:cs="Times New Roman"/>
                <w:sz w:val="13"/>
                <w:szCs w:val="13"/>
              </w:rPr>
            </w:pPr>
            <w:r w:rsidRPr="004A4899">
              <w:rPr>
                <w:rFonts w:ascii="Times New Roman" w:hAnsi="Times New Roman" w:cs="Times New Roman"/>
                <w:sz w:val="13"/>
                <w:szCs w:val="13"/>
              </w:rPr>
              <w:t>a</w:t>
            </w:r>
          </w:p>
        </w:tc>
      </w:tr>
      <w:tr w:rsidR="00126D8D" w:rsidRPr="004A4899" w14:paraId="29096FE1" w14:textId="77777777" w:rsidTr="00820288">
        <w:trPr>
          <w:trHeight w:val="173"/>
        </w:trPr>
        <w:tc>
          <w:tcPr>
            <w:tcW w:w="1440" w:type="dxa"/>
            <w:noWrap/>
            <w:vAlign w:val="center"/>
            <w:hideMark/>
          </w:tcPr>
          <w:p w14:paraId="0ADFD996" w14:textId="77777777" w:rsidR="00126D8D" w:rsidRPr="004A4899" w:rsidRDefault="00126D8D" w:rsidP="00820288">
            <w:pPr>
              <w:spacing w:line="240" w:lineRule="auto"/>
              <w:rPr>
                <w:rFonts w:ascii="Times New Roman" w:hAnsi="Times New Roman" w:cs="Times New Roman"/>
                <w:b/>
                <w:bCs/>
                <w:sz w:val="12"/>
                <w:szCs w:val="12"/>
              </w:rPr>
            </w:pPr>
            <w:r w:rsidRPr="004A4899">
              <w:rPr>
                <w:rFonts w:ascii="Times New Roman" w:hAnsi="Times New Roman" w:cs="Times New Roman"/>
                <w:b/>
                <w:bCs/>
                <w:sz w:val="12"/>
                <w:szCs w:val="12"/>
              </w:rPr>
              <w:t>Organosulfur</w:t>
            </w:r>
          </w:p>
        </w:tc>
        <w:tc>
          <w:tcPr>
            <w:tcW w:w="377" w:type="dxa"/>
            <w:noWrap/>
            <w:vAlign w:val="center"/>
            <w:hideMark/>
          </w:tcPr>
          <w:p w14:paraId="48AB1493" w14:textId="77777777" w:rsidR="00126D8D" w:rsidRPr="004A4899" w:rsidRDefault="00126D8D" w:rsidP="00820288">
            <w:pPr>
              <w:spacing w:line="240" w:lineRule="auto"/>
              <w:jc w:val="right"/>
              <w:rPr>
                <w:rFonts w:ascii="Times New Roman" w:hAnsi="Times New Roman" w:cs="Times New Roman"/>
                <w:sz w:val="13"/>
                <w:szCs w:val="13"/>
              </w:rPr>
            </w:pPr>
          </w:p>
        </w:tc>
        <w:tc>
          <w:tcPr>
            <w:tcW w:w="274" w:type="dxa"/>
            <w:noWrap/>
            <w:vAlign w:val="center"/>
            <w:hideMark/>
          </w:tcPr>
          <w:p w14:paraId="6641375F" w14:textId="77777777" w:rsidR="00126D8D" w:rsidRPr="004A4899" w:rsidRDefault="00126D8D" w:rsidP="00820288">
            <w:pPr>
              <w:spacing w:line="240" w:lineRule="auto"/>
              <w:rPr>
                <w:rFonts w:ascii="Times New Roman" w:hAnsi="Times New Roman" w:cs="Times New Roman"/>
                <w:sz w:val="13"/>
                <w:szCs w:val="13"/>
              </w:rPr>
            </w:pPr>
          </w:p>
        </w:tc>
        <w:tc>
          <w:tcPr>
            <w:tcW w:w="411" w:type="dxa"/>
            <w:noWrap/>
            <w:vAlign w:val="center"/>
            <w:hideMark/>
          </w:tcPr>
          <w:p w14:paraId="6EF62DE5" w14:textId="77777777" w:rsidR="00126D8D" w:rsidRPr="004A4899" w:rsidRDefault="00126D8D" w:rsidP="00820288">
            <w:pPr>
              <w:spacing w:line="240" w:lineRule="auto"/>
              <w:jc w:val="right"/>
              <w:rPr>
                <w:rFonts w:ascii="Times New Roman" w:hAnsi="Times New Roman" w:cs="Times New Roman"/>
                <w:sz w:val="13"/>
                <w:szCs w:val="13"/>
              </w:rPr>
            </w:pPr>
          </w:p>
        </w:tc>
        <w:tc>
          <w:tcPr>
            <w:tcW w:w="239" w:type="dxa"/>
            <w:noWrap/>
            <w:vAlign w:val="center"/>
            <w:hideMark/>
          </w:tcPr>
          <w:p w14:paraId="754BAA17" w14:textId="77777777" w:rsidR="00126D8D" w:rsidRPr="004A4899" w:rsidRDefault="00126D8D" w:rsidP="00820288">
            <w:pPr>
              <w:spacing w:line="240" w:lineRule="auto"/>
              <w:rPr>
                <w:rFonts w:ascii="Times New Roman" w:hAnsi="Times New Roman" w:cs="Times New Roman"/>
                <w:sz w:val="13"/>
                <w:szCs w:val="13"/>
              </w:rPr>
            </w:pPr>
          </w:p>
        </w:tc>
        <w:tc>
          <w:tcPr>
            <w:tcW w:w="377" w:type="dxa"/>
            <w:noWrap/>
            <w:vAlign w:val="center"/>
            <w:hideMark/>
          </w:tcPr>
          <w:p w14:paraId="72C936F4" w14:textId="77777777" w:rsidR="00126D8D" w:rsidRPr="004A4899" w:rsidRDefault="00126D8D" w:rsidP="00820288">
            <w:pPr>
              <w:spacing w:line="240" w:lineRule="auto"/>
              <w:jc w:val="right"/>
              <w:rPr>
                <w:rFonts w:ascii="Times New Roman" w:hAnsi="Times New Roman" w:cs="Times New Roman"/>
                <w:sz w:val="13"/>
                <w:szCs w:val="13"/>
              </w:rPr>
            </w:pPr>
          </w:p>
        </w:tc>
        <w:tc>
          <w:tcPr>
            <w:tcW w:w="273" w:type="dxa"/>
            <w:noWrap/>
            <w:vAlign w:val="center"/>
            <w:hideMark/>
          </w:tcPr>
          <w:p w14:paraId="2C4E1F8F" w14:textId="77777777" w:rsidR="00126D8D" w:rsidRPr="004A4899" w:rsidRDefault="00126D8D" w:rsidP="00820288">
            <w:pPr>
              <w:spacing w:line="240" w:lineRule="auto"/>
              <w:rPr>
                <w:rFonts w:ascii="Times New Roman" w:hAnsi="Times New Roman" w:cs="Times New Roman"/>
                <w:sz w:val="13"/>
                <w:szCs w:val="13"/>
              </w:rPr>
            </w:pPr>
          </w:p>
        </w:tc>
        <w:tc>
          <w:tcPr>
            <w:tcW w:w="377" w:type="dxa"/>
            <w:noWrap/>
            <w:vAlign w:val="center"/>
            <w:hideMark/>
          </w:tcPr>
          <w:p w14:paraId="4C1D8099" w14:textId="77777777" w:rsidR="00126D8D" w:rsidRPr="004A4899" w:rsidRDefault="00126D8D" w:rsidP="00820288">
            <w:pPr>
              <w:spacing w:line="240" w:lineRule="auto"/>
              <w:jc w:val="right"/>
              <w:rPr>
                <w:rFonts w:ascii="Times New Roman" w:hAnsi="Times New Roman" w:cs="Times New Roman"/>
                <w:sz w:val="13"/>
                <w:szCs w:val="13"/>
              </w:rPr>
            </w:pPr>
          </w:p>
        </w:tc>
        <w:tc>
          <w:tcPr>
            <w:tcW w:w="273" w:type="dxa"/>
            <w:noWrap/>
            <w:vAlign w:val="center"/>
            <w:hideMark/>
          </w:tcPr>
          <w:p w14:paraId="22DB4AA5" w14:textId="77777777" w:rsidR="00126D8D" w:rsidRPr="004A4899" w:rsidRDefault="00126D8D" w:rsidP="00820288">
            <w:pPr>
              <w:spacing w:line="240" w:lineRule="auto"/>
              <w:rPr>
                <w:rFonts w:ascii="Times New Roman" w:hAnsi="Times New Roman" w:cs="Times New Roman"/>
                <w:sz w:val="13"/>
                <w:szCs w:val="13"/>
              </w:rPr>
            </w:pPr>
          </w:p>
        </w:tc>
        <w:tc>
          <w:tcPr>
            <w:tcW w:w="377" w:type="dxa"/>
            <w:noWrap/>
            <w:vAlign w:val="center"/>
            <w:hideMark/>
          </w:tcPr>
          <w:p w14:paraId="51CB6658" w14:textId="77777777" w:rsidR="00126D8D" w:rsidRPr="004A4899" w:rsidRDefault="00126D8D" w:rsidP="00820288">
            <w:pPr>
              <w:spacing w:line="240" w:lineRule="auto"/>
              <w:jc w:val="right"/>
              <w:rPr>
                <w:rFonts w:ascii="Times New Roman" w:hAnsi="Times New Roman" w:cs="Times New Roman"/>
                <w:sz w:val="13"/>
                <w:szCs w:val="13"/>
              </w:rPr>
            </w:pPr>
          </w:p>
        </w:tc>
        <w:tc>
          <w:tcPr>
            <w:tcW w:w="326" w:type="dxa"/>
            <w:noWrap/>
            <w:vAlign w:val="center"/>
            <w:hideMark/>
          </w:tcPr>
          <w:p w14:paraId="032225F9" w14:textId="77777777" w:rsidR="00126D8D" w:rsidRPr="004A4899" w:rsidRDefault="00126D8D" w:rsidP="00820288">
            <w:pPr>
              <w:spacing w:line="240" w:lineRule="auto"/>
              <w:rPr>
                <w:rFonts w:ascii="Times New Roman" w:hAnsi="Times New Roman" w:cs="Times New Roman"/>
                <w:sz w:val="13"/>
                <w:szCs w:val="13"/>
              </w:rPr>
            </w:pPr>
          </w:p>
        </w:tc>
        <w:tc>
          <w:tcPr>
            <w:tcW w:w="377" w:type="dxa"/>
            <w:noWrap/>
            <w:vAlign w:val="center"/>
            <w:hideMark/>
          </w:tcPr>
          <w:p w14:paraId="5017796E" w14:textId="77777777" w:rsidR="00126D8D" w:rsidRPr="004A4899" w:rsidRDefault="00126D8D" w:rsidP="00820288">
            <w:pPr>
              <w:spacing w:line="240" w:lineRule="auto"/>
              <w:jc w:val="right"/>
              <w:rPr>
                <w:rFonts w:ascii="Times New Roman" w:hAnsi="Times New Roman" w:cs="Times New Roman"/>
                <w:sz w:val="13"/>
                <w:szCs w:val="13"/>
              </w:rPr>
            </w:pPr>
          </w:p>
        </w:tc>
        <w:tc>
          <w:tcPr>
            <w:tcW w:w="326" w:type="dxa"/>
            <w:noWrap/>
            <w:vAlign w:val="center"/>
            <w:hideMark/>
          </w:tcPr>
          <w:p w14:paraId="2F9A3EBD" w14:textId="77777777" w:rsidR="00126D8D" w:rsidRPr="004A4899" w:rsidRDefault="00126D8D" w:rsidP="00820288">
            <w:pPr>
              <w:spacing w:line="240" w:lineRule="auto"/>
              <w:rPr>
                <w:rFonts w:ascii="Times New Roman" w:hAnsi="Times New Roman" w:cs="Times New Roman"/>
                <w:sz w:val="13"/>
                <w:szCs w:val="13"/>
              </w:rPr>
            </w:pPr>
          </w:p>
        </w:tc>
        <w:tc>
          <w:tcPr>
            <w:tcW w:w="377" w:type="dxa"/>
            <w:noWrap/>
            <w:vAlign w:val="center"/>
            <w:hideMark/>
          </w:tcPr>
          <w:p w14:paraId="4B65B7F8" w14:textId="77777777" w:rsidR="00126D8D" w:rsidRPr="004A4899" w:rsidRDefault="00126D8D" w:rsidP="00820288">
            <w:pPr>
              <w:spacing w:line="240" w:lineRule="auto"/>
              <w:jc w:val="right"/>
              <w:rPr>
                <w:rFonts w:ascii="Times New Roman" w:hAnsi="Times New Roman" w:cs="Times New Roman"/>
                <w:sz w:val="13"/>
                <w:szCs w:val="13"/>
              </w:rPr>
            </w:pPr>
          </w:p>
        </w:tc>
        <w:tc>
          <w:tcPr>
            <w:tcW w:w="219" w:type="dxa"/>
            <w:noWrap/>
            <w:vAlign w:val="center"/>
            <w:hideMark/>
          </w:tcPr>
          <w:p w14:paraId="184F80BC" w14:textId="77777777" w:rsidR="00126D8D" w:rsidRPr="004A4899" w:rsidRDefault="00126D8D" w:rsidP="00820288">
            <w:pPr>
              <w:spacing w:line="240" w:lineRule="auto"/>
              <w:rPr>
                <w:rFonts w:ascii="Times New Roman" w:hAnsi="Times New Roman" w:cs="Times New Roman"/>
                <w:sz w:val="13"/>
                <w:szCs w:val="13"/>
              </w:rPr>
            </w:pPr>
          </w:p>
        </w:tc>
        <w:tc>
          <w:tcPr>
            <w:tcW w:w="377" w:type="dxa"/>
            <w:noWrap/>
            <w:vAlign w:val="center"/>
            <w:hideMark/>
          </w:tcPr>
          <w:p w14:paraId="3D0A6565" w14:textId="77777777" w:rsidR="00126D8D" w:rsidRPr="004A4899" w:rsidRDefault="00126D8D" w:rsidP="00820288">
            <w:pPr>
              <w:spacing w:line="240" w:lineRule="auto"/>
              <w:jc w:val="right"/>
              <w:rPr>
                <w:rFonts w:ascii="Times New Roman" w:hAnsi="Times New Roman" w:cs="Times New Roman"/>
                <w:sz w:val="13"/>
                <w:szCs w:val="13"/>
              </w:rPr>
            </w:pPr>
          </w:p>
        </w:tc>
        <w:tc>
          <w:tcPr>
            <w:tcW w:w="159" w:type="dxa"/>
            <w:noWrap/>
            <w:vAlign w:val="center"/>
            <w:hideMark/>
          </w:tcPr>
          <w:p w14:paraId="52E096E7" w14:textId="77777777" w:rsidR="00126D8D" w:rsidRPr="004A4899" w:rsidRDefault="00126D8D" w:rsidP="00820288">
            <w:pPr>
              <w:spacing w:line="240" w:lineRule="auto"/>
              <w:rPr>
                <w:rFonts w:ascii="Times New Roman" w:hAnsi="Times New Roman" w:cs="Times New Roman"/>
                <w:sz w:val="13"/>
                <w:szCs w:val="13"/>
              </w:rPr>
            </w:pPr>
          </w:p>
        </w:tc>
        <w:tc>
          <w:tcPr>
            <w:tcW w:w="377" w:type="dxa"/>
            <w:noWrap/>
            <w:vAlign w:val="center"/>
            <w:hideMark/>
          </w:tcPr>
          <w:p w14:paraId="0D09F323" w14:textId="77777777" w:rsidR="00126D8D" w:rsidRPr="004A4899" w:rsidRDefault="00126D8D" w:rsidP="00820288">
            <w:pPr>
              <w:spacing w:line="240" w:lineRule="auto"/>
              <w:jc w:val="right"/>
              <w:rPr>
                <w:rFonts w:ascii="Times New Roman" w:hAnsi="Times New Roman" w:cs="Times New Roman"/>
                <w:sz w:val="13"/>
                <w:szCs w:val="13"/>
              </w:rPr>
            </w:pPr>
          </w:p>
        </w:tc>
        <w:tc>
          <w:tcPr>
            <w:tcW w:w="326" w:type="dxa"/>
            <w:noWrap/>
            <w:vAlign w:val="center"/>
            <w:hideMark/>
          </w:tcPr>
          <w:p w14:paraId="51C149AD" w14:textId="77777777" w:rsidR="00126D8D" w:rsidRPr="004A4899" w:rsidRDefault="00126D8D" w:rsidP="00820288">
            <w:pPr>
              <w:spacing w:line="240" w:lineRule="auto"/>
              <w:rPr>
                <w:rFonts w:ascii="Times New Roman" w:hAnsi="Times New Roman" w:cs="Times New Roman"/>
                <w:sz w:val="13"/>
                <w:szCs w:val="13"/>
              </w:rPr>
            </w:pPr>
          </w:p>
        </w:tc>
        <w:tc>
          <w:tcPr>
            <w:tcW w:w="377" w:type="dxa"/>
            <w:noWrap/>
            <w:vAlign w:val="center"/>
            <w:hideMark/>
          </w:tcPr>
          <w:p w14:paraId="7F344204" w14:textId="77777777" w:rsidR="00126D8D" w:rsidRPr="004A4899" w:rsidRDefault="00126D8D" w:rsidP="00820288">
            <w:pPr>
              <w:spacing w:line="240" w:lineRule="auto"/>
              <w:jc w:val="right"/>
              <w:rPr>
                <w:rFonts w:ascii="Times New Roman" w:hAnsi="Times New Roman" w:cs="Times New Roman"/>
                <w:sz w:val="13"/>
                <w:szCs w:val="13"/>
              </w:rPr>
            </w:pPr>
          </w:p>
        </w:tc>
        <w:tc>
          <w:tcPr>
            <w:tcW w:w="252" w:type="dxa"/>
            <w:noWrap/>
            <w:vAlign w:val="center"/>
            <w:hideMark/>
          </w:tcPr>
          <w:p w14:paraId="12D5A14C" w14:textId="77777777" w:rsidR="00126D8D" w:rsidRPr="004A4899" w:rsidRDefault="00126D8D" w:rsidP="00820288">
            <w:pPr>
              <w:spacing w:line="240" w:lineRule="auto"/>
              <w:rPr>
                <w:rFonts w:ascii="Times New Roman" w:hAnsi="Times New Roman" w:cs="Times New Roman"/>
                <w:sz w:val="13"/>
                <w:szCs w:val="13"/>
              </w:rPr>
            </w:pPr>
          </w:p>
        </w:tc>
        <w:tc>
          <w:tcPr>
            <w:tcW w:w="377" w:type="dxa"/>
            <w:noWrap/>
            <w:vAlign w:val="center"/>
            <w:hideMark/>
          </w:tcPr>
          <w:p w14:paraId="28998E3E" w14:textId="77777777" w:rsidR="00126D8D" w:rsidRPr="004A4899" w:rsidRDefault="00126D8D" w:rsidP="00820288">
            <w:pPr>
              <w:spacing w:line="240" w:lineRule="auto"/>
              <w:jc w:val="right"/>
              <w:rPr>
                <w:rFonts w:ascii="Times New Roman" w:hAnsi="Times New Roman" w:cs="Times New Roman"/>
                <w:sz w:val="13"/>
                <w:szCs w:val="13"/>
              </w:rPr>
            </w:pPr>
          </w:p>
        </w:tc>
        <w:tc>
          <w:tcPr>
            <w:tcW w:w="273" w:type="dxa"/>
            <w:noWrap/>
            <w:vAlign w:val="center"/>
            <w:hideMark/>
          </w:tcPr>
          <w:p w14:paraId="25F2ABC1" w14:textId="77777777" w:rsidR="00126D8D" w:rsidRPr="004A4899" w:rsidRDefault="00126D8D" w:rsidP="00820288">
            <w:pPr>
              <w:spacing w:line="240" w:lineRule="auto"/>
              <w:rPr>
                <w:rFonts w:ascii="Times New Roman" w:hAnsi="Times New Roman" w:cs="Times New Roman"/>
                <w:sz w:val="13"/>
                <w:szCs w:val="13"/>
              </w:rPr>
            </w:pPr>
          </w:p>
        </w:tc>
        <w:tc>
          <w:tcPr>
            <w:tcW w:w="377" w:type="dxa"/>
            <w:noWrap/>
            <w:vAlign w:val="center"/>
            <w:hideMark/>
          </w:tcPr>
          <w:p w14:paraId="69B3CCAC" w14:textId="77777777" w:rsidR="00126D8D" w:rsidRPr="004A4899" w:rsidRDefault="00126D8D" w:rsidP="00820288">
            <w:pPr>
              <w:spacing w:line="240" w:lineRule="auto"/>
              <w:jc w:val="right"/>
              <w:rPr>
                <w:rFonts w:ascii="Times New Roman" w:hAnsi="Times New Roman" w:cs="Times New Roman"/>
                <w:sz w:val="13"/>
                <w:szCs w:val="13"/>
              </w:rPr>
            </w:pPr>
          </w:p>
        </w:tc>
        <w:tc>
          <w:tcPr>
            <w:tcW w:w="273" w:type="dxa"/>
            <w:noWrap/>
            <w:vAlign w:val="center"/>
            <w:hideMark/>
          </w:tcPr>
          <w:p w14:paraId="31BFE037" w14:textId="77777777" w:rsidR="00126D8D" w:rsidRPr="004A4899" w:rsidRDefault="00126D8D" w:rsidP="00820288">
            <w:pPr>
              <w:spacing w:line="240" w:lineRule="auto"/>
              <w:rPr>
                <w:rFonts w:ascii="Times New Roman" w:hAnsi="Times New Roman" w:cs="Times New Roman"/>
                <w:sz w:val="13"/>
                <w:szCs w:val="13"/>
              </w:rPr>
            </w:pPr>
          </w:p>
        </w:tc>
      </w:tr>
      <w:tr w:rsidR="00126D8D" w:rsidRPr="004A4899" w14:paraId="017FF218" w14:textId="77777777" w:rsidTr="00820288">
        <w:trPr>
          <w:trHeight w:val="173"/>
        </w:trPr>
        <w:tc>
          <w:tcPr>
            <w:tcW w:w="1440" w:type="dxa"/>
            <w:noWrap/>
            <w:vAlign w:val="center"/>
            <w:hideMark/>
          </w:tcPr>
          <w:p w14:paraId="6A15D2AB" w14:textId="77777777" w:rsidR="00126D8D" w:rsidRPr="004A4899" w:rsidRDefault="00126D8D" w:rsidP="00820288">
            <w:pPr>
              <w:spacing w:line="240" w:lineRule="auto"/>
              <w:rPr>
                <w:rFonts w:ascii="Times New Roman" w:hAnsi="Times New Roman" w:cs="Times New Roman"/>
                <w:sz w:val="12"/>
                <w:szCs w:val="12"/>
              </w:rPr>
            </w:pPr>
            <w:r w:rsidRPr="004A4899">
              <w:rPr>
                <w:rFonts w:ascii="Times New Roman" w:hAnsi="Times New Roman" w:cs="Times New Roman"/>
                <w:sz w:val="12"/>
                <w:szCs w:val="12"/>
              </w:rPr>
              <w:t>Isothiocyanatocyclopropane</w:t>
            </w:r>
          </w:p>
        </w:tc>
        <w:tc>
          <w:tcPr>
            <w:tcW w:w="377" w:type="dxa"/>
            <w:noWrap/>
            <w:vAlign w:val="center"/>
            <w:hideMark/>
          </w:tcPr>
          <w:p w14:paraId="623FD258" w14:textId="77777777" w:rsidR="00126D8D" w:rsidRPr="004A4899" w:rsidRDefault="00126D8D" w:rsidP="00820288">
            <w:pPr>
              <w:spacing w:line="240" w:lineRule="auto"/>
              <w:jc w:val="right"/>
              <w:rPr>
                <w:rFonts w:ascii="Times New Roman" w:hAnsi="Times New Roman" w:cs="Times New Roman"/>
                <w:sz w:val="13"/>
                <w:szCs w:val="13"/>
              </w:rPr>
            </w:pPr>
            <w:r w:rsidRPr="004A4899">
              <w:rPr>
                <w:rFonts w:ascii="Times New Roman" w:hAnsi="Times New Roman" w:cs="Times New Roman"/>
                <w:sz w:val="13"/>
                <w:szCs w:val="13"/>
              </w:rPr>
              <w:t>1.22</w:t>
            </w:r>
          </w:p>
        </w:tc>
        <w:tc>
          <w:tcPr>
            <w:tcW w:w="274" w:type="dxa"/>
            <w:noWrap/>
            <w:vAlign w:val="center"/>
            <w:hideMark/>
          </w:tcPr>
          <w:p w14:paraId="45756D35" w14:textId="77777777" w:rsidR="00126D8D" w:rsidRPr="004A4899" w:rsidRDefault="00126D8D" w:rsidP="00820288">
            <w:pPr>
              <w:spacing w:line="240" w:lineRule="auto"/>
              <w:rPr>
                <w:rFonts w:ascii="Times New Roman" w:hAnsi="Times New Roman" w:cs="Times New Roman"/>
                <w:sz w:val="13"/>
                <w:szCs w:val="13"/>
              </w:rPr>
            </w:pPr>
            <w:r w:rsidRPr="004A4899">
              <w:rPr>
                <w:rFonts w:ascii="Times New Roman" w:hAnsi="Times New Roman" w:cs="Times New Roman"/>
                <w:sz w:val="13"/>
                <w:szCs w:val="13"/>
              </w:rPr>
              <w:t>a</w:t>
            </w:r>
          </w:p>
        </w:tc>
        <w:tc>
          <w:tcPr>
            <w:tcW w:w="411" w:type="dxa"/>
            <w:noWrap/>
            <w:vAlign w:val="center"/>
            <w:hideMark/>
          </w:tcPr>
          <w:p w14:paraId="44EB7208" w14:textId="77777777" w:rsidR="00126D8D" w:rsidRPr="004A4899" w:rsidRDefault="00126D8D" w:rsidP="00820288">
            <w:pPr>
              <w:spacing w:line="240" w:lineRule="auto"/>
              <w:jc w:val="right"/>
              <w:rPr>
                <w:rFonts w:ascii="Times New Roman" w:hAnsi="Times New Roman" w:cs="Times New Roman"/>
                <w:sz w:val="13"/>
                <w:szCs w:val="13"/>
              </w:rPr>
            </w:pPr>
            <w:r w:rsidRPr="004A4899">
              <w:rPr>
                <w:rFonts w:ascii="Times New Roman" w:hAnsi="Times New Roman" w:cs="Times New Roman"/>
                <w:sz w:val="13"/>
                <w:szCs w:val="13"/>
              </w:rPr>
              <w:t>1.51</w:t>
            </w:r>
          </w:p>
        </w:tc>
        <w:tc>
          <w:tcPr>
            <w:tcW w:w="239" w:type="dxa"/>
            <w:noWrap/>
            <w:vAlign w:val="center"/>
            <w:hideMark/>
          </w:tcPr>
          <w:p w14:paraId="17826657" w14:textId="77777777" w:rsidR="00126D8D" w:rsidRPr="004A4899" w:rsidRDefault="00126D8D" w:rsidP="00820288">
            <w:pPr>
              <w:spacing w:line="240" w:lineRule="auto"/>
              <w:rPr>
                <w:rFonts w:ascii="Times New Roman" w:hAnsi="Times New Roman" w:cs="Times New Roman"/>
                <w:sz w:val="13"/>
                <w:szCs w:val="13"/>
              </w:rPr>
            </w:pPr>
            <w:r w:rsidRPr="004A4899">
              <w:rPr>
                <w:rFonts w:ascii="Times New Roman" w:hAnsi="Times New Roman" w:cs="Times New Roman"/>
                <w:sz w:val="13"/>
                <w:szCs w:val="13"/>
              </w:rPr>
              <w:t>a</w:t>
            </w:r>
          </w:p>
        </w:tc>
        <w:tc>
          <w:tcPr>
            <w:tcW w:w="377" w:type="dxa"/>
            <w:noWrap/>
            <w:vAlign w:val="center"/>
            <w:hideMark/>
          </w:tcPr>
          <w:p w14:paraId="009CCB63" w14:textId="77777777" w:rsidR="00126D8D" w:rsidRPr="004A4899" w:rsidRDefault="00126D8D" w:rsidP="00820288">
            <w:pPr>
              <w:spacing w:line="240" w:lineRule="auto"/>
              <w:jc w:val="right"/>
              <w:rPr>
                <w:rFonts w:ascii="Times New Roman" w:hAnsi="Times New Roman" w:cs="Times New Roman"/>
                <w:sz w:val="13"/>
                <w:szCs w:val="13"/>
              </w:rPr>
            </w:pPr>
            <w:r w:rsidRPr="004A4899">
              <w:rPr>
                <w:rFonts w:ascii="Times New Roman" w:hAnsi="Times New Roman" w:cs="Times New Roman"/>
                <w:sz w:val="13"/>
                <w:szCs w:val="13"/>
              </w:rPr>
              <w:t>2.03</w:t>
            </w:r>
          </w:p>
        </w:tc>
        <w:tc>
          <w:tcPr>
            <w:tcW w:w="273" w:type="dxa"/>
            <w:noWrap/>
            <w:vAlign w:val="center"/>
            <w:hideMark/>
          </w:tcPr>
          <w:p w14:paraId="1A3335C9" w14:textId="77777777" w:rsidR="00126D8D" w:rsidRPr="004A4899" w:rsidRDefault="00126D8D" w:rsidP="00820288">
            <w:pPr>
              <w:spacing w:line="240" w:lineRule="auto"/>
              <w:rPr>
                <w:rFonts w:ascii="Times New Roman" w:hAnsi="Times New Roman" w:cs="Times New Roman"/>
                <w:sz w:val="13"/>
                <w:szCs w:val="13"/>
              </w:rPr>
            </w:pPr>
            <w:r w:rsidRPr="004A4899">
              <w:rPr>
                <w:rFonts w:ascii="Times New Roman" w:hAnsi="Times New Roman" w:cs="Times New Roman"/>
                <w:sz w:val="13"/>
                <w:szCs w:val="13"/>
              </w:rPr>
              <w:t>a</w:t>
            </w:r>
          </w:p>
        </w:tc>
        <w:tc>
          <w:tcPr>
            <w:tcW w:w="377" w:type="dxa"/>
            <w:noWrap/>
            <w:vAlign w:val="center"/>
            <w:hideMark/>
          </w:tcPr>
          <w:p w14:paraId="39A328ED" w14:textId="77777777" w:rsidR="00126D8D" w:rsidRPr="004A4899" w:rsidRDefault="00126D8D" w:rsidP="00820288">
            <w:pPr>
              <w:spacing w:line="240" w:lineRule="auto"/>
              <w:jc w:val="right"/>
              <w:rPr>
                <w:rFonts w:ascii="Times New Roman" w:hAnsi="Times New Roman" w:cs="Times New Roman"/>
                <w:sz w:val="13"/>
                <w:szCs w:val="13"/>
              </w:rPr>
            </w:pPr>
            <w:r w:rsidRPr="004A4899">
              <w:rPr>
                <w:rFonts w:ascii="Times New Roman" w:hAnsi="Times New Roman" w:cs="Times New Roman"/>
                <w:sz w:val="13"/>
                <w:szCs w:val="13"/>
              </w:rPr>
              <w:t>1.71</w:t>
            </w:r>
          </w:p>
        </w:tc>
        <w:tc>
          <w:tcPr>
            <w:tcW w:w="273" w:type="dxa"/>
            <w:noWrap/>
            <w:vAlign w:val="center"/>
            <w:hideMark/>
          </w:tcPr>
          <w:p w14:paraId="4365E753" w14:textId="77777777" w:rsidR="00126D8D" w:rsidRPr="004A4899" w:rsidRDefault="00126D8D" w:rsidP="00820288">
            <w:pPr>
              <w:spacing w:line="240" w:lineRule="auto"/>
              <w:rPr>
                <w:rFonts w:ascii="Times New Roman" w:hAnsi="Times New Roman" w:cs="Times New Roman"/>
                <w:sz w:val="13"/>
                <w:szCs w:val="13"/>
              </w:rPr>
            </w:pPr>
            <w:r w:rsidRPr="004A4899">
              <w:rPr>
                <w:rFonts w:ascii="Times New Roman" w:hAnsi="Times New Roman" w:cs="Times New Roman"/>
                <w:sz w:val="13"/>
                <w:szCs w:val="13"/>
              </w:rPr>
              <w:t>a</w:t>
            </w:r>
          </w:p>
        </w:tc>
        <w:tc>
          <w:tcPr>
            <w:tcW w:w="377" w:type="dxa"/>
            <w:noWrap/>
            <w:vAlign w:val="center"/>
            <w:hideMark/>
          </w:tcPr>
          <w:p w14:paraId="3768276E" w14:textId="77777777" w:rsidR="00126D8D" w:rsidRPr="004A4899" w:rsidRDefault="00126D8D" w:rsidP="00820288">
            <w:pPr>
              <w:spacing w:line="240" w:lineRule="auto"/>
              <w:jc w:val="right"/>
              <w:rPr>
                <w:rFonts w:ascii="Times New Roman" w:hAnsi="Times New Roman" w:cs="Times New Roman"/>
                <w:sz w:val="13"/>
                <w:szCs w:val="13"/>
              </w:rPr>
            </w:pPr>
            <w:r w:rsidRPr="004A4899">
              <w:rPr>
                <w:rFonts w:ascii="Times New Roman" w:hAnsi="Times New Roman" w:cs="Times New Roman"/>
                <w:sz w:val="13"/>
                <w:szCs w:val="13"/>
              </w:rPr>
              <w:t>1.88</w:t>
            </w:r>
          </w:p>
        </w:tc>
        <w:tc>
          <w:tcPr>
            <w:tcW w:w="326" w:type="dxa"/>
            <w:noWrap/>
            <w:vAlign w:val="center"/>
            <w:hideMark/>
          </w:tcPr>
          <w:p w14:paraId="31BD7D5B" w14:textId="77777777" w:rsidR="00126D8D" w:rsidRPr="004A4899" w:rsidRDefault="00126D8D" w:rsidP="00820288">
            <w:pPr>
              <w:spacing w:line="240" w:lineRule="auto"/>
              <w:rPr>
                <w:rFonts w:ascii="Times New Roman" w:hAnsi="Times New Roman" w:cs="Times New Roman"/>
                <w:sz w:val="13"/>
                <w:szCs w:val="13"/>
              </w:rPr>
            </w:pPr>
            <w:r w:rsidRPr="004A4899">
              <w:rPr>
                <w:rFonts w:ascii="Times New Roman" w:hAnsi="Times New Roman" w:cs="Times New Roman"/>
                <w:sz w:val="13"/>
                <w:szCs w:val="13"/>
              </w:rPr>
              <w:t>a</w:t>
            </w:r>
          </w:p>
        </w:tc>
        <w:tc>
          <w:tcPr>
            <w:tcW w:w="377" w:type="dxa"/>
            <w:noWrap/>
            <w:vAlign w:val="center"/>
            <w:hideMark/>
          </w:tcPr>
          <w:p w14:paraId="4D7ED018" w14:textId="77777777" w:rsidR="00126D8D" w:rsidRPr="004A4899" w:rsidRDefault="00126D8D" w:rsidP="00820288">
            <w:pPr>
              <w:spacing w:line="240" w:lineRule="auto"/>
              <w:jc w:val="right"/>
              <w:rPr>
                <w:rFonts w:ascii="Times New Roman" w:hAnsi="Times New Roman" w:cs="Times New Roman"/>
                <w:sz w:val="13"/>
                <w:szCs w:val="13"/>
              </w:rPr>
            </w:pPr>
            <w:r w:rsidRPr="004A4899">
              <w:rPr>
                <w:rFonts w:ascii="Times New Roman" w:hAnsi="Times New Roman" w:cs="Times New Roman"/>
                <w:sz w:val="13"/>
                <w:szCs w:val="13"/>
              </w:rPr>
              <w:t>1.67</w:t>
            </w:r>
          </w:p>
        </w:tc>
        <w:tc>
          <w:tcPr>
            <w:tcW w:w="326" w:type="dxa"/>
            <w:noWrap/>
            <w:vAlign w:val="center"/>
            <w:hideMark/>
          </w:tcPr>
          <w:p w14:paraId="1501FFDD" w14:textId="77777777" w:rsidR="00126D8D" w:rsidRPr="004A4899" w:rsidRDefault="00126D8D" w:rsidP="00820288">
            <w:pPr>
              <w:spacing w:line="240" w:lineRule="auto"/>
              <w:rPr>
                <w:rFonts w:ascii="Times New Roman" w:hAnsi="Times New Roman" w:cs="Times New Roman"/>
                <w:sz w:val="13"/>
                <w:szCs w:val="13"/>
              </w:rPr>
            </w:pPr>
            <w:r w:rsidRPr="004A4899">
              <w:rPr>
                <w:rFonts w:ascii="Times New Roman" w:hAnsi="Times New Roman" w:cs="Times New Roman"/>
                <w:sz w:val="13"/>
                <w:szCs w:val="13"/>
              </w:rPr>
              <w:t>a</w:t>
            </w:r>
          </w:p>
        </w:tc>
        <w:tc>
          <w:tcPr>
            <w:tcW w:w="377" w:type="dxa"/>
            <w:noWrap/>
            <w:vAlign w:val="center"/>
            <w:hideMark/>
          </w:tcPr>
          <w:p w14:paraId="08C17E48" w14:textId="77777777" w:rsidR="00126D8D" w:rsidRPr="004A4899" w:rsidRDefault="00126D8D" w:rsidP="00820288">
            <w:pPr>
              <w:spacing w:line="240" w:lineRule="auto"/>
              <w:jc w:val="right"/>
              <w:rPr>
                <w:rFonts w:ascii="Times New Roman" w:hAnsi="Times New Roman" w:cs="Times New Roman"/>
                <w:sz w:val="13"/>
                <w:szCs w:val="13"/>
              </w:rPr>
            </w:pPr>
            <w:r w:rsidRPr="004A4899">
              <w:rPr>
                <w:rFonts w:ascii="Times New Roman" w:hAnsi="Times New Roman" w:cs="Times New Roman"/>
                <w:sz w:val="13"/>
                <w:szCs w:val="13"/>
              </w:rPr>
              <w:t>1.88</w:t>
            </w:r>
          </w:p>
        </w:tc>
        <w:tc>
          <w:tcPr>
            <w:tcW w:w="219" w:type="dxa"/>
            <w:noWrap/>
            <w:vAlign w:val="center"/>
            <w:hideMark/>
          </w:tcPr>
          <w:p w14:paraId="02163E17" w14:textId="77777777" w:rsidR="00126D8D" w:rsidRPr="004A4899" w:rsidRDefault="00126D8D" w:rsidP="00820288">
            <w:pPr>
              <w:spacing w:line="240" w:lineRule="auto"/>
              <w:rPr>
                <w:rFonts w:ascii="Times New Roman" w:hAnsi="Times New Roman" w:cs="Times New Roman"/>
                <w:sz w:val="13"/>
                <w:szCs w:val="13"/>
              </w:rPr>
            </w:pPr>
            <w:r w:rsidRPr="004A4899">
              <w:rPr>
                <w:rFonts w:ascii="Times New Roman" w:hAnsi="Times New Roman" w:cs="Times New Roman"/>
                <w:sz w:val="13"/>
                <w:szCs w:val="13"/>
              </w:rPr>
              <w:t>a</w:t>
            </w:r>
          </w:p>
        </w:tc>
        <w:tc>
          <w:tcPr>
            <w:tcW w:w="377" w:type="dxa"/>
            <w:noWrap/>
            <w:vAlign w:val="center"/>
            <w:hideMark/>
          </w:tcPr>
          <w:p w14:paraId="2A58B918" w14:textId="77777777" w:rsidR="00126D8D" w:rsidRPr="004A4899" w:rsidRDefault="00126D8D" w:rsidP="00820288">
            <w:pPr>
              <w:spacing w:line="240" w:lineRule="auto"/>
              <w:jc w:val="right"/>
              <w:rPr>
                <w:rFonts w:ascii="Times New Roman" w:hAnsi="Times New Roman" w:cs="Times New Roman"/>
                <w:sz w:val="13"/>
                <w:szCs w:val="13"/>
              </w:rPr>
            </w:pPr>
            <w:r w:rsidRPr="004A4899">
              <w:rPr>
                <w:rFonts w:ascii="Times New Roman" w:hAnsi="Times New Roman" w:cs="Times New Roman"/>
                <w:sz w:val="13"/>
                <w:szCs w:val="13"/>
              </w:rPr>
              <w:t>2.32</w:t>
            </w:r>
          </w:p>
        </w:tc>
        <w:tc>
          <w:tcPr>
            <w:tcW w:w="159" w:type="dxa"/>
            <w:noWrap/>
            <w:vAlign w:val="center"/>
            <w:hideMark/>
          </w:tcPr>
          <w:p w14:paraId="28C1A52A" w14:textId="77777777" w:rsidR="00126D8D" w:rsidRPr="004A4899" w:rsidRDefault="00126D8D" w:rsidP="00820288">
            <w:pPr>
              <w:spacing w:line="240" w:lineRule="auto"/>
              <w:rPr>
                <w:rFonts w:ascii="Times New Roman" w:hAnsi="Times New Roman" w:cs="Times New Roman"/>
                <w:sz w:val="13"/>
                <w:szCs w:val="13"/>
              </w:rPr>
            </w:pPr>
            <w:r w:rsidRPr="004A4899">
              <w:rPr>
                <w:rFonts w:ascii="Times New Roman" w:hAnsi="Times New Roman" w:cs="Times New Roman"/>
                <w:sz w:val="13"/>
                <w:szCs w:val="13"/>
              </w:rPr>
              <w:t>a</w:t>
            </w:r>
          </w:p>
        </w:tc>
        <w:tc>
          <w:tcPr>
            <w:tcW w:w="377" w:type="dxa"/>
            <w:noWrap/>
            <w:vAlign w:val="center"/>
            <w:hideMark/>
          </w:tcPr>
          <w:p w14:paraId="27EA05C4" w14:textId="77777777" w:rsidR="00126D8D" w:rsidRPr="004A4899" w:rsidRDefault="00126D8D" w:rsidP="00820288">
            <w:pPr>
              <w:spacing w:line="240" w:lineRule="auto"/>
              <w:jc w:val="right"/>
              <w:rPr>
                <w:rFonts w:ascii="Times New Roman" w:hAnsi="Times New Roman" w:cs="Times New Roman"/>
                <w:sz w:val="13"/>
                <w:szCs w:val="13"/>
              </w:rPr>
            </w:pPr>
            <w:r w:rsidRPr="004A4899">
              <w:rPr>
                <w:rFonts w:ascii="Times New Roman" w:hAnsi="Times New Roman" w:cs="Times New Roman"/>
                <w:sz w:val="13"/>
                <w:szCs w:val="13"/>
              </w:rPr>
              <w:t>1.66</w:t>
            </w:r>
          </w:p>
        </w:tc>
        <w:tc>
          <w:tcPr>
            <w:tcW w:w="326" w:type="dxa"/>
            <w:noWrap/>
            <w:vAlign w:val="center"/>
            <w:hideMark/>
          </w:tcPr>
          <w:p w14:paraId="57EBEAF2" w14:textId="77777777" w:rsidR="00126D8D" w:rsidRPr="004A4899" w:rsidRDefault="00126D8D" w:rsidP="00820288">
            <w:pPr>
              <w:spacing w:line="240" w:lineRule="auto"/>
              <w:rPr>
                <w:rFonts w:ascii="Times New Roman" w:hAnsi="Times New Roman" w:cs="Times New Roman"/>
                <w:sz w:val="13"/>
                <w:szCs w:val="13"/>
              </w:rPr>
            </w:pPr>
            <w:r w:rsidRPr="004A4899">
              <w:rPr>
                <w:rFonts w:ascii="Times New Roman" w:hAnsi="Times New Roman" w:cs="Times New Roman"/>
                <w:sz w:val="13"/>
                <w:szCs w:val="13"/>
              </w:rPr>
              <w:t>a</w:t>
            </w:r>
          </w:p>
        </w:tc>
        <w:tc>
          <w:tcPr>
            <w:tcW w:w="377" w:type="dxa"/>
            <w:noWrap/>
            <w:vAlign w:val="center"/>
            <w:hideMark/>
          </w:tcPr>
          <w:p w14:paraId="10A12F57" w14:textId="77777777" w:rsidR="00126D8D" w:rsidRPr="004A4899" w:rsidRDefault="00126D8D" w:rsidP="00820288">
            <w:pPr>
              <w:spacing w:line="240" w:lineRule="auto"/>
              <w:jc w:val="right"/>
              <w:rPr>
                <w:rFonts w:ascii="Times New Roman" w:hAnsi="Times New Roman" w:cs="Times New Roman"/>
                <w:sz w:val="13"/>
                <w:szCs w:val="13"/>
              </w:rPr>
            </w:pPr>
            <w:r w:rsidRPr="004A4899">
              <w:rPr>
                <w:rFonts w:ascii="Times New Roman" w:hAnsi="Times New Roman" w:cs="Times New Roman"/>
                <w:sz w:val="13"/>
                <w:szCs w:val="13"/>
              </w:rPr>
              <w:t>1.40</w:t>
            </w:r>
          </w:p>
        </w:tc>
        <w:tc>
          <w:tcPr>
            <w:tcW w:w="252" w:type="dxa"/>
            <w:noWrap/>
            <w:vAlign w:val="center"/>
            <w:hideMark/>
          </w:tcPr>
          <w:p w14:paraId="12A1E5E3" w14:textId="77777777" w:rsidR="00126D8D" w:rsidRPr="004A4899" w:rsidRDefault="00126D8D" w:rsidP="00820288">
            <w:pPr>
              <w:spacing w:line="240" w:lineRule="auto"/>
              <w:rPr>
                <w:rFonts w:ascii="Times New Roman" w:hAnsi="Times New Roman" w:cs="Times New Roman"/>
                <w:sz w:val="13"/>
                <w:szCs w:val="13"/>
              </w:rPr>
            </w:pPr>
            <w:r w:rsidRPr="004A4899">
              <w:rPr>
                <w:rFonts w:ascii="Times New Roman" w:hAnsi="Times New Roman" w:cs="Times New Roman"/>
                <w:sz w:val="13"/>
                <w:szCs w:val="13"/>
              </w:rPr>
              <w:t>a</w:t>
            </w:r>
          </w:p>
        </w:tc>
        <w:tc>
          <w:tcPr>
            <w:tcW w:w="377" w:type="dxa"/>
            <w:noWrap/>
            <w:vAlign w:val="center"/>
            <w:hideMark/>
          </w:tcPr>
          <w:p w14:paraId="67FD01AA" w14:textId="77777777" w:rsidR="00126D8D" w:rsidRPr="004A4899" w:rsidRDefault="00126D8D" w:rsidP="00820288">
            <w:pPr>
              <w:spacing w:line="240" w:lineRule="auto"/>
              <w:jc w:val="right"/>
              <w:rPr>
                <w:rFonts w:ascii="Times New Roman" w:hAnsi="Times New Roman" w:cs="Times New Roman"/>
                <w:sz w:val="13"/>
                <w:szCs w:val="13"/>
              </w:rPr>
            </w:pPr>
            <w:r w:rsidRPr="004A4899">
              <w:rPr>
                <w:rFonts w:ascii="Times New Roman" w:hAnsi="Times New Roman" w:cs="Times New Roman"/>
                <w:sz w:val="13"/>
                <w:szCs w:val="13"/>
              </w:rPr>
              <w:t>1.40</w:t>
            </w:r>
          </w:p>
        </w:tc>
        <w:tc>
          <w:tcPr>
            <w:tcW w:w="273" w:type="dxa"/>
            <w:noWrap/>
            <w:vAlign w:val="center"/>
            <w:hideMark/>
          </w:tcPr>
          <w:p w14:paraId="7035CC8B" w14:textId="77777777" w:rsidR="00126D8D" w:rsidRPr="004A4899" w:rsidRDefault="00126D8D" w:rsidP="00820288">
            <w:pPr>
              <w:spacing w:line="240" w:lineRule="auto"/>
              <w:rPr>
                <w:rFonts w:ascii="Times New Roman" w:hAnsi="Times New Roman" w:cs="Times New Roman"/>
                <w:sz w:val="13"/>
                <w:szCs w:val="13"/>
              </w:rPr>
            </w:pPr>
            <w:r w:rsidRPr="004A4899">
              <w:rPr>
                <w:rFonts w:ascii="Times New Roman" w:hAnsi="Times New Roman" w:cs="Times New Roman"/>
                <w:sz w:val="13"/>
                <w:szCs w:val="13"/>
              </w:rPr>
              <w:t>a</w:t>
            </w:r>
          </w:p>
        </w:tc>
        <w:tc>
          <w:tcPr>
            <w:tcW w:w="377" w:type="dxa"/>
            <w:noWrap/>
            <w:vAlign w:val="center"/>
            <w:hideMark/>
          </w:tcPr>
          <w:p w14:paraId="5AF4DF04" w14:textId="77777777" w:rsidR="00126D8D" w:rsidRPr="004A4899" w:rsidRDefault="00126D8D" w:rsidP="00820288">
            <w:pPr>
              <w:spacing w:line="240" w:lineRule="auto"/>
              <w:jc w:val="right"/>
              <w:rPr>
                <w:rFonts w:ascii="Times New Roman" w:hAnsi="Times New Roman" w:cs="Times New Roman"/>
                <w:sz w:val="13"/>
                <w:szCs w:val="13"/>
              </w:rPr>
            </w:pPr>
            <w:r w:rsidRPr="004A4899">
              <w:rPr>
                <w:rFonts w:ascii="Times New Roman" w:hAnsi="Times New Roman" w:cs="Times New Roman"/>
                <w:sz w:val="13"/>
                <w:szCs w:val="13"/>
              </w:rPr>
              <w:t>0.99</w:t>
            </w:r>
          </w:p>
        </w:tc>
        <w:tc>
          <w:tcPr>
            <w:tcW w:w="273" w:type="dxa"/>
            <w:noWrap/>
            <w:vAlign w:val="center"/>
            <w:hideMark/>
          </w:tcPr>
          <w:p w14:paraId="7F1C734B" w14:textId="77777777" w:rsidR="00126D8D" w:rsidRPr="004A4899" w:rsidRDefault="00126D8D" w:rsidP="00820288">
            <w:pPr>
              <w:spacing w:line="240" w:lineRule="auto"/>
              <w:rPr>
                <w:rFonts w:ascii="Times New Roman" w:hAnsi="Times New Roman" w:cs="Times New Roman"/>
                <w:sz w:val="13"/>
                <w:szCs w:val="13"/>
              </w:rPr>
            </w:pPr>
            <w:r w:rsidRPr="004A4899">
              <w:rPr>
                <w:rFonts w:ascii="Times New Roman" w:hAnsi="Times New Roman" w:cs="Times New Roman"/>
                <w:sz w:val="13"/>
                <w:szCs w:val="13"/>
              </w:rPr>
              <w:t>a</w:t>
            </w:r>
          </w:p>
        </w:tc>
      </w:tr>
      <w:tr w:rsidR="00126D8D" w:rsidRPr="004A4899" w14:paraId="7FDD0279" w14:textId="77777777" w:rsidTr="00820288">
        <w:trPr>
          <w:trHeight w:val="173"/>
        </w:trPr>
        <w:tc>
          <w:tcPr>
            <w:tcW w:w="1440" w:type="dxa"/>
            <w:noWrap/>
            <w:vAlign w:val="center"/>
            <w:hideMark/>
          </w:tcPr>
          <w:p w14:paraId="24774149" w14:textId="77777777" w:rsidR="00126D8D" w:rsidRPr="004A4899" w:rsidRDefault="00126D8D" w:rsidP="00820288">
            <w:pPr>
              <w:spacing w:line="240" w:lineRule="auto"/>
              <w:rPr>
                <w:rFonts w:ascii="Times New Roman" w:hAnsi="Times New Roman" w:cs="Times New Roman"/>
                <w:sz w:val="12"/>
                <w:szCs w:val="12"/>
              </w:rPr>
            </w:pPr>
            <w:r w:rsidRPr="004A4899">
              <w:rPr>
                <w:rFonts w:ascii="Times New Roman" w:hAnsi="Times New Roman" w:cs="Times New Roman"/>
                <w:sz w:val="12"/>
                <w:szCs w:val="12"/>
              </w:rPr>
              <w:t>Diallyl Disulfide</w:t>
            </w:r>
          </w:p>
        </w:tc>
        <w:tc>
          <w:tcPr>
            <w:tcW w:w="377" w:type="dxa"/>
            <w:noWrap/>
            <w:vAlign w:val="center"/>
            <w:hideMark/>
          </w:tcPr>
          <w:p w14:paraId="0E105AB3" w14:textId="77777777" w:rsidR="00126D8D" w:rsidRPr="004A4899" w:rsidRDefault="00126D8D" w:rsidP="00820288">
            <w:pPr>
              <w:spacing w:line="240" w:lineRule="auto"/>
              <w:jc w:val="right"/>
              <w:rPr>
                <w:rFonts w:ascii="Times New Roman" w:hAnsi="Times New Roman" w:cs="Times New Roman"/>
                <w:sz w:val="13"/>
                <w:szCs w:val="13"/>
              </w:rPr>
            </w:pPr>
            <w:r w:rsidRPr="004A4899">
              <w:rPr>
                <w:rFonts w:ascii="Times New Roman" w:hAnsi="Times New Roman" w:cs="Times New Roman"/>
                <w:sz w:val="13"/>
                <w:szCs w:val="13"/>
              </w:rPr>
              <w:t>0.87</w:t>
            </w:r>
          </w:p>
        </w:tc>
        <w:tc>
          <w:tcPr>
            <w:tcW w:w="274" w:type="dxa"/>
            <w:noWrap/>
            <w:vAlign w:val="center"/>
            <w:hideMark/>
          </w:tcPr>
          <w:p w14:paraId="24744774" w14:textId="77777777" w:rsidR="00126D8D" w:rsidRPr="004A4899" w:rsidRDefault="00126D8D" w:rsidP="00820288">
            <w:pPr>
              <w:spacing w:line="240" w:lineRule="auto"/>
              <w:rPr>
                <w:rFonts w:ascii="Times New Roman" w:hAnsi="Times New Roman" w:cs="Times New Roman"/>
                <w:sz w:val="13"/>
                <w:szCs w:val="13"/>
              </w:rPr>
            </w:pPr>
            <w:r w:rsidRPr="004A4899">
              <w:rPr>
                <w:rFonts w:ascii="Times New Roman" w:hAnsi="Times New Roman" w:cs="Times New Roman"/>
                <w:sz w:val="13"/>
                <w:szCs w:val="13"/>
              </w:rPr>
              <w:t>a</w:t>
            </w:r>
          </w:p>
        </w:tc>
        <w:tc>
          <w:tcPr>
            <w:tcW w:w="411" w:type="dxa"/>
            <w:noWrap/>
            <w:vAlign w:val="center"/>
            <w:hideMark/>
          </w:tcPr>
          <w:p w14:paraId="1BE5F4BD" w14:textId="77777777" w:rsidR="00126D8D" w:rsidRPr="004A4899" w:rsidRDefault="00126D8D" w:rsidP="00820288">
            <w:pPr>
              <w:spacing w:line="240" w:lineRule="auto"/>
              <w:jc w:val="right"/>
              <w:rPr>
                <w:rFonts w:ascii="Times New Roman" w:hAnsi="Times New Roman" w:cs="Times New Roman"/>
                <w:sz w:val="13"/>
                <w:szCs w:val="13"/>
              </w:rPr>
            </w:pPr>
            <w:r w:rsidRPr="004A4899">
              <w:rPr>
                <w:rFonts w:ascii="Times New Roman" w:hAnsi="Times New Roman" w:cs="Times New Roman"/>
                <w:sz w:val="13"/>
                <w:szCs w:val="13"/>
              </w:rPr>
              <w:t>0.70</w:t>
            </w:r>
          </w:p>
        </w:tc>
        <w:tc>
          <w:tcPr>
            <w:tcW w:w="239" w:type="dxa"/>
            <w:noWrap/>
            <w:vAlign w:val="center"/>
            <w:hideMark/>
          </w:tcPr>
          <w:p w14:paraId="5FEAAC58" w14:textId="77777777" w:rsidR="00126D8D" w:rsidRPr="004A4899" w:rsidRDefault="00126D8D" w:rsidP="00820288">
            <w:pPr>
              <w:spacing w:line="240" w:lineRule="auto"/>
              <w:rPr>
                <w:rFonts w:ascii="Times New Roman" w:hAnsi="Times New Roman" w:cs="Times New Roman"/>
                <w:sz w:val="13"/>
                <w:szCs w:val="13"/>
              </w:rPr>
            </w:pPr>
            <w:r w:rsidRPr="004A4899">
              <w:rPr>
                <w:rFonts w:ascii="Times New Roman" w:hAnsi="Times New Roman" w:cs="Times New Roman"/>
                <w:sz w:val="13"/>
                <w:szCs w:val="13"/>
              </w:rPr>
              <w:t>a</w:t>
            </w:r>
          </w:p>
        </w:tc>
        <w:tc>
          <w:tcPr>
            <w:tcW w:w="377" w:type="dxa"/>
            <w:noWrap/>
            <w:vAlign w:val="center"/>
            <w:hideMark/>
          </w:tcPr>
          <w:p w14:paraId="48E29E92" w14:textId="77777777" w:rsidR="00126D8D" w:rsidRPr="004A4899" w:rsidRDefault="00126D8D" w:rsidP="00820288">
            <w:pPr>
              <w:spacing w:line="240" w:lineRule="auto"/>
              <w:jc w:val="right"/>
              <w:rPr>
                <w:rFonts w:ascii="Times New Roman" w:hAnsi="Times New Roman" w:cs="Times New Roman"/>
                <w:sz w:val="13"/>
                <w:szCs w:val="13"/>
              </w:rPr>
            </w:pPr>
            <w:r w:rsidRPr="004A4899">
              <w:rPr>
                <w:rFonts w:ascii="Times New Roman" w:hAnsi="Times New Roman" w:cs="Times New Roman"/>
                <w:sz w:val="13"/>
                <w:szCs w:val="13"/>
              </w:rPr>
              <w:t>0.88</w:t>
            </w:r>
          </w:p>
        </w:tc>
        <w:tc>
          <w:tcPr>
            <w:tcW w:w="273" w:type="dxa"/>
            <w:noWrap/>
            <w:vAlign w:val="center"/>
            <w:hideMark/>
          </w:tcPr>
          <w:p w14:paraId="38EA2D18" w14:textId="77777777" w:rsidR="00126D8D" w:rsidRPr="004A4899" w:rsidRDefault="00126D8D" w:rsidP="00820288">
            <w:pPr>
              <w:spacing w:line="240" w:lineRule="auto"/>
              <w:rPr>
                <w:rFonts w:ascii="Times New Roman" w:hAnsi="Times New Roman" w:cs="Times New Roman"/>
                <w:sz w:val="13"/>
                <w:szCs w:val="13"/>
              </w:rPr>
            </w:pPr>
            <w:r w:rsidRPr="004A4899">
              <w:rPr>
                <w:rFonts w:ascii="Times New Roman" w:hAnsi="Times New Roman" w:cs="Times New Roman"/>
                <w:sz w:val="13"/>
                <w:szCs w:val="13"/>
              </w:rPr>
              <w:t>a</w:t>
            </w:r>
          </w:p>
        </w:tc>
        <w:tc>
          <w:tcPr>
            <w:tcW w:w="377" w:type="dxa"/>
            <w:noWrap/>
            <w:vAlign w:val="center"/>
            <w:hideMark/>
          </w:tcPr>
          <w:p w14:paraId="0AD0B455" w14:textId="77777777" w:rsidR="00126D8D" w:rsidRPr="004A4899" w:rsidRDefault="00126D8D" w:rsidP="00820288">
            <w:pPr>
              <w:spacing w:line="240" w:lineRule="auto"/>
              <w:jc w:val="right"/>
              <w:rPr>
                <w:rFonts w:ascii="Times New Roman" w:hAnsi="Times New Roman" w:cs="Times New Roman"/>
                <w:sz w:val="13"/>
                <w:szCs w:val="13"/>
              </w:rPr>
            </w:pPr>
            <w:r w:rsidRPr="004A4899">
              <w:rPr>
                <w:rFonts w:ascii="Times New Roman" w:hAnsi="Times New Roman" w:cs="Times New Roman"/>
                <w:sz w:val="13"/>
                <w:szCs w:val="13"/>
              </w:rPr>
              <w:t>0.95</w:t>
            </w:r>
          </w:p>
        </w:tc>
        <w:tc>
          <w:tcPr>
            <w:tcW w:w="273" w:type="dxa"/>
            <w:noWrap/>
            <w:vAlign w:val="center"/>
            <w:hideMark/>
          </w:tcPr>
          <w:p w14:paraId="03A2E6B7" w14:textId="77777777" w:rsidR="00126D8D" w:rsidRPr="004A4899" w:rsidRDefault="00126D8D" w:rsidP="00820288">
            <w:pPr>
              <w:spacing w:line="240" w:lineRule="auto"/>
              <w:rPr>
                <w:rFonts w:ascii="Times New Roman" w:hAnsi="Times New Roman" w:cs="Times New Roman"/>
                <w:sz w:val="13"/>
                <w:szCs w:val="13"/>
              </w:rPr>
            </w:pPr>
            <w:r w:rsidRPr="004A4899">
              <w:rPr>
                <w:rFonts w:ascii="Times New Roman" w:hAnsi="Times New Roman" w:cs="Times New Roman"/>
                <w:sz w:val="13"/>
                <w:szCs w:val="13"/>
              </w:rPr>
              <w:t>a</w:t>
            </w:r>
          </w:p>
        </w:tc>
        <w:tc>
          <w:tcPr>
            <w:tcW w:w="377" w:type="dxa"/>
            <w:noWrap/>
            <w:vAlign w:val="center"/>
            <w:hideMark/>
          </w:tcPr>
          <w:p w14:paraId="1B79B90C" w14:textId="77777777" w:rsidR="00126D8D" w:rsidRPr="004A4899" w:rsidRDefault="00126D8D" w:rsidP="00820288">
            <w:pPr>
              <w:spacing w:line="240" w:lineRule="auto"/>
              <w:jc w:val="right"/>
              <w:rPr>
                <w:rFonts w:ascii="Times New Roman" w:hAnsi="Times New Roman" w:cs="Times New Roman"/>
                <w:sz w:val="13"/>
                <w:szCs w:val="13"/>
              </w:rPr>
            </w:pPr>
            <w:r w:rsidRPr="004A4899">
              <w:rPr>
                <w:rFonts w:ascii="Times New Roman" w:hAnsi="Times New Roman" w:cs="Times New Roman"/>
                <w:sz w:val="13"/>
                <w:szCs w:val="13"/>
              </w:rPr>
              <w:t>0.99</w:t>
            </w:r>
          </w:p>
        </w:tc>
        <w:tc>
          <w:tcPr>
            <w:tcW w:w="326" w:type="dxa"/>
            <w:noWrap/>
            <w:vAlign w:val="center"/>
            <w:hideMark/>
          </w:tcPr>
          <w:p w14:paraId="27BCCE8A" w14:textId="77777777" w:rsidR="00126D8D" w:rsidRPr="004A4899" w:rsidRDefault="00126D8D" w:rsidP="00820288">
            <w:pPr>
              <w:spacing w:line="240" w:lineRule="auto"/>
              <w:rPr>
                <w:rFonts w:ascii="Times New Roman" w:hAnsi="Times New Roman" w:cs="Times New Roman"/>
                <w:sz w:val="13"/>
                <w:szCs w:val="13"/>
              </w:rPr>
            </w:pPr>
            <w:r w:rsidRPr="004A4899">
              <w:rPr>
                <w:rFonts w:ascii="Times New Roman" w:hAnsi="Times New Roman" w:cs="Times New Roman"/>
                <w:sz w:val="13"/>
                <w:szCs w:val="13"/>
              </w:rPr>
              <w:t>a</w:t>
            </w:r>
          </w:p>
        </w:tc>
        <w:tc>
          <w:tcPr>
            <w:tcW w:w="377" w:type="dxa"/>
            <w:noWrap/>
            <w:vAlign w:val="center"/>
            <w:hideMark/>
          </w:tcPr>
          <w:p w14:paraId="114C3B0F" w14:textId="77777777" w:rsidR="00126D8D" w:rsidRPr="004A4899" w:rsidRDefault="00126D8D" w:rsidP="00820288">
            <w:pPr>
              <w:spacing w:line="240" w:lineRule="auto"/>
              <w:jc w:val="right"/>
              <w:rPr>
                <w:rFonts w:ascii="Times New Roman" w:hAnsi="Times New Roman" w:cs="Times New Roman"/>
                <w:sz w:val="13"/>
                <w:szCs w:val="13"/>
              </w:rPr>
            </w:pPr>
            <w:r w:rsidRPr="004A4899">
              <w:rPr>
                <w:rFonts w:ascii="Times New Roman" w:hAnsi="Times New Roman" w:cs="Times New Roman"/>
                <w:sz w:val="13"/>
                <w:szCs w:val="13"/>
              </w:rPr>
              <w:t>1.02</w:t>
            </w:r>
          </w:p>
        </w:tc>
        <w:tc>
          <w:tcPr>
            <w:tcW w:w="326" w:type="dxa"/>
            <w:noWrap/>
            <w:vAlign w:val="center"/>
            <w:hideMark/>
          </w:tcPr>
          <w:p w14:paraId="34826765" w14:textId="77777777" w:rsidR="00126D8D" w:rsidRPr="004A4899" w:rsidRDefault="00126D8D" w:rsidP="00820288">
            <w:pPr>
              <w:spacing w:line="240" w:lineRule="auto"/>
              <w:rPr>
                <w:rFonts w:ascii="Times New Roman" w:hAnsi="Times New Roman" w:cs="Times New Roman"/>
                <w:sz w:val="13"/>
                <w:szCs w:val="13"/>
              </w:rPr>
            </w:pPr>
            <w:r w:rsidRPr="004A4899">
              <w:rPr>
                <w:rFonts w:ascii="Times New Roman" w:hAnsi="Times New Roman" w:cs="Times New Roman"/>
                <w:sz w:val="13"/>
                <w:szCs w:val="13"/>
              </w:rPr>
              <w:t>a</w:t>
            </w:r>
          </w:p>
        </w:tc>
        <w:tc>
          <w:tcPr>
            <w:tcW w:w="377" w:type="dxa"/>
            <w:noWrap/>
            <w:vAlign w:val="center"/>
            <w:hideMark/>
          </w:tcPr>
          <w:p w14:paraId="09C56955" w14:textId="77777777" w:rsidR="00126D8D" w:rsidRPr="004A4899" w:rsidRDefault="00126D8D" w:rsidP="00820288">
            <w:pPr>
              <w:spacing w:line="240" w:lineRule="auto"/>
              <w:jc w:val="right"/>
              <w:rPr>
                <w:rFonts w:ascii="Times New Roman" w:hAnsi="Times New Roman" w:cs="Times New Roman"/>
                <w:sz w:val="13"/>
                <w:szCs w:val="13"/>
              </w:rPr>
            </w:pPr>
            <w:r w:rsidRPr="004A4899">
              <w:rPr>
                <w:rFonts w:ascii="Times New Roman" w:hAnsi="Times New Roman" w:cs="Times New Roman"/>
                <w:sz w:val="13"/>
                <w:szCs w:val="13"/>
              </w:rPr>
              <w:t>1.21</w:t>
            </w:r>
          </w:p>
        </w:tc>
        <w:tc>
          <w:tcPr>
            <w:tcW w:w="219" w:type="dxa"/>
            <w:noWrap/>
            <w:vAlign w:val="center"/>
            <w:hideMark/>
          </w:tcPr>
          <w:p w14:paraId="75669AF9" w14:textId="77777777" w:rsidR="00126D8D" w:rsidRPr="004A4899" w:rsidRDefault="00126D8D" w:rsidP="00820288">
            <w:pPr>
              <w:spacing w:line="240" w:lineRule="auto"/>
              <w:rPr>
                <w:rFonts w:ascii="Times New Roman" w:hAnsi="Times New Roman" w:cs="Times New Roman"/>
                <w:sz w:val="13"/>
                <w:szCs w:val="13"/>
              </w:rPr>
            </w:pPr>
            <w:r w:rsidRPr="004A4899">
              <w:rPr>
                <w:rFonts w:ascii="Times New Roman" w:hAnsi="Times New Roman" w:cs="Times New Roman"/>
                <w:sz w:val="13"/>
                <w:szCs w:val="13"/>
              </w:rPr>
              <w:t>a</w:t>
            </w:r>
          </w:p>
        </w:tc>
        <w:tc>
          <w:tcPr>
            <w:tcW w:w="377" w:type="dxa"/>
            <w:noWrap/>
            <w:vAlign w:val="center"/>
            <w:hideMark/>
          </w:tcPr>
          <w:p w14:paraId="7C542C07" w14:textId="77777777" w:rsidR="00126D8D" w:rsidRPr="004A4899" w:rsidRDefault="00126D8D" w:rsidP="00820288">
            <w:pPr>
              <w:spacing w:line="240" w:lineRule="auto"/>
              <w:jc w:val="right"/>
              <w:rPr>
                <w:rFonts w:ascii="Times New Roman" w:hAnsi="Times New Roman" w:cs="Times New Roman"/>
                <w:sz w:val="13"/>
                <w:szCs w:val="13"/>
              </w:rPr>
            </w:pPr>
            <w:r w:rsidRPr="004A4899">
              <w:rPr>
                <w:rFonts w:ascii="Times New Roman" w:hAnsi="Times New Roman" w:cs="Times New Roman"/>
                <w:sz w:val="13"/>
                <w:szCs w:val="13"/>
              </w:rPr>
              <w:t>1.36</w:t>
            </w:r>
          </w:p>
        </w:tc>
        <w:tc>
          <w:tcPr>
            <w:tcW w:w="159" w:type="dxa"/>
            <w:noWrap/>
            <w:vAlign w:val="center"/>
            <w:hideMark/>
          </w:tcPr>
          <w:p w14:paraId="442A0633" w14:textId="77777777" w:rsidR="00126D8D" w:rsidRPr="004A4899" w:rsidRDefault="00126D8D" w:rsidP="00820288">
            <w:pPr>
              <w:spacing w:line="240" w:lineRule="auto"/>
              <w:rPr>
                <w:rFonts w:ascii="Times New Roman" w:hAnsi="Times New Roman" w:cs="Times New Roman"/>
                <w:sz w:val="13"/>
                <w:szCs w:val="13"/>
              </w:rPr>
            </w:pPr>
            <w:r w:rsidRPr="004A4899">
              <w:rPr>
                <w:rFonts w:ascii="Times New Roman" w:hAnsi="Times New Roman" w:cs="Times New Roman"/>
                <w:sz w:val="13"/>
                <w:szCs w:val="13"/>
              </w:rPr>
              <w:t>a</w:t>
            </w:r>
          </w:p>
        </w:tc>
        <w:tc>
          <w:tcPr>
            <w:tcW w:w="377" w:type="dxa"/>
            <w:noWrap/>
            <w:vAlign w:val="center"/>
            <w:hideMark/>
          </w:tcPr>
          <w:p w14:paraId="1B3C9D88" w14:textId="77777777" w:rsidR="00126D8D" w:rsidRPr="004A4899" w:rsidRDefault="00126D8D" w:rsidP="00820288">
            <w:pPr>
              <w:spacing w:line="240" w:lineRule="auto"/>
              <w:jc w:val="right"/>
              <w:rPr>
                <w:rFonts w:ascii="Times New Roman" w:hAnsi="Times New Roman" w:cs="Times New Roman"/>
                <w:sz w:val="13"/>
                <w:szCs w:val="13"/>
              </w:rPr>
            </w:pPr>
            <w:r w:rsidRPr="004A4899">
              <w:rPr>
                <w:rFonts w:ascii="Times New Roman" w:hAnsi="Times New Roman" w:cs="Times New Roman"/>
                <w:sz w:val="13"/>
                <w:szCs w:val="13"/>
              </w:rPr>
              <w:t>0.97</w:t>
            </w:r>
          </w:p>
        </w:tc>
        <w:tc>
          <w:tcPr>
            <w:tcW w:w="326" w:type="dxa"/>
            <w:noWrap/>
            <w:vAlign w:val="center"/>
            <w:hideMark/>
          </w:tcPr>
          <w:p w14:paraId="7F743D6C" w14:textId="77777777" w:rsidR="00126D8D" w:rsidRPr="004A4899" w:rsidRDefault="00126D8D" w:rsidP="00820288">
            <w:pPr>
              <w:spacing w:line="240" w:lineRule="auto"/>
              <w:rPr>
                <w:rFonts w:ascii="Times New Roman" w:hAnsi="Times New Roman" w:cs="Times New Roman"/>
                <w:sz w:val="13"/>
                <w:szCs w:val="13"/>
              </w:rPr>
            </w:pPr>
            <w:r w:rsidRPr="004A4899">
              <w:rPr>
                <w:rFonts w:ascii="Times New Roman" w:hAnsi="Times New Roman" w:cs="Times New Roman"/>
                <w:sz w:val="13"/>
                <w:szCs w:val="13"/>
              </w:rPr>
              <w:t>a</w:t>
            </w:r>
          </w:p>
        </w:tc>
        <w:tc>
          <w:tcPr>
            <w:tcW w:w="377" w:type="dxa"/>
            <w:noWrap/>
            <w:vAlign w:val="center"/>
            <w:hideMark/>
          </w:tcPr>
          <w:p w14:paraId="29656254" w14:textId="77777777" w:rsidR="00126D8D" w:rsidRPr="004A4899" w:rsidRDefault="00126D8D" w:rsidP="00820288">
            <w:pPr>
              <w:spacing w:line="240" w:lineRule="auto"/>
              <w:jc w:val="right"/>
              <w:rPr>
                <w:rFonts w:ascii="Times New Roman" w:hAnsi="Times New Roman" w:cs="Times New Roman"/>
                <w:sz w:val="13"/>
                <w:szCs w:val="13"/>
              </w:rPr>
            </w:pPr>
            <w:r w:rsidRPr="004A4899">
              <w:rPr>
                <w:rFonts w:ascii="Times New Roman" w:hAnsi="Times New Roman" w:cs="Times New Roman"/>
                <w:sz w:val="13"/>
                <w:szCs w:val="13"/>
              </w:rPr>
              <w:t>0.80</w:t>
            </w:r>
          </w:p>
        </w:tc>
        <w:tc>
          <w:tcPr>
            <w:tcW w:w="252" w:type="dxa"/>
            <w:noWrap/>
            <w:vAlign w:val="center"/>
            <w:hideMark/>
          </w:tcPr>
          <w:p w14:paraId="317A015D" w14:textId="77777777" w:rsidR="00126D8D" w:rsidRPr="004A4899" w:rsidRDefault="00126D8D" w:rsidP="00820288">
            <w:pPr>
              <w:spacing w:line="240" w:lineRule="auto"/>
              <w:rPr>
                <w:rFonts w:ascii="Times New Roman" w:hAnsi="Times New Roman" w:cs="Times New Roman"/>
                <w:sz w:val="13"/>
                <w:szCs w:val="13"/>
              </w:rPr>
            </w:pPr>
            <w:r w:rsidRPr="004A4899">
              <w:rPr>
                <w:rFonts w:ascii="Times New Roman" w:hAnsi="Times New Roman" w:cs="Times New Roman"/>
                <w:sz w:val="13"/>
                <w:szCs w:val="13"/>
              </w:rPr>
              <w:t>a</w:t>
            </w:r>
          </w:p>
        </w:tc>
        <w:tc>
          <w:tcPr>
            <w:tcW w:w="377" w:type="dxa"/>
            <w:noWrap/>
            <w:vAlign w:val="center"/>
            <w:hideMark/>
          </w:tcPr>
          <w:p w14:paraId="30932640" w14:textId="77777777" w:rsidR="00126D8D" w:rsidRPr="004A4899" w:rsidRDefault="00126D8D" w:rsidP="00820288">
            <w:pPr>
              <w:spacing w:line="240" w:lineRule="auto"/>
              <w:jc w:val="right"/>
              <w:rPr>
                <w:rFonts w:ascii="Times New Roman" w:hAnsi="Times New Roman" w:cs="Times New Roman"/>
                <w:sz w:val="13"/>
                <w:szCs w:val="13"/>
              </w:rPr>
            </w:pPr>
            <w:r w:rsidRPr="004A4899">
              <w:rPr>
                <w:rFonts w:ascii="Times New Roman" w:hAnsi="Times New Roman" w:cs="Times New Roman"/>
                <w:sz w:val="13"/>
                <w:szCs w:val="13"/>
              </w:rPr>
              <w:t>2.05</w:t>
            </w:r>
          </w:p>
        </w:tc>
        <w:tc>
          <w:tcPr>
            <w:tcW w:w="273" w:type="dxa"/>
            <w:noWrap/>
            <w:vAlign w:val="center"/>
            <w:hideMark/>
          </w:tcPr>
          <w:p w14:paraId="182F3A72" w14:textId="77777777" w:rsidR="00126D8D" w:rsidRPr="004A4899" w:rsidRDefault="00126D8D" w:rsidP="00820288">
            <w:pPr>
              <w:spacing w:line="240" w:lineRule="auto"/>
              <w:rPr>
                <w:rFonts w:ascii="Times New Roman" w:hAnsi="Times New Roman" w:cs="Times New Roman"/>
                <w:sz w:val="13"/>
                <w:szCs w:val="13"/>
              </w:rPr>
            </w:pPr>
            <w:r w:rsidRPr="004A4899">
              <w:rPr>
                <w:rFonts w:ascii="Times New Roman" w:hAnsi="Times New Roman" w:cs="Times New Roman"/>
                <w:sz w:val="13"/>
                <w:szCs w:val="13"/>
              </w:rPr>
              <w:t>a</w:t>
            </w:r>
          </w:p>
        </w:tc>
        <w:tc>
          <w:tcPr>
            <w:tcW w:w="377" w:type="dxa"/>
            <w:noWrap/>
            <w:vAlign w:val="center"/>
            <w:hideMark/>
          </w:tcPr>
          <w:p w14:paraId="66E1EF0B" w14:textId="77777777" w:rsidR="00126D8D" w:rsidRPr="004A4899" w:rsidRDefault="00126D8D" w:rsidP="00820288">
            <w:pPr>
              <w:spacing w:line="240" w:lineRule="auto"/>
              <w:jc w:val="right"/>
              <w:rPr>
                <w:rFonts w:ascii="Times New Roman" w:hAnsi="Times New Roman" w:cs="Times New Roman"/>
                <w:sz w:val="13"/>
                <w:szCs w:val="13"/>
              </w:rPr>
            </w:pPr>
            <w:r w:rsidRPr="004A4899">
              <w:rPr>
                <w:rFonts w:ascii="Times New Roman" w:hAnsi="Times New Roman" w:cs="Times New Roman"/>
                <w:sz w:val="13"/>
                <w:szCs w:val="13"/>
              </w:rPr>
              <w:t>0.76</w:t>
            </w:r>
          </w:p>
        </w:tc>
        <w:tc>
          <w:tcPr>
            <w:tcW w:w="273" w:type="dxa"/>
            <w:noWrap/>
            <w:vAlign w:val="center"/>
            <w:hideMark/>
          </w:tcPr>
          <w:p w14:paraId="049C6BB7" w14:textId="77777777" w:rsidR="00126D8D" w:rsidRPr="004A4899" w:rsidRDefault="00126D8D" w:rsidP="00820288">
            <w:pPr>
              <w:spacing w:line="240" w:lineRule="auto"/>
              <w:rPr>
                <w:rFonts w:ascii="Times New Roman" w:hAnsi="Times New Roman" w:cs="Times New Roman"/>
                <w:sz w:val="13"/>
                <w:szCs w:val="13"/>
              </w:rPr>
            </w:pPr>
            <w:r w:rsidRPr="004A4899">
              <w:rPr>
                <w:rFonts w:ascii="Times New Roman" w:hAnsi="Times New Roman" w:cs="Times New Roman"/>
                <w:sz w:val="13"/>
                <w:szCs w:val="13"/>
              </w:rPr>
              <w:t>a</w:t>
            </w:r>
          </w:p>
        </w:tc>
      </w:tr>
      <w:tr w:rsidR="00126D8D" w:rsidRPr="004A4899" w14:paraId="047CBC01" w14:textId="77777777" w:rsidTr="00820288">
        <w:trPr>
          <w:trHeight w:val="173"/>
        </w:trPr>
        <w:tc>
          <w:tcPr>
            <w:tcW w:w="1440" w:type="dxa"/>
            <w:noWrap/>
            <w:vAlign w:val="center"/>
            <w:hideMark/>
          </w:tcPr>
          <w:p w14:paraId="5CB4E899" w14:textId="77777777" w:rsidR="00126D8D" w:rsidRPr="004A4899" w:rsidRDefault="00126D8D" w:rsidP="00820288">
            <w:pPr>
              <w:spacing w:line="240" w:lineRule="auto"/>
              <w:rPr>
                <w:rFonts w:ascii="Times New Roman" w:hAnsi="Times New Roman" w:cs="Times New Roman"/>
                <w:sz w:val="12"/>
                <w:szCs w:val="12"/>
              </w:rPr>
            </w:pPr>
            <w:r w:rsidRPr="004A4899">
              <w:rPr>
                <w:rFonts w:ascii="Times New Roman" w:hAnsi="Times New Roman" w:cs="Times New Roman"/>
                <w:sz w:val="12"/>
                <w:szCs w:val="12"/>
              </w:rPr>
              <w:t>Dimethyl Sulfide</w:t>
            </w:r>
          </w:p>
        </w:tc>
        <w:tc>
          <w:tcPr>
            <w:tcW w:w="377" w:type="dxa"/>
            <w:noWrap/>
            <w:vAlign w:val="center"/>
            <w:hideMark/>
          </w:tcPr>
          <w:p w14:paraId="234C0D2D" w14:textId="77777777" w:rsidR="00126D8D" w:rsidRPr="004A4899" w:rsidRDefault="00126D8D" w:rsidP="00820288">
            <w:pPr>
              <w:spacing w:line="240" w:lineRule="auto"/>
              <w:jc w:val="right"/>
              <w:rPr>
                <w:rFonts w:ascii="Times New Roman" w:hAnsi="Times New Roman" w:cs="Times New Roman"/>
                <w:sz w:val="13"/>
                <w:szCs w:val="13"/>
              </w:rPr>
            </w:pPr>
            <w:r w:rsidRPr="004A4899">
              <w:rPr>
                <w:rFonts w:ascii="Times New Roman" w:hAnsi="Times New Roman" w:cs="Times New Roman"/>
                <w:sz w:val="13"/>
                <w:szCs w:val="13"/>
              </w:rPr>
              <w:t>64.89</w:t>
            </w:r>
          </w:p>
        </w:tc>
        <w:tc>
          <w:tcPr>
            <w:tcW w:w="274" w:type="dxa"/>
            <w:noWrap/>
            <w:vAlign w:val="center"/>
            <w:hideMark/>
          </w:tcPr>
          <w:p w14:paraId="37A237C9" w14:textId="77777777" w:rsidR="00126D8D" w:rsidRPr="004A4899" w:rsidRDefault="00126D8D" w:rsidP="00820288">
            <w:pPr>
              <w:spacing w:line="240" w:lineRule="auto"/>
              <w:rPr>
                <w:rFonts w:ascii="Times New Roman" w:hAnsi="Times New Roman" w:cs="Times New Roman"/>
                <w:sz w:val="13"/>
                <w:szCs w:val="13"/>
              </w:rPr>
            </w:pPr>
            <w:r w:rsidRPr="004A4899">
              <w:rPr>
                <w:rFonts w:ascii="Times New Roman" w:hAnsi="Times New Roman" w:cs="Times New Roman"/>
                <w:sz w:val="13"/>
                <w:szCs w:val="13"/>
              </w:rPr>
              <w:t>abc</w:t>
            </w:r>
          </w:p>
        </w:tc>
        <w:tc>
          <w:tcPr>
            <w:tcW w:w="411" w:type="dxa"/>
            <w:noWrap/>
            <w:vAlign w:val="center"/>
            <w:hideMark/>
          </w:tcPr>
          <w:p w14:paraId="6542FBF3" w14:textId="77777777" w:rsidR="00126D8D" w:rsidRPr="004A4899" w:rsidRDefault="00126D8D" w:rsidP="00820288">
            <w:pPr>
              <w:spacing w:line="240" w:lineRule="auto"/>
              <w:jc w:val="right"/>
              <w:rPr>
                <w:rFonts w:ascii="Times New Roman" w:hAnsi="Times New Roman" w:cs="Times New Roman"/>
                <w:sz w:val="13"/>
                <w:szCs w:val="13"/>
              </w:rPr>
            </w:pPr>
            <w:r w:rsidRPr="004A4899">
              <w:rPr>
                <w:rFonts w:ascii="Times New Roman" w:hAnsi="Times New Roman" w:cs="Times New Roman"/>
                <w:sz w:val="13"/>
                <w:szCs w:val="13"/>
              </w:rPr>
              <w:t>104.39</w:t>
            </w:r>
          </w:p>
        </w:tc>
        <w:tc>
          <w:tcPr>
            <w:tcW w:w="239" w:type="dxa"/>
            <w:noWrap/>
            <w:vAlign w:val="center"/>
            <w:hideMark/>
          </w:tcPr>
          <w:p w14:paraId="55C882A0" w14:textId="77777777" w:rsidR="00126D8D" w:rsidRPr="004A4899" w:rsidRDefault="00126D8D" w:rsidP="00820288">
            <w:pPr>
              <w:spacing w:line="240" w:lineRule="auto"/>
              <w:rPr>
                <w:rFonts w:ascii="Times New Roman" w:hAnsi="Times New Roman" w:cs="Times New Roman"/>
                <w:sz w:val="13"/>
                <w:szCs w:val="13"/>
              </w:rPr>
            </w:pPr>
            <w:r w:rsidRPr="004A4899">
              <w:rPr>
                <w:rFonts w:ascii="Times New Roman" w:hAnsi="Times New Roman" w:cs="Times New Roman"/>
                <w:sz w:val="13"/>
                <w:szCs w:val="13"/>
              </w:rPr>
              <w:t>a</w:t>
            </w:r>
          </w:p>
        </w:tc>
        <w:tc>
          <w:tcPr>
            <w:tcW w:w="377" w:type="dxa"/>
            <w:noWrap/>
            <w:vAlign w:val="center"/>
            <w:hideMark/>
          </w:tcPr>
          <w:p w14:paraId="08481CCE" w14:textId="77777777" w:rsidR="00126D8D" w:rsidRPr="004A4899" w:rsidRDefault="00126D8D" w:rsidP="00820288">
            <w:pPr>
              <w:spacing w:line="240" w:lineRule="auto"/>
              <w:jc w:val="right"/>
              <w:rPr>
                <w:rFonts w:ascii="Times New Roman" w:hAnsi="Times New Roman" w:cs="Times New Roman"/>
                <w:sz w:val="13"/>
                <w:szCs w:val="13"/>
              </w:rPr>
            </w:pPr>
            <w:r w:rsidRPr="004A4899">
              <w:rPr>
                <w:rFonts w:ascii="Times New Roman" w:hAnsi="Times New Roman" w:cs="Times New Roman"/>
                <w:sz w:val="13"/>
                <w:szCs w:val="13"/>
              </w:rPr>
              <w:t>88.73</w:t>
            </w:r>
          </w:p>
        </w:tc>
        <w:tc>
          <w:tcPr>
            <w:tcW w:w="273" w:type="dxa"/>
            <w:noWrap/>
            <w:vAlign w:val="center"/>
            <w:hideMark/>
          </w:tcPr>
          <w:p w14:paraId="5185B4CC" w14:textId="77777777" w:rsidR="00126D8D" w:rsidRPr="004A4899" w:rsidRDefault="00126D8D" w:rsidP="00820288">
            <w:pPr>
              <w:spacing w:line="240" w:lineRule="auto"/>
              <w:rPr>
                <w:rFonts w:ascii="Times New Roman" w:hAnsi="Times New Roman" w:cs="Times New Roman"/>
                <w:sz w:val="13"/>
                <w:szCs w:val="13"/>
              </w:rPr>
            </w:pPr>
            <w:r w:rsidRPr="004A4899">
              <w:rPr>
                <w:rFonts w:ascii="Times New Roman" w:hAnsi="Times New Roman" w:cs="Times New Roman"/>
                <w:sz w:val="13"/>
                <w:szCs w:val="13"/>
              </w:rPr>
              <w:t>ab</w:t>
            </w:r>
          </w:p>
        </w:tc>
        <w:tc>
          <w:tcPr>
            <w:tcW w:w="377" w:type="dxa"/>
            <w:noWrap/>
            <w:vAlign w:val="center"/>
            <w:hideMark/>
          </w:tcPr>
          <w:p w14:paraId="1175C529" w14:textId="77777777" w:rsidR="00126D8D" w:rsidRPr="004A4899" w:rsidRDefault="00126D8D" w:rsidP="00820288">
            <w:pPr>
              <w:spacing w:line="240" w:lineRule="auto"/>
              <w:jc w:val="right"/>
              <w:rPr>
                <w:rFonts w:ascii="Times New Roman" w:hAnsi="Times New Roman" w:cs="Times New Roman"/>
                <w:sz w:val="13"/>
                <w:szCs w:val="13"/>
              </w:rPr>
            </w:pPr>
            <w:r w:rsidRPr="004A4899">
              <w:rPr>
                <w:rFonts w:ascii="Times New Roman" w:hAnsi="Times New Roman" w:cs="Times New Roman"/>
                <w:sz w:val="13"/>
                <w:szCs w:val="13"/>
              </w:rPr>
              <w:t>112.47</w:t>
            </w:r>
          </w:p>
        </w:tc>
        <w:tc>
          <w:tcPr>
            <w:tcW w:w="273" w:type="dxa"/>
            <w:noWrap/>
            <w:vAlign w:val="center"/>
            <w:hideMark/>
          </w:tcPr>
          <w:p w14:paraId="6E198192" w14:textId="77777777" w:rsidR="00126D8D" w:rsidRPr="004A4899" w:rsidRDefault="00126D8D" w:rsidP="00820288">
            <w:pPr>
              <w:spacing w:line="240" w:lineRule="auto"/>
              <w:rPr>
                <w:rFonts w:ascii="Times New Roman" w:hAnsi="Times New Roman" w:cs="Times New Roman"/>
                <w:sz w:val="13"/>
                <w:szCs w:val="13"/>
              </w:rPr>
            </w:pPr>
            <w:r w:rsidRPr="004A4899">
              <w:rPr>
                <w:rFonts w:ascii="Times New Roman" w:hAnsi="Times New Roman" w:cs="Times New Roman"/>
                <w:sz w:val="13"/>
                <w:szCs w:val="13"/>
              </w:rPr>
              <w:t>a</w:t>
            </w:r>
          </w:p>
        </w:tc>
        <w:tc>
          <w:tcPr>
            <w:tcW w:w="377" w:type="dxa"/>
            <w:noWrap/>
            <w:vAlign w:val="center"/>
            <w:hideMark/>
          </w:tcPr>
          <w:p w14:paraId="638CA969" w14:textId="77777777" w:rsidR="00126D8D" w:rsidRPr="004A4899" w:rsidRDefault="00126D8D" w:rsidP="00820288">
            <w:pPr>
              <w:spacing w:line="240" w:lineRule="auto"/>
              <w:jc w:val="right"/>
              <w:rPr>
                <w:rFonts w:ascii="Times New Roman" w:hAnsi="Times New Roman" w:cs="Times New Roman"/>
                <w:sz w:val="13"/>
                <w:szCs w:val="13"/>
              </w:rPr>
            </w:pPr>
            <w:r w:rsidRPr="004A4899">
              <w:rPr>
                <w:rFonts w:ascii="Times New Roman" w:hAnsi="Times New Roman" w:cs="Times New Roman"/>
                <w:sz w:val="13"/>
                <w:szCs w:val="13"/>
              </w:rPr>
              <w:t>93.37</w:t>
            </w:r>
          </w:p>
        </w:tc>
        <w:tc>
          <w:tcPr>
            <w:tcW w:w="326" w:type="dxa"/>
            <w:noWrap/>
            <w:vAlign w:val="center"/>
            <w:hideMark/>
          </w:tcPr>
          <w:p w14:paraId="264C063A" w14:textId="77777777" w:rsidR="00126D8D" w:rsidRPr="004A4899" w:rsidRDefault="00126D8D" w:rsidP="00820288">
            <w:pPr>
              <w:spacing w:line="240" w:lineRule="auto"/>
              <w:rPr>
                <w:rFonts w:ascii="Times New Roman" w:hAnsi="Times New Roman" w:cs="Times New Roman"/>
                <w:sz w:val="13"/>
                <w:szCs w:val="13"/>
              </w:rPr>
            </w:pPr>
            <w:r w:rsidRPr="004A4899">
              <w:rPr>
                <w:rFonts w:ascii="Times New Roman" w:hAnsi="Times New Roman" w:cs="Times New Roman"/>
                <w:sz w:val="13"/>
                <w:szCs w:val="13"/>
              </w:rPr>
              <w:t>ab</w:t>
            </w:r>
          </w:p>
        </w:tc>
        <w:tc>
          <w:tcPr>
            <w:tcW w:w="377" w:type="dxa"/>
            <w:noWrap/>
            <w:vAlign w:val="center"/>
            <w:hideMark/>
          </w:tcPr>
          <w:p w14:paraId="4D9793D2" w14:textId="77777777" w:rsidR="00126D8D" w:rsidRPr="004A4899" w:rsidRDefault="00126D8D" w:rsidP="00820288">
            <w:pPr>
              <w:spacing w:line="240" w:lineRule="auto"/>
              <w:jc w:val="right"/>
              <w:rPr>
                <w:rFonts w:ascii="Times New Roman" w:hAnsi="Times New Roman" w:cs="Times New Roman"/>
                <w:sz w:val="13"/>
                <w:szCs w:val="13"/>
              </w:rPr>
            </w:pPr>
            <w:r w:rsidRPr="004A4899">
              <w:rPr>
                <w:rFonts w:ascii="Times New Roman" w:hAnsi="Times New Roman" w:cs="Times New Roman"/>
                <w:sz w:val="13"/>
                <w:szCs w:val="13"/>
              </w:rPr>
              <w:t>59.82</w:t>
            </w:r>
          </w:p>
        </w:tc>
        <w:tc>
          <w:tcPr>
            <w:tcW w:w="326" w:type="dxa"/>
            <w:noWrap/>
            <w:vAlign w:val="center"/>
            <w:hideMark/>
          </w:tcPr>
          <w:p w14:paraId="4B0EB455" w14:textId="77777777" w:rsidR="00126D8D" w:rsidRPr="004A4899" w:rsidRDefault="00126D8D" w:rsidP="00820288">
            <w:pPr>
              <w:spacing w:line="240" w:lineRule="auto"/>
              <w:rPr>
                <w:rFonts w:ascii="Times New Roman" w:hAnsi="Times New Roman" w:cs="Times New Roman"/>
                <w:sz w:val="13"/>
                <w:szCs w:val="13"/>
              </w:rPr>
            </w:pPr>
            <w:r w:rsidRPr="004A4899">
              <w:rPr>
                <w:rFonts w:ascii="Times New Roman" w:hAnsi="Times New Roman" w:cs="Times New Roman"/>
                <w:sz w:val="13"/>
                <w:szCs w:val="13"/>
              </w:rPr>
              <w:t>abc</w:t>
            </w:r>
          </w:p>
        </w:tc>
        <w:tc>
          <w:tcPr>
            <w:tcW w:w="377" w:type="dxa"/>
            <w:noWrap/>
            <w:vAlign w:val="center"/>
            <w:hideMark/>
          </w:tcPr>
          <w:p w14:paraId="0E2900F1" w14:textId="77777777" w:rsidR="00126D8D" w:rsidRPr="004A4899" w:rsidRDefault="00126D8D" w:rsidP="00820288">
            <w:pPr>
              <w:spacing w:line="240" w:lineRule="auto"/>
              <w:jc w:val="right"/>
              <w:rPr>
                <w:rFonts w:ascii="Times New Roman" w:hAnsi="Times New Roman" w:cs="Times New Roman"/>
                <w:sz w:val="13"/>
                <w:szCs w:val="13"/>
              </w:rPr>
            </w:pPr>
            <w:r w:rsidRPr="004A4899">
              <w:rPr>
                <w:rFonts w:ascii="Times New Roman" w:hAnsi="Times New Roman" w:cs="Times New Roman"/>
                <w:sz w:val="13"/>
                <w:szCs w:val="13"/>
              </w:rPr>
              <w:t>88.37</w:t>
            </w:r>
          </w:p>
        </w:tc>
        <w:tc>
          <w:tcPr>
            <w:tcW w:w="219" w:type="dxa"/>
            <w:noWrap/>
            <w:vAlign w:val="center"/>
            <w:hideMark/>
          </w:tcPr>
          <w:p w14:paraId="5615CBC8" w14:textId="77777777" w:rsidR="00126D8D" w:rsidRPr="004A4899" w:rsidRDefault="00126D8D" w:rsidP="00820288">
            <w:pPr>
              <w:spacing w:line="240" w:lineRule="auto"/>
              <w:rPr>
                <w:rFonts w:ascii="Times New Roman" w:hAnsi="Times New Roman" w:cs="Times New Roman"/>
                <w:sz w:val="13"/>
                <w:szCs w:val="13"/>
              </w:rPr>
            </w:pPr>
            <w:r w:rsidRPr="004A4899">
              <w:rPr>
                <w:rFonts w:ascii="Times New Roman" w:hAnsi="Times New Roman" w:cs="Times New Roman"/>
                <w:sz w:val="13"/>
                <w:szCs w:val="13"/>
              </w:rPr>
              <w:t>ab</w:t>
            </w:r>
          </w:p>
        </w:tc>
        <w:tc>
          <w:tcPr>
            <w:tcW w:w="377" w:type="dxa"/>
            <w:noWrap/>
            <w:vAlign w:val="center"/>
            <w:hideMark/>
          </w:tcPr>
          <w:p w14:paraId="1D379445" w14:textId="77777777" w:rsidR="00126D8D" w:rsidRPr="004A4899" w:rsidRDefault="00126D8D" w:rsidP="00820288">
            <w:pPr>
              <w:spacing w:line="240" w:lineRule="auto"/>
              <w:jc w:val="right"/>
              <w:rPr>
                <w:rFonts w:ascii="Times New Roman" w:hAnsi="Times New Roman" w:cs="Times New Roman"/>
                <w:sz w:val="13"/>
                <w:szCs w:val="13"/>
              </w:rPr>
            </w:pPr>
            <w:r w:rsidRPr="004A4899">
              <w:rPr>
                <w:rFonts w:ascii="Times New Roman" w:hAnsi="Times New Roman" w:cs="Times New Roman"/>
                <w:sz w:val="13"/>
                <w:szCs w:val="13"/>
              </w:rPr>
              <w:t>86.28</w:t>
            </w:r>
          </w:p>
        </w:tc>
        <w:tc>
          <w:tcPr>
            <w:tcW w:w="159" w:type="dxa"/>
            <w:noWrap/>
            <w:vAlign w:val="center"/>
            <w:hideMark/>
          </w:tcPr>
          <w:p w14:paraId="783FE205" w14:textId="77777777" w:rsidR="00126D8D" w:rsidRPr="004A4899" w:rsidRDefault="00126D8D" w:rsidP="00820288">
            <w:pPr>
              <w:spacing w:line="240" w:lineRule="auto"/>
              <w:rPr>
                <w:rFonts w:ascii="Times New Roman" w:hAnsi="Times New Roman" w:cs="Times New Roman"/>
                <w:sz w:val="13"/>
                <w:szCs w:val="13"/>
              </w:rPr>
            </w:pPr>
            <w:r w:rsidRPr="004A4899">
              <w:rPr>
                <w:rFonts w:ascii="Times New Roman" w:hAnsi="Times New Roman" w:cs="Times New Roman"/>
                <w:sz w:val="13"/>
                <w:szCs w:val="13"/>
              </w:rPr>
              <w:t>ab</w:t>
            </w:r>
          </w:p>
        </w:tc>
        <w:tc>
          <w:tcPr>
            <w:tcW w:w="377" w:type="dxa"/>
            <w:noWrap/>
            <w:vAlign w:val="center"/>
            <w:hideMark/>
          </w:tcPr>
          <w:p w14:paraId="45CEDA8B" w14:textId="77777777" w:rsidR="00126D8D" w:rsidRPr="004A4899" w:rsidRDefault="00126D8D" w:rsidP="00820288">
            <w:pPr>
              <w:spacing w:line="240" w:lineRule="auto"/>
              <w:jc w:val="right"/>
              <w:rPr>
                <w:rFonts w:ascii="Times New Roman" w:hAnsi="Times New Roman" w:cs="Times New Roman"/>
                <w:sz w:val="13"/>
                <w:szCs w:val="13"/>
              </w:rPr>
            </w:pPr>
            <w:r w:rsidRPr="004A4899">
              <w:rPr>
                <w:rFonts w:ascii="Times New Roman" w:hAnsi="Times New Roman" w:cs="Times New Roman"/>
                <w:sz w:val="13"/>
                <w:szCs w:val="13"/>
              </w:rPr>
              <w:t>70.26</w:t>
            </w:r>
          </w:p>
        </w:tc>
        <w:tc>
          <w:tcPr>
            <w:tcW w:w="326" w:type="dxa"/>
            <w:noWrap/>
            <w:vAlign w:val="center"/>
            <w:hideMark/>
          </w:tcPr>
          <w:p w14:paraId="2BA2E2BC" w14:textId="77777777" w:rsidR="00126D8D" w:rsidRPr="004A4899" w:rsidRDefault="00126D8D" w:rsidP="00820288">
            <w:pPr>
              <w:spacing w:line="240" w:lineRule="auto"/>
              <w:rPr>
                <w:rFonts w:ascii="Times New Roman" w:hAnsi="Times New Roman" w:cs="Times New Roman"/>
                <w:sz w:val="13"/>
                <w:szCs w:val="13"/>
              </w:rPr>
            </w:pPr>
            <w:r w:rsidRPr="004A4899">
              <w:rPr>
                <w:rFonts w:ascii="Times New Roman" w:hAnsi="Times New Roman" w:cs="Times New Roman"/>
                <w:sz w:val="13"/>
                <w:szCs w:val="13"/>
              </w:rPr>
              <w:t>abc</w:t>
            </w:r>
          </w:p>
        </w:tc>
        <w:tc>
          <w:tcPr>
            <w:tcW w:w="377" w:type="dxa"/>
            <w:noWrap/>
            <w:vAlign w:val="center"/>
            <w:hideMark/>
          </w:tcPr>
          <w:p w14:paraId="22E110C7" w14:textId="77777777" w:rsidR="00126D8D" w:rsidRPr="004A4899" w:rsidRDefault="00126D8D" w:rsidP="00820288">
            <w:pPr>
              <w:spacing w:line="240" w:lineRule="auto"/>
              <w:jc w:val="right"/>
              <w:rPr>
                <w:rFonts w:ascii="Times New Roman" w:hAnsi="Times New Roman" w:cs="Times New Roman"/>
                <w:sz w:val="13"/>
                <w:szCs w:val="13"/>
              </w:rPr>
            </w:pPr>
            <w:r w:rsidRPr="004A4899">
              <w:rPr>
                <w:rFonts w:ascii="Times New Roman" w:hAnsi="Times New Roman" w:cs="Times New Roman"/>
                <w:sz w:val="13"/>
                <w:szCs w:val="13"/>
              </w:rPr>
              <w:t>65.26</w:t>
            </w:r>
          </w:p>
        </w:tc>
        <w:tc>
          <w:tcPr>
            <w:tcW w:w="252" w:type="dxa"/>
            <w:noWrap/>
            <w:vAlign w:val="center"/>
            <w:hideMark/>
          </w:tcPr>
          <w:p w14:paraId="2F4D6AE6" w14:textId="77777777" w:rsidR="00126D8D" w:rsidRPr="004A4899" w:rsidRDefault="00126D8D" w:rsidP="00820288">
            <w:pPr>
              <w:spacing w:line="240" w:lineRule="auto"/>
              <w:rPr>
                <w:rFonts w:ascii="Times New Roman" w:hAnsi="Times New Roman" w:cs="Times New Roman"/>
                <w:sz w:val="13"/>
                <w:szCs w:val="13"/>
              </w:rPr>
            </w:pPr>
            <w:r w:rsidRPr="004A4899">
              <w:rPr>
                <w:rFonts w:ascii="Times New Roman" w:hAnsi="Times New Roman" w:cs="Times New Roman"/>
                <w:sz w:val="13"/>
                <w:szCs w:val="13"/>
              </w:rPr>
              <w:t>abc</w:t>
            </w:r>
          </w:p>
        </w:tc>
        <w:tc>
          <w:tcPr>
            <w:tcW w:w="377" w:type="dxa"/>
            <w:noWrap/>
            <w:vAlign w:val="center"/>
            <w:hideMark/>
          </w:tcPr>
          <w:p w14:paraId="480AD3C5" w14:textId="77777777" w:rsidR="00126D8D" w:rsidRPr="004A4899" w:rsidRDefault="00126D8D" w:rsidP="00820288">
            <w:pPr>
              <w:spacing w:line="240" w:lineRule="auto"/>
              <w:jc w:val="right"/>
              <w:rPr>
                <w:rFonts w:ascii="Times New Roman" w:hAnsi="Times New Roman" w:cs="Times New Roman"/>
                <w:sz w:val="13"/>
                <w:szCs w:val="13"/>
              </w:rPr>
            </w:pPr>
            <w:r w:rsidRPr="004A4899">
              <w:rPr>
                <w:rFonts w:ascii="Times New Roman" w:hAnsi="Times New Roman" w:cs="Times New Roman"/>
                <w:sz w:val="13"/>
                <w:szCs w:val="13"/>
              </w:rPr>
              <w:t>45.70</w:t>
            </w:r>
          </w:p>
        </w:tc>
        <w:tc>
          <w:tcPr>
            <w:tcW w:w="273" w:type="dxa"/>
            <w:noWrap/>
            <w:vAlign w:val="center"/>
            <w:hideMark/>
          </w:tcPr>
          <w:p w14:paraId="626AFAB7" w14:textId="77777777" w:rsidR="00126D8D" w:rsidRPr="004A4899" w:rsidRDefault="00126D8D" w:rsidP="00820288">
            <w:pPr>
              <w:spacing w:line="240" w:lineRule="auto"/>
              <w:rPr>
                <w:rFonts w:ascii="Times New Roman" w:hAnsi="Times New Roman" w:cs="Times New Roman"/>
                <w:sz w:val="13"/>
                <w:szCs w:val="13"/>
              </w:rPr>
            </w:pPr>
            <w:r w:rsidRPr="004A4899">
              <w:rPr>
                <w:rFonts w:ascii="Times New Roman" w:hAnsi="Times New Roman" w:cs="Times New Roman"/>
                <w:sz w:val="13"/>
                <w:szCs w:val="13"/>
              </w:rPr>
              <w:t>bc</w:t>
            </w:r>
          </w:p>
        </w:tc>
        <w:tc>
          <w:tcPr>
            <w:tcW w:w="377" w:type="dxa"/>
            <w:noWrap/>
            <w:vAlign w:val="center"/>
            <w:hideMark/>
          </w:tcPr>
          <w:p w14:paraId="3D2129A1" w14:textId="77777777" w:rsidR="00126D8D" w:rsidRPr="004A4899" w:rsidRDefault="00126D8D" w:rsidP="00820288">
            <w:pPr>
              <w:spacing w:line="240" w:lineRule="auto"/>
              <w:jc w:val="right"/>
              <w:rPr>
                <w:rFonts w:ascii="Times New Roman" w:hAnsi="Times New Roman" w:cs="Times New Roman"/>
                <w:sz w:val="13"/>
                <w:szCs w:val="13"/>
              </w:rPr>
            </w:pPr>
            <w:r w:rsidRPr="004A4899">
              <w:rPr>
                <w:rFonts w:ascii="Times New Roman" w:hAnsi="Times New Roman" w:cs="Times New Roman"/>
                <w:sz w:val="13"/>
                <w:szCs w:val="13"/>
              </w:rPr>
              <w:t>32.68</w:t>
            </w:r>
          </w:p>
        </w:tc>
        <w:tc>
          <w:tcPr>
            <w:tcW w:w="273" w:type="dxa"/>
            <w:noWrap/>
            <w:vAlign w:val="center"/>
            <w:hideMark/>
          </w:tcPr>
          <w:p w14:paraId="3C46D596" w14:textId="77777777" w:rsidR="00126D8D" w:rsidRPr="004A4899" w:rsidRDefault="00126D8D" w:rsidP="00820288">
            <w:pPr>
              <w:spacing w:line="240" w:lineRule="auto"/>
              <w:rPr>
                <w:rFonts w:ascii="Times New Roman" w:hAnsi="Times New Roman" w:cs="Times New Roman"/>
                <w:sz w:val="13"/>
                <w:szCs w:val="13"/>
              </w:rPr>
            </w:pPr>
            <w:r w:rsidRPr="004A4899">
              <w:rPr>
                <w:rFonts w:ascii="Times New Roman" w:hAnsi="Times New Roman" w:cs="Times New Roman"/>
                <w:sz w:val="13"/>
                <w:szCs w:val="13"/>
              </w:rPr>
              <w:t>c</w:t>
            </w:r>
          </w:p>
        </w:tc>
      </w:tr>
      <w:tr w:rsidR="00126D8D" w:rsidRPr="004A4899" w14:paraId="4F2B1715" w14:textId="77777777" w:rsidTr="00820288">
        <w:trPr>
          <w:trHeight w:val="173"/>
        </w:trPr>
        <w:tc>
          <w:tcPr>
            <w:tcW w:w="1440" w:type="dxa"/>
            <w:noWrap/>
            <w:vAlign w:val="center"/>
            <w:hideMark/>
          </w:tcPr>
          <w:p w14:paraId="4045240B" w14:textId="77777777" w:rsidR="00126D8D" w:rsidRPr="004A4899" w:rsidRDefault="00126D8D" w:rsidP="00820288">
            <w:pPr>
              <w:spacing w:line="240" w:lineRule="auto"/>
              <w:rPr>
                <w:rFonts w:ascii="Times New Roman" w:hAnsi="Times New Roman" w:cs="Times New Roman"/>
                <w:b/>
                <w:bCs/>
                <w:sz w:val="12"/>
                <w:szCs w:val="12"/>
              </w:rPr>
            </w:pPr>
            <w:r w:rsidRPr="004A4899">
              <w:rPr>
                <w:rFonts w:ascii="Times New Roman" w:hAnsi="Times New Roman" w:cs="Times New Roman"/>
                <w:b/>
                <w:bCs/>
                <w:sz w:val="12"/>
                <w:szCs w:val="12"/>
              </w:rPr>
              <w:t>Phenylpropanoids</w:t>
            </w:r>
          </w:p>
        </w:tc>
        <w:tc>
          <w:tcPr>
            <w:tcW w:w="377" w:type="dxa"/>
            <w:noWrap/>
            <w:vAlign w:val="center"/>
            <w:hideMark/>
          </w:tcPr>
          <w:p w14:paraId="37847DE2" w14:textId="77777777" w:rsidR="00126D8D" w:rsidRPr="004A4899" w:rsidRDefault="00126D8D" w:rsidP="00820288">
            <w:pPr>
              <w:spacing w:line="240" w:lineRule="auto"/>
              <w:jc w:val="right"/>
              <w:rPr>
                <w:rFonts w:ascii="Times New Roman" w:hAnsi="Times New Roman" w:cs="Times New Roman"/>
                <w:sz w:val="13"/>
                <w:szCs w:val="13"/>
              </w:rPr>
            </w:pPr>
          </w:p>
        </w:tc>
        <w:tc>
          <w:tcPr>
            <w:tcW w:w="274" w:type="dxa"/>
            <w:noWrap/>
            <w:vAlign w:val="center"/>
            <w:hideMark/>
          </w:tcPr>
          <w:p w14:paraId="70DE104E" w14:textId="77777777" w:rsidR="00126D8D" w:rsidRPr="004A4899" w:rsidRDefault="00126D8D" w:rsidP="00820288">
            <w:pPr>
              <w:spacing w:line="240" w:lineRule="auto"/>
              <w:rPr>
                <w:rFonts w:ascii="Times New Roman" w:hAnsi="Times New Roman" w:cs="Times New Roman"/>
                <w:sz w:val="13"/>
                <w:szCs w:val="13"/>
              </w:rPr>
            </w:pPr>
          </w:p>
        </w:tc>
        <w:tc>
          <w:tcPr>
            <w:tcW w:w="411" w:type="dxa"/>
            <w:noWrap/>
            <w:vAlign w:val="center"/>
            <w:hideMark/>
          </w:tcPr>
          <w:p w14:paraId="12246BF0" w14:textId="77777777" w:rsidR="00126D8D" w:rsidRPr="004A4899" w:rsidRDefault="00126D8D" w:rsidP="00820288">
            <w:pPr>
              <w:spacing w:line="240" w:lineRule="auto"/>
              <w:jc w:val="right"/>
              <w:rPr>
                <w:rFonts w:ascii="Times New Roman" w:hAnsi="Times New Roman" w:cs="Times New Roman"/>
                <w:sz w:val="13"/>
                <w:szCs w:val="13"/>
              </w:rPr>
            </w:pPr>
          </w:p>
        </w:tc>
        <w:tc>
          <w:tcPr>
            <w:tcW w:w="239" w:type="dxa"/>
            <w:noWrap/>
            <w:vAlign w:val="center"/>
            <w:hideMark/>
          </w:tcPr>
          <w:p w14:paraId="1A4D835F" w14:textId="77777777" w:rsidR="00126D8D" w:rsidRPr="004A4899" w:rsidRDefault="00126D8D" w:rsidP="00820288">
            <w:pPr>
              <w:spacing w:line="240" w:lineRule="auto"/>
              <w:rPr>
                <w:rFonts w:ascii="Times New Roman" w:hAnsi="Times New Roman" w:cs="Times New Roman"/>
                <w:sz w:val="13"/>
                <w:szCs w:val="13"/>
              </w:rPr>
            </w:pPr>
          </w:p>
        </w:tc>
        <w:tc>
          <w:tcPr>
            <w:tcW w:w="377" w:type="dxa"/>
            <w:noWrap/>
            <w:vAlign w:val="center"/>
            <w:hideMark/>
          </w:tcPr>
          <w:p w14:paraId="2AB59B4B" w14:textId="77777777" w:rsidR="00126D8D" w:rsidRPr="004A4899" w:rsidRDefault="00126D8D" w:rsidP="00820288">
            <w:pPr>
              <w:spacing w:line="240" w:lineRule="auto"/>
              <w:jc w:val="right"/>
              <w:rPr>
                <w:rFonts w:ascii="Times New Roman" w:hAnsi="Times New Roman" w:cs="Times New Roman"/>
                <w:sz w:val="13"/>
                <w:szCs w:val="13"/>
              </w:rPr>
            </w:pPr>
          </w:p>
        </w:tc>
        <w:tc>
          <w:tcPr>
            <w:tcW w:w="273" w:type="dxa"/>
            <w:noWrap/>
            <w:vAlign w:val="center"/>
            <w:hideMark/>
          </w:tcPr>
          <w:p w14:paraId="1413668A" w14:textId="77777777" w:rsidR="00126D8D" w:rsidRPr="004A4899" w:rsidRDefault="00126D8D" w:rsidP="00820288">
            <w:pPr>
              <w:spacing w:line="240" w:lineRule="auto"/>
              <w:rPr>
                <w:rFonts w:ascii="Times New Roman" w:hAnsi="Times New Roman" w:cs="Times New Roman"/>
                <w:sz w:val="13"/>
                <w:szCs w:val="13"/>
              </w:rPr>
            </w:pPr>
          </w:p>
        </w:tc>
        <w:tc>
          <w:tcPr>
            <w:tcW w:w="377" w:type="dxa"/>
            <w:noWrap/>
            <w:vAlign w:val="center"/>
            <w:hideMark/>
          </w:tcPr>
          <w:p w14:paraId="47516AE3" w14:textId="77777777" w:rsidR="00126D8D" w:rsidRPr="004A4899" w:rsidRDefault="00126D8D" w:rsidP="00820288">
            <w:pPr>
              <w:spacing w:line="240" w:lineRule="auto"/>
              <w:jc w:val="right"/>
              <w:rPr>
                <w:rFonts w:ascii="Times New Roman" w:hAnsi="Times New Roman" w:cs="Times New Roman"/>
                <w:sz w:val="13"/>
                <w:szCs w:val="13"/>
              </w:rPr>
            </w:pPr>
          </w:p>
        </w:tc>
        <w:tc>
          <w:tcPr>
            <w:tcW w:w="273" w:type="dxa"/>
            <w:noWrap/>
            <w:vAlign w:val="center"/>
            <w:hideMark/>
          </w:tcPr>
          <w:p w14:paraId="197E6D7E" w14:textId="77777777" w:rsidR="00126D8D" w:rsidRPr="004A4899" w:rsidRDefault="00126D8D" w:rsidP="00820288">
            <w:pPr>
              <w:spacing w:line="240" w:lineRule="auto"/>
              <w:rPr>
                <w:rFonts w:ascii="Times New Roman" w:hAnsi="Times New Roman" w:cs="Times New Roman"/>
                <w:sz w:val="13"/>
                <w:szCs w:val="13"/>
              </w:rPr>
            </w:pPr>
          </w:p>
        </w:tc>
        <w:tc>
          <w:tcPr>
            <w:tcW w:w="377" w:type="dxa"/>
            <w:noWrap/>
            <w:vAlign w:val="center"/>
            <w:hideMark/>
          </w:tcPr>
          <w:p w14:paraId="223B4B40" w14:textId="77777777" w:rsidR="00126D8D" w:rsidRPr="004A4899" w:rsidRDefault="00126D8D" w:rsidP="00820288">
            <w:pPr>
              <w:spacing w:line="240" w:lineRule="auto"/>
              <w:jc w:val="right"/>
              <w:rPr>
                <w:rFonts w:ascii="Times New Roman" w:hAnsi="Times New Roman" w:cs="Times New Roman"/>
                <w:sz w:val="13"/>
                <w:szCs w:val="13"/>
              </w:rPr>
            </w:pPr>
          </w:p>
        </w:tc>
        <w:tc>
          <w:tcPr>
            <w:tcW w:w="326" w:type="dxa"/>
            <w:noWrap/>
            <w:vAlign w:val="center"/>
            <w:hideMark/>
          </w:tcPr>
          <w:p w14:paraId="57C28CDF" w14:textId="77777777" w:rsidR="00126D8D" w:rsidRPr="004A4899" w:rsidRDefault="00126D8D" w:rsidP="00820288">
            <w:pPr>
              <w:spacing w:line="240" w:lineRule="auto"/>
              <w:rPr>
                <w:rFonts w:ascii="Times New Roman" w:hAnsi="Times New Roman" w:cs="Times New Roman"/>
                <w:sz w:val="13"/>
                <w:szCs w:val="13"/>
              </w:rPr>
            </w:pPr>
          </w:p>
        </w:tc>
        <w:tc>
          <w:tcPr>
            <w:tcW w:w="377" w:type="dxa"/>
            <w:noWrap/>
            <w:vAlign w:val="center"/>
            <w:hideMark/>
          </w:tcPr>
          <w:p w14:paraId="5DA330CF" w14:textId="77777777" w:rsidR="00126D8D" w:rsidRPr="004A4899" w:rsidRDefault="00126D8D" w:rsidP="00820288">
            <w:pPr>
              <w:spacing w:line="240" w:lineRule="auto"/>
              <w:jc w:val="right"/>
              <w:rPr>
                <w:rFonts w:ascii="Times New Roman" w:hAnsi="Times New Roman" w:cs="Times New Roman"/>
                <w:sz w:val="13"/>
                <w:szCs w:val="13"/>
              </w:rPr>
            </w:pPr>
          </w:p>
        </w:tc>
        <w:tc>
          <w:tcPr>
            <w:tcW w:w="326" w:type="dxa"/>
            <w:noWrap/>
            <w:vAlign w:val="center"/>
            <w:hideMark/>
          </w:tcPr>
          <w:p w14:paraId="58946152" w14:textId="77777777" w:rsidR="00126D8D" w:rsidRPr="004A4899" w:rsidRDefault="00126D8D" w:rsidP="00820288">
            <w:pPr>
              <w:spacing w:line="240" w:lineRule="auto"/>
              <w:rPr>
                <w:rFonts w:ascii="Times New Roman" w:hAnsi="Times New Roman" w:cs="Times New Roman"/>
                <w:sz w:val="13"/>
                <w:szCs w:val="13"/>
              </w:rPr>
            </w:pPr>
          </w:p>
        </w:tc>
        <w:tc>
          <w:tcPr>
            <w:tcW w:w="377" w:type="dxa"/>
            <w:noWrap/>
            <w:vAlign w:val="center"/>
            <w:hideMark/>
          </w:tcPr>
          <w:p w14:paraId="4F6664C0" w14:textId="77777777" w:rsidR="00126D8D" w:rsidRPr="004A4899" w:rsidRDefault="00126D8D" w:rsidP="00820288">
            <w:pPr>
              <w:spacing w:line="240" w:lineRule="auto"/>
              <w:jc w:val="right"/>
              <w:rPr>
                <w:rFonts w:ascii="Times New Roman" w:hAnsi="Times New Roman" w:cs="Times New Roman"/>
                <w:sz w:val="13"/>
                <w:szCs w:val="13"/>
              </w:rPr>
            </w:pPr>
          </w:p>
        </w:tc>
        <w:tc>
          <w:tcPr>
            <w:tcW w:w="219" w:type="dxa"/>
            <w:noWrap/>
            <w:vAlign w:val="center"/>
            <w:hideMark/>
          </w:tcPr>
          <w:p w14:paraId="2633EB0D" w14:textId="77777777" w:rsidR="00126D8D" w:rsidRPr="004A4899" w:rsidRDefault="00126D8D" w:rsidP="00820288">
            <w:pPr>
              <w:spacing w:line="240" w:lineRule="auto"/>
              <w:rPr>
                <w:rFonts w:ascii="Times New Roman" w:hAnsi="Times New Roman" w:cs="Times New Roman"/>
                <w:sz w:val="13"/>
                <w:szCs w:val="13"/>
              </w:rPr>
            </w:pPr>
          </w:p>
        </w:tc>
        <w:tc>
          <w:tcPr>
            <w:tcW w:w="377" w:type="dxa"/>
            <w:noWrap/>
            <w:vAlign w:val="center"/>
            <w:hideMark/>
          </w:tcPr>
          <w:p w14:paraId="30CD0846" w14:textId="77777777" w:rsidR="00126D8D" w:rsidRPr="004A4899" w:rsidRDefault="00126D8D" w:rsidP="00820288">
            <w:pPr>
              <w:spacing w:line="240" w:lineRule="auto"/>
              <w:jc w:val="right"/>
              <w:rPr>
                <w:rFonts w:ascii="Times New Roman" w:hAnsi="Times New Roman" w:cs="Times New Roman"/>
                <w:sz w:val="13"/>
                <w:szCs w:val="13"/>
              </w:rPr>
            </w:pPr>
          </w:p>
        </w:tc>
        <w:tc>
          <w:tcPr>
            <w:tcW w:w="159" w:type="dxa"/>
            <w:noWrap/>
            <w:vAlign w:val="center"/>
            <w:hideMark/>
          </w:tcPr>
          <w:p w14:paraId="44C321E6" w14:textId="77777777" w:rsidR="00126D8D" w:rsidRPr="004A4899" w:rsidRDefault="00126D8D" w:rsidP="00820288">
            <w:pPr>
              <w:spacing w:line="240" w:lineRule="auto"/>
              <w:rPr>
                <w:rFonts w:ascii="Times New Roman" w:hAnsi="Times New Roman" w:cs="Times New Roman"/>
                <w:sz w:val="13"/>
                <w:szCs w:val="13"/>
              </w:rPr>
            </w:pPr>
          </w:p>
        </w:tc>
        <w:tc>
          <w:tcPr>
            <w:tcW w:w="377" w:type="dxa"/>
            <w:noWrap/>
            <w:vAlign w:val="center"/>
            <w:hideMark/>
          </w:tcPr>
          <w:p w14:paraId="0CF83E70" w14:textId="77777777" w:rsidR="00126D8D" w:rsidRPr="004A4899" w:rsidRDefault="00126D8D" w:rsidP="00820288">
            <w:pPr>
              <w:spacing w:line="240" w:lineRule="auto"/>
              <w:jc w:val="right"/>
              <w:rPr>
                <w:rFonts w:ascii="Times New Roman" w:hAnsi="Times New Roman" w:cs="Times New Roman"/>
                <w:sz w:val="13"/>
                <w:szCs w:val="13"/>
              </w:rPr>
            </w:pPr>
          </w:p>
        </w:tc>
        <w:tc>
          <w:tcPr>
            <w:tcW w:w="326" w:type="dxa"/>
            <w:noWrap/>
            <w:vAlign w:val="center"/>
            <w:hideMark/>
          </w:tcPr>
          <w:p w14:paraId="2A8005E9" w14:textId="77777777" w:rsidR="00126D8D" w:rsidRPr="004A4899" w:rsidRDefault="00126D8D" w:rsidP="00820288">
            <w:pPr>
              <w:spacing w:line="240" w:lineRule="auto"/>
              <w:rPr>
                <w:rFonts w:ascii="Times New Roman" w:hAnsi="Times New Roman" w:cs="Times New Roman"/>
                <w:sz w:val="13"/>
                <w:szCs w:val="13"/>
              </w:rPr>
            </w:pPr>
          </w:p>
        </w:tc>
        <w:tc>
          <w:tcPr>
            <w:tcW w:w="377" w:type="dxa"/>
            <w:noWrap/>
            <w:vAlign w:val="center"/>
            <w:hideMark/>
          </w:tcPr>
          <w:p w14:paraId="0C6F9078" w14:textId="77777777" w:rsidR="00126D8D" w:rsidRPr="004A4899" w:rsidRDefault="00126D8D" w:rsidP="00820288">
            <w:pPr>
              <w:spacing w:line="240" w:lineRule="auto"/>
              <w:jc w:val="right"/>
              <w:rPr>
                <w:rFonts w:ascii="Times New Roman" w:hAnsi="Times New Roman" w:cs="Times New Roman"/>
                <w:sz w:val="13"/>
                <w:szCs w:val="13"/>
              </w:rPr>
            </w:pPr>
          </w:p>
        </w:tc>
        <w:tc>
          <w:tcPr>
            <w:tcW w:w="252" w:type="dxa"/>
            <w:noWrap/>
            <w:vAlign w:val="center"/>
            <w:hideMark/>
          </w:tcPr>
          <w:p w14:paraId="2F05F063" w14:textId="77777777" w:rsidR="00126D8D" w:rsidRPr="004A4899" w:rsidRDefault="00126D8D" w:rsidP="00820288">
            <w:pPr>
              <w:spacing w:line="240" w:lineRule="auto"/>
              <w:rPr>
                <w:rFonts w:ascii="Times New Roman" w:hAnsi="Times New Roman" w:cs="Times New Roman"/>
                <w:sz w:val="13"/>
                <w:szCs w:val="13"/>
              </w:rPr>
            </w:pPr>
          </w:p>
        </w:tc>
        <w:tc>
          <w:tcPr>
            <w:tcW w:w="377" w:type="dxa"/>
            <w:noWrap/>
            <w:vAlign w:val="center"/>
            <w:hideMark/>
          </w:tcPr>
          <w:p w14:paraId="11E3C090" w14:textId="77777777" w:rsidR="00126D8D" w:rsidRPr="004A4899" w:rsidRDefault="00126D8D" w:rsidP="00820288">
            <w:pPr>
              <w:spacing w:line="240" w:lineRule="auto"/>
              <w:jc w:val="right"/>
              <w:rPr>
                <w:rFonts w:ascii="Times New Roman" w:hAnsi="Times New Roman" w:cs="Times New Roman"/>
                <w:sz w:val="13"/>
                <w:szCs w:val="13"/>
              </w:rPr>
            </w:pPr>
          </w:p>
        </w:tc>
        <w:tc>
          <w:tcPr>
            <w:tcW w:w="273" w:type="dxa"/>
            <w:noWrap/>
            <w:vAlign w:val="center"/>
            <w:hideMark/>
          </w:tcPr>
          <w:p w14:paraId="695F096F" w14:textId="77777777" w:rsidR="00126D8D" w:rsidRPr="004A4899" w:rsidRDefault="00126D8D" w:rsidP="00820288">
            <w:pPr>
              <w:spacing w:line="240" w:lineRule="auto"/>
              <w:rPr>
                <w:rFonts w:ascii="Times New Roman" w:hAnsi="Times New Roman" w:cs="Times New Roman"/>
                <w:sz w:val="13"/>
                <w:szCs w:val="13"/>
              </w:rPr>
            </w:pPr>
          </w:p>
        </w:tc>
        <w:tc>
          <w:tcPr>
            <w:tcW w:w="377" w:type="dxa"/>
            <w:noWrap/>
            <w:vAlign w:val="center"/>
            <w:hideMark/>
          </w:tcPr>
          <w:p w14:paraId="7DF9DF35" w14:textId="77777777" w:rsidR="00126D8D" w:rsidRPr="004A4899" w:rsidRDefault="00126D8D" w:rsidP="00820288">
            <w:pPr>
              <w:spacing w:line="240" w:lineRule="auto"/>
              <w:jc w:val="right"/>
              <w:rPr>
                <w:rFonts w:ascii="Times New Roman" w:hAnsi="Times New Roman" w:cs="Times New Roman"/>
                <w:sz w:val="13"/>
                <w:szCs w:val="13"/>
              </w:rPr>
            </w:pPr>
          </w:p>
        </w:tc>
        <w:tc>
          <w:tcPr>
            <w:tcW w:w="273" w:type="dxa"/>
            <w:noWrap/>
            <w:vAlign w:val="center"/>
            <w:hideMark/>
          </w:tcPr>
          <w:p w14:paraId="75F4E611" w14:textId="77777777" w:rsidR="00126D8D" w:rsidRPr="004A4899" w:rsidRDefault="00126D8D" w:rsidP="00820288">
            <w:pPr>
              <w:spacing w:line="240" w:lineRule="auto"/>
              <w:rPr>
                <w:rFonts w:ascii="Times New Roman" w:hAnsi="Times New Roman" w:cs="Times New Roman"/>
                <w:sz w:val="13"/>
                <w:szCs w:val="13"/>
              </w:rPr>
            </w:pPr>
          </w:p>
        </w:tc>
      </w:tr>
      <w:tr w:rsidR="00126D8D" w:rsidRPr="004A4899" w14:paraId="5C0D7E3E" w14:textId="77777777" w:rsidTr="00820288">
        <w:trPr>
          <w:trHeight w:val="173"/>
        </w:trPr>
        <w:tc>
          <w:tcPr>
            <w:tcW w:w="1440" w:type="dxa"/>
            <w:noWrap/>
            <w:vAlign w:val="center"/>
            <w:hideMark/>
          </w:tcPr>
          <w:p w14:paraId="432152AD" w14:textId="77777777" w:rsidR="00126D8D" w:rsidRPr="004A4899" w:rsidRDefault="00126D8D" w:rsidP="00820288">
            <w:pPr>
              <w:spacing w:line="240" w:lineRule="auto"/>
              <w:rPr>
                <w:rFonts w:ascii="Times New Roman" w:hAnsi="Times New Roman" w:cs="Times New Roman"/>
                <w:sz w:val="12"/>
                <w:szCs w:val="12"/>
              </w:rPr>
            </w:pPr>
            <w:r w:rsidRPr="004A4899">
              <w:rPr>
                <w:rFonts w:ascii="Times New Roman" w:hAnsi="Times New Roman" w:cs="Times New Roman"/>
                <w:sz w:val="12"/>
                <w:szCs w:val="12"/>
              </w:rPr>
              <w:t>Eugenol</w:t>
            </w:r>
          </w:p>
        </w:tc>
        <w:tc>
          <w:tcPr>
            <w:tcW w:w="377" w:type="dxa"/>
            <w:noWrap/>
            <w:vAlign w:val="center"/>
            <w:hideMark/>
          </w:tcPr>
          <w:p w14:paraId="706D8CB6" w14:textId="77777777" w:rsidR="00126D8D" w:rsidRPr="004A4899" w:rsidRDefault="00126D8D" w:rsidP="00820288">
            <w:pPr>
              <w:spacing w:line="240" w:lineRule="auto"/>
              <w:jc w:val="right"/>
              <w:rPr>
                <w:rFonts w:ascii="Times New Roman" w:hAnsi="Times New Roman" w:cs="Times New Roman"/>
                <w:sz w:val="13"/>
                <w:szCs w:val="13"/>
              </w:rPr>
            </w:pPr>
            <w:r w:rsidRPr="004A4899">
              <w:rPr>
                <w:rFonts w:ascii="Times New Roman" w:hAnsi="Times New Roman" w:cs="Times New Roman"/>
                <w:sz w:val="13"/>
                <w:szCs w:val="13"/>
              </w:rPr>
              <w:t>146.53</w:t>
            </w:r>
          </w:p>
        </w:tc>
        <w:tc>
          <w:tcPr>
            <w:tcW w:w="274" w:type="dxa"/>
            <w:noWrap/>
            <w:vAlign w:val="center"/>
            <w:hideMark/>
          </w:tcPr>
          <w:p w14:paraId="35BC2877" w14:textId="77777777" w:rsidR="00126D8D" w:rsidRPr="004A4899" w:rsidRDefault="00126D8D" w:rsidP="00820288">
            <w:pPr>
              <w:spacing w:line="240" w:lineRule="auto"/>
              <w:rPr>
                <w:rFonts w:ascii="Times New Roman" w:hAnsi="Times New Roman" w:cs="Times New Roman"/>
                <w:sz w:val="13"/>
                <w:szCs w:val="13"/>
              </w:rPr>
            </w:pPr>
            <w:r w:rsidRPr="004A4899">
              <w:rPr>
                <w:rFonts w:ascii="Times New Roman" w:hAnsi="Times New Roman" w:cs="Times New Roman"/>
                <w:sz w:val="13"/>
                <w:szCs w:val="13"/>
              </w:rPr>
              <w:t>bcd</w:t>
            </w:r>
          </w:p>
        </w:tc>
        <w:tc>
          <w:tcPr>
            <w:tcW w:w="411" w:type="dxa"/>
            <w:noWrap/>
            <w:vAlign w:val="center"/>
            <w:hideMark/>
          </w:tcPr>
          <w:p w14:paraId="0E692AEF" w14:textId="77777777" w:rsidR="00126D8D" w:rsidRPr="004A4899" w:rsidRDefault="00126D8D" w:rsidP="00820288">
            <w:pPr>
              <w:spacing w:line="240" w:lineRule="auto"/>
              <w:jc w:val="right"/>
              <w:rPr>
                <w:rFonts w:ascii="Times New Roman" w:hAnsi="Times New Roman" w:cs="Times New Roman"/>
                <w:sz w:val="13"/>
                <w:szCs w:val="13"/>
              </w:rPr>
            </w:pPr>
            <w:r w:rsidRPr="004A4899">
              <w:rPr>
                <w:rFonts w:ascii="Times New Roman" w:hAnsi="Times New Roman" w:cs="Times New Roman"/>
                <w:sz w:val="13"/>
                <w:szCs w:val="13"/>
              </w:rPr>
              <w:t>178.05</w:t>
            </w:r>
          </w:p>
        </w:tc>
        <w:tc>
          <w:tcPr>
            <w:tcW w:w="239" w:type="dxa"/>
            <w:noWrap/>
            <w:vAlign w:val="center"/>
            <w:hideMark/>
          </w:tcPr>
          <w:p w14:paraId="73A0D429" w14:textId="77777777" w:rsidR="00126D8D" w:rsidRPr="004A4899" w:rsidRDefault="00126D8D" w:rsidP="00820288">
            <w:pPr>
              <w:spacing w:line="240" w:lineRule="auto"/>
              <w:rPr>
                <w:rFonts w:ascii="Times New Roman" w:hAnsi="Times New Roman" w:cs="Times New Roman"/>
                <w:sz w:val="13"/>
                <w:szCs w:val="13"/>
              </w:rPr>
            </w:pPr>
            <w:r w:rsidRPr="004A4899">
              <w:rPr>
                <w:rFonts w:ascii="Times New Roman" w:hAnsi="Times New Roman" w:cs="Times New Roman"/>
                <w:sz w:val="13"/>
                <w:szCs w:val="13"/>
              </w:rPr>
              <w:t>bc</w:t>
            </w:r>
          </w:p>
        </w:tc>
        <w:tc>
          <w:tcPr>
            <w:tcW w:w="377" w:type="dxa"/>
            <w:noWrap/>
            <w:vAlign w:val="center"/>
            <w:hideMark/>
          </w:tcPr>
          <w:p w14:paraId="7BF811B7" w14:textId="77777777" w:rsidR="00126D8D" w:rsidRPr="004A4899" w:rsidRDefault="00126D8D" w:rsidP="00820288">
            <w:pPr>
              <w:spacing w:line="240" w:lineRule="auto"/>
              <w:jc w:val="right"/>
              <w:rPr>
                <w:rFonts w:ascii="Times New Roman" w:hAnsi="Times New Roman" w:cs="Times New Roman"/>
                <w:sz w:val="13"/>
                <w:szCs w:val="13"/>
              </w:rPr>
            </w:pPr>
            <w:r w:rsidRPr="004A4899">
              <w:rPr>
                <w:rFonts w:ascii="Times New Roman" w:hAnsi="Times New Roman" w:cs="Times New Roman"/>
                <w:sz w:val="13"/>
                <w:szCs w:val="13"/>
              </w:rPr>
              <w:t>166.69</w:t>
            </w:r>
          </w:p>
        </w:tc>
        <w:tc>
          <w:tcPr>
            <w:tcW w:w="273" w:type="dxa"/>
            <w:noWrap/>
            <w:vAlign w:val="center"/>
            <w:hideMark/>
          </w:tcPr>
          <w:p w14:paraId="76CC9E2D" w14:textId="77777777" w:rsidR="00126D8D" w:rsidRPr="004A4899" w:rsidRDefault="00126D8D" w:rsidP="00820288">
            <w:pPr>
              <w:spacing w:line="240" w:lineRule="auto"/>
              <w:rPr>
                <w:rFonts w:ascii="Times New Roman" w:hAnsi="Times New Roman" w:cs="Times New Roman"/>
                <w:sz w:val="13"/>
                <w:szCs w:val="13"/>
              </w:rPr>
            </w:pPr>
            <w:r w:rsidRPr="004A4899">
              <w:rPr>
                <w:rFonts w:ascii="Times New Roman" w:hAnsi="Times New Roman" w:cs="Times New Roman"/>
                <w:sz w:val="13"/>
                <w:szCs w:val="13"/>
              </w:rPr>
              <w:t>bc</w:t>
            </w:r>
          </w:p>
        </w:tc>
        <w:tc>
          <w:tcPr>
            <w:tcW w:w="377" w:type="dxa"/>
            <w:noWrap/>
            <w:vAlign w:val="center"/>
            <w:hideMark/>
          </w:tcPr>
          <w:p w14:paraId="22DD1890" w14:textId="77777777" w:rsidR="00126D8D" w:rsidRPr="004A4899" w:rsidRDefault="00126D8D" w:rsidP="00820288">
            <w:pPr>
              <w:spacing w:line="240" w:lineRule="auto"/>
              <w:jc w:val="right"/>
              <w:rPr>
                <w:rFonts w:ascii="Times New Roman" w:hAnsi="Times New Roman" w:cs="Times New Roman"/>
                <w:sz w:val="13"/>
                <w:szCs w:val="13"/>
              </w:rPr>
            </w:pPr>
            <w:r w:rsidRPr="004A4899">
              <w:rPr>
                <w:rFonts w:ascii="Times New Roman" w:hAnsi="Times New Roman" w:cs="Times New Roman"/>
                <w:sz w:val="13"/>
                <w:szCs w:val="13"/>
              </w:rPr>
              <w:t>164.96</w:t>
            </w:r>
          </w:p>
        </w:tc>
        <w:tc>
          <w:tcPr>
            <w:tcW w:w="273" w:type="dxa"/>
            <w:noWrap/>
            <w:vAlign w:val="center"/>
            <w:hideMark/>
          </w:tcPr>
          <w:p w14:paraId="17041BAA" w14:textId="77777777" w:rsidR="00126D8D" w:rsidRPr="004A4899" w:rsidRDefault="00126D8D" w:rsidP="00820288">
            <w:pPr>
              <w:spacing w:line="240" w:lineRule="auto"/>
              <w:rPr>
                <w:rFonts w:ascii="Times New Roman" w:hAnsi="Times New Roman" w:cs="Times New Roman"/>
                <w:sz w:val="13"/>
                <w:szCs w:val="13"/>
              </w:rPr>
            </w:pPr>
            <w:r w:rsidRPr="004A4899">
              <w:rPr>
                <w:rFonts w:ascii="Times New Roman" w:hAnsi="Times New Roman" w:cs="Times New Roman"/>
                <w:sz w:val="13"/>
                <w:szCs w:val="13"/>
              </w:rPr>
              <w:t>bc</w:t>
            </w:r>
          </w:p>
        </w:tc>
        <w:tc>
          <w:tcPr>
            <w:tcW w:w="377" w:type="dxa"/>
            <w:noWrap/>
            <w:vAlign w:val="center"/>
            <w:hideMark/>
          </w:tcPr>
          <w:p w14:paraId="13A609F3" w14:textId="77777777" w:rsidR="00126D8D" w:rsidRPr="004A4899" w:rsidRDefault="00126D8D" w:rsidP="00820288">
            <w:pPr>
              <w:spacing w:line="240" w:lineRule="auto"/>
              <w:jc w:val="right"/>
              <w:rPr>
                <w:rFonts w:ascii="Times New Roman" w:hAnsi="Times New Roman" w:cs="Times New Roman"/>
                <w:sz w:val="13"/>
                <w:szCs w:val="13"/>
              </w:rPr>
            </w:pPr>
            <w:r w:rsidRPr="004A4899">
              <w:rPr>
                <w:rFonts w:ascii="Times New Roman" w:hAnsi="Times New Roman" w:cs="Times New Roman"/>
                <w:sz w:val="13"/>
                <w:szCs w:val="13"/>
              </w:rPr>
              <w:t>151.49</w:t>
            </w:r>
          </w:p>
        </w:tc>
        <w:tc>
          <w:tcPr>
            <w:tcW w:w="326" w:type="dxa"/>
            <w:noWrap/>
            <w:vAlign w:val="center"/>
            <w:hideMark/>
          </w:tcPr>
          <w:p w14:paraId="63D863CD" w14:textId="77777777" w:rsidR="00126D8D" w:rsidRPr="004A4899" w:rsidRDefault="00126D8D" w:rsidP="00820288">
            <w:pPr>
              <w:spacing w:line="240" w:lineRule="auto"/>
              <w:rPr>
                <w:rFonts w:ascii="Times New Roman" w:hAnsi="Times New Roman" w:cs="Times New Roman"/>
                <w:sz w:val="13"/>
                <w:szCs w:val="13"/>
              </w:rPr>
            </w:pPr>
            <w:r w:rsidRPr="004A4899">
              <w:rPr>
                <w:rFonts w:ascii="Times New Roman" w:hAnsi="Times New Roman" w:cs="Times New Roman"/>
                <w:sz w:val="13"/>
                <w:szCs w:val="13"/>
              </w:rPr>
              <w:t>bcd</w:t>
            </w:r>
          </w:p>
        </w:tc>
        <w:tc>
          <w:tcPr>
            <w:tcW w:w="377" w:type="dxa"/>
            <w:noWrap/>
            <w:vAlign w:val="center"/>
            <w:hideMark/>
          </w:tcPr>
          <w:p w14:paraId="7F7995F9" w14:textId="77777777" w:rsidR="00126D8D" w:rsidRPr="004A4899" w:rsidRDefault="00126D8D" w:rsidP="00820288">
            <w:pPr>
              <w:spacing w:line="240" w:lineRule="auto"/>
              <w:jc w:val="right"/>
              <w:rPr>
                <w:rFonts w:ascii="Times New Roman" w:hAnsi="Times New Roman" w:cs="Times New Roman"/>
                <w:sz w:val="13"/>
                <w:szCs w:val="13"/>
              </w:rPr>
            </w:pPr>
            <w:r w:rsidRPr="004A4899">
              <w:rPr>
                <w:rFonts w:ascii="Times New Roman" w:hAnsi="Times New Roman" w:cs="Times New Roman"/>
                <w:sz w:val="13"/>
                <w:szCs w:val="13"/>
              </w:rPr>
              <w:t>116.37</w:t>
            </w:r>
          </w:p>
        </w:tc>
        <w:tc>
          <w:tcPr>
            <w:tcW w:w="326" w:type="dxa"/>
            <w:noWrap/>
            <w:vAlign w:val="center"/>
            <w:hideMark/>
          </w:tcPr>
          <w:p w14:paraId="767B5DE0" w14:textId="77777777" w:rsidR="00126D8D" w:rsidRPr="004A4899" w:rsidRDefault="00126D8D" w:rsidP="00820288">
            <w:pPr>
              <w:spacing w:line="240" w:lineRule="auto"/>
              <w:rPr>
                <w:rFonts w:ascii="Times New Roman" w:hAnsi="Times New Roman" w:cs="Times New Roman"/>
                <w:sz w:val="13"/>
                <w:szCs w:val="13"/>
              </w:rPr>
            </w:pPr>
            <w:r w:rsidRPr="004A4899">
              <w:rPr>
                <w:rFonts w:ascii="Times New Roman" w:hAnsi="Times New Roman" w:cs="Times New Roman"/>
                <w:sz w:val="13"/>
                <w:szCs w:val="13"/>
              </w:rPr>
              <w:t>cd</w:t>
            </w:r>
          </w:p>
        </w:tc>
        <w:tc>
          <w:tcPr>
            <w:tcW w:w="377" w:type="dxa"/>
            <w:noWrap/>
            <w:vAlign w:val="center"/>
            <w:hideMark/>
          </w:tcPr>
          <w:p w14:paraId="75CD5448" w14:textId="77777777" w:rsidR="00126D8D" w:rsidRPr="004A4899" w:rsidRDefault="00126D8D" w:rsidP="00820288">
            <w:pPr>
              <w:spacing w:line="240" w:lineRule="auto"/>
              <w:jc w:val="right"/>
              <w:rPr>
                <w:rFonts w:ascii="Times New Roman" w:hAnsi="Times New Roman" w:cs="Times New Roman"/>
                <w:sz w:val="13"/>
                <w:szCs w:val="13"/>
              </w:rPr>
            </w:pPr>
            <w:r w:rsidRPr="004A4899">
              <w:rPr>
                <w:rFonts w:ascii="Times New Roman" w:hAnsi="Times New Roman" w:cs="Times New Roman"/>
                <w:sz w:val="13"/>
                <w:szCs w:val="13"/>
              </w:rPr>
              <w:t>208.47</w:t>
            </w:r>
          </w:p>
        </w:tc>
        <w:tc>
          <w:tcPr>
            <w:tcW w:w="219" w:type="dxa"/>
            <w:noWrap/>
            <w:vAlign w:val="center"/>
            <w:hideMark/>
          </w:tcPr>
          <w:p w14:paraId="61273C60" w14:textId="77777777" w:rsidR="00126D8D" w:rsidRPr="004A4899" w:rsidRDefault="00126D8D" w:rsidP="00820288">
            <w:pPr>
              <w:spacing w:line="240" w:lineRule="auto"/>
              <w:rPr>
                <w:rFonts w:ascii="Times New Roman" w:hAnsi="Times New Roman" w:cs="Times New Roman"/>
                <w:sz w:val="13"/>
                <w:szCs w:val="13"/>
              </w:rPr>
            </w:pPr>
            <w:r w:rsidRPr="004A4899">
              <w:rPr>
                <w:rFonts w:ascii="Times New Roman" w:hAnsi="Times New Roman" w:cs="Times New Roman"/>
                <w:sz w:val="13"/>
                <w:szCs w:val="13"/>
              </w:rPr>
              <w:t>b</w:t>
            </w:r>
          </w:p>
        </w:tc>
        <w:tc>
          <w:tcPr>
            <w:tcW w:w="377" w:type="dxa"/>
            <w:noWrap/>
            <w:vAlign w:val="center"/>
            <w:hideMark/>
          </w:tcPr>
          <w:p w14:paraId="39441035" w14:textId="77777777" w:rsidR="00126D8D" w:rsidRPr="004A4899" w:rsidRDefault="00126D8D" w:rsidP="00820288">
            <w:pPr>
              <w:spacing w:line="240" w:lineRule="auto"/>
              <w:jc w:val="right"/>
              <w:rPr>
                <w:rFonts w:ascii="Times New Roman" w:hAnsi="Times New Roman" w:cs="Times New Roman"/>
                <w:sz w:val="13"/>
                <w:szCs w:val="13"/>
              </w:rPr>
            </w:pPr>
            <w:r w:rsidRPr="004A4899">
              <w:rPr>
                <w:rFonts w:ascii="Times New Roman" w:hAnsi="Times New Roman" w:cs="Times New Roman"/>
                <w:sz w:val="13"/>
                <w:szCs w:val="13"/>
              </w:rPr>
              <w:t>283.16</w:t>
            </w:r>
          </w:p>
        </w:tc>
        <w:tc>
          <w:tcPr>
            <w:tcW w:w="159" w:type="dxa"/>
            <w:noWrap/>
            <w:vAlign w:val="center"/>
            <w:hideMark/>
          </w:tcPr>
          <w:p w14:paraId="032E9939" w14:textId="77777777" w:rsidR="00126D8D" w:rsidRPr="004A4899" w:rsidRDefault="00126D8D" w:rsidP="00820288">
            <w:pPr>
              <w:spacing w:line="240" w:lineRule="auto"/>
              <w:rPr>
                <w:rFonts w:ascii="Times New Roman" w:hAnsi="Times New Roman" w:cs="Times New Roman"/>
                <w:sz w:val="13"/>
                <w:szCs w:val="13"/>
              </w:rPr>
            </w:pPr>
            <w:r w:rsidRPr="004A4899">
              <w:rPr>
                <w:rFonts w:ascii="Times New Roman" w:hAnsi="Times New Roman" w:cs="Times New Roman"/>
                <w:sz w:val="13"/>
                <w:szCs w:val="13"/>
              </w:rPr>
              <w:t>a</w:t>
            </w:r>
          </w:p>
        </w:tc>
        <w:tc>
          <w:tcPr>
            <w:tcW w:w="377" w:type="dxa"/>
            <w:noWrap/>
            <w:vAlign w:val="center"/>
            <w:hideMark/>
          </w:tcPr>
          <w:p w14:paraId="2DB8DCA0" w14:textId="77777777" w:rsidR="00126D8D" w:rsidRPr="004A4899" w:rsidRDefault="00126D8D" w:rsidP="00820288">
            <w:pPr>
              <w:spacing w:line="240" w:lineRule="auto"/>
              <w:jc w:val="right"/>
              <w:rPr>
                <w:rFonts w:ascii="Times New Roman" w:hAnsi="Times New Roman" w:cs="Times New Roman"/>
                <w:sz w:val="13"/>
                <w:szCs w:val="13"/>
              </w:rPr>
            </w:pPr>
            <w:r w:rsidRPr="004A4899">
              <w:rPr>
                <w:rFonts w:ascii="Times New Roman" w:hAnsi="Times New Roman" w:cs="Times New Roman"/>
                <w:sz w:val="13"/>
                <w:szCs w:val="13"/>
              </w:rPr>
              <w:t>202.84</w:t>
            </w:r>
          </w:p>
        </w:tc>
        <w:tc>
          <w:tcPr>
            <w:tcW w:w="326" w:type="dxa"/>
            <w:noWrap/>
            <w:vAlign w:val="center"/>
            <w:hideMark/>
          </w:tcPr>
          <w:p w14:paraId="27F4B375" w14:textId="77777777" w:rsidR="00126D8D" w:rsidRPr="004A4899" w:rsidRDefault="00126D8D" w:rsidP="00820288">
            <w:pPr>
              <w:spacing w:line="240" w:lineRule="auto"/>
              <w:rPr>
                <w:rFonts w:ascii="Times New Roman" w:hAnsi="Times New Roman" w:cs="Times New Roman"/>
                <w:sz w:val="13"/>
                <w:szCs w:val="13"/>
              </w:rPr>
            </w:pPr>
            <w:r w:rsidRPr="004A4899">
              <w:rPr>
                <w:rFonts w:ascii="Times New Roman" w:hAnsi="Times New Roman" w:cs="Times New Roman"/>
                <w:sz w:val="13"/>
                <w:szCs w:val="13"/>
              </w:rPr>
              <w:t>b</w:t>
            </w:r>
          </w:p>
        </w:tc>
        <w:tc>
          <w:tcPr>
            <w:tcW w:w="377" w:type="dxa"/>
            <w:noWrap/>
            <w:vAlign w:val="center"/>
            <w:hideMark/>
          </w:tcPr>
          <w:p w14:paraId="71954500" w14:textId="77777777" w:rsidR="00126D8D" w:rsidRPr="004A4899" w:rsidRDefault="00126D8D" w:rsidP="00820288">
            <w:pPr>
              <w:spacing w:line="240" w:lineRule="auto"/>
              <w:jc w:val="right"/>
              <w:rPr>
                <w:rFonts w:ascii="Times New Roman" w:hAnsi="Times New Roman" w:cs="Times New Roman"/>
                <w:sz w:val="13"/>
                <w:szCs w:val="13"/>
              </w:rPr>
            </w:pPr>
            <w:r w:rsidRPr="004A4899">
              <w:rPr>
                <w:rFonts w:ascii="Times New Roman" w:hAnsi="Times New Roman" w:cs="Times New Roman"/>
                <w:sz w:val="13"/>
                <w:szCs w:val="13"/>
              </w:rPr>
              <w:t>151.32</w:t>
            </w:r>
          </w:p>
        </w:tc>
        <w:tc>
          <w:tcPr>
            <w:tcW w:w="252" w:type="dxa"/>
            <w:noWrap/>
            <w:vAlign w:val="center"/>
            <w:hideMark/>
          </w:tcPr>
          <w:p w14:paraId="0685055E" w14:textId="77777777" w:rsidR="00126D8D" w:rsidRPr="004A4899" w:rsidRDefault="00126D8D" w:rsidP="00820288">
            <w:pPr>
              <w:spacing w:line="240" w:lineRule="auto"/>
              <w:rPr>
                <w:rFonts w:ascii="Times New Roman" w:hAnsi="Times New Roman" w:cs="Times New Roman"/>
                <w:sz w:val="13"/>
                <w:szCs w:val="13"/>
              </w:rPr>
            </w:pPr>
            <w:r w:rsidRPr="004A4899">
              <w:rPr>
                <w:rFonts w:ascii="Times New Roman" w:hAnsi="Times New Roman" w:cs="Times New Roman"/>
                <w:sz w:val="13"/>
                <w:szCs w:val="13"/>
              </w:rPr>
              <w:t>bcd</w:t>
            </w:r>
          </w:p>
        </w:tc>
        <w:tc>
          <w:tcPr>
            <w:tcW w:w="377" w:type="dxa"/>
            <w:noWrap/>
            <w:vAlign w:val="center"/>
            <w:hideMark/>
          </w:tcPr>
          <w:p w14:paraId="382B9E12" w14:textId="77777777" w:rsidR="00126D8D" w:rsidRPr="004A4899" w:rsidRDefault="00126D8D" w:rsidP="00820288">
            <w:pPr>
              <w:spacing w:line="240" w:lineRule="auto"/>
              <w:jc w:val="right"/>
              <w:rPr>
                <w:rFonts w:ascii="Times New Roman" w:hAnsi="Times New Roman" w:cs="Times New Roman"/>
                <w:sz w:val="13"/>
                <w:szCs w:val="13"/>
              </w:rPr>
            </w:pPr>
            <w:r w:rsidRPr="004A4899">
              <w:rPr>
                <w:rFonts w:ascii="Times New Roman" w:hAnsi="Times New Roman" w:cs="Times New Roman"/>
                <w:sz w:val="13"/>
                <w:szCs w:val="13"/>
              </w:rPr>
              <w:t>165.70</w:t>
            </w:r>
          </w:p>
        </w:tc>
        <w:tc>
          <w:tcPr>
            <w:tcW w:w="273" w:type="dxa"/>
            <w:noWrap/>
            <w:vAlign w:val="center"/>
            <w:hideMark/>
          </w:tcPr>
          <w:p w14:paraId="7C5BF7D8" w14:textId="77777777" w:rsidR="00126D8D" w:rsidRPr="004A4899" w:rsidRDefault="00126D8D" w:rsidP="00820288">
            <w:pPr>
              <w:spacing w:line="240" w:lineRule="auto"/>
              <w:rPr>
                <w:rFonts w:ascii="Times New Roman" w:hAnsi="Times New Roman" w:cs="Times New Roman"/>
                <w:sz w:val="13"/>
                <w:szCs w:val="13"/>
              </w:rPr>
            </w:pPr>
            <w:r w:rsidRPr="004A4899">
              <w:rPr>
                <w:rFonts w:ascii="Times New Roman" w:hAnsi="Times New Roman" w:cs="Times New Roman"/>
                <w:sz w:val="13"/>
                <w:szCs w:val="13"/>
              </w:rPr>
              <w:t>bc</w:t>
            </w:r>
          </w:p>
        </w:tc>
        <w:tc>
          <w:tcPr>
            <w:tcW w:w="377" w:type="dxa"/>
            <w:noWrap/>
            <w:vAlign w:val="center"/>
            <w:hideMark/>
          </w:tcPr>
          <w:p w14:paraId="6F401B77" w14:textId="77777777" w:rsidR="00126D8D" w:rsidRPr="004A4899" w:rsidRDefault="00126D8D" w:rsidP="00820288">
            <w:pPr>
              <w:spacing w:line="240" w:lineRule="auto"/>
              <w:jc w:val="right"/>
              <w:rPr>
                <w:rFonts w:ascii="Times New Roman" w:hAnsi="Times New Roman" w:cs="Times New Roman"/>
                <w:sz w:val="13"/>
                <w:szCs w:val="13"/>
              </w:rPr>
            </w:pPr>
            <w:r w:rsidRPr="004A4899">
              <w:rPr>
                <w:rFonts w:ascii="Times New Roman" w:hAnsi="Times New Roman" w:cs="Times New Roman"/>
                <w:sz w:val="13"/>
                <w:szCs w:val="13"/>
              </w:rPr>
              <w:t>90.09</w:t>
            </w:r>
          </w:p>
        </w:tc>
        <w:tc>
          <w:tcPr>
            <w:tcW w:w="273" w:type="dxa"/>
            <w:noWrap/>
            <w:vAlign w:val="center"/>
            <w:hideMark/>
          </w:tcPr>
          <w:p w14:paraId="096AAA22" w14:textId="77777777" w:rsidR="00126D8D" w:rsidRPr="004A4899" w:rsidRDefault="00126D8D" w:rsidP="00820288">
            <w:pPr>
              <w:spacing w:line="240" w:lineRule="auto"/>
              <w:rPr>
                <w:rFonts w:ascii="Times New Roman" w:hAnsi="Times New Roman" w:cs="Times New Roman"/>
                <w:sz w:val="13"/>
                <w:szCs w:val="13"/>
              </w:rPr>
            </w:pPr>
            <w:r w:rsidRPr="004A4899">
              <w:rPr>
                <w:rFonts w:ascii="Times New Roman" w:hAnsi="Times New Roman" w:cs="Times New Roman"/>
                <w:sz w:val="13"/>
                <w:szCs w:val="13"/>
              </w:rPr>
              <w:t>d</w:t>
            </w:r>
          </w:p>
        </w:tc>
      </w:tr>
      <w:tr w:rsidR="00126D8D" w:rsidRPr="004A4899" w14:paraId="0F35253E" w14:textId="77777777" w:rsidTr="00820288">
        <w:trPr>
          <w:trHeight w:val="173"/>
        </w:trPr>
        <w:tc>
          <w:tcPr>
            <w:tcW w:w="1440" w:type="dxa"/>
            <w:tcBorders>
              <w:bottom w:val="single" w:sz="4" w:space="0" w:color="auto"/>
            </w:tcBorders>
            <w:noWrap/>
            <w:vAlign w:val="center"/>
            <w:hideMark/>
          </w:tcPr>
          <w:p w14:paraId="0CB0EA97" w14:textId="77777777" w:rsidR="00126D8D" w:rsidRPr="004A4899" w:rsidRDefault="00126D8D" w:rsidP="00820288">
            <w:pPr>
              <w:spacing w:line="240" w:lineRule="auto"/>
              <w:rPr>
                <w:rFonts w:ascii="Times New Roman" w:hAnsi="Times New Roman" w:cs="Times New Roman"/>
                <w:sz w:val="12"/>
                <w:szCs w:val="12"/>
              </w:rPr>
            </w:pPr>
            <w:r w:rsidRPr="004A4899">
              <w:rPr>
                <w:rFonts w:ascii="Times New Roman" w:hAnsi="Times New Roman" w:cs="Times New Roman"/>
                <w:sz w:val="12"/>
                <w:szCs w:val="12"/>
              </w:rPr>
              <w:t>Methyl Eugenol</w:t>
            </w:r>
          </w:p>
        </w:tc>
        <w:tc>
          <w:tcPr>
            <w:tcW w:w="377" w:type="dxa"/>
            <w:tcBorders>
              <w:bottom w:val="single" w:sz="4" w:space="0" w:color="auto"/>
            </w:tcBorders>
            <w:noWrap/>
            <w:vAlign w:val="center"/>
            <w:hideMark/>
          </w:tcPr>
          <w:p w14:paraId="7A246311" w14:textId="77777777" w:rsidR="00126D8D" w:rsidRPr="004A4899" w:rsidRDefault="00126D8D" w:rsidP="00820288">
            <w:pPr>
              <w:spacing w:line="240" w:lineRule="auto"/>
              <w:jc w:val="right"/>
              <w:rPr>
                <w:rFonts w:ascii="Times New Roman" w:hAnsi="Times New Roman" w:cs="Times New Roman"/>
                <w:sz w:val="13"/>
                <w:szCs w:val="13"/>
              </w:rPr>
            </w:pPr>
            <w:r w:rsidRPr="004A4899">
              <w:rPr>
                <w:rFonts w:ascii="Times New Roman" w:hAnsi="Times New Roman" w:cs="Times New Roman"/>
                <w:sz w:val="13"/>
                <w:szCs w:val="13"/>
              </w:rPr>
              <w:t>158.96</w:t>
            </w:r>
          </w:p>
        </w:tc>
        <w:tc>
          <w:tcPr>
            <w:tcW w:w="274" w:type="dxa"/>
            <w:tcBorders>
              <w:bottom w:val="single" w:sz="4" w:space="0" w:color="auto"/>
            </w:tcBorders>
            <w:noWrap/>
            <w:vAlign w:val="center"/>
            <w:hideMark/>
          </w:tcPr>
          <w:p w14:paraId="60F97690" w14:textId="77777777" w:rsidR="00126D8D" w:rsidRPr="004A4899" w:rsidRDefault="00126D8D" w:rsidP="00820288">
            <w:pPr>
              <w:spacing w:line="240" w:lineRule="auto"/>
              <w:rPr>
                <w:rFonts w:ascii="Times New Roman" w:hAnsi="Times New Roman" w:cs="Times New Roman"/>
                <w:sz w:val="13"/>
                <w:szCs w:val="13"/>
              </w:rPr>
            </w:pPr>
            <w:r w:rsidRPr="004A4899">
              <w:rPr>
                <w:rFonts w:ascii="Times New Roman" w:hAnsi="Times New Roman" w:cs="Times New Roman"/>
                <w:sz w:val="13"/>
                <w:szCs w:val="13"/>
              </w:rPr>
              <w:t>a</w:t>
            </w:r>
          </w:p>
        </w:tc>
        <w:tc>
          <w:tcPr>
            <w:tcW w:w="411" w:type="dxa"/>
            <w:tcBorders>
              <w:bottom w:val="single" w:sz="4" w:space="0" w:color="auto"/>
            </w:tcBorders>
            <w:noWrap/>
            <w:vAlign w:val="center"/>
            <w:hideMark/>
          </w:tcPr>
          <w:p w14:paraId="5D466806" w14:textId="77777777" w:rsidR="00126D8D" w:rsidRPr="004A4899" w:rsidRDefault="00126D8D" w:rsidP="00820288">
            <w:pPr>
              <w:spacing w:line="240" w:lineRule="auto"/>
              <w:jc w:val="right"/>
              <w:rPr>
                <w:rFonts w:ascii="Times New Roman" w:hAnsi="Times New Roman" w:cs="Times New Roman"/>
                <w:sz w:val="13"/>
                <w:szCs w:val="13"/>
              </w:rPr>
            </w:pPr>
            <w:r w:rsidRPr="004A4899">
              <w:rPr>
                <w:rFonts w:ascii="Times New Roman" w:hAnsi="Times New Roman" w:cs="Times New Roman"/>
                <w:sz w:val="13"/>
                <w:szCs w:val="13"/>
              </w:rPr>
              <w:t>159.54</w:t>
            </w:r>
          </w:p>
        </w:tc>
        <w:tc>
          <w:tcPr>
            <w:tcW w:w="239" w:type="dxa"/>
            <w:tcBorders>
              <w:bottom w:val="single" w:sz="4" w:space="0" w:color="auto"/>
            </w:tcBorders>
            <w:noWrap/>
            <w:vAlign w:val="center"/>
            <w:hideMark/>
          </w:tcPr>
          <w:p w14:paraId="711195BA" w14:textId="77777777" w:rsidR="00126D8D" w:rsidRPr="004A4899" w:rsidRDefault="00126D8D" w:rsidP="00820288">
            <w:pPr>
              <w:spacing w:line="240" w:lineRule="auto"/>
              <w:rPr>
                <w:rFonts w:ascii="Times New Roman" w:hAnsi="Times New Roman" w:cs="Times New Roman"/>
                <w:sz w:val="13"/>
                <w:szCs w:val="13"/>
              </w:rPr>
            </w:pPr>
            <w:r w:rsidRPr="004A4899">
              <w:rPr>
                <w:rFonts w:ascii="Times New Roman" w:hAnsi="Times New Roman" w:cs="Times New Roman"/>
                <w:sz w:val="13"/>
                <w:szCs w:val="13"/>
              </w:rPr>
              <w:t>a</w:t>
            </w:r>
          </w:p>
        </w:tc>
        <w:tc>
          <w:tcPr>
            <w:tcW w:w="377" w:type="dxa"/>
            <w:tcBorders>
              <w:bottom w:val="single" w:sz="4" w:space="0" w:color="auto"/>
            </w:tcBorders>
            <w:noWrap/>
            <w:vAlign w:val="center"/>
            <w:hideMark/>
          </w:tcPr>
          <w:p w14:paraId="4AAA01D2" w14:textId="77777777" w:rsidR="00126D8D" w:rsidRPr="004A4899" w:rsidRDefault="00126D8D" w:rsidP="00820288">
            <w:pPr>
              <w:spacing w:line="240" w:lineRule="auto"/>
              <w:jc w:val="right"/>
              <w:rPr>
                <w:rFonts w:ascii="Times New Roman" w:hAnsi="Times New Roman" w:cs="Times New Roman"/>
                <w:sz w:val="13"/>
                <w:szCs w:val="13"/>
              </w:rPr>
            </w:pPr>
            <w:r w:rsidRPr="004A4899">
              <w:rPr>
                <w:rFonts w:ascii="Times New Roman" w:hAnsi="Times New Roman" w:cs="Times New Roman"/>
                <w:sz w:val="13"/>
                <w:szCs w:val="13"/>
              </w:rPr>
              <w:t>158.58</w:t>
            </w:r>
          </w:p>
        </w:tc>
        <w:tc>
          <w:tcPr>
            <w:tcW w:w="273" w:type="dxa"/>
            <w:tcBorders>
              <w:bottom w:val="single" w:sz="4" w:space="0" w:color="auto"/>
            </w:tcBorders>
            <w:noWrap/>
            <w:vAlign w:val="center"/>
            <w:hideMark/>
          </w:tcPr>
          <w:p w14:paraId="7714BBDD" w14:textId="77777777" w:rsidR="00126D8D" w:rsidRPr="004A4899" w:rsidRDefault="00126D8D" w:rsidP="00820288">
            <w:pPr>
              <w:spacing w:line="240" w:lineRule="auto"/>
              <w:rPr>
                <w:rFonts w:ascii="Times New Roman" w:hAnsi="Times New Roman" w:cs="Times New Roman"/>
                <w:sz w:val="13"/>
                <w:szCs w:val="13"/>
              </w:rPr>
            </w:pPr>
            <w:r w:rsidRPr="004A4899">
              <w:rPr>
                <w:rFonts w:ascii="Times New Roman" w:hAnsi="Times New Roman" w:cs="Times New Roman"/>
                <w:sz w:val="13"/>
                <w:szCs w:val="13"/>
              </w:rPr>
              <w:t>a</w:t>
            </w:r>
          </w:p>
        </w:tc>
        <w:tc>
          <w:tcPr>
            <w:tcW w:w="377" w:type="dxa"/>
            <w:tcBorders>
              <w:bottom w:val="single" w:sz="4" w:space="0" w:color="auto"/>
            </w:tcBorders>
            <w:noWrap/>
            <w:vAlign w:val="center"/>
            <w:hideMark/>
          </w:tcPr>
          <w:p w14:paraId="717800AC" w14:textId="77777777" w:rsidR="00126D8D" w:rsidRPr="004A4899" w:rsidRDefault="00126D8D" w:rsidP="00820288">
            <w:pPr>
              <w:spacing w:line="240" w:lineRule="auto"/>
              <w:jc w:val="right"/>
              <w:rPr>
                <w:rFonts w:ascii="Times New Roman" w:hAnsi="Times New Roman" w:cs="Times New Roman"/>
                <w:sz w:val="13"/>
                <w:szCs w:val="13"/>
              </w:rPr>
            </w:pPr>
            <w:r w:rsidRPr="004A4899">
              <w:rPr>
                <w:rFonts w:ascii="Times New Roman" w:hAnsi="Times New Roman" w:cs="Times New Roman"/>
                <w:sz w:val="13"/>
                <w:szCs w:val="13"/>
              </w:rPr>
              <w:t>165.77</w:t>
            </w:r>
          </w:p>
        </w:tc>
        <w:tc>
          <w:tcPr>
            <w:tcW w:w="273" w:type="dxa"/>
            <w:tcBorders>
              <w:bottom w:val="single" w:sz="4" w:space="0" w:color="auto"/>
            </w:tcBorders>
            <w:noWrap/>
            <w:vAlign w:val="center"/>
            <w:hideMark/>
          </w:tcPr>
          <w:p w14:paraId="23BEBC33" w14:textId="77777777" w:rsidR="00126D8D" w:rsidRPr="004A4899" w:rsidRDefault="00126D8D" w:rsidP="00820288">
            <w:pPr>
              <w:spacing w:line="240" w:lineRule="auto"/>
              <w:rPr>
                <w:rFonts w:ascii="Times New Roman" w:hAnsi="Times New Roman" w:cs="Times New Roman"/>
                <w:sz w:val="13"/>
                <w:szCs w:val="13"/>
              </w:rPr>
            </w:pPr>
            <w:r w:rsidRPr="004A4899">
              <w:rPr>
                <w:rFonts w:ascii="Times New Roman" w:hAnsi="Times New Roman" w:cs="Times New Roman"/>
                <w:sz w:val="13"/>
                <w:szCs w:val="13"/>
              </w:rPr>
              <w:t>a</w:t>
            </w:r>
          </w:p>
        </w:tc>
        <w:tc>
          <w:tcPr>
            <w:tcW w:w="377" w:type="dxa"/>
            <w:tcBorders>
              <w:bottom w:val="single" w:sz="4" w:space="0" w:color="auto"/>
            </w:tcBorders>
            <w:noWrap/>
            <w:vAlign w:val="center"/>
            <w:hideMark/>
          </w:tcPr>
          <w:p w14:paraId="6746B1CA" w14:textId="77777777" w:rsidR="00126D8D" w:rsidRPr="004A4899" w:rsidRDefault="00126D8D" w:rsidP="00820288">
            <w:pPr>
              <w:spacing w:line="240" w:lineRule="auto"/>
              <w:jc w:val="center"/>
              <w:rPr>
                <w:rFonts w:ascii="Times New Roman" w:hAnsi="Times New Roman" w:cs="Times New Roman"/>
                <w:sz w:val="13"/>
                <w:szCs w:val="13"/>
              </w:rPr>
            </w:pPr>
            <w:r w:rsidRPr="004A4899">
              <w:rPr>
                <w:rFonts w:ascii="Times New Roman" w:hAnsi="Times New Roman" w:cs="Times New Roman"/>
                <w:sz w:val="13"/>
                <w:szCs w:val="13"/>
              </w:rPr>
              <w:t>159.72</w:t>
            </w:r>
          </w:p>
        </w:tc>
        <w:tc>
          <w:tcPr>
            <w:tcW w:w="326" w:type="dxa"/>
            <w:tcBorders>
              <w:bottom w:val="single" w:sz="4" w:space="0" w:color="auto"/>
            </w:tcBorders>
            <w:noWrap/>
            <w:vAlign w:val="center"/>
            <w:hideMark/>
          </w:tcPr>
          <w:p w14:paraId="1E1F743E" w14:textId="77777777" w:rsidR="00126D8D" w:rsidRPr="004A4899" w:rsidRDefault="00126D8D" w:rsidP="00820288">
            <w:pPr>
              <w:spacing w:line="240" w:lineRule="auto"/>
              <w:rPr>
                <w:rFonts w:ascii="Times New Roman" w:hAnsi="Times New Roman" w:cs="Times New Roman"/>
                <w:sz w:val="13"/>
                <w:szCs w:val="13"/>
              </w:rPr>
            </w:pPr>
            <w:r w:rsidRPr="004A4899">
              <w:rPr>
                <w:rFonts w:ascii="Times New Roman" w:hAnsi="Times New Roman" w:cs="Times New Roman"/>
                <w:sz w:val="13"/>
                <w:szCs w:val="13"/>
              </w:rPr>
              <w:t>a</w:t>
            </w:r>
          </w:p>
        </w:tc>
        <w:tc>
          <w:tcPr>
            <w:tcW w:w="377" w:type="dxa"/>
            <w:tcBorders>
              <w:bottom w:val="single" w:sz="4" w:space="0" w:color="auto"/>
            </w:tcBorders>
            <w:noWrap/>
            <w:vAlign w:val="center"/>
            <w:hideMark/>
          </w:tcPr>
          <w:p w14:paraId="37BB2A8B" w14:textId="77777777" w:rsidR="00126D8D" w:rsidRPr="004A4899" w:rsidRDefault="00126D8D" w:rsidP="00820288">
            <w:pPr>
              <w:spacing w:line="240" w:lineRule="auto"/>
              <w:jc w:val="right"/>
              <w:rPr>
                <w:rFonts w:ascii="Times New Roman" w:hAnsi="Times New Roman" w:cs="Times New Roman"/>
                <w:sz w:val="13"/>
                <w:szCs w:val="13"/>
              </w:rPr>
            </w:pPr>
            <w:r w:rsidRPr="004A4899">
              <w:rPr>
                <w:rFonts w:ascii="Times New Roman" w:hAnsi="Times New Roman" w:cs="Times New Roman"/>
                <w:sz w:val="13"/>
                <w:szCs w:val="13"/>
              </w:rPr>
              <w:t>159.72</w:t>
            </w:r>
          </w:p>
        </w:tc>
        <w:tc>
          <w:tcPr>
            <w:tcW w:w="326" w:type="dxa"/>
            <w:tcBorders>
              <w:bottom w:val="single" w:sz="4" w:space="0" w:color="auto"/>
            </w:tcBorders>
            <w:noWrap/>
            <w:vAlign w:val="center"/>
            <w:hideMark/>
          </w:tcPr>
          <w:p w14:paraId="225BDCEE" w14:textId="77777777" w:rsidR="00126D8D" w:rsidRPr="004A4899" w:rsidRDefault="00126D8D" w:rsidP="00820288">
            <w:pPr>
              <w:spacing w:line="240" w:lineRule="auto"/>
              <w:rPr>
                <w:rFonts w:ascii="Times New Roman" w:hAnsi="Times New Roman" w:cs="Times New Roman"/>
                <w:sz w:val="13"/>
                <w:szCs w:val="13"/>
              </w:rPr>
            </w:pPr>
            <w:r w:rsidRPr="004A4899">
              <w:rPr>
                <w:rFonts w:ascii="Times New Roman" w:hAnsi="Times New Roman" w:cs="Times New Roman"/>
                <w:sz w:val="13"/>
                <w:szCs w:val="13"/>
              </w:rPr>
              <w:t>a</w:t>
            </w:r>
          </w:p>
        </w:tc>
        <w:tc>
          <w:tcPr>
            <w:tcW w:w="377" w:type="dxa"/>
            <w:tcBorders>
              <w:bottom w:val="single" w:sz="4" w:space="0" w:color="auto"/>
            </w:tcBorders>
            <w:noWrap/>
            <w:vAlign w:val="center"/>
            <w:hideMark/>
          </w:tcPr>
          <w:p w14:paraId="39376669" w14:textId="77777777" w:rsidR="00126D8D" w:rsidRPr="004A4899" w:rsidRDefault="00126D8D" w:rsidP="00820288">
            <w:pPr>
              <w:spacing w:line="240" w:lineRule="auto"/>
              <w:jc w:val="right"/>
              <w:rPr>
                <w:rFonts w:ascii="Times New Roman" w:hAnsi="Times New Roman" w:cs="Times New Roman"/>
                <w:sz w:val="13"/>
                <w:szCs w:val="13"/>
              </w:rPr>
            </w:pPr>
            <w:r w:rsidRPr="004A4899">
              <w:rPr>
                <w:rFonts w:ascii="Times New Roman" w:hAnsi="Times New Roman" w:cs="Times New Roman"/>
                <w:sz w:val="13"/>
                <w:szCs w:val="13"/>
              </w:rPr>
              <w:t>160.49</w:t>
            </w:r>
          </w:p>
        </w:tc>
        <w:tc>
          <w:tcPr>
            <w:tcW w:w="219" w:type="dxa"/>
            <w:tcBorders>
              <w:bottom w:val="single" w:sz="4" w:space="0" w:color="auto"/>
            </w:tcBorders>
            <w:noWrap/>
            <w:vAlign w:val="center"/>
            <w:hideMark/>
          </w:tcPr>
          <w:p w14:paraId="1D609CB8" w14:textId="77777777" w:rsidR="00126D8D" w:rsidRPr="004A4899" w:rsidRDefault="00126D8D" w:rsidP="00820288">
            <w:pPr>
              <w:spacing w:line="240" w:lineRule="auto"/>
              <w:rPr>
                <w:rFonts w:ascii="Times New Roman" w:hAnsi="Times New Roman" w:cs="Times New Roman"/>
                <w:sz w:val="13"/>
                <w:szCs w:val="13"/>
              </w:rPr>
            </w:pPr>
            <w:r w:rsidRPr="004A4899">
              <w:rPr>
                <w:rFonts w:ascii="Times New Roman" w:hAnsi="Times New Roman" w:cs="Times New Roman"/>
                <w:sz w:val="13"/>
                <w:szCs w:val="13"/>
              </w:rPr>
              <w:t>a</w:t>
            </w:r>
          </w:p>
        </w:tc>
        <w:tc>
          <w:tcPr>
            <w:tcW w:w="377" w:type="dxa"/>
            <w:tcBorders>
              <w:bottom w:val="single" w:sz="4" w:space="0" w:color="auto"/>
            </w:tcBorders>
            <w:noWrap/>
            <w:vAlign w:val="center"/>
            <w:hideMark/>
          </w:tcPr>
          <w:p w14:paraId="1E68F8C4" w14:textId="77777777" w:rsidR="00126D8D" w:rsidRPr="004A4899" w:rsidRDefault="00126D8D" w:rsidP="00820288">
            <w:pPr>
              <w:spacing w:line="240" w:lineRule="auto"/>
              <w:jc w:val="right"/>
              <w:rPr>
                <w:rFonts w:ascii="Times New Roman" w:hAnsi="Times New Roman" w:cs="Times New Roman"/>
                <w:sz w:val="13"/>
                <w:szCs w:val="13"/>
              </w:rPr>
            </w:pPr>
            <w:r w:rsidRPr="004A4899">
              <w:rPr>
                <w:rFonts w:ascii="Times New Roman" w:hAnsi="Times New Roman" w:cs="Times New Roman"/>
                <w:sz w:val="13"/>
                <w:szCs w:val="13"/>
              </w:rPr>
              <w:t>160.12</w:t>
            </w:r>
          </w:p>
        </w:tc>
        <w:tc>
          <w:tcPr>
            <w:tcW w:w="159" w:type="dxa"/>
            <w:tcBorders>
              <w:bottom w:val="single" w:sz="4" w:space="0" w:color="auto"/>
            </w:tcBorders>
            <w:noWrap/>
            <w:vAlign w:val="center"/>
            <w:hideMark/>
          </w:tcPr>
          <w:p w14:paraId="3C1C3A57" w14:textId="77777777" w:rsidR="00126D8D" w:rsidRPr="004A4899" w:rsidRDefault="00126D8D" w:rsidP="00820288">
            <w:pPr>
              <w:spacing w:line="240" w:lineRule="auto"/>
              <w:rPr>
                <w:rFonts w:ascii="Times New Roman" w:hAnsi="Times New Roman" w:cs="Times New Roman"/>
                <w:sz w:val="13"/>
                <w:szCs w:val="13"/>
              </w:rPr>
            </w:pPr>
            <w:r w:rsidRPr="004A4899">
              <w:rPr>
                <w:rFonts w:ascii="Times New Roman" w:hAnsi="Times New Roman" w:cs="Times New Roman"/>
                <w:sz w:val="13"/>
                <w:szCs w:val="13"/>
              </w:rPr>
              <w:t>a</w:t>
            </w:r>
          </w:p>
        </w:tc>
        <w:tc>
          <w:tcPr>
            <w:tcW w:w="377" w:type="dxa"/>
            <w:tcBorders>
              <w:bottom w:val="single" w:sz="4" w:space="0" w:color="auto"/>
            </w:tcBorders>
            <w:noWrap/>
            <w:vAlign w:val="center"/>
            <w:hideMark/>
          </w:tcPr>
          <w:p w14:paraId="21F6EBDB" w14:textId="77777777" w:rsidR="00126D8D" w:rsidRPr="004A4899" w:rsidRDefault="00126D8D" w:rsidP="00820288">
            <w:pPr>
              <w:spacing w:line="240" w:lineRule="auto"/>
              <w:jc w:val="right"/>
              <w:rPr>
                <w:rFonts w:ascii="Times New Roman" w:hAnsi="Times New Roman" w:cs="Times New Roman"/>
                <w:sz w:val="13"/>
                <w:szCs w:val="13"/>
              </w:rPr>
            </w:pPr>
            <w:r w:rsidRPr="004A4899">
              <w:rPr>
                <w:rFonts w:ascii="Times New Roman" w:hAnsi="Times New Roman" w:cs="Times New Roman"/>
                <w:sz w:val="13"/>
                <w:szCs w:val="13"/>
              </w:rPr>
              <w:t>160.38</w:t>
            </w:r>
          </w:p>
        </w:tc>
        <w:tc>
          <w:tcPr>
            <w:tcW w:w="326" w:type="dxa"/>
            <w:tcBorders>
              <w:bottom w:val="single" w:sz="4" w:space="0" w:color="auto"/>
            </w:tcBorders>
            <w:noWrap/>
            <w:vAlign w:val="center"/>
            <w:hideMark/>
          </w:tcPr>
          <w:p w14:paraId="18C2F8A4" w14:textId="77777777" w:rsidR="00126D8D" w:rsidRPr="004A4899" w:rsidRDefault="00126D8D" w:rsidP="00820288">
            <w:pPr>
              <w:spacing w:line="240" w:lineRule="auto"/>
              <w:rPr>
                <w:rFonts w:ascii="Times New Roman" w:hAnsi="Times New Roman" w:cs="Times New Roman"/>
                <w:sz w:val="13"/>
                <w:szCs w:val="13"/>
              </w:rPr>
            </w:pPr>
            <w:r w:rsidRPr="004A4899">
              <w:rPr>
                <w:rFonts w:ascii="Times New Roman" w:hAnsi="Times New Roman" w:cs="Times New Roman"/>
                <w:sz w:val="13"/>
                <w:szCs w:val="13"/>
              </w:rPr>
              <w:t>a</w:t>
            </w:r>
          </w:p>
        </w:tc>
        <w:tc>
          <w:tcPr>
            <w:tcW w:w="377" w:type="dxa"/>
            <w:tcBorders>
              <w:bottom w:val="single" w:sz="4" w:space="0" w:color="auto"/>
            </w:tcBorders>
            <w:noWrap/>
            <w:vAlign w:val="center"/>
            <w:hideMark/>
          </w:tcPr>
          <w:p w14:paraId="0AC97B61" w14:textId="77777777" w:rsidR="00126D8D" w:rsidRPr="004A4899" w:rsidRDefault="00126D8D" w:rsidP="00820288">
            <w:pPr>
              <w:spacing w:line="240" w:lineRule="auto"/>
              <w:jc w:val="right"/>
              <w:rPr>
                <w:rFonts w:ascii="Times New Roman" w:hAnsi="Times New Roman" w:cs="Times New Roman"/>
                <w:sz w:val="13"/>
                <w:szCs w:val="13"/>
              </w:rPr>
            </w:pPr>
            <w:r w:rsidRPr="004A4899">
              <w:rPr>
                <w:rFonts w:ascii="Times New Roman" w:hAnsi="Times New Roman" w:cs="Times New Roman"/>
                <w:sz w:val="13"/>
                <w:szCs w:val="13"/>
              </w:rPr>
              <w:t>162.91</w:t>
            </w:r>
          </w:p>
        </w:tc>
        <w:tc>
          <w:tcPr>
            <w:tcW w:w="252" w:type="dxa"/>
            <w:tcBorders>
              <w:bottom w:val="single" w:sz="4" w:space="0" w:color="auto"/>
            </w:tcBorders>
            <w:noWrap/>
            <w:vAlign w:val="center"/>
            <w:hideMark/>
          </w:tcPr>
          <w:p w14:paraId="6E8EFCDF" w14:textId="77777777" w:rsidR="00126D8D" w:rsidRPr="004A4899" w:rsidRDefault="00126D8D" w:rsidP="00820288">
            <w:pPr>
              <w:spacing w:line="240" w:lineRule="auto"/>
              <w:rPr>
                <w:rFonts w:ascii="Times New Roman" w:hAnsi="Times New Roman" w:cs="Times New Roman"/>
                <w:sz w:val="13"/>
                <w:szCs w:val="13"/>
              </w:rPr>
            </w:pPr>
            <w:r w:rsidRPr="004A4899">
              <w:rPr>
                <w:rFonts w:ascii="Times New Roman" w:hAnsi="Times New Roman" w:cs="Times New Roman"/>
                <w:sz w:val="13"/>
                <w:szCs w:val="13"/>
              </w:rPr>
              <w:t>a</w:t>
            </w:r>
          </w:p>
        </w:tc>
        <w:tc>
          <w:tcPr>
            <w:tcW w:w="377" w:type="dxa"/>
            <w:tcBorders>
              <w:bottom w:val="single" w:sz="4" w:space="0" w:color="auto"/>
            </w:tcBorders>
            <w:noWrap/>
            <w:vAlign w:val="center"/>
            <w:hideMark/>
          </w:tcPr>
          <w:p w14:paraId="7E87DF88" w14:textId="77777777" w:rsidR="00126D8D" w:rsidRPr="004A4899" w:rsidRDefault="00126D8D" w:rsidP="00820288">
            <w:pPr>
              <w:spacing w:line="240" w:lineRule="auto"/>
              <w:jc w:val="right"/>
              <w:rPr>
                <w:rFonts w:ascii="Times New Roman" w:hAnsi="Times New Roman" w:cs="Times New Roman"/>
                <w:sz w:val="13"/>
                <w:szCs w:val="13"/>
              </w:rPr>
            </w:pPr>
            <w:r w:rsidRPr="004A4899">
              <w:rPr>
                <w:rFonts w:ascii="Times New Roman" w:hAnsi="Times New Roman" w:cs="Times New Roman"/>
                <w:sz w:val="13"/>
                <w:szCs w:val="13"/>
              </w:rPr>
              <w:t>158.11</w:t>
            </w:r>
          </w:p>
        </w:tc>
        <w:tc>
          <w:tcPr>
            <w:tcW w:w="273" w:type="dxa"/>
            <w:tcBorders>
              <w:bottom w:val="single" w:sz="4" w:space="0" w:color="auto"/>
            </w:tcBorders>
            <w:noWrap/>
            <w:vAlign w:val="center"/>
            <w:hideMark/>
          </w:tcPr>
          <w:p w14:paraId="3D977398" w14:textId="77777777" w:rsidR="00126D8D" w:rsidRPr="004A4899" w:rsidRDefault="00126D8D" w:rsidP="00820288">
            <w:pPr>
              <w:spacing w:line="240" w:lineRule="auto"/>
              <w:rPr>
                <w:rFonts w:ascii="Times New Roman" w:hAnsi="Times New Roman" w:cs="Times New Roman"/>
                <w:sz w:val="13"/>
                <w:szCs w:val="13"/>
              </w:rPr>
            </w:pPr>
            <w:r w:rsidRPr="004A4899">
              <w:rPr>
                <w:rFonts w:ascii="Times New Roman" w:hAnsi="Times New Roman" w:cs="Times New Roman"/>
                <w:sz w:val="13"/>
                <w:szCs w:val="13"/>
              </w:rPr>
              <w:t>a</w:t>
            </w:r>
          </w:p>
        </w:tc>
        <w:tc>
          <w:tcPr>
            <w:tcW w:w="377" w:type="dxa"/>
            <w:tcBorders>
              <w:bottom w:val="single" w:sz="4" w:space="0" w:color="auto"/>
            </w:tcBorders>
            <w:noWrap/>
            <w:vAlign w:val="center"/>
            <w:hideMark/>
          </w:tcPr>
          <w:p w14:paraId="763A6C8D" w14:textId="77777777" w:rsidR="00126D8D" w:rsidRPr="004A4899" w:rsidRDefault="00126D8D" w:rsidP="00820288">
            <w:pPr>
              <w:spacing w:line="240" w:lineRule="auto"/>
              <w:jc w:val="right"/>
              <w:rPr>
                <w:rFonts w:ascii="Times New Roman" w:hAnsi="Times New Roman" w:cs="Times New Roman"/>
                <w:sz w:val="13"/>
                <w:szCs w:val="13"/>
              </w:rPr>
            </w:pPr>
            <w:r w:rsidRPr="004A4899">
              <w:rPr>
                <w:rFonts w:ascii="Times New Roman" w:hAnsi="Times New Roman" w:cs="Times New Roman"/>
                <w:sz w:val="13"/>
                <w:szCs w:val="13"/>
              </w:rPr>
              <w:t>162.05</w:t>
            </w:r>
          </w:p>
        </w:tc>
        <w:tc>
          <w:tcPr>
            <w:tcW w:w="273" w:type="dxa"/>
            <w:tcBorders>
              <w:bottom w:val="single" w:sz="4" w:space="0" w:color="auto"/>
            </w:tcBorders>
            <w:noWrap/>
            <w:vAlign w:val="center"/>
            <w:hideMark/>
          </w:tcPr>
          <w:p w14:paraId="3A63515D" w14:textId="77777777" w:rsidR="00126D8D" w:rsidRPr="004A4899" w:rsidRDefault="00126D8D" w:rsidP="00820288">
            <w:pPr>
              <w:spacing w:line="240" w:lineRule="auto"/>
              <w:rPr>
                <w:rFonts w:ascii="Times New Roman" w:hAnsi="Times New Roman" w:cs="Times New Roman"/>
                <w:sz w:val="13"/>
                <w:szCs w:val="13"/>
              </w:rPr>
            </w:pPr>
            <w:r w:rsidRPr="004A4899">
              <w:rPr>
                <w:rFonts w:ascii="Times New Roman" w:hAnsi="Times New Roman" w:cs="Times New Roman"/>
                <w:sz w:val="13"/>
                <w:szCs w:val="13"/>
              </w:rPr>
              <w:t>a</w:t>
            </w:r>
          </w:p>
        </w:tc>
      </w:tr>
    </w:tbl>
    <w:p w14:paraId="04E287CE" w14:textId="77777777" w:rsidR="00126D8D" w:rsidRPr="004A4899" w:rsidRDefault="00126D8D" w:rsidP="000958A5">
      <w:pPr>
        <w:spacing w:line="240" w:lineRule="auto"/>
        <w:jc w:val="both"/>
        <w:rPr>
          <w:rFonts w:cs="Times New Roman"/>
          <w:color w:val="000000"/>
          <w:sz w:val="14"/>
          <w:szCs w:val="14"/>
        </w:rPr>
      </w:pPr>
      <w:r w:rsidRPr="004A4899">
        <w:rPr>
          <w:rFonts w:cs="Times New Roman"/>
          <w:color w:val="000000"/>
          <w:sz w:val="14"/>
          <w:szCs w:val="14"/>
        </w:rPr>
        <w:t>All concentrations are presented in micro molarity of analyte per gram of fresh mass (µM</w:t>
      </w:r>
      <w:r w:rsidRPr="004A4899">
        <w:rPr>
          <w:rFonts w:cs="Times New Roman"/>
          <w:color w:val="000000"/>
          <w:sz w:val="14"/>
          <w:szCs w:val="14"/>
        </w:rPr>
        <w:sym w:font="Symbol" w:char="F0D7"/>
      </w:r>
      <w:r w:rsidRPr="004A4899">
        <w:rPr>
          <w:rFonts w:cs="Times New Roman"/>
          <w:color w:val="000000"/>
          <w:sz w:val="14"/>
          <w:szCs w:val="14"/>
        </w:rPr>
        <w:t>g</w:t>
      </w:r>
      <w:r w:rsidRPr="004A4899">
        <w:rPr>
          <w:rFonts w:cs="Times New Roman"/>
          <w:color w:val="000000"/>
          <w:sz w:val="14"/>
          <w:szCs w:val="14"/>
          <w:vertAlign w:val="superscript"/>
        </w:rPr>
        <w:t>-1</w:t>
      </w:r>
      <w:r w:rsidRPr="004A4899">
        <w:rPr>
          <w:rFonts w:cs="Times New Roman"/>
          <w:color w:val="000000"/>
          <w:sz w:val="14"/>
          <w:szCs w:val="14"/>
        </w:rPr>
        <w:t xml:space="preserve"> FM). Mean values represent two plants per replication and ten replications per treatment. Values for each treatment are averaged across all four growing seasons. Values were analyzed using Tukey’s protected least significant difference. Data in the same row followed by the same letter are not significantly different (</w:t>
      </w:r>
      <w:r w:rsidRPr="004A4899">
        <w:rPr>
          <w:rFonts w:cs="Times New Roman"/>
          <w:sz w:val="16"/>
          <w:szCs w:val="16"/>
        </w:rPr>
        <w:t>α = 0.05)</w:t>
      </w:r>
      <w:r w:rsidRPr="004A4899">
        <w:rPr>
          <w:rFonts w:cs="Times New Roman"/>
          <w:color w:val="000000"/>
          <w:sz w:val="14"/>
          <w:szCs w:val="14"/>
        </w:rPr>
        <w:t xml:space="preserve">. </w:t>
      </w:r>
    </w:p>
    <w:p w14:paraId="018099DE" w14:textId="77777777" w:rsidR="00126D8D" w:rsidRPr="00747A19" w:rsidRDefault="00126D8D" w:rsidP="000958A5">
      <w:pPr>
        <w:spacing w:line="240" w:lineRule="auto"/>
        <w:rPr>
          <w:rFonts w:cs="Times New Roman"/>
          <w:b/>
          <w:bCs/>
        </w:rPr>
      </w:pPr>
    </w:p>
    <w:p w14:paraId="3D9B9DAF" w14:textId="77777777" w:rsidR="00126D8D" w:rsidRPr="00687E27" w:rsidRDefault="00126D8D" w:rsidP="000958A5">
      <w:pPr>
        <w:spacing w:line="240" w:lineRule="auto"/>
        <w:rPr>
          <w:rFonts w:cs="Times New Roman"/>
          <w:color w:val="000000" w:themeColor="text1"/>
        </w:rPr>
      </w:pPr>
      <w:r>
        <w:rPr>
          <w:rFonts w:cs="Times New Roman"/>
          <w:noProof/>
          <w:color w:val="000000" w:themeColor="text1"/>
        </w:rPr>
        <w:lastRenderedPageBreak/>
        <mc:AlternateContent>
          <mc:Choice Requires="wps">
            <w:drawing>
              <wp:anchor distT="0" distB="0" distL="114300" distR="114300" simplePos="0" relativeHeight="251659264" behindDoc="0" locked="0" layoutInCell="1" allowOverlap="1" wp14:anchorId="4D83ACBD" wp14:editId="4F86BDA1">
                <wp:simplePos x="0" y="0"/>
                <wp:positionH relativeFrom="column">
                  <wp:posOffset>2424430</wp:posOffset>
                </wp:positionH>
                <wp:positionV relativeFrom="paragraph">
                  <wp:posOffset>4273854</wp:posOffset>
                </wp:positionV>
                <wp:extent cx="1828800" cy="333955"/>
                <wp:effectExtent l="0" t="0" r="0" b="0"/>
                <wp:wrapNone/>
                <wp:docPr id="1328740808" name="Text Box 1328740808"/>
                <wp:cNvGraphicFramePr/>
                <a:graphic xmlns:a="http://schemas.openxmlformats.org/drawingml/2006/main">
                  <a:graphicData uri="http://schemas.microsoft.com/office/word/2010/wordprocessingShape">
                    <wps:wsp>
                      <wps:cNvSpPr txBox="1"/>
                      <wps:spPr>
                        <a:xfrm>
                          <a:off x="0" y="0"/>
                          <a:ext cx="1828800" cy="333955"/>
                        </a:xfrm>
                        <a:prstGeom prst="rect">
                          <a:avLst/>
                        </a:prstGeom>
                        <a:noFill/>
                        <a:ln w="6350">
                          <a:noFill/>
                        </a:ln>
                      </wps:spPr>
                      <wps:txbx>
                        <w:txbxContent>
                          <w:p w14:paraId="5FC8A46D" w14:textId="77777777" w:rsidR="00126D8D" w:rsidRPr="00687E27" w:rsidRDefault="00126D8D" w:rsidP="000958A5">
                            <w:pPr>
                              <w:rPr>
                                <w:rFonts w:ascii="Arial" w:hAnsi="Arial" w:cs="Arial"/>
                                <w:sz w:val="21"/>
                                <w:szCs w:val="21"/>
                              </w:rPr>
                            </w:pPr>
                            <w:r w:rsidRPr="00687E27">
                              <w:rPr>
                                <w:rFonts w:ascii="Arial" w:hAnsi="Arial" w:cs="Arial"/>
                                <w:sz w:val="21"/>
                                <w:szCs w:val="21"/>
                              </w:rPr>
                              <w:t>Wavelength (nm)</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type w14:anchorId="4D83ACBD" id="_x0000_t202" coordsize="21600,21600" o:spt="202" path="m,l,21600r21600,l21600,xe">
                <v:stroke joinstyle="miter"/>
                <v:path gradientshapeok="t" o:connecttype="rect"/>
              </v:shapetype>
              <v:shape id="Text Box 1328740808" o:spid="_x0000_s1026" type="#_x0000_t202" style="position:absolute;margin-left:190.9pt;margin-top:336.5pt;width:2in;height:26.3pt;z-index:25165926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" filled="f" stroked="f" strokeweight=".5pt">
                <v:textbox>
                  <w:txbxContent>
                    <w:p w14:paraId="5FC8A46D" w14:textId="77777777" w:rsidR="00126D8D" w:rsidRPr="00687E27" w:rsidRDefault="00126D8D" w:rsidP="000958A5">
                      <w:pPr>
                        <w:rPr>
                          <w:rFonts w:ascii="Arial" w:hAnsi="Arial" w:cs="Arial"/>
                          <w:sz w:val="21"/>
                          <w:szCs w:val="21"/>
                        </w:rPr>
                      </w:pPr>
                      <w:r w:rsidRPr="00687E27">
                        <w:rPr>
                          <w:rFonts w:ascii="Arial" w:hAnsi="Arial" w:cs="Arial"/>
                          <w:sz w:val="21"/>
                          <w:szCs w:val="21"/>
                        </w:rPr>
                        <w:t>Wavelength (nm)</w:t>
                      </w:r>
                    </w:p>
                  </w:txbxContent>
                </v:textbox>
              </v:shape>
            </w:pict>
          </mc:Fallback>
        </mc:AlternateContent>
      </w:r>
      <w:r w:rsidRPr="00747A19">
        <w:rPr>
          <w:rFonts w:cs="Times New Roman"/>
          <w:noProof/>
          <w:color w:val="000000" w:themeColor="text1"/>
        </w:rPr>
        <w:drawing>
          <wp:inline distT="0" distB="0" distL="0" distR="0" wp14:anchorId="7F25BAB4" wp14:editId="657876D6">
            <wp:extent cx="5893046" cy="4400274"/>
            <wp:effectExtent l="0" t="0" r="0" b="0"/>
            <wp:docPr id="110781580" name="Picture 110781580" descr="Chart, line 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descr="Chart, line chart&#10;&#10;Description automatically generated"/>
                    <pic:cNvPicPr/>
                  </pic:nvPicPr>
                  <pic:blipFill>
                    <a:blip r:embed="rId25">
                      <a:extLst>
                        <a:ext uri="{28A0092B-C50C-407E-A947-70E740481C1C}">
                          <a14:useLocalDpi xmlns:a14="http://schemas.microsoft.com/office/drawing/2010/main" val="0"/>
                        </a:ext>
                      </a:extLst>
                    </a:blip>
                    <a:stretch>
                      <a:fillRect/>
                    </a:stretch>
                  </pic:blipFill>
                  <pic:spPr>
                    <a:xfrm>
                      <a:off x="0" y="0"/>
                      <a:ext cx="5916728" cy="4417957"/>
                    </a:xfrm>
                    <a:prstGeom prst="rect">
                      <a:avLst/>
                    </a:prstGeom>
                    <a:ln w="9525">
                      <a:noFill/>
                    </a:ln>
                  </pic:spPr>
                </pic:pic>
              </a:graphicData>
            </a:graphic>
          </wp:inline>
        </w:drawing>
      </w:r>
    </w:p>
    <w:p w14:paraId="15FD19B8" w14:textId="77777777" w:rsidR="00126D8D" w:rsidRDefault="00126D8D" w:rsidP="004A4899">
      <w:pPr>
        <w:pStyle w:val="TOCFigures1"/>
        <w:rPr>
          <w:b/>
          <w:bCs/>
        </w:rPr>
      </w:pPr>
    </w:p>
    <w:p w14:paraId="29D0704D" w14:textId="0D07D95A" w:rsidR="00126D8D" w:rsidRPr="00E94DE1" w:rsidRDefault="00126D8D" w:rsidP="004A4899">
      <w:pPr>
        <w:pStyle w:val="TOCFigures1"/>
        <w:rPr>
          <w:b/>
        </w:rPr>
      </w:pPr>
      <w:bookmarkStart w:id="532" w:name="_Toc141478808"/>
      <w:r w:rsidRPr="00747A19">
        <w:rPr>
          <w:b/>
          <w:bCs/>
        </w:rPr>
        <w:t xml:space="preserve">Figure </w:t>
      </w:r>
      <w:r>
        <w:rPr>
          <w:b/>
          <w:bCs/>
        </w:rPr>
        <w:t>3.</w:t>
      </w:r>
      <w:r w:rsidRPr="00747A19">
        <w:rPr>
          <w:b/>
          <w:bCs/>
        </w:rPr>
        <w:t xml:space="preserve">1. </w:t>
      </w:r>
      <w:r w:rsidRPr="00747A19">
        <w:t>Natural light (NL) spectra under greenhouse glass, averaged across all four growing seasons, ranging from 350 nm to 850 nm. Values were taken at solar noon with three replicates for full sun (yellow) and overcast (gray) for each experimental run. The daily light integral (DLI) of the NL control averaged 11.75 mol</w:t>
      </w:r>
      <w:r w:rsidRPr="00747A19">
        <w:rPr>
          <w:b/>
          <w:bCs/>
          <w:position w:val="8"/>
        </w:rPr>
        <w:t>.</w:t>
      </w:r>
      <w:r w:rsidRPr="00747A19">
        <w:t>m</w:t>
      </w:r>
      <w:r w:rsidRPr="00747A19">
        <w:rPr>
          <w:vertAlign w:val="superscript"/>
        </w:rPr>
        <w:t>-2</w:t>
      </w:r>
      <w:r w:rsidRPr="00747A19">
        <w:rPr>
          <w:b/>
          <w:bCs/>
          <w:position w:val="8"/>
        </w:rPr>
        <w:t>.</w:t>
      </w:r>
      <w:r w:rsidRPr="00747A19">
        <w:t>d</w:t>
      </w:r>
      <w:r w:rsidRPr="00747A19">
        <w:rPr>
          <w:vertAlign w:val="superscript"/>
        </w:rPr>
        <w:t>-1</w:t>
      </w:r>
      <w:r w:rsidRPr="00747A19">
        <w:rPr>
          <w:position w:val="8"/>
        </w:rPr>
        <w:t xml:space="preserve"> </w:t>
      </w:r>
      <w:r w:rsidRPr="00747A19">
        <w:t>across all growing cycles (ranging from 4 to 20 mol</w:t>
      </w:r>
      <w:r w:rsidRPr="00747A19">
        <w:rPr>
          <w:b/>
          <w:bCs/>
          <w:position w:val="8"/>
        </w:rPr>
        <w:t>.</w:t>
      </w:r>
      <w:r w:rsidRPr="00747A19">
        <w:t>m</w:t>
      </w:r>
      <w:r w:rsidRPr="00747A19">
        <w:rPr>
          <w:vertAlign w:val="superscript"/>
        </w:rPr>
        <w:t>-2</w:t>
      </w:r>
      <w:r w:rsidRPr="00747A19">
        <w:rPr>
          <w:b/>
          <w:bCs/>
          <w:position w:val="8"/>
        </w:rPr>
        <w:t>.</w:t>
      </w:r>
      <w:r w:rsidRPr="00747A19">
        <w:t>d</w:t>
      </w:r>
      <w:r w:rsidRPr="00747A19">
        <w:rPr>
          <w:vertAlign w:val="superscript"/>
        </w:rPr>
        <w:t>-1</w:t>
      </w:r>
      <w:r w:rsidRPr="00747A19">
        <w:t>).</w:t>
      </w:r>
      <w:bookmarkEnd w:id="532"/>
      <w:r w:rsidR="00661408">
        <w:t xml:space="preserve">  </w:t>
      </w:r>
    </w:p>
    <w:p w14:paraId="3C710640" w14:textId="77777777" w:rsidR="00126D8D" w:rsidRPr="00747A19" w:rsidRDefault="00126D8D" w:rsidP="000958A5">
      <w:pPr>
        <w:pStyle w:val="NormalWeb"/>
        <w:rPr>
          <w:b/>
          <w:bCs/>
        </w:rPr>
      </w:pPr>
    </w:p>
    <w:p w14:paraId="57099BA4" w14:textId="77777777" w:rsidR="00126D8D" w:rsidRPr="00747A19" w:rsidRDefault="00126D8D" w:rsidP="000958A5">
      <w:pPr>
        <w:spacing w:line="240" w:lineRule="auto"/>
        <w:rPr>
          <w:rFonts w:eastAsia="Times New Roman" w:cs="Times New Roman"/>
          <w:b/>
          <w:bCs/>
        </w:rPr>
      </w:pPr>
      <w:bookmarkStart w:id="533" w:name="OLE_LINK4"/>
      <w:bookmarkStart w:id="534" w:name="OLE_LINK5"/>
      <w:r w:rsidRPr="00747A19">
        <w:rPr>
          <w:rFonts w:cs="Times New Roman"/>
          <w:b/>
          <w:bCs/>
        </w:rPr>
        <w:br w:type="page"/>
      </w:r>
    </w:p>
    <w:p w14:paraId="26A4CCFA" w14:textId="77777777" w:rsidR="00126D8D" w:rsidRPr="00747A19" w:rsidRDefault="00126D8D" w:rsidP="000958A5">
      <w:pPr>
        <w:pStyle w:val="NormalWeb"/>
        <w:rPr>
          <w:b/>
          <w:bCs/>
        </w:rPr>
      </w:pPr>
      <w:r w:rsidRPr="00747A19">
        <w:rPr>
          <w:noProof/>
          <w:color w:val="000000" w:themeColor="text1"/>
        </w:rPr>
        <w:lastRenderedPageBreak/>
        <w:drawing>
          <wp:inline distT="0" distB="0" distL="0" distR="0" wp14:anchorId="5973DBDD" wp14:editId="4CC68B3F">
            <wp:extent cx="5943600" cy="4095115"/>
            <wp:effectExtent l="0" t="0" r="12700" b="6985"/>
            <wp:docPr id="1968877174" name="Chart 1968877174">
              <a:extLst xmlns:a="http://schemas.openxmlformats.org/drawingml/2006/main">
                <a:ext uri="{FF2B5EF4-FFF2-40B4-BE49-F238E27FC236}">
                  <a16:creationId xmlns:a16="http://schemas.microsoft.com/office/drawing/2014/main" id="{3A26702F-8DB9-C74D-B0F8-1E113484FCCA}"/>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6"/>
              </a:graphicData>
            </a:graphic>
          </wp:inline>
        </w:drawing>
      </w:r>
    </w:p>
    <w:p w14:paraId="1B5869F7" w14:textId="77777777" w:rsidR="00126D8D" w:rsidRPr="00747A19" w:rsidRDefault="00126D8D" w:rsidP="004A4899">
      <w:pPr>
        <w:pStyle w:val="TOCFigures1"/>
      </w:pPr>
      <w:bookmarkStart w:id="535" w:name="_Toc141478809"/>
      <w:r w:rsidRPr="00747A19">
        <w:rPr>
          <w:b/>
          <w:bCs/>
        </w:rPr>
        <w:t xml:space="preserve">Figure </w:t>
      </w:r>
      <w:r>
        <w:rPr>
          <w:b/>
          <w:bCs/>
        </w:rPr>
        <w:t>3.</w:t>
      </w:r>
      <w:r w:rsidRPr="00747A19">
        <w:rPr>
          <w:b/>
          <w:bCs/>
        </w:rPr>
        <w:t xml:space="preserve">2 (A). </w:t>
      </w:r>
      <w:r w:rsidRPr="00747A19">
        <w:t xml:space="preserve">Emission spectra of </w:t>
      </w:r>
      <w:r>
        <w:t>supplemental lighting</w:t>
      </w:r>
      <w:r w:rsidRPr="00747A19">
        <w:t xml:space="preserve"> (SL) treatment 660/400/660 from 300 nm to 750 nm. All SL treatments provided 8.64 mol</w:t>
      </w:r>
      <w:r w:rsidRPr="00747A19">
        <w:rPr>
          <w:b/>
          <w:bCs/>
          <w:position w:val="8"/>
        </w:rPr>
        <w:t>.</w:t>
      </w:r>
      <w:r w:rsidRPr="00747A19">
        <w:t>m</w:t>
      </w:r>
      <w:r w:rsidRPr="00747A19">
        <w:rPr>
          <w:vertAlign w:val="superscript"/>
        </w:rPr>
        <w:t>-2</w:t>
      </w:r>
      <w:r w:rsidRPr="00747A19">
        <w:rPr>
          <w:b/>
          <w:bCs/>
          <w:position w:val="8"/>
        </w:rPr>
        <w:t>.</w:t>
      </w:r>
      <w:r w:rsidRPr="00747A19">
        <w:t>d</w:t>
      </w:r>
      <w:r w:rsidRPr="00747A19">
        <w:rPr>
          <w:vertAlign w:val="superscript"/>
        </w:rPr>
        <w:t>-1</w:t>
      </w:r>
      <w:r w:rsidRPr="00747A19">
        <w:rPr>
          <w:position w:val="8"/>
        </w:rPr>
        <w:t xml:space="preserve"> </w:t>
      </w:r>
      <w:r w:rsidRPr="00747A19">
        <w:t>(continuous 100 μmol</w:t>
      </w:r>
      <w:r w:rsidRPr="00747A19">
        <w:rPr>
          <w:b/>
          <w:bCs/>
          <w:position w:val="8"/>
        </w:rPr>
        <w:t>.</w:t>
      </w:r>
      <w:r w:rsidRPr="00747A19">
        <w:t>m</w:t>
      </w:r>
      <w:r w:rsidRPr="00747A19">
        <w:rPr>
          <w:vertAlign w:val="superscript"/>
        </w:rPr>
        <w:t>-2</w:t>
      </w:r>
      <w:r w:rsidRPr="00747A19">
        <w:rPr>
          <w:b/>
          <w:bCs/>
          <w:position w:val="8"/>
        </w:rPr>
        <w:t>.</w:t>
      </w:r>
      <w:r w:rsidRPr="00747A19">
        <w:t>s</w:t>
      </w:r>
      <w:r w:rsidRPr="00747A19">
        <w:rPr>
          <w:vertAlign w:val="superscript"/>
        </w:rPr>
        <w:t>-1</w:t>
      </w:r>
      <w:r w:rsidRPr="00747A19">
        <w:t>; 24 h</w:t>
      </w:r>
      <w:r w:rsidRPr="00747A19">
        <w:rPr>
          <w:b/>
          <w:bCs/>
          <w:position w:val="8"/>
        </w:rPr>
        <w:t>.</w:t>
      </w:r>
      <w:r w:rsidRPr="00747A19">
        <w:t>d</w:t>
      </w:r>
      <w:r w:rsidRPr="00747A19">
        <w:rPr>
          <w:vertAlign w:val="superscript"/>
        </w:rPr>
        <w:t>-1</w:t>
      </w:r>
      <w:r w:rsidRPr="00747A19">
        <w:t>). All lighting treatments were measured with a PS-200 Apogee Spectroradiometer to confirm intensity of specific treatment wavelengths throughout each growing season. Readings were taken at midnight in order to exclude underlying natural solar spectra.</w:t>
      </w:r>
      <w:bookmarkEnd w:id="535"/>
      <w:r w:rsidRPr="00747A19">
        <w:t xml:space="preserve"> </w:t>
      </w:r>
    </w:p>
    <w:p w14:paraId="29E5E5B9" w14:textId="77777777" w:rsidR="00126D8D" w:rsidRPr="00747A19" w:rsidRDefault="00126D8D" w:rsidP="000958A5">
      <w:pPr>
        <w:pStyle w:val="NormalWeb"/>
      </w:pPr>
    </w:p>
    <w:p w14:paraId="73AABE80" w14:textId="77777777" w:rsidR="00126D8D" w:rsidRPr="00747A19" w:rsidRDefault="00126D8D" w:rsidP="000958A5">
      <w:pPr>
        <w:spacing w:line="240" w:lineRule="auto"/>
        <w:rPr>
          <w:rFonts w:eastAsia="Times New Roman" w:cs="Times New Roman"/>
        </w:rPr>
      </w:pPr>
      <w:r w:rsidRPr="00747A19">
        <w:rPr>
          <w:rFonts w:cs="Times New Roman"/>
        </w:rPr>
        <w:br w:type="page"/>
      </w:r>
    </w:p>
    <w:p w14:paraId="785B1B99" w14:textId="77777777" w:rsidR="00126D8D" w:rsidRPr="00747A19" w:rsidRDefault="00126D8D" w:rsidP="000958A5">
      <w:pPr>
        <w:pStyle w:val="NormalWeb"/>
      </w:pPr>
      <w:r w:rsidRPr="00747A19">
        <w:rPr>
          <w:noProof/>
        </w:rPr>
        <w:lastRenderedPageBreak/>
        <w:drawing>
          <wp:inline distT="0" distB="0" distL="0" distR="0" wp14:anchorId="77D8C12E" wp14:editId="517804FC">
            <wp:extent cx="5943600" cy="4095115"/>
            <wp:effectExtent l="0" t="0" r="12700" b="6985"/>
            <wp:docPr id="746776649" name="Chart 746776649">
              <a:extLst xmlns:a="http://schemas.openxmlformats.org/drawingml/2006/main">
                <a:ext uri="{FF2B5EF4-FFF2-40B4-BE49-F238E27FC236}">
                  <a16:creationId xmlns:a16="http://schemas.microsoft.com/office/drawing/2014/main" id="{ED8D5C60-6CFC-E244-8ED2-DFB7A20126A9}"/>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7"/>
              </a:graphicData>
            </a:graphic>
          </wp:inline>
        </w:drawing>
      </w:r>
    </w:p>
    <w:p w14:paraId="5A3EBA63" w14:textId="77777777" w:rsidR="00126D8D" w:rsidRPr="00747A19" w:rsidRDefault="00126D8D" w:rsidP="004A4899">
      <w:pPr>
        <w:pStyle w:val="TOCFigures1"/>
      </w:pPr>
      <w:bookmarkStart w:id="536" w:name="_Toc141478810"/>
      <w:r w:rsidRPr="00747A19">
        <w:rPr>
          <w:b/>
          <w:bCs/>
        </w:rPr>
        <w:t xml:space="preserve">Figure </w:t>
      </w:r>
      <w:r>
        <w:rPr>
          <w:b/>
          <w:bCs/>
        </w:rPr>
        <w:t>3.</w:t>
      </w:r>
      <w:r w:rsidRPr="00747A19">
        <w:rPr>
          <w:b/>
          <w:bCs/>
        </w:rPr>
        <w:t xml:space="preserve">2 (B). </w:t>
      </w:r>
      <w:r w:rsidRPr="00747A19">
        <w:t xml:space="preserve">Emission spectra of </w:t>
      </w:r>
      <w:r>
        <w:t>supplemental lighting</w:t>
      </w:r>
      <w:r w:rsidRPr="00747A19">
        <w:t xml:space="preserve"> (SL) treatment 660/420/660 from 300 nm to 750 nm. All SL treatments provided 8.64 mol</w:t>
      </w:r>
      <w:r w:rsidRPr="00747A19">
        <w:rPr>
          <w:b/>
          <w:bCs/>
          <w:position w:val="8"/>
        </w:rPr>
        <w:t>.</w:t>
      </w:r>
      <w:r w:rsidRPr="00747A19">
        <w:t>m</w:t>
      </w:r>
      <w:r w:rsidRPr="00747A19">
        <w:rPr>
          <w:vertAlign w:val="superscript"/>
        </w:rPr>
        <w:t>-2</w:t>
      </w:r>
      <w:r w:rsidRPr="00747A19">
        <w:rPr>
          <w:b/>
          <w:bCs/>
          <w:position w:val="8"/>
        </w:rPr>
        <w:t>.</w:t>
      </w:r>
      <w:r w:rsidRPr="00747A19">
        <w:t>d</w:t>
      </w:r>
      <w:r w:rsidRPr="00747A19">
        <w:rPr>
          <w:vertAlign w:val="superscript"/>
        </w:rPr>
        <w:t>-1</w:t>
      </w:r>
      <w:r w:rsidRPr="00747A19">
        <w:rPr>
          <w:position w:val="8"/>
        </w:rPr>
        <w:t xml:space="preserve"> </w:t>
      </w:r>
      <w:r w:rsidRPr="00747A19">
        <w:t>(continuous 100 μmol</w:t>
      </w:r>
      <w:r w:rsidRPr="00747A19">
        <w:rPr>
          <w:b/>
          <w:bCs/>
          <w:position w:val="8"/>
        </w:rPr>
        <w:t>.</w:t>
      </w:r>
      <w:r w:rsidRPr="00747A19">
        <w:t>m</w:t>
      </w:r>
      <w:r w:rsidRPr="00747A19">
        <w:rPr>
          <w:vertAlign w:val="superscript"/>
        </w:rPr>
        <w:t>-2</w:t>
      </w:r>
      <w:r w:rsidRPr="00747A19">
        <w:rPr>
          <w:b/>
          <w:bCs/>
          <w:position w:val="8"/>
        </w:rPr>
        <w:t>.</w:t>
      </w:r>
      <w:r w:rsidRPr="00747A19">
        <w:t>s</w:t>
      </w:r>
      <w:r w:rsidRPr="00747A19">
        <w:rPr>
          <w:vertAlign w:val="superscript"/>
        </w:rPr>
        <w:t>-1</w:t>
      </w:r>
      <w:r w:rsidRPr="00747A19">
        <w:t>; 24 h</w:t>
      </w:r>
      <w:r w:rsidRPr="00747A19">
        <w:rPr>
          <w:b/>
          <w:bCs/>
          <w:position w:val="8"/>
        </w:rPr>
        <w:t>.</w:t>
      </w:r>
      <w:r w:rsidRPr="00747A19">
        <w:t>d</w:t>
      </w:r>
      <w:r w:rsidRPr="00747A19">
        <w:rPr>
          <w:vertAlign w:val="superscript"/>
        </w:rPr>
        <w:t>-1</w:t>
      </w:r>
      <w:r w:rsidRPr="00747A19">
        <w:t>). All lighting treatments were measured with a PS-200 Apogee Spectroradiometer to confirm intensity of specific treatment wavelengths throughout each growing season. Readings were taken at midnight in order to exclude underlying natural solar spectra.</w:t>
      </w:r>
      <w:bookmarkEnd w:id="536"/>
    </w:p>
    <w:p w14:paraId="338140E8" w14:textId="77777777" w:rsidR="00126D8D" w:rsidRPr="00747A19" w:rsidRDefault="00126D8D" w:rsidP="000958A5">
      <w:pPr>
        <w:pStyle w:val="NormalWeb"/>
      </w:pPr>
    </w:p>
    <w:p w14:paraId="00A3CF10" w14:textId="77777777" w:rsidR="00126D8D" w:rsidRPr="00747A19" w:rsidRDefault="00126D8D" w:rsidP="000958A5">
      <w:pPr>
        <w:pStyle w:val="NormalWeb"/>
      </w:pPr>
    </w:p>
    <w:p w14:paraId="274B56EE" w14:textId="77777777" w:rsidR="00126D8D" w:rsidRPr="00747A19" w:rsidRDefault="00126D8D" w:rsidP="000958A5">
      <w:pPr>
        <w:spacing w:line="240" w:lineRule="auto"/>
        <w:rPr>
          <w:rFonts w:eastAsia="Times New Roman" w:cs="Times New Roman"/>
        </w:rPr>
      </w:pPr>
      <w:r w:rsidRPr="00747A19">
        <w:rPr>
          <w:rFonts w:cs="Times New Roman"/>
        </w:rPr>
        <w:br w:type="page"/>
      </w:r>
    </w:p>
    <w:p w14:paraId="1052B232" w14:textId="77777777" w:rsidR="00126D8D" w:rsidRPr="00747A19" w:rsidRDefault="00126D8D" w:rsidP="000958A5">
      <w:pPr>
        <w:pStyle w:val="NormalWeb"/>
      </w:pPr>
      <w:r w:rsidRPr="00747A19">
        <w:rPr>
          <w:noProof/>
        </w:rPr>
        <w:lastRenderedPageBreak/>
        <w:drawing>
          <wp:inline distT="0" distB="0" distL="0" distR="0" wp14:anchorId="04641A62" wp14:editId="0F54C51F">
            <wp:extent cx="5943600" cy="4095115"/>
            <wp:effectExtent l="0" t="0" r="12700" b="6985"/>
            <wp:docPr id="131169388" name="Chart 131169388">
              <a:extLst xmlns:a="http://schemas.openxmlformats.org/drawingml/2006/main">
                <a:ext uri="{FF2B5EF4-FFF2-40B4-BE49-F238E27FC236}">
                  <a16:creationId xmlns:a16="http://schemas.microsoft.com/office/drawing/2014/main" id="{C0306E18-0A08-1648-AF97-247F0A8C03F3}"/>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8"/>
              </a:graphicData>
            </a:graphic>
          </wp:inline>
        </w:drawing>
      </w:r>
    </w:p>
    <w:p w14:paraId="4F8ADCF3" w14:textId="77777777" w:rsidR="00126D8D" w:rsidRPr="00747A19" w:rsidRDefault="00126D8D" w:rsidP="004A4899">
      <w:pPr>
        <w:pStyle w:val="TOCFigures1"/>
      </w:pPr>
      <w:bookmarkStart w:id="537" w:name="_Toc141478811"/>
      <w:r w:rsidRPr="00747A19">
        <w:rPr>
          <w:b/>
          <w:bCs/>
        </w:rPr>
        <w:t xml:space="preserve">Figure </w:t>
      </w:r>
      <w:r>
        <w:rPr>
          <w:b/>
          <w:bCs/>
        </w:rPr>
        <w:t>3.</w:t>
      </w:r>
      <w:r w:rsidRPr="00747A19">
        <w:rPr>
          <w:b/>
          <w:bCs/>
        </w:rPr>
        <w:t xml:space="preserve">2 (C). </w:t>
      </w:r>
      <w:r w:rsidRPr="00747A19">
        <w:t xml:space="preserve">Emission spectra of </w:t>
      </w:r>
      <w:r>
        <w:t>supplemental lighting</w:t>
      </w:r>
      <w:r w:rsidRPr="00747A19">
        <w:t xml:space="preserve"> (SL) treatment 660/450/660 from 300 nm to 750 nm. All SL treatments provided 8.64 mol</w:t>
      </w:r>
      <w:r w:rsidRPr="00747A19">
        <w:rPr>
          <w:b/>
          <w:bCs/>
          <w:position w:val="8"/>
        </w:rPr>
        <w:t>.</w:t>
      </w:r>
      <w:r w:rsidRPr="00747A19">
        <w:t>m</w:t>
      </w:r>
      <w:r w:rsidRPr="00747A19">
        <w:rPr>
          <w:vertAlign w:val="superscript"/>
        </w:rPr>
        <w:t>-2</w:t>
      </w:r>
      <w:r w:rsidRPr="00747A19">
        <w:rPr>
          <w:b/>
          <w:bCs/>
          <w:position w:val="8"/>
        </w:rPr>
        <w:t>.</w:t>
      </w:r>
      <w:r w:rsidRPr="00747A19">
        <w:t>d</w:t>
      </w:r>
      <w:r w:rsidRPr="00747A19">
        <w:rPr>
          <w:vertAlign w:val="superscript"/>
        </w:rPr>
        <w:t>-1</w:t>
      </w:r>
      <w:r w:rsidRPr="00747A19">
        <w:rPr>
          <w:position w:val="8"/>
        </w:rPr>
        <w:t xml:space="preserve"> </w:t>
      </w:r>
      <w:r w:rsidRPr="00747A19">
        <w:t>(continuous 100 μmol</w:t>
      </w:r>
      <w:r w:rsidRPr="00747A19">
        <w:rPr>
          <w:b/>
          <w:bCs/>
          <w:position w:val="8"/>
        </w:rPr>
        <w:t>.</w:t>
      </w:r>
      <w:r w:rsidRPr="00747A19">
        <w:t>m</w:t>
      </w:r>
      <w:r w:rsidRPr="00747A19">
        <w:rPr>
          <w:vertAlign w:val="superscript"/>
        </w:rPr>
        <w:t>-2</w:t>
      </w:r>
      <w:r w:rsidRPr="00747A19">
        <w:rPr>
          <w:b/>
          <w:bCs/>
          <w:position w:val="8"/>
        </w:rPr>
        <w:t>.</w:t>
      </w:r>
      <w:r w:rsidRPr="00747A19">
        <w:t>s</w:t>
      </w:r>
      <w:r w:rsidRPr="00747A19">
        <w:rPr>
          <w:vertAlign w:val="superscript"/>
        </w:rPr>
        <w:t>-1</w:t>
      </w:r>
      <w:r w:rsidRPr="00747A19">
        <w:t>; 24 h</w:t>
      </w:r>
      <w:r w:rsidRPr="00747A19">
        <w:rPr>
          <w:b/>
          <w:bCs/>
          <w:position w:val="8"/>
        </w:rPr>
        <w:t>.</w:t>
      </w:r>
      <w:r w:rsidRPr="00747A19">
        <w:t>d</w:t>
      </w:r>
      <w:r w:rsidRPr="00747A19">
        <w:rPr>
          <w:vertAlign w:val="superscript"/>
        </w:rPr>
        <w:t>-1</w:t>
      </w:r>
      <w:r w:rsidRPr="00747A19">
        <w:t>). All lighting treatments were measured with a PS-200 Apogee Spectroradiometer to confirm intensity of specific treatment wavelengths throughout each growing season. Readings were taken at midnight in order to exclude underlying natural solar spectra.</w:t>
      </w:r>
      <w:bookmarkEnd w:id="537"/>
    </w:p>
    <w:p w14:paraId="1D4B41FD" w14:textId="77777777" w:rsidR="00126D8D" w:rsidRPr="00747A19" w:rsidRDefault="00126D8D" w:rsidP="00E94DE1">
      <w:pPr>
        <w:spacing w:line="240" w:lineRule="auto"/>
        <w:rPr>
          <w:rFonts w:eastAsia="Times New Roman" w:cs="Times New Roman"/>
        </w:rPr>
      </w:pPr>
      <w:r w:rsidRPr="00747A19">
        <w:rPr>
          <w:rFonts w:cs="Times New Roman"/>
        </w:rPr>
        <w:br w:type="page"/>
      </w:r>
    </w:p>
    <w:p w14:paraId="6B2F51B0" w14:textId="77777777" w:rsidR="00126D8D" w:rsidRPr="00747A19" w:rsidRDefault="00126D8D" w:rsidP="000958A5">
      <w:pPr>
        <w:pStyle w:val="NormalWeb"/>
      </w:pPr>
      <w:r w:rsidRPr="00747A19">
        <w:rPr>
          <w:noProof/>
        </w:rPr>
        <w:lastRenderedPageBreak/>
        <w:drawing>
          <wp:inline distT="0" distB="0" distL="0" distR="0" wp14:anchorId="421AED7C" wp14:editId="1E1582DE">
            <wp:extent cx="5943600" cy="4095115"/>
            <wp:effectExtent l="0" t="0" r="12700" b="6985"/>
            <wp:docPr id="775783492" name="Chart 775783492">
              <a:extLst xmlns:a="http://schemas.openxmlformats.org/drawingml/2006/main">
                <a:ext uri="{FF2B5EF4-FFF2-40B4-BE49-F238E27FC236}">
                  <a16:creationId xmlns:a16="http://schemas.microsoft.com/office/drawing/2014/main" id="{457B87E4-040E-2446-A92E-8645CAB8633C}"/>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9"/>
              </a:graphicData>
            </a:graphic>
          </wp:inline>
        </w:drawing>
      </w:r>
    </w:p>
    <w:p w14:paraId="115DB16B" w14:textId="77777777" w:rsidR="00126D8D" w:rsidRPr="00747A19" w:rsidRDefault="00126D8D" w:rsidP="004A4899">
      <w:pPr>
        <w:pStyle w:val="TOCFigures1"/>
      </w:pPr>
      <w:bookmarkStart w:id="538" w:name="_Toc141478812"/>
      <w:bookmarkStart w:id="539" w:name="OLE_LINK1"/>
      <w:r w:rsidRPr="00747A19">
        <w:rPr>
          <w:b/>
          <w:bCs/>
        </w:rPr>
        <w:t xml:space="preserve">Figure </w:t>
      </w:r>
      <w:r>
        <w:rPr>
          <w:b/>
          <w:bCs/>
        </w:rPr>
        <w:t>3.</w:t>
      </w:r>
      <w:r w:rsidRPr="00747A19">
        <w:rPr>
          <w:b/>
          <w:bCs/>
        </w:rPr>
        <w:t xml:space="preserve">2 (D). </w:t>
      </w:r>
      <w:r w:rsidRPr="00747A19">
        <w:t xml:space="preserve">Emission spectra of </w:t>
      </w:r>
      <w:r>
        <w:t>supplemental lighting</w:t>
      </w:r>
      <w:r w:rsidRPr="00747A19">
        <w:t xml:space="preserve"> (SL) treatment 660/470/660 from 300 nm to 750 nm. All SL treatments provided 8.64 mol</w:t>
      </w:r>
      <w:r w:rsidRPr="00747A19">
        <w:rPr>
          <w:b/>
          <w:bCs/>
          <w:position w:val="8"/>
        </w:rPr>
        <w:t>.</w:t>
      </w:r>
      <w:r w:rsidRPr="00747A19">
        <w:t>m</w:t>
      </w:r>
      <w:r w:rsidRPr="00747A19">
        <w:rPr>
          <w:vertAlign w:val="superscript"/>
        </w:rPr>
        <w:t>-2</w:t>
      </w:r>
      <w:r w:rsidRPr="00747A19">
        <w:rPr>
          <w:b/>
          <w:bCs/>
          <w:position w:val="8"/>
        </w:rPr>
        <w:t>.</w:t>
      </w:r>
      <w:r w:rsidRPr="00747A19">
        <w:t>d</w:t>
      </w:r>
      <w:r w:rsidRPr="00747A19">
        <w:rPr>
          <w:vertAlign w:val="superscript"/>
        </w:rPr>
        <w:t>-1</w:t>
      </w:r>
      <w:r w:rsidRPr="00747A19">
        <w:rPr>
          <w:position w:val="8"/>
        </w:rPr>
        <w:t xml:space="preserve"> </w:t>
      </w:r>
      <w:r w:rsidRPr="00747A19">
        <w:t>(continuous 100 μmol</w:t>
      </w:r>
      <w:r w:rsidRPr="00747A19">
        <w:rPr>
          <w:b/>
          <w:bCs/>
          <w:position w:val="8"/>
        </w:rPr>
        <w:t>.</w:t>
      </w:r>
      <w:r w:rsidRPr="00747A19">
        <w:t>m</w:t>
      </w:r>
      <w:r w:rsidRPr="00747A19">
        <w:rPr>
          <w:vertAlign w:val="superscript"/>
        </w:rPr>
        <w:t>-2</w:t>
      </w:r>
      <w:r w:rsidRPr="00747A19">
        <w:rPr>
          <w:b/>
          <w:bCs/>
          <w:position w:val="8"/>
        </w:rPr>
        <w:t>.</w:t>
      </w:r>
      <w:r w:rsidRPr="00747A19">
        <w:t>s</w:t>
      </w:r>
      <w:r w:rsidRPr="00747A19">
        <w:rPr>
          <w:vertAlign w:val="superscript"/>
        </w:rPr>
        <w:t>-1</w:t>
      </w:r>
      <w:r w:rsidRPr="00747A19">
        <w:t>; 24 h</w:t>
      </w:r>
      <w:r w:rsidRPr="00747A19">
        <w:rPr>
          <w:b/>
          <w:bCs/>
          <w:position w:val="8"/>
        </w:rPr>
        <w:t>.</w:t>
      </w:r>
      <w:r w:rsidRPr="00747A19">
        <w:t>d</w:t>
      </w:r>
      <w:r w:rsidRPr="00747A19">
        <w:rPr>
          <w:vertAlign w:val="superscript"/>
        </w:rPr>
        <w:t>-1</w:t>
      </w:r>
      <w:r w:rsidRPr="00747A19">
        <w:t>). All lighting treatments were measured with a PS-200 Apogee Spectroradiometer to confirm intensity of specific treatment wavelengths throughout each growing season. Readings were taken at midnight in order to exclude underlying natural solar spectra.</w:t>
      </w:r>
      <w:bookmarkEnd w:id="538"/>
    </w:p>
    <w:bookmarkEnd w:id="539"/>
    <w:p w14:paraId="526C1FAD" w14:textId="77777777" w:rsidR="00126D8D" w:rsidRPr="00747A19" w:rsidRDefault="00126D8D" w:rsidP="000958A5">
      <w:pPr>
        <w:spacing w:line="240" w:lineRule="auto"/>
        <w:rPr>
          <w:rFonts w:cs="Times New Roman"/>
        </w:rPr>
      </w:pPr>
    </w:p>
    <w:p w14:paraId="19080678" w14:textId="77777777" w:rsidR="00126D8D" w:rsidRPr="00747A19" w:rsidRDefault="00126D8D" w:rsidP="000958A5">
      <w:pPr>
        <w:spacing w:line="240" w:lineRule="auto"/>
        <w:rPr>
          <w:rFonts w:cs="Times New Roman"/>
        </w:rPr>
      </w:pPr>
      <w:r w:rsidRPr="00747A19">
        <w:rPr>
          <w:rFonts w:cs="Times New Roman"/>
        </w:rPr>
        <w:br w:type="page"/>
      </w:r>
    </w:p>
    <w:p w14:paraId="63ECDC2B" w14:textId="77777777" w:rsidR="00126D8D" w:rsidRPr="00747A19" w:rsidRDefault="00126D8D" w:rsidP="000958A5">
      <w:pPr>
        <w:spacing w:line="240" w:lineRule="auto"/>
        <w:rPr>
          <w:rFonts w:cs="Times New Roman"/>
        </w:rPr>
      </w:pPr>
      <w:r w:rsidRPr="00747A19">
        <w:rPr>
          <w:rFonts w:cs="Times New Roman"/>
          <w:noProof/>
        </w:rPr>
        <w:lastRenderedPageBreak/>
        <w:drawing>
          <wp:inline distT="0" distB="0" distL="0" distR="0" wp14:anchorId="3A4A49CD" wp14:editId="4EFE1E6E">
            <wp:extent cx="5943600" cy="4095115"/>
            <wp:effectExtent l="0" t="0" r="12700" b="6985"/>
            <wp:docPr id="13" name="Chart 13">
              <a:extLst xmlns:a="http://schemas.openxmlformats.org/drawingml/2006/main">
                <a:ext uri="{FF2B5EF4-FFF2-40B4-BE49-F238E27FC236}">
                  <a16:creationId xmlns:a16="http://schemas.microsoft.com/office/drawing/2014/main" id="{9E40806E-C94A-1749-A302-3561771C276E}"/>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30"/>
              </a:graphicData>
            </a:graphic>
          </wp:inline>
        </w:drawing>
      </w:r>
    </w:p>
    <w:p w14:paraId="10C74EC4" w14:textId="77777777" w:rsidR="00126D8D" w:rsidRPr="00747A19" w:rsidRDefault="00126D8D" w:rsidP="004A4899">
      <w:pPr>
        <w:pStyle w:val="TOCFigures1"/>
      </w:pPr>
      <w:bookmarkStart w:id="540" w:name="_Toc141478813"/>
      <w:r w:rsidRPr="00747A19">
        <w:rPr>
          <w:b/>
          <w:bCs/>
        </w:rPr>
        <w:t xml:space="preserve">Figure </w:t>
      </w:r>
      <w:r>
        <w:rPr>
          <w:b/>
          <w:bCs/>
        </w:rPr>
        <w:t>3.</w:t>
      </w:r>
      <w:r w:rsidRPr="00747A19">
        <w:rPr>
          <w:b/>
          <w:bCs/>
        </w:rPr>
        <w:t xml:space="preserve">2 (E). </w:t>
      </w:r>
      <w:r w:rsidRPr="00747A19">
        <w:t xml:space="preserve">Emission spectra of </w:t>
      </w:r>
      <w:r>
        <w:t>supplemental lighting</w:t>
      </w:r>
      <w:r w:rsidRPr="00747A19">
        <w:t xml:space="preserve"> (SL) treatment 470/450/420 from 300 nm to 750 nm. All SL treatments provided 8.64 mol</w:t>
      </w:r>
      <w:r w:rsidRPr="00747A19">
        <w:rPr>
          <w:b/>
          <w:bCs/>
          <w:position w:val="8"/>
        </w:rPr>
        <w:t>.</w:t>
      </w:r>
      <w:r w:rsidRPr="00747A19">
        <w:t>m</w:t>
      </w:r>
      <w:r w:rsidRPr="00747A19">
        <w:rPr>
          <w:vertAlign w:val="superscript"/>
        </w:rPr>
        <w:t>-2</w:t>
      </w:r>
      <w:r w:rsidRPr="00747A19">
        <w:rPr>
          <w:b/>
          <w:bCs/>
          <w:position w:val="8"/>
        </w:rPr>
        <w:t>.</w:t>
      </w:r>
      <w:r w:rsidRPr="00747A19">
        <w:t>d</w:t>
      </w:r>
      <w:r w:rsidRPr="00747A19">
        <w:rPr>
          <w:vertAlign w:val="superscript"/>
        </w:rPr>
        <w:t>-1</w:t>
      </w:r>
      <w:r w:rsidRPr="00747A19">
        <w:rPr>
          <w:position w:val="8"/>
        </w:rPr>
        <w:t xml:space="preserve"> </w:t>
      </w:r>
      <w:r w:rsidRPr="00747A19">
        <w:t>(continuous 100 μmol</w:t>
      </w:r>
      <w:r w:rsidRPr="00747A19">
        <w:rPr>
          <w:b/>
          <w:bCs/>
          <w:position w:val="8"/>
        </w:rPr>
        <w:t>.</w:t>
      </w:r>
      <w:r w:rsidRPr="00747A19">
        <w:t>m</w:t>
      </w:r>
      <w:r w:rsidRPr="00747A19">
        <w:rPr>
          <w:vertAlign w:val="superscript"/>
        </w:rPr>
        <w:t>-2</w:t>
      </w:r>
      <w:r w:rsidRPr="00747A19">
        <w:rPr>
          <w:b/>
          <w:bCs/>
          <w:position w:val="8"/>
        </w:rPr>
        <w:t>.</w:t>
      </w:r>
      <w:r w:rsidRPr="00747A19">
        <w:t>s</w:t>
      </w:r>
      <w:r w:rsidRPr="00747A19">
        <w:rPr>
          <w:vertAlign w:val="superscript"/>
        </w:rPr>
        <w:t>-1</w:t>
      </w:r>
      <w:r w:rsidRPr="00747A19">
        <w:t>; 24 h</w:t>
      </w:r>
      <w:r w:rsidRPr="00747A19">
        <w:rPr>
          <w:b/>
          <w:bCs/>
          <w:position w:val="8"/>
        </w:rPr>
        <w:t>.</w:t>
      </w:r>
      <w:r w:rsidRPr="00747A19">
        <w:t>d</w:t>
      </w:r>
      <w:r w:rsidRPr="00747A19">
        <w:rPr>
          <w:vertAlign w:val="superscript"/>
        </w:rPr>
        <w:t>-1</w:t>
      </w:r>
      <w:r w:rsidRPr="00747A19">
        <w:t>). All lighting treatments were measured with a PS-200 Apogee Spectroradiometer to confirm intensity of specific treatment wavelengths throughout each growing season. Readings were taken at midnight in order to exclude underlying natural solar spectra.</w:t>
      </w:r>
      <w:bookmarkEnd w:id="540"/>
    </w:p>
    <w:p w14:paraId="49257352" w14:textId="77777777" w:rsidR="00126D8D" w:rsidRPr="00747A19" w:rsidRDefault="00126D8D" w:rsidP="000958A5">
      <w:pPr>
        <w:pStyle w:val="NormalWeb"/>
      </w:pPr>
    </w:p>
    <w:p w14:paraId="3CC5DA85" w14:textId="77777777" w:rsidR="00126D8D" w:rsidRPr="00747A19" w:rsidRDefault="00126D8D" w:rsidP="000958A5">
      <w:pPr>
        <w:spacing w:line="240" w:lineRule="auto"/>
        <w:rPr>
          <w:rFonts w:eastAsia="Times New Roman" w:cs="Times New Roman"/>
        </w:rPr>
      </w:pPr>
      <w:r w:rsidRPr="00747A19">
        <w:rPr>
          <w:rFonts w:cs="Times New Roman"/>
        </w:rPr>
        <w:br w:type="page"/>
      </w:r>
    </w:p>
    <w:p w14:paraId="0D5CEFF8" w14:textId="77777777" w:rsidR="00126D8D" w:rsidRPr="00747A19" w:rsidRDefault="00126D8D" w:rsidP="000958A5">
      <w:pPr>
        <w:pStyle w:val="NormalWeb"/>
      </w:pPr>
      <w:r w:rsidRPr="00747A19">
        <w:rPr>
          <w:noProof/>
        </w:rPr>
        <w:lastRenderedPageBreak/>
        <w:drawing>
          <wp:inline distT="0" distB="0" distL="0" distR="0" wp14:anchorId="05E23D74" wp14:editId="535C364C">
            <wp:extent cx="5943600" cy="4095115"/>
            <wp:effectExtent l="0" t="0" r="12700" b="6985"/>
            <wp:docPr id="14" name="Chart 14">
              <a:extLst xmlns:a="http://schemas.openxmlformats.org/drawingml/2006/main">
                <a:ext uri="{FF2B5EF4-FFF2-40B4-BE49-F238E27FC236}">
                  <a16:creationId xmlns:a16="http://schemas.microsoft.com/office/drawing/2014/main" id="{4D7EF956-20D9-9240-823D-B6DC2DB7AC6D}"/>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31"/>
              </a:graphicData>
            </a:graphic>
          </wp:inline>
        </w:drawing>
      </w:r>
    </w:p>
    <w:p w14:paraId="416EB3CB" w14:textId="77777777" w:rsidR="00126D8D" w:rsidRPr="00747A19" w:rsidRDefault="00126D8D" w:rsidP="004A4899">
      <w:pPr>
        <w:pStyle w:val="TOCFigures1"/>
      </w:pPr>
      <w:bookmarkStart w:id="541" w:name="_Toc141478814"/>
      <w:r w:rsidRPr="00747A19">
        <w:rPr>
          <w:b/>
          <w:bCs/>
        </w:rPr>
        <w:t xml:space="preserve">Figure </w:t>
      </w:r>
      <w:r>
        <w:rPr>
          <w:b/>
          <w:bCs/>
        </w:rPr>
        <w:t>3.</w:t>
      </w:r>
      <w:r w:rsidRPr="00747A19">
        <w:rPr>
          <w:b/>
          <w:bCs/>
        </w:rPr>
        <w:t xml:space="preserve">2 (F). </w:t>
      </w:r>
      <w:r w:rsidRPr="00747A19">
        <w:t xml:space="preserve">Emission spectra of </w:t>
      </w:r>
      <w:r>
        <w:t>supplemental lighting</w:t>
      </w:r>
      <w:r w:rsidRPr="00747A19">
        <w:t xml:space="preserve"> (SL) treatment 450/660/470 from 300 nm to 750 nm. All SL treatments provided 8.64 mol</w:t>
      </w:r>
      <w:r w:rsidRPr="00747A19">
        <w:rPr>
          <w:b/>
          <w:bCs/>
          <w:position w:val="8"/>
        </w:rPr>
        <w:t>.</w:t>
      </w:r>
      <w:r w:rsidRPr="00747A19">
        <w:t>m</w:t>
      </w:r>
      <w:r w:rsidRPr="00747A19">
        <w:rPr>
          <w:vertAlign w:val="superscript"/>
        </w:rPr>
        <w:t>-2</w:t>
      </w:r>
      <w:r w:rsidRPr="00747A19">
        <w:rPr>
          <w:b/>
          <w:bCs/>
          <w:position w:val="8"/>
        </w:rPr>
        <w:t>.</w:t>
      </w:r>
      <w:r w:rsidRPr="00747A19">
        <w:t>d</w:t>
      </w:r>
      <w:r w:rsidRPr="00747A19">
        <w:rPr>
          <w:vertAlign w:val="superscript"/>
        </w:rPr>
        <w:t>-1</w:t>
      </w:r>
      <w:r w:rsidRPr="00747A19">
        <w:rPr>
          <w:position w:val="8"/>
        </w:rPr>
        <w:t xml:space="preserve"> </w:t>
      </w:r>
      <w:r w:rsidRPr="00747A19">
        <w:t>(continuous 100 μmol</w:t>
      </w:r>
      <w:r w:rsidRPr="00747A19">
        <w:rPr>
          <w:b/>
          <w:bCs/>
          <w:position w:val="8"/>
        </w:rPr>
        <w:t>.</w:t>
      </w:r>
      <w:r w:rsidRPr="00747A19">
        <w:t>m</w:t>
      </w:r>
      <w:r w:rsidRPr="00747A19">
        <w:rPr>
          <w:vertAlign w:val="superscript"/>
        </w:rPr>
        <w:t>-2</w:t>
      </w:r>
      <w:r w:rsidRPr="00747A19">
        <w:rPr>
          <w:b/>
          <w:bCs/>
          <w:position w:val="8"/>
        </w:rPr>
        <w:t>.</w:t>
      </w:r>
      <w:r w:rsidRPr="00747A19">
        <w:t>s</w:t>
      </w:r>
      <w:r w:rsidRPr="00747A19">
        <w:rPr>
          <w:vertAlign w:val="superscript"/>
        </w:rPr>
        <w:t>-1</w:t>
      </w:r>
      <w:r w:rsidRPr="00747A19">
        <w:t>; 24 h</w:t>
      </w:r>
      <w:r w:rsidRPr="00747A19">
        <w:rPr>
          <w:b/>
          <w:bCs/>
          <w:position w:val="8"/>
        </w:rPr>
        <w:t>.</w:t>
      </w:r>
      <w:r w:rsidRPr="00747A19">
        <w:t>d</w:t>
      </w:r>
      <w:r w:rsidRPr="00747A19">
        <w:rPr>
          <w:vertAlign w:val="superscript"/>
        </w:rPr>
        <w:t>-1</w:t>
      </w:r>
      <w:r w:rsidRPr="00747A19">
        <w:t>). All lighting treatments were measured with a PS-200 Apogee Spectroradiometer to confirm intensity of specific treatment wavelengths throughout each growing season. Readings were taken at midnight in order to exclude underlying natural solar spectra.</w:t>
      </w:r>
      <w:bookmarkEnd w:id="541"/>
    </w:p>
    <w:p w14:paraId="4EF43D26" w14:textId="77777777" w:rsidR="00126D8D" w:rsidRPr="00747A19" w:rsidRDefault="00126D8D" w:rsidP="000958A5">
      <w:pPr>
        <w:pStyle w:val="NormalWeb"/>
      </w:pPr>
    </w:p>
    <w:p w14:paraId="0ADAC2CF" w14:textId="77777777" w:rsidR="00126D8D" w:rsidRPr="00747A19" w:rsidRDefault="00126D8D" w:rsidP="000958A5">
      <w:pPr>
        <w:pStyle w:val="NormalWeb"/>
      </w:pPr>
    </w:p>
    <w:p w14:paraId="0570372D" w14:textId="77777777" w:rsidR="00126D8D" w:rsidRPr="00747A19" w:rsidRDefault="00126D8D" w:rsidP="000958A5">
      <w:pPr>
        <w:spacing w:line="240" w:lineRule="auto"/>
        <w:rPr>
          <w:rFonts w:eastAsia="Times New Roman" w:cs="Times New Roman"/>
        </w:rPr>
      </w:pPr>
      <w:r w:rsidRPr="00747A19">
        <w:rPr>
          <w:rFonts w:cs="Times New Roman"/>
        </w:rPr>
        <w:br w:type="page"/>
      </w:r>
    </w:p>
    <w:p w14:paraId="3D0160C3" w14:textId="77777777" w:rsidR="00126D8D" w:rsidRPr="00747A19" w:rsidRDefault="00126D8D" w:rsidP="000958A5">
      <w:pPr>
        <w:pStyle w:val="NormalWeb"/>
      </w:pPr>
      <w:r w:rsidRPr="00747A19">
        <w:rPr>
          <w:noProof/>
        </w:rPr>
        <w:lastRenderedPageBreak/>
        <w:drawing>
          <wp:inline distT="0" distB="0" distL="0" distR="0" wp14:anchorId="139BF36E" wp14:editId="60D67310">
            <wp:extent cx="5943600" cy="4095115"/>
            <wp:effectExtent l="0" t="0" r="12700" b="6985"/>
            <wp:docPr id="15" name="Chart 15">
              <a:extLst xmlns:a="http://schemas.openxmlformats.org/drawingml/2006/main">
                <a:ext uri="{FF2B5EF4-FFF2-40B4-BE49-F238E27FC236}">
                  <a16:creationId xmlns:a16="http://schemas.microsoft.com/office/drawing/2014/main" id="{172FBC1E-4AD8-874F-8F5C-C0A84C39F0C9}"/>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32"/>
              </a:graphicData>
            </a:graphic>
          </wp:inline>
        </w:drawing>
      </w:r>
    </w:p>
    <w:p w14:paraId="78E9E124" w14:textId="77777777" w:rsidR="00126D8D" w:rsidRPr="00747A19" w:rsidRDefault="00126D8D" w:rsidP="004A4899">
      <w:pPr>
        <w:pStyle w:val="TOCFigures1"/>
      </w:pPr>
      <w:bookmarkStart w:id="542" w:name="_Toc141478815"/>
      <w:bookmarkStart w:id="543" w:name="OLE_LINK2"/>
      <w:r w:rsidRPr="00747A19">
        <w:rPr>
          <w:b/>
          <w:bCs/>
        </w:rPr>
        <w:t xml:space="preserve">Figure </w:t>
      </w:r>
      <w:r>
        <w:rPr>
          <w:b/>
          <w:bCs/>
        </w:rPr>
        <w:t>3.2</w:t>
      </w:r>
      <w:r w:rsidRPr="00747A19">
        <w:rPr>
          <w:b/>
          <w:bCs/>
        </w:rPr>
        <w:t xml:space="preserve"> (G). </w:t>
      </w:r>
      <w:r w:rsidRPr="00747A19">
        <w:t xml:space="preserve">Emission spectra of </w:t>
      </w:r>
      <w:r>
        <w:t>supplemental lighting</w:t>
      </w:r>
      <w:r w:rsidRPr="00747A19">
        <w:t xml:space="preserve"> (SL) treatment 450/W/470 from 300 nm to 750 nm. All SL treatments provided 8.64 mol</w:t>
      </w:r>
      <w:r w:rsidRPr="00747A19">
        <w:rPr>
          <w:b/>
          <w:bCs/>
          <w:position w:val="8"/>
        </w:rPr>
        <w:t>.</w:t>
      </w:r>
      <w:r w:rsidRPr="00747A19">
        <w:t>m</w:t>
      </w:r>
      <w:r w:rsidRPr="00747A19">
        <w:rPr>
          <w:vertAlign w:val="superscript"/>
        </w:rPr>
        <w:t>-2</w:t>
      </w:r>
      <w:r w:rsidRPr="00747A19">
        <w:rPr>
          <w:b/>
          <w:bCs/>
          <w:position w:val="8"/>
        </w:rPr>
        <w:t>.</w:t>
      </w:r>
      <w:r w:rsidRPr="00747A19">
        <w:t>d</w:t>
      </w:r>
      <w:r w:rsidRPr="00747A19">
        <w:rPr>
          <w:vertAlign w:val="superscript"/>
        </w:rPr>
        <w:t>-1</w:t>
      </w:r>
      <w:r w:rsidRPr="00747A19">
        <w:rPr>
          <w:position w:val="8"/>
        </w:rPr>
        <w:t xml:space="preserve"> </w:t>
      </w:r>
      <w:r w:rsidRPr="00747A19">
        <w:t>(continuous 100 μmol</w:t>
      </w:r>
      <w:r w:rsidRPr="00747A19">
        <w:rPr>
          <w:b/>
          <w:bCs/>
          <w:position w:val="8"/>
        </w:rPr>
        <w:t>.</w:t>
      </w:r>
      <w:r w:rsidRPr="00747A19">
        <w:t>m</w:t>
      </w:r>
      <w:r w:rsidRPr="00747A19">
        <w:rPr>
          <w:vertAlign w:val="superscript"/>
        </w:rPr>
        <w:t>-2</w:t>
      </w:r>
      <w:r w:rsidRPr="00747A19">
        <w:rPr>
          <w:b/>
          <w:bCs/>
          <w:position w:val="8"/>
        </w:rPr>
        <w:t>.</w:t>
      </w:r>
      <w:r w:rsidRPr="00747A19">
        <w:t>s</w:t>
      </w:r>
      <w:r w:rsidRPr="00747A19">
        <w:rPr>
          <w:vertAlign w:val="superscript"/>
        </w:rPr>
        <w:t>-1</w:t>
      </w:r>
      <w:r w:rsidRPr="00747A19">
        <w:t>; 24 h</w:t>
      </w:r>
      <w:r w:rsidRPr="00747A19">
        <w:rPr>
          <w:b/>
          <w:bCs/>
          <w:position w:val="8"/>
        </w:rPr>
        <w:t>.</w:t>
      </w:r>
      <w:r w:rsidRPr="00747A19">
        <w:t>d</w:t>
      </w:r>
      <w:r w:rsidRPr="00747A19">
        <w:rPr>
          <w:vertAlign w:val="superscript"/>
        </w:rPr>
        <w:t>-1</w:t>
      </w:r>
      <w:r w:rsidRPr="00747A19">
        <w:t>). All lighting treatments were measured with a PS-200 Apogee Spectroradiometer to confirm intensity of specific treatment wavelengths throughout each growing season. Readings were taken at midnight in order to exclude underlying natural solar spectra.</w:t>
      </w:r>
      <w:bookmarkEnd w:id="542"/>
    </w:p>
    <w:bookmarkEnd w:id="543"/>
    <w:p w14:paraId="3F6F2D25" w14:textId="77777777" w:rsidR="00126D8D" w:rsidRPr="00747A19" w:rsidRDefault="00126D8D" w:rsidP="000958A5">
      <w:pPr>
        <w:pStyle w:val="NormalWeb"/>
        <w:rPr>
          <w:b/>
          <w:bCs/>
        </w:rPr>
      </w:pPr>
    </w:p>
    <w:p w14:paraId="2723C314" w14:textId="77777777" w:rsidR="00126D8D" w:rsidRPr="00747A19" w:rsidRDefault="00126D8D" w:rsidP="000958A5">
      <w:pPr>
        <w:spacing w:line="240" w:lineRule="auto"/>
        <w:rPr>
          <w:rFonts w:eastAsia="Times New Roman" w:cs="Times New Roman"/>
          <w:b/>
          <w:bCs/>
        </w:rPr>
      </w:pPr>
      <w:r w:rsidRPr="00747A19">
        <w:rPr>
          <w:rFonts w:cs="Times New Roman"/>
          <w:b/>
          <w:bCs/>
        </w:rPr>
        <w:br w:type="page"/>
      </w:r>
    </w:p>
    <w:p w14:paraId="21FF998E" w14:textId="77777777" w:rsidR="00126D8D" w:rsidRPr="00747A19" w:rsidRDefault="00126D8D" w:rsidP="000958A5">
      <w:pPr>
        <w:pStyle w:val="NormalWeb"/>
        <w:rPr>
          <w:b/>
          <w:bCs/>
        </w:rPr>
      </w:pPr>
      <w:r w:rsidRPr="00747A19">
        <w:rPr>
          <w:noProof/>
        </w:rPr>
        <w:lastRenderedPageBreak/>
        <w:drawing>
          <wp:inline distT="0" distB="0" distL="0" distR="0" wp14:anchorId="1E091E2E" wp14:editId="5ED79DBB">
            <wp:extent cx="5943600" cy="4095115"/>
            <wp:effectExtent l="0" t="0" r="12700" b="6985"/>
            <wp:docPr id="16" name="Chart 16">
              <a:extLst xmlns:a="http://schemas.openxmlformats.org/drawingml/2006/main">
                <a:ext uri="{FF2B5EF4-FFF2-40B4-BE49-F238E27FC236}">
                  <a16:creationId xmlns:a16="http://schemas.microsoft.com/office/drawing/2014/main" id="{3419668D-0BDA-6D41-8CA9-7D668328F4A7}"/>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33"/>
              </a:graphicData>
            </a:graphic>
          </wp:inline>
        </w:drawing>
      </w:r>
    </w:p>
    <w:p w14:paraId="65B29468" w14:textId="77777777" w:rsidR="00126D8D" w:rsidRPr="00747A19" w:rsidRDefault="00126D8D" w:rsidP="00C02FC9">
      <w:pPr>
        <w:pStyle w:val="TOCFigures1"/>
      </w:pPr>
      <w:bookmarkStart w:id="544" w:name="_Toc141478816"/>
      <w:r w:rsidRPr="00747A19">
        <w:rPr>
          <w:b/>
          <w:bCs/>
        </w:rPr>
        <w:t xml:space="preserve">Figure </w:t>
      </w:r>
      <w:r>
        <w:rPr>
          <w:b/>
          <w:bCs/>
        </w:rPr>
        <w:t>3.</w:t>
      </w:r>
      <w:r w:rsidRPr="00747A19">
        <w:rPr>
          <w:b/>
          <w:bCs/>
        </w:rPr>
        <w:t xml:space="preserve">2 (H). </w:t>
      </w:r>
      <w:r w:rsidRPr="00747A19">
        <w:t xml:space="preserve">Emission spectra of </w:t>
      </w:r>
      <w:r>
        <w:t>supplemental lighting</w:t>
      </w:r>
      <w:r w:rsidRPr="00747A19">
        <w:t xml:space="preserve"> (SL) treatment 6B/94R (Fluence PhysioSpec™) from 300 nm to 750 nm. All SL treatments provided 8.64 mol</w:t>
      </w:r>
      <w:r w:rsidRPr="00747A19">
        <w:rPr>
          <w:b/>
          <w:bCs/>
          <w:position w:val="8"/>
        </w:rPr>
        <w:t>.</w:t>
      </w:r>
      <w:r w:rsidRPr="00747A19">
        <w:t>m</w:t>
      </w:r>
      <w:r w:rsidRPr="00747A19">
        <w:rPr>
          <w:vertAlign w:val="superscript"/>
        </w:rPr>
        <w:t>-2</w:t>
      </w:r>
      <w:r w:rsidRPr="00747A19">
        <w:rPr>
          <w:b/>
          <w:bCs/>
          <w:position w:val="8"/>
        </w:rPr>
        <w:t>.</w:t>
      </w:r>
      <w:r w:rsidRPr="00747A19">
        <w:t>d</w:t>
      </w:r>
      <w:r w:rsidRPr="00747A19">
        <w:rPr>
          <w:vertAlign w:val="superscript"/>
        </w:rPr>
        <w:t>-1</w:t>
      </w:r>
      <w:r w:rsidRPr="00747A19">
        <w:rPr>
          <w:position w:val="8"/>
        </w:rPr>
        <w:t xml:space="preserve"> </w:t>
      </w:r>
      <w:r w:rsidRPr="00747A19">
        <w:t>(continuous 100 μmol</w:t>
      </w:r>
      <w:r w:rsidRPr="00747A19">
        <w:rPr>
          <w:b/>
          <w:bCs/>
          <w:position w:val="8"/>
        </w:rPr>
        <w:t>.</w:t>
      </w:r>
      <w:r w:rsidRPr="00747A19">
        <w:t>m</w:t>
      </w:r>
      <w:r w:rsidRPr="00747A19">
        <w:rPr>
          <w:vertAlign w:val="superscript"/>
        </w:rPr>
        <w:t>-2</w:t>
      </w:r>
      <w:r w:rsidRPr="00747A19">
        <w:rPr>
          <w:b/>
          <w:bCs/>
          <w:position w:val="8"/>
        </w:rPr>
        <w:t>.</w:t>
      </w:r>
      <w:r w:rsidRPr="00747A19">
        <w:t>s</w:t>
      </w:r>
      <w:r w:rsidRPr="00747A19">
        <w:rPr>
          <w:vertAlign w:val="superscript"/>
        </w:rPr>
        <w:t>-1</w:t>
      </w:r>
      <w:r w:rsidRPr="00747A19">
        <w:t>; 24 h</w:t>
      </w:r>
      <w:r w:rsidRPr="00747A19">
        <w:rPr>
          <w:b/>
          <w:bCs/>
          <w:position w:val="8"/>
        </w:rPr>
        <w:t>.</w:t>
      </w:r>
      <w:r w:rsidRPr="00747A19">
        <w:t>d</w:t>
      </w:r>
      <w:r w:rsidRPr="00747A19">
        <w:rPr>
          <w:vertAlign w:val="superscript"/>
        </w:rPr>
        <w:t>-1</w:t>
      </w:r>
      <w:r w:rsidRPr="00747A19">
        <w:t>). All lighting treatments were measured with a PS-200 Apogee Spectroradiometer to confirm intensity of specific treatment wavelengths throughout each growing season. Readings were taken at midnight in order to exclude underlying natural solar spectra.</w:t>
      </w:r>
      <w:bookmarkEnd w:id="544"/>
    </w:p>
    <w:p w14:paraId="0EF43FFD" w14:textId="77777777" w:rsidR="00126D8D" w:rsidRPr="00747A19" w:rsidRDefault="00126D8D" w:rsidP="000958A5">
      <w:pPr>
        <w:pStyle w:val="NormalWeb"/>
      </w:pPr>
    </w:p>
    <w:p w14:paraId="4B477718" w14:textId="77777777" w:rsidR="00126D8D" w:rsidRPr="00747A19" w:rsidRDefault="00126D8D" w:rsidP="000958A5">
      <w:pPr>
        <w:spacing w:line="240" w:lineRule="auto"/>
        <w:rPr>
          <w:rFonts w:eastAsia="Times New Roman" w:cs="Times New Roman"/>
        </w:rPr>
      </w:pPr>
      <w:r w:rsidRPr="00747A19">
        <w:rPr>
          <w:rFonts w:cs="Times New Roman"/>
        </w:rPr>
        <w:br w:type="page"/>
      </w:r>
    </w:p>
    <w:p w14:paraId="0FB0B7AD" w14:textId="77777777" w:rsidR="00126D8D" w:rsidRPr="00747A19" w:rsidRDefault="00126D8D" w:rsidP="000958A5">
      <w:pPr>
        <w:pStyle w:val="NormalWeb"/>
      </w:pPr>
      <w:r w:rsidRPr="00747A19">
        <w:rPr>
          <w:noProof/>
        </w:rPr>
        <w:lastRenderedPageBreak/>
        <w:drawing>
          <wp:inline distT="0" distB="0" distL="0" distR="0" wp14:anchorId="10CAF2AB" wp14:editId="54CC3488">
            <wp:extent cx="5943600" cy="4095115"/>
            <wp:effectExtent l="0" t="0" r="12700" b="6985"/>
            <wp:docPr id="18" name="Chart 18">
              <a:extLst xmlns:a="http://schemas.openxmlformats.org/drawingml/2006/main">
                <a:ext uri="{FF2B5EF4-FFF2-40B4-BE49-F238E27FC236}">
                  <a16:creationId xmlns:a16="http://schemas.microsoft.com/office/drawing/2014/main" id="{80870394-AADF-D34D-9DAF-73F4B7FD414C}"/>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34"/>
              </a:graphicData>
            </a:graphic>
          </wp:inline>
        </w:drawing>
      </w:r>
    </w:p>
    <w:p w14:paraId="0983272A" w14:textId="77777777" w:rsidR="00126D8D" w:rsidRPr="00C02FC9" w:rsidRDefault="00126D8D" w:rsidP="00C02FC9">
      <w:pPr>
        <w:pStyle w:val="TOCFigures1"/>
      </w:pPr>
      <w:bookmarkStart w:id="545" w:name="_Toc141478817"/>
      <w:bookmarkStart w:id="546" w:name="OLE_LINK3"/>
      <w:r w:rsidRPr="00C02FC9">
        <w:rPr>
          <w:b/>
          <w:bCs/>
        </w:rPr>
        <w:t>Figure 3.2 (I).</w:t>
      </w:r>
      <w:r w:rsidRPr="00C02FC9">
        <w:t xml:space="preserve"> Emission spectra of supplemental lighting (SL) treatment 12B/88R (Fluence PhysioSpec™) from 300 nm to 750 nm. </w:t>
      </w:r>
      <w:r w:rsidRPr="00747A19">
        <w:t>All SL treatments provided 8.64 mol</w:t>
      </w:r>
      <w:r w:rsidRPr="00747A19">
        <w:rPr>
          <w:b/>
          <w:bCs/>
          <w:position w:val="8"/>
        </w:rPr>
        <w:t>.</w:t>
      </w:r>
      <w:r w:rsidRPr="00747A19">
        <w:t>m</w:t>
      </w:r>
      <w:r w:rsidRPr="00747A19">
        <w:rPr>
          <w:vertAlign w:val="superscript"/>
        </w:rPr>
        <w:t>-2</w:t>
      </w:r>
      <w:r w:rsidRPr="00747A19">
        <w:rPr>
          <w:b/>
          <w:bCs/>
          <w:position w:val="8"/>
        </w:rPr>
        <w:t>.</w:t>
      </w:r>
      <w:r w:rsidRPr="00747A19">
        <w:t>d</w:t>
      </w:r>
      <w:r w:rsidRPr="00747A19">
        <w:rPr>
          <w:vertAlign w:val="superscript"/>
        </w:rPr>
        <w:t>-1</w:t>
      </w:r>
      <w:r w:rsidRPr="00747A19">
        <w:rPr>
          <w:position w:val="8"/>
        </w:rPr>
        <w:t xml:space="preserve"> </w:t>
      </w:r>
      <w:r w:rsidRPr="00747A19">
        <w:t>(continuous 100 μmol</w:t>
      </w:r>
      <w:r w:rsidRPr="00747A19">
        <w:rPr>
          <w:b/>
          <w:bCs/>
          <w:position w:val="8"/>
        </w:rPr>
        <w:t>.</w:t>
      </w:r>
      <w:r w:rsidRPr="00747A19">
        <w:t>m</w:t>
      </w:r>
      <w:r w:rsidRPr="00747A19">
        <w:rPr>
          <w:vertAlign w:val="superscript"/>
        </w:rPr>
        <w:t>-2</w:t>
      </w:r>
      <w:r w:rsidRPr="00747A19">
        <w:rPr>
          <w:b/>
          <w:bCs/>
          <w:position w:val="8"/>
        </w:rPr>
        <w:t>.</w:t>
      </w:r>
      <w:r w:rsidRPr="00747A19">
        <w:t>s</w:t>
      </w:r>
      <w:r w:rsidRPr="00747A19">
        <w:rPr>
          <w:vertAlign w:val="superscript"/>
        </w:rPr>
        <w:t>-1</w:t>
      </w:r>
      <w:r w:rsidRPr="00747A19">
        <w:t>; 24 h</w:t>
      </w:r>
      <w:r w:rsidRPr="00747A19">
        <w:rPr>
          <w:b/>
          <w:bCs/>
          <w:position w:val="8"/>
        </w:rPr>
        <w:t>.</w:t>
      </w:r>
      <w:r w:rsidRPr="00747A19">
        <w:t>d</w:t>
      </w:r>
      <w:r w:rsidRPr="00747A19">
        <w:rPr>
          <w:vertAlign w:val="superscript"/>
        </w:rPr>
        <w:t>-1</w:t>
      </w:r>
      <w:r w:rsidRPr="00747A19">
        <w:t>). All lighting treatments were measured with a PS-200 Apogee Spectroradiometer to confirm intensity of specific treatment wavelengths throughout each growing season. Readings were taken at midnight in order to exclude underlying natural solar spectra.</w:t>
      </w:r>
      <w:bookmarkEnd w:id="545"/>
    </w:p>
    <w:bookmarkEnd w:id="546"/>
    <w:p w14:paraId="07823C65" w14:textId="77777777" w:rsidR="00126D8D" w:rsidRPr="00747A19" w:rsidRDefault="00126D8D" w:rsidP="000958A5">
      <w:pPr>
        <w:spacing w:line="240" w:lineRule="auto"/>
        <w:rPr>
          <w:rFonts w:eastAsia="Times New Roman" w:cs="Times New Roman"/>
        </w:rPr>
      </w:pPr>
      <w:r w:rsidRPr="00747A19">
        <w:rPr>
          <w:rFonts w:cs="Times New Roman"/>
        </w:rPr>
        <w:br w:type="page"/>
      </w:r>
    </w:p>
    <w:p w14:paraId="2A53A2C5" w14:textId="77777777" w:rsidR="00126D8D" w:rsidRPr="00747A19" w:rsidRDefault="00126D8D" w:rsidP="000958A5">
      <w:pPr>
        <w:pStyle w:val="NormalWeb"/>
        <w:rPr>
          <w:b/>
          <w:bCs/>
        </w:rPr>
      </w:pPr>
      <w:r w:rsidRPr="00747A19">
        <w:rPr>
          <w:noProof/>
        </w:rPr>
        <w:lastRenderedPageBreak/>
        <w:drawing>
          <wp:inline distT="0" distB="0" distL="0" distR="0" wp14:anchorId="390817E7" wp14:editId="0689D23C">
            <wp:extent cx="5943599" cy="4095115"/>
            <wp:effectExtent l="0" t="0" r="13335" b="6985"/>
            <wp:docPr id="20" name="Chart 20">
              <a:extLst xmlns:a="http://schemas.openxmlformats.org/drawingml/2006/main">
                <a:ext uri="{FF2B5EF4-FFF2-40B4-BE49-F238E27FC236}">
                  <a16:creationId xmlns:a16="http://schemas.microsoft.com/office/drawing/2014/main" id="{849B6013-FF68-7F40-B1CB-84E2B3CFF377}"/>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35"/>
              </a:graphicData>
            </a:graphic>
          </wp:inline>
        </w:drawing>
      </w:r>
    </w:p>
    <w:p w14:paraId="65981C42" w14:textId="77777777" w:rsidR="00126D8D" w:rsidRPr="00747A19" w:rsidRDefault="00126D8D" w:rsidP="00F40164">
      <w:pPr>
        <w:pStyle w:val="TOCFigures1"/>
      </w:pPr>
      <w:bookmarkStart w:id="547" w:name="_Toc141478818"/>
      <w:r w:rsidRPr="00747A19">
        <w:rPr>
          <w:b/>
          <w:bCs/>
        </w:rPr>
        <w:t xml:space="preserve">Figure </w:t>
      </w:r>
      <w:r>
        <w:rPr>
          <w:b/>
          <w:bCs/>
        </w:rPr>
        <w:t>3.</w:t>
      </w:r>
      <w:r w:rsidRPr="00747A19">
        <w:rPr>
          <w:b/>
          <w:bCs/>
        </w:rPr>
        <w:t xml:space="preserve">2 (J). </w:t>
      </w:r>
      <w:r w:rsidRPr="00747A19">
        <w:t xml:space="preserve">Emission spectra of </w:t>
      </w:r>
      <w:r>
        <w:t>supplemental lighting</w:t>
      </w:r>
      <w:r w:rsidRPr="00747A19">
        <w:t xml:space="preserve"> (SL) treatment High Pressure Sodium (HPS) from 300 nm to 750 nm. All SL treatments provided 8.64 mol</w:t>
      </w:r>
      <w:r w:rsidRPr="00747A19">
        <w:rPr>
          <w:b/>
          <w:bCs/>
          <w:position w:val="8"/>
        </w:rPr>
        <w:t>.</w:t>
      </w:r>
      <w:r w:rsidRPr="00747A19">
        <w:t>m</w:t>
      </w:r>
      <w:r w:rsidRPr="00747A19">
        <w:rPr>
          <w:vertAlign w:val="superscript"/>
        </w:rPr>
        <w:t>-2</w:t>
      </w:r>
      <w:r w:rsidRPr="00747A19">
        <w:rPr>
          <w:b/>
          <w:bCs/>
          <w:position w:val="8"/>
        </w:rPr>
        <w:t>.</w:t>
      </w:r>
      <w:r w:rsidRPr="00747A19">
        <w:t>d</w:t>
      </w:r>
      <w:r w:rsidRPr="00747A19">
        <w:rPr>
          <w:vertAlign w:val="superscript"/>
        </w:rPr>
        <w:t>-1</w:t>
      </w:r>
      <w:r w:rsidRPr="00747A19">
        <w:rPr>
          <w:position w:val="8"/>
        </w:rPr>
        <w:t xml:space="preserve"> </w:t>
      </w:r>
      <w:r w:rsidRPr="00747A19">
        <w:t>(continuous 100 μmol</w:t>
      </w:r>
      <w:r w:rsidRPr="00747A19">
        <w:rPr>
          <w:b/>
          <w:bCs/>
          <w:position w:val="8"/>
        </w:rPr>
        <w:t>.</w:t>
      </w:r>
      <w:r w:rsidRPr="00747A19">
        <w:t>m</w:t>
      </w:r>
      <w:r w:rsidRPr="00747A19">
        <w:rPr>
          <w:vertAlign w:val="superscript"/>
        </w:rPr>
        <w:t>-2</w:t>
      </w:r>
      <w:r w:rsidRPr="00747A19">
        <w:rPr>
          <w:b/>
          <w:bCs/>
          <w:position w:val="8"/>
        </w:rPr>
        <w:t>.</w:t>
      </w:r>
      <w:r w:rsidRPr="00747A19">
        <w:t>s</w:t>
      </w:r>
      <w:r w:rsidRPr="00747A19">
        <w:rPr>
          <w:vertAlign w:val="superscript"/>
        </w:rPr>
        <w:t>-1</w:t>
      </w:r>
      <w:r w:rsidRPr="00747A19">
        <w:t>; 24 h</w:t>
      </w:r>
      <w:r w:rsidRPr="00747A19">
        <w:rPr>
          <w:b/>
          <w:bCs/>
          <w:position w:val="8"/>
        </w:rPr>
        <w:t>.</w:t>
      </w:r>
      <w:r w:rsidRPr="00747A19">
        <w:t>d</w:t>
      </w:r>
      <w:r w:rsidRPr="00747A19">
        <w:rPr>
          <w:vertAlign w:val="superscript"/>
        </w:rPr>
        <w:t>-1</w:t>
      </w:r>
      <w:r w:rsidRPr="00747A19">
        <w:t>). All lighting treatments were measured with a PS-200 Apogee Spectroradiometer to confirm intensity of specific treatment wavelengths throughout each growing season. Readings were taken at midnight in order to exclude underlying natural solar spectra.</w:t>
      </w:r>
      <w:bookmarkEnd w:id="547"/>
    </w:p>
    <w:p w14:paraId="1780EEC3" w14:textId="77777777" w:rsidR="00126D8D" w:rsidRPr="00747A19" w:rsidRDefault="00126D8D" w:rsidP="000958A5">
      <w:pPr>
        <w:spacing w:line="240" w:lineRule="auto"/>
        <w:rPr>
          <w:rFonts w:eastAsia="Times New Roman" w:cs="Times New Roman"/>
        </w:rPr>
      </w:pPr>
      <w:r w:rsidRPr="00747A19">
        <w:rPr>
          <w:rFonts w:cs="Times New Roman"/>
        </w:rPr>
        <w:br w:type="page"/>
      </w:r>
    </w:p>
    <w:p w14:paraId="48548010" w14:textId="77777777" w:rsidR="00126D8D" w:rsidRPr="00747A19" w:rsidRDefault="00126D8D" w:rsidP="000958A5">
      <w:pPr>
        <w:pStyle w:val="NormalWeb"/>
      </w:pPr>
      <w:r w:rsidRPr="00747A19">
        <w:rPr>
          <w:noProof/>
        </w:rPr>
        <w:lastRenderedPageBreak/>
        <w:drawing>
          <wp:inline distT="0" distB="0" distL="0" distR="0" wp14:anchorId="70530F0D" wp14:editId="3D755BF6">
            <wp:extent cx="5943600" cy="4095115"/>
            <wp:effectExtent l="0" t="0" r="12700" b="6985"/>
            <wp:docPr id="19" name="Chart 19">
              <a:extLst xmlns:a="http://schemas.openxmlformats.org/drawingml/2006/main">
                <a:ext uri="{FF2B5EF4-FFF2-40B4-BE49-F238E27FC236}">
                  <a16:creationId xmlns:a16="http://schemas.microsoft.com/office/drawing/2014/main" id="{A7F75A10-3E45-7749-BB53-344CE8F316D4}"/>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36"/>
              </a:graphicData>
            </a:graphic>
          </wp:inline>
        </w:drawing>
      </w:r>
    </w:p>
    <w:p w14:paraId="6CC1BBC1" w14:textId="77777777" w:rsidR="00126D8D" w:rsidRPr="00747A19" w:rsidRDefault="00126D8D" w:rsidP="00F40164">
      <w:pPr>
        <w:pStyle w:val="TOCFigures1"/>
      </w:pPr>
      <w:bookmarkStart w:id="548" w:name="_Toc141478819"/>
      <w:r w:rsidRPr="00747A19">
        <w:rPr>
          <w:b/>
          <w:bCs/>
        </w:rPr>
        <w:t xml:space="preserve">Figure </w:t>
      </w:r>
      <w:r>
        <w:rPr>
          <w:b/>
          <w:bCs/>
        </w:rPr>
        <w:t>3.2</w:t>
      </w:r>
      <w:r w:rsidRPr="00747A19">
        <w:rPr>
          <w:b/>
          <w:bCs/>
        </w:rPr>
        <w:t xml:space="preserve"> (K). </w:t>
      </w:r>
      <w:r w:rsidRPr="00747A19">
        <w:t xml:space="preserve">Emission spectra of </w:t>
      </w:r>
      <w:r>
        <w:t>supplemental lighting</w:t>
      </w:r>
      <w:r w:rsidRPr="00747A19">
        <w:t xml:space="preserve"> (SL) treatment W/W/W (full spectrum neutral white) from 300 nm to 750 nm. All SL treatments provided 8.64 mol</w:t>
      </w:r>
      <w:r w:rsidRPr="00747A19">
        <w:rPr>
          <w:b/>
          <w:bCs/>
          <w:position w:val="8"/>
        </w:rPr>
        <w:t>.</w:t>
      </w:r>
      <w:r w:rsidRPr="00747A19">
        <w:t>m</w:t>
      </w:r>
      <w:r w:rsidRPr="00747A19">
        <w:rPr>
          <w:vertAlign w:val="superscript"/>
        </w:rPr>
        <w:t>-2</w:t>
      </w:r>
      <w:r w:rsidRPr="00747A19">
        <w:rPr>
          <w:b/>
          <w:bCs/>
          <w:position w:val="8"/>
        </w:rPr>
        <w:t>.</w:t>
      </w:r>
      <w:r w:rsidRPr="00747A19">
        <w:t>d</w:t>
      </w:r>
      <w:r w:rsidRPr="00747A19">
        <w:rPr>
          <w:vertAlign w:val="superscript"/>
        </w:rPr>
        <w:t>-1</w:t>
      </w:r>
      <w:r w:rsidRPr="00747A19">
        <w:rPr>
          <w:position w:val="8"/>
        </w:rPr>
        <w:t xml:space="preserve"> </w:t>
      </w:r>
      <w:r w:rsidRPr="00747A19">
        <w:t>(continuous 100 μmol</w:t>
      </w:r>
      <w:r w:rsidRPr="00747A19">
        <w:rPr>
          <w:b/>
          <w:bCs/>
          <w:position w:val="8"/>
        </w:rPr>
        <w:t>.</w:t>
      </w:r>
      <w:r w:rsidRPr="00747A19">
        <w:t>m</w:t>
      </w:r>
      <w:r w:rsidRPr="00747A19">
        <w:rPr>
          <w:vertAlign w:val="superscript"/>
        </w:rPr>
        <w:t>-2</w:t>
      </w:r>
      <w:r w:rsidRPr="00747A19">
        <w:rPr>
          <w:b/>
          <w:bCs/>
          <w:position w:val="8"/>
        </w:rPr>
        <w:t>.</w:t>
      </w:r>
      <w:r w:rsidRPr="00747A19">
        <w:t>s</w:t>
      </w:r>
      <w:r w:rsidRPr="00747A19">
        <w:rPr>
          <w:vertAlign w:val="superscript"/>
        </w:rPr>
        <w:t>-1</w:t>
      </w:r>
      <w:r w:rsidRPr="00747A19">
        <w:t>; 24 h</w:t>
      </w:r>
      <w:r w:rsidRPr="00747A19">
        <w:rPr>
          <w:b/>
          <w:bCs/>
          <w:position w:val="8"/>
        </w:rPr>
        <w:t>.</w:t>
      </w:r>
      <w:r w:rsidRPr="00747A19">
        <w:t>d</w:t>
      </w:r>
      <w:r w:rsidRPr="00747A19">
        <w:rPr>
          <w:vertAlign w:val="superscript"/>
        </w:rPr>
        <w:t>-1</w:t>
      </w:r>
      <w:r w:rsidRPr="00747A19">
        <w:t>). All lighting treatments were measured with a PS-200 Apogee Spectroradiometer to confirm intensity of specific treatment wavelengths throughout each growing season. Readings were taken at midnight in order to exclude underlying natural solar spectra.</w:t>
      </w:r>
      <w:bookmarkEnd w:id="548"/>
    </w:p>
    <w:bookmarkEnd w:id="533"/>
    <w:bookmarkEnd w:id="534"/>
    <w:p w14:paraId="5F4CC210" w14:textId="77777777" w:rsidR="00126D8D" w:rsidRPr="00747A19" w:rsidRDefault="00126D8D" w:rsidP="000958A5">
      <w:pPr>
        <w:spacing w:line="240" w:lineRule="auto"/>
        <w:rPr>
          <w:rFonts w:eastAsia="Times New Roman" w:cs="Times New Roman"/>
        </w:rPr>
      </w:pPr>
      <w:r w:rsidRPr="00747A19">
        <w:rPr>
          <w:rFonts w:cs="Times New Roman"/>
        </w:rPr>
        <w:br w:type="page"/>
      </w:r>
    </w:p>
    <w:p w14:paraId="1EBDCFD5" w14:textId="77777777" w:rsidR="00126D8D" w:rsidRPr="00747A19" w:rsidRDefault="00126D8D" w:rsidP="000958A5">
      <w:pPr>
        <w:spacing w:line="240" w:lineRule="auto"/>
        <w:rPr>
          <w:rFonts w:eastAsia="Times New Roman" w:cs="Times New Roman"/>
          <w:b/>
          <w:bCs/>
        </w:rPr>
      </w:pPr>
    </w:p>
    <w:p w14:paraId="72DAE70E" w14:textId="77777777" w:rsidR="00126D8D" w:rsidRPr="00747A19" w:rsidRDefault="00126D8D" w:rsidP="000958A5">
      <w:pPr>
        <w:rPr>
          <w:rFonts w:cs="Times New Roman"/>
          <w:b/>
          <w:bCs/>
        </w:rPr>
      </w:pPr>
      <w:r w:rsidRPr="00747A19">
        <w:rPr>
          <w:rFonts w:cs="Times New Roman"/>
          <w:noProof/>
        </w:rPr>
        <w:drawing>
          <wp:inline distT="0" distB="0" distL="0" distR="0" wp14:anchorId="5A55B81E" wp14:editId="2585493E">
            <wp:extent cx="5943600" cy="6708098"/>
            <wp:effectExtent l="0" t="0" r="12700" b="10795"/>
            <wp:docPr id="1489484469" name="Chart 1489484469">
              <a:extLst xmlns:a="http://schemas.openxmlformats.org/drawingml/2006/main">
                <a:ext uri="{FF2B5EF4-FFF2-40B4-BE49-F238E27FC236}">
                  <a16:creationId xmlns:a16="http://schemas.microsoft.com/office/drawing/2014/main" id="{0BF657E2-8623-5D1B-AB69-7609210E9462}"/>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37"/>
              </a:graphicData>
            </a:graphic>
          </wp:inline>
        </w:drawing>
      </w:r>
    </w:p>
    <w:p w14:paraId="52DF0BA1" w14:textId="77777777" w:rsidR="00126D8D" w:rsidRPr="00747A19" w:rsidRDefault="00126D8D" w:rsidP="00F40164">
      <w:pPr>
        <w:pStyle w:val="TOCFigures1"/>
        <w:rPr>
          <w:b/>
          <w:bCs/>
        </w:rPr>
      </w:pPr>
      <w:bookmarkStart w:id="549" w:name="_Toc141478820"/>
      <w:r w:rsidRPr="00F40164">
        <w:rPr>
          <w:b/>
          <w:bCs/>
        </w:rPr>
        <w:t>Figure 3.3.</w:t>
      </w:r>
      <w:r w:rsidRPr="00F40164">
        <w:t xml:space="preserve"> Impact of lighting treatment on tissue accumulation of each compound class. </w:t>
      </w:r>
      <w:r w:rsidRPr="00747A19">
        <w:t>All concentrations are presented in micro molarity of analyte per gram of fresh mass (µM</w:t>
      </w:r>
      <w:r w:rsidRPr="00747A19">
        <w:sym w:font="Symbol" w:char="F0D7"/>
      </w:r>
      <w:r w:rsidRPr="00747A19">
        <w:t>g</w:t>
      </w:r>
      <w:r w:rsidRPr="00747A19">
        <w:rPr>
          <w:vertAlign w:val="superscript"/>
        </w:rPr>
        <w:t>-1</w:t>
      </w:r>
      <w:r w:rsidRPr="00747A19">
        <w:t xml:space="preserve"> FM). Mean values represent two plants per replication and ten replications per treatment. Values for each treatment are averaged across all seasons within that treatment. Total volatile organic compound concentration was analyzed using Tukey’s protected least significant difference. Data followed by the same letter are not significantly different (α = 0.05).</w:t>
      </w:r>
      <w:bookmarkEnd w:id="549"/>
      <w:r w:rsidRPr="00747A19">
        <w:t xml:space="preserve"> </w:t>
      </w:r>
    </w:p>
    <w:p w14:paraId="51CE0FF4" w14:textId="77777777" w:rsidR="00126D8D" w:rsidRDefault="00126D8D" w:rsidP="000958A5">
      <w:pPr>
        <w:spacing w:line="240" w:lineRule="auto"/>
        <w:jc w:val="both"/>
        <w:rPr>
          <w:rFonts w:cs="Times New Roman"/>
          <w:b/>
          <w:bCs/>
        </w:rPr>
      </w:pPr>
      <w:r>
        <w:rPr>
          <w:noProof/>
        </w:rPr>
        <w:lastRenderedPageBreak/>
        <w:drawing>
          <wp:inline distT="0" distB="0" distL="0" distR="0" wp14:anchorId="05578A0C" wp14:editId="0A579C85">
            <wp:extent cx="5943600" cy="6895465"/>
            <wp:effectExtent l="0" t="0" r="12700" b="13335"/>
            <wp:docPr id="120779813" name="Chart 120779813">
              <a:extLst xmlns:a="http://schemas.openxmlformats.org/drawingml/2006/main">
                <a:ext uri="{FF2B5EF4-FFF2-40B4-BE49-F238E27FC236}">
                  <a16:creationId xmlns:a16="http://schemas.microsoft.com/office/drawing/2014/main" id="{DEB035ED-59CD-1AA3-491D-861923674CE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38"/>
              </a:graphicData>
            </a:graphic>
          </wp:inline>
        </w:drawing>
      </w:r>
    </w:p>
    <w:p w14:paraId="6946F621" w14:textId="77777777" w:rsidR="00126D8D" w:rsidRDefault="00126D8D" w:rsidP="000958A5">
      <w:pPr>
        <w:spacing w:line="240" w:lineRule="auto"/>
        <w:jc w:val="both"/>
        <w:rPr>
          <w:rFonts w:cs="Times New Roman"/>
          <w:b/>
          <w:bCs/>
        </w:rPr>
      </w:pPr>
    </w:p>
    <w:p w14:paraId="625D3ECE" w14:textId="77777777" w:rsidR="00126D8D" w:rsidRPr="00747A19" w:rsidRDefault="00126D8D" w:rsidP="00F40164">
      <w:pPr>
        <w:pStyle w:val="TOCFigures1"/>
      </w:pPr>
      <w:bookmarkStart w:id="550" w:name="_Toc141478821"/>
      <w:r w:rsidRPr="00747A19">
        <w:rPr>
          <w:b/>
          <w:bCs/>
        </w:rPr>
        <w:t xml:space="preserve">Figure </w:t>
      </w:r>
      <w:r>
        <w:rPr>
          <w:b/>
          <w:bCs/>
        </w:rPr>
        <w:t>3.</w:t>
      </w:r>
      <w:r w:rsidRPr="00747A19">
        <w:rPr>
          <w:b/>
          <w:bCs/>
        </w:rPr>
        <w:t xml:space="preserve">4. </w:t>
      </w:r>
      <w:r w:rsidRPr="00747A19">
        <w:t>Influence of season on compound classes pertinent for aroma perception. All concentrations are presented in micro molarity of analyte per gram of fresh mass (µM</w:t>
      </w:r>
      <w:r w:rsidRPr="00747A19">
        <w:sym w:font="Symbol" w:char="F0D7"/>
      </w:r>
      <w:r w:rsidRPr="00747A19">
        <w:t>g</w:t>
      </w:r>
      <w:r w:rsidRPr="00747A19">
        <w:rPr>
          <w:vertAlign w:val="superscript"/>
        </w:rPr>
        <w:t>-1</w:t>
      </w:r>
      <w:r w:rsidRPr="00747A19">
        <w:t xml:space="preserve"> FM). Mean values represent two plants per replication and ten replications per treatment. Values for each season are averaged across all treatments within that season. Total volatile organic compound concentration was analyzed using Tukey’s protected least significant difference. Data followed by the same letter are not significantly different (α = 0.05).</w:t>
      </w:r>
      <w:bookmarkEnd w:id="550"/>
    </w:p>
    <w:p w14:paraId="2E3F577A" w14:textId="77777777" w:rsidR="00126D8D" w:rsidRPr="00747A19" w:rsidRDefault="00126D8D" w:rsidP="000958A5">
      <w:pPr>
        <w:rPr>
          <w:rFonts w:cs="Times New Roman"/>
          <w:b/>
          <w:bCs/>
        </w:rPr>
      </w:pPr>
    </w:p>
    <w:p w14:paraId="4F0BB9B6" w14:textId="77777777" w:rsidR="00126D8D" w:rsidRPr="00747A19" w:rsidRDefault="00126D8D" w:rsidP="000958A5">
      <w:pPr>
        <w:rPr>
          <w:rFonts w:cs="Times New Roman"/>
        </w:rPr>
      </w:pPr>
      <w:r>
        <w:rPr>
          <w:rFonts w:cs="Times New Roman"/>
          <w:noProof/>
        </w:rPr>
        <w:drawing>
          <wp:inline distT="0" distB="0" distL="0" distR="0" wp14:anchorId="5E1C4998" wp14:editId="4229A3CE">
            <wp:extent cx="5943600" cy="5000017"/>
            <wp:effectExtent l="0" t="0" r="0" b="3810"/>
            <wp:docPr id="1319940011" name="Picture 1319940011" descr="A picture containing screenshot, line, text, diagra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19940011" name="Picture 1" descr="A picture containing screenshot, line, text, diagram&#10;&#10;Description automatically generated"/>
                    <pic:cNvPicPr/>
                  </pic:nvPicPr>
                  <pic:blipFill>
                    <a:blip r:embed="rId39" cstate="print">
                      <a:extLst>
                        <a:ext uri="{28A0092B-C50C-407E-A947-70E740481C1C}">
                          <a14:useLocalDpi xmlns:a14="http://schemas.microsoft.com/office/drawing/2010/main" val="0"/>
                        </a:ext>
                      </a:extLst>
                    </a:blip>
                    <a:stretch>
                      <a:fillRect/>
                    </a:stretch>
                  </pic:blipFill>
                  <pic:spPr>
                    <a:xfrm>
                      <a:off x="0" y="0"/>
                      <a:ext cx="5953150" cy="5008051"/>
                    </a:xfrm>
                    <a:prstGeom prst="rect">
                      <a:avLst/>
                    </a:prstGeom>
                  </pic:spPr>
                </pic:pic>
              </a:graphicData>
            </a:graphic>
          </wp:inline>
        </w:drawing>
      </w:r>
    </w:p>
    <w:p w14:paraId="2EA35019" w14:textId="012A12AA" w:rsidR="00126D8D" w:rsidRPr="00747A19" w:rsidRDefault="00126D8D" w:rsidP="004E2D64">
      <w:pPr>
        <w:pStyle w:val="TOCFigures1"/>
        <w:rPr>
          <w:rFonts w:cs="Times New Roman"/>
          <w:b/>
          <w:bCs/>
        </w:rPr>
      </w:pPr>
      <w:bookmarkStart w:id="551" w:name="_Toc141478822"/>
      <w:r w:rsidRPr="00747A19">
        <w:rPr>
          <w:b/>
          <w:bCs/>
        </w:rPr>
        <w:t xml:space="preserve">Figure </w:t>
      </w:r>
      <w:r>
        <w:rPr>
          <w:b/>
          <w:bCs/>
        </w:rPr>
        <w:t>3.</w:t>
      </w:r>
      <w:r w:rsidRPr="00747A19">
        <w:rPr>
          <w:b/>
          <w:bCs/>
        </w:rPr>
        <w:t xml:space="preserve">5. </w:t>
      </w:r>
      <w:r w:rsidRPr="00747A19">
        <w:t>Principal Component Analysis (PCA) showing the biplot differentiation between sweet basil ‘Italian Large Leaf’ (</w:t>
      </w:r>
      <w:r w:rsidRPr="00747A19">
        <w:rPr>
          <w:i/>
          <w:iCs/>
        </w:rPr>
        <w:t>Ocimum basilicum</w:t>
      </w:r>
      <w:r>
        <w:rPr>
          <w:i/>
          <w:iCs/>
        </w:rPr>
        <w:t xml:space="preserve"> </w:t>
      </w:r>
      <w:r>
        <w:t>L.</w:t>
      </w:r>
      <w:r w:rsidRPr="00747A19">
        <w:rPr>
          <w:i/>
          <w:iCs/>
        </w:rPr>
        <w:t>)</w:t>
      </w:r>
      <w:r w:rsidRPr="00747A19">
        <w:t xml:space="preserve"> aroma compound concentrations (black) grown under various </w:t>
      </w:r>
      <w:r>
        <w:t>supplemental lighting</w:t>
      </w:r>
      <w:r w:rsidRPr="00747A19">
        <w:t xml:space="preserve"> treatments.</w:t>
      </w:r>
      <w:bookmarkEnd w:id="551"/>
      <w:r w:rsidRPr="00747A19">
        <w:t xml:space="preserve"> </w:t>
      </w:r>
    </w:p>
    <w:p w14:paraId="4A448C13" w14:textId="77777777" w:rsidR="00126D8D" w:rsidRPr="00747A19" w:rsidRDefault="00126D8D" w:rsidP="000958A5">
      <w:pPr>
        <w:rPr>
          <w:rFonts w:cs="Times New Roman"/>
          <w:b/>
          <w:bCs/>
        </w:rPr>
      </w:pPr>
    </w:p>
    <w:p w14:paraId="42BE8932" w14:textId="77777777" w:rsidR="00126D8D" w:rsidRPr="00747A19" w:rsidRDefault="00126D8D" w:rsidP="000958A5">
      <w:pPr>
        <w:rPr>
          <w:rFonts w:cs="Times New Roman"/>
          <w:b/>
          <w:bCs/>
        </w:rPr>
      </w:pPr>
    </w:p>
    <w:p w14:paraId="22A22A44" w14:textId="77777777" w:rsidR="00126D8D" w:rsidRDefault="00126D8D" w:rsidP="000958A5"/>
    <w:p w14:paraId="423C4A25" w14:textId="77777777" w:rsidR="00126D8D" w:rsidRPr="007F77C5" w:rsidRDefault="00126D8D">
      <w:pPr>
        <w:spacing w:line="240" w:lineRule="auto"/>
        <w:rPr>
          <w:rFonts w:cs="Times New Roman"/>
          <w:b/>
          <w:sz w:val="28"/>
        </w:rPr>
      </w:pPr>
    </w:p>
    <w:p w14:paraId="1DF5464F" w14:textId="77777777" w:rsidR="00126D8D" w:rsidRPr="007F77C5" w:rsidRDefault="00126D8D" w:rsidP="008E2DD0">
      <w:pPr>
        <w:rPr>
          <w:rFonts w:cs="Times New Roman"/>
        </w:rPr>
      </w:pPr>
    </w:p>
    <w:p w14:paraId="65970882" w14:textId="77777777" w:rsidR="00126D8D" w:rsidRPr="007F77C5" w:rsidRDefault="00126D8D" w:rsidP="008E2DD0">
      <w:pPr>
        <w:rPr>
          <w:rFonts w:cs="Times New Roman"/>
        </w:rPr>
      </w:pPr>
    </w:p>
    <w:p w14:paraId="6E2E4BD3" w14:textId="77777777" w:rsidR="00126D8D" w:rsidRPr="007F77C5" w:rsidRDefault="00126D8D" w:rsidP="008E2DD0">
      <w:pPr>
        <w:rPr>
          <w:rFonts w:cs="Times New Roman"/>
        </w:rPr>
      </w:pPr>
    </w:p>
    <w:p w14:paraId="011FCD60" w14:textId="77777777" w:rsidR="00126D8D" w:rsidRPr="007F77C5" w:rsidRDefault="00126D8D" w:rsidP="008E2DD0">
      <w:pPr>
        <w:rPr>
          <w:rFonts w:cs="Times New Roman"/>
        </w:rPr>
      </w:pPr>
    </w:p>
    <w:p w14:paraId="3C1688C2" w14:textId="77777777" w:rsidR="00126D8D" w:rsidRPr="007F77C5" w:rsidRDefault="00126D8D" w:rsidP="008E2DD0">
      <w:pPr>
        <w:rPr>
          <w:rFonts w:cs="Times New Roman"/>
        </w:rPr>
      </w:pPr>
    </w:p>
    <w:p w14:paraId="47894CC0" w14:textId="77777777" w:rsidR="00126D8D" w:rsidRPr="007F77C5" w:rsidRDefault="00126D8D" w:rsidP="008E2DD0">
      <w:pPr>
        <w:rPr>
          <w:rFonts w:cs="Times New Roman"/>
        </w:rPr>
      </w:pPr>
    </w:p>
    <w:p w14:paraId="7952319F" w14:textId="77777777" w:rsidR="00126D8D" w:rsidRPr="007F77C5" w:rsidRDefault="00126D8D" w:rsidP="008E2DD0">
      <w:pPr>
        <w:rPr>
          <w:rFonts w:cs="Times New Roman"/>
        </w:rPr>
      </w:pPr>
    </w:p>
    <w:p w14:paraId="614692BA" w14:textId="77777777" w:rsidR="00126D8D" w:rsidRPr="007F77C5" w:rsidRDefault="00126D8D" w:rsidP="008E2DD0">
      <w:pPr>
        <w:rPr>
          <w:rFonts w:cs="Times New Roman"/>
        </w:rPr>
      </w:pPr>
    </w:p>
    <w:p w14:paraId="6B77CE0C" w14:textId="77777777" w:rsidR="00126D8D" w:rsidRPr="007F77C5" w:rsidRDefault="00126D8D" w:rsidP="008E2DD0">
      <w:pPr>
        <w:rPr>
          <w:rFonts w:cs="Times New Roman"/>
        </w:rPr>
      </w:pPr>
    </w:p>
    <w:p w14:paraId="6E289273" w14:textId="77777777" w:rsidR="00126D8D" w:rsidRPr="007F77C5" w:rsidRDefault="00126D8D" w:rsidP="008E2DD0">
      <w:pPr>
        <w:rPr>
          <w:rFonts w:cs="Times New Roman"/>
        </w:rPr>
      </w:pPr>
    </w:p>
    <w:p w14:paraId="25873BCB" w14:textId="77777777" w:rsidR="00126D8D" w:rsidRPr="007F77C5" w:rsidRDefault="00126D8D" w:rsidP="008E2DD0">
      <w:pPr>
        <w:rPr>
          <w:rFonts w:cs="Times New Roman"/>
        </w:rPr>
      </w:pPr>
    </w:p>
    <w:p w14:paraId="500D9185" w14:textId="77777777" w:rsidR="00126D8D" w:rsidRPr="007F77C5" w:rsidRDefault="00126D8D" w:rsidP="008E2DD0">
      <w:pPr>
        <w:rPr>
          <w:rFonts w:cs="Times New Roman"/>
        </w:rPr>
      </w:pPr>
    </w:p>
    <w:p w14:paraId="33946CB1" w14:textId="77777777" w:rsidR="00126D8D" w:rsidRPr="007F77C5" w:rsidRDefault="00126D8D" w:rsidP="008E2DD0">
      <w:pPr>
        <w:rPr>
          <w:rFonts w:cs="Times New Roman"/>
        </w:rPr>
      </w:pPr>
    </w:p>
    <w:p w14:paraId="601A7FD1" w14:textId="77777777" w:rsidR="00126D8D" w:rsidRPr="007F77C5" w:rsidRDefault="00126D8D" w:rsidP="008E2DD0">
      <w:pPr>
        <w:rPr>
          <w:rFonts w:cs="Times New Roman"/>
        </w:rPr>
      </w:pPr>
    </w:p>
    <w:p w14:paraId="73A653A2" w14:textId="77777777" w:rsidR="00126D8D" w:rsidRPr="002A134C" w:rsidRDefault="00126D8D" w:rsidP="00DC4427">
      <w:pPr>
        <w:pStyle w:val="MastersThesisChapter"/>
        <w:framePr w:wrap="around"/>
      </w:pPr>
      <w:bookmarkStart w:id="552" w:name="_Toc139574819"/>
      <w:bookmarkStart w:id="553" w:name="_Toc141478689"/>
      <w:r w:rsidRPr="007F77C5">
        <w:t xml:space="preserve">CHAPTER </w:t>
      </w:r>
      <w:r>
        <w:t>4</w:t>
      </w:r>
      <w:r w:rsidRPr="007F77C5">
        <w:t xml:space="preserve">: </w:t>
      </w:r>
      <w:r w:rsidRPr="002A134C">
        <w:t>TRANSCRIPTOME SEQUENCING SUBSTANTIATES ROLE OF SPECTRAL QUALITY IN YIELD AND NUTRIENT BIOACCUMULATION OF HYDROPONICALLY GROWN SWEET BASIL</w:t>
      </w:r>
      <w:bookmarkEnd w:id="552"/>
      <w:bookmarkEnd w:id="553"/>
    </w:p>
    <w:p w14:paraId="4EE35E78" w14:textId="77777777" w:rsidR="00126D8D" w:rsidRPr="007F77C5" w:rsidRDefault="00126D8D" w:rsidP="008E2DD0">
      <w:pPr>
        <w:pStyle w:val="MastersThesisChapter"/>
        <w:framePr w:wrap="around"/>
        <w:rPr>
          <w:rFonts w:cs="Times New Roman"/>
        </w:rPr>
      </w:pPr>
    </w:p>
    <w:p w14:paraId="03ABFBBD" w14:textId="77777777" w:rsidR="00126D8D" w:rsidRPr="007F77C5" w:rsidRDefault="00126D8D" w:rsidP="008E2DD0">
      <w:pPr>
        <w:rPr>
          <w:rFonts w:cs="Times New Roman"/>
        </w:rPr>
      </w:pPr>
      <w:r w:rsidRPr="007F77C5">
        <w:rPr>
          <w:rFonts w:cs="Times New Roman"/>
        </w:rPr>
        <w:br w:type="page"/>
      </w:r>
    </w:p>
    <w:p w14:paraId="77E5227A" w14:textId="77777777" w:rsidR="00126D8D" w:rsidRPr="00A9290A" w:rsidRDefault="00126D8D" w:rsidP="00DC4427">
      <w:pPr>
        <w:spacing w:line="240" w:lineRule="auto"/>
        <w:jc w:val="both"/>
        <w:rPr>
          <w:b/>
          <w:bCs/>
          <w:i/>
          <w:iCs/>
          <w:sz w:val="28"/>
          <w:szCs w:val="28"/>
        </w:rPr>
      </w:pPr>
      <w:r w:rsidRPr="00A9290A">
        <w:rPr>
          <w:b/>
          <w:bCs/>
          <w:sz w:val="28"/>
          <w:szCs w:val="28"/>
        </w:rPr>
        <w:lastRenderedPageBreak/>
        <w:t>Hunter A. Hammock and Carl E. Sams</w:t>
      </w:r>
    </w:p>
    <w:p w14:paraId="2C689197" w14:textId="77777777" w:rsidR="00126D8D" w:rsidRPr="00747A19" w:rsidRDefault="00126D8D" w:rsidP="00DC4427">
      <w:pPr>
        <w:spacing w:line="240" w:lineRule="auto"/>
        <w:jc w:val="both"/>
        <w:rPr>
          <w:rFonts w:cs="Times New Roman"/>
        </w:rPr>
      </w:pPr>
      <w:r w:rsidRPr="00747A19">
        <w:rPr>
          <w:rFonts w:cs="Times New Roman"/>
        </w:rPr>
        <w:t>Department of Plant Sciences, The University of Tennessee, Knoxville, TN 37996</w:t>
      </w:r>
    </w:p>
    <w:p w14:paraId="42A61DA7" w14:textId="77777777" w:rsidR="00126D8D" w:rsidRPr="00747A19" w:rsidRDefault="00126D8D" w:rsidP="00DC4427">
      <w:pPr>
        <w:spacing w:line="240" w:lineRule="auto"/>
        <w:jc w:val="both"/>
        <w:rPr>
          <w:rFonts w:cs="Times New Roman"/>
        </w:rPr>
      </w:pPr>
    </w:p>
    <w:p w14:paraId="79CC7AAA" w14:textId="77777777" w:rsidR="00126D8D" w:rsidRDefault="00126D8D" w:rsidP="00DC4427">
      <w:pPr>
        <w:spacing w:line="240" w:lineRule="auto"/>
        <w:jc w:val="both"/>
        <w:rPr>
          <w:rStyle w:val="Hyperlink"/>
        </w:rPr>
      </w:pPr>
      <w:r w:rsidRPr="00A9290A">
        <w:rPr>
          <w:b/>
          <w:bCs/>
        </w:rPr>
        <w:t>Correspondence:</w:t>
      </w:r>
      <w:r w:rsidRPr="00747A19">
        <w:t xml:space="preserve"> Carl E. Sams, </w:t>
      </w:r>
      <w:hyperlink r:id="rId40" w:history="1">
        <w:r w:rsidRPr="00747A19">
          <w:rPr>
            <w:rStyle w:val="Hyperlink"/>
          </w:rPr>
          <w:t>carlsams@utk.edu</w:t>
        </w:r>
      </w:hyperlink>
    </w:p>
    <w:p w14:paraId="348AB449" w14:textId="77777777" w:rsidR="00126D8D" w:rsidRPr="00747A19" w:rsidRDefault="00126D8D" w:rsidP="00DC4427">
      <w:pPr>
        <w:spacing w:line="240" w:lineRule="auto"/>
        <w:jc w:val="both"/>
      </w:pPr>
    </w:p>
    <w:p w14:paraId="483316FB" w14:textId="77777777" w:rsidR="00126D8D" w:rsidRDefault="00126D8D" w:rsidP="00DC4427">
      <w:pPr>
        <w:spacing w:line="240" w:lineRule="auto"/>
        <w:jc w:val="both"/>
        <w:rPr>
          <w:b/>
        </w:rPr>
      </w:pPr>
      <w:r w:rsidRPr="00A9290A">
        <w:rPr>
          <w:b/>
          <w:bCs/>
        </w:rPr>
        <w:t>Keywords:</w:t>
      </w:r>
      <w:r w:rsidRPr="00747A19">
        <w:t xml:space="preserve"> </w:t>
      </w:r>
      <w:r w:rsidRPr="00292A49">
        <w:rPr>
          <w:color w:val="000000" w:themeColor="text1"/>
        </w:rPr>
        <w:t>Controlled</w:t>
      </w:r>
      <w:r w:rsidRPr="003F0091">
        <w:rPr>
          <w:color w:val="000000" w:themeColor="text1"/>
        </w:rPr>
        <w:t xml:space="preserve"> Environment Agriculture</w:t>
      </w:r>
      <w:r>
        <w:rPr>
          <w:color w:val="000000" w:themeColor="text1"/>
        </w:rPr>
        <w:t xml:space="preserve"> (CEA)</w:t>
      </w:r>
      <w:r w:rsidRPr="003F0091">
        <w:rPr>
          <w:color w:val="000000" w:themeColor="text1"/>
        </w:rPr>
        <w:t>, Light Emitting Diodes</w:t>
      </w:r>
      <w:r>
        <w:rPr>
          <w:color w:val="000000" w:themeColor="text1"/>
        </w:rPr>
        <w:t xml:space="preserve"> (LEDs)</w:t>
      </w:r>
      <w:r w:rsidRPr="003F0091">
        <w:rPr>
          <w:color w:val="000000" w:themeColor="text1"/>
        </w:rPr>
        <w:t xml:space="preserve">, </w:t>
      </w:r>
      <w:r w:rsidRPr="003F0091">
        <w:rPr>
          <w:i/>
          <w:iCs/>
          <w:color w:val="000000" w:themeColor="text1"/>
        </w:rPr>
        <w:t>Ocimum basilicum</w:t>
      </w:r>
      <w:r w:rsidRPr="003F0091">
        <w:rPr>
          <w:color w:val="000000" w:themeColor="text1"/>
        </w:rPr>
        <w:t>, Supplemental Lighting</w:t>
      </w:r>
      <w:r>
        <w:rPr>
          <w:color w:val="000000" w:themeColor="text1"/>
        </w:rPr>
        <w:t xml:space="preserve"> (SL)</w:t>
      </w:r>
      <w:r w:rsidRPr="003F0091">
        <w:rPr>
          <w:color w:val="000000" w:themeColor="text1"/>
        </w:rPr>
        <w:t xml:space="preserve">, </w:t>
      </w:r>
      <w:r>
        <w:rPr>
          <w:color w:val="000000" w:themeColor="text1"/>
        </w:rPr>
        <w:t>Primary</w:t>
      </w:r>
      <w:r w:rsidRPr="003F0091">
        <w:rPr>
          <w:color w:val="000000" w:themeColor="text1"/>
        </w:rPr>
        <w:t xml:space="preserve"> Metabolism</w:t>
      </w:r>
      <w:r>
        <w:rPr>
          <w:color w:val="000000" w:themeColor="text1"/>
        </w:rPr>
        <w:t xml:space="preserve">, </w:t>
      </w:r>
      <w:r w:rsidRPr="003F0091">
        <w:rPr>
          <w:color w:val="000000" w:themeColor="text1"/>
        </w:rPr>
        <w:t xml:space="preserve">Spectral Quality, </w:t>
      </w:r>
      <w:r>
        <w:rPr>
          <w:color w:val="000000" w:themeColor="text1"/>
        </w:rPr>
        <w:t>Differentially Expressed Genes (DEGs)</w:t>
      </w:r>
      <w:r w:rsidRPr="003F0091">
        <w:rPr>
          <w:color w:val="000000" w:themeColor="text1"/>
        </w:rPr>
        <w:t>, Transcriptome</w:t>
      </w:r>
    </w:p>
    <w:p w14:paraId="6B057971" w14:textId="77777777" w:rsidR="00126D8D" w:rsidRDefault="00126D8D" w:rsidP="00DC4427">
      <w:pPr>
        <w:spacing w:line="240" w:lineRule="auto"/>
        <w:jc w:val="both"/>
        <w:rPr>
          <w:b/>
        </w:rPr>
      </w:pPr>
    </w:p>
    <w:p w14:paraId="4C10D139" w14:textId="77777777" w:rsidR="00126D8D" w:rsidRPr="00747A19" w:rsidRDefault="00126D8D" w:rsidP="00DC4427">
      <w:pPr>
        <w:spacing w:line="240" w:lineRule="auto"/>
        <w:jc w:val="both"/>
        <w:rPr>
          <w:rFonts w:cs="Times New Roman"/>
        </w:rPr>
      </w:pPr>
      <w:r w:rsidRPr="00747A19">
        <w:rPr>
          <w:rFonts w:cs="Times New Roman"/>
          <w:b/>
          <w:bCs/>
        </w:rPr>
        <w:t>Author Contributions</w:t>
      </w:r>
      <w:r>
        <w:rPr>
          <w:rFonts w:cs="Times New Roman"/>
        </w:rPr>
        <w:t>:</w:t>
      </w:r>
    </w:p>
    <w:p w14:paraId="3C374436" w14:textId="77777777" w:rsidR="00126D8D" w:rsidRPr="00747A19" w:rsidRDefault="00126D8D" w:rsidP="00DC4427">
      <w:pPr>
        <w:spacing w:line="240" w:lineRule="auto"/>
        <w:jc w:val="both"/>
        <w:rPr>
          <w:rFonts w:cs="Times New Roman"/>
        </w:rPr>
      </w:pPr>
      <w:r w:rsidRPr="00747A19">
        <w:rPr>
          <w:rFonts w:cs="Times New Roman"/>
        </w:rPr>
        <w:t>Conceptualization – HAH, CES</w:t>
      </w:r>
    </w:p>
    <w:p w14:paraId="2F40908D" w14:textId="77777777" w:rsidR="00126D8D" w:rsidRPr="00747A19" w:rsidRDefault="00126D8D" w:rsidP="00DC4427">
      <w:pPr>
        <w:spacing w:line="240" w:lineRule="auto"/>
        <w:jc w:val="both"/>
        <w:rPr>
          <w:rFonts w:cs="Times New Roman"/>
        </w:rPr>
      </w:pPr>
      <w:r w:rsidRPr="00747A19">
        <w:rPr>
          <w:rFonts w:cs="Times New Roman"/>
        </w:rPr>
        <w:t>Methodology – HAH, CES</w:t>
      </w:r>
    </w:p>
    <w:p w14:paraId="5AF64F42" w14:textId="77777777" w:rsidR="00126D8D" w:rsidRPr="00747A19" w:rsidRDefault="00126D8D" w:rsidP="00DC4427">
      <w:pPr>
        <w:spacing w:line="240" w:lineRule="auto"/>
        <w:jc w:val="both"/>
        <w:rPr>
          <w:rFonts w:cs="Times New Roman"/>
        </w:rPr>
      </w:pPr>
      <w:r w:rsidRPr="00747A19">
        <w:rPr>
          <w:rFonts w:cs="Times New Roman"/>
        </w:rPr>
        <w:t>Software – HAH, CES</w:t>
      </w:r>
    </w:p>
    <w:p w14:paraId="364B6F3E" w14:textId="77777777" w:rsidR="00126D8D" w:rsidRPr="00747A19" w:rsidRDefault="00126D8D" w:rsidP="00DC4427">
      <w:pPr>
        <w:spacing w:line="240" w:lineRule="auto"/>
        <w:jc w:val="both"/>
        <w:rPr>
          <w:rFonts w:cs="Times New Roman"/>
        </w:rPr>
      </w:pPr>
      <w:r w:rsidRPr="00747A19">
        <w:rPr>
          <w:rFonts w:cs="Times New Roman"/>
        </w:rPr>
        <w:t>Validation – HAH</w:t>
      </w:r>
    </w:p>
    <w:p w14:paraId="06F77651" w14:textId="77777777" w:rsidR="00126D8D" w:rsidRPr="00747A19" w:rsidRDefault="00126D8D" w:rsidP="00DC4427">
      <w:pPr>
        <w:spacing w:line="240" w:lineRule="auto"/>
        <w:jc w:val="both"/>
        <w:rPr>
          <w:rFonts w:cs="Times New Roman"/>
          <w:color w:val="000000" w:themeColor="text1"/>
        </w:rPr>
      </w:pPr>
      <w:r w:rsidRPr="00747A19">
        <w:rPr>
          <w:rFonts w:cs="Times New Roman"/>
          <w:color w:val="000000" w:themeColor="text1"/>
        </w:rPr>
        <w:t>Formal analysis – HAH</w:t>
      </w:r>
    </w:p>
    <w:p w14:paraId="5E82BE44" w14:textId="77777777" w:rsidR="00126D8D" w:rsidRPr="00747A19" w:rsidRDefault="00126D8D" w:rsidP="00DC4427">
      <w:pPr>
        <w:spacing w:line="240" w:lineRule="auto"/>
        <w:rPr>
          <w:rFonts w:cs="Times New Roman"/>
          <w:color w:val="000000" w:themeColor="text1"/>
        </w:rPr>
      </w:pPr>
      <w:r w:rsidRPr="00747A19">
        <w:rPr>
          <w:rFonts w:cs="Times New Roman"/>
          <w:color w:val="000000" w:themeColor="text1"/>
        </w:rPr>
        <w:t>Investigation – HAH</w:t>
      </w:r>
    </w:p>
    <w:p w14:paraId="58CA236C" w14:textId="77777777" w:rsidR="00126D8D" w:rsidRPr="00747A19" w:rsidRDefault="00126D8D" w:rsidP="00DC4427">
      <w:pPr>
        <w:spacing w:line="240" w:lineRule="auto"/>
        <w:rPr>
          <w:rFonts w:cs="Times New Roman"/>
          <w:color w:val="000000" w:themeColor="text1"/>
        </w:rPr>
      </w:pPr>
      <w:r w:rsidRPr="00747A19">
        <w:rPr>
          <w:rFonts w:cs="Times New Roman"/>
          <w:color w:val="000000" w:themeColor="text1"/>
        </w:rPr>
        <w:t xml:space="preserve">Resources – CES </w:t>
      </w:r>
    </w:p>
    <w:p w14:paraId="5DBDD594" w14:textId="77777777" w:rsidR="00126D8D" w:rsidRPr="00747A19" w:rsidRDefault="00126D8D" w:rsidP="00DC4427">
      <w:pPr>
        <w:spacing w:line="240" w:lineRule="auto"/>
        <w:rPr>
          <w:rFonts w:cs="Times New Roman"/>
          <w:color w:val="000000" w:themeColor="text1"/>
        </w:rPr>
      </w:pPr>
      <w:r w:rsidRPr="00747A19">
        <w:rPr>
          <w:rFonts w:cs="Times New Roman"/>
          <w:color w:val="000000" w:themeColor="text1"/>
        </w:rPr>
        <w:t>Data curation – HAH</w:t>
      </w:r>
    </w:p>
    <w:p w14:paraId="56B76575" w14:textId="77777777" w:rsidR="00126D8D" w:rsidRPr="00747A19" w:rsidRDefault="00126D8D" w:rsidP="00DC4427">
      <w:pPr>
        <w:spacing w:line="240" w:lineRule="auto"/>
        <w:rPr>
          <w:rFonts w:cs="Times New Roman"/>
          <w:color w:val="000000" w:themeColor="text1"/>
        </w:rPr>
      </w:pPr>
      <w:r w:rsidRPr="00747A19">
        <w:rPr>
          <w:rFonts w:cs="Times New Roman"/>
          <w:color w:val="000000" w:themeColor="text1"/>
        </w:rPr>
        <w:t>Writing (original draft preparation) - HAH</w:t>
      </w:r>
    </w:p>
    <w:p w14:paraId="54BC1969" w14:textId="77777777" w:rsidR="00126D8D" w:rsidRPr="00747A19" w:rsidRDefault="00126D8D" w:rsidP="00DC4427">
      <w:pPr>
        <w:spacing w:line="240" w:lineRule="auto"/>
        <w:rPr>
          <w:rFonts w:cs="Times New Roman"/>
          <w:color w:val="000000" w:themeColor="text1"/>
        </w:rPr>
      </w:pPr>
      <w:r w:rsidRPr="00747A19">
        <w:rPr>
          <w:rFonts w:cs="Times New Roman"/>
          <w:color w:val="000000" w:themeColor="text1"/>
        </w:rPr>
        <w:t>Writing (review and editing) – HAH, CES</w:t>
      </w:r>
    </w:p>
    <w:p w14:paraId="4F27BE2A" w14:textId="77777777" w:rsidR="00126D8D" w:rsidRPr="00747A19" w:rsidRDefault="00126D8D" w:rsidP="00DC4427">
      <w:pPr>
        <w:spacing w:line="240" w:lineRule="auto"/>
        <w:rPr>
          <w:rFonts w:cs="Times New Roman"/>
          <w:color w:val="000000" w:themeColor="text1"/>
        </w:rPr>
      </w:pPr>
      <w:r w:rsidRPr="00747A19">
        <w:rPr>
          <w:rFonts w:cs="Times New Roman"/>
          <w:color w:val="000000" w:themeColor="text1"/>
        </w:rPr>
        <w:t xml:space="preserve">Visualization – HAH  </w:t>
      </w:r>
    </w:p>
    <w:p w14:paraId="42B7361D" w14:textId="77777777" w:rsidR="00126D8D" w:rsidRPr="00747A19" w:rsidRDefault="00126D8D" w:rsidP="00DC4427">
      <w:pPr>
        <w:spacing w:line="240" w:lineRule="auto"/>
        <w:rPr>
          <w:rFonts w:cs="Times New Roman"/>
          <w:color w:val="000000" w:themeColor="text1"/>
        </w:rPr>
      </w:pPr>
      <w:r w:rsidRPr="00747A19">
        <w:rPr>
          <w:rFonts w:cs="Times New Roman"/>
          <w:color w:val="000000" w:themeColor="text1"/>
        </w:rPr>
        <w:t>Supervision and project administration – CES</w:t>
      </w:r>
    </w:p>
    <w:p w14:paraId="09A3BCBF" w14:textId="77777777" w:rsidR="00126D8D" w:rsidRPr="00747A19" w:rsidRDefault="00126D8D" w:rsidP="00DC4427">
      <w:pPr>
        <w:spacing w:line="240" w:lineRule="auto"/>
        <w:rPr>
          <w:rFonts w:cs="Times New Roman"/>
          <w:color w:val="000000" w:themeColor="text1"/>
        </w:rPr>
      </w:pPr>
      <w:r w:rsidRPr="00747A19">
        <w:rPr>
          <w:rFonts w:cs="Times New Roman"/>
          <w:color w:val="000000" w:themeColor="text1"/>
        </w:rPr>
        <w:t>Funding acquisition – CES</w:t>
      </w:r>
    </w:p>
    <w:p w14:paraId="698CA66E" w14:textId="77777777" w:rsidR="00126D8D" w:rsidRDefault="00126D8D" w:rsidP="00DC4427">
      <w:pPr>
        <w:spacing w:line="240" w:lineRule="auto"/>
        <w:rPr>
          <w:rFonts w:cs="Times New Roman"/>
          <w:color w:val="000000" w:themeColor="text1"/>
        </w:rPr>
      </w:pPr>
    </w:p>
    <w:p w14:paraId="53D9A8E5" w14:textId="77777777" w:rsidR="00126D8D" w:rsidRPr="003F0091" w:rsidRDefault="00126D8D" w:rsidP="00DC4427">
      <w:pPr>
        <w:spacing w:line="240" w:lineRule="auto"/>
        <w:rPr>
          <w:rFonts w:cs="Times New Roman"/>
          <w:b/>
          <w:bCs/>
          <w:color w:val="000000" w:themeColor="text1"/>
        </w:rPr>
      </w:pPr>
      <w:r w:rsidRPr="003F0091">
        <w:rPr>
          <w:rFonts w:cs="Times New Roman"/>
          <w:b/>
          <w:bCs/>
          <w:color w:val="000000" w:themeColor="text1"/>
        </w:rPr>
        <w:t>Author Statement</w:t>
      </w:r>
      <w:r>
        <w:rPr>
          <w:rFonts w:cs="Times New Roman"/>
          <w:b/>
          <w:bCs/>
          <w:color w:val="000000" w:themeColor="text1"/>
        </w:rPr>
        <w:t>:</w:t>
      </w:r>
    </w:p>
    <w:p w14:paraId="60313859" w14:textId="77777777" w:rsidR="00126D8D" w:rsidRPr="003F0091" w:rsidRDefault="00126D8D" w:rsidP="00DC4427">
      <w:pPr>
        <w:spacing w:line="240" w:lineRule="auto"/>
        <w:rPr>
          <w:rFonts w:cs="Times New Roman"/>
          <w:color w:val="000000" w:themeColor="text1"/>
        </w:rPr>
      </w:pPr>
      <w:r w:rsidRPr="003F0091">
        <w:rPr>
          <w:rFonts w:cs="Times New Roman"/>
          <w:color w:val="000000" w:themeColor="text1"/>
        </w:rPr>
        <w:t>All authors have reviewed the manuscript and agree with the reported findings. There are no reported conflicts between the authors and the present study.</w:t>
      </w:r>
    </w:p>
    <w:p w14:paraId="5B4BA265" w14:textId="77777777" w:rsidR="00126D8D" w:rsidRPr="003F0091" w:rsidRDefault="00126D8D" w:rsidP="00DC4427">
      <w:pPr>
        <w:spacing w:line="240" w:lineRule="auto"/>
        <w:rPr>
          <w:rFonts w:cs="Times New Roman"/>
          <w:color w:val="000000" w:themeColor="text1"/>
        </w:rPr>
      </w:pPr>
    </w:p>
    <w:p w14:paraId="7FA1E463" w14:textId="77777777" w:rsidR="00126D8D" w:rsidRPr="003F0091" w:rsidRDefault="00126D8D" w:rsidP="00DC4427">
      <w:pPr>
        <w:spacing w:line="240" w:lineRule="auto"/>
        <w:rPr>
          <w:rFonts w:cs="Times New Roman"/>
          <w:b/>
          <w:bCs/>
          <w:color w:val="000000" w:themeColor="text1"/>
        </w:rPr>
      </w:pPr>
      <w:r w:rsidRPr="003F0091">
        <w:rPr>
          <w:rFonts w:cs="Times New Roman"/>
          <w:b/>
          <w:bCs/>
          <w:color w:val="000000" w:themeColor="text1"/>
        </w:rPr>
        <w:t>Funding</w:t>
      </w:r>
      <w:r>
        <w:rPr>
          <w:rFonts w:cs="Times New Roman"/>
          <w:b/>
          <w:bCs/>
          <w:color w:val="000000" w:themeColor="text1"/>
        </w:rPr>
        <w:t>:</w:t>
      </w:r>
    </w:p>
    <w:p w14:paraId="00C3B928" w14:textId="77777777" w:rsidR="00126D8D" w:rsidRPr="003F0091" w:rsidRDefault="00126D8D" w:rsidP="00DC4427">
      <w:pPr>
        <w:spacing w:line="240" w:lineRule="auto"/>
        <w:rPr>
          <w:rFonts w:cs="Times New Roman"/>
          <w:color w:val="000000" w:themeColor="text1"/>
        </w:rPr>
      </w:pPr>
      <w:r w:rsidRPr="003F0091">
        <w:rPr>
          <w:rFonts w:cs="Times New Roman"/>
          <w:color w:val="000000" w:themeColor="text1"/>
        </w:rPr>
        <w:t>This research was supported by The AgResearch Dean’s Office within the University of Tennessee Institute of Agriculture. No external funds were used for the present study.</w:t>
      </w:r>
    </w:p>
    <w:p w14:paraId="6FA2EB80" w14:textId="77777777" w:rsidR="00126D8D" w:rsidRPr="003F0091" w:rsidRDefault="00126D8D" w:rsidP="00DC4427">
      <w:pPr>
        <w:spacing w:line="240" w:lineRule="auto"/>
        <w:rPr>
          <w:rFonts w:cs="Times New Roman"/>
          <w:color w:val="000000" w:themeColor="text1"/>
        </w:rPr>
      </w:pPr>
    </w:p>
    <w:p w14:paraId="583181A4" w14:textId="77777777" w:rsidR="00126D8D" w:rsidRDefault="00126D8D" w:rsidP="00DC4427">
      <w:pPr>
        <w:spacing w:line="240" w:lineRule="auto"/>
        <w:rPr>
          <w:rFonts w:cs="Times New Roman"/>
          <w:b/>
          <w:bCs/>
          <w:color w:val="000000" w:themeColor="text1"/>
        </w:rPr>
      </w:pPr>
      <w:r w:rsidRPr="00F15D90">
        <w:rPr>
          <w:rFonts w:cs="Times New Roman"/>
          <w:b/>
          <w:bCs/>
          <w:color w:val="000000" w:themeColor="text1"/>
        </w:rPr>
        <w:t>Disclosure</w:t>
      </w:r>
      <w:r>
        <w:rPr>
          <w:rFonts w:cs="Times New Roman"/>
          <w:b/>
          <w:bCs/>
          <w:color w:val="000000" w:themeColor="text1"/>
        </w:rPr>
        <w:t>:</w:t>
      </w:r>
    </w:p>
    <w:p w14:paraId="7E47446B" w14:textId="77777777" w:rsidR="00126D8D" w:rsidRDefault="00126D8D" w:rsidP="00DC4427">
      <w:pPr>
        <w:spacing w:line="240" w:lineRule="auto"/>
        <w:rPr>
          <w:rFonts w:cs="Times New Roman"/>
          <w:color w:val="000000" w:themeColor="text1"/>
        </w:rPr>
      </w:pPr>
      <w:r>
        <w:rPr>
          <w:rFonts w:cs="Times New Roman"/>
          <w:color w:val="000000" w:themeColor="text1"/>
        </w:rPr>
        <w:t>This manuscript and its contents will be submitted to JASHS July 7, 2023.</w:t>
      </w:r>
    </w:p>
    <w:p w14:paraId="0F18C6E4" w14:textId="77777777" w:rsidR="00126D8D" w:rsidRDefault="00126D8D">
      <w:pPr>
        <w:spacing w:line="240" w:lineRule="auto"/>
        <w:rPr>
          <w:rFonts w:cs="Times New Roman"/>
          <w:color w:val="000000" w:themeColor="text1"/>
        </w:rPr>
      </w:pPr>
      <w:r>
        <w:rPr>
          <w:rFonts w:cs="Times New Roman"/>
          <w:color w:val="000000" w:themeColor="text1"/>
        </w:rPr>
        <w:br w:type="page"/>
      </w:r>
    </w:p>
    <w:p w14:paraId="4492E2C8" w14:textId="77777777" w:rsidR="00126D8D" w:rsidRPr="003F0091" w:rsidRDefault="00126D8D" w:rsidP="00DC4427">
      <w:pPr>
        <w:pStyle w:val="MastersThesisMainTitle"/>
        <w:rPr>
          <w:color w:val="000000" w:themeColor="text1"/>
          <w:szCs w:val="28"/>
        </w:rPr>
      </w:pPr>
      <w:bookmarkStart w:id="554" w:name="_Toc139574820"/>
      <w:bookmarkStart w:id="555" w:name="_Toc141478690"/>
      <w:r w:rsidRPr="00292A49">
        <w:rPr>
          <w:color w:val="000000" w:themeColor="text1"/>
          <w:szCs w:val="28"/>
        </w:rPr>
        <w:lastRenderedPageBreak/>
        <w:t>Abstract</w:t>
      </w:r>
      <w:bookmarkEnd w:id="554"/>
      <w:bookmarkEnd w:id="555"/>
    </w:p>
    <w:p w14:paraId="2A26C926" w14:textId="1AA3F8AB" w:rsidR="00126D8D" w:rsidRDefault="00126D8D" w:rsidP="00A67B85">
      <w:pPr>
        <w:pStyle w:val="MSThesisBodyTextJustified"/>
        <w:rPr>
          <w:color w:val="000000" w:themeColor="text1"/>
          <w:shd w:val="clear" w:color="auto" w:fill="FFFFFF"/>
        </w:rPr>
      </w:pPr>
      <w:r w:rsidRPr="002A134C">
        <w:rPr>
          <w:color w:val="000000" w:themeColor="text1"/>
          <w:shd w:val="clear" w:color="auto" w:fill="FFFFFF"/>
        </w:rPr>
        <w:t>The spectral quality of light received by plants directly influences primary metabolism. Photoreceptors control light-mediated physiological responses vital for sustained life and biomass accumulation. Supplemental lighting (SL) in greenhouse production can be used to modify natural solar spectra for unfavorable locations or seasonal conditions. Narrowband and broadband supplements both have merit for mitigating poor light quality and quantity. Still, species-dependent expression of light-mediated metabolic pathways challenges the establishment of generalized controlled environment agriculture (CEA) lighting protocols. Additional research is needed to ascertain the efficacy of SL spectral distribution in terms of yield and nutritional quality of high-value specialty crops. The objective of this study was to determine the influence of SL spectral quality on various aspects of primary metabolism in greenhouse hydroponically grown basil (</w:t>
      </w:r>
      <w:r w:rsidRPr="002A134C">
        <w:rPr>
          <w:i/>
          <w:iCs/>
          <w:color w:val="000000" w:themeColor="text1"/>
          <w:shd w:val="clear" w:color="auto" w:fill="FFFFFF"/>
        </w:rPr>
        <w:t>Ocimum basilicum</w:t>
      </w:r>
      <w:r w:rsidRPr="002A134C">
        <w:rPr>
          <w:color w:val="000000" w:themeColor="text1"/>
          <w:shd w:val="clear" w:color="auto" w:fill="FFFFFF"/>
        </w:rPr>
        <w:t xml:space="preserve"> 'Genovese'). Four light treatments were utilized: non-supplemented natural light (NL) control, 20B/80R narrowband LEDs, </w:t>
      </w:r>
      <w:r>
        <w:rPr>
          <w:color w:val="000000" w:themeColor="text1"/>
          <w:shd w:val="clear" w:color="auto" w:fill="FFFFFF"/>
        </w:rPr>
        <w:t>Broadband White</w:t>
      </w:r>
      <w:r w:rsidRPr="002A134C">
        <w:rPr>
          <w:color w:val="000000" w:themeColor="text1"/>
          <w:shd w:val="clear" w:color="auto" w:fill="FFFFFF"/>
        </w:rPr>
        <w:t xml:space="preserve"> LEDs (5600 K), and a high-pressure sodium (HPS) lamp. During the growth period, daily light integral (DLI) of NL control averaged 11.58 mol</w:t>
      </w:r>
      <w:r w:rsidRPr="002A134C">
        <w:rPr>
          <w:b/>
          <w:bCs/>
          <w:color w:val="000000" w:themeColor="text1"/>
          <w:shd w:val="clear" w:color="auto" w:fill="FFFFFF"/>
          <w:vertAlign w:val="superscript"/>
        </w:rPr>
        <w:t>.</w:t>
      </w:r>
      <w:r w:rsidRPr="002A134C">
        <w:rPr>
          <w:color w:val="000000" w:themeColor="text1"/>
          <w:shd w:val="clear" w:color="auto" w:fill="FFFFFF"/>
        </w:rPr>
        <w:t>m</w:t>
      </w:r>
      <w:r w:rsidRPr="002A134C">
        <w:rPr>
          <w:color w:val="000000" w:themeColor="text1"/>
          <w:shd w:val="clear" w:color="auto" w:fill="FFFFFF"/>
          <w:vertAlign w:val="superscript"/>
        </w:rPr>
        <w:t>-2</w:t>
      </w:r>
      <w:r w:rsidRPr="002A134C">
        <w:rPr>
          <w:b/>
          <w:bCs/>
          <w:color w:val="000000" w:themeColor="text1"/>
          <w:shd w:val="clear" w:color="auto" w:fill="FFFFFF"/>
          <w:vertAlign w:val="superscript"/>
        </w:rPr>
        <w:t>.</w:t>
      </w:r>
      <w:r w:rsidRPr="002A134C">
        <w:rPr>
          <w:color w:val="000000" w:themeColor="text1"/>
          <w:shd w:val="clear" w:color="auto" w:fill="FFFFFF"/>
        </w:rPr>
        <w:t>d</w:t>
      </w:r>
      <w:r w:rsidRPr="002A134C">
        <w:rPr>
          <w:color w:val="000000" w:themeColor="text1"/>
          <w:shd w:val="clear" w:color="auto" w:fill="FFFFFF"/>
          <w:vertAlign w:val="superscript"/>
        </w:rPr>
        <w:t>-1</w:t>
      </w:r>
      <w:r w:rsidRPr="002A134C">
        <w:rPr>
          <w:color w:val="000000" w:themeColor="text1"/>
          <w:shd w:val="clear" w:color="auto" w:fill="FFFFFF"/>
        </w:rPr>
        <w:t>. Each SL treatment had equal intensity and provided an additional 8.64 mol</w:t>
      </w:r>
      <w:r w:rsidRPr="002A134C">
        <w:rPr>
          <w:b/>
          <w:bCs/>
          <w:color w:val="000000" w:themeColor="text1"/>
          <w:shd w:val="clear" w:color="auto" w:fill="FFFFFF"/>
          <w:vertAlign w:val="superscript"/>
        </w:rPr>
        <w:t>.</w:t>
      </w:r>
      <w:r w:rsidRPr="002A134C">
        <w:rPr>
          <w:color w:val="000000" w:themeColor="text1"/>
          <w:shd w:val="clear" w:color="auto" w:fill="FFFFFF"/>
        </w:rPr>
        <w:t>m</w:t>
      </w:r>
      <w:r w:rsidRPr="002A134C">
        <w:rPr>
          <w:color w:val="000000" w:themeColor="text1"/>
          <w:shd w:val="clear" w:color="auto" w:fill="FFFFFF"/>
          <w:vertAlign w:val="superscript"/>
        </w:rPr>
        <w:t>-2</w:t>
      </w:r>
      <w:r w:rsidRPr="002A134C">
        <w:rPr>
          <w:b/>
          <w:bCs/>
          <w:color w:val="000000" w:themeColor="text1"/>
          <w:shd w:val="clear" w:color="auto" w:fill="FFFFFF"/>
          <w:vertAlign w:val="superscript"/>
        </w:rPr>
        <w:t>.</w:t>
      </w:r>
      <w:r w:rsidRPr="002A134C">
        <w:rPr>
          <w:color w:val="000000" w:themeColor="text1"/>
          <w:shd w:val="clear" w:color="auto" w:fill="FFFFFF"/>
        </w:rPr>
        <w:t>d</w:t>
      </w:r>
      <w:r w:rsidRPr="002A134C">
        <w:rPr>
          <w:color w:val="000000" w:themeColor="text1"/>
          <w:shd w:val="clear" w:color="auto" w:fill="FFFFFF"/>
          <w:vertAlign w:val="superscript"/>
        </w:rPr>
        <w:t>-1</w:t>
      </w:r>
      <w:r w:rsidRPr="002A134C">
        <w:rPr>
          <w:color w:val="000000" w:themeColor="text1"/>
          <w:shd w:val="clear" w:color="auto" w:fill="FFFFFF"/>
        </w:rPr>
        <w:t xml:space="preserve"> (100 µmol</w:t>
      </w:r>
      <w:r w:rsidRPr="002A134C">
        <w:rPr>
          <w:b/>
          <w:bCs/>
          <w:color w:val="000000" w:themeColor="text1"/>
          <w:shd w:val="clear" w:color="auto" w:fill="FFFFFF"/>
          <w:vertAlign w:val="superscript"/>
        </w:rPr>
        <w:t>.</w:t>
      </w:r>
      <w:r w:rsidRPr="002A134C">
        <w:rPr>
          <w:color w:val="000000" w:themeColor="text1"/>
          <w:shd w:val="clear" w:color="auto" w:fill="FFFFFF"/>
        </w:rPr>
        <w:t>m</w:t>
      </w:r>
      <w:r w:rsidRPr="002A134C">
        <w:rPr>
          <w:color w:val="000000" w:themeColor="text1"/>
          <w:shd w:val="clear" w:color="auto" w:fill="FFFFFF"/>
          <w:vertAlign w:val="superscript"/>
        </w:rPr>
        <w:t>-2</w:t>
      </w:r>
      <w:r w:rsidRPr="002A134C">
        <w:rPr>
          <w:b/>
          <w:bCs/>
          <w:color w:val="000000" w:themeColor="text1"/>
          <w:shd w:val="clear" w:color="auto" w:fill="FFFFFF"/>
          <w:vertAlign w:val="superscript"/>
        </w:rPr>
        <w:t>.</w:t>
      </w:r>
      <w:r w:rsidRPr="002A134C">
        <w:rPr>
          <w:color w:val="000000" w:themeColor="text1"/>
          <w:shd w:val="clear" w:color="auto" w:fill="FFFFFF"/>
        </w:rPr>
        <w:t>s</w:t>
      </w:r>
      <w:r w:rsidRPr="002A134C">
        <w:rPr>
          <w:color w:val="000000" w:themeColor="text1"/>
          <w:shd w:val="clear" w:color="auto" w:fill="FFFFFF"/>
          <w:vertAlign w:val="superscript"/>
        </w:rPr>
        <w:t>-1</w:t>
      </w:r>
      <w:r w:rsidRPr="002A134C">
        <w:rPr>
          <w:color w:val="000000" w:themeColor="text1"/>
          <w:shd w:val="clear" w:color="auto" w:fill="FFFFFF"/>
        </w:rPr>
        <w:t xml:space="preserve"> for 24 h</w:t>
      </w:r>
      <w:r w:rsidRPr="002A134C">
        <w:rPr>
          <w:b/>
          <w:bCs/>
          <w:color w:val="000000" w:themeColor="text1"/>
          <w:shd w:val="clear" w:color="auto" w:fill="FFFFFF"/>
          <w:vertAlign w:val="superscript"/>
        </w:rPr>
        <w:t>.</w:t>
      </w:r>
      <w:r w:rsidRPr="002A134C">
        <w:rPr>
          <w:color w:val="000000" w:themeColor="text1"/>
          <w:shd w:val="clear" w:color="auto" w:fill="FFFFFF"/>
        </w:rPr>
        <w:t>d</w:t>
      </w:r>
      <w:r w:rsidRPr="002A134C">
        <w:rPr>
          <w:color w:val="000000" w:themeColor="text1"/>
          <w:shd w:val="clear" w:color="auto" w:fill="FFFFFF"/>
          <w:vertAlign w:val="superscript"/>
        </w:rPr>
        <w:t>-1</w:t>
      </w:r>
      <w:r w:rsidRPr="002A134C">
        <w:rPr>
          <w:color w:val="000000" w:themeColor="text1"/>
          <w:shd w:val="clear" w:color="auto" w:fill="FFFFFF"/>
        </w:rPr>
        <w:t xml:space="preserve">). Fresh mass (FM) and dry mass (DM) were significantly increased by SL treatments over NL control. </w:t>
      </w:r>
      <w:r>
        <w:rPr>
          <w:color w:val="000000" w:themeColor="text1"/>
          <w:shd w:val="clear" w:color="auto" w:fill="FFFFFF"/>
        </w:rPr>
        <w:t xml:space="preserve">Broadband White had higher yields than Narrowband B/R, </w:t>
      </w:r>
      <w:r w:rsidRPr="002A134C">
        <w:rPr>
          <w:color w:val="000000" w:themeColor="text1"/>
          <w:shd w:val="clear" w:color="auto" w:fill="FFFFFF"/>
        </w:rPr>
        <w:t>but both had higher FM/DM than NL control. Elemental nutrient tissue analysis was performed using an ICP-MS, showing that treatment significantly influenced many macro and micronutrient tissue concentrations. Principal component analysis (PCA) revealed the B/R treatment was correlated with increased tissue concentrations of Ca, while the white treatment was correlated with increased N, K, B, and Cu. RNA-seq identified a total of 4207 differentially expressed genes (DEGs) across treatments through pairwise comparisons</w:t>
      </w:r>
      <w:r w:rsidR="00191850">
        <w:rPr>
          <w:color w:val="000000" w:themeColor="text1"/>
          <w:shd w:val="clear" w:color="auto" w:fill="FFFFFF"/>
        </w:rPr>
        <w:t>.</w:t>
      </w:r>
      <w:r w:rsidRPr="002A134C">
        <w:rPr>
          <w:color w:val="000000" w:themeColor="text1"/>
          <w:shd w:val="clear" w:color="auto" w:fill="FFFFFF"/>
        </w:rPr>
        <w:t xml:space="preserve"> </w:t>
      </w:r>
      <w:r w:rsidR="00191850">
        <w:rPr>
          <w:color w:val="000000" w:themeColor="text1"/>
          <w:shd w:val="clear" w:color="auto" w:fill="FFFFFF"/>
        </w:rPr>
        <w:t>The</w:t>
      </w:r>
      <w:r w:rsidRPr="002A134C">
        <w:rPr>
          <w:color w:val="000000" w:themeColor="text1"/>
          <w:shd w:val="clear" w:color="auto" w:fill="FFFFFF"/>
        </w:rPr>
        <w:t xml:space="preserve"> B/R narrowband </w:t>
      </w:r>
      <w:r w:rsidRPr="002A134C">
        <w:rPr>
          <w:color w:val="000000" w:themeColor="text1"/>
          <w:shd w:val="clear" w:color="auto" w:fill="FFFFFF"/>
        </w:rPr>
        <w:lastRenderedPageBreak/>
        <w:t>treatment had 3801 DEGs compared to NL control, while the white and HPS broadband treatments had 278 and 128 DEGs</w:t>
      </w:r>
      <w:r w:rsidR="00733C17">
        <w:rPr>
          <w:color w:val="000000" w:themeColor="text1"/>
          <w:shd w:val="clear" w:color="auto" w:fill="FFFFFF"/>
        </w:rPr>
        <w:t>,</w:t>
      </w:r>
      <w:r w:rsidRPr="002A134C">
        <w:rPr>
          <w:color w:val="000000" w:themeColor="text1"/>
          <w:shd w:val="clear" w:color="auto" w:fill="FFFFFF"/>
        </w:rPr>
        <w:t xml:space="preserve"> </w:t>
      </w:r>
      <w:r w:rsidR="00733C17" w:rsidRPr="002A134C">
        <w:rPr>
          <w:color w:val="000000" w:themeColor="text1"/>
          <w:shd w:val="clear" w:color="auto" w:fill="FFFFFF"/>
        </w:rPr>
        <w:t>respectively</w:t>
      </w:r>
      <w:r w:rsidR="00733C17">
        <w:rPr>
          <w:color w:val="000000" w:themeColor="text1"/>
          <w:shd w:val="clear" w:color="auto" w:fill="FFFFFF"/>
        </w:rPr>
        <w:t>,</w:t>
      </w:r>
      <w:r w:rsidRPr="002A134C">
        <w:rPr>
          <w:color w:val="000000" w:themeColor="text1"/>
          <w:shd w:val="clear" w:color="auto" w:fill="FFFFFF"/>
        </w:rPr>
        <w:t xml:space="preserve"> compared to NL control. Functional annotations revealed several DEGs involved with primary metabolic functions were significantly up-regulated in the B/R and white treatments. Increased expression of certain genes responsible for metabolic regulation can directly influence yield and nutrient uptake/assimilation. This experiment demonstrates SL spectral quality influences yield and tissue nutrient concentrations through numerous DEGs involved with primary metabolism. Further studies integrating analytic and transcriptomic analyses of specialty crops will improve our understanding of plant/light interaction, which can be leveraged to design lighting strategies with the goal of maximizing yield and nutritional value.</w:t>
      </w:r>
    </w:p>
    <w:p w14:paraId="0C1789FC" w14:textId="77777777" w:rsidR="00A67B85" w:rsidRPr="00A67B85" w:rsidRDefault="00A67B85" w:rsidP="00A67B85">
      <w:pPr>
        <w:pStyle w:val="MSThesisBodyTextJustified"/>
        <w:rPr>
          <w:color w:val="000000" w:themeColor="text1"/>
          <w:shd w:val="clear" w:color="auto" w:fill="FFFFFF"/>
        </w:rPr>
      </w:pPr>
    </w:p>
    <w:p w14:paraId="2CFF8A5A" w14:textId="77777777" w:rsidR="00126D8D" w:rsidRPr="00BE1924" w:rsidRDefault="00126D8D" w:rsidP="00DC4427">
      <w:pPr>
        <w:pStyle w:val="MastersThesisMainTitle"/>
        <w:rPr>
          <w:color w:val="000000" w:themeColor="text1"/>
        </w:rPr>
      </w:pPr>
      <w:bookmarkStart w:id="556" w:name="_Toc139574821"/>
      <w:bookmarkStart w:id="557" w:name="_Toc141478691"/>
      <w:r w:rsidRPr="00AB7D5E">
        <w:rPr>
          <w:color w:val="000000" w:themeColor="text1"/>
        </w:rPr>
        <w:t>Introduction</w:t>
      </w:r>
      <w:bookmarkEnd w:id="556"/>
      <w:bookmarkEnd w:id="557"/>
    </w:p>
    <w:p w14:paraId="626B667A" w14:textId="77777777" w:rsidR="00126D8D" w:rsidRPr="000B0D8D" w:rsidRDefault="00126D8D" w:rsidP="00DC4427">
      <w:pPr>
        <w:pStyle w:val="MSThesisBodyTextJustified"/>
        <w:rPr>
          <w:color w:val="000000" w:themeColor="text1"/>
        </w:rPr>
      </w:pPr>
      <w:r w:rsidRPr="000B0D8D">
        <w:rPr>
          <w:color w:val="000000" w:themeColor="text1"/>
        </w:rPr>
        <w:t>Light is a fundamental component of plant growth, underpinning numerous physiological processes</w:t>
      </w:r>
      <w:r>
        <w:rPr>
          <w:color w:val="000000" w:themeColor="text1"/>
        </w:rPr>
        <w:t xml:space="preserve"> </w:t>
      </w:r>
      <w:r>
        <w:rPr>
          <w:noProof/>
          <w:color w:val="000000" w:themeColor="text1"/>
        </w:rPr>
        <w:t>(</w:t>
      </w:r>
      <w:r w:rsidRPr="00126D8D">
        <w:rPr>
          <w:rFonts w:cstheme="minorBidi"/>
        </w:rPr>
        <w:t>Fraikin et al., 2013</w:t>
      </w:r>
      <w:r>
        <w:rPr>
          <w:noProof/>
          <w:color w:val="000000" w:themeColor="text1"/>
        </w:rPr>
        <w:t xml:space="preserve">; </w:t>
      </w:r>
      <w:r w:rsidRPr="00126D8D">
        <w:rPr>
          <w:rFonts w:cstheme="minorBidi"/>
        </w:rPr>
        <w:t>Darko et al., 2014</w:t>
      </w:r>
      <w:r>
        <w:rPr>
          <w:noProof/>
          <w:color w:val="000000" w:themeColor="text1"/>
        </w:rPr>
        <w:t xml:space="preserve">; </w:t>
      </w:r>
      <w:r w:rsidRPr="00126D8D">
        <w:rPr>
          <w:rFonts w:cstheme="minorBidi"/>
        </w:rPr>
        <w:t>Thoma et al., 2020</w:t>
      </w:r>
      <w:r>
        <w:rPr>
          <w:noProof/>
          <w:color w:val="000000" w:themeColor="text1"/>
        </w:rPr>
        <w:t>)</w:t>
      </w:r>
      <w:r w:rsidRPr="000B0D8D">
        <w:rPr>
          <w:color w:val="000000" w:themeColor="text1"/>
        </w:rPr>
        <w:t>. The primary role of light in plant metabolism is its function in photosynthesis, where it serves as the energy source for the conversion of carbon dioxide and water into glucose, a process that fuels plant growth and development</w:t>
      </w:r>
      <w:r>
        <w:rPr>
          <w:color w:val="000000" w:themeColor="text1"/>
        </w:rPr>
        <w:t xml:space="preserve"> </w:t>
      </w:r>
      <w:r>
        <w:rPr>
          <w:noProof/>
          <w:color w:val="000000" w:themeColor="text1"/>
        </w:rPr>
        <w:t>(</w:t>
      </w:r>
      <w:r w:rsidRPr="00126D8D">
        <w:rPr>
          <w:rFonts w:cstheme="minorBidi"/>
        </w:rPr>
        <w:t>McCree, 1972</w:t>
      </w:r>
      <w:r>
        <w:rPr>
          <w:noProof/>
          <w:color w:val="000000" w:themeColor="text1"/>
        </w:rPr>
        <w:t xml:space="preserve">; </w:t>
      </w:r>
      <w:r w:rsidRPr="00126D8D">
        <w:rPr>
          <w:rFonts w:cstheme="minorBidi"/>
        </w:rPr>
        <w:t>Bilger et al., 1989</w:t>
      </w:r>
      <w:r>
        <w:rPr>
          <w:noProof/>
          <w:color w:val="000000" w:themeColor="text1"/>
        </w:rPr>
        <w:t xml:space="preserve">; </w:t>
      </w:r>
      <w:r w:rsidRPr="00126D8D">
        <w:rPr>
          <w:rFonts w:cstheme="minorBidi"/>
        </w:rPr>
        <w:t>Ashraf and Harris, 2013</w:t>
      </w:r>
      <w:r>
        <w:rPr>
          <w:noProof/>
          <w:color w:val="000000" w:themeColor="text1"/>
        </w:rPr>
        <w:t>)</w:t>
      </w:r>
      <w:r>
        <w:rPr>
          <w:color w:val="000000" w:themeColor="text1"/>
        </w:rPr>
        <w:t xml:space="preserve">. </w:t>
      </w:r>
      <w:r w:rsidRPr="000B0D8D">
        <w:rPr>
          <w:color w:val="000000" w:themeColor="text1"/>
        </w:rPr>
        <w:t>Moreover, plants are equipped with photoreceptors that enable them to perceive variations in light quality, duration, and intensity</w:t>
      </w:r>
      <w:r>
        <w:rPr>
          <w:color w:val="000000" w:themeColor="text1"/>
        </w:rPr>
        <w:t xml:space="preserve"> </w:t>
      </w:r>
      <w:r>
        <w:rPr>
          <w:noProof/>
          <w:color w:val="000000" w:themeColor="text1"/>
        </w:rPr>
        <w:t>(</w:t>
      </w:r>
      <w:r w:rsidRPr="00126D8D">
        <w:rPr>
          <w:rFonts w:cstheme="minorBidi"/>
        </w:rPr>
        <w:t>Fraikin et al., 2013</w:t>
      </w:r>
      <w:r>
        <w:rPr>
          <w:noProof/>
          <w:color w:val="000000" w:themeColor="text1"/>
        </w:rPr>
        <w:t xml:space="preserve">; </w:t>
      </w:r>
      <w:r w:rsidRPr="00126D8D">
        <w:rPr>
          <w:rFonts w:cstheme="minorBidi"/>
        </w:rPr>
        <w:t>Folta and Carvalho, 2015</w:t>
      </w:r>
      <w:r>
        <w:rPr>
          <w:noProof/>
          <w:color w:val="000000" w:themeColor="text1"/>
        </w:rPr>
        <w:t>)</w:t>
      </w:r>
      <w:r w:rsidRPr="000B0D8D">
        <w:rPr>
          <w:color w:val="000000" w:themeColor="text1"/>
        </w:rPr>
        <w:t>. These photoreceptors control light-mediated physiological responses, such as phototropism, photomorphogenesis, and circadian rhythms, which orchestrate a myriad of developmental and metabolic processes in plants</w:t>
      </w:r>
      <w:r>
        <w:rPr>
          <w:color w:val="000000" w:themeColor="text1"/>
        </w:rPr>
        <w:t xml:space="preserve"> </w:t>
      </w:r>
      <w:r>
        <w:rPr>
          <w:noProof/>
          <w:color w:val="000000" w:themeColor="text1"/>
        </w:rPr>
        <w:t>(</w:t>
      </w:r>
      <w:r w:rsidRPr="00126D8D">
        <w:rPr>
          <w:rFonts w:cstheme="minorBidi"/>
        </w:rPr>
        <w:t>Rockwell et al., 2006</w:t>
      </w:r>
      <w:r>
        <w:rPr>
          <w:noProof/>
          <w:color w:val="000000" w:themeColor="text1"/>
        </w:rPr>
        <w:t xml:space="preserve">; </w:t>
      </w:r>
      <w:r w:rsidRPr="00126D8D">
        <w:rPr>
          <w:rFonts w:cstheme="minorBidi"/>
        </w:rPr>
        <w:t>Chaves et al., 2011</w:t>
      </w:r>
      <w:r>
        <w:rPr>
          <w:noProof/>
          <w:color w:val="000000" w:themeColor="text1"/>
        </w:rPr>
        <w:t xml:space="preserve">; </w:t>
      </w:r>
      <w:r w:rsidRPr="00126D8D">
        <w:rPr>
          <w:rFonts w:cstheme="minorBidi"/>
        </w:rPr>
        <w:t>Galvao and Fankhauser, 2015</w:t>
      </w:r>
      <w:r>
        <w:rPr>
          <w:noProof/>
          <w:color w:val="000000" w:themeColor="text1"/>
        </w:rPr>
        <w:t>)</w:t>
      </w:r>
      <w:r w:rsidRPr="000B0D8D">
        <w:rPr>
          <w:color w:val="000000" w:themeColor="text1"/>
        </w:rPr>
        <w:t>.</w:t>
      </w:r>
    </w:p>
    <w:p w14:paraId="4D47309C" w14:textId="77777777" w:rsidR="00126D8D" w:rsidRPr="000B0D8D" w:rsidRDefault="00126D8D" w:rsidP="00DC4427">
      <w:pPr>
        <w:pStyle w:val="MSThesisBodyTextJustified"/>
        <w:rPr>
          <w:color w:val="000000" w:themeColor="text1"/>
        </w:rPr>
      </w:pPr>
      <w:r w:rsidRPr="000B0D8D">
        <w:rPr>
          <w:color w:val="000000" w:themeColor="text1"/>
        </w:rPr>
        <w:lastRenderedPageBreak/>
        <w:t>In greenhouse production, supplemental lighting (SL) is sometimes employed to augment natural sunlight, particularly in regions or seasons where the solar spectrum may not be ideal for plant growth</w:t>
      </w:r>
      <w:r>
        <w:rPr>
          <w:color w:val="000000" w:themeColor="text1"/>
        </w:rPr>
        <w:t xml:space="preserve"> </w:t>
      </w:r>
      <w:r>
        <w:rPr>
          <w:noProof/>
          <w:color w:val="000000" w:themeColor="text1"/>
        </w:rPr>
        <w:t>(</w:t>
      </w:r>
      <w:r w:rsidRPr="00126D8D">
        <w:rPr>
          <w:rFonts w:cstheme="minorBidi"/>
        </w:rPr>
        <w:t>Massa et al., 2008</w:t>
      </w:r>
      <w:r>
        <w:rPr>
          <w:noProof/>
          <w:color w:val="000000" w:themeColor="text1"/>
        </w:rPr>
        <w:t xml:space="preserve">; </w:t>
      </w:r>
      <w:r w:rsidRPr="00126D8D">
        <w:rPr>
          <w:rFonts w:cstheme="minorBidi"/>
        </w:rPr>
        <w:t>Morrow, 2008</w:t>
      </w:r>
      <w:r>
        <w:rPr>
          <w:noProof/>
          <w:color w:val="000000" w:themeColor="text1"/>
        </w:rPr>
        <w:t xml:space="preserve">; </w:t>
      </w:r>
      <w:r w:rsidRPr="00126D8D">
        <w:rPr>
          <w:rFonts w:cstheme="minorBidi"/>
        </w:rPr>
        <w:t>Gómez and Mitchell, 2015</w:t>
      </w:r>
      <w:r>
        <w:rPr>
          <w:noProof/>
          <w:color w:val="000000" w:themeColor="text1"/>
        </w:rPr>
        <w:t>)</w:t>
      </w:r>
      <w:r w:rsidRPr="000B0D8D">
        <w:rPr>
          <w:color w:val="000000" w:themeColor="text1"/>
        </w:rPr>
        <w:t xml:space="preserve">. The purpose of SL is to provide additional light, particularly in the photosynthetically active radiation region, to enhance plant productivity and quality </w:t>
      </w:r>
      <w:r>
        <w:rPr>
          <w:noProof/>
          <w:color w:val="000000" w:themeColor="text1"/>
        </w:rPr>
        <w:t>(</w:t>
      </w:r>
      <w:r w:rsidRPr="00126D8D">
        <w:rPr>
          <w:rFonts w:cstheme="minorBidi"/>
        </w:rPr>
        <w:t>Currey et al., 2017</w:t>
      </w:r>
      <w:r>
        <w:rPr>
          <w:noProof/>
          <w:color w:val="000000" w:themeColor="text1"/>
        </w:rPr>
        <w:t xml:space="preserve">; </w:t>
      </w:r>
      <w:r w:rsidRPr="00126D8D">
        <w:rPr>
          <w:rFonts w:cstheme="minorBidi"/>
        </w:rPr>
        <w:t>Weaver et al., 2019</w:t>
      </w:r>
      <w:r>
        <w:rPr>
          <w:noProof/>
          <w:color w:val="000000" w:themeColor="text1"/>
        </w:rPr>
        <w:t xml:space="preserve">; </w:t>
      </w:r>
      <w:r w:rsidRPr="00126D8D">
        <w:rPr>
          <w:rFonts w:cstheme="minorBidi"/>
        </w:rPr>
        <w:t>Boldt and Altland, 2022</w:t>
      </w:r>
      <w:r>
        <w:rPr>
          <w:noProof/>
          <w:color w:val="000000" w:themeColor="text1"/>
        </w:rPr>
        <w:t>)</w:t>
      </w:r>
      <w:r>
        <w:rPr>
          <w:color w:val="000000" w:themeColor="text1"/>
        </w:rPr>
        <w:t xml:space="preserve">. </w:t>
      </w:r>
      <w:r w:rsidRPr="000B0D8D">
        <w:rPr>
          <w:color w:val="000000" w:themeColor="text1"/>
        </w:rPr>
        <w:t>This is achieved by modifying the natural solar spectra through the use of narrowband and/or broadband supplements, which can mitigate poor light quality and quantity, thereby optimizing plant growth.</w:t>
      </w:r>
    </w:p>
    <w:p w14:paraId="3F20A5CA" w14:textId="1C9234D1" w:rsidR="00126D8D" w:rsidRPr="000B0D8D" w:rsidRDefault="00126D8D" w:rsidP="00DC4427">
      <w:pPr>
        <w:pStyle w:val="MSThesisBodyTextJustified"/>
        <w:rPr>
          <w:color w:val="000000" w:themeColor="text1"/>
        </w:rPr>
      </w:pPr>
      <w:r w:rsidRPr="000B0D8D">
        <w:rPr>
          <w:color w:val="000000" w:themeColor="text1"/>
        </w:rPr>
        <w:t xml:space="preserve">However, the formulation of generalized controlled environment agriculture (CEA) lighting protocols presents several challenges. One key challenge </w:t>
      </w:r>
      <w:r w:rsidR="00733C17">
        <w:rPr>
          <w:color w:val="000000" w:themeColor="text1"/>
        </w:rPr>
        <w:t>is</w:t>
      </w:r>
      <w:r w:rsidRPr="000B0D8D">
        <w:rPr>
          <w:color w:val="000000" w:themeColor="text1"/>
        </w:rPr>
        <w:t xml:space="preserve"> the species-dependent expression of light-mediated metabolic pathways. Different plant species, or even different cultivars within a species, can exhibit diverse responses to light conditions, leading to variations in growth and nutritional quality</w:t>
      </w:r>
      <w:r>
        <w:rPr>
          <w:color w:val="000000" w:themeColor="text1"/>
        </w:rPr>
        <w:t xml:space="preserve"> </w:t>
      </w:r>
      <w:r>
        <w:rPr>
          <w:noProof/>
          <w:color w:val="000000" w:themeColor="text1"/>
        </w:rPr>
        <w:t>(</w:t>
      </w:r>
      <w:r w:rsidRPr="00126D8D">
        <w:rPr>
          <w:rFonts w:cstheme="minorBidi"/>
        </w:rPr>
        <w:t>Randall and Lopez, 2014</w:t>
      </w:r>
      <w:r>
        <w:rPr>
          <w:noProof/>
          <w:color w:val="000000" w:themeColor="text1"/>
        </w:rPr>
        <w:t xml:space="preserve">; </w:t>
      </w:r>
      <w:r w:rsidRPr="00126D8D">
        <w:rPr>
          <w:rFonts w:cstheme="minorBidi"/>
        </w:rPr>
        <w:t>Ouzounis et al., 2015</w:t>
      </w:r>
      <w:r>
        <w:rPr>
          <w:noProof/>
          <w:color w:val="000000" w:themeColor="text1"/>
        </w:rPr>
        <w:t xml:space="preserve">; </w:t>
      </w:r>
      <w:r w:rsidRPr="00126D8D">
        <w:rPr>
          <w:rFonts w:cstheme="minorBidi"/>
        </w:rPr>
        <w:t>Singh et al., 2015</w:t>
      </w:r>
      <w:r>
        <w:rPr>
          <w:noProof/>
          <w:color w:val="000000" w:themeColor="text1"/>
        </w:rPr>
        <w:t xml:space="preserve">; </w:t>
      </w:r>
      <w:r w:rsidRPr="00126D8D">
        <w:rPr>
          <w:rFonts w:cstheme="minorBidi"/>
        </w:rPr>
        <w:t>Baumbauer et al., 2019</w:t>
      </w:r>
      <w:r>
        <w:rPr>
          <w:noProof/>
          <w:color w:val="000000" w:themeColor="text1"/>
        </w:rPr>
        <w:t xml:space="preserve">; </w:t>
      </w:r>
      <w:r w:rsidRPr="00126D8D">
        <w:rPr>
          <w:rFonts w:cstheme="minorBidi"/>
        </w:rPr>
        <w:t>Kyriacou et al., 2019</w:t>
      </w:r>
      <w:r>
        <w:rPr>
          <w:noProof/>
          <w:color w:val="000000" w:themeColor="text1"/>
        </w:rPr>
        <w:t>)</w:t>
      </w:r>
      <w:r>
        <w:rPr>
          <w:color w:val="000000" w:themeColor="text1"/>
        </w:rPr>
        <w:t xml:space="preserve">. </w:t>
      </w:r>
      <w:r w:rsidRPr="000B0D8D">
        <w:rPr>
          <w:color w:val="000000" w:themeColor="text1"/>
        </w:rPr>
        <w:t>Therefore, there is a pressing need for more extensive research on impact of SL spectral distribution on plant yield and nutritional quality across a range of plant species</w:t>
      </w:r>
      <w:r>
        <w:rPr>
          <w:color w:val="000000" w:themeColor="text1"/>
        </w:rPr>
        <w:t>.</w:t>
      </w:r>
    </w:p>
    <w:p w14:paraId="62851D68" w14:textId="5BEF9C63" w:rsidR="00126D8D" w:rsidRPr="000B0D8D" w:rsidRDefault="00126D8D" w:rsidP="00DC4427">
      <w:pPr>
        <w:pStyle w:val="MSThesisBodyTextJustified"/>
        <w:rPr>
          <w:color w:val="000000" w:themeColor="text1"/>
        </w:rPr>
      </w:pPr>
      <w:r w:rsidRPr="000B0D8D">
        <w:rPr>
          <w:color w:val="000000" w:themeColor="text1"/>
        </w:rPr>
        <w:t>In addition to recognizing species-dependent differences in light sensitivity, it is also important to consider the cost and energy efficiency when establishing universal lighting protocols for controlled environment agriculture (CEA) systems</w:t>
      </w:r>
      <w:r>
        <w:rPr>
          <w:color w:val="000000" w:themeColor="text1"/>
        </w:rPr>
        <w:t xml:space="preserve"> </w:t>
      </w:r>
      <w:r>
        <w:rPr>
          <w:noProof/>
          <w:color w:val="000000" w:themeColor="text1"/>
        </w:rPr>
        <w:t>(</w:t>
      </w:r>
      <w:r w:rsidR="00971E9E" w:rsidRPr="00126D8D">
        <w:rPr>
          <w:rFonts w:cstheme="minorBidi"/>
        </w:rPr>
        <w:t xml:space="preserve"> </w:t>
      </w:r>
      <w:r w:rsidR="00971E9E">
        <w:rPr>
          <w:rFonts w:cstheme="minorBidi"/>
        </w:rPr>
        <w:t>S</w:t>
      </w:r>
      <w:r w:rsidRPr="00126D8D">
        <w:rPr>
          <w:rFonts w:cstheme="minorBidi"/>
        </w:rPr>
        <w:t>ager et al., 1988</w:t>
      </w:r>
      <w:r>
        <w:rPr>
          <w:noProof/>
          <w:color w:val="000000" w:themeColor="text1"/>
        </w:rPr>
        <w:t xml:space="preserve">; </w:t>
      </w:r>
      <w:r w:rsidRPr="00126D8D">
        <w:rPr>
          <w:rFonts w:cstheme="minorBidi"/>
        </w:rPr>
        <w:t>Zhen and Bugbee, 2020</w:t>
      </w:r>
      <w:r>
        <w:rPr>
          <w:noProof/>
          <w:color w:val="000000" w:themeColor="text1"/>
        </w:rPr>
        <w:t xml:space="preserve">; </w:t>
      </w:r>
      <w:r w:rsidRPr="00126D8D">
        <w:rPr>
          <w:rFonts w:cstheme="minorBidi"/>
        </w:rPr>
        <w:t>Engler and Krarti, 2021</w:t>
      </w:r>
      <w:r>
        <w:rPr>
          <w:noProof/>
          <w:color w:val="000000" w:themeColor="text1"/>
        </w:rPr>
        <w:t xml:space="preserve">; </w:t>
      </w:r>
      <w:r w:rsidRPr="00126D8D">
        <w:rPr>
          <w:rFonts w:cstheme="minorBidi"/>
        </w:rPr>
        <w:t>Jayalath and van Iersel, 2021</w:t>
      </w:r>
      <w:r>
        <w:rPr>
          <w:noProof/>
          <w:color w:val="000000" w:themeColor="text1"/>
        </w:rPr>
        <w:t xml:space="preserve">; </w:t>
      </w:r>
      <w:r w:rsidRPr="00126D8D">
        <w:rPr>
          <w:rFonts w:cstheme="minorBidi"/>
        </w:rPr>
        <w:t>Tabbert et al., 2021</w:t>
      </w:r>
      <w:r>
        <w:rPr>
          <w:noProof/>
          <w:color w:val="000000" w:themeColor="text1"/>
        </w:rPr>
        <w:t>)</w:t>
      </w:r>
      <w:r w:rsidRPr="000B0D8D">
        <w:rPr>
          <w:color w:val="000000" w:themeColor="text1"/>
        </w:rPr>
        <w:t xml:space="preserve">. As LED systems become increasingly popular due to their higher efficiency and flexibility in providing tailored spectra of light, growers must balance the need for optimized light conditions with economic </w:t>
      </w:r>
      <w:r w:rsidRPr="000B0D8D">
        <w:rPr>
          <w:color w:val="000000" w:themeColor="text1"/>
        </w:rPr>
        <w:lastRenderedPageBreak/>
        <w:t xml:space="preserve">considerations such as operational costs. Thus, it is essential to establish protocols that are both economically and energetically viable, while still providing optimal light conditions for the crops. </w:t>
      </w:r>
    </w:p>
    <w:p w14:paraId="27C6159F" w14:textId="3000E97A" w:rsidR="00126D8D" w:rsidRPr="000B0D8D" w:rsidRDefault="00126D8D" w:rsidP="00DC4427">
      <w:pPr>
        <w:pStyle w:val="MSThesisBodyTextJustified"/>
        <w:rPr>
          <w:color w:val="000000" w:themeColor="text1"/>
        </w:rPr>
      </w:pPr>
      <w:r w:rsidRPr="000B0D8D">
        <w:rPr>
          <w:color w:val="000000" w:themeColor="text1"/>
        </w:rPr>
        <w:t>The objective of this current study is to investigate the influence of SL spectral quality on the primary metabolism of basil (</w:t>
      </w:r>
      <w:r w:rsidRPr="00E94DE1">
        <w:rPr>
          <w:color w:val="000000" w:themeColor="text1"/>
        </w:rPr>
        <w:t>Ocimum basilicum</w:t>
      </w:r>
      <w:r w:rsidRPr="000B0D8D">
        <w:rPr>
          <w:color w:val="000000" w:themeColor="text1"/>
        </w:rPr>
        <w:t xml:space="preserve"> 'Genovese'). We aim to identify which LED spectra provide optimal light conditions for basil growth and nutritional quality. We tested four light treatments: non-supplemented natural light (NL) control, 20B/80R narrowband LEDs, broadband neutral white LEDs (5600 K), and a high-pressure sodium (HPS) lamp. To assess the effects of these treatments, we measured fresh mass (FM), dry mass (DM), performed elemental nutrient tissue analysis, and conducted gene expression profiling using RNA-seq.</w:t>
      </w:r>
    </w:p>
    <w:p w14:paraId="75382B62" w14:textId="33BB92D1" w:rsidR="00126D8D" w:rsidRPr="003F0091" w:rsidRDefault="00126D8D" w:rsidP="00DC4427">
      <w:pPr>
        <w:pStyle w:val="MSThesisBodyTextJustified"/>
        <w:rPr>
          <w:color w:val="000000" w:themeColor="text1"/>
          <w:highlight w:val="yellow"/>
        </w:rPr>
      </w:pPr>
      <w:r w:rsidRPr="000B0D8D">
        <w:rPr>
          <w:color w:val="000000" w:themeColor="text1"/>
        </w:rPr>
        <w:t xml:space="preserve">Our hypothesis </w:t>
      </w:r>
      <w:r w:rsidR="00F973C4">
        <w:rPr>
          <w:color w:val="000000" w:themeColor="text1"/>
        </w:rPr>
        <w:t>was</w:t>
      </w:r>
      <w:r w:rsidRPr="000B0D8D">
        <w:rPr>
          <w:color w:val="000000" w:themeColor="text1"/>
        </w:rPr>
        <w:t xml:space="preserve"> that different SL spectral qualities elicit varying effects on primary metabolism in basil</w:t>
      </w:r>
      <w:r>
        <w:rPr>
          <w:color w:val="000000" w:themeColor="text1"/>
        </w:rPr>
        <w:t xml:space="preserve"> across growing seasons. </w:t>
      </w:r>
      <w:r w:rsidRPr="000B0D8D">
        <w:rPr>
          <w:color w:val="000000" w:themeColor="text1"/>
        </w:rPr>
        <w:t>We further hypothesize</w:t>
      </w:r>
      <w:r w:rsidR="001522AC" w:rsidRPr="001522AC">
        <w:rPr>
          <w:color w:val="FF0000"/>
        </w:rPr>
        <w:t>d</w:t>
      </w:r>
      <w:r w:rsidRPr="000B0D8D">
        <w:rPr>
          <w:color w:val="000000" w:themeColor="text1"/>
        </w:rPr>
        <w:t xml:space="preserve"> that SL treatments may influence yield and nutrient uptake/assimilation through the differential expression of genes involved in primary metabolic functions. This study aims to fill the knowledge gap in the literature concerning the impact of SL spectral quality on plant primary metabolism, providing insights that can guide the development of more effective CEA lighting strategies.</w:t>
      </w:r>
    </w:p>
    <w:p w14:paraId="1081D550" w14:textId="1EE24DA0" w:rsidR="00126D8D" w:rsidRPr="003F0091" w:rsidRDefault="00126D8D" w:rsidP="00DC4427">
      <w:pPr>
        <w:spacing w:line="240" w:lineRule="auto"/>
        <w:rPr>
          <w:rFonts w:cs="Times New Roman"/>
          <w:b/>
          <w:color w:val="000000" w:themeColor="text1"/>
          <w:sz w:val="28"/>
        </w:rPr>
      </w:pPr>
    </w:p>
    <w:p w14:paraId="5FE108FF" w14:textId="77777777" w:rsidR="00126D8D" w:rsidRPr="003F0091" w:rsidRDefault="00126D8D" w:rsidP="00DC4427">
      <w:pPr>
        <w:pStyle w:val="MastersThesisMainTitle"/>
        <w:rPr>
          <w:color w:val="000000" w:themeColor="text1"/>
        </w:rPr>
      </w:pPr>
      <w:bookmarkStart w:id="558" w:name="_Toc139574822"/>
      <w:bookmarkStart w:id="559" w:name="_Toc141478692"/>
      <w:r w:rsidRPr="00F47BBB">
        <w:rPr>
          <w:color w:val="000000" w:themeColor="text1"/>
        </w:rPr>
        <w:t>Materials and Methods</w:t>
      </w:r>
      <w:bookmarkEnd w:id="558"/>
      <w:bookmarkEnd w:id="559"/>
    </w:p>
    <w:p w14:paraId="5722FB8C" w14:textId="77777777" w:rsidR="00126D8D" w:rsidRPr="003F0091" w:rsidRDefault="00126D8D" w:rsidP="00DC4427">
      <w:pPr>
        <w:pStyle w:val="MastersThesisSectionHeader"/>
        <w:rPr>
          <w:color w:val="000000" w:themeColor="text1"/>
        </w:rPr>
      </w:pPr>
      <w:bookmarkStart w:id="560" w:name="_Toc139574823"/>
      <w:bookmarkStart w:id="561" w:name="_Toc141478693"/>
      <w:r w:rsidRPr="003F0091">
        <w:rPr>
          <w:color w:val="000000" w:themeColor="text1"/>
        </w:rPr>
        <w:t>Cultural Techniques and Environmental Growing Conditions</w:t>
      </w:r>
      <w:bookmarkEnd w:id="560"/>
      <w:bookmarkEnd w:id="561"/>
    </w:p>
    <w:p w14:paraId="74190CB0" w14:textId="6B254375" w:rsidR="00126D8D" w:rsidRPr="003F0091" w:rsidRDefault="00126D8D" w:rsidP="00DC4427">
      <w:pPr>
        <w:pStyle w:val="MSThesisBodyTextJustified"/>
        <w:rPr>
          <w:color w:val="000000" w:themeColor="text1"/>
        </w:rPr>
      </w:pPr>
      <w:r w:rsidRPr="002A2767">
        <w:rPr>
          <w:color w:val="000000" w:themeColor="text1"/>
        </w:rPr>
        <w:t>This project was conducted at the University of Tennessee Institute of Agriculture (UTIA) in Knoxville, TN, USA, located at 35°56'44.5"N, 83°56'17.3”W.</w:t>
      </w:r>
      <w:r>
        <w:rPr>
          <w:i/>
          <w:iCs/>
          <w:color w:val="000000" w:themeColor="text1"/>
        </w:rPr>
        <w:t xml:space="preserve"> </w:t>
      </w:r>
      <w:r w:rsidRPr="003F0091">
        <w:rPr>
          <w:i/>
          <w:iCs/>
          <w:color w:val="000000" w:themeColor="text1"/>
        </w:rPr>
        <w:t xml:space="preserve">Ocimum Basilicum </w:t>
      </w:r>
      <w:r w:rsidR="00F54981">
        <w:rPr>
          <w:color w:val="000000" w:themeColor="text1"/>
        </w:rPr>
        <w:t>‘</w:t>
      </w:r>
      <w:r w:rsidRPr="003F0091">
        <w:rPr>
          <w:color w:val="000000" w:themeColor="text1"/>
        </w:rPr>
        <w:t>Genovese</w:t>
      </w:r>
      <w:r w:rsidR="00F54981">
        <w:rPr>
          <w:color w:val="000000" w:themeColor="text1"/>
        </w:rPr>
        <w:t>’</w:t>
      </w:r>
      <w:r w:rsidRPr="003F0091">
        <w:rPr>
          <w:color w:val="000000" w:themeColor="text1"/>
        </w:rPr>
        <w:t xml:space="preserve"> basil seeds (Johnny’s Select Seeds, Winslow, ME, United States) were germinated in peat moss-based cubes (2 × 2 × 6 cm) (Park’s Bio Dome Sponges, Hodges, SC, United States) at 28.3°C and 95% RH. </w:t>
      </w:r>
      <w:r>
        <w:rPr>
          <w:color w:val="000000" w:themeColor="text1"/>
        </w:rPr>
        <w:t>We chose the 'Genovese' sweet basil due to its intricate flavor, popularity among professional chefs, and high demand in the market.</w:t>
      </w:r>
    </w:p>
    <w:p w14:paraId="0008AC2F" w14:textId="4243D4BC" w:rsidR="00126D8D" w:rsidRPr="003F0091" w:rsidRDefault="00126D8D" w:rsidP="00DC4427">
      <w:pPr>
        <w:pStyle w:val="MSThesisBodyTextJustified"/>
        <w:rPr>
          <w:color w:val="000000" w:themeColor="text1"/>
        </w:rPr>
      </w:pPr>
      <w:r>
        <w:rPr>
          <w:color w:val="000000" w:themeColor="text1"/>
        </w:rPr>
        <w:lastRenderedPageBreak/>
        <w:t xml:space="preserve">The seedlings were moved to NFT hydroponic systems with a full-strength general mix nutrient solution after two weeks. The fertility regime remained constant throughout the seasons, and the basil was grown in standard commercial greenhouse conditions. The nutrient solution was kept at a consistent pH of 5.9 and changed weekly. </w:t>
      </w:r>
      <w:r w:rsidRPr="003F0091">
        <w:rPr>
          <w:color w:val="000000" w:themeColor="text1"/>
        </w:rPr>
        <w:t xml:space="preserve">Elemental nutrient concentrations were as follows (ppm): N (207.54), P(50.87), </w:t>
      </w:r>
      <w:r w:rsidR="009A5A8B">
        <w:rPr>
          <w:color w:val="000000" w:themeColor="text1"/>
        </w:rPr>
        <w:t>K</w:t>
      </w:r>
      <w:r w:rsidRPr="003F0091">
        <w:rPr>
          <w:color w:val="000000" w:themeColor="text1"/>
        </w:rPr>
        <w:t xml:space="preserve"> (298.23), Ca (180.15), Mg (77.10), S (136.45), </w:t>
      </w:r>
      <w:r w:rsidR="009A5A8B">
        <w:rPr>
          <w:color w:val="000000" w:themeColor="text1"/>
        </w:rPr>
        <w:t>Fe</w:t>
      </w:r>
      <w:r w:rsidRPr="003F0091">
        <w:rPr>
          <w:color w:val="000000" w:themeColor="text1"/>
        </w:rPr>
        <w:t xml:space="preserve"> (3.95), Mn (0.90), Z (0.40), Mo (0.09), C</w:t>
      </w:r>
      <w:r w:rsidR="00630B98">
        <w:rPr>
          <w:color w:val="000000" w:themeColor="text1"/>
        </w:rPr>
        <w:t>u</w:t>
      </w:r>
      <w:r w:rsidRPr="003F0091">
        <w:rPr>
          <w:color w:val="000000" w:themeColor="text1"/>
        </w:rPr>
        <w:t xml:space="preserve"> (0.90), and B (0.90). </w:t>
      </w:r>
      <w:r>
        <w:rPr>
          <w:color w:val="000000" w:themeColor="text1"/>
        </w:rPr>
        <w:t>To maintain consistent nutrient composition, we used Inductively Coupled Plasma Mass Spectrometry (Agilent Technologies, Santa Clara, CA, United States) to analyze the water samples during each experiment. In both growing seasons, the total growth time was around 45 days.</w:t>
      </w:r>
    </w:p>
    <w:p w14:paraId="67C23E72" w14:textId="77777777" w:rsidR="00126D8D" w:rsidRPr="003F0091" w:rsidRDefault="00126D8D" w:rsidP="00DC4427">
      <w:pPr>
        <w:pStyle w:val="MSThesisBodyTextJustified"/>
        <w:rPr>
          <w:color w:val="000000" w:themeColor="text1"/>
        </w:rPr>
      </w:pPr>
      <w:r w:rsidRPr="003F0091">
        <w:rPr>
          <w:color w:val="000000" w:themeColor="text1"/>
        </w:rPr>
        <w:t>Day temperatures averaged 28.1 ± 1.5 °C, and night temperatures averaged 21.3 ± 0.4 °C. Relative humidity during the growth period averaged 55%. DLI of the natural light control (i.e., ambient sunlight) averaged 9.9 mol</w:t>
      </w:r>
      <w:r w:rsidRPr="003F0091">
        <w:rPr>
          <w:b/>
          <w:bCs/>
          <w:color w:val="000000" w:themeColor="text1"/>
          <w:vertAlign w:val="superscript"/>
        </w:rPr>
        <w:t>.</w:t>
      </w:r>
      <w:r w:rsidRPr="003F0091">
        <w:rPr>
          <w:color w:val="000000" w:themeColor="text1"/>
        </w:rPr>
        <w:t>m</w:t>
      </w:r>
      <w:r w:rsidRPr="003F0091">
        <w:rPr>
          <w:color w:val="000000" w:themeColor="text1"/>
          <w:vertAlign w:val="superscript"/>
        </w:rPr>
        <w:t>-2</w:t>
      </w:r>
      <w:r w:rsidRPr="003F0091">
        <w:rPr>
          <w:b/>
          <w:bCs/>
          <w:color w:val="000000" w:themeColor="text1"/>
          <w:vertAlign w:val="superscript"/>
        </w:rPr>
        <w:t>.</w:t>
      </w:r>
      <w:r w:rsidRPr="003F0091">
        <w:rPr>
          <w:color w:val="000000" w:themeColor="text1"/>
        </w:rPr>
        <w:t>d</w:t>
      </w:r>
      <w:r w:rsidRPr="003F0091">
        <w:rPr>
          <w:color w:val="000000" w:themeColor="text1"/>
          <w:vertAlign w:val="superscript"/>
        </w:rPr>
        <w:t>-1</w:t>
      </w:r>
      <w:r w:rsidRPr="003F0091">
        <w:rPr>
          <w:color w:val="000000" w:themeColor="text1"/>
        </w:rPr>
        <w:t xml:space="preserve"> across all four growing seasons (daily average ranging from 4 to 20 mol</w:t>
      </w:r>
      <w:r w:rsidRPr="003F0091">
        <w:rPr>
          <w:b/>
          <w:bCs/>
          <w:color w:val="000000" w:themeColor="text1"/>
          <w:vertAlign w:val="superscript"/>
        </w:rPr>
        <w:t>.</w:t>
      </w:r>
      <w:r w:rsidRPr="003F0091">
        <w:rPr>
          <w:color w:val="000000" w:themeColor="text1"/>
        </w:rPr>
        <w:t>m</w:t>
      </w:r>
      <w:r w:rsidRPr="003F0091">
        <w:rPr>
          <w:color w:val="000000" w:themeColor="text1"/>
          <w:vertAlign w:val="superscript"/>
        </w:rPr>
        <w:t>-2</w:t>
      </w:r>
      <w:r w:rsidRPr="003F0091">
        <w:rPr>
          <w:b/>
          <w:bCs/>
          <w:color w:val="000000" w:themeColor="text1"/>
          <w:vertAlign w:val="superscript"/>
        </w:rPr>
        <w:t>.</w:t>
      </w:r>
      <w:r w:rsidRPr="003F0091">
        <w:rPr>
          <w:color w:val="000000" w:themeColor="text1"/>
        </w:rPr>
        <w:t>d</w:t>
      </w:r>
      <w:r w:rsidRPr="003F0091">
        <w:rPr>
          <w:color w:val="000000" w:themeColor="text1"/>
          <w:vertAlign w:val="superscript"/>
        </w:rPr>
        <w:t>-1</w:t>
      </w:r>
      <w:r w:rsidRPr="003F0091">
        <w:rPr>
          <w:color w:val="000000" w:themeColor="text1"/>
        </w:rPr>
        <w:t>). Each hydroponic system (treatment) received similar amounts of cumulative ambient sunlight (DLI of ± 0.5 mol</w:t>
      </w:r>
      <w:r w:rsidRPr="003F0091">
        <w:rPr>
          <w:b/>
          <w:bCs/>
          <w:color w:val="000000" w:themeColor="text1"/>
          <w:vertAlign w:val="superscript"/>
        </w:rPr>
        <w:t>.</w:t>
      </w:r>
      <w:r w:rsidRPr="003F0091">
        <w:rPr>
          <w:color w:val="000000" w:themeColor="text1"/>
        </w:rPr>
        <w:t>m</w:t>
      </w:r>
      <w:r w:rsidRPr="003F0091">
        <w:rPr>
          <w:color w:val="000000" w:themeColor="text1"/>
          <w:vertAlign w:val="superscript"/>
        </w:rPr>
        <w:t>-2</w:t>
      </w:r>
      <w:r w:rsidRPr="003F0091">
        <w:rPr>
          <w:b/>
          <w:bCs/>
          <w:color w:val="000000" w:themeColor="text1"/>
          <w:vertAlign w:val="superscript"/>
        </w:rPr>
        <w:t>.</w:t>
      </w:r>
      <w:r w:rsidRPr="003F0091">
        <w:rPr>
          <w:color w:val="000000" w:themeColor="text1"/>
        </w:rPr>
        <w:t>d</w:t>
      </w:r>
      <w:r w:rsidRPr="003F0091">
        <w:rPr>
          <w:color w:val="000000" w:themeColor="text1"/>
          <w:vertAlign w:val="superscript"/>
        </w:rPr>
        <w:t xml:space="preserve">-1 </w:t>
      </w:r>
      <w:r w:rsidRPr="003F0091">
        <w:rPr>
          <w:color w:val="000000" w:themeColor="text1"/>
        </w:rPr>
        <w:t xml:space="preserve">across treatments) throughout the four growing seasons, in addition to the prescribed SL regime. </w:t>
      </w:r>
    </w:p>
    <w:p w14:paraId="090F2E89" w14:textId="6AC8C2FF" w:rsidR="00126D8D" w:rsidRPr="00A67B85" w:rsidRDefault="00126D8D" w:rsidP="00A67B85">
      <w:pPr>
        <w:pStyle w:val="MSThesisBodyTextJustified"/>
        <w:rPr>
          <w:color w:val="000000" w:themeColor="text1"/>
        </w:rPr>
      </w:pPr>
      <w:r w:rsidRPr="003F0091">
        <w:rPr>
          <w:color w:val="000000" w:themeColor="text1"/>
        </w:rPr>
        <w:t xml:space="preserve">Two experimental cycles were performed to determine differences between summer and winter growing seasons under greenhouse conditions </w:t>
      </w:r>
      <w:r w:rsidR="0068504F">
        <w:rPr>
          <w:color w:val="000000" w:themeColor="text1"/>
        </w:rPr>
        <w:t xml:space="preserve">and </w:t>
      </w:r>
      <w:r w:rsidRPr="003F0091">
        <w:rPr>
          <w:color w:val="000000" w:themeColor="text1"/>
        </w:rPr>
        <w:t xml:space="preserve">how the interaction between SL and changes in ambient sunlight across growing seasons </w:t>
      </w:r>
      <w:r>
        <w:rPr>
          <w:color w:val="000000" w:themeColor="text1"/>
        </w:rPr>
        <w:t>influences edible biomass, nutrient bioaccumulation,</w:t>
      </w:r>
      <w:r w:rsidRPr="003F0091">
        <w:rPr>
          <w:color w:val="000000" w:themeColor="text1"/>
        </w:rPr>
        <w:t xml:space="preserve"> and changes in genetic expression. </w:t>
      </w:r>
      <w:r>
        <w:rPr>
          <w:color w:val="000000" w:themeColor="text1"/>
        </w:rPr>
        <w:t xml:space="preserve">The tissue samples for all three experimental methods in this study were collected on the same day. Table </w:t>
      </w:r>
      <w:r w:rsidR="000D7DA2">
        <w:rPr>
          <w:color w:val="000000" w:themeColor="text1"/>
        </w:rPr>
        <w:t>4</w:t>
      </w:r>
      <w:r w:rsidR="00EA26A0">
        <w:rPr>
          <w:color w:val="000000" w:themeColor="text1"/>
        </w:rPr>
        <w:t>.</w:t>
      </w:r>
      <w:r>
        <w:rPr>
          <w:color w:val="000000" w:themeColor="text1"/>
        </w:rPr>
        <w:t>1 provides detailed growing parameters for each season, gathered through the use of greenhouse control sensors (PRIVA, Ontario, CA), WatchDog 2000 Series sensors (Spectrum Technologies, Aurora, IL, USA), and PS-200 Apogee Spectroradiometer (Apogee Instruments, Logan, UT, USA).</w:t>
      </w:r>
    </w:p>
    <w:p w14:paraId="2678FB5D" w14:textId="77777777" w:rsidR="00126D8D" w:rsidRPr="003F0091" w:rsidRDefault="00126D8D" w:rsidP="00DC4427">
      <w:pPr>
        <w:pStyle w:val="MastersThesisSectionHeader"/>
        <w:rPr>
          <w:color w:val="000000" w:themeColor="text1"/>
        </w:rPr>
      </w:pPr>
      <w:bookmarkStart w:id="562" w:name="_Toc139574824"/>
      <w:bookmarkStart w:id="563" w:name="_Toc141478694"/>
      <w:r w:rsidRPr="003F0091">
        <w:rPr>
          <w:color w:val="000000" w:themeColor="text1"/>
        </w:rPr>
        <w:lastRenderedPageBreak/>
        <w:t>Light Treatments</w:t>
      </w:r>
      <w:bookmarkEnd w:id="562"/>
      <w:bookmarkEnd w:id="563"/>
    </w:p>
    <w:p w14:paraId="0A4FDE1A" w14:textId="0C943166" w:rsidR="00126D8D" w:rsidRPr="003F0091" w:rsidRDefault="00126D8D" w:rsidP="00DC4427">
      <w:pPr>
        <w:pStyle w:val="MSThesisBodyTextJustified"/>
        <w:rPr>
          <w:color w:val="000000" w:themeColor="text1"/>
        </w:rPr>
      </w:pPr>
      <w:r w:rsidRPr="003F0091">
        <w:rPr>
          <w:color w:val="000000" w:themeColor="text1"/>
        </w:rPr>
        <w:t xml:space="preserve">This experiment evaluated the impact of discrete narrowband and broadband wavelength combinations from SL systems on </w:t>
      </w:r>
      <w:r>
        <w:rPr>
          <w:color w:val="000000" w:themeColor="text1"/>
        </w:rPr>
        <w:t>fresh and dry mass, elemental nutrient composition, and transcriptome of basil.</w:t>
      </w:r>
      <w:r w:rsidRPr="003F0091">
        <w:rPr>
          <w:color w:val="000000" w:themeColor="text1"/>
        </w:rPr>
        <w:t xml:space="preserve"> </w:t>
      </w:r>
      <w:r>
        <w:rPr>
          <w:color w:val="000000" w:themeColor="text1"/>
        </w:rPr>
        <w:t xml:space="preserve">In this experiment, we utilized a Randomized Complete Block Design to establish the lighting treatments. Additionally, we switched the lighting treatments between growing seasons to factor in any potential shading effects caused by the greenhouse. Narrowband </w:t>
      </w:r>
      <w:r w:rsidR="00A344DB">
        <w:rPr>
          <w:color w:val="000000" w:themeColor="text1"/>
        </w:rPr>
        <w:t>blue and red</w:t>
      </w:r>
      <w:r w:rsidR="00A344DB" w:rsidRPr="00A344DB">
        <w:rPr>
          <w:color w:val="000000" w:themeColor="text1"/>
        </w:rPr>
        <w:t xml:space="preserve"> light-emitting diode</w:t>
      </w:r>
      <w:r w:rsidR="00A344DB">
        <w:rPr>
          <w:color w:val="000000" w:themeColor="text1"/>
        </w:rPr>
        <w:t>s of (</w:t>
      </w:r>
      <w:r>
        <w:rPr>
          <w:color w:val="000000" w:themeColor="text1"/>
        </w:rPr>
        <w:t>B/R</w:t>
      </w:r>
      <w:r w:rsidRPr="003F0091">
        <w:rPr>
          <w:color w:val="000000" w:themeColor="text1"/>
        </w:rPr>
        <w:t xml:space="preserve"> LED</w:t>
      </w:r>
      <w:r w:rsidR="00A344DB">
        <w:rPr>
          <w:color w:val="000000" w:themeColor="text1"/>
        </w:rPr>
        <w:t>)</w:t>
      </w:r>
      <w:r w:rsidRPr="003F0091">
        <w:rPr>
          <w:color w:val="000000" w:themeColor="text1"/>
        </w:rPr>
        <w:t xml:space="preserve"> (Fluence Bioengineering, Austin, TX), Broadband White LEDs (Fluence Bioengineering, Austin, TX), and </w:t>
      </w:r>
      <w:r w:rsidR="00A26FCE" w:rsidRPr="00A26FCE">
        <w:rPr>
          <w:color w:val="000000" w:themeColor="text1"/>
        </w:rPr>
        <w:t xml:space="preserve">High-Pressure Sodium </w:t>
      </w:r>
      <w:r w:rsidR="00A26FCE" w:rsidRPr="003F0091">
        <w:rPr>
          <w:color w:val="000000" w:themeColor="text1"/>
        </w:rPr>
        <w:t>lamps</w:t>
      </w:r>
      <w:r w:rsidR="00A26FCE">
        <w:rPr>
          <w:color w:val="000000" w:themeColor="text1"/>
        </w:rPr>
        <w:t xml:space="preserve"> (</w:t>
      </w:r>
      <w:r w:rsidRPr="003F0091">
        <w:rPr>
          <w:color w:val="000000" w:themeColor="text1"/>
        </w:rPr>
        <w:t>HPS</w:t>
      </w:r>
      <w:r w:rsidR="00A26FCE">
        <w:rPr>
          <w:color w:val="000000" w:themeColor="text1"/>
        </w:rPr>
        <w:t>)</w:t>
      </w:r>
      <w:r w:rsidRPr="003F0091">
        <w:rPr>
          <w:color w:val="000000" w:themeColor="text1"/>
        </w:rPr>
        <w:t xml:space="preserve"> (Hortilux DE, Mentor OH) provided 8.64 mol</w:t>
      </w:r>
      <w:r w:rsidRPr="003F0091">
        <w:rPr>
          <w:b/>
          <w:bCs/>
          <w:color w:val="000000" w:themeColor="text1"/>
          <w:vertAlign w:val="superscript"/>
        </w:rPr>
        <w:t>.</w:t>
      </w:r>
      <w:r w:rsidRPr="003F0091">
        <w:rPr>
          <w:color w:val="000000" w:themeColor="text1"/>
        </w:rPr>
        <w:t>m</w:t>
      </w:r>
      <w:r w:rsidRPr="003F0091">
        <w:rPr>
          <w:color w:val="000000" w:themeColor="text1"/>
          <w:vertAlign w:val="superscript"/>
        </w:rPr>
        <w:t>-2</w:t>
      </w:r>
      <w:r w:rsidRPr="003F0091">
        <w:rPr>
          <w:b/>
          <w:bCs/>
          <w:color w:val="000000" w:themeColor="text1"/>
          <w:vertAlign w:val="superscript"/>
        </w:rPr>
        <w:t>.</w:t>
      </w:r>
      <w:r w:rsidRPr="003F0091">
        <w:rPr>
          <w:color w:val="000000" w:themeColor="text1"/>
        </w:rPr>
        <w:t>d</w:t>
      </w:r>
      <w:r w:rsidRPr="003F0091">
        <w:rPr>
          <w:color w:val="000000" w:themeColor="text1"/>
          <w:vertAlign w:val="superscript"/>
        </w:rPr>
        <w:t>-1</w:t>
      </w:r>
      <w:r w:rsidRPr="003F0091">
        <w:rPr>
          <w:color w:val="000000" w:themeColor="text1"/>
        </w:rPr>
        <w:t xml:space="preserve"> (equal intensity of 100 µmol</w:t>
      </w:r>
      <w:r w:rsidRPr="003F0091">
        <w:rPr>
          <w:b/>
          <w:color w:val="000000" w:themeColor="text1"/>
          <w:vertAlign w:val="superscript"/>
        </w:rPr>
        <w:t>.</w:t>
      </w:r>
      <w:r w:rsidRPr="003F0091">
        <w:rPr>
          <w:color w:val="000000" w:themeColor="text1"/>
        </w:rPr>
        <w:t>m</w:t>
      </w:r>
      <w:r w:rsidRPr="003F0091">
        <w:rPr>
          <w:color w:val="000000" w:themeColor="text1"/>
          <w:vertAlign w:val="superscript"/>
        </w:rPr>
        <w:t>-2</w:t>
      </w:r>
      <w:r w:rsidRPr="003F0091">
        <w:rPr>
          <w:b/>
          <w:color w:val="000000" w:themeColor="text1"/>
          <w:vertAlign w:val="superscript"/>
        </w:rPr>
        <w:t>.</w:t>
      </w:r>
      <w:r w:rsidRPr="003F0091">
        <w:rPr>
          <w:color w:val="000000" w:themeColor="text1"/>
        </w:rPr>
        <w:t>s</w:t>
      </w:r>
      <w:r w:rsidRPr="003F0091">
        <w:rPr>
          <w:color w:val="000000" w:themeColor="text1"/>
          <w:vertAlign w:val="superscript"/>
        </w:rPr>
        <w:t xml:space="preserve">-1 </w:t>
      </w:r>
      <w:r w:rsidRPr="003F0091">
        <w:rPr>
          <w:color w:val="000000" w:themeColor="text1"/>
        </w:rPr>
        <w:t>for 24 h</w:t>
      </w:r>
      <w:r w:rsidRPr="003F0091">
        <w:rPr>
          <w:b/>
          <w:color w:val="000000" w:themeColor="text1"/>
          <w:vertAlign w:val="superscript"/>
        </w:rPr>
        <w:t>.</w:t>
      </w:r>
      <w:r w:rsidRPr="003F0091">
        <w:rPr>
          <w:color w:val="000000" w:themeColor="text1"/>
        </w:rPr>
        <w:t>d</w:t>
      </w:r>
      <w:r w:rsidRPr="003F0091">
        <w:rPr>
          <w:color w:val="000000" w:themeColor="text1"/>
          <w:vertAlign w:val="superscript"/>
        </w:rPr>
        <w:t>-1</w:t>
      </w:r>
      <w:r w:rsidRPr="003F0091">
        <w:rPr>
          <w:color w:val="000000" w:themeColor="text1"/>
        </w:rPr>
        <w:t xml:space="preserve">) for each SL treatment, in addition to natural sunlight (Fig. </w:t>
      </w:r>
      <w:r w:rsidR="00AD5E45">
        <w:rPr>
          <w:color w:val="000000" w:themeColor="text1"/>
        </w:rPr>
        <w:t>4.</w:t>
      </w:r>
      <w:r w:rsidRPr="003F0091">
        <w:rPr>
          <w:color w:val="000000" w:themeColor="text1"/>
        </w:rPr>
        <w:t xml:space="preserve">1). </w:t>
      </w:r>
      <w:r>
        <w:rPr>
          <w:color w:val="000000" w:themeColor="text1"/>
        </w:rPr>
        <w:t>We created a control group for natural light (NL) control to study how both ambient sunlight and SL impact</w:t>
      </w:r>
      <w:r w:rsidR="00482946">
        <w:rPr>
          <w:color w:val="000000" w:themeColor="text1"/>
        </w:rPr>
        <w:t>ed</w:t>
      </w:r>
      <w:r>
        <w:rPr>
          <w:color w:val="000000" w:themeColor="text1"/>
        </w:rPr>
        <w:t xml:space="preserve"> plant primary metabolism.</w:t>
      </w:r>
      <w:r w:rsidRPr="003F0091">
        <w:rPr>
          <w:color w:val="000000" w:themeColor="text1"/>
        </w:rPr>
        <w:t xml:space="preserve"> </w:t>
      </w:r>
      <w:r>
        <w:rPr>
          <w:color w:val="000000" w:themeColor="text1"/>
        </w:rPr>
        <w:t xml:space="preserve">The intensity and spectral quality distribution were verified </w:t>
      </w:r>
      <w:r w:rsidRPr="00E63159">
        <w:rPr>
          <w:color w:val="000000" w:themeColor="text1"/>
        </w:rPr>
        <w:t>weekly</w:t>
      </w:r>
      <w:r>
        <w:rPr>
          <w:color w:val="000000" w:themeColor="text1"/>
        </w:rPr>
        <w:t xml:space="preserve"> after dark by taking an average of 5 measurements in a Z pattern that cover</w:t>
      </w:r>
      <w:r w:rsidR="00F341EA">
        <w:rPr>
          <w:color w:val="000000" w:themeColor="text1"/>
        </w:rPr>
        <w:t>ed</w:t>
      </w:r>
      <w:r>
        <w:rPr>
          <w:color w:val="000000" w:themeColor="text1"/>
        </w:rPr>
        <w:t xml:space="preserve"> 1 m x 1 m across the treatment level, aligned with the canopy top. </w:t>
      </w:r>
      <w:r w:rsidRPr="003F0091">
        <w:rPr>
          <w:color w:val="000000" w:themeColor="text1"/>
        </w:rPr>
        <w:t xml:space="preserve">LED treatments were </w:t>
      </w:r>
      <w:r w:rsidR="00F341EA">
        <w:rPr>
          <w:color w:val="000000" w:themeColor="text1"/>
        </w:rPr>
        <w:t xml:space="preserve">placed </w:t>
      </w:r>
      <w:r w:rsidRPr="003F0091">
        <w:rPr>
          <w:color w:val="000000" w:themeColor="text1"/>
        </w:rPr>
        <w:t xml:space="preserve">1 m above the hydroponic system, and HPS lamps  1.5 m above hydroponic systems. </w:t>
      </w:r>
      <w:r>
        <w:rPr>
          <w:color w:val="000000" w:themeColor="text1"/>
        </w:rPr>
        <w:t xml:space="preserve">The Fluence LED systems </w:t>
      </w:r>
      <w:r w:rsidR="00F341EA">
        <w:rPr>
          <w:color w:val="000000" w:themeColor="text1"/>
        </w:rPr>
        <w:t>were</w:t>
      </w:r>
      <w:r>
        <w:rPr>
          <w:color w:val="000000" w:themeColor="text1"/>
        </w:rPr>
        <w:t xml:space="preserve"> made up of three bars (1 m in length) that alternate</w:t>
      </w:r>
      <w:r w:rsidR="00F341EA">
        <w:rPr>
          <w:color w:val="000000" w:themeColor="text1"/>
        </w:rPr>
        <w:t>d</w:t>
      </w:r>
      <w:r>
        <w:rPr>
          <w:color w:val="000000" w:themeColor="text1"/>
        </w:rPr>
        <w:t xml:space="preserve"> between blue and red lights. These bars c</w:t>
      </w:r>
      <w:r w:rsidR="0079066C">
        <w:rPr>
          <w:color w:val="000000" w:themeColor="text1"/>
        </w:rPr>
        <w:t>ould</w:t>
      </w:r>
      <w:r>
        <w:rPr>
          <w:color w:val="000000" w:themeColor="text1"/>
        </w:rPr>
        <w:t xml:space="preserve"> be adjusted for both spectral quality and intensity, and </w:t>
      </w:r>
      <w:r w:rsidR="00F341EA">
        <w:rPr>
          <w:color w:val="000000" w:themeColor="text1"/>
        </w:rPr>
        <w:t>were</w:t>
      </w:r>
      <w:r>
        <w:rPr>
          <w:color w:val="000000" w:themeColor="text1"/>
        </w:rPr>
        <w:t xml:space="preserve"> designed to provide even lighting for an area of 1.2 m x 1.2 m. </w:t>
      </w:r>
      <w:r w:rsidRPr="003F0091">
        <w:rPr>
          <w:color w:val="000000" w:themeColor="text1"/>
        </w:rPr>
        <w:t xml:space="preserve">Dimmable HPS lamps were placed in targeted reflectors to reduce treatment bleed-over and allow for precise intensity control and uniformity across the 1.2 m x 1.2 m treatment areas. As crops grew, SL intensities were adjusted using dimmers to the target intensity </w:t>
      </w:r>
      <w:r>
        <w:rPr>
          <w:color w:val="000000" w:themeColor="text1"/>
        </w:rPr>
        <w:t>(</w:t>
      </w:r>
      <w:r w:rsidRPr="003F0091">
        <w:rPr>
          <w:color w:val="000000" w:themeColor="text1"/>
        </w:rPr>
        <w:t>100 ± 2.5 µmol</w:t>
      </w:r>
      <w:r w:rsidRPr="003F0091">
        <w:rPr>
          <w:b/>
          <w:color w:val="000000" w:themeColor="text1"/>
          <w:vertAlign w:val="superscript"/>
        </w:rPr>
        <w:t>.</w:t>
      </w:r>
      <w:r w:rsidRPr="003F0091">
        <w:rPr>
          <w:color w:val="000000" w:themeColor="text1"/>
        </w:rPr>
        <w:t>m</w:t>
      </w:r>
      <w:r w:rsidRPr="003F0091">
        <w:rPr>
          <w:color w:val="000000" w:themeColor="text1"/>
          <w:vertAlign w:val="superscript"/>
        </w:rPr>
        <w:t>-2</w:t>
      </w:r>
      <w:r w:rsidRPr="003F0091">
        <w:rPr>
          <w:b/>
          <w:color w:val="000000" w:themeColor="text1"/>
          <w:vertAlign w:val="superscript"/>
        </w:rPr>
        <w:t>.</w:t>
      </w:r>
      <w:r w:rsidRPr="003F0091">
        <w:rPr>
          <w:color w:val="000000" w:themeColor="text1"/>
        </w:rPr>
        <w:t>s</w:t>
      </w:r>
      <w:r w:rsidRPr="00836AD8">
        <w:rPr>
          <w:color w:val="000000" w:themeColor="text1"/>
          <w:vertAlign w:val="superscript"/>
        </w:rPr>
        <w:t>-1</w:t>
      </w:r>
      <w:r>
        <w:rPr>
          <w:color w:val="000000" w:themeColor="text1"/>
        </w:rPr>
        <w:t xml:space="preserve">) </w:t>
      </w:r>
      <w:r w:rsidR="00971E9E">
        <w:rPr>
          <w:color w:val="000000" w:themeColor="text1"/>
        </w:rPr>
        <w:t>four or five</w:t>
      </w:r>
      <w:r w:rsidRPr="003F0091">
        <w:rPr>
          <w:color w:val="000000" w:themeColor="text1"/>
        </w:rPr>
        <w:t xml:space="preserve"> times per week (after dark) using a PS-200 Apogee Spectroradiometer (Apogee Instruments, Logan, UT, USA). </w:t>
      </w:r>
      <w:r>
        <w:rPr>
          <w:color w:val="000000" w:themeColor="text1"/>
        </w:rPr>
        <w:t>The average ambient solar spectrum and the supplemental lighting spectra can be found in Figures 4.1 and 4.2, respectively.</w:t>
      </w:r>
    </w:p>
    <w:p w14:paraId="35085194" w14:textId="77777777" w:rsidR="00126D8D" w:rsidRPr="003F0091" w:rsidRDefault="00126D8D" w:rsidP="00DC4427">
      <w:pPr>
        <w:pStyle w:val="MSThesisBodyTextJustified"/>
        <w:rPr>
          <w:color w:val="000000" w:themeColor="text1"/>
        </w:rPr>
      </w:pPr>
      <w:r>
        <w:rPr>
          <w:color w:val="000000" w:themeColor="text1"/>
        </w:rPr>
        <w:lastRenderedPageBreak/>
        <w:t>To account for seasonal changes in light intensity, spectral quality, and temperature variation in the greenhouse, the lighting treatments were randomized after each experimental cycle. To reduce biological variance and improve statistical power, each measurement unit consisted of two plants. All data is presented on a per-plant basis, and each treatment is considered an experimental unit.</w:t>
      </w:r>
    </w:p>
    <w:p w14:paraId="1B2E7535" w14:textId="52117D42" w:rsidR="00126D8D" w:rsidRPr="003F0091" w:rsidRDefault="00126D8D" w:rsidP="00DC4427">
      <w:pPr>
        <w:pStyle w:val="MSThesisBodyTextJustified"/>
        <w:rPr>
          <w:color w:val="000000" w:themeColor="text1"/>
        </w:rPr>
      </w:pPr>
      <w:r>
        <w:rPr>
          <w:color w:val="000000" w:themeColor="text1"/>
        </w:rPr>
        <w:t>To prevent any interference between treatments, every SL treatment was physically separated. On average, there was a bleed-over of 1.1 ± 0.6 µmol</w:t>
      </w:r>
      <w:r w:rsidRPr="00806A32">
        <w:rPr>
          <w:b/>
          <w:bCs/>
          <w:color w:val="000000" w:themeColor="text1"/>
          <w:vertAlign w:val="superscript"/>
        </w:rPr>
        <w:t>.</w:t>
      </w:r>
      <w:r>
        <w:rPr>
          <w:color w:val="000000" w:themeColor="text1"/>
        </w:rPr>
        <w:t>m</w:t>
      </w:r>
      <w:r w:rsidRPr="00806A32">
        <w:rPr>
          <w:color w:val="000000" w:themeColor="text1"/>
          <w:vertAlign w:val="superscript"/>
        </w:rPr>
        <w:t>-2</w:t>
      </w:r>
      <w:r w:rsidRPr="00806A32">
        <w:rPr>
          <w:b/>
          <w:bCs/>
          <w:color w:val="000000" w:themeColor="text1"/>
          <w:vertAlign w:val="superscript"/>
        </w:rPr>
        <w:t>.</w:t>
      </w:r>
      <w:r>
        <w:rPr>
          <w:color w:val="000000" w:themeColor="text1"/>
        </w:rPr>
        <w:t>s</w:t>
      </w:r>
      <w:r w:rsidRPr="00806A32">
        <w:rPr>
          <w:color w:val="000000" w:themeColor="text1"/>
          <w:vertAlign w:val="superscript"/>
        </w:rPr>
        <w:t xml:space="preserve">-1 </w:t>
      </w:r>
      <w:r>
        <w:rPr>
          <w:color w:val="000000" w:themeColor="text1"/>
        </w:rPr>
        <w:t>at the edges of the treatments.</w:t>
      </w:r>
      <w:r w:rsidRPr="003F0091">
        <w:rPr>
          <w:color w:val="000000" w:themeColor="text1"/>
        </w:rPr>
        <w:t xml:space="preserve"> 1.2 m x 1.2 m sections of basil were grown, with 1.2 m separation between treatments (i.e., measurement edge-to-edge of hydroponic systems within the greenhouse). Tissue samples were only harvested from within the middle 0.6 m of each treatment to ensure further reduction of SL contamination between treatments (0.3 m around the edge of each treatment was considered the buffer zone and was not used for sampling). SL bleed-over was &lt;0.1 µmol</w:t>
      </w:r>
      <w:r w:rsidRPr="003F0091">
        <w:rPr>
          <w:b/>
          <w:color w:val="000000" w:themeColor="text1"/>
          <w:vertAlign w:val="superscript"/>
        </w:rPr>
        <w:t>.</w:t>
      </w:r>
      <w:r w:rsidRPr="003F0091">
        <w:rPr>
          <w:color w:val="000000" w:themeColor="text1"/>
        </w:rPr>
        <w:t>m</w:t>
      </w:r>
      <w:r w:rsidRPr="003F0091">
        <w:rPr>
          <w:color w:val="000000" w:themeColor="text1"/>
          <w:vertAlign w:val="superscript"/>
        </w:rPr>
        <w:t>-2</w:t>
      </w:r>
      <w:r w:rsidRPr="003F0091">
        <w:rPr>
          <w:b/>
          <w:color w:val="000000" w:themeColor="text1"/>
          <w:vertAlign w:val="superscript"/>
        </w:rPr>
        <w:t>.</w:t>
      </w:r>
      <w:r w:rsidRPr="003F0091">
        <w:rPr>
          <w:color w:val="000000" w:themeColor="text1"/>
        </w:rPr>
        <w:t>s</w:t>
      </w:r>
      <w:r w:rsidRPr="003F0091">
        <w:rPr>
          <w:color w:val="000000" w:themeColor="text1"/>
          <w:vertAlign w:val="superscript"/>
        </w:rPr>
        <w:t xml:space="preserve">-1 </w:t>
      </w:r>
      <w:r w:rsidRPr="003F0091">
        <w:rPr>
          <w:color w:val="000000" w:themeColor="text1"/>
        </w:rPr>
        <w:t xml:space="preserve">within the harvest zone of each treatment (i.e., below the instrumentation detection limit). </w:t>
      </w:r>
      <w:r>
        <w:rPr>
          <w:color w:val="000000" w:themeColor="text1"/>
        </w:rPr>
        <w:t>Given that the bleed-over from SL treatment was not significant, physical barriers such as plastic sheets or boards were not used in the experiment. This was to avoid any negative effects they might have had, such as interacting with the sunlight intensity and DLI, reducing airflow, or creating isolated microclimates that could lead to air temperature variability.</w:t>
      </w:r>
      <w:r w:rsidRPr="003F0091">
        <w:rPr>
          <w:color w:val="000000" w:themeColor="text1"/>
        </w:rPr>
        <w:t xml:space="preserve"> </w:t>
      </w:r>
      <w:r>
        <w:rPr>
          <w:color w:val="000000" w:themeColor="text1"/>
        </w:rPr>
        <w:t xml:space="preserve">To avoid the possibility of DLI and air temperature variations within the greenhouse bay, the SL treatments were randomized between seasons. </w:t>
      </w:r>
    </w:p>
    <w:p w14:paraId="60532EF2" w14:textId="77777777" w:rsidR="00126D8D" w:rsidRPr="003F0091" w:rsidRDefault="00126D8D" w:rsidP="00DC4427">
      <w:pPr>
        <w:pStyle w:val="MastersThesisSectionHeader"/>
      </w:pPr>
    </w:p>
    <w:p w14:paraId="723CD8B2" w14:textId="77777777" w:rsidR="00126D8D" w:rsidRPr="00417E7F" w:rsidRDefault="00126D8D" w:rsidP="00DC4427">
      <w:pPr>
        <w:pStyle w:val="MastersThesisSectionHeader"/>
      </w:pPr>
      <w:bookmarkStart w:id="564" w:name="_Toc139574825"/>
      <w:bookmarkStart w:id="565" w:name="_Toc141478695"/>
      <w:r w:rsidRPr="00417E7F">
        <w:t>Sample Harvest and Biomass Data Collection</w:t>
      </w:r>
      <w:bookmarkEnd w:id="564"/>
      <w:bookmarkEnd w:id="565"/>
    </w:p>
    <w:p w14:paraId="23521C40" w14:textId="76F5648A" w:rsidR="00126D8D" w:rsidRDefault="00126D8D" w:rsidP="00DC4427">
      <w:pPr>
        <w:pStyle w:val="MSThesisBodyTextJustified"/>
      </w:pPr>
      <w:r>
        <w:t xml:space="preserve">The basil plants were harvested when they reached physiological vegetative maturity, which </w:t>
      </w:r>
      <w:r w:rsidR="0063575A">
        <w:t>was</w:t>
      </w:r>
      <w:r>
        <w:t xml:space="preserve"> about 45 days after seeding, and with 9-10 fully developed nodes. The tissue samples </w:t>
      </w:r>
      <w:r>
        <w:lastRenderedPageBreak/>
        <w:t>were collected within a four-hour period by replication to ensure consistency across all samples from each growing season. We gathered biomass samples from a 0.6 m x 0.6 m harvest zone, with two plants per measurement unit, and six replicates per treatment.</w:t>
      </w:r>
      <w:r w:rsidRPr="00417E7F">
        <w:t xml:space="preserve"> To improve statistical power and reduce the influence of biological variability, two plants were combined for each measurement unit; </w:t>
      </w:r>
      <w:r w:rsidR="004334D3">
        <w:t xml:space="preserve">and </w:t>
      </w:r>
      <w:r w:rsidRPr="00417E7F">
        <w:t xml:space="preserve">all values and calculations presented </w:t>
      </w:r>
      <w:r w:rsidR="004334D3">
        <w:t>were</w:t>
      </w:r>
      <w:r w:rsidRPr="00417E7F">
        <w:t xml:space="preserve"> normalized (i.e., represented on a per-plant basis). Fresh mass (FM) and dry mass (DM) were </w:t>
      </w:r>
      <w:r w:rsidR="00B0426D">
        <w:t>determined</w:t>
      </w:r>
      <w:r w:rsidRPr="00417E7F">
        <w:t xml:space="preserve"> using an analytical scale (Sartorius L310, Sartorius, Göttingen, Germany). </w:t>
      </w:r>
      <w:r>
        <w:t xml:space="preserve">To dry tissue samples, we used a forced air dryer (Heratherm OMH100 Drying Oven, Thermo Scientific, Waltham, MA, USA) at 50 ºC for 128 hours. Once the samples were dry, they were weighed and processed immediately. A summary of statistical results for experimental parameters can be found in Table </w:t>
      </w:r>
      <w:r w:rsidR="000D7DA2">
        <w:t>4.</w:t>
      </w:r>
      <w:r>
        <w:t xml:space="preserve">2, while biomass results </w:t>
      </w:r>
      <w:r w:rsidR="004334D3">
        <w:t>are</w:t>
      </w:r>
      <w:r>
        <w:t xml:space="preserve"> in Figures 4.3-4.6. </w:t>
      </w:r>
    </w:p>
    <w:p w14:paraId="20129932" w14:textId="77777777" w:rsidR="00126D8D" w:rsidRDefault="00126D8D" w:rsidP="00DC4427">
      <w:pPr>
        <w:pStyle w:val="MSThesisBodyTextJustified"/>
      </w:pPr>
    </w:p>
    <w:p w14:paraId="048BD3C2" w14:textId="77777777" w:rsidR="00126D8D" w:rsidRPr="00D62619" w:rsidRDefault="00126D8D" w:rsidP="00DC4427">
      <w:pPr>
        <w:pStyle w:val="MastersThesisSectionHeader"/>
      </w:pPr>
      <w:bookmarkStart w:id="566" w:name="_Toc139574826"/>
      <w:bookmarkStart w:id="567" w:name="_Toc141478696"/>
      <w:r w:rsidRPr="00D62619">
        <w:t>Mineral Extraction and Analysis</w:t>
      </w:r>
      <w:bookmarkEnd w:id="566"/>
      <w:bookmarkEnd w:id="567"/>
    </w:p>
    <w:p w14:paraId="03475C9F" w14:textId="08458F06" w:rsidR="00126D8D" w:rsidRPr="00D62619" w:rsidRDefault="00126D8D" w:rsidP="00DC4427">
      <w:pPr>
        <w:pStyle w:val="MSThesisBodyTextJustified"/>
      </w:pPr>
      <w:r w:rsidRPr="00D62619">
        <w:t xml:space="preserve">To determine changes in elemental nutrient tissue concentrations in basil plants across </w:t>
      </w:r>
      <w:r>
        <w:t>growing seasons and SL treatments</w:t>
      </w:r>
      <w:r w:rsidRPr="00D62619">
        <w:t xml:space="preserve">, samples were analyzed for macro and micronutrient concentrations according to a method from </w:t>
      </w:r>
      <w:r w:rsidRPr="00126D8D">
        <w:rPr>
          <w:rFonts w:cstheme="minorBidi"/>
        </w:rPr>
        <w:t>Barickman et al. (2013)</w:t>
      </w:r>
      <w:r w:rsidRPr="00D62619">
        <w:t xml:space="preserve">. Air-dried samples were ground into a fine powder using a Magic Bullet blender (MBR1101, Homeland Housewares, Los Angeles, CA, USA). </w:t>
      </w:r>
      <w:r>
        <w:t>We dispensed 0.5 ± 0.01 grams of finely ground and homogenized plant material (&lt;30 mesh) into sterile 15 mL plastic centrifuge test tubes.</w:t>
      </w:r>
      <w:r w:rsidRPr="00D62619">
        <w:t xml:space="preserve"> An Ethos 1112 microwave digestion unit (Milestone, Bergamo, Italy) was used to process the basil samples. Samples were microwaved for 30 min at 150 ºC, then cooled for an additional 30 min. </w:t>
      </w:r>
      <w:r w:rsidRPr="00D62619">
        <w:rPr>
          <w:bCs/>
        </w:rPr>
        <w:t xml:space="preserve">A 9.9 mL of ICP matrix solution (2% nitric acid, 0.5% hydrochloric acid, 97.5% RO water) was placed into 15 mL sterile test tubes. A disposable 1 mL plastic pipette was used to add 0.1 mL of the acid-digested sample </w:t>
      </w:r>
      <w:r w:rsidRPr="00D62619">
        <w:rPr>
          <w:bCs/>
        </w:rPr>
        <w:lastRenderedPageBreak/>
        <w:t xml:space="preserve">mixture to the 9.9 mL ICP matrix solution. This mixture was then thoroughly shaken to ensure that the acid was uniformly distributed within the matrix. An Agilent 7500 Series Inductively Coupled Plasma Mass Spectrometer (ICP-MS) was used to determine nutrient concentrations of each tissue sample </w:t>
      </w:r>
      <w:r w:rsidRPr="00D62619">
        <w:rPr>
          <w:bCs/>
          <w:noProof/>
        </w:rPr>
        <w:t>(</w:t>
      </w:r>
      <w:r w:rsidRPr="00126D8D">
        <w:rPr>
          <w:rFonts w:cstheme="minorBidi"/>
        </w:rPr>
        <w:t>Barickman et al., 2013</w:t>
      </w:r>
      <w:r w:rsidRPr="00D62619">
        <w:rPr>
          <w:bCs/>
          <w:noProof/>
        </w:rPr>
        <w:t>)</w:t>
      </w:r>
      <w:r w:rsidRPr="00D62619">
        <w:rPr>
          <w:bCs/>
        </w:rPr>
        <w:t xml:space="preserve">. </w:t>
      </w:r>
      <w:r>
        <w:rPr>
          <w:bCs/>
        </w:rPr>
        <w:t xml:space="preserve">By using this technique, elemental tissue analysis determined the concentration of various elements, including N, P, K, Ca, S, Mg, B, Cu, Mn, Fe, and Zn (Tables </w:t>
      </w:r>
      <w:r w:rsidR="00971E9E">
        <w:rPr>
          <w:bCs/>
        </w:rPr>
        <w:t>4.</w:t>
      </w:r>
      <w:r>
        <w:rPr>
          <w:bCs/>
        </w:rPr>
        <w:t>3-</w:t>
      </w:r>
      <w:r w:rsidR="00971E9E">
        <w:rPr>
          <w:bCs/>
        </w:rPr>
        <w:t>4.</w:t>
      </w:r>
      <w:r>
        <w:rPr>
          <w:bCs/>
        </w:rPr>
        <w:t>6).</w:t>
      </w:r>
    </w:p>
    <w:p w14:paraId="63B8FA81" w14:textId="77777777" w:rsidR="00126D8D" w:rsidRDefault="00126D8D" w:rsidP="00DC4427">
      <w:pPr>
        <w:pStyle w:val="MSThesisBodyTextJustified"/>
        <w:rPr>
          <w:bCs/>
          <w:i/>
          <w:iCs/>
        </w:rPr>
      </w:pPr>
    </w:p>
    <w:p w14:paraId="4A6F104A" w14:textId="77777777" w:rsidR="00126D8D" w:rsidRPr="00D62619" w:rsidRDefault="00126D8D" w:rsidP="00DC4427">
      <w:pPr>
        <w:pStyle w:val="MastersThesisSectionHeader"/>
      </w:pPr>
      <w:bookmarkStart w:id="568" w:name="_Toc139574827"/>
      <w:bookmarkStart w:id="569" w:name="_Toc141478697"/>
      <w:r>
        <w:t xml:space="preserve">Biomass and Nutrient Bioaccumulation </w:t>
      </w:r>
      <w:r w:rsidRPr="00D62619">
        <w:t>Statistical Analyses</w:t>
      </w:r>
      <w:bookmarkEnd w:id="568"/>
      <w:bookmarkEnd w:id="569"/>
    </w:p>
    <w:p w14:paraId="21D0C72B" w14:textId="59F51B40" w:rsidR="00126D8D" w:rsidRPr="003F0091" w:rsidRDefault="00126D8D" w:rsidP="00DC4427">
      <w:pPr>
        <w:pStyle w:val="MSThesisBodyTextJustified"/>
        <w:rPr>
          <w:i/>
          <w:iCs/>
          <w:color w:val="000000" w:themeColor="text1"/>
        </w:rPr>
      </w:pPr>
      <w:r w:rsidRPr="00D62619">
        <w:t xml:space="preserve">A randomized complete block design was used for this experiment. Lighting treatments were randomized after each experimental cycle to account for seasonal variations in NL intensity, spectral quality, and potential temperature variation within the greenhouse bay. Each measurement unit consisted of two plants to improve statistical power and reduce biological variance. Measurement units are presented on a per-plant basis for FM/DMs </w:t>
      </w:r>
      <w:r w:rsidR="00971E9E">
        <w:t xml:space="preserve">(g per plant) </w:t>
      </w:r>
      <w:r w:rsidRPr="00D62619">
        <w:t>and nutrient tissue concentrations</w:t>
      </w:r>
      <w:r w:rsidR="00971E9E">
        <w:t xml:space="preserve"> </w:t>
      </w:r>
      <w:r w:rsidR="00584058">
        <w:t>(percent fresh weight and ppm)</w:t>
      </w:r>
      <w:r w:rsidRPr="00D62619">
        <w:t xml:space="preserve">. Each treatment is considered an experimental unit. Six replicates (two plants each) were analyzed in each treatment (twelve plants, or six measurement units, per treatment within 0.6 m x 0.6 m harvest zone). Each experimental cycle was repeated across </w:t>
      </w:r>
      <w:r>
        <w:t>two</w:t>
      </w:r>
      <w:r w:rsidRPr="00D62619">
        <w:t xml:space="preserve"> growing seasons (</w:t>
      </w:r>
      <w:r>
        <w:t>two</w:t>
      </w:r>
      <w:r w:rsidRPr="00D62619">
        <w:t xml:space="preserve"> experimental cycles). Replicates (6) were nested within treatments (</w:t>
      </w:r>
      <w:r>
        <w:t>4</w:t>
      </w:r>
      <w:r w:rsidRPr="00D62619">
        <w:t>), which were nested within growing seasons (</w:t>
      </w:r>
      <w:r>
        <w:t>2</w:t>
      </w:r>
      <w:r w:rsidRPr="00D62619">
        <w:t xml:space="preserve">). Data sets were analyzed by GLIMMIX and Mixed Model Analysis of Variance procedures using the statistical software SAS (version 9.4, SAS Institute, Cary, NC, USA). Design and Analysis macro (DandA.sas; created by Arnold Saxton) was utilized in addition to Tukey’s (protected) adjustment, regression analysis, and univariate/normalization procedures. Treatments and seasons were separated by </w:t>
      </w:r>
      <w:r>
        <w:t>honestly</w:t>
      </w:r>
      <w:r w:rsidRPr="00D62619">
        <w:t xml:space="preserve"> </w:t>
      </w:r>
      <w:r w:rsidRPr="00D62619">
        <w:lastRenderedPageBreak/>
        <w:t>significant difference (</w:t>
      </w:r>
      <w:r>
        <w:t>HSD</w:t>
      </w:r>
      <w:r w:rsidRPr="00D62619">
        <w:t xml:space="preserve">) at </w:t>
      </w:r>
      <w:r w:rsidRPr="00D62619">
        <w:sym w:font="Symbol" w:char="F061"/>
      </w:r>
      <w:r w:rsidRPr="00D62619">
        <w:t>=0.05.</w:t>
      </w:r>
      <w:r>
        <w:t xml:space="preserve"> Principal component analysis (PCA) was performed (Fig. </w:t>
      </w:r>
      <w:r w:rsidR="00AD5E45">
        <w:t>4.</w:t>
      </w:r>
      <w:r>
        <w:t xml:space="preserve">7) using </w:t>
      </w:r>
      <w:r w:rsidRPr="003F0091">
        <w:rPr>
          <w:color w:val="000000" w:themeColor="text1"/>
        </w:rPr>
        <w:t>JMP PRO 17 (SAS Institute, Cary, NC, USA)</w:t>
      </w:r>
      <w:r>
        <w:rPr>
          <w:color w:val="000000" w:themeColor="text1"/>
        </w:rPr>
        <w:t xml:space="preserve">. </w:t>
      </w:r>
    </w:p>
    <w:p w14:paraId="61757FC1" w14:textId="77777777" w:rsidR="00126D8D" w:rsidRDefault="00126D8D" w:rsidP="00DC4427">
      <w:pPr>
        <w:pStyle w:val="MSThesisBodyTextJustified"/>
        <w:ind w:firstLine="0"/>
      </w:pPr>
    </w:p>
    <w:p w14:paraId="73B305B9" w14:textId="77777777" w:rsidR="00126D8D" w:rsidRPr="003F0091" w:rsidRDefault="00126D8D" w:rsidP="00DC4427">
      <w:pPr>
        <w:pStyle w:val="MastersThesisSectionHeader"/>
      </w:pPr>
      <w:bookmarkStart w:id="570" w:name="_Toc139574828"/>
      <w:bookmarkStart w:id="571" w:name="_Toc141478698"/>
      <w:r w:rsidRPr="003F0091">
        <w:t>RNA Extraction</w:t>
      </w:r>
      <w:bookmarkEnd w:id="570"/>
      <w:bookmarkEnd w:id="571"/>
    </w:p>
    <w:p w14:paraId="35EF78A7" w14:textId="77777777" w:rsidR="00126D8D" w:rsidRPr="003F0091" w:rsidRDefault="00126D8D" w:rsidP="00DC4427">
      <w:pPr>
        <w:pStyle w:val="MSThesisBodyTextJustified"/>
        <w:rPr>
          <w:color w:val="000000" w:themeColor="text1"/>
        </w:rPr>
      </w:pPr>
      <w:r>
        <w:rPr>
          <w:color w:val="000000" w:themeColor="text1"/>
        </w:rPr>
        <w:t>T</w:t>
      </w:r>
      <w:r w:rsidRPr="003F0091">
        <w:rPr>
          <w:color w:val="000000" w:themeColor="text1"/>
        </w:rPr>
        <w:t>issue samples were collected for RNA extraction</w:t>
      </w:r>
      <w:r>
        <w:rPr>
          <w:color w:val="000000" w:themeColor="text1"/>
        </w:rPr>
        <w:t xml:space="preserve"> at the same time as samples for other analyses</w:t>
      </w:r>
      <w:r w:rsidRPr="003F0091">
        <w:rPr>
          <w:color w:val="000000" w:themeColor="text1"/>
        </w:rPr>
        <w:t>. A leaf from the second and fourth fully expanded leaves from the tops of two basil plants was collected under the harvest zone of each treatment and immediately frozen with liquid nitrogen. Four replicates were analyzed in each treatment. Each experimental cycle was repeated across two growing seasons (two experimental cycles). Replicates (4) were nested within treatments (4), which were nested within growing seasons (2).</w:t>
      </w:r>
    </w:p>
    <w:p w14:paraId="3EF46E9E" w14:textId="77777777" w:rsidR="00126D8D" w:rsidRPr="003F0091" w:rsidRDefault="00126D8D" w:rsidP="00DC4427">
      <w:pPr>
        <w:pStyle w:val="MSThesisBodyTextJustified"/>
        <w:rPr>
          <w:color w:val="000000" w:themeColor="text1"/>
        </w:rPr>
      </w:pPr>
      <w:r w:rsidRPr="003F0091">
        <w:rPr>
          <w:color w:val="000000" w:themeColor="text1"/>
        </w:rPr>
        <w:t xml:space="preserve">Samples were stored in -80 ºC until RNA extractions were conducted. Samples were ground to &lt;30 mesh and homogenized immediately before RNA extraction using liquid nitrogen with a mortar and pestle. Total RNA was extracted from leaf samples using RNeasy Plant Mini RNA isolation kits (Qiagen, Hilden, Germany) according to the provided instructions. Quality and purification of total RNAs were determined before and after </w:t>
      </w:r>
      <w:r w:rsidRPr="00DC4427">
        <w:t>the addition of 50 μL Plant RNA</w:t>
      </w:r>
      <w:r w:rsidRPr="003F0091">
        <w:rPr>
          <w:color w:val="000000" w:themeColor="text1"/>
        </w:rPr>
        <w:t xml:space="preserve"> Isolation Aid (ThermoFisher Scientific, Waltham, MA). Total RNA extracted from leaf tissue samples was shipped to Azenta Life Sciences (Burlington, MA, USA) for RNA-Seq library construction and sequencing. </w:t>
      </w:r>
    </w:p>
    <w:p w14:paraId="424475F8" w14:textId="77777777" w:rsidR="00126D8D" w:rsidRPr="003F0091" w:rsidRDefault="00126D8D" w:rsidP="00DC4427">
      <w:pPr>
        <w:pStyle w:val="MastersThesisSectionHeader"/>
        <w:rPr>
          <w:color w:val="000000" w:themeColor="text1"/>
        </w:rPr>
      </w:pPr>
    </w:p>
    <w:p w14:paraId="576E8B60" w14:textId="77777777" w:rsidR="00126D8D" w:rsidRPr="003F0091" w:rsidRDefault="00126D8D" w:rsidP="00DC4427">
      <w:pPr>
        <w:pStyle w:val="MastersThesisSectionHeader"/>
        <w:rPr>
          <w:color w:val="000000" w:themeColor="text1"/>
        </w:rPr>
      </w:pPr>
      <w:bookmarkStart w:id="572" w:name="_Toc139574829"/>
      <w:bookmarkStart w:id="573" w:name="_Toc141478699"/>
      <w:r w:rsidRPr="003F0091">
        <w:rPr>
          <w:color w:val="000000" w:themeColor="text1"/>
        </w:rPr>
        <w:t>Library Preparation with PolyA Selection and Illumina Sequencing</w:t>
      </w:r>
      <w:bookmarkEnd w:id="572"/>
      <w:bookmarkEnd w:id="573"/>
    </w:p>
    <w:p w14:paraId="46E5CB60" w14:textId="2034CFB1" w:rsidR="00126D8D" w:rsidRPr="003F0091" w:rsidRDefault="00126D8D" w:rsidP="00DC4427">
      <w:pPr>
        <w:pStyle w:val="MSThesisBodyTextJustified"/>
        <w:rPr>
          <w:rFonts w:eastAsia="Times New Roman"/>
          <w:color w:val="000000" w:themeColor="text1"/>
        </w:rPr>
      </w:pPr>
      <w:r w:rsidRPr="003F0091">
        <w:rPr>
          <w:color w:val="000000" w:themeColor="text1"/>
        </w:rPr>
        <w:t xml:space="preserve">Details regarding library preparation and sequencing workflow can be </w:t>
      </w:r>
      <w:r w:rsidRPr="00A94B6B">
        <w:rPr>
          <w:color w:val="000000" w:themeColor="text1"/>
        </w:rPr>
        <w:t xml:space="preserve">found in </w:t>
      </w:r>
      <w:r>
        <w:rPr>
          <w:color w:val="000000" w:themeColor="text1"/>
        </w:rPr>
        <w:t>Figure 4.8</w:t>
      </w:r>
      <w:r w:rsidRPr="00A94B6B">
        <w:rPr>
          <w:color w:val="000000" w:themeColor="text1"/>
        </w:rPr>
        <w:t>.</w:t>
      </w:r>
      <w:r w:rsidRPr="003F0091">
        <w:rPr>
          <w:color w:val="000000" w:themeColor="text1"/>
        </w:rPr>
        <w:t xml:space="preserve"> RNA samples were quantified using Qubit 2.0 Fluorometer (Life Technologies, Carlsbad, CA, </w:t>
      </w:r>
      <w:r w:rsidRPr="003F0091">
        <w:rPr>
          <w:color w:val="000000" w:themeColor="text1"/>
        </w:rPr>
        <w:lastRenderedPageBreak/>
        <w:t xml:space="preserve">USA), and RNA integrity was checked using Agilent TapeStation 4200 (Agilent Technologies, Palo Alto, CA, USA). </w:t>
      </w:r>
    </w:p>
    <w:p w14:paraId="78B7F21F" w14:textId="77777777" w:rsidR="00126D8D" w:rsidRPr="003F0091" w:rsidRDefault="00126D8D" w:rsidP="00DC4427">
      <w:pPr>
        <w:pStyle w:val="MSThesisBodyTextJustified"/>
        <w:rPr>
          <w:color w:val="000000" w:themeColor="text1"/>
        </w:rPr>
      </w:pPr>
      <w:r w:rsidRPr="003F0091">
        <w:rPr>
          <w:color w:val="000000" w:themeColor="text1"/>
        </w:rPr>
        <w:t xml:space="preserve">The RNA sequencing libraries were prepared using the NEBNext Ultra II RNA Library Prep Kit for Illumina using the manufacturer’s instructions (New England Biolabs, Ipswich, MA, USA). Briefly, mRNAs were initially enriched with Oligod(T) beads. Enriched mRNAs were fragmented for 15 minutes at 94°C. First-strand and second-strand cDNA were subsequently synthesized. cDNA fragments were end-repaired and adenylated at 3’ends, and universal adapters were ligated to cDNA fragments, followed by index addition and library enrichment by PCR with limited cycles. The sequencing libraries were validated on the Agilent TapeStation (Agilent Technologies, Palo Alto, CA, USA), and quantified by using Qubit 2.0 Fluorometer (ThermoFisher Scientific, Waltham, MA, USA) as well as by quantitative PCR (KAPA Biosystems, Wilmington, MA, USA). </w:t>
      </w:r>
    </w:p>
    <w:p w14:paraId="43D07DB5" w14:textId="77777777" w:rsidR="00126D8D" w:rsidRPr="003F0091" w:rsidRDefault="00126D8D" w:rsidP="00DC4427">
      <w:pPr>
        <w:pStyle w:val="MSThesisBodyTextJustified"/>
        <w:rPr>
          <w:color w:val="000000" w:themeColor="text1"/>
        </w:rPr>
      </w:pPr>
      <w:r w:rsidRPr="003F0091">
        <w:rPr>
          <w:color w:val="000000" w:themeColor="text1"/>
        </w:rPr>
        <w:t xml:space="preserve">The sequencing libraries were clustered on three flowcell lanes. After clustering, the flowcell was loaded on the Illumina HiSeq instrument (4000 or equivalent) according to </w:t>
      </w:r>
      <w:r>
        <w:rPr>
          <w:color w:val="000000" w:themeColor="text1"/>
        </w:rPr>
        <w:t xml:space="preserve">the </w:t>
      </w:r>
      <w:r w:rsidRPr="003F0091">
        <w:rPr>
          <w:color w:val="000000" w:themeColor="text1"/>
        </w:rPr>
        <w:t xml:space="preserve">manufacturer’s instructions. The samples were sequenced using a 2x150bp Paired End (PE) configuration. Image analysis and base calling were conducted by the Control software. Raw sequence data (.bcl files) generated from the sequencer were converted into fastq files and de-multiplexed using Illumina's bcl2fastq 2.17 software. One mismatch was allowed for index sequence identification. </w:t>
      </w:r>
    </w:p>
    <w:p w14:paraId="307358B4" w14:textId="77777777" w:rsidR="00126D8D" w:rsidRPr="003F0091" w:rsidRDefault="00126D8D" w:rsidP="00DC4427">
      <w:pPr>
        <w:rPr>
          <w:rFonts w:cs="Times New Roman"/>
          <w:b/>
          <w:bCs/>
          <w:i/>
          <w:iCs/>
          <w:color w:val="000000" w:themeColor="text1"/>
        </w:rPr>
      </w:pPr>
    </w:p>
    <w:p w14:paraId="541EC3F6" w14:textId="77777777" w:rsidR="00126D8D" w:rsidRPr="003F0091" w:rsidRDefault="00126D8D" w:rsidP="00DC4427">
      <w:pPr>
        <w:pStyle w:val="MastersThesisSectionHeader"/>
        <w:rPr>
          <w:color w:val="000000" w:themeColor="text1"/>
        </w:rPr>
      </w:pPr>
      <w:bookmarkStart w:id="574" w:name="_Toc139574830"/>
      <w:bookmarkStart w:id="575" w:name="_Toc141478700"/>
      <w:r w:rsidRPr="003F0091">
        <w:rPr>
          <w:color w:val="000000" w:themeColor="text1"/>
        </w:rPr>
        <w:t>Transcriptome Analysis</w:t>
      </w:r>
      <w:bookmarkEnd w:id="574"/>
      <w:bookmarkEnd w:id="575"/>
    </w:p>
    <w:p w14:paraId="3B5094A7" w14:textId="77777777" w:rsidR="00126D8D" w:rsidRPr="003F0091" w:rsidRDefault="00126D8D" w:rsidP="00DC4427">
      <w:pPr>
        <w:pStyle w:val="MSThesisBodyTextJustified"/>
        <w:rPr>
          <w:color w:val="000000" w:themeColor="text1"/>
        </w:rPr>
      </w:pPr>
      <w:r w:rsidRPr="003F0091">
        <w:rPr>
          <w:color w:val="000000" w:themeColor="text1"/>
        </w:rPr>
        <w:t xml:space="preserve">Sequence reads were trimmed to remove possible adapter sequences and nucleotides with poor quality using Trimmomatic v.0.36. The trimmed reads were mapped to the </w:t>
      </w:r>
      <w:r w:rsidRPr="003F0091">
        <w:rPr>
          <w:i/>
          <w:iCs/>
          <w:color w:val="000000" w:themeColor="text1"/>
        </w:rPr>
        <w:t xml:space="preserve">Ocimum basilicum </w:t>
      </w:r>
      <w:r w:rsidRPr="003F0091">
        <w:rPr>
          <w:color w:val="000000" w:themeColor="text1"/>
        </w:rPr>
        <w:lastRenderedPageBreak/>
        <w:t xml:space="preserve">reference genome </w:t>
      </w:r>
      <w:r w:rsidRPr="003F0091">
        <w:rPr>
          <w:noProof/>
          <w:color w:val="000000" w:themeColor="text1"/>
        </w:rPr>
        <w:t>(</w:t>
      </w:r>
      <w:r w:rsidRPr="00126D8D">
        <w:rPr>
          <w:rFonts w:cstheme="minorBidi"/>
        </w:rPr>
        <w:t>Gonda et al., 2020</w:t>
      </w:r>
      <w:r w:rsidRPr="003F0091">
        <w:rPr>
          <w:noProof/>
          <w:color w:val="000000" w:themeColor="text1"/>
        </w:rPr>
        <w:t>)</w:t>
      </w:r>
      <w:r w:rsidRPr="003F0091">
        <w:rPr>
          <w:color w:val="000000" w:themeColor="text1"/>
        </w:rPr>
        <w:t xml:space="preserve"> available on ENSEMBL using the STAR aligner v.2.5.2b. The STAR aligner is a splice aligner that detects splice junctions and incorporates them to help align the entire read sequences. BAM files were generated because of this step. Unique gene hit counts were calculated from the Subread package v.1.5.2. The hit counts were summarized and reported using the gene_id feature in the annotation file. Only unique reads that fell within exon regions were counted. </w:t>
      </w:r>
    </w:p>
    <w:p w14:paraId="1D638DCE" w14:textId="56B2702B" w:rsidR="00126D8D" w:rsidRPr="003F0091" w:rsidRDefault="00126D8D" w:rsidP="00DC4427">
      <w:pPr>
        <w:pStyle w:val="MSThesisBodyTextJustified"/>
        <w:rPr>
          <w:color w:val="000000" w:themeColor="text1"/>
        </w:rPr>
      </w:pPr>
      <w:r w:rsidRPr="003F0091">
        <w:rPr>
          <w:color w:val="000000" w:themeColor="text1"/>
          <w:shd w:val="clear" w:color="auto" w:fill="FFFFFF"/>
        </w:rPr>
        <w:t xml:space="preserve">After the extraction of gene hit counts, the gene hit counts table was used for downstream differential expression analysis. Using DESeq2, a comparison of gene expression between the customer-defined groups of samples was performed. The Wald test was used to generate </w:t>
      </w:r>
      <w:r w:rsidR="00D775A8" w:rsidRPr="00E94DE1">
        <w:rPr>
          <w:i/>
          <w:iCs/>
          <w:color w:val="000000" w:themeColor="text1"/>
          <w:shd w:val="clear" w:color="auto" w:fill="FFFFFF"/>
        </w:rPr>
        <w:t>P</w:t>
      </w:r>
      <w:r w:rsidRPr="003F0091">
        <w:rPr>
          <w:color w:val="000000" w:themeColor="text1"/>
          <w:shd w:val="clear" w:color="auto" w:fill="FFFFFF"/>
        </w:rPr>
        <w:t xml:space="preserve">-values and log2 fold changes. Genes with an adjusted </w:t>
      </w:r>
      <w:r w:rsidR="00DD55C1" w:rsidRPr="00E94DE1">
        <w:rPr>
          <w:i/>
          <w:iCs/>
          <w:color w:val="000000" w:themeColor="text1"/>
          <w:shd w:val="clear" w:color="auto" w:fill="FFFFFF"/>
        </w:rPr>
        <w:t>P</w:t>
      </w:r>
      <w:r w:rsidRPr="003F0091">
        <w:rPr>
          <w:color w:val="000000" w:themeColor="text1"/>
          <w:shd w:val="clear" w:color="auto" w:fill="FFFFFF"/>
        </w:rPr>
        <w:t xml:space="preserve">-value &lt; 0.05 and absolute log2 fold change &gt; 1 were </w:t>
      </w:r>
      <w:r w:rsidR="00205915">
        <w:rPr>
          <w:color w:val="000000" w:themeColor="text1"/>
          <w:shd w:val="clear" w:color="auto" w:fill="FFFFFF"/>
        </w:rPr>
        <w:t>labeled</w:t>
      </w:r>
      <w:r w:rsidR="00205915" w:rsidRPr="003F0091">
        <w:rPr>
          <w:color w:val="000000" w:themeColor="text1"/>
          <w:shd w:val="clear" w:color="auto" w:fill="FFFFFF"/>
        </w:rPr>
        <w:t xml:space="preserve"> </w:t>
      </w:r>
      <w:r w:rsidRPr="003F0091">
        <w:rPr>
          <w:color w:val="000000" w:themeColor="text1"/>
          <w:shd w:val="clear" w:color="auto" w:fill="FFFFFF"/>
        </w:rPr>
        <w:t xml:space="preserve">significant for each comparison. </w:t>
      </w:r>
      <w:r w:rsidR="00205915">
        <w:rPr>
          <w:color w:val="000000" w:themeColor="text1"/>
        </w:rPr>
        <w:t>R</w:t>
      </w:r>
      <w:r w:rsidRPr="003F0091">
        <w:rPr>
          <w:color w:val="000000" w:themeColor="text1"/>
        </w:rPr>
        <w:t xml:space="preserve">esults of the differential gene expression analyses for all comparisons </w:t>
      </w:r>
      <w:r w:rsidR="00205915">
        <w:rPr>
          <w:color w:val="000000" w:themeColor="text1"/>
        </w:rPr>
        <w:t xml:space="preserve">are shown in </w:t>
      </w:r>
      <w:r w:rsidRPr="00994652">
        <w:rPr>
          <w:color w:val="000000" w:themeColor="text1"/>
        </w:rPr>
        <w:t xml:space="preserve">Table </w:t>
      </w:r>
      <w:r w:rsidR="00DC1C5F">
        <w:rPr>
          <w:color w:val="000000" w:themeColor="text1"/>
        </w:rPr>
        <w:t>4.</w:t>
      </w:r>
      <w:r w:rsidRPr="00994652">
        <w:rPr>
          <w:color w:val="000000" w:themeColor="text1"/>
        </w:rPr>
        <w:t>6.</w:t>
      </w:r>
      <w:r w:rsidRPr="003F0091">
        <w:rPr>
          <w:color w:val="000000" w:themeColor="text1"/>
        </w:rPr>
        <w:t xml:space="preserve"> To account for differences in sequencing amounts, the original values were normalized. The resulting normalized values were used to accurately identify differentially expressed genes. A gene ontology (GO) analysis was performed on the statistically significant set of genes by implementing the software GeneSCF. The analysis of GO and Kyoto Encyclopedia of Genes and Genomes (KEGG) pathways enrichment of differential expression genes (DEGs) were performed. GO and KEGG terms with corrected </w:t>
      </w:r>
      <w:r w:rsidR="00667DB4">
        <w:rPr>
          <w:i/>
          <w:iCs/>
          <w:color w:val="000000" w:themeColor="text1"/>
        </w:rPr>
        <w:t xml:space="preserve">P </w:t>
      </w:r>
      <w:r w:rsidRPr="003F0091">
        <w:rPr>
          <w:color w:val="000000" w:themeColor="text1"/>
        </w:rPr>
        <w:t>&lt; 0.5 and deemed significant were used in the comparative analyses between treatments.</w:t>
      </w:r>
    </w:p>
    <w:p w14:paraId="0F43E816" w14:textId="721738D8" w:rsidR="00126D8D" w:rsidRDefault="00126D8D" w:rsidP="00DC4427">
      <w:pPr>
        <w:pStyle w:val="MSThesisBodyTextJustified"/>
        <w:rPr>
          <w:color w:val="000000" w:themeColor="text1"/>
          <w:shd w:val="clear" w:color="auto" w:fill="FFFFFF"/>
        </w:rPr>
      </w:pPr>
      <w:r w:rsidRPr="003F0091">
        <w:rPr>
          <w:color w:val="000000" w:themeColor="text1"/>
          <w:shd w:val="clear" w:color="auto" w:fill="FFFFFF"/>
        </w:rPr>
        <w:t xml:space="preserve">Principle component analysis biplots were developed to reveal similarities within and between treatments, </w:t>
      </w:r>
      <w:r w:rsidRPr="003F0091">
        <w:rPr>
          <w:color w:val="000000" w:themeColor="text1"/>
        </w:rPr>
        <w:t xml:space="preserve">using the "plotPCA" function within the DESeq2 R package. The plot shows the samples in a 2D plane spanned by their first two principal components. </w:t>
      </w:r>
      <w:r w:rsidRPr="00A94B6B">
        <w:rPr>
          <w:color w:val="000000" w:themeColor="text1"/>
        </w:rPr>
        <w:t>The top 500 genes, selected by highest row variance, were used to generate the plot</w:t>
      </w:r>
      <w:r w:rsidR="00667DB4">
        <w:rPr>
          <w:color w:val="000000" w:themeColor="text1"/>
        </w:rPr>
        <w:t xml:space="preserve">s in figures </w:t>
      </w:r>
      <w:r w:rsidRPr="00A94B6B">
        <w:rPr>
          <w:color w:val="000000" w:themeColor="text1"/>
        </w:rPr>
        <w:t xml:space="preserve">  </w:t>
      </w:r>
      <w:r w:rsidR="00AD5E45">
        <w:rPr>
          <w:color w:val="000000" w:themeColor="text1"/>
        </w:rPr>
        <w:t>4.</w:t>
      </w:r>
      <w:r w:rsidRPr="00A94B6B">
        <w:rPr>
          <w:color w:val="000000" w:themeColor="text1"/>
        </w:rPr>
        <w:t>9-</w:t>
      </w:r>
      <w:r w:rsidR="00AD5E45">
        <w:rPr>
          <w:color w:val="000000" w:themeColor="text1"/>
        </w:rPr>
        <w:t>4.</w:t>
      </w:r>
      <w:r w:rsidRPr="00A94B6B">
        <w:rPr>
          <w:color w:val="000000" w:themeColor="text1"/>
        </w:rPr>
        <w:t>11.</w:t>
      </w:r>
      <w:r w:rsidRPr="00A94B6B">
        <w:rPr>
          <w:b/>
          <w:bCs/>
          <w:color w:val="000000" w:themeColor="text1"/>
        </w:rPr>
        <w:t xml:space="preserve"> </w:t>
      </w:r>
      <w:r w:rsidRPr="00A94B6B">
        <w:rPr>
          <w:color w:val="000000" w:themeColor="text1"/>
        </w:rPr>
        <w:t xml:space="preserve">DEG biclustering heatmaps </w:t>
      </w:r>
      <w:r w:rsidR="00667DB4">
        <w:rPr>
          <w:color w:val="000000" w:themeColor="text1"/>
        </w:rPr>
        <w:t xml:space="preserve">for each treatment SL comparison to </w:t>
      </w:r>
      <w:r w:rsidR="00A344DB">
        <w:rPr>
          <w:color w:val="000000" w:themeColor="text1"/>
        </w:rPr>
        <w:t xml:space="preserve">the </w:t>
      </w:r>
      <w:r w:rsidR="00667DB4">
        <w:rPr>
          <w:color w:val="000000" w:themeColor="text1"/>
        </w:rPr>
        <w:t xml:space="preserve">NL control </w:t>
      </w:r>
      <w:r w:rsidRPr="00A94B6B">
        <w:rPr>
          <w:color w:val="000000" w:themeColor="text1"/>
          <w:shd w:val="clear" w:color="auto" w:fill="FFFFFF"/>
        </w:rPr>
        <w:t xml:space="preserve">were created to </w:t>
      </w:r>
      <w:r w:rsidRPr="00A94B6B">
        <w:rPr>
          <w:color w:val="000000" w:themeColor="text1"/>
          <w:shd w:val="clear" w:color="auto" w:fill="FFFFFF"/>
        </w:rPr>
        <w:lastRenderedPageBreak/>
        <w:t xml:space="preserve">visualize the expression profile of the top 30 genes sorted by their adjusted </w:t>
      </w:r>
      <w:r w:rsidR="00667DB4" w:rsidRPr="00E94DE1">
        <w:rPr>
          <w:i/>
          <w:iCs/>
          <w:color w:val="000000" w:themeColor="text1"/>
          <w:shd w:val="clear" w:color="auto" w:fill="FFFFFF"/>
        </w:rPr>
        <w:t>P</w:t>
      </w:r>
      <w:r w:rsidRPr="00A94B6B">
        <w:rPr>
          <w:color w:val="000000" w:themeColor="text1"/>
          <w:shd w:val="clear" w:color="auto" w:fill="FFFFFF"/>
        </w:rPr>
        <w:t xml:space="preserve">-values (Figs. </w:t>
      </w:r>
      <w:r w:rsidR="00AD5E45">
        <w:rPr>
          <w:color w:val="000000" w:themeColor="text1"/>
          <w:shd w:val="clear" w:color="auto" w:fill="FFFFFF"/>
        </w:rPr>
        <w:t>4.</w:t>
      </w:r>
      <w:r w:rsidRPr="00A94B6B">
        <w:rPr>
          <w:color w:val="000000" w:themeColor="text1"/>
          <w:shd w:val="clear" w:color="auto" w:fill="FFFFFF"/>
        </w:rPr>
        <w:t>12-</w:t>
      </w:r>
      <w:r w:rsidR="00AD5E45">
        <w:rPr>
          <w:color w:val="000000" w:themeColor="text1"/>
          <w:shd w:val="clear" w:color="auto" w:fill="FFFFFF"/>
        </w:rPr>
        <w:t>4.</w:t>
      </w:r>
      <w:r w:rsidRPr="00A94B6B">
        <w:rPr>
          <w:color w:val="000000" w:themeColor="text1"/>
          <w:shd w:val="clear" w:color="auto" w:fill="FFFFFF"/>
        </w:rPr>
        <w:t xml:space="preserve">14). Volcano plots </w:t>
      </w:r>
      <w:r w:rsidR="00667DB4">
        <w:rPr>
          <w:color w:val="000000" w:themeColor="text1"/>
          <w:shd w:val="clear" w:color="auto" w:fill="FFFFFF"/>
        </w:rPr>
        <w:t xml:space="preserve">for each SL comparison to NL control </w:t>
      </w:r>
      <w:r w:rsidRPr="00A94B6B">
        <w:rPr>
          <w:color w:val="000000" w:themeColor="text1"/>
          <w:shd w:val="clear" w:color="auto" w:fill="FFFFFF"/>
        </w:rPr>
        <w:t xml:space="preserve">were created to show the global transcriptional change across seasons and replicates (Figs. </w:t>
      </w:r>
      <w:r w:rsidR="00AD5E45">
        <w:rPr>
          <w:color w:val="000000" w:themeColor="text1"/>
          <w:shd w:val="clear" w:color="auto" w:fill="FFFFFF"/>
        </w:rPr>
        <w:t>4.</w:t>
      </w:r>
      <w:r w:rsidRPr="00A94B6B">
        <w:rPr>
          <w:color w:val="000000" w:themeColor="text1"/>
          <w:shd w:val="clear" w:color="auto" w:fill="FFFFFF"/>
        </w:rPr>
        <w:t>15-</w:t>
      </w:r>
      <w:r w:rsidR="00AD5E45">
        <w:rPr>
          <w:color w:val="000000" w:themeColor="text1"/>
          <w:shd w:val="clear" w:color="auto" w:fill="FFFFFF"/>
        </w:rPr>
        <w:t>4.</w:t>
      </w:r>
      <w:r w:rsidRPr="00A94B6B">
        <w:rPr>
          <w:color w:val="000000" w:themeColor="text1"/>
          <w:shd w:val="clear" w:color="auto" w:fill="FFFFFF"/>
        </w:rPr>
        <w:t>17).</w:t>
      </w:r>
      <w:r w:rsidRPr="003F0091">
        <w:rPr>
          <w:color w:val="000000" w:themeColor="text1"/>
          <w:shd w:val="clear" w:color="auto" w:fill="FFFFFF"/>
        </w:rPr>
        <w:t xml:space="preserve"> </w:t>
      </w:r>
    </w:p>
    <w:p w14:paraId="6183D26C" w14:textId="77777777" w:rsidR="00A67B85" w:rsidRPr="007F3F8F" w:rsidRDefault="00A67B85" w:rsidP="00DC4427">
      <w:pPr>
        <w:pStyle w:val="MSThesisBodyTextJustified"/>
      </w:pPr>
    </w:p>
    <w:p w14:paraId="3B2B5C13" w14:textId="77777777" w:rsidR="00126D8D" w:rsidRPr="003F0091" w:rsidRDefault="00126D8D" w:rsidP="00DC4427">
      <w:pPr>
        <w:pStyle w:val="MastersThesisMainTitle"/>
        <w:rPr>
          <w:color w:val="000000" w:themeColor="text1"/>
        </w:rPr>
      </w:pPr>
      <w:bookmarkStart w:id="576" w:name="_Toc139574831"/>
      <w:bookmarkStart w:id="577" w:name="_Toc141478701"/>
      <w:r w:rsidRPr="00E94C8A">
        <w:rPr>
          <w:color w:val="000000" w:themeColor="text1"/>
        </w:rPr>
        <w:t>Results</w:t>
      </w:r>
      <w:bookmarkEnd w:id="576"/>
      <w:bookmarkEnd w:id="577"/>
    </w:p>
    <w:p w14:paraId="097814B4" w14:textId="77777777" w:rsidR="00126D8D" w:rsidRPr="003F0091" w:rsidRDefault="00126D8D" w:rsidP="00DC4427">
      <w:pPr>
        <w:pStyle w:val="MastersThesisSectionHeader"/>
        <w:rPr>
          <w:color w:val="000000" w:themeColor="text1"/>
        </w:rPr>
      </w:pPr>
      <w:bookmarkStart w:id="578" w:name="_Toc139574832"/>
      <w:bookmarkStart w:id="579" w:name="_Toc141478702"/>
      <w:r>
        <w:rPr>
          <w:color w:val="000000" w:themeColor="text1"/>
        </w:rPr>
        <w:t>Fresh and Dry Mass</w:t>
      </w:r>
      <w:bookmarkEnd w:id="578"/>
      <w:bookmarkEnd w:id="579"/>
    </w:p>
    <w:p w14:paraId="60BD88B4" w14:textId="753B6783" w:rsidR="00126D8D" w:rsidRPr="00B62040" w:rsidRDefault="00126D8D" w:rsidP="00DC4427">
      <w:pPr>
        <w:pStyle w:val="MSThesisBodyTextJustified"/>
        <w:rPr>
          <w:color w:val="000000" w:themeColor="text1"/>
        </w:rPr>
      </w:pPr>
      <w:r w:rsidRPr="00B62040">
        <w:rPr>
          <w:color w:val="000000" w:themeColor="text1"/>
        </w:rPr>
        <w:t>Our investigation into the effects of season and lighting treatment on total fresh and dry masses revealed significant influences from both factors.</w:t>
      </w:r>
      <w:r w:rsidR="00667DB4">
        <w:rPr>
          <w:color w:val="000000" w:themeColor="text1"/>
        </w:rPr>
        <w:t xml:space="preserve"> </w:t>
      </w:r>
      <w:r w:rsidR="0089076D">
        <w:rPr>
          <w:color w:val="000000" w:themeColor="text1"/>
        </w:rPr>
        <w:t xml:space="preserve">A one sentence paragraph. </w:t>
      </w:r>
      <w:r w:rsidR="00DD55C1">
        <w:rPr>
          <w:color w:val="000000" w:themeColor="text1"/>
        </w:rPr>
        <w:t xml:space="preserve">Suggest </w:t>
      </w:r>
      <w:r w:rsidR="00361588">
        <w:rPr>
          <w:color w:val="000000" w:themeColor="text1"/>
        </w:rPr>
        <w:t>incorporat</w:t>
      </w:r>
      <w:r w:rsidR="00DD55C1">
        <w:rPr>
          <w:color w:val="000000" w:themeColor="text1"/>
        </w:rPr>
        <w:t xml:space="preserve">ing </w:t>
      </w:r>
      <w:r w:rsidR="00667DB4">
        <w:rPr>
          <w:color w:val="000000" w:themeColor="text1"/>
        </w:rPr>
        <w:t xml:space="preserve">it into </w:t>
      </w:r>
      <w:r w:rsidR="00361588">
        <w:rPr>
          <w:color w:val="000000" w:themeColor="text1"/>
        </w:rPr>
        <w:t xml:space="preserve">next </w:t>
      </w:r>
      <w:r w:rsidR="0089076D">
        <w:rPr>
          <w:color w:val="000000" w:themeColor="text1"/>
        </w:rPr>
        <w:t>paragraph.</w:t>
      </w:r>
      <w:r w:rsidR="00584058">
        <w:rPr>
          <w:color w:val="000000" w:themeColor="text1"/>
        </w:rPr>
        <w:t xml:space="preserve"> </w:t>
      </w:r>
      <w:r w:rsidRPr="00B62040">
        <w:rPr>
          <w:color w:val="000000" w:themeColor="text1"/>
        </w:rPr>
        <w:t xml:space="preserve">Seasonal changes, characterized by variations in ambient sunlight, had a pronounced impact on the fresh </w:t>
      </w:r>
      <w:r w:rsidR="00A344DB">
        <w:rPr>
          <w:color w:val="000000" w:themeColor="text1"/>
        </w:rPr>
        <w:t xml:space="preserve">and dry </w:t>
      </w:r>
      <w:r w:rsidR="00DD55C1">
        <w:rPr>
          <w:color w:val="000000" w:themeColor="text1"/>
        </w:rPr>
        <w:t>masses</w:t>
      </w:r>
      <w:r w:rsidR="00A344DB">
        <w:rPr>
          <w:color w:val="000000" w:themeColor="text1"/>
        </w:rPr>
        <w:t xml:space="preserve"> </w:t>
      </w:r>
      <w:r w:rsidRPr="00B62040">
        <w:rPr>
          <w:color w:val="000000" w:themeColor="text1"/>
        </w:rPr>
        <w:t xml:space="preserve"> samples. During the summer months, we recorded a fresh mass </w:t>
      </w:r>
      <w:r w:rsidR="00584058">
        <w:rPr>
          <w:color w:val="000000" w:themeColor="text1"/>
        </w:rPr>
        <w:t xml:space="preserve">average </w:t>
      </w:r>
      <w:r w:rsidRPr="00B62040">
        <w:rPr>
          <w:color w:val="000000" w:themeColor="text1"/>
        </w:rPr>
        <w:t>of</w:t>
      </w:r>
      <w:r w:rsidR="00584058">
        <w:rPr>
          <w:color w:val="000000" w:themeColor="text1"/>
        </w:rPr>
        <w:t xml:space="preserve"> </w:t>
      </w:r>
      <w:r w:rsidRPr="00B62040">
        <w:rPr>
          <w:color w:val="000000" w:themeColor="text1"/>
        </w:rPr>
        <w:t>57.8 g</w:t>
      </w:r>
      <w:r w:rsidR="00584058">
        <w:rPr>
          <w:color w:val="000000" w:themeColor="text1"/>
        </w:rPr>
        <w:t xml:space="preserve"> per plant</w:t>
      </w:r>
      <w:r w:rsidR="00227E6F">
        <w:rPr>
          <w:color w:val="000000" w:themeColor="text1"/>
        </w:rPr>
        <w:t>,</w:t>
      </w:r>
      <w:r w:rsidRPr="00B62040">
        <w:rPr>
          <w:color w:val="000000" w:themeColor="text1"/>
        </w:rPr>
        <w:t xml:space="preserve"> </w:t>
      </w:r>
      <w:r w:rsidR="00E02EE9">
        <w:rPr>
          <w:color w:val="000000" w:themeColor="text1"/>
        </w:rPr>
        <w:t>h</w:t>
      </w:r>
      <w:r w:rsidRPr="00B62040">
        <w:rPr>
          <w:color w:val="000000" w:themeColor="text1"/>
        </w:rPr>
        <w:t xml:space="preserve">owever, this value </w:t>
      </w:r>
      <w:r w:rsidR="00667DB4">
        <w:rPr>
          <w:color w:val="000000" w:themeColor="text1"/>
        </w:rPr>
        <w:t>was only</w:t>
      </w:r>
      <w:r w:rsidRPr="00B62040">
        <w:rPr>
          <w:color w:val="000000" w:themeColor="text1"/>
        </w:rPr>
        <w:t xml:space="preserve"> 30.8 g </w:t>
      </w:r>
      <w:r w:rsidR="00584058">
        <w:rPr>
          <w:color w:val="000000" w:themeColor="text1"/>
        </w:rPr>
        <w:t xml:space="preserve">per plant </w:t>
      </w:r>
      <w:r w:rsidRPr="00B62040">
        <w:rPr>
          <w:color w:val="000000" w:themeColor="text1"/>
        </w:rPr>
        <w:t>during the winter months</w:t>
      </w:r>
      <w:r>
        <w:rPr>
          <w:color w:val="000000" w:themeColor="text1"/>
        </w:rPr>
        <w:t>.</w:t>
      </w:r>
      <w:r w:rsidRPr="00B62040">
        <w:rPr>
          <w:color w:val="000000" w:themeColor="text1"/>
        </w:rPr>
        <w:t xml:space="preserve"> (Fig. </w:t>
      </w:r>
      <w:r w:rsidR="00AD5E45">
        <w:rPr>
          <w:color w:val="000000" w:themeColor="text1"/>
        </w:rPr>
        <w:t>4.</w:t>
      </w:r>
      <w:r w:rsidRPr="00B62040">
        <w:rPr>
          <w:color w:val="000000" w:themeColor="text1"/>
        </w:rPr>
        <w:t>3). The dry mass followed a similar pattern, with summer yield</w:t>
      </w:r>
      <w:r w:rsidR="00E02EE9">
        <w:rPr>
          <w:color w:val="000000" w:themeColor="text1"/>
        </w:rPr>
        <w:t xml:space="preserve"> of</w:t>
      </w:r>
      <w:r w:rsidR="00584058">
        <w:rPr>
          <w:color w:val="000000" w:themeColor="text1"/>
        </w:rPr>
        <w:t xml:space="preserve"> </w:t>
      </w:r>
      <w:r w:rsidRPr="00B62040">
        <w:rPr>
          <w:color w:val="000000" w:themeColor="text1"/>
        </w:rPr>
        <w:t>6.94 g</w:t>
      </w:r>
      <w:r w:rsidR="00584058">
        <w:rPr>
          <w:color w:val="000000" w:themeColor="text1"/>
        </w:rPr>
        <w:t xml:space="preserve"> per p ant </w:t>
      </w:r>
      <w:r w:rsidR="00E02EE9">
        <w:rPr>
          <w:color w:val="000000" w:themeColor="text1"/>
        </w:rPr>
        <w:t xml:space="preserve">and winter yield of </w:t>
      </w:r>
      <w:r w:rsidRPr="00B62040">
        <w:rPr>
          <w:color w:val="000000" w:themeColor="text1"/>
        </w:rPr>
        <w:t>3.37 g</w:t>
      </w:r>
      <w:r w:rsidR="00584058">
        <w:rPr>
          <w:color w:val="000000" w:themeColor="text1"/>
        </w:rPr>
        <w:t xml:space="preserve"> per plant</w:t>
      </w:r>
      <w:r>
        <w:rPr>
          <w:color w:val="000000" w:themeColor="text1"/>
        </w:rPr>
        <w:t xml:space="preserve"> </w:t>
      </w:r>
      <w:r w:rsidRPr="00B62040">
        <w:rPr>
          <w:color w:val="000000" w:themeColor="text1"/>
        </w:rPr>
        <w:t xml:space="preserve">(Fig. </w:t>
      </w:r>
      <w:r w:rsidR="00AD5E45">
        <w:rPr>
          <w:color w:val="000000" w:themeColor="text1"/>
        </w:rPr>
        <w:t>4.</w:t>
      </w:r>
      <w:r w:rsidRPr="00B62040">
        <w:rPr>
          <w:color w:val="000000" w:themeColor="text1"/>
        </w:rPr>
        <w:t>4).</w:t>
      </w:r>
    </w:p>
    <w:p w14:paraId="62324A23" w14:textId="3886A1C1" w:rsidR="00126D8D" w:rsidRPr="00B62040" w:rsidRDefault="00126D8D" w:rsidP="00DC4427">
      <w:pPr>
        <w:pStyle w:val="MSThesisBodyTextJustified"/>
        <w:rPr>
          <w:color w:val="000000" w:themeColor="text1"/>
        </w:rPr>
      </w:pPr>
      <w:r w:rsidRPr="00B62040">
        <w:rPr>
          <w:color w:val="000000" w:themeColor="text1"/>
        </w:rPr>
        <w:t>Lighting treatment</w:t>
      </w:r>
      <w:r>
        <w:rPr>
          <w:color w:val="000000" w:themeColor="text1"/>
        </w:rPr>
        <w:t xml:space="preserve"> </w:t>
      </w:r>
      <w:r w:rsidRPr="00B62040">
        <w:rPr>
          <w:color w:val="000000" w:themeColor="text1"/>
        </w:rPr>
        <w:t>also significantly affected the fresh and dry masses</w:t>
      </w:r>
      <w:r>
        <w:rPr>
          <w:color w:val="000000" w:themeColor="text1"/>
        </w:rPr>
        <w:t xml:space="preserve"> of basil</w:t>
      </w:r>
      <w:r w:rsidRPr="00B62040">
        <w:rPr>
          <w:color w:val="000000" w:themeColor="text1"/>
        </w:rPr>
        <w:t xml:space="preserve">. The Broadband </w:t>
      </w:r>
      <w:r>
        <w:rPr>
          <w:color w:val="000000" w:themeColor="text1"/>
        </w:rPr>
        <w:t>W</w:t>
      </w:r>
      <w:r w:rsidRPr="00B62040">
        <w:rPr>
          <w:color w:val="000000" w:themeColor="text1"/>
        </w:rPr>
        <w:t xml:space="preserve">hite treatment resulted in the highest fresh mass </w:t>
      </w:r>
      <w:r w:rsidR="002A5F0C">
        <w:rPr>
          <w:color w:val="000000" w:themeColor="text1"/>
        </w:rPr>
        <w:t>of</w:t>
      </w:r>
      <w:r w:rsidRPr="00B62040">
        <w:rPr>
          <w:color w:val="000000" w:themeColor="text1"/>
        </w:rPr>
        <w:t xml:space="preserve"> 68.39 g</w:t>
      </w:r>
      <w:r w:rsidR="00584058">
        <w:rPr>
          <w:color w:val="000000" w:themeColor="text1"/>
        </w:rPr>
        <w:t xml:space="preserve"> per plant</w:t>
      </w:r>
      <w:r w:rsidRPr="00B62040">
        <w:rPr>
          <w:color w:val="000000" w:themeColor="text1"/>
        </w:rPr>
        <w:t xml:space="preserve">, while the lowest was </w:t>
      </w:r>
      <w:r w:rsidR="00227E6F" w:rsidRPr="00B62040">
        <w:rPr>
          <w:color w:val="000000" w:themeColor="text1"/>
        </w:rPr>
        <w:t>32.96 g</w:t>
      </w:r>
      <w:r w:rsidR="0069612B">
        <w:rPr>
          <w:color w:val="000000" w:themeColor="text1"/>
        </w:rPr>
        <w:t xml:space="preserve"> </w:t>
      </w:r>
      <w:r w:rsidR="00584058">
        <w:rPr>
          <w:color w:val="000000" w:themeColor="text1"/>
        </w:rPr>
        <w:t xml:space="preserve">per plant </w:t>
      </w:r>
      <w:r w:rsidRPr="00B62040">
        <w:rPr>
          <w:color w:val="000000" w:themeColor="text1"/>
        </w:rPr>
        <w:t xml:space="preserve">under the Natural Light (NL) control. Each lighting treatment resulted in statistically different fresh masses. Notably, the Narrowband </w:t>
      </w:r>
      <w:r>
        <w:rPr>
          <w:color w:val="000000" w:themeColor="text1"/>
        </w:rPr>
        <w:t xml:space="preserve">(NB) </w:t>
      </w:r>
      <w:r w:rsidRPr="00B62040">
        <w:rPr>
          <w:color w:val="000000" w:themeColor="text1"/>
        </w:rPr>
        <w:t>Blue/Red treatment yielded about 10 g</w:t>
      </w:r>
      <w:r w:rsidR="00584058">
        <w:rPr>
          <w:color w:val="000000" w:themeColor="text1"/>
        </w:rPr>
        <w:t xml:space="preserve"> per plant</w:t>
      </w:r>
      <w:r w:rsidR="00A344DB">
        <w:rPr>
          <w:color w:val="000000" w:themeColor="text1"/>
        </w:rPr>
        <w:t xml:space="preserve"> FM</w:t>
      </w:r>
      <w:r w:rsidRPr="00B62040">
        <w:rPr>
          <w:color w:val="000000" w:themeColor="text1"/>
        </w:rPr>
        <w:t xml:space="preserve"> less than the Broadband </w:t>
      </w:r>
      <w:r>
        <w:rPr>
          <w:color w:val="000000" w:themeColor="text1"/>
        </w:rPr>
        <w:t>W</w:t>
      </w:r>
      <w:r w:rsidRPr="00B62040">
        <w:rPr>
          <w:color w:val="000000" w:themeColor="text1"/>
        </w:rPr>
        <w:t>hite</w:t>
      </w:r>
      <w:r>
        <w:rPr>
          <w:color w:val="000000" w:themeColor="text1"/>
        </w:rPr>
        <w:t xml:space="preserve"> (BW)</w:t>
      </w:r>
      <w:r w:rsidRPr="00B62040">
        <w:rPr>
          <w:color w:val="000000" w:themeColor="text1"/>
        </w:rPr>
        <w:t>, and the HPS treatment yield</w:t>
      </w:r>
      <w:r w:rsidR="00227E6F">
        <w:rPr>
          <w:color w:val="000000" w:themeColor="text1"/>
        </w:rPr>
        <w:t xml:space="preserve">ed </w:t>
      </w:r>
      <w:r w:rsidR="00227E6F" w:rsidRPr="00B62040">
        <w:rPr>
          <w:color w:val="000000" w:themeColor="text1"/>
        </w:rPr>
        <w:t>42.64</w:t>
      </w:r>
      <w:r w:rsidR="00584058">
        <w:rPr>
          <w:color w:val="000000" w:themeColor="text1"/>
        </w:rPr>
        <w:t xml:space="preserve"> g per plant</w:t>
      </w:r>
      <w:r w:rsidR="00227E6F">
        <w:rPr>
          <w:color w:val="000000" w:themeColor="text1"/>
        </w:rPr>
        <w:t>, the l</w:t>
      </w:r>
      <w:r w:rsidR="0069612B">
        <w:rPr>
          <w:color w:val="000000" w:themeColor="text1"/>
        </w:rPr>
        <w:t>owest</w:t>
      </w:r>
      <w:r w:rsidR="00227E6F">
        <w:rPr>
          <w:color w:val="000000" w:themeColor="text1"/>
        </w:rPr>
        <w:t xml:space="preserve"> </w:t>
      </w:r>
      <w:r w:rsidRPr="00B62040">
        <w:rPr>
          <w:color w:val="000000" w:themeColor="text1"/>
        </w:rPr>
        <w:t xml:space="preserve">yield </w:t>
      </w:r>
      <w:r w:rsidR="00584058">
        <w:rPr>
          <w:color w:val="000000" w:themeColor="text1"/>
        </w:rPr>
        <w:t xml:space="preserve">average </w:t>
      </w:r>
      <w:r w:rsidRPr="00B62040">
        <w:rPr>
          <w:color w:val="000000" w:themeColor="text1"/>
        </w:rPr>
        <w:t xml:space="preserve">among </w:t>
      </w:r>
      <w:r>
        <w:rPr>
          <w:color w:val="000000" w:themeColor="text1"/>
        </w:rPr>
        <w:t>supplemental light</w:t>
      </w:r>
      <w:r w:rsidRPr="00B62040">
        <w:rPr>
          <w:color w:val="000000" w:themeColor="text1"/>
        </w:rPr>
        <w:t xml:space="preserve"> (SL) treatments (Fig. </w:t>
      </w:r>
      <w:r w:rsidR="00AD5E45">
        <w:rPr>
          <w:color w:val="000000" w:themeColor="text1"/>
        </w:rPr>
        <w:t>4.</w:t>
      </w:r>
      <w:r w:rsidRPr="00B62040">
        <w:rPr>
          <w:color w:val="000000" w:themeColor="text1"/>
        </w:rPr>
        <w:t>5).</w:t>
      </w:r>
    </w:p>
    <w:p w14:paraId="3E531E5F" w14:textId="2368596D" w:rsidR="00126D8D" w:rsidRPr="003F0091" w:rsidRDefault="00227E6F" w:rsidP="00DC4427">
      <w:pPr>
        <w:pStyle w:val="MSThesisBodyTextJustified"/>
        <w:rPr>
          <w:color w:val="000000"/>
        </w:rPr>
      </w:pPr>
      <w:r>
        <w:rPr>
          <w:color w:val="000000" w:themeColor="text1"/>
        </w:rPr>
        <w:t xml:space="preserve">The </w:t>
      </w:r>
      <w:r w:rsidRPr="00B62040">
        <w:rPr>
          <w:color w:val="000000" w:themeColor="text1"/>
        </w:rPr>
        <w:t>different lighting treatments</w:t>
      </w:r>
      <w:r>
        <w:rPr>
          <w:color w:val="000000" w:themeColor="text1"/>
        </w:rPr>
        <w:t xml:space="preserve"> had a </w:t>
      </w:r>
      <w:r w:rsidR="00126D8D" w:rsidRPr="00B62040">
        <w:rPr>
          <w:color w:val="000000" w:themeColor="text1"/>
        </w:rPr>
        <w:t xml:space="preserve">similar pattern </w:t>
      </w:r>
      <w:r>
        <w:rPr>
          <w:color w:val="000000" w:themeColor="text1"/>
        </w:rPr>
        <w:t xml:space="preserve">of </w:t>
      </w:r>
      <w:r w:rsidR="00126D8D" w:rsidRPr="00B62040">
        <w:rPr>
          <w:color w:val="000000" w:themeColor="text1"/>
        </w:rPr>
        <w:t xml:space="preserve">dry mass </w:t>
      </w:r>
      <w:r>
        <w:rPr>
          <w:color w:val="000000" w:themeColor="text1"/>
        </w:rPr>
        <w:t>production.</w:t>
      </w:r>
      <w:r w:rsidR="00584058">
        <w:rPr>
          <w:color w:val="000000" w:themeColor="text1"/>
        </w:rPr>
        <w:t xml:space="preserve"> </w:t>
      </w:r>
      <w:r w:rsidR="00126D8D" w:rsidRPr="00B62040">
        <w:rPr>
          <w:color w:val="000000" w:themeColor="text1"/>
        </w:rPr>
        <w:t xml:space="preserve">All treatments were statistically distinct from each other. The Broadband </w:t>
      </w:r>
      <w:r w:rsidR="00126D8D">
        <w:rPr>
          <w:color w:val="000000" w:themeColor="text1"/>
        </w:rPr>
        <w:t>W</w:t>
      </w:r>
      <w:r w:rsidR="00126D8D" w:rsidRPr="00B62040">
        <w:rPr>
          <w:color w:val="000000" w:themeColor="text1"/>
        </w:rPr>
        <w:t>hite treatment yielded the highest dry mass at 7.54 g</w:t>
      </w:r>
      <w:r w:rsidR="00584058">
        <w:rPr>
          <w:color w:val="000000" w:themeColor="text1"/>
        </w:rPr>
        <w:t xml:space="preserve"> per plant</w:t>
      </w:r>
      <w:r w:rsidR="00126D8D" w:rsidRPr="00B62040">
        <w:rPr>
          <w:color w:val="000000" w:themeColor="text1"/>
        </w:rPr>
        <w:t>, whereas the NL control produced the lowest at 4.25 g</w:t>
      </w:r>
      <w:r w:rsidR="00584058">
        <w:rPr>
          <w:color w:val="000000" w:themeColor="text1"/>
        </w:rPr>
        <w:t xml:space="preserve"> per plant</w:t>
      </w:r>
      <w:r w:rsidR="00126D8D" w:rsidRPr="00B62040">
        <w:rPr>
          <w:color w:val="000000" w:themeColor="text1"/>
        </w:rPr>
        <w:t xml:space="preserve">. The </w:t>
      </w:r>
      <w:r w:rsidR="00126D8D">
        <w:rPr>
          <w:color w:val="000000" w:themeColor="text1"/>
        </w:rPr>
        <w:t>Narrowband B/R</w:t>
      </w:r>
      <w:r w:rsidR="00126D8D" w:rsidRPr="00B62040">
        <w:rPr>
          <w:color w:val="000000" w:themeColor="text1"/>
        </w:rPr>
        <w:t xml:space="preserve"> treatment yielded about 1 g </w:t>
      </w:r>
      <w:r w:rsidR="00584058">
        <w:rPr>
          <w:color w:val="000000" w:themeColor="text1"/>
        </w:rPr>
        <w:t xml:space="preserve">per plant on </w:t>
      </w:r>
      <w:r w:rsidR="00126D8D" w:rsidRPr="00B62040">
        <w:rPr>
          <w:color w:val="000000" w:themeColor="text1"/>
        </w:rPr>
        <w:t>less</w:t>
      </w:r>
      <w:r w:rsidR="00584058">
        <w:rPr>
          <w:color w:val="000000" w:themeColor="text1"/>
        </w:rPr>
        <w:t xml:space="preserve"> on average</w:t>
      </w:r>
      <w:r w:rsidR="00126D8D" w:rsidRPr="00B62040">
        <w:rPr>
          <w:color w:val="000000" w:themeColor="text1"/>
        </w:rPr>
        <w:t xml:space="preserve"> than the </w:t>
      </w:r>
      <w:r w:rsidR="00126D8D" w:rsidRPr="00B62040">
        <w:rPr>
          <w:color w:val="000000" w:themeColor="text1"/>
        </w:rPr>
        <w:lastRenderedPageBreak/>
        <w:t xml:space="preserve">Broadband </w:t>
      </w:r>
      <w:r w:rsidR="00126D8D">
        <w:rPr>
          <w:color w:val="000000" w:themeColor="text1"/>
        </w:rPr>
        <w:t>W</w:t>
      </w:r>
      <w:r w:rsidR="00126D8D" w:rsidRPr="00B62040">
        <w:rPr>
          <w:color w:val="000000" w:themeColor="text1"/>
        </w:rPr>
        <w:t xml:space="preserve">hite treatment, and the HPS treatment's yield </w:t>
      </w:r>
      <w:r w:rsidR="007E769B">
        <w:rPr>
          <w:color w:val="000000" w:themeColor="text1"/>
        </w:rPr>
        <w:t xml:space="preserve">was more than the </w:t>
      </w:r>
      <w:r w:rsidR="007E769B" w:rsidRPr="00B62040">
        <w:rPr>
          <w:color w:val="000000" w:themeColor="text1"/>
        </w:rPr>
        <w:t xml:space="preserve">NL control </w:t>
      </w:r>
      <w:r w:rsidR="00897298">
        <w:rPr>
          <w:color w:val="000000" w:themeColor="text1"/>
        </w:rPr>
        <w:t xml:space="preserve">but </w:t>
      </w:r>
      <w:r w:rsidR="007E769B">
        <w:rPr>
          <w:color w:val="000000" w:themeColor="text1"/>
        </w:rPr>
        <w:t xml:space="preserve">less than that of the </w:t>
      </w:r>
      <w:r w:rsidR="00126D8D">
        <w:rPr>
          <w:color w:val="000000" w:themeColor="text1"/>
        </w:rPr>
        <w:t>B/R</w:t>
      </w:r>
      <w:r w:rsidR="00126D8D" w:rsidRPr="00B62040">
        <w:rPr>
          <w:color w:val="000000" w:themeColor="text1"/>
        </w:rPr>
        <w:t xml:space="preserve"> treatment</w:t>
      </w:r>
      <w:r w:rsidR="00584058">
        <w:rPr>
          <w:color w:val="000000" w:themeColor="text1"/>
        </w:rPr>
        <w:t xml:space="preserve"> </w:t>
      </w:r>
      <w:r w:rsidR="00126D8D" w:rsidRPr="00B62040">
        <w:rPr>
          <w:color w:val="000000" w:themeColor="text1"/>
        </w:rPr>
        <w:t xml:space="preserve">(Fig. </w:t>
      </w:r>
      <w:r w:rsidR="00AD5E45">
        <w:rPr>
          <w:color w:val="000000" w:themeColor="text1"/>
        </w:rPr>
        <w:t>4.</w:t>
      </w:r>
      <w:r w:rsidR="00126D8D" w:rsidRPr="00B62040">
        <w:rPr>
          <w:color w:val="000000" w:themeColor="text1"/>
        </w:rPr>
        <w:t>6).</w:t>
      </w:r>
      <w:r w:rsidR="00053A8F">
        <w:rPr>
          <w:color w:val="000000" w:themeColor="text1"/>
        </w:rPr>
        <w:t xml:space="preserve">  </w:t>
      </w:r>
    </w:p>
    <w:p w14:paraId="15C0ED71" w14:textId="1CD4A752" w:rsidR="00126D8D" w:rsidRDefault="00126D8D" w:rsidP="00DC4427">
      <w:pPr>
        <w:spacing w:line="240" w:lineRule="auto"/>
        <w:rPr>
          <w:rFonts w:cs="Times New Roman"/>
          <w:b/>
          <w:bCs/>
          <w:i/>
          <w:iCs/>
          <w:color w:val="000000" w:themeColor="text1"/>
        </w:rPr>
      </w:pPr>
    </w:p>
    <w:p w14:paraId="2561D41B" w14:textId="77777777" w:rsidR="00126D8D" w:rsidRDefault="00126D8D" w:rsidP="00DC4427">
      <w:pPr>
        <w:pStyle w:val="MastersThesisSectionHeader"/>
        <w:rPr>
          <w:color w:val="000000" w:themeColor="text1"/>
        </w:rPr>
      </w:pPr>
      <w:bookmarkStart w:id="580" w:name="_Toc139574833"/>
      <w:bookmarkStart w:id="581" w:name="_Toc141478703"/>
      <w:r>
        <w:rPr>
          <w:color w:val="000000" w:themeColor="text1"/>
        </w:rPr>
        <w:t>Elemental Nutrient Tissue Analysis</w:t>
      </w:r>
      <w:bookmarkEnd w:id="580"/>
      <w:bookmarkEnd w:id="581"/>
    </w:p>
    <w:p w14:paraId="2DF42102" w14:textId="66E8E446" w:rsidR="00126D8D" w:rsidRDefault="00126D8D" w:rsidP="008B1550">
      <w:pPr>
        <w:pStyle w:val="MSThesisBodyTextJustified"/>
      </w:pPr>
      <w:r w:rsidRPr="00242CB8">
        <w:t xml:space="preserve">The influence of season on macronutrient mineral concentrations in hydroponically grown 'Genovese' basil was </w:t>
      </w:r>
      <w:r w:rsidRPr="008B1550">
        <w:t>examined</w:t>
      </w:r>
      <w:r w:rsidR="008B1550" w:rsidRPr="008B1550">
        <w:rPr>
          <w:rStyle w:val="CommentReference"/>
          <w:kern w:val="2"/>
          <w:sz w:val="24"/>
          <w:szCs w:val="24"/>
          <w14:ligatures w14:val="standardContextual"/>
        </w:rPr>
        <w:t>. N</w:t>
      </w:r>
      <w:r w:rsidRPr="008B1550">
        <w:t xml:space="preserve">itrogen </w:t>
      </w:r>
      <w:r w:rsidR="008B1550">
        <w:t>(</w:t>
      </w:r>
      <w:r w:rsidRPr="008B1550">
        <w:t>N) concentrations</w:t>
      </w:r>
      <w:r w:rsidRPr="00242CB8">
        <w:t xml:space="preserve"> </w:t>
      </w:r>
      <w:r w:rsidR="00EB189F">
        <w:t>of</w:t>
      </w:r>
      <w:r w:rsidR="0069612B">
        <w:t xml:space="preserve"> </w:t>
      </w:r>
      <w:r w:rsidR="00EB189F">
        <w:t>plants</w:t>
      </w:r>
      <w:r w:rsidRPr="00242CB8">
        <w:t xml:space="preserve"> </w:t>
      </w:r>
      <w:r w:rsidR="00053A8F">
        <w:t xml:space="preserve">were </w:t>
      </w:r>
      <w:r w:rsidRPr="00242CB8">
        <w:t>significant</w:t>
      </w:r>
      <w:r w:rsidR="00EA6298">
        <w:t>ly</w:t>
      </w:r>
      <w:r w:rsidRPr="00242CB8">
        <w:t xml:space="preserve"> </w:t>
      </w:r>
      <w:r w:rsidR="00EA6298">
        <w:t xml:space="preserve">greater in the summer months </w:t>
      </w:r>
      <w:r w:rsidR="00C5533F">
        <w:t>(5.37%</w:t>
      </w:r>
      <w:r w:rsidR="008B1550">
        <w:t>)</w:t>
      </w:r>
      <w:r w:rsidR="00897298">
        <w:t xml:space="preserve"> </w:t>
      </w:r>
      <w:r w:rsidR="00EA6298">
        <w:t xml:space="preserve">than in winter </w:t>
      </w:r>
      <w:r w:rsidR="00C5533F">
        <w:t>(</w:t>
      </w:r>
      <w:r w:rsidR="00C5533F" w:rsidRPr="00242CB8">
        <w:t>4.98%</w:t>
      </w:r>
      <w:r w:rsidR="00C5533F">
        <w:t>)</w:t>
      </w:r>
      <w:r w:rsidR="00C5533F" w:rsidRPr="00242CB8">
        <w:t xml:space="preserve"> </w:t>
      </w:r>
      <w:r w:rsidR="00EA6298">
        <w:t>(Table 4.3</w:t>
      </w:r>
      <w:r w:rsidR="008B1550">
        <w:t>)</w:t>
      </w:r>
      <w:r w:rsidRPr="00242CB8">
        <w:t>. Phosphorus concentrations remained relatively stable across seasons</w:t>
      </w:r>
      <w:r w:rsidR="009B239F" w:rsidRPr="009B239F">
        <w:t xml:space="preserve"> </w:t>
      </w:r>
      <w:r w:rsidR="009B239F">
        <w:t xml:space="preserve">with </w:t>
      </w:r>
      <w:r w:rsidR="009B239F" w:rsidRPr="00242CB8">
        <w:t>0.92%</w:t>
      </w:r>
      <w:r w:rsidR="009B239F">
        <w:t xml:space="preserve"> in the summer and </w:t>
      </w:r>
      <w:r w:rsidR="009B239F" w:rsidRPr="00242CB8">
        <w:t>0.89%</w:t>
      </w:r>
      <w:r w:rsidR="009B239F">
        <w:t xml:space="preserve"> in the winter. </w:t>
      </w:r>
      <w:r w:rsidRPr="00242CB8">
        <w:t xml:space="preserve"> </w:t>
      </w:r>
      <w:r>
        <w:t xml:space="preserve"> </w:t>
      </w:r>
      <w:r w:rsidRPr="00242CB8">
        <w:t xml:space="preserve">Potassium concentrations mirrored the trend </w:t>
      </w:r>
      <w:r w:rsidR="008B1550">
        <w:t>of</w:t>
      </w:r>
      <w:r w:rsidR="00495993">
        <w:t xml:space="preserve"> N</w:t>
      </w:r>
      <w:r w:rsidRPr="00242CB8">
        <w:t xml:space="preserve">, </w:t>
      </w:r>
      <w:r w:rsidR="00495993">
        <w:t>with</w:t>
      </w:r>
      <w:r w:rsidRPr="00242CB8">
        <w:t xml:space="preserve"> a significant decrease from summer (5.69% of dry weight) to winter (4.68% of dry weight).</w:t>
      </w:r>
      <w:r>
        <w:t xml:space="preserve"> </w:t>
      </w:r>
      <w:r w:rsidRPr="00242CB8">
        <w:t xml:space="preserve">Magnesium concentrations demonstrated an inverse trend compared to </w:t>
      </w:r>
      <w:r w:rsidR="00B31F5B">
        <w:t>N</w:t>
      </w:r>
      <w:r w:rsidRPr="00242CB8">
        <w:t xml:space="preserve"> and </w:t>
      </w:r>
      <w:r w:rsidR="00B31F5B">
        <w:t>K</w:t>
      </w:r>
      <w:r w:rsidRPr="00242CB8">
        <w:t xml:space="preserve">. </w:t>
      </w:r>
      <w:r w:rsidR="00B31F5B">
        <w:t xml:space="preserve">However, </w:t>
      </w:r>
      <w:r w:rsidR="00B31F5B" w:rsidRPr="00B31F5B">
        <w:t>Mg concentrations</w:t>
      </w:r>
      <w:r w:rsidRPr="00242CB8">
        <w:t xml:space="preserve"> </w:t>
      </w:r>
      <w:r w:rsidR="00FB1B6F">
        <w:t xml:space="preserve">were </w:t>
      </w:r>
      <w:r w:rsidRPr="00242CB8">
        <w:t>significant</w:t>
      </w:r>
      <w:r w:rsidR="00B31F5B">
        <w:t>ly</w:t>
      </w:r>
      <w:r w:rsidRPr="00242CB8">
        <w:t xml:space="preserve"> </w:t>
      </w:r>
      <w:r w:rsidR="004C63BC">
        <w:t>higher in</w:t>
      </w:r>
      <w:r w:rsidRPr="00242CB8">
        <w:t xml:space="preserve"> summer (0.70% of dry weight) </w:t>
      </w:r>
      <w:r w:rsidR="004C63BC">
        <w:t>than</w:t>
      </w:r>
      <w:r w:rsidRPr="00242CB8">
        <w:t xml:space="preserve"> winter (0.73% of dry weight).</w:t>
      </w:r>
      <w:r>
        <w:t xml:space="preserve"> </w:t>
      </w:r>
      <w:r w:rsidRPr="00242CB8">
        <w:t xml:space="preserve">Calcium </w:t>
      </w:r>
      <w:r w:rsidR="00B31F5B">
        <w:t xml:space="preserve">dry weight </w:t>
      </w:r>
      <w:r w:rsidRPr="00242CB8">
        <w:t xml:space="preserve">concentrations also increased significantly from summer </w:t>
      </w:r>
      <w:r w:rsidR="00B31F5B">
        <w:t>(</w:t>
      </w:r>
      <w:r w:rsidR="00B31F5B" w:rsidRPr="00242CB8">
        <w:t>3.06%</w:t>
      </w:r>
      <w:r w:rsidR="00B31F5B">
        <w:t xml:space="preserve">) </w:t>
      </w:r>
      <w:r w:rsidRPr="00242CB8">
        <w:t>to winter</w:t>
      </w:r>
      <w:r w:rsidR="00B31F5B">
        <w:t xml:space="preserve"> (</w:t>
      </w:r>
      <w:r w:rsidR="00B31F5B" w:rsidRPr="00242CB8">
        <w:t>3.30%</w:t>
      </w:r>
      <w:r w:rsidR="00B31F5B">
        <w:t>)</w:t>
      </w:r>
      <w:r w:rsidRPr="00242CB8">
        <w:t>, Sulfur concentrations</w:t>
      </w:r>
      <w:r w:rsidR="008B1550">
        <w:t xml:space="preserve"> </w:t>
      </w:r>
      <w:r w:rsidR="00DA14FE">
        <w:t>were</w:t>
      </w:r>
      <w:r w:rsidRPr="00242CB8">
        <w:t xml:space="preserve"> relatively consistent from summer (0.46% of dry weight) to winter (0.44% of dry weight).</w:t>
      </w:r>
    </w:p>
    <w:p w14:paraId="09A31FBF" w14:textId="57FB11B2" w:rsidR="00126D8D" w:rsidRDefault="00126D8D" w:rsidP="00DC4427">
      <w:pPr>
        <w:pStyle w:val="MSThesisBodyTextJustified"/>
      </w:pPr>
      <w:r w:rsidRPr="00242CB8">
        <w:t xml:space="preserve">The influence of season on </w:t>
      </w:r>
      <w:r>
        <w:t>micronutrient</w:t>
      </w:r>
      <w:r w:rsidRPr="00242CB8">
        <w:t xml:space="preserve"> mineral concentrations in</w:t>
      </w:r>
      <w:r w:rsidR="008B1550">
        <w:t xml:space="preserve"> </w:t>
      </w:r>
      <w:r w:rsidRPr="00242CB8">
        <w:t xml:space="preserve">'Genovese' basil was </w:t>
      </w:r>
      <w:r>
        <w:t>also examined (Table 4</w:t>
      </w:r>
      <w:r w:rsidR="00DC1C5F">
        <w:t>.4</w:t>
      </w:r>
      <w:r>
        <w:t>)</w:t>
      </w:r>
      <w:r w:rsidRPr="00242CB8">
        <w:t>.</w:t>
      </w:r>
      <w:r>
        <w:t xml:space="preserve"> Boron concentrations </w:t>
      </w:r>
      <w:r w:rsidR="00B31F5B">
        <w:t xml:space="preserve">were </w:t>
      </w:r>
      <w:r w:rsidR="008B1550">
        <w:t>not significantly</w:t>
      </w:r>
      <w:r>
        <w:t xml:space="preserve"> differen</w:t>
      </w:r>
      <w:r w:rsidR="00B31F5B">
        <w:t>t</w:t>
      </w:r>
      <w:r>
        <w:t xml:space="preserve"> between summer </w:t>
      </w:r>
      <w:r w:rsidR="00CB43F2">
        <w:t>(</w:t>
      </w:r>
      <w:r w:rsidR="00CB43F2" w:rsidRPr="00CB43F2">
        <w:t>79.40 ppm</w:t>
      </w:r>
      <w:r w:rsidR="00CB43F2">
        <w:t>)</w:t>
      </w:r>
      <w:r w:rsidR="00CB43F2" w:rsidRPr="00CB43F2">
        <w:t xml:space="preserve"> </w:t>
      </w:r>
      <w:r>
        <w:t>and winter seasons</w:t>
      </w:r>
      <w:r w:rsidR="00CB43F2">
        <w:t xml:space="preserve"> (</w:t>
      </w:r>
      <w:r w:rsidR="00CB43F2" w:rsidRPr="00CB43F2">
        <w:t>79.67 ppm</w:t>
      </w:r>
      <w:r w:rsidR="00CB43F2">
        <w:t>)</w:t>
      </w:r>
      <w:r>
        <w:t xml:space="preserve">. Zinc concentrations, however, </w:t>
      </w:r>
      <w:r w:rsidR="00CB43F2">
        <w:t xml:space="preserve">were </w:t>
      </w:r>
      <w:r>
        <w:t>significant</w:t>
      </w:r>
      <w:r w:rsidR="00CB43F2">
        <w:t>ly</w:t>
      </w:r>
      <w:r>
        <w:t xml:space="preserve"> </w:t>
      </w:r>
      <w:r w:rsidR="00CB43F2">
        <w:t>lower</w:t>
      </w:r>
      <w:r>
        <w:t xml:space="preserve"> </w:t>
      </w:r>
      <w:r w:rsidR="00CB43F2">
        <w:t xml:space="preserve">in </w:t>
      </w:r>
      <w:r>
        <w:t xml:space="preserve">summer </w:t>
      </w:r>
      <w:r w:rsidR="00FB1B6F">
        <w:t>(</w:t>
      </w:r>
      <w:r w:rsidR="00CB43F2">
        <w:t>88.24 ppm</w:t>
      </w:r>
      <w:r w:rsidR="00FB1B6F">
        <w:t>)</w:t>
      </w:r>
      <w:r w:rsidR="00CB43F2">
        <w:t xml:space="preserve"> than </w:t>
      </w:r>
      <w:r>
        <w:t>winter</w:t>
      </w:r>
      <w:r w:rsidR="00CB43F2">
        <w:t xml:space="preserve"> (84.54 ppm)</w:t>
      </w:r>
      <w:r>
        <w:t xml:space="preserve">. Manganese concentrations </w:t>
      </w:r>
      <w:r w:rsidR="00FB1B6F">
        <w:t xml:space="preserve">had </w:t>
      </w:r>
      <w:r>
        <w:t xml:space="preserve">a similar trend to Zn, with a significant decrease from summer </w:t>
      </w:r>
      <w:r w:rsidR="00CB43F2">
        <w:t xml:space="preserve">(183.38 ppm) </w:t>
      </w:r>
      <w:r>
        <w:t>to winter</w:t>
      </w:r>
      <w:r w:rsidR="00CB43F2">
        <w:t xml:space="preserve"> (168.00 ppm</w:t>
      </w:r>
      <w:r w:rsidR="008B1550">
        <w:t>)</w:t>
      </w:r>
      <w:r>
        <w:t xml:space="preserve">. Iron concentrations </w:t>
      </w:r>
      <w:r w:rsidR="00CB43F2">
        <w:t xml:space="preserve">were </w:t>
      </w:r>
      <w:r>
        <w:t>also significant</w:t>
      </w:r>
      <w:r w:rsidR="00C94828">
        <w:t>ly</w:t>
      </w:r>
      <w:r w:rsidR="00CB43F2">
        <w:t xml:space="preserve"> lower</w:t>
      </w:r>
      <w:r>
        <w:t xml:space="preserve"> </w:t>
      </w:r>
      <w:r w:rsidR="00CB43F2">
        <w:t xml:space="preserve">in </w:t>
      </w:r>
      <w:r>
        <w:t xml:space="preserve">summer </w:t>
      </w:r>
      <w:r w:rsidR="00CB43F2">
        <w:t xml:space="preserve">(150.86 ppm) than </w:t>
      </w:r>
      <w:r>
        <w:t xml:space="preserve"> winter</w:t>
      </w:r>
      <w:r w:rsidR="00CB43F2">
        <w:t xml:space="preserve"> (131.07 ppm)</w:t>
      </w:r>
      <w:r>
        <w:t xml:space="preserve">. Lastly, </w:t>
      </w:r>
      <w:r w:rsidR="00CB43F2">
        <w:t>c</w:t>
      </w:r>
      <w:r>
        <w:t xml:space="preserve">opper concentrations </w:t>
      </w:r>
      <w:r w:rsidR="00CB43F2">
        <w:t xml:space="preserve">had </w:t>
      </w:r>
      <w:r w:rsidR="00D836A8">
        <w:t>similar</w:t>
      </w:r>
      <w:r>
        <w:t xml:space="preserve"> trends </w:t>
      </w:r>
      <w:r w:rsidR="00D836A8">
        <w:t xml:space="preserve">to </w:t>
      </w:r>
      <w:r>
        <w:t xml:space="preserve">Zn, Mn, and </w:t>
      </w:r>
      <w:r w:rsidR="00C94828">
        <w:t>Fe</w:t>
      </w:r>
      <w:r w:rsidR="00D836A8">
        <w:t xml:space="preserve"> with 22.61 ppm in</w:t>
      </w:r>
      <w:r>
        <w:t xml:space="preserve"> summer </w:t>
      </w:r>
      <w:r w:rsidR="00D836A8">
        <w:t xml:space="preserve">and 20.67 ppm in </w:t>
      </w:r>
      <w:r>
        <w:t>winter.</w:t>
      </w:r>
    </w:p>
    <w:p w14:paraId="5205A9F1" w14:textId="5AD14C10" w:rsidR="00126D8D" w:rsidRDefault="00126D8D" w:rsidP="00DC4427">
      <w:pPr>
        <w:pStyle w:val="MSThesisBodyTextJustified"/>
      </w:pPr>
      <w:r>
        <w:lastRenderedPageBreak/>
        <w:t xml:space="preserve">In addition to season, our study examined the influence of supplemental lighting treatments on macronutrient mineral concentrations of 'Genovese' basil (Table </w:t>
      </w:r>
      <w:r w:rsidR="00DC1C5F">
        <w:t>4.</w:t>
      </w:r>
      <w:r>
        <w:t xml:space="preserve">5). </w:t>
      </w:r>
      <w:r w:rsidR="005B6445">
        <w:t xml:space="preserve">Dry </w:t>
      </w:r>
      <w:r w:rsidR="00F9307C">
        <w:t xml:space="preserve">weight </w:t>
      </w:r>
      <w:r w:rsidR="005B6445">
        <w:t>concentrations of N, P</w:t>
      </w:r>
      <w:r w:rsidR="008B04C9">
        <w:t xml:space="preserve">, K, </w:t>
      </w:r>
      <w:r w:rsidR="00F9307C">
        <w:t xml:space="preserve">and </w:t>
      </w:r>
      <w:r w:rsidR="008B04C9">
        <w:t xml:space="preserve">Ca </w:t>
      </w:r>
      <w:r w:rsidR="005B6445">
        <w:t>varied significantly</w:t>
      </w:r>
      <w:r w:rsidR="008B04C9">
        <w:t xml:space="preserve"> among SL treatments.</w:t>
      </w:r>
      <w:r>
        <w:t xml:space="preserve"> </w:t>
      </w:r>
      <w:r w:rsidR="008B1550">
        <w:t>Concentrations</w:t>
      </w:r>
      <w:r w:rsidR="008B04C9">
        <w:t xml:space="preserve"> of </w:t>
      </w:r>
      <w:r w:rsidR="00727A65">
        <w:t>N</w:t>
      </w:r>
      <w:r w:rsidR="008B04C9">
        <w:t xml:space="preserve"> were the highest under </w:t>
      </w:r>
      <w:r w:rsidR="00727A65">
        <w:t xml:space="preserve">the </w:t>
      </w:r>
      <w:r w:rsidR="00BF02F3">
        <w:t xml:space="preserve">NL control (5.61%) </w:t>
      </w:r>
      <w:r>
        <w:t xml:space="preserve">and the lowest under Narrowband B/R LED (4.53%). </w:t>
      </w:r>
      <w:r w:rsidR="00F9307C">
        <w:t xml:space="preserve">The K </w:t>
      </w:r>
      <w:r w:rsidR="008B04C9">
        <w:t xml:space="preserve">concentrations </w:t>
      </w:r>
      <w:r w:rsidR="00F9307C">
        <w:t>had a were</w:t>
      </w:r>
      <w:r w:rsidR="008B04C9">
        <w:t xml:space="preserve"> similar</w:t>
      </w:r>
      <w:r w:rsidR="00F9307C">
        <w:t xml:space="preserve"> trend</w:t>
      </w:r>
      <w:r w:rsidR="008B04C9">
        <w:t>, with the highest concentration under NL control (5.57%) and the lowest under Narrowband B/R LED (4.44%).</w:t>
      </w:r>
      <w:r w:rsidR="008B1550">
        <w:t xml:space="preserve"> </w:t>
      </w:r>
      <w:r w:rsidR="00F9307C">
        <w:t>In contrast, t</w:t>
      </w:r>
      <w:r>
        <w:t xml:space="preserve">he highest </w:t>
      </w:r>
      <w:r w:rsidR="00727A65">
        <w:t xml:space="preserve">P </w:t>
      </w:r>
      <w:r w:rsidR="00F9307C">
        <w:t xml:space="preserve">dry weight </w:t>
      </w:r>
      <w:r w:rsidR="00727A65">
        <w:t>concentration</w:t>
      </w:r>
      <w:r w:rsidR="00727A65" w:rsidDel="00C94828">
        <w:t xml:space="preserve"> </w:t>
      </w:r>
      <w:r>
        <w:t>was</w:t>
      </w:r>
      <w:r w:rsidR="008B1550">
        <w:t xml:space="preserve"> </w:t>
      </w:r>
      <w:r>
        <w:t>under Narrowband B/R LED (1.00%)</w:t>
      </w:r>
      <w:r w:rsidR="00C94828">
        <w:t xml:space="preserve"> treatment and </w:t>
      </w:r>
      <w:r>
        <w:t xml:space="preserve">the lowest was under </w:t>
      </w:r>
      <w:r w:rsidR="00C94828">
        <w:t>the</w:t>
      </w:r>
      <w:r>
        <w:t xml:space="preserve"> NL control (0.79%). </w:t>
      </w:r>
      <w:r w:rsidR="00F9307C">
        <w:t xml:space="preserve">Dry weight </w:t>
      </w:r>
      <w:r w:rsidR="008B1550">
        <w:t>Mg</w:t>
      </w:r>
      <w:r>
        <w:t xml:space="preserve"> concentration</w:t>
      </w:r>
      <w:r w:rsidR="00F9307C">
        <w:t xml:space="preserve"> </w:t>
      </w:r>
      <w:r w:rsidR="00EB189F">
        <w:t>w</w:t>
      </w:r>
      <w:r w:rsidR="00F9307C">
        <w:t>as</w:t>
      </w:r>
      <w:r w:rsidR="00EB189F">
        <w:t xml:space="preserve"> </w:t>
      </w:r>
      <w:r>
        <w:t>the highest under Narrowband B/R LED (0.71%) and lowest was under Broadband White LED (0.</w:t>
      </w:r>
      <w:r w:rsidR="008B04C9">
        <w:t>67</w:t>
      </w:r>
      <w:r>
        <w:t xml:space="preserve">%). </w:t>
      </w:r>
      <w:r w:rsidR="00F9307C">
        <w:t>Concentrations of Ca</w:t>
      </w:r>
      <w:r>
        <w:t xml:space="preserve"> varied significantly, with the highest concentration under Narrowband B/R LED (3.48%) and the lowest under HPS (3.03%). Lastly, S </w:t>
      </w:r>
      <w:r w:rsidR="002F3339">
        <w:t xml:space="preserve">dry </w:t>
      </w:r>
      <w:r w:rsidR="008B1550">
        <w:t>weight</w:t>
      </w:r>
      <w:r w:rsidR="002F3339">
        <w:t xml:space="preserve"> </w:t>
      </w:r>
      <w:r>
        <w:t xml:space="preserve">concentrations </w:t>
      </w:r>
      <w:r w:rsidR="00EB189F">
        <w:t>were</w:t>
      </w:r>
      <w:r>
        <w:t xml:space="preserve"> highest under Narrowband B/R LED (0.47%) and the lowest under NL control (0.38%).</w:t>
      </w:r>
    </w:p>
    <w:p w14:paraId="2268C743" w14:textId="676AA2CD" w:rsidR="00126D8D" w:rsidRPr="00A67B85" w:rsidRDefault="00126D8D" w:rsidP="00A67B85">
      <w:pPr>
        <w:pStyle w:val="MSThesisBodyTextJustified"/>
      </w:pPr>
      <w:r>
        <w:t xml:space="preserve">The influence of supplemental lighting treatments on micronutrient mineral concentrations was also evaluated. </w:t>
      </w:r>
      <w:r w:rsidR="008B1550">
        <w:t>B</w:t>
      </w:r>
      <w:r>
        <w:t xml:space="preserve"> concentrations significantly varied </w:t>
      </w:r>
      <w:r w:rsidR="00F605D5">
        <w:t>among</w:t>
      </w:r>
      <w:r>
        <w:t xml:space="preserve"> light treatments</w:t>
      </w:r>
      <w:r w:rsidR="005B0F49">
        <w:t xml:space="preserve"> (Table 4.6)</w:t>
      </w:r>
      <w:r>
        <w:t xml:space="preserve">. The highest </w:t>
      </w:r>
      <w:r w:rsidR="00F605D5">
        <w:t>B</w:t>
      </w:r>
      <w:r w:rsidR="00EB189F">
        <w:t xml:space="preserve"> </w:t>
      </w:r>
      <w:r w:rsidR="002F3339">
        <w:t xml:space="preserve">dry weight </w:t>
      </w:r>
      <w:r>
        <w:t xml:space="preserve">concentration </w:t>
      </w:r>
      <w:r w:rsidR="00575672">
        <w:t xml:space="preserve">occurred </w:t>
      </w:r>
      <w:r>
        <w:t xml:space="preserve">under </w:t>
      </w:r>
      <w:r w:rsidR="00575672">
        <w:t>the</w:t>
      </w:r>
      <w:r>
        <w:t xml:space="preserve"> HPS treatment (91.08 ppm), while the lowest was under Narrowband B/R LED (63.17 ppm). </w:t>
      </w:r>
      <w:r w:rsidR="005B0F49">
        <w:t xml:space="preserve">Dry weight concentration of Cu was also highest under NL control (23.33 ppm), and the lowest under Narrowband B/R LED (19.33 ppm).  </w:t>
      </w:r>
      <w:r w:rsidR="002F3339">
        <w:t xml:space="preserve">Concentration of Fe also was highest under HPS treatment (151.75 ppm) and the lowest under Narrowband B/R LED (129.67 ppm) treatment. Interestingly, the </w:t>
      </w:r>
      <w:r w:rsidR="008B1550">
        <w:t>Fe</w:t>
      </w:r>
      <w:r w:rsidR="002F3339">
        <w:t xml:space="preserve"> concentration under NL control was only slightly lower than that under HPS treatment. Concentration of Zn was h</w:t>
      </w:r>
      <w:r w:rsidR="00F605D5">
        <w:t xml:space="preserve">ighest </w:t>
      </w:r>
      <w:r w:rsidR="00575672">
        <w:t xml:space="preserve">under the </w:t>
      </w:r>
      <w:r>
        <w:t xml:space="preserve">NL control treatment (98.42 ppm), whereas Broadband White LED treatment </w:t>
      </w:r>
      <w:r w:rsidR="00575672">
        <w:t xml:space="preserve">had </w:t>
      </w:r>
      <w:r>
        <w:t xml:space="preserve">the lowest (81.83 ppm). Manganese concentrations </w:t>
      </w:r>
      <w:r w:rsidR="00575672">
        <w:t xml:space="preserve">had </w:t>
      </w:r>
      <w:r>
        <w:t xml:space="preserve">a similar trend, with the highest concentration </w:t>
      </w:r>
      <w:r w:rsidR="00575672">
        <w:t>under NL control (204.25 ppm)</w:t>
      </w:r>
      <w:r w:rsidR="008B1550">
        <w:t xml:space="preserve"> </w:t>
      </w:r>
      <w:r>
        <w:t>and the lowest under Broadband White LED (156.75 ppm).</w:t>
      </w:r>
    </w:p>
    <w:p w14:paraId="28B10A04" w14:textId="77777777" w:rsidR="00126D8D" w:rsidRDefault="00126D8D" w:rsidP="00DC4427">
      <w:pPr>
        <w:pStyle w:val="MastersThesisSectionHeader"/>
        <w:rPr>
          <w:color w:val="000000" w:themeColor="text1"/>
        </w:rPr>
      </w:pPr>
      <w:bookmarkStart w:id="582" w:name="_Toc139574834"/>
      <w:bookmarkStart w:id="583" w:name="_Toc141478704"/>
      <w:r>
        <w:rPr>
          <w:color w:val="000000" w:themeColor="text1"/>
        </w:rPr>
        <w:lastRenderedPageBreak/>
        <w:t>Principal Component Analysis of Biomass and Tissue Nutrient Concentrations</w:t>
      </w:r>
      <w:bookmarkEnd w:id="582"/>
      <w:bookmarkEnd w:id="583"/>
    </w:p>
    <w:p w14:paraId="2ADA0988" w14:textId="1891C732" w:rsidR="00126D8D" w:rsidRPr="002142B2" w:rsidRDefault="00126D8D" w:rsidP="00DC4427">
      <w:pPr>
        <w:pStyle w:val="MSThesisBodyTextJustified"/>
      </w:pPr>
      <w:r w:rsidRPr="002142B2">
        <w:t xml:space="preserve">Principal Component Analysis (PCA) of the data </w:t>
      </w:r>
      <w:r w:rsidR="00BB74CC">
        <w:t>revealed</w:t>
      </w:r>
      <w:r w:rsidRPr="002142B2">
        <w:t xml:space="preserve"> distinct patterns and associations between light treatments, fresh/dry biomass (FM/DM), and nutrient concentrations</w:t>
      </w:r>
      <w:r>
        <w:t xml:space="preserve"> (</w:t>
      </w:r>
      <w:r w:rsidR="00264E2A">
        <w:t>4.</w:t>
      </w:r>
      <w:r>
        <w:t>7)</w:t>
      </w:r>
      <w:r w:rsidRPr="002142B2">
        <w:t xml:space="preserve">. </w:t>
      </w:r>
      <w:r>
        <w:t>P</w:t>
      </w:r>
      <w:r w:rsidRPr="002142B2">
        <w:t xml:space="preserve">rincipal components PC1 and </w:t>
      </w:r>
      <w:r>
        <w:t>PC3</w:t>
      </w:r>
      <w:r w:rsidRPr="002142B2">
        <w:t xml:space="preserve"> accounted for a substantial portion of the variability in the data</w:t>
      </w:r>
      <w:r>
        <w:t>,</w:t>
      </w:r>
      <w:r w:rsidRPr="002142B2">
        <w:t xml:space="preserve"> 43.9% and 12.2%, respectively.</w:t>
      </w:r>
    </w:p>
    <w:p w14:paraId="09AC643A" w14:textId="56B29A66" w:rsidR="00126D8D" w:rsidRPr="002142B2" w:rsidRDefault="00126D8D" w:rsidP="00DC4427">
      <w:pPr>
        <w:pStyle w:val="MSThesisBodyTextJustified"/>
      </w:pPr>
      <w:r w:rsidRPr="002142B2">
        <w:t>The PCA biplot distinctly segregated the four light treatments</w:t>
      </w:r>
      <w:r w:rsidR="00191A98">
        <w:t xml:space="preserve"> of</w:t>
      </w:r>
      <w:r w:rsidRPr="002142B2">
        <w:t xml:space="preserve"> Narrowband Blue/Red (B/R), Broadband White, High-Pressure Sodium (HPS), and Natural Light (NL) control into four quadrants, each representing a unique profile of biomass and nutrient bioaccumulation. </w:t>
      </w:r>
      <w:r w:rsidR="002D1EDC">
        <w:t xml:space="preserve">The </w:t>
      </w:r>
      <w:r w:rsidRPr="002142B2">
        <w:t xml:space="preserve">HPS treatment, </w:t>
      </w:r>
      <w:r w:rsidR="00B63826">
        <w:t>represented by q</w:t>
      </w:r>
      <w:r w:rsidR="00B63826" w:rsidRPr="002142B2">
        <w:t xml:space="preserve">uadrant I </w:t>
      </w:r>
      <w:r w:rsidRPr="002142B2">
        <w:t>showed strong correlation</w:t>
      </w:r>
      <w:r w:rsidR="00133A39">
        <w:t>s</w:t>
      </w:r>
      <w:r w:rsidRPr="002142B2">
        <w:t xml:space="preserve"> with FM/DM</w:t>
      </w:r>
      <w:r>
        <w:t>s</w:t>
      </w:r>
      <w:r w:rsidRPr="002142B2">
        <w:t xml:space="preserve"> and </w:t>
      </w:r>
      <w:r w:rsidR="00B63826">
        <w:t xml:space="preserve">the nutrient </w:t>
      </w:r>
      <w:r w:rsidRPr="002142B2">
        <w:t>S</w:t>
      </w:r>
      <w:r>
        <w:t>.</w:t>
      </w:r>
      <w:r w:rsidRPr="002142B2">
        <w:t xml:space="preserve"> </w:t>
      </w:r>
      <w:r w:rsidR="002D1EDC">
        <w:t>The</w:t>
      </w:r>
      <w:r w:rsidRPr="002142B2">
        <w:t xml:space="preserve"> Broadband White </w:t>
      </w:r>
      <w:r w:rsidR="002D1EDC">
        <w:t xml:space="preserve">LED </w:t>
      </w:r>
      <w:r w:rsidRPr="002142B2">
        <w:t xml:space="preserve">treatment, </w:t>
      </w:r>
      <w:r w:rsidR="00B63826">
        <w:t>represented by q</w:t>
      </w:r>
      <w:r w:rsidR="00B63826" w:rsidRPr="002142B2">
        <w:t>uadrant II</w:t>
      </w:r>
      <w:r w:rsidRPr="002142B2">
        <w:t xml:space="preserve"> exhibited  positive linkage</w:t>
      </w:r>
      <w:r w:rsidR="00133A39">
        <w:t>s</w:t>
      </w:r>
      <w:r w:rsidRPr="002142B2">
        <w:t xml:space="preserve"> with Fe, N, Cu, B, and K. This </w:t>
      </w:r>
      <w:r w:rsidR="00191A98">
        <w:t>may indicate</w:t>
      </w:r>
      <w:r w:rsidRPr="002142B2">
        <w:t xml:space="preserve"> that Broadband White lighting enhances the bioaccumulation of these nutrients.</w:t>
      </w:r>
      <w:r>
        <w:t xml:space="preserve"> </w:t>
      </w:r>
      <w:r w:rsidRPr="002142B2">
        <w:t xml:space="preserve">In Quadrant III, where </w:t>
      </w:r>
      <w:r w:rsidR="00B9788F">
        <w:t>t</w:t>
      </w:r>
      <w:r w:rsidRPr="002142B2">
        <w:t xml:space="preserve">he NL control treatment </w:t>
      </w:r>
      <w:r w:rsidR="00B9788F">
        <w:t xml:space="preserve">was located, </w:t>
      </w:r>
      <w:r w:rsidRPr="002142B2">
        <w:t>significant association</w:t>
      </w:r>
      <w:r w:rsidR="00133A39">
        <w:t>s</w:t>
      </w:r>
      <w:r w:rsidRPr="002142B2">
        <w:t xml:space="preserve"> with Zn,</w:t>
      </w:r>
      <w:r w:rsidR="00B9788F">
        <w:t xml:space="preserve"> </w:t>
      </w:r>
      <w:r w:rsidRPr="002142B2">
        <w:t>Mg, and Mn w</w:t>
      </w:r>
      <w:r w:rsidR="00B63826">
        <w:t>ere</w:t>
      </w:r>
      <w:r w:rsidRPr="002142B2">
        <w:t xml:space="preserve"> observed. Lastly, Quadrant IV, which </w:t>
      </w:r>
      <w:r w:rsidR="00B63826">
        <w:t>represented</w:t>
      </w:r>
      <w:r w:rsidR="00B9788F">
        <w:t xml:space="preserve"> t</w:t>
      </w:r>
      <w:r w:rsidRPr="002142B2">
        <w:t xml:space="preserve">he </w:t>
      </w:r>
      <w:r>
        <w:t>Narrowband B/R</w:t>
      </w:r>
      <w:r w:rsidRPr="002142B2">
        <w:t xml:space="preserve"> treatment</w:t>
      </w:r>
      <w:r w:rsidR="00B9788F">
        <w:t>,</w:t>
      </w:r>
      <w:r w:rsidR="002D1EDC">
        <w:t xml:space="preserve"> had</w:t>
      </w:r>
      <w:r w:rsidR="00B9788F">
        <w:t xml:space="preserve"> </w:t>
      </w:r>
      <w:r w:rsidRPr="002142B2">
        <w:t>strong association</w:t>
      </w:r>
      <w:r w:rsidR="00133A39">
        <w:t>s</w:t>
      </w:r>
      <w:r w:rsidRPr="002142B2">
        <w:t xml:space="preserve"> with P and Ca, indicating that </w:t>
      </w:r>
      <w:r w:rsidR="002D1EDC">
        <w:t xml:space="preserve">treatment </w:t>
      </w:r>
      <w:r w:rsidRPr="002142B2">
        <w:t>favor</w:t>
      </w:r>
      <w:r w:rsidR="002D1EDC">
        <w:t>ed</w:t>
      </w:r>
      <w:r w:rsidRPr="002142B2">
        <w:t xml:space="preserve"> the accumulation of th</w:t>
      </w:r>
      <w:r w:rsidR="002D1EDC">
        <w:t>o</w:t>
      </w:r>
      <w:r w:rsidRPr="002142B2">
        <w:t>se nutrients.</w:t>
      </w:r>
    </w:p>
    <w:p w14:paraId="358DB2ED" w14:textId="16C94A47" w:rsidR="00126D8D" w:rsidRPr="004F58A7" w:rsidRDefault="00126D8D" w:rsidP="00DC4427">
      <w:pPr>
        <w:pStyle w:val="MSThesisBodyTextJustified"/>
      </w:pPr>
      <w:r w:rsidRPr="002142B2">
        <w:t xml:space="preserve">An intriguing pattern was observed in the loading of PC1, which was positively associated with FM/DM and negatively associated with many of the individual nutrients. This inverse relationship </w:t>
      </w:r>
      <w:r w:rsidR="00370C1D">
        <w:t>may</w:t>
      </w:r>
      <w:r w:rsidRPr="002142B2">
        <w:t xml:space="preserve"> suggest a trade-off between biomass production and nutrient concentration under different light treatments</w:t>
      </w:r>
      <w:r>
        <w:t xml:space="preserve"> (Fig. </w:t>
      </w:r>
      <w:r w:rsidR="00264E2A">
        <w:t>4.</w:t>
      </w:r>
      <w:r>
        <w:t>7). Further, the nutrients were evenly distributed across PC3, indicating various levels of positive and negative loading for that component. This indicates the complex interactions between lighting and individual elemental nutrients, as well as synergisms/antagonisms among nutrient uptake and assimilation in hydroponically grown basil.</w:t>
      </w:r>
      <w:r w:rsidRPr="0033423A">
        <w:br w:type="page"/>
      </w:r>
    </w:p>
    <w:p w14:paraId="18160E3C" w14:textId="77777777" w:rsidR="00126D8D" w:rsidRPr="003F0091" w:rsidRDefault="00126D8D" w:rsidP="00DC4427">
      <w:pPr>
        <w:pStyle w:val="MastersThesisSectionHeader"/>
        <w:rPr>
          <w:color w:val="000000" w:themeColor="text1"/>
        </w:rPr>
      </w:pPr>
      <w:bookmarkStart w:id="584" w:name="_Toc139574835"/>
      <w:bookmarkStart w:id="585" w:name="_Toc141478705"/>
      <w:r w:rsidRPr="003C5B82">
        <w:rPr>
          <w:color w:val="000000" w:themeColor="text1"/>
        </w:rPr>
        <w:lastRenderedPageBreak/>
        <w:t>Transcriptome Analysis</w:t>
      </w:r>
      <w:bookmarkEnd w:id="584"/>
      <w:bookmarkEnd w:id="585"/>
    </w:p>
    <w:p w14:paraId="212CC900" w14:textId="770CB397" w:rsidR="00126D8D" w:rsidRPr="003F0091" w:rsidRDefault="00126D8D" w:rsidP="00FA54B1">
      <w:pPr>
        <w:pStyle w:val="MSThesisBodyTextJustified"/>
        <w:rPr>
          <w:b/>
          <w:bCs/>
          <w:i/>
          <w:iCs/>
        </w:rPr>
      </w:pPr>
      <w:r>
        <w:t xml:space="preserve">We used RNA Seq and statistical analysis to </w:t>
      </w:r>
      <w:r w:rsidR="00133A39">
        <w:t>determine</w:t>
      </w:r>
      <w:r>
        <w:t xml:space="preserve"> which genes </w:t>
      </w:r>
      <w:r w:rsidR="00133A39">
        <w:t>were</w:t>
      </w:r>
      <w:r>
        <w:t xml:space="preserve"> important for controlling the primary metabolism of basil under different seasons and lighting treatments. </w:t>
      </w:r>
      <w:r w:rsidRPr="003F0091">
        <w:t xml:space="preserve">By performing pairwise comparisons, a substantial number of differentially expressed genes (DEGs) were identified across both summer and winter growing seasons. In the growing season, 4207 DEGs were identified, while the winter growing season </w:t>
      </w:r>
      <w:r>
        <w:t>had</w:t>
      </w:r>
      <w:r w:rsidRPr="003F0091">
        <w:t xml:space="preserve"> a larger number with 13110 DEGs </w:t>
      </w:r>
      <w:r w:rsidRPr="00FA54B1">
        <w:t>(</w:t>
      </w:r>
      <w:r w:rsidR="00DC1C5F" w:rsidRPr="00FA54B1">
        <w:t>Table 4.7</w:t>
      </w:r>
      <w:r w:rsidRPr="00FA54B1">
        <w:t>).</w:t>
      </w:r>
    </w:p>
    <w:p w14:paraId="4E27B720" w14:textId="13513DDA" w:rsidR="00126D8D" w:rsidRPr="00E94DE1" w:rsidRDefault="00126D8D" w:rsidP="00FA54B1">
      <w:pPr>
        <w:pStyle w:val="MSThesisBodyTextJustified"/>
        <w:rPr>
          <w:b/>
          <w:i/>
        </w:rPr>
      </w:pPr>
      <w:r>
        <w:t>Upon further analysis, the DEGs displayed distinct patterns of upregulation and downregulation when exposed to different light treatments during both summer and winter growing seasons. Among the summer growing season treatments, the Narrowband 20B/80R (NB) vs. Natural Light (NL) control comparison had the highest number of DEGs, with 3801 identified</w:t>
      </w:r>
      <w:r w:rsidR="0019614B">
        <w:t xml:space="preserve"> Table 4.7)</w:t>
      </w:r>
      <w:r>
        <w:t xml:space="preserve">. This was followed by Broadband White (BW) vs. NL control with 278 DEGs, and High-Pressure Sodium (HPS) vs. NL control with the lowest number </w:t>
      </w:r>
      <w:r w:rsidR="00CC4640">
        <w:t>128 (</w:t>
      </w:r>
      <w:r>
        <w:t>DEGs</w:t>
      </w:r>
      <w:r w:rsidR="00CC4640">
        <w:t>)</w:t>
      </w:r>
      <w:r>
        <w:t xml:space="preserve">. In the winter growing season, NB vs. NL control </w:t>
      </w:r>
      <w:r w:rsidR="00783050">
        <w:t xml:space="preserve">had </w:t>
      </w:r>
      <w:r w:rsidR="007D4ADC">
        <w:t xml:space="preserve">the highest number of </w:t>
      </w:r>
      <w:r>
        <w:t xml:space="preserve">5578 DEGs, </w:t>
      </w:r>
      <w:r w:rsidR="00783050">
        <w:t xml:space="preserve">and the </w:t>
      </w:r>
      <w:r>
        <w:t xml:space="preserve">BW vs. NL control </w:t>
      </w:r>
      <w:r w:rsidR="00783050">
        <w:t xml:space="preserve">having nearly as many </w:t>
      </w:r>
      <w:r>
        <w:t>with 5609 DEGs</w:t>
      </w:r>
      <w:r w:rsidR="00783050">
        <w:t xml:space="preserve">. The </w:t>
      </w:r>
      <w:r>
        <w:t>HPS vs. NL control ha</w:t>
      </w:r>
      <w:r w:rsidR="00783050">
        <w:t>d</w:t>
      </w:r>
      <w:r>
        <w:t xml:space="preserve"> the least number of DEGs</w:t>
      </w:r>
      <w:r w:rsidR="007D4ADC">
        <w:t xml:space="preserve"> (</w:t>
      </w:r>
      <w:r>
        <w:t>1923</w:t>
      </w:r>
      <w:r w:rsidR="007D4ADC">
        <w:t>)</w:t>
      </w:r>
      <w:r w:rsidR="00FA54B1" w:rsidRPr="00FA54B1">
        <w:t>.</w:t>
      </w:r>
    </w:p>
    <w:p w14:paraId="64A93451" w14:textId="0E96D6CE" w:rsidR="00126D8D" w:rsidRPr="003F0091" w:rsidRDefault="001A0D51" w:rsidP="00FA54B1">
      <w:pPr>
        <w:pStyle w:val="MSThesisBodyTextJustified"/>
        <w:rPr>
          <w:b/>
          <w:bCs/>
          <w:i/>
          <w:iCs/>
        </w:rPr>
      </w:pPr>
      <w:r>
        <w:t>D</w:t>
      </w:r>
      <w:r w:rsidR="00126D8D">
        <w:t>uring the summer growing season, there were 2045, 132, and 34 upregulated DEGs in the comparisons of NB vs. NL control, BW vs. NL control, and HPS vs. NL control, respectively. However, during the winter growing season, there were even more upregulated DEGs in all comparisons</w:t>
      </w:r>
      <w:r w:rsidR="00A5722E">
        <w:t xml:space="preserve"> (</w:t>
      </w:r>
      <w:r w:rsidR="00126D8D">
        <w:t>NB vs. NL control</w:t>
      </w:r>
      <w:r w:rsidR="007D4ADC">
        <w:t xml:space="preserve"> </w:t>
      </w:r>
      <w:r w:rsidR="00A5722E">
        <w:t xml:space="preserve">had </w:t>
      </w:r>
      <w:r w:rsidR="007D4ADC">
        <w:t>3505</w:t>
      </w:r>
      <w:r w:rsidR="00126D8D">
        <w:t>,</w:t>
      </w:r>
      <w:r w:rsidR="00A5722E">
        <w:t xml:space="preserve"> </w:t>
      </w:r>
      <w:r w:rsidR="00126D8D">
        <w:t>BW vs. NL control</w:t>
      </w:r>
      <w:r w:rsidR="007D4ADC">
        <w:t xml:space="preserve"> </w:t>
      </w:r>
      <w:r w:rsidR="00A5722E">
        <w:t xml:space="preserve">had </w:t>
      </w:r>
      <w:r w:rsidR="007D4ADC">
        <w:t>3262</w:t>
      </w:r>
      <w:r w:rsidR="00126D8D">
        <w:t>, and HPS vs. NL control</w:t>
      </w:r>
      <w:r w:rsidR="00A5722E">
        <w:t xml:space="preserve"> had </w:t>
      </w:r>
      <w:r w:rsidR="007D4ADC">
        <w:t>1228</w:t>
      </w:r>
      <w:r w:rsidR="00A5722E">
        <w:t>).</w:t>
      </w:r>
      <w:r w:rsidR="007D4ADC" w:rsidRPr="00FA54B1">
        <w:t xml:space="preserve"> </w:t>
      </w:r>
    </w:p>
    <w:p w14:paraId="4A4904A1" w14:textId="6A5021EB" w:rsidR="00126D8D" w:rsidRPr="003F0091" w:rsidRDefault="00126D8D" w:rsidP="00FA54B1">
      <w:pPr>
        <w:pStyle w:val="MSThesisBodyTextJustified"/>
        <w:rPr>
          <w:b/>
          <w:bCs/>
          <w:i/>
          <w:iCs/>
        </w:rPr>
      </w:pPr>
      <w:r w:rsidRPr="003F0091">
        <w:t xml:space="preserve">Downregulated DEGs also exhibited distinct patterns across the different light treatment comparisons. In the summer growing season, there were 1756, 146, and 94 downregulated DEGs </w:t>
      </w:r>
      <w:r w:rsidRPr="003F0091">
        <w:lastRenderedPageBreak/>
        <w:t xml:space="preserve">in the comparisons of NB vs. NL control, BW vs. NL control, and HPS vs. NL control, respectively. During the winter growing season, the number of downregulated DEGs increased, with 2073 for NB vs. NL control, 2347 for BW vs. NL control, and 695 for HPS vs. NL control </w:t>
      </w:r>
      <w:bookmarkStart w:id="586" w:name="_Hlk139992196"/>
      <w:r w:rsidR="00FA54B1" w:rsidRPr="00FA54B1">
        <w:t>(Table 4.7).</w:t>
      </w:r>
      <w:bookmarkEnd w:id="586"/>
    </w:p>
    <w:p w14:paraId="6E438255" w14:textId="49CEFAFF" w:rsidR="00126D8D" w:rsidRPr="003F0091" w:rsidRDefault="00126D8D" w:rsidP="00FA54B1">
      <w:pPr>
        <w:pStyle w:val="MSThesisBodyTextJustified"/>
        <w:rPr>
          <w:b/>
          <w:bCs/>
          <w:i/>
          <w:iCs/>
        </w:rPr>
      </w:pPr>
      <w:r>
        <w:t xml:space="preserve">The total number of uniquely upregulated and downregulated DEGs </w:t>
      </w:r>
      <w:r w:rsidR="006971D8">
        <w:t>varied</w:t>
      </w:r>
      <w:r>
        <w:t xml:space="preserve"> across all comparisons. During the summer growing season, there were 2211 unique upregulated DEGs and 1996 unique downregulated DEGs </w:t>
      </w:r>
      <w:r w:rsidR="006971D8" w:rsidRPr="006971D8">
        <w:t>(Table 4.7).</w:t>
      </w:r>
      <w:r>
        <w:t xml:space="preserve"> Meanwhile, the winter growing season had a higher number of unique DEGs, with 7995 upregulated and 5515 downregulated</w:t>
      </w:r>
      <w:r w:rsidR="00FA54B1" w:rsidRPr="00FA54B1">
        <w:t>.</w:t>
      </w:r>
      <w:r w:rsidR="00FA54B1">
        <w:t xml:space="preserve"> </w:t>
      </w:r>
      <w:r>
        <w:t xml:space="preserve">It's interesting to note that during the summer growing season, the NB vs. NL control comparison had the highest number of upregulated, downregulated, and total DEGs. In contrast, the HPS vs. NL control had the lowest number of upregulated, downregulated, and total DEGs. </w:t>
      </w:r>
      <w:r w:rsidR="006971D8">
        <w:t>D</w:t>
      </w:r>
      <w:r>
        <w:t xml:space="preserve">uring the winter growing season, e the NB vs. NL control had the highest number of upregulated DEGs, </w:t>
      </w:r>
      <w:r w:rsidR="006971D8">
        <w:t>but</w:t>
      </w:r>
      <w:r>
        <w:t xml:space="preserve"> the BW vs. NL control had the highest number of downregulated and total DEGs. The HPS vs. NL control comparison consistently had the lowest number of upregulated, downregulated, and total DEGs for both growing seasons</w:t>
      </w:r>
      <w:r w:rsidR="00FA54B1" w:rsidRPr="00FA54B1">
        <w:t>.</w:t>
      </w:r>
    </w:p>
    <w:p w14:paraId="2956A1B6" w14:textId="00F470D0" w:rsidR="00126D8D" w:rsidRDefault="00126D8D">
      <w:pPr>
        <w:spacing w:line="240" w:lineRule="auto"/>
        <w:rPr>
          <w:rFonts w:cs="Times New Roman"/>
          <w:b/>
          <w:i/>
          <w:iCs/>
          <w:sz w:val="26"/>
          <w:szCs w:val="26"/>
        </w:rPr>
      </w:pPr>
    </w:p>
    <w:p w14:paraId="7B86893F" w14:textId="77777777" w:rsidR="00126D8D" w:rsidRPr="003F0091" w:rsidRDefault="00126D8D" w:rsidP="00DC4427">
      <w:pPr>
        <w:pStyle w:val="MastersThesisSectionHeader"/>
      </w:pPr>
      <w:bookmarkStart w:id="587" w:name="_Toc139574836"/>
      <w:bookmarkStart w:id="588" w:name="_Toc141478706"/>
      <w:r w:rsidRPr="003C5B82">
        <w:t>Principal Component Analysis of DEGs</w:t>
      </w:r>
      <w:bookmarkEnd w:id="587"/>
      <w:bookmarkEnd w:id="588"/>
    </w:p>
    <w:p w14:paraId="734C36B0" w14:textId="1C55996D" w:rsidR="00126D8D" w:rsidRPr="003F0091" w:rsidRDefault="00126D8D" w:rsidP="00DC4427">
      <w:pPr>
        <w:pStyle w:val="MSThesisBodyTextJustified"/>
      </w:pPr>
      <w:r>
        <w:t>To better understand the relationships between differentially expressed genes (DEGs), we utilized Principal Component Analysis (PCA) biplots. These biplots compare</w:t>
      </w:r>
      <w:r w:rsidR="006971D8">
        <w:t>d</w:t>
      </w:r>
      <w:r>
        <w:t xml:space="preserve"> the effects of supplemental lighting treatments with different spectral qualities to the NL control. By projecting the data onto a reduced-dimensionality space represented by the first two principal components, we were able to interpret the inherent structure of the data.</w:t>
      </w:r>
    </w:p>
    <w:p w14:paraId="4DDAE111" w14:textId="1CDA200F" w:rsidR="00126D8D" w:rsidRPr="003F0091" w:rsidRDefault="00750748" w:rsidP="00DC4427">
      <w:pPr>
        <w:pStyle w:val="MSThesisBodyTextJustified"/>
        <w:rPr>
          <w:color w:val="000000"/>
        </w:rPr>
      </w:pPr>
      <w:r>
        <w:rPr>
          <w:color w:val="000000"/>
        </w:rPr>
        <w:t>Principal components analysis, revealed that PC1 accounted for 46% of the total variability and PC2 explained an additional 16%, contributing to a total variance of 62% for the</w:t>
      </w:r>
      <w:r w:rsidR="00126D8D">
        <w:rPr>
          <w:color w:val="000000"/>
        </w:rPr>
        <w:t xml:space="preserve"> comparison </w:t>
      </w:r>
      <w:r w:rsidR="00126D8D">
        <w:rPr>
          <w:color w:val="000000"/>
        </w:rPr>
        <w:lastRenderedPageBreak/>
        <w:t>between the impact of Narrowband 20B/80R supplemental lighting (NB) and natural light (NL)</w:t>
      </w:r>
      <w:r w:rsidRPr="00750748">
        <w:rPr>
          <w:color w:val="000000"/>
        </w:rPr>
        <w:t xml:space="preserve"> </w:t>
      </w:r>
      <w:r>
        <w:rPr>
          <w:color w:val="000000"/>
        </w:rPr>
        <w:t>(Figure 4.9)</w:t>
      </w:r>
      <w:r w:rsidR="00126D8D">
        <w:rPr>
          <w:color w:val="000000"/>
        </w:rPr>
        <w:t xml:space="preserve">.  </w:t>
      </w:r>
    </w:p>
    <w:p w14:paraId="60F92F00" w14:textId="72630ACF" w:rsidR="00126D8D" w:rsidRPr="003F0091" w:rsidRDefault="00126D8D" w:rsidP="00DC4427">
      <w:pPr>
        <w:pStyle w:val="MSThesisBodyTextJustified"/>
      </w:pPr>
      <w:r>
        <w:t xml:space="preserve">We noticed distinct clusters when comparing NB vs NL control in the PCA biplot. </w:t>
      </w:r>
      <w:r w:rsidR="000432EC">
        <w:t xml:space="preserve">The </w:t>
      </w:r>
      <w:r>
        <w:t>NL control samples tended to cluster in quadrant IV (positive PC1 and negative PC2), while NB treatment samples formed a cluster (positive PC2)</w:t>
      </w:r>
      <w:r w:rsidR="00750748">
        <w:t xml:space="preserve"> </w:t>
      </w:r>
      <w:r w:rsidR="00764410">
        <w:t>(</w:t>
      </w:r>
      <w:r w:rsidR="00750748">
        <w:t>Figure</w:t>
      </w:r>
      <w:r w:rsidR="00764410">
        <w:t xml:space="preserve"> 4.9</w:t>
      </w:r>
      <w:r w:rsidR="00750748">
        <w:t>?)</w:t>
      </w:r>
      <w:r>
        <w:t>. This indicate</w:t>
      </w:r>
      <w:r w:rsidR="000432EC">
        <w:t>d</w:t>
      </w:r>
      <w:r>
        <w:t xml:space="preserve"> that the two lighting conditions ha</w:t>
      </w:r>
      <w:r w:rsidR="00764410">
        <w:t>d</w:t>
      </w:r>
      <w:r>
        <w:t xml:space="preserve"> differing effects on the DEGs being studied, with genes having high loadings on PC1 and PC2 being the primary drivers of the differences. The clustering pattern suggest</w:t>
      </w:r>
      <w:r w:rsidR="000432EC">
        <w:t>ed</w:t>
      </w:r>
      <w:r>
        <w:t xml:space="preserve"> that the NB treatment may </w:t>
      </w:r>
      <w:r w:rsidR="00764410">
        <w:t xml:space="preserve">have </w:t>
      </w:r>
      <w:r>
        <w:t>result</w:t>
      </w:r>
      <w:r w:rsidR="00764410">
        <w:t>ed</w:t>
      </w:r>
      <w:r>
        <w:t xml:space="preserve"> in higher expression levels for genes with positive loadings on PC2, while the NL control </w:t>
      </w:r>
      <w:r w:rsidR="000432EC">
        <w:t>was</w:t>
      </w:r>
      <w:r>
        <w:t xml:space="preserve"> linked to lower expression levels for these genes. Conversely, genes with negative loadings on PC2 may </w:t>
      </w:r>
      <w:r w:rsidR="000432EC">
        <w:t xml:space="preserve">have </w:t>
      </w:r>
      <w:r>
        <w:t>show</w:t>
      </w:r>
      <w:r w:rsidR="000432EC">
        <w:t>n</w:t>
      </w:r>
      <w:r>
        <w:t xml:space="preserve"> the opposite trend, with the NL control exhibiting higher expression levels compared to the NB treatment. Along with the clear separation between the two groups along the PC2 axis, there </w:t>
      </w:r>
      <w:r w:rsidR="000432EC">
        <w:t>was</w:t>
      </w:r>
      <w:r>
        <w:t xml:space="preserve"> also some degree of separation along the PC1 axis. The NL control cluster in quadrant IV exhibit</w:t>
      </w:r>
      <w:r w:rsidR="00764410">
        <w:t>ed</w:t>
      </w:r>
      <w:r>
        <w:t xml:space="preserve"> higher expression levels for genes with positive loadings on PC1 and lower expression levels for genes with positive loadings on PC2 compared to the rest of the NL group.</w:t>
      </w:r>
    </w:p>
    <w:p w14:paraId="528D0D6F" w14:textId="754BC5C2" w:rsidR="00126D8D" w:rsidRPr="003F0091" w:rsidRDefault="00AA1E55" w:rsidP="00DC4427">
      <w:pPr>
        <w:pStyle w:val="MSThesisBodyTextJustified"/>
      </w:pPr>
      <w:r>
        <w:rPr>
          <w:color w:val="000000"/>
        </w:rPr>
        <w:t>T</w:t>
      </w:r>
      <w:r w:rsidR="00126D8D" w:rsidRPr="003F0091">
        <w:rPr>
          <w:color w:val="000000"/>
        </w:rPr>
        <w:t>he effects of Broadband White supplemental lighting (BW) and natural light (NL) control on plant gene expression</w:t>
      </w:r>
      <w:r w:rsidRPr="00AA1E55">
        <w:t xml:space="preserve"> </w:t>
      </w:r>
      <w:r>
        <w:t>were compared (Figure 4.10)</w:t>
      </w:r>
      <w:r w:rsidR="00126D8D" w:rsidRPr="003F0091">
        <w:rPr>
          <w:color w:val="000000"/>
        </w:rPr>
        <w:t>. The first principal component (PC1) explained 67% of the total variability, while the second principal component (PC2) accounted for an additional 9%, cumulatively accounting for 76% of the total variance.</w:t>
      </w:r>
    </w:p>
    <w:p w14:paraId="08492D86" w14:textId="4BBB66DD" w:rsidR="00126D8D" w:rsidRPr="003F0091" w:rsidRDefault="00126D8D" w:rsidP="00DC4427">
      <w:pPr>
        <w:pStyle w:val="MSThesisBodyTextJustified"/>
      </w:pPr>
      <w:r>
        <w:t>The results show</w:t>
      </w:r>
      <w:r w:rsidR="000432EC">
        <w:t>ed</w:t>
      </w:r>
      <w:r>
        <w:t xml:space="preserve"> that the two lighting conditions ha</w:t>
      </w:r>
      <w:r w:rsidR="000432EC">
        <w:t>d</w:t>
      </w:r>
      <w:r>
        <w:t xml:space="preserve"> different effects on the genes studied. This can be seen in the separation of the positive PC1 and positive PC2 in quadrant I. The genes with high loadings on PC1 and PC2 dr</w:t>
      </w:r>
      <w:r w:rsidR="00EE5BF7">
        <w:t>o</w:t>
      </w:r>
      <w:r>
        <w:t xml:space="preserve">ve these differences. The NL control group may have </w:t>
      </w:r>
      <w:r w:rsidR="00EE5BF7">
        <w:t xml:space="preserve">had </w:t>
      </w:r>
      <w:r>
        <w:t xml:space="preserve">higher expression levels for genes with positive loadings on PC1, and lower expression </w:t>
      </w:r>
      <w:r>
        <w:lastRenderedPageBreak/>
        <w:t xml:space="preserve">levels for genes with positive loadings on PC2 compared to the BW treatment group. On the other hand, the genes with negative loadings on PC1 may </w:t>
      </w:r>
      <w:r w:rsidR="00DA1E70">
        <w:t xml:space="preserve">have </w:t>
      </w:r>
      <w:r>
        <w:t>exhibit</w:t>
      </w:r>
      <w:r w:rsidR="00DA1E70">
        <w:t>ed</w:t>
      </w:r>
      <w:r>
        <w:t xml:space="preserve"> the opposite trend, with the BW treatment group </w:t>
      </w:r>
      <w:r w:rsidR="00DA1E70">
        <w:t xml:space="preserve">having </w:t>
      </w:r>
      <w:r>
        <w:t>higher expression levels than the NL control group. Additionally, a subset of the NL control group show</w:t>
      </w:r>
      <w:r w:rsidR="00DA1E70">
        <w:t>ed</w:t>
      </w:r>
      <w:r>
        <w:t xml:space="preserve"> higher expression levels for genes with positive loadings on PC1 and lower expression levels for genes with positive loadings on PC2 compared to the rest of the group. In the BW treatment group, there </w:t>
      </w:r>
      <w:r w:rsidR="00EE5BF7">
        <w:t>were</w:t>
      </w:r>
      <w:r>
        <w:t xml:space="preserve"> samples of the negative PC1 space, indicating that some samples </w:t>
      </w:r>
      <w:r w:rsidR="00DA1E70">
        <w:t xml:space="preserve">had </w:t>
      </w:r>
      <w:r>
        <w:t>gene expression profiles that differ</w:t>
      </w:r>
      <w:r w:rsidR="00DA1E70">
        <w:t>ed</w:t>
      </w:r>
      <w:r>
        <w:t xml:space="preserve"> from the NL control group due to the lack of shared negative PC1 attributes (Fig. </w:t>
      </w:r>
      <w:r w:rsidR="00AD5E45">
        <w:t>4.</w:t>
      </w:r>
      <w:r>
        <w:t>10).</w:t>
      </w:r>
    </w:p>
    <w:p w14:paraId="7A642B1E" w14:textId="38ED35B9" w:rsidR="00126D8D" w:rsidRPr="003F0091" w:rsidRDefault="00126D8D" w:rsidP="00DC4427">
      <w:pPr>
        <w:pStyle w:val="MSThesisBodyTextJustified"/>
      </w:pPr>
      <w:r w:rsidRPr="003F0091">
        <w:rPr>
          <w:color w:val="000000"/>
        </w:rPr>
        <w:t xml:space="preserve"> </w:t>
      </w:r>
      <w:r w:rsidR="00CE61E4">
        <w:rPr>
          <w:color w:val="000000"/>
        </w:rPr>
        <w:t>The</w:t>
      </w:r>
      <w:r w:rsidR="00CE61E4" w:rsidRPr="003F0091">
        <w:rPr>
          <w:color w:val="000000"/>
        </w:rPr>
        <w:t xml:space="preserve"> </w:t>
      </w:r>
      <w:r w:rsidRPr="003F0091">
        <w:rPr>
          <w:color w:val="000000"/>
        </w:rPr>
        <w:t xml:space="preserve">effects of </w:t>
      </w:r>
      <w:r w:rsidR="00D4413B" w:rsidRPr="003F0091">
        <w:rPr>
          <w:color w:val="000000"/>
        </w:rPr>
        <w:t xml:space="preserve">HPS </w:t>
      </w:r>
      <w:r w:rsidRPr="003F0091">
        <w:rPr>
          <w:color w:val="000000"/>
        </w:rPr>
        <w:t>supplemental lighting and natural light (NL) control on plant gene expression</w:t>
      </w:r>
      <w:r w:rsidR="00CE61E4">
        <w:rPr>
          <w:color w:val="000000"/>
        </w:rPr>
        <w:t xml:space="preserve"> were </w:t>
      </w:r>
      <w:r w:rsidR="00E827DB" w:rsidRPr="003F0091">
        <w:t>compare</w:t>
      </w:r>
      <w:r w:rsidR="00E827DB">
        <w:t>d</w:t>
      </w:r>
      <w:r w:rsidR="00E827DB" w:rsidRPr="00E827DB">
        <w:t xml:space="preserve"> </w:t>
      </w:r>
      <w:r w:rsidR="00CE61E4">
        <w:t>(</w:t>
      </w:r>
      <w:r w:rsidR="00E827DB">
        <w:t>Figure 4.11</w:t>
      </w:r>
      <w:r w:rsidR="00CE61E4">
        <w:t>)</w:t>
      </w:r>
      <w:r w:rsidRPr="003F0091">
        <w:rPr>
          <w:color w:val="000000"/>
        </w:rPr>
        <w:t>. The first principal component (PC1) explained 44% of the total variability, while the second principal component (PC2) accounted for an additional 18%, cumulatively accounting for 62% of the total variance.</w:t>
      </w:r>
    </w:p>
    <w:p w14:paraId="6FD71C00" w14:textId="6F7705D9" w:rsidR="00126D8D" w:rsidRPr="003F0091" w:rsidRDefault="00126D8D" w:rsidP="00DC4427">
      <w:pPr>
        <w:pStyle w:val="MSThesisBodyTextJustified"/>
      </w:pPr>
      <w:r>
        <w:t>The NL control samples tended to group together in the positive PC1 space (quadrants I and IV), while the HPS treatment samples were more spread along the PC1 axis. Two HPS treatment samples clustered in the positive PC1 space, and three samples clustered in the negative PC1 space (quadrants II and III). This suggest</w:t>
      </w:r>
      <w:r w:rsidR="00DA1E70">
        <w:t>ed</w:t>
      </w:r>
      <w:r>
        <w:t xml:space="preserve"> that the two lighting conditions ha</w:t>
      </w:r>
      <w:r w:rsidR="00DA1E70">
        <w:t>d</w:t>
      </w:r>
      <w:r>
        <w:t xml:space="preserve"> distinct effects on the DEGs studied, with the primary differences driven by the genes with high loadings on PC1 and PC2. </w:t>
      </w:r>
      <w:r w:rsidR="0086610B">
        <w:t>F</w:t>
      </w:r>
      <w:r>
        <w:t>our NL control samples and two HPS treatment samples formed clusters</w:t>
      </w:r>
      <w:r w:rsidR="00677091">
        <w:t xml:space="preserve"> </w:t>
      </w:r>
      <w:r>
        <w:t xml:space="preserve">in </w:t>
      </w:r>
      <w:r w:rsidR="0086610B">
        <w:t>the positive PC1 space</w:t>
      </w:r>
      <w:r>
        <w:t xml:space="preserve">, </w:t>
      </w:r>
      <w:r w:rsidR="00DA1E70">
        <w:t xml:space="preserve">which </w:t>
      </w:r>
      <w:r>
        <w:t>indicat</w:t>
      </w:r>
      <w:r w:rsidR="00DA1E70">
        <w:t>ed</w:t>
      </w:r>
      <w:r>
        <w:t xml:space="preserve"> similarities in their gene expression profiles, with higher expression levels for genes with positive loadings on PC1 and varying expression levels for those with positive.</w:t>
      </w:r>
    </w:p>
    <w:p w14:paraId="2A5A20D1" w14:textId="57BEFE17" w:rsidR="00126D8D" w:rsidRDefault="00126D8D">
      <w:pPr>
        <w:spacing w:line="240" w:lineRule="auto"/>
      </w:pPr>
    </w:p>
    <w:p w14:paraId="45306969" w14:textId="77777777" w:rsidR="00A67B85" w:rsidRDefault="00A67B85">
      <w:pPr>
        <w:spacing w:line="240" w:lineRule="auto"/>
      </w:pPr>
    </w:p>
    <w:p w14:paraId="1C36F055" w14:textId="77777777" w:rsidR="00A67B85" w:rsidRDefault="00A67B85">
      <w:pPr>
        <w:spacing w:line="240" w:lineRule="auto"/>
      </w:pPr>
    </w:p>
    <w:p w14:paraId="184AC9F2" w14:textId="77777777" w:rsidR="00A67B85" w:rsidRDefault="00A67B85">
      <w:pPr>
        <w:spacing w:line="240" w:lineRule="auto"/>
        <w:rPr>
          <w:rFonts w:cs="Times New Roman"/>
          <w:b/>
          <w:i/>
          <w:iCs/>
          <w:sz w:val="26"/>
          <w:szCs w:val="26"/>
        </w:rPr>
      </w:pPr>
    </w:p>
    <w:p w14:paraId="5EA9AC4B" w14:textId="77777777" w:rsidR="00126D8D" w:rsidRPr="003F0091" w:rsidRDefault="00126D8D" w:rsidP="00DC4427">
      <w:pPr>
        <w:pStyle w:val="MastersThesisSectionHeader"/>
      </w:pPr>
      <w:bookmarkStart w:id="589" w:name="_Toc139574837"/>
      <w:bookmarkStart w:id="590" w:name="_Toc141478707"/>
      <w:r w:rsidRPr="006A6830">
        <w:lastRenderedPageBreak/>
        <w:t>Biclustering Heatmaps Comparing DEGs</w:t>
      </w:r>
      <w:bookmarkEnd w:id="589"/>
      <w:bookmarkEnd w:id="590"/>
    </w:p>
    <w:p w14:paraId="2E43A631" w14:textId="77777777" w:rsidR="00126D8D" w:rsidRPr="003F0091" w:rsidRDefault="00126D8D" w:rsidP="00DC4427">
      <w:pPr>
        <w:pStyle w:val="MSThesisBodyTextJustified"/>
      </w:pPr>
      <w:r>
        <w:t>We</w:t>
      </w:r>
      <w:r w:rsidRPr="003F0091">
        <w:t xml:space="preserve"> performed biclustering analysis on three sets of heat maps, each comparing the top 30 significantly differentially expressed genes (DEGs) between natural light (NL) control and various supplemental light treatments using RNA-seq data. Biclustering heat maps are a powerful tool for visualizing gene expression patterns across experimental conditions, as they enable simultaneous clustering of both genes and samples, revealing meaningful relationships between genes and their corresponding treatments.</w:t>
      </w:r>
    </w:p>
    <w:p w14:paraId="744B83AF" w14:textId="7B8AEDCD" w:rsidR="00126D8D" w:rsidRPr="003F0091" w:rsidRDefault="00126D8D" w:rsidP="00DC4427">
      <w:pPr>
        <w:pStyle w:val="MSThesisBodyTextJustified"/>
      </w:pPr>
      <w:r>
        <w:t xml:space="preserve">Based on the heatmap and hierarchical clustering, eight clusters of DEGs that </w:t>
      </w:r>
      <w:r w:rsidR="00DE3725">
        <w:t xml:space="preserve">were </w:t>
      </w:r>
      <w:r>
        <w:t>visually distinct</w:t>
      </w:r>
      <w:r w:rsidR="0086610B" w:rsidRPr="0086610B">
        <w:t xml:space="preserve"> </w:t>
      </w:r>
      <w:r w:rsidR="0086610B">
        <w:t>(Figure 4.12) for</w:t>
      </w:r>
      <w:r w:rsidR="00677091">
        <w:t xml:space="preserve"> </w:t>
      </w:r>
      <w:r w:rsidR="0086610B">
        <w:t>t</w:t>
      </w:r>
      <w:r>
        <w:t xml:space="preserve">he </w:t>
      </w:r>
      <w:r w:rsidR="0086610B">
        <w:t xml:space="preserve">NB treatment </w:t>
      </w:r>
      <w:r>
        <w:t xml:space="preserve">lighting conditions </w:t>
      </w:r>
      <w:r w:rsidR="0086610B">
        <w:t>and the</w:t>
      </w:r>
      <w:r>
        <w:t xml:space="preserve"> NL control</w:t>
      </w:r>
      <w:r w:rsidR="0086610B">
        <w:t xml:space="preserve">. The </w:t>
      </w:r>
      <w:r>
        <w:t>NB treatment ha</w:t>
      </w:r>
      <w:r w:rsidR="000507B5">
        <w:t>d</w:t>
      </w:r>
      <w:r>
        <w:t xml:space="preserve"> opposing regulation </w:t>
      </w:r>
      <w:r w:rsidR="00F468D3">
        <w:t xml:space="preserve">than NL </w:t>
      </w:r>
      <w:r>
        <w:t>based on the heatmap clusters, indicating that they ha</w:t>
      </w:r>
      <w:r w:rsidR="000507B5">
        <w:t>d</w:t>
      </w:r>
      <w:r>
        <w:t xml:space="preserve"> different effects on gene expression. There </w:t>
      </w:r>
      <w:r w:rsidR="000507B5">
        <w:t>was</w:t>
      </w:r>
      <w:r>
        <w:t xml:space="preserve"> little difference in gene expression between summer and winter samples, which suggest</w:t>
      </w:r>
      <w:r w:rsidR="000507B5">
        <w:t>ed</w:t>
      </w:r>
      <w:r>
        <w:t xml:space="preserve"> that the observed DEGs </w:t>
      </w:r>
      <w:r w:rsidR="000507B5">
        <w:t>were</w:t>
      </w:r>
      <w:r>
        <w:t xml:space="preserve"> primarily caused by differences in lighting conditions and not seasonal variations. The top 30 individual genes with the highest significance show</w:t>
      </w:r>
      <w:r w:rsidR="000507B5">
        <w:t>ed</w:t>
      </w:r>
      <w:r>
        <w:t xml:space="preserve"> low variability in expression across different samples within the same treatment type, which highlight</w:t>
      </w:r>
      <w:r w:rsidR="00F468D3">
        <w:t>ed</w:t>
      </w:r>
      <w:r>
        <w:t xml:space="preserve"> the consistent impact of the NB treatment on gene expression.</w:t>
      </w:r>
    </w:p>
    <w:p w14:paraId="1007C145" w14:textId="1E0C2052" w:rsidR="00126D8D" w:rsidRPr="003F0091" w:rsidRDefault="00126D8D" w:rsidP="00DC4427">
      <w:pPr>
        <w:pStyle w:val="MSThesisBodyTextJustified"/>
      </w:pPr>
      <w:r>
        <w:t>Figure 4.13</w:t>
      </w:r>
      <w:r w:rsidRPr="003F0091">
        <w:t xml:space="preserve"> presents ten visually distinct clusters of DEGs based on the heatmap and hierarchical clustering. The NL control and BW treatment groups generally exhibit</w:t>
      </w:r>
      <w:r w:rsidR="000507B5">
        <w:t>ed</w:t>
      </w:r>
      <w:r w:rsidRPr="003F0091">
        <w:t xml:space="preserve"> opposing regulation based on heatmap clusters, although not as distinct as the differences observed between NL and NB in </w:t>
      </w:r>
      <w:r>
        <w:t>Figure 4.12</w:t>
      </w:r>
      <w:r w:rsidRPr="003F0091">
        <w:t>. This suggest</w:t>
      </w:r>
      <w:r w:rsidR="000507B5">
        <w:t>ed</w:t>
      </w:r>
      <w:r w:rsidRPr="003F0091">
        <w:t xml:space="preserve"> that the BW treatment may have </w:t>
      </w:r>
      <w:r w:rsidR="00F468D3">
        <w:t xml:space="preserve">had </w:t>
      </w:r>
      <w:r w:rsidRPr="003F0091">
        <w:t xml:space="preserve">a more moderate effect on gene expression compared to the NB treatment. Many of the clusters in </w:t>
      </w:r>
      <w:r>
        <w:t>Figure 4.13</w:t>
      </w:r>
      <w:r w:rsidRPr="003F0091">
        <w:t xml:space="preserve"> </w:t>
      </w:r>
      <w:r w:rsidR="00DE3725">
        <w:t>had</w:t>
      </w:r>
      <w:r w:rsidR="00DE3725" w:rsidRPr="003F0091">
        <w:t xml:space="preserve"> </w:t>
      </w:r>
      <w:r w:rsidRPr="003F0091">
        <w:t xml:space="preserve">higher expression levels than those observed in the other two figures. Some variability in expression </w:t>
      </w:r>
      <w:r w:rsidR="000507B5">
        <w:t>was</w:t>
      </w:r>
      <w:r w:rsidRPr="003F0091">
        <w:t xml:space="preserve"> observed across different samples, but among the top 30 individual genes with the </w:t>
      </w:r>
      <w:r w:rsidRPr="003F0091">
        <w:lastRenderedPageBreak/>
        <w:t xml:space="preserve">highest significance, there </w:t>
      </w:r>
      <w:r w:rsidR="000507B5">
        <w:t>was</w:t>
      </w:r>
      <w:r w:rsidRPr="003F0091">
        <w:t xml:space="preserve"> still low variability in expression across different samples within the same treatment type.</w:t>
      </w:r>
    </w:p>
    <w:p w14:paraId="148E2EBD" w14:textId="68BF7782" w:rsidR="00126D8D" w:rsidRPr="003F0091" w:rsidRDefault="00CE61E4" w:rsidP="00DC4427">
      <w:pPr>
        <w:pStyle w:val="MSThesisBodyTextJustified"/>
      </w:pPr>
      <w:r>
        <w:t>T</w:t>
      </w:r>
      <w:r w:rsidR="00126D8D">
        <w:t xml:space="preserve">here are six different groups of DEGs </w:t>
      </w:r>
      <w:r>
        <w:t xml:space="preserve">in Figure 4.14 </w:t>
      </w:r>
      <w:r w:rsidR="00126D8D">
        <w:t>that can be visually distinguished through the use of a heatmap and hierarchical clustering. Among these groups, the NL control and HPS treatment groups tend</w:t>
      </w:r>
      <w:r w:rsidR="000507B5">
        <w:t>ed</w:t>
      </w:r>
      <w:r w:rsidR="00126D8D">
        <w:t xml:space="preserve"> to have contrasting regulation patterns. However, these differences are not as noticeable as they </w:t>
      </w:r>
      <w:r w:rsidR="00F468D3">
        <w:t xml:space="preserve">were </w:t>
      </w:r>
      <w:r w:rsidR="00126D8D">
        <w:t xml:space="preserve">in the </w:t>
      </w:r>
      <w:r w:rsidR="00F468D3">
        <w:t>previous</w:t>
      </w:r>
      <w:r w:rsidR="00126D8D">
        <w:t xml:space="preserve"> two figures. Compared to the NB vs. NL comparison in Figure 4.12, many of the clusters </w:t>
      </w:r>
      <w:r w:rsidR="00201DE3">
        <w:t xml:space="preserve">had </w:t>
      </w:r>
      <w:r w:rsidR="00126D8D">
        <w:t xml:space="preserve">moderate expression levels. Additionally, some differences in gene expression were found between summer and winter samples, suggesting that seasonal variations may have </w:t>
      </w:r>
      <w:r w:rsidR="00201DE3">
        <w:t xml:space="preserve">had </w:t>
      </w:r>
      <w:r w:rsidR="00126D8D">
        <w:t>a larger impact on this comparison. The top 30 individual genes with the highest significance show</w:t>
      </w:r>
      <w:r w:rsidR="00201DE3">
        <w:t>ed</w:t>
      </w:r>
      <w:r w:rsidR="00126D8D">
        <w:t xml:space="preserve"> a lot of variability in expression within the same treatment type, indicating that the HPS treatment may </w:t>
      </w:r>
      <w:r w:rsidR="00201DE3">
        <w:t>have</w:t>
      </w:r>
      <w:r w:rsidR="00126D8D">
        <w:t xml:space="preserve"> result</w:t>
      </w:r>
      <w:r w:rsidR="00201DE3">
        <w:t>ed</w:t>
      </w:r>
      <w:r w:rsidR="00126D8D">
        <w:t xml:space="preserve"> in more diverse gene expression profiles than other treatments.</w:t>
      </w:r>
    </w:p>
    <w:p w14:paraId="2DA3C4C1" w14:textId="165F2601" w:rsidR="00126D8D" w:rsidRPr="003F0091" w:rsidRDefault="00DE3725" w:rsidP="00DC4427">
      <w:pPr>
        <w:pStyle w:val="MSThesisBodyTextJustified"/>
      </w:pPr>
      <w:r>
        <w:t>Visual examination</w:t>
      </w:r>
      <w:r w:rsidR="00126D8D" w:rsidRPr="003F0091">
        <w:t xml:space="preserve"> of Figures </w:t>
      </w:r>
      <w:r w:rsidR="00AD5E45">
        <w:t>4.</w:t>
      </w:r>
      <w:r w:rsidR="00126D8D">
        <w:t>12-</w:t>
      </w:r>
      <w:r w:rsidR="00AD5E45">
        <w:t>4.</w:t>
      </w:r>
      <w:r w:rsidR="00126D8D">
        <w:t>14</w:t>
      </w:r>
      <w:r w:rsidR="00126D8D" w:rsidRPr="003F0091">
        <w:t xml:space="preserve"> reveal</w:t>
      </w:r>
      <w:r w:rsidR="00F468D3">
        <w:t>ed</w:t>
      </w:r>
      <w:r w:rsidR="00126D8D" w:rsidRPr="003F0091">
        <w:t xml:space="preserve"> distinct patterns and trends in DEG regulation in response to different light treatments. The most notable observation </w:t>
      </w:r>
      <w:r w:rsidR="00F468D3">
        <w:t>was</w:t>
      </w:r>
      <w:r w:rsidR="00126D8D" w:rsidRPr="003F0091">
        <w:t xml:space="preserve"> the opposing regulation of DEGs between the NL control and each of the supplemental light treatments, highlighting the impact of these lighting conditions on gene expression. The degree of distinction between the NL control and each supplemental light treatment varie</w:t>
      </w:r>
      <w:r w:rsidR="00201DE3">
        <w:t>d</w:t>
      </w:r>
      <w:r w:rsidR="00126D8D" w:rsidRPr="003F0091">
        <w:t xml:space="preserve">, </w:t>
      </w:r>
      <w:r>
        <w:t>with</w:t>
      </w:r>
      <w:r w:rsidR="00126D8D" w:rsidRPr="003F0091">
        <w:t xml:space="preserve"> the BW treatment, and finally the HPS treatment exhibiting the least distinct differences. This observation suggests that different light treatments may have varying effects on gene expression regulation, with the NB treatment potentially having the most significant impact. </w:t>
      </w:r>
    </w:p>
    <w:p w14:paraId="2407ACC8" w14:textId="4D79433C" w:rsidR="00126D8D" w:rsidRDefault="00126D8D" w:rsidP="00DC4427">
      <w:pPr>
        <w:spacing w:line="240" w:lineRule="auto"/>
        <w:rPr>
          <w:rFonts w:cs="Times New Roman"/>
          <w:b/>
          <w:bCs/>
          <w:i/>
          <w:iCs/>
        </w:rPr>
      </w:pPr>
    </w:p>
    <w:p w14:paraId="557C479A" w14:textId="77777777" w:rsidR="00126D8D" w:rsidRPr="003F0091" w:rsidRDefault="00126D8D" w:rsidP="00DC4427">
      <w:pPr>
        <w:pStyle w:val="MastersThesisSectionHeader"/>
      </w:pPr>
      <w:bookmarkStart w:id="591" w:name="_Toc139574838"/>
      <w:bookmarkStart w:id="592" w:name="_Toc141478708"/>
      <w:r w:rsidRPr="001110A4">
        <w:t>Volcano Plots Comparing DEGs</w:t>
      </w:r>
      <w:bookmarkEnd w:id="591"/>
      <w:bookmarkEnd w:id="592"/>
    </w:p>
    <w:p w14:paraId="1BD3BBB6" w14:textId="3A083116" w:rsidR="00126D8D" w:rsidRPr="003F0091" w:rsidRDefault="00126D8D" w:rsidP="00DC4427">
      <w:pPr>
        <w:pStyle w:val="MSThesisBodyTextJustified"/>
      </w:pPr>
      <w:r w:rsidRPr="003F0091">
        <w:t>We analyzed a set of three volcano plots to investigate the global transcriptional changes in basil plants subjected to different supplemental lighting treatments</w:t>
      </w:r>
      <w:r w:rsidR="00201DE3">
        <w:t>.</w:t>
      </w:r>
      <w:r w:rsidRPr="003F0091">
        <w:t xml:space="preserve"> Volcano plots provide a </w:t>
      </w:r>
      <w:r w:rsidRPr="003F0091">
        <w:lastRenderedPageBreak/>
        <w:t xml:space="preserve">visual representation of the relationship between fold change and statistical significance (adjusted </w:t>
      </w:r>
      <w:r w:rsidR="00DE3725" w:rsidRPr="00E94DE1">
        <w:rPr>
          <w:i/>
          <w:iCs/>
        </w:rPr>
        <w:t>P</w:t>
      </w:r>
      <w:r w:rsidRPr="003F0091">
        <w:t xml:space="preserve">-value) for differentially expressed genes (DEGs), with each data point representing a gene. Upregulated genes are indicated by red dots (adjusted </w:t>
      </w:r>
      <w:r w:rsidR="00DE3725">
        <w:rPr>
          <w:i/>
          <w:iCs/>
        </w:rPr>
        <w:t>P</w:t>
      </w:r>
      <w:r w:rsidRPr="003F0091">
        <w:t xml:space="preserve">-value &lt; 0.05 and log2 fold change &gt; 1), while downregulated genes are represented by blue dots (adjusted </w:t>
      </w:r>
      <w:r w:rsidR="00673419" w:rsidRPr="00E94DE1">
        <w:rPr>
          <w:i/>
          <w:iCs/>
        </w:rPr>
        <w:t>P</w:t>
      </w:r>
      <w:r w:rsidRPr="003F0091">
        <w:t>-value &lt; 0.05 and log2 fold change &lt; -1).</w:t>
      </w:r>
    </w:p>
    <w:p w14:paraId="24D4E3A6" w14:textId="2A23A968" w:rsidR="00126D8D" w:rsidRPr="003F0091" w:rsidRDefault="00126D8D" w:rsidP="00DC4427">
      <w:pPr>
        <w:pStyle w:val="MSThesisBodyTextJustified"/>
      </w:pPr>
      <w:r>
        <w:t xml:space="preserve">The comparison between the NL control and NB treatment </w:t>
      </w:r>
      <w:r w:rsidR="00673419">
        <w:t>had</w:t>
      </w:r>
      <w:r w:rsidR="00FD15DE">
        <w:t xml:space="preserve"> </w:t>
      </w:r>
      <w:r>
        <w:t>the</w:t>
      </w:r>
      <w:r w:rsidR="00FD15DE">
        <w:t xml:space="preserve"> </w:t>
      </w:r>
      <w:r>
        <w:t xml:space="preserve">highest number of significantly upregulated and downregulated genes </w:t>
      </w:r>
      <w:r w:rsidR="00AB59CC">
        <w:t xml:space="preserve">(Figure 4.15) </w:t>
      </w:r>
      <w:r>
        <w:t xml:space="preserve">compared to the other </w:t>
      </w:r>
      <w:r w:rsidR="00AB59CC">
        <w:t>treatments</w:t>
      </w:r>
      <w:r>
        <w:t xml:space="preserve">. The plot is asymmetrical, with more upregulated genes than downregulated genes. The right side of the plot (upregulated genes) </w:t>
      </w:r>
      <w:r w:rsidR="00673419">
        <w:t xml:space="preserve">was </w:t>
      </w:r>
      <w:r>
        <w:t>wider and taller</w:t>
      </w:r>
      <w:r w:rsidR="0078673F">
        <w:t xml:space="preserve"> than left side (downregulated genes)</w:t>
      </w:r>
      <w:r>
        <w:t>, indicating a higher density and wider spread of upregulated genes than downregulated genes. In the upregulated group, several genes show</w:t>
      </w:r>
      <w:r w:rsidR="0078673F">
        <w:t>ed</w:t>
      </w:r>
      <w:r>
        <w:t xml:space="preserve"> extremely high statistical significance (adjusted </w:t>
      </w:r>
      <w:r w:rsidR="00673419" w:rsidRPr="00E94DE1">
        <w:rPr>
          <w:i/>
          <w:iCs/>
        </w:rPr>
        <w:t>P</w:t>
      </w:r>
      <w:r>
        <w:t>-value over 8), which is noteworthy compared to the other treatments. These results suggest</w:t>
      </w:r>
      <w:r w:rsidR="00615F23">
        <w:t>ed</w:t>
      </w:r>
      <w:r>
        <w:t xml:space="preserve"> that the NB </w:t>
      </w:r>
      <w:r w:rsidR="00615F23">
        <w:t xml:space="preserve">LED </w:t>
      </w:r>
      <w:r>
        <w:t>supplemental light treatment ha</w:t>
      </w:r>
      <w:r w:rsidR="00615F23">
        <w:t>d</w:t>
      </w:r>
      <w:r>
        <w:t xml:space="preserve"> a significant impact on gene expression regulation, with a general trend towards upregulation of DEGs.</w:t>
      </w:r>
    </w:p>
    <w:p w14:paraId="162E296E" w14:textId="7EBB7EF4" w:rsidR="00126D8D" w:rsidRPr="003F0091" w:rsidRDefault="00615F23" w:rsidP="00DC4427">
      <w:pPr>
        <w:pStyle w:val="MSThesisBodyTextJustified"/>
        <w:rPr>
          <w:color w:val="000000"/>
        </w:rPr>
      </w:pPr>
      <w:r>
        <w:rPr>
          <w:color w:val="000000"/>
        </w:rPr>
        <w:t xml:space="preserve">The </w:t>
      </w:r>
      <w:r w:rsidRPr="003F0091">
        <w:rPr>
          <w:color w:val="000000"/>
        </w:rPr>
        <w:t>BW treatment</w:t>
      </w:r>
      <w:r>
        <w:rPr>
          <w:color w:val="000000"/>
        </w:rPr>
        <w:t xml:space="preserve"> effects </w:t>
      </w:r>
      <w:r w:rsidR="00126D8D" w:rsidRPr="003F0091">
        <w:rPr>
          <w:color w:val="000000"/>
        </w:rPr>
        <w:t>compare</w:t>
      </w:r>
      <w:r>
        <w:rPr>
          <w:color w:val="000000"/>
        </w:rPr>
        <w:t>d</w:t>
      </w:r>
      <w:r w:rsidR="00126D8D" w:rsidRPr="003F0091">
        <w:rPr>
          <w:color w:val="000000"/>
        </w:rPr>
        <w:t xml:space="preserve"> </w:t>
      </w:r>
      <w:r>
        <w:rPr>
          <w:color w:val="000000"/>
        </w:rPr>
        <w:t>with</w:t>
      </w:r>
      <w:r w:rsidR="00126D8D" w:rsidRPr="003F0091">
        <w:rPr>
          <w:color w:val="000000"/>
        </w:rPr>
        <w:t xml:space="preserve"> the NL control</w:t>
      </w:r>
      <w:r w:rsidR="00FD15DE">
        <w:rPr>
          <w:color w:val="000000"/>
        </w:rPr>
        <w:t xml:space="preserve"> </w:t>
      </w:r>
      <w:r w:rsidR="00126D8D" w:rsidRPr="003F0091">
        <w:rPr>
          <w:color w:val="000000"/>
        </w:rPr>
        <w:t>show</w:t>
      </w:r>
      <w:r w:rsidR="00CE61E4">
        <w:rPr>
          <w:color w:val="000000"/>
        </w:rPr>
        <w:t>ed</w:t>
      </w:r>
      <w:r w:rsidR="00126D8D" w:rsidRPr="003F0091">
        <w:rPr>
          <w:color w:val="000000"/>
        </w:rPr>
        <w:t xml:space="preserve"> a moderate number of highly significant upregulated and downregulated genes</w:t>
      </w:r>
      <w:r w:rsidRPr="00615F23">
        <w:rPr>
          <w:color w:val="000000"/>
        </w:rPr>
        <w:t xml:space="preserve"> </w:t>
      </w:r>
      <w:r>
        <w:rPr>
          <w:color w:val="000000"/>
        </w:rPr>
        <w:t>(Figure 4.16)</w:t>
      </w:r>
      <w:r w:rsidR="00126D8D" w:rsidRPr="003F0091">
        <w:rPr>
          <w:color w:val="000000"/>
        </w:rPr>
        <w:t xml:space="preserve">. The plot </w:t>
      </w:r>
      <w:r w:rsidR="00673419">
        <w:rPr>
          <w:color w:val="000000"/>
        </w:rPr>
        <w:t>was</w:t>
      </w:r>
      <w:r w:rsidR="00673419" w:rsidRPr="003F0091">
        <w:rPr>
          <w:color w:val="000000"/>
        </w:rPr>
        <w:t xml:space="preserve"> </w:t>
      </w:r>
      <w:r w:rsidR="00126D8D" w:rsidRPr="003F0091">
        <w:rPr>
          <w:color w:val="000000"/>
        </w:rPr>
        <w:t xml:space="preserve">somewhat symmetrical, but </w:t>
      </w:r>
      <w:r>
        <w:rPr>
          <w:color w:val="000000"/>
        </w:rPr>
        <w:t xml:space="preserve">with </w:t>
      </w:r>
      <w:r w:rsidR="00126D8D" w:rsidRPr="003F0091">
        <w:rPr>
          <w:color w:val="000000"/>
        </w:rPr>
        <w:t xml:space="preserve">a higher number of upregulated genes than downregulated genes. The </w:t>
      </w:r>
      <w:r w:rsidR="00673419" w:rsidRPr="003F0091">
        <w:rPr>
          <w:color w:val="000000"/>
        </w:rPr>
        <w:t>upregulated genes</w:t>
      </w:r>
      <w:r w:rsidR="00126D8D" w:rsidRPr="003F0091">
        <w:rPr>
          <w:color w:val="000000"/>
        </w:rPr>
        <w:t xml:space="preserve"> side of the plot is wider and shorter, while the </w:t>
      </w:r>
      <w:r w:rsidR="00673419" w:rsidRPr="003F0091">
        <w:rPr>
          <w:color w:val="000000"/>
        </w:rPr>
        <w:t xml:space="preserve">downregulated genes </w:t>
      </w:r>
      <w:r w:rsidR="00126D8D" w:rsidRPr="003F0091">
        <w:rPr>
          <w:color w:val="000000"/>
        </w:rPr>
        <w:t>is narrower and taller. This indicate</w:t>
      </w:r>
      <w:r w:rsidR="00423A91">
        <w:rPr>
          <w:color w:val="000000"/>
        </w:rPr>
        <w:t>d</w:t>
      </w:r>
      <w:r w:rsidR="00126D8D" w:rsidRPr="003F0091">
        <w:rPr>
          <w:color w:val="000000"/>
        </w:rPr>
        <w:t xml:space="preserve"> a higher density and wider spread of upregulated genes compared to downregulated genes. </w:t>
      </w:r>
      <w:r w:rsidR="00423A91">
        <w:rPr>
          <w:color w:val="000000"/>
        </w:rPr>
        <w:t>S</w:t>
      </w:r>
      <w:r w:rsidR="00126D8D" w:rsidRPr="003F0091">
        <w:rPr>
          <w:color w:val="000000"/>
        </w:rPr>
        <w:t xml:space="preserve">ome highly significant upregulated and downregulated genes (adjusted </w:t>
      </w:r>
      <w:r w:rsidR="00673419" w:rsidRPr="00E94DE1">
        <w:rPr>
          <w:i/>
          <w:iCs/>
          <w:color w:val="000000"/>
        </w:rPr>
        <w:t>P</w:t>
      </w:r>
      <w:r w:rsidR="00126D8D" w:rsidRPr="003F0091">
        <w:rPr>
          <w:color w:val="000000"/>
        </w:rPr>
        <w:t xml:space="preserve">-value higher than 8) </w:t>
      </w:r>
      <w:r w:rsidR="00423A91">
        <w:rPr>
          <w:color w:val="000000"/>
        </w:rPr>
        <w:t>were</w:t>
      </w:r>
      <w:r w:rsidR="00423A91" w:rsidRPr="003F0091">
        <w:rPr>
          <w:color w:val="000000"/>
        </w:rPr>
        <w:t xml:space="preserve"> </w:t>
      </w:r>
      <w:r w:rsidR="00126D8D" w:rsidRPr="003F0091">
        <w:rPr>
          <w:color w:val="000000"/>
        </w:rPr>
        <w:t xml:space="preserve">observed, distinguishing </w:t>
      </w:r>
      <w:r w:rsidR="00423A91">
        <w:rPr>
          <w:color w:val="000000"/>
        </w:rPr>
        <w:t>them</w:t>
      </w:r>
      <w:r w:rsidR="00423A91" w:rsidRPr="003F0091">
        <w:rPr>
          <w:color w:val="000000"/>
        </w:rPr>
        <w:t xml:space="preserve"> </w:t>
      </w:r>
      <w:r w:rsidR="00126D8D" w:rsidRPr="003F0091">
        <w:rPr>
          <w:color w:val="000000"/>
        </w:rPr>
        <w:t>from the other treatments. These results suggest</w:t>
      </w:r>
      <w:r w:rsidR="00423A91">
        <w:rPr>
          <w:color w:val="000000"/>
        </w:rPr>
        <w:t>ed</w:t>
      </w:r>
      <w:r w:rsidR="00126D8D" w:rsidRPr="003F0091">
        <w:rPr>
          <w:color w:val="000000"/>
        </w:rPr>
        <w:t xml:space="preserve"> that the BW supplemental light treatment also </w:t>
      </w:r>
      <w:r w:rsidR="00423A91" w:rsidRPr="003F0091">
        <w:rPr>
          <w:color w:val="000000"/>
        </w:rPr>
        <w:t>ha</w:t>
      </w:r>
      <w:r w:rsidR="00423A91">
        <w:rPr>
          <w:color w:val="000000"/>
        </w:rPr>
        <w:t>d</w:t>
      </w:r>
      <w:r w:rsidR="00423A91" w:rsidRPr="003F0091">
        <w:rPr>
          <w:color w:val="000000"/>
        </w:rPr>
        <w:t xml:space="preserve"> </w:t>
      </w:r>
      <w:r w:rsidR="00126D8D" w:rsidRPr="003F0091">
        <w:rPr>
          <w:color w:val="000000"/>
        </w:rPr>
        <w:t>a noticeable effect on gene expression regulation, with both upregulated and downregulated DEGs showing high statistical significance.</w:t>
      </w:r>
    </w:p>
    <w:p w14:paraId="03F81770" w14:textId="7FC63EE0" w:rsidR="00126D8D" w:rsidRPr="003F0091" w:rsidRDefault="00423A91" w:rsidP="00FD15DE">
      <w:pPr>
        <w:pStyle w:val="MSThesisBodyTextJustified"/>
        <w:rPr>
          <w:color w:val="000000"/>
        </w:rPr>
      </w:pPr>
      <w:r>
        <w:rPr>
          <w:color w:val="000000"/>
        </w:rPr>
        <w:lastRenderedPageBreak/>
        <w:t xml:space="preserve">A </w:t>
      </w:r>
      <w:r w:rsidR="00126D8D">
        <w:rPr>
          <w:color w:val="000000"/>
        </w:rPr>
        <w:t xml:space="preserve">comparison between the </w:t>
      </w:r>
      <w:r w:rsidR="0078673F">
        <w:rPr>
          <w:color w:val="000000"/>
        </w:rPr>
        <w:t xml:space="preserve">HPS treatment and </w:t>
      </w:r>
      <w:r w:rsidR="00126D8D">
        <w:rPr>
          <w:color w:val="000000"/>
        </w:rPr>
        <w:t>NL control show</w:t>
      </w:r>
      <w:r>
        <w:rPr>
          <w:color w:val="000000"/>
        </w:rPr>
        <w:t>ed</w:t>
      </w:r>
      <w:r w:rsidR="00126D8D">
        <w:rPr>
          <w:color w:val="000000"/>
        </w:rPr>
        <w:t xml:space="preserve"> a moderate number of genes that </w:t>
      </w:r>
      <w:r>
        <w:rPr>
          <w:color w:val="000000"/>
        </w:rPr>
        <w:t>were</w:t>
      </w:r>
      <w:r w:rsidR="00126D8D">
        <w:rPr>
          <w:color w:val="000000"/>
        </w:rPr>
        <w:t xml:space="preserve"> significantly upregulated and downregulated</w:t>
      </w:r>
      <w:r w:rsidRPr="00423A91">
        <w:rPr>
          <w:color w:val="000000"/>
        </w:rPr>
        <w:t xml:space="preserve"> </w:t>
      </w:r>
      <w:r>
        <w:rPr>
          <w:color w:val="000000"/>
        </w:rPr>
        <w:t>(Figure 4.17)</w:t>
      </w:r>
      <w:r w:rsidR="00126D8D">
        <w:rPr>
          <w:color w:val="000000"/>
        </w:rPr>
        <w:t xml:space="preserve">. There </w:t>
      </w:r>
      <w:r>
        <w:rPr>
          <w:color w:val="000000"/>
        </w:rPr>
        <w:t xml:space="preserve">were </w:t>
      </w:r>
      <w:r w:rsidR="00126D8D">
        <w:rPr>
          <w:color w:val="000000"/>
        </w:rPr>
        <w:t xml:space="preserve">more upregulated genes than downregulated genes, </w:t>
      </w:r>
      <w:r>
        <w:rPr>
          <w:color w:val="000000"/>
        </w:rPr>
        <w:t>shown by</w:t>
      </w:r>
      <w:r w:rsidR="00FD15DE">
        <w:rPr>
          <w:color w:val="000000"/>
        </w:rPr>
        <w:t xml:space="preserve"> </w:t>
      </w:r>
      <w:r w:rsidR="00126D8D">
        <w:rPr>
          <w:color w:val="000000"/>
        </w:rPr>
        <w:t>upregulated gene</w:t>
      </w:r>
      <w:r w:rsidR="00FD15DE">
        <w:rPr>
          <w:color w:val="000000"/>
        </w:rPr>
        <w:t xml:space="preserve"> </w:t>
      </w:r>
      <w:r w:rsidR="00126D8D">
        <w:rPr>
          <w:color w:val="000000"/>
        </w:rPr>
        <w:t>s</w:t>
      </w:r>
      <w:r w:rsidR="00E3357F">
        <w:rPr>
          <w:color w:val="000000"/>
        </w:rPr>
        <w:t xml:space="preserve">in the plot </w:t>
      </w:r>
      <w:r>
        <w:rPr>
          <w:color w:val="000000"/>
        </w:rPr>
        <w:t>being</w:t>
      </w:r>
      <w:r w:rsidR="00126D8D">
        <w:rPr>
          <w:color w:val="000000"/>
        </w:rPr>
        <w:t xml:space="preserve"> slightly wider than the downregulated genes. This suggest</w:t>
      </w:r>
      <w:r>
        <w:rPr>
          <w:color w:val="000000"/>
        </w:rPr>
        <w:t>ed</w:t>
      </w:r>
      <w:r w:rsidR="00126D8D">
        <w:rPr>
          <w:color w:val="000000"/>
        </w:rPr>
        <w:t xml:space="preserve"> that there </w:t>
      </w:r>
      <w:r>
        <w:rPr>
          <w:color w:val="000000"/>
        </w:rPr>
        <w:t xml:space="preserve">was </w:t>
      </w:r>
      <w:r w:rsidR="00126D8D">
        <w:rPr>
          <w:color w:val="000000"/>
        </w:rPr>
        <w:t>a wider spread and higher density of upregulated genes compared to downregulated genes. It is not</w:t>
      </w:r>
      <w:r w:rsidR="00E3357F">
        <w:rPr>
          <w:color w:val="000000"/>
        </w:rPr>
        <w:t>ed</w:t>
      </w:r>
      <w:r w:rsidR="00126D8D">
        <w:rPr>
          <w:color w:val="000000"/>
        </w:rPr>
        <w:t xml:space="preserve"> that there </w:t>
      </w:r>
      <w:r>
        <w:rPr>
          <w:color w:val="000000"/>
        </w:rPr>
        <w:t xml:space="preserve">were </w:t>
      </w:r>
      <w:r w:rsidR="00126D8D">
        <w:rPr>
          <w:color w:val="000000"/>
        </w:rPr>
        <w:t xml:space="preserve">no genes with an adjusted </w:t>
      </w:r>
      <w:r w:rsidR="00E3357F" w:rsidRPr="00E94DE1">
        <w:rPr>
          <w:i/>
          <w:iCs/>
          <w:color w:val="000000"/>
        </w:rPr>
        <w:t>P</w:t>
      </w:r>
      <w:r w:rsidR="00126D8D">
        <w:rPr>
          <w:color w:val="000000"/>
        </w:rPr>
        <w:t xml:space="preserve">-value higher than 8 (which is extremely significant), unlike the other two treatments. Additionally, </w:t>
      </w:r>
      <w:r w:rsidR="00EA26A0">
        <w:rPr>
          <w:color w:val="000000"/>
        </w:rPr>
        <w:t>Figure 4.17</w:t>
      </w:r>
      <w:r w:rsidR="00126D8D">
        <w:rPr>
          <w:color w:val="000000"/>
        </w:rPr>
        <w:t xml:space="preserve"> ha</w:t>
      </w:r>
      <w:r>
        <w:rPr>
          <w:color w:val="000000"/>
        </w:rPr>
        <w:t>d</w:t>
      </w:r>
      <w:r w:rsidR="00126D8D">
        <w:rPr>
          <w:color w:val="000000"/>
        </w:rPr>
        <w:t xml:space="preserve"> the lowest number of total DEGs compared to Figures </w:t>
      </w:r>
      <w:r w:rsidR="00AD5E45">
        <w:rPr>
          <w:color w:val="000000"/>
        </w:rPr>
        <w:t>4.</w:t>
      </w:r>
      <w:r w:rsidR="00126D8D">
        <w:rPr>
          <w:color w:val="000000"/>
        </w:rPr>
        <w:t xml:space="preserve">15 and </w:t>
      </w:r>
      <w:r w:rsidR="00AD5E45">
        <w:rPr>
          <w:color w:val="000000"/>
        </w:rPr>
        <w:t>4.</w:t>
      </w:r>
      <w:r w:rsidR="00126D8D">
        <w:rPr>
          <w:color w:val="000000"/>
        </w:rPr>
        <w:t>16. These findings suggest</w:t>
      </w:r>
      <w:r>
        <w:rPr>
          <w:color w:val="000000"/>
        </w:rPr>
        <w:t>ed</w:t>
      </w:r>
      <w:r w:rsidR="00126D8D">
        <w:rPr>
          <w:color w:val="000000"/>
        </w:rPr>
        <w:t xml:space="preserve"> that when comparing treatments to the NL control, the NB and BW </w:t>
      </w:r>
      <w:r>
        <w:rPr>
          <w:color w:val="000000"/>
        </w:rPr>
        <w:t xml:space="preserve">LED </w:t>
      </w:r>
      <w:r w:rsidR="00126D8D">
        <w:rPr>
          <w:color w:val="000000"/>
        </w:rPr>
        <w:t>treatments ha</w:t>
      </w:r>
      <w:r>
        <w:rPr>
          <w:color w:val="000000"/>
        </w:rPr>
        <w:t>d</w:t>
      </w:r>
      <w:r w:rsidR="00126D8D">
        <w:rPr>
          <w:color w:val="000000"/>
        </w:rPr>
        <w:t xml:space="preserve"> a higher number of statistically significant DEGs than the HPS treatment.</w:t>
      </w:r>
    </w:p>
    <w:p w14:paraId="5FA7D92F" w14:textId="349FC4E3" w:rsidR="00126D8D" w:rsidRPr="003F0091" w:rsidRDefault="00C845A5" w:rsidP="00DC4427">
      <w:pPr>
        <w:pStyle w:val="MSThesisBodyTextJustified"/>
        <w:rPr>
          <w:color w:val="000000"/>
        </w:rPr>
      </w:pPr>
      <w:r>
        <w:rPr>
          <w:color w:val="000000"/>
        </w:rPr>
        <w:t>D</w:t>
      </w:r>
      <w:r w:rsidR="00126D8D" w:rsidRPr="003F0091">
        <w:rPr>
          <w:color w:val="000000"/>
        </w:rPr>
        <w:t>istinct patterns and trends in DEG regulation in response to different supplemental light treatments</w:t>
      </w:r>
      <w:r w:rsidRPr="00C845A5">
        <w:t xml:space="preserve"> </w:t>
      </w:r>
      <w:r>
        <w:t xml:space="preserve">were revealed in comparisons </w:t>
      </w:r>
      <w:r w:rsidRPr="00C845A5">
        <w:rPr>
          <w:color w:val="000000"/>
        </w:rPr>
        <w:t>of Figures 4.15-4.17</w:t>
      </w:r>
      <w:r w:rsidR="00126D8D" w:rsidRPr="003F0091">
        <w:rPr>
          <w:color w:val="000000"/>
        </w:rPr>
        <w:t xml:space="preserve">. The most striking observation </w:t>
      </w:r>
      <w:r>
        <w:rPr>
          <w:color w:val="000000"/>
        </w:rPr>
        <w:t>was</w:t>
      </w:r>
      <w:r w:rsidRPr="003F0091">
        <w:rPr>
          <w:color w:val="000000"/>
        </w:rPr>
        <w:t xml:space="preserve"> </w:t>
      </w:r>
      <w:r w:rsidR="00126D8D" w:rsidRPr="003F0091">
        <w:rPr>
          <w:color w:val="000000"/>
        </w:rPr>
        <w:t xml:space="preserve">the difference in the number of highly significant upregulated and downregulated genes </w:t>
      </w:r>
      <w:r w:rsidR="00E3357F">
        <w:rPr>
          <w:color w:val="000000"/>
        </w:rPr>
        <w:t>among</w:t>
      </w:r>
      <w:r w:rsidR="00E3357F" w:rsidRPr="003F0091">
        <w:rPr>
          <w:color w:val="000000"/>
        </w:rPr>
        <w:t xml:space="preserve"> </w:t>
      </w:r>
      <w:r w:rsidR="00126D8D" w:rsidRPr="003F0091">
        <w:rPr>
          <w:color w:val="000000"/>
        </w:rPr>
        <w:t xml:space="preserve">the three </w:t>
      </w:r>
      <w:r>
        <w:rPr>
          <w:color w:val="000000"/>
        </w:rPr>
        <w:t xml:space="preserve">SL light </w:t>
      </w:r>
      <w:r w:rsidR="00126D8D" w:rsidRPr="003F0091">
        <w:rPr>
          <w:color w:val="000000"/>
        </w:rPr>
        <w:t xml:space="preserve">treatments. </w:t>
      </w:r>
      <w:r>
        <w:rPr>
          <w:color w:val="000000"/>
        </w:rPr>
        <w:t xml:space="preserve">The </w:t>
      </w:r>
      <w:r w:rsidRPr="003F0091">
        <w:rPr>
          <w:color w:val="000000"/>
        </w:rPr>
        <w:t xml:space="preserve">NB </w:t>
      </w:r>
      <w:r>
        <w:rPr>
          <w:color w:val="000000"/>
        </w:rPr>
        <w:t xml:space="preserve">vs. </w:t>
      </w:r>
      <w:r w:rsidR="00126D8D" w:rsidRPr="003F0091">
        <w:rPr>
          <w:color w:val="000000"/>
        </w:rPr>
        <w:t xml:space="preserve">NL control treatment (Fig. </w:t>
      </w:r>
      <w:r w:rsidR="00AD5E45">
        <w:rPr>
          <w:color w:val="000000"/>
        </w:rPr>
        <w:t>4.</w:t>
      </w:r>
      <w:r w:rsidR="00126D8D">
        <w:rPr>
          <w:color w:val="000000"/>
        </w:rPr>
        <w:t>15</w:t>
      </w:r>
      <w:r w:rsidR="00126D8D" w:rsidRPr="003F0091">
        <w:rPr>
          <w:color w:val="000000"/>
        </w:rPr>
        <w:t>) exhibit</w:t>
      </w:r>
      <w:r>
        <w:rPr>
          <w:color w:val="000000"/>
        </w:rPr>
        <w:t>ed</w:t>
      </w:r>
      <w:r w:rsidR="00126D8D" w:rsidRPr="003F0091">
        <w:rPr>
          <w:color w:val="000000"/>
        </w:rPr>
        <w:t xml:space="preserve"> the highest number of DEGs, with a strong trend toward upregulation. In contrast, </w:t>
      </w:r>
      <w:r w:rsidRPr="003F0091">
        <w:rPr>
          <w:color w:val="000000"/>
        </w:rPr>
        <w:t xml:space="preserve">HPS treatment </w:t>
      </w:r>
      <w:r>
        <w:rPr>
          <w:color w:val="000000"/>
        </w:rPr>
        <w:t xml:space="preserve">vs. </w:t>
      </w:r>
      <w:r w:rsidR="00126D8D" w:rsidRPr="003F0091">
        <w:rPr>
          <w:color w:val="000000"/>
        </w:rPr>
        <w:t xml:space="preserve">NL control (Fig. </w:t>
      </w:r>
      <w:r w:rsidR="00AD5E45">
        <w:rPr>
          <w:color w:val="000000"/>
        </w:rPr>
        <w:t>4.</w:t>
      </w:r>
      <w:r w:rsidR="00126D8D">
        <w:rPr>
          <w:color w:val="000000"/>
        </w:rPr>
        <w:t>17</w:t>
      </w:r>
      <w:r w:rsidR="00126D8D" w:rsidRPr="003F0091">
        <w:rPr>
          <w:color w:val="000000"/>
        </w:rPr>
        <w:t xml:space="preserve">) </w:t>
      </w:r>
      <w:r w:rsidRPr="003F0091">
        <w:rPr>
          <w:color w:val="000000"/>
        </w:rPr>
        <w:t>ha</w:t>
      </w:r>
      <w:r>
        <w:rPr>
          <w:color w:val="000000"/>
        </w:rPr>
        <w:t>d</w:t>
      </w:r>
      <w:r w:rsidRPr="003F0091">
        <w:rPr>
          <w:color w:val="000000"/>
        </w:rPr>
        <w:t xml:space="preserve"> </w:t>
      </w:r>
      <w:r w:rsidR="00126D8D" w:rsidRPr="003F0091">
        <w:rPr>
          <w:color w:val="000000"/>
        </w:rPr>
        <w:t>the lowest number of total DEGs and lack</w:t>
      </w:r>
      <w:r>
        <w:rPr>
          <w:color w:val="000000"/>
        </w:rPr>
        <w:t>ed</w:t>
      </w:r>
      <w:r w:rsidR="00126D8D" w:rsidRPr="003F0091">
        <w:rPr>
          <w:color w:val="000000"/>
        </w:rPr>
        <w:t xml:space="preserve"> any extremely significant DEGs. The general patterns and trends indicated in Figures </w:t>
      </w:r>
      <w:r w:rsidR="00AD5E45">
        <w:rPr>
          <w:color w:val="000000"/>
        </w:rPr>
        <w:t>4.</w:t>
      </w:r>
      <w:r w:rsidR="00126D8D">
        <w:rPr>
          <w:color w:val="000000"/>
        </w:rPr>
        <w:t>15-</w:t>
      </w:r>
      <w:r w:rsidR="00AD5E45">
        <w:rPr>
          <w:color w:val="000000"/>
        </w:rPr>
        <w:t>4.</w:t>
      </w:r>
      <w:r w:rsidR="00126D8D">
        <w:rPr>
          <w:color w:val="000000"/>
        </w:rPr>
        <w:t>17</w:t>
      </w:r>
      <w:r w:rsidR="00126D8D" w:rsidRPr="003F0091">
        <w:rPr>
          <w:color w:val="000000"/>
        </w:rPr>
        <w:t xml:space="preserve"> suggest</w:t>
      </w:r>
      <w:r>
        <w:rPr>
          <w:color w:val="000000"/>
        </w:rPr>
        <w:t>ed</w:t>
      </w:r>
      <w:r w:rsidR="00126D8D" w:rsidRPr="003F0091">
        <w:rPr>
          <w:color w:val="000000"/>
        </w:rPr>
        <w:t xml:space="preserve"> that different </w:t>
      </w:r>
      <w:r>
        <w:rPr>
          <w:color w:val="000000"/>
        </w:rPr>
        <w:t xml:space="preserve">SL </w:t>
      </w:r>
      <w:r w:rsidR="00126D8D" w:rsidRPr="003F0091">
        <w:rPr>
          <w:color w:val="000000"/>
        </w:rPr>
        <w:t>light treatments cause</w:t>
      </w:r>
      <w:r w:rsidR="0078673F">
        <w:rPr>
          <w:color w:val="000000"/>
        </w:rPr>
        <w:t>d</w:t>
      </w:r>
      <w:r w:rsidR="00126D8D" w:rsidRPr="003F0091">
        <w:rPr>
          <w:color w:val="000000"/>
        </w:rPr>
        <w:t xml:space="preserve"> varying levels of gene expression regulation. Based on the volcano plots, the NB treatment appear</w:t>
      </w:r>
      <w:r>
        <w:rPr>
          <w:color w:val="000000"/>
        </w:rPr>
        <w:t>ed</w:t>
      </w:r>
      <w:r w:rsidR="00126D8D" w:rsidRPr="003F0091">
        <w:rPr>
          <w:color w:val="000000"/>
        </w:rPr>
        <w:t xml:space="preserve"> to have the most significant impact on gene expression, followed by the BW treatment</w:t>
      </w:r>
      <w:r w:rsidR="00677091">
        <w:rPr>
          <w:color w:val="000000"/>
        </w:rPr>
        <w:t>,</w:t>
      </w:r>
      <w:r w:rsidR="00126D8D" w:rsidRPr="003F0091">
        <w:rPr>
          <w:color w:val="000000"/>
        </w:rPr>
        <w:t xml:space="preserve"> and finally, the HPS treatment.</w:t>
      </w:r>
    </w:p>
    <w:p w14:paraId="5D2394F3" w14:textId="40153143" w:rsidR="00126D8D" w:rsidRDefault="00126D8D" w:rsidP="00DC4427">
      <w:pPr>
        <w:spacing w:line="240" w:lineRule="auto"/>
        <w:rPr>
          <w:rFonts w:cs="Times New Roman"/>
          <w:b/>
          <w:color w:val="000000" w:themeColor="text1"/>
          <w:sz w:val="28"/>
        </w:rPr>
      </w:pPr>
    </w:p>
    <w:p w14:paraId="59D9C83D" w14:textId="77777777" w:rsidR="00A67B85" w:rsidRDefault="00A67B85" w:rsidP="00DC4427">
      <w:pPr>
        <w:pStyle w:val="MastersThesisMainTitle"/>
        <w:rPr>
          <w:color w:val="000000" w:themeColor="text1"/>
        </w:rPr>
      </w:pPr>
      <w:bookmarkStart w:id="593" w:name="_Toc139574839"/>
    </w:p>
    <w:p w14:paraId="45DC57B6" w14:textId="77777777" w:rsidR="00A67B85" w:rsidRDefault="00A67B85" w:rsidP="00DC4427">
      <w:pPr>
        <w:pStyle w:val="MastersThesisMainTitle"/>
        <w:rPr>
          <w:color w:val="000000" w:themeColor="text1"/>
        </w:rPr>
      </w:pPr>
    </w:p>
    <w:p w14:paraId="39160D83" w14:textId="12E3BD28" w:rsidR="00126D8D" w:rsidRPr="007039F0" w:rsidRDefault="00126D8D" w:rsidP="00DC4427">
      <w:pPr>
        <w:pStyle w:val="MastersThesisMainTitle"/>
        <w:rPr>
          <w:color w:val="000000" w:themeColor="text1"/>
        </w:rPr>
      </w:pPr>
      <w:bookmarkStart w:id="594" w:name="_Toc141478709"/>
      <w:r w:rsidRPr="00F85226">
        <w:rPr>
          <w:color w:val="000000" w:themeColor="text1"/>
        </w:rPr>
        <w:lastRenderedPageBreak/>
        <w:t>Discussion</w:t>
      </w:r>
      <w:bookmarkEnd w:id="593"/>
      <w:bookmarkEnd w:id="594"/>
    </w:p>
    <w:p w14:paraId="1E112F43" w14:textId="77777777" w:rsidR="00126D8D" w:rsidRPr="003F0091" w:rsidRDefault="00126D8D" w:rsidP="00DC4427">
      <w:pPr>
        <w:pStyle w:val="MastersThesisSectionHeader"/>
      </w:pPr>
      <w:bookmarkStart w:id="595" w:name="_Toc139574840"/>
      <w:bookmarkStart w:id="596" w:name="_Toc141478710"/>
      <w:r w:rsidRPr="003F0091">
        <w:t xml:space="preserve">Influence of Season </w:t>
      </w:r>
      <w:r>
        <w:t>and Treatment on Biomass</w:t>
      </w:r>
      <w:bookmarkEnd w:id="595"/>
      <w:bookmarkEnd w:id="596"/>
    </w:p>
    <w:p w14:paraId="302362C9" w14:textId="2C873606" w:rsidR="00126D8D" w:rsidRDefault="00126D8D" w:rsidP="00677091">
      <w:pPr>
        <w:pStyle w:val="MSThesisBodyTextJustified"/>
      </w:pPr>
      <w:r>
        <w:t xml:space="preserve">The results of our study highlight the significant effects of both seasonal changes and lighting treatments on the fresh and dry masses of hydroponically grown basil. Seasonal changes, characterized by variations in ambient sunlight, were observed to significantly impact fresh and dry masses. Higher values were recorded during summer months compared to winter months. This was generally expected as summer months typically have higher DLIs and more favorable spectral qualities. The higher DLI during summer months likely provided more photosynthetically active radiation, leading to enhanced photosynthesis and, consequently, greater biomass accumulation </w:t>
      </w:r>
      <w:r>
        <w:rPr>
          <w:noProof/>
        </w:rPr>
        <w:t>(</w:t>
      </w:r>
      <w:r w:rsidRPr="00126D8D">
        <w:rPr>
          <w:rFonts w:cstheme="minorBidi"/>
        </w:rPr>
        <w:t>Rihan et al., 2022</w:t>
      </w:r>
      <w:r>
        <w:rPr>
          <w:noProof/>
        </w:rPr>
        <w:t xml:space="preserve">; </w:t>
      </w:r>
      <w:r w:rsidRPr="00126D8D">
        <w:rPr>
          <w:rFonts w:cstheme="minorBidi"/>
        </w:rPr>
        <w:t>Vastakaite-Kairiene et al., 2022</w:t>
      </w:r>
      <w:r>
        <w:rPr>
          <w:noProof/>
        </w:rPr>
        <w:t>)</w:t>
      </w:r>
      <w:r>
        <w:t>. Conversely, the reduced DLI and less favorable spectral quality during winter would limit photosynthetic activity, resulting in lower biomass.</w:t>
      </w:r>
    </w:p>
    <w:p w14:paraId="589193C2" w14:textId="713F77F8" w:rsidR="00126D8D" w:rsidRDefault="00126D8D" w:rsidP="00DC4427">
      <w:pPr>
        <w:pStyle w:val="MSThesisBodyTextJustified"/>
      </w:pPr>
      <w:r>
        <w:t xml:space="preserve">Lighting treatment also significantly influenced fresh and dry masses. Broadband White LEDs led to the highest fresh and dry masses, while the lowest was under </w:t>
      </w:r>
      <w:r w:rsidR="004D2042">
        <w:t xml:space="preserve">the natural light </w:t>
      </w:r>
      <w:r>
        <w:t xml:space="preserve">control. Notably, Narrowband B/R LEDs yielded less biomass than Broadband White LEDs. These results can likely be explained by the differences in spectral quality between broadband and narrowband LEDs </w:t>
      </w:r>
      <w:r>
        <w:rPr>
          <w:noProof/>
        </w:rPr>
        <w:t>(</w:t>
      </w:r>
      <w:r w:rsidRPr="00126D8D">
        <w:rPr>
          <w:rFonts w:cstheme="minorBidi"/>
        </w:rPr>
        <w:t>Pinho et al., 2016</w:t>
      </w:r>
      <w:r>
        <w:rPr>
          <w:noProof/>
        </w:rPr>
        <w:t>)</w:t>
      </w:r>
      <w:r>
        <w:t xml:space="preserve">. Broadband white LEDs provide a broad spectrum of light that closely mimics natural sunlight, potentially promoting higher rates of photosynthesis by stimulating multiple pigments and photoreceptors. On the other hand, B/R LEDs target specific pigments and photoreceptors, which could limit the overall photosynthetic efficiency due to the absence of other beneficial wavelengths within the spectrum, such as orange, yellow, and green. </w:t>
      </w:r>
    </w:p>
    <w:p w14:paraId="63DE520A" w14:textId="16A5BE0D" w:rsidR="00126D8D" w:rsidRDefault="00126D8D" w:rsidP="00DC4427">
      <w:pPr>
        <w:pStyle w:val="MSThesisBodyTextJustified"/>
      </w:pPr>
      <w:r>
        <w:t>Interestingly, in 24-hour low-intensity supplements, Broadband White LEDs performed better than other treatments</w:t>
      </w:r>
      <w:r w:rsidR="00291005">
        <w:t xml:space="preserve"> in this study</w:t>
      </w:r>
      <w:r>
        <w:t xml:space="preserve">. One possible explanation could be that the continuous </w:t>
      </w:r>
      <w:r>
        <w:lastRenderedPageBreak/>
        <w:t xml:space="preserve">provision of a broad spectrum of light enabled plants to sustain photosynthetic activity over a longer period, leading to greater biomass accumulation </w:t>
      </w:r>
      <w:r>
        <w:rPr>
          <w:noProof/>
        </w:rPr>
        <w:t>(</w:t>
      </w:r>
      <w:r w:rsidRPr="00126D8D">
        <w:rPr>
          <w:rFonts w:cstheme="minorBidi"/>
        </w:rPr>
        <w:t>Weaver et al., 2019</w:t>
      </w:r>
      <w:r>
        <w:rPr>
          <w:noProof/>
        </w:rPr>
        <w:t xml:space="preserve">; </w:t>
      </w:r>
      <w:r w:rsidRPr="00126D8D">
        <w:rPr>
          <w:rFonts w:cstheme="minorBidi"/>
        </w:rPr>
        <w:t>Boldt and Altland, 2022</w:t>
      </w:r>
      <w:r>
        <w:rPr>
          <w:noProof/>
        </w:rPr>
        <w:t>)</w:t>
      </w:r>
      <w:r>
        <w:t>.</w:t>
      </w:r>
    </w:p>
    <w:p w14:paraId="62FE3E4B" w14:textId="77777777" w:rsidR="00126D8D" w:rsidRPr="003F0091" w:rsidRDefault="00126D8D" w:rsidP="00DC4427">
      <w:pPr>
        <w:pStyle w:val="MSThesisBodyTextJustified"/>
      </w:pPr>
      <w:r>
        <w:t>These findings highlight the importance of considering both the DLI and spectral quality when designing lighting strategies for controlled environment agriculture. However, further research is needed to fully understand the complex and species-dependent interactions between light and other environmental factors in influencing plant growth and development. Future studies could explore the effects of these factors on other aspects of plant physiology, such as nutrient uptake and secondary metabolite production.</w:t>
      </w:r>
    </w:p>
    <w:p w14:paraId="4EA8BC54" w14:textId="311DB317" w:rsidR="00126D8D" w:rsidRDefault="00126D8D" w:rsidP="00DC4427">
      <w:pPr>
        <w:spacing w:line="240" w:lineRule="auto"/>
        <w:rPr>
          <w:rFonts w:cs="Times New Roman"/>
          <w:b/>
          <w:bCs/>
          <w:i/>
          <w:iCs/>
        </w:rPr>
      </w:pPr>
    </w:p>
    <w:p w14:paraId="3A4DD0BC" w14:textId="77777777" w:rsidR="00126D8D" w:rsidRPr="003F0091" w:rsidRDefault="00126D8D" w:rsidP="00DC4427">
      <w:pPr>
        <w:pStyle w:val="MastersThesisSectionHeader"/>
      </w:pPr>
      <w:bookmarkStart w:id="597" w:name="_Toc139574841"/>
      <w:bookmarkStart w:id="598" w:name="_Toc141478711"/>
      <w:r>
        <w:t>Elemental Nutrient Tissue</w:t>
      </w:r>
      <w:r w:rsidRPr="003F0091">
        <w:t xml:space="preserve"> Analysis</w:t>
      </w:r>
      <w:bookmarkEnd w:id="597"/>
      <w:bookmarkEnd w:id="598"/>
    </w:p>
    <w:p w14:paraId="564D9D8E" w14:textId="2AEA69A5" w:rsidR="00126D8D" w:rsidRPr="00B55B47" w:rsidRDefault="00126D8D" w:rsidP="00DC4427">
      <w:pPr>
        <w:pStyle w:val="MSThesisBodyTextJustified"/>
        <w:rPr>
          <w:color w:val="000000" w:themeColor="text1"/>
        </w:rPr>
      </w:pPr>
      <w:r>
        <w:rPr>
          <w:color w:val="000000" w:themeColor="text1"/>
        </w:rPr>
        <w:t xml:space="preserve">Nutrient analysis showed that </w:t>
      </w:r>
      <w:r w:rsidRPr="00B55B47">
        <w:rPr>
          <w:color w:val="000000" w:themeColor="text1"/>
        </w:rPr>
        <w:t>seasonal changes</w:t>
      </w:r>
      <w:r>
        <w:rPr>
          <w:color w:val="000000" w:themeColor="text1"/>
        </w:rPr>
        <w:t xml:space="preserve"> in sunlight</w:t>
      </w:r>
      <w:r w:rsidRPr="00B55B47">
        <w:rPr>
          <w:color w:val="000000" w:themeColor="text1"/>
        </w:rPr>
        <w:t xml:space="preserve"> and supplemental lighting treatments influence</w:t>
      </w:r>
      <w:r w:rsidR="00CE61E4">
        <w:rPr>
          <w:color w:val="000000" w:themeColor="text1"/>
        </w:rPr>
        <w:t>d</w:t>
      </w:r>
      <w:r w:rsidRPr="00B55B47">
        <w:rPr>
          <w:color w:val="000000" w:themeColor="text1"/>
        </w:rPr>
        <w:t xml:space="preserve"> macro- and micronutrient mineral concentrations in hydroponically grown 'Genovese' basil. The observed patterns in nutrient accumulation can be attributed to the variations in daily light integral (DLI) and spectral quality associated with each season, as well as the distinct spectral qualit</w:t>
      </w:r>
      <w:r>
        <w:rPr>
          <w:color w:val="000000" w:themeColor="text1"/>
        </w:rPr>
        <w:t>ies</w:t>
      </w:r>
      <w:r w:rsidRPr="00B55B47">
        <w:rPr>
          <w:color w:val="000000" w:themeColor="text1"/>
        </w:rPr>
        <w:t xml:space="preserve"> offered by different lighting treatments.</w:t>
      </w:r>
    </w:p>
    <w:p w14:paraId="7AA22195" w14:textId="323B81A3" w:rsidR="00126D8D" w:rsidRPr="00B55B47" w:rsidRDefault="00126D8D" w:rsidP="00DC4427">
      <w:pPr>
        <w:pStyle w:val="MSThesisBodyTextJustified"/>
        <w:rPr>
          <w:color w:val="000000" w:themeColor="text1"/>
        </w:rPr>
      </w:pPr>
      <w:r w:rsidRPr="00B55B47">
        <w:rPr>
          <w:color w:val="000000" w:themeColor="text1"/>
        </w:rPr>
        <w:t xml:space="preserve">Seasonal changes had a substantial impact on the accumulation of certain macronutrients. N and </w:t>
      </w:r>
      <w:r w:rsidR="00625CC0">
        <w:rPr>
          <w:color w:val="000000" w:themeColor="text1"/>
        </w:rPr>
        <w:t>K</w:t>
      </w:r>
      <w:r w:rsidR="00625CC0" w:rsidRPr="00B55B47">
        <w:rPr>
          <w:color w:val="000000" w:themeColor="text1"/>
        </w:rPr>
        <w:t xml:space="preserve"> </w:t>
      </w:r>
      <w:r w:rsidRPr="00B55B47">
        <w:rPr>
          <w:color w:val="000000" w:themeColor="text1"/>
        </w:rPr>
        <w:t xml:space="preserve">concentrations decreased significantly </w:t>
      </w:r>
      <w:r w:rsidR="00CE61E4">
        <w:rPr>
          <w:color w:val="000000" w:themeColor="text1"/>
        </w:rPr>
        <w:t xml:space="preserve">in </w:t>
      </w:r>
      <w:r w:rsidRPr="00B55B47">
        <w:rPr>
          <w:color w:val="000000" w:themeColor="text1"/>
        </w:rPr>
        <w:t xml:space="preserve">summer </w:t>
      </w:r>
      <w:r w:rsidR="00CE61E4">
        <w:rPr>
          <w:color w:val="000000" w:themeColor="text1"/>
        </w:rPr>
        <w:t>compared</w:t>
      </w:r>
      <w:r w:rsidRPr="00B55B47">
        <w:rPr>
          <w:color w:val="000000" w:themeColor="text1"/>
        </w:rPr>
        <w:t xml:space="preserve"> to winter, a trend that could be attributed to the lower DLI and altered spectral quality during the winter months</w:t>
      </w:r>
      <w:r>
        <w:rPr>
          <w:color w:val="000000" w:themeColor="text1"/>
        </w:rPr>
        <w:t xml:space="preserve">. </w:t>
      </w:r>
      <w:r w:rsidRPr="00B55B47">
        <w:rPr>
          <w:color w:val="000000" w:themeColor="text1"/>
        </w:rPr>
        <w:t xml:space="preserve">Conversely, Mg and Ca concentrations </w:t>
      </w:r>
      <w:r w:rsidR="004C00CF">
        <w:rPr>
          <w:color w:val="000000" w:themeColor="text1"/>
        </w:rPr>
        <w:t>were</w:t>
      </w:r>
      <w:r w:rsidR="002101B6">
        <w:rPr>
          <w:color w:val="000000" w:themeColor="text1"/>
        </w:rPr>
        <w:t xml:space="preserve"> higher in</w:t>
      </w:r>
      <w:r w:rsidR="00291005">
        <w:rPr>
          <w:color w:val="000000" w:themeColor="text1"/>
        </w:rPr>
        <w:t xml:space="preserve"> </w:t>
      </w:r>
      <w:r w:rsidRPr="00B55B47">
        <w:rPr>
          <w:color w:val="000000" w:themeColor="text1"/>
        </w:rPr>
        <w:t xml:space="preserve">summer </w:t>
      </w:r>
      <w:r w:rsidR="002101B6">
        <w:rPr>
          <w:color w:val="000000" w:themeColor="text1"/>
        </w:rPr>
        <w:t xml:space="preserve">than </w:t>
      </w:r>
      <w:r w:rsidR="004C00CF">
        <w:rPr>
          <w:color w:val="000000" w:themeColor="text1"/>
        </w:rPr>
        <w:t xml:space="preserve">in </w:t>
      </w:r>
      <w:r w:rsidRPr="00B55B47">
        <w:rPr>
          <w:color w:val="000000" w:themeColor="text1"/>
        </w:rPr>
        <w:t xml:space="preserve">winter, suggesting these nutrients may </w:t>
      </w:r>
      <w:r w:rsidR="002101B6">
        <w:rPr>
          <w:color w:val="000000" w:themeColor="text1"/>
        </w:rPr>
        <w:t>have</w:t>
      </w:r>
      <w:r w:rsidRPr="00B55B47">
        <w:rPr>
          <w:color w:val="000000" w:themeColor="text1"/>
        </w:rPr>
        <w:t xml:space="preserve"> be</w:t>
      </w:r>
      <w:r w:rsidR="002101B6">
        <w:rPr>
          <w:color w:val="000000" w:themeColor="text1"/>
        </w:rPr>
        <w:t>en</w:t>
      </w:r>
      <w:r w:rsidRPr="00B55B47">
        <w:rPr>
          <w:color w:val="000000" w:themeColor="text1"/>
        </w:rPr>
        <w:t xml:space="preserve"> more efficiently absorbed or utilized under conditions of lower light intensity or specific spectral qualities associated with </w:t>
      </w:r>
      <w:r>
        <w:rPr>
          <w:color w:val="000000" w:themeColor="text1"/>
        </w:rPr>
        <w:t xml:space="preserve">winter </w:t>
      </w:r>
      <w:r>
        <w:rPr>
          <w:noProof/>
          <w:color w:val="000000" w:themeColor="text1"/>
        </w:rPr>
        <w:t>(</w:t>
      </w:r>
      <w:r w:rsidRPr="00126D8D">
        <w:rPr>
          <w:rFonts w:cstheme="minorBidi"/>
        </w:rPr>
        <w:t>Samuoliene et al., 2019</w:t>
      </w:r>
      <w:r>
        <w:rPr>
          <w:noProof/>
          <w:color w:val="000000" w:themeColor="text1"/>
        </w:rPr>
        <w:t xml:space="preserve">; </w:t>
      </w:r>
      <w:r w:rsidRPr="00126D8D">
        <w:rPr>
          <w:rFonts w:cstheme="minorBidi"/>
        </w:rPr>
        <w:t>Vaštakaitė-Kairienė et al., 2022a</w:t>
      </w:r>
      <w:r>
        <w:rPr>
          <w:noProof/>
          <w:color w:val="000000" w:themeColor="text1"/>
        </w:rPr>
        <w:t>)</w:t>
      </w:r>
      <w:r>
        <w:rPr>
          <w:color w:val="000000" w:themeColor="text1"/>
        </w:rPr>
        <w:t>.</w:t>
      </w:r>
      <w:r w:rsidRPr="00B55B47">
        <w:rPr>
          <w:color w:val="000000" w:themeColor="text1"/>
        </w:rPr>
        <w:t xml:space="preserve"> The relatively stable P and S concentrations across seasons indicate</w:t>
      </w:r>
      <w:r w:rsidR="002101B6">
        <w:rPr>
          <w:color w:val="000000" w:themeColor="text1"/>
        </w:rPr>
        <w:t>d</w:t>
      </w:r>
      <w:r w:rsidRPr="00B55B47">
        <w:rPr>
          <w:color w:val="000000" w:themeColor="text1"/>
        </w:rPr>
        <w:t xml:space="preserve"> these nutrients may be less influenced by changes in DLI and spectral quality, or other factors may be at play.</w:t>
      </w:r>
    </w:p>
    <w:p w14:paraId="38EF3888" w14:textId="31667491" w:rsidR="00126D8D" w:rsidRPr="00B55B47" w:rsidRDefault="00126D8D" w:rsidP="00DC4427">
      <w:pPr>
        <w:pStyle w:val="MSThesisBodyTextJustified"/>
        <w:rPr>
          <w:color w:val="000000" w:themeColor="text1"/>
        </w:rPr>
      </w:pPr>
      <w:r w:rsidRPr="00B55B47">
        <w:rPr>
          <w:color w:val="000000" w:themeColor="text1"/>
        </w:rPr>
        <w:lastRenderedPageBreak/>
        <w:t xml:space="preserve">A similar pattern was observed for </w:t>
      </w:r>
      <w:r w:rsidR="00276171">
        <w:rPr>
          <w:color w:val="000000" w:themeColor="text1"/>
        </w:rPr>
        <w:t xml:space="preserve">the </w:t>
      </w:r>
      <w:r w:rsidRPr="00B55B47">
        <w:rPr>
          <w:color w:val="000000" w:themeColor="text1"/>
        </w:rPr>
        <w:t xml:space="preserve">micronutrients. Z, Mn, </w:t>
      </w:r>
      <w:r w:rsidR="0086061C">
        <w:rPr>
          <w:color w:val="000000" w:themeColor="text1"/>
        </w:rPr>
        <w:t>Fe</w:t>
      </w:r>
      <w:r w:rsidRPr="00B55B47">
        <w:rPr>
          <w:color w:val="000000" w:themeColor="text1"/>
        </w:rPr>
        <w:t>, and C</w:t>
      </w:r>
      <w:r w:rsidR="0086061C">
        <w:rPr>
          <w:color w:val="000000" w:themeColor="text1"/>
        </w:rPr>
        <w:t>u</w:t>
      </w:r>
      <w:r w:rsidRPr="00B55B47">
        <w:rPr>
          <w:color w:val="000000" w:themeColor="text1"/>
        </w:rPr>
        <w:t xml:space="preserve"> concentrations </w:t>
      </w:r>
      <w:r w:rsidR="002101B6">
        <w:rPr>
          <w:color w:val="000000" w:themeColor="text1"/>
        </w:rPr>
        <w:t xml:space="preserve">were </w:t>
      </w:r>
      <w:r w:rsidRPr="00B55B47">
        <w:rPr>
          <w:color w:val="000000" w:themeColor="text1"/>
        </w:rPr>
        <w:t xml:space="preserve">significantly </w:t>
      </w:r>
      <w:r w:rsidR="002101B6">
        <w:rPr>
          <w:color w:val="000000" w:themeColor="text1"/>
        </w:rPr>
        <w:t xml:space="preserve">lower in </w:t>
      </w:r>
      <w:r w:rsidRPr="00B55B47">
        <w:rPr>
          <w:color w:val="000000" w:themeColor="text1"/>
        </w:rPr>
        <w:t xml:space="preserve">summer </w:t>
      </w:r>
      <w:r w:rsidR="002101B6">
        <w:rPr>
          <w:color w:val="000000" w:themeColor="text1"/>
        </w:rPr>
        <w:t>than in</w:t>
      </w:r>
      <w:r w:rsidRPr="00B55B47">
        <w:rPr>
          <w:color w:val="000000" w:themeColor="text1"/>
        </w:rPr>
        <w:t xml:space="preserve"> winter. This suggests that these nutrients may </w:t>
      </w:r>
      <w:r w:rsidR="002101B6">
        <w:rPr>
          <w:color w:val="000000" w:themeColor="text1"/>
        </w:rPr>
        <w:t xml:space="preserve">have </w:t>
      </w:r>
      <w:r w:rsidRPr="00B55B47">
        <w:rPr>
          <w:color w:val="000000" w:themeColor="text1"/>
        </w:rPr>
        <w:t>be</w:t>
      </w:r>
      <w:r w:rsidR="002101B6">
        <w:rPr>
          <w:color w:val="000000" w:themeColor="text1"/>
        </w:rPr>
        <w:t>en</w:t>
      </w:r>
      <w:r w:rsidRPr="00B55B47">
        <w:rPr>
          <w:color w:val="000000" w:themeColor="text1"/>
        </w:rPr>
        <w:t xml:space="preserve"> more effectively taken up or incorporated into plant tissues under conditions of higher light intensity or particular</w:t>
      </w:r>
      <w:r w:rsidR="00291005">
        <w:rPr>
          <w:color w:val="000000" w:themeColor="text1"/>
        </w:rPr>
        <w:t xml:space="preserve"> </w:t>
      </w:r>
      <w:r w:rsidRPr="00B55B47">
        <w:rPr>
          <w:color w:val="000000" w:themeColor="text1"/>
        </w:rPr>
        <w:t>light spectra present during summer. Boron concentrations, however, remained relatively stable across seasons, indicating its accumulation may be less dependent on light conditions.</w:t>
      </w:r>
    </w:p>
    <w:p w14:paraId="4C58865B" w14:textId="2FAD9629" w:rsidR="00126D8D" w:rsidRPr="00B55B47" w:rsidRDefault="00126D8D" w:rsidP="00DC4427">
      <w:pPr>
        <w:pStyle w:val="MSThesisBodyTextJustified"/>
        <w:rPr>
          <w:color w:val="000000" w:themeColor="text1"/>
        </w:rPr>
      </w:pPr>
      <w:r w:rsidRPr="00B55B47">
        <w:rPr>
          <w:color w:val="000000" w:themeColor="text1"/>
        </w:rPr>
        <w:t xml:space="preserve">When examining the influence of supplemental lighting treatments, it became evident that spectral quality </w:t>
      </w:r>
      <w:r w:rsidR="00291005" w:rsidRPr="00B55B47">
        <w:rPr>
          <w:color w:val="000000" w:themeColor="text1"/>
        </w:rPr>
        <w:t>plays</w:t>
      </w:r>
      <w:r w:rsidRPr="00B55B47">
        <w:rPr>
          <w:color w:val="000000" w:themeColor="text1"/>
        </w:rPr>
        <w:t xml:space="preserve"> a crucial role in nutrient accumulation. For instance, N and </w:t>
      </w:r>
      <w:r w:rsidR="0086061C">
        <w:rPr>
          <w:color w:val="000000" w:themeColor="text1"/>
        </w:rPr>
        <w:t>K</w:t>
      </w:r>
      <w:r w:rsidRPr="00B55B47">
        <w:rPr>
          <w:color w:val="000000" w:themeColor="text1"/>
        </w:rPr>
        <w:t xml:space="preserve"> concentrations were highest under the NL </w:t>
      </w:r>
      <w:r w:rsidR="00105B56">
        <w:rPr>
          <w:color w:val="000000" w:themeColor="text1"/>
        </w:rPr>
        <w:t>environment</w:t>
      </w:r>
      <w:r w:rsidRPr="00B55B47">
        <w:rPr>
          <w:color w:val="000000" w:themeColor="text1"/>
        </w:rPr>
        <w:t>, which provide</w:t>
      </w:r>
      <w:r w:rsidR="00105B56">
        <w:rPr>
          <w:color w:val="000000" w:themeColor="text1"/>
        </w:rPr>
        <w:t>d</w:t>
      </w:r>
      <w:r w:rsidRPr="00B55B47">
        <w:rPr>
          <w:color w:val="000000" w:themeColor="text1"/>
        </w:rPr>
        <w:t xml:space="preserve"> a full spectrum of sunlight, and lowest under the </w:t>
      </w:r>
      <w:r>
        <w:rPr>
          <w:color w:val="000000" w:themeColor="text1"/>
        </w:rPr>
        <w:t>Narrowband B/R</w:t>
      </w:r>
      <w:r w:rsidRPr="00B55B47">
        <w:rPr>
          <w:color w:val="000000" w:themeColor="text1"/>
        </w:rPr>
        <w:t xml:space="preserve"> LED treatment, which offer</w:t>
      </w:r>
      <w:r w:rsidR="00105B56">
        <w:rPr>
          <w:color w:val="000000" w:themeColor="text1"/>
        </w:rPr>
        <w:t>ed</w:t>
      </w:r>
      <w:r w:rsidRPr="00B55B47">
        <w:rPr>
          <w:color w:val="000000" w:themeColor="text1"/>
        </w:rPr>
        <w:t xml:space="preserve"> a limited light spectrum targeting specific photoreceptors. This suggest</w:t>
      </w:r>
      <w:r w:rsidR="00105B56">
        <w:rPr>
          <w:color w:val="000000" w:themeColor="text1"/>
        </w:rPr>
        <w:t>ed</w:t>
      </w:r>
      <w:r w:rsidRPr="00B55B47">
        <w:rPr>
          <w:color w:val="000000" w:themeColor="text1"/>
        </w:rPr>
        <w:t xml:space="preserve"> that a broad spectrum of light, which stimulates multiple photoreceptors, may enhance the uptake or utilization of these nutrients.</w:t>
      </w:r>
    </w:p>
    <w:p w14:paraId="7B273FCD" w14:textId="4EB18D88" w:rsidR="00126D8D" w:rsidRPr="00B55B47" w:rsidRDefault="00126D8D" w:rsidP="00DC4427">
      <w:pPr>
        <w:pStyle w:val="MSThesisBodyTextJustified"/>
        <w:rPr>
          <w:color w:val="000000" w:themeColor="text1"/>
        </w:rPr>
      </w:pPr>
      <w:r w:rsidRPr="00B55B47">
        <w:rPr>
          <w:color w:val="000000" w:themeColor="text1"/>
        </w:rPr>
        <w:t xml:space="preserve">Interestingly, P, Mg, Ca and S concentrations were highest under the </w:t>
      </w:r>
      <w:r>
        <w:rPr>
          <w:color w:val="000000" w:themeColor="text1"/>
        </w:rPr>
        <w:t>Narrowband B/R</w:t>
      </w:r>
      <w:r w:rsidRPr="00B55B47">
        <w:rPr>
          <w:color w:val="000000" w:themeColor="text1"/>
        </w:rPr>
        <w:t xml:space="preserve"> LED treatment, indicating </w:t>
      </w:r>
      <w:r>
        <w:rPr>
          <w:color w:val="000000" w:themeColor="text1"/>
        </w:rPr>
        <w:t xml:space="preserve">these wavelengths </w:t>
      </w:r>
      <w:r w:rsidRPr="00B55B47">
        <w:rPr>
          <w:color w:val="000000" w:themeColor="text1"/>
        </w:rPr>
        <w:t>promote</w:t>
      </w:r>
      <w:r w:rsidR="00105B56">
        <w:rPr>
          <w:color w:val="000000" w:themeColor="text1"/>
        </w:rPr>
        <w:t>d</w:t>
      </w:r>
      <w:r w:rsidRPr="00B55B47">
        <w:rPr>
          <w:color w:val="000000" w:themeColor="text1"/>
        </w:rPr>
        <w:t xml:space="preserve"> the accumulation of these nutrients. This underscores the complexity of light-nutrient interactions and the potential for optimizing light spectra to enhance nutrient content in crops</w:t>
      </w:r>
      <w:r>
        <w:rPr>
          <w:color w:val="000000" w:themeColor="text1"/>
        </w:rPr>
        <w:t>.</w:t>
      </w:r>
    </w:p>
    <w:p w14:paraId="2BC78725" w14:textId="6296A0FA" w:rsidR="00126D8D" w:rsidRPr="00B55B47" w:rsidRDefault="00126D8D" w:rsidP="00DC4427">
      <w:pPr>
        <w:pStyle w:val="MSThesisBodyTextJustified"/>
        <w:rPr>
          <w:color w:val="000000" w:themeColor="text1"/>
        </w:rPr>
      </w:pPr>
      <w:r w:rsidRPr="00B55B47">
        <w:rPr>
          <w:color w:val="000000" w:themeColor="text1"/>
        </w:rPr>
        <w:t>Micronutrient concentrations also varied significantly across the different lighting treatments. The highest concentrations of Z, Mn, and C</w:t>
      </w:r>
      <w:r w:rsidR="0086061C">
        <w:rPr>
          <w:color w:val="000000" w:themeColor="text1"/>
        </w:rPr>
        <w:t>u</w:t>
      </w:r>
      <w:r w:rsidRPr="00B55B47">
        <w:rPr>
          <w:color w:val="000000" w:themeColor="text1"/>
        </w:rPr>
        <w:t xml:space="preserve"> were observed </w:t>
      </w:r>
      <w:r w:rsidR="008E79A4">
        <w:rPr>
          <w:color w:val="000000" w:themeColor="text1"/>
        </w:rPr>
        <w:t xml:space="preserve">for plants </w:t>
      </w:r>
      <w:r w:rsidRPr="00B55B47">
        <w:rPr>
          <w:color w:val="000000" w:themeColor="text1"/>
        </w:rPr>
        <w:t>under the NL control, again suggesting that a full spectrum of light may facilitate the absorption or incorporation of these nutrients</w:t>
      </w:r>
      <w:r>
        <w:rPr>
          <w:color w:val="000000" w:themeColor="text1"/>
        </w:rPr>
        <w:t xml:space="preserve">. </w:t>
      </w:r>
      <w:r w:rsidRPr="00B55B47">
        <w:rPr>
          <w:color w:val="000000" w:themeColor="text1"/>
        </w:rPr>
        <w:t xml:space="preserve">However, B and </w:t>
      </w:r>
      <w:r w:rsidR="0086061C">
        <w:rPr>
          <w:color w:val="000000" w:themeColor="text1"/>
        </w:rPr>
        <w:t>Fe</w:t>
      </w:r>
      <w:r w:rsidRPr="00B55B47">
        <w:rPr>
          <w:color w:val="000000" w:themeColor="text1"/>
        </w:rPr>
        <w:t xml:space="preserve"> concentrations were highest under the HPS treatment, indicating that the specific spectral quality provided by this light source may enhance the accumulation of these nutrients.</w:t>
      </w:r>
    </w:p>
    <w:p w14:paraId="20987108" w14:textId="47AA84D1" w:rsidR="00126D8D" w:rsidRPr="003F0091" w:rsidRDefault="00126D8D" w:rsidP="00DC4427">
      <w:pPr>
        <w:pStyle w:val="MSThesisBodyTextJustified"/>
        <w:rPr>
          <w:color w:val="000000" w:themeColor="text1"/>
        </w:rPr>
      </w:pPr>
      <w:r w:rsidRPr="00B55B47">
        <w:rPr>
          <w:color w:val="000000" w:themeColor="text1"/>
        </w:rPr>
        <w:lastRenderedPageBreak/>
        <w:t>These findings corroborate previous research demonstrating that light conditions, including DLI and spectral quality, can significantly influence nutrient uptake and assimilation in plants</w:t>
      </w:r>
      <w:r>
        <w:rPr>
          <w:color w:val="000000" w:themeColor="text1"/>
        </w:rPr>
        <w:t xml:space="preserve"> </w:t>
      </w:r>
      <w:r>
        <w:rPr>
          <w:noProof/>
          <w:color w:val="000000" w:themeColor="text1"/>
        </w:rPr>
        <w:t>(</w:t>
      </w:r>
      <w:r w:rsidRPr="00126D8D">
        <w:rPr>
          <w:rFonts w:cstheme="minorBidi"/>
        </w:rPr>
        <w:t>Pinho et al., 2016</w:t>
      </w:r>
      <w:r>
        <w:rPr>
          <w:noProof/>
          <w:color w:val="000000" w:themeColor="text1"/>
        </w:rPr>
        <w:t xml:space="preserve">; </w:t>
      </w:r>
      <w:r w:rsidRPr="00126D8D">
        <w:rPr>
          <w:rFonts w:cstheme="minorBidi"/>
        </w:rPr>
        <w:t>Samuoliene et al., 2019</w:t>
      </w:r>
      <w:r>
        <w:rPr>
          <w:noProof/>
          <w:color w:val="000000" w:themeColor="text1"/>
        </w:rPr>
        <w:t xml:space="preserve">; </w:t>
      </w:r>
      <w:r w:rsidRPr="00126D8D">
        <w:rPr>
          <w:rFonts w:cstheme="minorBidi"/>
        </w:rPr>
        <w:t>Hammock et al., 2020</w:t>
      </w:r>
      <w:r>
        <w:rPr>
          <w:noProof/>
          <w:color w:val="000000" w:themeColor="text1"/>
        </w:rPr>
        <w:t xml:space="preserve">; </w:t>
      </w:r>
      <w:r w:rsidRPr="00126D8D">
        <w:rPr>
          <w:rFonts w:cstheme="minorBidi"/>
        </w:rPr>
        <w:t>Brazaityte et al., 2021</w:t>
      </w:r>
      <w:r>
        <w:rPr>
          <w:noProof/>
          <w:color w:val="000000" w:themeColor="text1"/>
        </w:rPr>
        <w:t xml:space="preserve">; </w:t>
      </w:r>
      <w:r w:rsidRPr="00126D8D">
        <w:rPr>
          <w:rFonts w:cstheme="minorBidi"/>
        </w:rPr>
        <w:t>Vaštakaitė-Kairienė et al., 2022a</w:t>
      </w:r>
      <w:r>
        <w:rPr>
          <w:noProof/>
          <w:color w:val="000000" w:themeColor="text1"/>
        </w:rPr>
        <w:t xml:space="preserve">; </w:t>
      </w:r>
      <w:r w:rsidRPr="00126D8D">
        <w:rPr>
          <w:rFonts w:cstheme="minorBidi"/>
        </w:rPr>
        <w:t>Vaštakaitė-Kairienė et al., 2022b</w:t>
      </w:r>
      <w:r>
        <w:rPr>
          <w:noProof/>
          <w:color w:val="000000" w:themeColor="text1"/>
        </w:rPr>
        <w:t>)</w:t>
      </w:r>
      <w:r>
        <w:rPr>
          <w:color w:val="000000" w:themeColor="text1"/>
        </w:rPr>
        <w:t xml:space="preserve">. </w:t>
      </w:r>
      <w:r w:rsidRPr="00B55B47">
        <w:rPr>
          <w:color w:val="000000" w:themeColor="text1"/>
        </w:rPr>
        <w:t xml:space="preserve">They </w:t>
      </w:r>
      <w:r>
        <w:rPr>
          <w:color w:val="000000" w:themeColor="text1"/>
        </w:rPr>
        <w:t xml:space="preserve">also </w:t>
      </w:r>
      <w:r w:rsidRPr="00B55B47">
        <w:rPr>
          <w:color w:val="000000" w:themeColor="text1"/>
        </w:rPr>
        <w:t xml:space="preserve">highlight the potential of manipulating light conditions to optimize nutrient content in crops, particularly in controlled environment agriculture where light can be precisely controlled. Future research should continue to explore these light-nutrient interactions, including the underlying physiological and molecular mechanisms, </w:t>
      </w:r>
      <w:r>
        <w:rPr>
          <w:color w:val="000000" w:themeColor="text1"/>
        </w:rPr>
        <w:t xml:space="preserve">to </w:t>
      </w:r>
      <w:r w:rsidR="006143E1">
        <w:rPr>
          <w:color w:val="000000" w:themeColor="text1"/>
        </w:rPr>
        <w:t>further</w:t>
      </w:r>
      <w:r w:rsidR="000A4740">
        <w:rPr>
          <w:color w:val="000000" w:themeColor="text1"/>
        </w:rPr>
        <w:t xml:space="preserve"> </w:t>
      </w:r>
      <w:r>
        <w:rPr>
          <w:color w:val="000000" w:themeColor="text1"/>
        </w:rPr>
        <w:t>enhance</w:t>
      </w:r>
      <w:r w:rsidRPr="00B55B47">
        <w:rPr>
          <w:color w:val="000000" w:themeColor="text1"/>
        </w:rPr>
        <w:t xml:space="preserve"> our ability to produce nutritionally superior crops.</w:t>
      </w:r>
    </w:p>
    <w:p w14:paraId="13350A8A" w14:textId="5B6C4841" w:rsidR="00126D8D" w:rsidRDefault="00126D8D" w:rsidP="00DC4427">
      <w:pPr>
        <w:spacing w:line="240" w:lineRule="auto"/>
        <w:rPr>
          <w:rFonts w:cs="Times New Roman"/>
          <w:color w:val="000000" w:themeColor="text1"/>
        </w:rPr>
      </w:pPr>
    </w:p>
    <w:p w14:paraId="74E2004F" w14:textId="77777777" w:rsidR="00126D8D" w:rsidRDefault="00126D8D" w:rsidP="00DC4427">
      <w:pPr>
        <w:pStyle w:val="MastersThesisSectionHeader"/>
      </w:pPr>
      <w:bookmarkStart w:id="599" w:name="_Toc139574842"/>
      <w:bookmarkStart w:id="600" w:name="_Toc141478712"/>
      <w:r w:rsidRPr="0033423A">
        <w:t>Principal Component Analysis of Biomass and Nutrient Analysis</w:t>
      </w:r>
      <w:bookmarkEnd w:id="599"/>
      <w:bookmarkEnd w:id="600"/>
    </w:p>
    <w:p w14:paraId="1D32CF09" w14:textId="2AE80B28" w:rsidR="00126D8D" w:rsidRDefault="00126D8D" w:rsidP="00DC4427">
      <w:pPr>
        <w:pStyle w:val="MSThesisBodyTextJustified"/>
      </w:pPr>
      <w:r>
        <w:t xml:space="preserve">The Principal Component Analysis (PCA) of our data revealed distinct patterns and associations </w:t>
      </w:r>
      <w:r w:rsidR="004C00CF">
        <w:t xml:space="preserve">of </w:t>
      </w:r>
      <w:r>
        <w:t>light treatments</w:t>
      </w:r>
      <w:r w:rsidR="004C00CF">
        <w:t xml:space="preserve"> effects on</w:t>
      </w:r>
      <w:r>
        <w:t xml:space="preserve"> fresh/dry biomass (FM/DM), and nutrient concentrations, underlining the complex interplay between light conditions and plant growth and nutrition. Principal components PC1 and PC3 accounted for a substantial portion of the variability in the data, demonstrating the significant influence of light conditions on these parameters.</w:t>
      </w:r>
    </w:p>
    <w:p w14:paraId="413D5B52" w14:textId="77777777" w:rsidR="00126D8D" w:rsidRDefault="00126D8D" w:rsidP="00DC4427">
      <w:pPr>
        <w:pStyle w:val="MSThesisBodyTextJustified"/>
      </w:pPr>
      <w:r>
        <w:t xml:space="preserve">The </w:t>
      </w:r>
      <w:bookmarkStart w:id="601" w:name="_Hlk140331650"/>
      <w:r>
        <w:t>PCA biplot</w:t>
      </w:r>
      <w:bookmarkEnd w:id="601"/>
      <w:r>
        <w:t xml:space="preserve"> distinctly segregated the four light treatments into separate quadrants, each characterized by a unique profile of biomass and nutrient accumulation. This segregation is reflective of the impact of spectral quality on plant physiology, with different light spectra favoring the accumulation of specific nutrients and influencing biomass production.</w:t>
      </w:r>
    </w:p>
    <w:p w14:paraId="69E52477" w14:textId="11AC3267" w:rsidR="00126D8D" w:rsidRDefault="00126D8D" w:rsidP="00DC4427">
      <w:pPr>
        <w:pStyle w:val="MSThesisBodyTextJustified"/>
      </w:pPr>
      <w:r>
        <w:t xml:space="preserve"> </w:t>
      </w:r>
      <w:r w:rsidR="0086061C">
        <w:t>T</w:t>
      </w:r>
      <w:r>
        <w:t xml:space="preserve">he HPS treatment was strongly correlated with FM/DM and </w:t>
      </w:r>
      <w:r w:rsidR="00276171">
        <w:t>the nutrient</w:t>
      </w:r>
      <w:r>
        <w:t xml:space="preserve">. </w:t>
      </w:r>
      <w:r w:rsidR="0086061C">
        <w:t>T</w:t>
      </w:r>
      <w:r>
        <w:t xml:space="preserve">he Broadband White treatment showed a positive correlation with </w:t>
      </w:r>
      <w:r w:rsidR="00F21A4F">
        <w:t xml:space="preserve">nutrients </w:t>
      </w:r>
      <w:r>
        <w:t xml:space="preserve">Fe, N, Cu, B, and K. This suggests that the broad spectrum provided by Broadband White LEDs enhances the uptake or utilization of these nutrients, leading to their increased accumulation. </w:t>
      </w:r>
      <w:r w:rsidR="00F21A4F">
        <w:t>T</w:t>
      </w:r>
      <w:r>
        <w:t>he NL control displayed a significant association with Zn, Mg, and Mn. This pattern suggest</w:t>
      </w:r>
      <w:r w:rsidR="00D00610">
        <w:t>ed</w:t>
      </w:r>
      <w:r>
        <w:t xml:space="preserve"> that natural light, with its full spectrum, </w:t>
      </w:r>
      <w:r>
        <w:lastRenderedPageBreak/>
        <w:t xml:space="preserve">may enhance the absorption or incorporation of these nutrients. In contrast, the </w:t>
      </w:r>
      <w:r w:rsidR="00351246" w:rsidRPr="00351246">
        <w:t xml:space="preserve">PCA biplot </w:t>
      </w:r>
      <w:r w:rsidR="00351246">
        <w:t xml:space="preserve">showed the </w:t>
      </w:r>
      <w:r>
        <w:t>Narrowband B/R treatment was correlated with P and Ca.</w:t>
      </w:r>
    </w:p>
    <w:p w14:paraId="16B4D49B" w14:textId="77777777" w:rsidR="00126D8D" w:rsidRDefault="00126D8D" w:rsidP="00DC4427">
      <w:pPr>
        <w:pStyle w:val="MSThesisBodyTextJustified"/>
      </w:pPr>
      <w:r>
        <w:t>Interestingly, PC1 was positively associated with FM/DM but negatively associated with many of the individual nutrients. This inverse relationship suggests a trade-off between biomass production and nutrient concentration under different light treatments. It could be speculated that under certain light conditions, plants prioritize biomass production and have reduced concentrations of certain nutrients. Alternatively, it could reflect dilution effects, where increased biomass results in a decreased nutrient concentration relative to the total plant biomass.</w:t>
      </w:r>
    </w:p>
    <w:p w14:paraId="324CFCF3" w14:textId="77777777" w:rsidR="00126D8D" w:rsidRPr="003F0091" w:rsidRDefault="00126D8D" w:rsidP="00DC4427">
      <w:pPr>
        <w:pStyle w:val="MSThesisBodyTextJustified"/>
        <w:rPr>
          <w:color w:val="000000" w:themeColor="text1"/>
        </w:rPr>
      </w:pPr>
      <w:r>
        <w:t>These findings highlight the potential of manipulating light conditions to optimize both biomass production and nutrient content in crops, particularly in controlled environment agriculture. However, they also underscore the complexity of these interactions and the need for further research to understand the underlying mechanisms fully and to develop effective lighting strategies that balance the need for high yield and nutritional quality.</w:t>
      </w:r>
    </w:p>
    <w:p w14:paraId="4E90CA6C" w14:textId="641CC9B7" w:rsidR="00126D8D" w:rsidRDefault="00126D8D" w:rsidP="00A67B85">
      <w:pPr>
        <w:pStyle w:val="MSThesisBodyTextJustified"/>
        <w:ind w:firstLine="0"/>
        <w:rPr>
          <w:b/>
          <w:bCs/>
          <w:i/>
          <w:iCs/>
          <w:highlight w:val="yellow"/>
        </w:rPr>
      </w:pPr>
    </w:p>
    <w:p w14:paraId="23B26A67" w14:textId="77777777" w:rsidR="00126D8D" w:rsidRPr="003F0091" w:rsidRDefault="00126D8D" w:rsidP="00DC4427">
      <w:pPr>
        <w:pStyle w:val="MastersThesisSectionHeader"/>
      </w:pPr>
      <w:bookmarkStart w:id="602" w:name="_Toc139574843"/>
      <w:bookmarkStart w:id="603" w:name="_Toc141478713"/>
      <w:r w:rsidRPr="00627C41">
        <w:t>Transcriptome Analysis</w:t>
      </w:r>
      <w:bookmarkEnd w:id="602"/>
      <w:bookmarkEnd w:id="603"/>
    </w:p>
    <w:p w14:paraId="0EA8AABE" w14:textId="170C7191" w:rsidR="00126D8D" w:rsidRPr="003F0091" w:rsidRDefault="00126D8D" w:rsidP="00DC4427">
      <w:pPr>
        <w:pStyle w:val="MSThesisBodyTextJustified"/>
      </w:pPr>
      <w:r w:rsidRPr="003F0091">
        <w:t xml:space="preserve">RNA sequencing and transcriptomic analyses were used to investigate the impact of SL and ambient spectra on the regulation of </w:t>
      </w:r>
      <w:r>
        <w:t>primary</w:t>
      </w:r>
      <w:r w:rsidRPr="003F0091">
        <w:t xml:space="preserve"> metabolism</w:t>
      </w:r>
      <w:r>
        <w:t xml:space="preserve"> of basil. </w:t>
      </w:r>
      <w:r w:rsidRPr="003F0091">
        <w:t xml:space="preserve">Our results revealed a significant number of differentially expressed genes (DEGs) across both summer and winter growing seasons, with distinct patterns of upregulation and downregulation observed </w:t>
      </w:r>
      <w:r w:rsidR="00351246">
        <w:t>with</w:t>
      </w:r>
      <w:r w:rsidR="00351246" w:rsidRPr="003F0091">
        <w:t xml:space="preserve"> </w:t>
      </w:r>
      <w:r w:rsidRPr="003F0091">
        <w:t>different light treatments.</w:t>
      </w:r>
    </w:p>
    <w:p w14:paraId="77AAECC6" w14:textId="77777777" w:rsidR="00126D8D" w:rsidRPr="003F0091" w:rsidRDefault="00126D8D" w:rsidP="00DC4427">
      <w:pPr>
        <w:pStyle w:val="MSThesisBodyTextJustified"/>
      </w:pPr>
      <w:r w:rsidRPr="003F0091">
        <w:t xml:space="preserve">The substantial difference in the number of DEGs identified between the summer and winter growing seasons (4207 vs. 13110, respectively) suggests that the spectral quality and DLI of ambient sunlight significantly influence gene expression and </w:t>
      </w:r>
      <w:r>
        <w:t>primary</w:t>
      </w:r>
      <w:r w:rsidRPr="003F0091">
        <w:t xml:space="preserve"> metabolism regulation. </w:t>
      </w:r>
    </w:p>
    <w:p w14:paraId="734A5925" w14:textId="1616652C" w:rsidR="00126D8D" w:rsidRPr="003F0091" w:rsidRDefault="00126D8D" w:rsidP="00DC4427">
      <w:pPr>
        <w:pStyle w:val="MSThesisBodyTextJustified"/>
      </w:pPr>
      <w:r w:rsidRPr="003F0091">
        <w:lastRenderedPageBreak/>
        <w:t xml:space="preserve">During both summer and winter, </w:t>
      </w:r>
      <w:r>
        <w:t>t</w:t>
      </w:r>
      <w:r w:rsidRPr="003F0091">
        <w:t>he Narrowband 20B/80R (NB) treatment had the highest number of DEGs compared to other supplemental lighting treatments, indicating a more pronounced effect on gene expression. In contrast, the High</w:t>
      </w:r>
      <w:r w:rsidR="00351246">
        <w:t>-</w:t>
      </w:r>
      <w:r w:rsidRPr="003F0091">
        <w:t xml:space="preserve">Pressure Sodium treatment exhibited the lowest number of DEGs, suggesting a lesser impact on gene expression. </w:t>
      </w:r>
    </w:p>
    <w:p w14:paraId="7E7F8F61" w14:textId="77777777" w:rsidR="00126D8D" w:rsidRPr="003F0091" w:rsidRDefault="00126D8D" w:rsidP="00DC4427">
      <w:pPr>
        <w:pStyle w:val="MSThesisBodyTextJustified"/>
      </w:pPr>
    </w:p>
    <w:p w14:paraId="7EAC7578" w14:textId="77777777" w:rsidR="00126D8D" w:rsidRPr="003F0091" w:rsidRDefault="00126D8D" w:rsidP="00DC4427">
      <w:pPr>
        <w:pStyle w:val="MastersThesisSectionHeader"/>
      </w:pPr>
      <w:r>
        <w:t xml:space="preserve"> </w:t>
      </w:r>
      <w:bookmarkStart w:id="604" w:name="_Toc139574844"/>
      <w:bookmarkStart w:id="605" w:name="_Toc141478714"/>
      <w:r w:rsidRPr="006A4011">
        <w:t>Principal Component Analysis of DEGs</w:t>
      </w:r>
      <w:bookmarkEnd w:id="604"/>
      <w:bookmarkEnd w:id="605"/>
    </w:p>
    <w:p w14:paraId="392378E7" w14:textId="46EC1BCF" w:rsidR="00126D8D" w:rsidRPr="003F0091" w:rsidRDefault="00126D8D" w:rsidP="00DC4427">
      <w:pPr>
        <w:pStyle w:val="MSThesisBodyTextJustified"/>
      </w:pPr>
      <w:r w:rsidRPr="003F0091">
        <w:t xml:space="preserve">The principal component analysis (PCA) biplots provided a valuable visualization of the inherent structure and relationships among differentially expressed genes (DEGs) in our multidimensional dataset, comparing </w:t>
      </w:r>
      <w:r>
        <w:t>SL</w:t>
      </w:r>
      <w:r w:rsidRPr="003F0091">
        <w:t xml:space="preserve"> treatments of different spectral qualities with the natural light (NL) control. Figures </w:t>
      </w:r>
      <w:r w:rsidR="00264E2A">
        <w:t>4.</w:t>
      </w:r>
      <w:r>
        <w:t>9</w:t>
      </w:r>
      <w:r w:rsidRPr="003F0091">
        <w:t xml:space="preserve">, </w:t>
      </w:r>
      <w:r w:rsidR="00264E2A">
        <w:t>4.</w:t>
      </w:r>
      <w:r>
        <w:t>10</w:t>
      </w:r>
      <w:r w:rsidRPr="003F0091">
        <w:t xml:space="preserve">, and </w:t>
      </w:r>
      <w:r w:rsidR="00264E2A">
        <w:t>4.</w:t>
      </w:r>
      <w:r>
        <w:t xml:space="preserve">11 </w:t>
      </w:r>
      <w:r w:rsidRPr="003F0091">
        <w:t>illustrate the PCA biplots comparing the effects of Narrowband 20B/80R (NB), Broadband White (BW), and High</w:t>
      </w:r>
      <w:r w:rsidR="00291005">
        <w:t xml:space="preserve"> </w:t>
      </w:r>
      <w:r w:rsidRPr="003F0091">
        <w:t xml:space="preserve">Pressure Sodium (HPS) </w:t>
      </w:r>
      <w:r w:rsidR="00351246">
        <w:t xml:space="preserve">supplemental </w:t>
      </w:r>
      <w:r w:rsidR="00FB7432">
        <w:t>(</w:t>
      </w:r>
      <w:r>
        <w:t>SL</w:t>
      </w:r>
      <w:r w:rsidR="00FB7432">
        <w:t>)</w:t>
      </w:r>
      <w:r w:rsidRPr="003F0091">
        <w:t xml:space="preserve"> treatments to the natural light (NL) control group on plant gene expression. The clustering patterns observed in these biplots suggest that the different lighting treatments impact gene expression in distinct ways, leading to variations in </w:t>
      </w:r>
      <w:r>
        <w:t>primary</w:t>
      </w:r>
      <w:r w:rsidRPr="003F0091">
        <w:t xml:space="preserve"> metabolism and </w:t>
      </w:r>
      <w:r>
        <w:t>nutrient bioaccumulation</w:t>
      </w:r>
      <w:r w:rsidRPr="003F0091">
        <w:t xml:space="preserve">. For instance, the separation between the NB treatment and NL control along the PC2 axis </w:t>
      </w:r>
      <w:r w:rsidR="00FB7432" w:rsidRPr="003F0091">
        <w:t xml:space="preserve">in Figure </w:t>
      </w:r>
      <w:r w:rsidR="00FB7432">
        <w:t>4.</w:t>
      </w:r>
      <w:r w:rsidR="00FB7432" w:rsidRPr="003F0091">
        <w:t>6</w:t>
      </w:r>
      <w:r w:rsidR="00FB7432">
        <w:t xml:space="preserve"> </w:t>
      </w:r>
      <w:r w:rsidRPr="003F0091">
        <w:t xml:space="preserve">suggest that the NB treatment may </w:t>
      </w:r>
      <w:r w:rsidR="00F66AA3">
        <w:t>have</w:t>
      </w:r>
      <w:r w:rsidR="00FB7432">
        <w:t xml:space="preserve"> </w:t>
      </w:r>
      <w:r w:rsidRPr="003F0091">
        <w:t xml:space="preserve">led to higher expression levels for genes with positive loadings on PC2, while the NL control </w:t>
      </w:r>
      <w:r w:rsidR="00F66AA3">
        <w:t>was</w:t>
      </w:r>
      <w:r w:rsidR="00F66AA3" w:rsidRPr="003F0091">
        <w:t xml:space="preserve"> </w:t>
      </w:r>
      <w:r w:rsidRPr="003F0091">
        <w:t xml:space="preserve">associated with lower expression levels for these genes. This observation indicates that the targeted wavelengths provided by the NB treatment, which primarily consists of blue and red light, may impact specific photoreceptors and </w:t>
      </w:r>
      <w:r>
        <w:t>primary</w:t>
      </w:r>
      <w:r w:rsidRPr="003F0091">
        <w:t xml:space="preserve"> metabolic pathways</w:t>
      </w:r>
      <w:r>
        <w:t>.</w:t>
      </w:r>
    </w:p>
    <w:p w14:paraId="20E1F695" w14:textId="0D80C0AA" w:rsidR="00126D8D" w:rsidRPr="003F0091" w:rsidRDefault="00F66AA3" w:rsidP="00DC4427">
      <w:pPr>
        <w:pStyle w:val="MSThesisBodyTextJustified"/>
      </w:pPr>
      <w:r>
        <w:t>T</w:t>
      </w:r>
      <w:r w:rsidR="00126D8D" w:rsidRPr="003F0091">
        <w:t>he BW treatment samples formed cluster</w:t>
      </w:r>
      <w:r w:rsidR="00126D8D">
        <w:t>s</w:t>
      </w:r>
      <w:r w:rsidR="00126D8D" w:rsidRPr="003F0091">
        <w:t xml:space="preserve"> in </w:t>
      </w:r>
      <w:r>
        <w:t>Figure 4.10</w:t>
      </w:r>
      <w:r w:rsidR="00126D8D" w:rsidRPr="003F0091">
        <w:t xml:space="preserve">, suggesting higher expression levels for the genes with positive loadings on both PC1 and PC2 compared to the NL control. Broadband </w:t>
      </w:r>
      <w:r w:rsidR="00126D8D">
        <w:t>W</w:t>
      </w:r>
      <w:r w:rsidR="00126D8D" w:rsidRPr="003F0091">
        <w:t xml:space="preserve">hite light has been shown to promote the synthesis of certain </w:t>
      </w:r>
      <w:r w:rsidR="00126D8D">
        <w:t>primary</w:t>
      </w:r>
      <w:r w:rsidR="00126D8D" w:rsidRPr="003F0091">
        <w:t xml:space="preserve"> metabolites</w:t>
      </w:r>
      <w:r w:rsidR="00126D8D">
        <w:t xml:space="preserve"> </w:t>
      </w:r>
      <w:r w:rsidR="00126D8D" w:rsidRPr="003F0091">
        <w:lastRenderedPageBreak/>
        <w:t xml:space="preserve">due to its ability to provide a more balanced spectrum of light that closely resembles sunlight (Li &amp; Kubota, 2017). This finding implies that the BW treatment may have a positive impact on </w:t>
      </w:r>
      <w:r w:rsidR="00126D8D">
        <w:t>primary</w:t>
      </w:r>
      <w:r w:rsidR="00126D8D" w:rsidRPr="003F0091">
        <w:t xml:space="preserve"> metabolism and </w:t>
      </w:r>
      <w:r w:rsidR="00126D8D">
        <w:t>nutrient uptake</w:t>
      </w:r>
      <w:r w:rsidR="00126D8D" w:rsidRPr="003F0091">
        <w:t xml:space="preserve"> by stimulating gene </w:t>
      </w:r>
      <w:r w:rsidR="00126D8D">
        <w:t>expression.</w:t>
      </w:r>
    </w:p>
    <w:p w14:paraId="17BD829B" w14:textId="1F6BE4D8" w:rsidR="00126D8D" w:rsidRDefault="00126D8D" w:rsidP="00DC4427">
      <w:pPr>
        <w:pStyle w:val="MSThesisBodyTextJustified"/>
      </w:pPr>
      <w:r w:rsidRPr="003F0091">
        <w:t xml:space="preserve">The HPS treatment samples in </w:t>
      </w:r>
      <w:r>
        <w:t>Figure 4.11</w:t>
      </w:r>
      <w:r w:rsidRPr="003F0091">
        <w:t xml:space="preserve"> exhibited wide variance along both the PC1 and PC2 axes, indicating that the HPS treatment led to a more diverse range of gene expression profiles compared to the NL control group. High Pressure Sodium lighting has been widely used in horticulture</w:t>
      </w:r>
      <w:r>
        <w:t>,</w:t>
      </w:r>
      <w:r w:rsidRPr="003F0091">
        <w:t xml:space="preserve"> </w:t>
      </w:r>
      <w:r>
        <w:t>but</w:t>
      </w:r>
      <w:r w:rsidRPr="003F0091">
        <w:t xml:space="preserve"> its predominantly red and orange wavelengths may have a limited impact on </w:t>
      </w:r>
      <w:r>
        <w:t>primary</w:t>
      </w:r>
      <w:r w:rsidRPr="003F0091">
        <w:t xml:space="preserve"> metabolism and </w:t>
      </w:r>
      <w:r>
        <w:t>nutrient uptake</w:t>
      </w:r>
      <w:r w:rsidRPr="003F0091">
        <w:t xml:space="preserve"> due to the lack of blue light</w:t>
      </w:r>
      <w:r>
        <w:t xml:space="preserve">. </w:t>
      </w:r>
      <w:r w:rsidRPr="003F0091">
        <w:t xml:space="preserve">The wide variance observed in the HPS-treated samples may suggest that this treatment group has a broader array of </w:t>
      </w:r>
      <w:r>
        <w:t>primary</w:t>
      </w:r>
      <w:r w:rsidRPr="003F0091">
        <w:t xml:space="preserve"> metabolite production, potentially leading to varying effects on </w:t>
      </w:r>
      <w:r>
        <w:t>nutrient bioaccumulation</w:t>
      </w:r>
      <w:r w:rsidR="00291005">
        <w:t>.</w:t>
      </w:r>
    </w:p>
    <w:p w14:paraId="5C482AEE" w14:textId="1CACC93B" w:rsidR="00126D8D" w:rsidRPr="003F0091" w:rsidRDefault="00126D8D" w:rsidP="00DC4427">
      <w:pPr>
        <w:pStyle w:val="MSThesisBodyTextJustified"/>
      </w:pPr>
      <w:r w:rsidRPr="003F0091">
        <w:t xml:space="preserve">One notable pattern observed in the PCA biplots was the tendency for the NL control samples to generally cluster in the positive PC1 and negative PC2 space, while the treatment samples formed clusters in other </w:t>
      </w:r>
      <w:r w:rsidR="00FB7432" w:rsidRPr="00FB7432">
        <w:t>PCA biplot</w:t>
      </w:r>
      <w:r w:rsidR="00FB7432">
        <w:t xml:space="preserve"> zones</w:t>
      </w:r>
      <w:r w:rsidRPr="003F0091">
        <w:t xml:space="preserve">. This separation suggests that the specific wavelengths provided by the SL treatments may differentially impact specific photoreceptors and </w:t>
      </w:r>
      <w:r>
        <w:t>primary</w:t>
      </w:r>
      <w:r w:rsidRPr="003F0091">
        <w:t xml:space="preserve"> metabolic pathway</w:t>
      </w:r>
      <w:r>
        <w:t>s.</w:t>
      </w:r>
      <w:r w:rsidRPr="003F0091">
        <w:t xml:space="preserve"> The clustering patterns observed in these biplots suggest that the different lighting treatments impact gene expression in distinct ways, leading to variations in </w:t>
      </w:r>
      <w:r>
        <w:t xml:space="preserve">primary metabolic gene expression. </w:t>
      </w:r>
    </w:p>
    <w:p w14:paraId="57A3D642" w14:textId="77777777" w:rsidR="00126D8D" w:rsidRPr="003F0091" w:rsidRDefault="00126D8D" w:rsidP="00DC4427">
      <w:pPr>
        <w:pStyle w:val="MSThesisBodyTextJustified"/>
      </w:pPr>
      <w:r>
        <w:t>Variation across PCA biplots demonstrates</w:t>
      </w:r>
      <w:r w:rsidRPr="003F0091">
        <w:t xml:space="preserve"> </w:t>
      </w:r>
      <w:r>
        <w:t xml:space="preserve">that </w:t>
      </w:r>
      <w:r w:rsidRPr="003F0091">
        <w:t xml:space="preserve">different spectral qualities of supplemental lighting treatments significantly impact gene expression in plants, which in turn influences </w:t>
      </w:r>
      <w:r>
        <w:t>primary metabolism and nutrient uptake.</w:t>
      </w:r>
      <w:r w:rsidRPr="003F0091">
        <w:t xml:space="preserve"> </w:t>
      </w:r>
    </w:p>
    <w:p w14:paraId="435F8E19" w14:textId="77777777" w:rsidR="00126D8D" w:rsidRPr="003F0091" w:rsidRDefault="00126D8D" w:rsidP="00DC4427">
      <w:pPr>
        <w:spacing w:line="240" w:lineRule="auto"/>
        <w:rPr>
          <w:rFonts w:cs="Times New Roman"/>
        </w:rPr>
      </w:pPr>
    </w:p>
    <w:p w14:paraId="43DB330B" w14:textId="77777777" w:rsidR="00126D8D" w:rsidRPr="003F0091" w:rsidRDefault="00126D8D" w:rsidP="00DC4427">
      <w:pPr>
        <w:pStyle w:val="MastersThesisSectionHeader"/>
      </w:pPr>
      <w:bookmarkStart w:id="606" w:name="_Toc139574845"/>
      <w:bookmarkStart w:id="607" w:name="_Toc141478715"/>
      <w:r w:rsidRPr="006A4011">
        <w:t>Biclustering Heat Maps and Volcano Plots</w:t>
      </w:r>
      <w:bookmarkEnd w:id="606"/>
      <w:bookmarkEnd w:id="607"/>
    </w:p>
    <w:p w14:paraId="4B41FE4B" w14:textId="3F99F3FA" w:rsidR="00126D8D" w:rsidRPr="003F0091" w:rsidRDefault="00126D8D" w:rsidP="00DC4427">
      <w:pPr>
        <w:pStyle w:val="MSThesisBodyTextJustified"/>
      </w:pPr>
      <w:r w:rsidRPr="003F0091">
        <w:t xml:space="preserve">Our findings revealed distinct patterns and trends in differentially expressed genes (DEGs) regulation in response to various light treatments. The most notable observation is the opposing </w:t>
      </w:r>
      <w:r w:rsidRPr="003F0091">
        <w:lastRenderedPageBreak/>
        <w:t xml:space="preserve">regulation of DEGs between the NL control and each of the supplemental light treatments (NB, BW, and HPS), highlighting the impact of these </w:t>
      </w:r>
      <w:r w:rsidR="00D67A3F">
        <w:t>SL</w:t>
      </w:r>
      <w:r w:rsidRPr="003F0091">
        <w:t xml:space="preserve"> lighting conditions on gene expression. The degree of distinction between the NL control and each supplemental light treatment varies, with the NB treatment showing the most pronounced differences</w:t>
      </w:r>
      <w:r>
        <w:t xml:space="preserve"> (Fig. </w:t>
      </w:r>
      <w:r w:rsidR="00AD5E45">
        <w:t>4.</w:t>
      </w:r>
      <w:r>
        <w:t>9)</w:t>
      </w:r>
      <w:r w:rsidRPr="003F0091">
        <w:t>, followed by the BW treatment</w:t>
      </w:r>
      <w:r>
        <w:t xml:space="preserve"> (Fig. </w:t>
      </w:r>
      <w:r w:rsidR="00AD5E45">
        <w:t>4.</w:t>
      </w:r>
      <w:r>
        <w:t>10)</w:t>
      </w:r>
      <w:r w:rsidRPr="003F0091">
        <w:t>, and finally</w:t>
      </w:r>
      <w:r>
        <w:t>,</w:t>
      </w:r>
      <w:r w:rsidRPr="003F0091">
        <w:t xml:space="preserve"> the HPS treatment exhibiting the least distinct differences</w:t>
      </w:r>
      <w:r>
        <w:t xml:space="preserve"> (Fig. </w:t>
      </w:r>
      <w:r w:rsidR="00AD5E45">
        <w:t>4.</w:t>
      </w:r>
      <w:r>
        <w:t>11)</w:t>
      </w:r>
      <w:r w:rsidRPr="003F0091">
        <w:t>. This observation suggests that different light treatments may have varying effects on gene expression regulation, with the NB treatment potentially having the most significant impact.</w:t>
      </w:r>
    </w:p>
    <w:p w14:paraId="3DC56028" w14:textId="77777777" w:rsidR="00126D8D" w:rsidRPr="003F0091" w:rsidRDefault="00126D8D" w:rsidP="00DC4427">
      <w:pPr>
        <w:pStyle w:val="MSThesisBodyTextJustified"/>
      </w:pPr>
      <w:r>
        <w:t>NL control vs. NB treatment</w:t>
      </w:r>
      <w:r w:rsidRPr="003F0091">
        <w:t xml:space="preserve"> had the most substantial effect on gene expression compared to the other treatments. </w:t>
      </w:r>
      <w:r>
        <w:t xml:space="preserve">The intensity of expression (significance) of the top 30 genes is moderate compared </w:t>
      </w:r>
      <w:r w:rsidR="00FF744F">
        <w:t xml:space="preserve">to </w:t>
      </w:r>
      <w:r>
        <w:t xml:space="preserve">BW, likely because the NB treatment influenced a wider range of the genome. </w:t>
      </w:r>
    </w:p>
    <w:p w14:paraId="5806C15C" w14:textId="77777777" w:rsidR="00126D8D" w:rsidRPr="003F0091" w:rsidRDefault="00126D8D" w:rsidP="00DC4427">
      <w:pPr>
        <w:pStyle w:val="MSThesisBodyTextJustified"/>
      </w:pPr>
      <w:r w:rsidRPr="003F0091">
        <w:t xml:space="preserve">Compared to the NB treatment, the </w:t>
      </w:r>
      <w:r>
        <w:t>NL control vs. B</w:t>
      </w:r>
      <w:r w:rsidRPr="003F0091">
        <w:t>W treatment displayed a more moderate effect on gene expression.</w:t>
      </w:r>
      <w:r>
        <w:t xml:space="preserve"> </w:t>
      </w:r>
      <w:r w:rsidRPr="003F0091">
        <w:t>This observation could be attributed to the presence of all wavelengths in the white light spectrum, resulting in a more balanced regulation of plant growth and development</w:t>
      </w:r>
      <w:r>
        <w:t xml:space="preserve">. </w:t>
      </w:r>
      <w:r w:rsidRPr="003F0091">
        <w:t xml:space="preserve">Moreover, </w:t>
      </w:r>
      <w:r>
        <w:t>Broadband White</w:t>
      </w:r>
      <w:r w:rsidRPr="003F0091">
        <w:t xml:space="preserve"> light</w:t>
      </w:r>
      <w:r>
        <w:t>, as well as targeted wavelengths within Broadband White light, have</w:t>
      </w:r>
      <w:r w:rsidRPr="003F0091">
        <w:t xml:space="preserve"> been reported to promote </w:t>
      </w:r>
      <w:r>
        <w:t>primary</w:t>
      </w:r>
      <w:r w:rsidRPr="003F0091">
        <w:t xml:space="preserve"> metabolism in some plant species</w:t>
      </w:r>
      <w:r>
        <w:t>.</w:t>
      </w:r>
    </w:p>
    <w:p w14:paraId="1634D6AB" w14:textId="77777777" w:rsidR="00126D8D" w:rsidRDefault="00126D8D" w:rsidP="00DC4427">
      <w:pPr>
        <w:pStyle w:val="MSThesisBodyTextJustified"/>
      </w:pPr>
      <w:r w:rsidRPr="003F0091">
        <w:t xml:space="preserve">The least distinct differences were observed </w:t>
      </w:r>
      <w:r>
        <w:t xml:space="preserve">with the </w:t>
      </w:r>
      <w:r w:rsidRPr="003F0091">
        <w:t xml:space="preserve">NL control </w:t>
      </w:r>
      <w:r>
        <w:t>vs.</w:t>
      </w:r>
      <w:r w:rsidRPr="003F0091">
        <w:t xml:space="preserve"> HPS treatment</w:t>
      </w:r>
      <w:r>
        <w:t xml:space="preserve"> comparison</w:t>
      </w:r>
      <w:r w:rsidRPr="003F0091">
        <w:t xml:space="preserve">. This finding may be attributed to the fact that HPS light contains mostly orange and red wavelengths, which are known </w:t>
      </w:r>
      <w:r>
        <w:t xml:space="preserve">to influence photosynthesis and plant biomass production primarily. </w:t>
      </w:r>
      <w:r w:rsidRPr="003F0091">
        <w:t xml:space="preserve">However, HPS light lacks the blue wavelength, which plays a crucial role in </w:t>
      </w:r>
      <w:r>
        <w:t>primary</w:t>
      </w:r>
      <w:r w:rsidRPr="003F0091">
        <w:t xml:space="preserve"> metabolism regulation</w:t>
      </w:r>
      <w:r>
        <w:t xml:space="preserve">. </w:t>
      </w:r>
      <w:r w:rsidRPr="003F0091">
        <w:t xml:space="preserve">Our analysis </w:t>
      </w:r>
      <w:r>
        <w:t xml:space="preserve">also </w:t>
      </w:r>
      <w:r w:rsidRPr="003F0091">
        <w:t>revealed that seasonal variations played a more significant role in the NL control vs. HPS treatment comparison, indicating that environmental factors may also influence gene expression</w:t>
      </w:r>
      <w:r>
        <w:t>.</w:t>
      </w:r>
    </w:p>
    <w:p w14:paraId="041C1559" w14:textId="02F449C0" w:rsidR="00126D8D" w:rsidRPr="00B01F52" w:rsidRDefault="00126D8D" w:rsidP="00DC4427">
      <w:pPr>
        <w:pStyle w:val="MSThesisBodyTextJustified"/>
        <w:rPr>
          <w:color w:val="000000" w:themeColor="text1"/>
        </w:rPr>
      </w:pPr>
      <w:r>
        <w:lastRenderedPageBreak/>
        <w:t>Volcano plots confirm these</w:t>
      </w:r>
      <w:r w:rsidRPr="003F0091">
        <w:t xml:space="preserve"> distinct patterns and trends in differentially expressed genes (DEGs)</w:t>
      </w:r>
      <w:r>
        <w:t xml:space="preserve">, the most notable </w:t>
      </w:r>
      <w:r w:rsidRPr="003F0091">
        <w:t xml:space="preserve">observation </w:t>
      </w:r>
      <w:r>
        <w:t>being</w:t>
      </w:r>
      <w:r w:rsidRPr="003F0091">
        <w:t xml:space="preserve"> the opposing regulation of DEGs between the NL control and each of the supplemental light treatments (NB, BW, and HPS)</w:t>
      </w:r>
      <w:r w:rsidR="00D67A3F">
        <w:t>.</w:t>
      </w:r>
      <w:r w:rsidRPr="003F0091">
        <w:t xml:space="preserve"> </w:t>
      </w:r>
      <w:r w:rsidR="00D67A3F">
        <w:t>This highlighted</w:t>
      </w:r>
      <w:r w:rsidRPr="003F0091">
        <w:t xml:space="preserve"> the impact of these </w:t>
      </w:r>
      <w:r w:rsidR="00D67A3F">
        <w:t xml:space="preserve">SL </w:t>
      </w:r>
      <w:r w:rsidRPr="003F0091">
        <w:t xml:space="preserve">lighting conditions on gene expression. </w:t>
      </w:r>
      <w:r>
        <w:t>The</w:t>
      </w:r>
      <w:r w:rsidRPr="003F0091">
        <w:t xml:space="preserve"> degree of distinction between the NL control and each supplemental light treatment varie</w:t>
      </w:r>
      <w:r w:rsidR="00D67A3F">
        <w:t>d</w:t>
      </w:r>
      <w:r w:rsidRPr="003F0091">
        <w:t>, with the NB treatment showing the most pronounced differences, followed by the BW treatment, and finally</w:t>
      </w:r>
      <w:r>
        <w:t>,</w:t>
      </w:r>
      <w:r w:rsidRPr="003F0091">
        <w:t xml:space="preserve"> the HPS treatment exhibiting the least distinct differences. </w:t>
      </w:r>
    </w:p>
    <w:p w14:paraId="70C40189" w14:textId="3AD8E6CA" w:rsidR="00126D8D" w:rsidRDefault="00126D8D" w:rsidP="00A67B85">
      <w:pPr>
        <w:pStyle w:val="MSThesisBodyTextJustified"/>
        <w:rPr>
          <w:color w:val="000000" w:themeColor="text1"/>
        </w:rPr>
      </w:pPr>
      <w:r>
        <w:rPr>
          <w:color w:val="000000" w:themeColor="text1"/>
        </w:rPr>
        <w:t>I</w:t>
      </w:r>
      <w:r w:rsidRPr="00B01F52">
        <w:rPr>
          <w:color w:val="000000" w:themeColor="text1"/>
        </w:rPr>
        <w:t>t is clear that the development of species-specific CEA lighting optimization/lighting regimes holds great promise for enhancing crop production and quality. By tailoring light conditions to suit the specific needs of each crop, it may be possible to optimize not just biomass and nutrient quality, but also other critical parameters like taste, aroma, texture, and postharvest shelf life. Such advancements could have far-reaching implications for the CEA industry, improving crop yields and quality while reducing energy costs and environmental impact.</w:t>
      </w:r>
    </w:p>
    <w:p w14:paraId="12303E81" w14:textId="77777777" w:rsidR="00A67B85" w:rsidRPr="00A67B85" w:rsidRDefault="00A67B85" w:rsidP="00A67B85">
      <w:pPr>
        <w:pStyle w:val="MSThesisBodyTextJustified"/>
        <w:rPr>
          <w:color w:val="000000" w:themeColor="text1"/>
        </w:rPr>
      </w:pPr>
    </w:p>
    <w:p w14:paraId="2A7BC5BA" w14:textId="77777777" w:rsidR="00126D8D" w:rsidRPr="003F0091" w:rsidRDefault="00126D8D" w:rsidP="00DC4427">
      <w:pPr>
        <w:pStyle w:val="MastersThesisMainTitle"/>
        <w:rPr>
          <w:color w:val="000000" w:themeColor="text1"/>
        </w:rPr>
      </w:pPr>
      <w:bookmarkStart w:id="608" w:name="_Toc139574846"/>
      <w:bookmarkStart w:id="609" w:name="_Toc141478716"/>
      <w:r w:rsidRPr="006A4011">
        <w:rPr>
          <w:color w:val="000000" w:themeColor="text1"/>
        </w:rPr>
        <w:t>Conclusions</w:t>
      </w:r>
      <w:bookmarkEnd w:id="608"/>
      <w:bookmarkEnd w:id="609"/>
    </w:p>
    <w:p w14:paraId="695D4C35" w14:textId="05B224FE" w:rsidR="00126D8D" w:rsidRDefault="00126D8D" w:rsidP="00DC4427">
      <w:pPr>
        <w:pStyle w:val="MSThesisBodyTextJustified"/>
      </w:pPr>
      <w:r>
        <w:t xml:space="preserve">Our study provides compelling evidence that the spectral quality of supplemental lighting (SL) significantly influences primary metabolism, biomass accumulation, and nutrient uptake in hydroponically grown basil. The use of narrowband blue/red (B/R) and Broadband White LEDs resulted in a noticeable increase in fresh mass (FM) and dry mass (DM) compared to natural light (NL) control, underlining the potential of SL for enhancing crop yield in controlled environment agriculture (CEA). Furthermore, our findings demonstrate that different SL treatments can favor the accumulation of specific nutrients, with B/R treatment associated with increased tissue concentrations of Ca and the Broadband White treatment linked to increased N, </w:t>
      </w:r>
      <w:r w:rsidR="00F5142B">
        <w:t>K</w:t>
      </w:r>
      <w:r>
        <w:t>, Bo, and C</w:t>
      </w:r>
      <w:r w:rsidR="00F5142B">
        <w:t>u</w:t>
      </w:r>
      <w:r>
        <w:t xml:space="preserve">. </w:t>
      </w:r>
      <w:r>
        <w:lastRenderedPageBreak/>
        <w:t xml:space="preserve">These results reflect the profound influence of light spectral quality on plant nutrient uptake and assimilation. Importantly, our RNA-seq analysis revealed </w:t>
      </w:r>
      <w:r w:rsidR="00291005">
        <w:t>many</w:t>
      </w:r>
      <w:r>
        <w:t xml:space="preserve"> differentially expressed genes (DEGs) across treatments, including several involved in primary metabolic functions, suggesting that changes in gene expression under different light conditions can directly impact yield and nutrient content.</w:t>
      </w:r>
    </w:p>
    <w:p w14:paraId="3B416CB7" w14:textId="6B08032F" w:rsidR="00126D8D" w:rsidRDefault="00126D8D" w:rsidP="00DC4427">
      <w:pPr>
        <w:pStyle w:val="MSThesisBodyTextJustified"/>
        <w:rPr>
          <w:color w:val="000000" w:themeColor="text1"/>
        </w:rPr>
      </w:pPr>
      <w:r>
        <w:t>This study sets the stage for more extensive research integrating analytic and transcriptomic analyses of high-value specialty crops to further elucidate the complex interactions between light and plant physiology. By deepening our understanding of how plants respond to different light spectra at the molecular level, we can leverage this knowledge to design more effective lighting strategies for CEA. Such strategies could optimize not only yield but also nutritional value, offering significant benefits for greenhouse production. Future studies should explore the effects of light spectral quality on other aspects of plant physiology, such as secondary metabolite production and postharvest shelf life, to fully harness the potential of light manipulation for enhancing crop quality and sustainability.</w:t>
      </w:r>
    </w:p>
    <w:p w14:paraId="179D5C58" w14:textId="77777777" w:rsidR="00A67B85" w:rsidRPr="006A4011" w:rsidRDefault="00A67B85" w:rsidP="00DC4427">
      <w:pPr>
        <w:pStyle w:val="MSThesisBodyTextJustified"/>
      </w:pPr>
    </w:p>
    <w:p w14:paraId="57F46BB1" w14:textId="519D756B" w:rsidR="00126D8D" w:rsidRPr="003F0091" w:rsidRDefault="00126D8D" w:rsidP="00DC4427">
      <w:pPr>
        <w:pStyle w:val="MastersThesisMainTitle"/>
        <w:rPr>
          <w:color w:val="000000" w:themeColor="text1"/>
        </w:rPr>
      </w:pPr>
      <w:bookmarkStart w:id="610" w:name="_Toc141478717"/>
      <w:bookmarkStart w:id="611" w:name="_Toc139574847"/>
      <w:r w:rsidRPr="00E513C0">
        <w:rPr>
          <w:color w:val="000000" w:themeColor="text1"/>
        </w:rPr>
        <w:t>References</w:t>
      </w:r>
      <w:bookmarkEnd w:id="610"/>
      <w:r>
        <w:rPr>
          <w:color w:val="000000" w:themeColor="text1"/>
        </w:rPr>
        <w:t xml:space="preserve"> </w:t>
      </w:r>
      <w:bookmarkEnd w:id="611"/>
    </w:p>
    <w:p w14:paraId="56D43C84" w14:textId="77777777" w:rsidR="00126D8D" w:rsidRPr="00E513C0" w:rsidRDefault="00126D8D" w:rsidP="00DC4427">
      <w:pPr>
        <w:pStyle w:val="EndNoteBibliography"/>
        <w:ind w:left="720" w:hanging="720"/>
        <w:rPr>
          <w:noProof/>
        </w:rPr>
      </w:pPr>
      <w:r w:rsidRPr="00E513C0">
        <w:rPr>
          <w:noProof/>
        </w:rPr>
        <w:t xml:space="preserve">Ashraf, M., and Harris, P.J.C. (2013). Photosynthesis under stressful environments: An overview. </w:t>
      </w:r>
      <w:r w:rsidRPr="00E513C0">
        <w:rPr>
          <w:i/>
          <w:noProof/>
        </w:rPr>
        <w:t>Photosynthetica</w:t>
      </w:r>
      <w:r w:rsidRPr="00E513C0">
        <w:rPr>
          <w:noProof/>
        </w:rPr>
        <w:t xml:space="preserve"> 51(2)</w:t>
      </w:r>
      <w:r w:rsidRPr="00E513C0">
        <w:rPr>
          <w:b/>
          <w:noProof/>
        </w:rPr>
        <w:t>,</w:t>
      </w:r>
      <w:r w:rsidRPr="00E513C0">
        <w:rPr>
          <w:noProof/>
        </w:rPr>
        <w:t xml:space="preserve"> 163-190. doi: 10.1007/s11099-013-0021-6.</w:t>
      </w:r>
    </w:p>
    <w:p w14:paraId="27227E47" w14:textId="77777777" w:rsidR="00126D8D" w:rsidRPr="00E513C0" w:rsidRDefault="00126D8D" w:rsidP="00DC4427">
      <w:pPr>
        <w:pStyle w:val="EndNoteBibliography"/>
        <w:ind w:left="720" w:hanging="720"/>
        <w:rPr>
          <w:noProof/>
        </w:rPr>
      </w:pPr>
      <w:r w:rsidRPr="00E513C0">
        <w:rPr>
          <w:noProof/>
        </w:rPr>
        <w:t xml:space="preserve">Barickman, T.C., Kopsell, D.A., and Sams, C.E. (2013). Selenium influences glucosinolate and isothiocyanates and increases sulfur uptake in Arabidopsis thaliana and rapid-cycling Brassica oleracea. </w:t>
      </w:r>
      <w:r w:rsidRPr="00E513C0">
        <w:rPr>
          <w:i/>
          <w:noProof/>
        </w:rPr>
        <w:t>J Agric Food Chem</w:t>
      </w:r>
      <w:r w:rsidRPr="00E513C0">
        <w:rPr>
          <w:noProof/>
        </w:rPr>
        <w:t xml:space="preserve"> 61(1)</w:t>
      </w:r>
      <w:r w:rsidRPr="00E513C0">
        <w:rPr>
          <w:b/>
          <w:noProof/>
        </w:rPr>
        <w:t>,</w:t>
      </w:r>
      <w:r w:rsidRPr="00E513C0">
        <w:rPr>
          <w:noProof/>
        </w:rPr>
        <w:t xml:space="preserve"> 202-209. doi: 10.1021/jf3037227.</w:t>
      </w:r>
    </w:p>
    <w:p w14:paraId="715339F7" w14:textId="77777777" w:rsidR="00126D8D" w:rsidRPr="00E513C0" w:rsidRDefault="00126D8D" w:rsidP="00DC4427">
      <w:pPr>
        <w:pStyle w:val="EndNoteBibliography"/>
        <w:ind w:left="720" w:hanging="720"/>
        <w:rPr>
          <w:noProof/>
        </w:rPr>
      </w:pPr>
      <w:r w:rsidRPr="00E513C0">
        <w:rPr>
          <w:noProof/>
        </w:rPr>
        <w:lastRenderedPageBreak/>
        <w:t xml:space="preserve">Baumbauer, D.A., Schmidt, C.B., and Burgess, M.H. (2019). Leaf Lettuce Yield Is More Sensitive to Low Daily Light Integral than Kale and Spinach. </w:t>
      </w:r>
      <w:r w:rsidRPr="00E513C0">
        <w:rPr>
          <w:i/>
          <w:noProof/>
        </w:rPr>
        <w:t>HortScience</w:t>
      </w:r>
      <w:r w:rsidRPr="00E513C0">
        <w:rPr>
          <w:noProof/>
        </w:rPr>
        <w:t xml:space="preserve"> 54(12)</w:t>
      </w:r>
      <w:r w:rsidRPr="00E513C0">
        <w:rPr>
          <w:b/>
          <w:noProof/>
        </w:rPr>
        <w:t>,</w:t>
      </w:r>
      <w:r w:rsidRPr="00E513C0">
        <w:rPr>
          <w:noProof/>
        </w:rPr>
        <w:t xml:space="preserve"> 2159-2162. doi: 10.21273/hortsci14288-19.</w:t>
      </w:r>
    </w:p>
    <w:p w14:paraId="20E3A035" w14:textId="77777777" w:rsidR="00126D8D" w:rsidRPr="00E513C0" w:rsidRDefault="00126D8D" w:rsidP="00DC4427">
      <w:pPr>
        <w:pStyle w:val="EndNoteBibliography"/>
        <w:ind w:left="720" w:hanging="720"/>
        <w:rPr>
          <w:noProof/>
        </w:rPr>
      </w:pPr>
      <w:r w:rsidRPr="00E513C0">
        <w:rPr>
          <w:noProof/>
        </w:rPr>
        <w:t xml:space="preserve">Bilger, W., Bjorkman, O., and Thayer, S.S. (1989). Light-induced spectral absorbance changes in relation to photosynthesis and the epoxidation state of xanthophyll cycle components in cotton leaves. </w:t>
      </w:r>
      <w:r w:rsidRPr="00E513C0">
        <w:rPr>
          <w:i/>
          <w:noProof/>
        </w:rPr>
        <w:t>Plant Physiol</w:t>
      </w:r>
      <w:r w:rsidRPr="00E513C0">
        <w:rPr>
          <w:noProof/>
        </w:rPr>
        <w:t xml:space="preserve"> 91(2)</w:t>
      </w:r>
      <w:r w:rsidRPr="00E513C0">
        <w:rPr>
          <w:b/>
          <w:noProof/>
        </w:rPr>
        <w:t>,</w:t>
      </w:r>
      <w:r w:rsidRPr="00E513C0">
        <w:rPr>
          <w:noProof/>
        </w:rPr>
        <w:t xml:space="preserve"> 542-551. doi: 10.1104/pp.91.2.542.</w:t>
      </w:r>
    </w:p>
    <w:p w14:paraId="5785E53F" w14:textId="77777777" w:rsidR="00126D8D" w:rsidRPr="00E513C0" w:rsidRDefault="00126D8D" w:rsidP="00DC4427">
      <w:pPr>
        <w:pStyle w:val="EndNoteBibliography"/>
        <w:ind w:left="720" w:hanging="720"/>
        <w:rPr>
          <w:noProof/>
        </w:rPr>
      </w:pPr>
      <w:r w:rsidRPr="00E513C0">
        <w:rPr>
          <w:noProof/>
        </w:rPr>
        <w:t xml:space="preserve">Boldt, J.K., and Altland, J.E. (2022). Comparison of supplemental lighting from high-pressure sodium lamps or light-emitting diodes on morphology and nutrient uptake of greenhouse crops. </w:t>
      </w:r>
      <w:r w:rsidRPr="00E513C0">
        <w:rPr>
          <w:i/>
          <w:noProof/>
        </w:rPr>
        <w:t>Acta Horticulturae</w:t>
      </w:r>
      <w:r w:rsidRPr="00E513C0">
        <w:rPr>
          <w:noProof/>
        </w:rPr>
        <w:t xml:space="preserve"> (1337)</w:t>
      </w:r>
      <w:r w:rsidRPr="00E513C0">
        <w:rPr>
          <w:b/>
          <w:noProof/>
        </w:rPr>
        <w:t>,</w:t>
      </w:r>
      <w:r w:rsidRPr="00E513C0">
        <w:rPr>
          <w:noProof/>
        </w:rPr>
        <w:t xml:space="preserve"> 313-322. doi: 10.17660/ActaHortic.2022.1337.42.</w:t>
      </w:r>
    </w:p>
    <w:p w14:paraId="46B8937A" w14:textId="77777777" w:rsidR="00126D8D" w:rsidRPr="00E513C0" w:rsidRDefault="00126D8D" w:rsidP="00DC4427">
      <w:pPr>
        <w:pStyle w:val="EndNoteBibliography"/>
        <w:ind w:left="720" w:hanging="720"/>
        <w:rPr>
          <w:noProof/>
        </w:rPr>
      </w:pPr>
      <w:r w:rsidRPr="00E513C0">
        <w:rPr>
          <w:noProof/>
        </w:rPr>
        <w:t xml:space="preserve">Brazaityte, A., Miliauskiene, J., Vastakaite-Kairiene, V., Sutuliene, R., Lauzike, K., Duchovskis, P., et al. (2021). Effect of Different Ratios of Blue and Red LED Light on Brassicaceae Microgreens under a Controlled Environment. </w:t>
      </w:r>
      <w:r w:rsidRPr="00E513C0">
        <w:rPr>
          <w:i/>
          <w:noProof/>
        </w:rPr>
        <w:t>Plants (Basel)</w:t>
      </w:r>
      <w:r w:rsidRPr="00E513C0">
        <w:rPr>
          <w:noProof/>
        </w:rPr>
        <w:t xml:space="preserve"> 10(4)</w:t>
      </w:r>
      <w:r w:rsidRPr="00E513C0">
        <w:rPr>
          <w:b/>
          <w:noProof/>
        </w:rPr>
        <w:t>,</w:t>
      </w:r>
      <w:r w:rsidRPr="00E513C0">
        <w:rPr>
          <w:noProof/>
        </w:rPr>
        <w:t xml:space="preserve"> 801. doi: 10.3390/plants10040801.</w:t>
      </w:r>
    </w:p>
    <w:p w14:paraId="31FE973F" w14:textId="4897CE96" w:rsidR="00126D8D" w:rsidRPr="00E513C0" w:rsidRDefault="00291005" w:rsidP="00DC4427">
      <w:pPr>
        <w:pStyle w:val="EndNoteBibliography"/>
        <w:ind w:left="720" w:hanging="720"/>
        <w:rPr>
          <w:noProof/>
        </w:rPr>
      </w:pPr>
      <w:r>
        <w:rPr>
          <w:noProof/>
        </w:rPr>
        <w:t>S</w:t>
      </w:r>
      <w:r w:rsidR="00126D8D" w:rsidRPr="00E513C0">
        <w:rPr>
          <w:noProof/>
        </w:rPr>
        <w:t xml:space="preserve">ager, J., O. Smith, W., L. Edwards, J., and L. Cyr, K. (1988). Photosynthetic Efficiency and Phytochrome Photoequilibria Determination Using Spectral Data. </w:t>
      </w:r>
      <w:r w:rsidR="00126D8D" w:rsidRPr="00E513C0">
        <w:rPr>
          <w:i/>
          <w:noProof/>
        </w:rPr>
        <w:t>Transactions of the ASAE</w:t>
      </w:r>
      <w:r w:rsidR="00126D8D" w:rsidRPr="00E513C0">
        <w:rPr>
          <w:noProof/>
        </w:rPr>
        <w:t xml:space="preserve"> 31(6)</w:t>
      </w:r>
      <w:r w:rsidR="00126D8D" w:rsidRPr="00E513C0">
        <w:rPr>
          <w:b/>
          <w:noProof/>
        </w:rPr>
        <w:t>,</w:t>
      </w:r>
      <w:r w:rsidR="00126D8D" w:rsidRPr="00E513C0">
        <w:rPr>
          <w:noProof/>
        </w:rPr>
        <w:t xml:space="preserve"> 1882-1889. doi: </w:t>
      </w:r>
      <w:r w:rsidR="00126D8D" w:rsidRPr="00126D8D">
        <w:rPr>
          <w:noProof/>
        </w:rPr>
        <w:t>https://doi.org/10.13031/2013.30952</w:t>
      </w:r>
      <w:r w:rsidR="00126D8D" w:rsidRPr="00E513C0">
        <w:rPr>
          <w:noProof/>
        </w:rPr>
        <w:t>.</w:t>
      </w:r>
    </w:p>
    <w:p w14:paraId="0EFD2342" w14:textId="77777777" w:rsidR="00126D8D" w:rsidRPr="00E513C0" w:rsidRDefault="00126D8D" w:rsidP="00DC4427">
      <w:pPr>
        <w:pStyle w:val="EndNoteBibliography"/>
        <w:ind w:left="720" w:hanging="720"/>
        <w:rPr>
          <w:noProof/>
        </w:rPr>
      </w:pPr>
      <w:r w:rsidRPr="00E513C0">
        <w:rPr>
          <w:noProof/>
        </w:rPr>
        <w:t xml:space="preserve">Chaves, I., Pokorny, R., Byrdin, M., Hoang, N., Ritz, T., Brettel, K., et al. (2011). The cryptochromes: blue light photoreceptors in plants and animals. </w:t>
      </w:r>
      <w:r w:rsidRPr="00E513C0">
        <w:rPr>
          <w:i/>
          <w:noProof/>
        </w:rPr>
        <w:t>Annu Rev Plant Biol</w:t>
      </w:r>
      <w:r w:rsidRPr="00E513C0">
        <w:rPr>
          <w:noProof/>
        </w:rPr>
        <w:t xml:space="preserve"> 62</w:t>
      </w:r>
      <w:r w:rsidRPr="00E513C0">
        <w:rPr>
          <w:b/>
          <w:noProof/>
        </w:rPr>
        <w:t>,</w:t>
      </w:r>
      <w:r w:rsidRPr="00E513C0">
        <w:rPr>
          <w:noProof/>
        </w:rPr>
        <w:t xml:space="preserve"> 335-364. doi: 10.1146/annurev-arplant-042110-103759.</w:t>
      </w:r>
    </w:p>
    <w:p w14:paraId="203E4683" w14:textId="77777777" w:rsidR="00126D8D" w:rsidRPr="00E513C0" w:rsidRDefault="00126D8D" w:rsidP="00DC4427">
      <w:pPr>
        <w:pStyle w:val="EndNoteBibliography"/>
        <w:ind w:left="720" w:hanging="720"/>
        <w:rPr>
          <w:noProof/>
        </w:rPr>
      </w:pPr>
      <w:r w:rsidRPr="00E513C0">
        <w:rPr>
          <w:noProof/>
        </w:rPr>
        <w:t xml:space="preserve">Currey, C.J., Kopsell, D.A., Mattson, N.S., Craver, J.K., Lopez, R.G., Erwin, J.E., et al. (2017). "Supplemental and sole source lighting of leafy greens, herbs, and microgreens", in: </w:t>
      </w:r>
      <w:r w:rsidRPr="00E513C0">
        <w:rPr>
          <w:i/>
          <w:noProof/>
        </w:rPr>
        <w:t xml:space="preserve">Light management in controlled environments. </w:t>
      </w:r>
      <w:r w:rsidRPr="00E513C0">
        <w:rPr>
          <w:noProof/>
        </w:rPr>
        <w:t>(eds.) R. Lopez &amp; E. Runkle. (Meister Media Worldwide, Willoughby, OH).</w:t>
      </w:r>
    </w:p>
    <w:p w14:paraId="1023D786" w14:textId="77777777" w:rsidR="00126D8D" w:rsidRPr="00E513C0" w:rsidRDefault="00126D8D" w:rsidP="00DC4427">
      <w:pPr>
        <w:pStyle w:val="EndNoteBibliography"/>
        <w:ind w:left="720" w:hanging="720"/>
        <w:rPr>
          <w:noProof/>
        </w:rPr>
      </w:pPr>
      <w:r w:rsidRPr="00E513C0">
        <w:rPr>
          <w:noProof/>
        </w:rPr>
        <w:lastRenderedPageBreak/>
        <w:t xml:space="preserve">Darko, E., Heydarizadeh, P., Schoefs, B., and Sabzalian, M.R. (2014). Photosynthesis under artificial light: the shift in primary and secondary metabolism. </w:t>
      </w:r>
      <w:r w:rsidRPr="00E513C0">
        <w:rPr>
          <w:i/>
          <w:noProof/>
        </w:rPr>
        <w:t>Philos Trans R Soc Lond B Biol Sci</w:t>
      </w:r>
      <w:r w:rsidRPr="00E513C0">
        <w:rPr>
          <w:noProof/>
        </w:rPr>
        <w:t xml:space="preserve"> 369(1640)</w:t>
      </w:r>
      <w:r w:rsidRPr="00E513C0">
        <w:rPr>
          <w:b/>
          <w:noProof/>
        </w:rPr>
        <w:t>,</w:t>
      </w:r>
      <w:r w:rsidRPr="00E513C0">
        <w:rPr>
          <w:noProof/>
        </w:rPr>
        <w:t xml:space="preserve"> 20130243. doi: 10.1098/rstb.2013.0243.</w:t>
      </w:r>
    </w:p>
    <w:p w14:paraId="4A0FF18B" w14:textId="77777777" w:rsidR="00126D8D" w:rsidRPr="00E513C0" w:rsidRDefault="00126D8D" w:rsidP="00DC4427">
      <w:pPr>
        <w:pStyle w:val="EndNoteBibliography"/>
        <w:ind w:left="720" w:hanging="720"/>
        <w:rPr>
          <w:noProof/>
        </w:rPr>
      </w:pPr>
      <w:r w:rsidRPr="00E513C0">
        <w:rPr>
          <w:noProof/>
        </w:rPr>
        <w:t xml:space="preserve">Engler, N., and Krarti, M. (2021). Review of energy efficiency in controlled environment agriculture. </w:t>
      </w:r>
      <w:r w:rsidRPr="00E513C0">
        <w:rPr>
          <w:i/>
          <w:noProof/>
        </w:rPr>
        <w:t>Renewable and Sustainable Energy Reviews</w:t>
      </w:r>
      <w:r w:rsidRPr="00E513C0">
        <w:rPr>
          <w:noProof/>
        </w:rPr>
        <w:t xml:space="preserve"> 141</w:t>
      </w:r>
      <w:r w:rsidRPr="00E513C0">
        <w:rPr>
          <w:b/>
          <w:noProof/>
        </w:rPr>
        <w:t>,</w:t>
      </w:r>
      <w:r w:rsidRPr="00E513C0">
        <w:rPr>
          <w:noProof/>
        </w:rPr>
        <w:t xml:space="preserve"> 110786. doi: 10.1016/j.rser.2021.110786.</w:t>
      </w:r>
    </w:p>
    <w:p w14:paraId="60B22E5F" w14:textId="77777777" w:rsidR="00126D8D" w:rsidRPr="00E513C0" w:rsidRDefault="00126D8D" w:rsidP="00DC4427">
      <w:pPr>
        <w:pStyle w:val="EndNoteBibliography"/>
        <w:ind w:left="720" w:hanging="720"/>
        <w:rPr>
          <w:noProof/>
        </w:rPr>
      </w:pPr>
      <w:r w:rsidRPr="00E513C0">
        <w:rPr>
          <w:noProof/>
        </w:rPr>
        <w:t xml:space="preserve">Folta, K.M., and Carvalho, S.D. (2015). Photoreceptors and Control of Horticultural Plant Traits. </w:t>
      </w:r>
      <w:r w:rsidRPr="00E513C0">
        <w:rPr>
          <w:i/>
          <w:noProof/>
        </w:rPr>
        <w:t>HortScience</w:t>
      </w:r>
      <w:r w:rsidRPr="00E513C0">
        <w:rPr>
          <w:noProof/>
        </w:rPr>
        <w:t xml:space="preserve"> 50(9)</w:t>
      </w:r>
      <w:r w:rsidRPr="00E513C0">
        <w:rPr>
          <w:b/>
          <w:noProof/>
        </w:rPr>
        <w:t>,</w:t>
      </w:r>
      <w:r w:rsidRPr="00E513C0">
        <w:rPr>
          <w:noProof/>
        </w:rPr>
        <w:t xml:space="preserve"> 1274-1280. doi: 10.21273/hortsci.50.9.1274.</w:t>
      </w:r>
    </w:p>
    <w:p w14:paraId="2EA9DA4A" w14:textId="77777777" w:rsidR="00126D8D" w:rsidRPr="00E513C0" w:rsidRDefault="00126D8D" w:rsidP="00DC4427">
      <w:pPr>
        <w:pStyle w:val="EndNoteBibliography"/>
        <w:ind w:left="720" w:hanging="720"/>
        <w:rPr>
          <w:noProof/>
        </w:rPr>
      </w:pPr>
      <w:r w:rsidRPr="00E513C0">
        <w:rPr>
          <w:noProof/>
        </w:rPr>
        <w:t xml:space="preserve">Fraikin, G.Y., Strakhovskaya, M.G., and Rubin, A.B. (2013). Biological photoreceptors of light-dependent regulatory processes. </w:t>
      </w:r>
      <w:r w:rsidRPr="00E513C0">
        <w:rPr>
          <w:i/>
          <w:noProof/>
        </w:rPr>
        <w:t>Biochemistry (Mosc)</w:t>
      </w:r>
      <w:r w:rsidRPr="00E513C0">
        <w:rPr>
          <w:noProof/>
        </w:rPr>
        <w:t xml:space="preserve"> 78(11)</w:t>
      </w:r>
      <w:r w:rsidRPr="00E513C0">
        <w:rPr>
          <w:b/>
          <w:noProof/>
        </w:rPr>
        <w:t>,</w:t>
      </w:r>
      <w:r w:rsidRPr="00E513C0">
        <w:rPr>
          <w:noProof/>
        </w:rPr>
        <w:t xml:space="preserve"> 1238-1253. doi: 10.1134/S0006297913110047.</w:t>
      </w:r>
    </w:p>
    <w:p w14:paraId="45281250" w14:textId="77777777" w:rsidR="00126D8D" w:rsidRPr="00E513C0" w:rsidRDefault="00126D8D" w:rsidP="00DC4427">
      <w:pPr>
        <w:pStyle w:val="EndNoteBibliography"/>
        <w:ind w:left="720" w:hanging="720"/>
        <w:rPr>
          <w:noProof/>
        </w:rPr>
      </w:pPr>
      <w:r w:rsidRPr="00E513C0">
        <w:rPr>
          <w:noProof/>
        </w:rPr>
        <w:t xml:space="preserve">Galvao, V.C., and Fankhauser, C. (2015). Sensing the light environment in plants: photoreceptors and early signaling steps. </w:t>
      </w:r>
      <w:r w:rsidRPr="00E513C0">
        <w:rPr>
          <w:i/>
          <w:noProof/>
        </w:rPr>
        <w:t>Curr Opin Neurobiol</w:t>
      </w:r>
      <w:r w:rsidRPr="00E513C0">
        <w:rPr>
          <w:noProof/>
        </w:rPr>
        <w:t xml:space="preserve"> 34</w:t>
      </w:r>
      <w:r w:rsidRPr="00E513C0">
        <w:rPr>
          <w:b/>
          <w:noProof/>
        </w:rPr>
        <w:t>,</w:t>
      </w:r>
      <w:r w:rsidRPr="00E513C0">
        <w:rPr>
          <w:noProof/>
        </w:rPr>
        <w:t xml:space="preserve"> 46-53. doi: 10.1016/j.conb.2015.01.013.</w:t>
      </w:r>
    </w:p>
    <w:p w14:paraId="2D536134" w14:textId="77777777" w:rsidR="00126D8D" w:rsidRPr="00E513C0" w:rsidRDefault="00126D8D" w:rsidP="00DC4427">
      <w:pPr>
        <w:pStyle w:val="EndNoteBibliography"/>
        <w:ind w:left="720" w:hanging="720"/>
        <w:rPr>
          <w:noProof/>
        </w:rPr>
      </w:pPr>
      <w:r w:rsidRPr="00E513C0">
        <w:rPr>
          <w:noProof/>
        </w:rPr>
        <w:t xml:space="preserve">Gómez, C., and Mitchell, C.A. (2015). Growth responses of tomato seedlings to different spectra of supplemental lighting. </w:t>
      </w:r>
      <w:r w:rsidRPr="00E513C0">
        <w:rPr>
          <w:i/>
          <w:noProof/>
        </w:rPr>
        <w:t>HortScience</w:t>
      </w:r>
      <w:r w:rsidRPr="00E513C0">
        <w:rPr>
          <w:noProof/>
        </w:rPr>
        <w:t xml:space="preserve"> 50</w:t>
      </w:r>
      <w:r w:rsidRPr="00E513C0">
        <w:rPr>
          <w:b/>
          <w:noProof/>
        </w:rPr>
        <w:t>,</w:t>
      </w:r>
      <w:r w:rsidRPr="00E513C0">
        <w:rPr>
          <w:noProof/>
        </w:rPr>
        <w:t xml:space="preserve"> 112-118.</w:t>
      </w:r>
      <w:r w:rsidR="00E00E1F" w:rsidRPr="00E00E1F">
        <w:rPr>
          <w:noProof/>
        </w:rPr>
        <w:t xml:space="preserve"> </w:t>
      </w:r>
    </w:p>
    <w:p w14:paraId="72C4CF12" w14:textId="77777777" w:rsidR="00126D8D" w:rsidRPr="00E513C0" w:rsidRDefault="00126D8D" w:rsidP="00DC4427">
      <w:pPr>
        <w:pStyle w:val="EndNoteBibliography"/>
        <w:ind w:left="720" w:hanging="720"/>
        <w:rPr>
          <w:noProof/>
        </w:rPr>
      </w:pPr>
      <w:r w:rsidRPr="00E513C0">
        <w:rPr>
          <w:noProof/>
        </w:rPr>
        <w:t xml:space="preserve">Gonda, I., Faigenboim, A., Adler, C., Milavski, R., Karp, M.J., Shachter, A., et al. (2020). The genome sequence of tetraploid sweet basil, </w:t>
      </w:r>
      <w:r w:rsidRPr="00E513C0">
        <w:rPr>
          <w:i/>
          <w:noProof/>
        </w:rPr>
        <w:t>Ocimum basilicum</w:t>
      </w:r>
      <w:r w:rsidRPr="00E513C0">
        <w:rPr>
          <w:noProof/>
        </w:rPr>
        <w:t xml:space="preserve"> L., provides tools for advanced genome editing and molecular breeding. </w:t>
      </w:r>
      <w:r w:rsidRPr="00E513C0">
        <w:rPr>
          <w:i/>
          <w:noProof/>
        </w:rPr>
        <w:t>DNA Res</w:t>
      </w:r>
      <w:r w:rsidRPr="00E513C0">
        <w:rPr>
          <w:noProof/>
        </w:rPr>
        <w:t xml:space="preserve"> 27(5). doi: 10.1093/dnares/dsaa027.</w:t>
      </w:r>
    </w:p>
    <w:p w14:paraId="0348D4D0" w14:textId="77777777" w:rsidR="00126D8D" w:rsidRPr="00E513C0" w:rsidRDefault="00126D8D" w:rsidP="00DC4427">
      <w:pPr>
        <w:pStyle w:val="EndNoteBibliography"/>
        <w:ind w:left="720" w:hanging="720"/>
        <w:rPr>
          <w:noProof/>
        </w:rPr>
      </w:pPr>
      <w:r w:rsidRPr="00E513C0">
        <w:rPr>
          <w:noProof/>
        </w:rPr>
        <w:t xml:space="preserve">Hammock, H.A., Kopsell, D.A., and Sams, C.E. (2020). Supplementary Blue and Red LED Narrowband Wavelengths Improve Biomass Yield and Nutrient Uptake in Hydroponically Grown Basil. </w:t>
      </w:r>
      <w:r w:rsidRPr="00E513C0">
        <w:rPr>
          <w:i/>
          <w:noProof/>
        </w:rPr>
        <w:t>HortScience</w:t>
      </w:r>
      <w:r w:rsidRPr="00E513C0">
        <w:rPr>
          <w:noProof/>
        </w:rPr>
        <w:t xml:space="preserve"> 55(12)</w:t>
      </w:r>
      <w:r w:rsidRPr="00E513C0">
        <w:rPr>
          <w:b/>
          <w:noProof/>
        </w:rPr>
        <w:t>,</w:t>
      </w:r>
      <w:r w:rsidRPr="00E513C0">
        <w:rPr>
          <w:noProof/>
        </w:rPr>
        <w:t xml:space="preserve"> 1888-1897. doi: 10.21273/hortsci15267-20.</w:t>
      </w:r>
    </w:p>
    <w:p w14:paraId="1C18D900" w14:textId="77777777" w:rsidR="00126D8D" w:rsidRPr="00E513C0" w:rsidRDefault="00126D8D" w:rsidP="00DC4427">
      <w:pPr>
        <w:pStyle w:val="EndNoteBibliography"/>
        <w:ind w:left="720" w:hanging="720"/>
        <w:rPr>
          <w:noProof/>
        </w:rPr>
      </w:pPr>
      <w:r w:rsidRPr="00E513C0">
        <w:rPr>
          <w:noProof/>
        </w:rPr>
        <w:lastRenderedPageBreak/>
        <w:t xml:space="preserve">Jayalath, T.C., and van Iersel, M.W. (2021). Canopy Size and Light Use Efficiency Explain Growth Differences between Lettuce and Mizuna in Vertical Farms. </w:t>
      </w:r>
      <w:r w:rsidRPr="00E513C0">
        <w:rPr>
          <w:i/>
          <w:noProof/>
        </w:rPr>
        <w:t>Plants (Basel)</w:t>
      </w:r>
      <w:r w:rsidRPr="00E513C0">
        <w:rPr>
          <w:noProof/>
        </w:rPr>
        <w:t xml:space="preserve"> 10(4). doi: 10.3390/plants10040704.</w:t>
      </w:r>
    </w:p>
    <w:p w14:paraId="004999A4" w14:textId="77777777" w:rsidR="00126D8D" w:rsidRPr="00E513C0" w:rsidRDefault="00126D8D" w:rsidP="00DC4427">
      <w:pPr>
        <w:pStyle w:val="EndNoteBibliography"/>
        <w:ind w:left="720" w:hanging="720"/>
        <w:rPr>
          <w:noProof/>
        </w:rPr>
      </w:pPr>
      <w:r w:rsidRPr="00E513C0">
        <w:rPr>
          <w:noProof/>
        </w:rPr>
        <w:t xml:space="preserve">Kyriacou, M.C., El-Nakhel, C., Pannico, A., Graziani, G., Soteriou, G.A., Giordano, M., et al. (2019). Genotype-Specific Modulatory Effects of Select Spectral Bandwidths on the Nutritive and Phytochemical Composition of Microgreens. </w:t>
      </w:r>
      <w:r w:rsidRPr="00E513C0">
        <w:rPr>
          <w:i/>
          <w:noProof/>
        </w:rPr>
        <w:t>Front Plant Sci</w:t>
      </w:r>
      <w:r w:rsidRPr="00E513C0">
        <w:rPr>
          <w:noProof/>
        </w:rPr>
        <w:t xml:space="preserve"> 10</w:t>
      </w:r>
      <w:r w:rsidRPr="00E513C0">
        <w:rPr>
          <w:b/>
          <w:noProof/>
        </w:rPr>
        <w:t>,</w:t>
      </w:r>
      <w:r w:rsidRPr="00E513C0">
        <w:rPr>
          <w:noProof/>
        </w:rPr>
        <w:t xml:space="preserve"> 1501. doi: 10.3389/fpls.2019.01501.</w:t>
      </w:r>
    </w:p>
    <w:p w14:paraId="2297DB62" w14:textId="77777777" w:rsidR="00126D8D" w:rsidRPr="00E513C0" w:rsidRDefault="00126D8D" w:rsidP="00DC4427">
      <w:pPr>
        <w:pStyle w:val="EndNoteBibliography"/>
        <w:ind w:left="720" w:hanging="720"/>
        <w:rPr>
          <w:noProof/>
        </w:rPr>
      </w:pPr>
      <w:r w:rsidRPr="00E513C0">
        <w:rPr>
          <w:noProof/>
        </w:rPr>
        <w:t xml:space="preserve">Massa, G.D., Kim, H.H., Wheeler, R.M., and Mitchell, C.A. (2008). Plant Productivity in Response to LED Lighting. </w:t>
      </w:r>
      <w:r w:rsidRPr="00E513C0">
        <w:rPr>
          <w:i/>
          <w:noProof/>
        </w:rPr>
        <w:t>Hortscience</w:t>
      </w:r>
      <w:r w:rsidRPr="00E513C0">
        <w:rPr>
          <w:noProof/>
        </w:rPr>
        <w:t xml:space="preserve"> 43(7)</w:t>
      </w:r>
      <w:r w:rsidRPr="00E513C0">
        <w:rPr>
          <w:b/>
          <w:noProof/>
        </w:rPr>
        <w:t>,</w:t>
      </w:r>
      <w:r w:rsidRPr="00E513C0">
        <w:rPr>
          <w:noProof/>
        </w:rPr>
        <w:t xml:space="preserve"> 1951-1956.</w:t>
      </w:r>
    </w:p>
    <w:p w14:paraId="36C7F7ED" w14:textId="77777777" w:rsidR="00126D8D" w:rsidRPr="00E513C0" w:rsidRDefault="00126D8D" w:rsidP="00DC4427">
      <w:pPr>
        <w:pStyle w:val="EndNoteBibliography"/>
        <w:ind w:left="720" w:hanging="720"/>
        <w:rPr>
          <w:noProof/>
        </w:rPr>
      </w:pPr>
      <w:r w:rsidRPr="00E513C0">
        <w:rPr>
          <w:noProof/>
        </w:rPr>
        <w:t xml:space="preserve">McCree, K.J. (1972). The action spectrum, absorptance and quantum yield of photosynthesis in crop plants. </w:t>
      </w:r>
      <w:r w:rsidRPr="00E513C0">
        <w:rPr>
          <w:i/>
          <w:noProof/>
        </w:rPr>
        <w:t>Agricultural Meteorology</w:t>
      </w:r>
      <w:r w:rsidRPr="00E513C0">
        <w:rPr>
          <w:noProof/>
        </w:rPr>
        <w:t xml:space="preserve"> 9</w:t>
      </w:r>
      <w:r w:rsidRPr="00E513C0">
        <w:rPr>
          <w:b/>
          <w:noProof/>
        </w:rPr>
        <w:t>,</w:t>
      </w:r>
      <w:r w:rsidRPr="00E513C0">
        <w:rPr>
          <w:noProof/>
        </w:rPr>
        <w:t xml:space="preserve"> 191-216. doi: 10.1016/0002-1571(71)90022-7.</w:t>
      </w:r>
    </w:p>
    <w:p w14:paraId="307EFF3D" w14:textId="77777777" w:rsidR="00126D8D" w:rsidRPr="00E513C0" w:rsidRDefault="00126D8D" w:rsidP="00DC4427">
      <w:pPr>
        <w:pStyle w:val="EndNoteBibliography"/>
        <w:ind w:left="720" w:hanging="720"/>
        <w:rPr>
          <w:noProof/>
        </w:rPr>
      </w:pPr>
      <w:r w:rsidRPr="00E513C0">
        <w:rPr>
          <w:noProof/>
        </w:rPr>
        <w:t xml:space="preserve">Morrow, R.C. (2008). LED Lighting in Horticulture. </w:t>
      </w:r>
      <w:r w:rsidRPr="00E513C0">
        <w:rPr>
          <w:i/>
          <w:noProof/>
        </w:rPr>
        <w:t>HortScience</w:t>
      </w:r>
      <w:r w:rsidRPr="00E513C0">
        <w:rPr>
          <w:noProof/>
        </w:rPr>
        <w:t xml:space="preserve"> 43(7)</w:t>
      </w:r>
      <w:r w:rsidRPr="00E513C0">
        <w:rPr>
          <w:b/>
          <w:noProof/>
        </w:rPr>
        <w:t>,</w:t>
      </w:r>
      <w:r w:rsidRPr="00E513C0">
        <w:rPr>
          <w:noProof/>
        </w:rPr>
        <w:t xml:space="preserve"> 1947-1950. doi: 10.21273/hortsci.43.7.1947.</w:t>
      </w:r>
    </w:p>
    <w:p w14:paraId="13128D39" w14:textId="77777777" w:rsidR="00126D8D" w:rsidRPr="00E513C0" w:rsidRDefault="00126D8D" w:rsidP="00DC4427">
      <w:pPr>
        <w:pStyle w:val="EndNoteBibliography"/>
        <w:ind w:left="720" w:hanging="720"/>
        <w:rPr>
          <w:noProof/>
        </w:rPr>
      </w:pPr>
      <w:r w:rsidRPr="00E513C0">
        <w:rPr>
          <w:noProof/>
        </w:rPr>
        <w:t xml:space="preserve">Ouzounis, T., Rosenqvist, E., and Ottosen, C.O. (2015). Spectral Effects of Artificial Light on Plant Physiology and Secondary Metabolism: A Review. </w:t>
      </w:r>
      <w:r w:rsidRPr="00E513C0">
        <w:rPr>
          <w:i/>
          <w:noProof/>
        </w:rPr>
        <w:t>Hortscience</w:t>
      </w:r>
      <w:r w:rsidRPr="00E513C0">
        <w:rPr>
          <w:noProof/>
        </w:rPr>
        <w:t xml:space="preserve"> 50(8)</w:t>
      </w:r>
      <w:r w:rsidRPr="00E513C0">
        <w:rPr>
          <w:b/>
          <w:noProof/>
        </w:rPr>
        <w:t>,</w:t>
      </w:r>
      <w:r w:rsidRPr="00E513C0">
        <w:rPr>
          <w:noProof/>
        </w:rPr>
        <w:t xml:space="preserve"> 1128-1135.</w:t>
      </w:r>
    </w:p>
    <w:p w14:paraId="49C070D0" w14:textId="77777777" w:rsidR="00126D8D" w:rsidRPr="00E513C0" w:rsidRDefault="00126D8D" w:rsidP="00DC4427">
      <w:pPr>
        <w:pStyle w:val="EndNoteBibliography"/>
        <w:ind w:left="720" w:hanging="720"/>
        <w:rPr>
          <w:noProof/>
        </w:rPr>
      </w:pPr>
      <w:r w:rsidRPr="00E513C0">
        <w:rPr>
          <w:noProof/>
        </w:rPr>
        <w:t xml:space="preserve">Pinho, P., Jokinen, K., and Halonen, L. (2016). The influence of the LED light spectrum on the growth and nutrient uptake of hydroponically grown lettuce. </w:t>
      </w:r>
      <w:r w:rsidRPr="00E513C0">
        <w:rPr>
          <w:i/>
          <w:noProof/>
        </w:rPr>
        <w:t>Lighting Research &amp; Technology</w:t>
      </w:r>
      <w:r w:rsidRPr="00E513C0">
        <w:rPr>
          <w:noProof/>
        </w:rPr>
        <w:t xml:space="preserve"> 49(7)</w:t>
      </w:r>
      <w:r w:rsidRPr="00E513C0">
        <w:rPr>
          <w:b/>
          <w:noProof/>
        </w:rPr>
        <w:t>,</w:t>
      </w:r>
      <w:r w:rsidRPr="00E513C0">
        <w:rPr>
          <w:noProof/>
        </w:rPr>
        <w:t xml:space="preserve"> 866-881. doi: 10.1177/1477153516642269.</w:t>
      </w:r>
    </w:p>
    <w:p w14:paraId="76B4C2BC" w14:textId="77777777" w:rsidR="00126D8D" w:rsidRPr="00E513C0" w:rsidRDefault="00126D8D" w:rsidP="00DC4427">
      <w:pPr>
        <w:pStyle w:val="EndNoteBibliography"/>
        <w:ind w:left="720" w:hanging="720"/>
        <w:rPr>
          <w:noProof/>
        </w:rPr>
      </w:pPr>
      <w:r w:rsidRPr="00E513C0">
        <w:rPr>
          <w:noProof/>
        </w:rPr>
        <w:t xml:space="preserve">Randall, W.C., and Lopez, R.G. (2014). Comparison of Supplemental Lighting from High-pressure Sodium Lamps and Light-emitting Diodes during Bedding Plant Seedling Production. </w:t>
      </w:r>
      <w:r w:rsidRPr="00E513C0">
        <w:rPr>
          <w:i/>
          <w:noProof/>
        </w:rPr>
        <w:t>HortScience</w:t>
      </w:r>
      <w:r w:rsidRPr="00E513C0">
        <w:rPr>
          <w:noProof/>
        </w:rPr>
        <w:t xml:space="preserve"> 49(5)</w:t>
      </w:r>
      <w:r w:rsidRPr="00E513C0">
        <w:rPr>
          <w:b/>
          <w:noProof/>
        </w:rPr>
        <w:t>,</w:t>
      </w:r>
      <w:r w:rsidRPr="00E513C0">
        <w:rPr>
          <w:noProof/>
        </w:rPr>
        <w:t xml:space="preserve"> 589-595. doi: 10.21273/hortsci.49.5.589.</w:t>
      </w:r>
    </w:p>
    <w:p w14:paraId="0F9FAB13" w14:textId="77777777" w:rsidR="00126D8D" w:rsidRPr="00E513C0" w:rsidRDefault="00126D8D" w:rsidP="00DC4427">
      <w:pPr>
        <w:pStyle w:val="EndNoteBibliography"/>
        <w:ind w:left="720" w:hanging="720"/>
        <w:rPr>
          <w:noProof/>
        </w:rPr>
      </w:pPr>
      <w:r w:rsidRPr="00E513C0">
        <w:rPr>
          <w:noProof/>
        </w:rPr>
        <w:t xml:space="preserve">Rihan, H.Z., Aljafer, N., Jbara, M., McCallum, L., Lengger, S., and Fuller, M.P. (2022). The Impact of LED Lighting Spectra in a Plant Factory on the Growth, Physiological Traits and </w:t>
      </w:r>
      <w:r w:rsidRPr="00E513C0">
        <w:rPr>
          <w:noProof/>
        </w:rPr>
        <w:lastRenderedPageBreak/>
        <w:t xml:space="preserve">Essential Oil Content of Lemon Balm (Melissa officinalis). </w:t>
      </w:r>
      <w:r w:rsidRPr="00E513C0">
        <w:rPr>
          <w:i/>
          <w:noProof/>
        </w:rPr>
        <w:t>Plants (Basel)</w:t>
      </w:r>
      <w:r w:rsidRPr="00E513C0">
        <w:rPr>
          <w:noProof/>
        </w:rPr>
        <w:t xml:space="preserve"> 11(3). doi: 10.3390/plants11030342.</w:t>
      </w:r>
    </w:p>
    <w:p w14:paraId="7B72A648" w14:textId="77777777" w:rsidR="00126D8D" w:rsidRPr="00E513C0" w:rsidRDefault="00126D8D" w:rsidP="00DC4427">
      <w:pPr>
        <w:pStyle w:val="EndNoteBibliography"/>
        <w:ind w:left="720" w:hanging="720"/>
        <w:rPr>
          <w:noProof/>
        </w:rPr>
      </w:pPr>
      <w:r w:rsidRPr="00E513C0">
        <w:rPr>
          <w:noProof/>
        </w:rPr>
        <w:t xml:space="preserve">Rockwell, N.C., Su, Y.S., and Lagarias, J.C. (2006). Phytochrome structure and signaling mechanisms. </w:t>
      </w:r>
      <w:r w:rsidRPr="00E513C0">
        <w:rPr>
          <w:i/>
          <w:noProof/>
        </w:rPr>
        <w:t>Annu Rev Plant Biol</w:t>
      </w:r>
      <w:r w:rsidRPr="00E513C0">
        <w:rPr>
          <w:noProof/>
        </w:rPr>
        <w:t xml:space="preserve"> 57</w:t>
      </w:r>
      <w:r w:rsidRPr="00E513C0">
        <w:rPr>
          <w:b/>
          <w:noProof/>
        </w:rPr>
        <w:t>,</w:t>
      </w:r>
      <w:r w:rsidRPr="00E513C0">
        <w:rPr>
          <w:noProof/>
        </w:rPr>
        <w:t xml:space="preserve"> 837-858. doi: 10.1146/annurev.arplant.56.032604.144208.</w:t>
      </w:r>
    </w:p>
    <w:p w14:paraId="786202B4" w14:textId="77777777" w:rsidR="00126D8D" w:rsidRPr="00E513C0" w:rsidRDefault="00126D8D" w:rsidP="00DC4427">
      <w:pPr>
        <w:pStyle w:val="EndNoteBibliography"/>
        <w:ind w:left="720" w:hanging="720"/>
        <w:rPr>
          <w:noProof/>
        </w:rPr>
      </w:pPr>
      <w:r w:rsidRPr="00E513C0">
        <w:rPr>
          <w:noProof/>
        </w:rPr>
        <w:t xml:space="preserve">Samuoliene, G., Brazaityte, A., Virsile, A., Miliauskiene, J., Vastakaite-Kairiene, V., and Duchovskis, P. (2019). Nutrient Levels in Brassicaceae Microgreens Increase Under Tailored Light-Emitting Diode Spectra. </w:t>
      </w:r>
      <w:r w:rsidRPr="00E513C0">
        <w:rPr>
          <w:i/>
          <w:noProof/>
        </w:rPr>
        <w:t>Front Plant Sci</w:t>
      </w:r>
      <w:r w:rsidRPr="00E513C0">
        <w:rPr>
          <w:noProof/>
        </w:rPr>
        <w:t xml:space="preserve"> 10</w:t>
      </w:r>
      <w:r w:rsidRPr="00E513C0">
        <w:rPr>
          <w:b/>
          <w:noProof/>
        </w:rPr>
        <w:t>,</w:t>
      </w:r>
      <w:r w:rsidRPr="00E513C0">
        <w:rPr>
          <w:noProof/>
        </w:rPr>
        <w:t xml:space="preserve"> 1475. doi: 10.3389/fpls.2019.01475.</w:t>
      </w:r>
    </w:p>
    <w:p w14:paraId="630E989E" w14:textId="77777777" w:rsidR="00126D8D" w:rsidRPr="00E513C0" w:rsidRDefault="00126D8D" w:rsidP="00DC4427">
      <w:pPr>
        <w:pStyle w:val="EndNoteBibliography"/>
        <w:ind w:left="720" w:hanging="720"/>
        <w:rPr>
          <w:noProof/>
        </w:rPr>
      </w:pPr>
      <w:r w:rsidRPr="00E513C0">
        <w:rPr>
          <w:noProof/>
        </w:rPr>
        <w:t xml:space="preserve">Singh, D., Basu, C., Meinhardt-Wollweber, M., and Roth, B. (2015). LEDs for energy efficient greenhouse lighting. </w:t>
      </w:r>
      <w:r w:rsidRPr="00E513C0">
        <w:rPr>
          <w:i/>
          <w:noProof/>
        </w:rPr>
        <w:t>Renewable and Sustainable Energy Reviews</w:t>
      </w:r>
      <w:r w:rsidRPr="00E513C0">
        <w:rPr>
          <w:noProof/>
        </w:rPr>
        <w:t xml:space="preserve"> 49</w:t>
      </w:r>
      <w:r w:rsidRPr="00E513C0">
        <w:rPr>
          <w:b/>
          <w:noProof/>
        </w:rPr>
        <w:t>,</w:t>
      </w:r>
      <w:r w:rsidRPr="00E513C0">
        <w:rPr>
          <w:noProof/>
        </w:rPr>
        <w:t xml:space="preserve"> 139-147. doi: 10.1016/j.rser.2015.04.117.</w:t>
      </w:r>
    </w:p>
    <w:p w14:paraId="4201CE86" w14:textId="77777777" w:rsidR="00126D8D" w:rsidRPr="00E513C0" w:rsidRDefault="00126D8D" w:rsidP="00DC4427">
      <w:pPr>
        <w:pStyle w:val="EndNoteBibliography"/>
        <w:ind w:left="720" w:hanging="720"/>
        <w:rPr>
          <w:noProof/>
        </w:rPr>
      </w:pPr>
      <w:r w:rsidRPr="00E513C0">
        <w:rPr>
          <w:noProof/>
        </w:rPr>
        <w:t xml:space="preserve">Tabbert, J.M., Schulz, H., and Krahmer, A. (2021). Increased Plant Quality, Greenhouse Productivity and Energy Efficiency with Broad-Spectrum LED Systems: A Case Study for Thyme (Thymus vulgaris L.). </w:t>
      </w:r>
      <w:r w:rsidRPr="00E513C0">
        <w:rPr>
          <w:i/>
          <w:noProof/>
        </w:rPr>
        <w:t>Plants (Basel)</w:t>
      </w:r>
      <w:r w:rsidRPr="00E513C0">
        <w:rPr>
          <w:noProof/>
        </w:rPr>
        <w:t xml:space="preserve"> 10(5). doi: 10.3390/plants10050960.</w:t>
      </w:r>
    </w:p>
    <w:p w14:paraId="5A5CBE73" w14:textId="77777777" w:rsidR="00126D8D" w:rsidRPr="00E513C0" w:rsidRDefault="00126D8D" w:rsidP="00DC4427">
      <w:pPr>
        <w:pStyle w:val="EndNoteBibliography"/>
        <w:ind w:left="720" w:hanging="720"/>
        <w:rPr>
          <w:noProof/>
        </w:rPr>
      </w:pPr>
      <w:r w:rsidRPr="00E513C0">
        <w:rPr>
          <w:noProof/>
        </w:rPr>
        <w:t xml:space="preserve">Thoma, F., Somborn-Schulz, A., Schlehuber, D., Keuter, V., and Deerberg, G. (2020). Effects of Light on Secondary Metabolites in Selected Leafy Greens: A Review. </w:t>
      </w:r>
      <w:r w:rsidRPr="00E513C0">
        <w:rPr>
          <w:i/>
          <w:noProof/>
        </w:rPr>
        <w:t>Front Plant Sci</w:t>
      </w:r>
      <w:r w:rsidRPr="00E513C0">
        <w:rPr>
          <w:noProof/>
        </w:rPr>
        <w:t xml:space="preserve"> 11</w:t>
      </w:r>
      <w:r w:rsidRPr="00E513C0">
        <w:rPr>
          <w:b/>
          <w:noProof/>
        </w:rPr>
        <w:t>,</w:t>
      </w:r>
      <w:r w:rsidRPr="00E513C0">
        <w:rPr>
          <w:noProof/>
        </w:rPr>
        <w:t xml:space="preserve"> 497. doi: 10.3389/fpls.2020.00497.</w:t>
      </w:r>
    </w:p>
    <w:p w14:paraId="33031E77" w14:textId="77777777" w:rsidR="00126D8D" w:rsidRPr="00E513C0" w:rsidRDefault="00126D8D" w:rsidP="00DC4427">
      <w:pPr>
        <w:pStyle w:val="EndNoteBibliography"/>
        <w:ind w:left="720" w:hanging="720"/>
        <w:rPr>
          <w:noProof/>
        </w:rPr>
      </w:pPr>
      <w:r w:rsidRPr="00E513C0">
        <w:rPr>
          <w:noProof/>
        </w:rPr>
        <w:t xml:space="preserve">Vaštakaitė-Kairienė, V., Brazaitytė, A., Miliauskienė, J., and Runkle, E.S. (2022a). Red to Blue Light Ratio and Iron Nutrition Influence Growth, Metabolic Response, and Mineral Nutrients of Spinach Grown Indoors. </w:t>
      </w:r>
      <w:r w:rsidRPr="00E513C0">
        <w:rPr>
          <w:i/>
          <w:noProof/>
        </w:rPr>
        <w:t>Sustainability</w:t>
      </w:r>
      <w:r w:rsidRPr="00E513C0">
        <w:rPr>
          <w:noProof/>
        </w:rPr>
        <w:t xml:space="preserve"> 14(19). doi: 10.3390/su141912564.</w:t>
      </w:r>
    </w:p>
    <w:p w14:paraId="19B48929" w14:textId="77777777" w:rsidR="00126D8D" w:rsidRPr="00E513C0" w:rsidRDefault="00126D8D" w:rsidP="00DC4427">
      <w:pPr>
        <w:pStyle w:val="EndNoteBibliography"/>
        <w:ind w:left="720" w:hanging="720"/>
        <w:rPr>
          <w:noProof/>
        </w:rPr>
      </w:pPr>
      <w:r w:rsidRPr="00E513C0">
        <w:rPr>
          <w:noProof/>
        </w:rPr>
        <w:lastRenderedPageBreak/>
        <w:t xml:space="preserve">Vaštakaitė-Kairienė, V., Brazaitytė, A., Miliauskienė, J., Sutulienė, R., Laužikė, K., Viršilė, A., et al. (2022b). Photon Distribution of Sole-Source Lighting Affects the Mineral Nutrient Content of Microgreens. </w:t>
      </w:r>
      <w:r w:rsidRPr="00E513C0">
        <w:rPr>
          <w:i/>
          <w:noProof/>
        </w:rPr>
        <w:t>Agriculture</w:t>
      </w:r>
      <w:r w:rsidRPr="00E513C0">
        <w:rPr>
          <w:noProof/>
        </w:rPr>
        <w:t xml:space="preserve"> 12(8). doi: 10.3390/agriculture12081086.</w:t>
      </w:r>
    </w:p>
    <w:p w14:paraId="3DFE99C6" w14:textId="77777777" w:rsidR="00126D8D" w:rsidRPr="00E513C0" w:rsidRDefault="00126D8D" w:rsidP="00DC4427">
      <w:pPr>
        <w:pStyle w:val="EndNoteBibliography"/>
        <w:ind w:left="720" w:hanging="720"/>
        <w:rPr>
          <w:noProof/>
        </w:rPr>
      </w:pPr>
      <w:r w:rsidRPr="00E513C0">
        <w:rPr>
          <w:noProof/>
        </w:rPr>
        <w:t xml:space="preserve">Vastakaite-Kairiene, V., Samuoliene, G., Sveikauskas, V., Lauzike, K., and Jurkoniene, S. (2022). The Influence of End-of-Day Blue Light on the Growth, Photosynthetic, and Metabolic Parameters of Lettuce at Different Development Stages. </w:t>
      </w:r>
      <w:r w:rsidRPr="00E513C0">
        <w:rPr>
          <w:i/>
          <w:noProof/>
        </w:rPr>
        <w:t>Plants (Basel)</w:t>
      </w:r>
      <w:r w:rsidRPr="00E513C0">
        <w:rPr>
          <w:noProof/>
        </w:rPr>
        <w:t xml:space="preserve"> 11(20). doi: 10.3390/plants11202798.</w:t>
      </w:r>
    </w:p>
    <w:p w14:paraId="6B5E1D64" w14:textId="77777777" w:rsidR="00126D8D" w:rsidRPr="00E513C0" w:rsidRDefault="00126D8D" w:rsidP="00DC4427">
      <w:pPr>
        <w:pStyle w:val="EndNoteBibliography"/>
        <w:ind w:left="720" w:hanging="720"/>
        <w:rPr>
          <w:noProof/>
        </w:rPr>
      </w:pPr>
      <w:r w:rsidRPr="00E513C0">
        <w:rPr>
          <w:noProof/>
        </w:rPr>
        <w:t xml:space="preserve">Weaver, G.M., van Iersel, M.W., and Velni, J.M. (2019). A photochemistry-based method for optimising greenhouse supplemental light intensity. </w:t>
      </w:r>
      <w:r w:rsidRPr="00E513C0">
        <w:rPr>
          <w:i/>
          <w:noProof/>
        </w:rPr>
        <w:t>Biosystems Engineering</w:t>
      </w:r>
      <w:r w:rsidRPr="00E513C0">
        <w:rPr>
          <w:noProof/>
        </w:rPr>
        <w:t xml:space="preserve"> 182</w:t>
      </w:r>
      <w:r w:rsidRPr="00E513C0">
        <w:rPr>
          <w:b/>
          <w:noProof/>
        </w:rPr>
        <w:t>,</w:t>
      </w:r>
      <w:r w:rsidRPr="00E513C0">
        <w:rPr>
          <w:noProof/>
        </w:rPr>
        <w:t xml:space="preserve"> 123-137. doi: 10.1016/j.biosystemseng.2019.03.008.</w:t>
      </w:r>
    </w:p>
    <w:p w14:paraId="02167CCD" w14:textId="2834A8A1" w:rsidR="00126D8D" w:rsidRDefault="00126D8D" w:rsidP="00A67B85">
      <w:pPr>
        <w:pStyle w:val="EndNoteBibliography"/>
        <w:ind w:left="720" w:hanging="720"/>
        <w:rPr>
          <w:noProof/>
        </w:rPr>
      </w:pPr>
      <w:r w:rsidRPr="00E513C0">
        <w:rPr>
          <w:noProof/>
        </w:rPr>
        <w:t xml:space="preserve">Zhen, S., and Bugbee, B. (2020). Far-red photons have equivalent efficiency to traditional photosynthetic photons: Implications for redefining photosynthetically active radiation. </w:t>
      </w:r>
      <w:r w:rsidRPr="00E513C0">
        <w:rPr>
          <w:i/>
          <w:noProof/>
        </w:rPr>
        <w:t>Plant Cell Environ</w:t>
      </w:r>
      <w:r w:rsidRPr="00E513C0">
        <w:rPr>
          <w:noProof/>
        </w:rPr>
        <w:t xml:space="preserve"> 43(5)</w:t>
      </w:r>
      <w:r w:rsidRPr="00E513C0">
        <w:rPr>
          <w:b/>
          <w:noProof/>
        </w:rPr>
        <w:t>,</w:t>
      </w:r>
      <w:r w:rsidRPr="00E513C0">
        <w:rPr>
          <w:noProof/>
        </w:rPr>
        <w:t xml:space="preserve"> 1259-1272. doi: 10.1111/pce.13730.</w:t>
      </w:r>
    </w:p>
    <w:p w14:paraId="3B102433" w14:textId="77777777" w:rsidR="00A67B85" w:rsidRPr="00A67B85" w:rsidRDefault="00A67B85" w:rsidP="00A67B85">
      <w:pPr>
        <w:pStyle w:val="EndNoteBibliography"/>
        <w:ind w:left="720" w:hanging="720"/>
        <w:rPr>
          <w:noProof/>
        </w:rPr>
      </w:pPr>
    </w:p>
    <w:p w14:paraId="0567E8A5" w14:textId="77777777" w:rsidR="00EF6679" w:rsidRDefault="00EF6679">
      <w:pPr>
        <w:spacing w:line="240" w:lineRule="auto"/>
        <w:rPr>
          <w:rFonts w:cs="Times New Roman"/>
          <w:b/>
          <w:sz w:val="28"/>
        </w:rPr>
      </w:pPr>
      <w:bookmarkStart w:id="612" w:name="_Toc139574848"/>
      <w:r>
        <w:br w:type="page"/>
      </w:r>
    </w:p>
    <w:p w14:paraId="33BE806B" w14:textId="163B8B9E" w:rsidR="00126D8D" w:rsidRPr="007F40F3" w:rsidRDefault="00126D8D" w:rsidP="007F40F3">
      <w:pPr>
        <w:pStyle w:val="MastersThesisMainTitle"/>
      </w:pPr>
      <w:bookmarkStart w:id="613" w:name="_Toc141478718"/>
      <w:r w:rsidRPr="007F40F3">
        <w:lastRenderedPageBreak/>
        <w:t xml:space="preserve">Appendix </w:t>
      </w:r>
      <w:r>
        <w:t>D</w:t>
      </w:r>
      <w:bookmarkEnd w:id="612"/>
      <w:bookmarkEnd w:id="613"/>
    </w:p>
    <w:p w14:paraId="2E514857" w14:textId="77777777" w:rsidR="00126D8D" w:rsidRPr="003F0091" w:rsidRDefault="00126D8D" w:rsidP="00DC4427">
      <w:pPr>
        <w:pStyle w:val="TableTOC"/>
        <w:jc w:val="both"/>
        <w:rPr>
          <w:rFonts w:cs="Times New Roman"/>
          <w:color w:val="000000" w:themeColor="text1"/>
        </w:rPr>
      </w:pPr>
      <w:bookmarkStart w:id="614" w:name="_Toc141478778"/>
      <w:r w:rsidRPr="003F0091">
        <w:rPr>
          <w:rFonts w:cs="Times New Roman"/>
          <w:b/>
          <w:color w:val="000000" w:themeColor="text1"/>
        </w:rPr>
        <w:t xml:space="preserve">Table </w:t>
      </w:r>
      <w:r>
        <w:rPr>
          <w:rFonts w:cs="Times New Roman"/>
          <w:b/>
          <w:color w:val="000000" w:themeColor="text1"/>
        </w:rPr>
        <w:t>4.</w:t>
      </w:r>
      <w:r w:rsidRPr="003F0091">
        <w:rPr>
          <w:rFonts w:cs="Times New Roman"/>
          <w:b/>
          <w:color w:val="000000" w:themeColor="text1"/>
        </w:rPr>
        <w:t xml:space="preserve">1. </w:t>
      </w:r>
      <w:r w:rsidRPr="003F0091">
        <w:rPr>
          <w:rFonts w:cs="Times New Roman"/>
          <w:color w:val="000000" w:themeColor="text1"/>
        </w:rPr>
        <w:t>Important environmental parameters across growing cycles. All crops grown under greenhouse conditions at The University of Tennessee Institute of Agriculture (UTIA) in Knoxville, TN, USA (35°56'44.5"N, 83°56'17.3"W).</w:t>
      </w:r>
      <w:bookmarkEnd w:id="614"/>
    </w:p>
    <w:p w14:paraId="7F50F650" w14:textId="77777777" w:rsidR="00126D8D" w:rsidRPr="003F0091" w:rsidRDefault="00126D8D" w:rsidP="00DC4427">
      <w:pPr>
        <w:spacing w:line="240" w:lineRule="auto"/>
        <w:rPr>
          <w:rFonts w:cs="Times New Roman"/>
          <w:color w:val="000000" w:themeColor="text1"/>
          <w:sz w:val="20"/>
          <w:szCs w:val="20"/>
        </w:rPr>
      </w:pPr>
    </w:p>
    <w:tbl>
      <w:tblPr>
        <w:tblW w:w="6195" w:type="dxa"/>
        <w:tblBorders>
          <w:top w:val="single" w:sz="12" w:space="0" w:color="FFFFFF" w:themeColor="background1"/>
          <w:left w:val="single" w:sz="12" w:space="0" w:color="FFFFFF" w:themeColor="background1"/>
          <w:bottom w:val="single" w:sz="12" w:space="0" w:color="FFFFFF" w:themeColor="background1"/>
          <w:right w:val="single" w:sz="12" w:space="0" w:color="FFFFFF" w:themeColor="background1"/>
          <w:insideH w:val="single" w:sz="12" w:space="0" w:color="FFFFFF" w:themeColor="background1"/>
          <w:insideV w:val="single" w:sz="12" w:space="0" w:color="FFFFFF" w:themeColor="background1"/>
        </w:tblBorders>
        <w:tblLayout w:type="fixed"/>
        <w:tblLook w:val="04A0" w:firstRow="1" w:lastRow="0" w:firstColumn="1" w:lastColumn="0" w:noHBand="0" w:noVBand="1"/>
      </w:tblPr>
      <w:tblGrid>
        <w:gridCol w:w="2505"/>
        <w:gridCol w:w="1800"/>
        <w:gridCol w:w="1890"/>
      </w:tblGrid>
      <w:tr w:rsidR="00126D8D" w:rsidRPr="003F0091" w14:paraId="372C46DD" w14:textId="77777777" w:rsidTr="00820288">
        <w:trPr>
          <w:trHeight w:val="323"/>
        </w:trPr>
        <w:tc>
          <w:tcPr>
            <w:tcW w:w="2505" w:type="dxa"/>
            <w:tcBorders>
              <w:top w:val="single" w:sz="4" w:space="0" w:color="auto"/>
              <w:bottom w:val="single" w:sz="4" w:space="0" w:color="auto"/>
            </w:tcBorders>
            <w:noWrap/>
            <w:vAlign w:val="center"/>
            <w:hideMark/>
          </w:tcPr>
          <w:p w14:paraId="60064A8E" w14:textId="77777777" w:rsidR="00126D8D" w:rsidRPr="003F0091" w:rsidRDefault="00126D8D" w:rsidP="00820288">
            <w:pPr>
              <w:spacing w:line="240" w:lineRule="auto"/>
              <w:jc w:val="center"/>
              <w:rPr>
                <w:rFonts w:cs="Times New Roman"/>
                <w:color w:val="000000" w:themeColor="text1"/>
                <w:sz w:val="20"/>
                <w:szCs w:val="20"/>
              </w:rPr>
            </w:pPr>
          </w:p>
        </w:tc>
        <w:tc>
          <w:tcPr>
            <w:tcW w:w="1800" w:type="dxa"/>
            <w:tcBorders>
              <w:top w:val="single" w:sz="4" w:space="0" w:color="auto"/>
              <w:bottom w:val="single" w:sz="4" w:space="0" w:color="auto"/>
            </w:tcBorders>
            <w:noWrap/>
            <w:vAlign w:val="center"/>
            <w:hideMark/>
          </w:tcPr>
          <w:p w14:paraId="6C670E36" w14:textId="77777777" w:rsidR="00126D8D" w:rsidRPr="003F0091" w:rsidRDefault="00126D8D" w:rsidP="00820288">
            <w:pPr>
              <w:spacing w:line="240" w:lineRule="auto"/>
              <w:jc w:val="center"/>
              <w:rPr>
                <w:rFonts w:cs="Times New Roman"/>
                <w:b/>
                <w:bCs/>
                <w:color w:val="000000" w:themeColor="text1"/>
                <w:sz w:val="20"/>
                <w:szCs w:val="20"/>
              </w:rPr>
            </w:pPr>
            <w:r w:rsidRPr="003F0091">
              <w:rPr>
                <w:rFonts w:cs="Times New Roman"/>
                <w:b/>
                <w:bCs/>
                <w:color w:val="000000" w:themeColor="text1"/>
                <w:sz w:val="20"/>
                <w:szCs w:val="20"/>
              </w:rPr>
              <w:t>Summer</w:t>
            </w:r>
          </w:p>
        </w:tc>
        <w:tc>
          <w:tcPr>
            <w:tcW w:w="1890" w:type="dxa"/>
            <w:tcBorders>
              <w:top w:val="single" w:sz="4" w:space="0" w:color="auto"/>
              <w:bottom w:val="single" w:sz="4" w:space="0" w:color="auto"/>
            </w:tcBorders>
            <w:noWrap/>
            <w:vAlign w:val="center"/>
            <w:hideMark/>
          </w:tcPr>
          <w:p w14:paraId="48992BA5" w14:textId="77777777" w:rsidR="00126D8D" w:rsidRPr="003F0091" w:rsidRDefault="00126D8D" w:rsidP="00820288">
            <w:pPr>
              <w:spacing w:line="240" w:lineRule="auto"/>
              <w:jc w:val="center"/>
              <w:rPr>
                <w:rFonts w:cs="Times New Roman"/>
                <w:b/>
                <w:bCs/>
                <w:color w:val="000000" w:themeColor="text1"/>
                <w:sz w:val="20"/>
                <w:szCs w:val="20"/>
              </w:rPr>
            </w:pPr>
            <w:r w:rsidRPr="003F0091">
              <w:rPr>
                <w:rFonts w:cs="Times New Roman"/>
                <w:b/>
                <w:bCs/>
                <w:color w:val="000000" w:themeColor="text1"/>
                <w:sz w:val="20"/>
                <w:szCs w:val="20"/>
              </w:rPr>
              <w:t>Winter</w:t>
            </w:r>
          </w:p>
        </w:tc>
      </w:tr>
      <w:tr w:rsidR="00126D8D" w:rsidRPr="003F0091" w14:paraId="6139B2DE" w14:textId="77777777" w:rsidTr="00820288">
        <w:trPr>
          <w:trHeight w:val="323"/>
        </w:trPr>
        <w:tc>
          <w:tcPr>
            <w:tcW w:w="2505" w:type="dxa"/>
            <w:tcBorders>
              <w:top w:val="single" w:sz="4" w:space="0" w:color="auto"/>
            </w:tcBorders>
            <w:noWrap/>
            <w:vAlign w:val="center"/>
            <w:hideMark/>
          </w:tcPr>
          <w:p w14:paraId="38A751AB" w14:textId="77777777" w:rsidR="00126D8D" w:rsidRPr="003F0091" w:rsidRDefault="00126D8D" w:rsidP="00820288">
            <w:pPr>
              <w:spacing w:line="240" w:lineRule="auto"/>
              <w:jc w:val="center"/>
              <w:rPr>
                <w:rFonts w:cs="Times New Roman"/>
                <w:b/>
                <w:bCs/>
                <w:color w:val="000000" w:themeColor="text1"/>
                <w:sz w:val="18"/>
                <w:szCs w:val="18"/>
              </w:rPr>
            </w:pPr>
            <w:r w:rsidRPr="003F0091">
              <w:rPr>
                <w:rFonts w:cs="Times New Roman"/>
                <w:b/>
                <w:bCs/>
                <w:color w:val="000000" w:themeColor="text1"/>
                <w:sz w:val="18"/>
                <w:szCs w:val="18"/>
              </w:rPr>
              <w:t>Growing Period</w:t>
            </w:r>
          </w:p>
        </w:tc>
        <w:tc>
          <w:tcPr>
            <w:tcW w:w="1800" w:type="dxa"/>
            <w:tcBorders>
              <w:top w:val="single" w:sz="4" w:space="0" w:color="auto"/>
            </w:tcBorders>
            <w:noWrap/>
            <w:vAlign w:val="center"/>
            <w:hideMark/>
          </w:tcPr>
          <w:p w14:paraId="05F4EE9B" w14:textId="77777777" w:rsidR="00126D8D" w:rsidRPr="003F0091" w:rsidRDefault="00126D8D" w:rsidP="00820288">
            <w:pPr>
              <w:spacing w:line="240" w:lineRule="auto"/>
              <w:jc w:val="center"/>
              <w:rPr>
                <w:rFonts w:cs="Times New Roman"/>
                <w:color w:val="000000" w:themeColor="text1"/>
                <w:sz w:val="20"/>
                <w:szCs w:val="20"/>
              </w:rPr>
            </w:pPr>
            <w:r w:rsidRPr="003F0091">
              <w:rPr>
                <w:rFonts w:cs="Times New Roman"/>
                <w:color w:val="000000" w:themeColor="text1"/>
                <w:sz w:val="20"/>
                <w:szCs w:val="20"/>
              </w:rPr>
              <w:t>7/7/21-8/23/21</w:t>
            </w:r>
          </w:p>
        </w:tc>
        <w:tc>
          <w:tcPr>
            <w:tcW w:w="1890" w:type="dxa"/>
            <w:tcBorders>
              <w:top w:val="single" w:sz="4" w:space="0" w:color="auto"/>
            </w:tcBorders>
            <w:noWrap/>
            <w:vAlign w:val="center"/>
            <w:hideMark/>
          </w:tcPr>
          <w:p w14:paraId="20726FDA" w14:textId="77777777" w:rsidR="00126D8D" w:rsidRPr="003F0091" w:rsidRDefault="00126D8D" w:rsidP="00820288">
            <w:pPr>
              <w:spacing w:line="240" w:lineRule="auto"/>
              <w:jc w:val="center"/>
              <w:rPr>
                <w:rFonts w:cs="Times New Roman"/>
                <w:color w:val="000000" w:themeColor="text1"/>
                <w:sz w:val="20"/>
                <w:szCs w:val="20"/>
              </w:rPr>
            </w:pPr>
            <w:r w:rsidRPr="003F0091">
              <w:rPr>
                <w:rFonts w:cs="Times New Roman"/>
                <w:color w:val="000000" w:themeColor="text1"/>
                <w:sz w:val="20"/>
                <w:szCs w:val="20"/>
              </w:rPr>
              <w:t>12/21/21-02/08/22</w:t>
            </w:r>
          </w:p>
        </w:tc>
      </w:tr>
      <w:tr w:rsidR="00126D8D" w:rsidRPr="003F0091" w14:paraId="4C7AE5E5" w14:textId="77777777" w:rsidTr="00820288">
        <w:trPr>
          <w:trHeight w:val="350"/>
        </w:trPr>
        <w:tc>
          <w:tcPr>
            <w:tcW w:w="2505" w:type="dxa"/>
            <w:noWrap/>
            <w:vAlign w:val="center"/>
            <w:hideMark/>
          </w:tcPr>
          <w:p w14:paraId="7D8FE315" w14:textId="77777777" w:rsidR="00126D8D" w:rsidRPr="003F0091" w:rsidRDefault="00126D8D" w:rsidP="00820288">
            <w:pPr>
              <w:spacing w:line="240" w:lineRule="auto"/>
              <w:jc w:val="center"/>
              <w:rPr>
                <w:rFonts w:cs="Times New Roman"/>
                <w:b/>
                <w:bCs/>
                <w:color w:val="000000" w:themeColor="text1"/>
                <w:sz w:val="18"/>
                <w:szCs w:val="18"/>
              </w:rPr>
            </w:pPr>
            <w:r w:rsidRPr="003F0091">
              <w:rPr>
                <w:rFonts w:cs="Times New Roman"/>
                <w:b/>
                <w:bCs/>
                <w:color w:val="000000" w:themeColor="text1"/>
                <w:sz w:val="18"/>
                <w:szCs w:val="18"/>
              </w:rPr>
              <w:t>Average Day Temp (°C)</w:t>
            </w:r>
          </w:p>
        </w:tc>
        <w:tc>
          <w:tcPr>
            <w:tcW w:w="1800" w:type="dxa"/>
            <w:noWrap/>
            <w:vAlign w:val="center"/>
            <w:hideMark/>
          </w:tcPr>
          <w:p w14:paraId="1407A72D" w14:textId="77777777" w:rsidR="00126D8D" w:rsidRPr="003F0091" w:rsidRDefault="00126D8D" w:rsidP="00820288">
            <w:pPr>
              <w:spacing w:line="240" w:lineRule="auto"/>
              <w:jc w:val="center"/>
              <w:rPr>
                <w:rFonts w:cs="Times New Roman"/>
                <w:color w:val="000000" w:themeColor="text1"/>
                <w:sz w:val="20"/>
                <w:szCs w:val="20"/>
              </w:rPr>
            </w:pPr>
            <w:r w:rsidRPr="003F0091">
              <w:rPr>
                <w:rFonts w:cs="Times New Roman"/>
                <w:color w:val="000000" w:themeColor="text1"/>
                <w:sz w:val="20"/>
                <w:szCs w:val="20"/>
              </w:rPr>
              <w:t>28.9</w:t>
            </w:r>
          </w:p>
        </w:tc>
        <w:tc>
          <w:tcPr>
            <w:tcW w:w="1890" w:type="dxa"/>
            <w:noWrap/>
            <w:vAlign w:val="center"/>
            <w:hideMark/>
          </w:tcPr>
          <w:p w14:paraId="04A51748" w14:textId="77777777" w:rsidR="00126D8D" w:rsidRPr="003F0091" w:rsidRDefault="00126D8D" w:rsidP="00820288">
            <w:pPr>
              <w:spacing w:line="240" w:lineRule="auto"/>
              <w:jc w:val="center"/>
              <w:rPr>
                <w:rFonts w:cs="Times New Roman"/>
                <w:color w:val="000000" w:themeColor="text1"/>
                <w:sz w:val="20"/>
                <w:szCs w:val="20"/>
              </w:rPr>
            </w:pPr>
            <w:r w:rsidRPr="003F0091">
              <w:rPr>
                <w:rFonts w:cs="Times New Roman"/>
                <w:color w:val="000000" w:themeColor="text1"/>
                <w:sz w:val="20"/>
                <w:szCs w:val="20"/>
              </w:rPr>
              <w:t>27.1</w:t>
            </w:r>
          </w:p>
        </w:tc>
      </w:tr>
      <w:tr w:rsidR="00126D8D" w:rsidRPr="003F0091" w14:paraId="283D4145" w14:textId="77777777" w:rsidTr="00820288">
        <w:trPr>
          <w:trHeight w:val="323"/>
        </w:trPr>
        <w:tc>
          <w:tcPr>
            <w:tcW w:w="2505" w:type="dxa"/>
            <w:noWrap/>
            <w:vAlign w:val="center"/>
            <w:hideMark/>
          </w:tcPr>
          <w:p w14:paraId="21D259A3" w14:textId="77777777" w:rsidR="00126D8D" w:rsidRPr="003F0091" w:rsidRDefault="00126D8D" w:rsidP="00820288">
            <w:pPr>
              <w:spacing w:line="240" w:lineRule="auto"/>
              <w:jc w:val="center"/>
              <w:rPr>
                <w:rFonts w:cs="Times New Roman"/>
                <w:b/>
                <w:bCs/>
                <w:color w:val="000000" w:themeColor="text1"/>
                <w:sz w:val="18"/>
                <w:szCs w:val="18"/>
              </w:rPr>
            </w:pPr>
            <w:r w:rsidRPr="003F0091">
              <w:rPr>
                <w:rFonts w:cs="Times New Roman"/>
                <w:b/>
                <w:bCs/>
                <w:color w:val="000000" w:themeColor="text1"/>
                <w:sz w:val="18"/>
                <w:szCs w:val="18"/>
              </w:rPr>
              <w:t>Average Night Temp (°C)</w:t>
            </w:r>
          </w:p>
        </w:tc>
        <w:tc>
          <w:tcPr>
            <w:tcW w:w="1800" w:type="dxa"/>
            <w:noWrap/>
            <w:vAlign w:val="center"/>
            <w:hideMark/>
          </w:tcPr>
          <w:p w14:paraId="1DC574B8" w14:textId="77777777" w:rsidR="00126D8D" w:rsidRPr="003F0091" w:rsidRDefault="00126D8D" w:rsidP="00820288">
            <w:pPr>
              <w:spacing w:line="240" w:lineRule="auto"/>
              <w:jc w:val="center"/>
              <w:rPr>
                <w:rFonts w:cs="Times New Roman"/>
                <w:color w:val="000000" w:themeColor="text1"/>
                <w:sz w:val="20"/>
                <w:szCs w:val="20"/>
              </w:rPr>
            </w:pPr>
            <w:r w:rsidRPr="003F0091">
              <w:rPr>
                <w:rFonts w:cs="Times New Roman"/>
                <w:color w:val="000000" w:themeColor="text1"/>
                <w:sz w:val="20"/>
                <w:szCs w:val="20"/>
              </w:rPr>
              <w:t>21.6</w:t>
            </w:r>
          </w:p>
        </w:tc>
        <w:tc>
          <w:tcPr>
            <w:tcW w:w="1890" w:type="dxa"/>
            <w:noWrap/>
            <w:vAlign w:val="center"/>
            <w:hideMark/>
          </w:tcPr>
          <w:p w14:paraId="3B1B7AA8" w14:textId="77777777" w:rsidR="00126D8D" w:rsidRPr="003F0091" w:rsidRDefault="00126D8D" w:rsidP="00820288">
            <w:pPr>
              <w:spacing w:line="240" w:lineRule="auto"/>
              <w:jc w:val="center"/>
              <w:rPr>
                <w:rFonts w:cs="Times New Roman"/>
                <w:color w:val="000000" w:themeColor="text1"/>
                <w:sz w:val="20"/>
                <w:szCs w:val="20"/>
              </w:rPr>
            </w:pPr>
            <w:r w:rsidRPr="003F0091">
              <w:rPr>
                <w:rFonts w:cs="Times New Roman"/>
                <w:color w:val="000000" w:themeColor="text1"/>
                <w:sz w:val="20"/>
                <w:szCs w:val="20"/>
              </w:rPr>
              <w:t>20.7</w:t>
            </w:r>
          </w:p>
        </w:tc>
      </w:tr>
      <w:tr w:rsidR="00126D8D" w:rsidRPr="003F0091" w14:paraId="74A29485" w14:textId="77777777" w:rsidTr="00820288">
        <w:trPr>
          <w:trHeight w:val="369"/>
        </w:trPr>
        <w:tc>
          <w:tcPr>
            <w:tcW w:w="2505" w:type="dxa"/>
            <w:noWrap/>
            <w:vAlign w:val="center"/>
            <w:hideMark/>
          </w:tcPr>
          <w:p w14:paraId="50FDBD6C" w14:textId="77777777" w:rsidR="00126D8D" w:rsidRPr="003F0091" w:rsidRDefault="00126D8D" w:rsidP="00820288">
            <w:pPr>
              <w:spacing w:line="240" w:lineRule="auto"/>
              <w:jc w:val="center"/>
              <w:rPr>
                <w:rFonts w:cs="Times New Roman"/>
                <w:b/>
                <w:bCs/>
                <w:color w:val="000000" w:themeColor="text1"/>
                <w:sz w:val="18"/>
                <w:szCs w:val="18"/>
              </w:rPr>
            </w:pPr>
            <w:r w:rsidRPr="003F0091">
              <w:rPr>
                <w:rFonts w:cs="Times New Roman"/>
                <w:b/>
                <w:bCs/>
                <w:color w:val="000000" w:themeColor="text1"/>
                <w:sz w:val="18"/>
                <w:szCs w:val="18"/>
              </w:rPr>
              <w:t>Average Relative Humidity</w:t>
            </w:r>
          </w:p>
        </w:tc>
        <w:tc>
          <w:tcPr>
            <w:tcW w:w="1800" w:type="dxa"/>
            <w:noWrap/>
            <w:vAlign w:val="center"/>
            <w:hideMark/>
          </w:tcPr>
          <w:p w14:paraId="3158AB68" w14:textId="77777777" w:rsidR="00126D8D" w:rsidRPr="003F0091" w:rsidRDefault="00126D8D" w:rsidP="00820288">
            <w:pPr>
              <w:spacing w:line="240" w:lineRule="auto"/>
              <w:jc w:val="center"/>
              <w:rPr>
                <w:rFonts w:cs="Times New Roman"/>
                <w:color w:val="000000" w:themeColor="text1"/>
                <w:sz w:val="20"/>
                <w:szCs w:val="20"/>
              </w:rPr>
            </w:pPr>
            <w:r w:rsidRPr="003F0091">
              <w:rPr>
                <w:rFonts w:cs="Times New Roman"/>
                <w:color w:val="000000" w:themeColor="text1"/>
                <w:sz w:val="20"/>
                <w:szCs w:val="20"/>
              </w:rPr>
              <w:t>55%</w:t>
            </w:r>
          </w:p>
        </w:tc>
        <w:tc>
          <w:tcPr>
            <w:tcW w:w="1890" w:type="dxa"/>
            <w:noWrap/>
            <w:vAlign w:val="center"/>
            <w:hideMark/>
          </w:tcPr>
          <w:p w14:paraId="31B48016" w14:textId="77777777" w:rsidR="00126D8D" w:rsidRPr="003F0091" w:rsidRDefault="00126D8D" w:rsidP="00820288">
            <w:pPr>
              <w:spacing w:line="240" w:lineRule="auto"/>
              <w:jc w:val="center"/>
              <w:rPr>
                <w:rFonts w:cs="Times New Roman"/>
                <w:color w:val="000000" w:themeColor="text1"/>
                <w:sz w:val="20"/>
                <w:szCs w:val="20"/>
              </w:rPr>
            </w:pPr>
            <w:r w:rsidRPr="003F0091">
              <w:rPr>
                <w:rFonts w:cs="Times New Roman"/>
                <w:color w:val="000000" w:themeColor="text1"/>
                <w:sz w:val="20"/>
                <w:szCs w:val="20"/>
              </w:rPr>
              <w:t>50%</w:t>
            </w:r>
          </w:p>
        </w:tc>
      </w:tr>
      <w:tr w:rsidR="00126D8D" w:rsidRPr="003F0091" w14:paraId="5A1A783E" w14:textId="77777777" w:rsidTr="00820288">
        <w:trPr>
          <w:trHeight w:val="323"/>
        </w:trPr>
        <w:tc>
          <w:tcPr>
            <w:tcW w:w="2505" w:type="dxa"/>
            <w:tcBorders>
              <w:bottom w:val="single" w:sz="12" w:space="0" w:color="FFFFFF" w:themeColor="background1"/>
            </w:tcBorders>
            <w:noWrap/>
            <w:vAlign w:val="center"/>
            <w:hideMark/>
          </w:tcPr>
          <w:p w14:paraId="1C28ABED" w14:textId="77777777" w:rsidR="00126D8D" w:rsidRPr="003F0091" w:rsidRDefault="00126D8D" w:rsidP="00820288">
            <w:pPr>
              <w:spacing w:line="240" w:lineRule="auto"/>
              <w:jc w:val="center"/>
              <w:rPr>
                <w:rFonts w:cs="Times New Roman"/>
                <w:b/>
                <w:bCs/>
                <w:color w:val="000000" w:themeColor="text1"/>
                <w:sz w:val="18"/>
                <w:szCs w:val="18"/>
              </w:rPr>
            </w:pPr>
            <w:r w:rsidRPr="003F0091">
              <w:rPr>
                <w:rFonts w:cs="Times New Roman"/>
                <w:b/>
                <w:bCs/>
                <w:color w:val="000000" w:themeColor="text1"/>
                <w:sz w:val="18"/>
                <w:szCs w:val="18"/>
              </w:rPr>
              <w:t>Average Daily Light Integral (DLI) (mol</w:t>
            </w:r>
            <w:r w:rsidRPr="003F0091">
              <w:rPr>
                <w:rFonts w:cs="Times New Roman"/>
                <w:b/>
                <w:bCs/>
                <w:color w:val="000000" w:themeColor="text1"/>
                <w:sz w:val="18"/>
                <w:szCs w:val="18"/>
                <w:vertAlign w:val="superscript"/>
              </w:rPr>
              <w:t>.</w:t>
            </w:r>
            <w:r w:rsidRPr="003F0091">
              <w:rPr>
                <w:rFonts w:cs="Times New Roman"/>
                <w:b/>
                <w:bCs/>
                <w:color w:val="000000" w:themeColor="text1"/>
                <w:sz w:val="18"/>
                <w:szCs w:val="18"/>
              </w:rPr>
              <w:t>m</w:t>
            </w:r>
            <w:r w:rsidRPr="003F0091">
              <w:rPr>
                <w:rFonts w:cs="Times New Roman"/>
                <w:b/>
                <w:bCs/>
                <w:color w:val="000000" w:themeColor="text1"/>
                <w:sz w:val="18"/>
                <w:szCs w:val="18"/>
                <w:vertAlign w:val="superscript"/>
              </w:rPr>
              <w:t>.-2.</w:t>
            </w:r>
            <w:r w:rsidRPr="003F0091">
              <w:rPr>
                <w:rFonts w:cs="Times New Roman"/>
                <w:b/>
                <w:bCs/>
                <w:color w:val="000000" w:themeColor="text1"/>
                <w:sz w:val="18"/>
                <w:szCs w:val="18"/>
              </w:rPr>
              <w:t>d</w:t>
            </w:r>
            <w:r w:rsidRPr="003F0091">
              <w:rPr>
                <w:rFonts w:cs="Times New Roman"/>
                <w:b/>
                <w:bCs/>
                <w:color w:val="000000" w:themeColor="text1"/>
                <w:sz w:val="18"/>
                <w:szCs w:val="18"/>
                <w:vertAlign w:val="superscript"/>
              </w:rPr>
              <w:t>-1</w:t>
            </w:r>
            <w:r w:rsidRPr="003F0091">
              <w:rPr>
                <w:rFonts w:cs="Times New Roman"/>
                <w:b/>
                <w:bCs/>
                <w:color w:val="000000" w:themeColor="text1"/>
                <w:sz w:val="18"/>
                <w:szCs w:val="18"/>
              </w:rPr>
              <w:t>)</w:t>
            </w:r>
          </w:p>
        </w:tc>
        <w:tc>
          <w:tcPr>
            <w:tcW w:w="1800" w:type="dxa"/>
            <w:tcBorders>
              <w:bottom w:val="single" w:sz="12" w:space="0" w:color="FFFFFF" w:themeColor="background1"/>
            </w:tcBorders>
            <w:noWrap/>
            <w:vAlign w:val="center"/>
            <w:hideMark/>
          </w:tcPr>
          <w:p w14:paraId="5F587571" w14:textId="77777777" w:rsidR="00126D8D" w:rsidRPr="003F0091" w:rsidRDefault="00126D8D" w:rsidP="00820288">
            <w:pPr>
              <w:spacing w:line="240" w:lineRule="auto"/>
              <w:jc w:val="center"/>
              <w:rPr>
                <w:rFonts w:cs="Times New Roman"/>
                <w:color w:val="000000" w:themeColor="text1"/>
                <w:sz w:val="20"/>
                <w:szCs w:val="20"/>
              </w:rPr>
            </w:pPr>
            <w:r w:rsidRPr="003F0091">
              <w:rPr>
                <w:rFonts w:cs="Times New Roman"/>
                <w:color w:val="000000" w:themeColor="text1"/>
                <w:sz w:val="20"/>
                <w:szCs w:val="20"/>
              </w:rPr>
              <w:t>13.21</w:t>
            </w:r>
          </w:p>
        </w:tc>
        <w:tc>
          <w:tcPr>
            <w:tcW w:w="1890" w:type="dxa"/>
            <w:tcBorders>
              <w:bottom w:val="single" w:sz="12" w:space="0" w:color="FFFFFF" w:themeColor="background1"/>
            </w:tcBorders>
            <w:noWrap/>
            <w:vAlign w:val="center"/>
            <w:hideMark/>
          </w:tcPr>
          <w:p w14:paraId="5F9E61CA" w14:textId="77777777" w:rsidR="00126D8D" w:rsidRPr="003F0091" w:rsidRDefault="00126D8D" w:rsidP="00820288">
            <w:pPr>
              <w:spacing w:line="240" w:lineRule="auto"/>
              <w:jc w:val="center"/>
              <w:rPr>
                <w:rFonts w:cs="Times New Roman"/>
                <w:color w:val="000000" w:themeColor="text1"/>
                <w:sz w:val="20"/>
                <w:szCs w:val="20"/>
              </w:rPr>
            </w:pPr>
            <w:r w:rsidRPr="003F0091">
              <w:rPr>
                <w:rFonts w:cs="Times New Roman"/>
                <w:color w:val="000000" w:themeColor="text1"/>
                <w:sz w:val="20"/>
                <w:szCs w:val="20"/>
              </w:rPr>
              <w:t>7.11</w:t>
            </w:r>
          </w:p>
        </w:tc>
      </w:tr>
      <w:tr w:rsidR="00126D8D" w:rsidRPr="003F0091" w14:paraId="758F2C3C" w14:textId="77777777" w:rsidTr="00820288">
        <w:trPr>
          <w:trHeight w:val="323"/>
        </w:trPr>
        <w:tc>
          <w:tcPr>
            <w:tcW w:w="2505" w:type="dxa"/>
            <w:tcBorders>
              <w:bottom w:val="single" w:sz="4" w:space="0" w:color="auto"/>
            </w:tcBorders>
            <w:noWrap/>
            <w:vAlign w:val="center"/>
            <w:hideMark/>
          </w:tcPr>
          <w:p w14:paraId="4483D803" w14:textId="77777777" w:rsidR="00126D8D" w:rsidRPr="003F0091" w:rsidRDefault="00126D8D" w:rsidP="00820288">
            <w:pPr>
              <w:spacing w:line="240" w:lineRule="auto"/>
              <w:jc w:val="center"/>
              <w:rPr>
                <w:rFonts w:cs="Times New Roman"/>
                <w:b/>
                <w:bCs/>
                <w:color w:val="000000" w:themeColor="text1"/>
                <w:sz w:val="18"/>
                <w:szCs w:val="18"/>
              </w:rPr>
            </w:pPr>
            <w:r w:rsidRPr="003F0091">
              <w:rPr>
                <w:rFonts w:cs="Times New Roman"/>
                <w:b/>
                <w:bCs/>
                <w:color w:val="000000" w:themeColor="text1"/>
                <w:sz w:val="18"/>
                <w:szCs w:val="18"/>
              </w:rPr>
              <w:t>Average Day Length (hours)</w:t>
            </w:r>
          </w:p>
        </w:tc>
        <w:tc>
          <w:tcPr>
            <w:tcW w:w="1800" w:type="dxa"/>
            <w:tcBorders>
              <w:bottom w:val="single" w:sz="4" w:space="0" w:color="auto"/>
            </w:tcBorders>
            <w:noWrap/>
            <w:vAlign w:val="center"/>
            <w:hideMark/>
          </w:tcPr>
          <w:p w14:paraId="1102BDBD" w14:textId="77777777" w:rsidR="00126D8D" w:rsidRPr="003F0091" w:rsidRDefault="00126D8D" w:rsidP="00820288">
            <w:pPr>
              <w:spacing w:line="240" w:lineRule="auto"/>
              <w:jc w:val="center"/>
              <w:rPr>
                <w:rFonts w:cs="Times New Roman"/>
                <w:color w:val="000000" w:themeColor="text1"/>
                <w:sz w:val="20"/>
                <w:szCs w:val="20"/>
              </w:rPr>
            </w:pPr>
            <w:r w:rsidRPr="003F0091">
              <w:rPr>
                <w:rFonts w:cs="Times New Roman"/>
                <w:color w:val="000000" w:themeColor="text1"/>
                <w:sz w:val="20"/>
                <w:szCs w:val="20"/>
              </w:rPr>
              <w:t>13:41</w:t>
            </w:r>
          </w:p>
        </w:tc>
        <w:tc>
          <w:tcPr>
            <w:tcW w:w="1890" w:type="dxa"/>
            <w:tcBorders>
              <w:bottom w:val="single" w:sz="4" w:space="0" w:color="auto"/>
            </w:tcBorders>
            <w:noWrap/>
            <w:vAlign w:val="center"/>
            <w:hideMark/>
          </w:tcPr>
          <w:p w14:paraId="3135BC8D" w14:textId="77777777" w:rsidR="00126D8D" w:rsidRPr="003F0091" w:rsidRDefault="00126D8D" w:rsidP="00820288">
            <w:pPr>
              <w:spacing w:line="240" w:lineRule="auto"/>
              <w:jc w:val="center"/>
              <w:rPr>
                <w:rFonts w:cs="Times New Roman"/>
                <w:color w:val="000000" w:themeColor="text1"/>
                <w:sz w:val="20"/>
                <w:szCs w:val="20"/>
              </w:rPr>
            </w:pPr>
            <w:r w:rsidRPr="003F0091">
              <w:rPr>
                <w:rFonts w:cs="Times New Roman"/>
                <w:color w:val="000000" w:themeColor="text1"/>
                <w:sz w:val="20"/>
                <w:szCs w:val="20"/>
              </w:rPr>
              <w:t>9:50</w:t>
            </w:r>
          </w:p>
        </w:tc>
      </w:tr>
    </w:tbl>
    <w:p w14:paraId="10A0F0C9" w14:textId="77777777" w:rsidR="00126D8D" w:rsidRPr="003F0091" w:rsidRDefault="00126D8D" w:rsidP="00DC4427">
      <w:pPr>
        <w:spacing w:line="240" w:lineRule="auto"/>
        <w:rPr>
          <w:rFonts w:cs="Times New Roman"/>
          <w:color w:val="000000" w:themeColor="text1"/>
        </w:rPr>
      </w:pPr>
    </w:p>
    <w:p w14:paraId="09421395" w14:textId="77777777" w:rsidR="00126D8D" w:rsidRPr="003F0091" w:rsidRDefault="00126D8D" w:rsidP="00DC4427">
      <w:pPr>
        <w:spacing w:line="240" w:lineRule="auto"/>
        <w:rPr>
          <w:rFonts w:cs="Times New Roman"/>
          <w:b/>
          <w:color w:val="000000" w:themeColor="text1"/>
        </w:rPr>
      </w:pPr>
      <w:r w:rsidRPr="003F0091">
        <w:rPr>
          <w:rFonts w:cs="Times New Roman"/>
          <w:b/>
          <w:color w:val="000000" w:themeColor="text1"/>
        </w:rPr>
        <w:br w:type="page"/>
      </w:r>
    </w:p>
    <w:p w14:paraId="46F5F652" w14:textId="77777777" w:rsidR="00126D8D" w:rsidRPr="00EF6679" w:rsidRDefault="00126D8D" w:rsidP="00DC4427">
      <w:pPr>
        <w:pStyle w:val="TableTOC"/>
        <w:ind w:right="90"/>
        <w:jc w:val="both"/>
        <w:rPr>
          <w:rFonts w:cs="Times New Roman"/>
          <w:color w:val="000000" w:themeColor="text1"/>
          <w:sz w:val="14"/>
          <w:szCs w:val="14"/>
        </w:rPr>
      </w:pPr>
      <w:bookmarkStart w:id="615" w:name="_Toc141478779"/>
      <w:r w:rsidRPr="00EF6679">
        <w:rPr>
          <w:rFonts w:cs="Times New Roman"/>
          <w:b/>
          <w:color w:val="000000" w:themeColor="text1"/>
        </w:rPr>
        <w:lastRenderedPageBreak/>
        <w:t>Table 4.2.</w:t>
      </w:r>
      <w:r w:rsidRPr="00EF6679">
        <w:rPr>
          <w:rFonts w:cs="Times New Roman"/>
          <w:color w:val="000000" w:themeColor="text1"/>
        </w:rPr>
        <w:t xml:space="preserve"> Summary of statistical results for pertinent experimental parameters.</w:t>
      </w:r>
      <w:bookmarkEnd w:id="615"/>
      <w:r w:rsidRPr="00EF6679">
        <w:rPr>
          <w:rFonts w:cs="Times New Roman"/>
          <w:color w:val="000000" w:themeColor="text1"/>
        </w:rPr>
        <w:t xml:space="preserve"> </w:t>
      </w:r>
    </w:p>
    <w:p w14:paraId="64F794A8" w14:textId="77777777" w:rsidR="00126D8D" w:rsidRPr="00EF6679" w:rsidRDefault="00126D8D" w:rsidP="00DC4427">
      <w:pPr>
        <w:pStyle w:val="TableTOC"/>
        <w:ind w:right="1530"/>
        <w:rPr>
          <w:rFonts w:cs="Times New Roman"/>
          <w:color w:val="000000" w:themeColor="text1"/>
          <w:sz w:val="14"/>
          <w:szCs w:val="14"/>
        </w:rPr>
      </w:pPr>
    </w:p>
    <w:tbl>
      <w:tblPr>
        <w:tblStyle w:val="TableGrid"/>
        <w:tblW w:w="9180"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43" w:type="dxa"/>
          <w:right w:w="43" w:type="dxa"/>
        </w:tblCellMar>
        <w:tblLook w:val="04A0" w:firstRow="1" w:lastRow="0" w:firstColumn="1" w:lastColumn="0" w:noHBand="0" w:noVBand="1"/>
      </w:tblPr>
      <w:tblGrid>
        <w:gridCol w:w="2732"/>
        <w:gridCol w:w="1007"/>
        <w:gridCol w:w="839"/>
        <w:gridCol w:w="1182"/>
        <w:gridCol w:w="303"/>
        <w:gridCol w:w="1007"/>
        <w:gridCol w:w="839"/>
        <w:gridCol w:w="1271"/>
      </w:tblGrid>
      <w:tr w:rsidR="00126D8D" w:rsidRPr="00EF6679" w14:paraId="15F682F0" w14:textId="77777777" w:rsidTr="00820288">
        <w:trPr>
          <w:trHeight w:val="400"/>
          <w:jc w:val="center"/>
        </w:trPr>
        <w:tc>
          <w:tcPr>
            <w:tcW w:w="2732" w:type="dxa"/>
            <w:tcBorders>
              <w:top w:val="single" w:sz="4" w:space="0" w:color="auto"/>
            </w:tcBorders>
            <w:noWrap/>
            <w:vAlign w:val="bottom"/>
            <w:hideMark/>
          </w:tcPr>
          <w:p w14:paraId="090EEE51" w14:textId="77777777" w:rsidR="00126D8D" w:rsidRPr="00EF6679" w:rsidRDefault="00126D8D" w:rsidP="00820288">
            <w:pPr>
              <w:spacing w:line="240" w:lineRule="auto"/>
              <w:rPr>
                <w:rFonts w:ascii="Times New Roman" w:hAnsi="Times New Roman" w:cs="Times New Roman"/>
                <w:b/>
                <w:bCs/>
                <w:color w:val="000000" w:themeColor="text1"/>
                <w:sz w:val="18"/>
                <w:szCs w:val="18"/>
              </w:rPr>
            </w:pPr>
          </w:p>
        </w:tc>
        <w:tc>
          <w:tcPr>
            <w:tcW w:w="1007" w:type="dxa"/>
            <w:tcBorders>
              <w:top w:val="single" w:sz="4" w:space="0" w:color="auto"/>
              <w:bottom w:val="single" w:sz="4" w:space="0" w:color="auto"/>
            </w:tcBorders>
            <w:noWrap/>
            <w:vAlign w:val="center"/>
            <w:hideMark/>
          </w:tcPr>
          <w:p w14:paraId="1CD94184" w14:textId="77777777" w:rsidR="00126D8D" w:rsidRPr="00EF6679" w:rsidRDefault="00126D8D" w:rsidP="00820288">
            <w:pPr>
              <w:spacing w:line="240" w:lineRule="auto"/>
              <w:jc w:val="center"/>
              <w:rPr>
                <w:rFonts w:ascii="Times New Roman" w:hAnsi="Times New Roman" w:cs="Times New Roman"/>
                <w:color w:val="000000" w:themeColor="text1"/>
                <w:sz w:val="18"/>
                <w:szCs w:val="18"/>
              </w:rPr>
            </w:pPr>
          </w:p>
        </w:tc>
        <w:tc>
          <w:tcPr>
            <w:tcW w:w="839" w:type="dxa"/>
            <w:tcBorders>
              <w:top w:val="single" w:sz="4" w:space="0" w:color="auto"/>
              <w:bottom w:val="single" w:sz="4" w:space="0" w:color="auto"/>
            </w:tcBorders>
            <w:noWrap/>
            <w:vAlign w:val="center"/>
            <w:hideMark/>
          </w:tcPr>
          <w:p w14:paraId="55B31F3F" w14:textId="77777777" w:rsidR="00126D8D" w:rsidRPr="00EF6679" w:rsidRDefault="00126D8D" w:rsidP="00820288">
            <w:pPr>
              <w:spacing w:line="240" w:lineRule="auto"/>
              <w:jc w:val="center"/>
              <w:rPr>
                <w:rFonts w:ascii="Times New Roman" w:hAnsi="Times New Roman" w:cs="Times New Roman"/>
                <w:b/>
                <w:bCs/>
                <w:color w:val="000000" w:themeColor="text1"/>
                <w:sz w:val="18"/>
                <w:szCs w:val="18"/>
              </w:rPr>
            </w:pPr>
            <w:r w:rsidRPr="00EF6679">
              <w:rPr>
                <w:rFonts w:ascii="Times New Roman" w:hAnsi="Times New Roman" w:cs="Times New Roman"/>
                <w:b/>
                <w:bCs/>
                <w:color w:val="000000" w:themeColor="text1"/>
                <w:sz w:val="18"/>
                <w:szCs w:val="18"/>
              </w:rPr>
              <w:t>F Value</w:t>
            </w:r>
          </w:p>
        </w:tc>
        <w:tc>
          <w:tcPr>
            <w:tcW w:w="1182" w:type="dxa"/>
            <w:tcBorders>
              <w:top w:val="single" w:sz="4" w:space="0" w:color="auto"/>
              <w:bottom w:val="single" w:sz="4" w:space="0" w:color="auto"/>
            </w:tcBorders>
            <w:noWrap/>
            <w:vAlign w:val="center"/>
            <w:hideMark/>
          </w:tcPr>
          <w:p w14:paraId="53C299DD" w14:textId="77777777" w:rsidR="00126D8D" w:rsidRPr="00EF6679" w:rsidRDefault="00126D8D" w:rsidP="00820288">
            <w:pPr>
              <w:spacing w:line="240" w:lineRule="auto"/>
              <w:jc w:val="center"/>
              <w:rPr>
                <w:rFonts w:ascii="Times New Roman" w:hAnsi="Times New Roman" w:cs="Times New Roman"/>
                <w:color w:val="000000" w:themeColor="text1"/>
                <w:sz w:val="18"/>
                <w:szCs w:val="18"/>
              </w:rPr>
            </w:pPr>
          </w:p>
        </w:tc>
        <w:tc>
          <w:tcPr>
            <w:tcW w:w="303" w:type="dxa"/>
            <w:tcBorders>
              <w:top w:val="single" w:sz="4" w:space="0" w:color="auto"/>
            </w:tcBorders>
          </w:tcPr>
          <w:p w14:paraId="6B95954A" w14:textId="77777777" w:rsidR="00126D8D" w:rsidRPr="00EF6679" w:rsidRDefault="00126D8D" w:rsidP="00820288">
            <w:pPr>
              <w:spacing w:line="240" w:lineRule="auto"/>
              <w:jc w:val="center"/>
              <w:rPr>
                <w:rFonts w:ascii="Times New Roman" w:hAnsi="Times New Roman" w:cs="Times New Roman"/>
                <w:color w:val="000000" w:themeColor="text1"/>
                <w:sz w:val="18"/>
                <w:szCs w:val="18"/>
              </w:rPr>
            </w:pPr>
          </w:p>
        </w:tc>
        <w:tc>
          <w:tcPr>
            <w:tcW w:w="1007" w:type="dxa"/>
            <w:tcBorders>
              <w:top w:val="single" w:sz="4" w:space="0" w:color="auto"/>
              <w:bottom w:val="single" w:sz="4" w:space="0" w:color="auto"/>
            </w:tcBorders>
            <w:noWrap/>
            <w:vAlign w:val="center"/>
            <w:hideMark/>
          </w:tcPr>
          <w:p w14:paraId="648D2833" w14:textId="77777777" w:rsidR="00126D8D" w:rsidRPr="00EF6679" w:rsidRDefault="00126D8D" w:rsidP="00820288">
            <w:pPr>
              <w:spacing w:line="240" w:lineRule="auto"/>
              <w:jc w:val="center"/>
              <w:rPr>
                <w:rFonts w:ascii="Times New Roman" w:hAnsi="Times New Roman" w:cs="Times New Roman"/>
                <w:color w:val="000000" w:themeColor="text1"/>
                <w:sz w:val="18"/>
                <w:szCs w:val="18"/>
              </w:rPr>
            </w:pPr>
          </w:p>
        </w:tc>
        <w:tc>
          <w:tcPr>
            <w:tcW w:w="839" w:type="dxa"/>
            <w:tcBorders>
              <w:top w:val="single" w:sz="4" w:space="0" w:color="auto"/>
              <w:bottom w:val="single" w:sz="4" w:space="0" w:color="auto"/>
            </w:tcBorders>
            <w:noWrap/>
            <w:vAlign w:val="center"/>
            <w:hideMark/>
          </w:tcPr>
          <w:p w14:paraId="164C1129" w14:textId="77777777" w:rsidR="00126D8D" w:rsidRPr="00EF6679" w:rsidRDefault="00126D8D" w:rsidP="00820288">
            <w:pPr>
              <w:spacing w:line="240" w:lineRule="auto"/>
              <w:jc w:val="center"/>
              <w:rPr>
                <w:rFonts w:ascii="Times New Roman" w:hAnsi="Times New Roman" w:cs="Times New Roman"/>
                <w:b/>
                <w:bCs/>
                <w:color w:val="000000" w:themeColor="text1"/>
                <w:sz w:val="18"/>
                <w:szCs w:val="18"/>
              </w:rPr>
            </w:pPr>
            <w:r w:rsidRPr="00EF6679">
              <w:rPr>
                <w:rFonts w:ascii="Times New Roman" w:hAnsi="Times New Roman" w:cs="Times New Roman"/>
                <w:b/>
                <w:bCs/>
                <w:color w:val="000000" w:themeColor="text1"/>
                <w:sz w:val="18"/>
                <w:szCs w:val="18"/>
              </w:rPr>
              <w:t>Pr &gt; F</w:t>
            </w:r>
          </w:p>
        </w:tc>
        <w:tc>
          <w:tcPr>
            <w:tcW w:w="1271" w:type="dxa"/>
            <w:tcBorders>
              <w:top w:val="single" w:sz="4" w:space="0" w:color="auto"/>
              <w:bottom w:val="single" w:sz="4" w:space="0" w:color="auto"/>
            </w:tcBorders>
            <w:noWrap/>
            <w:vAlign w:val="center"/>
            <w:hideMark/>
          </w:tcPr>
          <w:p w14:paraId="7F3B0332" w14:textId="77777777" w:rsidR="00126D8D" w:rsidRPr="00EF6679" w:rsidRDefault="00126D8D" w:rsidP="00820288">
            <w:pPr>
              <w:spacing w:line="240" w:lineRule="auto"/>
              <w:jc w:val="center"/>
              <w:rPr>
                <w:rFonts w:ascii="Times New Roman" w:hAnsi="Times New Roman" w:cs="Times New Roman"/>
                <w:color w:val="000000" w:themeColor="text1"/>
                <w:sz w:val="18"/>
                <w:szCs w:val="18"/>
              </w:rPr>
            </w:pPr>
          </w:p>
        </w:tc>
      </w:tr>
      <w:tr w:rsidR="00126D8D" w:rsidRPr="00EF6679" w14:paraId="1B4BBF55" w14:textId="77777777" w:rsidTr="00820288">
        <w:trPr>
          <w:trHeight w:val="400"/>
          <w:jc w:val="center"/>
        </w:trPr>
        <w:tc>
          <w:tcPr>
            <w:tcW w:w="2732" w:type="dxa"/>
            <w:tcBorders>
              <w:bottom w:val="single" w:sz="4" w:space="0" w:color="auto"/>
            </w:tcBorders>
            <w:noWrap/>
            <w:vAlign w:val="center"/>
            <w:hideMark/>
          </w:tcPr>
          <w:p w14:paraId="2D09E8B6" w14:textId="77777777" w:rsidR="00126D8D" w:rsidRPr="00EF6679" w:rsidRDefault="00126D8D" w:rsidP="00820288">
            <w:pPr>
              <w:spacing w:line="240" w:lineRule="auto"/>
              <w:rPr>
                <w:rFonts w:ascii="Times New Roman" w:hAnsi="Times New Roman" w:cs="Times New Roman"/>
                <w:color w:val="000000" w:themeColor="text1"/>
                <w:sz w:val="18"/>
                <w:szCs w:val="18"/>
              </w:rPr>
            </w:pPr>
            <w:r w:rsidRPr="00EF6679">
              <w:rPr>
                <w:rFonts w:ascii="Times New Roman" w:hAnsi="Times New Roman" w:cs="Times New Roman"/>
                <w:b/>
                <w:bCs/>
                <w:color w:val="000000" w:themeColor="text1"/>
                <w:sz w:val="18"/>
                <w:szCs w:val="18"/>
              </w:rPr>
              <w:t>Experimental Parameter</w:t>
            </w:r>
          </w:p>
        </w:tc>
        <w:tc>
          <w:tcPr>
            <w:tcW w:w="1007" w:type="dxa"/>
            <w:tcBorders>
              <w:top w:val="single" w:sz="4" w:space="0" w:color="auto"/>
              <w:bottom w:val="single" w:sz="4" w:space="0" w:color="auto"/>
            </w:tcBorders>
            <w:noWrap/>
            <w:vAlign w:val="center"/>
            <w:hideMark/>
          </w:tcPr>
          <w:p w14:paraId="70315872" w14:textId="77777777" w:rsidR="00126D8D" w:rsidRPr="00EF6679" w:rsidRDefault="00126D8D" w:rsidP="00820288">
            <w:pPr>
              <w:spacing w:line="240" w:lineRule="auto"/>
              <w:jc w:val="center"/>
              <w:rPr>
                <w:rFonts w:ascii="Times New Roman" w:hAnsi="Times New Roman" w:cs="Times New Roman"/>
                <w:color w:val="000000" w:themeColor="text1"/>
                <w:sz w:val="18"/>
                <w:szCs w:val="18"/>
              </w:rPr>
            </w:pPr>
            <w:r w:rsidRPr="00EF6679">
              <w:rPr>
                <w:rFonts w:ascii="Times New Roman" w:hAnsi="Times New Roman" w:cs="Times New Roman"/>
                <w:color w:val="000000" w:themeColor="text1"/>
                <w:sz w:val="18"/>
                <w:szCs w:val="18"/>
              </w:rPr>
              <w:t>Season</w:t>
            </w:r>
          </w:p>
        </w:tc>
        <w:tc>
          <w:tcPr>
            <w:tcW w:w="839" w:type="dxa"/>
            <w:tcBorders>
              <w:top w:val="single" w:sz="4" w:space="0" w:color="auto"/>
              <w:bottom w:val="single" w:sz="4" w:space="0" w:color="auto"/>
            </w:tcBorders>
            <w:noWrap/>
            <w:vAlign w:val="center"/>
            <w:hideMark/>
          </w:tcPr>
          <w:p w14:paraId="301AEE73" w14:textId="77777777" w:rsidR="00126D8D" w:rsidRPr="00EF6679" w:rsidRDefault="00126D8D" w:rsidP="00820288">
            <w:pPr>
              <w:spacing w:line="240" w:lineRule="auto"/>
              <w:jc w:val="center"/>
              <w:rPr>
                <w:rFonts w:ascii="Times New Roman" w:hAnsi="Times New Roman" w:cs="Times New Roman"/>
                <w:color w:val="000000" w:themeColor="text1"/>
                <w:sz w:val="18"/>
                <w:szCs w:val="18"/>
              </w:rPr>
            </w:pPr>
            <w:r w:rsidRPr="00EF6679">
              <w:rPr>
                <w:rFonts w:ascii="Times New Roman" w:hAnsi="Times New Roman" w:cs="Times New Roman"/>
                <w:color w:val="000000" w:themeColor="text1"/>
                <w:sz w:val="18"/>
                <w:szCs w:val="18"/>
              </w:rPr>
              <w:t>Treatment</w:t>
            </w:r>
          </w:p>
        </w:tc>
        <w:tc>
          <w:tcPr>
            <w:tcW w:w="1182" w:type="dxa"/>
            <w:tcBorders>
              <w:top w:val="single" w:sz="4" w:space="0" w:color="auto"/>
              <w:bottom w:val="single" w:sz="4" w:space="0" w:color="auto"/>
            </w:tcBorders>
            <w:noWrap/>
            <w:vAlign w:val="center"/>
            <w:hideMark/>
          </w:tcPr>
          <w:p w14:paraId="143A6DF3" w14:textId="77777777" w:rsidR="00126D8D" w:rsidRPr="00EF6679" w:rsidRDefault="00126D8D" w:rsidP="00820288">
            <w:pPr>
              <w:spacing w:line="240" w:lineRule="auto"/>
              <w:jc w:val="center"/>
              <w:rPr>
                <w:rFonts w:ascii="Times New Roman" w:hAnsi="Times New Roman" w:cs="Times New Roman"/>
                <w:color w:val="000000" w:themeColor="text1"/>
                <w:sz w:val="18"/>
                <w:szCs w:val="18"/>
              </w:rPr>
            </w:pPr>
            <w:r w:rsidRPr="00EF6679">
              <w:rPr>
                <w:rFonts w:ascii="Times New Roman" w:hAnsi="Times New Roman" w:cs="Times New Roman"/>
                <w:color w:val="000000" w:themeColor="text1"/>
                <w:sz w:val="18"/>
                <w:szCs w:val="18"/>
              </w:rPr>
              <w:t>Season*Treatment</w:t>
            </w:r>
          </w:p>
        </w:tc>
        <w:tc>
          <w:tcPr>
            <w:tcW w:w="303" w:type="dxa"/>
            <w:tcBorders>
              <w:bottom w:val="single" w:sz="4" w:space="0" w:color="auto"/>
            </w:tcBorders>
          </w:tcPr>
          <w:p w14:paraId="2098B149" w14:textId="77777777" w:rsidR="00126D8D" w:rsidRPr="00EF6679" w:rsidRDefault="00126D8D" w:rsidP="00820288">
            <w:pPr>
              <w:spacing w:line="240" w:lineRule="auto"/>
              <w:jc w:val="center"/>
              <w:rPr>
                <w:rFonts w:ascii="Times New Roman" w:hAnsi="Times New Roman" w:cs="Times New Roman"/>
                <w:color w:val="000000" w:themeColor="text1"/>
                <w:sz w:val="18"/>
                <w:szCs w:val="18"/>
              </w:rPr>
            </w:pPr>
          </w:p>
        </w:tc>
        <w:tc>
          <w:tcPr>
            <w:tcW w:w="1007" w:type="dxa"/>
            <w:tcBorders>
              <w:top w:val="single" w:sz="4" w:space="0" w:color="auto"/>
              <w:bottom w:val="single" w:sz="4" w:space="0" w:color="auto"/>
            </w:tcBorders>
            <w:noWrap/>
            <w:vAlign w:val="center"/>
            <w:hideMark/>
          </w:tcPr>
          <w:p w14:paraId="1CD6053A" w14:textId="77777777" w:rsidR="00126D8D" w:rsidRPr="00EF6679" w:rsidRDefault="00126D8D" w:rsidP="00820288">
            <w:pPr>
              <w:spacing w:line="240" w:lineRule="auto"/>
              <w:jc w:val="center"/>
              <w:rPr>
                <w:rFonts w:ascii="Times New Roman" w:hAnsi="Times New Roman" w:cs="Times New Roman"/>
                <w:color w:val="000000" w:themeColor="text1"/>
                <w:sz w:val="18"/>
                <w:szCs w:val="18"/>
              </w:rPr>
            </w:pPr>
            <w:r w:rsidRPr="00EF6679">
              <w:rPr>
                <w:rFonts w:ascii="Times New Roman" w:hAnsi="Times New Roman" w:cs="Times New Roman"/>
                <w:color w:val="000000" w:themeColor="text1"/>
                <w:sz w:val="18"/>
                <w:szCs w:val="18"/>
              </w:rPr>
              <w:t>Season</w:t>
            </w:r>
          </w:p>
        </w:tc>
        <w:tc>
          <w:tcPr>
            <w:tcW w:w="839" w:type="dxa"/>
            <w:tcBorders>
              <w:top w:val="single" w:sz="4" w:space="0" w:color="auto"/>
              <w:bottom w:val="single" w:sz="4" w:space="0" w:color="auto"/>
            </w:tcBorders>
            <w:noWrap/>
            <w:vAlign w:val="center"/>
            <w:hideMark/>
          </w:tcPr>
          <w:p w14:paraId="59935564" w14:textId="77777777" w:rsidR="00126D8D" w:rsidRPr="00EF6679" w:rsidRDefault="00126D8D" w:rsidP="00820288">
            <w:pPr>
              <w:spacing w:line="240" w:lineRule="auto"/>
              <w:jc w:val="center"/>
              <w:rPr>
                <w:rFonts w:ascii="Times New Roman" w:hAnsi="Times New Roman" w:cs="Times New Roman"/>
                <w:color w:val="000000" w:themeColor="text1"/>
                <w:sz w:val="18"/>
                <w:szCs w:val="18"/>
              </w:rPr>
            </w:pPr>
            <w:r w:rsidRPr="00EF6679">
              <w:rPr>
                <w:rFonts w:ascii="Times New Roman" w:hAnsi="Times New Roman" w:cs="Times New Roman"/>
                <w:color w:val="000000" w:themeColor="text1"/>
                <w:sz w:val="18"/>
                <w:szCs w:val="18"/>
              </w:rPr>
              <w:t>Treatment</w:t>
            </w:r>
          </w:p>
        </w:tc>
        <w:tc>
          <w:tcPr>
            <w:tcW w:w="1271" w:type="dxa"/>
            <w:tcBorders>
              <w:top w:val="single" w:sz="4" w:space="0" w:color="auto"/>
              <w:bottom w:val="single" w:sz="4" w:space="0" w:color="auto"/>
            </w:tcBorders>
            <w:noWrap/>
            <w:vAlign w:val="center"/>
            <w:hideMark/>
          </w:tcPr>
          <w:p w14:paraId="043FB692" w14:textId="77777777" w:rsidR="00126D8D" w:rsidRPr="00EF6679" w:rsidRDefault="00126D8D" w:rsidP="00820288">
            <w:pPr>
              <w:spacing w:line="240" w:lineRule="auto"/>
              <w:jc w:val="center"/>
              <w:rPr>
                <w:rFonts w:ascii="Times New Roman" w:hAnsi="Times New Roman" w:cs="Times New Roman"/>
                <w:color w:val="000000" w:themeColor="text1"/>
                <w:sz w:val="18"/>
                <w:szCs w:val="18"/>
              </w:rPr>
            </w:pPr>
            <w:r w:rsidRPr="00EF6679">
              <w:rPr>
                <w:rFonts w:ascii="Times New Roman" w:hAnsi="Times New Roman" w:cs="Times New Roman"/>
                <w:color w:val="000000" w:themeColor="text1"/>
                <w:sz w:val="18"/>
                <w:szCs w:val="18"/>
              </w:rPr>
              <w:t>Season*Treatment</w:t>
            </w:r>
          </w:p>
        </w:tc>
      </w:tr>
      <w:tr w:rsidR="00126D8D" w:rsidRPr="00EF6679" w14:paraId="5A93545E" w14:textId="77777777" w:rsidTr="00820288">
        <w:tblPrEx>
          <w:jc w:val="lef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trHeight w:val="167"/>
        </w:trPr>
        <w:tc>
          <w:tcPr>
            <w:tcW w:w="2732" w:type="dxa"/>
            <w:tcBorders>
              <w:top w:val="nil"/>
              <w:left w:val="nil"/>
              <w:bottom w:val="nil"/>
              <w:right w:val="nil"/>
            </w:tcBorders>
            <w:noWrap/>
            <w:vAlign w:val="bottom"/>
            <w:hideMark/>
          </w:tcPr>
          <w:p w14:paraId="43F7CD83" w14:textId="77777777" w:rsidR="00126D8D" w:rsidRPr="00EF6679" w:rsidRDefault="00126D8D" w:rsidP="00820288">
            <w:pPr>
              <w:spacing w:line="240" w:lineRule="auto"/>
              <w:rPr>
                <w:rFonts w:ascii="Times New Roman" w:eastAsia="Times New Roman" w:hAnsi="Times New Roman" w:cs="Times New Roman"/>
                <w:color w:val="000000" w:themeColor="text1"/>
                <w:sz w:val="18"/>
                <w:szCs w:val="18"/>
              </w:rPr>
            </w:pPr>
            <w:r w:rsidRPr="00EF6679">
              <w:rPr>
                <w:rFonts w:ascii="Times New Roman" w:hAnsi="Times New Roman" w:cs="Times New Roman"/>
                <w:color w:val="000000"/>
                <w:sz w:val="18"/>
                <w:szCs w:val="18"/>
              </w:rPr>
              <w:t>Fresh Mass</w:t>
            </w:r>
          </w:p>
        </w:tc>
        <w:tc>
          <w:tcPr>
            <w:tcW w:w="1007" w:type="dxa"/>
            <w:tcBorders>
              <w:top w:val="nil"/>
              <w:left w:val="nil"/>
              <w:bottom w:val="nil"/>
              <w:right w:val="nil"/>
            </w:tcBorders>
            <w:noWrap/>
            <w:vAlign w:val="bottom"/>
            <w:hideMark/>
          </w:tcPr>
          <w:p w14:paraId="1493E5D2" w14:textId="77777777" w:rsidR="00126D8D" w:rsidRPr="00EF6679" w:rsidRDefault="00126D8D" w:rsidP="00820288">
            <w:pPr>
              <w:spacing w:line="240" w:lineRule="auto"/>
              <w:jc w:val="center"/>
              <w:rPr>
                <w:rFonts w:ascii="Times New Roman" w:eastAsia="Times New Roman" w:hAnsi="Times New Roman" w:cs="Times New Roman"/>
                <w:color w:val="000000" w:themeColor="text1"/>
                <w:sz w:val="18"/>
                <w:szCs w:val="18"/>
              </w:rPr>
            </w:pPr>
            <w:r w:rsidRPr="00EF6679">
              <w:rPr>
                <w:rFonts w:ascii="Times New Roman" w:hAnsi="Times New Roman" w:cs="Times New Roman"/>
                <w:color w:val="000000"/>
                <w:sz w:val="18"/>
                <w:szCs w:val="18"/>
              </w:rPr>
              <w:t>137.33</w:t>
            </w:r>
          </w:p>
        </w:tc>
        <w:tc>
          <w:tcPr>
            <w:tcW w:w="839" w:type="dxa"/>
            <w:tcBorders>
              <w:top w:val="nil"/>
              <w:left w:val="nil"/>
              <w:bottom w:val="nil"/>
              <w:right w:val="nil"/>
            </w:tcBorders>
            <w:noWrap/>
            <w:vAlign w:val="bottom"/>
            <w:hideMark/>
          </w:tcPr>
          <w:p w14:paraId="08E46ADB" w14:textId="77777777" w:rsidR="00126D8D" w:rsidRPr="00EF6679" w:rsidRDefault="00126D8D" w:rsidP="00820288">
            <w:pPr>
              <w:spacing w:line="240" w:lineRule="auto"/>
              <w:jc w:val="center"/>
              <w:rPr>
                <w:rFonts w:ascii="Times New Roman" w:eastAsia="Times New Roman" w:hAnsi="Times New Roman" w:cs="Times New Roman"/>
                <w:color w:val="000000" w:themeColor="text1"/>
                <w:sz w:val="18"/>
                <w:szCs w:val="18"/>
              </w:rPr>
            </w:pPr>
            <w:r w:rsidRPr="00EF6679">
              <w:rPr>
                <w:rFonts w:ascii="Times New Roman" w:hAnsi="Times New Roman" w:cs="Times New Roman"/>
                <w:color w:val="000000"/>
                <w:sz w:val="18"/>
                <w:szCs w:val="18"/>
              </w:rPr>
              <w:t>62.23</w:t>
            </w:r>
          </w:p>
        </w:tc>
        <w:tc>
          <w:tcPr>
            <w:tcW w:w="1182" w:type="dxa"/>
            <w:tcBorders>
              <w:top w:val="nil"/>
              <w:left w:val="nil"/>
              <w:bottom w:val="nil"/>
              <w:right w:val="nil"/>
            </w:tcBorders>
            <w:noWrap/>
            <w:vAlign w:val="bottom"/>
            <w:hideMark/>
          </w:tcPr>
          <w:p w14:paraId="3DE40490" w14:textId="77777777" w:rsidR="00126D8D" w:rsidRPr="00EF6679" w:rsidRDefault="00126D8D" w:rsidP="00820288">
            <w:pPr>
              <w:spacing w:line="240" w:lineRule="auto"/>
              <w:jc w:val="center"/>
              <w:rPr>
                <w:rFonts w:ascii="Times New Roman" w:eastAsia="Times New Roman" w:hAnsi="Times New Roman" w:cs="Times New Roman"/>
                <w:color w:val="000000" w:themeColor="text1"/>
                <w:sz w:val="18"/>
                <w:szCs w:val="18"/>
              </w:rPr>
            </w:pPr>
            <w:r w:rsidRPr="00EF6679">
              <w:rPr>
                <w:rFonts w:ascii="Times New Roman" w:hAnsi="Times New Roman" w:cs="Times New Roman"/>
                <w:color w:val="000000"/>
                <w:sz w:val="18"/>
                <w:szCs w:val="18"/>
              </w:rPr>
              <w:t>9.62</w:t>
            </w:r>
          </w:p>
        </w:tc>
        <w:tc>
          <w:tcPr>
            <w:tcW w:w="303" w:type="dxa"/>
            <w:tcBorders>
              <w:top w:val="nil"/>
              <w:left w:val="nil"/>
              <w:bottom w:val="nil"/>
              <w:right w:val="nil"/>
            </w:tcBorders>
            <w:noWrap/>
          </w:tcPr>
          <w:p w14:paraId="6F8FDA35" w14:textId="77777777" w:rsidR="00126D8D" w:rsidRPr="00EF6679" w:rsidRDefault="00126D8D" w:rsidP="00820288">
            <w:pPr>
              <w:spacing w:line="240" w:lineRule="auto"/>
              <w:jc w:val="right"/>
              <w:rPr>
                <w:rFonts w:ascii="Times New Roman" w:eastAsia="Times New Roman" w:hAnsi="Times New Roman" w:cs="Times New Roman"/>
                <w:color w:val="000000" w:themeColor="text1"/>
                <w:sz w:val="18"/>
                <w:szCs w:val="18"/>
              </w:rPr>
            </w:pPr>
          </w:p>
        </w:tc>
        <w:tc>
          <w:tcPr>
            <w:tcW w:w="1007" w:type="dxa"/>
            <w:tcBorders>
              <w:top w:val="nil"/>
              <w:left w:val="nil"/>
              <w:bottom w:val="nil"/>
              <w:right w:val="nil"/>
            </w:tcBorders>
            <w:noWrap/>
            <w:vAlign w:val="bottom"/>
            <w:hideMark/>
          </w:tcPr>
          <w:p w14:paraId="7CB3118C" w14:textId="77777777" w:rsidR="00126D8D" w:rsidRPr="00EF6679" w:rsidRDefault="00126D8D" w:rsidP="00820288">
            <w:pPr>
              <w:spacing w:line="240" w:lineRule="auto"/>
              <w:jc w:val="center"/>
              <w:rPr>
                <w:rFonts w:ascii="Times New Roman" w:eastAsia="Times New Roman" w:hAnsi="Times New Roman" w:cs="Times New Roman"/>
                <w:color w:val="000000" w:themeColor="text1"/>
                <w:sz w:val="18"/>
                <w:szCs w:val="18"/>
              </w:rPr>
            </w:pPr>
            <w:r w:rsidRPr="00EF6679">
              <w:rPr>
                <w:rFonts w:ascii="Times New Roman" w:hAnsi="Times New Roman" w:cs="Times New Roman"/>
                <w:color w:val="000000"/>
                <w:sz w:val="18"/>
                <w:szCs w:val="18"/>
              </w:rPr>
              <w:t xml:space="preserve">≤0.0001 </w:t>
            </w:r>
          </w:p>
        </w:tc>
        <w:tc>
          <w:tcPr>
            <w:tcW w:w="839" w:type="dxa"/>
            <w:tcBorders>
              <w:top w:val="nil"/>
              <w:left w:val="nil"/>
              <w:bottom w:val="nil"/>
              <w:right w:val="nil"/>
            </w:tcBorders>
            <w:noWrap/>
            <w:vAlign w:val="bottom"/>
            <w:hideMark/>
          </w:tcPr>
          <w:p w14:paraId="7CB51015" w14:textId="77777777" w:rsidR="00126D8D" w:rsidRPr="00EF6679" w:rsidRDefault="00126D8D" w:rsidP="00820288">
            <w:pPr>
              <w:spacing w:line="240" w:lineRule="auto"/>
              <w:jc w:val="center"/>
              <w:rPr>
                <w:rFonts w:ascii="Times New Roman" w:eastAsia="Times New Roman" w:hAnsi="Times New Roman" w:cs="Times New Roman"/>
                <w:color w:val="000000" w:themeColor="text1"/>
                <w:sz w:val="18"/>
                <w:szCs w:val="18"/>
              </w:rPr>
            </w:pPr>
            <w:r w:rsidRPr="00EF6679">
              <w:rPr>
                <w:rFonts w:ascii="Times New Roman" w:hAnsi="Times New Roman" w:cs="Times New Roman"/>
                <w:color w:val="000000"/>
                <w:sz w:val="18"/>
                <w:szCs w:val="18"/>
              </w:rPr>
              <w:t xml:space="preserve">≤0.0001 </w:t>
            </w:r>
          </w:p>
        </w:tc>
        <w:tc>
          <w:tcPr>
            <w:tcW w:w="1271" w:type="dxa"/>
            <w:tcBorders>
              <w:top w:val="nil"/>
              <w:left w:val="nil"/>
              <w:bottom w:val="nil"/>
              <w:right w:val="nil"/>
            </w:tcBorders>
            <w:noWrap/>
            <w:vAlign w:val="bottom"/>
            <w:hideMark/>
          </w:tcPr>
          <w:p w14:paraId="4936E8F1" w14:textId="77777777" w:rsidR="00126D8D" w:rsidRPr="00EF6679" w:rsidRDefault="00126D8D" w:rsidP="00820288">
            <w:pPr>
              <w:spacing w:line="240" w:lineRule="auto"/>
              <w:jc w:val="center"/>
              <w:rPr>
                <w:rFonts w:ascii="Times New Roman" w:eastAsia="Times New Roman" w:hAnsi="Times New Roman" w:cs="Times New Roman"/>
                <w:color w:val="000000" w:themeColor="text1"/>
                <w:sz w:val="18"/>
                <w:szCs w:val="18"/>
              </w:rPr>
            </w:pPr>
            <w:r w:rsidRPr="00EF6679">
              <w:rPr>
                <w:rFonts w:ascii="Times New Roman" w:hAnsi="Times New Roman" w:cs="Times New Roman"/>
                <w:color w:val="000000"/>
                <w:sz w:val="18"/>
                <w:szCs w:val="18"/>
              </w:rPr>
              <w:t>0.1235</w:t>
            </w:r>
          </w:p>
        </w:tc>
      </w:tr>
      <w:tr w:rsidR="00126D8D" w:rsidRPr="00EF6679" w14:paraId="165B4D9F" w14:textId="77777777" w:rsidTr="00820288">
        <w:tblPrEx>
          <w:jc w:val="lef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trHeight w:val="167"/>
        </w:trPr>
        <w:tc>
          <w:tcPr>
            <w:tcW w:w="2732" w:type="dxa"/>
            <w:tcBorders>
              <w:top w:val="nil"/>
              <w:left w:val="nil"/>
              <w:bottom w:val="nil"/>
              <w:right w:val="nil"/>
            </w:tcBorders>
            <w:noWrap/>
            <w:vAlign w:val="bottom"/>
            <w:hideMark/>
          </w:tcPr>
          <w:p w14:paraId="61188CC9" w14:textId="77777777" w:rsidR="00126D8D" w:rsidRPr="00EF6679" w:rsidRDefault="00126D8D" w:rsidP="00820288">
            <w:pPr>
              <w:spacing w:line="240" w:lineRule="auto"/>
              <w:rPr>
                <w:rFonts w:ascii="Times New Roman" w:eastAsia="Times New Roman" w:hAnsi="Times New Roman" w:cs="Times New Roman"/>
                <w:color w:val="000000" w:themeColor="text1"/>
                <w:sz w:val="18"/>
                <w:szCs w:val="18"/>
              </w:rPr>
            </w:pPr>
            <w:r w:rsidRPr="00EF6679">
              <w:rPr>
                <w:rFonts w:ascii="Times New Roman" w:hAnsi="Times New Roman" w:cs="Times New Roman"/>
                <w:color w:val="000000"/>
                <w:sz w:val="18"/>
                <w:szCs w:val="18"/>
              </w:rPr>
              <w:t>Dry Mass</w:t>
            </w:r>
          </w:p>
        </w:tc>
        <w:tc>
          <w:tcPr>
            <w:tcW w:w="1007" w:type="dxa"/>
            <w:tcBorders>
              <w:top w:val="nil"/>
              <w:left w:val="nil"/>
              <w:bottom w:val="nil"/>
              <w:right w:val="nil"/>
            </w:tcBorders>
            <w:noWrap/>
            <w:vAlign w:val="bottom"/>
            <w:hideMark/>
          </w:tcPr>
          <w:p w14:paraId="05DDF7C7" w14:textId="77777777" w:rsidR="00126D8D" w:rsidRPr="00EF6679" w:rsidRDefault="00126D8D" w:rsidP="00820288">
            <w:pPr>
              <w:spacing w:line="240" w:lineRule="auto"/>
              <w:jc w:val="center"/>
              <w:rPr>
                <w:rFonts w:ascii="Times New Roman" w:eastAsia="Times New Roman" w:hAnsi="Times New Roman" w:cs="Times New Roman"/>
                <w:color w:val="000000" w:themeColor="text1"/>
                <w:sz w:val="18"/>
                <w:szCs w:val="18"/>
              </w:rPr>
            </w:pPr>
            <w:r w:rsidRPr="00EF6679">
              <w:rPr>
                <w:rFonts w:ascii="Times New Roman" w:hAnsi="Times New Roman" w:cs="Times New Roman"/>
                <w:color w:val="000000"/>
                <w:sz w:val="18"/>
                <w:szCs w:val="18"/>
              </w:rPr>
              <w:t>68.21</w:t>
            </w:r>
          </w:p>
        </w:tc>
        <w:tc>
          <w:tcPr>
            <w:tcW w:w="839" w:type="dxa"/>
            <w:tcBorders>
              <w:top w:val="nil"/>
              <w:left w:val="nil"/>
              <w:bottom w:val="nil"/>
              <w:right w:val="nil"/>
            </w:tcBorders>
            <w:noWrap/>
            <w:vAlign w:val="bottom"/>
            <w:hideMark/>
          </w:tcPr>
          <w:p w14:paraId="2F775154" w14:textId="77777777" w:rsidR="00126D8D" w:rsidRPr="00EF6679" w:rsidRDefault="00126D8D" w:rsidP="00820288">
            <w:pPr>
              <w:spacing w:line="240" w:lineRule="auto"/>
              <w:jc w:val="center"/>
              <w:rPr>
                <w:rFonts w:ascii="Times New Roman" w:eastAsia="Times New Roman" w:hAnsi="Times New Roman" w:cs="Times New Roman"/>
                <w:color w:val="000000" w:themeColor="text1"/>
                <w:sz w:val="18"/>
                <w:szCs w:val="18"/>
              </w:rPr>
            </w:pPr>
            <w:r w:rsidRPr="00EF6679">
              <w:rPr>
                <w:rFonts w:ascii="Times New Roman" w:hAnsi="Times New Roman" w:cs="Times New Roman"/>
                <w:color w:val="000000"/>
                <w:sz w:val="18"/>
                <w:szCs w:val="18"/>
              </w:rPr>
              <w:t>144.21</w:t>
            </w:r>
          </w:p>
        </w:tc>
        <w:tc>
          <w:tcPr>
            <w:tcW w:w="1182" w:type="dxa"/>
            <w:tcBorders>
              <w:top w:val="nil"/>
              <w:left w:val="nil"/>
              <w:bottom w:val="nil"/>
              <w:right w:val="nil"/>
            </w:tcBorders>
            <w:noWrap/>
            <w:vAlign w:val="bottom"/>
            <w:hideMark/>
          </w:tcPr>
          <w:p w14:paraId="0F77DAA9" w14:textId="77777777" w:rsidR="00126D8D" w:rsidRPr="00EF6679" w:rsidRDefault="00126D8D" w:rsidP="00820288">
            <w:pPr>
              <w:spacing w:line="240" w:lineRule="auto"/>
              <w:jc w:val="center"/>
              <w:rPr>
                <w:rFonts w:ascii="Times New Roman" w:eastAsia="Times New Roman" w:hAnsi="Times New Roman" w:cs="Times New Roman"/>
                <w:color w:val="000000" w:themeColor="text1"/>
                <w:sz w:val="18"/>
                <w:szCs w:val="18"/>
              </w:rPr>
            </w:pPr>
            <w:r w:rsidRPr="00EF6679">
              <w:rPr>
                <w:rFonts w:ascii="Times New Roman" w:hAnsi="Times New Roman" w:cs="Times New Roman"/>
                <w:color w:val="000000"/>
                <w:sz w:val="18"/>
                <w:szCs w:val="18"/>
              </w:rPr>
              <w:t>7.89</w:t>
            </w:r>
          </w:p>
        </w:tc>
        <w:tc>
          <w:tcPr>
            <w:tcW w:w="303" w:type="dxa"/>
            <w:tcBorders>
              <w:top w:val="nil"/>
              <w:left w:val="nil"/>
              <w:bottom w:val="nil"/>
              <w:right w:val="nil"/>
            </w:tcBorders>
            <w:noWrap/>
          </w:tcPr>
          <w:p w14:paraId="040C4264" w14:textId="77777777" w:rsidR="00126D8D" w:rsidRPr="00EF6679" w:rsidRDefault="00126D8D" w:rsidP="00820288">
            <w:pPr>
              <w:spacing w:line="240" w:lineRule="auto"/>
              <w:jc w:val="right"/>
              <w:rPr>
                <w:rFonts w:ascii="Times New Roman" w:eastAsia="Times New Roman" w:hAnsi="Times New Roman" w:cs="Times New Roman"/>
                <w:color w:val="000000" w:themeColor="text1"/>
                <w:sz w:val="18"/>
                <w:szCs w:val="18"/>
              </w:rPr>
            </w:pPr>
          </w:p>
        </w:tc>
        <w:tc>
          <w:tcPr>
            <w:tcW w:w="1007" w:type="dxa"/>
            <w:tcBorders>
              <w:top w:val="nil"/>
              <w:left w:val="nil"/>
              <w:bottom w:val="nil"/>
              <w:right w:val="nil"/>
            </w:tcBorders>
            <w:noWrap/>
            <w:vAlign w:val="bottom"/>
            <w:hideMark/>
          </w:tcPr>
          <w:p w14:paraId="655BA442" w14:textId="77777777" w:rsidR="00126D8D" w:rsidRPr="00EF6679" w:rsidRDefault="00126D8D" w:rsidP="00820288">
            <w:pPr>
              <w:spacing w:line="240" w:lineRule="auto"/>
              <w:jc w:val="center"/>
              <w:rPr>
                <w:rFonts w:ascii="Times New Roman" w:eastAsia="Times New Roman" w:hAnsi="Times New Roman" w:cs="Times New Roman"/>
                <w:color w:val="000000" w:themeColor="text1"/>
                <w:sz w:val="18"/>
                <w:szCs w:val="18"/>
              </w:rPr>
            </w:pPr>
            <w:r w:rsidRPr="00EF6679">
              <w:rPr>
                <w:rFonts w:ascii="Times New Roman" w:hAnsi="Times New Roman" w:cs="Times New Roman"/>
                <w:color w:val="000000"/>
                <w:sz w:val="18"/>
                <w:szCs w:val="18"/>
              </w:rPr>
              <w:t xml:space="preserve">≤0.0001 </w:t>
            </w:r>
          </w:p>
        </w:tc>
        <w:tc>
          <w:tcPr>
            <w:tcW w:w="839" w:type="dxa"/>
            <w:tcBorders>
              <w:top w:val="nil"/>
              <w:left w:val="nil"/>
              <w:bottom w:val="nil"/>
              <w:right w:val="nil"/>
            </w:tcBorders>
            <w:noWrap/>
            <w:vAlign w:val="bottom"/>
            <w:hideMark/>
          </w:tcPr>
          <w:p w14:paraId="07B95F15" w14:textId="77777777" w:rsidR="00126D8D" w:rsidRPr="00EF6679" w:rsidRDefault="00126D8D" w:rsidP="00820288">
            <w:pPr>
              <w:spacing w:line="240" w:lineRule="auto"/>
              <w:jc w:val="center"/>
              <w:rPr>
                <w:rFonts w:ascii="Times New Roman" w:eastAsia="Times New Roman" w:hAnsi="Times New Roman" w:cs="Times New Roman"/>
                <w:color w:val="000000" w:themeColor="text1"/>
                <w:sz w:val="18"/>
                <w:szCs w:val="18"/>
              </w:rPr>
            </w:pPr>
            <w:r w:rsidRPr="00EF6679">
              <w:rPr>
                <w:rFonts w:ascii="Times New Roman" w:hAnsi="Times New Roman" w:cs="Times New Roman"/>
                <w:color w:val="000000"/>
                <w:sz w:val="18"/>
                <w:szCs w:val="18"/>
              </w:rPr>
              <w:t xml:space="preserve">≤0.0001 </w:t>
            </w:r>
          </w:p>
        </w:tc>
        <w:tc>
          <w:tcPr>
            <w:tcW w:w="1271" w:type="dxa"/>
            <w:tcBorders>
              <w:top w:val="nil"/>
              <w:left w:val="nil"/>
              <w:bottom w:val="nil"/>
              <w:right w:val="nil"/>
            </w:tcBorders>
            <w:noWrap/>
            <w:vAlign w:val="bottom"/>
            <w:hideMark/>
          </w:tcPr>
          <w:p w14:paraId="6D8159B4" w14:textId="77777777" w:rsidR="00126D8D" w:rsidRPr="00EF6679" w:rsidRDefault="00126D8D" w:rsidP="00820288">
            <w:pPr>
              <w:spacing w:line="240" w:lineRule="auto"/>
              <w:jc w:val="center"/>
              <w:rPr>
                <w:rFonts w:ascii="Times New Roman" w:eastAsia="Times New Roman" w:hAnsi="Times New Roman" w:cs="Times New Roman"/>
                <w:color w:val="000000" w:themeColor="text1"/>
                <w:sz w:val="18"/>
                <w:szCs w:val="18"/>
              </w:rPr>
            </w:pPr>
            <w:r w:rsidRPr="00EF6679">
              <w:rPr>
                <w:rFonts w:ascii="Times New Roman" w:hAnsi="Times New Roman" w:cs="Times New Roman"/>
                <w:color w:val="000000"/>
                <w:sz w:val="18"/>
                <w:szCs w:val="18"/>
              </w:rPr>
              <w:t>0.2621</w:t>
            </w:r>
          </w:p>
        </w:tc>
      </w:tr>
      <w:tr w:rsidR="00126D8D" w:rsidRPr="00EF6679" w14:paraId="5A2E2A86" w14:textId="77777777" w:rsidTr="00820288">
        <w:tblPrEx>
          <w:jc w:val="lef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trHeight w:val="167"/>
        </w:trPr>
        <w:tc>
          <w:tcPr>
            <w:tcW w:w="2732" w:type="dxa"/>
            <w:tcBorders>
              <w:top w:val="nil"/>
              <w:left w:val="nil"/>
              <w:bottom w:val="nil"/>
              <w:right w:val="nil"/>
            </w:tcBorders>
            <w:noWrap/>
            <w:vAlign w:val="bottom"/>
            <w:hideMark/>
          </w:tcPr>
          <w:p w14:paraId="47BD90B9" w14:textId="77777777" w:rsidR="00126D8D" w:rsidRPr="00EF6679" w:rsidRDefault="00126D8D" w:rsidP="00820288">
            <w:pPr>
              <w:spacing w:line="240" w:lineRule="auto"/>
              <w:rPr>
                <w:rFonts w:ascii="Times New Roman" w:eastAsia="Times New Roman" w:hAnsi="Times New Roman" w:cs="Times New Roman"/>
                <w:color w:val="000000" w:themeColor="text1"/>
                <w:sz w:val="18"/>
                <w:szCs w:val="18"/>
              </w:rPr>
            </w:pPr>
            <w:r w:rsidRPr="00EF6679">
              <w:rPr>
                <w:rFonts w:ascii="Times New Roman" w:hAnsi="Times New Roman" w:cs="Times New Roman"/>
                <w:color w:val="000000"/>
                <w:sz w:val="18"/>
                <w:szCs w:val="18"/>
              </w:rPr>
              <w:t>Nitrogen</w:t>
            </w:r>
          </w:p>
        </w:tc>
        <w:tc>
          <w:tcPr>
            <w:tcW w:w="1007" w:type="dxa"/>
            <w:tcBorders>
              <w:top w:val="nil"/>
              <w:left w:val="nil"/>
              <w:bottom w:val="nil"/>
              <w:right w:val="nil"/>
            </w:tcBorders>
            <w:noWrap/>
            <w:vAlign w:val="bottom"/>
            <w:hideMark/>
          </w:tcPr>
          <w:p w14:paraId="4E65D961" w14:textId="77777777" w:rsidR="00126D8D" w:rsidRPr="00EF6679" w:rsidRDefault="00126D8D" w:rsidP="00820288">
            <w:pPr>
              <w:spacing w:line="240" w:lineRule="auto"/>
              <w:jc w:val="center"/>
              <w:rPr>
                <w:rFonts w:ascii="Times New Roman" w:eastAsia="Times New Roman" w:hAnsi="Times New Roman" w:cs="Times New Roman"/>
                <w:color w:val="000000" w:themeColor="text1"/>
                <w:sz w:val="18"/>
                <w:szCs w:val="18"/>
              </w:rPr>
            </w:pPr>
            <w:r w:rsidRPr="00EF6679">
              <w:rPr>
                <w:rFonts w:ascii="Times New Roman" w:hAnsi="Times New Roman" w:cs="Times New Roman"/>
                <w:color w:val="000000"/>
                <w:sz w:val="18"/>
                <w:szCs w:val="18"/>
              </w:rPr>
              <w:t>36.58</w:t>
            </w:r>
          </w:p>
        </w:tc>
        <w:tc>
          <w:tcPr>
            <w:tcW w:w="839" w:type="dxa"/>
            <w:tcBorders>
              <w:top w:val="nil"/>
              <w:left w:val="nil"/>
              <w:bottom w:val="nil"/>
              <w:right w:val="nil"/>
            </w:tcBorders>
            <w:noWrap/>
            <w:vAlign w:val="bottom"/>
            <w:hideMark/>
          </w:tcPr>
          <w:p w14:paraId="345145B7" w14:textId="77777777" w:rsidR="00126D8D" w:rsidRPr="00EF6679" w:rsidRDefault="00126D8D" w:rsidP="00820288">
            <w:pPr>
              <w:spacing w:line="240" w:lineRule="auto"/>
              <w:jc w:val="center"/>
              <w:rPr>
                <w:rFonts w:ascii="Times New Roman" w:eastAsia="Times New Roman" w:hAnsi="Times New Roman" w:cs="Times New Roman"/>
                <w:color w:val="000000" w:themeColor="text1"/>
                <w:sz w:val="18"/>
                <w:szCs w:val="18"/>
              </w:rPr>
            </w:pPr>
            <w:r w:rsidRPr="00EF6679">
              <w:rPr>
                <w:rFonts w:ascii="Times New Roman" w:hAnsi="Times New Roman" w:cs="Times New Roman"/>
                <w:color w:val="000000"/>
                <w:sz w:val="18"/>
                <w:szCs w:val="18"/>
              </w:rPr>
              <w:t>11.79</w:t>
            </w:r>
          </w:p>
        </w:tc>
        <w:tc>
          <w:tcPr>
            <w:tcW w:w="1182" w:type="dxa"/>
            <w:tcBorders>
              <w:top w:val="nil"/>
              <w:left w:val="nil"/>
              <w:bottom w:val="nil"/>
              <w:right w:val="nil"/>
            </w:tcBorders>
            <w:noWrap/>
            <w:vAlign w:val="bottom"/>
            <w:hideMark/>
          </w:tcPr>
          <w:p w14:paraId="2CEC5167" w14:textId="77777777" w:rsidR="00126D8D" w:rsidRPr="00EF6679" w:rsidRDefault="00126D8D" w:rsidP="00820288">
            <w:pPr>
              <w:spacing w:line="240" w:lineRule="auto"/>
              <w:jc w:val="center"/>
              <w:rPr>
                <w:rFonts w:ascii="Times New Roman" w:eastAsia="Times New Roman" w:hAnsi="Times New Roman" w:cs="Times New Roman"/>
                <w:color w:val="000000" w:themeColor="text1"/>
                <w:sz w:val="18"/>
                <w:szCs w:val="18"/>
              </w:rPr>
            </w:pPr>
            <w:r w:rsidRPr="00EF6679">
              <w:rPr>
                <w:rFonts w:ascii="Times New Roman" w:hAnsi="Times New Roman" w:cs="Times New Roman"/>
                <w:color w:val="000000"/>
                <w:sz w:val="18"/>
                <w:szCs w:val="18"/>
              </w:rPr>
              <w:t>2.47</w:t>
            </w:r>
          </w:p>
        </w:tc>
        <w:tc>
          <w:tcPr>
            <w:tcW w:w="303" w:type="dxa"/>
            <w:tcBorders>
              <w:top w:val="nil"/>
              <w:left w:val="nil"/>
              <w:bottom w:val="nil"/>
              <w:right w:val="nil"/>
            </w:tcBorders>
            <w:noWrap/>
          </w:tcPr>
          <w:p w14:paraId="00FBA0AF" w14:textId="77777777" w:rsidR="00126D8D" w:rsidRPr="00EF6679" w:rsidRDefault="00126D8D" w:rsidP="00820288">
            <w:pPr>
              <w:spacing w:line="240" w:lineRule="auto"/>
              <w:jc w:val="right"/>
              <w:rPr>
                <w:rFonts w:ascii="Times New Roman" w:eastAsia="Times New Roman" w:hAnsi="Times New Roman" w:cs="Times New Roman"/>
                <w:color w:val="000000" w:themeColor="text1"/>
                <w:sz w:val="18"/>
                <w:szCs w:val="18"/>
              </w:rPr>
            </w:pPr>
          </w:p>
        </w:tc>
        <w:tc>
          <w:tcPr>
            <w:tcW w:w="1007" w:type="dxa"/>
            <w:tcBorders>
              <w:top w:val="nil"/>
              <w:left w:val="nil"/>
              <w:bottom w:val="nil"/>
              <w:right w:val="nil"/>
            </w:tcBorders>
            <w:noWrap/>
            <w:vAlign w:val="bottom"/>
            <w:hideMark/>
          </w:tcPr>
          <w:p w14:paraId="504FF8E5" w14:textId="77777777" w:rsidR="00126D8D" w:rsidRPr="00EF6679" w:rsidRDefault="00126D8D" w:rsidP="00820288">
            <w:pPr>
              <w:spacing w:line="240" w:lineRule="auto"/>
              <w:jc w:val="center"/>
              <w:rPr>
                <w:rFonts w:ascii="Times New Roman" w:eastAsia="Times New Roman" w:hAnsi="Times New Roman" w:cs="Times New Roman"/>
                <w:color w:val="000000" w:themeColor="text1"/>
                <w:sz w:val="18"/>
                <w:szCs w:val="18"/>
              </w:rPr>
            </w:pPr>
            <w:r w:rsidRPr="00EF6679">
              <w:rPr>
                <w:rFonts w:ascii="Times New Roman" w:hAnsi="Times New Roman" w:cs="Times New Roman"/>
                <w:color w:val="000000"/>
                <w:sz w:val="18"/>
                <w:szCs w:val="18"/>
              </w:rPr>
              <w:t xml:space="preserve">≤0.0001 </w:t>
            </w:r>
          </w:p>
        </w:tc>
        <w:tc>
          <w:tcPr>
            <w:tcW w:w="839" w:type="dxa"/>
            <w:tcBorders>
              <w:top w:val="nil"/>
              <w:left w:val="nil"/>
              <w:bottom w:val="nil"/>
              <w:right w:val="nil"/>
            </w:tcBorders>
            <w:noWrap/>
            <w:vAlign w:val="bottom"/>
            <w:hideMark/>
          </w:tcPr>
          <w:p w14:paraId="270C4030" w14:textId="77777777" w:rsidR="00126D8D" w:rsidRPr="00EF6679" w:rsidRDefault="00126D8D" w:rsidP="00820288">
            <w:pPr>
              <w:spacing w:line="240" w:lineRule="auto"/>
              <w:jc w:val="center"/>
              <w:rPr>
                <w:rFonts w:ascii="Times New Roman" w:eastAsia="Times New Roman" w:hAnsi="Times New Roman" w:cs="Times New Roman"/>
                <w:color w:val="000000" w:themeColor="text1"/>
                <w:sz w:val="18"/>
                <w:szCs w:val="18"/>
              </w:rPr>
            </w:pPr>
            <w:r w:rsidRPr="00EF6679">
              <w:rPr>
                <w:rFonts w:ascii="Times New Roman" w:hAnsi="Times New Roman" w:cs="Times New Roman"/>
                <w:color w:val="000000"/>
                <w:sz w:val="18"/>
                <w:szCs w:val="18"/>
              </w:rPr>
              <w:t xml:space="preserve">≤0.0001 </w:t>
            </w:r>
          </w:p>
        </w:tc>
        <w:tc>
          <w:tcPr>
            <w:tcW w:w="1271" w:type="dxa"/>
            <w:tcBorders>
              <w:top w:val="nil"/>
              <w:left w:val="nil"/>
              <w:bottom w:val="nil"/>
              <w:right w:val="nil"/>
            </w:tcBorders>
            <w:noWrap/>
            <w:vAlign w:val="bottom"/>
            <w:hideMark/>
          </w:tcPr>
          <w:p w14:paraId="1C072BF6" w14:textId="77777777" w:rsidR="00126D8D" w:rsidRPr="00EF6679" w:rsidRDefault="00126D8D" w:rsidP="00820288">
            <w:pPr>
              <w:spacing w:line="240" w:lineRule="auto"/>
              <w:jc w:val="center"/>
              <w:rPr>
                <w:rFonts w:ascii="Times New Roman" w:eastAsia="Times New Roman" w:hAnsi="Times New Roman" w:cs="Times New Roman"/>
                <w:color w:val="000000" w:themeColor="text1"/>
                <w:sz w:val="18"/>
                <w:szCs w:val="18"/>
              </w:rPr>
            </w:pPr>
            <w:r w:rsidRPr="00EF6679">
              <w:rPr>
                <w:rFonts w:ascii="Times New Roman" w:hAnsi="Times New Roman" w:cs="Times New Roman"/>
                <w:color w:val="000000"/>
                <w:sz w:val="18"/>
                <w:szCs w:val="18"/>
              </w:rPr>
              <w:t>0.0082</w:t>
            </w:r>
          </w:p>
        </w:tc>
      </w:tr>
      <w:tr w:rsidR="00126D8D" w:rsidRPr="00EF6679" w14:paraId="39663B64" w14:textId="77777777" w:rsidTr="00820288">
        <w:tblPrEx>
          <w:jc w:val="lef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trHeight w:val="167"/>
        </w:trPr>
        <w:tc>
          <w:tcPr>
            <w:tcW w:w="2732" w:type="dxa"/>
            <w:tcBorders>
              <w:top w:val="nil"/>
              <w:left w:val="nil"/>
              <w:bottom w:val="nil"/>
              <w:right w:val="nil"/>
            </w:tcBorders>
            <w:noWrap/>
            <w:vAlign w:val="bottom"/>
            <w:hideMark/>
          </w:tcPr>
          <w:p w14:paraId="38222C53" w14:textId="77777777" w:rsidR="00126D8D" w:rsidRPr="00EF6679" w:rsidRDefault="00126D8D" w:rsidP="00820288">
            <w:pPr>
              <w:spacing w:line="240" w:lineRule="auto"/>
              <w:rPr>
                <w:rFonts w:ascii="Times New Roman" w:eastAsia="Times New Roman" w:hAnsi="Times New Roman" w:cs="Times New Roman"/>
                <w:color w:val="000000" w:themeColor="text1"/>
                <w:sz w:val="18"/>
                <w:szCs w:val="18"/>
              </w:rPr>
            </w:pPr>
            <w:r w:rsidRPr="00EF6679">
              <w:rPr>
                <w:rFonts w:ascii="Times New Roman" w:hAnsi="Times New Roman" w:cs="Times New Roman"/>
                <w:color w:val="000000"/>
                <w:sz w:val="18"/>
                <w:szCs w:val="18"/>
              </w:rPr>
              <w:t>Phosphorous</w:t>
            </w:r>
          </w:p>
        </w:tc>
        <w:tc>
          <w:tcPr>
            <w:tcW w:w="1007" w:type="dxa"/>
            <w:tcBorders>
              <w:top w:val="nil"/>
              <w:left w:val="nil"/>
              <w:bottom w:val="nil"/>
              <w:right w:val="nil"/>
            </w:tcBorders>
            <w:noWrap/>
            <w:vAlign w:val="bottom"/>
            <w:hideMark/>
          </w:tcPr>
          <w:p w14:paraId="120B373C" w14:textId="77777777" w:rsidR="00126D8D" w:rsidRPr="00EF6679" w:rsidRDefault="00126D8D" w:rsidP="00820288">
            <w:pPr>
              <w:spacing w:line="240" w:lineRule="auto"/>
              <w:jc w:val="center"/>
              <w:rPr>
                <w:rFonts w:ascii="Times New Roman" w:eastAsia="Times New Roman" w:hAnsi="Times New Roman" w:cs="Times New Roman"/>
                <w:color w:val="000000" w:themeColor="text1"/>
                <w:sz w:val="18"/>
                <w:szCs w:val="18"/>
              </w:rPr>
            </w:pPr>
            <w:r w:rsidRPr="00EF6679">
              <w:rPr>
                <w:rFonts w:ascii="Times New Roman" w:hAnsi="Times New Roman" w:cs="Times New Roman"/>
                <w:color w:val="000000"/>
                <w:sz w:val="18"/>
                <w:szCs w:val="18"/>
              </w:rPr>
              <w:t>3.68</w:t>
            </w:r>
          </w:p>
        </w:tc>
        <w:tc>
          <w:tcPr>
            <w:tcW w:w="839" w:type="dxa"/>
            <w:tcBorders>
              <w:top w:val="nil"/>
              <w:left w:val="nil"/>
              <w:bottom w:val="nil"/>
              <w:right w:val="nil"/>
            </w:tcBorders>
            <w:noWrap/>
            <w:vAlign w:val="bottom"/>
            <w:hideMark/>
          </w:tcPr>
          <w:p w14:paraId="5352AC6C" w14:textId="77777777" w:rsidR="00126D8D" w:rsidRPr="00EF6679" w:rsidRDefault="00126D8D" w:rsidP="00820288">
            <w:pPr>
              <w:spacing w:line="240" w:lineRule="auto"/>
              <w:jc w:val="center"/>
              <w:rPr>
                <w:rFonts w:ascii="Times New Roman" w:eastAsia="Times New Roman" w:hAnsi="Times New Roman" w:cs="Times New Roman"/>
                <w:color w:val="000000" w:themeColor="text1"/>
                <w:sz w:val="18"/>
                <w:szCs w:val="18"/>
              </w:rPr>
            </w:pPr>
            <w:r w:rsidRPr="00EF6679">
              <w:rPr>
                <w:rFonts w:ascii="Times New Roman" w:hAnsi="Times New Roman" w:cs="Times New Roman"/>
                <w:color w:val="000000"/>
                <w:sz w:val="18"/>
                <w:szCs w:val="18"/>
              </w:rPr>
              <w:t>9.74</w:t>
            </w:r>
          </w:p>
        </w:tc>
        <w:tc>
          <w:tcPr>
            <w:tcW w:w="1182" w:type="dxa"/>
            <w:tcBorders>
              <w:top w:val="nil"/>
              <w:left w:val="nil"/>
              <w:bottom w:val="nil"/>
              <w:right w:val="nil"/>
            </w:tcBorders>
            <w:noWrap/>
            <w:vAlign w:val="bottom"/>
            <w:hideMark/>
          </w:tcPr>
          <w:p w14:paraId="25AD8AD8" w14:textId="77777777" w:rsidR="00126D8D" w:rsidRPr="00EF6679" w:rsidRDefault="00126D8D" w:rsidP="00820288">
            <w:pPr>
              <w:spacing w:line="240" w:lineRule="auto"/>
              <w:jc w:val="center"/>
              <w:rPr>
                <w:rFonts w:ascii="Times New Roman" w:eastAsia="Times New Roman" w:hAnsi="Times New Roman" w:cs="Times New Roman"/>
                <w:color w:val="000000" w:themeColor="text1"/>
                <w:sz w:val="18"/>
                <w:szCs w:val="18"/>
              </w:rPr>
            </w:pPr>
            <w:r w:rsidRPr="00EF6679">
              <w:rPr>
                <w:rFonts w:ascii="Times New Roman" w:hAnsi="Times New Roman" w:cs="Times New Roman"/>
                <w:color w:val="000000"/>
                <w:sz w:val="18"/>
                <w:szCs w:val="18"/>
              </w:rPr>
              <w:t>2.34</w:t>
            </w:r>
          </w:p>
        </w:tc>
        <w:tc>
          <w:tcPr>
            <w:tcW w:w="303" w:type="dxa"/>
            <w:tcBorders>
              <w:top w:val="nil"/>
              <w:left w:val="nil"/>
              <w:bottom w:val="nil"/>
              <w:right w:val="nil"/>
            </w:tcBorders>
            <w:noWrap/>
          </w:tcPr>
          <w:p w14:paraId="0DB4519F" w14:textId="77777777" w:rsidR="00126D8D" w:rsidRPr="00EF6679" w:rsidRDefault="00126D8D" w:rsidP="00820288">
            <w:pPr>
              <w:spacing w:line="240" w:lineRule="auto"/>
              <w:jc w:val="right"/>
              <w:rPr>
                <w:rFonts w:ascii="Times New Roman" w:eastAsia="Times New Roman" w:hAnsi="Times New Roman" w:cs="Times New Roman"/>
                <w:color w:val="000000" w:themeColor="text1"/>
                <w:sz w:val="18"/>
                <w:szCs w:val="18"/>
              </w:rPr>
            </w:pPr>
          </w:p>
        </w:tc>
        <w:tc>
          <w:tcPr>
            <w:tcW w:w="1007" w:type="dxa"/>
            <w:tcBorders>
              <w:top w:val="nil"/>
              <w:left w:val="nil"/>
              <w:bottom w:val="nil"/>
              <w:right w:val="nil"/>
            </w:tcBorders>
            <w:noWrap/>
            <w:vAlign w:val="bottom"/>
            <w:hideMark/>
          </w:tcPr>
          <w:p w14:paraId="59ABE95F" w14:textId="77777777" w:rsidR="00126D8D" w:rsidRPr="00EF6679" w:rsidRDefault="00126D8D" w:rsidP="00820288">
            <w:pPr>
              <w:spacing w:line="240" w:lineRule="auto"/>
              <w:jc w:val="center"/>
              <w:rPr>
                <w:rFonts w:ascii="Times New Roman" w:eastAsia="Times New Roman" w:hAnsi="Times New Roman" w:cs="Times New Roman"/>
                <w:color w:val="000000" w:themeColor="text1"/>
                <w:sz w:val="18"/>
                <w:szCs w:val="18"/>
              </w:rPr>
            </w:pPr>
            <w:r w:rsidRPr="00EF6679">
              <w:rPr>
                <w:rFonts w:ascii="Times New Roman" w:hAnsi="Times New Roman" w:cs="Times New Roman"/>
                <w:color w:val="000000"/>
                <w:sz w:val="18"/>
                <w:szCs w:val="18"/>
              </w:rPr>
              <w:t>0.0575</w:t>
            </w:r>
          </w:p>
        </w:tc>
        <w:tc>
          <w:tcPr>
            <w:tcW w:w="839" w:type="dxa"/>
            <w:tcBorders>
              <w:top w:val="nil"/>
              <w:left w:val="nil"/>
              <w:bottom w:val="nil"/>
              <w:right w:val="nil"/>
            </w:tcBorders>
            <w:noWrap/>
            <w:vAlign w:val="bottom"/>
            <w:hideMark/>
          </w:tcPr>
          <w:p w14:paraId="3324CC96" w14:textId="77777777" w:rsidR="00126D8D" w:rsidRPr="00EF6679" w:rsidRDefault="00126D8D" w:rsidP="00820288">
            <w:pPr>
              <w:spacing w:line="240" w:lineRule="auto"/>
              <w:jc w:val="center"/>
              <w:rPr>
                <w:rFonts w:ascii="Times New Roman" w:eastAsia="Times New Roman" w:hAnsi="Times New Roman" w:cs="Times New Roman"/>
                <w:color w:val="000000" w:themeColor="text1"/>
                <w:sz w:val="18"/>
                <w:szCs w:val="18"/>
              </w:rPr>
            </w:pPr>
            <w:r w:rsidRPr="00EF6679">
              <w:rPr>
                <w:rFonts w:ascii="Times New Roman" w:hAnsi="Times New Roman" w:cs="Times New Roman"/>
                <w:color w:val="000000"/>
                <w:sz w:val="18"/>
                <w:szCs w:val="18"/>
              </w:rPr>
              <w:t xml:space="preserve">≤0.0001 </w:t>
            </w:r>
          </w:p>
        </w:tc>
        <w:tc>
          <w:tcPr>
            <w:tcW w:w="1271" w:type="dxa"/>
            <w:tcBorders>
              <w:top w:val="nil"/>
              <w:left w:val="nil"/>
              <w:bottom w:val="nil"/>
              <w:right w:val="nil"/>
            </w:tcBorders>
            <w:noWrap/>
            <w:vAlign w:val="bottom"/>
            <w:hideMark/>
          </w:tcPr>
          <w:p w14:paraId="25C95FA0" w14:textId="77777777" w:rsidR="00126D8D" w:rsidRPr="00EF6679" w:rsidRDefault="00126D8D" w:rsidP="00820288">
            <w:pPr>
              <w:spacing w:line="240" w:lineRule="auto"/>
              <w:jc w:val="center"/>
              <w:rPr>
                <w:rFonts w:ascii="Times New Roman" w:eastAsia="Times New Roman" w:hAnsi="Times New Roman" w:cs="Times New Roman"/>
                <w:color w:val="000000" w:themeColor="text1"/>
                <w:sz w:val="18"/>
                <w:szCs w:val="18"/>
              </w:rPr>
            </w:pPr>
            <w:r w:rsidRPr="00EF6679">
              <w:rPr>
                <w:rFonts w:ascii="Times New Roman" w:hAnsi="Times New Roman" w:cs="Times New Roman"/>
                <w:color w:val="000000"/>
                <w:sz w:val="18"/>
                <w:szCs w:val="18"/>
              </w:rPr>
              <w:t>0.0123</w:t>
            </w:r>
          </w:p>
        </w:tc>
      </w:tr>
      <w:tr w:rsidR="00126D8D" w:rsidRPr="00EF6679" w14:paraId="684172B3" w14:textId="77777777" w:rsidTr="00820288">
        <w:tblPrEx>
          <w:jc w:val="lef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trHeight w:val="167"/>
        </w:trPr>
        <w:tc>
          <w:tcPr>
            <w:tcW w:w="2732" w:type="dxa"/>
            <w:tcBorders>
              <w:top w:val="nil"/>
              <w:left w:val="nil"/>
              <w:bottom w:val="nil"/>
              <w:right w:val="nil"/>
            </w:tcBorders>
            <w:noWrap/>
            <w:vAlign w:val="bottom"/>
            <w:hideMark/>
          </w:tcPr>
          <w:p w14:paraId="220142FF" w14:textId="77777777" w:rsidR="00126D8D" w:rsidRPr="00EF6679" w:rsidRDefault="00126D8D" w:rsidP="00820288">
            <w:pPr>
              <w:spacing w:line="240" w:lineRule="auto"/>
              <w:rPr>
                <w:rFonts w:ascii="Times New Roman" w:eastAsia="Times New Roman" w:hAnsi="Times New Roman" w:cs="Times New Roman"/>
                <w:color w:val="000000" w:themeColor="text1"/>
                <w:sz w:val="18"/>
                <w:szCs w:val="18"/>
              </w:rPr>
            </w:pPr>
            <w:r w:rsidRPr="00EF6679">
              <w:rPr>
                <w:rFonts w:ascii="Times New Roman" w:hAnsi="Times New Roman" w:cs="Times New Roman"/>
                <w:color w:val="000000"/>
                <w:sz w:val="18"/>
                <w:szCs w:val="18"/>
              </w:rPr>
              <w:t>Potassium</w:t>
            </w:r>
          </w:p>
        </w:tc>
        <w:tc>
          <w:tcPr>
            <w:tcW w:w="1007" w:type="dxa"/>
            <w:tcBorders>
              <w:top w:val="nil"/>
              <w:left w:val="nil"/>
              <w:bottom w:val="nil"/>
              <w:right w:val="nil"/>
            </w:tcBorders>
            <w:noWrap/>
            <w:vAlign w:val="bottom"/>
            <w:hideMark/>
          </w:tcPr>
          <w:p w14:paraId="2573F80C" w14:textId="77777777" w:rsidR="00126D8D" w:rsidRPr="00EF6679" w:rsidRDefault="00126D8D" w:rsidP="00820288">
            <w:pPr>
              <w:spacing w:line="240" w:lineRule="auto"/>
              <w:jc w:val="center"/>
              <w:rPr>
                <w:rFonts w:ascii="Times New Roman" w:eastAsia="Times New Roman" w:hAnsi="Times New Roman" w:cs="Times New Roman"/>
                <w:color w:val="000000" w:themeColor="text1"/>
                <w:sz w:val="18"/>
                <w:szCs w:val="18"/>
              </w:rPr>
            </w:pPr>
            <w:r w:rsidRPr="00EF6679">
              <w:rPr>
                <w:rFonts w:ascii="Times New Roman" w:hAnsi="Times New Roman" w:cs="Times New Roman"/>
                <w:color w:val="000000"/>
                <w:sz w:val="18"/>
                <w:szCs w:val="18"/>
              </w:rPr>
              <w:t>143.12</w:t>
            </w:r>
          </w:p>
        </w:tc>
        <w:tc>
          <w:tcPr>
            <w:tcW w:w="839" w:type="dxa"/>
            <w:tcBorders>
              <w:top w:val="nil"/>
              <w:left w:val="nil"/>
              <w:bottom w:val="nil"/>
              <w:right w:val="nil"/>
            </w:tcBorders>
            <w:noWrap/>
            <w:vAlign w:val="bottom"/>
            <w:hideMark/>
          </w:tcPr>
          <w:p w14:paraId="6CFF9BCE" w14:textId="77777777" w:rsidR="00126D8D" w:rsidRPr="00EF6679" w:rsidRDefault="00126D8D" w:rsidP="00820288">
            <w:pPr>
              <w:spacing w:line="240" w:lineRule="auto"/>
              <w:jc w:val="center"/>
              <w:rPr>
                <w:rFonts w:ascii="Times New Roman" w:eastAsia="Times New Roman" w:hAnsi="Times New Roman" w:cs="Times New Roman"/>
                <w:color w:val="000000" w:themeColor="text1"/>
                <w:sz w:val="18"/>
                <w:szCs w:val="18"/>
              </w:rPr>
            </w:pPr>
            <w:r w:rsidRPr="00EF6679">
              <w:rPr>
                <w:rFonts w:ascii="Times New Roman" w:hAnsi="Times New Roman" w:cs="Times New Roman"/>
                <w:color w:val="000000"/>
                <w:sz w:val="18"/>
                <w:szCs w:val="18"/>
              </w:rPr>
              <w:t>9.92</w:t>
            </w:r>
          </w:p>
        </w:tc>
        <w:tc>
          <w:tcPr>
            <w:tcW w:w="1182" w:type="dxa"/>
            <w:tcBorders>
              <w:top w:val="nil"/>
              <w:left w:val="nil"/>
              <w:bottom w:val="nil"/>
              <w:right w:val="nil"/>
            </w:tcBorders>
            <w:noWrap/>
            <w:vAlign w:val="bottom"/>
            <w:hideMark/>
          </w:tcPr>
          <w:p w14:paraId="25091790" w14:textId="77777777" w:rsidR="00126D8D" w:rsidRPr="00EF6679" w:rsidRDefault="00126D8D" w:rsidP="00820288">
            <w:pPr>
              <w:spacing w:line="240" w:lineRule="auto"/>
              <w:jc w:val="center"/>
              <w:rPr>
                <w:rFonts w:ascii="Times New Roman" w:eastAsia="Times New Roman" w:hAnsi="Times New Roman" w:cs="Times New Roman"/>
                <w:color w:val="000000" w:themeColor="text1"/>
                <w:sz w:val="18"/>
                <w:szCs w:val="18"/>
              </w:rPr>
            </w:pPr>
            <w:r w:rsidRPr="00EF6679">
              <w:rPr>
                <w:rFonts w:ascii="Times New Roman" w:hAnsi="Times New Roman" w:cs="Times New Roman"/>
                <w:color w:val="000000"/>
                <w:sz w:val="18"/>
                <w:szCs w:val="18"/>
              </w:rPr>
              <w:t>2.67</w:t>
            </w:r>
          </w:p>
        </w:tc>
        <w:tc>
          <w:tcPr>
            <w:tcW w:w="303" w:type="dxa"/>
            <w:tcBorders>
              <w:top w:val="nil"/>
              <w:left w:val="nil"/>
              <w:bottom w:val="nil"/>
              <w:right w:val="nil"/>
            </w:tcBorders>
            <w:noWrap/>
          </w:tcPr>
          <w:p w14:paraId="68D9AE2D" w14:textId="77777777" w:rsidR="00126D8D" w:rsidRPr="00EF6679" w:rsidRDefault="00126D8D" w:rsidP="00820288">
            <w:pPr>
              <w:spacing w:line="240" w:lineRule="auto"/>
              <w:jc w:val="right"/>
              <w:rPr>
                <w:rFonts w:ascii="Times New Roman" w:eastAsia="Times New Roman" w:hAnsi="Times New Roman" w:cs="Times New Roman"/>
                <w:color w:val="000000" w:themeColor="text1"/>
                <w:sz w:val="18"/>
                <w:szCs w:val="18"/>
              </w:rPr>
            </w:pPr>
          </w:p>
        </w:tc>
        <w:tc>
          <w:tcPr>
            <w:tcW w:w="1007" w:type="dxa"/>
            <w:tcBorders>
              <w:top w:val="nil"/>
              <w:left w:val="nil"/>
              <w:bottom w:val="nil"/>
              <w:right w:val="nil"/>
            </w:tcBorders>
            <w:noWrap/>
            <w:vAlign w:val="bottom"/>
            <w:hideMark/>
          </w:tcPr>
          <w:p w14:paraId="01FBDD67" w14:textId="77777777" w:rsidR="00126D8D" w:rsidRPr="00EF6679" w:rsidRDefault="00126D8D" w:rsidP="00820288">
            <w:pPr>
              <w:spacing w:line="240" w:lineRule="auto"/>
              <w:jc w:val="center"/>
              <w:rPr>
                <w:rFonts w:ascii="Times New Roman" w:eastAsia="Times New Roman" w:hAnsi="Times New Roman" w:cs="Times New Roman"/>
                <w:color w:val="000000" w:themeColor="text1"/>
                <w:sz w:val="18"/>
                <w:szCs w:val="18"/>
              </w:rPr>
            </w:pPr>
            <w:r w:rsidRPr="00EF6679">
              <w:rPr>
                <w:rFonts w:ascii="Times New Roman" w:hAnsi="Times New Roman" w:cs="Times New Roman"/>
                <w:color w:val="000000"/>
                <w:sz w:val="18"/>
                <w:szCs w:val="18"/>
              </w:rPr>
              <w:t xml:space="preserve">≤0.0001 </w:t>
            </w:r>
          </w:p>
        </w:tc>
        <w:tc>
          <w:tcPr>
            <w:tcW w:w="839" w:type="dxa"/>
            <w:tcBorders>
              <w:top w:val="nil"/>
              <w:left w:val="nil"/>
              <w:bottom w:val="nil"/>
              <w:right w:val="nil"/>
            </w:tcBorders>
            <w:noWrap/>
            <w:vAlign w:val="bottom"/>
            <w:hideMark/>
          </w:tcPr>
          <w:p w14:paraId="36695EDB" w14:textId="77777777" w:rsidR="00126D8D" w:rsidRPr="00EF6679" w:rsidRDefault="00126D8D" w:rsidP="00820288">
            <w:pPr>
              <w:spacing w:line="240" w:lineRule="auto"/>
              <w:jc w:val="center"/>
              <w:rPr>
                <w:rFonts w:ascii="Times New Roman" w:eastAsia="Times New Roman" w:hAnsi="Times New Roman" w:cs="Times New Roman"/>
                <w:color w:val="000000" w:themeColor="text1"/>
                <w:sz w:val="18"/>
                <w:szCs w:val="18"/>
              </w:rPr>
            </w:pPr>
            <w:r w:rsidRPr="00EF6679">
              <w:rPr>
                <w:rFonts w:ascii="Times New Roman" w:hAnsi="Times New Roman" w:cs="Times New Roman"/>
                <w:color w:val="000000"/>
                <w:sz w:val="18"/>
                <w:szCs w:val="18"/>
              </w:rPr>
              <w:t xml:space="preserve">≤0.0001 </w:t>
            </w:r>
          </w:p>
        </w:tc>
        <w:tc>
          <w:tcPr>
            <w:tcW w:w="1271" w:type="dxa"/>
            <w:tcBorders>
              <w:top w:val="nil"/>
              <w:left w:val="nil"/>
              <w:bottom w:val="nil"/>
              <w:right w:val="nil"/>
            </w:tcBorders>
            <w:noWrap/>
            <w:vAlign w:val="bottom"/>
            <w:hideMark/>
          </w:tcPr>
          <w:p w14:paraId="0368D85F" w14:textId="77777777" w:rsidR="00126D8D" w:rsidRPr="00EF6679" w:rsidRDefault="00126D8D" w:rsidP="00820288">
            <w:pPr>
              <w:spacing w:line="240" w:lineRule="auto"/>
              <w:jc w:val="center"/>
              <w:rPr>
                <w:rFonts w:ascii="Times New Roman" w:eastAsia="Times New Roman" w:hAnsi="Times New Roman" w:cs="Times New Roman"/>
                <w:color w:val="000000" w:themeColor="text1"/>
                <w:sz w:val="18"/>
                <w:szCs w:val="18"/>
              </w:rPr>
            </w:pPr>
            <w:r w:rsidRPr="00EF6679">
              <w:rPr>
                <w:rFonts w:ascii="Times New Roman" w:hAnsi="Times New Roman" w:cs="Times New Roman"/>
                <w:color w:val="000000"/>
                <w:sz w:val="18"/>
                <w:szCs w:val="18"/>
              </w:rPr>
              <w:t>0.0044</w:t>
            </w:r>
          </w:p>
        </w:tc>
      </w:tr>
      <w:tr w:rsidR="00126D8D" w:rsidRPr="00EF6679" w14:paraId="417EDB66" w14:textId="77777777" w:rsidTr="00820288">
        <w:tblPrEx>
          <w:jc w:val="lef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trHeight w:val="167"/>
        </w:trPr>
        <w:tc>
          <w:tcPr>
            <w:tcW w:w="2732" w:type="dxa"/>
            <w:tcBorders>
              <w:top w:val="nil"/>
              <w:left w:val="nil"/>
              <w:bottom w:val="nil"/>
              <w:right w:val="nil"/>
            </w:tcBorders>
            <w:noWrap/>
            <w:vAlign w:val="bottom"/>
            <w:hideMark/>
          </w:tcPr>
          <w:p w14:paraId="31DA3417" w14:textId="77777777" w:rsidR="00126D8D" w:rsidRPr="00EF6679" w:rsidRDefault="00126D8D" w:rsidP="00820288">
            <w:pPr>
              <w:spacing w:line="240" w:lineRule="auto"/>
              <w:rPr>
                <w:rFonts w:ascii="Times New Roman" w:eastAsia="Times New Roman" w:hAnsi="Times New Roman" w:cs="Times New Roman"/>
                <w:color w:val="000000" w:themeColor="text1"/>
                <w:sz w:val="18"/>
                <w:szCs w:val="18"/>
              </w:rPr>
            </w:pPr>
            <w:r w:rsidRPr="00EF6679">
              <w:rPr>
                <w:rFonts w:ascii="Times New Roman" w:hAnsi="Times New Roman" w:cs="Times New Roman"/>
                <w:color w:val="000000"/>
                <w:sz w:val="18"/>
                <w:szCs w:val="18"/>
              </w:rPr>
              <w:t>Magnesium</w:t>
            </w:r>
          </w:p>
        </w:tc>
        <w:tc>
          <w:tcPr>
            <w:tcW w:w="1007" w:type="dxa"/>
            <w:tcBorders>
              <w:top w:val="nil"/>
              <w:left w:val="nil"/>
              <w:bottom w:val="nil"/>
              <w:right w:val="nil"/>
            </w:tcBorders>
            <w:noWrap/>
            <w:vAlign w:val="bottom"/>
            <w:hideMark/>
          </w:tcPr>
          <w:p w14:paraId="1B0D21E3" w14:textId="77777777" w:rsidR="00126D8D" w:rsidRPr="00EF6679" w:rsidRDefault="00126D8D" w:rsidP="00820288">
            <w:pPr>
              <w:spacing w:line="240" w:lineRule="auto"/>
              <w:jc w:val="center"/>
              <w:rPr>
                <w:rFonts w:ascii="Times New Roman" w:eastAsia="Times New Roman" w:hAnsi="Times New Roman" w:cs="Times New Roman"/>
                <w:color w:val="000000" w:themeColor="text1"/>
                <w:sz w:val="18"/>
                <w:szCs w:val="18"/>
              </w:rPr>
            </w:pPr>
            <w:r w:rsidRPr="00EF6679">
              <w:rPr>
                <w:rFonts w:ascii="Times New Roman" w:hAnsi="Times New Roman" w:cs="Times New Roman"/>
                <w:color w:val="000000"/>
                <w:sz w:val="18"/>
                <w:szCs w:val="18"/>
              </w:rPr>
              <w:t>6.60</w:t>
            </w:r>
          </w:p>
        </w:tc>
        <w:tc>
          <w:tcPr>
            <w:tcW w:w="839" w:type="dxa"/>
            <w:tcBorders>
              <w:top w:val="nil"/>
              <w:left w:val="nil"/>
              <w:bottom w:val="nil"/>
              <w:right w:val="nil"/>
            </w:tcBorders>
            <w:noWrap/>
            <w:vAlign w:val="bottom"/>
            <w:hideMark/>
          </w:tcPr>
          <w:p w14:paraId="61D9B889" w14:textId="77777777" w:rsidR="00126D8D" w:rsidRPr="00EF6679" w:rsidRDefault="00126D8D" w:rsidP="00820288">
            <w:pPr>
              <w:spacing w:line="240" w:lineRule="auto"/>
              <w:jc w:val="center"/>
              <w:rPr>
                <w:rFonts w:ascii="Times New Roman" w:eastAsia="Times New Roman" w:hAnsi="Times New Roman" w:cs="Times New Roman"/>
                <w:color w:val="000000" w:themeColor="text1"/>
                <w:sz w:val="18"/>
                <w:szCs w:val="18"/>
              </w:rPr>
            </w:pPr>
            <w:r w:rsidRPr="00EF6679">
              <w:rPr>
                <w:rFonts w:ascii="Times New Roman" w:hAnsi="Times New Roman" w:cs="Times New Roman"/>
                <w:color w:val="000000"/>
                <w:sz w:val="18"/>
                <w:szCs w:val="18"/>
              </w:rPr>
              <w:t>9.82</w:t>
            </w:r>
          </w:p>
        </w:tc>
        <w:tc>
          <w:tcPr>
            <w:tcW w:w="1182" w:type="dxa"/>
            <w:tcBorders>
              <w:top w:val="nil"/>
              <w:left w:val="nil"/>
              <w:bottom w:val="nil"/>
              <w:right w:val="nil"/>
            </w:tcBorders>
            <w:noWrap/>
            <w:vAlign w:val="bottom"/>
            <w:hideMark/>
          </w:tcPr>
          <w:p w14:paraId="78894D03" w14:textId="77777777" w:rsidR="00126D8D" w:rsidRPr="00EF6679" w:rsidRDefault="00126D8D" w:rsidP="00820288">
            <w:pPr>
              <w:spacing w:line="240" w:lineRule="auto"/>
              <w:jc w:val="center"/>
              <w:rPr>
                <w:rFonts w:ascii="Times New Roman" w:eastAsia="Times New Roman" w:hAnsi="Times New Roman" w:cs="Times New Roman"/>
                <w:color w:val="000000" w:themeColor="text1"/>
                <w:sz w:val="18"/>
                <w:szCs w:val="18"/>
              </w:rPr>
            </w:pPr>
            <w:r w:rsidRPr="00EF6679">
              <w:rPr>
                <w:rFonts w:ascii="Times New Roman" w:hAnsi="Times New Roman" w:cs="Times New Roman"/>
                <w:color w:val="000000"/>
                <w:sz w:val="18"/>
                <w:szCs w:val="18"/>
              </w:rPr>
              <w:t>2.07</w:t>
            </w:r>
          </w:p>
        </w:tc>
        <w:tc>
          <w:tcPr>
            <w:tcW w:w="303" w:type="dxa"/>
            <w:tcBorders>
              <w:top w:val="nil"/>
              <w:left w:val="nil"/>
              <w:bottom w:val="nil"/>
              <w:right w:val="nil"/>
            </w:tcBorders>
            <w:noWrap/>
          </w:tcPr>
          <w:p w14:paraId="465C65D9" w14:textId="77777777" w:rsidR="00126D8D" w:rsidRPr="00EF6679" w:rsidRDefault="00126D8D" w:rsidP="00820288">
            <w:pPr>
              <w:spacing w:line="240" w:lineRule="auto"/>
              <w:jc w:val="right"/>
              <w:rPr>
                <w:rFonts w:ascii="Times New Roman" w:eastAsia="Times New Roman" w:hAnsi="Times New Roman" w:cs="Times New Roman"/>
                <w:color w:val="000000" w:themeColor="text1"/>
                <w:sz w:val="18"/>
                <w:szCs w:val="18"/>
              </w:rPr>
            </w:pPr>
          </w:p>
        </w:tc>
        <w:tc>
          <w:tcPr>
            <w:tcW w:w="1007" w:type="dxa"/>
            <w:tcBorders>
              <w:top w:val="nil"/>
              <w:left w:val="nil"/>
              <w:bottom w:val="nil"/>
              <w:right w:val="nil"/>
            </w:tcBorders>
            <w:noWrap/>
            <w:vAlign w:val="bottom"/>
            <w:hideMark/>
          </w:tcPr>
          <w:p w14:paraId="61BC161D" w14:textId="77777777" w:rsidR="00126D8D" w:rsidRPr="00EF6679" w:rsidRDefault="00126D8D" w:rsidP="00820288">
            <w:pPr>
              <w:spacing w:line="240" w:lineRule="auto"/>
              <w:jc w:val="center"/>
              <w:rPr>
                <w:rFonts w:ascii="Times New Roman" w:eastAsia="Times New Roman" w:hAnsi="Times New Roman" w:cs="Times New Roman"/>
                <w:color w:val="000000" w:themeColor="text1"/>
                <w:sz w:val="18"/>
                <w:szCs w:val="18"/>
              </w:rPr>
            </w:pPr>
            <w:r w:rsidRPr="00EF6679">
              <w:rPr>
                <w:rFonts w:ascii="Times New Roman" w:hAnsi="Times New Roman" w:cs="Times New Roman"/>
                <w:color w:val="000000"/>
                <w:sz w:val="18"/>
                <w:szCs w:val="18"/>
              </w:rPr>
              <w:t>0.0115</w:t>
            </w:r>
          </w:p>
        </w:tc>
        <w:tc>
          <w:tcPr>
            <w:tcW w:w="839" w:type="dxa"/>
            <w:tcBorders>
              <w:top w:val="nil"/>
              <w:left w:val="nil"/>
              <w:bottom w:val="nil"/>
              <w:right w:val="nil"/>
            </w:tcBorders>
            <w:noWrap/>
            <w:vAlign w:val="bottom"/>
            <w:hideMark/>
          </w:tcPr>
          <w:p w14:paraId="07A9400A" w14:textId="77777777" w:rsidR="00126D8D" w:rsidRPr="00EF6679" w:rsidRDefault="00126D8D" w:rsidP="00820288">
            <w:pPr>
              <w:spacing w:line="240" w:lineRule="auto"/>
              <w:jc w:val="center"/>
              <w:rPr>
                <w:rFonts w:ascii="Times New Roman" w:eastAsia="Times New Roman" w:hAnsi="Times New Roman" w:cs="Times New Roman"/>
                <w:color w:val="000000" w:themeColor="text1"/>
                <w:sz w:val="18"/>
                <w:szCs w:val="18"/>
              </w:rPr>
            </w:pPr>
            <w:r w:rsidRPr="00EF6679">
              <w:rPr>
                <w:rFonts w:ascii="Times New Roman" w:hAnsi="Times New Roman" w:cs="Times New Roman"/>
                <w:color w:val="000000"/>
                <w:sz w:val="18"/>
                <w:szCs w:val="18"/>
              </w:rPr>
              <w:t xml:space="preserve">≤0.0001 </w:t>
            </w:r>
          </w:p>
        </w:tc>
        <w:tc>
          <w:tcPr>
            <w:tcW w:w="1271" w:type="dxa"/>
            <w:tcBorders>
              <w:top w:val="nil"/>
              <w:left w:val="nil"/>
              <w:bottom w:val="nil"/>
              <w:right w:val="nil"/>
            </w:tcBorders>
            <w:noWrap/>
            <w:vAlign w:val="bottom"/>
            <w:hideMark/>
          </w:tcPr>
          <w:p w14:paraId="030A6986" w14:textId="77777777" w:rsidR="00126D8D" w:rsidRPr="00EF6679" w:rsidRDefault="00126D8D" w:rsidP="00820288">
            <w:pPr>
              <w:spacing w:line="240" w:lineRule="auto"/>
              <w:jc w:val="center"/>
              <w:rPr>
                <w:rFonts w:ascii="Times New Roman" w:eastAsia="Times New Roman" w:hAnsi="Times New Roman" w:cs="Times New Roman"/>
                <w:color w:val="000000" w:themeColor="text1"/>
                <w:sz w:val="18"/>
                <w:szCs w:val="18"/>
              </w:rPr>
            </w:pPr>
            <w:r w:rsidRPr="00EF6679">
              <w:rPr>
                <w:rFonts w:ascii="Times New Roman" w:hAnsi="Times New Roman" w:cs="Times New Roman"/>
                <w:color w:val="000000"/>
                <w:sz w:val="18"/>
                <w:szCs w:val="18"/>
              </w:rPr>
              <w:t>0.0278</w:t>
            </w:r>
          </w:p>
        </w:tc>
      </w:tr>
      <w:tr w:rsidR="00126D8D" w:rsidRPr="00EF6679" w14:paraId="3C365DD2" w14:textId="77777777" w:rsidTr="00820288">
        <w:tblPrEx>
          <w:jc w:val="lef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trHeight w:val="167"/>
        </w:trPr>
        <w:tc>
          <w:tcPr>
            <w:tcW w:w="2732" w:type="dxa"/>
            <w:tcBorders>
              <w:top w:val="nil"/>
              <w:left w:val="nil"/>
              <w:bottom w:val="nil"/>
              <w:right w:val="nil"/>
            </w:tcBorders>
            <w:noWrap/>
            <w:vAlign w:val="bottom"/>
            <w:hideMark/>
          </w:tcPr>
          <w:p w14:paraId="3AB3A7DB" w14:textId="77777777" w:rsidR="00126D8D" w:rsidRPr="00EF6679" w:rsidRDefault="00126D8D" w:rsidP="00820288">
            <w:pPr>
              <w:spacing w:line="240" w:lineRule="auto"/>
              <w:rPr>
                <w:rFonts w:ascii="Times New Roman" w:eastAsia="Times New Roman" w:hAnsi="Times New Roman" w:cs="Times New Roman"/>
                <w:color w:val="000000" w:themeColor="text1"/>
                <w:sz w:val="18"/>
                <w:szCs w:val="18"/>
              </w:rPr>
            </w:pPr>
            <w:r w:rsidRPr="00EF6679">
              <w:rPr>
                <w:rFonts w:ascii="Times New Roman" w:hAnsi="Times New Roman" w:cs="Times New Roman"/>
                <w:color w:val="000000"/>
                <w:sz w:val="18"/>
                <w:szCs w:val="18"/>
              </w:rPr>
              <w:t>Calcium</w:t>
            </w:r>
          </w:p>
        </w:tc>
        <w:tc>
          <w:tcPr>
            <w:tcW w:w="1007" w:type="dxa"/>
            <w:tcBorders>
              <w:top w:val="nil"/>
              <w:left w:val="nil"/>
              <w:bottom w:val="nil"/>
              <w:right w:val="nil"/>
            </w:tcBorders>
            <w:noWrap/>
            <w:vAlign w:val="bottom"/>
            <w:hideMark/>
          </w:tcPr>
          <w:p w14:paraId="193B5833" w14:textId="77777777" w:rsidR="00126D8D" w:rsidRPr="00EF6679" w:rsidRDefault="00126D8D" w:rsidP="00820288">
            <w:pPr>
              <w:spacing w:line="240" w:lineRule="auto"/>
              <w:jc w:val="center"/>
              <w:rPr>
                <w:rFonts w:ascii="Times New Roman" w:eastAsia="Times New Roman" w:hAnsi="Times New Roman" w:cs="Times New Roman"/>
                <w:color w:val="000000" w:themeColor="text1"/>
                <w:sz w:val="18"/>
                <w:szCs w:val="18"/>
              </w:rPr>
            </w:pPr>
            <w:r w:rsidRPr="00EF6679">
              <w:rPr>
                <w:rFonts w:ascii="Times New Roman" w:hAnsi="Times New Roman" w:cs="Times New Roman"/>
                <w:color w:val="000000"/>
                <w:sz w:val="18"/>
                <w:szCs w:val="18"/>
              </w:rPr>
              <w:t>37.85</w:t>
            </w:r>
          </w:p>
        </w:tc>
        <w:tc>
          <w:tcPr>
            <w:tcW w:w="839" w:type="dxa"/>
            <w:tcBorders>
              <w:top w:val="nil"/>
              <w:left w:val="nil"/>
              <w:bottom w:val="nil"/>
              <w:right w:val="nil"/>
            </w:tcBorders>
            <w:noWrap/>
            <w:vAlign w:val="bottom"/>
            <w:hideMark/>
          </w:tcPr>
          <w:p w14:paraId="14B355A0" w14:textId="77777777" w:rsidR="00126D8D" w:rsidRPr="00EF6679" w:rsidRDefault="00126D8D" w:rsidP="00820288">
            <w:pPr>
              <w:spacing w:line="240" w:lineRule="auto"/>
              <w:jc w:val="center"/>
              <w:rPr>
                <w:rFonts w:ascii="Times New Roman" w:eastAsia="Times New Roman" w:hAnsi="Times New Roman" w:cs="Times New Roman"/>
                <w:color w:val="000000" w:themeColor="text1"/>
                <w:sz w:val="18"/>
                <w:szCs w:val="18"/>
              </w:rPr>
            </w:pPr>
            <w:r w:rsidRPr="00EF6679">
              <w:rPr>
                <w:rFonts w:ascii="Times New Roman" w:hAnsi="Times New Roman" w:cs="Times New Roman"/>
                <w:color w:val="000000"/>
                <w:sz w:val="18"/>
                <w:szCs w:val="18"/>
              </w:rPr>
              <w:t>5.42</w:t>
            </w:r>
          </w:p>
        </w:tc>
        <w:tc>
          <w:tcPr>
            <w:tcW w:w="1182" w:type="dxa"/>
            <w:tcBorders>
              <w:top w:val="nil"/>
              <w:left w:val="nil"/>
              <w:bottom w:val="nil"/>
              <w:right w:val="nil"/>
            </w:tcBorders>
            <w:noWrap/>
            <w:vAlign w:val="bottom"/>
            <w:hideMark/>
          </w:tcPr>
          <w:p w14:paraId="3EE89E56" w14:textId="77777777" w:rsidR="00126D8D" w:rsidRPr="00EF6679" w:rsidRDefault="00126D8D" w:rsidP="00820288">
            <w:pPr>
              <w:spacing w:line="240" w:lineRule="auto"/>
              <w:jc w:val="center"/>
              <w:rPr>
                <w:rFonts w:ascii="Times New Roman" w:eastAsia="Times New Roman" w:hAnsi="Times New Roman" w:cs="Times New Roman"/>
                <w:color w:val="000000" w:themeColor="text1"/>
                <w:sz w:val="18"/>
                <w:szCs w:val="18"/>
              </w:rPr>
            </w:pPr>
            <w:r w:rsidRPr="00EF6679">
              <w:rPr>
                <w:rFonts w:ascii="Times New Roman" w:hAnsi="Times New Roman" w:cs="Times New Roman"/>
                <w:color w:val="000000"/>
                <w:sz w:val="18"/>
                <w:szCs w:val="18"/>
              </w:rPr>
              <w:t>1.57</w:t>
            </w:r>
          </w:p>
        </w:tc>
        <w:tc>
          <w:tcPr>
            <w:tcW w:w="303" w:type="dxa"/>
            <w:tcBorders>
              <w:top w:val="nil"/>
              <w:left w:val="nil"/>
              <w:bottom w:val="nil"/>
              <w:right w:val="nil"/>
            </w:tcBorders>
            <w:noWrap/>
          </w:tcPr>
          <w:p w14:paraId="7D0F2075" w14:textId="77777777" w:rsidR="00126D8D" w:rsidRPr="00EF6679" w:rsidRDefault="00126D8D" w:rsidP="00820288">
            <w:pPr>
              <w:spacing w:line="240" w:lineRule="auto"/>
              <w:jc w:val="right"/>
              <w:rPr>
                <w:rFonts w:ascii="Times New Roman" w:eastAsia="Times New Roman" w:hAnsi="Times New Roman" w:cs="Times New Roman"/>
                <w:color w:val="000000" w:themeColor="text1"/>
                <w:sz w:val="18"/>
                <w:szCs w:val="18"/>
              </w:rPr>
            </w:pPr>
          </w:p>
        </w:tc>
        <w:tc>
          <w:tcPr>
            <w:tcW w:w="1007" w:type="dxa"/>
            <w:tcBorders>
              <w:top w:val="nil"/>
              <w:left w:val="nil"/>
              <w:bottom w:val="nil"/>
              <w:right w:val="nil"/>
            </w:tcBorders>
            <w:noWrap/>
            <w:vAlign w:val="bottom"/>
            <w:hideMark/>
          </w:tcPr>
          <w:p w14:paraId="485D12D4" w14:textId="77777777" w:rsidR="00126D8D" w:rsidRPr="00EF6679" w:rsidRDefault="00126D8D" w:rsidP="00820288">
            <w:pPr>
              <w:spacing w:line="240" w:lineRule="auto"/>
              <w:jc w:val="center"/>
              <w:rPr>
                <w:rFonts w:ascii="Times New Roman" w:eastAsia="Times New Roman" w:hAnsi="Times New Roman" w:cs="Times New Roman"/>
                <w:color w:val="000000" w:themeColor="text1"/>
                <w:sz w:val="18"/>
                <w:szCs w:val="18"/>
              </w:rPr>
            </w:pPr>
            <w:r w:rsidRPr="00EF6679">
              <w:rPr>
                <w:rFonts w:ascii="Times New Roman" w:hAnsi="Times New Roman" w:cs="Times New Roman"/>
                <w:color w:val="000000"/>
                <w:sz w:val="18"/>
                <w:szCs w:val="18"/>
              </w:rPr>
              <w:t xml:space="preserve">≤0.0001 </w:t>
            </w:r>
          </w:p>
        </w:tc>
        <w:tc>
          <w:tcPr>
            <w:tcW w:w="839" w:type="dxa"/>
            <w:tcBorders>
              <w:top w:val="nil"/>
              <w:left w:val="nil"/>
              <w:bottom w:val="nil"/>
              <w:right w:val="nil"/>
            </w:tcBorders>
            <w:noWrap/>
            <w:vAlign w:val="bottom"/>
            <w:hideMark/>
          </w:tcPr>
          <w:p w14:paraId="35A81F44" w14:textId="77777777" w:rsidR="00126D8D" w:rsidRPr="00EF6679" w:rsidRDefault="00126D8D" w:rsidP="00820288">
            <w:pPr>
              <w:spacing w:line="240" w:lineRule="auto"/>
              <w:jc w:val="center"/>
              <w:rPr>
                <w:rFonts w:ascii="Times New Roman" w:eastAsia="Times New Roman" w:hAnsi="Times New Roman" w:cs="Times New Roman"/>
                <w:color w:val="000000" w:themeColor="text1"/>
                <w:sz w:val="18"/>
                <w:szCs w:val="18"/>
              </w:rPr>
            </w:pPr>
            <w:r w:rsidRPr="00EF6679">
              <w:rPr>
                <w:rFonts w:ascii="Times New Roman" w:hAnsi="Times New Roman" w:cs="Times New Roman"/>
                <w:color w:val="000000"/>
                <w:sz w:val="18"/>
                <w:szCs w:val="18"/>
              </w:rPr>
              <w:t xml:space="preserve">≤0.0001 </w:t>
            </w:r>
          </w:p>
        </w:tc>
        <w:tc>
          <w:tcPr>
            <w:tcW w:w="1271" w:type="dxa"/>
            <w:tcBorders>
              <w:top w:val="nil"/>
              <w:left w:val="nil"/>
              <w:bottom w:val="nil"/>
              <w:right w:val="nil"/>
            </w:tcBorders>
            <w:noWrap/>
            <w:vAlign w:val="bottom"/>
            <w:hideMark/>
          </w:tcPr>
          <w:p w14:paraId="0DC43BCA" w14:textId="77777777" w:rsidR="00126D8D" w:rsidRPr="00EF6679" w:rsidRDefault="00126D8D" w:rsidP="00820288">
            <w:pPr>
              <w:spacing w:line="240" w:lineRule="auto"/>
              <w:jc w:val="center"/>
              <w:rPr>
                <w:rFonts w:ascii="Times New Roman" w:eastAsia="Times New Roman" w:hAnsi="Times New Roman" w:cs="Times New Roman"/>
                <w:color w:val="000000" w:themeColor="text1"/>
                <w:sz w:val="18"/>
                <w:szCs w:val="18"/>
              </w:rPr>
            </w:pPr>
            <w:r w:rsidRPr="00EF6679">
              <w:rPr>
                <w:rFonts w:ascii="Times New Roman" w:hAnsi="Times New Roman" w:cs="Times New Roman"/>
                <w:color w:val="000000"/>
                <w:sz w:val="18"/>
                <w:szCs w:val="18"/>
              </w:rPr>
              <w:t>0.1155</w:t>
            </w:r>
          </w:p>
        </w:tc>
      </w:tr>
      <w:tr w:rsidR="00126D8D" w:rsidRPr="00EF6679" w14:paraId="74C0A377" w14:textId="77777777" w:rsidTr="00820288">
        <w:tblPrEx>
          <w:jc w:val="lef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trHeight w:val="167"/>
        </w:trPr>
        <w:tc>
          <w:tcPr>
            <w:tcW w:w="2732" w:type="dxa"/>
            <w:tcBorders>
              <w:top w:val="nil"/>
              <w:left w:val="nil"/>
              <w:bottom w:val="nil"/>
              <w:right w:val="nil"/>
            </w:tcBorders>
            <w:noWrap/>
            <w:vAlign w:val="bottom"/>
            <w:hideMark/>
          </w:tcPr>
          <w:p w14:paraId="0CBA05ED" w14:textId="77777777" w:rsidR="00126D8D" w:rsidRPr="00EF6679" w:rsidRDefault="00126D8D" w:rsidP="00820288">
            <w:pPr>
              <w:spacing w:line="240" w:lineRule="auto"/>
              <w:rPr>
                <w:rFonts w:ascii="Times New Roman" w:eastAsia="Times New Roman" w:hAnsi="Times New Roman" w:cs="Times New Roman"/>
                <w:color w:val="000000" w:themeColor="text1"/>
                <w:sz w:val="18"/>
                <w:szCs w:val="18"/>
              </w:rPr>
            </w:pPr>
            <w:r w:rsidRPr="00EF6679">
              <w:rPr>
                <w:rFonts w:ascii="Times New Roman" w:hAnsi="Times New Roman" w:cs="Times New Roman"/>
                <w:color w:val="000000"/>
                <w:sz w:val="18"/>
                <w:szCs w:val="18"/>
              </w:rPr>
              <w:t>Sulfur</w:t>
            </w:r>
          </w:p>
        </w:tc>
        <w:tc>
          <w:tcPr>
            <w:tcW w:w="1007" w:type="dxa"/>
            <w:tcBorders>
              <w:top w:val="nil"/>
              <w:left w:val="nil"/>
              <w:bottom w:val="nil"/>
              <w:right w:val="nil"/>
            </w:tcBorders>
            <w:noWrap/>
            <w:vAlign w:val="bottom"/>
            <w:hideMark/>
          </w:tcPr>
          <w:p w14:paraId="57821742" w14:textId="77777777" w:rsidR="00126D8D" w:rsidRPr="00EF6679" w:rsidRDefault="00126D8D" w:rsidP="00820288">
            <w:pPr>
              <w:spacing w:line="240" w:lineRule="auto"/>
              <w:jc w:val="center"/>
              <w:rPr>
                <w:rFonts w:ascii="Times New Roman" w:eastAsia="Times New Roman" w:hAnsi="Times New Roman" w:cs="Times New Roman"/>
                <w:color w:val="000000" w:themeColor="text1"/>
                <w:sz w:val="18"/>
                <w:szCs w:val="18"/>
              </w:rPr>
            </w:pPr>
            <w:r w:rsidRPr="00EF6679">
              <w:rPr>
                <w:rFonts w:ascii="Times New Roman" w:hAnsi="Times New Roman" w:cs="Times New Roman"/>
                <w:color w:val="000000"/>
                <w:sz w:val="18"/>
                <w:szCs w:val="18"/>
              </w:rPr>
              <w:t>2.32</w:t>
            </w:r>
          </w:p>
        </w:tc>
        <w:tc>
          <w:tcPr>
            <w:tcW w:w="839" w:type="dxa"/>
            <w:tcBorders>
              <w:top w:val="nil"/>
              <w:left w:val="nil"/>
              <w:bottom w:val="nil"/>
              <w:right w:val="nil"/>
            </w:tcBorders>
            <w:noWrap/>
            <w:vAlign w:val="bottom"/>
            <w:hideMark/>
          </w:tcPr>
          <w:p w14:paraId="34C327BA" w14:textId="77777777" w:rsidR="00126D8D" w:rsidRPr="00EF6679" w:rsidRDefault="00126D8D" w:rsidP="00820288">
            <w:pPr>
              <w:spacing w:line="240" w:lineRule="auto"/>
              <w:jc w:val="center"/>
              <w:rPr>
                <w:rFonts w:ascii="Times New Roman" w:eastAsia="Times New Roman" w:hAnsi="Times New Roman" w:cs="Times New Roman"/>
                <w:color w:val="000000" w:themeColor="text1"/>
                <w:sz w:val="18"/>
                <w:szCs w:val="18"/>
              </w:rPr>
            </w:pPr>
            <w:r w:rsidRPr="00EF6679">
              <w:rPr>
                <w:rFonts w:ascii="Times New Roman" w:hAnsi="Times New Roman" w:cs="Times New Roman"/>
                <w:color w:val="000000"/>
                <w:sz w:val="18"/>
                <w:szCs w:val="18"/>
              </w:rPr>
              <w:t>4.66</w:t>
            </w:r>
          </w:p>
        </w:tc>
        <w:tc>
          <w:tcPr>
            <w:tcW w:w="1182" w:type="dxa"/>
            <w:tcBorders>
              <w:top w:val="nil"/>
              <w:left w:val="nil"/>
              <w:bottom w:val="nil"/>
              <w:right w:val="nil"/>
            </w:tcBorders>
            <w:noWrap/>
            <w:vAlign w:val="bottom"/>
            <w:hideMark/>
          </w:tcPr>
          <w:p w14:paraId="3DD7E1DD" w14:textId="77777777" w:rsidR="00126D8D" w:rsidRPr="00EF6679" w:rsidRDefault="00126D8D" w:rsidP="00820288">
            <w:pPr>
              <w:spacing w:line="240" w:lineRule="auto"/>
              <w:jc w:val="center"/>
              <w:rPr>
                <w:rFonts w:ascii="Times New Roman" w:eastAsia="Times New Roman" w:hAnsi="Times New Roman" w:cs="Times New Roman"/>
                <w:color w:val="000000" w:themeColor="text1"/>
                <w:sz w:val="18"/>
                <w:szCs w:val="18"/>
              </w:rPr>
            </w:pPr>
            <w:r w:rsidRPr="00EF6679">
              <w:rPr>
                <w:rFonts w:ascii="Times New Roman" w:hAnsi="Times New Roman" w:cs="Times New Roman"/>
                <w:color w:val="000000"/>
                <w:sz w:val="18"/>
                <w:szCs w:val="18"/>
              </w:rPr>
              <w:t>1.77</w:t>
            </w:r>
          </w:p>
        </w:tc>
        <w:tc>
          <w:tcPr>
            <w:tcW w:w="303" w:type="dxa"/>
            <w:tcBorders>
              <w:top w:val="nil"/>
              <w:left w:val="nil"/>
              <w:bottom w:val="nil"/>
              <w:right w:val="nil"/>
            </w:tcBorders>
            <w:noWrap/>
          </w:tcPr>
          <w:p w14:paraId="1E00A637" w14:textId="77777777" w:rsidR="00126D8D" w:rsidRPr="00EF6679" w:rsidRDefault="00126D8D" w:rsidP="00820288">
            <w:pPr>
              <w:spacing w:line="240" w:lineRule="auto"/>
              <w:jc w:val="right"/>
              <w:rPr>
                <w:rFonts w:ascii="Times New Roman" w:eastAsia="Times New Roman" w:hAnsi="Times New Roman" w:cs="Times New Roman"/>
                <w:color w:val="000000" w:themeColor="text1"/>
                <w:sz w:val="18"/>
                <w:szCs w:val="18"/>
              </w:rPr>
            </w:pPr>
          </w:p>
        </w:tc>
        <w:tc>
          <w:tcPr>
            <w:tcW w:w="1007" w:type="dxa"/>
            <w:tcBorders>
              <w:top w:val="nil"/>
              <w:left w:val="nil"/>
              <w:bottom w:val="nil"/>
              <w:right w:val="nil"/>
            </w:tcBorders>
            <w:noWrap/>
            <w:vAlign w:val="bottom"/>
            <w:hideMark/>
          </w:tcPr>
          <w:p w14:paraId="19F55809" w14:textId="77777777" w:rsidR="00126D8D" w:rsidRPr="00EF6679" w:rsidRDefault="00126D8D" w:rsidP="00820288">
            <w:pPr>
              <w:spacing w:line="240" w:lineRule="auto"/>
              <w:jc w:val="center"/>
              <w:rPr>
                <w:rFonts w:ascii="Times New Roman" w:eastAsia="Times New Roman" w:hAnsi="Times New Roman" w:cs="Times New Roman"/>
                <w:color w:val="000000" w:themeColor="text1"/>
                <w:sz w:val="18"/>
                <w:szCs w:val="18"/>
              </w:rPr>
            </w:pPr>
            <w:r w:rsidRPr="00EF6679">
              <w:rPr>
                <w:rFonts w:ascii="Times New Roman" w:hAnsi="Times New Roman" w:cs="Times New Roman"/>
                <w:color w:val="000000"/>
                <w:sz w:val="18"/>
                <w:szCs w:val="18"/>
              </w:rPr>
              <w:t>0.1301</w:t>
            </w:r>
          </w:p>
        </w:tc>
        <w:tc>
          <w:tcPr>
            <w:tcW w:w="839" w:type="dxa"/>
            <w:tcBorders>
              <w:top w:val="nil"/>
              <w:left w:val="nil"/>
              <w:bottom w:val="nil"/>
              <w:right w:val="nil"/>
            </w:tcBorders>
            <w:noWrap/>
            <w:vAlign w:val="bottom"/>
            <w:hideMark/>
          </w:tcPr>
          <w:p w14:paraId="743F12C1" w14:textId="77777777" w:rsidR="00126D8D" w:rsidRPr="00EF6679" w:rsidRDefault="00126D8D" w:rsidP="00820288">
            <w:pPr>
              <w:spacing w:line="240" w:lineRule="auto"/>
              <w:jc w:val="center"/>
              <w:rPr>
                <w:rFonts w:ascii="Times New Roman" w:eastAsia="Times New Roman" w:hAnsi="Times New Roman" w:cs="Times New Roman"/>
                <w:color w:val="000000" w:themeColor="text1"/>
                <w:sz w:val="18"/>
                <w:szCs w:val="18"/>
              </w:rPr>
            </w:pPr>
            <w:r w:rsidRPr="00EF6679">
              <w:rPr>
                <w:rFonts w:ascii="Times New Roman" w:hAnsi="Times New Roman" w:cs="Times New Roman"/>
                <w:color w:val="000000"/>
                <w:sz w:val="18"/>
                <w:szCs w:val="18"/>
              </w:rPr>
              <w:t xml:space="preserve">≤0.0001 </w:t>
            </w:r>
          </w:p>
        </w:tc>
        <w:tc>
          <w:tcPr>
            <w:tcW w:w="1271" w:type="dxa"/>
            <w:tcBorders>
              <w:top w:val="nil"/>
              <w:left w:val="nil"/>
              <w:bottom w:val="nil"/>
              <w:right w:val="nil"/>
            </w:tcBorders>
            <w:noWrap/>
            <w:vAlign w:val="bottom"/>
            <w:hideMark/>
          </w:tcPr>
          <w:p w14:paraId="32BF6CE0" w14:textId="77777777" w:rsidR="00126D8D" w:rsidRPr="00EF6679" w:rsidRDefault="00126D8D" w:rsidP="00820288">
            <w:pPr>
              <w:spacing w:line="240" w:lineRule="auto"/>
              <w:jc w:val="center"/>
              <w:rPr>
                <w:rFonts w:ascii="Times New Roman" w:eastAsia="Times New Roman" w:hAnsi="Times New Roman" w:cs="Times New Roman"/>
                <w:color w:val="000000" w:themeColor="text1"/>
                <w:sz w:val="18"/>
                <w:szCs w:val="18"/>
              </w:rPr>
            </w:pPr>
            <w:r w:rsidRPr="00EF6679">
              <w:rPr>
                <w:rFonts w:ascii="Times New Roman" w:hAnsi="Times New Roman" w:cs="Times New Roman"/>
                <w:color w:val="000000"/>
                <w:sz w:val="18"/>
                <w:szCs w:val="18"/>
              </w:rPr>
              <w:t>0.0677</w:t>
            </w:r>
          </w:p>
        </w:tc>
      </w:tr>
      <w:tr w:rsidR="00126D8D" w:rsidRPr="00EF6679" w14:paraId="6A27B2C2" w14:textId="77777777" w:rsidTr="00820288">
        <w:tblPrEx>
          <w:jc w:val="lef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trHeight w:val="167"/>
        </w:trPr>
        <w:tc>
          <w:tcPr>
            <w:tcW w:w="2732" w:type="dxa"/>
            <w:tcBorders>
              <w:top w:val="nil"/>
              <w:left w:val="nil"/>
              <w:bottom w:val="nil"/>
              <w:right w:val="nil"/>
            </w:tcBorders>
            <w:noWrap/>
            <w:vAlign w:val="bottom"/>
            <w:hideMark/>
          </w:tcPr>
          <w:p w14:paraId="1D4C011F" w14:textId="77777777" w:rsidR="00126D8D" w:rsidRPr="00EF6679" w:rsidRDefault="00126D8D" w:rsidP="00820288">
            <w:pPr>
              <w:spacing w:line="240" w:lineRule="auto"/>
              <w:rPr>
                <w:rFonts w:ascii="Times New Roman" w:eastAsia="Times New Roman" w:hAnsi="Times New Roman" w:cs="Times New Roman"/>
                <w:color w:val="000000" w:themeColor="text1"/>
                <w:sz w:val="18"/>
                <w:szCs w:val="18"/>
              </w:rPr>
            </w:pPr>
            <w:r w:rsidRPr="00EF6679">
              <w:rPr>
                <w:rFonts w:ascii="Times New Roman" w:hAnsi="Times New Roman" w:cs="Times New Roman"/>
                <w:color w:val="000000"/>
                <w:sz w:val="18"/>
                <w:szCs w:val="18"/>
              </w:rPr>
              <w:t>Boron</w:t>
            </w:r>
          </w:p>
        </w:tc>
        <w:tc>
          <w:tcPr>
            <w:tcW w:w="1007" w:type="dxa"/>
            <w:tcBorders>
              <w:top w:val="nil"/>
              <w:left w:val="nil"/>
              <w:bottom w:val="nil"/>
              <w:right w:val="nil"/>
            </w:tcBorders>
            <w:noWrap/>
            <w:vAlign w:val="bottom"/>
            <w:hideMark/>
          </w:tcPr>
          <w:p w14:paraId="07D3C387" w14:textId="77777777" w:rsidR="00126D8D" w:rsidRPr="00EF6679" w:rsidRDefault="00126D8D" w:rsidP="00820288">
            <w:pPr>
              <w:spacing w:line="240" w:lineRule="auto"/>
              <w:jc w:val="center"/>
              <w:rPr>
                <w:rFonts w:ascii="Times New Roman" w:eastAsia="Times New Roman" w:hAnsi="Times New Roman" w:cs="Times New Roman"/>
                <w:color w:val="000000" w:themeColor="text1"/>
                <w:sz w:val="18"/>
                <w:szCs w:val="18"/>
              </w:rPr>
            </w:pPr>
            <w:r w:rsidRPr="00EF6679">
              <w:rPr>
                <w:rFonts w:ascii="Times New Roman" w:hAnsi="Times New Roman" w:cs="Times New Roman"/>
                <w:color w:val="000000"/>
                <w:sz w:val="18"/>
                <w:szCs w:val="18"/>
              </w:rPr>
              <w:t>0.04</w:t>
            </w:r>
          </w:p>
        </w:tc>
        <w:tc>
          <w:tcPr>
            <w:tcW w:w="839" w:type="dxa"/>
            <w:tcBorders>
              <w:top w:val="nil"/>
              <w:left w:val="nil"/>
              <w:bottom w:val="nil"/>
              <w:right w:val="nil"/>
            </w:tcBorders>
            <w:noWrap/>
            <w:vAlign w:val="bottom"/>
            <w:hideMark/>
          </w:tcPr>
          <w:p w14:paraId="6200CD89" w14:textId="77777777" w:rsidR="00126D8D" w:rsidRPr="00EF6679" w:rsidRDefault="00126D8D" w:rsidP="00820288">
            <w:pPr>
              <w:spacing w:line="240" w:lineRule="auto"/>
              <w:jc w:val="center"/>
              <w:rPr>
                <w:rFonts w:ascii="Times New Roman" w:eastAsia="Times New Roman" w:hAnsi="Times New Roman" w:cs="Times New Roman"/>
                <w:color w:val="000000" w:themeColor="text1"/>
                <w:sz w:val="18"/>
                <w:szCs w:val="18"/>
              </w:rPr>
            </w:pPr>
            <w:r w:rsidRPr="00EF6679">
              <w:rPr>
                <w:rFonts w:ascii="Times New Roman" w:hAnsi="Times New Roman" w:cs="Times New Roman"/>
                <w:color w:val="000000"/>
                <w:sz w:val="18"/>
                <w:szCs w:val="18"/>
              </w:rPr>
              <w:t>10.11</w:t>
            </w:r>
          </w:p>
        </w:tc>
        <w:tc>
          <w:tcPr>
            <w:tcW w:w="1182" w:type="dxa"/>
            <w:tcBorders>
              <w:top w:val="nil"/>
              <w:left w:val="nil"/>
              <w:bottom w:val="nil"/>
              <w:right w:val="nil"/>
            </w:tcBorders>
            <w:noWrap/>
            <w:vAlign w:val="bottom"/>
            <w:hideMark/>
          </w:tcPr>
          <w:p w14:paraId="53D9E326" w14:textId="77777777" w:rsidR="00126D8D" w:rsidRPr="00EF6679" w:rsidRDefault="00126D8D" w:rsidP="00820288">
            <w:pPr>
              <w:spacing w:line="240" w:lineRule="auto"/>
              <w:jc w:val="center"/>
              <w:rPr>
                <w:rFonts w:ascii="Times New Roman" w:eastAsia="Times New Roman" w:hAnsi="Times New Roman" w:cs="Times New Roman"/>
                <w:color w:val="000000" w:themeColor="text1"/>
                <w:sz w:val="18"/>
                <w:szCs w:val="18"/>
              </w:rPr>
            </w:pPr>
            <w:r w:rsidRPr="00EF6679">
              <w:rPr>
                <w:rFonts w:ascii="Times New Roman" w:hAnsi="Times New Roman" w:cs="Times New Roman"/>
                <w:color w:val="000000"/>
                <w:sz w:val="18"/>
                <w:szCs w:val="18"/>
              </w:rPr>
              <w:t>2.39</w:t>
            </w:r>
          </w:p>
        </w:tc>
        <w:tc>
          <w:tcPr>
            <w:tcW w:w="303" w:type="dxa"/>
            <w:tcBorders>
              <w:top w:val="nil"/>
              <w:left w:val="nil"/>
              <w:bottom w:val="nil"/>
              <w:right w:val="nil"/>
            </w:tcBorders>
            <w:noWrap/>
          </w:tcPr>
          <w:p w14:paraId="68EC1599" w14:textId="77777777" w:rsidR="00126D8D" w:rsidRPr="00EF6679" w:rsidRDefault="00126D8D" w:rsidP="00820288">
            <w:pPr>
              <w:spacing w:line="240" w:lineRule="auto"/>
              <w:jc w:val="right"/>
              <w:rPr>
                <w:rFonts w:ascii="Times New Roman" w:eastAsia="Times New Roman" w:hAnsi="Times New Roman" w:cs="Times New Roman"/>
                <w:color w:val="000000" w:themeColor="text1"/>
                <w:sz w:val="18"/>
                <w:szCs w:val="18"/>
              </w:rPr>
            </w:pPr>
          </w:p>
        </w:tc>
        <w:tc>
          <w:tcPr>
            <w:tcW w:w="1007" w:type="dxa"/>
            <w:tcBorders>
              <w:top w:val="nil"/>
              <w:left w:val="nil"/>
              <w:bottom w:val="nil"/>
              <w:right w:val="nil"/>
            </w:tcBorders>
            <w:noWrap/>
            <w:vAlign w:val="bottom"/>
            <w:hideMark/>
          </w:tcPr>
          <w:p w14:paraId="440584E5" w14:textId="77777777" w:rsidR="00126D8D" w:rsidRPr="00EF6679" w:rsidRDefault="00126D8D" w:rsidP="00820288">
            <w:pPr>
              <w:spacing w:line="240" w:lineRule="auto"/>
              <w:jc w:val="center"/>
              <w:rPr>
                <w:rFonts w:ascii="Times New Roman" w:eastAsia="Times New Roman" w:hAnsi="Times New Roman" w:cs="Times New Roman"/>
                <w:color w:val="000000" w:themeColor="text1"/>
                <w:sz w:val="18"/>
                <w:szCs w:val="18"/>
              </w:rPr>
            </w:pPr>
            <w:r w:rsidRPr="00EF6679">
              <w:rPr>
                <w:rFonts w:ascii="Times New Roman" w:hAnsi="Times New Roman" w:cs="Times New Roman"/>
                <w:color w:val="000000"/>
                <w:sz w:val="18"/>
                <w:szCs w:val="18"/>
              </w:rPr>
              <w:t>0.8482</w:t>
            </w:r>
          </w:p>
        </w:tc>
        <w:tc>
          <w:tcPr>
            <w:tcW w:w="839" w:type="dxa"/>
            <w:tcBorders>
              <w:top w:val="nil"/>
              <w:left w:val="nil"/>
              <w:bottom w:val="nil"/>
              <w:right w:val="nil"/>
            </w:tcBorders>
            <w:noWrap/>
            <w:vAlign w:val="bottom"/>
            <w:hideMark/>
          </w:tcPr>
          <w:p w14:paraId="22C817C4" w14:textId="77777777" w:rsidR="00126D8D" w:rsidRPr="00EF6679" w:rsidRDefault="00126D8D" w:rsidP="00820288">
            <w:pPr>
              <w:spacing w:line="240" w:lineRule="auto"/>
              <w:jc w:val="center"/>
              <w:rPr>
                <w:rFonts w:ascii="Times New Roman" w:eastAsia="Times New Roman" w:hAnsi="Times New Roman" w:cs="Times New Roman"/>
                <w:color w:val="000000" w:themeColor="text1"/>
                <w:sz w:val="18"/>
                <w:szCs w:val="18"/>
              </w:rPr>
            </w:pPr>
            <w:r w:rsidRPr="00EF6679">
              <w:rPr>
                <w:rFonts w:ascii="Times New Roman" w:hAnsi="Times New Roman" w:cs="Times New Roman"/>
                <w:color w:val="000000"/>
                <w:sz w:val="18"/>
                <w:szCs w:val="18"/>
              </w:rPr>
              <w:t xml:space="preserve">≤0.0001 </w:t>
            </w:r>
          </w:p>
        </w:tc>
        <w:tc>
          <w:tcPr>
            <w:tcW w:w="1271" w:type="dxa"/>
            <w:tcBorders>
              <w:top w:val="nil"/>
              <w:left w:val="nil"/>
              <w:bottom w:val="nil"/>
              <w:right w:val="nil"/>
            </w:tcBorders>
            <w:noWrap/>
            <w:vAlign w:val="bottom"/>
            <w:hideMark/>
          </w:tcPr>
          <w:p w14:paraId="7144741F" w14:textId="77777777" w:rsidR="00126D8D" w:rsidRPr="00EF6679" w:rsidRDefault="00126D8D" w:rsidP="00820288">
            <w:pPr>
              <w:spacing w:line="240" w:lineRule="auto"/>
              <w:jc w:val="center"/>
              <w:rPr>
                <w:rFonts w:ascii="Times New Roman" w:eastAsia="Times New Roman" w:hAnsi="Times New Roman" w:cs="Times New Roman"/>
                <w:color w:val="000000" w:themeColor="text1"/>
                <w:sz w:val="18"/>
                <w:szCs w:val="18"/>
              </w:rPr>
            </w:pPr>
            <w:r w:rsidRPr="00EF6679">
              <w:rPr>
                <w:rFonts w:ascii="Times New Roman" w:hAnsi="Times New Roman" w:cs="Times New Roman"/>
                <w:color w:val="000000"/>
                <w:sz w:val="18"/>
                <w:szCs w:val="18"/>
              </w:rPr>
              <w:t>0.0104</w:t>
            </w:r>
          </w:p>
        </w:tc>
      </w:tr>
      <w:tr w:rsidR="00126D8D" w:rsidRPr="00EF6679" w14:paraId="726057BB" w14:textId="77777777" w:rsidTr="00820288">
        <w:tblPrEx>
          <w:jc w:val="lef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trHeight w:val="167"/>
        </w:trPr>
        <w:tc>
          <w:tcPr>
            <w:tcW w:w="2732" w:type="dxa"/>
            <w:tcBorders>
              <w:top w:val="nil"/>
              <w:left w:val="nil"/>
              <w:bottom w:val="nil"/>
              <w:right w:val="nil"/>
            </w:tcBorders>
            <w:noWrap/>
            <w:vAlign w:val="bottom"/>
            <w:hideMark/>
          </w:tcPr>
          <w:p w14:paraId="1001B317" w14:textId="77777777" w:rsidR="00126D8D" w:rsidRPr="00EF6679" w:rsidRDefault="00126D8D" w:rsidP="00820288">
            <w:pPr>
              <w:spacing w:line="240" w:lineRule="auto"/>
              <w:rPr>
                <w:rFonts w:ascii="Times New Roman" w:eastAsia="Times New Roman" w:hAnsi="Times New Roman" w:cs="Times New Roman"/>
                <w:color w:val="000000" w:themeColor="text1"/>
                <w:sz w:val="18"/>
                <w:szCs w:val="18"/>
              </w:rPr>
            </w:pPr>
            <w:r w:rsidRPr="00EF6679">
              <w:rPr>
                <w:rFonts w:ascii="Times New Roman" w:hAnsi="Times New Roman" w:cs="Times New Roman"/>
                <w:color w:val="000000"/>
                <w:sz w:val="18"/>
                <w:szCs w:val="18"/>
              </w:rPr>
              <w:t>Zinc</w:t>
            </w:r>
          </w:p>
        </w:tc>
        <w:tc>
          <w:tcPr>
            <w:tcW w:w="1007" w:type="dxa"/>
            <w:tcBorders>
              <w:top w:val="nil"/>
              <w:left w:val="nil"/>
              <w:bottom w:val="nil"/>
              <w:right w:val="nil"/>
            </w:tcBorders>
            <w:noWrap/>
            <w:vAlign w:val="bottom"/>
            <w:hideMark/>
          </w:tcPr>
          <w:p w14:paraId="2C404170" w14:textId="77777777" w:rsidR="00126D8D" w:rsidRPr="00EF6679" w:rsidRDefault="00126D8D" w:rsidP="00820288">
            <w:pPr>
              <w:spacing w:line="240" w:lineRule="auto"/>
              <w:jc w:val="center"/>
              <w:rPr>
                <w:rFonts w:ascii="Times New Roman" w:eastAsia="Times New Roman" w:hAnsi="Times New Roman" w:cs="Times New Roman"/>
                <w:color w:val="000000" w:themeColor="text1"/>
                <w:sz w:val="18"/>
                <w:szCs w:val="18"/>
              </w:rPr>
            </w:pPr>
            <w:r w:rsidRPr="00EF6679">
              <w:rPr>
                <w:rFonts w:ascii="Times New Roman" w:hAnsi="Times New Roman" w:cs="Times New Roman"/>
                <w:color w:val="000000"/>
                <w:sz w:val="18"/>
                <w:szCs w:val="18"/>
              </w:rPr>
              <w:t>4.01</w:t>
            </w:r>
          </w:p>
        </w:tc>
        <w:tc>
          <w:tcPr>
            <w:tcW w:w="839" w:type="dxa"/>
            <w:tcBorders>
              <w:top w:val="nil"/>
              <w:left w:val="nil"/>
              <w:bottom w:val="nil"/>
              <w:right w:val="nil"/>
            </w:tcBorders>
            <w:noWrap/>
            <w:vAlign w:val="bottom"/>
            <w:hideMark/>
          </w:tcPr>
          <w:p w14:paraId="381B357D" w14:textId="77777777" w:rsidR="00126D8D" w:rsidRPr="00EF6679" w:rsidRDefault="00126D8D" w:rsidP="00820288">
            <w:pPr>
              <w:spacing w:line="240" w:lineRule="auto"/>
              <w:jc w:val="center"/>
              <w:rPr>
                <w:rFonts w:ascii="Times New Roman" w:eastAsia="Times New Roman" w:hAnsi="Times New Roman" w:cs="Times New Roman"/>
                <w:color w:val="000000" w:themeColor="text1"/>
                <w:sz w:val="18"/>
                <w:szCs w:val="18"/>
              </w:rPr>
            </w:pPr>
            <w:r w:rsidRPr="00EF6679">
              <w:rPr>
                <w:rFonts w:ascii="Times New Roman" w:hAnsi="Times New Roman" w:cs="Times New Roman"/>
                <w:color w:val="000000"/>
                <w:sz w:val="18"/>
                <w:szCs w:val="18"/>
              </w:rPr>
              <w:t>9.11</w:t>
            </w:r>
          </w:p>
        </w:tc>
        <w:tc>
          <w:tcPr>
            <w:tcW w:w="1182" w:type="dxa"/>
            <w:tcBorders>
              <w:top w:val="nil"/>
              <w:left w:val="nil"/>
              <w:bottom w:val="nil"/>
              <w:right w:val="nil"/>
            </w:tcBorders>
            <w:noWrap/>
            <w:vAlign w:val="bottom"/>
            <w:hideMark/>
          </w:tcPr>
          <w:p w14:paraId="06DFC10C" w14:textId="77777777" w:rsidR="00126D8D" w:rsidRPr="00EF6679" w:rsidRDefault="00126D8D" w:rsidP="00820288">
            <w:pPr>
              <w:spacing w:line="240" w:lineRule="auto"/>
              <w:jc w:val="center"/>
              <w:rPr>
                <w:rFonts w:ascii="Times New Roman" w:eastAsia="Times New Roman" w:hAnsi="Times New Roman" w:cs="Times New Roman"/>
                <w:color w:val="000000" w:themeColor="text1"/>
                <w:sz w:val="18"/>
                <w:szCs w:val="18"/>
              </w:rPr>
            </w:pPr>
            <w:r w:rsidRPr="00EF6679">
              <w:rPr>
                <w:rFonts w:ascii="Times New Roman" w:hAnsi="Times New Roman" w:cs="Times New Roman"/>
                <w:color w:val="000000"/>
                <w:sz w:val="18"/>
                <w:szCs w:val="18"/>
              </w:rPr>
              <w:t>1.16</w:t>
            </w:r>
          </w:p>
        </w:tc>
        <w:tc>
          <w:tcPr>
            <w:tcW w:w="303" w:type="dxa"/>
            <w:tcBorders>
              <w:top w:val="nil"/>
              <w:left w:val="nil"/>
              <w:bottom w:val="nil"/>
              <w:right w:val="nil"/>
            </w:tcBorders>
            <w:noWrap/>
          </w:tcPr>
          <w:p w14:paraId="50FDAB85" w14:textId="77777777" w:rsidR="00126D8D" w:rsidRPr="00EF6679" w:rsidRDefault="00126D8D" w:rsidP="00820288">
            <w:pPr>
              <w:spacing w:line="240" w:lineRule="auto"/>
              <w:jc w:val="right"/>
              <w:rPr>
                <w:rFonts w:ascii="Times New Roman" w:eastAsia="Times New Roman" w:hAnsi="Times New Roman" w:cs="Times New Roman"/>
                <w:color w:val="000000" w:themeColor="text1"/>
                <w:sz w:val="18"/>
                <w:szCs w:val="18"/>
              </w:rPr>
            </w:pPr>
          </w:p>
        </w:tc>
        <w:tc>
          <w:tcPr>
            <w:tcW w:w="1007" w:type="dxa"/>
            <w:tcBorders>
              <w:top w:val="nil"/>
              <w:left w:val="nil"/>
              <w:bottom w:val="nil"/>
              <w:right w:val="nil"/>
            </w:tcBorders>
            <w:noWrap/>
            <w:vAlign w:val="bottom"/>
            <w:hideMark/>
          </w:tcPr>
          <w:p w14:paraId="2EA9F611" w14:textId="77777777" w:rsidR="00126D8D" w:rsidRPr="00EF6679" w:rsidRDefault="00126D8D" w:rsidP="00820288">
            <w:pPr>
              <w:spacing w:line="240" w:lineRule="auto"/>
              <w:jc w:val="center"/>
              <w:rPr>
                <w:rFonts w:ascii="Times New Roman" w:eastAsia="Times New Roman" w:hAnsi="Times New Roman" w:cs="Times New Roman"/>
                <w:color w:val="000000" w:themeColor="text1"/>
                <w:sz w:val="18"/>
                <w:szCs w:val="18"/>
              </w:rPr>
            </w:pPr>
            <w:r w:rsidRPr="00EF6679">
              <w:rPr>
                <w:rFonts w:ascii="Times New Roman" w:hAnsi="Times New Roman" w:cs="Times New Roman"/>
                <w:color w:val="000000"/>
                <w:sz w:val="18"/>
                <w:szCs w:val="18"/>
              </w:rPr>
              <w:t>0.0475</w:t>
            </w:r>
          </w:p>
        </w:tc>
        <w:tc>
          <w:tcPr>
            <w:tcW w:w="839" w:type="dxa"/>
            <w:tcBorders>
              <w:top w:val="nil"/>
              <w:left w:val="nil"/>
              <w:bottom w:val="nil"/>
              <w:right w:val="nil"/>
            </w:tcBorders>
            <w:noWrap/>
            <w:vAlign w:val="bottom"/>
            <w:hideMark/>
          </w:tcPr>
          <w:p w14:paraId="4951C178" w14:textId="77777777" w:rsidR="00126D8D" w:rsidRPr="00EF6679" w:rsidRDefault="00126D8D" w:rsidP="00820288">
            <w:pPr>
              <w:spacing w:line="240" w:lineRule="auto"/>
              <w:jc w:val="center"/>
              <w:rPr>
                <w:rFonts w:ascii="Times New Roman" w:eastAsia="Times New Roman" w:hAnsi="Times New Roman" w:cs="Times New Roman"/>
                <w:color w:val="000000" w:themeColor="text1"/>
                <w:sz w:val="18"/>
                <w:szCs w:val="18"/>
              </w:rPr>
            </w:pPr>
            <w:r w:rsidRPr="00EF6679">
              <w:rPr>
                <w:rFonts w:ascii="Times New Roman" w:hAnsi="Times New Roman" w:cs="Times New Roman"/>
                <w:color w:val="000000"/>
                <w:sz w:val="18"/>
                <w:szCs w:val="18"/>
              </w:rPr>
              <w:t xml:space="preserve">≤0.0001 </w:t>
            </w:r>
          </w:p>
        </w:tc>
        <w:tc>
          <w:tcPr>
            <w:tcW w:w="1271" w:type="dxa"/>
            <w:tcBorders>
              <w:top w:val="nil"/>
              <w:left w:val="nil"/>
              <w:bottom w:val="nil"/>
              <w:right w:val="nil"/>
            </w:tcBorders>
            <w:noWrap/>
            <w:vAlign w:val="bottom"/>
            <w:hideMark/>
          </w:tcPr>
          <w:p w14:paraId="6077E385" w14:textId="77777777" w:rsidR="00126D8D" w:rsidRPr="00EF6679" w:rsidRDefault="00126D8D" w:rsidP="00820288">
            <w:pPr>
              <w:spacing w:line="240" w:lineRule="auto"/>
              <w:jc w:val="center"/>
              <w:rPr>
                <w:rFonts w:ascii="Times New Roman" w:eastAsia="Times New Roman" w:hAnsi="Times New Roman" w:cs="Times New Roman"/>
                <w:color w:val="000000" w:themeColor="text1"/>
                <w:sz w:val="18"/>
                <w:szCs w:val="18"/>
              </w:rPr>
            </w:pPr>
            <w:r w:rsidRPr="00EF6679">
              <w:rPr>
                <w:rFonts w:ascii="Times New Roman" w:hAnsi="Times New Roman" w:cs="Times New Roman"/>
                <w:color w:val="000000"/>
                <w:sz w:val="18"/>
                <w:szCs w:val="18"/>
              </w:rPr>
              <w:t>0.3201</w:t>
            </w:r>
          </w:p>
        </w:tc>
      </w:tr>
      <w:tr w:rsidR="00126D8D" w:rsidRPr="00EF6679" w14:paraId="396B8FC0" w14:textId="77777777" w:rsidTr="00820288">
        <w:tblPrEx>
          <w:jc w:val="lef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trHeight w:val="167"/>
        </w:trPr>
        <w:tc>
          <w:tcPr>
            <w:tcW w:w="2732" w:type="dxa"/>
            <w:tcBorders>
              <w:top w:val="nil"/>
              <w:left w:val="nil"/>
              <w:bottom w:val="nil"/>
              <w:right w:val="nil"/>
            </w:tcBorders>
            <w:noWrap/>
            <w:vAlign w:val="bottom"/>
            <w:hideMark/>
          </w:tcPr>
          <w:p w14:paraId="751288C8" w14:textId="77777777" w:rsidR="00126D8D" w:rsidRPr="00EF6679" w:rsidRDefault="00126D8D" w:rsidP="00820288">
            <w:pPr>
              <w:spacing w:line="240" w:lineRule="auto"/>
              <w:rPr>
                <w:rFonts w:ascii="Times New Roman" w:eastAsia="Times New Roman" w:hAnsi="Times New Roman" w:cs="Times New Roman"/>
                <w:color w:val="000000" w:themeColor="text1"/>
                <w:sz w:val="18"/>
                <w:szCs w:val="18"/>
              </w:rPr>
            </w:pPr>
            <w:r w:rsidRPr="00EF6679">
              <w:rPr>
                <w:rFonts w:ascii="Times New Roman" w:hAnsi="Times New Roman" w:cs="Times New Roman"/>
                <w:color w:val="000000"/>
                <w:sz w:val="18"/>
                <w:szCs w:val="18"/>
              </w:rPr>
              <w:t>Manganese</w:t>
            </w:r>
          </w:p>
        </w:tc>
        <w:tc>
          <w:tcPr>
            <w:tcW w:w="1007" w:type="dxa"/>
            <w:tcBorders>
              <w:top w:val="nil"/>
              <w:left w:val="nil"/>
              <w:bottom w:val="nil"/>
              <w:right w:val="nil"/>
            </w:tcBorders>
            <w:noWrap/>
            <w:vAlign w:val="bottom"/>
            <w:hideMark/>
          </w:tcPr>
          <w:p w14:paraId="63165791" w14:textId="77777777" w:rsidR="00126D8D" w:rsidRPr="00EF6679" w:rsidRDefault="00126D8D" w:rsidP="00820288">
            <w:pPr>
              <w:spacing w:line="240" w:lineRule="auto"/>
              <w:jc w:val="center"/>
              <w:rPr>
                <w:rFonts w:ascii="Times New Roman" w:eastAsia="Times New Roman" w:hAnsi="Times New Roman" w:cs="Times New Roman"/>
                <w:color w:val="000000" w:themeColor="text1"/>
                <w:sz w:val="18"/>
                <w:szCs w:val="18"/>
              </w:rPr>
            </w:pPr>
            <w:r w:rsidRPr="00EF6679">
              <w:rPr>
                <w:rFonts w:ascii="Times New Roman" w:hAnsi="Times New Roman" w:cs="Times New Roman"/>
                <w:color w:val="000000"/>
                <w:sz w:val="18"/>
                <w:szCs w:val="18"/>
              </w:rPr>
              <w:t>15.51</w:t>
            </w:r>
          </w:p>
        </w:tc>
        <w:tc>
          <w:tcPr>
            <w:tcW w:w="839" w:type="dxa"/>
            <w:tcBorders>
              <w:top w:val="nil"/>
              <w:left w:val="nil"/>
              <w:bottom w:val="nil"/>
              <w:right w:val="nil"/>
            </w:tcBorders>
            <w:noWrap/>
            <w:vAlign w:val="bottom"/>
            <w:hideMark/>
          </w:tcPr>
          <w:p w14:paraId="6B2A39B4" w14:textId="77777777" w:rsidR="00126D8D" w:rsidRPr="00EF6679" w:rsidRDefault="00126D8D" w:rsidP="00820288">
            <w:pPr>
              <w:spacing w:line="240" w:lineRule="auto"/>
              <w:jc w:val="center"/>
              <w:rPr>
                <w:rFonts w:ascii="Times New Roman" w:eastAsia="Times New Roman" w:hAnsi="Times New Roman" w:cs="Times New Roman"/>
                <w:color w:val="000000" w:themeColor="text1"/>
                <w:sz w:val="18"/>
                <w:szCs w:val="18"/>
              </w:rPr>
            </w:pPr>
            <w:r w:rsidRPr="00EF6679">
              <w:rPr>
                <w:rFonts w:ascii="Times New Roman" w:hAnsi="Times New Roman" w:cs="Times New Roman"/>
                <w:color w:val="000000"/>
                <w:sz w:val="18"/>
                <w:szCs w:val="18"/>
              </w:rPr>
              <w:t>9.00</w:t>
            </w:r>
          </w:p>
        </w:tc>
        <w:tc>
          <w:tcPr>
            <w:tcW w:w="1182" w:type="dxa"/>
            <w:tcBorders>
              <w:top w:val="nil"/>
              <w:left w:val="nil"/>
              <w:bottom w:val="nil"/>
              <w:right w:val="nil"/>
            </w:tcBorders>
            <w:noWrap/>
            <w:vAlign w:val="bottom"/>
            <w:hideMark/>
          </w:tcPr>
          <w:p w14:paraId="4DF49B09" w14:textId="77777777" w:rsidR="00126D8D" w:rsidRPr="00EF6679" w:rsidRDefault="00126D8D" w:rsidP="00820288">
            <w:pPr>
              <w:spacing w:line="240" w:lineRule="auto"/>
              <w:jc w:val="center"/>
              <w:rPr>
                <w:rFonts w:ascii="Times New Roman" w:eastAsia="Times New Roman" w:hAnsi="Times New Roman" w:cs="Times New Roman"/>
                <w:color w:val="000000" w:themeColor="text1"/>
                <w:sz w:val="18"/>
                <w:szCs w:val="18"/>
              </w:rPr>
            </w:pPr>
            <w:r w:rsidRPr="00EF6679">
              <w:rPr>
                <w:rFonts w:ascii="Times New Roman" w:hAnsi="Times New Roman" w:cs="Times New Roman"/>
                <w:color w:val="000000"/>
                <w:sz w:val="18"/>
                <w:szCs w:val="18"/>
              </w:rPr>
              <w:t>1.74</w:t>
            </w:r>
          </w:p>
        </w:tc>
        <w:tc>
          <w:tcPr>
            <w:tcW w:w="303" w:type="dxa"/>
            <w:tcBorders>
              <w:top w:val="nil"/>
              <w:left w:val="nil"/>
              <w:bottom w:val="nil"/>
              <w:right w:val="nil"/>
            </w:tcBorders>
            <w:noWrap/>
          </w:tcPr>
          <w:p w14:paraId="3BEC90CC" w14:textId="77777777" w:rsidR="00126D8D" w:rsidRPr="00EF6679" w:rsidRDefault="00126D8D" w:rsidP="00820288">
            <w:pPr>
              <w:spacing w:line="240" w:lineRule="auto"/>
              <w:jc w:val="right"/>
              <w:rPr>
                <w:rFonts w:ascii="Times New Roman" w:eastAsia="Times New Roman" w:hAnsi="Times New Roman" w:cs="Times New Roman"/>
                <w:color w:val="000000" w:themeColor="text1"/>
                <w:sz w:val="18"/>
                <w:szCs w:val="18"/>
              </w:rPr>
            </w:pPr>
          </w:p>
        </w:tc>
        <w:tc>
          <w:tcPr>
            <w:tcW w:w="1007" w:type="dxa"/>
            <w:tcBorders>
              <w:top w:val="nil"/>
              <w:left w:val="nil"/>
              <w:bottom w:val="nil"/>
              <w:right w:val="nil"/>
            </w:tcBorders>
            <w:noWrap/>
            <w:vAlign w:val="bottom"/>
            <w:hideMark/>
          </w:tcPr>
          <w:p w14:paraId="7D7BA47E" w14:textId="77777777" w:rsidR="00126D8D" w:rsidRPr="00EF6679" w:rsidRDefault="00126D8D" w:rsidP="00820288">
            <w:pPr>
              <w:spacing w:line="240" w:lineRule="auto"/>
              <w:jc w:val="center"/>
              <w:rPr>
                <w:rFonts w:ascii="Times New Roman" w:eastAsia="Times New Roman" w:hAnsi="Times New Roman" w:cs="Times New Roman"/>
                <w:color w:val="000000" w:themeColor="text1"/>
                <w:sz w:val="18"/>
                <w:szCs w:val="18"/>
              </w:rPr>
            </w:pPr>
            <w:r w:rsidRPr="00EF6679">
              <w:rPr>
                <w:rFonts w:ascii="Times New Roman" w:hAnsi="Times New Roman" w:cs="Times New Roman"/>
                <w:color w:val="000000"/>
                <w:sz w:val="18"/>
                <w:szCs w:val="18"/>
              </w:rPr>
              <w:t>0.0001</w:t>
            </w:r>
          </w:p>
        </w:tc>
        <w:tc>
          <w:tcPr>
            <w:tcW w:w="839" w:type="dxa"/>
            <w:tcBorders>
              <w:top w:val="nil"/>
              <w:left w:val="nil"/>
              <w:bottom w:val="nil"/>
              <w:right w:val="nil"/>
            </w:tcBorders>
            <w:noWrap/>
            <w:vAlign w:val="bottom"/>
            <w:hideMark/>
          </w:tcPr>
          <w:p w14:paraId="0B62736F" w14:textId="77777777" w:rsidR="00126D8D" w:rsidRPr="00EF6679" w:rsidRDefault="00126D8D" w:rsidP="00820288">
            <w:pPr>
              <w:spacing w:line="240" w:lineRule="auto"/>
              <w:jc w:val="center"/>
              <w:rPr>
                <w:rFonts w:ascii="Times New Roman" w:eastAsia="Times New Roman" w:hAnsi="Times New Roman" w:cs="Times New Roman"/>
                <w:color w:val="000000" w:themeColor="text1"/>
                <w:sz w:val="18"/>
                <w:szCs w:val="18"/>
              </w:rPr>
            </w:pPr>
            <w:r w:rsidRPr="00EF6679">
              <w:rPr>
                <w:rFonts w:ascii="Times New Roman" w:hAnsi="Times New Roman" w:cs="Times New Roman"/>
                <w:color w:val="000000"/>
                <w:sz w:val="18"/>
                <w:szCs w:val="18"/>
              </w:rPr>
              <w:t xml:space="preserve">≤0.0001 </w:t>
            </w:r>
          </w:p>
        </w:tc>
        <w:tc>
          <w:tcPr>
            <w:tcW w:w="1271" w:type="dxa"/>
            <w:tcBorders>
              <w:top w:val="nil"/>
              <w:left w:val="nil"/>
              <w:bottom w:val="nil"/>
              <w:right w:val="nil"/>
            </w:tcBorders>
            <w:noWrap/>
            <w:vAlign w:val="bottom"/>
            <w:hideMark/>
          </w:tcPr>
          <w:p w14:paraId="5AF30DF6" w14:textId="77777777" w:rsidR="00126D8D" w:rsidRPr="00EF6679" w:rsidRDefault="00126D8D" w:rsidP="00820288">
            <w:pPr>
              <w:spacing w:line="240" w:lineRule="auto"/>
              <w:jc w:val="center"/>
              <w:rPr>
                <w:rFonts w:ascii="Times New Roman" w:eastAsia="Times New Roman" w:hAnsi="Times New Roman" w:cs="Times New Roman"/>
                <w:color w:val="000000" w:themeColor="text1"/>
                <w:sz w:val="18"/>
                <w:szCs w:val="18"/>
              </w:rPr>
            </w:pPr>
            <w:r w:rsidRPr="00EF6679">
              <w:rPr>
                <w:rFonts w:ascii="Times New Roman" w:hAnsi="Times New Roman" w:cs="Times New Roman"/>
                <w:color w:val="000000"/>
                <w:sz w:val="18"/>
                <w:szCs w:val="18"/>
              </w:rPr>
              <w:t>0.0732</w:t>
            </w:r>
          </w:p>
        </w:tc>
      </w:tr>
      <w:tr w:rsidR="00126D8D" w:rsidRPr="00EF6679" w14:paraId="37DB5B03" w14:textId="77777777" w:rsidTr="00820288">
        <w:tblPrEx>
          <w:jc w:val="lef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trHeight w:val="167"/>
        </w:trPr>
        <w:tc>
          <w:tcPr>
            <w:tcW w:w="2732" w:type="dxa"/>
            <w:tcBorders>
              <w:top w:val="nil"/>
              <w:left w:val="nil"/>
              <w:bottom w:val="nil"/>
              <w:right w:val="nil"/>
            </w:tcBorders>
            <w:noWrap/>
            <w:vAlign w:val="bottom"/>
            <w:hideMark/>
          </w:tcPr>
          <w:p w14:paraId="6E769C7A" w14:textId="77777777" w:rsidR="00126D8D" w:rsidRPr="00EF6679" w:rsidRDefault="00126D8D" w:rsidP="00820288">
            <w:pPr>
              <w:spacing w:line="240" w:lineRule="auto"/>
              <w:rPr>
                <w:rFonts w:ascii="Times New Roman" w:eastAsia="Times New Roman" w:hAnsi="Times New Roman" w:cs="Times New Roman"/>
                <w:color w:val="000000" w:themeColor="text1"/>
                <w:sz w:val="18"/>
                <w:szCs w:val="18"/>
              </w:rPr>
            </w:pPr>
            <w:r w:rsidRPr="00EF6679">
              <w:rPr>
                <w:rFonts w:ascii="Times New Roman" w:hAnsi="Times New Roman" w:cs="Times New Roman"/>
                <w:color w:val="000000"/>
                <w:sz w:val="18"/>
                <w:szCs w:val="18"/>
              </w:rPr>
              <w:t>Iron</w:t>
            </w:r>
          </w:p>
        </w:tc>
        <w:tc>
          <w:tcPr>
            <w:tcW w:w="1007" w:type="dxa"/>
            <w:tcBorders>
              <w:top w:val="nil"/>
              <w:left w:val="nil"/>
              <w:bottom w:val="nil"/>
              <w:right w:val="nil"/>
            </w:tcBorders>
            <w:noWrap/>
            <w:vAlign w:val="bottom"/>
            <w:hideMark/>
          </w:tcPr>
          <w:p w14:paraId="575DEB75" w14:textId="77777777" w:rsidR="00126D8D" w:rsidRPr="00EF6679" w:rsidRDefault="00126D8D" w:rsidP="00820288">
            <w:pPr>
              <w:spacing w:line="240" w:lineRule="auto"/>
              <w:jc w:val="center"/>
              <w:rPr>
                <w:rFonts w:ascii="Times New Roman" w:eastAsia="Times New Roman" w:hAnsi="Times New Roman" w:cs="Times New Roman"/>
                <w:color w:val="000000" w:themeColor="text1"/>
                <w:sz w:val="18"/>
                <w:szCs w:val="18"/>
              </w:rPr>
            </w:pPr>
            <w:r w:rsidRPr="00EF6679">
              <w:rPr>
                <w:rFonts w:ascii="Times New Roman" w:hAnsi="Times New Roman" w:cs="Times New Roman"/>
                <w:color w:val="000000"/>
                <w:sz w:val="18"/>
                <w:szCs w:val="18"/>
              </w:rPr>
              <w:t>43.40</w:t>
            </w:r>
          </w:p>
        </w:tc>
        <w:tc>
          <w:tcPr>
            <w:tcW w:w="839" w:type="dxa"/>
            <w:tcBorders>
              <w:top w:val="nil"/>
              <w:left w:val="nil"/>
              <w:bottom w:val="nil"/>
              <w:right w:val="nil"/>
            </w:tcBorders>
            <w:noWrap/>
            <w:vAlign w:val="bottom"/>
            <w:hideMark/>
          </w:tcPr>
          <w:p w14:paraId="491EBA26" w14:textId="77777777" w:rsidR="00126D8D" w:rsidRPr="00EF6679" w:rsidRDefault="00126D8D" w:rsidP="00820288">
            <w:pPr>
              <w:spacing w:line="240" w:lineRule="auto"/>
              <w:jc w:val="center"/>
              <w:rPr>
                <w:rFonts w:ascii="Times New Roman" w:eastAsia="Times New Roman" w:hAnsi="Times New Roman" w:cs="Times New Roman"/>
                <w:color w:val="000000" w:themeColor="text1"/>
                <w:sz w:val="18"/>
                <w:szCs w:val="18"/>
              </w:rPr>
            </w:pPr>
            <w:r w:rsidRPr="00EF6679">
              <w:rPr>
                <w:rFonts w:ascii="Times New Roman" w:hAnsi="Times New Roman" w:cs="Times New Roman"/>
                <w:color w:val="000000"/>
                <w:sz w:val="18"/>
                <w:szCs w:val="18"/>
              </w:rPr>
              <w:t>8.46</w:t>
            </w:r>
          </w:p>
        </w:tc>
        <w:tc>
          <w:tcPr>
            <w:tcW w:w="1182" w:type="dxa"/>
            <w:tcBorders>
              <w:top w:val="nil"/>
              <w:left w:val="nil"/>
              <w:bottom w:val="nil"/>
              <w:right w:val="nil"/>
            </w:tcBorders>
            <w:noWrap/>
            <w:vAlign w:val="bottom"/>
            <w:hideMark/>
          </w:tcPr>
          <w:p w14:paraId="3AD82B0E" w14:textId="77777777" w:rsidR="00126D8D" w:rsidRPr="00EF6679" w:rsidRDefault="00126D8D" w:rsidP="00820288">
            <w:pPr>
              <w:spacing w:line="240" w:lineRule="auto"/>
              <w:jc w:val="center"/>
              <w:rPr>
                <w:rFonts w:ascii="Times New Roman" w:eastAsia="Times New Roman" w:hAnsi="Times New Roman" w:cs="Times New Roman"/>
                <w:color w:val="000000" w:themeColor="text1"/>
                <w:sz w:val="18"/>
                <w:szCs w:val="18"/>
              </w:rPr>
            </w:pPr>
            <w:r w:rsidRPr="00EF6679">
              <w:rPr>
                <w:rFonts w:ascii="Times New Roman" w:hAnsi="Times New Roman" w:cs="Times New Roman"/>
                <w:color w:val="000000"/>
                <w:sz w:val="18"/>
                <w:szCs w:val="18"/>
              </w:rPr>
              <w:t>2.57</w:t>
            </w:r>
          </w:p>
        </w:tc>
        <w:tc>
          <w:tcPr>
            <w:tcW w:w="303" w:type="dxa"/>
            <w:tcBorders>
              <w:top w:val="nil"/>
              <w:left w:val="nil"/>
              <w:bottom w:val="nil"/>
              <w:right w:val="nil"/>
            </w:tcBorders>
            <w:noWrap/>
          </w:tcPr>
          <w:p w14:paraId="11F89D78" w14:textId="77777777" w:rsidR="00126D8D" w:rsidRPr="00EF6679" w:rsidRDefault="00126D8D" w:rsidP="00820288">
            <w:pPr>
              <w:spacing w:line="240" w:lineRule="auto"/>
              <w:jc w:val="right"/>
              <w:rPr>
                <w:rFonts w:ascii="Times New Roman" w:eastAsia="Times New Roman" w:hAnsi="Times New Roman" w:cs="Times New Roman"/>
                <w:color w:val="000000" w:themeColor="text1"/>
                <w:sz w:val="18"/>
                <w:szCs w:val="18"/>
              </w:rPr>
            </w:pPr>
          </w:p>
        </w:tc>
        <w:tc>
          <w:tcPr>
            <w:tcW w:w="1007" w:type="dxa"/>
            <w:tcBorders>
              <w:top w:val="nil"/>
              <w:left w:val="nil"/>
              <w:bottom w:val="nil"/>
              <w:right w:val="nil"/>
            </w:tcBorders>
            <w:noWrap/>
            <w:vAlign w:val="bottom"/>
            <w:hideMark/>
          </w:tcPr>
          <w:p w14:paraId="09BDAEDB" w14:textId="77777777" w:rsidR="00126D8D" w:rsidRPr="00EF6679" w:rsidRDefault="00126D8D" w:rsidP="00820288">
            <w:pPr>
              <w:spacing w:line="240" w:lineRule="auto"/>
              <w:jc w:val="center"/>
              <w:rPr>
                <w:rFonts w:ascii="Times New Roman" w:eastAsia="Times New Roman" w:hAnsi="Times New Roman" w:cs="Times New Roman"/>
                <w:color w:val="000000" w:themeColor="text1"/>
                <w:sz w:val="18"/>
                <w:szCs w:val="18"/>
              </w:rPr>
            </w:pPr>
            <w:r w:rsidRPr="00EF6679">
              <w:rPr>
                <w:rFonts w:ascii="Times New Roman" w:hAnsi="Times New Roman" w:cs="Times New Roman"/>
                <w:color w:val="000000"/>
                <w:sz w:val="18"/>
                <w:szCs w:val="18"/>
              </w:rPr>
              <w:t xml:space="preserve">≤0.0001 </w:t>
            </w:r>
          </w:p>
        </w:tc>
        <w:tc>
          <w:tcPr>
            <w:tcW w:w="839" w:type="dxa"/>
            <w:tcBorders>
              <w:top w:val="nil"/>
              <w:left w:val="nil"/>
              <w:bottom w:val="nil"/>
              <w:right w:val="nil"/>
            </w:tcBorders>
            <w:noWrap/>
            <w:vAlign w:val="bottom"/>
            <w:hideMark/>
          </w:tcPr>
          <w:p w14:paraId="4CE9CC1E" w14:textId="77777777" w:rsidR="00126D8D" w:rsidRPr="00EF6679" w:rsidRDefault="00126D8D" w:rsidP="00820288">
            <w:pPr>
              <w:spacing w:line="240" w:lineRule="auto"/>
              <w:jc w:val="center"/>
              <w:rPr>
                <w:rFonts w:ascii="Times New Roman" w:eastAsia="Times New Roman" w:hAnsi="Times New Roman" w:cs="Times New Roman"/>
                <w:color w:val="000000" w:themeColor="text1"/>
                <w:sz w:val="18"/>
                <w:szCs w:val="18"/>
              </w:rPr>
            </w:pPr>
            <w:r w:rsidRPr="00EF6679">
              <w:rPr>
                <w:rFonts w:ascii="Times New Roman" w:hAnsi="Times New Roman" w:cs="Times New Roman"/>
                <w:color w:val="000000"/>
                <w:sz w:val="18"/>
                <w:szCs w:val="18"/>
              </w:rPr>
              <w:t xml:space="preserve">≤0.0001 </w:t>
            </w:r>
          </w:p>
        </w:tc>
        <w:tc>
          <w:tcPr>
            <w:tcW w:w="1271" w:type="dxa"/>
            <w:tcBorders>
              <w:top w:val="nil"/>
              <w:left w:val="nil"/>
              <w:bottom w:val="nil"/>
              <w:right w:val="nil"/>
            </w:tcBorders>
            <w:noWrap/>
            <w:vAlign w:val="bottom"/>
            <w:hideMark/>
          </w:tcPr>
          <w:p w14:paraId="40487C75" w14:textId="77777777" w:rsidR="00126D8D" w:rsidRPr="00EF6679" w:rsidRDefault="00126D8D" w:rsidP="00820288">
            <w:pPr>
              <w:spacing w:line="240" w:lineRule="auto"/>
              <w:jc w:val="center"/>
              <w:rPr>
                <w:rFonts w:ascii="Times New Roman" w:eastAsia="Times New Roman" w:hAnsi="Times New Roman" w:cs="Times New Roman"/>
                <w:color w:val="000000" w:themeColor="text1"/>
                <w:sz w:val="18"/>
                <w:szCs w:val="18"/>
              </w:rPr>
            </w:pPr>
            <w:r w:rsidRPr="00EF6679">
              <w:rPr>
                <w:rFonts w:ascii="Times New Roman" w:hAnsi="Times New Roman" w:cs="Times New Roman"/>
                <w:color w:val="000000"/>
                <w:sz w:val="18"/>
                <w:szCs w:val="18"/>
              </w:rPr>
              <w:t>0.0060</w:t>
            </w:r>
          </w:p>
        </w:tc>
      </w:tr>
      <w:tr w:rsidR="00126D8D" w:rsidRPr="00EF6679" w14:paraId="2D202325" w14:textId="77777777" w:rsidTr="00820288">
        <w:tblPrEx>
          <w:jc w:val="lef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trHeight w:val="167"/>
        </w:trPr>
        <w:tc>
          <w:tcPr>
            <w:tcW w:w="2732" w:type="dxa"/>
            <w:tcBorders>
              <w:top w:val="nil"/>
              <w:left w:val="nil"/>
              <w:bottom w:val="single" w:sz="4" w:space="0" w:color="auto"/>
              <w:right w:val="nil"/>
            </w:tcBorders>
            <w:noWrap/>
            <w:vAlign w:val="bottom"/>
            <w:hideMark/>
          </w:tcPr>
          <w:p w14:paraId="753F5901" w14:textId="77777777" w:rsidR="00126D8D" w:rsidRPr="00EF6679" w:rsidRDefault="00126D8D" w:rsidP="00820288">
            <w:pPr>
              <w:spacing w:line="240" w:lineRule="auto"/>
              <w:rPr>
                <w:rFonts w:ascii="Times New Roman" w:eastAsia="Times New Roman" w:hAnsi="Times New Roman" w:cs="Times New Roman"/>
                <w:color w:val="000000" w:themeColor="text1"/>
                <w:sz w:val="18"/>
                <w:szCs w:val="18"/>
              </w:rPr>
            </w:pPr>
            <w:r w:rsidRPr="00EF6679">
              <w:rPr>
                <w:rFonts w:ascii="Times New Roman" w:hAnsi="Times New Roman" w:cs="Times New Roman"/>
                <w:color w:val="000000"/>
                <w:sz w:val="18"/>
                <w:szCs w:val="18"/>
              </w:rPr>
              <w:t>Copper</w:t>
            </w:r>
          </w:p>
        </w:tc>
        <w:tc>
          <w:tcPr>
            <w:tcW w:w="1007" w:type="dxa"/>
            <w:tcBorders>
              <w:top w:val="nil"/>
              <w:left w:val="nil"/>
              <w:bottom w:val="single" w:sz="4" w:space="0" w:color="auto"/>
              <w:right w:val="nil"/>
            </w:tcBorders>
            <w:noWrap/>
            <w:vAlign w:val="bottom"/>
            <w:hideMark/>
          </w:tcPr>
          <w:p w14:paraId="1A46702E" w14:textId="77777777" w:rsidR="00126D8D" w:rsidRPr="00EF6679" w:rsidRDefault="00126D8D" w:rsidP="00820288">
            <w:pPr>
              <w:spacing w:line="240" w:lineRule="auto"/>
              <w:jc w:val="center"/>
              <w:rPr>
                <w:rFonts w:ascii="Times New Roman" w:eastAsia="Times New Roman" w:hAnsi="Times New Roman" w:cs="Times New Roman"/>
                <w:color w:val="000000" w:themeColor="text1"/>
                <w:sz w:val="18"/>
                <w:szCs w:val="18"/>
              </w:rPr>
            </w:pPr>
            <w:r w:rsidRPr="00EF6679">
              <w:rPr>
                <w:rFonts w:ascii="Times New Roman" w:hAnsi="Times New Roman" w:cs="Times New Roman"/>
                <w:color w:val="000000"/>
                <w:sz w:val="18"/>
                <w:szCs w:val="18"/>
              </w:rPr>
              <w:t>21.32</w:t>
            </w:r>
          </w:p>
        </w:tc>
        <w:tc>
          <w:tcPr>
            <w:tcW w:w="839" w:type="dxa"/>
            <w:tcBorders>
              <w:top w:val="nil"/>
              <w:left w:val="nil"/>
              <w:bottom w:val="single" w:sz="4" w:space="0" w:color="auto"/>
              <w:right w:val="nil"/>
            </w:tcBorders>
            <w:noWrap/>
            <w:vAlign w:val="bottom"/>
            <w:hideMark/>
          </w:tcPr>
          <w:p w14:paraId="1B4A4F15" w14:textId="77777777" w:rsidR="00126D8D" w:rsidRPr="00EF6679" w:rsidRDefault="00126D8D" w:rsidP="00820288">
            <w:pPr>
              <w:spacing w:line="240" w:lineRule="auto"/>
              <w:jc w:val="center"/>
              <w:rPr>
                <w:rFonts w:ascii="Times New Roman" w:eastAsia="Times New Roman" w:hAnsi="Times New Roman" w:cs="Times New Roman"/>
                <w:color w:val="000000" w:themeColor="text1"/>
                <w:sz w:val="18"/>
                <w:szCs w:val="18"/>
              </w:rPr>
            </w:pPr>
            <w:r w:rsidRPr="00EF6679">
              <w:rPr>
                <w:rFonts w:ascii="Times New Roman" w:hAnsi="Times New Roman" w:cs="Times New Roman"/>
                <w:color w:val="000000"/>
                <w:sz w:val="18"/>
                <w:szCs w:val="18"/>
              </w:rPr>
              <w:t>3.23</w:t>
            </w:r>
          </w:p>
        </w:tc>
        <w:tc>
          <w:tcPr>
            <w:tcW w:w="1182" w:type="dxa"/>
            <w:tcBorders>
              <w:top w:val="nil"/>
              <w:left w:val="nil"/>
              <w:bottom w:val="single" w:sz="4" w:space="0" w:color="auto"/>
              <w:right w:val="nil"/>
            </w:tcBorders>
            <w:noWrap/>
            <w:vAlign w:val="bottom"/>
            <w:hideMark/>
          </w:tcPr>
          <w:p w14:paraId="0CC89F37" w14:textId="77777777" w:rsidR="00126D8D" w:rsidRPr="00EF6679" w:rsidRDefault="00126D8D" w:rsidP="00820288">
            <w:pPr>
              <w:spacing w:line="240" w:lineRule="auto"/>
              <w:jc w:val="center"/>
              <w:rPr>
                <w:rFonts w:ascii="Times New Roman" w:eastAsia="Times New Roman" w:hAnsi="Times New Roman" w:cs="Times New Roman"/>
                <w:color w:val="000000" w:themeColor="text1"/>
                <w:sz w:val="18"/>
                <w:szCs w:val="18"/>
              </w:rPr>
            </w:pPr>
            <w:r w:rsidRPr="00EF6679">
              <w:rPr>
                <w:rFonts w:ascii="Times New Roman" w:hAnsi="Times New Roman" w:cs="Times New Roman"/>
                <w:color w:val="000000"/>
                <w:sz w:val="18"/>
                <w:szCs w:val="18"/>
              </w:rPr>
              <w:t>1.75</w:t>
            </w:r>
          </w:p>
        </w:tc>
        <w:tc>
          <w:tcPr>
            <w:tcW w:w="303" w:type="dxa"/>
            <w:tcBorders>
              <w:top w:val="nil"/>
              <w:left w:val="nil"/>
              <w:bottom w:val="single" w:sz="4" w:space="0" w:color="auto"/>
              <w:right w:val="nil"/>
            </w:tcBorders>
            <w:noWrap/>
          </w:tcPr>
          <w:p w14:paraId="0790B882" w14:textId="77777777" w:rsidR="00126D8D" w:rsidRPr="00EF6679" w:rsidRDefault="00126D8D" w:rsidP="00820288">
            <w:pPr>
              <w:spacing w:line="240" w:lineRule="auto"/>
              <w:jc w:val="right"/>
              <w:rPr>
                <w:rFonts w:ascii="Times New Roman" w:eastAsia="Times New Roman" w:hAnsi="Times New Roman" w:cs="Times New Roman"/>
                <w:color w:val="000000" w:themeColor="text1"/>
                <w:sz w:val="18"/>
                <w:szCs w:val="18"/>
              </w:rPr>
            </w:pPr>
          </w:p>
        </w:tc>
        <w:tc>
          <w:tcPr>
            <w:tcW w:w="1007" w:type="dxa"/>
            <w:tcBorders>
              <w:top w:val="nil"/>
              <w:left w:val="nil"/>
              <w:bottom w:val="single" w:sz="4" w:space="0" w:color="auto"/>
              <w:right w:val="nil"/>
            </w:tcBorders>
            <w:noWrap/>
            <w:vAlign w:val="bottom"/>
            <w:hideMark/>
          </w:tcPr>
          <w:p w14:paraId="5602F731" w14:textId="77777777" w:rsidR="00126D8D" w:rsidRPr="00EF6679" w:rsidRDefault="00126D8D" w:rsidP="00820288">
            <w:pPr>
              <w:spacing w:line="240" w:lineRule="auto"/>
              <w:jc w:val="center"/>
              <w:rPr>
                <w:rFonts w:ascii="Times New Roman" w:eastAsia="Times New Roman" w:hAnsi="Times New Roman" w:cs="Times New Roman"/>
                <w:color w:val="000000" w:themeColor="text1"/>
                <w:sz w:val="18"/>
                <w:szCs w:val="18"/>
              </w:rPr>
            </w:pPr>
            <w:r w:rsidRPr="00EF6679">
              <w:rPr>
                <w:rFonts w:ascii="Times New Roman" w:hAnsi="Times New Roman" w:cs="Times New Roman"/>
                <w:color w:val="000000"/>
                <w:sz w:val="18"/>
                <w:szCs w:val="18"/>
              </w:rPr>
              <w:t xml:space="preserve">≤0.0001 </w:t>
            </w:r>
          </w:p>
        </w:tc>
        <w:tc>
          <w:tcPr>
            <w:tcW w:w="839" w:type="dxa"/>
            <w:tcBorders>
              <w:top w:val="nil"/>
              <w:left w:val="nil"/>
              <w:bottom w:val="single" w:sz="4" w:space="0" w:color="auto"/>
              <w:right w:val="nil"/>
            </w:tcBorders>
            <w:noWrap/>
            <w:vAlign w:val="bottom"/>
            <w:hideMark/>
          </w:tcPr>
          <w:p w14:paraId="4AD1F3D5" w14:textId="77777777" w:rsidR="00126D8D" w:rsidRPr="00EF6679" w:rsidRDefault="00126D8D" w:rsidP="00820288">
            <w:pPr>
              <w:spacing w:line="240" w:lineRule="auto"/>
              <w:jc w:val="center"/>
              <w:rPr>
                <w:rFonts w:ascii="Times New Roman" w:eastAsia="Times New Roman" w:hAnsi="Times New Roman" w:cs="Times New Roman"/>
                <w:color w:val="000000" w:themeColor="text1"/>
                <w:sz w:val="18"/>
                <w:szCs w:val="18"/>
              </w:rPr>
            </w:pPr>
            <w:r w:rsidRPr="00EF6679">
              <w:rPr>
                <w:rFonts w:ascii="Times New Roman" w:hAnsi="Times New Roman" w:cs="Times New Roman"/>
                <w:color w:val="000000"/>
                <w:sz w:val="18"/>
                <w:szCs w:val="18"/>
              </w:rPr>
              <w:t>0.0007</w:t>
            </w:r>
          </w:p>
        </w:tc>
        <w:tc>
          <w:tcPr>
            <w:tcW w:w="1271" w:type="dxa"/>
            <w:tcBorders>
              <w:top w:val="nil"/>
              <w:left w:val="nil"/>
              <w:bottom w:val="single" w:sz="4" w:space="0" w:color="auto"/>
              <w:right w:val="nil"/>
            </w:tcBorders>
            <w:noWrap/>
            <w:vAlign w:val="bottom"/>
            <w:hideMark/>
          </w:tcPr>
          <w:p w14:paraId="738414D5" w14:textId="77777777" w:rsidR="00126D8D" w:rsidRPr="00EF6679" w:rsidRDefault="00126D8D" w:rsidP="00820288">
            <w:pPr>
              <w:spacing w:line="240" w:lineRule="auto"/>
              <w:jc w:val="center"/>
              <w:rPr>
                <w:rFonts w:ascii="Times New Roman" w:eastAsia="Times New Roman" w:hAnsi="Times New Roman" w:cs="Times New Roman"/>
                <w:color w:val="000000" w:themeColor="text1"/>
                <w:sz w:val="18"/>
                <w:szCs w:val="18"/>
              </w:rPr>
            </w:pPr>
            <w:r w:rsidRPr="00EF6679">
              <w:rPr>
                <w:rFonts w:ascii="Times New Roman" w:hAnsi="Times New Roman" w:cs="Times New Roman"/>
                <w:color w:val="000000"/>
                <w:sz w:val="18"/>
                <w:szCs w:val="18"/>
              </w:rPr>
              <w:t>0.0707</w:t>
            </w:r>
          </w:p>
        </w:tc>
      </w:tr>
    </w:tbl>
    <w:p w14:paraId="639683B7" w14:textId="77777777" w:rsidR="00A67B85" w:rsidRPr="00EF6679" w:rsidRDefault="00A67B85" w:rsidP="007F40F3">
      <w:pPr>
        <w:pStyle w:val="TableTOC"/>
        <w:rPr>
          <w:rFonts w:cs="Times New Roman"/>
          <w:b/>
        </w:rPr>
      </w:pPr>
      <w:bookmarkStart w:id="616" w:name="_Toc501658999"/>
    </w:p>
    <w:p w14:paraId="035DDDCC" w14:textId="77777777" w:rsidR="00A67B85" w:rsidRDefault="00A67B85" w:rsidP="007F40F3">
      <w:pPr>
        <w:pStyle w:val="TableTOC"/>
        <w:rPr>
          <w:b/>
        </w:rPr>
      </w:pPr>
    </w:p>
    <w:p w14:paraId="39344AD4" w14:textId="77777777" w:rsidR="00A67B85" w:rsidRDefault="00A67B85" w:rsidP="007F40F3">
      <w:pPr>
        <w:pStyle w:val="TableTOC"/>
        <w:rPr>
          <w:b/>
        </w:rPr>
      </w:pPr>
    </w:p>
    <w:p w14:paraId="12FA18F6" w14:textId="77777777" w:rsidR="00EF6679" w:rsidRDefault="00EF6679">
      <w:pPr>
        <w:spacing w:line="240" w:lineRule="auto"/>
        <w:rPr>
          <w:b/>
        </w:rPr>
      </w:pPr>
      <w:r>
        <w:rPr>
          <w:b/>
        </w:rPr>
        <w:br w:type="page"/>
      </w:r>
    </w:p>
    <w:p w14:paraId="6EC01FE1" w14:textId="7E54B6EA" w:rsidR="00126D8D" w:rsidRPr="00153415" w:rsidRDefault="00126D8D" w:rsidP="007F40F3">
      <w:pPr>
        <w:pStyle w:val="TableTOC"/>
        <w:rPr>
          <w:sz w:val="14"/>
          <w:szCs w:val="14"/>
        </w:rPr>
      </w:pPr>
      <w:bookmarkStart w:id="617" w:name="_Toc141478780"/>
      <w:r w:rsidRPr="00153415">
        <w:rPr>
          <w:b/>
        </w:rPr>
        <w:lastRenderedPageBreak/>
        <w:t xml:space="preserve">Table </w:t>
      </w:r>
      <w:r>
        <w:rPr>
          <w:b/>
        </w:rPr>
        <w:t>4.</w:t>
      </w:r>
      <w:r w:rsidRPr="00153415">
        <w:rPr>
          <w:b/>
        </w:rPr>
        <w:t>3.</w:t>
      </w:r>
      <w:r w:rsidRPr="00153415">
        <w:t xml:space="preserve"> Influence of season on macronutrient mineral </w:t>
      </w:r>
      <w:r w:rsidR="00E00E1F">
        <w:t xml:space="preserve">dry weight </w:t>
      </w:r>
      <w:r w:rsidRPr="00153415">
        <w:t>concentrations of hydroponically grown 'Genovese' basil (</w:t>
      </w:r>
      <w:r w:rsidRPr="00153415">
        <w:rPr>
          <w:i/>
        </w:rPr>
        <w:t>Ocimum basilicum</w:t>
      </w:r>
      <w:r w:rsidRPr="00153415">
        <w:t xml:space="preserve"> var. 'Genovese').</w:t>
      </w:r>
      <w:bookmarkEnd w:id="617"/>
      <w:r w:rsidRPr="00153415">
        <w:t xml:space="preserve"> </w:t>
      </w:r>
    </w:p>
    <w:p w14:paraId="5B93F9BE" w14:textId="77777777" w:rsidR="00126D8D" w:rsidRPr="00153415" w:rsidRDefault="00126D8D" w:rsidP="00DC4427">
      <w:pPr>
        <w:pStyle w:val="TableTOC"/>
        <w:ind w:right="1530"/>
        <w:jc w:val="both"/>
        <w:rPr>
          <w:rFonts w:cs="Times New Roman"/>
          <w:color w:val="000000" w:themeColor="text1"/>
        </w:rPr>
      </w:pPr>
    </w:p>
    <w:tbl>
      <w:tblPr>
        <w:tblW w:w="8905" w:type="dxa"/>
        <w:tblBorders>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Layout w:type="fixed"/>
        <w:tblLook w:val="06A0" w:firstRow="1" w:lastRow="0" w:firstColumn="1" w:lastColumn="0" w:noHBand="1" w:noVBand="1"/>
      </w:tblPr>
      <w:tblGrid>
        <w:gridCol w:w="1435"/>
        <w:gridCol w:w="1260"/>
        <w:gridCol w:w="1260"/>
        <w:gridCol w:w="1350"/>
        <w:gridCol w:w="1260"/>
        <w:gridCol w:w="1170"/>
        <w:gridCol w:w="1170"/>
      </w:tblGrid>
      <w:tr w:rsidR="00126D8D" w:rsidRPr="00153415" w14:paraId="0227A80B" w14:textId="77777777" w:rsidTr="00820288">
        <w:trPr>
          <w:trHeight w:val="288"/>
        </w:trPr>
        <w:tc>
          <w:tcPr>
            <w:tcW w:w="1435" w:type="dxa"/>
            <w:tcBorders>
              <w:top w:val="single" w:sz="12" w:space="0" w:color="000000" w:themeColor="text1"/>
              <w:bottom w:val="single" w:sz="12" w:space="0" w:color="000000" w:themeColor="text1"/>
            </w:tcBorders>
            <w:noWrap/>
            <w:vAlign w:val="center"/>
            <w:hideMark/>
          </w:tcPr>
          <w:p w14:paraId="56E0C35E" w14:textId="77777777" w:rsidR="00126D8D" w:rsidRPr="00153415" w:rsidRDefault="00126D8D" w:rsidP="00820288">
            <w:pPr>
              <w:spacing w:line="240" w:lineRule="auto"/>
              <w:rPr>
                <w:rFonts w:cs="Times New Roman"/>
                <w:b/>
                <w:bCs/>
                <w:color w:val="000000" w:themeColor="text1"/>
                <w:sz w:val="20"/>
                <w:szCs w:val="20"/>
              </w:rPr>
            </w:pPr>
            <w:r w:rsidRPr="00153415">
              <w:rPr>
                <w:rFonts w:cs="Times New Roman"/>
                <w:b/>
                <w:bCs/>
                <w:color w:val="000000" w:themeColor="text1"/>
                <w:sz w:val="20"/>
                <w:szCs w:val="20"/>
              </w:rPr>
              <w:t>Season</w:t>
            </w:r>
          </w:p>
        </w:tc>
        <w:tc>
          <w:tcPr>
            <w:tcW w:w="1260" w:type="dxa"/>
            <w:tcBorders>
              <w:top w:val="single" w:sz="12" w:space="0" w:color="000000" w:themeColor="text1"/>
              <w:bottom w:val="single" w:sz="12" w:space="0" w:color="000000" w:themeColor="text1"/>
            </w:tcBorders>
            <w:noWrap/>
            <w:vAlign w:val="center"/>
          </w:tcPr>
          <w:p w14:paraId="07B3C2B8" w14:textId="77777777" w:rsidR="00126D8D" w:rsidRPr="00153415" w:rsidRDefault="00126D8D" w:rsidP="00820288">
            <w:pPr>
              <w:spacing w:line="240" w:lineRule="auto"/>
              <w:rPr>
                <w:rFonts w:cs="Times New Roman"/>
                <w:color w:val="000000" w:themeColor="text1"/>
                <w:sz w:val="20"/>
                <w:szCs w:val="20"/>
              </w:rPr>
            </w:pPr>
            <w:r w:rsidRPr="00153415">
              <w:rPr>
                <w:rFonts w:cs="Times New Roman"/>
                <w:color w:val="000000" w:themeColor="text1"/>
                <w:sz w:val="20"/>
                <w:szCs w:val="20"/>
              </w:rPr>
              <w:t>N (%)</w:t>
            </w:r>
          </w:p>
        </w:tc>
        <w:tc>
          <w:tcPr>
            <w:tcW w:w="1260" w:type="dxa"/>
            <w:tcBorders>
              <w:top w:val="single" w:sz="12" w:space="0" w:color="000000" w:themeColor="text1"/>
              <w:bottom w:val="single" w:sz="12" w:space="0" w:color="000000" w:themeColor="text1"/>
            </w:tcBorders>
            <w:noWrap/>
            <w:vAlign w:val="center"/>
          </w:tcPr>
          <w:p w14:paraId="1641D0F5" w14:textId="77777777" w:rsidR="00126D8D" w:rsidRPr="00153415" w:rsidRDefault="00126D8D" w:rsidP="00820288">
            <w:pPr>
              <w:spacing w:line="240" w:lineRule="auto"/>
              <w:rPr>
                <w:rFonts w:cs="Times New Roman"/>
                <w:color w:val="000000" w:themeColor="text1"/>
                <w:sz w:val="20"/>
                <w:szCs w:val="20"/>
              </w:rPr>
            </w:pPr>
            <w:r w:rsidRPr="00153415">
              <w:rPr>
                <w:rFonts w:cs="Times New Roman"/>
                <w:color w:val="000000" w:themeColor="text1"/>
                <w:sz w:val="20"/>
                <w:szCs w:val="20"/>
              </w:rPr>
              <w:t>P (%)</w:t>
            </w:r>
          </w:p>
        </w:tc>
        <w:tc>
          <w:tcPr>
            <w:tcW w:w="1350" w:type="dxa"/>
            <w:tcBorders>
              <w:top w:val="single" w:sz="12" w:space="0" w:color="000000" w:themeColor="text1"/>
              <w:bottom w:val="single" w:sz="12" w:space="0" w:color="000000" w:themeColor="text1"/>
            </w:tcBorders>
            <w:noWrap/>
            <w:vAlign w:val="center"/>
          </w:tcPr>
          <w:p w14:paraId="75F9FEBF" w14:textId="77777777" w:rsidR="00126D8D" w:rsidRPr="00153415" w:rsidRDefault="00126D8D" w:rsidP="00820288">
            <w:pPr>
              <w:spacing w:line="240" w:lineRule="auto"/>
              <w:rPr>
                <w:rFonts w:cs="Times New Roman"/>
                <w:color w:val="000000" w:themeColor="text1"/>
                <w:sz w:val="20"/>
                <w:szCs w:val="20"/>
              </w:rPr>
            </w:pPr>
            <w:r w:rsidRPr="00153415">
              <w:rPr>
                <w:rFonts w:cs="Times New Roman"/>
                <w:color w:val="000000" w:themeColor="text1"/>
                <w:sz w:val="20"/>
                <w:szCs w:val="20"/>
              </w:rPr>
              <w:t>K (%)</w:t>
            </w:r>
          </w:p>
        </w:tc>
        <w:tc>
          <w:tcPr>
            <w:tcW w:w="1260" w:type="dxa"/>
            <w:tcBorders>
              <w:top w:val="single" w:sz="12" w:space="0" w:color="000000" w:themeColor="text1"/>
              <w:bottom w:val="single" w:sz="12" w:space="0" w:color="000000" w:themeColor="text1"/>
            </w:tcBorders>
            <w:noWrap/>
            <w:vAlign w:val="center"/>
          </w:tcPr>
          <w:p w14:paraId="12AEEAFD" w14:textId="77777777" w:rsidR="00126D8D" w:rsidRPr="00153415" w:rsidRDefault="00126D8D" w:rsidP="00820288">
            <w:pPr>
              <w:spacing w:line="240" w:lineRule="auto"/>
              <w:rPr>
                <w:rFonts w:cs="Times New Roman"/>
                <w:color w:val="000000" w:themeColor="text1"/>
                <w:sz w:val="20"/>
                <w:szCs w:val="20"/>
              </w:rPr>
            </w:pPr>
            <w:r w:rsidRPr="00153415">
              <w:rPr>
                <w:rFonts w:cs="Times New Roman"/>
                <w:color w:val="000000" w:themeColor="text1"/>
                <w:sz w:val="20"/>
                <w:szCs w:val="20"/>
              </w:rPr>
              <w:t>Mg (%)</w:t>
            </w:r>
          </w:p>
        </w:tc>
        <w:tc>
          <w:tcPr>
            <w:tcW w:w="1170" w:type="dxa"/>
            <w:tcBorders>
              <w:top w:val="single" w:sz="12" w:space="0" w:color="000000" w:themeColor="text1"/>
              <w:bottom w:val="single" w:sz="12" w:space="0" w:color="000000" w:themeColor="text1"/>
            </w:tcBorders>
            <w:noWrap/>
            <w:vAlign w:val="center"/>
          </w:tcPr>
          <w:p w14:paraId="5B799A4A" w14:textId="77777777" w:rsidR="00126D8D" w:rsidRPr="00153415" w:rsidRDefault="00126D8D" w:rsidP="00820288">
            <w:pPr>
              <w:spacing w:line="240" w:lineRule="auto"/>
              <w:rPr>
                <w:rFonts w:cs="Times New Roman"/>
                <w:color w:val="000000" w:themeColor="text1"/>
                <w:sz w:val="20"/>
                <w:szCs w:val="20"/>
              </w:rPr>
            </w:pPr>
            <w:r w:rsidRPr="00153415">
              <w:rPr>
                <w:rFonts w:cs="Times New Roman"/>
                <w:color w:val="000000" w:themeColor="text1"/>
                <w:sz w:val="20"/>
                <w:szCs w:val="20"/>
              </w:rPr>
              <w:t>Ca (%)</w:t>
            </w:r>
          </w:p>
        </w:tc>
        <w:tc>
          <w:tcPr>
            <w:tcW w:w="1170" w:type="dxa"/>
            <w:tcBorders>
              <w:top w:val="single" w:sz="12" w:space="0" w:color="000000" w:themeColor="text1"/>
              <w:bottom w:val="single" w:sz="12" w:space="0" w:color="000000" w:themeColor="text1"/>
            </w:tcBorders>
            <w:vAlign w:val="center"/>
          </w:tcPr>
          <w:p w14:paraId="6320F36E" w14:textId="77777777" w:rsidR="00126D8D" w:rsidRPr="00153415" w:rsidRDefault="00126D8D" w:rsidP="00820288">
            <w:pPr>
              <w:spacing w:line="240" w:lineRule="auto"/>
              <w:rPr>
                <w:rFonts w:cs="Times New Roman"/>
                <w:color w:val="000000" w:themeColor="text1"/>
                <w:sz w:val="20"/>
                <w:szCs w:val="20"/>
              </w:rPr>
            </w:pPr>
            <w:r w:rsidRPr="00153415">
              <w:rPr>
                <w:rFonts w:cs="Times New Roman"/>
                <w:color w:val="000000" w:themeColor="text1"/>
                <w:sz w:val="20"/>
                <w:szCs w:val="20"/>
              </w:rPr>
              <w:t>S (%)</w:t>
            </w:r>
          </w:p>
        </w:tc>
      </w:tr>
      <w:tr w:rsidR="00126D8D" w:rsidRPr="00153415" w14:paraId="12DDA558" w14:textId="77777777" w:rsidTr="00820288">
        <w:trPr>
          <w:trHeight w:val="288"/>
        </w:trPr>
        <w:tc>
          <w:tcPr>
            <w:tcW w:w="1435" w:type="dxa"/>
            <w:tcBorders>
              <w:top w:val="single" w:sz="12" w:space="0" w:color="000000" w:themeColor="text1"/>
              <w:left w:val="single" w:sz="2" w:space="0" w:color="FFFFFF" w:themeColor="background1"/>
              <w:bottom w:val="single" w:sz="2" w:space="0" w:color="FFFFFF" w:themeColor="background1"/>
              <w:right w:val="single" w:sz="2" w:space="0" w:color="FFFFFF" w:themeColor="background1"/>
            </w:tcBorders>
            <w:noWrap/>
            <w:vAlign w:val="center"/>
            <w:hideMark/>
          </w:tcPr>
          <w:p w14:paraId="466662BF" w14:textId="77777777" w:rsidR="00126D8D" w:rsidRPr="00153415" w:rsidRDefault="00126D8D" w:rsidP="00820288">
            <w:pPr>
              <w:spacing w:line="240" w:lineRule="auto"/>
              <w:rPr>
                <w:rFonts w:cs="Times New Roman"/>
                <w:color w:val="000000" w:themeColor="text1"/>
                <w:sz w:val="20"/>
                <w:szCs w:val="20"/>
              </w:rPr>
            </w:pPr>
            <w:r w:rsidRPr="00153415">
              <w:rPr>
                <w:rFonts w:cs="Times New Roman"/>
                <w:color w:val="000000" w:themeColor="text1"/>
                <w:sz w:val="20"/>
                <w:szCs w:val="20"/>
              </w:rPr>
              <w:t>Summer</w:t>
            </w:r>
          </w:p>
        </w:tc>
        <w:tc>
          <w:tcPr>
            <w:tcW w:w="1260" w:type="dxa"/>
            <w:tcBorders>
              <w:top w:val="single" w:sz="12" w:space="0" w:color="000000" w:themeColor="text1"/>
              <w:left w:val="single" w:sz="2" w:space="0" w:color="FFFFFF" w:themeColor="background1"/>
              <w:bottom w:val="single" w:sz="2" w:space="0" w:color="FFFFFF" w:themeColor="background1"/>
              <w:right w:val="single" w:sz="2" w:space="0" w:color="FFFFFF" w:themeColor="background1"/>
            </w:tcBorders>
            <w:noWrap/>
            <w:vAlign w:val="bottom"/>
            <w:hideMark/>
          </w:tcPr>
          <w:p w14:paraId="60E70E6E" w14:textId="77777777" w:rsidR="00126D8D" w:rsidRPr="00153415" w:rsidRDefault="00126D8D" w:rsidP="00820288">
            <w:pPr>
              <w:spacing w:line="240" w:lineRule="auto"/>
              <w:rPr>
                <w:rFonts w:cs="Times New Roman"/>
                <w:color w:val="000000" w:themeColor="text1"/>
                <w:sz w:val="20"/>
                <w:szCs w:val="20"/>
                <w:vertAlign w:val="superscript"/>
              </w:rPr>
            </w:pPr>
            <w:r w:rsidRPr="00153415">
              <w:rPr>
                <w:rFonts w:cs="Times New Roman"/>
                <w:color w:val="000000"/>
                <w:sz w:val="20"/>
                <w:szCs w:val="20"/>
              </w:rPr>
              <w:t>5.37</w:t>
            </w:r>
            <w:r w:rsidRPr="00153415">
              <w:rPr>
                <w:rFonts w:cs="Times New Roman"/>
                <w:color w:val="000000"/>
                <w:sz w:val="20"/>
                <w:szCs w:val="20"/>
                <w:vertAlign w:val="superscript"/>
              </w:rPr>
              <w:t>a</w:t>
            </w:r>
          </w:p>
        </w:tc>
        <w:tc>
          <w:tcPr>
            <w:tcW w:w="1260" w:type="dxa"/>
            <w:tcBorders>
              <w:top w:val="single" w:sz="12" w:space="0" w:color="000000" w:themeColor="text1"/>
              <w:left w:val="single" w:sz="2" w:space="0" w:color="FFFFFF" w:themeColor="background1"/>
              <w:bottom w:val="single" w:sz="2" w:space="0" w:color="FFFFFF" w:themeColor="background1"/>
              <w:right w:val="single" w:sz="2" w:space="0" w:color="FFFFFF" w:themeColor="background1"/>
            </w:tcBorders>
            <w:noWrap/>
            <w:vAlign w:val="bottom"/>
            <w:hideMark/>
          </w:tcPr>
          <w:p w14:paraId="1B218906" w14:textId="77777777" w:rsidR="00126D8D" w:rsidRPr="00153415" w:rsidRDefault="00126D8D" w:rsidP="00820288">
            <w:pPr>
              <w:spacing w:line="240" w:lineRule="auto"/>
              <w:rPr>
                <w:rFonts w:cs="Times New Roman"/>
                <w:color w:val="000000" w:themeColor="text1"/>
                <w:sz w:val="20"/>
                <w:szCs w:val="20"/>
                <w:vertAlign w:val="superscript"/>
              </w:rPr>
            </w:pPr>
            <w:r w:rsidRPr="00153415">
              <w:rPr>
                <w:rFonts w:cs="Times New Roman"/>
                <w:color w:val="000000"/>
                <w:sz w:val="20"/>
                <w:szCs w:val="20"/>
              </w:rPr>
              <w:t>0.92</w:t>
            </w:r>
            <w:r w:rsidRPr="00153415">
              <w:rPr>
                <w:rFonts w:cs="Times New Roman"/>
                <w:color w:val="000000"/>
                <w:sz w:val="20"/>
                <w:szCs w:val="20"/>
                <w:vertAlign w:val="superscript"/>
              </w:rPr>
              <w:t>a</w:t>
            </w:r>
          </w:p>
        </w:tc>
        <w:tc>
          <w:tcPr>
            <w:tcW w:w="1350" w:type="dxa"/>
            <w:tcBorders>
              <w:top w:val="single" w:sz="12" w:space="0" w:color="000000" w:themeColor="text1"/>
              <w:left w:val="single" w:sz="2" w:space="0" w:color="FFFFFF" w:themeColor="background1"/>
              <w:bottom w:val="single" w:sz="2" w:space="0" w:color="FFFFFF" w:themeColor="background1"/>
              <w:right w:val="single" w:sz="2" w:space="0" w:color="FFFFFF" w:themeColor="background1"/>
            </w:tcBorders>
            <w:noWrap/>
            <w:vAlign w:val="bottom"/>
            <w:hideMark/>
          </w:tcPr>
          <w:p w14:paraId="709276B4" w14:textId="77777777" w:rsidR="00126D8D" w:rsidRPr="00153415" w:rsidRDefault="00126D8D" w:rsidP="00820288">
            <w:pPr>
              <w:spacing w:line="240" w:lineRule="auto"/>
              <w:rPr>
                <w:rFonts w:cs="Times New Roman"/>
                <w:color w:val="000000" w:themeColor="text1"/>
                <w:sz w:val="20"/>
                <w:szCs w:val="20"/>
                <w:vertAlign w:val="superscript"/>
              </w:rPr>
            </w:pPr>
            <w:r w:rsidRPr="00153415">
              <w:rPr>
                <w:rFonts w:cs="Times New Roman"/>
                <w:color w:val="000000"/>
                <w:sz w:val="20"/>
                <w:szCs w:val="20"/>
              </w:rPr>
              <w:t>5.69</w:t>
            </w:r>
            <w:r w:rsidRPr="00153415">
              <w:rPr>
                <w:rFonts w:cs="Times New Roman"/>
                <w:color w:val="000000"/>
                <w:sz w:val="20"/>
                <w:szCs w:val="20"/>
                <w:vertAlign w:val="superscript"/>
              </w:rPr>
              <w:t>a</w:t>
            </w:r>
          </w:p>
        </w:tc>
        <w:tc>
          <w:tcPr>
            <w:tcW w:w="1260" w:type="dxa"/>
            <w:tcBorders>
              <w:top w:val="single" w:sz="12" w:space="0" w:color="000000" w:themeColor="text1"/>
              <w:left w:val="single" w:sz="2" w:space="0" w:color="FFFFFF" w:themeColor="background1"/>
              <w:bottom w:val="single" w:sz="2" w:space="0" w:color="FFFFFF" w:themeColor="background1"/>
              <w:right w:val="single" w:sz="2" w:space="0" w:color="FFFFFF" w:themeColor="background1"/>
            </w:tcBorders>
            <w:noWrap/>
            <w:vAlign w:val="bottom"/>
            <w:hideMark/>
          </w:tcPr>
          <w:p w14:paraId="3DE0DB31" w14:textId="77777777" w:rsidR="00126D8D" w:rsidRPr="00153415" w:rsidRDefault="00126D8D" w:rsidP="00820288">
            <w:pPr>
              <w:spacing w:line="240" w:lineRule="auto"/>
              <w:rPr>
                <w:rFonts w:cs="Times New Roman"/>
                <w:color w:val="000000" w:themeColor="text1"/>
                <w:sz w:val="20"/>
                <w:szCs w:val="20"/>
                <w:vertAlign w:val="superscript"/>
              </w:rPr>
            </w:pPr>
            <w:r w:rsidRPr="00153415">
              <w:rPr>
                <w:rFonts w:cs="Times New Roman"/>
                <w:color w:val="000000"/>
                <w:sz w:val="20"/>
                <w:szCs w:val="20"/>
              </w:rPr>
              <w:t>0.70</w:t>
            </w:r>
            <w:r w:rsidRPr="00153415">
              <w:rPr>
                <w:rFonts w:cs="Times New Roman"/>
                <w:color w:val="000000"/>
                <w:sz w:val="20"/>
                <w:szCs w:val="20"/>
                <w:vertAlign w:val="superscript"/>
              </w:rPr>
              <w:t>b</w:t>
            </w:r>
          </w:p>
        </w:tc>
        <w:tc>
          <w:tcPr>
            <w:tcW w:w="1170" w:type="dxa"/>
            <w:tcBorders>
              <w:top w:val="single" w:sz="12" w:space="0" w:color="000000" w:themeColor="text1"/>
              <w:left w:val="single" w:sz="2" w:space="0" w:color="FFFFFF" w:themeColor="background1"/>
              <w:bottom w:val="single" w:sz="2" w:space="0" w:color="FFFFFF" w:themeColor="background1"/>
              <w:right w:val="single" w:sz="2" w:space="0" w:color="FFFFFF" w:themeColor="background1"/>
            </w:tcBorders>
            <w:noWrap/>
            <w:vAlign w:val="bottom"/>
            <w:hideMark/>
          </w:tcPr>
          <w:p w14:paraId="7645ADC1" w14:textId="77777777" w:rsidR="00126D8D" w:rsidRPr="00153415" w:rsidRDefault="00126D8D" w:rsidP="00820288">
            <w:pPr>
              <w:spacing w:line="240" w:lineRule="auto"/>
              <w:rPr>
                <w:rFonts w:cs="Times New Roman"/>
                <w:color w:val="000000" w:themeColor="text1"/>
                <w:sz w:val="20"/>
                <w:szCs w:val="20"/>
                <w:vertAlign w:val="superscript"/>
              </w:rPr>
            </w:pPr>
            <w:r w:rsidRPr="00153415">
              <w:rPr>
                <w:rFonts w:cs="Times New Roman"/>
                <w:color w:val="000000"/>
                <w:sz w:val="20"/>
                <w:szCs w:val="20"/>
              </w:rPr>
              <w:t>3.06</w:t>
            </w:r>
            <w:r w:rsidRPr="00153415">
              <w:rPr>
                <w:rFonts w:cs="Times New Roman"/>
                <w:color w:val="000000"/>
                <w:sz w:val="20"/>
                <w:szCs w:val="20"/>
                <w:vertAlign w:val="superscript"/>
              </w:rPr>
              <w:t>b</w:t>
            </w:r>
          </w:p>
        </w:tc>
        <w:tc>
          <w:tcPr>
            <w:tcW w:w="1170" w:type="dxa"/>
            <w:tcBorders>
              <w:top w:val="single" w:sz="12" w:space="0" w:color="000000" w:themeColor="text1"/>
              <w:left w:val="single" w:sz="2" w:space="0" w:color="FFFFFF" w:themeColor="background1"/>
              <w:bottom w:val="single" w:sz="2" w:space="0" w:color="FFFFFF" w:themeColor="background1"/>
              <w:right w:val="single" w:sz="2" w:space="0" w:color="FFFFFF" w:themeColor="background1"/>
            </w:tcBorders>
            <w:vAlign w:val="bottom"/>
          </w:tcPr>
          <w:p w14:paraId="6A27C5D6" w14:textId="77777777" w:rsidR="00126D8D" w:rsidRPr="00153415" w:rsidRDefault="00126D8D" w:rsidP="00820288">
            <w:pPr>
              <w:spacing w:line="240" w:lineRule="auto"/>
              <w:rPr>
                <w:rFonts w:cs="Times New Roman"/>
                <w:color w:val="000000" w:themeColor="text1"/>
                <w:sz w:val="20"/>
                <w:szCs w:val="20"/>
              </w:rPr>
            </w:pPr>
            <w:r w:rsidRPr="00153415">
              <w:rPr>
                <w:rFonts w:cs="Times New Roman"/>
                <w:color w:val="000000"/>
                <w:sz w:val="20"/>
                <w:szCs w:val="20"/>
              </w:rPr>
              <w:t>0.46</w:t>
            </w:r>
            <w:r w:rsidRPr="00153415">
              <w:rPr>
                <w:rFonts w:cs="Times New Roman"/>
                <w:color w:val="000000"/>
                <w:sz w:val="20"/>
                <w:szCs w:val="20"/>
                <w:vertAlign w:val="superscript"/>
              </w:rPr>
              <w:t>a</w:t>
            </w:r>
          </w:p>
        </w:tc>
      </w:tr>
      <w:tr w:rsidR="00126D8D" w:rsidRPr="00153415" w14:paraId="4FF5786D" w14:textId="77777777" w:rsidTr="00820288">
        <w:trPr>
          <w:trHeight w:val="288"/>
        </w:trPr>
        <w:tc>
          <w:tcPr>
            <w:tcW w:w="1435" w:type="dxa"/>
            <w:tcBorders>
              <w:top w:val="single" w:sz="2" w:space="0" w:color="FFFFFF" w:themeColor="background1"/>
              <w:left w:val="single" w:sz="2" w:space="0" w:color="FFFFFF" w:themeColor="background1"/>
              <w:bottom w:val="single" w:sz="4" w:space="0" w:color="auto"/>
              <w:right w:val="single" w:sz="2" w:space="0" w:color="FFFFFF" w:themeColor="background1"/>
            </w:tcBorders>
            <w:noWrap/>
            <w:vAlign w:val="center"/>
            <w:hideMark/>
          </w:tcPr>
          <w:p w14:paraId="5C1CEB72" w14:textId="77777777" w:rsidR="00126D8D" w:rsidRPr="00153415" w:rsidRDefault="00126D8D" w:rsidP="00820288">
            <w:pPr>
              <w:spacing w:line="240" w:lineRule="auto"/>
              <w:rPr>
                <w:rFonts w:cs="Times New Roman"/>
                <w:color w:val="000000" w:themeColor="text1"/>
                <w:sz w:val="20"/>
                <w:szCs w:val="20"/>
              </w:rPr>
            </w:pPr>
            <w:r w:rsidRPr="00153415">
              <w:rPr>
                <w:rFonts w:cs="Times New Roman"/>
                <w:color w:val="000000" w:themeColor="text1"/>
                <w:sz w:val="20"/>
                <w:szCs w:val="20"/>
              </w:rPr>
              <w:t>Winter</w:t>
            </w:r>
          </w:p>
        </w:tc>
        <w:tc>
          <w:tcPr>
            <w:tcW w:w="1260" w:type="dxa"/>
            <w:tcBorders>
              <w:top w:val="single" w:sz="2" w:space="0" w:color="FFFFFF" w:themeColor="background1"/>
              <w:left w:val="single" w:sz="2" w:space="0" w:color="FFFFFF" w:themeColor="background1"/>
              <w:bottom w:val="single" w:sz="4" w:space="0" w:color="auto"/>
              <w:right w:val="single" w:sz="2" w:space="0" w:color="FFFFFF" w:themeColor="background1"/>
            </w:tcBorders>
            <w:noWrap/>
            <w:vAlign w:val="bottom"/>
            <w:hideMark/>
          </w:tcPr>
          <w:p w14:paraId="5C816362" w14:textId="77777777" w:rsidR="00126D8D" w:rsidRPr="00153415" w:rsidRDefault="00126D8D" w:rsidP="00820288">
            <w:pPr>
              <w:spacing w:line="240" w:lineRule="auto"/>
              <w:rPr>
                <w:rFonts w:cs="Times New Roman"/>
                <w:color w:val="000000" w:themeColor="text1"/>
                <w:sz w:val="20"/>
                <w:szCs w:val="20"/>
                <w:vertAlign w:val="superscript"/>
              </w:rPr>
            </w:pPr>
            <w:r w:rsidRPr="00153415">
              <w:rPr>
                <w:rFonts w:cs="Times New Roman"/>
                <w:color w:val="000000"/>
                <w:sz w:val="20"/>
                <w:szCs w:val="20"/>
              </w:rPr>
              <w:t>4.98</w:t>
            </w:r>
            <w:r w:rsidRPr="00153415">
              <w:rPr>
                <w:rFonts w:cs="Times New Roman"/>
                <w:color w:val="000000"/>
                <w:sz w:val="20"/>
                <w:szCs w:val="20"/>
                <w:vertAlign w:val="superscript"/>
              </w:rPr>
              <w:t>b</w:t>
            </w:r>
          </w:p>
        </w:tc>
        <w:tc>
          <w:tcPr>
            <w:tcW w:w="1260" w:type="dxa"/>
            <w:tcBorders>
              <w:top w:val="single" w:sz="2" w:space="0" w:color="FFFFFF" w:themeColor="background1"/>
              <w:left w:val="single" w:sz="2" w:space="0" w:color="FFFFFF" w:themeColor="background1"/>
              <w:bottom w:val="single" w:sz="4" w:space="0" w:color="auto"/>
              <w:right w:val="single" w:sz="2" w:space="0" w:color="FFFFFF" w:themeColor="background1"/>
            </w:tcBorders>
            <w:noWrap/>
            <w:vAlign w:val="bottom"/>
            <w:hideMark/>
          </w:tcPr>
          <w:p w14:paraId="6ACE80D0" w14:textId="77777777" w:rsidR="00126D8D" w:rsidRPr="00153415" w:rsidRDefault="00126D8D" w:rsidP="00820288">
            <w:pPr>
              <w:spacing w:line="240" w:lineRule="auto"/>
              <w:rPr>
                <w:rFonts w:cs="Times New Roman"/>
                <w:color w:val="000000" w:themeColor="text1"/>
                <w:sz w:val="20"/>
                <w:szCs w:val="20"/>
                <w:vertAlign w:val="superscript"/>
              </w:rPr>
            </w:pPr>
            <w:r w:rsidRPr="00153415">
              <w:rPr>
                <w:rFonts w:cs="Times New Roman"/>
                <w:color w:val="000000"/>
                <w:sz w:val="20"/>
                <w:szCs w:val="20"/>
              </w:rPr>
              <w:t>0.89</w:t>
            </w:r>
            <w:r w:rsidRPr="00153415">
              <w:rPr>
                <w:rFonts w:cs="Times New Roman"/>
                <w:color w:val="000000"/>
                <w:sz w:val="20"/>
                <w:szCs w:val="20"/>
                <w:vertAlign w:val="superscript"/>
              </w:rPr>
              <w:t>a</w:t>
            </w:r>
          </w:p>
        </w:tc>
        <w:tc>
          <w:tcPr>
            <w:tcW w:w="1350" w:type="dxa"/>
            <w:tcBorders>
              <w:top w:val="single" w:sz="2" w:space="0" w:color="FFFFFF" w:themeColor="background1"/>
              <w:left w:val="single" w:sz="2" w:space="0" w:color="FFFFFF" w:themeColor="background1"/>
              <w:bottom w:val="single" w:sz="4" w:space="0" w:color="auto"/>
              <w:right w:val="single" w:sz="2" w:space="0" w:color="FFFFFF" w:themeColor="background1"/>
            </w:tcBorders>
            <w:noWrap/>
            <w:vAlign w:val="bottom"/>
            <w:hideMark/>
          </w:tcPr>
          <w:p w14:paraId="0F30A014" w14:textId="77777777" w:rsidR="00126D8D" w:rsidRPr="00153415" w:rsidRDefault="00126D8D" w:rsidP="00820288">
            <w:pPr>
              <w:spacing w:line="240" w:lineRule="auto"/>
              <w:rPr>
                <w:rFonts w:cs="Times New Roman"/>
                <w:color w:val="000000" w:themeColor="text1"/>
                <w:sz w:val="20"/>
                <w:szCs w:val="20"/>
                <w:vertAlign w:val="superscript"/>
              </w:rPr>
            </w:pPr>
            <w:r w:rsidRPr="00153415">
              <w:rPr>
                <w:rFonts w:cs="Times New Roman"/>
                <w:color w:val="000000"/>
                <w:sz w:val="20"/>
                <w:szCs w:val="20"/>
              </w:rPr>
              <w:t>4.68</w:t>
            </w:r>
            <w:r w:rsidRPr="00153415">
              <w:rPr>
                <w:rFonts w:cs="Times New Roman"/>
                <w:color w:val="000000"/>
                <w:sz w:val="20"/>
                <w:szCs w:val="20"/>
                <w:vertAlign w:val="superscript"/>
              </w:rPr>
              <w:t>b</w:t>
            </w:r>
          </w:p>
        </w:tc>
        <w:tc>
          <w:tcPr>
            <w:tcW w:w="1260" w:type="dxa"/>
            <w:tcBorders>
              <w:top w:val="single" w:sz="2" w:space="0" w:color="FFFFFF" w:themeColor="background1"/>
              <w:left w:val="single" w:sz="2" w:space="0" w:color="FFFFFF" w:themeColor="background1"/>
              <w:bottom w:val="single" w:sz="4" w:space="0" w:color="auto"/>
              <w:right w:val="single" w:sz="2" w:space="0" w:color="FFFFFF" w:themeColor="background1"/>
            </w:tcBorders>
            <w:noWrap/>
            <w:vAlign w:val="bottom"/>
            <w:hideMark/>
          </w:tcPr>
          <w:p w14:paraId="5779E420" w14:textId="77777777" w:rsidR="00126D8D" w:rsidRPr="00153415" w:rsidRDefault="00126D8D" w:rsidP="00820288">
            <w:pPr>
              <w:spacing w:line="240" w:lineRule="auto"/>
              <w:rPr>
                <w:rFonts w:cs="Times New Roman"/>
                <w:color w:val="000000" w:themeColor="text1"/>
                <w:sz w:val="20"/>
                <w:szCs w:val="20"/>
                <w:vertAlign w:val="superscript"/>
              </w:rPr>
            </w:pPr>
            <w:r w:rsidRPr="00153415">
              <w:rPr>
                <w:rFonts w:cs="Times New Roman"/>
                <w:color w:val="000000"/>
                <w:sz w:val="20"/>
                <w:szCs w:val="20"/>
              </w:rPr>
              <w:t>0.73</w:t>
            </w:r>
            <w:r w:rsidRPr="00153415">
              <w:rPr>
                <w:rFonts w:cs="Times New Roman"/>
                <w:color w:val="000000"/>
                <w:sz w:val="20"/>
                <w:szCs w:val="20"/>
                <w:vertAlign w:val="superscript"/>
              </w:rPr>
              <w:t>a</w:t>
            </w:r>
          </w:p>
        </w:tc>
        <w:tc>
          <w:tcPr>
            <w:tcW w:w="1170" w:type="dxa"/>
            <w:tcBorders>
              <w:top w:val="single" w:sz="2" w:space="0" w:color="FFFFFF" w:themeColor="background1"/>
              <w:left w:val="single" w:sz="2" w:space="0" w:color="FFFFFF" w:themeColor="background1"/>
              <w:bottom w:val="single" w:sz="4" w:space="0" w:color="auto"/>
              <w:right w:val="single" w:sz="2" w:space="0" w:color="FFFFFF" w:themeColor="background1"/>
            </w:tcBorders>
            <w:noWrap/>
            <w:vAlign w:val="bottom"/>
            <w:hideMark/>
          </w:tcPr>
          <w:p w14:paraId="7A3176B0" w14:textId="77777777" w:rsidR="00126D8D" w:rsidRPr="00153415" w:rsidRDefault="00126D8D" w:rsidP="00820288">
            <w:pPr>
              <w:spacing w:line="240" w:lineRule="auto"/>
              <w:rPr>
                <w:rFonts w:cs="Times New Roman"/>
                <w:color w:val="000000" w:themeColor="text1"/>
                <w:sz w:val="20"/>
                <w:szCs w:val="20"/>
                <w:vertAlign w:val="superscript"/>
              </w:rPr>
            </w:pPr>
            <w:r w:rsidRPr="00153415">
              <w:rPr>
                <w:rFonts w:cs="Times New Roman"/>
                <w:color w:val="000000"/>
                <w:sz w:val="20"/>
                <w:szCs w:val="20"/>
              </w:rPr>
              <w:t>3.30</w:t>
            </w:r>
            <w:r w:rsidRPr="00153415">
              <w:rPr>
                <w:rFonts w:cs="Times New Roman"/>
                <w:color w:val="000000"/>
                <w:sz w:val="20"/>
                <w:szCs w:val="20"/>
                <w:vertAlign w:val="superscript"/>
              </w:rPr>
              <w:t>a</w:t>
            </w:r>
          </w:p>
        </w:tc>
        <w:tc>
          <w:tcPr>
            <w:tcW w:w="1170" w:type="dxa"/>
            <w:tcBorders>
              <w:top w:val="single" w:sz="2" w:space="0" w:color="FFFFFF" w:themeColor="background1"/>
              <w:left w:val="single" w:sz="2" w:space="0" w:color="FFFFFF" w:themeColor="background1"/>
              <w:bottom w:val="single" w:sz="4" w:space="0" w:color="auto"/>
              <w:right w:val="single" w:sz="2" w:space="0" w:color="FFFFFF" w:themeColor="background1"/>
            </w:tcBorders>
            <w:vAlign w:val="bottom"/>
          </w:tcPr>
          <w:p w14:paraId="56A340B0" w14:textId="77777777" w:rsidR="00126D8D" w:rsidRPr="00153415" w:rsidRDefault="00126D8D" w:rsidP="00820288">
            <w:pPr>
              <w:spacing w:line="240" w:lineRule="auto"/>
              <w:rPr>
                <w:rFonts w:cs="Times New Roman"/>
                <w:color w:val="000000" w:themeColor="text1"/>
                <w:sz w:val="20"/>
                <w:szCs w:val="20"/>
              </w:rPr>
            </w:pPr>
            <w:r w:rsidRPr="00153415">
              <w:rPr>
                <w:rFonts w:cs="Times New Roman"/>
                <w:color w:val="000000"/>
                <w:sz w:val="20"/>
                <w:szCs w:val="20"/>
              </w:rPr>
              <w:t>0.44</w:t>
            </w:r>
            <w:r w:rsidRPr="00153415">
              <w:rPr>
                <w:rFonts w:cs="Times New Roman"/>
                <w:color w:val="000000"/>
                <w:sz w:val="20"/>
                <w:szCs w:val="20"/>
                <w:vertAlign w:val="superscript"/>
              </w:rPr>
              <w:t>a</w:t>
            </w:r>
          </w:p>
        </w:tc>
      </w:tr>
    </w:tbl>
    <w:p w14:paraId="1719DB4C" w14:textId="77777777" w:rsidR="00126D8D" w:rsidRPr="00153415" w:rsidRDefault="00126D8D" w:rsidP="00DC4427">
      <w:pPr>
        <w:spacing w:line="240" w:lineRule="auto"/>
        <w:rPr>
          <w:rStyle w:val="CommentReference"/>
          <w:rFonts w:cs="Times New Roman"/>
          <w:color w:val="000000" w:themeColor="text1"/>
        </w:rPr>
      </w:pPr>
      <w:r w:rsidRPr="00153415">
        <w:rPr>
          <w:rFonts w:cs="Times New Roman"/>
          <w:color w:val="000000" w:themeColor="text1"/>
        </w:rPr>
        <w:t xml:space="preserve">*All concentrations are presented in percent </w:t>
      </w:r>
      <w:r>
        <w:rPr>
          <w:rFonts w:cs="Times New Roman"/>
          <w:color w:val="000000" w:themeColor="text1"/>
        </w:rPr>
        <w:t xml:space="preserve">of </w:t>
      </w:r>
      <w:r w:rsidRPr="00153415">
        <w:rPr>
          <w:rFonts w:cs="Times New Roman"/>
          <w:color w:val="000000" w:themeColor="text1"/>
        </w:rPr>
        <w:t>dry weight (%). Mean values represent 2 plants per replication and 6 replications per treatment. Values were analyzed using Tukey's (protected) HSD, and those followed by the same letter are not significantly different (α=0.05).</w:t>
      </w:r>
    </w:p>
    <w:p w14:paraId="55FEA316" w14:textId="77777777" w:rsidR="00126D8D" w:rsidRPr="00153415" w:rsidRDefault="00126D8D" w:rsidP="00DC4427">
      <w:pPr>
        <w:spacing w:line="240" w:lineRule="auto"/>
        <w:rPr>
          <w:rFonts w:cs="Times New Roman"/>
          <w:b/>
          <w:color w:val="000000" w:themeColor="text1"/>
        </w:rPr>
      </w:pPr>
    </w:p>
    <w:p w14:paraId="23709B24" w14:textId="77777777" w:rsidR="00A67B85" w:rsidRDefault="00A67B85" w:rsidP="007F40F3">
      <w:pPr>
        <w:pStyle w:val="TableTOC"/>
        <w:rPr>
          <w:b/>
        </w:rPr>
      </w:pPr>
    </w:p>
    <w:p w14:paraId="48BD627D" w14:textId="77777777" w:rsidR="00EF6679" w:rsidRDefault="00EF6679">
      <w:pPr>
        <w:spacing w:line="240" w:lineRule="auto"/>
        <w:rPr>
          <w:b/>
        </w:rPr>
      </w:pPr>
      <w:r>
        <w:rPr>
          <w:b/>
        </w:rPr>
        <w:br w:type="page"/>
      </w:r>
    </w:p>
    <w:p w14:paraId="24C370D7" w14:textId="1F9C42DA" w:rsidR="00126D8D" w:rsidRPr="00153415" w:rsidRDefault="00126D8D" w:rsidP="007F40F3">
      <w:pPr>
        <w:pStyle w:val="TableTOC"/>
        <w:rPr>
          <w:sz w:val="14"/>
          <w:szCs w:val="14"/>
        </w:rPr>
      </w:pPr>
      <w:bookmarkStart w:id="618" w:name="_Toc141478781"/>
      <w:r w:rsidRPr="00153415">
        <w:rPr>
          <w:b/>
        </w:rPr>
        <w:lastRenderedPageBreak/>
        <w:t xml:space="preserve">Table </w:t>
      </w:r>
      <w:r>
        <w:rPr>
          <w:b/>
        </w:rPr>
        <w:t>4.</w:t>
      </w:r>
      <w:r w:rsidRPr="00153415">
        <w:rPr>
          <w:b/>
        </w:rPr>
        <w:t>4.</w:t>
      </w:r>
      <w:r w:rsidRPr="00153415">
        <w:t xml:space="preserve"> Influence of season on micronutrient mineral </w:t>
      </w:r>
      <w:r w:rsidR="00E00E1F">
        <w:t xml:space="preserve">dry weight </w:t>
      </w:r>
      <w:r w:rsidRPr="00153415">
        <w:t>concentrations of hydroponically grown 'Genovese' basil (</w:t>
      </w:r>
      <w:r w:rsidRPr="00153415">
        <w:rPr>
          <w:i/>
        </w:rPr>
        <w:t>Ocimum basilicum</w:t>
      </w:r>
      <w:r w:rsidRPr="00153415">
        <w:t xml:space="preserve"> var. 'Genovese').</w:t>
      </w:r>
      <w:bookmarkEnd w:id="618"/>
      <w:r w:rsidRPr="00153415">
        <w:t xml:space="preserve"> </w:t>
      </w:r>
    </w:p>
    <w:p w14:paraId="78CCA685" w14:textId="77777777" w:rsidR="00126D8D" w:rsidRPr="00153415" w:rsidRDefault="00126D8D" w:rsidP="00DC4427">
      <w:pPr>
        <w:pStyle w:val="TableTOC"/>
        <w:ind w:right="1530"/>
        <w:jc w:val="both"/>
        <w:rPr>
          <w:rFonts w:cs="Times New Roman"/>
          <w:color w:val="000000" w:themeColor="text1"/>
        </w:rPr>
      </w:pPr>
    </w:p>
    <w:tbl>
      <w:tblPr>
        <w:tblW w:w="7735" w:type="dxa"/>
        <w:tblBorders>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Layout w:type="fixed"/>
        <w:tblLook w:val="06A0" w:firstRow="1" w:lastRow="0" w:firstColumn="1" w:lastColumn="0" w:noHBand="1" w:noVBand="1"/>
      </w:tblPr>
      <w:tblGrid>
        <w:gridCol w:w="1435"/>
        <w:gridCol w:w="1260"/>
        <w:gridCol w:w="1260"/>
        <w:gridCol w:w="1350"/>
        <w:gridCol w:w="1260"/>
        <w:gridCol w:w="1170"/>
      </w:tblGrid>
      <w:tr w:rsidR="00126D8D" w:rsidRPr="00153415" w14:paraId="5D2C8A66" w14:textId="77777777" w:rsidTr="00820288">
        <w:trPr>
          <w:trHeight w:val="288"/>
        </w:trPr>
        <w:tc>
          <w:tcPr>
            <w:tcW w:w="1435" w:type="dxa"/>
            <w:tcBorders>
              <w:top w:val="single" w:sz="12" w:space="0" w:color="000000" w:themeColor="text1"/>
              <w:bottom w:val="single" w:sz="12" w:space="0" w:color="000000" w:themeColor="text1"/>
            </w:tcBorders>
            <w:noWrap/>
            <w:vAlign w:val="center"/>
            <w:hideMark/>
          </w:tcPr>
          <w:p w14:paraId="5E1D21EB" w14:textId="77777777" w:rsidR="00126D8D" w:rsidRPr="00153415" w:rsidRDefault="00126D8D" w:rsidP="00820288">
            <w:pPr>
              <w:spacing w:line="240" w:lineRule="auto"/>
              <w:rPr>
                <w:rFonts w:cs="Times New Roman"/>
                <w:b/>
                <w:bCs/>
                <w:color w:val="000000" w:themeColor="text1"/>
                <w:sz w:val="20"/>
                <w:szCs w:val="20"/>
              </w:rPr>
            </w:pPr>
            <w:r w:rsidRPr="00153415">
              <w:rPr>
                <w:rFonts w:cs="Times New Roman"/>
                <w:b/>
                <w:bCs/>
                <w:color w:val="000000" w:themeColor="text1"/>
                <w:sz w:val="20"/>
                <w:szCs w:val="20"/>
              </w:rPr>
              <w:t>Season</w:t>
            </w:r>
          </w:p>
        </w:tc>
        <w:tc>
          <w:tcPr>
            <w:tcW w:w="1260" w:type="dxa"/>
            <w:tcBorders>
              <w:top w:val="single" w:sz="12" w:space="0" w:color="000000" w:themeColor="text1"/>
              <w:bottom w:val="single" w:sz="12" w:space="0" w:color="000000" w:themeColor="text1"/>
            </w:tcBorders>
            <w:noWrap/>
            <w:vAlign w:val="center"/>
          </w:tcPr>
          <w:p w14:paraId="1EAB19E7" w14:textId="77777777" w:rsidR="00126D8D" w:rsidRPr="00153415" w:rsidRDefault="00126D8D" w:rsidP="00820288">
            <w:pPr>
              <w:spacing w:line="240" w:lineRule="auto"/>
              <w:rPr>
                <w:rFonts w:cs="Times New Roman"/>
                <w:color w:val="000000" w:themeColor="text1"/>
                <w:sz w:val="20"/>
                <w:szCs w:val="20"/>
              </w:rPr>
            </w:pPr>
            <w:r w:rsidRPr="00153415">
              <w:rPr>
                <w:rFonts w:cs="Times New Roman"/>
                <w:color w:val="000000" w:themeColor="text1"/>
                <w:sz w:val="20"/>
                <w:szCs w:val="20"/>
              </w:rPr>
              <w:t>B (ppm)</w:t>
            </w:r>
          </w:p>
        </w:tc>
        <w:tc>
          <w:tcPr>
            <w:tcW w:w="1260" w:type="dxa"/>
            <w:tcBorders>
              <w:top w:val="single" w:sz="12" w:space="0" w:color="000000" w:themeColor="text1"/>
              <w:bottom w:val="single" w:sz="12" w:space="0" w:color="000000" w:themeColor="text1"/>
            </w:tcBorders>
            <w:noWrap/>
            <w:vAlign w:val="center"/>
          </w:tcPr>
          <w:p w14:paraId="250D6B1E" w14:textId="77777777" w:rsidR="00126D8D" w:rsidRPr="00153415" w:rsidRDefault="00126D8D" w:rsidP="00820288">
            <w:pPr>
              <w:spacing w:line="240" w:lineRule="auto"/>
              <w:rPr>
                <w:rFonts w:cs="Times New Roman"/>
                <w:color w:val="000000" w:themeColor="text1"/>
                <w:sz w:val="20"/>
                <w:szCs w:val="20"/>
              </w:rPr>
            </w:pPr>
            <w:r w:rsidRPr="00153415">
              <w:rPr>
                <w:rFonts w:cs="Times New Roman"/>
                <w:color w:val="000000" w:themeColor="text1"/>
                <w:sz w:val="20"/>
                <w:szCs w:val="20"/>
              </w:rPr>
              <w:t>Zn (ppm)</w:t>
            </w:r>
          </w:p>
        </w:tc>
        <w:tc>
          <w:tcPr>
            <w:tcW w:w="1350" w:type="dxa"/>
            <w:tcBorders>
              <w:top w:val="single" w:sz="12" w:space="0" w:color="000000" w:themeColor="text1"/>
              <w:bottom w:val="single" w:sz="12" w:space="0" w:color="000000" w:themeColor="text1"/>
            </w:tcBorders>
            <w:noWrap/>
            <w:vAlign w:val="center"/>
          </w:tcPr>
          <w:p w14:paraId="0ED31A38" w14:textId="77777777" w:rsidR="00126D8D" w:rsidRPr="00153415" w:rsidRDefault="00126D8D" w:rsidP="00820288">
            <w:pPr>
              <w:spacing w:line="240" w:lineRule="auto"/>
              <w:rPr>
                <w:rFonts w:cs="Times New Roman"/>
                <w:color w:val="000000" w:themeColor="text1"/>
                <w:sz w:val="20"/>
                <w:szCs w:val="20"/>
              </w:rPr>
            </w:pPr>
            <w:r w:rsidRPr="00153415">
              <w:rPr>
                <w:rFonts w:cs="Times New Roman"/>
                <w:color w:val="000000" w:themeColor="text1"/>
                <w:sz w:val="20"/>
                <w:szCs w:val="20"/>
              </w:rPr>
              <w:t>Mn (ppm)</w:t>
            </w:r>
          </w:p>
        </w:tc>
        <w:tc>
          <w:tcPr>
            <w:tcW w:w="1260" w:type="dxa"/>
            <w:tcBorders>
              <w:top w:val="single" w:sz="12" w:space="0" w:color="000000" w:themeColor="text1"/>
              <w:bottom w:val="single" w:sz="12" w:space="0" w:color="000000" w:themeColor="text1"/>
            </w:tcBorders>
            <w:noWrap/>
            <w:vAlign w:val="center"/>
          </w:tcPr>
          <w:p w14:paraId="53A19249" w14:textId="77777777" w:rsidR="00126D8D" w:rsidRPr="00153415" w:rsidRDefault="00126D8D" w:rsidP="00820288">
            <w:pPr>
              <w:spacing w:line="240" w:lineRule="auto"/>
              <w:rPr>
                <w:rFonts w:cs="Times New Roman"/>
                <w:color w:val="000000" w:themeColor="text1"/>
                <w:sz w:val="20"/>
                <w:szCs w:val="20"/>
              </w:rPr>
            </w:pPr>
            <w:r w:rsidRPr="00153415">
              <w:rPr>
                <w:rFonts w:cs="Times New Roman"/>
                <w:color w:val="000000" w:themeColor="text1"/>
                <w:sz w:val="20"/>
                <w:szCs w:val="20"/>
              </w:rPr>
              <w:t>Fe (ppm)</w:t>
            </w:r>
          </w:p>
        </w:tc>
        <w:tc>
          <w:tcPr>
            <w:tcW w:w="1170" w:type="dxa"/>
            <w:tcBorders>
              <w:top w:val="single" w:sz="12" w:space="0" w:color="000000" w:themeColor="text1"/>
              <w:bottom w:val="single" w:sz="12" w:space="0" w:color="000000" w:themeColor="text1"/>
            </w:tcBorders>
            <w:noWrap/>
            <w:vAlign w:val="center"/>
          </w:tcPr>
          <w:p w14:paraId="7875E058" w14:textId="77777777" w:rsidR="00126D8D" w:rsidRPr="00153415" w:rsidRDefault="00126D8D" w:rsidP="00820288">
            <w:pPr>
              <w:spacing w:line="240" w:lineRule="auto"/>
              <w:rPr>
                <w:rFonts w:cs="Times New Roman"/>
                <w:color w:val="000000" w:themeColor="text1"/>
                <w:sz w:val="20"/>
                <w:szCs w:val="20"/>
              </w:rPr>
            </w:pPr>
            <w:r w:rsidRPr="00153415">
              <w:rPr>
                <w:rFonts w:cs="Times New Roman"/>
                <w:color w:val="000000" w:themeColor="text1"/>
                <w:sz w:val="20"/>
                <w:szCs w:val="20"/>
              </w:rPr>
              <w:t>Cu (ppm)</w:t>
            </w:r>
          </w:p>
        </w:tc>
      </w:tr>
      <w:tr w:rsidR="00126D8D" w:rsidRPr="00153415" w14:paraId="4388123F" w14:textId="77777777" w:rsidTr="00820288">
        <w:trPr>
          <w:trHeight w:val="288"/>
        </w:trPr>
        <w:tc>
          <w:tcPr>
            <w:tcW w:w="1435" w:type="dxa"/>
            <w:tcBorders>
              <w:top w:val="single" w:sz="12" w:space="0" w:color="000000" w:themeColor="text1"/>
              <w:left w:val="single" w:sz="2" w:space="0" w:color="FFFFFF" w:themeColor="background1"/>
              <w:bottom w:val="single" w:sz="2" w:space="0" w:color="FFFFFF" w:themeColor="background1"/>
              <w:right w:val="single" w:sz="2" w:space="0" w:color="FFFFFF" w:themeColor="background1"/>
            </w:tcBorders>
            <w:noWrap/>
            <w:vAlign w:val="center"/>
            <w:hideMark/>
          </w:tcPr>
          <w:p w14:paraId="10C663C4" w14:textId="77777777" w:rsidR="00126D8D" w:rsidRPr="00153415" w:rsidRDefault="00126D8D" w:rsidP="00820288">
            <w:pPr>
              <w:spacing w:line="240" w:lineRule="auto"/>
              <w:rPr>
                <w:rFonts w:cs="Times New Roman"/>
                <w:color w:val="000000" w:themeColor="text1"/>
                <w:sz w:val="20"/>
                <w:szCs w:val="20"/>
              </w:rPr>
            </w:pPr>
            <w:r w:rsidRPr="00153415">
              <w:rPr>
                <w:rFonts w:cs="Times New Roman"/>
                <w:color w:val="000000" w:themeColor="text1"/>
                <w:sz w:val="20"/>
                <w:szCs w:val="20"/>
              </w:rPr>
              <w:t>Summer</w:t>
            </w:r>
          </w:p>
        </w:tc>
        <w:tc>
          <w:tcPr>
            <w:tcW w:w="1260" w:type="dxa"/>
            <w:tcBorders>
              <w:top w:val="single" w:sz="12" w:space="0" w:color="000000" w:themeColor="text1"/>
              <w:left w:val="single" w:sz="2" w:space="0" w:color="FFFFFF" w:themeColor="background1"/>
              <w:bottom w:val="single" w:sz="2" w:space="0" w:color="FFFFFF" w:themeColor="background1"/>
              <w:right w:val="single" w:sz="2" w:space="0" w:color="FFFFFF" w:themeColor="background1"/>
            </w:tcBorders>
            <w:noWrap/>
            <w:vAlign w:val="bottom"/>
            <w:hideMark/>
          </w:tcPr>
          <w:p w14:paraId="25EE2195" w14:textId="77777777" w:rsidR="00126D8D" w:rsidRPr="00153415" w:rsidRDefault="00126D8D" w:rsidP="00820288">
            <w:pPr>
              <w:spacing w:line="240" w:lineRule="auto"/>
              <w:rPr>
                <w:rFonts w:cs="Times New Roman"/>
                <w:color w:val="000000" w:themeColor="text1"/>
                <w:sz w:val="20"/>
                <w:szCs w:val="20"/>
                <w:vertAlign w:val="superscript"/>
              </w:rPr>
            </w:pPr>
            <w:r w:rsidRPr="00153415">
              <w:rPr>
                <w:rFonts w:cs="Times New Roman"/>
                <w:color w:val="000000"/>
                <w:sz w:val="20"/>
                <w:szCs w:val="20"/>
              </w:rPr>
              <w:t>79.40</w:t>
            </w:r>
            <w:r w:rsidRPr="00153415">
              <w:rPr>
                <w:rFonts w:cs="Times New Roman"/>
                <w:color w:val="000000"/>
                <w:sz w:val="20"/>
                <w:szCs w:val="20"/>
                <w:vertAlign w:val="superscript"/>
              </w:rPr>
              <w:t>a</w:t>
            </w:r>
          </w:p>
        </w:tc>
        <w:tc>
          <w:tcPr>
            <w:tcW w:w="1260" w:type="dxa"/>
            <w:tcBorders>
              <w:top w:val="single" w:sz="12" w:space="0" w:color="000000" w:themeColor="text1"/>
              <w:left w:val="single" w:sz="2" w:space="0" w:color="FFFFFF" w:themeColor="background1"/>
              <w:bottom w:val="single" w:sz="2" w:space="0" w:color="FFFFFF" w:themeColor="background1"/>
              <w:right w:val="single" w:sz="2" w:space="0" w:color="FFFFFF" w:themeColor="background1"/>
            </w:tcBorders>
            <w:noWrap/>
            <w:vAlign w:val="bottom"/>
            <w:hideMark/>
          </w:tcPr>
          <w:p w14:paraId="3B8B20A1" w14:textId="77777777" w:rsidR="00126D8D" w:rsidRPr="00153415" w:rsidRDefault="00126D8D" w:rsidP="00820288">
            <w:pPr>
              <w:spacing w:line="240" w:lineRule="auto"/>
              <w:rPr>
                <w:rFonts w:cs="Times New Roman"/>
                <w:color w:val="000000" w:themeColor="text1"/>
                <w:sz w:val="20"/>
                <w:szCs w:val="20"/>
                <w:vertAlign w:val="superscript"/>
              </w:rPr>
            </w:pPr>
            <w:r w:rsidRPr="00153415">
              <w:rPr>
                <w:rFonts w:cs="Times New Roman"/>
                <w:color w:val="000000"/>
                <w:sz w:val="20"/>
                <w:szCs w:val="20"/>
              </w:rPr>
              <w:t>88.24</w:t>
            </w:r>
            <w:r w:rsidRPr="00153415">
              <w:rPr>
                <w:rFonts w:cs="Times New Roman"/>
                <w:color w:val="000000"/>
                <w:sz w:val="20"/>
                <w:szCs w:val="20"/>
                <w:vertAlign w:val="superscript"/>
              </w:rPr>
              <w:t>a</w:t>
            </w:r>
          </w:p>
        </w:tc>
        <w:tc>
          <w:tcPr>
            <w:tcW w:w="1350" w:type="dxa"/>
            <w:tcBorders>
              <w:top w:val="single" w:sz="12" w:space="0" w:color="000000" w:themeColor="text1"/>
              <w:left w:val="single" w:sz="2" w:space="0" w:color="FFFFFF" w:themeColor="background1"/>
              <w:bottom w:val="single" w:sz="2" w:space="0" w:color="FFFFFF" w:themeColor="background1"/>
              <w:right w:val="single" w:sz="2" w:space="0" w:color="FFFFFF" w:themeColor="background1"/>
            </w:tcBorders>
            <w:noWrap/>
            <w:vAlign w:val="bottom"/>
            <w:hideMark/>
          </w:tcPr>
          <w:p w14:paraId="636F8F9C" w14:textId="77777777" w:rsidR="00126D8D" w:rsidRPr="00153415" w:rsidRDefault="00126D8D" w:rsidP="00820288">
            <w:pPr>
              <w:spacing w:line="240" w:lineRule="auto"/>
              <w:rPr>
                <w:rFonts w:cs="Times New Roman"/>
                <w:color w:val="000000" w:themeColor="text1"/>
                <w:sz w:val="20"/>
                <w:szCs w:val="20"/>
                <w:vertAlign w:val="superscript"/>
              </w:rPr>
            </w:pPr>
            <w:r w:rsidRPr="00153415">
              <w:rPr>
                <w:rFonts w:cs="Times New Roman"/>
                <w:color w:val="000000"/>
                <w:sz w:val="20"/>
                <w:szCs w:val="20"/>
              </w:rPr>
              <w:t>183.38</w:t>
            </w:r>
            <w:r w:rsidRPr="00153415">
              <w:rPr>
                <w:rFonts w:cs="Times New Roman"/>
                <w:color w:val="000000"/>
                <w:sz w:val="20"/>
                <w:szCs w:val="20"/>
                <w:vertAlign w:val="superscript"/>
              </w:rPr>
              <w:t>a</w:t>
            </w:r>
          </w:p>
        </w:tc>
        <w:tc>
          <w:tcPr>
            <w:tcW w:w="1260" w:type="dxa"/>
            <w:tcBorders>
              <w:top w:val="single" w:sz="12" w:space="0" w:color="000000" w:themeColor="text1"/>
              <w:left w:val="single" w:sz="2" w:space="0" w:color="FFFFFF" w:themeColor="background1"/>
              <w:bottom w:val="single" w:sz="2" w:space="0" w:color="FFFFFF" w:themeColor="background1"/>
              <w:right w:val="single" w:sz="2" w:space="0" w:color="FFFFFF" w:themeColor="background1"/>
            </w:tcBorders>
            <w:noWrap/>
            <w:vAlign w:val="bottom"/>
            <w:hideMark/>
          </w:tcPr>
          <w:p w14:paraId="49E54CAE" w14:textId="77777777" w:rsidR="00126D8D" w:rsidRPr="00153415" w:rsidRDefault="00126D8D" w:rsidP="00820288">
            <w:pPr>
              <w:spacing w:line="240" w:lineRule="auto"/>
              <w:rPr>
                <w:rFonts w:cs="Times New Roman"/>
                <w:color w:val="000000" w:themeColor="text1"/>
                <w:sz w:val="20"/>
                <w:szCs w:val="20"/>
                <w:vertAlign w:val="superscript"/>
              </w:rPr>
            </w:pPr>
            <w:r w:rsidRPr="00153415">
              <w:rPr>
                <w:rFonts w:cs="Times New Roman"/>
                <w:color w:val="000000"/>
                <w:sz w:val="20"/>
                <w:szCs w:val="20"/>
              </w:rPr>
              <w:t>150.86</w:t>
            </w:r>
            <w:r w:rsidRPr="00153415">
              <w:rPr>
                <w:rFonts w:cs="Times New Roman"/>
                <w:color w:val="000000"/>
                <w:sz w:val="20"/>
                <w:szCs w:val="20"/>
                <w:vertAlign w:val="superscript"/>
              </w:rPr>
              <w:t>a</w:t>
            </w:r>
          </w:p>
        </w:tc>
        <w:tc>
          <w:tcPr>
            <w:tcW w:w="1170" w:type="dxa"/>
            <w:tcBorders>
              <w:top w:val="single" w:sz="12" w:space="0" w:color="000000" w:themeColor="text1"/>
              <w:left w:val="single" w:sz="2" w:space="0" w:color="FFFFFF" w:themeColor="background1"/>
              <w:bottom w:val="single" w:sz="2" w:space="0" w:color="FFFFFF" w:themeColor="background1"/>
              <w:right w:val="single" w:sz="2" w:space="0" w:color="FFFFFF" w:themeColor="background1"/>
            </w:tcBorders>
            <w:noWrap/>
            <w:vAlign w:val="bottom"/>
            <w:hideMark/>
          </w:tcPr>
          <w:p w14:paraId="7CBB9675" w14:textId="77777777" w:rsidR="00126D8D" w:rsidRPr="00153415" w:rsidRDefault="00126D8D" w:rsidP="00820288">
            <w:pPr>
              <w:spacing w:line="240" w:lineRule="auto"/>
              <w:rPr>
                <w:rFonts w:cs="Times New Roman"/>
                <w:color w:val="000000" w:themeColor="text1"/>
                <w:sz w:val="20"/>
                <w:szCs w:val="20"/>
                <w:vertAlign w:val="superscript"/>
              </w:rPr>
            </w:pPr>
            <w:r w:rsidRPr="00153415">
              <w:rPr>
                <w:rFonts w:cs="Times New Roman"/>
                <w:color w:val="000000"/>
                <w:sz w:val="20"/>
                <w:szCs w:val="20"/>
              </w:rPr>
              <w:t>22.61</w:t>
            </w:r>
            <w:r w:rsidRPr="00153415">
              <w:rPr>
                <w:rFonts w:cs="Times New Roman"/>
                <w:color w:val="000000"/>
                <w:sz w:val="20"/>
                <w:szCs w:val="20"/>
                <w:vertAlign w:val="superscript"/>
              </w:rPr>
              <w:t>a</w:t>
            </w:r>
          </w:p>
        </w:tc>
      </w:tr>
      <w:tr w:rsidR="00126D8D" w:rsidRPr="00153415" w14:paraId="582D5B91" w14:textId="77777777" w:rsidTr="00820288">
        <w:trPr>
          <w:trHeight w:val="288"/>
        </w:trPr>
        <w:tc>
          <w:tcPr>
            <w:tcW w:w="1435" w:type="dxa"/>
            <w:tcBorders>
              <w:top w:val="single" w:sz="2" w:space="0" w:color="FFFFFF" w:themeColor="background1"/>
              <w:left w:val="single" w:sz="2" w:space="0" w:color="FFFFFF" w:themeColor="background1"/>
              <w:bottom w:val="single" w:sz="4" w:space="0" w:color="auto"/>
              <w:right w:val="single" w:sz="2" w:space="0" w:color="FFFFFF" w:themeColor="background1"/>
            </w:tcBorders>
            <w:noWrap/>
            <w:vAlign w:val="center"/>
            <w:hideMark/>
          </w:tcPr>
          <w:p w14:paraId="5630CB95" w14:textId="77777777" w:rsidR="00126D8D" w:rsidRPr="00153415" w:rsidRDefault="00126D8D" w:rsidP="00820288">
            <w:pPr>
              <w:spacing w:line="240" w:lineRule="auto"/>
              <w:rPr>
                <w:rFonts w:cs="Times New Roman"/>
                <w:color w:val="000000" w:themeColor="text1"/>
                <w:sz w:val="20"/>
                <w:szCs w:val="20"/>
              </w:rPr>
            </w:pPr>
            <w:r w:rsidRPr="00153415">
              <w:rPr>
                <w:rFonts w:cs="Times New Roman"/>
                <w:color w:val="000000" w:themeColor="text1"/>
                <w:sz w:val="20"/>
                <w:szCs w:val="20"/>
              </w:rPr>
              <w:t>Winter</w:t>
            </w:r>
          </w:p>
        </w:tc>
        <w:tc>
          <w:tcPr>
            <w:tcW w:w="1260" w:type="dxa"/>
            <w:tcBorders>
              <w:top w:val="single" w:sz="2" w:space="0" w:color="FFFFFF" w:themeColor="background1"/>
              <w:left w:val="single" w:sz="2" w:space="0" w:color="FFFFFF" w:themeColor="background1"/>
              <w:bottom w:val="single" w:sz="4" w:space="0" w:color="auto"/>
              <w:right w:val="single" w:sz="2" w:space="0" w:color="FFFFFF" w:themeColor="background1"/>
            </w:tcBorders>
            <w:noWrap/>
            <w:vAlign w:val="bottom"/>
            <w:hideMark/>
          </w:tcPr>
          <w:p w14:paraId="28FF0506" w14:textId="77777777" w:rsidR="00126D8D" w:rsidRPr="00153415" w:rsidRDefault="00126D8D" w:rsidP="00820288">
            <w:pPr>
              <w:spacing w:line="240" w:lineRule="auto"/>
              <w:rPr>
                <w:rFonts w:cs="Times New Roman"/>
                <w:color w:val="000000" w:themeColor="text1"/>
                <w:sz w:val="20"/>
                <w:szCs w:val="20"/>
                <w:vertAlign w:val="superscript"/>
              </w:rPr>
            </w:pPr>
            <w:r w:rsidRPr="00153415">
              <w:rPr>
                <w:rFonts w:cs="Times New Roman"/>
                <w:color w:val="000000"/>
                <w:sz w:val="20"/>
                <w:szCs w:val="20"/>
              </w:rPr>
              <w:t>79.67</w:t>
            </w:r>
            <w:r w:rsidRPr="00153415">
              <w:rPr>
                <w:rFonts w:cs="Times New Roman"/>
                <w:color w:val="000000"/>
                <w:sz w:val="20"/>
                <w:szCs w:val="20"/>
                <w:vertAlign w:val="superscript"/>
              </w:rPr>
              <w:t>a</w:t>
            </w:r>
          </w:p>
        </w:tc>
        <w:tc>
          <w:tcPr>
            <w:tcW w:w="1260" w:type="dxa"/>
            <w:tcBorders>
              <w:top w:val="single" w:sz="2" w:space="0" w:color="FFFFFF" w:themeColor="background1"/>
              <w:left w:val="single" w:sz="2" w:space="0" w:color="FFFFFF" w:themeColor="background1"/>
              <w:bottom w:val="single" w:sz="4" w:space="0" w:color="auto"/>
              <w:right w:val="single" w:sz="2" w:space="0" w:color="FFFFFF" w:themeColor="background1"/>
            </w:tcBorders>
            <w:noWrap/>
            <w:vAlign w:val="bottom"/>
            <w:hideMark/>
          </w:tcPr>
          <w:p w14:paraId="5A706E40" w14:textId="77777777" w:rsidR="00126D8D" w:rsidRPr="00153415" w:rsidRDefault="00126D8D" w:rsidP="00820288">
            <w:pPr>
              <w:spacing w:line="240" w:lineRule="auto"/>
              <w:rPr>
                <w:rFonts w:cs="Times New Roman"/>
                <w:color w:val="000000" w:themeColor="text1"/>
                <w:sz w:val="20"/>
                <w:szCs w:val="20"/>
                <w:vertAlign w:val="superscript"/>
              </w:rPr>
            </w:pPr>
            <w:r w:rsidRPr="00153415">
              <w:rPr>
                <w:rFonts w:cs="Times New Roman"/>
                <w:color w:val="000000"/>
                <w:sz w:val="20"/>
                <w:szCs w:val="20"/>
              </w:rPr>
              <w:t>84.54</w:t>
            </w:r>
            <w:r w:rsidRPr="00153415">
              <w:rPr>
                <w:rFonts w:cs="Times New Roman"/>
                <w:color w:val="000000"/>
                <w:sz w:val="20"/>
                <w:szCs w:val="20"/>
                <w:vertAlign w:val="superscript"/>
              </w:rPr>
              <w:t>b</w:t>
            </w:r>
          </w:p>
        </w:tc>
        <w:tc>
          <w:tcPr>
            <w:tcW w:w="1350" w:type="dxa"/>
            <w:tcBorders>
              <w:top w:val="single" w:sz="2" w:space="0" w:color="FFFFFF" w:themeColor="background1"/>
              <w:left w:val="single" w:sz="2" w:space="0" w:color="FFFFFF" w:themeColor="background1"/>
              <w:bottom w:val="single" w:sz="4" w:space="0" w:color="auto"/>
              <w:right w:val="single" w:sz="2" w:space="0" w:color="FFFFFF" w:themeColor="background1"/>
            </w:tcBorders>
            <w:noWrap/>
            <w:vAlign w:val="bottom"/>
            <w:hideMark/>
          </w:tcPr>
          <w:p w14:paraId="26427A7F" w14:textId="77777777" w:rsidR="00126D8D" w:rsidRPr="00153415" w:rsidRDefault="00126D8D" w:rsidP="00820288">
            <w:pPr>
              <w:spacing w:line="240" w:lineRule="auto"/>
              <w:rPr>
                <w:rFonts w:cs="Times New Roman"/>
                <w:color w:val="000000" w:themeColor="text1"/>
                <w:sz w:val="20"/>
                <w:szCs w:val="20"/>
                <w:vertAlign w:val="superscript"/>
              </w:rPr>
            </w:pPr>
            <w:r w:rsidRPr="00153415">
              <w:rPr>
                <w:rFonts w:cs="Times New Roman"/>
                <w:color w:val="000000"/>
                <w:sz w:val="20"/>
                <w:szCs w:val="20"/>
              </w:rPr>
              <w:t>168.00</w:t>
            </w:r>
            <w:r w:rsidRPr="00153415">
              <w:rPr>
                <w:rFonts w:cs="Times New Roman"/>
                <w:color w:val="000000"/>
                <w:sz w:val="20"/>
                <w:szCs w:val="20"/>
                <w:vertAlign w:val="superscript"/>
              </w:rPr>
              <w:t>b</w:t>
            </w:r>
          </w:p>
        </w:tc>
        <w:tc>
          <w:tcPr>
            <w:tcW w:w="1260" w:type="dxa"/>
            <w:tcBorders>
              <w:top w:val="single" w:sz="2" w:space="0" w:color="FFFFFF" w:themeColor="background1"/>
              <w:left w:val="single" w:sz="2" w:space="0" w:color="FFFFFF" w:themeColor="background1"/>
              <w:bottom w:val="single" w:sz="4" w:space="0" w:color="auto"/>
              <w:right w:val="single" w:sz="2" w:space="0" w:color="FFFFFF" w:themeColor="background1"/>
            </w:tcBorders>
            <w:noWrap/>
            <w:vAlign w:val="bottom"/>
            <w:hideMark/>
          </w:tcPr>
          <w:p w14:paraId="5F622D88" w14:textId="77777777" w:rsidR="00126D8D" w:rsidRPr="00153415" w:rsidRDefault="00126D8D" w:rsidP="00820288">
            <w:pPr>
              <w:spacing w:line="240" w:lineRule="auto"/>
              <w:rPr>
                <w:rFonts w:cs="Times New Roman"/>
                <w:color w:val="000000" w:themeColor="text1"/>
                <w:sz w:val="20"/>
                <w:szCs w:val="20"/>
                <w:vertAlign w:val="superscript"/>
              </w:rPr>
            </w:pPr>
            <w:r w:rsidRPr="00153415">
              <w:rPr>
                <w:rFonts w:cs="Times New Roman"/>
                <w:color w:val="000000"/>
                <w:sz w:val="20"/>
                <w:szCs w:val="20"/>
              </w:rPr>
              <w:t>131.07</w:t>
            </w:r>
            <w:r w:rsidRPr="00153415">
              <w:rPr>
                <w:rFonts w:cs="Times New Roman"/>
                <w:color w:val="000000"/>
                <w:sz w:val="20"/>
                <w:szCs w:val="20"/>
                <w:vertAlign w:val="superscript"/>
              </w:rPr>
              <w:t>b</w:t>
            </w:r>
          </w:p>
        </w:tc>
        <w:tc>
          <w:tcPr>
            <w:tcW w:w="1170" w:type="dxa"/>
            <w:tcBorders>
              <w:top w:val="single" w:sz="2" w:space="0" w:color="FFFFFF" w:themeColor="background1"/>
              <w:left w:val="single" w:sz="2" w:space="0" w:color="FFFFFF" w:themeColor="background1"/>
              <w:bottom w:val="single" w:sz="4" w:space="0" w:color="auto"/>
              <w:right w:val="single" w:sz="2" w:space="0" w:color="FFFFFF" w:themeColor="background1"/>
            </w:tcBorders>
            <w:noWrap/>
            <w:vAlign w:val="bottom"/>
            <w:hideMark/>
          </w:tcPr>
          <w:p w14:paraId="54799A9D" w14:textId="77777777" w:rsidR="00126D8D" w:rsidRPr="00153415" w:rsidRDefault="00126D8D" w:rsidP="00820288">
            <w:pPr>
              <w:spacing w:line="240" w:lineRule="auto"/>
              <w:rPr>
                <w:rFonts w:cs="Times New Roman"/>
                <w:color w:val="000000" w:themeColor="text1"/>
                <w:sz w:val="20"/>
                <w:szCs w:val="20"/>
                <w:vertAlign w:val="superscript"/>
              </w:rPr>
            </w:pPr>
            <w:r w:rsidRPr="00153415">
              <w:rPr>
                <w:rFonts w:cs="Times New Roman"/>
                <w:color w:val="000000"/>
                <w:sz w:val="20"/>
                <w:szCs w:val="20"/>
              </w:rPr>
              <w:t>20.67</w:t>
            </w:r>
            <w:r w:rsidRPr="00153415">
              <w:rPr>
                <w:rFonts w:cs="Times New Roman"/>
                <w:color w:val="000000"/>
                <w:sz w:val="20"/>
                <w:szCs w:val="20"/>
                <w:vertAlign w:val="superscript"/>
              </w:rPr>
              <w:t>b</w:t>
            </w:r>
          </w:p>
        </w:tc>
      </w:tr>
    </w:tbl>
    <w:p w14:paraId="5F1E9E0B" w14:textId="77777777" w:rsidR="00126D8D" w:rsidRPr="00153415" w:rsidRDefault="00126D8D" w:rsidP="00DC4427">
      <w:pPr>
        <w:spacing w:line="240" w:lineRule="auto"/>
        <w:rPr>
          <w:rStyle w:val="CommentReference"/>
          <w:rFonts w:cs="Times New Roman"/>
          <w:color w:val="000000" w:themeColor="text1"/>
        </w:rPr>
      </w:pPr>
      <w:r w:rsidRPr="00153415">
        <w:rPr>
          <w:rFonts w:cs="Times New Roman"/>
          <w:color w:val="000000" w:themeColor="text1"/>
        </w:rPr>
        <w:t xml:space="preserve">*All concentrations are presented in </w:t>
      </w:r>
      <w:r>
        <w:rPr>
          <w:rFonts w:cs="Times New Roman"/>
          <w:color w:val="000000" w:themeColor="text1"/>
        </w:rPr>
        <w:t xml:space="preserve">parts per million (ppm). </w:t>
      </w:r>
      <w:r w:rsidRPr="00153415">
        <w:rPr>
          <w:rFonts w:cs="Times New Roman"/>
          <w:color w:val="000000" w:themeColor="text1"/>
        </w:rPr>
        <w:t>Mean values represent 2 plants per replication and 6 replications per treatment. Values were analyzed using Tukey's (protected) HSD, and those followed by the same letter are not significantly different (α=0.05).</w:t>
      </w:r>
    </w:p>
    <w:p w14:paraId="34A1FA11" w14:textId="77777777" w:rsidR="00126D8D" w:rsidRDefault="00126D8D" w:rsidP="00DC4427">
      <w:pPr>
        <w:spacing w:line="240" w:lineRule="auto"/>
        <w:rPr>
          <w:rFonts w:cs="Times New Roman"/>
          <w:b/>
          <w:color w:val="000000" w:themeColor="text1"/>
        </w:rPr>
      </w:pPr>
    </w:p>
    <w:p w14:paraId="4503317F" w14:textId="77777777" w:rsidR="00126D8D" w:rsidRDefault="00126D8D" w:rsidP="00DC4427">
      <w:pPr>
        <w:spacing w:line="240" w:lineRule="auto"/>
        <w:rPr>
          <w:rFonts w:cs="Times New Roman"/>
          <w:b/>
          <w:color w:val="000000" w:themeColor="text1"/>
        </w:rPr>
      </w:pPr>
    </w:p>
    <w:p w14:paraId="268EAE61" w14:textId="77777777" w:rsidR="00126D8D" w:rsidRDefault="00126D8D" w:rsidP="00DC4427">
      <w:pPr>
        <w:pStyle w:val="TableTOC"/>
        <w:rPr>
          <w:rFonts w:cs="Times New Roman"/>
          <w:b/>
          <w:color w:val="000000" w:themeColor="text1"/>
        </w:rPr>
      </w:pPr>
    </w:p>
    <w:p w14:paraId="4AC47F87" w14:textId="77777777" w:rsidR="00126D8D" w:rsidRDefault="00126D8D" w:rsidP="00DC4427">
      <w:pPr>
        <w:spacing w:line="240" w:lineRule="auto"/>
        <w:rPr>
          <w:rFonts w:cs="Times New Roman"/>
          <w:b/>
          <w:color w:val="000000" w:themeColor="text1"/>
        </w:rPr>
      </w:pPr>
      <w:r>
        <w:rPr>
          <w:rFonts w:cs="Times New Roman"/>
          <w:b/>
          <w:color w:val="000000" w:themeColor="text1"/>
        </w:rPr>
        <w:br w:type="page"/>
      </w:r>
    </w:p>
    <w:p w14:paraId="6F5D3209" w14:textId="21C7B574" w:rsidR="00126D8D" w:rsidRPr="00D3624B" w:rsidRDefault="00126D8D" w:rsidP="00256F78">
      <w:pPr>
        <w:pStyle w:val="TableTOC"/>
        <w:jc w:val="both"/>
        <w:rPr>
          <w:rFonts w:cs="Times New Roman"/>
          <w:color w:val="000000" w:themeColor="text1"/>
        </w:rPr>
      </w:pPr>
      <w:bookmarkStart w:id="619" w:name="_Toc141478782"/>
      <w:r w:rsidRPr="00D3624B">
        <w:rPr>
          <w:rFonts w:cs="Times New Roman"/>
          <w:b/>
          <w:color w:val="000000" w:themeColor="text1"/>
        </w:rPr>
        <w:lastRenderedPageBreak/>
        <w:t xml:space="preserve">Table </w:t>
      </w:r>
      <w:r>
        <w:rPr>
          <w:rFonts w:cs="Times New Roman"/>
          <w:b/>
          <w:color w:val="000000" w:themeColor="text1"/>
        </w:rPr>
        <w:t>4.5</w:t>
      </w:r>
      <w:r w:rsidRPr="00D3624B">
        <w:rPr>
          <w:rFonts w:cs="Times New Roman"/>
          <w:b/>
          <w:color w:val="000000" w:themeColor="text1"/>
        </w:rPr>
        <w:t>.</w:t>
      </w:r>
      <w:r w:rsidRPr="00D3624B">
        <w:rPr>
          <w:rFonts w:cs="Times New Roman"/>
          <w:color w:val="000000" w:themeColor="text1"/>
        </w:rPr>
        <w:t xml:space="preserve"> Influence of supplemental lighting treatments on macronutrient </w:t>
      </w:r>
      <w:r w:rsidR="00E00E1F" w:rsidRPr="00E00E1F">
        <w:rPr>
          <w:rFonts w:cs="Times New Roman"/>
          <w:color w:val="000000" w:themeColor="text1"/>
        </w:rPr>
        <w:t>dry weight</w:t>
      </w:r>
      <w:r w:rsidRPr="00D3624B">
        <w:rPr>
          <w:rFonts w:cs="Times New Roman"/>
          <w:color w:val="000000" w:themeColor="text1"/>
        </w:rPr>
        <w:t xml:space="preserve"> concentrations of hydroponically grown 'Genovese' basil (</w:t>
      </w:r>
      <w:r w:rsidRPr="00D3624B">
        <w:rPr>
          <w:rFonts w:cs="Times New Roman"/>
          <w:i/>
          <w:color w:val="000000" w:themeColor="text1"/>
        </w:rPr>
        <w:t>Ocimum basilicum</w:t>
      </w:r>
      <w:r w:rsidRPr="00D3624B">
        <w:rPr>
          <w:rFonts w:cs="Times New Roman"/>
          <w:color w:val="000000" w:themeColor="text1"/>
        </w:rPr>
        <w:t xml:space="preserve"> var. 'Genovese').</w:t>
      </w:r>
      <w:bookmarkEnd w:id="616"/>
      <w:r w:rsidRPr="00D3624B">
        <w:rPr>
          <w:rFonts w:cs="Times New Roman"/>
          <w:color w:val="000000" w:themeColor="text1"/>
        </w:rPr>
        <w:t xml:space="preserve"> A total of four light treatments were added immediately after seedling transplant: </w:t>
      </w:r>
      <w:r>
        <w:rPr>
          <w:rFonts w:cs="Times New Roman"/>
          <w:color w:val="000000" w:themeColor="text1"/>
        </w:rPr>
        <w:t>Narrowband B/R</w:t>
      </w:r>
      <w:r w:rsidRPr="00D3624B">
        <w:rPr>
          <w:rFonts w:cs="Times New Roman"/>
          <w:color w:val="000000" w:themeColor="text1"/>
        </w:rPr>
        <w:t xml:space="preserve"> LED, </w:t>
      </w:r>
      <w:r>
        <w:rPr>
          <w:rFonts w:cs="Times New Roman"/>
          <w:color w:val="000000" w:themeColor="text1"/>
        </w:rPr>
        <w:t>Broadband White</w:t>
      </w:r>
      <w:r w:rsidRPr="00D3624B">
        <w:rPr>
          <w:rFonts w:cs="Times New Roman"/>
          <w:color w:val="000000" w:themeColor="text1"/>
        </w:rPr>
        <w:t xml:space="preserve"> LED, high pressure sodium, and non-supplemented natural light (NL) control.</w:t>
      </w:r>
      <w:bookmarkEnd w:id="619"/>
    </w:p>
    <w:p w14:paraId="655574DC" w14:textId="77777777" w:rsidR="00126D8D" w:rsidRPr="00D3624B" w:rsidRDefault="00126D8D" w:rsidP="00DC4427">
      <w:pPr>
        <w:pStyle w:val="TableTOC"/>
        <w:ind w:right="1530"/>
        <w:jc w:val="both"/>
        <w:rPr>
          <w:rFonts w:cs="Times New Roman"/>
          <w:color w:val="000000" w:themeColor="text1"/>
        </w:rPr>
      </w:pPr>
    </w:p>
    <w:tbl>
      <w:tblPr>
        <w:tblW w:w="8905" w:type="dxa"/>
        <w:tblBorders>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Layout w:type="fixed"/>
        <w:tblLook w:val="06A0" w:firstRow="1" w:lastRow="0" w:firstColumn="1" w:lastColumn="0" w:noHBand="1" w:noVBand="1"/>
      </w:tblPr>
      <w:tblGrid>
        <w:gridCol w:w="1435"/>
        <w:gridCol w:w="1260"/>
        <w:gridCol w:w="1260"/>
        <w:gridCol w:w="1350"/>
        <w:gridCol w:w="1260"/>
        <w:gridCol w:w="1170"/>
        <w:gridCol w:w="1170"/>
      </w:tblGrid>
      <w:tr w:rsidR="00126D8D" w:rsidRPr="007F5002" w14:paraId="23AF5877" w14:textId="77777777" w:rsidTr="007F5002">
        <w:trPr>
          <w:trHeight w:val="288"/>
        </w:trPr>
        <w:tc>
          <w:tcPr>
            <w:tcW w:w="1435" w:type="dxa"/>
            <w:tcBorders>
              <w:top w:val="single" w:sz="12" w:space="0" w:color="000000" w:themeColor="text1"/>
              <w:bottom w:val="single" w:sz="12" w:space="0" w:color="000000" w:themeColor="text1"/>
            </w:tcBorders>
            <w:noWrap/>
            <w:vAlign w:val="center"/>
            <w:hideMark/>
          </w:tcPr>
          <w:p w14:paraId="1A7103DA" w14:textId="77777777" w:rsidR="00126D8D" w:rsidRPr="007F5002" w:rsidRDefault="00126D8D" w:rsidP="007F5002">
            <w:pPr>
              <w:spacing w:line="240" w:lineRule="auto"/>
              <w:jc w:val="center"/>
              <w:rPr>
                <w:rFonts w:cs="Times New Roman"/>
                <w:b/>
                <w:bCs/>
                <w:color w:val="000000" w:themeColor="text1"/>
                <w:sz w:val="16"/>
                <w:szCs w:val="16"/>
              </w:rPr>
            </w:pPr>
            <w:r w:rsidRPr="007F5002">
              <w:rPr>
                <w:rFonts w:cs="Times New Roman"/>
                <w:b/>
                <w:bCs/>
                <w:color w:val="000000" w:themeColor="text1"/>
                <w:sz w:val="16"/>
                <w:szCs w:val="16"/>
              </w:rPr>
              <w:t>Light Treatment</w:t>
            </w:r>
          </w:p>
        </w:tc>
        <w:tc>
          <w:tcPr>
            <w:tcW w:w="1260" w:type="dxa"/>
            <w:tcBorders>
              <w:top w:val="single" w:sz="12" w:space="0" w:color="000000" w:themeColor="text1"/>
              <w:bottom w:val="single" w:sz="12" w:space="0" w:color="000000" w:themeColor="text1"/>
            </w:tcBorders>
            <w:noWrap/>
            <w:vAlign w:val="center"/>
          </w:tcPr>
          <w:p w14:paraId="7CAD7332" w14:textId="77777777" w:rsidR="00126D8D" w:rsidRPr="007F5002" w:rsidRDefault="00126D8D" w:rsidP="007F5002">
            <w:pPr>
              <w:spacing w:line="240" w:lineRule="auto"/>
              <w:jc w:val="center"/>
              <w:rPr>
                <w:rFonts w:cs="Times New Roman"/>
                <w:color w:val="000000" w:themeColor="text1"/>
                <w:sz w:val="16"/>
                <w:szCs w:val="16"/>
              </w:rPr>
            </w:pPr>
            <w:r w:rsidRPr="007F5002">
              <w:rPr>
                <w:rFonts w:cs="Times New Roman"/>
                <w:color w:val="000000" w:themeColor="text1"/>
                <w:sz w:val="16"/>
                <w:szCs w:val="16"/>
              </w:rPr>
              <w:t>N (%)</w:t>
            </w:r>
          </w:p>
        </w:tc>
        <w:tc>
          <w:tcPr>
            <w:tcW w:w="1260" w:type="dxa"/>
            <w:tcBorders>
              <w:top w:val="single" w:sz="12" w:space="0" w:color="000000" w:themeColor="text1"/>
              <w:bottom w:val="single" w:sz="12" w:space="0" w:color="000000" w:themeColor="text1"/>
            </w:tcBorders>
            <w:noWrap/>
            <w:vAlign w:val="center"/>
          </w:tcPr>
          <w:p w14:paraId="25293D6D" w14:textId="77777777" w:rsidR="00126D8D" w:rsidRPr="007F5002" w:rsidRDefault="00126D8D" w:rsidP="007F5002">
            <w:pPr>
              <w:spacing w:line="240" w:lineRule="auto"/>
              <w:jc w:val="center"/>
              <w:rPr>
                <w:rFonts w:cs="Times New Roman"/>
                <w:color w:val="000000" w:themeColor="text1"/>
                <w:sz w:val="16"/>
                <w:szCs w:val="16"/>
              </w:rPr>
            </w:pPr>
            <w:r w:rsidRPr="007F5002">
              <w:rPr>
                <w:rFonts w:cs="Times New Roman"/>
                <w:color w:val="000000" w:themeColor="text1"/>
                <w:sz w:val="16"/>
                <w:szCs w:val="16"/>
              </w:rPr>
              <w:t>P (%)</w:t>
            </w:r>
          </w:p>
        </w:tc>
        <w:tc>
          <w:tcPr>
            <w:tcW w:w="1350" w:type="dxa"/>
            <w:tcBorders>
              <w:top w:val="single" w:sz="12" w:space="0" w:color="000000" w:themeColor="text1"/>
              <w:bottom w:val="single" w:sz="12" w:space="0" w:color="000000" w:themeColor="text1"/>
            </w:tcBorders>
            <w:noWrap/>
            <w:vAlign w:val="center"/>
          </w:tcPr>
          <w:p w14:paraId="3A26469B" w14:textId="77777777" w:rsidR="00126D8D" w:rsidRPr="007F5002" w:rsidRDefault="00126D8D" w:rsidP="007F5002">
            <w:pPr>
              <w:spacing w:line="240" w:lineRule="auto"/>
              <w:jc w:val="center"/>
              <w:rPr>
                <w:rFonts w:cs="Times New Roman"/>
                <w:color w:val="000000" w:themeColor="text1"/>
                <w:sz w:val="16"/>
                <w:szCs w:val="16"/>
              </w:rPr>
            </w:pPr>
            <w:r w:rsidRPr="007F5002">
              <w:rPr>
                <w:rFonts w:cs="Times New Roman"/>
                <w:color w:val="000000" w:themeColor="text1"/>
                <w:sz w:val="16"/>
                <w:szCs w:val="16"/>
              </w:rPr>
              <w:t>K (%)</w:t>
            </w:r>
          </w:p>
        </w:tc>
        <w:tc>
          <w:tcPr>
            <w:tcW w:w="1260" w:type="dxa"/>
            <w:tcBorders>
              <w:top w:val="single" w:sz="12" w:space="0" w:color="000000" w:themeColor="text1"/>
              <w:bottom w:val="single" w:sz="12" w:space="0" w:color="000000" w:themeColor="text1"/>
            </w:tcBorders>
            <w:noWrap/>
            <w:vAlign w:val="center"/>
          </w:tcPr>
          <w:p w14:paraId="696F7123" w14:textId="77777777" w:rsidR="00126D8D" w:rsidRPr="007F5002" w:rsidRDefault="00126D8D" w:rsidP="007F5002">
            <w:pPr>
              <w:spacing w:line="240" w:lineRule="auto"/>
              <w:jc w:val="center"/>
              <w:rPr>
                <w:rFonts w:cs="Times New Roman"/>
                <w:color w:val="000000" w:themeColor="text1"/>
                <w:sz w:val="16"/>
                <w:szCs w:val="16"/>
              </w:rPr>
            </w:pPr>
            <w:r w:rsidRPr="007F5002">
              <w:rPr>
                <w:rFonts w:cs="Times New Roman"/>
                <w:color w:val="000000" w:themeColor="text1"/>
                <w:sz w:val="16"/>
                <w:szCs w:val="16"/>
              </w:rPr>
              <w:t>Mg (%)</w:t>
            </w:r>
          </w:p>
        </w:tc>
        <w:tc>
          <w:tcPr>
            <w:tcW w:w="1170" w:type="dxa"/>
            <w:tcBorders>
              <w:top w:val="single" w:sz="12" w:space="0" w:color="000000" w:themeColor="text1"/>
              <w:bottom w:val="single" w:sz="12" w:space="0" w:color="000000" w:themeColor="text1"/>
            </w:tcBorders>
            <w:noWrap/>
            <w:vAlign w:val="center"/>
          </w:tcPr>
          <w:p w14:paraId="73543AD5" w14:textId="77777777" w:rsidR="00126D8D" w:rsidRPr="007F5002" w:rsidRDefault="00126D8D" w:rsidP="007F5002">
            <w:pPr>
              <w:spacing w:line="240" w:lineRule="auto"/>
              <w:jc w:val="center"/>
              <w:rPr>
                <w:rFonts w:cs="Times New Roman"/>
                <w:color w:val="000000" w:themeColor="text1"/>
                <w:sz w:val="16"/>
                <w:szCs w:val="16"/>
              </w:rPr>
            </w:pPr>
            <w:r w:rsidRPr="007F5002">
              <w:rPr>
                <w:rFonts w:cs="Times New Roman"/>
                <w:color w:val="000000" w:themeColor="text1"/>
                <w:sz w:val="16"/>
                <w:szCs w:val="16"/>
              </w:rPr>
              <w:t>Ca (%)</w:t>
            </w:r>
          </w:p>
        </w:tc>
        <w:tc>
          <w:tcPr>
            <w:tcW w:w="1170" w:type="dxa"/>
            <w:tcBorders>
              <w:top w:val="single" w:sz="12" w:space="0" w:color="000000" w:themeColor="text1"/>
              <w:bottom w:val="single" w:sz="12" w:space="0" w:color="000000" w:themeColor="text1"/>
            </w:tcBorders>
            <w:vAlign w:val="center"/>
          </w:tcPr>
          <w:p w14:paraId="0161E589" w14:textId="77777777" w:rsidR="00126D8D" w:rsidRPr="007F5002" w:rsidRDefault="00126D8D" w:rsidP="007F5002">
            <w:pPr>
              <w:spacing w:line="240" w:lineRule="auto"/>
              <w:jc w:val="center"/>
              <w:rPr>
                <w:rFonts w:cs="Times New Roman"/>
                <w:color w:val="000000" w:themeColor="text1"/>
                <w:sz w:val="16"/>
                <w:szCs w:val="16"/>
              </w:rPr>
            </w:pPr>
            <w:r w:rsidRPr="007F5002">
              <w:rPr>
                <w:rFonts w:cs="Times New Roman"/>
                <w:color w:val="000000" w:themeColor="text1"/>
                <w:sz w:val="16"/>
                <w:szCs w:val="16"/>
              </w:rPr>
              <w:t>S (%)</w:t>
            </w:r>
          </w:p>
        </w:tc>
      </w:tr>
      <w:tr w:rsidR="00126D8D" w:rsidRPr="007F5002" w14:paraId="1464653B" w14:textId="77777777" w:rsidTr="007F5002">
        <w:trPr>
          <w:trHeight w:val="288"/>
        </w:trPr>
        <w:tc>
          <w:tcPr>
            <w:tcW w:w="1435" w:type="dxa"/>
            <w:tcBorders>
              <w:top w:val="single" w:sz="12" w:space="0" w:color="000000" w:themeColor="text1"/>
              <w:left w:val="single" w:sz="2" w:space="0" w:color="FFFFFF" w:themeColor="background1"/>
              <w:bottom w:val="single" w:sz="2" w:space="0" w:color="FFFFFF" w:themeColor="background1"/>
              <w:right w:val="single" w:sz="2" w:space="0" w:color="FFFFFF" w:themeColor="background1"/>
            </w:tcBorders>
            <w:noWrap/>
            <w:vAlign w:val="center"/>
            <w:hideMark/>
          </w:tcPr>
          <w:p w14:paraId="18E1A0B4" w14:textId="77777777" w:rsidR="00126D8D" w:rsidRPr="007F5002" w:rsidRDefault="00126D8D" w:rsidP="007F5002">
            <w:pPr>
              <w:spacing w:line="240" w:lineRule="auto"/>
              <w:jc w:val="center"/>
              <w:rPr>
                <w:rFonts w:cs="Times New Roman"/>
                <w:color w:val="000000" w:themeColor="text1"/>
                <w:sz w:val="16"/>
                <w:szCs w:val="16"/>
              </w:rPr>
            </w:pPr>
            <w:r w:rsidRPr="007F5002">
              <w:rPr>
                <w:rFonts w:cs="Times New Roman"/>
                <w:color w:val="000000" w:themeColor="text1"/>
                <w:sz w:val="16"/>
                <w:szCs w:val="16"/>
              </w:rPr>
              <w:t>Narrowband B/R</w:t>
            </w:r>
          </w:p>
        </w:tc>
        <w:tc>
          <w:tcPr>
            <w:tcW w:w="1260" w:type="dxa"/>
            <w:tcBorders>
              <w:top w:val="single" w:sz="12" w:space="0" w:color="000000" w:themeColor="text1"/>
              <w:left w:val="single" w:sz="2" w:space="0" w:color="FFFFFF" w:themeColor="background1"/>
              <w:bottom w:val="single" w:sz="2" w:space="0" w:color="FFFFFF" w:themeColor="background1"/>
              <w:right w:val="single" w:sz="2" w:space="0" w:color="FFFFFF" w:themeColor="background1"/>
            </w:tcBorders>
            <w:noWrap/>
            <w:vAlign w:val="center"/>
            <w:hideMark/>
          </w:tcPr>
          <w:p w14:paraId="22DEE5B5" w14:textId="77777777" w:rsidR="00126D8D" w:rsidRPr="007F5002" w:rsidRDefault="00126D8D" w:rsidP="007F5002">
            <w:pPr>
              <w:spacing w:line="240" w:lineRule="auto"/>
              <w:jc w:val="center"/>
              <w:rPr>
                <w:rFonts w:cs="Times New Roman"/>
                <w:color w:val="000000" w:themeColor="text1"/>
                <w:sz w:val="16"/>
                <w:szCs w:val="16"/>
                <w:vertAlign w:val="superscript"/>
              </w:rPr>
            </w:pPr>
            <w:r w:rsidRPr="007F5002">
              <w:rPr>
                <w:rFonts w:cs="Times New Roman"/>
                <w:color w:val="000000"/>
                <w:sz w:val="16"/>
                <w:szCs w:val="16"/>
              </w:rPr>
              <w:t>4.53</w:t>
            </w:r>
            <w:r w:rsidRPr="007F5002">
              <w:rPr>
                <w:rFonts w:cs="Times New Roman"/>
                <w:color w:val="000000"/>
                <w:sz w:val="16"/>
                <w:szCs w:val="16"/>
                <w:vertAlign w:val="superscript"/>
              </w:rPr>
              <w:t>d</w:t>
            </w:r>
          </w:p>
        </w:tc>
        <w:tc>
          <w:tcPr>
            <w:tcW w:w="1260" w:type="dxa"/>
            <w:tcBorders>
              <w:top w:val="single" w:sz="12" w:space="0" w:color="000000" w:themeColor="text1"/>
              <w:left w:val="single" w:sz="2" w:space="0" w:color="FFFFFF" w:themeColor="background1"/>
              <w:bottom w:val="single" w:sz="2" w:space="0" w:color="FFFFFF" w:themeColor="background1"/>
              <w:right w:val="single" w:sz="2" w:space="0" w:color="FFFFFF" w:themeColor="background1"/>
            </w:tcBorders>
            <w:noWrap/>
            <w:vAlign w:val="center"/>
            <w:hideMark/>
          </w:tcPr>
          <w:p w14:paraId="5C1F1773" w14:textId="77777777" w:rsidR="00126D8D" w:rsidRPr="007F5002" w:rsidRDefault="00126D8D" w:rsidP="007F5002">
            <w:pPr>
              <w:spacing w:line="240" w:lineRule="auto"/>
              <w:jc w:val="center"/>
              <w:rPr>
                <w:rFonts w:cs="Times New Roman"/>
                <w:color w:val="000000" w:themeColor="text1"/>
                <w:sz w:val="16"/>
                <w:szCs w:val="16"/>
                <w:vertAlign w:val="superscript"/>
              </w:rPr>
            </w:pPr>
            <w:r w:rsidRPr="007F5002">
              <w:rPr>
                <w:rFonts w:cs="Times New Roman"/>
                <w:color w:val="000000"/>
                <w:sz w:val="16"/>
                <w:szCs w:val="16"/>
              </w:rPr>
              <w:t>1.00</w:t>
            </w:r>
            <w:r w:rsidRPr="007F5002">
              <w:rPr>
                <w:rFonts w:cs="Times New Roman"/>
                <w:color w:val="000000"/>
                <w:sz w:val="16"/>
                <w:szCs w:val="16"/>
                <w:vertAlign w:val="superscript"/>
              </w:rPr>
              <w:t>a</w:t>
            </w:r>
          </w:p>
        </w:tc>
        <w:tc>
          <w:tcPr>
            <w:tcW w:w="1350" w:type="dxa"/>
            <w:tcBorders>
              <w:top w:val="single" w:sz="12" w:space="0" w:color="000000" w:themeColor="text1"/>
              <w:left w:val="single" w:sz="2" w:space="0" w:color="FFFFFF" w:themeColor="background1"/>
              <w:bottom w:val="single" w:sz="2" w:space="0" w:color="FFFFFF" w:themeColor="background1"/>
              <w:right w:val="single" w:sz="2" w:space="0" w:color="FFFFFF" w:themeColor="background1"/>
            </w:tcBorders>
            <w:noWrap/>
            <w:vAlign w:val="center"/>
            <w:hideMark/>
          </w:tcPr>
          <w:p w14:paraId="2FD36BEF" w14:textId="77777777" w:rsidR="00126D8D" w:rsidRPr="007F5002" w:rsidRDefault="00126D8D" w:rsidP="007F5002">
            <w:pPr>
              <w:spacing w:line="240" w:lineRule="auto"/>
              <w:jc w:val="center"/>
              <w:rPr>
                <w:rFonts w:cs="Times New Roman"/>
                <w:color w:val="000000" w:themeColor="text1"/>
                <w:sz w:val="16"/>
                <w:szCs w:val="16"/>
                <w:vertAlign w:val="superscript"/>
              </w:rPr>
            </w:pPr>
            <w:r w:rsidRPr="007F5002">
              <w:rPr>
                <w:rFonts w:cs="Times New Roman"/>
                <w:color w:val="000000"/>
                <w:sz w:val="16"/>
                <w:szCs w:val="16"/>
              </w:rPr>
              <w:t>4.44</w:t>
            </w:r>
            <w:r w:rsidRPr="007F5002">
              <w:rPr>
                <w:rFonts w:cs="Times New Roman"/>
                <w:color w:val="000000"/>
                <w:sz w:val="16"/>
                <w:szCs w:val="16"/>
                <w:vertAlign w:val="superscript"/>
              </w:rPr>
              <w:t>d</w:t>
            </w:r>
          </w:p>
        </w:tc>
        <w:tc>
          <w:tcPr>
            <w:tcW w:w="1260" w:type="dxa"/>
            <w:tcBorders>
              <w:top w:val="single" w:sz="12" w:space="0" w:color="000000" w:themeColor="text1"/>
              <w:left w:val="single" w:sz="2" w:space="0" w:color="FFFFFF" w:themeColor="background1"/>
              <w:bottom w:val="single" w:sz="2" w:space="0" w:color="FFFFFF" w:themeColor="background1"/>
              <w:right w:val="single" w:sz="2" w:space="0" w:color="FFFFFF" w:themeColor="background1"/>
            </w:tcBorders>
            <w:noWrap/>
            <w:vAlign w:val="center"/>
            <w:hideMark/>
          </w:tcPr>
          <w:p w14:paraId="5CE08730" w14:textId="77777777" w:rsidR="00126D8D" w:rsidRPr="007F5002" w:rsidRDefault="00126D8D" w:rsidP="007F5002">
            <w:pPr>
              <w:spacing w:line="240" w:lineRule="auto"/>
              <w:jc w:val="center"/>
              <w:rPr>
                <w:rFonts w:cs="Times New Roman"/>
                <w:color w:val="000000" w:themeColor="text1"/>
                <w:sz w:val="16"/>
                <w:szCs w:val="16"/>
                <w:vertAlign w:val="superscript"/>
              </w:rPr>
            </w:pPr>
            <w:r w:rsidRPr="007F5002">
              <w:rPr>
                <w:rFonts w:cs="Times New Roman"/>
                <w:color w:val="000000"/>
                <w:sz w:val="16"/>
                <w:szCs w:val="16"/>
              </w:rPr>
              <w:t>0.71</w:t>
            </w:r>
            <w:r w:rsidRPr="007F5002">
              <w:rPr>
                <w:rFonts w:cs="Times New Roman"/>
                <w:color w:val="000000"/>
                <w:sz w:val="16"/>
                <w:szCs w:val="16"/>
                <w:vertAlign w:val="superscript"/>
              </w:rPr>
              <w:t>a</w:t>
            </w:r>
          </w:p>
        </w:tc>
        <w:tc>
          <w:tcPr>
            <w:tcW w:w="1170" w:type="dxa"/>
            <w:tcBorders>
              <w:top w:val="single" w:sz="12" w:space="0" w:color="000000" w:themeColor="text1"/>
              <w:left w:val="single" w:sz="2" w:space="0" w:color="FFFFFF" w:themeColor="background1"/>
              <w:bottom w:val="single" w:sz="2" w:space="0" w:color="FFFFFF" w:themeColor="background1"/>
              <w:right w:val="single" w:sz="2" w:space="0" w:color="FFFFFF" w:themeColor="background1"/>
            </w:tcBorders>
            <w:noWrap/>
            <w:vAlign w:val="center"/>
            <w:hideMark/>
          </w:tcPr>
          <w:p w14:paraId="2CAF34B3" w14:textId="77777777" w:rsidR="00126D8D" w:rsidRPr="007F5002" w:rsidRDefault="00126D8D" w:rsidP="007F5002">
            <w:pPr>
              <w:spacing w:line="240" w:lineRule="auto"/>
              <w:jc w:val="center"/>
              <w:rPr>
                <w:rFonts w:cs="Times New Roman"/>
                <w:color w:val="000000" w:themeColor="text1"/>
                <w:sz w:val="16"/>
                <w:szCs w:val="16"/>
                <w:vertAlign w:val="superscript"/>
              </w:rPr>
            </w:pPr>
            <w:r w:rsidRPr="007F5002">
              <w:rPr>
                <w:rFonts w:cs="Times New Roman"/>
                <w:color w:val="000000"/>
                <w:sz w:val="16"/>
                <w:szCs w:val="16"/>
              </w:rPr>
              <w:t>3.48</w:t>
            </w:r>
            <w:r w:rsidRPr="007F5002">
              <w:rPr>
                <w:rFonts w:cs="Times New Roman"/>
                <w:color w:val="000000"/>
                <w:sz w:val="16"/>
                <w:szCs w:val="16"/>
                <w:vertAlign w:val="superscript"/>
              </w:rPr>
              <w:t>a</w:t>
            </w:r>
          </w:p>
        </w:tc>
        <w:tc>
          <w:tcPr>
            <w:tcW w:w="1170" w:type="dxa"/>
            <w:tcBorders>
              <w:top w:val="single" w:sz="12" w:space="0" w:color="000000" w:themeColor="text1"/>
              <w:left w:val="single" w:sz="2" w:space="0" w:color="FFFFFF" w:themeColor="background1"/>
              <w:bottom w:val="single" w:sz="2" w:space="0" w:color="FFFFFF" w:themeColor="background1"/>
              <w:right w:val="single" w:sz="2" w:space="0" w:color="FFFFFF" w:themeColor="background1"/>
            </w:tcBorders>
            <w:vAlign w:val="center"/>
          </w:tcPr>
          <w:p w14:paraId="58857EF5" w14:textId="77777777" w:rsidR="00126D8D" w:rsidRPr="007F5002" w:rsidRDefault="00126D8D" w:rsidP="007F5002">
            <w:pPr>
              <w:spacing w:line="240" w:lineRule="auto"/>
              <w:jc w:val="center"/>
              <w:rPr>
                <w:rFonts w:cs="Times New Roman"/>
                <w:color w:val="000000" w:themeColor="text1"/>
                <w:sz w:val="16"/>
                <w:szCs w:val="16"/>
                <w:vertAlign w:val="superscript"/>
              </w:rPr>
            </w:pPr>
            <w:r w:rsidRPr="007F5002">
              <w:rPr>
                <w:rFonts w:cs="Times New Roman"/>
                <w:color w:val="000000"/>
                <w:sz w:val="16"/>
                <w:szCs w:val="16"/>
              </w:rPr>
              <w:t>0.47</w:t>
            </w:r>
            <w:r w:rsidRPr="007F5002">
              <w:rPr>
                <w:rFonts w:cs="Times New Roman"/>
                <w:color w:val="000000"/>
                <w:sz w:val="16"/>
                <w:szCs w:val="16"/>
                <w:vertAlign w:val="superscript"/>
              </w:rPr>
              <w:t>a</w:t>
            </w:r>
          </w:p>
        </w:tc>
      </w:tr>
      <w:tr w:rsidR="00126D8D" w:rsidRPr="007F5002" w14:paraId="092FFB74" w14:textId="77777777" w:rsidTr="007F5002">
        <w:trPr>
          <w:trHeight w:val="288"/>
        </w:trPr>
        <w:tc>
          <w:tcPr>
            <w:tcW w:w="1435" w:type="dxa"/>
            <w:tcBorders>
              <w:top w:val="single" w:sz="2" w:space="0" w:color="FFFFFF" w:themeColor="background1"/>
              <w:left w:val="single" w:sz="2" w:space="0" w:color="FFFFFF" w:themeColor="background1"/>
              <w:bottom w:val="single" w:sz="2" w:space="0" w:color="FFFFFF" w:themeColor="background1"/>
              <w:right w:val="single" w:sz="2" w:space="0" w:color="FFFFFF" w:themeColor="background1"/>
            </w:tcBorders>
            <w:noWrap/>
            <w:vAlign w:val="center"/>
            <w:hideMark/>
          </w:tcPr>
          <w:p w14:paraId="6A8C554F" w14:textId="77777777" w:rsidR="00126D8D" w:rsidRPr="007F5002" w:rsidRDefault="00126D8D" w:rsidP="007F5002">
            <w:pPr>
              <w:spacing w:line="240" w:lineRule="auto"/>
              <w:jc w:val="center"/>
              <w:rPr>
                <w:rFonts w:cs="Times New Roman"/>
                <w:color w:val="000000" w:themeColor="text1"/>
                <w:sz w:val="16"/>
                <w:szCs w:val="16"/>
              </w:rPr>
            </w:pPr>
            <w:r w:rsidRPr="007F5002">
              <w:rPr>
                <w:rFonts w:cs="Times New Roman"/>
                <w:color w:val="000000" w:themeColor="text1"/>
                <w:sz w:val="16"/>
                <w:szCs w:val="16"/>
              </w:rPr>
              <w:t>Broadband White</w:t>
            </w:r>
          </w:p>
        </w:tc>
        <w:tc>
          <w:tcPr>
            <w:tcW w:w="1260" w:type="dxa"/>
            <w:tcBorders>
              <w:top w:val="single" w:sz="2" w:space="0" w:color="FFFFFF" w:themeColor="background1"/>
              <w:left w:val="single" w:sz="2" w:space="0" w:color="FFFFFF" w:themeColor="background1"/>
              <w:bottom w:val="single" w:sz="2" w:space="0" w:color="FFFFFF" w:themeColor="background1"/>
              <w:right w:val="single" w:sz="2" w:space="0" w:color="FFFFFF" w:themeColor="background1"/>
            </w:tcBorders>
            <w:noWrap/>
            <w:vAlign w:val="center"/>
            <w:hideMark/>
          </w:tcPr>
          <w:p w14:paraId="24B19F7A" w14:textId="77777777" w:rsidR="00126D8D" w:rsidRPr="007F5002" w:rsidRDefault="00126D8D" w:rsidP="007F5002">
            <w:pPr>
              <w:spacing w:line="240" w:lineRule="auto"/>
              <w:jc w:val="center"/>
              <w:rPr>
                <w:rFonts w:cs="Times New Roman"/>
                <w:color w:val="000000" w:themeColor="text1"/>
                <w:sz w:val="16"/>
                <w:szCs w:val="16"/>
                <w:vertAlign w:val="superscript"/>
              </w:rPr>
            </w:pPr>
            <w:r w:rsidRPr="007F5002">
              <w:rPr>
                <w:rFonts w:cs="Times New Roman"/>
                <w:color w:val="000000"/>
                <w:sz w:val="16"/>
                <w:szCs w:val="16"/>
              </w:rPr>
              <w:t>4.94</w:t>
            </w:r>
            <w:r w:rsidRPr="007F5002">
              <w:rPr>
                <w:rFonts w:cs="Times New Roman"/>
                <w:color w:val="000000"/>
                <w:sz w:val="16"/>
                <w:szCs w:val="16"/>
                <w:vertAlign w:val="superscript"/>
              </w:rPr>
              <w:t>cd</w:t>
            </w:r>
          </w:p>
        </w:tc>
        <w:tc>
          <w:tcPr>
            <w:tcW w:w="1260" w:type="dxa"/>
            <w:tcBorders>
              <w:top w:val="single" w:sz="2" w:space="0" w:color="FFFFFF" w:themeColor="background1"/>
              <w:left w:val="single" w:sz="2" w:space="0" w:color="FFFFFF" w:themeColor="background1"/>
              <w:bottom w:val="single" w:sz="2" w:space="0" w:color="FFFFFF" w:themeColor="background1"/>
              <w:right w:val="single" w:sz="2" w:space="0" w:color="FFFFFF" w:themeColor="background1"/>
            </w:tcBorders>
            <w:noWrap/>
            <w:vAlign w:val="center"/>
            <w:hideMark/>
          </w:tcPr>
          <w:p w14:paraId="4D3FD4C0" w14:textId="77777777" w:rsidR="00126D8D" w:rsidRPr="007F5002" w:rsidRDefault="00126D8D" w:rsidP="007F5002">
            <w:pPr>
              <w:spacing w:line="240" w:lineRule="auto"/>
              <w:jc w:val="center"/>
              <w:rPr>
                <w:rFonts w:cs="Times New Roman"/>
                <w:color w:val="000000" w:themeColor="text1"/>
                <w:sz w:val="16"/>
                <w:szCs w:val="16"/>
                <w:vertAlign w:val="superscript"/>
              </w:rPr>
            </w:pPr>
            <w:r w:rsidRPr="007F5002">
              <w:rPr>
                <w:rFonts w:cs="Times New Roman"/>
                <w:color w:val="000000"/>
                <w:sz w:val="16"/>
                <w:szCs w:val="16"/>
              </w:rPr>
              <w:t>0.92</w:t>
            </w:r>
            <w:r w:rsidRPr="007F5002">
              <w:rPr>
                <w:rFonts w:cs="Times New Roman"/>
                <w:color w:val="000000"/>
                <w:sz w:val="16"/>
                <w:szCs w:val="16"/>
                <w:vertAlign w:val="superscript"/>
              </w:rPr>
              <w:t>ab</w:t>
            </w:r>
          </w:p>
        </w:tc>
        <w:tc>
          <w:tcPr>
            <w:tcW w:w="1350" w:type="dxa"/>
            <w:tcBorders>
              <w:top w:val="single" w:sz="2" w:space="0" w:color="FFFFFF" w:themeColor="background1"/>
              <w:left w:val="single" w:sz="2" w:space="0" w:color="FFFFFF" w:themeColor="background1"/>
              <w:bottom w:val="single" w:sz="2" w:space="0" w:color="FFFFFF" w:themeColor="background1"/>
              <w:right w:val="single" w:sz="2" w:space="0" w:color="FFFFFF" w:themeColor="background1"/>
            </w:tcBorders>
            <w:noWrap/>
            <w:vAlign w:val="center"/>
            <w:hideMark/>
          </w:tcPr>
          <w:p w14:paraId="24D1A3E4" w14:textId="77777777" w:rsidR="00126D8D" w:rsidRPr="007F5002" w:rsidRDefault="00126D8D" w:rsidP="007F5002">
            <w:pPr>
              <w:spacing w:line="240" w:lineRule="auto"/>
              <w:jc w:val="center"/>
              <w:rPr>
                <w:rFonts w:cs="Times New Roman"/>
                <w:color w:val="000000" w:themeColor="text1"/>
                <w:sz w:val="16"/>
                <w:szCs w:val="16"/>
                <w:vertAlign w:val="superscript"/>
              </w:rPr>
            </w:pPr>
            <w:r w:rsidRPr="007F5002">
              <w:rPr>
                <w:rFonts w:cs="Times New Roman"/>
                <w:color w:val="000000"/>
                <w:sz w:val="16"/>
                <w:szCs w:val="16"/>
              </w:rPr>
              <w:t>5.03</w:t>
            </w:r>
            <w:r w:rsidRPr="007F5002">
              <w:rPr>
                <w:rFonts w:cs="Times New Roman"/>
                <w:color w:val="000000"/>
                <w:sz w:val="16"/>
                <w:szCs w:val="16"/>
                <w:vertAlign w:val="superscript"/>
              </w:rPr>
              <w:t>bc</w:t>
            </w:r>
          </w:p>
        </w:tc>
        <w:tc>
          <w:tcPr>
            <w:tcW w:w="1260" w:type="dxa"/>
            <w:tcBorders>
              <w:top w:val="single" w:sz="2" w:space="0" w:color="FFFFFF" w:themeColor="background1"/>
              <w:left w:val="single" w:sz="2" w:space="0" w:color="FFFFFF" w:themeColor="background1"/>
              <w:bottom w:val="single" w:sz="2" w:space="0" w:color="FFFFFF" w:themeColor="background1"/>
              <w:right w:val="single" w:sz="2" w:space="0" w:color="FFFFFF" w:themeColor="background1"/>
            </w:tcBorders>
            <w:noWrap/>
            <w:vAlign w:val="center"/>
            <w:hideMark/>
          </w:tcPr>
          <w:p w14:paraId="19892903" w14:textId="77777777" w:rsidR="00126D8D" w:rsidRPr="007F5002" w:rsidRDefault="00126D8D" w:rsidP="007F5002">
            <w:pPr>
              <w:spacing w:line="240" w:lineRule="auto"/>
              <w:jc w:val="center"/>
              <w:rPr>
                <w:rFonts w:cs="Times New Roman"/>
                <w:color w:val="000000" w:themeColor="text1"/>
                <w:sz w:val="16"/>
                <w:szCs w:val="16"/>
                <w:vertAlign w:val="superscript"/>
              </w:rPr>
            </w:pPr>
            <w:r w:rsidRPr="007F5002">
              <w:rPr>
                <w:rFonts w:cs="Times New Roman"/>
                <w:color w:val="000000"/>
                <w:sz w:val="16"/>
                <w:szCs w:val="16"/>
              </w:rPr>
              <w:t>0.66</w:t>
            </w:r>
            <w:r w:rsidRPr="007F5002">
              <w:rPr>
                <w:rFonts w:cs="Times New Roman"/>
                <w:color w:val="000000"/>
                <w:sz w:val="16"/>
                <w:szCs w:val="16"/>
                <w:vertAlign w:val="superscript"/>
              </w:rPr>
              <w:t>b</w:t>
            </w:r>
          </w:p>
        </w:tc>
        <w:tc>
          <w:tcPr>
            <w:tcW w:w="1170" w:type="dxa"/>
            <w:tcBorders>
              <w:top w:val="single" w:sz="2" w:space="0" w:color="FFFFFF" w:themeColor="background1"/>
              <w:left w:val="single" w:sz="2" w:space="0" w:color="FFFFFF" w:themeColor="background1"/>
              <w:bottom w:val="single" w:sz="2" w:space="0" w:color="FFFFFF" w:themeColor="background1"/>
              <w:right w:val="single" w:sz="2" w:space="0" w:color="FFFFFF" w:themeColor="background1"/>
            </w:tcBorders>
            <w:noWrap/>
            <w:vAlign w:val="center"/>
            <w:hideMark/>
          </w:tcPr>
          <w:p w14:paraId="3DF720FF" w14:textId="77777777" w:rsidR="00126D8D" w:rsidRPr="007F5002" w:rsidRDefault="00126D8D" w:rsidP="007F5002">
            <w:pPr>
              <w:spacing w:line="240" w:lineRule="auto"/>
              <w:jc w:val="center"/>
              <w:rPr>
                <w:rFonts w:cs="Times New Roman"/>
                <w:color w:val="000000" w:themeColor="text1"/>
                <w:sz w:val="16"/>
                <w:szCs w:val="16"/>
                <w:vertAlign w:val="superscript"/>
              </w:rPr>
            </w:pPr>
            <w:r w:rsidRPr="007F5002">
              <w:rPr>
                <w:rFonts w:cs="Times New Roman"/>
                <w:color w:val="000000"/>
                <w:sz w:val="16"/>
                <w:szCs w:val="16"/>
              </w:rPr>
              <w:t>3.10</w:t>
            </w:r>
            <w:r w:rsidRPr="007F5002">
              <w:rPr>
                <w:rFonts w:cs="Times New Roman"/>
                <w:color w:val="000000"/>
                <w:sz w:val="16"/>
                <w:szCs w:val="16"/>
                <w:vertAlign w:val="superscript"/>
              </w:rPr>
              <w:t>bc</w:t>
            </w:r>
          </w:p>
        </w:tc>
        <w:tc>
          <w:tcPr>
            <w:tcW w:w="1170" w:type="dxa"/>
            <w:tcBorders>
              <w:top w:val="single" w:sz="2" w:space="0" w:color="FFFFFF" w:themeColor="background1"/>
              <w:left w:val="single" w:sz="2" w:space="0" w:color="FFFFFF" w:themeColor="background1"/>
              <w:bottom w:val="single" w:sz="2" w:space="0" w:color="FFFFFF" w:themeColor="background1"/>
              <w:right w:val="single" w:sz="2" w:space="0" w:color="FFFFFF" w:themeColor="background1"/>
            </w:tcBorders>
            <w:vAlign w:val="center"/>
          </w:tcPr>
          <w:p w14:paraId="4CB9A65C" w14:textId="77777777" w:rsidR="00126D8D" w:rsidRPr="007F5002" w:rsidRDefault="00126D8D" w:rsidP="007F5002">
            <w:pPr>
              <w:spacing w:line="240" w:lineRule="auto"/>
              <w:jc w:val="center"/>
              <w:rPr>
                <w:rFonts w:cs="Times New Roman"/>
                <w:color w:val="000000" w:themeColor="text1"/>
                <w:sz w:val="16"/>
                <w:szCs w:val="16"/>
                <w:vertAlign w:val="superscript"/>
              </w:rPr>
            </w:pPr>
            <w:r w:rsidRPr="007F5002">
              <w:rPr>
                <w:rFonts w:cs="Times New Roman"/>
                <w:color w:val="000000"/>
                <w:sz w:val="16"/>
                <w:szCs w:val="16"/>
              </w:rPr>
              <w:t>0.45</w:t>
            </w:r>
            <w:r w:rsidRPr="007F5002">
              <w:rPr>
                <w:rFonts w:cs="Times New Roman"/>
                <w:color w:val="000000"/>
                <w:sz w:val="16"/>
                <w:szCs w:val="16"/>
                <w:vertAlign w:val="superscript"/>
              </w:rPr>
              <w:t>a</w:t>
            </w:r>
          </w:p>
        </w:tc>
      </w:tr>
      <w:tr w:rsidR="00126D8D" w:rsidRPr="007F5002" w14:paraId="1AD93864" w14:textId="77777777" w:rsidTr="007F5002">
        <w:trPr>
          <w:trHeight w:val="288"/>
        </w:trPr>
        <w:tc>
          <w:tcPr>
            <w:tcW w:w="1435" w:type="dxa"/>
            <w:tcBorders>
              <w:top w:val="single" w:sz="2" w:space="0" w:color="FFFFFF" w:themeColor="background1"/>
              <w:left w:val="single" w:sz="2" w:space="0" w:color="FFFFFF" w:themeColor="background1"/>
              <w:bottom w:val="single" w:sz="2" w:space="0" w:color="FFFFFF" w:themeColor="background1"/>
              <w:right w:val="single" w:sz="2" w:space="0" w:color="FFFFFF" w:themeColor="background1"/>
            </w:tcBorders>
            <w:noWrap/>
            <w:vAlign w:val="center"/>
            <w:hideMark/>
          </w:tcPr>
          <w:p w14:paraId="10CE576D" w14:textId="77777777" w:rsidR="00126D8D" w:rsidRPr="007F5002" w:rsidRDefault="00126D8D" w:rsidP="007F5002">
            <w:pPr>
              <w:spacing w:line="240" w:lineRule="auto"/>
              <w:jc w:val="center"/>
              <w:rPr>
                <w:rFonts w:cs="Times New Roman"/>
                <w:color w:val="000000" w:themeColor="text1"/>
                <w:sz w:val="16"/>
                <w:szCs w:val="16"/>
              </w:rPr>
            </w:pPr>
            <w:r w:rsidRPr="007F5002">
              <w:rPr>
                <w:rFonts w:cs="Times New Roman"/>
                <w:color w:val="000000" w:themeColor="text1"/>
                <w:sz w:val="16"/>
                <w:szCs w:val="16"/>
              </w:rPr>
              <w:t>HPS</w:t>
            </w:r>
          </w:p>
        </w:tc>
        <w:tc>
          <w:tcPr>
            <w:tcW w:w="1260" w:type="dxa"/>
            <w:tcBorders>
              <w:top w:val="single" w:sz="2" w:space="0" w:color="FFFFFF" w:themeColor="background1"/>
              <w:left w:val="single" w:sz="2" w:space="0" w:color="FFFFFF" w:themeColor="background1"/>
              <w:bottom w:val="single" w:sz="2" w:space="0" w:color="FFFFFF" w:themeColor="background1"/>
              <w:right w:val="single" w:sz="2" w:space="0" w:color="FFFFFF" w:themeColor="background1"/>
            </w:tcBorders>
            <w:noWrap/>
            <w:vAlign w:val="center"/>
            <w:hideMark/>
          </w:tcPr>
          <w:p w14:paraId="56FCB29C" w14:textId="77777777" w:rsidR="00126D8D" w:rsidRPr="007F5002" w:rsidRDefault="00126D8D" w:rsidP="007F5002">
            <w:pPr>
              <w:spacing w:line="240" w:lineRule="auto"/>
              <w:jc w:val="center"/>
              <w:rPr>
                <w:rFonts w:cs="Times New Roman"/>
                <w:color w:val="000000" w:themeColor="text1"/>
                <w:sz w:val="16"/>
                <w:szCs w:val="16"/>
                <w:vertAlign w:val="superscript"/>
              </w:rPr>
            </w:pPr>
            <w:r w:rsidRPr="007F5002">
              <w:rPr>
                <w:rFonts w:cs="Times New Roman"/>
                <w:color w:val="000000"/>
                <w:sz w:val="16"/>
                <w:szCs w:val="16"/>
              </w:rPr>
              <w:t>5.40</w:t>
            </w:r>
            <w:r w:rsidRPr="007F5002">
              <w:rPr>
                <w:rFonts w:cs="Times New Roman"/>
                <w:color w:val="000000"/>
                <w:sz w:val="16"/>
                <w:szCs w:val="16"/>
                <w:vertAlign w:val="superscript"/>
              </w:rPr>
              <w:t>ab</w:t>
            </w:r>
          </w:p>
        </w:tc>
        <w:tc>
          <w:tcPr>
            <w:tcW w:w="1260" w:type="dxa"/>
            <w:tcBorders>
              <w:top w:val="single" w:sz="2" w:space="0" w:color="FFFFFF" w:themeColor="background1"/>
              <w:left w:val="single" w:sz="2" w:space="0" w:color="FFFFFF" w:themeColor="background1"/>
              <w:bottom w:val="single" w:sz="2" w:space="0" w:color="FFFFFF" w:themeColor="background1"/>
              <w:right w:val="single" w:sz="2" w:space="0" w:color="FFFFFF" w:themeColor="background1"/>
            </w:tcBorders>
            <w:noWrap/>
            <w:vAlign w:val="center"/>
            <w:hideMark/>
          </w:tcPr>
          <w:p w14:paraId="375CE57C" w14:textId="77777777" w:rsidR="00126D8D" w:rsidRPr="007F5002" w:rsidRDefault="00126D8D" w:rsidP="007F5002">
            <w:pPr>
              <w:spacing w:line="240" w:lineRule="auto"/>
              <w:jc w:val="center"/>
              <w:rPr>
                <w:rFonts w:cs="Times New Roman"/>
                <w:color w:val="000000" w:themeColor="text1"/>
                <w:sz w:val="16"/>
                <w:szCs w:val="16"/>
                <w:vertAlign w:val="superscript"/>
              </w:rPr>
            </w:pPr>
            <w:r w:rsidRPr="007F5002">
              <w:rPr>
                <w:rFonts w:cs="Times New Roman"/>
                <w:color w:val="000000"/>
                <w:sz w:val="16"/>
                <w:szCs w:val="16"/>
              </w:rPr>
              <w:t>0.92</w:t>
            </w:r>
            <w:r w:rsidRPr="007F5002">
              <w:rPr>
                <w:rFonts w:cs="Times New Roman"/>
                <w:color w:val="000000"/>
                <w:sz w:val="16"/>
                <w:szCs w:val="16"/>
                <w:vertAlign w:val="superscript"/>
              </w:rPr>
              <w:t>bc</w:t>
            </w:r>
          </w:p>
        </w:tc>
        <w:tc>
          <w:tcPr>
            <w:tcW w:w="1350" w:type="dxa"/>
            <w:tcBorders>
              <w:top w:val="single" w:sz="2" w:space="0" w:color="FFFFFF" w:themeColor="background1"/>
              <w:left w:val="single" w:sz="2" w:space="0" w:color="FFFFFF" w:themeColor="background1"/>
              <w:bottom w:val="single" w:sz="2" w:space="0" w:color="FFFFFF" w:themeColor="background1"/>
              <w:right w:val="single" w:sz="2" w:space="0" w:color="FFFFFF" w:themeColor="background1"/>
            </w:tcBorders>
            <w:noWrap/>
            <w:vAlign w:val="center"/>
            <w:hideMark/>
          </w:tcPr>
          <w:p w14:paraId="01DCA596" w14:textId="77777777" w:rsidR="00126D8D" w:rsidRPr="007F5002" w:rsidRDefault="00126D8D" w:rsidP="007F5002">
            <w:pPr>
              <w:spacing w:line="240" w:lineRule="auto"/>
              <w:jc w:val="center"/>
              <w:rPr>
                <w:rFonts w:cs="Times New Roman"/>
                <w:color w:val="000000" w:themeColor="text1"/>
                <w:sz w:val="16"/>
                <w:szCs w:val="16"/>
                <w:vertAlign w:val="superscript"/>
              </w:rPr>
            </w:pPr>
            <w:r w:rsidRPr="007F5002">
              <w:rPr>
                <w:rFonts w:cs="Times New Roman"/>
                <w:color w:val="000000"/>
                <w:sz w:val="16"/>
                <w:szCs w:val="16"/>
              </w:rPr>
              <w:t>5.45</w:t>
            </w:r>
            <w:r w:rsidRPr="007F5002">
              <w:rPr>
                <w:rFonts w:cs="Times New Roman"/>
                <w:color w:val="000000"/>
                <w:sz w:val="16"/>
                <w:szCs w:val="16"/>
                <w:vertAlign w:val="superscript"/>
              </w:rPr>
              <w:t>ab</w:t>
            </w:r>
          </w:p>
        </w:tc>
        <w:tc>
          <w:tcPr>
            <w:tcW w:w="1260" w:type="dxa"/>
            <w:tcBorders>
              <w:top w:val="single" w:sz="2" w:space="0" w:color="FFFFFF" w:themeColor="background1"/>
              <w:left w:val="single" w:sz="2" w:space="0" w:color="FFFFFF" w:themeColor="background1"/>
              <w:bottom w:val="single" w:sz="2" w:space="0" w:color="FFFFFF" w:themeColor="background1"/>
              <w:right w:val="single" w:sz="2" w:space="0" w:color="FFFFFF" w:themeColor="background1"/>
            </w:tcBorders>
            <w:noWrap/>
            <w:vAlign w:val="center"/>
            <w:hideMark/>
          </w:tcPr>
          <w:p w14:paraId="08C90F50" w14:textId="77777777" w:rsidR="00126D8D" w:rsidRPr="007F5002" w:rsidRDefault="00126D8D" w:rsidP="007F5002">
            <w:pPr>
              <w:spacing w:line="240" w:lineRule="auto"/>
              <w:jc w:val="center"/>
              <w:rPr>
                <w:rFonts w:cs="Times New Roman"/>
                <w:color w:val="000000" w:themeColor="text1"/>
                <w:sz w:val="16"/>
                <w:szCs w:val="16"/>
                <w:vertAlign w:val="superscript"/>
              </w:rPr>
            </w:pPr>
            <w:r w:rsidRPr="007F5002">
              <w:rPr>
                <w:rFonts w:cs="Times New Roman"/>
                <w:color w:val="000000"/>
                <w:sz w:val="16"/>
                <w:szCs w:val="16"/>
              </w:rPr>
              <w:t>0.67</w:t>
            </w:r>
            <w:r w:rsidRPr="007F5002">
              <w:rPr>
                <w:rFonts w:cs="Times New Roman"/>
                <w:color w:val="000000"/>
                <w:sz w:val="16"/>
                <w:szCs w:val="16"/>
                <w:vertAlign w:val="superscript"/>
              </w:rPr>
              <w:t>ab</w:t>
            </w:r>
          </w:p>
        </w:tc>
        <w:tc>
          <w:tcPr>
            <w:tcW w:w="1170" w:type="dxa"/>
            <w:tcBorders>
              <w:top w:val="single" w:sz="2" w:space="0" w:color="FFFFFF" w:themeColor="background1"/>
              <w:left w:val="single" w:sz="2" w:space="0" w:color="FFFFFF" w:themeColor="background1"/>
              <w:bottom w:val="single" w:sz="2" w:space="0" w:color="FFFFFF" w:themeColor="background1"/>
              <w:right w:val="single" w:sz="2" w:space="0" w:color="FFFFFF" w:themeColor="background1"/>
            </w:tcBorders>
            <w:noWrap/>
            <w:vAlign w:val="center"/>
            <w:hideMark/>
          </w:tcPr>
          <w:p w14:paraId="245D1CCD" w14:textId="77777777" w:rsidR="00126D8D" w:rsidRPr="007F5002" w:rsidRDefault="00126D8D" w:rsidP="007F5002">
            <w:pPr>
              <w:spacing w:line="240" w:lineRule="auto"/>
              <w:jc w:val="center"/>
              <w:rPr>
                <w:rFonts w:cs="Times New Roman"/>
                <w:color w:val="000000" w:themeColor="text1"/>
                <w:sz w:val="16"/>
                <w:szCs w:val="16"/>
                <w:vertAlign w:val="superscript"/>
              </w:rPr>
            </w:pPr>
            <w:r w:rsidRPr="007F5002">
              <w:rPr>
                <w:rFonts w:cs="Times New Roman"/>
                <w:color w:val="000000"/>
                <w:sz w:val="16"/>
                <w:szCs w:val="16"/>
              </w:rPr>
              <w:t>3.03</w:t>
            </w:r>
            <w:r w:rsidRPr="007F5002">
              <w:rPr>
                <w:rFonts w:cs="Times New Roman"/>
                <w:color w:val="000000"/>
                <w:sz w:val="16"/>
                <w:szCs w:val="16"/>
                <w:vertAlign w:val="superscript"/>
              </w:rPr>
              <w:t>cd</w:t>
            </w:r>
          </w:p>
        </w:tc>
        <w:tc>
          <w:tcPr>
            <w:tcW w:w="1170" w:type="dxa"/>
            <w:tcBorders>
              <w:top w:val="single" w:sz="2" w:space="0" w:color="FFFFFF" w:themeColor="background1"/>
              <w:left w:val="single" w:sz="2" w:space="0" w:color="FFFFFF" w:themeColor="background1"/>
              <w:bottom w:val="single" w:sz="2" w:space="0" w:color="FFFFFF" w:themeColor="background1"/>
              <w:right w:val="single" w:sz="2" w:space="0" w:color="FFFFFF" w:themeColor="background1"/>
            </w:tcBorders>
            <w:vAlign w:val="center"/>
          </w:tcPr>
          <w:p w14:paraId="23269971" w14:textId="77777777" w:rsidR="00126D8D" w:rsidRPr="007F5002" w:rsidRDefault="00126D8D" w:rsidP="007F5002">
            <w:pPr>
              <w:spacing w:line="240" w:lineRule="auto"/>
              <w:jc w:val="center"/>
              <w:rPr>
                <w:rFonts w:cs="Times New Roman"/>
                <w:color w:val="000000" w:themeColor="text1"/>
                <w:sz w:val="16"/>
                <w:szCs w:val="16"/>
                <w:vertAlign w:val="superscript"/>
              </w:rPr>
            </w:pPr>
            <w:r w:rsidRPr="007F5002">
              <w:rPr>
                <w:rFonts w:cs="Times New Roman"/>
                <w:color w:val="000000"/>
                <w:sz w:val="16"/>
                <w:szCs w:val="16"/>
              </w:rPr>
              <w:t>0.44</w:t>
            </w:r>
            <w:r w:rsidRPr="007F5002">
              <w:rPr>
                <w:rFonts w:cs="Times New Roman"/>
                <w:color w:val="000000"/>
                <w:sz w:val="16"/>
                <w:szCs w:val="16"/>
                <w:vertAlign w:val="superscript"/>
              </w:rPr>
              <w:t>ab</w:t>
            </w:r>
          </w:p>
        </w:tc>
      </w:tr>
      <w:tr w:rsidR="00126D8D" w:rsidRPr="007F5002" w14:paraId="534B964F" w14:textId="77777777" w:rsidTr="007F5002">
        <w:trPr>
          <w:trHeight w:val="288"/>
        </w:trPr>
        <w:tc>
          <w:tcPr>
            <w:tcW w:w="1435" w:type="dxa"/>
            <w:tcBorders>
              <w:top w:val="single" w:sz="2" w:space="0" w:color="FFFFFF" w:themeColor="background1"/>
              <w:left w:val="single" w:sz="2" w:space="0" w:color="FFFFFF" w:themeColor="background1"/>
              <w:bottom w:val="single" w:sz="4" w:space="0" w:color="auto"/>
              <w:right w:val="single" w:sz="2" w:space="0" w:color="FFFFFF" w:themeColor="background1"/>
            </w:tcBorders>
            <w:noWrap/>
            <w:vAlign w:val="center"/>
            <w:hideMark/>
          </w:tcPr>
          <w:p w14:paraId="1A55163B" w14:textId="77777777" w:rsidR="00126D8D" w:rsidRPr="007F5002" w:rsidRDefault="00126D8D" w:rsidP="007F5002">
            <w:pPr>
              <w:spacing w:line="240" w:lineRule="auto"/>
              <w:jc w:val="center"/>
              <w:rPr>
                <w:rFonts w:cs="Times New Roman"/>
                <w:color w:val="000000" w:themeColor="text1"/>
                <w:sz w:val="16"/>
                <w:szCs w:val="16"/>
              </w:rPr>
            </w:pPr>
            <w:r w:rsidRPr="007F5002">
              <w:rPr>
                <w:rFonts w:cs="Times New Roman"/>
                <w:color w:val="000000" w:themeColor="text1"/>
                <w:sz w:val="16"/>
                <w:szCs w:val="16"/>
              </w:rPr>
              <w:t>NL Control</w:t>
            </w:r>
          </w:p>
        </w:tc>
        <w:tc>
          <w:tcPr>
            <w:tcW w:w="1260" w:type="dxa"/>
            <w:tcBorders>
              <w:top w:val="single" w:sz="2" w:space="0" w:color="FFFFFF" w:themeColor="background1"/>
              <w:left w:val="single" w:sz="2" w:space="0" w:color="FFFFFF" w:themeColor="background1"/>
              <w:bottom w:val="single" w:sz="4" w:space="0" w:color="auto"/>
              <w:right w:val="single" w:sz="2" w:space="0" w:color="FFFFFF" w:themeColor="background1"/>
            </w:tcBorders>
            <w:noWrap/>
            <w:vAlign w:val="center"/>
            <w:hideMark/>
          </w:tcPr>
          <w:p w14:paraId="4D42929D" w14:textId="77777777" w:rsidR="00126D8D" w:rsidRPr="007F5002" w:rsidRDefault="00126D8D" w:rsidP="007F5002">
            <w:pPr>
              <w:spacing w:line="240" w:lineRule="auto"/>
              <w:jc w:val="center"/>
              <w:rPr>
                <w:rFonts w:cs="Times New Roman"/>
                <w:color w:val="000000" w:themeColor="text1"/>
                <w:sz w:val="16"/>
                <w:szCs w:val="16"/>
                <w:vertAlign w:val="superscript"/>
              </w:rPr>
            </w:pPr>
            <w:r w:rsidRPr="007F5002">
              <w:rPr>
                <w:rFonts w:cs="Times New Roman"/>
                <w:color w:val="000000"/>
                <w:sz w:val="16"/>
                <w:szCs w:val="16"/>
              </w:rPr>
              <w:t>5.61</w:t>
            </w:r>
            <w:r w:rsidRPr="007F5002">
              <w:rPr>
                <w:rFonts w:cs="Times New Roman"/>
                <w:color w:val="000000"/>
                <w:sz w:val="16"/>
                <w:szCs w:val="16"/>
                <w:vertAlign w:val="superscript"/>
              </w:rPr>
              <w:t>a</w:t>
            </w:r>
          </w:p>
        </w:tc>
        <w:tc>
          <w:tcPr>
            <w:tcW w:w="1260" w:type="dxa"/>
            <w:tcBorders>
              <w:top w:val="single" w:sz="2" w:space="0" w:color="FFFFFF" w:themeColor="background1"/>
              <w:left w:val="single" w:sz="2" w:space="0" w:color="FFFFFF" w:themeColor="background1"/>
              <w:bottom w:val="single" w:sz="4" w:space="0" w:color="auto"/>
              <w:right w:val="single" w:sz="2" w:space="0" w:color="FFFFFF" w:themeColor="background1"/>
            </w:tcBorders>
            <w:noWrap/>
            <w:vAlign w:val="center"/>
            <w:hideMark/>
          </w:tcPr>
          <w:p w14:paraId="0DFF6392" w14:textId="77777777" w:rsidR="00126D8D" w:rsidRPr="007F5002" w:rsidRDefault="00126D8D" w:rsidP="007F5002">
            <w:pPr>
              <w:spacing w:line="240" w:lineRule="auto"/>
              <w:jc w:val="center"/>
              <w:rPr>
                <w:rFonts w:cs="Times New Roman"/>
                <w:color w:val="000000" w:themeColor="text1"/>
                <w:sz w:val="16"/>
                <w:szCs w:val="16"/>
                <w:vertAlign w:val="superscript"/>
              </w:rPr>
            </w:pPr>
            <w:r w:rsidRPr="007F5002">
              <w:rPr>
                <w:rFonts w:cs="Times New Roman"/>
                <w:color w:val="000000"/>
                <w:sz w:val="16"/>
                <w:szCs w:val="16"/>
              </w:rPr>
              <w:t>0.79</w:t>
            </w:r>
            <w:r w:rsidRPr="007F5002">
              <w:rPr>
                <w:rFonts w:cs="Times New Roman"/>
                <w:color w:val="000000"/>
                <w:sz w:val="16"/>
                <w:szCs w:val="16"/>
                <w:vertAlign w:val="superscript"/>
              </w:rPr>
              <w:t>d</w:t>
            </w:r>
          </w:p>
        </w:tc>
        <w:tc>
          <w:tcPr>
            <w:tcW w:w="1350" w:type="dxa"/>
            <w:tcBorders>
              <w:top w:val="single" w:sz="2" w:space="0" w:color="FFFFFF" w:themeColor="background1"/>
              <w:left w:val="single" w:sz="2" w:space="0" w:color="FFFFFF" w:themeColor="background1"/>
              <w:bottom w:val="single" w:sz="4" w:space="0" w:color="auto"/>
              <w:right w:val="single" w:sz="2" w:space="0" w:color="FFFFFF" w:themeColor="background1"/>
            </w:tcBorders>
            <w:noWrap/>
            <w:vAlign w:val="center"/>
            <w:hideMark/>
          </w:tcPr>
          <w:p w14:paraId="199BA19F" w14:textId="77777777" w:rsidR="00126D8D" w:rsidRPr="007F5002" w:rsidRDefault="00126D8D" w:rsidP="007F5002">
            <w:pPr>
              <w:spacing w:line="240" w:lineRule="auto"/>
              <w:jc w:val="center"/>
              <w:rPr>
                <w:rFonts w:cs="Times New Roman"/>
                <w:color w:val="000000" w:themeColor="text1"/>
                <w:sz w:val="16"/>
                <w:szCs w:val="16"/>
                <w:vertAlign w:val="superscript"/>
              </w:rPr>
            </w:pPr>
            <w:r w:rsidRPr="007F5002">
              <w:rPr>
                <w:rFonts w:cs="Times New Roman"/>
                <w:color w:val="000000"/>
                <w:sz w:val="16"/>
                <w:szCs w:val="16"/>
              </w:rPr>
              <w:t>5.57</w:t>
            </w:r>
            <w:r w:rsidRPr="007F5002">
              <w:rPr>
                <w:rFonts w:cs="Times New Roman"/>
                <w:color w:val="000000"/>
                <w:sz w:val="16"/>
                <w:szCs w:val="16"/>
                <w:vertAlign w:val="superscript"/>
              </w:rPr>
              <w:t>a</w:t>
            </w:r>
          </w:p>
        </w:tc>
        <w:tc>
          <w:tcPr>
            <w:tcW w:w="1260" w:type="dxa"/>
            <w:tcBorders>
              <w:top w:val="single" w:sz="2" w:space="0" w:color="FFFFFF" w:themeColor="background1"/>
              <w:left w:val="single" w:sz="2" w:space="0" w:color="FFFFFF" w:themeColor="background1"/>
              <w:bottom w:val="single" w:sz="4" w:space="0" w:color="auto"/>
              <w:right w:val="single" w:sz="2" w:space="0" w:color="FFFFFF" w:themeColor="background1"/>
            </w:tcBorders>
            <w:noWrap/>
            <w:vAlign w:val="center"/>
            <w:hideMark/>
          </w:tcPr>
          <w:p w14:paraId="0294127A" w14:textId="77777777" w:rsidR="00126D8D" w:rsidRPr="007F5002" w:rsidRDefault="00126D8D" w:rsidP="007F5002">
            <w:pPr>
              <w:spacing w:line="240" w:lineRule="auto"/>
              <w:jc w:val="center"/>
              <w:rPr>
                <w:rFonts w:cs="Times New Roman"/>
                <w:color w:val="000000" w:themeColor="text1"/>
                <w:sz w:val="16"/>
                <w:szCs w:val="16"/>
                <w:vertAlign w:val="superscript"/>
              </w:rPr>
            </w:pPr>
            <w:r w:rsidRPr="007F5002">
              <w:rPr>
                <w:rFonts w:cs="Times New Roman"/>
                <w:color w:val="000000"/>
                <w:sz w:val="16"/>
                <w:szCs w:val="16"/>
              </w:rPr>
              <w:t>0.67</w:t>
            </w:r>
            <w:r w:rsidRPr="007F5002">
              <w:rPr>
                <w:rFonts w:cs="Times New Roman"/>
                <w:color w:val="000000"/>
                <w:sz w:val="16"/>
                <w:szCs w:val="16"/>
                <w:vertAlign w:val="superscript"/>
              </w:rPr>
              <w:t>ab</w:t>
            </w:r>
          </w:p>
        </w:tc>
        <w:tc>
          <w:tcPr>
            <w:tcW w:w="1170" w:type="dxa"/>
            <w:tcBorders>
              <w:top w:val="single" w:sz="2" w:space="0" w:color="FFFFFF" w:themeColor="background1"/>
              <w:left w:val="single" w:sz="2" w:space="0" w:color="FFFFFF" w:themeColor="background1"/>
              <w:bottom w:val="single" w:sz="4" w:space="0" w:color="auto"/>
              <w:right w:val="single" w:sz="2" w:space="0" w:color="FFFFFF" w:themeColor="background1"/>
            </w:tcBorders>
            <w:noWrap/>
            <w:vAlign w:val="center"/>
            <w:hideMark/>
          </w:tcPr>
          <w:p w14:paraId="05959144" w14:textId="77777777" w:rsidR="00126D8D" w:rsidRPr="007F5002" w:rsidRDefault="00126D8D" w:rsidP="007F5002">
            <w:pPr>
              <w:spacing w:line="240" w:lineRule="auto"/>
              <w:jc w:val="center"/>
              <w:rPr>
                <w:rFonts w:cs="Times New Roman"/>
                <w:color w:val="000000" w:themeColor="text1"/>
                <w:sz w:val="16"/>
                <w:szCs w:val="16"/>
                <w:vertAlign w:val="superscript"/>
              </w:rPr>
            </w:pPr>
            <w:r w:rsidRPr="007F5002">
              <w:rPr>
                <w:rFonts w:cs="Times New Roman"/>
                <w:color w:val="000000"/>
                <w:sz w:val="16"/>
                <w:szCs w:val="16"/>
              </w:rPr>
              <w:t>3.10</w:t>
            </w:r>
            <w:r w:rsidRPr="007F5002">
              <w:rPr>
                <w:rFonts w:cs="Times New Roman"/>
                <w:color w:val="000000"/>
                <w:sz w:val="16"/>
                <w:szCs w:val="16"/>
                <w:vertAlign w:val="superscript"/>
              </w:rPr>
              <w:t>bc</w:t>
            </w:r>
          </w:p>
        </w:tc>
        <w:tc>
          <w:tcPr>
            <w:tcW w:w="1170" w:type="dxa"/>
            <w:tcBorders>
              <w:top w:val="single" w:sz="2" w:space="0" w:color="FFFFFF" w:themeColor="background1"/>
              <w:left w:val="single" w:sz="2" w:space="0" w:color="FFFFFF" w:themeColor="background1"/>
              <w:bottom w:val="single" w:sz="4" w:space="0" w:color="auto"/>
              <w:right w:val="single" w:sz="2" w:space="0" w:color="FFFFFF" w:themeColor="background1"/>
            </w:tcBorders>
            <w:vAlign w:val="center"/>
          </w:tcPr>
          <w:p w14:paraId="55F280FF" w14:textId="77777777" w:rsidR="00126D8D" w:rsidRPr="007F5002" w:rsidRDefault="00126D8D" w:rsidP="007F5002">
            <w:pPr>
              <w:spacing w:line="240" w:lineRule="auto"/>
              <w:jc w:val="center"/>
              <w:rPr>
                <w:rFonts w:cs="Times New Roman"/>
                <w:color w:val="000000" w:themeColor="text1"/>
                <w:sz w:val="16"/>
                <w:szCs w:val="16"/>
                <w:vertAlign w:val="superscript"/>
              </w:rPr>
            </w:pPr>
            <w:r w:rsidRPr="007F5002">
              <w:rPr>
                <w:rFonts w:cs="Times New Roman"/>
                <w:color w:val="000000"/>
                <w:sz w:val="16"/>
                <w:szCs w:val="16"/>
              </w:rPr>
              <w:t>0.38</w:t>
            </w:r>
            <w:r w:rsidRPr="007F5002">
              <w:rPr>
                <w:rFonts w:cs="Times New Roman"/>
                <w:color w:val="000000"/>
                <w:sz w:val="16"/>
                <w:szCs w:val="16"/>
                <w:vertAlign w:val="superscript"/>
              </w:rPr>
              <w:t>b</w:t>
            </w:r>
          </w:p>
        </w:tc>
      </w:tr>
    </w:tbl>
    <w:p w14:paraId="15D243E5" w14:textId="77777777" w:rsidR="00126D8D" w:rsidRDefault="00126D8D" w:rsidP="00DC4427">
      <w:pPr>
        <w:spacing w:line="240" w:lineRule="auto"/>
        <w:rPr>
          <w:rFonts w:cs="Times New Roman"/>
          <w:color w:val="000000" w:themeColor="text1"/>
        </w:rPr>
      </w:pPr>
      <w:r w:rsidRPr="00D3624B">
        <w:rPr>
          <w:rFonts w:cs="Times New Roman"/>
          <w:color w:val="000000" w:themeColor="text1"/>
        </w:rPr>
        <w:t xml:space="preserve">*All concentrations are presented in </w:t>
      </w:r>
      <w:r>
        <w:rPr>
          <w:rFonts w:cs="Times New Roman"/>
          <w:color w:val="000000" w:themeColor="text1"/>
        </w:rPr>
        <w:t xml:space="preserve">percent of dry </w:t>
      </w:r>
      <w:r w:rsidRPr="00D3624B">
        <w:rPr>
          <w:rFonts w:cs="Times New Roman"/>
          <w:color w:val="000000" w:themeColor="text1"/>
        </w:rPr>
        <w:t>weight (</w:t>
      </w:r>
      <w:r>
        <w:rPr>
          <w:rFonts w:cs="Times New Roman"/>
          <w:color w:val="000000" w:themeColor="text1"/>
        </w:rPr>
        <w:t>%</w:t>
      </w:r>
      <w:r w:rsidRPr="00D3624B">
        <w:rPr>
          <w:rFonts w:cs="Times New Roman"/>
          <w:color w:val="000000" w:themeColor="text1"/>
        </w:rPr>
        <w:t>). Mean values represent 2 plants per replication and 6 replications per treatment. Values were analyzed using Tukey's (protected) HSD, and those followed by the same letter are not significantly different (α=0.05).</w:t>
      </w:r>
    </w:p>
    <w:p w14:paraId="032428C7" w14:textId="77777777" w:rsidR="00A67B85" w:rsidRDefault="00A67B85" w:rsidP="00A67B85">
      <w:pPr>
        <w:spacing w:line="240" w:lineRule="auto"/>
        <w:rPr>
          <w:rFonts w:cs="Times New Roman"/>
          <w:color w:val="000000" w:themeColor="text1"/>
        </w:rPr>
      </w:pPr>
    </w:p>
    <w:p w14:paraId="4A31F125" w14:textId="77777777" w:rsidR="00A67B85" w:rsidRDefault="00A67B85" w:rsidP="00A67B85">
      <w:pPr>
        <w:spacing w:line="240" w:lineRule="auto"/>
        <w:rPr>
          <w:rFonts w:cs="Times New Roman"/>
          <w:color w:val="000000" w:themeColor="text1"/>
        </w:rPr>
      </w:pPr>
    </w:p>
    <w:p w14:paraId="2F525799" w14:textId="77777777" w:rsidR="00EF6679" w:rsidRDefault="00EF6679">
      <w:pPr>
        <w:spacing w:line="240" w:lineRule="auto"/>
        <w:rPr>
          <w:rFonts w:cs="Times New Roman"/>
          <w:b/>
          <w:color w:val="000000" w:themeColor="text1"/>
        </w:rPr>
      </w:pPr>
      <w:r>
        <w:rPr>
          <w:rFonts w:cs="Times New Roman"/>
          <w:b/>
          <w:color w:val="000000" w:themeColor="text1"/>
        </w:rPr>
        <w:br w:type="page"/>
      </w:r>
    </w:p>
    <w:p w14:paraId="5390DC10" w14:textId="24781F37" w:rsidR="00126D8D" w:rsidRPr="00D3624B" w:rsidRDefault="00126D8D" w:rsidP="00EF6679">
      <w:pPr>
        <w:pStyle w:val="TableTOC"/>
      </w:pPr>
      <w:bookmarkStart w:id="620" w:name="_Toc141478783"/>
      <w:r w:rsidRPr="00D3624B">
        <w:rPr>
          <w:b/>
        </w:rPr>
        <w:lastRenderedPageBreak/>
        <w:t xml:space="preserve">Table </w:t>
      </w:r>
      <w:r>
        <w:rPr>
          <w:b/>
        </w:rPr>
        <w:t>4.6</w:t>
      </w:r>
      <w:r w:rsidRPr="00D3624B">
        <w:rPr>
          <w:b/>
        </w:rPr>
        <w:t>.</w:t>
      </w:r>
      <w:r w:rsidRPr="00D3624B">
        <w:t xml:space="preserve"> Influence of supplemental lighting treatments on</w:t>
      </w:r>
      <w:r>
        <w:t xml:space="preserve"> micro</w:t>
      </w:r>
      <w:r w:rsidRPr="00D3624B">
        <w:t>nutrient mineral concentrations of hydroponically grown 'Genovese' basil (</w:t>
      </w:r>
      <w:r w:rsidRPr="00D3624B">
        <w:rPr>
          <w:i/>
        </w:rPr>
        <w:t>Ocimum basilicum</w:t>
      </w:r>
      <w:r w:rsidRPr="00D3624B">
        <w:t xml:space="preserve"> var. 'Genovese'). A total of four light treatments were added immediately after seedling transplant: </w:t>
      </w:r>
      <w:r>
        <w:t>Narrowband B/R</w:t>
      </w:r>
      <w:r w:rsidRPr="00D3624B">
        <w:t xml:space="preserve"> LED, </w:t>
      </w:r>
      <w:r>
        <w:t>Broadband White</w:t>
      </w:r>
      <w:r w:rsidRPr="00D3624B">
        <w:t xml:space="preserve"> LED, high pressure sodium, and non-supplemented natural light (NL) control.</w:t>
      </w:r>
      <w:bookmarkEnd w:id="620"/>
    </w:p>
    <w:p w14:paraId="77573E15" w14:textId="77777777" w:rsidR="00126D8D" w:rsidRPr="00D3624B" w:rsidRDefault="00126D8D" w:rsidP="00DC4427">
      <w:pPr>
        <w:pStyle w:val="TableTOC"/>
        <w:ind w:right="1530"/>
        <w:jc w:val="both"/>
        <w:rPr>
          <w:rFonts w:cs="Times New Roman"/>
          <w:color w:val="000000" w:themeColor="text1"/>
        </w:rPr>
      </w:pPr>
    </w:p>
    <w:tbl>
      <w:tblPr>
        <w:tblW w:w="7735" w:type="dxa"/>
        <w:tblBorders>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Layout w:type="fixed"/>
        <w:tblLook w:val="06A0" w:firstRow="1" w:lastRow="0" w:firstColumn="1" w:lastColumn="0" w:noHBand="1" w:noVBand="1"/>
      </w:tblPr>
      <w:tblGrid>
        <w:gridCol w:w="1435"/>
        <w:gridCol w:w="1260"/>
        <w:gridCol w:w="1260"/>
        <w:gridCol w:w="1350"/>
        <w:gridCol w:w="1260"/>
        <w:gridCol w:w="1170"/>
      </w:tblGrid>
      <w:tr w:rsidR="00126D8D" w:rsidRPr="00D3624B" w14:paraId="3E1F7631" w14:textId="77777777" w:rsidTr="007F5002">
        <w:trPr>
          <w:trHeight w:val="288"/>
        </w:trPr>
        <w:tc>
          <w:tcPr>
            <w:tcW w:w="1435" w:type="dxa"/>
            <w:tcBorders>
              <w:top w:val="single" w:sz="12" w:space="0" w:color="000000" w:themeColor="text1"/>
              <w:bottom w:val="single" w:sz="12" w:space="0" w:color="000000" w:themeColor="text1"/>
            </w:tcBorders>
            <w:noWrap/>
            <w:vAlign w:val="center"/>
            <w:hideMark/>
          </w:tcPr>
          <w:p w14:paraId="68F59786" w14:textId="77777777" w:rsidR="00126D8D" w:rsidRPr="00153415" w:rsidRDefault="00126D8D" w:rsidP="007F5002">
            <w:pPr>
              <w:spacing w:line="240" w:lineRule="auto"/>
              <w:jc w:val="center"/>
              <w:rPr>
                <w:rFonts w:cs="Times New Roman"/>
                <w:b/>
                <w:bCs/>
                <w:color w:val="000000" w:themeColor="text1"/>
                <w:sz w:val="16"/>
                <w:szCs w:val="16"/>
              </w:rPr>
            </w:pPr>
            <w:r w:rsidRPr="00153415">
              <w:rPr>
                <w:rFonts w:cs="Times New Roman"/>
                <w:b/>
                <w:bCs/>
                <w:color w:val="000000" w:themeColor="text1"/>
                <w:sz w:val="16"/>
                <w:szCs w:val="16"/>
              </w:rPr>
              <w:t>Light Treatment</w:t>
            </w:r>
          </w:p>
        </w:tc>
        <w:tc>
          <w:tcPr>
            <w:tcW w:w="1260" w:type="dxa"/>
            <w:tcBorders>
              <w:top w:val="single" w:sz="12" w:space="0" w:color="000000" w:themeColor="text1"/>
              <w:bottom w:val="single" w:sz="12" w:space="0" w:color="000000" w:themeColor="text1"/>
            </w:tcBorders>
            <w:noWrap/>
            <w:vAlign w:val="center"/>
          </w:tcPr>
          <w:p w14:paraId="30C2DF19" w14:textId="77777777" w:rsidR="00126D8D" w:rsidRPr="00993221" w:rsidRDefault="00126D8D" w:rsidP="007F5002">
            <w:pPr>
              <w:spacing w:line="240" w:lineRule="auto"/>
              <w:jc w:val="center"/>
              <w:rPr>
                <w:rFonts w:cs="Times New Roman"/>
                <w:color w:val="000000" w:themeColor="text1"/>
                <w:sz w:val="16"/>
                <w:szCs w:val="16"/>
              </w:rPr>
            </w:pPr>
            <w:r w:rsidRPr="00993221">
              <w:rPr>
                <w:rFonts w:cs="Times New Roman"/>
                <w:color w:val="000000" w:themeColor="text1"/>
                <w:sz w:val="16"/>
                <w:szCs w:val="16"/>
              </w:rPr>
              <w:t>B (ppm)</w:t>
            </w:r>
          </w:p>
        </w:tc>
        <w:tc>
          <w:tcPr>
            <w:tcW w:w="1260" w:type="dxa"/>
            <w:tcBorders>
              <w:top w:val="single" w:sz="12" w:space="0" w:color="000000" w:themeColor="text1"/>
              <w:bottom w:val="single" w:sz="12" w:space="0" w:color="000000" w:themeColor="text1"/>
            </w:tcBorders>
            <w:noWrap/>
            <w:vAlign w:val="center"/>
          </w:tcPr>
          <w:p w14:paraId="3EF59FBE" w14:textId="77777777" w:rsidR="00126D8D" w:rsidRPr="00993221" w:rsidRDefault="00126D8D" w:rsidP="007F5002">
            <w:pPr>
              <w:spacing w:line="240" w:lineRule="auto"/>
              <w:jc w:val="center"/>
              <w:rPr>
                <w:rFonts w:cs="Times New Roman"/>
                <w:color w:val="000000" w:themeColor="text1"/>
                <w:sz w:val="16"/>
                <w:szCs w:val="16"/>
              </w:rPr>
            </w:pPr>
            <w:r w:rsidRPr="00993221">
              <w:rPr>
                <w:rFonts w:cs="Times New Roman"/>
                <w:color w:val="000000" w:themeColor="text1"/>
                <w:sz w:val="16"/>
                <w:szCs w:val="16"/>
              </w:rPr>
              <w:t>Zn (ppm)</w:t>
            </w:r>
          </w:p>
        </w:tc>
        <w:tc>
          <w:tcPr>
            <w:tcW w:w="1350" w:type="dxa"/>
            <w:tcBorders>
              <w:top w:val="single" w:sz="12" w:space="0" w:color="000000" w:themeColor="text1"/>
              <w:bottom w:val="single" w:sz="12" w:space="0" w:color="000000" w:themeColor="text1"/>
            </w:tcBorders>
            <w:noWrap/>
            <w:vAlign w:val="center"/>
          </w:tcPr>
          <w:p w14:paraId="6FFE17CF" w14:textId="77777777" w:rsidR="00126D8D" w:rsidRPr="00993221" w:rsidRDefault="00126D8D" w:rsidP="007F5002">
            <w:pPr>
              <w:spacing w:line="240" w:lineRule="auto"/>
              <w:jc w:val="center"/>
              <w:rPr>
                <w:rFonts w:cs="Times New Roman"/>
                <w:color w:val="000000" w:themeColor="text1"/>
                <w:sz w:val="16"/>
                <w:szCs w:val="16"/>
              </w:rPr>
            </w:pPr>
            <w:r w:rsidRPr="00993221">
              <w:rPr>
                <w:rFonts w:cs="Times New Roman"/>
                <w:color w:val="000000" w:themeColor="text1"/>
                <w:sz w:val="16"/>
                <w:szCs w:val="16"/>
              </w:rPr>
              <w:t>Mn (ppm)</w:t>
            </w:r>
          </w:p>
        </w:tc>
        <w:tc>
          <w:tcPr>
            <w:tcW w:w="1260" w:type="dxa"/>
            <w:tcBorders>
              <w:top w:val="single" w:sz="12" w:space="0" w:color="000000" w:themeColor="text1"/>
              <w:bottom w:val="single" w:sz="12" w:space="0" w:color="000000" w:themeColor="text1"/>
            </w:tcBorders>
            <w:noWrap/>
            <w:vAlign w:val="center"/>
          </w:tcPr>
          <w:p w14:paraId="01E44D99" w14:textId="77777777" w:rsidR="00126D8D" w:rsidRPr="00993221" w:rsidRDefault="00126D8D" w:rsidP="007F5002">
            <w:pPr>
              <w:spacing w:line="240" w:lineRule="auto"/>
              <w:jc w:val="center"/>
              <w:rPr>
                <w:rFonts w:cs="Times New Roman"/>
                <w:color w:val="000000" w:themeColor="text1"/>
                <w:sz w:val="16"/>
                <w:szCs w:val="16"/>
              </w:rPr>
            </w:pPr>
            <w:r w:rsidRPr="00993221">
              <w:rPr>
                <w:rFonts w:cs="Times New Roman"/>
                <w:color w:val="000000" w:themeColor="text1"/>
                <w:sz w:val="16"/>
                <w:szCs w:val="16"/>
              </w:rPr>
              <w:t>Fe (ppm)</w:t>
            </w:r>
          </w:p>
        </w:tc>
        <w:tc>
          <w:tcPr>
            <w:tcW w:w="1170" w:type="dxa"/>
            <w:tcBorders>
              <w:top w:val="single" w:sz="12" w:space="0" w:color="000000" w:themeColor="text1"/>
              <w:bottom w:val="single" w:sz="12" w:space="0" w:color="000000" w:themeColor="text1"/>
            </w:tcBorders>
            <w:noWrap/>
            <w:vAlign w:val="center"/>
          </w:tcPr>
          <w:p w14:paraId="2E81A18D" w14:textId="77777777" w:rsidR="00126D8D" w:rsidRPr="00993221" w:rsidRDefault="00126D8D" w:rsidP="007F5002">
            <w:pPr>
              <w:spacing w:line="240" w:lineRule="auto"/>
              <w:jc w:val="center"/>
              <w:rPr>
                <w:rFonts w:cs="Times New Roman"/>
                <w:color w:val="000000" w:themeColor="text1"/>
                <w:sz w:val="16"/>
                <w:szCs w:val="16"/>
              </w:rPr>
            </w:pPr>
            <w:r w:rsidRPr="00993221">
              <w:rPr>
                <w:rFonts w:cs="Times New Roman"/>
                <w:color w:val="000000" w:themeColor="text1"/>
                <w:sz w:val="16"/>
                <w:szCs w:val="16"/>
              </w:rPr>
              <w:t>Cu (ppm)</w:t>
            </w:r>
          </w:p>
        </w:tc>
      </w:tr>
      <w:tr w:rsidR="00126D8D" w:rsidRPr="00D3624B" w14:paraId="0C852378" w14:textId="77777777" w:rsidTr="007F5002">
        <w:trPr>
          <w:trHeight w:val="288"/>
        </w:trPr>
        <w:tc>
          <w:tcPr>
            <w:tcW w:w="1435" w:type="dxa"/>
            <w:tcBorders>
              <w:top w:val="single" w:sz="12" w:space="0" w:color="000000" w:themeColor="text1"/>
              <w:left w:val="single" w:sz="2" w:space="0" w:color="FFFFFF" w:themeColor="background1"/>
              <w:bottom w:val="single" w:sz="2" w:space="0" w:color="FFFFFF" w:themeColor="background1"/>
              <w:right w:val="single" w:sz="2" w:space="0" w:color="FFFFFF" w:themeColor="background1"/>
            </w:tcBorders>
            <w:noWrap/>
            <w:vAlign w:val="center"/>
            <w:hideMark/>
          </w:tcPr>
          <w:p w14:paraId="580609B8" w14:textId="77777777" w:rsidR="00126D8D" w:rsidRPr="00993221" w:rsidRDefault="00126D8D" w:rsidP="007F5002">
            <w:pPr>
              <w:spacing w:line="240" w:lineRule="auto"/>
              <w:jc w:val="center"/>
              <w:rPr>
                <w:rFonts w:cs="Times New Roman"/>
                <w:color w:val="000000" w:themeColor="text1"/>
                <w:sz w:val="16"/>
                <w:szCs w:val="16"/>
              </w:rPr>
            </w:pPr>
            <w:r>
              <w:rPr>
                <w:rFonts w:cs="Times New Roman"/>
                <w:color w:val="000000" w:themeColor="text1"/>
                <w:sz w:val="16"/>
                <w:szCs w:val="16"/>
              </w:rPr>
              <w:t>Narrowband B/R</w:t>
            </w:r>
          </w:p>
        </w:tc>
        <w:tc>
          <w:tcPr>
            <w:tcW w:w="1260" w:type="dxa"/>
            <w:tcBorders>
              <w:top w:val="single" w:sz="12" w:space="0" w:color="000000" w:themeColor="text1"/>
              <w:left w:val="single" w:sz="2" w:space="0" w:color="FFFFFF" w:themeColor="background1"/>
              <w:bottom w:val="single" w:sz="2" w:space="0" w:color="FFFFFF" w:themeColor="background1"/>
              <w:right w:val="single" w:sz="2" w:space="0" w:color="FFFFFF" w:themeColor="background1"/>
            </w:tcBorders>
            <w:noWrap/>
            <w:vAlign w:val="center"/>
            <w:hideMark/>
          </w:tcPr>
          <w:p w14:paraId="7AAFC277" w14:textId="77777777" w:rsidR="00126D8D" w:rsidRPr="00993221" w:rsidRDefault="00126D8D" w:rsidP="007F5002">
            <w:pPr>
              <w:spacing w:line="240" w:lineRule="auto"/>
              <w:jc w:val="center"/>
              <w:rPr>
                <w:rFonts w:cs="Times New Roman"/>
                <w:color w:val="000000" w:themeColor="text1"/>
                <w:sz w:val="16"/>
                <w:szCs w:val="16"/>
                <w:vertAlign w:val="superscript"/>
              </w:rPr>
            </w:pPr>
            <w:r w:rsidRPr="00993221">
              <w:rPr>
                <w:rFonts w:cs="Times New Roman"/>
                <w:color w:val="000000"/>
                <w:sz w:val="16"/>
                <w:szCs w:val="16"/>
              </w:rPr>
              <w:t>63.17</w:t>
            </w:r>
            <w:r w:rsidRPr="00993221">
              <w:rPr>
                <w:rFonts w:cs="Times New Roman"/>
                <w:color w:val="000000"/>
                <w:sz w:val="16"/>
                <w:szCs w:val="16"/>
                <w:vertAlign w:val="superscript"/>
              </w:rPr>
              <w:t>e</w:t>
            </w:r>
          </w:p>
        </w:tc>
        <w:tc>
          <w:tcPr>
            <w:tcW w:w="1260" w:type="dxa"/>
            <w:tcBorders>
              <w:top w:val="single" w:sz="12" w:space="0" w:color="000000" w:themeColor="text1"/>
              <w:left w:val="single" w:sz="2" w:space="0" w:color="FFFFFF" w:themeColor="background1"/>
              <w:bottom w:val="single" w:sz="2" w:space="0" w:color="FFFFFF" w:themeColor="background1"/>
              <w:right w:val="single" w:sz="2" w:space="0" w:color="FFFFFF" w:themeColor="background1"/>
            </w:tcBorders>
            <w:noWrap/>
            <w:vAlign w:val="center"/>
            <w:hideMark/>
          </w:tcPr>
          <w:p w14:paraId="43C43B47" w14:textId="77777777" w:rsidR="00126D8D" w:rsidRPr="00993221" w:rsidRDefault="00126D8D" w:rsidP="007F5002">
            <w:pPr>
              <w:spacing w:line="240" w:lineRule="auto"/>
              <w:jc w:val="center"/>
              <w:rPr>
                <w:rFonts w:cs="Times New Roman"/>
                <w:color w:val="000000" w:themeColor="text1"/>
                <w:sz w:val="16"/>
                <w:szCs w:val="16"/>
                <w:vertAlign w:val="superscript"/>
              </w:rPr>
            </w:pPr>
            <w:r w:rsidRPr="00993221">
              <w:rPr>
                <w:rFonts w:cs="Times New Roman"/>
                <w:color w:val="000000"/>
                <w:sz w:val="16"/>
                <w:szCs w:val="16"/>
              </w:rPr>
              <w:t>85.08</w:t>
            </w:r>
            <w:r w:rsidRPr="00993221">
              <w:rPr>
                <w:rFonts w:cs="Times New Roman"/>
                <w:color w:val="000000"/>
                <w:sz w:val="16"/>
                <w:szCs w:val="16"/>
                <w:vertAlign w:val="superscript"/>
              </w:rPr>
              <w:t>abc</w:t>
            </w:r>
          </w:p>
        </w:tc>
        <w:tc>
          <w:tcPr>
            <w:tcW w:w="1350" w:type="dxa"/>
            <w:tcBorders>
              <w:top w:val="single" w:sz="12" w:space="0" w:color="000000" w:themeColor="text1"/>
              <w:left w:val="single" w:sz="2" w:space="0" w:color="FFFFFF" w:themeColor="background1"/>
              <w:bottom w:val="single" w:sz="2" w:space="0" w:color="FFFFFF" w:themeColor="background1"/>
              <w:right w:val="single" w:sz="2" w:space="0" w:color="FFFFFF" w:themeColor="background1"/>
            </w:tcBorders>
            <w:noWrap/>
            <w:vAlign w:val="center"/>
            <w:hideMark/>
          </w:tcPr>
          <w:p w14:paraId="5A22E9EF" w14:textId="77777777" w:rsidR="00126D8D" w:rsidRPr="00993221" w:rsidRDefault="00126D8D" w:rsidP="007F5002">
            <w:pPr>
              <w:spacing w:line="240" w:lineRule="auto"/>
              <w:jc w:val="center"/>
              <w:rPr>
                <w:rFonts w:cs="Times New Roman"/>
                <w:color w:val="000000" w:themeColor="text1"/>
                <w:sz w:val="16"/>
                <w:szCs w:val="16"/>
                <w:vertAlign w:val="superscript"/>
              </w:rPr>
            </w:pPr>
            <w:r w:rsidRPr="00993221">
              <w:rPr>
                <w:rFonts w:cs="Times New Roman"/>
                <w:color w:val="000000"/>
                <w:sz w:val="16"/>
                <w:szCs w:val="16"/>
              </w:rPr>
              <w:t>172.92</w:t>
            </w:r>
            <w:r w:rsidRPr="00993221">
              <w:rPr>
                <w:rFonts w:cs="Times New Roman"/>
                <w:color w:val="000000"/>
                <w:sz w:val="16"/>
                <w:szCs w:val="16"/>
                <w:vertAlign w:val="superscript"/>
              </w:rPr>
              <w:t>bc</w:t>
            </w:r>
          </w:p>
        </w:tc>
        <w:tc>
          <w:tcPr>
            <w:tcW w:w="1260" w:type="dxa"/>
            <w:tcBorders>
              <w:top w:val="single" w:sz="12" w:space="0" w:color="000000" w:themeColor="text1"/>
              <w:left w:val="single" w:sz="2" w:space="0" w:color="FFFFFF" w:themeColor="background1"/>
              <w:bottom w:val="single" w:sz="2" w:space="0" w:color="FFFFFF" w:themeColor="background1"/>
              <w:right w:val="single" w:sz="2" w:space="0" w:color="FFFFFF" w:themeColor="background1"/>
            </w:tcBorders>
            <w:noWrap/>
            <w:vAlign w:val="center"/>
            <w:hideMark/>
          </w:tcPr>
          <w:p w14:paraId="0875592F" w14:textId="77777777" w:rsidR="00126D8D" w:rsidRPr="00993221" w:rsidRDefault="00126D8D" w:rsidP="007F5002">
            <w:pPr>
              <w:spacing w:line="240" w:lineRule="auto"/>
              <w:jc w:val="center"/>
              <w:rPr>
                <w:rFonts w:cs="Times New Roman"/>
                <w:color w:val="000000" w:themeColor="text1"/>
                <w:sz w:val="16"/>
                <w:szCs w:val="16"/>
                <w:vertAlign w:val="superscript"/>
              </w:rPr>
            </w:pPr>
            <w:r w:rsidRPr="00993221">
              <w:rPr>
                <w:rFonts w:cs="Times New Roman"/>
                <w:color w:val="000000"/>
                <w:sz w:val="16"/>
                <w:szCs w:val="16"/>
              </w:rPr>
              <w:t>129.67b</w:t>
            </w:r>
          </w:p>
        </w:tc>
        <w:tc>
          <w:tcPr>
            <w:tcW w:w="1170" w:type="dxa"/>
            <w:tcBorders>
              <w:top w:val="single" w:sz="12" w:space="0" w:color="000000" w:themeColor="text1"/>
              <w:left w:val="single" w:sz="2" w:space="0" w:color="FFFFFF" w:themeColor="background1"/>
              <w:bottom w:val="single" w:sz="2" w:space="0" w:color="FFFFFF" w:themeColor="background1"/>
              <w:right w:val="single" w:sz="2" w:space="0" w:color="FFFFFF" w:themeColor="background1"/>
            </w:tcBorders>
            <w:noWrap/>
            <w:vAlign w:val="center"/>
            <w:hideMark/>
          </w:tcPr>
          <w:p w14:paraId="18EB0E02" w14:textId="77777777" w:rsidR="00126D8D" w:rsidRPr="00993221" w:rsidRDefault="00126D8D" w:rsidP="007F5002">
            <w:pPr>
              <w:spacing w:line="240" w:lineRule="auto"/>
              <w:jc w:val="center"/>
              <w:rPr>
                <w:rFonts w:cs="Times New Roman"/>
                <w:color w:val="000000" w:themeColor="text1"/>
                <w:sz w:val="16"/>
                <w:szCs w:val="16"/>
                <w:vertAlign w:val="superscript"/>
              </w:rPr>
            </w:pPr>
            <w:r w:rsidRPr="00993221">
              <w:rPr>
                <w:rFonts w:cs="Times New Roman"/>
                <w:color w:val="000000"/>
                <w:sz w:val="16"/>
                <w:szCs w:val="16"/>
              </w:rPr>
              <w:t>19.33</w:t>
            </w:r>
            <w:r w:rsidRPr="00993221">
              <w:rPr>
                <w:rFonts w:cs="Times New Roman"/>
                <w:color w:val="000000"/>
                <w:sz w:val="16"/>
                <w:szCs w:val="16"/>
                <w:vertAlign w:val="superscript"/>
              </w:rPr>
              <w:t>c</w:t>
            </w:r>
          </w:p>
        </w:tc>
      </w:tr>
      <w:tr w:rsidR="00126D8D" w:rsidRPr="00D3624B" w14:paraId="468B9B10" w14:textId="77777777" w:rsidTr="007F5002">
        <w:trPr>
          <w:trHeight w:val="288"/>
        </w:trPr>
        <w:tc>
          <w:tcPr>
            <w:tcW w:w="1435" w:type="dxa"/>
            <w:tcBorders>
              <w:top w:val="single" w:sz="2" w:space="0" w:color="FFFFFF" w:themeColor="background1"/>
              <w:left w:val="single" w:sz="2" w:space="0" w:color="FFFFFF" w:themeColor="background1"/>
              <w:bottom w:val="single" w:sz="2" w:space="0" w:color="FFFFFF" w:themeColor="background1"/>
              <w:right w:val="single" w:sz="2" w:space="0" w:color="FFFFFF" w:themeColor="background1"/>
            </w:tcBorders>
            <w:noWrap/>
            <w:vAlign w:val="center"/>
            <w:hideMark/>
          </w:tcPr>
          <w:p w14:paraId="6AAE63AB" w14:textId="77777777" w:rsidR="00126D8D" w:rsidRPr="00993221" w:rsidRDefault="00126D8D" w:rsidP="007F5002">
            <w:pPr>
              <w:spacing w:line="240" w:lineRule="auto"/>
              <w:jc w:val="center"/>
              <w:rPr>
                <w:rFonts w:cs="Times New Roman"/>
                <w:color w:val="000000" w:themeColor="text1"/>
                <w:sz w:val="16"/>
                <w:szCs w:val="16"/>
              </w:rPr>
            </w:pPr>
            <w:r w:rsidRPr="00993221">
              <w:rPr>
                <w:rFonts w:cs="Times New Roman"/>
                <w:color w:val="000000" w:themeColor="text1"/>
                <w:sz w:val="16"/>
                <w:szCs w:val="16"/>
              </w:rPr>
              <w:t>Broadband White</w:t>
            </w:r>
          </w:p>
        </w:tc>
        <w:tc>
          <w:tcPr>
            <w:tcW w:w="1260" w:type="dxa"/>
            <w:tcBorders>
              <w:top w:val="single" w:sz="2" w:space="0" w:color="FFFFFF" w:themeColor="background1"/>
              <w:left w:val="single" w:sz="2" w:space="0" w:color="FFFFFF" w:themeColor="background1"/>
              <w:bottom w:val="single" w:sz="2" w:space="0" w:color="FFFFFF" w:themeColor="background1"/>
              <w:right w:val="single" w:sz="2" w:space="0" w:color="FFFFFF" w:themeColor="background1"/>
            </w:tcBorders>
            <w:noWrap/>
            <w:vAlign w:val="center"/>
            <w:hideMark/>
          </w:tcPr>
          <w:p w14:paraId="3F32965A" w14:textId="77777777" w:rsidR="00126D8D" w:rsidRPr="00993221" w:rsidRDefault="00126D8D" w:rsidP="007F5002">
            <w:pPr>
              <w:spacing w:line="240" w:lineRule="auto"/>
              <w:jc w:val="center"/>
              <w:rPr>
                <w:rFonts w:cs="Times New Roman"/>
                <w:color w:val="000000" w:themeColor="text1"/>
                <w:sz w:val="16"/>
                <w:szCs w:val="16"/>
                <w:vertAlign w:val="superscript"/>
              </w:rPr>
            </w:pPr>
            <w:r w:rsidRPr="00993221">
              <w:rPr>
                <w:rFonts w:cs="Times New Roman"/>
                <w:color w:val="000000"/>
                <w:sz w:val="16"/>
                <w:szCs w:val="16"/>
              </w:rPr>
              <w:t>71.00</w:t>
            </w:r>
            <w:r w:rsidRPr="00993221">
              <w:rPr>
                <w:rFonts w:cs="Times New Roman"/>
                <w:color w:val="000000"/>
                <w:sz w:val="16"/>
                <w:szCs w:val="16"/>
                <w:vertAlign w:val="superscript"/>
              </w:rPr>
              <w:t>cd</w:t>
            </w:r>
          </w:p>
        </w:tc>
        <w:tc>
          <w:tcPr>
            <w:tcW w:w="1260" w:type="dxa"/>
            <w:tcBorders>
              <w:top w:val="single" w:sz="2" w:space="0" w:color="FFFFFF" w:themeColor="background1"/>
              <w:left w:val="single" w:sz="2" w:space="0" w:color="FFFFFF" w:themeColor="background1"/>
              <w:bottom w:val="single" w:sz="2" w:space="0" w:color="FFFFFF" w:themeColor="background1"/>
              <w:right w:val="single" w:sz="2" w:space="0" w:color="FFFFFF" w:themeColor="background1"/>
            </w:tcBorders>
            <w:noWrap/>
            <w:vAlign w:val="center"/>
            <w:hideMark/>
          </w:tcPr>
          <w:p w14:paraId="12BEBE82" w14:textId="77777777" w:rsidR="00126D8D" w:rsidRPr="00993221" w:rsidRDefault="00126D8D" w:rsidP="007F5002">
            <w:pPr>
              <w:spacing w:line="240" w:lineRule="auto"/>
              <w:jc w:val="center"/>
              <w:rPr>
                <w:rFonts w:cs="Times New Roman"/>
                <w:color w:val="000000" w:themeColor="text1"/>
                <w:sz w:val="16"/>
                <w:szCs w:val="16"/>
                <w:vertAlign w:val="superscript"/>
              </w:rPr>
            </w:pPr>
            <w:r w:rsidRPr="00993221">
              <w:rPr>
                <w:rFonts w:cs="Times New Roman"/>
                <w:color w:val="000000"/>
                <w:sz w:val="16"/>
                <w:szCs w:val="16"/>
              </w:rPr>
              <w:t>81.83</w:t>
            </w:r>
            <w:r w:rsidRPr="00993221">
              <w:rPr>
                <w:rFonts w:cs="Times New Roman"/>
                <w:color w:val="000000"/>
                <w:sz w:val="16"/>
                <w:szCs w:val="16"/>
                <w:vertAlign w:val="superscript"/>
              </w:rPr>
              <w:t>cd</w:t>
            </w:r>
          </w:p>
        </w:tc>
        <w:tc>
          <w:tcPr>
            <w:tcW w:w="1350" w:type="dxa"/>
            <w:tcBorders>
              <w:top w:val="single" w:sz="2" w:space="0" w:color="FFFFFF" w:themeColor="background1"/>
              <w:left w:val="single" w:sz="2" w:space="0" w:color="FFFFFF" w:themeColor="background1"/>
              <w:bottom w:val="single" w:sz="2" w:space="0" w:color="FFFFFF" w:themeColor="background1"/>
              <w:right w:val="single" w:sz="2" w:space="0" w:color="FFFFFF" w:themeColor="background1"/>
            </w:tcBorders>
            <w:noWrap/>
            <w:vAlign w:val="center"/>
            <w:hideMark/>
          </w:tcPr>
          <w:p w14:paraId="3A9F4377" w14:textId="77777777" w:rsidR="00126D8D" w:rsidRPr="00993221" w:rsidRDefault="00126D8D" w:rsidP="007F5002">
            <w:pPr>
              <w:spacing w:line="240" w:lineRule="auto"/>
              <w:jc w:val="center"/>
              <w:rPr>
                <w:rFonts w:cs="Times New Roman"/>
                <w:color w:val="000000" w:themeColor="text1"/>
                <w:sz w:val="16"/>
                <w:szCs w:val="16"/>
                <w:vertAlign w:val="superscript"/>
              </w:rPr>
            </w:pPr>
            <w:r w:rsidRPr="00993221">
              <w:rPr>
                <w:rFonts w:cs="Times New Roman"/>
                <w:color w:val="000000"/>
                <w:sz w:val="16"/>
                <w:szCs w:val="16"/>
              </w:rPr>
              <w:t>156.75</w:t>
            </w:r>
            <w:r w:rsidRPr="00993221">
              <w:rPr>
                <w:rFonts w:cs="Times New Roman"/>
                <w:color w:val="000000"/>
                <w:sz w:val="16"/>
                <w:szCs w:val="16"/>
                <w:vertAlign w:val="superscript"/>
              </w:rPr>
              <w:t>cd</w:t>
            </w:r>
          </w:p>
        </w:tc>
        <w:tc>
          <w:tcPr>
            <w:tcW w:w="1260" w:type="dxa"/>
            <w:tcBorders>
              <w:top w:val="single" w:sz="2" w:space="0" w:color="FFFFFF" w:themeColor="background1"/>
              <w:left w:val="single" w:sz="2" w:space="0" w:color="FFFFFF" w:themeColor="background1"/>
              <w:bottom w:val="single" w:sz="2" w:space="0" w:color="FFFFFF" w:themeColor="background1"/>
              <w:right w:val="single" w:sz="2" w:space="0" w:color="FFFFFF" w:themeColor="background1"/>
            </w:tcBorders>
            <w:noWrap/>
            <w:vAlign w:val="center"/>
            <w:hideMark/>
          </w:tcPr>
          <w:p w14:paraId="0AEBF597" w14:textId="77777777" w:rsidR="00126D8D" w:rsidRPr="00993221" w:rsidRDefault="00126D8D" w:rsidP="007F5002">
            <w:pPr>
              <w:spacing w:line="240" w:lineRule="auto"/>
              <w:jc w:val="center"/>
              <w:rPr>
                <w:rFonts w:cs="Times New Roman"/>
                <w:color w:val="000000" w:themeColor="text1"/>
                <w:sz w:val="16"/>
                <w:szCs w:val="16"/>
                <w:vertAlign w:val="superscript"/>
              </w:rPr>
            </w:pPr>
            <w:r w:rsidRPr="00993221">
              <w:rPr>
                <w:rFonts w:cs="Times New Roman"/>
                <w:color w:val="000000"/>
                <w:sz w:val="16"/>
                <w:szCs w:val="16"/>
              </w:rPr>
              <w:t>142.00</w:t>
            </w:r>
            <w:r w:rsidRPr="00993221">
              <w:rPr>
                <w:rFonts w:cs="Times New Roman"/>
                <w:color w:val="000000"/>
                <w:sz w:val="16"/>
                <w:szCs w:val="16"/>
                <w:vertAlign w:val="superscript"/>
              </w:rPr>
              <w:t>ab</w:t>
            </w:r>
          </w:p>
        </w:tc>
        <w:tc>
          <w:tcPr>
            <w:tcW w:w="1170" w:type="dxa"/>
            <w:tcBorders>
              <w:top w:val="single" w:sz="2" w:space="0" w:color="FFFFFF" w:themeColor="background1"/>
              <w:left w:val="single" w:sz="2" w:space="0" w:color="FFFFFF" w:themeColor="background1"/>
              <w:bottom w:val="single" w:sz="2" w:space="0" w:color="FFFFFF" w:themeColor="background1"/>
              <w:right w:val="single" w:sz="2" w:space="0" w:color="FFFFFF" w:themeColor="background1"/>
            </w:tcBorders>
            <w:noWrap/>
            <w:vAlign w:val="center"/>
            <w:hideMark/>
          </w:tcPr>
          <w:p w14:paraId="19394EAA" w14:textId="77777777" w:rsidR="00126D8D" w:rsidRPr="00993221" w:rsidRDefault="00126D8D" w:rsidP="007F5002">
            <w:pPr>
              <w:spacing w:line="240" w:lineRule="auto"/>
              <w:jc w:val="center"/>
              <w:rPr>
                <w:rFonts w:cs="Times New Roman"/>
                <w:color w:val="000000" w:themeColor="text1"/>
                <w:sz w:val="16"/>
                <w:szCs w:val="16"/>
                <w:vertAlign w:val="superscript"/>
              </w:rPr>
            </w:pPr>
            <w:r w:rsidRPr="00993221">
              <w:rPr>
                <w:rFonts w:cs="Times New Roman"/>
                <w:color w:val="000000"/>
                <w:sz w:val="16"/>
                <w:szCs w:val="16"/>
              </w:rPr>
              <w:t>21.75</w:t>
            </w:r>
            <w:r w:rsidRPr="00993221">
              <w:rPr>
                <w:rFonts w:cs="Times New Roman"/>
                <w:color w:val="000000"/>
                <w:sz w:val="16"/>
                <w:szCs w:val="16"/>
                <w:vertAlign w:val="superscript"/>
              </w:rPr>
              <w:t>abc</w:t>
            </w:r>
          </w:p>
        </w:tc>
      </w:tr>
      <w:tr w:rsidR="00126D8D" w:rsidRPr="00D3624B" w14:paraId="2EFB1A3F" w14:textId="77777777" w:rsidTr="007F5002">
        <w:trPr>
          <w:trHeight w:val="288"/>
        </w:trPr>
        <w:tc>
          <w:tcPr>
            <w:tcW w:w="1435" w:type="dxa"/>
            <w:tcBorders>
              <w:top w:val="single" w:sz="2" w:space="0" w:color="FFFFFF" w:themeColor="background1"/>
              <w:left w:val="single" w:sz="2" w:space="0" w:color="FFFFFF" w:themeColor="background1"/>
              <w:bottom w:val="single" w:sz="2" w:space="0" w:color="FFFFFF" w:themeColor="background1"/>
              <w:right w:val="single" w:sz="2" w:space="0" w:color="FFFFFF" w:themeColor="background1"/>
            </w:tcBorders>
            <w:noWrap/>
            <w:vAlign w:val="center"/>
            <w:hideMark/>
          </w:tcPr>
          <w:p w14:paraId="74C87D57" w14:textId="77777777" w:rsidR="00126D8D" w:rsidRPr="00993221" w:rsidRDefault="00126D8D" w:rsidP="007F5002">
            <w:pPr>
              <w:spacing w:line="240" w:lineRule="auto"/>
              <w:jc w:val="center"/>
              <w:rPr>
                <w:rFonts w:cs="Times New Roman"/>
                <w:color w:val="000000" w:themeColor="text1"/>
                <w:sz w:val="16"/>
                <w:szCs w:val="16"/>
              </w:rPr>
            </w:pPr>
            <w:r w:rsidRPr="00993221">
              <w:rPr>
                <w:rFonts w:cs="Times New Roman"/>
                <w:color w:val="000000" w:themeColor="text1"/>
                <w:sz w:val="16"/>
                <w:szCs w:val="16"/>
              </w:rPr>
              <w:t>HPS</w:t>
            </w:r>
          </w:p>
        </w:tc>
        <w:tc>
          <w:tcPr>
            <w:tcW w:w="1260" w:type="dxa"/>
            <w:tcBorders>
              <w:top w:val="single" w:sz="2" w:space="0" w:color="FFFFFF" w:themeColor="background1"/>
              <w:left w:val="single" w:sz="2" w:space="0" w:color="FFFFFF" w:themeColor="background1"/>
              <w:bottom w:val="single" w:sz="2" w:space="0" w:color="FFFFFF" w:themeColor="background1"/>
              <w:right w:val="single" w:sz="2" w:space="0" w:color="FFFFFF" w:themeColor="background1"/>
            </w:tcBorders>
            <w:noWrap/>
            <w:vAlign w:val="center"/>
            <w:hideMark/>
          </w:tcPr>
          <w:p w14:paraId="4A7D6C37" w14:textId="77777777" w:rsidR="00126D8D" w:rsidRPr="00993221" w:rsidRDefault="00126D8D" w:rsidP="007F5002">
            <w:pPr>
              <w:spacing w:line="240" w:lineRule="auto"/>
              <w:jc w:val="center"/>
              <w:rPr>
                <w:rFonts w:cs="Times New Roman"/>
                <w:color w:val="000000" w:themeColor="text1"/>
                <w:sz w:val="16"/>
                <w:szCs w:val="16"/>
                <w:vertAlign w:val="superscript"/>
              </w:rPr>
            </w:pPr>
            <w:r w:rsidRPr="00993221">
              <w:rPr>
                <w:rFonts w:cs="Times New Roman"/>
                <w:color w:val="000000"/>
                <w:sz w:val="16"/>
                <w:szCs w:val="16"/>
              </w:rPr>
              <w:t>91.08</w:t>
            </w:r>
            <w:r w:rsidRPr="00993221">
              <w:rPr>
                <w:rFonts w:cs="Times New Roman"/>
                <w:color w:val="000000"/>
                <w:sz w:val="16"/>
                <w:szCs w:val="16"/>
                <w:vertAlign w:val="superscript"/>
              </w:rPr>
              <w:t>a</w:t>
            </w:r>
          </w:p>
        </w:tc>
        <w:tc>
          <w:tcPr>
            <w:tcW w:w="1260" w:type="dxa"/>
            <w:tcBorders>
              <w:top w:val="single" w:sz="2" w:space="0" w:color="FFFFFF" w:themeColor="background1"/>
              <w:left w:val="single" w:sz="2" w:space="0" w:color="FFFFFF" w:themeColor="background1"/>
              <w:bottom w:val="single" w:sz="2" w:space="0" w:color="FFFFFF" w:themeColor="background1"/>
              <w:right w:val="single" w:sz="2" w:space="0" w:color="FFFFFF" w:themeColor="background1"/>
            </w:tcBorders>
            <w:noWrap/>
            <w:vAlign w:val="center"/>
            <w:hideMark/>
          </w:tcPr>
          <w:p w14:paraId="48AD4C54" w14:textId="77777777" w:rsidR="00126D8D" w:rsidRPr="00993221" w:rsidRDefault="00126D8D" w:rsidP="007F5002">
            <w:pPr>
              <w:spacing w:line="240" w:lineRule="auto"/>
              <w:jc w:val="center"/>
              <w:rPr>
                <w:rFonts w:cs="Times New Roman"/>
                <w:color w:val="000000" w:themeColor="text1"/>
                <w:sz w:val="16"/>
                <w:szCs w:val="16"/>
                <w:vertAlign w:val="superscript"/>
              </w:rPr>
            </w:pPr>
            <w:r w:rsidRPr="00993221">
              <w:rPr>
                <w:rFonts w:cs="Times New Roman"/>
                <w:color w:val="000000"/>
                <w:sz w:val="16"/>
                <w:szCs w:val="16"/>
              </w:rPr>
              <w:t>91.92</w:t>
            </w:r>
            <w:r w:rsidRPr="00993221">
              <w:rPr>
                <w:rFonts w:cs="Times New Roman"/>
                <w:color w:val="000000"/>
                <w:sz w:val="16"/>
                <w:szCs w:val="16"/>
                <w:vertAlign w:val="superscript"/>
              </w:rPr>
              <w:t>bc</w:t>
            </w:r>
          </w:p>
        </w:tc>
        <w:tc>
          <w:tcPr>
            <w:tcW w:w="1350" w:type="dxa"/>
            <w:tcBorders>
              <w:top w:val="single" w:sz="2" w:space="0" w:color="FFFFFF" w:themeColor="background1"/>
              <w:left w:val="single" w:sz="2" w:space="0" w:color="FFFFFF" w:themeColor="background1"/>
              <w:bottom w:val="single" w:sz="2" w:space="0" w:color="FFFFFF" w:themeColor="background1"/>
              <w:right w:val="single" w:sz="2" w:space="0" w:color="FFFFFF" w:themeColor="background1"/>
            </w:tcBorders>
            <w:noWrap/>
            <w:vAlign w:val="center"/>
            <w:hideMark/>
          </w:tcPr>
          <w:p w14:paraId="3B55FDE5" w14:textId="77777777" w:rsidR="00126D8D" w:rsidRPr="00993221" w:rsidRDefault="00126D8D" w:rsidP="007F5002">
            <w:pPr>
              <w:spacing w:line="240" w:lineRule="auto"/>
              <w:jc w:val="center"/>
              <w:rPr>
                <w:rFonts w:cs="Times New Roman"/>
                <w:color w:val="000000" w:themeColor="text1"/>
                <w:sz w:val="16"/>
                <w:szCs w:val="16"/>
                <w:vertAlign w:val="superscript"/>
              </w:rPr>
            </w:pPr>
            <w:r w:rsidRPr="00993221">
              <w:rPr>
                <w:rFonts w:cs="Times New Roman"/>
                <w:color w:val="000000"/>
                <w:sz w:val="16"/>
                <w:szCs w:val="16"/>
              </w:rPr>
              <w:t>183.83</w:t>
            </w:r>
            <w:r w:rsidRPr="00993221">
              <w:rPr>
                <w:rFonts w:cs="Times New Roman"/>
                <w:color w:val="000000"/>
                <w:sz w:val="16"/>
                <w:szCs w:val="16"/>
                <w:vertAlign w:val="superscript"/>
              </w:rPr>
              <w:t>abc</w:t>
            </w:r>
          </w:p>
        </w:tc>
        <w:tc>
          <w:tcPr>
            <w:tcW w:w="1260" w:type="dxa"/>
            <w:tcBorders>
              <w:top w:val="single" w:sz="2" w:space="0" w:color="FFFFFF" w:themeColor="background1"/>
              <w:left w:val="single" w:sz="2" w:space="0" w:color="FFFFFF" w:themeColor="background1"/>
              <w:bottom w:val="single" w:sz="2" w:space="0" w:color="FFFFFF" w:themeColor="background1"/>
              <w:right w:val="single" w:sz="2" w:space="0" w:color="FFFFFF" w:themeColor="background1"/>
            </w:tcBorders>
            <w:noWrap/>
            <w:vAlign w:val="center"/>
            <w:hideMark/>
          </w:tcPr>
          <w:p w14:paraId="6CFA09B0" w14:textId="77777777" w:rsidR="00126D8D" w:rsidRPr="00993221" w:rsidRDefault="00126D8D" w:rsidP="007F5002">
            <w:pPr>
              <w:spacing w:line="240" w:lineRule="auto"/>
              <w:jc w:val="center"/>
              <w:rPr>
                <w:rFonts w:cs="Times New Roman"/>
                <w:color w:val="000000" w:themeColor="text1"/>
                <w:sz w:val="16"/>
                <w:szCs w:val="16"/>
                <w:vertAlign w:val="superscript"/>
              </w:rPr>
            </w:pPr>
            <w:r w:rsidRPr="00993221">
              <w:rPr>
                <w:rFonts w:cs="Times New Roman"/>
                <w:color w:val="000000"/>
                <w:sz w:val="16"/>
                <w:szCs w:val="16"/>
              </w:rPr>
              <w:t>151.75</w:t>
            </w:r>
            <w:r w:rsidRPr="00993221">
              <w:rPr>
                <w:rFonts w:cs="Times New Roman"/>
                <w:color w:val="000000"/>
                <w:sz w:val="16"/>
                <w:szCs w:val="16"/>
                <w:vertAlign w:val="superscript"/>
              </w:rPr>
              <w:t>a</w:t>
            </w:r>
          </w:p>
        </w:tc>
        <w:tc>
          <w:tcPr>
            <w:tcW w:w="1170" w:type="dxa"/>
            <w:tcBorders>
              <w:top w:val="single" w:sz="2" w:space="0" w:color="FFFFFF" w:themeColor="background1"/>
              <w:left w:val="single" w:sz="2" w:space="0" w:color="FFFFFF" w:themeColor="background1"/>
              <w:bottom w:val="single" w:sz="2" w:space="0" w:color="FFFFFF" w:themeColor="background1"/>
              <w:right w:val="single" w:sz="2" w:space="0" w:color="FFFFFF" w:themeColor="background1"/>
            </w:tcBorders>
            <w:noWrap/>
            <w:vAlign w:val="center"/>
            <w:hideMark/>
          </w:tcPr>
          <w:p w14:paraId="4F529A6D" w14:textId="77777777" w:rsidR="00126D8D" w:rsidRPr="00993221" w:rsidRDefault="00126D8D" w:rsidP="007F5002">
            <w:pPr>
              <w:spacing w:line="240" w:lineRule="auto"/>
              <w:jc w:val="center"/>
              <w:rPr>
                <w:rFonts w:cs="Times New Roman"/>
                <w:color w:val="000000" w:themeColor="text1"/>
                <w:sz w:val="16"/>
                <w:szCs w:val="16"/>
                <w:vertAlign w:val="superscript"/>
              </w:rPr>
            </w:pPr>
            <w:r w:rsidRPr="00993221">
              <w:rPr>
                <w:rFonts w:cs="Times New Roman"/>
                <w:color w:val="000000"/>
                <w:sz w:val="16"/>
                <w:szCs w:val="16"/>
              </w:rPr>
              <w:t>23.00</w:t>
            </w:r>
            <w:r w:rsidRPr="00993221">
              <w:rPr>
                <w:rFonts w:cs="Times New Roman"/>
                <w:color w:val="000000"/>
                <w:sz w:val="16"/>
                <w:szCs w:val="16"/>
                <w:vertAlign w:val="superscript"/>
              </w:rPr>
              <w:t>ab</w:t>
            </w:r>
          </w:p>
        </w:tc>
      </w:tr>
      <w:tr w:rsidR="00126D8D" w:rsidRPr="00D3624B" w14:paraId="3C9E5A37" w14:textId="77777777" w:rsidTr="007F5002">
        <w:trPr>
          <w:trHeight w:val="288"/>
        </w:trPr>
        <w:tc>
          <w:tcPr>
            <w:tcW w:w="1435" w:type="dxa"/>
            <w:tcBorders>
              <w:top w:val="single" w:sz="2" w:space="0" w:color="FFFFFF" w:themeColor="background1"/>
              <w:left w:val="single" w:sz="2" w:space="0" w:color="FFFFFF" w:themeColor="background1"/>
              <w:bottom w:val="single" w:sz="4" w:space="0" w:color="auto"/>
              <w:right w:val="single" w:sz="2" w:space="0" w:color="FFFFFF" w:themeColor="background1"/>
            </w:tcBorders>
            <w:noWrap/>
            <w:vAlign w:val="center"/>
            <w:hideMark/>
          </w:tcPr>
          <w:p w14:paraId="722AA3C6" w14:textId="77777777" w:rsidR="00126D8D" w:rsidRPr="00993221" w:rsidRDefault="00126D8D" w:rsidP="007F5002">
            <w:pPr>
              <w:spacing w:line="240" w:lineRule="auto"/>
              <w:jc w:val="center"/>
              <w:rPr>
                <w:rFonts w:cs="Times New Roman"/>
                <w:color w:val="000000" w:themeColor="text1"/>
                <w:sz w:val="16"/>
                <w:szCs w:val="16"/>
              </w:rPr>
            </w:pPr>
            <w:r w:rsidRPr="00993221">
              <w:rPr>
                <w:rFonts w:cs="Times New Roman"/>
                <w:color w:val="000000" w:themeColor="text1"/>
                <w:sz w:val="16"/>
                <w:szCs w:val="16"/>
              </w:rPr>
              <w:t>NL Control</w:t>
            </w:r>
          </w:p>
        </w:tc>
        <w:tc>
          <w:tcPr>
            <w:tcW w:w="1260" w:type="dxa"/>
            <w:tcBorders>
              <w:top w:val="single" w:sz="2" w:space="0" w:color="FFFFFF" w:themeColor="background1"/>
              <w:left w:val="single" w:sz="2" w:space="0" w:color="FFFFFF" w:themeColor="background1"/>
              <w:bottom w:val="single" w:sz="4" w:space="0" w:color="auto"/>
              <w:right w:val="single" w:sz="2" w:space="0" w:color="FFFFFF" w:themeColor="background1"/>
            </w:tcBorders>
            <w:noWrap/>
            <w:vAlign w:val="center"/>
            <w:hideMark/>
          </w:tcPr>
          <w:p w14:paraId="68D9C84E" w14:textId="77777777" w:rsidR="00126D8D" w:rsidRPr="00993221" w:rsidRDefault="00126D8D" w:rsidP="007F5002">
            <w:pPr>
              <w:spacing w:line="240" w:lineRule="auto"/>
              <w:jc w:val="center"/>
              <w:rPr>
                <w:rFonts w:cs="Times New Roman"/>
                <w:color w:val="000000" w:themeColor="text1"/>
                <w:sz w:val="16"/>
                <w:szCs w:val="16"/>
                <w:vertAlign w:val="superscript"/>
              </w:rPr>
            </w:pPr>
            <w:r w:rsidRPr="00993221">
              <w:rPr>
                <w:rFonts w:cs="Times New Roman"/>
                <w:color w:val="000000"/>
                <w:sz w:val="16"/>
                <w:szCs w:val="16"/>
              </w:rPr>
              <w:t>77.75</w:t>
            </w:r>
            <w:r w:rsidRPr="00993221">
              <w:rPr>
                <w:rFonts w:cs="Times New Roman"/>
                <w:color w:val="000000"/>
                <w:sz w:val="16"/>
                <w:szCs w:val="16"/>
                <w:vertAlign w:val="superscript"/>
              </w:rPr>
              <w:t>bc</w:t>
            </w:r>
          </w:p>
        </w:tc>
        <w:tc>
          <w:tcPr>
            <w:tcW w:w="1260" w:type="dxa"/>
            <w:tcBorders>
              <w:top w:val="single" w:sz="2" w:space="0" w:color="FFFFFF" w:themeColor="background1"/>
              <w:left w:val="single" w:sz="2" w:space="0" w:color="FFFFFF" w:themeColor="background1"/>
              <w:bottom w:val="single" w:sz="4" w:space="0" w:color="auto"/>
              <w:right w:val="single" w:sz="2" w:space="0" w:color="FFFFFF" w:themeColor="background1"/>
            </w:tcBorders>
            <w:noWrap/>
            <w:vAlign w:val="center"/>
            <w:hideMark/>
          </w:tcPr>
          <w:p w14:paraId="05E64F67" w14:textId="77777777" w:rsidR="00126D8D" w:rsidRPr="00993221" w:rsidRDefault="00126D8D" w:rsidP="007F5002">
            <w:pPr>
              <w:spacing w:line="240" w:lineRule="auto"/>
              <w:jc w:val="center"/>
              <w:rPr>
                <w:rFonts w:cs="Times New Roman"/>
                <w:color w:val="000000" w:themeColor="text1"/>
                <w:sz w:val="16"/>
                <w:szCs w:val="16"/>
                <w:vertAlign w:val="superscript"/>
              </w:rPr>
            </w:pPr>
            <w:r w:rsidRPr="00993221">
              <w:rPr>
                <w:rFonts w:cs="Times New Roman"/>
                <w:color w:val="000000"/>
                <w:sz w:val="16"/>
                <w:szCs w:val="16"/>
              </w:rPr>
              <w:t>98.42</w:t>
            </w:r>
            <w:r w:rsidRPr="00993221">
              <w:rPr>
                <w:rFonts w:cs="Times New Roman"/>
                <w:color w:val="000000"/>
                <w:sz w:val="16"/>
                <w:szCs w:val="16"/>
                <w:vertAlign w:val="superscript"/>
              </w:rPr>
              <w:t>ab</w:t>
            </w:r>
          </w:p>
        </w:tc>
        <w:tc>
          <w:tcPr>
            <w:tcW w:w="1350" w:type="dxa"/>
            <w:tcBorders>
              <w:top w:val="single" w:sz="2" w:space="0" w:color="FFFFFF" w:themeColor="background1"/>
              <w:left w:val="single" w:sz="2" w:space="0" w:color="FFFFFF" w:themeColor="background1"/>
              <w:bottom w:val="single" w:sz="4" w:space="0" w:color="auto"/>
              <w:right w:val="single" w:sz="2" w:space="0" w:color="FFFFFF" w:themeColor="background1"/>
            </w:tcBorders>
            <w:noWrap/>
            <w:vAlign w:val="center"/>
            <w:hideMark/>
          </w:tcPr>
          <w:p w14:paraId="6F80C794" w14:textId="77777777" w:rsidR="00126D8D" w:rsidRPr="00993221" w:rsidRDefault="00126D8D" w:rsidP="007F5002">
            <w:pPr>
              <w:spacing w:line="240" w:lineRule="auto"/>
              <w:jc w:val="center"/>
              <w:rPr>
                <w:rFonts w:cs="Times New Roman"/>
                <w:color w:val="000000" w:themeColor="text1"/>
                <w:sz w:val="16"/>
                <w:szCs w:val="16"/>
                <w:vertAlign w:val="superscript"/>
              </w:rPr>
            </w:pPr>
            <w:r w:rsidRPr="00993221">
              <w:rPr>
                <w:rFonts w:cs="Times New Roman"/>
                <w:color w:val="000000"/>
                <w:sz w:val="16"/>
                <w:szCs w:val="16"/>
              </w:rPr>
              <w:t>204.25</w:t>
            </w:r>
            <w:r w:rsidRPr="00993221">
              <w:rPr>
                <w:rFonts w:cs="Times New Roman"/>
                <w:color w:val="000000"/>
                <w:sz w:val="16"/>
                <w:szCs w:val="16"/>
                <w:vertAlign w:val="superscript"/>
              </w:rPr>
              <w:t>ab</w:t>
            </w:r>
          </w:p>
        </w:tc>
        <w:tc>
          <w:tcPr>
            <w:tcW w:w="1260" w:type="dxa"/>
            <w:tcBorders>
              <w:top w:val="single" w:sz="2" w:space="0" w:color="FFFFFF" w:themeColor="background1"/>
              <w:left w:val="single" w:sz="2" w:space="0" w:color="FFFFFF" w:themeColor="background1"/>
              <w:bottom w:val="single" w:sz="4" w:space="0" w:color="auto"/>
              <w:right w:val="single" w:sz="2" w:space="0" w:color="FFFFFF" w:themeColor="background1"/>
            </w:tcBorders>
            <w:noWrap/>
            <w:vAlign w:val="center"/>
            <w:hideMark/>
          </w:tcPr>
          <w:p w14:paraId="3A757C91" w14:textId="77777777" w:rsidR="00126D8D" w:rsidRPr="00993221" w:rsidRDefault="00126D8D" w:rsidP="007F5002">
            <w:pPr>
              <w:spacing w:line="240" w:lineRule="auto"/>
              <w:jc w:val="center"/>
              <w:rPr>
                <w:rFonts w:cs="Times New Roman"/>
                <w:color w:val="000000" w:themeColor="text1"/>
                <w:sz w:val="16"/>
                <w:szCs w:val="16"/>
                <w:vertAlign w:val="superscript"/>
              </w:rPr>
            </w:pPr>
            <w:r w:rsidRPr="00993221">
              <w:rPr>
                <w:rFonts w:cs="Times New Roman"/>
                <w:color w:val="000000"/>
                <w:sz w:val="16"/>
                <w:szCs w:val="16"/>
              </w:rPr>
              <w:t>146.25</w:t>
            </w:r>
            <w:r w:rsidRPr="00993221">
              <w:rPr>
                <w:rFonts w:cs="Times New Roman"/>
                <w:color w:val="000000"/>
                <w:sz w:val="16"/>
                <w:szCs w:val="16"/>
                <w:vertAlign w:val="superscript"/>
              </w:rPr>
              <w:t>ab</w:t>
            </w:r>
          </w:p>
        </w:tc>
        <w:tc>
          <w:tcPr>
            <w:tcW w:w="1170" w:type="dxa"/>
            <w:tcBorders>
              <w:top w:val="single" w:sz="2" w:space="0" w:color="FFFFFF" w:themeColor="background1"/>
              <w:left w:val="single" w:sz="2" w:space="0" w:color="FFFFFF" w:themeColor="background1"/>
              <w:bottom w:val="single" w:sz="4" w:space="0" w:color="auto"/>
              <w:right w:val="single" w:sz="2" w:space="0" w:color="FFFFFF" w:themeColor="background1"/>
            </w:tcBorders>
            <w:noWrap/>
            <w:vAlign w:val="center"/>
            <w:hideMark/>
          </w:tcPr>
          <w:p w14:paraId="48388DA2" w14:textId="77777777" w:rsidR="00126D8D" w:rsidRPr="00993221" w:rsidRDefault="00126D8D" w:rsidP="007F5002">
            <w:pPr>
              <w:spacing w:line="240" w:lineRule="auto"/>
              <w:jc w:val="center"/>
              <w:rPr>
                <w:rFonts w:cs="Times New Roman"/>
                <w:color w:val="000000" w:themeColor="text1"/>
                <w:sz w:val="16"/>
                <w:szCs w:val="16"/>
                <w:vertAlign w:val="superscript"/>
              </w:rPr>
            </w:pPr>
            <w:r w:rsidRPr="00993221">
              <w:rPr>
                <w:rFonts w:cs="Times New Roman"/>
                <w:color w:val="000000"/>
                <w:sz w:val="16"/>
                <w:szCs w:val="16"/>
              </w:rPr>
              <w:t>23.33</w:t>
            </w:r>
            <w:r w:rsidRPr="00993221">
              <w:rPr>
                <w:rFonts w:cs="Times New Roman"/>
                <w:color w:val="000000"/>
                <w:sz w:val="16"/>
                <w:szCs w:val="16"/>
                <w:vertAlign w:val="superscript"/>
              </w:rPr>
              <w:t>a</w:t>
            </w:r>
          </w:p>
        </w:tc>
      </w:tr>
    </w:tbl>
    <w:p w14:paraId="21F7CC12" w14:textId="77777777" w:rsidR="00126D8D" w:rsidRPr="00D3624B" w:rsidRDefault="00126D8D" w:rsidP="00DC4427">
      <w:pPr>
        <w:spacing w:line="240" w:lineRule="auto"/>
        <w:rPr>
          <w:rStyle w:val="CommentReference"/>
          <w:rFonts w:cs="Times New Roman"/>
          <w:color w:val="000000" w:themeColor="text1"/>
        </w:rPr>
      </w:pPr>
      <w:r w:rsidRPr="00D3624B">
        <w:rPr>
          <w:rFonts w:cs="Times New Roman"/>
          <w:color w:val="000000" w:themeColor="text1"/>
        </w:rPr>
        <w:t xml:space="preserve">*All concentrations are presented in </w:t>
      </w:r>
      <w:r>
        <w:rPr>
          <w:rFonts w:cs="Times New Roman"/>
          <w:color w:val="000000" w:themeColor="text1"/>
        </w:rPr>
        <w:t xml:space="preserve">parts per million (ppm). </w:t>
      </w:r>
      <w:r w:rsidRPr="00D3624B">
        <w:rPr>
          <w:rFonts w:cs="Times New Roman"/>
          <w:color w:val="000000" w:themeColor="text1"/>
        </w:rPr>
        <w:t>Mean values represent 2 plants per replication and 6 replications per treatment. Values were analyzed using Tukey's (protected) HSD, and those followed by the same letter are not significantly different (α=0.05).</w:t>
      </w:r>
    </w:p>
    <w:p w14:paraId="3A5C8B15" w14:textId="77777777" w:rsidR="00126D8D" w:rsidRPr="00D3624B" w:rsidRDefault="00126D8D" w:rsidP="00DC4427">
      <w:pPr>
        <w:spacing w:line="240" w:lineRule="auto"/>
        <w:rPr>
          <w:rStyle w:val="CommentReference"/>
          <w:rFonts w:cs="Times New Roman"/>
          <w:color w:val="000000" w:themeColor="text1"/>
        </w:rPr>
      </w:pPr>
    </w:p>
    <w:p w14:paraId="0B50757B" w14:textId="77777777" w:rsidR="00126D8D" w:rsidRPr="003F0091" w:rsidRDefault="00126D8D" w:rsidP="00DC4427">
      <w:pPr>
        <w:spacing w:line="240" w:lineRule="auto"/>
        <w:ind w:right="3060"/>
        <w:jc w:val="both"/>
        <w:rPr>
          <w:rFonts w:cs="Times New Roman"/>
          <w:color w:val="000000" w:themeColor="text1"/>
          <w:sz w:val="14"/>
          <w:szCs w:val="14"/>
        </w:rPr>
      </w:pPr>
      <w:r w:rsidRPr="00D3624B">
        <w:rPr>
          <w:rFonts w:cs="Times New Roman"/>
          <w:color w:val="000000" w:themeColor="text1"/>
          <w:sz w:val="14"/>
          <w:szCs w:val="14"/>
        </w:rPr>
        <w:br w:type="page"/>
      </w:r>
    </w:p>
    <w:p w14:paraId="28B7A2C9" w14:textId="77777777" w:rsidR="00126D8D" w:rsidRPr="003F0091" w:rsidRDefault="00126D8D" w:rsidP="00DC4427">
      <w:pPr>
        <w:pStyle w:val="TableTOC"/>
        <w:ind w:right="90"/>
        <w:jc w:val="both"/>
        <w:rPr>
          <w:rFonts w:cs="Times New Roman"/>
          <w:b/>
          <w:bCs/>
          <w:color w:val="000000" w:themeColor="text1"/>
        </w:rPr>
        <w:sectPr w:rsidR="00126D8D" w:rsidRPr="003F0091" w:rsidSect="00BB138C">
          <w:pgSz w:w="12240" w:h="15840"/>
          <w:pgMar w:top="1440" w:right="1440" w:bottom="1440" w:left="1440" w:header="720" w:footer="720" w:gutter="0"/>
          <w:pgNumType w:start="1"/>
          <w:cols w:space="720"/>
          <w:titlePg/>
          <w:docGrid w:linePitch="360"/>
        </w:sectPr>
      </w:pPr>
    </w:p>
    <w:p w14:paraId="27ECCE37" w14:textId="77777777" w:rsidR="00126D8D" w:rsidRPr="007F40F3" w:rsidRDefault="00126D8D" w:rsidP="007F5002">
      <w:pPr>
        <w:pStyle w:val="TableTOC"/>
        <w:jc w:val="both"/>
      </w:pPr>
      <w:bookmarkStart w:id="621" w:name="_Toc141478784"/>
      <w:r w:rsidRPr="007F5002">
        <w:rPr>
          <w:b/>
          <w:bCs/>
        </w:rPr>
        <w:lastRenderedPageBreak/>
        <w:t>Table 4.7.</w:t>
      </w:r>
      <w:r w:rsidRPr="007F40F3">
        <w:t xml:space="preserve"> Differentially expressed genes (DEGs) based on comparisons between supplemental lighting treatment and natural light (NL) control.</w:t>
      </w:r>
      <w:bookmarkEnd w:id="621"/>
    </w:p>
    <w:p w14:paraId="42AFDB9D" w14:textId="77777777" w:rsidR="00126D8D" w:rsidRPr="003F0091" w:rsidRDefault="00126D8D" w:rsidP="00DC4427">
      <w:pPr>
        <w:spacing w:line="240" w:lineRule="auto"/>
        <w:rPr>
          <w:rFonts w:cs="Times New Roman"/>
          <w:color w:val="000000" w:themeColor="text1"/>
        </w:rPr>
      </w:pPr>
    </w:p>
    <w:tbl>
      <w:tblPr>
        <w:tblStyle w:val="TableGrid"/>
        <w:tblW w:w="1310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29" w:type="dxa"/>
          <w:right w:w="0" w:type="dxa"/>
        </w:tblCellMar>
        <w:tblLook w:val="04A0" w:firstRow="1" w:lastRow="0" w:firstColumn="1" w:lastColumn="0" w:noHBand="0" w:noVBand="1"/>
      </w:tblPr>
      <w:tblGrid>
        <w:gridCol w:w="2520"/>
        <w:gridCol w:w="1725"/>
        <w:gridCol w:w="1726"/>
        <w:gridCol w:w="1726"/>
        <w:gridCol w:w="223"/>
        <w:gridCol w:w="1728"/>
        <w:gridCol w:w="1728"/>
        <w:gridCol w:w="1728"/>
      </w:tblGrid>
      <w:tr w:rsidR="00126D8D" w:rsidRPr="007F5002" w14:paraId="671B89CE" w14:textId="77777777" w:rsidTr="00820288">
        <w:trPr>
          <w:trHeight w:val="432"/>
        </w:trPr>
        <w:tc>
          <w:tcPr>
            <w:tcW w:w="2520" w:type="dxa"/>
            <w:tcBorders>
              <w:top w:val="single" w:sz="4" w:space="0" w:color="auto"/>
            </w:tcBorders>
            <w:noWrap/>
            <w:vAlign w:val="center"/>
          </w:tcPr>
          <w:p w14:paraId="6F88E262" w14:textId="77777777" w:rsidR="00126D8D" w:rsidRPr="007F5002" w:rsidRDefault="00126D8D" w:rsidP="00820288">
            <w:pPr>
              <w:spacing w:line="240" w:lineRule="auto"/>
              <w:jc w:val="center"/>
              <w:rPr>
                <w:rFonts w:ascii="Times New Roman" w:hAnsi="Times New Roman" w:cs="Times New Roman"/>
                <w:b/>
                <w:bCs/>
                <w:color w:val="000000" w:themeColor="text1"/>
              </w:rPr>
            </w:pPr>
          </w:p>
        </w:tc>
        <w:tc>
          <w:tcPr>
            <w:tcW w:w="5177" w:type="dxa"/>
            <w:gridSpan w:val="3"/>
            <w:tcBorders>
              <w:top w:val="single" w:sz="4" w:space="0" w:color="auto"/>
              <w:bottom w:val="single" w:sz="4" w:space="0" w:color="auto"/>
            </w:tcBorders>
            <w:noWrap/>
            <w:vAlign w:val="center"/>
          </w:tcPr>
          <w:p w14:paraId="7161CD53" w14:textId="77777777" w:rsidR="00126D8D" w:rsidRPr="007F5002" w:rsidRDefault="00126D8D" w:rsidP="00820288">
            <w:pPr>
              <w:spacing w:line="240" w:lineRule="auto"/>
              <w:jc w:val="center"/>
              <w:rPr>
                <w:rFonts w:ascii="Times New Roman" w:hAnsi="Times New Roman" w:cs="Times New Roman"/>
                <w:b/>
                <w:bCs/>
                <w:color w:val="000000" w:themeColor="text1"/>
              </w:rPr>
            </w:pPr>
            <w:r w:rsidRPr="007F5002">
              <w:rPr>
                <w:rFonts w:ascii="Times New Roman" w:hAnsi="Times New Roman" w:cs="Times New Roman"/>
                <w:b/>
                <w:bCs/>
                <w:color w:val="000000" w:themeColor="text1"/>
              </w:rPr>
              <w:t>Summer</w:t>
            </w:r>
          </w:p>
        </w:tc>
        <w:tc>
          <w:tcPr>
            <w:tcW w:w="223" w:type="dxa"/>
            <w:tcBorders>
              <w:top w:val="single" w:sz="4" w:space="0" w:color="auto"/>
            </w:tcBorders>
          </w:tcPr>
          <w:p w14:paraId="500ECF94" w14:textId="77777777" w:rsidR="00126D8D" w:rsidRPr="007F5002" w:rsidRDefault="00126D8D" w:rsidP="00820288">
            <w:pPr>
              <w:spacing w:line="240" w:lineRule="auto"/>
              <w:jc w:val="center"/>
              <w:rPr>
                <w:rFonts w:ascii="Times New Roman" w:hAnsi="Times New Roman" w:cs="Times New Roman"/>
                <w:b/>
                <w:bCs/>
                <w:color w:val="000000" w:themeColor="text1"/>
              </w:rPr>
            </w:pPr>
          </w:p>
        </w:tc>
        <w:tc>
          <w:tcPr>
            <w:tcW w:w="5184" w:type="dxa"/>
            <w:gridSpan w:val="3"/>
            <w:tcBorders>
              <w:top w:val="single" w:sz="4" w:space="0" w:color="auto"/>
              <w:bottom w:val="single" w:sz="4" w:space="0" w:color="auto"/>
            </w:tcBorders>
            <w:vAlign w:val="center"/>
          </w:tcPr>
          <w:p w14:paraId="633E464B" w14:textId="77777777" w:rsidR="00126D8D" w:rsidRPr="007F5002" w:rsidRDefault="00126D8D" w:rsidP="00820288">
            <w:pPr>
              <w:spacing w:line="240" w:lineRule="auto"/>
              <w:jc w:val="center"/>
              <w:rPr>
                <w:rFonts w:ascii="Times New Roman" w:hAnsi="Times New Roman" w:cs="Times New Roman"/>
                <w:b/>
                <w:bCs/>
                <w:color w:val="000000" w:themeColor="text1"/>
              </w:rPr>
            </w:pPr>
            <w:r w:rsidRPr="007F5002">
              <w:rPr>
                <w:rFonts w:ascii="Times New Roman" w:hAnsi="Times New Roman" w:cs="Times New Roman"/>
                <w:b/>
                <w:bCs/>
                <w:color w:val="000000" w:themeColor="text1"/>
              </w:rPr>
              <w:t>Winter</w:t>
            </w:r>
          </w:p>
        </w:tc>
      </w:tr>
      <w:tr w:rsidR="00126D8D" w:rsidRPr="007F5002" w14:paraId="6782F546" w14:textId="77777777" w:rsidTr="00820288">
        <w:trPr>
          <w:trHeight w:val="432"/>
        </w:trPr>
        <w:tc>
          <w:tcPr>
            <w:tcW w:w="2520" w:type="dxa"/>
            <w:tcBorders>
              <w:bottom w:val="single" w:sz="4" w:space="0" w:color="auto"/>
            </w:tcBorders>
            <w:noWrap/>
            <w:vAlign w:val="center"/>
          </w:tcPr>
          <w:p w14:paraId="26828685" w14:textId="77777777" w:rsidR="00126D8D" w:rsidRPr="007F5002" w:rsidRDefault="00126D8D" w:rsidP="00820288">
            <w:pPr>
              <w:spacing w:line="240" w:lineRule="auto"/>
              <w:rPr>
                <w:rFonts w:ascii="Times New Roman" w:hAnsi="Times New Roman" w:cs="Times New Roman"/>
                <w:b/>
                <w:bCs/>
                <w:color w:val="000000" w:themeColor="text1"/>
              </w:rPr>
            </w:pPr>
            <w:r w:rsidRPr="007F5002">
              <w:rPr>
                <w:rFonts w:ascii="Times New Roman" w:hAnsi="Times New Roman" w:cs="Times New Roman"/>
                <w:b/>
                <w:bCs/>
                <w:color w:val="000000" w:themeColor="text1"/>
              </w:rPr>
              <w:t>DEG Comparison</w:t>
            </w:r>
          </w:p>
        </w:tc>
        <w:tc>
          <w:tcPr>
            <w:tcW w:w="1725" w:type="dxa"/>
            <w:tcBorders>
              <w:top w:val="single" w:sz="4" w:space="0" w:color="auto"/>
              <w:bottom w:val="single" w:sz="4" w:space="0" w:color="auto"/>
            </w:tcBorders>
            <w:noWrap/>
            <w:vAlign w:val="center"/>
          </w:tcPr>
          <w:p w14:paraId="786F5842" w14:textId="77777777" w:rsidR="00126D8D" w:rsidRPr="007F5002" w:rsidRDefault="00126D8D" w:rsidP="00820288">
            <w:pPr>
              <w:spacing w:line="240" w:lineRule="auto"/>
              <w:jc w:val="center"/>
              <w:rPr>
                <w:rFonts w:ascii="Times New Roman" w:hAnsi="Times New Roman" w:cs="Times New Roman"/>
                <w:b/>
                <w:bCs/>
                <w:color w:val="000000" w:themeColor="text1"/>
              </w:rPr>
            </w:pPr>
            <w:r w:rsidRPr="007F5002">
              <w:rPr>
                <w:rFonts w:ascii="Times New Roman" w:hAnsi="Times New Roman" w:cs="Times New Roman"/>
                <w:b/>
                <w:bCs/>
                <w:color w:val="000000" w:themeColor="text1"/>
              </w:rPr>
              <w:t>Upregulated</w:t>
            </w:r>
          </w:p>
        </w:tc>
        <w:tc>
          <w:tcPr>
            <w:tcW w:w="1726" w:type="dxa"/>
            <w:tcBorders>
              <w:top w:val="single" w:sz="4" w:space="0" w:color="auto"/>
              <w:bottom w:val="single" w:sz="4" w:space="0" w:color="auto"/>
            </w:tcBorders>
            <w:vAlign w:val="center"/>
          </w:tcPr>
          <w:p w14:paraId="6299C1CD" w14:textId="77777777" w:rsidR="00126D8D" w:rsidRPr="007F5002" w:rsidRDefault="00126D8D" w:rsidP="00820288">
            <w:pPr>
              <w:spacing w:line="240" w:lineRule="auto"/>
              <w:jc w:val="center"/>
              <w:rPr>
                <w:rFonts w:ascii="Times New Roman" w:hAnsi="Times New Roman" w:cs="Times New Roman"/>
                <w:b/>
                <w:bCs/>
                <w:color w:val="000000" w:themeColor="text1"/>
              </w:rPr>
            </w:pPr>
            <w:r w:rsidRPr="007F5002">
              <w:rPr>
                <w:rFonts w:ascii="Times New Roman" w:hAnsi="Times New Roman" w:cs="Times New Roman"/>
                <w:b/>
                <w:bCs/>
                <w:color w:val="000000" w:themeColor="text1"/>
              </w:rPr>
              <w:t>Downregulated</w:t>
            </w:r>
          </w:p>
        </w:tc>
        <w:tc>
          <w:tcPr>
            <w:tcW w:w="1726" w:type="dxa"/>
            <w:tcBorders>
              <w:top w:val="single" w:sz="4" w:space="0" w:color="auto"/>
              <w:bottom w:val="single" w:sz="4" w:space="0" w:color="auto"/>
            </w:tcBorders>
            <w:vAlign w:val="center"/>
          </w:tcPr>
          <w:p w14:paraId="3FACCFFB" w14:textId="77777777" w:rsidR="00126D8D" w:rsidRPr="007F5002" w:rsidRDefault="00126D8D" w:rsidP="00820288">
            <w:pPr>
              <w:spacing w:line="240" w:lineRule="auto"/>
              <w:jc w:val="center"/>
              <w:rPr>
                <w:rFonts w:ascii="Times New Roman" w:hAnsi="Times New Roman" w:cs="Times New Roman"/>
                <w:b/>
                <w:bCs/>
                <w:color w:val="000000" w:themeColor="text1"/>
              </w:rPr>
            </w:pPr>
            <w:r w:rsidRPr="007F5002">
              <w:rPr>
                <w:rFonts w:ascii="Times New Roman" w:hAnsi="Times New Roman" w:cs="Times New Roman"/>
                <w:b/>
                <w:bCs/>
                <w:color w:val="000000" w:themeColor="text1"/>
              </w:rPr>
              <w:t>Total DEGs</w:t>
            </w:r>
          </w:p>
        </w:tc>
        <w:tc>
          <w:tcPr>
            <w:tcW w:w="223" w:type="dxa"/>
            <w:tcBorders>
              <w:bottom w:val="single" w:sz="4" w:space="0" w:color="auto"/>
            </w:tcBorders>
          </w:tcPr>
          <w:p w14:paraId="63B3A959" w14:textId="77777777" w:rsidR="00126D8D" w:rsidRPr="007F5002" w:rsidRDefault="00126D8D" w:rsidP="00820288">
            <w:pPr>
              <w:spacing w:line="240" w:lineRule="auto"/>
              <w:jc w:val="center"/>
              <w:rPr>
                <w:rFonts w:ascii="Times New Roman" w:hAnsi="Times New Roman" w:cs="Times New Roman"/>
                <w:b/>
                <w:bCs/>
                <w:color w:val="000000" w:themeColor="text1"/>
              </w:rPr>
            </w:pPr>
          </w:p>
        </w:tc>
        <w:tc>
          <w:tcPr>
            <w:tcW w:w="1728" w:type="dxa"/>
            <w:tcBorders>
              <w:top w:val="single" w:sz="4" w:space="0" w:color="auto"/>
              <w:bottom w:val="single" w:sz="4" w:space="0" w:color="auto"/>
            </w:tcBorders>
            <w:vAlign w:val="center"/>
          </w:tcPr>
          <w:p w14:paraId="7E749B03" w14:textId="77777777" w:rsidR="00126D8D" w:rsidRPr="007F5002" w:rsidRDefault="00126D8D" w:rsidP="00820288">
            <w:pPr>
              <w:spacing w:line="240" w:lineRule="auto"/>
              <w:jc w:val="center"/>
              <w:rPr>
                <w:rFonts w:ascii="Times New Roman" w:hAnsi="Times New Roman" w:cs="Times New Roman"/>
                <w:b/>
                <w:bCs/>
                <w:color w:val="000000" w:themeColor="text1"/>
              </w:rPr>
            </w:pPr>
            <w:r w:rsidRPr="007F5002">
              <w:rPr>
                <w:rFonts w:ascii="Times New Roman" w:hAnsi="Times New Roman" w:cs="Times New Roman"/>
                <w:b/>
                <w:bCs/>
                <w:color w:val="000000" w:themeColor="text1"/>
              </w:rPr>
              <w:t>Upregulated</w:t>
            </w:r>
          </w:p>
        </w:tc>
        <w:tc>
          <w:tcPr>
            <w:tcW w:w="1728" w:type="dxa"/>
            <w:tcBorders>
              <w:top w:val="single" w:sz="4" w:space="0" w:color="auto"/>
              <w:bottom w:val="single" w:sz="4" w:space="0" w:color="auto"/>
            </w:tcBorders>
            <w:vAlign w:val="center"/>
          </w:tcPr>
          <w:p w14:paraId="5A6BC091" w14:textId="77777777" w:rsidR="00126D8D" w:rsidRPr="007F5002" w:rsidRDefault="00126D8D" w:rsidP="00820288">
            <w:pPr>
              <w:spacing w:line="240" w:lineRule="auto"/>
              <w:jc w:val="center"/>
              <w:rPr>
                <w:rFonts w:ascii="Times New Roman" w:hAnsi="Times New Roman" w:cs="Times New Roman"/>
                <w:b/>
                <w:bCs/>
                <w:color w:val="000000" w:themeColor="text1"/>
              </w:rPr>
            </w:pPr>
            <w:r w:rsidRPr="007F5002">
              <w:rPr>
                <w:rFonts w:ascii="Times New Roman" w:hAnsi="Times New Roman" w:cs="Times New Roman"/>
                <w:b/>
                <w:bCs/>
                <w:color w:val="000000" w:themeColor="text1"/>
              </w:rPr>
              <w:t>Downregulated</w:t>
            </w:r>
          </w:p>
        </w:tc>
        <w:tc>
          <w:tcPr>
            <w:tcW w:w="1728" w:type="dxa"/>
            <w:tcBorders>
              <w:top w:val="single" w:sz="4" w:space="0" w:color="auto"/>
              <w:bottom w:val="single" w:sz="4" w:space="0" w:color="auto"/>
            </w:tcBorders>
            <w:vAlign w:val="center"/>
          </w:tcPr>
          <w:p w14:paraId="72C76BE4" w14:textId="77777777" w:rsidR="00126D8D" w:rsidRPr="007F5002" w:rsidRDefault="00126D8D" w:rsidP="00820288">
            <w:pPr>
              <w:spacing w:line="240" w:lineRule="auto"/>
              <w:jc w:val="center"/>
              <w:rPr>
                <w:rFonts w:ascii="Times New Roman" w:hAnsi="Times New Roman" w:cs="Times New Roman"/>
                <w:b/>
                <w:bCs/>
                <w:color w:val="000000" w:themeColor="text1"/>
              </w:rPr>
            </w:pPr>
            <w:r w:rsidRPr="007F5002">
              <w:rPr>
                <w:rFonts w:ascii="Times New Roman" w:hAnsi="Times New Roman" w:cs="Times New Roman"/>
                <w:b/>
                <w:bCs/>
                <w:color w:val="000000" w:themeColor="text1"/>
              </w:rPr>
              <w:t>Total DEGs</w:t>
            </w:r>
          </w:p>
        </w:tc>
      </w:tr>
      <w:tr w:rsidR="00126D8D" w:rsidRPr="007F5002" w14:paraId="03D95A46" w14:textId="77777777" w:rsidTr="00820288">
        <w:trPr>
          <w:trHeight w:val="649"/>
        </w:trPr>
        <w:tc>
          <w:tcPr>
            <w:tcW w:w="2520" w:type="dxa"/>
            <w:tcBorders>
              <w:top w:val="single" w:sz="4" w:space="0" w:color="auto"/>
            </w:tcBorders>
            <w:noWrap/>
            <w:vAlign w:val="center"/>
          </w:tcPr>
          <w:p w14:paraId="26086A8E" w14:textId="77777777" w:rsidR="00126D8D" w:rsidRPr="007F5002" w:rsidRDefault="00126D8D" w:rsidP="00820288">
            <w:pPr>
              <w:spacing w:line="240" w:lineRule="auto"/>
              <w:rPr>
                <w:rFonts w:ascii="Times New Roman" w:hAnsi="Times New Roman" w:cs="Times New Roman"/>
                <w:color w:val="000000" w:themeColor="text1"/>
              </w:rPr>
            </w:pPr>
            <w:r w:rsidRPr="007F5002">
              <w:rPr>
                <w:rFonts w:ascii="Times New Roman" w:hAnsi="Times New Roman" w:cs="Times New Roman"/>
                <w:color w:val="000000" w:themeColor="text1"/>
              </w:rPr>
              <w:t>Narrowband 20B/80R vs. NL Control</w:t>
            </w:r>
          </w:p>
        </w:tc>
        <w:tc>
          <w:tcPr>
            <w:tcW w:w="1725" w:type="dxa"/>
            <w:tcBorders>
              <w:top w:val="single" w:sz="4" w:space="0" w:color="auto"/>
            </w:tcBorders>
            <w:noWrap/>
            <w:vAlign w:val="center"/>
          </w:tcPr>
          <w:p w14:paraId="2BEC812F" w14:textId="77777777" w:rsidR="00126D8D" w:rsidRPr="007F5002" w:rsidRDefault="00126D8D" w:rsidP="00820288">
            <w:pPr>
              <w:spacing w:line="240" w:lineRule="auto"/>
              <w:jc w:val="center"/>
              <w:rPr>
                <w:rFonts w:ascii="Times New Roman" w:hAnsi="Times New Roman" w:cs="Times New Roman"/>
                <w:color w:val="000000" w:themeColor="text1"/>
              </w:rPr>
            </w:pPr>
            <w:r w:rsidRPr="007F5002">
              <w:rPr>
                <w:rFonts w:ascii="Times New Roman" w:hAnsi="Times New Roman" w:cs="Times New Roman"/>
                <w:color w:val="000000" w:themeColor="text1"/>
              </w:rPr>
              <w:t>2045</w:t>
            </w:r>
          </w:p>
        </w:tc>
        <w:tc>
          <w:tcPr>
            <w:tcW w:w="1726" w:type="dxa"/>
            <w:tcBorders>
              <w:top w:val="single" w:sz="4" w:space="0" w:color="auto"/>
            </w:tcBorders>
            <w:vAlign w:val="center"/>
          </w:tcPr>
          <w:p w14:paraId="2B24B95F" w14:textId="77777777" w:rsidR="00126D8D" w:rsidRPr="007F5002" w:rsidRDefault="00126D8D" w:rsidP="00820288">
            <w:pPr>
              <w:spacing w:line="240" w:lineRule="auto"/>
              <w:jc w:val="center"/>
              <w:rPr>
                <w:rFonts w:ascii="Times New Roman" w:hAnsi="Times New Roman" w:cs="Times New Roman"/>
                <w:color w:val="000000" w:themeColor="text1"/>
              </w:rPr>
            </w:pPr>
            <w:r w:rsidRPr="007F5002">
              <w:rPr>
                <w:rFonts w:ascii="Times New Roman" w:hAnsi="Times New Roman" w:cs="Times New Roman"/>
                <w:color w:val="000000" w:themeColor="text1"/>
              </w:rPr>
              <w:t>1756</w:t>
            </w:r>
          </w:p>
        </w:tc>
        <w:tc>
          <w:tcPr>
            <w:tcW w:w="1726" w:type="dxa"/>
            <w:tcBorders>
              <w:top w:val="single" w:sz="4" w:space="0" w:color="auto"/>
            </w:tcBorders>
            <w:vAlign w:val="center"/>
          </w:tcPr>
          <w:p w14:paraId="3AE84E6C" w14:textId="77777777" w:rsidR="00126D8D" w:rsidRPr="007F5002" w:rsidRDefault="00126D8D" w:rsidP="00820288">
            <w:pPr>
              <w:spacing w:line="240" w:lineRule="auto"/>
              <w:jc w:val="center"/>
              <w:rPr>
                <w:rFonts w:ascii="Times New Roman" w:hAnsi="Times New Roman" w:cs="Times New Roman"/>
                <w:color w:val="000000" w:themeColor="text1"/>
              </w:rPr>
            </w:pPr>
            <w:r w:rsidRPr="007F5002">
              <w:rPr>
                <w:rFonts w:ascii="Times New Roman" w:hAnsi="Times New Roman" w:cs="Times New Roman"/>
                <w:color w:val="000000" w:themeColor="text1"/>
              </w:rPr>
              <w:t>3801</w:t>
            </w:r>
          </w:p>
        </w:tc>
        <w:tc>
          <w:tcPr>
            <w:tcW w:w="223" w:type="dxa"/>
            <w:tcBorders>
              <w:top w:val="single" w:sz="4" w:space="0" w:color="auto"/>
            </w:tcBorders>
          </w:tcPr>
          <w:p w14:paraId="7D156810" w14:textId="77777777" w:rsidR="00126D8D" w:rsidRPr="007F5002" w:rsidRDefault="00126D8D" w:rsidP="00820288">
            <w:pPr>
              <w:spacing w:line="240" w:lineRule="auto"/>
              <w:jc w:val="center"/>
              <w:rPr>
                <w:rFonts w:ascii="Times New Roman" w:hAnsi="Times New Roman" w:cs="Times New Roman"/>
                <w:color w:val="000000" w:themeColor="text1"/>
              </w:rPr>
            </w:pPr>
          </w:p>
        </w:tc>
        <w:tc>
          <w:tcPr>
            <w:tcW w:w="1728" w:type="dxa"/>
            <w:tcBorders>
              <w:top w:val="single" w:sz="4" w:space="0" w:color="auto"/>
            </w:tcBorders>
            <w:vAlign w:val="center"/>
          </w:tcPr>
          <w:p w14:paraId="39461E0E" w14:textId="77777777" w:rsidR="00126D8D" w:rsidRPr="007F5002" w:rsidRDefault="00126D8D" w:rsidP="00820288">
            <w:pPr>
              <w:spacing w:line="240" w:lineRule="auto"/>
              <w:jc w:val="center"/>
              <w:rPr>
                <w:rFonts w:ascii="Times New Roman" w:hAnsi="Times New Roman" w:cs="Times New Roman"/>
                <w:color w:val="000000" w:themeColor="text1"/>
              </w:rPr>
            </w:pPr>
            <w:r w:rsidRPr="007F5002">
              <w:rPr>
                <w:rFonts w:ascii="Times New Roman" w:hAnsi="Times New Roman" w:cs="Times New Roman"/>
                <w:color w:val="000000" w:themeColor="text1"/>
              </w:rPr>
              <w:t>3505</w:t>
            </w:r>
          </w:p>
        </w:tc>
        <w:tc>
          <w:tcPr>
            <w:tcW w:w="1728" w:type="dxa"/>
            <w:tcBorders>
              <w:top w:val="single" w:sz="4" w:space="0" w:color="auto"/>
            </w:tcBorders>
            <w:vAlign w:val="center"/>
          </w:tcPr>
          <w:p w14:paraId="51FBDCD2" w14:textId="77777777" w:rsidR="00126D8D" w:rsidRPr="007F5002" w:rsidRDefault="00126D8D" w:rsidP="00820288">
            <w:pPr>
              <w:spacing w:line="240" w:lineRule="auto"/>
              <w:jc w:val="center"/>
              <w:rPr>
                <w:rFonts w:ascii="Times New Roman" w:hAnsi="Times New Roman" w:cs="Times New Roman"/>
                <w:color w:val="000000" w:themeColor="text1"/>
              </w:rPr>
            </w:pPr>
            <w:r w:rsidRPr="007F5002">
              <w:rPr>
                <w:rFonts w:ascii="Times New Roman" w:hAnsi="Times New Roman" w:cs="Times New Roman"/>
                <w:color w:val="000000" w:themeColor="text1"/>
              </w:rPr>
              <w:t>2073</w:t>
            </w:r>
          </w:p>
        </w:tc>
        <w:tc>
          <w:tcPr>
            <w:tcW w:w="1728" w:type="dxa"/>
            <w:tcBorders>
              <w:top w:val="single" w:sz="4" w:space="0" w:color="auto"/>
            </w:tcBorders>
            <w:vAlign w:val="center"/>
          </w:tcPr>
          <w:p w14:paraId="4653470B" w14:textId="77777777" w:rsidR="00126D8D" w:rsidRPr="007F5002" w:rsidRDefault="00126D8D" w:rsidP="00820288">
            <w:pPr>
              <w:spacing w:line="240" w:lineRule="auto"/>
              <w:jc w:val="center"/>
              <w:rPr>
                <w:rFonts w:ascii="Times New Roman" w:hAnsi="Times New Roman" w:cs="Times New Roman"/>
                <w:color w:val="000000" w:themeColor="text1"/>
              </w:rPr>
            </w:pPr>
            <w:r w:rsidRPr="007F5002">
              <w:rPr>
                <w:rFonts w:ascii="Times New Roman" w:hAnsi="Times New Roman" w:cs="Times New Roman"/>
                <w:color w:val="000000" w:themeColor="text1"/>
              </w:rPr>
              <w:t>5578</w:t>
            </w:r>
          </w:p>
        </w:tc>
      </w:tr>
      <w:tr w:rsidR="00126D8D" w:rsidRPr="007F5002" w14:paraId="5A7DE2FE" w14:textId="77777777" w:rsidTr="00820288">
        <w:trPr>
          <w:trHeight w:val="649"/>
        </w:trPr>
        <w:tc>
          <w:tcPr>
            <w:tcW w:w="2520" w:type="dxa"/>
            <w:noWrap/>
            <w:vAlign w:val="center"/>
            <w:hideMark/>
          </w:tcPr>
          <w:p w14:paraId="4468EAC6" w14:textId="77777777" w:rsidR="00126D8D" w:rsidRPr="007F5002" w:rsidRDefault="00126D8D" w:rsidP="00820288">
            <w:pPr>
              <w:spacing w:line="240" w:lineRule="auto"/>
              <w:rPr>
                <w:rFonts w:ascii="Times New Roman" w:hAnsi="Times New Roman" w:cs="Times New Roman"/>
                <w:color w:val="000000" w:themeColor="text1"/>
              </w:rPr>
            </w:pPr>
            <w:r w:rsidRPr="007F5002">
              <w:rPr>
                <w:rFonts w:ascii="Times New Roman" w:hAnsi="Times New Roman" w:cs="Times New Roman"/>
                <w:color w:val="000000" w:themeColor="text1"/>
              </w:rPr>
              <w:t>Broadband White vs. NL Control</w:t>
            </w:r>
          </w:p>
        </w:tc>
        <w:tc>
          <w:tcPr>
            <w:tcW w:w="1725" w:type="dxa"/>
            <w:noWrap/>
            <w:vAlign w:val="center"/>
            <w:hideMark/>
          </w:tcPr>
          <w:p w14:paraId="08038261" w14:textId="77777777" w:rsidR="00126D8D" w:rsidRPr="007F5002" w:rsidRDefault="00126D8D" w:rsidP="00820288">
            <w:pPr>
              <w:spacing w:line="240" w:lineRule="auto"/>
              <w:jc w:val="center"/>
              <w:rPr>
                <w:rFonts w:ascii="Times New Roman" w:hAnsi="Times New Roman" w:cs="Times New Roman"/>
                <w:color w:val="000000" w:themeColor="text1"/>
              </w:rPr>
            </w:pPr>
            <w:r w:rsidRPr="007F5002">
              <w:rPr>
                <w:rFonts w:ascii="Times New Roman" w:hAnsi="Times New Roman" w:cs="Times New Roman"/>
                <w:color w:val="000000" w:themeColor="text1"/>
              </w:rPr>
              <w:t>132</w:t>
            </w:r>
          </w:p>
        </w:tc>
        <w:tc>
          <w:tcPr>
            <w:tcW w:w="1726" w:type="dxa"/>
            <w:vAlign w:val="center"/>
          </w:tcPr>
          <w:p w14:paraId="09AD6B8E" w14:textId="77777777" w:rsidR="00126D8D" w:rsidRPr="007F5002" w:rsidRDefault="00126D8D" w:rsidP="00820288">
            <w:pPr>
              <w:spacing w:line="240" w:lineRule="auto"/>
              <w:jc w:val="center"/>
              <w:rPr>
                <w:rFonts w:ascii="Times New Roman" w:hAnsi="Times New Roman" w:cs="Times New Roman"/>
                <w:color w:val="000000" w:themeColor="text1"/>
              </w:rPr>
            </w:pPr>
            <w:r w:rsidRPr="007F5002">
              <w:rPr>
                <w:rFonts w:ascii="Times New Roman" w:hAnsi="Times New Roman" w:cs="Times New Roman"/>
                <w:color w:val="000000" w:themeColor="text1"/>
              </w:rPr>
              <w:t>146</w:t>
            </w:r>
          </w:p>
        </w:tc>
        <w:tc>
          <w:tcPr>
            <w:tcW w:w="1726" w:type="dxa"/>
            <w:vAlign w:val="center"/>
          </w:tcPr>
          <w:p w14:paraId="5D03CF6C" w14:textId="77777777" w:rsidR="00126D8D" w:rsidRPr="007F5002" w:rsidRDefault="00126D8D" w:rsidP="00820288">
            <w:pPr>
              <w:spacing w:line="240" w:lineRule="auto"/>
              <w:jc w:val="center"/>
              <w:rPr>
                <w:rFonts w:ascii="Times New Roman" w:hAnsi="Times New Roman" w:cs="Times New Roman"/>
                <w:color w:val="000000" w:themeColor="text1"/>
              </w:rPr>
            </w:pPr>
            <w:r w:rsidRPr="007F5002">
              <w:rPr>
                <w:rFonts w:ascii="Times New Roman" w:hAnsi="Times New Roman" w:cs="Times New Roman"/>
                <w:color w:val="000000" w:themeColor="text1"/>
              </w:rPr>
              <w:t>278</w:t>
            </w:r>
          </w:p>
        </w:tc>
        <w:tc>
          <w:tcPr>
            <w:tcW w:w="223" w:type="dxa"/>
          </w:tcPr>
          <w:p w14:paraId="76393BD8" w14:textId="77777777" w:rsidR="00126D8D" w:rsidRPr="007F5002" w:rsidRDefault="00126D8D" w:rsidP="00820288">
            <w:pPr>
              <w:spacing w:line="240" w:lineRule="auto"/>
              <w:jc w:val="center"/>
              <w:rPr>
                <w:rFonts w:ascii="Times New Roman" w:hAnsi="Times New Roman" w:cs="Times New Roman"/>
                <w:color w:val="000000" w:themeColor="text1"/>
              </w:rPr>
            </w:pPr>
          </w:p>
        </w:tc>
        <w:tc>
          <w:tcPr>
            <w:tcW w:w="1728" w:type="dxa"/>
            <w:vAlign w:val="center"/>
          </w:tcPr>
          <w:p w14:paraId="0CB9D6F7" w14:textId="77777777" w:rsidR="00126D8D" w:rsidRPr="007F5002" w:rsidRDefault="00126D8D" w:rsidP="00820288">
            <w:pPr>
              <w:spacing w:line="240" w:lineRule="auto"/>
              <w:jc w:val="center"/>
              <w:rPr>
                <w:rFonts w:ascii="Times New Roman" w:hAnsi="Times New Roman" w:cs="Times New Roman"/>
                <w:color w:val="000000" w:themeColor="text1"/>
              </w:rPr>
            </w:pPr>
            <w:r w:rsidRPr="007F5002">
              <w:rPr>
                <w:rFonts w:ascii="Times New Roman" w:hAnsi="Times New Roman" w:cs="Times New Roman"/>
                <w:color w:val="000000" w:themeColor="text1"/>
              </w:rPr>
              <w:t>3262</w:t>
            </w:r>
          </w:p>
        </w:tc>
        <w:tc>
          <w:tcPr>
            <w:tcW w:w="1728" w:type="dxa"/>
            <w:vAlign w:val="center"/>
          </w:tcPr>
          <w:p w14:paraId="50788132" w14:textId="77777777" w:rsidR="00126D8D" w:rsidRPr="007F5002" w:rsidRDefault="00126D8D" w:rsidP="00820288">
            <w:pPr>
              <w:spacing w:line="240" w:lineRule="auto"/>
              <w:jc w:val="center"/>
              <w:rPr>
                <w:rFonts w:ascii="Times New Roman" w:hAnsi="Times New Roman" w:cs="Times New Roman"/>
                <w:color w:val="000000" w:themeColor="text1"/>
              </w:rPr>
            </w:pPr>
            <w:r w:rsidRPr="007F5002">
              <w:rPr>
                <w:rFonts w:ascii="Times New Roman" w:hAnsi="Times New Roman" w:cs="Times New Roman"/>
                <w:color w:val="000000" w:themeColor="text1"/>
              </w:rPr>
              <w:t>2347</w:t>
            </w:r>
          </w:p>
        </w:tc>
        <w:tc>
          <w:tcPr>
            <w:tcW w:w="1728" w:type="dxa"/>
            <w:vAlign w:val="center"/>
          </w:tcPr>
          <w:p w14:paraId="3A012F3C" w14:textId="77777777" w:rsidR="00126D8D" w:rsidRPr="007F5002" w:rsidRDefault="00126D8D" w:rsidP="00820288">
            <w:pPr>
              <w:spacing w:line="240" w:lineRule="auto"/>
              <w:jc w:val="center"/>
              <w:rPr>
                <w:rFonts w:ascii="Times New Roman" w:hAnsi="Times New Roman" w:cs="Times New Roman"/>
                <w:color w:val="000000" w:themeColor="text1"/>
              </w:rPr>
            </w:pPr>
            <w:r w:rsidRPr="007F5002">
              <w:rPr>
                <w:rFonts w:ascii="Times New Roman" w:hAnsi="Times New Roman" w:cs="Times New Roman"/>
                <w:color w:val="000000" w:themeColor="text1"/>
              </w:rPr>
              <w:t>5609</w:t>
            </w:r>
          </w:p>
        </w:tc>
      </w:tr>
      <w:tr w:rsidR="00126D8D" w:rsidRPr="007F5002" w14:paraId="319835C6" w14:textId="77777777" w:rsidTr="00820288">
        <w:trPr>
          <w:trHeight w:val="649"/>
        </w:trPr>
        <w:tc>
          <w:tcPr>
            <w:tcW w:w="2520" w:type="dxa"/>
            <w:tcBorders>
              <w:bottom w:val="single" w:sz="4" w:space="0" w:color="auto"/>
            </w:tcBorders>
            <w:noWrap/>
            <w:vAlign w:val="center"/>
          </w:tcPr>
          <w:p w14:paraId="2A7A0E14" w14:textId="77777777" w:rsidR="00126D8D" w:rsidRPr="007F5002" w:rsidRDefault="00126D8D" w:rsidP="00820288">
            <w:pPr>
              <w:spacing w:line="240" w:lineRule="auto"/>
              <w:rPr>
                <w:rFonts w:ascii="Times New Roman" w:hAnsi="Times New Roman" w:cs="Times New Roman"/>
                <w:color w:val="000000" w:themeColor="text1"/>
              </w:rPr>
            </w:pPr>
            <w:r w:rsidRPr="007F5002">
              <w:rPr>
                <w:rFonts w:ascii="Times New Roman" w:hAnsi="Times New Roman" w:cs="Times New Roman"/>
                <w:color w:val="000000" w:themeColor="text1"/>
              </w:rPr>
              <w:t>High Pressure Sodium vs. NL Control</w:t>
            </w:r>
          </w:p>
        </w:tc>
        <w:tc>
          <w:tcPr>
            <w:tcW w:w="1725" w:type="dxa"/>
            <w:tcBorders>
              <w:bottom w:val="single" w:sz="4" w:space="0" w:color="auto"/>
            </w:tcBorders>
            <w:noWrap/>
            <w:vAlign w:val="center"/>
          </w:tcPr>
          <w:p w14:paraId="277AED02" w14:textId="77777777" w:rsidR="00126D8D" w:rsidRPr="007F5002" w:rsidRDefault="00126D8D" w:rsidP="00820288">
            <w:pPr>
              <w:spacing w:line="240" w:lineRule="auto"/>
              <w:jc w:val="center"/>
              <w:rPr>
                <w:rFonts w:ascii="Times New Roman" w:hAnsi="Times New Roman" w:cs="Times New Roman"/>
                <w:color w:val="000000" w:themeColor="text1"/>
              </w:rPr>
            </w:pPr>
            <w:r w:rsidRPr="007F5002">
              <w:rPr>
                <w:rFonts w:ascii="Times New Roman" w:hAnsi="Times New Roman" w:cs="Times New Roman"/>
                <w:color w:val="000000" w:themeColor="text1"/>
              </w:rPr>
              <w:t>34</w:t>
            </w:r>
          </w:p>
        </w:tc>
        <w:tc>
          <w:tcPr>
            <w:tcW w:w="1726" w:type="dxa"/>
            <w:tcBorders>
              <w:bottom w:val="single" w:sz="4" w:space="0" w:color="auto"/>
            </w:tcBorders>
            <w:vAlign w:val="center"/>
          </w:tcPr>
          <w:p w14:paraId="31E3341A" w14:textId="77777777" w:rsidR="00126D8D" w:rsidRPr="007F5002" w:rsidRDefault="00126D8D" w:rsidP="00820288">
            <w:pPr>
              <w:spacing w:line="240" w:lineRule="auto"/>
              <w:jc w:val="center"/>
              <w:rPr>
                <w:rFonts w:ascii="Times New Roman" w:hAnsi="Times New Roman" w:cs="Times New Roman"/>
                <w:color w:val="000000" w:themeColor="text1"/>
              </w:rPr>
            </w:pPr>
            <w:r w:rsidRPr="007F5002">
              <w:rPr>
                <w:rFonts w:ascii="Times New Roman" w:hAnsi="Times New Roman" w:cs="Times New Roman"/>
                <w:color w:val="000000" w:themeColor="text1"/>
              </w:rPr>
              <w:t>94</w:t>
            </w:r>
          </w:p>
        </w:tc>
        <w:tc>
          <w:tcPr>
            <w:tcW w:w="1726" w:type="dxa"/>
            <w:tcBorders>
              <w:bottom w:val="single" w:sz="4" w:space="0" w:color="auto"/>
            </w:tcBorders>
            <w:vAlign w:val="center"/>
          </w:tcPr>
          <w:p w14:paraId="7452A322" w14:textId="77777777" w:rsidR="00126D8D" w:rsidRPr="007F5002" w:rsidRDefault="00126D8D" w:rsidP="00820288">
            <w:pPr>
              <w:spacing w:line="240" w:lineRule="auto"/>
              <w:jc w:val="center"/>
              <w:rPr>
                <w:rFonts w:ascii="Times New Roman" w:hAnsi="Times New Roman" w:cs="Times New Roman"/>
                <w:color w:val="000000" w:themeColor="text1"/>
              </w:rPr>
            </w:pPr>
            <w:r w:rsidRPr="007F5002">
              <w:rPr>
                <w:rFonts w:ascii="Times New Roman" w:hAnsi="Times New Roman" w:cs="Times New Roman"/>
                <w:color w:val="000000" w:themeColor="text1"/>
              </w:rPr>
              <w:t>128</w:t>
            </w:r>
          </w:p>
        </w:tc>
        <w:tc>
          <w:tcPr>
            <w:tcW w:w="223" w:type="dxa"/>
            <w:tcBorders>
              <w:bottom w:val="single" w:sz="4" w:space="0" w:color="auto"/>
            </w:tcBorders>
          </w:tcPr>
          <w:p w14:paraId="21493974" w14:textId="77777777" w:rsidR="00126D8D" w:rsidRPr="007F5002" w:rsidRDefault="00126D8D" w:rsidP="00820288">
            <w:pPr>
              <w:spacing w:line="240" w:lineRule="auto"/>
              <w:jc w:val="center"/>
              <w:rPr>
                <w:rFonts w:ascii="Times New Roman" w:hAnsi="Times New Roman" w:cs="Times New Roman"/>
                <w:color w:val="000000" w:themeColor="text1"/>
              </w:rPr>
            </w:pPr>
          </w:p>
        </w:tc>
        <w:tc>
          <w:tcPr>
            <w:tcW w:w="1728" w:type="dxa"/>
            <w:tcBorders>
              <w:bottom w:val="single" w:sz="4" w:space="0" w:color="auto"/>
            </w:tcBorders>
            <w:vAlign w:val="center"/>
          </w:tcPr>
          <w:p w14:paraId="112DD269" w14:textId="77777777" w:rsidR="00126D8D" w:rsidRPr="007F5002" w:rsidRDefault="00126D8D" w:rsidP="00820288">
            <w:pPr>
              <w:spacing w:line="240" w:lineRule="auto"/>
              <w:jc w:val="center"/>
              <w:rPr>
                <w:rFonts w:ascii="Times New Roman" w:hAnsi="Times New Roman" w:cs="Times New Roman"/>
                <w:color w:val="000000" w:themeColor="text1"/>
              </w:rPr>
            </w:pPr>
            <w:r w:rsidRPr="007F5002">
              <w:rPr>
                <w:rFonts w:ascii="Times New Roman" w:hAnsi="Times New Roman" w:cs="Times New Roman"/>
                <w:color w:val="000000" w:themeColor="text1"/>
              </w:rPr>
              <w:t>1228</w:t>
            </w:r>
          </w:p>
        </w:tc>
        <w:tc>
          <w:tcPr>
            <w:tcW w:w="1728" w:type="dxa"/>
            <w:tcBorders>
              <w:bottom w:val="single" w:sz="4" w:space="0" w:color="auto"/>
            </w:tcBorders>
            <w:vAlign w:val="center"/>
          </w:tcPr>
          <w:p w14:paraId="25EDD39F" w14:textId="77777777" w:rsidR="00126D8D" w:rsidRPr="007F5002" w:rsidRDefault="00126D8D" w:rsidP="00820288">
            <w:pPr>
              <w:spacing w:line="240" w:lineRule="auto"/>
              <w:jc w:val="center"/>
              <w:rPr>
                <w:rFonts w:ascii="Times New Roman" w:hAnsi="Times New Roman" w:cs="Times New Roman"/>
                <w:color w:val="000000" w:themeColor="text1"/>
              </w:rPr>
            </w:pPr>
            <w:r w:rsidRPr="007F5002">
              <w:rPr>
                <w:rFonts w:ascii="Times New Roman" w:hAnsi="Times New Roman" w:cs="Times New Roman"/>
                <w:color w:val="000000" w:themeColor="text1"/>
              </w:rPr>
              <w:t>695</w:t>
            </w:r>
          </w:p>
        </w:tc>
        <w:tc>
          <w:tcPr>
            <w:tcW w:w="1728" w:type="dxa"/>
            <w:tcBorders>
              <w:bottom w:val="single" w:sz="4" w:space="0" w:color="auto"/>
            </w:tcBorders>
            <w:vAlign w:val="center"/>
          </w:tcPr>
          <w:p w14:paraId="2FDC4D8F" w14:textId="77777777" w:rsidR="00126D8D" w:rsidRPr="007F5002" w:rsidRDefault="00126D8D" w:rsidP="00820288">
            <w:pPr>
              <w:spacing w:line="240" w:lineRule="auto"/>
              <w:jc w:val="center"/>
              <w:rPr>
                <w:rFonts w:ascii="Times New Roman" w:hAnsi="Times New Roman" w:cs="Times New Roman"/>
                <w:color w:val="000000" w:themeColor="text1"/>
              </w:rPr>
            </w:pPr>
            <w:r w:rsidRPr="007F5002">
              <w:rPr>
                <w:rFonts w:ascii="Times New Roman" w:hAnsi="Times New Roman" w:cs="Times New Roman"/>
                <w:color w:val="000000" w:themeColor="text1"/>
              </w:rPr>
              <w:t>1923</w:t>
            </w:r>
          </w:p>
        </w:tc>
      </w:tr>
    </w:tbl>
    <w:p w14:paraId="3753CA11" w14:textId="77777777" w:rsidR="00126D8D" w:rsidRPr="003F0091" w:rsidRDefault="00126D8D" w:rsidP="00DC4427">
      <w:pPr>
        <w:spacing w:line="240" w:lineRule="auto"/>
        <w:rPr>
          <w:rFonts w:cs="Times New Roman"/>
          <w:color w:val="000000" w:themeColor="text1"/>
        </w:rPr>
        <w:sectPr w:rsidR="00126D8D" w:rsidRPr="003F0091" w:rsidSect="00BB138C">
          <w:pgSz w:w="15840" w:h="12240" w:orient="landscape"/>
          <w:pgMar w:top="1440" w:right="1440" w:bottom="1440" w:left="1440" w:header="720" w:footer="720" w:gutter="0"/>
          <w:cols w:space="720"/>
          <w:docGrid w:linePitch="360"/>
        </w:sectPr>
      </w:pPr>
    </w:p>
    <w:p w14:paraId="247BBF8D" w14:textId="77777777" w:rsidR="00126D8D" w:rsidRPr="003F0091" w:rsidRDefault="00126D8D" w:rsidP="00DC4427">
      <w:pPr>
        <w:spacing w:line="240" w:lineRule="auto"/>
        <w:rPr>
          <w:rFonts w:cs="Times New Roman"/>
          <w:color w:val="000000" w:themeColor="text1"/>
        </w:rPr>
      </w:pPr>
      <w:r w:rsidRPr="003F0091">
        <w:rPr>
          <w:rFonts w:cs="Times New Roman"/>
          <w:noProof/>
          <w:color w:val="000000" w:themeColor="text1"/>
        </w:rPr>
        <w:lastRenderedPageBreak/>
        <mc:AlternateContent>
          <mc:Choice Requires="wps">
            <w:drawing>
              <wp:anchor distT="0" distB="0" distL="114300" distR="114300" simplePos="0" relativeHeight="251660288" behindDoc="0" locked="0" layoutInCell="1" allowOverlap="1" wp14:anchorId="018A5663" wp14:editId="3320CD49">
                <wp:simplePos x="0" y="0"/>
                <wp:positionH relativeFrom="column">
                  <wp:posOffset>2424430</wp:posOffset>
                </wp:positionH>
                <wp:positionV relativeFrom="paragraph">
                  <wp:posOffset>4428868</wp:posOffset>
                </wp:positionV>
                <wp:extent cx="1828800" cy="333955"/>
                <wp:effectExtent l="0" t="0" r="0" b="0"/>
                <wp:wrapNone/>
                <wp:docPr id="1546004408" name="Text Box 1546004408"/>
                <wp:cNvGraphicFramePr/>
                <a:graphic xmlns:a="http://schemas.openxmlformats.org/drawingml/2006/main">
                  <a:graphicData uri="http://schemas.microsoft.com/office/word/2010/wordprocessingShape">
                    <wps:wsp>
                      <wps:cNvSpPr txBox="1"/>
                      <wps:spPr>
                        <a:xfrm>
                          <a:off x="0" y="0"/>
                          <a:ext cx="1828800" cy="333955"/>
                        </a:xfrm>
                        <a:prstGeom prst="rect">
                          <a:avLst/>
                        </a:prstGeom>
                        <a:noFill/>
                        <a:ln w="6350">
                          <a:noFill/>
                        </a:ln>
                      </wps:spPr>
                      <wps:txbx>
                        <w:txbxContent>
                          <w:p w14:paraId="00089AEB" w14:textId="77777777" w:rsidR="00126D8D" w:rsidRPr="00687E27" w:rsidRDefault="00126D8D" w:rsidP="00DC4427">
                            <w:pPr>
                              <w:rPr>
                                <w:rFonts w:ascii="Arial" w:hAnsi="Arial" w:cs="Arial"/>
                                <w:sz w:val="21"/>
                                <w:szCs w:val="21"/>
                              </w:rPr>
                            </w:pPr>
                            <w:r w:rsidRPr="00687E27">
                              <w:rPr>
                                <w:rFonts w:ascii="Arial" w:hAnsi="Arial" w:cs="Arial"/>
                                <w:sz w:val="21"/>
                                <w:szCs w:val="21"/>
                              </w:rPr>
                              <w:t>Wavelength (nm)</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018A5663" id="Text Box 1546004408" o:spid="_x0000_s1027" type="#_x0000_t202" style="position:absolute;margin-left:190.9pt;margin-top:348.75pt;width:2in;height:26.3pt;z-index:25166028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" filled="f" stroked="f" strokeweight=".5pt">
                <v:textbox>
                  <w:txbxContent>
                    <w:p w14:paraId="00089AEB" w14:textId="77777777" w:rsidR="00126D8D" w:rsidRPr="00687E27" w:rsidRDefault="00126D8D" w:rsidP="00DC4427">
                      <w:pPr>
                        <w:rPr>
                          <w:rFonts w:ascii="Arial" w:hAnsi="Arial" w:cs="Arial"/>
                          <w:sz w:val="21"/>
                          <w:szCs w:val="21"/>
                        </w:rPr>
                      </w:pPr>
                      <w:r w:rsidRPr="00687E27">
                        <w:rPr>
                          <w:rFonts w:ascii="Arial" w:hAnsi="Arial" w:cs="Arial"/>
                          <w:sz w:val="21"/>
                          <w:szCs w:val="21"/>
                        </w:rPr>
                        <w:t>Wavelength (nm)</w:t>
                      </w:r>
                    </w:p>
                  </w:txbxContent>
                </v:textbox>
              </v:shape>
            </w:pict>
          </mc:Fallback>
        </mc:AlternateContent>
      </w:r>
      <w:r w:rsidRPr="003F0091">
        <w:rPr>
          <w:rFonts w:cs="Times New Roman"/>
          <w:noProof/>
          <w:color w:val="000000" w:themeColor="text1"/>
        </w:rPr>
        <w:drawing>
          <wp:inline distT="0" distB="0" distL="0" distR="0" wp14:anchorId="0C7041A4" wp14:editId="4992E092">
            <wp:extent cx="5892565" cy="4500934"/>
            <wp:effectExtent l="0" t="0" r="635" b="0"/>
            <wp:docPr id="87147738" name="Picture 87147738" descr="Chart, line 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descr="Chart, line chart&#10;&#10;Description automatically generated"/>
                    <pic:cNvPicPr/>
                  </pic:nvPicPr>
                  <pic:blipFill>
                    <a:blip r:embed="rId25">
                      <a:extLst>
                        <a:ext uri="{28A0092B-C50C-407E-A947-70E740481C1C}">
                          <a14:useLocalDpi xmlns:a14="http://schemas.microsoft.com/office/drawing/2010/main" val="0"/>
                        </a:ext>
                      </a:extLst>
                    </a:blip>
                    <a:stretch>
                      <a:fillRect/>
                    </a:stretch>
                  </pic:blipFill>
                  <pic:spPr>
                    <a:xfrm>
                      <a:off x="0" y="0"/>
                      <a:ext cx="5937843" cy="4535519"/>
                    </a:xfrm>
                    <a:prstGeom prst="rect">
                      <a:avLst/>
                    </a:prstGeom>
                    <a:ln w="9525">
                      <a:noFill/>
                    </a:ln>
                  </pic:spPr>
                </pic:pic>
              </a:graphicData>
            </a:graphic>
          </wp:inline>
        </w:drawing>
      </w:r>
    </w:p>
    <w:p w14:paraId="201A6C15" w14:textId="77777777" w:rsidR="007F5002" w:rsidRDefault="007F5002" w:rsidP="007F40F3">
      <w:pPr>
        <w:pStyle w:val="TOCFigures1"/>
        <w:rPr>
          <w:b/>
          <w:bCs/>
        </w:rPr>
      </w:pPr>
    </w:p>
    <w:p w14:paraId="3A7041BD" w14:textId="0C908A68" w:rsidR="00126D8D" w:rsidRPr="003F0091" w:rsidRDefault="00126D8D" w:rsidP="007F40F3">
      <w:pPr>
        <w:pStyle w:val="TOCFigures1"/>
        <w:rPr>
          <w:b/>
          <w:bCs/>
        </w:rPr>
      </w:pPr>
      <w:bookmarkStart w:id="622" w:name="_Toc141478823"/>
      <w:r w:rsidRPr="003F0091">
        <w:rPr>
          <w:b/>
          <w:bCs/>
        </w:rPr>
        <w:t xml:space="preserve">Figure </w:t>
      </w:r>
      <w:r>
        <w:rPr>
          <w:b/>
          <w:bCs/>
        </w:rPr>
        <w:t>4.</w:t>
      </w:r>
      <w:r w:rsidRPr="003F0091">
        <w:rPr>
          <w:b/>
          <w:bCs/>
        </w:rPr>
        <w:t xml:space="preserve">1. </w:t>
      </w:r>
      <w:r w:rsidRPr="003F0091">
        <w:t>Natural light (NL) spectra under greenhouse glass, averaged across all four growing seasons, ranging from 350 nm to 850 nm. Values were taken at solar noon with three replicates for full sun (yellow) and overcast (gray) for each experimental run.</w:t>
      </w:r>
      <w:bookmarkEnd w:id="622"/>
    </w:p>
    <w:p w14:paraId="7F96CE5E" w14:textId="77777777" w:rsidR="00126D8D" w:rsidRPr="003F0091" w:rsidRDefault="00126D8D" w:rsidP="00DC4427">
      <w:pPr>
        <w:pStyle w:val="NormalWeb"/>
        <w:rPr>
          <w:b/>
          <w:bCs/>
          <w:color w:val="000000" w:themeColor="text1"/>
        </w:rPr>
      </w:pPr>
    </w:p>
    <w:p w14:paraId="5777DCC4" w14:textId="77777777" w:rsidR="00126D8D" w:rsidRPr="003F0091" w:rsidRDefault="00126D8D" w:rsidP="00DC4427">
      <w:pPr>
        <w:spacing w:line="240" w:lineRule="auto"/>
        <w:rPr>
          <w:rFonts w:eastAsia="Times New Roman" w:cs="Times New Roman"/>
          <w:b/>
          <w:bCs/>
          <w:color w:val="000000" w:themeColor="text1"/>
        </w:rPr>
      </w:pPr>
      <w:r w:rsidRPr="003F0091">
        <w:rPr>
          <w:rFonts w:cs="Times New Roman"/>
          <w:b/>
          <w:bCs/>
          <w:color w:val="000000" w:themeColor="text1"/>
        </w:rPr>
        <w:br w:type="page"/>
      </w:r>
    </w:p>
    <w:p w14:paraId="2C5D2558" w14:textId="77777777" w:rsidR="00126D8D" w:rsidRPr="003F0091" w:rsidRDefault="00126D8D" w:rsidP="00DC4427">
      <w:pPr>
        <w:pStyle w:val="NormalWeb"/>
        <w:rPr>
          <w:b/>
          <w:bCs/>
          <w:color w:val="000000" w:themeColor="text1"/>
        </w:rPr>
      </w:pPr>
      <w:r w:rsidRPr="003F0091">
        <w:rPr>
          <w:noProof/>
          <w:color w:val="000000" w:themeColor="text1"/>
        </w:rPr>
        <w:lastRenderedPageBreak/>
        <w:drawing>
          <wp:inline distT="0" distB="0" distL="0" distR="0" wp14:anchorId="22BE14C6" wp14:editId="712FB5E9">
            <wp:extent cx="5380075" cy="4252817"/>
            <wp:effectExtent l="0" t="0" r="17780" b="14605"/>
            <wp:docPr id="345206533" name="Chart 1">
              <a:extLst xmlns:a="http://schemas.openxmlformats.org/drawingml/2006/main">
                <a:ext uri="{FF2B5EF4-FFF2-40B4-BE49-F238E27FC236}">
                  <a16:creationId xmlns:a16="http://schemas.microsoft.com/office/drawing/2014/main" id="{7A1EABBA-E2CD-F15F-E53E-29892E15C89F}"/>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41"/>
              </a:graphicData>
            </a:graphic>
          </wp:inline>
        </w:drawing>
      </w:r>
    </w:p>
    <w:p w14:paraId="0C6E6827" w14:textId="77777777" w:rsidR="00126D8D" w:rsidRPr="00EE1D8F" w:rsidRDefault="00126D8D" w:rsidP="007F40F3">
      <w:pPr>
        <w:pStyle w:val="TOCFigures1"/>
      </w:pPr>
      <w:bookmarkStart w:id="623" w:name="_Toc141478824"/>
      <w:r w:rsidRPr="003F0091">
        <w:rPr>
          <w:b/>
          <w:bCs/>
        </w:rPr>
        <w:t xml:space="preserve">Figure </w:t>
      </w:r>
      <w:r>
        <w:rPr>
          <w:b/>
          <w:bCs/>
        </w:rPr>
        <w:t>4.</w:t>
      </w:r>
      <w:r w:rsidRPr="003F0091">
        <w:rPr>
          <w:b/>
          <w:bCs/>
        </w:rPr>
        <w:t xml:space="preserve">2. </w:t>
      </w:r>
      <w:r w:rsidRPr="003F0091">
        <w:t>E</w:t>
      </w:r>
      <w:r w:rsidRPr="00EE1D8F">
        <w:t>mission spectra of supplemental lighting (SL) treatments from 300 nm to 850 nm: (1) Narrowband 20B/80R LED (purple), (2) Broadband White LEDs (grey), and (3) High Pressure Sodium (yellow). All SL treatments provided 8.64 mol</w:t>
      </w:r>
      <w:r w:rsidRPr="00EE1D8F">
        <w:rPr>
          <w:b/>
          <w:bCs/>
          <w:position w:val="8"/>
        </w:rPr>
        <w:t>.</w:t>
      </w:r>
      <w:r w:rsidRPr="00EE1D8F">
        <w:t>m</w:t>
      </w:r>
      <w:r w:rsidRPr="00EE1D8F">
        <w:rPr>
          <w:vertAlign w:val="superscript"/>
        </w:rPr>
        <w:t>-2</w:t>
      </w:r>
      <w:r w:rsidRPr="00EE1D8F">
        <w:rPr>
          <w:b/>
          <w:bCs/>
          <w:position w:val="8"/>
        </w:rPr>
        <w:t>.</w:t>
      </w:r>
      <w:r w:rsidRPr="00EE1D8F">
        <w:t>d</w:t>
      </w:r>
      <w:r w:rsidRPr="00EE1D8F">
        <w:rPr>
          <w:vertAlign w:val="superscript"/>
        </w:rPr>
        <w:t>-1</w:t>
      </w:r>
      <w:r w:rsidRPr="00EE1D8F">
        <w:rPr>
          <w:position w:val="8"/>
        </w:rPr>
        <w:t xml:space="preserve"> </w:t>
      </w:r>
      <w:r w:rsidRPr="00EE1D8F">
        <w:t>(continuous 100 μmol</w:t>
      </w:r>
      <w:r w:rsidRPr="00EE1D8F">
        <w:rPr>
          <w:b/>
          <w:bCs/>
          <w:position w:val="8"/>
        </w:rPr>
        <w:t>.</w:t>
      </w:r>
      <w:r w:rsidRPr="00EE1D8F">
        <w:t>m</w:t>
      </w:r>
      <w:r w:rsidRPr="00EE1D8F">
        <w:rPr>
          <w:vertAlign w:val="superscript"/>
        </w:rPr>
        <w:t>-2</w:t>
      </w:r>
      <w:r w:rsidRPr="00EE1D8F">
        <w:rPr>
          <w:b/>
          <w:bCs/>
          <w:position w:val="8"/>
        </w:rPr>
        <w:t>.</w:t>
      </w:r>
      <w:r w:rsidRPr="00EE1D8F">
        <w:t>s</w:t>
      </w:r>
      <w:r w:rsidRPr="00EE1D8F">
        <w:rPr>
          <w:vertAlign w:val="superscript"/>
        </w:rPr>
        <w:t>-1</w:t>
      </w:r>
      <w:r w:rsidRPr="00EE1D8F">
        <w:t>; 24 h</w:t>
      </w:r>
      <w:r w:rsidRPr="00EE1D8F">
        <w:rPr>
          <w:b/>
          <w:bCs/>
          <w:position w:val="8"/>
        </w:rPr>
        <w:t>.</w:t>
      </w:r>
      <w:r w:rsidRPr="00EE1D8F">
        <w:t>d</w:t>
      </w:r>
      <w:r w:rsidRPr="00EE1D8F">
        <w:rPr>
          <w:vertAlign w:val="superscript"/>
        </w:rPr>
        <w:t>-1</w:t>
      </w:r>
      <w:r w:rsidRPr="00EE1D8F">
        <w:t>). All lighting treatments were measured with a PS-200 Apogee Spectroradiometer to confirm intensity of specific treatment wavelengths throughout each growing season. Readings were taken at midnight in order to exclude underlying natural solar spectra.</w:t>
      </w:r>
      <w:bookmarkEnd w:id="623"/>
      <w:r w:rsidRPr="00EE1D8F">
        <w:t xml:space="preserve"> </w:t>
      </w:r>
    </w:p>
    <w:p w14:paraId="029E6914" w14:textId="77777777" w:rsidR="00126D8D" w:rsidRPr="00EE1D8F" w:rsidRDefault="00126D8D" w:rsidP="00DC4427">
      <w:pPr>
        <w:spacing w:line="240" w:lineRule="auto"/>
        <w:rPr>
          <w:rFonts w:eastAsia="Times New Roman" w:cs="Times New Roman"/>
          <w:b/>
          <w:bCs/>
          <w:color w:val="000000" w:themeColor="text1"/>
        </w:rPr>
      </w:pPr>
    </w:p>
    <w:p w14:paraId="1231CDA1" w14:textId="77777777" w:rsidR="00126D8D" w:rsidRPr="00EE1D8F" w:rsidRDefault="00126D8D" w:rsidP="00DC4427">
      <w:pPr>
        <w:spacing w:line="240" w:lineRule="auto"/>
        <w:rPr>
          <w:rFonts w:eastAsia="Times New Roman" w:cs="Times New Roman"/>
          <w:b/>
          <w:bCs/>
          <w:color w:val="000000" w:themeColor="text1"/>
        </w:rPr>
      </w:pPr>
      <w:r w:rsidRPr="00EE1D8F">
        <w:rPr>
          <w:rFonts w:eastAsia="Times New Roman" w:cs="Times New Roman"/>
          <w:b/>
          <w:bCs/>
          <w:color w:val="000000" w:themeColor="text1"/>
        </w:rPr>
        <w:br w:type="page"/>
      </w:r>
    </w:p>
    <w:p w14:paraId="1BAA5729" w14:textId="77777777" w:rsidR="00126D8D" w:rsidRPr="00EE1D8F" w:rsidRDefault="00126D8D" w:rsidP="00DC4427">
      <w:pPr>
        <w:pStyle w:val="TOCFigures1"/>
        <w:rPr>
          <w:rFonts w:cs="Times New Roman"/>
          <w:color w:val="000000" w:themeColor="text1"/>
        </w:rPr>
      </w:pPr>
      <w:bookmarkStart w:id="624" w:name="_Toc497314526"/>
      <w:bookmarkStart w:id="625" w:name="_Toc502751706"/>
    </w:p>
    <w:bookmarkEnd w:id="624"/>
    <w:bookmarkEnd w:id="625"/>
    <w:p w14:paraId="70DE76D0" w14:textId="77777777" w:rsidR="00126D8D" w:rsidRPr="00EE1D8F" w:rsidRDefault="00126D8D" w:rsidP="00DC4427">
      <w:pPr>
        <w:spacing w:line="240" w:lineRule="auto"/>
        <w:rPr>
          <w:rFonts w:cs="Times New Roman"/>
          <w:color w:val="000000" w:themeColor="text1"/>
        </w:rPr>
      </w:pPr>
      <w:r w:rsidRPr="00EE1D8F">
        <w:rPr>
          <w:rFonts w:cs="Times New Roman"/>
          <w:noProof/>
          <w:color w:val="000000" w:themeColor="text1"/>
        </w:rPr>
        <w:drawing>
          <wp:inline distT="0" distB="0" distL="0" distR="0" wp14:anchorId="4E629E82" wp14:editId="3867CC99">
            <wp:extent cx="5943600" cy="5145932"/>
            <wp:effectExtent l="0" t="0" r="12700" b="10795"/>
            <wp:docPr id="32" name="Chart 32"/>
            <wp:cNvGraphicFramePr/>
            <a:graphic xmlns:a="http://schemas.openxmlformats.org/drawingml/2006/main">
              <a:graphicData uri="http://schemas.openxmlformats.org/drawingml/2006/chart">
                <c:chart xmlns:c="http://schemas.openxmlformats.org/drawingml/2006/chart" xmlns:r="http://schemas.openxmlformats.org/officeDocument/2006/relationships" r:id="rId42"/>
              </a:graphicData>
            </a:graphic>
          </wp:inline>
        </w:drawing>
      </w:r>
    </w:p>
    <w:p w14:paraId="21810F3D" w14:textId="77777777" w:rsidR="00126D8D" w:rsidRPr="00EE1D8F" w:rsidRDefault="00126D8D" w:rsidP="00DC4427">
      <w:pPr>
        <w:pStyle w:val="TOCFigures1"/>
        <w:rPr>
          <w:rFonts w:cs="Times New Roman"/>
          <w:b/>
          <w:color w:val="000000" w:themeColor="text1"/>
          <w:sz w:val="20"/>
          <w:szCs w:val="20"/>
        </w:rPr>
      </w:pPr>
      <w:bookmarkStart w:id="626" w:name="_Toc501659041"/>
    </w:p>
    <w:p w14:paraId="6F324C6E" w14:textId="77777777" w:rsidR="00126D8D" w:rsidRPr="00EE1D8F" w:rsidRDefault="00126D8D" w:rsidP="00DC4427">
      <w:pPr>
        <w:pStyle w:val="TOCFigures1"/>
        <w:rPr>
          <w:rFonts w:cs="Times New Roman"/>
          <w:color w:val="000000" w:themeColor="text1"/>
        </w:rPr>
      </w:pPr>
      <w:bookmarkStart w:id="627" w:name="_Toc141478825"/>
      <w:r w:rsidRPr="00EE1D8F">
        <w:rPr>
          <w:rFonts w:cs="Times New Roman"/>
          <w:b/>
          <w:color w:val="000000" w:themeColor="text1"/>
        </w:rPr>
        <w:t xml:space="preserve">Figure </w:t>
      </w:r>
      <w:r>
        <w:rPr>
          <w:rFonts w:cs="Times New Roman"/>
          <w:b/>
          <w:color w:val="000000" w:themeColor="text1"/>
        </w:rPr>
        <w:t>4.</w:t>
      </w:r>
      <w:r w:rsidRPr="00EE1D8F">
        <w:rPr>
          <w:rFonts w:cs="Times New Roman"/>
          <w:b/>
          <w:color w:val="000000" w:themeColor="text1"/>
        </w:rPr>
        <w:t>3.</w:t>
      </w:r>
      <w:r w:rsidRPr="00EE1D8F">
        <w:rPr>
          <w:rFonts w:cs="Times New Roman"/>
          <w:color w:val="000000" w:themeColor="text1"/>
        </w:rPr>
        <w:t xml:space="preserve"> Influence of growing season on total fresh mass of hydroponically grown 'Genovese' basil (</w:t>
      </w:r>
      <w:r w:rsidRPr="00EE1D8F">
        <w:rPr>
          <w:rFonts w:cs="Times New Roman"/>
          <w:i/>
          <w:color w:val="000000" w:themeColor="text1"/>
        </w:rPr>
        <w:t>Ocimum basilicum</w:t>
      </w:r>
      <w:r w:rsidRPr="00EE1D8F">
        <w:rPr>
          <w:rFonts w:cs="Times New Roman"/>
          <w:color w:val="000000" w:themeColor="text1"/>
        </w:rPr>
        <w:t xml:space="preserve"> var. 'Genovese').</w:t>
      </w:r>
      <w:bookmarkEnd w:id="626"/>
      <w:r w:rsidRPr="00EE1D8F">
        <w:rPr>
          <w:rFonts w:cs="Times New Roman"/>
          <w:color w:val="000000" w:themeColor="text1"/>
        </w:rPr>
        <w:t xml:space="preserve"> All weights are presented in grams (g). Mean values represent 2 plants per replication and 6 replications per treatment across each season. Values were analyzed using Tukey's (protected) HSD, and those followed by the same letter are not significantly different (α=0.05).</w:t>
      </w:r>
      <w:bookmarkEnd w:id="627"/>
    </w:p>
    <w:p w14:paraId="77AB1DC8" w14:textId="77777777" w:rsidR="00126D8D" w:rsidRPr="00EE1D8F" w:rsidRDefault="00126D8D" w:rsidP="00DC4427">
      <w:pPr>
        <w:pStyle w:val="TOCFigures1"/>
        <w:rPr>
          <w:rFonts w:cs="Times New Roman"/>
          <w:color w:val="000000" w:themeColor="text1"/>
        </w:rPr>
      </w:pPr>
    </w:p>
    <w:p w14:paraId="7AA26B60" w14:textId="77777777" w:rsidR="00126D8D" w:rsidRPr="00EE1D8F" w:rsidRDefault="00126D8D" w:rsidP="00DC4427">
      <w:pPr>
        <w:spacing w:line="240" w:lineRule="auto"/>
        <w:rPr>
          <w:rFonts w:cs="Times New Roman"/>
          <w:color w:val="000000" w:themeColor="text1"/>
        </w:rPr>
      </w:pPr>
      <w:r w:rsidRPr="00EE1D8F">
        <w:rPr>
          <w:rFonts w:cs="Times New Roman"/>
          <w:noProof/>
          <w:color w:val="000000" w:themeColor="text1"/>
        </w:rPr>
        <w:lastRenderedPageBreak/>
        <w:drawing>
          <wp:inline distT="0" distB="0" distL="0" distR="0" wp14:anchorId="0120EE97" wp14:editId="676DC4A2">
            <wp:extent cx="5943600" cy="4970834"/>
            <wp:effectExtent l="0" t="0" r="12700" b="7620"/>
            <wp:docPr id="33" name="Chart 33"/>
            <wp:cNvGraphicFramePr/>
            <a:graphic xmlns:a="http://schemas.openxmlformats.org/drawingml/2006/main">
              <a:graphicData uri="http://schemas.openxmlformats.org/drawingml/2006/chart">
                <c:chart xmlns:c="http://schemas.openxmlformats.org/drawingml/2006/chart" xmlns:r="http://schemas.openxmlformats.org/officeDocument/2006/relationships" r:id="rId43"/>
              </a:graphicData>
            </a:graphic>
          </wp:inline>
        </w:drawing>
      </w:r>
    </w:p>
    <w:p w14:paraId="43FE4D77" w14:textId="77777777" w:rsidR="00126D8D" w:rsidRPr="00EE1D8F" w:rsidRDefault="00126D8D" w:rsidP="00DC4427">
      <w:pPr>
        <w:pStyle w:val="TOCFigures1"/>
        <w:rPr>
          <w:rFonts w:cs="Times New Roman"/>
          <w:b/>
          <w:color w:val="000000" w:themeColor="text1"/>
          <w:sz w:val="20"/>
          <w:szCs w:val="20"/>
        </w:rPr>
      </w:pPr>
      <w:bookmarkStart w:id="628" w:name="_Toc501659042"/>
    </w:p>
    <w:p w14:paraId="0DEEB75C" w14:textId="77777777" w:rsidR="00126D8D" w:rsidRPr="00EE1D8F" w:rsidRDefault="00126D8D" w:rsidP="00DC4427">
      <w:pPr>
        <w:pStyle w:val="TOCFigures1"/>
        <w:rPr>
          <w:rFonts w:cs="Times New Roman"/>
          <w:color w:val="000000" w:themeColor="text1"/>
        </w:rPr>
      </w:pPr>
      <w:bookmarkStart w:id="629" w:name="_Toc141478826"/>
      <w:r w:rsidRPr="00EE1D8F">
        <w:rPr>
          <w:rFonts w:cs="Times New Roman"/>
          <w:b/>
          <w:color w:val="000000" w:themeColor="text1"/>
        </w:rPr>
        <w:t xml:space="preserve">Figure </w:t>
      </w:r>
      <w:r>
        <w:rPr>
          <w:rFonts w:cs="Times New Roman"/>
          <w:b/>
          <w:color w:val="000000" w:themeColor="text1"/>
        </w:rPr>
        <w:t>4.</w:t>
      </w:r>
      <w:r w:rsidRPr="00EE1D8F">
        <w:rPr>
          <w:rFonts w:cs="Times New Roman"/>
          <w:b/>
          <w:color w:val="000000" w:themeColor="text1"/>
        </w:rPr>
        <w:t>4.</w:t>
      </w:r>
      <w:r w:rsidRPr="00EE1D8F">
        <w:rPr>
          <w:rFonts w:cs="Times New Roman"/>
          <w:color w:val="000000" w:themeColor="text1"/>
        </w:rPr>
        <w:t xml:space="preserve"> Influence of growing season on total dry mass of hydroponically grown 'Genovese' basil (</w:t>
      </w:r>
      <w:r w:rsidRPr="00EE1D8F">
        <w:rPr>
          <w:rFonts w:cs="Times New Roman"/>
          <w:i/>
          <w:color w:val="000000" w:themeColor="text1"/>
        </w:rPr>
        <w:t>Ocimum basilicum</w:t>
      </w:r>
      <w:r w:rsidRPr="00EE1D8F">
        <w:rPr>
          <w:rFonts w:cs="Times New Roman"/>
          <w:color w:val="000000" w:themeColor="text1"/>
        </w:rPr>
        <w:t xml:space="preserve"> var. 'Genovese'</w:t>
      </w:r>
      <w:bookmarkEnd w:id="628"/>
      <w:r w:rsidRPr="00EE1D8F">
        <w:rPr>
          <w:rFonts w:cs="Times New Roman"/>
          <w:color w:val="000000" w:themeColor="text1"/>
        </w:rPr>
        <w:t>). All weights are presented in grams (g). Mean values represent 2 plants per replication and 6 replications per treatment across each season. Values were analyzed using Tukey's (protected) HSD, and those followed by the same letter are not significantly different (α=0.05).</w:t>
      </w:r>
      <w:bookmarkEnd w:id="629"/>
    </w:p>
    <w:p w14:paraId="19FCF1D5" w14:textId="77777777" w:rsidR="00126D8D" w:rsidRPr="00EE1D8F" w:rsidRDefault="00126D8D" w:rsidP="00DC4427">
      <w:pPr>
        <w:spacing w:line="240" w:lineRule="auto"/>
        <w:rPr>
          <w:rFonts w:cs="Times New Roman"/>
          <w:color w:val="000000" w:themeColor="text1"/>
          <w:sz w:val="20"/>
          <w:szCs w:val="20"/>
        </w:rPr>
      </w:pPr>
      <w:r w:rsidRPr="00EE1D8F">
        <w:rPr>
          <w:rFonts w:cs="Times New Roman"/>
          <w:color w:val="000000" w:themeColor="text1"/>
          <w:sz w:val="20"/>
          <w:szCs w:val="20"/>
        </w:rPr>
        <w:br w:type="page"/>
      </w:r>
    </w:p>
    <w:p w14:paraId="17D62EB4" w14:textId="77777777" w:rsidR="00126D8D" w:rsidRPr="00EE1D8F" w:rsidRDefault="00126D8D" w:rsidP="00DC4427">
      <w:pPr>
        <w:spacing w:line="240" w:lineRule="auto"/>
        <w:jc w:val="both"/>
        <w:rPr>
          <w:rFonts w:cs="Times New Roman"/>
          <w:b/>
          <w:color w:val="000000" w:themeColor="text1"/>
          <w:sz w:val="28"/>
        </w:rPr>
      </w:pPr>
      <w:r w:rsidRPr="00EE1D8F">
        <w:rPr>
          <w:rFonts w:cs="Times New Roman"/>
          <w:noProof/>
        </w:rPr>
        <w:lastRenderedPageBreak/>
        <w:drawing>
          <wp:inline distT="0" distB="0" distL="0" distR="0" wp14:anchorId="791D7A61" wp14:editId="7AECC662">
            <wp:extent cx="5943600" cy="4863830"/>
            <wp:effectExtent l="0" t="0" r="12700" b="13335"/>
            <wp:docPr id="1929648000" name="Chart 1929648000"/>
            <wp:cNvGraphicFramePr/>
            <a:graphic xmlns:a="http://schemas.openxmlformats.org/drawingml/2006/main">
              <a:graphicData uri="http://schemas.openxmlformats.org/drawingml/2006/chart">
                <c:chart xmlns:c="http://schemas.openxmlformats.org/drawingml/2006/chart" xmlns:r="http://schemas.openxmlformats.org/officeDocument/2006/relationships" r:id="rId44"/>
              </a:graphicData>
            </a:graphic>
          </wp:inline>
        </w:drawing>
      </w:r>
      <w:bookmarkStart w:id="630" w:name="_Toc501659039"/>
    </w:p>
    <w:p w14:paraId="0ECA7D52" w14:textId="77777777" w:rsidR="00126D8D" w:rsidRPr="00EE1D8F" w:rsidRDefault="00126D8D" w:rsidP="00DC4427">
      <w:pPr>
        <w:pStyle w:val="TOCFigures1"/>
        <w:rPr>
          <w:rFonts w:cs="Times New Roman"/>
          <w:color w:val="000000" w:themeColor="text1"/>
        </w:rPr>
      </w:pPr>
      <w:bookmarkStart w:id="631" w:name="_Toc141478827"/>
      <w:r w:rsidRPr="00EE1D8F">
        <w:rPr>
          <w:rFonts w:cs="Times New Roman"/>
          <w:b/>
          <w:color w:val="000000" w:themeColor="text1"/>
        </w:rPr>
        <w:t xml:space="preserve">Figure </w:t>
      </w:r>
      <w:r>
        <w:rPr>
          <w:rFonts w:cs="Times New Roman"/>
          <w:b/>
          <w:color w:val="000000" w:themeColor="text1"/>
        </w:rPr>
        <w:t>4.</w:t>
      </w:r>
      <w:r w:rsidRPr="00EE1D8F">
        <w:rPr>
          <w:rFonts w:cs="Times New Roman"/>
          <w:b/>
          <w:color w:val="000000" w:themeColor="text1"/>
        </w:rPr>
        <w:t>5.</w:t>
      </w:r>
      <w:r w:rsidRPr="00EE1D8F">
        <w:rPr>
          <w:rFonts w:cs="Times New Roman"/>
          <w:color w:val="000000" w:themeColor="text1"/>
        </w:rPr>
        <w:t xml:space="preserve"> Influence of </w:t>
      </w:r>
      <w:r>
        <w:rPr>
          <w:rFonts w:cs="Times New Roman"/>
          <w:color w:val="000000" w:themeColor="text1"/>
        </w:rPr>
        <w:t>light treatment</w:t>
      </w:r>
      <w:r w:rsidRPr="00EE1D8F">
        <w:rPr>
          <w:rFonts w:cs="Times New Roman"/>
          <w:color w:val="000000" w:themeColor="text1"/>
        </w:rPr>
        <w:t xml:space="preserve"> on total plant fresh mass of hydroponically grown 'Genovese' basil (</w:t>
      </w:r>
      <w:r w:rsidRPr="00EE1D8F">
        <w:rPr>
          <w:rFonts w:cs="Times New Roman"/>
          <w:i/>
          <w:color w:val="000000" w:themeColor="text1"/>
        </w:rPr>
        <w:t>Ocimum basilicum</w:t>
      </w:r>
      <w:r w:rsidRPr="00EE1D8F">
        <w:rPr>
          <w:rFonts w:cs="Times New Roman"/>
          <w:color w:val="000000" w:themeColor="text1"/>
        </w:rPr>
        <w:t xml:space="preserve"> var. 'Genovese'</w:t>
      </w:r>
      <w:bookmarkEnd w:id="630"/>
      <w:r w:rsidRPr="00EE1D8F">
        <w:rPr>
          <w:rFonts w:cs="Times New Roman"/>
          <w:color w:val="000000" w:themeColor="text1"/>
        </w:rPr>
        <w:t>). All weights are presented in grams (g). Mean values represent 2 plants per replication and 6 replications per treatment. Values were analyzed using Tukey's (protected) HSD, and those followed by the same letter are not significantly different (α=0.05).</w:t>
      </w:r>
      <w:bookmarkEnd w:id="631"/>
    </w:p>
    <w:p w14:paraId="093662AC" w14:textId="77777777" w:rsidR="00126D8D" w:rsidRPr="00EE1D8F" w:rsidRDefault="00126D8D" w:rsidP="00DC4427">
      <w:pPr>
        <w:spacing w:line="240" w:lineRule="auto"/>
        <w:jc w:val="both"/>
        <w:rPr>
          <w:rFonts w:cs="Times New Roman"/>
          <w:color w:val="000000" w:themeColor="text1"/>
        </w:rPr>
      </w:pPr>
      <w:r w:rsidRPr="00EE1D8F">
        <w:rPr>
          <w:rFonts w:cs="Times New Roman"/>
          <w:noProof/>
          <w:color w:val="000000" w:themeColor="text1"/>
          <w:sz w:val="21"/>
          <w:szCs w:val="21"/>
        </w:rPr>
        <w:lastRenderedPageBreak/>
        <w:drawing>
          <wp:inline distT="0" distB="0" distL="0" distR="0" wp14:anchorId="68839436" wp14:editId="1AD9CA24">
            <wp:extent cx="5943600" cy="4893013"/>
            <wp:effectExtent l="0" t="0" r="12700" b="9525"/>
            <wp:docPr id="31" name="Chart 31"/>
            <wp:cNvGraphicFramePr/>
            <a:graphic xmlns:a="http://schemas.openxmlformats.org/drawingml/2006/main">
              <a:graphicData uri="http://schemas.openxmlformats.org/drawingml/2006/chart">
                <c:chart xmlns:c="http://schemas.openxmlformats.org/drawingml/2006/chart" xmlns:r="http://schemas.openxmlformats.org/officeDocument/2006/relationships" r:id="rId45"/>
              </a:graphicData>
            </a:graphic>
          </wp:inline>
        </w:drawing>
      </w:r>
    </w:p>
    <w:p w14:paraId="06741696" w14:textId="77777777" w:rsidR="00126D8D" w:rsidRPr="00EE1D8F" w:rsidRDefault="00126D8D" w:rsidP="00DC4427">
      <w:pPr>
        <w:pStyle w:val="TOCFigures1"/>
        <w:rPr>
          <w:rFonts w:cs="Times New Roman"/>
          <w:b/>
          <w:color w:val="000000" w:themeColor="text1"/>
        </w:rPr>
      </w:pPr>
      <w:bookmarkStart w:id="632" w:name="_Toc501659040"/>
    </w:p>
    <w:p w14:paraId="2E933184" w14:textId="77777777" w:rsidR="00126D8D" w:rsidRPr="007F40F3" w:rsidRDefault="00126D8D" w:rsidP="007F40F3">
      <w:pPr>
        <w:pStyle w:val="TOCFigures1"/>
      </w:pPr>
      <w:bookmarkStart w:id="633" w:name="_Toc141478828"/>
      <w:r w:rsidRPr="00126D8D">
        <w:rPr>
          <w:b/>
          <w:bCs/>
        </w:rPr>
        <w:t>Figure 4.6.</w:t>
      </w:r>
      <w:r w:rsidRPr="007F40F3">
        <w:t xml:space="preserve"> Influence of light treatment on total plant dry mass of hydroponically grown 'Genovese' basil (Ocimum basilicum var. 'Genovese')</w:t>
      </w:r>
      <w:bookmarkEnd w:id="632"/>
      <w:r w:rsidRPr="007F40F3">
        <w:t>. All weights are presented in grams (g). Mean values represent 2 plants per replication and 6 replications per treatment. Values were analyzed using Tukey's (protected) HSD, and those followed by the same letter are not significantly different (α=0.05).</w:t>
      </w:r>
      <w:bookmarkEnd w:id="633"/>
    </w:p>
    <w:p w14:paraId="5FDF5132" w14:textId="77777777" w:rsidR="00126D8D" w:rsidRPr="00343B24" w:rsidRDefault="00126D8D" w:rsidP="00DC4427">
      <w:pPr>
        <w:pStyle w:val="TOCFigures1"/>
        <w:rPr>
          <w:rFonts w:ascii="Arial" w:hAnsi="Arial" w:cs="Arial"/>
          <w:color w:val="000000" w:themeColor="text1"/>
          <w:sz w:val="20"/>
          <w:szCs w:val="20"/>
        </w:rPr>
      </w:pPr>
    </w:p>
    <w:p w14:paraId="153AC681" w14:textId="77777777" w:rsidR="00126D8D" w:rsidRDefault="00126D8D" w:rsidP="00DC4427">
      <w:pPr>
        <w:spacing w:line="240" w:lineRule="auto"/>
        <w:rPr>
          <w:rFonts w:cs="Times New Roman"/>
          <w:color w:val="000000" w:themeColor="text1"/>
        </w:rPr>
      </w:pPr>
      <w:r>
        <w:rPr>
          <w:rFonts w:cs="Times New Roman"/>
          <w:color w:val="000000" w:themeColor="text1"/>
        </w:rPr>
        <w:br w:type="page"/>
      </w:r>
    </w:p>
    <w:p w14:paraId="4C14645F" w14:textId="2361F279" w:rsidR="00233FF1" w:rsidRDefault="00126D8D" w:rsidP="00233FF1">
      <w:pPr>
        <w:pStyle w:val="MSThesisBodyTextJustified"/>
      </w:pPr>
      <w:r>
        <w:rPr>
          <w:noProof/>
        </w:rPr>
        <w:lastRenderedPageBreak/>
        <w:drawing>
          <wp:inline distT="0" distB="0" distL="0" distR="0" wp14:anchorId="302C777C" wp14:editId="6BDAFDD5">
            <wp:extent cx="4980562" cy="5274498"/>
            <wp:effectExtent l="0" t="0" r="0" b="0"/>
            <wp:docPr id="211826247" name="Picture 211826247" descr="A diagram of a number of different types of plant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1826247" name="Picture 1" descr="A diagram of a number of different types of plants&#10;&#10;Description automatically generated"/>
                    <pic:cNvPicPr/>
                  </pic:nvPicPr>
                  <pic:blipFill>
                    <a:blip r:embed="rId46" cstate="print">
                      <a:extLst>
                        <a:ext uri="{28A0092B-C50C-407E-A947-70E740481C1C}">
                          <a14:useLocalDpi xmlns:a14="http://schemas.microsoft.com/office/drawing/2010/main" val="0"/>
                        </a:ext>
                      </a:extLst>
                    </a:blip>
                    <a:stretch>
                      <a:fillRect/>
                    </a:stretch>
                  </pic:blipFill>
                  <pic:spPr>
                    <a:xfrm>
                      <a:off x="0" y="0"/>
                      <a:ext cx="4990860" cy="5285403"/>
                    </a:xfrm>
                    <a:prstGeom prst="rect">
                      <a:avLst/>
                    </a:prstGeom>
                  </pic:spPr>
                </pic:pic>
              </a:graphicData>
            </a:graphic>
          </wp:inline>
        </w:drawing>
      </w:r>
    </w:p>
    <w:p w14:paraId="5E3719F0" w14:textId="77777777" w:rsidR="00233FF1" w:rsidRDefault="00233FF1" w:rsidP="00233FF1">
      <w:pPr>
        <w:pStyle w:val="TOCFigures1"/>
        <w:rPr>
          <w:b/>
          <w:bCs/>
        </w:rPr>
      </w:pPr>
    </w:p>
    <w:p w14:paraId="0ADE0674" w14:textId="455B64CE" w:rsidR="00126D8D" w:rsidRPr="003F0091" w:rsidRDefault="00126D8D" w:rsidP="00233FF1">
      <w:pPr>
        <w:pStyle w:val="TOCFigures1"/>
      </w:pPr>
      <w:bookmarkStart w:id="634" w:name="_Toc141478829"/>
      <w:r w:rsidRPr="003F0091">
        <w:rPr>
          <w:b/>
          <w:bCs/>
        </w:rPr>
        <w:t xml:space="preserve">Figure </w:t>
      </w:r>
      <w:r>
        <w:rPr>
          <w:b/>
          <w:bCs/>
        </w:rPr>
        <w:t>4.7</w:t>
      </w:r>
      <w:r w:rsidRPr="003F0091">
        <w:rPr>
          <w:b/>
          <w:bCs/>
        </w:rPr>
        <w:t xml:space="preserve">. </w:t>
      </w:r>
      <w:r w:rsidRPr="003F0091">
        <w:t xml:space="preserve">Principal component analysis (PCA) comparing </w:t>
      </w:r>
      <w:r>
        <w:t xml:space="preserve">all experimental parameters. </w:t>
      </w:r>
      <w:r w:rsidR="0079421E">
        <w:t xml:space="preserve">Helpful to label </w:t>
      </w:r>
      <w:r w:rsidR="00191A98">
        <w:t xml:space="preserve">the treatments larger </w:t>
      </w:r>
      <w:r w:rsidR="00E00E1F">
        <w:t xml:space="preserve">font </w:t>
      </w:r>
      <w:r w:rsidR="00191A98">
        <w:t>t</w:t>
      </w:r>
      <w:r w:rsidR="0079421E">
        <w:t>han shown.</w:t>
      </w:r>
      <w:r w:rsidR="00191A98">
        <w:t xml:space="preserve"> </w:t>
      </w:r>
      <w:r w:rsidR="002D1EDC">
        <w:t>Which represents Full spectrum LED light treatment</w:t>
      </w:r>
      <w:r w:rsidR="00E00E1F">
        <w:t>. If refer to quadrants in body of paper, then label quadrants.</w:t>
      </w:r>
      <w:bookmarkEnd w:id="634"/>
    </w:p>
    <w:p w14:paraId="02AA3D7A" w14:textId="77777777" w:rsidR="00126D8D" w:rsidRPr="003F0091" w:rsidRDefault="00126D8D" w:rsidP="00DC4427">
      <w:pPr>
        <w:spacing w:line="240" w:lineRule="auto"/>
        <w:rPr>
          <w:rFonts w:eastAsia="Times New Roman" w:cs="Times New Roman"/>
          <w:color w:val="000000" w:themeColor="text1"/>
        </w:rPr>
      </w:pPr>
      <w:r w:rsidRPr="003F0091">
        <w:rPr>
          <w:rFonts w:cs="Times New Roman"/>
          <w:color w:val="000000" w:themeColor="text1"/>
        </w:rPr>
        <w:br w:type="page"/>
      </w:r>
    </w:p>
    <w:p w14:paraId="580520AD" w14:textId="7B3115A1" w:rsidR="00126D8D" w:rsidRPr="003F0091" w:rsidRDefault="00126D8D" w:rsidP="00DC4427">
      <w:pPr>
        <w:pStyle w:val="NormalWeb"/>
        <w:jc w:val="both"/>
        <w:rPr>
          <w:color w:val="000000" w:themeColor="text1"/>
        </w:rPr>
      </w:pPr>
      <w:r w:rsidRPr="003F0091">
        <w:rPr>
          <w:color w:val="000000" w:themeColor="text1"/>
        </w:rPr>
        <w:lastRenderedPageBreak/>
        <w:fldChar w:fldCharType="begin"/>
      </w:r>
      <w:r w:rsidR="007E7608">
        <w:rPr>
          <w:color w:val="000000" w:themeColor="text1"/>
        </w:rPr>
        <w:instrText xml:space="preserve"> INCLUDEPICTURE "C:\\Users\\hunterhammock\\Library\\Group Containers\\UBF8T346G9.ms\\WebArchiveCopyPasteTempFiles\\com.microsoft.Word\\XvY21gRVEUJSthzP8DRiscwk6Ww9gAAAAASUVORK5CYII=" \* MERGEFORMAT </w:instrText>
      </w:r>
      <w:r w:rsidRPr="003F0091">
        <w:rPr>
          <w:color w:val="000000" w:themeColor="text1"/>
        </w:rPr>
        <w:fldChar w:fldCharType="separate"/>
      </w:r>
      <w:r w:rsidRPr="003F0091">
        <w:rPr>
          <w:noProof/>
          <w:color w:val="000000" w:themeColor="text1"/>
        </w:rPr>
        <w:drawing>
          <wp:inline distT="0" distB="0" distL="0" distR="0" wp14:anchorId="0BE6A6DA" wp14:editId="2A9BB810">
            <wp:extent cx="5943600" cy="3517900"/>
            <wp:effectExtent l="0" t="0" r="0" b="0"/>
            <wp:docPr id="293558634" name="Picture 293558634" descr="A picture containing screenshot, text, diagram, lin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4479159" name="Picture 1" descr="A picture containing screenshot, text, diagram, line&#10;&#10;Description automatically generated"/>
                    <pic:cNvPicPr>
                      <a:picLocks noChangeAspect="1" noChangeArrowheads="1"/>
                    </pic:cNvPicPr>
                  </pic:nvPicPr>
                  <pic:blipFill>
                    <a:blip r:embed="rId47">
                      <a:extLst>
                        <a:ext uri="{28A0092B-C50C-407E-A947-70E740481C1C}">
                          <a14:useLocalDpi xmlns:a14="http://schemas.microsoft.com/office/drawing/2010/main" val="0"/>
                        </a:ext>
                      </a:extLst>
                    </a:blip>
                    <a:srcRect/>
                    <a:stretch>
                      <a:fillRect/>
                    </a:stretch>
                  </pic:blipFill>
                  <pic:spPr bwMode="auto">
                    <a:xfrm>
                      <a:off x="0" y="0"/>
                      <a:ext cx="5943600" cy="3517900"/>
                    </a:xfrm>
                    <a:prstGeom prst="rect">
                      <a:avLst/>
                    </a:prstGeom>
                    <a:noFill/>
                    <a:ln>
                      <a:noFill/>
                    </a:ln>
                  </pic:spPr>
                </pic:pic>
              </a:graphicData>
            </a:graphic>
          </wp:inline>
        </w:drawing>
      </w:r>
      <w:r w:rsidRPr="003F0091">
        <w:rPr>
          <w:color w:val="000000" w:themeColor="text1"/>
        </w:rPr>
        <w:fldChar w:fldCharType="end"/>
      </w:r>
      <w:r w:rsidRPr="003F0091">
        <w:rPr>
          <w:color w:val="000000" w:themeColor="text1"/>
        </w:rPr>
        <w:fldChar w:fldCharType="begin"/>
      </w:r>
      <w:r w:rsidR="00D51C42">
        <w:rPr>
          <w:color w:val="000000" w:themeColor="text1"/>
        </w:rPr>
        <w:instrText xml:space="preserve"> INCLUDEPICTURE "C:\\Users\\hunterhammock\\Library\\Group Containers\\UBF8T346G9.ms\\WebArchiveCopyPasteTempFiles\\com.microsoft.Word\\XvY21gRVEUJSthzP8DRiscwk6Ww9gAAAAASUVORK5CYII=" \* MERGEFORMAT </w:instrText>
      </w:r>
      <w:r w:rsidRPr="003F0091">
        <w:rPr>
          <w:color w:val="000000" w:themeColor="text1"/>
        </w:rPr>
        <w:fldChar w:fldCharType="separate"/>
      </w:r>
      <w:r w:rsidRPr="003F0091">
        <w:rPr>
          <w:noProof/>
          <w:color w:val="000000" w:themeColor="text1"/>
        </w:rPr>
        <w:drawing>
          <wp:inline distT="0" distB="0" distL="0" distR="0" wp14:anchorId="0BE6A6DA" wp14:editId="2A9BB810">
            <wp:extent cx="5943600" cy="3517900"/>
            <wp:effectExtent l="0" t="0" r="0" b="0"/>
            <wp:docPr id="654651994" name="Picture 654651994" descr="A picture containing screenshot, text, diagram, lin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4479159" name="Picture 1" descr="A picture containing screenshot, text, diagram, line&#10;&#10;Description automatically generated"/>
                    <pic:cNvPicPr>
                      <a:picLocks noChangeAspect="1" noChangeArrowheads="1"/>
                    </pic:cNvPicPr>
                  </pic:nvPicPr>
                  <pic:blipFill>
                    <a:blip r:embed="rId47">
                      <a:extLst>
                        <a:ext uri="{28A0092B-C50C-407E-A947-70E740481C1C}">
                          <a14:useLocalDpi xmlns:a14="http://schemas.microsoft.com/office/drawing/2010/main" val="0"/>
                        </a:ext>
                      </a:extLst>
                    </a:blip>
                    <a:srcRect/>
                    <a:stretch>
                      <a:fillRect/>
                    </a:stretch>
                  </pic:blipFill>
                  <pic:spPr bwMode="auto">
                    <a:xfrm>
                      <a:off x="0" y="0"/>
                      <a:ext cx="5943600" cy="3517900"/>
                    </a:xfrm>
                    <a:prstGeom prst="rect">
                      <a:avLst/>
                    </a:prstGeom>
                    <a:noFill/>
                    <a:ln>
                      <a:noFill/>
                    </a:ln>
                  </pic:spPr>
                </pic:pic>
              </a:graphicData>
            </a:graphic>
          </wp:inline>
        </w:drawing>
      </w:r>
      <w:r w:rsidRPr="003F0091">
        <w:rPr>
          <w:color w:val="000000" w:themeColor="text1"/>
        </w:rPr>
        <w:fldChar w:fldCharType="end"/>
      </w:r>
    </w:p>
    <w:p w14:paraId="57C35EE5" w14:textId="77777777" w:rsidR="00126D8D" w:rsidRPr="003F0091" w:rsidRDefault="00126D8D" w:rsidP="007F40F3">
      <w:pPr>
        <w:pStyle w:val="TOCFigures1"/>
      </w:pPr>
      <w:bookmarkStart w:id="635" w:name="_Toc141478830"/>
      <w:r w:rsidRPr="003F0091">
        <w:rPr>
          <w:b/>
          <w:bCs/>
        </w:rPr>
        <w:t xml:space="preserve">Figure </w:t>
      </w:r>
      <w:r>
        <w:rPr>
          <w:b/>
          <w:bCs/>
        </w:rPr>
        <w:t>4.8</w:t>
      </w:r>
      <w:r w:rsidRPr="003F0091">
        <w:rPr>
          <w:b/>
          <w:bCs/>
        </w:rPr>
        <w:t xml:space="preserve">. </w:t>
      </w:r>
      <w:r w:rsidRPr="003F0091">
        <w:t>mRNA sequencing via polyA selection. Sequencing was performed on the HiSeq 6000 sequencing platform (Illumia, San Diego, USA).</w:t>
      </w:r>
      <w:bookmarkEnd w:id="635"/>
      <w:r w:rsidRPr="003F0091">
        <w:t xml:space="preserve"> </w:t>
      </w:r>
    </w:p>
    <w:p w14:paraId="7D1C640F" w14:textId="77777777" w:rsidR="00126D8D" w:rsidRPr="003F0091" w:rsidRDefault="00126D8D" w:rsidP="00DC4427">
      <w:pPr>
        <w:spacing w:line="240" w:lineRule="auto"/>
        <w:rPr>
          <w:rFonts w:eastAsia="Times New Roman" w:cs="Times New Roman"/>
          <w:color w:val="000000" w:themeColor="text1"/>
        </w:rPr>
      </w:pPr>
      <w:r w:rsidRPr="003F0091">
        <w:rPr>
          <w:rFonts w:eastAsia="Times New Roman" w:cs="Times New Roman"/>
          <w:color w:val="000000" w:themeColor="text1"/>
        </w:rPr>
        <w:br w:type="page"/>
      </w:r>
    </w:p>
    <w:p w14:paraId="453790BB" w14:textId="16586DB2" w:rsidR="00126D8D" w:rsidRPr="003F0091" w:rsidRDefault="00126D8D" w:rsidP="00DC4427">
      <w:pPr>
        <w:pStyle w:val="NormalWeb"/>
        <w:jc w:val="both"/>
        <w:rPr>
          <w:b/>
          <w:bCs/>
          <w:color w:val="000000" w:themeColor="text1"/>
        </w:rPr>
      </w:pPr>
      <w:r w:rsidRPr="003F0091">
        <w:rPr>
          <w:color w:val="000000" w:themeColor="text1"/>
        </w:rPr>
        <w:lastRenderedPageBreak/>
        <w:fldChar w:fldCharType="begin"/>
      </w:r>
      <w:r w:rsidR="00D51C42">
        <w:rPr>
          <w:color w:val="000000" w:themeColor="text1"/>
        </w:rPr>
        <w:instrText xml:space="preserve"> INCLUDEPICTURE "C:\\Users\\hunterhammock\\Library\\Group Containers\\UBF8T346G9.ms\\WebArchiveCopyPasteTempFiles\\com.microsoft.Word\\YE28AV3kfnoAAAAASUVORK5CYII=" \* MERGEFORMAT </w:instrText>
      </w:r>
      <w:r w:rsidRPr="003F0091">
        <w:rPr>
          <w:color w:val="000000" w:themeColor="text1"/>
        </w:rPr>
        <w:fldChar w:fldCharType="separate"/>
      </w:r>
      <w:r w:rsidRPr="003F0091">
        <w:rPr>
          <w:noProof/>
          <w:color w:val="000000" w:themeColor="text1"/>
        </w:rPr>
        <w:drawing>
          <wp:inline distT="0" distB="0" distL="0" distR="0" wp14:anchorId="32F10080" wp14:editId="62ACFB4D">
            <wp:extent cx="5943600" cy="5943600"/>
            <wp:effectExtent l="0" t="0" r="0" b="0"/>
            <wp:docPr id="229692592" name="Picture 229692592" descr="A graph with red and blue dots&#10;&#10;Description automatically generated with low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5056097" name="Picture 2" descr="A graph with red and blue dots&#10;&#10;Description automatically generated with low confidence"/>
                    <pic:cNvPicPr>
                      <a:picLocks noChangeAspect="1" noChangeArrowheads="1"/>
                    </pic:cNvPicPr>
                  </pic:nvPicPr>
                  <pic:blipFill>
                    <a:blip r:embed="rId48" cstate="print">
                      <a:extLst>
                        <a:ext uri="{28A0092B-C50C-407E-A947-70E740481C1C}">
                          <a14:useLocalDpi xmlns:a14="http://schemas.microsoft.com/office/drawing/2010/main" val="0"/>
                        </a:ext>
                      </a:extLst>
                    </a:blip>
                    <a:srcRect/>
                    <a:stretch>
                      <a:fillRect/>
                    </a:stretch>
                  </pic:blipFill>
                  <pic:spPr bwMode="auto">
                    <a:xfrm>
                      <a:off x="0" y="0"/>
                      <a:ext cx="5943600" cy="5943600"/>
                    </a:xfrm>
                    <a:prstGeom prst="rect">
                      <a:avLst/>
                    </a:prstGeom>
                    <a:noFill/>
                    <a:ln>
                      <a:noFill/>
                    </a:ln>
                  </pic:spPr>
                </pic:pic>
              </a:graphicData>
            </a:graphic>
          </wp:inline>
        </w:drawing>
      </w:r>
      <w:r w:rsidRPr="003F0091">
        <w:rPr>
          <w:color w:val="000000" w:themeColor="text1"/>
        </w:rPr>
        <w:fldChar w:fldCharType="end"/>
      </w:r>
    </w:p>
    <w:p w14:paraId="7FB82461" w14:textId="77777777" w:rsidR="00126D8D" w:rsidRPr="003F0091" w:rsidRDefault="00126D8D" w:rsidP="007F40F3">
      <w:pPr>
        <w:pStyle w:val="TOCFigures1"/>
      </w:pPr>
      <w:bookmarkStart w:id="636" w:name="_Toc141478831"/>
      <w:r w:rsidRPr="003F0091">
        <w:rPr>
          <w:b/>
          <w:bCs/>
        </w:rPr>
        <w:t xml:space="preserve">Figure </w:t>
      </w:r>
      <w:r>
        <w:rPr>
          <w:b/>
          <w:bCs/>
        </w:rPr>
        <w:t>4.9</w:t>
      </w:r>
      <w:r w:rsidRPr="003F0091">
        <w:rPr>
          <w:b/>
          <w:bCs/>
        </w:rPr>
        <w:t xml:space="preserve">. </w:t>
      </w:r>
      <w:r w:rsidRPr="003F0091">
        <w:t>Principal component analysis (PCA) comparing DEGs between the Natural Light Control (T4) and Narrowband 20B/80R treatment (T1).</w:t>
      </w:r>
      <w:r w:rsidR="00645903" w:rsidRPr="00645903">
        <w:t xml:space="preserve"> If refer to quadrants in body of paper, then label quadrants.</w:t>
      </w:r>
      <w:bookmarkEnd w:id="636"/>
    </w:p>
    <w:p w14:paraId="5658A442" w14:textId="77777777" w:rsidR="00126D8D" w:rsidRPr="003F0091" w:rsidRDefault="00126D8D" w:rsidP="00DC4427">
      <w:pPr>
        <w:pStyle w:val="NormalWeb"/>
        <w:jc w:val="both"/>
        <w:rPr>
          <w:color w:val="000000" w:themeColor="text1"/>
        </w:rPr>
      </w:pPr>
    </w:p>
    <w:p w14:paraId="21A25E1B" w14:textId="77777777" w:rsidR="00126D8D" w:rsidRPr="003F0091" w:rsidRDefault="00126D8D" w:rsidP="00DC4427">
      <w:pPr>
        <w:spacing w:line="240" w:lineRule="auto"/>
        <w:rPr>
          <w:rFonts w:eastAsia="Times New Roman" w:cs="Times New Roman"/>
          <w:b/>
          <w:bCs/>
          <w:color w:val="000000" w:themeColor="text1"/>
        </w:rPr>
      </w:pPr>
      <w:r w:rsidRPr="003F0091">
        <w:rPr>
          <w:rFonts w:cs="Times New Roman"/>
          <w:b/>
          <w:bCs/>
          <w:color w:val="000000" w:themeColor="text1"/>
        </w:rPr>
        <w:br w:type="page"/>
      </w:r>
    </w:p>
    <w:p w14:paraId="6D00FB63" w14:textId="5974F59E" w:rsidR="00126D8D" w:rsidRPr="003F0091" w:rsidRDefault="00126D8D" w:rsidP="00DC4427">
      <w:pPr>
        <w:pStyle w:val="NormalWeb"/>
        <w:jc w:val="both"/>
        <w:rPr>
          <w:b/>
          <w:bCs/>
          <w:color w:val="000000" w:themeColor="text1"/>
        </w:rPr>
      </w:pPr>
      <w:r w:rsidRPr="003F0091">
        <w:rPr>
          <w:color w:val="000000" w:themeColor="text1"/>
        </w:rPr>
        <w:lastRenderedPageBreak/>
        <w:fldChar w:fldCharType="begin"/>
      </w:r>
      <w:r w:rsidR="00D51C42">
        <w:rPr>
          <w:color w:val="000000" w:themeColor="text1"/>
        </w:rPr>
        <w:instrText xml:space="preserve"> INCLUDEPICTURE "C:\\Users\\hunterhammock\\Library\\Group Containers\\UBF8T346G9.ms\\WebArchiveCopyPasteTempFiles\\com.microsoft.Word\\A0wulAyAcBfuAAAAAElFTkSuQmCC" \* MERGEFORMAT </w:instrText>
      </w:r>
      <w:r w:rsidRPr="003F0091">
        <w:rPr>
          <w:color w:val="000000" w:themeColor="text1"/>
        </w:rPr>
        <w:fldChar w:fldCharType="separate"/>
      </w:r>
      <w:r w:rsidRPr="003F0091">
        <w:rPr>
          <w:noProof/>
          <w:color w:val="000000" w:themeColor="text1"/>
        </w:rPr>
        <w:drawing>
          <wp:inline distT="0" distB="0" distL="0" distR="0" wp14:anchorId="213199C8" wp14:editId="06E55B36">
            <wp:extent cx="5943600" cy="5943600"/>
            <wp:effectExtent l="0" t="0" r="0" b="0"/>
            <wp:docPr id="173013714" name="Picture 173013714" descr="A picture containing text, screenshot, diagram, lin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2356429" name="Picture 3" descr="A picture containing text, screenshot, diagram, line&#10;&#10;Description automatically generated"/>
                    <pic:cNvPicPr>
                      <a:picLocks noChangeAspect="1" noChangeArrowheads="1"/>
                    </pic:cNvPicPr>
                  </pic:nvPicPr>
                  <pic:blipFill>
                    <a:blip r:embed="rId49" cstate="print">
                      <a:extLst>
                        <a:ext uri="{28A0092B-C50C-407E-A947-70E740481C1C}">
                          <a14:useLocalDpi xmlns:a14="http://schemas.microsoft.com/office/drawing/2010/main" val="0"/>
                        </a:ext>
                      </a:extLst>
                    </a:blip>
                    <a:srcRect/>
                    <a:stretch>
                      <a:fillRect/>
                    </a:stretch>
                  </pic:blipFill>
                  <pic:spPr bwMode="auto">
                    <a:xfrm>
                      <a:off x="0" y="0"/>
                      <a:ext cx="5943600" cy="5943600"/>
                    </a:xfrm>
                    <a:prstGeom prst="rect">
                      <a:avLst/>
                    </a:prstGeom>
                    <a:noFill/>
                    <a:ln>
                      <a:noFill/>
                    </a:ln>
                  </pic:spPr>
                </pic:pic>
              </a:graphicData>
            </a:graphic>
          </wp:inline>
        </w:drawing>
      </w:r>
      <w:r w:rsidRPr="003F0091">
        <w:rPr>
          <w:color w:val="000000" w:themeColor="text1"/>
        </w:rPr>
        <w:fldChar w:fldCharType="end"/>
      </w:r>
    </w:p>
    <w:p w14:paraId="59B8ED0A" w14:textId="77777777" w:rsidR="00126D8D" w:rsidRPr="003F0091" w:rsidRDefault="00126D8D" w:rsidP="007F40F3">
      <w:pPr>
        <w:pStyle w:val="TOCFigures1"/>
      </w:pPr>
      <w:bookmarkStart w:id="637" w:name="_Toc141478832"/>
      <w:r w:rsidRPr="003F0091">
        <w:rPr>
          <w:b/>
          <w:bCs/>
        </w:rPr>
        <w:t xml:space="preserve">Figure </w:t>
      </w:r>
      <w:r>
        <w:rPr>
          <w:b/>
          <w:bCs/>
        </w:rPr>
        <w:t>4.10</w:t>
      </w:r>
      <w:r w:rsidRPr="003F0091">
        <w:rPr>
          <w:b/>
          <w:bCs/>
        </w:rPr>
        <w:t xml:space="preserve">. </w:t>
      </w:r>
      <w:r w:rsidRPr="003F0091">
        <w:t>Principal component analysis (PCA) comparing DEGs between the Natural Light Control (T4) and Broadband White treatment (T2).</w:t>
      </w:r>
      <w:bookmarkEnd w:id="637"/>
    </w:p>
    <w:p w14:paraId="266A7E03" w14:textId="77777777" w:rsidR="00126D8D" w:rsidRPr="003F0091" w:rsidRDefault="00126D8D" w:rsidP="00DC4427">
      <w:pPr>
        <w:pStyle w:val="NormalWeb"/>
        <w:jc w:val="both"/>
        <w:rPr>
          <w:color w:val="000000" w:themeColor="text1"/>
        </w:rPr>
      </w:pPr>
    </w:p>
    <w:p w14:paraId="5E7109B6" w14:textId="77777777" w:rsidR="00126D8D" w:rsidRPr="003F0091" w:rsidRDefault="00126D8D" w:rsidP="00DC4427">
      <w:pPr>
        <w:pStyle w:val="NormalWeb"/>
        <w:jc w:val="both"/>
        <w:rPr>
          <w:color w:val="000000" w:themeColor="text1"/>
        </w:rPr>
      </w:pPr>
    </w:p>
    <w:p w14:paraId="318E760B" w14:textId="77777777" w:rsidR="00126D8D" w:rsidRPr="003F0091" w:rsidRDefault="00126D8D" w:rsidP="00DC4427">
      <w:pPr>
        <w:spacing w:line="240" w:lineRule="auto"/>
        <w:rPr>
          <w:rFonts w:eastAsia="Times New Roman" w:cs="Times New Roman"/>
          <w:b/>
          <w:bCs/>
          <w:color w:val="000000" w:themeColor="text1"/>
        </w:rPr>
      </w:pPr>
      <w:r w:rsidRPr="003F0091">
        <w:rPr>
          <w:rFonts w:cs="Times New Roman"/>
          <w:b/>
          <w:bCs/>
          <w:color w:val="000000" w:themeColor="text1"/>
        </w:rPr>
        <w:br w:type="page"/>
      </w:r>
    </w:p>
    <w:p w14:paraId="41533F31" w14:textId="76FF91D3" w:rsidR="00126D8D" w:rsidRPr="003F0091" w:rsidRDefault="00126D8D" w:rsidP="00DC4427">
      <w:pPr>
        <w:pStyle w:val="NormalWeb"/>
        <w:jc w:val="both"/>
        <w:rPr>
          <w:b/>
          <w:bCs/>
          <w:color w:val="000000" w:themeColor="text1"/>
        </w:rPr>
      </w:pPr>
      <w:r w:rsidRPr="003F0091">
        <w:rPr>
          <w:color w:val="000000" w:themeColor="text1"/>
        </w:rPr>
        <w:lastRenderedPageBreak/>
        <w:fldChar w:fldCharType="begin"/>
      </w:r>
      <w:r w:rsidR="00D51C42">
        <w:rPr>
          <w:color w:val="000000" w:themeColor="text1"/>
        </w:rPr>
        <w:instrText xml:space="preserve"> INCLUDEPICTURE "C:\\Users\\hunterhammock\\Library\\Group Containers\\UBF8T346G9.ms\\WebArchiveCopyPasteTempFiles\\com.microsoft.Word\\w+rZXZt9yWrvQAAAABJRU5ErkJggg==" \* MERGEFORMAT </w:instrText>
      </w:r>
      <w:r w:rsidRPr="003F0091">
        <w:rPr>
          <w:color w:val="000000" w:themeColor="text1"/>
        </w:rPr>
        <w:fldChar w:fldCharType="separate"/>
      </w:r>
      <w:r w:rsidRPr="003F0091">
        <w:rPr>
          <w:noProof/>
          <w:color w:val="000000" w:themeColor="text1"/>
        </w:rPr>
        <w:drawing>
          <wp:inline distT="0" distB="0" distL="0" distR="0" wp14:anchorId="27E8DA05" wp14:editId="2B00BC86">
            <wp:extent cx="5943600" cy="5943600"/>
            <wp:effectExtent l="0" t="0" r="0" b="0"/>
            <wp:docPr id="476039783" name="Picture 476039783" descr="A graph with red and blue dots&#10;&#10;Description automatically generated with low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8119722" name="Picture 4" descr="A graph with red and blue dots&#10;&#10;Description automatically generated with low confidence"/>
                    <pic:cNvPicPr>
                      <a:picLocks noChangeAspect="1" noChangeArrowheads="1"/>
                    </pic:cNvPicPr>
                  </pic:nvPicPr>
                  <pic:blipFill>
                    <a:blip r:embed="rId50" cstate="print">
                      <a:extLst>
                        <a:ext uri="{28A0092B-C50C-407E-A947-70E740481C1C}">
                          <a14:useLocalDpi xmlns:a14="http://schemas.microsoft.com/office/drawing/2010/main" val="0"/>
                        </a:ext>
                      </a:extLst>
                    </a:blip>
                    <a:srcRect/>
                    <a:stretch>
                      <a:fillRect/>
                    </a:stretch>
                  </pic:blipFill>
                  <pic:spPr bwMode="auto">
                    <a:xfrm>
                      <a:off x="0" y="0"/>
                      <a:ext cx="5943600" cy="5943600"/>
                    </a:xfrm>
                    <a:prstGeom prst="rect">
                      <a:avLst/>
                    </a:prstGeom>
                    <a:noFill/>
                    <a:ln>
                      <a:noFill/>
                    </a:ln>
                  </pic:spPr>
                </pic:pic>
              </a:graphicData>
            </a:graphic>
          </wp:inline>
        </w:drawing>
      </w:r>
      <w:r w:rsidRPr="003F0091">
        <w:rPr>
          <w:color w:val="000000" w:themeColor="text1"/>
        </w:rPr>
        <w:fldChar w:fldCharType="end"/>
      </w:r>
    </w:p>
    <w:p w14:paraId="31AC014F" w14:textId="5A8C7018" w:rsidR="00126D8D" w:rsidRPr="003F0091" w:rsidRDefault="00126D8D" w:rsidP="007F40F3">
      <w:pPr>
        <w:pStyle w:val="TOCFigures1"/>
      </w:pPr>
      <w:bookmarkStart w:id="638" w:name="_Toc141478833"/>
      <w:r w:rsidRPr="003F0091">
        <w:rPr>
          <w:b/>
          <w:bCs/>
        </w:rPr>
        <w:t xml:space="preserve">Figure </w:t>
      </w:r>
      <w:r>
        <w:rPr>
          <w:b/>
          <w:bCs/>
        </w:rPr>
        <w:t>4.11</w:t>
      </w:r>
      <w:r w:rsidRPr="003F0091">
        <w:rPr>
          <w:b/>
          <w:bCs/>
        </w:rPr>
        <w:t xml:space="preserve">. </w:t>
      </w:r>
      <w:r w:rsidRPr="003F0091">
        <w:t>Principal component analysis (PCA) comparing DEGs between the Natural Light Control (T4) and High</w:t>
      </w:r>
      <w:r w:rsidR="00060453">
        <w:t>-</w:t>
      </w:r>
      <w:r w:rsidRPr="003F0091">
        <w:t>Pressure Sodium treatment (T3).</w:t>
      </w:r>
      <w:bookmarkEnd w:id="638"/>
    </w:p>
    <w:p w14:paraId="2EBB0A9E" w14:textId="77777777" w:rsidR="00126D8D" w:rsidRPr="003F0091" w:rsidRDefault="00126D8D" w:rsidP="00DC4427">
      <w:pPr>
        <w:spacing w:line="240" w:lineRule="auto"/>
        <w:rPr>
          <w:rFonts w:eastAsia="Times New Roman" w:cs="Times New Roman"/>
          <w:color w:val="000000" w:themeColor="text1"/>
        </w:rPr>
      </w:pPr>
      <w:r w:rsidRPr="003F0091">
        <w:rPr>
          <w:rFonts w:cs="Times New Roman"/>
          <w:color w:val="000000" w:themeColor="text1"/>
        </w:rPr>
        <w:br w:type="page"/>
      </w:r>
    </w:p>
    <w:p w14:paraId="58931DD9" w14:textId="77777777" w:rsidR="00126D8D" w:rsidRPr="003F0091" w:rsidRDefault="00126D8D" w:rsidP="00DC4427">
      <w:pPr>
        <w:pStyle w:val="NormalWeb"/>
        <w:jc w:val="both"/>
        <w:rPr>
          <w:b/>
          <w:bCs/>
          <w:color w:val="000000" w:themeColor="text1"/>
        </w:rPr>
      </w:pPr>
      <w:r w:rsidRPr="003F0091">
        <w:rPr>
          <w:b/>
          <w:bCs/>
          <w:noProof/>
          <w:color w:val="000000" w:themeColor="text1"/>
        </w:rPr>
        <w:lastRenderedPageBreak/>
        <w:drawing>
          <wp:inline distT="0" distB="0" distL="0" distR="0" wp14:anchorId="564D17D3" wp14:editId="6697EDDD">
            <wp:extent cx="5943600" cy="6426259"/>
            <wp:effectExtent l="0" t="0" r="0" b="0"/>
            <wp:docPr id="779467678" name="Picture 779467678" descr="A picture containing text, screenshot, diagram, parallel&#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79467678" name="Picture 8" descr="A picture containing text, screenshot, diagram, parallel&#10;&#10;Description automatically generated"/>
                    <pic:cNvPicPr/>
                  </pic:nvPicPr>
                  <pic:blipFill>
                    <a:blip r:embed="rId51">
                      <a:extLst>
                        <a:ext uri="{28A0092B-C50C-407E-A947-70E740481C1C}">
                          <a14:useLocalDpi xmlns:a14="http://schemas.microsoft.com/office/drawing/2010/main" val="0"/>
                        </a:ext>
                      </a:extLst>
                    </a:blip>
                    <a:stretch>
                      <a:fillRect/>
                    </a:stretch>
                  </pic:blipFill>
                  <pic:spPr>
                    <a:xfrm>
                      <a:off x="0" y="0"/>
                      <a:ext cx="5943600" cy="6426259"/>
                    </a:xfrm>
                    <a:prstGeom prst="rect">
                      <a:avLst/>
                    </a:prstGeom>
                  </pic:spPr>
                </pic:pic>
              </a:graphicData>
            </a:graphic>
          </wp:inline>
        </w:drawing>
      </w:r>
    </w:p>
    <w:p w14:paraId="1EECEE7E" w14:textId="229E9475" w:rsidR="00126D8D" w:rsidRPr="003F0091" w:rsidRDefault="00126D8D" w:rsidP="007F40F3">
      <w:pPr>
        <w:pStyle w:val="TOCFigures1"/>
      </w:pPr>
      <w:bookmarkStart w:id="639" w:name="_Toc141478834"/>
      <w:r w:rsidRPr="003F0091">
        <w:rPr>
          <w:b/>
          <w:bCs/>
        </w:rPr>
        <w:t xml:space="preserve">Figure </w:t>
      </w:r>
      <w:r>
        <w:rPr>
          <w:b/>
          <w:bCs/>
        </w:rPr>
        <w:t>4.12</w:t>
      </w:r>
      <w:r w:rsidRPr="003F0091">
        <w:rPr>
          <w:b/>
          <w:bCs/>
        </w:rPr>
        <w:t xml:space="preserve">. </w:t>
      </w:r>
      <w:r w:rsidRPr="003F0091">
        <w:t>Biclustering heat map comparing top 30 significant DEGs between the Natural Light Control (T4) and Narrowband 20B/80R treatment (T1) to identify co-regulated genes. Summer (S) and Winter (W) seasons are compared with four replications (R1-R4).</w:t>
      </w:r>
      <w:bookmarkEnd w:id="639"/>
      <w:r w:rsidRPr="003F0091">
        <w:t xml:space="preserve"> </w:t>
      </w:r>
    </w:p>
    <w:p w14:paraId="02861764" w14:textId="77777777" w:rsidR="00126D8D" w:rsidRPr="003F0091" w:rsidRDefault="00126D8D" w:rsidP="00DC4427">
      <w:pPr>
        <w:spacing w:line="240" w:lineRule="auto"/>
        <w:rPr>
          <w:rFonts w:eastAsia="Times New Roman" w:cs="Times New Roman"/>
          <w:color w:val="000000" w:themeColor="text1"/>
        </w:rPr>
      </w:pPr>
      <w:r w:rsidRPr="003F0091">
        <w:rPr>
          <w:rFonts w:cs="Times New Roman"/>
          <w:color w:val="000000" w:themeColor="text1"/>
        </w:rPr>
        <w:br w:type="page"/>
      </w:r>
    </w:p>
    <w:p w14:paraId="6D3C12F8" w14:textId="77777777" w:rsidR="00126D8D" w:rsidRPr="003F0091" w:rsidRDefault="00126D8D" w:rsidP="00DC4427">
      <w:pPr>
        <w:pStyle w:val="NormalWeb"/>
        <w:jc w:val="both"/>
        <w:rPr>
          <w:color w:val="000000" w:themeColor="text1"/>
        </w:rPr>
      </w:pPr>
      <w:r w:rsidRPr="003F0091">
        <w:rPr>
          <w:noProof/>
          <w:color w:val="000000" w:themeColor="text1"/>
        </w:rPr>
        <w:lastRenderedPageBreak/>
        <w:drawing>
          <wp:inline distT="0" distB="0" distL="0" distR="0" wp14:anchorId="6D8D2CEC" wp14:editId="5C013A51">
            <wp:extent cx="5943600" cy="6426259"/>
            <wp:effectExtent l="0" t="0" r="0" b="0"/>
            <wp:docPr id="1894057886" name="Picture 1894057886" descr="A picture containing text, screenshot, diagram, parallel&#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94057886" name="Picture 9" descr="A picture containing text, screenshot, diagram, parallel&#10;&#10;Description automatically generated"/>
                    <pic:cNvPicPr/>
                  </pic:nvPicPr>
                  <pic:blipFill>
                    <a:blip r:embed="rId52">
                      <a:extLst>
                        <a:ext uri="{28A0092B-C50C-407E-A947-70E740481C1C}">
                          <a14:useLocalDpi xmlns:a14="http://schemas.microsoft.com/office/drawing/2010/main" val="0"/>
                        </a:ext>
                      </a:extLst>
                    </a:blip>
                    <a:stretch>
                      <a:fillRect/>
                    </a:stretch>
                  </pic:blipFill>
                  <pic:spPr>
                    <a:xfrm>
                      <a:off x="0" y="0"/>
                      <a:ext cx="5943600" cy="6426259"/>
                    </a:xfrm>
                    <a:prstGeom prst="rect">
                      <a:avLst/>
                    </a:prstGeom>
                  </pic:spPr>
                </pic:pic>
              </a:graphicData>
            </a:graphic>
          </wp:inline>
        </w:drawing>
      </w:r>
    </w:p>
    <w:p w14:paraId="34B0A46A" w14:textId="2749F814" w:rsidR="00126D8D" w:rsidRPr="003F0091" w:rsidRDefault="00126D8D" w:rsidP="007F40F3">
      <w:pPr>
        <w:pStyle w:val="TOCFigures1"/>
      </w:pPr>
      <w:bookmarkStart w:id="640" w:name="_Toc141478835"/>
      <w:r w:rsidRPr="003F0091">
        <w:rPr>
          <w:b/>
          <w:bCs/>
        </w:rPr>
        <w:t xml:space="preserve">Figure </w:t>
      </w:r>
      <w:r>
        <w:rPr>
          <w:b/>
          <w:bCs/>
        </w:rPr>
        <w:t>4.</w:t>
      </w:r>
      <w:r w:rsidRPr="003F0091">
        <w:rPr>
          <w:b/>
          <w:bCs/>
        </w:rPr>
        <w:t>1</w:t>
      </w:r>
      <w:r>
        <w:rPr>
          <w:b/>
          <w:bCs/>
        </w:rPr>
        <w:t>3</w:t>
      </w:r>
      <w:r w:rsidRPr="003F0091">
        <w:rPr>
          <w:b/>
          <w:bCs/>
        </w:rPr>
        <w:t xml:space="preserve">. </w:t>
      </w:r>
      <w:r w:rsidRPr="003F0091">
        <w:t>Biclustering heat map comparing top 30 significant DEGs between the Natural Light Control (T4) and Broadband White treatment (T2) to identify co-regulated genes. Summer (S) and Winter (W) seasons are compared with four replications</w:t>
      </w:r>
      <w:r w:rsidR="0097577E">
        <w:t xml:space="preserve"> (R1-R4)</w:t>
      </w:r>
      <w:r w:rsidRPr="003F0091">
        <w:t>.</w:t>
      </w:r>
      <w:bookmarkEnd w:id="640"/>
    </w:p>
    <w:p w14:paraId="77A04BB3" w14:textId="77777777" w:rsidR="00126D8D" w:rsidRPr="003F0091" w:rsidRDefault="00126D8D" w:rsidP="00DC4427">
      <w:pPr>
        <w:spacing w:line="240" w:lineRule="auto"/>
        <w:rPr>
          <w:rFonts w:eastAsia="Times New Roman" w:cs="Times New Roman"/>
          <w:color w:val="000000" w:themeColor="text1"/>
        </w:rPr>
      </w:pPr>
      <w:r w:rsidRPr="003F0091">
        <w:rPr>
          <w:rFonts w:cs="Times New Roman"/>
          <w:color w:val="000000" w:themeColor="text1"/>
        </w:rPr>
        <w:br w:type="page"/>
      </w:r>
    </w:p>
    <w:p w14:paraId="5B850005" w14:textId="77777777" w:rsidR="00126D8D" w:rsidRPr="003F0091" w:rsidRDefault="00126D8D" w:rsidP="00DC4427">
      <w:pPr>
        <w:pStyle w:val="NormalWeb"/>
        <w:jc w:val="both"/>
        <w:rPr>
          <w:color w:val="000000" w:themeColor="text1"/>
        </w:rPr>
      </w:pPr>
      <w:r w:rsidRPr="003F0091">
        <w:rPr>
          <w:noProof/>
          <w:color w:val="000000" w:themeColor="text1"/>
        </w:rPr>
        <w:lastRenderedPageBreak/>
        <w:drawing>
          <wp:inline distT="0" distB="0" distL="0" distR="0" wp14:anchorId="36271483" wp14:editId="144AAC53">
            <wp:extent cx="5943600" cy="6426259"/>
            <wp:effectExtent l="0" t="0" r="0" b="0"/>
            <wp:docPr id="1479657812" name="Picture 1479657812" descr="A picture containing text, screenshot, diagram, pla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79657812" name="Picture 10" descr="A picture containing text, screenshot, diagram, plan&#10;&#10;Description automatically generated"/>
                    <pic:cNvPicPr/>
                  </pic:nvPicPr>
                  <pic:blipFill>
                    <a:blip r:embed="rId53">
                      <a:extLst>
                        <a:ext uri="{28A0092B-C50C-407E-A947-70E740481C1C}">
                          <a14:useLocalDpi xmlns:a14="http://schemas.microsoft.com/office/drawing/2010/main" val="0"/>
                        </a:ext>
                      </a:extLst>
                    </a:blip>
                    <a:stretch>
                      <a:fillRect/>
                    </a:stretch>
                  </pic:blipFill>
                  <pic:spPr>
                    <a:xfrm>
                      <a:off x="0" y="0"/>
                      <a:ext cx="5943600" cy="6426259"/>
                    </a:xfrm>
                    <a:prstGeom prst="rect">
                      <a:avLst/>
                    </a:prstGeom>
                  </pic:spPr>
                </pic:pic>
              </a:graphicData>
            </a:graphic>
          </wp:inline>
        </w:drawing>
      </w:r>
    </w:p>
    <w:p w14:paraId="185EB289" w14:textId="0E88F87A" w:rsidR="00126D8D" w:rsidRPr="003F0091" w:rsidRDefault="00126D8D" w:rsidP="007F40F3">
      <w:pPr>
        <w:pStyle w:val="TOCFigures1"/>
      </w:pPr>
      <w:bookmarkStart w:id="641" w:name="_Toc141478836"/>
      <w:r w:rsidRPr="003F0091">
        <w:rPr>
          <w:b/>
          <w:bCs/>
        </w:rPr>
        <w:t xml:space="preserve">Figure </w:t>
      </w:r>
      <w:r>
        <w:rPr>
          <w:b/>
          <w:bCs/>
        </w:rPr>
        <w:t>4.</w:t>
      </w:r>
      <w:r w:rsidRPr="003F0091">
        <w:rPr>
          <w:b/>
          <w:bCs/>
        </w:rPr>
        <w:t>1</w:t>
      </w:r>
      <w:r>
        <w:rPr>
          <w:b/>
          <w:bCs/>
        </w:rPr>
        <w:t>4</w:t>
      </w:r>
      <w:r w:rsidRPr="003F0091">
        <w:rPr>
          <w:b/>
          <w:bCs/>
        </w:rPr>
        <w:t xml:space="preserve">. </w:t>
      </w:r>
      <w:r w:rsidRPr="003F0091">
        <w:t>Biclustering heat map comparing top 30 significant DEGs between the Natural Light Control (T4) and High</w:t>
      </w:r>
      <w:r w:rsidR="00060453">
        <w:t>-</w:t>
      </w:r>
      <w:r w:rsidRPr="003F0091">
        <w:t>Pressure Sodium treatment (T3) to identify co-regulated genes. Summer (S) and Winter (W) seasons are compared with four replications (R1-R4).</w:t>
      </w:r>
      <w:bookmarkEnd w:id="641"/>
    </w:p>
    <w:p w14:paraId="03F3E8C5" w14:textId="77777777" w:rsidR="00126D8D" w:rsidRPr="003F0091" w:rsidRDefault="00126D8D" w:rsidP="00DC4427">
      <w:pPr>
        <w:spacing w:line="240" w:lineRule="auto"/>
        <w:rPr>
          <w:rFonts w:cs="Times New Roman"/>
          <w:b/>
          <w:bCs/>
          <w:color w:val="000000" w:themeColor="text1"/>
        </w:rPr>
      </w:pPr>
      <w:r w:rsidRPr="003F0091">
        <w:rPr>
          <w:rFonts w:cs="Times New Roman"/>
          <w:b/>
          <w:bCs/>
          <w:color w:val="000000" w:themeColor="text1"/>
        </w:rPr>
        <w:br w:type="page"/>
      </w:r>
    </w:p>
    <w:p w14:paraId="3F358D7B" w14:textId="77777777" w:rsidR="00126D8D" w:rsidRPr="003F0091" w:rsidRDefault="00126D8D" w:rsidP="00DC4427">
      <w:pPr>
        <w:spacing w:line="240" w:lineRule="auto"/>
        <w:jc w:val="both"/>
        <w:rPr>
          <w:rFonts w:cs="Times New Roman"/>
          <w:b/>
          <w:bCs/>
          <w:color w:val="000000" w:themeColor="text1"/>
        </w:rPr>
      </w:pPr>
      <w:r w:rsidRPr="003F0091">
        <w:rPr>
          <w:rFonts w:cs="Times New Roman"/>
          <w:b/>
          <w:bCs/>
          <w:noProof/>
          <w:color w:val="000000" w:themeColor="text1"/>
        </w:rPr>
        <w:lastRenderedPageBreak/>
        <w:drawing>
          <wp:inline distT="0" distB="0" distL="0" distR="0" wp14:anchorId="0FC1B19D" wp14:editId="14C79620">
            <wp:extent cx="5715000" cy="5715000"/>
            <wp:effectExtent l="0" t="0" r="0" b="0"/>
            <wp:docPr id="1901631411" name="Picture 1901631411" descr="A picture containing text, screenshot, diagram, plo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01631411" name="Picture 11" descr="A picture containing text, screenshot, diagram, plot&#10;&#10;Description automatically generated"/>
                    <pic:cNvPicPr/>
                  </pic:nvPicPr>
                  <pic:blipFill>
                    <a:blip r:embed="rId54" cstate="print">
                      <a:extLst>
                        <a:ext uri="{28A0092B-C50C-407E-A947-70E740481C1C}">
                          <a14:useLocalDpi xmlns:a14="http://schemas.microsoft.com/office/drawing/2010/main" val="0"/>
                        </a:ext>
                      </a:extLst>
                    </a:blip>
                    <a:stretch>
                      <a:fillRect/>
                    </a:stretch>
                  </pic:blipFill>
                  <pic:spPr>
                    <a:xfrm>
                      <a:off x="0" y="0"/>
                      <a:ext cx="5715000" cy="5715000"/>
                    </a:xfrm>
                    <a:prstGeom prst="rect">
                      <a:avLst/>
                    </a:prstGeom>
                  </pic:spPr>
                </pic:pic>
              </a:graphicData>
            </a:graphic>
          </wp:inline>
        </w:drawing>
      </w:r>
    </w:p>
    <w:p w14:paraId="04817F34" w14:textId="77777777" w:rsidR="00126D8D" w:rsidRPr="003F0091" w:rsidRDefault="00126D8D" w:rsidP="00DC4427">
      <w:pPr>
        <w:spacing w:line="240" w:lineRule="auto"/>
        <w:jc w:val="both"/>
        <w:rPr>
          <w:rFonts w:cs="Times New Roman"/>
          <w:b/>
          <w:bCs/>
          <w:color w:val="000000" w:themeColor="text1"/>
        </w:rPr>
      </w:pPr>
    </w:p>
    <w:p w14:paraId="76F9A75C" w14:textId="486689D3" w:rsidR="00126D8D" w:rsidRPr="003F0091" w:rsidRDefault="00126D8D" w:rsidP="007F40F3">
      <w:pPr>
        <w:pStyle w:val="TOCFigures1"/>
        <w:rPr>
          <w:rFonts w:eastAsia="Times New Roman"/>
        </w:rPr>
      </w:pPr>
      <w:bookmarkStart w:id="642" w:name="_Toc141478837"/>
      <w:r w:rsidRPr="003F0091">
        <w:rPr>
          <w:b/>
          <w:bCs/>
        </w:rPr>
        <w:t xml:space="preserve">Figure </w:t>
      </w:r>
      <w:r>
        <w:rPr>
          <w:b/>
          <w:bCs/>
        </w:rPr>
        <w:t>4.</w:t>
      </w:r>
      <w:r w:rsidRPr="003F0091">
        <w:rPr>
          <w:b/>
          <w:bCs/>
        </w:rPr>
        <w:t>1</w:t>
      </w:r>
      <w:r>
        <w:rPr>
          <w:b/>
          <w:bCs/>
        </w:rPr>
        <w:t>5</w:t>
      </w:r>
      <w:r w:rsidRPr="003F0091">
        <w:rPr>
          <w:b/>
          <w:bCs/>
        </w:rPr>
        <w:t xml:space="preserve">. </w:t>
      </w:r>
      <w:r w:rsidRPr="003F0091">
        <w:t>Volcano plot showing global transcriptional change between the Natural Light Control (T4) and Narrowband 20B/80R treatment (T1). All the genes are plotted and each data point represents a gene. The log2 fold change of each gene is represented on the x-axis and the log10 of its adjusted p-value is on the y-axis. Genes with an adjusted p-value less than 0.05 and a log2 fold change greater than 1 are indicated by red dots, which represent upregulated genes. Genes with an adjusted p-value less than 0.05 and a log2 fold change less than -1 are indicated by blue dots, which represent downregulated genes.</w:t>
      </w:r>
      <w:bookmarkEnd w:id="642"/>
      <w:r w:rsidR="00060453">
        <w:t xml:space="preserve">  </w:t>
      </w:r>
    </w:p>
    <w:p w14:paraId="62965A79" w14:textId="77777777" w:rsidR="00126D8D" w:rsidRPr="003F0091" w:rsidRDefault="00126D8D" w:rsidP="00DC4427">
      <w:pPr>
        <w:spacing w:line="240" w:lineRule="auto"/>
        <w:jc w:val="both"/>
        <w:rPr>
          <w:rFonts w:cs="Times New Roman"/>
          <w:color w:val="000000" w:themeColor="text1"/>
          <w:sz w:val="21"/>
          <w:szCs w:val="21"/>
          <w:shd w:val="clear" w:color="auto" w:fill="FFFFFF"/>
        </w:rPr>
      </w:pPr>
    </w:p>
    <w:p w14:paraId="3D19BD15" w14:textId="77777777" w:rsidR="00126D8D" w:rsidRPr="003F0091" w:rsidRDefault="00126D8D" w:rsidP="00DC4427">
      <w:pPr>
        <w:pStyle w:val="NormalWeb"/>
        <w:jc w:val="both"/>
        <w:rPr>
          <w:color w:val="000000" w:themeColor="text1"/>
        </w:rPr>
      </w:pPr>
    </w:p>
    <w:p w14:paraId="1F77A267" w14:textId="77777777" w:rsidR="00126D8D" w:rsidRPr="003F0091" w:rsidRDefault="00126D8D" w:rsidP="00DC4427">
      <w:pPr>
        <w:spacing w:line="240" w:lineRule="auto"/>
        <w:rPr>
          <w:rFonts w:eastAsia="Times New Roman" w:cs="Times New Roman"/>
          <w:color w:val="000000" w:themeColor="text1"/>
        </w:rPr>
      </w:pPr>
      <w:r w:rsidRPr="003F0091">
        <w:rPr>
          <w:rFonts w:cs="Times New Roman"/>
          <w:color w:val="000000" w:themeColor="text1"/>
        </w:rPr>
        <w:br w:type="page"/>
      </w:r>
    </w:p>
    <w:p w14:paraId="4B9DFFBE" w14:textId="77777777" w:rsidR="00126D8D" w:rsidRPr="003F0091" w:rsidRDefault="00126D8D" w:rsidP="00DC4427">
      <w:pPr>
        <w:pStyle w:val="NormalWeb"/>
        <w:jc w:val="both"/>
        <w:rPr>
          <w:color w:val="000000" w:themeColor="text1"/>
        </w:rPr>
      </w:pPr>
      <w:r w:rsidRPr="003F0091">
        <w:rPr>
          <w:noProof/>
          <w:color w:val="000000" w:themeColor="text1"/>
        </w:rPr>
        <w:lastRenderedPageBreak/>
        <w:drawing>
          <wp:inline distT="0" distB="0" distL="0" distR="0" wp14:anchorId="47D7050B" wp14:editId="1EE95269">
            <wp:extent cx="5715000" cy="5715000"/>
            <wp:effectExtent l="0" t="0" r="0" b="0"/>
            <wp:docPr id="396311503" name="Picture 396311503" descr="A picture containing text, screenshot, diagram, plo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6311503" name="Picture 12" descr="A picture containing text, screenshot, diagram, plot&#10;&#10;Description automatically generated"/>
                    <pic:cNvPicPr/>
                  </pic:nvPicPr>
                  <pic:blipFill>
                    <a:blip r:embed="rId55" cstate="print">
                      <a:extLst>
                        <a:ext uri="{28A0092B-C50C-407E-A947-70E740481C1C}">
                          <a14:useLocalDpi xmlns:a14="http://schemas.microsoft.com/office/drawing/2010/main" val="0"/>
                        </a:ext>
                      </a:extLst>
                    </a:blip>
                    <a:stretch>
                      <a:fillRect/>
                    </a:stretch>
                  </pic:blipFill>
                  <pic:spPr>
                    <a:xfrm>
                      <a:off x="0" y="0"/>
                      <a:ext cx="5715000" cy="5715000"/>
                    </a:xfrm>
                    <a:prstGeom prst="rect">
                      <a:avLst/>
                    </a:prstGeom>
                  </pic:spPr>
                </pic:pic>
              </a:graphicData>
            </a:graphic>
          </wp:inline>
        </w:drawing>
      </w:r>
    </w:p>
    <w:p w14:paraId="0768E9F4" w14:textId="7317E553" w:rsidR="00126D8D" w:rsidRPr="003F0091" w:rsidRDefault="00126D8D" w:rsidP="007F40F3">
      <w:pPr>
        <w:pStyle w:val="TOCFigures1"/>
        <w:rPr>
          <w:rFonts w:eastAsia="Times New Roman"/>
        </w:rPr>
      </w:pPr>
      <w:bookmarkStart w:id="643" w:name="_Toc141478838"/>
      <w:r w:rsidRPr="003F0091">
        <w:rPr>
          <w:b/>
          <w:bCs/>
        </w:rPr>
        <w:t xml:space="preserve">Figure </w:t>
      </w:r>
      <w:r>
        <w:rPr>
          <w:b/>
          <w:bCs/>
        </w:rPr>
        <w:t>4.</w:t>
      </w:r>
      <w:r w:rsidRPr="003F0091">
        <w:rPr>
          <w:b/>
          <w:bCs/>
        </w:rPr>
        <w:t>1</w:t>
      </w:r>
      <w:r>
        <w:rPr>
          <w:b/>
          <w:bCs/>
        </w:rPr>
        <w:t>6</w:t>
      </w:r>
      <w:r w:rsidRPr="003F0091">
        <w:rPr>
          <w:b/>
          <w:bCs/>
        </w:rPr>
        <w:t xml:space="preserve">. </w:t>
      </w:r>
      <w:r w:rsidRPr="003F0091">
        <w:t>Volcano plot showing global transcriptional change between the Natural Light Control (T4) and Broadband White treatment (T2). All the genes are plotted and each data point represents a gene. The log2 fold change of each gene is represented on the x-axis and the log10 of its adjusted p-value is on the y-axis. Genes with an adjusted p-value less than 0.05 and a log2 fold change greater than 1 are indicated by red dots, which represent upregulated genes. Genes with an adjusted p-value less than 0.05 and a log2 fold change less than -1 are indicated by blue dots, which represent downregulated genes.</w:t>
      </w:r>
      <w:bookmarkEnd w:id="643"/>
      <w:r w:rsidR="008236F9">
        <w:t xml:space="preserve"> </w:t>
      </w:r>
    </w:p>
    <w:p w14:paraId="5EE3E585" w14:textId="77777777" w:rsidR="00126D8D" w:rsidRPr="003F0091" w:rsidRDefault="00126D8D" w:rsidP="00DC4427">
      <w:pPr>
        <w:pStyle w:val="NormalWeb"/>
        <w:jc w:val="both"/>
        <w:rPr>
          <w:color w:val="000000" w:themeColor="text1"/>
        </w:rPr>
      </w:pPr>
    </w:p>
    <w:p w14:paraId="67E8FBC7" w14:textId="77777777" w:rsidR="00126D8D" w:rsidRPr="003F0091" w:rsidRDefault="00126D8D" w:rsidP="00DC4427">
      <w:pPr>
        <w:spacing w:line="240" w:lineRule="auto"/>
        <w:rPr>
          <w:rFonts w:eastAsia="Times New Roman" w:cs="Times New Roman"/>
          <w:color w:val="000000" w:themeColor="text1"/>
        </w:rPr>
      </w:pPr>
      <w:r w:rsidRPr="003F0091">
        <w:rPr>
          <w:rFonts w:cs="Times New Roman"/>
          <w:color w:val="000000" w:themeColor="text1"/>
        </w:rPr>
        <w:br w:type="page"/>
      </w:r>
    </w:p>
    <w:p w14:paraId="700FE0AD" w14:textId="77777777" w:rsidR="00126D8D" w:rsidRPr="003F0091" w:rsidRDefault="00126D8D" w:rsidP="00DC4427">
      <w:pPr>
        <w:pStyle w:val="NormalWeb"/>
        <w:jc w:val="both"/>
        <w:rPr>
          <w:color w:val="000000" w:themeColor="text1"/>
        </w:rPr>
      </w:pPr>
      <w:r w:rsidRPr="003F0091">
        <w:rPr>
          <w:noProof/>
          <w:color w:val="000000" w:themeColor="text1"/>
        </w:rPr>
        <w:lastRenderedPageBreak/>
        <w:drawing>
          <wp:inline distT="0" distB="0" distL="0" distR="0" wp14:anchorId="780B50B2" wp14:editId="6523B299">
            <wp:extent cx="5715000" cy="5715000"/>
            <wp:effectExtent l="0" t="0" r="0" b="0"/>
            <wp:docPr id="875394684" name="Picture 875394684" descr="A picture containing text, screenshot, diagram, plo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75394684" name="Picture 1" descr="A picture containing text, screenshot, diagram, plot&#10;&#10;Description automatically generated"/>
                    <pic:cNvPicPr/>
                  </pic:nvPicPr>
                  <pic:blipFill>
                    <a:blip r:embed="rId56" cstate="print">
                      <a:extLst>
                        <a:ext uri="{28A0092B-C50C-407E-A947-70E740481C1C}">
                          <a14:useLocalDpi xmlns:a14="http://schemas.microsoft.com/office/drawing/2010/main" val="0"/>
                        </a:ext>
                      </a:extLst>
                    </a:blip>
                    <a:stretch>
                      <a:fillRect/>
                    </a:stretch>
                  </pic:blipFill>
                  <pic:spPr>
                    <a:xfrm>
                      <a:off x="0" y="0"/>
                      <a:ext cx="5715000" cy="5715000"/>
                    </a:xfrm>
                    <a:prstGeom prst="rect">
                      <a:avLst/>
                    </a:prstGeom>
                  </pic:spPr>
                </pic:pic>
              </a:graphicData>
            </a:graphic>
          </wp:inline>
        </w:drawing>
      </w:r>
    </w:p>
    <w:p w14:paraId="2C2B2F74" w14:textId="2724B351" w:rsidR="00126D8D" w:rsidRPr="003F0091" w:rsidRDefault="00126D8D" w:rsidP="007F40F3">
      <w:pPr>
        <w:pStyle w:val="TOCFigures1"/>
      </w:pPr>
      <w:bookmarkStart w:id="644" w:name="_Toc141478839"/>
      <w:r w:rsidRPr="003F0091">
        <w:rPr>
          <w:b/>
          <w:bCs/>
        </w:rPr>
        <w:t xml:space="preserve">Figure </w:t>
      </w:r>
      <w:r>
        <w:rPr>
          <w:b/>
          <w:bCs/>
        </w:rPr>
        <w:t>4.</w:t>
      </w:r>
      <w:r w:rsidRPr="003F0091">
        <w:rPr>
          <w:b/>
          <w:bCs/>
        </w:rPr>
        <w:t>1</w:t>
      </w:r>
      <w:r>
        <w:rPr>
          <w:b/>
          <w:bCs/>
        </w:rPr>
        <w:t>7</w:t>
      </w:r>
      <w:r w:rsidRPr="003F0091">
        <w:rPr>
          <w:b/>
          <w:bCs/>
        </w:rPr>
        <w:t xml:space="preserve">. </w:t>
      </w:r>
      <w:r w:rsidRPr="003F0091">
        <w:t>Volcano plot showing global transcriptional change between the Natural Light Control (T4) and High</w:t>
      </w:r>
      <w:r w:rsidR="00060453">
        <w:t>-</w:t>
      </w:r>
      <w:r w:rsidRPr="003F0091">
        <w:t>Pressure Sodium treatment (T3). All the genes are plotted and each data point represents a gene. The log2 fold change of each gene is represented on the x-axis and the log10 of its adjusted p-value is on the y-axis. Genes with an adjusted p-value less than 0.05 and a log2 fold change greater than 1 are indicated by red dots, which represent upregulated genes. Genes with an adjusted p-value less than 0.05 and a log2 fold change less than -1 are indicated by blue dots, which represent downregulated genes.</w:t>
      </w:r>
      <w:bookmarkEnd w:id="644"/>
    </w:p>
    <w:p w14:paraId="0FC8507B" w14:textId="77777777" w:rsidR="00126D8D" w:rsidRPr="007F77C5" w:rsidRDefault="00126D8D" w:rsidP="00DC4427">
      <w:pPr>
        <w:spacing w:line="240" w:lineRule="auto"/>
        <w:rPr>
          <w:rFonts w:cs="Times New Roman"/>
        </w:rPr>
      </w:pPr>
    </w:p>
    <w:p w14:paraId="12C44246" w14:textId="6D94DF2A" w:rsidR="00C703D9" w:rsidRDefault="00C703D9">
      <w:pPr>
        <w:spacing w:line="240" w:lineRule="auto"/>
      </w:pPr>
      <w:r>
        <w:br w:type="page"/>
      </w:r>
    </w:p>
    <w:p w14:paraId="38C16037" w14:textId="77777777" w:rsidR="00256F78" w:rsidRDefault="00256F78">
      <w:pPr>
        <w:spacing w:line="240" w:lineRule="auto"/>
      </w:pPr>
    </w:p>
    <w:p w14:paraId="183ABCBE" w14:textId="77777777" w:rsidR="00C703D9" w:rsidRDefault="00C703D9">
      <w:pPr>
        <w:spacing w:line="240" w:lineRule="auto"/>
      </w:pPr>
    </w:p>
    <w:p w14:paraId="3E698272" w14:textId="77777777" w:rsidR="00C703D9" w:rsidRDefault="00C703D9">
      <w:pPr>
        <w:spacing w:line="240" w:lineRule="auto"/>
      </w:pPr>
    </w:p>
    <w:p w14:paraId="6958DFDA" w14:textId="77777777" w:rsidR="00C703D9" w:rsidRPr="007F77C5" w:rsidRDefault="00C703D9" w:rsidP="00C703D9">
      <w:pPr>
        <w:rPr>
          <w:rFonts w:cs="Times New Roman"/>
        </w:rPr>
      </w:pPr>
    </w:p>
    <w:p w14:paraId="1190936D" w14:textId="77777777" w:rsidR="00C703D9" w:rsidRPr="007F77C5" w:rsidRDefault="00C703D9" w:rsidP="00C703D9">
      <w:pPr>
        <w:rPr>
          <w:rFonts w:cs="Times New Roman"/>
        </w:rPr>
      </w:pPr>
    </w:p>
    <w:p w14:paraId="72747F48" w14:textId="77777777" w:rsidR="00C703D9" w:rsidRPr="007F77C5" w:rsidRDefault="00C703D9" w:rsidP="00C703D9">
      <w:pPr>
        <w:rPr>
          <w:rFonts w:cs="Times New Roman"/>
        </w:rPr>
      </w:pPr>
    </w:p>
    <w:p w14:paraId="7A43E051" w14:textId="77777777" w:rsidR="00C703D9" w:rsidRPr="007F77C5" w:rsidRDefault="00C703D9" w:rsidP="00C703D9">
      <w:pPr>
        <w:rPr>
          <w:rFonts w:cs="Times New Roman"/>
        </w:rPr>
      </w:pPr>
    </w:p>
    <w:p w14:paraId="19018AAD" w14:textId="77777777" w:rsidR="00C703D9" w:rsidRPr="007F77C5" w:rsidRDefault="00C703D9" w:rsidP="00C703D9">
      <w:pPr>
        <w:rPr>
          <w:rFonts w:cs="Times New Roman"/>
        </w:rPr>
      </w:pPr>
    </w:p>
    <w:p w14:paraId="6B31BD13" w14:textId="77777777" w:rsidR="00C703D9" w:rsidRPr="007F77C5" w:rsidRDefault="00C703D9" w:rsidP="00C703D9">
      <w:pPr>
        <w:rPr>
          <w:rFonts w:cs="Times New Roman"/>
        </w:rPr>
      </w:pPr>
    </w:p>
    <w:p w14:paraId="6E2F84E0" w14:textId="77777777" w:rsidR="00C703D9" w:rsidRPr="007F77C5" w:rsidRDefault="00C703D9" w:rsidP="00C703D9">
      <w:pPr>
        <w:rPr>
          <w:rFonts w:cs="Times New Roman"/>
        </w:rPr>
      </w:pPr>
    </w:p>
    <w:p w14:paraId="300972B2" w14:textId="77777777" w:rsidR="00C703D9" w:rsidRPr="007F77C5" w:rsidRDefault="00C703D9" w:rsidP="00C703D9">
      <w:pPr>
        <w:rPr>
          <w:rFonts w:cs="Times New Roman"/>
        </w:rPr>
      </w:pPr>
    </w:p>
    <w:p w14:paraId="7581F119" w14:textId="77777777" w:rsidR="00C703D9" w:rsidRPr="007F77C5" w:rsidRDefault="00C703D9" w:rsidP="00C703D9">
      <w:pPr>
        <w:rPr>
          <w:rFonts w:cs="Times New Roman"/>
        </w:rPr>
      </w:pPr>
    </w:p>
    <w:p w14:paraId="150B5581" w14:textId="77777777" w:rsidR="00C703D9" w:rsidRPr="007F77C5" w:rsidRDefault="00C703D9" w:rsidP="00C703D9">
      <w:pPr>
        <w:rPr>
          <w:rFonts w:cs="Times New Roman"/>
        </w:rPr>
      </w:pPr>
    </w:p>
    <w:p w14:paraId="6EDBEE6E" w14:textId="77777777" w:rsidR="00C703D9" w:rsidRPr="007F77C5" w:rsidRDefault="00C703D9" w:rsidP="00C703D9">
      <w:pPr>
        <w:rPr>
          <w:rFonts w:cs="Times New Roman"/>
        </w:rPr>
      </w:pPr>
    </w:p>
    <w:p w14:paraId="0656F77D" w14:textId="77777777" w:rsidR="00C703D9" w:rsidRPr="007F77C5" w:rsidRDefault="00C703D9" w:rsidP="00C703D9">
      <w:pPr>
        <w:rPr>
          <w:rFonts w:cs="Times New Roman"/>
        </w:rPr>
      </w:pPr>
    </w:p>
    <w:p w14:paraId="51611DE6" w14:textId="77777777" w:rsidR="00C703D9" w:rsidRPr="007F77C5" w:rsidRDefault="00C703D9" w:rsidP="00C703D9">
      <w:pPr>
        <w:rPr>
          <w:rFonts w:cs="Times New Roman"/>
        </w:rPr>
      </w:pPr>
    </w:p>
    <w:p w14:paraId="15C4CFD5" w14:textId="77777777" w:rsidR="00C703D9" w:rsidRPr="007F77C5" w:rsidRDefault="00C703D9" w:rsidP="00C703D9">
      <w:pPr>
        <w:rPr>
          <w:rFonts w:cs="Times New Roman"/>
        </w:rPr>
      </w:pPr>
    </w:p>
    <w:p w14:paraId="70334497" w14:textId="631BB926" w:rsidR="00C703D9" w:rsidRPr="007F77C5" w:rsidRDefault="00C703D9" w:rsidP="00C703D9">
      <w:pPr>
        <w:pStyle w:val="MastersThesisChapter"/>
        <w:framePr w:wrap="around"/>
        <w:rPr>
          <w:rFonts w:cs="Times New Roman"/>
        </w:rPr>
      </w:pPr>
      <w:bookmarkStart w:id="645" w:name="_Toc139574849"/>
      <w:bookmarkStart w:id="646" w:name="_Toc141478719"/>
      <w:r w:rsidRPr="007F77C5">
        <w:rPr>
          <w:rFonts w:cs="Times New Roman"/>
        </w:rPr>
        <w:t xml:space="preserve">CHAPTER </w:t>
      </w:r>
      <w:r>
        <w:rPr>
          <w:rFonts w:cs="Times New Roman"/>
        </w:rPr>
        <w:t>5</w:t>
      </w:r>
      <w:r w:rsidRPr="007F77C5">
        <w:rPr>
          <w:rFonts w:cs="Times New Roman"/>
        </w:rPr>
        <w:t xml:space="preserve">: </w:t>
      </w:r>
      <w:r w:rsidRPr="003F0091">
        <w:rPr>
          <w:rFonts w:cs="Times New Roman"/>
          <w:bCs/>
          <w:color w:val="000000" w:themeColor="text1"/>
        </w:rPr>
        <w:t>HEADSPACE GAS CHROMATOGRAPHY AND TRANSCRIPTOME ANALYSIS CONFIRMS SENSORY PANEL ASSESSMENT THAT SPECTRAL QUALITY INFLUENCES BIOACCUMULATION OF IMPORTANT AROMA VOLATILES IN SWEET BASIL</w:t>
      </w:r>
      <w:bookmarkEnd w:id="645"/>
      <w:bookmarkEnd w:id="646"/>
      <w:r w:rsidRPr="007F77C5">
        <w:rPr>
          <w:rFonts w:cs="Times New Roman"/>
        </w:rPr>
        <w:t xml:space="preserve"> </w:t>
      </w:r>
      <w:r w:rsidRPr="007F77C5">
        <w:rPr>
          <w:rFonts w:cs="Times New Roman"/>
        </w:rPr>
        <w:br w:type="page"/>
      </w:r>
    </w:p>
    <w:p w14:paraId="00B22D8F" w14:textId="77777777" w:rsidR="00C703D9" w:rsidRDefault="00C703D9">
      <w:pPr>
        <w:spacing w:line="240" w:lineRule="auto"/>
        <w:rPr>
          <w:b/>
          <w:bCs/>
          <w:sz w:val="28"/>
          <w:szCs w:val="28"/>
        </w:rPr>
      </w:pPr>
      <w:r>
        <w:rPr>
          <w:b/>
          <w:bCs/>
          <w:sz w:val="28"/>
          <w:szCs w:val="28"/>
        </w:rPr>
        <w:br w:type="page"/>
      </w:r>
    </w:p>
    <w:p w14:paraId="6F8B5CF4" w14:textId="77777777" w:rsidR="00501929" w:rsidRPr="00501929" w:rsidRDefault="00501929" w:rsidP="00501929">
      <w:pPr>
        <w:spacing w:line="240" w:lineRule="auto"/>
        <w:rPr>
          <w:b/>
          <w:bCs/>
          <w:i/>
          <w:iCs/>
          <w:sz w:val="28"/>
          <w:szCs w:val="28"/>
        </w:rPr>
      </w:pPr>
      <w:r w:rsidRPr="00501929">
        <w:rPr>
          <w:b/>
          <w:bCs/>
          <w:sz w:val="28"/>
          <w:szCs w:val="28"/>
        </w:rPr>
        <w:lastRenderedPageBreak/>
        <w:t>Hunter A. Hammock</w:t>
      </w:r>
      <w:r w:rsidRPr="00501929">
        <w:rPr>
          <w:b/>
          <w:bCs/>
          <w:sz w:val="28"/>
          <w:szCs w:val="28"/>
          <w:vertAlign w:val="superscript"/>
        </w:rPr>
        <w:t>1</w:t>
      </w:r>
      <w:r w:rsidRPr="00501929">
        <w:rPr>
          <w:b/>
          <w:bCs/>
          <w:sz w:val="28"/>
          <w:szCs w:val="28"/>
        </w:rPr>
        <w:t>, Curtis Luckett</w:t>
      </w:r>
      <w:r w:rsidRPr="00501929">
        <w:rPr>
          <w:b/>
          <w:bCs/>
          <w:sz w:val="28"/>
          <w:szCs w:val="28"/>
          <w:vertAlign w:val="superscript"/>
        </w:rPr>
        <w:t>2</w:t>
      </w:r>
      <w:r w:rsidRPr="00501929">
        <w:rPr>
          <w:b/>
          <w:bCs/>
          <w:sz w:val="28"/>
          <w:szCs w:val="28"/>
        </w:rPr>
        <w:t>, and Carl E. Sams</w:t>
      </w:r>
      <w:r w:rsidRPr="00501929">
        <w:rPr>
          <w:b/>
          <w:bCs/>
          <w:sz w:val="28"/>
          <w:szCs w:val="28"/>
          <w:vertAlign w:val="superscript"/>
        </w:rPr>
        <w:t>1*</w:t>
      </w:r>
    </w:p>
    <w:p w14:paraId="5079E278" w14:textId="77777777" w:rsidR="00501929" w:rsidRPr="003F0091" w:rsidRDefault="00501929" w:rsidP="00501929">
      <w:pPr>
        <w:spacing w:line="240" w:lineRule="auto"/>
        <w:rPr>
          <w:rFonts w:cs="Times New Roman"/>
          <w:color w:val="000000" w:themeColor="text1"/>
          <w:vertAlign w:val="superscript"/>
        </w:rPr>
      </w:pPr>
    </w:p>
    <w:p w14:paraId="6EF1E9BC" w14:textId="77777777" w:rsidR="00501929" w:rsidRPr="003F0091" w:rsidRDefault="00501929" w:rsidP="00501929">
      <w:pPr>
        <w:spacing w:line="240" w:lineRule="auto"/>
        <w:rPr>
          <w:rFonts w:cs="Times New Roman"/>
          <w:color w:val="000000" w:themeColor="text1"/>
        </w:rPr>
      </w:pPr>
      <w:r w:rsidRPr="003F0091">
        <w:rPr>
          <w:rFonts w:cs="Times New Roman"/>
          <w:color w:val="000000" w:themeColor="text1"/>
          <w:vertAlign w:val="superscript"/>
        </w:rPr>
        <w:t>1</w:t>
      </w:r>
      <w:r w:rsidRPr="003F0091">
        <w:rPr>
          <w:rFonts w:cs="Times New Roman"/>
          <w:color w:val="000000" w:themeColor="text1"/>
        </w:rPr>
        <w:t>Department of Plant Sciences, The University of Tennessee, Knoxville, TN, USA, 37996</w:t>
      </w:r>
    </w:p>
    <w:p w14:paraId="51A0D0D3" w14:textId="77777777" w:rsidR="00501929" w:rsidRPr="003F0091" w:rsidRDefault="00501929" w:rsidP="00501929">
      <w:pPr>
        <w:spacing w:line="240" w:lineRule="auto"/>
        <w:rPr>
          <w:rFonts w:cs="Times New Roman"/>
          <w:color w:val="000000" w:themeColor="text1"/>
        </w:rPr>
      </w:pPr>
      <w:r w:rsidRPr="003F0091">
        <w:rPr>
          <w:rFonts w:cs="Times New Roman"/>
          <w:color w:val="000000" w:themeColor="text1"/>
          <w:vertAlign w:val="superscript"/>
        </w:rPr>
        <w:t>2</w:t>
      </w:r>
      <w:r w:rsidRPr="003F0091">
        <w:rPr>
          <w:rFonts w:cs="Times New Roman"/>
          <w:color w:val="000000" w:themeColor="text1"/>
        </w:rPr>
        <w:t>Department of Food Science, The University of Tennessee, Knoxville, TN, USA, 37996</w:t>
      </w:r>
    </w:p>
    <w:p w14:paraId="4A5256A5" w14:textId="77777777" w:rsidR="00C703D9" w:rsidRPr="00747A19" w:rsidRDefault="00C703D9" w:rsidP="00C703D9">
      <w:pPr>
        <w:spacing w:line="240" w:lineRule="auto"/>
        <w:jc w:val="both"/>
        <w:rPr>
          <w:rFonts w:cs="Times New Roman"/>
        </w:rPr>
      </w:pPr>
    </w:p>
    <w:p w14:paraId="53D2E017" w14:textId="77777777" w:rsidR="00C703D9" w:rsidRPr="00747A19" w:rsidRDefault="00C703D9" w:rsidP="00C703D9">
      <w:pPr>
        <w:spacing w:line="240" w:lineRule="auto"/>
        <w:jc w:val="both"/>
      </w:pPr>
      <w:r w:rsidRPr="00FA1BCF">
        <w:rPr>
          <w:b/>
          <w:bCs/>
        </w:rPr>
        <w:t>Correspondence:</w:t>
      </w:r>
      <w:r w:rsidRPr="00747A19">
        <w:t xml:space="preserve"> Carl E. Sams, </w:t>
      </w:r>
      <w:hyperlink r:id="rId57" w:history="1">
        <w:r w:rsidRPr="00747A19">
          <w:rPr>
            <w:rStyle w:val="Hyperlink"/>
          </w:rPr>
          <w:t>carlsams@utk.edu</w:t>
        </w:r>
      </w:hyperlink>
    </w:p>
    <w:p w14:paraId="5BEBBEA0" w14:textId="77777777" w:rsidR="00C703D9" w:rsidRDefault="00C703D9" w:rsidP="00C703D9">
      <w:pPr>
        <w:spacing w:line="240" w:lineRule="auto"/>
        <w:jc w:val="both"/>
      </w:pPr>
    </w:p>
    <w:p w14:paraId="7DFCEC05" w14:textId="7F6765D9" w:rsidR="00C703D9" w:rsidRDefault="00C703D9" w:rsidP="00C703D9">
      <w:pPr>
        <w:spacing w:line="240" w:lineRule="auto"/>
        <w:jc w:val="both"/>
        <w:rPr>
          <w:b/>
        </w:rPr>
      </w:pPr>
      <w:r w:rsidRPr="00FA1BCF">
        <w:rPr>
          <w:b/>
          <w:bCs/>
        </w:rPr>
        <w:t>Keywords:</w:t>
      </w:r>
      <w:r w:rsidRPr="00747A19">
        <w:t xml:space="preserve"> </w:t>
      </w:r>
      <w:r w:rsidR="00501929" w:rsidRPr="003F0091">
        <w:rPr>
          <w:color w:val="000000" w:themeColor="text1"/>
        </w:rPr>
        <w:t xml:space="preserve">Controlled Environment Agriculture, Light Emitting Diodes, </w:t>
      </w:r>
      <w:r w:rsidR="00501929" w:rsidRPr="003F0091">
        <w:rPr>
          <w:i/>
          <w:iCs/>
          <w:color w:val="000000" w:themeColor="text1"/>
        </w:rPr>
        <w:t>Ocimum basilicum</w:t>
      </w:r>
      <w:r w:rsidR="00501929" w:rsidRPr="003F0091">
        <w:rPr>
          <w:color w:val="000000" w:themeColor="text1"/>
        </w:rPr>
        <w:t>, Supplemental Lighting, Secondary Metabolism, Sensory Evaluation, Spectral Quality, Terpenes, Transcriptome</w:t>
      </w:r>
    </w:p>
    <w:p w14:paraId="6AF76B3C" w14:textId="77777777" w:rsidR="00C703D9" w:rsidRDefault="00C703D9" w:rsidP="00C703D9">
      <w:pPr>
        <w:spacing w:line="240" w:lineRule="auto"/>
        <w:jc w:val="both"/>
        <w:rPr>
          <w:b/>
        </w:rPr>
      </w:pPr>
    </w:p>
    <w:p w14:paraId="4519C995" w14:textId="799783DF" w:rsidR="00C56082" w:rsidRPr="003F0091" w:rsidRDefault="00C56082" w:rsidP="00C56082">
      <w:pPr>
        <w:spacing w:line="240" w:lineRule="auto"/>
        <w:rPr>
          <w:rFonts w:cs="Times New Roman"/>
          <w:color w:val="000000" w:themeColor="text1"/>
        </w:rPr>
      </w:pPr>
      <w:r w:rsidRPr="003F0091">
        <w:rPr>
          <w:rFonts w:cs="Times New Roman"/>
          <w:b/>
          <w:bCs/>
          <w:color w:val="000000" w:themeColor="text1"/>
        </w:rPr>
        <w:t>Author Contributions</w:t>
      </w:r>
      <w:r w:rsidR="00BB138C">
        <w:rPr>
          <w:rFonts w:cs="Times New Roman"/>
          <w:b/>
          <w:bCs/>
          <w:color w:val="000000" w:themeColor="text1"/>
        </w:rPr>
        <w:t>:</w:t>
      </w:r>
    </w:p>
    <w:p w14:paraId="09573D50" w14:textId="77777777" w:rsidR="00C56082" w:rsidRPr="003F0091" w:rsidRDefault="00C56082" w:rsidP="00C56082">
      <w:pPr>
        <w:spacing w:line="240" w:lineRule="auto"/>
        <w:rPr>
          <w:rFonts w:cs="Times New Roman"/>
          <w:color w:val="000000" w:themeColor="text1"/>
        </w:rPr>
      </w:pPr>
      <w:r w:rsidRPr="003F0091">
        <w:rPr>
          <w:rFonts w:cs="Times New Roman"/>
          <w:color w:val="000000" w:themeColor="text1"/>
        </w:rPr>
        <w:t>Conceptualization – HAH, CES</w:t>
      </w:r>
    </w:p>
    <w:p w14:paraId="72D7D3EA" w14:textId="77777777" w:rsidR="00C56082" w:rsidRPr="003F0091" w:rsidRDefault="00C56082" w:rsidP="00C56082">
      <w:pPr>
        <w:spacing w:line="240" w:lineRule="auto"/>
        <w:rPr>
          <w:rFonts w:cs="Times New Roman"/>
          <w:color w:val="000000" w:themeColor="text1"/>
        </w:rPr>
      </w:pPr>
      <w:r w:rsidRPr="003F0091">
        <w:rPr>
          <w:rFonts w:cs="Times New Roman"/>
          <w:color w:val="000000" w:themeColor="text1"/>
        </w:rPr>
        <w:t>Methodology – HAH, CES</w:t>
      </w:r>
    </w:p>
    <w:p w14:paraId="5CE9BE81" w14:textId="77777777" w:rsidR="00C56082" w:rsidRPr="003F0091" w:rsidRDefault="00C56082" w:rsidP="00C56082">
      <w:pPr>
        <w:spacing w:line="240" w:lineRule="auto"/>
        <w:rPr>
          <w:rFonts w:cs="Times New Roman"/>
          <w:color w:val="000000" w:themeColor="text1"/>
        </w:rPr>
      </w:pPr>
      <w:r w:rsidRPr="003F0091">
        <w:rPr>
          <w:rFonts w:cs="Times New Roman"/>
          <w:color w:val="000000" w:themeColor="text1"/>
        </w:rPr>
        <w:t>Software – HAH</w:t>
      </w:r>
    </w:p>
    <w:p w14:paraId="0E3E3681" w14:textId="77777777" w:rsidR="00C56082" w:rsidRPr="003F0091" w:rsidRDefault="00C56082" w:rsidP="00C56082">
      <w:pPr>
        <w:spacing w:line="240" w:lineRule="auto"/>
        <w:rPr>
          <w:rFonts w:cs="Times New Roman"/>
          <w:color w:val="000000" w:themeColor="text1"/>
        </w:rPr>
      </w:pPr>
      <w:r w:rsidRPr="003F0091">
        <w:rPr>
          <w:rFonts w:cs="Times New Roman"/>
          <w:color w:val="000000" w:themeColor="text1"/>
        </w:rPr>
        <w:t>Validation – HAH, CES</w:t>
      </w:r>
    </w:p>
    <w:p w14:paraId="03BDABF6" w14:textId="77777777" w:rsidR="00C56082" w:rsidRPr="003F0091" w:rsidRDefault="00C56082" w:rsidP="00C56082">
      <w:pPr>
        <w:spacing w:line="240" w:lineRule="auto"/>
        <w:rPr>
          <w:rFonts w:cs="Times New Roman"/>
          <w:color w:val="000000" w:themeColor="text1"/>
        </w:rPr>
      </w:pPr>
      <w:r w:rsidRPr="003F0091">
        <w:rPr>
          <w:rFonts w:cs="Times New Roman"/>
          <w:color w:val="000000" w:themeColor="text1"/>
        </w:rPr>
        <w:t>Investigation – HAH</w:t>
      </w:r>
    </w:p>
    <w:p w14:paraId="1E7ABF95" w14:textId="77777777" w:rsidR="00C56082" w:rsidRPr="003F0091" w:rsidRDefault="00C56082" w:rsidP="00C56082">
      <w:pPr>
        <w:spacing w:line="240" w:lineRule="auto"/>
        <w:rPr>
          <w:rFonts w:cs="Times New Roman"/>
          <w:color w:val="000000" w:themeColor="text1"/>
        </w:rPr>
      </w:pPr>
      <w:r w:rsidRPr="003F0091">
        <w:rPr>
          <w:rFonts w:cs="Times New Roman"/>
          <w:color w:val="000000" w:themeColor="text1"/>
        </w:rPr>
        <w:t>Data curation (GC-MS) – HAH</w:t>
      </w:r>
    </w:p>
    <w:p w14:paraId="661467FB" w14:textId="77777777" w:rsidR="00C56082" w:rsidRPr="003F0091" w:rsidRDefault="00C56082" w:rsidP="00C56082">
      <w:pPr>
        <w:spacing w:line="240" w:lineRule="auto"/>
        <w:rPr>
          <w:rFonts w:cs="Times New Roman"/>
          <w:color w:val="000000" w:themeColor="text1"/>
        </w:rPr>
      </w:pPr>
      <w:r w:rsidRPr="003F0091">
        <w:rPr>
          <w:rFonts w:cs="Times New Roman"/>
          <w:color w:val="000000" w:themeColor="text1"/>
        </w:rPr>
        <w:t>Data curation (Sensory) – CL, HAH</w:t>
      </w:r>
    </w:p>
    <w:p w14:paraId="37E5F282" w14:textId="77777777" w:rsidR="00C56082" w:rsidRPr="003F0091" w:rsidRDefault="00C56082" w:rsidP="00C56082">
      <w:pPr>
        <w:spacing w:line="240" w:lineRule="auto"/>
        <w:rPr>
          <w:rFonts w:cs="Times New Roman"/>
          <w:color w:val="000000" w:themeColor="text1"/>
        </w:rPr>
      </w:pPr>
      <w:r w:rsidRPr="003F0091">
        <w:rPr>
          <w:rFonts w:cs="Times New Roman"/>
          <w:color w:val="000000" w:themeColor="text1"/>
        </w:rPr>
        <w:t>Data curation (Transcriptome) – HAH</w:t>
      </w:r>
    </w:p>
    <w:p w14:paraId="0B953567" w14:textId="77777777" w:rsidR="00C56082" w:rsidRPr="003F0091" w:rsidRDefault="00C56082" w:rsidP="00C56082">
      <w:pPr>
        <w:spacing w:line="240" w:lineRule="auto"/>
        <w:rPr>
          <w:rFonts w:cs="Times New Roman"/>
          <w:color w:val="000000" w:themeColor="text1"/>
        </w:rPr>
      </w:pPr>
      <w:r w:rsidRPr="003F0091">
        <w:rPr>
          <w:rFonts w:cs="Times New Roman"/>
          <w:color w:val="000000" w:themeColor="text1"/>
        </w:rPr>
        <w:t>Formal statistical analyses (GC-MS) – HAH</w:t>
      </w:r>
    </w:p>
    <w:p w14:paraId="762E7187" w14:textId="77777777" w:rsidR="00C56082" w:rsidRPr="003F0091" w:rsidRDefault="00C56082" w:rsidP="00C56082">
      <w:pPr>
        <w:spacing w:line="240" w:lineRule="auto"/>
        <w:rPr>
          <w:rFonts w:cs="Times New Roman"/>
          <w:color w:val="000000" w:themeColor="text1"/>
        </w:rPr>
      </w:pPr>
      <w:r w:rsidRPr="003F0091">
        <w:rPr>
          <w:rFonts w:cs="Times New Roman"/>
          <w:color w:val="000000" w:themeColor="text1"/>
        </w:rPr>
        <w:t>Formal statistical analyses (Sensory) – HAH, CL</w:t>
      </w:r>
    </w:p>
    <w:p w14:paraId="6EC64253" w14:textId="77777777" w:rsidR="00C56082" w:rsidRPr="003F0091" w:rsidRDefault="00C56082" w:rsidP="00C56082">
      <w:pPr>
        <w:spacing w:line="240" w:lineRule="auto"/>
        <w:rPr>
          <w:rFonts w:cs="Times New Roman"/>
          <w:color w:val="000000" w:themeColor="text1"/>
        </w:rPr>
      </w:pPr>
      <w:r w:rsidRPr="003F0091">
        <w:rPr>
          <w:rFonts w:cs="Times New Roman"/>
          <w:color w:val="000000" w:themeColor="text1"/>
        </w:rPr>
        <w:t>Formal statistical analyses (Transcriptome) – HAH</w:t>
      </w:r>
    </w:p>
    <w:p w14:paraId="46EB54C6" w14:textId="77777777" w:rsidR="00C56082" w:rsidRPr="003F0091" w:rsidRDefault="00C56082" w:rsidP="00C56082">
      <w:pPr>
        <w:spacing w:line="240" w:lineRule="auto"/>
        <w:rPr>
          <w:rFonts w:cs="Times New Roman"/>
          <w:color w:val="000000" w:themeColor="text1"/>
        </w:rPr>
      </w:pPr>
      <w:r w:rsidRPr="003F0091">
        <w:rPr>
          <w:rFonts w:cs="Times New Roman"/>
          <w:color w:val="000000" w:themeColor="text1"/>
        </w:rPr>
        <w:t>Data Visualization – HAH</w:t>
      </w:r>
    </w:p>
    <w:p w14:paraId="4D201C0D" w14:textId="77777777" w:rsidR="00C56082" w:rsidRPr="003F0091" w:rsidRDefault="00C56082" w:rsidP="00C56082">
      <w:pPr>
        <w:spacing w:line="240" w:lineRule="auto"/>
        <w:rPr>
          <w:rFonts w:cs="Times New Roman"/>
          <w:color w:val="000000" w:themeColor="text1"/>
        </w:rPr>
      </w:pPr>
      <w:r w:rsidRPr="003F0091">
        <w:rPr>
          <w:rFonts w:cs="Times New Roman"/>
          <w:color w:val="000000" w:themeColor="text1"/>
        </w:rPr>
        <w:t>Writing (original draft preparation) - HAH</w:t>
      </w:r>
    </w:p>
    <w:p w14:paraId="63E0FCAE" w14:textId="77777777" w:rsidR="00C56082" w:rsidRPr="003F0091" w:rsidRDefault="00C56082" w:rsidP="00C56082">
      <w:pPr>
        <w:spacing w:line="240" w:lineRule="auto"/>
        <w:rPr>
          <w:rFonts w:cs="Times New Roman"/>
          <w:color w:val="000000" w:themeColor="text1"/>
        </w:rPr>
      </w:pPr>
      <w:r w:rsidRPr="003F0091">
        <w:rPr>
          <w:rFonts w:cs="Times New Roman"/>
          <w:color w:val="000000" w:themeColor="text1"/>
        </w:rPr>
        <w:t>Writing (review and editing) – HAH, CL, CES</w:t>
      </w:r>
    </w:p>
    <w:p w14:paraId="494A96DF" w14:textId="77777777" w:rsidR="00C56082" w:rsidRPr="003F0091" w:rsidRDefault="00C56082" w:rsidP="00C56082">
      <w:pPr>
        <w:spacing w:line="240" w:lineRule="auto"/>
        <w:rPr>
          <w:rFonts w:cs="Times New Roman"/>
          <w:color w:val="000000" w:themeColor="text1"/>
        </w:rPr>
      </w:pPr>
      <w:r w:rsidRPr="003F0091">
        <w:rPr>
          <w:rFonts w:cs="Times New Roman"/>
          <w:color w:val="000000" w:themeColor="text1"/>
        </w:rPr>
        <w:t>Supervision and project administration – CES</w:t>
      </w:r>
    </w:p>
    <w:p w14:paraId="4D8AC5EC" w14:textId="77777777" w:rsidR="00C56082" w:rsidRPr="003F0091" w:rsidRDefault="00C56082" w:rsidP="00C56082">
      <w:pPr>
        <w:spacing w:line="240" w:lineRule="auto"/>
        <w:rPr>
          <w:rFonts w:cs="Times New Roman"/>
          <w:color w:val="000000" w:themeColor="text1"/>
        </w:rPr>
      </w:pPr>
      <w:r w:rsidRPr="003F0091">
        <w:rPr>
          <w:rFonts w:cs="Times New Roman"/>
          <w:color w:val="000000" w:themeColor="text1"/>
        </w:rPr>
        <w:t xml:space="preserve">Resources – CES </w:t>
      </w:r>
    </w:p>
    <w:p w14:paraId="5FD7D190" w14:textId="77777777" w:rsidR="00C56082" w:rsidRPr="003F0091" w:rsidRDefault="00C56082" w:rsidP="00C56082">
      <w:pPr>
        <w:spacing w:line="240" w:lineRule="auto"/>
        <w:rPr>
          <w:rFonts w:cs="Times New Roman"/>
          <w:color w:val="000000" w:themeColor="text1"/>
        </w:rPr>
      </w:pPr>
      <w:r w:rsidRPr="003F0091">
        <w:rPr>
          <w:rFonts w:cs="Times New Roman"/>
          <w:color w:val="000000" w:themeColor="text1"/>
        </w:rPr>
        <w:t>Funding acquisition – CES</w:t>
      </w:r>
    </w:p>
    <w:p w14:paraId="292E7AB4" w14:textId="77777777" w:rsidR="00C703D9" w:rsidRDefault="00C703D9" w:rsidP="00C703D9">
      <w:pPr>
        <w:spacing w:line="240" w:lineRule="auto"/>
        <w:jc w:val="both"/>
        <w:rPr>
          <w:rFonts w:cs="Times New Roman"/>
          <w:color w:val="000000" w:themeColor="text1"/>
        </w:rPr>
      </w:pPr>
    </w:p>
    <w:p w14:paraId="77261DE2" w14:textId="77777777" w:rsidR="00C703D9" w:rsidRPr="003F0091" w:rsidRDefault="00C703D9" w:rsidP="00C703D9">
      <w:pPr>
        <w:spacing w:line="240" w:lineRule="auto"/>
        <w:jc w:val="both"/>
        <w:rPr>
          <w:rFonts w:cs="Times New Roman"/>
          <w:b/>
          <w:bCs/>
          <w:color w:val="000000" w:themeColor="text1"/>
        </w:rPr>
      </w:pPr>
      <w:r w:rsidRPr="003F0091">
        <w:rPr>
          <w:rFonts w:cs="Times New Roman"/>
          <w:b/>
          <w:bCs/>
          <w:color w:val="000000" w:themeColor="text1"/>
        </w:rPr>
        <w:t>Author Statement</w:t>
      </w:r>
      <w:r>
        <w:rPr>
          <w:rFonts w:cs="Times New Roman"/>
          <w:b/>
          <w:bCs/>
          <w:color w:val="000000" w:themeColor="text1"/>
        </w:rPr>
        <w:t>:</w:t>
      </w:r>
    </w:p>
    <w:p w14:paraId="0C5566C8" w14:textId="77777777" w:rsidR="00C703D9" w:rsidRDefault="00C703D9" w:rsidP="00C703D9">
      <w:pPr>
        <w:spacing w:line="240" w:lineRule="auto"/>
        <w:jc w:val="both"/>
        <w:rPr>
          <w:rFonts w:cs="Times New Roman"/>
          <w:color w:val="000000" w:themeColor="text1"/>
        </w:rPr>
      </w:pPr>
      <w:r w:rsidRPr="003F0091">
        <w:rPr>
          <w:rFonts w:cs="Times New Roman"/>
          <w:color w:val="000000" w:themeColor="text1"/>
        </w:rPr>
        <w:t>All authors have reviewed the manuscript and agree with the reported findings. There are no reported conflicts between the authors and the present study.</w:t>
      </w:r>
    </w:p>
    <w:p w14:paraId="2D7F5C94" w14:textId="77777777" w:rsidR="00501929" w:rsidRDefault="00501929" w:rsidP="00C703D9">
      <w:pPr>
        <w:spacing w:line="240" w:lineRule="auto"/>
        <w:jc w:val="both"/>
        <w:rPr>
          <w:rFonts w:cs="Times New Roman"/>
          <w:color w:val="000000" w:themeColor="text1"/>
        </w:rPr>
      </w:pPr>
    </w:p>
    <w:p w14:paraId="09DC20A3" w14:textId="5CDCBD2B" w:rsidR="00501929" w:rsidRPr="003F0091" w:rsidRDefault="00501929" w:rsidP="00C703D9">
      <w:pPr>
        <w:spacing w:line="240" w:lineRule="auto"/>
        <w:jc w:val="both"/>
        <w:rPr>
          <w:rFonts w:cs="Times New Roman"/>
          <w:color w:val="000000" w:themeColor="text1"/>
        </w:rPr>
      </w:pPr>
      <w:r>
        <w:rPr>
          <w:rFonts w:cs="Times New Roman"/>
          <w:b/>
          <w:color w:val="000000" w:themeColor="text1"/>
        </w:rPr>
        <w:t>Acknowledgments</w:t>
      </w:r>
      <w:r w:rsidRPr="00082A1E">
        <w:rPr>
          <w:rFonts w:cs="Times New Roman"/>
          <w:b/>
          <w:color w:val="000000" w:themeColor="text1"/>
        </w:rPr>
        <w:t xml:space="preserve">: </w:t>
      </w:r>
      <w:r w:rsidRPr="00082A1E">
        <w:rPr>
          <w:rFonts w:cs="Times New Roman"/>
          <w:bCs/>
          <w:color w:val="000000" w:themeColor="text1"/>
        </w:rPr>
        <w:t>The authors of this manuscript would like to thank Tracy Hawk and Terek Hewezi’s</w:t>
      </w:r>
      <w:r>
        <w:rPr>
          <w:rFonts w:cs="Times New Roman"/>
          <w:bCs/>
          <w:color w:val="000000" w:themeColor="text1"/>
          <w:szCs w:val="22"/>
        </w:rPr>
        <w:t xml:space="preserve"> Plant Molecular Biology Lab for their advice and assistance in reviewing sequencing data.</w:t>
      </w:r>
    </w:p>
    <w:p w14:paraId="4354CDEA" w14:textId="77777777" w:rsidR="00C703D9" w:rsidRPr="003F0091" w:rsidRDefault="00C703D9" w:rsidP="00C703D9">
      <w:pPr>
        <w:spacing w:line="240" w:lineRule="auto"/>
        <w:jc w:val="both"/>
        <w:rPr>
          <w:rFonts w:cs="Times New Roman"/>
          <w:color w:val="000000" w:themeColor="text1"/>
        </w:rPr>
      </w:pPr>
    </w:p>
    <w:p w14:paraId="276C59E2" w14:textId="77777777" w:rsidR="00C703D9" w:rsidRPr="003F0091" w:rsidRDefault="00C703D9" w:rsidP="00C703D9">
      <w:pPr>
        <w:spacing w:line="240" w:lineRule="auto"/>
        <w:jc w:val="both"/>
        <w:rPr>
          <w:rFonts w:cs="Times New Roman"/>
          <w:b/>
          <w:bCs/>
          <w:color w:val="000000" w:themeColor="text1"/>
        </w:rPr>
      </w:pPr>
      <w:r w:rsidRPr="003F0091">
        <w:rPr>
          <w:rFonts w:cs="Times New Roman"/>
          <w:b/>
          <w:bCs/>
          <w:color w:val="000000" w:themeColor="text1"/>
        </w:rPr>
        <w:t>Funding</w:t>
      </w:r>
      <w:r>
        <w:rPr>
          <w:rFonts w:cs="Times New Roman"/>
          <w:b/>
          <w:bCs/>
          <w:color w:val="000000" w:themeColor="text1"/>
        </w:rPr>
        <w:t>:</w:t>
      </w:r>
    </w:p>
    <w:p w14:paraId="02C0FEB5" w14:textId="77777777" w:rsidR="00C703D9" w:rsidRPr="003F0091" w:rsidRDefault="00C703D9" w:rsidP="00C703D9">
      <w:pPr>
        <w:spacing w:line="240" w:lineRule="auto"/>
        <w:jc w:val="both"/>
        <w:rPr>
          <w:rFonts w:cs="Times New Roman"/>
          <w:color w:val="000000" w:themeColor="text1"/>
        </w:rPr>
      </w:pPr>
      <w:r w:rsidRPr="003F0091">
        <w:rPr>
          <w:rFonts w:cs="Times New Roman"/>
          <w:color w:val="000000" w:themeColor="text1"/>
        </w:rPr>
        <w:t>This research was supported by The AgResearch Dean’s Office within the University of Tennessee Institute of Agriculture. No external funds were used for the present study.</w:t>
      </w:r>
    </w:p>
    <w:p w14:paraId="40F823CB" w14:textId="77777777" w:rsidR="00C703D9" w:rsidRPr="003F0091" w:rsidRDefault="00C703D9" w:rsidP="00C703D9">
      <w:pPr>
        <w:spacing w:line="240" w:lineRule="auto"/>
        <w:jc w:val="both"/>
        <w:rPr>
          <w:rFonts w:cs="Times New Roman"/>
          <w:color w:val="000000" w:themeColor="text1"/>
        </w:rPr>
      </w:pPr>
    </w:p>
    <w:p w14:paraId="0A820BE0" w14:textId="77777777" w:rsidR="00C703D9" w:rsidRDefault="00C703D9" w:rsidP="00C703D9">
      <w:pPr>
        <w:spacing w:line="240" w:lineRule="auto"/>
        <w:jc w:val="both"/>
        <w:rPr>
          <w:rFonts w:cs="Times New Roman"/>
          <w:b/>
          <w:bCs/>
          <w:color w:val="000000" w:themeColor="text1"/>
        </w:rPr>
      </w:pPr>
      <w:r w:rsidRPr="00F15D90">
        <w:rPr>
          <w:rFonts w:cs="Times New Roman"/>
          <w:b/>
          <w:bCs/>
          <w:color w:val="000000" w:themeColor="text1"/>
        </w:rPr>
        <w:t>Disclosure</w:t>
      </w:r>
      <w:r>
        <w:rPr>
          <w:rFonts w:cs="Times New Roman"/>
          <w:b/>
          <w:bCs/>
          <w:color w:val="000000" w:themeColor="text1"/>
        </w:rPr>
        <w:t>:</w:t>
      </w:r>
    </w:p>
    <w:p w14:paraId="3A0E54C9" w14:textId="145E5492" w:rsidR="00C703D9" w:rsidRDefault="00C703D9" w:rsidP="00C703D9">
      <w:pPr>
        <w:spacing w:line="240" w:lineRule="auto"/>
        <w:jc w:val="both"/>
        <w:rPr>
          <w:rFonts w:cs="Times New Roman"/>
          <w:color w:val="000000" w:themeColor="text1"/>
        </w:rPr>
      </w:pPr>
      <w:r>
        <w:rPr>
          <w:rFonts w:cs="Times New Roman"/>
          <w:color w:val="000000" w:themeColor="text1"/>
        </w:rPr>
        <w:t xml:space="preserve">This manuscript and its contents </w:t>
      </w:r>
      <w:r w:rsidR="00501929">
        <w:rPr>
          <w:rFonts w:cs="Times New Roman"/>
          <w:color w:val="000000" w:themeColor="text1"/>
        </w:rPr>
        <w:t>were submitted to PLOS ONE on July 2, 2023.</w:t>
      </w:r>
    </w:p>
    <w:p w14:paraId="49EB382A" w14:textId="77777777" w:rsidR="00C703D9" w:rsidRDefault="00C703D9">
      <w:pPr>
        <w:spacing w:line="240" w:lineRule="auto"/>
      </w:pPr>
    </w:p>
    <w:p w14:paraId="43C06BC9" w14:textId="77777777" w:rsidR="00C703D9" w:rsidRDefault="00C703D9">
      <w:pPr>
        <w:spacing w:line="240" w:lineRule="auto"/>
      </w:pPr>
    </w:p>
    <w:p w14:paraId="23DF4338" w14:textId="77777777" w:rsidR="00BB138C" w:rsidRPr="003F0091" w:rsidRDefault="00BB138C" w:rsidP="00BB138C">
      <w:pPr>
        <w:pStyle w:val="MastersThesisMainTitle"/>
        <w:rPr>
          <w:color w:val="000000" w:themeColor="text1"/>
          <w:szCs w:val="28"/>
        </w:rPr>
      </w:pPr>
      <w:bookmarkStart w:id="647" w:name="_Toc139574850"/>
      <w:bookmarkStart w:id="648" w:name="_Toc141478720"/>
      <w:r w:rsidRPr="003F0091">
        <w:rPr>
          <w:color w:val="000000" w:themeColor="text1"/>
          <w:szCs w:val="28"/>
        </w:rPr>
        <w:lastRenderedPageBreak/>
        <w:t>Abstract</w:t>
      </w:r>
      <w:bookmarkEnd w:id="647"/>
      <w:bookmarkEnd w:id="648"/>
    </w:p>
    <w:p w14:paraId="472273D7" w14:textId="7C52553B" w:rsidR="00BB138C" w:rsidRPr="003F0091" w:rsidRDefault="00BB138C" w:rsidP="00BB138C">
      <w:pPr>
        <w:shd w:val="clear" w:color="auto" w:fill="FFFFFF"/>
        <w:ind w:firstLine="720"/>
        <w:jc w:val="both"/>
        <w:rPr>
          <w:rFonts w:cs="Times New Roman"/>
          <w:color w:val="000000" w:themeColor="text1"/>
        </w:rPr>
      </w:pPr>
      <w:r w:rsidRPr="003F0091">
        <w:rPr>
          <w:rFonts w:cs="Times New Roman"/>
          <w:color w:val="000000" w:themeColor="text1"/>
          <w:shd w:val="clear" w:color="auto" w:fill="FFFFFF"/>
        </w:rPr>
        <w:t xml:space="preserve">The spectral quality of supplemental lighting (SL) used in controlled environment agriculture (CEA) directly influences secondary metabolic resource allocation. Terpenoid metabolism </w:t>
      </w:r>
      <w:r w:rsidRPr="00BE1924">
        <w:rPr>
          <w:rFonts w:cs="Times New Roman"/>
          <w:color w:val="000000" w:themeColor="text1"/>
          <w:shd w:val="clear" w:color="auto" w:fill="FFFFFF"/>
        </w:rPr>
        <w:t>is responsible for the production of volatile organic compounds (VOCs), which influence human sensory perception. Myrcene and Ocimene are two monoterpenes important for the aroma profile of many specialty crops. </w:t>
      </w:r>
      <w:r w:rsidRPr="00BE1924">
        <w:rPr>
          <w:rStyle w:val="Emphasis"/>
          <w:rFonts w:cs="Times New Roman"/>
          <w:color w:val="000000" w:themeColor="text1"/>
          <w:bdr w:val="none" w:sz="0" w:space="0" w:color="auto" w:frame="1"/>
          <w:shd w:val="clear" w:color="auto" w:fill="FFFFFF"/>
        </w:rPr>
        <w:t>Ocimum basilicum </w:t>
      </w:r>
      <w:r w:rsidRPr="00BE1924">
        <w:rPr>
          <w:rFonts w:cs="Times New Roman"/>
          <w:color w:val="000000" w:themeColor="text1"/>
          <w:shd w:val="clear" w:color="auto" w:fill="FFFFFF"/>
        </w:rPr>
        <w:t>L. var. 'Genovese' is a common culinary herb, popular among professional</w:t>
      </w:r>
      <w:r w:rsidRPr="003F0091">
        <w:rPr>
          <w:rFonts w:cs="Times New Roman"/>
          <w:color w:val="000000" w:themeColor="text1"/>
          <w:shd w:val="clear" w:color="auto" w:fill="FFFFFF"/>
        </w:rPr>
        <w:t xml:space="preserve"> chefs because of its high yields and unique flavor profile. As horticultural lighting technology continues to advance, it is necessary to explore the spectral quality of SL and its influence on flavor perception and preference. This study aimed to determine the impact of SL spectral quality on basil sensory perception and monoterpene metabolism by corroborating a consumer sensory panel assessment with VOC concentrations and transcriptomic analyses. Four lighting treatments were employed: non-supplemented natural light (NL) control, full-spectrum white LED (5600 K), 20B/80R narrowband LED</w:t>
      </w:r>
      <w:r w:rsidR="0097577E">
        <w:rPr>
          <w:rFonts w:cs="Times New Roman"/>
          <w:color w:val="000000" w:themeColor="text1"/>
          <w:shd w:val="clear" w:color="auto" w:fill="FFFFFF"/>
        </w:rPr>
        <w:t xml:space="preserve"> (447 and 647 nm)</w:t>
      </w:r>
      <w:r w:rsidRPr="003F0091">
        <w:rPr>
          <w:rFonts w:cs="Times New Roman"/>
          <w:color w:val="000000" w:themeColor="text1"/>
          <w:shd w:val="clear" w:color="auto" w:fill="FFFFFF"/>
        </w:rPr>
        <w:t>, and a high-pressure sodium (HPS) light. During the growth period, the daily light integral (DLI) of NL control averaged 9.51 mol</w:t>
      </w:r>
      <w:r w:rsidRPr="003F0091">
        <w:rPr>
          <w:rStyle w:val="Strong"/>
          <w:rFonts w:cs="Times New Roman"/>
          <w:color w:val="000000" w:themeColor="text1"/>
          <w:bdr w:val="none" w:sz="0" w:space="0" w:color="auto" w:frame="1"/>
          <w:shd w:val="clear" w:color="auto" w:fill="FFFFFF"/>
          <w:vertAlign w:val="superscript"/>
        </w:rPr>
        <w:t>.</w:t>
      </w:r>
      <w:r w:rsidRPr="003F0091">
        <w:rPr>
          <w:rFonts w:cs="Times New Roman"/>
          <w:color w:val="000000" w:themeColor="text1"/>
          <w:shd w:val="clear" w:color="auto" w:fill="FFFFFF"/>
        </w:rPr>
        <w:t>m</w:t>
      </w:r>
      <w:r w:rsidRPr="003F0091">
        <w:rPr>
          <w:rFonts w:cs="Times New Roman"/>
          <w:color w:val="000000" w:themeColor="text1"/>
          <w:bdr w:val="none" w:sz="0" w:space="0" w:color="auto" w:frame="1"/>
          <w:shd w:val="clear" w:color="auto" w:fill="FFFFFF"/>
          <w:vertAlign w:val="superscript"/>
        </w:rPr>
        <w:t>-2</w:t>
      </w:r>
      <w:r w:rsidRPr="003F0091">
        <w:rPr>
          <w:rStyle w:val="Strong"/>
          <w:rFonts w:cs="Times New Roman"/>
          <w:color w:val="000000" w:themeColor="text1"/>
          <w:bdr w:val="none" w:sz="0" w:space="0" w:color="auto" w:frame="1"/>
          <w:shd w:val="clear" w:color="auto" w:fill="FFFFFF"/>
          <w:vertAlign w:val="superscript"/>
        </w:rPr>
        <w:t>.</w:t>
      </w:r>
      <w:r w:rsidRPr="003F0091">
        <w:rPr>
          <w:rFonts w:cs="Times New Roman"/>
          <w:color w:val="000000" w:themeColor="text1"/>
          <w:shd w:val="clear" w:color="auto" w:fill="FFFFFF"/>
        </w:rPr>
        <w:t>d</w:t>
      </w:r>
      <w:r w:rsidRPr="003F0091">
        <w:rPr>
          <w:rFonts w:cs="Times New Roman"/>
          <w:color w:val="000000" w:themeColor="text1"/>
          <w:bdr w:val="none" w:sz="0" w:space="0" w:color="auto" w:frame="1"/>
          <w:shd w:val="clear" w:color="auto" w:fill="FFFFFF"/>
          <w:vertAlign w:val="superscript"/>
        </w:rPr>
        <w:t>-1</w:t>
      </w:r>
      <w:r w:rsidRPr="003F0091">
        <w:rPr>
          <w:rFonts w:cs="Times New Roman"/>
          <w:color w:val="000000" w:themeColor="text1"/>
          <w:shd w:val="clear" w:color="auto" w:fill="FFFFFF"/>
        </w:rPr>
        <w:t>. Each SL treatment provided an additional 8.64 mol</w:t>
      </w:r>
      <w:r w:rsidRPr="003F0091">
        <w:rPr>
          <w:rStyle w:val="Strong"/>
          <w:rFonts w:cs="Times New Roman"/>
          <w:color w:val="000000" w:themeColor="text1"/>
          <w:bdr w:val="none" w:sz="0" w:space="0" w:color="auto" w:frame="1"/>
          <w:shd w:val="clear" w:color="auto" w:fill="FFFFFF"/>
          <w:vertAlign w:val="superscript"/>
        </w:rPr>
        <w:t>.</w:t>
      </w:r>
      <w:r w:rsidRPr="003F0091">
        <w:rPr>
          <w:rFonts w:cs="Times New Roman"/>
          <w:color w:val="000000" w:themeColor="text1"/>
          <w:shd w:val="clear" w:color="auto" w:fill="FFFFFF"/>
        </w:rPr>
        <w:t>m</w:t>
      </w:r>
      <w:r w:rsidRPr="003F0091">
        <w:rPr>
          <w:rFonts w:cs="Times New Roman"/>
          <w:color w:val="000000" w:themeColor="text1"/>
          <w:bdr w:val="none" w:sz="0" w:space="0" w:color="auto" w:frame="1"/>
          <w:shd w:val="clear" w:color="auto" w:fill="FFFFFF"/>
          <w:vertAlign w:val="superscript"/>
        </w:rPr>
        <w:t>-2</w:t>
      </w:r>
      <w:r w:rsidRPr="003F0091">
        <w:rPr>
          <w:rStyle w:val="Strong"/>
          <w:rFonts w:cs="Times New Roman"/>
          <w:color w:val="000000" w:themeColor="text1"/>
          <w:bdr w:val="none" w:sz="0" w:space="0" w:color="auto" w:frame="1"/>
          <w:shd w:val="clear" w:color="auto" w:fill="FFFFFF"/>
          <w:vertAlign w:val="superscript"/>
        </w:rPr>
        <w:t>.</w:t>
      </w:r>
      <w:r w:rsidRPr="003F0091">
        <w:rPr>
          <w:rFonts w:cs="Times New Roman"/>
          <w:color w:val="000000" w:themeColor="text1"/>
          <w:shd w:val="clear" w:color="auto" w:fill="FFFFFF"/>
        </w:rPr>
        <w:t>d</w:t>
      </w:r>
      <w:r w:rsidRPr="003F0091">
        <w:rPr>
          <w:rFonts w:cs="Times New Roman"/>
          <w:color w:val="000000" w:themeColor="text1"/>
          <w:bdr w:val="none" w:sz="0" w:space="0" w:color="auto" w:frame="1"/>
          <w:shd w:val="clear" w:color="auto" w:fill="FFFFFF"/>
          <w:vertAlign w:val="superscript"/>
        </w:rPr>
        <w:t>-1</w:t>
      </w:r>
      <w:r w:rsidRPr="003F0091">
        <w:rPr>
          <w:rFonts w:cs="Times New Roman"/>
          <w:color w:val="000000" w:themeColor="text1"/>
          <w:shd w:val="clear" w:color="auto" w:fill="FFFFFF"/>
        </w:rPr>
        <w:t> (100 µmol</w:t>
      </w:r>
      <w:r w:rsidRPr="003F0091">
        <w:rPr>
          <w:rStyle w:val="Strong"/>
          <w:rFonts w:cs="Times New Roman"/>
          <w:color w:val="000000" w:themeColor="text1"/>
          <w:bdr w:val="none" w:sz="0" w:space="0" w:color="auto" w:frame="1"/>
          <w:shd w:val="clear" w:color="auto" w:fill="FFFFFF"/>
          <w:vertAlign w:val="superscript"/>
        </w:rPr>
        <w:t>.</w:t>
      </w:r>
      <w:r w:rsidRPr="003F0091">
        <w:rPr>
          <w:rFonts w:cs="Times New Roman"/>
          <w:color w:val="000000" w:themeColor="text1"/>
          <w:shd w:val="clear" w:color="auto" w:fill="FFFFFF"/>
        </w:rPr>
        <w:t>m</w:t>
      </w:r>
      <w:r w:rsidRPr="003F0091">
        <w:rPr>
          <w:rFonts w:cs="Times New Roman"/>
          <w:color w:val="000000" w:themeColor="text1"/>
          <w:bdr w:val="none" w:sz="0" w:space="0" w:color="auto" w:frame="1"/>
          <w:shd w:val="clear" w:color="auto" w:fill="FFFFFF"/>
          <w:vertAlign w:val="superscript"/>
        </w:rPr>
        <w:t>-2</w:t>
      </w:r>
      <w:r w:rsidRPr="003F0091">
        <w:rPr>
          <w:rStyle w:val="Strong"/>
          <w:rFonts w:cs="Times New Roman"/>
          <w:color w:val="000000" w:themeColor="text1"/>
          <w:bdr w:val="none" w:sz="0" w:space="0" w:color="auto" w:frame="1"/>
          <w:shd w:val="clear" w:color="auto" w:fill="FFFFFF"/>
          <w:vertAlign w:val="superscript"/>
        </w:rPr>
        <w:t>.</w:t>
      </w:r>
      <w:r w:rsidRPr="003F0091">
        <w:rPr>
          <w:rFonts w:cs="Times New Roman"/>
          <w:color w:val="000000" w:themeColor="text1"/>
          <w:shd w:val="clear" w:color="auto" w:fill="FFFFFF"/>
        </w:rPr>
        <w:t>s</w:t>
      </w:r>
      <w:r w:rsidRPr="003F0091">
        <w:rPr>
          <w:rFonts w:cs="Times New Roman"/>
          <w:color w:val="000000" w:themeColor="text1"/>
          <w:bdr w:val="none" w:sz="0" w:space="0" w:color="auto" w:frame="1"/>
          <w:shd w:val="clear" w:color="auto" w:fill="FFFFFF"/>
          <w:vertAlign w:val="superscript"/>
        </w:rPr>
        <w:t>-1 </w:t>
      </w:r>
      <w:r w:rsidRPr="003F0091">
        <w:rPr>
          <w:rFonts w:cs="Times New Roman"/>
          <w:color w:val="000000" w:themeColor="text1"/>
          <w:shd w:val="clear" w:color="auto" w:fill="FFFFFF"/>
        </w:rPr>
        <w:t>for 24 h</w:t>
      </w:r>
      <w:r w:rsidRPr="003F0091">
        <w:rPr>
          <w:rStyle w:val="Strong"/>
          <w:rFonts w:cs="Times New Roman"/>
          <w:color w:val="000000" w:themeColor="text1"/>
          <w:bdr w:val="none" w:sz="0" w:space="0" w:color="auto" w:frame="1"/>
          <w:shd w:val="clear" w:color="auto" w:fill="FFFFFF"/>
          <w:vertAlign w:val="superscript"/>
        </w:rPr>
        <w:t>.</w:t>
      </w:r>
      <w:r w:rsidRPr="003F0091">
        <w:rPr>
          <w:rFonts w:cs="Times New Roman"/>
          <w:color w:val="000000" w:themeColor="text1"/>
          <w:shd w:val="clear" w:color="auto" w:fill="FFFFFF"/>
        </w:rPr>
        <w:t>d</w:t>
      </w:r>
      <w:r w:rsidRPr="003F0091">
        <w:rPr>
          <w:rFonts w:cs="Times New Roman"/>
          <w:color w:val="000000" w:themeColor="text1"/>
          <w:bdr w:val="none" w:sz="0" w:space="0" w:color="auto" w:frame="1"/>
          <w:shd w:val="clear" w:color="auto" w:fill="FFFFFF"/>
          <w:vertAlign w:val="superscript"/>
        </w:rPr>
        <w:t>-1</w:t>
      </w:r>
      <w:r w:rsidRPr="003F0091">
        <w:rPr>
          <w:rFonts w:cs="Times New Roman"/>
          <w:color w:val="000000" w:themeColor="text1"/>
          <w:shd w:val="clear" w:color="auto" w:fill="FFFFFF"/>
        </w:rPr>
        <w:t xml:space="preserve">). A sensory panel was used to discriminate between odor descriptors as well as determine consumer preference and drivers-of-liking. </w:t>
      </w:r>
      <w:r w:rsidRPr="00BE1924">
        <w:rPr>
          <w:rFonts w:cs="Times New Roman"/>
          <w:color w:val="000000" w:themeColor="text1"/>
          <w:shd w:val="clear" w:color="auto" w:fill="FFFFFF"/>
        </w:rPr>
        <w:t xml:space="preserve">Myrcene and Ocimene were compounds associated with significant </w:t>
      </w:r>
      <w:r>
        <w:rPr>
          <w:rFonts w:cs="Times New Roman"/>
          <w:color w:val="000000" w:themeColor="text1"/>
          <w:shd w:val="clear" w:color="auto" w:fill="FFFFFF"/>
        </w:rPr>
        <w:t>drivers of liking</w:t>
      </w:r>
      <w:r w:rsidRPr="00BE1924">
        <w:rPr>
          <w:rFonts w:cs="Times New Roman"/>
          <w:color w:val="000000" w:themeColor="text1"/>
          <w:shd w:val="clear" w:color="auto" w:fill="FFFFFF"/>
        </w:rPr>
        <w:t>, including herbaceous, floral, and fresh descriptors. An Agilent headspace sampler and GC-MS were used to obtain aroma profiles and quantify key VOCs, including Myrcene and Ocimene isomers. Myrcene concentrations were highest in B/R treatment, a 4.9</w:t>
      </w:r>
      <w:r w:rsidR="0097577E">
        <w:rPr>
          <w:rFonts w:cs="Times New Roman"/>
          <w:color w:val="000000" w:themeColor="text1"/>
          <w:shd w:val="clear" w:color="auto" w:fill="FFFFFF"/>
        </w:rPr>
        <w:t xml:space="preserve"> fold i</w:t>
      </w:r>
      <w:r w:rsidRPr="00BE1924">
        <w:rPr>
          <w:rFonts w:cs="Times New Roman"/>
          <w:color w:val="000000" w:themeColor="text1"/>
          <w:shd w:val="clear" w:color="auto" w:fill="FFFFFF"/>
        </w:rPr>
        <w:t>ncrease over NL control. The ratio of (E/Z)-Ocimene concentrations remained statistically similar under all treatments, except for the B/R supplement.</w:t>
      </w:r>
      <w:r w:rsidRPr="003F0091">
        <w:rPr>
          <w:rFonts w:cs="Times New Roman"/>
          <w:color w:val="000000" w:themeColor="text1"/>
          <w:shd w:val="clear" w:color="auto" w:fill="FFFFFF"/>
        </w:rPr>
        <w:t xml:space="preserve"> RNA-seq identified a total of 6146 differentially expressed genes (DEGs) across treatments </w:t>
      </w:r>
      <w:r w:rsidRPr="003F0091">
        <w:rPr>
          <w:rFonts w:cs="Times New Roman"/>
          <w:color w:val="000000" w:themeColor="text1"/>
          <w:shd w:val="clear" w:color="auto" w:fill="FFFFFF"/>
        </w:rPr>
        <w:lastRenderedPageBreak/>
        <w:t xml:space="preserve">through pairwise comparisons. </w:t>
      </w:r>
      <w:r w:rsidRPr="00DB1B68">
        <w:rPr>
          <w:rFonts w:cs="Times New Roman"/>
          <w:color w:val="000000" w:themeColor="text1"/>
          <w:shd w:val="clear" w:color="auto" w:fill="FFFFFF"/>
        </w:rPr>
        <w:t xml:space="preserve">Functional annotations revealed several DEGs involved with monoterpene synthesis were significantly up-regulated in the B/R treatment compared to the NL control. A gene that encodes for fenchol synthase (FES), an important enzyme used </w:t>
      </w:r>
      <w:r>
        <w:rPr>
          <w:rFonts w:cs="Times New Roman"/>
          <w:color w:val="000000" w:themeColor="text1"/>
          <w:shd w:val="clear" w:color="auto" w:fill="FFFFFF"/>
        </w:rPr>
        <w:t>to synthesize</w:t>
      </w:r>
      <w:r w:rsidRPr="00DB1B68">
        <w:rPr>
          <w:rFonts w:cs="Times New Roman"/>
          <w:color w:val="000000" w:themeColor="text1"/>
          <w:shd w:val="clear" w:color="auto" w:fill="FFFFFF"/>
        </w:rPr>
        <w:t xml:space="preserve"> downstream Myrcene and Ocimene isomers, was only up-regulated (2.1 log</w:t>
      </w:r>
      <w:r w:rsidRPr="00DB1B68">
        <w:rPr>
          <w:rFonts w:cs="Times New Roman"/>
          <w:color w:val="000000" w:themeColor="text1"/>
          <w:bdr w:val="none" w:sz="0" w:space="0" w:color="auto" w:frame="1"/>
          <w:shd w:val="clear" w:color="auto" w:fill="FFFFFF"/>
          <w:vertAlign w:val="subscript"/>
        </w:rPr>
        <w:t>2</w:t>
      </w:r>
      <w:r w:rsidRPr="00DB1B68">
        <w:rPr>
          <w:rFonts w:cs="Times New Roman"/>
          <w:color w:val="000000" w:themeColor="text1"/>
          <w:shd w:val="clear" w:color="auto" w:fill="FFFFFF"/>
        </w:rPr>
        <w:t> FC) in the B/R treatment. Increased expression of FES likely explains the increased Myrcene concentrations and unexpected variance in (E/Z)-Ocimene ratio found in the B/R treatment.</w:t>
      </w:r>
      <w:r w:rsidRPr="003F0091">
        <w:rPr>
          <w:rFonts w:cs="Times New Roman"/>
          <w:color w:val="000000" w:themeColor="text1"/>
          <w:shd w:val="clear" w:color="auto" w:fill="FFFFFF"/>
        </w:rPr>
        <w:t xml:space="preserve"> This experiment demonstrates SL spectral quality influences consumer preference and aroma volatile concentrations in basil. Further studies comparing sensory panels with analytic and transcriptomic approaches will help improve the flavor of culinary herbs and other high-value specialty crops by leveraging environmental controls.</w:t>
      </w:r>
    </w:p>
    <w:p w14:paraId="2EC4EFF0" w14:textId="458A4D47" w:rsidR="00BB138C" w:rsidRPr="003F0091" w:rsidRDefault="00BB138C" w:rsidP="00CF62B9">
      <w:pPr>
        <w:pStyle w:val="MSThesisBodyTextJustified"/>
        <w:ind w:firstLine="0"/>
        <w:rPr>
          <w:color w:val="000000" w:themeColor="text1"/>
        </w:rPr>
      </w:pPr>
    </w:p>
    <w:p w14:paraId="54359364" w14:textId="77777777" w:rsidR="00BB138C" w:rsidRPr="00BE1924" w:rsidRDefault="00BB138C" w:rsidP="00BB138C">
      <w:pPr>
        <w:pStyle w:val="MastersThesisMainTitle"/>
        <w:rPr>
          <w:color w:val="000000" w:themeColor="text1"/>
        </w:rPr>
      </w:pPr>
      <w:bookmarkStart w:id="649" w:name="_Toc139574851"/>
      <w:bookmarkStart w:id="650" w:name="_Toc141478721"/>
      <w:r w:rsidRPr="00BE1924">
        <w:rPr>
          <w:color w:val="000000" w:themeColor="text1"/>
        </w:rPr>
        <w:t>Introduction</w:t>
      </w:r>
      <w:bookmarkEnd w:id="649"/>
      <w:bookmarkEnd w:id="650"/>
    </w:p>
    <w:p w14:paraId="26644EED" w14:textId="77777777" w:rsidR="00BB138C" w:rsidRPr="00A35FEC" w:rsidRDefault="00BB138C" w:rsidP="00BB138C">
      <w:pPr>
        <w:pStyle w:val="MSThesisBodyTextJustified"/>
        <w:rPr>
          <w:color w:val="000000" w:themeColor="text1"/>
        </w:rPr>
      </w:pPr>
      <w:r w:rsidRPr="00A35FEC">
        <w:rPr>
          <w:color w:val="000000" w:themeColor="text1"/>
        </w:rPr>
        <w:t>Horticultural lighting has gained significant attention in recent years due to its potential to enhance plant growth, development, and secondary metabolite production</w:t>
      </w:r>
      <w:r>
        <w:rPr>
          <w:color w:val="000000" w:themeColor="text1"/>
        </w:rPr>
        <w:t xml:space="preserve"> </w:t>
      </w:r>
      <w:r>
        <w:rPr>
          <w:noProof/>
          <w:color w:val="000000" w:themeColor="text1"/>
        </w:rPr>
        <w:t>(</w:t>
      </w:r>
      <w:r w:rsidRPr="002C446A">
        <w:rPr>
          <w:rFonts w:cstheme="minorBidi"/>
        </w:rPr>
        <w:t>Hasan et al., 2017</w:t>
      </w:r>
      <w:r>
        <w:rPr>
          <w:noProof/>
          <w:color w:val="000000" w:themeColor="text1"/>
        </w:rPr>
        <w:t xml:space="preserve">; </w:t>
      </w:r>
      <w:r w:rsidRPr="002C446A">
        <w:rPr>
          <w:rFonts w:cstheme="minorBidi"/>
        </w:rPr>
        <w:t>Garcia-Caparros et al., 2018</w:t>
      </w:r>
      <w:r>
        <w:rPr>
          <w:noProof/>
          <w:color w:val="000000" w:themeColor="text1"/>
        </w:rPr>
        <w:t xml:space="preserve">; </w:t>
      </w:r>
      <w:r w:rsidRPr="002C446A">
        <w:rPr>
          <w:rFonts w:cstheme="minorBidi"/>
        </w:rPr>
        <w:t>Sipos et al., 2020</w:t>
      </w:r>
      <w:r>
        <w:rPr>
          <w:noProof/>
          <w:color w:val="000000" w:themeColor="text1"/>
        </w:rPr>
        <w:t>)</w:t>
      </w:r>
      <w:r w:rsidRPr="00A35FEC">
        <w:rPr>
          <w:color w:val="000000" w:themeColor="text1"/>
        </w:rPr>
        <w:t>. Spectral quality, which refers to the distribution of wavelengths in light, is a critical factor that influences various physiological and biochemical processes in plants</w:t>
      </w:r>
      <w:r>
        <w:rPr>
          <w:color w:val="000000" w:themeColor="text1"/>
        </w:rPr>
        <w:t xml:space="preserve"> </w:t>
      </w:r>
      <w:r>
        <w:rPr>
          <w:noProof/>
          <w:color w:val="000000" w:themeColor="text1"/>
        </w:rPr>
        <w:t>(</w:t>
      </w:r>
      <w:r w:rsidRPr="002C446A">
        <w:rPr>
          <w:rFonts w:cstheme="minorBidi"/>
        </w:rPr>
        <w:t>Ouzounis et al., 2015</w:t>
      </w:r>
      <w:r>
        <w:rPr>
          <w:noProof/>
          <w:color w:val="000000" w:themeColor="text1"/>
        </w:rPr>
        <w:t xml:space="preserve">; </w:t>
      </w:r>
      <w:r w:rsidRPr="002C446A">
        <w:rPr>
          <w:rFonts w:cstheme="minorBidi"/>
        </w:rPr>
        <w:t>Urrestarazu et al., 2016</w:t>
      </w:r>
      <w:r>
        <w:rPr>
          <w:noProof/>
          <w:color w:val="000000" w:themeColor="text1"/>
        </w:rPr>
        <w:t xml:space="preserve">; </w:t>
      </w:r>
      <w:r w:rsidRPr="002C446A">
        <w:rPr>
          <w:rFonts w:cstheme="minorBidi"/>
        </w:rPr>
        <w:t>Pennisi et al., 2019</w:t>
      </w:r>
      <w:r>
        <w:rPr>
          <w:noProof/>
          <w:color w:val="000000" w:themeColor="text1"/>
        </w:rPr>
        <w:t>)</w:t>
      </w:r>
      <w:r w:rsidRPr="00A35FEC">
        <w:rPr>
          <w:color w:val="000000" w:themeColor="text1"/>
        </w:rPr>
        <w:t>. Advances in lighting technologies, such as light-emitting diodes (LEDs), have enabled researchers and growers to manipulate spectral quality, thereby optimizing plant growth and product quality</w:t>
      </w:r>
      <w:r>
        <w:rPr>
          <w:color w:val="000000" w:themeColor="text1"/>
        </w:rPr>
        <w:t xml:space="preserve"> </w:t>
      </w:r>
      <w:r>
        <w:rPr>
          <w:noProof/>
          <w:color w:val="000000" w:themeColor="text1"/>
        </w:rPr>
        <w:t>(</w:t>
      </w:r>
      <w:r w:rsidRPr="002C446A">
        <w:rPr>
          <w:rFonts w:cstheme="minorBidi"/>
        </w:rPr>
        <w:t>Ouzounis et al., 2015</w:t>
      </w:r>
      <w:r>
        <w:rPr>
          <w:noProof/>
          <w:color w:val="000000" w:themeColor="text1"/>
        </w:rPr>
        <w:t xml:space="preserve">; </w:t>
      </w:r>
      <w:r w:rsidRPr="002C446A">
        <w:rPr>
          <w:rFonts w:cstheme="minorBidi"/>
        </w:rPr>
        <w:t>Singh et al., 2015</w:t>
      </w:r>
      <w:r>
        <w:rPr>
          <w:noProof/>
          <w:color w:val="000000" w:themeColor="text1"/>
        </w:rPr>
        <w:t xml:space="preserve">; </w:t>
      </w:r>
      <w:r w:rsidRPr="002C446A">
        <w:rPr>
          <w:rFonts w:cstheme="minorBidi"/>
        </w:rPr>
        <w:t>Pattison et al., 2018</w:t>
      </w:r>
      <w:r>
        <w:rPr>
          <w:noProof/>
          <w:color w:val="000000" w:themeColor="text1"/>
        </w:rPr>
        <w:t>)</w:t>
      </w:r>
      <w:r w:rsidRPr="00A35FEC">
        <w:rPr>
          <w:color w:val="000000" w:themeColor="text1"/>
        </w:rPr>
        <w:t>.</w:t>
      </w:r>
    </w:p>
    <w:p w14:paraId="7134ADA4" w14:textId="77777777" w:rsidR="00BB138C" w:rsidRPr="00A35FEC" w:rsidRDefault="00BB138C" w:rsidP="00BB138C">
      <w:pPr>
        <w:pStyle w:val="MSThesisBodyTextJustified"/>
        <w:rPr>
          <w:color w:val="000000" w:themeColor="text1"/>
        </w:rPr>
      </w:pPr>
      <w:r w:rsidRPr="00A35FEC">
        <w:rPr>
          <w:color w:val="000000" w:themeColor="text1"/>
        </w:rPr>
        <w:t>Sweet basil (</w:t>
      </w:r>
      <w:r w:rsidRPr="00E94DE1">
        <w:rPr>
          <w:color w:val="000000" w:themeColor="text1"/>
        </w:rPr>
        <w:t>Ocimum basilicum</w:t>
      </w:r>
      <w:r w:rsidRPr="00A35FEC">
        <w:rPr>
          <w:color w:val="000000" w:themeColor="text1"/>
        </w:rPr>
        <w:t xml:space="preserve"> L.) is an economically important culinary herb known for its distinctive aroma and flavor, primarily derived from its volatile organic compounds (VOCs)</w:t>
      </w:r>
      <w:r>
        <w:rPr>
          <w:color w:val="000000" w:themeColor="text1"/>
        </w:rPr>
        <w:t xml:space="preserve"> </w:t>
      </w:r>
      <w:r>
        <w:rPr>
          <w:noProof/>
          <w:color w:val="000000" w:themeColor="text1"/>
        </w:rPr>
        <w:t>(</w:t>
      </w:r>
      <w:r w:rsidRPr="002C446A">
        <w:rPr>
          <w:rFonts w:cstheme="minorBidi"/>
        </w:rPr>
        <w:t>Hiltunen and Holm, 2003</w:t>
      </w:r>
      <w:r>
        <w:rPr>
          <w:noProof/>
          <w:color w:val="000000" w:themeColor="text1"/>
        </w:rPr>
        <w:t>)</w:t>
      </w:r>
      <w:r w:rsidRPr="00A35FEC">
        <w:rPr>
          <w:color w:val="000000" w:themeColor="text1"/>
        </w:rPr>
        <w:t xml:space="preserve">. The influence of spectral quality on the accumulation of these aroma </w:t>
      </w:r>
      <w:r w:rsidRPr="00A35FEC">
        <w:rPr>
          <w:color w:val="000000" w:themeColor="text1"/>
        </w:rPr>
        <w:lastRenderedPageBreak/>
        <w:t>volatiles in basil has been an area of growing interest</w:t>
      </w:r>
      <w:r>
        <w:rPr>
          <w:color w:val="000000" w:themeColor="text1"/>
        </w:rPr>
        <w:t xml:space="preserve"> </w:t>
      </w:r>
      <w:r>
        <w:rPr>
          <w:noProof/>
          <w:color w:val="000000" w:themeColor="text1"/>
        </w:rPr>
        <w:t>(</w:t>
      </w:r>
      <w:r w:rsidRPr="002C446A">
        <w:rPr>
          <w:rFonts w:cstheme="minorBidi"/>
        </w:rPr>
        <w:t>Lee et al., 2005</w:t>
      </w:r>
      <w:r>
        <w:rPr>
          <w:noProof/>
          <w:color w:val="000000" w:themeColor="text1"/>
        </w:rPr>
        <w:t xml:space="preserve">; </w:t>
      </w:r>
      <w:r w:rsidRPr="002C446A">
        <w:rPr>
          <w:rFonts w:cstheme="minorBidi"/>
        </w:rPr>
        <w:t>Carvalho et al., 2016</w:t>
      </w:r>
      <w:r>
        <w:rPr>
          <w:noProof/>
          <w:color w:val="000000" w:themeColor="text1"/>
        </w:rPr>
        <w:t xml:space="preserve">; </w:t>
      </w:r>
      <w:r w:rsidRPr="002C446A">
        <w:rPr>
          <w:rFonts w:cstheme="minorBidi"/>
        </w:rPr>
        <w:t>Litvin et al., 2020</w:t>
      </w:r>
      <w:r>
        <w:rPr>
          <w:noProof/>
          <w:color w:val="000000" w:themeColor="text1"/>
        </w:rPr>
        <w:t xml:space="preserve">; </w:t>
      </w:r>
      <w:r w:rsidRPr="002C446A">
        <w:rPr>
          <w:rFonts w:cstheme="minorBidi"/>
        </w:rPr>
        <w:t>Kivimaenpa et al., 2022</w:t>
      </w:r>
      <w:r>
        <w:rPr>
          <w:noProof/>
          <w:color w:val="000000" w:themeColor="text1"/>
        </w:rPr>
        <w:t>)</w:t>
      </w:r>
      <w:r w:rsidRPr="00A35FEC">
        <w:rPr>
          <w:color w:val="000000" w:themeColor="text1"/>
        </w:rPr>
        <w:t>. Previous studies have demonstrated that manipulating light conditions can significantly affect the biosynthesis of VOCs, potentially altering the sensory profile of basil and influencing consumer preferences</w:t>
      </w:r>
      <w:r>
        <w:rPr>
          <w:color w:val="000000" w:themeColor="text1"/>
        </w:rPr>
        <w:t xml:space="preserve"> </w:t>
      </w:r>
      <w:r>
        <w:rPr>
          <w:noProof/>
          <w:color w:val="000000" w:themeColor="text1"/>
        </w:rPr>
        <w:t>(</w:t>
      </w:r>
      <w:r w:rsidRPr="002C446A">
        <w:rPr>
          <w:rFonts w:cstheme="minorBidi"/>
        </w:rPr>
        <w:t>Kumar et al., 2018</w:t>
      </w:r>
      <w:r>
        <w:rPr>
          <w:noProof/>
          <w:color w:val="000000" w:themeColor="text1"/>
        </w:rPr>
        <w:t xml:space="preserve">; </w:t>
      </w:r>
      <w:r w:rsidRPr="002C446A">
        <w:rPr>
          <w:rFonts w:cstheme="minorBidi"/>
        </w:rPr>
        <w:t>Walters et al., 2020</w:t>
      </w:r>
      <w:r>
        <w:rPr>
          <w:noProof/>
          <w:color w:val="000000" w:themeColor="text1"/>
        </w:rPr>
        <w:t>)</w:t>
      </w:r>
      <w:r w:rsidRPr="00A35FEC">
        <w:rPr>
          <w:color w:val="000000" w:themeColor="text1"/>
        </w:rPr>
        <w:t>.</w:t>
      </w:r>
    </w:p>
    <w:p w14:paraId="0CF65ABA" w14:textId="77777777" w:rsidR="00BB138C" w:rsidRPr="00A35FEC" w:rsidRDefault="00BB138C" w:rsidP="00BB138C">
      <w:pPr>
        <w:pStyle w:val="MSThesisBodyTextJustified"/>
        <w:rPr>
          <w:color w:val="000000" w:themeColor="text1"/>
        </w:rPr>
      </w:pPr>
      <w:r w:rsidRPr="00A35FEC">
        <w:rPr>
          <w:color w:val="000000" w:themeColor="text1"/>
        </w:rPr>
        <w:t>Sensory analysis plays a crucial role in evaluating the impact of different light treatments on the overall quality of horticultural products</w:t>
      </w:r>
      <w:r>
        <w:rPr>
          <w:color w:val="000000" w:themeColor="text1"/>
        </w:rPr>
        <w:t xml:space="preserve"> </w:t>
      </w:r>
      <w:r>
        <w:rPr>
          <w:noProof/>
          <w:color w:val="000000" w:themeColor="text1"/>
        </w:rPr>
        <w:t>(</w:t>
      </w:r>
      <w:r w:rsidRPr="002C446A">
        <w:rPr>
          <w:rFonts w:cstheme="minorBidi"/>
        </w:rPr>
        <w:t>Lawless, 2010</w:t>
      </w:r>
      <w:r>
        <w:rPr>
          <w:noProof/>
          <w:color w:val="000000" w:themeColor="text1"/>
        </w:rPr>
        <w:t>)</w:t>
      </w:r>
      <w:r w:rsidRPr="00A35FEC">
        <w:rPr>
          <w:color w:val="000000" w:themeColor="text1"/>
        </w:rPr>
        <w:t>. Sensory panels, consisting of trained individuals or consumers, can provide valuable insights into the perceived aroma, flavor, and overall liking of plant products under varying lighting conditions</w:t>
      </w:r>
      <w:r>
        <w:rPr>
          <w:color w:val="000000" w:themeColor="text1"/>
        </w:rPr>
        <w:t xml:space="preserve"> </w:t>
      </w:r>
      <w:r>
        <w:rPr>
          <w:noProof/>
          <w:color w:val="000000" w:themeColor="text1"/>
        </w:rPr>
        <w:t>(</w:t>
      </w:r>
      <w:r w:rsidRPr="002C446A">
        <w:rPr>
          <w:rFonts w:cstheme="minorBidi"/>
        </w:rPr>
        <w:t>Meligaard et al., 2007</w:t>
      </w:r>
      <w:r>
        <w:rPr>
          <w:noProof/>
          <w:color w:val="000000" w:themeColor="text1"/>
        </w:rPr>
        <w:t>)</w:t>
      </w:r>
      <w:r w:rsidRPr="00A35FEC">
        <w:rPr>
          <w:color w:val="000000" w:themeColor="text1"/>
        </w:rPr>
        <w:t>. This information is essential when determining the effectiveness of novel lighting systems in enhancing product quality and marketability.</w:t>
      </w:r>
      <w:r w:rsidRPr="006552D5">
        <w:t xml:space="preserve"> </w:t>
      </w:r>
      <w:r w:rsidRPr="006552D5">
        <w:rPr>
          <w:color w:val="000000" w:themeColor="text1"/>
        </w:rPr>
        <w:t xml:space="preserve">Consumer acceptance testing is </w:t>
      </w:r>
      <w:r>
        <w:rPr>
          <w:color w:val="000000" w:themeColor="text1"/>
        </w:rPr>
        <w:t>also a</w:t>
      </w:r>
      <w:r w:rsidRPr="006552D5">
        <w:rPr>
          <w:color w:val="000000" w:themeColor="text1"/>
        </w:rPr>
        <w:t xml:space="preserve"> crucial method for determining customer preferences and overall liking of food products, including </w:t>
      </w:r>
      <w:r>
        <w:rPr>
          <w:color w:val="000000" w:themeColor="text1"/>
        </w:rPr>
        <w:t>high-value specialty crops</w:t>
      </w:r>
      <w:r w:rsidRPr="006552D5">
        <w:rPr>
          <w:color w:val="000000" w:themeColor="text1"/>
        </w:rPr>
        <w:t>. Rapid descriptive methods like check-all-that-apply (CATA) have proven effective at capturing similar data to conventional descriptive analysis</w:t>
      </w:r>
      <w:r>
        <w:rPr>
          <w:color w:val="000000" w:themeColor="text1"/>
        </w:rPr>
        <w:t xml:space="preserve"> </w:t>
      </w:r>
      <w:r>
        <w:rPr>
          <w:noProof/>
          <w:color w:val="000000" w:themeColor="text1"/>
        </w:rPr>
        <w:t>(</w:t>
      </w:r>
      <w:r w:rsidRPr="002C446A">
        <w:rPr>
          <w:rFonts w:cstheme="minorBidi"/>
        </w:rPr>
        <w:t>Meligaard et al., 2007</w:t>
      </w:r>
      <w:r>
        <w:rPr>
          <w:noProof/>
          <w:color w:val="000000" w:themeColor="text1"/>
        </w:rPr>
        <w:t xml:space="preserve">; </w:t>
      </w:r>
      <w:r w:rsidRPr="002C446A">
        <w:rPr>
          <w:rFonts w:cstheme="minorBidi"/>
        </w:rPr>
        <w:t>Lawless, 2010</w:t>
      </w:r>
      <w:r>
        <w:rPr>
          <w:noProof/>
          <w:color w:val="000000" w:themeColor="text1"/>
        </w:rPr>
        <w:t>)</w:t>
      </w:r>
      <w:r>
        <w:rPr>
          <w:color w:val="000000" w:themeColor="text1"/>
        </w:rPr>
        <w:t>.</w:t>
      </w:r>
    </w:p>
    <w:p w14:paraId="620345A5" w14:textId="77777777" w:rsidR="00BB138C" w:rsidRPr="00A35FEC" w:rsidRDefault="00BB138C" w:rsidP="00BB138C">
      <w:pPr>
        <w:pStyle w:val="MSThesisBodyTextJustified"/>
        <w:rPr>
          <w:color w:val="000000" w:themeColor="text1"/>
        </w:rPr>
      </w:pPr>
      <w:r w:rsidRPr="00A35FEC">
        <w:rPr>
          <w:color w:val="000000" w:themeColor="text1"/>
        </w:rPr>
        <w:t>In addition to sensory analysis, molecular techniques such as mRNA sequencing (mRNA-seq) can be employed to explore the differentially expressed genes (DEGs) in response to varying environmental conditions, including light treatments</w:t>
      </w:r>
      <w:r>
        <w:rPr>
          <w:color w:val="000000" w:themeColor="text1"/>
        </w:rPr>
        <w:t xml:space="preserve"> </w:t>
      </w:r>
      <w:r>
        <w:rPr>
          <w:noProof/>
          <w:color w:val="000000" w:themeColor="text1"/>
        </w:rPr>
        <w:t>(</w:t>
      </w:r>
      <w:r w:rsidRPr="002C446A">
        <w:rPr>
          <w:rFonts w:cstheme="minorBidi"/>
        </w:rPr>
        <w:t>Bian et al., 2021</w:t>
      </w:r>
      <w:r>
        <w:rPr>
          <w:noProof/>
          <w:color w:val="000000" w:themeColor="text1"/>
        </w:rPr>
        <w:t xml:space="preserve">; </w:t>
      </w:r>
      <w:r w:rsidRPr="002C446A">
        <w:rPr>
          <w:rFonts w:cstheme="minorBidi"/>
        </w:rPr>
        <w:t>Tang et al., 2021</w:t>
      </w:r>
      <w:r>
        <w:rPr>
          <w:noProof/>
          <w:color w:val="000000" w:themeColor="text1"/>
        </w:rPr>
        <w:t>)</w:t>
      </w:r>
      <w:r w:rsidRPr="00A35FEC">
        <w:rPr>
          <w:color w:val="000000" w:themeColor="text1"/>
        </w:rPr>
        <w:t>. By identifying DEGs related to the biosynthesis of aroma volatiles, researchers can gain a deeper understanding of how spectral quality modulates the production of these compounds at the genetic level</w:t>
      </w:r>
      <w:r>
        <w:rPr>
          <w:color w:val="000000" w:themeColor="text1"/>
        </w:rPr>
        <w:t xml:space="preserve"> </w:t>
      </w:r>
      <w:r>
        <w:rPr>
          <w:noProof/>
          <w:color w:val="000000" w:themeColor="text1"/>
        </w:rPr>
        <w:t>(</w:t>
      </w:r>
      <w:r w:rsidRPr="002C446A">
        <w:rPr>
          <w:rFonts w:cstheme="minorBidi"/>
        </w:rPr>
        <w:t>Lauria et al., 2023</w:t>
      </w:r>
      <w:r>
        <w:rPr>
          <w:noProof/>
          <w:color w:val="000000" w:themeColor="text1"/>
        </w:rPr>
        <w:t xml:space="preserve">; </w:t>
      </w:r>
      <w:r w:rsidRPr="002C446A">
        <w:rPr>
          <w:rFonts w:cstheme="minorBidi"/>
        </w:rPr>
        <w:t>Trivellini et al., 2023</w:t>
      </w:r>
      <w:r>
        <w:rPr>
          <w:noProof/>
          <w:color w:val="000000" w:themeColor="text1"/>
        </w:rPr>
        <w:t>)</w:t>
      </w:r>
      <w:r w:rsidRPr="00A35FEC">
        <w:rPr>
          <w:color w:val="000000" w:themeColor="text1"/>
        </w:rPr>
        <w:t>.</w:t>
      </w:r>
    </w:p>
    <w:p w14:paraId="3293ADFF" w14:textId="77777777" w:rsidR="00BB138C" w:rsidRPr="00A35FEC" w:rsidRDefault="00BB138C" w:rsidP="00BB138C">
      <w:pPr>
        <w:pStyle w:val="MSThesisBodyTextJustified"/>
        <w:rPr>
          <w:color w:val="000000" w:themeColor="text1"/>
        </w:rPr>
      </w:pPr>
      <w:r w:rsidRPr="00A35FEC">
        <w:rPr>
          <w:color w:val="000000" w:themeColor="text1"/>
        </w:rPr>
        <w:t xml:space="preserve">To obtain a comprehensive understanding of the effects of spectral quality on sweet basil, it is necessary to combine headspace gas chromatography-mass spectrometry (HS GC-MS), sensory panel evaluation, and mRNA-seq analysis. This integrated approach will enable </w:t>
      </w:r>
      <w:r w:rsidRPr="00A35FEC">
        <w:rPr>
          <w:color w:val="000000" w:themeColor="text1"/>
        </w:rPr>
        <w:lastRenderedPageBreak/>
        <w:t>researchers to link changes in the volatile profile, sensory perception, and transcriptome of sweet basil under different light conditions.</w:t>
      </w:r>
    </w:p>
    <w:p w14:paraId="6686EE6B" w14:textId="77777777" w:rsidR="00BB138C" w:rsidRPr="003F0091" w:rsidRDefault="00BB138C" w:rsidP="00BB138C">
      <w:pPr>
        <w:pStyle w:val="MSThesisBodyTextJustified"/>
        <w:rPr>
          <w:color w:val="000000" w:themeColor="text1"/>
          <w:highlight w:val="yellow"/>
        </w:rPr>
      </w:pPr>
      <w:r w:rsidRPr="00A35FEC">
        <w:rPr>
          <w:color w:val="000000" w:themeColor="text1"/>
        </w:rPr>
        <w:t xml:space="preserve">The objective of this study is to determine the influence of </w:t>
      </w:r>
      <w:r>
        <w:rPr>
          <w:color w:val="000000" w:themeColor="text1"/>
        </w:rPr>
        <w:t xml:space="preserve">supplemental lighting </w:t>
      </w:r>
      <w:r w:rsidRPr="00A35FEC">
        <w:rPr>
          <w:color w:val="000000" w:themeColor="text1"/>
        </w:rPr>
        <w:t>spectral quality on the metabolome, sensory perception, and transcriptome of sweet basil. Specifically, the study aims to identify key aroma compounds and DEGs responsible for consumer preference. The findings from this research will provide valuable insights that can be applied in tailoring horticultural lighting systems to optimize the production of high-quality basil with desirable aroma and flavor attributes.</w:t>
      </w:r>
    </w:p>
    <w:p w14:paraId="2E2087CE" w14:textId="40F6878B" w:rsidR="00BB138C" w:rsidRPr="003F0091" w:rsidRDefault="00BB138C" w:rsidP="00BB138C">
      <w:pPr>
        <w:spacing w:line="240" w:lineRule="auto"/>
        <w:rPr>
          <w:rFonts w:cs="Times New Roman"/>
          <w:b/>
          <w:color w:val="000000" w:themeColor="text1"/>
          <w:sz w:val="28"/>
        </w:rPr>
      </w:pPr>
    </w:p>
    <w:p w14:paraId="3106B285" w14:textId="77777777" w:rsidR="00BB138C" w:rsidRPr="003F0091" w:rsidRDefault="00BB138C" w:rsidP="00BB138C">
      <w:pPr>
        <w:pStyle w:val="MastersThesisMainTitle"/>
        <w:rPr>
          <w:color w:val="000000" w:themeColor="text1"/>
        </w:rPr>
      </w:pPr>
      <w:bookmarkStart w:id="651" w:name="_Toc139574852"/>
      <w:bookmarkStart w:id="652" w:name="_Toc141478722"/>
      <w:r w:rsidRPr="00BE1924">
        <w:rPr>
          <w:color w:val="000000" w:themeColor="text1"/>
        </w:rPr>
        <w:t>Materials and Methods</w:t>
      </w:r>
      <w:bookmarkEnd w:id="651"/>
      <w:bookmarkEnd w:id="652"/>
    </w:p>
    <w:p w14:paraId="68FB5322" w14:textId="77777777" w:rsidR="00BB138C" w:rsidRPr="003F0091" w:rsidRDefault="00BB138C" w:rsidP="00BB138C">
      <w:pPr>
        <w:pStyle w:val="MastersThesisSectionHeader"/>
        <w:rPr>
          <w:color w:val="000000" w:themeColor="text1"/>
        </w:rPr>
      </w:pPr>
      <w:bookmarkStart w:id="653" w:name="_Toc139574853"/>
      <w:bookmarkStart w:id="654" w:name="_Toc141478723"/>
      <w:r w:rsidRPr="003F0091">
        <w:rPr>
          <w:color w:val="000000" w:themeColor="text1"/>
        </w:rPr>
        <w:t>Cultural Techniques and Environmental Growing Conditions</w:t>
      </w:r>
      <w:bookmarkEnd w:id="653"/>
      <w:bookmarkEnd w:id="654"/>
    </w:p>
    <w:p w14:paraId="0CB12FBF" w14:textId="77777777" w:rsidR="00BB138C" w:rsidRPr="003F0091" w:rsidRDefault="00BB138C" w:rsidP="00BB138C">
      <w:pPr>
        <w:pStyle w:val="MSThesisBodyTextJustified"/>
        <w:rPr>
          <w:color w:val="000000" w:themeColor="text1"/>
        </w:rPr>
      </w:pPr>
      <w:r w:rsidRPr="003F0091">
        <w:rPr>
          <w:color w:val="000000" w:themeColor="text1"/>
        </w:rPr>
        <w:t xml:space="preserve">This project was conducted at The University of Tennessee Institute of Agriculture (UTIA) in Knoxville, TN, USA (35°56'44.5"N, 83°56'17.3"W). </w:t>
      </w:r>
      <w:r w:rsidRPr="003F0091">
        <w:rPr>
          <w:i/>
          <w:iCs/>
          <w:color w:val="000000" w:themeColor="text1"/>
        </w:rPr>
        <w:t xml:space="preserve">Ocimum Basilicum </w:t>
      </w:r>
      <w:r w:rsidRPr="003F0091">
        <w:rPr>
          <w:color w:val="000000" w:themeColor="text1"/>
        </w:rPr>
        <w:t xml:space="preserve">var. Genovese basil seeds (Johnny’s Select Seeds, Winslow, ME, United States) were germinated in peat moss-based cubes (2 × 2 × 6 cm) (Park’s Bio Dome Sponges, Hodges, SC, United States) at 28.3°C and 95% RH. The ‘Genovese’ variety of sweet basil was specifically chosen because of its complex flavor profile, high market demand, and preference among professional chefs. </w:t>
      </w:r>
    </w:p>
    <w:p w14:paraId="0481778D" w14:textId="77777777" w:rsidR="00BB138C" w:rsidRPr="003F0091" w:rsidRDefault="00BB138C" w:rsidP="00BB138C">
      <w:pPr>
        <w:pStyle w:val="MSThesisBodyTextJustified"/>
        <w:rPr>
          <w:color w:val="000000" w:themeColor="text1"/>
        </w:rPr>
      </w:pPr>
      <w:r w:rsidRPr="003F0091">
        <w:rPr>
          <w:color w:val="000000" w:themeColor="text1"/>
        </w:rPr>
        <w:t xml:space="preserve">After two weeks, seedlings were transferred to nutrient film technique (NFT) hydroponic systems with full-strength general mix nutrient solution; the fertility regime was kept constant across the duration of all seasons. Basil was grown under standard commercial greenhouse conditions. The nutrient solution was kept consistent at 5.9 pH and changed weekly. Elemental nutrient concentrations were as follows (ppm): Nitrogen (207.54), Phosphorous (50.87), Potassium (298.23), Calcium (180.15), Magnesium (77.10), Sulfur (136.45), Iron (3.95), Manganese (0.90), Zinc (0.40), Molybdenum (0.09), Copper (0.90), and Boron (0.90). Water samples were analyzed </w:t>
      </w:r>
      <w:r w:rsidRPr="003F0091">
        <w:rPr>
          <w:color w:val="000000" w:themeColor="text1"/>
        </w:rPr>
        <w:lastRenderedPageBreak/>
        <w:t xml:space="preserve">using Inductively Coupled Plasma Mass Spectrometry (Agilent Technologies, Santa Clara, CA, United States) throughout each experiment to ensure consistent nutrient composition. Total growth time lasted approximately 45 d across all four experimental runs (growing seasons). </w:t>
      </w:r>
    </w:p>
    <w:p w14:paraId="75D4026F" w14:textId="77777777" w:rsidR="00BB138C" w:rsidRPr="003F0091" w:rsidRDefault="00BB138C" w:rsidP="00BB138C">
      <w:pPr>
        <w:pStyle w:val="MSThesisBodyTextJustified"/>
        <w:rPr>
          <w:color w:val="000000" w:themeColor="text1"/>
        </w:rPr>
      </w:pPr>
      <w:r w:rsidRPr="003F0091">
        <w:rPr>
          <w:color w:val="000000" w:themeColor="text1"/>
        </w:rPr>
        <w:t>Day temperatures averaged 28.1 ± 1.5 °C, and night temperatures averaged 21.3 ± 0.4 °C. DLI of the natural light control (i.e., ambient sunlight) averaged 9.9 mol</w:t>
      </w:r>
      <w:r w:rsidRPr="003F0091">
        <w:rPr>
          <w:b/>
          <w:bCs/>
          <w:color w:val="000000" w:themeColor="text1"/>
          <w:vertAlign w:val="superscript"/>
        </w:rPr>
        <w:t>.</w:t>
      </w:r>
      <w:r w:rsidRPr="003F0091">
        <w:rPr>
          <w:color w:val="000000" w:themeColor="text1"/>
        </w:rPr>
        <w:t>m</w:t>
      </w:r>
      <w:r w:rsidRPr="003F0091">
        <w:rPr>
          <w:color w:val="000000" w:themeColor="text1"/>
          <w:vertAlign w:val="superscript"/>
        </w:rPr>
        <w:t>-2</w:t>
      </w:r>
      <w:r w:rsidRPr="003F0091">
        <w:rPr>
          <w:b/>
          <w:bCs/>
          <w:color w:val="000000" w:themeColor="text1"/>
          <w:vertAlign w:val="superscript"/>
        </w:rPr>
        <w:t>.</w:t>
      </w:r>
      <w:r w:rsidRPr="003F0091">
        <w:rPr>
          <w:color w:val="000000" w:themeColor="text1"/>
        </w:rPr>
        <w:t>d</w:t>
      </w:r>
      <w:r w:rsidRPr="003F0091">
        <w:rPr>
          <w:color w:val="000000" w:themeColor="text1"/>
          <w:vertAlign w:val="superscript"/>
        </w:rPr>
        <w:t>-1</w:t>
      </w:r>
      <w:r w:rsidRPr="003F0091">
        <w:rPr>
          <w:color w:val="000000" w:themeColor="text1"/>
        </w:rPr>
        <w:t xml:space="preserve"> across all four growing seasons (daily average ranging from 4 to 20 mol</w:t>
      </w:r>
      <w:r w:rsidRPr="003F0091">
        <w:rPr>
          <w:b/>
          <w:bCs/>
          <w:color w:val="000000" w:themeColor="text1"/>
          <w:vertAlign w:val="superscript"/>
        </w:rPr>
        <w:t>.</w:t>
      </w:r>
      <w:r w:rsidRPr="003F0091">
        <w:rPr>
          <w:color w:val="000000" w:themeColor="text1"/>
        </w:rPr>
        <w:t>m</w:t>
      </w:r>
      <w:r w:rsidRPr="003F0091">
        <w:rPr>
          <w:color w:val="000000" w:themeColor="text1"/>
          <w:vertAlign w:val="superscript"/>
        </w:rPr>
        <w:t>-2</w:t>
      </w:r>
      <w:r w:rsidRPr="003F0091">
        <w:rPr>
          <w:b/>
          <w:bCs/>
          <w:color w:val="000000" w:themeColor="text1"/>
          <w:vertAlign w:val="superscript"/>
        </w:rPr>
        <w:t>.</w:t>
      </w:r>
      <w:r w:rsidRPr="003F0091">
        <w:rPr>
          <w:color w:val="000000" w:themeColor="text1"/>
        </w:rPr>
        <w:t>d</w:t>
      </w:r>
      <w:r w:rsidRPr="003F0091">
        <w:rPr>
          <w:color w:val="000000" w:themeColor="text1"/>
          <w:vertAlign w:val="superscript"/>
        </w:rPr>
        <w:t>-1</w:t>
      </w:r>
      <w:r w:rsidRPr="003F0091">
        <w:rPr>
          <w:color w:val="000000" w:themeColor="text1"/>
        </w:rPr>
        <w:t>). Each hydroponic system (treatment) received similar amounts of cumulative ambient sunlight (DLI of ± 0.5 mol</w:t>
      </w:r>
      <w:r w:rsidRPr="003F0091">
        <w:rPr>
          <w:b/>
          <w:bCs/>
          <w:color w:val="000000" w:themeColor="text1"/>
          <w:vertAlign w:val="superscript"/>
        </w:rPr>
        <w:t>.</w:t>
      </w:r>
      <w:r w:rsidRPr="003F0091">
        <w:rPr>
          <w:color w:val="000000" w:themeColor="text1"/>
        </w:rPr>
        <w:t>m</w:t>
      </w:r>
      <w:r w:rsidRPr="003F0091">
        <w:rPr>
          <w:color w:val="000000" w:themeColor="text1"/>
          <w:vertAlign w:val="superscript"/>
        </w:rPr>
        <w:t>-2</w:t>
      </w:r>
      <w:r w:rsidRPr="003F0091">
        <w:rPr>
          <w:b/>
          <w:bCs/>
          <w:color w:val="000000" w:themeColor="text1"/>
          <w:vertAlign w:val="superscript"/>
        </w:rPr>
        <w:t>.</w:t>
      </w:r>
      <w:r w:rsidRPr="003F0091">
        <w:rPr>
          <w:color w:val="000000" w:themeColor="text1"/>
        </w:rPr>
        <w:t>d</w:t>
      </w:r>
      <w:r w:rsidRPr="003F0091">
        <w:rPr>
          <w:color w:val="000000" w:themeColor="text1"/>
          <w:vertAlign w:val="superscript"/>
        </w:rPr>
        <w:t xml:space="preserve">-1 </w:t>
      </w:r>
      <w:r w:rsidRPr="003F0091">
        <w:rPr>
          <w:color w:val="000000" w:themeColor="text1"/>
        </w:rPr>
        <w:t xml:space="preserve">across treatments) throughout the four growing seasons, in addition to the prescribed SL regime. Relative humidity during the growth period averaged 55%. </w:t>
      </w:r>
    </w:p>
    <w:p w14:paraId="616E4E97" w14:textId="560BCA6B" w:rsidR="00BB138C" w:rsidRPr="003F0091" w:rsidRDefault="00BB138C" w:rsidP="00BB138C">
      <w:pPr>
        <w:pStyle w:val="MSThesisBodyTextJustified"/>
        <w:rPr>
          <w:color w:val="000000" w:themeColor="text1"/>
        </w:rPr>
      </w:pPr>
      <w:r w:rsidRPr="003F0091">
        <w:rPr>
          <w:color w:val="000000" w:themeColor="text1"/>
        </w:rPr>
        <w:t xml:space="preserve">Two experimental cycles were performed to determine differences between summer and winter growing seasons under greenhouse conditions; further, how the interaction between SL and changes in ambient sunlight across growing seasons influences basil VOC profiles, human sensory perception, and changes in genetic expression. Tissue samples for all three experimental methodologies in this study were harvested same day.  Specific growing parameters for each of the seasons may be found in Table </w:t>
      </w:r>
      <w:r w:rsidR="00BA2365" w:rsidRPr="00BA2365">
        <w:t>5.</w:t>
      </w:r>
      <w:r w:rsidRPr="003F0091">
        <w:rPr>
          <w:color w:val="000000" w:themeColor="text1"/>
        </w:rPr>
        <w:t xml:space="preserve">1, which were collected using greenhouse control sensors (PRIVA, Ontario, CA), WatchDog 2000 Series sensors (Spectrum Technologies, Aurora, IL, USA), and PS-200 Apogee Spectroradiometer (Apogee Instruments, Logan, UT, USA). </w:t>
      </w:r>
    </w:p>
    <w:p w14:paraId="5FC9D0D8" w14:textId="77777777" w:rsidR="00BB138C" w:rsidRPr="003F0091" w:rsidRDefault="00BB138C" w:rsidP="00BB138C">
      <w:pPr>
        <w:pStyle w:val="MastersThesisSectionHeader"/>
      </w:pPr>
    </w:p>
    <w:p w14:paraId="5C5DCE13" w14:textId="77777777" w:rsidR="00BB138C" w:rsidRPr="003F0091" w:rsidRDefault="00BB138C" w:rsidP="00BB138C">
      <w:pPr>
        <w:pStyle w:val="MastersThesisSectionHeader"/>
        <w:rPr>
          <w:color w:val="000000" w:themeColor="text1"/>
        </w:rPr>
      </w:pPr>
      <w:bookmarkStart w:id="655" w:name="_Toc139574854"/>
      <w:bookmarkStart w:id="656" w:name="_Toc141478724"/>
      <w:r w:rsidRPr="003F0091">
        <w:rPr>
          <w:color w:val="000000" w:themeColor="text1"/>
        </w:rPr>
        <w:t>Light Treatments</w:t>
      </w:r>
      <w:bookmarkEnd w:id="655"/>
      <w:bookmarkEnd w:id="656"/>
    </w:p>
    <w:p w14:paraId="15B7A66A" w14:textId="04F78E00" w:rsidR="00BB138C" w:rsidRPr="003F0091" w:rsidRDefault="00BB138C" w:rsidP="00BB138C">
      <w:pPr>
        <w:pStyle w:val="MSThesisBodyTextJustified"/>
        <w:rPr>
          <w:color w:val="000000" w:themeColor="text1"/>
        </w:rPr>
      </w:pPr>
      <w:r w:rsidRPr="003F0091">
        <w:rPr>
          <w:color w:val="000000" w:themeColor="text1"/>
        </w:rPr>
        <w:t xml:space="preserve">This experiment evaluated the impact of discrete narrowband and broadband wavelength combinations from SL systems on tissue concentrations of plant volatile organic compounds (PVOCs) pertinent to flavor/aroma profile and human sensory perception. A Randomized Complete Block Design was used to set up the lighting treatments in this experiment, and lighting </w:t>
      </w:r>
      <w:r w:rsidRPr="003F0091">
        <w:rPr>
          <w:color w:val="000000" w:themeColor="text1"/>
        </w:rPr>
        <w:lastRenderedPageBreak/>
        <w:t xml:space="preserve">treatments were moved between growing seasons to account for potential greenhouse shading effects. Narrowband B/R LEDs </w:t>
      </w:r>
      <w:r w:rsidR="0097577E">
        <w:rPr>
          <w:color w:val="000000" w:themeColor="text1"/>
          <w:shd w:val="clear" w:color="auto" w:fill="FFFFFF"/>
        </w:rPr>
        <w:t xml:space="preserve">(447 and 647 nm </w:t>
      </w:r>
      <w:r w:rsidR="0097577E" w:rsidRPr="003F0091">
        <w:rPr>
          <w:color w:val="000000" w:themeColor="text1"/>
        </w:rPr>
        <w:t>±</w:t>
      </w:r>
      <w:r w:rsidR="0097577E">
        <w:rPr>
          <w:color w:val="000000" w:themeColor="text1"/>
        </w:rPr>
        <w:t xml:space="preserve"> 20 nm</w:t>
      </w:r>
      <w:r w:rsidR="0097577E">
        <w:rPr>
          <w:color w:val="000000" w:themeColor="text1"/>
          <w:shd w:val="clear" w:color="auto" w:fill="FFFFFF"/>
        </w:rPr>
        <w:t xml:space="preserve">) </w:t>
      </w:r>
      <w:r w:rsidRPr="003F0091">
        <w:rPr>
          <w:color w:val="000000" w:themeColor="text1"/>
        </w:rPr>
        <w:t xml:space="preserve">(Fluence Bioengineering, Austin, TX), Broadband White LEDs </w:t>
      </w:r>
      <w:r w:rsidR="0097577E">
        <w:rPr>
          <w:color w:val="000000" w:themeColor="text1"/>
        </w:rPr>
        <w:t xml:space="preserve">(5600 K) </w:t>
      </w:r>
      <w:r w:rsidRPr="003F0091">
        <w:rPr>
          <w:color w:val="000000" w:themeColor="text1"/>
        </w:rPr>
        <w:t>(Fluence Bioengineering, Austin, TX), and HPS lamps (Hortilux DE, Mentor OH) provided 8.64 mol</w:t>
      </w:r>
      <w:r w:rsidRPr="003F0091">
        <w:rPr>
          <w:b/>
          <w:bCs/>
          <w:color w:val="000000" w:themeColor="text1"/>
          <w:vertAlign w:val="superscript"/>
        </w:rPr>
        <w:t>.</w:t>
      </w:r>
      <w:r w:rsidRPr="003F0091">
        <w:rPr>
          <w:color w:val="000000" w:themeColor="text1"/>
        </w:rPr>
        <w:t>m</w:t>
      </w:r>
      <w:r w:rsidRPr="003F0091">
        <w:rPr>
          <w:color w:val="000000" w:themeColor="text1"/>
          <w:vertAlign w:val="superscript"/>
        </w:rPr>
        <w:t>-2</w:t>
      </w:r>
      <w:r w:rsidRPr="003F0091">
        <w:rPr>
          <w:b/>
          <w:bCs/>
          <w:color w:val="000000" w:themeColor="text1"/>
          <w:vertAlign w:val="superscript"/>
        </w:rPr>
        <w:t>.</w:t>
      </w:r>
      <w:r w:rsidRPr="003F0091">
        <w:rPr>
          <w:color w:val="000000" w:themeColor="text1"/>
        </w:rPr>
        <w:t>d</w:t>
      </w:r>
      <w:r w:rsidRPr="003F0091">
        <w:rPr>
          <w:color w:val="000000" w:themeColor="text1"/>
          <w:vertAlign w:val="superscript"/>
        </w:rPr>
        <w:t>-1</w:t>
      </w:r>
      <w:r w:rsidRPr="003F0091">
        <w:rPr>
          <w:color w:val="000000" w:themeColor="text1"/>
        </w:rPr>
        <w:t xml:space="preserve"> (equal intensity of 100 µmol</w:t>
      </w:r>
      <w:r w:rsidRPr="003F0091">
        <w:rPr>
          <w:b/>
          <w:color w:val="000000" w:themeColor="text1"/>
          <w:vertAlign w:val="superscript"/>
        </w:rPr>
        <w:t>.</w:t>
      </w:r>
      <w:r w:rsidRPr="003F0091">
        <w:rPr>
          <w:color w:val="000000" w:themeColor="text1"/>
        </w:rPr>
        <w:t>m</w:t>
      </w:r>
      <w:r w:rsidRPr="003F0091">
        <w:rPr>
          <w:color w:val="000000" w:themeColor="text1"/>
          <w:vertAlign w:val="superscript"/>
        </w:rPr>
        <w:t>-2</w:t>
      </w:r>
      <w:r w:rsidRPr="003F0091">
        <w:rPr>
          <w:b/>
          <w:color w:val="000000" w:themeColor="text1"/>
          <w:vertAlign w:val="superscript"/>
        </w:rPr>
        <w:t>.</w:t>
      </w:r>
      <w:r w:rsidRPr="003F0091">
        <w:rPr>
          <w:color w:val="000000" w:themeColor="text1"/>
        </w:rPr>
        <w:t>s</w:t>
      </w:r>
      <w:r w:rsidRPr="003F0091">
        <w:rPr>
          <w:color w:val="000000" w:themeColor="text1"/>
          <w:vertAlign w:val="superscript"/>
        </w:rPr>
        <w:t xml:space="preserve">-1 </w:t>
      </w:r>
      <w:r w:rsidRPr="003F0091">
        <w:rPr>
          <w:color w:val="000000" w:themeColor="text1"/>
        </w:rPr>
        <w:t>for 24 h</w:t>
      </w:r>
      <w:r w:rsidRPr="003F0091">
        <w:rPr>
          <w:b/>
          <w:color w:val="000000" w:themeColor="text1"/>
          <w:vertAlign w:val="superscript"/>
        </w:rPr>
        <w:t>.</w:t>
      </w:r>
      <w:r w:rsidRPr="003F0091">
        <w:rPr>
          <w:color w:val="000000" w:themeColor="text1"/>
        </w:rPr>
        <w:t>d</w:t>
      </w:r>
      <w:r w:rsidRPr="003F0091">
        <w:rPr>
          <w:color w:val="000000" w:themeColor="text1"/>
          <w:vertAlign w:val="superscript"/>
        </w:rPr>
        <w:t>-1</w:t>
      </w:r>
      <w:r w:rsidRPr="003F0091">
        <w:rPr>
          <w:color w:val="000000" w:themeColor="text1"/>
        </w:rPr>
        <w:t xml:space="preserve">) for each SL treatment, in addition to natural sunlight (Fig. </w:t>
      </w:r>
      <w:r w:rsidR="002C1096" w:rsidRPr="002C1096">
        <w:t>5.</w:t>
      </w:r>
      <w:r w:rsidRPr="003F0091">
        <w:rPr>
          <w:color w:val="000000" w:themeColor="text1"/>
        </w:rPr>
        <w:t>1). A natural light (NL) control was established to determine how ambient sunlight and SL influenced plant secondary metabolism. Each SL treatment uniformly provided 100 ± 2.5 µmol</w:t>
      </w:r>
      <w:r w:rsidRPr="003F0091">
        <w:rPr>
          <w:b/>
          <w:color w:val="000000" w:themeColor="text1"/>
          <w:vertAlign w:val="superscript"/>
        </w:rPr>
        <w:t>.</w:t>
      </w:r>
      <w:r w:rsidRPr="003F0091">
        <w:rPr>
          <w:color w:val="000000" w:themeColor="text1"/>
        </w:rPr>
        <w:t>m</w:t>
      </w:r>
      <w:r w:rsidRPr="003F0091">
        <w:rPr>
          <w:color w:val="000000" w:themeColor="text1"/>
          <w:vertAlign w:val="superscript"/>
        </w:rPr>
        <w:t>-2</w:t>
      </w:r>
      <w:r w:rsidRPr="003F0091">
        <w:rPr>
          <w:b/>
          <w:color w:val="000000" w:themeColor="text1"/>
          <w:vertAlign w:val="superscript"/>
        </w:rPr>
        <w:t>.</w:t>
      </w:r>
      <w:r w:rsidRPr="003F0091">
        <w:rPr>
          <w:color w:val="000000" w:themeColor="text1"/>
        </w:rPr>
        <w:t>s</w:t>
      </w:r>
      <w:r w:rsidRPr="003F0091">
        <w:rPr>
          <w:color w:val="000000" w:themeColor="text1"/>
          <w:vertAlign w:val="superscript"/>
        </w:rPr>
        <w:t xml:space="preserve">-1 </w:t>
      </w:r>
      <w:r w:rsidRPr="003F0091">
        <w:rPr>
          <w:color w:val="000000" w:themeColor="text1"/>
        </w:rPr>
        <w:t xml:space="preserve">across the treatment area throughout the entire duration of the experiment (uniform intensity and spectral quality distribution verified weekly after dark using an average of 5 measurements in a 1 m x 1 m Z pattern across treatment, level with canopy top). LED treatments were 1 m above the hydroponic system, and HPS lamps were 1.5 m above hydroponic systems. The Fluence LED systems consisted of three equally spaced meter-long alternating blue/red bars with adjustable spectral and intensity control, designed to uniformly illuminate 1.2 m x 1.2 m (both spectral quality and intensity). Dimmable HPS lamps were placed in targeted reflectors to reduce SL treatment bleed-over and allow for precise intensity control and uniformity across the 1.2 m x 1.2 m treatment areas. As crops grew, SL intensities were adjusted using dimmers to the target intensity 4-5 times per week (after dark) using a PS-200 Apogee Spectroradiometer (Apogee Instruments, Logan, UT, USA). The intensity and duration of the lighting treatments in this experiment were selected based on current literature with the intention of maximizing the production of key secondary metabolites known to influence flavor perception in basil.  Average ambient solar spectrum and supplemental lighting spectra have been provided in Figures </w:t>
      </w:r>
      <w:r w:rsidR="002C1096" w:rsidRPr="00BA2365">
        <w:t>5.</w:t>
      </w:r>
      <w:r w:rsidRPr="003F0091">
        <w:rPr>
          <w:color w:val="000000" w:themeColor="text1"/>
        </w:rPr>
        <w:t xml:space="preserve">1 and </w:t>
      </w:r>
      <w:r w:rsidR="002C1096" w:rsidRPr="00BA2365">
        <w:t>5.</w:t>
      </w:r>
      <w:r w:rsidRPr="003F0091">
        <w:rPr>
          <w:color w:val="000000" w:themeColor="text1"/>
        </w:rPr>
        <w:t>2.</w:t>
      </w:r>
    </w:p>
    <w:p w14:paraId="4177FF7C" w14:textId="77777777" w:rsidR="00BB138C" w:rsidRPr="003F0091" w:rsidRDefault="00BB138C" w:rsidP="00BB138C">
      <w:pPr>
        <w:pStyle w:val="MSThesisBodyTextJustified"/>
        <w:rPr>
          <w:color w:val="000000" w:themeColor="text1"/>
        </w:rPr>
      </w:pPr>
      <w:r w:rsidRPr="003F0091">
        <w:rPr>
          <w:color w:val="000000" w:themeColor="text1"/>
        </w:rPr>
        <w:t xml:space="preserve">Lighting treatments were randomized after each experimental cycle to account for seasonal variations in NL intensity, spectral quality, and potential temperature variation within the </w:t>
      </w:r>
      <w:r w:rsidRPr="003F0091">
        <w:rPr>
          <w:color w:val="000000" w:themeColor="text1"/>
        </w:rPr>
        <w:lastRenderedPageBreak/>
        <w:t xml:space="preserve">greenhouse bay. Each measurement unit consisted of two plants to improve statistical power and reduce biological variance. Measurement units are presented on a per-plant basis for all data (where applicable). Each treatment is considered an experimental unit. </w:t>
      </w:r>
    </w:p>
    <w:p w14:paraId="3390FCC2" w14:textId="77777777" w:rsidR="00BB138C" w:rsidRPr="003F0091" w:rsidRDefault="00BB138C" w:rsidP="00BB138C">
      <w:pPr>
        <w:pStyle w:val="MSThesisBodyTextJustified"/>
        <w:rPr>
          <w:color w:val="000000" w:themeColor="text1"/>
        </w:rPr>
      </w:pPr>
      <w:r w:rsidRPr="003F0091">
        <w:rPr>
          <w:color w:val="000000" w:themeColor="text1"/>
        </w:rPr>
        <w:t xml:space="preserve">Each SL treatment was physically separated to ensure no bleed-over effects between treatments (average of 1.1 </w:t>
      </w:r>
      <w:r w:rsidRPr="003F0091">
        <w:rPr>
          <w:color w:val="000000" w:themeColor="text1"/>
          <w:shd w:val="clear" w:color="auto" w:fill="FFFFFF"/>
        </w:rPr>
        <w:t>±</w:t>
      </w:r>
      <w:r w:rsidRPr="003F0091">
        <w:rPr>
          <w:color w:val="000000" w:themeColor="text1"/>
        </w:rPr>
        <w:t xml:space="preserve"> 0.6 µmol</w:t>
      </w:r>
      <w:r w:rsidRPr="003F0091">
        <w:rPr>
          <w:b/>
          <w:color w:val="000000" w:themeColor="text1"/>
          <w:vertAlign w:val="superscript"/>
        </w:rPr>
        <w:t>.</w:t>
      </w:r>
      <w:r w:rsidRPr="003F0091">
        <w:rPr>
          <w:color w:val="000000" w:themeColor="text1"/>
        </w:rPr>
        <w:t>m</w:t>
      </w:r>
      <w:r w:rsidRPr="003F0091">
        <w:rPr>
          <w:color w:val="000000" w:themeColor="text1"/>
          <w:vertAlign w:val="superscript"/>
        </w:rPr>
        <w:t>-2</w:t>
      </w:r>
      <w:r w:rsidRPr="003F0091">
        <w:rPr>
          <w:b/>
          <w:color w:val="000000" w:themeColor="text1"/>
          <w:vertAlign w:val="superscript"/>
        </w:rPr>
        <w:t>.</w:t>
      </w:r>
      <w:r w:rsidRPr="003F0091">
        <w:rPr>
          <w:color w:val="000000" w:themeColor="text1"/>
        </w:rPr>
        <w:t>s</w:t>
      </w:r>
      <w:r w:rsidRPr="003F0091">
        <w:rPr>
          <w:color w:val="000000" w:themeColor="text1"/>
          <w:vertAlign w:val="superscript"/>
        </w:rPr>
        <w:t xml:space="preserve">-1 </w:t>
      </w:r>
      <w:r w:rsidRPr="003F0091">
        <w:rPr>
          <w:color w:val="000000" w:themeColor="text1"/>
        </w:rPr>
        <w:t>SL bleed-over at the treatment edges). 1.2 m x 1.2 m sections of basil were grown, with 1.2 m separation between treatments (i.e., measurement edge-to-edge of hydroponic systems within the greenhouse). Tissue samples were only harvested from within the middle 0.6 m of each treatment to ensure further reduction of SL contamination between treatments (0.3 m around the edge of each treatment was considered the buffer zone and was not used for sampling). SL bleed-over was &lt;0.1 µmol</w:t>
      </w:r>
      <w:r w:rsidRPr="003F0091">
        <w:rPr>
          <w:b/>
          <w:color w:val="000000" w:themeColor="text1"/>
          <w:vertAlign w:val="superscript"/>
        </w:rPr>
        <w:t>.</w:t>
      </w:r>
      <w:r w:rsidRPr="003F0091">
        <w:rPr>
          <w:color w:val="000000" w:themeColor="text1"/>
        </w:rPr>
        <w:t>m</w:t>
      </w:r>
      <w:r w:rsidRPr="003F0091">
        <w:rPr>
          <w:color w:val="000000" w:themeColor="text1"/>
          <w:vertAlign w:val="superscript"/>
        </w:rPr>
        <w:t>-2</w:t>
      </w:r>
      <w:r w:rsidRPr="003F0091">
        <w:rPr>
          <w:b/>
          <w:color w:val="000000" w:themeColor="text1"/>
          <w:vertAlign w:val="superscript"/>
        </w:rPr>
        <w:t>.</w:t>
      </w:r>
      <w:r w:rsidRPr="003F0091">
        <w:rPr>
          <w:color w:val="000000" w:themeColor="text1"/>
        </w:rPr>
        <w:t>s</w:t>
      </w:r>
      <w:r w:rsidRPr="003F0091">
        <w:rPr>
          <w:color w:val="000000" w:themeColor="text1"/>
          <w:vertAlign w:val="superscript"/>
        </w:rPr>
        <w:t xml:space="preserve">-1 </w:t>
      </w:r>
      <w:r w:rsidRPr="003F0091">
        <w:rPr>
          <w:color w:val="000000" w:themeColor="text1"/>
        </w:rPr>
        <w:t>within the harvest zone of each treatment (i.e., below the instrumentation detection limit). Harvests for all sample collection types occurred directly after sunrise, and samples were immediately sealed and frozen in liquid nitrogen, then transferred to a -80 °C freezer until the time of analysis to preserve all volatile compounds and inhibit post-harvest changes to metabolism. Under these circumstances, SL treatment bleed-over was deemed non-significant; therefore, physical barriers (i.e., plastic sheets, boards, etc.) were not utilized because of potential deleterious experimental effects (i.e., interaction with ambient sunlight intensity/DLI, reduced airflow, isolated microclimates leading to air temperature variability, etc.). SL treatments were randomized each season to eliminate the potential for DLI and air temperature variability within the greenhouse bay.</w:t>
      </w:r>
    </w:p>
    <w:p w14:paraId="5C3D679B" w14:textId="77777777" w:rsidR="00BB138C" w:rsidRPr="003F0091" w:rsidRDefault="00BB138C" w:rsidP="00BB138C">
      <w:pPr>
        <w:spacing w:line="240" w:lineRule="auto"/>
        <w:rPr>
          <w:rFonts w:cs="Times New Roman"/>
          <w:b/>
          <w:bCs/>
          <w:i/>
          <w:iCs/>
          <w:color w:val="000000" w:themeColor="text1"/>
        </w:rPr>
      </w:pPr>
    </w:p>
    <w:p w14:paraId="3ABC89F0" w14:textId="77777777" w:rsidR="00BB138C" w:rsidRPr="003F0091" w:rsidRDefault="00BB138C" w:rsidP="00BB138C">
      <w:pPr>
        <w:spacing w:line="240" w:lineRule="auto"/>
        <w:rPr>
          <w:rFonts w:cs="Times New Roman"/>
          <w:b/>
          <w:bCs/>
          <w:i/>
          <w:iCs/>
          <w:color w:val="000000" w:themeColor="text1"/>
        </w:rPr>
      </w:pPr>
    </w:p>
    <w:p w14:paraId="6E0493DA" w14:textId="77777777" w:rsidR="00BB138C" w:rsidRPr="003F0091" w:rsidRDefault="00BB138C" w:rsidP="00BB138C">
      <w:pPr>
        <w:pStyle w:val="MastersThesisSectionHeader"/>
        <w:rPr>
          <w:color w:val="000000" w:themeColor="text1"/>
        </w:rPr>
      </w:pPr>
      <w:bookmarkStart w:id="657" w:name="_Toc139574855"/>
      <w:bookmarkStart w:id="658" w:name="_Toc141478725"/>
      <w:r w:rsidRPr="003F0091">
        <w:rPr>
          <w:color w:val="000000" w:themeColor="text1"/>
        </w:rPr>
        <w:t>Headspace Gas Chromatography and Mass Spectrometry Method</w:t>
      </w:r>
      <w:bookmarkEnd w:id="657"/>
      <w:bookmarkEnd w:id="658"/>
    </w:p>
    <w:p w14:paraId="40A8FFF7" w14:textId="0BB8E51E" w:rsidR="00BB138C" w:rsidRPr="003F0091" w:rsidRDefault="00BB138C" w:rsidP="00BB138C">
      <w:pPr>
        <w:pStyle w:val="MSThesisBodyTextJustified"/>
        <w:rPr>
          <w:color w:val="000000" w:themeColor="text1"/>
        </w:rPr>
      </w:pPr>
      <w:r w:rsidRPr="003F0091">
        <w:rPr>
          <w:color w:val="000000" w:themeColor="text1"/>
        </w:rPr>
        <w:t xml:space="preserve">Our research group developed </w:t>
      </w:r>
      <w:r w:rsidRPr="003F0091">
        <w:rPr>
          <w:noProof/>
          <w:color w:val="000000" w:themeColor="text1"/>
        </w:rPr>
        <w:t>(</w:t>
      </w:r>
      <w:r w:rsidRPr="002C446A">
        <w:rPr>
          <w:rFonts w:cstheme="minorBidi"/>
        </w:rPr>
        <w:t>Barickman et al., 2017</w:t>
      </w:r>
      <w:r w:rsidRPr="003F0091">
        <w:rPr>
          <w:noProof/>
          <w:color w:val="000000" w:themeColor="text1"/>
        </w:rPr>
        <w:t>)</w:t>
      </w:r>
      <w:r w:rsidRPr="003F0091">
        <w:rPr>
          <w:color w:val="000000" w:themeColor="text1"/>
        </w:rPr>
        <w:t xml:space="preserve"> and optimized </w:t>
      </w:r>
      <w:r w:rsidRPr="003F0091">
        <w:rPr>
          <w:noProof/>
          <w:color w:val="000000" w:themeColor="text1"/>
        </w:rPr>
        <w:t>(</w:t>
      </w:r>
      <w:r w:rsidRPr="002C446A">
        <w:rPr>
          <w:rFonts w:cstheme="minorBidi"/>
        </w:rPr>
        <w:t>Hammock and Sams, 2023</w:t>
      </w:r>
      <w:r w:rsidRPr="003F0091">
        <w:rPr>
          <w:noProof/>
          <w:color w:val="000000" w:themeColor="text1"/>
        </w:rPr>
        <w:t>)</w:t>
      </w:r>
      <w:r w:rsidRPr="003F0091">
        <w:rPr>
          <w:color w:val="000000" w:themeColor="text1"/>
        </w:rPr>
        <w:t xml:space="preserve"> an HS GC-MS protocol, which was used for this experiment. Three g of fresh leaf </w:t>
      </w:r>
      <w:r w:rsidRPr="003F0091">
        <w:rPr>
          <w:color w:val="000000" w:themeColor="text1"/>
        </w:rPr>
        <w:lastRenderedPageBreak/>
        <w:t>tissue (two basil plants per sample rep, 1.5 g of representative material from each plant, nodes four and eight) were placed in 20 mL borosilicate glass vials, then immediately frozen in liquid nitrogen, and stored in a -80 ºC freezer until time of analysis. Samples were run within 72 hours of collection. Frozen samples were placed onto a Network Headspace Sampler (Agilent G1888, Santa Clara, CA, United States). Ten sample rep</w:t>
      </w:r>
      <w:r w:rsidR="0097577E">
        <w:rPr>
          <w:color w:val="000000" w:themeColor="text1"/>
        </w:rPr>
        <w:t xml:space="preserve">lications </w:t>
      </w:r>
      <w:r w:rsidRPr="003F0091">
        <w:rPr>
          <w:color w:val="000000" w:themeColor="text1"/>
        </w:rPr>
        <w:t xml:space="preserve">were used per treatment. Samples were heated to 80 ºC for 10 min and pressurized with Helium (Air Gas, analytical purity) to 95.21 kPa for 1 min. The tube was then vented for 1 min into the headspace transfer line (110 ºC) and injected (port at 250 ºC) into the GC (Agilent Technologies 6890N Network GC System). The volatiles were separated by an HP-5MS capillary column ((5%-Phenyl)-methylpolysiloxane, length: 30 m, ID: 0.250 mm, film thickness: 1 µm, Agilent Technologies) using analytical purity Helium carrier gas at 95.21 kPa with constant column pressure. At the start of data acquisition, the temperature was held at 40 ºC for 5 min, ramped up from 40 ºC to 250 ºC (5 ºC per min), then held constant for the duration of the run. The total run time was 70 min, including post-run and cool-down phases. After sample separation and column elution, the analytes were passed through a mass selective detector (Agilent Technologies 5973 Network Mass Selective Detector) at 250 ºC and collected over the course of the sample run. The transfer line, ion source, and quadrupole temperatures were 250 ºC, 230 ºC, and 170 ºC, respectively. The full scan mass range was set to 40-550 m/z (threshold: 150). </w:t>
      </w:r>
    </w:p>
    <w:p w14:paraId="2E70849E" w14:textId="77777777" w:rsidR="00BB138C" w:rsidRPr="003F0091" w:rsidRDefault="00BB138C" w:rsidP="00BB138C">
      <w:pPr>
        <w:pStyle w:val="MSThesisBodyTextJustified"/>
        <w:rPr>
          <w:color w:val="000000" w:themeColor="text1"/>
        </w:rPr>
      </w:pPr>
      <w:r w:rsidRPr="003F0091">
        <w:rPr>
          <w:color w:val="000000" w:themeColor="text1"/>
        </w:rPr>
        <w:t xml:space="preserve">Agilent ChemStation was used for data collection and processing. Over 200 separate compounds were identified throughout this experiment, but emphasis was placed on key aroma compounds (i.e., shown in the literature to be essential for human sensory perception and/or plant metabolic processes) that have been calibrated to our GC-MS and HP-5MS column using pure analytical standards (Sigma-Aldrich, St. Louis, MO) to determine leaf tissue emissions of key </w:t>
      </w:r>
      <w:r w:rsidRPr="003F0091">
        <w:rPr>
          <w:color w:val="000000" w:themeColor="text1"/>
        </w:rPr>
        <w:lastRenderedPageBreak/>
        <w:t>VOCs on a fresh plant weight basis. The MS spectra from pure analytical standards and fresh samples were compared to NIST, ADMIS, and our custom basil reference library created from calibrated analytical standards to confirm peak identity and retention times (i.e., compound identity and concentration confirmed above 99% confidence by comparing known target ions and retention time of each compound). MassHunter Workstation Software Version B.06.00 (Agilent Technologies, Inc., 2012) was used to integrate peaks automatically. Relative peak areas and retention times were automatically adjusted based on authentic analytical standards and multiple library references. Over 200 compounds were identified in this experiment, with approximately 50 of those being quantified using pure analytical standards.</w:t>
      </w:r>
    </w:p>
    <w:p w14:paraId="2D9C6BBB" w14:textId="77777777" w:rsidR="00BB138C" w:rsidRPr="003F0091" w:rsidRDefault="00BB138C" w:rsidP="00BB138C">
      <w:pPr>
        <w:pStyle w:val="MSThesisBodyTextJustified"/>
        <w:rPr>
          <w:color w:val="000000" w:themeColor="text1"/>
        </w:rPr>
      </w:pPr>
      <w:r w:rsidRPr="003F0091">
        <w:rPr>
          <w:color w:val="000000" w:themeColor="text1"/>
        </w:rPr>
        <w:t>All volatile concentration units are reported in micro molarity of analyte concentration (suspended in a known volume of gaseous headspace matrix) per g of fresh leaf tissue (µM</w:t>
      </w:r>
      <w:r w:rsidRPr="003F0091">
        <w:rPr>
          <w:color w:val="000000" w:themeColor="text1"/>
        </w:rPr>
        <w:sym w:font="Symbol" w:char="F0D7"/>
      </w:r>
      <w:r w:rsidRPr="003F0091">
        <w:rPr>
          <w:color w:val="000000" w:themeColor="text1"/>
        </w:rPr>
        <w:t>g</w:t>
      </w:r>
      <w:r w:rsidRPr="003F0091">
        <w:rPr>
          <w:color w:val="000000" w:themeColor="text1"/>
          <w:vertAlign w:val="superscript"/>
        </w:rPr>
        <w:t>-1</w:t>
      </w:r>
      <w:r w:rsidRPr="003F0091">
        <w:rPr>
          <w:color w:val="000000" w:themeColor="text1"/>
        </w:rPr>
        <w:t xml:space="preserve"> FM) to represent VOC emissions most accurately from the collected headspace sample above fresh plant tissues under specific reproducible analytical conditions. This unit (compared to µmol</w:t>
      </w:r>
      <w:r w:rsidRPr="003F0091">
        <w:rPr>
          <w:color w:val="000000" w:themeColor="text1"/>
        </w:rPr>
        <w:sym w:font="Symbol" w:char="F0D7"/>
      </w:r>
      <w:r w:rsidRPr="003F0091">
        <w:rPr>
          <w:color w:val="000000" w:themeColor="text1"/>
        </w:rPr>
        <w:t>g</w:t>
      </w:r>
      <w:r w:rsidRPr="003F0091">
        <w:rPr>
          <w:color w:val="000000" w:themeColor="text1"/>
          <w:vertAlign w:val="superscript"/>
        </w:rPr>
        <w:t>-1</w:t>
      </w:r>
      <w:r w:rsidRPr="003F0091">
        <w:rPr>
          <w:color w:val="000000" w:themeColor="text1"/>
        </w:rPr>
        <w:t xml:space="preserve"> FM) was utilized because of its commonality in biological headspace GC-MS sampling and incorporates the concentration of each analyte per unit volume of headspace gas above the plant tissue (i.e., samples the dynamic and complex gaseous matrix which contains numerous pertinent VOCs), which is important for sensory-based studies. This provides the foundation for future sensory panel experiments aimed at determining the influence of light on consumer acceptance and preference of basil aroma profiles.</w:t>
      </w:r>
    </w:p>
    <w:p w14:paraId="64DD9F9A" w14:textId="73F4C51E" w:rsidR="00BB138C" w:rsidRPr="003F0091" w:rsidRDefault="00BB138C" w:rsidP="00BB138C">
      <w:pPr>
        <w:pStyle w:val="MSThesisBodyTextJustified"/>
        <w:rPr>
          <w:color w:val="000000" w:themeColor="text1"/>
        </w:rPr>
      </w:pPr>
      <w:r w:rsidRPr="003F0091">
        <w:rPr>
          <w:color w:val="000000" w:themeColor="text1"/>
        </w:rPr>
        <w:t xml:space="preserve">GC-MS data were statistically analyzed using GLIMMIX and Mixed Model Analysis of Variance (p = 0.05) procedures using the statistical software SAS (version 9.4, SAS Institute, Cary, NC). Design and Analysis macro (DandA.sas), created by Dr. Arnold Saxton, was utilized in addition to Tukey’s adjustment, regression analysis, and univariate/normalization procedures to </w:t>
      </w:r>
      <w:r w:rsidRPr="003F0091">
        <w:rPr>
          <w:color w:val="000000" w:themeColor="text1"/>
        </w:rPr>
        <w:lastRenderedPageBreak/>
        <w:t xml:space="preserve">provide additional statistical insights on the complete data set. Treatments and seasons were separated by Tukey’s honestly significant difference (HSD) at </w:t>
      </w:r>
      <w:r w:rsidRPr="003F0091">
        <w:rPr>
          <w:color w:val="000000" w:themeColor="text1"/>
        </w:rPr>
        <w:sym w:font="Symbol" w:char="F061"/>
      </w:r>
      <w:r w:rsidRPr="003F0091">
        <w:rPr>
          <w:color w:val="000000" w:themeColor="text1"/>
        </w:rPr>
        <w:t xml:space="preserve">=0.05. Due to the overwhelming number of compounds analyzed, only statically significant separations of compounds with known plant physiological function and/or human sensory impact were reported in this study (Tables </w:t>
      </w:r>
      <w:r w:rsidR="00580941" w:rsidRPr="00BA2365">
        <w:t>5.</w:t>
      </w:r>
      <w:r w:rsidRPr="003F0091">
        <w:rPr>
          <w:color w:val="000000" w:themeColor="text1"/>
        </w:rPr>
        <w:t>2-</w:t>
      </w:r>
      <w:r w:rsidR="00580941" w:rsidRPr="00BA2365">
        <w:t>5.</w:t>
      </w:r>
      <w:r w:rsidRPr="003F0091">
        <w:rPr>
          <w:color w:val="000000" w:themeColor="text1"/>
        </w:rPr>
        <w:t xml:space="preserve">7). Ten replicates (leaves from two plants each) were analyzed in each treatment (twelve plants, or six measurement units, per treatment within 0.6 m x 0.6 m harvest zone). Each experimental cycle was repeated across two growing seasons (two experimental cycles). Replicates (6) were nested within treatments (4), which were nested within growing seasons (2). Key volatiles were analyzed and presented on a fresh mass (FM) basis as compared to calibration curves created from pure analytical standards. </w:t>
      </w:r>
    </w:p>
    <w:p w14:paraId="2540B967" w14:textId="77777777" w:rsidR="00BB138C" w:rsidRPr="003F0091" w:rsidRDefault="00BB138C" w:rsidP="00BB138C">
      <w:pPr>
        <w:pStyle w:val="MastersThesisSectionHeader"/>
        <w:rPr>
          <w:highlight w:val="yellow"/>
        </w:rPr>
      </w:pPr>
    </w:p>
    <w:p w14:paraId="3F1571D2" w14:textId="07BBBECB" w:rsidR="00BB138C" w:rsidRPr="003F0091" w:rsidRDefault="00EB2900" w:rsidP="00BB138C">
      <w:pPr>
        <w:pStyle w:val="MastersThesisSectionHeader"/>
        <w:rPr>
          <w:color w:val="000000" w:themeColor="text1"/>
        </w:rPr>
      </w:pPr>
      <w:bookmarkStart w:id="659" w:name="_Toc139574856"/>
      <w:bookmarkStart w:id="660" w:name="_Toc141478726"/>
      <w:r>
        <w:rPr>
          <w:color w:val="000000" w:themeColor="text1"/>
        </w:rPr>
        <w:t xml:space="preserve">Consumer </w:t>
      </w:r>
      <w:r w:rsidR="00BB138C" w:rsidRPr="003F0091">
        <w:rPr>
          <w:color w:val="000000" w:themeColor="text1"/>
        </w:rPr>
        <w:t xml:space="preserve">Sensory </w:t>
      </w:r>
      <w:bookmarkEnd w:id="659"/>
      <w:r>
        <w:rPr>
          <w:color w:val="000000" w:themeColor="text1"/>
        </w:rPr>
        <w:t>Evaluation</w:t>
      </w:r>
      <w:bookmarkEnd w:id="660"/>
    </w:p>
    <w:p w14:paraId="34BC511E" w14:textId="601EAA16" w:rsidR="00BB138C" w:rsidRPr="003F0091" w:rsidRDefault="00BB138C" w:rsidP="00580941">
      <w:pPr>
        <w:pStyle w:val="MSThesisBodyTextJustified"/>
        <w:rPr>
          <w:b/>
          <w:bCs/>
          <w:i/>
          <w:iCs/>
        </w:rPr>
      </w:pPr>
      <w:r w:rsidRPr="003F0091">
        <w:t xml:space="preserve">A consumer acceptance test, as well as check-all-that-apply (CATA) section, was used to measure the effects of lighting treatment and season on flavor profile, consumer liking, and drivers of liking. One hundred untrained basil consumers were recruited for each growing season through an online database </w:t>
      </w:r>
      <w:r w:rsidR="00346997">
        <w:t>(n = 600)</w:t>
      </w:r>
      <w:r w:rsidRPr="003F0091">
        <w:t xml:space="preserve"> managed by the Center for Sensory Science at the University of Tennessee Institute of Agriculture. Prescreening was performed to select eligible participants (i.e., indicated regular basil consumption, as well as no vision, smell, or taste impairments), and participant demographics are listed in Table </w:t>
      </w:r>
      <w:r w:rsidR="00580941" w:rsidRPr="00BA2365">
        <w:t>5.</w:t>
      </w:r>
      <w:r w:rsidRPr="003F0091">
        <w:t xml:space="preserve">8. Participants only smelled basil aroma (olfaction) and did not consume tissue samples. </w:t>
      </w:r>
      <w:r w:rsidR="00EB2900">
        <w:t>All participants signed an informed consent form and were compensated for their time. This experiment was conducted according to the Declaration of Helsinki for studies on human subjects and approved by the University of Tennessee IRB review for research involving human subjects (IRB #).</w:t>
      </w:r>
    </w:p>
    <w:p w14:paraId="3780BED8" w14:textId="1DADADA2" w:rsidR="00BB138C" w:rsidRPr="00580941" w:rsidRDefault="00BB138C" w:rsidP="00580941">
      <w:pPr>
        <w:pStyle w:val="MSThesisBodyTextJustified"/>
        <w:rPr>
          <w:b/>
          <w:bCs/>
          <w:i/>
          <w:iCs/>
        </w:rPr>
      </w:pPr>
      <w:r w:rsidRPr="003F0091">
        <w:lastRenderedPageBreak/>
        <w:t xml:space="preserve">Representative basil samples were collected from each of the four treatments (two leaves from two plants, nodes four and eight, total of four leaves) and delicately placed into 60 mL sealable plastic containers (ULINE, Pleasant Prairie, WI, USA). A small 2 cm x 2 cm piece of damp Kimwipe (Kimberly Clark, Irving, TX, USA) was placed at the bottom of each container to keep the tissue sample hydrated. Basil samples were placed into a chilled cooler (10 ºC) and provided to consumers within 30 min of harvesting. Sensory studies (i.e., tissue sampling and participant olfaction) were conducted from 8 am to 12 pm for both seasons. Participants were given basil from each of the four light treatments in a </w:t>
      </w:r>
      <w:r w:rsidR="00EB2900">
        <w:t>sequential monadic design dictated by a William’s Latin square design</w:t>
      </w:r>
      <w:r w:rsidRPr="003F0091">
        <w:t xml:space="preserve">. The basil was provided at room temperature </w:t>
      </w:r>
      <w:r w:rsidR="00EB2900">
        <w:t>with a random 3-digit blinding code</w:t>
      </w:r>
      <w:r w:rsidRPr="003F0091">
        <w:t xml:space="preserve">. Participants were instructed to open the container to rip the cylinder of basil leaves (into two parts in one swift motion), immediately smell the </w:t>
      </w:r>
      <w:r w:rsidR="00EB2900">
        <w:t>samples</w:t>
      </w:r>
      <w:r w:rsidRPr="003F0091">
        <w:t xml:space="preserve">, and rate the aroma in terms of intensity, overall liking, and CATA. Overall aroma intensity was rated on a 15-cm </w:t>
      </w:r>
      <w:r w:rsidR="00EB2900">
        <w:t>visual analog</w:t>
      </w:r>
      <w:r w:rsidR="00EB2900" w:rsidRPr="003F0091">
        <w:t xml:space="preserve"> </w:t>
      </w:r>
      <w:r w:rsidRPr="003F0091">
        <w:t xml:space="preserve">scale (“Extremely weak” to “Extremely strong”) with a midpoint 7.5 anchor. Overall aroma liking questions were on a 9-point hedonic scale (“Like extremely” to “Dislike extremely”). Lastly, CATA questions regarding aroma perceptions for each sample. </w:t>
      </w:r>
      <w:r w:rsidR="00956338">
        <w:t>The time between samples was set to 120 seconds to reduce habituation and adaptation</w:t>
      </w:r>
      <w:r w:rsidRPr="003F0091">
        <w:t xml:space="preserve">. </w:t>
      </w:r>
      <w:r w:rsidRPr="00580941">
        <w:t xml:space="preserve">This procedure was repeated across two experiments “Summer” and “Winter” to evaluate aroma differences in response to ambient sunlight across growing seasons. Consumer data was recorded using RedJade sensory software (RedJade Software Solutions, LLC, Redwood Shores, CA, USA). </w:t>
      </w:r>
    </w:p>
    <w:p w14:paraId="6126413A" w14:textId="181EE7D6" w:rsidR="00BB138C" w:rsidRPr="00580941" w:rsidRDefault="00BB138C" w:rsidP="00580941">
      <w:pPr>
        <w:pStyle w:val="MSThesisBodyTextJustified"/>
        <w:rPr>
          <w:i/>
          <w:iCs/>
        </w:rPr>
      </w:pPr>
      <w:r w:rsidRPr="00580941">
        <w:t xml:space="preserve">A two-way nested mixed model analysis of variance (ANOVA) was used to evaluate consumer overall liking and overall aroma intensity scores, in addition to attribute scores (CATA) with growing season and light treatment (Tables </w:t>
      </w:r>
      <w:r w:rsidR="00AB42FB" w:rsidRPr="00BA2365">
        <w:t>5.</w:t>
      </w:r>
      <w:r w:rsidRPr="00580941">
        <w:t>9-</w:t>
      </w:r>
      <w:r w:rsidR="00AB42FB" w:rsidRPr="00BA2365">
        <w:t>5.</w:t>
      </w:r>
      <w:r w:rsidRPr="00580941">
        <w:t xml:space="preserve">10). A correspondence analysis was conducted to illustrate the relationship between lighting treatments and basil aroma descriptors. </w:t>
      </w:r>
      <w:r w:rsidRPr="00580941">
        <w:lastRenderedPageBreak/>
        <w:t xml:space="preserve">Differences between conditions with CATA data were estimated using the frequency that each CATA attribute was chosen and was assessed with Cochran’s Q Test and Cochran’s Armitage Trend Test. Bivariate correlations were analyzed with Pearson’s r when appropriate. To assess how overall liking was influenced by attributes from different light treatments, CATA descriptors counts were used to predict overall liking. A partial least squares (PLS) regression model </w:t>
      </w:r>
      <w:r w:rsidR="0097577E">
        <w:t>(</w:t>
      </w:r>
      <w:r w:rsidR="00A37527">
        <w:t xml:space="preserve">NIPALS, k=10) </w:t>
      </w:r>
      <w:r w:rsidRPr="00580941">
        <w:t xml:space="preserve">was constructed using average overall liking scores and CATA descriptor frequencies to determine drivers of </w:t>
      </w:r>
      <w:r w:rsidRPr="00AB42FB">
        <w:t>liking (Fig.</w:t>
      </w:r>
      <w:r w:rsidR="00AB42FB" w:rsidRPr="00AB42FB">
        <w:t xml:space="preserve"> 5.</w:t>
      </w:r>
      <w:r w:rsidRPr="00AB42FB">
        <w:t>4).</w:t>
      </w:r>
      <w:r w:rsidRPr="00580941">
        <w:t xml:space="preserve"> All data for sensory evaluation were analyzed using JMP PRO 17 (SAS Institute, Cary, NC, USA).</w:t>
      </w:r>
    </w:p>
    <w:p w14:paraId="13A14955" w14:textId="77777777" w:rsidR="00BB138C" w:rsidRPr="003F0091" w:rsidRDefault="00BB138C" w:rsidP="00BB138C">
      <w:pPr>
        <w:pStyle w:val="MastersThesisSectionHeader"/>
      </w:pPr>
    </w:p>
    <w:p w14:paraId="2D86EDA3" w14:textId="77777777" w:rsidR="00BB138C" w:rsidRPr="003F0091" w:rsidRDefault="00BB138C" w:rsidP="00BB138C">
      <w:pPr>
        <w:pStyle w:val="MastersThesisSectionHeader"/>
      </w:pPr>
      <w:bookmarkStart w:id="661" w:name="_Toc139574857"/>
      <w:bookmarkStart w:id="662" w:name="_Toc141478727"/>
      <w:r w:rsidRPr="003F0091">
        <w:t>RNA Extraction</w:t>
      </w:r>
      <w:bookmarkEnd w:id="661"/>
      <w:bookmarkEnd w:id="662"/>
    </w:p>
    <w:p w14:paraId="2C57630D" w14:textId="7166769E" w:rsidR="00BB138C" w:rsidRPr="003F0091" w:rsidRDefault="0039670C" w:rsidP="00BB138C">
      <w:pPr>
        <w:pStyle w:val="MSThesisBodyTextJustified"/>
        <w:rPr>
          <w:color w:val="000000" w:themeColor="text1"/>
        </w:rPr>
      </w:pPr>
      <w:r>
        <w:rPr>
          <w:color w:val="000000" w:themeColor="text1"/>
        </w:rPr>
        <w:t>T</w:t>
      </w:r>
      <w:r w:rsidR="00BB138C" w:rsidRPr="003F0091">
        <w:rPr>
          <w:color w:val="000000" w:themeColor="text1"/>
        </w:rPr>
        <w:t>issue samples were collected for RNA extraction</w:t>
      </w:r>
      <w:r w:rsidRPr="0039670C">
        <w:rPr>
          <w:color w:val="000000" w:themeColor="text1"/>
        </w:rPr>
        <w:t xml:space="preserve"> </w:t>
      </w:r>
      <w:r>
        <w:rPr>
          <w:color w:val="000000" w:themeColor="text1"/>
        </w:rPr>
        <w:t>a</w:t>
      </w:r>
      <w:r w:rsidRPr="003F0091">
        <w:rPr>
          <w:color w:val="000000" w:themeColor="text1"/>
        </w:rPr>
        <w:t>t vegetative maturity, approximately 45 d after seeding,</w:t>
      </w:r>
      <w:r w:rsidR="00BB138C" w:rsidRPr="003F0091">
        <w:rPr>
          <w:color w:val="000000" w:themeColor="text1"/>
        </w:rPr>
        <w:t>. A leaf from the second and fourth fully expanded leaves from the tops of two basil plants was collected under the harvest zone of each treatment and immediately frozen with liquid nitrogen. Four replicates were analyzed in each treatment. Each experimental cycle was repeated across two growing seasons (two experimental cycles). Replicates (4) were nested within treatments (4), which were nested within growing seasons (2).</w:t>
      </w:r>
    </w:p>
    <w:p w14:paraId="2F7FC596" w14:textId="77777777" w:rsidR="00BB138C" w:rsidRPr="003F0091" w:rsidRDefault="00BB138C" w:rsidP="00BB138C">
      <w:pPr>
        <w:pStyle w:val="MSThesisBodyTextJustified"/>
        <w:rPr>
          <w:color w:val="000000" w:themeColor="text1"/>
        </w:rPr>
      </w:pPr>
      <w:r w:rsidRPr="003F0091">
        <w:rPr>
          <w:color w:val="000000" w:themeColor="text1"/>
        </w:rPr>
        <w:t xml:space="preserve">Samples were stored in -80 ºC until RNA extractions were conducted. Samples were ground to &lt;30 mesh and homogenized immediately before RNA extraction using liquid nitrogen with a mortar and pestle. Total RNA was extracted from leaf samples using RNeasy Plant Mini RNA isolation kits (Qiagen, Hilden, Germany) according to the provided instructions. Quality and purification of total RNAs were determined before and after the </w:t>
      </w:r>
      <w:r w:rsidRPr="00AB42FB">
        <w:rPr>
          <w:color w:val="000000" w:themeColor="text1"/>
        </w:rPr>
        <w:t>addition</w:t>
      </w:r>
      <w:r w:rsidRPr="00AB42FB">
        <w:rPr>
          <w:b/>
          <w:bCs/>
          <w:color w:val="000000" w:themeColor="text1"/>
        </w:rPr>
        <w:t xml:space="preserve"> </w:t>
      </w:r>
      <w:r w:rsidRPr="00AB42FB">
        <w:rPr>
          <w:color w:val="000000" w:themeColor="text1"/>
        </w:rPr>
        <w:t>of</w:t>
      </w:r>
      <w:r w:rsidRPr="00AB42FB">
        <w:rPr>
          <w:b/>
          <w:bCs/>
          <w:color w:val="000000" w:themeColor="text1"/>
        </w:rPr>
        <w:t xml:space="preserve"> </w:t>
      </w:r>
      <w:r w:rsidRPr="00AB42FB">
        <w:rPr>
          <w:rStyle w:val="Strong"/>
          <w:b w:val="0"/>
          <w:bCs w:val="0"/>
          <w:color w:val="000000" w:themeColor="text1"/>
          <w:shd w:val="clear" w:color="auto" w:fill="FFFFFF"/>
        </w:rPr>
        <w:t>50 μL</w:t>
      </w:r>
      <w:r w:rsidRPr="00AB42FB">
        <w:rPr>
          <w:b/>
          <w:bCs/>
          <w:color w:val="000000" w:themeColor="text1"/>
        </w:rPr>
        <w:t xml:space="preserve"> </w:t>
      </w:r>
      <w:r w:rsidRPr="00AB42FB">
        <w:rPr>
          <w:color w:val="000000" w:themeColor="text1"/>
        </w:rPr>
        <w:t>Plant</w:t>
      </w:r>
      <w:r w:rsidRPr="003F0091">
        <w:rPr>
          <w:color w:val="000000" w:themeColor="text1"/>
        </w:rPr>
        <w:t xml:space="preserve"> RNA Isolation Aid (ThermoFisher Scientific, Waltham, MA). Total RNA extracted from leaf tissue </w:t>
      </w:r>
      <w:r w:rsidRPr="003F0091">
        <w:rPr>
          <w:color w:val="000000" w:themeColor="text1"/>
        </w:rPr>
        <w:lastRenderedPageBreak/>
        <w:t xml:space="preserve">samples was shipped to Azenta Life Sciences (Burlington, MA, USA) for RNA-Seq library construction and sequencing. </w:t>
      </w:r>
    </w:p>
    <w:p w14:paraId="53CBD97E" w14:textId="77777777" w:rsidR="00BB138C" w:rsidRPr="003F0091" w:rsidRDefault="00BB138C" w:rsidP="00BB138C">
      <w:pPr>
        <w:pStyle w:val="MastersThesisSectionHeader"/>
        <w:rPr>
          <w:color w:val="000000" w:themeColor="text1"/>
        </w:rPr>
      </w:pPr>
    </w:p>
    <w:p w14:paraId="4E6393FC" w14:textId="77777777" w:rsidR="00BB138C" w:rsidRPr="003F0091" w:rsidRDefault="00BB138C" w:rsidP="00BB138C">
      <w:pPr>
        <w:pStyle w:val="MastersThesisSectionHeader"/>
        <w:rPr>
          <w:color w:val="000000" w:themeColor="text1"/>
        </w:rPr>
      </w:pPr>
      <w:bookmarkStart w:id="663" w:name="_Toc139574858"/>
      <w:bookmarkStart w:id="664" w:name="_Toc141478728"/>
      <w:r w:rsidRPr="003F0091">
        <w:rPr>
          <w:color w:val="000000" w:themeColor="text1"/>
        </w:rPr>
        <w:t>Library Preparation with PolyA Selection and Illumina Sequencing</w:t>
      </w:r>
      <w:bookmarkEnd w:id="663"/>
      <w:bookmarkEnd w:id="664"/>
    </w:p>
    <w:p w14:paraId="5D3102E3" w14:textId="667DAC6B" w:rsidR="00BB138C" w:rsidRPr="003F0091" w:rsidRDefault="00BB138C" w:rsidP="00BB138C">
      <w:pPr>
        <w:pStyle w:val="MSThesisBodyTextJustified"/>
        <w:rPr>
          <w:rFonts w:eastAsia="Times New Roman"/>
          <w:color w:val="000000" w:themeColor="text1"/>
        </w:rPr>
      </w:pPr>
      <w:r w:rsidRPr="003F0091">
        <w:rPr>
          <w:color w:val="000000" w:themeColor="text1"/>
        </w:rPr>
        <w:t xml:space="preserve">Details regarding library preparation and sequencing workflow can be found in Figure </w:t>
      </w:r>
      <w:r w:rsidR="00AB42FB" w:rsidRPr="00BA2365">
        <w:t>5.</w:t>
      </w:r>
      <w:r w:rsidRPr="003F0091">
        <w:rPr>
          <w:color w:val="000000" w:themeColor="text1"/>
        </w:rPr>
        <w:t xml:space="preserve">5. RNA samples were quantified using Qubit 2.0 Fluorometer (Life Technologies, Carlsbad, CA, USA), and RNA integrity was checked using Agilent TapeStation 4200 (Agilent Technologies, Palo Alto, CA, USA). </w:t>
      </w:r>
    </w:p>
    <w:p w14:paraId="3C489E39" w14:textId="77777777" w:rsidR="00BB138C" w:rsidRPr="003F0091" w:rsidRDefault="00BB138C" w:rsidP="00BB138C">
      <w:pPr>
        <w:pStyle w:val="MSThesisBodyTextJustified"/>
        <w:rPr>
          <w:color w:val="000000" w:themeColor="text1"/>
        </w:rPr>
      </w:pPr>
      <w:r w:rsidRPr="003F0091">
        <w:rPr>
          <w:color w:val="000000" w:themeColor="text1"/>
        </w:rPr>
        <w:t xml:space="preserve">The RNA sequencing libraries were prepared using the NEBNext Ultra II RNA Library Prep Kit for Illumina using the manufacturer’s instructions (New England Biolabs, Ipswich, MA, USA). Briefly, mRNAs were initially enriched with Oligod(T) beads. Enriched mRNAs were fragmented for 15 minutes at 94°C. First-strand and second-strand cDNA were subsequently synthesized. cDNA fragments were end-repaired and adenylated at 3’ends, and universal adapters were ligated to cDNA fragments, followed by index addition and library enrichment by PCR with limited cycles. The sequencing libraries were validated on the Agilent TapeStation (Agilent Technologies, Palo Alto, CA, USA), and quantified by using Qubit 2.0 Fluorometer (ThermoFisher Scientific, Waltham, MA, USA) as well as by quantitative PCR (KAPA Biosystems, Wilmington, MA, USA). </w:t>
      </w:r>
    </w:p>
    <w:p w14:paraId="48EACFCA" w14:textId="77777777" w:rsidR="00BB138C" w:rsidRPr="003F0091" w:rsidRDefault="00BB138C" w:rsidP="00BB138C">
      <w:pPr>
        <w:pStyle w:val="MSThesisBodyTextJustified"/>
        <w:rPr>
          <w:color w:val="000000" w:themeColor="text1"/>
        </w:rPr>
      </w:pPr>
      <w:r w:rsidRPr="003F0091">
        <w:rPr>
          <w:color w:val="000000" w:themeColor="text1"/>
        </w:rPr>
        <w:t>The sequencing libraries were clustered on three flowcell lanes. After clustering, the flowcell was loaded on the Illumina HiSeq instrument (4000 or equivalent) according to manufacturer’s instructions. The samples were sequenced using a 2x150bp Paired End (PE) configuration. Image analysis and base calling were conducted by the Control software. Raw sequence data (.bcl files) generated from the sequencer were converted into fastq files and de-</w:t>
      </w:r>
      <w:r w:rsidRPr="003F0091">
        <w:rPr>
          <w:color w:val="000000" w:themeColor="text1"/>
        </w:rPr>
        <w:lastRenderedPageBreak/>
        <w:t xml:space="preserve">multiplexed using Illumina's bcl2fastq 2.17 software. One mismatch was allowed for index sequence identification. </w:t>
      </w:r>
    </w:p>
    <w:p w14:paraId="7332657A" w14:textId="77777777" w:rsidR="00BB138C" w:rsidRPr="003F0091" w:rsidRDefault="00BB138C" w:rsidP="00BB138C">
      <w:pPr>
        <w:rPr>
          <w:rFonts w:cs="Times New Roman"/>
          <w:b/>
          <w:bCs/>
          <w:i/>
          <w:iCs/>
          <w:color w:val="000000" w:themeColor="text1"/>
        </w:rPr>
      </w:pPr>
    </w:p>
    <w:p w14:paraId="6F6BE524" w14:textId="77777777" w:rsidR="00BB138C" w:rsidRPr="003F0091" w:rsidRDefault="00BB138C" w:rsidP="00BB138C">
      <w:pPr>
        <w:pStyle w:val="MastersThesisSectionHeader"/>
        <w:rPr>
          <w:color w:val="000000" w:themeColor="text1"/>
        </w:rPr>
      </w:pPr>
      <w:bookmarkStart w:id="665" w:name="_Toc139574859"/>
      <w:bookmarkStart w:id="666" w:name="_Toc141478729"/>
      <w:r w:rsidRPr="003F0091">
        <w:rPr>
          <w:color w:val="000000" w:themeColor="text1"/>
        </w:rPr>
        <w:t>Transcriptome Analysis</w:t>
      </w:r>
      <w:bookmarkEnd w:id="665"/>
      <w:bookmarkEnd w:id="666"/>
    </w:p>
    <w:p w14:paraId="19427E9B" w14:textId="77777777" w:rsidR="00BB138C" w:rsidRPr="003F0091" w:rsidRDefault="00BB138C" w:rsidP="00BB138C">
      <w:pPr>
        <w:pStyle w:val="MSThesisBodyTextJustified"/>
        <w:rPr>
          <w:color w:val="000000" w:themeColor="text1"/>
        </w:rPr>
      </w:pPr>
      <w:r w:rsidRPr="003F0091">
        <w:rPr>
          <w:color w:val="000000" w:themeColor="text1"/>
        </w:rPr>
        <w:t xml:space="preserve">Sequence reads were trimmed to remove possible adapter sequences and nucleotides with poor quality using Trimmomatic v.0.36. The trimmed reads were mapped to the </w:t>
      </w:r>
      <w:r w:rsidRPr="003F0091">
        <w:rPr>
          <w:i/>
          <w:iCs/>
          <w:color w:val="000000" w:themeColor="text1"/>
        </w:rPr>
        <w:t xml:space="preserve">Ocimum basilicum </w:t>
      </w:r>
      <w:r w:rsidRPr="003F0091">
        <w:rPr>
          <w:color w:val="000000" w:themeColor="text1"/>
        </w:rPr>
        <w:t xml:space="preserve">reference genome </w:t>
      </w:r>
      <w:r w:rsidRPr="003F0091">
        <w:rPr>
          <w:noProof/>
          <w:color w:val="000000" w:themeColor="text1"/>
        </w:rPr>
        <w:t>(</w:t>
      </w:r>
      <w:r w:rsidRPr="002C446A">
        <w:rPr>
          <w:rFonts w:cstheme="minorBidi"/>
        </w:rPr>
        <w:t>Gonda et al., 2020</w:t>
      </w:r>
      <w:r w:rsidRPr="003F0091">
        <w:rPr>
          <w:noProof/>
          <w:color w:val="000000" w:themeColor="text1"/>
        </w:rPr>
        <w:t>)</w:t>
      </w:r>
      <w:r w:rsidRPr="003F0091">
        <w:rPr>
          <w:color w:val="000000" w:themeColor="text1"/>
        </w:rPr>
        <w:t xml:space="preserve"> available on ENSEMBL using the STAR aligner v.2.5.2b. The STAR aligner is a splice aligner that detects splice junctions and incorporates them to help align the entire read sequences. BAM files were generated because of this step. Unique gene hit counts were calculated from the Subread package v.1.5.2. The hit counts were summarized and reported using the gene_id feature in the annotation file. Only unique reads that fell within exon regions were counted. </w:t>
      </w:r>
    </w:p>
    <w:p w14:paraId="26FFC2C6" w14:textId="3C36B33B" w:rsidR="00BB138C" w:rsidRPr="003F0091" w:rsidRDefault="00BB138C" w:rsidP="00BB138C">
      <w:pPr>
        <w:pStyle w:val="MSThesisBodyTextJustified"/>
        <w:rPr>
          <w:color w:val="000000" w:themeColor="text1"/>
        </w:rPr>
      </w:pPr>
      <w:r w:rsidRPr="003F0091">
        <w:rPr>
          <w:color w:val="000000" w:themeColor="text1"/>
          <w:shd w:val="clear" w:color="auto" w:fill="FFFFFF"/>
        </w:rPr>
        <w:t xml:space="preserve">After the extraction of gene hit counts, the gene hit counts table was used for downstream differential expression analysis. Using DESeq2, a comparison of gene expression between the customer-defined groups of samples was performed. The Wald test was used to generate p-values and log2 fold changes. Genes with an adjusted p-value &lt; 0.05 and absolute log2 fold change &gt; 1 were called significant for each comparison. </w:t>
      </w:r>
      <w:r w:rsidR="001724B6">
        <w:rPr>
          <w:color w:val="000000" w:themeColor="text1"/>
        </w:rPr>
        <w:t>T</w:t>
      </w:r>
      <w:r w:rsidRPr="003F0091">
        <w:rPr>
          <w:color w:val="000000" w:themeColor="text1"/>
        </w:rPr>
        <w:t xml:space="preserve">he results of the differential gene expression analyses for all comparisons </w:t>
      </w:r>
      <w:r w:rsidR="001724B6">
        <w:rPr>
          <w:color w:val="000000" w:themeColor="text1"/>
        </w:rPr>
        <w:t xml:space="preserve">are shown in </w:t>
      </w:r>
      <w:r w:rsidRPr="003F0091">
        <w:rPr>
          <w:color w:val="000000" w:themeColor="text1"/>
        </w:rPr>
        <w:t xml:space="preserve">Table </w:t>
      </w:r>
      <w:r w:rsidR="00AB42FB" w:rsidRPr="00BA2365">
        <w:t>5.</w:t>
      </w:r>
      <w:r w:rsidRPr="003F0091">
        <w:rPr>
          <w:color w:val="000000" w:themeColor="text1"/>
        </w:rPr>
        <w:t xml:space="preserve">11. To account for differences in sequencing amounts, the original values were normalized. The resulting normalized values were used to accurately identify differentially expressed genes. A gene ontology (GO) analysis was performed on the statistically significant set of genes by implementing the software GeneSCF. The GO list was used to cluster the set of genes based. The analysis of GO and Kyoto Encyclopedia of Genes and Genomes (KEGG) pathways enrichment of differential expression genes (DEGs) were </w:t>
      </w:r>
      <w:r w:rsidRPr="003F0091">
        <w:rPr>
          <w:color w:val="000000" w:themeColor="text1"/>
        </w:rPr>
        <w:lastRenderedPageBreak/>
        <w:t xml:space="preserve">performed. GO and KEGG terms with corrected </w:t>
      </w:r>
      <w:r w:rsidRPr="003F0091">
        <w:rPr>
          <w:i/>
          <w:iCs/>
          <w:color w:val="000000" w:themeColor="text1"/>
        </w:rPr>
        <w:t>p</w:t>
      </w:r>
      <w:r w:rsidRPr="003F0091">
        <w:rPr>
          <w:color w:val="000000" w:themeColor="text1"/>
        </w:rPr>
        <w:t xml:space="preserve"> &lt; 0.5 and deemed significant were used in the comparative analyses between treatments.</w:t>
      </w:r>
    </w:p>
    <w:p w14:paraId="3CDFDDD4" w14:textId="4CBAA94D" w:rsidR="00BB138C" w:rsidRDefault="00BB138C" w:rsidP="00BB138C">
      <w:pPr>
        <w:pStyle w:val="MSThesisBodyTextJustified"/>
        <w:rPr>
          <w:color w:val="000000" w:themeColor="text1"/>
        </w:rPr>
      </w:pPr>
      <w:r w:rsidRPr="003F0091">
        <w:rPr>
          <w:color w:val="000000" w:themeColor="text1"/>
          <w:shd w:val="clear" w:color="auto" w:fill="FFFFFF"/>
        </w:rPr>
        <w:t xml:space="preserve">Principle component analysis biplots were developed to reveal similarities within and between treatments, </w:t>
      </w:r>
      <w:r w:rsidRPr="003F0091">
        <w:rPr>
          <w:color w:val="000000" w:themeColor="text1"/>
        </w:rPr>
        <w:t xml:space="preserve">using the "plotPCA" function within the DESeq2 R package. The plot shows the samples in a 2D plane spanned by their first two principal components. The top 500 genes, selected by highest row variance, were used to generate the plot (Figs. </w:t>
      </w:r>
      <w:r w:rsidR="00AB42FB" w:rsidRPr="00BA2365">
        <w:t>5.</w:t>
      </w:r>
      <w:r w:rsidRPr="003F0091">
        <w:rPr>
          <w:color w:val="000000" w:themeColor="text1"/>
        </w:rPr>
        <w:t>6-</w:t>
      </w:r>
      <w:r w:rsidR="00AB42FB" w:rsidRPr="00BA2365">
        <w:t>5.</w:t>
      </w:r>
      <w:r w:rsidRPr="003F0091">
        <w:rPr>
          <w:color w:val="000000" w:themeColor="text1"/>
        </w:rPr>
        <w:t>8).</w:t>
      </w:r>
      <w:r w:rsidRPr="003F0091">
        <w:rPr>
          <w:b/>
          <w:bCs/>
          <w:color w:val="000000" w:themeColor="text1"/>
        </w:rPr>
        <w:t xml:space="preserve"> </w:t>
      </w:r>
      <w:r w:rsidRPr="003F0091">
        <w:rPr>
          <w:color w:val="000000" w:themeColor="text1"/>
        </w:rPr>
        <w:t xml:space="preserve">DEG biclustering heatmaps </w:t>
      </w:r>
      <w:r w:rsidRPr="003F0091">
        <w:rPr>
          <w:color w:val="000000" w:themeColor="text1"/>
          <w:shd w:val="clear" w:color="auto" w:fill="FFFFFF"/>
        </w:rPr>
        <w:t xml:space="preserve">were created to visualize the expression profile of the top 30 genes sorted by their adjusted p-values (Figs. </w:t>
      </w:r>
      <w:r w:rsidR="00AB42FB" w:rsidRPr="00BA2365">
        <w:t>5.</w:t>
      </w:r>
      <w:r w:rsidRPr="003F0091">
        <w:rPr>
          <w:color w:val="000000" w:themeColor="text1"/>
          <w:shd w:val="clear" w:color="auto" w:fill="FFFFFF"/>
        </w:rPr>
        <w:t>9-</w:t>
      </w:r>
      <w:r w:rsidR="00AB42FB" w:rsidRPr="00BA2365">
        <w:t>5.</w:t>
      </w:r>
      <w:r w:rsidRPr="003F0091">
        <w:rPr>
          <w:color w:val="000000" w:themeColor="text1"/>
          <w:shd w:val="clear" w:color="auto" w:fill="FFFFFF"/>
        </w:rPr>
        <w:t xml:space="preserve">11). Volcano plots were created to show the global transcriptional change across seasons and replicates (Figs. </w:t>
      </w:r>
      <w:r w:rsidR="00AB42FB" w:rsidRPr="00BA2365">
        <w:t>5.</w:t>
      </w:r>
      <w:r w:rsidRPr="003F0091">
        <w:rPr>
          <w:color w:val="000000" w:themeColor="text1"/>
          <w:shd w:val="clear" w:color="auto" w:fill="FFFFFF"/>
        </w:rPr>
        <w:t>12-</w:t>
      </w:r>
      <w:r w:rsidR="00AB42FB" w:rsidRPr="00BA2365">
        <w:t>5.</w:t>
      </w:r>
      <w:r w:rsidRPr="003F0091">
        <w:rPr>
          <w:color w:val="000000" w:themeColor="text1"/>
          <w:shd w:val="clear" w:color="auto" w:fill="FFFFFF"/>
        </w:rPr>
        <w:t xml:space="preserve">14). </w:t>
      </w:r>
    </w:p>
    <w:p w14:paraId="35920ACC" w14:textId="77777777" w:rsidR="00CF62B9" w:rsidRPr="003F0091" w:rsidRDefault="00CF62B9" w:rsidP="00BB138C">
      <w:pPr>
        <w:pStyle w:val="MSThesisBodyTextJustified"/>
        <w:rPr>
          <w:b/>
          <w:bCs/>
          <w:color w:val="000000" w:themeColor="text1"/>
        </w:rPr>
      </w:pPr>
    </w:p>
    <w:p w14:paraId="734DD4D2" w14:textId="77777777" w:rsidR="00BB138C" w:rsidRPr="003F0091" w:rsidRDefault="00BB138C" w:rsidP="00BB138C">
      <w:pPr>
        <w:pStyle w:val="MastersThesisMainTitle"/>
        <w:rPr>
          <w:color w:val="000000" w:themeColor="text1"/>
        </w:rPr>
      </w:pPr>
      <w:bookmarkStart w:id="667" w:name="_Toc139574860"/>
      <w:bookmarkStart w:id="668" w:name="_Toc141478730"/>
      <w:r w:rsidRPr="003F0091">
        <w:rPr>
          <w:color w:val="000000" w:themeColor="text1"/>
        </w:rPr>
        <w:t>Results</w:t>
      </w:r>
      <w:bookmarkEnd w:id="667"/>
      <w:bookmarkEnd w:id="668"/>
    </w:p>
    <w:p w14:paraId="0BEA6F15" w14:textId="77777777" w:rsidR="00BB138C" w:rsidRPr="003F0091" w:rsidRDefault="00BB138C" w:rsidP="00BB138C">
      <w:pPr>
        <w:pStyle w:val="MastersThesisSectionHeader"/>
        <w:rPr>
          <w:color w:val="000000" w:themeColor="text1"/>
        </w:rPr>
      </w:pPr>
      <w:bookmarkStart w:id="669" w:name="_Toc139574861"/>
      <w:bookmarkStart w:id="670" w:name="_Toc141478731"/>
      <w:r w:rsidRPr="003F0091">
        <w:rPr>
          <w:color w:val="000000" w:themeColor="text1"/>
        </w:rPr>
        <w:t>Volatile Organic Compound Profiles</w:t>
      </w:r>
      <w:bookmarkEnd w:id="669"/>
      <w:bookmarkEnd w:id="670"/>
    </w:p>
    <w:p w14:paraId="3BB43698" w14:textId="1986A04C" w:rsidR="00BB138C" w:rsidRPr="003F0091" w:rsidRDefault="00BB138C" w:rsidP="00BB138C">
      <w:pPr>
        <w:pStyle w:val="MSThesisBodyTextJustified"/>
        <w:rPr>
          <w:color w:val="000000" w:themeColor="text1"/>
        </w:rPr>
      </w:pPr>
      <w:r w:rsidRPr="003F0091">
        <w:rPr>
          <w:color w:val="000000" w:themeColor="text1"/>
        </w:rPr>
        <w:t xml:space="preserve">Plant volatile organic compound (PVOC) leaf tissue concentrations were quantified using HS GC-MS to determine the relationship between basil aroma volatile profiles, metabolome, and human sensory perception as influenced by various spectral qualities of supplemental light. Many of the PVOCs evaluated in the present study were significantly influenced by growing season (i.e., variation in ambient sunlight), lighting treatment (spectral quality), and season*treatment interactions (Tables </w:t>
      </w:r>
      <w:r w:rsidR="00AB42FB" w:rsidRPr="00BA2365">
        <w:t>5.</w:t>
      </w:r>
      <w:r w:rsidRPr="003F0091">
        <w:rPr>
          <w:color w:val="000000" w:themeColor="text1"/>
        </w:rPr>
        <w:t xml:space="preserve">2 and </w:t>
      </w:r>
      <w:r w:rsidR="00AB42FB" w:rsidRPr="00BA2365">
        <w:t>5.</w:t>
      </w:r>
      <w:r w:rsidRPr="003F0091">
        <w:rPr>
          <w:color w:val="000000" w:themeColor="text1"/>
        </w:rPr>
        <w:t xml:space="preserve">3). </w:t>
      </w:r>
    </w:p>
    <w:p w14:paraId="0B9F4761" w14:textId="19EFAFB7" w:rsidR="00BB138C" w:rsidRPr="003F0091" w:rsidRDefault="00BB138C" w:rsidP="00BB138C">
      <w:pPr>
        <w:pStyle w:val="MSThesisBodyTextJustified"/>
        <w:rPr>
          <w:rFonts w:eastAsia="Times New Roman"/>
          <w:color w:val="000000" w:themeColor="text1"/>
        </w:rPr>
      </w:pPr>
      <w:r w:rsidRPr="003F0091">
        <w:rPr>
          <w:color w:val="000000" w:themeColor="text1"/>
        </w:rPr>
        <w:t xml:space="preserve">Table </w:t>
      </w:r>
      <w:r w:rsidR="00AB42FB" w:rsidRPr="00BA2365">
        <w:t>5.</w:t>
      </w:r>
      <w:r w:rsidRPr="003F0091">
        <w:rPr>
          <w:color w:val="000000" w:themeColor="text1"/>
        </w:rPr>
        <w:t>4 shows the influence of growing season on aroma volatile tissue concentrations. A number of compounds had significantly higher tissue concentrations during the summer growing season as compared to the winter season. Propanol, trans-2-Pentenal, and 2-ethyl-2-Butenal had approximately 15-36% higher concentrations during the summer season. p-Menth-1-en-8-ol and 2-methyl-2-Hepten-4-yne were approximately 26% higher during the summer months. (R+/S-)-</w:t>
      </w:r>
      <w:r w:rsidRPr="003F0091">
        <w:rPr>
          <w:color w:val="000000" w:themeColor="text1"/>
        </w:rPr>
        <w:lastRenderedPageBreak/>
        <w:t xml:space="preserve">Limonene and Eucalyptol were approximately 20% higher during the summer. Methyl Salicylate, Indole, and d-Carvone were approximately 55% higher during the summer, and Methyl Eugenol was 86% higher. Eugenol and Citronellyl acetate concentrations were only detected during the summer months, but were not detected during the winter season.  A few compounds had significantly lower tissue concentrations during the summer growing season as compared to the winter season, such as α-Pinene and Camphene. Additionally, </w:t>
      </w:r>
      <w:r w:rsidRPr="003F0091">
        <w:rPr>
          <w:rFonts w:eastAsia="Times New Roman"/>
          <w:color w:val="000000" w:themeColor="text1"/>
        </w:rPr>
        <w:t xml:space="preserve">1,3,6-Octatriene, 3,7-dimethyl-, (E) and 1,3,6-Octatriene, 3,7-dimethyl-, (Z) (i.e., (E/Z)-Ocimene) showed opposing changes across seasons. During the summer, (E)-Ocimene tissue concentrations were 20% higher than (Z)-Ocimene concentrations; during the winter, (Z)-Ocimene concentrations were 53% higher than (E)-Ocimene concentrations. Table </w:t>
      </w:r>
      <w:r w:rsidR="007B1C25" w:rsidRPr="00BA2365">
        <w:t>5.</w:t>
      </w:r>
      <w:r w:rsidRPr="003F0091">
        <w:rPr>
          <w:rFonts w:eastAsia="Times New Roman"/>
          <w:color w:val="000000" w:themeColor="text1"/>
        </w:rPr>
        <w:t xml:space="preserve">5 indicates there was no significant difference between VOC total concentrations, despite the ratios of multiple classes of compounds shifting across seasons (Table </w:t>
      </w:r>
      <w:r w:rsidR="00AB42FB" w:rsidRPr="00BA2365">
        <w:t>5.</w:t>
      </w:r>
      <w:r w:rsidRPr="003F0091">
        <w:rPr>
          <w:rFonts w:eastAsia="Times New Roman"/>
          <w:color w:val="000000" w:themeColor="text1"/>
        </w:rPr>
        <w:t xml:space="preserve">4). The only ratios influenced by growing </w:t>
      </w:r>
      <w:r w:rsidRPr="003F0091">
        <w:t xml:space="preserve">season were α/ß-Pinene and γ-Terpinene/Total terpinenes, but only by a few percent (Table </w:t>
      </w:r>
      <w:r w:rsidR="00AB42FB" w:rsidRPr="00BA2365">
        <w:t>5.</w:t>
      </w:r>
      <w:r w:rsidRPr="003F0091">
        <w:t xml:space="preserve">5). </w:t>
      </w:r>
    </w:p>
    <w:p w14:paraId="788205C3" w14:textId="345EC19A" w:rsidR="00BB138C" w:rsidRPr="003F0091" w:rsidRDefault="00BB138C" w:rsidP="00BB138C">
      <w:pPr>
        <w:pStyle w:val="MSThesisBodyTextJustified"/>
        <w:rPr>
          <w:rFonts w:eastAsia="Times New Roman"/>
          <w:color w:val="000000" w:themeColor="text1"/>
        </w:rPr>
      </w:pPr>
      <w:r w:rsidRPr="003F0091">
        <w:rPr>
          <w:color w:val="000000" w:themeColor="text1"/>
        </w:rPr>
        <w:t xml:space="preserve">Table </w:t>
      </w:r>
      <w:r w:rsidR="00AB42FB" w:rsidRPr="00BA2365">
        <w:t>5.</w:t>
      </w:r>
      <w:r w:rsidRPr="003F0091">
        <w:rPr>
          <w:color w:val="000000" w:themeColor="text1"/>
        </w:rPr>
        <w:t xml:space="preserve">6 shows the influence of light treatment on aroma volatile tissue concentrations. A number of compounds had significantly higher tissue concentrations under the Narrowband 20B/80R treatment as compared to the NL control, which included 2-cyclo-Pentane, Phenol, ß-Myrcene, 3-Carene, and Propanol (ranging from 1.5-fold to 6-fold increase). Dimethyl Sulfide concentrations were significantly higher in the Narrowband 20B/80R treatment than in any other treatment or the NL control. 2-ethyl-2-Butenal, (E)-2-Hexenal, and trans-2-Pentenal concentrations were significantly higher in the Broadband White treatment than in any other treatment or the NL control. Terpinolene concentrations were increased 3.2-fold under the Broadband White treatment as compared to the NL control, while 3-Menthene was increased 5.1-fold under the Broadband White treatment as compared to the HPS treatment. Linalool and </w:t>
      </w:r>
      <w:r w:rsidRPr="003F0091">
        <w:rPr>
          <w:color w:val="000000" w:themeColor="text1"/>
        </w:rPr>
        <w:lastRenderedPageBreak/>
        <w:t xml:space="preserve">Cycloheptane showed opposite trends in response to light treatments; linalool was detected under all lighting treatments except for the NL control, while Cycloheptane was only detected under the NL control. Indole and d-Carvone show similar patterns, with approximately a 5-fold concentration increase under the Broadband White as compared to the NL control. Eugenol and Methyl Eugenol followed similar patterns across lighting treatments. Both compounds were detected at similar concentrations (i.e., similar concentration of each compound across treatments as well as the ratio of Eugenol/Methyl Eugenol between treatments). Further, Eugenol and Methyl Eugenol were not detected under the HPS treatment or the NL control. Finally, Table </w:t>
      </w:r>
      <w:r w:rsidR="00AB42FB" w:rsidRPr="00BA2365">
        <w:t>5.</w:t>
      </w:r>
      <w:r w:rsidRPr="003F0091">
        <w:rPr>
          <w:color w:val="000000" w:themeColor="text1"/>
        </w:rPr>
        <w:t xml:space="preserve">7 shows that the VOC totals were significantly influenced by lighting treatment. The highest tissue concentrations were found under the Narrowband 20B/80R treatments, while the lowest was found under the NL control; all VOC treatment totals statistically separated. The only pertinent VOC ratio to be significantly influenced by lighting treatment was </w:t>
      </w:r>
      <w:r w:rsidRPr="003F0091">
        <w:t xml:space="preserve">α/ß-Pinene, with the highest ratio under NL control and the lowest under the HPS treatment. </w:t>
      </w:r>
    </w:p>
    <w:p w14:paraId="2F240C84" w14:textId="77777777" w:rsidR="00BB138C" w:rsidRPr="003F0091" w:rsidRDefault="00BB138C" w:rsidP="00BB138C">
      <w:pPr>
        <w:spacing w:line="240" w:lineRule="auto"/>
        <w:rPr>
          <w:rFonts w:cs="Times New Roman"/>
          <w:color w:val="000000" w:themeColor="text1"/>
        </w:rPr>
      </w:pPr>
    </w:p>
    <w:p w14:paraId="1500F567" w14:textId="77777777" w:rsidR="00BB138C" w:rsidRPr="003F0091" w:rsidRDefault="00BB138C" w:rsidP="00BB138C">
      <w:pPr>
        <w:pStyle w:val="MastersThesisSectionHeader"/>
      </w:pPr>
      <w:bookmarkStart w:id="671" w:name="_Toc139574862"/>
      <w:bookmarkStart w:id="672" w:name="_Toc141478732"/>
      <w:r w:rsidRPr="003F0091">
        <w:t>Sensory Evaluation</w:t>
      </w:r>
      <w:bookmarkEnd w:id="671"/>
      <w:bookmarkEnd w:id="672"/>
    </w:p>
    <w:p w14:paraId="60D334E7" w14:textId="58DC8CD2" w:rsidR="00BB138C" w:rsidRPr="003F0091" w:rsidRDefault="00BB138C" w:rsidP="00BB138C">
      <w:pPr>
        <w:pStyle w:val="MSThesisBodyTextJustified"/>
      </w:pPr>
      <w:r w:rsidRPr="003F0091">
        <w:t xml:space="preserve">Two untrained sensory evaluation experiments (summer and winter) were conducted to determine how growing season and supplemental lighting type influenced consumers' overall liking, overall aroma intensity, and identification of key odor descriptors. As shown in Table </w:t>
      </w:r>
      <w:r w:rsidR="007B1C25" w:rsidRPr="00BA2365">
        <w:t>5.</w:t>
      </w:r>
      <w:r w:rsidRPr="003F0091">
        <w:t xml:space="preserve">9, lighting treatment significantly influenced consumers' overall aroma liking scores. The NL control had the highest scores of any treatment during both seasons. During </w:t>
      </w:r>
      <w:r w:rsidR="00F567C3">
        <w:t>s</w:t>
      </w:r>
      <w:r w:rsidRPr="003F0091">
        <w:t>ummer</w:t>
      </w:r>
      <w:r w:rsidR="00F567C3">
        <w:t xml:space="preserve"> experiments</w:t>
      </w:r>
      <w:r w:rsidRPr="003F0091">
        <w:t xml:space="preserve">, participants indicated they liked the samples under the Broadband White, HPS, and NL Control as opposed to the Narrowband 20B/80R treatment. During the Winter, Broadband White and Narrowband 20B/80R had the lowest scores. Despite there being significant differences among many compound tissue concentrations (Tables </w:t>
      </w:r>
      <w:r w:rsidR="00AB42FB" w:rsidRPr="00BA2365">
        <w:t>5.</w:t>
      </w:r>
      <w:r w:rsidRPr="003F0091">
        <w:t>2-</w:t>
      </w:r>
      <w:r w:rsidR="00AB42FB" w:rsidRPr="00BA2365">
        <w:t>5.</w:t>
      </w:r>
      <w:r w:rsidRPr="003F0091">
        <w:t xml:space="preserve">7), there were no statistically significant </w:t>
      </w:r>
      <w:r w:rsidRPr="003F0091">
        <w:lastRenderedPageBreak/>
        <w:t xml:space="preserve">differences among consumer aroma intensity scores across lighting treatments and/or growing seasons (Table </w:t>
      </w:r>
      <w:r w:rsidR="007B1C25" w:rsidRPr="00BA2365">
        <w:t>5.</w:t>
      </w:r>
      <w:r w:rsidRPr="003F0091">
        <w:t xml:space="preserve">10). </w:t>
      </w:r>
    </w:p>
    <w:p w14:paraId="21A15C82" w14:textId="13095C81" w:rsidR="00BB138C" w:rsidRPr="003F0091" w:rsidRDefault="00BB138C" w:rsidP="00BB138C">
      <w:pPr>
        <w:pStyle w:val="MSThesisBodyTextJustified"/>
      </w:pPr>
      <w:r w:rsidRPr="003F0091">
        <w:t xml:space="preserve"> Using CATA descriptor responses from the sensory evaluation experiments, a correspondence analysis factor map was created (Fig. </w:t>
      </w:r>
      <w:r w:rsidR="00AB42FB" w:rsidRPr="00BA2365">
        <w:t>5.</w:t>
      </w:r>
      <w:r w:rsidRPr="003F0091">
        <w:t xml:space="preserve">3), which illustrates the general relationship between basil samples from each lighting treatment and associated CATA responses. Dimension 1 accounts for 57.93% of the variation in CATA response data, while Dimension 2 accounts for 31.48% of the variation in CATA response data. Each of the four lighting treatments was separated into the four quadrants of the CA factor map. As shown in Figure </w:t>
      </w:r>
      <w:r w:rsidR="00E464CB" w:rsidRPr="00BA2365">
        <w:t>5.</w:t>
      </w:r>
      <w:r w:rsidRPr="003F0091">
        <w:t xml:space="preserve">3, the Narrowband 20B/80R treatment was generally associated with the CATA descriptors “anise,” “grassy,” and “pungent.” The Broadband White treatment was generally associated with the descriptors “nutty” and “honey.” The HPS treatment was generally associated with the descriptors “herbaceous,” “floral,” and “fresh.” Finally, the NL control was generally associated with the descriptors “medicinal,” “spicy,” and “fresh.” </w:t>
      </w:r>
    </w:p>
    <w:p w14:paraId="4666B1DB" w14:textId="3EB4FEE3" w:rsidR="00BB138C" w:rsidRDefault="00BB138C" w:rsidP="00BB138C">
      <w:pPr>
        <w:pStyle w:val="MSThesisBodyTextJustified"/>
        <w:rPr>
          <w:color w:val="000000" w:themeColor="text1"/>
        </w:rPr>
      </w:pPr>
      <w:r w:rsidRPr="003F0091">
        <w:rPr>
          <w:color w:val="000000" w:themeColor="text1"/>
        </w:rPr>
        <w:t xml:space="preserve"> The CATA descriptor scores were able to predict overall liking relatively well, accounting for over 89.41% of the variance in liking. In total, 11 CATA descriptors were found to be important in predicting liking scores, which surpassed the Variable Importance in Projection threshold set for this Partial Least Squares model (VIP &gt; 0.8). The VIP value indicates the magnitude a descriptor has on predicting overall liking (i.e., higher VIP descriptors are better predictors of overall liking). Regression coefficients were also calculated, which determines the direction of overall liking. Positive coefficients predict an increase in overall liking, while negative coefficients predict a decrease in overall liking (i.e., dislike). Figure </w:t>
      </w:r>
      <w:r w:rsidR="00E464CB" w:rsidRPr="00BA2365">
        <w:t>5.</w:t>
      </w:r>
      <w:r w:rsidRPr="003F0091">
        <w:rPr>
          <w:color w:val="000000" w:themeColor="text1"/>
        </w:rPr>
        <w:t xml:space="preserve">4 illustrates CATA descriptors and their respective VIPs (y-axis) and </w:t>
      </w:r>
      <w:bookmarkStart w:id="673" w:name="_Hlk140051473"/>
      <w:r w:rsidRPr="003F0091">
        <w:rPr>
          <w:color w:val="000000" w:themeColor="text1"/>
        </w:rPr>
        <w:t>regression coefficients</w:t>
      </w:r>
      <w:bookmarkEnd w:id="673"/>
      <w:r w:rsidRPr="003F0091">
        <w:rPr>
          <w:color w:val="000000" w:themeColor="text1"/>
        </w:rPr>
        <w:t xml:space="preserve"> (x-axis). The most influential positive drivers of liking are “fresh” and “flavor intensity.” Despite participants not being able to differentiate </w:t>
      </w:r>
      <w:r w:rsidRPr="003F0091">
        <w:rPr>
          <w:color w:val="000000" w:themeColor="text1"/>
        </w:rPr>
        <w:lastRenderedPageBreak/>
        <w:t xml:space="preserve">overall intensities between lighting treatments or seasons (Table </w:t>
      </w:r>
      <w:r w:rsidR="00AB42FB" w:rsidRPr="00BA2365">
        <w:t>5.</w:t>
      </w:r>
      <w:r w:rsidRPr="003F0091">
        <w:rPr>
          <w:color w:val="000000" w:themeColor="text1"/>
        </w:rPr>
        <w:t xml:space="preserve">10), the PLS model was able to identify “flavor intensity” as one of the primary drivers of liking. Moderately influential positive drivers of liking include minty, herbaceous, floral, eucalyptus, and green. The most negative drivers of liking include pungent and putrid. Moderately influential negative drivers of liking include bitter and mushroom. Other CATA descriptors fell below the VIP threshold of 0.8 and were not deemed significant drivers of liking. Using this PLS model, the top 11 CATA descriptors, or drivers of liking, can accurately predict overall liking. </w:t>
      </w:r>
    </w:p>
    <w:p w14:paraId="4F4CC3A5" w14:textId="77777777" w:rsidR="00CF62B9" w:rsidRPr="003F0091" w:rsidRDefault="00CF62B9" w:rsidP="00BB138C">
      <w:pPr>
        <w:pStyle w:val="MSThesisBodyTextJustified"/>
        <w:rPr>
          <w:color w:val="000000" w:themeColor="text1"/>
        </w:rPr>
      </w:pPr>
    </w:p>
    <w:p w14:paraId="6CC1F519" w14:textId="77777777" w:rsidR="00BB138C" w:rsidRPr="003F0091" w:rsidRDefault="00BB138C" w:rsidP="00BB138C">
      <w:pPr>
        <w:pStyle w:val="MastersThesisSectionHeader"/>
        <w:rPr>
          <w:color w:val="000000" w:themeColor="text1"/>
        </w:rPr>
      </w:pPr>
      <w:bookmarkStart w:id="674" w:name="_Toc139574863"/>
      <w:bookmarkStart w:id="675" w:name="_Toc141478733"/>
      <w:r w:rsidRPr="003F0091">
        <w:rPr>
          <w:color w:val="000000" w:themeColor="text1"/>
        </w:rPr>
        <w:t>Transcriptome Analysis</w:t>
      </w:r>
      <w:bookmarkEnd w:id="674"/>
      <w:bookmarkEnd w:id="675"/>
    </w:p>
    <w:p w14:paraId="67E4B86A" w14:textId="216BA354" w:rsidR="00BB138C" w:rsidRPr="003F0091" w:rsidRDefault="00BB138C" w:rsidP="0012350B">
      <w:pPr>
        <w:pStyle w:val="MSThesisBodyTextJustified"/>
        <w:rPr>
          <w:b/>
          <w:bCs/>
          <w:i/>
          <w:iCs/>
        </w:rPr>
      </w:pPr>
      <w:r w:rsidRPr="003F0091">
        <w:t xml:space="preserve">RNA Seq and statistical analyses were conducted to identify key genes involved in the regulation of secondary metabolism and human sensory perception of basil under various supplemental lighting spectra. By performing pairwise comparisons, a substantial number of differentially expressed genes (DEGs) were identified across both summer and winter growing seasons. In the summer growing season, 4207 DEGs were identified, while the winter growing season yielded a larger number, with 13110 DEGs (Table </w:t>
      </w:r>
      <w:r w:rsidR="0012350B" w:rsidRPr="00BA2365">
        <w:t>5.</w:t>
      </w:r>
      <w:r w:rsidRPr="003F0091">
        <w:t>11).</w:t>
      </w:r>
    </w:p>
    <w:p w14:paraId="4C83AFEC" w14:textId="39658FD4" w:rsidR="00BB138C" w:rsidRPr="003F0091" w:rsidRDefault="00BB138C" w:rsidP="0012350B">
      <w:pPr>
        <w:pStyle w:val="MSThesisBodyTextJustified"/>
        <w:rPr>
          <w:b/>
          <w:bCs/>
          <w:i/>
          <w:iCs/>
        </w:rPr>
      </w:pPr>
      <w:r w:rsidRPr="003F0091">
        <w:t xml:space="preserve">Further analysis of these DEGs revealed distinct patterns of upregulation and downregulation across different light treatments during both summer and winter growing seasons. In the summer growing season, Narrowband 20B/80R (NB) vs. Natural Light (NL) control comparison had the highest number of DEGs, with 3801 identified, followed by Broadband White (BW) vs. NL control with 278 DEGs, and High-Pressure Sodium (HPS) vs. NL control with the lowest number, at 128 DEGs. A similar pattern was observed during the winter growing season, with NB vs. NL control yielding 5578 DEGs, BW vs. NL control producing 5609 DEGs, and HPS vs. NL control having the least number of DEGs, at 1923 (Table </w:t>
      </w:r>
      <w:r w:rsidR="0012350B" w:rsidRPr="00BA2365">
        <w:t>5.</w:t>
      </w:r>
      <w:r w:rsidRPr="003F0091">
        <w:t>11).</w:t>
      </w:r>
    </w:p>
    <w:p w14:paraId="7300BC69" w14:textId="084B8858" w:rsidR="00BB138C" w:rsidRPr="003F0091" w:rsidRDefault="00BB138C" w:rsidP="0012350B">
      <w:pPr>
        <w:pStyle w:val="MSThesisBodyTextJustified"/>
        <w:rPr>
          <w:b/>
          <w:bCs/>
          <w:i/>
          <w:iCs/>
        </w:rPr>
      </w:pPr>
      <w:r w:rsidRPr="003F0091">
        <w:lastRenderedPageBreak/>
        <w:t xml:space="preserve">Upon examining upregulated DEGs, the summer growing season showed 2045, 132, and 34 upregulated DEGs in the comparisons of NB vs. NL control, BW vs. NL control, and HPS vs. NL control, respectively. In contrast, the winter growing season exhibited a higher number of upregulated DEGs across all comparisons, with 3505 for NB vs. NL control, 3262 for BW vs. NL control, and 1228 for HPS vs. NL control (Table </w:t>
      </w:r>
      <w:r w:rsidR="0012350B" w:rsidRPr="00BA2365">
        <w:t>5.</w:t>
      </w:r>
      <w:r w:rsidRPr="003F0091">
        <w:t>11).</w:t>
      </w:r>
    </w:p>
    <w:p w14:paraId="7E48F383" w14:textId="54BA40A7" w:rsidR="00BB138C" w:rsidRPr="003F0091" w:rsidRDefault="00BB138C" w:rsidP="0012350B">
      <w:pPr>
        <w:pStyle w:val="MSThesisBodyTextJustified"/>
        <w:rPr>
          <w:b/>
          <w:bCs/>
          <w:i/>
          <w:iCs/>
        </w:rPr>
      </w:pPr>
      <w:r w:rsidRPr="003F0091">
        <w:t xml:space="preserve">Downregulated DEGs also exhibited distinct patterns across the different light treatment comparisons. In the summer growing season, there were 1756, 146, and 94 downregulated DEGs in the comparisons of NB vs. NL control, BW vs. NL control, and HPS vs. NL control, respectively. During the winter growing season, the number of downregulated DEGs increased, with 2073 for NB vs. NL control, 2347 for BW vs. NL control, and 695 for HPS vs. NL control (Table </w:t>
      </w:r>
      <w:r w:rsidR="0012350B" w:rsidRPr="00BA2365">
        <w:t>5.</w:t>
      </w:r>
      <w:r w:rsidRPr="003F0091">
        <w:t>11).</w:t>
      </w:r>
    </w:p>
    <w:p w14:paraId="1F48B219" w14:textId="4EFA6097" w:rsidR="00BB138C" w:rsidRPr="00CF62B9" w:rsidRDefault="00BB138C" w:rsidP="00CF62B9">
      <w:pPr>
        <w:pStyle w:val="MSThesisBodyTextJustified"/>
        <w:rPr>
          <w:b/>
          <w:bCs/>
          <w:i/>
          <w:iCs/>
        </w:rPr>
      </w:pPr>
      <w:r w:rsidRPr="003F0091">
        <w:t xml:space="preserve">The analysis also revealed the total number of uniquely upregulated and downregulated DEGs across all comparisons. For the summer growing season, there were 2211 unique upregulated DEGs and 1996 unique downregulated DEGs. In comparison, the winter growing season exhibited a higher number of unique DEGs, with 7995 upregulated and 5515 downregulated (Table </w:t>
      </w:r>
      <w:r w:rsidR="0012350B" w:rsidRPr="00BA2365">
        <w:t>5.</w:t>
      </w:r>
      <w:r w:rsidRPr="003F0091">
        <w:t xml:space="preserve">11). Interestingly, during the summer growing season, the NB vs. NL control comparison had the highest number of upregulated, downregulated, and total DEGs by at least 10-fold over the BW vs. NL control or HPS vs. NL control comparisons. In contrast, the HPS vs. NL control had the lowest number of upregulated, downregulated, and total DEGs. A similar trend was observed during the winter growing season, where the NB vs. NL control had the highest number of upregulated DEGs, while the BW vs. NL control had the highest number of downregulated and total DEGs. The HPS vs. NL control comparison consistently had the lowest number of upregulated, downregulated, and total DEGs for both growing seasons (Table </w:t>
      </w:r>
      <w:r w:rsidR="004B0884" w:rsidRPr="00BA2365">
        <w:t>5.</w:t>
      </w:r>
      <w:r w:rsidRPr="003F0091">
        <w:t>11).</w:t>
      </w:r>
    </w:p>
    <w:p w14:paraId="42E51EBB" w14:textId="77777777" w:rsidR="00BB138C" w:rsidRPr="003F0091" w:rsidRDefault="00BB138C" w:rsidP="00BB138C">
      <w:pPr>
        <w:pStyle w:val="MastersThesisSectionHeader"/>
      </w:pPr>
      <w:bookmarkStart w:id="676" w:name="_Toc139574864"/>
      <w:bookmarkStart w:id="677" w:name="_Toc141478734"/>
      <w:r w:rsidRPr="003F0091">
        <w:lastRenderedPageBreak/>
        <w:t>Principal Component Analysis of DEGs</w:t>
      </w:r>
      <w:bookmarkEnd w:id="676"/>
      <w:bookmarkEnd w:id="677"/>
    </w:p>
    <w:p w14:paraId="6AD8C7DE" w14:textId="77777777" w:rsidR="00BB138C" w:rsidRPr="003F0091" w:rsidRDefault="00BB138C" w:rsidP="00BB138C">
      <w:pPr>
        <w:pStyle w:val="MSThesisBodyTextJustified"/>
      </w:pPr>
      <w:r w:rsidRPr="003F0091">
        <w:t>Principal component analysis (PCA) biplots were created to visualize and interpret the inherent structure and relationships among differentially expressed genes (DEGs) in our multidimensional dataset, comparing the supplemental lighting treatments of different spectral qualities with the NL control.  The PCA biplots facilitated the projection of the original data onto a reduced-dimensionality space represented by the first two principal components for each respective comparison, which together accounted for a substantial proportion of the total variance in the comparison data.</w:t>
      </w:r>
    </w:p>
    <w:p w14:paraId="19788AFC" w14:textId="0319D7F1" w:rsidR="00BB138C" w:rsidRPr="003F0091" w:rsidRDefault="00BB138C" w:rsidP="00BB138C">
      <w:pPr>
        <w:pStyle w:val="MSThesisBodyTextJustified"/>
        <w:rPr>
          <w:color w:val="000000"/>
        </w:rPr>
      </w:pPr>
      <w:r w:rsidRPr="003F0091">
        <w:t xml:space="preserve">Figure </w:t>
      </w:r>
      <w:r w:rsidR="004B0884" w:rsidRPr="00BA2365">
        <w:t>5.</w:t>
      </w:r>
      <w:r w:rsidRPr="003F0091">
        <w:t>6 compares</w:t>
      </w:r>
      <w:r w:rsidRPr="003F0091">
        <w:rPr>
          <w:color w:val="000000"/>
        </w:rPr>
        <w:t xml:space="preserve"> the effects of Narrowband 20B/80R supplemental lighting (NB) and natural light (NL) control on plant gene expression. The first principal component (PC1) explained 46% of the total variability, while the second principal component (PC2) accounted for an additional 16%, cumulatively accounting for 62% of the total variance. This reduction in dimensionality allowed us to visualize patterns and trends in the data effectively.</w:t>
      </w:r>
    </w:p>
    <w:p w14:paraId="4078986C" w14:textId="117DEB95" w:rsidR="00BB138C" w:rsidRPr="003F0091" w:rsidRDefault="00BB138C" w:rsidP="00BB138C">
      <w:pPr>
        <w:pStyle w:val="MSThesisBodyTextJustified"/>
      </w:pPr>
      <w:r w:rsidRPr="003F0091">
        <w:t xml:space="preserve">When comparing NB vs NL control, we observed multiple distinct clusters within the PCA biplot. The NL control samples showed a tendency to cluster in the positive PC1 and negative PC2 space (quadrant IV), while NB treatment samples formed a cluster in the positive PC2 space (quadrants I and II). This separation suggests that the two lighting conditions have distinct effects on the DEGs under investigation, with the primary differences driven by the genes with high loadings on PC1 and PC2. The observed clustering pattern indicates that the NB treatment may lead to higher expression levels for the genes with positive loadings on PC2, while the NL control is associated with lower expression levels for these genes. Conversely, the genes with negative loadings on PC2 may show an opposite trend, with the NL control exhibiting higher expression levels than the NB treatment. In addition to the clear separation between the two groups along the </w:t>
      </w:r>
      <w:r w:rsidRPr="003F0091">
        <w:lastRenderedPageBreak/>
        <w:t xml:space="preserve">PC2 axis, there is also some degree of separation along the PC1 axis. The NL control cluster in quadrant IV, suggests that this specific subset of the NL control group exhibits higher expression levels for the genes with positive loadings on PC1 and lower expression levels for genes with positive loadings on PC2 compared to the rest of the NL group (Fig. </w:t>
      </w:r>
      <w:r w:rsidR="004B0884" w:rsidRPr="00BA2365">
        <w:t>5.</w:t>
      </w:r>
      <w:r w:rsidRPr="003F0091">
        <w:t xml:space="preserve">6). </w:t>
      </w:r>
    </w:p>
    <w:p w14:paraId="6D7C4DE2" w14:textId="26C35AFF" w:rsidR="00BB138C" w:rsidRPr="003F0091" w:rsidRDefault="00BB138C" w:rsidP="00BB138C">
      <w:pPr>
        <w:pStyle w:val="MSThesisBodyTextJustified"/>
      </w:pPr>
      <w:r w:rsidRPr="003F0091">
        <w:t xml:space="preserve">Figure </w:t>
      </w:r>
      <w:r w:rsidR="004B0884" w:rsidRPr="00BA2365">
        <w:t>5.</w:t>
      </w:r>
      <w:r w:rsidRPr="003F0091">
        <w:t>7 compares</w:t>
      </w:r>
      <w:r w:rsidRPr="003F0091">
        <w:rPr>
          <w:color w:val="000000"/>
        </w:rPr>
        <w:t xml:space="preserve"> the effects of Broadband White supplemental lighting (BW) and natural light (NL) control on plant gene expression. The first principal component (PC1) explained 67% of the total variability, while the second principal component (PC2) accounted for an additional 9%, cumulatively accounting for 76% of the total variance.</w:t>
      </w:r>
    </w:p>
    <w:p w14:paraId="54C4D175" w14:textId="2F86A508" w:rsidR="00BB138C" w:rsidRPr="003F0091" w:rsidRDefault="00BB138C" w:rsidP="00BB138C">
      <w:pPr>
        <w:pStyle w:val="MSThesisBodyTextJustified"/>
      </w:pPr>
      <w:r w:rsidRPr="003F0091">
        <w:t xml:space="preserve">The NL control samples showed a tendency to cluster in the positive PC1 and negative PC2 space (quadrant IV), while BW treatment samples formed a cluster in both the negative PC1 space and the positive PC1 and positive PC2 space (quadrant I). This separation suggests that the two lighting conditions have distinct effects on the DEGs under investigation, with the primary differences driven by the genes with high loadings on PC1 and PC2. The observed clustering pattern indicates that the NL control may lead to higher expression levels for the genes with positive loadings on PC1 and lower expression levels for those with positive loadings on PC2 compared to the BW treatment group. Conversely, the genes with negative loadings on PC1 may show an opposite trend, with the BW treatment exhibiting higher expression levels than the NL control. The NL control again had a cluster in quadrant IV, which suggests that this specific subset of the NL control group exhibits higher expression levels for the genes with positive loadings on PC1 and lower expression levels for genes with positive loadings on PC2 compared to the rest of the NL group. In the case of the BW treatment group, there is a cluster in the negative PC1 space, specifically in quadrants II and III. The presence of these samples in the negative PC1 space </w:t>
      </w:r>
      <w:r w:rsidRPr="003F0091">
        <w:lastRenderedPageBreak/>
        <w:t xml:space="preserve">suggests that some BW-treated samples have gene expression profiles that are less like the NL control group due to the lack of shared negative PC1 attributes (Fig. </w:t>
      </w:r>
      <w:r w:rsidR="004B0884" w:rsidRPr="00BA2365">
        <w:t>5.</w:t>
      </w:r>
      <w:r w:rsidRPr="003F0091">
        <w:t>7).</w:t>
      </w:r>
    </w:p>
    <w:p w14:paraId="1DA4672C" w14:textId="5B75E6D1" w:rsidR="00BB138C" w:rsidRPr="003F0091" w:rsidRDefault="00BB138C" w:rsidP="00BB138C">
      <w:pPr>
        <w:pStyle w:val="MSThesisBodyTextJustified"/>
      </w:pPr>
      <w:r w:rsidRPr="003F0091">
        <w:t xml:space="preserve">Figure </w:t>
      </w:r>
      <w:r w:rsidR="004B0884" w:rsidRPr="00BA2365">
        <w:t>5.</w:t>
      </w:r>
      <w:r w:rsidRPr="003F0091">
        <w:t>8 compares</w:t>
      </w:r>
      <w:r w:rsidRPr="003F0091">
        <w:rPr>
          <w:color w:val="000000"/>
        </w:rPr>
        <w:t xml:space="preserve"> the effects of High Pressure Sodium supplemental lighting (HPS) and natural light (NL) control on plant gene expression. The first principal component (PC1) explained 44% of the total variability, while the second principal component (PC2) accounted for an additional 18%, cumulatively accounting for 62% of the total variance.</w:t>
      </w:r>
    </w:p>
    <w:p w14:paraId="4716CB84" w14:textId="5524C1A2" w:rsidR="00BB138C" w:rsidRPr="003F0091" w:rsidRDefault="00BB138C" w:rsidP="00BB138C">
      <w:pPr>
        <w:pStyle w:val="MSThesisBodyTextJustified"/>
      </w:pPr>
      <w:r w:rsidRPr="003F0091">
        <w:t xml:space="preserve">The NL control samples showed a tendency to cluster in the positive PC1 space (quadrants I and IV), while HPS treatment samples were more widely distributed along the PC1 axis, with two samples clustering in the positive PC1 space (quadrants I and IV) and three samples in the negative PC1 space (quadrants II and III). This separation suggests that the two lighting conditions have distinct effects on the DEGs under investigation, with the primary differences driven by the genes with high loadings on PC1 and PC2. In the positive PC1 space, four NL control samples and two HPS treatment samples formed clusters in quadrants I and IV. This observation indicates that these samples share similarities in their gene expression profiles, with higher expression levels for the genes with positive loadings on PC1 and varying expression levels for those with positive loadings on PC2. In the negative PC1 space, the HPS treatment samples exhibited a wide variance along both the PC1 and PC2 axes. This observed wide variance may suggest that the HPS treatment leads to a more diverse range of gene expression profiles compared to the NL control group. The presence of HPS samples in quadrants II and III indicates that these samples exhibit lower expression levels for the genes with positive loadings on PC1 and varying expression levels for those with positive loadings on PC2 (Fig. </w:t>
      </w:r>
      <w:r w:rsidR="004B0884" w:rsidRPr="00BA2365">
        <w:t>5.</w:t>
      </w:r>
      <w:r w:rsidRPr="003F0091">
        <w:t>8).</w:t>
      </w:r>
    </w:p>
    <w:p w14:paraId="508A5A33" w14:textId="77777777" w:rsidR="00BB138C" w:rsidRDefault="00BB138C" w:rsidP="00BB138C">
      <w:pPr>
        <w:pStyle w:val="MSThesisBodyTextJustified"/>
      </w:pPr>
    </w:p>
    <w:p w14:paraId="4558A1C2" w14:textId="77777777" w:rsidR="00CF62B9" w:rsidRPr="003F0091" w:rsidRDefault="00CF62B9" w:rsidP="00BB138C">
      <w:pPr>
        <w:pStyle w:val="MSThesisBodyTextJustified"/>
      </w:pPr>
    </w:p>
    <w:p w14:paraId="66B328CC" w14:textId="77777777" w:rsidR="00BB138C" w:rsidRPr="003F0091" w:rsidRDefault="00BB138C" w:rsidP="00BB138C">
      <w:pPr>
        <w:pStyle w:val="MastersThesisSectionHeader"/>
      </w:pPr>
      <w:bookmarkStart w:id="678" w:name="_Toc139574865"/>
      <w:bookmarkStart w:id="679" w:name="_Toc141478735"/>
      <w:r w:rsidRPr="003F0091">
        <w:lastRenderedPageBreak/>
        <w:t>Biclustering Heatmaps Comparing DEGs</w:t>
      </w:r>
      <w:bookmarkEnd w:id="678"/>
      <w:bookmarkEnd w:id="679"/>
    </w:p>
    <w:p w14:paraId="023104E3" w14:textId="742853BF" w:rsidR="00BB138C" w:rsidRPr="003F0091" w:rsidRDefault="001A0262" w:rsidP="00BB138C">
      <w:pPr>
        <w:pStyle w:val="MSThesisBodyTextJustified"/>
      </w:pPr>
      <w:r>
        <w:t>W</w:t>
      </w:r>
      <w:r w:rsidR="00BB138C" w:rsidRPr="003F0091">
        <w:t>e performed biclustering analysis on three sets of heat maps, each comparing the top 30 significantly differentially expressed genes (DEGs) between natural light (NL) control and various supplemental light treatments using RNA-seq data. Biclustering heat maps are a powerful tool for visualizing gene expression patterns across experimental conditions, as they enable simultaneous clustering of both genes and samples, revealing meaningful relationships between genes and their corresponding treatments.</w:t>
      </w:r>
    </w:p>
    <w:p w14:paraId="2D9525B9" w14:textId="2C7C5FC9" w:rsidR="00BB138C" w:rsidRPr="003F0091" w:rsidRDefault="001A0262" w:rsidP="00BB138C">
      <w:pPr>
        <w:pStyle w:val="MSThesisBodyTextJustified"/>
      </w:pPr>
      <w:r>
        <w:t>E</w:t>
      </w:r>
      <w:r w:rsidR="00BB138C" w:rsidRPr="003F0091">
        <w:t>ight visually distinct clusters of DEGs based on the heatmap and hierarchical clustering</w:t>
      </w:r>
      <w:r>
        <w:t xml:space="preserve"> (</w:t>
      </w:r>
      <w:r w:rsidRPr="003F0091">
        <w:t xml:space="preserve">Figure </w:t>
      </w:r>
      <w:r w:rsidRPr="00BA2365">
        <w:t>5.</w:t>
      </w:r>
      <w:r w:rsidRPr="003F0091">
        <w:t>9</w:t>
      </w:r>
      <w:r>
        <w:t>)</w:t>
      </w:r>
      <w:r w:rsidR="00BB138C" w:rsidRPr="003F0091">
        <w:t>. The NL control and NB treatment groups generally show opposing regulation based on heatmap clusters, indicating that these lighting conditions have distinct effects on gene expression. There is very little difference in gene expression across summer and winter samples, suggesting that the observed DEGs are primarily driven by differences in lighting conditions rather than seasonal variations. Among the top 30 individual genes with the highest significance, there was low variability in expression across different samples within the same treatment type, further emphasizing the consistent impact of the NB treatment on gene expression.</w:t>
      </w:r>
    </w:p>
    <w:p w14:paraId="4DD4F8F5" w14:textId="1C8BE947" w:rsidR="00BB138C" w:rsidRPr="003F0091" w:rsidRDefault="00BB138C" w:rsidP="00BB138C">
      <w:pPr>
        <w:pStyle w:val="MSThesisBodyTextJustified"/>
      </w:pPr>
      <w:r w:rsidRPr="003F0091">
        <w:t xml:space="preserve">Figure </w:t>
      </w:r>
      <w:r w:rsidR="004B0884" w:rsidRPr="00BA2365">
        <w:t>5.</w:t>
      </w:r>
      <w:r w:rsidRPr="003F0091">
        <w:t xml:space="preserve">10 presents ten visually distinct clusters of DEGs based on the heatmap and hierarchical clustering. The NL control and BW treatment groups generally exhibit opposing regulation based on heatmap clusters, although not as distinct as the differences observed between NL and NB in Figure </w:t>
      </w:r>
      <w:r w:rsidR="004B0884" w:rsidRPr="00BA2365">
        <w:t>5.</w:t>
      </w:r>
      <w:r w:rsidRPr="003F0091">
        <w:t xml:space="preserve">9. This finding suggests that the BW treatment may have a more moderate effect on gene expression compared to the NB treatment. Many of the clusters in Figure </w:t>
      </w:r>
      <w:r w:rsidR="004B0884" w:rsidRPr="00BA2365">
        <w:t>5.</w:t>
      </w:r>
      <w:r w:rsidRPr="003F0091">
        <w:t xml:space="preserve">10 show higher expression levels than those observed in the other two figures. Some variability in expression is observed across different samples, but among the top 30 individual genes with the </w:t>
      </w:r>
      <w:r w:rsidRPr="003F0091">
        <w:lastRenderedPageBreak/>
        <w:t>highest significance, there is still low variability in expression across different samples within the same treatment type.</w:t>
      </w:r>
    </w:p>
    <w:p w14:paraId="7E5FBC2C" w14:textId="32AC23E0" w:rsidR="00BB138C" w:rsidRPr="003F0091" w:rsidRDefault="00BB138C" w:rsidP="00BB138C">
      <w:pPr>
        <w:pStyle w:val="MSThesisBodyTextJustified"/>
      </w:pPr>
      <w:r w:rsidRPr="003F0091">
        <w:t xml:space="preserve">Figure </w:t>
      </w:r>
      <w:r w:rsidR="004B0884" w:rsidRPr="00BA2365">
        <w:t>5.</w:t>
      </w:r>
      <w:r w:rsidRPr="003F0091">
        <w:t>11 displays six visually distinct clusters of DEGs based on the heatmap and hierarchical clustering. The NL control and HPS treatment groups generally show opposing regulation based on heatmap clusters, but these differences are the least distinct among the three figures. Many of the clusters exhibit moderate expression levels compared to the other two figures and higher than those observed in the NB vs. NL comparison (Fig</w:t>
      </w:r>
      <w:r w:rsidR="004B0884">
        <w:t>.</w:t>
      </w:r>
      <w:r w:rsidRPr="003F0091">
        <w:t xml:space="preserve"> </w:t>
      </w:r>
      <w:r w:rsidR="004B0884" w:rsidRPr="00BA2365">
        <w:t>5.</w:t>
      </w:r>
      <w:r w:rsidRPr="003F0091">
        <w:t>9). Some differences in gene expression are noted across summer and winter samples, indicating that seasonal variations may play a more significant role in this comparison. Among the top 30 individual genes with the highest significance, there is high variability in expression across different samples within the same treatment type, suggesting that the HPS treatment may lead to more diverse gene expression profiles compared to the other treatments.</w:t>
      </w:r>
    </w:p>
    <w:p w14:paraId="39C2D6C6" w14:textId="536FFC8F" w:rsidR="00BB138C" w:rsidRPr="003F0091" w:rsidRDefault="00BB138C" w:rsidP="00BB138C">
      <w:pPr>
        <w:pStyle w:val="MSThesisBodyTextJustified"/>
      </w:pPr>
      <w:r w:rsidRPr="003F0091">
        <w:t xml:space="preserve">The analysis of Figures </w:t>
      </w:r>
      <w:r w:rsidR="004B0884" w:rsidRPr="00BA2365">
        <w:t>5.</w:t>
      </w:r>
      <w:r w:rsidRPr="003F0091">
        <w:t>9-</w:t>
      </w:r>
      <w:r w:rsidR="004B0884" w:rsidRPr="00BA2365">
        <w:t>5.</w:t>
      </w:r>
      <w:r w:rsidRPr="003F0091">
        <w:t xml:space="preserve">11 reveals distinct patterns and trends in DEG regulation in response to different light treatments. The most notable observation is the opposing regulation of DEGs between the NL control and each of the supplemental light treatments (NB, BW, and HPS), highlighting the impact of these lighting conditions on gene expression. The degree of distinction between the NL control and each supplemental light treatment varies, with the NB treatment showing the most pronounced differences, followed by the BW treatment, and finally the HPS treatment exhibiting the least distinct differences. This observation suggests that different light treatments may have varying effects on gene expression regulation, with the NB treatment potentially having the most significant impact. In terms of general patterns and trends indicated in Figures </w:t>
      </w:r>
      <w:r w:rsidR="004B0884" w:rsidRPr="00BA2365">
        <w:t>5.</w:t>
      </w:r>
      <w:r w:rsidRPr="003F0091">
        <w:t>9-</w:t>
      </w:r>
      <w:r w:rsidR="004B0884" w:rsidRPr="00BA2365">
        <w:t>5.</w:t>
      </w:r>
      <w:r w:rsidRPr="003F0091">
        <w:t xml:space="preserve">11, we observe that the differences in DEG upregulation and downregulation are dependent on the light treatment comparisons, with the most distinct differences observed in the </w:t>
      </w:r>
      <w:r w:rsidRPr="003F0091">
        <w:lastRenderedPageBreak/>
        <w:t>NL control vs. NB treatment (</w:t>
      </w:r>
      <w:r>
        <w:t>Fig.</w:t>
      </w:r>
      <w:r w:rsidRPr="003F0091">
        <w:t xml:space="preserve"> </w:t>
      </w:r>
      <w:r w:rsidR="004B0884" w:rsidRPr="00BA2365">
        <w:t>5.</w:t>
      </w:r>
      <w:r w:rsidRPr="003F0091">
        <w:t>9), followed by NL control vs. BW treatment (</w:t>
      </w:r>
      <w:r>
        <w:t>Fig.</w:t>
      </w:r>
      <w:r w:rsidRPr="003F0091">
        <w:t xml:space="preserve"> </w:t>
      </w:r>
      <w:r w:rsidR="004B0884" w:rsidRPr="00BA2365">
        <w:t>5.</w:t>
      </w:r>
      <w:r w:rsidRPr="003F0091">
        <w:t>10), and the least distinct differences in NL control vs. HPS treatment (</w:t>
      </w:r>
      <w:r>
        <w:t>Fig.</w:t>
      </w:r>
      <w:r w:rsidRPr="003F0091">
        <w:t xml:space="preserve"> </w:t>
      </w:r>
      <w:r w:rsidR="004B0884" w:rsidRPr="00BA2365">
        <w:t>5.</w:t>
      </w:r>
      <w:r w:rsidRPr="003F0091">
        <w:t>11).</w:t>
      </w:r>
    </w:p>
    <w:p w14:paraId="02B64E43" w14:textId="77777777" w:rsidR="00BB138C" w:rsidRPr="003F0091" w:rsidRDefault="00BB138C" w:rsidP="00BB138C">
      <w:pPr>
        <w:pStyle w:val="MastersThesisSectionHeader"/>
      </w:pPr>
    </w:p>
    <w:p w14:paraId="26E51C22" w14:textId="77777777" w:rsidR="00BB138C" w:rsidRPr="003F0091" w:rsidRDefault="00BB138C" w:rsidP="00BB138C">
      <w:pPr>
        <w:pStyle w:val="MastersThesisSectionHeader"/>
      </w:pPr>
      <w:bookmarkStart w:id="680" w:name="_Toc139574866"/>
      <w:bookmarkStart w:id="681" w:name="_Toc141478736"/>
      <w:r w:rsidRPr="003F0091">
        <w:t>Volcano Plots Comparing DEGs</w:t>
      </w:r>
      <w:bookmarkEnd w:id="680"/>
      <w:bookmarkEnd w:id="681"/>
    </w:p>
    <w:p w14:paraId="3E751C3F" w14:textId="77777777" w:rsidR="00BB138C" w:rsidRPr="003F0091" w:rsidRDefault="00BB138C" w:rsidP="00BB138C">
      <w:pPr>
        <w:pStyle w:val="MSThesisBodyTextJustified"/>
      </w:pPr>
      <w:r w:rsidRPr="003F0091">
        <w:t>We analyzed a set of three volcano plots to investigate the global transcriptional changes in basil plants subjected to different supplemental lighting treatments compared to the Natural Light (NL) control. Volcano plots provide a visual representation of the relationship between fold change and statistical significance (adjusted p-value) for differentially expressed genes (DEGs), with each data point representing a gene. Upregulated genes are indicated by red dots (adjusted p-value &lt; 0.05 and log2 fold change &gt; 1), while downregulated genes are represented by blue dots (adjusted p-value &lt; 0.05 and log2 fold change &lt; -1).</w:t>
      </w:r>
    </w:p>
    <w:p w14:paraId="2DC969D7" w14:textId="04D9E560" w:rsidR="00BB138C" w:rsidRPr="003F0091" w:rsidRDefault="007503B1" w:rsidP="00BB138C">
      <w:pPr>
        <w:pStyle w:val="MSThesisBodyTextJustified"/>
      </w:pPr>
      <w:r>
        <w:t>T</w:t>
      </w:r>
      <w:r w:rsidR="00BB138C" w:rsidRPr="003F0091">
        <w:t>he comparison between the NL control and NB treatment</w:t>
      </w:r>
      <w:r w:rsidRPr="007503B1">
        <w:t xml:space="preserve"> </w:t>
      </w:r>
      <w:r>
        <w:t xml:space="preserve">is </w:t>
      </w:r>
      <w:r w:rsidRPr="003F0091">
        <w:t>display</w:t>
      </w:r>
      <w:r>
        <w:t xml:space="preserve">ed in </w:t>
      </w:r>
      <w:r w:rsidRPr="003F0091">
        <w:t xml:space="preserve">Figure </w:t>
      </w:r>
      <w:r w:rsidRPr="00BA2365">
        <w:t>5.</w:t>
      </w:r>
      <w:r w:rsidRPr="003F0091">
        <w:t>12</w:t>
      </w:r>
      <w:r w:rsidR="00BB138C" w:rsidRPr="003F0091">
        <w:t>. This plot exhibits the highest number of highly significant upregulated and downregulated genes among the three figures. The plot is not symmetrical, with more upregulated genes than downregulated genes. The right side of the plot (upregulated genes) is wider and taller, indicating a higher density and wider spread of upregulated genes compared to downregulated genes. In contrast, the left side of the plot (downregulated genes) is narrower and shorter. A number of genes exhibit extremely high statistical significance (adjusted p-value higher than 8) in the upregulated group, which is notable compared to the other treatments. These findings suggest that the NB supplemental light treatment has a substantial impact on gene expression regulation, with a general trend toward upregulation of DEGs.</w:t>
      </w:r>
    </w:p>
    <w:p w14:paraId="22EE257D" w14:textId="42E229E1" w:rsidR="00BB138C" w:rsidRPr="003F0091" w:rsidRDefault="00BB138C" w:rsidP="00BB138C">
      <w:pPr>
        <w:pStyle w:val="MSThesisBodyTextJustified"/>
        <w:rPr>
          <w:color w:val="000000"/>
        </w:rPr>
      </w:pPr>
      <w:r w:rsidRPr="003F0091">
        <w:rPr>
          <w:color w:val="000000"/>
        </w:rPr>
        <w:t xml:space="preserve">Figure </w:t>
      </w:r>
      <w:r w:rsidR="004B0884" w:rsidRPr="00BA2365">
        <w:t>5.</w:t>
      </w:r>
      <w:r w:rsidRPr="003F0091">
        <w:rPr>
          <w:color w:val="000000"/>
        </w:rPr>
        <w:t xml:space="preserve">13 compares the NL control with the BW supplemental light treatment. This plot shows a moderate number of highly significant upregulated and downregulated genes. The plot is </w:t>
      </w:r>
      <w:r w:rsidRPr="003F0091">
        <w:rPr>
          <w:color w:val="000000"/>
        </w:rPr>
        <w:lastRenderedPageBreak/>
        <w:t>somewhat symmetrical, but there is still a higher number of upregulated genes than downregulated genes. The right side of the plot (upregulated genes) is wider and shorter, while the left side (downregulated genes) is narrower and taller. This indicates a higher density and wider spread of upregulated genes compared to downregulated genes. In this figure, some highly significant upregulated and downregulated genes (adjusted p-value higher than 8) are observed, distinguishing it from the other treatments. These results suggest that the BW supplemental light treatment also has a noticeable effect on gene expression regulation, with both upregulated and downregulated DEGs showing high statistical significance.</w:t>
      </w:r>
    </w:p>
    <w:p w14:paraId="2520F1B9" w14:textId="7D1E7FE8" w:rsidR="00BB138C" w:rsidRPr="003F0091" w:rsidRDefault="00D93D30" w:rsidP="00BB138C">
      <w:pPr>
        <w:pStyle w:val="MSThesisBodyTextJustified"/>
        <w:rPr>
          <w:color w:val="000000"/>
        </w:rPr>
      </w:pPr>
      <w:r>
        <w:rPr>
          <w:color w:val="000000"/>
        </w:rPr>
        <w:t>T</w:t>
      </w:r>
      <w:r w:rsidRPr="003F0091">
        <w:rPr>
          <w:color w:val="000000"/>
        </w:rPr>
        <w:t xml:space="preserve">he </w:t>
      </w:r>
      <w:r w:rsidR="00BB138C" w:rsidRPr="003F0091">
        <w:rPr>
          <w:color w:val="000000"/>
        </w:rPr>
        <w:t>comparison between the NL control and HPS treatment</w:t>
      </w:r>
      <w:r w:rsidR="007503B1" w:rsidRPr="007503B1">
        <w:rPr>
          <w:color w:val="000000"/>
        </w:rPr>
        <w:t xml:space="preserve"> </w:t>
      </w:r>
      <w:r w:rsidR="007503B1">
        <w:rPr>
          <w:color w:val="000000"/>
        </w:rPr>
        <w:t xml:space="preserve">is displayed in </w:t>
      </w:r>
      <w:r w:rsidR="007503B1" w:rsidRPr="003F0091">
        <w:rPr>
          <w:color w:val="000000"/>
        </w:rPr>
        <w:t xml:space="preserve">Figure </w:t>
      </w:r>
      <w:r w:rsidR="007503B1" w:rsidRPr="00BA2365">
        <w:t>5.</w:t>
      </w:r>
      <w:r w:rsidR="007503B1" w:rsidRPr="003F0091">
        <w:rPr>
          <w:color w:val="000000"/>
        </w:rPr>
        <w:t>14</w:t>
      </w:r>
      <w:r w:rsidR="00BB138C" w:rsidRPr="003F0091">
        <w:rPr>
          <w:color w:val="000000"/>
        </w:rPr>
        <w:t xml:space="preserve">. This plot shows a moderate number of significant upregulated and downregulated genes. The plot is somewhat symmetrical, with more upregulated genes than downregulated genes. The right side of the plot (upregulated genes) is slightly wider, while the left side (downregulated genes) is narrower and slightly taller. This suggests a higher density and wider spread of upregulated genes compared to downregulated genes. Notably, there are no genes with an adjusted p-value higher than 8 (extremely significant) in this figure, unlike the other two treatments. Additionally, Figure </w:t>
      </w:r>
      <w:r w:rsidR="004B0884" w:rsidRPr="00BA2365">
        <w:t>5.</w:t>
      </w:r>
      <w:r w:rsidR="00BB138C" w:rsidRPr="003F0091">
        <w:rPr>
          <w:color w:val="000000"/>
        </w:rPr>
        <w:t xml:space="preserve">14 has the lowest number of total DEGs compared to Figures </w:t>
      </w:r>
      <w:r w:rsidR="004B0884" w:rsidRPr="00BA2365">
        <w:t>5.</w:t>
      </w:r>
      <w:r w:rsidR="00BB138C" w:rsidRPr="003F0091">
        <w:rPr>
          <w:color w:val="000000"/>
        </w:rPr>
        <w:t xml:space="preserve">12 and </w:t>
      </w:r>
      <w:r w:rsidR="004B0884" w:rsidRPr="00BA2365">
        <w:t>5.</w:t>
      </w:r>
      <w:r w:rsidR="00BB138C" w:rsidRPr="003F0091">
        <w:rPr>
          <w:color w:val="000000"/>
        </w:rPr>
        <w:t>13. These observations indicate that when comparing treatments to the NL control, the NB and BW treatments have higher numbers of more statistically significant DEGs than the HPS treatment.</w:t>
      </w:r>
    </w:p>
    <w:p w14:paraId="7BE5FA5B" w14:textId="138E5A13" w:rsidR="00BB138C" w:rsidRPr="003F0091" w:rsidRDefault="00BB138C" w:rsidP="00BB138C">
      <w:pPr>
        <w:pStyle w:val="MSThesisBodyTextJustified"/>
        <w:rPr>
          <w:color w:val="000000"/>
        </w:rPr>
      </w:pPr>
      <w:r w:rsidRPr="003F0091">
        <w:rPr>
          <w:color w:val="000000"/>
        </w:rPr>
        <w:t xml:space="preserve">The </w:t>
      </w:r>
      <w:r w:rsidR="00D93D30">
        <w:rPr>
          <w:color w:val="000000"/>
        </w:rPr>
        <w:t>appearences</w:t>
      </w:r>
      <w:r w:rsidRPr="003F0091">
        <w:rPr>
          <w:color w:val="000000"/>
        </w:rPr>
        <w:t xml:space="preserve"> of Figures </w:t>
      </w:r>
      <w:r w:rsidR="004B0884" w:rsidRPr="00BA2365">
        <w:t>5.</w:t>
      </w:r>
      <w:r w:rsidRPr="003F0091">
        <w:rPr>
          <w:color w:val="000000"/>
        </w:rPr>
        <w:t>12-</w:t>
      </w:r>
      <w:r w:rsidR="004B0884" w:rsidRPr="00BA2365">
        <w:t>5.</w:t>
      </w:r>
      <w:r w:rsidRPr="003F0091">
        <w:rPr>
          <w:color w:val="000000"/>
        </w:rPr>
        <w:t xml:space="preserve">14 reveals distinct patterns and trends in DEG regulation in response to different supplemental light treatments. The most striking observation is the difference in the number of highly significant upregulated and downregulated genes across the three treatments. NL control vs. NB treatment (Fig. </w:t>
      </w:r>
      <w:r w:rsidR="004B0884" w:rsidRPr="00BA2365">
        <w:t>5.</w:t>
      </w:r>
      <w:r w:rsidRPr="003F0091">
        <w:rPr>
          <w:color w:val="000000"/>
        </w:rPr>
        <w:t xml:space="preserve">12) exhibits the highest number of DEGs, with a strong trend toward upregulation. In contrast, NL control vs. HPS treatment (Fig. </w:t>
      </w:r>
      <w:r w:rsidR="004B0884" w:rsidRPr="00BA2365">
        <w:t>5.</w:t>
      </w:r>
      <w:r w:rsidRPr="003F0091">
        <w:rPr>
          <w:color w:val="000000"/>
        </w:rPr>
        <w:t xml:space="preserve">14) has </w:t>
      </w:r>
      <w:r w:rsidRPr="003F0091">
        <w:rPr>
          <w:color w:val="000000"/>
        </w:rPr>
        <w:lastRenderedPageBreak/>
        <w:t xml:space="preserve">the lowest number of total DEGs and lacks any extremely significant DEGs. The general patterns and trends indicated in Figures </w:t>
      </w:r>
      <w:r w:rsidR="00C765CB" w:rsidRPr="00BA2365">
        <w:t>5.</w:t>
      </w:r>
      <w:r w:rsidRPr="003F0091">
        <w:rPr>
          <w:color w:val="000000"/>
        </w:rPr>
        <w:t>12-</w:t>
      </w:r>
      <w:r w:rsidR="00C765CB" w:rsidRPr="00BA2365">
        <w:t>5.</w:t>
      </w:r>
      <w:r w:rsidRPr="003F0091">
        <w:rPr>
          <w:color w:val="000000"/>
        </w:rPr>
        <w:t xml:space="preserve">14 suggest that different light treatments cause varying levels of gene expression regulation. Based on the volcano plots, the NB treatment (Fig. </w:t>
      </w:r>
      <w:r w:rsidR="00C765CB" w:rsidRPr="00BA2365">
        <w:t>5.</w:t>
      </w:r>
      <w:r w:rsidRPr="003F0091">
        <w:rPr>
          <w:color w:val="000000"/>
        </w:rPr>
        <w:t xml:space="preserve">12) appears to have the most significant impact on gene expression, followed by the BW treatment (Fig. </w:t>
      </w:r>
      <w:r w:rsidR="00C765CB" w:rsidRPr="00BA2365">
        <w:t>5.</w:t>
      </w:r>
      <w:r w:rsidRPr="003F0091">
        <w:rPr>
          <w:color w:val="000000"/>
        </w:rPr>
        <w:t xml:space="preserve">13), and finally, the HPS treatment (Fig. </w:t>
      </w:r>
      <w:r w:rsidR="00C765CB" w:rsidRPr="00BA2365">
        <w:t>5.</w:t>
      </w:r>
      <w:r w:rsidRPr="003F0091">
        <w:rPr>
          <w:color w:val="000000"/>
        </w:rPr>
        <w:t>14), which has the least pronounced effect.</w:t>
      </w:r>
    </w:p>
    <w:p w14:paraId="5C56E6F0" w14:textId="77777777" w:rsidR="00CF62B9" w:rsidRPr="003F0091" w:rsidRDefault="00CF62B9" w:rsidP="00CF62B9">
      <w:pPr>
        <w:pStyle w:val="MSThesisBodyTextJustified"/>
        <w:ind w:firstLine="0"/>
        <w:rPr>
          <w:color w:val="000000" w:themeColor="text1"/>
        </w:rPr>
      </w:pPr>
    </w:p>
    <w:p w14:paraId="6DD88BEE" w14:textId="77777777" w:rsidR="00BB138C" w:rsidRPr="003F0091" w:rsidRDefault="00BB138C" w:rsidP="00BB138C">
      <w:pPr>
        <w:pStyle w:val="MastersThesisMainTitle"/>
        <w:rPr>
          <w:color w:val="000000" w:themeColor="text1"/>
        </w:rPr>
      </w:pPr>
      <w:bookmarkStart w:id="682" w:name="_Toc139574867"/>
      <w:bookmarkStart w:id="683" w:name="_Toc141478737"/>
      <w:r w:rsidRPr="00A42699">
        <w:rPr>
          <w:color w:val="000000" w:themeColor="text1"/>
        </w:rPr>
        <w:t>Discussion</w:t>
      </w:r>
      <w:bookmarkEnd w:id="682"/>
      <w:bookmarkEnd w:id="683"/>
    </w:p>
    <w:p w14:paraId="277D0A1F" w14:textId="77777777" w:rsidR="00BB138C" w:rsidRPr="003F0091" w:rsidRDefault="00BB138C" w:rsidP="00BB138C">
      <w:pPr>
        <w:pStyle w:val="MSThesisBodyTextJustified"/>
      </w:pPr>
      <w:r w:rsidRPr="003F0091">
        <w:t xml:space="preserve">This study aimed to investigate the relationship between basil aroma volatile profiles, transcriptome, and human sensory perception as influenced by various spectral qualities of supplemental light across growing season. Plant volatile organic compounds (PVOCs) </w:t>
      </w:r>
      <w:r>
        <w:t>are crucial</w:t>
      </w:r>
      <w:r w:rsidRPr="003F0091">
        <w:t xml:space="preserve"> in plant defense mechanisms, signaling, and communication. Additionally, they contribute to </w:t>
      </w:r>
      <w:r>
        <w:t>plants' aroma and flavor profiles</w:t>
      </w:r>
      <w:r w:rsidRPr="003F0091">
        <w:t xml:space="preserve">, affecting their sensory perception by humans. To determine how ambient sunlight and supplemental lighting treatments influenced aroma, PVOC leaf tissue concentrations were quantified using HS GC-MS. The results showed that many PVOCs were significantly influenced by growing season, lighting treatment, and season*treatment interactions. </w:t>
      </w:r>
    </w:p>
    <w:p w14:paraId="02FA0708" w14:textId="77777777" w:rsidR="00BB138C" w:rsidRPr="003F0091" w:rsidRDefault="00BB138C" w:rsidP="00BB138C">
      <w:pPr>
        <w:pStyle w:val="MSThesisBodyTextJustified"/>
      </w:pPr>
    </w:p>
    <w:p w14:paraId="4CEC611F" w14:textId="77777777" w:rsidR="00BB138C" w:rsidRPr="003F0091" w:rsidRDefault="00BB138C" w:rsidP="00BB138C">
      <w:pPr>
        <w:pStyle w:val="MastersThesisSectionHeader"/>
      </w:pPr>
      <w:bookmarkStart w:id="684" w:name="_Toc139574868"/>
      <w:bookmarkStart w:id="685" w:name="_Toc141478738"/>
      <w:r w:rsidRPr="003F0091">
        <w:t>Influence of Season on VOC Profiles</w:t>
      </w:r>
      <w:bookmarkEnd w:id="684"/>
      <w:bookmarkEnd w:id="685"/>
    </w:p>
    <w:p w14:paraId="2356CA57" w14:textId="6DDB43D9" w:rsidR="00BB138C" w:rsidRPr="003F0091" w:rsidRDefault="00BB138C" w:rsidP="00BB138C">
      <w:pPr>
        <w:pStyle w:val="MSThesisBodyTextJustified"/>
      </w:pPr>
      <w:r w:rsidRPr="003F0091">
        <w:t>The results of this experiment revealed that the growing season had a substantial impact on the aroma volatile tissue concentrations in basil</w:t>
      </w:r>
      <w:r>
        <w:t xml:space="preserve"> (Table </w:t>
      </w:r>
      <w:r w:rsidR="00C765CB" w:rsidRPr="00BA2365">
        <w:t>5.</w:t>
      </w:r>
      <w:r>
        <w:t>4-</w:t>
      </w:r>
      <w:r w:rsidR="00C765CB" w:rsidRPr="00BA2365">
        <w:t>5.</w:t>
      </w:r>
      <w:r>
        <w:t>5)</w:t>
      </w:r>
      <w:r w:rsidRPr="003F0091">
        <w:t xml:space="preserve">. Several compounds exhibited significantly higher tissue concentrations during the summer growing season compared to the winter season, such as Propanol, trans-2-Pentenal, and 2-ethyl-2-Butenal. Additionally, Methyl Eugenol concentrations were 86% higher during the summer months than in the winter. On the other hand, some compounds had significantly lower tissue concentrations during the summer </w:t>
      </w:r>
      <w:r w:rsidRPr="003F0091">
        <w:lastRenderedPageBreak/>
        <w:t xml:space="preserve">growing season compared to the winter season, such as α-Pinene and Camphene. A few compounds exhibited opposing changes across seasons, like (E/Z)-Ocimene; during the summer, (E)-Ocimene tissue concentrations were 20% higher than (Z)-Ocimene concentrations while during the winter, (Z)-Ocimene concentrations were 53% higher than (E)-Ocimene concentrations. A few compounds were only detected during the summer season, such as Eugenol and Citronellyl acetate. Patterns among seasonal variation suggest that the chemical class and metabolic origin of each compound are factors in seasonal variation in VOC profiles. </w:t>
      </w:r>
    </w:p>
    <w:p w14:paraId="539D418C" w14:textId="22A30770" w:rsidR="00BB138C" w:rsidRPr="003F0091" w:rsidRDefault="00BB138C" w:rsidP="00BB138C">
      <w:pPr>
        <w:pStyle w:val="MSThesisBodyTextJustified"/>
      </w:pPr>
      <w:r w:rsidRPr="003F0091">
        <w:t xml:space="preserve">Because greenhouse conditions stabilized environmental parameters across seasons (Table </w:t>
      </w:r>
      <w:r w:rsidR="007B1C25" w:rsidRPr="00BA2365">
        <w:t>5.</w:t>
      </w:r>
      <w:r w:rsidRPr="003F0091">
        <w:t xml:space="preserve">1), the intensity, daily light integral (DLI), and spectral quality, and daylength of ambient sunlight are isolated variables to be explored. It is unlikely that changes in daylength were a major influence, because basil is known to be non-photoperiodic, and our crops were only grown to vegetative maturity. Further, minor seasonal changes in instantaneous intensity (i.e., no extraordinary fluctuations in intensity due to weather, etc.) are unlikely to cause dramatic concentration increases in secondary metabolism. Assuming intensity is within sufficient and saturation ranges, plants are able to integrate changes to intensity across the day and throughout their life (i.e., average DLI is more indicative of plant quality and yield). These findings suggest that ambient sunlight, specifically changes in spectral quality and cumulative DLI from summer to winter, influences VOC concentrations of basil tissue. There are a number of potential reasons multiple VOCs showed significant tissue concentration variation between seasons. </w:t>
      </w:r>
    </w:p>
    <w:p w14:paraId="52E87ECF" w14:textId="77777777" w:rsidR="00BB138C" w:rsidRPr="003F0091" w:rsidRDefault="00BB138C" w:rsidP="00BB138C">
      <w:pPr>
        <w:pStyle w:val="MSThesisBodyTextJustified"/>
      </w:pPr>
      <w:r w:rsidRPr="003F0091">
        <w:t>Seasonal variations in ambient sunlight can affect photosynthesis rates in plants, which in turn impacts secondary metabolism and the production of VOCs</w:t>
      </w:r>
      <w:r>
        <w:t xml:space="preserve"> </w:t>
      </w:r>
      <w:r>
        <w:rPr>
          <w:noProof/>
        </w:rPr>
        <w:t>(</w:t>
      </w:r>
      <w:r w:rsidRPr="002C446A">
        <w:rPr>
          <w:rFonts w:cstheme="minorBidi"/>
        </w:rPr>
        <w:t>Korczynski et al., 2002</w:t>
      </w:r>
      <w:r>
        <w:rPr>
          <w:noProof/>
        </w:rPr>
        <w:t xml:space="preserve">; </w:t>
      </w:r>
      <w:r w:rsidRPr="002C446A">
        <w:rPr>
          <w:rFonts w:cstheme="minorBidi"/>
        </w:rPr>
        <w:t>Ouzounis et al., 2015</w:t>
      </w:r>
      <w:r>
        <w:rPr>
          <w:noProof/>
        </w:rPr>
        <w:t xml:space="preserve">; </w:t>
      </w:r>
      <w:r w:rsidRPr="002C446A">
        <w:rPr>
          <w:rFonts w:cstheme="minorBidi"/>
        </w:rPr>
        <w:t>Faust and Logan, 2018</w:t>
      </w:r>
      <w:r>
        <w:rPr>
          <w:noProof/>
        </w:rPr>
        <w:t>)</w:t>
      </w:r>
      <w:r>
        <w:t>.</w:t>
      </w:r>
      <w:r w:rsidRPr="003F0091">
        <w:t xml:space="preserve"> It is generally accepted that ambient sunlight during summer typically has more favorable spectral quality and DLIs (with a few notable exceptions due </w:t>
      </w:r>
      <w:r w:rsidRPr="003F0091">
        <w:lastRenderedPageBreak/>
        <w:t>to weather patterns and/or location)</w:t>
      </w:r>
      <w:r>
        <w:t xml:space="preserve"> </w:t>
      </w:r>
      <w:r>
        <w:rPr>
          <w:noProof/>
        </w:rPr>
        <w:t>(</w:t>
      </w:r>
      <w:r w:rsidRPr="002C446A">
        <w:rPr>
          <w:rFonts w:cstheme="minorBidi"/>
        </w:rPr>
        <w:t>Faust and Logan, 2018</w:t>
      </w:r>
      <w:r>
        <w:rPr>
          <w:noProof/>
        </w:rPr>
        <w:t>)</w:t>
      </w:r>
      <w:r w:rsidRPr="003F0091">
        <w:t xml:space="preserve">. During the summer season in our region (Tennessee, USA), increased DLIs and more favorable spectral qualities will likely increase photosynthetic activity, leading to higher production of primary metabolites and energy, which can be diverted into secondary metabolism pathways responsible for VOC biosynthesis </w:t>
      </w:r>
      <w:r>
        <w:t>of</w:t>
      </w:r>
      <w:r w:rsidRPr="003F0091">
        <w:t xml:space="preserve"> terpenoid</w:t>
      </w:r>
      <w:r>
        <w:t>s</w:t>
      </w:r>
      <w:r w:rsidRPr="003F0091">
        <w:t xml:space="preserve"> and phenylpropanoi</w:t>
      </w:r>
      <w:r>
        <w:t>ds</w:t>
      </w:r>
      <w:r w:rsidRPr="003F0091">
        <w:t>. Higher production of primary metabolisms provides the necessary precursors to synthesize VOCs in greater concentrations; however, if this were the only explanation, all concentrations would have shown relative decreases from the summer to winter season. Because of the patterns observed in this experiment (i.e., patterns between compound class and growing season), there are likely other mechanisms involved.</w:t>
      </w:r>
    </w:p>
    <w:p w14:paraId="3C55BB11" w14:textId="77777777" w:rsidR="00BB138C" w:rsidRPr="003F0091" w:rsidRDefault="00BB138C" w:rsidP="00BB138C">
      <w:pPr>
        <w:pStyle w:val="MSThesisBodyTextJustified"/>
      </w:pPr>
      <w:r w:rsidRPr="003F0091">
        <w:t>Seasonal changes in ambient sunlight can also influence plant stress response mechanisms. For example, plants are known to increase the production of secondary metabolites and VOCs in response to environmental stresses, such as drought, pathogens, and herbivory</w:t>
      </w:r>
      <w:r>
        <w:t xml:space="preserve">. </w:t>
      </w:r>
      <w:r w:rsidRPr="003F0091">
        <w:t xml:space="preserve">During winter months in our region (Tennessee, USA), it is common for greenhouse crops to experience unsatisfactory DLIs and unfavorable spectral qualities, which can cause plants to perceive increased stress due to lower photosynthesis rates. The resulting increase in stress hormones may lead to changes in gene expression. A lack of primary metabolic products would cause downstream effects, resulting in the production of different compounds at different concentrations, or lack of production to increase </w:t>
      </w:r>
      <w:r>
        <w:t xml:space="preserve">the </w:t>
      </w:r>
      <w:r w:rsidRPr="003F0091">
        <w:t>chan</w:t>
      </w:r>
      <w:r>
        <w:t>c</w:t>
      </w:r>
      <w:r w:rsidRPr="003F0091">
        <w:t>es of survival</w:t>
      </w:r>
      <w:r>
        <w:t xml:space="preserve">. </w:t>
      </w:r>
      <w:r w:rsidRPr="003F0091">
        <w:t xml:space="preserve">This could explain some of the observations in this experiment, as multiple VOCs showed significantly lower tissue concentrations during winter months compared to summer months; however, the opposite was true for some compounds, indicating this is only one aspect of the complex interactions between seasonal changes in sunlight and secondary metabolism. Because of this mechanism, it is also likely that different PVOCs </w:t>
      </w:r>
      <w:r w:rsidRPr="003F0091">
        <w:lastRenderedPageBreak/>
        <w:t xml:space="preserve">exhibit different responses to seasonal stresses due to their own specific metabolic pathways and stress response. </w:t>
      </w:r>
    </w:p>
    <w:p w14:paraId="3FF65C48" w14:textId="77777777" w:rsidR="00BB138C" w:rsidRPr="003F0091" w:rsidRDefault="00BB138C" w:rsidP="00BB138C">
      <w:pPr>
        <w:pStyle w:val="MSThesisBodyTextJustified"/>
      </w:pPr>
      <w:r w:rsidRPr="003F0091">
        <w:t>Changes in ambient sunlight spectral quality from summer to winter can affect the absorption of specific wavelengths of light by plant photoreceptors, such as phytochromes, cryptochromes, and phototropins</w:t>
      </w:r>
      <w:r>
        <w:t xml:space="preserve"> </w:t>
      </w:r>
      <w:r>
        <w:rPr>
          <w:noProof/>
        </w:rPr>
        <w:t>(</w:t>
      </w:r>
      <w:r w:rsidRPr="002C446A">
        <w:rPr>
          <w:rFonts w:cstheme="minorBidi"/>
        </w:rPr>
        <w:t>Yu et al., 2010</w:t>
      </w:r>
      <w:r>
        <w:rPr>
          <w:noProof/>
        </w:rPr>
        <w:t xml:space="preserve">; </w:t>
      </w:r>
      <w:r w:rsidRPr="002C446A">
        <w:rPr>
          <w:rFonts w:cstheme="minorBidi"/>
        </w:rPr>
        <w:t>Ballare, 2014</w:t>
      </w:r>
      <w:r>
        <w:rPr>
          <w:noProof/>
        </w:rPr>
        <w:t xml:space="preserve">; </w:t>
      </w:r>
      <w:r w:rsidRPr="002C446A">
        <w:rPr>
          <w:rFonts w:cstheme="minorBidi"/>
        </w:rPr>
        <w:t>Pardi and Nusinow, 2021</w:t>
      </w:r>
      <w:r>
        <w:rPr>
          <w:noProof/>
        </w:rPr>
        <w:t>)</w:t>
      </w:r>
      <w:r>
        <w:t xml:space="preserve">. </w:t>
      </w:r>
      <w:r w:rsidRPr="003F0091">
        <w:t>These photoreceptors play essential roles in regulating various aspects of plant growth, development, and stress responses, including the biosynthesis of VOCs</w:t>
      </w:r>
      <w:r>
        <w:t>.</w:t>
      </w:r>
      <w:r w:rsidRPr="003F0091">
        <w:t xml:space="preserve"> Different light treatments with varying spectral qualities may activate or deactivate specific photoreceptors, leading to changes in VOC concentrations in basil tissue. For example, phytochromes respond to red and far-red light by regulating the expression of many genes related to plant growt</w:t>
      </w:r>
      <w:r>
        <w:t xml:space="preserve">h </w:t>
      </w:r>
      <w:r>
        <w:rPr>
          <w:noProof/>
        </w:rPr>
        <w:t>(</w:t>
      </w:r>
      <w:r w:rsidRPr="002C446A">
        <w:rPr>
          <w:rFonts w:cstheme="minorBidi"/>
        </w:rPr>
        <w:t>Casal, 2007</w:t>
      </w:r>
      <w:r>
        <w:rPr>
          <w:noProof/>
        </w:rPr>
        <w:t>)</w:t>
      </w:r>
      <w:r>
        <w:t xml:space="preserve">. </w:t>
      </w:r>
      <w:r w:rsidRPr="003F0091">
        <w:t xml:space="preserve">Similarly, cryptochromes have the potential to modulate VOC biosynthesis through their roles in </w:t>
      </w:r>
      <w:r>
        <w:t xml:space="preserve">light </w:t>
      </w:r>
      <w:r w:rsidRPr="003F0091">
        <w:t>stress responses</w:t>
      </w:r>
      <w:r>
        <w:t xml:space="preserve"> </w:t>
      </w:r>
      <w:r>
        <w:rPr>
          <w:noProof/>
        </w:rPr>
        <w:t>(</w:t>
      </w:r>
      <w:r w:rsidRPr="002C446A">
        <w:rPr>
          <w:rFonts w:cstheme="minorBidi"/>
        </w:rPr>
        <w:t>Lin and Todo, 2005</w:t>
      </w:r>
      <w:r>
        <w:rPr>
          <w:noProof/>
        </w:rPr>
        <w:t>)</w:t>
      </w:r>
      <w:r>
        <w:t xml:space="preserve">. </w:t>
      </w:r>
      <w:r w:rsidRPr="003F0091">
        <w:t>Thus, changes in ambient sunlight from summer to winter, specifically changes in spectral quality, can lead to different photoreceptor-mediated responses, resulting in alterations in VOC concentrations.</w:t>
      </w:r>
    </w:p>
    <w:p w14:paraId="693F1F94" w14:textId="77777777" w:rsidR="00BB138C" w:rsidRPr="003F0091" w:rsidRDefault="00BB138C" w:rsidP="00BB138C">
      <w:pPr>
        <w:pStyle w:val="MSThesisBodyTextJustified"/>
      </w:pPr>
    </w:p>
    <w:p w14:paraId="35AB6069" w14:textId="77777777" w:rsidR="00BB138C" w:rsidRPr="003F0091" w:rsidRDefault="00BB138C" w:rsidP="00BB138C">
      <w:pPr>
        <w:pStyle w:val="MastersThesisSectionHeader"/>
      </w:pPr>
      <w:bookmarkStart w:id="686" w:name="_Toc139574869"/>
      <w:bookmarkStart w:id="687" w:name="_Toc141478739"/>
      <w:r w:rsidRPr="003F0091">
        <w:t>Influence of Light Treatment on VOC Profiles</w:t>
      </w:r>
      <w:bookmarkEnd w:id="686"/>
      <w:bookmarkEnd w:id="687"/>
    </w:p>
    <w:p w14:paraId="0A9E685A" w14:textId="5801FDEF" w:rsidR="00BB138C" w:rsidRPr="003F0091" w:rsidRDefault="00BB138C" w:rsidP="00BB138C">
      <w:pPr>
        <w:pStyle w:val="MSThesisBodyTextJustified"/>
      </w:pPr>
      <w:r w:rsidRPr="003F0091">
        <w:t xml:space="preserve">This study also found that different spectral qualities of supplemental light </w:t>
      </w:r>
      <w:r>
        <w:t xml:space="preserve">treatment </w:t>
      </w:r>
      <w:r w:rsidRPr="003F0091">
        <w:t>affected the tissue concentrations of PVOCs in basil</w:t>
      </w:r>
      <w:r>
        <w:t xml:space="preserve"> (Table</w:t>
      </w:r>
      <w:r w:rsidR="00F20A71">
        <w:t>s</w:t>
      </w:r>
      <w:r>
        <w:t xml:space="preserve"> </w:t>
      </w:r>
      <w:r w:rsidR="00C765CB" w:rsidRPr="00BA2365">
        <w:t>5.</w:t>
      </w:r>
      <w:r>
        <w:t>5</w:t>
      </w:r>
      <w:r w:rsidR="00F20A71">
        <w:t xml:space="preserve"> and </w:t>
      </w:r>
      <w:r w:rsidR="00C765CB" w:rsidRPr="00BA2365">
        <w:t>5.</w:t>
      </w:r>
      <w:r>
        <w:t>6)</w:t>
      </w:r>
      <w:r w:rsidRPr="003F0091">
        <w:t xml:space="preserve">. Results showed that several compounds had significantly higher tissue concentrations under the Narrowband 20B/80R treatment as compared to the NL control, including 2-cyclo-Pentane, Phenol, ß-Myrcene, 3-Carene, and Propanol. These compounds are known to be produced by plants in response to environmental stress, and their increase in concentration under the Narrowband 20B/80R treatment may indicate that this treatment induces greater stress than the other treatments. </w:t>
      </w:r>
    </w:p>
    <w:p w14:paraId="7A15EDC1" w14:textId="77777777" w:rsidR="00BB138C" w:rsidRPr="003F0091" w:rsidRDefault="00BB138C" w:rsidP="00BB138C">
      <w:pPr>
        <w:pStyle w:val="MSThesisBodyTextJustified"/>
      </w:pPr>
      <w:r w:rsidRPr="003F0091">
        <w:lastRenderedPageBreak/>
        <w:t>Dimethyl Sulfide concentrations were significantly higher in the Narrowband 20B/80R treatment than in any other treatment or the NL control. This compound is usually produced during the breakdown of sulfur-containing amino acids in plants, which can be influenced by environmental factors such as light quality. It is possible that the Narrowband 20B/80R treatment enhances the breakdown of sulfur-containing amino acids in plants, leading to a higher concentration of Dimethyl Sulfide. Dimethyl Sulfide is characterized by its potent, pungent scent, evoking earthy, fishy, or sulfuric undertones. Frequently associated with the aroma of cooked cabbage, it serves as an odorant for many common food products. With a high level of bioactivity, Dimethyl Sulfide can be detected in remarkably low concentrations – even below 0.1 ppm – which can prompt negative sensory experiences in humans</w:t>
      </w:r>
      <w:r>
        <w:t xml:space="preserve"> </w:t>
      </w:r>
      <w:r>
        <w:rPr>
          <w:noProof/>
        </w:rPr>
        <w:t>(</w:t>
      </w:r>
      <w:r w:rsidRPr="002C446A">
        <w:rPr>
          <w:rFonts w:cstheme="minorBidi"/>
        </w:rPr>
        <w:t>Sell, 2019</w:t>
      </w:r>
      <w:r>
        <w:rPr>
          <w:noProof/>
        </w:rPr>
        <w:t>)</w:t>
      </w:r>
      <w:r w:rsidRPr="003F0091">
        <w:t xml:space="preserve">. While increasing the concentrations of some compounds can improve the aroma perception of food products, even minuscule increases to certain compounds may completely throw off the flavor profile or cause customer dissatisfactory. For this reason, it is necessary to use sensory panels to determine overall aroma liking and discrimination of key odorants that are vital to consumer acceptance and preference. </w:t>
      </w:r>
    </w:p>
    <w:p w14:paraId="364EF3A2" w14:textId="77777777" w:rsidR="00BB138C" w:rsidRPr="003F0091" w:rsidRDefault="00BB138C" w:rsidP="00BB138C">
      <w:pPr>
        <w:pStyle w:val="MSThesisBodyTextJustified"/>
      </w:pPr>
      <w:r w:rsidRPr="003F0091">
        <w:t xml:space="preserve">In contrast, 2-ethyl-2-Butenal, (E)-2-Hexenal, and trans-2-Pentenal concentrations were significantly higher in the Broadband White treatment than in any other treatment or the NL control. These compounds are known to be involved in </w:t>
      </w:r>
      <w:r>
        <w:t>synthesizing</w:t>
      </w:r>
      <w:r w:rsidRPr="003F0091">
        <w:t xml:space="preserve"> plant hormones and are also produced in response to herbivore attacks. It is possible that the Broadband White treatment promotes plant growth and enhances defense mechanisms against herbivores. It is also possible that the other wavelengths stimulated certain pathways or photo-mediated responses that triggered downstream effects to secondary metabolism. 2-ethyl-2-Butenal, (E)-2-Hexenal, and trans-2-Pentenal are all aldehydes with distinct odor notes that contribute to the aroma profiles of various </w:t>
      </w:r>
      <w:r w:rsidRPr="003F0091">
        <w:lastRenderedPageBreak/>
        <w:t>foods and plants. 2-ethyl-2-Butenal possesses a pungent odor and is often found in small concentrations in various fruits, which can contribute to their overall aroma profile. (E)-2-Hexenal is known for its characteristic "green" odor, (E)-2-Hexenal has a fresh, grassy, and leafy aroma that is reminiscent of freshly cut green leaves or unripe fruits. It is commonly found in a wide range of fruits, vegetables, and herbs, such as apples, tomatoes, and mint, and plays a significant role in forming their unique scents. Finally, trans-2-Pentenal has a pungent, green, and fruity odor with bitter almond and red apple notes</w:t>
      </w:r>
      <w:r>
        <w:t xml:space="preserve"> </w:t>
      </w:r>
      <w:r>
        <w:rPr>
          <w:noProof/>
        </w:rPr>
        <w:t>(</w:t>
      </w:r>
      <w:r w:rsidRPr="002C446A">
        <w:rPr>
          <w:rFonts w:cstheme="minorBidi"/>
        </w:rPr>
        <w:t>Sell, 2019</w:t>
      </w:r>
      <w:r>
        <w:rPr>
          <w:noProof/>
        </w:rPr>
        <w:t>)</w:t>
      </w:r>
      <w:r w:rsidRPr="003F0091">
        <w:t>.</w:t>
      </w:r>
    </w:p>
    <w:p w14:paraId="0DE564B2" w14:textId="77777777" w:rsidR="00BB138C" w:rsidRPr="003F0091" w:rsidRDefault="00BB138C" w:rsidP="00BB138C">
      <w:pPr>
        <w:pStyle w:val="MSThesisBodyTextJustified"/>
      </w:pPr>
      <w:r w:rsidRPr="003F0091">
        <w:t>Terpinolene concentrations were increased 3.2-fold under the Broadband White treatment as compared to the NL control, while 3-Menthene was increased 5.1-fold under the Broadband White treatment as compared to the HPS treatment. Terpinolene is a monoterpene that is commonly found in essential oils and is known to have antimicrobial and insecticidal properties. 3-Menthene is also a monoterpene that is known for its antifungal and insecticidal properties</w:t>
      </w:r>
      <w:r>
        <w:t xml:space="preserve"> </w:t>
      </w:r>
      <w:r>
        <w:rPr>
          <w:noProof/>
        </w:rPr>
        <w:t>(</w:t>
      </w:r>
      <w:r w:rsidRPr="002C446A">
        <w:rPr>
          <w:rFonts w:cstheme="minorBidi"/>
        </w:rPr>
        <w:t>Sell, 2019</w:t>
      </w:r>
      <w:r>
        <w:rPr>
          <w:noProof/>
        </w:rPr>
        <w:t>)</w:t>
      </w:r>
      <w:r w:rsidRPr="003F0091">
        <w:t xml:space="preserve">. This was the only terpinene influenced by light treatment, which likely indicates where in terpinene isomer synthesis pathway in influenced by a combination of spectral quality and DLI. </w:t>
      </w:r>
    </w:p>
    <w:p w14:paraId="3454C826" w14:textId="78E71957" w:rsidR="00BB138C" w:rsidRPr="003F0091" w:rsidRDefault="00BB138C" w:rsidP="00BB138C">
      <w:pPr>
        <w:pStyle w:val="MSThesisBodyTextJustified"/>
      </w:pPr>
      <w:r w:rsidRPr="003F0091">
        <w:t xml:space="preserve">Linalool and Cycloheptane showed opposite trends in response to light treatments; linalool was detected under all lighting treatments except for the NL control, while Cycloheptane was only detected </w:t>
      </w:r>
      <w:r w:rsidR="00F20A71">
        <w:t xml:space="preserve">in plants </w:t>
      </w:r>
      <w:r w:rsidRPr="003F0091">
        <w:t>under the NL control. Linalool is a monoterpene that is commonly found in essential oils and has been reported to have various biological activities, including antimicrobial, anti-inflammatory, and anxiolytic properties. Cycloheptane is a cyclic compound that is not usually found in essential oils. Linalool is described as having floral, sweet, and slightly spicy notes with a hint of citrus. Cycloheptane does not have a notable fragrance, but has a strong petroleum and terpinene odor, and increases the dispersion of other VOCs within a gaseous matrix due to its physical and chemical properties</w:t>
      </w:r>
      <w:r w:rsidR="00E94DE1">
        <w:t xml:space="preserve"> </w:t>
      </w:r>
      <w:r w:rsidR="00E94DE1">
        <w:rPr>
          <w:noProof/>
        </w:rPr>
        <w:t>(</w:t>
      </w:r>
      <w:r w:rsidR="00E94DE1" w:rsidRPr="002C446A">
        <w:rPr>
          <w:rFonts w:cstheme="minorBidi"/>
        </w:rPr>
        <w:t>Sell, 2019</w:t>
      </w:r>
      <w:r w:rsidR="00E94DE1">
        <w:rPr>
          <w:noProof/>
        </w:rPr>
        <w:t>)</w:t>
      </w:r>
      <w:r w:rsidRPr="003F0091">
        <w:t xml:space="preserve">. The absence of Cycloheptane under other </w:t>
      </w:r>
      <w:r w:rsidRPr="003F0091">
        <w:lastRenderedPageBreak/>
        <w:t>lighting treatments may suggest that this compound is not synthesized by higher DLI plants or is influenced by some aspect of spectral quality, while sufficient DLIs and light quality are likely required to produce Linalool at detectable concentrations.</w:t>
      </w:r>
    </w:p>
    <w:p w14:paraId="338F1839" w14:textId="655C694D" w:rsidR="00BB138C" w:rsidRPr="003F0091" w:rsidRDefault="00BB138C" w:rsidP="00BB138C">
      <w:pPr>
        <w:pStyle w:val="MSThesisBodyTextJustified"/>
      </w:pPr>
      <w:r w:rsidRPr="003F0091">
        <w:t>Indole and d-Carvone show similar patterns, with approximately a 5-fold concentration increase under the Broadband White as compared to the NL control. Indole is an aromatic heterocyclic compound that is found in many plant species and has been reported to have various biological activities, including antimicrobial and antitumor properties. d-Carvone is a monoterpene ketone that is mainly found in essential oils and is known for its insecticidal properties. Indole has a floral odor at low concentrations, but at higher concentrations, it smells putrid</w:t>
      </w:r>
      <w:r w:rsidR="00E94DE1">
        <w:t xml:space="preserve"> </w:t>
      </w:r>
      <w:r w:rsidR="00E94DE1">
        <w:rPr>
          <w:noProof/>
        </w:rPr>
        <w:t>(</w:t>
      </w:r>
      <w:r w:rsidR="00E94DE1" w:rsidRPr="002C446A">
        <w:rPr>
          <w:rFonts w:cstheme="minorBidi"/>
        </w:rPr>
        <w:t>Sell, 2019</w:t>
      </w:r>
      <w:r w:rsidR="00E94DE1">
        <w:rPr>
          <w:noProof/>
        </w:rPr>
        <w:t>)</w:t>
      </w:r>
      <w:r w:rsidRPr="003F0091">
        <w:t>. D-Carvone, on the other hand, has a minty aroma with notes of rye, similar to caraway seeds</w:t>
      </w:r>
      <w:r>
        <w:t xml:space="preserve"> </w:t>
      </w:r>
      <w:r>
        <w:rPr>
          <w:noProof/>
        </w:rPr>
        <w:t>(</w:t>
      </w:r>
      <w:r w:rsidRPr="002C446A">
        <w:rPr>
          <w:rFonts w:cstheme="minorBidi"/>
        </w:rPr>
        <w:t>Sell, 2019</w:t>
      </w:r>
      <w:r>
        <w:rPr>
          <w:noProof/>
        </w:rPr>
        <w:t>)</w:t>
      </w:r>
      <w:r w:rsidRPr="003F0091">
        <w:t>.</w:t>
      </w:r>
    </w:p>
    <w:p w14:paraId="13A101F3" w14:textId="77777777" w:rsidR="00BB138C" w:rsidRPr="003F0091" w:rsidRDefault="00BB138C" w:rsidP="00BB138C">
      <w:pPr>
        <w:pStyle w:val="MSThesisBodyTextJustified"/>
      </w:pPr>
      <w:r w:rsidRPr="003F0091">
        <w:t>Eugenol and Methyl Eugenol followed similar patterns across lighting treatments. Both compounds were detected at similar concentrations between treatments. Further, Eugenol and Methyl Eugenol were not detected under the HPS treatment or the NL control. It is possible that the blue wavelengths provided by the Narrowband and Broadband LEDs promoted the production of these compounds, while the lack of extra blue wavelengths from the HPS and NL control did not promote pathway synthesis to a level that was detectable with our instrumentation. Eugenol is a phenylpropene that is commonly found in essential oils and is known for its antioxidant and analgesic properties. Methyl Eugenol is also a phenylpropene that is mainly found in essential oils and is known for its insecticidal properties</w:t>
      </w:r>
      <w:r>
        <w:t xml:space="preserve"> </w:t>
      </w:r>
      <w:r>
        <w:rPr>
          <w:noProof/>
        </w:rPr>
        <w:t>(</w:t>
      </w:r>
      <w:r w:rsidRPr="002C446A">
        <w:rPr>
          <w:rFonts w:cstheme="minorBidi"/>
        </w:rPr>
        <w:t>Sell, 2019</w:t>
      </w:r>
      <w:r>
        <w:rPr>
          <w:noProof/>
        </w:rPr>
        <w:t>)</w:t>
      </w:r>
      <w:r w:rsidRPr="003F0091">
        <w:t xml:space="preserve">. These compounds are likely influenced by a combination of spectral quality and DLI; further experimentation is needed to confirm. </w:t>
      </w:r>
    </w:p>
    <w:p w14:paraId="22D48672" w14:textId="77777777" w:rsidR="00BB138C" w:rsidRPr="003F0091" w:rsidRDefault="00BB138C" w:rsidP="00BB138C">
      <w:pPr>
        <w:pStyle w:val="MSThesisBodyTextJustified"/>
      </w:pPr>
      <w:r w:rsidRPr="003F0091">
        <w:t xml:space="preserve">Finally, the results showed that the VOC totals were significantly influenced by lighting treatment, with the highest tissue concentrations found under the Narrowband 20B/80R treatment, </w:t>
      </w:r>
      <w:r w:rsidRPr="003F0091">
        <w:lastRenderedPageBreak/>
        <w:t>and the lowest found under the NL control. This shows that different light qualities can have a significant impact on the overall VOC production in plants. The only pertinent VOC ratio to be significantly influenced by lighting treatment was α/ß-Pinene, with the highest ratio under NL control and the lowest under the HPS treatment. This may indicate that different light qualities can also influence the relative proportion of specific VOC isomers produced by plants.</w:t>
      </w:r>
    </w:p>
    <w:p w14:paraId="4E367B9C" w14:textId="77777777" w:rsidR="00BB138C" w:rsidRPr="003F0091" w:rsidRDefault="00BB138C" w:rsidP="00BB138C">
      <w:pPr>
        <w:pStyle w:val="MSThesisBodyTextJustified"/>
      </w:pPr>
      <w:r w:rsidRPr="003F0091">
        <w:t>There are several potential reasons why different compound classes would be differentially influenced under different types of lighting. We speculate that spectral quality is the primary factor for this change in secondary metabolism, as it is a crucial factor in plant physiology. Different wavelengths of light can affect various plant processes, such as photosynthesis, growth, stress responses, and secondary metabolism</w:t>
      </w:r>
      <w:r>
        <w:t xml:space="preserve"> </w:t>
      </w:r>
      <w:r>
        <w:rPr>
          <w:noProof/>
        </w:rPr>
        <w:t>(</w:t>
      </w:r>
      <w:r w:rsidRPr="002C446A">
        <w:rPr>
          <w:rFonts w:cstheme="minorBidi"/>
        </w:rPr>
        <w:t>Quail et al., 1995</w:t>
      </w:r>
      <w:r>
        <w:rPr>
          <w:noProof/>
        </w:rPr>
        <w:t xml:space="preserve">; </w:t>
      </w:r>
      <w:r w:rsidRPr="002C446A">
        <w:rPr>
          <w:rFonts w:cstheme="minorBidi"/>
        </w:rPr>
        <w:t>Lin and Shalitin, 2003</w:t>
      </w:r>
      <w:r>
        <w:rPr>
          <w:noProof/>
        </w:rPr>
        <w:t>)</w:t>
      </w:r>
      <w:r w:rsidRPr="003F0091">
        <w:t>. Different light treatments with varying spectral qualities may activate specific secondary metabolic pathways, such as isoprenoid and phenylpropanoid metabolism, leading to changes in VOC concentrations in basil tissue</w:t>
      </w:r>
      <w:r>
        <w:t>.</w:t>
      </w:r>
      <w:r w:rsidRPr="003F0091">
        <w:t xml:space="preserve"> As mentioned earlier, light quality can also influence the activity of plant photoreceptors, which regulate various aspects of plant growth, development, and stress responses, including the biosynthesis of VOCs</w:t>
      </w:r>
      <w:r>
        <w:t xml:space="preserve">. </w:t>
      </w:r>
      <w:r w:rsidRPr="003F0091">
        <w:t>Narrowband and broadband lighting treatments may differentially activate or deactivate specific photoreceptors, resulting in changes in VOC production.</w:t>
      </w:r>
    </w:p>
    <w:p w14:paraId="1B30F25B" w14:textId="77777777" w:rsidR="00BB138C" w:rsidRPr="003F0091" w:rsidRDefault="00BB138C" w:rsidP="00BB138C">
      <w:pPr>
        <w:pStyle w:val="MSThesisBodyTextJustified"/>
      </w:pPr>
      <w:r w:rsidRPr="003F0091">
        <w:t xml:space="preserve">The Narrowband 20B/80R treatment uses a specific ratio of blue and red narrowband wavelengths, which has been shown to have an impact on the production of stress-related compounds such as Phenol, ß-Myrcene, and Propanol. This could be due to the fact that red and blue light is critical for plant growth and development as well as many photo-mediated responses. Higher levels of blue light, in particular, have been shown to induce enhanced defense responses in plants against biotic and abiotic stress factors. </w:t>
      </w:r>
    </w:p>
    <w:p w14:paraId="3FCE4900" w14:textId="77777777" w:rsidR="00BB138C" w:rsidRPr="003F0091" w:rsidRDefault="00BB138C" w:rsidP="00BB138C">
      <w:pPr>
        <w:pStyle w:val="MSThesisBodyTextJustified"/>
      </w:pPr>
      <w:r w:rsidRPr="003F0091">
        <w:lastRenderedPageBreak/>
        <w:t xml:space="preserve">In contrast, Broadband White treatment contains a wide range of wavelengths, including blue, green, yellow, and red light. The increase in concentrations of compounds such as 2-ethyl-2-Butenal, (E)-2-Hexenal, and trans-2-Pentenal under this treatment may be due to the broader spectrum of light, which can promote plant growth and enhance defense mechanisms against herbivores. </w:t>
      </w:r>
    </w:p>
    <w:p w14:paraId="67D36AD3" w14:textId="77777777" w:rsidR="00BB138C" w:rsidRPr="003F0091" w:rsidRDefault="00BB138C" w:rsidP="00BB138C">
      <w:pPr>
        <w:pStyle w:val="MSThesisBodyTextJustified"/>
      </w:pPr>
      <w:r w:rsidRPr="003F0091">
        <w:t xml:space="preserve">Different light qualities can also affect the synthesis of specific compounds that have antimicrobial and insecticidal properties, such as Terpinolene, 3-Menthene, Indole, and d-Carvone. The increase in concentrations of Terpinolene and 3-Menthene under the Broadband White treatment may be due to its broad spectrum, which can enhance the synthesis of these compounds. Additionally, Indole and d-Carvone have been reported to have herbicidal and insecticidal properties, respectively, and their synthesis is likely induced by light quality. </w:t>
      </w:r>
    </w:p>
    <w:p w14:paraId="34B61B16" w14:textId="77777777" w:rsidR="00BB138C" w:rsidRPr="003F0091" w:rsidRDefault="00BB138C" w:rsidP="00BB138C">
      <w:pPr>
        <w:pStyle w:val="MSThesisBodyTextJustified"/>
      </w:pPr>
      <w:r w:rsidRPr="003F0091">
        <w:t>Overall, different light qualities can influence the production of different compounds in plants, which can have implications for plant growth, development, and secondary metabolism. Further investigation is needed to understand the underlying mechanisms that govern how different light qualities influence the production of specific compounds in plants. It is pertinent to establish this mechanism to understand further the implications of SL spectral quality in consumer sensory perception of high-value specialty crops, and this can be accomplished by employing molecular techniques such as RNA Seq.</w:t>
      </w:r>
    </w:p>
    <w:p w14:paraId="4939ED30" w14:textId="3B9582EE" w:rsidR="00BB138C" w:rsidRPr="003F0091" w:rsidRDefault="00BB138C" w:rsidP="00BB138C">
      <w:pPr>
        <w:spacing w:line="240" w:lineRule="auto"/>
        <w:rPr>
          <w:rFonts w:cs="Times New Roman"/>
          <w:b/>
          <w:bCs/>
          <w:i/>
          <w:iCs/>
        </w:rPr>
      </w:pPr>
    </w:p>
    <w:p w14:paraId="4E4D2E3E" w14:textId="77777777" w:rsidR="00BB138C" w:rsidRPr="003F0091" w:rsidRDefault="00BB138C" w:rsidP="00BB138C">
      <w:pPr>
        <w:pStyle w:val="MastersThesisSectionHeader"/>
      </w:pPr>
      <w:bookmarkStart w:id="688" w:name="_Toc139574870"/>
      <w:bookmarkStart w:id="689" w:name="_Toc141478740"/>
      <w:r w:rsidRPr="003F0091">
        <w:t>Sensory Panel Analysis</w:t>
      </w:r>
      <w:bookmarkEnd w:id="688"/>
      <w:bookmarkEnd w:id="689"/>
    </w:p>
    <w:p w14:paraId="01F3D845" w14:textId="7B1237C7" w:rsidR="00BB138C" w:rsidRPr="003F0091" w:rsidRDefault="00BB138C" w:rsidP="00BB138C">
      <w:pPr>
        <w:pStyle w:val="MSThesisBodyTextJustified"/>
        <w:rPr>
          <w:color w:val="000000" w:themeColor="text1"/>
        </w:rPr>
      </w:pPr>
      <w:r w:rsidRPr="003F0091">
        <w:rPr>
          <w:color w:val="000000" w:themeColor="text1"/>
        </w:rPr>
        <w:t>The sensory panel evaluations conducted during summer and winter aimed to assess the influence of season and supplemental lighting type on consumers' overall liking</w:t>
      </w:r>
      <w:r>
        <w:rPr>
          <w:color w:val="000000" w:themeColor="text1"/>
        </w:rPr>
        <w:t xml:space="preserve"> (Table </w:t>
      </w:r>
      <w:r w:rsidR="00C765CB" w:rsidRPr="00BA2365">
        <w:t>5.</w:t>
      </w:r>
      <w:r>
        <w:rPr>
          <w:color w:val="000000" w:themeColor="text1"/>
        </w:rPr>
        <w:t>9)</w:t>
      </w:r>
      <w:r w:rsidRPr="003F0091">
        <w:rPr>
          <w:color w:val="000000" w:themeColor="text1"/>
        </w:rPr>
        <w:t>, overall aroma intensity</w:t>
      </w:r>
      <w:r>
        <w:rPr>
          <w:color w:val="000000" w:themeColor="text1"/>
        </w:rPr>
        <w:t xml:space="preserve"> (Table </w:t>
      </w:r>
      <w:r w:rsidR="00C765CB" w:rsidRPr="00BA2365">
        <w:t>5.</w:t>
      </w:r>
      <w:r>
        <w:rPr>
          <w:color w:val="000000" w:themeColor="text1"/>
        </w:rPr>
        <w:t>10)</w:t>
      </w:r>
      <w:r w:rsidRPr="003F0091">
        <w:rPr>
          <w:color w:val="000000" w:themeColor="text1"/>
        </w:rPr>
        <w:t>, and identification of key odor descriptors</w:t>
      </w:r>
      <w:r>
        <w:rPr>
          <w:color w:val="000000" w:themeColor="text1"/>
        </w:rPr>
        <w:t xml:space="preserve"> (Figs. </w:t>
      </w:r>
      <w:r w:rsidR="00C765CB" w:rsidRPr="00BA2365">
        <w:t>5.</w:t>
      </w:r>
      <w:r>
        <w:rPr>
          <w:color w:val="000000" w:themeColor="text1"/>
        </w:rPr>
        <w:t xml:space="preserve">3 and </w:t>
      </w:r>
      <w:r w:rsidR="00C765CB" w:rsidRPr="00BA2365">
        <w:t>5.</w:t>
      </w:r>
      <w:r>
        <w:rPr>
          <w:color w:val="000000" w:themeColor="text1"/>
        </w:rPr>
        <w:t>4)</w:t>
      </w:r>
      <w:r w:rsidRPr="003F0091">
        <w:rPr>
          <w:color w:val="000000" w:themeColor="text1"/>
        </w:rPr>
        <w:t xml:space="preserve">. </w:t>
      </w:r>
    </w:p>
    <w:p w14:paraId="02BC7715" w14:textId="51061091" w:rsidR="00BB138C" w:rsidRPr="003F0091" w:rsidRDefault="00BB138C" w:rsidP="00BB138C">
      <w:pPr>
        <w:pStyle w:val="MSThesisBodyTextJustified"/>
        <w:rPr>
          <w:color w:val="000000" w:themeColor="text1"/>
        </w:rPr>
      </w:pPr>
      <w:r w:rsidRPr="003F0091">
        <w:rPr>
          <w:color w:val="000000" w:themeColor="text1"/>
        </w:rPr>
        <w:lastRenderedPageBreak/>
        <w:t>Results revealed that lighting treatment significantly impacted consumers' overall aroma liking scores, with the NL control receiving the highest scores in both seasons. During the summer, participants favored samples grown under Broadband White, HPS, and NL Control compared to those grown under Narrowband 20B/80R treatment. In contrast, Broadband White and Narrowband 20B/80R treatments received the lowest scores during winter. Interestingly, while significant differences were observed among many compound tissue concentrations, no statistically significant differences were found among consumer aroma intensity scores across lighting treatments and growing seasons</w:t>
      </w:r>
      <w:r>
        <w:rPr>
          <w:color w:val="000000" w:themeColor="text1"/>
        </w:rPr>
        <w:t xml:space="preserve"> (Table </w:t>
      </w:r>
      <w:r w:rsidR="00C765CB" w:rsidRPr="00BA2365">
        <w:t>5.</w:t>
      </w:r>
      <w:r>
        <w:rPr>
          <w:color w:val="000000" w:themeColor="text1"/>
        </w:rPr>
        <w:t>10)</w:t>
      </w:r>
      <w:r w:rsidRPr="003F0091">
        <w:rPr>
          <w:color w:val="000000" w:themeColor="text1"/>
        </w:rPr>
        <w:t>.</w:t>
      </w:r>
    </w:p>
    <w:p w14:paraId="133113F6" w14:textId="77777777" w:rsidR="00BB138C" w:rsidRPr="003F0091" w:rsidRDefault="00BB138C" w:rsidP="00BB138C">
      <w:pPr>
        <w:pStyle w:val="MSThesisBodyTextJustified"/>
        <w:rPr>
          <w:color w:val="000000" w:themeColor="text1"/>
        </w:rPr>
      </w:pPr>
      <w:r w:rsidRPr="003F0091">
        <w:rPr>
          <w:color w:val="000000" w:themeColor="text1"/>
        </w:rPr>
        <w:t>Our study investigating the influence of different supplemental lighting on the aroma liking of basil revealed several key findings that warrant further discussion. First, consumers preferred the aroma of the NL control over the NB SL treatment in both seasons. Second, during the summer, this preference was likely caused by the difference in spectral quality. Third, DLI is likely not a significant factor because the two SL treatments had the same DLI supplement and perceived daylength as NB, but did not significantly influence (decrease) overall liking scores. Lastly, during the winter season, NL control was preferred over BW, indicating a clear influence from spectral quality, with HPS not statistically separating from the NL control.</w:t>
      </w:r>
    </w:p>
    <w:p w14:paraId="5CD778BC" w14:textId="77777777" w:rsidR="00BB138C" w:rsidRPr="003F0091" w:rsidRDefault="00BB138C" w:rsidP="00BB138C">
      <w:pPr>
        <w:pStyle w:val="MSThesisBodyTextJustified"/>
        <w:rPr>
          <w:color w:val="000000" w:themeColor="text1"/>
        </w:rPr>
      </w:pPr>
      <w:r w:rsidRPr="003F0091">
        <w:rPr>
          <w:color w:val="000000" w:themeColor="text1"/>
        </w:rPr>
        <w:t>The preference for the NL control's aroma over the NB SL treatment could be attributed to natural sunlight providing a broad spectrum of wavelengths, which may contribute to a more balanced and appealing aroma profile in basil. In contrast, the NB SL treatment delivers specific wavelengths that may alter the aromatic compound production in the plants, leading to a less desirable aroma. Furthermore, spectral quality plays a crucial role in plant development and metabolism, and the observed differences in consumer preferences highlight the importance of considering spectral quality when designing SL strategies for basil production.</w:t>
      </w:r>
    </w:p>
    <w:p w14:paraId="513FBB9A" w14:textId="77777777" w:rsidR="00BB138C" w:rsidRPr="003F0091" w:rsidRDefault="00BB138C" w:rsidP="00BB138C">
      <w:pPr>
        <w:pStyle w:val="MSThesisBodyTextJustified"/>
        <w:rPr>
          <w:color w:val="000000" w:themeColor="text1"/>
        </w:rPr>
      </w:pPr>
      <w:r w:rsidRPr="003F0091">
        <w:rPr>
          <w:color w:val="000000" w:themeColor="text1"/>
        </w:rPr>
        <w:lastRenderedPageBreak/>
        <w:t>Extra light and targeted spectra could have increased the concentration of certain compounds, negatively influencing aroma. B/R wavelengths are known to trigger photoreceptors, which in turn can affect secondary metabolism. Narrowband wavelengths within the visible spectrum, as well as ultraviolet (UV) and far-red (FR), have been shown to influence secondary metabolism in various studies, highlighting the need to better understand how these targeted spectra affect the sensory properties of herbs, including basil.</w:t>
      </w:r>
    </w:p>
    <w:p w14:paraId="150CDB83" w14:textId="77777777" w:rsidR="00BB138C" w:rsidRPr="003F0091" w:rsidRDefault="00BB138C" w:rsidP="00BB138C">
      <w:pPr>
        <w:pStyle w:val="MSThesisBodyTextJustified"/>
        <w:rPr>
          <w:color w:val="000000" w:themeColor="text1"/>
        </w:rPr>
      </w:pPr>
      <w:r w:rsidRPr="003F0091">
        <w:rPr>
          <w:color w:val="000000" w:themeColor="text1"/>
        </w:rPr>
        <w:t>During the summer season, the preference for the NL control could be explained by the fact that summer sunlight already provides sufficient light for optimal basil growth. The addition of NB treatment during this period might have introduced specific wavelengths that altered the balance of naturally occurring light, leading to changes in the aroma profile that was less appealing to consumers. This finding underscores the need to better understand how different light spectra interact with natural sunlight to optimize supplemental lighting strategies for various crop species and growth stages.</w:t>
      </w:r>
    </w:p>
    <w:p w14:paraId="294DFEE4" w14:textId="77777777" w:rsidR="00BB138C" w:rsidRPr="003F0091" w:rsidRDefault="00BB138C" w:rsidP="00BB138C">
      <w:pPr>
        <w:pStyle w:val="MSThesisBodyTextJustified"/>
        <w:rPr>
          <w:color w:val="000000" w:themeColor="text1"/>
        </w:rPr>
      </w:pPr>
      <w:r w:rsidRPr="003F0091">
        <w:rPr>
          <w:color w:val="000000" w:themeColor="text1"/>
        </w:rPr>
        <w:t xml:space="preserve">DLI does not appear to significantly influence consumer preferences in our study. The two SL treatments (HPS and BW) had the same DLI supplement and perceived daylength as NB, but they did not negatively influence overall liking scores. This observation suggests that other factors, specifically spectral quality, may be more critical in determining consumer preferences for basil aroma during summer, when DLI and spectral quality are sufficient. </w:t>
      </w:r>
    </w:p>
    <w:p w14:paraId="3038438D" w14:textId="77777777" w:rsidR="00BB138C" w:rsidRPr="003F0091" w:rsidRDefault="00BB138C" w:rsidP="00BB138C">
      <w:pPr>
        <w:pStyle w:val="MSThesisBodyTextJustified"/>
        <w:rPr>
          <w:color w:val="000000" w:themeColor="text1"/>
        </w:rPr>
      </w:pPr>
      <w:r w:rsidRPr="003F0091">
        <w:rPr>
          <w:color w:val="000000" w:themeColor="text1"/>
        </w:rPr>
        <w:t xml:space="preserve">During the winter season, NL control was preferred over BW, indicating a clear influence from spectral quality. Having equal DLIs and perceived daylengths, the primary difference between HPS and BW/NB is the higher ratio of red and far-red wavelengths, which are known to influence secondary metabolism. This finding suggests that the targeted ratio of red and far-red wavelengths in HPS may contribute to its similar preference to the NL control. Winter had better </w:t>
      </w:r>
      <w:r w:rsidRPr="003F0091">
        <w:rPr>
          <w:color w:val="000000" w:themeColor="text1"/>
        </w:rPr>
        <w:lastRenderedPageBreak/>
        <w:t xml:space="preserve">overall liking score separation, likely because the lighting treatments had a greater influence during the winter than the summer. This can be likely be attributed to reduced DLI and unfavorable spectral quality during the winter season. Despite having sufficient DLI and spectral quality, the effects of supplemental lighting were still observed during the summer, with the NB treatment being the least preferred across both growing seasons. The preference for NL control over NB treatment are likely due to specific aroma volatile compounds being manipulated from NB blue and red wavelengths. The targeted wavelengths in NB treatment are known to influence specific photoreceptors, which can trigger changes in secondary metabolism and directly influence aroma perception, ultimately affecting consumer preferences. </w:t>
      </w:r>
    </w:p>
    <w:p w14:paraId="79844013" w14:textId="77777777" w:rsidR="00BB138C" w:rsidRPr="003F0091" w:rsidRDefault="00BB138C" w:rsidP="00BB138C">
      <w:pPr>
        <w:pStyle w:val="MSThesisBodyTextJustified"/>
        <w:rPr>
          <w:color w:val="000000" w:themeColor="text1"/>
        </w:rPr>
      </w:pPr>
      <w:r w:rsidRPr="003F0091">
        <w:rPr>
          <w:color w:val="000000" w:themeColor="text1"/>
        </w:rPr>
        <w:t>Interesting patterns were uncovered in the concentrations of (E)-Ocimene and (Z)-Ocimene, two important aroma compounds known to contribute to basil's aroma perception. (E)-Ocimene has a warm, herbaceous, citrus, tropical, green, grassy, and woody odor. On the other hand, (Z)-Ocimene has a warm, floral, sweet odor with spicy and earthy undertone</w:t>
      </w:r>
      <w:r>
        <w:rPr>
          <w:color w:val="000000" w:themeColor="text1"/>
        </w:rPr>
        <w:t xml:space="preserve">s </w:t>
      </w:r>
      <w:r>
        <w:rPr>
          <w:noProof/>
          <w:color w:val="000000" w:themeColor="text1"/>
        </w:rPr>
        <w:t>(</w:t>
      </w:r>
      <w:r w:rsidRPr="002C446A">
        <w:rPr>
          <w:rFonts w:cstheme="minorBidi"/>
        </w:rPr>
        <w:t>Sell, 2019</w:t>
      </w:r>
      <w:r>
        <w:rPr>
          <w:noProof/>
          <w:color w:val="000000" w:themeColor="text1"/>
        </w:rPr>
        <w:t>)</w:t>
      </w:r>
      <w:r>
        <w:rPr>
          <w:color w:val="000000" w:themeColor="text1"/>
        </w:rPr>
        <w:t xml:space="preserve">. </w:t>
      </w:r>
      <w:r w:rsidRPr="003F0091">
        <w:rPr>
          <w:color w:val="000000" w:themeColor="text1"/>
        </w:rPr>
        <w:t xml:space="preserve"> </w:t>
      </w:r>
    </w:p>
    <w:p w14:paraId="619B2085" w14:textId="04F2D524" w:rsidR="00BB138C" w:rsidRPr="003F0091" w:rsidRDefault="00BB138C" w:rsidP="00BB138C">
      <w:pPr>
        <w:pStyle w:val="MSThesisBodyTextJustified"/>
        <w:rPr>
          <w:color w:val="000000" w:themeColor="text1"/>
        </w:rPr>
      </w:pPr>
      <w:r w:rsidRPr="003F0091">
        <w:rPr>
          <w:color w:val="000000" w:themeColor="text1"/>
        </w:rPr>
        <w:t>During the summer, (E)-Ocimene tissue concentrations were 20% higher than (Z)-Ocimene concentrations, while during the winter, (Z)-Ocimene concentrations were 53% higher than (E)-Ocimene concentrations. These opposing changes across seasons could be linked to variations in light conditions, with supplemental lighting treatments potentially playing a role in modulating these aroma compound concentrations. Notably, (E)-Ocimene concentration was statistically higher in the NB treatment, whereas (Z)-</w:t>
      </w:r>
      <w:r>
        <w:rPr>
          <w:color w:val="000000" w:themeColor="text1"/>
        </w:rPr>
        <w:t>O</w:t>
      </w:r>
      <w:r w:rsidRPr="003F0091">
        <w:rPr>
          <w:color w:val="000000" w:themeColor="text1"/>
        </w:rPr>
        <w:t>cimene was statistically higher in the NL control</w:t>
      </w:r>
      <w:r>
        <w:rPr>
          <w:color w:val="000000" w:themeColor="text1"/>
        </w:rPr>
        <w:t xml:space="preserve"> (Table </w:t>
      </w:r>
      <w:r w:rsidR="00C765CB" w:rsidRPr="00BA2365">
        <w:t>5.</w:t>
      </w:r>
      <w:r>
        <w:rPr>
          <w:color w:val="000000" w:themeColor="text1"/>
        </w:rPr>
        <w:t>6)</w:t>
      </w:r>
      <w:r w:rsidRPr="003F0091">
        <w:rPr>
          <w:color w:val="000000" w:themeColor="text1"/>
        </w:rPr>
        <w:t>.</w:t>
      </w:r>
    </w:p>
    <w:p w14:paraId="173B85D4" w14:textId="77777777" w:rsidR="00BB138C" w:rsidRPr="003F0091" w:rsidRDefault="00BB138C" w:rsidP="00BB138C">
      <w:pPr>
        <w:pStyle w:val="MSThesisBodyTextJustified"/>
        <w:rPr>
          <w:color w:val="000000" w:themeColor="text1"/>
        </w:rPr>
      </w:pPr>
      <w:r w:rsidRPr="003F0091">
        <w:rPr>
          <w:color w:val="000000" w:themeColor="text1"/>
        </w:rPr>
        <w:t>The observed differences in (E/Z)-</w:t>
      </w:r>
      <w:r>
        <w:rPr>
          <w:color w:val="000000" w:themeColor="text1"/>
        </w:rPr>
        <w:t>O</w:t>
      </w:r>
      <w:r w:rsidRPr="003F0091">
        <w:rPr>
          <w:color w:val="000000" w:themeColor="text1"/>
        </w:rPr>
        <w:t xml:space="preserve">cimene concentrations between lighting treatments and seasons suggest that changes in light conditions, such as spectral quality, can influence the production of these aroma compounds and, consequently, overall aroma liking. The targeted </w:t>
      </w:r>
      <w:r w:rsidRPr="003F0091">
        <w:rPr>
          <w:color w:val="000000" w:themeColor="text1"/>
        </w:rPr>
        <w:lastRenderedPageBreak/>
        <w:t>wavelengths in SL treatments, particularly NB, may impact specific photoreceptors and secondary metabolic pathways responsible for the synthesis of (E/Z)-Ocimene.</w:t>
      </w:r>
    </w:p>
    <w:p w14:paraId="6189E4FD" w14:textId="77777777" w:rsidR="00BB138C" w:rsidRPr="003F0091" w:rsidRDefault="00BB138C" w:rsidP="00BB138C">
      <w:pPr>
        <w:pStyle w:val="MSThesisBodyTextJustified"/>
        <w:rPr>
          <w:color w:val="000000" w:themeColor="text1"/>
        </w:rPr>
      </w:pPr>
      <w:r w:rsidRPr="003F0091">
        <w:rPr>
          <w:color w:val="000000" w:themeColor="text1"/>
        </w:rPr>
        <w:t>Notably, the treatments did not impact overall aroma intensity perception, despite the substantial differences in total VOC concentrations across treatments. One potential explanation for this observation could be the sampling variation among panelists, which may have introduced inconsistencies in the perception of aroma intensity. Although present in statistically different concentrations, certain VOCs may not have significantly contributed to the perceived intensity due to their individual odor thresholds or interactions with other aroma compounds.</w:t>
      </w:r>
    </w:p>
    <w:p w14:paraId="0222A8FD" w14:textId="7D009677" w:rsidR="00BB138C" w:rsidRPr="003F0091" w:rsidRDefault="00BB138C" w:rsidP="00BB138C">
      <w:pPr>
        <w:pStyle w:val="MSThesisBodyTextJustified"/>
        <w:rPr>
          <w:color w:val="000000" w:themeColor="text1"/>
        </w:rPr>
      </w:pPr>
      <w:r w:rsidRPr="003F0091">
        <w:rPr>
          <w:color w:val="000000" w:themeColor="text1"/>
        </w:rPr>
        <w:t xml:space="preserve">While various sensory evaluation protocols can be used to determine consumer perception and preference, this experiment focused on </w:t>
      </w:r>
      <w:r w:rsidR="00F74D7C">
        <w:rPr>
          <w:color w:val="000000" w:themeColor="text1"/>
        </w:rPr>
        <w:t>orthonasal</w:t>
      </w:r>
      <w:r w:rsidRPr="003F0091">
        <w:rPr>
          <w:color w:val="000000" w:themeColor="text1"/>
        </w:rPr>
        <w:t xml:space="preserve"> aroma to reduce </w:t>
      </w:r>
      <w:r w:rsidR="00F74D7C">
        <w:rPr>
          <w:color w:val="000000" w:themeColor="text1"/>
        </w:rPr>
        <w:t>participant fatigue, sample carryover</w:t>
      </w:r>
      <w:r w:rsidR="003F6195">
        <w:rPr>
          <w:color w:val="000000" w:themeColor="text1"/>
        </w:rPr>
        <w:t>,</w:t>
      </w:r>
      <w:r w:rsidRPr="003F0091">
        <w:rPr>
          <w:color w:val="000000" w:themeColor="text1"/>
        </w:rPr>
        <w:t xml:space="preserve"> and improve olfactory response comparisons to HS GC-MS data. That being said, it is essential to consider that evaluating basil through consumption, encompassing both </w:t>
      </w:r>
      <w:r w:rsidR="003F6195">
        <w:rPr>
          <w:color w:val="000000" w:themeColor="text1"/>
        </w:rPr>
        <w:t xml:space="preserve">retronasal </w:t>
      </w:r>
      <w:r w:rsidRPr="003F0091">
        <w:rPr>
          <w:color w:val="000000" w:themeColor="text1"/>
        </w:rPr>
        <w:t xml:space="preserve">aroma and </w:t>
      </w:r>
      <w:r w:rsidR="003F6195">
        <w:rPr>
          <w:color w:val="000000" w:themeColor="text1"/>
        </w:rPr>
        <w:t>taste</w:t>
      </w:r>
      <w:r w:rsidRPr="003F0091">
        <w:rPr>
          <w:color w:val="000000" w:themeColor="text1"/>
        </w:rPr>
        <w:t xml:space="preserve">, could reveal additional sensory properties that play a crucial role in consumer preference. </w:t>
      </w:r>
      <w:r w:rsidR="00FC552D">
        <w:rPr>
          <w:color w:val="000000" w:themeColor="text1"/>
        </w:rPr>
        <w:t>It has been shown that humans show a different response to the same odors across routes (</w:t>
      </w:r>
      <w:r w:rsidR="00A37527">
        <w:rPr>
          <w:color w:val="000000" w:themeColor="text1"/>
        </w:rPr>
        <w:t>Heilmann and Hummel, 2004; Pellegrino et. al, 2021</w:t>
      </w:r>
      <w:r w:rsidR="00FC552D">
        <w:rPr>
          <w:color w:val="000000" w:themeColor="text1"/>
        </w:rPr>
        <w:t>).</w:t>
      </w:r>
      <w:r w:rsidR="00A37527">
        <w:rPr>
          <w:color w:val="000000" w:themeColor="text1"/>
        </w:rPr>
        <w:t xml:space="preserve"> </w:t>
      </w:r>
      <w:r w:rsidRPr="003F0091">
        <w:rPr>
          <w:color w:val="000000" w:themeColor="text1"/>
        </w:rPr>
        <w:t xml:space="preserve">The complex interplay between aroma and </w:t>
      </w:r>
      <w:r w:rsidR="003F6195">
        <w:rPr>
          <w:color w:val="000000" w:themeColor="text1"/>
        </w:rPr>
        <w:t>taste</w:t>
      </w:r>
      <w:r w:rsidRPr="003F0091">
        <w:rPr>
          <w:color w:val="000000" w:themeColor="text1"/>
        </w:rPr>
        <w:t>, as well as other sensory attributes such as texture and mouthfeel, could provide a more comprehensive understanding of the factors that contribute to the overall appeal of basil in the context of varying light conditions and supplemental lighting treatments. Investigating the role of temporal factors and other environmental factors, such as post-harvest treatment and sampling procedures, could also influence sensory perception.</w:t>
      </w:r>
    </w:p>
    <w:p w14:paraId="06B994AE" w14:textId="6E879A13" w:rsidR="00BB138C" w:rsidRPr="003F0091" w:rsidRDefault="00BB138C" w:rsidP="00BB138C">
      <w:pPr>
        <w:pStyle w:val="MSThesisBodyTextJustified"/>
        <w:rPr>
          <w:color w:val="000000" w:themeColor="text1"/>
        </w:rPr>
      </w:pPr>
      <w:r w:rsidRPr="003F0091">
        <w:rPr>
          <w:color w:val="000000" w:themeColor="text1"/>
        </w:rPr>
        <w:t xml:space="preserve">One important factor to consider is that PVOCs have different bioactivities in humans, and a slight concentration increase of certain compounds can dramatically influence its perception as well as the overall flavor of an herb or high-value specialty crop. </w:t>
      </w:r>
      <w:r w:rsidR="003F6195">
        <w:rPr>
          <w:color w:val="000000" w:themeColor="text1"/>
        </w:rPr>
        <w:t xml:space="preserve">In multicomponent aromas, such </w:t>
      </w:r>
      <w:r w:rsidR="003F6195">
        <w:rPr>
          <w:color w:val="000000" w:themeColor="text1"/>
        </w:rPr>
        <w:lastRenderedPageBreak/>
        <w:t>as basil, the absence or presence of an odorant is infrequently noticed by humans (</w:t>
      </w:r>
      <w:r w:rsidR="00A37527">
        <w:rPr>
          <w:color w:val="000000" w:themeColor="text1"/>
        </w:rPr>
        <w:t>Luckett el. al, 2021</w:t>
      </w:r>
      <w:r w:rsidR="003F6195">
        <w:rPr>
          <w:color w:val="000000" w:themeColor="text1"/>
        </w:rPr>
        <w:t xml:space="preserve">). </w:t>
      </w:r>
      <w:r w:rsidRPr="003F0091">
        <w:rPr>
          <w:color w:val="000000" w:themeColor="text1"/>
        </w:rPr>
        <w:t xml:space="preserve">While the VOC profile (i.e., relative ratios and quantified concentrations of each VOC produced) </w:t>
      </w:r>
      <w:r w:rsidR="003F6195">
        <w:rPr>
          <w:color w:val="000000" w:themeColor="text1"/>
        </w:rPr>
        <w:t>can influence</w:t>
      </w:r>
      <w:r w:rsidR="003F6195" w:rsidRPr="003F0091">
        <w:rPr>
          <w:color w:val="000000" w:themeColor="text1"/>
        </w:rPr>
        <w:t xml:space="preserve"> </w:t>
      </w:r>
      <w:r w:rsidRPr="003F0091">
        <w:rPr>
          <w:color w:val="000000" w:themeColor="text1"/>
        </w:rPr>
        <w:t xml:space="preserve">human sensory perception, specific odorants influence the perceived aroma profile more than others. The enhancement of some compound concentrations outside of the </w:t>
      </w:r>
      <w:r w:rsidR="00984F39">
        <w:rPr>
          <w:color w:val="000000" w:themeColor="text1"/>
        </w:rPr>
        <w:t>conventionally</w:t>
      </w:r>
      <w:r w:rsidR="00984F39" w:rsidRPr="003F0091">
        <w:rPr>
          <w:color w:val="000000" w:themeColor="text1"/>
        </w:rPr>
        <w:t xml:space="preserve"> </w:t>
      </w:r>
      <w:r w:rsidRPr="003F0091">
        <w:rPr>
          <w:color w:val="000000" w:themeColor="text1"/>
        </w:rPr>
        <w:t xml:space="preserve">occurring relative ratios and quantified concentrations can influence flavor perception or preference, which this study reaffirms. Further, the overall aroma preference of basil can be influenced based on lighting treatment and season, while the overall aroma intensity of basil perception is not. </w:t>
      </w:r>
    </w:p>
    <w:p w14:paraId="1889957B" w14:textId="72E785B1" w:rsidR="00BB138C" w:rsidRPr="003F0091" w:rsidRDefault="00BB138C" w:rsidP="00BB138C">
      <w:pPr>
        <w:pStyle w:val="MSThesisBodyTextJustified"/>
        <w:rPr>
          <w:color w:val="000000" w:themeColor="text1"/>
        </w:rPr>
      </w:pPr>
      <w:r w:rsidRPr="003F0091">
        <w:rPr>
          <w:color w:val="000000" w:themeColor="text1"/>
        </w:rPr>
        <w:t>The correspondence analysis factor map generated using CATA descriptor responses provides insights into the general relationship between basil samples from each lighting treatment and associated CATA responses</w:t>
      </w:r>
      <w:r>
        <w:rPr>
          <w:color w:val="000000" w:themeColor="text1"/>
        </w:rPr>
        <w:t xml:space="preserve"> (Fig. </w:t>
      </w:r>
      <w:r w:rsidR="00C765CB" w:rsidRPr="00BA2365">
        <w:t>5.</w:t>
      </w:r>
      <w:r>
        <w:rPr>
          <w:color w:val="000000" w:themeColor="text1"/>
        </w:rPr>
        <w:t>3)</w:t>
      </w:r>
      <w:r w:rsidRPr="003F0091">
        <w:rPr>
          <w:color w:val="000000" w:themeColor="text1"/>
        </w:rPr>
        <w:t>. Consumers were generally able to discriminate specific odor descriptors that are known to be associated with key basil odorants and important for basil sensory perception. Dimension 1 accounted for 57.93% of the variation in CATA response data, while Dimension 2 accounted for 31.48%. The factor map separated the four lighting treatments into distinct quadrants, associating them with specific odor descriptors. Notably, the Narrowband 20B/80R treatment was associated with descriptors like "anise," "grassy," and "pungent," while the Broadband White treatment was linked to "nutty" and "honey" descriptors.</w:t>
      </w:r>
    </w:p>
    <w:p w14:paraId="713857FA" w14:textId="77777777" w:rsidR="00BB138C" w:rsidRPr="003F0091" w:rsidRDefault="00BB138C" w:rsidP="00BB138C">
      <w:pPr>
        <w:pStyle w:val="MSThesisBodyTextJustified"/>
        <w:rPr>
          <w:color w:val="000000" w:themeColor="text1"/>
        </w:rPr>
      </w:pPr>
      <w:r w:rsidRPr="003F0091">
        <w:rPr>
          <w:color w:val="000000" w:themeColor="text1"/>
        </w:rPr>
        <w:t>The observed increase in (E)-Ocimene concentrations under the NB treatment is likely responsible for the "grassy" descriptor associated with this treatment and the subsequent decrease in overall aroma liking. In contrast, the NL control exhibited a stronger association with "fresh" and "spicy" descriptors, which are characteristic aroma notes of (Z)-Ocimene. This can likely be attributed to the higher concentrations of (Z)-Ocimene found in the NL control treatment, resulting in a more appealing aroma profile for consumers.</w:t>
      </w:r>
    </w:p>
    <w:p w14:paraId="19940DA4" w14:textId="0119F2C4" w:rsidR="00BB138C" w:rsidRPr="003F0091" w:rsidRDefault="00BB138C" w:rsidP="00BB138C">
      <w:pPr>
        <w:pStyle w:val="MSThesisBodyTextJustified"/>
        <w:rPr>
          <w:color w:val="000000" w:themeColor="text1"/>
        </w:rPr>
      </w:pPr>
      <w:r w:rsidRPr="003F0091">
        <w:rPr>
          <w:color w:val="000000" w:themeColor="text1"/>
        </w:rPr>
        <w:lastRenderedPageBreak/>
        <w:t>The CATA descriptor scores successfully predicted overall liking, accounting for over 89.41% of the variance in liking. A total of 11 CATA descriptors surpassed the Variable Importance in Projection threshold set for the Partial Least Squares model (VIP &gt; 0.8), indicating their significance in predicting overall liking</w:t>
      </w:r>
      <w:r>
        <w:rPr>
          <w:color w:val="000000" w:themeColor="text1"/>
        </w:rPr>
        <w:t xml:space="preserve"> (Fig. </w:t>
      </w:r>
      <w:r w:rsidR="00C765CB" w:rsidRPr="00BA2365">
        <w:t>5.</w:t>
      </w:r>
      <w:r>
        <w:rPr>
          <w:color w:val="000000" w:themeColor="text1"/>
        </w:rPr>
        <w:t>4)</w:t>
      </w:r>
      <w:r w:rsidRPr="003F0091">
        <w:rPr>
          <w:color w:val="000000" w:themeColor="text1"/>
        </w:rPr>
        <w:t>. The most influential positive drivers of liking were "fresh" and "flavor intensity." Even though participants could not differentiate overall intensities between lighting treatments or seasons, the PLS model identified "flavor intensity" as a primary driver of liking. Further investigation into the 11 descriptors that were found to be relevant to liking the aroma of basil is necessary. This investigation should focus on optimizing aroma perception through the use of specific SL lighting regimes coordinated with the ambient solar spectrum.</w:t>
      </w:r>
    </w:p>
    <w:p w14:paraId="4B9190B1" w14:textId="1A2337D5" w:rsidR="00BB138C" w:rsidRPr="003F0091" w:rsidRDefault="00BB138C" w:rsidP="00CF62B9">
      <w:pPr>
        <w:pStyle w:val="MSThesisBodyTextJustified"/>
        <w:rPr>
          <w:color w:val="000000" w:themeColor="text1"/>
        </w:rPr>
      </w:pPr>
      <w:r w:rsidRPr="003F0091">
        <w:rPr>
          <w:color w:val="000000" w:themeColor="text1"/>
        </w:rPr>
        <w:t>Other moderately influential positive drivers of liking included minty, herbaceous, floral, eucalyptus, and green descriptors. On the other hand, pungent and putrid descriptors were the most negative drivers of liking, with bitter and mushroom descriptors being moderately influential negative drivers. Investigating both positive and negative drivers of liking of aroma perception in high-value specialty crops helps researchers better understand how certain environmental variables, such as lighting regimes, affect overall aroma perception. Commercial growing operations can balance economics and environmental control to meet customer preferences and maximize satisfaction by understanding the factors influencing crop sensory quality. Exploring drivers of liking helps create an accurate model for predicting consumer preferences and provides guidelines for optimizing lighting parameters. This experiment has shown that for future experiments investigating supplemental and sole-source horticultural lighting, it will be imperative to integrate sensory panels to ensure that yields and nutrient content are balanced with aroma, flavor, and sensory perception.</w:t>
      </w:r>
    </w:p>
    <w:p w14:paraId="2A68B0D1" w14:textId="77777777" w:rsidR="00BB138C" w:rsidRPr="003F0091" w:rsidRDefault="00BB138C" w:rsidP="00BB138C">
      <w:pPr>
        <w:pStyle w:val="MastersThesisSectionHeader"/>
      </w:pPr>
      <w:bookmarkStart w:id="690" w:name="_Toc139574871"/>
      <w:bookmarkStart w:id="691" w:name="_Toc141478741"/>
      <w:r w:rsidRPr="003F0091">
        <w:lastRenderedPageBreak/>
        <w:t>Transcriptome Analysis</w:t>
      </w:r>
      <w:bookmarkEnd w:id="690"/>
      <w:bookmarkEnd w:id="691"/>
    </w:p>
    <w:p w14:paraId="0D540597" w14:textId="77777777" w:rsidR="00BB138C" w:rsidRPr="003F0091" w:rsidRDefault="00BB138C" w:rsidP="00BB138C">
      <w:pPr>
        <w:spacing w:line="240" w:lineRule="auto"/>
        <w:rPr>
          <w:rFonts w:cs="Times New Roman"/>
        </w:rPr>
      </w:pPr>
    </w:p>
    <w:p w14:paraId="6B672627" w14:textId="31D1D5A8" w:rsidR="00BB138C" w:rsidRPr="003F0091" w:rsidRDefault="00BB138C" w:rsidP="00BB138C">
      <w:pPr>
        <w:pStyle w:val="MSThesisBodyTextJustified"/>
      </w:pPr>
      <w:r w:rsidRPr="003F0091">
        <w:t>RNA sequencing and transcriptomic analyses were used to investigate the impact of SL and ambient spectra on the regulation of secondary metabolism and human sensory perception of basil. Our results revealed a significant number of differentially expressed genes (DEGs) across both summer and winter growing seasons, with distinct patterns of upregulation and downregulation observed across different light treatments</w:t>
      </w:r>
      <w:r>
        <w:t xml:space="preserve"> (Table </w:t>
      </w:r>
      <w:r w:rsidR="00C765CB" w:rsidRPr="00BA2365">
        <w:t>5.</w:t>
      </w:r>
      <w:r>
        <w:t>11)</w:t>
      </w:r>
      <w:r w:rsidRPr="003F0091">
        <w:t>.</w:t>
      </w:r>
    </w:p>
    <w:p w14:paraId="6F2F9E20" w14:textId="77777777" w:rsidR="00BB138C" w:rsidRPr="003F0091" w:rsidRDefault="00BB138C" w:rsidP="00BB138C">
      <w:pPr>
        <w:pStyle w:val="MSThesisBodyTextJustified"/>
      </w:pPr>
      <w:r w:rsidRPr="003F0091">
        <w:t>The substantial difference in the number of DEGs identified between the summer and winter growing seasons (4207 vs. 13110, respectively) suggests that the spectral quality and DLI of ambient sunlight significantly influence gene expression and secondary metabolism regulation. This finding is supported by previous research showing that environmental conditions can significantly impact plant metabolism and gene expression.</w:t>
      </w:r>
    </w:p>
    <w:p w14:paraId="10D22A7D" w14:textId="77777777" w:rsidR="00BB138C" w:rsidRPr="003F0091" w:rsidRDefault="00BB138C" w:rsidP="00BB138C">
      <w:pPr>
        <w:pStyle w:val="MSThesisBodyTextJustified"/>
      </w:pPr>
      <w:r w:rsidRPr="003F0091">
        <w:t xml:space="preserve">During both summer and winter, he Narrowband 20B/80R (NB) treatment had the highest number of DEGs compared to other supplemental lighting treatments, indicating a more pronounced effect on gene expression. In contrast, the High Pressure Sodium (HPS) treatment exhibited the lowest number of DEGs, suggesting a lesser impact on gene expression. </w:t>
      </w:r>
    </w:p>
    <w:p w14:paraId="69B4B06F" w14:textId="77777777" w:rsidR="00BB138C" w:rsidRPr="003F0091" w:rsidRDefault="00BB138C" w:rsidP="00BB138C">
      <w:pPr>
        <w:pStyle w:val="MSThesisBodyTextJustified"/>
      </w:pPr>
      <w:r w:rsidRPr="003F0091">
        <w:t>The least preferred treatment was NB, likely due to a number of transcriptional changes caused by this treatment that led to increases in key odorants, resulting in a decrease in overall liking. This finding highlights the importance of understanding the molecular mechanisms underlying the effect of light quality on secondary metabolism regulation and human sensory perception.</w:t>
      </w:r>
    </w:p>
    <w:p w14:paraId="53E186E9" w14:textId="77777777" w:rsidR="00BB138C" w:rsidRPr="003F0091" w:rsidRDefault="00BB138C" w:rsidP="00BB138C">
      <w:pPr>
        <w:pStyle w:val="MSThesisBodyTextJustified"/>
      </w:pPr>
      <w:r w:rsidRPr="003F0091">
        <w:t xml:space="preserve">Consumers preferred the Natural Light (NL) control treatment for both growing seasons, despite it having a lower daily light integral compared to SL treatments. This preference could be attributed to the balanced spectrum of natural light, which may lead to a more balanced regulation </w:t>
      </w:r>
      <w:r w:rsidRPr="003F0091">
        <w:lastRenderedPageBreak/>
        <w:t xml:space="preserve">of gene expression and secondary metabolite production as opposed to more intense narrowband wavelengths. It is likely that most consumers are accustomed to basil not being grown under narrowband lighting sources, and unusual aroma profiles or perceived off notes directly contribute to overall aroma liking. Based on the observed trends in DEGs, it is evident that different spectral qualities from SL treatments significantly influence gene expression, which in turn influences secondary metabolism and overall aroma liking. </w:t>
      </w:r>
    </w:p>
    <w:p w14:paraId="0E018AC4" w14:textId="77777777" w:rsidR="00BB138C" w:rsidRPr="003F0091" w:rsidRDefault="00BB138C" w:rsidP="00BB138C">
      <w:pPr>
        <w:pStyle w:val="MSThesisBodyTextJustified"/>
      </w:pPr>
    </w:p>
    <w:p w14:paraId="6C3526D1" w14:textId="77777777" w:rsidR="00BB138C" w:rsidRPr="003F0091" w:rsidRDefault="00BB138C" w:rsidP="00BB138C">
      <w:pPr>
        <w:pStyle w:val="MastersThesisSectionHeader"/>
      </w:pPr>
      <w:bookmarkStart w:id="692" w:name="_Toc139574872"/>
      <w:bookmarkStart w:id="693" w:name="_Toc141478742"/>
      <w:r w:rsidRPr="003F0091">
        <w:t>Principal Component Analysis</w:t>
      </w:r>
      <w:bookmarkEnd w:id="692"/>
      <w:bookmarkEnd w:id="693"/>
    </w:p>
    <w:p w14:paraId="4E1F00CF" w14:textId="780E9236" w:rsidR="00BB138C" w:rsidRPr="003F0091" w:rsidRDefault="00BB138C" w:rsidP="00BB138C">
      <w:pPr>
        <w:pStyle w:val="MSThesisBodyTextJustified"/>
      </w:pPr>
      <w:r w:rsidRPr="003F0091">
        <w:t xml:space="preserve">The principal component analysis (PCA) biplots provided a valuable visualization of the inherent structure and relationships among differentially expressed genes (DEGs) in our multidimensional dataset, comparing </w:t>
      </w:r>
      <w:r>
        <w:t>SL</w:t>
      </w:r>
      <w:r w:rsidRPr="003F0091">
        <w:t xml:space="preserve"> treatments of different spectral qualities with the natural light (NL) control. Figures </w:t>
      </w:r>
      <w:r w:rsidR="00C765CB" w:rsidRPr="00BA2365">
        <w:t>5.</w:t>
      </w:r>
      <w:r w:rsidRPr="003F0091">
        <w:t xml:space="preserve">6, </w:t>
      </w:r>
      <w:r w:rsidR="00C765CB" w:rsidRPr="00BA2365">
        <w:t>5.</w:t>
      </w:r>
      <w:r w:rsidRPr="003F0091">
        <w:t xml:space="preserve">7, and </w:t>
      </w:r>
      <w:r w:rsidR="00C765CB" w:rsidRPr="00BA2365">
        <w:t>5.</w:t>
      </w:r>
      <w:r w:rsidRPr="003F0091">
        <w:t xml:space="preserve">8 illustrate the PCA biplots comparing the effects of Narrowband 20B/80R (NB), Broadband White (BW), and High Pressure Sodium (HPS) </w:t>
      </w:r>
      <w:r>
        <w:t>SL</w:t>
      </w:r>
      <w:r w:rsidRPr="003F0091">
        <w:t xml:space="preserve"> treatments to the natural light (NL) control group on plant gene expression. The clustering patterns observed in these biplots suggest that the different lighting treatments impact gene expression in distinct ways, leading to variations in secondary metabolism and aroma liking. For instance, in Figure </w:t>
      </w:r>
      <w:r w:rsidR="00E464CB" w:rsidRPr="00BA2365">
        <w:t>5.</w:t>
      </w:r>
      <w:r w:rsidRPr="003F0091">
        <w:t xml:space="preserve">6, the separation between the NB treatment and NL control along the PC2 axis suggests that the NB treatment may lead to higher expression levels for the genes with positive loadings on PC2, while the NL control is associated with lower expression levels for these genes. This observation indicates that the targeted wavelengths provided by the NB treatment, which primarily consists of blue and red light, may impact specific photoreceptors and secondary metabolic pathways responsible for the synthesis of aroma compounds. </w:t>
      </w:r>
    </w:p>
    <w:p w14:paraId="166ED9CC" w14:textId="2918E023" w:rsidR="00BB138C" w:rsidRPr="003F0091" w:rsidRDefault="00BB138C" w:rsidP="00BB138C">
      <w:pPr>
        <w:pStyle w:val="MSThesisBodyTextJustified"/>
      </w:pPr>
      <w:r w:rsidRPr="003F0091">
        <w:lastRenderedPageBreak/>
        <w:t xml:space="preserve">In Figure </w:t>
      </w:r>
      <w:r w:rsidR="00C765CB" w:rsidRPr="00BA2365">
        <w:t>5.</w:t>
      </w:r>
      <w:r w:rsidRPr="003F0091">
        <w:t>7, the BW treatment samples formed cluster</w:t>
      </w:r>
      <w:r>
        <w:t>s</w:t>
      </w:r>
      <w:r w:rsidRPr="003F0091">
        <w:t xml:space="preserve"> in quadrant</w:t>
      </w:r>
      <w:r>
        <w:t>s I and III</w:t>
      </w:r>
      <w:r w:rsidRPr="003F0091">
        <w:t>, suggesting that this treatment group exhibits higher expression levels for the genes with positive loadings on both PC1 and PC2 compared to the NL control. Broadband white light has been shown to promote the synthesis of certain secondary metabolites, such as flavonoids and phenolic compounds, due to its ability to provide a more balanced spectrum of light that closely resembles sunlight (Li &amp; Kubota, 2017). This finding implies that the BW treatment may have a positive impact on secondary metabolism and aroma liking by stimulating gene expression and enhancing the production of aroma compounds.</w:t>
      </w:r>
    </w:p>
    <w:p w14:paraId="35A61D5C" w14:textId="3A5B6599" w:rsidR="00BB138C" w:rsidRDefault="00BB138C" w:rsidP="00BB138C">
      <w:pPr>
        <w:pStyle w:val="MSThesisBodyTextJustified"/>
      </w:pPr>
      <w:r w:rsidRPr="003F0091">
        <w:t xml:space="preserve">The HPS treatment samples in Figure </w:t>
      </w:r>
      <w:r w:rsidR="00C765CB" w:rsidRPr="00BA2365">
        <w:t>5.</w:t>
      </w:r>
      <w:r w:rsidRPr="003F0091">
        <w:t>8 exhibited a wide variance along both the PC1 and PC2 axes, indicating that the HPS treatment leads to a more diverse range of gene expression profiles compared to the NL control group. High Pressure Sodium lighting has been widely used in horticulture for its energy efficiency and effectiveness in promoting photosynthesis; however, its predominantly red and orange wavelengths may have a limited impact on secondary metabolism and aroma liking due to the lack of blue light (Nelson &amp; Bugbee, 2014). The wide variance observed in the HPS-treated samples may suggest that this treatment group has a broader array of secondary metabolite production, potentially leading to varying effects on overall aroma liking.</w:t>
      </w:r>
    </w:p>
    <w:p w14:paraId="40C11961" w14:textId="4CF05C31" w:rsidR="00BB138C" w:rsidRPr="003F0091" w:rsidRDefault="00BB138C" w:rsidP="00BB138C">
      <w:pPr>
        <w:pStyle w:val="MSThesisBodyTextJustified"/>
      </w:pPr>
      <w:r w:rsidRPr="003F0091">
        <w:t xml:space="preserve">One notable pattern observed in the PCA biplots was the tendency for the NL control samples to generally cluster in the positive PC1 and negative PC2 </w:t>
      </w:r>
      <w:r w:rsidR="00D93D30">
        <w:t>locations</w:t>
      </w:r>
      <w:r w:rsidRPr="003F0091">
        <w:t xml:space="preserve">, while the treatment samples formed clusters in other quadrants. This separation suggests that the specific wavelengths provided by the SL treatments may differentially impact specific photoreceptors and secondary metabolic pathways responsible for the synthesis of aroma </w:t>
      </w:r>
      <w:r>
        <w:t>compounds.</w:t>
      </w:r>
      <w:r w:rsidRPr="003F0091">
        <w:t xml:space="preserve"> The clustering patterns observed in these biplots suggest that the different lighting treatments impact gene expression in distinct ways, leading to variations in secondary metabolism and aroma liking.</w:t>
      </w:r>
    </w:p>
    <w:p w14:paraId="4AF7789A" w14:textId="77777777" w:rsidR="00BB138C" w:rsidRPr="003F0091" w:rsidRDefault="00BB138C" w:rsidP="00BB138C">
      <w:pPr>
        <w:pStyle w:val="MSThesisBodyTextJustified"/>
      </w:pPr>
      <w:r>
        <w:lastRenderedPageBreak/>
        <w:t>Variation across PCA biplots demonstrates</w:t>
      </w:r>
      <w:r w:rsidRPr="003F0091">
        <w:t xml:space="preserve"> different spectral qualities of supplemental lighting treatments significantly impact gene expression in plants, which in turn influences secondary metabolism and overall aroma liking. The NB treatment was found to be most effective at stimulating gene expression and enhancing secondary metabolite production, leading to the highest concentrations of myrcene and ocimene. The BW treatment also showed a positive impact on secondary metabolism, while the HPS treatment led to a more diverse range of gene expression profiles and secondary metabolite production. These findings contribute to our understanding of the role of </w:t>
      </w:r>
      <w:r>
        <w:t xml:space="preserve">the </w:t>
      </w:r>
      <w:r w:rsidRPr="003F0091">
        <w:t xml:space="preserve">light spectrum in shaping plant growth and quality and have practical implications for optimizing lighting strategies in controlled environment agriculture to improve the sensory attributes of plant-derived products. Further experiments are needed to verify gene functionality in </w:t>
      </w:r>
      <w:r w:rsidRPr="00984C49">
        <w:rPr>
          <w:i/>
          <w:iCs/>
        </w:rPr>
        <w:t>Ocimum basilicum</w:t>
      </w:r>
      <w:r w:rsidRPr="003F0091">
        <w:t xml:space="preserve"> and to explore the potential of other SL treatments in modulating secondary metabolism and aroma liking.</w:t>
      </w:r>
    </w:p>
    <w:p w14:paraId="12DA8809" w14:textId="77777777" w:rsidR="00BB138C" w:rsidRPr="003F0091" w:rsidRDefault="00BB138C" w:rsidP="00BB138C">
      <w:pPr>
        <w:spacing w:line="240" w:lineRule="auto"/>
        <w:rPr>
          <w:rFonts w:cs="Times New Roman"/>
        </w:rPr>
      </w:pPr>
    </w:p>
    <w:p w14:paraId="64A17DCF" w14:textId="77777777" w:rsidR="00BB138C" w:rsidRPr="003F0091" w:rsidRDefault="00BB138C" w:rsidP="00BB138C">
      <w:pPr>
        <w:pStyle w:val="MastersThesisSectionHeader"/>
      </w:pPr>
      <w:bookmarkStart w:id="694" w:name="_Toc139574873"/>
      <w:bookmarkStart w:id="695" w:name="_Toc141478743"/>
      <w:r w:rsidRPr="003F0091">
        <w:t>Biclustering Heat Maps</w:t>
      </w:r>
      <w:r>
        <w:t xml:space="preserve"> and Volcano Plots</w:t>
      </w:r>
      <w:bookmarkEnd w:id="694"/>
      <w:bookmarkEnd w:id="695"/>
    </w:p>
    <w:p w14:paraId="2264656A" w14:textId="6F653D5B" w:rsidR="00BB138C" w:rsidRPr="003F0091" w:rsidRDefault="00BB138C" w:rsidP="00BB138C">
      <w:pPr>
        <w:pStyle w:val="MSThesisBodyTextJustified"/>
      </w:pPr>
      <w:r w:rsidRPr="003F0091">
        <w:t>Our findings revealed distinct patterns and trends in differentially expressed genes (DEGs) regulation in response to various light treatments. The most notable observation is the opposing regulation of DEGs between the NL control and each of the supplemental light treatments (NB, BW, and HPS), highlighting the impact of these lighting conditions on gene expression. The degree of distinction between the NL control and each supplemental light treatment varies, with the NB treatment showing the most pronounced differences</w:t>
      </w:r>
      <w:r>
        <w:t xml:space="preserve"> (Fig. </w:t>
      </w:r>
      <w:r w:rsidR="007B1C25" w:rsidRPr="00BA2365">
        <w:t>5.</w:t>
      </w:r>
      <w:r>
        <w:t>9)</w:t>
      </w:r>
      <w:r w:rsidRPr="003F0091">
        <w:t>, followed by the BW treatment</w:t>
      </w:r>
      <w:r>
        <w:t xml:space="preserve"> (Fig. </w:t>
      </w:r>
      <w:r w:rsidR="007B1C25" w:rsidRPr="00BA2365">
        <w:t>5.</w:t>
      </w:r>
      <w:r>
        <w:t>10)</w:t>
      </w:r>
      <w:r w:rsidRPr="003F0091">
        <w:t>, and finally</w:t>
      </w:r>
      <w:r>
        <w:t>,</w:t>
      </w:r>
      <w:r w:rsidRPr="003F0091">
        <w:t xml:space="preserve"> the HPS treatment exhibiting the least distinct differences</w:t>
      </w:r>
      <w:r>
        <w:t xml:space="preserve"> (Fig. </w:t>
      </w:r>
      <w:r w:rsidR="007B1C25" w:rsidRPr="00BA2365">
        <w:t>5.</w:t>
      </w:r>
      <w:r>
        <w:t>11)</w:t>
      </w:r>
      <w:r w:rsidRPr="003F0091">
        <w:t>. This observation suggests that different light treatments may have varying effects on gene expression regulation, with the NB treatment potentially having the most significant impact.</w:t>
      </w:r>
    </w:p>
    <w:p w14:paraId="0093469D" w14:textId="77777777" w:rsidR="00BB138C" w:rsidRPr="003F0091" w:rsidRDefault="00BB138C" w:rsidP="00BB138C">
      <w:pPr>
        <w:pStyle w:val="MSThesisBodyTextJustified"/>
      </w:pPr>
      <w:r>
        <w:lastRenderedPageBreak/>
        <w:t>NL control vs. NB treatment</w:t>
      </w:r>
      <w:r w:rsidRPr="003F0091">
        <w:t xml:space="preserve"> had the most substantial effect on gene expression compared to the other treatments. </w:t>
      </w:r>
      <w:r>
        <w:t>The intensity of expression (significance) of the top 30 genes is moderate compared BW, likely because the NB treatment influenced a wider range of the genome, but not significantly, which profoundly aroma. B</w:t>
      </w:r>
      <w:r w:rsidRPr="003F0091">
        <w:t xml:space="preserve">lue light has been reported to influence secondary metabolism and promote the production of </w:t>
      </w:r>
      <w:r>
        <w:t>terpenoid and phenylpropanoid</w:t>
      </w:r>
      <w:r w:rsidRPr="003F0091">
        <w:t xml:space="preserve"> compounds</w:t>
      </w:r>
      <w:r>
        <w:t xml:space="preserve">. </w:t>
      </w:r>
    </w:p>
    <w:p w14:paraId="2D08A3DE" w14:textId="77777777" w:rsidR="00BB138C" w:rsidRPr="003F0091" w:rsidRDefault="00BB138C" w:rsidP="00BB138C">
      <w:pPr>
        <w:pStyle w:val="MSThesisBodyTextJustified"/>
      </w:pPr>
      <w:r w:rsidRPr="003F0091">
        <w:t xml:space="preserve">Compared to the NB treatment, the </w:t>
      </w:r>
      <w:r>
        <w:t>NL control vs. B</w:t>
      </w:r>
      <w:r w:rsidRPr="003F0091">
        <w:t>W treatment displayed a more moderate effect on gene expression.</w:t>
      </w:r>
      <w:r>
        <w:t xml:space="preserve"> </w:t>
      </w:r>
      <w:r w:rsidRPr="003F0091">
        <w:t>This observation could be attributed to the presence of all wavelengths in the white light spectrum, resulting in a more balanced regulation of plant growth and development</w:t>
      </w:r>
      <w:r>
        <w:t xml:space="preserve">. </w:t>
      </w:r>
      <w:r w:rsidRPr="003F0091">
        <w:t xml:space="preserve">Moreover, </w:t>
      </w:r>
      <w:r>
        <w:t xml:space="preserve">broadband </w:t>
      </w:r>
      <w:r w:rsidRPr="003F0091">
        <w:t>white light</w:t>
      </w:r>
      <w:r>
        <w:t>, as well as targeted wavelengths within broadband white light, have</w:t>
      </w:r>
      <w:r w:rsidRPr="003F0091">
        <w:t xml:space="preserve"> been reported to promote secondary metabolism in some plant species</w:t>
      </w:r>
      <w:r>
        <w:t>.</w:t>
      </w:r>
    </w:p>
    <w:p w14:paraId="3F834348" w14:textId="77777777" w:rsidR="00BB138C" w:rsidRDefault="00BB138C" w:rsidP="00BB138C">
      <w:pPr>
        <w:pStyle w:val="MSThesisBodyTextJustified"/>
      </w:pPr>
      <w:r w:rsidRPr="003F0091">
        <w:t xml:space="preserve">The least distinct differences were observed </w:t>
      </w:r>
      <w:r>
        <w:t xml:space="preserve">with the </w:t>
      </w:r>
      <w:r w:rsidRPr="003F0091">
        <w:t xml:space="preserve">NL control </w:t>
      </w:r>
      <w:r>
        <w:t>vs.</w:t>
      </w:r>
      <w:r w:rsidRPr="003F0091">
        <w:t xml:space="preserve"> HPS treatment</w:t>
      </w:r>
      <w:r>
        <w:t xml:space="preserve"> comparison</w:t>
      </w:r>
      <w:r w:rsidRPr="003F0091">
        <w:t xml:space="preserve">. This finding may be attributed to the fact that HPS light contains mostly orange and red wavelengths, which are known </w:t>
      </w:r>
      <w:r>
        <w:t xml:space="preserve">to influence photosynthesis and plant biomass production primarily. </w:t>
      </w:r>
      <w:r w:rsidRPr="003F0091">
        <w:t>However, HPS light lacks the blue wavelength, which plays a crucial role in secondary metabolism regulation</w:t>
      </w:r>
      <w:r>
        <w:t xml:space="preserve">. </w:t>
      </w:r>
      <w:r w:rsidRPr="003F0091">
        <w:t xml:space="preserve">Our analysis </w:t>
      </w:r>
      <w:r>
        <w:t xml:space="preserve">also </w:t>
      </w:r>
      <w:r w:rsidRPr="003F0091">
        <w:t>revealed that seasonal variations played a more significant role in the NL control vs. HPS treatment comparison, indicating that environmental factors may also influence gene expression and secondary metabolism.</w:t>
      </w:r>
      <w:r w:rsidRPr="00517551">
        <w:t xml:space="preserve"> </w:t>
      </w:r>
    </w:p>
    <w:p w14:paraId="29B8F903" w14:textId="77777777" w:rsidR="00BB138C" w:rsidRPr="003F0091" w:rsidRDefault="00BB138C" w:rsidP="00BB138C">
      <w:pPr>
        <w:pStyle w:val="MSThesisBodyTextJustified"/>
      </w:pPr>
      <w:r>
        <w:t>Volcano plots confirm these</w:t>
      </w:r>
      <w:r w:rsidRPr="003F0091">
        <w:t xml:space="preserve"> distinct patterns and trends in differentially expressed genes (DEGs)</w:t>
      </w:r>
      <w:r>
        <w:t xml:space="preserve">, the most notable </w:t>
      </w:r>
      <w:r w:rsidRPr="003F0091">
        <w:t xml:space="preserve">observation </w:t>
      </w:r>
      <w:r>
        <w:t>being</w:t>
      </w:r>
      <w:r w:rsidRPr="003F0091">
        <w:t xml:space="preserve"> the opposing regulation of DEGs between the NL control and each of the supplemental light treatments (NB, BW, and HPS), highlighting the impact of these lighting conditions on gene expression. </w:t>
      </w:r>
      <w:r>
        <w:t>The</w:t>
      </w:r>
      <w:r w:rsidRPr="003F0091">
        <w:t xml:space="preserve"> degree of distinction between the NL control and each supplemental light treatment varies, with the NB treatment showing the most pronounced </w:t>
      </w:r>
      <w:r w:rsidRPr="003F0091">
        <w:lastRenderedPageBreak/>
        <w:t>differences, followed by the BW treatment, and finally</w:t>
      </w:r>
      <w:r>
        <w:t>,</w:t>
      </w:r>
      <w:r w:rsidRPr="003F0091">
        <w:t xml:space="preserve"> the HPS treatment exhibiting the least distinct differences. </w:t>
      </w:r>
    </w:p>
    <w:p w14:paraId="3835ADC6" w14:textId="77777777" w:rsidR="00BB138C" w:rsidRDefault="00BB138C" w:rsidP="00BB138C">
      <w:pPr>
        <w:pStyle w:val="MSThesisBodyTextJustified"/>
      </w:pPr>
      <w:r w:rsidRPr="003F0091">
        <w:t>The observed differences in DEG regulation among various light treatments suggest that the spectral qualities of supplemental lighting play a vital role in modulating gene expression, which in turn influences secondary metabolism and overall aroma liking. For example, the NB treatment, which exhibited the most distinct differences in DEG regulation compared to the NL control, could potentially lead to enhanced production of secondary metabolites and improved aroma quality due to the synergistic effects of blue and red light on plant physiology and biochemistry</w:t>
      </w:r>
      <w:r>
        <w:t>.</w:t>
      </w:r>
      <w:r w:rsidRPr="003F0091">
        <w:t xml:space="preserve"> On the other hand, the HPS treatment, which showed the least distinct differences in DEG regulation, may have a more limited impact on secondary metabolism and aroma liking due to its predominantly red and orange wavelengths.</w:t>
      </w:r>
    </w:p>
    <w:p w14:paraId="7E585BEB" w14:textId="77777777" w:rsidR="00BB138C" w:rsidRPr="003F0091" w:rsidRDefault="00BB138C" w:rsidP="00BB138C">
      <w:pPr>
        <w:pStyle w:val="MSThesisBodyTextJustified"/>
      </w:pPr>
    </w:p>
    <w:p w14:paraId="1ECB4228" w14:textId="77777777" w:rsidR="00BB138C" w:rsidRPr="003F0091" w:rsidRDefault="00BB138C" w:rsidP="00BB138C">
      <w:pPr>
        <w:pStyle w:val="MastersThesisSectionHeader"/>
      </w:pPr>
      <w:bookmarkStart w:id="696" w:name="_Toc139574874"/>
      <w:bookmarkStart w:id="697" w:name="_Toc141478744"/>
      <w:r w:rsidRPr="003F0091">
        <w:t>Supplemental Lighting Influences Key Odorants and Sensory Perception</w:t>
      </w:r>
      <w:bookmarkEnd w:id="696"/>
      <w:bookmarkEnd w:id="697"/>
    </w:p>
    <w:p w14:paraId="76B5AEB4" w14:textId="77777777" w:rsidR="00BB138C" w:rsidRPr="003F0091" w:rsidRDefault="00BB138C" w:rsidP="00BB138C">
      <w:pPr>
        <w:pStyle w:val="MSThesisBodyTextJustified"/>
      </w:pPr>
      <w:r w:rsidRPr="003F0091">
        <w:t>The concentrations of (E/Z)-</w:t>
      </w:r>
      <w:r>
        <w:t>O</w:t>
      </w:r>
      <w:r w:rsidRPr="003F0091">
        <w:t xml:space="preserve">cimene in plants varied based on lighting treatments and seasons, </w:t>
      </w:r>
      <w:r>
        <w:t>likely from changes to perceived spectral quality.</w:t>
      </w:r>
      <w:r w:rsidRPr="003F0091">
        <w:t xml:space="preserve"> During the summer, (E)-</w:t>
      </w:r>
      <w:r>
        <w:t>O</w:t>
      </w:r>
      <w:r w:rsidRPr="003F0091">
        <w:t>cimene tissue concentrations were 20% higher than (Z)-</w:t>
      </w:r>
      <w:r>
        <w:t>O</w:t>
      </w:r>
      <w:r w:rsidRPr="003F0091">
        <w:t>cimene concentrations, while during winter, (Z)-</w:t>
      </w:r>
      <w:r>
        <w:t>O</w:t>
      </w:r>
      <w:r w:rsidRPr="003F0091">
        <w:t>cimene concentrations were 53% higher than (E)-</w:t>
      </w:r>
      <w:r>
        <w:t>O</w:t>
      </w:r>
      <w:r w:rsidRPr="003F0091">
        <w:t>cimene concentrations. Interestingly, (E)-</w:t>
      </w:r>
      <w:r>
        <w:t>O</w:t>
      </w:r>
      <w:r w:rsidRPr="003F0091">
        <w:t>cimene concentration was statistically higher in the NB treatment, whereas (Z)-</w:t>
      </w:r>
      <w:r>
        <w:t>O</w:t>
      </w:r>
      <w:r w:rsidRPr="003F0091">
        <w:t>cimene was statistically higher in the NL control. This observation indicates that targeted wavelengths in SL treatments, particularly blue/red (NB), may impact specific photoreceptors and secondary metabolic pathways responsible for the synthesis of (E/Z)-</w:t>
      </w:r>
      <w:r>
        <w:t>O</w:t>
      </w:r>
      <w:r w:rsidRPr="003F0091">
        <w:t>cimene</w:t>
      </w:r>
      <w:r>
        <w:t>.</w:t>
      </w:r>
    </w:p>
    <w:p w14:paraId="32FC15BE" w14:textId="77777777" w:rsidR="00BB138C" w:rsidRPr="003F0091" w:rsidRDefault="00BB138C" w:rsidP="00BB138C">
      <w:pPr>
        <w:pStyle w:val="MSThesisBodyTextJustified"/>
      </w:pPr>
      <w:r w:rsidRPr="003F0091">
        <w:t xml:space="preserve">Further, </w:t>
      </w:r>
      <w:r>
        <w:t>ß-Myrcene</w:t>
      </w:r>
      <w:r w:rsidRPr="003F0091">
        <w:t xml:space="preserve"> concentrations were found to be highest in the B/R treatment, with a 4.9x increase over the NL control. Functional annotations revealed several DEGs involved in </w:t>
      </w:r>
      <w:r w:rsidRPr="003F0091">
        <w:lastRenderedPageBreak/>
        <w:t xml:space="preserve">monoterpene synthesis were significantly up-regulated in the B/R treatment compared to the NL control. </w:t>
      </w:r>
      <w:r>
        <w:t>Specifically, a</w:t>
      </w:r>
      <w:r w:rsidRPr="003F0091">
        <w:t xml:space="preserve"> gene that encodes for fenchol synthase (FES), an important enzyme used in the synthesis of downstream myrcene and ocimene isomers, was only up-regulated (2.1 log2 FC) in the B/R treatment. Increased expression of FES likely explains the increased </w:t>
      </w:r>
      <w:r>
        <w:t>ß-Myrcene</w:t>
      </w:r>
      <w:r w:rsidRPr="003F0091">
        <w:t xml:space="preserve"> concentrations</w:t>
      </w:r>
      <w:r>
        <w:t xml:space="preserve"> and </w:t>
      </w:r>
      <w:r w:rsidRPr="003F0091">
        <w:t>(E/Z)-</w:t>
      </w:r>
      <w:r>
        <w:t>O</w:t>
      </w:r>
      <w:r w:rsidRPr="003F0091">
        <w:t>cimene</w:t>
      </w:r>
      <w:r>
        <w:t xml:space="preserve">, as well as (E/Z)-Ocimene opposing </w:t>
      </w:r>
      <w:r w:rsidRPr="003F0091">
        <w:t>ratio</w:t>
      </w:r>
      <w:r>
        <w:t>s</w:t>
      </w:r>
      <w:r w:rsidRPr="003F0091">
        <w:t xml:space="preserve"> found</w:t>
      </w:r>
      <w:r>
        <w:t xml:space="preserve"> across treatments</w:t>
      </w:r>
      <w:r w:rsidRPr="003F0091">
        <w:t>.</w:t>
      </w:r>
      <w:r>
        <w:t xml:space="preserve"> Based on the results of the sensory evaluation, it is likely that these compounds are responsible for the change in overall aroma perception. </w:t>
      </w:r>
    </w:p>
    <w:p w14:paraId="0BDAF8A9" w14:textId="7AED1D29" w:rsidR="00BB138C" w:rsidRDefault="00BB138C" w:rsidP="00BB138C">
      <w:pPr>
        <w:pStyle w:val="MSThesisBodyTextJustified"/>
      </w:pPr>
      <w:r w:rsidRPr="003F0091">
        <w:t xml:space="preserve">The observed differences in gene expression and secondary metabolite production among lighting treatments suggest that spectral quality plays a crucial role in modulating plant growth, </w:t>
      </w:r>
      <w:r>
        <w:t>secondary metabolism</w:t>
      </w:r>
      <w:r w:rsidRPr="003F0091">
        <w:t xml:space="preserve">, and overall aroma liking. For instance, the NB treatment, which exhibited the most distinct differences in DEG regulation compared to the NL control, </w:t>
      </w:r>
      <w:r>
        <w:t xml:space="preserve">likely </w:t>
      </w:r>
      <w:r w:rsidRPr="003F0091">
        <w:t xml:space="preserve">lead to enhanced production of secondary metabolites, such as myrcene and ocimene, due to the synergistic effects of blue and red light on </w:t>
      </w:r>
      <w:r>
        <w:t xml:space="preserve">physiology and photoresponses. </w:t>
      </w:r>
      <w:r w:rsidRPr="003F0091">
        <w:t>In contrast, the HPS treatment, which showed the least distinct differences in DEG regulation, may have a more limited impact on secondary metabolism and aroma liking due to its predominantly red and orange wavelengths</w:t>
      </w:r>
      <w:r w:rsidR="00CF62B9">
        <w:t>.</w:t>
      </w:r>
    </w:p>
    <w:p w14:paraId="7CEFB412" w14:textId="77777777" w:rsidR="00CF62B9" w:rsidRPr="003A3378" w:rsidRDefault="00CF62B9" w:rsidP="00BB138C">
      <w:pPr>
        <w:pStyle w:val="MSThesisBodyTextJustified"/>
      </w:pPr>
    </w:p>
    <w:p w14:paraId="6A822EAE" w14:textId="77777777" w:rsidR="00BB138C" w:rsidRPr="009F7793" w:rsidRDefault="00BB138C" w:rsidP="00BB138C">
      <w:pPr>
        <w:pStyle w:val="MastersThesisSectionHeader"/>
      </w:pPr>
      <w:bookmarkStart w:id="698" w:name="_Toc139574875"/>
      <w:bookmarkStart w:id="699" w:name="_Toc141478745"/>
      <w:r w:rsidRPr="003F0091">
        <w:t>Limitations and Future Outlooks</w:t>
      </w:r>
      <w:bookmarkEnd w:id="698"/>
      <w:bookmarkEnd w:id="699"/>
    </w:p>
    <w:p w14:paraId="1F45A766" w14:textId="17904FFC" w:rsidR="00BB138C" w:rsidRPr="003F0091" w:rsidRDefault="00BB138C" w:rsidP="00BB138C">
      <w:pPr>
        <w:pStyle w:val="MSThesisBodyTextJustified"/>
        <w:rPr>
          <w:color w:val="000000" w:themeColor="text1"/>
        </w:rPr>
      </w:pPr>
      <w:r w:rsidRPr="003F0091">
        <w:rPr>
          <w:color w:val="000000" w:themeColor="text1"/>
        </w:rPr>
        <w:t xml:space="preserve">Several analytical chemistry techniques, procedures, and instruments have been developed to identify and quantify important </w:t>
      </w:r>
      <w:r>
        <w:rPr>
          <w:color w:val="000000" w:themeColor="text1"/>
        </w:rPr>
        <w:t>aroma-active</w:t>
      </w:r>
      <w:r w:rsidRPr="003F0091">
        <w:rPr>
          <w:color w:val="000000" w:themeColor="text1"/>
        </w:rPr>
        <w:t xml:space="preserve"> compounds</w:t>
      </w:r>
      <w:r>
        <w:rPr>
          <w:color w:val="000000" w:themeColor="text1"/>
        </w:rPr>
        <w:t xml:space="preserve">. Each method has specific benefits and limitations. </w:t>
      </w:r>
      <w:r w:rsidRPr="003F0091">
        <w:rPr>
          <w:color w:val="000000" w:themeColor="text1"/>
        </w:rPr>
        <w:t xml:space="preserve">Static headspace sampling is a volatile technique commonly used with GC-MS. This technique is performed by placing a sample in a glass tube, applying standardized heat/vibration in some cases, and sampling the equalized headspace over the sample (commonly </w:t>
      </w:r>
      <w:r w:rsidRPr="003F0091">
        <w:rPr>
          <w:color w:val="000000" w:themeColor="text1"/>
        </w:rPr>
        <w:lastRenderedPageBreak/>
        <w:t>using helium or another inert gas for MS). Dynamic headspace sampling is similar, but the headspace is purged with a sizeable known volume of gas and removes a higher concentration of volatiles from the sample</w:t>
      </w:r>
      <w:r w:rsidR="00A37527">
        <w:rPr>
          <w:color w:val="000000" w:themeColor="text1"/>
        </w:rPr>
        <w:t>. C</w:t>
      </w:r>
      <w:r w:rsidRPr="003F0091">
        <w:rPr>
          <w:color w:val="000000" w:themeColor="text1"/>
        </w:rPr>
        <w:t>ompounds volatilize into the headspace in an attempt to reach equilibrium as the gas purges the headspace causing disequilibrium, and volatile compounds are directed from the headspace sampler to the GC injection port</w:t>
      </w:r>
      <w:r w:rsidR="00A37527">
        <w:rPr>
          <w:color w:val="000000" w:themeColor="text1"/>
        </w:rPr>
        <w:t xml:space="preserve"> </w:t>
      </w:r>
      <w:r>
        <w:rPr>
          <w:noProof/>
          <w:color w:val="000000" w:themeColor="text1"/>
        </w:rPr>
        <w:t>(</w:t>
      </w:r>
      <w:r w:rsidRPr="002C446A">
        <w:rPr>
          <w:rFonts w:cstheme="minorBidi"/>
        </w:rPr>
        <w:t>Alam, 2012</w:t>
      </w:r>
      <w:r>
        <w:rPr>
          <w:noProof/>
          <w:color w:val="000000" w:themeColor="text1"/>
        </w:rPr>
        <w:t>)</w:t>
      </w:r>
      <w:r w:rsidRPr="003F0091">
        <w:rPr>
          <w:color w:val="000000" w:themeColor="text1"/>
        </w:rPr>
        <w:t xml:space="preserve">. </w:t>
      </w:r>
    </w:p>
    <w:p w14:paraId="4E33B3E5" w14:textId="77777777" w:rsidR="00BB138C" w:rsidRPr="003F0091" w:rsidRDefault="00BB138C" w:rsidP="00BB138C">
      <w:pPr>
        <w:pStyle w:val="MSThesisBodyTextJustified"/>
        <w:rPr>
          <w:color w:val="000000" w:themeColor="text1"/>
        </w:rPr>
      </w:pPr>
      <w:r w:rsidRPr="003F0091">
        <w:rPr>
          <w:color w:val="000000" w:themeColor="text1"/>
        </w:rPr>
        <w:t xml:space="preserve">Headspace sampling has a wide range of uses and can be paired with many detector types depending on the analysis goals. This is particularly useful for metabolomics and biochemistry research to determine the manipulation of pathways or resource allocation in response to environmental stimuli. In addition, some separation/extraction methods have shown bias and have varying extraction efficiencies toward certain compounds, which could cause issues with the analysis </w:t>
      </w:r>
      <w:r>
        <w:rPr>
          <w:noProof/>
          <w:color w:val="000000" w:themeColor="text1"/>
        </w:rPr>
        <w:t>(</w:t>
      </w:r>
      <w:r w:rsidRPr="002C446A">
        <w:rPr>
          <w:rFonts w:cstheme="minorBidi"/>
        </w:rPr>
        <w:t>Loughrin and Kasperbauer, 2003</w:t>
      </w:r>
      <w:r>
        <w:rPr>
          <w:noProof/>
          <w:color w:val="000000" w:themeColor="text1"/>
        </w:rPr>
        <w:t xml:space="preserve">; </w:t>
      </w:r>
      <w:r w:rsidRPr="002C446A">
        <w:rPr>
          <w:rFonts w:cstheme="minorBidi"/>
        </w:rPr>
        <w:t>Alam, 2012</w:t>
      </w:r>
      <w:r>
        <w:rPr>
          <w:noProof/>
          <w:color w:val="000000" w:themeColor="text1"/>
        </w:rPr>
        <w:t xml:space="preserve">; </w:t>
      </w:r>
      <w:r w:rsidRPr="002C446A">
        <w:rPr>
          <w:rFonts w:cstheme="minorBidi"/>
        </w:rPr>
        <w:t>Ochiai et al., 2014</w:t>
      </w:r>
      <w:r>
        <w:rPr>
          <w:noProof/>
          <w:color w:val="000000" w:themeColor="text1"/>
        </w:rPr>
        <w:t>)</w:t>
      </w:r>
      <w:r w:rsidRPr="003F0091">
        <w:rPr>
          <w:color w:val="000000" w:themeColor="text1"/>
        </w:rPr>
        <w:t>.</w:t>
      </w:r>
    </w:p>
    <w:p w14:paraId="308928BE" w14:textId="77777777" w:rsidR="00BB138C" w:rsidRPr="003F0091" w:rsidRDefault="00BB138C" w:rsidP="00BB138C">
      <w:pPr>
        <w:pStyle w:val="MSThesisBodyTextJustified"/>
        <w:rPr>
          <w:color w:val="000000" w:themeColor="text1"/>
        </w:rPr>
      </w:pPr>
      <w:r w:rsidRPr="003F0091">
        <w:rPr>
          <w:color w:val="000000" w:themeColor="text1"/>
        </w:rPr>
        <w:t xml:space="preserve">One of the critical drawbacks is that headspace sampling may not pick up all aroma active odorants in a particular matrix. For this reason, various techniques should be employed before analyzing compounds because of their physical/chemical properties. Most volatiles are unstable and will transform/degrade when exposed to high temperatures. This includes when headspace samples enter the GC inlet. Some volatile compounds are not stable, even at room temperature. Stabilization of key volatiles with other extraction methods has the potential for more reproducible results in this respect </w:t>
      </w:r>
      <w:r>
        <w:rPr>
          <w:noProof/>
          <w:color w:val="000000" w:themeColor="text1"/>
        </w:rPr>
        <w:t>(</w:t>
      </w:r>
      <w:r w:rsidRPr="002C446A">
        <w:rPr>
          <w:rFonts w:cstheme="minorBidi"/>
        </w:rPr>
        <w:t>Loughrin and Kasperbauer, 2003</w:t>
      </w:r>
      <w:r>
        <w:rPr>
          <w:noProof/>
          <w:color w:val="000000" w:themeColor="text1"/>
        </w:rPr>
        <w:t xml:space="preserve">; </w:t>
      </w:r>
      <w:r w:rsidRPr="002C446A">
        <w:rPr>
          <w:rFonts w:cstheme="minorBidi"/>
        </w:rPr>
        <w:t>Pourmortazavi and Hajimirsadeghi, 2007</w:t>
      </w:r>
      <w:r>
        <w:rPr>
          <w:noProof/>
          <w:color w:val="000000" w:themeColor="text1"/>
        </w:rPr>
        <w:t xml:space="preserve">; </w:t>
      </w:r>
      <w:r w:rsidRPr="002C446A">
        <w:rPr>
          <w:rFonts w:cstheme="minorBidi"/>
        </w:rPr>
        <w:t>Alam, 2012</w:t>
      </w:r>
      <w:r>
        <w:rPr>
          <w:noProof/>
          <w:color w:val="000000" w:themeColor="text1"/>
        </w:rPr>
        <w:t xml:space="preserve">; </w:t>
      </w:r>
      <w:r w:rsidRPr="002C446A">
        <w:rPr>
          <w:rFonts w:cstheme="minorBidi"/>
        </w:rPr>
        <w:t>Ochiai et al., 2014</w:t>
      </w:r>
      <w:r>
        <w:rPr>
          <w:noProof/>
          <w:color w:val="000000" w:themeColor="text1"/>
        </w:rPr>
        <w:t>)</w:t>
      </w:r>
      <w:r w:rsidRPr="003F0091">
        <w:rPr>
          <w:color w:val="000000" w:themeColor="text1"/>
        </w:rPr>
        <w:t xml:space="preserve">. </w:t>
      </w:r>
    </w:p>
    <w:p w14:paraId="18ECBE9E" w14:textId="77777777" w:rsidR="00BB138C" w:rsidRPr="003F0091" w:rsidRDefault="00BB138C" w:rsidP="00BB138C">
      <w:pPr>
        <w:pStyle w:val="MSThesisBodyTextJustified"/>
        <w:rPr>
          <w:color w:val="000000" w:themeColor="text1"/>
        </w:rPr>
      </w:pPr>
      <w:r w:rsidRPr="003F0091">
        <w:rPr>
          <w:color w:val="000000" w:themeColor="text1"/>
        </w:rPr>
        <w:t xml:space="preserve">Headspace sampling is also not indicative of sensory perception unless paired with olfactometry or other sensory evaluation procedures. To get the most accurate understanding of aroma (and flavor), it is best to use multiple analytical and sensory techniques. Compounds with lower volatility will not be released at the same rate as high-volatility compounds, which may </w:t>
      </w:r>
      <w:r w:rsidRPr="003F0091">
        <w:rPr>
          <w:color w:val="000000" w:themeColor="text1"/>
        </w:rPr>
        <w:lastRenderedPageBreak/>
        <w:t xml:space="preserve">cause bias </w:t>
      </w:r>
      <w:r w:rsidRPr="003F0091">
        <w:rPr>
          <w:noProof/>
          <w:color w:val="000000" w:themeColor="text1"/>
        </w:rPr>
        <w:t>(</w:t>
      </w:r>
      <w:r w:rsidRPr="002C446A">
        <w:rPr>
          <w:rFonts w:cstheme="minorBidi"/>
        </w:rPr>
        <w:t>Meligaard et al., 2007</w:t>
      </w:r>
      <w:r w:rsidRPr="003F0091">
        <w:rPr>
          <w:noProof/>
          <w:color w:val="000000" w:themeColor="text1"/>
        </w:rPr>
        <w:t xml:space="preserve">; </w:t>
      </w:r>
      <w:r w:rsidRPr="002C446A">
        <w:rPr>
          <w:rFonts w:cstheme="minorBidi"/>
        </w:rPr>
        <w:t>Lawless, 2010</w:t>
      </w:r>
      <w:r w:rsidRPr="003F0091">
        <w:rPr>
          <w:noProof/>
          <w:color w:val="000000" w:themeColor="text1"/>
        </w:rPr>
        <w:t>)</w:t>
      </w:r>
      <w:r w:rsidRPr="003F0091">
        <w:rPr>
          <w:color w:val="000000" w:themeColor="text1"/>
        </w:rPr>
        <w:t xml:space="preserve">. If headspace is saturated over a sample, some other volatiles with lower vapor pressures may not have the ability to volatilize. This may cause a bias towards samples with high concentrations and high vapor pressures, even though these compounds may not produce a significant flavor response (one benefit of dynamic headspace over static). Metabolism of plants does not end after harvest, and poor sampling techniques could introduce variation into datasets </w:t>
      </w:r>
      <w:r w:rsidRPr="003F0091">
        <w:rPr>
          <w:noProof/>
          <w:color w:val="000000" w:themeColor="text1"/>
        </w:rPr>
        <w:t>(</w:t>
      </w:r>
      <w:r w:rsidRPr="002C446A">
        <w:rPr>
          <w:rFonts w:cstheme="minorBidi"/>
        </w:rPr>
        <w:t>Buchanan, 2015</w:t>
      </w:r>
      <w:r w:rsidRPr="003F0091">
        <w:rPr>
          <w:noProof/>
          <w:color w:val="000000" w:themeColor="text1"/>
        </w:rPr>
        <w:t>)</w:t>
      </w:r>
      <w:r w:rsidRPr="003F0091">
        <w:rPr>
          <w:color w:val="000000" w:themeColor="text1"/>
        </w:rPr>
        <w:t xml:space="preserve">. Immediate freezing is recommended to halt metabolism for plants and other biological samples, but extreme temperatures or rapid changes in temperatures may cause chemical degradation or alteration to the key compounds in the sample. Unequal treatment of each sample in terms of time in/out freezer, handling samples, etc., can also introduce unwanted variation </w:t>
      </w:r>
      <w:r w:rsidRPr="003F0091">
        <w:rPr>
          <w:noProof/>
          <w:color w:val="000000" w:themeColor="text1"/>
        </w:rPr>
        <w:t>(</w:t>
      </w:r>
      <w:r w:rsidRPr="002C446A">
        <w:rPr>
          <w:rFonts w:cstheme="minorBidi"/>
        </w:rPr>
        <w:t>Taylor, 1996</w:t>
      </w:r>
      <w:r w:rsidRPr="003F0091">
        <w:rPr>
          <w:noProof/>
          <w:color w:val="000000" w:themeColor="text1"/>
        </w:rPr>
        <w:t xml:space="preserve">; </w:t>
      </w:r>
      <w:r w:rsidRPr="002C446A">
        <w:rPr>
          <w:rFonts w:cstheme="minorBidi"/>
        </w:rPr>
        <w:t>Lawless, 2010</w:t>
      </w:r>
      <w:r w:rsidRPr="003F0091">
        <w:rPr>
          <w:noProof/>
          <w:color w:val="000000" w:themeColor="text1"/>
        </w:rPr>
        <w:t>)</w:t>
      </w:r>
      <w:r w:rsidRPr="003F0091">
        <w:rPr>
          <w:color w:val="000000" w:themeColor="text1"/>
        </w:rPr>
        <w:t xml:space="preserve">. Optimization of sampling methods, extraction techniques, and column chemistries to obtain higher recovery/fewer variable results when analyzing key compounds is commonplace and recommended. It is always best to use multiple extraction protocols, instruments, and sampling methods to compare all aroma active compounds </w:t>
      </w:r>
      <w:r>
        <w:rPr>
          <w:noProof/>
          <w:color w:val="000000" w:themeColor="text1"/>
        </w:rPr>
        <w:t>(</w:t>
      </w:r>
      <w:r w:rsidRPr="002C446A">
        <w:rPr>
          <w:rFonts w:cstheme="minorBidi"/>
        </w:rPr>
        <w:t>Taylor, 1996</w:t>
      </w:r>
      <w:r>
        <w:rPr>
          <w:noProof/>
          <w:color w:val="000000" w:themeColor="text1"/>
        </w:rPr>
        <w:t xml:space="preserve">; </w:t>
      </w:r>
      <w:r w:rsidRPr="002C446A">
        <w:rPr>
          <w:rFonts w:cstheme="minorBidi"/>
        </w:rPr>
        <w:t>Bayramoglu et al., 2008</w:t>
      </w:r>
      <w:r>
        <w:rPr>
          <w:noProof/>
          <w:color w:val="000000" w:themeColor="text1"/>
        </w:rPr>
        <w:t xml:space="preserve">; </w:t>
      </w:r>
      <w:r w:rsidRPr="002C446A">
        <w:rPr>
          <w:rFonts w:cstheme="minorBidi"/>
        </w:rPr>
        <w:t>Alam, 2012</w:t>
      </w:r>
      <w:r>
        <w:rPr>
          <w:noProof/>
          <w:color w:val="000000" w:themeColor="text1"/>
        </w:rPr>
        <w:t xml:space="preserve">; </w:t>
      </w:r>
      <w:r w:rsidRPr="002C446A">
        <w:rPr>
          <w:rFonts w:cstheme="minorBidi"/>
        </w:rPr>
        <w:t>Selli et al., 2014</w:t>
      </w:r>
      <w:r>
        <w:rPr>
          <w:noProof/>
          <w:color w:val="000000" w:themeColor="text1"/>
        </w:rPr>
        <w:t>)</w:t>
      </w:r>
    </w:p>
    <w:p w14:paraId="4D5972B6" w14:textId="77777777" w:rsidR="00BB138C" w:rsidRPr="00066A81" w:rsidRDefault="00BB138C" w:rsidP="00BB138C">
      <w:pPr>
        <w:pStyle w:val="MSThesisBodyTextJustified"/>
        <w:rPr>
          <w:color w:val="000000" w:themeColor="text1"/>
        </w:rPr>
      </w:pPr>
      <w:r>
        <w:rPr>
          <w:color w:val="000000" w:themeColor="text1"/>
        </w:rPr>
        <w:t xml:space="preserve">It </w:t>
      </w:r>
      <w:r w:rsidRPr="00066A81">
        <w:rPr>
          <w:color w:val="000000" w:themeColor="text1"/>
        </w:rPr>
        <w:t>would be interesting to investigate the molecular mechanisms underlying the observed changes in VOC concentrations under different lighting treatments and growing seasons. This could involve examining the expression levels of genes involved in isoprenoid and phenylpropanoid metabolism, as well as the activity of rate-limiting enzymes in these pathways. Exploring the impact of other environmental factors, such as temperature, humidity, and CO2 levels, on VOC production in basil and other crops could provide a more comprehensive understanding of the factors influencing aroma and flavor profiles.</w:t>
      </w:r>
    </w:p>
    <w:p w14:paraId="7B929C9C" w14:textId="77777777" w:rsidR="00BB138C" w:rsidRPr="00066A81" w:rsidRDefault="00BB138C" w:rsidP="00BB138C">
      <w:pPr>
        <w:pStyle w:val="MSThesisBodyTextJustified"/>
        <w:rPr>
          <w:color w:val="000000" w:themeColor="text1"/>
        </w:rPr>
      </w:pPr>
      <w:r w:rsidRPr="00066A81">
        <w:rPr>
          <w:color w:val="000000" w:themeColor="text1"/>
        </w:rPr>
        <w:t>In this study, the effects of daylength and light intensity could not be separated</w:t>
      </w:r>
      <w:r>
        <w:rPr>
          <w:color w:val="000000" w:themeColor="text1"/>
        </w:rPr>
        <w:t xml:space="preserve"> due to the inherent nature of greenhouse production and supplemental lighting experiments. </w:t>
      </w:r>
      <w:r w:rsidRPr="00066A81">
        <w:rPr>
          <w:color w:val="000000" w:themeColor="text1"/>
        </w:rPr>
        <w:t xml:space="preserve">Future research </w:t>
      </w:r>
      <w:r w:rsidRPr="00066A81">
        <w:rPr>
          <w:color w:val="000000" w:themeColor="text1"/>
        </w:rPr>
        <w:lastRenderedPageBreak/>
        <w:t>should conduct tandem growth chamber experiments to verify the effects of different intensities and treatments. Additionally, the results obtained in this study are species-specific, and further research on more crops is required to verify the observed trends.</w:t>
      </w:r>
    </w:p>
    <w:p w14:paraId="428F0D79" w14:textId="77777777" w:rsidR="00BB138C" w:rsidRPr="00066A81" w:rsidRDefault="00BB138C" w:rsidP="00BB138C">
      <w:pPr>
        <w:pStyle w:val="MSThesisBodyTextJustified"/>
        <w:rPr>
          <w:color w:val="000000" w:themeColor="text1"/>
        </w:rPr>
      </w:pPr>
      <w:r w:rsidRPr="00066A81">
        <w:rPr>
          <w:color w:val="000000" w:themeColor="text1"/>
        </w:rPr>
        <w:t>The current experiment utilized continuous low-intensity light supplements, which have the potential to manipulate secondary metabolite bioaccumulation while efficiently increasing crop DLI. However, different crops may experience deleterious effects when using continuous low-intensity light supplements. Increasing the intensity and/or manipulating the duration of SL also has the potential to differentially influence secondary metabolic profiles and should be further evaluated under greenhouse and growth chamber conditions.</w:t>
      </w:r>
      <w:r>
        <w:rPr>
          <w:color w:val="000000" w:themeColor="text1"/>
        </w:rPr>
        <w:t xml:space="preserve"> </w:t>
      </w:r>
      <w:r w:rsidRPr="00066A81">
        <w:rPr>
          <w:color w:val="000000" w:themeColor="text1"/>
        </w:rPr>
        <w:t>Narrowband B/R wavelengths have been shown to increase total and specific VOC concentrations, but further exploration into discrete narrowband wavelengths at varying ratios is warranted. This could be used to push certain secondary metabolic pathways that could be used to improve flavor, the concentration of phytonutrients, human health benefits, and marketability.</w:t>
      </w:r>
    </w:p>
    <w:p w14:paraId="21FD37BF" w14:textId="12DC18D8" w:rsidR="00BB138C" w:rsidRPr="003F0091" w:rsidRDefault="00BB138C" w:rsidP="00BB138C">
      <w:pPr>
        <w:pStyle w:val="MSThesisBodyTextJustified"/>
        <w:rPr>
          <w:sz w:val="28"/>
          <w:highlight w:val="yellow"/>
        </w:rPr>
      </w:pPr>
    </w:p>
    <w:p w14:paraId="0A50677E" w14:textId="77777777" w:rsidR="00BB138C" w:rsidRPr="003F0091" w:rsidRDefault="00BB138C" w:rsidP="00BB138C">
      <w:pPr>
        <w:pStyle w:val="MastersThesisMainTitle"/>
        <w:rPr>
          <w:color w:val="000000" w:themeColor="text1"/>
        </w:rPr>
      </w:pPr>
      <w:bookmarkStart w:id="700" w:name="_Toc139574876"/>
      <w:bookmarkStart w:id="701" w:name="_Toc141478746"/>
      <w:r w:rsidRPr="00834D61">
        <w:rPr>
          <w:color w:val="000000" w:themeColor="text1"/>
        </w:rPr>
        <w:t>Conclusions</w:t>
      </w:r>
      <w:bookmarkEnd w:id="700"/>
      <w:bookmarkEnd w:id="701"/>
    </w:p>
    <w:p w14:paraId="499EFCBA" w14:textId="77777777" w:rsidR="00BB138C" w:rsidRPr="003F0091" w:rsidRDefault="00BB138C" w:rsidP="00BB138C">
      <w:pPr>
        <w:pStyle w:val="MSThesisBodyTextJustified"/>
        <w:rPr>
          <w:color w:val="000000" w:themeColor="text1"/>
        </w:rPr>
      </w:pPr>
      <w:r>
        <w:rPr>
          <w:color w:val="000000" w:themeColor="text1"/>
        </w:rPr>
        <w:t>This</w:t>
      </w:r>
      <w:r w:rsidRPr="00066A81">
        <w:rPr>
          <w:color w:val="000000" w:themeColor="text1"/>
        </w:rPr>
        <w:t xml:space="preserve"> study demonstrates that both growing season and lighting treatment have significant effects on PVOC tissue concentrations in basil. </w:t>
      </w:r>
      <w:r>
        <w:rPr>
          <w:color w:val="000000" w:themeColor="text1"/>
        </w:rPr>
        <w:t xml:space="preserve">Using HS GC-MS, we were able to quantify differences in key basil aroma volatiles across seasons and treatments. Sensory panel evaluations were able to discern overall aroma liking and key odorants, preferring the NL control over the NB treatment. RNA Seq identified significant DEGs in relation to basil secondary metabolism and sensory perception. </w:t>
      </w:r>
      <w:r w:rsidRPr="00066A81">
        <w:rPr>
          <w:color w:val="000000" w:themeColor="text1"/>
        </w:rPr>
        <w:t xml:space="preserve">Understanding the factors that influence VOC production and their underlying mechanisms can help optimize plant growth conditions and improve the sensory perception of basil and other </w:t>
      </w:r>
      <w:r>
        <w:rPr>
          <w:color w:val="000000" w:themeColor="text1"/>
        </w:rPr>
        <w:t xml:space="preserve">high-value specialty </w:t>
      </w:r>
      <w:r w:rsidRPr="00066A81">
        <w:rPr>
          <w:color w:val="000000" w:themeColor="text1"/>
        </w:rPr>
        <w:t xml:space="preserve">crops. Further research is warranted to validate these findings </w:t>
      </w:r>
      <w:r w:rsidRPr="00066A81">
        <w:rPr>
          <w:color w:val="000000" w:themeColor="text1"/>
        </w:rPr>
        <w:lastRenderedPageBreak/>
        <w:t xml:space="preserve">and explore the potential implications of specific VOCs identified in each comparison on plant physiology, development, and sensory perception. </w:t>
      </w:r>
      <w:r>
        <w:rPr>
          <w:color w:val="000000" w:themeColor="text1"/>
        </w:rPr>
        <w:t xml:space="preserve">Sensory panels should be incorporated when investigating the influence of environmental control on crop physiology, specifically supplemental and sole source horticultural lighting. </w:t>
      </w:r>
      <w:r w:rsidRPr="00066A81">
        <w:rPr>
          <w:color w:val="000000" w:themeColor="text1"/>
        </w:rPr>
        <w:t>A multidisciplinary approach using a variety of analytical</w:t>
      </w:r>
      <w:r>
        <w:rPr>
          <w:color w:val="000000" w:themeColor="text1"/>
        </w:rPr>
        <w:t xml:space="preserve">, sensory, and </w:t>
      </w:r>
      <w:r w:rsidRPr="00066A81">
        <w:rPr>
          <w:color w:val="000000" w:themeColor="text1"/>
        </w:rPr>
        <w:t>molecular techniques would allow for greater insight into the complex interactions between light</w:t>
      </w:r>
      <w:r>
        <w:rPr>
          <w:color w:val="000000" w:themeColor="text1"/>
        </w:rPr>
        <w:t xml:space="preserve">, </w:t>
      </w:r>
      <w:r w:rsidRPr="00066A81">
        <w:rPr>
          <w:color w:val="000000" w:themeColor="text1"/>
        </w:rPr>
        <w:t>plant physiology</w:t>
      </w:r>
      <w:r>
        <w:rPr>
          <w:color w:val="000000" w:themeColor="text1"/>
        </w:rPr>
        <w:t>, and human sensory perception</w:t>
      </w:r>
      <w:r w:rsidRPr="00066A81">
        <w:rPr>
          <w:color w:val="000000" w:themeColor="text1"/>
        </w:rPr>
        <w:t>.</w:t>
      </w:r>
    </w:p>
    <w:p w14:paraId="73524EFF" w14:textId="77777777" w:rsidR="00BB138C" w:rsidRPr="003F0091" w:rsidRDefault="00BB138C" w:rsidP="00BB138C">
      <w:pPr>
        <w:spacing w:line="240" w:lineRule="auto"/>
        <w:rPr>
          <w:rFonts w:cs="Times New Roman"/>
          <w:b/>
          <w:color w:val="000000" w:themeColor="text1"/>
          <w:sz w:val="28"/>
        </w:rPr>
      </w:pPr>
    </w:p>
    <w:p w14:paraId="37AD8E43" w14:textId="20B1C527" w:rsidR="00BB138C" w:rsidRDefault="00BB138C" w:rsidP="00BB138C">
      <w:pPr>
        <w:spacing w:line="240" w:lineRule="auto"/>
        <w:rPr>
          <w:rFonts w:cs="Times New Roman"/>
          <w:b/>
          <w:color w:val="000000" w:themeColor="text1"/>
          <w:sz w:val="28"/>
          <w:highlight w:val="yellow"/>
        </w:rPr>
      </w:pPr>
    </w:p>
    <w:p w14:paraId="18378379" w14:textId="3C0DA176" w:rsidR="00BB138C" w:rsidRPr="003F0091" w:rsidRDefault="00BB138C" w:rsidP="00BB138C">
      <w:pPr>
        <w:pStyle w:val="MastersThesisMainTitle"/>
        <w:rPr>
          <w:color w:val="000000" w:themeColor="text1"/>
        </w:rPr>
      </w:pPr>
      <w:bookmarkStart w:id="702" w:name="_Toc139574877"/>
      <w:bookmarkStart w:id="703" w:name="_Toc141478747"/>
      <w:r w:rsidRPr="00FF5053">
        <w:rPr>
          <w:color w:val="000000" w:themeColor="text1"/>
        </w:rPr>
        <w:t>References</w:t>
      </w:r>
      <w:bookmarkEnd w:id="702"/>
      <w:bookmarkEnd w:id="703"/>
    </w:p>
    <w:p w14:paraId="24BB7859" w14:textId="77777777" w:rsidR="00BB138C" w:rsidRPr="00FF5053" w:rsidRDefault="00BB138C" w:rsidP="00BB138C">
      <w:pPr>
        <w:pStyle w:val="EndNoteBibliography"/>
        <w:ind w:left="720" w:hanging="720"/>
        <w:rPr>
          <w:noProof/>
        </w:rPr>
      </w:pPr>
      <w:r w:rsidRPr="00FF5053">
        <w:rPr>
          <w:noProof/>
        </w:rPr>
        <w:t xml:space="preserve">Alam, M.A., M; Asif, H. (2012). </w:t>
      </w:r>
      <w:r w:rsidRPr="00FF5053">
        <w:rPr>
          <w:i/>
          <w:noProof/>
        </w:rPr>
        <w:t xml:space="preserve">Textbook of Practical Analytical Chemistry. </w:t>
      </w:r>
      <w:r w:rsidRPr="00FF5053">
        <w:rPr>
          <w:noProof/>
        </w:rPr>
        <w:t>London: Elsevier Health Sciences APAC.</w:t>
      </w:r>
    </w:p>
    <w:p w14:paraId="4704BB6F" w14:textId="77777777" w:rsidR="00BB138C" w:rsidRPr="00FF5053" w:rsidRDefault="00BB138C" w:rsidP="00BB138C">
      <w:pPr>
        <w:pStyle w:val="EndNoteBibliography"/>
        <w:ind w:left="720" w:hanging="720"/>
        <w:rPr>
          <w:noProof/>
        </w:rPr>
      </w:pPr>
      <w:r w:rsidRPr="00FF5053">
        <w:rPr>
          <w:noProof/>
        </w:rPr>
        <w:t xml:space="preserve">Ballare, C.L. (2014). Light regulation of plant defense. </w:t>
      </w:r>
      <w:r w:rsidRPr="00FF5053">
        <w:rPr>
          <w:i/>
          <w:noProof/>
        </w:rPr>
        <w:t>Annu Rev Plant Biol</w:t>
      </w:r>
      <w:r w:rsidRPr="00FF5053">
        <w:rPr>
          <w:noProof/>
        </w:rPr>
        <w:t xml:space="preserve"> 65</w:t>
      </w:r>
      <w:r w:rsidRPr="00FF5053">
        <w:rPr>
          <w:b/>
          <w:noProof/>
        </w:rPr>
        <w:t>,</w:t>
      </w:r>
      <w:r w:rsidRPr="00FF5053">
        <w:rPr>
          <w:noProof/>
        </w:rPr>
        <w:t xml:space="preserve"> 335-363. doi: 10.1146/annurev-arplant-050213-040145.</w:t>
      </w:r>
    </w:p>
    <w:p w14:paraId="1B9767A5" w14:textId="77777777" w:rsidR="00BB138C" w:rsidRPr="00FF5053" w:rsidRDefault="00BB138C" w:rsidP="00BB138C">
      <w:pPr>
        <w:pStyle w:val="EndNoteBibliography"/>
        <w:ind w:left="720" w:hanging="720"/>
        <w:rPr>
          <w:noProof/>
        </w:rPr>
      </w:pPr>
      <w:r w:rsidRPr="00FF5053">
        <w:rPr>
          <w:noProof/>
        </w:rPr>
        <w:t xml:space="preserve">Barickman, T.C., Kopsell, D.A., and Sams, C.E. (2017). Effects of abscisic acid and calcium on tomato fruit aroma volatiles. </w:t>
      </w:r>
      <w:r w:rsidRPr="00FF5053">
        <w:rPr>
          <w:i/>
          <w:noProof/>
        </w:rPr>
        <w:t>Journal of Plant Nutrition</w:t>
      </w:r>
      <w:r w:rsidRPr="00FF5053">
        <w:rPr>
          <w:noProof/>
        </w:rPr>
        <w:t xml:space="preserve"> 40(14)</w:t>
      </w:r>
      <w:r w:rsidRPr="00FF5053">
        <w:rPr>
          <w:b/>
          <w:noProof/>
        </w:rPr>
        <w:t>,</w:t>
      </w:r>
      <w:r w:rsidRPr="00FF5053">
        <w:rPr>
          <w:noProof/>
        </w:rPr>
        <w:t xml:space="preserve"> 2096-2100. doi: 10.1080/01904167.2017.1318919.</w:t>
      </w:r>
    </w:p>
    <w:p w14:paraId="1A6FE203" w14:textId="77777777" w:rsidR="00BB138C" w:rsidRPr="00FF5053" w:rsidRDefault="00BB138C" w:rsidP="00BB138C">
      <w:pPr>
        <w:pStyle w:val="EndNoteBibliography"/>
        <w:ind w:left="720" w:hanging="720"/>
        <w:rPr>
          <w:noProof/>
        </w:rPr>
      </w:pPr>
      <w:r w:rsidRPr="00FF5053">
        <w:rPr>
          <w:noProof/>
        </w:rPr>
        <w:t xml:space="preserve">Bayramoglu, B., Sahin, S., and Sumnu, G. (2008). Solvent-free microwave extraction of essential oil from oregano. </w:t>
      </w:r>
      <w:r w:rsidRPr="00FF5053">
        <w:rPr>
          <w:i/>
          <w:noProof/>
        </w:rPr>
        <w:t>Journal of Food Engineering</w:t>
      </w:r>
      <w:r w:rsidRPr="00FF5053">
        <w:rPr>
          <w:noProof/>
        </w:rPr>
        <w:t xml:space="preserve"> 88(4)</w:t>
      </w:r>
      <w:r w:rsidRPr="00FF5053">
        <w:rPr>
          <w:b/>
          <w:noProof/>
        </w:rPr>
        <w:t>,</w:t>
      </w:r>
      <w:r w:rsidRPr="00FF5053">
        <w:rPr>
          <w:noProof/>
        </w:rPr>
        <w:t xml:space="preserve"> 535-540. doi: 10.1016/j.jfoodeng.2008.03.015.</w:t>
      </w:r>
    </w:p>
    <w:p w14:paraId="513E41FD" w14:textId="77777777" w:rsidR="00BB138C" w:rsidRPr="00FF5053" w:rsidRDefault="00BB138C" w:rsidP="00BB138C">
      <w:pPr>
        <w:pStyle w:val="EndNoteBibliography"/>
        <w:ind w:left="720" w:hanging="720"/>
        <w:rPr>
          <w:noProof/>
        </w:rPr>
      </w:pPr>
      <w:r w:rsidRPr="00FF5053">
        <w:rPr>
          <w:noProof/>
        </w:rPr>
        <w:t xml:space="preserve">Bian, Z., Wang, Y., Zhang, X., Grundy, S., Hardy, K., Yang, Q., et al. (2021). A Transcriptome Analysis Revealing the New Insight of Green Light on Tomato Plant Growth and Drought Stress Tolerance. </w:t>
      </w:r>
      <w:r w:rsidRPr="00FF5053">
        <w:rPr>
          <w:i/>
          <w:noProof/>
        </w:rPr>
        <w:t>Front Plant Sci</w:t>
      </w:r>
      <w:r w:rsidRPr="00FF5053">
        <w:rPr>
          <w:noProof/>
        </w:rPr>
        <w:t xml:space="preserve"> 12</w:t>
      </w:r>
      <w:r w:rsidRPr="00FF5053">
        <w:rPr>
          <w:b/>
          <w:noProof/>
        </w:rPr>
        <w:t>,</w:t>
      </w:r>
      <w:r w:rsidRPr="00FF5053">
        <w:rPr>
          <w:noProof/>
        </w:rPr>
        <w:t xml:space="preserve"> 649283. doi: 10.3389/fpls.2021.649283.</w:t>
      </w:r>
    </w:p>
    <w:p w14:paraId="5C7669E4" w14:textId="77777777" w:rsidR="00BB138C" w:rsidRPr="00FF5053" w:rsidRDefault="00BB138C" w:rsidP="00BB138C">
      <w:pPr>
        <w:pStyle w:val="EndNoteBibliography"/>
        <w:ind w:left="720" w:hanging="720"/>
        <w:rPr>
          <w:noProof/>
        </w:rPr>
      </w:pPr>
      <w:r w:rsidRPr="00FF5053">
        <w:rPr>
          <w:noProof/>
        </w:rPr>
        <w:t xml:space="preserve">Buchanan, B.G., W.; Jones, R. (2015). </w:t>
      </w:r>
      <w:r w:rsidRPr="00FF5053">
        <w:rPr>
          <w:i/>
          <w:noProof/>
        </w:rPr>
        <w:t>Biochemistry and Molecular Biology of Plants, Second Edition.</w:t>
      </w:r>
      <w:r w:rsidRPr="00FF5053">
        <w:rPr>
          <w:noProof/>
        </w:rPr>
        <w:t xml:space="preserve"> Wiley Blackwell.</w:t>
      </w:r>
    </w:p>
    <w:p w14:paraId="45C927A5" w14:textId="77777777" w:rsidR="00BB138C" w:rsidRPr="00FF5053" w:rsidRDefault="00BB138C" w:rsidP="00BB138C">
      <w:pPr>
        <w:pStyle w:val="EndNoteBibliography"/>
        <w:ind w:left="720" w:hanging="720"/>
        <w:rPr>
          <w:noProof/>
        </w:rPr>
      </w:pPr>
      <w:r w:rsidRPr="00FF5053">
        <w:rPr>
          <w:noProof/>
        </w:rPr>
        <w:lastRenderedPageBreak/>
        <w:t>Carvalho, S.D., Schwieterman, M.L., Abrahan, C.E., Colquhoun, T.A., and Folta, K.M. (2016). Light Quality Dependent Changes in Morphology, Antioxidant Capacity, and Volatile Production in Sweet Basil (</w:t>
      </w:r>
      <w:r w:rsidRPr="00FF5053">
        <w:rPr>
          <w:i/>
          <w:noProof/>
        </w:rPr>
        <w:t>Ocimum basilicum</w:t>
      </w:r>
      <w:r w:rsidRPr="00FF5053">
        <w:rPr>
          <w:noProof/>
        </w:rPr>
        <w:t xml:space="preserve">). </w:t>
      </w:r>
      <w:r w:rsidRPr="00FF5053">
        <w:rPr>
          <w:i/>
          <w:noProof/>
        </w:rPr>
        <w:t>Front Plant Sci</w:t>
      </w:r>
      <w:r w:rsidRPr="00FF5053">
        <w:rPr>
          <w:noProof/>
        </w:rPr>
        <w:t xml:space="preserve"> 7</w:t>
      </w:r>
      <w:r w:rsidRPr="00FF5053">
        <w:rPr>
          <w:b/>
          <w:noProof/>
        </w:rPr>
        <w:t>,</w:t>
      </w:r>
      <w:r w:rsidRPr="00FF5053">
        <w:rPr>
          <w:noProof/>
        </w:rPr>
        <w:t xml:space="preserve"> 1328. doi: 10.3389/fpls.2016.01328.</w:t>
      </w:r>
    </w:p>
    <w:p w14:paraId="5102BA49" w14:textId="77777777" w:rsidR="00BB138C" w:rsidRPr="00FF5053" w:rsidRDefault="00BB138C" w:rsidP="00BB138C">
      <w:pPr>
        <w:pStyle w:val="EndNoteBibliography"/>
        <w:ind w:left="720" w:hanging="720"/>
        <w:rPr>
          <w:noProof/>
        </w:rPr>
      </w:pPr>
      <w:r w:rsidRPr="00FF5053">
        <w:rPr>
          <w:noProof/>
        </w:rPr>
        <w:t xml:space="preserve">Casal, J.J. (2007). Phytochromes, Cryptochromes, Phototropin: Photoreceptor Interactions in Plants. </w:t>
      </w:r>
      <w:r w:rsidRPr="00FF5053">
        <w:rPr>
          <w:i/>
          <w:noProof/>
        </w:rPr>
        <w:t>Photochemistry and Photobiology</w:t>
      </w:r>
      <w:r w:rsidRPr="00FF5053">
        <w:rPr>
          <w:noProof/>
        </w:rPr>
        <w:t xml:space="preserve"> 71(1)</w:t>
      </w:r>
      <w:r w:rsidRPr="00FF5053">
        <w:rPr>
          <w:b/>
          <w:noProof/>
        </w:rPr>
        <w:t>,</w:t>
      </w:r>
      <w:r w:rsidRPr="00FF5053">
        <w:rPr>
          <w:noProof/>
        </w:rPr>
        <w:t xml:space="preserve"> 1-11. doi: 10.1562/0031-8655(2000)0710001pcppii2.0.Co2.</w:t>
      </w:r>
    </w:p>
    <w:p w14:paraId="70B15816" w14:textId="77777777" w:rsidR="00BB138C" w:rsidRPr="00FF5053" w:rsidRDefault="00BB138C" w:rsidP="00BB138C">
      <w:pPr>
        <w:pStyle w:val="EndNoteBibliography"/>
        <w:ind w:left="720" w:hanging="720"/>
        <w:rPr>
          <w:noProof/>
        </w:rPr>
      </w:pPr>
      <w:r w:rsidRPr="00FF5053">
        <w:rPr>
          <w:noProof/>
        </w:rPr>
        <w:t xml:space="preserve">Faust, J.E., and Logan, J. (2018). Daily light integral: A research review and high-resolution maps of the United States. </w:t>
      </w:r>
      <w:r w:rsidRPr="00FF5053">
        <w:rPr>
          <w:i/>
          <w:noProof/>
        </w:rPr>
        <w:t>HortScience</w:t>
      </w:r>
      <w:r w:rsidRPr="00FF5053">
        <w:rPr>
          <w:noProof/>
        </w:rPr>
        <w:t xml:space="preserve"> 53(9)</w:t>
      </w:r>
      <w:r w:rsidRPr="00FF5053">
        <w:rPr>
          <w:b/>
          <w:noProof/>
        </w:rPr>
        <w:t>,</w:t>
      </w:r>
      <w:r w:rsidRPr="00FF5053">
        <w:rPr>
          <w:noProof/>
        </w:rPr>
        <w:t xml:space="preserve"> 1250-1257.</w:t>
      </w:r>
    </w:p>
    <w:p w14:paraId="5E8D2E77" w14:textId="77777777" w:rsidR="00BB138C" w:rsidRPr="00FF5053" w:rsidRDefault="00BB138C" w:rsidP="00BB138C">
      <w:pPr>
        <w:pStyle w:val="EndNoteBibliography"/>
        <w:ind w:left="720" w:hanging="720"/>
        <w:rPr>
          <w:noProof/>
        </w:rPr>
      </w:pPr>
      <w:r w:rsidRPr="00FF5053">
        <w:rPr>
          <w:noProof/>
        </w:rPr>
        <w:t xml:space="preserve">Garcia-Caparros, P., Chica, R., Almansa, E., Rull, A., Rivas, L., García-Buendía, A., et al. (2018). Comparisons of Different Lighting Systems for Horticultural Seedling Production Aimed at Energy Saving. </w:t>
      </w:r>
      <w:r w:rsidRPr="00FF5053">
        <w:rPr>
          <w:i/>
          <w:noProof/>
        </w:rPr>
        <w:t>Sustainability</w:t>
      </w:r>
      <w:r w:rsidRPr="00FF5053">
        <w:rPr>
          <w:noProof/>
        </w:rPr>
        <w:t xml:space="preserve"> 10(9)</w:t>
      </w:r>
      <w:r w:rsidRPr="00FF5053">
        <w:rPr>
          <w:b/>
          <w:noProof/>
        </w:rPr>
        <w:t>,</w:t>
      </w:r>
      <w:r w:rsidRPr="00FF5053">
        <w:rPr>
          <w:noProof/>
        </w:rPr>
        <w:t xml:space="preserve"> 3351. doi: 10.3390/su10093351.</w:t>
      </w:r>
    </w:p>
    <w:p w14:paraId="693C696A" w14:textId="77777777" w:rsidR="00BB138C" w:rsidRPr="00FF5053" w:rsidRDefault="00BB138C" w:rsidP="00BB138C">
      <w:pPr>
        <w:pStyle w:val="EndNoteBibliography"/>
        <w:ind w:left="720" w:hanging="720"/>
        <w:rPr>
          <w:noProof/>
        </w:rPr>
      </w:pPr>
      <w:r w:rsidRPr="00FF5053">
        <w:rPr>
          <w:noProof/>
        </w:rPr>
        <w:t xml:space="preserve">Gonda, I., Faigenboim, A., Adler, C., Milavski, R., Karp, M.J., Shachter, A., et al. (2020). The genome sequence of tetraploid sweet basil, </w:t>
      </w:r>
      <w:r w:rsidRPr="00FF5053">
        <w:rPr>
          <w:i/>
          <w:noProof/>
        </w:rPr>
        <w:t>Ocimum basilicum</w:t>
      </w:r>
      <w:r w:rsidRPr="00FF5053">
        <w:rPr>
          <w:noProof/>
        </w:rPr>
        <w:t xml:space="preserve"> L., provides tools for advanced genome editing and molecular breeding. </w:t>
      </w:r>
      <w:r w:rsidRPr="00FF5053">
        <w:rPr>
          <w:i/>
          <w:noProof/>
        </w:rPr>
        <w:t>DNA Res</w:t>
      </w:r>
      <w:r w:rsidRPr="00FF5053">
        <w:rPr>
          <w:noProof/>
        </w:rPr>
        <w:t xml:space="preserve"> 27(5). doi: 10.1093/dnares/dsaa027.</w:t>
      </w:r>
    </w:p>
    <w:p w14:paraId="4DA4EDB6" w14:textId="77777777" w:rsidR="00BB138C" w:rsidRPr="00FF5053" w:rsidRDefault="00BB138C" w:rsidP="00BB138C">
      <w:pPr>
        <w:pStyle w:val="EndNoteBibliography"/>
        <w:ind w:left="720" w:hanging="720"/>
        <w:rPr>
          <w:noProof/>
        </w:rPr>
      </w:pPr>
      <w:r w:rsidRPr="00FF5053">
        <w:rPr>
          <w:noProof/>
        </w:rPr>
        <w:t xml:space="preserve">Hammock, H.A., and Sams, C.E. (2023). Variation in supplemental lighting quality influences key aroma volatiles in hydroponically grown ‘Italian Large Leaf’ basil. </w:t>
      </w:r>
      <w:r w:rsidRPr="00FF5053">
        <w:rPr>
          <w:i/>
          <w:noProof/>
        </w:rPr>
        <w:t>Frontiers in Plant Science</w:t>
      </w:r>
      <w:r w:rsidRPr="00FF5053">
        <w:rPr>
          <w:noProof/>
        </w:rPr>
        <w:t xml:space="preserve"> 14. doi: 10.3389/fpls.2023.1184664.</w:t>
      </w:r>
    </w:p>
    <w:p w14:paraId="4B402FAA" w14:textId="77777777" w:rsidR="00BB138C" w:rsidRDefault="00BB138C" w:rsidP="00BB138C">
      <w:pPr>
        <w:pStyle w:val="EndNoteBibliography"/>
        <w:ind w:left="720" w:hanging="720"/>
        <w:rPr>
          <w:noProof/>
        </w:rPr>
      </w:pPr>
      <w:r w:rsidRPr="00FF5053">
        <w:rPr>
          <w:noProof/>
        </w:rPr>
        <w:t xml:space="preserve">Hasan, M.M., Bashir, T., Ghosh, R., Lee, S.K., and Bae, H. (2017). An Overview of LEDs' Effects on the Production of Bioactive Compounds and Crop Quality. </w:t>
      </w:r>
      <w:r w:rsidRPr="00FF5053">
        <w:rPr>
          <w:i/>
          <w:noProof/>
        </w:rPr>
        <w:t>Molecules</w:t>
      </w:r>
      <w:r w:rsidRPr="00FF5053">
        <w:rPr>
          <w:noProof/>
        </w:rPr>
        <w:t xml:space="preserve"> 22(9). doi: 10.3390/molecules22091420.</w:t>
      </w:r>
    </w:p>
    <w:p w14:paraId="066203AA" w14:textId="650355EB" w:rsidR="00A37527" w:rsidRPr="00FF5053" w:rsidRDefault="00A37527" w:rsidP="00A37527">
      <w:pPr>
        <w:pStyle w:val="EndNoteBibliography"/>
        <w:ind w:left="720" w:hanging="720"/>
        <w:rPr>
          <w:noProof/>
        </w:rPr>
      </w:pPr>
      <w:r>
        <w:rPr>
          <w:noProof/>
        </w:rPr>
        <w:lastRenderedPageBreak/>
        <w:t>Heilmann S, Hummel T. 2004. A new method for comparing orthonasal and retronasal olfaction. Behav Neurosci. 118(2):412–419.</w:t>
      </w:r>
    </w:p>
    <w:p w14:paraId="787170B6" w14:textId="77777777" w:rsidR="00BB138C" w:rsidRPr="00FF5053" w:rsidRDefault="00BB138C" w:rsidP="00BB138C">
      <w:pPr>
        <w:pStyle w:val="EndNoteBibliography"/>
        <w:ind w:left="720" w:hanging="720"/>
        <w:rPr>
          <w:noProof/>
        </w:rPr>
      </w:pPr>
      <w:r w:rsidRPr="00FF5053">
        <w:rPr>
          <w:noProof/>
        </w:rPr>
        <w:t xml:space="preserve">Hiltunen, R., and Holm, Y. (2003). </w:t>
      </w:r>
      <w:r w:rsidRPr="00FF5053">
        <w:rPr>
          <w:i/>
          <w:noProof/>
        </w:rPr>
        <w:t xml:space="preserve">Basil: The Genus Ocimum. </w:t>
      </w:r>
      <w:r w:rsidRPr="00FF5053">
        <w:rPr>
          <w:noProof/>
        </w:rPr>
        <w:t>Amsterdam: CRC Press.</w:t>
      </w:r>
    </w:p>
    <w:p w14:paraId="32FDDBCC" w14:textId="77777777" w:rsidR="00BB138C" w:rsidRPr="00FF5053" w:rsidRDefault="00BB138C" w:rsidP="00BB138C">
      <w:pPr>
        <w:pStyle w:val="EndNoteBibliography"/>
        <w:ind w:left="720" w:hanging="720"/>
        <w:rPr>
          <w:noProof/>
        </w:rPr>
      </w:pPr>
      <w:r w:rsidRPr="00FF5053">
        <w:rPr>
          <w:noProof/>
        </w:rPr>
        <w:t xml:space="preserve">Kivimaenpa, M., Mofikoya, A., Abd El-Raheem, A.M., Riikonen, J., Julkunen-Tiitto, R., and Holopainen, J.K. (2022). Alteration in Light Spectra Causes Opposite Responses in Volatile Phenylpropanoids and Terpenoids Compared with Phenolic Acids in Sweet Basil (Ocimum basilicum) Leaves. </w:t>
      </w:r>
      <w:r w:rsidRPr="00FF5053">
        <w:rPr>
          <w:i/>
          <w:noProof/>
        </w:rPr>
        <w:t>J Agric Food Chem</w:t>
      </w:r>
      <w:r w:rsidRPr="00FF5053">
        <w:rPr>
          <w:noProof/>
        </w:rPr>
        <w:t xml:space="preserve"> 70(39)</w:t>
      </w:r>
      <w:r w:rsidRPr="00FF5053">
        <w:rPr>
          <w:b/>
          <w:noProof/>
        </w:rPr>
        <w:t>,</w:t>
      </w:r>
      <w:r w:rsidRPr="00FF5053">
        <w:rPr>
          <w:noProof/>
        </w:rPr>
        <w:t xml:space="preserve"> 12287-12296. doi: 10.1021/acs.jafc.2c03309.</w:t>
      </w:r>
    </w:p>
    <w:p w14:paraId="4FE5E751" w14:textId="77777777" w:rsidR="00BB138C" w:rsidRPr="00FF5053" w:rsidRDefault="00BB138C" w:rsidP="00BB138C">
      <w:pPr>
        <w:pStyle w:val="EndNoteBibliography"/>
        <w:ind w:left="720" w:hanging="720"/>
        <w:rPr>
          <w:noProof/>
        </w:rPr>
      </w:pPr>
      <w:r w:rsidRPr="00FF5053">
        <w:rPr>
          <w:noProof/>
        </w:rPr>
        <w:t xml:space="preserve">Korczynski, P.C., Logan, J., and Faust, J.E. (2002). Mapping Monthly Distribution of Daily Light Integrals across the Contiguous United States. </w:t>
      </w:r>
      <w:r w:rsidRPr="00FF5053">
        <w:rPr>
          <w:i/>
          <w:noProof/>
        </w:rPr>
        <w:t>HortTechnology</w:t>
      </w:r>
      <w:r w:rsidRPr="00FF5053">
        <w:rPr>
          <w:noProof/>
        </w:rPr>
        <w:t xml:space="preserve"> 12(1)</w:t>
      </w:r>
      <w:r w:rsidRPr="00FF5053">
        <w:rPr>
          <w:b/>
          <w:noProof/>
        </w:rPr>
        <w:t>,</w:t>
      </w:r>
      <w:r w:rsidRPr="00FF5053">
        <w:rPr>
          <w:noProof/>
        </w:rPr>
        <w:t xml:space="preserve"> 12-16. doi: 10.21273/horttech.12.1.12.</w:t>
      </w:r>
    </w:p>
    <w:p w14:paraId="41E7EFD5" w14:textId="77777777" w:rsidR="00BB138C" w:rsidRPr="00FF5053" w:rsidRDefault="00BB138C" w:rsidP="00BB138C">
      <w:pPr>
        <w:pStyle w:val="EndNoteBibliography"/>
        <w:ind w:left="720" w:hanging="720"/>
        <w:rPr>
          <w:noProof/>
        </w:rPr>
      </w:pPr>
      <w:r w:rsidRPr="00FF5053">
        <w:rPr>
          <w:noProof/>
        </w:rPr>
        <w:t xml:space="preserve">Kumar, Y., Khan, F., Rastogi, S., and Shasany, A.K. (2018). Genome-wide detection of terpene synthase genes in holy basil (Ocimum sanctum L.). </w:t>
      </w:r>
      <w:r w:rsidRPr="00FF5053">
        <w:rPr>
          <w:i/>
          <w:noProof/>
        </w:rPr>
        <w:t>PLoS One</w:t>
      </w:r>
      <w:r w:rsidRPr="00FF5053">
        <w:rPr>
          <w:noProof/>
        </w:rPr>
        <w:t xml:space="preserve"> 13(11)</w:t>
      </w:r>
      <w:r w:rsidRPr="00FF5053">
        <w:rPr>
          <w:b/>
          <w:noProof/>
        </w:rPr>
        <w:t>,</w:t>
      </w:r>
      <w:r w:rsidRPr="00FF5053">
        <w:rPr>
          <w:noProof/>
        </w:rPr>
        <w:t xml:space="preserve"> e0207097. doi: 10.1371/journal.pone.0207097.</w:t>
      </w:r>
    </w:p>
    <w:p w14:paraId="79E89D4F" w14:textId="77777777" w:rsidR="00BB138C" w:rsidRPr="00FF5053" w:rsidRDefault="00BB138C" w:rsidP="00BB138C">
      <w:pPr>
        <w:pStyle w:val="EndNoteBibliography"/>
        <w:ind w:left="720" w:hanging="720"/>
        <w:rPr>
          <w:noProof/>
        </w:rPr>
      </w:pPr>
      <w:r w:rsidRPr="00FF5053">
        <w:rPr>
          <w:noProof/>
        </w:rPr>
        <w:t xml:space="preserve">Lauria, G., Lo Piccolo, E., Davini, A., Ruffini Castiglione, M., Pieracci, Y., Flamini, G., et al. (2023). Modulation of VOC fingerprint and alteration of physiological responses after supplemental LED light in green- and red-leafed sweet basil (Ocimum basilicum L.). </w:t>
      </w:r>
      <w:r w:rsidRPr="00FF5053">
        <w:rPr>
          <w:i/>
          <w:noProof/>
        </w:rPr>
        <w:t>Scientia Horticulturae</w:t>
      </w:r>
      <w:r w:rsidRPr="00FF5053">
        <w:rPr>
          <w:noProof/>
        </w:rPr>
        <w:t xml:space="preserve"> 315. doi: 10.1016/j.scienta.2023.111970.</w:t>
      </w:r>
    </w:p>
    <w:p w14:paraId="6BE7E538" w14:textId="77777777" w:rsidR="00BB138C" w:rsidRPr="00FF5053" w:rsidRDefault="00BB138C" w:rsidP="00BB138C">
      <w:pPr>
        <w:pStyle w:val="EndNoteBibliography"/>
        <w:ind w:left="720" w:hanging="720"/>
        <w:rPr>
          <w:noProof/>
        </w:rPr>
      </w:pPr>
      <w:r w:rsidRPr="00FF5053">
        <w:rPr>
          <w:noProof/>
        </w:rPr>
        <w:t xml:space="preserve">Lawless, H.H., H. (2010). </w:t>
      </w:r>
      <w:r w:rsidRPr="00FF5053">
        <w:rPr>
          <w:i/>
          <w:noProof/>
        </w:rPr>
        <w:t>Sensory Evaluation of Food.</w:t>
      </w:r>
      <w:r w:rsidRPr="00FF5053">
        <w:rPr>
          <w:noProof/>
        </w:rPr>
        <w:t xml:space="preserve"> SpringerLink.</w:t>
      </w:r>
    </w:p>
    <w:p w14:paraId="3A51898F" w14:textId="77777777" w:rsidR="00BB138C" w:rsidRPr="00FF5053" w:rsidRDefault="00BB138C" w:rsidP="00BB138C">
      <w:pPr>
        <w:pStyle w:val="EndNoteBibliography"/>
        <w:ind w:left="720" w:hanging="720"/>
        <w:rPr>
          <w:noProof/>
        </w:rPr>
      </w:pPr>
      <w:r w:rsidRPr="00FF5053">
        <w:rPr>
          <w:noProof/>
        </w:rPr>
        <w:t>Lee, S.J., Umano, K., Shibamoto, T., and Lee, K.G. (2005). Identification of volatile components in basil (</w:t>
      </w:r>
      <w:r w:rsidRPr="00FF5053">
        <w:rPr>
          <w:i/>
          <w:noProof/>
        </w:rPr>
        <w:t>Ocimum basilicum</w:t>
      </w:r>
      <w:r w:rsidRPr="00FF5053">
        <w:rPr>
          <w:noProof/>
        </w:rPr>
        <w:t xml:space="preserve"> L.) and thyme leaves (</w:t>
      </w:r>
      <w:r w:rsidRPr="00FF5053">
        <w:rPr>
          <w:i/>
          <w:noProof/>
        </w:rPr>
        <w:t xml:space="preserve">Thymus vulgaris </w:t>
      </w:r>
      <w:r w:rsidRPr="00FF5053">
        <w:rPr>
          <w:noProof/>
        </w:rPr>
        <w:t xml:space="preserve">L.) and their antioxidant properties. </w:t>
      </w:r>
      <w:r w:rsidRPr="00FF5053">
        <w:rPr>
          <w:i/>
          <w:noProof/>
        </w:rPr>
        <w:t>Food Chemistry</w:t>
      </w:r>
      <w:r w:rsidRPr="00FF5053">
        <w:rPr>
          <w:noProof/>
        </w:rPr>
        <w:t xml:space="preserve"> 91(1)</w:t>
      </w:r>
      <w:r w:rsidRPr="00FF5053">
        <w:rPr>
          <w:b/>
          <w:noProof/>
        </w:rPr>
        <w:t>,</w:t>
      </w:r>
      <w:r w:rsidRPr="00FF5053">
        <w:rPr>
          <w:noProof/>
        </w:rPr>
        <w:t xml:space="preserve"> 131-137. doi: 10.1016/j.foodchem.2004.05.056.</w:t>
      </w:r>
    </w:p>
    <w:p w14:paraId="6517024C" w14:textId="77777777" w:rsidR="00BB138C" w:rsidRPr="00FF5053" w:rsidRDefault="00BB138C" w:rsidP="00BB138C">
      <w:pPr>
        <w:pStyle w:val="EndNoteBibliography"/>
        <w:ind w:left="720" w:hanging="720"/>
        <w:rPr>
          <w:noProof/>
        </w:rPr>
      </w:pPr>
      <w:r w:rsidRPr="00FF5053">
        <w:rPr>
          <w:noProof/>
        </w:rPr>
        <w:lastRenderedPageBreak/>
        <w:t xml:space="preserve">Lin, C., and Shalitin, D. (2003). Cryptochrome structure and signal transduction. </w:t>
      </w:r>
      <w:r w:rsidRPr="00FF5053">
        <w:rPr>
          <w:i/>
          <w:noProof/>
        </w:rPr>
        <w:t>Annu Rev Plant Biol</w:t>
      </w:r>
      <w:r w:rsidRPr="00FF5053">
        <w:rPr>
          <w:noProof/>
        </w:rPr>
        <w:t xml:space="preserve"> 54</w:t>
      </w:r>
      <w:r w:rsidRPr="00FF5053">
        <w:rPr>
          <w:b/>
          <w:noProof/>
        </w:rPr>
        <w:t>,</w:t>
      </w:r>
      <w:r w:rsidRPr="00FF5053">
        <w:rPr>
          <w:noProof/>
        </w:rPr>
        <w:t xml:space="preserve"> 469-496. doi: 10.1146/annurev.arplant.54.110901.160901.</w:t>
      </w:r>
    </w:p>
    <w:p w14:paraId="3EC00529" w14:textId="77777777" w:rsidR="00BB138C" w:rsidRPr="00FF5053" w:rsidRDefault="00BB138C" w:rsidP="00BB138C">
      <w:pPr>
        <w:pStyle w:val="EndNoteBibliography"/>
        <w:ind w:left="720" w:hanging="720"/>
        <w:rPr>
          <w:noProof/>
        </w:rPr>
      </w:pPr>
      <w:r w:rsidRPr="00FF5053">
        <w:rPr>
          <w:noProof/>
        </w:rPr>
        <w:t xml:space="preserve">Lin, C., and Todo, T. (2005). The cryptochromes. </w:t>
      </w:r>
      <w:r w:rsidRPr="00FF5053">
        <w:rPr>
          <w:i/>
          <w:noProof/>
        </w:rPr>
        <w:t>Genome Biol</w:t>
      </w:r>
      <w:r w:rsidRPr="00FF5053">
        <w:rPr>
          <w:noProof/>
        </w:rPr>
        <w:t xml:space="preserve"> 6(5)</w:t>
      </w:r>
      <w:r w:rsidRPr="00FF5053">
        <w:rPr>
          <w:b/>
          <w:noProof/>
        </w:rPr>
        <w:t>,</w:t>
      </w:r>
      <w:r w:rsidRPr="00FF5053">
        <w:rPr>
          <w:noProof/>
        </w:rPr>
        <w:t xml:space="preserve"> 220. doi: 10.1186/gb-2005-6-5-220.</w:t>
      </w:r>
    </w:p>
    <w:p w14:paraId="6792D0C8" w14:textId="77777777" w:rsidR="00BB138C" w:rsidRPr="00FF5053" w:rsidRDefault="00BB138C" w:rsidP="00BB138C">
      <w:pPr>
        <w:pStyle w:val="EndNoteBibliography"/>
        <w:ind w:left="720" w:hanging="720"/>
        <w:rPr>
          <w:noProof/>
        </w:rPr>
      </w:pPr>
      <w:r w:rsidRPr="00FF5053">
        <w:rPr>
          <w:noProof/>
        </w:rPr>
        <w:t xml:space="preserve">Litvin, A.G., Currey, C.J., and Wilson, L.A. (2020). Effects of Supplemental Light Source on Basil, Dill, and Parsley Growth, Morphology, Aroma, and Flavor. </w:t>
      </w:r>
      <w:r w:rsidRPr="00FF5053">
        <w:rPr>
          <w:i/>
          <w:noProof/>
        </w:rPr>
        <w:t>J. Am. Society for Hortic. Sci</w:t>
      </w:r>
      <w:r w:rsidRPr="00FF5053">
        <w:rPr>
          <w:noProof/>
        </w:rPr>
        <w:t xml:space="preserve"> 145(1)</w:t>
      </w:r>
      <w:r w:rsidRPr="00FF5053">
        <w:rPr>
          <w:b/>
          <w:noProof/>
        </w:rPr>
        <w:t>,</w:t>
      </w:r>
      <w:r w:rsidRPr="00FF5053">
        <w:rPr>
          <w:noProof/>
        </w:rPr>
        <w:t xml:space="preserve"> 18-29.</w:t>
      </w:r>
    </w:p>
    <w:p w14:paraId="06606F29" w14:textId="77777777" w:rsidR="00BB138C" w:rsidRDefault="00BB138C" w:rsidP="00BB138C">
      <w:pPr>
        <w:pStyle w:val="EndNoteBibliography"/>
        <w:ind w:left="720" w:hanging="720"/>
        <w:rPr>
          <w:noProof/>
        </w:rPr>
      </w:pPr>
      <w:r w:rsidRPr="00FF5053">
        <w:rPr>
          <w:noProof/>
        </w:rPr>
        <w:t>Loughrin, J.H., and Kasperbauer, M.J. (2003). Aroma content of fresh basil (</w:t>
      </w:r>
      <w:r w:rsidRPr="00FF5053">
        <w:rPr>
          <w:i/>
          <w:noProof/>
        </w:rPr>
        <w:t>Ocimum basilicum</w:t>
      </w:r>
      <w:r w:rsidRPr="00FF5053">
        <w:rPr>
          <w:noProof/>
        </w:rPr>
        <w:t xml:space="preserve"> L.) leaves is affected by light reflected from colored mulches. </w:t>
      </w:r>
      <w:r w:rsidRPr="00FF5053">
        <w:rPr>
          <w:i/>
          <w:noProof/>
        </w:rPr>
        <w:t>J Agric Food Chem</w:t>
      </w:r>
      <w:r w:rsidRPr="00FF5053">
        <w:rPr>
          <w:noProof/>
        </w:rPr>
        <w:t xml:space="preserve"> 51(8)</w:t>
      </w:r>
      <w:r w:rsidRPr="00FF5053">
        <w:rPr>
          <w:b/>
          <w:noProof/>
        </w:rPr>
        <w:t>,</w:t>
      </w:r>
      <w:r w:rsidRPr="00FF5053">
        <w:rPr>
          <w:noProof/>
        </w:rPr>
        <w:t xml:space="preserve"> 2272-2276. doi: 10.1021/jf021076c.</w:t>
      </w:r>
    </w:p>
    <w:p w14:paraId="3D79CBB7" w14:textId="786AC898" w:rsidR="00A37527" w:rsidRPr="00FF5053" w:rsidRDefault="00A37527" w:rsidP="00BB138C">
      <w:pPr>
        <w:pStyle w:val="EndNoteBibliography"/>
        <w:ind w:left="720" w:hanging="720"/>
        <w:rPr>
          <w:noProof/>
        </w:rPr>
      </w:pPr>
      <w:r w:rsidRPr="00A37527">
        <w:rPr>
          <w:noProof/>
        </w:rPr>
        <w:t>Luckett, C. R., Pellegrino, R., Heatherly, M., Alfaro Martinez, K., Dein, M., &amp; Munafo, P. J. (2021). Discrimination of complex odor mixtures: a study using wine aroma models. Chemical Senses, 46</w:t>
      </w:r>
      <w:r>
        <w:rPr>
          <w:noProof/>
        </w:rPr>
        <w:t>.</w:t>
      </w:r>
    </w:p>
    <w:p w14:paraId="3C953DF4" w14:textId="77777777" w:rsidR="00BB138C" w:rsidRPr="00FF5053" w:rsidRDefault="00BB138C" w:rsidP="00BB138C">
      <w:pPr>
        <w:pStyle w:val="EndNoteBibliography"/>
        <w:ind w:left="720" w:hanging="720"/>
        <w:rPr>
          <w:noProof/>
        </w:rPr>
      </w:pPr>
      <w:r w:rsidRPr="00FF5053">
        <w:rPr>
          <w:noProof/>
        </w:rPr>
        <w:t xml:space="preserve">Meligaard, M., Civile, G.V., and Carr, B.T. (2007). </w:t>
      </w:r>
      <w:r w:rsidRPr="00FF5053">
        <w:rPr>
          <w:i/>
          <w:noProof/>
        </w:rPr>
        <w:t xml:space="preserve">Sensory Evaluation Techniques, Fourth Edition </w:t>
      </w:r>
      <w:r w:rsidRPr="00FF5053">
        <w:rPr>
          <w:noProof/>
        </w:rPr>
        <w:t>CRC Press.</w:t>
      </w:r>
    </w:p>
    <w:p w14:paraId="44768D1C" w14:textId="77777777" w:rsidR="00BB138C" w:rsidRPr="00FF5053" w:rsidRDefault="00BB138C" w:rsidP="00BB138C">
      <w:pPr>
        <w:pStyle w:val="EndNoteBibliography"/>
        <w:ind w:left="720" w:hanging="720"/>
        <w:rPr>
          <w:noProof/>
        </w:rPr>
      </w:pPr>
      <w:r w:rsidRPr="00FF5053">
        <w:rPr>
          <w:noProof/>
        </w:rPr>
        <w:t xml:space="preserve">Ochiai, N., Tsunokawa, J., Sasamoto, K., and Hoffmann, A. (2014). Multi-volatile method for aroma analysis using sequential dynamic headspace sampling with an application to brewed coffee. </w:t>
      </w:r>
      <w:r w:rsidRPr="00FF5053">
        <w:rPr>
          <w:i/>
          <w:noProof/>
        </w:rPr>
        <w:t>J Chromatogr A</w:t>
      </w:r>
      <w:r w:rsidRPr="00FF5053">
        <w:rPr>
          <w:noProof/>
        </w:rPr>
        <w:t xml:space="preserve"> 1371</w:t>
      </w:r>
      <w:r w:rsidRPr="00FF5053">
        <w:rPr>
          <w:b/>
          <w:noProof/>
        </w:rPr>
        <w:t>,</w:t>
      </w:r>
      <w:r w:rsidRPr="00FF5053">
        <w:rPr>
          <w:noProof/>
        </w:rPr>
        <w:t xml:space="preserve"> 65-73. doi: 10.1016/j.chroma.2014.10.074.</w:t>
      </w:r>
    </w:p>
    <w:p w14:paraId="1310525A" w14:textId="77777777" w:rsidR="00BB138C" w:rsidRPr="00FF5053" w:rsidRDefault="00BB138C" w:rsidP="00BB138C">
      <w:pPr>
        <w:pStyle w:val="EndNoteBibliography"/>
        <w:ind w:left="720" w:hanging="720"/>
        <w:rPr>
          <w:noProof/>
        </w:rPr>
      </w:pPr>
      <w:r w:rsidRPr="00FF5053">
        <w:rPr>
          <w:noProof/>
        </w:rPr>
        <w:t xml:space="preserve">Ouzounis, T., Rosenqvist, E., and Ottosen, C.O. (2015). Spectral Effects of Artificial Light on Plant Physiology and Secondary Metabolism: A Review. </w:t>
      </w:r>
      <w:r w:rsidRPr="00FF5053">
        <w:rPr>
          <w:i/>
          <w:noProof/>
        </w:rPr>
        <w:t>Hortscience</w:t>
      </w:r>
      <w:r w:rsidRPr="00FF5053">
        <w:rPr>
          <w:noProof/>
        </w:rPr>
        <w:t xml:space="preserve"> 50(8)</w:t>
      </w:r>
      <w:r w:rsidRPr="00FF5053">
        <w:rPr>
          <w:b/>
          <w:noProof/>
        </w:rPr>
        <w:t>,</w:t>
      </w:r>
      <w:r w:rsidRPr="00FF5053">
        <w:rPr>
          <w:noProof/>
        </w:rPr>
        <w:t xml:space="preserve"> 1128-1135.</w:t>
      </w:r>
    </w:p>
    <w:p w14:paraId="7433FEBD" w14:textId="77777777" w:rsidR="00BB138C" w:rsidRPr="00FF5053" w:rsidRDefault="00BB138C" w:rsidP="00BB138C">
      <w:pPr>
        <w:pStyle w:val="EndNoteBibliography"/>
        <w:ind w:left="720" w:hanging="720"/>
        <w:rPr>
          <w:noProof/>
        </w:rPr>
      </w:pPr>
      <w:r w:rsidRPr="00FF5053">
        <w:rPr>
          <w:noProof/>
        </w:rPr>
        <w:t xml:space="preserve">Pardi, S.A., and Nusinow, D.A. (2021). Out of the Dark and Into the Light: A New View of Phytochrome Photobodies. </w:t>
      </w:r>
      <w:r w:rsidRPr="00FF5053">
        <w:rPr>
          <w:i/>
          <w:noProof/>
        </w:rPr>
        <w:t>Front Plant Sci</w:t>
      </w:r>
      <w:r w:rsidRPr="00FF5053">
        <w:rPr>
          <w:noProof/>
        </w:rPr>
        <w:t xml:space="preserve"> 12</w:t>
      </w:r>
      <w:r w:rsidRPr="00FF5053">
        <w:rPr>
          <w:b/>
          <w:noProof/>
        </w:rPr>
        <w:t>,</w:t>
      </w:r>
      <w:r w:rsidRPr="00FF5053">
        <w:rPr>
          <w:noProof/>
        </w:rPr>
        <w:t xml:space="preserve"> 732947. doi: 10.3389/fpls.2021.732947.</w:t>
      </w:r>
    </w:p>
    <w:p w14:paraId="09C093C5" w14:textId="77777777" w:rsidR="00BB138C" w:rsidRPr="00FF5053" w:rsidRDefault="00BB138C" w:rsidP="00BB138C">
      <w:pPr>
        <w:pStyle w:val="EndNoteBibliography"/>
        <w:ind w:left="720" w:hanging="720"/>
        <w:rPr>
          <w:noProof/>
        </w:rPr>
      </w:pPr>
      <w:r w:rsidRPr="00FF5053">
        <w:rPr>
          <w:noProof/>
        </w:rPr>
        <w:lastRenderedPageBreak/>
        <w:t xml:space="preserve">Pattison, P.M., Tsao, J.Y., Brainard, G.C., and Bugbee, B. (2018). LEDs for photons, physiology and food. </w:t>
      </w:r>
      <w:r w:rsidRPr="00FF5053">
        <w:rPr>
          <w:i/>
          <w:noProof/>
        </w:rPr>
        <w:t>Nature</w:t>
      </w:r>
      <w:r w:rsidRPr="00FF5053">
        <w:rPr>
          <w:noProof/>
        </w:rPr>
        <w:t xml:space="preserve"> 563(7732)</w:t>
      </w:r>
      <w:r w:rsidRPr="00FF5053">
        <w:rPr>
          <w:b/>
          <w:noProof/>
        </w:rPr>
        <w:t>,</w:t>
      </w:r>
      <w:r w:rsidRPr="00FF5053">
        <w:rPr>
          <w:noProof/>
        </w:rPr>
        <w:t xml:space="preserve"> 493-500. doi: 10.1038/s41586-018-0706-x.</w:t>
      </w:r>
    </w:p>
    <w:p w14:paraId="3BF1B0D4" w14:textId="77777777" w:rsidR="00BB138C" w:rsidRDefault="00BB138C" w:rsidP="00BB138C">
      <w:pPr>
        <w:pStyle w:val="EndNoteBibliography"/>
        <w:ind w:left="720" w:hanging="720"/>
        <w:rPr>
          <w:noProof/>
        </w:rPr>
      </w:pPr>
      <w:r w:rsidRPr="00FF5053">
        <w:rPr>
          <w:noProof/>
        </w:rPr>
        <w:t xml:space="preserve">Pennisi, G., Blasioli, S., Cellini, A., Maia, L., Crepaldi, A., Braschi, I., et al. (2019). Unraveling the Role of Red:Blue LED Lights on Resource Use Efficiency and Nutritional Properties of Indoor Grown Sweet Basil. </w:t>
      </w:r>
      <w:r w:rsidRPr="00FF5053">
        <w:rPr>
          <w:i/>
          <w:noProof/>
        </w:rPr>
        <w:t>Front Plant Sci</w:t>
      </w:r>
      <w:r w:rsidRPr="00FF5053">
        <w:rPr>
          <w:noProof/>
        </w:rPr>
        <w:t xml:space="preserve"> 10</w:t>
      </w:r>
      <w:r w:rsidRPr="00FF5053">
        <w:rPr>
          <w:b/>
          <w:noProof/>
        </w:rPr>
        <w:t>,</w:t>
      </w:r>
      <w:r w:rsidRPr="00FF5053">
        <w:rPr>
          <w:noProof/>
        </w:rPr>
        <w:t xml:space="preserve"> 305. doi: 10.3389/fpls.2019.00305.</w:t>
      </w:r>
    </w:p>
    <w:p w14:paraId="4ED46EC3" w14:textId="144191D4" w:rsidR="00A37527" w:rsidRPr="00FF5053" w:rsidRDefault="00A37527" w:rsidP="00BB138C">
      <w:pPr>
        <w:pStyle w:val="EndNoteBibliography"/>
        <w:ind w:left="720" w:hanging="720"/>
        <w:rPr>
          <w:noProof/>
        </w:rPr>
      </w:pPr>
      <w:r w:rsidRPr="00A37527">
        <w:rPr>
          <w:noProof/>
        </w:rPr>
        <w:t>Pellegrino, R., Hörberg, T., Olofsson, J., &amp; Luckett, C. R. (2021). Duality of smell: route-dependent effects on olfactory perception and language. Chemical Senses, 46, bjab025.</w:t>
      </w:r>
    </w:p>
    <w:p w14:paraId="42197AB3" w14:textId="77777777" w:rsidR="00BB138C" w:rsidRPr="00FF5053" w:rsidRDefault="00BB138C" w:rsidP="00BB138C">
      <w:pPr>
        <w:pStyle w:val="EndNoteBibliography"/>
        <w:ind w:left="720" w:hanging="720"/>
        <w:rPr>
          <w:noProof/>
        </w:rPr>
      </w:pPr>
      <w:r w:rsidRPr="00FF5053">
        <w:rPr>
          <w:noProof/>
        </w:rPr>
        <w:t xml:space="preserve">Pourmortazavi, S.M., and Hajimirsadeghi, S.S. (2007). Supercritical fluid extraction in plant essential and volatile oil analysis. </w:t>
      </w:r>
      <w:r w:rsidRPr="00FF5053">
        <w:rPr>
          <w:i/>
          <w:noProof/>
        </w:rPr>
        <w:t>J Chromatogr A</w:t>
      </w:r>
      <w:r w:rsidRPr="00FF5053">
        <w:rPr>
          <w:noProof/>
        </w:rPr>
        <w:t xml:space="preserve"> 1163(1-2)</w:t>
      </w:r>
      <w:r w:rsidRPr="00FF5053">
        <w:rPr>
          <w:b/>
          <w:noProof/>
        </w:rPr>
        <w:t>,</w:t>
      </w:r>
      <w:r w:rsidRPr="00FF5053">
        <w:rPr>
          <w:noProof/>
        </w:rPr>
        <w:t xml:space="preserve"> 2-24. doi: 10.1016/j.chroma.2007.06.021.</w:t>
      </w:r>
    </w:p>
    <w:p w14:paraId="6684FC04" w14:textId="77777777" w:rsidR="00BB138C" w:rsidRPr="00FF5053" w:rsidRDefault="00BB138C" w:rsidP="00BB138C">
      <w:pPr>
        <w:pStyle w:val="EndNoteBibliography"/>
        <w:ind w:left="720" w:hanging="720"/>
        <w:rPr>
          <w:noProof/>
        </w:rPr>
      </w:pPr>
      <w:r w:rsidRPr="00FF5053">
        <w:rPr>
          <w:noProof/>
        </w:rPr>
        <w:t xml:space="preserve">Quail, P.H., Boylan, M.T., Parks, B.M., Short, T.W., Xu, Y., and Wagner, D. (1995). Phytochromes: photosensory perception and signal transduction. </w:t>
      </w:r>
      <w:r w:rsidRPr="00FF5053">
        <w:rPr>
          <w:i/>
          <w:noProof/>
        </w:rPr>
        <w:t>Science</w:t>
      </w:r>
      <w:r w:rsidRPr="00FF5053">
        <w:rPr>
          <w:noProof/>
        </w:rPr>
        <w:t xml:space="preserve"> 268(5211)</w:t>
      </w:r>
      <w:r w:rsidRPr="00FF5053">
        <w:rPr>
          <w:b/>
          <w:noProof/>
        </w:rPr>
        <w:t>,</w:t>
      </w:r>
      <w:r w:rsidRPr="00FF5053">
        <w:rPr>
          <w:noProof/>
        </w:rPr>
        <w:t xml:space="preserve"> 675-680. doi: 10.1126/science.7732376.</w:t>
      </w:r>
    </w:p>
    <w:p w14:paraId="16C5213D" w14:textId="77777777" w:rsidR="00BB138C" w:rsidRPr="00FF5053" w:rsidRDefault="00BB138C" w:rsidP="00BB138C">
      <w:pPr>
        <w:pStyle w:val="EndNoteBibliography"/>
        <w:ind w:left="720" w:hanging="720"/>
        <w:rPr>
          <w:noProof/>
        </w:rPr>
      </w:pPr>
      <w:r w:rsidRPr="00FF5053">
        <w:rPr>
          <w:noProof/>
        </w:rPr>
        <w:t xml:space="preserve">Sell, C.S. (2019). </w:t>
      </w:r>
      <w:r w:rsidRPr="00FF5053">
        <w:rPr>
          <w:i/>
          <w:noProof/>
        </w:rPr>
        <w:t>Fundamentals of Fragrance Chemistry.</w:t>
      </w:r>
      <w:r w:rsidRPr="00FF5053">
        <w:rPr>
          <w:noProof/>
        </w:rPr>
        <w:t xml:space="preserve"> Wiley.</w:t>
      </w:r>
    </w:p>
    <w:p w14:paraId="2398D756" w14:textId="77777777" w:rsidR="00BB138C" w:rsidRPr="00FF5053" w:rsidRDefault="00BB138C" w:rsidP="00BB138C">
      <w:pPr>
        <w:pStyle w:val="EndNoteBibliography"/>
        <w:ind w:left="720" w:hanging="720"/>
        <w:rPr>
          <w:noProof/>
        </w:rPr>
      </w:pPr>
      <w:r w:rsidRPr="00FF5053">
        <w:rPr>
          <w:noProof/>
        </w:rPr>
        <w:t xml:space="preserve">Selli, S., Kelebek, H., Ayseli, M.T., and Tokbas, H. (2014). Characterization of the most aroma-active compounds in cherry tomato by application of the aroma extract dilution analysis. </w:t>
      </w:r>
      <w:r w:rsidRPr="00FF5053">
        <w:rPr>
          <w:i/>
          <w:noProof/>
        </w:rPr>
        <w:t>Food Chem</w:t>
      </w:r>
      <w:r w:rsidRPr="00FF5053">
        <w:rPr>
          <w:noProof/>
        </w:rPr>
        <w:t xml:space="preserve"> 165</w:t>
      </w:r>
      <w:r w:rsidRPr="00FF5053">
        <w:rPr>
          <w:b/>
          <w:noProof/>
        </w:rPr>
        <w:t>,</w:t>
      </w:r>
      <w:r w:rsidRPr="00FF5053">
        <w:rPr>
          <w:noProof/>
        </w:rPr>
        <w:t xml:space="preserve"> 540-546. doi: 10.1016/j.foodchem.2014.05.147.</w:t>
      </w:r>
    </w:p>
    <w:p w14:paraId="3989BE3B" w14:textId="77777777" w:rsidR="00BB138C" w:rsidRPr="00FF5053" w:rsidRDefault="00BB138C" w:rsidP="00BB138C">
      <w:pPr>
        <w:pStyle w:val="EndNoteBibliography"/>
        <w:ind w:left="720" w:hanging="720"/>
        <w:rPr>
          <w:noProof/>
        </w:rPr>
      </w:pPr>
      <w:r w:rsidRPr="00FF5053">
        <w:rPr>
          <w:noProof/>
        </w:rPr>
        <w:t xml:space="preserve">Singh, D., Basu, C., Meinhardt-Wollweber, M., and Roth, B. (2015). LEDs for energy efficient greenhouse lighting. </w:t>
      </w:r>
      <w:r w:rsidRPr="00FF5053">
        <w:rPr>
          <w:i/>
          <w:noProof/>
        </w:rPr>
        <w:t>Renewable and Sustainable Energy Reviews</w:t>
      </w:r>
      <w:r w:rsidRPr="00FF5053">
        <w:rPr>
          <w:noProof/>
        </w:rPr>
        <w:t xml:space="preserve"> 49</w:t>
      </w:r>
      <w:r w:rsidRPr="00FF5053">
        <w:rPr>
          <w:b/>
          <w:noProof/>
        </w:rPr>
        <w:t>,</w:t>
      </w:r>
      <w:r w:rsidRPr="00FF5053">
        <w:rPr>
          <w:noProof/>
        </w:rPr>
        <w:t xml:space="preserve"> 139-147. doi: 10.1016/j.rser.2015.04.117.</w:t>
      </w:r>
    </w:p>
    <w:p w14:paraId="7453BBEA" w14:textId="77777777" w:rsidR="00BB138C" w:rsidRPr="00FF5053" w:rsidRDefault="00BB138C" w:rsidP="00BB138C">
      <w:pPr>
        <w:pStyle w:val="EndNoteBibliography"/>
        <w:ind w:left="720" w:hanging="720"/>
        <w:rPr>
          <w:noProof/>
        </w:rPr>
      </w:pPr>
      <w:r w:rsidRPr="00FF5053">
        <w:rPr>
          <w:noProof/>
        </w:rPr>
        <w:t xml:space="preserve">Sipos, L., Boros, I.F., Csambalik, L., Székely, G., Jung, A., and Balázs, L. (2020). Horticultural lighting system optimalization: A review. </w:t>
      </w:r>
      <w:r w:rsidRPr="00FF5053">
        <w:rPr>
          <w:i/>
          <w:noProof/>
        </w:rPr>
        <w:t>Scientia Horticulturae</w:t>
      </w:r>
      <w:r w:rsidRPr="00FF5053">
        <w:rPr>
          <w:noProof/>
        </w:rPr>
        <w:t xml:space="preserve"> 273. doi: 10.1016/j.scienta.2020.109631.</w:t>
      </w:r>
    </w:p>
    <w:p w14:paraId="4B5D0215" w14:textId="77777777" w:rsidR="00BB138C" w:rsidRPr="00FF5053" w:rsidRDefault="00BB138C" w:rsidP="00BB138C">
      <w:pPr>
        <w:pStyle w:val="EndNoteBibliography"/>
        <w:ind w:left="720" w:hanging="720"/>
        <w:rPr>
          <w:noProof/>
        </w:rPr>
      </w:pPr>
      <w:r w:rsidRPr="00FF5053">
        <w:rPr>
          <w:noProof/>
        </w:rPr>
        <w:lastRenderedPageBreak/>
        <w:t xml:space="preserve">Tang, D., Huang, Q., Wei, K., Yang, X., Wei, F., and Miao, J. (2021). Identification of Differentially Expressed Genes and Pathways Involved in Growth and Development of Mesona chinensis Benth Under Red- and Blue-Light Conditions. </w:t>
      </w:r>
      <w:r w:rsidRPr="00FF5053">
        <w:rPr>
          <w:i/>
          <w:noProof/>
        </w:rPr>
        <w:t>Front Plant Sci</w:t>
      </w:r>
      <w:r w:rsidRPr="00FF5053">
        <w:rPr>
          <w:noProof/>
        </w:rPr>
        <w:t xml:space="preserve"> 12</w:t>
      </w:r>
      <w:r w:rsidRPr="00FF5053">
        <w:rPr>
          <w:b/>
          <w:noProof/>
        </w:rPr>
        <w:t>,</w:t>
      </w:r>
      <w:r w:rsidRPr="00FF5053">
        <w:rPr>
          <w:noProof/>
        </w:rPr>
        <w:t xml:space="preserve"> 761068. doi: 10.3389/fpls.2021.761068.</w:t>
      </w:r>
    </w:p>
    <w:p w14:paraId="4A25C60E" w14:textId="77777777" w:rsidR="00BB138C" w:rsidRPr="00FF5053" w:rsidRDefault="00BB138C" w:rsidP="00BB138C">
      <w:pPr>
        <w:pStyle w:val="EndNoteBibliography"/>
        <w:ind w:left="720" w:hanging="720"/>
        <w:rPr>
          <w:noProof/>
        </w:rPr>
      </w:pPr>
      <w:r w:rsidRPr="00FF5053">
        <w:rPr>
          <w:noProof/>
        </w:rPr>
        <w:t xml:space="preserve">Taylor, A.J. (1996). Volatile flavor release from foods during eating. </w:t>
      </w:r>
      <w:r w:rsidRPr="00FF5053">
        <w:rPr>
          <w:i/>
          <w:noProof/>
        </w:rPr>
        <w:t>Crit Rev Food Sci Nutr</w:t>
      </w:r>
      <w:r w:rsidRPr="00FF5053">
        <w:rPr>
          <w:noProof/>
        </w:rPr>
        <w:t xml:space="preserve"> 36(8)</w:t>
      </w:r>
      <w:r w:rsidRPr="00FF5053">
        <w:rPr>
          <w:b/>
          <w:noProof/>
        </w:rPr>
        <w:t>,</w:t>
      </w:r>
      <w:r w:rsidRPr="00FF5053">
        <w:rPr>
          <w:noProof/>
        </w:rPr>
        <w:t xml:space="preserve"> 765-784. doi: 10.1080/10408399609527749.</w:t>
      </w:r>
    </w:p>
    <w:p w14:paraId="262BEC8A" w14:textId="77777777" w:rsidR="00BB138C" w:rsidRPr="00FF5053" w:rsidRDefault="00BB138C" w:rsidP="00BB138C">
      <w:pPr>
        <w:pStyle w:val="EndNoteBibliography"/>
        <w:ind w:left="720" w:hanging="720"/>
        <w:rPr>
          <w:noProof/>
        </w:rPr>
      </w:pPr>
      <w:r w:rsidRPr="00FF5053">
        <w:rPr>
          <w:noProof/>
        </w:rPr>
        <w:t xml:space="preserve">Trivellini, A., Toscano, S., Romano, D., and Ferrante, A. (2023). The Role of Blue and Red Light in the Orchestration of Secondary Metabolites, Nutrient Transport and Plant Quality. </w:t>
      </w:r>
      <w:r w:rsidRPr="00FF5053">
        <w:rPr>
          <w:i/>
          <w:noProof/>
        </w:rPr>
        <w:t>Plants</w:t>
      </w:r>
      <w:r w:rsidRPr="00FF5053">
        <w:rPr>
          <w:noProof/>
        </w:rPr>
        <w:t xml:space="preserve"> 12(10). doi: 10.3390/plants12102026.</w:t>
      </w:r>
    </w:p>
    <w:p w14:paraId="7E1E41B8" w14:textId="77777777" w:rsidR="00BB138C" w:rsidRPr="00FF5053" w:rsidRDefault="00BB138C" w:rsidP="00BB138C">
      <w:pPr>
        <w:pStyle w:val="EndNoteBibliography"/>
        <w:ind w:left="720" w:hanging="720"/>
        <w:rPr>
          <w:noProof/>
        </w:rPr>
      </w:pPr>
      <w:r w:rsidRPr="00FF5053">
        <w:rPr>
          <w:noProof/>
        </w:rPr>
        <w:t xml:space="preserve">Urrestarazu, M., Nájera, C., and Gea, M.d.M. (2016). Effect of the Spectral Quality and Intensity of Light-emitting Diodes on Several Horticultural Crops. </w:t>
      </w:r>
      <w:r w:rsidRPr="00FF5053">
        <w:rPr>
          <w:i/>
          <w:noProof/>
        </w:rPr>
        <w:t>HortScience</w:t>
      </w:r>
      <w:r w:rsidRPr="00FF5053">
        <w:rPr>
          <w:noProof/>
        </w:rPr>
        <w:t xml:space="preserve"> 51(3)</w:t>
      </w:r>
      <w:r w:rsidRPr="00FF5053">
        <w:rPr>
          <w:b/>
          <w:noProof/>
        </w:rPr>
        <w:t>,</w:t>
      </w:r>
      <w:r w:rsidRPr="00FF5053">
        <w:rPr>
          <w:noProof/>
        </w:rPr>
        <w:t xml:space="preserve"> 268-271. doi: 10.21273/hortsci.51.3.268.</w:t>
      </w:r>
    </w:p>
    <w:p w14:paraId="69CC3D02" w14:textId="77777777" w:rsidR="00BB138C" w:rsidRPr="00FF5053" w:rsidRDefault="00BB138C" w:rsidP="00BB138C">
      <w:pPr>
        <w:pStyle w:val="EndNoteBibliography"/>
        <w:ind w:left="720" w:hanging="720"/>
        <w:rPr>
          <w:noProof/>
        </w:rPr>
      </w:pPr>
      <w:r w:rsidRPr="00FF5053">
        <w:rPr>
          <w:noProof/>
        </w:rPr>
        <w:t xml:space="preserve">Walters, K.J., Lopez, R.G., and Behe, B.K. (2020). Leveraging Controlled-Environment Agriculture to Increase Key Basil Terpenoid and Phenylpropanoid Concentrations: The Effects of Radiation Intensity and CO(2) Concentration on Consumer Preference. </w:t>
      </w:r>
      <w:r w:rsidRPr="00FF5053">
        <w:rPr>
          <w:i/>
          <w:noProof/>
        </w:rPr>
        <w:t>Front Plant Sci</w:t>
      </w:r>
      <w:r w:rsidRPr="00FF5053">
        <w:rPr>
          <w:noProof/>
        </w:rPr>
        <w:t xml:space="preserve"> 11</w:t>
      </w:r>
      <w:r w:rsidRPr="00FF5053">
        <w:rPr>
          <w:b/>
          <w:noProof/>
        </w:rPr>
        <w:t>,</w:t>
      </w:r>
      <w:r w:rsidRPr="00FF5053">
        <w:rPr>
          <w:noProof/>
        </w:rPr>
        <w:t xml:space="preserve"> 598519. doi: 10.3389/fpls.2020.598519.</w:t>
      </w:r>
    </w:p>
    <w:p w14:paraId="5B4D57A8" w14:textId="77777777" w:rsidR="00BB138C" w:rsidRPr="00FF5053" w:rsidRDefault="00BB138C" w:rsidP="00BB138C">
      <w:pPr>
        <w:pStyle w:val="EndNoteBibliography"/>
        <w:ind w:left="720" w:hanging="720"/>
        <w:rPr>
          <w:noProof/>
        </w:rPr>
      </w:pPr>
      <w:r w:rsidRPr="00FF5053">
        <w:rPr>
          <w:noProof/>
        </w:rPr>
        <w:t xml:space="preserve">Yu, X., Liu, H., Klejnot, J., and Lin, C. (2010). The Cryptochrome Blue Light Receptors. </w:t>
      </w:r>
      <w:r w:rsidRPr="00FF5053">
        <w:rPr>
          <w:i/>
          <w:noProof/>
        </w:rPr>
        <w:t>Arabidopsis Book</w:t>
      </w:r>
      <w:r w:rsidRPr="00FF5053">
        <w:rPr>
          <w:noProof/>
        </w:rPr>
        <w:t xml:space="preserve"> 8</w:t>
      </w:r>
      <w:r w:rsidRPr="00FF5053">
        <w:rPr>
          <w:b/>
          <w:noProof/>
        </w:rPr>
        <w:t>,</w:t>
      </w:r>
      <w:r w:rsidRPr="00FF5053">
        <w:rPr>
          <w:noProof/>
        </w:rPr>
        <w:t xml:space="preserve"> e0135. doi: 10.1199/tab.0135.</w:t>
      </w:r>
    </w:p>
    <w:p w14:paraId="4128B161" w14:textId="77777777" w:rsidR="00BB138C" w:rsidRPr="003F0091" w:rsidRDefault="00BB138C" w:rsidP="00BB138C">
      <w:pPr>
        <w:pStyle w:val="MastersThesisMainTitle"/>
        <w:rPr>
          <w:color w:val="000000" w:themeColor="text1"/>
        </w:rPr>
      </w:pPr>
      <w:r w:rsidRPr="003F0091">
        <w:rPr>
          <w:color w:val="000000" w:themeColor="text1"/>
        </w:rPr>
        <w:t xml:space="preserve"> </w:t>
      </w:r>
    </w:p>
    <w:p w14:paraId="5129BEEA" w14:textId="77777777" w:rsidR="00BB138C" w:rsidRPr="003F0091" w:rsidRDefault="00BB138C" w:rsidP="00BB138C">
      <w:pPr>
        <w:spacing w:line="240" w:lineRule="auto"/>
        <w:rPr>
          <w:rFonts w:cs="Times New Roman"/>
          <w:b/>
          <w:color w:val="000000" w:themeColor="text1"/>
          <w:sz w:val="28"/>
        </w:rPr>
      </w:pPr>
      <w:r w:rsidRPr="003F0091">
        <w:rPr>
          <w:rFonts w:cs="Times New Roman"/>
          <w:color w:val="000000" w:themeColor="text1"/>
        </w:rPr>
        <w:br w:type="page"/>
      </w:r>
    </w:p>
    <w:p w14:paraId="6F576358" w14:textId="74CE447E" w:rsidR="00BB138C" w:rsidRPr="00EF6679" w:rsidRDefault="00BB138C" w:rsidP="00BB138C">
      <w:pPr>
        <w:pStyle w:val="MastersThesisMainTitle"/>
        <w:rPr>
          <w:color w:val="000000" w:themeColor="text1"/>
          <w:szCs w:val="28"/>
        </w:rPr>
      </w:pPr>
      <w:bookmarkStart w:id="704" w:name="_Toc139574878"/>
      <w:bookmarkStart w:id="705" w:name="_Toc141478748"/>
      <w:r w:rsidRPr="00EF6679">
        <w:rPr>
          <w:color w:val="000000" w:themeColor="text1"/>
          <w:szCs w:val="28"/>
        </w:rPr>
        <w:lastRenderedPageBreak/>
        <w:t>Appendix E</w:t>
      </w:r>
      <w:bookmarkEnd w:id="704"/>
      <w:bookmarkEnd w:id="705"/>
    </w:p>
    <w:p w14:paraId="068B2B4C" w14:textId="2DBA1030" w:rsidR="00BB138C" w:rsidRPr="00EF6679" w:rsidRDefault="00BB138C" w:rsidP="00BB138C">
      <w:pPr>
        <w:pStyle w:val="TableTOC"/>
        <w:jc w:val="both"/>
        <w:rPr>
          <w:rFonts w:cs="Times New Roman"/>
          <w:color w:val="000000" w:themeColor="text1"/>
        </w:rPr>
      </w:pPr>
      <w:bookmarkStart w:id="706" w:name="_Toc141478785"/>
      <w:r w:rsidRPr="00EF6679">
        <w:rPr>
          <w:rFonts w:cs="Times New Roman"/>
          <w:b/>
          <w:color w:val="000000" w:themeColor="text1"/>
        </w:rPr>
        <w:t xml:space="preserve">Table </w:t>
      </w:r>
      <w:r w:rsidR="00BA2365" w:rsidRPr="00EF6679">
        <w:rPr>
          <w:rFonts w:cs="Times New Roman"/>
          <w:b/>
          <w:bCs/>
        </w:rPr>
        <w:t>5.</w:t>
      </w:r>
      <w:r w:rsidRPr="00EF6679">
        <w:rPr>
          <w:rFonts w:cs="Times New Roman"/>
          <w:b/>
          <w:color w:val="000000" w:themeColor="text1"/>
        </w:rPr>
        <w:t xml:space="preserve">1. </w:t>
      </w:r>
      <w:r w:rsidRPr="00EF6679">
        <w:rPr>
          <w:rFonts w:cs="Times New Roman"/>
          <w:color w:val="000000" w:themeColor="text1"/>
        </w:rPr>
        <w:t>Important environmental parameters across growing cycles. All crops grown under greenhouse conditions at The University of Tennessee Institute of Agriculture (UTIA) in Knoxville, TN, USA (35°56'44.5"N, 83°56'17.3"W).</w:t>
      </w:r>
      <w:bookmarkEnd w:id="706"/>
    </w:p>
    <w:p w14:paraId="2408ADB2" w14:textId="77777777" w:rsidR="00BB138C" w:rsidRPr="00EF6679" w:rsidRDefault="00BB138C" w:rsidP="00BB138C">
      <w:pPr>
        <w:spacing w:line="240" w:lineRule="auto"/>
        <w:rPr>
          <w:rFonts w:cs="Times New Roman"/>
          <w:color w:val="000000" w:themeColor="text1"/>
          <w:sz w:val="20"/>
          <w:szCs w:val="20"/>
        </w:rPr>
      </w:pPr>
    </w:p>
    <w:tbl>
      <w:tblPr>
        <w:tblW w:w="6195" w:type="dxa"/>
        <w:tblBorders>
          <w:top w:val="single" w:sz="12" w:space="0" w:color="FFFFFF" w:themeColor="background1"/>
          <w:left w:val="single" w:sz="12" w:space="0" w:color="FFFFFF" w:themeColor="background1"/>
          <w:bottom w:val="single" w:sz="12" w:space="0" w:color="FFFFFF" w:themeColor="background1"/>
          <w:right w:val="single" w:sz="12" w:space="0" w:color="FFFFFF" w:themeColor="background1"/>
          <w:insideH w:val="single" w:sz="12" w:space="0" w:color="FFFFFF" w:themeColor="background1"/>
          <w:insideV w:val="single" w:sz="12" w:space="0" w:color="FFFFFF" w:themeColor="background1"/>
        </w:tblBorders>
        <w:tblLayout w:type="fixed"/>
        <w:tblLook w:val="04A0" w:firstRow="1" w:lastRow="0" w:firstColumn="1" w:lastColumn="0" w:noHBand="0" w:noVBand="1"/>
      </w:tblPr>
      <w:tblGrid>
        <w:gridCol w:w="2505"/>
        <w:gridCol w:w="1800"/>
        <w:gridCol w:w="1890"/>
      </w:tblGrid>
      <w:tr w:rsidR="00BB138C" w:rsidRPr="00EF6679" w14:paraId="04187735" w14:textId="77777777" w:rsidTr="00820288">
        <w:trPr>
          <w:trHeight w:val="323"/>
        </w:trPr>
        <w:tc>
          <w:tcPr>
            <w:tcW w:w="2505" w:type="dxa"/>
            <w:tcBorders>
              <w:top w:val="single" w:sz="4" w:space="0" w:color="auto"/>
              <w:bottom w:val="single" w:sz="4" w:space="0" w:color="auto"/>
            </w:tcBorders>
            <w:noWrap/>
            <w:vAlign w:val="center"/>
            <w:hideMark/>
          </w:tcPr>
          <w:p w14:paraId="7BFC4A25" w14:textId="77777777" w:rsidR="00BB138C" w:rsidRPr="00EF6679" w:rsidRDefault="00BB138C" w:rsidP="00820288">
            <w:pPr>
              <w:spacing w:line="240" w:lineRule="auto"/>
              <w:jc w:val="center"/>
              <w:rPr>
                <w:rFonts w:cs="Times New Roman"/>
                <w:color w:val="000000" w:themeColor="text1"/>
                <w:sz w:val="20"/>
                <w:szCs w:val="20"/>
              </w:rPr>
            </w:pPr>
          </w:p>
        </w:tc>
        <w:tc>
          <w:tcPr>
            <w:tcW w:w="1800" w:type="dxa"/>
            <w:tcBorders>
              <w:top w:val="single" w:sz="4" w:space="0" w:color="auto"/>
              <w:bottom w:val="single" w:sz="4" w:space="0" w:color="auto"/>
            </w:tcBorders>
            <w:noWrap/>
            <w:vAlign w:val="center"/>
            <w:hideMark/>
          </w:tcPr>
          <w:p w14:paraId="18B56E65" w14:textId="77777777" w:rsidR="00BB138C" w:rsidRPr="00EF6679" w:rsidRDefault="00BB138C" w:rsidP="00820288">
            <w:pPr>
              <w:spacing w:line="240" w:lineRule="auto"/>
              <w:jc w:val="center"/>
              <w:rPr>
                <w:rFonts w:cs="Times New Roman"/>
                <w:b/>
                <w:bCs/>
                <w:color w:val="000000" w:themeColor="text1"/>
                <w:sz w:val="20"/>
                <w:szCs w:val="20"/>
              </w:rPr>
            </w:pPr>
            <w:r w:rsidRPr="00EF6679">
              <w:rPr>
                <w:rFonts w:cs="Times New Roman"/>
                <w:b/>
                <w:bCs/>
                <w:color w:val="000000" w:themeColor="text1"/>
                <w:sz w:val="20"/>
                <w:szCs w:val="20"/>
              </w:rPr>
              <w:t>Summer</w:t>
            </w:r>
          </w:p>
        </w:tc>
        <w:tc>
          <w:tcPr>
            <w:tcW w:w="1890" w:type="dxa"/>
            <w:tcBorders>
              <w:top w:val="single" w:sz="4" w:space="0" w:color="auto"/>
              <w:bottom w:val="single" w:sz="4" w:space="0" w:color="auto"/>
            </w:tcBorders>
            <w:noWrap/>
            <w:vAlign w:val="center"/>
            <w:hideMark/>
          </w:tcPr>
          <w:p w14:paraId="0358E366" w14:textId="77777777" w:rsidR="00BB138C" w:rsidRPr="00EF6679" w:rsidRDefault="00BB138C" w:rsidP="00820288">
            <w:pPr>
              <w:spacing w:line="240" w:lineRule="auto"/>
              <w:jc w:val="center"/>
              <w:rPr>
                <w:rFonts w:cs="Times New Roman"/>
                <w:b/>
                <w:bCs/>
                <w:color w:val="000000" w:themeColor="text1"/>
                <w:sz w:val="20"/>
                <w:szCs w:val="20"/>
              </w:rPr>
            </w:pPr>
            <w:r w:rsidRPr="00EF6679">
              <w:rPr>
                <w:rFonts w:cs="Times New Roman"/>
                <w:b/>
                <w:bCs/>
                <w:color w:val="000000" w:themeColor="text1"/>
                <w:sz w:val="20"/>
                <w:szCs w:val="20"/>
              </w:rPr>
              <w:t>Winter</w:t>
            </w:r>
          </w:p>
        </w:tc>
      </w:tr>
      <w:tr w:rsidR="00BB138C" w:rsidRPr="00EF6679" w14:paraId="088F91D0" w14:textId="77777777" w:rsidTr="00820288">
        <w:trPr>
          <w:trHeight w:val="323"/>
        </w:trPr>
        <w:tc>
          <w:tcPr>
            <w:tcW w:w="2505" w:type="dxa"/>
            <w:tcBorders>
              <w:top w:val="single" w:sz="4" w:space="0" w:color="auto"/>
            </w:tcBorders>
            <w:noWrap/>
            <w:vAlign w:val="center"/>
            <w:hideMark/>
          </w:tcPr>
          <w:p w14:paraId="39A1D3BE" w14:textId="77777777" w:rsidR="00BB138C" w:rsidRPr="00EF6679" w:rsidRDefault="00BB138C" w:rsidP="00820288">
            <w:pPr>
              <w:spacing w:line="240" w:lineRule="auto"/>
              <w:jc w:val="center"/>
              <w:rPr>
                <w:rFonts w:cs="Times New Roman"/>
                <w:b/>
                <w:bCs/>
                <w:color w:val="000000" w:themeColor="text1"/>
                <w:sz w:val="18"/>
                <w:szCs w:val="18"/>
              </w:rPr>
            </w:pPr>
            <w:r w:rsidRPr="00EF6679">
              <w:rPr>
                <w:rFonts w:cs="Times New Roman"/>
                <w:b/>
                <w:bCs/>
                <w:color w:val="000000" w:themeColor="text1"/>
                <w:sz w:val="18"/>
                <w:szCs w:val="18"/>
              </w:rPr>
              <w:t>Growing Period</w:t>
            </w:r>
          </w:p>
        </w:tc>
        <w:tc>
          <w:tcPr>
            <w:tcW w:w="1800" w:type="dxa"/>
            <w:tcBorders>
              <w:top w:val="single" w:sz="4" w:space="0" w:color="auto"/>
            </w:tcBorders>
            <w:noWrap/>
            <w:vAlign w:val="center"/>
            <w:hideMark/>
          </w:tcPr>
          <w:p w14:paraId="1044EF4D" w14:textId="77777777" w:rsidR="00BB138C" w:rsidRPr="00EF6679" w:rsidRDefault="00BB138C" w:rsidP="00820288">
            <w:pPr>
              <w:spacing w:line="240" w:lineRule="auto"/>
              <w:jc w:val="center"/>
              <w:rPr>
                <w:rFonts w:cs="Times New Roman"/>
                <w:color w:val="000000" w:themeColor="text1"/>
                <w:sz w:val="20"/>
                <w:szCs w:val="20"/>
              </w:rPr>
            </w:pPr>
            <w:r w:rsidRPr="00EF6679">
              <w:rPr>
                <w:rFonts w:cs="Times New Roman"/>
                <w:color w:val="000000" w:themeColor="text1"/>
                <w:sz w:val="20"/>
                <w:szCs w:val="20"/>
              </w:rPr>
              <w:t>7/7/21-8/23/21</w:t>
            </w:r>
          </w:p>
        </w:tc>
        <w:tc>
          <w:tcPr>
            <w:tcW w:w="1890" w:type="dxa"/>
            <w:tcBorders>
              <w:top w:val="single" w:sz="4" w:space="0" w:color="auto"/>
            </w:tcBorders>
            <w:noWrap/>
            <w:vAlign w:val="center"/>
            <w:hideMark/>
          </w:tcPr>
          <w:p w14:paraId="3F9D1731" w14:textId="77777777" w:rsidR="00BB138C" w:rsidRPr="00EF6679" w:rsidRDefault="00BB138C" w:rsidP="00820288">
            <w:pPr>
              <w:spacing w:line="240" w:lineRule="auto"/>
              <w:jc w:val="center"/>
              <w:rPr>
                <w:rFonts w:cs="Times New Roman"/>
                <w:color w:val="000000" w:themeColor="text1"/>
                <w:sz w:val="20"/>
                <w:szCs w:val="20"/>
              </w:rPr>
            </w:pPr>
            <w:r w:rsidRPr="00EF6679">
              <w:rPr>
                <w:rFonts w:cs="Times New Roman"/>
                <w:color w:val="000000" w:themeColor="text1"/>
                <w:sz w:val="20"/>
                <w:szCs w:val="20"/>
              </w:rPr>
              <w:t>12/21/21-02/08/22</w:t>
            </w:r>
          </w:p>
        </w:tc>
      </w:tr>
      <w:tr w:rsidR="00BB138C" w:rsidRPr="00EF6679" w14:paraId="6EF6290C" w14:textId="77777777" w:rsidTr="00820288">
        <w:trPr>
          <w:trHeight w:val="350"/>
        </w:trPr>
        <w:tc>
          <w:tcPr>
            <w:tcW w:w="2505" w:type="dxa"/>
            <w:noWrap/>
            <w:vAlign w:val="center"/>
            <w:hideMark/>
          </w:tcPr>
          <w:p w14:paraId="06D99855" w14:textId="77777777" w:rsidR="00BB138C" w:rsidRPr="00EF6679" w:rsidRDefault="00BB138C" w:rsidP="00820288">
            <w:pPr>
              <w:spacing w:line="240" w:lineRule="auto"/>
              <w:jc w:val="center"/>
              <w:rPr>
                <w:rFonts w:cs="Times New Roman"/>
                <w:b/>
                <w:bCs/>
                <w:color w:val="000000" w:themeColor="text1"/>
                <w:sz w:val="18"/>
                <w:szCs w:val="18"/>
              </w:rPr>
            </w:pPr>
            <w:r w:rsidRPr="00EF6679">
              <w:rPr>
                <w:rFonts w:cs="Times New Roman"/>
                <w:b/>
                <w:bCs/>
                <w:color w:val="000000" w:themeColor="text1"/>
                <w:sz w:val="18"/>
                <w:szCs w:val="18"/>
              </w:rPr>
              <w:t>Average Day Temp (°C)</w:t>
            </w:r>
          </w:p>
        </w:tc>
        <w:tc>
          <w:tcPr>
            <w:tcW w:w="1800" w:type="dxa"/>
            <w:noWrap/>
            <w:vAlign w:val="center"/>
            <w:hideMark/>
          </w:tcPr>
          <w:p w14:paraId="64B59818" w14:textId="77777777" w:rsidR="00BB138C" w:rsidRPr="00EF6679" w:rsidRDefault="00BB138C" w:rsidP="00820288">
            <w:pPr>
              <w:spacing w:line="240" w:lineRule="auto"/>
              <w:jc w:val="center"/>
              <w:rPr>
                <w:rFonts w:cs="Times New Roman"/>
                <w:color w:val="000000" w:themeColor="text1"/>
                <w:sz w:val="20"/>
                <w:szCs w:val="20"/>
              </w:rPr>
            </w:pPr>
            <w:r w:rsidRPr="00EF6679">
              <w:rPr>
                <w:rFonts w:cs="Times New Roman"/>
                <w:color w:val="000000" w:themeColor="text1"/>
                <w:sz w:val="20"/>
                <w:szCs w:val="20"/>
              </w:rPr>
              <w:t>28.9</w:t>
            </w:r>
          </w:p>
        </w:tc>
        <w:tc>
          <w:tcPr>
            <w:tcW w:w="1890" w:type="dxa"/>
            <w:noWrap/>
            <w:vAlign w:val="center"/>
            <w:hideMark/>
          </w:tcPr>
          <w:p w14:paraId="2598B8CC" w14:textId="77777777" w:rsidR="00BB138C" w:rsidRPr="00EF6679" w:rsidRDefault="00BB138C" w:rsidP="00820288">
            <w:pPr>
              <w:spacing w:line="240" w:lineRule="auto"/>
              <w:jc w:val="center"/>
              <w:rPr>
                <w:rFonts w:cs="Times New Roman"/>
                <w:color w:val="000000" w:themeColor="text1"/>
                <w:sz w:val="20"/>
                <w:szCs w:val="20"/>
              </w:rPr>
            </w:pPr>
            <w:r w:rsidRPr="00EF6679">
              <w:rPr>
                <w:rFonts w:cs="Times New Roman"/>
                <w:color w:val="000000" w:themeColor="text1"/>
                <w:sz w:val="20"/>
                <w:szCs w:val="20"/>
              </w:rPr>
              <w:t>27.1</w:t>
            </w:r>
          </w:p>
        </w:tc>
      </w:tr>
      <w:tr w:rsidR="00BB138C" w:rsidRPr="00EF6679" w14:paraId="2F53D161" w14:textId="77777777" w:rsidTr="00820288">
        <w:trPr>
          <w:trHeight w:val="323"/>
        </w:trPr>
        <w:tc>
          <w:tcPr>
            <w:tcW w:w="2505" w:type="dxa"/>
            <w:noWrap/>
            <w:vAlign w:val="center"/>
            <w:hideMark/>
          </w:tcPr>
          <w:p w14:paraId="7491A160" w14:textId="77777777" w:rsidR="00BB138C" w:rsidRPr="00EF6679" w:rsidRDefault="00BB138C" w:rsidP="00820288">
            <w:pPr>
              <w:spacing w:line="240" w:lineRule="auto"/>
              <w:jc w:val="center"/>
              <w:rPr>
                <w:rFonts w:cs="Times New Roman"/>
                <w:b/>
                <w:bCs/>
                <w:color w:val="000000" w:themeColor="text1"/>
                <w:sz w:val="18"/>
                <w:szCs w:val="18"/>
              </w:rPr>
            </w:pPr>
            <w:r w:rsidRPr="00EF6679">
              <w:rPr>
                <w:rFonts w:cs="Times New Roman"/>
                <w:b/>
                <w:bCs/>
                <w:color w:val="000000" w:themeColor="text1"/>
                <w:sz w:val="18"/>
                <w:szCs w:val="18"/>
              </w:rPr>
              <w:t>Average Night Temp (°C)</w:t>
            </w:r>
          </w:p>
        </w:tc>
        <w:tc>
          <w:tcPr>
            <w:tcW w:w="1800" w:type="dxa"/>
            <w:noWrap/>
            <w:vAlign w:val="center"/>
            <w:hideMark/>
          </w:tcPr>
          <w:p w14:paraId="11E8CEFF" w14:textId="77777777" w:rsidR="00BB138C" w:rsidRPr="00EF6679" w:rsidRDefault="00BB138C" w:rsidP="00820288">
            <w:pPr>
              <w:spacing w:line="240" w:lineRule="auto"/>
              <w:jc w:val="center"/>
              <w:rPr>
                <w:rFonts w:cs="Times New Roman"/>
                <w:color w:val="000000" w:themeColor="text1"/>
                <w:sz w:val="20"/>
                <w:szCs w:val="20"/>
              </w:rPr>
            </w:pPr>
            <w:r w:rsidRPr="00EF6679">
              <w:rPr>
                <w:rFonts w:cs="Times New Roman"/>
                <w:color w:val="000000" w:themeColor="text1"/>
                <w:sz w:val="20"/>
                <w:szCs w:val="20"/>
              </w:rPr>
              <w:t>21.6</w:t>
            </w:r>
          </w:p>
        </w:tc>
        <w:tc>
          <w:tcPr>
            <w:tcW w:w="1890" w:type="dxa"/>
            <w:noWrap/>
            <w:vAlign w:val="center"/>
            <w:hideMark/>
          </w:tcPr>
          <w:p w14:paraId="2B59CE80" w14:textId="77777777" w:rsidR="00BB138C" w:rsidRPr="00EF6679" w:rsidRDefault="00BB138C" w:rsidP="00820288">
            <w:pPr>
              <w:spacing w:line="240" w:lineRule="auto"/>
              <w:jc w:val="center"/>
              <w:rPr>
                <w:rFonts w:cs="Times New Roman"/>
                <w:color w:val="000000" w:themeColor="text1"/>
                <w:sz w:val="20"/>
                <w:szCs w:val="20"/>
              </w:rPr>
            </w:pPr>
            <w:r w:rsidRPr="00EF6679">
              <w:rPr>
                <w:rFonts w:cs="Times New Roman"/>
                <w:color w:val="000000" w:themeColor="text1"/>
                <w:sz w:val="20"/>
                <w:szCs w:val="20"/>
              </w:rPr>
              <w:t>20.7</w:t>
            </w:r>
          </w:p>
        </w:tc>
      </w:tr>
      <w:tr w:rsidR="00BB138C" w:rsidRPr="00EF6679" w14:paraId="25F049F7" w14:textId="77777777" w:rsidTr="00820288">
        <w:trPr>
          <w:trHeight w:val="369"/>
        </w:trPr>
        <w:tc>
          <w:tcPr>
            <w:tcW w:w="2505" w:type="dxa"/>
            <w:noWrap/>
            <w:vAlign w:val="center"/>
            <w:hideMark/>
          </w:tcPr>
          <w:p w14:paraId="3D9437A7" w14:textId="77777777" w:rsidR="00BB138C" w:rsidRPr="00EF6679" w:rsidRDefault="00BB138C" w:rsidP="00820288">
            <w:pPr>
              <w:spacing w:line="240" w:lineRule="auto"/>
              <w:jc w:val="center"/>
              <w:rPr>
                <w:rFonts w:cs="Times New Roman"/>
                <w:b/>
                <w:bCs/>
                <w:color w:val="000000" w:themeColor="text1"/>
                <w:sz w:val="18"/>
                <w:szCs w:val="18"/>
              </w:rPr>
            </w:pPr>
            <w:r w:rsidRPr="00EF6679">
              <w:rPr>
                <w:rFonts w:cs="Times New Roman"/>
                <w:b/>
                <w:bCs/>
                <w:color w:val="000000" w:themeColor="text1"/>
                <w:sz w:val="18"/>
                <w:szCs w:val="18"/>
              </w:rPr>
              <w:t>Average Relative Humidity</w:t>
            </w:r>
          </w:p>
        </w:tc>
        <w:tc>
          <w:tcPr>
            <w:tcW w:w="1800" w:type="dxa"/>
            <w:noWrap/>
            <w:vAlign w:val="center"/>
            <w:hideMark/>
          </w:tcPr>
          <w:p w14:paraId="7A27CB18" w14:textId="77777777" w:rsidR="00BB138C" w:rsidRPr="00EF6679" w:rsidRDefault="00BB138C" w:rsidP="00820288">
            <w:pPr>
              <w:spacing w:line="240" w:lineRule="auto"/>
              <w:jc w:val="center"/>
              <w:rPr>
                <w:rFonts w:cs="Times New Roman"/>
                <w:color w:val="000000" w:themeColor="text1"/>
                <w:sz w:val="20"/>
                <w:szCs w:val="20"/>
              </w:rPr>
            </w:pPr>
            <w:r w:rsidRPr="00EF6679">
              <w:rPr>
                <w:rFonts w:cs="Times New Roman"/>
                <w:color w:val="000000" w:themeColor="text1"/>
                <w:sz w:val="20"/>
                <w:szCs w:val="20"/>
              </w:rPr>
              <w:t>55%</w:t>
            </w:r>
          </w:p>
        </w:tc>
        <w:tc>
          <w:tcPr>
            <w:tcW w:w="1890" w:type="dxa"/>
            <w:noWrap/>
            <w:vAlign w:val="center"/>
            <w:hideMark/>
          </w:tcPr>
          <w:p w14:paraId="63A75838" w14:textId="77777777" w:rsidR="00BB138C" w:rsidRPr="00EF6679" w:rsidRDefault="00BB138C" w:rsidP="00820288">
            <w:pPr>
              <w:spacing w:line="240" w:lineRule="auto"/>
              <w:jc w:val="center"/>
              <w:rPr>
                <w:rFonts w:cs="Times New Roman"/>
                <w:color w:val="000000" w:themeColor="text1"/>
                <w:sz w:val="20"/>
                <w:szCs w:val="20"/>
              </w:rPr>
            </w:pPr>
            <w:r w:rsidRPr="00EF6679">
              <w:rPr>
                <w:rFonts w:cs="Times New Roman"/>
                <w:color w:val="000000" w:themeColor="text1"/>
                <w:sz w:val="20"/>
                <w:szCs w:val="20"/>
              </w:rPr>
              <w:t>50%</w:t>
            </w:r>
          </w:p>
        </w:tc>
      </w:tr>
      <w:tr w:rsidR="00BB138C" w:rsidRPr="00EF6679" w14:paraId="5A7B8D7C" w14:textId="77777777" w:rsidTr="00820288">
        <w:trPr>
          <w:trHeight w:val="323"/>
        </w:trPr>
        <w:tc>
          <w:tcPr>
            <w:tcW w:w="2505" w:type="dxa"/>
            <w:tcBorders>
              <w:bottom w:val="single" w:sz="12" w:space="0" w:color="FFFFFF" w:themeColor="background1"/>
            </w:tcBorders>
            <w:noWrap/>
            <w:vAlign w:val="center"/>
            <w:hideMark/>
          </w:tcPr>
          <w:p w14:paraId="0E52589B" w14:textId="77777777" w:rsidR="00BB138C" w:rsidRPr="00EF6679" w:rsidRDefault="00BB138C" w:rsidP="00820288">
            <w:pPr>
              <w:spacing w:line="240" w:lineRule="auto"/>
              <w:jc w:val="center"/>
              <w:rPr>
                <w:rFonts w:cs="Times New Roman"/>
                <w:b/>
                <w:bCs/>
                <w:color w:val="000000" w:themeColor="text1"/>
                <w:sz w:val="18"/>
                <w:szCs w:val="18"/>
              </w:rPr>
            </w:pPr>
            <w:r w:rsidRPr="00EF6679">
              <w:rPr>
                <w:rFonts w:cs="Times New Roman"/>
                <w:b/>
                <w:bCs/>
                <w:color w:val="000000" w:themeColor="text1"/>
                <w:sz w:val="18"/>
                <w:szCs w:val="18"/>
              </w:rPr>
              <w:t>Average Daily Light Integral (DLI) (mol</w:t>
            </w:r>
            <w:r w:rsidRPr="00EF6679">
              <w:rPr>
                <w:rFonts w:cs="Times New Roman"/>
                <w:b/>
                <w:bCs/>
                <w:color w:val="000000" w:themeColor="text1"/>
                <w:sz w:val="18"/>
                <w:szCs w:val="18"/>
                <w:vertAlign w:val="superscript"/>
              </w:rPr>
              <w:t>.</w:t>
            </w:r>
            <w:r w:rsidRPr="00EF6679">
              <w:rPr>
                <w:rFonts w:cs="Times New Roman"/>
                <w:b/>
                <w:bCs/>
                <w:color w:val="000000" w:themeColor="text1"/>
                <w:sz w:val="18"/>
                <w:szCs w:val="18"/>
              </w:rPr>
              <w:t>m</w:t>
            </w:r>
            <w:r w:rsidRPr="00EF6679">
              <w:rPr>
                <w:rFonts w:cs="Times New Roman"/>
                <w:b/>
                <w:bCs/>
                <w:color w:val="000000" w:themeColor="text1"/>
                <w:sz w:val="18"/>
                <w:szCs w:val="18"/>
                <w:vertAlign w:val="superscript"/>
              </w:rPr>
              <w:t>.-2.</w:t>
            </w:r>
            <w:r w:rsidRPr="00EF6679">
              <w:rPr>
                <w:rFonts w:cs="Times New Roman"/>
                <w:b/>
                <w:bCs/>
                <w:color w:val="000000" w:themeColor="text1"/>
                <w:sz w:val="18"/>
                <w:szCs w:val="18"/>
              </w:rPr>
              <w:t>d</w:t>
            </w:r>
            <w:r w:rsidRPr="00EF6679">
              <w:rPr>
                <w:rFonts w:cs="Times New Roman"/>
                <w:b/>
                <w:bCs/>
                <w:color w:val="000000" w:themeColor="text1"/>
                <w:sz w:val="18"/>
                <w:szCs w:val="18"/>
                <w:vertAlign w:val="superscript"/>
              </w:rPr>
              <w:t>-1</w:t>
            </w:r>
            <w:r w:rsidRPr="00EF6679">
              <w:rPr>
                <w:rFonts w:cs="Times New Roman"/>
                <w:b/>
                <w:bCs/>
                <w:color w:val="000000" w:themeColor="text1"/>
                <w:sz w:val="18"/>
                <w:szCs w:val="18"/>
              </w:rPr>
              <w:t>)</w:t>
            </w:r>
          </w:p>
        </w:tc>
        <w:tc>
          <w:tcPr>
            <w:tcW w:w="1800" w:type="dxa"/>
            <w:tcBorders>
              <w:bottom w:val="single" w:sz="12" w:space="0" w:color="FFFFFF" w:themeColor="background1"/>
            </w:tcBorders>
            <w:noWrap/>
            <w:vAlign w:val="center"/>
            <w:hideMark/>
          </w:tcPr>
          <w:p w14:paraId="081DFDEA" w14:textId="77777777" w:rsidR="00BB138C" w:rsidRPr="00EF6679" w:rsidRDefault="00BB138C" w:rsidP="00820288">
            <w:pPr>
              <w:spacing w:line="240" w:lineRule="auto"/>
              <w:jc w:val="center"/>
              <w:rPr>
                <w:rFonts w:cs="Times New Roman"/>
                <w:color w:val="000000" w:themeColor="text1"/>
                <w:sz w:val="20"/>
                <w:szCs w:val="20"/>
              </w:rPr>
            </w:pPr>
            <w:r w:rsidRPr="00EF6679">
              <w:rPr>
                <w:rFonts w:cs="Times New Roman"/>
                <w:color w:val="000000" w:themeColor="text1"/>
                <w:sz w:val="20"/>
                <w:szCs w:val="20"/>
              </w:rPr>
              <w:t>13.21</w:t>
            </w:r>
          </w:p>
        </w:tc>
        <w:tc>
          <w:tcPr>
            <w:tcW w:w="1890" w:type="dxa"/>
            <w:tcBorders>
              <w:bottom w:val="single" w:sz="12" w:space="0" w:color="FFFFFF" w:themeColor="background1"/>
            </w:tcBorders>
            <w:noWrap/>
            <w:vAlign w:val="center"/>
            <w:hideMark/>
          </w:tcPr>
          <w:p w14:paraId="01A2B80D" w14:textId="77777777" w:rsidR="00BB138C" w:rsidRPr="00EF6679" w:rsidRDefault="00BB138C" w:rsidP="00820288">
            <w:pPr>
              <w:spacing w:line="240" w:lineRule="auto"/>
              <w:jc w:val="center"/>
              <w:rPr>
                <w:rFonts w:cs="Times New Roman"/>
                <w:color w:val="000000" w:themeColor="text1"/>
                <w:sz w:val="20"/>
                <w:szCs w:val="20"/>
              </w:rPr>
            </w:pPr>
            <w:r w:rsidRPr="00EF6679">
              <w:rPr>
                <w:rFonts w:cs="Times New Roman"/>
                <w:color w:val="000000" w:themeColor="text1"/>
                <w:sz w:val="20"/>
                <w:szCs w:val="20"/>
              </w:rPr>
              <w:t>7.11</w:t>
            </w:r>
          </w:p>
        </w:tc>
      </w:tr>
      <w:tr w:rsidR="00BB138C" w:rsidRPr="00EF6679" w14:paraId="070DC3E3" w14:textId="77777777" w:rsidTr="00820288">
        <w:trPr>
          <w:trHeight w:val="323"/>
        </w:trPr>
        <w:tc>
          <w:tcPr>
            <w:tcW w:w="2505" w:type="dxa"/>
            <w:tcBorders>
              <w:bottom w:val="single" w:sz="4" w:space="0" w:color="auto"/>
            </w:tcBorders>
            <w:noWrap/>
            <w:vAlign w:val="center"/>
            <w:hideMark/>
          </w:tcPr>
          <w:p w14:paraId="50EFA1D1" w14:textId="77777777" w:rsidR="00BB138C" w:rsidRPr="00EF6679" w:rsidRDefault="00BB138C" w:rsidP="00820288">
            <w:pPr>
              <w:spacing w:line="240" w:lineRule="auto"/>
              <w:jc w:val="center"/>
              <w:rPr>
                <w:rFonts w:cs="Times New Roman"/>
                <w:b/>
                <w:bCs/>
                <w:color w:val="000000" w:themeColor="text1"/>
                <w:sz w:val="18"/>
                <w:szCs w:val="18"/>
              </w:rPr>
            </w:pPr>
            <w:r w:rsidRPr="00EF6679">
              <w:rPr>
                <w:rFonts w:cs="Times New Roman"/>
                <w:b/>
                <w:bCs/>
                <w:color w:val="000000" w:themeColor="text1"/>
                <w:sz w:val="18"/>
                <w:szCs w:val="18"/>
              </w:rPr>
              <w:t>Average Day Length (hours)</w:t>
            </w:r>
          </w:p>
        </w:tc>
        <w:tc>
          <w:tcPr>
            <w:tcW w:w="1800" w:type="dxa"/>
            <w:tcBorders>
              <w:bottom w:val="single" w:sz="4" w:space="0" w:color="auto"/>
            </w:tcBorders>
            <w:noWrap/>
            <w:vAlign w:val="center"/>
            <w:hideMark/>
          </w:tcPr>
          <w:p w14:paraId="141FB714" w14:textId="77777777" w:rsidR="00BB138C" w:rsidRPr="00EF6679" w:rsidRDefault="00BB138C" w:rsidP="00820288">
            <w:pPr>
              <w:spacing w:line="240" w:lineRule="auto"/>
              <w:jc w:val="center"/>
              <w:rPr>
                <w:rFonts w:cs="Times New Roman"/>
                <w:color w:val="000000" w:themeColor="text1"/>
                <w:sz w:val="20"/>
                <w:szCs w:val="20"/>
              </w:rPr>
            </w:pPr>
            <w:r w:rsidRPr="00EF6679">
              <w:rPr>
                <w:rFonts w:cs="Times New Roman"/>
                <w:color w:val="000000" w:themeColor="text1"/>
                <w:sz w:val="20"/>
                <w:szCs w:val="20"/>
              </w:rPr>
              <w:t>13:41</w:t>
            </w:r>
          </w:p>
        </w:tc>
        <w:tc>
          <w:tcPr>
            <w:tcW w:w="1890" w:type="dxa"/>
            <w:tcBorders>
              <w:bottom w:val="single" w:sz="4" w:space="0" w:color="auto"/>
            </w:tcBorders>
            <w:noWrap/>
            <w:vAlign w:val="center"/>
            <w:hideMark/>
          </w:tcPr>
          <w:p w14:paraId="1FBF402D" w14:textId="77777777" w:rsidR="00BB138C" w:rsidRPr="00EF6679" w:rsidRDefault="00BB138C" w:rsidP="00820288">
            <w:pPr>
              <w:spacing w:line="240" w:lineRule="auto"/>
              <w:jc w:val="center"/>
              <w:rPr>
                <w:rFonts w:cs="Times New Roman"/>
                <w:color w:val="000000" w:themeColor="text1"/>
                <w:sz w:val="20"/>
                <w:szCs w:val="20"/>
              </w:rPr>
            </w:pPr>
            <w:r w:rsidRPr="00EF6679">
              <w:rPr>
                <w:rFonts w:cs="Times New Roman"/>
                <w:color w:val="000000" w:themeColor="text1"/>
                <w:sz w:val="20"/>
                <w:szCs w:val="20"/>
              </w:rPr>
              <w:t>9:50</w:t>
            </w:r>
          </w:p>
        </w:tc>
      </w:tr>
    </w:tbl>
    <w:p w14:paraId="36207E28" w14:textId="77777777" w:rsidR="00BB138C" w:rsidRPr="00EF6679" w:rsidRDefault="00BB138C" w:rsidP="00BB138C">
      <w:pPr>
        <w:spacing w:line="240" w:lineRule="auto"/>
        <w:rPr>
          <w:rFonts w:cs="Times New Roman"/>
          <w:color w:val="000000" w:themeColor="text1"/>
        </w:rPr>
      </w:pPr>
    </w:p>
    <w:p w14:paraId="56CD3059" w14:textId="77777777" w:rsidR="00CF62B9" w:rsidRPr="00EF6679" w:rsidRDefault="00CF62B9" w:rsidP="00BB138C">
      <w:pPr>
        <w:spacing w:line="240" w:lineRule="auto"/>
        <w:rPr>
          <w:rFonts w:cs="Times New Roman"/>
          <w:b/>
          <w:color w:val="000000" w:themeColor="text1"/>
        </w:rPr>
      </w:pPr>
    </w:p>
    <w:p w14:paraId="646C0533" w14:textId="77777777" w:rsidR="00EF6679" w:rsidRPr="00EF6679" w:rsidRDefault="00EF6679">
      <w:pPr>
        <w:spacing w:line="240" w:lineRule="auto"/>
        <w:rPr>
          <w:rFonts w:cs="Times New Roman"/>
          <w:b/>
          <w:color w:val="000000" w:themeColor="text1"/>
        </w:rPr>
      </w:pPr>
      <w:r w:rsidRPr="00EF6679">
        <w:rPr>
          <w:rFonts w:cs="Times New Roman"/>
          <w:b/>
          <w:color w:val="000000" w:themeColor="text1"/>
        </w:rPr>
        <w:br w:type="page"/>
      </w:r>
    </w:p>
    <w:p w14:paraId="3C1F0D97" w14:textId="3D78F56C" w:rsidR="00BB138C" w:rsidRPr="00EF6679" w:rsidRDefault="00BB138C" w:rsidP="00BB138C">
      <w:pPr>
        <w:pStyle w:val="TableTOC"/>
        <w:ind w:right="90"/>
        <w:jc w:val="both"/>
        <w:rPr>
          <w:rFonts w:cs="Times New Roman"/>
          <w:color w:val="000000" w:themeColor="text1"/>
          <w:sz w:val="14"/>
          <w:szCs w:val="14"/>
        </w:rPr>
      </w:pPr>
      <w:bookmarkStart w:id="707" w:name="_Toc141478786"/>
      <w:r w:rsidRPr="00EF6679">
        <w:rPr>
          <w:rFonts w:cs="Times New Roman"/>
          <w:b/>
          <w:color w:val="000000" w:themeColor="text1"/>
        </w:rPr>
        <w:lastRenderedPageBreak/>
        <w:t xml:space="preserve">Table </w:t>
      </w:r>
      <w:r w:rsidR="00BA2365" w:rsidRPr="00EF6679">
        <w:rPr>
          <w:rFonts w:cs="Times New Roman"/>
          <w:b/>
          <w:bCs/>
        </w:rPr>
        <w:t>5.</w:t>
      </w:r>
      <w:r w:rsidRPr="00EF6679">
        <w:rPr>
          <w:rFonts w:cs="Times New Roman"/>
          <w:b/>
          <w:color w:val="000000" w:themeColor="text1"/>
        </w:rPr>
        <w:t>2.</w:t>
      </w:r>
      <w:r w:rsidRPr="00EF6679">
        <w:rPr>
          <w:rFonts w:cs="Times New Roman"/>
          <w:color w:val="000000" w:themeColor="text1"/>
        </w:rPr>
        <w:t xml:space="preserve"> Summary of statistical results for pertinent aroma volatile compounds detected using headspace gas chromatography-mass spectrometry.</w:t>
      </w:r>
      <w:bookmarkEnd w:id="707"/>
    </w:p>
    <w:p w14:paraId="0E5920E4" w14:textId="77777777" w:rsidR="00BB138C" w:rsidRPr="00EF6679" w:rsidRDefault="00BB138C" w:rsidP="00BB138C">
      <w:pPr>
        <w:pStyle w:val="TableTOC"/>
        <w:ind w:right="1530"/>
        <w:rPr>
          <w:rFonts w:cs="Times New Roman"/>
          <w:color w:val="000000" w:themeColor="text1"/>
          <w:sz w:val="14"/>
          <w:szCs w:val="14"/>
        </w:rPr>
      </w:pPr>
    </w:p>
    <w:tbl>
      <w:tblPr>
        <w:tblStyle w:val="TableGrid"/>
        <w:tblW w:w="9737"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43" w:type="dxa"/>
          <w:right w:w="43" w:type="dxa"/>
        </w:tblCellMar>
        <w:tblLook w:val="04A0" w:firstRow="1" w:lastRow="0" w:firstColumn="1" w:lastColumn="0" w:noHBand="0" w:noVBand="1"/>
      </w:tblPr>
      <w:tblGrid>
        <w:gridCol w:w="2340"/>
        <w:gridCol w:w="939"/>
        <w:gridCol w:w="1152"/>
        <w:gridCol w:w="864"/>
        <w:gridCol w:w="720"/>
        <w:gridCol w:w="864"/>
        <w:gridCol w:w="410"/>
        <w:gridCol w:w="864"/>
        <w:gridCol w:w="720"/>
        <w:gridCol w:w="864"/>
      </w:tblGrid>
      <w:tr w:rsidR="00BB138C" w:rsidRPr="00EF6679" w14:paraId="719FC99F" w14:textId="77777777" w:rsidTr="00820288">
        <w:trPr>
          <w:trHeight w:val="345"/>
          <w:jc w:val="center"/>
        </w:trPr>
        <w:tc>
          <w:tcPr>
            <w:tcW w:w="2340" w:type="dxa"/>
            <w:tcBorders>
              <w:top w:val="single" w:sz="4" w:space="0" w:color="auto"/>
            </w:tcBorders>
            <w:noWrap/>
            <w:vAlign w:val="bottom"/>
            <w:hideMark/>
          </w:tcPr>
          <w:p w14:paraId="0C4F85CD" w14:textId="77777777" w:rsidR="00BB138C" w:rsidRPr="00EF6679" w:rsidRDefault="00BB138C" w:rsidP="00820288">
            <w:pPr>
              <w:spacing w:line="240" w:lineRule="auto"/>
              <w:rPr>
                <w:rFonts w:ascii="Times New Roman" w:hAnsi="Times New Roman" w:cs="Times New Roman"/>
                <w:b/>
                <w:bCs/>
                <w:color w:val="000000" w:themeColor="text1"/>
                <w:sz w:val="13"/>
                <w:szCs w:val="13"/>
              </w:rPr>
            </w:pPr>
          </w:p>
        </w:tc>
        <w:tc>
          <w:tcPr>
            <w:tcW w:w="939" w:type="dxa"/>
            <w:tcBorders>
              <w:top w:val="single" w:sz="4" w:space="0" w:color="auto"/>
            </w:tcBorders>
            <w:vAlign w:val="bottom"/>
          </w:tcPr>
          <w:p w14:paraId="61CCBB13" w14:textId="77777777" w:rsidR="00BB138C" w:rsidRPr="00EF6679" w:rsidRDefault="00BB138C" w:rsidP="00820288">
            <w:pPr>
              <w:spacing w:line="240" w:lineRule="auto"/>
              <w:jc w:val="center"/>
              <w:rPr>
                <w:rFonts w:ascii="Times New Roman" w:hAnsi="Times New Roman" w:cs="Times New Roman"/>
                <w:b/>
                <w:bCs/>
                <w:color w:val="000000" w:themeColor="text1"/>
                <w:sz w:val="13"/>
                <w:szCs w:val="13"/>
              </w:rPr>
            </w:pPr>
          </w:p>
        </w:tc>
        <w:tc>
          <w:tcPr>
            <w:tcW w:w="1152" w:type="dxa"/>
            <w:tcBorders>
              <w:top w:val="single" w:sz="4" w:space="0" w:color="auto"/>
            </w:tcBorders>
            <w:noWrap/>
            <w:vAlign w:val="bottom"/>
            <w:hideMark/>
          </w:tcPr>
          <w:p w14:paraId="0631AB30" w14:textId="77777777" w:rsidR="00BB138C" w:rsidRPr="00EF6679" w:rsidRDefault="00BB138C" w:rsidP="00820288">
            <w:pPr>
              <w:spacing w:line="240" w:lineRule="auto"/>
              <w:jc w:val="center"/>
              <w:rPr>
                <w:rFonts w:ascii="Times New Roman" w:hAnsi="Times New Roman" w:cs="Times New Roman"/>
                <w:b/>
                <w:bCs/>
                <w:color w:val="000000" w:themeColor="text1"/>
                <w:sz w:val="13"/>
                <w:szCs w:val="13"/>
              </w:rPr>
            </w:pPr>
          </w:p>
        </w:tc>
        <w:tc>
          <w:tcPr>
            <w:tcW w:w="864" w:type="dxa"/>
            <w:tcBorders>
              <w:top w:val="single" w:sz="4" w:space="0" w:color="auto"/>
              <w:bottom w:val="single" w:sz="4" w:space="0" w:color="auto"/>
            </w:tcBorders>
            <w:noWrap/>
            <w:vAlign w:val="center"/>
            <w:hideMark/>
          </w:tcPr>
          <w:p w14:paraId="3A80F767" w14:textId="77777777" w:rsidR="00BB138C" w:rsidRPr="00EF6679" w:rsidRDefault="00BB138C" w:rsidP="00820288">
            <w:pPr>
              <w:spacing w:line="240" w:lineRule="auto"/>
              <w:jc w:val="center"/>
              <w:rPr>
                <w:rFonts w:ascii="Times New Roman" w:hAnsi="Times New Roman" w:cs="Times New Roman"/>
                <w:color w:val="000000" w:themeColor="text1"/>
                <w:sz w:val="13"/>
                <w:szCs w:val="13"/>
              </w:rPr>
            </w:pPr>
          </w:p>
        </w:tc>
        <w:tc>
          <w:tcPr>
            <w:tcW w:w="720" w:type="dxa"/>
            <w:tcBorders>
              <w:top w:val="single" w:sz="4" w:space="0" w:color="auto"/>
              <w:bottom w:val="single" w:sz="4" w:space="0" w:color="auto"/>
            </w:tcBorders>
            <w:noWrap/>
            <w:vAlign w:val="center"/>
            <w:hideMark/>
          </w:tcPr>
          <w:p w14:paraId="009FEF48" w14:textId="77777777" w:rsidR="00BB138C" w:rsidRPr="00EF6679" w:rsidRDefault="00BB138C" w:rsidP="00820288">
            <w:pPr>
              <w:spacing w:line="240" w:lineRule="auto"/>
              <w:jc w:val="center"/>
              <w:rPr>
                <w:rFonts w:ascii="Times New Roman" w:hAnsi="Times New Roman" w:cs="Times New Roman"/>
                <w:b/>
                <w:bCs/>
                <w:color w:val="000000" w:themeColor="text1"/>
                <w:sz w:val="13"/>
                <w:szCs w:val="13"/>
              </w:rPr>
            </w:pPr>
            <w:r w:rsidRPr="00EF6679">
              <w:rPr>
                <w:rFonts w:ascii="Times New Roman" w:hAnsi="Times New Roman" w:cs="Times New Roman"/>
                <w:b/>
                <w:bCs/>
                <w:color w:val="000000" w:themeColor="text1"/>
                <w:sz w:val="13"/>
                <w:szCs w:val="13"/>
              </w:rPr>
              <w:t>F Value</w:t>
            </w:r>
          </w:p>
        </w:tc>
        <w:tc>
          <w:tcPr>
            <w:tcW w:w="864" w:type="dxa"/>
            <w:tcBorders>
              <w:top w:val="single" w:sz="4" w:space="0" w:color="auto"/>
              <w:bottom w:val="single" w:sz="4" w:space="0" w:color="auto"/>
            </w:tcBorders>
            <w:noWrap/>
            <w:vAlign w:val="center"/>
            <w:hideMark/>
          </w:tcPr>
          <w:p w14:paraId="12AB4DDD" w14:textId="77777777" w:rsidR="00BB138C" w:rsidRPr="00EF6679" w:rsidRDefault="00BB138C" w:rsidP="00820288">
            <w:pPr>
              <w:spacing w:line="240" w:lineRule="auto"/>
              <w:jc w:val="center"/>
              <w:rPr>
                <w:rFonts w:ascii="Times New Roman" w:hAnsi="Times New Roman" w:cs="Times New Roman"/>
                <w:color w:val="000000" w:themeColor="text1"/>
                <w:sz w:val="13"/>
                <w:szCs w:val="13"/>
              </w:rPr>
            </w:pPr>
          </w:p>
        </w:tc>
        <w:tc>
          <w:tcPr>
            <w:tcW w:w="410" w:type="dxa"/>
            <w:tcBorders>
              <w:top w:val="single" w:sz="4" w:space="0" w:color="auto"/>
            </w:tcBorders>
          </w:tcPr>
          <w:p w14:paraId="50D6CD4F" w14:textId="77777777" w:rsidR="00BB138C" w:rsidRPr="00EF6679" w:rsidRDefault="00BB138C" w:rsidP="00820288">
            <w:pPr>
              <w:spacing w:line="240" w:lineRule="auto"/>
              <w:jc w:val="center"/>
              <w:rPr>
                <w:rFonts w:ascii="Times New Roman" w:hAnsi="Times New Roman" w:cs="Times New Roman"/>
                <w:color w:val="000000" w:themeColor="text1"/>
                <w:sz w:val="13"/>
                <w:szCs w:val="13"/>
              </w:rPr>
            </w:pPr>
          </w:p>
        </w:tc>
        <w:tc>
          <w:tcPr>
            <w:tcW w:w="864" w:type="dxa"/>
            <w:tcBorders>
              <w:top w:val="single" w:sz="4" w:space="0" w:color="auto"/>
              <w:bottom w:val="single" w:sz="4" w:space="0" w:color="auto"/>
            </w:tcBorders>
            <w:noWrap/>
            <w:vAlign w:val="center"/>
            <w:hideMark/>
          </w:tcPr>
          <w:p w14:paraId="5B8F339D" w14:textId="77777777" w:rsidR="00BB138C" w:rsidRPr="00EF6679" w:rsidRDefault="00BB138C" w:rsidP="00820288">
            <w:pPr>
              <w:spacing w:line="240" w:lineRule="auto"/>
              <w:jc w:val="center"/>
              <w:rPr>
                <w:rFonts w:ascii="Times New Roman" w:hAnsi="Times New Roman" w:cs="Times New Roman"/>
                <w:color w:val="000000" w:themeColor="text1"/>
                <w:sz w:val="13"/>
                <w:szCs w:val="13"/>
              </w:rPr>
            </w:pPr>
          </w:p>
        </w:tc>
        <w:tc>
          <w:tcPr>
            <w:tcW w:w="720" w:type="dxa"/>
            <w:tcBorders>
              <w:top w:val="single" w:sz="4" w:space="0" w:color="auto"/>
              <w:bottom w:val="single" w:sz="4" w:space="0" w:color="auto"/>
            </w:tcBorders>
            <w:noWrap/>
            <w:vAlign w:val="center"/>
            <w:hideMark/>
          </w:tcPr>
          <w:p w14:paraId="1FBC0360" w14:textId="77777777" w:rsidR="00BB138C" w:rsidRPr="00EF6679" w:rsidRDefault="00BB138C" w:rsidP="00820288">
            <w:pPr>
              <w:spacing w:line="240" w:lineRule="auto"/>
              <w:jc w:val="center"/>
              <w:rPr>
                <w:rFonts w:ascii="Times New Roman" w:hAnsi="Times New Roman" w:cs="Times New Roman"/>
                <w:b/>
                <w:bCs/>
                <w:color w:val="000000" w:themeColor="text1"/>
                <w:sz w:val="13"/>
                <w:szCs w:val="13"/>
              </w:rPr>
            </w:pPr>
            <w:r w:rsidRPr="00EF6679">
              <w:rPr>
                <w:rFonts w:ascii="Times New Roman" w:hAnsi="Times New Roman" w:cs="Times New Roman"/>
                <w:b/>
                <w:bCs/>
                <w:color w:val="000000" w:themeColor="text1"/>
                <w:sz w:val="13"/>
                <w:szCs w:val="13"/>
              </w:rPr>
              <w:t>Pr &gt; F</w:t>
            </w:r>
          </w:p>
        </w:tc>
        <w:tc>
          <w:tcPr>
            <w:tcW w:w="864" w:type="dxa"/>
            <w:tcBorders>
              <w:top w:val="single" w:sz="4" w:space="0" w:color="auto"/>
              <w:bottom w:val="single" w:sz="4" w:space="0" w:color="auto"/>
            </w:tcBorders>
            <w:noWrap/>
            <w:vAlign w:val="center"/>
            <w:hideMark/>
          </w:tcPr>
          <w:p w14:paraId="0ADA3E96" w14:textId="77777777" w:rsidR="00BB138C" w:rsidRPr="00EF6679" w:rsidRDefault="00BB138C" w:rsidP="00820288">
            <w:pPr>
              <w:spacing w:line="240" w:lineRule="auto"/>
              <w:jc w:val="center"/>
              <w:rPr>
                <w:rFonts w:ascii="Times New Roman" w:hAnsi="Times New Roman" w:cs="Times New Roman"/>
                <w:color w:val="000000" w:themeColor="text1"/>
                <w:sz w:val="13"/>
                <w:szCs w:val="13"/>
              </w:rPr>
            </w:pPr>
          </w:p>
        </w:tc>
      </w:tr>
      <w:tr w:rsidR="00BB138C" w:rsidRPr="00EF6679" w14:paraId="7C36940B" w14:textId="77777777" w:rsidTr="00820288">
        <w:trPr>
          <w:trHeight w:val="345"/>
          <w:jc w:val="center"/>
        </w:trPr>
        <w:tc>
          <w:tcPr>
            <w:tcW w:w="2340" w:type="dxa"/>
            <w:tcBorders>
              <w:bottom w:val="single" w:sz="4" w:space="0" w:color="auto"/>
            </w:tcBorders>
            <w:noWrap/>
            <w:vAlign w:val="center"/>
            <w:hideMark/>
          </w:tcPr>
          <w:p w14:paraId="1A06BD65" w14:textId="77777777" w:rsidR="00BB138C" w:rsidRPr="00EF6679" w:rsidRDefault="00BB138C" w:rsidP="00820288">
            <w:pPr>
              <w:spacing w:line="240" w:lineRule="auto"/>
              <w:rPr>
                <w:rFonts w:ascii="Times New Roman" w:hAnsi="Times New Roman" w:cs="Times New Roman"/>
                <w:color w:val="000000" w:themeColor="text1"/>
                <w:sz w:val="13"/>
                <w:szCs w:val="13"/>
              </w:rPr>
            </w:pPr>
            <w:r w:rsidRPr="00EF6679">
              <w:rPr>
                <w:rFonts w:ascii="Times New Roman" w:hAnsi="Times New Roman" w:cs="Times New Roman"/>
                <w:b/>
                <w:bCs/>
                <w:color w:val="000000" w:themeColor="text1"/>
                <w:sz w:val="13"/>
                <w:szCs w:val="13"/>
              </w:rPr>
              <w:t>Compound Name</w:t>
            </w:r>
          </w:p>
        </w:tc>
        <w:tc>
          <w:tcPr>
            <w:tcW w:w="939" w:type="dxa"/>
            <w:tcBorders>
              <w:bottom w:val="single" w:sz="4" w:space="0" w:color="auto"/>
            </w:tcBorders>
            <w:vAlign w:val="center"/>
          </w:tcPr>
          <w:p w14:paraId="0F9C7D13" w14:textId="77777777" w:rsidR="00BB138C" w:rsidRPr="00EF6679" w:rsidRDefault="00BB138C" w:rsidP="00820288">
            <w:pPr>
              <w:spacing w:line="240" w:lineRule="auto"/>
              <w:jc w:val="center"/>
              <w:rPr>
                <w:rFonts w:ascii="Times New Roman" w:hAnsi="Times New Roman" w:cs="Times New Roman"/>
                <w:b/>
                <w:bCs/>
                <w:color w:val="000000" w:themeColor="text1"/>
                <w:sz w:val="13"/>
                <w:szCs w:val="13"/>
              </w:rPr>
            </w:pPr>
            <w:r w:rsidRPr="00EF6679">
              <w:rPr>
                <w:rFonts w:ascii="Times New Roman" w:hAnsi="Times New Roman" w:cs="Times New Roman"/>
                <w:b/>
                <w:bCs/>
                <w:color w:val="000000" w:themeColor="text1"/>
                <w:sz w:val="13"/>
                <w:szCs w:val="13"/>
              </w:rPr>
              <w:t>CAS</w:t>
            </w:r>
          </w:p>
        </w:tc>
        <w:tc>
          <w:tcPr>
            <w:tcW w:w="1152" w:type="dxa"/>
            <w:tcBorders>
              <w:bottom w:val="single" w:sz="4" w:space="0" w:color="auto"/>
            </w:tcBorders>
            <w:noWrap/>
            <w:vAlign w:val="center"/>
            <w:hideMark/>
          </w:tcPr>
          <w:p w14:paraId="0176E9EB" w14:textId="77777777" w:rsidR="00BB138C" w:rsidRPr="00EF6679" w:rsidRDefault="00BB138C" w:rsidP="00820288">
            <w:pPr>
              <w:spacing w:line="240" w:lineRule="auto"/>
              <w:jc w:val="center"/>
              <w:rPr>
                <w:rFonts w:ascii="Times New Roman" w:hAnsi="Times New Roman" w:cs="Times New Roman"/>
                <w:color w:val="000000" w:themeColor="text1"/>
                <w:sz w:val="13"/>
                <w:szCs w:val="13"/>
              </w:rPr>
            </w:pPr>
            <w:r w:rsidRPr="00EF6679">
              <w:rPr>
                <w:rFonts w:ascii="Times New Roman" w:hAnsi="Times New Roman" w:cs="Times New Roman"/>
                <w:b/>
                <w:bCs/>
                <w:color w:val="000000" w:themeColor="text1"/>
                <w:sz w:val="13"/>
                <w:szCs w:val="13"/>
              </w:rPr>
              <w:t>RT (min)</w:t>
            </w:r>
          </w:p>
        </w:tc>
        <w:tc>
          <w:tcPr>
            <w:tcW w:w="864" w:type="dxa"/>
            <w:tcBorders>
              <w:top w:val="single" w:sz="4" w:space="0" w:color="auto"/>
              <w:bottom w:val="single" w:sz="4" w:space="0" w:color="auto"/>
            </w:tcBorders>
            <w:noWrap/>
            <w:vAlign w:val="center"/>
            <w:hideMark/>
          </w:tcPr>
          <w:p w14:paraId="49F88FB2" w14:textId="77777777" w:rsidR="00BB138C" w:rsidRPr="00EF6679" w:rsidRDefault="00BB138C" w:rsidP="00820288">
            <w:pPr>
              <w:spacing w:line="240" w:lineRule="auto"/>
              <w:jc w:val="center"/>
              <w:rPr>
                <w:rFonts w:ascii="Times New Roman" w:hAnsi="Times New Roman" w:cs="Times New Roman"/>
                <w:color w:val="000000" w:themeColor="text1"/>
                <w:sz w:val="13"/>
                <w:szCs w:val="13"/>
              </w:rPr>
            </w:pPr>
            <w:r w:rsidRPr="00EF6679">
              <w:rPr>
                <w:rFonts w:ascii="Times New Roman" w:hAnsi="Times New Roman" w:cs="Times New Roman"/>
                <w:color w:val="000000" w:themeColor="text1"/>
                <w:sz w:val="13"/>
                <w:szCs w:val="13"/>
              </w:rPr>
              <w:t>Experiment</w:t>
            </w:r>
          </w:p>
        </w:tc>
        <w:tc>
          <w:tcPr>
            <w:tcW w:w="720" w:type="dxa"/>
            <w:tcBorders>
              <w:top w:val="single" w:sz="4" w:space="0" w:color="auto"/>
              <w:bottom w:val="single" w:sz="4" w:space="0" w:color="auto"/>
            </w:tcBorders>
            <w:noWrap/>
            <w:vAlign w:val="center"/>
            <w:hideMark/>
          </w:tcPr>
          <w:p w14:paraId="5FAD89C3" w14:textId="77777777" w:rsidR="00BB138C" w:rsidRPr="00EF6679" w:rsidRDefault="00BB138C" w:rsidP="00820288">
            <w:pPr>
              <w:spacing w:line="240" w:lineRule="auto"/>
              <w:jc w:val="center"/>
              <w:rPr>
                <w:rFonts w:ascii="Times New Roman" w:hAnsi="Times New Roman" w:cs="Times New Roman"/>
                <w:color w:val="000000" w:themeColor="text1"/>
                <w:sz w:val="13"/>
                <w:szCs w:val="13"/>
              </w:rPr>
            </w:pPr>
            <w:r w:rsidRPr="00EF6679">
              <w:rPr>
                <w:rFonts w:ascii="Times New Roman" w:hAnsi="Times New Roman" w:cs="Times New Roman"/>
                <w:color w:val="000000" w:themeColor="text1"/>
                <w:sz w:val="13"/>
                <w:szCs w:val="13"/>
              </w:rPr>
              <w:t>Treatment</w:t>
            </w:r>
          </w:p>
        </w:tc>
        <w:tc>
          <w:tcPr>
            <w:tcW w:w="864" w:type="dxa"/>
            <w:tcBorders>
              <w:top w:val="single" w:sz="4" w:space="0" w:color="auto"/>
              <w:bottom w:val="single" w:sz="4" w:space="0" w:color="auto"/>
            </w:tcBorders>
            <w:noWrap/>
            <w:vAlign w:val="center"/>
            <w:hideMark/>
          </w:tcPr>
          <w:p w14:paraId="1F8AEAF0" w14:textId="77777777" w:rsidR="00BB138C" w:rsidRPr="00EF6679" w:rsidRDefault="00BB138C" w:rsidP="00820288">
            <w:pPr>
              <w:spacing w:line="240" w:lineRule="auto"/>
              <w:jc w:val="center"/>
              <w:rPr>
                <w:rFonts w:ascii="Times New Roman" w:hAnsi="Times New Roman" w:cs="Times New Roman"/>
                <w:color w:val="000000" w:themeColor="text1"/>
                <w:sz w:val="13"/>
                <w:szCs w:val="13"/>
              </w:rPr>
            </w:pPr>
            <w:r w:rsidRPr="00EF6679">
              <w:rPr>
                <w:rFonts w:ascii="Times New Roman" w:hAnsi="Times New Roman" w:cs="Times New Roman"/>
                <w:color w:val="000000" w:themeColor="text1"/>
                <w:sz w:val="13"/>
                <w:szCs w:val="13"/>
              </w:rPr>
              <w:t>Experiment*Treatment</w:t>
            </w:r>
          </w:p>
        </w:tc>
        <w:tc>
          <w:tcPr>
            <w:tcW w:w="410" w:type="dxa"/>
            <w:tcBorders>
              <w:bottom w:val="single" w:sz="4" w:space="0" w:color="auto"/>
            </w:tcBorders>
          </w:tcPr>
          <w:p w14:paraId="2F63BEA6" w14:textId="77777777" w:rsidR="00BB138C" w:rsidRPr="00EF6679" w:rsidRDefault="00BB138C" w:rsidP="00820288">
            <w:pPr>
              <w:spacing w:line="240" w:lineRule="auto"/>
              <w:jc w:val="center"/>
              <w:rPr>
                <w:rFonts w:ascii="Times New Roman" w:hAnsi="Times New Roman" w:cs="Times New Roman"/>
                <w:color w:val="000000" w:themeColor="text1"/>
                <w:sz w:val="13"/>
                <w:szCs w:val="13"/>
              </w:rPr>
            </w:pPr>
          </w:p>
        </w:tc>
        <w:tc>
          <w:tcPr>
            <w:tcW w:w="864" w:type="dxa"/>
            <w:tcBorders>
              <w:top w:val="single" w:sz="4" w:space="0" w:color="auto"/>
              <w:bottom w:val="single" w:sz="4" w:space="0" w:color="auto"/>
            </w:tcBorders>
            <w:noWrap/>
            <w:vAlign w:val="center"/>
            <w:hideMark/>
          </w:tcPr>
          <w:p w14:paraId="2095A865" w14:textId="77777777" w:rsidR="00BB138C" w:rsidRPr="00EF6679" w:rsidRDefault="00BB138C" w:rsidP="00820288">
            <w:pPr>
              <w:spacing w:line="240" w:lineRule="auto"/>
              <w:jc w:val="center"/>
              <w:rPr>
                <w:rFonts w:ascii="Times New Roman" w:hAnsi="Times New Roman" w:cs="Times New Roman"/>
                <w:color w:val="000000" w:themeColor="text1"/>
                <w:sz w:val="13"/>
                <w:szCs w:val="13"/>
              </w:rPr>
            </w:pPr>
            <w:r w:rsidRPr="00EF6679">
              <w:rPr>
                <w:rFonts w:ascii="Times New Roman" w:hAnsi="Times New Roman" w:cs="Times New Roman"/>
                <w:color w:val="000000" w:themeColor="text1"/>
                <w:sz w:val="13"/>
                <w:szCs w:val="13"/>
              </w:rPr>
              <w:t>Experiment</w:t>
            </w:r>
          </w:p>
        </w:tc>
        <w:tc>
          <w:tcPr>
            <w:tcW w:w="720" w:type="dxa"/>
            <w:tcBorders>
              <w:top w:val="single" w:sz="4" w:space="0" w:color="auto"/>
              <w:bottom w:val="single" w:sz="4" w:space="0" w:color="auto"/>
            </w:tcBorders>
            <w:noWrap/>
            <w:vAlign w:val="center"/>
            <w:hideMark/>
          </w:tcPr>
          <w:p w14:paraId="2869E61C" w14:textId="77777777" w:rsidR="00BB138C" w:rsidRPr="00EF6679" w:rsidRDefault="00BB138C" w:rsidP="00820288">
            <w:pPr>
              <w:spacing w:line="240" w:lineRule="auto"/>
              <w:jc w:val="center"/>
              <w:rPr>
                <w:rFonts w:ascii="Times New Roman" w:hAnsi="Times New Roman" w:cs="Times New Roman"/>
                <w:color w:val="000000" w:themeColor="text1"/>
                <w:sz w:val="13"/>
                <w:szCs w:val="13"/>
              </w:rPr>
            </w:pPr>
            <w:r w:rsidRPr="00EF6679">
              <w:rPr>
                <w:rFonts w:ascii="Times New Roman" w:hAnsi="Times New Roman" w:cs="Times New Roman"/>
                <w:color w:val="000000" w:themeColor="text1"/>
                <w:sz w:val="13"/>
                <w:szCs w:val="13"/>
              </w:rPr>
              <w:t>Treatment</w:t>
            </w:r>
          </w:p>
        </w:tc>
        <w:tc>
          <w:tcPr>
            <w:tcW w:w="864" w:type="dxa"/>
            <w:tcBorders>
              <w:top w:val="single" w:sz="4" w:space="0" w:color="auto"/>
              <w:bottom w:val="single" w:sz="4" w:space="0" w:color="auto"/>
            </w:tcBorders>
            <w:noWrap/>
            <w:vAlign w:val="center"/>
            <w:hideMark/>
          </w:tcPr>
          <w:p w14:paraId="01AD9B97" w14:textId="77777777" w:rsidR="00BB138C" w:rsidRPr="00EF6679" w:rsidRDefault="00BB138C" w:rsidP="00820288">
            <w:pPr>
              <w:spacing w:line="240" w:lineRule="auto"/>
              <w:jc w:val="center"/>
              <w:rPr>
                <w:rFonts w:ascii="Times New Roman" w:hAnsi="Times New Roman" w:cs="Times New Roman"/>
                <w:color w:val="000000" w:themeColor="text1"/>
                <w:sz w:val="13"/>
                <w:szCs w:val="13"/>
              </w:rPr>
            </w:pPr>
            <w:r w:rsidRPr="00EF6679">
              <w:rPr>
                <w:rFonts w:ascii="Times New Roman" w:hAnsi="Times New Roman" w:cs="Times New Roman"/>
                <w:color w:val="000000" w:themeColor="text1"/>
                <w:sz w:val="13"/>
                <w:szCs w:val="13"/>
              </w:rPr>
              <w:t>Experiment*Treatment</w:t>
            </w:r>
          </w:p>
        </w:tc>
      </w:tr>
      <w:tr w:rsidR="00BB138C" w:rsidRPr="00EF6679" w14:paraId="6DC1A679" w14:textId="77777777" w:rsidTr="00820288">
        <w:tblPrEx>
          <w:jc w:val="lef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trHeight w:val="144"/>
        </w:trPr>
        <w:tc>
          <w:tcPr>
            <w:tcW w:w="2340" w:type="dxa"/>
            <w:tcBorders>
              <w:top w:val="nil"/>
              <w:left w:val="nil"/>
              <w:bottom w:val="nil"/>
              <w:right w:val="nil"/>
            </w:tcBorders>
            <w:noWrap/>
            <w:hideMark/>
          </w:tcPr>
          <w:p w14:paraId="54DA5FEF" w14:textId="77777777" w:rsidR="00BB138C" w:rsidRPr="00EF6679" w:rsidRDefault="00BB138C" w:rsidP="00820288">
            <w:pPr>
              <w:spacing w:line="240" w:lineRule="auto"/>
              <w:rPr>
                <w:rFonts w:ascii="Times New Roman" w:eastAsia="Times New Roman" w:hAnsi="Times New Roman" w:cs="Times New Roman"/>
                <w:color w:val="000000" w:themeColor="text1"/>
                <w:sz w:val="13"/>
                <w:szCs w:val="13"/>
              </w:rPr>
            </w:pPr>
            <w:r w:rsidRPr="00EF6679">
              <w:rPr>
                <w:rFonts w:ascii="Times New Roman" w:eastAsia="Times New Roman" w:hAnsi="Times New Roman" w:cs="Times New Roman"/>
                <w:color w:val="000000" w:themeColor="text1"/>
                <w:sz w:val="13"/>
                <w:szCs w:val="13"/>
              </w:rPr>
              <w:t xml:space="preserve">Propanal                 </w:t>
            </w:r>
          </w:p>
        </w:tc>
        <w:tc>
          <w:tcPr>
            <w:tcW w:w="939" w:type="dxa"/>
            <w:tcBorders>
              <w:top w:val="nil"/>
              <w:left w:val="nil"/>
              <w:bottom w:val="nil"/>
              <w:right w:val="nil"/>
            </w:tcBorders>
            <w:noWrap/>
            <w:vAlign w:val="center"/>
            <w:hideMark/>
          </w:tcPr>
          <w:p w14:paraId="589F40FE" w14:textId="77777777" w:rsidR="00BB138C" w:rsidRPr="00EF6679" w:rsidRDefault="00BB138C" w:rsidP="00820288">
            <w:pPr>
              <w:spacing w:line="240" w:lineRule="auto"/>
              <w:jc w:val="center"/>
              <w:rPr>
                <w:rFonts w:ascii="Times New Roman" w:eastAsia="Times New Roman" w:hAnsi="Times New Roman" w:cs="Times New Roman"/>
                <w:color w:val="000000" w:themeColor="text1"/>
                <w:sz w:val="13"/>
                <w:szCs w:val="13"/>
              </w:rPr>
            </w:pPr>
            <w:r w:rsidRPr="00EF6679">
              <w:rPr>
                <w:rFonts w:ascii="Times New Roman" w:eastAsia="Times New Roman" w:hAnsi="Times New Roman" w:cs="Times New Roman"/>
                <w:color w:val="000000" w:themeColor="text1"/>
                <w:sz w:val="13"/>
                <w:szCs w:val="13"/>
              </w:rPr>
              <w:t>123-38-6</w:t>
            </w:r>
          </w:p>
        </w:tc>
        <w:tc>
          <w:tcPr>
            <w:tcW w:w="1152" w:type="dxa"/>
            <w:tcBorders>
              <w:top w:val="nil"/>
              <w:left w:val="nil"/>
              <w:bottom w:val="nil"/>
              <w:right w:val="nil"/>
            </w:tcBorders>
            <w:noWrap/>
            <w:vAlign w:val="center"/>
            <w:hideMark/>
          </w:tcPr>
          <w:p w14:paraId="708D4310" w14:textId="77777777" w:rsidR="00BB138C" w:rsidRPr="00EF6679" w:rsidRDefault="00BB138C" w:rsidP="00820288">
            <w:pPr>
              <w:spacing w:line="240" w:lineRule="auto"/>
              <w:jc w:val="center"/>
              <w:rPr>
                <w:rFonts w:ascii="Times New Roman" w:eastAsia="Times New Roman" w:hAnsi="Times New Roman" w:cs="Times New Roman"/>
                <w:color w:val="000000" w:themeColor="text1"/>
                <w:sz w:val="13"/>
                <w:szCs w:val="13"/>
              </w:rPr>
            </w:pPr>
            <w:r w:rsidRPr="00EF6679">
              <w:rPr>
                <w:rFonts w:ascii="Times New Roman" w:eastAsia="Times New Roman" w:hAnsi="Times New Roman" w:cs="Times New Roman"/>
                <w:color w:val="000000" w:themeColor="text1"/>
                <w:sz w:val="13"/>
                <w:szCs w:val="13"/>
              </w:rPr>
              <w:t>2.099</w:t>
            </w:r>
          </w:p>
        </w:tc>
        <w:tc>
          <w:tcPr>
            <w:tcW w:w="864" w:type="dxa"/>
            <w:tcBorders>
              <w:top w:val="nil"/>
              <w:left w:val="nil"/>
              <w:bottom w:val="nil"/>
              <w:right w:val="nil"/>
            </w:tcBorders>
            <w:noWrap/>
            <w:vAlign w:val="center"/>
            <w:hideMark/>
          </w:tcPr>
          <w:p w14:paraId="7652A123" w14:textId="77777777" w:rsidR="00BB138C" w:rsidRPr="00EF6679" w:rsidRDefault="00BB138C" w:rsidP="00820288">
            <w:pPr>
              <w:spacing w:line="240" w:lineRule="auto"/>
              <w:jc w:val="center"/>
              <w:rPr>
                <w:rFonts w:ascii="Times New Roman" w:eastAsia="Times New Roman" w:hAnsi="Times New Roman" w:cs="Times New Roman"/>
                <w:color w:val="000000" w:themeColor="text1"/>
                <w:sz w:val="13"/>
                <w:szCs w:val="13"/>
              </w:rPr>
            </w:pPr>
            <w:r w:rsidRPr="00EF6679">
              <w:rPr>
                <w:rFonts w:ascii="Times New Roman" w:eastAsia="Times New Roman" w:hAnsi="Times New Roman" w:cs="Times New Roman"/>
                <w:color w:val="000000" w:themeColor="text1"/>
                <w:sz w:val="13"/>
                <w:szCs w:val="13"/>
              </w:rPr>
              <w:t>6.75</w:t>
            </w:r>
          </w:p>
        </w:tc>
        <w:tc>
          <w:tcPr>
            <w:tcW w:w="720" w:type="dxa"/>
            <w:tcBorders>
              <w:top w:val="nil"/>
              <w:left w:val="nil"/>
              <w:bottom w:val="nil"/>
              <w:right w:val="nil"/>
            </w:tcBorders>
            <w:noWrap/>
            <w:vAlign w:val="center"/>
            <w:hideMark/>
          </w:tcPr>
          <w:p w14:paraId="5AFCC44F" w14:textId="77777777" w:rsidR="00BB138C" w:rsidRPr="00EF6679" w:rsidRDefault="00BB138C" w:rsidP="00820288">
            <w:pPr>
              <w:spacing w:line="240" w:lineRule="auto"/>
              <w:jc w:val="center"/>
              <w:rPr>
                <w:rFonts w:ascii="Times New Roman" w:eastAsia="Times New Roman" w:hAnsi="Times New Roman" w:cs="Times New Roman"/>
                <w:color w:val="000000" w:themeColor="text1"/>
                <w:sz w:val="13"/>
                <w:szCs w:val="13"/>
              </w:rPr>
            </w:pPr>
            <w:r w:rsidRPr="00EF6679">
              <w:rPr>
                <w:rFonts w:ascii="Times New Roman" w:eastAsia="Times New Roman" w:hAnsi="Times New Roman" w:cs="Times New Roman"/>
                <w:color w:val="000000" w:themeColor="text1"/>
                <w:sz w:val="13"/>
                <w:szCs w:val="13"/>
              </w:rPr>
              <w:t>2.41</w:t>
            </w:r>
          </w:p>
        </w:tc>
        <w:tc>
          <w:tcPr>
            <w:tcW w:w="864" w:type="dxa"/>
            <w:tcBorders>
              <w:top w:val="nil"/>
              <w:left w:val="nil"/>
              <w:bottom w:val="nil"/>
              <w:right w:val="nil"/>
            </w:tcBorders>
            <w:noWrap/>
            <w:vAlign w:val="center"/>
            <w:hideMark/>
          </w:tcPr>
          <w:p w14:paraId="2E03E9A3" w14:textId="77777777" w:rsidR="00BB138C" w:rsidRPr="00EF6679" w:rsidRDefault="00BB138C" w:rsidP="00820288">
            <w:pPr>
              <w:spacing w:line="240" w:lineRule="auto"/>
              <w:jc w:val="center"/>
              <w:rPr>
                <w:rFonts w:ascii="Times New Roman" w:eastAsia="Times New Roman" w:hAnsi="Times New Roman" w:cs="Times New Roman"/>
                <w:color w:val="000000" w:themeColor="text1"/>
                <w:sz w:val="13"/>
                <w:szCs w:val="13"/>
              </w:rPr>
            </w:pPr>
            <w:r w:rsidRPr="00EF6679">
              <w:rPr>
                <w:rFonts w:ascii="Times New Roman" w:eastAsia="Times New Roman" w:hAnsi="Times New Roman" w:cs="Times New Roman"/>
                <w:color w:val="000000" w:themeColor="text1"/>
                <w:sz w:val="13"/>
                <w:szCs w:val="13"/>
              </w:rPr>
              <w:t>0.69</w:t>
            </w:r>
          </w:p>
        </w:tc>
        <w:tc>
          <w:tcPr>
            <w:tcW w:w="410" w:type="dxa"/>
            <w:tcBorders>
              <w:top w:val="nil"/>
              <w:left w:val="nil"/>
              <w:bottom w:val="nil"/>
              <w:right w:val="nil"/>
            </w:tcBorders>
            <w:noWrap/>
          </w:tcPr>
          <w:p w14:paraId="6726CB02" w14:textId="77777777" w:rsidR="00BB138C" w:rsidRPr="00EF6679" w:rsidRDefault="00BB138C" w:rsidP="00820288">
            <w:pPr>
              <w:spacing w:line="240" w:lineRule="auto"/>
              <w:jc w:val="right"/>
              <w:rPr>
                <w:rFonts w:ascii="Times New Roman" w:eastAsia="Times New Roman" w:hAnsi="Times New Roman" w:cs="Times New Roman"/>
                <w:color w:val="000000" w:themeColor="text1"/>
                <w:sz w:val="13"/>
                <w:szCs w:val="13"/>
              </w:rPr>
            </w:pPr>
          </w:p>
        </w:tc>
        <w:tc>
          <w:tcPr>
            <w:tcW w:w="864" w:type="dxa"/>
            <w:tcBorders>
              <w:top w:val="nil"/>
              <w:left w:val="nil"/>
              <w:bottom w:val="nil"/>
              <w:right w:val="nil"/>
            </w:tcBorders>
            <w:noWrap/>
            <w:vAlign w:val="center"/>
            <w:hideMark/>
          </w:tcPr>
          <w:p w14:paraId="5646FFCA" w14:textId="77777777" w:rsidR="00BB138C" w:rsidRPr="00EF6679" w:rsidRDefault="00BB138C" w:rsidP="00820288">
            <w:pPr>
              <w:spacing w:line="240" w:lineRule="auto"/>
              <w:jc w:val="center"/>
              <w:rPr>
                <w:rFonts w:ascii="Times New Roman" w:eastAsia="Times New Roman" w:hAnsi="Times New Roman" w:cs="Times New Roman"/>
                <w:color w:val="000000" w:themeColor="text1"/>
                <w:sz w:val="13"/>
                <w:szCs w:val="13"/>
              </w:rPr>
            </w:pPr>
            <w:r w:rsidRPr="00EF6679">
              <w:rPr>
                <w:rFonts w:ascii="Times New Roman" w:hAnsi="Times New Roman" w:cs="Times New Roman"/>
                <w:color w:val="000000" w:themeColor="text1"/>
                <w:sz w:val="13"/>
                <w:szCs w:val="13"/>
              </w:rPr>
              <w:t>0.0100</w:t>
            </w:r>
          </w:p>
        </w:tc>
        <w:tc>
          <w:tcPr>
            <w:tcW w:w="720" w:type="dxa"/>
            <w:tcBorders>
              <w:top w:val="nil"/>
              <w:left w:val="nil"/>
              <w:bottom w:val="nil"/>
              <w:right w:val="nil"/>
            </w:tcBorders>
            <w:noWrap/>
            <w:vAlign w:val="center"/>
            <w:hideMark/>
          </w:tcPr>
          <w:p w14:paraId="7CCFD015" w14:textId="77777777" w:rsidR="00BB138C" w:rsidRPr="00EF6679" w:rsidRDefault="00BB138C" w:rsidP="00820288">
            <w:pPr>
              <w:spacing w:line="240" w:lineRule="auto"/>
              <w:jc w:val="center"/>
              <w:rPr>
                <w:rFonts w:ascii="Times New Roman" w:eastAsia="Times New Roman" w:hAnsi="Times New Roman" w:cs="Times New Roman"/>
                <w:color w:val="000000" w:themeColor="text1"/>
                <w:sz w:val="13"/>
                <w:szCs w:val="13"/>
              </w:rPr>
            </w:pPr>
            <w:r w:rsidRPr="00EF6679">
              <w:rPr>
                <w:rFonts w:ascii="Times New Roman" w:hAnsi="Times New Roman" w:cs="Times New Roman"/>
                <w:color w:val="000000" w:themeColor="text1"/>
                <w:sz w:val="13"/>
                <w:szCs w:val="13"/>
              </w:rPr>
              <w:t>0.0077</w:t>
            </w:r>
          </w:p>
        </w:tc>
        <w:tc>
          <w:tcPr>
            <w:tcW w:w="864" w:type="dxa"/>
            <w:tcBorders>
              <w:top w:val="nil"/>
              <w:left w:val="nil"/>
              <w:bottom w:val="nil"/>
              <w:right w:val="nil"/>
            </w:tcBorders>
            <w:noWrap/>
            <w:vAlign w:val="center"/>
            <w:hideMark/>
          </w:tcPr>
          <w:p w14:paraId="4B6E9E74" w14:textId="77777777" w:rsidR="00BB138C" w:rsidRPr="00EF6679" w:rsidRDefault="00BB138C" w:rsidP="00820288">
            <w:pPr>
              <w:spacing w:line="240" w:lineRule="auto"/>
              <w:jc w:val="center"/>
              <w:rPr>
                <w:rFonts w:ascii="Times New Roman" w:eastAsia="Times New Roman" w:hAnsi="Times New Roman" w:cs="Times New Roman"/>
                <w:color w:val="000000" w:themeColor="text1"/>
                <w:sz w:val="13"/>
                <w:szCs w:val="13"/>
              </w:rPr>
            </w:pPr>
            <w:r w:rsidRPr="00EF6679">
              <w:rPr>
                <w:rFonts w:ascii="Times New Roman" w:hAnsi="Times New Roman" w:cs="Times New Roman"/>
                <w:color w:val="000000" w:themeColor="text1"/>
                <w:sz w:val="13"/>
                <w:szCs w:val="13"/>
              </w:rPr>
              <w:t>0.7470</w:t>
            </w:r>
          </w:p>
        </w:tc>
      </w:tr>
      <w:tr w:rsidR="00BB138C" w:rsidRPr="00EF6679" w14:paraId="32B680EB" w14:textId="77777777" w:rsidTr="00820288">
        <w:tblPrEx>
          <w:jc w:val="lef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trHeight w:val="144"/>
        </w:trPr>
        <w:tc>
          <w:tcPr>
            <w:tcW w:w="2340" w:type="dxa"/>
            <w:tcBorders>
              <w:top w:val="nil"/>
              <w:left w:val="nil"/>
              <w:bottom w:val="nil"/>
              <w:right w:val="nil"/>
            </w:tcBorders>
            <w:noWrap/>
            <w:hideMark/>
          </w:tcPr>
          <w:p w14:paraId="391C6419" w14:textId="77777777" w:rsidR="00BB138C" w:rsidRPr="00EF6679" w:rsidRDefault="00BB138C" w:rsidP="00820288">
            <w:pPr>
              <w:spacing w:line="240" w:lineRule="auto"/>
              <w:rPr>
                <w:rFonts w:ascii="Times New Roman" w:eastAsia="Times New Roman" w:hAnsi="Times New Roman" w:cs="Times New Roman"/>
                <w:color w:val="000000" w:themeColor="text1"/>
                <w:sz w:val="13"/>
                <w:szCs w:val="13"/>
              </w:rPr>
            </w:pPr>
            <w:r w:rsidRPr="00EF6679">
              <w:rPr>
                <w:rFonts w:ascii="Times New Roman" w:eastAsia="Times New Roman" w:hAnsi="Times New Roman" w:cs="Times New Roman"/>
                <w:color w:val="000000" w:themeColor="text1"/>
                <w:sz w:val="13"/>
                <w:szCs w:val="13"/>
              </w:rPr>
              <w:t xml:space="preserve">Dimethyl Sulfide         </w:t>
            </w:r>
          </w:p>
        </w:tc>
        <w:tc>
          <w:tcPr>
            <w:tcW w:w="939" w:type="dxa"/>
            <w:tcBorders>
              <w:top w:val="nil"/>
              <w:left w:val="nil"/>
              <w:bottom w:val="nil"/>
              <w:right w:val="nil"/>
            </w:tcBorders>
            <w:noWrap/>
            <w:vAlign w:val="center"/>
            <w:hideMark/>
          </w:tcPr>
          <w:p w14:paraId="1138DB8A" w14:textId="77777777" w:rsidR="00BB138C" w:rsidRPr="00EF6679" w:rsidRDefault="00BB138C" w:rsidP="00820288">
            <w:pPr>
              <w:spacing w:line="240" w:lineRule="auto"/>
              <w:jc w:val="center"/>
              <w:rPr>
                <w:rFonts w:ascii="Times New Roman" w:eastAsia="Times New Roman" w:hAnsi="Times New Roman" w:cs="Times New Roman"/>
                <w:color w:val="000000" w:themeColor="text1"/>
                <w:sz w:val="13"/>
                <w:szCs w:val="13"/>
              </w:rPr>
            </w:pPr>
            <w:r w:rsidRPr="00EF6679">
              <w:rPr>
                <w:rFonts w:ascii="Times New Roman" w:eastAsia="Times New Roman" w:hAnsi="Times New Roman" w:cs="Times New Roman"/>
                <w:color w:val="000000" w:themeColor="text1"/>
                <w:sz w:val="13"/>
                <w:szCs w:val="13"/>
              </w:rPr>
              <w:t>75-18-3</w:t>
            </w:r>
          </w:p>
        </w:tc>
        <w:tc>
          <w:tcPr>
            <w:tcW w:w="1152" w:type="dxa"/>
            <w:tcBorders>
              <w:top w:val="nil"/>
              <w:left w:val="nil"/>
              <w:bottom w:val="nil"/>
              <w:right w:val="nil"/>
            </w:tcBorders>
            <w:noWrap/>
            <w:vAlign w:val="center"/>
            <w:hideMark/>
          </w:tcPr>
          <w:p w14:paraId="4D4B0969" w14:textId="77777777" w:rsidR="00BB138C" w:rsidRPr="00EF6679" w:rsidRDefault="00BB138C" w:rsidP="00820288">
            <w:pPr>
              <w:spacing w:line="240" w:lineRule="auto"/>
              <w:jc w:val="center"/>
              <w:rPr>
                <w:rFonts w:ascii="Times New Roman" w:eastAsia="Times New Roman" w:hAnsi="Times New Roman" w:cs="Times New Roman"/>
                <w:color w:val="000000" w:themeColor="text1"/>
                <w:sz w:val="13"/>
                <w:szCs w:val="13"/>
              </w:rPr>
            </w:pPr>
            <w:r w:rsidRPr="00EF6679">
              <w:rPr>
                <w:rFonts w:ascii="Times New Roman" w:eastAsia="Times New Roman" w:hAnsi="Times New Roman" w:cs="Times New Roman"/>
                <w:color w:val="000000" w:themeColor="text1"/>
                <w:sz w:val="13"/>
                <w:szCs w:val="13"/>
              </w:rPr>
              <w:t>2.234</w:t>
            </w:r>
          </w:p>
        </w:tc>
        <w:tc>
          <w:tcPr>
            <w:tcW w:w="864" w:type="dxa"/>
            <w:tcBorders>
              <w:top w:val="nil"/>
              <w:left w:val="nil"/>
              <w:bottom w:val="nil"/>
              <w:right w:val="nil"/>
            </w:tcBorders>
            <w:noWrap/>
            <w:vAlign w:val="center"/>
            <w:hideMark/>
          </w:tcPr>
          <w:p w14:paraId="52B4D789" w14:textId="77777777" w:rsidR="00BB138C" w:rsidRPr="00EF6679" w:rsidRDefault="00BB138C" w:rsidP="00820288">
            <w:pPr>
              <w:spacing w:line="240" w:lineRule="auto"/>
              <w:jc w:val="center"/>
              <w:rPr>
                <w:rFonts w:ascii="Times New Roman" w:eastAsia="Times New Roman" w:hAnsi="Times New Roman" w:cs="Times New Roman"/>
                <w:color w:val="000000" w:themeColor="text1"/>
                <w:sz w:val="13"/>
                <w:szCs w:val="13"/>
              </w:rPr>
            </w:pPr>
            <w:r w:rsidRPr="00EF6679">
              <w:rPr>
                <w:rFonts w:ascii="Times New Roman" w:eastAsia="Times New Roman" w:hAnsi="Times New Roman" w:cs="Times New Roman"/>
                <w:color w:val="000000" w:themeColor="text1"/>
                <w:sz w:val="13"/>
                <w:szCs w:val="13"/>
              </w:rPr>
              <w:t>1.70</w:t>
            </w:r>
          </w:p>
        </w:tc>
        <w:tc>
          <w:tcPr>
            <w:tcW w:w="720" w:type="dxa"/>
            <w:tcBorders>
              <w:top w:val="nil"/>
              <w:left w:val="nil"/>
              <w:bottom w:val="nil"/>
              <w:right w:val="nil"/>
            </w:tcBorders>
            <w:noWrap/>
            <w:vAlign w:val="center"/>
            <w:hideMark/>
          </w:tcPr>
          <w:p w14:paraId="7EBD8D2A" w14:textId="77777777" w:rsidR="00BB138C" w:rsidRPr="00EF6679" w:rsidRDefault="00BB138C" w:rsidP="00820288">
            <w:pPr>
              <w:spacing w:line="240" w:lineRule="auto"/>
              <w:jc w:val="center"/>
              <w:rPr>
                <w:rFonts w:ascii="Times New Roman" w:eastAsia="Times New Roman" w:hAnsi="Times New Roman" w:cs="Times New Roman"/>
                <w:color w:val="000000" w:themeColor="text1"/>
                <w:sz w:val="13"/>
                <w:szCs w:val="13"/>
              </w:rPr>
            </w:pPr>
            <w:r w:rsidRPr="00EF6679">
              <w:rPr>
                <w:rFonts w:ascii="Times New Roman" w:eastAsia="Times New Roman" w:hAnsi="Times New Roman" w:cs="Times New Roman"/>
                <w:color w:val="000000" w:themeColor="text1"/>
                <w:sz w:val="13"/>
                <w:szCs w:val="13"/>
              </w:rPr>
              <w:t>3.32</w:t>
            </w:r>
          </w:p>
        </w:tc>
        <w:tc>
          <w:tcPr>
            <w:tcW w:w="864" w:type="dxa"/>
            <w:tcBorders>
              <w:top w:val="nil"/>
              <w:left w:val="nil"/>
              <w:bottom w:val="nil"/>
              <w:right w:val="nil"/>
            </w:tcBorders>
            <w:noWrap/>
            <w:vAlign w:val="center"/>
            <w:hideMark/>
          </w:tcPr>
          <w:p w14:paraId="48DD81C3" w14:textId="77777777" w:rsidR="00BB138C" w:rsidRPr="00EF6679" w:rsidRDefault="00BB138C" w:rsidP="00820288">
            <w:pPr>
              <w:spacing w:line="240" w:lineRule="auto"/>
              <w:jc w:val="center"/>
              <w:rPr>
                <w:rFonts w:ascii="Times New Roman" w:eastAsia="Times New Roman" w:hAnsi="Times New Roman" w:cs="Times New Roman"/>
                <w:color w:val="000000" w:themeColor="text1"/>
                <w:sz w:val="13"/>
                <w:szCs w:val="13"/>
              </w:rPr>
            </w:pPr>
            <w:r w:rsidRPr="00EF6679">
              <w:rPr>
                <w:rFonts w:ascii="Times New Roman" w:eastAsia="Times New Roman" w:hAnsi="Times New Roman" w:cs="Times New Roman"/>
                <w:color w:val="000000" w:themeColor="text1"/>
                <w:sz w:val="13"/>
                <w:szCs w:val="13"/>
              </w:rPr>
              <w:t>1.29</w:t>
            </w:r>
          </w:p>
        </w:tc>
        <w:tc>
          <w:tcPr>
            <w:tcW w:w="410" w:type="dxa"/>
            <w:tcBorders>
              <w:top w:val="nil"/>
              <w:left w:val="nil"/>
              <w:bottom w:val="nil"/>
              <w:right w:val="nil"/>
            </w:tcBorders>
            <w:noWrap/>
          </w:tcPr>
          <w:p w14:paraId="74C7F944" w14:textId="77777777" w:rsidR="00BB138C" w:rsidRPr="00EF6679" w:rsidRDefault="00BB138C" w:rsidP="00820288">
            <w:pPr>
              <w:spacing w:line="240" w:lineRule="auto"/>
              <w:jc w:val="right"/>
              <w:rPr>
                <w:rFonts w:ascii="Times New Roman" w:eastAsia="Times New Roman" w:hAnsi="Times New Roman" w:cs="Times New Roman"/>
                <w:color w:val="000000" w:themeColor="text1"/>
                <w:sz w:val="13"/>
                <w:szCs w:val="13"/>
              </w:rPr>
            </w:pPr>
          </w:p>
        </w:tc>
        <w:tc>
          <w:tcPr>
            <w:tcW w:w="864" w:type="dxa"/>
            <w:tcBorders>
              <w:top w:val="nil"/>
              <w:left w:val="nil"/>
              <w:bottom w:val="nil"/>
              <w:right w:val="nil"/>
            </w:tcBorders>
            <w:noWrap/>
            <w:vAlign w:val="center"/>
            <w:hideMark/>
          </w:tcPr>
          <w:p w14:paraId="36B2A754" w14:textId="77777777" w:rsidR="00BB138C" w:rsidRPr="00EF6679" w:rsidRDefault="00BB138C" w:rsidP="00820288">
            <w:pPr>
              <w:spacing w:line="240" w:lineRule="auto"/>
              <w:jc w:val="center"/>
              <w:rPr>
                <w:rFonts w:ascii="Times New Roman" w:eastAsia="Times New Roman" w:hAnsi="Times New Roman" w:cs="Times New Roman"/>
                <w:color w:val="000000" w:themeColor="text1"/>
                <w:sz w:val="13"/>
                <w:szCs w:val="13"/>
              </w:rPr>
            </w:pPr>
            <w:r w:rsidRPr="00EF6679">
              <w:rPr>
                <w:rFonts w:ascii="Times New Roman" w:hAnsi="Times New Roman" w:cs="Times New Roman"/>
                <w:color w:val="000000" w:themeColor="text1"/>
                <w:sz w:val="13"/>
                <w:szCs w:val="13"/>
              </w:rPr>
              <w:t>0.1943</w:t>
            </w:r>
          </w:p>
        </w:tc>
        <w:tc>
          <w:tcPr>
            <w:tcW w:w="720" w:type="dxa"/>
            <w:tcBorders>
              <w:top w:val="nil"/>
              <w:left w:val="nil"/>
              <w:bottom w:val="nil"/>
              <w:right w:val="nil"/>
            </w:tcBorders>
            <w:noWrap/>
            <w:vAlign w:val="center"/>
            <w:hideMark/>
          </w:tcPr>
          <w:p w14:paraId="7ECA24A4" w14:textId="77777777" w:rsidR="00BB138C" w:rsidRPr="00EF6679" w:rsidRDefault="00BB138C" w:rsidP="00820288">
            <w:pPr>
              <w:spacing w:line="240" w:lineRule="auto"/>
              <w:jc w:val="center"/>
              <w:rPr>
                <w:rFonts w:ascii="Times New Roman" w:eastAsia="Times New Roman" w:hAnsi="Times New Roman" w:cs="Times New Roman"/>
                <w:color w:val="000000" w:themeColor="text1"/>
                <w:sz w:val="13"/>
                <w:szCs w:val="13"/>
              </w:rPr>
            </w:pPr>
            <w:r w:rsidRPr="00EF6679">
              <w:rPr>
                <w:rFonts w:ascii="Times New Roman" w:hAnsi="Times New Roman" w:cs="Times New Roman"/>
                <w:color w:val="000000" w:themeColor="text1"/>
                <w:sz w:val="13"/>
                <w:szCs w:val="13"/>
              </w:rPr>
              <w:t>0.0003</w:t>
            </w:r>
          </w:p>
        </w:tc>
        <w:tc>
          <w:tcPr>
            <w:tcW w:w="864" w:type="dxa"/>
            <w:tcBorders>
              <w:top w:val="nil"/>
              <w:left w:val="nil"/>
              <w:bottom w:val="nil"/>
              <w:right w:val="nil"/>
            </w:tcBorders>
            <w:noWrap/>
            <w:vAlign w:val="center"/>
            <w:hideMark/>
          </w:tcPr>
          <w:p w14:paraId="2BECB3B2" w14:textId="77777777" w:rsidR="00BB138C" w:rsidRPr="00EF6679" w:rsidRDefault="00BB138C" w:rsidP="00820288">
            <w:pPr>
              <w:spacing w:line="240" w:lineRule="auto"/>
              <w:jc w:val="center"/>
              <w:rPr>
                <w:rFonts w:ascii="Times New Roman" w:eastAsia="Times New Roman" w:hAnsi="Times New Roman" w:cs="Times New Roman"/>
                <w:color w:val="000000" w:themeColor="text1"/>
                <w:sz w:val="13"/>
                <w:szCs w:val="13"/>
              </w:rPr>
            </w:pPr>
            <w:r w:rsidRPr="00EF6679">
              <w:rPr>
                <w:rFonts w:ascii="Times New Roman" w:hAnsi="Times New Roman" w:cs="Times New Roman"/>
                <w:color w:val="000000" w:themeColor="text1"/>
                <w:sz w:val="13"/>
                <w:szCs w:val="13"/>
              </w:rPr>
              <w:t>0.2340</w:t>
            </w:r>
          </w:p>
        </w:tc>
      </w:tr>
      <w:tr w:rsidR="00BB138C" w:rsidRPr="00EF6679" w14:paraId="3C77E6F1" w14:textId="77777777" w:rsidTr="00820288">
        <w:tblPrEx>
          <w:jc w:val="lef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trHeight w:val="144"/>
        </w:trPr>
        <w:tc>
          <w:tcPr>
            <w:tcW w:w="2340" w:type="dxa"/>
            <w:tcBorders>
              <w:top w:val="nil"/>
              <w:left w:val="nil"/>
              <w:bottom w:val="nil"/>
              <w:right w:val="nil"/>
            </w:tcBorders>
            <w:noWrap/>
            <w:hideMark/>
          </w:tcPr>
          <w:p w14:paraId="1E7C7544" w14:textId="77777777" w:rsidR="00BB138C" w:rsidRPr="00EF6679" w:rsidRDefault="00BB138C" w:rsidP="00820288">
            <w:pPr>
              <w:spacing w:line="240" w:lineRule="auto"/>
              <w:rPr>
                <w:rFonts w:ascii="Times New Roman" w:eastAsia="Times New Roman" w:hAnsi="Times New Roman" w:cs="Times New Roman"/>
                <w:color w:val="000000" w:themeColor="text1"/>
                <w:sz w:val="13"/>
                <w:szCs w:val="13"/>
              </w:rPr>
            </w:pPr>
            <w:r w:rsidRPr="00EF6679">
              <w:rPr>
                <w:rFonts w:ascii="Times New Roman" w:eastAsia="Times New Roman" w:hAnsi="Times New Roman" w:cs="Times New Roman"/>
                <w:color w:val="000000" w:themeColor="text1"/>
                <w:sz w:val="13"/>
                <w:szCs w:val="13"/>
              </w:rPr>
              <w:t xml:space="preserve">2-methyl Furan           </w:t>
            </w:r>
          </w:p>
        </w:tc>
        <w:tc>
          <w:tcPr>
            <w:tcW w:w="939" w:type="dxa"/>
            <w:tcBorders>
              <w:top w:val="nil"/>
              <w:left w:val="nil"/>
              <w:bottom w:val="nil"/>
              <w:right w:val="nil"/>
            </w:tcBorders>
            <w:noWrap/>
            <w:vAlign w:val="center"/>
            <w:hideMark/>
          </w:tcPr>
          <w:p w14:paraId="27AB6688" w14:textId="77777777" w:rsidR="00BB138C" w:rsidRPr="00EF6679" w:rsidRDefault="00BB138C" w:rsidP="00820288">
            <w:pPr>
              <w:spacing w:line="240" w:lineRule="auto"/>
              <w:jc w:val="center"/>
              <w:rPr>
                <w:rFonts w:ascii="Times New Roman" w:eastAsia="Times New Roman" w:hAnsi="Times New Roman" w:cs="Times New Roman"/>
                <w:color w:val="000000" w:themeColor="text1"/>
                <w:sz w:val="13"/>
                <w:szCs w:val="13"/>
              </w:rPr>
            </w:pPr>
            <w:r w:rsidRPr="00EF6679">
              <w:rPr>
                <w:rFonts w:ascii="Times New Roman" w:eastAsia="Times New Roman" w:hAnsi="Times New Roman" w:cs="Times New Roman"/>
                <w:color w:val="000000" w:themeColor="text1"/>
                <w:sz w:val="13"/>
                <w:szCs w:val="13"/>
              </w:rPr>
              <w:t>534-22-5</w:t>
            </w:r>
          </w:p>
        </w:tc>
        <w:tc>
          <w:tcPr>
            <w:tcW w:w="1152" w:type="dxa"/>
            <w:tcBorders>
              <w:top w:val="nil"/>
              <w:left w:val="nil"/>
              <w:bottom w:val="nil"/>
              <w:right w:val="nil"/>
            </w:tcBorders>
            <w:noWrap/>
            <w:vAlign w:val="center"/>
            <w:hideMark/>
          </w:tcPr>
          <w:p w14:paraId="7589250D" w14:textId="77777777" w:rsidR="00BB138C" w:rsidRPr="00EF6679" w:rsidRDefault="00BB138C" w:rsidP="00820288">
            <w:pPr>
              <w:spacing w:line="240" w:lineRule="auto"/>
              <w:jc w:val="center"/>
              <w:rPr>
                <w:rFonts w:ascii="Times New Roman" w:eastAsia="Times New Roman" w:hAnsi="Times New Roman" w:cs="Times New Roman"/>
                <w:color w:val="000000" w:themeColor="text1"/>
                <w:sz w:val="13"/>
                <w:szCs w:val="13"/>
              </w:rPr>
            </w:pPr>
            <w:r w:rsidRPr="00EF6679">
              <w:rPr>
                <w:rFonts w:ascii="Times New Roman" w:eastAsia="Times New Roman" w:hAnsi="Times New Roman" w:cs="Times New Roman"/>
                <w:color w:val="000000" w:themeColor="text1"/>
                <w:sz w:val="13"/>
                <w:szCs w:val="13"/>
              </w:rPr>
              <w:t>2.834</w:t>
            </w:r>
          </w:p>
        </w:tc>
        <w:tc>
          <w:tcPr>
            <w:tcW w:w="864" w:type="dxa"/>
            <w:tcBorders>
              <w:top w:val="nil"/>
              <w:left w:val="nil"/>
              <w:bottom w:val="nil"/>
              <w:right w:val="nil"/>
            </w:tcBorders>
            <w:noWrap/>
            <w:vAlign w:val="center"/>
            <w:hideMark/>
          </w:tcPr>
          <w:p w14:paraId="295F6606" w14:textId="77777777" w:rsidR="00BB138C" w:rsidRPr="00EF6679" w:rsidRDefault="00BB138C" w:rsidP="00820288">
            <w:pPr>
              <w:spacing w:line="240" w:lineRule="auto"/>
              <w:jc w:val="center"/>
              <w:rPr>
                <w:rFonts w:ascii="Times New Roman" w:eastAsia="Times New Roman" w:hAnsi="Times New Roman" w:cs="Times New Roman"/>
                <w:color w:val="000000" w:themeColor="text1"/>
                <w:sz w:val="13"/>
                <w:szCs w:val="13"/>
              </w:rPr>
            </w:pPr>
            <w:r w:rsidRPr="00EF6679">
              <w:rPr>
                <w:rFonts w:ascii="Times New Roman" w:eastAsia="Times New Roman" w:hAnsi="Times New Roman" w:cs="Times New Roman"/>
                <w:color w:val="000000" w:themeColor="text1"/>
                <w:sz w:val="13"/>
                <w:szCs w:val="13"/>
              </w:rPr>
              <w:t>n.d.</w:t>
            </w:r>
          </w:p>
        </w:tc>
        <w:tc>
          <w:tcPr>
            <w:tcW w:w="720" w:type="dxa"/>
            <w:tcBorders>
              <w:top w:val="nil"/>
              <w:left w:val="nil"/>
              <w:bottom w:val="nil"/>
              <w:right w:val="nil"/>
            </w:tcBorders>
            <w:noWrap/>
            <w:vAlign w:val="center"/>
            <w:hideMark/>
          </w:tcPr>
          <w:p w14:paraId="4BD9C939" w14:textId="77777777" w:rsidR="00BB138C" w:rsidRPr="00EF6679" w:rsidRDefault="00BB138C" w:rsidP="00820288">
            <w:pPr>
              <w:spacing w:line="240" w:lineRule="auto"/>
              <w:jc w:val="center"/>
              <w:rPr>
                <w:rFonts w:ascii="Times New Roman" w:eastAsia="Times New Roman" w:hAnsi="Times New Roman" w:cs="Times New Roman"/>
                <w:color w:val="000000" w:themeColor="text1"/>
                <w:sz w:val="13"/>
                <w:szCs w:val="13"/>
              </w:rPr>
            </w:pPr>
            <w:r w:rsidRPr="00EF6679">
              <w:rPr>
                <w:rFonts w:ascii="Times New Roman" w:eastAsia="Times New Roman" w:hAnsi="Times New Roman" w:cs="Times New Roman"/>
                <w:color w:val="000000" w:themeColor="text1"/>
                <w:sz w:val="13"/>
                <w:szCs w:val="13"/>
              </w:rPr>
              <w:t>n.d.</w:t>
            </w:r>
          </w:p>
        </w:tc>
        <w:tc>
          <w:tcPr>
            <w:tcW w:w="864" w:type="dxa"/>
            <w:tcBorders>
              <w:top w:val="nil"/>
              <w:left w:val="nil"/>
              <w:bottom w:val="nil"/>
              <w:right w:val="nil"/>
            </w:tcBorders>
            <w:noWrap/>
            <w:vAlign w:val="center"/>
            <w:hideMark/>
          </w:tcPr>
          <w:p w14:paraId="7D096FC3" w14:textId="77777777" w:rsidR="00BB138C" w:rsidRPr="00EF6679" w:rsidRDefault="00BB138C" w:rsidP="00820288">
            <w:pPr>
              <w:spacing w:line="240" w:lineRule="auto"/>
              <w:jc w:val="center"/>
              <w:rPr>
                <w:rFonts w:ascii="Times New Roman" w:eastAsia="Times New Roman" w:hAnsi="Times New Roman" w:cs="Times New Roman"/>
                <w:color w:val="000000" w:themeColor="text1"/>
                <w:sz w:val="13"/>
                <w:szCs w:val="13"/>
              </w:rPr>
            </w:pPr>
            <w:r w:rsidRPr="00EF6679">
              <w:rPr>
                <w:rFonts w:ascii="Times New Roman" w:eastAsia="Times New Roman" w:hAnsi="Times New Roman" w:cs="Times New Roman"/>
                <w:color w:val="000000" w:themeColor="text1"/>
                <w:sz w:val="13"/>
                <w:szCs w:val="13"/>
              </w:rPr>
              <w:t>n.d.</w:t>
            </w:r>
          </w:p>
        </w:tc>
        <w:tc>
          <w:tcPr>
            <w:tcW w:w="410" w:type="dxa"/>
            <w:tcBorders>
              <w:top w:val="nil"/>
              <w:left w:val="nil"/>
              <w:bottom w:val="nil"/>
              <w:right w:val="nil"/>
            </w:tcBorders>
            <w:noWrap/>
          </w:tcPr>
          <w:p w14:paraId="6E1186CB" w14:textId="77777777" w:rsidR="00BB138C" w:rsidRPr="00EF6679" w:rsidRDefault="00BB138C" w:rsidP="00820288">
            <w:pPr>
              <w:spacing w:line="240" w:lineRule="auto"/>
              <w:jc w:val="right"/>
              <w:rPr>
                <w:rFonts w:ascii="Times New Roman" w:eastAsia="Times New Roman" w:hAnsi="Times New Roman" w:cs="Times New Roman"/>
                <w:color w:val="000000" w:themeColor="text1"/>
                <w:sz w:val="13"/>
                <w:szCs w:val="13"/>
              </w:rPr>
            </w:pPr>
          </w:p>
        </w:tc>
        <w:tc>
          <w:tcPr>
            <w:tcW w:w="864" w:type="dxa"/>
            <w:tcBorders>
              <w:top w:val="nil"/>
              <w:left w:val="nil"/>
              <w:bottom w:val="nil"/>
              <w:right w:val="nil"/>
            </w:tcBorders>
            <w:noWrap/>
            <w:vAlign w:val="bottom"/>
            <w:hideMark/>
          </w:tcPr>
          <w:p w14:paraId="316D1CCC" w14:textId="77777777" w:rsidR="00BB138C" w:rsidRPr="00EF6679" w:rsidRDefault="00BB138C" w:rsidP="00820288">
            <w:pPr>
              <w:spacing w:line="240" w:lineRule="auto"/>
              <w:jc w:val="center"/>
              <w:rPr>
                <w:rFonts w:ascii="Times New Roman" w:eastAsia="Times New Roman" w:hAnsi="Times New Roman" w:cs="Times New Roman"/>
                <w:color w:val="000000" w:themeColor="text1"/>
                <w:sz w:val="13"/>
                <w:szCs w:val="13"/>
              </w:rPr>
            </w:pPr>
            <w:r w:rsidRPr="00EF6679">
              <w:rPr>
                <w:rFonts w:ascii="Times New Roman" w:hAnsi="Times New Roman" w:cs="Times New Roman"/>
                <w:color w:val="000000" w:themeColor="text1"/>
                <w:sz w:val="13"/>
                <w:szCs w:val="13"/>
              </w:rPr>
              <w:t>0.0040</w:t>
            </w:r>
          </w:p>
        </w:tc>
        <w:tc>
          <w:tcPr>
            <w:tcW w:w="720" w:type="dxa"/>
            <w:tcBorders>
              <w:top w:val="nil"/>
              <w:left w:val="nil"/>
              <w:bottom w:val="nil"/>
              <w:right w:val="nil"/>
            </w:tcBorders>
            <w:noWrap/>
            <w:vAlign w:val="bottom"/>
            <w:hideMark/>
          </w:tcPr>
          <w:p w14:paraId="41F68C1C" w14:textId="77777777" w:rsidR="00BB138C" w:rsidRPr="00EF6679" w:rsidRDefault="00BB138C" w:rsidP="00820288">
            <w:pPr>
              <w:spacing w:line="240" w:lineRule="auto"/>
              <w:jc w:val="center"/>
              <w:rPr>
                <w:rFonts w:ascii="Times New Roman" w:eastAsia="Times New Roman" w:hAnsi="Times New Roman" w:cs="Times New Roman"/>
                <w:color w:val="000000" w:themeColor="text1"/>
                <w:sz w:val="13"/>
                <w:szCs w:val="13"/>
              </w:rPr>
            </w:pPr>
            <w:r w:rsidRPr="00EF6679">
              <w:rPr>
                <w:rFonts w:ascii="Times New Roman" w:hAnsi="Times New Roman" w:cs="Times New Roman"/>
                <w:color w:val="000000" w:themeColor="text1"/>
                <w:sz w:val="13"/>
                <w:szCs w:val="13"/>
              </w:rPr>
              <w:t>0.2561</w:t>
            </w:r>
          </w:p>
        </w:tc>
        <w:tc>
          <w:tcPr>
            <w:tcW w:w="864" w:type="dxa"/>
            <w:tcBorders>
              <w:top w:val="nil"/>
              <w:left w:val="nil"/>
              <w:bottom w:val="nil"/>
              <w:right w:val="nil"/>
            </w:tcBorders>
            <w:noWrap/>
            <w:vAlign w:val="bottom"/>
            <w:hideMark/>
          </w:tcPr>
          <w:p w14:paraId="2A69EB62" w14:textId="77777777" w:rsidR="00BB138C" w:rsidRPr="00EF6679" w:rsidRDefault="00BB138C" w:rsidP="00820288">
            <w:pPr>
              <w:spacing w:line="240" w:lineRule="auto"/>
              <w:jc w:val="center"/>
              <w:rPr>
                <w:rFonts w:ascii="Times New Roman" w:eastAsia="Times New Roman" w:hAnsi="Times New Roman" w:cs="Times New Roman"/>
                <w:color w:val="000000" w:themeColor="text1"/>
                <w:sz w:val="13"/>
                <w:szCs w:val="13"/>
              </w:rPr>
            </w:pPr>
            <w:r w:rsidRPr="00EF6679">
              <w:rPr>
                <w:rFonts w:ascii="Times New Roman" w:hAnsi="Times New Roman" w:cs="Times New Roman"/>
                <w:color w:val="000000" w:themeColor="text1"/>
                <w:sz w:val="13"/>
                <w:szCs w:val="13"/>
              </w:rPr>
              <w:t>0.3844</w:t>
            </w:r>
          </w:p>
        </w:tc>
      </w:tr>
      <w:tr w:rsidR="00BB138C" w:rsidRPr="00EF6679" w14:paraId="0E6C3BB6" w14:textId="77777777" w:rsidTr="00820288">
        <w:tblPrEx>
          <w:jc w:val="lef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trHeight w:val="144"/>
        </w:trPr>
        <w:tc>
          <w:tcPr>
            <w:tcW w:w="2340" w:type="dxa"/>
            <w:tcBorders>
              <w:top w:val="nil"/>
              <w:left w:val="nil"/>
              <w:bottom w:val="nil"/>
              <w:right w:val="nil"/>
            </w:tcBorders>
            <w:noWrap/>
            <w:hideMark/>
          </w:tcPr>
          <w:p w14:paraId="5EE38B4F" w14:textId="77777777" w:rsidR="00BB138C" w:rsidRPr="00EF6679" w:rsidRDefault="00BB138C" w:rsidP="00820288">
            <w:pPr>
              <w:spacing w:line="240" w:lineRule="auto"/>
              <w:rPr>
                <w:rFonts w:ascii="Times New Roman" w:eastAsia="Times New Roman" w:hAnsi="Times New Roman" w:cs="Times New Roman"/>
                <w:color w:val="000000" w:themeColor="text1"/>
                <w:sz w:val="13"/>
                <w:szCs w:val="13"/>
              </w:rPr>
            </w:pPr>
            <w:r w:rsidRPr="00EF6679">
              <w:rPr>
                <w:rFonts w:ascii="Times New Roman" w:eastAsia="Times New Roman" w:hAnsi="Times New Roman" w:cs="Times New Roman"/>
                <w:color w:val="000000" w:themeColor="text1"/>
                <w:sz w:val="13"/>
                <w:szCs w:val="13"/>
              </w:rPr>
              <w:t xml:space="preserve">2-ethyl-Furan            </w:t>
            </w:r>
          </w:p>
        </w:tc>
        <w:tc>
          <w:tcPr>
            <w:tcW w:w="939" w:type="dxa"/>
            <w:tcBorders>
              <w:top w:val="nil"/>
              <w:left w:val="nil"/>
              <w:bottom w:val="nil"/>
              <w:right w:val="nil"/>
            </w:tcBorders>
            <w:noWrap/>
            <w:vAlign w:val="center"/>
            <w:hideMark/>
          </w:tcPr>
          <w:p w14:paraId="5A6434C8" w14:textId="77777777" w:rsidR="00BB138C" w:rsidRPr="00EF6679" w:rsidRDefault="00BB138C" w:rsidP="00820288">
            <w:pPr>
              <w:spacing w:line="240" w:lineRule="auto"/>
              <w:jc w:val="center"/>
              <w:rPr>
                <w:rFonts w:ascii="Times New Roman" w:eastAsia="Times New Roman" w:hAnsi="Times New Roman" w:cs="Times New Roman"/>
                <w:color w:val="000000" w:themeColor="text1"/>
                <w:sz w:val="13"/>
                <w:szCs w:val="13"/>
              </w:rPr>
            </w:pPr>
            <w:r w:rsidRPr="00EF6679">
              <w:rPr>
                <w:rFonts w:ascii="Times New Roman" w:eastAsia="Times New Roman" w:hAnsi="Times New Roman" w:cs="Times New Roman"/>
                <w:color w:val="000000" w:themeColor="text1"/>
                <w:sz w:val="13"/>
                <w:szCs w:val="13"/>
              </w:rPr>
              <w:t>3208-16-0</w:t>
            </w:r>
          </w:p>
        </w:tc>
        <w:tc>
          <w:tcPr>
            <w:tcW w:w="1152" w:type="dxa"/>
            <w:tcBorders>
              <w:top w:val="nil"/>
              <w:left w:val="nil"/>
              <w:bottom w:val="nil"/>
              <w:right w:val="nil"/>
            </w:tcBorders>
            <w:noWrap/>
            <w:vAlign w:val="center"/>
            <w:hideMark/>
          </w:tcPr>
          <w:p w14:paraId="5149C9C0" w14:textId="77777777" w:rsidR="00BB138C" w:rsidRPr="00EF6679" w:rsidRDefault="00BB138C" w:rsidP="00820288">
            <w:pPr>
              <w:spacing w:line="240" w:lineRule="auto"/>
              <w:jc w:val="center"/>
              <w:rPr>
                <w:rFonts w:ascii="Times New Roman" w:eastAsia="Times New Roman" w:hAnsi="Times New Roman" w:cs="Times New Roman"/>
                <w:color w:val="000000" w:themeColor="text1"/>
                <w:sz w:val="13"/>
                <w:szCs w:val="13"/>
              </w:rPr>
            </w:pPr>
            <w:r w:rsidRPr="00EF6679">
              <w:rPr>
                <w:rFonts w:ascii="Times New Roman" w:eastAsia="Times New Roman" w:hAnsi="Times New Roman" w:cs="Times New Roman"/>
                <w:color w:val="000000" w:themeColor="text1"/>
                <w:sz w:val="13"/>
                <w:szCs w:val="13"/>
              </w:rPr>
              <w:t>3.840</w:t>
            </w:r>
          </w:p>
        </w:tc>
        <w:tc>
          <w:tcPr>
            <w:tcW w:w="864" w:type="dxa"/>
            <w:tcBorders>
              <w:top w:val="nil"/>
              <w:left w:val="nil"/>
              <w:bottom w:val="nil"/>
              <w:right w:val="nil"/>
            </w:tcBorders>
            <w:noWrap/>
            <w:vAlign w:val="center"/>
            <w:hideMark/>
          </w:tcPr>
          <w:p w14:paraId="16CDB693" w14:textId="77777777" w:rsidR="00BB138C" w:rsidRPr="00EF6679" w:rsidRDefault="00BB138C" w:rsidP="00820288">
            <w:pPr>
              <w:spacing w:line="240" w:lineRule="auto"/>
              <w:jc w:val="center"/>
              <w:rPr>
                <w:rFonts w:ascii="Times New Roman" w:eastAsia="Times New Roman" w:hAnsi="Times New Roman" w:cs="Times New Roman"/>
                <w:color w:val="000000" w:themeColor="text1"/>
                <w:sz w:val="13"/>
                <w:szCs w:val="13"/>
              </w:rPr>
            </w:pPr>
            <w:r w:rsidRPr="00EF6679">
              <w:rPr>
                <w:rFonts w:ascii="Times New Roman" w:eastAsia="Times New Roman" w:hAnsi="Times New Roman" w:cs="Times New Roman"/>
                <w:color w:val="000000" w:themeColor="text1"/>
                <w:sz w:val="13"/>
                <w:szCs w:val="13"/>
              </w:rPr>
              <w:t>8.46</w:t>
            </w:r>
          </w:p>
        </w:tc>
        <w:tc>
          <w:tcPr>
            <w:tcW w:w="720" w:type="dxa"/>
            <w:tcBorders>
              <w:top w:val="nil"/>
              <w:left w:val="nil"/>
              <w:bottom w:val="nil"/>
              <w:right w:val="nil"/>
            </w:tcBorders>
            <w:noWrap/>
            <w:vAlign w:val="center"/>
            <w:hideMark/>
          </w:tcPr>
          <w:p w14:paraId="6CE1E77D" w14:textId="77777777" w:rsidR="00BB138C" w:rsidRPr="00EF6679" w:rsidRDefault="00BB138C" w:rsidP="00820288">
            <w:pPr>
              <w:spacing w:line="240" w:lineRule="auto"/>
              <w:jc w:val="center"/>
              <w:rPr>
                <w:rFonts w:ascii="Times New Roman" w:eastAsia="Times New Roman" w:hAnsi="Times New Roman" w:cs="Times New Roman"/>
                <w:color w:val="000000" w:themeColor="text1"/>
                <w:sz w:val="13"/>
                <w:szCs w:val="13"/>
              </w:rPr>
            </w:pPr>
            <w:r w:rsidRPr="00EF6679">
              <w:rPr>
                <w:rFonts w:ascii="Times New Roman" w:eastAsia="Times New Roman" w:hAnsi="Times New Roman" w:cs="Times New Roman"/>
                <w:color w:val="000000" w:themeColor="text1"/>
                <w:sz w:val="13"/>
                <w:szCs w:val="13"/>
              </w:rPr>
              <w:t>1.25</w:t>
            </w:r>
          </w:p>
        </w:tc>
        <w:tc>
          <w:tcPr>
            <w:tcW w:w="864" w:type="dxa"/>
            <w:tcBorders>
              <w:top w:val="nil"/>
              <w:left w:val="nil"/>
              <w:bottom w:val="nil"/>
              <w:right w:val="nil"/>
            </w:tcBorders>
            <w:noWrap/>
            <w:vAlign w:val="center"/>
            <w:hideMark/>
          </w:tcPr>
          <w:p w14:paraId="317A8831" w14:textId="77777777" w:rsidR="00BB138C" w:rsidRPr="00EF6679" w:rsidRDefault="00BB138C" w:rsidP="00820288">
            <w:pPr>
              <w:spacing w:line="240" w:lineRule="auto"/>
              <w:jc w:val="center"/>
              <w:rPr>
                <w:rFonts w:ascii="Times New Roman" w:eastAsia="Times New Roman" w:hAnsi="Times New Roman" w:cs="Times New Roman"/>
                <w:color w:val="000000" w:themeColor="text1"/>
                <w:sz w:val="13"/>
                <w:szCs w:val="13"/>
              </w:rPr>
            </w:pPr>
            <w:r w:rsidRPr="00EF6679">
              <w:rPr>
                <w:rFonts w:ascii="Times New Roman" w:eastAsia="Times New Roman" w:hAnsi="Times New Roman" w:cs="Times New Roman"/>
                <w:color w:val="000000" w:themeColor="text1"/>
                <w:sz w:val="13"/>
                <w:szCs w:val="13"/>
              </w:rPr>
              <w:t>1.07</w:t>
            </w:r>
          </w:p>
        </w:tc>
        <w:tc>
          <w:tcPr>
            <w:tcW w:w="410" w:type="dxa"/>
            <w:tcBorders>
              <w:top w:val="nil"/>
              <w:left w:val="nil"/>
              <w:bottom w:val="nil"/>
              <w:right w:val="nil"/>
            </w:tcBorders>
            <w:noWrap/>
          </w:tcPr>
          <w:p w14:paraId="44C79B4A" w14:textId="77777777" w:rsidR="00BB138C" w:rsidRPr="00EF6679" w:rsidRDefault="00BB138C" w:rsidP="00820288">
            <w:pPr>
              <w:spacing w:line="240" w:lineRule="auto"/>
              <w:jc w:val="right"/>
              <w:rPr>
                <w:rFonts w:ascii="Times New Roman" w:eastAsia="Times New Roman" w:hAnsi="Times New Roman" w:cs="Times New Roman"/>
                <w:color w:val="000000" w:themeColor="text1"/>
                <w:sz w:val="13"/>
                <w:szCs w:val="13"/>
              </w:rPr>
            </w:pPr>
          </w:p>
        </w:tc>
        <w:tc>
          <w:tcPr>
            <w:tcW w:w="864" w:type="dxa"/>
            <w:tcBorders>
              <w:top w:val="nil"/>
              <w:left w:val="nil"/>
              <w:bottom w:val="nil"/>
              <w:right w:val="nil"/>
            </w:tcBorders>
            <w:noWrap/>
            <w:vAlign w:val="center"/>
            <w:hideMark/>
          </w:tcPr>
          <w:p w14:paraId="389D3768" w14:textId="77777777" w:rsidR="00BB138C" w:rsidRPr="00EF6679" w:rsidRDefault="00BB138C" w:rsidP="00820288">
            <w:pPr>
              <w:spacing w:line="240" w:lineRule="auto"/>
              <w:jc w:val="center"/>
              <w:rPr>
                <w:rFonts w:ascii="Times New Roman" w:eastAsia="Times New Roman" w:hAnsi="Times New Roman" w:cs="Times New Roman"/>
                <w:color w:val="000000" w:themeColor="text1"/>
                <w:sz w:val="13"/>
                <w:szCs w:val="13"/>
              </w:rPr>
            </w:pPr>
            <w:r w:rsidRPr="00EF6679">
              <w:rPr>
                <w:rFonts w:ascii="Times New Roman" w:hAnsi="Times New Roman" w:cs="Times New Roman"/>
                <w:color w:val="000000" w:themeColor="text1"/>
                <w:sz w:val="13"/>
                <w:szCs w:val="13"/>
              </w:rPr>
              <w:t>0.0040</w:t>
            </w:r>
          </w:p>
        </w:tc>
        <w:tc>
          <w:tcPr>
            <w:tcW w:w="720" w:type="dxa"/>
            <w:tcBorders>
              <w:top w:val="nil"/>
              <w:left w:val="nil"/>
              <w:bottom w:val="nil"/>
              <w:right w:val="nil"/>
            </w:tcBorders>
            <w:noWrap/>
            <w:vAlign w:val="center"/>
            <w:hideMark/>
          </w:tcPr>
          <w:p w14:paraId="02635C3D" w14:textId="77777777" w:rsidR="00BB138C" w:rsidRPr="00EF6679" w:rsidRDefault="00BB138C" w:rsidP="00820288">
            <w:pPr>
              <w:spacing w:line="240" w:lineRule="auto"/>
              <w:jc w:val="center"/>
              <w:rPr>
                <w:rFonts w:ascii="Times New Roman" w:eastAsia="Times New Roman" w:hAnsi="Times New Roman" w:cs="Times New Roman"/>
                <w:color w:val="000000" w:themeColor="text1"/>
                <w:sz w:val="13"/>
                <w:szCs w:val="13"/>
              </w:rPr>
            </w:pPr>
            <w:r w:rsidRPr="00EF6679">
              <w:rPr>
                <w:rFonts w:ascii="Times New Roman" w:hAnsi="Times New Roman" w:cs="Times New Roman"/>
                <w:color w:val="000000" w:themeColor="text1"/>
                <w:sz w:val="13"/>
                <w:szCs w:val="13"/>
              </w:rPr>
              <w:t>0.2561</w:t>
            </w:r>
          </w:p>
        </w:tc>
        <w:tc>
          <w:tcPr>
            <w:tcW w:w="864" w:type="dxa"/>
            <w:tcBorders>
              <w:top w:val="nil"/>
              <w:left w:val="nil"/>
              <w:bottom w:val="nil"/>
              <w:right w:val="nil"/>
            </w:tcBorders>
            <w:noWrap/>
            <w:vAlign w:val="center"/>
            <w:hideMark/>
          </w:tcPr>
          <w:p w14:paraId="38D64044" w14:textId="77777777" w:rsidR="00BB138C" w:rsidRPr="00EF6679" w:rsidRDefault="00BB138C" w:rsidP="00820288">
            <w:pPr>
              <w:spacing w:line="240" w:lineRule="auto"/>
              <w:jc w:val="center"/>
              <w:rPr>
                <w:rFonts w:ascii="Times New Roman" w:eastAsia="Times New Roman" w:hAnsi="Times New Roman" w:cs="Times New Roman"/>
                <w:color w:val="000000" w:themeColor="text1"/>
                <w:sz w:val="13"/>
                <w:szCs w:val="13"/>
              </w:rPr>
            </w:pPr>
            <w:r w:rsidRPr="00EF6679">
              <w:rPr>
                <w:rFonts w:ascii="Times New Roman" w:hAnsi="Times New Roman" w:cs="Times New Roman"/>
                <w:color w:val="000000" w:themeColor="text1"/>
                <w:sz w:val="13"/>
                <w:szCs w:val="13"/>
              </w:rPr>
              <w:t>0.3844</w:t>
            </w:r>
          </w:p>
        </w:tc>
      </w:tr>
      <w:tr w:rsidR="00BB138C" w:rsidRPr="00EF6679" w14:paraId="0842D56B" w14:textId="77777777" w:rsidTr="00820288">
        <w:tblPrEx>
          <w:jc w:val="lef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trHeight w:val="144"/>
        </w:trPr>
        <w:tc>
          <w:tcPr>
            <w:tcW w:w="2340" w:type="dxa"/>
            <w:tcBorders>
              <w:top w:val="nil"/>
              <w:left w:val="nil"/>
              <w:bottom w:val="nil"/>
              <w:right w:val="nil"/>
            </w:tcBorders>
            <w:noWrap/>
            <w:hideMark/>
          </w:tcPr>
          <w:p w14:paraId="693B78C6" w14:textId="77777777" w:rsidR="00BB138C" w:rsidRPr="00EF6679" w:rsidRDefault="00BB138C" w:rsidP="00820288">
            <w:pPr>
              <w:spacing w:line="240" w:lineRule="auto"/>
              <w:rPr>
                <w:rFonts w:ascii="Times New Roman" w:eastAsia="Times New Roman" w:hAnsi="Times New Roman" w:cs="Times New Roman"/>
                <w:color w:val="000000" w:themeColor="text1"/>
                <w:sz w:val="13"/>
                <w:szCs w:val="13"/>
              </w:rPr>
            </w:pPr>
            <w:r w:rsidRPr="00EF6679">
              <w:rPr>
                <w:rFonts w:ascii="Times New Roman" w:eastAsia="Times New Roman" w:hAnsi="Times New Roman" w:cs="Times New Roman"/>
                <w:color w:val="000000" w:themeColor="text1"/>
                <w:sz w:val="13"/>
                <w:szCs w:val="13"/>
              </w:rPr>
              <w:t>(Z)-2-Penten-1-ol</w:t>
            </w:r>
          </w:p>
        </w:tc>
        <w:tc>
          <w:tcPr>
            <w:tcW w:w="939" w:type="dxa"/>
            <w:tcBorders>
              <w:top w:val="nil"/>
              <w:left w:val="nil"/>
              <w:bottom w:val="nil"/>
              <w:right w:val="nil"/>
            </w:tcBorders>
            <w:noWrap/>
            <w:vAlign w:val="center"/>
            <w:hideMark/>
          </w:tcPr>
          <w:p w14:paraId="299544F5" w14:textId="77777777" w:rsidR="00BB138C" w:rsidRPr="00EF6679" w:rsidRDefault="00BB138C" w:rsidP="00820288">
            <w:pPr>
              <w:spacing w:line="240" w:lineRule="auto"/>
              <w:jc w:val="center"/>
              <w:rPr>
                <w:rFonts w:ascii="Times New Roman" w:eastAsia="Times New Roman" w:hAnsi="Times New Roman" w:cs="Times New Roman"/>
                <w:color w:val="000000" w:themeColor="text1"/>
                <w:sz w:val="13"/>
                <w:szCs w:val="13"/>
              </w:rPr>
            </w:pPr>
            <w:r w:rsidRPr="00EF6679">
              <w:rPr>
                <w:rFonts w:ascii="Times New Roman" w:eastAsia="Times New Roman" w:hAnsi="Times New Roman" w:cs="Times New Roman"/>
                <w:color w:val="000000" w:themeColor="text1"/>
                <w:sz w:val="13"/>
                <w:szCs w:val="13"/>
              </w:rPr>
              <w:t>1576–95–0</w:t>
            </w:r>
          </w:p>
        </w:tc>
        <w:tc>
          <w:tcPr>
            <w:tcW w:w="1152" w:type="dxa"/>
            <w:tcBorders>
              <w:top w:val="nil"/>
              <w:left w:val="nil"/>
              <w:bottom w:val="nil"/>
              <w:right w:val="nil"/>
            </w:tcBorders>
            <w:noWrap/>
            <w:vAlign w:val="center"/>
            <w:hideMark/>
          </w:tcPr>
          <w:p w14:paraId="5E833C99" w14:textId="77777777" w:rsidR="00BB138C" w:rsidRPr="00EF6679" w:rsidRDefault="00BB138C" w:rsidP="00820288">
            <w:pPr>
              <w:spacing w:line="240" w:lineRule="auto"/>
              <w:jc w:val="center"/>
              <w:rPr>
                <w:rFonts w:ascii="Times New Roman" w:eastAsia="Times New Roman" w:hAnsi="Times New Roman" w:cs="Times New Roman"/>
                <w:color w:val="000000" w:themeColor="text1"/>
                <w:sz w:val="13"/>
                <w:szCs w:val="13"/>
              </w:rPr>
            </w:pPr>
            <w:r w:rsidRPr="00EF6679">
              <w:rPr>
                <w:rFonts w:ascii="Times New Roman" w:eastAsia="Times New Roman" w:hAnsi="Times New Roman" w:cs="Times New Roman"/>
                <w:color w:val="000000" w:themeColor="text1"/>
                <w:sz w:val="13"/>
                <w:szCs w:val="13"/>
              </w:rPr>
              <w:t>4.488</w:t>
            </w:r>
          </w:p>
        </w:tc>
        <w:tc>
          <w:tcPr>
            <w:tcW w:w="864" w:type="dxa"/>
            <w:tcBorders>
              <w:top w:val="nil"/>
              <w:left w:val="nil"/>
              <w:bottom w:val="nil"/>
              <w:right w:val="nil"/>
            </w:tcBorders>
            <w:noWrap/>
            <w:vAlign w:val="center"/>
            <w:hideMark/>
          </w:tcPr>
          <w:p w14:paraId="6BB8B25D" w14:textId="77777777" w:rsidR="00BB138C" w:rsidRPr="00EF6679" w:rsidRDefault="00BB138C" w:rsidP="00820288">
            <w:pPr>
              <w:spacing w:line="240" w:lineRule="auto"/>
              <w:jc w:val="center"/>
              <w:rPr>
                <w:rFonts w:ascii="Times New Roman" w:eastAsia="Times New Roman" w:hAnsi="Times New Roman" w:cs="Times New Roman"/>
                <w:color w:val="000000" w:themeColor="text1"/>
                <w:sz w:val="13"/>
                <w:szCs w:val="13"/>
              </w:rPr>
            </w:pPr>
            <w:r w:rsidRPr="00EF6679">
              <w:rPr>
                <w:rFonts w:ascii="Times New Roman" w:eastAsia="Times New Roman" w:hAnsi="Times New Roman" w:cs="Times New Roman"/>
                <w:color w:val="000000" w:themeColor="text1"/>
                <w:sz w:val="13"/>
                <w:szCs w:val="13"/>
              </w:rPr>
              <w:t>n.d.</w:t>
            </w:r>
          </w:p>
        </w:tc>
        <w:tc>
          <w:tcPr>
            <w:tcW w:w="720" w:type="dxa"/>
            <w:tcBorders>
              <w:top w:val="nil"/>
              <w:left w:val="nil"/>
              <w:bottom w:val="nil"/>
              <w:right w:val="nil"/>
            </w:tcBorders>
            <w:noWrap/>
            <w:vAlign w:val="center"/>
            <w:hideMark/>
          </w:tcPr>
          <w:p w14:paraId="279F927F" w14:textId="77777777" w:rsidR="00BB138C" w:rsidRPr="00EF6679" w:rsidRDefault="00BB138C" w:rsidP="00820288">
            <w:pPr>
              <w:spacing w:line="240" w:lineRule="auto"/>
              <w:jc w:val="center"/>
              <w:rPr>
                <w:rFonts w:ascii="Times New Roman" w:eastAsia="Times New Roman" w:hAnsi="Times New Roman" w:cs="Times New Roman"/>
                <w:color w:val="000000" w:themeColor="text1"/>
                <w:sz w:val="13"/>
                <w:szCs w:val="13"/>
              </w:rPr>
            </w:pPr>
            <w:r w:rsidRPr="00EF6679">
              <w:rPr>
                <w:rFonts w:ascii="Times New Roman" w:eastAsia="Times New Roman" w:hAnsi="Times New Roman" w:cs="Times New Roman"/>
                <w:color w:val="000000" w:themeColor="text1"/>
                <w:sz w:val="13"/>
                <w:szCs w:val="13"/>
              </w:rPr>
              <w:t>n.d.</w:t>
            </w:r>
          </w:p>
        </w:tc>
        <w:tc>
          <w:tcPr>
            <w:tcW w:w="864" w:type="dxa"/>
            <w:tcBorders>
              <w:top w:val="nil"/>
              <w:left w:val="nil"/>
              <w:bottom w:val="nil"/>
              <w:right w:val="nil"/>
            </w:tcBorders>
            <w:noWrap/>
            <w:vAlign w:val="center"/>
            <w:hideMark/>
          </w:tcPr>
          <w:p w14:paraId="2FC3DD97" w14:textId="77777777" w:rsidR="00BB138C" w:rsidRPr="00EF6679" w:rsidRDefault="00BB138C" w:rsidP="00820288">
            <w:pPr>
              <w:spacing w:line="240" w:lineRule="auto"/>
              <w:jc w:val="center"/>
              <w:rPr>
                <w:rFonts w:ascii="Times New Roman" w:eastAsia="Times New Roman" w:hAnsi="Times New Roman" w:cs="Times New Roman"/>
                <w:color w:val="000000" w:themeColor="text1"/>
                <w:sz w:val="13"/>
                <w:szCs w:val="13"/>
              </w:rPr>
            </w:pPr>
            <w:r w:rsidRPr="00EF6679">
              <w:rPr>
                <w:rFonts w:ascii="Times New Roman" w:eastAsia="Times New Roman" w:hAnsi="Times New Roman" w:cs="Times New Roman"/>
                <w:color w:val="000000" w:themeColor="text1"/>
                <w:sz w:val="13"/>
                <w:szCs w:val="13"/>
              </w:rPr>
              <w:t>n.d.</w:t>
            </w:r>
          </w:p>
        </w:tc>
        <w:tc>
          <w:tcPr>
            <w:tcW w:w="410" w:type="dxa"/>
            <w:tcBorders>
              <w:top w:val="nil"/>
              <w:left w:val="nil"/>
              <w:bottom w:val="nil"/>
              <w:right w:val="nil"/>
            </w:tcBorders>
            <w:noWrap/>
          </w:tcPr>
          <w:p w14:paraId="0818C054" w14:textId="77777777" w:rsidR="00BB138C" w:rsidRPr="00EF6679" w:rsidRDefault="00BB138C" w:rsidP="00820288">
            <w:pPr>
              <w:spacing w:line="240" w:lineRule="auto"/>
              <w:jc w:val="right"/>
              <w:rPr>
                <w:rFonts w:ascii="Times New Roman" w:eastAsia="Times New Roman" w:hAnsi="Times New Roman" w:cs="Times New Roman"/>
                <w:color w:val="000000" w:themeColor="text1"/>
                <w:sz w:val="13"/>
                <w:szCs w:val="13"/>
              </w:rPr>
            </w:pPr>
          </w:p>
        </w:tc>
        <w:tc>
          <w:tcPr>
            <w:tcW w:w="864" w:type="dxa"/>
            <w:tcBorders>
              <w:top w:val="nil"/>
              <w:left w:val="nil"/>
              <w:bottom w:val="nil"/>
              <w:right w:val="nil"/>
            </w:tcBorders>
            <w:noWrap/>
            <w:vAlign w:val="center"/>
            <w:hideMark/>
          </w:tcPr>
          <w:p w14:paraId="3896FB28" w14:textId="77777777" w:rsidR="00BB138C" w:rsidRPr="00EF6679" w:rsidRDefault="00BB138C" w:rsidP="00820288">
            <w:pPr>
              <w:spacing w:line="240" w:lineRule="auto"/>
              <w:jc w:val="center"/>
              <w:rPr>
                <w:rFonts w:ascii="Times New Roman" w:eastAsia="Times New Roman" w:hAnsi="Times New Roman" w:cs="Times New Roman"/>
                <w:color w:val="000000" w:themeColor="text1"/>
                <w:sz w:val="13"/>
                <w:szCs w:val="13"/>
              </w:rPr>
            </w:pPr>
            <w:r w:rsidRPr="00EF6679">
              <w:rPr>
                <w:rFonts w:ascii="Times New Roman" w:hAnsi="Times New Roman" w:cs="Times New Roman"/>
                <w:color w:val="000000" w:themeColor="text1"/>
                <w:sz w:val="13"/>
                <w:szCs w:val="13"/>
              </w:rPr>
              <w:t>n.d.</w:t>
            </w:r>
          </w:p>
        </w:tc>
        <w:tc>
          <w:tcPr>
            <w:tcW w:w="720" w:type="dxa"/>
            <w:tcBorders>
              <w:top w:val="nil"/>
              <w:left w:val="nil"/>
              <w:bottom w:val="nil"/>
              <w:right w:val="nil"/>
            </w:tcBorders>
            <w:noWrap/>
            <w:vAlign w:val="center"/>
            <w:hideMark/>
          </w:tcPr>
          <w:p w14:paraId="132E008E" w14:textId="77777777" w:rsidR="00BB138C" w:rsidRPr="00EF6679" w:rsidRDefault="00BB138C" w:rsidP="00820288">
            <w:pPr>
              <w:spacing w:line="240" w:lineRule="auto"/>
              <w:jc w:val="center"/>
              <w:rPr>
                <w:rFonts w:ascii="Times New Roman" w:eastAsia="Times New Roman" w:hAnsi="Times New Roman" w:cs="Times New Roman"/>
                <w:color w:val="000000" w:themeColor="text1"/>
                <w:sz w:val="13"/>
                <w:szCs w:val="13"/>
              </w:rPr>
            </w:pPr>
            <w:r w:rsidRPr="00EF6679">
              <w:rPr>
                <w:rFonts w:ascii="Times New Roman" w:hAnsi="Times New Roman" w:cs="Times New Roman"/>
                <w:color w:val="000000" w:themeColor="text1"/>
                <w:sz w:val="13"/>
                <w:szCs w:val="13"/>
              </w:rPr>
              <w:t>n.d.</w:t>
            </w:r>
          </w:p>
        </w:tc>
        <w:tc>
          <w:tcPr>
            <w:tcW w:w="864" w:type="dxa"/>
            <w:tcBorders>
              <w:top w:val="nil"/>
              <w:left w:val="nil"/>
              <w:bottom w:val="nil"/>
              <w:right w:val="nil"/>
            </w:tcBorders>
            <w:noWrap/>
            <w:vAlign w:val="center"/>
            <w:hideMark/>
          </w:tcPr>
          <w:p w14:paraId="66D804F3" w14:textId="77777777" w:rsidR="00BB138C" w:rsidRPr="00EF6679" w:rsidRDefault="00BB138C" w:rsidP="00820288">
            <w:pPr>
              <w:spacing w:line="240" w:lineRule="auto"/>
              <w:jc w:val="center"/>
              <w:rPr>
                <w:rFonts w:ascii="Times New Roman" w:eastAsia="Times New Roman" w:hAnsi="Times New Roman" w:cs="Times New Roman"/>
                <w:color w:val="000000" w:themeColor="text1"/>
                <w:sz w:val="13"/>
                <w:szCs w:val="13"/>
              </w:rPr>
            </w:pPr>
            <w:r w:rsidRPr="00EF6679">
              <w:rPr>
                <w:rFonts w:ascii="Times New Roman" w:hAnsi="Times New Roman" w:cs="Times New Roman"/>
                <w:color w:val="000000" w:themeColor="text1"/>
                <w:sz w:val="13"/>
                <w:szCs w:val="13"/>
              </w:rPr>
              <w:t>n.d.</w:t>
            </w:r>
          </w:p>
        </w:tc>
      </w:tr>
      <w:tr w:rsidR="00BB138C" w:rsidRPr="00EF6679" w14:paraId="139C69AA" w14:textId="77777777" w:rsidTr="00820288">
        <w:tblPrEx>
          <w:jc w:val="lef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trHeight w:val="144"/>
        </w:trPr>
        <w:tc>
          <w:tcPr>
            <w:tcW w:w="2340" w:type="dxa"/>
            <w:tcBorders>
              <w:top w:val="nil"/>
              <w:left w:val="nil"/>
              <w:bottom w:val="nil"/>
              <w:right w:val="nil"/>
            </w:tcBorders>
            <w:noWrap/>
            <w:hideMark/>
          </w:tcPr>
          <w:p w14:paraId="07021602" w14:textId="77777777" w:rsidR="00BB138C" w:rsidRPr="00EF6679" w:rsidRDefault="00BB138C" w:rsidP="00820288">
            <w:pPr>
              <w:spacing w:line="240" w:lineRule="auto"/>
              <w:rPr>
                <w:rFonts w:ascii="Times New Roman" w:eastAsia="Times New Roman" w:hAnsi="Times New Roman" w:cs="Times New Roman"/>
                <w:color w:val="000000" w:themeColor="text1"/>
                <w:sz w:val="13"/>
                <w:szCs w:val="13"/>
              </w:rPr>
            </w:pPr>
            <w:r w:rsidRPr="00EF6679">
              <w:rPr>
                <w:rFonts w:ascii="Times New Roman" w:eastAsia="Times New Roman" w:hAnsi="Times New Roman" w:cs="Times New Roman"/>
                <w:color w:val="000000" w:themeColor="text1"/>
                <w:sz w:val="13"/>
                <w:szCs w:val="13"/>
              </w:rPr>
              <w:t xml:space="preserve">Dimethyl Disulfide       </w:t>
            </w:r>
          </w:p>
        </w:tc>
        <w:tc>
          <w:tcPr>
            <w:tcW w:w="939" w:type="dxa"/>
            <w:tcBorders>
              <w:top w:val="nil"/>
              <w:left w:val="nil"/>
              <w:bottom w:val="nil"/>
              <w:right w:val="nil"/>
            </w:tcBorders>
            <w:noWrap/>
            <w:vAlign w:val="center"/>
            <w:hideMark/>
          </w:tcPr>
          <w:p w14:paraId="7612FDAD" w14:textId="77777777" w:rsidR="00BB138C" w:rsidRPr="00EF6679" w:rsidRDefault="00BB138C" w:rsidP="00820288">
            <w:pPr>
              <w:spacing w:line="240" w:lineRule="auto"/>
              <w:jc w:val="center"/>
              <w:rPr>
                <w:rFonts w:ascii="Times New Roman" w:eastAsia="Times New Roman" w:hAnsi="Times New Roman" w:cs="Times New Roman"/>
                <w:color w:val="000000" w:themeColor="text1"/>
                <w:sz w:val="13"/>
                <w:szCs w:val="13"/>
              </w:rPr>
            </w:pPr>
            <w:r w:rsidRPr="00EF6679">
              <w:rPr>
                <w:rFonts w:ascii="Times New Roman" w:eastAsia="Times New Roman" w:hAnsi="Times New Roman" w:cs="Times New Roman"/>
                <w:color w:val="000000" w:themeColor="text1"/>
                <w:sz w:val="13"/>
                <w:szCs w:val="13"/>
              </w:rPr>
              <w:t>624-92-0</w:t>
            </w:r>
          </w:p>
        </w:tc>
        <w:tc>
          <w:tcPr>
            <w:tcW w:w="1152" w:type="dxa"/>
            <w:tcBorders>
              <w:top w:val="nil"/>
              <w:left w:val="nil"/>
              <w:bottom w:val="nil"/>
              <w:right w:val="nil"/>
            </w:tcBorders>
            <w:noWrap/>
            <w:vAlign w:val="center"/>
            <w:hideMark/>
          </w:tcPr>
          <w:p w14:paraId="519AC378" w14:textId="77777777" w:rsidR="00BB138C" w:rsidRPr="00EF6679" w:rsidRDefault="00BB138C" w:rsidP="00820288">
            <w:pPr>
              <w:spacing w:line="240" w:lineRule="auto"/>
              <w:jc w:val="center"/>
              <w:rPr>
                <w:rFonts w:ascii="Times New Roman" w:eastAsia="Times New Roman" w:hAnsi="Times New Roman" w:cs="Times New Roman"/>
                <w:color w:val="000000" w:themeColor="text1"/>
                <w:sz w:val="13"/>
                <w:szCs w:val="13"/>
              </w:rPr>
            </w:pPr>
            <w:r w:rsidRPr="00EF6679">
              <w:rPr>
                <w:rFonts w:ascii="Times New Roman" w:eastAsia="Times New Roman" w:hAnsi="Times New Roman" w:cs="Times New Roman"/>
                <w:color w:val="000000" w:themeColor="text1"/>
                <w:sz w:val="13"/>
                <w:szCs w:val="13"/>
              </w:rPr>
              <w:t>4.804</w:t>
            </w:r>
          </w:p>
        </w:tc>
        <w:tc>
          <w:tcPr>
            <w:tcW w:w="864" w:type="dxa"/>
            <w:tcBorders>
              <w:top w:val="nil"/>
              <w:left w:val="nil"/>
              <w:bottom w:val="nil"/>
              <w:right w:val="nil"/>
            </w:tcBorders>
            <w:noWrap/>
            <w:vAlign w:val="center"/>
            <w:hideMark/>
          </w:tcPr>
          <w:p w14:paraId="3949A28B" w14:textId="77777777" w:rsidR="00BB138C" w:rsidRPr="00EF6679" w:rsidRDefault="00BB138C" w:rsidP="00820288">
            <w:pPr>
              <w:spacing w:line="240" w:lineRule="auto"/>
              <w:jc w:val="center"/>
              <w:rPr>
                <w:rFonts w:ascii="Times New Roman" w:eastAsia="Times New Roman" w:hAnsi="Times New Roman" w:cs="Times New Roman"/>
                <w:color w:val="000000" w:themeColor="text1"/>
                <w:sz w:val="13"/>
                <w:szCs w:val="13"/>
              </w:rPr>
            </w:pPr>
            <w:r w:rsidRPr="00EF6679">
              <w:rPr>
                <w:rFonts w:ascii="Times New Roman" w:eastAsia="Times New Roman" w:hAnsi="Times New Roman" w:cs="Times New Roman"/>
                <w:color w:val="000000" w:themeColor="text1"/>
                <w:sz w:val="13"/>
                <w:szCs w:val="13"/>
              </w:rPr>
              <w:t>n.d.</w:t>
            </w:r>
          </w:p>
        </w:tc>
        <w:tc>
          <w:tcPr>
            <w:tcW w:w="720" w:type="dxa"/>
            <w:tcBorders>
              <w:top w:val="nil"/>
              <w:left w:val="nil"/>
              <w:bottom w:val="nil"/>
              <w:right w:val="nil"/>
            </w:tcBorders>
            <w:noWrap/>
            <w:vAlign w:val="center"/>
            <w:hideMark/>
          </w:tcPr>
          <w:p w14:paraId="58ED8111" w14:textId="77777777" w:rsidR="00BB138C" w:rsidRPr="00EF6679" w:rsidRDefault="00BB138C" w:rsidP="00820288">
            <w:pPr>
              <w:spacing w:line="240" w:lineRule="auto"/>
              <w:jc w:val="center"/>
              <w:rPr>
                <w:rFonts w:ascii="Times New Roman" w:eastAsia="Times New Roman" w:hAnsi="Times New Roman" w:cs="Times New Roman"/>
                <w:color w:val="000000" w:themeColor="text1"/>
                <w:sz w:val="13"/>
                <w:szCs w:val="13"/>
              </w:rPr>
            </w:pPr>
            <w:r w:rsidRPr="00EF6679">
              <w:rPr>
                <w:rFonts w:ascii="Times New Roman" w:eastAsia="Times New Roman" w:hAnsi="Times New Roman" w:cs="Times New Roman"/>
                <w:color w:val="000000" w:themeColor="text1"/>
                <w:sz w:val="13"/>
                <w:szCs w:val="13"/>
              </w:rPr>
              <w:t>n.d.</w:t>
            </w:r>
          </w:p>
        </w:tc>
        <w:tc>
          <w:tcPr>
            <w:tcW w:w="864" w:type="dxa"/>
            <w:tcBorders>
              <w:top w:val="nil"/>
              <w:left w:val="nil"/>
              <w:bottom w:val="nil"/>
              <w:right w:val="nil"/>
            </w:tcBorders>
            <w:noWrap/>
            <w:vAlign w:val="center"/>
            <w:hideMark/>
          </w:tcPr>
          <w:p w14:paraId="2A7D4976" w14:textId="77777777" w:rsidR="00BB138C" w:rsidRPr="00EF6679" w:rsidRDefault="00BB138C" w:rsidP="00820288">
            <w:pPr>
              <w:spacing w:line="240" w:lineRule="auto"/>
              <w:jc w:val="center"/>
              <w:rPr>
                <w:rFonts w:ascii="Times New Roman" w:eastAsia="Times New Roman" w:hAnsi="Times New Roman" w:cs="Times New Roman"/>
                <w:color w:val="000000" w:themeColor="text1"/>
                <w:sz w:val="13"/>
                <w:szCs w:val="13"/>
              </w:rPr>
            </w:pPr>
            <w:r w:rsidRPr="00EF6679">
              <w:rPr>
                <w:rFonts w:ascii="Times New Roman" w:eastAsia="Times New Roman" w:hAnsi="Times New Roman" w:cs="Times New Roman"/>
                <w:color w:val="000000" w:themeColor="text1"/>
                <w:sz w:val="13"/>
                <w:szCs w:val="13"/>
              </w:rPr>
              <w:t>n.d.</w:t>
            </w:r>
          </w:p>
        </w:tc>
        <w:tc>
          <w:tcPr>
            <w:tcW w:w="410" w:type="dxa"/>
            <w:tcBorders>
              <w:top w:val="nil"/>
              <w:left w:val="nil"/>
              <w:bottom w:val="nil"/>
              <w:right w:val="nil"/>
            </w:tcBorders>
            <w:noWrap/>
          </w:tcPr>
          <w:p w14:paraId="2377F701" w14:textId="77777777" w:rsidR="00BB138C" w:rsidRPr="00EF6679" w:rsidRDefault="00BB138C" w:rsidP="00820288">
            <w:pPr>
              <w:spacing w:line="240" w:lineRule="auto"/>
              <w:jc w:val="right"/>
              <w:rPr>
                <w:rFonts w:ascii="Times New Roman" w:eastAsia="Times New Roman" w:hAnsi="Times New Roman" w:cs="Times New Roman"/>
                <w:color w:val="000000" w:themeColor="text1"/>
                <w:sz w:val="13"/>
                <w:szCs w:val="13"/>
              </w:rPr>
            </w:pPr>
          </w:p>
        </w:tc>
        <w:tc>
          <w:tcPr>
            <w:tcW w:w="864" w:type="dxa"/>
            <w:tcBorders>
              <w:top w:val="nil"/>
              <w:left w:val="nil"/>
              <w:bottom w:val="nil"/>
              <w:right w:val="nil"/>
            </w:tcBorders>
            <w:noWrap/>
            <w:vAlign w:val="center"/>
            <w:hideMark/>
          </w:tcPr>
          <w:p w14:paraId="4C4BB19C" w14:textId="77777777" w:rsidR="00BB138C" w:rsidRPr="00EF6679" w:rsidRDefault="00BB138C" w:rsidP="00820288">
            <w:pPr>
              <w:spacing w:line="240" w:lineRule="auto"/>
              <w:jc w:val="center"/>
              <w:rPr>
                <w:rFonts w:ascii="Times New Roman" w:eastAsia="Times New Roman" w:hAnsi="Times New Roman" w:cs="Times New Roman"/>
                <w:color w:val="000000" w:themeColor="text1"/>
                <w:sz w:val="13"/>
                <w:szCs w:val="13"/>
              </w:rPr>
            </w:pPr>
            <w:r w:rsidRPr="00EF6679">
              <w:rPr>
                <w:rFonts w:ascii="Times New Roman" w:hAnsi="Times New Roman" w:cs="Times New Roman"/>
                <w:color w:val="000000" w:themeColor="text1"/>
                <w:sz w:val="13"/>
                <w:szCs w:val="13"/>
              </w:rPr>
              <w:t>n.d.</w:t>
            </w:r>
          </w:p>
        </w:tc>
        <w:tc>
          <w:tcPr>
            <w:tcW w:w="720" w:type="dxa"/>
            <w:tcBorders>
              <w:top w:val="nil"/>
              <w:left w:val="nil"/>
              <w:bottom w:val="nil"/>
              <w:right w:val="nil"/>
            </w:tcBorders>
            <w:noWrap/>
            <w:vAlign w:val="center"/>
            <w:hideMark/>
          </w:tcPr>
          <w:p w14:paraId="0EE99C1F" w14:textId="77777777" w:rsidR="00BB138C" w:rsidRPr="00EF6679" w:rsidRDefault="00BB138C" w:rsidP="00820288">
            <w:pPr>
              <w:spacing w:line="240" w:lineRule="auto"/>
              <w:jc w:val="center"/>
              <w:rPr>
                <w:rFonts w:ascii="Times New Roman" w:eastAsia="Times New Roman" w:hAnsi="Times New Roman" w:cs="Times New Roman"/>
                <w:color w:val="000000" w:themeColor="text1"/>
                <w:sz w:val="13"/>
                <w:szCs w:val="13"/>
              </w:rPr>
            </w:pPr>
            <w:r w:rsidRPr="00EF6679">
              <w:rPr>
                <w:rFonts w:ascii="Times New Roman" w:hAnsi="Times New Roman" w:cs="Times New Roman"/>
                <w:color w:val="000000" w:themeColor="text1"/>
                <w:sz w:val="13"/>
                <w:szCs w:val="13"/>
              </w:rPr>
              <w:t>n.d.</w:t>
            </w:r>
          </w:p>
        </w:tc>
        <w:tc>
          <w:tcPr>
            <w:tcW w:w="864" w:type="dxa"/>
            <w:tcBorders>
              <w:top w:val="nil"/>
              <w:left w:val="nil"/>
              <w:bottom w:val="nil"/>
              <w:right w:val="nil"/>
            </w:tcBorders>
            <w:noWrap/>
            <w:vAlign w:val="center"/>
            <w:hideMark/>
          </w:tcPr>
          <w:p w14:paraId="3316FAB3" w14:textId="77777777" w:rsidR="00BB138C" w:rsidRPr="00EF6679" w:rsidRDefault="00BB138C" w:rsidP="00820288">
            <w:pPr>
              <w:spacing w:line="240" w:lineRule="auto"/>
              <w:jc w:val="center"/>
              <w:rPr>
                <w:rFonts w:ascii="Times New Roman" w:eastAsia="Times New Roman" w:hAnsi="Times New Roman" w:cs="Times New Roman"/>
                <w:color w:val="000000" w:themeColor="text1"/>
                <w:sz w:val="13"/>
                <w:szCs w:val="13"/>
              </w:rPr>
            </w:pPr>
            <w:r w:rsidRPr="00EF6679">
              <w:rPr>
                <w:rFonts w:ascii="Times New Roman" w:hAnsi="Times New Roman" w:cs="Times New Roman"/>
                <w:color w:val="000000" w:themeColor="text1"/>
                <w:sz w:val="13"/>
                <w:szCs w:val="13"/>
              </w:rPr>
              <w:t>n.d.</w:t>
            </w:r>
          </w:p>
        </w:tc>
      </w:tr>
      <w:tr w:rsidR="00BB138C" w:rsidRPr="00EF6679" w14:paraId="5CBECA1D" w14:textId="77777777" w:rsidTr="00820288">
        <w:tblPrEx>
          <w:jc w:val="lef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trHeight w:val="144"/>
        </w:trPr>
        <w:tc>
          <w:tcPr>
            <w:tcW w:w="2340" w:type="dxa"/>
            <w:tcBorders>
              <w:top w:val="nil"/>
              <w:left w:val="nil"/>
              <w:bottom w:val="nil"/>
              <w:right w:val="nil"/>
            </w:tcBorders>
            <w:noWrap/>
            <w:hideMark/>
          </w:tcPr>
          <w:p w14:paraId="728E60EB" w14:textId="77777777" w:rsidR="00BB138C" w:rsidRPr="00EF6679" w:rsidRDefault="00BB138C" w:rsidP="00820288">
            <w:pPr>
              <w:spacing w:line="240" w:lineRule="auto"/>
              <w:rPr>
                <w:rFonts w:ascii="Times New Roman" w:eastAsia="Times New Roman" w:hAnsi="Times New Roman" w:cs="Times New Roman"/>
                <w:color w:val="000000" w:themeColor="text1"/>
                <w:sz w:val="13"/>
                <w:szCs w:val="13"/>
              </w:rPr>
            </w:pPr>
            <w:r w:rsidRPr="00EF6679">
              <w:rPr>
                <w:rFonts w:ascii="Times New Roman" w:eastAsia="Times New Roman" w:hAnsi="Times New Roman" w:cs="Times New Roman"/>
                <w:color w:val="000000" w:themeColor="text1"/>
                <w:sz w:val="13"/>
                <w:szCs w:val="13"/>
              </w:rPr>
              <w:t xml:space="preserve">(E)-2-Pentenal           </w:t>
            </w:r>
          </w:p>
        </w:tc>
        <w:tc>
          <w:tcPr>
            <w:tcW w:w="939" w:type="dxa"/>
            <w:tcBorders>
              <w:top w:val="nil"/>
              <w:left w:val="nil"/>
              <w:bottom w:val="nil"/>
              <w:right w:val="nil"/>
            </w:tcBorders>
            <w:noWrap/>
            <w:vAlign w:val="center"/>
            <w:hideMark/>
          </w:tcPr>
          <w:p w14:paraId="5B29001F" w14:textId="77777777" w:rsidR="00BB138C" w:rsidRPr="00EF6679" w:rsidRDefault="00BB138C" w:rsidP="00820288">
            <w:pPr>
              <w:spacing w:line="240" w:lineRule="auto"/>
              <w:jc w:val="center"/>
              <w:rPr>
                <w:rFonts w:ascii="Times New Roman" w:eastAsia="Times New Roman" w:hAnsi="Times New Roman" w:cs="Times New Roman"/>
                <w:color w:val="000000" w:themeColor="text1"/>
                <w:sz w:val="13"/>
                <w:szCs w:val="13"/>
              </w:rPr>
            </w:pPr>
            <w:r w:rsidRPr="00EF6679">
              <w:rPr>
                <w:rFonts w:ascii="Times New Roman" w:eastAsia="Times New Roman" w:hAnsi="Times New Roman" w:cs="Times New Roman"/>
                <w:color w:val="000000" w:themeColor="text1"/>
                <w:sz w:val="13"/>
                <w:szCs w:val="13"/>
              </w:rPr>
              <w:t>1576-87-0</w:t>
            </w:r>
          </w:p>
        </w:tc>
        <w:tc>
          <w:tcPr>
            <w:tcW w:w="1152" w:type="dxa"/>
            <w:tcBorders>
              <w:top w:val="nil"/>
              <w:left w:val="nil"/>
              <w:bottom w:val="nil"/>
              <w:right w:val="nil"/>
            </w:tcBorders>
            <w:noWrap/>
            <w:vAlign w:val="center"/>
            <w:hideMark/>
          </w:tcPr>
          <w:p w14:paraId="4EF67CB4" w14:textId="77777777" w:rsidR="00BB138C" w:rsidRPr="00EF6679" w:rsidRDefault="00BB138C" w:rsidP="00820288">
            <w:pPr>
              <w:spacing w:line="240" w:lineRule="auto"/>
              <w:jc w:val="center"/>
              <w:rPr>
                <w:rFonts w:ascii="Times New Roman" w:eastAsia="Times New Roman" w:hAnsi="Times New Roman" w:cs="Times New Roman"/>
                <w:color w:val="000000" w:themeColor="text1"/>
                <w:sz w:val="13"/>
                <w:szCs w:val="13"/>
              </w:rPr>
            </w:pPr>
            <w:r w:rsidRPr="00EF6679">
              <w:rPr>
                <w:rFonts w:ascii="Times New Roman" w:eastAsia="Times New Roman" w:hAnsi="Times New Roman" w:cs="Times New Roman"/>
                <w:color w:val="000000" w:themeColor="text1"/>
                <w:sz w:val="13"/>
                <w:szCs w:val="13"/>
              </w:rPr>
              <w:t>5.504</w:t>
            </w:r>
          </w:p>
        </w:tc>
        <w:tc>
          <w:tcPr>
            <w:tcW w:w="864" w:type="dxa"/>
            <w:tcBorders>
              <w:top w:val="nil"/>
              <w:left w:val="nil"/>
              <w:bottom w:val="nil"/>
              <w:right w:val="nil"/>
            </w:tcBorders>
            <w:noWrap/>
            <w:vAlign w:val="center"/>
            <w:hideMark/>
          </w:tcPr>
          <w:p w14:paraId="611ADE41" w14:textId="77777777" w:rsidR="00BB138C" w:rsidRPr="00EF6679" w:rsidRDefault="00BB138C" w:rsidP="00820288">
            <w:pPr>
              <w:spacing w:line="240" w:lineRule="auto"/>
              <w:jc w:val="center"/>
              <w:rPr>
                <w:rFonts w:ascii="Times New Roman" w:eastAsia="Times New Roman" w:hAnsi="Times New Roman" w:cs="Times New Roman"/>
                <w:color w:val="000000" w:themeColor="text1"/>
                <w:sz w:val="13"/>
                <w:szCs w:val="13"/>
              </w:rPr>
            </w:pPr>
            <w:r w:rsidRPr="00EF6679">
              <w:rPr>
                <w:rFonts w:ascii="Times New Roman" w:eastAsia="Times New Roman" w:hAnsi="Times New Roman" w:cs="Times New Roman"/>
                <w:color w:val="000000" w:themeColor="text1"/>
                <w:sz w:val="13"/>
                <w:szCs w:val="13"/>
              </w:rPr>
              <w:t>n.d.</w:t>
            </w:r>
          </w:p>
        </w:tc>
        <w:tc>
          <w:tcPr>
            <w:tcW w:w="720" w:type="dxa"/>
            <w:tcBorders>
              <w:top w:val="nil"/>
              <w:left w:val="nil"/>
              <w:bottom w:val="nil"/>
              <w:right w:val="nil"/>
            </w:tcBorders>
            <w:noWrap/>
            <w:vAlign w:val="center"/>
            <w:hideMark/>
          </w:tcPr>
          <w:p w14:paraId="5ECD4DC9" w14:textId="77777777" w:rsidR="00BB138C" w:rsidRPr="00EF6679" w:rsidRDefault="00BB138C" w:rsidP="00820288">
            <w:pPr>
              <w:spacing w:line="240" w:lineRule="auto"/>
              <w:jc w:val="center"/>
              <w:rPr>
                <w:rFonts w:ascii="Times New Roman" w:eastAsia="Times New Roman" w:hAnsi="Times New Roman" w:cs="Times New Roman"/>
                <w:color w:val="000000" w:themeColor="text1"/>
                <w:sz w:val="13"/>
                <w:szCs w:val="13"/>
              </w:rPr>
            </w:pPr>
            <w:r w:rsidRPr="00EF6679">
              <w:rPr>
                <w:rFonts w:ascii="Times New Roman" w:eastAsia="Times New Roman" w:hAnsi="Times New Roman" w:cs="Times New Roman"/>
                <w:color w:val="000000" w:themeColor="text1"/>
                <w:sz w:val="13"/>
                <w:szCs w:val="13"/>
              </w:rPr>
              <w:t>n.d.</w:t>
            </w:r>
          </w:p>
        </w:tc>
        <w:tc>
          <w:tcPr>
            <w:tcW w:w="864" w:type="dxa"/>
            <w:tcBorders>
              <w:top w:val="nil"/>
              <w:left w:val="nil"/>
              <w:bottom w:val="nil"/>
              <w:right w:val="nil"/>
            </w:tcBorders>
            <w:noWrap/>
            <w:vAlign w:val="center"/>
            <w:hideMark/>
          </w:tcPr>
          <w:p w14:paraId="052E00A0" w14:textId="77777777" w:rsidR="00BB138C" w:rsidRPr="00EF6679" w:rsidRDefault="00BB138C" w:rsidP="00820288">
            <w:pPr>
              <w:spacing w:line="240" w:lineRule="auto"/>
              <w:jc w:val="center"/>
              <w:rPr>
                <w:rFonts w:ascii="Times New Roman" w:eastAsia="Times New Roman" w:hAnsi="Times New Roman" w:cs="Times New Roman"/>
                <w:color w:val="000000" w:themeColor="text1"/>
                <w:sz w:val="13"/>
                <w:szCs w:val="13"/>
              </w:rPr>
            </w:pPr>
            <w:r w:rsidRPr="00EF6679">
              <w:rPr>
                <w:rFonts w:ascii="Times New Roman" w:eastAsia="Times New Roman" w:hAnsi="Times New Roman" w:cs="Times New Roman"/>
                <w:color w:val="000000" w:themeColor="text1"/>
                <w:sz w:val="13"/>
                <w:szCs w:val="13"/>
              </w:rPr>
              <w:t>n.d.</w:t>
            </w:r>
          </w:p>
        </w:tc>
        <w:tc>
          <w:tcPr>
            <w:tcW w:w="410" w:type="dxa"/>
            <w:tcBorders>
              <w:top w:val="nil"/>
              <w:left w:val="nil"/>
              <w:bottom w:val="nil"/>
              <w:right w:val="nil"/>
            </w:tcBorders>
            <w:noWrap/>
          </w:tcPr>
          <w:p w14:paraId="50DA9D1E" w14:textId="77777777" w:rsidR="00BB138C" w:rsidRPr="00EF6679" w:rsidRDefault="00BB138C" w:rsidP="00820288">
            <w:pPr>
              <w:spacing w:line="240" w:lineRule="auto"/>
              <w:jc w:val="right"/>
              <w:rPr>
                <w:rFonts w:ascii="Times New Roman" w:eastAsia="Times New Roman" w:hAnsi="Times New Roman" w:cs="Times New Roman"/>
                <w:color w:val="000000" w:themeColor="text1"/>
                <w:sz w:val="13"/>
                <w:szCs w:val="13"/>
              </w:rPr>
            </w:pPr>
          </w:p>
        </w:tc>
        <w:tc>
          <w:tcPr>
            <w:tcW w:w="864" w:type="dxa"/>
            <w:tcBorders>
              <w:top w:val="nil"/>
              <w:left w:val="nil"/>
              <w:bottom w:val="nil"/>
              <w:right w:val="nil"/>
            </w:tcBorders>
            <w:noWrap/>
            <w:vAlign w:val="center"/>
            <w:hideMark/>
          </w:tcPr>
          <w:p w14:paraId="6DCA5B11" w14:textId="77777777" w:rsidR="00BB138C" w:rsidRPr="00EF6679" w:rsidRDefault="00BB138C" w:rsidP="00820288">
            <w:pPr>
              <w:spacing w:line="240" w:lineRule="auto"/>
              <w:jc w:val="center"/>
              <w:rPr>
                <w:rFonts w:ascii="Times New Roman" w:eastAsia="Times New Roman" w:hAnsi="Times New Roman" w:cs="Times New Roman"/>
                <w:color w:val="000000" w:themeColor="text1"/>
                <w:sz w:val="13"/>
                <w:szCs w:val="13"/>
              </w:rPr>
            </w:pPr>
            <w:r w:rsidRPr="00EF6679">
              <w:rPr>
                <w:rFonts w:ascii="Times New Roman" w:hAnsi="Times New Roman" w:cs="Times New Roman"/>
                <w:color w:val="000000" w:themeColor="text1"/>
                <w:sz w:val="13"/>
                <w:szCs w:val="13"/>
              </w:rPr>
              <w:t>n.d.</w:t>
            </w:r>
          </w:p>
        </w:tc>
        <w:tc>
          <w:tcPr>
            <w:tcW w:w="720" w:type="dxa"/>
            <w:tcBorders>
              <w:top w:val="nil"/>
              <w:left w:val="nil"/>
              <w:bottom w:val="nil"/>
              <w:right w:val="nil"/>
            </w:tcBorders>
            <w:noWrap/>
            <w:vAlign w:val="center"/>
            <w:hideMark/>
          </w:tcPr>
          <w:p w14:paraId="07148CD9" w14:textId="77777777" w:rsidR="00BB138C" w:rsidRPr="00EF6679" w:rsidRDefault="00BB138C" w:rsidP="00820288">
            <w:pPr>
              <w:spacing w:line="240" w:lineRule="auto"/>
              <w:jc w:val="center"/>
              <w:rPr>
                <w:rFonts w:ascii="Times New Roman" w:eastAsia="Times New Roman" w:hAnsi="Times New Roman" w:cs="Times New Roman"/>
                <w:color w:val="000000" w:themeColor="text1"/>
                <w:sz w:val="13"/>
                <w:szCs w:val="13"/>
              </w:rPr>
            </w:pPr>
            <w:r w:rsidRPr="00EF6679">
              <w:rPr>
                <w:rFonts w:ascii="Times New Roman" w:hAnsi="Times New Roman" w:cs="Times New Roman"/>
                <w:color w:val="000000" w:themeColor="text1"/>
                <w:sz w:val="13"/>
                <w:szCs w:val="13"/>
              </w:rPr>
              <w:t>n.d.</w:t>
            </w:r>
          </w:p>
        </w:tc>
        <w:tc>
          <w:tcPr>
            <w:tcW w:w="864" w:type="dxa"/>
            <w:tcBorders>
              <w:top w:val="nil"/>
              <w:left w:val="nil"/>
              <w:bottom w:val="nil"/>
              <w:right w:val="nil"/>
            </w:tcBorders>
            <w:noWrap/>
            <w:vAlign w:val="center"/>
            <w:hideMark/>
          </w:tcPr>
          <w:p w14:paraId="3A6C0313" w14:textId="77777777" w:rsidR="00BB138C" w:rsidRPr="00EF6679" w:rsidRDefault="00BB138C" w:rsidP="00820288">
            <w:pPr>
              <w:spacing w:line="240" w:lineRule="auto"/>
              <w:jc w:val="center"/>
              <w:rPr>
                <w:rFonts w:ascii="Times New Roman" w:eastAsia="Times New Roman" w:hAnsi="Times New Roman" w:cs="Times New Roman"/>
                <w:color w:val="000000" w:themeColor="text1"/>
                <w:sz w:val="13"/>
                <w:szCs w:val="13"/>
              </w:rPr>
            </w:pPr>
            <w:r w:rsidRPr="00EF6679">
              <w:rPr>
                <w:rFonts w:ascii="Times New Roman" w:hAnsi="Times New Roman" w:cs="Times New Roman"/>
                <w:color w:val="000000" w:themeColor="text1"/>
                <w:sz w:val="13"/>
                <w:szCs w:val="13"/>
              </w:rPr>
              <w:t>n.d.</w:t>
            </w:r>
          </w:p>
        </w:tc>
      </w:tr>
      <w:tr w:rsidR="00BB138C" w:rsidRPr="00EF6679" w14:paraId="6DDB0C65" w14:textId="77777777" w:rsidTr="00820288">
        <w:tblPrEx>
          <w:jc w:val="lef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trHeight w:val="144"/>
        </w:trPr>
        <w:tc>
          <w:tcPr>
            <w:tcW w:w="2340" w:type="dxa"/>
            <w:tcBorders>
              <w:top w:val="nil"/>
              <w:left w:val="nil"/>
              <w:bottom w:val="nil"/>
              <w:right w:val="nil"/>
            </w:tcBorders>
            <w:noWrap/>
            <w:hideMark/>
          </w:tcPr>
          <w:p w14:paraId="1E5CAF0D" w14:textId="77777777" w:rsidR="00BB138C" w:rsidRPr="00EF6679" w:rsidRDefault="00BB138C" w:rsidP="00820288">
            <w:pPr>
              <w:spacing w:line="240" w:lineRule="auto"/>
              <w:rPr>
                <w:rFonts w:ascii="Times New Roman" w:eastAsia="Times New Roman" w:hAnsi="Times New Roman" w:cs="Times New Roman"/>
                <w:color w:val="000000" w:themeColor="text1"/>
                <w:sz w:val="13"/>
                <w:szCs w:val="13"/>
              </w:rPr>
            </w:pPr>
            <w:r w:rsidRPr="00EF6679">
              <w:rPr>
                <w:rFonts w:ascii="Times New Roman" w:eastAsia="Times New Roman" w:hAnsi="Times New Roman" w:cs="Times New Roman"/>
                <w:color w:val="000000" w:themeColor="text1"/>
                <w:sz w:val="13"/>
                <w:szCs w:val="13"/>
              </w:rPr>
              <w:t xml:space="preserve">1-Pentanol               </w:t>
            </w:r>
          </w:p>
        </w:tc>
        <w:tc>
          <w:tcPr>
            <w:tcW w:w="939" w:type="dxa"/>
            <w:tcBorders>
              <w:top w:val="nil"/>
              <w:left w:val="nil"/>
              <w:bottom w:val="nil"/>
              <w:right w:val="nil"/>
            </w:tcBorders>
            <w:noWrap/>
            <w:vAlign w:val="center"/>
            <w:hideMark/>
          </w:tcPr>
          <w:p w14:paraId="64B44A81" w14:textId="77777777" w:rsidR="00BB138C" w:rsidRPr="00EF6679" w:rsidRDefault="00BB138C" w:rsidP="00820288">
            <w:pPr>
              <w:spacing w:line="240" w:lineRule="auto"/>
              <w:jc w:val="center"/>
              <w:rPr>
                <w:rFonts w:ascii="Times New Roman" w:eastAsia="Times New Roman" w:hAnsi="Times New Roman" w:cs="Times New Roman"/>
                <w:color w:val="000000" w:themeColor="text1"/>
                <w:sz w:val="13"/>
                <w:szCs w:val="13"/>
              </w:rPr>
            </w:pPr>
            <w:r w:rsidRPr="00EF6679">
              <w:rPr>
                <w:rFonts w:ascii="Times New Roman" w:eastAsia="Times New Roman" w:hAnsi="Times New Roman" w:cs="Times New Roman"/>
                <w:color w:val="000000" w:themeColor="text1"/>
                <w:sz w:val="13"/>
                <w:szCs w:val="13"/>
              </w:rPr>
              <w:t>71-41-0</w:t>
            </w:r>
          </w:p>
        </w:tc>
        <w:tc>
          <w:tcPr>
            <w:tcW w:w="1152" w:type="dxa"/>
            <w:tcBorders>
              <w:top w:val="nil"/>
              <w:left w:val="nil"/>
              <w:bottom w:val="nil"/>
              <w:right w:val="nil"/>
            </w:tcBorders>
            <w:noWrap/>
            <w:vAlign w:val="center"/>
            <w:hideMark/>
          </w:tcPr>
          <w:p w14:paraId="739B2D52" w14:textId="77777777" w:rsidR="00BB138C" w:rsidRPr="00EF6679" w:rsidRDefault="00BB138C" w:rsidP="00820288">
            <w:pPr>
              <w:spacing w:line="240" w:lineRule="auto"/>
              <w:jc w:val="center"/>
              <w:rPr>
                <w:rFonts w:ascii="Times New Roman" w:eastAsia="Times New Roman" w:hAnsi="Times New Roman" w:cs="Times New Roman"/>
                <w:color w:val="000000" w:themeColor="text1"/>
                <w:sz w:val="13"/>
                <w:szCs w:val="13"/>
              </w:rPr>
            </w:pPr>
            <w:r w:rsidRPr="00EF6679">
              <w:rPr>
                <w:rFonts w:ascii="Times New Roman" w:eastAsia="Times New Roman" w:hAnsi="Times New Roman" w:cs="Times New Roman"/>
                <w:color w:val="000000" w:themeColor="text1"/>
                <w:sz w:val="13"/>
                <w:szCs w:val="13"/>
              </w:rPr>
              <w:t>5.504</w:t>
            </w:r>
          </w:p>
        </w:tc>
        <w:tc>
          <w:tcPr>
            <w:tcW w:w="864" w:type="dxa"/>
            <w:tcBorders>
              <w:top w:val="nil"/>
              <w:left w:val="nil"/>
              <w:bottom w:val="nil"/>
              <w:right w:val="nil"/>
            </w:tcBorders>
            <w:noWrap/>
            <w:vAlign w:val="center"/>
            <w:hideMark/>
          </w:tcPr>
          <w:p w14:paraId="2326A9A9" w14:textId="77777777" w:rsidR="00BB138C" w:rsidRPr="00EF6679" w:rsidRDefault="00BB138C" w:rsidP="00820288">
            <w:pPr>
              <w:spacing w:line="240" w:lineRule="auto"/>
              <w:jc w:val="center"/>
              <w:rPr>
                <w:rFonts w:ascii="Times New Roman" w:eastAsia="Times New Roman" w:hAnsi="Times New Roman" w:cs="Times New Roman"/>
                <w:color w:val="000000" w:themeColor="text1"/>
                <w:sz w:val="13"/>
                <w:szCs w:val="13"/>
              </w:rPr>
            </w:pPr>
            <w:r w:rsidRPr="00EF6679">
              <w:rPr>
                <w:rFonts w:ascii="Times New Roman" w:eastAsia="Times New Roman" w:hAnsi="Times New Roman" w:cs="Times New Roman"/>
                <w:color w:val="000000" w:themeColor="text1"/>
                <w:sz w:val="13"/>
                <w:szCs w:val="13"/>
              </w:rPr>
              <w:t>n.d.</w:t>
            </w:r>
          </w:p>
        </w:tc>
        <w:tc>
          <w:tcPr>
            <w:tcW w:w="720" w:type="dxa"/>
            <w:tcBorders>
              <w:top w:val="nil"/>
              <w:left w:val="nil"/>
              <w:bottom w:val="nil"/>
              <w:right w:val="nil"/>
            </w:tcBorders>
            <w:noWrap/>
            <w:vAlign w:val="center"/>
            <w:hideMark/>
          </w:tcPr>
          <w:p w14:paraId="1D479070" w14:textId="77777777" w:rsidR="00BB138C" w:rsidRPr="00EF6679" w:rsidRDefault="00BB138C" w:rsidP="00820288">
            <w:pPr>
              <w:spacing w:line="240" w:lineRule="auto"/>
              <w:jc w:val="center"/>
              <w:rPr>
                <w:rFonts w:ascii="Times New Roman" w:eastAsia="Times New Roman" w:hAnsi="Times New Roman" w:cs="Times New Roman"/>
                <w:color w:val="000000" w:themeColor="text1"/>
                <w:sz w:val="13"/>
                <w:szCs w:val="13"/>
              </w:rPr>
            </w:pPr>
            <w:r w:rsidRPr="00EF6679">
              <w:rPr>
                <w:rFonts w:ascii="Times New Roman" w:eastAsia="Times New Roman" w:hAnsi="Times New Roman" w:cs="Times New Roman"/>
                <w:color w:val="000000" w:themeColor="text1"/>
                <w:sz w:val="13"/>
                <w:szCs w:val="13"/>
              </w:rPr>
              <w:t>n.d.</w:t>
            </w:r>
          </w:p>
        </w:tc>
        <w:tc>
          <w:tcPr>
            <w:tcW w:w="864" w:type="dxa"/>
            <w:tcBorders>
              <w:top w:val="nil"/>
              <w:left w:val="nil"/>
              <w:bottom w:val="nil"/>
              <w:right w:val="nil"/>
            </w:tcBorders>
            <w:noWrap/>
            <w:vAlign w:val="center"/>
            <w:hideMark/>
          </w:tcPr>
          <w:p w14:paraId="5D7CDC92" w14:textId="77777777" w:rsidR="00BB138C" w:rsidRPr="00EF6679" w:rsidRDefault="00BB138C" w:rsidP="00820288">
            <w:pPr>
              <w:spacing w:line="240" w:lineRule="auto"/>
              <w:jc w:val="center"/>
              <w:rPr>
                <w:rFonts w:ascii="Times New Roman" w:eastAsia="Times New Roman" w:hAnsi="Times New Roman" w:cs="Times New Roman"/>
                <w:color w:val="000000" w:themeColor="text1"/>
                <w:sz w:val="13"/>
                <w:szCs w:val="13"/>
              </w:rPr>
            </w:pPr>
            <w:r w:rsidRPr="00EF6679">
              <w:rPr>
                <w:rFonts w:ascii="Times New Roman" w:eastAsia="Times New Roman" w:hAnsi="Times New Roman" w:cs="Times New Roman"/>
                <w:color w:val="000000" w:themeColor="text1"/>
                <w:sz w:val="13"/>
                <w:szCs w:val="13"/>
              </w:rPr>
              <w:t>n.d.</w:t>
            </w:r>
          </w:p>
        </w:tc>
        <w:tc>
          <w:tcPr>
            <w:tcW w:w="410" w:type="dxa"/>
            <w:tcBorders>
              <w:top w:val="nil"/>
              <w:left w:val="nil"/>
              <w:bottom w:val="nil"/>
              <w:right w:val="nil"/>
            </w:tcBorders>
            <w:noWrap/>
          </w:tcPr>
          <w:p w14:paraId="1A26BC9C" w14:textId="77777777" w:rsidR="00BB138C" w:rsidRPr="00EF6679" w:rsidRDefault="00BB138C" w:rsidP="00820288">
            <w:pPr>
              <w:spacing w:line="240" w:lineRule="auto"/>
              <w:jc w:val="right"/>
              <w:rPr>
                <w:rFonts w:ascii="Times New Roman" w:eastAsia="Times New Roman" w:hAnsi="Times New Roman" w:cs="Times New Roman"/>
                <w:color w:val="000000" w:themeColor="text1"/>
                <w:sz w:val="13"/>
                <w:szCs w:val="13"/>
              </w:rPr>
            </w:pPr>
          </w:p>
        </w:tc>
        <w:tc>
          <w:tcPr>
            <w:tcW w:w="864" w:type="dxa"/>
            <w:tcBorders>
              <w:top w:val="nil"/>
              <w:left w:val="nil"/>
              <w:bottom w:val="nil"/>
              <w:right w:val="nil"/>
            </w:tcBorders>
            <w:noWrap/>
            <w:vAlign w:val="center"/>
            <w:hideMark/>
          </w:tcPr>
          <w:p w14:paraId="5B1E71E7" w14:textId="77777777" w:rsidR="00BB138C" w:rsidRPr="00EF6679" w:rsidRDefault="00BB138C" w:rsidP="00820288">
            <w:pPr>
              <w:spacing w:line="240" w:lineRule="auto"/>
              <w:jc w:val="center"/>
              <w:rPr>
                <w:rFonts w:ascii="Times New Roman" w:eastAsia="Times New Roman" w:hAnsi="Times New Roman" w:cs="Times New Roman"/>
                <w:color w:val="000000" w:themeColor="text1"/>
                <w:sz w:val="13"/>
                <w:szCs w:val="13"/>
              </w:rPr>
            </w:pPr>
            <w:r w:rsidRPr="00EF6679">
              <w:rPr>
                <w:rFonts w:ascii="Times New Roman" w:hAnsi="Times New Roman" w:cs="Times New Roman"/>
                <w:color w:val="000000" w:themeColor="text1"/>
                <w:sz w:val="13"/>
                <w:szCs w:val="13"/>
              </w:rPr>
              <w:t>n.d.</w:t>
            </w:r>
          </w:p>
        </w:tc>
        <w:tc>
          <w:tcPr>
            <w:tcW w:w="720" w:type="dxa"/>
            <w:tcBorders>
              <w:top w:val="nil"/>
              <w:left w:val="nil"/>
              <w:bottom w:val="nil"/>
              <w:right w:val="nil"/>
            </w:tcBorders>
            <w:noWrap/>
            <w:vAlign w:val="center"/>
            <w:hideMark/>
          </w:tcPr>
          <w:p w14:paraId="3A04A4D4" w14:textId="77777777" w:rsidR="00BB138C" w:rsidRPr="00EF6679" w:rsidRDefault="00BB138C" w:rsidP="00820288">
            <w:pPr>
              <w:spacing w:line="240" w:lineRule="auto"/>
              <w:jc w:val="center"/>
              <w:rPr>
                <w:rFonts w:ascii="Times New Roman" w:eastAsia="Times New Roman" w:hAnsi="Times New Roman" w:cs="Times New Roman"/>
                <w:color w:val="000000" w:themeColor="text1"/>
                <w:sz w:val="13"/>
                <w:szCs w:val="13"/>
              </w:rPr>
            </w:pPr>
            <w:r w:rsidRPr="00EF6679">
              <w:rPr>
                <w:rFonts w:ascii="Times New Roman" w:hAnsi="Times New Roman" w:cs="Times New Roman"/>
                <w:color w:val="000000" w:themeColor="text1"/>
                <w:sz w:val="13"/>
                <w:szCs w:val="13"/>
              </w:rPr>
              <w:t>n.d.</w:t>
            </w:r>
          </w:p>
        </w:tc>
        <w:tc>
          <w:tcPr>
            <w:tcW w:w="864" w:type="dxa"/>
            <w:tcBorders>
              <w:top w:val="nil"/>
              <w:left w:val="nil"/>
              <w:bottom w:val="nil"/>
              <w:right w:val="nil"/>
            </w:tcBorders>
            <w:noWrap/>
            <w:vAlign w:val="center"/>
            <w:hideMark/>
          </w:tcPr>
          <w:p w14:paraId="5F3420CC" w14:textId="77777777" w:rsidR="00BB138C" w:rsidRPr="00EF6679" w:rsidRDefault="00BB138C" w:rsidP="00820288">
            <w:pPr>
              <w:spacing w:line="240" w:lineRule="auto"/>
              <w:jc w:val="center"/>
              <w:rPr>
                <w:rFonts w:ascii="Times New Roman" w:eastAsia="Times New Roman" w:hAnsi="Times New Roman" w:cs="Times New Roman"/>
                <w:color w:val="000000" w:themeColor="text1"/>
                <w:sz w:val="13"/>
                <w:szCs w:val="13"/>
              </w:rPr>
            </w:pPr>
            <w:r w:rsidRPr="00EF6679">
              <w:rPr>
                <w:rFonts w:ascii="Times New Roman" w:hAnsi="Times New Roman" w:cs="Times New Roman"/>
                <w:color w:val="000000" w:themeColor="text1"/>
                <w:sz w:val="13"/>
                <w:szCs w:val="13"/>
              </w:rPr>
              <w:t>n.d.</w:t>
            </w:r>
          </w:p>
        </w:tc>
      </w:tr>
      <w:tr w:rsidR="00BB138C" w:rsidRPr="00EF6679" w14:paraId="3A8399FF" w14:textId="77777777" w:rsidTr="00820288">
        <w:tblPrEx>
          <w:jc w:val="lef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trHeight w:val="144"/>
        </w:trPr>
        <w:tc>
          <w:tcPr>
            <w:tcW w:w="2340" w:type="dxa"/>
            <w:tcBorders>
              <w:top w:val="nil"/>
              <w:left w:val="nil"/>
              <w:bottom w:val="nil"/>
              <w:right w:val="nil"/>
            </w:tcBorders>
            <w:noWrap/>
            <w:hideMark/>
          </w:tcPr>
          <w:p w14:paraId="07777A2D" w14:textId="77777777" w:rsidR="00BB138C" w:rsidRPr="00EF6679" w:rsidRDefault="00BB138C" w:rsidP="00820288">
            <w:pPr>
              <w:spacing w:line="240" w:lineRule="auto"/>
              <w:rPr>
                <w:rFonts w:ascii="Times New Roman" w:eastAsia="Times New Roman" w:hAnsi="Times New Roman" w:cs="Times New Roman"/>
                <w:color w:val="000000" w:themeColor="text1"/>
                <w:sz w:val="13"/>
                <w:szCs w:val="13"/>
              </w:rPr>
            </w:pPr>
            <w:r w:rsidRPr="00EF6679">
              <w:rPr>
                <w:rFonts w:ascii="Times New Roman" w:eastAsia="Times New Roman" w:hAnsi="Times New Roman" w:cs="Times New Roman"/>
                <w:color w:val="000000" w:themeColor="text1"/>
                <w:sz w:val="13"/>
                <w:szCs w:val="13"/>
              </w:rPr>
              <w:t xml:space="preserve">trans-2-Pentenal         </w:t>
            </w:r>
          </w:p>
        </w:tc>
        <w:tc>
          <w:tcPr>
            <w:tcW w:w="939" w:type="dxa"/>
            <w:tcBorders>
              <w:top w:val="nil"/>
              <w:left w:val="nil"/>
              <w:bottom w:val="nil"/>
              <w:right w:val="nil"/>
            </w:tcBorders>
            <w:noWrap/>
            <w:vAlign w:val="center"/>
            <w:hideMark/>
          </w:tcPr>
          <w:p w14:paraId="0D96D104" w14:textId="77777777" w:rsidR="00BB138C" w:rsidRPr="00EF6679" w:rsidRDefault="00BB138C" w:rsidP="00820288">
            <w:pPr>
              <w:spacing w:line="240" w:lineRule="auto"/>
              <w:jc w:val="center"/>
              <w:rPr>
                <w:rFonts w:ascii="Times New Roman" w:eastAsia="Times New Roman" w:hAnsi="Times New Roman" w:cs="Times New Roman"/>
                <w:color w:val="000000" w:themeColor="text1"/>
                <w:sz w:val="13"/>
                <w:szCs w:val="13"/>
              </w:rPr>
            </w:pPr>
            <w:r w:rsidRPr="00EF6679">
              <w:rPr>
                <w:rFonts w:ascii="Times New Roman" w:eastAsia="Times New Roman" w:hAnsi="Times New Roman" w:cs="Times New Roman"/>
                <w:color w:val="000000" w:themeColor="text1"/>
                <w:sz w:val="13"/>
                <w:szCs w:val="13"/>
              </w:rPr>
              <w:t>1576-87-0</w:t>
            </w:r>
          </w:p>
        </w:tc>
        <w:tc>
          <w:tcPr>
            <w:tcW w:w="1152" w:type="dxa"/>
            <w:tcBorders>
              <w:top w:val="nil"/>
              <w:left w:val="nil"/>
              <w:bottom w:val="nil"/>
              <w:right w:val="nil"/>
            </w:tcBorders>
            <w:noWrap/>
            <w:vAlign w:val="center"/>
            <w:hideMark/>
          </w:tcPr>
          <w:p w14:paraId="6DDD308F" w14:textId="77777777" w:rsidR="00BB138C" w:rsidRPr="00EF6679" w:rsidRDefault="00BB138C" w:rsidP="00820288">
            <w:pPr>
              <w:spacing w:line="240" w:lineRule="auto"/>
              <w:jc w:val="center"/>
              <w:rPr>
                <w:rFonts w:ascii="Times New Roman" w:eastAsia="Times New Roman" w:hAnsi="Times New Roman" w:cs="Times New Roman"/>
                <w:color w:val="000000" w:themeColor="text1"/>
                <w:sz w:val="13"/>
                <w:szCs w:val="13"/>
              </w:rPr>
            </w:pPr>
            <w:r w:rsidRPr="00EF6679">
              <w:rPr>
                <w:rFonts w:ascii="Times New Roman" w:eastAsia="Times New Roman" w:hAnsi="Times New Roman" w:cs="Times New Roman"/>
                <w:color w:val="000000" w:themeColor="text1"/>
                <w:sz w:val="13"/>
                <w:szCs w:val="13"/>
              </w:rPr>
              <w:t>6.103</w:t>
            </w:r>
          </w:p>
        </w:tc>
        <w:tc>
          <w:tcPr>
            <w:tcW w:w="864" w:type="dxa"/>
            <w:tcBorders>
              <w:top w:val="nil"/>
              <w:left w:val="nil"/>
              <w:bottom w:val="nil"/>
              <w:right w:val="nil"/>
            </w:tcBorders>
            <w:noWrap/>
            <w:vAlign w:val="center"/>
            <w:hideMark/>
          </w:tcPr>
          <w:p w14:paraId="599CE14C" w14:textId="77777777" w:rsidR="00BB138C" w:rsidRPr="00EF6679" w:rsidRDefault="00BB138C" w:rsidP="00820288">
            <w:pPr>
              <w:spacing w:line="240" w:lineRule="auto"/>
              <w:jc w:val="center"/>
              <w:rPr>
                <w:rFonts w:ascii="Times New Roman" w:eastAsia="Times New Roman" w:hAnsi="Times New Roman" w:cs="Times New Roman"/>
                <w:color w:val="000000" w:themeColor="text1"/>
                <w:sz w:val="13"/>
                <w:szCs w:val="13"/>
              </w:rPr>
            </w:pPr>
            <w:r w:rsidRPr="00EF6679">
              <w:rPr>
                <w:rFonts w:ascii="Times New Roman" w:eastAsia="Times New Roman" w:hAnsi="Times New Roman" w:cs="Times New Roman"/>
                <w:color w:val="000000" w:themeColor="text1"/>
                <w:sz w:val="13"/>
                <w:szCs w:val="13"/>
              </w:rPr>
              <w:t>10.75</w:t>
            </w:r>
          </w:p>
        </w:tc>
        <w:tc>
          <w:tcPr>
            <w:tcW w:w="720" w:type="dxa"/>
            <w:tcBorders>
              <w:top w:val="nil"/>
              <w:left w:val="nil"/>
              <w:bottom w:val="nil"/>
              <w:right w:val="nil"/>
            </w:tcBorders>
            <w:noWrap/>
            <w:vAlign w:val="center"/>
            <w:hideMark/>
          </w:tcPr>
          <w:p w14:paraId="727C0A7B" w14:textId="77777777" w:rsidR="00BB138C" w:rsidRPr="00EF6679" w:rsidRDefault="00BB138C" w:rsidP="00820288">
            <w:pPr>
              <w:spacing w:line="240" w:lineRule="auto"/>
              <w:jc w:val="center"/>
              <w:rPr>
                <w:rFonts w:ascii="Times New Roman" w:eastAsia="Times New Roman" w:hAnsi="Times New Roman" w:cs="Times New Roman"/>
                <w:color w:val="000000" w:themeColor="text1"/>
                <w:sz w:val="13"/>
                <w:szCs w:val="13"/>
              </w:rPr>
            </w:pPr>
            <w:r w:rsidRPr="00EF6679">
              <w:rPr>
                <w:rFonts w:ascii="Times New Roman" w:eastAsia="Times New Roman" w:hAnsi="Times New Roman" w:cs="Times New Roman"/>
                <w:color w:val="000000" w:themeColor="text1"/>
                <w:sz w:val="13"/>
                <w:szCs w:val="13"/>
              </w:rPr>
              <w:t>4.76</w:t>
            </w:r>
          </w:p>
        </w:tc>
        <w:tc>
          <w:tcPr>
            <w:tcW w:w="864" w:type="dxa"/>
            <w:tcBorders>
              <w:top w:val="nil"/>
              <w:left w:val="nil"/>
              <w:bottom w:val="nil"/>
              <w:right w:val="nil"/>
            </w:tcBorders>
            <w:noWrap/>
            <w:vAlign w:val="center"/>
            <w:hideMark/>
          </w:tcPr>
          <w:p w14:paraId="1BAB03C7" w14:textId="77777777" w:rsidR="00BB138C" w:rsidRPr="00EF6679" w:rsidRDefault="00BB138C" w:rsidP="00820288">
            <w:pPr>
              <w:spacing w:line="240" w:lineRule="auto"/>
              <w:jc w:val="center"/>
              <w:rPr>
                <w:rFonts w:ascii="Times New Roman" w:eastAsia="Times New Roman" w:hAnsi="Times New Roman" w:cs="Times New Roman"/>
                <w:color w:val="000000" w:themeColor="text1"/>
                <w:sz w:val="13"/>
                <w:szCs w:val="13"/>
              </w:rPr>
            </w:pPr>
            <w:r w:rsidRPr="00EF6679">
              <w:rPr>
                <w:rFonts w:ascii="Times New Roman" w:eastAsia="Times New Roman" w:hAnsi="Times New Roman" w:cs="Times New Roman"/>
                <w:color w:val="000000" w:themeColor="text1"/>
                <w:sz w:val="13"/>
                <w:szCs w:val="13"/>
              </w:rPr>
              <w:t>2.38</w:t>
            </w:r>
          </w:p>
        </w:tc>
        <w:tc>
          <w:tcPr>
            <w:tcW w:w="410" w:type="dxa"/>
            <w:tcBorders>
              <w:top w:val="nil"/>
              <w:left w:val="nil"/>
              <w:bottom w:val="nil"/>
              <w:right w:val="nil"/>
            </w:tcBorders>
            <w:noWrap/>
          </w:tcPr>
          <w:p w14:paraId="0ABC9CC6" w14:textId="77777777" w:rsidR="00BB138C" w:rsidRPr="00EF6679" w:rsidRDefault="00BB138C" w:rsidP="00820288">
            <w:pPr>
              <w:spacing w:line="240" w:lineRule="auto"/>
              <w:jc w:val="right"/>
              <w:rPr>
                <w:rFonts w:ascii="Times New Roman" w:eastAsia="Times New Roman" w:hAnsi="Times New Roman" w:cs="Times New Roman"/>
                <w:color w:val="000000" w:themeColor="text1"/>
                <w:sz w:val="13"/>
                <w:szCs w:val="13"/>
              </w:rPr>
            </w:pPr>
          </w:p>
        </w:tc>
        <w:tc>
          <w:tcPr>
            <w:tcW w:w="864" w:type="dxa"/>
            <w:tcBorders>
              <w:top w:val="nil"/>
              <w:left w:val="nil"/>
              <w:bottom w:val="nil"/>
              <w:right w:val="nil"/>
            </w:tcBorders>
            <w:noWrap/>
            <w:vAlign w:val="center"/>
            <w:hideMark/>
          </w:tcPr>
          <w:p w14:paraId="00D7033E" w14:textId="77777777" w:rsidR="00BB138C" w:rsidRPr="00EF6679" w:rsidRDefault="00BB138C" w:rsidP="00820288">
            <w:pPr>
              <w:spacing w:line="240" w:lineRule="auto"/>
              <w:jc w:val="center"/>
              <w:rPr>
                <w:rFonts w:ascii="Times New Roman" w:eastAsia="Times New Roman" w:hAnsi="Times New Roman" w:cs="Times New Roman"/>
                <w:color w:val="000000" w:themeColor="text1"/>
                <w:sz w:val="13"/>
                <w:szCs w:val="13"/>
              </w:rPr>
            </w:pPr>
            <w:r w:rsidRPr="00EF6679">
              <w:rPr>
                <w:rFonts w:ascii="Times New Roman" w:hAnsi="Times New Roman" w:cs="Times New Roman"/>
                <w:color w:val="000000" w:themeColor="text1"/>
                <w:sz w:val="13"/>
                <w:szCs w:val="13"/>
              </w:rPr>
              <w:t>0.0012</w:t>
            </w:r>
          </w:p>
        </w:tc>
        <w:tc>
          <w:tcPr>
            <w:tcW w:w="720" w:type="dxa"/>
            <w:tcBorders>
              <w:top w:val="nil"/>
              <w:left w:val="nil"/>
              <w:bottom w:val="nil"/>
              <w:right w:val="nil"/>
            </w:tcBorders>
            <w:noWrap/>
            <w:vAlign w:val="center"/>
            <w:hideMark/>
          </w:tcPr>
          <w:p w14:paraId="53A4148C" w14:textId="77777777" w:rsidR="00BB138C" w:rsidRPr="00EF6679" w:rsidRDefault="00BB138C" w:rsidP="00820288">
            <w:pPr>
              <w:spacing w:line="240" w:lineRule="auto"/>
              <w:jc w:val="center"/>
              <w:rPr>
                <w:rFonts w:ascii="Times New Roman" w:eastAsia="Times New Roman" w:hAnsi="Times New Roman" w:cs="Times New Roman"/>
                <w:color w:val="000000" w:themeColor="text1"/>
                <w:sz w:val="13"/>
                <w:szCs w:val="13"/>
              </w:rPr>
            </w:pPr>
            <w:r w:rsidRPr="00EF6679">
              <w:rPr>
                <w:rFonts w:ascii="Times New Roman" w:hAnsi="Times New Roman" w:cs="Times New Roman"/>
                <w:color w:val="000000" w:themeColor="text1"/>
                <w:sz w:val="13"/>
                <w:szCs w:val="13"/>
              </w:rPr>
              <w:t>0.0001</w:t>
            </w:r>
          </w:p>
        </w:tc>
        <w:tc>
          <w:tcPr>
            <w:tcW w:w="864" w:type="dxa"/>
            <w:tcBorders>
              <w:top w:val="nil"/>
              <w:left w:val="nil"/>
              <w:bottom w:val="nil"/>
              <w:right w:val="nil"/>
            </w:tcBorders>
            <w:noWrap/>
            <w:vAlign w:val="bottom"/>
            <w:hideMark/>
          </w:tcPr>
          <w:p w14:paraId="58B53373" w14:textId="77777777" w:rsidR="00BB138C" w:rsidRPr="00EF6679" w:rsidRDefault="00BB138C" w:rsidP="00820288">
            <w:pPr>
              <w:spacing w:line="240" w:lineRule="auto"/>
              <w:jc w:val="center"/>
              <w:rPr>
                <w:rFonts w:ascii="Times New Roman" w:eastAsia="Times New Roman" w:hAnsi="Times New Roman" w:cs="Times New Roman"/>
                <w:color w:val="000000" w:themeColor="text1"/>
                <w:sz w:val="13"/>
                <w:szCs w:val="13"/>
              </w:rPr>
            </w:pPr>
            <w:r w:rsidRPr="00EF6679">
              <w:rPr>
                <w:rFonts w:ascii="Times New Roman" w:hAnsi="Times New Roman" w:cs="Times New Roman"/>
                <w:color w:val="000000" w:themeColor="text1"/>
                <w:sz w:val="13"/>
                <w:szCs w:val="13"/>
              </w:rPr>
              <w:t>0.0086</w:t>
            </w:r>
          </w:p>
        </w:tc>
      </w:tr>
      <w:tr w:rsidR="00BB138C" w:rsidRPr="00EF6679" w14:paraId="26E77216" w14:textId="77777777" w:rsidTr="00820288">
        <w:tblPrEx>
          <w:jc w:val="lef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trHeight w:val="144"/>
        </w:trPr>
        <w:tc>
          <w:tcPr>
            <w:tcW w:w="2340" w:type="dxa"/>
            <w:tcBorders>
              <w:top w:val="nil"/>
              <w:left w:val="nil"/>
              <w:bottom w:val="nil"/>
              <w:right w:val="nil"/>
            </w:tcBorders>
            <w:noWrap/>
            <w:hideMark/>
          </w:tcPr>
          <w:p w14:paraId="65B78F98" w14:textId="77777777" w:rsidR="00BB138C" w:rsidRPr="00EF6679" w:rsidRDefault="00BB138C" w:rsidP="00820288">
            <w:pPr>
              <w:spacing w:line="240" w:lineRule="auto"/>
              <w:rPr>
                <w:rFonts w:ascii="Times New Roman" w:eastAsia="Times New Roman" w:hAnsi="Times New Roman" w:cs="Times New Roman"/>
                <w:color w:val="000000" w:themeColor="text1"/>
                <w:sz w:val="13"/>
                <w:szCs w:val="13"/>
              </w:rPr>
            </w:pPr>
            <w:r w:rsidRPr="00EF6679">
              <w:rPr>
                <w:rFonts w:ascii="Times New Roman" w:eastAsia="Times New Roman" w:hAnsi="Times New Roman" w:cs="Times New Roman"/>
                <w:color w:val="000000" w:themeColor="text1"/>
                <w:sz w:val="13"/>
                <w:szCs w:val="13"/>
              </w:rPr>
              <w:t>Ethanol, 2-Mercapto-</w:t>
            </w:r>
          </w:p>
        </w:tc>
        <w:tc>
          <w:tcPr>
            <w:tcW w:w="939" w:type="dxa"/>
            <w:tcBorders>
              <w:top w:val="nil"/>
              <w:left w:val="nil"/>
              <w:bottom w:val="nil"/>
              <w:right w:val="nil"/>
            </w:tcBorders>
            <w:noWrap/>
            <w:vAlign w:val="center"/>
            <w:hideMark/>
          </w:tcPr>
          <w:p w14:paraId="4E0CB0C1" w14:textId="77777777" w:rsidR="00BB138C" w:rsidRPr="00EF6679" w:rsidRDefault="00BB138C" w:rsidP="00820288">
            <w:pPr>
              <w:spacing w:line="240" w:lineRule="auto"/>
              <w:jc w:val="center"/>
              <w:rPr>
                <w:rFonts w:ascii="Times New Roman" w:eastAsia="Times New Roman" w:hAnsi="Times New Roman" w:cs="Times New Roman"/>
                <w:color w:val="000000" w:themeColor="text1"/>
                <w:sz w:val="13"/>
                <w:szCs w:val="13"/>
              </w:rPr>
            </w:pPr>
            <w:r w:rsidRPr="00EF6679">
              <w:rPr>
                <w:rFonts w:ascii="Times New Roman" w:eastAsia="Times New Roman" w:hAnsi="Times New Roman" w:cs="Times New Roman"/>
                <w:color w:val="000000" w:themeColor="text1"/>
                <w:sz w:val="13"/>
                <w:szCs w:val="13"/>
              </w:rPr>
              <w:t>60-24-2</w:t>
            </w:r>
          </w:p>
        </w:tc>
        <w:tc>
          <w:tcPr>
            <w:tcW w:w="1152" w:type="dxa"/>
            <w:tcBorders>
              <w:top w:val="nil"/>
              <w:left w:val="nil"/>
              <w:bottom w:val="nil"/>
              <w:right w:val="nil"/>
            </w:tcBorders>
            <w:noWrap/>
            <w:vAlign w:val="center"/>
            <w:hideMark/>
          </w:tcPr>
          <w:p w14:paraId="57E5C397" w14:textId="77777777" w:rsidR="00BB138C" w:rsidRPr="00EF6679" w:rsidRDefault="00BB138C" w:rsidP="00820288">
            <w:pPr>
              <w:spacing w:line="240" w:lineRule="auto"/>
              <w:jc w:val="center"/>
              <w:rPr>
                <w:rFonts w:ascii="Times New Roman" w:eastAsia="Times New Roman" w:hAnsi="Times New Roman" w:cs="Times New Roman"/>
                <w:color w:val="000000" w:themeColor="text1"/>
                <w:sz w:val="13"/>
                <w:szCs w:val="13"/>
              </w:rPr>
            </w:pPr>
            <w:r w:rsidRPr="00EF6679">
              <w:rPr>
                <w:rFonts w:ascii="Times New Roman" w:eastAsia="Times New Roman" w:hAnsi="Times New Roman" w:cs="Times New Roman"/>
                <w:color w:val="000000" w:themeColor="text1"/>
                <w:sz w:val="13"/>
                <w:szCs w:val="13"/>
              </w:rPr>
              <w:t>6.162</w:t>
            </w:r>
          </w:p>
        </w:tc>
        <w:tc>
          <w:tcPr>
            <w:tcW w:w="864" w:type="dxa"/>
            <w:tcBorders>
              <w:top w:val="nil"/>
              <w:left w:val="nil"/>
              <w:bottom w:val="nil"/>
              <w:right w:val="nil"/>
            </w:tcBorders>
            <w:noWrap/>
            <w:vAlign w:val="center"/>
            <w:hideMark/>
          </w:tcPr>
          <w:p w14:paraId="248D4BC7" w14:textId="77777777" w:rsidR="00BB138C" w:rsidRPr="00EF6679" w:rsidRDefault="00BB138C" w:rsidP="00820288">
            <w:pPr>
              <w:spacing w:line="240" w:lineRule="auto"/>
              <w:jc w:val="center"/>
              <w:rPr>
                <w:rFonts w:ascii="Times New Roman" w:eastAsia="Times New Roman" w:hAnsi="Times New Roman" w:cs="Times New Roman"/>
                <w:color w:val="000000" w:themeColor="text1"/>
                <w:sz w:val="13"/>
                <w:szCs w:val="13"/>
              </w:rPr>
            </w:pPr>
            <w:r w:rsidRPr="00EF6679">
              <w:rPr>
                <w:rFonts w:ascii="Times New Roman" w:eastAsia="Times New Roman" w:hAnsi="Times New Roman" w:cs="Times New Roman"/>
                <w:color w:val="000000" w:themeColor="text1"/>
                <w:sz w:val="13"/>
                <w:szCs w:val="13"/>
              </w:rPr>
              <w:t>n.d.</w:t>
            </w:r>
          </w:p>
        </w:tc>
        <w:tc>
          <w:tcPr>
            <w:tcW w:w="720" w:type="dxa"/>
            <w:tcBorders>
              <w:top w:val="nil"/>
              <w:left w:val="nil"/>
              <w:bottom w:val="nil"/>
              <w:right w:val="nil"/>
            </w:tcBorders>
            <w:noWrap/>
            <w:vAlign w:val="center"/>
            <w:hideMark/>
          </w:tcPr>
          <w:p w14:paraId="5BA0D58D" w14:textId="77777777" w:rsidR="00BB138C" w:rsidRPr="00EF6679" w:rsidRDefault="00BB138C" w:rsidP="00820288">
            <w:pPr>
              <w:spacing w:line="240" w:lineRule="auto"/>
              <w:jc w:val="center"/>
              <w:rPr>
                <w:rFonts w:ascii="Times New Roman" w:eastAsia="Times New Roman" w:hAnsi="Times New Roman" w:cs="Times New Roman"/>
                <w:color w:val="000000" w:themeColor="text1"/>
                <w:sz w:val="13"/>
                <w:szCs w:val="13"/>
              </w:rPr>
            </w:pPr>
            <w:r w:rsidRPr="00EF6679">
              <w:rPr>
                <w:rFonts w:ascii="Times New Roman" w:eastAsia="Times New Roman" w:hAnsi="Times New Roman" w:cs="Times New Roman"/>
                <w:color w:val="000000" w:themeColor="text1"/>
                <w:sz w:val="13"/>
                <w:szCs w:val="13"/>
              </w:rPr>
              <w:t>n.d.</w:t>
            </w:r>
          </w:p>
        </w:tc>
        <w:tc>
          <w:tcPr>
            <w:tcW w:w="864" w:type="dxa"/>
            <w:tcBorders>
              <w:top w:val="nil"/>
              <w:left w:val="nil"/>
              <w:bottom w:val="nil"/>
              <w:right w:val="nil"/>
            </w:tcBorders>
            <w:noWrap/>
            <w:vAlign w:val="center"/>
            <w:hideMark/>
          </w:tcPr>
          <w:p w14:paraId="442D6E45" w14:textId="77777777" w:rsidR="00BB138C" w:rsidRPr="00EF6679" w:rsidRDefault="00BB138C" w:rsidP="00820288">
            <w:pPr>
              <w:spacing w:line="240" w:lineRule="auto"/>
              <w:jc w:val="center"/>
              <w:rPr>
                <w:rFonts w:ascii="Times New Roman" w:eastAsia="Times New Roman" w:hAnsi="Times New Roman" w:cs="Times New Roman"/>
                <w:color w:val="000000" w:themeColor="text1"/>
                <w:sz w:val="13"/>
                <w:szCs w:val="13"/>
              </w:rPr>
            </w:pPr>
            <w:r w:rsidRPr="00EF6679">
              <w:rPr>
                <w:rFonts w:ascii="Times New Roman" w:eastAsia="Times New Roman" w:hAnsi="Times New Roman" w:cs="Times New Roman"/>
                <w:color w:val="000000" w:themeColor="text1"/>
                <w:sz w:val="13"/>
                <w:szCs w:val="13"/>
              </w:rPr>
              <w:t>n.d.</w:t>
            </w:r>
          </w:p>
        </w:tc>
        <w:tc>
          <w:tcPr>
            <w:tcW w:w="410" w:type="dxa"/>
            <w:tcBorders>
              <w:top w:val="nil"/>
              <w:left w:val="nil"/>
              <w:bottom w:val="nil"/>
              <w:right w:val="nil"/>
            </w:tcBorders>
            <w:noWrap/>
          </w:tcPr>
          <w:p w14:paraId="1DEC2410" w14:textId="77777777" w:rsidR="00BB138C" w:rsidRPr="00EF6679" w:rsidRDefault="00BB138C" w:rsidP="00820288">
            <w:pPr>
              <w:spacing w:line="240" w:lineRule="auto"/>
              <w:jc w:val="right"/>
              <w:rPr>
                <w:rFonts w:ascii="Times New Roman" w:eastAsia="Times New Roman" w:hAnsi="Times New Roman" w:cs="Times New Roman"/>
                <w:color w:val="000000" w:themeColor="text1"/>
                <w:sz w:val="13"/>
                <w:szCs w:val="13"/>
              </w:rPr>
            </w:pPr>
          </w:p>
        </w:tc>
        <w:tc>
          <w:tcPr>
            <w:tcW w:w="864" w:type="dxa"/>
            <w:tcBorders>
              <w:top w:val="nil"/>
              <w:left w:val="nil"/>
              <w:bottom w:val="nil"/>
              <w:right w:val="nil"/>
            </w:tcBorders>
            <w:noWrap/>
            <w:vAlign w:val="center"/>
            <w:hideMark/>
          </w:tcPr>
          <w:p w14:paraId="073028DF" w14:textId="77777777" w:rsidR="00BB138C" w:rsidRPr="00EF6679" w:rsidRDefault="00BB138C" w:rsidP="00820288">
            <w:pPr>
              <w:spacing w:line="240" w:lineRule="auto"/>
              <w:jc w:val="center"/>
              <w:rPr>
                <w:rFonts w:ascii="Times New Roman" w:eastAsia="Times New Roman" w:hAnsi="Times New Roman" w:cs="Times New Roman"/>
                <w:color w:val="000000" w:themeColor="text1"/>
                <w:sz w:val="13"/>
                <w:szCs w:val="13"/>
              </w:rPr>
            </w:pPr>
            <w:r w:rsidRPr="00EF6679">
              <w:rPr>
                <w:rFonts w:ascii="Times New Roman" w:hAnsi="Times New Roman" w:cs="Times New Roman"/>
                <w:color w:val="000000" w:themeColor="text1"/>
                <w:sz w:val="13"/>
                <w:szCs w:val="13"/>
              </w:rPr>
              <w:t>n.d.</w:t>
            </w:r>
          </w:p>
        </w:tc>
        <w:tc>
          <w:tcPr>
            <w:tcW w:w="720" w:type="dxa"/>
            <w:tcBorders>
              <w:top w:val="nil"/>
              <w:left w:val="nil"/>
              <w:bottom w:val="nil"/>
              <w:right w:val="nil"/>
            </w:tcBorders>
            <w:noWrap/>
            <w:vAlign w:val="center"/>
            <w:hideMark/>
          </w:tcPr>
          <w:p w14:paraId="5D9CA92F" w14:textId="77777777" w:rsidR="00BB138C" w:rsidRPr="00EF6679" w:rsidRDefault="00BB138C" w:rsidP="00820288">
            <w:pPr>
              <w:spacing w:line="240" w:lineRule="auto"/>
              <w:jc w:val="center"/>
              <w:rPr>
                <w:rFonts w:ascii="Times New Roman" w:eastAsia="Times New Roman" w:hAnsi="Times New Roman" w:cs="Times New Roman"/>
                <w:color w:val="000000" w:themeColor="text1"/>
                <w:sz w:val="13"/>
                <w:szCs w:val="13"/>
              </w:rPr>
            </w:pPr>
            <w:r w:rsidRPr="00EF6679">
              <w:rPr>
                <w:rFonts w:ascii="Times New Roman" w:hAnsi="Times New Roman" w:cs="Times New Roman"/>
                <w:color w:val="000000" w:themeColor="text1"/>
                <w:sz w:val="13"/>
                <w:szCs w:val="13"/>
              </w:rPr>
              <w:t>n.d.</w:t>
            </w:r>
          </w:p>
        </w:tc>
        <w:tc>
          <w:tcPr>
            <w:tcW w:w="864" w:type="dxa"/>
            <w:tcBorders>
              <w:top w:val="nil"/>
              <w:left w:val="nil"/>
              <w:bottom w:val="nil"/>
              <w:right w:val="nil"/>
            </w:tcBorders>
            <w:noWrap/>
            <w:vAlign w:val="center"/>
            <w:hideMark/>
          </w:tcPr>
          <w:p w14:paraId="5E13566D" w14:textId="77777777" w:rsidR="00BB138C" w:rsidRPr="00EF6679" w:rsidRDefault="00BB138C" w:rsidP="00820288">
            <w:pPr>
              <w:spacing w:line="240" w:lineRule="auto"/>
              <w:jc w:val="center"/>
              <w:rPr>
                <w:rFonts w:ascii="Times New Roman" w:eastAsia="Times New Roman" w:hAnsi="Times New Roman" w:cs="Times New Roman"/>
                <w:color w:val="000000" w:themeColor="text1"/>
                <w:sz w:val="13"/>
                <w:szCs w:val="13"/>
              </w:rPr>
            </w:pPr>
            <w:r w:rsidRPr="00EF6679">
              <w:rPr>
                <w:rFonts w:ascii="Times New Roman" w:hAnsi="Times New Roman" w:cs="Times New Roman"/>
                <w:color w:val="000000" w:themeColor="text1"/>
                <w:sz w:val="13"/>
                <w:szCs w:val="13"/>
              </w:rPr>
              <w:t>n.d.</w:t>
            </w:r>
          </w:p>
        </w:tc>
      </w:tr>
      <w:tr w:rsidR="00BB138C" w:rsidRPr="00EF6679" w14:paraId="45D67173" w14:textId="77777777" w:rsidTr="00820288">
        <w:tblPrEx>
          <w:jc w:val="lef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trHeight w:val="144"/>
        </w:trPr>
        <w:tc>
          <w:tcPr>
            <w:tcW w:w="2340" w:type="dxa"/>
            <w:tcBorders>
              <w:top w:val="nil"/>
              <w:left w:val="nil"/>
              <w:bottom w:val="nil"/>
              <w:right w:val="nil"/>
            </w:tcBorders>
            <w:noWrap/>
            <w:hideMark/>
          </w:tcPr>
          <w:p w14:paraId="18106B58" w14:textId="77777777" w:rsidR="00BB138C" w:rsidRPr="00EF6679" w:rsidRDefault="00BB138C" w:rsidP="00820288">
            <w:pPr>
              <w:spacing w:line="240" w:lineRule="auto"/>
              <w:rPr>
                <w:rFonts w:ascii="Times New Roman" w:eastAsia="Times New Roman" w:hAnsi="Times New Roman" w:cs="Times New Roman"/>
                <w:color w:val="000000" w:themeColor="text1"/>
                <w:sz w:val="13"/>
                <w:szCs w:val="13"/>
              </w:rPr>
            </w:pPr>
            <w:r w:rsidRPr="00EF6679">
              <w:rPr>
                <w:rFonts w:ascii="Times New Roman" w:eastAsia="Times New Roman" w:hAnsi="Times New Roman" w:cs="Times New Roman"/>
                <w:color w:val="000000" w:themeColor="text1"/>
                <w:sz w:val="13"/>
                <w:szCs w:val="13"/>
              </w:rPr>
              <w:t xml:space="preserve">Hexanal                  </w:t>
            </w:r>
          </w:p>
        </w:tc>
        <w:tc>
          <w:tcPr>
            <w:tcW w:w="939" w:type="dxa"/>
            <w:tcBorders>
              <w:top w:val="nil"/>
              <w:left w:val="nil"/>
              <w:bottom w:val="nil"/>
              <w:right w:val="nil"/>
            </w:tcBorders>
            <w:noWrap/>
            <w:vAlign w:val="center"/>
            <w:hideMark/>
          </w:tcPr>
          <w:p w14:paraId="48F2CF08" w14:textId="77777777" w:rsidR="00BB138C" w:rsidRPr="00EF6679" w:rsidRDefault="00BB138C" w:rsidP="00820288">
            <w:pPr>
              <w:spacing w:line="240" w:lineRule="auto"/>
              <w:jc w:val="center"/>
              <w:rPr>
                <w:rFonts w:ascii="Times New Roman" w:eastAsia="Times New Roman" w:hAnsi="Times New Roman" w:cs="Times New Roman"/>
                <w:color w:val="000000" w:themeColor="text1"/>
                <w:sz w:val="13"/>
                <w:szCs w:val="13"/>
              </w:rPr>
            </w:pPr>
            <w:r w:rsidRPr="00EF6679">
              <w:rPr>
                <w:rFonts w:ascii="Times New Roman" w:eastAsia="Times New Roman" w:hAnsi="Times New Roman" w:cs="Times New Roman"/>
                <w:color w:val="000000" w:themeColor="text1"/>
                <w:sz w:val="13"/>
                <w:szCs w:val="13"/>
              </w:rPr>
              <w:t>66-25-1</w:t>
            </w:r>
          </w:p>
        </w:tc>
        <w:tc>
          <w:tcPr>
            <w:tcW w:w="1152" w:type="dxa"/>
            <w:tcBorders>
              <w:top w:val="nil"/>
              <w:left w:val="nil"/>
              <w:bottom w:val="nil"/>
              <w:right w:val="nil"/>
            </w:tcBorders>
            <w:noWrap/>
            <w:vAlign w:val="center"/>
            <w:hideMark/>
          </w:tcPr>
          <w:p w14:paraId="25FD4B5C" w14:textId="77777777" w:rsidR="00BB138C" w:rsidRPr="00EF6679" w:rsidRDefault="00BB138C" w:rsidP="00820288">
            <w:pPr>
              <w:spacing w:line="240" w:lineRule="auto"/>
              <w:jc w:val="center"/>
              <w:rPr>
                <w:rFonts w:ascii="Times New Roman" w:eastAsia="Times New Roman" w:hAnsi="Times New Roman" w:cs="Times New Roman"/>
                <w:color w:val="000000" w:themeColor="text1"/>
                <w:sz w:val="13"/>
                <w:szCs w:val="13"/>
              </w:rPr>
            </w:pPr>
            <w:r w:rsidRPr="00EF6679">
              <w:rPr>
                <w:rFonts w:ascii="Times New Roman" w:eastAsia="Times New Roman" w:hAnsi="Times New Roman" w:cs="Times New Roman"/>
                <w:color w:val="000000" w:themeColor="text1"/>
                <w:sz w:val="13"/>
                <w:szCs w:val="13"/>
              </w:rPr>
              <w:t>7.271</w:t>
            </w:r>
          </w:p>
        </w:tc>
        <w:tc>
          <w:tcPr>
            <w:tcW w:w="864" w:type="dxa"/>
            <w:tcBorders>
              <w:top w:val="nil"/>
              <w:left w:val="nil"/>
              <w:bottom w:val="nil"/>
              <w:right w:val="nil"/>
            </w:tcBorders>
            <w:noWrap/>
            <w:vAlign w:val="center"/>
            <w:hideMark/>
          </w:tcPr>
          <w:p w14:paraId="0140E004" w14:textId="77777777" w:rsidR="00BB138C" w:rsidRPr="00EF6679" w:rsidRDefault="00BB138C" w:rsidP="00820288">
            <w:pPr>
              <w:spacing w:line="240" w:lineRule="auto"/>
              <w:jc w:val="center"/>
              <w:rPr>
                <w:rFonts w:ascii="Times New Roman" w:eastAsia="Times New Roman" w:hAnsi="Times New Roman" w:cs="Times New Roman"/>
                <w:color w:val="000000" w:themeColor="text1"/>
                <w:sz w:val="13"/>
                <w:szCs w:val="13"/>
              </w:rPr>
            </w:pPr>
            <w:r w:rsidRPr="00EF6679">
              <w:rPr>
                <w:rFonts w:ascii="Times New Roman" w:eastAsia="Times New Roman" w:hAnsi="Times New Roman" w:cs="Times New Roman"/>
                <w:color w:val="000000" w:themeColor="text1"/>
                <w:sz w:val="13"/>
                <w:szCs w:val="13"/>
              </w:rPr>
              <w:t>n.d.</w:t>
            </w:r>
          </w:p>
        </w:tc>
        <w:tc>
          <w:tcPr>
            <w:tcW w:w="720" w:type="dxa"/>
            <w:tcBorders>
              <w:top w:val="nil"/>
              <w:left w:val="nil"/>
              <w:bottom w:val="nil"/>
              <w:right w:val="nil"/>
            </w:tcBorders>
            <w:noWrap/>
            <w:vAlign w:val="center"/>
            <w:hideMark/>
          </w:tcPr>
          <w:p w14:paraId="30DEB9E5" w14:textId="77777777" w:rsidR="00BB138C" w:rsidRPr="00EF6679" w:rsidRDefault="00BB138C" w:rsidP="00820288">
            <w:pPr>
              <w:spacing w:line="240" w:lineRule="auto"/>
              <w:jc w:val="center"/>
              <w:rPr>
                <w:rFonts w:ascii="Times New Roman" w:eastAsia="Times New Roman" w:hAnsi="Times New Roman" w:cs="Times New Roman"/>
                <w:color w:val="000000" w:themeColor="text1"/>
                <w:sz w:val="13"/>
                <w:szCs w:val="13"/>
              </w:rPr>
            </w:pPr>
            <w:r w:rsidRPr="00EF6679">
              <w:rPr>
                <w:rFonts w:ascii="Times New Roman" w:eastAsia="Times New Roman" w:hAnsi="Times New Roman" w:cs="Times New Roman"/>
                <w:color w:val="000000" w:themeColor="text1"/>
                <w:sz w:val="13"/>
                <w:szCs w:val="13"/>
              </w:rPr>
              <w:t>n.d.</w:t>
            </w:r>
          </w:p>
        </w:tc>
        <w:tc>
          <w:tcPr>
            <w:tcW w:w="864" w:type="dxa"/>
            <w:tcBorders>
              <w:top w:val="nil"/>
              <w:left w:val="nil"/>
              <w:bottom w:val="nil"/>
              <w:right w:val="nil"/>
            </w:tcBorders>
            <w:noWrap/>
            <w:vAlign w:val="center"/>
            <w:hideMark/>
          </w:tcPr>
          <w:p w14:paraId="6B8E41C2" w14:textId="77777777" w:rsidR="00BB138C" w:rsidRPr="00EF6679" w:rsidRDefault="00BB138C" w:rsidP="00820288">
            <w:pPr>
              <w:spacing w:line="240" w:lineRule="auto"/>
              <w:jc w:val="center"/>
              <w:rPr>
                <w:rFonts w:ascii="Times New Roman" w:eastAsia="Times New Roman" w:hAnsi="Times New Roman" w:cs="Times New Roman"/>
                <w:color w:val="000000" w:themeColor="text1"/>
                <w:sz w:val="13"/>
                <w:szCs w:val="13"/>
              </w:rPr>
            </w:pPr>
            <w:r w:rsidRPr="00EF6679">
              <w:rPr>
                <w:rFonts w:ascii="Times New Roman" w:eastAsia="Times New Roman" w:hAnsi="Times New Roman" w:cs="Times New Roman"/>
                <w:color w:val="000000" w:themeColor="text1"/>
                <w:sz w:val="13"/>
                <w:szCs w:val="13"/>
              </w:rPr>
              <w:t>n.d.</w:t>
            </w:r>
          </w:p>
        </w:tc>
        <w:tc>
          <w:tcPr>
            <w:tcW w:w="410" w:type="dxa"/>
            <w:tcBorders>
              <w:top w:val="nil"/>
              <w:left w:val="nil"/>
              <w:bottom w:val="nil"/>
              <w:right w:val="nil"/>
            </w:tcBorders>
            <w:noWrap/>
          </w:tcPr>
          <w:p w14:paraId="4B7DA454" w14:textId="77777777" w:rsidR="00BB138C" w:rsidRPr="00EF6679" w:rsidRDefault="00BB138C" w:rsidP="00820288">
            <w:pPr>
              <w:spacing w:line="240" w:lineRule="auto"/>
              <w:jc w:val="right"/>
              <w:rPr>
                <w:rFonts w:ascii="Times New Roman" w:eastAsia="Times New Roman" w:hAnsi="Times New Roman" w:cs="Times New Roman"/>
                <w:color w:val="000000" w:themeColor="text1"/>
                <w:sz w:val="13"/>
                <w:szCs w:val="13"/>
              </w:rPr>
            </w:pPr>
          </w:p>
        </w:tc>
        <w:tc>
          <w:tcPr>
            <w:tcW w:w="864" w:type="dxa"/>
            <w:tcBorders>
              <w:top w:val="nil"/>
              <w:left w:val="nil"/>
              <w:bottom w:val="nil"/>
              <w:right w:val="nil"/>
            </w:tcBorders>
            <w:noWrap/>
            <w:vAlign w:val="center"/>
            <w:hideMark/>
          </w:tcPr>
          <w:p w14:paraId="2E15FB84" w14:textId="77777777" w:rsidR="00BB138C" w:rsidRPr="00EF6679" w:rsidRDefault="00BB138C" w:rsidP="00820288">
            <w:pPr>
              <w:spacing w:line="240" w:lineRule="auto"/>
              <w:jc w:val="center"/>
              <w:rPr>
                <w:rFonts w:ascii="Times New Roman" w:eastAsia="Times New Roman" w:hAnsi="Times New Roman" w:cs="Times New Roman"/>
                <w:color w:val="000000" w:themeColor="text1"/>
                <w:sz w:val="13"/>
                <w:szCs w:val="13"/>
              </w:rPr>
            </w:pPr>
            <w:r w:rsidRPr="00EF6679">
              <w:rPr>
                <w:rFonts w:ascii="Times New Roman" w:hAnsi="Times New Roman" w:cs="Times New Roman"/>
                <w:color w:val="000000" w:themeColor="text1"/>
                <w:sz w:val="13"/>
                <w:szCs w:val="13"/>
              </w:rPr>
              <w:t>n.d.</w:t>
            </w:r>
          </w:p>
        </w:tc>
        <w:tc>
          <w:tcPr>
            <w:tcW w:w="720" w:type="dxa"/>
            <w:tcBorders>
              <w:top w:val="nil"/>
              <w:left w:val="nil"/>
              <w:bottom w:val="nil"/>
              <w:right w:val="nil"/>
            </w:tcBorders>
            <w:noWrap/>
            <w:vAlign w:val="center"/>
            <w:hideMark/>
          </w:tcPr>
          <w:p w14:paraId="1C5EB7FE" w14:textId="77777777" w:rsidR="00BB138C" w:rsidRPr="00EF6679" w:rsidRDefault="00BB138C" w:rsidP="00820288">
            <w:pPr>
              <w:spacing w:line="240" w:lineRule="auto"/>
              <w:jc w:val="center"/>
              <w:rPr>
                <w:rFonts w:ascii="Times New Roman" w:eastAsia="Times New Roman" w:hAnsi="Times New Roman" w:cs="Times New Roman"/>
                <w:color w:val="000000" w:themeColor="text1"/>
                <w:sz w:val="13"/>
                <w:szCs w:val="13"/>
              </w:rPr>
            </w:pPr>
            <w:r w:rsidRPr="00EF6679">
              <w:rPr>
                <w:rFonts w:ascii="Times New Roman" w:hAnsi="Times New Roman" w:cs="Times New Roman"/>
                <w:color w:val="000000" w:themeColor="text1"/>
                <w:sz w:val="13"/>
                <w:szCs w:val="13"/>
              </w:rPr>
              <w:t>n.d.</w:t>
            </w:r>
          </w:p>
        </w:tc>
        <w:tc>
          <w:tcPr>
            <w:tcW w:w="864" w:type="dxa"/>
            <w:tcBorders>
              <w:top w:val="nil"/>
              <w:left w:val="nil"/>
              <w:bottom w:val="nil"/>
              <w:right w:val="nil"/>
            </w:tcBorders>
            <w:noWrap/>
            <w:vAlign w:val="center"/>
            <w:hideMark/>
          </w:tcPr>
          <w:p w14:paraId="78C55839" w14:textId="77777777" w:rsidR="00BB138C" w:rsidRPr="00EF6679" w:rsidRDefault="00BB138C" w:rsidP="00820288">
            <w:pPr>
              <w:spacing w:line="240" w:lineRule="auto"/>
              <w:jc w:val="center"/>
              <w:rPr>
                <w:rFonts w:ascii="Times New Roman" w:eastAsia="Times New Roman" w:hAnsi="Times New Roman" w:cs="Times New Roman"/>
                <w:color w:val="000000" w:themeColor="text1"/>
                <w:sz w:val="13"/>
                <w:szCs w:val="13"/>
              </w:rPr>
            </w:pPr>
            <w:r w:rsidRPr="00EF6679">
              <w:rPr>
                <w:rFonts w:ascii="Times New Roman" w:hAnsi="Times New Roman" w:cs="Times New Roman"/>
                <w:color w:val="000000" w:themeColor="text1"/>
                <w:sz w:val="13"/>
                <w:szCs w:val="13"/>
              </w:rPr>
              <w:t>n.d.</w:t>
            </w:r>
          </w:p>
        </w:tc>
      </w:tr>
      <w:tr w:rsidR="00BB138C" w:rsidRPr="00EF6679" w14:paraId="7E3AA549" w14:textId="77777777" w:rsidTr="00820288">
        <w:tblPrEx>
          <w:jc w:val="lef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trHeight w:val="144"/>
        </w:trPr>
        <w:tc>
          <w:tcPr>
            <w:tcW w:w="2340" w:type="dxa"/>
            <w:tcBorders>
              <w:top w:val="nil"/>
              <w:left w:val="nil"/>
              <w:bottom w:val="nil"/>
              <w:right w:val="nil"/>
            </w:tcBorders>
            <w:noWrap/>
            <w:hideMark/>
          </w:tcPr>
          <w:p w14:paraId="4ECB3499" w14:textId="77777777" w:rsidR="00BB138C" w:rsidRPr="00EF6679" w:rsidRDefault="00BB138C" w:rsidP="00820288">
            <w:pPr>
              <w:spacing w:line="240" w:lineRule="auto"/>
              <w:rPr>
                <w:rFonts w:ascii="Times New Roman" w:eastAsia="Times New Roman" w:hAnsi="Times New Roman" w:cs="Times New Roman"/>
                <w:color w:val="000000" w:themeColor="text1"/>
                <w:sz w:val="13"/>
                <w:szCs w:val="13"/>
              </w:rPr>
            </w:pPr>
            <w:r w:rsidRPr="00EF6679">
              <w:rPr>
                <w:rFonts w:ascii="Times New Roman" w:eastAsia="Times New Roman" w:hAnsi="Times New Roman" w:cs="Times New Roman"/>
                <w:color w:val="000000" w:themeColor="text1"/>
                <w:sz w:val="13"/>
                <w:szCs w:val="13"/>
              </w:rPr>
              <w:t xml:space="preserve">(Z)-3-Heptene            </w:t>
            </w:r>
          </w:p>
        </w:tc>
        <w:tc>
          <w:tcPr>
            <w:tcW w:w="939" w:type="dxa"/>
            <w:tcBorders>
              <w:top w:val="nil"/>
              <w:left w:val="nil"/>
              <w:bottom w:val="nil"/>
              <w:right w:val="nil"/>
            </w:tcBorders>
            <w:noWrap/>
            <w:vAlign w:val="center"/>
            <w:hideMark/>
          </w:tcPr>
          <w:p w14:paraId="64ADBA08" w14:textId="77777777" w:rsidR="00BB138C" w:rsidRPr="00EF6679" w:rsidRDefault="00BB138C" w:rsidP="00820288">
            <w:pPr>
              <w:spacing w:line="240" w:lineRule="auto"/>
              <w:jc w:val="center"/>
              <w:rPr>
                <w:rFonts w:ascii="Times New Roman" w:eastAsia="Times New Roman" w:hAnsi="Times New Roman" w:cs="Times New Roman"/>
                <w:color w:val="000000" w:themeColor="text1"/>
                <w:sz w:val="13"/>
                <w:szCs w:val="13"/>
              </w:rPr>
            </w:pPr>
            <w:r w:rsidRPr="00EF6679">
              <w:rPr>
                <w:rFonts w:ascii="Times New Roman" w:eastAsia="Times New Roman" w:hAnsi="Times New Roman" w:cs="Times New Roman"/>
                <w:color w:val="000000" w:themeColor="text1"/>
                <w:sz w:val="13"/>
                <w:szCs w:val="13"/>
              </w:rPr>
              <w:t>7642-10-6</w:t>
            </w:r>
          </w:p>
        </w:tc>
        <w:tc>
          <w:tcPr>
            <w:tcW w:w="1152" w:type="dxa"/>
            <w:tcBorders>
              <w:top w:val="nil"/>
              <w:left w:val="nil"/>
              <w:bottom w:val="nil"/>
              <w:right w:val="nil"/>
            </w:tcBorders>
            <w:noWrap/>
            <w:vAlign w:val="center"/>
            <w:hideMark/>
          </w:tcPr>
          <w:p w14:paraId="77C6A6AF" w14:textId="77777777" w:rsidR="00BB138C" w:rsidRPr="00EF6679" w:rsidRDefault="00BB138C" w:rsidP="00820288">
            <w:pPr>
              <w:spacing w:line="240" w:lineRule="auto"/>
              <w:jc w:val="center"/>
              <w:rPr>
                <w:rFonts w:ascii="Times New Roman" w:eastAsia="Times New Roman" w:hAnsi="Times New Roman" w:cs="Times New Roman"/>
                <w:color w:val="000000" w:themeColor="text1"/>
                <w:sz w:val="13"/>
                <w:szCs w:val="13"/>
              </w:rPr>
            </w:pPr>
            <w:r w:rsidRPr="00EF6679">
              <w:rPr>
                <w:rFonts w:ascii="Times New Roman" w:eastAsia="Times New Roman" w:hAnsi="Times New Roman" w:cs="Times New Roman"/>
                <w:color w:val="000000" w:themeColor="text1"/>
                <w:sz w:val="13"/>
                <w:szCs w:val="13"/>
              </w:rPr>
              <w:t>7.447</w:t>
            </w:r>
          </w:p>
        </w:tc>
        <w:tc>
          <w:tcPr>
            <w:tcW w:w="864" w:type="dxa"/>
            <w:tcBorders>
              <w:top w:val="nil"/>
              <w:left w:val="nil"/>
              <w:bottom w:val="nil"/>
              <w:right w:val="nil"/>
            </w:tcBorders>
            <w:noWrap/>
            <w:vAlign w:val="center"/>
            <w:hideMark/>
          </w:tcPr>
          <w:p w14:paraId="1AF5895A" w14:textId="77777777" w:rsidR="00BB138C" w:rsidRPr="00EF6679" w:rsidRDefault="00BB138C" w:rsidP="00820288">
            <w:pPr>
              <w:spacing w:line="240" w:lineRule="auto"/>
              <w:jc w:val="center"/>
              <w:rPr>
                <w:rFonts w:ascii="Times New Roman" w:eastAsia="Times New Roman" w:hAnsi="Times New Roman" w:cs="Times New Roman"/>
                <w:color w:val="000000" w:themeColor="text1"/>
                <w:sz w:val="13"/>
                <w:szCs w:val="13"/>
              </w:rPr>
            </w:pPr>
            <w:r w:rsidRPr="00EF6679">
              <w:rPr>
                <w:rFonts w:ascii="Times New Roman" w:eastAsia="Times New Roman" w:hAnsi="Times New Roman" w:cs="Times New Roman"/>
                <w:color w:val="000000" w:themeColor="text1"/>
                <w:sz w:val="13"/>
                <w:szCs w:val="13"/>
              </w:rPr>
              <w:t>n.d.</w:t>
            </w:r>
          </w:p>
        </w:tc>
        <w:tc>
          <w:tcPr>
            <w:tcW w:w="720" w:type="dxa"/>
            <w:tcBorders>
              <w:top w:val="nil"/>
              <w:left w:val="nil"/>
              <w:bottom w:val="nil"/>
              <w:right w:val="nil"/>
            </w:tcBorders>
            <w:noWrap/>
            <w:vAlign w:val="center"/>
            <w:hideMark/>
          </w:tcPr>
          <w:p w14:paraId="58A30C3F" w14:textId="77777777" w:rsidR="00BB138C" w:rsidRPr="00EF6679" w:rsidRDefault="00BB138C" w:rsidP="00820288">
            <w:pPr>
              <w:spacing w:line="240" w:lineRule="auto"/>
              <w:jc w:val="center"/>
              <w:rPr>
                <w:rFonts w:ascii="Times New Roman" w:eastAsia="Times New Roman" w:hAnsi="Times New Roman" w:cs="Times New Roman"/>
                <w:color w:val="000000" w:themeColor="text1"/>
                <w:sz w:val="13"/>
                <w:szCs w:val="13"/>
              </w:rPr>
            </w:pPr>
            <w:r w:rsidRPr="00EF6679">
              <w:rPr>
                <w:rFonts w:ascii="Times New Roman" w:eastAsia="Times New Roman" w:hAnsi="Times New Roman" w:cs="Times New Roman"/>
                <w:color w:val="000000" w:themeColor="text1"/>
                <w:sz w:val="13"/>
                <w:szCs w:val="13"/>
              </w:rPr>
              <w:t>n.d.</w:t>
            </w:r>
          </w:p>
        </w:tc>
        <w:tc>
          <w:tcPr>
            <w:tcW w:w="864" w:type="dxa"/>
            <w:tcBorders>
              <w:top w:val="nil"/>
              <w:left w:val="nil"/>
              <w:bottom w:val="nil"/>
              <w:right w:val="nil"/>
            </w:tcBorders>
            <w:noWrap/>
            <w:vAlign w:val="center"/>
            <w:hideMark/>
          </w:tcPr>
          <w:p w14:paraId="0219C2D4" w14:textId="77777777" w:rsidR="00BB138C" w:rsidRPr="00EF6679" w:rsidRDefault="00BB138C" w:rsidP="00820288">
            <w:pPr>
              <w:spacing w:line="240" w:lineRule="auto"/>
              <w:jc w:val="center"/>
              <w:rPr>
                <w:rFonts w:ascii="Times New Roman" w:eastAsia="Times New Roman" w:hAnsi="Times New Roman" w:cs="Times New Roman"/>
                <w:color w:val="000000" w:themeColor="text1"/>
                <w:sz w:val="13"/>
                <w:szCs w:val="13"/>
              </w:rPr>
            </w:pPr>
            <w:r w:rsidRPr="00EF6679">
              <w:rPr>
                <w:rFonts w:ascii="Times New Roman" w:eastAsia="Times New Roman" w:hAnsi="Times New Roman" w:cs="Times New Roman"/>
                <w:color w:val="000000" w:themeColor="text1"/>
                <w:sz w:val="13"/>
                <w:szCs w:val="13"/>
              </w:rPr>
              <w:t>n.d.</w:t>
            </w:r>
          </w:p>
        </w:tc>
        <w:tc>
          <w:tcPr>
            <w:tcW w:w="410" w:type="dxa"/>
            <w:tcBorders>
              <w:top w:val="nil"/>
              <w:left w:val="nil"/>
              <w:bottom w:val="nil"/>
              <w:right w:val="nil"/>
            </w:tcBorders>
            <w:noWrap/>
          </w:tcPr>
          <w:p w14:paraId="3153EEBF" w14:textId="77777777" w:rsidR="00BB138C" w:rsidRPr="00EF6679" w:rsidRDefault="00BB138C" w:rsidP="00820288">
            <w:pPr>
              <w:spacing w:line="240" w:lineRule="auto"/>
              <w:jc w:val="right"/>
              <w:rPr>
                <w:rFonts w:ascii="Times New Roman" w:eastAsia="Times New Roman" w:hAnsi="Times New Roman" w:cs="Times New Roman"/>
                <w:color w:val="000000" w:themeColor="text1"/>
                <w:sz w:val="13"/>
                <w:szCs w:val="13"/>
              </w:rPr>
            </w:pPr>
          </w:p>
        </w:tc>
        <w:tc>
          <w:tcPr>
            <w:tcW w:w="864" w:type="dxa"/>
            <w:tcBorders>
              <w:top w:val="nil"/>
              <w:left w:val="nil"/>
              <w:bottom w:val="nil"/>
              <w:right w:val="nil"/>
            </w:tcBorders>
            <w:noWrap/>
            <w:vAlign w:val="center"/>
            <w:hideMark/>
          </w:tcPr>
          <w:p w14:paraId="7BFAE3E9" w14:textId="77777777" w:rsidR="00BB138C" w:rsidRPr="00EF6679" w:rsidRDefault="00BB138C" w:rsidP="00820288">
            <w:pPr>
              <w:spacing w:line="240" w:lineRule="auto"/>
              <w:jc w:val="center"/>
              <w:rPr>
                <w:rFonts w:ascii="Times New Roman" w:eastAsia="Times New Roman" w:hAnsi="Times New Roman" w:cs="Times New Roman"/>
                <w:color w:val="000000" w:themeColor="text1"/>
                <w:sz w:val="13"/>
                <w:szCs w:val="13"/>
              </w:rPr>
            </w:pPr>
            <w:r w:rsidRPr="00EF6679">
              <w:rPr>
                <w:rFonts w:ascii="Times New Roman" w:hAnsi="Times New Roman" w:cs="Times New Roman"/>
                <w:color w:val="000000" w:themeColor="text1"/>
                <w:sz w:val="13"/>
                <w:szCs w:val="13"/>
              </w:rPr>
              <w:t>n.d.</w:t>
            </w:r>
          </w:p>
        </w:tc>
        <w:tc>
          <w:tcPr>
            <w:tcW w:w="720" w:type="dxa"/>
            <w:tcBorders>
              <w:top w:val="nil"/>
              <w:left w:val="nil"/>
              <w:bottom w:val="nil"/>
              <w:right w:val="nil"/>
            </w:tcBorders>
            <w:noWrap/>
            <w:vAlign w:val="center"/>
            <w:hideMark/>
          </w:tcPr>
          <w:p w14:paraId="63066046" w14:textId="77777777" w:rsidR="00BB138C" w:rsidRPr="00EF6679" w:rsidRDefault="00BB138C" w:rsidP="00820288">
            <w:pPr>
              <w:spacing w:line="240" w:lineRule="auto"/>
              <w:jc w:val="center"/>
              <w:rPr>
                <w:rFonts w:ascii="Times New Roman" w:eastAsia="Times New Roman" w:hAnsi="Times New Roman" w:cs="Times New Roman"/>
                <w:color w:val="000000" w:themeColor="text1"/>
                <w:sz w:val="13"/>
                <w:szCs w:val="13"/>
              </w:rPr>
            </w:pPr>
            <w:r w:rsidRPr="00EF6679">
              <w:rPr>
                <w:rFonts w:ascii="Times New Roman" w:hAnsi="Times New Roman" w:cs="Times New Roman"/>
                <w:color w:val="000000" w:themeColor="text1"/>
                <w:sz w:val="13"/>
                <w:szCs w:val="13"/>
              </w:rPr>
              <w:t>n.d.</w:t>
            </w:r>
          </w:p>
        </w:tc>
        <w:tc>
          <w:tcPr>
            <w:tcW w:w="864" w:type="dxa"/>
            <w:tcBorders>
              <w:top w:val="nil"/>
              <w:left w:val="nil"/>
              <w:bottom w:val="nil"/>
              <w:right w:val="nil"/>
            </w:tcBorders>
            <w:noWrap/>
            <w:vAlign w:val="center"/>
            <w:hideMark/>
          </w:tcPr>
          <w:p w14:paraId="06A83660" w14:textId="77777777" w:rsidR="00BB138C" w:rsidRPr="00EF6679" w:rsidRDefault="00BB138C" w:rsidP="00820288">
            <w:pPr>
              <w:spacing w:line="240" w:lineRule="auto"/>
              <w:jc w:val="center"/>
              <w:rPr>
                <w:rFonts w:ascii="Times New Roman" w:eastAsia="Times New Roman" w:hAnsi="Times New Roman" w:cs="Times New Roman"/>
                <w:color w:val="000000" w:themeColor="text1"/>
                <w:sz w:val="13"/>
                <w:szCs w:val="13"/>
              </w:rPr>
            </w:pPr>
            <w:r w:rsidRPr="00EF6679">
              <w:rPr>
                <w:rFonts w:ascii="Times New Roman" w:hAnsi="Times New Roman" w:cs="Times New Roman"/>
                <w:color w:val="000000" w:themeColor="text1"/>
                <w:sz w:val="13"/>
                <w:szCs w:val="13"/>
              </w:rPr>
              <w:t>n.d.</w:t>
            </w:r>
          </w:p>
        </w:tc>
      </w:tr>
      <w:tr w:rsidR="00BB138C" w:rsidRPr="00EF6679" w14:paraId="27B27FF7" w14:textId="77777777" w:rsidTr="00820288">
        <w:tblPrEx>
          <w:jc w:val="lef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trHeight w:val="144"/>
        </w:trPr>
        <w:tc>
          <w:tcPr>
            <w:tcW w:w="2340" w:type="dxa"/>
            <w:tcBorders>
              <w:top w:val="nil"/>
              <w:left w:val="nil"/>
              <w:bottom w:val="nil"/>
              <w:right w:val="nil"/>
            </w:tcBorders>
            <w:noWrap/>
            <w:hideMark/>
          </w:tcPr>
          <w:p w14:paraId="2AE3EC5D" w14:textId="77777777" w:rsidR="00BB138C" w:rsidRPr="00EF6679" w:rsidRDefault="00BB138C" w:rsidP="00820288">
            <w:pPr>
              <w:spacing w:line="240" w:lineRule="auto"/>
              <w:rPr>
                <w:rFonts w:ascii="Times New Roman" w:eastAsia="Times New Roman" w:hAnsi="Times New Roman" w:cs="Times New Roman"/>
                <w:color w:val="000000" w:themeColor="text1"/>
                <w:sz w:val="13"/>
                <w:szCs w:val="13"/>
              </w:rPr>
            </w:pPr>
            <w:r w:rsidRPr="00EF6679">
              <w:rPr>
                <w:rFonts w:ascii="Times New Roman" w:eastAsia="Times New Roman" w:hAnsi="Times New Roman" w:cs="Times New Roman"/>
                <w:color w:val="000000" w:themeColor="text1"/>
                <w:sz w:val="13"/>
                <w:szCs w:val="13"/>
              </w:rPr>
              <w:t xml:space="preserve">2-ethyl-2-Butenal   </w:t>
            </w:r>
          </w:p>
        </w:tc>
        <w:tc>
          <w:tcPr>
            <w:tcW w:w="939" w:type="dxa"/>
            <w:tcBorders>
              <w:top w:val="nil"/>
              <w:left w:val="nil"/>
              <w:bottom w:val="nil"/>
              <w:right w:val="nil"/>
            </w:tcBorders>
            <w:noWrap/>
            <w:vAlign w:val="center"/>
            <w:hideMark/>
          </w:tcPr>
          <w:p w14:paraId="04EF7598" w14:textId="77777777" w:rsidR="00BB138C" w:rsidRPr="00EF6679" w:rsidRDefault="00BB138C" w:rsidP="00820288">
            <w:pPr>
              <w:spacing w:line="240" w:lineRule="auto"/>
              <w:jc w:val="center"/>
              <w:rPr>
                <w:rFonts w:ascii="Times New Roman" w:eastAsia="Times New Roman" w:hAnsi="Times New Roman" w:cs="Times New Roman"/>
                <w:color w:val="000000" w:themeColor="text1"/>
                <w:sz w:val="13"/>
                <w:szCs w:val="13"/>
              </w:rPr>
            </w:pPr>
            <w:r w:rsidRPr="00EF6679">
              <w:rPr>
                <w:rFonts w:ascii="Times New Roman" w:eastAsia="Times New Roman" w:hAnsi="Times New Roman" w:cs="Times New Roman"/>
                <w:color w:val="000000" w:themeColor="text1"/>
                <w:sz w:val="13"/>
                <w:szCs w:val="13"/>
              </w:rPr>
              <w:t>19780-25-7</w:t>
            </w:r>
          </w:p>
        </w:tc>
        <w:tc>
          <w:tcPr>
            <w:tcW w:w="1152" w:type="dxa"/>
            <w:tcBorders>
              <w:top w:val="nil"/>
              <w:left w:val="nil"/>
              <w:bottom w:val="nil"/>
              <w:right w:val="nil"/>
            </w:tcBorders>
            <w:noWrap/>
            <w:vAlign w:val="center"/>
            <w:hideMark/>
          </w:tcPr>
          <w:p w14:paraId="717EF878" w14:textId="77777777" w:rsidR="00BB138C" w:rsidRPr="00EF6679" w:rsidRDefault="00BB138C" w:rsidP="00820288">
            <w:pPr>
              <w:spacing w:line="240" w:lineRule="auto"/>
              <w:jc w:val="center"/>
              <w:rPr>
                <w:rFonts w:ascii="Times New Roman" w:eastAsia="Times New Roman" w:hAnsi="Times New Roman" w:cs="Times New Roman"/>
                <w:color w:val="000000" w:themeColor="text1"/>
                <w:sz w:val="13"/>
                <w:szCs w:val="13"/>
              </w:rPr>
            </w:pPr>
            <w:r w:rsidRPr="00EF6679">
              <w:rPr>
                <w:rFonts w:ascii="Times New Roman" w:eastAsia="Times New Roman" w:hAnsi="Times New Roman" w:cs="Times New Roman"/>
                <w:color w:val="000000" w:themeColor="text1"/>
                <w:sz w:val="13"/>
                <w:szCs w:val="13"/>
              </w:rPr>
              <w:t>7.862</w:t>
            </w:r>
          </w:p>
        </w:tc>
        <w:tc>
          <w:tcPr>
            <w:tcW w:w="864" w:type="dxa"/>
            <w:tcBorders>
              <w:top w:val="nil"/>
              <w:left w:val="nil"/>
              <w:bottom w:val="nil"/>
              <w:right w:val="nil"/>
            </w:tcBorders>
            <w:noWrap/>
            <w:vAlign w:val="center"/>
            <w:hideMark/>
          </w:tcPr>
          <w:p w14:paraId="2F0F12E6" w14:textId="77777777" w:rsidR="00BB138C" w:rsidRPr="00EF6679" w:rsidRDefault="00BB138C" w:rsidP="00820288">
            <w:pPr>
              <w:spacing w:line="240" w:lineRule="auto"/>
              <w:jc w:val="center"/>
              <w:rPr>
                <w:rFonts w:ascii="Times New Roman" w:eastAsia="Times New Roman" w:hAnsi="Times New Roman" w:cs="Times New Roman"/>
                <w:color w:val="000000" w:themeColor="text1"/>
                <w:sz w:val="13"/>
                <w:szCs w:val="13"/>
              </w:rPr>
            </w:pPr>
            <w:r w:rsidRPr="00EF6679">
              <w:rPr>
                <w:rFonts w:ascii="Times New Roman" w:eastAsia="Times New Roman" w:hAnsi="Times New Roman" w:cs="Times New Roman"/>
                <w:color w:val="000000" w:themeColor="text1"/>
                <w:sz w:val="13"/>
                <w:szCs w:val="13"/>
              </w:rPr>
              <w:t>7.00</w:t>
            </w:r>
          </w:p>
        </w:tc>
        <w:tc>
          <w:tcPr>
            <w:tcW w:w="720" w:type="dxa"/>
            <w:tcBorders>
              <w:top w:val="nil"/>
              <w:left w:val="nil"/>
              <w:bottom w:val="nil"/>
              <w:right w:val="nil"/>
            </w:tcBorders>
            <w:noWrap/>
            <w:vAlign w:val="center"/>
            <w:hideMark/>
          </w:tcPr>
          <w:p w14:paraId="7054CC68" w14:textId="77777777" w:rsidR="00BB138C" w:rsidRPr="00EF6679" w:rsidRDefault="00BB138C" w:rsidP="00820288">
            <w:pPr>
              <w:spacing w:line="240" w:lineRule="auto"/>
              <w:jc w:val="center"/>
              <w:rPr>
                <w:rFonts w:ascii="Times New Roman" w:eastAsia="Times New Roman" w:hAnsi="Times New Roman" w:cs="Times New Roman"/>
                <w:color w:val="000000" w:themeColor="text1"/>
                <w:sz w:val="13"/>
                <w:szCs w:val="13"/>
              </w:rPr>
            </w:pPr>
            <w:r w:rsidRPr="00EF6679">
              <w:rPr>
                <w:rFonts w:ascii="Times New Roman" w:eastAsia="Times New Roman" w:hAnsi="Times New Roman" w:cs="Times New Roman"/>
                <w:color w:val="000000" w:themeColor="text1"/>
                <w:sz w:val="13"/>
                <w:szCs w:val="13"/>
              </w:rPr>
              <w:t>4.87</w:t>
            </w:r>
          </w:p>
        </w:tc>
        <w:tc>
          <w:tcPr>
            <w:tcW w:w="864" w:type="dxa"/>
            <w:tcBorders>
              <w:top w:val="nil"/>
              <w:left w:val="nil"/>
              <w:bottom w:val="nil"/>
              <w:right w:val="nil"/>
            </w:tcBorders>
            <w:noWrap/>
            <w:vAlign w:val="center"/>
            <w:hideMark/>
          </w:tcPr>
          <w:p w14:paraId="00329D3C" w14:textId="77777777" w:rsidR="00BB138C" w:rsidRPr="00EF6679" w:rsidRDefault="00BB138C" w:rsidP="00820288">
            <w:pPr>
              <w:spacing w:line="240" w:lineRule="auto"/>
              <w:jc w:val="center"/>
              <w:rPr>
                <w:rFonts w:ascii="Times New Roman" w:eastAsia="Times New Roman" w:hAnsi="Times New Roman" w:cs="Times New Roman"/>
                <w:color w:val="000000" w:themeColor="text1"/>
                <w:sz w:val="13"/>
                <w:szCs w:val="13"/>
              </w:rPr>
            </w:pPr>
            <w:r w:rsidRPr="00EF6679">
              <w:rPr>
                <w:rFonts w:ascii="Times New Roman" w:eastAsia="Times New Roman" w:hAnsi="Times New Roman" w:cs="Times New Roman"/>
                <w:color w:val="000000" w:themeColor="text1"/>
                <w:sz w:val="13"/>
                <w:szCs w:val="13"/>
              </w:rPr>
              <w:t>1.26</w:t>
            </w:r>
          </w:p>
        </w:tc>
        <w:tc>
          <w:tcPr>
            <w:tcW w:w="410" w:type="dxa"/>
            <w:tcBorders>
              <w:top w:val="nil"/>
              <w:left w:val="nil"/>
              <w:bottom w:val="nil"/>
              <w:right w:val="nil"/>
            </w:tcBorders>
            <w:noWrap/>
          </w:tcPr>
          <w:p w14:paraId="30C6A631" w14:textId="77777777" w:rsidR="00BB138C" w:rsidRPr="00EF6679" w:rsidRDefault="00BB138C" w:rsidP="00820288">
            <w:pPr>
              <w:spacing w:line="240" w:lineRule="auto"/>
              <w:jc w:val="right"/>
              <w:rPr>
                <w:rFonts w:ascii="Times New Roman" w:eastAsia="Times New Roman" w:hAnsi="Times New Roman" w:cs="Times New Roman"/>
                <w:color w:val="000000" w:themeColor="text1"/>
                <w:sz w:val="13"/>
                <w:szCs w:val="13"/>
              </w:rPr>
            </w:pPr>
          </w:p>
        </w:tc>
        <w:tc>
          <w:tcPr>
            <w:tcW w:w="864" w:type="dxa"/>
            <w:tcBorders>
              <w:top w:val="nil"/>
              <w:left w:val="nil"/>
              <w:bottom w:val="nil"/>
              <w:right w:val="nil"/>
            </w:tcBorders>
            <w:noWrap/>
            <w:vAlign w:val="center"/>
            <w:hideMark/>
          </w:tcPr>
          <w:p w14:paraId="4FE283C3" w14:textId="77777777" w:rsidR="00BB138C" w:rsidRPr="00EF6679" w:rsidRDefault="00BB138C" w:rsidP="00820288">
            <w:pPr>
              <w:spacing w:line="240" w:lineRule="auto"/>
              <w:jc w:val="center"/>
              <w:rPr>
                <w:rFonts w:ascii="Times New Roman" w:eastAsia="Times New Roman" w:hAnsi="Times New Roman" w:cs="Times New Roman"/>
                <w:color w:val="000000" w:themeColor="text1"/>
                <w:sz w:val="13"/>
                <w:szCs w:val="13"/>
              </w:rPr>
            </w:pPr>
            <w:r w:rsidRPr="00EF6679">
              <w:rPr>
                <w:rFonts w:ascii="Times New Roman" w:hAnsi="Times New Roman" w:cs="Times New Roman"/>
                <w:color w:val="000000" w:themeColor="text1"/>
                <w:sz w:val="13"/>
                <w:szCs w:val="13"/>
              </w:rPr>
              <w:t>0.0088</w:t>
            </w:r>
          </w:p>
        </w:tc>
        <w:tc>
          <w:tcPr>
            <w:tcW w:w="720" w:type="dxa"/>
            <w:tcBorders>
              <w:top w:val="nil"/>
              <w:left w:val="nil"/>
              <w:bottom w:val="nil"/>
              <w:right w:val="nil"/>
            </w:tcBorders>
            <w:noWrap/>
            <w:vAlign w:val="center"/>
            <w:hideMark/>
          </w:tcPr>
          <w:p w14:paraId="3FE5AF86" w14:textId="77777777" w:rsidR="00BB138C" w:rsidRPr="00EF6679" w:rsidRDefault="00BB138C" w:rsidP="00820288">
            <w:pPr>
              <w:spacing w:line="240" w:lineRule="auto"/>
              <w:jc w:val="center"/>
              <w:rPr>
                <w:rFonts w:ascii="Times New Roman" w:eastAsia="Times New Roman" w:hAnsi="Times New Roman" w:cs="Times New Roman"/>
                <w:color w:val="000000" w:themeColor="text1"/>
                <w:sz w:val="13"/>
                <w:szCs w:val="13"/>
              </w:rPr>
            </w:pPr>
            <w:r w:rsidRPr="00EF6679">
              <w:rPr>
                <w:rFonts w:ascii="Times New Roman" w:hAnsi="Times New Roman" w:cs="Times New Roman"/>
                <w:color w:val="000000" w:themeColor="text1"/>
                <w:sz w:val="13"/>
                <w:szCs w:val="13"/>
              </w:rPr>
              <w:t>0.0001</w:t>
            </w:r>
          </w:p>
        </w:tc>
        <w:tc>
          <w:tcPr>
            <w:tcW w:w="864" w:type="dxa"/>
            <w:tcBorders>
              <w:top w:val="nil"/>
              <w:left w:val="nil"/>
              <w:bottom w:val="nil"/>
              <w:right w:val="nil"/>
            </w:tcBorders>
            <w:noWrap/>
            <w:vAlign w:val="center"/>
            <w:hideMark/>
          </w:tcPr>
          <w:p w14:paraId="698B7FCB" w14:textId="77777777" w:rsidR="00BB138C" w:rsidRPr="00EF6679" w:rsidRDefault="00BB138C" w:rsidP="00820288">
            <w:pPr>
              <w:spacing w:line="240" w:lineRule="auto"/>
              <w:jc w:val="center"/>
              <w:rPr>
                <w:rFonts w:ascii="Times New Roman" w:eastAsia="Times New Roman" w:hAnsi="Times New Roman" w:cs="Times New Roman"/>
                <w:color w:val="000000" w:themeColor="text1"/>
                <w:sz w:val="13"/>
                <w:szCs w:val="13"/>
              </w:rPr>
            </w:pPr>
            <w:r w:rsidRPr="00EF6679">
              <w:rPr>
                <w:rFonts w:ascii="Times New Roman" w:hAnsi="Times New Roman" w:cs="Times New Roman"/>
                <w:color w:val="000000" w:themeColor="text1"/>
                <w:sz w:val="13"/>
                <w:szCs w:val="13"/>
              </w:rPr>
              <w:t>0.2481</w:t>
            </w:r>
          </w:p>
        </w:tc>
      </w:tr>
      <w:tr w:rsidR="00BB138C" w:rsidRPr="00EF6679" w14:paraId="6C1937E8" w14:textId="77777777" w:rsidTr="00820288">
        <w:tblPrEx>
          <w:jc w:val="lef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trHeight w:val="144"/>
        </w:trPr>
        <w:tc>
          <w:tcPr>
            <w:tcW w:w="2340" w:type="dxa"/>
            <w:tcBorders>
              <w:top w:val="nil"/>
              <w:left w:val="nil"/>
              <w:bottom w:val="nil"/>
              <w:right w:val="nil"/>
            </w:tcBorders>
            <w:noWrap/>
            <w:hideMark/>
          </w:tcPr>
          <w:p w14:paraId="05E3EBD1" w14:textId="77777777" w:rsidR="00BB138C" w:rsidRPr="00EF6679" w:rsidRDefault="00BB138C" w:rsidP="00820288">
            <w:pPr>
              <w:spacing w:line="240" w:lineRule="auto"/>
              <w:rPr>
                <w:rFonts w:ascii="Times New Roman" w:eastAsia="Times New Roman" w:hAnsi="Times New Roman" w:cs="Times New Roman"/>
                <w:color w:val="000000" w:themeColor="text1"/>
                <w:sz w:val="13"/>
                <w:szCs w:val="13"/>
              </w:rPr>
            </w:pPr>
            <w:r w:rsidRPr="00EF6679">
              <w:rPr>
                <w:rFonts w:ascii="Times New Roman" w:eastAsia="Times New Roman" w:hAnsi="Times New Roman" w:cs="Times New Roman"/>
                <w:color w:val="000000" w:themeColor="text1"/>
                <w:sz w:val="13"/>
                <w:szCs w:val="13"/>
              </w:rPr>
              <w:t xml:space="preserve">(E)-2-Hexenal            </w:t>
            </w:r>
          </w:p>
        </w:tc>
        <w:tc>
          <w:tcPr>
            <w:tcW w:w="939" w:type="dxa"/>
            <w:tcBorders>
              <w:top w:val="nil"/>
              <w:left w:val="nil"/>
              <w:bottom w:val="nil"/>
              <w:right w:val="nil"/>
            </w:tcBorders>
            <w:noWrap/>
            <w:vAlign w:val="center"/>
            <w:hideMark/>
          </w:tcPr>
          <w:p w14:paraId="13DA768A" w14:textId="77777777" w:rsidR="00BB138C" w:rsidRPr="00EF6679" w:rsidRDefault="00BB138C" w:rsidP="00820288">
            <w:pPr>
              <w:spacing w:line="240" w:lineRule="auto"/>
              <w:jc w:val="center"/>
              <w:rPr>
                <w:rFonts w:ascii="Times New Roman" w:eastAsia="Times New Roman" w:hAnsi="Times New Roman" w:cs="Times New Roman"/>
                <w:color w:val="000000" w:themeColor="text1"/>
                <w:sz w:val="13"/>
                <w:szCs w:val="13"/>
              </w:rPr>
            </w:pPr>
            <w:r w:rsidRPr="00EF6679">
              <w:rPr>
                <w:rFonts w:ascii="Times New Roman" w:eastAsia="Times New Roman" w:hAnsi="Times New Roman" w:cs="Times New Roman"/>
                <w:color w:val="000000" w:themeColor="text1"/>
                <w:sz w:val="13"/>
                <w:szCs w:val="13"/>
              </w:rPr>
              <w:t>6728-26-3</w:t>
            </w:r>
          </w:p>
        </w:tc>
        <w:tc>
          <w:tcPr>
            <w:tcW w:w="1152" w:type="dxa"/>
            <w:tcBorders>
              <w:top w:val="nil"/>
              <w:left w:val="nil"/>
              <w:bottom w:val="nil"/>
              <w:right w:val="nil"/>
            </w:tcBorders>
            <w:noWrap/>
            <w:vAlign w:val="center"/>
            <w:hideMark/>
          </w:tcPr>
          <w:p w14:paraId="3F0235CB" w14:textId="77777777" w:rsidR="00BB138C" w:rsidRPr="00EF6679" w:rsidRDefault="00BB138C" w:rsidP="00820288">
            <w:pPr>
              <w:spacing w:line="240" w:lineRule="auto"/>
              <w:jc w:val="center"/>
              <w:rPr>
                <w:rFonts w:ascii="Times New Roman" w:eastAsia="Times New Roman" w:hAnsi="Times New Roman" w:cs="Times New Roman"/>
                <w:color w:val="000000" w:themeColor="text1"/>
                <w:sz w:val="13"/>
                <w:szCs w:val="13"/>
              </w:rPr>
            </w:pPr>
            <w:r w:rsidRPr="00EF6679">
              <w:rPr>
                <w:rFonts w:ascii="Times New Roman" w:eastAsia="Times New Roman" w:hAnsi="Times New Roman" w:cs="Times New Roman"/>
                <w:color w:val="000000" w:themeColor="text1"/>
                <w:sz w:val="13"/>
                <w:szCs w:val="13"/>
              </w:rPr>
              <w:t>8.255</w:t>
            </w:r>
          </w:p>
        </w:tc>
        <w:tc>
          <w:tcPr>
            <w:tcW w:w="864" w:type="dxa"/>
            <w:tcBorders>
              <w:top w:val="nil"/>
              <w:left w:val="nil"/>
              <w:bottom w:val="nil"/>
              <w:right w:val="nil"/>
            </w:tcBorders>
            <w:noWrap/>
            <w:vAlign w:val="center"/>
            <w:hideMark/>
          </w:tcPr>
          <w:p w14:paraId="52D68649" w14:textId="77777777" w:rsidR="00BB138C" w:rsidRPr="00EF6679" w:rsidRDefault="00BB138C" w:rsidP="00820288">
            <w:pPr>
              <w:spacing w:line="240" w:lineRule="auto"/>
              <w:jc w:val="center"/>
              <w:rPr>
                <w:rFonts w:ascii="Times New Roman" w:eastAsia="Times New Roman" w:hAnsi="Times New Roman" w:cs="Times New Roman"/>
                <w:color w:val="000000" w:themeColor="text1"/>
                <w:sz w:val="13"/>
                <w:szCs w:val="13"/>
              </w:rPr>
            </w:pPr>
            <w:r w:rsidRPr="00EF6679">
              <w:rPr>
                <w:rFonts w:ascii="Times New Roman" w:eastAsia="Times New Roman" w:hAnsi="Times New Roman" w:cs="Times New Roman"/>
                <w:color w:val="000000" w:themeColor="text1"/>
                <w:sz w:val="13"/>
                <w:szCs w:val="13"/>
              </w:rPr>
              <w:t>2.00</w:t>
            </w:r>
          </w:p>
        </w:tc>
        <w:tc>
          <w:tcPr>
            <w:tcW w:w="720" w:type="dxa"/>
            <w:tcBorders>
              <w:top w:val="nil"/>
              <w:left w:val="nil"/>
              <w:bottom w:val="nil"/>
              <w:right w:val="nil"/>
            </w:tcBorders>
            <w:noWrap/>
            <w:vAlign w:val="center"/>
            <w:hideMark/>
          </w:tcPr>
          <w:p w14:paraId="0AEA7AAF" w14:textId="77777777" w:rsidR="00BB138C" w:rsidRPr="00EF6679" w:rsidRDefault="00BB138C" w:rsidP="00820288">
            <w:pPr>
              <w:spacing w:line="240" w:lineRule="auto"/>
              <w:jc w:val="center"/>
              <w:rPr>
                <w:rFonts w:ascii="Times New Roman" w:eastAsia="Times New Roman" w:hAnsi="Times New Roman" w:cs="Times New Roman"/>
                <w:color w:val="000000" w:themeColor="text1"/>
                <w:sz w:val="13"/>
                <w:szCs w:val="13"/>
              </w:rPr>
            </w:pPr>
            <w:r w:rsidRPr="00EF6679">
              <w:rPr>
                <w:rFonts w:ascii="Times New Roman" w:eastAsia="Times New Roman" w:hAnsi="Times New Roman" w:cs="Times New Roman"/>
                <w:color w:val="000000" w:themeColor="text1"/>
                <w:sz w:val="13"/>
                <w:szCs w:val="13"/>
              </w:rPr>
              <w:t>5.07</w:t>
            </w:r>
          </w:p>
        </w:tc>
        <w:tc>
          <w:tcPr>
            <w:tcW w:w="864" w:type="dxa"/>
            <w:tcBorders>
              <w:top w:val="nil"/>
              <w:left w:val="nil"/>
              <w:bottom w:val="nil"/>
              <w:right w:val="nil"/>
            </w:tcBorders>
            <w:noWrap/>
            <w:vAlign w:val="center"/>
            <w:hideMark/>
          </w:tcPr>
          <w:p w14:paraId="60714F15" w14:textId="77777777" w:rsidR="00BB138C" w:rsidRPr="00EF6679" w:rsidRDefault="00BB138C" w:rsidP="00820288">
            <w:pPr>
              <w:spacing w:line="240" w:lineRule="auto"/>
              <w:jc w:val="center"/>
              <w:rPr>
                <w:rFonts w:ascii="Times New Roman" w:eastAsia="Times New Roman" w:hAnsi="Times New Roman" w:cs="Times New Roman"/>
                <w:color w:val="000000" w:themeColor="text1"/>
                <w:sz w:val="13"/>
                <w:szCs w:val="13"/>
              </w:rPr>
            </w:pPr>
            <w:r w:rsidRPr="00EF6679">
              <w:rPr>
                <w:rFonts w:ascii="Times New Roman" w:eastAsia="Times New Roman" w:hAnsi="Times New Roman" w:cs="Times New Roman"/>
                <w:color w:val="000000" w:themeColor="text1"/>
                <w:sz w:val="13"/>
                <w:szCs w:val="13"/>
              </w:rPr>
              <w:t>1.65</w:t>
            </w:r>
          </w:p>
        </w:tc>
        <w:tc>
          <w:tcPr>
            <w:tcW w:w="410" w:type="dxa"/>
            <w:tcBorders>
              <w:top w:val="nil"/>
              <w:left w:val="nil"/>
              <w:bottom w:val="nil"/>
              <w:right w:val="nil"/>
            </w:tcBorders>
            <w:noWrap/>
          </w:tcPr>
          <w:p w14:paraId="75F3CBB7" w14:textId="77777777" w:rsidR="00BB138C" w:rsidRPr="00EF6679" w:rsidRDefault="00BB138C" w:rsidP="00820288">
            <w:pPr>
              <w:spacing w:line="240" w:lineRule="auto"/>
              <w:jc w:val="right"/>
              <w:rPr>
                <w:rFonts w:ascii="Times New Roman" w:eastAsia="Times New Roman" w:hAnsi="Times New Roman" w:cs="Times New Roman"/>
                <w:color w:val="000000" w:themeColor="text1"/>
                <w:sz w:val="13"/>
                <w:szCs w:val="13"/>
              </w:rPr>
            </w:pPr>
          </w:p>
        </w:tc>
        <w:tc>
          <w:tcPr>
            <w:tcW w:w="864" w:type="dxa"/>
            <w:tcBorders>
              <w:top w:val="nil"/>
              <w:left w:val="nil"/>
              <w:bottom w:val="nil"/>
              <w:right w:val="nil"/>
            </w:tcBorders>
            <w:noWrap/>
            <w:vAlign w:val="center"/>
            <w:hideMark/>
          </w:tcPr>
          <w:p w14:paraId="24DB2BAF" w14:textId="77777777" w:rsidR="00BB138C" w:rsidRPr="00EF6679" w:rsidRDefault="00BB138C" w:rsidP="00820288">
            <w:pPr>
              <w:spacing w:line="240" w:lineRule="auto"/>
              <w:jc w:val="center"/>
              <w:rPr>
                <w:rFonts w:ascii="Times New Roman" w:eastAsia="Times New Roman" w:hAnsi="Times New Roman" w:cs="Times New Roman"/>
                <w:color w:val="000000" w:themeColor="text1"/>
                <w:sz w:val="13"/>
                <w:szCs w:val="13"/>
              </w:rPr>
            </w:pPr>
            <w:r w:rsidRPr="00EF6679">
              <w:rPr>
                <w:rFonts w:ascii="Times New Roman" w:hAnsi="Times New Roman" w:cs="Times New Roman"/>
                <w:color w:val="000000" w:themeColor="text1"/>
                <w:sz w:val="13"/>
                <w:szCs w:val="13"/>
              </w:rPr>
              <w:t>0.1587</w:t>
            </w:r>
          </w:p>
        </w:tc>
        <w:tc>
          <w:tcPr>
            <w:tcW w:w="720" w:type="dxa"/>
            <w:tcBorders>
              <w:top w:val="nil"/>
              <w:left w:val="nil"/>
              <w:bottom w:val="nil"/>
              <w:right w:val="nil"/>
            </w:tcBorders>
            <w:noWrap/>
            <w:vAlign w:val="center"/>
            <w:hideMark/>
          </w:tcPr>
          <w:p w14:paraId="0727AA53" w14:textId="77777777" w:rsidR="00BB138C" w:rsidRPr="00EF6679" w:rsidRDefault="00BB138C" w:rsidP="00820288">
            <w:pPr>
              <w:spacing w:line="240" w:lineRule="auto"/>
              <w:jc w:val="center"/>
              <w:rPr>
                <w:rFonts w:ascii="Times New Roman" w:eastAsia="Times New Roman" w:hAnsi="Times New Roman" w:cs="Times New Roman"/>
                <w:color w:val="000000" w:themeColor="text1"/>
                <w:sz w:val="13"/>
                <w:szCs w:val="13"/>
              </w:rPr>
            </w:pPr>
            <w:r w:rsidRPr="00EF6679">
              <w:rPr>
                <w:rFonts w:ascii="Times New Roman" w:hAnsi="Times New Roman" w:cs="Times New Roman"/>
                <w:color w:val="000000" w:themeColor="text1"/>
                <w:sz w:val="13"/>
                <w:szCs w:val="13"/>
              </w:rPr>
              <w:t>0.0001</w:t>
            </w:r>
          </w:p>
        </w:tc>
        <w:tc>
          <w:tcPr>
            <w:tcW w:w="864" w:type="dxa"/>
            <w:tcBorders>
              <w:top w:val="nil"/>
              <w:left w:val="nil"/>
              <w:bottom w:val="nil"/>
              <w:right w:val="nil"/>
            </w:tcBorders>
            <w:noWrap/>
            <w:vAlign w:val="center"/>
            <w:hideMark/>
          </w:tcPr>
          <w:p w14:paraId="17BDEC26" w14:textId="77777777" w:rsidR="00BB138C" w:rsidRPr="00EF6679" w:rsidRDefault="00BB138C" w:rsidP="00820288">
            <w:pPr>
              <w:spacing w:line="240" w:lineRule="auto"/>
              <w:jc w:val="center"/>
              <w:rPr>
                <w:rFonts w:ascii="Times New Roman" w:eastAsia="Times New Roman" w:hAnsi="Times New Roman" w:cs="Times New Roman"/>
                <w:color w:val="000000" w:themeColor="text1"/>
                <w:sz w:val="13"/>
                <w:szCs w:val="13"/>
              </w:rPr>
            </w:pPr>
            <w:r w:rsidRPr="00EF6679">
              <w:rPr>
                <w:rFonts w:ascii="Times New Roman" w:hAnsi="Times New Roman" w:cs="Times New Roman"/>
                <w:color w:val="000000" w:themeColor="text1"/>
                <w:sz w:val="13"/>
                <w:szCs w:val="13"/>
              </w:rPr>
              <w:t>0.0883</w:t>
            </w:r>
          </w:p>
        </w:tc>
      </w:tr>
      <w:tr w:rsidR="00BB138C" w:rsidRPr="00EF6679" w14:paraId="0A62E502" w14:textId="77777777" w:rsidTr="00820288">
        <w:tblPrEx>
          <w:jc w:val="lef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trHeight w:val="144"/>
        </w:trPr>
        <w:tc>
          <w:tcPr>
            <w:tcW w:w="2340" w:type="dxa"/>
            <w:tcBorders>
              <w:top w:val="nil"/>
              <w:left w:val="nil"/>
              <w:bottom w:val="nil"/>
              <w:right w:val="nil"/>
            </w:tcBorders>
            <w:noWrap/>
            <w:hideMark/>
          </w:tcPr>
          <w:p w14:paraId="1E82B1C6" w14:textId="77777777" w:rsidR="00BB138C" w:rsidRPr="00EF6679" w:rsidRDefault="00BB138C" w:rsidP="00820288">
            <w:pPr>
              <w:spacing w:line="240" w:lineRule="auto"/>
              <w:rPr>
                <w:rFonts w:ascii="Times New Roman" w:eastAsia="Times New Roman" w:hAnsi="Times New Roman" w:cs="Times New Roman"/>
                <w:color w:val="000000" w:themeColor="text1"/>
                <w:sz w:val="13"/>
                <w:szCs w:val="13"/>
              </w:rPr>
            </w:pPr>
            <w:r w:rsidRPr="00EF6679">
              <w:rPr>
                <w:rFonts w:ascii="Times New Roman" w:eastAsia="Times New Roman" w:hAnsi="Times New Roman" w:cs="Times New Roman"/>
                <w:color w:val="000000" w:themeColor="text1"/>
                <w:sz w:val="13"/>
                <w:szCs w:val="13"/>
              </w:rPr>
              <w:t xml:space="preserve">(E)-3-Hexen-1-ol         </w:t>
            </w:r>
          </w:p>
        </w:tc>
        <w:tc>
          <w:tcPr>
            <w:tcW w:w="939" w:type="dxa"/>
            <w:tcBorders>
              <w:top w:val="nil"/>
              <w:left w:val="nil"/>
              <w:bottom w:val="nil"/>
              <w:right w:val="nil"/>
            </w:tcBorders>
            <w:noWrap/>
            <w:vAlign w:val="center"/>
            <w:hideMark/>
          </w:tcPr>
          <w:p w14:paraId="16EAC163" w14:textId="77777777" w:rsidR="00BB138C" w:rsidRPr="00EF6679" w:rsidRDefault="00BB138C" w:rsidP="00820288">
            <w:pPr>
              <w:spacing w:line="240" w:lineRule="auto"/>
              <w:jc w:val="center"/>
              <w:rPr>
                <w:rFonts w:ascii="Times New Roman" w:eastAsia="Times New Roman" w:hAnsi="Times New Roman" w:cs="Times New Roman"/>
                <w:color w:val="000000" w:themeColor="text1"/>
                <w:sz w:val="13"/>
                <w:szCs w:val="13"/>
              </w:rPr>
            </w:pPr>
            <w:r w:rsidRPr="00EF6679">
              <w:rPr>
                <w:rFonts w:ascii="Times New Roman" w:eastAsia="Times New Roman" w:hAnsi="Times New Roman" w:cs="Times New Roman"/>
                <w:color w:val="000000" w:themeColor="text1"/>
                <w:sz w:val="13"/>
                <w:szCs w:val="13"/>
              </w:rPr>
              <w:t>928-96-1</w:t>
            </w:r>
          </w:p>
        </w:tc>
        <w:tc>
          <w:tcPr>
            <w:tcW w:w="1152" w:type="dxa"/>
            <w:tcBorders>
              <w:top w:val="nil"/>
              <w:left w:val="nil"/>
              <w:bottom w:val="nil"/>
              <w:right w:val="nil"/>
            </w:tcBorders>
            <w:noWrap/>
            <w:vAlign w:val="center"/>
            <w:hideMark/>
          </w:tcPr>
          <w:p w14:paraId="4709BF3E" w14:textId="77777777" w:rsidR="00BB138C" w:rsidRPr="00EF6679" w:rsidRDefault="00BB138C" w:rsidP="00820288">
            <w:pPr>
              <w:spacing w:line="240" w:lineRule="auto"/>
              <w:jc w:val="center"/>
              <w:rPr>
                <w:rFonts w:ascii="Times New Roman" w:eastAsia="Times New Roman" w:hAnsi="Times New Roman" w:cs="Times New Roman"/>
                <w:color w:val="000000" w:themeColor="text1"/>
                <w:sz w:val="13"/>
                <w:szCs w:val="13"/>
              </w:rPr>
            </w:pPr>
            <w:r w:rsidRPr="00EF6679">
              <w:rPr>
                <w:rFonts w:ascii="Times New Roman" w:eastAsia="Times New Roman" w:hAnsi="Times New Roman" w:cs="Times New Roman"/>
                <w:color w:val="000000" w:themeColor="text1"/>
                <w:sz w:val="13"/>
                <w:szCs w:val="13"/>
              </w:rPr>
              <w:t>8.877</w:t>
            </w:r>
          </w:p>
        </w:tc>
        <w:tc>
          <w:tcPr>
            <w:tcW w:w="864" w:type="dxa"/>
            <w:tcBorders>
              <w:top w:val="nil"/>
              <w:left w:val="nil"/>
              <w:bottom w:val="nil"/>
              <w:right w:val="nil"/>
            </w:tcBorders>
            <w:noWrap/>
            <w:vAlign w:val="center"/>
            <w:hideMark/>
          </w:tcPr>
          <w:p w14:paraId="5BFA83EA" w14:textId="77777777" w:rsidR="00BB138C" w:rsidRPr="00EF6679" w:rsidRDefault="00BB138C" w:rsidP="00820288">
            <w:pPr>
              <w:spacing w:line="240" w:lineRule="auto"/>
              <w:jc w:val="center"/>
              <w:rPr>
                <w:rFonts w:ascii="Times New Roman" w:eastAsia="Times New Roman" w:hAnsi="Times New Roman" w:cs="Times New Roman"/>
                <w:color w:val="000000" w:themeColor="text1"/>
                <w:sz w:val="13"/>
                <w:szCs w:val="13"/>
              </w:rPr>
            </w:pPr>
            <w:r w:rsidRPr="00EF6679">
              <w:rPr>
                <w:rFonts w:ascii="Times New Roman" w:eastAsia="Times New Roman" w:hAnsi="Times New Roman" w:cs="Times New Roman"/>
                <w:color w:val="000000" w:themeColor="text1"/>
                <w:sz w:val="13"/>
                <w:szCs w:val="13"/>
              </w:rPr>
              <w:t>n.d.</w:t>
            </w:r>
          </w:p>
        </w:tc>
        <w:tc>
          <w:tcPr>
            <w:tcW w:w="720" w:type="dxa"/>
            <w:tcBorders>
              <w:top w:val="nil"/>
              <w:left w:val="nil"/>
              <w:bottom w:val="nil"/>
              <w:right w:val="nil"/>
            </w:tcBorders>
            <w:noWrap/>
            <w:vAlign w:val="center"/>
            <w:hideMark/>
          </w:tcPr>
          <w:p w14:paraId="34A39268" w14:textId="77777777" w:rsidR="00BB138C" w:rsidRPr="00EF6679" w:rsidRDefault="00BB138C" w:rsidP="00820288">
            <w:pPr>
              <w:spacing w:line="240" w:lineRule="auto"/>
              <w:jc w:val="center"/>
              <w:rPr>
                <w:rFonts w:ascii="Times New Roman" w:eastAsia="Times New Roman" w:hAnsi="Times New Roman" w:cs="Times New Roman"/>
                <w:color w:val="000000" w:themeColor="text1"/>
                <w:sz w:val="13"/>
                <w:szCs w:val="13"/>
              </w:rPr>
            </w:pPr>
            <w:r w:rsidRPr="00EF6679">
              <w:rPr>
                <w:rFonts w:ascii="Times New Roman" w:eastAsia="Times New Roman" w:hAnsi="Times New Roman" w:cs="Times New Roman"/>
                <w:color w:val="000000" w:themeColor="text1"/>
                <w:sz w:val="13"/>
                <w:szCs w:val="13"/>
              </w:rPr>
              <w:t>n.d.</w:t>
            </w:r>
          </w:p>
        </w:tc>
        <w:tc>
          <w:tcPr>
            <w:tcW w:w="864" w:type="dxa"/>
            <w:tcBorders>
              <w:top w:val="nil"/>
              <w:left w:val="nil"/>
              <w:bottom w:val="nil"/>
              <w:right w:val="nil"/>
            </w:tcBorders>
            <w:noWrap/>
            <w:vAlign w:val="center"/>
            <w:hideMark/>
          </w:tcPr>
          <w:p w14:paraId="023476ED" w14:textId="77777777" w:rsidR="00BB138C" w:rsidRPr="00EF6679" w:rsidRDefault="00BB138C" w:rsidP="00820288">
            <w:pPr>
              <w:spacing w:line="240" w:lineRule="auto"/>
              <w:jc w:val="center"/>
              <w:rPr>
                <w:rFonts w:ascii="Times New Roman" w:eastAsia="Times New Roman" w:hAnsi="Times New Roman" w:cs="Times New Roman"/>
                <w:color w:val="000000" w:themeColor="text1"/>
                <w:sz w:val="13"/>
                <w:szCs w:val="13"/>
              </w:rPr>
            </w:pPr>
            <w:r w:rsidRPr="00EF6679">
              <w:rPr>
                <w:rFonts w:ascii="Times New Roman" w:eastAsia="Times New Roman" w:hAnsi="Times New Roman" w:cs="Times New Roman"/>
                <w:color w:val="000000" w:themeColor="text1"/>
                <w:sz w:val="13"/>
                <w:szCs w:val="13"/>
              </w:rPr>
              <w:t>n.d.</w:t>
            </w:r>
          </w:p>
        </w:tc>
        <w:tc>
          <w:tcPr>
            <w:tcW w:w="410" w:type="dxa"/>
            <w:tcBorders>
              <w:top w:val="nil"/>
              <w:left w:val="nil"/>
              <w:bottom w:val="nil"/>
              <w:right w:val="nil"/>
            </w:tcBorders>
            <w:noWrap/>
          </w:tcPr>
          <w:p w14:paraId="31C31F17" w14:textId="77777777" w:rsidR="00BB138C" w:rsidRPr="00EF6679" w:rsidRDefault="00BB138C" w:rsidP="00820288">
            <w:pPr>
              <w:spacing w:line="240" w:lineRule="auto"/>
              <w:jc w:val="right"/>
              <w:rPr>
                <w:rFonts w:ascii="Times New Roman" w:eastAsia="Times New Roman" w:hAnsi="Times New Roman" w:cs="Times New Roman"/>
                <w:color w:val="000000" w:themeColor="text1"/>
                <w:sz w:val="13"/>
                <w:szCs w:val="13"/>
              </w:rPr>
            </w:pPr>
          </w:p>
        </w:tc>
        <w:tc>
          <w:tcPr>
            <w:tcW w:w="864" w:type="dxa"/>
            <w:tcBorders>
              <w:top w:val="nil"/>
              <w:left w:val="nil"/>
              <w:bottom w:val="nil"/>
              <w:right w:val="nil"/>
            </w:tcBorders>
            <w:noWrap/>
            <w:vAlign w:val="center"/>
            <w:hideMark/>
          </w:tcPr>
          <w:p w14:paraId="258C89A7" w14:textId="77777777" w:rsidR="00BB138C" w:rsidRPr="00EF6679" w:rsidRDefault="00BB138C" w:rsidP="00820288">
            <w:pPr>
              <w:spacing w:line="240" w:lineRule="auto"/>
              <w:jc w:val="center"/>
              <w:rPr>
                <w:rFonts w:ascii="Times New Roman" w:eastAsia="Times New Roman" w:hAnsi="Times New Roman" w:cs="Times New Roman"/>
                <w:color w:val="000000" w:themeColor="text1"/>
                <w:sz w:val="13"/>
                <w:szCs w:val="13"/>
              </w:rPr>
            </w:pPr>
            <w:r w:rsidRPr="00EF6679">
              <w:rPr>
                <w:rFonts w:ascii="Times New Roman" w:hAnsi="Times New Roman" w:cs="Times New Roman"/>
                <w:color w:val="000000" w:themeColor="text1"/>
                <w:sz w:val="13"/>
                <w:szCs w:val="13"/>
              </w:rPr>
              <w:t>n.d.</w:t>
            </w:r>
          </w:p>
        </w:tc>
        <w:tc>
          <w:tcPr>
            <w:tcW w:w="720" w:type="dxa"/>
            <w:tcBorders>
              <w:top w:val="nil"/>
              <w:left w:val="nil"/>
              <w:bottom w:val="nil"/>
              <w:right w:val="nil"/>
            </w:tcBorders>
            <w:noWrap/>
            <w:vAlign w:val="center"/>
            <w:hideMark/>
          </w:tcPr>
          <w:p w14:paraId="1B89A369" w14:textId="77777777" w:rsidR="00BB138C" w:rsidRPr="00EF6679" w:rsidRDefault="00BB138C" w:rsidP="00820288">
            <w:pPr>
              <w:spacing w:line="240" w:lineRule="auto"/>
              <w:jc w:val="center"/>
              <w:rPr>
                <w:rFonts w:ascii="Times New Roman" w:eastAsia="Times New Roman" w:hAnsi="Times New Roman" w:cs="Times New Roman"/>
                <w:color w:val="000000" w:themeColor="text1"/>
                <w:sz w:val="13"/>
                <w:szCs w:val="13"/>
              </w:rPr>
            </w:pPr>
            <w:r w:rsidRPr="00EF6679">
              <w:rPr>
                <w:rFonts w:ascii="Times New Roman" w:hAnsi="Times New Roman" w:cs="Times New Roman"/>
                <w:color w:val="000000" w:themeColor="text1"/>
                <w:sz w:val="13"/>
                <w:szCs w:val="13"/>
              </w:rPr>
              <w:t>n.d.</w:t>
            </w:r>
          </w:p>
        </w:tc>
        <w:tc>
          <w:tcPr>
            <w:tcW w:w="864" w:type="dxa"/>
            <w:tcBorders>
              <w:top w:val="nil"/>
              <w:left w:val="nil"/>
              <w:bottom w:val="nil"/>
              <w:right w:val="nil"/>
            </w:tcBorders>
            <w:noWrap/>
            <w:vAlign w:val="center"/>
            <w:hideMark/>
          </w:tcPr>
          <w:p w14:paraId="0A4EC186" w14:textId="77777777" w:rsidR="00BB138C" w:rsidRPr="00EF6679" w:rsidRDefault="00BB138C" w:rsidP="00820288">
            <w:pPr>
              <w:spacing w:line="240" w:lineRule="auto"/>
              <w:jc w:val="center"/>
              <w:rPr>
                <w:rFonts w:ascii="Times New Roman" w:eastAsia="Times New Roman" w:hAnsi="Times New Roman" w:cs="Times New Roman"/>
                <w:color w:val="000000" w:themeColor="text1"/>
                <w:sz w:val="13"/>
                <w:szCs w:val="13"/>
              </w:rPr>
            </w:pPr>
            <w:r w:rsidRPr="00EF6679">
              <w:rPr>
                <w:rFonts w:ascii="Times New Roman" w:hAnsi="Times New Roman" w:cs="Times New Roman"/>
                <w:color w:val="000000" w:themeColor="text1"/>
                <w:sz w:val="13"/>
                <w:szCs w:val="13"/>
              </w:rPr>
              <w:t>n.d.</w:t>
            </w:r>
          </w:p>
        </w:tc>
      </w:tr>
      <w:tr w:rsidR="00BB138C" w:rsidRPr="00EF6679" w14:paraId="5A650D04" w14:textId="77777777" w:rsidTr="00820288">
        <w:tblPrEx>
          <w:jc w:val="lef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trHeight w:val="144"/>
        </w:trPr>
        <w:tc>
          <w:tcPr>
            <w:tcW w:w="2340" w:type="dxa"/>
            <w:tcBorders>
              <w:top w:val="nil"/>
              <w:left w:val="nil"/>
              <w:bottom w:val="nil"/>
              <w:right w:val="nil"/>
            </w:tcBorders>
            <w:noWrap/>
            <w:hideMark/>
          </w:tcPr>
          <w:p w14:paraId="0EF84177" w14:textId="77777777" w:rsidR="00BB138C" w:rsidRPr="00EF6679" w:rsidRDefault="00BB138C" w:rsidP="00820288">
            <w:pPr>
              <w:spacing w:line="240" w:lineRule="auto"/>
              <w:rPr>
                <w:rFonts w:ascii="Times New Roman" w:eastAsia="Times New Roman" w:hAnsi="Times New Roman" w:cs="Times New Roman"/>
                <w:color w:val="000000" w:themeColor="text1"/>
                <w:sz w:val="13"/>
                <w:szCs w:val="13"/>
              </w:rPr>
            </w:pPr>
            <w:r w:rsidRPr="00EF6679">
              <w:rPr>
                <w:rFonts w:ascii="Times New Roman" w:eastAsia="Times New Roman" w:hAnsi="Times New Roman" w:cs="Times New Roman"/>
                <w:color w:val="000000" w:themeColor="text1"/>
                <w:sz w:val="13"/>
                <w:szCs w:val="13"/>
              </w:rPr>
              <w:t xml:space="preserve">1-Hexanol                </w:t>
            </w:r>
          </w:p>
        </w:tc>
        <w:tc>
          <w:tcPr>
            <w:tcW w:w="939" w:type="dxa"/>
            <w:tcBorders>
              <w:top w:val="nil"/>
              <w:left w:val="nil"/>
              <w:bottom w:val="nil"/>
              <w:right w:val="nil"/>
            </w:tcBorders>
            <w:noWrap/>
            <w:vAlign w:val="center"/>
            <w:hideMark/>
          </w:tcPr>
          <w:p w14:paraId="64F42D7F" w14:textId="77777777" w:rsidR="00BB138C" w:rsidRPr="00EF6679" w:rsidRDefault="00BB138C" w:rsidP="00820288">
            <w:pPr>
              <w:spacing w:line="240" w:lineRule="auto"/>
              <w:jc w:val="center"/>
              <w:rPr>
                <w:rFonts w:ascii="Times New Roman" w:eastAsia="Times New Roman" w:hAnsi="Times New Roman" w:cs="Times New Roman"/>
                <w:color w:val="000000" w:themeColor="text1"/>
                <w:sz w:val="13"/>
                <w:szCs w:val="13"/>
              </w:rPr>
            </w:pPr>
            <w:r w:rsidRPr="00EF6679">
              <w:rPr>
                <w:rFonts w:ascii="Times New Roman" w:eastAsia="Times New Roman" w:hAnsi="Times New Roman" w:cs="Times New Roman"/>
                <w:color w:val="000000" w:themeColor="text1"/>
                <w:sz w:val="13"/>
                <w:szCs w:val="13"/>
              </w:rPr>
              <w:t>111-27-3</w:t>
            </w:r>
          </w:p>
        </w:tc>
        <w:tc>
          <w:tcPr>
            <w:tcW w:w="1152" w:type="dxa"/>
            <w:tcBorders>
              <w:top w:val="nil"/>
              <w:left w:val="nil"/>
              <w:bottom w:val="nil"/>
              <w:right w:val="nil"/>
            </w:tcBorders>
            <w:noWrap/>
            <w:vAlign w:val="center"/>
            <w:hideMark/>
          </w:tcPr>
          <w:p w14:paraId="068254FB" w14:textId="77777777" w:rsidR="00BB138C" w:rsidRPr="00EF6679" w:rsidRDefault="00BB138C" w:rsidP="00820288">
            <w:pPr>
              <w:spacing w:line="240" w:lineRule="auto"/>
              <w:jc w:val="center"/>
              <w:rPr>
                <w:rFonts w:ascii="Times New Roman" w:eastAsia="Times New Roman" w:hAnsi="Times New Roman" w:cs="Times New Roman"/>
                <w:color w:val="000000" w:themeColor="text1"/>
                <w:sz w:val="13"/>
                <w:szCs w:val="13"/>
              </w:rPr>
            </w:pPr>
            <w:r w:rsidRPr="00EF6679">
              <w:rPr>
                <w:rFonts w:ascii="Times New Roman" w:eastAsia="Times New Roman" w:hAnsi="Times New Roman" w:cs="Times New Roman"/>
                <w:color w:val="000000" w:themeColor="text1"/>
                <w:sz w:val="13"/>
                <w:szCs w:val="13"/>
              </w:rPr>
              <w:t>9.951</w:t>
            </w:r>
          </w:p>
        </w:tc>
        <w:tc>
          <w:tcPr>
            <w:tcW w:w="864" w:type="dxa"/>
            <w:tcBorders>
              <w:top w:val="nil"/>
              <w:left w:val="nil"/>
              <w:bottom w:val="nil"/>
              <w:right w:val="nil"/>
            </w:tcBorders>
            <w:noWrap/>
            <w:vAlign w:val="center"/>
            <w:hideMark/>
          </w:tcPr>
          <w:p w14:paraId="5102CD9E" w14:textId="77777777" w:rsidR="00BB138C" w:rsidRPr="00EF6679" w:rsidRDefault="00BB138C" w:rsidP="00820288">
            <w:pPr>
              <w:spacing w:line="240" w:lineRule="auto"/>
              <w:jc w:val="center"/>
              <w:rPr>
                <w:rFonts w:ascii="Times New Roman" w:eastAsia="Times New Roman" w:hAnsi="Times New Roman" w:cs="Times New Roman"/>
                <w:color w:val="000000" w:themeColor="text1"/>
                <w:sz w:val="13"/>
                <w:szCs w:val="13"/>
              </w:rPr>
            </w:pPr>
            <w:r w:rsidRPr="00EF6679">
              <w:rPr>
                <w:rFonts w:ascii="Times New Roman" w:eastAsia="Times New Roman" w:hAnsi="Times New Roman" w:cs="Times New Roman"/>
                <w:color w:val="000000" w:themeColor="text1"/>
                <w:sz w:val="13"/>
                <w:szCs w:val="13"/>
              </w:rPr>
              <w:t>n.d.</w:t>
            </w:r>
          </w:p>
        </w:tc>
        <w:tc>
          <w:tcPr>
            <w:tcW w:w="720" w:type="dxa"/>
            <w:tcBorders>
              <w:top w:val="nil"/>
              <w:left w:val="nil"/>
              <w:bottom w:val="nil"/>
              <w:right w:val="nil"/>
            </w:tcBorders>
            <w:noWrap/>
            <w:vAlign w:val="center"/>
            <w:hideMark/>
          </w:tcPr>
          <w:p w14:paraId="7396F538" w14:textId="77777777" w:rsidR="00BB138C" w:rsidRPr="00EF6679" w:rsidRDefault="00BB138C" w:rsidP="00820288">
            <w:pPr>
              <w:spacing w:line="240" w:lineRule="auto"/>
              <w:jc w:val="center"/>
              <w:rPr>
                <w:rFonts w:ascii="Times New Roman" w:eastAsia="Times New Roman" w:hAnsi="Times New Roman" w:cs="Times New Roman"/>
                <w:color w:val="000000" w:themeColor="text1"/>
                <w:sz w:val="13"/>
                <w:szCs w:val="13"/>
              </w:rPr>
            </w:pPr>
            <w:r w:rsidRPr="00EF6679">
              <w:rPr>
                <w:rFonts w:ascii="Times New Roman" w:eastAsia="Times New Roman" w:hAnsi="Times New Roman" w:cs="Times New Roman"/>
                <w:color w:val="000000" w:themeColor="text1"/>
                <w:sz w:val="13"/>
                <w:szCs w:val="13"/>
              </w:rPr>
              <w:t>n.d.</w:t>
            </w:r>
          </w:p>
        </w:tc>
        <w:tc>
          <w:tcPr>
            <w:tcW w:w="864" w:type="dxa"/>
            <w:tcBorders>
              <w:top w:val="nil"/>
              <w:left w:val="nil"/>
              <w:bottom w:val="nil"/>
              <w:right w:val="nil"/>
            </w:tcBorders>
            <w:noWrap/>
            <w:vAlign w:val="center"/>
            <w:hideMark/>
          </w:tcPr>
          <w:p w14:paraId="014A68D9" w14:textId="77777777" w:rsidR="00BB138C" w:rsidRPr="00EF6679" w:rsidRDefault="00BB138C" w:rsidP="00820288">
            <w:pPr>
              <w:spacing w:line="240" w:lineRule="auto"/>
              <w:jc w:val="center"/>
              <w:rPr>
                <w:rFonts w:ascii="Times New Roman" w:eastAsia="Times New Roman" w:hAnsi="Times New Roman" w:cs="Times New Roman"/>
                <w:color w:val="000000" w:themeColor="text1"/>
                <w:sz w:val="13"/>
                <w:szCs w:val="13"/>
              </w:rPr>
            </w:pPr>
            <w:r w:rsidRPr="00EF6679">
              <w:rPr>
                <w:rFonts w:ascii="Times New Roman" w:eastAsia="Times New Roman" w:hAnsi="Times New Roman" w:cs="Times New Roman"/>
                <w:color w:val="000000" w:themeColor="text1"/>
                <w:sz w:val="13"/>
                <w:szCs w:val="13"/>
              </w:rPr>
              <w:t>n.d.</w:t>
            </w:r>
          </w:p>
        </w:tc>
        <w:tc>
          <w:tcPr>
            <w:tcW w:w="410" w:type="dxa"/>
            <w:tcBorders>
              <w:top w:val="nil"/>
              <w:left w:val="nil"/>
              <w:bottom w:val="nil"/>
              <w:right w:val="nil"/>
            </w:tcBorders>
            <w:noWrap/>
          </w:tcPr>
          <w:p w14:paraId="1EA4F7EB" w14:textId="77777777" w:rsidR="00BB138C" w:rsidRPr="00EF6679" w:rsidRDefault="00BB138C" w:rsidP="00820288">
            <w:pPr>
              <w:spacing w:line="240" w:lineRule="auto"/>
              <w:jc w:val="right"/>
              <w:rPr>
                <w:rFonts w:ascii="Times New Roman" w:eastAsia="Times New Roman" w:hAnsi="Times New Roman" w:cs="Times New Roman"/>
                <w:color w:val="000000" w:themeColor="text1"/>
                <w:sz w:val="13"/>
                <w:szCs w:val="13"/>
              </w:rPr>
            </w:pPr>
          </w:p>
        </w:tc>
        <w:tc>
          <w:tcPr>
            <w:tcW w:w="864" w:type="dxa"/>
            <w:tcBorders>
              <w:top w:val="nil"/>
              <w:left w:val="nil"/>
              <w:bottom w:val="nil"/>
              <w:right w:val="nil"/>
            </w:tcBorders>
            <w:noWrap/>
            <w:vAlign w:val="center"/>
            <w:hideMark/>
          </w:tcPr>
          <w:p w14:paraId="39C7B6DC" w14:textId="77777777" w:rsidR="00BB138C" w:rsidRPr="00EF6679" w:rsidRDefault="00BB138C" w:rsidP="00820288">
            <w:pPr>
              <w:spacing w:line="240" w:lineRule="auto"/>
              <w:jc w:val="center"/>
              <w:rPr>
                <w:rFonts w:ascii="Times New Roman" w:eastAsia="Times New Roman" w:hAnsi="Times New Roman" w:cs="Times New Roman"/>
                <w:color w:val="000000" w:themeColor="text1"/>
                <w:sz w:val="13"/>
                <w:szCs w:val="13"/>
              </w:rPr>
            </w:pPr>
            <w:r w:rsidRPr="00EF6679">
              <w:rPr>
                <w:rFonts w:ascii="Times New Roman" w:hAnsi="Times New Roman" w:cs="Times New Roman"/>
                <w:color w:val="000000" w:themeColor="text1"/>
                <w:sz w:val="13"/>
                <w:szCs w:val="13"/>
              </w:rPr>
              <w:t>n.d.</w:t>
            </w:r>
          </w:p>
        </w:tc>
        <w:tc>
          <w:tcPr>
            <w:tcW w:w="720" w:type="dxa"/>
            <w:tcBorders>
              <w:top w:val="nil"/>
              <w:left w:val="nil"/>
              <w:bottom w:val="nil"/>
              <w:right w:val="nil"/>
            </w:tcBorders>
            <w:noWrap/>
            <w:vAlign w:val="center"/>
            <w:hideMark/>
          </w:tcPr>
          <w:p w14:paraId="3DBED5A6" w14:textId="77777777" w:rsidR="00BB138C" w:rsidRPr="00EF6679" w:rsidRDefault="00BB138C" w:rsidP="00820288">
            <w:pPr>
              <w:spacing w:line="240" w:lineRule="auto"/>
              <w:jc w:val="center"/>
              <w:rPr>
                <w:rFonts w:ascii="Times New Roman" w:eastAsia="Times New Roman" w:hAnsi="Times New Roman" w:cs="Times New Roman"/>
                <w:color w:val="000000" w:themeColor="text1"/>
                <w:sz w:val="13"/>
                <w:szCs w:val="13"/>
              </w:rPr>
            </w:pPr>
            <w:r w:rsidRPr="00EF6679">
              <w:rPr>
                <w:rFonts w:ascii="Times New Roman" w:hAnsi="Times New Roman" w:cs="Times New Roman"/>
                <w:color w:val="000000" w:themeColor="text1"/>
                <w:sz w:val="13"/>
                <w:szCs w:val="13"/>
              </w:rPr>
              <w:t>n.d.</w:t>
            </w:r>
          </w:p>
        </w:tc>
        <w:tc>
          <w:tcPr>
            <w:tcW w:w="864" w:type="dxa"/>
            <w:tcBorders>
              <w:top w:val="nil"/>
              <w:left w:val="nil"/>
              <w:bottom w:val="nil"/>
              <w:right w:val="nil"/>
            </w:tcBorders>
            <w:noWrap/>
            <w:vAlign w:val="center"/>
            <w:hideMark/>
          </w:tcPr>
          <w:p w14:paraId="5D171A9E" w14:textId="77777777" w:rsidR="00BB138C" w:rsidRPr="00EF6679" w:rsidRDefault="00BB138C" w:rsidP="00820288">
            <w:pPr>
              <w:spacing w:line="240" w:lineRule="auto"/>
              <w:jc w:val="center"/>
              <w:rPr>
                <w:rFonts w:ascii="Times New Roman" w:eastAsia="Times New Roman" w:hAnsi="Times New Roman" w:cs="Times New Roman"/>
                <w:color w:val="000000" w:themeColor="text1"/>
                <w:sz w:val="13"/>
                <w:szCs w:val="13"/>
              </w:rPr>
            </w:pPr>
            <w:r w:rsidRPr="00EF6679">
              <w:rPr>
                <w:rFonts w:ascii="Times New Roman" w:hAnsi="Times New Roman" w:cs="Times New Roman"/>
                <w:color w:val="000000" w:themeColor="text1"/>
                <w:sz w:val="13"/>
                <w:szCs w:val="13"/>
              </w:rPr>
              <w:t>n.d.</w:t>
            </w:r>
          </w:p>
        </w:tc>
      </w:tr>
      <w:tr w:rsidR="00BB138C" w:rsidRPr="00EF6679" w14:paraId="364631AC" w14:textId="77777777" w:rsidTr="00820288">
        <w:tblPrEx>
          <w:jc w:val="lef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trHeight w:val="144"/>
        </w:trPr>
        <w:tc>
          <w:tcPr>
            <w:tcW w:w="2340" w:type="dxa"/>
            <w:tcBorders>
              <w:top w:val="nil"/>
              <w:left w:val="nil"/>
              <w:bottom w:val="nil"/>
              <w:right w:val="nil"/>
            </w:tcBorders>
            <w:noWrap/>
            <w:hideMark/>
          </w:tcPr>
          <w:p w14:paraId="71B148B0" w14:textId="77777777" w:rsidR="00BB138C" w:rsidRPr="00EF6679" w:rsidRDefault="00BB138C" w:rsidP="00820288">
            <w:pPr>
              <w:spacing w:line="240" w:lineRule="auto"/>
              <w:rPr>
                <w:rFonts w:ascii="Times New Roman" w:eastAsia="Times New Roman" w:hAnsi="Times New Roman" w:cs="Times New Roman"/>
                <w:color w:val="000000" w:themeColor="text1"/>
                <w:sz w:val="13"/>
                <w:szCs w:val="13"/>
              </w:rPr>
            </w:pPr>
            <w:r w:rsidRPr="00EF6679">
              <w:rPr>
                <w:rFonts w:ascii="Times New Roman" w:eastAsia="Times New Roman" w:hAnsi="Times New Roman" w:cs="Times New Roman"/>
                <w:color w:val="000000" w:themeColor="text1"/>
                <w:sz w:val="13"/>
                <w:szCs w:val="13"/>
              </w:rPr>
              <w:t xml:space="preserve">α-Pinene                  </w:t>
            </w:r>
          </w:p>
        </w:tc>
        <w:tc>
          <w:tcPr>
            <w:tcW w:w="939" w:type="dxa"/>
            <w:tcBorders>
              <w:top w:val="nil"/>
              <w:left w:val="nil"/>
              <w:bottom w:val="nil"/>
              <w:right w:val="nil"/>
            </w:tcBorders>
            <w:noWrap/>
            <w:vAlign w:val="center"/>
            <w:hideMark/>
          </w:tcPr>
          <w:p w14:paraId="393E79E7" w14:textId="77777777" w:rsidR="00BB138C" w:rsidRPr="00EF6679" w:rsidRDefault="00BB138C" w:rsidP="00820288">
            <w:pPr>
              <w:spacing w:line="240" w:lineRule="auto"/>
              <w:jc w:val="center"/>
              <w:rPr>
                <w:rFonts w:ascii="Times New Roman" w:eastAsia="Times New Roman" w:hAnsi="Times New Roman" w:cs="Times New Roman"/>
                <w:color w:val="000000" w:themeColor="text1"/>
                <w:sz w:val="13"/>
                <w:szCs w:val="13"/>
              </w:rPr>
            </w:pPr>
            <w:r w:rsidRPr="00EF6679">
              <w:rPr>
                <w:rFonts w:ascii="Times New Roman" w:eastAsia="Times New Roman" w:hAnsi="Times New Roman" w:cs="Times New Roman"/>
                <w:color w:val="000000" w:themeColor="text1"/>
                <w:sz w:val="13"/>
                <w:szCs w:val="13"/>
              </w:rPr>
              <w:t>80-56-8</w:t>
            </w:r>
          </w:p>
        </w:tc>
        <w:tc>
          <w:tcPr>
            <w:tcW w:w="1152" w:type="dxa"/>
            <w:tcBorders>
              <w:top w:val="nil"/>
              <w:left w:val="nil"/>
              <w:bottom w:val="nil"/>
              <w:right w:val="nil"/>
            </w:tcBorders>
            <w:noWrap/>
            <w:vAlign w:val="center"/>
            <w:hideMark/>
          </w:tcPr>
          <w:p w14:paraId="2CD77766" w14:textId="77777777" w:rsidR="00BB138C" w:rsidRPr="00EF6679" w:rsidRDefault="00BB138C" w:rsidP="00820288">
            <w:pPr>
              <w:spacing w:line="240" w:lineRule="auto"/>
              <w:jc w:val="center"/>
              <w:rPr>
                <w:rFonts w:ascii="Times New Roman" w:eastAsia="Times New Roman" w:hAnsi="Times New Roman" w:cs="Times New Roman"/>
                <w:color w:val="000000" w:themeColor="text1"/>
                <w:sz w:val="13"/>
                <w:szCs w:val="13"/>
              </w:rPr>
            </w:pPr>
            <w:r w:rsidRPr="00EF6679">
              <w:rPr>
                <w:rFonts w:ascii="Times New Roman" w:eastAsia="Times New Roman" w:hAnsi="Times New Roman" w:cs="Times New Roman"/>
                <w:color w:val="000000" w:themeColor="text1"/>
                <w:sz w:val="13"/>
                <w:szCs w:val="13"/>
              </w:rPr>
              <w:t>11.670</w:t>
            </w:r>
          </w:p>
        </w:tc>
        <w:tc>
          <w:tcPr>
            <w:tcW w:w="864" w:type="dxa"/>
            <w:tcBorders>
              <w:top w:val="nil"/>
              <w:left w:val="nil"/>
              <w:bottom w:val="nil"/>
              <w:right w:val="nil"/>
            </w:tcBorders>
            <w:noWrap/>
            <w:vAlign w:val="center"/>
            <w:hideMark/>
          </w:tcPr>
          <w:p w14:paraId="610C4DC8" w14:textId="77777777" w:rsidR="00BB138C" w:rsidRPr="00EF6679" w:rsidRDefault="00BB138C" w:rsidP="00820288">
            <w:pPr>
              <w:spacing w:line="240" w:lineRule="auto"/>
              <w:jc w:val="center"/>
              <w:rPr>
                <w:rFonts w:ascii="Times New Roman" w:eastAsia="Times New Roman" w:hAnsi="Times New Roman" w:cs="Times New Roman"/>
                <w:color w:val="000000" w:themeColor="text1"/>
                <w:sz w:val="13"/>
                <w:szCs w:val="13"/>
              </w:rPr>
            </w:pPr>
            <w:r w:rsidRPr="00EF6679">
              <w:rPr>
                <w:rFonts w:ascii="Times New Roman" w:eastAsia="Times New Roman" w:hAnsi="Times New Roman" w:cs="Times New Roman"/>
                <w:color w:val="000000" w:themeColor="text1"/>
                <w:sz w:val="13"/>
                <w:szCs w:val="13"/>
              </w:rPr>
              <w:t>14.34</w:t>
            </w:r>
          </w:p>
        </w:tc>
        <w:tc>
          <w:tcPr>
            <w:tcW w:w="720" w:type="dxa"/>
            <w:tcBorders>
              <w:top w:val="nil"/>
              <w:left w:val="nil"/>
              <w:bottom w:val="nil"/>
              <w:right w:val="nil"/>
            </w:tcBorders>
            <w:noWrap/>
            <w:vAlign w:val="center"/>
            <w:hideMark/>
          </w:tcPr>
          <w:p w14:paraId="3010E7AB" w14:textId="77777777" w:rsidR="00BB138C" w:rsidRPr="00EF6679" w:rsidRDefault="00BB138C" w:rsidP="00820288">
            <w:pPr>
              <w:spacing w:line="240" w:lineRule="auto"/>
              <w:jc w:val="center"/>
              <w:rPr>
                <w:rFonts w:ascii="Times New Roman" w:eastAsia="Times New Roman" w:hAnsi="Times New Roman" w:cs="Times New Roman"/>
                <w:color w:val="000000" w:themeColor="text1"/>
                <w:sz w:val="13"/>
                <w:szCs w:val="13"/>
              </w:rPr>
            </w:pPr>
            <w:r w:rsidRPr="00EF6679">
              <w:rPr>
                <w:rFonts w:ascii="Times New Roman" w:eastAsia="Times New Roman" w:hAnsi="Times New Roman" w:cs="Times New Roman"/>
                <w:color w:val="000000" w:themeColor="text1"/>
                <w:sz w:val="13"/>
                <w:szCs w:val="13"/>
              </w:rPr>
              <w:t>1.15</w:t>
            </w:r>
          </w:p>
        </w:tc>
        <w:tc>
          <w:tcPr>
            <w:tcW w:w="864" w:type="dxa"/>
            <w:tcBorders>
              <w:top w:val="nil"/>
              <w:left w:val="nil"/>
              <w:bottom w:val="nil"/>
              <w:right w:val="nil"/>
            </w:tcBorders>
            <w:noWrap/>
            <w:vAlign w:val="center"/>
            <w:hideMark/>
          </w:tcPr>
          <w:p w14:paraId="1394682F" w14:textId="77777777" w:rsidR="00BB138C" w:rsidRPr="00EF6679" w:rsidRDefault="00BB138C" w:rsidP="00820288">
            <w:pPr>
              <w:spacing w:line="240" w:lineRule="auto"/>
              <w:jc w:val="center"/>
              <w:rPr>
                <w:rFonts w:ascii="Times New Roman" w:eastAsia="Times New Roman" w:hAnsi="Times New Roman" w:cs="Times New Roman"/>
                <w:color w:val="000000" w:themeColor="text1"/>
                <w:sz w:val="13"/>
                <w:szCs w:val="13"/>
              </w:rPr>
            </w:pPr>
            <w:r w:rsidRPr="00EF6679">
              <w:rPr>
                <w:rFonts w:ascii="Times New Roman" w:eastAsia="Times New Roman" w:hAnsi="Times New Roman" w:cs="Times New Roman"/>
                <w:color w:val="000000" w:themeColor="text1"/>
                <w:sz w:val="13"/>
                <w:szCs w:val="13"/>
              </w:rPr>
              <w:t>1.14</w:t>
            </w:r>
          </w:p>
        </w:tc>
        <w:tc>
          <w:tcPr>
            <w:tcW w:w="410" w:type="dxa"/>
            <w:tcBorders>
              <w:top w:val="nil"/>
              <w:left w:val="nil"/>
              <w:bottom w:val="nil"/>
              <w:right w:val="nil"/>
            </w:tcBorders>
            <w:noWrap/>
          </w:tcPr>
          <w:p w14:paraId="3F6D9D7A" w14:textId="77777777" w:rsidR="00BB138C" w:rsidRPr="00EF6679" w:rsidRDefault="00BB138C" w:rsidP="00820288">
            <w:pPr>
              <w:spacing w:line="240" w:lineRule="auto"/>
              <w:jc w:val="right"/>
              <w:rPr>
                <w:rFonts w:ascii="Times New Roman" w:eastAsia="Times New Roman" w:hAnsi="Times New Roman" w:cs="Times New Roman"/>
                <w:color w:val="000000" w:themeColor="text1"/>
                <w:sz w:val="13"/>
                <w:szCs w:val="13"/>
              </w:rPr>
            </w:pPr>
          </w:p>
        </w:tc>
        <w:tc>
          <w:tcPr>
            <w:tcW w:w="864" w:type="dxa"/>
            <w:tcBorders>
              <w:top w:val="nil"/>
              <w:left w:val="nil"/>
              <w:bottom w:val="nil"/>
              <w:right w:val="nil"/>
            </w:tcBorders>
            <w:noWrap/>
            <w:vAlign w:val="center"/>
            <w:hideMark/>
          </w:tcPr>
          <w:p w14:paraId="6B3F3952" w14:textId="77777777" w:rsidR="00BB138C" w:rsidRPr="00EF6679" w:rsidRDefault="00BB138C" w:rsidP="00820288">
            <w:pPr>
              <w:spacing w:line="240" w:lineRule="auto"/>
              <w:jc w:val="center"/>
              <w:rPr>
                <w:rFonts w:ascii="Times New Roman" w:eastAsia="Times New Roman" w:hAnsi="Times New Roman" w:cs="Times New Roman"/>
                <w:color w:val="000000" w:themeColor="text1"/>
                <w:sz w:val="13"/>
                <w:szCs w:val="13"/>
              </w:rPr>
            </w:pPr>
            <w:r w:rsidRPr="00EF6679">
              <w:rPr>
                <w:rFonts w:ascii="Times New Roman" w:hAnsi="Times New Roman" w:cs="Times New Roman"/>
                <w:color w:val="000000" w:themeColor="text1"/>
                <w:sz w:val="13"/>
                <w:szCs w:val="13"/>
              </w:rPr>
              <w:t>0.0002</w:t>
            </w:r>
          </w:p>
        </w:tc>
        <w:tc>
          <w:tcPr>
            <w:tcW w:w="720" w:type="dxa"/>
            <w:tcBorders>
              <w:top w:val="nil"/>
              <w:left w:val="nil"/>
              <w:bottom w:val="nil"/>
              <w:right w:val="nil"/>
            </w:tcBorders>
            <w:noWrap/>
            <w:vAlign w:val="center"/>
            <w:hideMark/>
          </w:tcPr>
          <w:p w14:paraId="7386DD1F" w14:textId="77777777" w:rsidR="00BB138C" w:rsidRPr="00EF6679" w:rsidRDefault="00BB138C" w:rsidP="00820288">
            <w:pPr>
              <w:spacing w:line="240" w:lineRule="auto"/>
              <w:jc w:val="center"/>
              <w:rPr>
                <w:rFonts w:ascii="Times New Roman" w:eastAsia="Times New Roman" w:hAnsi="Times New Roman" w:cs="Times New Roman"/>
                <w:color w:val="000000" w:themeColor="text1"/>
                <w:sz w:val="13"/>
                <w:szCs w:val="13"/>
              </w:rPr>
            </w:pPr>
            <w:r w:rsidRPr="00EF6679">
              <w:rPr>
                <w:rFonts w:ascii="Times New Roman" w:hAnsi="Times New Roman" w:cs="Times New Roman"/>
                <w:color w:val="000000" w:themeColor="text1"/>
                <w:sz w:val="13"/>
                <w:szCs w:val="13"/>
              </w:rPr>
              <w:t>0.1287</w:t>
            </w:r>
          </w:p>
        </w:tc>
        <w:tc>
          <w:tcPr>
            <w:tcW w:w="864" w:type="dxa"/>
            <w:tcBorders>
              <w:top w:val="nil"/>
              <w:left w:val="nil"/>
              <w:bottom w:val="nil"/>
              <w:right w:val="nil"/>
            </w:tcBorders>
            <w:noWrap/>
            <w:vAlign w:val="center"/>
            <w:hideMark/>
          </w:tcPr>
          <w:p w14:paraId="17DDE27A" w14:textId="77777777" w:rsidR="00BB138C" w:rsidRPr="00EF6679" w:rsidRDefault="00BB138C" w:rsidP="00820288">
            <w:pPr>
              <w:spacing w:line="240" w:lineRule="auto"/>
              <w:jc w:val="center"/>
              <w:rPr>
                <w:rFonts w:ascii="Times New Roman" w:eastAsia="Times New Roman" w:hAnsi="Times New Roman" w:cs="Times New Roman"/>
                <w:color w:val="000000" w:themeColor="text1"/>
                <w:sz w:val="13"/>
                <w:szCs w:val="13"/>
              </w:rPr>
            </w:pPr>
            <w:r w:rsidRPr="00EF6679">
              <w:rPr>
                <w:rFonts w:ascii="Times New Roman" w:hAnsi="Times New Roman" w:cs="Times New Roman"/>
                <w:color w:val="000000" w:themeColor="text1"/>
                <w:sz w:val="13"/>
                <w:szCs w:val="13"/>
              </w:rPr>
              <w:t>0.3281</w:t>
            </w:r>
          </w:p>
        </w:tc>
      </w:tr>
      <w:tr w:rsidR="00BB138C" w:rsidRPr="00EF6679" w14:paraId="0879143B" w14:textId="77777777" w:rsidTr="00820288">
        <w:tblPrEx>
          <w:jc w:val="lef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trHeight w:val="144"/>
        </w:trPr>
        <w:tc>
          <w:tcPr>
            <w:tcW w:w="2340" w:type="dxa"/>
            <w:tcBorders>
              <w:top w:val="nil"/>
              <w:left w:val="nil"/>
              <w:bottom w:val="nil"/>
              <w:right w:val="nil"/>
            </w:tcBorders>
            <w:noWrap/>
            <w:hideMark/>
          </w:tcPr>
          <w:p w14:paraId="3DEC54AC" w14:textId="77777777" w:rsidR="00BB138C" w:rsidRPr="00EF6679" w:rsidRDefault="00BB138C" w:rsidP="00820288">
            <w:pPr>
              <w:spacing w:line="240" w:lineRule="auto"/>
              <w:rPr>
                <w:rFonts w:ascii="Times New Roman" w:eastAsia="Times New Roman" w:hAnsi="Times New Roman" w:cs="Times New Roman"/>
                <w:color w:val="000000" w:themeColor="text1"/>
                <w:sz w:val="13"/>
                <w:szCs w:val="13"/>
              </w:rPr>
            </w:pPr>
            <w:r w:rsidRPr="00EF6679">
              <w:rPr>
                <w:rFonts w:ascii="Times New Roman" w:eastAsia="Times New Roman" w:hAnsi="Times New Roman" w:cs="Times New Roman"/>
                <w:color w:val="000000" w:themeColor="text1"/>
                <w:sz w:val="13"/>
                <w:szCs w:val="13"/>
              </w:rPr>
              <w:t xml:space="preserve">Camphene                 </w:t>
            </w:r>
          </w:p>
        </w:tc>
        <w:tc>
          <w:tcPr>
            <w:tcW w:w="939" w:type="dxa"/>
            <w:tcBorders>
              <w:top w:val="nil"/>
              <w:left w:val="nil"/>
              <w:bottom w:val="nil"/>
              <w:right w:val="nil"/>
            </w:tcBorders>
            <w:noWrap/>
            <w:vAlign w:val="center"/>
            <w:hideMark/>
          </w:tcPr>
          <w:p w14:paraId="2E792560" w14:textId="77777777" w:rsidR="00BB138C" w:rsidRPr="00EF6679" w:rsidRDefault="00BB138C" w:rsidP="00820288">
            <w:pPr>
              <w:spacing w:line="240" w:lineRule="auto"/>
              <w:jc w:val="center"/>
              <w:rPr>
                <w:rFonts w:ascii="Times New Roman" w:eastAsia="Times New Roman" w:hAnsi="Times New Roman" w:cs="Times New Roman"/>
                <w:color w:val="000000" w:themeColor="text1"/>
                <w:sz w:val="13"/>
                <w:szCs w:val="13"/>
              </w:rPr>
            </w:pPr>
            <w:r w:rsidRPr="00EF6679">
              <w:rPr>
                <w:rFonts w:ascii="Times New Roman" w:eastAsia="Times New Roman" w:hAnsi="Times New Roman" w:cs="Times New Roman"/>
                <w:color w:val="000000" w:themeColor="text1"/>
                <w:sz w:val="13"/>
                <w:szCs w:val="13"/>
              </w:rPr>
              <w:t>79-92-5</w:t>
            </w:r>
          </w:p>
        </w:tc>
        <w:tc>
          <w:tcPr>
            <w:tcW w:w="1152" w:type="dxa"/>
            <w:tcBorders>
              <w:top w:val="nil"/>
              <w:left w:val="nil"/>
              <w:bottom w:val="nil"/>
              <w:right w:val="nil"/>
            </w:tcBorders>
            <w:noWrap/>
            <w:vAlign w:val="center"/>
            <w:hideMark/>
          </w:tcPr>
          <w:p w14:paraId="789B9403" w14:textId="77777777" w:rsidR="00BB138C" w:rsidRPr="00EF6679" w:rsidRDefault="00BB138C" w:rsidP="00820288">
            <w:pPr>
              <w:spacing w:line="240" w:lineRule="auto"/>
              <w:jc w:val="center"/>
              <w:rPr>
                <w:rFonts w:ascii="Times New Roman" w:eastAsia="Times New Roman" w:hAnsi="Times New Roman" w:cs="Times New Roman"/>
                <w:color w:val="000000" w:themeColor="text1"/>
                <w:sz w:val="13"/>
                <w:szCs w:val="13"/>
              </w:rPr>
            </w:pPr>
            <w:r w:rsidRPr="00EF6679">
              <w:rPr>
                <w:rFonts w:ascii="Times New Roman" w:eastAsia="Times New Roman" w:hAnsi="Times New Roman" w:cs="Times New Roman"/>
                <w:color w:val="000000" w:themeColor="text1"/>
                <w:sz w:val="13"/>
                <w:szCs w:val="13"/>
              </w:rPr>
              <w:t>11.671</w:t>
            </w:r>
          </w:p>
        </w:tc>
        <w:tc>
          <w:tcPr>
            <w:tcW w:w="864" w:type="dxa"/>
            <w:tcBorders>
              <w:top w:val="nil"/>
              <w:left w:val="nil"/>
              <w:bottom w:val="nil"/>
              <w:right w:val="nil"/>
            </w:tcBorders>
            <w:noWrap/>
            <w:vAlign w:val="center"/>
            <w:hideMark/>
          </w:tcPr>
          <w:p w14:paraId="038A2384" w14:textId="77777777" w:rsidR="00BB138C" w:rsidRPr="00EF6679" w:rsidRDefault="00BB138C" w:rsidP="00820288">
            <w:pPr>
              <w:spacing w:line="240" w:lineRule="auto"/>
              <w:jc w:val="center"/>
              <w:rPr>
                <w:rFonts w:ascii="Times New Roman" w:eastAsia="Times New Roman" w:hAnsi="Times New Roman" w:cs="Times New Roman"/>
                <w:color w:val="000000" w:themeColor="text1"/>
                <w:sz w:val="13"/>
                <w:szCs w:val="13"/>
              </w:rPr>
            </w:pPr>
            <w:r w:rsidRPr="00EF6679">
              <w:rPr>
                <w:rFonts w:ascii="Times New Roman" w:eastAsia="Times New Roman" w:hAnsi="Times New Roman" w:cs="Times New Roman"/>
                <w:color w:val="000000" w:themeColor="text1"/>
                <w:sz w:val="13"/>
                <w:szCs w:val="13"/>
              </w:rPr>
              <w:t>14.34</w:t>
            </w:r>
          </w:p>
        </w:tc>
        <w:tc>
          <w:tcPr>
            <w:tcW w:w="720" w:type="dxa"/>
            <w:tcBorders>
              <w:top w:val="nil"/>
              <w:left w:val="nil"/>
              <w:bottom w:val="nil"/>
              <w:right w:val="nil"/>
            </w:tcBorders>
            <w:noWrap/>
            <w:vAlign w:val="center"/>
            <w:hideMark/>
          </w:tcPr>
          <w:p w14:paraId="65812C22" w14:textId="77777777" w:rsidR="00BB138C" w:rsidRPr="00EF6679" w:rsidRDefault="00BB138C" w:rsidP="00820288">
            <w:pPr>
              <w:spacing w:line="240" w:lineRule="auto"/>
              <w:jc w:val="center"/>
              <w:rPr>
                <w:rFonts w:ascii="Times New Roman" w:eastAsia="Times New Roman" w:hAnsi="Times New Roman" w:cs="Times New Roman"/>
                <w:color w:val="000000" w:themeColor="text1"/>
                <w:sz w:val="13"/>
                <w:szCs w:val="13"/>
              </w:rPr>
            </w:pPr>
            <w:r w:rsidRPr="00EF6679">
              <w:rPr>
                <w:rFonts w:ascii="Times New Roman" w:eastAsia="Times New Roman" w:hAnsi="Times New Roman" w:cs="Times New Roman"/>
                <w:color w:val="000000" w:themeColor="text1"/>
                <w:sz w:val="13"/>
                <w:szCs w:val="13"/>
              </w:rPr>
              <w:t>1.51</w:t>
            </w:r>
          </w:p>
        </w:tc>
        <w:tc>
          <w:tcPr>
            <w:tcW w:w="864" w:type="dxa"/>
            <w:tcBorders>
              <w:top w:val="nil"/>
              <w:left w:val="nil"/>
              <w:bottom w:val="nil"/>
              <w:right w:val="nil"/>
            </w:tcBorders>
            <w:noWrap/>
            <w:vAlign w:val="center"/>
            <w:hideMark/>
          </w:tcPr>
          <w:p w14:paraId="2787027F" w14:textId="77777777" w:rsidR="00BB138C" w:rsidRPr="00EF6679" w:rsidRDefault="00BB138C" w:rsidP="00820288">
            <w:pPr>
              <w:spacing w:line="240" w:lineRule="auto"/>
              <w:jc w:val="center"/>
              <w:rPr>
                <w:rFonts w:ascii="Times New Roman" w:eastAsia="Times New Roman" w:hAnsi="Times New Roman" w:cs="Times New Roman"/>
                <w:color w:val="000000" w:themeColor="text1"/>
                <w:sz w:val="13"/>
                <w:szCs w:val="13"/>
              </w:rPr>
            </w:pPr>
            <w:r w:rsidRPr="00EF6679">
              <w:rPr>
                <w:rFonts w:ascii="Times New Roman" w:eastAsia="Times New Roman" w:hAnsi="Times New Roman" w:cs="Times New Roman"/>
                <w:color w:val="000000" w:themeColor="text1"/>
                <w:sz w:val="13"/>
                <w:szCs w:val="13"/>
              </w:rPr>
              <w:t>1.61</w:t>
            </w:r>
          </w:p>
        </w:tc>
        <w:tc>
          <w:tcPr>
            <w:tcW w:w="410" w:type="dxa"/>
            <w:tcBorders>
              <w:top w:val="nil"/>
              <w:left w:val="nil"/>
              <w:bottom w:val="nil"/>
              <w:right w:val="nil"/>
            </w:tcBorders>
            <w:noWrap/>
          </w:tcPr>
          <w:p w14:paraId="01779C6E" w14:textId="77777777" w:rsidR="00BB138C" w:rsidRPr="00EF6679" w:rsidRDefault="00BB138C" w:rsidP="00820288">
            <w:pPr>
              <w:spacing w:line="240" w:lineRule="auto"/>
              <w:jc w:val="right"/>
              <w:rPr>
                <w:rFonts w:ascii="Times New Roman" w:eastAsia="Times New Roman" w:hAnsi="Times New Roman" w:cs="Times New Roman"/>
                <w:color w:val="000000" w:themeColor="text1"/>
                <w:sz w:val="13"/>
                <w:szCs w:val="13"/>
              </w:rPr>
            </w:pPr>
          </w:p>
        </w:tc>
        <w:tc>
          <w:tcPr>
            <w:tcW w:w="864" w:type="dxa"/>
            <w:tcBorders>
              <w:top w:val="nil"/>
              <w:left w:val="nil"/>
              <w:bottom w:val="nil"/>
              <w:right w:val="nil"/>
            </w:tcBorders>
            <w:noWrap/>
            <w:vAlign w:val="center"/>
            <w:hideMark/>
          </w:tcPr>
          <w:p w14:paraId="64B8D6B7" w14:textId="77777777" w:rsidR="00BB138C" w:rsidRPr="00EF6679" w:rsidRDefault="00BB138C" w:rsidP="00820288">
            <w:pPr>
              <w:spacing w:line="240" w:lineRule="auto"/>
              <w:jc w:val="center"/>
              <w:rPr>
                <w:rFonts w:ascii="Times New Roman" w:eastAsia="Times New Roman" w:hAnsi="Times New Roman" w:cs="Times New Roman"/>
                <w:color w:val="000000" w:themeColor="text1"/>
                <w:sz w:val="13"/>
                <w:szCs w:val="13"/>
              </w:rPr>
            </w:pPr>
            <w:r w:rsidRPr="00EF6679">
              <w:rPr>
                <w:rFonts w:ascii="Times New Roman" w:hAnsi="Times New Roman" w:cs="Times New Roman"/>
                <w:color w:val="000000" w:themeColor="text1"/>
                <w:sz w:val="13"/>
                <w:szCs w:val="13"/>
              </w:rPr>
              <w:t>0.0002</w:t>
            </w:r>
          </w:p>
        </w:tc>
        <w:tc>
          <w:tcPr>
            <w:tcW w:w="720" w:type="dxa"/>
            <w:tcBorders>
              <w:top w:val="nil"/>
              <w:left w:val="nil"/>
              <w:bottom w:val="nil"/>
              <w:right w:val="nil"/>
            </w:tcBorders>
            <w:noWrap/>
            <w:vAlign w:val="center"/>
            <w:hideMark/>
          </w:tcPr>
          <w:p w14:paraId="22121183" w14:textId="77777777" w:rsidR="00BB138C" w:rsidRPr="00EF6679" w:rsidRDefault="00BB138C" w:rsidP="00820288">
            <w:pPr>
              <w:spacing w:line="240" w:lineRule="auto"/>
              <w:jc w:val="center"/>
              <w:rPr>
                <w:rFonts w:ascii="Times New Roman" w:eastAsia="Times New Roman" w:hAnsi="Times New Roman" w:cs="Times New Roman"/>
                <w:color w:val="000000" w:themeColor="text1"/>
                <w:sz w:val="13"/>
                <w:szCs w:val="13"/>
              </w:rPr>
            </w:pPr>
            <w:r w:rsidRPr="00EF6679">
              <w:rPr>
                <w:rFonts w:ascii="Times New Roman" w:hAnsi="Times New Roman" w:cs="Times New Roman"/>
                <w:color w:val="000000" w:themeColor="text1"/>
                <w:sz w:val="13"/>
                <w:szCs w:val="13"/>
              </w:rPr>
              <w:t>0.0686</w:t>
            </w:r>
          </w:p>
        </w:tc>
        <w:tc>
          <w:tcPr>
            <w:tcW w:w="864" w:type="dxa"/>
            <w:tcBorders>
              <w:top w:val="nil"/>
              <w:left w:val="nil"/>
              <w:bottom w:val="nil"/>
              <w:right w:val="nil"/>
            </w:tcBorders>
            <w:noWrap/>
            <w:vAlign w:val="center"/>
            <w:hideMark/>
          </w:tcPr>
          <w:p w14:paraId="2A36842A" w14:textId="77777777" w:rsidR="00BB138C" w:rsidRPr="00EF6679" w:rsidRDefault="00BB138C" w:rsidP="00820288">
            <w:pPr>
              <w:spacing w:line="240" w:lineRule="auto"/>
              <w:jc w:val="center"/>
              <w:rPr>
                <w:rFonts w:ascii="Times New Roman" w:eastAsia="Times New Roman" w:hAnsi="Times New Roman" w:cs="Times New Roman"/>
                <w:color w:val="000000" w:themeColor="text1"/>
                <w:sz w:val="13"/>
                <w:szCs w:val="13"/>
              </w:rPr>
            </w:pPr>
            <w:r w:rsidRPr="00EF6679">
              <w:rPr>
                <w:rFonts w:ascii="Times New Roman" w:hAnsi="Times New Roman" w:cs="Times New Roman"/>
                <w:color w:val="000000" w:themeColor="text1"/>
                <w:sz w:val="13"/>
                <w:szCs w:val="13"/>
              </w:rPr>
              <w:t>0.0579</w:t>
            </w:r>
          </w:p>
        </w:tc>
      </w:tr>
      <w:tr w:rsidR="00BB138C" w:rsidRPr="00EF6679" w14:paraId="7966E4D7" w14:textId="77777777" w:rsidTr="00820288">
        <w:tblPrEx>
          <w:jc w:val="lef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trHeight w:val="144"/>
        </w:trPr>
        <w:tc>
          <w:tcPr>
            <w:tcW w:w="2340" w:type="dxa"/>
            <w:tcBorders>
              <w:top w:val="nil"/>
              <w:left w:val="nil"/>
              <w:bottom w:val="nil"/>
              <w:right w:val="nil"/>
            </w:tcBorders>
            <w:noWrap/>
            <w:hideMark/>
          </w:tcPr>
          <w:p w14:paraId="2809CE29" w14:textId="77777777" w:rsidR="00BB138C" w:rsidRPr="00EF6679" w:rsidRDefault="00BB138C" w:rsidP="00820288">
            <w:pPr>
              <w:spacing w:line="240" w:lineRule="auto"/>
              <w:rPr>
                <w:rFonts w:ascii="Times New Roman" w:eastAsia="Times New Roman" w:hAnsi="Times New Roman" w:cs="Times New Roman"/>
                <w:color w:val="000000" w:themeColor="text1"/>
                <w:sz w:val="13"/>
                <w:szCs w:val="13"/>
              </w:rPr>
            </w:pPr>
            <w:r w:rsidRPr="00EF6679">
              <w:rPr>
                <w:rFonts w:ascii="Times New Roman" w:eastAsia="Times New Roman" w:hAnsi="Times New Roman" w:cs="Times New Roman"/>
                <w:color w:val="000000" w:themeColor="text1"/>
                <w:sz w:val="13"/>
                <w:szCs w:val="13"/>
              </w:rPr>
              <w:t xml:space="preserve">Benzaldehyde             </w:t>
            </w:r>
          </w:p>
        </w:tc>
        <w:tc>
          <w:tcPr>
            <w:tcW w:w="939" w:type="dxa"/>
            <w:tcBorders>
              <w:top w:val="nil"/>
              <w:left w:val="nil"/>
              <w:bottom w:val="nil"/>
              <w:right w:val="nil"/>
            </w:tcBorders>
            <w:noWrap/>
            <w:vAlign w:val="center"/>
            <w:hideMark/>
          </w:tcPr>
          <w:p w14:paraId="1B36D39D" w14:textId="77777777" w:rsidR="00BB138C" w:rsidRPr="00EF6679" w:rsidRDefault="00BB138C" w:rsidP="00820288">
            <w:pPr>
              <w:spacing w:line="240" w:lineRule="auto"/>
              <w:jc w:val="center"/>
              <w:rPr>
                <w:rFonts w:ascii="Times New Roman" w:eastAsia="Times New Roman" w:hAnsi="Times New Roman" w:cs="Times New Roman"/>
                <w:color w:val="000000" w:themeColor="text1"/>
                <w:sz w:val="13"/>
                <w:szCs w:val="13"/>
              </w:rPr>
            </w:pPr>
            <w:r w:rsidRPr="00EF6679">
              <w:rPr>
                <w:rFonts w:ascii="Times New Roman" w:eastAsia="Times New Roman" w:hAnsi="Times New Roman" w:cs="Times New Roman"/>
                <w:color w:val="000000" w:themeColor="text1"/>
                <w:sz w:val="13"/>
                <w:szCs w:val="13"/>
              </w:rPr>
              <w:t>100-52-7</w:t>
            </w:r>
          </w:p>
        </w:tc>
        <w:tc>
          <w:tcPr>
            <w:tcW w:w="1152" w:type="dxa"/>
            <w:tcBorders>
              <w:top w:val="nil"/>
              <w:left w:val="nil"/>
              <w:bottom w:val="nil"/>
              <w:right w:val="nil"/>
            </w:tcBorders>
            <w:noWrap/>
            <w:vAlign w:val="center"/>
            <w:hideMark/>
          </w:tcPr>
          <w:p w14:paraId="2160E3E9" w14:textId="77777777" w:rsidR="00BB138C" w:rsidRPr="00EF6679" w:rsidRDefault="00BB138C" w:rsidP="00820288">
            <w:pPr>
              <w:spacing w:line="240" w:lineRule="auto"/>
              <w:jc w:val="center"/>
              <w:rPr>
                <w:rFonts w:ascii="Times New Roman" w:eastAsia="Times New Roman" w:hAnsi="Times New Roman" w:cs="Times New Roman"/>
                <w:color w:val="000000" w:themeColor="text1"/>
                <w:sz w:val="13"/>
                <w:szCs w:val="13"/>
              </w:rPr>
            </w:pPr>
            <w:r w:rsidRPr="00EF6679">
              <w:rPr>
                <w:rFonts w:ascii="Times New Roman" w:eastAsia="Times New Roman" w:hAnsi="Times New Roman" w:cs="Times New Roman"/>
                <w:color w:val="000000" w:themeColor="text1"/>
                <w:sz w:val="13"/>
                <w:szCs w:val="13"/>
              </w:rPr>
              <w:t>12.101</w:t>
            </w:r>
          </w:p>
        </w:tc>
        <w:tc>
          <w:tcPr>
            <w:tcW w:w="864" w:type="dxa"/>
            <w:tcBorders>
              <w:top w:val="nil"/>
              <w:left w:val="nil"/>
              <w:bottom w:val="nil"/>
              <w:right w:val="nil"/>
            </w:tcBorders>
            <w:noWrap/>
            <w:vAlign w:val="center"/>
            <w:hideMark/>
          </w:tcPr>
          <w:p w14:paraId="1D142C20" w14:textId="77777777" w:rsidR="00BB138C" w:rsidRPr="00EF6679" w:rsidRDefault="00BB138C" w:rsidP="00820288">
            <w:pPr>
              <w:spacing w:line="240" w:lineRule="auto"/>
              <w:jc w:val="center"/>
              <w:rPr>
                <w:rFonts w:ascii="Times New Roman" w:eastAsia="Times New Roman" w:hAnsi="Times New Roman" w:cs="Times New Roman"/>
                <w:color w:val="000000" w:themeColor="text1"/>
                <w:sz w:val="13"/>
                <w:szCs w:val="13"/>
              </w:rPr>
            </w:pPr>
            <w:r w:rsidRPr="00EF6679">
              <w:rPr>
                <w:rFonts w:ascii="Times New Roman" w:eastAsia="Times New Roman" w:hAnsi="Times New Roman" w:cs="Times New Roman"/>
                <w:color w:val="000000" w:themeColor="text1"/>
                <w:sz w:val="13"/>
                <w:szCs w:val="13"/>
              </w:rPr>
              <w:t>40.76</w:t>
            </w:r>
          </w:p>
        </w:tc>
        <w:tc>
          <w:tcPr>
            <w:tcW w:w="720" w:type="dxa"/>
            <w:tcBorders>
              <w:top w:val="nil"/>
              <w:left w:val="nil"/>
              <w:bottom w:val="nil"/>
              <w:right w:val="nil"/>
            </w:tcBorders>
            <w:noWrap/>
            <w:vAlign w:val="center"/>
            <w:hideMark/>
          </w:tcPr>
          <w:p w14:paraId="29ED903B" w14:textId="77777777" w:rsidR="00BB138C" w:rsidRPr="00EF6679" w:rsidRDefault="00BB138C" w:rsidP="00820288">
            <w:pPr>
              <w:spacing w:line="240" w:lineRule="auto"/>
              <w:jc w:val="center"/>
              <w:rPr>
                <w:rFonts w:ascii="Times New Roman" w:eastAsia="Times New Roman" w:hAnsi="Times New Roman" w:cs="Times New Roman"/>
                <w:color w:val="000000" w:themeColor="text1"/>
                <w:sz w:val="13"/>
                <w:szCs w:val="13"/>
              </w:rPr>
            </w:pPr>
            <w:r w:rsidRPr="00EF6679">
              <w:rPr>
                <w:rFonts w:ascii="Times New Roman" w:eastAsia="Times New Roman" w:hAnsi="Times New Roman" w:cs="Times New Roman"/>
                <w:color w:val="000000" w:themeColor="text1"/>
                <w:sz w:val="13"/>
                <w:szCs w:val="13"/>
              </w:rPr>
              <w:t>1.43</w:t>
            </w:r>
          </w:p>
        </w:tc>
        <w:tc>
          <w:tcPr>
            <w:tcW w:w="864" w:type="dxa"/>
            <w:tcBorders>
              <w:top w:val="nil"/>
              <w:left w:val="nil"/>
              <w:bottom w:val="nil"/>
              <w:right w:val="nil"/>
            </w:tcBorders>
            <w:noWrap/>
            <w:vAlign w:val="center"/>
            <w:hideMark/>
          </w:tcPr>
          <w:p w14:paraId="19C301A6" w14:textId="77777777" w:rsidR="00BB138C" w:rsidRPr="00EF6679" w:rsidRDefault="00BB138C" w:rsidP="00820288">
            <w:pPr>
              <w:spacing w:line="240" w:lineRule="auto"/>
              <w:jc w:val="center"/>
              <w:rPr>
                <w:rFonts w:ascii="Times New Roman" w:eastAsia="Times New Roman" w:hAnsi="Times New Roman" w:cs="Times New Roman"/>
                <w:color w:val="000000" w:themeColor="text1"/>
                <w:sz w:val="13"/>
                <w:szCs w:val="13"/>
              </w:rPr>
            </w:pPr>
            <w:r w:rsidRPr="00EF6679">
              <w:rPr>
                <w:rFonts w:ascii="Times New Roman" w:eastAsia="Times New Roman" w:hAnsi="Times New Roman" w:cs="Times New Roman"/>
                <w:color w:val="000000" w:themeColor="text1"/>
                <w:sz w:val="13"/>
                <w:szCs w:val="13"/>
              </w:rPr>
              <w:t>2.27</w:t>
            </w:r>
          </w:p>
        </w:tc>
        <w:tc>
          <w:tcPr>
            <w:tcW w:w="410" w:type="dxa"/>
            <w:tcBorders>
              <w:top w:val="nil"/>
              <w:left w:val="nil"/>
              <w:bottom w:val="nil"/>
              <w:right w:val="nil"/>
            </w:tcBorders>
            <w:noWrap/>
          </w:tcPr>
          <w:p w14:paraId="69230B74" w14:textId="77777777" w:rsidR="00BB138C" w:rsidRPr="00EF6679" w:rsidRDefault="00BB138C" w:rsidP="00820288">
            <w:pPr>
              <w:spacing w:line="240" w:lineRule="auto"/>
              <w:jc w:val="right"/>
              <w:rPr>
                <w:rFonts w:ascii="Times New Roman" w:eastAsia="Times New Roman" w:hAnsi="Times New Roman" w:cs="Times New Roman"/>
                <w:color w:val="000000" w:themeColor="text1"/>
                <w:sz w:val="13"/>
                <w:szCs w:val="13"/>
              </w:rPr>
            </w:pPr>
          </w:p>
        </w:tc>
        <w:tc>
          <w:tcPr>
            <w:tcW w:w="864" w:type="dxa"/>
            <w:tcBorders>
              <w:top w:val="nil"/>
              <w:left w:val="nil"/>
              <w:bottom w:val="nil"/>
              <w:right w:val="nil"/>
            </w:tcBorders>
            <w:noWrap/>
            <w:vAlign w:val="center"/>
            <w:hideMark/>
          </w:tcPr>
          <w:p w14:paraId="007B4C4B" w14:textId="77777777" w:rsidR="00BB138C" w:rsidRPr="00EF6679" w:rsidRDefault="00BB138C" w:rsidP="00820288">
            <w:pPr>
              <w:spacing w:line="240" w:lineRule="auto"/>
              <w:jc w:val="center"/>
              <w:rPr>
                <w:rFonts w:ascii="Times New Roman" w:eastAsia="Times New Roman" w:hAnsi="Times New Roman" w:cs="Times New Roman"/>
                <w:color w:val="000000" w:themeColor="text1"/>
                <w:sz w:val="13"/>
                <w:szCs w:val="13"/>
              </w:rPr>
            </w:pPr>
            <w:r w:rsidRPr="00EF6679">
              <w:rPr>
                <w:rFonts w:ascii="Times New Roman" w:hAnsi="Times New Roman" w:cs="Times New Roman"/>
                <w:color w:val="000000" w:themeColor="text1"/>
                <w:sz w:val="13"/>
                <w:szCs w:val="13"/>
              </w:rPr>
              <w:t>0.0001</w:t>
            </w:r>
          </w:p>
        </w:tc>
        <w:tc>
          <w:tcPr>
            <w:tcW w:w="720" w:type="dxa"/>
            <w:tcBorders>
              <w:top w:val="nil"/>
              <w:left w:val="nil"/>
              <w:bottom w:val="nil"/>
              <w:right w:val="nil"/>
            </w:tcBorders>
            <w:noWrap/>
            <w:vAlign w:val="center"/>
            <w:hideMark/>
          </w:tcPr>
          <w:p w14:paraId="152A82FC" w14:textId="77777777" w:rsidR="00BB138C" w:rsidRPr="00EF6679" w:rsidRDefault="00BB138C" w:rsidP="00820288">
            <w:pPr>
              <w:spacing w:line="240" w:lineRule="auto"/>
              <w:jc w:val="center"/>
              <w:rPr>
                <w:rFonts w:ascii="Times New Roman" w:eastAsia="Times New Roman" w:hAnsi="Times New Roman" w:cs="Times New Roman"/>
                <w:color w:val="000000" w:themeColor="text1"/>
                <w:sz w:val="13"/>
                <w:szCs w:val="13"/>
              </w:rPr>
            </w:pPr>
            <w:r w:rsidRPr="00EF6679">
              <w:rPr>
                <w:rFonts w:ascii="Times New Roman" w:hAnsi="Times New Roman" w:cs="Times New Roman"/>
                <w:color w:val="000000" w:themeColor="text1"/>
                <w:sz w:val="13"/>
                <w:szCs w:val="13"/>
              </w:rPr>
              <w:t>0.1620</w:t>
            </w:r>
          </w:p>
        </w:tc>
        <w:tc>
          <w:tcPr>
            <w:tcW w:w="864" w:type="dxa"/>
            <w:tcBorders>
              <w:top w:val="nil"/>
              <w:left w:val="nil"/>
              <w:bottom w:val="nil"/>
              <w:right w:val="nil"/>
            </w:tcBorders>
            <w:noWrap/>
            <w:vAlign w:val="center"/>
            <w:hideMark/>
          </w:tcPr>
          <w:p w14:paraId="1AEFB7B2" w14:textId="77777777" w:rsidR="00BB138C" w:rsidRPr="00EF6679" w:rsidRDefault="00BB138C" w:rsidP="00820288">
            <w:pPr>
              <w:spacing w:line="240" w:lineRule="auto"/>
              <w:jc w:val="center"/>
              <w:rPr>
                <w:rFonts w:ascii="Times New Roman" w:eastAsia="Times New Roman" w:hAnsi="Times New Roman" w:cs="Times New Roman"/>
                <w:color w:val="000000" w:themeColor="text1"/>
                <w:sz w:val="13"/>
                <w:szCs w:val="13"/>
              </w:rPr>
            </w:pPr>
            <w:r w:rsidRPr="00EF6679">
              <w:rPr>
                <w:rFonts w:ascii="Times New Roman" w:hAnsi="Times New Roman" w:cs="Times New Roman"/>
                <w:color w:val="000000" w:themeColor="text1"/>
                <w:sz w:val="13"/>
                <w:szCs w:val="13"/>
              </w:rPr>
              <w:t>0.0125</w:t>
            </w:r>
          </w:p>
        </w:tc>
      </w:tr>
      <w:tr w:rsidR="00BB138C" w:rsidRPr="00EF6679" w14:paraId="1EA3CA1F" w14:textId="77777777" w:rsidTr="00820288">
        <w:tblPrEx>
          <w:jc w:val="lef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trHeight w:val="144"/>
        </w:trPr>
        <w:tc>
          <w:tcPr>
            <w:tcW w:w="2340" w:type="dxa"/>
            <w:tcBorders>
              <w:top w:val="nil"/>
              <w:left w:val="nil"/>
              <w:bottom w:val="nil"/>
              <w:right w:val="nil"/>
            </w:tcBorders>
            <w:noWrap/>
            <w:hideMark/>
          </w:tcPr>
          <w:p w14:paraId="7B660500" w14:textId="77777777" w:rsidR="00BB138C" w:rsidRPr="00EF6679" w:rsidRDefault="00BB138C" w:rsidP="00820288">
            <w:pPr>
              <w:spacing w:line="240" w:lineRule="auto"/>
              <w:rPr>
                <w:rFonts w:ascii="Times New Roman" w:eastAsia="Times New Roman" w:hAnsi="Times New Roman" w:cs="Times New Roman"/>
                <w:color w:val="000000" w:themeColor="text1"/>
                <w:sz w:val="13"/>
                <w:szCs w:val="13"/>
              </w:rPr>
            </w:pPr>
            <w:r w:rsidRPr="00EF6679">
              <w:rPr>
                <w:rFonts w:ascii="Times New Roman" w:eastAsia="Times New Roman" w:hAnsi="Times New Roman" w:cs="Times New Roman"/>
                <w:color w:val="000000" w:themeColor="text1"/>
                <w:sz w:val="13"/>
                <w:szCs w:val="13"/>
              </w:rPr>
              <w:t>2-cyclopropyl-Pentane</w:t>
            </w:r>
          </w:p>
        </w:tc>
        <w:tc>
          <w:tcPr>
            <w:tcW w:w="939" w:type="dxa"/>
            <w:tcBorders>
              <w:top w:val="nil"/>
              <w:left w:val="nil"/>
              <w:bottom w:val="nil"/>
              <w:right w:val="nil"/>
            </w:tcBorders>
            <w:noWrap/>
            <w:vAlign w:val="center"/>
            <w:hideMark/>
          </w:tcPr>
          <w:p w14:paraId="13DAC105" w14:textId="77777777" w:rsidR="00BB138C" w:rsidRPr="00EF6679" w:rsidRDefault="00BB138C" w:rsidP="00820288">
            <w:pPr>
              <w:spacing w:line="240" w:lineRule="auto"/>
              <w:jc w:val="center"/>
              <w:rPr>
                <w:rFonts w:ascii="Times New Roman" w:eastAsia="Times New Roman" w:hAnsi="Times New Roman" w:cs="Times New Roman"/>
                <w:color w:val="000000" w:themeColor="text1"/>
                <w:sz w:val="13"/>
                <w:szCs w:val="13"/>
              </w:rPr>
            </w:pPr>
            <w:r w:rsidRPr="00EF6679">
              <w:rPr>
                <w:rFonts w:ascii="Times New Roman" w:eastAsia="Times New Roman" w:hAnsi="Times New Roman" w:cs="Times New Roman"/>
                <w:color w:val="000000" w:themeColor="text1"/>
                <w:sz w:val="13"/>
                <w:szCs w:val="13"/>
              </w:rPr>
              <w:t>5458-16-2</w:t>
            </w:r>
          </w:p>
        </w:tc>
        <w:tc>
          <w:tcPr>
            <w:tcW w:w="1152" w:type="dxa"/>
            <w:tcBorders>
              <w:top w:val="nil"/>
              <w:left w:val="nil"/>
              <w:bottom w:val="nil"/>
              <w:right w:val="nil"/>
            </w:tcBorders>
            <w:noWrap/>
            <w:vAlign w:val="center"/>
            <w:hideMark/>
          </w:tcPr>
          <w:p w14:paraId="4A2BA592" w14:textId="77777777" w:rsidR="00BB138C" w:rsidRPr="00EF6679" w:rsidRDefault="00BB138C" w:rsidP="00820288">
            <w:pPr>
              <w:spacing w:line="240" w:lineRule="auto"/>
              <w:jc w:val="center"/>
              <w:rPr>
                <w:rFonts w:ascii="Times New Roman" w:eastAsia="Times New Roman" w:hAnsi="Times New Roman" w:cs="Times New Roman"/>
                <w:color w:val="000000" w:themeColor="text1"/>
                <w:sz w:val="13"/>
                <w:szCs w:val="13"/>
              </w:rPr>
            </w:pPr>
            <w:r w:rsidRPr="00EF6679">
              <w:rPr>
                <w:rFonts w:ascii="Times New Roman" w:eastAsia="Times New Roman" w:hAnsi="Times New Roman" w:cs="Times New Roman"/>
                <w:color w:val="000000" w:themeColor="text1"/>
                <w:sz w:val="13"/>
                <w:szCs w:val="13"/>
              </w:rPr>
              <w:t>12.251</w:t>
            </w:r>
          </w:p>
        </w:tc>
        <w:tc>
          <w:tcPr>
            <w:tcW w:w="864" w:type="dxa"/>
            <w:tcBorders>
              <w:top w:val="nil"/>
              <w:left w:val="nil"/>
              <w:bottom w:val="nil"/>
              <w:right w:val="nil"/>
            </w:tcBorders>
            <w:noWrap/>
            <w:vAlign w:val="center"/>
            <w:hideMark/>
          </w:tcPr>
          <w:p w14:paraId="077BBA31" w14:textId="77777777" w:rsidR="00BB138C" w:rsidRPr="00EF6679" w:rsidRDefault="00BB138C" w:rsidP="00820288">
            <w:pPr>
              <w:spacing w:line="240" w:lineRule="auto"/>
              <w:jc w:val="center"/>
              <w:rPr>
                <w:rFonts w:ascii="Times New Roman" w:eastAsia="Times New Roman" w:hAnsi="Times New Roman" w:cs="Times New Roman"/>
                <w:color w:val="000000" w:themeColor="text1"/>
                <w:sz w:val="13"/>
                <w:szCs w:val="13"/>
              </w:rPr>
            </w:pPr>
            <w:r w:rsidRPr="00EF6679">
              <w:rPr>
                <w:rFonts w:ascii="Times New Roman" w:eastAsia="Times New Roman" w:hAnsi="Times New Roman" w:cs="Times New Roman"/>
                <w:color w:val="000000" w:themeColor="text1"/>
                <w:sz w:val="13"/>
                <w:szCs w:val="13"/>
              </w:rPr>
              <w:t>2.14</w:t>
            </w:r>
          </w:p>
        </w:tc>
        <w:tc>
          <w:tcPr>
            <w:tcW w:w="720" w:type="dxa"/>
            <w:tcBorders>
              <w:top w:val="nil"/>
              <w:left w:val="nil"/>
              <w:bottom w:val="nil"/>
              <w:right w:val="nil"/>
            </w:tcBorders>
            <w:noWrap/>
            <w:vAlign w:val="center"/>
            <w:hideMark/>
          </w:tcPr>
          <w:p w14:paraId="30A2AFB6" w14:textId="77777777" w:rsidR="00BB138C" w:rsidRPr="00EF6679" w:rsidRDefault="00BB138C" w:rsidP="00820288">
            <w:pPr>
              <w:spacing w:line="240" w:lineRule="auto"/>
              <w:jc w:val="center"/>
              <w:rPr>
                <w:rFonts w:ascii="Times New Roman" w:eastAsia="Times New Roman" w:hAnsi="Times New Roman" w:cs="Times New Roman"/>
                <w:color w:val="000000" w:themeColor="text1"/>
                <w:sz w:val="13"/>
                <w:szCs w:val="13"/>
              </w:rPr>
            </w:pPr>
            <w:r w:rsidRPr="00EF6679">
              <w:rPr>
                <w:rFonts w:ascii="Times New Roman" w:eastAsia="Times New Roman" w:hAnsi="Times New Roman" w:cs="Times New Roman"/>
                <w:color w:val="000000" w:themeColor="text1"/>
                <w:sz w:val="13"/>
                <w:szCs w:val="13"/>
              </w:rPr>
              <w:t>2.01</w:t>
            </w:r>
          </w:p>
        </w:tc>
        <w:tc>
          <w:tcPr>
            <w:tcW w:w="864" w:type="dxa"/>
            <w:tcBorders>
              <w:top w:val="nil"/>
              <w:left w:val="nil"/>
              <w:bottom w:val="nil"/>
              <w:right w:val="nil"/>
            </w:tcBorders>
            <w:noWrap/>
            <w:vAlign w:val="center"/>
            <w:hideMark/>
          </w:tcPr>
          <w:p w14:paraId="6C3B9EA6" w14:textId="77777777" w:rsidR="00BB138C" w:rsidRPr="00EF6679" w:rsidRDefault="00BB138C" w:rsidP="00820288">
            <w:pPr>
              <w:spacing w:line="240" w:lineRule="auto"/>
              <w:jc w:val="center"/>
              <w:rPr>
                <w:rFonts w:ascii="Times New Roman" w:eastAsia="Times New Roman" w:hAnsi="Times New Roman" w:cs="Times New Roman"/>
                <w:color w:val="000000" w:themeColor="text1"/>
                <w:sz w:val="13"/>
                <w:szCs w:val="13"/>
              </w:rPr>
            </w:pPr>
            <w:r w:rsidRPr="00EF6679">
              <w:rPr>
                <w:rFonts w:ascii="Times New Roman" w:eastAsia="Times New Roman" w:hAnsi="Times New Roman" w:cs="Times New Roman"/>
                <w:color w:val="000000" w:themeColor="text1"/>
                <w:sz w:val="13"/>
                <w:szCs w:val="13"/>
              </w:rPr>
              <w:t>2.06</w:t>
            </w:r>
          </w:p>
        </w:tc>
        <w:tc>
          <w:tcPr>
            <w:tcW w:w="410" w:type="dxa"/>
            <w:tcBorders>
              <w:top w:val="nil"/>
              <w:left w:val="nil"/>
              <w:bottom w:val="nil"/>
              <w:right w:val="nil"/>
            </w:tcBorders>
            <w:noWrap/>
          </w:tcPr>
          <w:p w14:paraId="464235B9" w14:textId="77777777" w:rsidR="00BB138C" w:rsidRPr="00EF6679" w:rsidRDefault="00BB138C" w:rsidP="00820288">
            <w:pPr>
              <w:spacing w:line="240" w:lineRule="auto"/>
              <w:jc w:val="right"/>
              <w:rPr>
                <w:rFonts w:ascii="Times New Roman" w:eastAsia="Times New Roman" w:hAnsi="Times New Roman" w:cs="Times New Roman"/>
                <w:color w:val="000000" w:themeColor="text1"/>
                <w:sz w:val="13"/>
                <w:szCs w:val="13"/>
              </w:rPr>
            </w:pPr>
          </w:p>
        </w:tc>
        <w:tc>
          <w:tcPr>
            <w:tcW w:w="864" w:type="dxa"/>
            <w:tcBorders>
              <w:top w:val="nil"/>
              <w:left w:val="nil"/>
              <w:bottom w:val="nil"/>
              <w:right w:val="nil"/>
            </w:tcBorders>
            <w:noWrap/>
            <w:vAlign w:val="center"/>
            <w:hideMark/>
          </w:tcPr>
          <w:p w14:paraId="7513D7F0" w14:textId="77777777" w:rsidR="00BB138C" w:rsidRPr="00EF6679" w:rsidRDefault="00BB138C" w:rsidP="00820288">
            <w:pPr>
              <w:spacing w:line="240" w:lineRule="auto"/>
              <w:jc w:val="center"/>
              <w:rPr>
                <w:rFonts w:ascii="Times New Roman" w:eastAsia="Times New Roman" w:hAnsi="Times New Roman" w:cs="Times New Roman"/>
                <w:color w:val="000000" w:themeColor="text1"/>
                <w:sz w:val="13"/>
                <w:szCs w:val="13"/>
              </w:rPr>
            </w:pPr>
            <w:r w:rsidRPr="00EF6679">
              <w:rPr>
                <w:rFonts w:ascii="Times New Roman" w:hAnsi="Times New Roman" w:cs="Times New Roman"/>
                <w:color w:val="000000" w:themeColor="text1"/>
                <w:sz w:val="13"/>
                <w:szCs w:val="13"/>
              </w:rPr>
              <w:t>0.1453</w:t>
            </w:r>
          </w:p>
        </w:tc>
        <w:tc>
          <w:tcPr>
            <w:tcW w:w="720" w:type="dxa"/>
            <w:tcBorders>
              <w:top w:val="nil"/>
              <w:left w:val="nil"/>
              <w:bottom w:val="nil"/>
              <w:right w:val="nil"/>
            </w:tcBorders>
            <w:noWrap/>
            <w:vAlign w:val="center"/>
            <w:hideMark/>
          </w:tcPr>
          <w:p w14:paraId="15501B4F" w14:textId="77777777" w:rsidR="00BB138C" w:rsidRPr="00EF6679" w:rsidRDefault="00BB138C" w:rsidP="00820288">
            <w:pPr>
              <w:spacing w:line="240" w:lineRule="auto"/>
              <w:jc w:val="center"/>
              <w:rPr>
                <w:rFonts w:ascii="Times New Roman" w:eastAsia="Times New Roman" w:hAnsi="Times New Roman" w:cs="Times New Roman"/>
                <w:color w:val="000000" w:themeColor="text1"/>
                <w:sz w:val="13"/>
                <w:szCs w:val="13"/>
              </w:rPr>
            </w:pPr>
            <w:r w:rsidRPr="00EF6679">
              <w:rPr>
                <w:rFonts w:ascii="Times New Roman" w:hAnsi="Times New Roman" w:cs="Times New Roman"/>
                <w:color w:val="000000" w:themeColor="text1"/>
                <w:sz w:val="13"/>
                <w:szCs w:val="13"/>
              </w:rPr>
              <w:t>0.0289</w:t>
            </w:r>
          </w:p>
        </w:tc>
        <w:tc>
          <w:tcPr>
            <w:tcW w:w="864" w:type="dxa"/>
            <w:tcBorders>
              <w:top w:val="nil"/>
              <w:left w:val="nil"/>
              <w:bottom w:val="nil"/>
              <w:right w:val="nil"/>
            </w:tcBorders>
            <w:noWrap/>
            <w:vAlign w:val="center"/>
            <w:hideMark/>
          </w:tcPr>
          <w:p w14:paraId="3D3468C3" w14:textId="77777777" w:rsidR="00BB138C" w:rsidRPr="00EF6679" w:rsidRDefault="00BB138C" w:rsidP="00820288">
            <w:pPr>
              <w:spacing w:line="240" w:lineRule="auto"/>
              <w:jc w:val="center"/>
              <w:rPr>
                <w:rFonts w:ascii="Times New Roman" w:eastAsia="Times New Roman" w:hAnsi="Times New Roman" w:cs="Times New Roman"/>
                <w:color w:val="000000" w:themeColor="text1"/>
                <w:sz w:val="13"/>
                <w:szCs w:val="13"/>
              </w:rPr>
            </w:pPr>
            <w:r w:rsidRPr="00EF6679">
              <w:rPr>
                <w:rFonts w:ascii="Times New Roman" w:hAnsi="Times New Roman" w:cs="Times New Roman"/>
                <w:color w:val="000000" w:themeColor="text1"/>
                <w:sz w:val="13"/>
                <w:szCs w:val="13"/>
              </w:rPr>
              <w:t>0.0246</w:t>
            </w:r>
          </w:p>
        </w:tc>
      </w:tr>
      <w:tr w:rsidR="00BB138C" w:rsidRPr="00EF6679" w14:paraId="049885B2" w14:textId="77777777" w:rsidTr="00820288">
        <w:tblPrEx>
          <w:jc w:val="lef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trHeight w:val="144"/>
        </w:trPr>
        <w:tc>
          <w:tcPr>
            <w:tcW w:w="2340" w:type="dxa"/>
            <w:tcBorders>
              <w:top w:val="nil"/>
              <w:left w:val="nil"/>
              <w:bottom w:val="nil"/>
              <w:right w:val="nil"/>
            </w:tcBorders>
            <w:noWrap/>
            <w:hideMark/>
          </w:tcPr>
          <w:p w14:paraId="0C8DD378" w14:textId="77777777" w:rsidR="00BB138C" w:rsidRPr="00EF6679" w:rsidRDefault="00BB138C" w:rsidP="00820288">
            <w:pPr>
              <w:spacing w:line="240" w:lineRule="auto"/>
              <w:rPr>
                <w:rFonts w:ascii="Times New Roman" w:eastAsia="Times New Roman" w:hAnsi="Times New Roman" w:cs="Times New Roman"/>
                <w:color w:val="000000" w:themeColor="text1"/>
                <w:sz w:val="13"/>
                <w:szCs w:val="13"/>
              </w:rPr>
            </w:pPr>
            <w:r w:rsidRPr="00EF6679">
              <w:rPr>
                <w:rFonts w:ascii="Times New Roman" w:eastAsia="Times New Roman" w:hAnsi="Times New Roman" w:cs="Times New Roman"/>
                <w:color w:val="000000" w:themeColor="text1"/>
                <w:sz w:val="13"/>
                <w:szCs w:val="13"/>
              </w:rPr>
              <w:t xml:space="preserve">Dimethyl Trisulfide      </w:t>
            </w:r>
          </w:p>
        </w:tc>
        <w:tc>
          <w:tcPr>
            <w:tcW w:w="939" w:type="dxa"/>
            <w:tcBorders>
              <w:top w:val="nil"/>
              <w:left w:val="nil"/>
              <w:bottom w:val="nil"/>
              <w:right w:val="nil"/>
            </w:tcBorders>
            <w:noWrap/>
            <w:vAlign w:val="center"/>
            <w:hideMark/>
          </w:tcPr>
          <w:p w14:paraId="37F64BA8" w14:textId="77777777" w:rsidR="00BB138C" w:rsidRPr="00EF6679" w:rsidRDefault="00BB138C" w:rsidP="00820288">
            <w:pPr>
              <w:spacing w:line="240" w:lineRule="auto"/>
              <w:jc w:val="center"/>
              <w:rPr>
                <w:rFonts w:ascii="Times New Roman" w:eastAsia="Times New Roman" w:hAnsi="Times New Roman" w:cs="Times New Roman"/>
                <w:color w:val="000000" w:themeColor="text1"/>
                <w:sz w:val="13"/>
                <w:szCs w:val="13"/>
              </w:rPr>
            </w:pPr>
            <w:r w:rsidRPr="00EF6679">
              <w:rPr>
                <w:rFonts w:ascii="Times New Roman" w:eastAsia="Times New Roman" w:hAnsi="Times New Roman" w:cs="Times New Roman"/>
                <w:color w:val="000000" w:themeColor="text1"/>
                <w:sz w:val="13"/>
                <w:szCs w:val="13"/>
              </w:rPr>
              <w:t>3658-80-8</w:t>
            </w:r>
          </w:p>
        </w:tc>
        <w:tc>
          <w:tcPr>
            <w:tcW w:w="1152" w:type="dxa"/>
            <w:tcBorders>
              <w:top w:val="nil"/>
              <w:left w:val="nil"/>
              <w:bottom w:val="nil"/>
              <w:right w:val="nil"/>
            </w:tcBorders>
            <w:noWrap/>
            <w:vAlign w:val="center"/>
            <w:hideMark/>
          </w:tcPr>
          <w:p w14:paraId="7EC1342F" w14:textId="77777777" w:rsidR="00BB138C" w:rsidRPr="00EF6679" w:rsidRDefault="00BB138C" w:rsidP="00820288">
            <w:pPr>
              <w:spacing w:line="240" w:lineRule="auto"/>
              <w:jc w:val="center"/>
              <w:rPr>
                <w:rFonts w:ascii="Times New Roman" w:eastAsia="Times New Roman" w:hAnsi="Times New Roman" w:cs="Times New Roman"/>
                <w:color w:val="000000" w:themeColor="text1"/>
                <w:sz w:val="13"/>
                <w:szCs w:val="13"/>
              </w:rPr>
            </w:pPr>
            <w:r w:rsidRPr="00EF6679">
              <w:rPr>
                <w:rFonts w:ascii="Times New Roman" w:eastAsia="Times New Roman" w:hAnsi="Times New Roman" w:cs="Times New Roman"/>
                <w:color w:val="000000" w:themeColor="text1"/>
                <w:sz w:val="13"/>
                <w:szCs w:val="13"/>
              </w:rPr>
              <w:t>12.505</w:t>
            </w:r>
          </w:p>
        </w:tc>
        <w:tc>
          <w:tcPr>
            <w:tcW w:w="864" w:type="dxa"/>
            <w:tcBorders>
              <w:top w:val="nil"/>
              <w:left w:val="nil"/>
              <w:bottom w:val="nil"/>
              <w:right w:val="nil"/>
            </w:tcBorders>
            <w:noWrap/>
            <w:vAlign w:val="center"/>
            <w:hideMark/>
          </w:tcPr>
          <w:p w14:paraId="54FBEC34" w14:textId="77777777" w:rsidR="00BB138C" w:rsidRPr="00EF6679" w:rsidRDefault="00BB138C" w:rsidP="00820288">
            <w:pPr>
              <w:spacing w:line="240" w:lineRule="auto"/>
              <w:jc w:val="center"/>
              <w:rPr>
                <w:rFonts w:ascii="Times New Roman" w:eastAsia="Times New Roman" w:hAnsi="Times New Roman" w:cs="Times New Roman"/>
                <w:color w:val="000000" w:themeColor="text1"/>
                <w:sz w:val="13"/>
                <w:szCs w:val="13"/>
              </w:rPr>
            </w:pPr>
            <w:r w:rsidRPr="00EF6679">
              <w:rPr>
                <w:rFonts w:ascii="Times New Roman" w:eastAsia="Times New Roman" w:hAnsi="Times New Roman" w:cs="Times New Roman"/>
                <w:color w:val="000000" w:themeColor="text1"/>
                <w:sz w:val="13"/>
                <w:szCs w:val="13"/>
              </w:rPr>
              <w:t>n.d.</w:t>
            </w:r>
          </w:p>
        </w:tc>
        <w:tc>
          <w:tcPr>
            <w:tcW w:w="720" w:type="dxa"/>
            <w:tcBorders>
              <w:top w:val="nil"/>
              <w:left w:val="nil"/>
              <w:bottom w:val="nil"/>
              <w:right w:val="nil"/>
            </w:tcBorders>
            <w:noWrap/>
            <w:vAlign w:val="center"/>
            <w:hideMark/>
          </w:tcPr>
          <w:p w14:paraId="5FA16DEA" w14:textId="77777777" w:rsidR="00BB138C" w:rsidRPr="00EF6679" w:rsidRDefault="00BB138C" w:rsidP="00820288">
            <w:pPr>
              <w:spacing w:line="240" w:lineRule="auto"/>
              <w:jc w:val="center"/>
              <w:rPr>
                <w:rFonts w:ascii="Times New Roman" w:eastAsia="Times New Roman" w:hAnsi="Times New Roman" w:cs="Times New Roman"/>
                <w:color w:val="000000" w:themeColor="text1"/>
                <w:sz w:val="13"/>
                <w:szCs w:val="13"/>
              </w:rPr>
            </w:pPr>
            <w:r w:rsidRPr="00EF6679">
              <w:rPr>
                <w:rFonts w:ascii="Times New Roman" w:eastAsia="Times New Roman" w:hAnsi="Times New Roman" w:cs="Times New Roman"/>
                <w:color w:val="000000" w:themeColor="text1"/>
                <w:sz w:val="13"/>
                <w:szCs w:val="13"/>
              </w:rPr>
              <w:t>n.d.</w:t>
            </w:r>
          </w:p>
        </w:tc>
        <w:tc>
          <w:tcPr>
            <w:tcW w:w="864" w:type="dxa"/>
            <w:tcBorders>
              <w:top w:val="nil"/>
              <w:left w:val="nil"/>
              <w:bottom w:val="nil"/>
              <w:right w:val="nil"/>
            </w:tcBorders>
            <w:noWrap/>
            <w:vAlign w:val="center"/>
            <w:hideMark/>
          </w:tcPr>
          <w:p w14:paraId="4F02A0D8" w14:textId="77777777" w:rsidR="00BB138C" w:rsidRPr="00EF6679" w:rsidRDefault="00BB138C" w:rsidP="00820288">
            <w:pPr>
              <w:spacing w:line="240" w:lineRule="auto"/>
              <w:jc w:val="center"/>
              <w:rPr>
                <w:rFonts w:ascii="Times New Roman" w:eastAsia="Times New Roman" w:hAnsi="Times New Roman" w:cs="Times New Roman"/>
                <w:color w:val="000000" w:themeColor="text1"/>
                <w:sz w:val="13"/>
                <w:szCs w:val="13"/>
              </w:rPr>
            </w:pPr>
            <w:r w:rsidRPr="00EF6679">
              <w:rPr>
                <w:rFonts w:ascii="Times New Roman" w:eastAsia="Times New Roman" w:hAnsi="Times New Roman" w:cs="Times New Roman"/>
                <w:color w:val="000000" w:themeColor="text1"/>
                <w:sz w:val="13"/>
                <w:szCs w:val="13"/>
              </w:rPr>
              <w:t>n.d.</w:t>
            </w:r>
          </w:p>
        </w:tc>
        <w:tc>
          <w:tcPr>
            <w:tcW w:w="410" w:type="dxa"/>
            <w:tcBorders>
              <w:top w:val="nil"/>
              <w:left w:val="nil"/>
              <w:bottom w:val="nil"/>
              <w:right w:val="nil"/>
            </w:tcBorders>
            <w:noWrap/>
          </w:tcPr>
          <w:p w14:paraId="32E15B75" w14:textId="77777777" w:rsidR="00BB138C" w:rsidRPr="00EF6679" w:rsidRDefault="00BB138C" w:rsidP="00820288">
            <w:pPr>
              <w:spacing w:line="240" w:lineRule="auto"/>
              <w:jc w:val="right"/>
              <w:rPr>
                <w:rFonts w:ascii="Times New Roman" w:eastAsia="Times New Roman" w:hAnsi="Times New Roman" w:cs="Times New Roman"/>
                <w:color w:val="000000" w:themeColor="text1"/>
                <w:sz w:val="13"/>
                <w:szCs w:val="13"/>
              </w:rPr>
            </w:pPr>
          </w:p>
        </w:tc>
        <w:tc>
          <w:tcPr>
            <w:tcW w:w="864" w:type="dxa"/>
            <w:tcBorders>
              <w:top w:val="nil"/>
              <w:left w:val="nil"/>
              <w:bottom w:val="nil"/>
              <w:right w:val="nil"/>
            </w:tcBorders>
            <w:noWrap/>
            <w:vAlign w:val="center"/>
            <w:hideMark/>
          </w:tcPr>
          <w:p w14:paraId="0A7E5AF1" w14:textId="77777777" w:rsidR="00BB138C" w:rsidRPr="00EF6679" w:rsidRDefault="00BB138C" w:rsidP="00820288">
            <w:pPr>
              <w:spacing w:line="240" w:lineRule="auto"/>
              <w:jc w:val="center"/>
              <w:rPr>
                <w:rFonts w:ascii="Times New Roman" w:eastAsia="Times New Roman" w:hAnsi="Times New Roman" w:cs="Times New Roman"/>
                <w:color w:val="000000" w:themeColor="text1"/>
                <w:sz w:val="13"/>
                <w:szCs w:val="13"/>
              </w:rPr>
            </w:pPr>
            <w:r w:rsidRPr="00EF6679">
              <w:rPr>
                <w:rFonts w:ascii="Times New Roman" w:hAnsi="Times New Roman" w:cs="Times New Roman"/>
                <w:color w:val="000000" w:themeColor="text1"/>
                <w:sz w:val="13"/>
                <w:szCs w:val="13"/>
              </w:rPr>
              <w:t>n.d.</w:t>
            </w:r>
          </w:p>
        </w:tc>
        <w:tc>
          <w:tcPr>
            <w:tcW w:w="720" w:type="dxa"/>
            <w:tcBorders>
              <w:top w:val="nil"/>
              <w:left w:val="nil"/>
              <w:bottom w:val="nil"/>
              <w:right w:val="nil"/>
            </w:tcBorders>
            <w:noWrap/>
            <w:vAlign w:val="center"/>
            <w:hideMark/>
          </w:tcPr>
          <w:p w14:paraId="2C73954F" w14:textId="77777777" w:rsidR="00BB138C" w:rsidRPr="00EF6679" w:rsidRDefault="00BB138C" w:rsidP="00820288">
            <w:pPr>
              <w:spacing w:line="240" w:lineRule="auto"/>
              <w:jc w:val="center"/>
              <w:rPr>
                <w:rFonts w:ascii="Times New Roman" w:eastAsia="Times New Roman" w:hAnsi="Times New Roman" w:cs="Times New Roman"/>
                <w:color w:val="000000" w:themeColor="text1"/>
                <w:sz w:val="13"/>
                <w:szCs w:val="13"/>
              </w:rPr>
            </w:pPr>
            <w:r w:rsidRPr="00EF6679">
              <w:rPr>
                <w:rFonts w:ascii="Times New Roman" w:hAnsi="Times New Roman" w:cs="Times New Roman"/>
                <w:color w:val="000000" w:themeColor="text1"/>
                <w:sz w:val="13"/>
                <w:szCs w:val="13"/>
              </w:rPr>
              <w:t>n.d.</w:t>
            </w:r>
          </w:p>
        </w:tc>
        <w:tc>
          <w:tcPr>
            <w:tcW w:w="864" w:type="dxa"/>
            <w:tcBorders>
              <w:top w:val="nil"/>
              <w:left w:val="nil"/>
              <w:bottom w:val="nil"/>
              <w:right w:val="nil"/>
            </w:tcBorders>
            <w:noWrap/>
            <w:vAlign w:val="center"/>
            <w:hideMark/>
          </w:tcPr>
          <w:p w14:paraId="6933D5A8" w14:textId="77777777" w:rsidR="00BB138C" w:rsidRPr="00EF6679" w:rsidRDefault="00BB138C" w:rsidP="00820288">
            <w:pPr>
              <w:spacing w:line="240" w:lineRule="auto"/>
              <w:jc w:val="center"/>
              <w:rPr>
                <w:rFonts w:ascii="Times New Roman" w:eastAsia="Times New Roman" w:hAnsi="Times New Roman" w:cs="Times New Roman"/>
                <w:color w:val="000000" w:themeColor="text1"/>
                <w:sz w:val="13"/>
                <w:szCs w:val="13"/>
              </w:rPr>
            </w:pPr>
            <w:r w:rsidRPr="00EF6679">
              <w:rPr>
                <w:rFonts w:ascii="Times New Roman" w:hAnsi="Times New Roman" w:cs="Times New Roman"/>
                <w:color w:val="000000" w:themeColor="text1"/>
                <w:sz w:val="13"/>
                <w:szCs w:val="13"/>
              </w:rPr>
              <w:t>n.d.</w:t>
            </w:r>
          </w:p>
        </w:tc>
      </w:tr>
      <w:tr w:rsidR="00BB138C" w:rsidRPr="00EF6679" w14:paraId="6CD80042" w14:textId="77777777" w:rsidTr="00820288">
        <w:tblPrEx>
          <w:jc w:val="lef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trHeight w:val="144"/>
        </w:trPr>
        <w:tc>
          <w:tcPr>
            <w:tcW w:w="2340" w:type="dxa"/>
            <w:tcBorders>
              <w:top w:val="nil"/>
              <w:left w:val="nil"/>
              <w:bottom w:val="nil"/>
              <w:right w:val="nil"/>
            </w:tcBorders>
            <w:noWrap/>
            <w:hideMark/>
          </w:tcPr>
          <w:p w14:paraId="6A4DB436" w14:textId="77777777" w:rsidR="00BB138C" w:rsidRPr="00EF6679" w:rsidRDefault="00BB138C" w:rsidP="00820288">
            <w:pPr>
              <w:spacing w:line="240" w:lineRule="auto"/>
              <w:rPr>
                <w:rFonts w:ascii="Times New Roman" w:eastAsia="Times New Roman" w:hAnsi="Times New Roman" w:cs="Times New Roman"/>
                <w:color w:val="000000" w:themeColor="text1"/>
                <w:sz w:val="13"/>
                <w:szCs w:val="13"/>
              </w:rPr>
            </w:pPr>
            <w:r w:rsidRPr="00EF6679">
              <w:rPr>
                <w:rFonts w:ascii="Times New Roman" w:eastAsia="Times New Roman" w:hAnsi="Times New Roman" w:cs="Times New Roman"/>
                <w:color w:val="000000" w:themeColor="text1"/>
                <w:sz w:val="13"/>
                <w:szCs w:val="13"/>
              </w:rPr>
              <w:t xml:space="preserve">β-Pinene                  </w:t>
            </w:r>
          </w:p>
        </w:tc>
        <w:tc>
          <w:tcPr>
            <w:tcW w:w="939" w:type="dxa"/>
            <w:tcBorders>
              <w:top w:val="nil"/>
              <w:left w:val="nil"/>
              <w:bottom w:val="nil"/>
              <w:right w:val="nil"/>
            </w:tcBorders>
            <w:noWrap/>
            <w:vAlign w:val="center"/>
            <w:hideMark/>
          </w:tcPr>
          <w:p w14:paraId="42075E73" w14:textId="77777777" w:rsidR="00BB138C" w:rsidRPr="00EF6679" w:rsidRDefault="00BB138C" w:rsidP="00820288">
            <w:pPr>
              <w:spacing w:line="240" w:lineRule="auto"/>
              <w:jc w:val="center"/>
              <w:rPr>
                <w:rFonts w:ascii="Times New Roman" w:eastAsia="Times New Roman" w:hAnsi="Times New Roman" w:cs="Times New Roman"/>
                <w:color w:val="000000" w:themeColor="text1"/>
                <w:sz w:val="13"/>
                <w:szCs w:val="13"/>
              </w:rPr>
            </w:pPr>
            <w:r w:rsidRPr="00EF6679">
              <w:rPr>
                <w:rFonts w:ascii="Times New Roman" w:eastAsia="Times New Roman" w:hAnsi="Times New Roman" w:cs="Times New Roman"/>
                <w:color w:val="000000" w:themeColor="text1"/>
                <w:sz w:val="13"/>
                <w:szCs w:val="13"/>
              </w:rPr>
              <w:t>18172-67-3</w:t>
            </w:r>
          </w:p>
        </w:tc>
        <w:tc>
          <w:tcPr>
            <w:tcW w:w="1152" w:type="dxa"/>
            <w:tcBorders>
              <w:top w:val="nil"/>
              <w:left w:val="nil"/>
              <w:bottom w:val="nil"/>
              <w:right w:val="nil"/>
            </w:tcBorders>
            <w:noWrap/>
            <w:vAlign w:val="center"/>
            <w:hideMark/>
          </w:tcPr>
          <w:p w14:paraId="2FBF2BA8" w14:textId="77777777" w:rsidR="00BB138C" w:rsidRPr="00EF6679" w:rsidRDefault="00BB138C" w:rsidP="00820288">
            <w:pPr>
              <w:spacing w:line="240" w:lineRule="auto"/>
              <w:jc w:val="center"/>
              <w:rPr>
                <w:rFonts w:ascii="Times New Roman" w:eastAsia="Times New Roman" w:hAnsi="Times New Roman" w:cs="Times New Roman"/>
                <w:color w:val="000000" w:themeColor="text1"/>
                <w:sz w:val="13"/>
                <w:szCs w:val="13"/>
              </w:rPr>
            </w:pPr>
            <w:r w:rsidRPr="00EF6679">
              <w:rPr>
                <w:rFonts w:ascii="Times New Roman" w:eastAsia="Times New Roman" w:hAnsi="Times New Roman" w:cs="Times New Roman"/>
                <w:color w:val="000000" w:themeColor="text1"/>
                <w:sz w:val="13"/>
                <w:szCs w:val="13"/>
              </w:rPr>
              <w:t>13.065</w:t>
            </w:r>
          </w:p>
        </w:tc>
        <w:tc>
          <w:tcPr>
            <w:tcW w:w="864" w:type="dxa"/>
            <w:tcBorders>
              <w:top w:val="nil"/>
              <w:left w:val="nil"/>
              <w:bottom w:val="nil"/>
              <w:right w:val="nil"/>
            </w:tcBorders>
            <w:noWrap/>
            <w:vAlign w:val="center"/>
            <w:hideMark/>
          </w:tcPr>
          <w:p w14:paraId="53FAA99E" w14:textId="77777777" w:rsidR="00BB138C" w:rsidRPr="00EF6679" w:rsidRDefault="00BB138C" w:rsidP="00820288">
            <w:pPr>
              <w:spacing w:line="240" w:lineRule="auto"/>
              <w:jc w:val="center"/>
              <w:rPr>
                <w:rFonts w:ascii="Times New Roman" w:eastAsia="Times New Roman" w:hAnsi="Times New Roman" w:cs="Times New Roman"/>
                <w:color w:val="000000" w:themeColor="text1"/>
                <w:sz w:val="13"/>
                <w:szCs w:val="13"/>
              </w:rPr>
            </w:pPr>
            <w:r w:rsidRPr="00EF6679">
              <w:rPr>
                <w:rFonts w:ascii="Times New Roman" w:eastAsia="Times New Roman" w:hAnsi="Times New Roman" w:cs="Times New Roman"/>
                <w:color w:val="000000" w:themeColor="text1"/>
                <w:sz w:val="13"/>
                <w:szCs w:val="13"/>
              </w:rPr>
              <w:t>3.51</w:t>
            </w:r>
          </w:p>
        </w:tc>
        <w:tc>
          <w:tcPr>
            <w:tcW w:w="720" w:type="dxa"/>
            <w:tcBorders>
              <w:top w:val="nil"/>
              <w:left w:val="nil"/>
              <w:bottom w:val="nil"/>
              <w:right w:val="nil"/>
            </w:tcBorders>
            <w:noWrap/>
            <w:vAlign w:val="center"/>
            <w:hideMark/>
          </w:tcPr>
          <w:p w14:paraId="5249E737" w14:textId="77777777" w:rsidR="00BB138C" w:rsidRPr="00EF6679" w:rsidRDefault="00BB138C" w:rsidP="00820288">
            <w:pPr>
              <w:spacing w:line="240" w:lineRule="auto"/>
              <w:jc w:val="center"/>
              <w:rPr>
                <w:rFonts w:ascii="Times New Roman" w:eastAsia="Times New Roman" w:hAnsi="Times New Roman" w:cs="Times New Roman"/>
                <w:color w:val="000000" w:themeColor="text1"/>
                <w:sz w:val="13"/>
                <w:szCs w:val="13"/>
              </w:rPr>
            </w:pPr>
            <w:r w:rsidRPr="00EF6679">
              <w:rPr>
                <w:rFonts w:ascii="Times New Roman" w:eastAsia="Times New Roman" w:hAnsi="Times New Roman" w:cs="Times New Roman"/>
                <w:color w:val="000000" w:themeColor="text1"/>
                <w:sz w:val="13"/>
                <w:szCs w:val="13"/>
              </w:rPr>
              <w:t>2.26</w:t>
            </w:r>
          </w:p>
        </w:tc>
        <w:tc>
          <w:tcPr>
            <w:tcW w:w="864" w:type="dxa"/>
            <w:tcBorders>
              <w:top w:val="nil"/>
              <w:left w:val="nil"/>
              <w:bottom w:val="nil"/>
              <w:right w:val="nil"/>
            </w:tcBorders>
            <w:noWrap/>
            <w:vAlign w:val="center"/>
            <w:hideMark/>
          </w:tcPr>
          <w:p w14:paraId="78381A7E" w14:textId="77777777" w:rsidR="00BB138C" w:rsidRPr="00EF6679" w:rsidRDefault="00BB138C" w:rsidP="00820288">
            <w:pPr>
              <w:spacing w:line="240" w:lineRule="auto"/>
              <w:jc w:val="center"/>
              <w:rPr>
                <w:rFonts w:ascii="Times New Roman" w:eastAsia="Times New Roman" w:hAnsi="Times New Roman" w:cs="Times New Roman"/>
                <w:color w:val="000000" w:themeColor="text1"/>
                <w:sz w:val="13"/>
                <w:szCs w:val="13"/>
              </w:rPr>
            </w:pPr>
            <w:r w:rsidRPr="00EF6679">
              <w:rPr>
                <w:rFonts w:ascii="Times New Roman" w:eastAsia="Times New Roman" w:hAnsi="Times New Roman" w:cs="Times New Roman"/>
                <w:color w:val="000000" w:themeColor="text1"/>
                <w:sz w:val="13"/>
                <w:szCs w:val="13"/>
              </w:rPr>
              <w:t>2.02</w:t>
            </w:r>
          </w:p>
        </w:tc>
        <w:tc>
          <w:tcPr>
            <w:tcW w:w="410" w:type="dxa"/>
            <w:tcBorders>
              <w:top w:val="nil"/>
              <w:left w:val="nil"/>
              <w:bottom w:val="nil"/>
              <w:right w:val="nil"/>
            </w:tcBorders>
            <w:noWrap/>
          </w:tcPr>
          <w:p w14:paraId="1B5D5B19" w14:textId="77777777" w:rsidR="00BB138C" w:rsidRPr="00EF6679" w:rsidRDefault="00BB138C" w:rsidP="00820288">
            <w:pPr>
              <w:spacing w:line="240" w:lineRule="auto"/>
              <w:jc w:val="right"/>
              <w:rPr>
                <w:rFonts w:ascii="Times New Roman" w:eastAsia="Times New Roman" w:hAnsi="Times New Roman" w:cs="Times New Roman"/>
                <w:color w:val="000000" w:themeColor="text1"/>
                <w:sz w:val="13"/>
                <w:szCs w:val="13"/>
              </w:rPr>
            </w:pPr>
          </w:p>
        </w:tc>
        <w:tc>
          <w:tcPr>
            <w:tcW w:w="864" w:type="dxa"/>
            <w:tcBorders>
              <w:top w:val="nil"/>
              <w:left w:val="nil"/>
              <w:bottom w:val="nil"/>
              <w:right w:val="nil"/>
            </w:tcBorders>
            <w:noWrap/>
            <w:vAlign w:val="bottom"/>
            <w:hideMark/>
          </w:tcPr>
          <w:p w14:paraId="677C835B" w14:textId="77777777" w:rsidR="00BB138C" w:rsidRPr="00EF6679" w:rsidRDefault="00BB138C" w:rsidP="00820288">
            <w:pPr>
              <w:spacing w:line="240" w:lineRule="auto"/>
              <w:jc w:val="center"/>
              <w:rPr>
                <w:rFonts w:ascii="Times New Roman" w:eastAsia="Times New Roman" w:hAnsi="Times New Roman" w:cs="Times New Roman"/>
                <w:color w:val="000000" w:themeColor="text1"/>
                <w:sz w:val="13"/>
                <w:szCs w:val="13"/>
              </w:rPr>
            </w:pPr>
            <w:r w:rsidRPr="00EF6679">
              <w:rPr>
                <w:rFonts w:ascii="Times New Roman" w:hAnsi="Times New Roman" w:cs="Times New Roman"/>
                <w:color w:val="000000" w:themeColor="text1"/>
                <w:sz w:val="13"/>
                <w:szCs w:val="13"/>
              </w:rPr>
              <w:t>0.0625</w:t>
            </w:r>
          </w:p>
        </w:tc>
        <w:tc>
          <w:tcPr>
            <w:tcW w:w="720" w:type="dxa"/>
            <w:tcBorders>
              <w:top w:val="nil"/>
              <w:left w:val="nil"/>
              <w:bottom w:val="nil"/>
              <w:right w:val="nil"/>
            </w:tcBorders>
            <w:noWrap/>
            <w:vAlign w:val="bottom"/>
            <w:hideMark/>
          </w:tcPr>
          <w:p w14:paraId="2EC81985" w14:textId="77777777" w:rsidR="00BB138C" w:rsidRPr="00EF6679" w:rsidRDefault="00BB138C" w:rsidP="00820288">
            <w:pPr>
              <w:spacing w:line="240" w:lineRule="auto"/>
              <w:jc w:val="center"/>
              <w:rPr>
                <w:rFonts w:ascii="Times New Roman" w:eastAsia="Times New Roman" w:hAnsi="Times New Roman" w:cs="Times New Roman"/>
                <w:color w:val="000000" w:themeColor="text1"/>
                <w:sz w:val="13"/>
                <w:szCs w:val="13"/>
              </w:rPr>
            </w:pPr>
            <w:r w:rsidRPr="00EF6679">
              <w:rPr>
                <w:rFonts w:ascii="Times New Roman" w:hAnsi="Times New Roman" w:cs="Times New Roman"/>
                <w:color w:val="000000" w:themeColor="text1"/>
                <w:sz w:val="13"/>
                <w:szCs w:val="13"/>
              </w:rPr>
              <w:t>0.0130</w:t>
            </w:r>
          </w:p>
        </w:tc>
        <w:tc>
          <w:tcPr>
            <w:tcW w:w="864" w:type="dxa"/>
            <w:tcBorders>
              <w:top w:val="nil"/>
              <w:left w:val="nil"/>
              <w:bottom w:val="nil"/>
              <w:right w:val="nil"/>
            </w:tcBorders>
            <w:noWrap/>
            <w:vAlign w:val="bottom"/>
            <w:hideMark/>
          </w:tcPr>
          <w:p w14:paraId="4D87C687" w14:textId="77777777" w:rsidR="00BB138C" w:rsidRPr="00EF6679" w:rsidRDefault="00BB138C" w:rsidP="00820288">
            <w:pPr>
              <w:spacing w:line="240" w:lineRule="auto"/>
              <w:jc w:val="center"/>
              <w:rPr>
                <w:rFonts w:ascii="Times New Roman" w:eastAsia="Times New Roman" w:hAnsi="Times New Roman" w:cs="Times New Roman"/>
                <w:color w:val="000000" w:themeColor="text1"/>
                <w:sz w:val="13"/>
                <w:szCs w:val="13"/>
              </w:rPr>
            </w:pPr>
            <w:r w:rsidRPr="00EF6679">
              <w:rPr>
                <w:rFonts w:ascii="Times New Roman" w:hAnsi="Times New Roman" w:cs="Times New Roman"/>
                <w:color w:val="000000" w:themeColor="text1"/>
                <w:sz w:val="13"/>
                <w:szCs w:val="13"/>
              </w:rPr>
              <w:t>0.0278</w:t>
            </w:r>
          </w:p>
        </w:tc>
      </w:tr>
      <w:tr w:rsidR="00BB138C" w:rsidRPr="00EF6679" w14:paraId="4170D263" w14:textId="77777777" w:rsidTr="00820288">
        <w:tblPrEx>
          <w:jc w:val="lef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trHeight w:val="144"/>
        </w:trPr>
        <w:tc>
          <w:tcPr>
            <w:tcW w:w="2340" w:type="dxa"/>
            <w:tcBorders>
              <w:top w:val="nil"/>
              <w:left w:val="nil"/>
              <w:bottom w:val="nil"/>
              <w:right w:val="nil"/>
            </w:tcBorders>
            <w:noWrap/>
            <w:hideMark/>
          </w:tcPr>
          <w:p w14:paraId="358ECE4D" w14:textId="77777777" w:rsidR="00BB138C" w:rsidRPr="00EF6679" w:rsidRDefault="00BB138C" w:rsidP="00820288">
            <w:pPr>
              <w:spacing w:line="240" w:lineRule="auto"/>
              <w:rPr>
                <w:rFonts w:ascii="Times New Roman" w:eastAsia="Times New Roman" w:hAnsi="Times New Roman" w:cs="Times New Roman"/>
                <w:color w:val="000000" w:themeColor="text1"/>
                <w:sz w:val="13"/>
                <w:szCs w:val="13"/>
              </w:rPr>
            </w:pPr>
            <w:r w:rsidRPr="00EF6679">
              <w:rPr>
                <w:rFonts w:ascii="Times New Roman" w:eastAsia="Times New Roman" w:hAnsi="Times New Roman" w:cs="Times New Roman"/>
                <w:color w:val="000000" w:themeColor="text1"/>
                <w:sz w:val="13"/>
                <w:szCs w:val="13"/>
              </w:rPr>
              <w:t xml:space="preserve">1-Octen-3-ol             </w:t>
            </w:r>
          </w:p>
        </w:tc>
        <w:tc>
          <w:tcPr>
            <w:tcW w:w="939" w:type="dxa"/>
            <w:tcBorders>
              <w:top w:val="nil"/>
              <w:left w:val="nil"/>
              <w:bottom w:val="nil"/>
              <w:right w:val="nil"/>
            </w:tcBorders>
            <w:noWrap/>
            <w:vAlign w:val="center"/>
            <w:hideMark/>
          </w:tcPr>
          <w:p w14:paraId="428D3039" w14:textId="77777777" w:rsidR="00BB138C" w:rsidRPr="00EF6679" w:rsidRDefault="00BB138C" w:rsidP="00820288">
            <w:pPr>
              <w:spacing w:line="240" w:lineRule="auto"/>
              <w:jc w:val="center"/>
              <w:rPr>
                <w:rFonts w:ascii="Times New Roman" w:eastAsia="Times New Roman" w:hAnsi="Times New Roman" w:cs="Times New Roman"/>
                <w:color w:val="000000" w:themeColor="text1"/>
                <w:sz w:val="13"/>
                <w:szCs w:val="13"/>
              </w:rPr>
            </w:pPr>
            <w:r w:rsidRPr="00EF6679">
              <w:rPr>
                <w:rFonts w:ascii="Times New Roman" w:eastAsia="Times New Roman" w:hAnsi="Times New Roman" w:cs="Times New Roman"/>
                <w:color w:val="000000" w:themeColor="text1"/>
                <w:sz w:val="13"/>
                <w:szCs w:val="13"/>
              </w:rPr>
              <w:t>3391-86-4</w:t>
            </w:r>
          </w:p>
        </w:tc>
        <w:tc>
          <w:tcPr>
            <w:tcW w:w="1152" w:type="dxa"/>
            <w:tcBorders>
              <w:top w:val="nil"/>
              <w:left w:val="nil"/>
              <w:bottom w:val="nil"/>
              <w:right w:val="nil"/>
            </w:tcBorders>
            <w:noWrap/>
            <w:vAlign w:val="center"/>
            <w:hideMark/>
          </w:tcPr>
          <w:p w14:paraId="3D7FC2CA" w14:textId="77777777" w:rsidR="00BB138C" w:rsidRPr="00EF6679" w:rsidRDefault="00BB138C" w:rsidP="00820288">
            <w:pPr>
              <w:spacing w:line="240" w:lineRule="auto"/>
              <w:jc w:val="center"/>
              <w:rPr>
                <w:rFonts w:ascii="Times New Roman" w:eastAsia="Times New Roman" w:hAnsi="Times New Roman" w:cs="Times New Roman"/>
                <w:color w:val="000000" w:themeColor="text1"/>
                <w:sz w:val="13"/>
                <w:szCs w:val="13"/>
              </w:rPr>
            </w:pPr>
            <w:r w:rsidRPr="00EF6679">
              <w:rPr>
                <w:rFonts w:ascii="Times New Roman" w:eastAsia="Times New Roman" w:hAnsi="Times New Roman" w:cs="Times New Roman"/>
                <w:color w:val="000000" w:themeColor="text1"/>
                <w:sz w:val="13"/>
                <w:szCs w:val="13"/>
              </w:rPr>
              <w:t>13.080</w:t>
            </w:r>
          </w:p>
        </w:tc>
        <w:tc>
          <w:tcPr>
            <w:tcW w:w="864" w:type="dxa"/>
            <w:tcBorders>
              <w:top w:val="nil"/>
              <w:left w:val="nil"/>
              <w:bottom w:val="nil"/>
              <w:right w:val="nil"/>
            </w:tcBorders>
            <w:noWrap/>
            <w:vAlign w:val="center"/>
            <w:hideMark/>
          </w:tcPr>
          <w:p w14:paraId="69608F2E" w14:textId="77777777" w:rsidR="00BB138C" w:rsidRPr="00EF6679" w:rsidRDefault="00BB138C" w:rsidP="00820288">
            <w:pPr>
              <w:spacing w:line="240" w:lineRule="auto"/>
              <w:jc w:val="center"/>
              <w:rPr>
                <w:rFonts w:ascii="Times New Roman" w:eastAsia="Times New Roman" w:hAnsi="Times New Roman" w:cs="Times New Roman"/>
                <w:color w:val="000000" w:themeColor="text1"/>
                <w:sz w:val="13"/>
                <w:szCs w:val="13"/>
              </w:rPr>
            </w:pPr>
            <w:r w:rsidRPr="00EF6679">
              <w:rPr>
                <w:rFonts w:ascii="Times New Roman" w:eastAsia="Times New Roman" w:hAnsi="Times New Roman" w:cs="Times New Roman"/>
                <w:color w:val="000000" w:themeColor="text1"/>
                <w:sz w:val="13"/>
                <w:szCs w:val="13"/>
              </w:rPr>
              <w:t>2.09</w:t>
            </w:r>
          </w:p>
        </w:tc>
        <w:tc>
          <w:tcPr>
            <w:tcW w:w="720" w:type="dxa"/>
            <w:tcBorders>
              <w:top w:val="nil"/>
              <w:left w:val="nil"/>
              <w:bottom w:val="nil"/>
              <w:right w:val="nil"/>
            </w:tcBorders>
            <w:noWrap/>
            <w:vAlign w:val="center"/>
            <w:hideMark/>
          </w:tcPr>
          <w:p w14:paraId="3861C2B6" w14:textId="77777777" w:rsidR="00BB138C" w:rsidRPr="00EF6679" w:rsidRDefault="00BB138C" w:rsidP="00820288">
            <w:pPr>
              <w:spacing w:line="240" w:lineRule="auto"/>
              <w:jc w:val="center"/>
              <w:rPr>
                <w:rFonts w:ascii="Times New Roman" w:eastAsia="Times New Roman" w:hAnsi="Times New Roman" w:cs="Times New Roman"/>
                <w:color w:val="000000" w:themeColor="text1"/>
                <w:sz w:val="13"/>
                <w:szCs w:val="13"/>
              </w:rPr>
            </w:pPr>
            <w:r w:rsidRPr="00EF6679">
              <w:rPr>
                <w:rFonts w:ascii="Times New Roman" w:eastAsia="Times New Roman" w:hAnsi="Times New Roman" w:cs="Times New Roman"/>
                <w:color w:val="000000" w:themeColor="text1"/>
                <w:sz w:val="13"/>
                <w:szCs w:val="13"/>
              </w:rPr>
              <w:t>1.39</w:t>
            </w:r>
          </w:p>
        </w:tc>
        <w:tc>
          <w:tcPr>
            <w:tcW w:w="864" w:type="dxa"/>
            <w:tcBorders>
              <w:top w:val="nil"/>
              <w:left w:val="nil"/>
              <w:bottom w:val="nil"/>
              <w:right w:val="nil"/>
            </w:tcBorders>
            <w:noWrap/>
            <w:vAlign w:val="center"/>
            <w:hideMark/>
          </w:tcPr>
          <w:p w14:paraId="19778248" w14:textId="77777777" w:rsidR="00BB138C" w:rsidRPr="00EF6679" w:rsidRDefault="00BB138C" w:rsidP="00820288">
            <w:pPr>
              <w:spacing w:line="240" w:lineRule="auto"/>
              <w:jc w:val="center"/>
              <w:rPr>
                <w:rFonts w:ascii="Times New Roman" w:eastAsia="Times New Roman" w:hAnsi="Times New Roman" w:cs="Times New Roman"/>
                <w:color w:val="000000" w:themeColor="text1"/>
                <w:sz w:val="13"/>
                <w:szCs w:val="13"/>
              </w:rPr>
            </w:pPr>
            <w:r w:rsidRPr="00EF6679">
              <w:rPr>
                <w:rFonts w:ascii="Times New Roman" w:eastAsia="Times New Roman" w:hAnsi="Times New Roman" w:cs="Times New Roman"/>
                <w:color w:val="000000" w:themeColor="text1"/>
                <w:sz w:val="13"/>
                <w:szCs w:val="13"/>
              </w:rPr>
              <w:t>0.51</w:t>
            </w:r>
          </w:p>
        </w:tc>
        <w:tc>
          <w:tcPr>
            <w:tcW w:w="410" w:type="dxa"/>
            <w:tcBorders>
              <w:top w:val="nil"/>
              <w:left w:val="nil"/>
              <w:bottom w:val="nil"/>
              <w:right w:val="nil"/>
            </w:tcBorders>
            <w:noWrap/>
          </w:tcPr>
          <w:p w14:paraId="18CDC68C" w14:textId="77777777" w:rsidR="00BB138C" w:rsidRPr="00EF6679" w:rsidRDefault="00BB138C" w:rsidP="00820288">
            <w:pPr>
              <w:spacing w:line="240" w:lineRule="auto"/>
              <w:jc w:val="right"/>
              <w:rPr>
                <w:rFonts w:ascii="Times New Roman" w:eastAsia="Times New Roman" w:hAnsi="Times New Roman" w:cs="Times New Roman"/>
                <w:color w:val="000000" w:themeColor="text1"/>
                <w:sz w:val="13"/>
                <w:szCs w:val="13"/>
              </w:rPr>
            </w:pPr>
          </w:p>
        </w:tc>
        <w:tc>
          <w:tcPr>
            <w:tcW w:w="864" w:type="dxa"/>
            <w:tcBorders>
              <w:top w:val="nil"/>
              <w:left w:val="nil"/>
              <w:bottom w:val="nil"/>
              <w:right w:val="nil"/>
            </w:tcBorders>
            <w:noWrap/>
            <w:vAlign w:val="center"/>
            <w:hideMark/>
          </w:tcPr>
          <w:p w14:paraId="294699CA" w14:textId="77777777" w:rsidR="00BB138C" w:rsidRPr="00EF6679" w:rsidRDefault="00BB138C" w:rsidP="00820288">
            <w:pPr>
              <w:spacing w:line="240" w:lineRule="auto"/>
              <w:jc w:val="center"/>
              <w:rPr>
                <w:rFonts w:ascii="Times New Roman" w:eastAsia="Times New Roman" w:hAnsi="Times New Roman" w:cs="Times New Roman"/>
                <w:color w:val="000000" w:themeColor="text1"/>
                <w:sz w:val="13"/>
                <w:szCs w:val="13"/>
              </w:rPr>
            </w:pPr>
            <w:r w:rsidRPr="00EF6679">
              <w:rPr>
                <w:rFonts w:ascii="Times New Roman" w:hAnsi="Times New Roman" w:cs="Times New Roman"/>
                <w:color w:val="000000" w:themeColor="text1"/>
                <w:sz w:val="13"/>
                <w:szCs w:val="13"/>
              </w:rPr>
              <w:t>0.1505</w:t>
            </w:r>
          </w:p>
        </w:tc>
        <w:tc>
          <w:tcPr>
            <w:tcW w:w="720" w:type="dxa"/>
            <w:tcBorders>
              <w:top w:val="nil"/>
              <w:left w:val="nil"/>
              <w:bottom w:val="nil"/>
              <w:right w:val="nil"/>
            </w:tcBorders>
            <w:noWrap/>
            <w:vAlign w:val="center"/>
            <w:hideMark/>
          </w:tcPr>
          <w:p w14:paraId="1486A550" w14:textId="77777777" w:rsidR="00BB138C" w:rsidRPr="00EF6679" w:rsidRDefault="00BB138C" w:rsidP="00820288">
            <w:pPr>
              <w:spacing w:line="240" w:lineRule="auto"/>
              <w:jc w:val="center"/>
              <w:rPr>
                <w:rFonts w:ascii="Times New Roman" w:eastAsia="Times New Roman" w:hAnsi="Times New Roman" w:cs="Times New Roman"/>
                <w:color w:val="000000" w:themeColor="text1"/>
                <w:sz w:val="13"/>
                <w:szCs w:val="13"/>
              </w:rPr>
            </w:pPr>
            <w:r w:rsidRPr="00EF6679">
              <w:rPr>
                <w:rFonts w:ascii="Times New Roman" w:hAnsi="Times New Roman" w:cs="Times New Roman"/>
                <w:color w:val="000000" w:themeColor="text1"/>
                <w:sz w:val="13"/>
                <w:szCs w:val="13"/>
              </w:rPr>
              <w:t>0.1788</w:t>
            </w:r>
          </w:p>
        </w:tc>
        <w:tc>
          <w:tcPr>
            <w:tcW w:w="864" w:type="dxa"/>
            <w:tcBorders>
              <w:top w:val="nil"/>
              <w:left w:val="nil"/>
              <w:bottom w:val="nil"/>
              <w:right w:val="nil"/>
            </w:tcBorders>
            <w:noWrap/>
            <w:vAlign w:val="center"/>
            <w:hideMark/>
          </w:tcPr>
          <w:p w14:paraId="0C80BA1E" w14:textId="77777777" w:rsidR="00BB138C" w:rsidRPr="00EF6679" w:rsidRDefault="00BB138C" w:rsidP="00820288">
            <w:pPr>
              <w:spacing w:line="240" w:lineRule="auto"/>
              <w:jc w:val="center"/>
              <w:rPr>
                <w:rFonts w:ascii="Times New Roman" w:eastAsia="Times New Roman" w:hAnsi="Times New Roman" w:cs="Times New Roman"/>
                <w:color w:val="000000" w:themeColor="text1"/>
                <w:sz w:val="13"/>
                <w:szCs w:val="13"/>
              </w:rPr>
            </w:pPr>
            <w:r w:rsidRPr="00EF6679">
              <w:rPr>
                <w:rFonts w:ascii="Times New Roman" w:hAnsi="Times New Roman" w:cs="Times New Roman"/>
                <w:color w:val="000000" w:themeColor="text1"/>
                <w:sz w:val="13"/>
                <w:szCs w:val="13"/>
              </w:rPr>
              <w:t>0.8937</w:t>
            </w:r>
          </w:p>
        </w:tc>
      </w:tr>
      <w:tr w:rsidR="00BB138C" w:rsidRPr="00EF6679" w14:paraId="2CDE1624" w14:textId="77777777" w:rsidTr="00820288">
        <w:tblPrEx>
          <w:jc w:val="lef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trHeight w:val="144"/>
        </w:trPr>
        <w:tc>
          <w:tcPr>
            <w:tcW w:w="2340" w:type="dxa"/>
            <w:tcBorders>
              <w:top w:val="nil"/>
              <w:left w:val="nil"/>
              <w:bottom w:val="nil"/>
              <w:right w:val="nil"/>
            </w:tcBorders>
            <w:noWrap/>
            <w:hideMark/>
          </w:tcPr>
          <w:p w14:paraId="2043F05D" w14:textId="77777777" w:rsidR="00BB138C" w:rsidRPr="00EF6679" w:rsidRDefault="00BB138C" w:rsidP="00820288">
            <w:pPr>
              <w:spacing w:line="240" w:lineRule="auto"/>
              <w:rPr>
                <w:rFonts w:ascii="Times New Roman" w:eastAsia="Times New Roman" w:hAnsi="Times New Roman" w:cs="Times New Roman"/>
                <w:color w:val="000000" w:themeColor="text1"/>
                <w:sz w:val="13"/>
                <w:szCs w:val="13"/>
              </w:rPr>
            </w:pPr>
            <w:r w:rsidRPr="00EF6679">
              <w:rPr>
                <w:rFonts w:ascii="Times New Roman" w:eastAsia="Times New Roman" w:hAnsi="Times New Roman" w:cs="Times New Roman"/>
                <w:color w:val="000000" w:themeColor="text1"/>
                <w:sz w:val="13"/>
                <w:szCs w:val="13"/>
              </w:rPr>
              <w:t xml:space="preserve">1,4-Octadiene            </w:t>
            </w:r>
          </w:p>
        </w:tc>
        <w:tc>
          <w:tcPr>
            <w:tcW w:w="939" w:type="dxa"/>
            <w:tcBorders>
              <w:top w:val="nil"/>
              <w:left w:val="nil"/>
              <w:bottom w:val="nil"/>
              <w:right w:val="nil"/>
            </w:tcBorders>
            <w:noWrap/>
            <w:vAlign w:val="center"/>
            <w:hideMark/>
          </w:tcPr>
          <w:p w14:paraId="6968F5CD" w14:textId="77777777" w:rsidR="00BB138C" w:rsidRPr="00EF6679" w:rsidRDefault="00BB138C" w:rsidP="00820288">
            <w:pPr>
              <w:spacing w:line="240" w:lineRule="auto"/>
              <w:jc w:val="center"/>
              <w:rPr>
                <w:rFonts w:ascii="Times New Roman" w:eastAsia="Times New Roman" w:hAnsi="Times New Roman" w:cs="Times New Roman"/>
                <w:color w:val="000000" w:themeColor="text1"/>
                <w:sz w:val="13"/>
                <w:szCs w:val="13"/>
              </w:rPr>
            </w:pPr>
            <w:r w:rsidRPr="00EF6679">
              <w:rPr>
                <w:rFonts w:ascii="Times New Roman" w:eastAsia="Times New Roman" w:hAnsi="Times New Roman" w:cs="Times New Roman"/>
                <w:color w:val="000000" w:themeColor="text1"/>
                <w:sz w:val="13"/>
                <w:szCs w:val="13"/>
              </w:rPr>
              <w:t>5675-25-2</w:t>
            </w:r>
          </w:p>
        </w:tc>
        <w:tc>
          <w:tcPr>
            <w:tcW w:w="1152" w:type="dxa"/>
            <w:tcBorders>
              <w:top w:val="nil"/>
              <w:left w:val="nil"/>
              <w:bottom w:val="nil"/>
              <w:right w:val="nil"/>
            </w:tcBorders>
            <w:noWrap/>
            <w:vAlign w:val="center"/>
            <w:hideMark/>
          </w:tcPr>
          <w:p w14:paraId="7AAAA764" w14:textId="77777777" w:rsidR="00BB138C" w:rsidRPr="00EF6679" w:rsidRDefault="00BB138C" w:rsidP="00820288">
            <w:pPr>
              <w:spacing w:line="240" w:lineRule="auto"/>
              <w:jc w:val="center"/>
              <w:rPr>
                <w:rFonts w:ascii="Times New Roman" w:eastAsia="Times New Roman" w:hAnsi="Times New Roman" w:cs="Times New Roman"/>
                <w:color w:val="000000" w:themeColor="text1"/>
                <w:sz w:val="13"/>
                <w:szCs w:val="13"/>
              </w:rPr>
            </w:pPr>
            <w:r w:rsidRPr="00EF6679">
              <w:rPr>
                <w:rFonts w:ascii="Times New Roman" w:eastAsia="Times New Roman" w:hAnsi="Times New Roman" w:cs="Times New Roman"/>
                <w:color w:val="000000" w:themeColor="text1"/>
                <w:sz w:val="13"/>
                <w:szCs w:val="13"/>
              </w:rPr>
              <w:t>13.106</w:t>
            </w:r>
          </w:p>
        </w:tc>
        <w:tc>
          <w:tcPr>
            <w:tcW w:w="864" w:type="dxa"/>
            <w:tcBorders>
              <w:top w:val="nil"/>
              <w:left w:val="nil"/>
              <w:bottom w:val="nil"/>
              <w:right w:val="nil"/>
            </w:tcBorders>
            <w:noWrap/>
            <w:vAlign w:val="center"/>
            <w:hideMark/>
          </w:tcPr>
          <w:p w14:paraId="7FE49312" w14:textId="77777777" w:rsidR="00BB138C" w:rsidRPr="00EF6679" w:rsidRDefault="00BB138C" w:rsidP="00820288">
            <w:pPr>
              <w:spacing w:line="240" w:lineRule="auto"/>
              <w:jc w:val="center"/>
              <w:rPr>
                <w:rFonts w:ascii="Times New Roman" w:eastAsia="Times New Roman" w:hAnsi="Times New Roman" w:cs="Times New Roman"/>
                <w:color w:val="000000" w:themeColor="text1"/>
                <w:sz w:val="13"/>
                <w:szCs w:val="13"/>
              </w:rPr>
            </w:pPr>
            <w:r w:rsidRPr="00EF6679">
              <w:rPr>
                <w:rFonts w:ascii="Times New Roman" w:eastAsia="Times New Roman" w:hAnsi="Times New Roman" w:cs="Times New Roman"/>
                <w:color w:val="000000" w:themeColor="text1"/>
                <w:sz w:val="13"/>
                <w:szCs w:val="13"/>
              </w:rPr>
              <w:t>21.47</w:t>
            </w:r>
          </w:p>
        </w:tc>
        <w:tc>
          <w:tcPr>
            <w:tcW w:w="720" w:type="dxa"/>
            <w:tcBorders>
              <w:top w:val="nil"/>
              <w:left w:val="nil"/>
              <w:bottom w:val="nil"/>
              <w:right w:val="nil"/>
            </w:tcBorders>
            <w:noWrap/>
            <w:vAlign w:val="center"/>
            <w:hideMark/>
          </w:tcPr>
          <w:p w14:paraId="7EEB2188" w14:textId="77777777" w:rsidR="00BB138C" w:rsidRPr="00EF6679" w:rsidRDefault="00BB138C" w:rsidP="00820288">
            <w:pPr>
              <w:spacing w:line="240" w:lineRule="auto"/>
              <w:jc w:val="center"/>
              <w:rPr>
                <w:rFonts w:ascii="Times New Roman" w:eastAsia="Times New Roman" w:hAnsi="Times New Roman" w:cs="Times New Roman"/>
                <w:color w:val="000000" w:themeColor="text1"/>
                <w:sz w:val="13"/>
                <w:szCs w:val="13"/>
              </w:rPr>
            </w:pPr>
            <w:r w:rsidRPr="00EF6679">
              <w:rPr>
                <w:rFonts w:ascii="Times New Roman" w:eastAsia="Times New Roman" w:hAnsi="Times New Roman" w:cs="Times New Roman"/>
                <w:color w:val="000000" w:themeColor="text1"/>
                <w:sz w:val="13"/>
                <w:szCs w:val="13"/>
              </w:rPr>
              <w:t>1.49</w:t>
            </w:r>
          </w:p>
        </w:tc>
        <w:tc>
          <w:tcPr>
            <w:tcW w:w="864" w:type="dxa"/>
            <w:tcBorders>
              <w:top w:val="nil"/>
              <w:left w:val="nil"/>
              <w:bottom w:val="nil"/>
              <w:right w:val="nil"/>
            </w:tcBorders>
            <w:noWrap/>
            <w:vAlign w:val="center"/>
            <w:hideMark/>
          </w:tcPr>
          <w:p w14:paraId="1D725253" w14:textId="77777777" w:rsidR="00BB138C" w:rsidRPr="00EF6679" w:rsidRDefault="00BB138C" w:rsidP="00820288">
            <w:pPr>
              <w:spacing w:line="240" w:lineRule="auto"/>
              <w:jc w:val="center"/>
              <w:rPr>
                <w:rFonts w:ascii="Times New Roman" w:eastAsia="Times New Roman" w:hAnsi="Times New Roman" w:cs="Times New Roman"/>
                <w:color w:val="000000" w:themeColor="text1"/>
                <w:sz w:val="13"/>
                <w:szCs w:val="13"/>
              </w:rPr>
            </w:pPr>
            <w:r w:rsidRPr="00EF6679">
              <w:rPr>
                <w:rFonts w:ascii="Times New Roman" w:eastAsia="Times New Roman" w:hAnsi="Times New Roman" w:cs="Times New Roman"/>
                <w:color w:val="000000" w:themeColor="text1"/>
                <w:sz w:val="13"/>
                <w:szCs w:val="13"/>
              </w:rPr>
              <w:t>1.25</w:t>
            </w:r>
          </w:p>
        </w:tc>
        <w:tc>
          <w:tcPr>
            <w:tcW w:w="410" w:type="dxa"/>
            <w:tcBorders>
              <w:top w:val="nil"/>
              <w:left w:val="nil"/>
              <w:bottom w:val="nil"/>
              <w:right w:val="nil"/>
            </w:tcBorders>
            <w:noWrap/>
          </w:tcPr>
          <w:p w14:paraId="45CCEDA1" w14:textId="77777777" w:rsidR="00BB138C" w:rsidRPr="00EF6679" w:rsidRDefault="00BB138C" w:rsidP="00820288">
            <w:pPr>
              <w:spacing w:line="240" w:lineRule="auto"/>
              <w:jc w:val="right"/>
              <w:rPr>
                <w:rFonts w:ascii="Times New Roman" w:eastAsia="Times New Roman" w:hAnsi="Times New Roman" w:cs="Times New Roman"/>
                <w:color w:val="000000" w:themeColor="text1"/>
                <w:sz w:val="13"/>
                <w:szCs w:val="13"/>
              </w:rPr>
            </w:pPr>
          </w:p>
        </w:tc>
        <w:tc>
          <w:tcPr>
            <w:tcW w:w="864" w:type="dxa"/>
            <w:tcBorders>
              <w:top w:val="nil"/>
              <w:left w:val="nil"/>
              <w:bottom w:val="nil"/>
              <w:right w:val="nil"/>
            </w:tcBorders>
            <w:noWrap/>
            <w:vAlign w:val="center"/>
            <w:hideMark/>
          </w:tcPr>
          <w:p w14:paraId="61C50B29" w14:textId="77777777" w:rsidR="00BB138C" w:rsidRPr="00EF6679" w:rsidRDefault="00BB138C" w:rsidP="00820288">
            <w:pPr>
              <w:spacing w:line="240" w:lineRule="auto"/>
              <w:jc w:val="center"/>
              <w:rPr>
                <w:rFonts w:ascii="Times New Roman" w:eastAsia="Times New Roman" w:hAnsi="Times New Roman" w:cs="Times New Roman"/>
                <w:color w:val="000000" w:themeColor="text1"/>
                <w:sz w:val="13"/>
                <w:szCs w:val="13"/>
              </w:rPr>
            </w:pPr>
            <w:r w:rsidRPr="00EF6679">
              <w:rPr>
                <w:rFonts w:ascii="Times New Roman" w:hAnsi="Times New Roman" w:cs="Times New Roman"/>
                <w:color w:val="000000" w:themeColor="text1"/>
                <w:sz w:val="13"/>
                <w:szCs w:val="13"/>
              </w:rPr>
              <w:t>0.0001</w:t>
            </w:r>
          </w:p>
        </w:tc>
        <w:tc>
          <w:tcPr>
            <w:tcW w:w="720" w:type="dxa"/>
            <w:tcBorders>
              <w:top w:val="nil"/>
              <w:left w:val="nil"/>
              <w:bottom w:val="nil"/>
              <w:right w:val="nil"/>
            </w:tcBorders>
            <w:noWrap/>
            <w:vAlign w:val="center"/>
            <w:hideMark/>
          </w:tcPr>
          <w:p w14:paraId="5F49FD48" w14:textId="77777777" w:rsidR="00BB138C" w:rsidRPr="00EF6679" w:rsidRDefault="00BB138C" w:rsidP="00820288">
            <w:pPr>
              <w:spacing w:line="240" w:lineRule="auto"/>
              <w:jc w:val="center"/>
              <w:rPr>
                <w:rFonts w:ascii="Times New Roman" w:eastAsia="Times New Roman" w:hAnsi="Times New Roman" w:cs="Times New Roman"/>
                <w:color w:val="000000" w:themeColor="text1"/>
                <w:sz w:val="13"/>
                <w:szCs w:val="13"/>
              </w:rPr>
            </w:pPr>
            <w:r w:rsidRPr="00EF6679">
              <w:rPr>
                <w:rFonts w:ascii="Times New Roman" w:hAnsi="Times New Roman" w:cs="Times New Roman"/>
                <w:color w:val="000000" w:themeColor="text1"/>
                <w:sz w:val="13"/>
                <w:szCs w:val="13"/>
              </w:rPr>
              <w:t>0.1372</w:t>
            </w:r>
          </w:p>
        </w:tc>
        <w:tc>
          <w:tcPr>
            <w:tcW w:w="864" w:type="dxa"/>
            <w:tcBorders>
              <w:top w:val="nil"/>
              <w:left w:val="nil"/>
              <w:bottom w:val="nil"/>
              <w:right w:val="nil"/>
            </w:tcBorders>
            <w:noWrap/>
            <w:vAlign w:val="center"/>
            <w:hideMark/>
          </w:tcPr>
          <w:p w14:paraId="3486A7BF" w14:textId="77777777" w:rsidR="00BB138C" w:rsidRPr="00EF6679" w:rsidRDefault="00BB138C" w:rsidP="00820288">
            <w:pPr>
              <w:spacing w:line="240" w:lineRule="auto"/>
              <w:jc w:val="center"/>
              <w:rPr>
                <w:rFonts w:ascii="Times New Roman" w:eastAsia="Times New Roman" w:hAnsi="Times New Roman" w:cs="Times New Roman"/>
                <w:color w:val="000000" w:themeColor="text1"/>
                <w:sz w:val="13"/>
                <w:szCs w:val="13"/>
              </w:rPr>
            </w:pPr>
            <w:r w:rsidRPr="00EF6679">
              <w:rPr>
                <w:rFonts w:ascii="Times New Roman" w:hAnsi="Times New Roman" w:cs="Times New Roman"/>
                <w:color w:val="000000" w:themeColor="text1"/>
                <w:sz w:val="13"/>
                <w:szCs w:val="13"/>
              </w:rPr>
              <w:t>0.2555</w:t>
            </w:r>
          </w:p>
        </w:tc>
      </w:tr>
      <w:tr w:rsidR="00BB138C" w:rsidRPr="00EF6679" w14:paraId="2FA00617" w14:textId="77777777" w:rsidTr="00820288">
        <w:tblPrEx>
          <w:jc w:val="lef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trHeight w:val="144"/>
        </w:trPr>
        <w:tc>
          <w:tcPr>
            <w:tcW w:w="2340" w:type="dxa"/>
            <w:tcBorders>
              <w:top w:val="nil"/>
              <w:left w:val="nil"/>
              <w:bottom w:val="nil"/>
              <w:right w:val="nil"/>
            </w:tcBorders>
            <w:noWrap/>
            <w:hideMark/>
          </w:tcPr>
          <w:p w14:paraId="5F042F0E" w14:textId="77777777" w:rsidR="00BB138C" w:rsidRPr="00EF6679" w:rsidRDefault="00BB138C" w:rsidP="00820288">
            <w:pPr>
              <w:spacing w:line="240" w:lineRule="auto"/>
              <w:rPr>
                <w:rFonts w:ascii="Times New Roman" w:eastAsia="Times New Roman" w:hAnsi="Times New Roman" w:cs="Times New Roman"/>
                <w:color w:val="000000" w:themeColor="text1"/>
                <w:sz w:val="13"/>
                <w:szCs w:val="13"/>
              </w:rPr>
            </w:pPr>
            <w:r w:rsidRPr="00EF6679">
              <w:rPr>
                <w:rFonts w:ascii="Times New Roman" w:eastAsia="Times New Roman" w:hAnsi="Times New Roman" w:cs="Times New Roman"/>
                <w:color w:val="000000" w:themeColor="text1"/>
                <w:sz w:val="13"/>
                <w:szCs w:val="13"/>
              </w:rPr>
              <w:t xml:space="preserve">Phenol                   </w:t>
            </w:r>
          </w:p>
        </w:tc>
        <w:tc>
          <w:tcPr>
            <w:tcW w:w="939" w:type="dxa"/>
            <w:tcBorders>
              <w:top w:val="nil"/>
              <w:left w:val="nil"/>
              <w:bottom w:val="nil"/>
              <w:right w:val="nil"/>
            </w:tcBorders>
            <w:noWrap/>
            <w:vAlign w:val="center"/>
            <w:hideMark/>
          </w:tcPr>
          <w:p w14:paraId="3E8E0CF8" w14:textId="77777777" w:rsidR="00BB138C" w:rsidRPr="00EF6679" w:rsidRDefault="00BB138C" w:rsidP="00820288">
            <w:pPr>
              <w:spacing w:line="240" w:lineRule="auto"/>
              <w:jc w:val="center"/>
              <w:rPr>
                <w:rFonts w:ascii="Times New Roman" w:eastAsia="Times New Roman" w:hAnsi="Times New Roman" w:cs="Times New Roman"/>
                <w:color w:val="000000" w:themeColor="text1"/>
                <w:sz w:val="13"/>
                <w:szCs w:val="13"/>
              </w:rPr>
            </w:pPr>
            <w:r w:rsidRPr="00EF6679">
              <w:rPr>
                <w:rFonts w:ascii="Times New Roman" w:eastAsia="Times New Roman" w:hAnsi="Times New Roman" w:cs="Times New Roman"/>
                <w:color w:val="000000" w:themeColor="text1"/>
                <w:sz w:val="13"/>
                <w:szCs w:val="13"/>
              </w:rPr>
              <w:t>108-95-2</w:t>
            </w:r>
          </w:p>
        </w:tc>
        <w:tc>
          <w:tcPr>
            <w:tcW w:w="1152" w:type="dxa"/>
            <w:tcBorders>
              <w:top w:val="nil"/>
              <w:left w:val="nil"/>
              <w:bottom w:val="nil"/>
              <w:right w:val="nil"/>
            </w:tcBorders>
            <w:noWrap/>
            <w:vAlign w:val="center"/>
            <w:hideMark/>
          </w:tcPr>
          <w:p w14:paraId="6A945A9C" w14:textId="77777777" w:rsidR="00BB138C" w:rsidRPr="00EF6679" w:rsidRDefault="00BB138C" w:rsidP="00820288">
            <w:pPr>
              <w:spacing w:line="240" w:lineRule="auto"/>
              <w:jc w:val="center"/>
              <w:rPr>
                <w:rFonts w:ascii="Times New Roman" w:eastAsia="Times New Roman" w:hAnsi="Times New Roman" w:cs="Times New Roman"/>
                <w:color w:val="000000" w:themeColor="text1"/>
                <w:sz w:val="13"/>
                <w:szCs w:val="13"/>
              </w:rPr>
            </w:pPr>
            <w:r w:rsidRPr="00EF6679">
              <w:rPr>
                <w:rFonts w:ascii="Times New Roman" w:eastAsia="Times New Roman" w:hAnsi="Times New Roman" w:cs="Times New Roman"/>
                <w:color w:val="000000" w:themeColor="text1"/>
                <w:sz w:val="13"/>
                <w:szCs w:val="13"/>
              </w:rPr>
              <w:t>13.150</w:t>
            </w:r>
          </w:p>
        </w:tc>
        <w:tc>
          <w:tcPr>
            <w:tcW w:w="864" w:type="dxa"/>
            <w:tcBorders>
              <w:top w:val="nil"/>
              <w:left w:val="nil"/>
              <w:bottom w:val="nil"/>
              <w:right w:val="nil"/>
            </w:tcBorders>
            <w:noWrap/>
            <w:vAlign w:val="center"/>
            <w:hideMark/>
          </w:tcPr>
          <w:p w14:paraId="58650EAD" w14:textId="77777777" w:rsidR="00BB138C" w:rsidRPr="00EF6679" w:rsidRDefault="00BB138C" w:rsidP="00820288">
            <w:pPr>
              <w:spacing w:line="240" w:lineRule="auto"/>
              <w:jc w:val="center"/>
              <w:rPr>
                <w:rFonts w:ascii="Times New Roman" w:eastAsia="Times New Roman" w:hAnsi="Times New Roman" w:cs="Times New Roman"/>
                <w:color w:val="000000" w:themeColor="text1"/>
                <w:sz w:val="13"/>
                <w:szCs w:val="13"/>
              </w:rPr>
            </w:pPr>
            <w:r w:rsidRPr="00EF6679">
              <w:rPr>
                <w:rFonts w:ascii="Times New Roman" w:eastAsia="Times New Roman" w:hAnsi="Times New Roman" w:cs="Times New Roman"/>
                <w:color w:val="000000" w:themeColor="text1"/>
                <w:sz w:val="13"/>
                <w:szCs w:val="13"/>
              </w:rPr>
              <w:t>2.85</w:t>
            </w:r>
          </w:p>
        </w:tc>
        <w:tc>
          <w:tcPr>
            <w:tcW w:w="720" w:type="dxa"/>
            <w:tcBorders>
              <w:top w:val="nil"/>
              <w:left w:val="nil"/>
              <w:bottom w:val="nil"/>
              <w:right w:val="nil"/>
            </w:tcBorders>
            <w:noWrap/>
            <w:vAlign w:val="center"/>
            <w:hideMark/>
          </w:tcPr>
          <w:p w14:paraId="37F0F44A" w14:textId="77777777" w:rsidR="00BB138C" w:rsidRPr="00EF6679" w:rsidRDefault="00BB138C" w:rsidP="00820288">
            <w:pPr>
              <w:spacing w:line="240" w:lineRule="auto"/>
              <w:jc w:val="center"/>
              <w:rPr>
                <w:rFonts w:ascii="Times New Roman" w:eastAsia="Times New Roman" w:hAnsi="Times New Roman" w:cs="Times New Roman"/>
                <w:color w:val="000000" w:themeColor="text1"/>
                <w:sz w:val="13"/>
                <w:szCs w:val="13"/>
              </w:rPr>
            </w:pPr>
            <w:r w:rsidRPr="00EF6679">
              <w:rPr>
                <w:rFonts w:ascii="Times New Roman" w:eastAsia="Times New Roman" w:hAnsi="Times New Roman" w:cs="Times New Roman"/>
                <w:color w:val="000000" w:themeColor="text1"/>
                <w:sz w:val="13"/>
                <w:szCs w:val="13"/>
              </w:rPr>
              <w:t>2.34</w:t>
            </w:r>
          </w:p>
        </w:tc>
        <w:tc>
          <w:tcPr>
            <w:tcW w:w="864" w:type="dxa"/>
            <w:tcBorders>
              <w:top w:val="nil"/>
              <w:left w:val="nil"/>
              <w:bottom w:val="nil"/>
              <w:right w:val="nil"/>
            </w:tcBorders>
            <w:noWrap/>
            <w:vAlign w:val="center"/>
            <w:hideMark/>
          </w:tcPr>
          <w:p w14:paraId="31D894DF" w14:textId="77777777" w:rsidR="00BB138C" w:rsidRPr="00EF6679" w:rsidRDefault="00BB138C" w:rsidP="00820288">
            <w:pPr>
              <w:spacing w:line="240" w:lineRule="auto"/>
              <w:jc w:val="center"/>
              <w:rPr>
                <w:rFonts w:ascii="Times New Roman" w:eastAsia="Times New Roman" w:hAnsi="Times New Roman" w:cs="Times New Roman"/>
                <w:color w:val="000000" w:themeColor="text1"/>
                <w:sz w:val="13"/>
                <w:szCs w:val="13"/>
              </w:rPr>
            </w:pPr>
            <w:r w:rsidRPr="00EF6679">
              <w:rPr>
                <w:rFonts w:ascii="Times New Roman" w:eastAsia="Times New Roman" w:hAnsi="Times New Roman" w:cs="Times New Roman"/>
                <w:color w:val="000000" w:themeColor="text1"/>
                <w:sz w:val="13"/>
                <w:szCs w:val="13"/>
              </w:rPr>
              <w:t>2.00</w:t>
            </w:r>
          </w:p>
        </w:tc>
        <w:tc>
          <w:tcPr>
            <w:tcW w:w="410" w:type="dxa"/>
            <w:tcBorders>
              <w:top w:val="nil"/>
              <w:left w:val="nil"/>
              <w:bottom w:val="nil"/>
              <w:right w:val="nil"/>
            </w:tcBorders>
            <w:noWrap/>
          </w:tcPr>
          <w:p w14:paraId="5CD40E9E" w14:textId="77777777" w:rsidR="00BB138C" w:rsidRPr="00EF6679" w:rsidRDefault="00BB138C" w:rsidP="00820288">
            <w:pPr>
              <w:spacing w:line="240" w:lineRule="auto"/>
              <w:jc w:val="right"/>
              <w:rPr>
                <w:rFonts w:ascii="Times New Roman" w:eastAsia="Times New Roman" w:hAnsi="Times New Roman" w:cs="Times New Roman"/>
                <w:color w:val="000000" w:themeColor="text1"/>
                <w:sz w:val="13"/>
                <w:szCs w:val="13"/>
              </w:rPr>
            </w:pPr>
          </w:p>
        </w:tc>
        <w:tc>
          <w:tcPr>
            <w:tcW w:w="864" w:type="dxa"/>
            <w:tcBorders>
              <w:top w:val="nil"/>
              <w:left w:val="nil"/>
              <w:bottom w:val="nil"/>
              <w:right w:val="nil"/>
            </w:tcBorders>
            <w:noWrap/>
            <w:vAlign w:val="center"/>
            <w:hideMark/>
          </w:tcPr>
          <w:p w14:paraId="4E41BAE9" w14:textId="77777777" w:rsidR="00BB138C" w:rsidRPr="00EF6679" w:rsidRDefault="00BB138C" w:rsidP="00820288">
            <w:pPr>
              <w:spacing w:line="240" w:lineRule="auto"/>
              <w:jc w:val="center"/>
              <w:rPr>
                <w:rFonts w:ascii="Times New Roman" w:eastAsia="Times New Roman" w:hAnsi="Times New Roman" w:cs="Times New Roman"/>
                <w:color w:val="000000" w:themeColor="text1"/>
                <w:sz w:val="13"/>
                <w:szCs w:val="13"/>
              </w:rPr>
            </w:pPr>
            <w:r w:rsidRPr="00EF6679">
              <w:rPr>
                <w:rFonts w:ascii="Times New Roman" w:hAnsi="Times New Roman" w:cs="Times New Roman"/>
                <w:color w:val="000000" w:themeColor="text1"/>
                <w:sz w:val="13"/>
                <w:szCs w:val="13"/>
              </w:rPr>
              <w:t>0.0928</w:t>
            </w:r>
          </w:p>
        </w:tc>
        <w:tc>
          <w:tcPr>
            <w:tcW w:w="720" w:type="dxa"/>
            <w:tcBorders>
              <w:top w:val="nil"/>
              <w:left w:val="nil"/>
              <w:bottom w:val="nil"/>
              <w:right w:val="nil"/>
            </w:tcBorders>
            <w:noWrap/>
            <w:vAlign w:val="center"/>
            <w:hideMark/>
          </w:tcPr>
          <w:p w14:paraId="4AAC4B9E" w14:textId="77777777" w:rsidR="00BB138C" w:rsidRPr="00EF6679" w:rsidRDefault="00BB138C" w:rsidP="00820288">
            <w:pPr>
              <w:spacing w:line="240" w:lineRule="auto"/>
              <w:jc w:val="center"/>
              <w:rPr>
                <w:rFonts w:ascii="Times New Roman" w:eastAsia="Times New Roman" w:hAnsi="Times New Roman" w:cs="Times New Roman"/>
                <w:color w:val="000000" w:themeColor="text1"/>
                <w:sz w:val="13"/>
                <w:szCs w:val="13"/>
              </w:rPr>
            </w:pPr>
            <w:r w:rsidRPr="00EF6679">
              <w:rPr>
                <w:rFonts w:ascii="Times New Roman" w:hAnsi="Times New Roman" w:cs="Times New Roman"/>
                <w:color w:val="000000" w:themeColor="text1"/>
                <w:sz w:val="13"/>
                <w:szCs w:val="13"/>
              </w:rPr>
              <w:t>0.0100</w:t>
            </w:r>
          </w:p>
        </w:tc>
        <w:tc>
          <w:tcPr>
            <w:tcW w:w="864" w:type="dxa"/>
            <w:tcBorders>
              <w:top w:val="nil"/>
              <w:left w:val="nil"/>
              <w:bottom w:val="nil"/>
              <w:right w:val="nil"/>
            </w:tcBorders>
            <w:noWrap/>
            <w:vAlign w:val="center"/>
            <w:hideMark/>
          </w:tcPr>
          <w:p w14:paraId="4EDDD778" w14:textId="77777777" w:rsidR="00BB138C" w:rsidRPr="00EF6679" w:rsidRDefault="00BB138C" w:rsidP="00820288">
            <w:pPr>
              <w:spacing w:line="240" w:lineRule="auto"/>
              <w:jc w:val="center"/>
              <w:rPr>
                <w:rFonts w:ascii="Times New Roman" w:eastAsia="Times New Roman" w:hAnsi="Times New Roman" w:cs="Times New Roman"/>
                <w:color w:val="000000" w:themeColor="text1"/>
                <w:sz w:val="13"/>
                <w:szCs w:val="13"/>
              </w:rPr>
            </w:pPr>
            <w:r w:rsidRPr="00EF6679">
              <w:rPr>
                <w:rFonts w:ascii="Times New Roman" w:hAnsi="Times New Roman" w:cs="Times New Roman"/>
                <w:color w:val="000000" w:themeColor="text1"/>
                <w:sz w:val="13"/>
                <w:szCs w:val="13"/>
              </w:rPr>
              <w:t>0.0296</w:t>
            </w:r>
          </w:p>
        </w:tc>
      </w:tr>
      <w:tr w:rsidR="00BB138C" w:rsidRPr="00EF6679" w14:paraId="7EB8ED15" w14:textId="77777777" w:rsidTr="00820288">
        <w:tblPrEx>
          <w:jc w:val="lef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trHeight w:val="144"/>
        </w:trPr>
        <w:tc>
          <w:tcPr>
            <w:tcW w:w="2340" w:type="dxa"/>
            <w:tcBorders>
              <w:top w:val="nil"/>
              <w:left w:val="nil"/>
              <w:bottom w:val="nil"/>
              <w:right w:val="nil"/>
            </w:tcBorders>
            <w:noWrap/>
            <w:hideMark/>
          </w:tcPr>
          <w:p w14:paraId="29165E9F" w14:textId="77777777" w:rsidR="00BB138C" w:rsidRPr="00EF6679" w:rsidRDefault="00BB138C" w:rsidP="00820288">
            <w:pPr>
              <w:spacing w:line="240" w:lineRule="auto"/>
              <w:rPr>
                <w:rFonts w:ascii="Times New Roman" w:eastAsia="Times New Roman" w:hAnsi="Times New Roman" w:cs="Times New Roman"/>
                <w:color w:val="000000" w:themeColor="text1"/>
                <w:sz w:val="13"/>
                <w:szCs w:val="13"/>
              </w:rPr>
            </w:pPr>
            <w:r w:rsidRPr="00EF6679">
              <w:rPr>
                <w:rFonts w:ascii="Times New Roman" w:eastAsia="Times New Roman" w:hAnsi="Times New Roman" w:cs="Times New Roman"/>
                <w:color w:val="000000" w:themeColor="text1"/>
                <w:sz w:val="13"/>
                <w:szCs w:val="13"/>
              </w:rPr>
              <w:t xml:space="preserve">ß-Myrcene           </w:t>
            </w:r>
          </w:p>
        </w:tc>
        <w:tc>
          <w:tcPr>
            <w:tcW w:w="939" w:type="dxa"/>
            <w:tcBorders>
              <w:top w:val="nil"/>
              <w:left w:val="nil"/>
              <w:bottom w:val="nil"/>
              <w:right w:val="nil"/>
            </w:tcBorders>
            <w:noWrap/>
            <w:vAlign w:val="center"/>
            <w:hideMark/>
          </w:tcPr>
          <w:p w14:paraId="5A38D16D" w14:textId="77777777" w:rsidR="00BB138C" w:rsidRPr="00EF6679" w:rsidRDefault="00BB138C" w:rsidP="00820288">
            <w:pPr>
              <w:spacing w:line="240" w:lineRule="auto"/>
              <w:jc w:val="center"/>
              <w:rPr>
                <w:rFonts w:ascii="Times New Roman" w:eastAsia="Times New Roman" w:hAnsi="Times New Roman" w:cs="Times New Roman"/>
                <w:color w:val="000000" w:themeColor="text1"/>
                <w:sz w:val="13"/>
                <w:szCs w:val="13"/>
              </w:rPr>
            </w:pPr>
            <w:r w:rsidRPr="00EF6679">
              <w:rPr>
                <w:rFonts w:ascii="Times New Roman" w:eastAsia="Times New Roman" w:hAnsi="Times New Roman" w:cs="Times New Roman"/>
                <w:color w:val="000000" w:themeColor="text1"/>
                <w:sz w:val="13"/>
                <w:szCs w:val="13"/>
              </w:rPr>
              <w:t>123-35-3</w:t>
            </w:r>
          </w:p>
        </w:tc>
        <w:tc>
          <w:tcPr>
            <w:tcW w:w="1152" w:type="dxa"/>
            <w:tcBorders>
              <w:top w:val="nil"/>
              <w:left w:val="nil"/>
              <w:bottom w:val="nil"/>
              <w:right w:val="nil"/>
            </w:tcBorders>
            <w:noWrap/>
            <w:vAlign w:val="center"/>
            <w:hideMark/>
          </w:tcPr>
          <w:p w14:paraId="50C7305E" w14:textId="77777777" w:rsidR="00BB138C" w:rsidRPr="00EF6679" w:rsidRDefault="00BB138C" w:rsidP="00820288">
            <w:pPr>
              <w:spacing w:line="240" w:lineRule="auto"/>
              <w:jc w:val="center"/>
              <w:rPr>
                <w:rFonts w:ascii="Times New Roman" w:eastAsia="Times New Roman" w:hAnsi="Times New Roman" w:cs="Times New Roman"/>
                <w:color w:val="000000" w:themeColor="text1"/>
                <w:sz w:val="13"/>
                <w:szCs w:val="13"/>
              </w:rPr>
            </w:pPr>
            <w:r w:rsidRPr="00EF6679">
              <w:rPr>
                <w:rFonts w:ascii="Times New Roman" w:eastAsia="Times New Roman" w:hAnsi="Times New Roman" w:cs="Times New Roman"/>
                <w:color w:val="000000" w:themeColor="text1"/>
                <w:sz w:val="13"/>
                <w:szCs w:val="13"/>
              </w:rPr>
              <w:t>13.256</w:t>
            </w:r>
          </w:p>
        </w:tc>
        <w:tc>
          <w:tcPr>
            <w:tcW w:w="864" w:type="dxa"/>
            <w:tcBorders>
              <w:top w:val="nil"/>
              <w:left w:val="nil"/>
              <w:bottom w:val="nil"/>
              <w:right w:val="nil"/>
            </w:tcBorders>
            <w:noWrap/>
            <w:vAlign w:val="center"/>
            <w:hideMark/>
          </w:tcPr>
          <w:p w14:paraId="049763F6" w14:textId="77777777" w:rsidR="00BB138C" w:rsidRPr="00EF6679" w:rsidRDefault="00BB138C" w:rsidP="00820288">
            <w:pPr>
              <w:spacing w:line="240" w:lineRule="auto"/>
              <w:jc w:val="center"/>
              <w:rPr>
                <w:rFonts w:ascii="Times New Roman" w:eastAsia="Times New Roman" w:hAnsi="Times New Roman" w:cs="Times New Roman"/>
                <w:color w:val="000000" w:themeColor="text1"/>
                <w:sz w:val="13"/>
                <w:szCs w:val="13"/>
              </w:rPr>
            </w:pPr>
            <w:r w:rsidRPr="00EF6679">
              <w:rPr>
                <w:rFonts w:ascii="Times New Roman" w:eastAsia="Times New Roman" w:hAnsi="Times New Roman" w:cs="Times New Roman"/>
                <w:color w:val="000000" w:themeColor="text1"/>
                <w:sz w:val="13"/>
                <w:szCs w:val="13"/>
              </w:rPr>
              <w:t>n.d.</w:t>
            </w:r>
          </w:p>
        </w:tc>
        <w:tc>
          <w:tcPr>
            <w:tcW w:w="720" w:type="dxa"/>
            <w:tcBorders>
              <w:top w:val="nil"/>
              <w:left w:val="nil"/>
              <w:bottom w:val="nil"/>
              <w:right w:val="nil"/>
            </w:tcBorders>
            <w:noWrap/>
            <w:vAlign w:val="center"/>
            <w:hideMark/>
          </w:tcPr>
          <w:p w14:paraId="3EE297BA" w14:textId="77777777" w:rsidR="00BB138C" w:rsidRPr="00EF6679" w:rsidRDefault="00BB138C" w:rsidP="00820288">
            <w:pPr>
              <w:spacing w:line="240" w:lineRule="auto"/>
              <w:jc w:val="center"/>
              <w:rPr>
                <w:rFonts w:ascii="Times New Roman" w:eastAsia="Times New Roman" w:hAnsi="Times New Roman" w:cs="Times New Roman"/>
                <w:color w:val="000000" w:themeColor="text1"/>
                <w:sz w:val="13"/>
                <w:szCs w:val="13"/>
              </w:rPr>
            </w:pPr>
            <w:r w:rsidRPr="00EF6679">
              <w:rPr>
                <w:rFonts w:ascii="Times New Roman" w:eastAsia="Times New Roman" w:hAnsi="Times New Roman" w:cs="Times New Roman"/>
                <w:color w:val="000000" w:themeColor="text1"/>
                <w:sz w:val="13"/>
                <w:szCs w:val="13"/>
              </w:rPr>
              <w:t>2.36</w:t>
            </w:r>
          </w:p>
        </w:tc>
        <w:tc>
          <w:tcPr>
            <w:tcW w:w="864" w:type="dxa"/>
            <w:tcBorders>
              <w:top w:val="nil"/>
              <w:left w:val="nil"/>
              <w:bottom w:val="nil"/>
              <w:right w:val="nil"/>
            </w:tcBorders>
            <w:noWrap/>
            <w:vAlign w:val="center"/>
            <w:hideMark/>
          </w:tcPr>
          <w:p w14:paraId="15E39FBA" w14:textId="77777777" w:rsidR="00BB138C" w:rsidRPr="00EF6679" w:rsidRDefault="00BB138C" w:rsidP="00820288">
            <w:pPr>
              <w:spacing w:line="240" w:lineRule="auto"/>
              <w:jc w:val="center"/>
              <w:rPr>
                <w:rFonts w:ascii="Times New Roman" w:eastAsia="Times New Roman" w:hAnsi="Times New Roman" w:cs="Times New Roman"/>
                <w:color w:val="000000" w:themeColor="text1"/>
                <w:sz w:val="13"/>
                <w:szCs w:val="13"/>
              </w:rPr>
            </w:pPr>
            <w:r w:rsidRPr="00EF6679">
              <w:rPr>
                <w:rFonts w:ascii="Times New Roman" w:eastAsia="Times New Roman" w:hAnsi="Times New Roman" w:cs="Times New Roman"/>
                <w:color w:val="000000" w:themeColor="text1"/>
                <w:sz w:val="13"/>
                <w:szCs w:val="13"/>
              </w:rPr>
              <w:t>0.77</w:t>
            </w:r>
          </w:p>
        </w:tc>
        <w:tc>
          <w:tcPr>
            <w:tcW w:w="410" w:type="dxa"/>
            <w:tcBorders>
              <w:top w:val="nil"/>
              <w:left w:val="nil"/>
              <w:bottom w:val="nil"/>
              <w:right w:val="nil"/>
            </w:tcBorders>
            <w:noWrap/>
          </w:tcPr>
          <w:p w14:paraId="58735E49" w14:textId="77777777" w:rsidR="00BB138C" w:rsidRPr="00EF6679" w:rsidRDefault="00BB138C" w:rsidP="00820288">
            <w:pPr>
              <w:spacing w:line="240" w:lineRule="auto"/>
              <w:jc w:val="right"/>
              <w:rPr>
                <w:rFonts w:ascii="Times New Roman" w:eastAsia="Times New Roman" w:hAnsi="Times New Roman" w:cs="Times New Roman"/>
                <w:color w:val="000000" w:themeColor="text1"/>
                <w:sz w:val="13"/>
                <w:szCs w:val="13"/>
              </w:rPr>
            </w:pPr>
          </w:p>
        </w:tc>
        <w:tc>
          <w:tcPr>
            <w:tcW w:w="864" w:type="dxa"/>
            <w:tcBorders>
              <w:top w:val="nil"/>
              <w:left w:val="nil"/>
              <w:bottom w:val="nil"/>
              <w:right w:val="nil"/>
            </w:tcBorders>
            <w:noWrap/>
            <w:vAlign w:val="center"/>
            <w:hideMark/>
          </w:tcPr>
          <w:p w14:paraId="5CF50DCE" w14:textId="77777777" w:rsidR="00BB138C" w:rsidRPr="00EF6679" w:rsidRDefault="00BB138C" w:rsidP="00820288">
            <w:pPr>
              <w:spacing w:line="240" w:lineRule="auto"/>
              <w:jc w:val="center"/>
              <w:rPr>
                <w:rFonts w:ascii="Times New Roman" w:eastAsia="Times New Roman" w:hAnsi="Times New Roman" w:cs="Times New Roman"/>
                <w:color w:val="000000" w:themeColor="text1"/>
                <w:sz w:val="13"/>
                <w:szCs w:val="13"/>
              </w:rPr>
            </w:pPr>
            <w:r w:rsidRPr="00EF6679">
              <w:rPr>
                <w:rFonts w:ascii="Times New Roman" w:hAnsi="Times New Roman" w:cs="Times New Roman"/>
                <w:color w:val="000000" w:themeColor="text1"/>
                <w:sz w:val="13"/>
                <w:szCs w:val="13"/>
              </w:rPr>
              <w:t>0.9960</w:t>
            </w:r>
          </w:p>
        </w:tc>
        <w:tc>
          <w:tcPr>
            <w:tcW w:w="720" w:type="dxa"/>
            <w:tcBorders>
              <w:top w:val="nil"/>
              <w:left w:val="nil"/>
              <w:bottom w:val="nil"/>
              <w:right w:val="nil"/>
            </w:tcBorders>
            <w:noWrap/>
            <w:vAlign w:val="center"/>
            <w:hideMark/>
          </w:tcPr>
          <w:p w14:paraId="401F7845" w14:textId="77777777" w:rsidR="00BB138C" w:rsidRPr="00EF6679" w:rsidRDefault="00BB138C" w:rsidP="00820288">
            <w:pPr>
              <w:spacing w:line="240" w:lineRule="auto"/>
              <w:jc w:val="center"/>
              <w:rPr>
                <w:rFonts w:ascii="Times New Roman" w:eastAsia="Times New Roman" w:hAnsi="Times New Roman" w:cs="Times New Roman"/>
                <w:color w:val="000000" w:themeColor="text1"/>
                <w:sz w:val="13"/>
                <w:szCs w:val="13"/>
              </w:rPr>
            </w:pPr>
            <w:r w:rsidRPr="00EF6679">
              <w:rPr>
                <w:rFonts w:ascii="Times New Roman" w:hAnsi="Times New Roman" w:cs="Times New Roman"/>
                <w:color w:val="000000" w:themeColor="text1"/>
                <w:sz w:val="13"/>
                <w:szCs w:val="13"/>
              </w:rPr>
              <w:t>0.0090</w:t>
            </w:r>
          </w:p>
        </w:tc>
        <w:tc>
          <w:tcPr>
            <w:tcW w:w="864" w:type="dxa"/>
            <w:tcBorders>
              <w:top w:val="nil"/>
              <w:left w:val="nil"/>
              <w:bottom w:val="nil"/>
              <w:right w:val="nil"/>
            </w:tcBorders>
            <w:noWrap/>
            <w:vAlign w:val="center"/>
            <w:hideMark/>
          </w:tcPr>
          <w:p w14:paraId="1255C024" w14:textId="77777777" w:rsidR="00BB138C" w:rsidRPr="00EF6679" w:rsidRDefault="00BB138C" w:rsidP="00820288">
            <w:pPr>
              <w:spacing w:line="240" w:lineRule="auto"/>
              <w:jc w:val="center"/>
              <w:rPr>
                <w:rFonts w:ascii="Times New Roman" w:eastAsia="Times New Roman" w:hAnsi="Times New Roman" w:cs="Times New Roman"/>
                <w:color w:val="000000" w:themeColor="text1"/>
                <w:sz w:val="13"/>
                <w:szCs w:val="13"/>
              </w:rPr>
            </w:pPr>
            <w:r w:rsidRPr="00EF6679">
              <w:rPr>
                <w:rFonts w:ascii="Times New Roman" w:hAnsi="Times New Roman" w:cs="Times New Roman"/>
                <w:color w:val="000000" w:themeColor="text1"/>
                <w:sz w:val="13"/>
                <w:szCs w:val="13"/>
              </w:rPr>
              <w:t>0.6728</w:t>
            </w:r>
          </w:p>
        </w:tc>
      </w:tr>
      <w:tr w:rsidR="00BB138C" w:rsidRPr="00EF6679" w14:paraId="069D52CF" w14:textId="77777777" w:rsidTr="00820288">
        <w:tblPrEx>
          <w:jc w:val="lef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trHeight w:val="144"/>
        </w:trPr>
        <w:tc>
          <w:tcPr>
            <w:tcW w:w="2340" w:type="dxa"/>
            <w:tcBorders>
              <w:top w:val="nil"/>
              <w:left w:val="nil"/>
              <w:bottom w:val="nil"/>
              <w:right w:val="nil"/>
            </w:tcBorders>
            <w:noWrap/>
            <w:hideMark/>
          </w:tcPr>
          <w:p w14:paraId="176C2DD3" w14:textId="77777777" w:rsidR="00BB138C" w:rsidRPr="00EF6679" w:rsidRDefault="00BB138C" w:rsidP="00820288">
            <w:pPr>
              <w:spacing w:line="240" w:lineRule="auto"/>
              <w:rPr>
                <w:rFonts w:ascii="Times New Roman" w:eastAsia="Times New Roman" w:hAnsi="Times New Roman" w:cs="Times New Roman"/>
                <w:color w:val="000000" w:themeColor="text1"/>
                <w:sz w:val="13"/>
                <w:szCs w:val="13"/>
              </w:rPr>
            </w:pPr>
            <w:r w:rsidRPr="00EF6679">
              <w:rPr>
                <w:rFonts w:ascii="Times New Roman" w:eastAsia="Times New Roman" w:hAnsi="Times New Roman" w:cs="Times New Roman"/>
                <w:color w:val="000000" w:themeColor="text1"/>
                <w:sz w:val="13"/>
                <w:szCs w:val="13"/>
              </w:rPr>
              <w:t xml:space="preserve">3-Carene                 </w:t>
            </w:r>
          </w:p>
        </w:tc>
        <w:tc>
          <w:tcPr>
            <w:tcW w:w="939" w:type="dxa"/>
            <w:tcBorders>
              <w:top w:val="nil"/>
              <w:left w:val="nil"/>
              <w:bottom w:val="nil"/>
              <w:right w:val="nil"/>
            </w:tcBorders>
            <w:noWrap/>
            <w:vAlign w:val="center"/>
            <w:hideMark/>
          </w:tcPr>
          <w:p w14:paraId="2C26C069" w14:textId="77777777" w:rsidR="00BB138C" w:rsidRPr="00EF6679" w:rsidRDefault="00BB138C" w:rsidP="00820288">
            <w:pPr>
              <w:spacing w:line="240" w:lineRule="auto"/>
              <w:jc w:val="center"/>
              <w:rPr>
                <w:rFonts w:ascii="Times New Roman" w:eastAsia="Times New Roman" w:hAnsi="Times New Roman" w:cs="Times New Roman"/>
                <w:color w:val="000000" w:themeColor="text1"/>
                <w:sz w:val="13"/>
                <w:szCs w:val="13"/>
              </w:rPr>
            </w:pPr>
            <w:r w:rsidRPr="00EF6679">
              <w:rPr>
                <w:rFonts w:ascii="Times New Roman" w:eastAsia="Times New Roman" w:hAnsi="Times New Roman" w:cs="Times New Roman"/>
                <w:color w:val="000000" w:themeColor="text1"/>
                <w:sz w:val="13"/>
                <w:szCs w:val="13"/>
              </w:rPr>
              <w:t>13466-78-9</w:t>
            </w:r>
          </w:p>
        </w:tc>
        <w:tc>
          <w:tcPr>
            <w:tcW w:w="1152" w:type="dxa"/>
            <w:tcBorders>
              <w:top w:val="nil"/>
              <w:left w:val="nil"/>
              <w:bottom w:val="nil"/>
              <w:right w:val="nil"/>
            </w:tcBorders>
            <w:noWrap/>
            <w:vAlign w:val="center"/>
            <w:hideMark/>
          </w:tcPr>
          <w:p w14:paraId="65B03DEE" w14:textId="77777777" w:rsidR="00BB138C" w:rsidRPr="00EF6679" w:rsidRDefault="00BB138C" w:rsidP="00820288">
            <w:pPr>
              <w:spacing w:line="240" w:lineRule="auto"/>
              <w:jc w:val="center"/>
              <w:rPr>
                <w:rFonts w:ascii="Times New Roman" w:eastAsia="Times New Roman" w:hAnsi="Times New Roman" w:cs="Times New Roman"/>
                <w:color w:val="000000" w:themeColor="text1"/>
                <w:sz w:val="13"/>
                <w:szCs w:val="13"/>
              </w:rPr>
            </w:pPr>
            <w:r w:rsidRPr="00EF6679">
              <w:rPr>
                <w:rFonts w:ascii="Times New Roman" w:eastAsia="Times New Roman" w:hAnsi="Times New Roman" w:cs="Times New Roman"/>
                <w:color w:val="000000" w:themeColor="text1"/>
                <w:sz w:val="13"/>
                <w:szCs w:val="13"/>
              </w:rPr>
              <w:t>13.329</w:t>
            </w:r>
          </w:p>
        </w:tc>
        <w:tc>
          <w:tcPr>
            <w:tcW w:w="864" w:type="dxa"/>
            <w:tcBorders>
              <w:top w:val="nil"/>
              <w:left w:val="nil"/>
              <w:bottom w:val="nil"/>
              <w:right w:val="nil"/>
            </w:tcBorders>
            <w:noWrap/>
            <w:vAlign w:val="center"/>
            <w:hideMark/>
          </w:tcPr>
          <w:p w14:paraId="3544BFBC" w14:textId="77777777" w:rsidR="00BB138C" w:rsidRPr="00EF6679" w:rsidRDefault="00BB138C" w:rsidP="00820288">
            <w:pPr>
              <w:spacing w:line="240" w:lineRule="auto"/>
              <w:jc w:val="center"/>
              <w:rPr>
                <w:rFonts w:ascii="Times New Roman" w:eastAsia="Times New Roman" w:hAnsi="Times New Roman" w:cs="Times New Roman"/>
                <w:color w:val="000000" w:themeColor="text1"/>
                <w:sz w:val="13"/>
                <w:szCs w:val="13"/>
              </w:rPr>
            </w:pPr>
            <w:r w:rsidRPr="00EF6679">
              <w:rPr>
                <w:rFonts w:ascii="Times New Roman" w:eastAsia="Times New Roman" w:hAnsi="Times New Roman" w:cs="Times New Roman"/>
                <w:color w:val="000000" w:themeColor="text1"/>
                <w:sz w:val="13"/>
                <w:szCs w:val="13"/>
              </w:rPr>
              <w:t>0.01</w:t>
            </w:r>
          </w:p>
        </w:tc>
        <w:tc>
          <w:tcPr>
            <w:tcW w:w="720" w:type="dxa"/>
            <w:tcBorders>
              <w:top w:val="nil"/>
              <w:left w:val="nil"/>
              <w:bottom w:val="nil"/>
              <w:right w:val="nil"/>
            </w:tcBorders>
            <w:noWrap/>
            <w:vAlign w:val="center"/>
            <w:hideMark/>
          </w:tcPr>
          <w:p w14:paraId="297C54D5" w14:textId="77777777" w:rsidR="00BB138C" w:rsidRPr="00EF6679" w:rsidRDefault="00BB138C" w:rsidP="00820288">
            <w:pPr>
              <w:spacing w:line="240" w:lineRule="auto"/>
              <w:jc w:val="center"/>
              <w:rPr>
                <w:rFonts w:ascii="Times New Roman" w:eastAsia="Times New Roman" w:hAnsi="Times New Roman" w:cs="Times New Roman"/>
                <w:color w:val="000000" w:themeColor="text1"/>
                <w:sz w:val="13"/>
                <w:szCs w:val="13"/>
              </w:rPr>
            </w:pPr>
            <w:r w:rsidRPr="00EF6679">
              <w:rPr>
                <w:rFonts w:ascii="Times New Roman" w:eastAsia="Times New Roman" w:hAnsi="Times New Roman" w:cs="Times New Roman"/>
                <w:color w:val="000000" w:themeColor="text1"/>
                <w:sz w:val="13"/>
                <w:szCs w:val="13"/>
              </w:rPr>
              <w:t>2.47</w:t>
            </w:r>
          </w:p>
        </w:tc>
        <w:tc>
          <w:tcPr>
            <w:tcW w:w="864" w:type="dxa"/>
            <w:tcBorders>
              <w:top w:val="nil"/>
              <w:left w:val="nil"/>
              <w:bottom w:val="nil"/>
              <w:right w:val="nil"/>
            </w:tcBorders>
            <w:noWrap/>
            <w:vAlign w:val="center"/>
            <w:hideMark/>
          </w:tcPr>
          <w:p w14:paraId="21CF3870" w14:textId="77777777" w:rsidR="00BB138C" w:rsidRPr="00EF6679" w:rsidRDefault="00BB138C" w:rsidP="00820288">
            <w:pPr>
              <w:spacing w:line="240" w:lineRule="auto"/>
              <w:jc w:val="center"/>
              <w:rPr>
                <w:rFonts w:ascii="Times New Roman" w:eastAsia="Times New Roman" w:hAnsi="Times New Roman" w:cs="Times New Roman"/>
                <w:color w:val="000000" w:themeColor="text1"/>
                <w:sz w:val="13"/>
                <w:szCs w:val="13"/>
              </w:rPr>
            </w:pPr>
            <w:r w:rsidRPr="00EF6679">
              <w:rPr>
                <w:rFonts w:ascii="Times New Roman" w:eastAsia="Times New Roman" w:hAnsi="Times New Roman" w:cs="Times New Roman"/>
                <w:color w:val="000000" w:themeColor="text1"/>
                <w:sz w:val="13"/>
                <w:szCs w:val="13"/>
              </w:rPr>
              <w:t>0.75</w:t>
            </w:r>
          </w:p>
        </w:tc>
        <w:tc>
          <w:tcPr>
            <w:tcW w:w="410" w:type="dxa"/>
            <w:tcBorders>
              <w:top w:val="nil"/>
              <w:left w:val="nil"/>
              <w:bottom w:val="nil"/>
              <w:right w:val="nil"/>
            </w:tcBorders>
            <w:noWrap/>
          </w:tcPr>
          <w:p w14:paraId="25B4D7FD" w14:textId="77777777" w:rsidR="00BB138C" w:rsidRPr="00EF6679" w:rsidRDefault="00BB138C" w:rsidP="00820288">
            <w:pPr>
              <w:spacing w:line="240" w:lineRule="auto"/>
              <w:jc w:val="right"/>
              <w:rPr>
                <w:rFonts w:ascii="Times New Roman" w:eastAsia="Times New Roman" w:hAnsi="Times New Roman" w:cs="Times New Roman"/>
                <w:color w:val="000000" w:themeColor="text1"/>
                <w:sz w:val="13"/>
                <w:szCs w:val="13"/>
              </w:rPr>
            </w:pPr>
          </w:p>
        </w:tc>
        <w:tc>
          <w:tcPr>
            <w:tcW w:w="864" w:type="dxa"/>
            <w:tcBorders>
              <w:top w:val="nil"/>
              <w:left w:val="nil"/>
              <w:bottom w:val="nil"/>
              <w:right w:val="nil"/>
            </w:tcBorders>
            <w:noWrap/>
            <w:vAlign w:val="center"/>
            <w:hideMark/>
          </w:tcPr>
          <w:p w14:paraId="25CEBA56" w14:textId="77777777" w:rsidR="00BB138C" w:rsidRPr="00EF6679" w:rsidRDefault="00BB138C" w:rsidP="00820288">
            <w:pPr>
              <w:spacing w:line="240" w:lineRule="auto"/>
              <w:jc w:val="center"/>
              <w:rPr>
                <w:rFonts w:ascii="Times New Roman" w:eastAsia="Times New Roman" w:hAnsi="Times New Roman" w:cs="Times New Roman"/>
                <w:color w:val="000000" w:themeColor="text1"/>
                <w:sz w:val="13"/>
                <w:szCs w:val="13"/>
              </w:rPr>
            </w:pPr>
            <w:r w:rsidRPr="00EF6679">
              <w:rPr>
                <w:rFonts w:ascii="Times New Roman" w:hAnsi="Times New Roman" w:cs="Times New Roman"/>
                <w:color w:val="000000" w:themeColor="text1"/>
                <w:sz w:val="13"/>
                <w:szCs w:val="13"/>
              </w:rPr>
              <w:t>0.9282</w:t>
            </w:r>
          </w:p>
        </w:tc>
        <w:tc>
          <w:tcPr>
            <w:tcW w:w="720" w:type="dxa"/>
            <w:tcBorders>
              <w:top w:val="nil"/>
              <w:left w:val="nil"/>
              <w:bottom w:val="nil"/>
              <w:right w:val="nil"/>
            </w:tcBorders>
            <w:noWrap/>
            <w:vAlign w:val="center"/>
            <w:hideMark/>
          </w:tcPr>
          <w:p w14:paraId="06CF3C47" w14:textId="77777777" w:rsidR="00BB138C" w:rsidRPr="00EF6679" w:rsidRDefault="00BB138C" w:rsidP="00820288">
            <w:pPr>
              <w:spacing w:line="240" w:lineRule="auto"/>
              <w:jc w:val="center"/>
              <w:rPr>
                <w:rFonts w:ascii="Times New Roman" w:eastAsia="Times New Roman" w:hAnsi="Times New Roman" w:cs="Times New Roman"/>
                <w:color w:val="000000" w:themeColor="text1"/>
                <w:sz w:val="13"/>
                <w:szCs w:val="13"/>
              </w:rPr>
            </w:pPr>
            <w:r w:rsidRPr="00EF6679">
              <w:rPr>
                <w:rFonts w:ascii="Times New Roman" w:hAnsi="Times New Roman" w:cs="Times New Roman"/>
                <w:color w:val="000000" w:themeColor="text1"/>
                <w:sz w:val="13"/>
                <w:szCs w:val="13"/>
              </w:rPr>
              <w:t>0.0064</w:t>
            </w:r>
          </w:p>
        </w:tc>
        <w:tc>
          <w:tcPr>
            <w:tcW w:w="864" w:type="dxa"/>
            <w:tcBorders>
              <w:top w:val="nil"/>
              <w:left w:val="nil"/>
              <w:bottom w:val="nil"/>
              <w:right w:val="nil"/>
            </w:tcBorders>
            <w:noWrap/>
            <w:vAlign w:val="center"/>
            <w:hideMark/>
          </w:tcPr>
          <w:p w14:paraId="57482AC3" w14:textId="77777777" w:rsidR="00BB138C" w:rsidRPr="00EF6679" w:rsidRDefault="00BB138C" w:rsidP="00820288">
            <w:pPr>
              <w:spacing w:line="240" w:lineRule="auto"/>
              <w:jc w:val="center"/>
              <w:rPr>
                <w:rFonts w:ascii="Times New Roman" w:eastAsia="Times New Roman" w:hAnsi="Times New Roman" w:cs="Times New Roman"/>
                <w:color w:val="000000" w:themeColor="text1"/>
                <w:sz w:val="13"/>
                <w:szCs w:val="13"/>
              </w:rPr>
            </w:pPr>
            <w:r w:rsidRPr="00EF6679">
              <w:rPr>
                <w:rFonts w:ascii="Times New Roman" w:hAnsi="Times New Roman" w:cs="Times New Roman"/>
                <w:color w:val="000000" w:themeColor="text1"/>
                <w:sz w:val="13"/>
                <w:szCs w:val="13"/>
              </w:rPr>
              <w:t>0.6855</w:t>
            </w:r>
          </w:p>
        </w:tc>
      </w:tr>
      <w:tr w:rsidR="00BB138C" w:rsidRPr="00EF6679" w14:paraId="55A715C0" w14:textId="77777777" w:rsidTr="00820288">
        <w:tblPrEx>
          <w:jc w:val="lef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trHeight w:val="144"/>
        </w:trPr>
        <w:tc>
          <w:tcPr>
            <w:tcW w:w="2340" w:type="dxa"/>
            <w:tcBorders>
              <w:top w:val="nil"/>
              <w:left w:val="nil"/>
              <w:bottom w:val="nil"/>
              <w:right w:val="nil"/>
            </w:tcBorders>
            <w:noWrap/>
            <w:hideMark/>
          </w:tcPr>
          <w:p w14:paraId="5C7E8C1D" w14:textId="77777777" w:rsidR="00BB138C" w:rsidRPr="00EF6679" w:rsidRDefault="00BB138C" w:rsidP="00820288">
            <w:pPr>
              <w:spacing w:line="240" w:lineRule="auto"/>
              <w:rPr>
                <w:rFonts w:ascii="Times New Roman" w:eastAsia="Times New Roman" w:hAnsi="Times New Roman" w:cs="Times New Roman"/>
                <w:color w:val="000000" w:themeColor="text1"/>
                <w:sz w:val="13"/>
                <w:szCs w:val="13"/>
              </w:rPr>
            </w:pPr>
            <w:r w:rsidRPr="00EF6679">
              <w:rPr>
                <w:rFonts w:ascii="Times New Roman" w:eastAsia="Times New Roman" w:hAnsi="Times New Roman" w:cs="Times New Roman"/>
                <w:color w:val="000000" w:themeColor="text1"/>
                <w:sz w:val="13"/>
                <w:szCs w:val="13"/>
              </w:rPr>
              <w:t xml:space="preserve">2-pentyl-Furan           </w:t>
            </w:r>
          </w:p>
        </w:tc>
        <w:tc>
          <w:tcPr>
            <w:tcW w:w="939" w:type="dxa"/>
            <w:tcBorders>
              <w:top w:val="nil"/>
              <w:left w:val="nil"/>
              <w:bottom w:val="nil"/>
              <w:right w:val="nil"/>
            </w:tcBorders>
            <w:noWrap/>
            <w:vAlign w:val="center"/>
            <w:hideMark/>
          </w:tcPr>
          <w:p w14:paraId="7DD22839" w14:textId="77777777" w:rsidR="00BB138C" w:rsidRPr="00EF6679" w:rsidRDefault="00BB138C" w:rsidP="00820288">
            <w:pPr>
              <w:spacing w:line="240" w:lineRule="auto"/>
              <w:jc w:val="center"/>
              <w:rPr>
                <w:rFonts w:ascii="Times New Roman" w:eastAsia="Times New Roman" w:hAnsi="Times New Roman" w:cs="Times New Roman"/>
                <w:color w:val="000000" w:themeColor="text1"/>
                <w:sz w:val="13"/>
                <w:szCs w:val="13"/>
              </w:rPr>
            </w:pPr>
            <w:r w:rsidRPr="00EF6679">
              <w:rPr>
                <w:rFonts w:ascii="Times New Roman" w:eastAsia="Times New Roman" w:hAnsi="Times New Roman" w:cs="Times New Roman"/>
                <w:color w:val="000000" w:themeColor="text1"/>
                <w:sz w:val="13"/>
                <w:szCs w:val="13"/>
              </w:rPr>
              <w:t>3777-69-3</w:t>
            </w:r>
          </w:p>
        </w:tc>
        <w:tc>
          <w:tcPr>
            <w:tcW w:w="1152" w:type="dxa"/>
            <w:tcBorders>
              <w:top w:val="nil"/>
              <w:left w:val="nil"/>
              <w:bottom w:val="nil"/>
              <w:right w:val="nil"/>
            </w:tcBorders>
            <w:noWrap/>
            <w:vAlign w:val="center"/>
            <w:hideMark/>
          </w:tcPr>
          <w:p w14:paraId="025DFDEF" w14:textId="77777777" w:rsidR="00BB138C" w:rsidRPr="00EF6679" w:rsidRDefault="00BB138C" w:rsidP="00820288">
            <w:pPr>
              <w:spacing w:line="240" w:lineRule="auto"/>
              <w:jc w:val="center"/>
              <w:rPr>
                <w:rFonts w:ascii="Times New Roman" w:eastAsia="Times New Roman" w:hAnsi="Times New Roman" w:cs="Times New Roman"/>
                <w:color w:val="000000" w:themeColor="text1"/>
                <w:sz w:val="13"/>
                <w:szCs w:val="13"/>
              </w:rPr>
            </w:pPr>
            <w:r w:rsidRPr="00EF6679">
              <w:rPr>
                <w:rFonts w:ascii="Times New Roman" w:eastAsia="Times New Roman" w:hAnsi="Times New Roman" w:cs="Times New Roman"/>
                <w:color w:val="000000" w:themeColor="text1"/>
                <w:sz w:val="13"/>
                <w:szCs w:val="13"/>
              </w:rPr>
              <w:t>13.370</w:t>
            </w:r>
          </w:p>
        </w:tc>
        <w:tc>
          <w:tcPr>
            <w:tcW w:w="864" w:type="dxa"/>
            <w:tcBorders>
              <w:top w:val="nil"/>
              <w:left w:val="nil"/>
              <w:bottom w:val="nil"/>
              <w:right w:val="nil"/>
            </w:tcBorders>
            <w:noWrap/>
            <w:vAlign w:val="center"/>
            <w:hideMark/>
          </w:tcPr>
          <w:p w14:paraId="6AE36A9A" w14:textId="77777777" w:rsidR="00BB138C" w:rsidRPr="00EF6679" w:rsidRDefault="00BB138C" w:rsidP="00820288">
            <w:pPr>
              <w:spacing w:line="240" w:lineRule="auto"/>
              <w:jc w:val="center"/>
              <w:rPr>
                <w:rFonts w:ascii="Times New Roman" w:eastAsia="Times New Roman" w:hAnsi="Times New Roman" w:cs="Times New Roman"/>
                <w:color w:val="000000" w:themeColor="text1"/>
                <w:sz w:val="13"/>
                <w:szCs w:val="13"/>
              </w:rPr>
            </w:pPr>
            <w:r w:rsidRPr="00EF6679">
              <w:rPr>
                <w:rFonts w:ascii="Times New Roman" w:eastAsia="Times New Roman" w:hAnsi="Times New Roman" w:cs="Times New Roman"/>
                <w:color w:val="000000" w:themeColor="text1"/>
                <w:sz w:val="13"/>
                <w:szCs w:val="13"/>
              </w:rPr>
              <w:t>0.44</w:t>
            </w:r>
          </w:p>
        </w:tc>
        <w:tc>
          <w:tcPr>
            <w:tcW w:w="720" w:type="dxa"/>
            <w:tcBorders>
              <w:top w:val="nil"/>
              <w:left w:val="nil"/>
              <w:bottom w:val="nil"/>
              <w:right w:val="nil"/>
            </w:tcBorders>
            <w:noWrap/>
            <w:vAlign w:val="center"/>
            <w:hideMark/>
          </w:tcPr>
          <w:p w14:paraId="317D794E" w14:textId="77777777" w:rsidR="00BB138C" w:rsidRPr="00EF6679" w:rsidRDefault="00BB138C" w:rsidP="00820288">
            <w:pPr>
              <w:spacing w:line="240" w:lineRule="auto"/>
              <w:jc w:val="center"/>
              <w:rPr>
                <w:rFonts w:ascii="Times New Roman" w:eastAsia="Times New Roman" w:hAnsi="Times New Roman" w:cs="Times New Roman"/>
                <w:color w:val="000000" w:themeColor="text1"/>
                <w:sz w:val="13"/>
                <w:szCs w:val="13"/>
              </w:rPr>
            </w:pPr>
            <w:r w:rsidRPr="00EF6679">
              <w:rPr>
                <w:rFonts w:ascii="Times New Roman" w:eastAsia="Times New Roman" w:hAnsi="Times New Roman" w:cs="Times New Roman"/>
                <w:color w:val="000000" w:themeColor="text1"/>
                <w:sz w:val="13"/>
                <w:szCs w:val="13"/>
              </w:rPr>
              <w:t>2.93</w:t>
            </w:r>
          </w:p>
        </w:tc>
        <w:tc>
          <w:tcPr>
            <w:tcW w:w="864" w:type="dxa"/>
            <w:tcBorders>
              <w:top w:val="nil"/>
              <w:left w:val="nil"/>
              <w:bottom w:val="nil"/>
              <w:right w:val="nil"/>
            </w:tcBorders>
            <w:noWrap/>
            <w:vAlign w:val="center"/>
            <w:hideMark/>
          </w:tcPr>
          <w:p w14:paraId="35A36A59" w14:textId="77777777" w:rsidR="00BB138C" w:rsidRPr="00EF6679" w:rsidRDefault="00BB138C" w:rsidP="00820288">
            <w:pPr>
              <w:spacing w:line="240" w:lineRule="auto"/>
              <w:jc w:val="center"/>
              <w:rPr>
                <w:rFonts w:ascii="Times New Roman" w:eastAsia="Times New Roman" w:hAnsi="Times New Roman" w:cs="Times New Roman"/>
                <w:color w:val="000000" w:themeColor="text1"/>
                <w:sz w:val="13"/>
                <w:szCs w:val="13"/>
              </w:rPr>
            </w:pPr>
            <w:r w:rsidRPr="00EF6679">
              <w:rPr>
                <w:rFonts w:ascii="Times New Roman" w:eastAsia="Times New Roman" w:hAnsi="Times New Roman" w:cs="Times New Roman"/>
                <w:color w:val="000000" w:themeColor="text1"/>
                <w:sz w:val="13"/>
                <w:szCs w:val="13"/>
              </w:rPr>
              <w:t>2.13</w:t>
            </w:r>
          </w:p>
        </w:tc>
        <w:tc>
          <w:tcPr>
            <w:tcW w:w="410" w:type="dxa"/>
            <w:tcBorders>
              <w:top w:val="nil"/>
              <w:left w:val="nil"/>
              <w:bottom w:val="nil"/>
              <w:right w:val="nil"/>
            </w:tcBorders>
            <w:noWrap/>
          </w:tcPr>
          <w:p w14:paraId="593396F9" w14:textId="77777777" w:rsidR="00BB138C" w:rsidRPr="00EF6679" w:rsidRDefault="00BB138C" w:rsidP="00820288">
            <w:pPr>
              <w:spacing w:line="240" w:lineRule="auto"/>
              <w:jc w:val="right"/>
              <w:rPr>
                <w:rFonts w:ascii="Times New Roman" w:eastAsia="Times New Roman" w:hAnsi="Times New Roman" w:cs="Times New Roman"/>
                <w:color w:val="000000" w:themeColor="text1"/>
                <w:sz w:val="13"/>
                <w:szCs w:val="13"/>
              </w:rPr>
            </w:pPr>
          </w:p>
        </w:tc>
        <w:tc>
          <w:tcPr>
            <w:tcW w:w="864" w:type="dxa"/>
            <w:tcBorders>
              <w:top w:val="nil"/>
              <w:left w:val="nil"/>
              <w:bottom w:val="nil"/>
              <w:right w:val="nil"/>
            </w:tcBorders>
            <w:noWrap/>
            <w:vAlign w:val="center"/>
            <w:hideMark/>
          </w:tcPr>
          <w:p w14:paraId="2B33A29A" w14:textId="77777777" w:rsidR="00BB138C" w:rsidRPr="00EF6679" w:rsidRDefault="00BB138C" w:rsidP="00820288">
            <w:pPr>
              <w:spacing w:line="240" w:lineRule="auto"/>
              <w:jc w:val="center"/>
              <w:rPr>
                <w:rFonts w:ascii="Times New Roman" w:eastAsia="Times New Roman" w:hAnsi="Times New Roman" w:cs="Times New Roman"/>
                <w:color w:val="000000" w:themeColor="text1"/>
                <w:sz w:val="13"/>
                <w:szCs w:val="13"/>
              </w:rPr>
            </w:pPr>
            <w:r w:rsidRPr="00EF6679">
              <w:rPr>
                <w:rFonts w:ascii="Times New Roman" w:hAnsi="Times New Roman" w:cs="Times New Roman"/>
                <w:color w:val="000000" w:themeColor="text1"/>
                <w:sz w:val="13"/>
                <w:szCs w:val="13"/>
              </w:rPr>
              <w:t>0.5083</w:t>
            </w:r>
          </w:p>
        </w:tc>
        <w:tc>
          <w:tcPr>
            <w:tcW w:w="720" w:type="dxa"/>
            <w:tcBorders>
              <w:top w:val="nil"/>
              <w:left w:val="nil"/>
              <w:bottom w:val="nil"/>
              <w:right w:val="nil"/>
            </w:tcBorders>
            <w:noWrap/>
            <w:vAlign w:val="center"/>
            <w:hideMark/>
          </w:tcPr>
          <w:p w14:paraId="76F1C71B" w14:textId="77777777" w:rsidR="00BB138C" w:rsidRPr="00EF6679" w:rsidRDefault="00BB138C" w:rsidP="00820288">
            <w:pPr>
              <w:spacing w:line="240" w:lineRule="auto"/>
              <w:jc w:val="center"/>
              <w:rPr>
                <w:rFonts w:ascii="Times New Roman" w:eastAsia="Times New Roman" w:hAnsi="Times New Roman" w:cs="Times New Roman"/>
                <w:color w:val="000000" w:themeColor="text1"/>
                <w:sz w:val="13"/>
                <w:szCs w:val="13"/>
              </w:rPr>
            </w:pPr>
            <w:r w:rsidRPr="00EF6679">
              <w:rPr>
                <w:rFonts w:ascii="Times New Roman" w:hAnsi="Times New Roman" w:cs="Times New Roman"/>
                <w:color w:val="000000" w:themeColor="text1"/>
                <w:sz w:val="13"/>
                <w:szCs w:val="13"/>
              </w:rPr>
              <w:t>0.0013</w:t>
            </w:r>
          </w:p>
        </w:tc>
        <w:tc>
          <w:tcPr>
            <w:tcW w:w="864" w:type="dxa"/>
            <w:tcBorders>
              <w:top w:val="nil"/>
              <w:left w:val="nil"/>
              <w:bottom w:val="nil"/>
              <w:right w:val="nil"/>
            </w:tcBorders>
            <w:noWrap/>
            <w:vAlign w:val="center"/>
            <w:hideMark/>
          </w:tcPr>
          <w:p w14:paraId="34705CDB" w14:textId="77777777" w:rsidR="00BB138C" w:rsidRPr="00EF6679" w:rsidRDefault="00BB138C" w:rsidP="00820288">
            <w:pPr>
              <w:spacing w:line="240" w:lineRule="auto"/>
              <w:jc w:val="center"/>
              <w:rPr>
                <w:rFonts w:ascii="Times New Roman" w:eastAsia="Times New Roman" w:hAnsi="Times New Roman" w:cs="Times New Roman"/>
                <w:color w:val="000000" w:themeColor="text1"/>
                <w:sz w:val="13"/>
                <w:szCs w:val="13"/>
              </w:rPr>
            </w:pPr>
            <w:r w:rsidRPr="00EF6679">
              <w:rPr>
                <w:rFonts w:ascii="Times New Roman" w:hAnsi="Times New Roman" w:cs="Times New Roman"/>
                <w:color w:val="000000" w:themeColor="text1"/>
                <w:sz w:val="13"/>
                <w:szCs w:val="13"/>
              </w:rPr>
              <w:t>0.0196</w:t>
            </w:r>
          </w:p>
        </w:tc>
      </w:tr>
      <w:tr w:rsidR="00BB138C" w:rsidRPr="00EF6679" w14:paraId="60891B54" w14:textId="77777777" w:rsidTr="00820288">
        <w:tblPrEx>
          <w:jc w:val="lef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trHeight w:val="144"/>
        </w:trPr>
        <w:tc>
          <w:tcPr>
            <w:tcW w:w="2340" w:type="dxa"/>
            <w:tcBorders>
              <w:top w:val="nil"/>
              <w:left w:val="nil"/>
              <w:bottom w:val="nil"/>
              <w:right w:val="nil"/>
            </w:tcBorders>
            <w:noWrap/>
            <w:hideMark/>
          </w:tcPr>
          <w:p w14:paraId="05FA3893" w14:textId="77777777" w:rsidR="00BB138C" w:rsidRPr="00EF6679" w:rsidRDefault="00BB138C" w:rsidP="00820288">
            <w:pPr>
              <w:spacing w:line="240" w:lineRule="auto"/>
              <w:rPr>
                <w:rFonts w:ascii="Times New Roman" w:eastAsia="Times New Roman" w:hAnsi="Times New Roman" w:cs="Times New Roman"/>
                <w:color w:val="000000" w:themeColor="text1"/>
                <w:sz w:val="13"/>
                <w:szCs w:val="13"/>
              </w:rPr>
            </w:pPr>
            <w:r w:rsidRPr="00EF6679">
              <w:rPr>
                <w:rFonts w:ascii="Times New Roman" w:eastAsia="Times New Roman" w:hAnsi="Times New Roman" w:cs="Times New Roman"/>
                <w:color w:val="000000" w:themeColor="text1"/>
                <w:sz w:val="13"/>
                <w:szCs w:val="13"/>
              </w:rPr>
              <w:t xml:space="preserve">Cyclohexane, isocyanato- </w:t>
            </w:r>
          </w:p>
        </w:tc>
        <w:tc>
          <w:tcPr>
            <w:tcW w:w="939" w:type="dxa"/>
            <w:tcBorders>
              <w:top w:val="nil"/>
              <w:left w:val="nil"/>
              <w:bottom w:val="nil"/>
              <w:right w:val="nil"/>
            </w:tcBorders>
            <w:noWrap/>
            <w:vAlign w:val="center"/>
            <w:hideMark/>
          </w:tcPr>
          <w:p w14:paraId="6B59205D" w14:textId="77777777" w:rsidR="00BB138C" w:rsidRPr="00EF6679" w:rsidRDefault="00BB138C" w:rsidP="00820288">
            <w:pPr>
              <w:spacing w:line="240" w:lineRule="auto"/>
              <w:jc w:val="center"/>
              <w:rPr>
                <w:rFonts w:ascii="Times New Roman" w:eastAsia="Times New Roman" w:hAnsi="Times New Roman" w:cs="Times New Roman"/>
                <w:color w:val="000000" w:themeColor="text1"/>
                <w:sz w:val="13"/>
                <w:szCs w:val="13"/>
              </w:rPr>
            </w:pPr>
            <w:r w:rsidRPr="00EF6679">
              <w:rPr>
                <w:rFonts w:ascii="Times New Roman" w:eastAsia="Times New Roman" w:hAnsi="Times New Roman" w:cs="Times New Roman"/>
                <w:color w:val="000000" w:themeColor="text1"/>
                <w:sz w:val="13"/>
                <w:szCs w:val="13"/>
              </w:rPr>
              <w:t>3173-53-3</w:t>
            </w:r>
          </w:p>
        </w:tc>
        <w:tc>
          <w:tcPr>
            <w:tcW w:w="1152" w:type="dxa"/>
            <w:tcBorders>
              <w:top w:val="nil"/>
              <w:left w:val="nil"/>
              <w:bottom w:val="nil"/>
              <w:right w:val="nil"/>
            </w:tcBorders>
            <w:noWrap/>
            <w:vAlign w:val="center"/>
            <w:hideMark/>
          </w:tcPr>
          <w:p w14:paraId="553B7C21" w14:textId="77777777" w:rsidR="00BB138C" w:rsidRPr="00EF6679" w:rsidRDefault="00BB138C" w:rsidP="00820288">
            <w:pPr>
              <w:spacing w:line="240" w:lineRule="auto"/>
              <w:jc w:val="center"/>
              <w:rPr>
                <w:rFonts w:ascii="Times New Roman" w:eastAsia="Times New Roman" w:hAnsi="Times New Roman" w:cs="Times New Roman"/>
                <w:color w:val="000000" w:themeColor="text1"/>
                <w:sz w:val="13"/>
                <w:szCs w:val="13"/>
              </w:rPr>
            </w:pPr>
            <w:r w:rsidRPr="00EF6679">
              <w:rPr>
                <w:rFonts w:ascii="Times New Roman" w:eastAsia="Times New Roman" w:hAnsi="Times New Roman" w:cs="Times New Roman"/>
                <w:color w:val="000000" w:themeColor="text1"/>
                <w:sz w:val="13"/>
                <w:szCs w:val="13"/>
              </w:rPr>
              <w:t>13.474</w:t>
            </w:r>
          </w:p>
        </w:tc>
        <w:tc>
          <w:tcPr>
            <w:tcW w:w="864" w:type="dxa"/>
            <w:tcBorders>
              <w:top w:val="nil"/>
              <w:left w:val="nil"/>
              <w:bottom w:val="nil"/>
              <w:right w:val="nil"/>
            </w:tcBorders>
            <w:noWrap/>
            <w:vAlign w:val="center"/>
            <w:hideMark/>
          </w:tcPr>
          <w:p w14:paraId="6615F100" w14:textId="77777777" w:rsidR="00BB138C" w:rsidRPr="00EF6679" w:rsidRDefault="00BB138C" w:rsidP="00820288">
            <w:pPr>
              <w:spacing w:line="240" w:lineRule="auto"/>
              <w:jc w:val="center"/>
              <w:rPr>
                <w:rFonts w:ascii="Times New Roman" w:eastAsia="Times New Roman" w:hAnsi="Times New Roman" w:cs="Times New Roman"/>
                <w:color w:val="000000" w:themeColor="text1"/>
                <w:sz w:val="13"/>
                <w:szCs w:val="13"/>
              </w:rPr>
            </w:pPr>
            <w:r w:rsidRPr="00EF6679">
              <w:rPr>
                <w:rFonts w:ascii="Times New Roman" w:eastAsia="Times New Roman" w:hAnsi="Times New Roman" w:cs="Times New Roman"/>
                <w:color w:val="000000" w:themeColor="text1"/>
                <w:sz w:val="13"/>
                <w:szCs w:val="13"/>
              </w:rPr>
              <w:t>1.00</w:t>
            </w:r>
          </w:p>
        </w:tc>
        <w:tc>
          <w:tcPr>
            <w:tcW w:w="720" w:type="dxa"/>
            <w:tcBorders>
              <w:top w:val="nil"/>
              <w:left w:val="nil"/>
              <w:bottom w:val="nil"/>
              <w:right w:val="nil"/>
            </w:tcBorders>
            <w:noWrap/>
            <w:vAlign w:val="center"/>
            <w:hideMark/>
          </w:tcPr>
          <w:p w14:paraId="72CB863B" w14:textId="77777777" w:rsidR="00BB138C" w:rsidRPr="00EF6679" w:rsidRDefault="00BB138C" w:rsidP="00820288">
            <w:pPr>
              <w:spacing w:line="240" w:lineRule="auto"/>
              <w:jc w:val="center"/>
              <w:rPr>
                <w:rFonts w:ascii="Times New Roman" w:eastAsia="Times New Roman" w:hAnsi="Times New Roman" w:cs="Times New Roman"/>
                <w:color w:val="000000" w:themeColor="text1"/>
                <w:sz w:val="13"/>
                <w:szCs w:val="13"/>
              </w:rPr>
            </w:pPr>
            <w:r w:rsidRPr="00EF6679">
              <w:rPr>
                <w:rFonts w:ascii="Times New Roman" w:eastAsia="Times New Roman" w:hAnsi="Times New Roman" w:cs="Times New Roman"/>
                <w:color w:val="000000" w:themeColor="text1"/>
                <w:sz w:val="13"/>
                <w:szCs w:val="13"/>
              </w:rPr>
              <w:t>1.00</w:t>
            </w:r>
          </w:p>
        </w:tc>
        <w:tc>
          <w:tcPr>
            <w:tcW w:w="864" w:type="dxa"/>
            <w:tcBorders>
              <w:top w:val="nil"/>
              <w:left w:val="nil"/>
              <w:bottom w:val="nil"/>
              <w:right w:val="nil"/>
            </w:tcBorders>
            <w:noWrap/>
            <w:vAlign w:val="center"/>
            <w:hideMark/>
          </w:tcPr>
          <w:p w14:paraId="04E98198" w14:textId="77777777" w:rsidR="00BB138C" w:rsidRPr="00EF6679" w:rsidRDefault="00BB138C" w:rsidP="00820288">
            <w:pPr>
              <w:spacing w:line="240" w:lineRule="auto"/>
              <w:jc w:val="center"/>
              <w:rPr>
                <w:rFonts w:ascii="Times New Roman" w:eastAsia="Times New Roman" w:hAnsi="Times New Roman" w:cs="Times New Roman"/>
                <w:color w:val="000000" w:themeColor="text1"/>
                <w:sz w:val="13"/>
                <w:szCs w:val="13"/>
              </w:rPr>
            </w:pPr>
            <w:r w:rsidRPr="00EF6679">
              <w:rPr>
                <w:rFonts w:ascii="Times New Roman" w:eastAsia="Times New Roman" w:hAnsi="Times New Roman" w:cs="Times New Roman"/>
                <w:color w:val="000000" w:themeColor="text1"/>
                <w:sz w:val="13"/>
                <w:szCs w:val="13"/>
              </w:rPr>
              <w:t>1.00</w:t>
            </w:r>
          </w:p>
        </w:tc>
        <w:tc>
          <w:tcPr>
            <w:tcW w:w="410" w:type="dxa"/>
            <w:tcBorders>
              <w:top w:val="nil"/>
              <w:left w:val="nil"/>
              <w:bottom w:val="nil"/>
              <w:right w:val="nil"/>
            </w:tcBorders>
            <w:noWrap/>
          </w:tcPr>
          <w:p w14:paraId="0D1D56F3" w14:textId="77777777" w:rsidR="00BB138C" w:rsidRPr="00EF6679" w:rsidRDefault="00BB138C" w:rsidP="00820288">
            <w:pPr>
              <w:spacing w:line="240" w:lineRule="auto"/>
              <w:jc w:val="right"/>
              <w:rPr>
                <w:rFonts w:ascii="Times New Roman" w:eastAsia="Times New Roman" w:hAnsi="Times New Roman" w:cs="Times New Roman"/>
                <w:color w:val="000000" w:themeColor="text1"/>
                <w:sz w:val="13"/>
                <w:szCs w:val="13"/>
              </w:rPr>
            </w:pPr>
          </w:p>
        </w:tc>
        <w:tc>
          <w:tcPr>
            <w:tcW w:w="864" w:type="dxa"/>
            <w:tcBorders>
              <w:top w:val="nil"/>
              <w:left w:val="nil"/>
              <w:bottom w:val="nil"/>
              <w:right w:val="nil"/>
            </w:tcBorders>
            <w:noWrap/>
            <w:vAlign w:val="center"/>
            <w:hideMark/>
          </w:tcPr>
          <w:p w14:paraId="399D5AA1" w14:textId="77777777" w:rsidR="00BB138C" w:rsidRPr="00EF6679" w:rsidRDefault="00BB138C" w:rsidP="00820288">
            <w:pPr>
              <w:spacing w:line="240" w:lineRule="auto"/>
              <w:jc w:val="center"/>
              <w:rPr>
                <w:rFonts w:ascii="Times New Roman" w:eastAsia="Times New Roman" w:hAnsi="Times New Roman" w:cs="Times New Roman"/>
                <w:color w:val="000000" w:themeColor="text1"/>
                <w:sz w:val="13"/>
                <w:szCs w:val="13"/>
              </w:rPr>
            </w:pPr>
            <w:r w:rsidRPr="00EF6679">
              <w:rPr>
                <w:rFonts w:ascii="Times New Roman" w:hAnsi="Times New Roman" w:cs="Times New Roman"/>
                <w:color w:val="000000" w:themeColor="text1"/>
                <w:sz w:val="13"/>
                <w:szCs w:val="13"/>
              </w:rPr>
              <w:t>0.3185</w:t>
            </w:r>
          </w:p>
        </w:tc>
        <w:tc>
          <w:tcPr>
            <w:tcW w:w="720" w:type="dxa"/>
            <w:tcBorders>
              <w:top w:val="nil"/>
              <w:left w:val="nil"/>
              <w:bottom w:val="nil"/>
              <w:right w:val="nil"/>
            </w:tcBorders>
            <w:noWrap/>
            <w:vAlign w:val="center"/>
            <w:hideMark/>
          </w:tcPr>
          <w:p w14:paraId="64AAAEB9" w14:textId="77777777" w:rsidR="00BB138C" w:rsidRPr="00EF6679" w:rsidRDefault="00BB138C" w:rsidP="00820288">
            <w:pPr>
              <w:spacing w:line="240" w:lineRule="auto"/>
              <w:jc w:val="center"/>
              <w:rPr>
                <w:rFonts w:ascii="Times New Roman" w:eastAsia="Times New Roman" w:hAnsi="Times New Roman" w:cs="Times New Roman"/>
                <w:color w:val="000000" w:themeColor="text1"/>
                <w:sz w:val="13"/>
                <w:szCs w:val="13"/>
              </w:rPr>
            </w:pPr>
            <w:r w:rsidRPr="00EF6679">
              <w:rPr>
                <w:rFonts w:ascii="Times New Roman" w:hAnsi="Times New Roman" w:cs="Times New Roman"/>
                <w:color w:val="000000" w:themeColor="text1"/>
                <w:sz w:val="13"/>
                <w:szCs w:val="13"/>
              </w:rPr>
              <w:t>0.4476</w:t>
            </w:r>
          </w:p>
        </w:tc>
        <w:tc>
          <w:tcPr>
            <w:tcW w:w="864" w:type="dxa"/>
            <w:tcBorders>
              <w:top w:val="nil"/>
              <w:left w:val="nil"/>
              <w:bottom w:val="nil"/>
              <w:right w:val="nil"/>
            </w:tcBorders>
            <w:noWrap/>
            <w:vAlign w:val="center"/>
            <w:hideMark/>
          </w:tcPr>
          <w:p w14:paraId="02FDE00E" w14:textId="77777777" w:rsidR="00BB138C" w:rsidRPr="00EF6679" w:rsidRDefault="00BB138C" w:rsidP="00820288">
            <w:pPr>
              <w:spacing w:line="240" w:lineRule="auto"/>
              <w:jc w:val="center"/>
              <w:rPr>
                <w:rFonts w:ascii="Times New Roman" w:eastAsia="Times New Roman" w:hAnsi="Times New Roman" w:cs="Times New Roman"/>
                <w:color w:val="000000" w:themeColor="text1"/>
                <w:sz w:val="13"/>
                <w:szCs w:val="13"/>
              </w:rPr>
            </w:pPr>
            <w:r w:rsidRPr="00EF6679">
              <w:rPr>
                <w:rFonts w:ascii="Times New Roman" w:hAnsi="Times New Roman" w:cs="Times New Roman"/>
                <w:color w:val="000000" w:themeColor="text1"/>
                <w:sz w:val="13"/>
                <w:szCs w:val="13"/>
              </w:rPr>
              <w:t>0.4476</w:t>
            </w:r>
          </w:p>
        </w:tc>
      </w:tr>
      <w:tr w:rsidR="00BB138C" w:rsidRPr="00EF6679" w14:paraId="7C799B4A" w14:textId="77777777" w:rsidTr="00820288">
        <w:tblPrEx>
          <w:jc w:val="lef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trHeight w:val="144"/>
        </w:trPr>
        <w:tc>
          <w:tcPr>
            <w:tcW w:w="2340" w:type="dxa"/>
            <w:tcBorders>
              <w:top w:val="nil"/>
              <w:left w:val="nil"/>
              <w:bottom w:val="nil"/>
              <w:right w:val="nil"/>
            </w:tcBorders>
            <w:noWrap/>
            <w:hideMark/>
          </w:tcPr>
          <w:p w14:paraId="06EA3FBC" w14:textId="77777777" w:rsidR="00BB138C" w:rsidRPr="00EF6679" w:rsidRDefault="00BB138C" w:rsidP="00820288">
            <w:pPr>
              <w:spacing w:line="240" w:lineRule="auto"/>
              <w:rPr>
                <w:rFonts w:ascii="Times New Roman" w:eastAsia="Times New Roman" w:hAnsi="Times New Roman" w:cs="Times New Roman"/>
                <w:color w:val="000000" w:themeColor="text1"/>
                <w:sz w:val="13"/>
                <w:szCs w:val="13"/>
              </w:rPr>
            </w:pPr>
            <w:r w:rsidRPr="00EF6679">
              <w:rPr>
                <w:rFonts w:ascii="Times New Roman" w:eastAsia="Times New Roman" w:hAnsi="Times New Roman" w:cs="Times New Roman"/>
                <w:color w:val="000000" w:themeColor="text1"/>
                <w:sz w:val="13"/>
                <w:szCs w:val="13"/>
              </w:rPr>
              <w:t>(E,E)-2,4-Heptadienal</w:t>
            </w:r>
          </w:p>
        </w:tc>
        <w:tc>
          <w:tcPr>
            <w:tcW w:w="939" w:type="dxa"/>
            <w:tcBorders>
              <w:top w:val="nil"/>
              <w:left w:val="nil"/>
              <w:bottom w:val="nil"/>
              <w:right w:val="nil"/>
            </w:tcBorders>
            <w:noWrap/>
            <w:vAlign w:val="center"/>
            <w:hideMark/>
          </w:tcPr>
          <w:p w14:paraId="639BCE16" w14:textId="77777777" w:rsidR="00BB138C" w:rsidRPr="00EF6679" w:rsidRDefault="00BB138C" w:rsidP="00820288">
            <w:pPr>
              <w:spacing w:line="240" w:lineRule="auto"/>
              <w:jc w:val="center"/>
              <w:rPr>
                <w:rFonts w:ascii="Times New Roman" w:eastAsia="Times New Roman" w:hAnsi="Times New Roman" w:cs="Times New Roman"/>
                <w:color w:val="000000" w:themeColor="text1"/>
                <w:sz w:val="13"/>
                <w:szCs w:val="13"/>
              </w:rPr>
            </w:pPr>
            <w:r w:rsidRPr="00EF6679">
              <w:rPr>
                <w:rFonts w:ascii="Times New Roman" w:eastAsia="Times New Roman" w:hAnsi="Times New Roman" w:cs="Times New Roman"/>
                <w:color w:val="000000" w:themeColor="text1"/>
                <w:sz w:val="13"/>
                <w:szCs w:val="13"/>
              </w:rPr>
              <w:t>4313-03-5</w:t>
            </w:r>
          </w:p>
        </w:tc>
        <w:tc>
          <w:tcPr>
            <w:tcW w:w="1152" w:type="dxa"/>
            <w:tcBorders>
              <w:top w:val="nil"/>
              <w:left w:val="nil"/>
              <w:bottom w:val="nil"/>
              <w:right w:val="nil"/>
            </w:tcBorders>
            <w:noWrap/>
            <w:vAlign w:val="center"/>
            <w:hideMark/>
          </w:tcPr>
          <w:p w14:paraId="6B3E0412" w14:textId="77777777" w:rsidR="00BB138C" w:rsidRPr="00EF6679" w:rsidRDefault="00BB138C" w:rsidP="00820288">
            <w:pPr>
              <w:spacing w:line="240" w:lineRule="auto"/>
              <w:jc w:val="center"/>
              <w:rPr>
                <w:rFonts w:ascii="Times New Roman" w:eastAsia="Times New Roman" w:hAnsi="Times New Roman" w:cs="Times New Roman"/>
                <w:color w:val="000000" w:themeColor="text1"/>
                <w:sz w:val="13"/>
                <w:szCs w:val="13"/>
              </w:rPr>
            </w:pPr>
            <w:r w:rsidRPr="00EF6679">
              <w:rPr>
                <w:rFonts w:ascii="Times New Roman" w:eastAsia="Times New Roman" w:hAnsi="Times New Roman" w:cs="Times New Roman"/>
                <w:color w:val="000000" w:themeColor="text1"/>
                <w:sz w:val="13"/>
                <w:szCs w:val="13"/>
              </w:rPr>
              <w:t>14.028</w:t>
            </w:r>
          </w:p>
        </w:tc>
        <w:tc>
          <w:tcPr>
            <w:tcW w:w="864" w:type="dxa"/>
            <w:tcBorders>
              <w:top w:val="nil"/>
              <w:left w:val="nil"/>
              <w:bottom w:val="nil"/>
              <w:right w:val="nil"/>
            </w:tcBorders>
            <w:noWrap/>
            <w:vAlign w:val="center"/>
            <w:hideMark/>
          </w:tcPr>
          <w:p w14:paraId="452F1DD3" w14:textId="77777777" w:rsidR="00BB138C" w:rsidRPr="00EF6679" w:rsidRDefault="00BB138C" w:rsidP="00820288">
            <w:pPr>
              <w:spacing w:line="240" w:lineRule="auto"/>
              <w:jc w:val="center"/>
              <w:rPr>
                <w:rFonts w:ascii="Times New Roman" w:eastAsia="Times New Roman" w:hAnsi="Times New Roman" w:cs="Times New Roman"/>
                <w:color w:val="000000" w:themeColor="text1"/>
                <w:sz w:val="13"/>
                <w:szCs w:val="13"/>
              </w:rPr>
            </w:pPr>
            <w:r w:rsidRPr="00EF6679">
              <w:rPr>
                <w:rFonts w:ascii="Times New Roman" w:eastAsia="Times New Roman" w:hAnsi="Times New Roman" w:cs="Times New Roman"/>
                <w:color w:val="000000" w:themeColor="text1"/>
                <w:sz w:val="13"/>
                <w:szCs w:val="13"/>
              </w:rPr>
              <w:t>0.05</w:t>
            </w:r>
          </w:p>
        </w:tc>
        <w:tc>
          <w:tcPr>
            <w:tcW w:w="720" w:type="dxa"/>
            <w:tcBorders>
              <w:top w:val="nil"/>
              <w:left w:val="nil"/>
              <w:bottom w:val="nil"/>
              <w:right w:val="nil"/>
            </w:tcBorders>
            <w:noWrap/>
            <w:vAlign w:val="center"/>
            <w:hideMark/>
          </w:tcPr>
          <w:p w14:paraId="3B980816" w14:textId="77777777" w:rsidR="00BB138C" w:rsidRPr="00EF6679" w:rsidRDefault="00BB138C" w:rsidP="00820288">
            <w:pPr>
              <w:spacing w:line="240" w:lineRule="auto"/>
              <w:jc w:val="center"/>
              <w:rPr>
                <w:rFonts w:ascii="Times New Roman" w:eastAsia="Times New Roman" w:hAnsi="Times New Roman" w:cs="Times New Roman"/>
                <w:color w:val="000000" w:themeColor="text1"/>
                <w:sz w:val="13"/>
                <w:szCs w:val="13"/>
              </w:rPr>
            </w:pPr>
            <w:r w:rsidRPr="00EF6679">
              <w:rPr>
                <w:rFonts w:ascii="Times New Roman" w:eastAsia="Times New Roman" w:hAnsi="Times New Roman" w:cs="Times New Roman"/>
                <w:color w:val="000000" w:themeColor="text1"/>
                <w:sz w:val="13"/>
                <w:szCs w:val="13"/>
              </w:rPr>
              <w:t>1.54</w:t>
            </w:r>
          </w:p>
        </w:tc>
        <w:tc>
          <w:tcPr>
            <w:tcW w:w="864" w:type="dxa"/>
            <w:tcBorders>
              <w:top w:val="nil"/>
              <w:left w:val="nil"/>
              <w:bottom w:val="nil"/>
              <w:right w:val="nil"/>
            </w:tcBorders>
            <w:noWrap/>
            <w:vAlign w:val="center"/>
            <w:hideMark/>
          </w:tcPr>
          <w:p w14:paraId="527B0510" w14:textId="77777777" w:rsidR="00BB138C" w:rsidRPr="00EF6679" w:rsidRDefault="00BB138C" w:rsidP="00820288">
            <w:pPr>
              <w:spacing w:line="240" w:lineRule="auto"/>
              <w:jc w:val="center"/>
              <w:rPr>
                <w:rFonts w:ascii="Times New Roman" w:eastAsia="Times New Roman" w:hAnsi="Times New Roman" w:cs="Times New Roman"/>
                <w:color w:val="000000" w:themeColor="text1"/>
                <w:sz w:val="13"/>
                <w:szCs w:val="13"/>
              </w:rPr>
            </w:pPr>
            <w:r w:rsidRPr="00EF6679">
              <w:rPr>
                <w:rFonts w:ascii="Times New Roman" w:eastAsia="Times New Roman" w:hAnsi="Times New Roman" w:cs="Times New Roman"/>
                <w:color w:val="000000" w:themeColor="text1"/>
                <w:sz w:val="13"/>
                <w:szCs w:val="13"/>
              </w:rPr>
              <w:t>1.65</w:t>
            </w:r>
          </w:p>
        </w:tc>
        <w:tc>
          <w:tcPr>
            <w:tcW w:w="410" w:type="dxa"/>
            <w:tcBorders>
              <w:top w:val="nil"/>
              <w:left w:val="nil"/>
              <w:bottom w:val="nil"/>
              <w:right w:val="nil"/>
            </w:tcBorders>
            <w:noWrap/>
          </w:tcPr>
          <w:p w14:paraId="547E252E" w14:textId="77777777" w:rsidR="00BB138C" w:rsidRPr="00EF6679" w:rsidRDefault="00BB138C" w:rsidP="00820288">
            <w:pPr>
              <w:spacing w:line="240" w:lineRule="auto"/>
              <w:jc w:val="right"/>
              <w:rPr>
                <w:rFonts w:ascii="Times New Roman" w:eastAsia="Times New Roman" w:hAnsi="Times New Roman" w:cs="Times New Roman"/>
                <w:color w:val="000000" w:themeColor="text1"/>
                <w:sz w:val="13"/>
                <w:szCs w:val="13"/>
              </w:rPr>
            </w:pPr>
          </w:p>
        </w:tc>
        <w:tc>
          <w:tcPr>
            <w:tcW w:w="864" w:type="dxa"/>
            <w:tcBorders>
              <w:top w:val="nil"/>
              <w:left w:val="nil"/>
              <w:bottom w:val="nil"/>
              <w:right w:val="nil"/>
            </w:tcBorders>
            <w:noWrap/>
            <w:vAlign w:val="center"/>
            <w:hideMark/>
          </w:tcPr>
          <w:p w14:paraId="066544E9" w14:textId="77777777" w:rsidR="00BB138C" w:rsidRPr="00EF6679" w:rsidRDefault="00BB138C" w:rsidP="00820288">
            <w:pPr>
              <w:spacing w:line="240" w:lineRule="auto"/>
              <w:jc w:val="center"/>
              <w:rPr>
                <w:rFonts w:ascii="Times New Roman" w:eastAsia="Times New Roman" w:hAnsi="Times New Roman" w:cs="Times New Roman"/>
                <w:color w:val="000000" w:themeColor="text1"/>
                <w:sz w:val="13"/>
                <w:szCs w:val="13"/>
              </w:rPr>
            </w:pPr>
            <w:r w:rsidRPr="00EF6679">
              <w:rPr>
                <w:rFonts w:ascii="Times New Roman" w:hAnsi="Times New Roman" w:cs="Times New Roman"/>
                <w:color w:val="000000" w:themeColor="text1"/>
                <w:sz w:val="13"/>
                <w:szCs w:val="13"/>
              </w:rPr>
              <w:t>0.8295</w:t>
            </w:r>
          </w:p>
        </w:tc>
        <w:tc>
          <w:tcPr>
            <w:tcW w:w="720" w:type="dxa"/>
            <w:tcBorders>
              <w:top w:val="nil"/>
              <w:left w:val="nil"/>
              <w:bottom w:val="nil"/>
              <w:right w:val="nil"/>
            </w:tcBorders>
            <w:noWrap/>
            <w:vAlign w:val="center"/>
            <w:hideMark/>
          </w:tcPr>
          <w:p w14:paraId="76114109" w14:textId="77777777" w:rsidR="00BB138C" w:rsidRPr="00EF6679" w:rsidRDefault="00BB138C" w:rsidP="00820288">
            <w:pPr>
              <w:spacing w:line="240" w:lineRule="auto"/>
              <w:jc w:val="center"/>
              <w:rPr>
                <w:rFonts w:ascii="Times New Roman" w:eastAsia="Times New Roman" w:hAnsi="Times New Roman" w:cs="Times New Roman"/>
                <w:color w:val="000000" w:themeColor="text1"/>
                <w:sz w:val="13"/>
                <w:szCs w:val="13"/>
              </w:rPr>
            </w:pPr>
            <w:r w:rsidRPr="00EF6679">
              <w:rPr>
                <w:rFonts w:ascii="Times New Roman" w:hAnsi="Times New Roman" w:cs="Times New Roman"/>
                <w:color w:val="000000" w:themeColor="text1"/>
                <w:sz w:val="13"/>
                <w:szCs w:val="13"/>
              </w:rPr>
              <w:t>0.1208</w:t>
            </w:r>
          </w:p>
        </w:tc>
        <w:tc>
          <w:tcPr>
            <w:tcW w:w="864" w:type="dxa"/>
            <w:tcBorders>
              <w:top w:val="nil"/>
              <w:left w:val="nil"/>
              <w:bottom w:val="nil"/>
              <w:right w:val="nil"/>
            </w:tcBorders>
            <w:noWrap/>
            <w:vAlign w:val="center"/>
            <w:hideMark/>
          </w:tcPr>
          <w:p w14:paraId="0EF8DE6C" w14:textId="77777777" w:rsidR="00BB138C" w:rsidRPr="00EF6679" w:rsidRDefault="00BB138C" w:rsidP="00820288">
            <w:pPr>
              <w:spacing w:line="240" w:lineRule="auto"/>
              <w:jc w:val="center"/>
              <w:rPr>
                <w:rFonts w:ascii="Times New Roman" w:eastAsia="Times New Roman" w:hAnsi="Times New Roman" w:cs="Times New Roman"/>
                <w:color w:val="000000" w:themeColor="text1"/>
                <w:sz w:val="13"/>
                <w:szCs w:val="13"/>
              </w:rPr>
            </w:pPr>
            <w:r w:rsidRPr="00EF6679">
              <w:rPr>
                <w:rFonts w:ascii="Times New Roman" w:hAnsi="Times New Roman" w:cs="Times New Roman"/>
                <w:color w:val="000000" w:themeColor="text1"/>
                <w:sz w:val="13"/>
                <w:szCs w:val="13"/>
              </w:rPr>
              <w:t>0.8380</w:t>
            </w:r>
          </w:p>
        </w:tc>
      </w:tr>
      <w:tr w:rsidR="00BB138C" w:rsidRPr="00EF6679" w14:paraId="3A8E174A" w14:textId="77777777" w:rsidTr="00820288">
        <w:tblPrEx>
          <w:jc w:val="lef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trHeight w:val="144"/>
        </w:trPr>
        <w:tc>
          <w:tcPr>
            <w:tcW w:w="2340" w:type="dxa"/>
            <w:tcBorders>
              <w:top w:val="nil"/>
              <w:left w:val="nil"/>
              <w:bottom w:val="nil"/>
              <w:right w:val="nil"/>
            </w:tcBorders>
            <w:noWrap/>
            <w:hideMark/>
          </w:tcPr>
          <w:p w14:paraId="60475FB7" w14:textId="77777777" w:rsidR="00BB138C" w:rsidRPr="00EF6679" w:rsidRDefault="00BB138C" w:rsidP="00820288">
            <w:pPr>
              <w:spacing w:line="240" w:lineRule="auto"/>
              <w:rPr>
                <w:rFonts w:ascii="Times New Roman" w:eastAsia="Times New Roman" w:hAnsi="Times New Roman" w:cs="Times New Roman"/>
                <w:color w:val="000000" w:themeColor="text1"/>
                <w:sz w:val="13"/>
                <w:szCs w:val="13"/>
              </w:rPr>
            </w:pPr>
            <w:r w:rsidRPr="00EF6679">
              <w:rPr>
                <w:rFonts w:ascii="Times New Roman" w:eastAsia="Times New Roman" w:hAnsi="Times New Roman" w:cs="Times New Roman"/>
                <w:color w:val="000000" w:themeColor="text1"/>
                <w:sz w:val="13"/>
                <w:szCs w:val="13"/>
              </w:rPr>
              <w:t xml:space="preserve">Formamide, N-phenyl-     </w:t>
            </w:r>
          </w:p>
        </w:tc>
        <w:tc>
          <w:tcPr>
            <w:tcW w:w="939" w:type="dxa"/>
            <w:tcBorders>
              <w:top w:val="nil"/>
              <w:left w:val="nil"/>
              <w:bottom w:val="nil"/>
              <w:right w:val="nil"/>
            </w:tcBorders>
            <w:noWrap/>
            <w:vAlign w:val="center"/>
            <w:hideMark/>
          </w:tcPr>
          <w:p w14:paraId="2D2FD6CF" w14:textId="77777777" w:rsidR="00BB138C" w:rsidRPr="00EF6679" w:rsidRDefault="00BB138C" w:rsidP="00820288">
            <w:pPr>
              <w:spacing w:line="240" w:lineRule="auto"/>
              <w:jc w:val="center"/>
              <w:rPr>
                <w:rFonts w:ascii="Times New Roman" w:eastAsia="Times New Roman" w:hAnsi="Times New Roman" w:cs="Times New Roman"/>
                <w:color w:val="000000" w:themeColor="text1"/>
                <w:sz w:val="13"/>
                <w:szCs w:val="13"/>
              </w:rPr>
            </w:pPr>
            <w:r w:rsidRPr="00EF6679">
              <w:rPr>
                <w:rFonts w:ascii="Times New Roman" w:eastAsia="Times New Roman" w:hAnsi="Times New Roman" w:cs="Times New Roman"/>
                <w:color w:val="000000" w:themeColor="text1"/>
                <w:sz w:val="13"/>
                <w:szCs w:val="13"/>
              </w:rPr>
              <w:t>26944-32-1</w:t>
            </w:r>
          </w:p>
        </w:tc>
        <w:tc>
          <w:tcPr>
            <w:tcW w:w="1152" w:type="dxa"/>
            <w:tcBorders>
              <w:top w:val="nil"/>
              <w:left w:val="nil"/>
              <w:bottom w:val="nil"/>
              <w:right w:val="nil"/>
            </w:tcBorders>
            <w:noWrap/>
            <w:vAlign w:val="center"/>
            <w:hideMark/>
          </w:tcPr>
          <w:p w14:paraId="1F50892F" w14:textId="77777777" w:rsidR="00BB138C" w:rsidRPr="00EF6679" w:rsidRDefault="00BB138C" w:rsidP="00820288">
            <w:pPr>
              <w:spacing w:line="240" w:lineRule="auto"/>
              <w:jc w:val="center"/>
              <w:rPr>
                <w:rFonts w:ascii="Times New Roman" w:eastAsia="Times New Roman" w:hAnsi="Times New Roman" w:cs="Times New Roman"/>
                <w:color w:val="000000" w:themeColor="text1"/>
                <w:sz w:val="13"/>
                <w:szCs w:val="13"/>
              </w:rPr>
            </w:pPr>
            <w:r w:rsidRPr="00EF6679">
              <w:rPr>
                <w:rFonts w:ascii="Times New Roman" w:eastAsia="Times New Roman" w:hAnsi="Times New Roman" w:cs="Times New Roman"/>
                <w:color w:val="000000" w:themeColor="text1"/>
                <w:sz w:val="13"/>
                <w:szCs w:val="13"/>
              </w:rPr>
              <w:t>14.225</w:t>
            </w:r>
          </w:p>
        </w:tc>
        <w:tc>
          <w:tcPr>
            <w:tcW w:w="864" w:type="dxa"/>
            <w:tcBorders>
              <w:top w:val="nil"/>
              <w:left w:val="nil"/>
              <w:bottom w:val="nil"/>
              <w:right w:val="nil"/>
            </w:tcBorders>
            <w:noWrap/>
            <w:vAlign w:val="center"/>
            <w:hideMark/>
          </w:tcPr>
          <w:p w14:paraId="6FAB9C93" w14:textId="77777777" w:rsidR="00BB138C" w:rsidRPr="00EF6679" w:rsidRDefault="00BB138C" w:rsidP="00820288">
            <w:pPr>
              <w:spacing w:line="240" w:lineRule="auto"/>
              <w:jc w:val="center"/>
              <w:rPr>
                <w:rFonts w:ascii="Times New Roman" w:eastAsia="Times New Roman" w:hAnsi="Times New Roman" w:cs="Times New Roman"/>
                <w:color w:val="000000" w:themeColor="text1"/>
                <w:sz w:val="13"/>
                <w:szCs w:val="13"/>
              </w:rPr>
            </w:pPr>
            <w:r w:rsidRPr="00EF6679">
              <w:rPr>
                <w:rFonts w:ascii="Times New Roman" w:eastAsia="Times New Roman" w:hAnsi="Times New Roman" w:cs="Times New Roman"/>
                <w:color w:val="000000" w:themeColor="text1"/>
                <w:sz w:val="13"/>
                <w:szCs w:val="13"/>
              </w:rPr>
              <w:t>0.45</w:t>
            </w:r>
          </w:p>
        </w:tc>
        <w:tc>
          <w:tcPr>
            <w:tcW w:w="720" w:type="dxa"/>
            <w:tcBorders>
              <w:top w:val="nil"/>
              <w:left w:val="nil"/>
              <w:bottom w:val="nil"/>
              <w:right w:val="nil"/>
            </w:tcBorders>
            <w:noWrap/>
            <w:vAlign w:val="center"/>
            <w:hideMark/>
          </w:tcPr>
          <w:p w14:paraId="25A29EB4" w14:textId="77777777" w:rsidR="00BB138C" w:rsidRPr="00EF6679" w:rsidRDefault="00BB138C" w:rsidP="00820288">
            <w:pPr>
              <w:spacing w:line="240" w:lineRule="auto"/>
              <w:jc w:val="center"/>
              <w:rPr>
                <w:rFonts w:ascii="Times New Roman" w:eastAsia="Times New Roman" w:hAnsi="Times New Roman" w:cs="Times New Roman"/>
                <w:color w:val="000000" w:themeColor="text1"/>
                <w:sz w:val="13"/>
                <w:szCs w:val="13"/>
              </w:rPr>
            </w:pPr>
            <w:r w:rsidRPr="00EF6679">
              <w:rPr>
                <w:rFonts w:ascii="Times New Roman" w:eastAsia="Times New Roman" w:hAnsi="Times New Roman" w:cs="Times New Roman"/>
                <w:color w:val="000000" w:themeColor="text1"/>
                <w:sz w:val="13"/>
                <w:szCs w:val="13"/>
              </w:rPr>
              <w:t>4.27</w:t>
            </w:r>
          </w:p>
        </w:tc>
        <w:tc>
          <w:tcPr>
            <w:tcW w:w="864" w:type="dxa"/>
            <w:tcBorders>
              <w:top w:val="nil"/>
              <w:left w:val="nil"/>
              <w:bottom w:val="nil"/>
              <w:right w:val="nil"/>
            </w:tcBorders>
            <w:noWrap/>
            <w:vAlign w:val="center"/>
            <w:hideMark/>
          </w:tcPr>
          <w:p w14:paraId="6AAF170F" w14:textId="77777777" w:rsidR="00BB138C" w:rsidRPr="00EF6679" w:rsidRDefault="00BB138C" w:rsidP="00820288">
            <w:pPr>
              <w:spacing w:line="240" w:lineRule="auto"/>
              <w:jc w:val="center"/>
              <w:rPr>
                <w:rFonts w:ascii="Times New Roman" w:eastAsia="Times New Roman" w:hAnsi="Times New Roman" w:cs="Times New Roman"/>
                <w:color w:val="000000" w:themeColor="text1"/>
                <w:sz w:val="13"/>
                <w:szCs w:val="13"/>
              </w:rPr>
            </w:pPr>
            <w:r w:rsidRPr="00EF6679">
              <w:rPr>
                <w:rFonts w:ascii="Times New Roman" w:eastAsia="Times New Roman" w:hAnsi="Times New Roman" w:cs="Times New Roman"/>
                <w:color w:val="000000" w:themeColor="text1"/>
                <w:sz w:val="13"/>
                <w:szCs w:val="13"/>
              </w:rPr>
              <w:t>0.39</w:t>
            </w:r>
          </w:p>
        </w:tc>
        <w:tc>
          <w:tcPr>
            <w:tcW w:w="410" w:type="dxa"/>
            <w:tcBorders>
              <w:top w:val="nil"/>
              <w:left w:val="nil"/>
              <w:bottom w:val="nil"/>
              <w:right w:val="nil"/>
            </w:tcBorders>
            <w:noWrap/>
          </w:tcPr>
          <w:p w14:paraId="5A149914" w14:textId="77777777" w:rsidR="00BB138C" w:rsidRPr="00EF6679" w:rsidRDefault="00BB138C" w:rsidP="00820288">
            <w:pPr>
              <w:spacing w:line="240" w:lineRule="auto"/>
              <w:jc w:val="right"/>
              <w:rPr>
                <w:rFonts w:ascii="Times New Roman" w:eastAsia="Times New Roman" w:hAnsi="Times New Roman" w:cs="Times New Roman"/>
                <w:color w:val="000000" w:themeColor="text1"/>
                <w:sz w:val="13"/>
                <w:szCs w:val="13"/>
              </w:rPr>
            </w:pPr>
          </w:p>
        </w:tc>
        <w:tc>
          <w:tcPr>
            <w:tcW w:w="864" w:type="dxa"/>
            <w:tcBorders>
              <w:top w:val="nil"/>
              <w:left w:val="nil"/>
              <w:bottom w:val="nil"/>
              <w:right w:val="nil"/>
            </w:tcBorders>
            <w:noWrap/>
            <w:vAlign w:val="bottom"/>
            <w:hideMark/>
          </w:tcPr>
          <w:p w14:paraId="63416D0E" w14:textId="77777777" w:rsidR="00BB138C" w:rsidRPr="00EF6679" w:rsidRDefault="00BB138C" w:rsidP="00820288">
            <w:pPr>
              <w:spacing w:line="240" w:lineRule="auto"/>
              <w:jc w:val="center"/>
              <w:rPr>
                <w:rFonts w:ascii="Times New Roman" w:eastAsia="Times New Roman" w:hAnsi="Times New Roman" w:cs="Times New Roman"/>
                <w:color w:val="000000" w:themeColor="text1"/>
                <w:sz w:val="13"/>
                <w:szCs w:val="13"/>
              </w:rPr>
            </w:pPr>
            <w:r w:rsidRPr="00EF6679">
              <w:rPr>
                <w:rFonts w:ascii="Times New Roman" w:hAnsi="Times New Roman" w:cs="Times New Roman"/>
                <w:color w:val="000000" w:themeColor="text1"/>
                <w:sz w:val="13"/>
                <w:szCs w:val="13"/>
              </w:rPr>
              <w:t>0.5020</w:t>
            </w:r>
          </w:p>
        </w:tc>
        <w:tc>
          <w:tcPr>
            <w:tcW w:w="720" w:type="dxa"/>
            <w:tcBorders>
              <w:top w:val="nil"/>
              <w:left w:val="nil"/>
              <w:bottom w:val="nil"/>
              <w:right w:val="nil"/>
            </w:tcBorders>
            <w:noWrap/>
            <w:vAlign w:val="bottom"/>
            <w:hideMark/>
          </w:tcPr>
          <w:p w14:paraId="6001954A" w14:textId="77777777" w:rsidR="00BB138C" w:rsidRPr="00EF6679" w:rsidRDefault="00BB138C" w:rsidP="00820288">
            <w:pPr>
              <w:spacing w:line="240" w:lineRule="auto"/>
              <w:jc w:val="center"/>
              <w:rPr>
                <w:rFonts w:ascii="Times New Roman" w:eastAsia="Times New Roman" w:hAnsi="Times New Roman" w:cs="Times New Roman"/>
                <w:color w:val="000000" w:themeColor="text1"/>
                <w:sz w:val="13"/>
                <w:szCs w:val="13"/>
              </w:rPr>
            </w:pPr>
            <w:r w:rsidRPr="00EF6679">
              <w:rPr>
                <w:rFonts w:ascii="Times New Roman" w:hAnsi="Times New Roman" w:cs="Times New Roman"/>
                <w:color w:val="000000" w:themeColor="text1"/>
                <w:sz w:val="13"/>
                <w:szCs w:val="13"/>
              </w:rPr>
              <w:t xml:space="preserve">&lt;.0001 </w:t>
            </w:r>
          </w:p>
        </w:tc>
        <w:tc>
          <w:tcPr>
            <w:tcW w:w="864" w:type="dxa"/>
            <w:tcBorders>
              <w:top w:val="nil"/>
              <w:left w:val="nil"/>
              <w:bottom w:val="nil"/>
              <w:right w:val="nil"/>
            </w:tcBorders>
            <w:noWrap/>
            <w:vAlign w:val="bottom"/>
            <w:hideMark/>
          </w:tcPr>
          <w:p w14:paraId="37C9249B" w14:textId="77777777" w:rsidR="00BB138C" w:rsidRPr="00EF6679" w:rsidRDefault="00BB138C" w:rsidP="00820288">
            <w:pPr>
              <w:spacing w:line="240" w:lineRule="auto"/>
              <w:jc w:val="center"/>
              <w:rPr>
                <w:rFonts w:ascii="Times New Roman" w:eastAsia="Times New Roman" w:hAnsi="Times New Roman" w:cs="Times New Roman"/>
                <w:color w:val="000000" w:themeColor="text1"/>
                <w:sz w:val="13"/>
                <w:szCs w:val="13"/>
              </w:rPr>
            </w:pPr>
            <w:r w:rsidRPr="00EF6679">
              <w:rPr>
                <w:rFonts w:ascii="Times New Roman" w:hAnsi="Times New Roman" w:cs="Times New Roman"/>
                <w:color w:val="000000" w:themeColor="text1"/>
                <w:sz w:val="13"/>
                <w:szCs w:val="13"/>
              </w:rPr>
              <w:t>0.9595</w:t>
            </w:r>
          </w:p>
        </w:tc>
      </w:tr>
      <w:tr w:rsidR="00BB138C" w:rsidRPr="00EF6679" w14:paraId="58949D70" w14:textId="77777777" w:rsidTr="00820288">
        <w:tblPrEx>
          <w:jc w:val="lef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trHeight w:val="144"/>
        </w:trPr>
        <w:tc>
          <w:tcPr>
            <w:tcW w:w="2340" w:type="dxa"/>
            <w:tcBorders>
              <w:top w:val="nil"/>
              <w:left w:val="nil"/>
              <w:bottom w:val="nil"/>
              <w:right w:val="nil"/>
            </w:tcBorders>
            <w:noWrap/>
            <w:hideMark/>
          </w:tcPr>
          <w:p w14:paraId="78204892" w14:textId="77777777" w:rsidR="00BB138C" w:rsidRPr="00EF6679" w:rsidRDefault="00BB138C" w:rsidP="00820288">
            <w:pPr>
              <w:spacing w:line="240" w:lineRule="auto"/>
              <w:rPr>
                <w:rFonts w:ascii="Times New Roman" w:eastAsia="Times New Roman" w:hAnsi="Times New Roman" w:cs="Times New Roman"/>
                <w:color w:val="000000" w:themeColor="text1"/>
                <w:sz w:val="13"/>
                <w:szCs w:val="13"/>
              </w:rPr>
            </w:pPr>
            <w:r w:rsidRPr="00EF6679">
              <w:rPr>
                <w:rFonts w:ascii="Times New Roman" w:eastAsia="Times New Roman" w:hAnsi="Times New Roman" w:cs="Times New Roman"/>
                <w:color w:val="000000" w:themeColor="text1"/>
                <w:sz w:val="13"/>
                <w:szCs w:val="13"/>
              </w:rPr>
              <w:t xml:space="preserve">2-Isobutylthiazole       </w:t>
            </w:r>
          </w:p>
        </w:tc>
        <w:tc>
          <w:tcPr>
            <w:tcW w:w="939" w:type="dxa"/>
            <w:tcBorders>
              <w:top w:val="nil"/>
              <w:left w:val="nil"/>
              <w:bottom w:val="nil"/>
              <w:right w:val="nil"/>
            </w:tcBorders>
            <w:noWrap/>
            <w:vAlign w:val="center"/>
            <w:hideMark/>
          </w:tcPr>
          <w:p w14:paraId="098D0F50" w14:textId="77777777" w:rsidR="00BB138C" w:rsidRPr="00EF6679" w:rsidRDefault="00BB138C" w:rsidP="00820288">
            <w:pPr>
              <w:spacing w:line="240" w:lineRule="auto"/>
              <w:jc w:val="center"/>
              <w:rPr>
                <w:rFonts w:ascii="Times New Roman" w:eastAsia="Times New Roman" w:hAnsi="Times New Roman" w:cs="Times New Roman"/>
                <w:color w:val="000000" w:themeColor="text1"/>
                <w:sz w:val="13"/>
                <w:szCs w:val="13"/>
              </w:rPr>
            </w:pPr>
            <w:r w:rsidRPr="00EF6679">
              <w:rPr>
                <w:rFonts w:ascii="Times New Roman" w:eastAsia="Times New Roman" w:hAnsi="Times New Roman" w:cs="Times New Roman"/>
                <w:color w:val="000000" w:themeColor="text1"/>
                <w:sz w:val="13"/>
                <w:szCs w:val="13"/>
              </w:rPr>
              <w:t>18640-74-9</w:t>
            </w:r>
          </w:p>
        </w:tc>
        <w:tc>
          <w:tcPr>
            <w:tcW w:w="1152" w:type="dxa"/>
            <w:tcBorders>
              <w:top w:val="nil"/>
              <w:left w:val="nil"/>
              <w:bottom w:val="nil"/>
              <w:right w:val="nil"/>
            </w:tcBorders>
            <w:noWrap/>
            <w:vAlign w:val="center"/>
            <w:hideMark/>
          </w:tcPr>
          <w:p w14:paraId="039136B9" w14:textId="77777777" w:rsidR="00BB138C" w:rsidRPr="00EF6679" w:rsidRDefault="00BB138C" w:rsidP="00820288">
            <w:pPr>
              <w:spacing w:line="240" w:lineRule="auto"/>
              <w:jc w:val="center"/>
              <w:rPr>
                <w:rFonts w:ascii="Times New Roman" w:eastAsia="Times New Roman" w:hAnsi="Times New Roman" w:cs="Times New Roman"/>
                <w:color w:val="000000" w:themeColor="text1"/>
                <w:sz w:val="13"/>
                <w:szCs w:val="13"/>
              </w:rPr>
            </w:pPr>
            <w:r w:rsidRPr="00EF6679">
              <w:rPr>
                <w:rFonts w:ascii="Times New Roman" w:eastAsia="Times New Roman" w:hAnsi="Times New Roman" w:cs="Times New Roman"/>
                <w:color w:val="000000" w:themeColor="text1"/>
                <w:sz w:val="13"/>
                <w:szCs w:val="13"/>
              </w:rPr>
              <w:t>14.816</w:t>
            </w:r>
          </w:p>
        </w:tc>
        <w:tc>
          <w:tcPr>
            <w:tcW w:w="864" w:type="dxa"/>
            <w:tcBorders>
              <w:top w:val="nil"/>
              <w:left w:val="nil"/>
              <w:bottom w:val="nil"/>
              <w:right w:val="nil"/>
            </w:tcBorders>
            <w:noWrap/>
            <w:vAlign w:val="center"/>
            <w:hideMark/>
          </w:tcPr>
          <w:p w14:paraId="74ED15B2" w14:textId="77777777" w:rsidR="00BB138C" w:rsidRPr="00EF6679" w:rsidRDefault="00BB138C" w:rsidP="00820288">
            <w:pPr>
              <w:spacing w:line="240" w:lineRule="auto"/>
              <w:jc w:val="center"/>
              <w:rPr>
                <w:rFonts w:ascii="Times New Roman" w:eastAsia="Times New Roman" w:hAnsi="Times New Roman" w:cs="Times New Roman"/>
                <w:color w:val="000000" w:themeColor="text1"/>
                <w:sz w:val="13"/>
                <w:szCs w:val="13"/>
              </w:rPr>
            </w:pPr>
            <w:r w:rsidRPr="00EF6679">
              <w:rPr>
                <w:rFonts w:ascii="Times New Roman" w:eastAsia="Times New Roman" w:hAnsi="Times New Roman" w:cs="Times New Roman"/>
                <w:color w:val="000000" w:themeColor="text1"/>
                <w:sz w:val="13"/>
                <w:szCs w:val="13"/>
              </w:rPr>
              <w:t>0.52</w:t>
            </w:r>
          </w:p>
        </w:tc>
        <w:tc>
          <w:tcPr>
            <w:tcW w:w="720" w:type="dxa"/>
            <w:tcBorders>
              <w:top w:val="nil"/>
              <w:left w:val="nil"/>
              <w:bottom w:val="nil"/>
              <w:right w:val="nil"/>
            </w:tcBorders>
            <w:noWrap/>
            <w:vAlign w:val="center"/>
            <w:hideMark/>
          </w:tcPr>
          <w:p w14:paraId="46663A3C" w14:textId="77777777" w:rsidR="00BB138C" w:rsidRPr="00EF6679" w:rsidRDefault="00BB138C" w:rsidP="00820288">
            <w:pPr>
              <w:spacing w:line="240" w:lineRule="auto"/>
              <w:jc w:val="center"/>
              <w:rPr>
                <w:rFonts w:ascii="Times New Roman" w:eastAsia="Times New Roman" w:hAnsi="Times New Roman" w:cs="Times New Roman"/>
                <w:color w:val="000000" w:themeColor="text1"/>
                <w:sz w:val="13"/>
                <w:szCs w:val="13"/>
              </w:rPr>
            </w:pPr>
            <w:r w:rsidRPr="00EF6679">
              <w:rPr>
                <w:rFonts w:ascii="Times New Roman" w:eastAsia="Times New Roman" w:hAnsi="Times New Roman" w:cs="Times New Roman"/>
                <w:color w:val="000000" w:themeColor="text1"/>
                <w:sz w:val="13"/>
                <w:szCs w:val="13"/>
              </w:rPr>
              <w:t>2.49</w:t>
            </w:r>
          </w:p>
        </w:tc>
        <w:tc>
          <w:tcPr>
            <w:tcW w:w="864" w:type="dxa"/>
            <w:tcBorders>
              <w:top w:val="nil"/>
              <w:left w:val="nil"/>
              <w:bottom w:val="nil"/>
              <w:right w:val="nil"/>
            </w:tcBorders>
            <w:noWrap/>
            <w:vAlign w:val="center"/>
            <w:hideMark/>
          </w:tcPr>
          <w:p w14:paraId="5AD4F147" w14:textId="77777777" w:rsidR="00BB138C" w:rsidRPr="00EF6679" w:rsidRDefault="00BB138C" w:rsidP="00820288">
            <w:pPr>
              <w:spacing w:line="240" w:lineRule="auto"/>
              <w:jc w:val="center"/>
              <w:rPr>
                <w:rFonts w:ascii="Times New Roman" w:eastAsia="Times New Roman" w:hAnsi="Times New Roman" w:cs="Times New Roman"/>
                <w:color w:val="000000" w:themeColor="text1"/>
                <w:sz w:val="13"/>
                <w:szCs w:val="13"/>
              </w:rPr>
            </w:pPr>
            <w:r w:rsidRPr="00EF6679">
              <w:rPr>
                <w:rFonts w:ascii="Times New Roman" w:eastAsia="Times New Roman" w:hAnsi="Times New Roman" w:cs="Times New Roman"/>
                <w:color w:val="000000" w:themeColor="text1"/>
                <w:sz w:val="13"/>
                <w:szCs w:val="13"/>
              </w:rPr>
              <w:t>1.39</w:t>
            </w:r>
          </w:p>
        </w:tc>
        <w:tc>
          <w:tcPr>
            <w:tcW w:w="410" w:type="dxa"/>
            <w:tcBorders>
              <w:top w:val="nil"/>
              <w:left w:val="nil"/>
              <w:bottom w:val="nil"/>
              <w:right w:val="nil"/>
            </w:tcBorders>
            <w:noWrap/>
          </w:tcPr>
          <w:p w14:paraId="363916B2" w14:textId="77777777" w:rsidR="00BB138C" w:rsidRPr="00EF6679" w:rsidRDefault="00BB138C" w:rsidP="00820288">
            <w:pPr>
              <w:spacing w:line="240" w:lineRule="auto"/>
              <w:jc w:val="right"/>
              <w:rPr>
                <w:rFonts w:ascii="Times New Roman" w:eastAsia="Times New Roman" w:hAnsi="Times New Roman" w:cs="Times New Roman"/>
                <w:color w:val="000000" w:themeColor="text1"/>
                <w:sz w:val="13"/>
                <w:szCs w:val="13"/>
              </w:rPr>
            </w:pPr>
          </w:p>
        </w:tc>
        <w:tc>
          <w:tcPr>
            <w:tcW w:w="864" w:type="dxa"/>
            <w:tcBorders>
              <w:top w:val="nil"/>
              <w:left w:val="nil"/>
              <w:bottom w:val="nil"/>
              <w:right w:val="nil"/>
            </w:tcBorders>
            <w:noWrap/>
            <w:vAlign w:val="bottom"/>
            <w:hideMark/>
          </w:tcPr>
          <w:p w14:paraId="472885B4" w14:textId="77777777" w:rsidR="00BB138C" w:rsidRPr="00EF6679" w:rsidRDefault="00BB138C" w:rsidP="00820288">
            <w:pPr>
              <w:spacing w:line="240" w:lineRule="auto"/>
              <w:jc w:val="center"/>
              <w:rPr>
                <w:rFonts w:ascii="Times New Roman" w:eastAsia="Times New Roman" w:hAnsi="Times New Roman" w:cs="Times New Roman"/>
                <w:color w:val="000000" w:themeColor="text1"/>
                <w:sz w:val="13"/>
                <w:szCs w:val="13"/>
              </w:rPr>
            </w:pPr>
            <w:r w:rsidRPr="00EF6679">
              <w:rPr>
                <w:rFonts w:ascii="Times New Roman" w:hAnsi="Times New Roman" w:cs="Times New Roman"/>
                <w:color w:val="000000" w:themeColor="text1"/>
                <w:sz w:val="13"/>
                <w:szCs w:val="13"/>
              </w:rPr>
              <w:t>0.4711</w:t>
            </w:r>
          </w:p>
        </w:tc>
        <w:tc>
          <w:tcPr>
            <w:tcW w:w="720" w:type="dxa"/>
            <w:tcBorders>
              <w:top w:val="nil"/>
              <w:left w:val="nil"/>
              <w:bottom w:val="nil"/>
              <w:right w:val="nil"/>
            </w:tcBorders>
            <w:noWrap/>
            <w:vAlign w:val="bottom"/>
            <w:hideMark/>
          </w:tcPr>
          <w:p w14:paraId="789E1876" w14:textId="77777777" w:rsidR="00BB138C" w:rsidRPr="00EF6679" w:rsidRDefault="00BB138C" w:rsidP="00820288">
            <w:pPr>
              <w:spacing w:line="240" w:lineRule="auto"/>
              <w:jc w:val="center"/>
              <w:rPr>
                <w:rFonts w:ascii="Times New Roman" w:eastAsia="Times New Roman" w:hAnsi="Times New Roman" w:cs="Times New Roman"/>
                <w:color w:val="000000" w:themeColor="text1"/>
                <w:sz w:val="13"/>
                <w:szCs w:val="13"/>
              </w:rPr>
            </w:pPr>
            <w:r w:rsidRPr="00EF6679">
              <w:rPr>
                <w:rFonts w:ascii="Times New Roman" w:hAnsi="Times New Roman" w:cs="Times New Roman"/>
                <w:color w:val="000000" w:themeColor="text1"/>
                <w:sz w:val="13"/>
                <w:szCs w:val="13"/>
              </w:rPr>
              <w:t>0.0060</w:t>
            </w:r>
          </w:p>
        </w:tc>
        <w:tc>
          <w:tcPr>
            <w:tcW w:w="864" w:type="dxa"/>
            <w:tcBorders>
              <w:top w:val="nil"/>
              <w:left w:val="nil"/>
              <w:bottom w:val="nil"/>
              <w:right w:val="nil"/>
            </w:tcBorders>
            <w:noWrap/>
            <w:vAlign w:val="bottom"/>
            <w:hideMark/>
          </w:tcPr>
          <w:p w14:paraId="641D7168" w14:textId="77777777" w:rsidR="00BB138C" w:rsidRPr="00EF6679" w:rsidRDefault="00BB138C" w:rsidP="00820288">
            <w:pPr>
              <w:spacing w:line="240" w:lineRule="auto"/>
              <w:jc w:val="center"/>
              <w:rPr>
                <w:rFonts w:ascii="Times New Roman" w:eastAsia="Times New Roman" w:hAnsi="Times New Roman" w:cs="Times New Roman"/>
                <w:color w:val="000000" w:themeColor="text1"/>
                <w:sz w:val="13"/>
                <w:szCs w:val="13"/>
              </w:rPr>
            </w:pPr>
            <w:r w:rsidRPr="00EF6679">
              <w:rPr>
                <w:rFonts w:ascii="Times New Roman" w:hAnsi="Times New Roman" w:cs="Times New Roman"/>
                <w:color w:val="000000" w:themeColor="text1"/>
                <w:sz w:val="13"/>
                <w:szCs w:val="13"/>
              </w:rPr>
              <w:t>0.1797</w:t>
            </w:r>
          </w:p>
        </w:tc>
      </w:tr>
      <w:tr w:rsidR="00BB138C" w:rsidRPr="00EF6679" w14:paraId="74A3F4B3" w14:textId="77777777" w:rsidTr="00820288">
        <w:tblPrEx>
          <w:jc w:val="lef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trHeight w:val="144"/>
        </w:trPr>
        <w:tc>
          <w:tcPr>
            <w:tcW w:w="2340" w:type="dxa"/>
            <w:tcBorders>
              <w:top w:val="nil"/>
              <w:left w:val="nil"/>
              <w:bottom w:val="nil"/>
              <w:right w:val="nil"/>
            </w:tcBorders>
            <w:noWrap/>
            <w:hideMark/>
          </w:tcPr>
          <w:p w14:paraId="5868B8CA" w14:textId="77777777" w:rsidR="00BB138C" w:rsidRPr="00EF6679" w:rsidRDefault="00BB138C" w:rsidP="00820288">
            <w:pPr>
              <w:spacing w:line="240" w:lineRule="auto"/>
              <w:rPr>
                <w:rFonts w:ascii="Times New Roman" w:eastAsia="Times New Roman" w:hAnsi="Times New Roman" w:cs="Times New Roman"/>
                <w:color w:val="000000" w:themeColor="text1"/>
                <w:sz w:val="13"/>
                <w:szCs w:val="13"/>
              </w:rPr>
            </w:pPr>
            <w:r w:rsidRPr="00EF6679">
              <w:rPr>
                <w:rFonts w:ascii="Times New Roman" w:eastAsia="Times New Roman" w:hAnsi="Times New Roman" w:cs="Times New Roman"/>
                <w:color w:val="000000" w:themeColor="text1"/>
                <w:sz w:val="13"/>
                <w:szCs w:val="13"/>
              </w:rPr>
              <w:t xml:space="preserve">(R)+Limonene             </w:t>
            </w:r>
          </w:p>
        </w:tc>
        <w:tc>
          <w:tcPr>
            <w:tcW w:w="939" w:type="dxa"/>
            <w:tcBorders>
              <w:top w:val="nil"/>
              <w:left w:val="nil"/>
              <w:bottom w:val="nil"/>
              <w:right w:val="nil"/>
            </w:tcBorders>
            <w:noWrap/>
            <w:vAlign w:val="center"/>
            <w:hideMark/>
          </w:tcPr>
          <w:p w14:paraId="4485F4D3" w14:textId="77777777" w:rsidR="00BB138C" w:rsidRPr="00EF6679" w:rsidRDefault="00BB138C" w:rsidP="00820288">
            <w:pPr>
              <w:spacing w:line="240" w:lineRule="auto"/>
              <w:jc w:val="center"/>
              <w:rPr>
                <w:rFonts w:ascii="Times New Roman" w:eastAsia="Times New Roman" w:hAnsi="Times New Roman" w:cs="Times New Roman"/>
                <w:color w:val="000000" w:themeColor="text1"/>
                <w:sz w:val="13"/>
                <w:szCs w:val="13"/>
              </w:rPr>
            </w:pPr>
            <w:r w:rsidRPr="00EF6679">
              <w:rPr>
                <w:rFonts w:ascii="Times New Roman" w:eastAsia="Times New Roman" w:hAnsi="Times New Roman" w:cs="Times New Roman"/>
                <w:color w:val="000000" w:themeColor="text1"/>
                <w:sz w:val="13"/>
                <w:szCs w:val="13"/>
              </w:rPr>
              <w:t>5989-27-5</w:t>
            </w:r>
          </w:p>
        </w:tc>
        <w:tc>
          <w:tcPr>
            <w:tcW w:w="1152" w:type="dxa"/>
            <w:tcBorders>
              <w:top w:val="nil"/>
              <w:left w:val="nil"/>
              <w:bottom w:val="nil"/>
              <w:right w:val="nil"/>
            </w:tcBorders>
            <w:noWrap/>
            <w:vAlign w:val="center"/>
            <w:hideMark/>
          </w:tcPr>
          <w:p w14:paraId="620E1B84" w14:textId="77777777" w:rsidR="00BB138C" w:rsidRPr="00EF6679" w:rsidRDefault="00BB138C" w:rsidP="00820288">
            <w:pPr>
              <w:spacing w:line="240" w:lineRule="auto"/>
              <w:jc w:val="center"/>
              <w:rPr>
                <w:rFonts w:ascii="Times New Roman" w:eastAsia="Times New Roman" w:hAnsi="Times New Roman" w:cs="Times New Roman"/>
                <w:color w:val="000000" w:themeColor="text1"/>
                <w:sz w:val="13"/>
                <w:szCs w:val="13"/>
              </w:rPr>
            </w:pPr>
            <w:r w:rsidRPr="00EF6679">
              <w:rPr>
                <w:rFonts w:ascii="Times New Roman" w:eastAsia="Times New Roman" w:hAnsi="Times New Roman" w:cs="Times New Roman"/>
                <w:color w:val="000000" w:themeColor="text1"/>
                <w:sz w:val="13"/>
                <w:szCs w:val="13"/>
              </w:rPr>
              <w:t>14.918</w:t>
            </w:r>
          </w:p>
        </w:tc>
        <w:tc>
          <w:tcPr>
            <w:tcW w:w="864" w:type="dxa"/>
            <w:tcBorders>
              <w:top w:val="nil"/>
              <w:left w:val="nil"/>
              <w:bottom w:val="nil"/>
              <w:right w:val="nil"/>
            </w:tcBorders>
            <w:noWrap/>
            <w:vAlign w:val="center"/>
            <w:hideMark/>
          </w:tcPr>
          <w:p w14:paraId="52428120" w14:textId="77777777" w:rsidR="00BB138C" w:rsidRPr="00EF6679" w:rsidRDefault="00BB138C" w:rsidP="00820288">
            <w:pPr>
              <w:spacing w:line="240" w:lineRule="auto"/>
              <w:jc w:val="center"/>
              <w:rPr>
                <w:rFonts w:ascii="Times New Roman" w:eastAsia="Times New Roman" w:hAnsi="Times New Roman" w:cs="Times New Roman"/>
                <w:color w:val="000000" w:themeColor="text1"/>
                <w:sz w:val="13"/>
                <w:szCs w:val="13"/>
              </w:rPr>
            </w:pPr>
            <w:r w:rsidRPr="00EF6679">
              <w:rPr>
                <w:rFonts w:ascii="Times New Roman" w:eastAsia="Times New Roman" w:hAnsi="Times New Roman" w:cs="Times New Roman"/>
                <w:color w:val="000000" w:themeColor="text1"/>
                <w:sz w:val="13"/>
                <w:szCs w:val="13"/>
              </w:rPr>
              <w:t>10.19</w:t>
            </w:r>
          </w:p>
        </w:tc>
        <w:tc>
          <w:tcPr>
            <w:tcW w:w="720" w:type="dxa"/>
            <w:tcBorders>
              <w:top w:val="nil"/>
              <w:left w:val="nil"/>
              <w:bottom w:val="nil"/>
              <w:right w:val="nil"/>
            </w:tcBorders>
            <w:noWrap/>
            <w:vAlign w:val="center"/>
            <w:hideMark/>
          </w:tcPr>
          <w:p w14:paraId="5C609139" w14:textId="77777777" w:rsidR="00BB138C" w:rsidRPr="00EF6679" w:rsidRDefault="00BB138C" w:rsidP="00820288">
            <w:pPr>
              <w:spacing w:line="240" w:lineRule="auto"/>
              <w:jc w:val="center"/>
              <w:rPr>
                <w:rFonts w:ascii="Times New Roman" w:eastAsia="Times New Roman" w:hAnsi="Times New Roman" w:cs="Times New Roman"/>
                <w:color w:val="000000" w:themeColor="text1"/>
                <w:sz w:val="13"/>
                <w:szCs w:val="13"/>
              </w:rPr>
            </w:pPr>
            <w:r w:rsidRPr="00EF6679">
              <w:rPr>
                <w:rFonts w:ascii="Times New Roman" w:eastAsia="Times New Roman" w:hAnsi="Times New Roman" w:cs="Times New Roman"/>
                <w:color w:val="000000" w:themeColor="text1"/>
                <w:sz w:val="13"/>
                <w:szCs w:val="13"/>
              </w:rPr>
              <w:t>1.99</w:t>
            </w:r>
          </w:p>
        </w:tc>
        <w:tc>
          <w:tcPr>
            <w:tcW w:w="864" w:type="dxa"/>
            <w:tcBorders>
              <w:top w:val="nil"/>
              <w:left w:val="nil"/>
              <w:bottom w:val="nil"/>
              <w:right w:val="nil"/>
            </w:tcBorders>
            <w:noWrap/>
            <w:vAlign w:val="center"/>
            <w:hideMark/>
          </w:tcPr>
          <w:p w14:paraId="7FB0276C" w14:textId="77777777" w:rsidR="00BB138C" w:rsidRPr="00EF6679" w:rsidRDefault="00BB138C" w:rsidP="00820288">
            <w:pPr>
              <w:spacing w:line="240" w:lineRule="auto"/>
              <w:jc w:val="center"/>
              <w:rPr>
                <w:rFonts w:ascii="Times New Roman" w:eastAsia="Times New Roman" w:hAnsi="Times New Roman" w:cs="Times New Roman"/>
                <w:color w:val="000000" w:themeColor="text1"/>
                <w:sz w:val="13"/>
                <w:szCs w:val="13"/>
              </w:rPr>
            </w:pPr>
            <w:r w:rsidRPr="00EF6679">
              <w:rPr>
                <w:rFonts w:ascii="Times New Roman" w:eastAsia="Times New Roman" w:hAnsi="Times New Roman" w:cs="Times New Roman"/>
                <w:color w:val="000000" w:themeColor="text1"/>
                <w:sz w:val="13"/>
                <w:szCs w:val="13"/>
              </w:rPr>
              <w:t>2.73</w:t>
            </w:r>
          </w:p>
        </w:tc>
        <w:tc>
          <w:tcPr>
            <w:tcW w:w="410" w:type="dxa"/>
            <w:tcBorders>
              <w:top w:val="nil"/>
              <w:left w:val="nil"/>
              <w:bottom w:val="nil"/>
              <w:right w:val="nil"/>
            </w:tcBorders>
            <w:noWrap/>
          </w:tcPr>
          <w:p w14:paraId="23E553C5" w14:textId="77777777" w:rsidR="00BB138C" w:rsidRPr="00EF6679" w:rsidRDefault="00BB138C" w:rsidP="00820288">
            <w:pPr>
              <w:spacing w:line="240" w:lineRule="auto"/>
              <w:jc w:val="right"/>
              <w:rPr>
                <w:rFonts w:ascii="Times New Roman" w:eastAsia="Times New Roman" w:hAnsi="Times New Roman" w:cs="Times New Roman"/>
                <w:color w:val="000000" w:themeColor="text1"/>
                <w:sz w:val="13"/>
                <w:szCs w:val="13"/>
              </w:rPr>
            </w:pPr>
          </w:p>
        </w:tc>
        <w:tc>
          <w:tcPr>
            <w:tcW w:w="864" w:type="dxa"/>
            <w:tcBorders>
              <w:top w:val="nil"/>
              <w:left w:val="nil"/>
              <w:bottom w:val="nil"/>
              <w:right w:val="nil"/>
            </w:tcBorders>
            <w:noWrap/>
            <w:vAlign w:val="bottom"/>
            <w:hideMark/>
          </w:tcPr>
          <w:p w14:paraId="2FCB7805" w14:textId="77777777" w:rsidR="00BB138C" w:rsidRPr="00EF6679" w:rsidRDefault="00BB138C" w:rsidP="00820288">
            <w:pPr>
              <w:spacing w:line="240" w:lineRule="auto"/>
              <w:jc w:val="center"/>
              <w:rPr>
                <w:rFonts w:ascii="Times New Roman" w:eastAsia="Times New Roman" w:hAnsi="Times New Roman" w:cs="Times New Roman"/>
                <w:color w:val="000000" w:themeColor="text1"/>
                <w:sz w:val="13"/>
                <w:szCs w:val="13"/>
              </w:rPr>
            </w:pPr>
            <w:r w:rsidRPr="00EF6679">
              <w:rPr>
                <w:rFonts w:ascii="Times New Roman" w:hAnsi="Times New Roman" w:cs="Times New Roman"/>
                <w:color w:val="000000" w:themeColor="text1"/>
                <w:sz w:val="13"/>
                <w:szCs w:val="13"/>
              </w:rPr>
              <w:t>0.0016</w:t>
            </w:r>
          </w:p>
        </w:tc>
        <w:tc>
          <w:tcPr>
            <w:tcW w:w="720" w:type="dxa"/>
            <w:tcBorders>
              <w:top w:val="nil"/>
              <w:left w:val="nil"/>
              <w:bottom w:val="nil"/>
              <w:right w:val="nil"/>
            </w:tcBorders>
            <w:noWrap/>
            <w:vAlign w:val="bottom"/>
            <w:hideMark/>
          </w:tcPr>
          <w:p w14:paraId="2BC82E49" w14:textId="77777777" w:rsidR="00BB138C" w:rsidRPr="00EF6679" w:rsidRDefault="00BB138C" w:rsidP="00820288">
            <w:pPr>
              <w:spacing w:line="240" w:lineRule="auto"/>
              <w:jc w:val="center"/>
              <w:rPr>
                <w:rFonts w:ascii="Times New Roman" w:eastAsia="Times New Roman" w:hAnsi="Times New Roman" w:cs="Times New Roman"/>
                <w:color w:val="000000" w:themeColor="text1"/>
                <w:sz w:val="13"/>
                <w:szCs w:val="13"/>
              </w:rPr>
            </w:pPr>
            <w:r w:rsidRPr="00EF6679">
              <w:rPr>
                <w:rFonts w:ascii="Times New Roman" w:hAnsi="Times New Roman" w:cs="Times New Roman"/>
                <w:color w:val="000000" w:themeColor="text1"/>
                <w:sz w:val="13"/>
                <w:szCs w:val="13"/>
              </w:rPr>
              <w:t>0.0305</w:t>
            </w:r>
          </w:p>
        </w:tc>
        <w:tc>
          <w:tcPr>
            <w:tcW w:w="864" w:type="dxa"/>
            <w:tcBorders>
              <w:top w:val="nil"/>
              <w:left w:val="nil"/>
              <w:bottom w:val="nil"/>
              <w:right w:val="nil"/>
            </w:tcBorders>
            <w:noWrap/>
            <w:vAlign w:val="bottom"/>
            <w:hideMark/>
          </w:tcPr>
          <w:p w14:paraId="39A47186" w14:textId="77777777" w:rsidR="00BB138C" w:rsidRPr="00EF6679" w:rsidRDefault="00BB138C" w:rsidP="00820288">
            <w:pPr>
              <w:spacing w:line="240" w:lineRule="auto"/>
              <w:jc w:val="center"/>
              <w:rPr>
                <w:rFonts w:ascii="Times New Roman" w:eastAsia="Times New Roman" w:hAnsi="Times New Roman" w:cs="Times New Roman"/>
                <w:color w:val="000000" w:themeColor="text1"/>
                <w:sz w:val="13"/>
                <w:szCs w:val="13"/>
              </w:rPr>
            </w:pPr>
            <w:r w:rsidRPr="00EF6679">
              <w:rPr>
                <w:rFonts w:ascii="Times New Roman" w:hAnsi="Times New Roman" w:cs="Times New Roman"/>
                <w:color w:val="000000" w:themeColor="text1"/>
                <w:sz w:val="13"/>
                <w:szCs w:val="13"/>
              </w:rPr>
              <w:t>0.0026</w:t>
            </w:r>
          </w:p>
        </w:tc>
      </w:tr>
      <w:tr w:rsidR="00BB138C" w:rsidRPr="00EF6679" w14:paraId="48B3E12D" w14:textId="77777777" w:rsidTr="00820288">
        <w:tblPrEx>
          <w:jc w:val="lef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trHeight w:val="144"/>
        </w:trPr>
        <w:tc>
          <w:tcPr>
            <w:tcW w:w="2340" w:type="dxa"/>
            <w:tcBorders>
              <w:top w:val="nil"/>
              <w:left w:val="nil"/>
              <w:bottom w:val="nil"/>
              <w:right w:val="nil"/>
            </w:tcBorders>
            <w:noWrap/>
            <w:hideMark/>
          </w:tcPr>
          <w:p w14:paraId="50EF5AC2" w14:textId="77777777" w:rsidR="00BB138C" w:rsidRPr="00EF6679" w:rsidRDefault="00BB138C" w:rsidP="00820288">
            <w:pPr>
              <w:spacing w:line="240" w:lineRule="auto"/>
              <w:rPr>
                <w:rFonts w:ascii="Times New Roman" w:eastAsia="Times New Roman" w:hAnsi="Times New Roman" w:cs="Times New Roman"/>
                <w:color w:val="000000" w:themeColor="text1"/>
                <w:sz w:val="13"/>
                <w:szCs w:val="13"/>
              </w:rPr>
            </w:pPr>
            <w:r w:rsidRPr="00EF6679">
              <w:rPr>
                <w:rFonts w:ascii="Times New Roman" w:eastAsia="Times New Roman" w:hAnsi="Times New Roman" w:cs="Times New Roman"/>
                <w:color w:val="000000" w:themeColor="text1"/>
                <w:sz w:val="13"/>
                <w:szCs w:val="13"/>
              </w:rPr>
              <w:t>1,3,6-Octatriene, 3,7-dimethy-, (E)</w:t>
            </w:r>
          </w:p>
        </w:tc>
        <w:tc>
          <w:tcPr>
            <w:tcW w:w="939" w:type="dxa"/>
            <w:tcBorders>
              <w:top w:val="nil"/>
              <w:left w:val="nil"/>
              <w:bottom w:val="nil"/>
              <w:right w:val="nil"/>
            </w:tcBorders>
            <w:noWrap/>
            <w:vAlign w:val="center"/>
            <w:hideMark/>
          </w:tcPr>
          <w:p w14:paraId="09799554" w14:textId="77777777" w:rsidR="00BB138C" w:rsidRPr="00EF6679" w:rsidRDefault="00BB138C" w:rsidP="00820288">
            <w:pPr>
              <w:spacing w:line="240" w:lineRule="auto"/>
              <w:jc w:val="center"/>
              <w:rPr>
                <w:rFonts w:ascii="Times New Roman" w:eastAsia="Times New Roman" w:hAnsi="Times New Roman" w:cs="Times New Roman"/>
                <w:color w:val="000000" w:themeColor="text1"/>
                <w:sz w:val="13"/>
                <w:szCs w:val="13"/>
              </w:rPr>
            </w:pPr>
            <w:r w:rsidRPr="00EF6679">
              <w:rPr>
                <w:rFonts w:ascii="Times New Roman" w:eastAsia="Times New Roman" w:hAnsi="Times New Roman" w:cs="Times New Roman"/>
                <w:color w:val="000000" w:themeColor="text1"/>
                <w:sz w:val="13"/>
                <w:szCs w:val="13"/>
              </w:rPr>
              <w:t>3779-61-1</w:t>
            </w:r>
          </w:p>
        </w:tc>
        <w:tc>
          <w:tcPr>
            <w:tcW w:w="1152" w:type="dxa"/>
            <w:tcBorders>
              <w:top w:val="nil"/>
              <w:left w:val="nil"/>
              <w:bottom w:val="nil"/>
              <w:right w:val="nil"/>
            </w:tcBorders>
            <w:noWrap/>
            <w:vAlign w:val="center"/>
            <w:hideMark/>
          </w:tcPr>
          <w:p w14:paraId="18626A9F" w14:textId="77777777" w:rsidR="00BB138C" w:rsidRPr="00EF6679" w:rsidRDefault="00BB138C" w:rsidP="00820288">
            <w:pPr>
              <w:spacing w:line="240" w:lineRule="auto"/>
              <w:jc w:val="center"/>
              <w:rPr>
                <w:rFonts w:ascii="Times New Roman" w:eastAsia="Times New Roman" w:hAnsi="Times New Roman" w:cs="Times New Roman"/>
                <w:color w:val="000000" w:themeColor="text1"/>
                <w:sz w:val="13"/>
                <w:szCs w:val="13"/>
              </w:rPr>
            </w:pPr>
            <w:r w:rsidRPr="00EF6679">
              <w:rPr>
                <w:rFonts w:ascii="Times New Roman" w:eastAsia="Times New Roman" w:hAnsi="Times New Roman" w:cs="Times New Roman"/>
                <w:color w:val="000000" w:themeColor="text1"/>
                <w:sz w:val="13"/>
                <w:szCs w:val="13"/>
              </w:rPr>
              <w:t>14.920</w:t>
            </w:r>
          </w:p>
        </w:tc>
        <w:tc>
          <w:tcPr>
            <w:tcW w:w="864" w:type="dxa"/>
            <w:tcBorders>
              <w:top w:val="nil"/>
              <w:left w:val="nil"/>
              <w:bottom w:val="nil"/>
              <w:right w:val="nil"/>
            </w:tcBorders>
            <w:noWrap/>
            <w:vAlign w:val="center"/>
            <w:hideMark/>
          </w:tcPr>
          <w:p w14:paraId="12A10498" w14:textId="77777777" w:rsidR="00BB138C" w:rsidRPr="00EF6679" w:rsidRDefault="00BB138C" w:rsidP="00820288">
            <w:pPr>
              <w:spacing w:line="240" w:lineRule="auto"/>
              <w:jc w:val="center"/>
              <w:rPr>
                <w:rFonts w:ascii="Times New Roman" w:eastAsia="Times New Roman" w:hAnsi="Times New Roman" w:cs="Times New Roman"/>
                <w:color w:val="000000" w:themeColor="text1"/>
                <w:sz w:val="13"/>
                <w:szCs w:val="13"/>
              </w:rPr>
            </w:pPr>
            <w:r w:rsidRPr="00EF6679">
              <w:rPr>
                <w:rFonts w:ascii="Times New Roman" w:eastAsia="Times New Roman" w:hAnsi="Times New Roman" w:cs="Times New Roman"/>
                <w:color w:val="000000" w:themeColor="text1"/>
                <w:sz w:val="13"/>
                <w:szCs w:val="13"/>
              </w:rPr>
              <w:t>7.77</w:t>
            </w:r>
          </w:p>
        </w:tc>
        <w:tc>
          <w:tcPr>
            <w:tcW w:w="720" w:type="dxa"/>
            <w:tcBorders>
              <w:top w:val="nil"/>
              <w:left w:val="nil"/>
              <w:bottom w:val="nil"/>
              <w:right w:val="nil"/>
            </w:tcBorders>
            <w:noWrap/>
            <w:vAlign w:val="center"/>
            <w:hideMark/>
          </w:tcPr>
          <w:p w14:paraId="463A02DA" w14:textId="77777777" w:rsidR="00BB138C" w:rsidRPr="00EF6679" w:rsidRDefault="00BB138C" w:rsidP="00820288">
            <w:pPr>
              <w:spacing w:line="240" w:lineRule="auto"/>
              <w:jc w:val="center"/>
              <w:rPr>
                <w:rFonts w:ascii="Times New Roman" w:eastAsia="Times New Roman" w:hAnsi="Times New Roman" w:cs="Times New Roman"/>
                <w:color w:val="000000" w:themeColor="text1"/>
                <w:sz w:val="13"/>
                <w:szCs w:val="13"/>
              </w:rPr>
            </w:pPr>
            <w:r w:rsidRPr="00EF6679">
              <w:rPr>
                <w:rFonts w:ascii="Times New Roman" w:eastAsia="Times New Roman" w:hAnsi="Times New Roman" w:cs="Times New Roman"/>
                <w:color w:val="000000" w:themeColor="text1"/>
                <w:sz w:val="13"/>
                <w:szCs w:val="13"/>
              </w:rPr>
              <w:t>1.96</w:t>
            </w:r>
          </w:p>
        </w:tc>
        <w:tc>
          <w:tcPr>
            <w:tcW w:w="864" w:type="dxa"/>
            <w:tcBorders>
              <w:top w:val="nil"/>
              <w:left w:val="nil"/>
              <w:bottom w:val="nil"/>
              <w:right w:val="nil"/>
            </w:tcBorders>
            <w:noWrap/>
            <w:vAlign w:val="center"/>
            <w:hideMark/>
          </w:tcPr>
          <w:p w14:paraId="3A8C318C" w14:textId="77777777" w:rsidR="00BB138C" w:rsidRPr="00EF6679" w:rsidRDefault="00BB138C" w:rsidP="00820288">
            <w:pPr>
              <w:spacing w:line="240" w:lineRule="auto"/>
              <w:jc w:val="center"/>
              <w:rPr>
                <w:rFonts w:ascii="Times New Roman" w:eastAsia="Times New Roman" w:hAnsi="Times New Roman" w:cs="Times New Roman"/>
                <w:color w:val="000000" w:themeColor="text1"/>
                <w:sz w:val="13"/>
                <w:szCs w:val="13"/>
              </w:rPr>
            </w:pPr>
            <w:r w:rsidRPr="00EF6679">
              <w:rPr>
                <w:rFonts w:ascii="Times New Roman" w:eastAsia="Times New Roman" w:hAnsi="Times New Roman" w:cs="Times New Roman"/>
                <w:color w:val="000000" w:themeColor="text1"/>
                <w:sz w:val="13"/>
                <w:szCs w:val="13"/>
              </w:rPr>
              <w:t>2.65</w:t>
            </w:r>
          </w:p>
        </w:tc>
        <w:tc>
          <w:tcPr>
            <w:tcW w:w="410" w:type="dxa"/>
            <w:tcBorders>
              <w:top w:val="nil"/>
              <w:left w:val="nil"/>
              <w:bottom w:val="nil"/>
              <w:right w:val="nil"/>
            </w:tcBorders>
            <w:noWrap/>
          </w:tcPr>
          <w:p w14:paraId="2F55A539" w14:textId="77777777" w:rsidR="00BB138C" w:rsidRPr="00EF6679" w:rsidRDefault="00BB138C" w:rsidP="00820288">
            <w:pPr>
              <w:spacing w:line="240" w:lineRule="auto"/>
              <w:jc w:val="right"/>
              <w:rPr>
                <w:rFonts w:ascii="Times New Roman" w:eastAsia="Times New Roman" w:hAnsi="Times New Roman" w:cs="Times New Roman"/>
                <w:color w:val="000000" w:themeColor="text1"/>
                <w:sz w:val="13"/>
                <w:szCs w:val="13"/>
              </w:rPr>
            </w:pPr>
          </w:p>
        </w:tc>
        <w:tc>
          <w:tcPr>
            <w:tcW w:w="864" w:type="dxa"/>
            <w:tcBorders>
              <w:top w:val="nil"/>
              <w:left w:val="nil"/>
              <w:bottom w:val="nil"/>
              <w:right w:val="nil"/>
            </w:tcBorders>
            <w:noWrap/>
            <w:vAlign w:val="bottom"/>
            <w:hideMark/>
          </w:tcPr>
          <w:p w14:paraId="03B03BA0" w14:textId="77777777" w:rsidR="00BB138C" w:rsidRPr="00EF6679" w:rsidRDefault="00BB138C" w:rsidP="00820288">
            <w:pPr>
              <w:spacing w:line="240" w:lineRule="auto"/>
              <w:jc w:val="center"/>
              <w:rPr>
                <w:rFonts w:ascii="Times New Roman" w:eastAsia="Times New Roman" w:hAnsi="Times New Roman" w:cs="Times New Roman"/>
                <w:color w:val="000000" w:themeColor="text1"/>
                <w:sz w:val="13"/>
                <w:szCs w:val="13"/>
              </w:rPr>
            </w:pPr>
            <w:r w:rsidRPr="00EF6679">
              <w:rPr>
                <w:rFonts w:ascii="Times New Roman" w:hAnsi="Times New Roman" w:cs="Times New Roman"/>
                <w:color w:val="000000" w:themeColor="text1"/>
                <w:sz w:val="13"/>
                <w:szCs w:val="13"/>
              </w:rPr>
              <w:t>0.0058</w:t>
            </w:r>
          </w:p>
        </w:tc>
        <w:tc>
          <w:tcPr>
            <w:tcW w:w="720" w:type="dxa"/>
            <w:tcBorders>
              <w:top w:val="nil"/>
              <w:left w:val="nil"/>
              <w:bottom w:val="nil"/>
              <w:right w:val="nil"/>
            </w:tcBorders>
            <w:noWrap/>
            <w:vAlign w:val="bottom"/>
            <w:hideMark/>
          </w:tcPr>
          <w:p w14:paraId="1AEC1A48" w14:textId="77777777" w:rsidR="00BB138C" w:rsidRPr="00EF6679" w:rsidRDefault="00BB138C" w:rsidP="00820288">
            <w:pPr>
              <w:spacing w:line="240" w:lineRule="auto"/>
              <w:jc w:val="center"/>
              <w:rPr>
                <w:rFonts w:ascii="Times New Roman" w:eastAsia="Times New Roman" w:hAnsi="Times New Roman" w:cs="Times New Roman"/>
                <w:color w:val="000000" w:themeColor="text1"/>
                <w:sz w:val="13"/>
                <w:szCs w:val="13"/>
              </w:rPr>
            </w:pPr>
            <w:r w:rsidRPr="00EF6679">
              <w:rPr>
                <w:rFonts w:ascii="Times New Roman" w:hAnsi="Times New Roman" w:cs="Times New Roman"/>
                <w:color w:val="000000" w:themeColor="text1"/>
                <w:sz w:val="13"/>
                <w:szCs w:val="13"/>
              </w:rPr>
              <w:t>0.0336</w:t>
            </w:r>
          </w:p>
        </w:tc>
        <w:tc>
          <w:tcPr>
            <w:tcW w:w="864" w:type="dxa"/>
            <w:tcBorders>
              <w:top w:val="nil"/>
              <w:left w:val="nil"/>
              <w:bottom w:val="nil"/>
              <w:right w:val="nil"/>
            </w:tcBorders>
            <w:noWrap/>
            <w:vAlign w:val="bottom"/>
            <w:hideMark/>
          </w:tcPr>
          <w:p w14:paraId="6EB8F5A0" w14:textId="77777777" w:rsidR="00BB138C" w:rsidRPr="00EF6679" w:rsidRDefault="00BB138C" w:rsidP="00820288">
            <w:pPr>
              <w:spacing w:line="240" w:lineRule="auto"/>
              <w:jc w:val="center"/>
              <w:rPr>
                <w:rFonts w:ascii="Times New Roman" w:eastAsia="Times New Roman" w:hAnsi="Times New Roman" w:cs="Times New Roman"/>
                <w:color w:val="000000" w:themeColor="text1"/>
                <w:sz w:val="13"/>
                <w:szCs w:val="13"/>
              </w:rPr>
            </w:pPr>
            <w:r w:rsidRPr="00EF6679">
              <w:rPr>
                <w:rFonts w:ascii="Times New Roman" w:hAnsi="Times New Roman" w:cs="Times New Roman"/>
                <w:color w:val="000000" w:themeColor="text1"/>
                <w:sz w:val="13"/>
                <w:szCs w:val="13"/>
              </w:rPr>
              <w:t>0.0034</w:t>
            </w:r>
          </w:p>
        </w:tc>
      </w:tr>
      <w:tr w:rsidR="00BB138C" w:rsidRPr="00EF6679" w14:paraId="0A3298A7" w14:textId="77777777" w:rsidTr="00820288">
        <w:tblPrEx>
          <w:jc w:val="lef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trHeight w:val="144"/>
        </w:trPr>
        <w:tc>
          <w:tcPr>
            <w:tcW w:w="2340" w:type="dxa"/>
            <w:tcBorders>
              <w:top w:val="nil"/>
              <w:left w:val="nil"/>
              <w:bottom w:val="nil"/>
              <w:right w:val="nil"/>
            </w:tcBorders>
            <w:noWrap/>
            <w:hideMark/>
          </w:tcPr>
          <w:p w14:paraId="37D26479" w14:textId="77777777" w:rsidR="00BB138C" w:rsidRPr="00EF6679" w:rsidRDefault="00BB138C" w:rsidP="00820288">
            <w:pPr>
              <w:spacing w:line="240" w:lineRule="auto"/>
              <w:rPr>
                <w:rFonts w:ascii="Times New Roman" w:eastAsia="Times New Roman" w:hAnsi="Times New Roman" w:cs="Times New Roman"/>
                <w:color w:val="000000" w:themeColor="text1"/>
                <w:sz w:val="13"/>
                <w:szCs w:val="13"/>
              </w:rPr>
            </w:pPr>
            <w:r w:rsidRPr="00EF6679">
              <w:rPr>
                <w:rFonts w:ascii="Times New Roman" w:eastAsia="Times New Roman" w:hAnsi="Times New Roman" w:cs="Times New Roman"/>
                <w:color w:val="000000" w:themeColor="text1"/>
                <w:sz w:val="13"/>
                <w:szCs w:val="13"/>
              </w:rPr>
              <w:t xml:space="preserve">(S)-Limonene             </w:t>
            </w:r>
          </w:p>
        </w:tc>
        <w:tc>
          <w:tcPr>
            <w:tcW w:w="939" w:type="dxa"/>
            <w:tcBorders>
              <w:top w:val="nil"/>
              <w:left w:val="nil"/>
              <w:bottom w:val="nil"/>
              <w:right w:val="nil"/>
            </w:tcBorders>
            <w:noWrap/>
            <w:vAlign w:val="center"/>
            <w:hideMark/>
          </w:tcPr>
          <w:p w14:paraId="1D6549BB" w14:textId="77777777" w:rsidR="00BB138C" w:rsidRPr="00EF6679" w:rsidRDefault="00BB138C" w:rsidP="00820288">
            <w:pPr>
              <w:spacing w:line="240" w:lineRule="auto"/>
              <w:jc w:val="center"/>
              <w:rPr>
                <w:rFonts w:ascii="Times New Roman" w:eastAsia="Times New Roman" w:hAnsi="Times New Roman" w:cs="Times New Roman"/>
                <w:color w:val="000000" w:themeColor="text1"/>
                <w:sz w:val="13"/>
                <w:szCs w:val="13"/>
              </w:rPr>
            </w:pPr>
            <w:r w:rsidRPr="00EF6679">
              <w:rPr>
                <w:rFonts w:ascii="Times New Roman" w:eastAsia="Times New Roman" w:hAnsi="Times New Roman" w:cs="Times New Roman"/>
                <w:color w:val="000000" w:themeColor="text1"/>
                <w:sz w:val="13"/>
                <w:szCs w:val="13"/>
              </w:rPr>
              <w:t>5989-54-8</w:t>
            </w:r>
          </w:p>
        </w:tc>
        <w:tc>
          <w:tcPr>
            <w:tcW w:w="1152" w:type="dxa"/>
            <w:tcBorders>
              <w:top w:val="nil"/>
              <w:left w:val="nil"/>
              <w:bottom w:val="nil"/>
              <w:right w:val="nil"/>
            </w:tcBorders>
            <w:noWrap/>
            <w:vAlign w:val="center"/>
            <w:hideMark/>
          </w:tcPr>
          <w:p w14:paraId="51CA4141" w14:textId="77777777" w:rsidR="00BB138C" w:rsidRPr="00EF6679" w:rsidRDefault="00BB138C" w:rsidP="00820288">
            <w:pPr>
              <w:spacing w:line="240" w:lineRule="auto"/>
              <w:jc w:val="center"/>
              <w:rPr>
                <w:rFonts w:ascii="Times New Roman" w:eastAsia="Times New Roman" w:hAnsi="Times New Roman" w:cs="Times New Roman"/>
                <w:color w:val="000000" w:themeColor="text1"/>
                <w:sz w:val="13"/>
                <w:szCs w:val="13"/>
              </w:rPr>
            </w:pPr>
            <w:r w:rsidRPr="00EF6679">
              <w:rPr>
                <w:rFonts w:ascii="Times New Roman" w:eastAsia="Times New Roman" w:hAnsi="Times New Roman" w:cs="Times New Roman"/>
                <w:color w:val="000000" w:themeColor="text1"/>
                <w:sz w:val="13"/>
                <w:szCs w:val="13"/>
              </w:rPr>
              <w:t>14.941</w:t>
            </w:r>
          </w:p>
        </w:tc>
        <w:tc>
          <w:tcPr>
            <w:tcW w:w="864" w:type="dxa"/>
            <w:tcBorders>
              <w:top w:val="nil"/>
              <w:left w:val="nil"/>
              <w:bottom w:val="nil"/>
              <w:right w:val="nil"/>
            </w:tcBorders>
            <w:noWrap/>
            <w:vAlign w:val="center"/>
            <w:hideMark/>
          </w:tcPr>
          <w:p w14:paraId="57364EE7" w14:textId="77777777" w:rsidR="00BB138C" w:rsidRPr="00EF6679" w:rsidRDefault="00BB138C" w:rsidP="00820288">
            <w:pPr>
              <w:spacing w:line="240" w:lineRule="auto"/>
              <w:jc w:val="center"/>
              <w:rPr>
                <w:rFonts w:ascii="Times New Roman" w:eastAsia="Times New Roman" w:hAnsi="Times New Roman" w:cs="Times New Roman"/>
                <w:color w:val="000000" w:themeColor="text1"/>
                <w:sz w:val="13"/>
                <w:szCs w:val="13"/>
              </w:rPr>
            </w:pPr>
            <w:r w:rsidRPr="00EF6679">
              <w:rPr>
                <w:rFonts w:ascii="Times New Roman" w:eastAsia="Times New Roman" w:hAnsi="Times New Roman" w:cs="Times New Roman"/>
                <w:color w:val="000000" w:themeColor="text1"/>
                <w:sz w:val="13"/>
                <w:szCs w:val="13"/>
              </w:rPr>
              <w:t>6.36</w:t>
            </w:r>
          </w:p>
        </w:tc>
        <w:tc>
          <w:tcPr>
            <w:tcW w:w="720" w:type="dxa"/>
            <w:tcBorders>
              <w:top w:val="nil"/>
              <w:left w:val="nil"/>
              <w:bottom w:val="nil"/>
              <w:right w:val="nil"/>
            </w:tcBorders>
            <w:noWrap/>
            <w:vAlign w:val="center"/>
            <w:hideMark/>
          </w:tcPr>
          <w:p w14:paraId="597DCA29" w14:textId="77777777" w:rsidR="00BB138C" w:rsidRPr="00EF6679" w:rsidRDefault="00BB138C" w:rsidP="00820288">
            <w:pPr>
              <w:spacing w:line="240" w:lineRule="auto"/>
              <w:jc w:val="center"/>
              <w:rPr>
                <w:rFonts w:ascii="Times New Roman" w:eastAsia="Times New Roman" w:hAnsi="Times New Roman" w:cs="Times New Roman"/>
                <w:color w:val="000000" w:themeColor="text1"/>
                <w:sz w:val="13"/>
                <w:szCs w:val="13"/>
              </w:rPr>
            </w:pPr>
            <w:r w:rsidRPr="00EF6679">
              <w:rPr>
                <w:rFonts w:ascii="Times New Roman" w:eastAsia="Times New Roman" w:hAnsi="Times New Roman" w:cs="Times New Roman"/>
                <w:color w:val="000000" w:themeColor="text1"/>
                <w:sz w:val="13"/>
                <w:szCs w:val="13"/>
              </w:rPr>
              <w:t>1.95</w:t>
            </w:r>
          </w:p>
        </w:tc>
        <w:tc>
          <w:tcPr>
            <w:tcW w:w="864" w:type="dxa"/>
            <w:tcBorders>
              <w:top w:val="nil"/>
              <w:left w:val="nil"/>
              <w:bottom w:val="nil"/>
              <w:right w:val="nil"/>
            </w:tcBorders>
            <w:noWrap/>
            <w:vAlign w:val="center"/>
            <w:hideMark/>
          </w:tcPr>
          <w:p w14:paraId="49C1635B" w14:textId="77777777" w:rsidR="00BB138C" w:rsidRPr="00EF6679" w:rsidRDefault="00BB138C" w:rsidP="00820288">
            <w:pPr>
              <w:spacing w:line="240" w:lineRule="auto"/>
              <w:jc w:val="center"/>
              <w:rPr>
                <w:rFonts w:ascii="Times New Roman" w:eastAsia="Times New Roman" w:hAnsi="Times New Roman" w:cs="Times New Roman"/>
                <w:color w:val="000000" w:themeColor="text1"/>
                <w:sz w:val="13"/>
                <w:szCs w:val="13"/>
              </w:rPr>
            </w:pPr>
            <w:r w:rsidRPr="00EF6679">
              <w:rPr>
                <w:rFonts w:ascii="Times New Roman" w:eastAsia="Times New Roman" w:hAnsi="Times New Roman" w:cs="Times New Roman"/>
                <w:color w:val="000000" w:themeColor="text1"/>
                <w:sz w:val="13"/>
                <w:szCs w:val="13"/>
              </w:rPr>
              <w:t>2.60</w:t>
            </w:r>
          </w:p>
        </w:tc>
        <w:tc>
          <w:tcPr>
            <w:tcW w:w="410" w:type="dxa"/>
            <w:tcBorders>
              <w:top w:val="nil"/>
              <w:left w:val="nil"/>
              <w:bottom w:val="nil"/>
              <w:right w:val="nil"/>
            </w:tcBorders>
            <w:noWrap/>
          </w:tcPr>
          <w:p w14:paraId="1B0D7972" w14:textId="77777777" w:rsidR="00BB138C" w:rsidRPr="00EF6679" w:rsidRDefault="00BB138C" w:rsidP="00820288">
            <w:pPr>
              <w:spacing w:line="240" w:lineRule="auto"/>
              <w:jc w:val="right"/>
              <w:rPr>
                <w:rFonts w:ascii="Times New Roman" w:eastAsia="Times New Roman" w:hAnsi="Times New Roman" w:cs="Times New Roman"/>
                <w:color w:val="000000" w:themeColor="text1"/>
                <w:sz w:val="13"/>
                <w:szCs w:val="13"/>
              </w:rPr>
            </w:pPr>
          </w:p>
        </w:tc>
        <w:tc>
          <w:tcPr>
            <w:tcW w:w="864" w:type="dxa"/>
            <w:tcBorders>
              <w:top w:val="nil"/>
              <w:left w:val="nil"/>
              <w:bottom w:val="nil"/>
              <w:right w:val="nil"/>
            </w:tcBorders>
            <w:noWrap/>
            <w:vAlign w:val="bottom"/>
            <w:hideMark/>
          </w:tcPr>
          <w:p w14:paraId="6EF8C6A7" w14:textId="77777777" w:rsidR="00BB138C" w:rsidRPr="00EF6679" w:rsidRDefault="00BB138C" w:rsidP="00820288">
            <w:pPr>
              <w:spacing w:line="240" w:lineRule="auto"/>
              <w:jc w:val="center"/>
              <w:rPr>
                <w:rFonts w:ascii="Times New Roman" w:eastAsia="Times New Roman" w:hAnsi="Times New Roman" w:cs="Times New Roman"/>
                <w:color w:val="000000" w:themeColor="text1"/>
                <w:sz w:val="13"/>
                <w:szCs w:val="13"/>
              </w:rPr>
            </w:pPr>
            <w:r w:rsidRPr="00EF6679">
              <w:rPr>
                <w:rFonts w:ascii="Times New Roman" w:hAnsi="Times New Roman" w:cs="Times New Roman"/>
                <w:color w:val="000000" w:themeColor="text1"/>
                <w:sz w:val="13"/>
                <w:szCs w:val="13"/>
              </w:rPr>
              <w:t>0.0124</w:t>
            </w:r>
          </w:p>
        </w:tc>
        <w:tc>
          <w:tcPr>
            <w:tcW w:w="720" w:type="dxa"/>
            <w:tcBorders>
              <w:top w:val="nil"/>
              <w:left w:val="nil"/>
              <w:bottom w:val="nil"/>
              <w:right w:val="nil"/>
            </w:tcBorders>
            <w:noWrap/>
            <w:vAlign w:val="bottom"/>
            <w:hideMark/>
          </w:tcPr>
          <w:p w14:paraId="58E9F65E" w14:textId="77777777" w:rsidR="00BB138C" w:rsidRPr="00EF6679" w:rsidRDefault="00BB138C" w:rsidP="00820288">
            <w:pPr>
              <w:spacing w:line="240" w:lineRule="auto"/>
              <w:jc w:val="center"/>
              <w:rPr>
                <w:rFonts w:ascii="Times New Roman" w:eastAsia="Times New Roman" w:hAnsi="Times New Roman" w:cs="Times New Roman"/>
                <w:color w:val="000000" w:themeColor="text1"/>
                <w:sz w:val="13"/>
                <w:szCs w:val="13"/>
              </w:rPr>
            </w:pPr>
            <w:r w:rsidRPr="00EF6679">
              <w:rPr>
                <w:rFonts w:ascii="Times New Roman" w:hAnsi="Times New Roman" w:cs="Times New Roman"/>
                <w:color w:val="000000" w:themeColor="text1"/>
                <w:sz w:val="13"/>
                <w:szCs w:val="13"/>
              </w:rPr>
              <w:t>0.0349</w:t>
            </w:r>
          </w:p>
        </w:tc>
        <w:tc>
          <w:tcPr>
            <w:tcW w:w="864" w:type="dxa"/>
            <w:tcBorders>
              <w:top w:val="nil"/>
              <w:left w:val="nil"/>
              <w:bottom w:val="nil"/>
              <w:right w:val="nil"/>
            </w:tcBorders>
            <w:noWrap/>
            <w:vAlign w:val="bottom"/>
            <w:hideMark/>
          </w:tcPr>
          <w:p w14:paraId="229D5E2D" w14:textId="77777777" w:rsidR="00BB138C" w:rsidRPr="00EF6679" w:rsidRDefault="00BB138C" w:rsidP="00820288">
            <w:pPr>
              <w:spacing w:line="240" w:lineRule="auto"/>
              <w:jc w:val="center"/>
              <w:rPr>
                <w:rFonts w:ascii="Times New Roman" w:eastAsia="Times New Roman" w:hAnsi="Times New Roman" w:cs="Times New Roman"/>
                <w:color w:val="000000" w:themeColor="text1"/>
                <w:sz w:val="13"/>
                <w:szCs w:val="13"/>
              </w:rPr>
            </w:pPr>
            <w:r w:rsidRPr="00EF6679">
              <w:rPr>
                <w:rFonts w:ascii="Times New Roman" w:hAnsi="Times New Roman" w:cs="Times New Roman"/>
                <w:color w:val="000000" w:themeColor="text1"/>
                <w:sz w:val="13"/>
                <w:szCs w:val="13"/>
              </w:rPr>
              <w:t>0.0040</w:t>
            </w:r>
          </w:p>
        </w:tc>
      </w:tr>
      <w:tr w:rsidR="00BB138C" w:rsidRPr="00EF6679" w14:paraId="30CD7C57" w14:textId="77777777" w:rsidTr="00820288">
        <w:tblPrEx>
          <w:jc w:val="lef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trHeight w:val="144"/>
        </w:trPr>
        <w:tc>
          <w:tcPr>
            <w:tcW w:w="2340" w:type="dxa"/>
            <w:tcBorders>
              <w:top w:val="nil"/>
              <w:left w:val="nil"/>
              <w:bottom w:val="nil"/>
              <w:right w:val="nil"/>
            </w:tcBorders>
            <w:noWrap/>
            <w:hideMark/>
          </w:tcPr>
          <w:p w14:paraId="5216E9E7" w14:textId="77777777" w:rsidR="00BB138C" w:rsidRPr="00EF6679" w:rsidRDefault="00BB138C" w:rsidP="00820288">
            <w:pPr>
              <w:spacing w:line="240" w:lineRule="auto"/>
              <w:rPr>
                <w:rFonts w:ascii="Times New Roman" w:eastAsia="Times New Roman" w:hAnsi="Times New Roman" w:cs="Times New Roman"/>
                <w:color w:val="000000" w:themeColor="text1"/>
                <w:sz w:val="13"/>
                <w:szCs w:val="13"/>
              </w:rPr>
            </w:pPr>
            <w:r w:rsidRPr="00EF6679">
              <w:rPr>
                <w:rFonts w:ascii="Times New Roman" w:eastAsia="Times New Roman" w:hAnsi="Times New Roman" w:cs="Times New Roman"/>
                <w:color w:val="000000" w:themeColor="text1"/>
                <w:sz w:val="13"/>
                <w:szCs w:val="13"/>
              </w:rPr>
              <w:t xml:space="preserve">Eucalyptol               </w:t>
            </w:r>
          </w:p>
        </w:tc>
        <w:tc>
          <w:tcPr>
            <w:tcW w:w="939" w:type="dxa"/>
            <w:tcBorders>
              <w:top w:val="nil"/>
              <w:left w:val="nil"/>
              <w:bottom w:val="nil"/>
              <w:right w:val="nil"/>
            </w:tcBorders>
            <w:noWrap/>
            <w:vAlign w:val="center"/>
            <w:hideMark/>
          </w:tcPr>
          <w:p w14:paraId="54181557" w14:textId="77777777" w:rsidR="00BB138C" w:rsidRPr="00EF6679" w:rsidRDefault="00BB138C" w:rsidP="00820288">
            <w:pPr>
              <w:spacing w:line="240" w:lineRule="auto"/>
              <w:jc w:val="center"/>
              <w:rPr>
                <w:rFonts w:ascii="Times New Roman" w:eastAsia="Times New Roman" w:hAnsi="Times New Roman" w:cs="Times New Roman"/>
                <w:color w:val="000000" w:themeColor="text1"/>
                <w:sz w:val="13"/>
                <w:szCs w:val="13"/>
              </w:rPr>
            </w:pPr>
            <w:r w:rsidRPr="00EF6679">
              <w:rPr>
                <w:rFonts w:ascii="Times New Roman" w:eastAsia="Times New Roman" w:hAnsi="Times New Roman" w:cs="Times New Roman"/>
                <w:color w:val="000000" w:themeColor="text1"/>
                <w:sz w:val="13"/>
                <w:szCs w:val="13"/>
              </w:rPr>
              <w:t>470-82-6</w:t>
            </w:r>
          </w:p>
        </w:tc>
        <w:tc>
          <w:tcPr>
            <w:tcW w:w="1152" w:type="dxa"/>
            <w:tcBorders>
              <w:top w:val="nil"/>
              <w:left w:val="nil"/>
              <w:bottom w:val="nil"/>
              <w:right w:val="nil"/>
            </w:tcBorders>
            <w:noWrap/>
            <w:vAlign w:val="center"/>
            <w:hideMark/>
          </w:tcPr>
          <w:p w14:paraId="3AF77CF4" w14:textId="77777777" w:rsidR="00BB138C" w:rsidRPr="00EF6679" w:rsidRDefault="00BB138C" w:rsidP="00820288">
            <w:pPr>
              <w:spacing w:line="240" w:lineRule="auto"/>
              <w:jc w:val="center"/>
              <w:rPr>
                <w:rFonts w:ascii="Times New Roman" w:eastAsia="Times New Roman" w:hAnsi="Times New Roman" w:cs="Times New Roman"/>
                <w:color w:val="000000" w:themeColor="text1"/>
                <w:sz w:val="13"/>
                <w:szCs w:val="13"/>
              </w:rPr>
            </w:pPr>
            <w:r w:rsidRPr="00EF6679">
              <w:rPr>
                <w:rFonts w:ascii="Times New Roman" w:eastAsia="Times New Roman" w:hAnsi="Times New Roman" w:cs="Times New Roman"/>
                <w:color w:val="000000" w:themeColor="text1"/>
                <w:sz w:val="13"/>
                <w:szCs w:val="13"/>
              </w:rPr>
              <w:t>14.949</w:t>
            </w:r>
          </w:p>
        </w:tc>
        <w:tc>
          <w:tcPr>
            <w:tcW w:w="864" w:type="dxa"/>
            <w:tcBorders>
              <w:top w:val="nil"/>
              <w:left w:val="nil"/>
              <w:bottom w:val="nil"/>
              <w:right w:val="nil"/>
            </w:tcBorders>
            <w:noWrap/>
            <w:vAlign w:val="center"/>
            <w:hideMark/>
          </w:tcPr>
          <w:p w14:paraId="43816805" w14:textId="77777777" w:rsidR="00BB138C" w:rsidRPr="00EF6679" w:rsidRDefault="00BB138C" w:rsidP="00820288">
            <w:pPr>
              <w:spacing w:line="240" w:lineRule="auto"/>
              <w:jc w:val="center"/>
              <w:rPr>
                <w:rFonts w:ascii="Times New Roman" w:eastAsia="Times New Roman" w:hAnsi="Times New Roman" w:cs="Times New Roman"/>
                <w:color w:val="000000" w:themeColor="text1"/>
                <w:sz w:val="13"/>
                <w:szCs w:val="13"/>
              </w:rPr>
            </w:pPr>
            <w:r w:rsidRPr="00EF6679">
              <w:rPr>
                <w:rFonts w:ascii="Times New Roman" w:eastAsia="Times New Roman" w:hAnsi="Times New Roman" w:cs="Times New Roman"/>
                <w:color w:val="000000" w:themeColor="text1"/>
                <w:sz w:val="13"/>
                <w:szCs w:val="13"/>
              </w:rPr>
              <w:t>7.79</w:t>
            </w:r>
          </w:p>
        </w:tc>
        <w:tc>
          <w:tcPr>
            <w:tcW w:w="720" w:type="dxa"/>
            <w:tcBorders>
              <w:top w:val="nil"/>
              <w:left w:val="nil"/>
              <w:bottom w:val="nil"/>
              <w:right w:val="nil"/>
            </w:tcBorders>
            <w:noWrap/>
            <w:vAlign w:val="center"/>
            <w:hideMark/>
          </w:tcPr>
          <w:p w14:paraId="56805750" w14:textId="77777777" w:rsidR="00BB138C" w:rsidRPr="00EF6679" w:rsidRDefault="00BB138C" w:rsidP="00820288">
            <w:pPr>
              <w:spacing w:line="240" w:lineRule="auto"/>
              <w:jc w:val="center"/>
              <w:rPr>
                <w:rFonts w:ascii="Times New Roman" w:eastAsia="Times New Roman" w:hAnsi="Times New Roman" w:cs="Times New Roman"/>
                <w:color w:val="000000" w:themeColor="text1"/>
                <w:sz w:val="13"/>
                <w:szCs w:val="13"/>
              </w:rPr>
            </w:pPr>
            <w:r w:rsidRPr="00EF6679">
              <w:rPr>
                <w:rFonts w:ascii="Times New Roman" w:eastAsia="Times New Roman" w:hAnsi="Times New Roman" w:cs="Times New Roman"/>
                <w:color w:val="000000" w:themeColor="text1"/>
                <w:sz w:val="13"/>
                <w:szCs w:val="13"/>
              </w:rPr>
              <w:t>1.97</w:t>
            </w:r>
          </w:p>
        </w:tc>
        <w:tc>
          <w:tcPr>
            <w:tcW w:w="864" w:type="dxa"/>
            <w:tcBorders>
              <w:top w:val="nil"/>
              <w:left w:val="nil"/>
              <w:bottom w:val="nil"/>
              <w:right w:val="nil"/>
            </w:tcBorders>
            <w:noWrap/>
            <w:vAlign w:val="center"/>
            <w:hideMark/>
          </w:tcPr>
          <w:p w14:paraId="14A28D8E" w14:textId="77777777" w:rsidR="00BB138C" w:rsidRPr="00EF6679" w:rsidRDefault="00BB138C" w:rsidP="00820288">
            <w:pPr>
              <w:spacing w:line="240" w:lineRule="auto"/>
              <w:jc w:val="center"/>
              <w:rPr>
                <w:rFonts w:ascii="Times New Roman" w:eastAsia="Times New Roman" w:hAnsi="Times New Roman" w:cs="Times New Roman"/>
                <w:color w:val="000000" w:themeColor="text1"/>
                <w:sz w:val="13"/>
                <w:szCs w:val="13"/>
              </w:rPr>
            </w:pPr>
            <w:r w:rsidRPr="00EF6679">
              <w:rPr>
                <w:rFonts w:ascii="Times New Roman" w:eastAsia="Times New Roman" w:hAnsi="Times New Roman" w:cs="Times New Roman"/>
                <w:color w:val="000000" w:themeColor="text1"/>
                <w:sz w:val="13"/>
                <w:szCs w:val="13"/>
              </w:rPr>
              <w:t>2.65</w:t>
            </w:r>
          </w:p>
        </w:tc>
        <w:tc>
          <w:tcPr>
            <w:tcW w:w="410" w:type="dxa"/>
            <w:tcBorders>
              <w:top w:val="nil"/>
              <w:left w:val="nil"/>
              <w:bottom w:val="nil"/>
              <w:right w:val="nil"/>
            </w:tcBorders>
            <w:noWrap/>
          </w:tcPr>
          <w:p w14:paraId="3B1D2CDF" w14:textId="77777777" w:rsidR="00BB138C" w:rsidRPr="00EF6679" w:rsidRDefault="00BB138C" w:rsidP="00820288">
            <w:pPr>
              <w:spacing w:line="240" w:lineRule="auto"/>
              <w:jc w:val="right"/>
              <w:rPr>
                <w:rFonts w:ascii="Times New Roman" w:eastAsia="Times New Roman" w:hAnsi="Times New Roman" w:cs="Times New Roman"/>
                <w:color w:val="000000" w:themeColor="text1"/>
                <w:sz w:val="13"/>
                <w:szCs w:val="13"/>
              </w:rPr>
            </w:pPr>
          </w:p>
        </w:tc>
        <w:tc>
          <w:tcPr>
            <w:tcW w:w="864" w:type="dxa"/>
            <w:tcBorders>
              <w:top w:val="nil"/>
              <w:left w:val="nil"/>
              <w:bottom w:val="nil"/>
              <w:right w:val="nil"/>
            </w:tcBorders>
            <w:noWrap/>
            <w:vAlign w:val="bottom"/>
            <w:hideMark/>
          </w:tcPr>
          <w:p w14:paraId="694F27E6" w14:textId="77777777" w:rsidR="00BB138C" w:rsidRPr="00EF6679" w:rsidRDefault="00BB138C" w:rsidP="00820288">
            <w:pPr>
              <w:spacing w:line="240" w:lineRule="auto"/>
              <w:jc w:val="center"/>
              <w:rPr>
                <w:rFonts w:ascii="Times New Roman" w:eastAsia="Times New Roman" w:hAnsi="Times New Roman" w:cs="Times New Roman"/>
                <w:color w:val="000000" w:themeColor="text1"/>
                <w:sz w:val="13"/>
                <w:szCs w:val="13"/>
              </w:rPr>
            </w:pPr>
            <w:r w:rsidRPr="00EF6679">
              <w:rPr>
                <w:rFonts w:ascii="Times New Roman" w:hAnsi="Times New Roman" w:cs="Times New Roman"/>
                <w:color w:val="000000" w:themeColor="text1"/>
                <w:sz w:val="13"/>
                <w:szCs w:val="13"/>
              </w:rPr>
              <w:t>0.0057</w:t>
            </w:r>
          </w:p>
        </w:tc>
        <w:tc>
          <w:tcPr>
            <w:tcW w:w="720" w:type="dxa"/>
            <w:tcBorders>
              <w:top w:val="nil"/>
              <w:left w:val="nil"/>
              <w:bottom w:val="nil"/>
              <w:right w:val="nil"/>
            </w:tcBorders>
            <w:noWrap/>
            <w:vAlign w:val="bottom"/>
            <w:hideMark/>
          </w:tcPr>
          <w:p w14:paraId="1CBA87EF" w14:textId="77777777" w:rsidR="00BB138C" w:rsidRPr="00EF6679" w:rsidRDefault="00BB138C" w:rsidP="00820288">
            <w:pPr>
              <w:spacing w:line="240" w:lineRule="auto"/>
              <w:jc w:val="center"/>
              <w:rPr>
                <w:rFonts w:ascii="Times New Roman" w:eastAsia="Times New Roman" w:hAnsi="Times New Roman" w:cs="Times New Roman"/>
                <w:color w:val="000000" w:themeColor="text1"/>
                <w:sz w:val="13"/>
                <w:szCs w:val="13"/>
              </w:rPr>
            </w:pPr>
            <w:r w:rsidRPr="00EF6679">
              <w:rPr>
                <w:rFonts w:ascii="Times New Roman" w:hAnsi="Times New Roman" w:cs="Times New Roman"/>
                <w:color w:val="000000" w:themeColor="text1"/>
                <w:sz w:val="13"/>
                <w:szCs w:val="13"/>
              </w:rPr>
              <w:t>0.0333</w:t>
            </w:r>
          </w:p>
        </w:tc>
        <w:tc>
          <w:tcPr>
            <w:tcW w:w="864" w:type="dxa"/>
            <w:tcBorders>
              <w:top w:val="nil"/>
              <w:left w:val="nil"/>
              <w:bottom w:val="nil"/>
              <w:right w:val="nil"/>
            </w:tcBorders>
            <w:noWrap/>
            <w:vAlign w:val="bottom"/>
            <w:hideMark/>
          </w:tcPr>
          <w:p w14:paraId="3AFDAC73" w14:textId="77777777" w:rsidR="00BB138C" w:rsidRPr="00EF6679" w:rsidRDefault="00BB138C" w:rsidP="00820288">
            <w:pPr>
              <w:spacing w:line="240" w:lineRule="auto"/>
              <w:jc w:val="center"/>
              <w:rPr>
                <w:rFonts w:ascii="Times New Roman" w:eastAsia="Times New Roman" w:hAnsi="Times New Roman" w:cs="Times New Roman"/>
                <w:color w:val="000000" w:themeColor="text1"/>
                <w:sz w:val="13"/>
                <w:szCs w:val="13"/>
              </w:rPr>
            </w:pPr>
            <w:r w:rsidRPr="00EF6679">
              <w:rPr>
                <w:rFonts w:ascii="Times New Roman" w:hAnsi="Times New Roman" w:cs="Times New Roman"/>
                <w:color w:val="000000" w:themeColor="text1"/>
                <w:sz w:val="13"/>
                <w:szCs w:val="13"/>
              </w:rPr>
              <w:t>0.0034</w:t>
            </w:r>
          </w:p>
        </w:tc>
      </w:tr>
      <w:tr w:rsidR="00BB138C" w:rsidRPr="00EF6679" w14:paraId="23F48329" w14:textId="77777777" w:rsidTr="00EF6679">
        <w:tblPrEx>
          <w:jc w:val="lef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trHeight w:val="144"/>
        </w:trPr>
        <w:tc>
          <w:tcPr>
            <w:tcW w:w="2340" w:type="dxa"/>
            <w:tcBorders>
              <w:top w:val="nil"/>
              <w:left w:val="nil"/>
              <w:bottom w:val="nil"/>
              <w:right w:val="nil"/>
            </w:tcBorders>
            <w:noWrap/>
            <w:hideMark/>
          </w:tcPr>
          <w:p w14:paraId="5627D0CC" w14:textId="77777777" w:rsidR="00BB138C" w:rsidRPr="00EF6679" w:rsidRDefault="00BB138C" w:rsidP="00820288">
            <w:pPr>
              <w:spacing w:line="240" w:lineRule="auto"/>
              <w:rPr>
                <w:rFonts w:ascii="Times New Roman" w:eastAsia="Times New Roman" w:hAnsi="Times New Roman" w:cs="Times New Roman"/>
                <w:color w:val="000000" w:themeColor="text1"/>
                <w:sz w:val="13"/>
                <w:szCs w:val="13"/>
              </w:rPr>
            </w:pPr>
            <w:r w:rsidRPr="00EF6679">
              <w:rPr>
                <w:rFonts w:ascii="Times New Roman" w:eastAsia="Times New Roman" w:hAnsi="Times New Roman" w:cs="Times New Roman"/>
                <w:color w:val="000000" w:themeColor="text1"/>
                <w:sz w:val="13"/>
                <w:szCs w:val="13"/>
              </w:rPr>
              <w:t xml:space="preserve">2-Octyn-1-ol             </w:t>
            </w:r>
          </w:p>
        </w:tc>
        <w:tc>
          <w:tcPr>
            <w:tcW w:w="939" w:type="dxa"/>
            <w:tcBorders>
              <w:top w:val="nil"/>
              <w:left w:val="nil"/>
              <w:bottom w:val="nil"/>
              <w:right w:val="nil"/>
            </w:tcBorders>
            <w:noWrap/>
            <w:vAlign w:val="center"/>
            <w:hideMark/>
          </w:tcPr>
          <w:p w14:paraId="50820EFB" w14:textId="77777777" w:rsidR="00BB138C" w:rsidRPr="00EF6679" w:rsidRDefault="00BB138C" w:rsidP="00820288">
            <w:pPr>
              <w:spacing w:line="240" w:lineRule="auto"/>
              <w:jc w:val="center"/>
              <w:rPr>
                <w:rFonts w:ascii="Times New Roman" w:eastAsia="Times New Roman" w:hAnsi="Times New Roman" w:cs="Times New Roman"/>
                <w:color w:val="000000" w:themeColor="text1"/>
                <w:sz w:val="13"/>
                <w:szCs w:val="13"/>
              </w:rPr>
            </w:pPr>
            <w:r w:rsidRPr="00EF6679">
              <w:rPr>
                <w:rFonts w:ascii="Times New Roman" w:eastAsia="Times New Roman" w:hAnsi="Times New Roman" w:cs="Times New Roman"/>
                <w:color w:val="000000" w:themeColor="text1"/>
                <w:sz w:val="13"/>
                <w:szCs w:val="13"/>
              </w:rPr>
              <w:t>20739-58-6</w:t>
            </w:r>
          </w:p>
        </w:tc>
        <w:tc>
          <w:tcPr>
            <w:tcW w:w="1152" w:type="dxa"/>
            <w:tcBorders>
              <w:top w:val="nil"/>
              <w:left w:val="nil"/>
              <w:bottom w:val="nil"/>
              <w:right w:val="nil"/>
            </w:tcBorders>
            <w:noWrap/>
            <w:vAlign w:val="center"/>
            <w:hideMark/>
          </w:tcPr>
          <w:p w14:paraId="28858A1A" w14:textId="77777777" w:rsidR="00BB138C" w:rsidRPr="00EF6679" w:rsidRDefault="00BB138C" w:rsidP="00820288">
            <w:pPr>
              <w:spacing w:line="240" w:lineRule="auto"/>
              <w:jc w:val="center"/>
              <w:rPr>
                <w:rFonts w:ascii="Times New Roman" w:eastAsia="Times New Roman" w:hAnsi="Times New Roman" w:cs="Times New Roman"/>
                <w:color w:val="000000" w:themeColor="text1"/>
                <w:sz w:val="13"/>
                <w:szCs w:val="13"/>
              </w:rPr>
            </w:pPr>
            <w:r w:rsidRPr="00EF6679">
              <w:rPr>
                <w:rFonts w:ascii="Times New Roman" w:eastAsia="Times New Roman" w:hAnsi="Times New Roman" w:cs="Times New Roman"/>
                <w:color w:val="000000" w:themeColor="text1"/>
                <w:sz w:val="13"/>
                <w:szCs w:val="13"/>
              </w:rPr>
              <w:t>14.987</w:t>
            </w:r>
          </w:p>
        </w:tc>
        <w:tc>
          <w:tcPr>
            <w:tcW w:w="864" w:type="dxa"/>
            <w:tcBorders>
              <w:top w:val="nil"/>
              <w:left w:val="nil"/>
              <w:bottom w:val="nil"/>
              <w:right w:val="nil"/>
            </w:tcBorders>
            <w:noWrap/>
            <w:vAlign w:val="center"/>
            <w:hideMark/>
          </w:tcPr>
          <w:p w14:paraId="260FD5E6" w14:textId="77777777" w:rsidR="00BB138C" w:rsidRPr="00EF6679" w:rsidRDefault="00BB138C" w:rsidP="00820288">
            <w:pPr>
              <w:spacing w:line="240" w:lineRule="auto"/>
              <w:jc w:val="center"/>
              <w:rPr>
                <w:rFonts w:ascii="Times New Roman" w:eastAsia="Times New Roman" w:hAnsi="Times New Roman" w:cs="Times New Roman"/>
                <w:color w:val="000000" w:themeColor="text1"/>
                <w:sz w:val="13"/>
                <w:szCs w:val="13"/>
              </w:rPr>
            </w:pPr>
            <w:r w:rsidRPr="00EF6679">
              <w:rPr>
                <w:rFonts w:ascii="Times New Roman" w:eastAsia="Times New Roman" w:hAnsi="Times New Roman" w:cs="Times New Roman"/>
                <w:color w:val="000000" w:themeColor="text1"/>
                <w:sz w:val="13"/>
                <w:szCs w:val="13"/>
              </w:rPr>
              <w:t>n.d.</w:t>
            </w:r>
          </w:p>
        </w:tc>
        <w:tc>
          <w:tcPr>
            <w:tcW w:w="720" w:type="dxa"/>
            <w:tcBorders>
              <w:top w:val="nil"/>
              <w:left w:val="nil"/>
              <w:bottom w:val="nil"/>
              <w:right w:val="nil"/>
            </w:tcBorders>
            <w:noWrap/>
            <w:vAlign w:val="center"/>
            <w:hideMark/>
          </w:tcPr>
          <w:p w14:paraId="488D92D9" w14:textId="77777777" w:rsidR="00BB138C" w:rsidRPr="00EF6679" w:rsidRDefault="00BB138C" w:rsidP="00820288">
            <w:pPr>
              <w:spacing w:line="240" w:lineRule="auto"/>
              <w:jc w:val="center"/>
              <w:rPr>
                <w:rFonts w:ascii="Times New Roman" w:eastAsia="Times New Roman" w:hAnsi="Times New Roman" w:cs="Times New Roman"/>
                <w:color w:val="000000" w:themeColor="text1"/>
                <w:sz w:val="13"/>
                <w:szCs w:val="13"/>
              </w:rPr>
            </w:pPr>
            <w:r w:rsidRPr="00EF6679">
              <w:rPr>
                <w:rFonts w:ascii="Times New Roman" w:eastAsia="Times New Roman" w:hAnsi="Times New Roman" w:cs="Times New Roman"/>
                <w:color w:val="000000" w:themeColor="text1"/>
                <w:sz w:val="13"/>
                <w:szCs w:val="13"/>
              </w:rPr>
              <w:t>n.d.</w:t>
            </w:r>
          </w:p>
        </w:tc>
        <w:tc>
          <w:tcPr>
            <w:tcW w:w="864" w:type="dxa"/>
            <w:tcBorders>
              <w:top w:val="nil"/>
              <w:left w:val="nil"/>
              <w:bottom w:val="nil"/>
              <w:right w:val="nil"/>
            </w:tcBorders>
            <w:noWrap/>
            <w:vAlign w:val="center"/>
            <w:hideMark/>
          </w:tcPr>
          <w:p w14:paraId="7A4774CE" w14:textId="77777777" w:rsidR="00BB138C" w:rsidRPr="00EF6679" w:rsidRDefault="00BB138C" w:rsidP="00820288">
            <w:pPr>
              <w:spacing w:line="240" w:lineRule="auto"/>
              <w:jc w:val="center"/>
              <w:rPr>
                <w:rFonts w:ascii="Times New Roman" w:eastAsia="Times New Roman" w:hAnsi="Times New Roman" w:cs="Times New Roman"/>
                <w:color w:val="000000" w:themeColor="text1"/>
                <w:sz w:val="13"/>
                <w:szCs w:val="13"/>
              </w:rPr>
            </w:pPr>
            <w:r w:rsidRPr="00EF6679">
              <w:rPr>
                <w:rFonts w:ascii="Times New Roman" w:eastAsia="Times New Roman" w:hAnsi="Times New Roman" w:cs="Times New Roman"/>
                <w:color w:val="000000" w:themeColor="text1"/>
                <w:sz w:val="13"/>
                <w:szCs w:val="13"/>
              </w:rPr>
              <w:t>n.d.</w:t>
            </w:r>
          </w:p>
        </w:tc>
        <w:tc>
          <w:tcPr>
            <w:tcW w:w="410" w:type="dxa"/>
            <w:tcBorders>
              <w:top w:val="nil"/>
              <w:left w:val="nil"/>
              <w:bottom w:val="nil"/>
              <w:right w:val="nil"/>
            </w:tcBorders>
            <w:noWrap/>
          </w:tcPr>
          <w:p w14:paraId="22590B35" w14:textId="77777777" w:rsidR="00BB138C" w:rsidRPr="00EF6679" w:rsidRDefault="00BB138C" w:rsidP="00820288">
            <w:pPr>
              <w:spacing w:line="240" w:lineRule="auto"/>
              <w:jc w:val="right"/>
              <w:rPr>
                <w:rFonts w:ascii="Times New Roman" w:eastAsia="Times New Roman" w:hAnsi="Times New Roman" w:cs="Times New Roman"/>
                <w:color w:val="000000" w:themeColor="text1"/>
                <w:sz w:val="13"/>
                <w:szCs w:val="13"/>
              </w:rPr>
            </w:pPr>
          </w:p>
        </w:tc>
        <w:tc>
          <w:tcPr>
            <w:tcW w:w="864" w:type="dxa"/>
            <w:tcBorders>
              <w:top w:val="nil"/>
              <w:left w:val="nil"/>
              <w:bottom w:val="nil"/>
              <w:right w:val="nil"/>
            </w:tcBorders>
            <w:noWrap/>
            <w:vAlign w:val="center"/>
            <w:hideMark/>
          </w:tcPr>
          <w:p w14:paraId="4D0FBA35" w14:textId="77777777" w:rsidR="00BB138C" w:rsidRPr="00EF6679" w:rsidRDefault="00BB138C" w:rsidP="00820288">
            <w:pPr>
              <w:spacing w:line="240" w:lineRule="auto"/>
              <w:jc w:val="center"/>
              <w:rPr>
                <w:rFonts w:ascii="Times New Roman" w:eastAsia="Times New Roman" w:hAnsi="Times New Roman" w:cs="Times New Roman"/>
                <w:color w:val="000000" w:themeColor="text1"/>
                <w:sz w:val="13"/>
                <w:szCs w:val="13"/>
              </w:rPr>
            </w:pPr>
            <w:r w:rsidRPr="00EF6679">
              <w:rPr>
                <w:rFonts w:ascii="Times New Roman" w:hAnsi="Times New Roman" w:cs="Times New Roman"/>
                <w:color w:val="000000" w:themeColor="text1"/>
                <w:sz w:val="13"/>
                <w:szCs w:val="13"/>
              </w:rPr>
              <w:t>n.d.</w:t>
            </w:r>
          </w:p>
        </w:tc>
        <w:tc>
          <w:tcPr>
            <w:tcW w:w="720" w:type="dxa"/>
            <w:tcBorders>
              <w:top w:val="nil"/>
              <w:left w:val="nil"/>
              <w:bottom w:val="nil"/>
              <w:right w:val="nil"/>
            </w:tcBorders>
            <w:noWrap/>
            <w:vAlign w:val="center"/>
            <w:hideMark/>
          </w:tcPr>
          <w:p w14:paraId="6F6767CE" w14:textId="77777777" w:rsidR="00BB138C" w:rsidRPr="00EF6679" w:rsidRDefault="00BB138C" w:rsidP="00820288">
            <w:pPr>
              <w:spacing w:line="240" w:lineRule="auto"/>
              <w:jc w:val="center"/>
              <w:rPr>
                <w:rFonts w:ascii="Times New Roman" w:eastAsia="Times New Roman" w:hAnsi="Times New Roman" w:cs="Times New Roman"/>
                <w:color w:val="000000" w:themeColor="text1"/>
                <w:sz w:val="13"/>
                <w:szCs w:val="13"/>
              </w:rPr>
            </w:pPr>
            <w:r w:rsidRPr="00EF6679">
              <w:rPr>
                <w:rFonts w:ascii="Times New Roman" w:hAnsi="Times New Roman" w:cs="Times New Roman"/>
                <w:color w:val="000000" w:themeColor="text1"/>
                <w:sz w:val="13"/>
                <w:szCs w:val="13"/>
              </w:rPr>
              <w:t>n.d.</w:t>
            </w:r>
          </w:p>
        </w:tc>
        <w:tc>
          <w:tcPr>
            <w:tcW w:w="864" w:type="dxa"/>
            <w:tcBorders>
              <w:top w:val="nil"/>
              <w:left w:val="nil"/>
              <w:bottom w:val="nil"/>
              <w:right w:val="nil"/>
            </w:tcBorders>
            <w:noWrap/>
            <w:vAlign w:val="center"/>
            <w:hideMark/>
          </w:tcPr>
          <w:p w14:paraId="6D0640E5" w14:textId="77777777" w:rsidR="00BB138C" w:rsidRPr="00EF6679" w:rsidRDefault="00BB138C" w:rsidP="00820288">
            <w:pPr>
              <w:spacing w:line="240" w:lineRule="auto"/>
              <w:jc w:val="center"/>
              <w:rPr>
                <w:rFonts w:ascii="Times New Roman" w:eastAsia="Times New Roman" w:hAnsi="Times New Roman" w:cs="Times New Roman"/>
                <w:color w:val="000000" w:themeColor="text1"/>
                <w:sz w:val="13"/>
                <w:szCs w:val="13"/>
              </w:rPr>
            </w:pPr>
            <w:r w:rsidRPr="00EF6679">
              <w:rPr>
                <w:rFonts w:ascii="Times New Roman" w:hAnsi="Times New Roman" w:cs="Times New Roman"/>
                <w:color w:val="000000" w:themeColor="text1"/>
                <w:sz w:val="13"/>
                <w:szCs w:val="13"/>
              </w:rPr>
              <w:t>n.d.</w:t>
            </w:r>
          </w:p>
        </w:tc>
      </w:tr>
      <w:tr w:rsidR="00BB138C" w:rsidRPr="00EF6679" w14:paraId="7D105874" w14:textId="77777777" w:rsidTr="00EF6679">
        <w:tblPrEx>
          <w:jc w:val="lef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trHeight w:val="144"/>
        </w:trPr>
        <w:tc>
          <w:tcPr>
            <w:tcW w:w="2340" w:type="dxa"/>
            <w:tcBorders>
              <w:top w:val="nil"/>
              <w:left w:val="nil"/>
              <w:bottom w:val="nil"/>
              <w:right w:val="nil"/>
            </w:tcBorders>
            <w:noWrap/>
            <w:hideMark/>
          </w:tcPr>
          <w:p w14:paraId="76587A02" w14:textId="77777777" w:rsidR="00BB138C" w:rsidRPr="00EF6679" w:rsidRDefault="00BB138C" w:rsidP="00820288">
            <w:pPr>
              <w:spacing w:line="240" w:lineRule="auto"/>
              <w:rPr>
                <w:rFonts w:ascii="Times New Roman" w:eastAsia="Times New Roman" w:hAnsi="Times New Roman" w:cs="Times New Roman"/>
                <w:color w:val="000000" w:themeColor="text1"/>
                <w:sz w:val="13"/>
                <w:szCs w:val="13"/>
              </w:rPr>
            </w:pPr>
            <w:r w:rsidRPr="00EF6679">
              <w:rPr>
                <w:rFonts w:ascii="Times New Roman" w:eastAsia="Times New Roman" w:hAnsi="Times New Roman" w:cs="Times New Roman"/>
                <w:color w:val="000000" w:themeColor="text1"/>
                <w:sz w:val="13"/>
                <w:szCs w:val="13"/>
              </w:rPr>
              <w:t xml:space="preserve">Benzeneacetaldehyde      </w:t>
            </w:r>
          </w:p>
        </w:tc>
        <w:tc>
          <w:tcPr>
            <w:tcW w:w="939" w:type="dxa"/>
            <w:tcBorders>
              <w:top w:val="nil"/>
              <w:left w:val="nil"/>
              <w:bottom w:val="nil"/>
              <w:right w:val="nil"/>
            </w:tcBorders>
            <w:noWrap/>
            <w:vAlign w:val="center"/>
            <w:hideMark/>
          </w:tcPr>
          <w:p w14:paraId="3B4D8ED2" w14:textId="77777777" w:rsidR="00BB138C" w:rsidRPr="00EF6679" w:rsidRDefault="00BB138C" w:rsidP="00820288">
            <w:pPr>
              <w:spacing w:line="240" w:lineRule="auto"/>
              <w:jc w:val="center"/>
              <w:rPr>
                <w:rFonts w:ascii="Times New Roman" w:eastAsia="Times New Roman" w:hAnsi="Times New Roman" w:cs="Times New Roman"/>
                <w:color w:val="000000" w:themeColor="text1"/>
                <w:sz w:val="13"/>
                <w:szCs w:val="13"/>
              </w:rPr>
            </w:pPr>
            <w:r w:rsidRPr="00EF6679">
              <w:rPr>
                <w:rFonts w:ascii="Times New Roman" w:eastAsia="Times New Roman" w:hAnsi="Times New Roman" w:cs="Times New Roman"/>
                <w:color w:val="000000" w:themeColor="text1"/>
                <w:sz w:val="13"/>
                <w:szCs w:val="13"/>
              </w:rPr>
              <w:t>122-78-1</w:t>
            </w:r>
          </w:p>
        </w:tc>
        <w:tc>
          <w:tcPr>
            <w:tcW w:w="1152" w:type="dxa"/>
            <w:tcBorders>
              <w:top w:val="nil"/>
              <w:left w:val="nil"/>
              <w:bottom w:val="nil"/>
              <w:right w:val="nil"/>
            </w:tcBorders>
            <w:noWrap/>
            <w:vAlign w:val="center"/>
            <w:hideMark/>
          </w:tcPr>
          <w:p w14:paraId="296CDDF1" w14:textId="77777777" w:rsidR="00BB138C" w:rsidRPr="00EF6679" w:rsidRDefault="00BB138C" w:rsidP="00820288">
            <w:pPr>
              <w:spacing w:line="240" w:lineRule="auto"/>
              <w:jc w:val="center"/>
              <w:rPr>
                <w:rFonts w:ascii="Times New Roman" w:eastAsia="Times New Roman" w:hAnsi="Times New Roman" w:cs="Times New Roman"/>
                <w:color w:val="000000" w:themeColor="text1"/>
                <w:sz w:val="13"/>
                <w:szCs w:val="13"/>
              </w:rPr>
            </w:pPr>
            <w:r w:rsidRPr="00EF6679">
              <w:rPr>
                <w:rFonts w:ascii="Times New Roman" w:eastAsia="Times New Roman" w:hAnsi="Times New Roman" w:cs="Times New Roman"/>
                <w:color w:val="000000" w:themeColor="text1"/>
                <w:sz w:val="13"/>
                <w:szCs w:val="13"/>
              </w:rPr>
              <w:t>15.132</w:t>
            </w:r>
          </w:p>
        </w:tc>
        <w:tc>
          <w:tcPr>
            <w:tcW w:w="864" w:type="dxa"/>
            <w:tcBorders>
              <w:top w:val="nil"/>
              <w:left w:val="nil"/>
              <w:bottom w:val="nil"/>
              <w:right w:val="nil"/>
            </w:tcBorders>
            <w:noWrap/>
            <w:vAlign w:val="center"/>
            <w:hideMark/>
          </w:tcPr>
          <w:p w14:paraId="508B1D3F" w14:textId="77777777" w:rsidR="00BB138C" w:rsidRPr="00EF6679" w:rsidRDefault="00BB138C" w:rsidP="00820288">
            <w:pPr>
              <w:spacing w:line="240" w:lineRule="auto"/>
              <w:jc w:val="center"/>
              <w:rPr>
                <w:rFonts w:ascii="Times New Roman" w:eastAsia="Times New Roman" w:hAnsi="Times New Roman" w:cs="Times New Roman"/>
                <w:color w:val="000000" w:themeColor="text1"/>
                <w:sz w:val="13"/>
                <w:szCs w:val="13"/>
              </w:rPr>
            </w:pPr>
            <w:r w:rsidRPr="00EF6679">
              <w:rPr>
                <w:rFonts w:ascii="Times New Roman" w:eastAsia="Times New Roman" w:hAnsi="Times New Roman" w:cs="Times New Roman"/>
                <w:color w:val="000000" w:themeColor="text1"/>
                <w:sz w:val="13"/>
                <w:szCs w:val="13"/>
              </w:rPr>
              <w:t>2.95</w:t>
            </w:r>
          </w:p>
        </w:tc>
        <w:tc>
          <w:tcPr>
            <w:tcW w:w="720" w:type="dxa"/>
            <w:tcBorders>
              <w:top w:val="nil"/>
              <w:left w:val="nil"/>
              <w:bottom w:val="nil"/>
              <w:right w:val="nil"/>
            </w:tcBorders>
            <w:noWrap/>
            <w:vAlign w:val="center"/>
            <w:hideMark/>
          </w:tcPr>
          <w:p w14:paraId="03EDEAA8" w14:textId="77777777" w:rsidR="00BB138C" w:rsidRPr="00EF6679" w:rsidRDefault="00BB138C" w:rsidP="00820288">
            <w:pPr>
              <w:spacing w:line="240" w:lineRule="auto"/>
              <w:jc w:val="center"/>
              <w:rPr>
                <w:rFonts w:ascii="Times New Roman" w:eastAsia="Times New Roman" w:hAnsi="Times New Roman" w:cs="Times New Roman"/>
                <w:color w:val="000000" w:themeColor="text1"/>
                <w:sz w:val="13"/>
                <w:szCs w:val="13"/>
              </w:rPr>
            </w:pPr>
            <w:r w:rsidRPr="00EF6679">
              <w:rPr>
                <w:rFonts w:ascii="Times New Roman" w:eastAsia="Times New Roman" w:hAnsi="Times New Roman" w:cs="Times New Roman"/>
                <w:color w:val="000000" w:themeColor="text1"/>
                <w:sz w:val="13"/>
                <w:szCs w:val="13"/>
              </w:rPr>
              <w:t>1.88</w:t>
            </w:r>
          </w:p>
        </w:tc>
        <w:tc>
          <w:tcPr>
            <w:tcW w:w="864" w:type="dxa"/>
            <w:tcBorders>
              <w:top w:val="nil"/>
              <w:left w:val="nil"/>
              <w:bottom w:val="nil"/>
              <w:right w:val="nil"/>
            </w:tcBorders>
            <w:noWrap/>
            <w:vAlign w:val="center"/>
            <w:hideMark/>
          </w:tcPr>
          <w:p w14:paraId="594FF0AB" w14:textId="77777777" w:rsidR="00BB138C" w:rsidRPr="00EF6679" w:rsidRDefault="00BB138C" w:rsidP="00820288">
            <w:pPr>
              <w:spacing w:line="240" w:lineRule="auto"/>
              <w:jc w:val="center"/>
              <w:rPr>
                <w:rFonts w:ascii="Times New Roman" w:eastAsia="Times New Roman" w:hAnsi="Times New Roman" w:cs="Times New Roman"/>
                <w:color w:val="000000" w:themeColor="text1"/>
                <w:sz w:val="13"/>
                <w:szCs w:val="13"/>
              </w:rPr>
            </w:pPr>
            <w:r w:rsidRPr="00EF6679">
              <w:rPr>
                <w:rFonts w:ascii="Times New Roman" w:eastAsia="Times New Roman" w:hAnsi="Times New Roman" w:cs="Times New Roman"/>
                <w:color w:val="000000" w:themeColor="text1"/>
                <w:sz w:val="13"/>
                <w:szCs w:val="13"/>
              </w:rPr>
              <w:t>2.64</w:t>
            </w:r>
          </w:p>
        </w:tc>
        <w:tc>
          <w:tcPr>
            <w:tcW w:w="410" w:type="dxa"/>
            <w:tcBorders>
              <w:top w:val="nil"/>
              <w:left w:val="nil"/>
              <w:bottom w:val="nil"/>
              <w:right w:val="nil"/>
            </w:tcBorders>
            <w:noWrap/>
          </w:tcPr>
          <w:p w14:paraId="6AD0AE74" w14:textId="77777777" w:rsidR="00BB138C" w:rsidRPr="00EF6679" w:rsidRDefault="00BB138C" w:rsidP="00820288">
            <w:pPr>
              <w:spacing w:line="240" w:lineRule="auto"/>
              <w:jc w:val="right"/>
              <w:rPr>
                <w:rFonts w:ascii="Times New Roman" w:eastAsia="Times New Roman" w:hAnsi="Times New Roman" w:cs="Times New Roman"/>
                <w:color w:val="000000" w:themeColor="text1"/>
                <w:sz w:val="13"/>
                <w:szCs w:val="13"/>
              </w:rPr>
            </w:pPr>
          </w:p>
        </w:tc>
        <w:tc>
          <w:tcPr>
            <w:tcW w:w="864" w:type="dxa"/>
            <w:tcBorders>
              <w:top w:val="nil"/>
              <w:left w:val="nil"/>
              <w:bottom w:val="nil"/>
              <w:right w:val="nil"/>
            </w:tcBorders>
            <w:noWrap/>
            <w:vAlign w:val="bottom"/>
            <w:hideMark/>
          </w:tcPr>
          <w:p w14:paraId="62C18C47" w14:textId="77777777" w:rsidR="00BB138C" w:rsidRPr="00EF6679" w:rsidRDefault="00BB138C" w:rsidP="00820288">
            <w:pPr>
              <w:spacing w:line="240" w:lineRule="auto"/>
              <w:jc w:val="center"/>
              <w:rPr>
                <w:rFonts w:ascii="Times New Roman" w:eastAsia="Times New Roman" w:hAnsi="Times New Roman" w:cs="Times New Roman"/>
                <w:color w:val="000000" w:themeColor="text1"/>
                <w:sz w:val="13"/>
                <w:szCs w:val="13"/>
              </w:rPr>
            </w:pPr>
            <w:r w:rsidRPr="00EF6679">
              <w:rPr>
                <w:rFonts w:ascii="Times New Roman" w:hAnsi="Times New Roman" w:cs="Times New Roman"/>
                <w:color w:val="000000" w:themeColor="text1"/>
                <w:sz w:val="13"/>
                <w:szCs w:val="13"/>
              </w:rPr>
              <w:t>0.0872</w:t>
            </w:r>
          </w:p>
        </w:tc>
        <w:tc>
          <w:tcPr>
            <w:tcW w:w="720" w:type="dxa"/>
            <w:tcBorders>
              <w:top w:val="nil"/>
              <w:left w:val="nil"/>
              <w:bottom w:val="nil"/>
              <w:right w:val="nil"/>
            </w:tcBorders>
            <w:noWrap/>
            <w:vAlign w:val="bottom"/>
            <w:hideMark/>
          </w:tcPr>
          <w:p w14:paraId="362F6E9D" w14:textId="77777777" w:rsidR="00BB138C" w:rsidRPr="00EF6679" w:rsidRDefault="00BB138C" w:rsidP="00820288">
            <w:pPr>
              <w:spacing w:line="240" w:lineRule="auto"/>
              <w:jc w:val="center"/>
              <w:rPr>
                <w:rFonts w:ascii="Times New Roman" w:eastAsia="Times New Roman" w:hAnsi="Times New Roman" w:cs="Times New Roman"/>
                <w:color w:val="000000" w:themeColor="text1"/>
                <w:sz w:val="13"/>
                <w:szCs w:val="13"/>
              </w:rPr>
            </w:pPr>
            <w:r w:rsidRPr="00EF6679">
              <w:rPr>
                <w:rFonts w:ascii="Times New Roman" w:hAnsi="Times New Roman" w:cs="Times New Roman"/>
                <w:color w:val="000000" w:themeColor="text1"/>
                <w:sz w:val="13"/>
                <w:szCs w:val="13"/>
              </w:rPr>
              <w:t>0.0429</w:t>
            </w:r>
          </w:p>
        </w:tc>
        <w:tc>
          <w:tcPr>
            <w:tcW w:w="864" w:type="dxa"/>
            <w:tcBorders>
              <w:top w:val="nil"/>
              <w:left w:val="nil"/>
              <w:bottom w:val="nil"/>
              <w:right w:val="nil"/>
            </w:tcBorders>
            <w:noWrap/>
            <w:vAlign w:val="bottom"/>
            <w:hideMark/>
          </w:tcPr>
          <w:p w14:paraId="54B34950" w14:textId="77777777" w:rsidR="00BB138C" w:rsidRPr="00EF6679" w:rsidRDefault="00BB138C" w:rsidP="00820288">
            <w:pPr>
              <w:spacing w:line="240" w:lineRule="auto"/>
              <w:jc w:val="center"/>
              <w:rPr>
                <w:rFonts w:ascii="Times New Roman" w:eastAsia="Times New Roman" w:hAnsi="Times New Roman" w:cs="Times New Roman"/>
                <w:color w:val="000000" w:themeColor="text1"/>
                <w:sz w:val="13"/>
                <w:szCs w:val="13"/>
              </w:rPr>
            </w:pPr>
            <w:r w:rsidRPr="00EF6679">
              <w:rPr>
                <w:rFonts w:ascii="Times New Roman" w:hAnsi="Times New Roman" w:cs="Times New Roman"/>
                <w:color w:val="000000" w:themeColor="text1"/>
                <w:sz w:val="13"/>
                <w:szCs w:val="13"/>
              </w:rPr>
              <w:t>0.0035</w:t>
            </w:r>
          </w:p>
        </w:tc>
      </w:tr>
      <w:tr w:rsidR="009653CF" w:rsidRPr="00EF6679" w14:paraId="696738CE" w14:textId="77777777" w:rsidTr="00EF6679">
        <w:tblPrEx>
          <w:jc w:val="lef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trHeight w:val="144"/>
        </w:trPr>
        <w:tc>
          <w:tcPr>
            <w:tcW w:w="2340" w:type="dxa"/>
            <w:tcBorders>
              <w:top w:val="nil"/>
              <w:left w:val="nil"/>
              <w:bottom w:val="nil"/>
              <w:right w:val="nil"/>
            </w:tcBorders>
            <w:noWrap/>
            <w:hideMark/>
          </w:tcPr>
          <w:p w14:paraId="151FCBD7" w14:textId="77777777" w:rsidR="009653CF" w:rsidRPr="00EF6679" w:rsidRDefault="009653CF" w:rsidP="009653CF">
            <w:pPr>
              <w:spacing w:line="240" w:lineRule="auto"/>
              <w:rPr>
                <w:rFonts w:ascii="Times New Roman" w:eastAsia="Times New Roman" w:hAnsi="Times New Roman" w:cs="Times New Roman"/>
                <w:color w:val="000000" w:themeColor="text1"/>
                <w:sz w:val="13"/>
                <w:szCs w:val="13"/>
              </w:rPr>
            </w:pPr>
            <w:r w:rsidRPr="00EF6679">
              <w:rPr>
                <w:rFonts w:ascii="Times New Roman" w:eastAsia="Times New Roman" w:hAnsi="Times New Roman" w:cs="Times New Roman"/>
                <w:color w:val="000000" w:themeColor="text1"/>
                <w:sz w:val="13"/>
                <w:szCs w:val="13"/>
              </w:rPr>
              <w:t>3-ethyl-Benzaldehyde</w:t>
            </w:r>
          </w:p>
        </w:tc>
        <w:tc>
          <w:tcPr>
            <w:tcW w:w="939" w:type="dxa"/>
            <w:tcBorders>
              <w:top w:val="nil"/>
              <w:left w:val="nil"/>
              <w:bottom w:val="nil"/>
              <w:right w:val="nil"/>
            </w:tcBorders>
            <w:noWrap/>
            <w:vAlign w:val="center"/>
            <w:hideMark/>
          </w:tcPr>
          <w:p w14:paraId="7FDBA52F" w14:textId="77777777" w:rsidR="009653CF" w:rsidRPr="00EF6679" w:rsidRDefault="009653CF" w:rsidP="009653CF">
            <w:pPr>
              <w:spacing w:line="240" w:lineRule="auto"/>
              <w:jc w:val="center"/>
              <w:rPr>
                <w:rFonts w:ascii="Times New Roman" w:eastAsia="Times New Roman" w:hAnsi="Times New Roman" w:cs="Times New Roman"/>
                <w:color w:val="000000" w:themeColor="text1"/>
                <w:sz w:val="13"/>
                <w:szCs w:val="13"/>
              </w:rPr>
            </w:pPr>
            <w:r w:rsidRPr="00EF6679">
              <w:rPr>
                <w:rFonts w:ascii="Times New Roman" w:eastAsia="Times New Roman" w:hAnsi="Times New Roman" w:cs="Times New Roman"/>
                <w:color w:val="000000" w:themeColor="text1"/>
                <w:sz w:val="13"/>
                <w:szCs w:val="13"/>
              </w:rPr>
              <w:t>34246-54-3</w:t>
            </w:r>
          </w:p>
        </w:tc>
        <w:tc>
          <w:tcPr>
            <w:tcW w:w="1152" w:type="dxa"/>
            <w:tcBorders>
              <w:top w:val="nil"/>
              <w:left w:val="nil"/>
              <w:bottom w:val="nil"/>
              <w:right w:val="nil"/>
            </w:tcBorders>
            <w:noWrap/>
            <w:vAlign w:val="center"/>
            <w:hideMark/>
          </w:tcPr>
          <w:p w14:paraId="285CF11D" w14:textId="77777777" w:rsidR="009653CF" w:rsidRPr="00EF6679" w:rsidRDefault="009653CF" w:rsidP="009653CF">
            <w:pPr>
              <w:spacing w:line="240" w:lineRule="auto"/>
              <w:jc w:val="center"/>
              <w:rPr>
                <w:rFonts w:ascii="Times New Roman" w:eastAsia="Times New Roman" w:hAnsi="Times New Roman" w:cs="Times New Roman"/>
                <w:color w:val="000000" w:themeColor="text1"/>
                <w:sz w:val="13"/>
                <w:szCs w:val="13"/>
              </w:rPr>
            </w:pPr>
            <w:r w:rsidRPr="00EF6679">
              <w:rPr>
                <w:rFonts w:ascii="Times New Roman" w:eastAsia="Times New Roman" w:hAnsi="Times New Roman" w:cs="Times New Roman"/>
                <w:color w:val="000000" w:themeColor="text1"/>
                <w:sz w:val="13"/>
                <w:szCs w:val="13"/>
              </w:rPr>
              <w:t>15.599</w:t>
            </w:r>
          </w:p>
        </w:tc>
        <w:tc>
          <w:tcPr>
            <w:tcW w:w="864" w:type="dxa"/>
            <w:tcBorders>
              <w:top w:val="nil"/>
              <w:left w:val="nil"/>
              <w:bottom w:val="nil"/>
              <w:right w:val="nil"/>
            </w:tcBorders>
            <w:noWrap/>
            <w:vAlign w:val="center"/>
            <w:hideMark/>
          </w:tcPr>
          <w:p w14:paraId="109AB4E3" w14:textId="77777777" w:rsidR="009653CF" w:rsidRPr="00EF6679" w:rsidRDefault="009653CF" w:rsidP="009653CF">
            <w:pPr>
              <w:spacing w:line="240" w:lineRule="auto"/>
              <w:jc w:val="center"/>
              <w:rPr>
                <w:rFonts w:ascii="Times New Roman" w:eastAsia="Times New Roman" w:hAnsi="Times New Roman" w:cs="Times New Roman"/>
                <w:color w:val="000000" w:themeColor="text1"/>
                <w:sz w:val="13"/>
                <w:szCs w:val="13"/>
              </w:rPr>
            </w:pPr>
            <w:r w:rsidRPr="00EF6679">
              <w:rPr>
                <w:rFonts w:ascii="Times New Roman" w:eastAsia="Times New Roman" w:hAnsi="Times New Roman" w:cs="Times New Roman"/>
                <w:color w:val="000000" w:themeColor="text1"/>
                <w:sz w:val="13"/>
                <w:szCs w:val="13"/>
              </w:rPr>
              <w:t>1.43</w:t>
            </w:r>
          </w:p>
        </w:tc>
        <w:tc>
          <w:tcPr>
            <w:tcW w:w="720" w:type="dxa"/>
            <w:tcBorders>
              <w:top w:val="nil"/>
              <w:left w:val="nil"/>
              <w:bottom w:val="nil"/>
              <w:right w:val="nil"/>
            </w:tcBorders>
            <w:noWrap/>
            <w:vAlign w:val="center"/>
            <w:hideMark/>
          </w:tcPr>
          <w:p w14:paraId="1A1A29A8" w14:textId="77777777" w:rsidR="009653CF" w:rsidRPr="00EF6679" w:rsidRDefault="009653CF" w:rsidP="009653CF">
            <w:pPr>
              <w:spacing w:line="240" w:lineRule="auto"/>
              <w:jc w:val="center"/>
              <w:rPr>
                <w:rFonts w:ascii="Times New Roman" w:eastAsia="Times New Roman" w:hAnsi="Times New Roman" w:cs="Times New Roman"/>
                <w:color w:val="000000" w:themeColor="text1"/>
                <w:sz w:val="13"/>
                <w:szCs w:val="13"/>
              </w:rPr>
            </w:pPr>
            <w:r w:rsidRPr="00EF6679">
              <w:rPr>
                <w:rFonts w:ascii="Times New Roman" w:eastAsia="Times New Roman" w:hAnsi="Times New Roman" w:cs="Times New Roman"/>
                <w:color w:val="000000" w:themeColor="text1"/>
                <w:sz w:val="13"/>
                <w:szCs w:val="13"/>
              </w:rPr>
              <w:t>1.17</w:t>
            </w:r>
          </w:p>
        </w:tc>
        <w:tc>
          <w:tcPr>
            <w:tcW w:w="864" w:type="dxa"/>
            <w:tcBorders>
              <w:top w:val="nil"/>
              <w:left w:val="nil"/>
              <w:bottom w:val="nil"/>
              <w:right w:val="nil"/>
            </w:tcBorders>
            <w:noWrap/>
            <w:vAlign w:val="center"/>
            <w:hideMark/>
          </w:tcPr>
          <w:p w14:paraId="78BCC68E" w14:textId="77777777" w:rsidR="009653CF" w:rsidRPr="00EF6679" w:rsidRDefault="009653CF" w:rsidP="009653CF">
            <w:pPr>
              <w:spacing w:line="240" w:lineRule="auto"/>
              <w:jc w:val="center"/>
              <w:rPr>
                <w:rFonts w:ascii="Times New Roman" w:eastAsia="Times New Roman" w:hAnsi="Times New Roman" w:cs="Times New Roman"/>
                <w:color w:val="000000" w:themeColor="text1"/>
                <w:sz w:val="13"/>
                <w:szCs w:val="13"/>
              </w:rPr>
            </w:pPr>
            <w:r w:rsidRPr="00EF6679">
              <w:rPr>
                <w:rFonts w:ascii="Times New Roman" w:eastAsia="Times New Roman" w:hAnsi="Times New Roman" w:cs="Times New Roman"/>
                <w:color w:val="000000" w:themeColor="text1"/>
                <w:sz w:val="13"/>
                <w:szCs w:val="13"/>
              </w:rPr>
              <w:t>0.37</w:t>
            </w:r>
          </w:p>
        </w:tc>
        <w:tc>
          <w:tcPr>
            <w:tcW w:w="410" w:type="dxa"/>
            <w:tcBorders>
              <w:top w:val="nil"/>
              <w:left w:val="nil"/>
              <w:bottom w:val="nil"/>
              <w:right w:val="nil"/>
            </w:tcBorders>
            <w:noWrap/>
          </w:tcPr>
          <w:p w14:paraId="7D1A1C16" w14:textId="77777777" w:rsidR="009653CF" w:rsidRPr="00EF6679" w:rsidRDefault="009653CF" w:rsidP="009653CF">
            <w:pPr>
              <w:spacing w:line="240" w:lineRule="auto"/>
              <w:jc w:val="right"/>
              <w:rPr>
                <w:rFonts w:ascii="Times New Roman" w:eastAsia="Times New Roman" w:hAnsi="Times New Roman" w:cs="Times New Roman"/>
                <w:color w:val="000000" w:themeColor="text1"/>
                <w:sz w:val="13"/>
                <w:szCs w:val="13"/>
              </w:rPr>
            </w:pPr>
          </w:p>
        </w:tc>
        <w:tc>
          <w:tcPr>
            <w:tcW w:w="864" w:type="dxa"/>
            <w:tcBorders>
              <w:top w:val="nil"/>
              <w:left w:val="nil"/>
              <w:bottom w:val="nil"/>
              <w:right w:val="nil"/>
            </w:tcBorders>
            <w:noWrap/>
            <w:vAlign w:val="bottom"/>
            <w:hideMark/>
          </w:tcPr>
          <w:p w14:paraId="6DB46469" w14:textId="77777777" w:rsidR="009653CF" w:rsidRPr="00EF6679" w:rsidRDefault="009653CF" w:rsidP="009653CF">
            <w:pPr>
              <w:spacing w:line="240" w:lineRule="auto"/>
              <w:jc w:val="center"/>
              <w:rPr>
                <w:rFonts w:ascii="Times New Roman" w:eastAsia="Times New Roman" w:hAnsi="Times New Roman" w:cs="Times New Roman"/>
                <w:color w:val="000000" w:themeColor="text1"/>
                <w:sz w:val="13"/>
                <w:szCs w:val="13"/>
              </w:rPr>
            </w:pPr>
            <w:r w:rsidRPr="00EF6679">
              <w:rPr>
                <w:rFonts w:ascii="Times New Roman" w:hAnsi="Times New Roman" w:cs="Times New Roman"/>
                <w:color w:val="000000" w:themeColor="text1"/>
                <w:sz w:val="13"/>
                <w:szCs w:val="13"/>
              </w:rPr>
              <w:t>0.2331</w:t>
            </w:r>
          </w:p>
        </w:tc>
        <w:tc>
          <w:tcPr>
            <w:tcW w:w="720" w:type="dxa"/>
            <w:tcBorders>
              <w:top w:val="nil"/>
              <w:left w:val="nil"/>
              <w:bottom w:val="nil"/>
              <w:right w:val="nil"/>
            </w:tcBorders>
            <w:noWrap/>
            <w:vAlign w:val="bottom"/>
            <w:hideMark/>
          </w:tcPr>
          <w:p w14:paraId="3C7D0A0E" w14:textId="77777777" w:rsidR="009653CF" w:rsidRPr="00EF6679" w:rsidRDefault="009653CF" w:rsidP="009653CF">
            <w:pPr>
              <w:spacing w:line="240" w:lineRule="auto"/>
              <w:jc w:val="center"/>
              <w:rPr>
                <w:rFonts w:ascii="Times New Roman" w:eastAsia="Times New Roman" w:hAnsi="Times New Roman" w:cs="Times New Roman"/>
                <w:color w:val="000000" w:themeColor="text1"/>
                <w:sz w:val="13"/>
                <w:szCs w:val="13"/>
              </w:rPr>
            </w:pPr>
            <w:r w:rsidRPr="00EF6679">
              <w:rPr>
                <w:rFonts w:ascii="Times New Roman" w:hAnsi="Times New Roman" w:cs="Times New Roman"/>
                <w:color w:val="000000" w:themeColor="text1"/>
                <w:sz w:val="13"/>
                <w:szCs w:val="13"/>
              </w:rPr>
              <w:t>0.3103</w:t>
            </w:r>
          </w:p>
        </w:tc>
        <w:tc>
          <w:tcPr>
            <w:tcW w:w="864" w:type="dxa"/>
            <w:tcBorders>
              <w:top w:val="nil"/>
              <w:left w:val="nil"/>
              <w:bottom w:val="nil"/>
              <w:right w:val="nil"/>
            </w:tcBorders>
            <w:noWrap/>
            <w:vAlign w:val="bottom"/>
            <w:hideMark/>
          </w:tcPr>
          <w:p w14:paraId="23F782F2" w14:textId="77777777" w:rsidR="009653CF" w:rsidRPr="00EF6679" w:rsidRDefault="009653CF" w:rsidP="009653CF">
            <w:pPr>
              <w:spacing w:line="240" w:lineRule="auto"/>
              <w:jc w:val="center"/>
              <w:rPr>
                <w:rFonts w:ascii="Times New Roman" w:eastAsia="Times New Roman" w:hAnsi="Times New Roman" w:cs="Times New Roman"/>
                <w:color w:val="000000" w:themeColor="text1"/>
                <w:sz w:val="13"/>
                <w:szCs w:val="13"/>
              </w:rPr>
            </w:pPr>
            <w:r w:rsidRPr="00EF6679">
              <w:rPr>
                <w:rFonts w:ascii="Times New Roman" w:hAnsi="Times New Roman" w:cs="Times New Roman"/>
                <w:color w:val="000000" w:themeColor="text1"/>
                <w:sz w:val="13"/>
                <w:szCs w:val="13"/>
              </w:rPr>
              <w:t>0.9664</w:t>
            </w:r>
          </w:p>
        </w:tc>
      </w:tr>
      <w:tr w:rsidR="009653CF" w:rsidRPr="00EF6679" w14:paraId="454A8054" w14:textId="77777777" w:rsidTr="00820288">
        <w:tblPrEx>
          <w:jc w:val="lef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trHeight w:val="144"/>
        </w:trPr>
        <w:tc>
          <w:tcPr>
            <w:tcW w:w="2340" w:type="dxa"/>
            <w:tcBorders>
              <w:top w:val="nil"/>
              <w:left w:val="nil"/>
              <w:bottom w:val="nil"/>
              <w:right w:val="nil"/>
            </w:tcBorders>
            <w:noWrap/>
            <w:hideMark/>
          </w:tcPr>
          <w:p w14:paraId="37FB2E33" w14:textId="77777777" w:rsidR="009653CF" w:rsidRPr="00EF6679" w:rsidRDefault="009653CF" w:rsidP="009653CF">
            <w:pPr>
              <w:spacing w:line="240" w:lineRule="auto"/>
              <w:rPr>
                <w:rFonts w:ascii="Times New Roman" w:eastAsia="Times New Roman" w:hAnsi="Times New Roman" w:cs="Times New Roman"/>
                <w:color w:val="000000" w:themeColor="text1"/>
                <w:sz w:val="13"/>
                <w:szCs w:val="13"/>
              </w:rPr>
            </w:pPr>
            <w:r w:rsidRPr="00EF6679">
              <w:rPr>
                <w:rFonts w:ascii="Times New Roman" w:eastAsia="Times New Roman" w:hAnsi="Times New Roman" w:cs="Times New Roman"/>
                <w:color w:val="000000" w:themeColor="text1"/>
                <w:sz w:val="13"/>
                <w:szCs w:val="13"/>
              </w:rPr>
              <w:t>α-Terpinene</w:t>
            </w:r>
          </w:p>
        </w:tc>
        <w:tc>
          <w:tcPr>
            <w:tcW w:w="939" w:type="dxa"/>
            <w:tcBorders>
              <w:top w:val="nil"/>
              <w:left w:val="nil"/>
              <w:bottom w:val="nil"/>
              <w:right w:val="nil"/>
            </w:tcBorders>
            <w:noWrap/>
            <w:vAlign w:val="center"/>
            <w:hideMark/>
          </w:tcPr>
          <w:p w14:paraId="3A281B91" w14:textId="77777777" w:rsidR="009653CF" w:rsidRPr="00EF6679" w:rsidRDefault="009653CF" w:rsidP="009653CF">
            <w:pPr>
              <w:spacing w:line="240" w:lineRule="auto"/>
              <w:jc w:val="center"/>
              <w:rPr>
                <w:rFonts w:ascii="Times New Roman" w:eastAsia="Times New Roman" w:hAnsi="Times New Roman" w:cs="Times New Roman"/>
                <w:color w:val="000000" w:themeColor="text1"/>
                <w:sz w:val="13"/>
                <w:szCs w:val="13"/>
              </w:rPr>
            </w:pPr>
            <w:r w:rsidRPr="00EF6679">
              <w:rPr>
                <w:rFonts w:ascii="Times New Roman" w:eastAsia="Times New Roman" w:hAnsi="Times New Roman" w:cs="Times New Roman"/>
                <w:color w:val="000000" w:themeColor="text1"/>
                <w:sz w:val="13"/>
                <w:szCs w:val="13"/>
              </w:rPr>
              <w:t>99-86-5</w:t>
            </w:r>
          </w:p>
        </w:tc>
        <w:tc>
          <w:tcPr>
            <w:tcW w:w="1152" w:type="dxa"/>
            <w:tcBorders>
              <w:top w:val="nil"/>
              <w:left w:val="nil"/>
              <w:bottom w:val="nil"/>
              <w:right w:val="nil"/>
            </w:tcBorders>
            <w:noWrap/>
            <w:vAlign w:val="center"/>
            <w:hideMark/>
          </w:tcPr>
          <w:p w14:paraId="2FB656A1" w14:textId="77777777" w:rsidR="009653CF" w:rsidRPr="00EF6679" w:rsidRDefault="009653CF" w:rsidP="009653CF">
            <w:pPr>
              <w:spacing w:line="240" w:lineRule="auto"/>
              <w:jc w:val="center"/>
              <w:rPr>
                <w:rFonts w:ascii="Times New Roman" w:eastAsia="Times New Roman" w:hAnsi="Times New Roman" w:cs="Times New Roman"/>
                <w:color w:val="000000" w:themeColor="text1"/>
                <w:sz w:val="13"/>
                <w:szCs w:val="13"/>
              </w:rPr>
            </w:pPr>
            <w:r w:rsidRPr="00EF6679">
              <w:rPr>
                <w:rFonts w:ascii="Times New Roman" w:eastAsia="Times New Roman" w:hAnsi="Times New Roman" w:cs="Times New Roman"/>
                <w:color w:val="000000" w:themeColor="text1"/>
                <w:sz w:val="13"/>
                <w:szCs w:val="13"/>
              </w:rPr>
              <w:t>15.915</w:t>
            </w:r>
          </w:p>
        </w:tc>
        <w:tc>
          <w:tcPr>
            <w:tcW w:w="864" w:type="dxa"/>
            <w:tcBorders>
              <w:top w:val="nil"/>
              <w:left w:val="nil"/>
              <w:bottom w:val="nil"/>
              <w:right w:val="nil"/>
            </w:tcBorders>
            <w:noWrap/>
            <w:vAlign w:val="center"/>
            <w:hideMark/>
          </w:tcPr>
          <w:p w14:paraId="012626E0" w14:textId="77777777" w:rsidR="009653CF" w:rsidRPr="00EF6679" w:rsidRDefault="009653CF" w:rsidP="009653CF">
            <w:pPr>
              <w:spacing w:line="240" w:lineRule="auto"/>
              <w:jc w:val="center"/>
              <w:rPr>
                <w:rFonts w:ascii="Times New Roman" w:eastAsia="Times New Roman" w:hAnsi="Times New Roman" w:cs="Times New Roman"/>
                <w:color w:val="000000" w:themeColor="text1"/>
                <w:sz w:val="13"/>
                <w:szCs w:val="13"/>
              </w:rPr>
            </w:pPr>
            <w:r w:rsidRPr="00EF6679">
              <w:rPr>
                <w:rFonts w:ascii="Times New Roman" w:eastAsia="Times New Roman" w:hAnsi="Times New Roman" w:cs="Times New Roman"/>
                <w:color w:val="000000" w:themeColor="text1"/>
                <w:sz w:val="13"/>
                <w:szCs w:val="13"/>
              </w:rPr>
              <w:t>0.01</w:t>
            </w:r>
          </w:p>
        </w:tc>
        <w:tc>
          <w:tcPr>
            <w:tcW w:w="720" w:type="dxa"/>
            <w:tcBorders>
              <w:top w:val="nil"/>
              <w:left w:val="nil"/>
              <w:bottom w:val="nil"/>
              <w:right w:val="nil"/>
            </w:tcBorders>
            <w:noWrap/>
            <w:vAlign w:val="center"/>
            <w:hideMark/>
          </w:tcPr>
          <w:p w14:paraId="2FADFE52" w14:textId="77777777" w:rsidR="009653CF" w:rsidRPr="00EF6679" w:rsidRDefault="009653CF" w:rsidP="009653CF">
            <w:pPr>
              <w:spacing w:line="240" w:lineRule="auto"/>
              <w:jc w:val="center"/>
              <w:rPr>
                <w:rFonts w:ascii="Times New Roman" w:eastAsia="Times New Roman" w:hAnsi="Times New Roman" w:cs="Times New Roman"/>
                <w:color w:val="000000" w:themeColor="text1"/>
                <w:sz w:val="13"/>
                <w:szCs w:val="13"/>
              </w:rPr>
            </w:pPr>
            <w:r w:rsidRPr="00EF6679">
              <w:rPr>
                <w:rFonts w:ascii="Times New Roman" w:eastAsia="Times New Roman" w:hAnsi="Times New Roman" w:cs="Times New Roman"/>
                <w:color w:val="000000" w:themeColor="text1"/>
                <w:sz w:val="13"/>
                <w:szCs w:val="13"/>
              </w:rPr>
              <w:t>1.46</w:t>
            </w:r>
          </w:p>
        </w:tc>
        <w:tc>
          <w:tcPr>
            <w:tcW w:w="864" w:type="dxa"/>
            <w:tcBorders>
              <w:top w:val="nil"/>
              <w:left w:val="nil"/>
              <w:bottom w:val="nil"/>
              <w:right w:val="nil"/>
            </w:tcBorders>
            <w:noWrap/>
            <w:vAlign w:val="center"/>
            <w:hideMark/>
          </w:tcPr>
          <w:p w14:paraId="41026A4E" w14:textId="77777777" w:rsidR="009653CF" w:rsidRPr="00EF6679" w:rsidRDefault="009653CF" w:rsidP="009653CF">
            <w:pPr>
              <w:spacing w:line="240" w:lineRule="auto"/>
              <w:jc w:val="center"/>
              <w:rPr>
                <w:rFonts w:ascii="Times New Roman" w:eastAsia="Times New Roman" w:hAnsi="Times New Roman" w:cs="Times New Roman"/>
                <w:color w:val="000000" w:themeColor="text1"/>
                <w:sz w:val="13"/>
                <w:szCs w:val="13"/>
              </w:rPr>
            </w:pPr>
            <w:r w:rsidRPr="00EF6679">
              <w:rPr>
                <w:rFonts w:ascii="Times New Roman" w:eastAsia="Times New Roman" w:hAnsi="Times New Roman" w:cs="Times New Roman"/>
                <w:color w:val="000000" w:themeColor="text1"/>
                <w:sz w:val="13"/>
                <w:szCs w:val="13"/>
              </w:rPr>
              <w:t>1.05</w:t>
            </w:r>
          </w:p>
        </w:tc>
        <w:tc>
          <w:tcPr>
            <w:tcW w:w="410" w:type="dxa"/>
            <w:tcBorders>
              <w:top w:val="nil"/>
              <w:left w:val="nil"/>
              <w:bottom w:val="nil"/>
              <w:right w:val="nil"/>
            </w:tcBorders>
            <w:noWrap/>
          </w:tcPr>
          <w:p w14:paraId="14B50180" w14:textId="77777777" w:rsidR="009653CF" w:rsidRPr="00EF6679" w:rsidRDefault="009653CF" w:rsidP="009653CF">
            <w:pPr>
              <w:spacing w:line="240" w:lineRule="auto"/>
              <w:jc w:val="right"/>
              <w:rPr>
                <w:rFonts w:ascii="Times New Roman" w:eastAsia="Times New Roman" w:hAnsi="Times New Roman" w:cs="Times New Roman"/>
                <w:color w:val="000000" w:themeColor="text1"/>
                <w:sz w:val="13"/>
                <w:szCs w:val="13"/>
              </w:rPr>
            </w:pPr>
          </w:p>
        </w:tc>
        <w:tc>
          <w:tcPr>
            <w:tcW w:w="864" w:type="dxa"/>
            <w:tcBorders>
              <w:top w:val="nil"/>
              <w:left w:val="nil"/>
              <w:bottom w:val="nil"/>
              <w:right w:val="nil"/>
            </w:tcBorders>
            <w:noWrap/>
            <w:vAlign w:val="bottom"/>
            <w:hideMark/>
          </w:tcPr>
          <w:p w14:paraId="7F074E7B" w14:textId="77777777" w:rsidR="009653CF" w:rsidRPr="00EF6679" w:rsidRDefault="009653CF" w:rsidP="009653CF">
            <w:pPr>
              <w:spacing w:line="240" w:lineRule="auto"/>
              <w:jc w:val="center"/>
              <w:rPr>
                <w:rFonts w:ascii="Times New Roman" w:eastAsia="Times New Roman" w:hAnsi="Times New Roman" w:cs="Times New Roman"/>
                <w:color w:val="000000" w:themeColor="text1"/>
                <w:sz w:val="13"/>
                <w:szCs w:val="13"/>
              </w:rPr>
            </w:pPr>
            <w:r w:rsidRPr="00EF6679">
              <w:rPr>
                <w:rFonts w:ascii="Times New Roman" w:hAnsi="Times New Roman" w:cs="Times New Roman"/>
                <w:color w:val="000000" w:themeColor="text1"/>
                <w:sz w:val="13"/>
                <w:szCs w:val="13"/>
              </w:rPr>
              <w:t>0.9066</w:t>
            </w:r>
          </w:p>
        </w:tc>
        <w:tc>
          <w:tcPr>
            <w:tcW w:w="720" w:type="dxa"/>
            <w:tcBorders>
              <w:top w:val="nil"/>
              <w:left w:val="nil"/>
              <w:bottom w:val="nil"/>
              <w:right w:val="nil"/>
            </w:tcBorders>
            <w:noWrap/>
            <w:vAlign w:val="bottom"/>
            <w:hideMark/>
          </w:tcPr>
          <w:p w14:paraId="565AD3B8" w14:textId="77777777" w:rsidR="009653CF" w:rsidRPr="00EF6679" w:rsidRDefault="009653CF" w:rsidP="009653CF">
            <w:pPr>
              <w:spacing w:line="240" w:lineRule="auto"/>
              <w:jc w:val="center"/>
              <w:rPr>
                <w:rFonts w:ascii="Times New Roman" w:eastAsia="Times New Roman" w:hAnsi="Times New Roman" w:cs="Times New Roman"/>
                <w:color w:val="000000" w:themeColor="text1"/>
                <w:sz w:val="13"/>
                <w:szCs w:val="13"/>
              </w:rPr>
            </w:pPr>
            <w:r w:rsidRPr="00EF6679">
              <w:rPr>
                <w:rFonts w:ascii="Times New Roman" w:hAnsi="Times New Roman" w:cs="Times New Roman"/>
                <w:color w:val="000000" w:themeColor="text1"/>
                <w:sz w:val="13"/>
                <w:szCs w:val="13"/>
              </w:rPr>
              <w:t>0.1494</w:t>
            </w:r>
          </w:p>
        </w:tc>
        <w:tc>
          <w:tcPr>
            <w:tcW w:w="864" w:type="dxa"/>
            <w:tcBorders>
              <w:top w:val="nil"/>
              <w:left w:val="nil"/>
              <w:bottom w:val="nil"/>
              <w:right w:val="nil"/>
            </w:tcBorders>
            <w:noWrap/>
            <w:vAlign w:val="bottom"/>
            <w:hideMark/>
          </w:tcPr>
          <w:p w14:paraId="7579309A" w14:textId="77777777" w:rsidR="009653CF" w:rsidRPr="00EF6679" w:rsidRDefault="009653CF" w:rsidP="009653CF">
            <w:pPr>
              <w:spacing w:line="240" w:lineRule="auto"/>
              <w:jc w:val="center"/>
              <w:rPr>
                <w:rFonts w:ascii="Times New Roman" w:eastAsia="Times New Roman" w:hAnsi="Times New Roman" w:cs="Times New Roman"/>
                <w:color w:val="000000" w:themeColor="text1"/>
                <w:sz w:val="13"/>
                <w:szCs w:val="13"/>
              </w:rPr>
            </w:pPr>
            <w:r w:rsidRPr="00EF6679">
              <w:rPr>
                <w:rFonts w:ascii="Times New Roman" w:hAnsi="Times New Roman" w:cs="Times New Roman"/>
                <w:color w:val="000000" w:themeColor="text1"/>
                <w:sz w:val="13"/>
                <w:szCs w:val="13"/>
              </w:rPr>
              <w:t>0.4064</w:t>
            </w:r>
          </w:p>
        </w:tc>
      </w:tr>
      <w:tr w:rsidR="009653CF" w:rsidRPr="00EF6679" w14:paraId="5BF6B1F1" w14:textId="77777777" w:rsidTr="00820288">
        <w:tblPrEx>
          <w:jc w:val="lef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trHeight w:val="144"/>
        </w:trPr>
        <w:tc>
          <w:tcPr>
            <w:tcW w:w="2340" w:type="dxa"/>
            <w:tcBorders>
              <w:top w:val="nil"/>
              <w:left w:val="nil"/>
              <w:bottom w:val="nil"/>
              <w:right w:val="nil"/>
            </w:tcBorders>
            <w:noWrap/>
            <w:hideMark/>
          </w:tcPr>
          <w:p w14:paraId="5629DE12" w14:textId="77777777" w:rsidR="009653CF" w:rsidRPr="00EF6679" w:rsidRDefault="009653CF" w:rsidP="009653CF">
            <w:pPr>
              <w:spacing w:line="240" w:lineRule="auto"/>
              <w:rPr>
                <w:rFonts w:ascii="Times New Roman" w:eastAsia="Times New Roman" w:hAnsi="Times New Roman" w:cs="Times New Roman"/>
                <w:color w:val="000000" w:themeColor="text1"/>
                <w:sz w:val="13"/>
                <w:szCs w:val="13"/>
              </w:rPr>
            </w:pPr>
            <w:r w:rsidRPr="00EF6679">
              <w:rPr>
                <w:rFonts w:ascii="Times New Roman" w:eastAsia="Times New Roman" w:hAnsi="Times New Roman" w:cs="Times New Roman"/>
                <w:color w:val="000000" w:themeColor="text1"/>
                <w:sz w:val="13"/>
                <w:szCs w:val="13"/>
              </w:rPr>
              <w:t xml:space="preserve">Benzamide                </w:t>
            </w:r>
          </w:p>
        </w:tc>
        <w:tc>
          <w:tcPr>
            <w:tcW w:w="939" w:type="dxa"/>
            <w:tcBorders>
              <w:top w:val="nil"/>
              <w:left w:val="nil"/>
              <w:bottom w:val="nil"/>
              <w:right w:val="nil"/>
            </w:tcBorders>
            <w:noWrap/>
            <w:vAlign w:val="center"/>
            <w:hideMark/>
          </w:tcPr>
          <w:p w14:paraId="1F39444A" w14:textId="77777777" w:rsidR="009653CF" w:rsidRPr="00EF6679" w:rsidRDefault="009653CF" w:rsidP="009653CF">
            <w:pPr>
              <w:spacing w:line="240" w:lineRule="auto"/>
              <w:jc w:val="center"/>
              <w:rPr>
                <w:rFonts w:ascii="Times New Roman" w:eastAsia="Times New Roman" w:hAnsi="Times New Roman" w:cs="Times New Roman"/>
                <w:color w:val="000000" w:themeColor="text1"/>
                <w:sz w:val="13"/>
                <w:szCs w:val="13"/>
              </w:rPr>
            </w:pPr>
            <w:r w:rsidRPr="00EF6679">
              <w:rPr>
                <w:rFonts w:ascii="Times New Roman" w:eastAsia="Times New Roman" w:hAnsi="Times New Roman" w:cs="Times New Roman"/>
                <w:color w:val="000000" w:themeColor="text1"/>
                <w:sz w:val="13"/>
                <w:szCs w:val="13"/>
              </w:rPr>
              <w:t>55-21-0</w:t>
            </w:r>
          </w:p>
        </w:tc>
        <w:tc>
          <w:tcPr>
            <w:tcW w:w="1152" w:type="dxa"/>
            <w:tcBorders>
              <w:top w:val="nil"/>
              <w:left w:val="nil"/>
              <w:bottom w:val="nil"/>
              <w:right w:val="nil"/>
            </w:tcBorders>
            <w:noWrap/>
            <w:vAlign w:val="center"/>
            <w:hideMark/>
          </w:tcPr>
          <w:p w14:paraId="72FD8600" w14:textId="77777777" w:rsidR="009653CF" w:rsidRPr="00EF6679" w:rsidRDefault="009653CF" w:rsidP="009653CF">
            <w:pPr>
              <w:spacing w:line="240" w:lineRule="auto"/>
              <w:jc w:val="center"/>
              <w:rPr>
                <w:rFonts w:ascii="Times New Roman" w:eastAsia="Times New Roman" w:hAnsi="Times New Roman" w:cs="Times New Roman"/>
                <w:color w:val="000000" w:themeColor="text1"/>
                <w:sz w:val="13"/>
                <w:szCs w:val="13"/>
              </w:rPr>
            </w:pPr>
            <w:r w:rsidRPr="00EF6679">
              <w:rPr>
                <w:rFonts w:ascii="Times New Roman" w:eastAsia="Times New Roman" w:hAnsi="Times New Roman" w:cs="Times New Roman"/>
                <w:color w:val="000000" w:themeColor="text1"/>
                <w:sz w:val="13"/>
                <w:szCs w:val="13"/>
              </w:rPr>
              <w:t>16.070</w:t>
            </w:r>
          </w:p>
        </w:tc>
        <w:tc>
          <w:tcPr>
            <w:tcW w:w="864" w:type="dxa"/>
            <w:tcBorders>
              <w:top w:val="nil"/>
              <w:left w:val="nil"/>
              <w:bottom w:val="nil"/>
              <w:right w:val="nil"/>
            </w:tcBorders>
            <w:noWrap/>
            <w:vAlign w:val="center"/>
            <w:hideMark/>
          </w:tcPr>
          <w:p w14:paraId="030A93E8" w14:textId="77777777" w:rsidR="009653CF" w:rsidRPr="00EF6679" w:rsidRDefault="009653CF" w:rsidP="009653CF">
            <w:pPr>
              <w:spacing w:line="240" w:lineRule="auto"/>
              <w:jc w:val="center"/>
              <w:rPr>
                <w:rFonts w:ascii="Times New Roman" w:eastAsia="Times New Roman" w:hAnsi="Times New Roman" w:cs="Times New Roman"/>
                <w:color w:val="000000" w:themeColor="text1"/>
                <w:sz w:val="13"/>
                <w:szCs w:val="13"/>
              </w:rPr>
            </w:pPr>
            <w:r w:rsidRPr="00EF6679">
              <w:rPr>
                <w:rFonts w:ascii="Times New Roman" w:eastAsia="Times New Roman" w:hAnsi="Times New Roman" w:cs="Times New Roman"/>
                <w:color w:val="000000" w:themeColor="text1"/>
                <w:sz w:val="13"/>
                <w:szCs w:val="13"/>
              </w:rPr>
              <w:t>0.67</w:t>
            </w:r>
          </w:p>
        </w:tc>
        <w:tc>
          <w:tcPr>
            <w:tcW w:w="720" w:type="dxa"/>
            <w:tcBorders>
              <w:top w:val="nil"/>
              <w:left w:val="nil"/>
              <w:bottom w:val="nil"/>
              <w:right w:val="nil"/>
            </w:tcBorders>
            <w:noWrap/>
            <w:vAlign w:val="center"/>
            <w:hideMark/>
          </w:tcPr>
          <w:p w14:paraId="47D8DFF5" w14:textId="77777777" w:rsidR="009653CF" w:rsidRPr="00EF6679" w:rsidRDefault="009653CF" w:rsidP="009653CF">
            <w:pPr>
              <w:spacing w:line="240" w:lineRule="auto"/>
              <w:jc w:val="center"/>
              <w:rPr>
                <w:rFonts w:ascii="Times New Roman" w:eastAsia="Times New Roman" w:hAnsi="Times New Roman" w:cs="Times New Roman"/>
                <w:color w:val="000000" w:themeColor="text1"/>
                <w:sz w:val="13"/>
                <w:szCs w:val="13"/>
              </w:rPr>
            </w:pPr>
            <w:r w:rsidRPr="00EF6679">
              <w:rPr>
                <w:rFonts w:ascii="Times New Roman" w:eastAsia="Times New Roman" w:hAnsi="Times New Roman" w:cs="Times New Roman"/>
                <w:color w:val="000000" w:themeColor="text1"/>
                <w:sz w:val="13"/>
                <w:szCs w:val="13"/>
              </w:rPr>
              <w:t>1.04</w:t>
            </w:r>
          </w:p>
        </w:tc>
        <w:tc>
          <w:tcPr>
            <w:tcW w:w="864" w:type="dxa"/>
            <w:tcBorders>
              <w:top w:val="nil"/>
              <w:left w:val="nil"/>
              <w:bottom w:val="nil"/>
              <w:right w:val="nil"/>
            </w:tcBorders>
            <w:noWrap/>
            <w:vAlign w:val="center"/>
            <w:hideMark/>
          </w:tcPr>
          <w:p w14:paraId="66148814" w14:textId="77777777" w:rsidR="009653CF" w:rsidRPr="00EF6679" w:rsidRDefault="009653CF" w:rsidP="009653CF">
            <w:pPr>
              <w:spacing w:line="240" w:lineRule="auto"/>
              <w:jc w:val="center"/>
              <w:rPr>
                <w:rFonts w:ascii="Times New Roman" w:eastAsia="Times New Roman" w:hAnsi="Times New Roman" w:cs="Times New Roman"/>
                <w:color w:val="000000" w:themeColor="text1"/>
                <w:sz w:val="13"/>
                <w:szCs w:val="13"/>
              </w:rPr>
            </w:pPr>
            <w:r w:rsidRPr="00EF6679">
              <w:rPr>
                <w:rFonts w:ascii="Times New Roman" w:eastAsia="Times New Roman" w:hAnsi="Times New Roman" w:cs="Times New Roman"/>
                <w:color w:val="000000" w:themeColor="text1"/>
                <w:sz w:val="13"/>
                <w:szCs w:val="13"/>
              </w:rPr>
              <w:t>1.91</w:t>
            </w:r>
          </w:p>
        </w:tc>
        <w:tc>
          <w:tcPr>
            <w:tcW w:w="410" w:type="dxa"/>
            <w:tcBorders>
              <w:top w:val="nil"/>
              <w:left w:val="nil"/>
              <w:bottom w:val="nil"/>
              <w:right w:val="nil"/>
            </w:tcBorders>
            <w:noWrap/>
          </w:tcPr>
          <w:p w14:paraId="3CB56273" w14:textId="77777777" w:rsidR="009653CF" w:rsidRPr="00EF6679" w:rsidRDefault="009653CF" w:rsidP="009653CF">
            <w:pPr>
              <w:spacing w:line="240" w:lineRule="auto"/>
              <w:jc w:val="right"/>
              <w:rPr>
                <w:rFonts w:ascii="Times New Roman" w:eastAsia="Times New Roman" w:hAnsi="Times New Roman" w:cs="Times New Roman"/>
                <w:color w:val="000000" w:themeColor="text1"/>
                <w:sz w:val="13"/>
                <w:szCs w:val="13"/>
              </w:rPr>
            </w:pPr>
          </w:p>
        </w:tc>
        <w:tc>
          <w:tcPr>
            <w:tcW w:w="864" w:type="dxa"/>
            <w:tcBorders>
              <w:top w:val="nil"/>
              <w:left w:val="nil"/>
              <w:bottom w:val="nil"/>
              <w:right w:val="nil"/>
            </w:tcBorders>
            <w:noWrap/>
            <w:vAlign w:val="bottom"/>
            <w:hideMark/>
          </w:tcPr>
          <w:p w14:paraId="158EA0EF" w14:textId="77777777" w:rsidR="009653CF" w:rsidRPr="00EF6679" w:rsidRDefault="009653CF" w:rsidP="009653CF">
            <w:pPr>
              <w:spacing w:line="240" w:lineRule="auto"/>
              <w:jc w:val="center"/>
              <w:rPr>
                <w:rFonts w:ascii="Times New Roman" w:eastAsia="Times New Roman" w:hAnsi="Times New Roman" w:cs="Times New Roman"/>
                <w:color w:val="000000" w:themeColor="text1"/>
                <w:sz w:val="13"/>
                <w:szCs w:val="13"/>
              </w:rPr>
            </w:pPr>
            <w:r w:rsidRPr="00EF6679">
              <w:rPr>
                <w:rFonts w:ascii="Times New Roman" w:hAnsi="Times New Roman" w:cs="Times New Roman"/>
                <w:color w:val="000000" w:themeColor="text1"/>
                <w:sz w:val="13"/>
                <w:szCs w:val="13"/>
              </w:rPr>
              <w:t>0.4152</w:t>
            </w:r>
          </w:p>
        </w:tc>
        <w:tc>
          <w:tcPr>
            <w:tcW w:w="720" w:type="dxa"/>
            <w:tcBorders>
              <w:top w:val="nil"/>
              <w:left w:val="nil"/>
              <w:bottom w:val="nil"/>
              <w:right w:val="nil"/>
            </w:tcBorders>
            <w:noWrap/>
            <w:vAlign w:val="bottom"/>
            <w:hideMark/>
          </w:tcPr>
          <w:p w14:paraId="1BC0AB6C" w14:textId="77777777" w:rsidR="009653CF" w:rsidRPr="00EF6679" w:rsidRDefault="009653CF" w:rsidP="009653CF">
            <w:pPr>
              <w:spacing w:line="240" w:lineRule="auto"/>
              <w:jc w:val="center"/>
              <w:rPr>
                <w:rFonts w:ascii="Times New Roman" w:eastAsia="Times New Roman" w:hAnsi="Times New Roman" w:cs="Times New Roman"/>
                <w:color w:val="000000" w:themeColor="text1"/>
                <w:sz w:val="13"/>
                <w:szCs w:val="13"/>
              </w:rPr>
            </w:pPr>
            <w:r w:rsidRPr="00EF6679">
              <w:rPr>
                <w:rFonts w:ascii="Times New Roman" w:hAnsi="Times New Roman" w:cs="Times New Roman"/>
                <w:color w:val="000000" w:themeColor="text1"/>
                <w:sz w:val="13"/>
                <w:szCs w:val="13"/>
              </w:rPr>
              <w:t>0.4135</w:t>
            </w:r>
          </w:p>
        </w:tc>
        <w:tc>
          <w:tcPr>
            <w:tcW w:w="864" w:type="dxa"/>
            <w:tcBorders>
              <w:top w:val="nil"/>
              <w:left w:val="nil"/>
              <w:bottom w:val="nil"/>
              <w:right w:val="nil"/>
            </w:tcBorders>
            <w:noWrap/>
            <w:vAlign w:val="bottom"/>
            <w:hideMark/>
          </w:tcPr>
          <w:p w14:paraId="497D035C" w14:textId="77777777" w:rsidR="009653CF" w:rsidRPr="00EF6679" w:rsidRDefault="009653CF" w:rsidP="009653CF">
            <w:pPr>
              <w:spacing w:line="240" w:lineRule="auto"/>
              <w:jc w:val="center"/>
              <w:rPr>
                <w:rFonts w:ascii="Times New Roman" w:eastAsia="Times New Roman" w:hAnsi="Times New Roman" w:cs="Times New Roman"/>
                <w:color w:val="000000" w:themeColor="text1"/>
                <w:sz w:val="13"/>
                <w:szCs w:val="13"/>
              </w:rPr>
            </w:pPr>
            <w:r w:rsidRPr="00EF6679">
              <w:rPr>
                <w:rFonts w:ascii="Times New Roman" w:hAnsi="Times New Roman" w:cs="Times New Roman"/>
                <w:color w:val="000000" w:themeColor="text1"/>
                <w:sz w:val="13"/>
                <w:szCs w:val="13"/>
              </w:rPr>
              <w:t>0.0394</w:t>
            </w:r>
          </w:p>
        </w:tc>
      </w:tr>
      <w:tr w:rsidR="009653CF" w:rsidRPr="00EF6679" w14:paraId="1ED685D2" w14:textId="77777777" w:rsidTr="00820288">
        <w:tblPrEx>
          <w:jc w:val="lef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trHeight w:val="144"/>
        </w:trPr>
        <w:tc>
          <w:tcPr>
            <w:tcW w:w="2340" w:type="dxa"/>
            <w:tcBorders>
              <w:top w:val="nil"/>
              <w:left w:val="nil"/>
              <w:bottom w:val="nil"/>
              <w:right w:val="nil"/>
            </w:tcBorders>
            <w:noWrap/>
            <w:hideMark/>
          </w:tcPr>
          <w:p w14:paraId="22155C5E" w14:textId="77777777" w:rsidR="009653CF" w:rsidRPr="00EF6679" w:rsidRDefault="009653CF" w:rsidP="009653CF">
            <w:pPr>
              <w:spacing w:line="240" w:lineRule="auto"/>
              <w:rPr>
                <w:rFonts w:ascii="Times New Roman" w:eastAsia="Times New Roman" w:hAnsi="Times New Roman" w:cs="Times New Roman"/>
                <w:color w:val="000000" w:themeColor="text1"/>
                <w:sz w:val="13"/>
                <w:szCs w:val="13"/>
              </w:rPr>
            </w:pPr>
            <w:r w:rsidRPr="00EF6679">
              <w:rPr>
                <w:rFonts w:ascii="Times New Roman" w:eastAsia="Times New Roman" w:hAnsi="Times New Roman" w:cs="Times New Roman"/>
                <w:color w:val="000000" w:themeColor="text1"/>
                <w:sz w:val="13"/>
                <w:szCs w:val="13"/>
              </w:rPr>
              <w:t xml:space="preserve">Decane                   </w:t>
            </w:r>
          </w:p>
        </w:tc>
        <w:tc>
          <w:tcPr>
            <w:tcW w:w="939" w:type="dxa"/>
            <w:tcBorders>
              <w:top w:val="nil"/>
              <w:left w:val="nil"/>
              <w:bottom w:val="nil"/>
              <w:right w:val="nil"/>
            </w:tcBorders>
            <w:noWrap/>
            <w:vAlign w:val="center"/>
            <w:hideMark/>
          </w:tcPr>
          <w:p w14:paraId="2885589E" w14:textId="77777777" w:rsidR="009653CF" w:rsidRPr="00EF6679" w:rsidRDefault="009653CF" w:rsidP="009653CF">
            <w:pPr>
              <w:spacing w:line="240" w:lineRule="auto"/>
              <w:jc w:val="center"/>
              <w:rPr>
                <w:rFonts w:ascii="Times New Roman" w:eastAsia="Times New Roman" w:hAnsi="Times New Roman" w:cs="Times New Roman"/>
                <w:color w:val="000000" w:themeColor="text1"/>
                <w:sz w:val="13"/>
                <w:szCs w:val="13"/>
              </w:rPr>
            </w:pPr>
            <w:r w:rsidRPr="00EF6679">
              <w:rPr>
                <w:rFonts w:ascii="Times New Roman" w:eastAsia="Times New Roman" w:hAnsi="Times New Roman" w:cs="Times New Roman"/>
                <w:color w:val="000000" w:themeColor="text1"/>
                <w:sz w:val="13"/>
                <w:szCs w:val="13"/>
              </w:rPr>
              <w:t>124-18-5</w:t>
            </w:r>
          </w:p>
        </w:tc>
        <w:tc>
          <w:tcPr>
            <w:tcW w:w="1152" w:type="dxa"/>
            <w:tcBorders>
              <w:top w:val="nil"/>
              <w:left w:val="nil"/>
              <w:bottom w:val="nil"/>
              <w:right w:val="nil"/>
            </w:tcBorders>
            <w:noWrap/>
            <w:vAlign w:val="center"/>
            <w:hideMark/>
          </w:tcPr>
          <w:p w14:paraId="1EA57067" w14:textId="77777777" w:rsidR="009653CF" w:rsidRPr="00EF6679" w:rsidRDefault="009653CF" w:rsidP="009653CF">
            <w:pPr>
              <w:spacing w:line="240" w:lineRule="auto"/>
              <w:jc w:val="center"/>
              <w:rPr>
                <w:rFonts w:ascii="Times New Roman" w:eastAsia="Times New Roman" w:hAnsi="Times New Roman" w:cs="Times New Roman"/>
                <w:color w:val="000000" w:themeColor="text1"/>
                <w:sz w:val="13"/>
                <w:szCs w:val="13"/>
              </w:rPr>
            </w:pPr>
            <w:r w:rsidRPr="00EF6679">
              <w:rPr>
                <w:rFonts w:ascii="Times New Roman" w:eastAsia="Times New Roman" w:hAnsi="Times New Roman" w:cs="Times New Roman"/>
                <w:color w:val="000000" w:themeColor="text1"/>
                <w:sz w:val="13"/>
                <w:szCs w:val="13"/>
              </w:rPr>
              <w:t>16.858</w:t>
            </w:r>
          </w:p>
        </w:tc>
        <w:tc>
          <w:tcPr>
            <w:tcW w:w="864" w:type="dxa"/>
            <w:tcBorders>
              <w:top w:val="nil"/>
              <w:left w:val="nil"/>
              <w:bottom w:val="nil"/>
              <w:right w:val="nil"/>
            </w:tcBorders>
            <w:noWrap/>
            <w:vAlign w:val="center"/>
            <w:hideMark/>
          </w:tcPr>
          <w:p w14:paraId="4BD5F270" w14:textId="77777777" w:rsidR="009653CF" w:rsidRPr="00EF6679" w:rsidRDefault="009653CF" w:rsidP="009653CF">
            <w:pPr>
              <w:spacing w:line="240" w:lineRule="auto"/>
              <w:jc w:val="center"/>
              <w:rPr>
                <w:rFonts w:ascii="Times New Roman" w:eastAsia="Times New Roman" w:hAnsi="Times New Roman" w:cs="Times New Roman"/>
                <w:color w:val="000000" w:themeColor="text1"/>
                <w:sz w:val="13"/>
                <w:szCs w:val="13"/>
              </w:rPr>
            </w:pPr>
            <w:r w:rsidRPr="00EF6679">
              <w:rPr>
                <w:rFonts w:ascii="Times New Roman" w:eastAsia="Times New Roman" w:hAnsi="Times New Roman" w:cs="Times New Roman"/>
                <w:color w:val="000000" w:themeColor="text1"/>
                <w:sz w:val="13"/>
                <w:szCs w:val="13"/>
              </w:rPr>
              <w:t>2.62</w:t>
            </w:r>
          </w:p>
        </w:tc>
        <w:tc>
          <w:tcPr>
            <w:tcW w:w="720" w:type="dxa"/>
            <w:tcBorders>
              <w:top w:val="nil"/>
              <w:left w:val="nil"/>
              <w:bottom w:val="nil"/>
              <w:right w:val="nil"/>
            </w:tcBorders>
            <w:noWrap/>
            <w:vAlign w:val="center"/>
            <w:hideMark/>
          </w:tcPr>
          <w:p w14:paraId="69C2966A" w14:textId="77777777" w:rsidR="009653CF" w:rsidRPr="00EF6679" w:rsidRDefault="009653CF" w:rsidP="009653CF">
            <w:pPr>
              <w:spacing w:line="240" w:lineRule="auto"/>
              <w:jc w:val="center"/>
              <w:rPr>
                <w:rFonts w:ascii="Times New Roman" w:eastAsia="Times New Roman" w:hAnsi="Times New Roman" w:cs="Times New Roman"/>
                <w:color w:val="000000" w:themeColor="text1"/>
                <w:sz w:val="13"/>
                <w:szCs w:val="13"/>
              </w:rPr>
            </w:pPr>
            <w:r w:rsidRPr="00EF6679">
              <w:rPr>
                <w:rFonts w:ascii="Times New Roman" w:eastAsia="Times New Roman" w:hAnsi="Times New Roman" w:cs="Times New Roman"/>
                <w:color w:val="000000" w:themeColor="text1"/>
                <w:sz w:val="13"/>
                <w:szCs w:val="13"/>
              </w:rPr>
              <w:t>1.36</w:t>
            </w:r>
          </w:p>
        </w:tc>
        <w:tc>
          <w:tcPr>
            <w:tcW w:w="864" w:type="dxa"/>
            <w:tcBorders>
              <w:top w:val="nil"/>
              <w:left w:val="nil"/>
              <w:bottom w:val="nil"/>
              <w:right w:val="nil"/>
            </w:tcBorders>
            <w:noWrap/>
            <w:vAlign w:val="center"/>
            <w:hideMark/>
          </w:tcPr>
          <w:p w14:paraId="691157A4" w14:textId="77777777" w:rsidR="009653CF" w:rsidRPr="00EF6679" w:rsidRDefault="009653CF" w:rsidP="009653CF">
            <w:pPr>
              <w:spacing w:line="240" w:lineRule="auto"/>
              <w:jc w:val="center"/>
              <w:rPr>
                <w:rFonts w:ascii="Times New Roman" w:eastAsia="Times New Roman" w:hAnsi="Times New Roman" w:cs="Times New Roman"/>
                <w:color w:val="000000" w:themeColor="text1"/>
                <w:sz w:val="13"/>
                <w:szCs w:val="13"/>
              </w:rPr>
            </w:pPr>
            <w:r w:rsidRPr="00EF6679">
              <w:rPr>
                <w:rFonts w:ascii="Times New Roman" w:eastAsia="Times New Roman" w:hAnsi="Times New Roman" w:cs="Times New Roman"/>
                <w:color w:val="000000" w:themeColor="text1"/>
                <w:sz w:val="13"/>
                <w:szCs w:val="13"/>
              </w:rPr>
              <w:t>0.96</w:t>
            </w:r>
          </w:p>
        </w:tc>
        <w:tc>
          <w:tcPr>
            <w:tcW w:w="410" w:type="dxa"/>
            <w:tcBorders>
              <w:top w:val="nil"/>
              <w:left w:val="nil"/>
              <w:bottom w:val="nil"/>
              <w:right w:val="nil"/>
            </w:tcBorders>
            <w:noWrap/>
          </w:tcPr>
          <w:p w14:paraId="595C2770" w14:textId="77777777" w:rsidR="009653CF" w:rsidRPr="00EF6679" w:rsidRDefault="009653CF" w:rsidP="009653CF">
            <w:pPr>
              <w:spacing w:line="240" w:lineRule="auto"/>
              <w:jc w:val="right"/>
              <w:rPr>
                <w:rFonts w:ascii="Times New Roman" w:eastAsia="Times New Roman" w:hAnsi="Times New Roman" w:cs="Times New Roman"/>
                <w:color w:val="000000" w:themeColor="text1"/>
                <w:sz w:val="13"/>
                <w:szCs w:val="13"/>
              </w:rPr>
            </w:pPr>
          </w:p>
        </w:tc>
        <w:tc>
          <w:tcPr>
            <w:tcW w:w="864" w:type="dxa"/>
            <w:tcBorders>
              <w:top w:val="nil"/>
              <w:left w:val="nil"/>
              <w:bottom w:val="nil"/>
              <w:right w:val="nil"/>
            </w:tcBorders>
            <w:noWrap/>
            <w:vAlign w:val="bottom"/>
            <w:hideMark/>
          </w:tcPr>
          <w:p w14:paraId="3F61CD01" w14:textId="77777777" w:rsidR="009653CF" w:rsidRPr="00EF6679" w:rsidRDefault="009653CF" w:rsidP="009653CF">
            <w:pPr>
              <w:spacing w:line="240" w:lineRule="auto"/>
              <w:jc w:val="center"/>
              <w:rPr>
                <w:rFonts w:ascii="Times New Roman" w:eastAsia="Times New Roman" w:hAnsi="Times New Roman" w:cs="Times New Roman"/>
                <w:color w:val="000000" w:themeColor="text1"/>
                <w:sz w:val="13"/>
                <w:szCs w:val="13"/>
              </w:rPr>
            </w:pPr>
            <w:r w:rsidRPr="00EF6679">
              <w:rPr>
                <w:rFonts w:ascii="Times New Roman" w:hAnsi="Times New Roman" w:cs="Times New Roman"/>
                <w:color w:val="000000" w:themeColor="text1"/>
                <w:sz w:val="13"/>
                <w:szCs w:val="13"/>
              </w:rPr>
              <w:t>0.1069</w:t>
            </w:r>
          </w:p>
        </w:tc>
        <w:tc>
          <w:tcPr>
            <w:tcW w:w="720" w:type="dxa"/>
            <w:tcBorders>
              <w:top w:val="nil"/>
              <w:left w:val="nil"/>
              <w:bottom w:val="nil"/>
              <w:right w:val="nil"/>
            </w:tcBorders>
            <w:noWrap/>
            <w:vAlign w:val="bottom"/>
            <w:hideMark/>
          </w:tcPr>
          <w:p w14:paraId="2602669F" w14:textId="77777777" w:rsidR="009653CF" w:rsidRPr="00EF6679" w:rsidRDefault="009653CF" w:rsidP="009653CF">
            <w:pPr>
              <w:spacing w:line="240" w:lineRule="auto"/>
              <w:jc w:val="center"/>
              <w:rPr>
                <w:rFonts w:ascii="Times New Roman" w:eastAsia="Times New Roman" w:hAnsi="Times New Roman" w:cs="Times New Roman"/>
                <w:color w:val="000000" w:themeColor="text1"/>
                <w:sz w:val="13"/>
                <w:szCs w:val="13"/>
              </w:rPr>
            </w:pPr>
            <w:r w:rsidRPr="00EF6679">
              <w:rPr>
                <w:rFonts w:ascii="Times New Roman" w:hAnsi="Times New Roman" w:cs="Times New Roman"/>
                <w:color w:val="000000" w:themeColor="text1"/>
                <w:sz w:val="13"/>
                <w:szCs w:val="13"/>
              </w:rPr>
              <w:t>0.1955</w:t>
            </w:r>
          </w:p>
        </w:tc>
        <w:tc>
          <w:tcPr>
            <w:tcW w:w="864" w:type="dxa"/>
            <w:tcBorders>
              <w:top w:val="nil"/>
              <w:left w:val="nil"/>
              <w:bottom w:val="nil"/>
              <w:right w:val="nil"/>
            </w:tcBorders>
            <w:noWrap/>
            <w:vAlign w:val="bottom"/>
            <w:hideMark/>
          </w:tcPr>
          <w:p w14:paraId="4527B1A3" w14:textId="77777777" w:rsidR="009653CF" w:rsidRPr="00EF6679" w:rsidRDefault="009653CF" w:rsidP="009653CF">
            <w:pPr>
              <w:spacing w:line="240" w:lineRule="auto"/>
              <w:jc w:val="center"/>
              <w:rPr>
                <w:rFonts w:ascii="Times New Roman" w:eastAsia="Times New Roman" w:hAnsi="Times New Roman" w:cs="Times New Roman"/>
                <w:color w:val="000000" w:themeColor="text1"/>
                <w:sz w:val="13"/>
                <w:szCs w:val="13"/>
              </w:rPr>
            </w:pPr>
            <w:r w:rsidRPr="00EF6679">
              <w:rPr>
                <w:rFonts w:ascii="Times New Roman" w:hAnsi="Times New Roman" w:cs="Times New Roman"/>
                <w:color w:val="000000" w:themeColor="text1"/>
                <w:sz w:val="13"/>
                <w:szCs w:val="13"/>
              </w:rPr>
              <w:t>0.4809</w:t>
            </w:r>
          </w:p>
        </w:tc>
      </w:tr>
      <w:tr w:rsidR="009653CF" w:rsidRPr="00EF6679" w14:paraId="18284069" w14:textId="77777777" w:rsidTr="00820288">
        <w:tblPrEx>
          <w:jc w:val="lef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trHeight w:val="144"/>
        </w:trPr>
        <w:tc>
          <w:tcPr>
            <w:tcW w:w="2340" w:type="dxa"/>
            <w:tcBorders>
              <w:top w:val="nil"/>
              <w:left w:val="nil"/>
              <w:bottom w:val="nil"/>
              <w:right w:val="nil"/>
            </w:tcBorders>
            <w:noWrap/>
            <w:hideMark/>
          </w:tcPr>
          <w:p w14:paraId="26D88755" w14:textId="77777777" w:rsidR="009653CF" w:rsidRPr="00EF6679" w:rsidRDefault="009653CF" w:rsidP="009653CF">
            <w:pPr>
              <w:spacing w:line="240" w:lineRule="auto"/>
              <w:rPr>
                <w:rFonts w:ascii="Times New Roman" w:eastAsia="Times New Roman" w:hAnsi="Times New Roman" w:cs="Times New Roman"/>
                <w:color w:val="000000" w:themeColor="text1"/>
                <w:sz w:val="13"/>
                <w:szCs w:val="13"/>
              </w:rPr>
            </w:pPr>
            <w:r w:rsidRPr="00EF6679">
              <w:rPr>
                <w:rFonts w:ascii="Times New Roman" w:eastAsia="Times New Roman" w:hAnsi="Times New Roman" w:cs="Times New Roman"/>
                <w:color w:val="000000" w:themeColor="text1"/>
                <w:sz w:val="13"/>
                <w:szCs w:val="13"/>
              </w:rPr>
              <w:t xml:space="preserve">Terpinolene              </w:t>
            </w:r>
          </w:p>
        </w:tc>
        <w:tc>
          <w:tcPr>
            <w:tcW w:w="939" w:type="dxa"/>
            <w:tcBorders>
              <w:top w:val="nil"/>
              <w:left w:val="nil"/>
              <w:bottom w:val="nil"/>
              <w:right w:val="nil"/>
            </w:tcBorders>
            <w:noWrap/>
            <w:vAlign w:val="center"/>
            <w:hideMark/>
          </w:tcPr>
          <w:p w14:paraId="5BCC8AA3" w14:textId="77777777" w:rsidR="009653CF" w:rsidRPr="00EF6679" w:rsidRDefault="009653CF" w:rsidP="009653CF">
            <w:pPr>
              <w:spacing w:line="240" w:lineRule="auto"/>
              <w:jc w:val="center"/>
              <w:rPr>
                <w:rFonts w:ascii="Times New Roman" w:eastAsia="Times New Roman" w:hAnsi="Times New Roman" w:cs="Times New Roman"/>
                <w:color w:val="000000" w:themeColor="text1"/>
                <w:sz w:val="13"/>
                <w:szCs w:val="13"/>
              </w:rPr>
            </w:pPr>
            <w:r w:rsidRPr="00EF6679">
              <w:rPr>
                <w:rFonts w:ascii="Times New Roman" w:eastAsia="Times New Roman" w:hAnsi="Times New Roman" w:cs="Times New Roman"/>
                <w:color w:val="000000" w:themeColor="text1"/>
                <w:sz w:val="13"/>
                <w:szCs w:val="13"/>
              </w:rPr>
              <w:t>586-62-9</w:t>
            </w:r>
          </w:p>
        </w:tc>
        <w:tc>
          <w:tcPr>
            <w:tcW w:w="1152" w:type="dxa"/>
            <w:tcBorders>
              <w:top w:val="nil"/>
              <w:left w:val="nil"/>
              <w:bottom w:val="nil"/>
              <w:right w:val="nil"/>
            </w:tcBorders>
            <w:noWrap/>
            <w:vAlign w:val="center"/>
            <w:hideMark/>
          </w:tcPr>
          <w:p w14:paraId="50EF8959" w14:textId="77777777" w:rsidR="009653CF" w:rsidRPr="00EF6679" w:rsidRDefault="009653CF" w:rsidP="009653CF">
            <w:pPr>
              <w:spacing w:line="240" w:lineRule="auto"/>
              <w:jc w:val="center"/>
              <w:rPr>
                <w:rFonts w:ascii="Times New Roman" w:eastAsia="Times New Roman" w:hAnsi="Times New Roman" w:cs="Times New Roman"/>
                <w:color w:val="000000" w:themeColor="text1"/>
                <w:sz w:val="13"/>
                <w:szCs w:val="13"/>
              </w:rPr>
            </w:pPr>
            <w:r w:rsidRPr="00EF6679">
              <w:rPr>
                <w:rFonts w:ascii="Times New Roman" w:eastAsia="Times New Roman" w:hAnsi="Times New Roman" w:cs="Times New Roman"/>
                <w:color w:val="000000" w:themeColor="text1"/>
                <w:sz w:val="13"/>
                <w:szCs w:val="13"/>
              </w:rPr>
              <w:t>16.865</w:t>
            </w:r>
          </w:p>
        </w:tc>
        <w:tc>
          <w:tcPr>
            <w:tcW w:w="864" w:type="dxa"/>
            <w:tcBorders>
              <w:top w:val="nil"/>
              <w:left w:val="nil"/>
              <w:bottom w:val="nil"/>
              <w:right w:val="nil"/>
            </w:tcBorders>
            <w:noWrap/>
            <w:vAlign w:val="center"/>
            <w:hideMark/>
          </w:tcPr>
          <w:p w14:paraId="1074F806" w14:textId="77777777" w:rsidR="009653CF" w:rsidRPr="00EF6679" w:rsidRDefault="009653CF" w:rsidP="009653CF">
            <w:pPr>
              <w:spacing w:line="240" w:lineRule="auto"/>
              <w:jc w:val="center"/>
              <w:rPr>
                <w:rFonts w:ascii="Times New Roman" w:eastAsia="Times New Roman" w:hAnsi="Times New Roman" w:cs="Times New Roman"/>
                <w:color w:val="000000" w:themeColor="text1"/>
                <w:sz w:val="13"/>
                <w:szCs w:val="13"/>
              </w:rPr>
            </w:pPr>
            <w:r w:rsidRPr="00EF6679">
              <w:rPr>
                <w:rFonts w:ascii="Times New Roman" w:eastAsia="Times New Roman" w:hAnsi="Times New Roman" w:cs="Times New Roman"/>
                <w:color w:val="000000" w:themeColor="text1"/>
                <w:sz w:val="13"/>
                <w:szCs w:val="13"/>
              </w:rPr>
              <w:t>1.23</w:t>
            </w:r>
          </w:p>
        </w:tc>
        <w:tc>
          <w:tcPr>
            <w:tcW w:w="720" w:type="dxa"/>
            <w:tcBorders>
              <w:top w:val="nil"/>
              <w:left w:val="nil"/>
              <w:bottom w:val="nil"/>
              <w:right w:val="nil"/>
            </w:tcBorders>
            <w:noWrap/>
            <w:vAlign w:val="center"/>
            <w:hideMark/>
          </w:tcPr>
          <w:p w14:paraId="725BA5BD" w14:textId="77777777" w:rsidR="009653CF" w:rsidRPr="00EF6679" w:rsidRDefault="009653CF" w:rsidP="009653CF">
            <w:pPr>
              <w:spacing w:line="240" w:lineRule="auto"/>
              <w:jc w:val="center"/>
              <w:rPr>
                <w:rFonts w:ascii="Times New Roman" w:eastAsia="Times New Roman" w:hAnsi="Times New Roman" w:cs="Times New Roman"/>
                <w:color w:val="000000" w:themeColor="text1"/>
                <w:sz w:val="13"/>
                <w:szCs w:val="13"/>
              </w:rPr>
            </w:pPr>
            <w:r w:rsidRPr="00EF6679">
              <w:rPr>
                <w:rFonts w:ascii="Times New Roman" w:eastAsia="Times New Roman" w:hAnsi="Times New Roman" w:cs="Times New Roman"/>
                <w:color w:val="000000" w:themeColor="text1"/>
                <w:sz w:val="13"/>
                <w:szCs w:val="13"/>
              </w:rPr>
              <w:t>3.60</w:t>
            </w:r>
          </w:p>
        </w:tc>
        <w:tc>
          <w:tcPr>
            <w:tcW w:w="864" w:type="dxa"/>
            <w:tcBorders>
              <w:top w:val="nil"/>
              <w:left w:val="nil"/>
              <w:bottom w:val="nil"/>
              <w:right w:val="nil"/>
            </w:tcBorders>
            <w:noWrap/>
            <w:vAlign w:val="center"/>
            <w:hideMark/>
          </w:tcPr>
          <w:p w14:paraId="40F24044" w14:textId="77777777" w:rsidR="009653CF" w:rsidRPr="00EF6679" w:rsidRDefault="009653CF" w:rsidP="009653CF">
            <w:pPr>
              <w:spacing w:line="240" w:lineRule="auto"/>
              <w:jc w:val="center"/>
              <w:rPr>
                <w:rFonts w:ascii="Times New Roman" w:eastAsia="Times New Roman" w:hAnsi="Times New Roman" w:cs="Times New Roman"/>
                <w:color w:val="000000" w:themeColor="text1"/>
                <w:sz w:val="13"/>
                <w:szCs w:val="13"/>
              </w:rPr>
            </w:pPr>
            <w:r w:rsidRPr="00EF6679">
              <w:rPr>
                <w:rFonts w:ascii="Times New Roman" w:eastAsia="Times New Roman" w:hAnsi="Times New Roman" w:cs="Times New Roman"/>
                <w:color w:val="000000" w:themeColor="text1"/>
                <w:sz w:val="13"/>
                <w:szCs w:val="13"/>
              </w:rPr>
              <w:t>3.92</w:t>
            </w:r>
          </w:p>
        </w:tc>
        <w:tc>
          <w:tcPr>
            <w:tcW w:w="410" w:type="dxa"/>
            <w:tcBorders>
              <w:top w:val="nil"/>
              <w:left w:val="nil"/>
              <w:bottom w:val="nil"/>
              <w:right w:val="nil"/>
            </w:tcBorders>
            <w:noWrap/>
          </w:tcPr>
          <w:p w14:paraId="28984D3E" w14:textId="77777777" w:rsidR="009653CF" w:rsidRPr="00EF6679" w:rsidRDefault="009653CF" w:rsidP="009653CF">
            <w:pPr>
              <w:spacing w:line="240" w:lineRule="auto"/>
              <w:jc w:val="right"/>
              <w:rPr>
                <w:rFonts w:ascii="Times New Roman" w:eastAsia="Times New Roman" w:hAnsi="Times New Roman" w:cs="Times New Roman"/>
                <w:color w:val="000000" w:themeColor="text1"/>
                <w:sz w:val="13"/>
                <w:szCs w:val="13"/>
              </w:rPr>
            </w:pPr>
          </w:p>
        </w:tc>
        <w:tc>
          <w:tcPr>
            <w:tcW w:w="864" w:type="dxa"/>
            <w:tcBorders>
              <w:top w:val="nil"/>
              <w:left w:val="nil"/>
              <w:bottom w:val="nil"/>
              <w:right w:val="nil"/>
            </w:tcBorders>
            <w:noWrap/>
            <w:vAlign w:val="bottom"/>
            <w:hideMark/>
          </w:tcPr>
          <w:p w14:paraId="75D80382" w14:textId="77777777" w:rsidR="009653CF" w:rsidRPr="00EF6679" w:rsidRDefault="009653CF" w:rsidP="009653CF">
            <w:pPr>
              <w:spacing w:line="240" w:lineRule="auto"/>
              <w:jc w:val="center"/>
              <w:rPr>
                <w:rFonts w:ascii="Times New Roman" w:eastAsia="Times New Roman" w:hAnsi="Times New Roman" w:cs="Times New Roman"/>
                <w:color w:val="000000" w:themeColor="text1"/>
                <w:sz w:val="13"/>
                <w:szCs w:val="13"/>
              </w:rPr>
            </w:pPr>
            <w:r w:rsidRPr="00EF6679">
              <w:rPr>
                <w:rFonts w:ascii="Times New Roman" w:hAnsi="Times New Roman" w:cs="Times New Roman"/>
                <w:color w:val="000000" w:themeColor="text1"/>
                <w:sz w:val="13"/>
                <w:szCs w:val="13"/>
              </w:rPr>
              <w:t>0.2677</w:t>
            </w:r>
          </w:p>
        </w:tc>
        <w:tc>
          <w:tcPr>
            <w:tcW w:w="720" w:type="dxa"/>
            <w:tcBorders>
              <w:top w:val="nil"/>
              <w:left w:val="nil"/>
              <w:bottom w:val="nil"/>
              <w:right w:val="nil"/>
            </w:tcBorders>
            <w:noWrap/>
            <w:vAlign w:val="bottom"/>
            <w:hideMark/>
          </w:tcPr>
          <w:p w14:paraId="7B0B9712" w14:textId="77777777" w:rsidR="009653CF" w:rsidRPr="00EF6679" w:rsidRDefault="009653CF" w:rsidP="009653CF">
            <w:pPr>
              <w:spacing w:line="240" w:lineRule="auto"/>
              <w:jc w:val="center"/>
              <w:rPr>
                <w:rFonts w:ascii="Times New Roman" w:eastAsia="Times New Roman" w:hAnsi="Times New Roman" w:cs="Times New Roman"/>
                <w:color w:val="000000" w:themeColor="text1"/>
                <w:sz w:val="13"/>
                <w:szCs w:val="13"/>
              </w:rPr>
            </w:pPr>
            <w:r w:rsidRPr="00EF6679">
              <w:rPr>
                <w:rFonts w:ascii="Times New Roman" w:hAnsi="Times New Roman" w:cs="Times New Roman"/>
                <w:color w:val="000000" w:themeColor="text1"/>
                <w:sz w:val="13"/>
                <w:szCs w:val="13"/>
              </w:rPr>
              <w:t>0.0001</w:t>
            </w:r>
          </w:p>
        </w:tc>
        <w:tc>
          <w:tcPr>
            <w:tcW w:w="864" w:type="dxa"/>
            <w:tcBorders>
              <w:top w:val="nil"/>
              <w:left w:val="nil"/>
              <w:bottom w:val="nil"/>
              <w:right w:val="nil"/>
            </w:tcBorders>
            <w:noWrap/>
            <w:vAlign w:val="bottom"/>
            <w:hideMark/>
          </w:tcPr>
          <w:p w14:paraId="06AF8FB1" w14:textId="77777777" w:rsidR="009653CF" w:rsidRPr="00EF6679" w:rsidRDefault="009653CF" w:rsidP="009653CF">
            <w:pPr>
              <w:spacing w:line="240" w:lineRule="auto"/>
              <w:jc w:val="center"/>
              <w:rPr>
                <w:rFonts w:ascii="Times New Roman" w:eastAsia="Times New Roman" w:hAnsi="Times New Roman" w:cs="Times New Roman"/>
                <w:color w:val="000000" w:themeColor="text1"/>
                <w:sz w:val="13"/>
                <w:szCs w:val="13"/>
              </w:rPr>
            </w:pPr>
            <w:r w:rsidRPr="00EF6679">
              <w:rPr>
                <w:rFonts w:ascii="Times New Roman" w:hAnsi="Times New Roman" w:cs="Times New Roman"/>
                <w:color w:val="000000" w:themeColor="text1"/>
                <w:sz w:val="13"/>
                <w:szCs w:val="13"/>
              </w:rPr>
              <w:t xml:space="preserve">&lt;.0001 </w:t>
            </w:r>
          </w:p>
        </w:tc>
      </w:tr>
      <w:tr w:rsidR="009653CF" w:rsidRPr="00EF6679" w14:paraId="7388FAA4" w14:textId="77777777" w:rsidTr="00820288">
        <w:tblPrEx>
          <w:jc w:val="lef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trHeight w:val="144"/>
        </w:trPr>
        <w:tc>
          <w:tcPr>
            <w:tcW w:w="2340" w:type="dxa"/>
            <w:tcBorders>
              <w:top w:val="nil"/>
              <w:left w:val="nil"/>
              <w:bottom w:val="nil"/>
              <w:right w:val="nil"/>
            </w:tcBorders>
            <w:noWrap/>
            <w:hideMark/>
          </w:tcPr>
          <w:p w14:paraId="5B3BBE15" w14:textId="77777777" w:rsidR="009653CF" w:rsidRPr="00EF6679" w:rsidRDefault="009653CF" w:rsidP="009653CF">
            <w:pPr>
              <w:spacing w:line="240" w:lineRule="auto"/>
              <w:rPr>
                <w:rFonts w:ascii="Times New Roman" w:eastAsia="Times New Roman" w:hAnsi="Times New Roman" w:cs="Times New Roman"/>
                <w:color w:val="000000" w:themeColor="text1"/>
                <w:sz w:val="13"/>
                <w:szCs w:val="13"/>
              </w:rPr>
            </w:pPr>
            <w:r w:rsidRPr="00EF6679">
              <w:rPr>
                <w:rFonts w:ascii="Times New Roman" w:eastAsia="Times New Roman" w:hAnsi="Times New Roman" w:cs="Times New Roman"/>
                <w:color w:val="000000" w:themeColor="text1"/>
                <w:sz w:val="13"/>
                <w:szCs w:val="13"/>
              </w:rPr>
              <w:t xml:space="preserve">Sabinene hydrate    </w:t>
            </w:r>
          </w:p>
        </w:tc>
        <w:tc>
          <w:tcPr>
            <w:tcW w:w="939" w:type="dxa"/>
            <w:tcBorders>
              <w:top w:val="nil"/>
              <w:left w:val="nil"/>
              <w:bottom w:val="nil"/>
              <w:right w:val="nil"/>
            </w:tcBorders>
            <w:noWrap/>
            <w:vAlign w:val="center"/>
            <w:hideMark/>
          </w:tcPr>
          <w:p w14:paraId="1DF7FF7A" w14:textId="77777777" w:rsidR="009653CF" w:rsidRPr="00EF6679" w:rsidRDefault="009653CF" w:rsidP="009653CF">
            <w:pPr>
              <w:spacing w:line="240" w:lineRule="auto"/>
              <w:jc w:val="center"/>
              <w:rPr>
                <w:rFonts w:ascii="Times New Roman" w:eastAsia="Times New Roman" w:hAnsi="Times New Roman" w:cs="Times New Roman"/>
                <w:color w:val="000000" w:themeColor="text1"/>
                <w:sz w:val="13"/>
                <w:szCs w:val="13"/>
              </w:rPr>
            </w:pPr>
            <w:r w:rsidRPr="00EF6679">
              <w:rPr>
                <w:rFonts w:ascii="Times New Roman" w:eastAsia="Times New Roman" w:hAnsi="Times New Roman" w:cs="Times New Roman"/>
                <w:color w:val="000000" w:themeColor="text1"/>
                <w:sz w:val="13"/>
                <w:szCs w:val="13"/>
              </w:rPr>
              <w:t>546-79-2</w:t>
            </w:r>
          </w:p>
        </w:tc>
        <w:tc>
          <w:tcPr>
            <w:tcW w:w="1152" w:type="dxa"/>
            <w:tcBorders>
              <w:top w:val="nil"/>
              <w:left w:val="nil"/>
              <w:bottom w:val="nil"/>
              <w:right w:val="nil"/>
            </w:tcBorders>
            <w:noWrap/>
            <w:vAlign w:val="center"/>
            <w:hideMark/>
          </w:tcPr>
          <w:p w14:paraId="4E10A89C" w14:textId="77777777" w:rsidR="009653CF" w:rsidRPr="00EF6679" w:rsidRDefault="009653CF" w:rsidP="009653CF">
            <w:pPr>
              <w:spacing w:line="240" w:lineRule="auto"/>
              <w:jc w:val="center"/>
              <w:rPr>
                <w:rFonts w:ascii="Times New Roman" w:eastAsia="Times New Roman" w:hAnsi="Times New Roman" w:cs="Times New Roman"/>
                <w:color w:val="000000" w:themeColor="text1"/>
                <w:sz w:val="13"/>
                <w:szCs w:val="13"/>
              </w:rPr>
            </w:pPr>
            <w:r w:rsidRPr="00EF6679">
              <w:rPr>
                <w:rFonts w:ascii="Times New Roman" w:eastAsia="Times New Roman" w:hAnsi="Times New Roman" w:cs="Times New Roman"/>
                <w:color w:val="000000" w:themeColor="text1"/>
                <w:sz w:val="13"/>
                <w:szCs w:val="13"/>
              </w:rPr>
              <w:t>16.868</w:t>
            </w:r>
          </w:p>
        </w:tc>
        <w:tc>
          <w:tcPr>
            <w:tcW w:w="864" w:type="dxa"/>
            <w:tcBorders>
              <w:top w:val="nil"/>
              <w:left w:val="nil"/>
              <w:bottom w:val="nil"/>
              <w:right w:val="nil"/>
            </w:tcBorders>
            <w:noWrap/>
            <w:vAlign w:val="center"/>
            <w:hideMark/>
          </w:tcPr>
          <w:p w14:paraId="702158D6" w14:textId="77777777" w:rsidR="009653CF" w:rsidRPr="00EF6679" w:rsidRDefault="009653CF" w:rsidP="009653CF">
            <w:pPr>
              <w:spacing w:line="240" w:lineRule="auto"/>
              <w:jc w:val="center"/>
              <w:rPr>
                <w:rFonts w:ascii="Times New Roman" w:eastAsia="Times New Roman" w:hAnsi="Times New Roman" w:cs="Times New Roman"/>
                <w:color w:val="000000" w:themeColor="text1"/>
                <w:sz w:val="13"/>
                <w:szCs w:val="13"/>
              </w:rPr>
            </w:pPr>
            <w:r w:rsidRPr="00EF6679">
              <w:rPr>
                <w:rFonts w:ascii="Times New Roman" w:eastAsia="Times New Roman" w:hAnsi="Times New Roman" w:cs="Times New Roman"/>
                <w:color w:val="000000" w:themeColor="text1"/>
                <w:sz w:val="13"/>
                <w:szCs w:val="13"/>
              </w:rPr>
              <w:t>0.48</w:t>
            </w:r>
          </w:p>
        </w:tc>
        <w:tc>
          <w:tcPr>
            <w:tcW w:w="720" w:type="dxa"/>
            <w:tcBorders>
              <w:top w:val="nil"/>
              <w:left w:val="nil"/>
              <w:bottom w:val="nil"/>
              <w:right w:val="nil"/>
            </w:tcBorders>
            <w:noWrap/>
            <w:vAlign w:val="center"/>
            <w:hideMark/>
          </w:tcPr>
          <w:p w14:paraId="4A5A06B9" w14:textId="77777777" w:rsidR="009653CF" w:rsidRPr="00EF6679" w:rsidRDefault="009653CF" w:rsidP="009653CF">
            <w:pPr>
              <w:spacing w:line="240" w:lineRule="auto"/>
              <w:jc w:val="center"/>
              <w:rPr>
                <w:rFonts w:ascii="Times New Roman" w:eastAsia="Times New Roman" w:hAnsi="Times New Roman" w:cs="Times New Roman"/>
                <w:color w:val="000000" w:themeColor="text1"/>
                <w:sz w:val="13"/>
                <w:szCs w:val="13"/>
              </w:rPr>
            </w:pPr>
            <w:r w:rsidRPr="00EF6679">
              <w:rPr>
                <w:rFonts w:ascii="Times New Roman" w:eastAsia="Times New Roman" w:hAnsi="Times New Roman" w:cs="Times New Roman"/>
                <w:color w:val="000000" w:themeColor="text1"/>
                <w:sz w:val="13"/>
                <w:szCs w:val="13"/>
              </w:rPr>
              <w:t>1.43</w:t>
            </w:r>
          </w:p>
        </w:tc>
        <w:tc>
          <w:tcPr>
            <w:tcW w:w="864" w:type="dxa"/>
            <w:tcBorders>
              <w:top w:val="nil"/>
              <w:left w:val="nil"/>
              <w:bottom w:val="nil"/>
              <w:right w:val="nil"/>
            </w:tcBorders>
            <w:noWrap/>
            <w:vAlign w:val="center"/>
            <w:hideMark/>
          </w:tcPr>
          <w:p w14:paraId="7AC0C025" w14:textId="77777777" w:rsidR="009653CF" w:rsidRPr="00EF6679" w:rsidRDefault="009653CF" w:rsidP="009653CF">
            <w:pPr>
              <w:spacing w:line="240" w:lineRule="auto"/>
              <w:jc w:val="center"/>
              <w:rPr>
                <w:rFonts w:ascii="Times New Roman" w:eastAsia="Times New Roman" w:hAnsi="Times New Roman" w:cs="Times New Roman"/>
                <w:color w:val="000000" w:themeColor="text1"/>
                <w:sz w:val="13"/>
                <w:szCs w:val="13"/>
              </w:rPr>
            </w:pPr>
            <w:r w:rsidRPr="00EF6679">
              <w:rPr>
                <w:rFonts w:ascii="Times New Roman" w:eastAsia="Times New Roman" w:hAnsi="Times New Roman" w:cs="Times New Roman"/>
                <w:color w:val="000000" w:themeColor="text1"/>
                <w:sz w:val="13"/>
                <w:szCs w:val="13"/>
              </w:rPr>
              <w:t>0.86</w:t>
            </w:r>
          </w:p>
        </w:tc>
        <w:tc>
          <w:tcPr>
            <w:tcW w:w="410" w:type="dxa"/>
            <w:tcBorders>
              <w:top w:val="nil"/>
              <w:left w:val="nil"/>
              <w:bottom w:val="nil"/>
              <w:right w:val="nil"/>
            </w:tcBorders>
            <w:noWrap/>
          </w:tcPr>
          <w:p w14:paraId="4F983C95" w14:textId="77777777" w:rsidR="009653CF" w:rsidRPr="00EF6679" w:rsidRDefault="009653CF" w:rsidP="009653CF">
            <w:pPr>
              <w:spacing w:line="240" w:lineRule="auto"/>
              <w:jc w:val="right"/>
              <w:rPr>
                <w:rFonts w:ascii="Times New Roman" w:eastAsia="Times New Roman" w:hAnsi="Times New Roman" w:cs="Times New Roman"/>
                <w:color w:val="000000" w:themeColor="text1"/>
                <w:sz w:val="13"/>
                <w:szCs w:val="13"/>
              </w:rPr>
            </w:pPr>
          </w:p>
        </w:tc>
        <w:tc>
          <w:tcPr>
            <w:tcW w:w="864" w:type="dxa"/>
            <w:tcBorders>
              <w:top w:val="nil"/>
              <w:left w:val="nil"/>
              <w:bottom w:val="nil"/>
              <w:right w:val="nil"/>
            </w:tcBorders>
            <w:noWrap/>
            <w:vAlign w:val="bottom"/>
            <w:hideMark/>
          </w:tcPr>
          <w:p w14:paraId="1E5904C3" w14:textId="77777777" w:rsidR="009653CF" w:rsidRPr="00EF6679" w:rsidRDefault="009653CF" w:rsidP="009653CF">
            <w:pPr>
              <w:spacing w:line="240" w:lineRule="auto"/>
              <w:jc w:val="center"/>
              <w:rPr>
                <w:rFonts w:ascii="Times New Roman" w:eastAsia="Times New Roman" w:hAnsi="Times New Roman" w:cs="Times New Roman"/>
                <w:color w:val="000000" w:themeColor="text1"/>
                <w:sz w:val="13"/>
                <w:szCs w:val="13"/>
              </w:rPr>
            </w:pPr>
            <w:r w:rsidRPr="00EF6679">
              <w:rPr>
                <w:rFonts w:ascii="Times New Roman" w:hAnsi="Times New Roman" w:cs="Times New Roman"/>
                <w:color w:val="000000" w:themeColor="text1"/>
                <w:sz w:val="13"/>
                <w:szCs w:val="13"/>
              </w:rPr>
              <w:t>0.4897</w:t>
            </w:r>
          </w:p>
        </w:tc>
        <w:tc>
          <w:tcPr>
            <w:tcW w:w="720" w:type="dxa"/>
            <w:tcBorders>
              <w:top w:val="nil"/>
              <w:left w:val="nil"/>
              <w:bottom w:val="nil"/>
              <w:right w:val="nil"/>
            </w:tcBorders>
            <w:noWrap/>
            <w:vAlign w:val="bottom"/>
            <w:hideMark/>
          </w:tcPr>
          <w:p w14:paraId="58185E24" w14:textId="77777777" w:rsidR="009653CF" w:rsidRPr="00EF6679" w:rsidRDefault="009653CF" w:rsidP="009653CF">
            <w:pPr>
              <w:spacing w:line="240" w:lineRule="auto"/>
              <w:jc w:val="center"/>
              <w:rPr>
                <w:rFonts w:ascii="Times New Roman" w:eastAsia="Times New Roman" w:hAnsi="Times New Roman" w:cs="Times New Roman"/>
                <w:color w:val="000000" w:themeColor="text1"/>
                <w:sz w:val="13"/>
                <w:szCs w:val="13"/>
              </w:rPr>
            </w:pPr>
            <w:r w:rsidRPr="00EF6679">
              <w:rPr>
                <w:rFonts w:ascii="Times New Roman" w:hAnsi="Times New Roman" w:cs="Times New Roman"/>
                <w:color w:val="000000" w:themeColor="text1"/>
                <w:sz w:val="13"/>
                <w:szCs w:val="13"/>
              </w:rPr>
              <w:t>0.1595</w:t>
            </w:r>
          </w:p>
        </w:tc>
        <w:tc>
          <w:tcPr>
            <w:tcW w:w="864" w:type="dxa"/>
            <w:tcBorders>
              <w:top w:val="nil"/>
              <w:left w:val="nil"/>
              <w:bottom w:val="nil"/>
              <w:right w:val="nil"/>
            </w:tcBorders>
            <w:noWrap/>
            <w:vAlign w:val="bottom"/>
            <w:hideMark/>
          </w:tcPr>
          <w:p w14:paraId="39E078D9" w14:textId="77777777" w:rsidR="009653CF" w:rsidRPr="00EF6679" w:rsidRDefault="009653CF" w:rsidP="009653CF">
            <w:pPr>
              <w:spacing w:line="240" w:lineRule="auto"/>
              <w:jc w:val="center"/>
              <w:rPr>
                <w:rFonts w:ascii="Times New Roman" w:eastAsia="Times New Roman" w:hAnsi="Times New Roman" w:cs="Times New Roman"/>
                <w:color w:val="000000" w:themeColor="text1"/>
                <w:sz w:val="13"/>
                <w:szCs w:val="13"/>
              </w:rPr>
            </w:pPr>
            <w:r w:rsidRPr="00EF6679">
              <w:rPr>
                <w:rFonts w:ascii="Times New Roman" w:hAnsi="Times New Roman" w:cs="Times New Roman"/>
                <w:color w:val="000000" w:themeColor="text1"/>
                <w:sz w:val="13"/>
                <w:szCs w:val="13"/>
              </w:rPr>
              <w:t>0.5805</w:t>
            </w:r>
          </w:p>
        </w:tc>
      </w:tr>
      <w:tr w:rsidR="009653CF" w:rsidRPr="00EF6679" w14:paraId="3D1600E8" w14:textId="77777777" w:rsidTr="00820288">
        <w:tblPrEx>
          <w:jc w:val="lef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trHeight w:val="144"/>
        </w:trPr>
        <w:tc>
          <w:tcPr>
            <w:tcW w:w="2340" w:type="dxa"/>
            <w:tcBorders>
              <w:top w:val="nil"/>
              <w:left w:val="nil"/>
              <w:bottom w:val="nil"/>
              <w:right w:val="nil"/>
            </w:tcBorders>
            <w:noWrap/>
            <w:hideMark/>
          </w:tcPr>
          <w:p w14:paraId="69044F4D" w14:textId="77777777" w:rsidR="009653CF" w:rsidRPr="00EF6679" w:rsidRDefault="009653CF" w:rsidP="009653CF">
            <w:pPr>
              <w:spacing w:line="240" w:lineRule="auto"/>
              <w:rPr>
                <w:rFonts w:ascii="Times New Roman" w:eastAsia="Times New Roman" w:hAnsi="Times New Roman" w:cs="Times New Roman"/>
                <w:color w:val="000000" w:themeColor="text1"/>
                <w:sz w:val="13"/>
                <w:szCs w:val="13"/>
              </w:rPr>
            </w:pPr>
            <w:r w:rsidRPr="00EF6679">
              <w:rPr>
                <w:rFonts w:ascii="Times New Roman" w:eastAsia="Times New Roman" w:hAnsi="Times New Roman" w:cs="Times New Roman"/>
                <w:color w:val="000000" w:themeColor="text1"/>
                <w:sz w:val="13"/>
                <w:szCs w:val="13"/>
              </w:rPr>
              <w:t xml:space="preserve">Nonanal                  </w:t>
            </w:r>
          </w:p>
        </w:tc>
        <w:tc>
          <w:tcPr>
            <w:tcW w:w="939" w:type="dxa"/>
            <w:tcBorders>
              <w:top w:val="nil"/>
              <w:left w:val="nil"/>
              <w:bottom w:val="nil"/>
              <w:right w:val="nil"/>
            </w:tcBorders>
            <w:noWrap/>
            <w:vAlign w:val="center"/>
            <w:hideMark/>
          </w:tcPr>
          <w:p w14:paraId="65632233" w14:textId="77777777" w:rsidR="009653CF" w:rsidRPr="00EF6679" w:rsidRDefault="009653CF" w:rsidP="009653CF">
            <w:pPr>
              <w:spacing w:line="240" w:lineRule="auto"/>
              <w:jc w:val="center"/>
              <w:rPr>
                <w:rFonts w:ascii="Times New Roman" w:eastAsia="Times New Roman" w:hAnsi="Times New Roman" w:cs="Times New Roman"/>
                <w:color w:val="000000" w:themeColor="text1"/>
                <w:sz w:val="13"/>
                <w:szCs w:val="13"/>
              </w:rPr>
            </w:pPr>
            <w:r w:rsidRPr="00EF6679">
              <w:rPr>
                <w:rFonts w:ascii="Times New Roman" w:eastAsia="Times New Roman" w:hAnsi="Times New Roman" w:cs="Times New Roman"/>
                <w:color w:val="000000" w:themeColor="text1"/>
                <w:sz w:val="13"/>
                <w:szCs w:val="13"/>
              </w:rPr>
              <w:t>124-19-6</w:t>
            </w:r>
          </w:p>
        </w:tc>
        <w:tc>
          <w:tcPr>
            <w:tcW w:w="1152" w:type="dxa"/>
            <w:tcBorders>
              <w:top w:val="nil"/>
              <w:left w:val="nil"/>
              <w:bottom w:val="nil"/>
              <w:right w:val="nil"/>
            </w:tcBorders>
            <w:noWrap/>
            <w:vAlign w:val="center"/>
            <w:hideMark/>
          </w:tcPr>
          <w:p w14:paraId="2723E794" w14:textId="77777777" w:rsidR="009653CF" w:rsidRPr="00EF6679" w:rsidRDefault="009653CF" w:rsidP="009653CF">
            <w:pPr>
              <w:spacing w:line="240" w:lineRule="auto"/>
              <w:jc w:val="center"/>
              <w:rPr>
                <w:rFonts w:ascii="Times New Roman" w:eastAsia="Times New Roman" w:hAnsi="Times New Roman" w:cs="Times New Roman"/>
                <w:color w:val="000000" w:themeColor="text1"/>
                <w:sz w:val="13"/>
                <w:szCs w:val="13"/>
              </w:rPr>
            </w:pPr>
            <w:r w:rsidRPr="00EF6679">
              <w:rPr>
                <w:rFonts w:ascii="Times New Roman" w:eastAsia="Times New Roman" w:hAnsi="Times New Roman" w:cs="Times New Roman"/>
                <w:color w:val="000000" w:themeColor="text1"/>
                <w:sz w:val="13"/>
                <w:szCs w:val="13"/>
              </w:rPr>
              <w:t>17.034</w:t>
            </w:r>
          </w:p>
        </w:tc>
        <w:tc>
          <w:tcPr>
            <w:tcW w:w="864" w:type="dxa"/>
            <w:tcBorders>
              <w:top w:val="nil"/>
              <w:left w:val="nil"/>
              <w:bottom w:val="nil"/>
              <w:right w:val="nil"/>
            </w:tcBorders>
            <w:noWrap/>
            <w:vAlign w:val="center"/>
            <w:hideMark/>
          </w:tcPr>
          <w:p w14:paraId="2777E592" w14:textId="77777777" w:rsidR="009653CF" w:rsidRPr="00EF6679" w:rsidRDefault="009653CF" w:rsidP="009653CF">
            <w:pPr>
              <w:spacing w:line="240" w:lineRule="auto"/>
              <w:jc w:val="center"/>
              <w:rPr>
                <w:rFonts w:ascii="Times New Roman" w:eastAsia="Times New Roman" w:hAnsi="Times New Roman" w:cs="Times New Roman"/>
                <w:color w:val="000000" w:themeColor="text1"/>
                <w:sz w:val="13"/>
                <w:szCs w:val="13"/>
              </w:rPr>
            </w:pPr>
            <w:r w:rsidRPr="00EF6679">
              <w:rPr>
                <w:rFonts w:ascii="Times New Roman" w:eastAsia="Times New Roman" w:hAnsi="Times New Roman" w:cs="Times New Roman"/>
                <w:color w:val="000000" w:themeColor="text1"/>
                <w:sz w:val="13"/>
                <w:szCs w:val="13"/>
              </w:rPr>
              <w:t>0.50</w:t>
            </w:r>
          </w:p>
        </w:tc>
        <w:tc>
          <w:tcPr>
            <w:tcW w:w="720" w:type="dxa"/>
            <w:tcBorders>
              <w:top w:val="nil"/>
              <w:left w:val="nil"/>
              <w:bottom w:val="nil"/>
              <w:right w:val="nil"/>
            </w:tcBorders>
            <w:noWrap/>
            <w:vAlign w:val="center"/>
            <w:hideMark/>
          </w:tcPr>
          <w:p w14:paraId="3DAECC7C" w14:textId="77777777" w:rsidR="009653CF" w:rsidRPr="00EF6679" w:rsidRDefault="009653CF" w:rsidP="009653CF">
            <w:pPr>
              <w:spacing w:line="240" w:lineRule="auto"/>
              <w:jc w:val="center"/>
              <w:rPr>
                <w:rFonts w:ascii="Times New Roman" w:eastAsia="Times New Roman" w:hAnsi="Times New Roman" w:cs="Times New Roman"/>
                <w:color w:val="000000" w:themeColor="text1"/>
                <w:sz w:val="13"/>
                <w:szCs w:val="13"/>
              </w:rPr>
            </w:pPr>
            <w:r w:rsidRPr="00EF6679">
              <w:rPr>
                <w:rFonts w:ascii="Times New Roman" w:eastAsia="Times New Roman" w:hAnsi="Times New Roman" w:cs="Times New Roman"/>
                <w:color w:val="000000" w:themeColor="text1"/>
                <w:sz w:val="13"/>
                <w:szCs w:val="13"/>
              </w:rPr>
              <w:t>1.43</w:t>
            </w:r>
          </w:p>
        </w:tc>
        <w:tc>
          <w:tcPr>
            <w:tcW w:w="864" w:type="dxa"/>
            <w:tcBorders>
              <w:top w:val="nil"/>
              <w:left w:val="nil"/>
              <w:bottom w:val="nil"/>
              <w:right w:val="nil"/>
            </w:tcBorders>
            <w:noWrap/>
            <w:vAlign w:val="center"/>
            <w:hideMark/>
          </w:tcPr>
          <w:p w14:paraId="75E77E98" w14:textId="77777777" w:rsidR="009653CF" w:rsidRPr="00EF6679" w:rsidRDefault="009653CF" w:rsidP="009653CF">
            <w:pPr>
              <w:spacing w:line="240" w:lineRule="auto"/>
              <w:jc w:val="center"/>
              <w:rPr>
                <w:rFonts w:ascii="Times New Roman" w:eastAsia="Times New Roman" w:hAnsi="Times New Roman" w:cs="Times New Roman"/>
                <w:color w:val="000000" w:themeColor="text1"/>
                <w:sz w:val="13"/>
                <w:szCs w:val="13"/>
              </w:rPr>
            </w:pPr>
            <w:r w:rsidRPr="00EF6679">
              <w:rPr>
                <w:rFonts w:ascii="Times New Roman" w:eastAsia="Times New Roman" w:hAnsi="Times New Roman" w:cs="Times New Roman"/>
                <w:color w:val="000000" w:themeColor="text1"/>
                <w:sz w:val="13"/>
                <w:szCs w:val="13"/>
              </w:rPr>
              <w:t>0.85</w:t>
            </w:r>
          </w:p>
        </w:tc>
        <w:tc>
          <w:tcPr>
            <w:tcW w:w="410" w:type="dxa"/>
            <w:tcBorders>
              <w:top w:val="nil"/>
              <w:left w:val="nil"/>
              <w:bottom w:val="nil"/>
              <w:right w:val="nil"/>
            </w:tcBorders>
            <w:noWrap/>
          </w:tcPr>
          <w:p w14:paraId="4CF08D58" w14:textId="77777777" w:rsidR="009653CF" w:rsidRPr="00EF6679" w:rsidRDefault="009653CF" w:rsidP="009653CF">
            <w:pPr>
              <w:spacing w:line="240" w:lineRule="auto"/>
              <w:jc w:val="right"/>
              <w:rPr>
                <w:rFonts w:ascii="Times New Roman" w:eastAsia="Times New Roman" w:hAnsi="Times New Roman" w:cs="Times New Roman"/>
                <w:color w:val="000000" w:themeColor="text1"/>
                <w:sz w:val="13"/>
                <w:szCs w:val="13"/>
              </w:rPr>
            </w:pPr>
          </w:p>
        </w:tc>
        <w:tc>
          <w:tcPr>
            <w:tcW w:w="864" w:type="dxa"/>
            <w:tcBorders>
              <w:top w:val="nil"/>
              <w:left w:val="nil"/>
              <w:bottom w:val="nil"/>
              <w:right w:val="nil"/>
            </w:tcBorders>
            <w:noWrap/>
            <w:vAlign w:val="bottom"/>
            <w:hideMark/>
          </w:tcPr>
          <w:p w14:paraId="436B5A2F" w14:textId="77777777" w:rsidR="009653CF" w:rsidRPr="00EF6679" w:rsidRDefault="009653CF" w:rsidP="009653CF">
            <w:pPr>
              <w:spacing w:line="240" w:lineRule="auto"/>
              <w:jc w:val="center"/>
              <w:rPr>
                <w:rFonts w:ascii="Times New Roman" w:eastAsia="Times New Roman" w:hAnsi="Times New Roman" w:cs="Times New Roman"/>
                <w:color w:val="000000" w:themeColor="text1"/>
                <w:sz w:val="13"/>
                <w:szCs w:val="13"/>
              </w:rPr>
            </w:pPr>
            <w:r w:rsidRPr="00EF6679">
              <w:rPr>
                <w:rFonts w:ascii="Times New Roman" w:hAnsi="Times New Roman" w:cs="Times New Roman"/>
                <w:color w:val="000000" w:themeColor="text1"/>
                <w:sz w:val="13"/>
                <w:szCs w:val="13"/>
              </w:rPr>
              <w:t>0.4792</w:t>
            </w:r>
          </w:p>
        </w:tc>
        <w:tc>
          <w:tcPr>
            <w:tcW w:w="720" w:type="dxa"/>
            <w:tcBorders>
              <w:top w:val="nil"/>
              <w:left w:val="nil"/>
              <w:bottom w:val="nil"/>
              <w:right w:val="nil"/>
            </w:tcBorders>
            <w:noWrap/>
            <w:vAlign w:val="bottom"/>
            <w:hideMark/>
          </w:tcPr>
          <w:p w14:paraId="086FA886" w14:textId="77777777" w:rsidR="009653CF" w:rsidRPr="00EF6679" w:rsidRDefault="009653CF" w:rsidP="009653CF">
            <w:pPr>
              <w:spacing w:line="240" w:lineRule="auto"/>
              <w:jc w:val="center"/>
              <w:rPr>
                <w:rFonts w:ascii="Times New Roman" w:eastAsia="Times New Roman" w:hAnsi="Times New Roman" w:cs="Times New Roman"/>
                <w:color w:val="000000" w:themeColor="text1"/>
                <w:sz w:val="13"/>
                <w:szCs w:val="13"/>
              </w:rPr>
            </w:pPr>
            <w:r w:rsidRPr="00EF6679">
              <w:rPr>
                <w:rFonts w:ascii="Times New Roman" w:hAnsi="Times New Roman" w:cs="Times New Roman"/>
                <w:color w:val="000000" w:themeColor="text1"/>
                <w:sz w:val="13"/>
                <w:szCs w:val="13"/>
              </w:rPr>
              <w:t>0.1608</w:t>
            </w:r>
          </w:p>
        </w:tc>
        <w:tc>
          <w:tcPr>
            <w:tcW w:w="864" w:type="dxa"/>
            <w:tcBorders>
              <w:top w:val="nil"/>
              <w:left w:val="nil"/>
              <w:bottom w:val="nil"/>
              <w:right w:val="nil"/>
            </w:tcBorders>
            <w:noWrap/>
            <w:vAlign w:val="bottom"/>
            <w:hideMark/>
          </w:tcPr>
          <w:p w14:paraId="3EA0E24A" w14:textId="77777777" w:rsidR="009653CF" w:rsidRPr="00EF6679" w:rsidRDefault="009653CF" w:rsidP="009653CF">
            <w:pPr>
              <w:spacing w:line="240" w:lineRule="auto"/>
              <w:jc w:val="center"/>
              <w:rPr>
                <w:rFonts w:ascii="Times New Roman" w:eastAsia="Times New Roman" w:hAnsi="Times New Roman" w:cs="Times New Roman"/>
                <w:color w:val="000000" w:themeColor="text1"/>
                <w:sz w:val="13"/>
                <w:szCs w:val="13"/>
              </w:rPr>
            </w:pPr>
            <w:r w:rsidRPr="00EF6679">
              <w:rPr>
                <w:rFonts w:ascii="Times New Roman" w:hAnsi="Times New Roman" w:cs="Times New Roman"/>
                <w:color w:val="000000" w:themeColor="text1"/>
                <w:sz w:val="13"/>
                <w:szCs w:val="13"/>
              </w:rPr>
              <w:t>0.5895</w:t>
            </w:r>
          </w:p>
        </w:tc>
      </w:tr>
      <w:tr w:rsidR="009653CF" w:rsidRPr="00EF6679" w14:paraId="3B0B2EAD" w14:textId="77777777" w:rsidTr="00820288">
        <w:tblPrEx>
          <w:jc w:val="lef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trHeight w:val="144"/>
        </w:trPr>
        <w:tc>
          <w:tcPr>
            <w:tcW w:w="2340" w:type="dxa"/>
            <w:tcBorders>
              <w:top w:val="nil"/>
              <w:left w:val="nil"/>
              <w:bottom w:val="nil"/>
              <w:right w:val="nil"/>
            </w:tcBorders>
            <w:noWrap/>
            <w:hideMark/>
          </w:tcPr>
          <w:p w14:paraId="102D9DD3" w14:textId="77777777" w:rsidR="009653CF" w:rsidRPr="00EF6679" w:rsidRDefault="009653CF" w:rsidP="009653CF">
            <w:pPr>
              <w:spacing w:line="240" w:lineRule="auto"/>
              <w:rPr>
                <w:rFonts w:ascii="Times New Roman" w:eastAsia="Times New Roman" w:hAnsi="Times New Roman" w:cs="Times New Roman"/>
                <w:color w:val="000000" w:themeColor="text1"/>
                <w:sz w:val="13"/>
                <w:szCs w:val="13"/>
              </w:rPr>
            </w:pPr>
            <w:r w:rsidRPr="00EF6679">
              <w:rPr>
                <w:rFonts w:ascii="Times New Roman" w:eastAsia="Times New Roman" w:hAnsi="Times New Roman" w:cs="Times New Roman"/>
                <w:color w:val="000000" w:themeColor="text1"/>
                <w:sz w:val="13"/>
                <w:szCs w:val="13"/>
              </w:rPr>
              <w:t xml:space="preserve">Linalool                 </w:t>
            </w:r>
          </w:p>
        </w:tc>
        <w:tc>
          <w:tcPr>
            <w:tcW w:w="939" w:type="dxa"/>
            <w:tcBorders>
              <w:top w:val="nil"/>
              <w:left w:val="nil"/>
              <w:bottom w:val="nil"/>
              <w:right w:val="nil"/>
            </w:tcBorders>
            <w:noWrap/>
            <w:vAlign w:val="center"/>
            <w:hideMark/>
          </w:tcPr>
          <w:p w14:paraId="410C5D73" w14:textId="77777777" w:rsidR="009653CF" w:rsidRPr="00EF6679" w:rsidRDefault="009653CF" w:rsidP="009653CF">
            <w:pPr>
              <w:spacing w:line="240" w:lineRule="auto"/>
              <w:jc w:val="center"/>
              <w:rPr>
                <w:rFonts w:ascii="Times New Roman" w:eastAsia="Times New Roman" w:hAnsi="Times New Roman" w:cs="Times New Roman"/>
                <w:color w:val="000000" w:themeColor="text1"/>
                <w:sz w:val="13"/>
                <w:szCs w:val="13"/>
              </w:rPr>
            </w:pPr>
            <w:r w:rsidRPr="00EF6679">
              <w:rPr>
                <w:rFonts w:ascii="Times New Roman" w:eastAsia="Times New Roman" w:hAnsi="Times New Roman" w:cs="Times New Roman"/>
                <w:color w:val="000000" w:themeColor="text1"/>
                <w:sz w:val="13"/>
                <w:szCs w:val="13"/>
              </w:rPr>
              <w:t>78-70-6</w:t>
            </w:r>
          </w:p>
        </w:tc>
        <w:tc>
          <w:tcPr>
            <w:tcW w:w="1152" w:type="dxa"/>
            <w:tcBorders>
              <w:top w:val="nil"/>
              <w:left w:val="nil"/>
              <w:bottom w:val="nil"/>
              <w:right w:val="nil"/>
            </w:tcBorders>
            <w:noWrap/>
            <w:vAlign w:val="center"/>
            <w:hideMark/>
          </w:tcPr>
          <w:p w14:paraId="1269EEA7" w14:textId="77777777" w:rsidR="009653CF" w:rsidRPr="00EF6679" w:rsidRDefault="009653CF" w:rsidP="009653CF">
            <w:pPr>
              <w:spacing w:line="240" w:lineRule="auto"/>
              <w:jc w:val="center"/>
              <w:rPr>
                <w:rFonts w:ascii="Times New Roman" w:eastAsia="Times New Roman" w:hAnsi="Times New Roman" w:cs="Times New Roman"/>
                <w:color w:val="000000" w:themeColor="text1"/>
                <w:sz w:val="13"/>
                <w:szCs w:val="13"/>
              </w:rPr>
            </w:pPr>
            <w:r w:rsidRPr="00EF6679">
              <w:rPr>
                <w:rFonts w:ascii="Times New Roman" w:eastAsia="Times New Roman" w:hAnsi="Times New Roman" w:cs="Times New Roman"/>
                <w:color w:val="000000" w:themeColor="text1"/>
                <w:sz w:val="13"/>
                <w:szCs w:val="13"/>
              </w:rPr>
              <w:t>17.272</w:t>
            </w:r>
          </w:p>
        </w:tc>
        <w:tc>
          <w:tcPr>
            <w:tcW w:w="864" w:type="dxa"/>
            <w:tcBorders>
              <w:top w:val="nil"/>
              <w:left w:val="nil"/>
              <w:bottom w:val="nil"/>
              <w:right w:val="nil"/>
            </w:tcBorders>
            <w:noWrap/>
            <w:vAlign w:val="center"/>
            <w:hideMark/>
          </w:tcPr>
          <w:p w14:paraId="04F54966" w14:textId="77777777" w:rsidR="009653CF" w:rsidRPr="00EF6679" w:rsidRDefault="009653CF" w:rsidP="009653CF">
            <w:pPr>
              <w:spacing w:line="240" w:lineRule="auto"/>
              <w:jc w:val="center"/>
              <w:rPr>
                <w:rFonts w:ascii="Times New Roman" w:eastAsia="Times New Roman" w:hAnsi="Times New Roman" w:cs="Times New Roman"/>
                <w:color w:val="000000" w:themeColor="text1"/>
                <w:sz w:val="13"/>
                <w:szCs w:val="13"/>
              </w:rPr>
            </w:pPr>
            <w:r w:rsidRPr="00EF6679">
              <w:rPr>
                <w:rFonts w:ascii="Times New Roman" w:eastAsia="Times New Roman" w:hAnsi="Times New Roman" w:cs="Times New Roman"/>
                <w:color w:val="000000" w:themeColor="text1"/>
                <w:sz w:val="13"/>
                <w:szCs w:val="13"/>
              </w:rPr>
              <w:t>0.06</w:t>
            </w:r>
          </w:p>
        </w:tc>
        <w:tc>
          <w:tcPr>
            <w:tcW w:w="720" w:type="dxa"/>
            <w:tcBorders>
              <w:top w:val="nil"/>
              <w:left w:val="nil"/>
              <w:bottom w:val="nil"/>
              <w:right w:val="nil"/>
            </w:tcBorders>
            <w:noWrap/>
            <w:vAlign w:val="center"/>
            <w:hideMark/>
          </w:tcPr>
          <w:p w14:paraId="510D8188" w14:textId="77777777" w:rsidR="009653CF" w:rsidRPr="00EF6679" w:rsidRDefault="009653CF" w:rsidP="009653CF">
            <w:pPr>
              <w:spacing w:line="240" w:lineRule="auto"/>
              <w:jc w:val="center"/>
              <w:rPr>
                <w:rFonts w:ascii="Times New Roman" w:eastAsia="Times New Roman" w:hAnsi="Times New Roman" w:cs="Times New Roman"/>
                <w:color w:val="000000" w:themeColor="text1"/>
                <w:sz w:val="13"/>
                <w:szCs w:val="13"/>
              </w:rPr>
            </w:pPr>
            <w:r w:rsidRPr="00EF6679">
              <w:rPr>
                <w:rFonts w:ascii="Times New Roman" w:eastAsia="Times New Roman" w:hAnsi="Times New Roman" w:cs="Times New Roman"/>
                <w:color w:val="000000" w:themeColor="text1"/>
                <w:sz w:val="13"/>
                <w:szCs w:val="13"/>
              </w:rPr>
              <w:t>1.18</w:t>
            </w:r>
          </w:p>
        </w:tc>
        <w:tc>
          <w:tcPr>
            <w:tcW w:w="864" w:type="dxa"/>
            <w:tcBorders>
              <w:top w:val="nil"/>
              <w:left w:val="nil"/>
              <w:bottom w:val="nil"/>
              <w:right w:val="nil"/>
            </w:tcBorders>
            <w:noWrap/>
            <w:vAlign w:val="center"/>
            <w:hideMark/>
          </w:tcPr>
          <w:p w14:paraId="0E2F1015" w14:textId="77777777" w:rsidR="009653CF" w:rsidRPr="00EF6679" w:rsidRDefault="009653CF" w:rsidP="009653CF">
            <w:pPr>
              <w:spacing w:line="240" w:lineRule="auto"/>
              <w:jc w:val="center"/>
              <w:rPr>
                <w:rFonts w:ascii="Times New Roman" w:eastAsia="Times New Roman" w:hAnsi="Times New Roman" w:cs="Times New Roman"/>
                <w:color w:val="000000" w:themeColor="text1"/>
                <w:sz w:val="13"/>
                <w:szCs w:val="13"/>
              </w:rPr>
            </w:pPr>
            <w:r w:rsidRPr="00EF6679">
              <w:rPr>
                <w:rFonts w:ascii="Times New Roman" w:eastAsia="Times New Roman" w:hAnsi="Times New Roman" w:cs="Times New Roman"/>
                <w:color w:val="000000" w:themeColor="text1"/>
                <w:sz w:val="13"/>
                <w:szCs w:val="13"/>
              </w:rPr>
              <w:t>0.60</w:t>
            </w:r>
          </w:p>
        </w:tc>
        <w:tc>
          <w:tcPr>
            <w:tcW w:w="410" w:type="dxa"/>
            <w:tcBorders>
              <w:top w:val="nil"/>
              <w:left w:val="nil"/>
              <w:bottom w:val="nil"/>
              <w:right w:val="nil"/>
            </w:tcBorders>
            <w:noWrap/>
          </w:tcPr>
          <w:p w14:paraId="3E88A8A8" w14:textId="77777777" w:rsidR="009653CF" w:rsidRPr="00EF6679" w:rsidRDefault="009653CF" w:rsidP="009653CF">
            <w:pPr>
              <w:spacing w:line="240" w:lineRule="auto"/>
              <w:jc w:val="right"/>
              <w:rPr>
                <w:rFonts w:ascii="Times New Roman" w:eastAsia="Times New Roman" w:hAnsi="Times New Roman" w:cs="Times New Roman"/>
                <w:color w:val="000000" w:themeColor="text1"/>
                <w:sz w:val="13"/>
                <w:szCs w:val="13"/>
              </w:rPr>
            </w:pPr>
          </w:p>
        </w:tc>
        <w:tc>
          <w:tcPr>
            <w:tcW w:w="864" w:type="dxa"/>
            <w:tcBorders>
              <w:top w:val="nil"/>
              <w:left w:val="nil"/>
              <w:bottom w:val="nil"/>
              <w:right w:val="nil"/>
            </w:tcBorders>
            <w:noWrap/>
            <w:vAlign w:val="bottom"/>
            <w:hideMark/>
          </w:tcPr>
          <w:p w14:paraId="1BBB0342" w14:textId="77777777" w:rsidR="009653CF" w:rsidRPr="00EF6679" w:rsidRDefault="009653CF" w:rsidP="009653CF">
            <w:pPr>
              <w:spacing w:line="240" w:lineRule="auto"/>
              <w:jc w:val="center"/>
              <w:rPr>
                <w:rFonts w:ascii="Times New Roman" w:eastAsia="Times New Roman" w:hAnsi="Times New Roman" w:cs="Times New Roman"/>
                <w:color w:val="000000" w:themeColor="text1"/>
                <w:sz w:val="13"/>
                <w:szCs w:val="13"/>
              </w:rPr>
            </w:pPr>
            <w:r w:rsidRPr="00EF6679">
              <w:rPr>
                <w:rFonts w:ascii="Times New Roman" w:hAnsi="Times New Roman" w:cs="Times New Roman"/>
                <w:color w:val="000000" w:themeColor="text1"/>
                <w:sz w:val="13"/>
                <w:szCs w:val="13"/>
              </w:rPr>
              <w:t>0.8123</w:t>
            </w:r>
          </w:p>
        </w:tc>
        <w:tc>
          <w:tcPr>
            <w:tcW w:w="720" w:type="dxa"/>
            <w:tcBorders>
              <w:top w:val="nil"/>
              <w:left w:val="nil"/>
              <w:bottom w:val="nil"/>
              <w:right w:val="nil"/>
            </w:tcBorders>
            <w:noWrap/>
            <w:vAlign w:val="bottom"/>
            <w:hideMark/>
          </w:tcPr>
          <w:p w14:paraId="7078C6BA" w14:textId="77777777" w:rsidR="009653CF" w:rsidRPr="00EF6679" w:rsidRDefault="009653CF" w:rsidP="009653CF">
            <w:pPr>
              <w:spacing w:line="240" w:lineRule="auto"/>
              <w:jc w:val="center"/>
              <w:rPr>
                <w:rFonts w:ascii="Times New Roman" w:eastAsia="Times New Roman" w:hAnsi="Times New Roman" w:cs="Times New Roman"/>
                <w:color w:val="000000" w:themeColor="text1"/>
                <w:sz w:val="13"/>
                <w:szCs w:val="13"/>
              </w:rPr>
            </w:pPr>
            <w:r w:rsidRPr="00EF6679">
              <w:rPr>
                <w:rFonts w:ascii="Times New Roman" w:hAnsi="Times New Roman" w:cs="Times New Roman"/>
                <w:color w:val="000000" w:themeColor="text1"/>
                <w:sz w:val="13"/>
                <w:szCs w:val="13"/>
              </w:rPr>
              <w:t>0.2999</w:t>
            </w:r>
          </w:p>
        </w:tc>
        <w:tc>
          <w:tcPr>
            <w:tcW w:w="864" w:type="dxa"/>
            <w:tcBorders>
              <w:top w:val="nil"/>
              <w:left w:val="nil"/>
              <w:bottom w:val="nil"/>
              <w:right w:val="nil"/>
            </w:tcBorders>
            <w:noWrap/>
            <w:vAlign w:val="bottom"/>
            <w:hideMark/>
          </w:tcPr>
          <w:p w14:paraId="646CBFE9" w14:textId="77777777" w:rsidR="009653CF" w:rsidRPr="00EF6679" w:rsidRDefault="009653CF" w:rsidP="009653CF">
            <w:pPr>
              <w:spacing w:line="240" w:lineRule="auto"/>
              <w:jc w:val="center"/>
              <w:rPr>
                <w:rFonts w:ascii="Times New Roman" w:eastAsia="Times New Roman" w:hAnsi="Times New Roman" w:cs="Times New Roman"/>
                <w:color w:val="000000" w:themeColor="text1"/>
                <w:sz w:val="13"/>
                <w:szCs w:val="13"/>
              </w:rPr>
            </w:pPr>
            <w:r w:rsidRPr="00EF6679">
              <w:rPr>
                <w:rFonts w:ascii="Times New Roman" w:hAnsi="Times New Roman" w:cs="Times New Roman"/>
                <w:color w:val="000000" w:themeColor="text1"/>
                <w:sz w:val="13"/>
                <w:szCs w:val="13"/>
              </w:rPr>
              <w:t>0.8314</w:t>
            </w:r>
          </w:p>
        </w:tc>
      </w:tr>
      <w:tr w:rsidR="009653CF" w:rsidRPr="00EF6679" w14:paraId="58DC7ACE" w14:textId="77777777" w:rsidTr="00820288">
        <w:tblPrEx>
          <w:jc w:val="lef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trHeight w:val="144"/>
        </w:trPr>
        <w:tc>
          <w:tcPr>
            <w:tcW w:w="2340" w:type="dxa"/>
            <w:tcBorders>
              <w:top w:val="nil"/>
              <w:left w:val="nil"/>
              <w:bottom w:val="nil"/>
              <w:right w:val="nil"/>
            </w:tcBorders>
            <w:noWrap/>
            <w:hideMark/>
          </w:tcPr>
          <w:p w14:paraId="370A854E" w14:textId="77777777" w:rsidR="009653CF" w:rsidRPr="00EF6679" w:rsidRDefault="009653CF" w:rsidP="009653CF">
            <w:pPr>
              <w:spacing w:line="240" w:lineRule="auto"/>
              <w:rPr>
                <w:rFonts w:ascii="Times New Roman" w:eastAsia="Times New Roman" w:hAnsi="Times New Roman" w:cs="Times New Roman"/>
                <w:color w:val="000000" w:themeColor="text1"/>
                <w:sz w:val="13"/>
                <w:szCs w:val="13"/>
              </w:rPr>
            </w:pPr>
            <w:r w:rsidRPr="00EF6679">
              <w:rPr>
                <w:rFonts w:ascii="Times New Roman" w:eastAsia="Times New Roman" w:hAnsi="Times New Roman" w:cs="Times New Roman"/>
                <w:color w:val="000000" w:themeColor="text1"/>
                <w:sz w:val="13"/>
                <w:szCs w:val="13"/>
              </w:rPr>
              <w:t xml:space="preserve">Fenchyl acetate          </w:t>
            </w:r>
          </w:p>
        </w:tc>
        <w:tc>
          <w:tcPr>
            <w:tcW w:w="939" w:type="dxa"/>
            <w:tcBorders>
              <w:top w:val="nil"/>
              <w:left w:val="nil"/>
              <w:bottom w:val="nil"/>
              <w:right w:val="nil"/>
            </w:tcBorders>
            <w:noWrap/>
            <w:vAlign w:val="center"/>
            <w:hideMark/>
          </w:tcPr>
          <w:p w14:paraId="29A8CEBD" w14:textId="77777777" w:rsidR="009653CF" w:rsidRPr="00EF6679" w:rsidRDefault="009653CF" w:rsidP="009653CF">
            <w:pPr>
              <w:spacing w:line="240" w:lineRule="auto"/>
              <w:jc w:val="center"/>
              <w:rPr>
                <w:rFonts w:ascii="Times New Roman" w:eastAsia="Times New Roman" w:hAnsi="Times New Roman" w:cs="Times New Roman"/>
                <w:color w:val="000000" w:themeColor="text1"/>
                <w:sz w:val="13"/>
                <w:szCs w:val="13"/>
              </w:rPr>
            </w:pPr>
            <w:r w:rsidRPr="00EF6679">
              <w:rPr>
                <w:rFonts w:ascii="Times New Roman" w:eastAsia="Times New Roman" w:hAnsi="Times New Roman" w:cs="Times New Roman"/>
                <w:color w:val="000000" w:themeColor="text1"/>
                <w:sz w:val="13"/>
                <w:szCs w:val="13"/>
              </w:rPr>
              <w:t>13851-11-1</w:t>
            </w:r>
          </w:p>
        </w:tc>
        <w:tc>
          <w:tcPr>
            <w:tcW w:w="1152" w:type="dxa"/>
            <w:tcBorders>
              <w:top w:val="nil"/>
              <w:left w:val="nil"/>
              <w:bottom w:val="nil"/>
              <w:right w:val="nil"/>
            </w:tcBorders>
            <w:noWrap/>
            <w:vAlign w:val="center"/>
            <w:hideMark/>
          </w:tcPr>
          <w:p w14:paraId="4C0FF47D" w14:textId="77777777" w:rsidR="009653CF" w:rsidRPr="00EF6679" w:rsidRDefault="009653CF" w:rsidP="009653CF">
            <w:pPr>
              <w:spacing w:line="240" w:lineRule="auto"/>
              <w:jc w:val="center"/>
              <w:rPr>
                <w:rFonts w:ascii="Times New Roman" w:eastAsia="Times New Roman" w:hAnsi="Times New Roman" w:cs="Times New Roman"/>
                <w:color w:val="000000" w:themeColor="text1"/>
                <w:sz w:val="13"/>
                <w:szCs w:val="13"/>
              </w:rPr>
            </w:pPr>
            <w:r w:rsidRPr="00EF6679">
              <w:rPr>
                <w:rFonts w:ascii="Times New Roman" w:eastAsia="Times New Roman" w:hAnsi="Times New Roman" w:cs="Times New Roman"/>
                <w:color w:val="000000" w:themeColor="text1"/>
                <w:sz w:val="13"/>
                <w:szCs w:val="13"/>
              </w:rPr>
              <w:t>17.314</w:t>
            </w:r>
          </w:p>
        </w:tc>
        <w:tc>
          <w:tcPr>
            <w:tcW w:w="864" w:type="dxa"/>
            <w:tcBorders>
              <w:top w:val="nil"/>
              <w:left w:val="nil"/>
              <w:bottom w:val="nil"/>
              <w:right w:val="nil"/>
            </w:tcBorders>
            <w:noWrap/>
            <w:vAlign w:val="center"/>
            <w:hideMark/>
          </w:tcPr>
          <w:p w14:paraId="1B23325C" w14:textId="77777777" w:rsidR="009653CF" w:rsidRPr="00EF6679" w:rsidRDefault="009653CF" w:rsidP="009653CF">
            <w:pPr>
              <w:spacing w:line="240" w:lineRule="auto"/>
              <w:jc w:val="center"/>
              <w:rPr>
                <w:rFonts w:ascii="Times New Roman" w:eastAsia="Times New Roman" w:hAnsi="Times New Roman" w:cs="Times New Roman"/>
                <w:color w:val="000000" w:themeColor="text1"/>
                <w:sz w:val="13"/>
                <w:szCs w:val="13"/>
              </w:rPr>
            </w:pPr>
            <w:r w:rsidRPr="00EF6679">
              <w:rPr>
                <w:rFonts w:ascii="Times New Roman" w:eastAsia="Times New Roman" w:hAnsi="Times New Roman" w:cs="Times New Roman"/>
                <w:color w:val="000000" w:themeColor="text1"/>
                <w:sz w:val="13"/>
                <w:szCs w:val="13"/>
              </w:rPr>
              <w:t>17.02</w:t>
            </w:r>
          </w:p>
        </w:tc>
        <w:tc>
          <w:tcPr>
            <w:tcW w:w="720" w:type="dxa"/>
            <w:tcBorders>
              <w:top w:val="nil"/>
              <w:left w:val="nil"/>
              <w:bottom w:val="nil"/>
              <w:right w:val="nil"/>
            </w:tcBorders>
            <w:noWrap/>
            <w:vAlign w:val="center"/>
            <w:hideMark/>
          </w:tcPr>
          <w:p w14:paraId="304FA9D2" w14:textId="77777777" w:rsidR="009653CF" w:rsidRPr="00EF6679" w:rsidRDefault="009653CF" w:rsidP="009653CF">
            <w:pPr>
              <w:spacing w:line="240" w:lineRule="auto"/>
              <w:jc w:val="center"/>
              <w:rPr>
                <w:rFonts w:ascii="Times New Roman" w:eastAsia="Times New Roman" w:hAnsi="Times New Roman" w:cs="Times New Roman"/>
                <w:color w:val="000000" w:themeColor="text1"/>
                <w:sz w:val="13"/>
                <w:szCs w:val="13"/>
              </w:rPr>
            </w:pPr>
            <w:r w:rsidRPr="00EF6679">
              <w:rPr>
                <w:rFonts w:ascii="Times New Roman" w:eastAsia="Times New Roman" w:hAnsi="Times New Roman" w:cs="Times New Roman"/>
                <w:color w:val="000000" w:themeColor="text1"/>
                <w:sz w:val="13"/>
                <w:szCs w:val="13"/>
              </w:rPr>
              <w:t>1.92</w:t>
            </w:r>
          </w:p>
        </w:tc>
        <w:tc>
          <w:tcPr>
            <w:tcW w:w="864" w:type="dxa"/>
            <w:tcBorders>
              <w:top w:val="nil"/>
              <w:left w:val="nil"/>
              <w:bottom w:val="nil"/>
              <w:right w:val="nil"/>
            </w:tcBorders>
            <w:noWrap/>
            <w:vAlign w:val="center"/>
            <w:hideMark/>
          </w:tcPr>
          <w:p w14:paraId="7B32B22E" w14:textId="77777777" w:rsidR="009653CF" w:rsidRPr="00EF6679" w:rsidRDefault="009653CF" w:rsidP="009653CF">
            <w:pPr>
              <w:spacing w:line="240" w:lineRule="auto"/>
              <w:jc w:val="center"/>
              <w:rPr>
                <w:rFonts w:ascii="Times New Roman" w:eastAsia="Times New Roman" w:hAnsi="Times New Roman" w:cs="Times New Roman"/>
                <w:color w:val="000000" w:themeColor="text1"/>
                <w:sz w:val="13"/>
                <w:szCs w:val="13"/>
              </w:rPr>
            </w:pPr>
            <w:r w:rsidRPr="00EF6679">
              <w:rPr>
                <w:rFonts w:ascii="Times New Roman" w:eastAsia="Times New Roman" w:hAnsi="Times New Roman" w:cs="Times New Roman"/>
                <w:color w:val="000000" w:themeColor="text1"/>
                <w:sz w:val="13"/>
                <w:szCs w:val="13"/>
              </w:rPr>
              <w:t>1.64</w:t>
            </w:r>
          </w:p>
        </w:tc>
        <w:tc>
          <w:tcPr>
            <w:tcW w:w="410" w:type="dxa"/>
            <w:tcBorders>
              <w:top w:val="nil"/>
              <w:left w:val="nil"/>
              <w:bottom w:val="nil"/>
              <w:right w:val="nil"/>
            </w:tcBorders>
            <w:noWrap/>
          </w:tcPr>
          <w:p w14:paraId="62EA8732" w14:textId="77777777" w:rsidR="009653CF" w:rsidRPr="00EF6679" w:rsidRDefault="009653CF" w:rsidP="009653CF">
            <w:pPr>
              <w:spacing w:line="240" w:lineRule="auto"/>
              <w:jc w:val="right"/>
              <w:rPr>
                <w:rFonts w:ascii="Times New Roman" w:eastAsia="Times New Roman" w:hAnsi="Times New Roman" w:cs="Times New Roman"/>
                <w:color w:val="000000" w:themeColor="text1"/>
                <w:sz w:val="13"/>
                <w:szCs w:val="13"/>
              </w:rPr>
            </w:pPr>
          </w:p>
        </w:tc>
        <w:tc>
          <w:tcPr>
            <w:tcW w:w="864" w:type="dxa"/>
            <w:tcBorders>
              <w:top w:val="nil"/>
              <w:left w:val="nil"/>
              <w:bottom w:val="nil"/>
              <w:right w:val="nil"/>
            </w:tcBorders>
            <w:noWrap/>
            <w:vAlign w:val="bottom"/>
            <w:hideMark/>
          </w:tcPr>
          <w:p w14:paraId="5A516600" w14:textId="77777777" w:rsidR="009653CF" w:rsidRPr="00EF6679" w:rsidRDefault="009653CF" w:rsidP="009653CF">
            <w:pPr>
              <w:spacing w:line="240" w:lineRule="auto"/>
              <w:jc w:val="center"/>
              <w:rPr>
                <w:rFonts w:ascii="Times New Roman" w:eastAsia="Times New Roman" w:hAnsi="Times New Roman" w:cs="Times New Roman"/>
                <w:color w:val="000000" w:themeColor="text1"/>
                <w:sz w:val="13"/>
                <w:szCs w:val="13"/>
              </w:rPr>
            </w:pPr>
            <w:r w:rsidRPr="00EF6679">
              <w:rPr>
                <w:rFonts w:ascii="Times New Roman" w:hAnsi="Times New Roman" w:cs="Times New Roman"/>
                <w:color w:val="000000" w:themeColor="text1"/>
                <w:sz w:val="13"/>
                <w:szCs w:val="13"/>
              </w:rPr>
              <w:t xml:space="preserve">&lt;.0001 </w:t>
            </w:r>
          </w:p>
        </w:tc>
        <w:tc>
          <w:tcPr>
            <w:tcW w:w="720" w:type="dxa"/>
            <w:tcBorders>
              <w:top w:val="nil"/>
              <w:left w:val="nil"/>
              <w:bottom w:val="nil"/>
              <w:right w:val="nil"/>
            </w:tcBorders>
            <w:noWrap/>
            <w:vAlign w:val="bottom"/>
            <w:hideMark/>
          </w:tcPr>
          <w:p w14:paraId="7FC2E9DC" w14:textId="77777777" w:rsidR="009653CF" w:rsidRPr="00EF6679" w:rsidRDefault="009653CF" w:rsidP="009653CF">
            <w:pPr>
              <w:spacing w:line="240" w:lineRule="auto"/>
              <w:jc w:val="center"/>
              <w:rPr>
                <w:rFonts w:ascii="Times New Roman" w:eastAsia="Times New Roman" w:hAnsi="Times New Roman" w:cs="Times New Roman"/>
                <w:color w:val="000000" w:themeColor="text1"/>
                <w:sz w:val="13"/>
                <w:szCs w:val="13"/>
              </w:rPr>
            </w:pPr>
            <w:r w:rsidRPr="00EF6679">
              <w:rPr>
                <w:rFonts w:ascii="Times New Roman" w:hAnsi="Times New Roman" w:cs="Times New Roman"/>
                <w:color w:val="000000" w:themeColor="text1"/>
                <w:sz w:val="13"/>
                <w:szCs w:val="13"/>
              </w:rPr>
              <w:t>0.0385</w:t>
            </w:r>
          </w:p>
        </w:tc>
        <w:tc>
          <w:tcPr>
            <w:tcW w:w="864" w:type="dxa"/>
            <w:tcBorders>
              <w:top w:val="nil"/>
              <w:left w:val="nil"/>
              <w:bottom w:val="nil"/>
              <w:right w:val="nil"/>
            </w:tcBorders>
            <w:noWrap/>
            <w:vAlign w:val="bottom"/>
            <w:hideMark/>
          </w:tcPr>
          <w:p w14:paraId="73929148" w14:textId="77777777" w:rsidR="009653CF" w:rsidRPr="00EF6679" w:rsidRDefault="009653CF" w:rsidP="009653CF">
            <w:pPr>
              <w:spacing w:line="240" w:lineRule="auto"/>
              <w:jc w:val="center"/>
              <w:rPr>
                <w:rFonts w:ascii="Times New Roman" w:eastAsia="Times New Roman" w:hAnsi="Times New Roman" w:cs="Times New Roman"/>
                <w:color w:val="000000" w:themeColor="text1"/>
                <w:sz w:val="13"/>
                <w:szCs w:val="13"/>
              </w:rPr>
            </w:pPr>
            <w:r w:rsidRPr="00EF6679">
              <w:rPr>
                <w:rFonts w:ascii="Times New Roman" w:hAnsi="Times New Roman" w:cs="Times New Roman"/>
                <w:color w:val="000000" w:themeColor="text1"/>
                <w:sz w:val="13"/>
                <w:szCs w:val="13"/>
              </w:rPr>
              <w:t>0.0889</w:t>
            </w:r>
          </w:p>
        </w:tc>
      </w:tr>
      <w:tr w:rsidR="009653CF" w:rsidRPr="00EF6679" w14:paraId="69B99D3F" w14:textId="77777777" w:rsidTr="00820288">
        <w:tblPrEx>
          <w:jc w:val="lef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trHeight w:val="144"/>
        </w:trPr>
        <w:tc>
          <w:tcPr>
            <w:tcW w:w="2340" w:type="dxa"/>
            <w:tcBorders>
              <w:top w:val="nil"/>
              <w:left w:val="nil"/>
              <w:bottom w:val="nil"/>
              <w:right w:val="nil"/>
            </w:tcBorders>
            <w:noWrap/>
            <w:hideMark/>
          </w:tcPr>
          <w:p w14:paraId="1D601039" w14:textId="77777777" w:rsidR="009653CF" w:rsidRPr="00EF6679" w:rsidRDefault="009653CF" w:rsidP="009653CF">
            <w:pPr>
              <w:spacing w:line="240" w:lineRule="auto"/>
              <w:rPr>
                <w:rFonts w:ascii="Times New Roman" w:eastAsia="Times New Roman" w:hAnsi="Times New Roman" w:cs="Times New Roman"/>
                <w:color w:val="000000" w:themeColor="text1"/>
                <w:sz w:val="13"/>
                <w:szCs w:val="13"/>
              </w:rPr>
            </w:pPr>
            <w:r w:rsidRPr="00EF6679">
              <w:rPr>
                <w:rFonts w:ascii="Times New Roman" w:eastAsia="Times New Roman" w:hAnsi="Times New Roman" w:cs="Times New Roman"/>
                <w:color w:val="000000" w:themeColor="text1"/>
                <w:sz w:val="13"/>
                <w:szCs w:val="13"/>
              </w:rPr>
              <w:t>Ethanol, 2-phenyl-</w:t>
            </w:r>
          </w:p>
        </w:tc>
        <w:tc>
          <w:tcPr>
            <w:tcW w:w="939" w:type="dxa"/>
            <w:tcBorders>
              <w:top w:val="nil"/>
              <w:left w:val="nil"/>
              <w:bottom w:val="nil"/>
              <w:right w:val="nil"/>
            </w:tcBorders>
            <w:noWrap/>
            <w:vAlign w:val="center"/>
            <w:hideMark/>
          </w:tcPr>
          <w:p w14:paraId="095B16F4" w14:textId="77777777" w:rsidR="009653CF" w:rsidRPr="00EF6679" w:rsidRDefault="009653CF" w:rsidP="009653CF">
            <w:pPr>
              <w:spacing w:line="240" w:lineRule="auto"/>
              <w:jc w:val="center"/>
              <w:rPr>
                <w:rFonts w:ascii="Times New Roman" w:eastAsia="Times New Roman" w:hAnsi="Times New Roman" w:cs="Times New Roman"/>
                <w:color w:val="000000" w:themeColor="text1"/>
                <w:sz w:val="13"/>
                <w:szCs w:val="13"/>
              </w:rPr>
            </w:pPr>
            <w:r w:rsidRPr="00EF6679">
              <w:rPr>
                <w:rFonts w:ascii="Times New Roman" w:eastAsia="Times New Roman" w:hAnsi="Times New Roman" w:cs="Times New Roman"/>
                <w:color w:val="000000" w:themeColor="text1"/>
                <w:sz w:val="13"/>
                <w:szCs w:val="13"/>
              </w:rPr>
              <w:t>60-12-8</w:t>
            </w:r>
          </w:p>
        </w:tc>
        <w:tc>
          <w:tcPr>
            <w:tcW w:w="1152" w:type="dxa"/>
            <w:tcBorders>
              <w:top w:val="nil"/>
              <w:left w:val="nil"/>
              <w:bottom w:val="nil"/>
              <w:right w:val="nil"/>
            </w:tcBorders>
            <w:noWrap/>
            <w:vAlign w:val="center"/>
            <w:hideMark/>
          </w:tcPr>
          <w:p w14:paraId="068C439E" w14:textId="77777777" w:rsidR="009653CF" w:rsidRPr="00EF6679" w:rsidRDefault="009653CF" w:rsidP="009653CF">
            <w:pPr>
              <w:spacing w:line="240" w:lineRule="auto"/>
              <w:jc w:val="center"/>
              <w:rPr>
                <w:rFonts w:ascii="Times New Roman" w:eastAsia="Times New Roman" w:hAnsi="Times New Roman" w:cs="Times New Roman"/>
                <w:color w:val="000000" w:themeColor="text1"/>
                <w:sz w:val="13"/>
                <w:szCs w:val="13"/>
              </w:rPr>
            </w:pPr>
            <w:r w:rsidRPr="00EF6679">
              <w:rPr>
                <w:rFonts w:ascii="Times New Roman" w:eastAsia="Times New Roman" w:hAnsi="Times New Roman" w:cs="Times New Roman"/>
                <w:color w:val="000000" w:themeColor="text1"/>
                <w:sz w:val="13"/>
                <w:szCs w:val="13"/>
              </w:rPr>
              <w:t>17.745</w:t>
            </w:r>
          </w:p>
        </w:tc>
        <w:tc>
          <w:tcPr>
            <w:tcW w:w="864" w:type="dxa"/>
            <w:tcBorders>
              <w:top w:val="nil"/>
              <w:left w:val="nil"/>
              <w:bottom w:val="nil"/>
              <w:right w:val="nil"/>
            </w:tcBorders>
            <w:noWrap/>
            <w:vAlign w:val="center"/>
            <w:hideMark/>
          </w:tcPr>
          <w:p w14:paraId="4E0AC7FC" w14:textId="77777777" w:rsidR="009653CF" w:rsidRPr="00EF6679" w:rsidRDefault="009653CF" w:rsidP="009653CF">
            <w:pPr>
              <w:spacing w:line="240" w:lineRule="auto"/>
              <w:jc w:val="center"/>
              <w:rPr>
                <w:rFonts w:ascii="Times New Roman" w:eastAsia="Times New Roman" w:hAnsi="Times New Roman" w:cs="Times New Roman"/>
                <w:color w:val="000000" w:themeColor="text1"/>
                <w:sz w:val="13"/>
                <w:szCs w:val="13"/>
              </w:rPr>
            </w:pPr>
            <w:r w:rsidRPr="00EF6679">
              <w:rPr>
                <w:rFonts w:ascii="Times New Roman" w:eastAsia="Times New Roman" w:hAnsi="Times New Roman" w:cs="Times New Roman"/>
                <w:color w:val="000000" w:themeColor="text1"/>
                <w:sz w:val="13"/>
                <w:szCs w:val="13"/>
              </w:rPr>
              <w:t>n.d.</w:t>
            </w:r>
          </w:p>
        </w:tc>
        <w:tc>
          <w:tcPr>
            <w:tcW w:w="720" w:type="dxa"/>
            <w:tcBorders>
              <w:top w:val="nil"/>
              <w:left w:val="nil"/>
              <w:bottom w:val="nil"/>
              <w:right w:val="nil"/>
            </w:tcBorders>
            <w:noWrap/>
            <w:vAlign w:val="center"/>
            <w:hideMark/>
          </w:tcPr>
          <w:p w14:paraId="0EA6E23F" w14:textId="77777777" w:rsidR="009653CF" w:rsidRPr="00EF6679" w:rsidRDefault="009653CF" w:rsidP="009653CF">
            <w:pPr>
              <w:spacing w:line="240" w:lineRule="auto"/>
              <w:jc w:val="center"/>
              <w:rPr>
                <w:rFonts w:ascii="Times New Roman" w:eastAsia="Times New Roman" w:hAnsi="Times New Roman" w:cs="Times New Roman"/>
                <w:color w:val="000000" w:themeColor="text1"/>
                <w:sz w:val="13"/>
                <w:szCs w:val="13"/>
              </w:rPr>
            </w:pPr>
            <w:r w:rsidRPr="00EF6679">
              <w:rPr>
                <w:rFonts w:ascii="Times New Roman" w:eastAsia="Times New Roman" w:hAnsi="Times New Roman" w:cs="Times New Roman"/>
                <w:color w:val="000000" w:themeColor="text1"/>
                <w:sz w:val="13"/>
                <w:szCs w:val="13"/>
              </w:rPr>
              <w:t>2.50</w:t>
            </w:r>
          </w:p>
        </w:tc>
        <w:tc>
          <w:tcPr>
            <w:tcW w:w="864" w:type="dxa"/>
            <w:tcBorders>
              <w:top w:val="nil"/>
              <w:left w:val="nil"/>
              <w:bottom w:val="nil"/>
              <w:right w:val="nil"/>
            </w:tcBorders>
            <w:noWrap/>
            <w:vAlign w:val="center"/>
            <w:hideMark/>
          </w:tcPr>
          <w:p w14:paraId="33423A3E" w14:textId="77777777" w:rsidR="009653CF" w:rsidRPr="00EF6679" w:rsidRDefault="009653CF" w:rsidP="009653CF">
            <w:pPr>
              <w:spacing w:line="240" w:lineRule="auto"/>
              <w:jc w:val="center"/>
              <w:rPr>
                <w:rFonts w:ascii="Times New Roman" w:eastAsia="Times New Roman" w:hAnsi="Times New Roman" w:cs="Times New Roman"/>
                <w:color w:val="000000" w:themeColor="text1"/>
                <w:sz w:val="13"/>
                <w:szCs w:val="13"/>
              </w:rPr>
            </w:pPr>
            <w:r w:rsidRPr="00EF6679">
              <w:rPr>
                <w:rFonts w:ascii="Times New Roman" w:eastAsia="Times New Roman" w:hAnsi="Times New Roman" w:cs="Times New Roman"/>
                <w:color w:val="000000" w:themeColor="text1"/>
                <w:sz w:val="13"/>
                <w:szCs w:val="13"/>
              </w:rPr>
              <w:t>3.00</w:t>
            </w:r>
          </w:p>
        </w:tc>
        <w:tc>
          <w:tcPr>
            <w:tcW w:w="410" w:type="dxa"/>
            <w:tcBorders>
              <w:top w:val="nil"/>
              <w:left w:val="nil"/>
              <w:bottom w:val="nil"/>
              <w:right w:val="nil"/>
            </w:tcBorders>
            <w:noWrap/>
          </w:tcPr>
          <w:p w14:paraId="0EC12E93" w14:textId="77777777" w:rsidR="009653CF" w:rsidRPr="00EF6679" w:rsidRDefault="009653CF" w:rsidP="009653CF">
            <w:pPr>
              <w:spacing w:line="240" w:lineRule="auto"/>
              <w:jc w:val="right"/>
              <w:rPr>
                <w:rFonts w:ascii="Times New Roman" w:eastAsia="Times New Roman" w:hAnsi="Times New Roman" w:cs="Times New Roman"/>
                <w:color w:val="000000" w:themeColor="text1"/>
                <w:sz w:val="13"/>
                <w:szCs w:val="13"/>
              </w:rPr>
            </w:pPr>
          </w:p>
        </w:tc>
        <w:tc>
          <w:tcPr>
            <w:tcW w:w="864" w:type="dxa"/>
            <w:tcBorders>
              <w:top w:val="nil"/>
              <w:left w:val="nil"/>
              <w:bottom w:val="nil"/>
              <w:right w:val="nil"/>
            </w:tcBorders>
            <w:noWrap/>
            <w:vAlign w:val="bottom"/>
            <w:hideMark/>
          </w:tcPr>
          <w:p w14:paraId="24246CE9" w14:textId="77777777" w:rsidR="009653CF" w:rsidRPr="00EF6679" w:rsidRDefault="009653CF" w:rsidP="009653CF">
            <w:pPr>
              <w:spacing w:line="240" w:lineRule="auto"/>
              <w:jc w:val="center"/>
              <w:rPr>
                <w:rFonts w:ascii="Times New Roman" w:eastAsia="Times New Roman" w:hAnsi="Times New Roman" w:cs="Times New Roman"/>
                <w:color w:val="000000" w:themeColor="text1"/>
                <w:sz w:val="13"/>
                <w:szCs w:val="13"/>
              </w:rPr>
            </w:pPr>
            <w:r w:rsidRPr="00EF6679">
              <w:rPr>
                <w:rFonts w:ascii="Times New Roman" w:hAnsi="Times New Roman" w:cs="Times New Roman"/>
                <w:color w:val="000000" w:themeColor="text1"/>
                <w:sz w:val="13"/>
                <w:szCs w:val="13"/>
              </w:rPr>
              <w:t>0.9542</w:t>
            </w:r>
          </w:p>
        </w:tc>
        <w:tc>
          <w:tcPr>
            <w:tcW w:w="720" w:type="dxa"/>
            <w:tcBorders>
              <w:top w:val="nil"/>
              <w:left w:val="nil"/>
              <w:bottom w:val="nil"/>
              <w:right w:val="nil"/>
            </w:tcBorders>
            <w:noWrap/>
            <w:vAlign w:val="bottom"/>
            <w:hideMark/>
          </w:tcPr>
          <w:p w14:paraId="2472E044" w14:textId="77777777" w:rsidR="009653CF" w:rsidRPr="00EF6679" w:rsidRDefault="009653CF" w:rsidP="009653CF">
            <w:pPr>
              <w:spacing w:line="240" w:lineRule="auto"/>
              <w:jc w:val="center"/>
              <w:rPr>
                <w:rFonts w:ascii="Times New Roman" w:eastAsia="Times New Roman" w:hAnsi="Times New Roman" w:cs="Times New Roman"/>
                <w:color w:val="000000" w:themeColor="text1"/>
                <w:sz w:val="13"/>
                <w:szCs w:val="13"/>
              </w:rPr>
            </w:pPr>
            <w:r w:rsidRPr="00EF6679">
              <w:rPr>
                <w:rFonts w:ascii="Times New Roman" w:hAnsi="Times New Roman" w:cs="Times New Roman"/>
                <w:color w:val="000000" w:themeColor="text1"/>
                <w:sz w:val="13"/>
                <w:szCs w:val="13"/>
              </w:rPr>
              <w:t>0.0057</w:t>
            </w:r>
          </w:p>
        </w:tc>
        <w:tc>
          <w:tcPr>
            <w:tcW w:w="864" w:type="dxa"/>
            <w:tcBorders>
              <w:top w:val="nil"/>
              <w:left w:val="nil"/>
              <w:bottom w:val="nil"/>
              <w:right w:val="nil"/>
            </w:tcBorders>
            <w:noWrap/>
            <w:vAlign w:val="bottom"/>
            <w:hideMark/>
          </w:tcPr>
          <w:p w14:paraId="66125E54" w14:textId="77777777" w:rsidR="009653CF" w:rsidRPr="00EF6679" w:rsidRDefault="009653CF" w:rsidP="009653CF">
            <w:pPr>
              <w:spacing w:line="240" w:lineRule="auto"/>
              <w:jc w:val="center"/>
              <w:rPr>
                <w:rFonts w:ascii="Times New Roman" w:eastAsia="Times New Roman" w:hAnsi="Times New Roman" w:cs="Times New Roman"/>
                <w:color w:val="000000" w:themeColor="text1"/>
                <w:sz w:val="13"/>
                <w:szCs w:val="13"/>
              </w:rPr>
            </w:pPr>
            <w:r w:rsidRPr="00EF6679">
              <w:rPr>
                <w:rFonts w:ascii="Times New Roman" w:hAnsi="Times New Roman" w:cs="Times New Roman"/>
                <w:color w:val="000000" w:themeColor="text1"/>
                <w:sz w:val="13"/>
                <w:szCs w:val="13"/>
              </w:rPr>
              <w:t>0.0010</w:t>
            </w:r>
          </w:p>
        </w:tc>
      </w:tr>
      <w:tr w:rsidR="009653CF" w:rsidRPr="00EF6679" w14:paraId="31C35E81" w14:textId="77777777" w:rsidTr="00820288">
        <w:tblPrEx>
          <w:jc w:val="lef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trHeight w:val="144"/>
        </w:trPr>
        <w:tc>
          <w:tcPr>
            <w:tcW w:w="2340" w:type="dxa"/>
            <w:tcBorders>
              <w:top w:val="nil"/>
              <w:left w:val="nil"/>
              <w:bottom w:val="nil"/>
              <w:right w:val="nil"/>
            </w:tcBorders>
            <w:noWrap/>
            <w:hideMark/>
          </w:tcPr>
          <w:p w14:paraId="10D266D6" w14:textId="77777777" w:rsidR="009653CF" w:rsidRPr="00EF6679" w:rsidRDefault="009653CF" w:rsidP="009653CF">
            <w:pPr>
              <w:spacing w:line="240" w:lineRule="auto"/>
              <w:rPr>
                <w:rFonts w:ascii="Times New Roman" w:eastAsia="Times New Roman" w:hAnsi="Times New Roman" w:cs="Times New Roman"/>
                <w:color w:val="000000" w:themeColor="text1"/>
                <w:sz w:val="13"/>
                <w:szCs w:val="13"/>
              </w:rPr>
            </w:pPr>
            <w:r w:rsidRPr="00EF6679">
              <w:rPr>
                <w:rFonts w:ascii="Times New Roman" w:eastAsia="Times New Roman" w:hAnsi="Times New Roman" w:cs="Times New Roman"/>
                <w:color w:val="000000" w:themeColor="text1"/>
                <w:sz w:val="13"/>
                <w:szCs w:val="13"/>
              </w:rPr>
              <w:t xml:space="preserve">1,5-Decadiyne            </w:t>
            </w:r>
          </w:p>
        </w:tc>
        <w:tc>
          <w:tcPr>
            <w:tcW w:w="939" w:type="dxa"/>
            <w:tcBorders>
              <w:top w:val="nil"/>
              <w:left w:val="nil"/>
              <w:bottom w:val="nil"/>
              <w:right w:val="nil"/>
            </w:tcBorders>
            <w:noWrap/>
            <w:vAlign w:val="center"/>
            <w:hideMark/>
          </w:tcPr>
          <w:p w14:paraId="72BFD743" w14:textId="77777777" w:rsidR="009653CF" w:rsidRPr="00EF6679" w:rsidRDefault="009653CF" w:rsidP="009653CF">
            <w:pPr>
              <w:spacing w:line="240" w:lineRule="auto"/>
              <w:jc w:val="center"/>
              <w:rPr>
                <w:rFonts w:ascii="Times New Roman" w:eastAsia="Times New Roman" w:hAnsi="Times New Roman" w:cs="Times New Roman"/>
                <w:color w:val="000000" w:themeColor="text1"/>
                <w:sz w:val="13"/>
                <w:szCs w:val="13"/>
              </w:rPr>
            </w:pPr>
            <w:r w:rsidRPr="00EF6679">
              <w:rPr>
                <w:rFonts w:ascii="Times New Roman" w:eastAsia="Times New Roman" w:hAnsi="Times New Roman" w:cs="Times New Roman"/>
                <w:color w:val="000000" w:themeColor="text1"/>
                <w:sz w:val="13"/>
                <w:szCs w:val="13"/>
              </w:rPr>
              <w:t>53963-03-4</w:t>
            </w:r>
          </w:p>
        </w:tc>
        <w:tc>
          <w:tcPr>
            <w:tcW w:w="1152" w:type="dxa"/>
            <w:tcBorders>
              <w:top w:val="nil"/>
              <w:left w:val="nil"/>
              <w:bottom w:val="nil"/>
              <w:right w:val="nil"/>
            </w:tcBorders>
            <w:noWrap/>
            <w:vAlign w:val="center"/>
            <w:hideMark/>
          </w:tcPr>
          <w:p w14:paraId="44B21608" w14:textId="77777777" w:rsidR="009653CF" w:rsidRPr="00EF6679" w:rsidRDefault="009653CF" w:rsidP="009653CF">
            <w:pPr>
              <w:spacing w:line="240" w:lineRule="auto"/>
              <w:jc w:val="center"/>
              <w:rPr>
                <w:rFonts w:ascii="Times New Roman" w:eastAsia="Times New Roman" w:hAnsi="Times New Roman" w:cs="Times New Roman"/>
                <w:color w:val="000000" w:themeColor="text1"/>
                <w:sz w:val="13"/>
                <w:szCs w:val="13"/>
              </w:rPr>
            </w:pPr>
            <w:r w:rsidRPr="00EF6679">
              <w:rPr>
                <w:rFonts w:ascii="Times New Roman" w:eastAsia="Times New Roman" w:hAnsi="Times New Roman" w:cs="Times New Roman"/>
                <w:color w:val="000000" w:themeColor="text1"/>
                <w:sz w:val="13"/>
                <w:szCs w:val="13"/>
              </w:rPr>
              <w:t>18.065</w:t>
            </w:r>
          </w:p>
        </w:tc>
        <w:tc>
          <w:tcPr>
            <w:tcW w:w="864" w:type="dxa"/>
            <w:tcBorders>
              <w:top w:val="nil"/>
              <w:left w:val="nil"/>
              <w:bottom w:val="nil"/>
              <w:right w:val="nil"/>
            </w:tcBorders>
            <w:noWrap/>
            <w:vAlign w:val="center"/>
            <w:hideMark/>
          </w:tcPr>
          <w:p w14:paraId="7F0411EF" w14:textId="77777777" w:rsidR="009653CF" w:rsidRPr="00EF6679" w:rsidRDefault="009653CF" w:rsidP="009653CF">
            <w:pPr>
              <w:spacing w:line="240" w:lineRule="auto"/>
              <w:jc w:val="center"/>
              <w:rPr>
                <w:rFonts w:ascii="Times New Roman" w:eastAsia="Times New Roman" w:hAnsi="Times New Roman" w:cs="Times New Roman"/>
                <w:color w:val="000000" w:themeColor="text1"/>
                <w:sz w:val="13"/>
                <w:szCs w:val="13"/>
              </w:rPr>
            </w:pPr>
            <w:r w:rsidRPr="00EF6679">
              <w:rPr>
                <w:rFonts w:ascii="Times New Roman" w:eastAsia="Times New Roman" w:hAnsi="Times New Roman" w:cs="Times New Roman"/>
                <w:color w:val="000000" w:themeColor="text1"/>
                <w:sz w:val="13"/>
                <w:szCs w:val="13"/>
              </w:rPr>
              <w:t>1.46</w:t>
            </w:r>
          </w:p>
        </w:tc>
        <w:tc>
          <w:tcPr>
            <w:tcW w:w="720" w:type="dxa"/>
            <w:tcBorders>
              <w:top w:val="nil"/>
              <w:left w:val="nil"/>
              <w:bottom w:val="nil"/>
              <w:right w:val="nil"/>
            </w:tcBorders>
            <w:noWrap/>
            <w:vAlign w:val="center"/>
            <w:hideMark/>
          </w:tcPr>
          <w:p w14:paraId="5A3106A4" w14:textId="77777777" w:rsidR="009653CF" w:rsidRPr="00EF6679" w:rsidRDefault="009653CF" w:rsidP="009653CF">
            <w:pPr>
              <w:spacing w:line="240" w:lineRule="auto"/>
              <w:jc w:val="center"/>
              <w:rPr>
                <w:rFonts w:ascii="Times New Roman" w:eastAsia="Times New Roman" w:hAnsi="Times New Roman" w:cs="Times New Roman"/>
                <w:color w:val="000000" w:themeColor="text1"/>
                <w:sz w:val="13"/>
                <w:szCs w:val="13"/>
              </w:rPr>
            </w:pPr>
            <w:r w:rsidRPr="00EF6679">
              <w:rPr>
                <w:rFonts w:ascii="Times New Roman" w:eastAsia="Times New Roman" w:hAnsi="Times New Roman" w:cs="Times New Roman"/>
                <w:color w:val="000000" w:themeColor="text1"/>
                <w:sz w:val="13"/>
                <w:szCs w:val="13"/>
              </w:rPr>
              <w:t>1.12</w:t>
            </w:r>
          </w:p>
        </w:tc>
        <w:tc>
          <w:tcPr>
            <w:tcW w:w="864" w:type="dxa"/>
            <w:tcBorders>
              <w:top w:val="nil"/>
              <w:left w:val="nil"/>
              <w:bottom w:val="nil"/>
              <w:right w:val="nil"/>
            </w:tcBorders>
            <w:noWrap/>
            <w:vAlign w:val="center"/>
            <w:hideMark/>
          </w:tcPr>
          <w:p w14:paraId="25D8B57E" w14:textId="77777777" w:rsidR="009653CF" w:rsidRPr="00EF6679" w:rsidRDefault="009653CF" w:rsidP="009653CF">
            <w:pPr>
              <w:spacing w:line="240" w:lineRule="auto"/>
              <w:jc w:val="center"/>
              <w:rPr>
                <w:rFonts w:ascii="Times New Roman" w:eastAsia="Times New Roman" w:hAnsi="Times New Roman" w:cs="Times New Roman"/>
                <w:color w:val="000000" w:themeColor="text1"/>
                <w:sz w:val="13"/>
                <w:szCs w:val="13"/>
              </w:rPr>
            </w:pPr>
            <w:r w:rsidRPr="00EF6679">
              <w:rPr>
                <w:rFonts w:ascii="Times New Roman" w:eastAsia="Times New Roman" w:hAnsi="Times New Roman" w:cs="Times New Roman"/>
                <w:color w:val="000000" w:themeColor="text1"/>
                <w:sz w:val="13"/>
                <w:szCs w:val="13"/>
              </w:rPr>
              <w:t>1.67</w:t>
            </w:r>
          </w:p>
        </w:tc>
        <w:tc>
          <w:tcPr>
            <w:tcW w:w="410" w:type="dxa"/>
            <w:tcBorders>
              <w:top w:val="nil"/>
              <w:left w:val="nil"/>
              <w:bottom w:val="nil"/>
              <w:right w:val="nil"/>
            </w:tcBorders>
            <w:noWrap/>
          </w:tcPr>
          <w:p w14:paraId="05B77C8B" w14:textId="77777777" w:rsidR="009653CF" w:rsidRPr="00EF6679" w:rsidRDefault="009653CF" w:rsidP="009653CF">
            <w:pPr>
              <w:spacing w:line="240" w:lineRule="auto"/>
              <w:jc w:val="right"/>
              <w:rPr>
                <w:rFonts w:ascii="Times New Roman" w:eastAsia="Times New Roman" w:hAnsi="Times New Roman" w:cs="Times New Roman"/>
                <w:color w:val="000000" w:themeColor="text1"/>
                <w:sz w:val="13"/>
                <w:szCs w:val="13"/>
              </w:rPr>
            </w:pPr>
          </w:p>
        </w:tc>
        <w:tc>
          <w:tcPr>
            <w:tcW w:w="864" w:type="dxa"/>
            <w:tcBorders>
              <w:top w:val="nil"/>
              <w:left w:val="nil"/>
              <w:bottom w:val="nil"/>
              <w:right w:val="nil"/>
            </w:tcBorders>
            <w:noWrap/>
            <w:vAlign w:val="bottom"/>
            <w:hideMark/>
          </w:tcPr>
          <w:p w14:paraId="6B3184D6" w14:textId="77777777" w:rsidR="009653CF" w:rsidRPr="00EF6679" w:rsidRDefault="009653CF" w:rsidP="009653CF">
            <w:pPr>
              <w:spacing w:line="240" w:lineRule="auto"/>
              <w:jc w:val="center"/>
              <w:rPr>
                <w:rFonts w:ascii="Times New Roman" w:eastAsia="Times New Roman" w:hAnsi="Times New Roman" w:cs="Times New Roman"/>
                <w:color w:val="000000" w:themeColor="text1"/>
                <w:sz w:val="13"/>
                <w:szCs w:val="13"/>
              </w:rPr>
            </w:pPr>
            <w:r w:rsidRPr="00EF6679">
              <w:rPr>
                <w:rFonts w:ascii="Times New Roman" w:hAnsi="Times New Roman" w:cs="Times New Roman"/>
                <w:color w:val="000000" w:themeColor="text1"/>
                <w:sz w:val="13"/>
                <w:szCs w:val="13"/>
              </w:rPr>
              <w:t>0.2283</w:t>
            </w:r>
          </w:p>
        </w:tc>
        <w:tc>
          <w:tcPr>
            <w:tcW w:w="720" w:type="dxa"/>
            <w:tcBorders>
              <w:top w:val="nil"/>
              <w:left w:val="nil"/>
              <w:bottom w:val="nil"/>
              <w:right w:val="nil"/>
            </w:tcBorders>
            <w:noWrap/>
            <w:vAlign w:val="bottom"/>
            <w:hideMark/>
          </w:tcPr>
          <w:p w14:paraId="65C1E340" w14:textId="77777777" w:rsidR="009653CF" w:rsidRPr="00EF6679" w:rsidRDefault="009653CF" w:rsidP="009653CF">
            <w:pPr>
              <w:spacing w:line="240" w:lineRule="auto"/>
              <w:jc w:val="center"/>
              <w:rPr>
                <w:rFonts w:ascii="Times New Roman" w:eastAsia="Times New Roman" w:hAnsi="Times New Roman" w:cs="Times New Roman"/>
                <w:color w:val="000000" w:themeColor="text1"/>
                <w:sz w:val="13"/>
                <w:szCs w:val="13"/>
              </w:rPr>
            </w:pPr>
            <w:r w:rsidRPr="00EF6679">
              <w:rPr>
                <w:rFonts w:ascii="Times New Roman" w:hAnsi="Times New Roman" w:cs="Times New Roman"/>
                <w:color w:val="000000" w:themeColor="text1"/>
                <w:sz w:val="13"/>
                <w:szCs w:val="13"/>
              </w:rPr>
              <w:t>0.3446</w:t>
            </w:r>
          </w:p>
        </w:tc>
        <w:tc>
          <w:tcPr>
            <w:tcW w:w="864" w:type="dxa"/>
            <w:tcBorders>
              <w:top w:val="nil"/>
              <w:left w:val="nil"/>
              <w:bottom w:val="nil"/>
              <w:right w:val="nil"/>
            </w:tcBorders>
            <w:noWrap/>
            <w:vAlign w:val="bottom"/>
            <w:hideMark/>
          </w:tcPr>
          <w:p w14:paraId="5A380276" w14:textId="77777777" w:rsidR="009653CF" w:rsidRPr="00EF6679" w:rsidRDefault="009653CF" w:rsidP="009653CF">
            <w:pPr>
              <w:spacing w:line="240" w:lineRule="auto"/>
              <w:jc w:val="center"/>
              <w:rPr>
                <w:rFonts w:ascii="Times New Roman" w:eastAsia="Times New Roman" w:hAnsi="Times New Roman" w:cs="Times New Roman"/>
                <w:color w:val="000000" w:themeColor="text1"/>
                <w:sz w:val="13"/>
                <w:szCs w:val="13"/>
              </w:rPr>
            </w:pPr>
            <w:r w:rsidRPr="00EF6679">
              <w:rPr>
                <w:rFonts w:ascii="Times New Roman" w:hAnsi="Times New Roman" w:cs="Times New Roman"/>
                <w:color w:val="000000" w:themeColor="text1"/>
                <w:sz w:val="13"/>
                <w:szCs w:val="13"/>
              </w:rPr>
              <w:t>0.0819</w:t>
            </w:r>
          </w:p>
        </w:tc>
      </w:tr>
      <w:tr w:rsidR="009653CF" w:rsidRPr="00EF6679" w14:paraId="12BB7F6C" w14:textId="77777777" w:rsidTr="00820288">
        <w:tblPrEx>
          <w:jc w:val="lef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trHeight w:val="144"/>
        </w:trPr>
        <w:tc>
          <w:tcPr>
            <w:tcW w:w="2340" w:type="dxa"/>
            <w:tcBorders>
              <w:top w:val="nil"/>
              <w:left w:val="nil"/>
              <w:bottom w:val="nil"/>
              <w:right w:val="nil"/>
            </w:tcBorders>
            <w:noWrap/>
            <w:hideMark/>
          </w:tcPr>
          <w:p w14:paraId="2F0D5B72" w14:textId="77777777" w:rsidR="009653CF" w:rsidRPr="00EF6679" w:rsidRDefault="009653CF" w:rsidP="009653CF">
            <w:pPr>
              <w:spacing w:line="240" w:lineRule="auto"/>
              <w:rPr>
                <w:rFonts w:ascii="Times New Roman" w:eastAsia="Times New Roman" w:hAnsi="Times New Roman" w:cs="Times New Roman"/>
                <w:color w:val="000000" w:themeColor="text1"/>
                <w:sz w:val="13"/>
                <w:szCs w:val="13"/>
              </w:rPr>
            </w:pPr>
            <w:r w:rsidRPr="00EF6679">
              <w:rPr>
                <w:rFonts w:ascii="Times New Roman" w:eastAsia="Times New Roman" w:hAnsi="Times New Roman" w:cs="Times New Roman"/>
                <w:color w:val="000000" w:themeColor="text1"/>
                <w:sz w:val="13"/>
                <w:szCs w:val="13"/>
              </w:rPr>
              <w:t xml:space="preserve">trans-Pinocarveol        </w:t>
            </w:r>
          </w:p>
        </w:tc>
        <w:tc>
          <w:tcPr>
            <w:tcW w:w="939" w:type="dxa"/>
            <w:tcBorders>
              <w:top w:val="nil"/>
              <w:left w:val="nil"/>
              <w:bottom w:val="nil"/>
              <w:right w:val="nil"/>
            </w:tcBorders>
            <w:noWrap/>
            <w:vAlign w:val="center"/>
            <w:hideMark/>
          </w:tcPr>
          <w:p w14:paraId="2E7A036D" w14:textId="77777777" w:rsidR="009653CF" w:rsidRPr="00EF6679" w:rsidRDefault="009653CF" w:rsidP="009653CF">
            <w:pPr>
              <w:spacing w:line="240" w:lineRule="auto"/>
              <w:jc w:val="center"/>
              <w:rPr>
                <w:rFonts w:ascii="Times New Roman" w:eastAsia="Times New Roman" w:hAnsi="Times New Roman" w:cs="Times New Roman"/>
                <w:color w:val="000000" w:themeColor="text1"/>
                <w:sz w:val="13"/>
                <w:szCs w:val="13"/>
              </w:rPr>
            </w:pPr>
            <w:r w:rsidRPr="00EF6679">
              <w:rPr>
                <w:rFonts w:ascii="Times New Roman" w:eastAsia="Times New Roman" w:hAnsi="Times New Roman" w:cs="Times New Roman"/>
                <w:color w:val="000000" w:themeColor="text1"/>
                <w:sz w:val="13"/>
                <w:szCs w:val="13"/>
              </w:rPr>
              <w:t>1674-08-4</w:t>
            </w:r>
          </w:p>
        </w:tc>
        <w:tc>
          <w:tcPr>
            <w:tcW w:w="1152" w:type="dxa"/>
            <w:tcBorders>
              <w:top w:val="nil"/>
              <w:left w:val="nil"/>
              <w:bottom w:val="nil"/>
              <w:right w:val="nil"/>
            </w:tcBorders>
            <w:noWrap/>
            <w:vAlign w:val="center"/>
            <w:hideMark/>
          </w:tcPr>
          <w:p w14:paraId="19E22C5D" w14:textId="77777777" w:rsidR="009653CF" w:rsidRPr="00EF6679" w:rsidRDefault="009653CF" w:rsidP="009653CF">
            <w:pPr>
              <w:spacing w:line="240" w:lineRule="auto"/>
              <w:jc w:val="center"/>
              <w:rPr>
                <w:rFonts w:ascii="Times New Roman" w:eastAsia="Times New Roman" w:hAnsi="Times New Roman" w:cs="Times New Roman"/>
                <w:color w:val="000000" w:themeColor="text1"/>
                <w:sz w:val="13"/>
                <w:szCs w:val="13"/>
              </w:rPr>
            </w:pPr>
            <w:r w:rsidRPr="00EF6679">
              <w:rPr>
                <w:rFonts w:ascii="Times New Roman" w:eastAsia="Times New Roman" w:hAnsi="Times New Roman" w:cs="Times New Roman"/>
                <w:color w:val="000000" w:themeColor="text1"/>
                <w:sz w:val="13"/>
                <w:szCs w:val="13"/>
              </w:rPr>
              <w:t>18.081</w:t>
            </w:r>
          </w:p>
        </w:tc>
        <w:tc>
          <w:tcPr>
            <w:tcW w:w="864" w:type="dxa"/>
            <w:tcBorders>
              <w:top w:val="nil"/>
              <w:left w:val="nil"/>
              <w:bottom w:val="nil"/>
              <w:right w:val="nil"/>
            </w:tcBorders>
            <w:noWrap/>
            <w:vAlign w:val="center"/>
            <w:hideMark/>
          </w:tcPr>
          <w:p w14:paraId="14CCB55E" w14:textId="77777777" w:rsidR="009653CF" w:rsidRPr="00EF6679" w:rsidRDefault="009653CF" w:rsidP="009653CF">
            <w:pPr>
              <w:spacing w:line="240" w:lineRule="auto"/>
              <w:jc w:val="center"/>
              <w:rPr>
                <w:rFonts w:ascii="Times New Roman" w:eastAsia="Times New Roman" w:hAnsi="Times New Roman" w:cs="Times New Roman"/>
                <w:color w:val="000000" w:themeColor="text1"/>
                <w:sz w:val="13"/>
                <w:szCs w:val="13"/>
              </w:rPr>
            </w:pPr>
            <w:r w:rsidRPr="00EF6679">
              <w:rPr>
                <w:rFonts w:ascii="Times New Roman" w:eastAsia="Times New Roman" w:hAnsi="Times New Roman" w:cs="Times New Roman"/>
                <w:color w:val="000000" w:themeColor="text1"/>
                <w:sz w:val="13"/>
                <w:szCs w:val="13"/>
              </w:rPr>
              <w:t>1.83</w:t>
            </w:r>
          </w:p>
        </w:tc>
        <w:tc>
          <w:tcPr>
            <w:tcW w:w="720" w:type="dxa"/>
            <w:tcBorders>
              <w:top w:val="nil"/>
              <w:left w:val="nil"/>
              <w:bottom w:val="nil"/>
              <w:right w:val="nil"/>
            </w:tcBorders>
            <w:noWrap/>
            <w:vAlign w:val="center"/>
            <w:hideMark/>
          </w:tcPr>
          <w:p w14:paraId="0C5698DD" w14:textId="77777777" w:rsidR="009653CF" w:rsidRPr="00EF6679" w:rsidRDefault="009653CF" w:rsidP="009653CF">
            <w:pPr>
              <w:spacing w:line="240" w:lineRule="auto"/>
              <w:jc w:val="center"/>
              <w:rPr>
                <w:rFonts w:ascii="Times New Roman" w:eastAsia="Times New Roman" w:hAnsi="Times New Roman" w:cs="Times New Roman"/>
                <w:color w:val="000000" w:themeColor="text1"/>
                <w:sz w:val="13"/>
                <w:szCs w:val="13"/>
              </w:rPr>
            </w:pPr>
            <w:r w:rsidRPr="00EF6679">
              <w:rPr>
                <w:rFonts w:ascii="Times New Roman" w:eastAsia="Times New Roman" w:hAnsi="Times New Roman" w:cs="Times New Roman"/>
                <w:color w:val="000000" w:themeColor="text1"/>
                <w:sz w:val="13"/>
                <w:szCs w:val="13"/>
              </w:rPr>
              <w:t>2.99</w:t>
            </w:r>
          </w:p>
        </w:tc>
        <w:tc>
          <w:tcPr>
            <w:tcW w:w="864" w:type="dxa"/>
            <w:tcBorders>
              <w:top w:val="nil"/>
              <w:left w:val="nil"/>
              <w:bottom w:val="nil"/>
              <w:right w:val="nil"/>
            </w:tcBorders>
            <w:noWrap/>
            <w:vAlign w:val="center"/>
            <w:hideMark/>
          </w:tcPr>
          <w:p w14:paraId="71331539" w14:textId="77777777" w:rsidR="009653CF" w:rsidRPr="00EF6679" w:rsidRDefault="009653CF" w:rsidP="009653CF">
            <w:pPr>
              <w:spacing w:line="240" w:lineRule="auto"/>
              <w:jc w:val="center"/>
              <w:rPr>
                <w:rFonts w:ascii="Times New Roman" w:eastAsia="Times New Roman" w:hAnsi="Times New Roman" w:cs="Times New Roman"/>
                <w:color w:val="000000" w:themeColor="text1"/>
                <w:sz w:val="13"/>
                <w:szCs w:val="13"/>
              </w:rPr>
            </w:pPr>
            <w:r w:rsidRPr="00EF6679">
              <w:rPr>
                <w:rFonts w:ascii="Times New Roman" w:eastAsia="Times New Roman" w:hAnsi="Times New Roman" w:cs="Times New Roman"/>
                <w:color w:val="000000" w:themeColor="text1"/>
                <w:sz w:val="13"/>
                <w:szCs w:val="13"/>
              </w:rPr>
              <w:t>1.86</w:t>
            </w:r>
          </w:p>
        </w:tc>
        <w:tc>
          <w:tcPr>
            <w:tcW w:w="410" w:type="dxa"/>
            <w:tcBorders>
              <w:top w:val="nil"/>
              <w:left w:val="nil"/>
              <w:bottom w:val="nil"/>
              <w:right w:val="nil"/>
            </w:tcBorders>
            <w:noWrap/>
          </w:tcPr>
          <w:p w14:paraId="4FC21BB9" w14:textId="77777777" w:rsidR="009653CF" w:rsidRPr="00EF6679" w:rsidRDefault="009653CF" w:rsidP="009653CF">
            <w:pPr>
              <w:spacing w:line="240" w:lineRule="auto"/>
              <w:jc w:val="right"/>
              <w:rPr>
                <w:rFonts w:ascii="Times New Roman" w:eastAsia="Times New Roman" w:hAnsi="Times New Roman" w:cs="Times New Roman"/>
                <w:color w:val="000000" w:themeColor="text1"/>
                <w:sz w:val="13"/>
                <w:szCs w:val="13"/>
              </w:rPr>
            </w:pPr>
          </w:p>
        </w:tc>
        <w:tc>
          <w:tcPr>
            <w:tcW w:w="864" w:type="dxa"/>
            <w:tcBorders>
              <w:top w:val="nil"/>
              <w:left w:val="nil"/>
              <w:bottom w:val="nil"/>
              <w:right w:val="nil"/>
            </w:tcBorders>
            <w:noWrap/>
            <w:vAlign w:val="bottom"/>
            <w:hideMark/>
          </w:tcPr>
          <w:p w14:paraId="64AE7753" w14:textId="77777777" w:rsidR="009653CF" w:rsidRPr="00EF6679" w:rsidRDefault="009653CF" w:rsidP="009653CF">
            <w:pPr>
              <w:spacing w:line="240" w:lineRule="auto"/>
              <w:jc w:val="center"/>
              <w:rPr>
                <w:rFonts w:ascii="Times New Roman" w:eastAsia="Times New Roman" w:hAnsi="Times New Roman" w:cs="Times New Roman"/>
                <w:color w:val="000000" w:themeColor="text1"/>
                <w:sz w:val="13"/>
                <w:szCs w:val="13"/>
              </w:rPr>
            </w:pPr>
            <w:r w:rsidRPr="00EF6679">
              <w:rPr>
                <w:rFonts w:ascii="Times New Roman" w:hAnsi="Times New Roman" w:cs="Times New Roman"/>
                <w:color w:val="000000" w:themeColor="text1"/>
                <w:sz w:val="13"/>
                <w:szCs w:val="13"/>
              </w:rPr>
              <w:t>0.1776</w:t>
            </w:r>
          </w:p>
        </w:tc>
        <w:tc>
          <w:tcPr>
            <w:tcW w:w="720" w:type="dxa"/>
            <w:tcBorders>
              <w:top w:val="nil"/>
              <w:left w:val="nil"/>
              <w:bottom w:val="nil"/>
              <w:right w:val="nil"/>
            </w:tcBorders>
            <w:noWrap/>
            <w:vAlign w:val="bottom"/>
            <w:hideMark/>
          </w:tcPr>
          <w:p w14:paraId="1424934E" w14:textId="77777777" w:rsidR="009653CF" w:rsidRPr="00EF6679" w:rsidRDefault="009653CF" w:rsidP="009653CF">
            <w:pPr>
              <w:spacing w:line="240" w:lineRule="auto"/>
              <w:jc w:val="center"/>
              <w:rPr>
                <w:rFonts w:ascii="Times New Roman" w:eastAsia="Times New Roman" w:hAnsi="Times New Roman" w:cs="Times New Roman"/>
                <w:color w:val="000000" w:themeColor="text1"/>
                <w:sz w:val="13"/>
                <w:szCs w:val="13"/>
              </w:rPr>
            </w:pPr>
            <w:r w:rsidRPr="00EF6679">
              <w:rPr>
                <w:rFonts w:ascii="Times New Roman" w:hAnsi="Times New Roman" w:cs="Times New Roman"/>
                <w:color w:val="000000" w:themeColor="text1"/>
                <w:sz w:val="13"/>
                <w:szCs w:val="13"/>
              </w:rPr>
              <w:t>0.0010</w:t>
            </w:r>
          </w:p>
        </w:tc>
        <w:tc>
          <w:tcPr>
            <w:tcW w:w="864" w:type="dxa"/>
            <w:tcBorders>
              <w:top w:val="nil"/>
              <w:left w:val="nil"/>
              <w:bottom w:val="nil"/>
              <w:right w:val="nil"/>
            </w:tcBorders>
            <w:noWrap/>
            <w:vAlign w:val="bottom"/>
            <w:hideMark/>
          </w:tcPr>
          <w:p w14:paraId="5A33DD3E" w14:textId="77777777" w:rsidR="009653CF" w:rsidRPr="00EF6679" w:rsidRDefault="009653CF" w:rsidP="009653CF">
            <w:pPr>
              <w:spacing w:line="240" w:lineRule="auto"/>
              <w:jc w:val="center"/>
              <w:rPr>
                <w:rFonts w:ascii="Times New Roman" w:eastAsia="Times New Roman" w:hAnsi="Times New Roman" w:cs="Times New Roman"/>
                <w:color w:val="000000" w:themeColor="text1"/>
                <w:sz w:val="13"/>
                <w:szCs w:val="13"/>
              </w:rPr>
            </w:pPr>
            <w:r w:rsidRPr="00EF6679">
              <w:rPr>
                <w:rFonts w:ascii="Times New Roman" w:hAnsi="Times New Roman" w:cs="Times New Roman"/>
                <w:color w:val="000000" w:themeColor="text1"/>
                <w:sz w:val="13"/>
                <w:szCs w:val="13"/>
              </w:rPr>
              <w:t>0.0462</w:t>
            </w:r>
          </w:p>
        </w:tc>
      </w:tr>
      <w:tr w:rsidR="009653CF" w:rsidRPr="00EF6679" w14:paraId="55E808C6" w14:textId="77777777" w:rsidTr="00820288">
        <w:tblPrEx>
          <w:jc w:val="lef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trHeight w:val="144"/>
        </w:trPr>
        <w:tc>
          <w:tcPr>
            <w:tcW w:w="2340" w:type="dxa"/>
            <w:tcBorders>
              <w:top w:val="nil"/>
              <w:left w:val="nil"/>
              <w:bottom w:val="nil"/>
              <w:right w:val="nil"/>
            </w:tcBorders>
            <w:noWrap/>
            <w:hideMark/>
          </w:tcPr>
          <w:p w14:paraId="3E141B4A" w14:textId="77777777" w:rsidR="009653CF" w:rsidRPr="00EF6679" w:rsidRDefault="009653CF" w:rsidP="009653CF">
            <w:pPr>
              <w:spacing w:line="240" w:lineRule="auto"/>
              <w:rPr>
                <w:rFonts w:ascii="Times New Roman" w:eastAsia="Times New Roman" w:hAnsi="Times New Roman" w:cs="Times New Roman"/>
                <w:color w:val="000000" w:themeColor="text1"/>
                <w:sz w:val="13"/>
                <w:szCs w:val="13"/>
              </w:rPr>
            </w:pPr>
            <w:r w:rsidRPr="00EF6679">
              <w:rPr>
                <w:rFonts w:ascii="Times New Roman" w:eastAsia="Times New Roman" w:hAnsi="Times New Roman" w:cs="Times New Roman"/>
                <w:color w:val="000000" w:themeColor="text1"/>
                <w:sz w:val="13"/>
                <w:szCs w:val="13"/>
              </w:rPr>
              <w:t xml:space="preserve">3-Menthene               </w:t>
            </w:r>
          </w:p>
        </w:tc>
        <w:tc>
          <w:tcPr>
            <w:tcW w:w="939" w:type="dxa"/>
            <w:tcBorders>
              <w:top w:val="nil"/>
              <w:left w:val="nil"/>
              <w:bottom w:val="nil"/>
              <w:right w:val="nil"/>
            </w:tcBorders>
            <w:noWrap/>
            <w:vAlign w:val="center"/>
            <w:hideMark/>
          </w:tcPr>
          <w:p w14:paraId="2467C38C" w14:textId="77777777" w:rsidR="009653CF" w:rsidRPr="00EF6679" w:rsidRDefault="009653CF" w:rsidP="009653CF">
            <w:pPr>
              <w:spacing w:line="240" w:lineRule="auto"/>
              <w:jc w:val="center"/>
              <w:rPr>
                <w:rFonts w:ascii="Times New Roman" w:eastAsia="Times New Roman" w:hAnsi="Times New Roman" w:cs="Times New Roman"/>
                <w:color w:val="000000" w:themeColor="text1"/>
                <w:sz w:val="13"/>
                <w:szCs w:val="13"/>
              </w:rPr>
            </w:pPr>
            <w:r w:rsidRPr="00EF6679">
              <w:rPr>
                <w:rFonts w:ascii="Times New Roman" w:eastAsia="Times New Roman" w:hAnsi="Times New Roman" w:cs="Times New Roman"/>
                <w:color w:val="000000" w:themeColor="text1"/>
                <w:sz w:val="13"/>
                <w:szCs w:val="13"/>
              </w:rPr>
              <w:t>500-00-5</w:t>
            </w:r>
          </w:p>
        </w:tc>
        <w:tc>
          <w:tcPr>
            <w:tcW w:w="1152" w:type="dxa"/>
            <w:tcBorders>
              <w:top w:val="nil"/>
              <w:left w:val="nil"/>
              <w:bottom w:val="nil"/>
              <w:right w:val="nil"/>
            </w:tcBorders>
            <w:noWrap/>
            <w:vAlign w:val="center"/>
            <w:hideMark/>
          </w:tcPr>
          <w:p w14:paraId="3BC58749" w14:textId="77777777" w:rsidR="009653CF" w:rsidRPr="00EF6679" w:rsidRDefault="009653CF" w:rsidP="009653CF">
            <w:pPr>
              <w:spacing w:line="240" w:lineRule="auto"/>
              <w:jc w:val="center"/>
              <w:rPr>
                <w:rFonts w:ascii="Times New Roman" w:eastAsia="Times New Roman" w:hAnsi="Times New Roman" w:cs="Times New Roman"/>
                <w:color w:val="000000" w:themeColor="text1"/>
                <w:sz w:val="13"/>
                <w:szCs w:val="13"/>
              </w:rPr>
            </w:pPr>
            <w:r w:rsidRPr="00EF6679">
              <w:rPr>
                <w:rFonts w:ascii="Times New Roman" w:eastAsia="Times New Roman" w:hAnsi="Times New Roman" w:cs="Times New Roman"/>
                <w:color w:val="000000" w:themeColor="text1"/>
                <w:sz w:val="13"/>
                <w:szCs w:val="13"/>
              </w:rPr>
              <w:t>18.226</w:t>
            </w:r>
          </w:p>
        </w:tc>
        <w:tc>
          <w:tcPr>
            <w:tcW w:w="864" w:type="dxa"/>
            <w:tcBorders>
              <w:top w:val="nil"/>
              <w:left w:val="nil"/>
              <w:bottom w:val="nil"/>
              <w:right w:val="nil"/>
            </w:tcBorders>
            <w:noWrap/>
            <w:vAlign w:val="center"/>
            <w:hideMark/>
          </w:tcPr>
          <w:p w14:paraId="23E3C28E" w14:textId="77777777" w:rsidR="009653CF" w:rsidRPr="00EF6679" w:rsidRDefault="009653CF" w:rsidP="009653CF">
            <w:pPr>
              <w:spacing w:line="240" w:lineRule="auto"/>
              <w:jc w:val="center"/>
              <w:rPr>
                <w:rFonts w:ascii="Times New Roman" w:eastAsia="Times New Roman" w:hAnsi="Times New Roman" w:cs="Times New Roman"/>
                <w:color w:val="000000" w:themeColor="text1"/>
                <w:sz w:val="13"/>
                <w:szCs w:val="13"/>
              </w:rPr>
            </w:pPr>
            <w:r w:rsidRPr="00EF6679">
              <w:rPr>
                <w:rFonts w:ascii="Times New Roman" w:eastAsia="Times New Roman" w:hAnsi="Times New Roman" w:cs="Times New Roman"/>
                <w:color w:val="000000" w:themeColor="text1"/>
                <w:sz w:val="13"/>
                <w:szCs w:val="13"/>
              </w:rPr>
              <w:t>1.79</w:t>
            </w:r>
          </w:p>
        </w:tc>
        <w:tc>
          <w:tcPr>
            <w:tcW w:w="720" w:type="dxa"/>
            <w:tcBorders>
              <w:top w:val="nil"/>
              <w:left w:val="nil"/>
              <w:bottom w:val="nil"/>
              <w:right w:val="nil"/>
            </w:tcBorders>
            <w:noWrap/>
            <w:vAlign w:val="center"/>
            <w:hideMark/>
          </w:tcPr>
          <w:p w14:paraId="73AB7C8D" w14:textId="77777777" w:rsidR="009653CF" w:rsidRPr="00EF6679" w:rsidRDefault="009653CF" w:rsidP="009653CF">
            <w:pPr>
              <w:spacing w:line="240" w:lineRule="auto"/>
              <w:jc w:val="center"/>
              <w:rPr>
                <w:rFonts w:ascii="Times New Roman" w:eastAsia="Times New Roman" w:hAnsi="Times New Roman" w:cs="Times New Roman"/>
                <w:color w:val="000000" w:themeColor="text1"/>
                <w:sz w:val="13"/>
                <w:szCs w:val="13"/>
              </w:rPr>
            </w:pPr>
            <w:r w:rsidRPr="00EF6679">
              <w:rPr>
                <w:rFonts w:ascii="Times New Roman" w:eastAsia="Times New Roman" w:hAnsi="Times New Roman" w:cs="Times New Roman"/>
                <w:color w:val="000000" w:themeColor="text1"/>
                <w:sz w:val="13"/>
                <w:szCs w:val="13"/>
              </w:rPr>
              <w:t>2.59</w:t>
            </w:r>
          </w:p>
        </w:tc>
        <w:tc>
          <w:tcPr>
            <w:tcW w:w="864" w:type="dxa"/>
            <w:tcBorders>
              <w:top w:val="nil"/>
              <w:left w:val="nil"/>
              <w:bottom w:val="nil"/>
              <w:right w:val="nil"/>
            </w:tcBorders>
            <w:noWrap/>
            <w:vAlign w:val="center"/>
            <w:hideMark/>
          </w:tcPr>
          <w:p w14:paraId="14D62B8E" w14:textId="77777777" w:rsidR="009653CF" w:rsidRPr="00EF6679" w:rsidRDefault="009653CF" w:rsidP="009653CF">
            <w:pPr>
              <w:spacing w:line="240" w:lineRule="auto"/>
              <w:jc w:val="center"/>
              <w:rPr>
                <w:rFonts w:ascii="Times New Roman" w:eastAsia="Times New Roman" w:hAnsi="Times New Roman" w:cs="Times New Roman"/>
                <w:color w:val="000000" w:themeColor="text1"/>
                <w:sz w:val="13"/>
                <w:szCs w:val="13"/>
              </w:rPr>
            </w:pPr>
            <w:r w:rsidRPr="00EF6679">
              <w:rPr>
                <w:rFonts w:ascii="Times New Roman" w:eastAsia="Times New Roman" w:hAnsi="Times New Roman" w:cs="Times New Roman"/>
                <w:color w:val="000000" w:themeColor="text1"/>
                <w:sz w:val="13"/>
                <w:szCs w:val="13"/>
              </w:rPr>
              <w:t>1.81</w:t>
            </w:r>
          </w:p>
        </w:tc>
        <w:tc>
          <w:tcPr>
            <w:tcW w:w="410" w:type="dxa"/>
            <w:tcBorders>
              <w:top w:val="nil"/>
              <w:left w:val="nil"/>
              <w:bottom w:val="nil"/>
              <w:right w:val="nil"/>
            </w:tcBorders>
            <w:noWrap/>
          </w:tcPr>
          <w:p w14:paraId="7751A3A6" w14:textId="77777777" w:rsidR="009653CF" w:rsidRPr="00EF6679" w:rsidRDefault="009653CF" w:rsidP="009653CF">
            <w:pPr>
              <w:spacing w:line="240" w:lineRule="auto"/>
              <w:jc w:val="right"/>
              <w:rPr>
                <w:rFonts w:ascii="Times New Roman" w:eastAsia="Times New Roman" w:hAnsi="Times New Roman" w:cs="Times New Roman"/>
                <w:color w:val="000000" w:themeColor="text1"/>
                <w:sz w:val="13"/>
                <w:szCs w:val="13"/>
              </w:rPr>
            </w:pPr>
          </w:p>
        </w:tc>
        <w:tc>
          <w:tcPr>
            <w:tcW w:w="864" w:type="dxa"/>
            <w:tcBorders>
              <w:top w:val="nil"/>
              <w:left w:val="nil"/>
              <w:bottom w:val="nil"/>
              <w:right w:val="nil"/>
            </w:tcBorders>
            <w:noWrap/>
            <w:vAlign w:val="bottom"/>
            <w:hideMark/>
          </w:tcPr>
          <w:p w14:paraId="120018EF" w14:textId="77777777" w:rsidR="009653CF" w:rsidRPr="00EF6679" w:rsidRDefault="009653CF" w:rsidP="009653CF">
            <w:pPr>
              <w:spacing w:line="240" w:lineRule="auto"/>
              <w:jc w:val="center"/>
              <w:rPr>
                <w:rFonts w:ascii="Times New Roman" w:eastAsia="Times New Roman" w:hAnsi="Times New Roman" w:cs="Times New Roman"/>
                <w:color w:val="000000" w:themeColor="text1"/>
                <w:sz w:val="13"/>
                <w:szCs w:val="13"/>
              </w:rPr>
            </w:pPr>
            <w:r w:rsidRPr="00EF6679">
              <w:rPr>
                <w:rFonts w:ascii="Times New Roman" w:hAnsi="Times New Roman" w:cs="Times New Roman"/>
                <w:color w:val="000000" w:themeColor="text1"/>
                <w:sz w:val="13"/>
                <w:szCs w:val="13"/>
              </w:rPr>
              <w:t>0.1818</w:t>
            </w:r>
          </w:p>
        </w:tc>
        <w:tc>
          <w:tcPr>
            <w:tcW w:w="720" w:type="dxa"/>
            <w:tcBorders>
              <w:top w:val="nil"/>
              <w:left w:val="nil"/>
              <w:bottom w:val="nil"/>
              <w:right w:val="nil"/>
            </w:tcBorders>
            <w:noWrap/>
            <w:vAlign w:val="bottom"/>
            <w:hideMark/>
          </w:tcPr>
          <w:p w14:paraId="28C94598" w14:textId="77777777" w:rsidR="009653CF" w:rsidRPr="00EF6679" w:rsidRDefault="009653CF" w:rsidP="009653CF">
            <w:pPr>
              <w:spacing w:line="240" w:lineRule="auto"/>
              <w:jc w:val="center"/>
              <w:rPr>
                <w:rFonts w:ascii="Times New Roman" w:eastAsia="Times New Roman" w:hAnsi="Times New Roman" w:cs="Times New Roman"/>
                <w:color w:val="000000" w:themeColor="text1"/>
                <w:sz w:val="13"/>
                <w:szCs w:val="13"/>
              </w:rPr>
            </w:pPr>
            <w:r w:rsidRPr="00EF6679">
              <w:rPr>
                <w:rFonts w:ascii="Times New Roman" w:hAnsi="Times New Roman" w:cs="Times New Roman"/>
                <w:color w:val="000000" w:themeColor="text1"/>
                <w:sz w:val="13"/>
                <w:szCs w:val="13"/>
              </w:rPr>
              <w:t>0.0041</w:t>
            </w:r>
          </w:p>
        </w:tc>
        <w:tc>
          <w:tcPr>
            <w:tcW w:w="864" w:type="dxa"/>
            <w:tcBorders>
              <w:top w:val="nil"/>
              <w:left w:val="nil"/>
              <w:bottom w:val="nil"/>
              <w:right w:val="nil"/>
            </w:tcBorders>
            <w:noWrap/>
            <w:vAlign w:val="bottom"/>
            <w:hideMark/>
          </w:tcPr>
          <w:p w14:paraId="4C7F979C" w14:textId="77777777" w:rsidR="009653CF" w:rsidRPr="00EF6679" w:rsidRDefault="009653CF" w:rsidP="009653CF">
            <w:pPr>
              <w:spacing w:line="240" w:lineRule="auto"/>
              <w:jc w:val="center"/>
              <w:rPr>
                <w:rFonts w:ascii="Times New Roman" w:eastAsia="Times New Roman" w:hAnsi="Times New Roman" w:cs="Times New Roman"/>
                <w:color w:val="000000" w:themeColor="text1"/>
                <w:sz w:val="13"/>
                <w:szCs w:val="13"/>
              </w:rPr>
            </w:pPr>
            <w:r w:rsidRPr="00EF6679">
              <w:rPr>
                <w:rFonts w:ascii="Times New Roman" w:hAnsi="Times New Roman" w:cs="Times New Roman"/>
                <w:color w:val="000000" w:themeColor="text1"/>
                <w:sz w:val="13"/>
                <w:szCs w:val="13"/>
              </w:rPr>
              <w:t>0.0542</w:t>
            </w:r>
          </w:p>
        </w:tc>
      </w:tr>
      <w:tr w:rsidR="009653CF" w:rsidRPr="00EF6679" w14:paraId="5B3E321E" w14:textId="77777777" w:rsidTr="00820288">
        <w:tblPrEx>
          <w:jc w:val="lef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trHeight w:val="144"/>
        </w:trPr>
        <w:tc>
          <w:tcPr>
            <w:tcW w:w="2340" w:type="dxa"/>
            <w:tcBorders>
              <w:top w:val="nil"/>
              <w:left w:val="nil"/>
              <w:bottom w:val="nil"/>
              <w:right w:val="nil"/>
            </w:tcBorders>
            <w:noWrap/>
            <w:hideMark/>
          </w:tcPr>
          <w:p w14:paraId="41A56A3F" w14:textId="77777777" w:rsidR="009653CF" w:rsidRPr="00EF6679" w:rsidRDefault="009653CF" w:rsidP="009653CF">
            <w:pPr>
              <w:spacing w:line="240" w:lineRule="auto"/>
              <w:rPr>
                <w:rFonts w:ascii="Times New Roman" w:eastAsia="Times New Roman" w:hAnsi="Times New Roman" w:cs="Times New Roman"/>
                <w:color w:val="000000" w:themeColor="text1"/>
                <w:sz w:val="13"/>
                <w:szCs w:val="13"/>
              </w:rPr>
            </w:pPr>
            <w:r w:rsidRPr="00EF6679">
              <w:rPr>
                <w:rFonts w:ascii="Times New Roman" w:eastAsia="Times New Roman" w:hAnsi="Times New Roman" w:cs="Times New Roman"/>
                <w:color w:val="000000" w:themeColor="text1"/>
                <w:sz w:val="13"/>
                <w:szCs w:val="13"/>
              </w:rPr>
              <w:t xml:space="preserve">Sulfamoxole              </w:t>
            </w:r>
          </w:p>
        </w:tc>
        <w:tc>
          <w:tcPr>
            <w:tcW w:w="939" w:type="dxa"/>
            <w:tcBorders>
              <w:top w:val="nil"/>
              <w:left w:val="nil"/>
              <w:bottom w:val="nil"/>
              <w:right w:val="nil"/>
            </w:tcBorders>
            <w:noWrap/>
            <w:vAlign w:val="center"/>
            <w:hideMark/>
          </w:tcPr>
          <w:p w14:paraId="01E9D652" w14:textId="77777777" w:rsidR="009653CF" w:rsidRPr="00EF6679" w:rsidRDefault="009653CF" w:rsidP="009653CF">
            <w:pPr>
              <w:spacing w:line="240" w:lineRule="auto"/>
              <w:jc w:val="center"/>
              <w:rPr>
                <w:rFonts w:ascii="Times New Roman" w:eastAsia="Times New Roman" w:hAnsi="Times New Roman" w:cs="Times New Roman"/>
                <w:color w:val="000000" w:themeColor="text1"/>
                <w:sz w:val="13"/>
                <w:szCs w:val="13"/>
              </w:rPr>
            </w:pPr>
            <w:r w:rsidRPr="00EF6679">
              <w:rPr>
                <w:rFonts w:ascii="Times New Roman" w:eastAsia="Times New Roman" w:hAnsi="Times New Roman" w:cs="Times New Roman"/>
                <w:color w:val="000000" w:themeColor="text1"/>
                <w:sz w:val="13"/>
                <w:szCs w:val="13"/>
              </w:rPr>
              <w:t>729-99-7</w:t>
            </w:r>
          </w:p>
        </w:tc>
        <w:tc>
          <w:tcPr>
            <w:tcW w:w="1152" w:type="dxa"/>
            <w:tcBorders>
              <w:top w:val="nil"/>
              <w:left w:val="nil"/>
              <w:bottom w:val="nil"/>
              <w:right w:val="nil"/>
            </w:tcBorders>
            <w:noWrap/>
            <w:vAlign w:val="center"/>
            <w:hideMark/>
          </w:tcPr>
          <w:p w14:paraId="02CFBCB1" w14:textId="77777777" w:rsidR="009653CF" w:rsidRPr="00EF6679" w:rsidRDefault="009653CF" w:rsidP="009653CF">
            <w:pPr>
              <w:spacing w:line="240" w:lineRule="auto"/>
              <w:jc w:val="center"/>
              <w:rPr>
                <w:rFonts w:ascii="Times New Roman" w:eastAsia="Times New Roman" w:hAnsi="Times New Roman" w:cs="Times New Roman"/>
                <w:color w:val="000000" w:themeColor="text1"/>
                <w:sz w:val="13"/>
                <w:szCs w:val="13"/>
              </w:rPr>
            </w:pPr>
            <w:r w:rsidRPr="00EF6679">
              <w:rPr>
                <w:rFonts w:ascii="Times New Roman" w:eastAsia="Times New Roman" w:hAnsi="Times New Roman" w:cs="Times New Roman"/>
                <w:color w:val="000000" w:themeColor="text1"/>
                <w:sz w:val="13"/>
                <w:szCs w:val="13"/>
              </w:rPr>
              <w:t>18.661</w:t>
            </w:r>
          </w:p>
        </w:tc>
        <w:tc>
          <w:tcPr>
            <w:tcW w:w="864" w:type="dxa"/>
            <w:tcBorders>
              <w:top w:val="nil"/>
              <w:left w:val="nil"/>
              <w:bottom w:val="nil"/>
              <w:right w:val="nil"/>
            </w:tcBorders>
            <w:noWrap/>
            <w:vAlign w:val="center"/>
            <w:hideMark/>
          </w:tcPr>
          <w:p w14:paraId="76868EEB" w14:textId="77777777" w:rsidR="009653CF" w:rsidRPr="00EF6679" w:rsidRDefault="009653CF" w:rsidP="009653CF">
            <w:pPr>
              <w:spacing w:line="240" w:lineRule="auto"/>
              <w:jc w:val="center"/>
              <w:rPr>
                <w:rFonts w:ascii="Times New Roman" w:eastAsia="Times New Roman" w:hAnsi="Times New Roman" w:cs="Times New Roman"/>
                <w:color w:val="000000" w:themeColor="text1"/>
                <w:sz w:val="13"/>
                <w:szCs w:val="13"/>
              </w:rPr>
            </w:pPr>
            <w:r w:rsidRPr="00EF6679">
              <w:rPr>
                <w:rFonts w:ascii="Times New Roman" w:eastAsia="Times New Roman" w:hAnsi="Times New Roman" w:cs="Times New Roman"/>
                <w:color w:val="000000" w:themeColor="text1"/>
                <w:sz w:val="13"/>
                <w:szCs w:val="13"/>
              </w:rPr>
              <w:t>n.d.</w:t>
            </w:r>
          </w:p>
        </w:tc>
        <w:tc>
          <w:tcPr>
            <w:tcW w:w="720" w:type="dxa"/>
            <w:tcBorders>
              <w:top w:val="nil"/>
              <w:left w:val="nil"/>
              <w:bottom w:val="nil"/>
              <w:right w:val="nil"/>
            </w:tcBorders>
            <w:noWrap/>
            <w:vAlign w:val="center"/>
            <w:hideMark/>
          </w:tcPr>
          <w:p w14:paraId="2325BC30" w14:textId="77777777" w:rsidR="009653CF" w:rsidRPr="00EF6679" w:rsidRDefault="009653CF" w:rsidP="009653CF">
            <w:pPr>
              <w:spacing w:line="240" w:lineRule="auto"/>
              <w:jc w:val="center"/>
              <w:rPr>
                <w:rFonts w:ascii="Times New Roman" w:eastAsia="Times New Roman" w:hAnsi="Times New Roman" w:cs="Times New Roman"/>
                <w:color w:val="000000" w:themeColor="text1"/>
                <w:sz w:val="13"/>
                <w:szCs w:val="13"/>
              </w:rPr>
            </w:pPr>
            <w:r w:rsidRPr="00EF6679">
              <w:rPr>
                <w:rFonts w:ascii="Times New Roman" w:eastAsia="Times New Roman" w:hAnsi="Times New Roman" w:cs="Times New Roman"/>
                <w:color w:val="000000" w:themeColor="text1"/>
                <w:sz w:val="13"/>
                <w:szCs w:val="13"/>
              </w:rPr>
              <w:t>n.d.</w:t>
            </w:r>
          </w:p>
        </w:tc>
        <w:tc>
          <w:tcPr>
            <w:tcW w:w="864" w:type="dxa"/>
            <w:tcBorders>
              <w:top w:val="nil"/>
              <w:left w:val="nil"/>
              <w:bottom w:val="nil"/>
              <w:right w:val="nil"/>
            </w:tcBorders>
            <w:noWrap/>
            <w:vAlign w:val="center"/>
            <w:hideMark/>
          </w:tcPr>
          <w:p w14:paraId="79B14225" w14:textId="77777777" w:rsidR="009653CF" w:rsidRPr="00EF6679" w:rsidRDefault="009653CF" w:rsidP="009653CF">
            <w:pPr>
              <w:spacing w:line="240" w:lineRule="auto"/>
              <w:jc w:val="center"/>
              <w:rPr>
                <w:rFonts w:ascii="Times New Roman" w:eastAsia="Times New Roman" w:hAnsi="Times New Roman" w:cs="Times New Roman"/>
                <w:color w:val="000000" w:themeColor="text1"/>
                <w:sz w:val="13"/>
                <w:szCs w:val="13"/>
              </w:rPr>
            </w:pPr>
            <w:r w:rsidRPr="00EF6679">
              <w:rPr>
                <w:rFonts w:ascii="Times New Roman" w:eastAsia="Times New Roman" w:hAnsi="Times New Roman" w:cs="Times New Roman"/>
                <w:color w:val="000000" w:themeColor="text1"/>
                <w:sz w:val="13"/>
                <w:szCs w:val="13"/>
              </w:rPr>
              <w:t>n.d.</w:t>
            </w:r>
          </w:p>
        </w:tc>
        <w:tc>
          <w:tcPr>
            <w:tcW w:w="410" w:type="dxa"/>
            <w:tcBorders>
              <w:top w:val="nil"/>
              <w:left w:val="nil"/>
              <w:bottom w:val="nil"/>
              <w:right w:val="nil"/>
            </w:tcBorders>
            <w:noWrap/>
          </w:tcPr>
          <w:p w14:paraId="204374F0" w14:textId="77777777" w:rsidR="009653CF" w:rsidRPr="00EF6679" w:rsidRDefault="009653CF" w:rsidP="009653CF">
            <w:pPr>
              <w:spacing w:line="240" w:lineRule="auto"/>
              <w:jc w:val="right"/>
              <w:rPr>
                <w:rFonts w:ascii="Times New Roman" w:eastAsia="Times New Roman" w:hAnsi="Times New Roman" w:cs="Times New Roman"/>
                <w:color w:val="000000" w:themeColor="text1"/>
                <w:sz w:val="13"/>
                <w:szCs w:val="13"/>
              </w:rPr>
            </w:pPr>
          </w:p>
        </w:tc>
        <w:tc>
          <w:tcPr>
            <w:tcW w:w="864" w:type="dxa"/>
            <w:tcBorders>
              <w:top w:val="nil"/>
              <w:left w:val="nil"/>
              <w:bottom w:val="nil"/>
              <w:right w:val="nil"/>
            </w:tcBorders>
            <w:noWrap/>
            <w:vAlign w:val="center"/>
            <w:hideMark/>
          </w:tcPr>
          <w:p w14:paraId="56E9D974" w14:textId="77777777" w:rsidR="009653CF" w:rsidRPr="00EF6679" w:rsidRDefault="009653CF" w:rsidP="009653CF">
            <w:pPr>
              <w:spacing w:line="240" w:lineRule="auto"/>
              <w:jc w:val="center"/>
              <w:rPr>
                <w:rFonts w:ascii="Times New Roman" w:eastAsia="Times New Roman" w:hAnsi="Times New Roman" w:cs="Times New Roman"/>
                <w:color w:val="000000" w:themeColor="text1"/>
                <w:sz w:val="13"/>
                <w:szCs w:val="13"/>
              </w:rPr>
            </w:pPr>
            <w:r w:rsidRPr="00EF6679">
              <w:rPr>
                <w:rFonts w:ascii="Times New Roman" w:hAnsi="Times New Roman" w:cs="Times New Roman"/>
                <w:color w:val="000000" w:themeColor="text1"/>
                <w:sz w:val="13"/>
                <w:szCs w:val="13"/>
              </w:rPr>
              <w:t>n.d.</w:t>
            </w:r>
          </w:p>
        </w:tc>
        <w:tc>
          <w:tcPr>
            <w:tcW w:w="720" w:type="dxa"/>
            <w:tcBorders>
              <w:top w:val="nil"/>
              <w:left w:val="nil"/>
              <w:bottom w:val="nil"/>
              <w:right w:val="nil"/>
            </w:tcBorders>
            <w:noWrap/>
            <w:vAlign w:val="center"/>
            <w:hideMark/>
          </w:tcPr>
          <w:p w14:paraId="64480ECE" w14:textId="77777777" w:rsidR="009653CF" w:rsidRPr="00EF6679" w:rsidRDefault="009653CF" w:rsidP="009653CF">
            <w:pPr>
              <w:spacing w:line="240" w:lineRule="auto"/>
              <w:jc w:val="center"/>
              <w:rPr>
                <w:rFonts w:ascii="Times New Roman" w:eastAsia="Times New Roman" w:hAnsi="Times New Roman" w:cs="Times New Roman"/>
                <w:color w:val="000000" w:themeColor="text1"/>
                <w:sz w:val="13"/>
                <w:szCs w:val="13"/>
              </w:rPr>
            </w:pPr>
            <w:r w:rsidRPr="00EF6679">
              <w:rPr>
                <w:rFonts w:ascii="Times New Roman" w:hAnsi="Times New Roman" w:cs="Times New Roman"/>
                <w:color w:val="000000" w:themeColor="text1"/>
                <w:sz w:val="13"/>
                <w:szCs w:val="13"/>
              </w:rPr>
              <w:t>n.d.</w:t>
            </w:r>
          </w:p>
        </w:tc>
        <w:tc>
          <w:tcPr>
            <w:tcW w:w="864" w:type="dxa"/>
            <w:tcBorders>
              <w:top w:val="nil"/>
              <w:left w:val="nil"/>
              <w:bottom w:val="nil"/>
              <w:right w:val="nil"/>
            </w:tcBorders>
            <w:noWrap/>
            <w:vAlign w:val="center"/>
            <w:hideMark/>
          </w:tcPr>
          <w:p w14:paraId="3B6CE29B" w14:textId="77777777" w:rsidR="009653CF" w:rsidRPr="00EF6679" w:rsidRDefault="009653CF" w:rsidP="009653CF">
            <w:pPr>
              <w:spacing w:line="240" w:lineRule="auto"/>
              <w:jc w:val="center"/>
              <w:rPr>
                <w:rFonts w:ascii="Times New Roman" w:eastAsia="Times New Roman" w:hAnsi="Times New Roman" w:cs="Times New Roman"/>
                <w:color w:val="000000" w:themeColor="text1"/>
                <w:sz w:val="13"/>
                <w:szCs w:val="13"/>
              </w:rPr>
            </w:pPr>
            <w:r w:rsidRPr="00EF6679">
              <w:rPr>
                <w:rFonts w:ascii="Times New Roman" w:hAnsi="Times New Roman" w:cs="Times New Roman"/>
                <w:color w:val="000000" w:themeColor="text1"/>
                <w:sz w:val="13"/>
                <w:szCs w:val="13"/>
              </w:rPr>
              <w:t>n.d.</w:t>
            </w:r>
          </w:p>
        </w:tc>
      </w:tr>
      <w:tr w:rsidR="009653CF" w:rsidRPr="00EF6679" w14:paraId="0F06D242" w14:textId="77777777" w:rsidTr="00820288">
        <w:tblPrEx>
          <w:jc w:val="lef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trHeight w:val="144"/>
        </w:trPr>
        <w:tc>
          <w:tcPr>
            <w:tcW w:w="2340" w:type="dxa"/>
            <w:tcBorders>
              <w:top w:val="nil"/>
              <w:left w:val="nil"/>
              <w:bottom w:val="nil"/>
              <w:right w:val="nil"/>
            </w:tcBorders>
            <w:noWrap/>
            <w:hideMark/>
          </w:tcPr>
          <w:p w14:paraId="7C15929E" w14:textId="77777777" w:rsidR="009653CF" w:rsidRPr="00EF6679" w:rsidRDefault="009653CF" w:rsidP="009653CF">
            <w:pPr>
              <w:spacing w:line="240" w:lineRule="auto"/>
              <w:rPr>
                <w:rFonts w:ascii="Times New Roman" w:eastAsia="Times New Roman" w:hAnsi="Times New Roman" w:cs="Times New Roman"/>
                <w:color w:val="000000" w:themeColor="text1"/>
                <w:sz w:val="13"/>
                <w:szCs w:val="13"/>
              </w:rPr>
            </w:pPr>
            <w:r w:rsidRPr="00EF6679">
              <w:rPr>
                <w:rFonts w:ascii="Times New Roman" w:eastAsia="Times New Roman" w:hAnsi="Times New Roman" w:cs="Times New Roman"/>
                <w:color w:val="000000" w:themeColor="text1"/>
                <w:sz w:val="13"/>
                <w:szCs w:val="13"/>
              </w:rPr>
              <w:t xml:space="preserve">3-Caren-10-al            </w:t>
            </w:r>
          </w:p>
        </w:tc>
        <w:tc>
          <w:tcPr>
            <w:tcW w:w="939" w:type="dxa"/>
            <w:tcBorders>
              <w:top w:val="nil"/>
              <w:left w:val="nil"/>
              <w:bottom w:val="nil"/>
              <w:right w:val="nil"/>
            </w:tcBorders>
            <w:noWrap/>
            <w:vAlign w:val="center"/>
            <w:hideMark/>
          </w:tcPr>
          <w:p w14:paraId="62A6C2EA" w14:textId="77777777" w:rsidR="009653CF" w:rsidRPr="00EF6679" w:rsidRDefault="009653CF" w:rsidP="009653CF">
            <w:pPr>
              <w:spacing w:line="240" w:lineRule="auto"/>
              <w:jc w:val="center"/>
              <w:rPr>
                <w:rFonts w:ascii="Times New Roman" w:eastAsia="Times New Roman" w:hAnsi="Times New Roman" w:cs="Times New Roman"/>
                <w:color w:val="000000" w:themeColor="text1"/>
                <w:sz w:val="13"/>
                <w:szCs w:val="13"/>
              </w:rPr>
            </w:pPr>
            <w:r w:rsidRPr="00EF6679">
              <w:rPr>
                <w:rFonts w:ascii="Times New Roman" w:eastAsia="Times New Roman" w:hAnsi="Times New Roman" w:cs="Times New Roman"/>
                <w:color w:val="000000" w:themeColor="text1"/>
                <w:sz w:val="13"/>
                <w:szCs w:val="13"/>
              </w:rPr>
              <w:t>14595-13-2</w:t>
            </w:r>
          </w:p>
        </w:tc>
        <w:tc>
          <w:tcPr>
            <w:tcW w:w="1152" w:type="dxa"/>
            <w:tcBorders>
              <w:top w:val="nil"/>
              <w:left w:val="nil"/>
              <w:bottom w:val="nil"/>
              <w:right w:val="nil"/>
            </w:tcBorders>
            <w:noWrap/>
            <w:vAlign w:val="center"/>
            <w:hideMark/>
          </w:tcPr>
          <w:p w14:paraId="32906D3D" w14:textId="77777777" w:rsidR="009653CF" w:rsidRPr="00EF6679" w:rsidRDefault="009653CF" w:rsidP="009653CF">
            <w:pPr>
              <w:spacing w:line="240" w:lineRule="auto"/>
              <w:jc w:val="center"/>
              <w:rPr>
                <w:rFonts w:ascii="Times New Roman" w:eastAsia="Times New Roman" w:hAnsi="Times New Roman" w:cs="Times New Roman"/>
                <w:color w:val="000000" w:themeColor="text1"/>
                <w:sz w:val="13"/>
                <w:szCs w:val="13"/>
              </w:rPr>
            </w:pPr>
            <w:r w:rsidRPr="00EF6679">
              <w:rPr>
                <w:rFonts w:ascii="Times New Roman" w:eastAsia="Times New Roman" w:hAnsi="Times New Roman" w:cs="Times New Roman"/>
                <w:color w:val="000000" w:themeColor="text1"/>
                <w:sz w:val="13"/>
                <w:szCs w:val="13"/>
              </w:rPr>
              <w:t>18.812</w:t>
            </w:r>
          </w:p>
        </w:tc>
        <w:tc>
          <w:tcPr>
            <w:tcW w:w="864" w:type="dxa"/>
            <w:tcBorders>
              <w:top w:val="nil"/>
              <w:left w:val="nil"/>
              <w:bottom w:val="nil"/>
              <w:right w:val="nil"/>
            </w:tcBorders>
            <w:noWrap/>
            <w:vAlign w:val="center"/>
            <w:hideMark/>
          </w:tcPr>
          <w:p w14:paraId="69BB9C04" w14:textId="77777777" w:rsidR="009653CF" w:rsidRPr="00EF6679" w:rsidRDefault="009653CF" w:rsidP="009653CF">
            <w:pPr>
              <w:spacing w:line="240" w:lineRule="auto"/>
              <w:jc w:val="center"/>
              <w:rPr>
                <w:rFonts w:ascii="Times New Roman" w:eastAsia="Times New Roman" w:hAnsi="Times New Roman" w:cs="Times New Roman"/>
                <w:color w:val="000000" w:themeColor="text1"/>
                <w:sz w:val="13"/>
                <w:szCs w:val="13"/>
              </w:rPr>
            </w:pPr>
            <w:r w:rsidRPr="00EF6679">
              <w:rPr>
                <w:rFonts w:ascii="Times New Roman" w:eastAsia="Times New Roman" w:hAnsi="Times New Roman" w:cs="Times New Roman"/>
                <w:color w:val="000000" w:themeColor="text1"/>
                <w:sz w:val="13"/>
                <w:szCs w:val="13"/>
              </w:rPr>
              <w:t>1.35</w:t>
            </w:r>
          </w:p>
        </w:tc>
        <w:tc>
          <w:tcPr>
            <w:tcW w:w="720" w:type="dxa"/>
            <w:tcBorders>
              <w:top w:val="nil"/>
              <w:left w:val="nil"/>
              <w:bottom w:val="nil"/>
              <w:right w:val="nil"/>
            </w:tcBorders>
            <w:noWrap/>
            <w:vAlign w:val="center"/>
            <w:hideMark/>
          </w:tcPr>
          <w:p w14:paraId="5D5D4401" w14:textId="77777777" w:rsidR="009653CF" w:rsidRPr="00EF6679" w:rsidRDefault="009653CF" w:rsidP="009653CF">
            <w:pPr>
              <w:spacing w:line="240" w:lineRule="auto"/>
              <w:jc w:val="center"/>
              <w:rPr>
                <w:rFonts w:ascii="Times New Roman" w:eastAsia="Times New Roman" w:hAnsi="Times New Roman" w:cs="Times New Roman"/>
                <w:color w:val="000000" w:themeColor="text1"/>
                <w:sz w:val="13"/>
                <w:szCs w:val="13"/>
              </w:rPr>
            </w:pPr>
            <w:r w:rsidRPr="00EF6679">
              <w:rPr>
                <w:rFonts w:ascii="Times New Roman" w:eastAsia="Times New Roman" w:hAnsi="Times New Roman" w:cs="Times New Roman"/>
                <w:color w:val="000000" w:themeColor="text1"/>
                <w:sz w:val="13"/>
                <w:szCs w:val="13"/>
              </w:rPr>
              <w:t>1.32</w:t>
            </w:r>
          </w:p>
        </w:tc>
        <w:tc>
          <w:tcPr>
            <w:tcW w:w="864" w:type="dxa"/>
            <w:tcBorders>
              <w:top w:val="nil"/>
              <w:left w:val="nil"/>
              <w:bottom w:val="nil"/>
              <w:right w:val="nil"/>
            </w:tcBorders>
            <w:noWrap/>
            <w:vAlign w:val="center"/>
            <w:hideMark/>
          </w:tcPr>
          <w:p w14:paraId="5E06D28C" w14:textId="77777777" w:rsidR="009653CF" w:rsidRPr="00EF6679" w:rsidRDefault="009653CF" w:rsidP="009653CF">
            <w:pPr>
              <w:spacing w:line="240" w:lineRule="auto"/>
              <w:jc w:val="center"/>
              <w:rPr>
                <w:rFonts w:ascii="Times New Roman" w:eastAsia="Times New Roman" w:hAnsi="Times New Roman" w:cs="Times New Roman"/>
                <w:color w:val="000000" w:themeColor="text1"/>
                <w:sz w:val="13"/>
                <w:szCs w:val="13"/>
              </w:rPr>
            </w:pPr>
            <w:r w:rsidRPr="00EF6679">
              <w:rPr>
                <w:rFonts w:ascii="Times New Roman" w:eastAsia="Times New Roman" w:hAnsi="Times New Roman" w:cs="Times New Roman"/>
                <w:color w:val="000000" w:themeColor="text1"/>
                <w:sz w:val="13"/>
                <w:szCs w:val="13"/>
              </w:rPr>
              <w:t>1.54</w:t>
            </w:r>
          </w:p>
        </w:tc>
        <w:tc>
          <w:tcPr>
            <w:tcW w:w="410" w:type="dxa"/>
            <w:tcBorders>
              <w:top w:val="nil"/>
              <w:left w:val="nil"/>
              <w:bottom w:val="nil"/>
              <w:right w:val="nil"/>
            </w:tcBorders>
            <w:noWrap/>
          </w:tcPr>
          <w:p w14:paraId="46C82C2F" w14:textId="77777777" w:rsidR="009653CF" w:rsidRPr="00EF6679" w:rsidRDefault="009653CF" w:rsidP="009653CF">
            <w:pPr>
              <w:spacing w:line="240" w:lineRule="auto"/>
              <w:jc w:val="right"/>
              <w:rPr>
                <w:rFonts w:ascii="Times New Roman" w:eastAsia="Times New Roman" w:hAnsi="Times New Roman" w:cs="Times New Roman"/>
                <w:color w:val="000000" w:themeColor="text1"/>
                <w:sz w:val="13"/>
                <w:szCs w:val="13"/>
              </w:rPr>
            </w:pPr>
          </w:p>
        </w:tc>
        <w:tc>
          <w:tcPr>
            <w:tcW w:w="864" w:type="dxa"/>
            <w:tcBorders>
              <w:top w:val="nil"/>
              <w:left w:val="nil"/>
              <w:bottom w:val="nil"/>
              <w:right w:val="nil"/>
            </w:tcBorders>
            <w:noWrap/>
            <w:vAlign w:val="bottom"/>
            <w:hideMark/>
          </w:tcPr>
          <w:p w14:paraId="0853F36D" w14:textId="77777777" w:rsidR="009653CF" w:rsidRPr="00EF6679" w:rsidRDefault="009653CF" w:rsidP="009653CF">
            <w:pPr>
              <w:spacing w:line="240" w:lineRule="auto"/>
              <w:jc w:val="center"/>
              <w:rPr>
                <w:rFonts w:ascii="Times New Roman" w:eastAsia="Times New Roman" w:hAnsi="Times New Roman" w:cs="Times New Roman"/>
                <w:color w:val="000000" w:themeColor="text1"/>
                <w:sz w:val="13"/>
                <w:szCs w:val="13"/>
              </w:rPr>
            </w:pPr>
            <w:r w:rsidRPr="00EF6679">
              <w:rPr>
                <w:rFonts w:ascii="Times New Roman" w:hAnsi="Times New Roman" w:cs="Times New Roman"/>
                <w:color w:val="000000" w:themeColor="text1"/>
                <w:sz w:val="13"/>
                <w:szCs w:val="13"/>
              </w:rPr>
              <w:t>0.2470</w:t>
            </w:r>
          </w:p>
        </w:tc>
        <w:tc>
          <w:tcPr>
            <w:tcW w:w="720" w:type="dxa"/>
            <w:tcBorders>
              <w:top w:val="nil"/>
              <w:left w:val="nil"/>
              <w:bottom w:val="nil"/>
              <w:right w:val="nil"/>
            </w:tcBorders>
            <w:noWrap/>
            <w:vAlign w:val="bottom"/>
            <w:hideMark/>
          </w:tcPr>
          <w:p w14:paraId="17AE42BD" w14:textId="77777777" w:rsidR="009653CF" w:rsidRPr="00EF6679" w:rsidRDefault="009653CF" w:rsidP="009653CF">
            <w:pPr>
              <w:spacing w:line="240" w:lineRule="auto"/>
              <w:jc w:val="center"/>
              <w:rPr>
                <w:rFonts w:ascii="Times New Roman" w:eastAsia="Times New Roman" w:hAnsi="Times New Roman" w:cs="Times New Roman"/>
                <w:color w:val="000000" w:themeColor="text1"/>
                <w:sz w:val="13"/>
                <w:szCs w:val="13"/>
              </w:rPr>
            </w:pPr>
            <w:r w:rsidRPr="00EF6679">
              <w:rPr>
                <w:rFonts w:ascii="Times New Roman" w:hAnsi="Times New Roman" w:cs="Times New Roman"/>
                <w:color w:val="000000" w:themeColor="text1"/>
                <w:sz w:val="13"/>
                <w:szCs w:val="13"/>
              </w:rPr>
              <w:t>0.2139</w:t>
            </w:r>
          </w:p>
        </w:tc>
        <w:tc>
          <w:tcPr>
            <w:tcW w:w="864" w:type="dxa"/>
            <w:tcBorders>
              <w:top w:val="nil"/>
              <w:left w:val="nil"/>
              <w:bottom w:val="nil"/>
              <w:right w:val="nil"/>
            </w:tcBorders>
            <w:noWrap/>
            <w:vAlign w:val="bottom"/>
            <w:hideMark/>
          </w:tcPr>
          <w:p w14:paraId="13431199" w14:textId="77777777" w:rsidR="009653CF" w:rsidRPr="00EF6679" w:rsidRDefault="009653CF" w:rsidP="009653CF">
            <w:pPr>
              <w:spacing w:line="240" w:lineRule="auto"/>
              <w:jc w:val="center"/>
              <w:rPr>
                <w:rFonts w:ascii="Times New Roman" w:eastAsia="Times New Roman" w:hAnsi="Times New Roman" w:cs="Times New Roman"/>
                <w:color w:val="000000" w:themeColor="text1"/>
                <w:sz w:val="13"/>
                <w:szCs w:val="13"/>
              </w:rPr>
            </w:pPr>
            <w:r w:rsidRPr="00EF6679">
              <w:rPr>
                <w:rFonts w:ascii="Times New Roman" w:hAnsi="Times New Roman" w:cs="Times New Roman"/>
                <w:color w:val="000000" w:themeColor="text1"/>
                <w:sz w:val="13"/>
                <w:szCs w:val="13"/>
              </w:rPr>
              <w:t>0.1185</w:t>
            </w:r>
          </w:p>
        </w:tc>
      </w:tr>
      <w:tr w:rsidR="009653CF" w:rsidRPr="00EF6679" w14:paraId="576769A7" w14:textId="77777777" w:rsidTr="00820288">
        <w:tblPrEx>
          <w:jc w:val="lef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trHeight w:val="144"/>
        </w:trPr>
        <w:tc>
          <w:tcPr>
            <w:tcW w:w="2340" w:type="dxa"/>
            <w:tcBorders>
              <w:top w:val="nil"/>
              <w:left w:val="nil"/>
              <w:bottom w:val="nil"/>
              <w:right w:val="nil"/>
            </w:tcBorders>
            <w:noWrap/>
            <w:hideMark/>
          </w:tcPr>
          <w:p w14:paraId="13BCDFE2" w14:textId="77777777" w:rsidR="009653CF" w:rsidRPr="00EF6679" w:rsidRDefault="009653CF" w:rsidP="009653CF">
            <w:pPr>
              <w:spacing w:line="240" w:lineRule="auto"/>
              <w:rPr>
                <w:rFonts w:ascii="Times New Roman" w:eastAsia="Times New Roman" w:hAnsi="Times New Roman" w:cs="Times New Roman"/>
                <w:color w:val="000000" w:themeColor="text1"/>
                <w:sz w:val="13"/>
                <w:szCs w:val="13"/>
              </w:rPr>
            </w:pPr>
            <w:r w:rsidRPr="00EF6679">
              <w:rPr>
                <w:rFonts w:ascii="Times New Roman" w:eastAsia="Times New Roman" w:hAnsi="Times New Roman" w:cs="Times New Roman"/>
                <w:color w:val="000000" w:themeColor="text1"/>
                <w:sz w:val="13"/>
                <w:szCs w:val="13"/>
              </w:rPr>
              <w:t xml:space="preserve">Isoborneol               </w:t>
            </w:r>
          </w:p>
        </w:tc>
        <w:tc>
          <w:tcPr>
            <w:tcW w:w="939" w:type="dxa"/>
            <w:tcBorders>
              <w:top w:val="nil"/>
              <w:left w:val="nil"/>
              <w:bottom w:val="nil"/>
              <w:right w:val="nil"/>
            </w:tcBorders>
            <w:noWrap/>
            <w:vAlign w:val="center"/>
            <w:hideMark/>
          </w:tcPr>
          <w:p w14:paraId="4FE59387" w14:textId="77777777" w:rsidR="009653CF" w:rsidRPr="00EF6679" w:rsidRDefault="009653CF" w:rsidP="009653CF">
            <w:pPr>
              <w:spacing w:line="240" w:lineRule="auto"/>
              <w:jc w:val="center"/>
              <w:rPr>
                <w:rFonts w:ascii="Times New Roman" w:eastAsia="Times New Roman" w:hAnsi="Times New Roman" w:cs="Times New Roman"/>
                <w:color w:val="000000" w:themeColor="text1"/>
                <w:sz w:val="13"/>
                <w:szCs w:val="13"/>
              </w:rPr>
            </w:pPr>
            <w:r w:rsidRPr="00EF6679">
              <w:rPr>
                <w:rFonts w:ascii="Times New Roman" w:eastAsia="Times New Roman" w:hAnsi="Times New Roman" w:cs="Times New Roman"/>
                <w:color w:val="000000" w:themeColor="text1"/>
                <w:sz w:val="13"/>
                <w:szCs w:val="13"/>
              </w:rPr>
              <w:t>507-70-0</w:t>
            </w:r>
          </w:p>
        </w:tc>
        <w:tc>
          <w:tcPr>
            <w:tcW w:w="1152" w:type="dxa"/>
            <w:tcBorders>
              <w:top w:val="nil"/>
              <w:left w:val="nil"/>
              <w:bottom w:val="nil"/>
              <w:right w:val="nil"/>
            </w:tcBorders>
            <w:noWrap/>
            <w:vAlign w:val="center"/>
            <w:hideMark/>
          </w:tcPr>
          <w:p w14:paraId="35598540" w14:textId="77777777" w:rsidR="009653CF" w:rsidRPr="00EF6679" w:rsidRDefault="009653CF" w:rsidP="009653CF">
            <w:pPr>
              <w:spacing w:line="240" w:lineRule="auto"/>
              <w:jc w:val="center"/>
              <w:rPr>
                <w:rFonts w:ascii="Times New Roman" w:eastAsia="Times New Roman" w:hAnsi="Times New Roman" w:cs="Times New Roman"/>
                <w:color w:val="000000" w:themeColor="text1"/>
                <w:sz w:val="13"/>
                <w:szCs w:val="13"/>
              </w:rPr>
            </w:pPr>
            <w:r w:rsidRPr="00EF6679">
              <w:rPr>
                <w:rFonts w:ascii="Times New Roman" w:eastAsia="Times New Roman" w:hAnsi="Times New Roman" w:cs="Times New Roman"/>
                <w:color w:val="000000" w:themeColor="text1"/>
                <w:sz w:val="13"/>
                <w:szCs w:val="13"/>
              </w:rPr>
              <w:t>18.946</w:t>
            </w:r>
          </w:p>
        </w:tc>
        <w:tc>
          <w:tcPr>
            <w:tcW w:w="864" w:type="dxa"/>
            <w:tcBorders>
              <w:top w:val="nil"/>
              <w:left w:val="nil"/>
              <w:bottom w:val="nil"/>
              <w:right w:val="nil"/>
            </w:tcBorders>
            <w:noWrap/>
            <w:vAlign w:val="center"/>
            <w:hideMark/>
          </w:tcPr>
          <w:p w14:paraId="4659AE9C" w14:textId="77777777" w:rsidR="009653CF" w:rsidRPr="00EF6679" w:rsidRDefault="009653CF" w:rsidP="009653CF">
            <w:pPr>
              <w:spacing w:line="240" w:lineRule="auto"/>
              <w:jc w:val="center"/>
              <w:rPr>
                <w:rFonts w:ascii="Times New Roman" w:eastAsia="Times New Roman" w:hAnsi="Times New Roman" w:cs="Times New Roman"/>
                <w:color w:val="000000" w:themeColor="text1"/>
                <w:sz w:val="13"/>
                <w:szCs w:val="13"/>
              </w:rPr>
            </w:pPr>
            <w:r w:rsidRPr="00EF6679">
              <w:rPr>
                <w:rFonts w:ascii="Times New Roman" w:eastAsia="Times New Roman" w:hAnsi="Times New Roman" w:cs="Times New Roman"/>
                <w:color w:val="000000" w:themeColor="text1"/>
                <w:sz w:val="13"/>
                <w:szCs w:val="13"/>
              </w:rPr>
              <w:t>3.94</w:t>
            </w:r>
          </w:p>
        </w:tc>
        <w:tc>
          <w:tcPr>
            <w:tcW w:w="720" w:type="dxa"/>
            <w:tcBorders>
              <w:top w:val="nil"/>
              <w:left w:val="nil"/>
              <w:bottom w:val="nil"/>
              <w:right w:val="nil"/>
            </w:tcBorders>
            <w:noWrap/>
            <w:vAlign w:val="center"/>
            <w:hideMark/>
          </w:tcPr>
          <w:p w14:paraId="798C5FA6" w14:textId="77777777" w:rsidR="009653CF" w:rsidRPr="00EF6679" w:rsidRDefault="009653CF" w:rsidP="009653CF">
            <w:pPr>
              <w:spacing w:line="240" w:lineRule="auto"/>
              <w:jc w:val="center"/>
              <w:rPr>
                <w:rFonts w:ascii="Times New Roman" w:eastAsia="Times New Roman" w:hAnsi="Times New Roman" w:cs="Times New Roman"/>
                <w:color w:val="000000" w:themeColor="text1"/>
                <w:sz w:val="13"/>
                <w:szCs w:val="13"/>
              </w:rPr>
            </w:pPr>
            <w:r w:rsidRPr="00EF6679">
              <w:rPr>
                <w:rFonts w:ascii="Times New Roman" w:eastAsia="Times New Roman" w:hAnsi="Times New Roman" w:cs="Times New Roman"/>
                <w:color w:val="000000" w:themeColor="text1"/>
                <w:sz w:val="13"/>
                <w:szCs w:val="13"/>
              </w:rPr>
              <w:t>1.75</w:t>
            </w:r>
          </w:p>
        </w:tc>
        <w:tc>
          <w:tcPr>
            <w:tcW w:w="864" w:type="dxa"/>
            <w:tcBorders>
              <w:top w:val="nil"/>
              <w:left w:val="nil"/>
              <w:bottom w:val="nil"/>
              <w:right w:val="nil"/>
            </w:tcBorders>
            <w:noWrap/>
            <w:vAlign w:val="center"/>
            <w:hideMark/>
          </w:tcPr>
          <w:p w14:paraId="193E605D" w14:textId="77777777" w:rsidR="009653CF" w:rsidRPr="00EF6679" w:rsidRDefault="009653CF" w:rsidP="009653CF">
            <w:pPr>
              <w:spacing w:line="240" w:lineRule="auto"/>
              <w:jc w:val="center"/>
              <w:rPr>
                <w:rFonts w:ascii="Times New Roman" w:eastAsia="Times New Roman" w:hAnsi="Times New Roman" w:cs="Times New Roman"/>
                <w:color w:val="000000" w:themeColor="text1"/>
                <w:sz w:val="13"/>
                <w:szCs w:val="13"/>
              </w:rPr>
            </w:pPr>
            <w:r w:rsidRPr="00EF6679">
              <w:rPr>
                <w:rFonts w:ascii="Times New Roman" w:eastAsia="Times New Roman" w:hAnsi="Times New Roman" w:cs="Times New Roman"/>
                <w:color w:val="000000" w:themeColor="text1"/>
                <w:sz w:val="13"/>
                <w:szCs w:val="13"/>
              </w:rPr>
              <w:t>1.60</w:t>
            </w:r>
          </w:p>
        </w:tc>
        <w:tc>
          <w:tcPr>
            <w:tcW w:w="410" w:type="dxa"/>
            <w:tcBorders>
              <w:top w:val="nil"/>
              <w:left w:val="nil"/>
              <w:bottom w:val="nil"/>
              <w:right w:val="nil"/>
            </w:tcBorders>
            <w:noWrap/>
          </w:tcPr>
          <w:p w14:paraId="09038969" w14:textId="77777777" w:rsidR="009653CF" w:rsidRPr="00EF6679" w:rsidRDefault="009653CF" w:rsidP="009653CF">
            <w:pPr>
              <w:spacing w:line="240" w:lineRule="auto"/>
              <w:jc w:val="right"/>
              <w:rPr>
                <w:rFonts w:ascii="Times New Roman" w:eastAsia="Times New Roman" w:hAnsi="Times New Roman" w:cs="Times New Roman"/>
                <w:color w:val="000000" w:themeColor="text1"/>
                <w:sz w:val="13"/>
                <w:szCs w:val="13"/>
              </w:rPr>
            </w:pPr>
          </w:p>
        </w:tc>
        <w:tc>
          <w:tcPr>
            <w:tcW w:w="864" w:type="dxa"/>
            <w:tcBorders>
              <w:top w:val="nil"/>
              <w:left w:val="nil"/>
              <w:bottom w:val="nil"/>
              <w:right w:val="nil"/>
            </w:tcBorders>
            <w:noWrap/>
            <w:vAlign w:val="bottom"/>
            <w:hideMark/>
          </w:tcPr>
          <w:p w14:paraId="67BB2868" w14:textId="77777777" w:rsidR="009653CF" w:rsidRPr="00EF6679" w:rsidRDefault="009653CF" w:rsidP="009653CF">
            <w:pPr>
              <w:spacing w:line="240" w:lineRule="auto"/>
              <w:jc w:val="center"/>
              <w:rPr>
                <w:rFonts w:ascii="Times New Roman" w:eastAsia="Times New Roman" w:hAnsi="Times New Roman" w:cs="Times New Roman"/>
                <w:color w:val="000000" w:themeColor="text1"/>
                <w:sz w:val="13"/>
                <w:szCs w:val="13"/>
              </w:rPr>
            </w:pPr>
            <w:r w:rsidRPr="00EF6679">
              <w:rPr>
                <w:rFonts w:ascii="Times New Roman" w:hAnsi="Times New Roman" w:cs="Times New Roman"/>
                <w:color w:val="000000" w:themeColor="text1"/>
                <w:sz w:val="13"/>
                <w:szCs w:val="13"/>
              </w:rPr>
              <w:t>0.0485</w:t>
            </w:r>
          </w:p>
        </w:tc>
        <w:tc>
          <w:tcPr>
            <w:tcW w:w="720" w:type="dxa"/>
            <w:tcBorders>
              <w:top w:val="nil"/>
              <w:left w:val="nil"/>
              <w:bottom w:val="nil"/>
              <w:right w:val="nil"/>
            </w:tcBorders>
            <w:noWrap/>
            <w:vAlign w:val="bottom"/>
            <w:hideMark/>
          </w:tcPr>
          <w:p w14:paraId="1209FE84" w14:textId="77777777" w:rsidR="009653CF" w:rsidRPr="00EF6679" w:rsidRDefault="009653CF" w:rsidP="009653CF">
            <w:pPr>
              <w:spacing w:line="240" w:lineRule="auto"/>
              <w:jc w:val="center"/>
              <w:rPr>
                <w:rFonts w:ascii="Times New Roman" w:eastAsia="Times New Roman" w:hAnsi="Times New Roman" w:cs="Times New Roman"/>
                <w:color w:val="000000" w:themeColor="text1"/>
                <w:sz w:val="13"/>
                <w:szCs w:val="13"/>
              </w:rPr>
            </w:pPr>
            <w:r w:rsidRPr="00EF6679">
              <w:rPr>
                <w:rFonts w:ascii="Times New Roman" w:hAnsi="Times New Roman" w:cs="Times New Roman"/>
                <w:color w:val="000000" w:themeColor="text1"/>
                <w:sz w:val="13"/>
                <w:szCs w:val="13"/>
              </w:rPr>
              <w:t>0.0651</w:t>
            </w:r>
          </w:p>
        </w:tc>
        <w:tc>
          <w:tcPr>
            <w:tcW w:w="864" w:type="dxa"/>
            <w:tcBorders>
              <w:top w:val="nil"/>
              <w:left w:val="nil"/>
              <w:bottom w:val="nil"/>
              <w:right w:val="nil"/>
            </w:tcBorders>
            <w:noWrap/>
            <w:vAlign w:val="bottom"/>
            <w:hideMark/>
          </w:tcPr>
          <w:p w14:paraId="2475D48A" w14:textId="77777777" w:rsidR="009653CF" w:rsidRPr="00EF6679" w:rsidRDefault="009653CF" w:rsidP="009653CF">
            <w:pPr>
              <w:spacing w:line="240" w:lineRule="auto"/>
              <w:jc w:val="center"/>
              <w:rPr>
                <w:rFonts w:ascii="Times New Roman" w:eastAsia="Times New Roman" w:hAnsi="Times New Roman" w:cs="Times New Roman"/>
                <w:color w:val="000000" w:themeColor="text1"/>
                <w:sz w:val="13"/>
                <w:szCs w:val="13"/>
              </w:rPr>
            </w:pPr>
            <w:r w:rsidRPr="00EF6679">
              <w:rPr>
                <w:rFonts w:ascii="Times New Roman" w:hAnsi="Times New Roman" w:cs="Times New Roman"/>
                <w:color w:val="000000" w:themeColor="text1"/>
                <w:sz w:val="13"/>
                <w:szCs w:val="13"/>
              </w:rPr>
              <w:t>0.1015</w:t>
            </w:r>
          </w:p>
        </w:tc>
      </w:tr>
      <w:tr w:rsidR="009653CF" w:rsidRPr="00EF6679" w14:paraId="3CD1FE08" w14:textId="77777777" w:rsidTr="00820288">
        <w:tblPrEx>
          <w:jc w:val="lef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trHeight w:val="144"/>
        </w:trPr>
        <w:tc>
          <w:tcPr>
            <w:tcW w:w="2340" w:type="dxa"/>
            <w:tcBorders>
              <w:top w:val="nil"/>
              <w:left w:val="nil"/>
              <w:bottom w:val="nil"/>
              <w:right w:val="nil"/>
            </w:tcBorders>
            <w:noWrap/>
            <w:hideMark/>
          </w:tcPr>
          <w:p w14:paraId="354D1C5C" w14:textId="77777777" w:rsidR="009653CF" w:rsidRPr="00EF6679" w:rsidRDefault="009653CF" w:rsidP="009653CF">
            <w:pPr>
              <w:spacing w:line="240" w:lineRule="auto"/>
              <w:rPr>
                <w:rFonts w:ascii="Times New Roman" w:eastAsia="Times New Roman" w:hAnsi="Times New Roman" w:cs="Times New Roman"/>
                <w:color w:val="000000" w:themeColor="text1"/>
                <w:sz w:val="13"/>
                <w:szCs w:val="13"/>
              </w:rPr>
            </w:pPr>
            <w:r w:rsidRPr="00EF6679">
              <w:rPr>
                <w:rFonts w:ascii="Times New Roman" w:eastAsia="Times New Roman" w:hAnsi="Times New Roman" w:cs="Times New Roman"/>
                <w:color w:val="000000" w:themeColor="text1"/>
                <w:sz w:val="13"/>
                <w:szCs w:val="13"/>
              </w:rPr>
              <w:t xml:space="preserve">Cycloheptene             </w:t>
            </w:r>
          </w:p>
        </w:tc>
        <w:tc>
          <w:tcPr>
            <w:tcW w:w="939" w:type="dxa"/>
            <w:tcBorders>
              <w:top w:val="nil"/>
              <w:left w:val="nil"/>
              <w:bottom w:val="nil"/>
              <w:right w:val="nil"/>
            </w:tcBorders>
            <w:noWrap/>
            <w:vAlign w:val="center"/>
            <w:hideMark/>
          </w:tcPr>
          <w:p w14:paraId="6A45D674" w14:textId="77777777" w:rsidR="009653CF" w:rsidRPr="00EF6679" w:rsidRDefault="009653CF" w:rsidP="009653CF">
            <w:pPr>
              <w:spacing w:line="240" w:lineRule="auto"/>
              <w:jc w:val="center"/>
              <w:rPr>
                <w:rFonts w:ascii="Times New Roman" w:eastAsia="Times New Roman" w:hAnsi="Times New Roman" w:cs="Times New Roman"/>
                <w:color w:val="000000" w:themeColor="text1"/>
                <w:sz w:val="13"/>
                <w:szCs w:val="13"/>
              </w:rPr>
            </w:pPr>
            <w:r w:rsidRPr="00EF6679">
              <w:rPr>
                <w:rFonts w:ascii="Times New Roman" w:eastAsia="Times New Roman" w:hAnsi="Times New Roman" w:cs="Times New Roman"/>
                <w:color w:val="000000" w:themeColor="text1"/>
                <w:sz w:val="13"/>
                <w:szCs w:val="13"/>
              </w:rPr>
              <w:t>628-92-2</w:t>
            </w:r>
          </w:p>
        </w:tc>
        <w:tc>
          <w:tcPr>
            <w:tcW w:w="1152" w:type="dxa"/>
            <w:tcBorders>
              <w:top w:val="nil"/>
              <w:left w:val="nil"/>
              <w:bottom w:val="nil"/>
              <w:right w:val="nil"/>
            </w:tcBorders>
            <w:noWrap/>
            <w:vAlign w:val="center"/>
            <w:hideMark/>
          </w:tcPr>
          <w:p w14:paraId="14410299" w14:textId="77777777" w:rsidR="009653CF" w:rsidRPr="00EF6679" w:rsidRDefault="009653CF" w:rsidP="009653CF">
            <w:pPr>
              <w:spacing w:line="240" w:lineRule="auto"/>
              <w:jc w:val="center"/>
              <w:rPr>
                <w:rFonts w:ascii="Times New Roman" w:eastAsia="Times New Roman" w:hAnsi="Times New Roman" w:cs="Times New Roman"/>
                <w:color w:val="000000" w:themeColor="text1"/>
                <w:sz w:val="13"/>
                <w:szCs w:val="13"/>
              </w:rPr>
            </w:pPr>
            <w:r w:rsidRPr="00EF6679">
              <w:rPr>
                <w:rFonts w:ascii="Times New Roman" w:eastAsia="Times New Roman" w:hAnsi="Times New Roman" w:cs="Times New Roman"/>
                <w:color w:val="000000" w:themeColor="text1"/>
                <w:sz w:val="13"/>
                <w:szCs w:val="13"/>
              </w:rPr>
              <w:t>18.962</w:t>
            </w:r>
          </w:p>
        </w:tc>
        <w:tc>
          <w:tcPr>
            <w:tcW w:w="864" w:type="dxa"/>
            <w:tcBorders>
              <w:top w:val="nil"/>
              <w:left w:val="nil"/>
              <w:bottom w:val="nil"/>
              <w:right w:val="nil"/>
            </w:tcBorders>
            <w:noWrap/>
            <w:vAlign w:val="center"/>
            <w:hideMark/>
          </w:tcPr>
          <w:p w14:paraId="1D0D74FC" w14:textId="77777777" w:rsidR="009653CF" w:rsidRPr="00EF6679" w:rsidRDefault="009653CF" w:rsidP="009653CF">
            <w:pPr>
              <w:spacing w:line="240" w:lineRule="auto"/>
              <w:jc w:val="center"/>
              <w:rPr>
                <w:rFonts w:ascii="Times New Roman" w:eastAsia="Times New Roman" w:hAnsi="Times New Roman" w:cs="Times New Roman"/>
                <w:color w:val="000000" w:themeColor="text1"/>
                <w:sz w:val="13"/>
                <w:szCs w:val="13"/>
              </w:rPr>
            </w:pPr>
            <w:r w:rsidRPr="00EF6679">
              <w:rPr>
                <w:rFonts w:ascii="Times New Roman" w:eastAsia="Times New Roman" w:hAnsi="Times New Roman" w:cs="Times New Roman"/>
                <w:color w:val="000000" w:themeColor="text1"/>
                <w:sz w:val="13"/>
                <w:szCs w:val="13"/>
              </w:rPr>
              <w:t>1.05</w:t>
            </w:r>
          </w:p>
        </w:tc>
        <w:tc>
          <w:tcPr>
            <w:tcW w:w="720" w:type="dxa"/>
            <w:tcBorders>
              <w:top w:val="nil"/>
              <w:left w:val="nil"/>
              <w:bottom w:val="nil"/>
              <w:right w:val="nil"/>
            </w:tcBorders>
            <w:noWrap/>
            <w:vAlign w:val="center"/>
            <w:hideMark/>
          </w:tcPr>
          <w:p w14:paraId="284DB360" w14:textId="77777777" w:rsidR="009653CF" w:rsidRPr="00EF6679" w:rsidRDefault="009653CF" w:rsidP="009653CF">
            <w:pPr>
              <w:spacing w:line="240" w:lineRule="auto"/>
              <w:jc w:val="center"/>
              <w:rPr>
                <w:rFonts w:ascii="Times New Roman" w:eastAsia="Times New Roman" w:hAnsi="Times New Roman" w:cs="Times New Roman"/>
                <w:color w:val="000000" w:themeColor="text1"/>
                <w:sz w:val="13"/>
                <w:szCs w:val="13"/>
              </w:rPr>
            </w:pPr>
            <w:r w:rsidRPr="00EF6679">
              <w:rPr>
                <w:rFonts w:ascii="Times New Roman" w:eastAsia="Times New Roman" w:hAnsi="Times New Roman" w:cs="Times New Roman"/>
                <w:color w:val="000000" w:themeColor="text1"/>
                <w:sz w:val="13"/>
                <w:szCs w:val="13"/>
              </w:rPr>
              <w:t>1.16</w:t>
            </w:r>
          </w:p>
        </w:tc>
        <w:tc>
          <w:tcPr>
            <w:tcW w:w="864" w:type="dxa"/>
            <w:tcBorders>
              <w:top w:val="nil"/>
              <w:left w:val="nil"/>
              <w:bottom w:val="nil"/>
              <w:right w:val="nil"/>
            </w:tcBorders>
            <w:noWrap/>
            <w:vAlign w:val="center"/>
            <w:hideMark/>
          </w:tcPr>
          <w:p w14:paraId="47E73CD2" w14:textId="77777777" w:rsidR="009653CF" w:rsidRPr="00EF6679" w:rsidRDefault="009653CF" w:rsidP="009653CF">
            <w:pPr>
              <w:spacing w:line="240" w:lineRule="auto"/>
              <w:jc w:val="center"/>
              <w:rPr>
                <w:rFonts w:ascii="Times New Roman" w:eastAsia="Times New Roman" w:hAnsi="Times New Roman" w:cs="Times New Roman"/>
                <w:color w:val="000000" w:themeColor="text1"/>
                <w:sz w:val="13"/>
                <w:szCs w:val="13"/>
              </w:rPr>
            </w:pPr>
            <w:r w:rsidRPr="00EF6679">
              <w:rPr>
                <w:rFonts w:ascii="Times New Roman" w:eastAsia="Times New Roman" w:hAnsi="Times New Roman" w:cs="Times New Roman"/>
                <w:color w:val="000000" w:themeColor="text1"/>
                <w:sz w:val="13"/>
                <w:szCs w:val="13"/>
              </w:rPr>
              <w:t>0.46</w:t>
            </w:r>
          </w:p>
        </w:tc>
        <w:tc>
          <w:tcPr>
            <w:tcW w:w="410" w:type="dxa"/>
            <w:tcBorders>
              <w:top w:val="nil"/>
              <w:left w:val="nil"/>
              <w:bottom w:val="nil"/>
              <w:right w:val="nil"/>
            </w:tcBorders>
            <w:noWrap/>
          </w:tcPr>
          <w:p w14:paraId="0D15210E" w14:textId="77777777" w:rsidR="009653CF" w:rsidRPr="00EF6679" w:rsidRDefault="009653CF" w:rsidP="009653CF">
            <w:pPr>
              <w:spacing w:line="240" w:lineRule="auto"/>
              <w:jc w:val="right"/>
              <w:rPr>
                <w:rFonts w:ascii="Times New Roman" w:eastAsia="Times New Roman" w:hAnsi="Times New Roman" w:cs="Times New Roman"/>
                <w:color w:val="000000" w:themeColor="text1"/>
                <w:sz w:val="13"/>
                <w:szCs w:val="13"/>
              </w:rPr>
            </w:pPr>
          </w:p>
        </w:tc>
        <w:tc>
          <w:tcPr>
            <w:tcW w:w="864" w:type="dxa"/>
            <w:tcBorders>
              <w:top w:val="nil"/>
              <w:left w:val="nil"/>
              <w:bottom w:val="nil"/>
              <w:right w:val="nil"/>
            </w:tcBorders>
            <w:noWrap/>
            <w:vAlign w:val="bottom"/>
            <w:hideMark/>
          </w:tcPr>
          <w:p w14:paraId="7EA1C49D" w14:textId="77777777" w:rsidR="009653CF" w:rsidRPr="00EF6679" w:rsidRDefault="009653CF" w:rsidP="009653CF">
            <w:pPr>
              <w:spacing w:line="240" w:lineRule="auto"/>
              <w:jc w:val="center"/>
              <w:rPr>
                <w:rFonts w:ascii="Times New Roman" w:eastAsia="Times New Roman" w:hAnsi="Times New Roman" w:cs="Times New Roman"/>
                <w:color w:val="000000" w:themeColor="text1"/>
                <w:sz w:val="13"/>
                <w:szCs w:val="13"/>
              </w:rPr>
            </w:pPr>
            <w:r w:rsidRPr="00EF6679">
              <w:rPr>
                <w:rFonts w:ascii="Times New Roman" w:hAnsi="Times New Roman" w:cs="Times New Roman"/>
                <w:color w:val="000000" w:themeColor="text1"/>
                <w:sz w:val="13"/>
                <w:szCs w:val="13"/>
              </w:rPr>
              <w:t>0.3064</w:t>
            </w:r>
          </w:p>
        </w:tc>
        <w:tc>
          <w:tcPr>
            <w:tcW w:w="720" w:type="dxa"/>
            <w:tcBorders>
              <w:top w:val="nil"/>
              <w:left w:val="nil"/>
              <w:bottom w:val="nil"/>
              <w:right w:val="nil"/>
            </w:tcBorders>
            <w:noWrap/>
            <w:vAlign w:val="bottom"/>
            <w:hideMark/>
          </w:tcPr>
          <w:p w14:paraId="1F00B386" w14:textId="77777777" w:rsidR="009653CF" w:rsidRPr="00EF6679" w:rsidRDefault="009653CF" w:rsidP="009653CF">
            <w:pPr>
              <w:spacing w:line="240" w:lineRule="auto"/>
              <w:jc w:val="center"/>
              <w:rPr>
                <w:rFonts w:ascii="Times New Roman" w:eastAsia="Times New Roman" w:hAnsi="Times New Roman" w:cs="Times New Roman"/>
                <w:color w:val="000000" w:themeColor="text1"/>
                <w:sz w:val="13"/>
                <w:szCs w:val="13"/>
              </w:rPr>
            </w:pPr>
            <w:r w:rsidRPr="00EF6679">
              <w:rPr>
                <w:rFonts w:ascii="Times New Roman" w:hAnsi="Times New Roman" w:cs="Times New Roman"/>
                <w:color w:val="000000" w:themeColor="text1"/>
                <w:sz w:val="13"/>
                <w:szCs w:val="13"/>
              </w:rPr>
              <w:t>0.3191</w:t>
            </w:r>
          </w:p>
        </w:tc>
        <w:tc>
          <w:tcPr>
            <w:tcW w:w="864" w:type="dxa"/>
            <w:tcBorders>
              <w:top w:val="nil"/>
              <w:left w:val="nil"/>
              <w:bottom w:val="nil"/>
              <w:right w:val="nil"/>
            </w:tcBorders>
            <w:noWrap/>
            <w:vAlign w:val="bottom"/>
            <w:hideMark/>
          </w:tcPr>
          <w:p w14:paraId="78F3D226" w14:textId="77777777" w:rsidR="009653CF" w:rsidRPr="00EF6679" w:rsidRDefault="009653CF" w:rsidP="009653CF">
            <w:pPr>
              <w:spacing w:line="240" w:lineRule="auto"/>
              <w:jc w:val="center"/>
              <w:rPr>
                <w:rFonts w:ascii="Times New Roman" w:eastAsia="Times New Roman" w:hAnsi="Times New Roman" w:cs="Times New Roman"/>
                <w:color w:val="000000" w:themeColor="text1"/>
                <w:sz w:val="13"/>
                <w:szCs w:val="13"/>
              </w:rPr>
            </w:pPr>
            <w:r w:rsidRPr="00EF6679">
              <w:rPr>
                <w:rFonts w:ascii="Times New Roman" w:hAnsi="Times New Roman" w:cs="Times New Roman"/>
                <w:color w:val="000000" w:themeColor="text1"/>
                <w:sz w:val="13"/>
                <w:szCs w:val="13"/>
              </w:rPr>
              <w:t>0.9265</w:t>
            </w:r>
          </w:p>
        </w:tc>
      </w:tr>
      <w:tr w:rsidR="009653CF" w:rsidRPr="00EF6679" w14:paraId="5EF14B37" w14:textId="77777777" w:rsidTr="00820288">
        <w:tblPrEx>
          <w:jc w:val="lef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trHeight w:val="144"/>
        </w:trPr>
        <w:tc>
          <w:tcPr>
            <w:tcW w:w="2340" w:type="dxa"/>
            <w:tcBorders>
              <w:top w:val="nil"/>
              <w:left w:val="nil"/>
              <w:bottom w:val="nil"/>
              <w:right w:val="nil"/>
            </w:tcBorders>
            <w:noWrap/>
            <w:hideMark/>
          </w:tcPr>
          <w:p w14:paraId="5F0B470E" w14:textId="77777777" w:rsidR="009653CF" w:rsidRPr="00EF6679" w:rsidRDefault="009653CF" w:rsidP="009653CF">
            <w:pPr>
              <w:spacing w:line="240" w:lineRule="auto"/>
              <w:rPr>
                <w:rFonts w:ascii="Times New Roman" w:eastAsia="Times New Roman" w:hAnsi="Times New Roman" w:cs="Times New Roman"/>
                <w:color w:val="000000" w:themeColor="text1"/>
                <w:sz w:val="13"/>
                <w:szCs w:val="13"/>
              </w:rPr>
            </w:pPr>
            <w:r w:rsidRPr="00EF6679">
              <w:rPr>
                <w:rFonts w:ascii="Times New Roman" w:eastAsia="Times New Roman" w:hAnsi="Times New Roman" w:cs="Times New Roman"/>
                <w:color w:val="000000" w:themeColor="text1"/>
                <w:sz w:val="13"/>
                <w:szCs w:val="13"/>
              </w:rPr>
              <w:t xml:space="preserve">p-Menth-1-en-8-ol        </w:t>
            </w:r>
          </w:p>
        </w:tc>
        <w:tc>
          <w:tcPr>
            <w:tcW w:w="939" w:type="dxa"/>
            <w:tcBorders>
              <w:top w:val="nil"/>
              <w:left w:val="nil"/>
              <w:bottom w:val="nil"/>
              <w:right w:val="nil"/>
            </w:tcBorders>
            <w:noWrap/>
            <w:vAlign w:val="center"/>
            <w:hideMark/>
          </w:tcPr>
          <w:p w14:paraId="4EB1CF3C" w14:textId="77777777" w:rsidR="009653CF" w:rsidRPr="00EF6679" w:rsidRDefault="009653CF" w:rsidP="009653CF">
            <w:pPr>
              <w:spacing w:line="240" w:lineRule="auto"/>
              <w:jc w:val="center"/>
              <w:rPr>
                <w:rFonts w:ascii="Times New Roman" w:eastAsia="Times New Roman" w:hAnsi="Times New Roman" w:cs="Times New Roman"/>
                <w:color w:val="000000" w:themeColor="text1"/>
                <w:sz w:val="13"/>
                <w:szCs w:val="13"/>
              </w:rPr>
            </w:pPr>
            <w:r w:rsidRPr="00EF6679">
              <w:rPr>
                <w:rFonts w:ascii="Times New Roman" w:eastAsia="Times New Roman" w:hAnsi="Times New Roman" w:cs="Times New Roman"/>
                <w:color w:val="000000" w:themeColor="text1"/>
                <w:sz w:val="13"/>
                <w:szCs w:val="13"/>
              </w:rPr>
              <w:t>98-55-5</w:t>
            </w:r>
          </w:p>
        </w:tc>
        <w:tc>
          <w:tcPr>
            <w:tcW w:w="1152" w:type="dxa"/>
            <w:tcBorders>
              <w:top w:val="nil"/>
              <w:left w:val="nil"/>
              <w:bottom w:val="nil"/>
              <w:right w:val="nil"/>
            </w:tcBorders>
            <w:noWrap/>
            <w:vAlign w:val="center"/>
            <w:hideMark/>
          </w:tcPr>
          <w:p w14:paraId="166800E6" w14:textId="77777777" w:rsidR="009653CF" w:rsidRPr="00EF6679" w:rsidRDefault="009653CF" w:rsidP="009653CF">
            <w:pPr>
              <w:spacing w:line="240" w:lineRule="auto"/>
              <w:jc w:val="center"/>
              <w:rPr>
                <w:rFonts w:ascii="Times New Roman" w:eastAsia="Times New Roman" w:hAnsi="Times New Roman" w:cs="Times New Roman"/>
                <w:color w:val="000000" w:themeColor="text1"/>
                <w:sz w:val="13"/>
                <w:szCs w:val="13"/>
              </w:rPr>
            </w:pPr>
            <w:r w:rsidRPr="00EF6679">
              <w:rPr>
                <w:rFonts w:ascii="Times New Roman" w:eastAsia="Times New Roman" w:hAnsi="Times New Roman" w:cs="Times New Roman"/>
                <w:color w:val="000000" w:themeColor="text1"/>
                <w:sz w:val="13"/>
                <w:szCs w:val="13"/>
              </w:rPr>
              <w:t>19.646</w:t>
            </w:r>
          </w:p>
        </w:tc>
        <w:tc>
          <w:tcPr>
            <w:tcW w:w="864" w:type="dxa"/>
            <w:tcBorders>
              <w:top w:val="nil"/>
              <w:left w:val="nil"/>
              <w:bottom w:val="nil"/>
              <w:right w:val="nil"/>
            </w:tcBorders>
            <w:noWrap/>
            <w:vAlign w:val="center"/>
            <w:hideMark/>
          </w:tcPr>
          <w:p w14:paraId="2EF731B3" w14:textId="77777777" w:rsidR="009653CF" w:rsidRPr="00EF6679" w:rsidRDefault="009653CF" w:rsidP="009653CF">
            <w:pPr>
              <w:spacing w:line="240" w:lineRule="auto"/>
              <w:jc w:val="center"/>
              <w:rPr>
                <w:rFonts w:ascii="Times New Roman" w:eastAsia="Times New Roman" w:hAnsi="Times New Roman" w:cs="Times New Roman"/>
                <w:color w:val="000000" w:themeColor="text1"/>
                <w:sz w:val="13"/>
                <w:szCs w:val="13"/>
              </w:rPr>
            </w:pPr>
            <w:r w:rsidRPr="00EF6679">
              <w:rPr>
                <w:rFonts w:ascii="Times New Roman" w:eastAsia="Times New Roman" w:hAnsi="Times New Roman" w:cs="Times New Roman"/>
                <w:color w:val="000000" w:themeColor="text1"/>
                <w:sz w:val="13"/>
                <w:szCs w:val="13"/>
              </w:rPr>
              <w:t>23.79</w:t>
            </w:r>
          </w:p>
        </w:tc>
        <w:tc>
          <w:tcPr>
            <w:tcW w:w="720" w:type="dxa"/>
            <w:tcBorders>
              <w:top w:val="nil"/>
              <w:left w:val="nil"/>
              <w:bottom w:val="nil"/>
              <w:right w:val="nil"/>
            </w:tcBorders>
            <w:noWrap/>
            <w:vAlign w:val="center"/>
            <w:hideMark/>
          </w:tcPr>
          <w:p w14:paraId="5C3A7811" w14:textId="77777777" w:rsidR="009653CF" w:rsidRPr="00EF6679" w:rsidRDefault="009653CF" w:rsidP="009653CF">
            <w:pPr>
              <w:spacing w:line="240" w:lineRule="auto"/>
              <w:jc w:val="center"/>
              <w:rPr>
                <w:rFonts w:ascii="Times New Roman" w:eastAsia="Times New Roman" w:hAnsi="Times New Roman" w:cs="Times New Roman"/>
                <w:color w:val="000000" w:themeColor="text1"/>
                <w:sz w:val="13"/>
                <w:szCs w:val="13"/>
              </w:rPr>
            </w:pPr>
            <w:r w:rsidRPr="00EF6679">
              <w:rPr>
                <w:rFonts w:ascii="Times New Roman" w:eastAsia="Times New Roman" w:hAnsi="Times New Roman" w:cs="Times New Roman"/>
                <w:color w:val="000000" w:themeColor="text1"/>
                <w:sz w:val="13"/>
                <w:szCs w:val="13"/>
              </w:rPr>
              <w:t>1.55</w:t>
            </w:r>
          </w:p>
        </w:tc>
        <w:tc>
          <w:tcPr>
            <w:tcW w:w="864" w:type="dxa"/>
            <w:tcBorders>
              <w:top w:val="nil"/>
              <w:left w:val="nil"/>
              <w:bottom w:val="nil"/>
              <w:right w:val="nil"/>
            </w:tcBorders>
            <w:noWrap/>
            <w:vAlign w:val="center"/>
            <w:hideMark/>
          </w:tcPr>
          <w:p w14:paraId="4A1D0E6C" w14:textId="77777777" w:rsidR="009653CF" w:rsidRPr="00EF6679" w:rsidRDefault="009653CF" w:rsidP="009653CF">
            <w:pPr>
              <w:spacing w:line="240" w:lineRule="auto"/>
              <w:jc w:val="center"/>
              <w:rPr>
                <w:rFonts w:ascii="Times New Roman" w:eastAsia="Times New Roman" w:hAnsi="Times New Roman" w:cs="Times New Roman"/>
                <w:color w:val="000000" w:themeColor="text1"/>
                <w:sz w:val="13"/>
                <w:szCs w:val="13"/>
              </w:rPr>
            </w:pPr>
            <w:r w:rsidRPr="00EF6679">
              <w:rPr>
                <w:rFonts w:ascii="Times New Roman" w:eastAsia="Times New Roman" w:hAnsi="Times New Roman" w:cs="Times New Roman"/>
                <w:color w:val="000000" w:themeColor="text1"/>
                <w:sz w:val="13"/>
                <w:szCs w:val="13"/>
              </w:rPr>
              <w:t>2.05</w:t>
            </w:r>
          </w:p>
        </w:tc>
        <w:tc>
          <w:tcPr>
            <w:tcW w:w="410" w:type="dxa"/>
            <w:tcBorders>
              <w:top w:val="nil"/>
              <w:left w:val="nil"/>
              <w:bottom w:val="nil"/>
              <w:right w:val="nil"/>
            </w:tcBorders>
            <w:noWrap/>
          </w:tcPr>
          <w:p w14:paraId="57BF34CD" w14:textId="77777777" w:rsidR="009653CF" w:rsidRPr="00EF6679" w:rsidRDefault="009653CF" w:rsidP="009653CF">
            <w:pPr>
              <w:spacing w:line="240" w:lineRule="auto"/>
              <w:jc w:val="right"/>
              <w:rPr>
                <w:rFonts w:ascii="Times New Roman" w:eastAsia="Times New Roman" w:hAnsi="Times New Roman" w:cs="Times New Roman"/>
                <w:color w:val="000000" w:themeColor="text1"/>
                <w:sz w:val="13"/>
                <w:szCs w:val="13"/>
              </w:rPr>
            </w:pPr>
          </w:p>
        </w:tc>
        <w:tc>
          <w:tcPr>
            <w:tcW w:w="864" w:type="dxa"/>
            <w:tcBorders>
              <w:top w:val="nil"/>
              <w:left w:val="nil"/>
              <w:bottom w:val="nil"/>
              <w:right w:val="nil"/>
            </w:tcBorders>
            <w:noWrap/>
            <w:vAlign w:val="bottom"/>
            <w:hideMark/>
          </w:tcPr>
          <w:p w14:paraId="5D598811" w14:textId="77777777" w:rsidR="009653CF" w:rsidRPr="00EF6679" w:rsidRDefault="009653CF" w:rsidP="009653CF">
            <w:pPr>
              <w:spacing w:line="240" w:lineRule="auto"/>
              <w:jc w:val="center"/>
              <w:rPr>
                <w:rFonts w:ascii="Times New Roman" w:eastAsia="Times New Roman" w:hAnsi="Times New Roman" w:cs="Times New Roman"/>
                <w:color w:val="000000" w:themeColor="text1"/>
                <w:sz w:val="13"/>
                <w:szCs w:val="13"/>
              </w:rPr>
            </w:pPr>
            <w:r w:rsidRPr="00EF6679">
              <w:rPr>
                <w:rFonts w:ascii="Times New Roman" w:hAnsi="Times New Roman" w:cs="Times New Roman"/>
                <w:color w:val="000000" w:themeColor="text1"/>
                <w:sz w:val="13"/>
                <w:szCs w:val="13"/>
              </w:rPr>
              <w:t xml:space="preserve">&lt;.0001 </w:t>
            </w:r>
          </w:p>
        </w:tc>
        <w:tc>
          <w:tcPr>
            <w:tcW w:w="720" w:type="dxa"/>
            <w:tcBorders>
              <w:top w:val="nil"/>
              <w:left w:val="nil"/>
              <w:bottom w:val="nil"/>
              <w:right w:val="nil"/>
            </w:tcBorders>
            <w:noWrap/>
            <w:vAlign w:val="bottom"/>
            <w:hideMark/>
          </w:tcPr>
          <w:p w14:paraId="4EC5EE15" w14:textId="77777777" w:rsidR="009653CF" w:rsidRPr="00EF6679" w:rsidRDefault="009653CF" w:rsidP="009653CF">
            <w:pPr>
              <w:spacing w:line="240" w:lineRule="auto"/>
              <w:jc w:val="center"/>
              <w:rPr>
                <w:rFonts w:ascii="Times New Roman" w:eastAsia="Times New Roman" w:hAnsi="Times New Roman" w:cs="Times New Roman"/>
                <w:color w:val="000000" w:themeColor="text1"/>
                <w:sz w:val="13"/>
                <w:szCs w:val="13"/>
              </w:rPr>
            </w:pPr>
            <w:r w:rsidRPr="00EF6679">
              <w:rPr>
                <w:rFonts w:ascii="Times New Roman" w:hAnsi="Times New Roman" w:cs="Times New Roman"/>
                <w:color w:val="000000" w:themeColor="text1"/>
                <w:sz w:val="13"/>
                <w:szCs w:val="13"/>
              </w:rPr>
              <w:t>0.1150</w:t>
            </w:r>
          </w:p>
        </w:tc>
        <w:tc>
          <w:tcPr>
            <w:tcW w:w="864" w:type="dxa"/>
            <w:tcBorders>
              <w:top w:val="nil"/>
              <w:left w:val="nil"/>
              <w:bottom w:val="nil"/>
              <w:right w:val="nil"/>
            </w:tcBorders>
            <w:noWrap/>
            <w:vAlign w:val="bottom"/>
            <w:hideMark/>
          </w:tcPr>
          <w:p w14:paraId="1A4B89C7" w14:textId="77777777" w:rsidR="009653CF" w:rsidRPr="00EF6679" w:rsidRDefault="009653CF" w:rsidP="009653CF">
            <w:pPr>
              <w:spacing w:line="240" w:lineRule="auto"/>
              <w:jc w:val="center"/>
              <w:rPr>
                <w:rFonts w:ascii="Times New Roman" w:eastAsia="Times New Roman" w:hAnsi="Times New Roman" w:cs="Times New Roman"/>
                <w:color w:val="000000" w:themeColor="text1"/>
                <w:sz w:val="13"/>
                <w:szCs w:val="13"/>
              </w:rPr>
            </w:pPr>
            <w:r w:rsidRPr="00EF6679">
              <w:rPr>
                <w:rFonts w:ascii="Times New Roman" w:hAnsi="Times New Roman" w:cs="Times New Roman"/>
                <w:color w:val="000000" w:themeColor="text1"/>
                <w:sz w:val="13"/>
                <w:szCs w:val="13"/>
              </w:rPr>
              <w:t>0.0256</w:t>
            </w:r>
          </w:p>
        </w:tc>
      </w:tr>
      <w:tr w:rsidR="009653CF" w:rsidRPr="00EF6679" w14:paraId="3B073019" w14:textId="77777777" w:rsidTr="00820288">
        <w:tblPrEx>
          <w:jc w:val="lef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trHeight w:val="144"/>
        </w:trPr>
        <w:tc>
          <w:tcPr>
            <w:tcW w:w="2340" w:type="dxa"/>
            <w:tcBorders>
              <w:top w:val="nil"/>
              <w:left w:val="nil"/>
              <w:bottom w:val="nil"/>
              <w:right w:val="nil"/>
            </w:tcBorders>
            <w:noWrap/>
            <w:hideMark/>
          </w:tcPr>
          <w:p w14:paraId="69DF7876" w14:textId="77777777" w:rsidR="009653CF" w:rsidRPr="00EF6679" w:rsidRDefault="009653CF" w:rsidP="009653CF">
            <w:pPr>
              <w:spacing w:line="240" w:lineRule="auto"/>
              <w:rPr>
                <w:rFonts w:ascii="Times New Roman" w:eastAsia="Times New Roman" w:hAnsi="Times New Roman" w:cs="Times New Roman"/>
                <w:color w:val="000000" w:themeColor="text1"/>
                <w:sz w:val="13"/>
                <w:szCs w:val="13"/>
              </w:rPr>
            </w:pPr>
            <w:r w:rsidRPr="00EF6679">
              <w:rPr>
                <w:rFonts w:ascii="Times New Roman" w:eastAsia="Times New Roman" w:hAnsi="Times New Roman" w:cs="Times New Roman"/>
                <w:color w:val="000000" w:themeColor="text1"/>
                <w:sz w:val="13"/>
                <w:szCs w:val="13"/>
              </w:rPr>
              <w:t xml:space="preserve">Methyl Salicylate        </w:t>
            </w:r>
          </w:p>
        </w:tc>
        <w:tc>
          <w:tcPr>
            <w:tcW w:w="939" w:type="dxa"/>
            <w:tcBorders>
              <w:top w:val="nil"/>
              <w:left w:val="nil"/>
              <w:bottom w:val="nil"/>
              <w:right w:val="nil"/>
            </w:tcBorders>
            <w:noWrap/>
            <w:vAlign w:val="center"/>
            <w:hideMark/>
          </w:tcPr>
          <w:p w14:paraId="3D1D2DE5" w14:textId="77777777" w:rsidR="009653CF" w:rsidRPr="00EF6679" w:rsidRDefault="009653CF" w:rsidP="009653CF">
            <w:pPr>
              <w:spacing w:line="240" w:lineRule="auto"/>
              <w:jc w:val="center"/>
              <w:rPr>
                <w:rFonts w:ascii="Times New Roman" w:eastAsia="Times New Roman" w:hAnsi="Times New Roman" w:cs="Times New Roman"/>
                <w:color w:val="000000" w:themeColor="text1"/>
                <w:sz w:val="13"/>
                <w:szCs w:val="13"/>
              </w:rPr>
            </w:pPr>
            <w:r w:rsidRPr="00EF6679">
              <w:rPr>
                <w:rFonts w:ascii="Times New Roman" w:eastAsia="Times New Roman" w:hAnsi="Times New Roman" w:cs="Times New Roman"/>
                <w:color w:val="000000" w:themeColor="text1"/>
                <w:sz w:val="13"/>
                <w:szCs w:val="13"/>
              </w:rPr>
              <w:t>119-36-8</w:t>
            </w:r>
          </w:p>
        </w:tc>
        <w:tc>
          <w:tcPr>
            <w:tcW w:w="1152" w:type="dxa"/>
            <w:tcBorders>
              <w:top w:val="nil"/>
              <w:left w:val="nil"/>
              <w:bottom w:val="nil"/>
              <w:right w:val="nil"/>
            </w:tcBorders>
            <w:noWrap/>
            <w:vAlign w:val="center"/>
            <w:hideMark/>
          </w:tcPr>
          <w:p w14:paraId="23767AAB" w14:textId="77777777" w:rsidR="009653CF" w:rsidRPr="00EF6679" w:rsidRDefault="009653CF" w:rsidP="009653CF">
            <w:pPr>
              <w:spacing w:line="240" w:lineRule="auto"/>
              <w:jc w:val="center"/>
              <w:rPr>
                <w:rFonts w:ascii="Times New Roman" w:eastAsia="Times New Roman" w:hAnsi="Times New Roman" w:cs="Times New Roman"/>
                <w:color w:val="000000" w:themeColor="text1"/>
                <w:sz w:val="13"/>
                <w:szCs w:val="13"/>
              </w:rPr>
            </w:pPr>
            <w:r w:rsidRPr="00EF6679">
              <w:rPr>
                <w:rFonts w:ascii="Times New Roman" w:eastAsia="Times New Roman" w:hAnsi="Times New Roman" w:cs="Times New Roman"/>
                <w:color w:val="000000" w:themeColor="text1"/>
                <w:sz w:val="13"/>
                <w:szCs w:val="13"/>
              </w:rPr>
              <w:t>19.745</w:t>
            </w:r>
          </w:p>
        </w:tc>
        <w:tc>
          <w:tcPr>
            <w:tcW w:w="864" w:type="dxa"/>
            <w:tcBorders>
              <w:top w:val="nil"/>
              <w:left w:val="nil"/>
              <w:bottom w:val="nil"/>
              <w:right w:val="nil"/>
            </w:tcBorders>
            <w:noWrap/>
            <w:vAlign w:val="center"/>
            <w:hideMark/>
          </w:tcPr>
          <w:p w14:paraId="134CA8BF" w14:textId="77777777" w:rsidR="009653CF" w:rsidRPr="00EF6679" w:rsidRDefault="009653CF" w:rsidP="009653CF">
            <w:pPr>
              <w:spacing w:line="240" w:lineRule="auto"/>
              <w:jc w:val="center"/>
              <w:rPr>
                <w:rFonts w:ascii="Times New Roman" w:eastAsia="Times New Roman" w:hAnsi="Times New Roman" w:cs="Times New Roman"/>
                <w:color w:val="000000" w:themeColor="text1"/>
                <w:sz w:val="13"/>
                <w:szCs w:val="13"/>
              </w:rPr>
            </w:pPr>
            <w:r w:rsidRPr="00EF6679">
              <w:rPr>
                <w:rFonts w:ascii="Times New Roman" w:eastAsia="Times New Roman" w:hAnsi="Times New Roman" w:cs="Times New Roman"/>
                <w:color w:val="000000" w:themeColor="text1"/>
                <w:sz w:val="13"/>
                <w:szCs w:val="13"/>
              </w:rPr>
              <w:t>65.69</w:t>
            </w:r>
          </w:p>
        </w:tc>
        <w:tc>
          <w:tcPr>
            <w:tcW w:w="720" w:type="dxa"/>
            <w:tcBorders>
              <w:top w:val="nil"/>
              <w:left w:val="nil"/>
              <w:bottom w:val="nil"/>
              <w:right w:val="nil"/>
            </w:tcBorders>
            <w:noWrap/>
            <w:vAlign w:val="center"/>
            <w:hideMark/>
          </w:tcPr>
          <w:p w14:paraId="7EF26AD2" w14:textId="77777777" w:rsidR="009653CF" w:rsidRPr="00EF6679" w:rsidRDefault="009653CF" w:rsidP="009653CF">
            <w:pPr>
              <w:spacing w:line="240" w:lineRule="auto"/>
              <w:jc w:val="center"/>
              <w:rPr>
                <w:rFonts w:ascii="Times New Roman" w:eastAsia="Times New Roman" w:hAnsi="Times New Roman" w:cs="Times New Roman"/>
                <w:color w:val="000000" w:themeColor="text1"/>
                <w:sz w:val="13"/>
                <w:szCs w:val="13"/>
              </w:rPr>
            </w:pPr>
            <w:r w:rsidRPr="00EF6679">
              <w:rPr>
                <w:rFonts w:ascii="Times New Roman" w:eastAsia="Times New Roman" w:hAnsi="Times New Roman" w:cs="Times New Roman"/>
                <w:color w:val="000000" w:themeColor="text1"/>
                <w:sz w:val="13"/>
                <w:szCs w:val="13"/>
              </w:rPr>
              <w:t>1.21</w:t>
            </w:r>
          </w:p>
        </w:tc>
        <w:tc>
          <w:tcPr>
            <w:tcW w:w="864" w:type="dxa"/>
            <w:tcBorders>
              <w:top w:val="nil"/>
              <w:left w:val="nil"/>
              <w:bottom w:val="nil"/>
              <w:right w:val="nil"/>
            </w:tcBorders>
            <w:noWrap/>
            <w:vAlign w:val="center"/>
            <w:hideMark/>
          </w:tcPr>
          <w:p w14:paraId="34F8E669" w14:textId="77777777" w:rsidR="009653CF" w:rsidRPr="00EF6679" w:rsidRDefault="009653CF" w:rsidP="009653CF">
            <w:pPr>
              <w:spacing w:line="240" w:lineRule="auto"/>
              <w:jc w:val="center"/>
              <w:rPr>
                <w:rFonts w:ascii="Times New Roman" w:eastAsia="Times New Roman" w:hAnsi="Times New Roman" w:cs="Times New Roman"/>
                <w:color w:val="000000" w:themeColor="text1"/>
                <w:sz w:val="13"/>
                <w:szCs w:val="13"/>
              </w:rPr>
            </w:pPr>
            <w:r w:rsidRPr="00EF6679">
              <w:rPr>
                <w:rFonts w:ascii="Times New Roman" w:eastAsia="Times New Roman" w:hAnsi="Times New Roman" w:cs="Times New Roman"/>
                <w:color w:val="000000" w:themeColor="text1"/>
                <w:sz w:val="13"/>
                <w:szCs w:val="13"/>
              </w:rPr>
              <w:t>1.28</w:t>
            </w:r>
          </w:p>
        </w:tc>
        <w:tc>
          <w:tcPr>
            <w:tcW w:w="410" w:type="dxa"/>
            <w:tcBorders>
              <w:top w:val="nil"/>
              <w:left w:val="nil"/>
              <w:bottom w:val="nil"/>
              <w:right w:val="nil"/>
            </w:tcBorders>
            <w:noWrap/>
          </w:tcPr>
          <w:p w14:paraId="4BAC282E" w14:textId="77777777" w:rsidR="009653CF" w:rsidRPr="00EF6679" w:rsidRDefault="009653CF" w:rsidP="009653CF">
            <w:pPr>
              <w:spacing w:line="240" w:lineRule="auto"/>
              <w:jc w:val="right"/>
              <w:rPr>
                <w:rFonts w:ascii="Times New Roman" w:eastAsia="Times New Roman" w:hAnsi="Times New Roman" w:cs="Times New Roman"/>
                <w:color w:val="000000" w:themeColor="text1"/>
                <w:sz w:val="13"/>
                <w:szCs w:val="13"/>
              </w:rPr>
            </w:pPr>
          </w:p>
        </w:tc>
        <w:tc>
          <w:tcPr>
            <w:tcW w:w="864" w:type="dxa"/>
            <w:tcBorders>
              <w:top w:val="nil"/>
              <w:left w:val="nil"/>
              <w:bottom w:val="nil"/>
              <w:right w:val="nil"/>
            </w:tcBorders>
            <w:noWrap/>
            <w:vAlign w:val="bottom"/>
            <w:hideMark/>
          </w:tcPr>
          <w:p w14:paraId="268E44FA" w14:textId="77777777" w:rsidR="009653CF" w:rsidRPr="00EF6679" w:rsidRDefault="009653CF" w:rsidP="009653CF">
            <w:pPr>
              <w:spacing w:line="240" w:lineRule="auto"/>
              <w:jc w:val="center"/>
              <w:rPr>
                <w:rFonts w:ascii="Times New Roman" w:eastAsia="Times New Roman" w:hAnsi="Times New Roman" w:cs="Times New Roman"/>
                <w:color w:val="000000" w:themeColor="text1"/>
                <w:sz w:val="13"/>
                <w:szCs w:val="13"/>
              </w:rPr>
            </w:pPr>
            <w:r w:rsidRPr="00EF6679">
              <w:rPr>
                <w:rFonts w:ascii="Times New Roman" w:hAnsi="Times New Roman" w:cs="Times New Roman"/>
                <w:color w:val="000000" w:themeColor="text1"/>
                <w:sz w:val="13"/>
                <w:szCs w:val="13"/>
              </w:rPr>
              <w:t xml:space="preserve">&lt;.0001 </w:t>
            </w:r>
          </w:p>
        </w:tc>
        <w:tc>
          <w:tcPr>
            <w:tcW w:w="720" w:type="dxa"/>
            <w:tcBorders>
              <w:top w:val="nil"/>
              <w:left w:val="nil"/>
              <w:bottom w:val="nil"/>
              <w:right w:val="nil"/>
            </w:tcBorders>
            <w:noWrap/>
            <w:vAlign w:val="bottom"/>
            <w:hideMark/>
          </w:tcPr>
          <w:p w14:paraId="3AF9039C" w14:textId="77777777" w:rsidR="009653CF" w:rsidRPr="00EF6679" w:rsidRDefault="009653CF" w:rsidP="009653CF">
            <w:pPr>
              <w:spacing w:line="240" w:lineRule="auto"/>
              <w:jc w:val="center"/>
              <w:rPr>
                <w:rFonts w:ascii="Times New Roman" w:eastAsia="Times New Roman" w:hAnsi="Times New Roman" w:cs="Times New Roman"/>
                <w:color w:val="000000" w:themeColor="text1"/>
                <w:sz w:val="13"/>
                <w:szCs w:val="13"/>
              </w:rPr>
            </w:pPr>
            <w:r w:rsidRPr="00EF6679">
              <w:rPr>
                <w:rFonts w:ascii="Times New Roman" w:hAnsi="Times New Roman" w:cs="Times New Roman"/>
                <w:color w:val="000000" w:themeColor="text1"/>
                <w:sz w:val="13"/>
                <w:szCs w:val="13"/>
              </w:rPr>
              <w:t>0.2825</w:t>
            </w:r>
          </w:p>
        </w:tc>
        <w:tc>
          <w:tcPr>
            <w:tcW w:w="864" w:type="dxa"/>
            <w:tcBorders>
              <w:top w:val="nil"/>
              <w:left w:val="nil"/>
              <w:bottom w:val="nil"/>
              <w:right w:val="nil"/>
            </w:tcBorders>
            <w:noWrap/>
            <w:vAlign w:val="bottom"/>
            <w:hideMark/>
          </w:tcPr>
          <w:p w14:paraId="7E0C5AE0" w14:textId="77777777" w:rsidR="009653CF" w:rsidRPr="00EF6679" w:rsidRDefault="009653CF" w:rsidP="009653CF">
            <w:pPr>
              <w:spacing w:line="240" w:lineRule="auto"/>
              <w:jc w:val="center"/>
              <w:rPr>
                <w:rFonts w:ascii="Times New Roman" w:eastAsia="Times New Roman" w:hAnsi="Times New Roman" w:cs="Times New Roman"/>
                <w:color w:val="000000" w:themeColor="text1"/>
                <w:sz w:val="13"/>
                <w:szCs w:val="13"/>
              </w:rPr>
            </w:pPr>
            <w:r w:rsidRPr="00EF6679">
              <w:rPr>
                <w:rFonts w:ascii="Times New Roman" w:hAnsi="Times New Roman" w:cs="Times New Roman"/>
                <w:color w:val="000000" w:themeColor="text1"/>
                <w:sz w:val="13"/>
                <w:szCs w:val="13"/>
              </w:rPr>
              <w:t>0.2399</w:t>
            </w:r>
          </w:p>
        </w:tc>
      </w:tr>
      <w:tr w:rsidR="009653CF" w:rsidRPr="00EF6679" w14:paraId="68661641" w14:textId="77777777" w:rsidTr="00820288">
        <w:tblPrEx>
          <w:jc w:val="lef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trHeight w:val="144"/>
        </w:trPr>
        <w:tc>
          <w:tcPr>
            <w:tcW w:w="2340" w:type="dxa"/>
            <w:tcBorders>
              <w:top w:val="nil"/>
              <w:left w:val="nil"/>
              <w:bottom w:val="nil"/>
              <w:right w:val="nil"/>
            </w:tcBorders>
            <w:noWrap/>
            <w:hideMark/>
          </w:tcPr>
          <w:p w14:paraId="1DCCF824" w14:textId="77777777" w:rsidR="009653CF" w:rsidRPr="00EF6679" w:rsidRDefault="009653CF" w:rsidP="009653CF">
            <w:pPr>
              <w:spacing w:line="240" w:lineRule="auto"/>
              <w:rPr>
                <w:rFonts w:ascii="Times New Roman" w:eastAsia="Times New Roman" w:hAnsi="Times New Roman" w:cs="Times New Roman"/>
                <w:color w:val="000000" w:themeColor="text1"/>
                <w:sz w:val="13"/>
                <w:szCs w:val="13"/>
              </w:rPr>
            </w:pPr>
            <w:r w:rsidRPr="00EF6679">
              <w:rPr>
                <w:rFonts w:ascii="Times New Roman" w:eastAsia="Times New Roman" w:hAnsi="Times New Roman" w:cs="Times New Roman"/>
                <w:color w:val="000000" w:themeColor="text1"/>
                <w:sz w:val="13"/>
                <w:szCs w:val="13"/>
              </w:rPr>
              <w:t>2-methyl-2-Hepten-4-yne</w:t>
            </w:r>
          </w:p>
        </w:tc>
        <w:tc>
          <w:tcPr>
            <w:tcW w:w="939" w:type="dxa"/>
            <w:tcBorders>
              <w:top w:val="nil"/>
              <w:left w:val="nil"/>
              <w:bottom w:val="nil"/>
              <w:right w:val="nil"/>
            </w:tcBorders>
            <w:noWrap/>
            <w:vAlign w:val="center"/>
            <w:hideMark/>
          </w:tcPr>
          <w:p w14:paraId="5B583460" w14:textId="77777777" w:rsidR="009653CF" w:rsidRPr="00EF6679" w:rsidRDefault="009653CF" w:rsidP="009653CF">
            <w:pPr>
              <w:spacing w:line="240" w:lineRule="auto"/>
              <w:jc w:val="center"/>
              <w:rPr>
                <w:rFonts w:ascii="Times New Roman" w:eastAsia="Times New Roman" w:hAnsi="Times New Roman" w:cs="Times New Roman"/>
                <w:color w:val="000000" w:themeColor="text1"/>
                <w:sz w:val="13"/>
                <w:szCs w:val="13"/>
              </w:rPr>
            </w:pPr>
            <w:r w:rsidRPr="00EF6679">
              <w:rPr>
                <w:rFonts w:ascii="Times New Roman" w:eastAsia="Times New Roman" w:hAnsi="Times New Roman" w:cs="Times New Roman"/>
                <w:color w:val="000000" w:themeColor="text1"/>
                <w:sz w:val="13"/>
                <w:szCs w:val="13"/>
              </w:rPr>
              <w:t>58275-91-5</w:t>
            </w:r>
          </w:p>
        </w:tc>
        <w:tc>
          <w:tcPr>
            <w:tcW w:w="1152" w:type="dxa"/>
            <w:tcBorders>
              <w:top w:val="nil"/>
              <w:left w:val="nil"/>
              <w:bottom w:val="nil"/>
              <w:right w:val="nil"/>
            </w:tcBorders>
            <w:noWrap/>
            <w:vAlign w:val="center"/>
            <w:hideMark/>
          </w:tcPr>
          <w:p w14:paraId="61DE22A9" w14:textId="77777777" w:rsidR="009653CF" w:rsidRPr="00EF6679" w:rsidRDefault="009653CF" w:rsidP="009653CF">
            <w:pPr>
              <w:spacing w:line="240" w:lineRule="auto"/>
              <w:jc w:val="center"/>
              <w:rPr>
                <w:rFonts w:ascii="Times New Roman" w:eastAsia="Times New Roman" w:hAnsi="Times New Roman" w:cs="Times New Roman"/>
                <w:color w:val="000000" w:themeColor="text1"/>
                <w:sz w:val="13"/>
                <w:szCs w:val="13"/>
              </w:rPr>
            </w:pPr>
            <w:r w:rsidRPr="00EF6679">
              <w:rPr>
                <w:rFonts w:ascii="Times New Roman" w:eastAsia="Times New Roman" w:hAnsi="Times New Roman" w:cs="Times New Roman"/>
                <w:color w:val="000000" w:themeColor="text1"/>
                <w:sz w:val="13"/>
                <w:szCs w:val="13"/>
              </w:rPr>
              <w:t>19.765</w:t>
            </w:r>
          </w:p>
        </w:tc>
        <w:tc>
          <w:tcPr>
            <w:tcW w:w="864" w:type="dxa"/>
            <w:tcBorders>
              <w:top w:val="nil"/>
              <w:left w:val="nil"/>
              <w:bottom w:val="nil"/>
              <w:right w:val="nil"/>
            </w:tcBorders>
            <w:noWrap/>
            <w:vAlign w:val="center"/>
            <w:hideMark/>
          </w:tcPr>
          <w:p w14:paraId="21E49ACB" w14:textId="77777777" w:rsidR="009653CF" w:rsidRPr="00EF6679" w:rsidRDefault="009653CF" w:rsidP="009653CF">
            <w:pPr>
              <w:spacing w:line="240" w:lineRule="auto"/>
              <w:jc w:val="center"/>
              <w:rPr>
                <w:rFonts w:ascii="Times New Roman" w:eastAsia="Times New Roman" w:hAnsi="Times New Roman" w:cs="Times New Roman"/>
                <w:color w:val="000000" w:themeColor="text1"/>
                <w:sz w:val="13"/>
                <w:szCs w:val="13"/>
              </w:rPr>
            </w:pPr>
            <w:r w:rsidRPr="00EF6679">
              <w:rPr>
                <w:rFonts w:ascii="Times New Roman" w:eastAsia="Times New Roman" w:hAnsi="Times New Roman" w:cs="Times New Roman"/>
                <w:color w:val="000000" w:themeColor="text1"/>
                <w:sz w:val="13"/>
                <w:szCs w:val="13"/>
              </w:rPr>
              <w:t>46.60</w:t>
            </w:r>
          </w:p>
        </w:tc>
        <w:tc>
          <w:tcPr>
            <w:tcW w:w="720" w:type="dxa"/>
            <w:tcBorders>
              <w:top w:val="nil"/>
              <w:left w:val="nil"/>
              <w:bottom w:val="nil"/>
              <w:right w:val="nil"/>
            </w:tcBorders>
            <w:noWrap/>
            <w:vAlign w:val="center"/>
            <w:hideMark/>
          </w:tcPr>
          <w:p w14:paraId="5A1318B7" w14:textId="77777777" w:rsidR="009653CF" w:rsidRPr="00EF6679" w:rsidRDefault="009653CF" w:rsidP="009653CF">
            <w:pPr>
              <w:spacing w:line="240" w:lineRule="auto"/>
              <w:jc w:val="center"/>
              <w:rPr>
                <w:rFonts w:ascii="Times New Roman" w:eastAsia="Times New Roman" w:hAnsi="Times New Roman" w:cs="Times New Roman"/>
                <w:color w:val="000000" w:themeColor="text1"/>
                <w:sz w:val="13"/>
                <w:szCs w:val="13"/>
              </w:rPr>
            </w:pPr>
            <w:r w:rsidRPr="00EF6679">
              <w:rPr>
                <w:rFonts w:ascii="Times New Roman" w:eastAsia="Times New Roman" w:hAnsi="Times New Roman" w:cs="Times New Roman"/>
                <w:color w:val="000000" w:themeColor="text1"/>
                <w:sz w:val="13"/>
                <w:szCs w:val="13"/>
              </w:rPr>
              <w:t>1.26</w:t>
            </w:r>
          </w:p>
        </w:tc>
        <w:tc>
          <w:tcPr>
            <w:tcW w:w="864" w:type="dxa"/>
            <w:tcBorders>
              <w:top w:val="nil"/>
              <w:left w:val="nil"/>
              <w:bottom w:val="nil"/>
              <w:right w:val="nil"/>
            </w:tcBorders>
            <w:noWrap/>
            <w:vAlign w:val="center"/>
            <w:hideMark/>
          </w:tcPr>
          <w:p w14:paraId="29A7FC73" w14:textId="77777777" w:rsidR="009653CF" w:rsidRPr="00EF6679" w:rsidRDefault="009653CF" w:rsidP="009653CF">
            <w:pPr>
              <w:spacing w:line="240" w:lineRule="auto"/>
              <w:jc w:val="center"/>
              <w:rPr>
                <w:rFonts w:ascii="Times New Roman" w:eastAsia="Times New Roman" w:hAnsi="Times New Roman" w:cs="Times New Roman"/>
                <w:color w:val="000000" w:themeColor="text1"/>
                <w:sz w:val="13"/>
                <w:szCs w:val="13"/>
              </w:rPr>
            </w:pPr>
            <w:r w:rsidRPr="00EF6679">
              <w:rPr>
                <w:rFonts w:ascii="Times New Roman" w:eastAsia="Times New Roman" w:hAnsi="Times New Roman" w:cs="Times New Roman"/>
                <w:color w:val="000000" w:themeColor="text1"/>
                <w:sz w:val="13"/>
                <w:szCs w:val="13"/>
              </w:rPr>
              <w:t>1.53</w:t>
            </w:r>
          </w:p>
        </w:tc>
        <w:tc>
          <w:tcPr>
            <w:tcW w:w="410" w:type="dxa"/>
            <w:tcBorders>
              <w:top w:val="nil"/>
              <w:left w:val="nil"/>
              <w:bottom w:val="nil"/>
              <w:right w:val="nil"/>
            </w:tcBorders>
            <w:noWrap/>
          </w:tcPr>
          <w:p w14:paraId="2C8C84B2" w14:textId="77777777" w:rsidR="009653CF" w:rsidRPr="00EF6679" w:rsidRDefault="009653CF" w:rsidP="009653CF">
            <w:pPr>
              <w:spacing w:line="240" w:lineRule="auto"/>
              <w:jc w:val="right"/>
              <w:rPr>
                <w:rFonts w:ascii="Times New Roman" w:eastAsia="Times New Roman" w:hAnsi="Times New Roman" w:cs="Times New Roman"/>
                <w:color w:val="000000" w:themeColor="text1"/>
                <w:sz w:val="13"/>
                <w:szCs w:val="13"/>
              </w:rPr>
            </w:pPr>
          </w:p>
        </w:tc>
        <w:tc>
          <w:tcPr>
            <w:tcW w:w="864" w:type="dxa"/>
            <w:tcBorders>
              <w:top w:val="nil"/>
              <w:left w:val="nil"/>
              <w:bottom w:val="nil"/>
              <w:right w:val="nil"/>
            </w:tcBorders>
            <w:noWrap/>
            <w:vAlign w:val="bottom"/>
            <w:hideMark/>
          </w:tcPr>
          <w:p w14:paraId="25CB6DFE" w14:textId="77777777" w:rsidR="009653CF" w:rsidRPr="00EF6679" w:rsidRDefault="009653CF" w:rsidP="009653CF">
            <w:pPr>
              <w:spacing w:line="240" w:lineRule="auto"/>
              <w:jc w:val="center"/>
              <w:rPr>
                <w:rFonts w:ascii="Times New Roman" w:eastAsia="Times New Roman" w:hAnsi="Times New Roman" w:cs="Times New Roman"/>
                <w:color w:val="000000" w:themeColor="text1"/>
                <w:sz w:val="13"/>
                <w:szCs w:val="13"/>
              </w:rPr>
            </w:pPr>
            <w:r w:rsidRPr="00EF6679">
              <w:rPr>
                <w:rFonts w:ascii="Times New Roman" w:hAnsi="Times New Roman" w:cs="Times New Roman"/>
                <w:color w:val="000000" w:themeColor="text1"/>
                <w:sz w:val="13"/>
                <w:szCs w:val="13"/>
              </w:rPr>
              <w:t xml:space="preserve">&lt;.0001 </w:t>
            </w:r>
          </w:p>
        </w:tc>
        <w:tc>
          <w:tcPr>
            <w:tcW w:w="720" w:type="dxa"/>
            <w:tcBorders>
              <w:top w:val="nil"/>
              <w:left w:val="nil"/>
              <w:bottom w:val="nil"/>
              <w:right w:val="nil"/>
            </w:tcBorders>
            <w:noWrap/>
            <w:vAlign w:val="bottom"/>
            <w:hideMark/>
          </w:tcPr>
          <w:p w14:paraId="08476E23" w14:textId="77777777" w:rsidR="009653CF" w:rsidRPr="00EF6679" w:rsidRDefault="009653CF" w:rsidP="009653CF">
            <w:pPr>
              <w:spacing w:line="240" w:lineRule="auto"/>
              <w:jc w:val="center"/>
              <w:rPr>
                <w:rFonts w:ascii="Times New Roman" w:eastAsia="Times New Roman" w:hAnsi="Times New Roman" w:cs="Times New Roman"/>
                <w:color w:val="000000" w:themeColor="text1"/>
                <w:sz w:val="13"/>
                <w:szCs w:val="13"/>
              </w:rPr>
            </w:pPr>
            <w:r w:rsidRPr="00EF6679">
              <w:rPr>
                <w:rFonts w:ascii="Times New Roman" w:hAnsi="Times New Roman" w:cs="Times New Roman"/>
                <w:color w:val="000000" w:themeColor="text1"/>
                <w:sz w:val="13"/>
                <w:szCs w:val="13"/>
              </w:rPr>
              <w:t>0.2470</w:t>
            </w:r>
          </w:p>
        </w:tc>
        <w:tc>
          <w:tcPr>
            <w:tcW w:w="864" w:type="dxa"/>
            <w:tcBorders>
              <w:top w:val="nil"/>
              <w:left w:val="nil"/>
              <w:bottom w:val="nil"/>
              <w:right w:val="nil"/>
            </w:tcBorders>
            <w:noWrap/>
            <w:vAlign w:val="bottom"/>
            <w:hideMark/>
          </w:tcPr>
          <w:p w14:paraId="3758E56B" w14:textId="77777777" w:rsidR="009653CF" w:rsidRPr="00EF6679" w:rsidRDefault="009653CF" w:rsidP="009653CF">
            <w:pPr>
              <w:spacing w:line="240" w:lineRule="auto"/>
              <w:jc w:val="center"/>
              <w:rPr>
                <w:rFonts w:ascii="Times New Roman" w:eastAsia="Times New Roman" w:hAnsi="Times New Roman" w:cs="Times New Roman"/>
                <w:color w:val="000000" w:themeColor="text1"/>
                <w:sz w:val="13"/>
                <w:szCs w:val="13"/>
              </w:rPr>
            </w:pPr>
            <w:r w:rsidRPr="00EF6679">
              <w:rPr>
                <w:rFonts w:ascii="Times New Roman" w:hAnsi="Times New Roman" w:cs="Times New Roman"/>
                <w:color w:val="000000" w:themeColor="text1"/>
                <w:sz w:val="13"/>
                <w:szCs w:val="13"/>
              </w:rPr>
              <w:t>0.1223</w:t>
            </w:r>
          </w:p>
        </w:tc>
      </w:tr>
      <w:tr w:rsidR="009653CF" w:rsidRPr="00EF6679" w14:paraId="5D08BBD9" w14:textId="77777777" w:rsidTr="00820288">
        <w:tblPrEx>
          <w:jc w:val="lef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trHeight w:val="144"/>
        </w:trPr>
        <w:tc>
          <w:tcPr>
            <w:tcW w:w="2340" w:type="dxa"/>
            <w:tcBorders>
              <w:top w:val="nil"/>
              <w:left w:val="nil"/>
              <w:bottom w:val="nil"/>
              <w:right w:val="nil"/>
            </w:tcBorders>
            <w:noWrap/>
            <w:hideMark/>
          </w:tcPr>
          <w:p w14:paraId="2F70BA65" w14:textId="77777777" w:rsidR="009653CF" w:rsidRPr="00EF6679" w:rsidRDefault="009653CF" w:rsidP="009653CF">
            <w:pPr>
              <w:spacing w:line="240" w:lineRule="auto"/>
              <w:rPr>
                <w:rFonts w:ascii="Times New Roman" w:eastAsia="Times New Roman" w:hAnsi="Times New Roman" w:cs="Times New Roman"/>
                <w:color w:val="000000" w:themeColor="text1"/>
                <w:sz w:val="13"/>
                <w:szCs w:val="13"/>
              </w:rPr>
            </w:pPr>
            <w:r w:rsidRPr="00EF6679">
              <w:rPr>
                <w:rFonts w:ascii="Times New Roman" w:eastAsia="Times New Roman" w:hAnsi="Times New Roman" w:cs="Times New Roman"/>
                <w:color w:val="000000" w:themeColor="text1"/>
                <w:sz w:val="13"/>
                <w:szCs w:val="13"/>
              </w:rPr>
              <w:t xml:space="preserve">1,3-cis,5-cis-Octatriene </w:t>
            </w:r>
          </w:p>
        </w:tc>
        <w:tc>
          <w:tcPr>
            <w:tcW w:w="939" w:type="dxa"/>
            <w:tcBorders>
              <w:top w:val="nil"/>
              <w:left w:val="nil"/>
              <w:bottom w:val="nil"/>
              <w:right w:val="nil"/>
            </w:tcBorders>
            <w:noWrap/>
            <w:vAlign w:val="center"/>
            <w:hideMark/>
          </w:tcPr>
          <w:p w14:paraId="12AB750F" w14:textId="77777777" w:rsidR="009653CF" w:rsidRPr="00EF6679" w:rsidRDefault="009653CF" w:rsidP="009653CF">
            <w:pPr>
              <w:spacing w:line="240" w:lineRule="auto"/>
              <w:jc w:val="center"/>
              <w:rPr>
                <w:rFonts w:ascii="Times New Roman" w:eastAsia="Times New Roman" w:hAnsi="Times New Roman" w:cs="Times New Roman"/>
                <w:color w:val="000000" w:themeColor="text1"/>
                <w:sz w:val="13"/>
                <w:szCs w:val="13"/>
              </w:rPr>
            </w:pPr>
            <w:r w:rsidRPr="00EF6679">
              <w:rPr>
                <w:rFonts w:ascii="Times New Roman" w:eastAsia="Times New Roman" w:hAnsi="Times New Roman" w:cs="Times New Roman"/>
                <w:color w:val="000000" w:themeColor="text1"/>
                <w:sz w:val="13"/>
                <w:szCs w:val="13"/>
              </w:rPr>
              <w:t>40087-62-5</w:t>
            </w:r>
          </w:p>
        </w:tc>
        <w:tc>
          <w:tcPr>
            <w:tcW w:w="1152" w:type="dxa"/>
            <w:tcBorders>
              <w:top w:val="nil"/>
              <w:left w:val="nil"/>
              <w:bottom w:val="nil"/>
              <w:right w:val="nil"/>
            </w:tcBorders>
            <w:noWrap/>
            <w:vAlign w:val="center"/>
            <w:hideMark/>
          </w:tcPr>
          <w:p w14:paraId="56B6750C" w14:textId="77777777" w:rsidR="009653CF" w:rsidRPr="00EF6679" w:rsidRDefault="009653CF" w:rsidP="009653CF">
            <w:pPr>
              <w:spacing w:line="240" w:lineRule="auto"/>
              <w:jc w:val="center"/>
              <w:rPr>
                <w:rFonts w:ascii="Times New Roman" w:eastAsia="Times New Roman" w:hAnsi="Times New Roman" w:cs="Times New Roman"/>
                <w:color w:val="000000" w:themeColor="text1"/>
                <w:sz w:val="13"/>
                <w:szCs w:val="13"/>
              </w:rPr>
            </w:pPr>
            <w:r w:rsidRPr="00EF6679">
              <w:rPr>
                <w:rFonts w:ascii="Times New Roman" w:eastAsia="Times New Roman" w:hAnsi="Times New Roman" w:cs="Times New Roman"/>
                <w:color w:val="000000" w:themeColor="text1"/>
                <w:sz w:val="13"/>
                <w:szCs w:val="13"/>
              </w:rPr>
              <w:t>19.822</w:t>
            </w:r>
          </w:p>
        </w:tc>
        <w:tc>
          <w:tcPr>
            <w:tcW w:w="864" w:type="dxa"/>
            <w:tcBorders>
              <w:top w:val="nil"/>
              <w:left w:val="nil"/>
              <w:bottom w:val="nil"/>
              <w:right w:val="nil"/>
            </w:tcBorders>
            <w:noWrap/>
            <w:vAlign w:val="center"/>
            <w:hideMark/>
          </w:tcPr>
          <w:p w14:paraId="30B53AD5" w14:textId="77777777" w:rsidR="009653CF" w:rsidRPr="00EF6679" w:rsidRDefault="009653CF" w:rsidP="009653CF">
            <w:pPr>
              <w:spacing w:line="240" w:lineRule="auto"/>
              <w:jc w:val="center"/>
              <w:rPr>
                <w:rFonts w:ascii="Times New Roman" w:eastAsia="Times New Roman" w:hAnsi="Times New Roman" w:cs="Times New Roman"/>
                <w:color w:val="000000" w:themeColor="text1"/>
                <w:sz w:val="13"/>
                <w:szCs w:val="13"/>
              </w:rPr>
            </w:pPr>
            <w:r w:rsidRPr="00EF6679">
              <w:rPr>
                <w:rFonts w:ascii="Times New Roman" w:eastAsia="Times New Roman" w:hAnsi="Times New Roman" w:cs="Times New Roman"/>
                <w:color w:val="000000" w:themeColor="text1"/>
                <w:sz w:val="13"/>
                <w:szCs w:val="13"/>
              </w:rPr>
              <w:t>0.70</w:t>
            </w:r>
          </w:p>
        </w:tc>
        <w:tc>
          <w:tcPr>
            <w:tcW w:w="720" w:type="dxa"/>
            <w:tcBorders>
              <w:top w:val="nil"/>
              <w:left w:val="nil"/>
              <w:bottom w:val="nil"/>
              <w:right w:val="nil"/>
            </w:tcBorders>
            <w:noWrap/>
            <w:vAlign w:val="center"/>
            <w:hideMark/>
          </w:tcPr>
          <w:p w14:paraId="339EBF51" w14:textId="77777777" w:rsidR="009653CF" w:rsidRPr="00EF6679" w:rsidRDefault="009653CF" w:rsidP="009653CF">
            <w:pPr>
              <w:spacing w:line="240" w:lineRule="auto"/>
              <w:jc w:val="center"/>
              <w:rPr>
                <w:rFonts w:ascii="Times New Roman" w:eastAsia="Times New Roman" w:hAnsi="Times New Roman" w:cs="Times New Roman"/>
                <w:color w:val="000000" w:themeColor="text1"/>
                <w:sz w:val="13"/>
                <w:szCs w:val="13"/>
              </w:rPr>
            </w:pPr>
            <w:r w:rsidRPr="00EF6679">
              <w:rPr>
                <w:rFonts w:ascii="Times New Roman" w:eastAsia="Times New Roman" w:hAnsi="Times New Roman" w:cs="Times New Roman"/>
                <w:color w:val="000000" w:themeColor="text1"/>
                <w:sz w:val="13"/>
                <w:szCs w:val="13"/>
              </w:rPr>
              <w:t>1.01</w:t>
            </w:r>
          </w:p>
        </w:tc>
        <w:tc>
          <w:tcPr>
            <w:tcW w:w="864" w:type="dxa"/>
            <w:tcBorders>
              <w:top w:val="nil"/>
              <w:left w:val="nil"/>
              <w:bottom w:val="nil"/>
              <w:right w:val="nil"/>
            </w:tcBorders>
            <w:noWrap/>
            <w:vAlign w:val="center"/>
            <w:hideMark/>
          </w:tcPr>
          <w:p w14:paraId="6C1E5A45" w14:textId="77777777" w:rsidR="009653CF" w:rsidRPr="00EF6679" w:rsidRDefault="009653CF" w:rsidP="009653CF">
            <w:pPr>
              <w:spacing w:line="240" w:lineRule="auto"/>
              <w:jc w:val="center"/>
              <w:rPr>
                <w:rFonts w:ascii="Times New Roman" w:eastAsia="Times New Roman" w:hAnsi="Times New Roman" w:cs="Times New Roman"/>
                <w:color w:val="000000" w:themeColor="text1"/>
                <w:sz w:val="13"/>
                <w:szCs w:val="13"/>
              </w:rPr>
            </w:pPr>
            <w:r w:rsidRPr="00EF6679">
              <w:rPr>
                <w:rFonts w:ascii="Times New Roman" w:eastAsia="Times New Roman" w:hAnsi="Times New Roman" w:cs="Times New Roman"/>
                <w:color w:val="000000" w:themeColor="text1"/>
                <w:sz w:val="13"/>
                <w:szCs w:val="13"/>
              </w:rPr>
              <w:t>0.99</w:t>
            </w:r>
          </w:p>
        </w:tc>
        <w:tc>
          <w:tcPr>
            <w:tcW w:w="410" w:type="dxa"/>
            <w:tcBorders>
              <w:top w:val="nil"/>
              <w:left w:val="nil"/>
              <w:bottom w:val="nil"/>
              <w:right w:val="nil"/>
            </w:tcBorders>
            <w:noWrap/>
          </w:tcPr>
          <w:p w14:paraId="6379ECB8" w14:textId="77777777" w:rsidR="009653CF" w:rsidRPr="00EF6679" w:rsidRDefault="009653CF" w:rsidP="009653CF">
            <w:pPr>
              <w:spacing w:line="240" w:lineRule="auto"/>
              <w:jc w:val="right"/>
              <w:rPr>
                <w:rFonts w:ascii="Times New Roman" w:eastAsia="Times New Roman" w:hAnsi="Times New Roman" w:cs="Times New Roman"/>
                <w:color w:val="000000" w:themeColor="text1"/>
                <w:sz w:val="13"/>
                <w:szCs w:val="13"/>
              </w:rPr>
            </w:pPr>
          </w:p>
        </w:tc>
        <w:tc>
          <w:tcPr>
            <w:tcW w:w="864" w:type="dxa"/>
            <w:tcBorders>
              <w:top w:val="nil"/>
              <w:left w:val="nil"/>
              <w:bottom w:val="nil"/>
              <w:right w:val="nil"/>
            </w:tcBorders>
            <w:noWrap/>
            <w:vAlign w:val="bottom"/>
            <w:hideMark/>
          </w:tcPr>
          <w:p w14:paraId="577B3F29" w14:textId="77777777" w:rsidR="009653CF" w:rsidRPr="00EF6679" w:rsidRDefault="009653CF" w:rsidP="009653CF">
            <w:pPr>
              <w:spacing w:line="240" w:lineRule="auto"/>
              <w:jc w:val="center"/>
              <w:rPr>
                <w:rFonts w:ascii="Times New Roman" w:eastAsia="Times New Roman" w:hAnsi="Times New Roman" w:cs="Times New Roman"/>
                <w:color w:val="000000" w:themeColor="text1"/>
                <w:sz w:val="13"/>
                <w:szCs w:val="13"/>
              </w:rPr>
            </w:pPr>
            <w:r w:rsidRPr="00EF6679">
              <w:rPr>
                <w:rFonts w:ascii="Times New Roman" w:hAnsi="Times New Roman" w:cs="Times New Roman"/>
                <w:color w:val="000000" w:themeColor="text1"/>
                <w:sz w:val="13"/>
                <w:szCs w:val="13"/>
              </w:rPr>
              <w:t>0.4046</w:t>
            </w:r>
          </w:p>
        </w:tc>
        <w:tc>
          <w:tcPr>
            <w:tcW w:w="720" w:type="dxa"/>
            <w:tcBorders>
              <w:top w:val="nil"/>
              <w:left w:val="nil"/>
              <w:bottom w:val="nil"/>
              <w:right w:val="nil"/>
            </w:tcBorders>
            <w:noWrap/>
            <w:vAlign w:val="bottom"/>
            <w:hideMark/>
          </w:tcPr>
          <w:p w14:paraId="2E32EC73" w14:textId="77777777" w:rsidR="009653CF" w:rsidRPr="00EF6679" w:rsidRDefault="009653CF" w:rsidP="009653CF">
            <w:pPr>
              <w:spacing w:line="240" w:lineRule="auto"/>
              <w:jc w:val="center"/>
              <w:rPr>
                <w:rFonts w:ascii="Times New Roman" w:eastAsia="Times New Roman" w:hAnsi="Times New Roman" w:cs="Times New Roman"/>
                <w:color w:val="000000" w:themeColor="text1"/>
                <w:sz w:val="13"/>
                <w:szCs w:val="13"/>
              </w:rPr>
            </w:pPr>
            <w:r w:rsidRPr="00EF6679">
              <w:rPr>
                <w:rFonts w:ascii="Times New Roman" w:hAnsi="Times New Roman" w:cs="Times New Roman"/>
                <w:color w:val="000000" w:themeColor="text1"/>
                <w:sz w:val="13"/>
                <w:szCs w:val="13"/>
              </w:rPr>
              <w:t>0.4351</w:t>
            </w:r>
          </w:p>
        </w:tc>
        <w:tc>
          <w:tcPr>
            <w:tcW w:w="864" w:type="dxa"/>
            <w:tcBorders>
              <w:top w:val="nil"/>
              <w:left w:val="nil"/>
              <w:bottom w:val="nil"/>
              <w:right w:val="nil"/>
            </w:tcBorders>
            <w:noWrap/>
            <w:vAlign w:val="bottom"/>
            <w:hideMark/>
          </w:tcPr>
          <w:p w14:paraId="72A5C879" w14:textId="77777777" w:rsidR="009653CF" w:rsidRPr="00EF6679" w:rsidRDefault="009653CF" w:rsidP="009653CF">
            <w:pPr>
              <w:spacing w:line="240" w:lineRule="auto"/>
              <w:jc w:val="center"/>
              <w:rPr>
                <w:rFonts w:ascii="Times New Roman" w:eastAsia="Times New Roman" w:hAnsi="Times New Roman" w:cs="Times New Roman"/>
                <w:color w:val="000000" w:themeColor="text1"/>
                <w:sz w:val="13"/>
                <w:szCs w:val="13"/>
              </w:rPr>
            </w:pPr>
            <w:r w:rsidRPr="00EF6679">
              <w:rPr>
                <w:rFonts w:ascii="Times New Roman" w:hAnsi="Times New Roman" w:cs="Times New Roman"/>
                <w:color w:val="000000" w:themeColor="text1"/>
                <w:sz w:val="13"/>
                <w:szCs w:val="13"/>
              </w:rPr>
              <w:t>0.4524</w:t>
            </w:r>
          </w:p>
        </w:tc>
      </w:tr>
      <w:tr w:rsidR="009653CF" w:rsidRPr="00EF6679" w14:paraId="2953FA8E" w14:textId="77777777" w:rsidTr="00820288">
        <w:tblPrEx>
          <w:jc w:val="lef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trHeight w:val="144"/>
        </w:trPr>
        <w:tc>
          <w:tcPr>
            <w:tcW w:w="2340" w:type="dxa"/>
            <w:tcBorders>
              <w:top w:val="nil"/>
              <w:left w:val="nil"/>
              <w:bottom w:val="nil"/>
              <w:right w:val="nil"/>
            </w:tcBorders>
            <w:noWrap/>
            <w:hideMark/>
          </w:tcPr>
          <w:p w14:paraId="331B5145" w14:textId="77777777" w:rsidR="009653CF" w:rsidRPr="00EF6679" w:rsidRDefault="009653CF" w:rsidP="009653CF">
            <w:pPr>
              <w:spacing w:line="240" w:lineRule="auto"/>
              <w:rPr>
                <w:rFonts w:ascii="Times New Roman" w:eastAsia="Times New Roman" w:hAnsi="Times New Roman" w:cs="Times New Roman"/>
                <w:color w:val="000000" w:themeColor="text1"/>
                <w:sz w:val="13"/>
                <w:szCs w:val="13"/>
              </w:rPr>
            </w:pPr>
            <w:r w:rsidRPr="00EF6679">
              <w:rPr>
                <w:rFonts w:ascii="Times New Roman" w:eastAsia="Times New Roman" w:hAnsi="Times New Roman" w:cs="Times New Roman"/>
                <w:color w:val="000000" w:themeColor="text1"/>
                <w:sz w:val="13"/>
                <w:szCs w:val="13"/>
              </w:rPr>
              <w:t xml:space="preserve">p-allyl-Anisole  </w:t>
            </w:r>
          </w:p>
        </w:tc>
        <w:tc>
          <w:tcPr>
            <w:tcW w:w="939" w:type="dxa"/>
            <w:tcBorders>
              <w:top w:val="nil"/>
              <w:left w:val="nil"/>
              <w:bottom w:val="nil"/>
              <w:right w:val="nil"/>
            </w:tcBorders>
            <w:noWrap/>
            <w:vAlign w:val="center"/>
            <w:hideMark/>
          </w:tcPr>
          <w:p w14:paraId="3A098AF3" w14:textId="77777777" w:rsidR="009653CF" w:rsidRPr="00EF6679" w:rsidRDefault="009653CF" w:rsidP="009653CF">
            <w:pPr>
              <w:spacing w:line="240" w:lineRule="auto"/>
              <w:jc w:val="center"/>
              <w:rPr>
                <w:rFonts w:ascii="Times New Roman" w:eastAsia="Times New Roman" w:hAnsi="Times New Roman" w:cs="Times New Roman"/>
                <w:color w:val="000000" w:themeColor="text1"/>
                <w:sz w:val="13"/>
                <w:szCs w:val="13"/>
              </w:rPr>
            </w:pPr>
            <w:r w:rsidRPr="00EF6679">
              <w:rPr>
                <w:rFonts w:ascii="Times New Roman" w:eastAsia="Times New Roman" w:hAnsi="Times New Roman" w:cs="Times New Roman"/>
                <w:color w:val="000000" w:themeColor="text1"/>
                <w:sz w:val="13"/>
                <w:szCs w:val="13"/>
              </w:rPr>
              <w:t>140-67-0</w:t>
            </w:r>
          </w:p>
        </w:tc>
        <w:tc>
          <w:tcPr>
            <w:tcW w:w="1152" w:type="dxa"/>
            <w:tcBorders>
              <w:top w:val="nil"/>
              <w:left w:val="nil"/>
              <w:bottom w:val="nil"/>
              <w:right w:val="nil"/>
            </w:tcBorders>
            <w:noWrap/>
            <w:vAlign w:val="center"/>
            <w:hideMark/>
          </w:tcPr>
          <w:p w14:paraId="1B245FAD" w14:textId="77777777" w:rsidR="009653CF" w:rsidRPr="00EF6679" w:rsidRDefault="009653CF" w:rsidP="009653CF">
            <w:pPr>
              <w:spacing w:line="240" w:lineRule="auto"/>
              <w:jc w:val="center"/>
              <w:rPr>
                <w:rFonts w:ascii="Times New Roman" w:eastAsia="Times New Roman" w:hAnsi="Times New Roman" w:cs="Times New Roman"/>
                <w:color w:val="000000" w:themeColor="text1"/>
                <w:sz w:val="13"/>
                <w:szCs w:val="13"/>
              </w:rPr>
            </w:pPr>
            <w:r w:rsidRPr="00EF6679">
              <w:rPr>
                <w:rFonts w:ascii="Times New Roman" w:eastAsia="Times New Roman" w:hAnsi="Times New Roman" w:cs="Times New Roman"/>
                <w:color w:val="000000" w:themeColor="text1"/>
                <w:sz w:val="13"/>
                <w:szCs w:val="13"/>
              </w:rPr>
              <w:t>19.879</w:t>
            </w:r>
          </w:p>
        </w:tc>
        <w:tc>
          <w:tcPr>
            <w:tcW w:w="864" w:type="dxa"/>
            <w:tcBorders>
              <w:top w:val="nil"/>
              <w:left w:val="nil"/>
              <w:bottom w:val="nil"/>
              <w:right w:val="nil"/>
            </w:tcBorders>
            <w:noWrap/>
            <w:vAlign w:val="center"/>
            <w:hideMark/>
          </w:tcPr>
          <w:p w14:paraId="5D7729B1" w14:textId="77777777" w:rsidR="009653CF" w:rsidRPr="00EF6679" w:rsidRDefault="009653CF" w:rsidP="009653CF">
            <w:pPr>
              <w:spacing w:line="240" w:lineRule="auto"/>
              <w:jc w:val="center"/>
              <w:rPr>
                <w:rFonts w:ascii="Times New Roman" w:eastAsia="Times New Roman" w:hAnsi="Times New Roman" w:cs="Times New Roman"/>
                <w:color w:val="000000" w:themeColor="text1"/>
                <w:sz w:val="13"/>
                <w:szCs w:val="13"/>
              </w:rPr>
            </w:pPr>
            <w:r w:rsidRPr="00EF6679">
              <w:rPr>
                <w:rFonts w:ascii="Times New Roman" w:eastAsia="Times New Roman" w:hAnsi="Times New Roman" w:cs="Times New Roman"/>
                <w:color w:val="000000" w:themeColor="text1"/>
                <w:sz w:val="13"/>
                <w:szCs w:val="13"/>
              </w:rPr>
              <w:t>1.00</w:t>
            </w:r>
          </w:p>
        </w:tc>
        <w:tc>
          <w:tcPr>
            <w:tcW w:w="720" w:type="dxa"/>
            <w:tcBorders>
              <w:top w:val="nil"/>
              <w:left w:val="nil"/>
              <w:bottom w:val="nil"/>
              <w:right w:val="nil"/>
            </w:tcBorders>
            <w:noWrap/>
            <w:vAlign w:val="center"/>
            <w:hideMark/>
          </w:tcPr>
          <w:p w14:paraId="3F874DD5" w14:textId="77777777" w:rsidR="009653CF" w:rsidRPr="00EF6679" w:rsidRDefault="009653CF" w:rsidP="009653CF">
            <w:pPr>
              <w:spacing w:line="240" w:lineRule="auto"/>
              <w:jc w:val="center"/>
              <w:rPr>
                <w:rFonts w:ascii="Times New Roman" w:eastAsia="Times New Roman" w:hAnsi="Times New Roman" w:cs="Times New Roman"/>
                <w:color w:val="000000" w:themeColor="text1"/>
                <w:sz w:val="13"/>
                <w:szCs w:val="13"/>
              </w:rPr>
            </w:pPr>
            <w:r w:rsidRPr="00EF6679">
              <w:rPr>
                <w:rFonts w:ascii="Times New Roman" w:eastAsia="Times New Roman" w:hAnsi="Times New Roman" w:cs="Times New Roman"/>
                <w:color w:val="000000" w:themeColor="text1"/>
                <w:sz w:val="13"/>
                <w:szCs w:val="13"/>
              </w:rPr>
              <w:t>1.00</w:t>
            </w:r>
          </w:p>
        </w:tc>
        <w:tc>
          <w:tcPr>
            <w:tcW w:w="864" w:type="dxa"/>
            <w:tcBorders>
              <w:top w:val="nil"/>
              <w:left w:val="nil"/>
              <w:bottom w:val="nil"/>
              <w:right w:val="nil"/>
            </w:tcBorders>
            <w:noWrap/>
            <w:vAlign w:val="center"/>
            <w:hideMark/>
          </w:tcPr>
          <w:p w14:paraId="44C1B8C0" w14:textId="77777777" w:rsidR="009653CF" w:rsidRPr="00EF6679" w:rsidRDefault="009653CF" w:rsidP="009653CF">
            <w:pPr>
              <w:spacing w:line="240" w:lineRule="auto"/>
              <w:jc w:val="center"/>
              <w:rPr>
                <w:rFonts w:ascii="Times New Roman" w:eastAsia="Times New Roman" w:hAnsi="Times New Roman" w:cs="Times New Roman"/>
                <w:color w:val="000000" w:themeColor="text1"/>
                <w:sz w:val="13"/>
                <w:szCs w:val="13"/>
              </w:rPr>
            </w:pPr>
            <w:r w:rsidRPr="00EF6679">
              <w:rPr>
                <w:rFonts w:ascii="Times New Roman" w:eastAsia="Times New Roman" w:hAnsi="Times New Roman" w:cs="Times New Roman"/>
                <w:color w:val="000000" w:themeColor="text1"/>
                <w:sz w:val="13"/>
                <w:szCs w:val="13"/>
              </w:rPr>
              <w:t>1.00</w:t>
            </w:r>
          </w:p>
        </w:tc>
        <w:tc>
          <w:tcPr>
            <w:tcW w:w="410" w:type="dxa"/>
            <w:tcBorders>
              <w:top w:val="nil"/>
              <w:left w:val="nil"/>
              <w:bottom w:val="nil"/>
              <w:right w:val="nil"/>
            </w:tcBorders>
            <w:noWrap/>
          </w:tcPr>
          <w:p w14:paraId="56D96575" w14:textId="77777777" w:rsidR="009653CF" w:rsidRPr="00EF6679" w:rsidRDefault="009653CF" w:rsidP="009653CF">
            <w:pPr>
              <w:spacing w:line="240" w:lineRule="auto"/>
              <w:jc w:val="right"/>
              <w:rPr>
                <w:rFonts w:ascii="Times New Roman" w:eastAsia="Times New Roman" w:hAnsi="Times New Roman" w:cs="Times New Roman"/>
                <w:color w:val="000000" w:themeColor="text1"/>
                <w:sz w:val="13"/>
                <w:szCs w:val="13"/>
              </w:rPr>
            </w:pPr>
          </w:p>
        </w:tc>
        <w:tc>
          <w:tcPr>
            <w:tcW w:w="864" w:type="dxa"/>
            <w:tcBorders>
              <w:top w:val="nil"/>
              <w:left w:val="nil"/>
              <w:bottom w:val="nil"/>
              <w:right w:val="nil"/>
            </w:tcBorders>
            <w:noWrap/>
            <w:vAlign w:val="bottom"/>
            <w:hideMark/>
          </w:tcPr>
          <w:p w14:paraId="6D160CD2" w14:textId="77777777" w:rsidR="009653CF" w:rsidRPr="00EF6679" w:rsidRDefault="009653CF" w:rsidP="009653CF">
            <w:pPr>
              <w:spacing w:line="240" w:lineRule="auto"/>
              <w:jc w:val="center"/>
              <w:rPr>
                <w:rFonts w:ascii="Times New Roman" w:eastAsia="Times New Roman" w:hAnsi="Times New Roman" w:cs="Times New Roman"/>
                <w:color w:val="000000" w:themeColor="text1"/>
                <w:sz w:val="13"/>
                <w:szCs w:val="13"/>
              </w:rPr>
            </w:pPr>
            <w:r w:rsidRPr="00EF6679">
              <w:rPr>
                <w:rFonts w:ascii="Times New Roman" w:hAnsi="Times New Roman" w:cs="Times New Roman"/>
                <w:color w:val="000000" w:themeColor="text1"/>
                <w:sz w:val="13"/>
                <w:szCs w:val="13"/>
              </w:rPr>
              <w:t>0.3176</w:t>
            </w:r>
          </w:p>
        </w:tc>
        <w:tc>
          <w:tcPr>
            <w:tcW w:w="720" w:type="dxa"/>
            <w:tcBorders>
              <w:top w:val="nil"/>
              <w:left w:val="nil"/>
              <w:bottom w:val="nil"/>
              <w:right w:val="nil"/>
            </w:tcBorders>
            <w:noWrap/>
            <w:vAlign w:val="bottom"/>
            <w:hideMark/>
          </w:tcPr>
          <w:p w14:paraId="01F6D3E5" w14:textId="77777777" w:rsidR="009653CF" w:rsidRPr="00EF6679" w:rsidRDefault="009653CF" w:rsidP="009653CF">
            <w:pPr>
              <w:spacing w:line="240" w:lineRule="auto"/>
              <w:jc w:val="center"/>
              <w:rPr>
                <w:rFonts w:ascii="Times New Roman" w:eastAsia="Times New Roman" w:hAnsi="Times New Roman" w:cs="Times New Roman"/>
                <w:color w:val="000000" w:themeColor="text1"/>
                <w:sz w:val="13"/>
                <w:szCs w:val="13"/>
              </w:rPr>
            </w:pPr>
            <w:r w:rsidRPr="00EF6679">
              <w:rPr>
                <w:rFonts w:ascii="Times New Roman" w:hAnsi="Times New Roman" w:cs="Times New Roman"/>
                <w:color w:val="000000" w:themeColor="text1"/>
                <w:sz w:val="13"/>
                <w:szCs w:val="13"/>
              </w:rPr>
              <w:t>0.4475</w:t>
            </w:r>
          </w:p>
        </w:tc>
        <w:tc>
          <w:tcPr>
            <w:tcW w:w="864" w:type="dxa"/>
            <w:tcBorders>
              <w:top w:val="nil"/>
              <w:left w:val="nil"/>
              <w:bottom w:val="nil"/>
              <w:right w:val="nil"/>
            </w:tcBorders>
            <w:noWrap/>
            <w:vAlign w:val="bottom"/>
            <w:hideMark/>
          </w:tcPr>
          <w:p w14:paraId="752BB88D" w14:textId="77777777" w:rsidR="009653CF" w:rsidRPr="00EF6679" w:rsidRDefault="009653CF" w:rsidP="009653CF">
            <w:pPr>
              <w:spacing w:line="240" w:lineRule="auto"/>
              <w:jc w:val="center"/>
              <w:rPr>
                <w:rFonts w:ascii="Times New Roman" w:eastAsia="Times New Roman" w:hAnsi="Times New Roman" w:cs="Times New Roman"/>
                <w:color w:val="000000" w:themeColor="text1"/>
                <w:sz w:val="13"/>
                <w:szCs w:val="13"/>
              </w:rPr>
            </w:pPr>
            <w:r w:rsidRPr="00EF6679">
              <w:rPr>
                <w:rFonts w:ascii="Times New Roman" w:hAnsi="Times New Roman" w:cs="Times New Roman"/>
                <w:color w:val="000000" w:themeColor="text1"/>
                <w:sz w:val="13"/>
                <w:szCs w:val="13"/>
              </w:rPr>
              <w:t>0.4476</w:t>
            </w:r>
          </w:p>
        </w:tc>
      </w:tr>
      <w:tr w:rsidR="009653CF" w:rsidRPr="00EF6679" w14:paraId="362C2D7F" w14:textId="77777777" w:rsidTr="00820288">
        <w:tblPrEx>
          <w:jc w:val="lef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trHeight w:val="144"/>
        </w:trPr>
        <w:tc>
          <w:tcPr>
            <w:tcW w:w="2340" w:type="dxa"/>
            <w:tcBorders>
              <w:top w:val="nil"/>
              <w:left w:val="nil"/>
              <w:bottom w:val="nil"/>
              <w:right w:val="nil"/>
            </w:tcBorders>
            <w:noWrap/>
            <w:hideMark/>
          </w:tcPr>
          <w:p w14:paraId="15BFD169" w14:textId="77777777" w:rsidR="009653CF" w:rsidRPr="00EF6679" w:rsidRDefault="009653CF" w:rsidP="009653CF">
            <w:pPr>
              <w:spacing w:line="240" w:lineRule="auto"/>
              <w:rPr>
                <w:rFonts w:ascii="Times New Roman" w:eastAsia="Times New Roman" w:hAnsi="Times New Roman" w:cs="Times New Roman"/>
                <w:color w:val="000000" w:themeColor="text1"/>
                <w:sz w:val="13"/>
                <w:szCs w:val="13"/>
              </w:rPr>
            </w:pPr>
            <w:r w:rsidRPr="00EF6679">
              <w:rPr>
                <w:rFonts w:ascii="Times New Roman" w:eastAsia="Times New Roman" w:hAnsi="Times New Roman" w:cs="Times New Roman"/>
                <w:color w:val="000000" w:themeColor="text1"/>
                <w:sz w:val="13"/>
                <w:szCs w:val="13"/>
              </w:rPr>
              <w:t>Nonylcyclopropane</w:t>
            </w:r>
          </w:p>
        </w:tc>
        <w:tc>
          <w:tcPr>
            <w:tcW w:w="939" w:type="dxa"/>
            <w:tcBorders>
              <w:top w:val="nil"/>
              <w:left w:val="nil"/>
              <w:bottom w:val="nil"/>
              <w:right w:val="nil"/>
            </w:tcBorders>
            <w:noWrap/>
            <w:vAlign w:val="center"/>
            <w:hideMark/>
          </w:tcPr>
          <w:p w14:paraId="7AD168FB" w14:textId="77777777" w:rsidR="009653CF" w:rsidRPr="00EF6679" w:rsidRDefault="009653CF" w:rsidP="009653CF">
            <w:pPr>
              <w:spacing w:line="240" w:lineRule="auto"/>
              <w:jc w:val="center"/>
              <w:rPr>
                <w:rFonts w:ascii="Times New Roman" w:eastAsia="Times New Roman" w:hAnsi="Times New Roman" w:cs="Times New Roman"/>
                <w:color w:val="000000" w:themeColor="text1"/>
                <w:sz w:val="13"/>
                <w:szCs w:val="13"/>
              </w:rPr>
            </w:pPr>
            <w:r w:rsidRPr="00EF6679">
              <w:rPr>
                <w:rFonts w:ascii="Times New Roman" w:eastAsia="Times New Roman" w:hAnsi="Times New Roman" w:cs="Times New Roman"/>
                <w:color w:val="000000" w:themeColor="text1"/>
                <w:sz w:val="13"/>
                <w:szCs w:val="13"/>
              </w:rPr>
              <w:t>74663-85-7</w:t>
            </w:r>
          </w:p>
        </w:tc>
        <w:tc>
          <w:tcPr>
            <w:tcW w:w="1152" w:type="dxa"/>
            <w:tcBorders>
              <w:top w:val="nil"/>
              <w:left w:val="nil"/>
              <w:bottom w:val="nil"/>
              <w:right w:val="nil"/>
            </w:tcBorders>
            <w:noWrap/>
            <w:vAlign w:val="center"/>
            <w:hideMark/>
          </w:tcPr>
          <w:p w14:paraId="4EB55C18" w14:textId="77777777" w:rsidR="009653CF" w:rsidRPr="00EF6679" w:rsidRDefault="009653CF" w:rsidP="009653CF">
            <w:pPr>
              <w:spacing w:line="240" w:lineRule="auto"/>
              <w:jc w:val="center"/>
              <w:rPr>
                <w:rFonts w:ascii="Times New Roman" w:eastAsia="Times New Roman" w:hAnsi="Times New Roman" w:cs="Times New Roman"/>
                <w:color w:val="000000" w:themeColor="text1"/>
                <w:sz w:val="13"/>
                <w:szCs w:val="13"/>
              </w:rPr>
            </w:pPr>
            <w:r w:rsidRPr="00EF6679">
              <w:rPr>
                <w:rFonts w:ascii="Times New Roman" w:eastAsia="Times New Roman" w:hAnsi="Times New Roman" w:cs="Times New Roman"/>
                <w:color w:val="000000" w:themeColor="text1"/>
                <w:sz w:val="13"/>
                <w:szCs w:val="13"/>
              </w:rPr>
              <w:t>20.247</w:t>
            </w:r>
          </w:p>
        </w:tc>
        <w:tc>
          <w:tcPr>
            <w:tcW w:w="864" w:type="dxa"/>
            <w:tcBorders>
              <w:top w:val="nil"/>
              <w:left w:val="nil"/>
              <w:bottom w:val="nil"/>
              <w:right w:val="nil"/>
            </w:tcBorders>
            <w:noWrap/>
            <w:vAlign w:val="center"/>
            <w:hideMark/>
          </w:tcPr>
          <w:p w14:paraId="1E9AE8C0" w14:textId="77777777" w:rsidR="009653CF" w:rsidRPr="00EF6679" w:rsidRDefault="009653CF" w:rsidP="009653CF">
            <w:pPr>
              <w:spacing w:line="240" w:lineRule="auto"/>
              <w:jc w:val="center"/>
              <w:rPr>
                <w:rFonts w:ascii="Times New Roman" w:eastAsia="Times New Roman" w:hAnsi="Times New Roman" w:cs="Times New Roman"/>
                <w:color w:val="000000" w:themeColor="text1"/>
                <w:sz w:val="13"/>
                <w:szCs w:val="13"/>
              </w:rPr>
            </w:pPr>
            <w:r w:rsidRPr="00EF6679">
              <w:rPr>
                <w:rFonts w:ascii="Times New Roman" w:eastAsia="Times New Roman" w:hAnsi="Times New Roman" w:cs="Times New Roman"/>
                <w:color w:val="000000" w:themeColor="text1"/>
                <w:sz w:val="13"/>
                <w:szCs w:val="13"/>
              </w:rPr>
              <w:t>5.17</w:t>
            </w:r>
          </w:p>
        </w:tc>
        <w:tc>
          <w:tcPr>
            <w:tcW w:w="720" w:type="dxa"/>
            <w:tcBorders>
              <w:top w:val="nil"/>
              <w:left w:val="nil"/>
              <w:bottom w:val="nil"/>
              <w:right w:val="nil"/>
            </w:tcBorders>
            <w:noWrap/>
            <w:vAlign w:val="center"/>
            <w:hideMark/>
          </w:tcPr>
          <w:p w14:paraId="37DFD409" w14:textId="77777777" w:rsidR="009653CF" w:rsidRPr="00EF6679" w:rsidRDefault="009653CF" w:rsidP="009653CF">
            <w:pPr>
              <w:spacing w:line="240" w:lineRule="auto"/>
              <w:jc w:val="center"/>
              <w:rPr>
                <w:rFonts w:ascii="Times New Roman" w:eastAsia="Times New Roman" w:hAnsi="Times New Roman" w:cs="Times New Roman"/>
                <w:color w:val="000000" w:themeColor="text1"/>
                <w:sz w:val="13"/>
                <w:szCs w:val="13"/>
              </w:rPr>
            </w:pPr>
            <w:r w:rsidRPr="00EF6679">
              <w:rPr>
                <w:rFonts w:ascii="Times New Roman" w:eastAsia="Times New Roman" w:hAnsi="Times New Roman" w:cs="Times New Roman"/>
                <w:color w:val="000000" w:themeColor="text1"/>
                <w:sz w:val="13"/>
                <w:szCs w:val="13"/>
              </w:rPr>
              <w:t>2.85</w:t>
            </w:r>
          </w:p>
        </w:tc>
        <w:tc>
          <w:tcPr>
            <w:tcW w:w="864" w:type="dxa"/>
            <w:tcBorders>
              <w:top w:val="nil"/>
              <w:left w:val="nil"/>
              <w:bottom w:val="nil"/>
              <w:right w:val="nil"/>
            </w:tcBorders>
            <w:noWrap/>
            <w:vAlign w:val="center"/>
            <w:hideMark/>
          </w:tcPr>
          <w:p w14:paraId="20D61F49" w14:textId="77777777" w:rsidR="009653CF" w:rsidRPr="00EF6679" w:rsidRDefault="009653CF" w:rsidP="009653CF">
            <w:pPr>
              <w:spacing w:line="240" w:lineRule="auto"/>
              <w:jc w:val="center"/>
              <w:rPr>
                <w:rFonts w:ascii="Times New Roman" w:eastAsia="Times New Roman" w:hAnsi="Times New Roman" w:cs="Times New Roman"/>
                <w:color w:val="000000" w:themeColor="text1"/>
                <w:sz w:val="13"/>
                <w:szCs w:val="13"/>
              </w:rPr>
            </w:pPr>
            <w:r w:rsidRPr="00EF6679">
              <w:rPr>
                <w:rFonts w:ascii="Times New Roman" w:eastAsia="Times New Roman" w:hAnsi="Times New Roman" w:cs="Times New Roman"/>
                <w:color w:val="000000" w:themeColor="text1"/>
                <w:sz w:val="13"/>
                <w:szCs w:val="13"/>
              </w:rPr>
              <w:t>3.25</w:t>
            </w:r>
          </w:p>
        </w:tc>
        <w:tc>
          <w:tcPr>
            <w:tcW w:w="410" w:type="dxa"/>
            <w:tcBorders>
              <w:top w:val="nil"/>
              <w:left w:val="nil"/>
              <w:bottom w:val="nil"/>
              <w:right w:val="nil"/>
            </w:tcBorders>
            <w:noWrap/>
          </w:tcPr>
          <w:p w14:paraId="517AE7F8" w14:textId="77777777" w:rsidR="009653CF" w:rsidRPr="00EF6679" w:rsidRDefault="009653CF" w:rsidP="009653CF">
            <w:pPr>
              <w:spacing w:line="240" w:lineRule="auto"/>
              <w:jc w:val="right"/>
              <w:rPr>
                <w:rFonts w:ascii="Times New Roman" w:eastAsia="Times New Roman" w:hAnsi="Times New Roman" w:cs="Times New Roman"/>
                <w:color w:val="000000" w:themeColor="text1"/>
                <w:sz w:val="13"/>
                <w:szCs w:val="13"/>
              </w:rPr>
            </w:pPr>
          </w:p>
        </w:tc>
        <w:tc>
          <w:tcPr>
            <w:tcW w:w="864" w:type="dxa"/>
            <w:tcBorders>
              <w:top w:val="nil"/>
              <w:left w:val="nil"/>
              <w:bottom w:val="nil"/>
              <w:right w:val="nil"/>
            </w:tcBorders>
            <w:noWrap/>
            <w:vAlign w:val="bottom"/>
            <w:hideMark/>
          </w:tcPr>
          <w:p w14:paraId="7321F4A0" w14:textId="77777777" w:rsidR="009653CF" w:rsidRPr="00EF6679" w:rsidRDefault="009653CF" w:rsidP="009653CF">
            <w:pPr>
              <w:spacing w:line="240" w:lineRule="auto"/>
              <w:jc w:val="center"/>
              <w:rPr>
                <w:rFonts w:ascii="Times New Roman" w:eastAsia="Times New Roman" w:hAnsi="Times New Roman" w:cs="Times New Roman"/>
                <w:color w:val="000000" w:themeColor="text1"/>
                <w:sz w:val="13"/>
                <w:szCs w:val="13"/>
              </w:rPr>
            </w:pPr>
            <w:r w:rsidRPr="00EF6679">
              <w:rPr>
                <w:rFonts w:ascii="Times New Roman" w:hAnsi="Times New Roman" w:cs="Times New Roman"/>
                <w:color w:val="000000" w:themeColor="text1"/>
                <w:sz w:val="13"/>
                <w:szCs w:val="13"/>
              </w:rPr>
              <w:t>0.0240</w:t>
            </w:r>
          </w:p>
        </w:tc>
        <w:tc>
          <w:tcPr>
            <w:tcW w:w="720" w:type="dxa"/>
            <w:tcBorders>
              <w:top w:val="nil"/>
              <w:left w:val="nil"/>
              <w:bottom w:val="nil"/>
              <w:right w:val="nil"/>
            </w:tcBorders>
            <w:noWrap/>
            <w:vAlign w:val="bottom"/>
            <w:hideMark/>
          </w:tcPr>
          <w:p w14:paraId="78B28EAA" w14:textId="77777777" w:rsidR="009653CF" w:rsidRPr="00EF6679" w:rsidRDefault="009653CF" w:rsidP="009653CF">
            <w:pPr>
              <w:spacing w:line="240" w:lineRule="auto"/>
              <w:jc w:val="center"/>
              <w:rPr>
                <w:rFonts w:ascii="Times New Roman" w:eastAsia="Times New Roman" w:hAnsi="Times New Roman" w:cs="Times New Roman"/>
                <w:color w:val="000000" w:themeColor="text1"/>
                <w:sz w:val="13"/>
                <w:szCs w:val="13"/>
              </w:rPr>
            </w:pPr>
            <w:r w:rsidRPr="00EF6679">
              <w:rPr>
                <w:rFonts w:ascii="Times New Roman" w:hAnsi="Times New Roman" w:cs="Times New Roman"/>
                <w:color w:val="000000" w:themeColor="text1"/>
                <w:sz w:val="13"/>
                <w:szCs w:val="13"/>
              </w:rPr>
              <w:t>0.0017</w:t>
            </w:r>
          </w:p>
        </w:tc>
        <w:tc>
          <w:tcPr>
            <w:tcW w:w="864" w:type="dxa"/>
            <w:tcBorders>
              <w:top w:val="nil"/>
              <w:left w:val="nil"/>
              <w:bottom w:val="nil"/>
              <w:right w:val="nil"/>
            </w:tcBorders>
            <w:noWrap/>
            <w:vAlign w:val="bottom"/>
            <w:hideMark/>
          </w:tcPr>
          <w:p w14:paraId="7518095D" w14:textId="77777777" w:rsidR="009653CF" w:rsidRPr="00EF6679" w:rsidRDefault="009653CF" w:rsidP="009653CF">
            <w:pPr>
              <w:spacing w:line="240" w:lineRule="auto"/>
              <w:jc w:val="center"/>
              <w:rPr>
                <w:rFonts w:ascii="Times New Roman" w:eastAsia="Times New Roman" w:hAnsi="Times New Roman" w:cs="Times New Roman"/>
                <w:color w:val="000000" w:themeColor="text1"/>
                <w:sz w:val="13"/>
                <w:szCs w:val="13"/>
              </w:rPr>
            </w:pPr>
            <w:r w:rsidRPr="00EF6679">
              <w:rPr>
                <w:rFonts w:ascii="Times New Roman" w:hAnsi="Times New Roman" w:cs="Times New Roman"/>
                <w:color w:val="000000" w:themeColor="text1"/>
                <w:sz w:val="13"/>
                <w:szCs w:val="13"/>
              </w:rPr>
              <w:t>0.0004</w:t>
            </w:r>
          </w:p>
        </w:tc>
      </w:tr>
      <w:tr w:rsidR="009653CF" w:rsidRPr="00EF6679" w14:paraId="6C4FB6EF" w14:textId="77777777" w:rsidTr="00820288">
        <w:tblPrEx>
          <w:jc w:val="lef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trHeight w:val="144"/>
        </w:trPr>
        <w:tc>
          <w:tcPr>
            <w:tcW w:w="2340" w:type="dxa"/>
            <w:tcBorders>
              <w:top w:val="nil"/>
              <w:left w:val="nil"/>
              <w:bottom w:val="nil"/>
              <w:right w:val="nil"/>
            </w:tcBorders>
            <w:noWrap/>
            <w:hideMark/>
          </w:tcPr>
          <w:p w14:paraId="57DA2C97" w14:textId="77777777" w:rsidR="009653CF" w:rsidRPr="00EF6679" w:rsidRDefault="009653CF" w:rsidP="009653CF">
            <w:pPr>
              <w:spacing w:line="240" w:lineRule="auto"/>
              <w:rPr>
                <w:rFonts w:ascii="Times New Roman" w:eastAsia="Times New Roman" w:hAnsi="Times New Roman" w:cs="Times New Roman"/>
                <w:color w:val="000000" w:themeColor="text1"/>
                <w:sz w:val="13"/>
                <w:szCs w:val="13"/>
              </w:rPr>
            </w:pPr>
            <w:r w:rsidRPr="00EF6679">
              <w:rPr>
                <w:rFonts w:ascii="Times New Roman" w:eastAsia="Times New Roman" w:hAnsi="Times New Roman" w:cs="Times New Roman"/>
                <w:color w:val="000000" w:themeColor="text1"/>
                <w:sz w:val="13"/>
                <w:szCs w:val="13"/>
              </w:rPr>
              <w:t>Ethanol, 2-phenoxy-</w:t>
            </w:r>
          </w:p>
        </w:tc>
        <w:tc>
          <w:tcPr>
            <w:tcW w:w="939" w:type="dxa"/>
            <w:tcBorders>
              <w:top w:val="nil"/>
              <w:left w:val="nil"/>
              <w:bottom w:val="nil"/>
              <w:right w:val="nil"/>
            </w:tcBorders>
            <w:noWrap/>
            <w:vAlign w:val="center"/>
            <w:hideMark/>
          </w:tcPr>
          <w:p w14:paraId="67ED7352" w14:textId="77777777" w:rsidR="009653CF" w:rsidRPr="00EF6679" w:rsidRDefault="009653CF" w:rsidP="009653CF">
            <w:pPr>
              <w:spacing w:line="240" w:lineRule="auto"/>
              <w:jc w:val="center"/>
              <w:rPr>
                <w:rFonts w:ascii="Times New Roman" w:eastAsia="Times New Roman" w:hAnsi="Times New Roman" w:cs="Times New Roman"/>
                <w:color w:val="000000" w:themeColor="text1"/>
                <w:sz w:val="13"/>
                <w:szCs w:val="13"/>
              </w:rPr>
            </w:pPr>
            <w:r w:rsidRPr="00EF6679">
              <w:rPr>
                <w:rFonts w:ascii="Times New Roman" w:eastAsia="Times New Roman" w:hAnsi="Times New Roman" w:cs="Times New Roman"/>
                <w:color w:val="000000" w:themeColor="text1"/>
                <w:sz w:val="13"/>
                <w:szCs w:val="13"/>
              </w:rPr>
              <w:t>122-99-6</w:t>
            </w:r>
          </w:p>
        </w:tc>
        <w:tc>
          <w:tcPr>
            <w:tcW w:w="1152" w:type="dxa"/>
            <w:tcBorders>
              <w:top w:val="nil"/>
              <w:left w:val="nil"/>
              <w:bottom w:val="nil"/>
              <w:right w:val="nil"/>
            </w:tcBorders>
            <w:noWrap/>
            <w:vAlign w:val="center"/>
            <w:hideMark/>
          </w:tcPr>
          <w:p w14:paraId="1B6E0228" w14:textId="77777777" w:rsidR="009653CF" w:rsidRPr="00EF6679" w:rsidRDefault="009653CF" w:rsidP="009653CF">
            <w:pPr>
              <w:spacing w:line="240" w:lineRule="auto"/>
              <w:jc w:val="center"/>
              <w:rPr>
                <w:rFonts w:ascii="Times New Roman" w:eastAsia="Times New Roman" w:hAnsi="Times New Roman" w:cs="Times New Roman"/>
                <w:color w:val="000000" w:themeColor="text1"/>
                <w:sz w:val="13"/>
                <w:szCs w:val="13"/>
              </w:rPr>
            </w:pPr>
            <w:r w:rsidRPr="00EF6679">
              <w:rPr>
                <w:rFonts w:ascii="Times New Roman" w:eastAsia="Times New Roman" w:hAnsi="Times New Roman" w:cs="Times New Roman"/>
                <w:color w:val="000000" w:themeColor="text1"/>
                <w:sz w:val="13"/>
                <w:szCs w:val="13"/>
              </w:rPr>
              <w:t>20.605</w:t>
            </w:r>
          </w:p>
        </w:tc>
        <w:tc>
          <w:tcPr>
            <w:tcW w:w="864" w:type="dxa"/>
            <w:tcBorders>
              <w:top w:val="nil"/>
              <w:left w:val="nil"/>
              <w:bottom w:val="nil"/>
              <w:right w:val="nil"/>
            </w:tcBorders>
            <w:noWrap/>
            <w:vAlign w:val="center"/>
            <w:hideMark/>
          </w:tcPr>
          <w:p w14:paraId="66558B8D" w14:textId="77777777" w:rsidR="009653CF" w:rsidRPr="00EF6679" w:rsidRDefault="009653CF" w:rsidP="009653CF">
            <w:pPr>
              <w:spacing w:line="240" w:lineRule="auto"/>
              <w:jc w:val="center"/>
              <w:rPr>
                <w:rFonts w:ascii="Times New Roman" w:eastAsia="Times New Roman" w:hAnsi="Times New Roman" w:cs="Times New Roman"/>
                <w:color w:val="000000" w:themeColor="text1"/>
                <w:sz w:val="13"/>
                <w:szCs w:val="13"/>
              </w:rPr>
            </w:pPr>
            <w:r w:rsidRPr="00EF6679">
              <w:rPr>
                <w:rFonts w:ascii="Times New Roman" w:eastAsia="Times New Roman" w:hAnsi="Times New Roman" w:cs="Times New Roman"/>
                <w:color w:val="000000" w:themeColor="text1"/>
                <w:sz w:val="13"/>
                <w:szCs w:val="13"/>
              </w:rPr>
              <w:t>n.d.</w:t>
            </w:r>
          </w:p>
        </w:tc>
        <w:tc>
          <w:tcPr>
            <w:tcW w:w="720" w:type="dxa"/>
            <w:tcBorders>
              <w:top w:val="nil"/>
              <w:left w:val="nil"/>
              <w:bottom w:val="nil"/>
              <w:right w:val="nil"/>
            </w:tcBorders>
            <w:noWrap/>
            <w:vAlign w:val="center"/>
            <w:hideMark/>
          </w:tcPr>
          <w:p w14:paraId="7AD783F3" w14:textId="77777777" w:rsidR="009653CF" w:rsidRPr="00EF6679" w:rsidRDefault="009653CF" w:rsidP="009653CF">
            <w:pPr>
              <w:spacing w:line="240" w:lineRule="auto"/>
              <w:jc w:val="center"/>
              <w:rPr>
                <w:rFonts w:ascii="Times New Roman" w:eastAsia="Times New Roman" w:hAnsi="Times New Roman" w:cs="Times New Roman"/>
                <w:color w:val="000000" w:themeColor="text1"/>
                <w:sz w:val="13"/>
                <w:szCs w:val="13"/>
              </w:rPr>
            </w:pPr>
            <w:r w:rsidRPr="00EF6679">
              <w:rPr>
                <w:rFonts w:ascii="Times New Roman" w:eastAsia="Times New Roman" w:hAnsi="Times New Roman" w:cs="Times New Roman"/>
                <w:color w:val="000000" w:themeColor="text1"/>
                <w:sz w:val="13"/>
                <w:szCs w:val="13"/>
              </w:rPr>
              <w:t>n.d.</w:t>
            </w:r>
          </w:p>
        </w:tc>
        <w:tc>
          <w:tcPr>
            <w:tcW w:w="864" w:type="dxa"/>
            <w:tcBorders>
              <w:top w:val="nil"/>
              <w:left w:val="nil"/>
              <w:bottom w:val="nil"/>
              <w:right w:val="nil"/>
            </w:tcBorders>
            <w:noWrap/>
            <w:vAlign w:val="center"/>
            <w:hideMark/>
          </w:tcPr>
          <w:p w14:paraId="38EDF86A" w14:textId="77777777" w:rsidR="009653CF" w:rsidRPr="00EF6679" w:rsidRDefault="009653CF" w:rsidP="009653CF">
            <w:pPr>
              <w:spacing w:line="240" w:lineRule="auto"/>
              <w:jc w:val="center"/>
              <w:rPr>
                <w:rFonts w:ascii="Times New Roman" w:eastAsia="Times New Roman" w:hAnsi="Times New Roman" w:cs="Times New Roman"/>
                <w:color w:val="000000" w:themeColor="text1"/>
                <w:sz w:val="13"/>
                <w:szCs w:val="13"/>
              </w:rPr>
            </w:pPr>
            <w:r w:rsidRPr="00EF6679">
              <w:rPr>
                <w:rFonts w:ascii="Times New Roman" w:eastAsia="Times New Roman" w:hAnsi="Times New Roman" w:cs="Times New Roman"/>
                <w:color w:val="000000" w:themeColor="text1"/>
                <w:sz w:val="13"/>
                <w:szCs w:val="13"/>
              </w:rPr>
              <w:t>n.d.</w:t>
            </w:r>
          </w:p>
        </w:tc>
        <w:tc>
          <w:tcPr>
            <w:tcW w:w="410" w:type="dxa"/>
            <w:tcBorders>
              <w:top w:val="nil"/>
              <w:left w:val="nil"/>
              <w:bottom w:val="nil"/>
              <w:right w:val="nil"/>
            </w:tcBorders>
            <w:noWrap/>
          </w:tcPr>
          <w:p w14:paraId="1C5FCD28" w14:textId="77777777" w:rsidR="009653CF" w:rsidRPr="00EF6679" w:rsidRDefault="009653CF" w:rsidP="009653CF">
            <w:pPr>
              <w:spacing w:line="240" w:lineRule="auto"/>
              <w:jc w:val="right"/>
              <w:rPr>
                <w:rFonts w:ascii="Times New Roman" w:eastAsia="Times New Roman" w:hAnsi="Times New Roman" w:cs="Times New Roman"/>
                <w:color w:val="000000" w:themeColor="text1"/>
                <w:sz w:val="13"/>
                <w:szCs w:val="13"/>
              </w:rPr>
            </w:pPr>
          </w:p>
        </w:tc>
        <w:tc>
          <w:tcPr>
            <w:tcW w:w="864" w:type="dxa"/>
            <w:tcBorders>
              <w:top w:val="nil"/>
              <w:left w:val="nil"/>
              <w:bottom w:val="nil"/>
              <w:right w:val="nil"/>
            </w:tcBorders>
            <w:noWrap/>
            <w:vAlign w:val="center"/>
            <w:hideMark/>
          </w:tcPr>
          <w:p w14:paraId="224E386C" w14:textId="77777777" w:rsidR="009653CF" w:rsidRPr="00EF6679" w:rsidRDefault="009653CF" w:rsidP="009653CF">
            <w:pPr>
              <w:spacing w:line="240" w:lineRule="auto"/>
              <w:jc w:val="center"/>
              <w:rPr>
                <w:rFonts w:ascii="Times New Roman" w:eastAsia="Times New Roman" w:hAnsi="Times New Roman" w:cs="Times New Roman"/>
                <w:color w:val="000000" w:themeColor="text1"/>
                <w:sz w:val="13"/>
                <w:szCs w:val="13"/>
              </w:rPr>
            </w:pPr>
            <w:r w:rsidRPr="00EF6679">
              <w:rPr>
                <w:rFonts w:ascii="Times New Roman" w:hAnsi="Times New Roman" w:cs="Times New Roman"/>
                <w:color w:val="000000" w:themeColor="text1"/>
                <w:sz w:val="13"/>
                <w:szCs w:val="13"/>
              </w:rPr>
              <w:t>n.d.</w:t>
            </w:r>
          </w:p>
        </w:tc>
        <w:tc>
          <w:tcPr>
            <w:tcW w:w="720" w:type="dxa"/>
            <w:tcBorders>
              <w:top w:val="nil"/>
              <w:left w:val="nil"/>
              <w:bottom w:val="nil"/>
              <w:right w:val="nil"/>
            </w:tcBorders>
            <w:noWrap/>
            <w:vAlign w:val="center"/>
            <w:hideMark/>
          </w:tcPr>
          <w:p w14:paraId="2DD74640" w14:textId="77777777" w:rsidR="009653CF" w:rsidRPr="00EF6679" w:rsidRDefault="009653CF" w:rsidP="009653CF">
            <w:pPr>
              <w:spacing w:line="240" w:lineRule="auto"/>
              <w:jc w:val="center"/>
              <w:rPr>
                <w:rFonts w:ascii="Times New Roman" w:eastAsia="Times New Roman" w:hAnsi="Times New Roman" w:cs="Times New Roman"/>
                <w:color w:val="000000" w:themeColor="text1"/>
                <w:sz w:val="13"/>
                <w:szCs w:val="13"/>
              </w:rPr>
            </w:pPr>
            <w:r w:rsidRPr="00EF6679">
              <w:rPr>
                <w:rFonts w:ascii="Times New Roman" w:hAnsi="Times New Roman" w:cs="Times New Roman"/>
                <w:color w:val="000000" w:themeColor="text1"/>
                <w:sz w:val="13"/>
                <w:szCs w:val="13"/>
              </w:rPr>
              <w:t>n.d.</w:t>
            </w:r>
          </w:p>
        </w:tc>
        <w:tc>
          <w:tcPr>
            <w:tcW w:w="864" w:type="dxa"/>
            <w:tcBorders>
              <w:top w:val="nil"/>
              <w:left w:val="nil"/>
              <w:bottom w:val="nil"/>
              <w:right w:val="nil"/>
            </w:tcBorders>
            <w:noWrap/>
            <w:vAlign w:val="center"/>
            <w:hideMark/>
          </w:tcPr>
          <w:p w14:paraId="36AED5E0" w14:textId="77777777" w:rsidR="009653CF" w:rsidRPr="00EF6679" w:rsidRDefault="009653CF" w:rsidP="009653CF">
            <w:pPr>
              <w:spacing w:line="240" w:lineRule="auto"/>
              <w:jc w:val="center"/>
              <w:rPr>
                <w:rFonts w:ascii="Times New Roman" w:eastAsia="Times New Roman" w:hAnsi="Times New Roman" w:cs="Times New Roman"/>
                <w:color w:val="000000" w:themeColor="text1"/>
                <w:sz w:val="13"/>
                <w:szCs w:val="13"/>
              </w:rPr>
            </w:pPr>
            <w:r w:rsidRPr="00EF6679">
              <w:rPr>
                <w:rFonts w:ascii="Times New Roman" w:hAnsi="Times New Roman" w:cs="Times New Roman"/>
                <w:color w:val="000000" w:themeColor="text1"/>
                <w:sz w:val="13"/>
                <w:szCs w:val="13"/>
              </w:rPr>
              <w:t>n.d.</w:t>
            </w:r>
          </w:p>
        </w:tc>
      </w:tr>
      <w:tr w:rsidR="009653CF" w:rsidRPr="00EF6679" w14:paraId="40905F39" w14:textId="77777777" w:rsidTr="00820288">
        <w:tblPrEx>
          <w:jc w:val="lef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trHeight w:val="144"/>
        </w:trPr>
        <w:tc>
          <w:tcPr>
            <w:tcW w:w="2340" w:type="dxa"/>
            <w:tcBorders>
              <w:top w:val="nil"/>
              <w:left w:val="nil"/>
              <w:bottom w:val="nil"/>
              <w:right w:val="nil"/>
            </w:tcBorders>
            <w:noWrap/>
            <w:hideMark/>
          </w:tcPr>
          <w:p w14:paraId="4929D061" w14:textId="77777777" w:rsidR="009653CF" w:rsidRPr="00EF6679" w:rsidRDefault="009653CF" w:rsidP="009653CF">
            <w:pPr>
              <w:spacing w:line="240" w:lineRule="auto"/>
              <w:rPr>
                <w:rFonts w:ascii="Times New Roman" w:eastAsia="Times New Roman" w:hAnsi="Times New Roman" w:cs="Times New Roman"/>
                <w:color w:val="000000" w:themeColor="text1"/>
                <w:sz w:val="13"/>
                <w:szCs w:val="13"/>
              </w:rPr>
            </w:pPr>
            <w:r w:rsidRPr="00EF6679">
              <w:rPr>
                <w:rFonts w:ascii="Times New Roman" w:eastAsia="Times New Roman" w:hAnsi="Times New Roman" w:cs="Times New Roman"/>
                <w:color w:val="000000" w:themeColor="text1"/>
                <w:sz w:val="13"/>
                <w:szCs w:val="13"/>
              </w:rPr>
              <w:t xml:space="preserve">Benzenepropanenitrile    </w:t>
            </w:r>
          </w:p>
        </w:tc>
        <w:tc>
          <w:tcPr>
            <w:tcW w:w="939" w:type="dxa"/>
            <w:tcBorders>
              <w:top w:val="nil"/>
              <w:left w:val="nil"/>
              <w:bottom w:val="nil"/>
              <w:right w:val="nil"/>
            </w:tcBorders>
            <w:noWrap/>
            <w:vAlign w:val="center"/>
            <w:hideMark/>
          </w:tcPr>
          <w:p w14:paraId="642C0642" w14:textId="77777777" w:rsidR="009653CF" w:rsidRPr="00EF6679" w:rsidRDefault="009653CF" w:rsidP="009653CF">
            <w:pPr>
              <w:spacing w:line="240" w:lineRule="auto"/>
              <w:jc w:val="center"/>
              <w:rPr>
                <w:rFonts w:ascii="Times New Roman" w:eastAsia="Times New Roman" w:hAnsi="Times New Roman" w:cs="Times New Roman"/>
                <w:color w:val="000000" w:themeColor="text1"/>
                <w:sz w:val="13"/>
                <w:szCs w:val="13"/>
              </w:rPr>
            </w:pPr>
            <w:r w:rsidRPr="00EF6679">
              <w:rPr>
                <w:rFonts w:ascii="Times New Roman" w:eastAsia="Times New Roman" w:hAnsi="Times New Roman" w:cs="Times New Roman"/>
                <w:color w:val="000000" w:themeColor="text1"/>
                <w:sz w:val="13"/>
                <w:szCs w:val="13"/>
              </w:rPr>
              <w:t>645-59-0</w:t>
            </w:r>
          </w:p>
        </w:tc>
        <w:tc>
          <w:tcPr>
            <w:tcW w:w="1152" w:type="dxa"/>
            <w:tcBorders>
              <w:top w:val="nil"/>
              <w:left w:val="nil"/>
              <w:bottom w:val="nil"/>
              <w:right w:val="nil"/>
            </w:tcBorders>
            <w:noWrap/>
            <w:vAlign w:val="center"/>
            <w:hideMark/>
          </w:tcPr>
          <w:p w14:paraId="07F8F6D5" w14:textId="77777777" w:rsidR="009653CF" w:rsidRPr="00EF6679" w:rsidRDefault="009653CF" w:rsidP="009653CF">
            <w:pPr>
              <w:spacing w:line="240" w:lineRule="auto"/>
              <w:jc w:val="center"/>
              <w:rPr>
                <w:rFonts w:ascii="Times New Roman" w:eastAsia="Times New Roman" w:hAnsi="Times New Roman" w:cs="Times New Roman"/>
                <w:color w:val="000000" w:themeColor="text1"/>
                <w:sz w:val="13"/>
                <w:szCs w:val="13"/>
              </w:rPr>
            </w:pPr>
            <w:r w:rsidRPr="00EF6679">
              <w:rPr>
                <w:rFonts w:ascii="Times New Roman" w:eastAsia="Times New Roman" w:hAnsi="Times New Roman" w:cs="Times New Roman"/>
                <w:color w:val="000000" w:themeColor="text1"/>
                <w:sz w:val="13"/>
                <w:szCs w:val="13"/>
              </w:rPr>
              <w:t>21.072</w:t>
            </w:r>
          </w:p>
        </w:tc>
        <w:tc>
          <w:tcPr>
            <w:tcW w:w="864" w:type="dxa"/>
            <w:tcBorders>
              <w:top w:val="nil"/>
              <w:left w:val="nil"/>
              <w:bottom w:val="nil"/>
              <w:right w:val="nil"/>
            </w:tcBorders>
            <w:noWrap/>
            <w:vAlign w:val="center"/>
            <w:hideMark/>
          </w:tcPr>
          <w:p w14:paraId="75220F95" w14:textId="77777777" w:rsidR="009653CF" w:rsidRPr="00EF6679" w:rsidRDefault="009653CF" w:rsidP="009653CF">
            <w:pPr>
              <w:spacing w:line="240" w:lineRule="auto"/>
              <w:jc w:val="center"/>
              <w:rPr>
                <w:rFonts w:ascii="Times New Roman" w:eastAsia="Times New Roman" w:hAnsi="Times New Roman" w:cs="Times New Roman"/>
                <w:color w:val="000000" w:themeColor="text1"/>
                <w:sz w:val="13"/>
                <w:szCs w:val="13"/>
              </w:rPr>
            </w:pPr>
            <w:r w:rsidRPr="00EF6679">
              <w:rPr>
                <w:rFonts w:ascii="Times New Roman" w:eastAsia="Times New Roman" w:hAnsi="Times New Roman" w:cs="Times New Roman"/>
                <w:color w:val="000000" w:themeColor="text1"/>
                <w:sz w:val="13"/>
                <w:szCs w:val="13"/>
              </w:rPr>
              <w:t>1.00</w:t>
            </w:r>
          </w:p>
        </w:tc>
        <w:tc>
          <w:tcPr>
            <w:tcW w:w="720" w:type="dxa"/>
            <w:tcBorders>
              <w:top w:val="nil"/>
              <w:left w:val="nil"/>
              <w:bottom w:val="nil"/>
              <w:right w:val="nil"/>
            </w:tcBorders>
            <w:noWrap/>
            <w:vAlign w:val="center"/>
            <w:hideMark/>
          </w:tcPr>
          <w:p w14:paraId="36BCCEE6" w14:textId="77777777" w:rsidR="009653CF" w:rsidRPr="00EF6679" w:rsidRDefault="009653CF" w:rsidP="009653CF">
            <w:pPr>
              <w:spacing w:line="240" w:lineRule="auto"/>
              <w:jc w:val="center"/>
              <w:rPr>
                <w:rFonts w:ascii="Times New Roman" w:eastAsia="Times New Roman" w:hAnsi="Times New Roman" w:cs="Times New Roman"/>
                <w:color w:val="000000" w:themeColor="text1"/>
                <w:sz w:val="13"/>
                <w:szCs w:val="13"/>
              </w:rPr>
            </w:pPr>
            <w:r w:rsidRPr="00EF6679">
              <w:rPr>
                <w:rFonts w:ascii="Times New Roman" w:eastAsia="Times New Roman" w:hAnsi="Times New Roman" w:cs="Times New Roman"/>
                <w:color w:val="000000" w:themeColor="text1"/>
                <w:sz w:val="13"/>
                <w:szCs w:val="13"/>
              </w:rPr>
              <w:t>1.00</w:t>
            </w:r>
          </w:p>
        </w:tc>
        <w:tc>
          <w:tcPr>
            <w:tcW w:w="864" w:type="dxa"/>
            <w:tcBorders>
              <w:top w:val="nil"/>
              <w:left w:val="nil"/>
              <w:bottom w:val="nil"/>
              <w:right w:val="nil"/>
            </w:tcBorders>
            <w:noWrap/>
            <w:vAlign w:val="center"/>
            <w:hideMark/>
          </w:tcPr>
          <w:p w14:paraId="045A2C7E" w14:textId="77777777" w:rsidR="009653CF" w:rsidRPr="00EF6679" w:rsidRDefault="009653CF" w:rsidP="009653CF">
            <w:pPr>
              <w:spacing w:line="240" w:lineRule="auto"/>
              <w:jc w:val="center"/>
              <w:rPr>
                <w:rFonts w:ascii="Times New Roman" w:eastAsia="Times New Roman" w:hAnsi="Times New Roman" w:cs="Times New Roman"/>
                <w:color w:val="000000" w:themeColor="text1"/>
                <w:sz w:val="13"/>
                <w:szCs w:val="13"/>
              </w:rPr>
            </w:pPr>
            <w:r w:rsidRPr="00EF6679">
              <w:rPr>
                <w:rFonts w:ascii="Times New Roman" w:eastAsia="Times New Roman" w:hAnsi="Times New Roman" w:cs="Times New Roman"/>
                <w:color w:val="000000" w:themeColor="text1"/>
                <w:sz w:val="13"/>
                <w:szCs w:val="13"/>
              </w:rPr>
              <w:t>1.00</w:t>
            </w:r>
          </w:p>
        </w:tc>
        <w:tc>
          <w:tcPr>
            <w:tcW w:w="410" w:type="dxa"/>
            <w:tcBorders>
              <w:top w:val="nil"/>
              <w:left w:val="nil"/>
              <w:bottom w:val="nil"/>
              <w:right w:val="nil"/>
            </w:tcBorders>
            <w:noWrap/>
          </w:tcPr>
          <w:p w14:paraId="12699692" w14:textId="77777777" w:rsidR="009653CF" w:rsidRPr="00EF6679" w:rsidRDefault="009653CF" w:rsidP="009653CF">
            <w:pPr>
              <w:spacing w:line="240" w:lineRule="auto"/>
              <w:jc w:val="right"/>
              <w:rPr>
                <w:rFonts w:ascii="Times New Roman" w:eastAsia="Times New Roman" w:hAnsi="Times New Roman" w:cs="Times New Roman"/>
                <w:color w:val="000000" w:themeColor="text1"/>
                <w:sz w:val="13"/>
                <w:szCs w:val="13"/>
              </w:rPr>
            </w:pPr>
          </w:p>
        </w:tc>
        <w:tc>
          <w:tcPr>
            <w:tcW w:w="864" w:type="dxa"/>
            <w:tcBorders>
              <w:top w:val="nil"/>
              <w:left w:val="nil"/>
              <w:bottom w:val="nil"/>
              <w:right w:val="nil"/>
            </w:tcBorders>
            <w:noWrap/>
            <w:vAlign w:val="bottom"/>
            <w:hideMark/>
          </w:tcPr>
          <w:p w14:paraId="77C22CBD" w14:textId="77777777" w:rsidR="009653CF" w:rsidRPr="00EF6679" w:rsidRDefault="009653CF" w:rsidP="009653CF">
            <w:pPr>
              <w:spacing w:line="240" w:lineRule="auto"/>
              <w:jc w:val="center"/>
              <w:rPr>
                <w:rFonts w:ascii="Times New Roman" w:eastAsia="Times New Roman" w:hAnsi="Times New Roman" w:cs="Times New Roman"/>
                <w:color w:val="000000" w:themeColor="text1"/>
                <w:sz w:val="13"/>
                <w:szCs w:val="13"/>
              </w:rPr>
            </w:pPr>
            <w:r w:rsidRPr="00EF6679">
              <w:rPr>
                <w:rFonts w:ascii="Times New Roman" w:hAnsi="Times New Roman" w:cs="Times New Roman"/>
                <w:color w:val="000000" w:themeColor="text1"/>
                <w:sz w:val="13"/>
                <w:szCs w:val="13"/>
              </w:rPr>
              <w:t>0.3185</w:t>
            </w:r>
          </w:p>
        </w:tc>
        <w:tc>
          <w:tcPr>
            <w:tcW w:w="720" w:type="dxa"/>
            <w:tcBorders>
              <w:top w:val="nil"/>
              <w:left w:val="nil"/>
              <w:bottom w:val="nil"/>
              <w:right w:val="nil"/>
            </w:tcBorders>
            <w:noWrap/>
            <w:vAlign w:val="bottom"/>
            <w:hideMark/>
          </w:tcPr>
          <w:p w14:paraId="6F3B365C" w14:textId="77777777" w:rsidR="009653CF" w:rsidRPr="00EF6679" w:rsidRDefault="009653CF" w:rsidP="009653CF">
            <w:pPr>
              <w:spacing w:line="240" w:lineRule="auto"/>
              <w:jc w:val="center"/>
              <w:rPr>
                <w:rFonts w:ascii="Times New Roman" w:eastAsia="Times New Roman" w:hAnsi="Times New Roman" w:cs="Times New Roman"/>
                <w:color w:val="000000" w:themeColor="text1"/>
                <w:sz w:val="13"/>
                <w:szCs w:val="13"/>
              </w:rPr>
            </w:pPr>
            <w:r w:rsidRPr="00EF6679">
              <w:rPr>
                <w:rFonts w:ascii="Times New Roman" w:hAnsi="Times New Roman" w:cs="Times New Roman"/>
                <w:color w:val="000000" w:themeColor="text1"/>
                <w:sz w:val="13"/>
                <w:szCs w:val="13"/>
              </w:rPr>
              <w:t>0.4476</w:t>
            </w:r>
          </w:p>
        </w:tc>
        <w:tc>
          <w:tcPr>
            <w:tcW w:w="864" w:type="dxa"/>
            <w:tcBorders>
              <w:top w:val="nil"/>
              <w:left w:val="nil"/>
              <w:bottom w:val="nil"/>
              <w:right w:val="nil"/>
            </w:tcBorders>
            <w:noWrap/>
            <w:vAlign w:val="bottom"/>
            <w:hideMark/>
          </w:tcPr>
          <w:p w14:paraId="4DA1503F" w14:textId="77777777" w:rsidR="009653CF" w:rsidRPr="00EF6679" w:rsidRDefault="009653CF" w:rsidP="009653CF">
            <w:pPr>
              <w:spacing w:line="240" w:lineRule="auto"/>
              <w:jc w:val="center"/>
              <w:rPr>
                <w:rFonts w:ascii="Times New Roman" w:eastAsia="Times New Roman" w:hAnsi="Times New Roman" w:cs="Times New Roman"/>
                <w:color w:val="000000" w:themeColor="text1"/>
                <w:sz w:val="13"/>
                <w:szCs w:val="13"/>
              </w:rPr>
            </w:pPr>
            <w:r w:rsidRPr="00EF6679">
              <w:rPr>
                <w:rFonts w:ascii="Times New Roman" w:hAnsi="Times New Roman" w:cs="Times New Roman"/>
                <w:color w:val="000000" w:themeColor="text1"/>
                <w:sz w:val="13"/>
                <w:szCs w:val="13"/>
              </w:rPr>
              <w:t>0.4476</w:t>
            </w:r>
          </w:p>
        </w:tc>
      </w:tr>
      <w:tr w:rsidR="009653CF" w:rsidRPr="00EF6679" w14:paraId="11DB7BE7" w14:textId="77777777" w:rsidTr="00820288">
        <w:tblPrEx>
          <w:jc w:val="lef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trHeight w:val="144"/>
        </w:trPr>
        <w:tc>
          <w:tcPr>
            <w:tcW w:w="2340" w:type="dxa"/>
            <w:tcBorders>
              <w:top w:val="nil"/>
              <w:left w:val="nil"/>
              <w:bottom w:val="nil"/>
              <w:right w:val="nil"/>
            </w:tcBorders>
            <w:noWrap/>
            <w:hideMark/>
          </w:tcPr>
          <w:p w14:paraId="7DA1DB7B" w14:textId="77777777" w:rsidR="009653CF" w:rsidRPr="00EF6679" w:rsidRDefault="009653CF" w:rsidP="009653CF">
            <w:pPr>
              <w:spacing w:line="240" w:lineRule="auto"/>
              <w:rPr>
                <w:rFonts w:ascii="Times New Roman" w:eastAsia="Times New Roman" w:hAnsi="Times New Roman" w:cs="Times New Roman"/>
                <w:color w:val="000000" w:themeColor="text1"/>
                <w:sz w:val="13"/>
                <w:szCs w:val="13"/>
              </w:rPr>
            </w:pPr>
            <w:r w:rsidRPr="00EF6679">
              <w:rPr>
                <w:rFonts w:ascii="Times New Roman" w:eastAsia="Times New Roman" w:hAnsi="Times New Roman" w:cs="Times New Roman"/>
                <w:color w:val="000000" w:themeColor="text1"/>
                <w:sz w:val="13"/>
                <w:szCs w:val="13"/>
              </w:rPr>
              <w:t xml:space="preserve">d-Carvone                </w:t>
            </w:r>
          </w:p>
        </w:tc>
        <w:tc>
          <w:tcPr>
            <w:tcW w:w="939" w:type="dxa"/>
            <w:tcBorders>
              <w:top w:val="nil"/>
              <w:left w:val="nil"/>
              <w:bottom w:val="nil"/>
              <w:right w:val="nil"/>
            </w:tcBorders>
            <w:noWrap/>
            <w:vAlign w:val="center"/>
            <w:hideMark/>
          </w:tcPr>
          <w:p w14:paraId="456DEC5A" w14:textId="77777777" w:rsidR="009653CF" w:rsidRPr="00EF6679" w:rsidRDefault="009653CF" w:rsidP="009653CF">
            <w:pPr>
              <w:spacing w:line="240" w:lineRule="auto"/>
              <w:jc w:val="center"/>
              <w:rPr>
                <w:rFonts w:ascii="Times New Roman" w:eastAsia="Times New Roman" w:hAnsi="Times New Roman" w:cs="Times New Roman"/>
                <w:color w:val="000000" w:themeColor="text1"/>
                <w:sz w:val="13"/>
                <w:szCs w:val="13"/>
              </w:rPr>
            </w:pPr>
            <w:r w:rsidRPr="00EF6679">
              <w:rPr>
                <w:rFonts w:ascii="Times New Roman" w:eastAsia="Times New Roman" w:hAnsi="Times New Roman" w:cs="Times New Roman"/>
                <w:color w:val="000000" w:themeColor="text1"/>
                <w:sz w:val="13"/>
                <w:szCs w:val="13"/>
              </w:rPr>
              <w:t>2244-16-8</w:t>
            </w:r>
          </w:p>
        </w:tc>
        <w:tc>
          <w:tcPr>
            <w:tcW w:w="1152" w:type="dxa"/>
            <w:tcBorders>
              <w:top w:val="nil"/>
              <w:left w:val="nil"/>
              <w:bottom w:val="nil"/>
              <w:right w:val="nil"/>
            </w:tcBorders>
            <w:noWrap/>
            <w:vAlign w:val="center"/>
            <w:hideMark/>
          </w:tcPr>
          <w:p w14:paraId="25111D7A" w14:textId="77777777" w:rsidR="009653CF" w:rsidRPr="00EF6679" w:rsidRDefault="009653CF" w:rsidP="009653CF">
            <w:pPr>
              <w:spacing w:line="240" w:lineRule="auto"/>
              <w:jc w:val="center"/>
              <w:rPr>
                <w:rFonts w:ascii="Times New Roman" w:eastAsia="Times New Roman" w:hAnsi="Times New Roman" w:cs="Times New Roman"/>
                <w:color w:val="000000" w:themeColor="text1"/>
                <w:sz w:val="13"/>
                <w:szCs w:val="13"/>
              </w:rPr>
            </w:pPr>
            <w:r w:rsidRPr="00EF6679">
              <w:rPr>
                <w:rFonts w:ascii="Times New Roman" w:eastAsia="Times New Roman" w:hAnsi="Times New Roman" w:cs="Times New Roman"/>
                <w:color w:val="000000" w:themeColor="text1"/>
                <w:sz w:val="13"/>
                <w:szCs w:val="13"/>
              </w:rPr>
              <w:t>21.161</w:t>
            </w:r>
          </w:p>
        </w:tc>
        <w:tc>
          <w:tcPr>
            <w:tcW w:w="864" w:type="dxa"/>
            <w:tcBorders>
              <w:top w:val="nil"/>
              <w:left w:val="nil"/>
              <w:bottom w:val="nil"/>
              <w:right w:val="nil"/>
            </w:tcBorders>
            <w:noWrap/>
            <w:vAlign w:val="center"/>
            <w:hideMark/>
          </w:tcPr>
          <w:p w14:paraId="1CA49090" w14:textId="77777777" w:rsidR="009653CF" w:rsidRPr="00EF6679" w:rsidRDefault="009653CF" w:rsidP="009653CF">
            <w:pPr>
              <w:spacing w:line="240" w:lineRule="auto"/>
              <w:jc w:val="center"/>
              <w:rPr>
                <w:rFonts w:ascii="Times New Roman" w:eastAsia="Times New Roman" w:hAnsi="Times New Roman" w:cs="Times New Roman"/>
                <w:color w:val="000000" w:themeColor="text1"/>
                <w:sz w:val="13"/>
                <w:szCs w:val="13"/>
              </w:rPr>
            </w:pPr>
            <w:r w:rsidRPr="00EF6679">
              <w:rPr>
                <w:rFonts w:ascii="Times New Roman" w:eastAsia="Times New Roman" w:hAnsi="Times New Roman" w:cs="Times New Roman"/>
                <w:color w:val="000000" w:themeColor="text1"/>
                <w:sz w:val="13"/>
                <w:szCs w:val="13"/>
              </w:rPr>
              <w:t>17.97</w:t>
            </w:r>
          </w:p>
        </w:tc>
        <w:tc>
          <w:tcPr>
            <w:tcW w:w="720" w:type="dxa"/>
            <w:tcBorders>
              <w:top w:val="nil"/>
              <w:left w:val="nil"/>
              <w:bottom w:val="nil"/>
              <w:right w:val="nil"/>
            </w:tcBorders>
            <w:noWrap/>
            <w:vAlign w:val="center"/>
            <w:hideMark/>
          </w:tcPr>
          <w:p w14:paraId="704AA379" w14:textId="77777777" w:rsidR="009653CF" w:rsidRPr="00EF6679" w:rsidRDefault="009653CF" w:rsidP="009653CF">
            <w:pPr>
              <w:spacing w:line="240" w:lineRule="auto"/>
              <w:jc w:val="center"/>
              <w:rPr>
                <w:rFonts w:ascii="Times New Roman" w:eastAsia="Times New Roman" w:hAnsi="Times New Roman" w:cs="Times New Roman"/>
                <w:color w:val="000000" w:themeColor="text1"/>
                <w:sz w:val="13"/>
                <w:szCs w:val="13"/>
              </w:rPr>
            </w:pPr>
            <w:r w:rsidRPr="00EF6679">
              <w:rPr>
                <w:rFonts w:ascii="Times New Roman" w:eastAsia="Times New Roman" w:hAnsi="Times New Roman" w:cs="Times New Roman"/>
                <w:color w:val="000000" w:themeColor="text1"/>
                <w:sz w:val="13"/>
                <w:szCs w:val="13"/>
              </w:rPr>
              <w:t>1.84</w:t>
            </w:r>
          </w:p>
        </w:tc>
        <w:tc>
          <w:tcPr>
            <w:tcW w:w="864" w:type="dxa"/>
            <w:tcBorders>
              <w:top w:val="nil"/>
              <w:left w:val="nil"/>
              <w:bottom w:val="nil"/>
              <w:right w:val="nil"/>
            </w:tcBorders>
            <w:noWrap/>
            <w:vAlign w:val="center"/>
            <w:hideMark/>
          </w:tcPr>
          <w:p w14:paraId="7A6E5DE0" w14:textId="77777777" w:rsidR="009653CF" w:rsidRPr="00EF6679" w:rsidRDefault="009653CF" w:rsidP="009653CF">
            <w:pPr>
              <w:spacing w:line="240" w:lineRule="auto"/>
              <w:jc w:val="center"/>
              <w:rPr>
                <w:rFonts w:ascii="Times New Roman" w:eastAsia="Times New Roman" w:hAnsi="Times New Roman" w:cs="Times New Roman"/>
                <w:color w:val="000000" w:themeColor="text1"/>
                <w:sz w:val="13"/>
                <w:szCs w:val="13"/>
              </w:rPr>
            </w:pPr>
            <w:r w:rsidRPr="00EF6679">
              <w:rPr>
                <w:rFonts w:ascii="Times New Roman" w:eastAsia="Times New Roman" w:hAnsi="Times New Roman" w:cs="Times New Roman"/>
                <w:color w:val="000000" w:themeColor="text1"/>
                <w:sz w:val="13"/>
                <w:szCs w:val="13"/>
              </w:rPr>
              <w:t>2.23</w:t>
            </w:r>
          </w:p>
        </w:tc>
        <w:tc>
          <w:tcPr>
            <w:tcW w:w="410" w:type="dxa"/>
            <w:tcBorders>
              <w:top w:val="nil"/>
              <w:left w:val="nil"/>
              <w:bottom w:val="nil"/>
              <w:right w:val="nil"/>
            </w:tcBorders>
            <w:noWrap/>
          </w:tcPr>
          <w:p w14:paraId="77146391" w14:textId="77777777" w:rsidR="009653CF" w:rsidRPr="00EF6679" w:rsidRDefault="009653CF" w:rsidP="009653CF">
            <w:pPr>
              <w:spacing w:line="240" w:lineRule="auto"/>
              <w:jc w:val="right"/>
              <w:rPr>
                <w:rFonts w:ascii="Times New Roman" w:eastAsia="Times New Roman" w:hAnsi="Times New Roman" w:cs="Times New Roman"/>
                <w:color w:val="000000" w:themeColor="text1"/>
                <w:sz w:val="13"/>
                <w:szCs w:val="13"/>
              </w:rPr>
            </w:pPr>
          </w:p>
        </w:tc>
        <w:tc>
          <w:tcPr>
            <w:tcW w:w="864" w:type="dxa"/>
            <w:tcBorders>
              <w:top w:val="nil"/>
              <w:left w:val="nil"/>
              <w:bottom w:val="nil"/>
              <w:right w:val="nil"/>
            </w:tcBorders>
            <w:noWrap/>
            <w:vAlign w:val="bottom"/>
            <w:hideMark/>
          </w:tcPr>
          <w:p w14:paraId="643CA1FE" w14:textId="77777777" w:rsidR="009653CF" w:rsidRPr="00EF6679" w:rsidRDefault="009653CF" w:rsidP="009653CF">
            <w:pPr>
              <w:spacing w:line="240" w:lineRule="auto"/>
              <w:jc w:val="center"/>
              <w:rPr>
                <w:rFonts w:ascii="Times New Roman" w:eastAsia="Times New Roman" w:hAnsi="Times New Roman" w:cs="Times New Roman"/>
                <w:color w:val="000000" w:themeColor="text1"/>
                <w:sz w:val="13"/>
                <w:szCs w:val="13"/>
              </w:rPr>
            </w:pPr>
            <w:r w:rsidRPr="00EF6679">
              <w:rPr>
                <w:rFonts w:ascii="Times New Roman" w:hAnsi="Times New Roman" w:cs="Times New Roman"/>
                <w:color w:val="000000" w:themeColor="text1"/>
                <w:sz w:val="13"/>
                <w:szCs w:val="13"/>
              </w:rPr>
              <w:t xml:space="preserve">&lt;.0001 </w:t>
            </w:r>
          </w:p>
        </w:tc>
        <w:tc>
          <w:tcPr>
            <w:tcW w:w="720" w:type="dxa"/>
            <w:tcBorders>
              <w:top w:val="nil"/>
              <w:left w:val="nil"/>
              <w:bottom w:val="nil"/>
              <w:right w:val="nil"/>
            </w:tcBorders>
            <w:noWrap/>
            <w:vAlign w:val="bottom"/>
            <w:hideMark/>
          </w:tcPr>
          <w:p w14:paraId="051F71E8" w14:textId="77777777" w:rsidR="009653CF" w:rsidRPr="00EF6679" w:rsidRDefault="009653CF" w:rsidP="009653CF">
            <w:pPr>
              <w:spacing w:line="240" w:lineRule="auto"/>
              <w:jc w:val="center"/>
              <w:rPr>
                <w:rFonts w:ascii="Times New Roman" w:eastAsia="Times New Roman" w:hAnsi="Times New Roman" w:cs="Times New Roman"/>
                <w:color w:val="000000" w:themeColor="text1"/>
                <w:sz w:val="13"/>
                <w:szCs w:val="13"/>
              </w:rPr>
            </w:pPr>
            <w:r w:rsidRPr="00EF6679">
              <w:rPr>
                <w:rFonts w:ascii="Times New Roman" w:hAnsi="Times New Roman" w:cs="Times New Roman"/>
                <w:color w:val="000000" w:themeColor="text1"/>
                <w:sz w:val="13"/>
                <w:szCs w:val="13"/>
              </w:rPr>
              <w:t>0.0489</w:t>
            </w:r>
          </w:p>
        </w:tc>
        <w:tc>
          <w:tcPr>
            <w:tcW w:w="864" w:type="dxa"/>
            <w:tcBorders>
              <w:top w:val="nil"/>
              <w:left w:val="nil"/>
              <w:bottom w:val="nil"/>
              <w:right w:val="nil"/>
            </w:tcBorders>
            <w:noWrap/>
            <w:vAlign w:val="bottom"/>
            <w:hideMark/>
          </w:tcPr>
          <w:p w14:paraId="22618296" w14:textId="77777777" w:rsidR="009653CF" w:rsidRPr="00EF6679" w:rsidRDefault="009653CF" w:rsidP="009653CF">
            <w:pPr>
              <w:spacing w:line="240" w:lineRule="auto"/>
              <w:jc w:val="center"/>
              <w:rPr>
                <w:rFonts w:ascii="Times New Roman" w:eastAsia="Times New Roman" w:hAnsi="Times New Roman" w:cs="Times New Roman"/>
                <w:color w:val="000000" w:themeColor="text1"/>
                <w:sz w:val="13"/>
                <w:szCs w:val="13"/>
              </w:rPr>
            </w:pPr>
            <w:r w:rsidRPr="00EF6679">
              <w:rPr>
                <w:rFonts w:ascii="Times New Roman" w:hAnsi="Times New Roman" w:cs="Times New Roman"/>
                <w:color w:val="000000" w:themeColor="text1"/>
                <w:sz w:val="13"/>
                <w:szCs w:val="13"/>
              </w:rPr>
              <w:t>0.0140</w:t>
            </w:r>
          </w:p>
        </w:tc>
      </w:tr>
      <w:tr w:rsidR="009653CF" w:rsidRPr="00EF6679" w14:paraId="3F11C097" w14:textId="77777777" w:rsidTr="00820288">
        <w:tblPrEx>
          <w:jc w:val="lef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trHeight w:val="144"/>
        </w:trPr>
        <w:tc>
          <w:tcPr>
            <w:tcW w:w="2340" w:type="dxa"/>
            <w:tcBorders>
              <w:top w:val="nil"/>
              <w:left w:val="nil"/>
              <w:bottom w:val="nil"/>
              <w:right w:val="nil"/>
            </w:tcBorders>
            <w:noWrap/>
            <w:hideMark/>
          </w:tcPr>
          <w:p w14:paraId="2C2D045E" w14:textId="77777777" w:rsidR="009653CF" w:rsidRPr="00EF6679" w:rsidRDefault="009653CF" w:rsidP="009653CF">
            <w:pPr>
              <w:spacing w:line="240" w:lineRule="auto"/>
              <w:rPr>
                <w:rFonts w:ascii="Times New Roman" w:eastAsia="Times New Roman" w:hAnsi="Times New Roman" w:cs="Times New Roman"/>
                <w:color w:val="000000" w:themeColor="text1"/>
                <w:sz w:val="13"/>
                <w:szCs w:val="13"/>
              </w:rPr>
            </w:pPr>
            <w:r w:rsidRPr="00EF6679">
              <w:rPr>
                <w:rFonts w:ascii="Times New Roman" w:eastAsia="Times New Roman" w:hAnsi="Times New Roman" w:cs="Times New Roman"/>
                <w:color w:val="000000" w:themeColor="text1"/>
                <w:sz w:val="13"/>
                <w:szCs w:val="13"/>
              </w:rPr>
              <w:t xml:space="preserve">Indole                   </w:t>
            </w:r>
          </w:p>
        </w:tc>
        <w:tc>
          <w:tcPr>
            <w:tcW w:w="939" w:type="dxa"/>
            <w:tcBorders>
              <w:top w:val="nil"/>
              <w:left w:val="nil"/>
              <w:bottom w:val="nil"/>
              <w:right w:val="nil"/>
            </w:tcBorders>
            <w:noWrap/>
            <w:vAlign w:val="center"/>
            <w:hideMark/>
          </w:tcPr>
          <w:p w14:paraId="560D4D82" w14:textId="77777777" w:rsidR="009653CF" w:rsidRPr="00EF6679" w:rsidRDefault="009653CF" w:rsidP="009653CF">
            <w:pPr>
              <w:spacing w:line="240" w:lineRule="auto"/>
              <w:jc w:val="center"/>
              <w:rPr>
                <w:rFonts w:ascii="Times New Roman" w:eastAsia="Times New Roman" w:hAnsi="Times New Roman" w:cs="Times New Roman"/>
                <w:color w:val="000000" w:themeColor="text1"/>
                <w:sz w:val="13"/>
                <w:szCs w:val="13"/>
              </w:rPr>
            </w:pPr>
            <w:r w:rsidRPr="00EF6679">
              <w:rPr>
                <w:rFonts w:ascii="Times New Roman" w:eastAsia="Times New Roman" w:hAnsi="Times New Roman" w:cs="Times New Roman"/>
                <w:color w:val="000000" w:themeColor="text1"/>
                <w:sz w:val="13"/>
                <w:szCs w:val="13"/>
              </w:rPr>
              <w:t>120-72-9</w:t>
            </w:r>
          </w:p>
        </w:tc>
        <w:tc>
          <w:tcPr>
            <w:tcW w:w="1152" w:type="dxa"/>
            <w:tcBorders>
              <w:top w:val="nil"/>
              <w:left w:val="nil"/>
              <w:bottom w:val="nil"/>
              <w:right w:val="nil"/>
            </w:tcBorders>
            <w:noWrap/>
            <w:vAlign w:val="center"/>
            <w:hideMark/>
          </w:tcPr>
          <w:p w14:paraId="57635961" w14:textId="77777777" w:rsidR="009653CF" w:rsidRPr="00EF6679" w:rsidRDefault="009653CF" w:rsidP="009653CF">
            <w:pPr>
              <w:spacing w:line="240" w:lineRule="auto"/>
              <w:jc w:val="center"/>
              <w:rPr>
                <w:rFonts w:ascii="Times New Roman" w:eastAsia="Times New Roman" w:hAnsi="Times New Roman" w:cs="Times New Roman"/>
                <w:color w:val="000000" w:themeColor="text1"/>
                <w:sz w:val="13"/>
                <w:szCs w:val="13"/>
              </w:rPr>
            </w:pPr>
            <w:r w:rsidRPr="00EF6679">
              <w:rPr>
                <w:rFonts w:ascii="Times New Roman" w:eastAsia="Times New Roman" w:hAnsi="Times New Roman" w:cs="Times New Roman"/>
                <w:color w:val="000000" w:themeColor="text1"/>
                <w:sz w:val="13"/>
                <w:szCs w:val="13"/>
              </w:rPr>
              <w:t>22.615</w:t>
            </w:r>
          </w:p>
        </w:tc>
        <w:tc>
          <w:tcPr>
            <w:tcW w:w="864" w:type="dxa"/>
            <w:tcBorders>
              <w:top w:val="nil"/>
              <w:left w:val="nil"/>
              <w:bottom w:val="nil"/>
              <w:right w:val="nil"/>
            </w:tcBorders>
            <w:noWrap/>
            <w:vAlign w:val="center"/>
            <w:hideMark/>
          </w:tcPr>
          <w:p w14:paraId="1968C052" w14:textId="77777777" w:rsidR="009653CF" w:rsidRPr="00EF6679" w:rsidRDefault="009653CF" w:rsidP="009653CF">
            <w:pPr>
              <w:spacing w:line="240" w:lineRule="auto"/>
              <w:jc w:val="center"/>
              <w:rPr>
                <w:rFonts w:ascii="Times New Roman" w:eastAsia="Times New Roman" w:hAnsi="Times New Roman" w:cs="Times New Roman"/>
                <w:color w:val="000000" w:themeColor="text1"/>
                <w:sz w:val="13"/>
                <w:szCs w:val="13"/>
              </w:rPr>
            </w:pPr>
            <w:r w:rsidRPr="00EF6679">
              <w:rPr>
                <w:rFonts w:ascii="Times New Roman" w:eastAsia="Times New Roman" w:hAnsi="Times New Roman" w:cs="Times New Roman"/>
                <w:color w:val="000000" w:themeColor="text1"/>
                <w:sz w:val="13"/>
                <w:szCs w:val="13"/>
              </w:rPr>
              <w:t>18.77</w:t>
            </w:r>
          </w:p>
        </w:tc>
        <w:tc>
          <w:tcPr>
            <w:tcW w:w="720" w:type="dxa"/>
            <w:tcBorders>
              <w:top w:val="nil"/>
              <w:left w:val="nil"/>
              <w:bottom w:val="nil"/>
              <w:right w:val="nil"/>
            </w:tcBorders>
            <w:noWrap/>
            <w:vAlign w:val="center"/>
            <w:hideMark/>
          </w:tcPr>
          <w:p w14:paraId="62A6DAB6" w14:textId="77777777" w:rsidR="009653CF" w:rsidRPr="00EF6679" w:rsidRDefault="009653CF" w:rsidP="009653CF">
            <w:pPr>
              <w:spacing w:line="240" w:lineRule="auto"/>
              <w:jc w:val="center"/>
              <w:rPr>
                <w:rFonts w:ascii="Times New Roman" w:eastAsia="Times New Roman" w:hAnsi="Times New Roman" w:cs="Times New Roman"/>
                <w:color w:val="000000" w:themeColor="text1"/>
                <w:sz w:val="13"/>
                <w:szCs w:val="13"/>
              </w:rPr>
            </w:pPr>
            <w:r w:rsidRPr="00EF6679">
              <w:rPr>
                <w:rFonts w:ascii="Times New Roman" w:eastAsia="Times New Roman" w:hAnsi="Times New Roman" w:cs="Times New Roman"/>
                <w:color w:val="000000" w:themeColor="text1"/>
                <w:sz w:val="13"/>
                <w:szCs w:val="13"/>
              </w:rPr>
              <w:t>1.99</w:t>
            </w:r>
          </w:p>
        </w:tc>
        <w:tc>
          <w:tcPr>
            <w:tcW w:w="864" w:type="dxa"/>
            <w:tcBorders>
              <w:top w:val="nil"/>
              <w:left w:val="nil"/>
              <w:bottom w:val="nil"/>
              <w:right w:val="nil"/>
            </w:tcBorders>
            <w:noWrap/>
            <w:vAlign w:val="center"/>
            <w:hideMark/>
          </w:tcPr>
          <w:p w14:paraId="3621588D" w14:textId="77777777" w:rsidR="009653CF" w:rsidRPr="00EF6679" w:rsidRDefault="009653CF" w:rsidP="009653CF">
            <w:pPr>
              <w:spacing w:line="240" w:lineRule="auto"/>
              <w:jc w:val="center"/>
              <w:rPr>
                <w:rFonts w:ascii="Times New Roman" w:eastAsia="Times New Roman" w:hAnsi="Times New Roman" w:cs="Times New Roman"/>
                <w:color w:val="000000" w:themeColor="text1"/>
                <w:sz w:val="13"/>
                <w:szCs w:val="13"/>
              </w:rPr>
            </w:pPr>
            <w:r w:rsidRPr="00EF6679">
              <w:rPr>
                <w:rFonts w:ascii="Times New Roman" w:eastAsia="Times New Roman" w:hAnsi="Times New Roman" w:cs="Times New Roman"/>
                <w:color w:val="000000" w:themeColor="text1"/>
                <w:sz w:val="13"/>
                <w:szCs w:val="13"/>
              </w:rPr>
              <w:t>1.91</w:t>
            </w:r>
          </w:p>
        </w:tc>
        <w:tc>
          <w:tcPr>
            <w:tcW w:w="410" w:type="dxa"/>
            <w:tcBorders>
              <w:top w:val="nil"/>
              <w:left w:val="nil"/>
              <w:bottom w:val="nil"/>
              <w:right w:val="nil"/>
            </w:tcBorders>
            <w:noWrap/>
          </w:tcPr>
          <w:p w14:paraId="384EEA4C" w14:textId="77777777" w:rsidR="009653CF" w:rsidRPr="00EF6679" w:rsidRDefault="009653CF" w:rsidP="009653CF">
            <w:pPr>
              <w:spacing w:line="240" w:lineRule="auto"/>
              <w:jc w:val="right"/>
              <w:rPr>
                <w:rFonts w:ascii="Times New Roman" w:eastAsia="Times New Roman" w:hAnsi="Times New Roman" w:cs="Times New Roman"/>
                <w:color w:val="000000" w:themeColor="text1"/>
                <w:sz w:val="13"/>
                <w:szCs w:val="13"/>
              </w:rPr>
            </w:pPr>
          </w:p>
        </w:tc>
        <w:tc>
          <w:tcPr>
            <w:tcW w:w="864" w:type="dxa"/>
            <w:tcBorders>
              <w:top w:val="nil"/>
              <w:left w:val="nil"/>
              <w:bottom w:val="nil"/>
              <w:right w:val="nil"/>
            </w:tcBorders>
            <w:noWrap/>
            <w:vAlign w:val="bottom"/>
            <w:hideMark/>
          </w:tcPr>
          <w:p w14:paraId="467F2D9E" w14:textId="77777777" w:rsidR="009653CF" w:rsidRPr="00EF6679" w:rsidRDefault="009653CF" w:rsidP="009653CF">
            <w:pPr>
              <w:spacing w:line="240" w:lineRule="auto"/>
              <w:jc w:val="center"/>
              <w:rPr>
                <w:rFonts w:ascii="Times New Roman" w:eastAsia="Times New Roman" w:hAnsi="Times New Roman" w:cs="Times New Roman"/>
                <w:color w:val="000000" w:themeColor="text1"/>
                <w:sz w:val="13"/>
                <w:szCs w:val="13"/>
              </w:rPr>
            </w:pPr>
            <w:r w:rsidRPr="00EF6679">
              <w:rPr>
                <w:rFonts w:ascii="Times New Roman" w:hAnsi="Times New Roman" w:cs="Times New Roman"/>
                <w:color w:val="000000" w:themeColor="text1"/>
                <w:sz w:val="13"/>
                <w:szCs w:val="13"/>
              </w:rPr>
              <w:t xml:space="preserve">&lt;.0001 </w:t>
            </w:r>
          </w:p>
        </w:tc>
        <w:tc>
          <w:tcPr>
            <w:tcW w:w="720" w:type="dxa"/>
            <w:tcBorders>
              <w:top w:val="nil"/>
              <w:left w:val="nil"/>
              <w:bottom w:val="nil"/>
              <w:right w:val="nil"/>
            </w:tcBorders>
            <w:noWrap/>
            <w:vAlign w:val="bottom"/>
            <w:hideMark/>
          </w:tcPr>
          <w:p w14:paraId="1805CF3B" w14:textId="77777777" w:rsidR="009653CF" w:rsidRPr="00EF6679" w:rsidRDefault="009653CF" w:rsidP="009653CF">
            <w:pPr>
              <w:spacing w:line="240" w:lineRule="auto"/>
              <w:jc w:val="center"/>
              <w:rPr>
                <w:rFonts w:ascii="Times New Roman" w:eastAsia="Times New Roman" w:hAnsi="Times New Roman" w:cs="Times New Roman"/>
                <w:color w:val="000000" w:themeColor="text1"/>
                <w:sz w:val="13"/>
                <w:szCs w:val="13"/>
              </w:rPr>
            </w:pPr>
            <w:r w:rsidRPr="00EF6679">
              <w:rPr>
                <w:rFonts w:ascii="Times New Roman" w:hAnsi="Times New Roman" w:cs="Times New Roman"/>
                <w:color w:val="000000" w:themeColor="text1"/>
                <w:sz w:val="13"/>
                <w:szCs w:val="13"/>
              </w:rPr>
              <w:t>0.0304</w:t>
            </w:r>
          </w:p>
        </w:tc>
        <w:tc>
          <w:tcPr>
            <w:tcW w:w="864" w:type="dxa"/>
            <w:tcBorders>
              <w:top w:val="nil"/>
              <w:left w:val="nil"/>
              <w:bottom w:val="nil"/>
              <w:right w:val="nil"/>
            </w:tcBorders>
            <w:noWrap/>
            <w:vAlign w:val="bottom"/>
            <w:hideMark/>
          </w:tcPr>
          <w:p w14:paraId="31EBD331" w14:textId="77777777" w:rsidR="009653CF" w:rsidRPr="00EF6679" w:rsidRDefault="009653CF" w:rsidP="009653CF">
            <w:pPr>
              <w:spacing w:line="240" w:lineRule="auto"/>
              <w:jc w:val="center"/>
              <w:rPr>
                <w:rFonts w:ascii="Times New Roman" w:eastAsia="Times New Roman" w:hAnsi="Times New Roman" w:cs="Times New Roman"/>
                <w:color w:val="000000" w:themeColor="text1"/>
                <w:sz w:val="13"/>
                <w:szCs w:val="13"/>
              </w:rPr>
            </w:pPr>
            <w:r w:rsidRPr="00EF6679">
              <w:rPr>
                <w:rFonts w:ascii="Times New Roman" w:hAnsi="Times New Roman" w:cs="Times New Roman"/>
                <w:color w:val="000000" w:themeColor="text1"/>
                <w:sz w:val="13"/>
                <w:szCs w:val="13"/>
              </w:rPr>
              <w:t>0.0392</w:t>
            </w:r>
          </w:p>
        </w:tc>
      </w:tr>
      <w:tr w:rsidR="009653CF" w:rsidRPr="00EF6679" w14:paraId="375AABFE" w14:textId="77777777" w:rsidTr="00820288">
        <w:tblPrEx>
          <w:jc w:val="lef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trHeight w:val="144"/>
        </w:trPr>
        <w:tc>
          <w:tcPr>
            <w:tcW w:w="2340" w:type="dxa"/>
            <w:tcBorders>
              <w:top w:val="nil"/>
              <w:left w:val="nil"/>
              <w:bottom w:val="nil"/>
              <w:right w:val="nil"/>
            </w:tcBorders>
            <w:noWrap/>
            <w:hideMark/>
          </w:tcPr>
          <w:p w14:paraId="271626C4" w14:textId="77777777" w:rsidR="009653CF" w:rsidRPr="00EF6679" w:rsidRDefault="009653CF" w:rsidP="009653CF">
            <w:pPr>
              <w:spacing w:line="240" w:lineRule="auto"/>
              <w:rPr>
                <w:rFonts w:ascii="Times New Roman" w:eastAsia="Times New Roman" w:hAnsi="Times New Roman" w:cs="Times New Roman"/>
                <w:color w:val="000000" w:themeColor="text1"/>
                <w:sz w:val="13"/>
                <w:szCs w:val="13"/>
              </w:rPr>
            </w:pPr>
            <w:r w:rsidRPr="00EF6679">
              <w:rPr>
                <w:rFonts w:ascii="Times New Roman" w:eastAsia="Times New Roman" w:hAnsi="Times New Roman" w:cs="Times New Roman"/>
                <w:color w:val="000000" w:themeColor="text1"/>
                <w:sz w:val="13"/>
                <w:szCs w:val="13"/>
              </w:rPr>
              <w:t xml:space="preserve">1-Octene                 </w:t>
            </w:r>
          </w:p>
        </w:tc>
        <w:tc>
          <w:tcPr>
            <w:tcW w:w="939" w:type="dxa"/>
            <w:tcBorders>
              <w:top w:val="nil"/>
              <w:left w:val="nil"/>
              <w:bottom w:val="nil"/>
              <w:right w:val="nil"/>
            </w:tcBorders>
            <w:noWrap/>
            <w:vAlign w:val="center"/>
            <w:hideMark/>
          </w:tcPr>
          <w:p w14:paraId="17D9F2BD" w14:textId="77777777" w:rsidR="009653CF" w:rsidRPr="00EF6679" w:rsidRDefault="009653CF" w:rsidP="009653CF">
            <w:pPr>
              <w:spacing w:line="240" w:lineRule="auto"/>
              <w:jc w:val="center"/>
              <w:rPr>
                <w:rFonts w:ascii="Times New Roman" w:eastAsia="Times New Roman" w:hAnsi="Times New Roman" w:cs="Times New Roman"/>
                <w:color w:val="000000" w:themeColor="text1"/>
                <w:sz w:val="13"/>
                <w:szCs w:val="13"/>
              </w:rPr>
            </w:pPr>
            <w:r w:rsidRPr="00EF6679">
              <w:rPr>
                <w:rFonts w:ascii="Times New Roman" w:eastAsia="Times New Roman" w:hAnsi="Times New Roman" w:cs="Times New Roman"/>
                <w:color w:val="000000" w:themeColor="text1"/>
                <w:sz w:val="13"/>
                <w:szCs w:val="13"/>
              </w:rPr>
              <w:t>111-66-0</w:t>
            </w:r>
          </w:p>
        </w:tc>
        <w:tc>
          <w:tcPr>
            <w:tcW w:w="1152" w:type="dxa"/>
            <w:tcBorders>
              <w:top w:val="nil"/>
              <w:left w:val="nil"/>
              <w:bottom w:val="nil"/>
              <w:right w:val="nil"/>
            </w:tcBorders>
            <w:noWrap/>
            <w:vAlign w:val="center"/>
            <w:hideMark/>
          </w:tcPr>
          <w:p w14:paraId="1F4205B8" w14:textId="77777777" w:rsidR="009653CF" w:rsidRPr="00EF6679" w:rsidRDefault="009653CF" w:rsidP="009653CF">
            <w:pPr>
              <w:spacing w:line="240" w:lineRule="auto"/>
              <w:jc w:val="center"/>
              <w:rPr>
                <w:rFonts w:ascii="Times New Roman" w:eastAsia="Times New Roman" w:hAnsi="Times New Roman" w:cs="Times New Roman"/>
                <w:color w:val="000000" w:themeColor="text1"/>
                <w:sz w:val="13"/>
                <w:szCs w:val="13"/>
              </w:rPr>
            </w:pPr>
            <w:r w:rsidRPr="00EF6679">
              <w:rPr>
                <w:rFonts w:ascii="Times New Roman" w:eastAsia="Times New Roman" w:hAnsi="Times New Roman" w:cs="Times New Roman"/>
                <w:color w:val="000000" w:themeColor="text1"/>
                <w:sz w:val="13"/>
                <w:szCs w:val="13"/>
              </w:rPr>
              <w:t>23.274</w:t>
            </w:r>
          </w:p>
        </w:tc>
        <w:tc>
          <w:tcPr>
            <w:tcW w:w="864" w:type="dxa"/>
            <w:tcBorders>
              <w:top w:val="nil"/>
              <w:left w:val="nil"/>
              <w:bottom w:val="nil"/>
              <w:right w:val="nil"/>
            </w:tcBorders>
            <w:noWrap/>
            <w:vAlign w:val="center"/>
            <w:hideMark/>
          </w:tcPr>
          <w:p w14:paraId="42E21B24" w14:textId="77777777" w:rsidR="009653CF" w:rsidRPr="00EF6679" w:rsidRDefault="009653CF" w:rsidP="009653CF">
            <w:pPr>
              <w:spacing w:line="240" w:lineRule="auto"/>
              <w:jc w:val="center"/>
              <w:rPr>
                <w:rFonts w:ascii="Times New Roman" w:eastAsia="Times New Roman" w:hAnsi="Times New Roman" w:cs="Times New Roman"/>
                <w:color w:val="000000" w:themeColor="text1"/>
                <w:sz w:val="13"/>
                <w:szCs w:val="13"/>
              </w:rPr>
            </w:pPr>
            <w:r w:rsidRPr="00EF6679">
              <w:rPr>
                <w:rFonts w:ascii="Times New Roman" w:eastAsia="Times New Roman" w:hAnsi="Times New Roman" w:cs="Times New Roman"/>
                <w:color w:val="000000" w:themeColor="text1"/>
                <w:sz w:val="13"/>
                <w:szCs w:val="13"/>
              </w:rPr>
              <w:t>9.51</w:t>
            </w:r>
          </w:p>
        </w:tc>
        <w:tc>
          <w:tcPr>
            <w:tcW w:w="720" w:type="dxa"/>
            <w:tcBorders>
              <w:top w:val="nil"/>
              <w:left w:val="nil"/>
              <w:bottom w:val="nil"/>
              <w:right w:val="nil"/>
            </w:tcBorders>
            <w:noWrap/>
            <w:vAlign w:val="center"/>
            <w:hideMark/>
          </w:tcPr>
          <w:p w14:paraId="77380FDD" w14:textId="77777777" w:rsidR="009653CF" w:rsidRPr="00EF6679" w:rsidRDefault="009653CF" w:rsidP="009653CF">
            <w:pPr>
              <w:spacing w:line="240" w:lineRule="auto"/>
              <w:jc w:val="center"/>
              <w:rPr>
                <w:rFonts w:ascii="Times New Roman" w:eastAsia="Times New Roman" w:hAnsi="Times New Roman" w:cs="Times New Roman"/>
                <w:color w:val="000000" w:themeColor="text1"/>
                <w:sz w:val="13"/>
                <w:szCs w:val="13"/>
              </w:rPr>
            </w:pPr>
            <w:r w:rsidRPr="00EF6679">
              <w:rPr>
                <w:rFonts w:ascii="Times New Roman" w:eastAsia="Times New Roman" w:hAnsi="Times New Roman" w:cs="Times New Roman"/>
                <w:color w:val="000000" w:themeColor="text1"/>
                <w:sz w:val="13"/>
                <w:szCs w:val="13"/>
              </w:rPr>
              <w:t>0.80</w:t>
            </w:r>
          </w:p>
        </w:tc>
        <w:tc>
          <w:tcPr>
            <w:tcW w:w="864" w:type="dxa"/>
            <w:tcBorders>
              <w:top w:val="nil"/>
              <w:left w:val="nil"/>
              <w:bottom w:val="nil"/>
              <w:right w:val="nil"/>
            </w:tcBorders>
            <w:noWrap/>
            <w:vAlign w:val="center"/>
            <w:hideMark/>
          </w:tcPr>
          <w:p w14:paraId="3CC57EAE" w14:textId="77777777" w:rsidR="009653CF" w:rsidRPr="00EF6679" w:rsidRDefault="009653CF" w:rsidP="009653CF">
            <w:pPr>
              <w:spacing w:line="240" w:lineRule="auto"/>
              <w:jc w:val="center"/>
              <w:rPr>
                <w:rFonts w:ascii="Times New Roman" w:eastAsia="Times New Roman" w:hAnsi="Times New Roman" w:cs="Times New Roman"/>
                <w:color w:val="000000" w:themeColor="text1"/>
                <w:sz w:val="13"/>
                <w:szCs w:val="13"/>
              </w:rPr>
            </w:pPr>
            <w:r w:rsidRPr="00EF6679">
              <w:rPr>
                <w:rFonts w:ascii="Times New Roman" w:eastAsia="Times New Roman" w:hAnsi="Times New Roman" w:cs="Times New Roman"/>
                <w:color w:val="000000" w:themeColor="text1"/>
                <w:sz w:val="13"/>
                <w:szCs w:val="13"/>
              </w:rPr>
              <w:t>2.33</w:t>
            </w:r>
          </w:p>
        </w:tc>
        <w:tc>
          <w:tcPr>
            <w:tcW w:w="410" w:type="dxa"/>
            <w:tcBorders>
              <w:top w:val="nil"/>
              <w:left w:val="nil"/>
              <w:bottom w:val="nil"/>
              <w:right w:val="nil"/>
            </w:tcBorders>
            <w:noWrap/>
          </w:tcPr>
          <w:p w14:paraId="7F99BA8A" w14:textId="77777777" w:rsidR="009653CF" w:rsidRPr="00EF6679" w:rsidRDefault="009653CF" w:rsidP="009653CF">
            <w:pPr>
              <w:spacing w:line="240" w:lineRule="auto"/>
              <w:jc w:val="right"/>
              <w:rPr>
                <w:rFonts w:ascii="Times New Roman" w:eastAsia="Times New Roman" w:hAnsi="Times New Roman" w:cs="Times New Roman"/>
                <w:color w:val="000000" w:themeColor="text1"/>
                <w:sz w:val="13"/>
                <w:szCs w:val="13"/>
              </w:rPr>
            </w:pPr>
          </w:p>
        </w:tc>
        <w:tc>
          <w:tcPr>
            <w:tcW w:w="864" w:type="dxa"/>
            <w:tcBorders>
              <w:top w:val="nil"/>
              <w:left w:val="nil"/>
              <w:bottom w:val="nil"/>
              <w:right w:val="nil"/>
            </w:tcBorders>
            <w:noWrap/>
            <w:vAlign w:val="bottom"/>
            <w:hideMark/>
          </w:tcPr>
          <w:p w14:paraId="47963E76" w14:textId="77777777" w:rsidR="009653CF" w:rsidRPr="00EF6679" w:rsidRDefault="009653CF" w:rsidP="009653CF">
            <w:pPr>
              <w:spacing w:line="240" w:lineRule="auto"/>
              <w:jc w:val="center"/>
              <w:rPr>
                <w:rFonts w:ascii="Times New Roman" w:eastAsia="Times New Roman" w:hAnsi="Times New Roman" w:cs="Times New Roman"/>
                <w:color w:val="000000" w:themeColor="text1"/>
                <w:sz w:val="13"/>
                <w:szCs w:val="13"/>
              </w:rPr>
            </w:pPr>
            <w:r w:rsidRPr="00EF6679">
              <w:rPr>
                <w:rFonts w:ascii="Times New Roman" w:hAnsi="Times New Roman" w:cs="Times New Roman"/>
                <w:color w:val="000000" w:themeColor="text1"/>
                <w:sz w:val="13"/>
                <w:szCs w:val="13"/>
              </w:rPr>
              <w:t>0.0023</w:t>
            </w:r>
          </w:p>
        </w:tc>
        <w:tc>
          <w:tcPr>
            <w:tcW w:w="720" w:type="dxa"/>
            <w:tcBorders>
              <w:top w:val="nil"/>
              <w:left w:val="nil"/>
              <w:bottom w:val="nil"/>
              <w:right w:val="nil"/>
            </w:tcBorders>
            <w:noWrap/>
            <w:vAlign w:val="bottom"/>
            <w:hideMark/>
          </w:tcPr>
          <w:p w14:paraId="69E7184B" w14:textId="77777777" w:rsidR="009653CF" w:rsidRPr="00EF6679" w:rsidRDefault="009653CF" w:rsidP="009653CF">
            <w:pPr>
              <w:spacing w:line="240" w:lineRule="auto"/>
              <w:jc w:val="center"/>
              <w:rPr>
                <w:rFonts w:ascii="Times New Roman" w:eastAsia="Times New Roman" w:hAnsi="Times New Roman" w:cs="Times New Roman"/>
                <w:color w:val="000000" w:themeColor="text1"/>
                <w:sz w:val="13"/>
                <w:szCs w:val="13"/>
              </w:rPr>
            </w:pPr>
            <w:r w:rsidRPr="00EF6679">
              <w:rPr>
                <w:rFonts w:ascii="Times New Roman" w:hAnsi="Times New Roman" w:cs="Times New Roman"/>
                <w:color w:val="000000" w:themeColor="text1"/>
                <w:sz w:val="13"/>
                <w:szCs w:val="13"/>
              </w:rPr>
              <w:t>0.6372</w:t>
            </w:r>
          </w:p>
        </w:tc>
        <w:tc>
          <w:tcPr>
            <w:tcW w:w="864" w:type="dxa"/>
            <w:tcBorders>
              <w:top w:val="nil"/>
              <w:left w:val="nil"/>
              <w:bottom w:val="nil"/>
              <w:right w:val="nil"/>
            </w:tcBorders>
            <w:noWrap/>
            <w:vAlign w:val="bottom"/>
            <w:hideMark/>
          </w:tcPr>
          <w:p w14:paraId="619BF6DF" w14:textId="77777777" w:rsidR="009653CF" w:rsidRPr="00EF6679" w:rsidRDefault="009653CF" w:rsidP="009653CF">
            <w:pPr>
              <w:spacing w:line="240" w:lineRule="auto"/>
              <w:jc w:val="center"/>
              <w:rPr>
                <w:rFonts w:ascii="Times New Roman" w:eastAsia="Times New Roman" w:hAnsi="Times New Roman" w:cs="Times New Roman"/>
                <w:color w:val="000000" w:themeColor="text1"/>
                <w:sz w:val="13"/>
                <w:szCs w:val="13"/>
              </w:rPr>
            </w:pPr>
            <w:r w:rsidRPr="00EF6679">
              <w:rPr>
                <w:rFonts w:ascii="Times New Roman" w:hAnsi="Times New Roman" w:cs="Times New Roman"/>
                <w:color w:val="000000" w:themeColor="text1"/>
                <w:sz w:val="13"/>
                <w:szCs w:val="13"/>
              </w:rPr>
              <w:t>0.0102</w:t>
            </w:r>
          </w:p>
        </w:tc>
      </w:tr>
      <w:tr w:rsidR="009653CF" w:rsidRPr="00EF6679" w14:paraId="56EE9574" w14:textId="77777777" w:rsidTr="00820288">
        <w:tblPrEx>
          <w:jc w:val="lef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trHeight w:val="144"/>
        </w:trPr>
        <w:tc>
          <w:tcPr>
            <w:tcW w:w="2340" w:type="dxa"/>
            <w:tcBorders>
              <w:top w:val="nil"/>
              <w:left w:val="nil"/>
              <w:bottom w:val="nil"/>
              <w:right w:val="nil"/>
            </w:tcBorders>
            <w:noWrap/>
            <w:hideMark/>
          </w:tcPr>
          <w:p w14:paraId="2C850717" w14:textId="77777777" w:rsidR="009653CF" w:rsidRPr="00EF6679" w:rsidRDefault="009653CF" w:rsidP="009653CF">
            <w:pPr>
              <w:spacing w:line="240" w:lineRule="auto"/>
              <w:rPr>
                <w:rFonts w:ascii="Times New Roman" w:eastAsia="Times New Roman" w:hAnsi="Times New Roman" w:cs="Times New Roman"/>
                <w:color w:val="000000" w:themeColor="text1"/>
                <w:sz w:val="13"/>
                <w:szCs w:val="13"/>
              </w:rPr>
            </w:pPr>
            <w:r w:rsidRPr="00EF6679">
              <w:rPr>
                <w:rFonts w:ascii="Times New Roman" w:eastAsia="Times New Roman" w:hAnsi="Times New Roman" w:cs="Times New Roman"/>
                <w:color w:val="000000" w:themeColor="text1"/>
                <w:sz w:val="13"/>
                <w:szCs w:val="13"/>
              </w:rPr>
              <w:t>2,6-dimethyl-2,6-Octadiene</w:t>
            </w:r>
          </w:p>
        </w:tc>
        <w:tc>
          <w:tcPr>
            <w:tcW w:w="939" w:type="dxa"/>
            <w:tcBorders>
              <w:top w:val="nil"/>
              <w:left w:val="nil"/>
              <w:bottom w:val="nil"/>
              <w:right w:val="nil"/>
            </w:tcBorders>
            <w:noWrap/>
            <w:vAlign w:val="center"/>
            <w:hideMark/>
          </w:tcPr>
          <w:p w14:paraId="066DD2B4" w14:textId="77777777" w:rsidR="009653CF" w:rsidRPr="00EF6679" w:rsidRDefault="009653CF" w:rsidP="009653CF">
            <w:pPr>
              <w:spacing w:line="240" w:lineRule="auto"/>
              <w:jc w:val="center"/>
              <w:rPr>
                <w:rFonts w:ascii="Times New Roman" w:eastAsia="Times New Roman" w:hAnsi="Times New Roman" w:cs="Times New Roman"/>
                <w:color w:val="000000" w:themeColor="text1"/>
                <w:sz w:val="13"/>
                <w:szCs w:val="13"/>
              </w:rPr>
            </w:pPr>
            <w:r w:rsidRPr="00EF6679">
              <w:rPr>
                <w:rFonts w:ascii="Times New Roman" w:eastAsia="Times New Roman" w:hAnsi="Times New Roman" w:cs="Times New Roman"/>
                <w:color w:val="000000" w:themeColor="text1"/>
                <w:sz w:val="13"/>
                <w:szCs w:val="13"/>
              </w:rPr>
              <w:t>2792-39-4</w:t>
            </w:r>
          </w:p>
        </w:tc>
        <w:tc>
          <w:tcPr>
            <w:tcW w:w="1152" w:type="dxa"/>
            <w:tcBorders>
              <w:top w:val="nil"/>
              <w:left w:val="nil"/>
              <w:bottom w:val="nil"/>
              <w:right w:val="nil"/>
            </w:tcBorders>
            <w:noWrap/>
            <w:vAlign w:val="center"/>
            <w:hideMark/>
          </w:tcPr>
          <w:p w14:paraId="3E38F299" w14:textId="77777777" w:rsidR="009653CF" w:rsidRPr="00EF6679" w:rsidRDefault="009653CF" w:rsidP="009653CF">
            <w:pPr>
              <w:spacing w:line="240" w:lineRule="auto"/>
              <w:jc w:val="center"/>
              <w:rPr>
                <w:rFonts w:ascii="Times New Roman" w:eastAsia="Times New Roman" w:hAnsi="Times New Roman" w:cs="Times New Roman"/>
                <w:color w:val="000000" w:themeColor="text1"/>
                <w:sz w:val="13"/>
                <w:szCs w:val="13"/>
              </w:rPr>
            </w:pPr>
            <w:r w:rsidRPr="00EF6679">
              <w:rPr>
                <w:rFonts w:ascii="Times New Roman" w:eastAsia="Times New Roman" w:hAnsi="Times New Roman" w:cs="Times New Roman"/>
                <w:color w:val="000000" w:themeColor="text1"/>
                <w:sz w:val="13"/>
                <w:szCs w:val="13"/>
              </w:rPr>
              <w:t>24.139</w:t>
            </w:r>
          </w:p>
        </w:tc>
        <w:tc>
          <w:tcPr>
            <w:tcW w:w="864" w:type="dxa"/>
            <w:tcBorders>
              <w:top w:val="nil"/>
              <w:left w:val="nil"/>
              <w:bottom w:val="nil"/>
              <w:right w:val="nil"/>
            </w:tcBorders>
            <w:noWrap/>
            <w:vAlign w:val="center"/>
            <w:hideMark/>
          </w:tcPr>
          <w:p w14:paraId="29BF9BB2" w14:textId="77777777" w:rsidR="009653CF" w:rsidRPr="00EF6679" w:rsidRDefault="009653CF" w:rsidP="009653CF">
            <w:pPr>
              <w:spacing w:line="240" w:lineRule="auto"/>
              <w:jc w:val="center"/>
              <w:rPr>
                <w:rFonts w:ascii="Times New Roman" w:eastAsia="Times New Roman" w:hAnsi="Times New Roman" w:cs="Times New Roman"/>
                <w:color w:val="000000" w:themeColor="text1"/>
                <w:sz w:val="13"/>
                <w:szCs w:val="13"/>
              </w:rPr>
            </w:pPr>
            <w:r w:rsidRPr="00EF6679">
              <w:rPr>
                <w:rFonts w:ascii="Times New Roman" w:eastAsia="Times New Roman" w:hAnsi="Times New Roman" w:cs="Times New Roman"/>
                <w:color w:val="000000" w:themeColor="text1"/>
                <w:sz w:val="13"/>
                <w:szCs w:val="13"/>
              </w:rPr>
              <w:t>n.d.</w:t>
            </w:r>
          </w:p>
        </w:tc>
        <w:tc>
          <w:tcPr>
            <w:tcW w:w="720" w:type="dxa"/>
            <w:tcBorders>
              <w:top w:val="nil"/>
              <w:left w:val="nil"/>
              <w:bottom w:val="nil"/>
              <w:right w:val="nil"/>
            </w:tcBorders>
            <w:noWrap/>
            <w:vAlign w:val="center"/>
            <w:hideMark/>
          </w:tcPr>
          <w:p w14:paraId="36C4B369" w14:textId="77777777" w:rsidR="009653CF" w:rsidRPr="00EF6679" w:rsidRDefault="009653CF" w:rsidP="009653CF">
            <w:pPr>
              <w:spacing w:line="240" w:lineRule="auto"/>
              <w:jc w:val="center"/>
              <w:rPr>
                <w:rFonts w:ascii="Times New Roman" w:eastAsia="Times New Roman" w:hAnsi="Times New Roman" w:cs="Times New Roman"/>
                <w:color w:val="000000" w:themeColor="text1"/>
                <w:sz w:val="13"/>
                <w:szCs w:val="13"/>
              </w:rPr>
            </w:pPr>
            <w:r w:rsidRPr="00EF6679">
              <w:rPr>
                <w:rFonts w:ascii="Times New Roman" w:eastAsia="Times New Roman" w:hAnsi="Times New Roman" w:cs="Times New Roman"/>
                <w:color w:val="000000" w:themeColor="text1"/>
                <w:sz w:val="13"/>
                <w:szCs w:val="13"/>
              </w:rPr>
              <w:t>n.d.</w:t>
            </w:r>
          </w:p>
        </w:tc>
        <w:tc>
          <w:tcPr>
            <w:tcW w:w="864" w:type="dxa"/>
            <w:tcBorders>
              <w:top w:val="nil"/>
              <w:left w:val="nil"/>
              <w:bottom w:val="nil"/>
              <w:right w:val="nil"/>
            </w:tcBorders>
            <w:noWrap/>
            <w:vAlign w:val="center"/>
            <w:hideMark/>
          </w:tcPr>
          <w:p w14:paraId="3323A261" w14:textId="77777777" w:rsidR="009653CF" w:rsidRPr="00EF6679" w:rsidRDefault="009653CF" w:rsidP="009653CF">
            <w:pPr>
              <w:spacing w:line="240" w:lineRule="auto"/>
              <w:jc w:val="center"/>
              <w:rPr>
                <w:rFonts w:ascii="Times New Roman" w:eastAsia="Times New Roman" w:hAnsi="Times New Roman" w:cs="Times New Roman"/>
                <w:color w:val="000000" w:themeColor="text1"/>
                <w:sz w:val="13"/>
                <w:szCs w:val="13"/>
              </w:rPr>
            </w:pPr>
            <w:r w:rsidRPr="00EF6679">
              <w:rPr>
                <w:rFonts w:ascii="Times New Roman" w:eastAsia="Times New Roman" w:hAnsi="Times New Roman" w:cs="Times New Roman"/>
                <w:color w:val="000000" w:themeColor="text1"/>
                <w:sz w:val="13"/>
                <w:szCs w:val="13"/>
              </w:rPr>
              <w:t>n.d.</w:t>
            </w:r>
          </w:p>
        </w:tc>
        <w:tc>
          <w:tcPr>
            <w:tcW w:w="410" w:type="dxa"/>
            <w:tcBorders>
              <w:top w:val="nil"/>
              <w:left w:val="nil"/>
              <w:bottom w:val="nil"/>
              <w:right w:val="nil"/>
            </w:tcBorders>
            <w:noWrap/>
          </w:tcPr>
          <w:p w14:paraId="791937E7" w14:textId="77777777" w:rsidR="009653CF" w:rsidRPr="00EF6679" w:rsidRDefault="009653CF" w:rsidP="009653CF">
            <w:pPr>
              <w:spacing w:line="240" w:lineRule="auto"/>
              <w:jc w:val="right"/>
              <w:rPr>
                <w:rFonts w:ascii="Times New Roman" w:eastAsia="Times New Roman" w:hAnsi="Times New Roman" w:cs="Times New Roman"/>
                <w:color w:val="000000" w:themeColor="text1"/>
                <w:sz w:val="13"/>
                <w:szCs w:val="13"/>
              </w:rPr>
            </w:pPr>
          </w:p>
        </w:tc>
        <w:tc>
          <w:tcPr>
            <w:tcW w:w="864" w:type="dxa"/>
            <w:tcBorders>
              <w:top w:val="nil"/>
              <w:left w:val="nil"/>
              <w:bottom w:val="nil"/>
              <w:right w:val="nil"/>
            </w:tcBorders>
            <w:noWrap/>
            <w:vAlign w:val="center"/>
            <w:hideMark/>
          </w:tcPr>
          <w:p w14:paraId="5782A2DC" w14:textId="77777777" w:rsidR="009653CF" w:rsidRPr="00EF6679" w:rsidRDefault="009653CF" w:rsidP="009653CF">
            <w:pPr>
              <w:spacing w:line="240" w:lineRule="auto"/>
              <w:jc w:val="center"/>
              <w:rPr>
                <w:rFonts w:ascii="Times New Roman" w:eastAsia="Times New Roman" w:hAnsi="Times New Roman" w:cs="Times New Roman"/>
                <w:color w:val="000000" w:themeColor="text1"/>
                <w:sz w:val="13"/>
                <w:szCs w:val="13"/>
              </w:rPr>
            </w:pPr>
            <w:r w:rsidRPr="00EF6679">
              <w:rPr>
                <w:rFonts w:ascii="Times New Roman" w:hAnsi="Times New Roman" w:cs="Times New Roman"/>
                <w:color w:val="000000" w:themeColor="text1"/>
                <w:sz w:val="13"/>
                <w:szCs w:val="13"/>
              </w:rPr>
              <w:t>n.d.</w:t>
            </w:r>
          </w:p>
        </w:tc>
        <w:tc>
          <w:tcPr>
            <w:tcW w:w="720" w:type="dxa"/>
            <w:tcBorders>
              <w:top w:val="nil"/>
              <w:left w:val="nil"/>
              <w:bottom w:val="nil"/>
              <w:right w:val="nil"/>
            </w:tcBorders>
            <w:noWrap/>
            <w:vAlign w:val="center"/>
            <w:hideMark/>
          </w:tcPr>
          <w:p w14:paraId="49AEBB32" w14:textId="77777777" w:rsidR="009653CF" w:rsidRPr="00EF6679" w:rsidRDefault="009653CF" w:rsidP="009653CF">
            <w:pPr>
              <w:spacing w:line="240" w:lineRule="auto"/>
              <w:jc w:val="center"/>
              <w:rPr>
                <w:rFonts w:ascii="Times New Roman" w:eastAsia="Times New Roman" w:hAnsi="Times New Roman" w:cs="Times New Roman"/>
                <w:color w:val="000000" w:themeColor="text1"/>
                <w:sz w:val="13"/>
                <w:szCs w:val="13"/>
              </w:rPr>
            </w:pPr>
            <w:r w:rsidRPr="00EF6679">
              <w:rPr>
                <w:rFonts w:ascii="Times New Roman" w:hAnsi="Times New Roman" w:cs="Times New Roman"/>
                <w:color w:val="000000" w:themeColor="text1"/>
                <w:sz w:val="13"/>
                <w:szCs w:val="13"/>
              </w:rPr>
              <w:t>n.d.</w:t>
            </w:r>
          </w:p>
        </w:tc>
        <w:tc>
          <w:tcPr>
            <w:tcW w:w="864" w:type="dxa"/>
            <w:tcBorders>
              <w:top w:val="nil"/>
              <w:left w:val="nil"/>
              <w:bottom w:val="nil"/>
              <w:right w:val="nil"/>
            </w:tcBorders>
            <w:noWrap/>
            <w:vAlign w:val="center"/>
            <w:hideMark/>
          </w:tcPr>
          <w:p w14:paraId="4F504EDF" w14:textId="77777777" w:rsidR="009653CF" w:rsidRPr="00EF6679" w:rsidRDefault="009653CF" w:rsidP="009653CF">
            <w:pPr>
              <w:spacing w:line="240" w:lineRule="auto"/>
              <w:jc w:val="center"/>
              <w:rPr>
                <w:rFonts w:ascii="Times New Roman" w:eastAsia="Times New Roman" w:hAnsi="Times New Roman" w:cs="Times New Roman"/>
                <w:color w:val="000000" w:themeColor="text1"/>
                <w:sz w:val="13"/>
                <w:szCs w:val="13"/>
              </w:rPr>
            </w:pPr>
            <w:r w:rsidRPr="00EF6679">
              <w:rPr>
                <w:rFonts w:ascii="Times New Roman" w:hAnsi="Times New Roman" w:cs="Times New Roman"/>
                <w:color w:val="000000" w:themeColor="text1"/>
                <w:sz w:val="13"/>
                <w:szCs w:val="13"/>
              </w:rPr>
              <w:t>n.d.</w:t>
            </w:r>
          </w:p>
        </w:tc>
      </w:tr>
      <w:tr w:rsidR="009653CF" w:rsidRPr="00EF6679" w14:paraId="55D769D4" w14:textId="77777777" w:rsidTr="00820288">
        <w:tblPrEx>
          <w:jc w:val="lef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trHeight w:val="144"/>
        </w:trPr>
        <w:tc>
          <w:tcPr>
            <w:tcW w:w="2340" w:type="dxa"/>
            <w:tcBorders>
              <w:top w:val="nil"/>
              <w:left w:val="nil"/>
              <w:bottom w:val="nil"/>
              <w:right w:val="nil"/>
            </w:tcBorders>
            <w:noWrap/>
            <w:hideMark/>
          </w:tcPr>
          <w:p w14:paraId="19E8782E" w14:textId="77777777" w:rsidR="009653CF" w:rsidRPr="00EF6679" w:rsidRDefault="009653CF" w:rsidP="009653CF">
            <w:pPr>
              <w:spacing w:line="240" w:lineRule="auto"/>
              <w:rPr>
                <w:rFonts w:ascii="Times New Roman" w:eastAsia="Times New Roman" w:hAnsi="Times New Roman" w:cs="Times New Roman"/>
                <w:color w:val="000000" w:themeColor="text1"/>
                <w:sz w:val="13"/>
                <w:szCs w:val="13"/>
              </w:rPr>
            </w:pPr>
            <w:r w:rsidRPr="00EF6679">
              <w:rPr>
                <w:rFonts w:ascii="Times New Roman" w:eastAsia="Times New Roman" w:hAnsi="Times New Roman" w:cs="Times New Roman"/>
                <w:color w:val="000000" w:themeColor="text1"/>
                <w:sz w:val="13"/>
                <w:szCs w:val="13"/>
              </w:rPr>
              <w:t xml:space="preserve">Eugenol                  </w:t>
            </w:r>
          </w:p>
        </w:tc>
        <w:tc>
          <w:tcPr>
            <w:tcW w:w="939" w:type="dxa"/>
            <w:tcBorders>
              <w:top w:val="nil"/>
              <w:left w:val="nil"/>
              <w:bottom w:val="nil"/>
              <w:right w:val="nil"/>
            </w:tcBorders>
            <w:noWrap/>
            <w:vAlign w:val="center"/>
            <w:hideMark/>
          </w:tcPr>
          <w:p w14:paraId="06574BEA" w14:textId="77777777" w:rsidR="009653CF" w:rsidRPr="00EF6679" w:rsidRDefault="009653CF" w:rsidP="009653CF">
            <w:pPr>
              <w:spacing w:line="240" w:lineRule="auto"/>
              <w:jc w:val="center"/>
              <w:rPr>
                <w:rFonts w:ascii="Times New Roman" w:eastAsia="Times New Roman" w:hAnsi="Times New Roman" w:cs="Times New Roman"/>
                <w:color w:val="000000" w:themeColor="text1"/>
                <w:sz w:val="13"/>
                <w:szCs w:val="13"/>
              </w:rPr>
            </w:pPr>
            <w:r w:rsidRPr="00EF6679">
              <w:rPr>
                <w:rFonts w:ascii="Times New Roman" w:eastAsia="Times New Roman" w:hAnsi="Times New Roman" w:cs="Times New Roman"/>
                <w:color w:val="000000" w:themeColor="text1"/>
                <w:sz w:val="13"/>
                <w:szCs w:val="13"/>
              </w:rPr>
              <w:t>97-53-0</w:t>
            </w:r>
          </w:p>
        </w:tc>
        <w:tc>
          <w:tcPr>
            <w:tcW w:w="1152" w:type="dxa"/>
            <w:tcBorders>
              <w:top w:val="nil"/>
              <w:left w:val="nil"/>
              <w:bottom w:val="nil"/>
              <w:right w:val="nil"/>
            </w:tcBorders>
            <w:noWrap/>
            <w:vAlign w:val="center"/>
            <w:hideMark/>
          </w:tcPr>
          <w:p w14:paraId="5E080342" w14:textId="77777777" w:rsidR="009653CF" w:rsidRPr="00EF6679" w:rsidRDefault="009653CF" w:rsidP="009653CF">
            <w:pPr>
              <w:spacing w:line="240" w:lineRule="auto"/>
              <w:jc w:val="center"/>
              <w:rPr>
                <w:rFonts w:ascii="Times New Roman" w:eastAsia="Times New Roman" w:hAnsi="Times New Roman" w:cs="Times New Roman"/>
                <w:color w:val="000000" w:themeColor="text1"/>
                <w:sz w:val="13"/>
                <w:szCs w:val="13"/>
              </w:rPr>
            </w:pPr>
            <w:r w:rsidRPr="00EF6679">
              <w:rPr>
                <w:rFonts w:ascii="Times New Roman" w:eastAsia="Times New Roman" w:hAnsi="Times New Roman" w:cs="Times New Roman"/>
                <w:color w:val="000000" w:themeColor="text1"/>
                <w:sz w:val="13"/>
                <w:szCs w:val="13"/>
              </w:rPr>
              <w:t>24.289</w:t>
            </w:r>
          </w:p>
        </w:tc>
        <w:tc>
          <w:tcPr>
            <w:tcW w:w="864" w:type="dxa"/>
            <w:tcBorders>
              <w:top w:val="nil"/>
              <w:left w:val="nil"/>
              <w:bottom w:val="nil"/>
              <w:right w:val="nil"/>
            </w:tcBorders>
            <w:noWrap/>
            <w:vAlign w:val="center"/>
            <w:hideMark/>
          </w:tcPr>
          <w:p w14:paraId="7471DE1B" w14:textId="77777777" w:rsidR="009653CF" w:rsidRPr="00EF6679" w:rsidRDefault="009653CF" w:rsidP="009653CF">
            <w:pPr>
              <w:spacing w:line="240" w:lineRule="auto"/>
              <w:jc w:val="center"/>
              <w:rPr>
                <w:rFonts w:ascii="Times New Roman" w:eastAsia="Times New Roman" w:hAnsi="Times New Roman" w:cs="Times New Roman"/>
                <w:color w:val="000000" w:themeColor="text1"/>
                <w:sz w:val="13"/>
                <w:szCs w:val="13"/>
              </w:rPr>
            </w:pPr>
            <w:r w:rsidRPr="00EF6679">
              <w:rPr>
                <w:rFonts w:ascii="Times New Roman" w:eastAsia="Times New Roman" w:hAnsi="Times New Roman" w:cs="Times New Roman"/>
                <w:color w:val="000000" w:themeColor="text1"/>
                <w:sz w:val="13"/>
                <w:szCs w:val="13"/>
              </w:rPr>
              <w:t>7.03</w:t>
            </w:r>
          </w:p>
        </w:tc>
        <w:tc>
          <w:tcPr>
            <w:tcW w:w="720" w:type="dxa"/>
            <w:tcBorders>
              <w:top w:val="nil"/>
              <w:left w:val="nil"/>
              <w:bottom w:val="nil"/>
              <w:right w:val="nil"/>
            </w:tcBorders>
            <w:noWrap/>
            <w:vAlign w:val="center"/>
            <w:hideMark/>
          </w:tcPr>
          <w:p w14:paraId="4F629790" w14:textId="77777777" w:rsidR="009653CF" w:rsidRPr="00EF6679" w:rsidRDefault="009653CF" w:rsidP="009653CF">
            <w:pPr>
              <w:spacing w:line="240" w:lineRule="auto"/>
              <w:jc w:val="center"/>
              <w:rPr>
                <w:rFonts w:ascii="Times New Roman" w:eastAsia="Times New Roman" w:hAnsi="Times New Roman" w:cs="Times New Roman"/>
                <w:color w:val="000000" w:themeColor="text1"/>
                <w:sz w:val="13"/>
                <w:szCs w:val="13"/>
              </w:rPr>
            </w:pPr>
            <w:r w:rsidRPr="00EF6679">
              <w:rPr>
                <w:rFonts w:ascii="Times New Roman" w:eastAsia="Times New Roman" w:hAnsi="Times New Roman" w:cs="Times New Roman"/>
                <w:color w:val="000000" w:themeColor="text1"/>
                <w:sz w:val="13"/>
                <w:szCs w:val="13"/>
              </w:rPr>
              <w:t>0.91</w:t>
            </w:r>
          </w:p>
        </w:tc>
        <w:tc>
          <w:tcPr>
            <w:tcW w:w="864" w:type="dxa"/>
            <w:tcBorders>
              <w:top w:val="nil"/>
              <w:left w:val="nil"/>
              <w:bottom w:val="nil"/>
              <w:right w:val="nil"/>
            </w:tcBorders>
            <w:noWrap/>
            <w:vAlign w:val="center"/>
            <w:hideMark/>
          </w:tcPr>
          <w:p w14:paraId="145D3C91" w14:textId="77777777" w:rsidR="009653CF" w:rsidRPr="00EF6679" w:rsidRDefault="009653CF" w:rsidP="009653CF">
            <w:pPr>
              <w:spacing w:line="240" w:lineRule="auto"/>
              <w:jc w:val="center"/>
              <w:rPr>
                <w:rFonts w:ascii="Times New Roman" w:eastAsia="Times New Roman" w:hAnsi="Times New Roman" w:cs="Times New Roman"/>
                <w:color w:val="000000" w:themeColor="text1"/>
                <w:sz w:val="13"/>
                <w:szCs w:val="13"/>
              </w:rPr>
            </w:pPr>
            <w:r w:rsidRPr="00EF6679">
              <w:rPr>
                <w:rFonts w:ascii="Times New Roman" w:eastAsia="Times New Roman" w:hAnsi="Times New Roman" w:cs="Times New Roman"/>
                <w:color w:val="000000" w:themeColor="text1"/>
                <w:sz w:val="13"/>
                <w:szCs w:val="13"/>
              </w:rPr>
              <w:t>0.91</w:t>
            </w:r>
          </w:p>
        </w:tc>
        <w:tc>
          <w:tcPr>
            <w:tcW w:w="410" w:type="dxa"/>
            <w:tcBorders>
              <w:top w:val="nil"/>
              <w:left w:val="nil"/>
              <w:bottom w:val="nil"/>
              <w:right w:val="nil"/>
            </w:tcBorders>
            <w:noWrap/>
          </w:tcPr>
          <w:p w14:paraId="57E94491" w14:textId="77777777" w:rsidR="009653CF" w:rsidRPr="00EF6679" w:rsidRDefault="009653CF" w:rsidP="009653CF">
            <w:pPr>
              <w:spacing w:line="240" w:lineRule="auto"/>
              <w:jc w:val="right"/>
              <w:rPr>
                <w:rFonts w:ascii="Times New Roman" w:eastAsia="Times New Roman" w:hAnsi="Times New Roman" w:cs="Times New Roman"/>
                <w:color w:val="000000" w:themeColor="text1"/>
                <w:sz w:val="13"/>
                <w:szCs w:val="13"/>
              </w:rPr>
            </w:pPr>
          </w:p>
        </w:tc>
        <w:tc>
          <w:tcPr>
            <w:tcW w:w="864" w:type="dxa"/>
            <w:tcBorders>
              <w:top w:val="nil"/>
              <w:left w:val="nil"/>
              <w:bottom w:val="nil"/>
              <w:right w:val="nil"/>
            </w:tcBorders>
            <w:noWrap/>
            <w:vAlign w:val="bottom"/>
            <w:hideMark/>
          </w:tcPr>
          <w:p w14:paraId="2AF849DD" w14:textId="77777777" w:rsidR="009653CF" w:rsidRPr="00EF6679" w:rsidRDefault="009653CF" w:rsidP="009653CF">
            <w:pPr>
              <w:spacing w:line="240" w:lineRule="auto"/>
              <w:jc w:val="center"/>
              <w:rPr>
                <w:rFonts w:ascii="Times New Roman" w:eastAsia="Times New Roman" w:hAnsi="Times New Roman" w:cs="Times New Roman"/>
                <w:color w:val="000000" w:themeColor="text1"/>
                <w:sz w:val="13"/>
                <w:szCs w:val="13"/>
              </w:rPr>
            </w:pPr>
            <w:r w:rsidRPr="00EF6679">
              <w:rPr>
                <w:rFonts w:ascii="Times New Roman" w:hAnsi="Times New Roman" w:cs="Times New Roman"/>
                <w:color w:val="000000" w:themeColor="text1"/>
                <w:sz w:val="13"/>
                <w:szCs w:val="13"/>
              </w:rPr>
              <w:t>0.0086</w:t>
            </w:r>
          </w:p>
        </w:tc>
        <w:tc>
          <w:tcPr>
            <w:tcW w:w="720" w:type="dxa"/>
            <w:tcBorders>
              <w:top w:val="nil"/>
              <w:left w:val="nil"/>
              <w:bottom w:val="nil"/>
              <w:right w:val="nil"/>
            </w:tcBorders>
            <w:noWrap/>
            <w:vAlign w:val="bottom"/>
            <w:hideMark/>
          </w:tcPr>
          <w:p w14:paraId="12367F4D" w14:textId="77777777" w:rsidR="009653CF" w:rsidRPr="00EF6679" w:rsidRDefault="009653CF" w:rsidP="009653CF">
            <w:pPr>
              <w:spacing w:line="240" w:lineRule="auto"/>
              <w:jc w:val="center"/>
              <w:rPr>
                <w:rFonts w:ascii="Times New Roman" w:eastAsia="Times New Roman" w:hAnsi="Times New Roman" w:cs="Times New Roman"/>
                <w:color w:val="000000" w:themeColor="text1"/>
                <w:sz w:val="13"/>
                <w:szCs w:val="13"/>
              </w:rPr>
            </w:pPr>
            <w:r w:rsidRPr="00EF6679">
              <w:rPr>
                <w:rFonts w:ascii="Times New Roman" w:hAnsi="Times New Roman" w:cs="Times New Roman"/>
                <w:color w:val="000000" w:themeColor="text1"/>
                <w:sz w:val="13"/>
                <w:szCs w:val="13"/>
              </w:rPr>
              <w:t>0.5353</w:t>
            </w:r>
          </w:p>
        </w:tc>
        <w:tc>
          <w:tcPr>
            <w:tcW w:w="864" w:type="dxa"/>
            <w:tcBorders>
              <w:top w:val="nil"/>
              <w:left w:val="nil"/>
              <w:bottom w:val="nil"/>
              <w:right w:val="nil"/>
            </w:tcBorders>
            <w:noWrap/>
            <w:vAlign w:val="bottom"/>
            <w:hideMark/>
          </w:tcPr>
          <w:p w14:paraId="4FBE628C" w14:textId="77777777" w:rsidR="009653CF" w:rsidRPr="00EF6679" w:rsidRDefault="009653CF" w:rsidP="009653CF">
            <w:pPr>
              <w:spacing w:line="240" w:lineRule="auto"/>
              <w:jc w:val="center"/>
              <w:rPr>
                <w:rFonts w:ascii="Times New Roman" w:eastAsia="Times New Roman" w:hAnsi="Times New Roman" w:cs="Times New Roman"/>
                <w:color w:val="000000" w:themeColor="text1"/>
                <w:sz w:val="13"/>
                <w:szCs w:val="13"/>
              </w:rPr>
            </w:pPr>
            <w:r w:rsidRPr="00EF6679">
              <w:rPr>
                <w:rFonts w:ascii="Times New Roman" w:hAnsi="Times New Roman" w:cs="Times New Roman"/>
                <w:color w:val="000000" w:themeColor="text1"/>
                <w:sz w:val="13"/>
                <w:szCs w:val="13"/>
              </w:rPr>
              <w:t>0.5353</w:t>
            </w:r>
          </w:p>
        </w:tc>
      </w:tr>
      <w:tr w:rsidR="009653CF" w:rsidRPr="00EF6679" w14:paraId="276A56CE" w14:textId="77777777" w:rsidTr="00820288">
        <w:tblPrEx>
          <w:jc w:val="lef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trHeight w:val="144"/>
        </w:trPr>
        <w:tc>
          <w:tcPr>
            <w:tcW w:w="2340" w:type="dxa"/>
            <w:tcBorders>
              <w:top w:val="nil"/>
              <w:left w:val="nil"/>
              <w:bottom w:val="nil"/>
              <w:right w:val="nil"/>
            </w:tcBorders>
            <w:noWrap/>
            <w:hideMark/>
          </w:tcPr>
          <w:p w14:paraId="4403C31B" w14:textId="77777777" w:rsidR="009653CF" w:rsidRPr="00EF6679" w:rsidRDefault="009653CF" w:rsidP="009653CF">
            <w:pPr>
              <w:spacing w:line="240" w:lineRule="auto"/>
              <w:rPr>
                <w:rFonts w:ascii="Times New Roman" w:eastAsia="Times New Roman" w:hAnsi="Times New Roman" w:cs="Times New Roman"/>
                <w:color w:val="000000" w:themeColor="text1"/>
                <w:sz w:val="13"/>
                <w:szCs w:val="13"/>
              </w:rPr>
            </w:pPr>
            <w:r w:rsidRPr="00EF6679">
              <w:rPr>
                <w:rFonts w:ascii="Times New Roman" w:eastAsia="Times New Roman" w:hAnsi="Times New Roman" w:cs="Times New Roman"/>
                <w:color w:val="000000" w:themeColor="text1"/>
                <w:sz w:val="13"/>
                <w:szCs w:val="13"/>
              </w:rPr>
              <w:t xml:space="preserve">Citronellyl acetate      </w:t>
            </w:r>
          </w:p>
        </w:tc>
        <w:tc>
          <w:tcPr>
            <w:tcW w:w="939" w:type="dxa"/>
            <w:tcBorders>
              <w:top w:val="nil"/>
              <w:left w:val="nil"/>
              <w:bottom w:val="nil"/>
              <w:right w:val="nil"/>
            </w:tcBorders>
            <w:noWrap/>
            <w:vAlign w:val="center"/>
            <w:hideMark/>
          </w:tcPr>
          <w:p w14:paraId="5F60BB86" w14:textId="77777777" w:rsidR="009653CF" w:rsidRPr="00EF6679" w:rsidRDefault="009653CF" w:rsidP="009653CF">
            <w:pPr>
              <w:spacing w:line="240" w:lineRule="auto"/>
              <w:jc w:val="center"/>
              <w:rPr>
                <w:rFonts w:ascii="Times New Roman" w:eastAsia="Times New Roman" w:hAnsi="Times New Roman" w:cs="Times New Roman"/>
                <w:color w:val="000000" w:themeColor="text1"/>
                <w:sz w:val="13"/>
                <w:szCs w:val="13"/>
              </w:rPr>
            </w:pPr>
            <w:r w:rsidRPr="00EF6679">
              <w:rPr>
                <w:rFonts w:ascii="Times New Roman" w:eastAsia="Times New Roman" w:hAnsi="Times New Roman" w:cs="Times New Roman"/>
                <w:color w:val="000000" w:themeColor="text1"/>
                <w:sz w:val="13"/>
                <w:szCs w:val="13"/>
              </w:rPr>
              <w:t>150-84-5</w:t>
            </w:r>
          </w:p>
        </w:tc>
        <w:tc>
          <w:tcPr>
            <w:tcW w:w="1152" w:type="dxa"/>
            <w:tcBorders>
              <w:top w:val="nil"/>
              <w:left w:val="nil"/>
              <w:bottom w:val="nil"/>
              <w:right w:val="nil"/>
            </w:tcBorders>
            <w:noWrap/>
            <w:vAlign w:val="center"/>
            <w:hideMark/>
          </w:tcPr>
          <w:p w14:paraId="1D06DFEB" w14:textId="77777777" w:rsidR="009653CF" w:rsidRPr="00EF6679" w:rsidRDefault="009653CF" w:rsidP="009653CF">
            <w:pPr>
              <w:spacing w:line="240" w:lineRule="auto"/>
              <w:jc w:val="center"/>
              <w:rPr>
                <w:rFonts w:ascii="Times New Roman" w:eastAsia="Times New Roman" w:hAnsi="Times New Roman" w:cs="Times New Roman"/>
                <w:color w:val="000000" w:themeColor="text1"/>
                <w:sz w:val="13"/>
                <w:szCs w:val="13"/>
              </w:rPr>
            </w:pPr>
            <w:r w:rsidRPr="00EF6679">
              <w:rPr>
                <w:rFonts w:ascii="Times New Roman" w:eastAsia="Times New Roman" w:hAnsi="Times New Roman" w:cs="Times New Roman"/>
                <w:color w:val="000000" w:themeColor="text1"/>
                <w:sz w:val="13"/>
                <w:szCs w:val="13"/>
              </w:rPr>
              <w:t>24.552</w:t>
            </w:r>
          </w:p>
        </w:tc>
        <w:tc>
          <w:tcPr>
            <w:tcW w:w="864" w:type="dxa"/>
            <w:tcBorders>
              <w:top w:val="nil"/>
              <w:left w:val="nil"/>
              <w:bottom w:val="nil"/>
              <w:right w:val="nil"/>
            </w:tcBorders>
            <w:noWrap/>
            <w:vAlign w:val="center"/>
            <w:hideMark/>
          </w:tcPr>
          <w:p w14:paraId="2BC904DA" w14:textId="77777777" w:rsidR="009653CF" w:rsidRPr="00EF6679" w:rsidRDefault="009653CF" w:rsidP="009653CF">
            <w:pPr>
              <w:spacing w:line="240" w:lineRule="auto"/>
              <w:jc w:val="center"/>
              <w:rPr>
                <w:rFonts w:ascii="Times New Roman" w:eastAsia="Times New Roman" w:hAnsi="Times New Roman" w:cs="Times New Roman"/>
                <w:color w:val="000000" w:themeColor="text1"/>
                <w:sz w:val="13"/>
                <w:szCs w:val="13"/>
              </w:rPr>
            </w:pPr>
            <w:r w:rsidRPr="00EF6679">
              <w:rPr>
                <w:rFonts w:ascii="Times New Roman" w:eastAsia="Times New Roman" w:hAnsi="Times New Roman" w:cs="Times New Roman"/>
                <w:color w:val="000000" w:themeColor="text1"/>
                <w:sz w:val="13"/>
                <w:szCs w:val="13"/>
              </w:rPr>
              <w:t>75.61</w:t>
            </w:r>
          </w:p>
        </w:tc>
        <w:tc>
          <w:tcPr>
            <w:tcW w:w="720" w:type="dxa"/>
            <w:tcBorders>
              <w:top w:val="nil"/>
              <w:left w:val="nil"/>
              <w:bottom w:val="nil"/>
              <w:right w:val="nil"/>
            </w:tcBorders>
            <w:noWrap/>
            <w:vAlign w:val="center"/>
            <w:hideMark/>
          </w:tcPr>
          <w:p w14:paraId="59CBE7CD" w14:textId="77777777" w:rsidR="009653CF" w:rsidRPr="00EF6679" w:rsidRDefault="009653CF" w:rsidP="009653CF">
            <w:pPr>
              <w:spacing w:line="240" w:lineRule="auto"/>
              <w:jc w:val="center"/>
              <w:rPr>
                <w:rFonts w:ascii="Times New Roman" w:eastAsia="Times New Roman" w:hAnsi="Times New Roman" w:cs="Times New Roman"/>
                <w:color w:val="000000" w:themeColor="text1"/>
                <w:sz w:val="13"/>
                <w:szCs w:val="13"/>
              </w:rPr>
            </w:pPr>
            <w:r w:rsidRPr="00EF6679">
              <w:rPr>
                <w:rFonts w:ascii="Times New Roman" w:eastAsia="Times New Roman" w:hAnsi="Times New Roman" w:cs="Times New Roman"/>
                <w:color w:val="000000" w:themeColor="text1"/>
                <w:sz w:val="13"/>
                <w:szCs w:val="13"/>
              </w:rPr>
              <w:t>1.88</w:t>
            </w:r>
          </w:p>
        </w:tc>
        <w:tc>
          <w:tcPr>
            <w:tcW w:w="864" w:type="dxa"/>
            <w:tcBorders>
              <w:top w:val="nil"/>
              <w:left w:val="nil"/>
              <w:bottom w:val="nil"/>
              <w:right w:val="nil"/>
            </w:tcBorders>
            <w:noWrap/>
            <w:vAlign w:val="center"/>
            <w:hideMark/>
          </w:tcPr>
          <w:p w14:paraId="7E887DAF" w14:textId="77777777" w:rsidR="009653CF" w:rsidRPr="00EF6679" w:rsidRDefault="009653CF" w:rsidP="009653CF">
            <w:pPr>
              <w:spacing w:line="240" w:lineRule="auto"/>
              <w:jc w:val="center"/>
              <w:rPr>
                <w:rFonts w:ascii="Times New Roman" w:eastAsia="Times New Roman" w:hAnsi="Times New Roman" w:cs="Times New Roman"/>
                <w:color w:val="000000" w:themeColor="text1"/>
                <w:sz w:val="13"/>
                <w:szCs w:val="13"/>
              </w:rPr>
            </w:pPr>
            <w:r w:rsidRPr="00EF6679">
              <w:rPr>
                <w:rFonts w:ascii="Times New Roman" w:eastAsia="Times New Roman" w:hAnsi="Times New Roman" w:cs="Times New Roman"/>
                <w:color w:val="000000" w:themeColor="text1"/>
                <w:sz w:val="13"/>
                <w:szCs w:val="13"/>
              </w:rPr>
              <w:t>1.08</w:t>
            </w:r>
          </w:p>
        </w:tc>
        <w:tc>
          <w:tcPr>
            <w:tcW w:w="410" w:type="dxa"/>
            <w:tcBorders>
              <w:top w:val="nil"/>
              <w:left w:val="nil"/>
              <w:bottom w:val="nil"/>
              <w:right w:val="nil"/>
            </w:tcBorders>
            <w:noWrap/>
          </w:tcPr>
          <w:p w14:paraId="554A9716" w14:textId="77777777" w:rsidR="009653CF" w:rsidRPr="00EF6679" w:rsidRDefault="009653CF" w:rsidP="009653CF">
            <w:pPr>
              <w:spacing w:line="240" w:lineRule="auto"/>
              <w:jc w:val="right"/>
              <w:rPr>
                <w:rFonts w:ascii="Times New Roman" w:eastAsia="Times New Roman" w:hAnsi="Times New Roman" w:cs="Times New Roman"/>
                <w:color w:val="000000" w:themeColor="text1"/>
                <w:sz w:val="13"/>
                <w:szCs w:val="13"/>
              </w:rPr>
            </w:pPr>
          </w:p>
        </w:tc>
        <w:tc>
          <w:tcPr>
            <w:tcW w:w="864" w:type="dxa"/>
            <w:tcBorders>
              <w:top w:val="nil"/>
              <w:left w:val="nil"/>
              <w:bottom w:val="nil"/>
              <w:right w:val="nil"/>
            </w:tcBorders>
            <w:noWrap/>
            <w:vAlign w:val="bottom"/>
            <w:hideMark/>
          </w:tcPr>
          <w:p w14:paraId="29931237" w14:textId="77777777" w:rsidR="009653CF" w:rsidRPr="00EF6679" w:rsidRDefault="009653CF" w:rsidP="009653CF">
            <w:pPr>
              <w:spacing w:line="240" w:lineRule="auto"/>
              <w:jc w:val="center"/>
              <w:rPr>
                <w:rFonts w:ascii="Times New Roman" w:eastAsia="Times New Roman" w:hAnsi="Times New Roman" w:cs="Times New Roman"/>
                <w:color w:val="000000" w:themeColor="text1"/>
                <w:sz w:val="13"/>
                <w:szCs w:val="13"/>
              </w:rPr>
            </w:pPr>
            <w:r w:rsidRPr="00EF6679">
              <w:rPr>
                <w:rFonts w:ascii="Times New Roman" w:hAnsi="Times New Roman" w:cs="Times New Roman"/>
                <w:color w:val="000000" w:themeColor="text1"/>
                <w:sz w:val="13"/>
                <w:szCs w:val="13"/>
              </w:rPr>
              <w:t xml:space="preserve">&lt;.0001 </w:t>
            </w:r>
          </w:p>
        </w:tc>
        <w:tc>
          <w:tcPr>
            <w:tcW w:w="720" w:type="dxa"/>
            <w:tcBorders>
              <w:top w:val="nil"/>
              <w:left w:val="nil"/>
              <w:bottom w:val="nil"/>
              <w:right w:val="nil"/>
            </w:tcBorders>
            <w:noWrap/>
            <w:vAlign w:val="bottom"/>
            <w:hideMark/>
          </w:tcPr>
          <w:p w14:paraId="0A2E9F0D" w14:textId="77777777" w:rsidR="009653CF" w:rsidRPr="00EF6679" w:rsidRDefault="009653CF" w:rsidP="009653CF">
            <w:pPr>
              <w:spacing w:line="240" w:lineRule="auto"/>
              <w:jc w:val="center"/>
              <w:rPr>
                <w:rFonts w:ascii="Times New Roman" w:eastAsia="Times New Roman" w:hAnsi="Times New Roman" w:cs="Times New Roman"/>
                <w:color w:val="000000" w:themeColor="text1"/>
                <w:sz w:val="13"/>
                <w:szCs w:val="13"/>
              </w:rPr>
            </w:pPr>
            <w:r w:rsidRPr="00EF6679">
              <w:rPr>
                <w:rFonts w:ascii="Times New Roman" w:hAnsi="Times New Roman" w:cs="Times New Roman"/>
                <w:color w:val="000000" w:themeColor="text1"/>
                <w:sz w:val="13"/>
                <w:szCs w:val="13"/>
              </w:rPr>
              <w:t>0.0434</w:t>
            </w:r>
          </w:p>
        </w:tc>
        <w:tc>
          <w:tcPr>
            <w:tcW w:w="864" w:type="dxa"/>
            <w:tcBorders>
              <w:top w:val="nil"/>
              <w:left w:val="nil"/>
              <w:bottom w:val="nil"/>
              <w:right w:val="nil"/>
            </w:tcBorders>
            <w:noWrap/>
            <w:vAlign w:val="bottom"/>
            <w:hideMark/>
          </w:tcPr>
          <w:p w14:paraId="39986BBF" w14:textId="77777777" w:rsidR="009653CF" w:rsidRPr="00EF6679" w:rsidRDefault="009653CF" w:rsidP="009653CF">
            <w:pPr>
              <w:spacing w:line="240" w:lineRule="auto"/>
              <w:jc w:val="center"/>
              <w:rPr>
                <w:rFonts w:ascii="Times New Roman" w:eastAsia="Times New Roman" w:hAnsi="Times New Roman" w:cs="Times New Roman"/>
                <w:color w:val="000000" w:themeColor="text1"/>
                <w:sz w:val="13"/>
                <w:szCs w:val="13"/>
              </w:rPr>
            </w:pPr>
            <w:r w:rsidRPr="00EF6679">
              <w:rPr>
                <w:rFonts w:ascii="Times New Roman" w:hAnsi="Times New Roman" w:cs="Times New Roman"/>
                <w:color w:val="000000" w:themeColor="text1"/>
                <w:sz w:val="13"/>
                <w:szCs w:val="13"/>
              </w:rPr>
              <w:t>0.3796</w:t>
            </w:r>
          </w:p>
        </w:tc>
      </w:tr>
      <w:tr w:rsidR="009653CF" w:rsidRPr="00EF6679" w14:paraId="00C478B6" w14:textId="77777777" w:rsidTr="00820288">
        <w:tblPrEx>
          <w:jc w:val="lef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trHeight w:val="144"/>
        </w:trPr>
        <w:tc>
          <w:tcPr>
            <w:tcW w:w="2340" w:type="dxa"/>
            <w:tcBorders>
              <w:top w:val="nil"/>
              <w:left w:val="nil"/>
              <w:bottom w:val="nil"/>
              <w:right w:val="nil"/>
            </w:tcBorders>
            <w:noWrap/>
            <w:hideMark/>
          </w:tcPr>
          <w:p w14:paraId="3590DD33" w14:textId="77777777" w:rsidR="009653CF" w:rsidRPr="00EF6679" w:rsidRDefault="009653CF" w:rsidP="009653CF">
            <w:pPr>
              <w:spacing w:line="240" w:lineRule="auto"/>
              <w:rPr>
                <w:rFonts w:ascii="Times New Roman" w:eastAsia="Times New Roman" w:hAnsi="Times New Roman" w:cs="Times New Roman"/>
                <w:color w:val="000000" w:themeColor="text1"/>
                <w:sz w:val="13"/>
                <w:szCs w:val="13"/>
              </w:rPr>
            </w:pPr>
            <w:r w:rsidRPr="00EF6679">
              <w:rPr>
                <w:rFonts w:ascii="Times New Roman" w:eastAsia="Times New Roman" w:hAnsi="Times New Roman" w:cs="Times New Roman"/>
                <w:color w:val="000000" w:themeColor="text1"/>
                <w:sz w:val="13"/>
                <w:szCs w:val="13"/>
              </w:rPr>
              <w:t xml:space="preserve">Methyl Eugenol           </w:t>
            </w:r>
          </w:p>
        </w:tc>
        <w:tc>
          <w:tcPr>
            <w:tcW w:w="939" w:type="dxa"/>
            <w:tcBorders>
              <w:top w:val="nil"/>
              <w:left w:val="nil"/>
              <w:bottom w:val="nil"/>
              <w:right w:val="nil"/>
            </w:tcBorders>
            <w:noWrap/>
            <w:vAlign w:val="center"/>
            <w:hideMark/>
          </w:tcPr>
          <w:p w14:paraId="1182C87E" w14:textId="77777777" w:rsidR="009653CF" w:rsidRPr="00EF6679" w:rsidRDefault="009653CF" w:rsidP="009653CF">
            <w:pPr>
              <w:spacing w:line="240" w:lineRule="auto"/>
              <w:jc w:val="center"/>
              <w:rPr>
                <w:rFonts w:ascii="Times New Roman" w:eastAsia="Times New Roman" w:hAnsi="Times New Roman" w:cs="Times New Roman"/>
                <w:color w:val="000000" w:themeColor="text1"/>
                <w:sz w:val="13"/>
                <w:szCs w:val="13"/>
              </w:rPr>
            </w:pPr>
            <w:r w:rsidRPr="00EF6679">
              <w:rPr>
                <w:rFonts w:ascii="Times New Roman" w:eastAsia="Times New Roman" w:hAnsi="Times New Roman" w:cs="Times New Roman"/>
                <w:color w:val="000000" w:themeColor="text1"/>
                <w:sz w:val="13"/>
                <w:szCs w:val="13"/>
              </w:rPr>
              <w:t>93-15-2</w:t>
            </w:r>
          </w:p>
        </w:tc>
        <w:tc>
          <w:tcPr>
            <w:tcW w:w="1152" w:type="dxa"/>
            <w:tcBorders>
              <w:top w:val="nil"/>
              <w:left w:val="nil"/>
              <w:bottom w:val="nil"/>
              <w:right w:val="nil"/>
            </w:tcBorders>
            <w:noWrap/>
            <w:vAlign w:val="center"/>
            <w:hideMark/>
          </w:tcPr>
          <w:p w14:paraId="615250E1" w14:textId="77777777" w:rsidR="009653CF" w:rsidRPr="00EF6679" w:rsidRDefault="009653CF" w:rsidP="009653CF">
            <w:pPr>
              <w:spacing w:line="240" w:lineRule="auto"/>
              <w:jc w:val="center"/>
              <w:rPr>
                <w:rFonts w:ascii="Times New Roman" w:eastAsia="Times New Roman" w:hAnsi="Times New Roman" w:cs="Times New Roman"/>
                <w:color w:val="000000" w:themeColor="text1"/>
                <w:sz w:val="13"/>
                <w:szCs w:val="13"/>
              </w:rPr>
            </w:pPr>
            <w:r w:rsidRPr="00EF6679">
              <w:rPr>
                <w:rFonts w:ascii="Times New Roman" w:eastAsia="Times New Roman" w:hAnsi="Times New Roman" w:cs="Times New Roman"/>
                <w:color w:val="000000" w:themeColor="text1"/>
                <w:sz w:val="13"/>
                <w:szCs w:val="13"/>
              </w:rPr>
              <w:t>25.901</w:t>
            </w:r>
          </w:p>
        </w:tc>
        <w:tc>
          <w:tcPr>
            <w:tcW w:w="864" w:type="dxa"/>
            <w:tcBorders>
              <w:top w:val="nil"/>
              <w:left w:val="nil"/>
              <w:bottom w:val="nil"/>
              <w:right w:val="nil"/>
            </w:tcBorders>
            <w:noWrap/>
            <w:vAlign w:val="center"/>
            <w:hideMark/>
          </w:tcPr>
          <w:p w14:paraId="2DF5B00A" w14:textId="77777777" w:rsidR="009653CF" w:rsidRPr="00EF6679" w:rsidRDefault="009653CF" w:rsidP="009653CF">
            <w:pPr>
              <w:spacing w:line="240" w:lineRule="auto"/>
              <w:jc w:val="center"/>
              <w:rPr>
                <w:rFonts w:ascii="Times New Roman" w:eastAsia="Times New Roman" w:hAnsi="Times New Roman" w:cs="Times New Roman"/>
                <w:color w:val="000000" w:themeColor="text1"/>
                <w:sz w:val="13"/>
                <w:szCs w:val="13"/>
              </w:rPr>
            </w:pPr>
            <w:r w:rsidRPr="00EF6679">
              <w:rPr>
                <w:rFonts w:ascii="Times New Roman" w:eastAsia="Times New Roman" w:hAnsi="Times New Roman" w:cs="Times New Roman"/>
                <w:color w:val="000000" w:themeColor="text1"/>
                <w:sz w:val="13"/>
                <w:szCs w:val="13"/>
              </w:rPr>
              <w:t>10.58</w:t>
            </w:r>
          </w:p>
        </w:tc>
        <w:tc>
          <w:tcPr>
            <w:tcW w:w="720" w:type="dxa"/>
            <w:tcBorders>
              <w:top w:val="nil"/>
              <w:left w:val="nil"/>
              <w:bottom w:val="nil"/>
              <w:right w:val="nil"/>
            </w:tcBorders>
            <w:noWrap/>
            <w:vAlign w:val="center"/>
            <w:hideMark/>
          </w:tcPr>
          <w:p w14:paraId="456F437A" w14:textId="77777777" w:rsidR="009653CF" w:rsidRPr="00EF6679" w:rsidRDefault="009653CF" w:rsidP="009653CF">
            <w:pPr>
              <w:spacing w:line="240" w:lineRule="auto"/>
              <w:jc w:val="center"/>
              <w:rPr>
                <w:rFonts w:ascii="Times New Roman" w:eastAsia="Times New Roman" w:hAnsi="Times New Roman" w:cs="Times New Roman"/>
                <w:color w:val="000000" w:themeColor="text1"/>
                <w:sz w:val="13"/>
                <w:szCs w:val="13"/>
              </w:rPr>
            </w:pPr>
            <w:r w:rsidRPr="00EF6679">
              <w:rPr>
                <w:rFonts w:ascii="Times New Roman" w:eastAsia="Times New Roman" w:hAnsi="Times New Roman" w:cs="Times New Roman"/>
                <w:color w:val="000000" w:themeColor="text1"/>
                <w:sz w:val="13"/>
                <w:szCs w:val="13"/>
              </w:rPr>
              <w:t>1.16</w:t>
            </w:r>
          </w:p>
        </w:tc>
        <w:tc>
          <w:tcPr>
            <w:tcW w:w="864" w:type="dxa"/>
            <w:tcBorders>
              <w:top w:val="nil"/>
              <w:left w:val="nil"/>
              <w:bottom w:val="nil"/>
              <w:right w:val="nil"/>
            </w:tcBorders>
            <w:noWrap/>
            <w:vAlign w:val="center"/>
            <w:hideMark/>
          </w:tcPr>
          <w:p w14:paraId="587C82F9" w14:textId="77777777" w:rsidR="009653CF" w:rsidRPr="00EF6679" w:rsidRDefault="009653CF" w:rsidP="009653CF">
            <w:pPr>
              <w:spacing w:line="240" w:lineRule="auto"/>
              <w:jc w:val="center"/>
              <w:rPr>
                <w:rFonts w:ascii="Times New Roman" w:eastAsia="Times New Roman" w:hAnsi="Times New Roman" w:cs="Times New Roman"/>
                <w:color w:val="000000" w:themeColor="text1"/>
                <w:sz w:val="13"/>
                <w:szCs w:val="13"/>
              </w:rPr>
            </w:pPr>
            <w:r w:rsidRPr="00EF6679">
              <w:rPr>
                <w:rFonts w:ascii="Times New Roman" w:eastAsia="Times New Roman" w:hAnsi="Times New Roman" w:cs="Times New Roman"/>
                <w:color w:val="000000" w:themeColor="text1"/>
                <w:sz w:val="13"/>
                <w:szCs w:val="13"/>
              </w:rPr>
              <w:t>1.20</w:t>
            </w:r>
          </w:p>
        </w:tc>
        <w:tc>
          <w:tcPr>
            <w:tcW w:w="410" w:type="dxa"/>
            <w:tcBorders>
              <w:top w:val="nil"/>
              <w:left w:val="nil"/>
              <w:bottom w:val="nil"/>
              <w:right w:val="nil"/>
            </w:tcBorders>
            <w:noWrap/>
          </w:tcPr>
          <w:p w14:paraId="3BB97AA0" w14:textId="77777777" w:rsidR="009653CF" w:rsidRPr="00EF6679" w:rsidRDefault="009653CF" w:rsidP="009653CF">
            <w:pPr>
              <w:spacing w:line="240" w:lineRule="auto"/>
              <w:jc w:val="right"/>
              <w:rPr>
                <w:rFonts w:ascii="Times New Roman" w:eastAsia="Times New Roman" w:hAnsi="Times New Roman" w:cs="Times New Roman"/>
                <w:color w:val="000000" w:themeColor="text1"/>
                <w:sz w:val="13"/>
                <w:szCs w:val="13"/>
              </w:rPr>
            </w:pPr>
          </w:p>
        </w:tc>
        <w:tc>
          <w:tcPr>
            <w:tcW w:w="864" w:type="dxa"/>
            <w:tcBorders>
              <w:top w:val="nil"/>
              <w:left w:val="nil"/>
              <w:bottom w:val="nil"/>
              <w:right w:val="nil"/>
            </w:tcBorders>
            <w:noWrap/>
            <w:vAlign w:val="bottom"/>
            <w:hideMark/>
          </w:tcPr>
          <w:p w14:paraId="55A222BE" w14:textId="77777777" w:rsidR="009653CF" w:rsidRPr="00EF6679" w:rsidRDefault="009653CF" w:rsidP="009653CF">
            <w:pPr>
              <w:spacing w:line="240" w:lineRule="auto"/>
              <w:jc w:val="center"/>
              <w:rPr>
                <w:rFonts w:ascii="Times New Roman" w:eastAsia="Times New Roman" w:hAnsi="Times New Roman" w:cs="Times New Roman"/>
                <w:color w:val="000000" w:themeColor="text1"/>
                <w:sz w:val="13"/>
                <w:szCs w:val="13"/>
              </w:rPr>
            </w:pPr>
            <w:r w:rsidRPr="00EF6679">
              <w:rPr>
                <w:rFonts w:ascii="Times New Roman" w:hAnsi="Times New Roman" w:cs="Times New Roman"/>
                <w:color w:val="000000" w:themeColor="text1"/>
                <w:sz w:val="13"/>
                <w:szCs w:val="13"/>
              </w:rPr>
              <w:t>0.0013</w:t>
            </w:r>
          </w:p>
        </w:tc>
        <w:tc>
          <w:tcPr>
            <w:tcW w:w="720" w:type="dxa"/>
            <w:tcBorders>
              <w:top w:val="nil"/>
              <w:left w:val="nil"/>
              <w:bottom w:val="nil"/>
              <w:right w:val="nil"/>
            </w:tcBorders>
            <w:noWrap/>
            <w:vAlign w:val="bottom"/>
            <w:hideMark/>
          </w:tcPr>
          <w:p w14:paraId="481BABF7" w14:textId="77777777" w:rsidR="009653CF" w:rsidRPr="00EF6679" w:rsidRDefault="009653CF" w:rsidP="009653CF">
            <w:pPr>
              <w:spacing w:line="240" w:lineRule="auto"/>
              <w:jc w:val="center"/>
              <w:rPr>
                <w:rFonts w:ascii="Times New Roman" w:eastAsia="Times New Roman" w:hAnsi="Times New Roman" w:cs="Times New Roman"/>
                <w:color w:val="000000" w:themeColor="text1"/>
                <w:sz w:val="13"/>
                <w:szCs w:val="13"/>
              </w:rPr>
            </w:pPr>
            <w:r w:rsidRPr="00EF6679">
              <w:rPr>
                <w:rFonts w:ascii="Times New Roman" w:hAnsi="Times New Roman" w:cs="Times New Roman"/>
                <w:color w:val="000000" w:themeColor="text1"/>
                <w:sz w:val="13"/>
                <w:szCs w:val="13"/>
              </w:rPr>
              <w:t>0.3136</w:t>
            </w:r>
          </w:p>
        </w:tc>
        <w:tc>
          <w:tcPr>
            <w:tcW w:w="864" w:type="dxa"/>
            <w:tcBorders>
              <w:top w:val="nil"/>
              <w:left w:val="nil"/>
              <w:bottom w:val="nil"/>
              <w:right w:val="nil"/>
            </w:tcBorders>
            <w:noWrap/>
            <w:vAlign w:val="bottom"/>
            <w:hideMark/>
          </w:tcPr>
          <w:p w14:paraId="68A0ED82" w14:textId="77777777" w:rsidR="009653CF" w:rsidRPr="00EF6679" w:rsidRDefault="009653CF" w:rsidP="009653CF">
            <w:pPr>
              <w:spacing w:line="240" w:lineRule="auto"/>
              <w:jc w:val="center"/>
              <w:rPr>
                <w:rFonts w:ascii="Times New Roman" w:eastAsia="Times New Roman" w:hAnsi="Times New Roman" w:cs="Times New Roman"/>
                <w:color w:val="000000" w:themeColor="text1"/>
                <w:sz w:val="13"/>
                <w:szCs w:val="13"/>
              </w:rPr>
            </w:pPr>
            <w:r w:rsidRPr="00EF6679">
              <w:rPr>
                <w:rFonts w:ascii="Times New Roman" w:hAnsi="Times New Roman" w:cs="Times New Roman"/>
                <w:color w:val="000000" w:themeColor="text1"/>
                <w:sz w:val="13"/>
                <w:szCs w:val="13"/>
              </w:rPr>
              <w:t>0.2857</w:t>
            </w:r>
          </w:p>
        </w:tc>
      </w:tr>
      <w:tr w:rsidR="009653CF" w:rsidRPr="00EF6679" w14:paraId="31623260" w14:textId="77777777" w:rsidTr="00820288">
        <w:tblPrEx>
          <w:jc w:val="lef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trHeight w:val="144"/>
        </w:trPr>
        <w:tc>
          <w:tcPr>
            <w:tcW w:w="2340" w:type="dxa"/>
            <w:tcBorders>
              <w:top w:val="nil"/>
              <w:left w:val="nil"/>
              <w:bottom w:val="nil"/>
              <w:right w:val="nil"/>
            </w:tcBorders>
            <w:noWrap/>
            <w:hideMark/>
          </w:tcPr>
          <w:p w14:paraId="0C57817D" w14:textId="77777777" w:rsidR="009653CF" w:rsidRPr="00EF6679" w:rsidRDefault="009653CF" w:rsidP="009653CF">
            <w:pPr>
              <w:spacing w:line="240" w:lineRule="auto"/>
              <w:rPr>
                <w:rFonts w:ascii="Times New Roman" w:eastAsia="Times New Roman" w:hAnsi="Times New Roman" w:cs="Times New Roman"/>
                <w:color w:val="000000" w:themeColor="text1"/>
                <w:sz w:val="13"/>
                <w:szCs w:val="13"/>
              </w:rPr>
            </w:pPr>
            <w:r w:rsidRPr="00EF6679">
              <w:rPr>
                <w:rFonts w:ascii="Times New Roman" w:eastAsia="Times New Roman" w:hAnsi="Times New Roman" w:cs="Times New Roman"/>
                <w:color w:val="000000" w:themeColor="text1"/>
                <w:sz w:val="13"/>
                <w:szCs w:val="13"/>
              </w:rPr>
              <w:t xml:space="preserve">Humulene               </w:t>
            </w:r>
          </w:p>
        </w:tc>
        <w:tc>
          <w:tcPr>
            <w:tcW w:w="939" w:type="dxa"/>
            <w:tcBorders>
              <w:top w:val="nil"/>
              <w:left w:val="nil"/>
              <w:bottom w:val="nil"/>
              <w:right w:val="nil"/>
            </w:tcBorders>
            <w:noWrap/>
            <w:vAlign w:val="center"/>
            <w:hideMark/>
          </w:tcPr>
          <w:p w14:paraId="140F41B3" w14:textId="77777777" w:rsidR="009653CF" w:rsidRPr="00EF6679" w:rsidRDefault="009653CF" w:rsidP="009653CF">
            <w:pPr>
              <w:spacing w:line="240" w:lineRule="auto"/>
              <w:jc w:val="center"/>
              <w:rPr>
                <w:rFonts w:ascii="Times New Roman" w:eastAsia="Times New Roman" w:hAnsi="Times New Roman" w:cs="Times New Roman"/>
                <w:color w:val="000000" w:themeColor="text1"/>
                <w:sz w:val="13"/>
                <w:szCs w:val="13"/>
              </w:rPr>
            </w:pPr>
            <w:r w:rsidRPr="00EF6679">
              <w:rPr>
                <w:rFonts w:ascii="Times New Roman" w:eastAsia="Times New Roman" w:hAnsi="Times New Roman" w:cs="Times New Roman"/>
                <w:color w:val="000000" w:themeColor="text1"/>
                <w:sz w:val="13"/>
                <w:szCs w:val="13"/>
              </w:rPr>
              <w:t>6753-98-6</w:t>
            </w:r>
          </w:p>
        </w:tc>
        <w:tc>
          <w:tcPr>
            <w:tcW w:w="1152" w:type="dxa"/>
            <w:tcBorders>
              <w:top w:val="nil"/>
              <w:left w:val="nil"/>
              <w:bottom w:val="nil"/>
              <w:right w:val="nil"/>
            </w:tcBorders>
            <w:noWrap/>
            <w:vAlign w:val="center"/>
            <w:hideMark/>
          </w:tcPr>
          <w:p w14:paraId="2858323A" w14:textId="77777777" w:rsidR="009653CF" w:rsidRPr="00EF6679" w:rsidRDefault="009653CF" w:rsidP="009653CF">
            <w:pPr>
              <w:spacing w:line="240" w:lineRule="auto"/>
              <w:jc w:val="center"/>
              <w:rPr>
                <w:rFonts w:ascii="Times New Roman" w:eastAsia="Times New Roman" w:hAnsi="Times New Roman" w:cs="Times New Roman"/>
                <w:color w:val="000000" w:themeColor="text1"/>
                <w:sz w:val="13"/>
                <w:szCs w:val="13"/>
              </w:rPr>
            </w:pPr>
            <w:r w:rsidRPr="00EF6679">
              <w:rPr>
                <w:rFonts w:ascii="Times New Roman" w:eastAsia="Times New Roman" w:hAnsi="Times New Roman" w:cs="Times New Roman"/>
                <w:color w:val="000000" w:themeColor="text1"/>
                <w:sz w:val="13"/>
                <w:szCs w:val="13"/>
              </w:rPr>
              <w:t>27.263</w:t>
            </w:r>
          </w:p>
        </w:tc>
        <w:tc>
          <w:tcPr>
            <w:tcW w:w="864" w:type="dxa"/>
            <w:tcBorders>
              <w:top w:val="nil"/>
              <w:left w:val="nil"/>
              <w:bottom w:val="nil"/>
              <w:right w:val="nil"/>
            </w:tcBorders>
            <w:noWrap/>
            <w:vAlign w:val="center"/>
            <w:hideMark/>
          </w:tcPr>
          <w:p w14:paraId="5A8BB41F" w14:textId="77777777" w:rsidR="009653CF" w:rsidRPr="00EF6679" w:rsidRDefault="009653CF" w:rsidP="009653CF">
            <w:pPr>
              <w:spacing w:line="240" w:lineRule="auto"/>
              <w:jc w:val="center"/>
              <w:rPr>
                <w:rFonts w:ascii="Times New Roman" w:eastAsia="Times New Roman" w:hAnsi="Times New Roman" w:cs="Times New Roman"/>
                <w:color w:val="000000" w:themeColor="text1"/>
                <w:sz w:val="13"/>
                <w:szCs w:val="13"/>
              </w:rPr>
            </w:pPr>
            <w:r w:rsidRPr="00EF6679">
              <w:rPr>
                <w:rFonts w:ascii="Times New Roman" w:eastAsia="Times New Roman" w:hAnsi="Times New Roman" w:cs="Times New Roman"/>
                <w:color w:val="000000" w:themeColor="text1"/>
                <w:sz w:val="13"/>
                <w:szCs w:val="13"/>
              </w:rPr>
              <w:t>1.00</w:t>
            </w:r>
          </w:p>
        </w:tc>
        <w:tc>
          <w:tcPr>
            <w:tcW w:w="720" w:type="dxa"/>
            <w:tcBorders>
              <w:top w:val="nil"/>
              <w:left w:val="nil"/>
              <w:bottom w:val="nil"/>
              <w:right w:val="nil"/>
            </w:tcBorders>
            <w:noWrap/>
            <w:vAlign w:val="center"/>
            <w:hideMark/>
          </w:tcPr>
          <w:p w14:paraId="3C89F1AD" w14:textId="77777777" w:rsidR="009653CF" w:rsidRPr="00EF6679" w:rsidRDefault="009653CF" w:rsidP="009653CF">
            <w:pPr>
              <w:spacing w:line="240" w:lineRule="auto"/>
              <w:jc w:val="center"/>
              <w:rPr>
                <w:rFonts w:ascii="Times New Roman" w:eastAsia="Times New Roman" w:hAnsi="Times New Roman" w:cs="Times New Roman"/>
                <w:color w:val="000000" w:themeColor="text1"/>
                <w:sz w:val="13"/>
                <w:szCs w:val="13"/>
              </w:rPr>
            </w:pPr>
            <w:r w:rsidRPr="00EF6679">
              <w:rPr>
                <w:rFonts w:ascii="Times New Roman" w:eastAsia="Times New Roman" w:hAnsi="Times New Roman" w:cs="Times New Roman"/>
                <w:color w:val="000000" w:themeColor="text1"/>
                <w:sz w:val="13"/>
                <w:szCs w:val="13"/>
              </w:rPr>
              <w:t>1.00</w:t>
            </w:r>
          </w:p>
        </w:tc>
        <w:tc>
          <w:tcPr>
            <w:tcW w:w="864" w:type="dxa"/>
            <w:tcBorders>
              <w:top w:val="nil"/>
              <w:left w:val="nil"/>
              <w:bottom w:val="nil"/>
              <w:right w:val="nil"/>
            </w:tcBorders>
            <w:noWrap/>
            <w:vAlign w:val="center"/>
            <w:hideMark/>
          </w:tcPr>
          <w:p w14:paraId="130944EE" w14:textId="77777777" w:rsidR="009653CF" w:rsidRPr="00EF6679" w:rsidRDefault="009653CF" w:rsidP="009653CF">
            <w:pPr>
              <w:spacing w:line="240" w:lineRule="auto"/>
              <w:jc w:val="center"/>
              <w:rPr>
                <w:rFonts w:ascii="Times New Roman" w:eastAsia="Times New Roman" w:hAnsi="Times New Roman" w:cs="Times New Roman"/>
                <w:color w:val="000000" w:themeColor="text1"/>
                <w:sz w:val="13"/>
                <w:szCs w:val="13"/>
              </w:rPr>
            </w:pPr>
            <w:r w:rsidRPr="00EF6679">
              <w:rPr>
                <w:rFonts w:ascii="Times New Roman" w:eastAsia="Times New Roman" w:hAnsi="Times New Roman" w:cs="Times New Roman"/>
                <w:color w:val="000000" w:themeColor="text1"/>
                <w:sz w:val="13"/>
                <w:szCs w:val="13"/>
              </w:rPr>
              <w:t>1.00</w:t>
            </w:r>
          </w:p>
        </w:tc>
        <w:tc>
          <w:tcPr>
            <w:tcW w:w="410" w:type="dxa"/>
            <w:tcBorders>
              <w:top w:val="nil"/>
              <w:left w:val="nil"/>
              <w:bottom w:val="nil"/>
              <w:right w:val="nil"/>
            </w:tcBorders>
            <w:noWrap/>
          </w:tcPr>
          <w:p w14:paraId="65A61216" w14:textId="77777777" w:rsidR="009653CF" w:rsidRPr="00EF6679" w:rsidRDefault="009653CF" w:rsidP="009653CF">
            <w:pPr>
              <w:spacing w:line="240" w:lineRule="auto"/>
              <w:jc w:val="right"/>
              <w:rPr>
                <w:rFonts w:ascii="Times New Roman" w:eastAsia="Times New Roman" w:hAnsi="Times New Roman" w:cs="Times New Roman"/>
                <w:color w:val="000000" w:themeColor="text1"/>
                <w:sz w:val="13"/>
                <w:szCs w:val="13"/>
              </w:rPr>
            </w:pPr>
          </w:p>
        </w:tc>
        <w:tc>
          <w:tcPr>
            <w:tcW w:w="864" w:type="dxa"/>
            <w:tcBorders>
              <w:top w:val="nil"/>
              <w:left w:val="nil"/>
              <w:bottom w:val="nil"/>
              <w:right w:val="nil"/>
            </w:tcBorders>
            <w:noWrap/>
            <w:vAlign w:val="bottom"/>
            <w:hideMark/>
          </w:tcPr>
          <w:p w14:paraId="2F10B59A" w14:textId="77777777" w:rsidR="009653CF" w:rsidRPr="00EF6679" w:rsidRDefault="009653CF" w:rsidP="009653CF">
            <w:pPr>
              <w:spacing w:line="240" w:lineRule="auto"/>
              <w:jc w:val="center"/>
              <w:rPr>
                <w:rFonts w:ascii="Times New Roman" w:eastAsia="Times New Roman" w:hAnsi="Times New Roman" w:cs="Times New Roman"/>
                <w:color w:val="000000" w:themeColor="text1"/>
                <w:sz w:val="13"/>
                <w:szCs w:val="13"/>
              </w:rPr>
            </w:pPr>
            <w:r w:rsidRPr="00EF6679">
              <w:rPr>
                <w:rFonts w:ascii="Times New Roman" w:hAnsi="Times New Roman" w:cs="Times New Roman"/>
                <w:color w:val="000000" w:themeColor="text1"/>
                <w:sz w:val="13"/>
                <w:szCs w:val="13"/>
              </w:rPr>
              <w:t>0.3185</w:t>
            </w:r>
          </w:p>
        </w:tc>
        <w:tc>
          <w:tcPr>
            <w:tcW w:w="720" w:type="dxa"/>
            <w:tcBorders>
              <w:top w:val="nil"/>
              <w:left w:val="nil"/>
              <w:bottom w:val="nil"/>
              <w:right w:val="nil"/>
            </w:tcBorders>
            <w:noWrap/>
            <w:vAlign w:val="bottom"/>
            <w:hideMark/>
          </w:tcPr>
          <w:p w14:paraId="2F13A618" w14:textId="77777777" w:rsidR="009653CF" w:rsidRPr="00EF6679" w:rsidRDefault="009653CF" w:rsidP="009653CF">
            <w:pPr>
              <w:spacing w:line="240" w:lineRule="auto"/>
              <w:jc w:val="center"/>
              <w:rPr>
                <w:rFonts w:ascii="Times New Roman" w:eastAsia="Times New Roman" w:hAnsi="Times New Roman" w:cs="Times New Roman"/>
                <w:color w:val="000000" w:themeColor="text1"/>
                <w:sz w:val="13"/>
                <w:szCs w:val="13"/>
              </w:rPr>
            </w:pPr>
            <w:r w:rsidRPr="00EF6679">
              <w:rPr>
                <w:rFonts w:ascii="Times New Roman" w:hAnsi="Times New Roman" w:cs="Times New Roman"/>
                <w:color w:val="000000" w:themeColor="text1"/>
                <w:sz w:val="13"/>
                <w:szCs w:val="13"/>
              </w:rPr>
              <w:t>0.4476</w:t>
            </w:r>
          </w:p>
        </w:tc>
        <w:tc>
          <w:tcPr>
            <w:tcW w:w="864" w:type="dxa"/>
            <w:tcBorders>
              <w:top w:val="nil"/>
              <w:left w:val="nil"/>
              <w:bottom w:val="nil"/>
              <w:right w:val="nil"/>
            </w:tcBorders>
            <w:noWrap/>
            <w:vAlign w:val="bottom"/>
            <w:hideMark/>
          </w:tcPr>
          <w:p w14:paraId="1FD7B5B2" w14:textId="77777777" w:rsidR="009653CF" w:rsidRPr="00EF6679" w:rsidRDefault="009653CF" w:rsidP="009653CF">
            <w:pPr>
              <w:spacing w:line="240" w:lineRule="auto"/>
              <w:jc w:val="center"/>
              <w:rPr>
                <w:rFonts w:ascii="Times New Roman" w:eastAsia="Times New Roman" w:hAnsi="Times New Roman" w:cs="Times New Roman"/>
                <w:color w:val="000000" w:themeColor="text1"/>
                <w:sz w:val="13"/>
                <w:szCs w:val="13"/>
              </w:rPr>
            </w:pPr>
            <w:r w:rsidRPr="00EF6679">
              <w:rPr>
                <w:rFonts w:ascii="Times New Roman" w:hAnsi="Times New Roman" w:cs="Times New Roman"/>
                <w:color w:val="000000" w:themeColor="text1"/>
                <w:sz w:val="13"/>
                <w:szCs w:val="13"/>
              </w:rPr>
              <w:t>0.4476</w:t>
            </w:r>
          </w:p>
        </w:tc>
      </w:tr>
      <w:tr w:rsidR="009653CF" w:rsidRPr="00EF6679" w14:paraId="5EA65B54" w14:textId="77777777" w:rsidTr="00820288">
        <w:tblPrEx>
          <w:jc w:val="lef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trHeight w:val="144"/>
        </w:trPr>
        <w:tc>
          <w:tcPr>
            <w:tcW w:w="2340" w:type="dxa"/>
            <w:tcBorders>
              <w:top w:val="nil"/>
              <w:left w:val="nil"/>
              <w:bottom w:val="single" w:sz="4" w:space="0" w:color="auto"/>
              <w:right w:val="nil"/>
            </w:tcBorders>
            <w:noWrap/>
            <w:hideMark/>
          </w:tcPr>
          <w:p w14:paraId="1F335602" w14:textId="77777777" w:rsidR="009653CF" w:rsidRPr="00EF6679" w:rsidRDefault="009653CF" w:rsidP="009653CF">
            <w:pPr>
              <w:spacing w:line="240" w:lineRule="auto"/>
              <w:rPr>
                <w:rFonts w:ascii="Times New Roman" w:eastAsia="Times New Roman" w:hAnsi="Times New Roman" w:cs="Times New Roman"/>
                <w:color w:val="000000" w:themeColor="text1"/>
                <w:sz w:val="13"/>
                <w:szCs w:val="13"/>
              </w:rPr>
            </w:pPr>
            <w:r w:rsidRPr="00EF6679">
              <w:rPr>
                <w:rFonts w:ascii="Times New Roman" w:eastAsia="Times New Roman" w:hAnsi="Times New Roman" w:cs="Times New Roman"/>
                <w:color w:val="000000" w:themeColor="text1"/>
                <w:sz w:val="13"/>
                <w:szCs w:val="13"/>
              </w:rPr>
              <w:t xml:space="preserve">1,4-Heptadiene           </w:t>
            </w:r>
          </w:p>
        </w:tc>
        <w:tc>
          <w:tcPr>
            <w:tcW w:w="939" w:type="dxa"/>
            <w:tcBorders>
              <w:top w:val="nil"/>
              <w:left w:val="nil"/>
              <w:bottom w:val="single" w:sz="4" w:space="0" w:color="auto"/>
              <w:right w:val="nil"/>
            </w:tcBorders>
            <w:noWrap/>
            <w:vAlign w:val="center"/>
            <w:hideMark/>
          </w:tcPr>
          <w:p w14:paraId="0F7748FF" w14:textId="77777777" w:rsidR="009653CF" w:rsidRPr="00EF6679" w:rsidRDefault="009653CF" w:rsidP="009653CF">
            <w:pPr>
              <w:spacing w:line="240" w:lineRule="auto"/>
              <w:jc w:val="center"/>
              <w:rPr>
                <w:rFonts w:ascii="Times New Roman" w:eastAsia="Times New Roman" w:hAnsi="Times New Roman" w:cs="Times New Roman"/>
                <w:color w:val="000000" w:themeColor="text1"/>
                <w:sz w:val="13"/>
                <w:szCs w:val="13"/>
              </w:rPr>
            </w:pPr>
            <w:r w:rsidRPr="00EF6679">
              <w:rPr>
                <w:rFonts w:ascii="Times New Roman" w:eastAsia="Times New Roman" w:hAnsi="Times New Roman" w:cs="Times New Roman"/>
                <w:color w:val="000000" w:themeColor="text1"/>
                <w:sz w:val="13"/>
                <w:szCs w:val="13"/>
              </w:rPr>
              <w:t>5675-22-9</w:t>
            </w:r>
          </w:p>
        </w:tc>
        <w:tc>
          <w:tcPr>
            <w:tcW w:w="1152" w:type="dxa"/>
            <w:tcBorders>
              <w:top w:val="nil"/>
              <w:left w:val="nil"/>
              <w:bottom w:val="single" w:sz="4" w:space="0" w:color="auto"/>
              <w:right w:val="nil"/>
            </w:tcBorders>
            <w:noWrap/>
            <w:vAlign w:val="center"/>
            <w:hideMark/>
          </w:tcPr>
          <w:p w14:paraId="6E380FF0" w14:textId="77777777" w:rsidR="009653CF" w:rsidRPr="00EF6679" w:rsidRDefault="009653CF" w:rsidP="009653CF">
            <w:pPr>
              <w:spacing w:line="240" w:lineRule="auto"/>
              <w:jc w:val="center"/>
              <w:rPr>
                <w:rFonts w:ascii="Times New Roman" w:eastAsia="Times New Roman" w:hAnsi="Times New Roman" w:cs="Times New Roman"/>
                <w:color w:val="000000" w:themeColor="text1"/>
                <w:sz w:val="13"/>
                <w:szCs w:val="13"/>
              </w:rPr>
            </w:pPr>
            <w:r w:rsidRPr="00EF6679">
              <w:rPr>
                <w:rFonts w:ascii="Times New Roman" w:eastAsia="Times New Roman" w:hAnsi="Times New Roman" w:cs="Times New Roman"/>
                <w:color w:val="000000" w:themeColor="text1"/>
                <w:sz w:val="13"/>
                <w:szCs w:val="13"/>
              </w:rPr>
              <w:t>29.658</w:t>
            </w:r>
          </w:p>
        </w:tc>
        <w:tc>
          <w:tcPr>
            <w:tcW w:w="864" w:type="dxa"/>
            <w:tcBorders>
              <w:top w:val="nil"/>
              <w:left w:val="nil"/>
              <w:bottom w:val="single" w:sz="4" w:space="0" w:color="auto"/>
              <w:right w:val="nil"/>
            </w:tcBorders>
            <w:noWrap/>
            <w:vAlign w:val="center"/>
            <w:hideMark/>
          </w:tcPr>
          <w:p w14:paraId="77C857F4" w14:textId="77777777" w:rsidR="009653CF" w:rsidRPr="00EF6679" w:rsidRDefault="009653CF" w:rsidP="009653CF">
            <w:pPr>
              <w:spacing w:line="240" w:lineRule="auto"/>
              <w:jc w:val="center"/>
              <w:rPr>
                <w:rFonts w:ascii="Times New Roman" w:eastAsia="Times New Roman" w:hAnsi="Times New Roman" w:cs="Times New Roman"/>
                <w:color w:val="000000" w:themeColor="text1"/>
                <w:sz w:val="13"/>
                <w:szCs w:val="13"/>
              </w:rPr>
            </w:pPr>
            <w:r w:rsidRPr="00EF6679">
              <w:rPr>
                <w:rFonts w:ascii="Times New Roman" w:eastAsia="Times New Roman" w:hAnsi="Times New Roman" w:cs="Times New Roman"/>
                <w:color w:val="000000" w:themeColor="text1"/>
                <w:sz w:val="13"/>
                <w:szCs w:val="13"/>
              </w:rPr>
              <w:t>0.13</w:t>
            </w:r>
          </w:p>
        </w:tc>
        <w:tc>
          <w:tcPr>
            <w:tcW w:w="720" w:type="dxa"/>
            <w:tcBorders>
              <w:top w:val="nil"/>
              <w:left w:val="nil"/>
              <w:bottom w:val="single" w:sz="4" w:space="0" w:color="auto"/>
              <w:right w:val="nil"/>
            </w:tcBorders>
            <w:noWrap/>
            <w:vAlign w:val="center"/>
            <w:hideMark/>
          </w:tcPr>
          <w:p w14:paraId="5BE32FE3" w14:textId="77777777" w:rsidR="009653CF" w:rsidRPr="00EF6679" w:rsidRDefault="009653CF" w:rsidP="009653CF">
            <w:pPr>
              <w:spacing w:line="240" w:lineRule="auto"/>
              <w:jc w:val="center"/>
              <w:rPr>
                <w:rFonts w:ascii="Times New Roman" w:eastAsia="Times New Roman" w:hAnsi="Times New Roman" w:cs="Times New Roman"/>
                <w:color w:val="000000" w:themeColor="text1"/>
                <w:sz w:val="13"/>
                <w:szCs w:val="13"/>
              </w:rPr>
            </w:pPr>
            <w:r w:rsidRPr="00EF6679">
              <w:rPr>
                <w:rFonts w:ascii="Times New Roman" w:eastAsia="Times New Roman" w:hAnsi="Times New Roman" w:cs="Times New Roman"/>
                <w:color w:val="000000" w:themeColor="text1"/>
                <w:sz w:val="13"/>
                <w:szCs w:val="13"/>
              </w:rPr>
              <w:t>1.66</w:t>
            </w:r>
          </w:p>
        </w:tc>
        <w:tc>
          <w:tcPr>
            <w:tcW w:w="864" w:type="dxa"/>
            <w:tcBorders>
              <w:top w:val="nil"/>
              <w:left w:val="nil"/>
              <w:bottom w:val="single" w:sz="4" w:space="0" w:color="auto"/>
              <w:right w:val="nil"/>
            </w:tcBorders>
            <w:noWrap/>
            <w:vAlign w:val="center"/>
            <w:hideMark/>
          </w:tcPr>
          <w:p w14:paraId="35B1083C" w14:textId="77777777" w:rsidR="009653CF" w:rsidRPr="00EF6679" w:rsidRDefault="009653CF" w:rsidP="009653CF">
            <w:pPr>
              <w:spacing w:line="240" w:lineRule="auto"/>
              <w:jc w:val="center"/>
              <w:rPr>
                <w:rFonts w:ascii="Times New Roman" w:eastAsia="Times New Roman" w:hAnsi="Times New Roman" w:cs="Times New Roman"/>
                <w:color w:val="000000" w:themeColor="text1"/>
                <w:sz w:val="13"/>
                <w:szCs w:val="13"/>
              </w:rPr>
            </w:pPr>
            <w:r w:rsidRPr="00EF6679">
              <w:rPr>
                <w:rFonts w:ascii="Times New Roman" w:eastAsia="Times New Roman" w:hAnsi="Times New Roman" w:cs="Times New Roman"/>
                <w:color w:val="000000" w:themeColor="text1"/>
                <w:sz w:val="13"/>
                <w:szCs w:val="13"/>
              </w:rPr>
              <w:t>0.85</w:t>
            </w:r>
          </w:p>
        </w:tc>
        <w:tc>
          <w:tcPr>
            <w:tcW w:w="410" w:type="dxa"/>
            <w:tcBorders>
              <w:top w:val="nil"/>
              <w:left w:val="nil"/>
              <w:bottom w:val="single" w:sz="4" w:space="0" w:color="auto"/>
              <w:right w:val="nil"/>
            </w:tcBorders>
            <w:noWrap/>
          </w:tcPr>
          <w:p w14:paraId="6395A76F" w14:textId="77777777" w:rsidR="009653CF" w:rsidRPr="00EF6679" w:rsidRDefault="009653CF" w:rsidP="009653CF">
            <w:pPr>
              <w:spacing w:line="240" w:lineRule="auto"/>
              <w:jc w:val="right"/>
              <w:rPr>
                <w:rFonts w:ascii="Times New Roman" w:eastAsia="Times New Roman" w:hAnsi="Times New Roman" w:cs="Times New Roman"/>
                <w:color w:val="000000" w:themeColor="text1"/>
                <w:sz w:val="13"/>
                <w:szCs w:val="13"/>
              </w:rPr>
            </w:pPr>
          </w:p>
        </w:tc>
        <w:tc>
          <w:tcPr>
            <w:tcW w:w="864" w:type="dxa"/>
            <w:tcBorders>
              <w:top w:val="nil"/>
              <w:left w:val="nil"/>
              <w:bottom w:val="single" w:sz="4" w:space="0" w:color="auto"/>
              <w:right w:val="nil"/>
            </w:tcBorders>
            <w:noWrap/>
            <w:vAlign w:val="bottom"/>
            <w:hideMark/>
          </w:tcPr>
          <w:p w14:paraId="7F452BA8" w14:textId="77777777" w:rsidR="009653CF" w:rsidRPr="00EF6679" w:rsidRDefault="009653CF" w:rsidP="009653CF">
            <w:pPr>
              <w:spacing w:line="240" w:lineRule="auto"/>
              <w:jc w:val="center"/>
              <w:rPr>
                <w:rFonts w:ascii="Times New Roman" w:eastAsia="Times New Roman" w:hAnsi="Times New Roman" w:cs="Times New Roman"/>
                <w:color w:val="000000" w:themeColor="text1"/>
                <w:sz w:val="13"/>
                <w:szCs w:val="13"/>
              </w:rPr>
            </w:pPr>
            <w:r w:rsidRPr="00EF6679">
              <w:rPr>
                <w:rFonts w:ascii="Times New Roman" w:hAnsi="Times New Roman" w:cs="Times New Roman"/>
                <w:color w:val="000000" w:themeColor="text1"/>
                <w:sz w:val="13"/>
                <w:szCs w:val="13"/>
              </w:rPr>
              <w:t>0.7174</w:t>
            </w:r>
          </w:p>
        </w:tc>
        <w:tc>
          <w:tcPr>
            <w:tcW w:w="720" w:type="dxa"/>
            <w:tcBorders>
              <w:top w:val="nil"/>
              <w:left w:val="nil"/>
              <w:bottom w:val="single" w:sz="4" w:space="0" w:color="auto"/>
              <w:right w:val="nil"/>
            </w:tcBorders>
            <w:noWrap/>
            <w:vAlign w:val="bottom"/>
            <w:hideMark/>
          </w:tcPr>
          <w:p w14:paraId="1BA8C02C" w14:textId="77777777" w:rsidR="009653CF" w:rsidRPr="00EF6679" w:rsidRDefault="009653CF" w:rsidP="009653CF">
            <w:pPr>
              <w:spacing w:line="240" w:lineRule="auto"/>
              <w:jc w:val="center"/>
              <w:rPr>
                <w:rFonts w:ascii="Times New Roman" w:eastAsia="Times New Roman" w:hAnsi="Times New Roman" w:cs="Times New Roman"/>
                <w:color w:val="000000" w:themeColor="text1"/>
                <w:sz w:val="13"/>
                <w:szCs w:val="13"/>
              </w:rPr>
            </w:pPr>
            <w:r w:rsidRPr="00EF6679">
              <w:rPr>
                <w:rFonts w:ascii="Times New Roman" w:hAnsi="Times New Roman" w:cs="Times New Roman"/>
                <w:color w:val="000000" w:themeColor="text1"/>
                <w:sz w:val="13"/>
                <w:szCs w:val="13"/>
              </w:rPr>
              <w:t>0.0855</w:t>
            </w:r>
          </w:p>
        </w:tc>
        <w:tc>
          <w:tcPr>
            <w:tcW w:w="864" w:type="dxa"/>
            <w:tcBorders>
              <w:top w:val="nil"/>
              <w:left w:val="nil"/>
              <w:bottom w:val="single" w:sz="4" w:space="0" w:color="auto"/>
              <w:right w:val="nil"/>
            </w:tcBorders>
            <w:noWrap/>
            <w:vAlign w:val="bottom"/>
            <w:hideMark/>
          </w:tcPr>
          <w:p w14:paraId="33E12071" w14:textId="77777777" w:rsidR="009653CF" w:rsidRPr="00EF6679" w:rsidRDefault="009653CF" w:rsidP="009653CF">
            <w:pPr>
              <w:spacing w:line="240" w:lineRule="auto"/>
              <w:jc w:val="center"/>
              <w:rPr>
                <w:rFonts w:ascii="Times New Roman" w:eastAsia="Times New Roman" w:hAnsi="Times New Roman" w:cs="Times New Roman"/>
                <w:color w:val="000000" w:themeColor="text1"/>
                <w:sz w:val="13"/>
                <w:szCs w:val="13"/>
              </w:rPr>
            </w:pPr>
            <w:r w:rsidRPr="00EF6679">
              <w:rPr>
                <w:rFonts w:ascii="Times New Roman" w:hAnsi="Times New Roman" w:cs="Times New Roman"/>
                <w:color w:val="000000" w:themeColor="text1"/>
                <w:sz w:val="13"/>
                <w:szCs w:val="13"/>
              </w:rPr>
              <w:t>0.5867</w:t>
            </w:r>
          </w:p>
        </w:tc>
      </w:tr>
    </w:tbl>
    <w:p w14:paraId="2F0A7BE9" w14:textId="77777777" w:rsidR="00BB138C" w:rsidRPr="00EF6679" w:rsidRDefault="00BB138C" w:rsidP="00BB138C">
      <w:pPr>
        <w:spacing w:line="240" w:lineRule="auto"/>
        <w:rPr>
          <w:rFonts w:cs="Times New Roman"/>
          <w:color w:val="000000" w:themeColor="text1"/>
          <w:sz w:val="14"/>
          <w:szCs w:val="14"/>
        </w:rPr>
      </w:pPr>
    </w:p>
    <w:p w14:paraId="64BEAA44" w14:textId="77777777" w:rsidR="001948B7" w:rsidRPr="00EF6679" w:rsidRDefault="001948B7" w:rsidP="001948B7">
      <w:pPr>
        <w:spacing w:line="240" w:lineRule="auto"/>
        <w:rPr>
          <w:rFonts w:cs="Times New Roman"/>
          <w:color w:val="000000" w:themeColor="text1"/>
          <w:sz w:val="14"/>
          <w:szCs w:val="14"/>
        </w:rPr>
      </w:pPr>
    </w:p>
    <w:p w14:paraId="556499E6" w14:textId="00ED4DA9" w:rsidR="00EF6679" w:rsidRPr="00EF6679" w:rsidRDefault="00EF6679">
      <w:pPr>
        <w:spacing w:line="240" w:lineRule="auto"/>
        <w:rPr>
          <w:rFonts w:cs="Times New Roman"/>
          <w:b/>
        </w:rPr>
      </w:pPr>
    </w:p>
    <w:p w14:paraId="0056B35B" w14:textId="1F1074FC" w:rsidR="00BB138C" w:rsidRPr="00EF6679" w:rsidRDefault="00BB138C" w:rsidP="00EF6679">
      <w:pPr>
        <w:pStyle w:val="TableTOC"/>
        <w:rPr>
          <w:rFonts w:cs="Times New Roman"/>
          <w:sz w:val="14"/>
          <w:szCs w:val="14"/>
        </w:rPr>
      </w:pPr>
      <w:bookmarkStart w:id="708" w:name="_Toc141478787"/>
      <w:r w:rsidRPr="00EF6679">
        <w:rPr>
          <w:rFonts w:cs="Times New Roman"/>
          <w:b/>
        </w:rPr>
        <w:lastRenderedPageBreak/>
        <w:t xml:space="preserve">Table </w:t>
      </w:r>
      <w:r w:rsidR="00BA2365" w:rsidRPr="00EF6679">
        <w:rPr>
          <w:rFonts w:cs="Times New Roman"/>
          <w:b/>
          <w:bCs/>
        </w:rPr>
        <w:t>5.</w:t>
      </w:r>
      <w:r w:rsidRPr="00EF6679">
        <w:rPr>
          <w:rFonts w:cs="Times New Roman"/>
          <w:b/>
        </w:rPr>
        <w:t>3.</w:t>
      </w:r>
      <w:r w:rsidRPr="00EF6679">
        <w:rPr>
          <w:rFonts w:cs="Times New Roman"/>
        </w:rPr>
        <w:t xml:space="preserve"> Summary of statistical results for aroma volatile organic compound (VOC) total concentration and pertinent (VOC) ratios detected using headspace gas chromatography-mass spectrometry.</w:t>
      </w:r>
      <w:bookmarkEnd w:id="708"/>
    </w:p>
    <w:p w14:paraId="192B670E" w14:textId="77777777" w:rsidR="00BB138C" w:rsidRPr="00EF6679" w:rsidRDefault="00BB138C" w:rsidP="00BB138C">
      <w:pPr>
        <w:pStyle w:val="TableTOC"/>
        <w:ind w:right="90"/>
        <w:jc w:val="both"/>
        <w:rPr>
          <w:rFonts w:cs="Times New Roman"/>
          <w:color w:val="000000" w:themeColor="text1"/>
          <w:sz w:val="14"/>
          <w:szCs w:val="14"/>
        </w:rPr>
      </w:pPr>
    </w:p>
    <w:p w14:paraId="311D3205" w14:textId="77777777" w:rsidR="00BB138C" w:rsidRPr="00EF6679" w:rsidRDefault="00BB138C" w:rsidP="00BB138C">
      <w:pPr>
        <w:spacing w:line="240" w:lineRule="auto"/>
        <w:rPr>
          <w:rFonts w:cs="Times New Roman"/>
          <w:color w:val="000000" w:themeColor="text1"/>
          <w:sz w:val="14"/>
          <w:szCs w:val="14"/>
        </w:rPr>
      </w:pPr>
    </w:p>
    <w:tbl>
      <w:tblPr>
        <w:tblStyle w:val="TableGrid"/>
        <w:tblW w:w="947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43" w:type="dxa"/>
          <w:right w:w="43" w:type="dxa"/>
        </w:tblCellMar>
        <w:tblLook w:val="04A0" w:firstRow="1" w:lastRow="0" w:firstColumn="1" w:lastColumn="0" w:noHBand="0" w:noVBand="1"/>
      </w:tblPr>
      <w:tblGrid>
        <w:gridCol w:w="2588"/>
        <w:gridCol w:w="1121"/>
        <w:gridCol w:w="934"/>
        <w:gridCol w:w="1121"/>
        <w:gridCol w:w="532"/>
        <w:gridCol w:w="1121"/>
        <w:gridCol w:w="934"/>
        <w:gridCol w:w="1121"/>
      </w:tblGrid>
      <w:tr w:rsidR="00BB138C" w:rsidRPr="00EF6679" w14:paraId="3662C5A5" w14:textId="77777777" w:rsidTr="00820288">
        <w:trPr>
          <w:trHeight w:val="482"/>
        </w:trPr>
        <w:tc>
          <w:tcPr>
            <w:tcW w:w="2588" w:type="dxa"/>
            <w:tcBorders>
              <w:top w:val="single" w:sz="4" w:space="0" w:color="auto"/>
            </w:tcBorders>
            <w:noWrap/>
            <w:vAlign w:val="center"/>
            <w:hideMark/>
          </w:tcPr>
          <w:p w14:paraId="4814B8EC" w14:textId="77777777" w:rsidR="00BB138C" w:rsidRPr="00EF6679" w:rsidRDefault="00BB138C" w:rsidP="00820288">
            <w:pPr>
              <w:spacing w:line="240" w:lineRule="auto"/>
              <w:rPr>
                <w:rFonts w:ascii="Times New Roman" w:hAnsi="Times New Roman" w:cs="Times New Roman"/>
                <w:b/>
                <w:bCs/>
                <w:color w:val="000000" w:themeColor="text1"/>
                <w:sz w:val="20"/>
                <w:szCs w:val="20"/>
              </w:rPr>
            </w:pPr>
          </w:p>
        </w:tc>
        <w:tc>
          <w:tcPr>
            <w:tcW w:w="1121" w:type="dxa"/>
            <w:tcBorders>
              <w:top w:val="single" w:sz="4" w:space="0" w:color="auto"/>
              <w:bottom w:val="single" w:sz="4" w:space="0" w:color="auto"/>
            </w:tcBorders>
            <w:noWrap/>
            <w:vAlign w:val="center"/>
            <w:hideMark/>
          </w:tcPr>
          <w:p w14:paraId="5E07103F" w14:textId="77777777" w:rsidR="00BB138C" w:rsidRPr="00EF6679" w:rsidRDefault="00BB138C" w:rsidP="00820288">
            <w:pPr>
              <w:spacing w:line="240" w:lineRule="auto"/>
              <w:jc w:val="center"/>
              <w:rPr>
                <w:rFonts w:ascii="Times New Roman" w:hAnsi="Times New Roman" w:cs="Times New Roman"/>
                <w:color w:val="000000" w:themeColor="text1"/>
                <w:sz w:val="20"/>
                <w:szCs w:val="20"/>
              </w:rPr>
            </w:pPr>
          </w:p>
        </w:tc>
        <w:tc>
          <w:tcPr>
            <w:tcW w:w="934" w:type="dxa"/>
            <w:tcBorders>
              <w:top w:val="single" w:sz="4" w:space="0" w:color="auto"/>
              <w:bottom w:val="single" w:sz="4" w:space="0" w:color="auto"/>
            </w:tcBorders>
            <w:noWrap/>
            <w:vAlign w:val="center"/>
            <w:hideMark/>
          </w:tcPr>
          <w:p w14:paraId="50072AE9" w14:textId="77777777" w:rsidR="00BB138C" w:rsidRPr="00EF6679" w:rsidRDefault="00BB138C" w:rsidP="00820288">
            <w:pPr>
              <w:spacing w:line="240" w:lineRule="auto"/>
              <w:jc w:val="center"/>
              <w:rPr>
                <w:rFonts w:ascii="Times New Roman" w:hAnsi="Times New Roman" w:cs="Times New Roman"/>
                <w:b/>
                <w:bCs/>
                <w:color w:val="000000" w:themeColor="text1"/>
                <w:sz w:val="20"/>
                <w:szCs w:val="20"/>
              </w:rPr>
            </w:pPr>
            <w:r w:rsidRPr="00EF6679">
              <w:rPr>
                <w:rFonts w:ascii="Times New Roman" w:hAnsi="Times New Roman" w:cs="Times New Roman"/>
                <w:b/>
                <w:bCs/>
                <w:color w:val="000000" w:themeColor="text1"/>
                <w:sz w:val="20"/>
                <w:szCs w:val="20"/>
              </w:rPr>
              <w:t>F Value</w:t>
            </w:r>
          </w:p>
        </w:tc>
        <w:tc>
          <w:tcPr>
            <w:tcW w:w="1121" w:type="dxa"/>
            <w:tcBorders>
              <w:top w:val="single" w:sz="4" w:space="0" w:color="auto"/>
              <w:bottom w:val="single" w:sz="4" w:space="0" w:color="auto"/>
            </w:tcBorders>
            <w:noWrap/>
            <w:vAlign w:val="center"/>
            <w:hideMark/>
          </w:tcPr>
          <w:p w14:paraId="3E06074F" w14:textId="77777777" w:rsidR="00BB138C" w:rsidRPr="00EF6679" w:rsidRDefault="00BB138C" w:rsidP="00820288">
            <w:pPr>
              <w:spacing w:line="240" w:lineRule="auto"/>
              <w:jc w:val="center"/>
              <w:rPr>
                <w:rFonts w:ascii="Times New Roman" w:hAnsi="Times New Roman" w:cs="Times New Roman"/>
                <w:color w:val="000000" w:themeColor="text1"/>
                <w:sz w:val="20"/>
                <w:szCs w:val="20"/>
              </w:rPr>
            </w:pPr>
          </w:p>
        </w:tc>
        <w:tc>
          <w:tcPr>
            <w:tcW w:w="532" w:type="dxa"/>
            <w:tcBorders>
              <w:top w:val="single" w:sz="4" w:space="0" w:color="auto"/>
            </w:tcBorders>
          </w:tcPr>
          <w:p w14:paraId="0853334D" w14:textId="77777777" w:rsidR="00BB138C" w:rsidRPr="00EF6679" w:rsidRDefault="00BB138C" w:rsidP="00820288">
            <w:pPr>
              <w:spacing w:line="240" w:lineRule="auto"/>
              <w:jc w:val="center"/>
              <w:rPr>
                <w:rFonts w:ascii="Times New Roman" w:hAnsi="Times New Roman" w:cs="Times New Roman"/>
                <w:color w:val="000000" w:themeColor="text1"/>
                <w:sz w:val="20"/>
                <w:szCs w:val="20"/>
              </w:rPr>
            </w:pPr>
          </w:p>
        </w:tc>
        <w:tc>
          <w:tcPr>
            <w:tcW w:w="1121" w:type="dxa"/>
            <w:tcBorders>
              <w:top w:val="single" w:sz="4" w:space="0" w:color="auto"/>
              <w:bottom w:val="single" w:sz="4" w:space="0" w:color="auto"/>
            </w:tcBorders>
            <w:noWrap/>
            <w:vAlign w:val="center"/>
            <w:hideMark/>
          </w:tcPr>
          <w:p w14:paraId="7AE3BD07" w14:textId="77777777" w:rsidR="00BB138C" w:rsidRPr="00EF6679" w:rsidRDefault="00BB138C" w:rsidP="00820288">
            <w:pPr>
              <w:spacing w:line="240" w:lineRule="auto"/>
              <w:jc w:val="center"/>
              <w:rPr>
                <w:rFonts w:ascii="Times New Roman" w:hAnsi="Times New Roman" w:cs="Times New Roman"/>
                <w:color w:val="000000" w:themeColor="text1"/>
                <w:sz w:val="20"/>
                <w:szCs w:val="20"/>
              </w:rPr>
            </w:pPr>
          </w:p>
        </w:tc>
        <w:tc>
          <w:tcPr>
            <w:tcW w:w="934" w:type="dxa"/>
            <w:tcBorders>
              <w:top w:val="single" w:sz="4" w:space="0" w:color="auto"/>
              <w:bottom w:val="single" w:sz="4" w:space="0" w:color="auto"/>
            </w:tcBorders>
            <w:noWrap/>
            <w:vAlign w:val="center"/>
            <w:hideMark/>
          </w:tcPr>
          <w:p w14:paraId="0DD7AE41" w14:textId="77777777" w:rsidR="00BB138C" w:rsidRPr="00EF6679" w:rsidRDefault="00BB138C" w:rsidP="00820288">
            <w:pPr>
              <w:spacing w:line="240" w:lineRule="auto"/>
              <w:jc w:val="center"/>
              <w:rPr>
                <w:rFonts w:ascii="Times New Roman" w:hAnsi="Times New Roman" w:cs="Times New Roman"/>
                <w:b/>
                <w:bCs/>
                <w:color w:val="000000" w:themeColor="text1"/>
                <w:sz w:val="20"/>
                <w:szCs w:val="20"/>
              </w:rPr>
            </w:pPr>
            <w:r w:rsidRPr="00EF6679">
              <w:rPr>
                <w:rFonts w:ascii="Times New Roman" w:hAnsi="Times New Roman" w:cs="Times New Roman"/>
                <w:b/>
                <w:bCs/>
                <w:color w:val="000000" w:themeColor="text1"/>
                <w:sz w:val="20"/>
                <w:szCs w:val="20"/>
              </w:rPr>
              <w:t>Pr &gt; F</w:t>
            </w:r>
          </w:p>
        </w:tc>
        <w:tc>
          <w:tcPr>
            <w:tcW w:w="1121" w:type="dxa"/>
            <w:tcBorders>
              <w:top w:val="single" w:sz="4" w:space="0" w:color="auto"/>
              <w:bottom w:val="single" w:sz="4" w:space="0" w:color="auto"/>
            </w:tcBorders>
            <w:noWrap/>
            <w:vAlign w:val="center"/>
            <w:hideMark/>
          </w:tcPr>
          <w:p w14:paraId="2644BF11" w14:textId="77777777" w:rsidR="00BB138C" w:rsidRPr="00EF6679" w:rsidRDefault="00BB138C" w:rsidP="00820288">
            <w:pPr>
              <w:spacing w:line="240" w:lineRule="auto"/>
              <w:jc w:val="center"/>
              <w:rPr>
                <w:rFonts w:ascii="Times New Roman" w:hAnsi="Times New Roman" w:cs="Times New Roman"/>
                <w:color w:val="000000" w:themeColor="text1"/>
                <w:sz w:val="20"/>
                <w:szCs w:val="20"/>
              </w:rPr>
            </w:pPr>
          </w:p>
        </w:tc>
      </w:tr>
      <w:tr w:rsidR="00BB138C" w:rsidRPr="00EF6679" w14:paraId="603DEA3C" w14:textId="77777777" w:rsidTr="00820288">
        <w:trPr>
          <w:trHeight w:val="482"/>
        </w:trPr>
        <w:tc>
          <w:tcPr>
            <w:tcW w:w="2588" w:type="dxa"/>
            <w:tcBorders>
              <w:bottom w:val="single" w:sz="4" w:space="0" w:color="auto"/>
            </w:tcBorders>
            <w:noWrap/>
            <w:vAlign w:val="center"/>
            <w:hideMark/>
          </w:tcPr>
          <w:p w14:paraId="064515F3" w14:textId="77777777" w:rsidR="00BB138C" w:rsidRPr="00EF6679" w:rsidRDefault="00BB138C" w:rsidP="00820288">
            <w:pPr>
              <w:spacing w:line="240" w:lineRule="auto"/>
              <w:rPr>
                <w:rFonts w:ascii="Times New Roman" w:hAnsi="Times New Roman" w:cs="Times New Roman"/>
                <w:color w:val="000000" w:themeColor="text1"/>
                <w:sz w:val="20"/>
                <w:szCs w:val="20"/>
              </w:rPr>
            </w:pPr>
            <w:r w:rsidRPr="00EF6679">
              <w:rPr>
                <w:rFonts w:ascii="Times New Roman" w:hAnsi="Times New Roman" w:cs="Times New Roman"/>
                <w:b/>
                <w:bCs/>
                <w:color w:val="000000" w:themeColor="text1"/>
                <w:sz w:val="20"/>
                <w:szCs w:val="20"/>
              </w:rPr>
              <w:t>Compound</w:t>
            </w:r>
          </w:p>
        </w:tc>
        <w:tc>
          <w:tcPr>
            <w:tcW w:w="1121" w:type="dxa"/>
            <w:tcBorders>
              <w:top w:val="single" w:sz="4" w:space="0" w:color="auto"/>
              <w:bottom w:val="single" w:sz="4" w:space="0" w:color="auto"/>
            </w:tcBorders>
            <w:noWrap/>
            <w:vAlign w:val="center"/>
            <w:hideMark/>
          </w:tcPr>
          <w:p w14:paraId="2367B7F0" w14:textId="77777777" w:rsidR="00BB138C" w:rsidRPr="00EF6679" w:rsidRDefault="00BB138C" w:rsidP="00820288">
            <w:pPr>
              <w:spacing w:line="240" w:lineRule="auto"/>
              <w:jc w:val="center"/>
              <w:rPr>
                <w:rFonts w:ascii="Times New Roman" w:hAnsi="Times New Roman" w:cs="Times New Roman"/>
                <w:color w:val="000000" w:themeColor="text1"/>
                <w:sz w:val="20"/>
                <w:szCs w:val="20"/>
              </w:rPr>
            </w:pPr>
            <w:r w:rsidRPr="00EF6679">
              <w:rPr>
                <w:rFonts w:ascii="Times New Roman" w:hAnsi="Times New Roman" w:cs="Times New Roman"/>
                <w:color w:val="000000" w:themeColor="text1"/>
                <w:sz w:val="20"/>
                <w:szCs w:val="20"/>
              </w:rPr>
              <w:t>Experiment</w:t>
            </w:r>
          </w:p>
        </w:tc>
        <w:tc>
          <w:tcPr>
            <w:tcW w:w="934" w:type="dxa"/>
            <w:tcBorders>
              <w:top w:val="single" w:sz="4" w:space="0" w:color="auto"/>
              <w:bottom w:val="single" w:sz="4" w:space="0" w:color="auto"/>
            </w:tcBorders>
            <w:noWrap/>
            <w:vAlign w:val="center"/>
            <w:hideMark/>
          </w:tcPr>
          <w:p w14:paraId="5D082F8D" w14:textId="77777777" w:rsidR="00BB138C" w:rsidRPr="00EF6679" w:rsidRDefault="00BB138C" w:rsidP="00820288">
            <w:pPr>
              <w:spacing w:line="240" w:lineRule="auto"/>
              <w:jc w:val="center"/>
              <w:rPr>
                <w:rFonts w:ascii="Times New Roman" w:hAnsi="Times New Roman" w:cs="Times New Roman"/>
                <w:color w:val="000000" w:themeColor="text1"/>
                <w:sz w:val="20"/>
                <w:szCs w:val="20"/>
              </w:rPr>
            </w:pPr>
            <w:r w:rsidRPr="00EF6679">
              <w:rPr>
                <w:rFonts w:ascii="Times New Roman" w:hAnsi="Times New Roman" w:cs="Times New Roman"/>
                <w:color w:val="000000" w:themeColor="text1"/>
                <w:sz w:val="20"/>
                <w:szCs w:val="20"/>
              </w:rPr>
              <w:t>Treatment</w:t>
            </w:r>
          </w:p>
        </w:tc>
        <w:tc>
          <w:tcPr>
            <w:tcW w:w="1121" w:type="dxa"/>
            <w:tcBorders>
              <w:top w:val="single" w:sz="4" w:space="0" w:color="auto"/>
              <w:bottom w:val="single" w:sz="4" w:space="0" w:color="auto"/>
            </w:tcBorders>
            <w:noWrap/>
            <w:vAlign w:val="center"/>
            <w:hideMark/>
          </w:tcPr>
          <w:p w14:paraId="1E152B5C" w14:textId="77777777" w:rsidR="00BB138C" w:rsidRPr="00EF6679" w:rsidRDefault="00BB138C" w:rsidP="00820288">
            <w:pPr>
              <w:spacing w:line="240" w:lineRule="auto"/>
              <w:jc w:val="center"/>
              <w:rPr>
                <w:rFonts w:ascii="Times New Roman" w:hAnsi="Times New Roman" w:cs="Times New Roman"/>
                <w:color w:val="000000" w:themeColor="text1"/>
                <w:sz w:val="20"/>
                <w:szCs w:val="20"/>
              </w:rPr>
            </w:pPr>
            <w:r w:rsidRPr="00EF6679">
              <w:rPr>
                <w:rFonts w:ascii="Times New Roman" w:hAnsi="Times New Roman" w:cs="Times New Roman"/>
                <w:color w:val="000000" w:themeColor="text1"/>
                <w:sz w:val="20"/>
                <w:szCs w:val="20"/>
              </w:rPr>
              <w:t>Experiment*Treatment</w:t>
            </w:r>
          </w:p>
        </w:tc>
        <w:tc>
          <w:tcPr>
            <w:tcW w:w="532" w:type="dxa"/>
            <w:tcBorders>
              <w:bottom w:val="single" w:sz="4" w:space="0" w:color="auto"/>
            </w:tcBorders>
          </w:tcPr>
          <w:p w14:paraId="2D2D3AEB" w14:textId="77777777" w:rsidR="00BB138C" w:rsidRPr="00EF6679" w:rsidRDefault="00BB138C" w:rsidP="00820288">
            <w:pPr>
              <w:spacing w:line="240" w:lineRule="auto"/>
              <w:jc w:val="center"/>
              <w:rPr>
                <w:rFonts w:ascii="Times New Roman" w:hAnsi="Times New Roman" w:cs="Times New Roman"/>
                <w:color w:val="000000" w:themeColor="text1"/>
                <w:sz w:val="20"/>
                <w:szCs w:val="20"/>
              </w:rPr>
            </w:pPr>
          </w:p>
        </w:tc>
        <w:tc>
          <w:tcPr>
            <w:tcW w:w="1121" w:type="dxa"/>
            <w:tcBorders>
              <w:top w:val="single" w:sz="4" w:space="0" w:color="auto"/>
              <w:bottom w:val="single" w:sz="4" w:space="0" w:color="auto"/>
            </w:tcBorders>
            <w:noWrap/>
            <w:vAlign w:val="center"/>
            <w:hideMark/>
          </w:tcPr>
          <w:p w14:paraId="3B3A22B0" w14:textId="77777777" w:rsidR="00BB138C" w:rsidRPr="00EF6679" w:rsidRDefault="00BB138C" w:rsidP="00820288">
            <w:pPr>
              <w:spacing w:line="240" w:lineRule="auto"/>
              <w:jc w:val="center"/>
              <w:rPr>
                <w:rFonts w:ascii="Times New Roman" w:hAnsi="Times New Roman" w:cs="Times New Roman"/>
                <w:color w:val="000000" w:themeColor="text1"/>
                <w:sz w:val="20"/>
                <w:szCs w:val="20"/>
              </w:rPr>
            </w:pPr>
            <w:r w:rsidRPr="00EF6679">
              <w:rPr>
                <w:rFonts w:ascii="Times New Roman" w:hAnsi="Times New Roman" w:cs="Times New Roman"/>
                <w:color w:val="000000" w:themeColor="text1"/>
                <w:sz w:val="20"/>
                <w:szCs w:val="20"/>
              </w:rPr>
              <w:t>Experiment</w:t>
            </w:r>
          </w:p>
        </w:tc>
        <w:tc>
          <w:tcPr>
            <w:tcW w:w="934" w:type="dxa"/>
            <w:tcBorders>
              <w:top w:val="single" w:sz="4" w:space="0" w:color="auto"/>
              <w:bottom w:val="single" w:sz="4" w:space="0" w:color="auto"/>
            </w:tcBorders>
            <w:noWrap/>
            <w:vAlign w:val="center"/>
            <w:hideMark/>
          </w:tcPr>
          <w:p w14:paraId="40518132" w14:textId="77777777" w:rsidR="00BB138C" w:rsidRPr="00EF6679" w:rsidRDefault="00BB138C" w:rsidP="00820288">
            <w:pPr>
              <w:spacing w:line="240" w:lineRule="auto"/>
              <w:jc w:val="center"/>
              <w:rPr>
                <w:rFonts w:ascii="Times New Roman" w:hAnsi="Times New Roman" w:cs="Times New Roman"/>
                <w:color w:val="000000" w:themeColor="text1"/>
                <w:sz w:val="20"/>
                <w:szCs w:val="20"/>
              </w:rPr>
            </w:pPr>
            <w:r w:rsidRPr="00EF6679">
              <w:rPr>
                <w:rFonts w:ascii="Times New Roman" w:hAnsi="Times New Roman" w:cs="Times New Roman"/>
                <w:color w:val="000000" w:themeColor="text1"/>
                <w:sz w:val="20"/>
                <w:szCs w:val="20"/>
              </w:rPr>
              <w:t>Treatment</w:t>
            </w:r>
          </w:p>
        </w:tc>
        <w:tc>
          <w:tcPr>
            <w:tcW w:w="1121" w:type="dxa"/>
            <w:tcBorders>
              <w:top w:val="single" w:sz="4" w:space="0" w:color="auto"/>
              <w:bottom w:val="single" w:sz="4" w:space="0" w:color="auto"/>
            </w:tcBorders>
            <w:noWrap/>
            <w:vAlign w:val="center"/>
            <w:hideMark/>
          </w:tcPr>
          <w:p w14:paraId="11D62B0A" w14:textId="77777777" w:rsidR="00BB138C" w:rsidRPr="00EF6679" w:rsidRDefault="00BB138C" w:rsidP="00820288">
            <w:pPr>
              <w:spacing w:line="240" w:lineRule="auto"/>
              <w:jc w:val="center"/>
              <w:rPr>
                <w:rFonts w:ascii="Times New Roman" w:hAnsi="Times New Roman" w:cs="Times New Roman"/>
                <w:color w:val="000000" w:themeColor="text1"/>
                <w:sz w:val="20"/>
                <w:szCs w:val="20"/>
              </w:rPr>
            </w:pPr>
            <w:r w:rsidRPr="00EF6679">
              <w:rPr>
                <w:rFonts w:ascii="Times New Roman" w:hAnsi="Times New Roman" w:cs="Times New Roman"/>
                <w:color w:val="000000" w:themeColor="text1"/>
                <w:sz w:val="20"/>
                <w:szCs w:val="20"/>
              </w:rPr>
              <w:t>Experiment*Treatment</w:t>
            </w:r>
          </w:p>
        </w:tc>
      </w:tr>
      <w:tr w:rsidR="00BB138C" w:rsidRPr="00EF6679" w14:paraId="53B9BD6E" w14:textId="77777777" w:rsidTr="0082028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trHeight w:val="201"/>
        </w:trPr>
        <w:tc>
          <w:tcPr>
            <w:tcW w:w="2588" w:type="dxa"/>
            <w:tcBorders>
              <w:top w:val="nil"/>
              <w:left w:val="nil"/>
              <w:bottom w:val="nil"/>
              <w:right w:val="nil"/>
            </w:tcBorders>
            <w:noWrap/>
            <w:vAlign w:val="bottom"/>
            <w:hideMark/>
          </w:tcPr>
          <w:p w14:paraId="424FE433" w14:textId="77777777" w:rsidR="00BB138C" w:rsidRPr="00EF6679" w:rsidRDefault="00BB138C" w:rsidP="00820288">
            <w:pPr>
              <w:spacing w:line="240" w:lineRule="auto"/>
              <w:rPr>
                <w:rFonts w:ascii="Times New Roman" w:eastAsia="Times New Roman" w:hAnsi="Times New Roman" w:cs="Times New Roman"/>
                <w:color w:val="000000" w:themeColor="text1"/>
                <w:sz w:val="18"/>
                <w:szCs w:val="18"/>
              </w:rPr>
            </w:pPr>
            <w:r w:rsidRPr="00EF6679">
              <w:rPr>
                <w:rFonts w:ascii="Times New Roman" w:hAnsi="Times New Roman" w:cs="Times New Roman"/>
                <w:color w:val="000000" w:themeColor="text1"/>
                <w:sz w:val="18"/>
                <w:szCs w:val="18"/>
              </w:rPr>
              <w:t>VOC Total</w:t>
            </w:r>
          </w:p>
        </w:tc>
        <w:tc>
          <w:tcPr>
            <w:tcW w:w="1121" w:type="dxa"/>
            <w:tcBorders>
              <w:top w:val="nil"/>
              <w:left w:val="nil"/>
              <w:bottom w:val="nil"/>
              <w:right w:val="nil"/>
            </w:tcBorders>
            <w:noWrap/>
            <w:vAlign w:val="bottom"/>
            <w:hideMark/>
          </w:tcPr>
          <w:p w14:paraId="0DF261A8" w14:textId="77777777" w:rsidR="00BB138C" w:rsidRPr="00EF6679" w:rsidRDefault="00BB138C" w:rsidP="00820288">
            <w:pPr>
              <w:spacing w:line="240" w:lineRule="auto"/>
              <w:jc w:val="center"/>
              <w:rPr>
                <w:rFonts w:ascii="Times New Roman" w:eastAsia="Times New Roman" w:hAnsi="Times New Roman" w:cs="Times New Roman"/>
                <w:color w:val="000000" w:themeColor="text1"/>
                <w:sz w:val="20"/>
                <w:szCs w:val="20"/>
              </w:rPr>
            </w:pPr>
            <w:r w:rsidRPr="00EF6679">
              <w:rPr>
                <w:rFonts w:ascii="Times New Roman" w:hAnsi="Times New Roman" w:cs="Times New Roman"/>
                <w:color w:val="000000" w:themeColor="text1"/>
                <w:sz w:val="20"/>
                <w:szCs w:val="20"/>
              </w:rPr>
              <w:t>1.23</w:t>
            </w:r>
          </w:p>
        </w:tc>
        <w:tc>
          <w:tcPr>
            <w:tcW w:w="934" w:type="dxa"/>
            <w:tcBorders>
              <w:top w:val="nil"/>
              <w:left w:val="nil"/>
              <w:bottom w:val="nil"/>
              <w:right w:val="nil"/>
            </w:tcBorders>
            <w:noWrap/>
            <w:vAlign w:val="bottom"/>
            <w:hideMark/>
          </w:tcPr>
          <w:p w14:paraId="26991771" w14:textId="77777777" w:rsidR="00BB138C" w:rsidRPr="00EF6679" w:rsidRDefault="00BB138C" w:rsidP="00820288">
            <w:pPr>
              <w:spacing w:line="240" w:lineRule="auto"/>
              <w:jc w:val="center"/>
              <w:rPr>
                <w:rFonts w:ascii="Times New Roman" w:eastAsia="Times New Roman" w:hAnsi="Times New Roman" w:cs="Times New Roman"/>
                <w:color w:val="000000" w:themeColor="text1"/>
                <w:sz w:val="20"/>
                <w:szCs w:val="20"/>
              </w:rPr>
            </w:pPr>
            <w:r w:rsidRPr="00EF6679">
              <w:rPr>
                <w:rFonts w:ascii="Times New Roman" w:hAnsi="Times New Roman" w:cs="Times New Roman"/>
                <w:color w:val="000000" w:themeColor="text1"/>
                <w:sz w:val="20"/>
                <w:szCs w:val="20"/>
              </w:rPr>
              <w:t>7.90</w:t>
            </w:r>
          </w:p>
        </w:tc>
        <w:tc>
          <w:tcPr>
            <w:tcW w:w="1121" w:type="dxa"/>
            <w:tcBorders>
              <w:top w:val="nil"/>
              <w:left w:val="nil"/>
              <w:bottom w:val="nil"/>
              <w:right w:val="nil"/>
            </w:tcBorders>
            <w:noWrap/>
            <w:vAlign w:val="bottom"/>
            <w:hideMark/>
          </w:tcPr>
          <w:p w14:paraId="5A25005F" w14:textId="77777777" w:rsidR="00BB138C" w:rsidRPr="00EF6679" w:rsidRDefault="00BB138C" w:rsidP="00820288">
            <w:pPr>
              <w:spacing w:line="240" w:lineRule="auto"/>
              <w:jc w:val="center"/>
              <w:rPr>
                <w:rFonts w:ascii="Times New Roman" w:eastAsia="Times New Roman" w:hAnsi="Times New Roman" w:cs="Times New Roman"/>
                <w:color w:val="000000" w:themeColor="text1"/>
                <w:sz w:val="20"/>
                <w:szCs w:val="20"/>
              </w:rPr>
            </w:pPr>
            <w:r w:rsidRPr="00EF6679">
              <w:rPr>
                <w:rFonts w:ascii="Times New Roman" w:hAnsi="Times New Roman" w:cs="Times New Roman"/>
                <w:color w:val="000000" w:themeColor="text1"/>
                <w:sz w:val="20"/>
                <w:szCs w:val="20"/>
              </w:rPr>
              <w:t>1.35</w:t>
            </w:r>
          </w:p>
        </w:tc>
        <w:tc>
          <w:tcPr>
            <w:tcW w:w="532" w:type="dxa"/>
            <w:tcBorders>
              <w:top w:val="nil"/>
              <w:left w:val="nil"/>
              <w:bottom w:val="nil"/>
              <w:right w:val="nil"/>
            </w:tcBorders>
            <w:noWrap/>
            <w:vAlign w:val="bottom"/>
          </w:tcPr>
          <w:p w14:paraId="588C30CD" w14:textId="77777777" w:rsidR="00BB138C" w:rsidRPr="00EF6679" w:rsidRDefault="00BB138C" w:rsidP="00820288">
            <w:pPr>
              <w:spacing w:line="240" w:lineRule="auto"/>
              <w:jc w:val="right"/>
              <w:rPr>
                <w:rFonts w:ascii="Times New Roman" w:eastAsia="Times New Roman" w:hAnsi="Times New Roman" w:cs="Times New Roman"/>
                <w:color w:val="000000" w:themeColor="text1"/>
                <w:sz w:val="20"/>
                <w:szCs w:val="20"/>
              </w:rPr>
            </w:pPr>
          </w:p>
        </w:tc>
        <w:tc>
          <w:tcPr>
            <w:tcW w:w="1121" w:type="dxa"/>
            <w:tcBorders>
              <w:top w:val="nil"/>
              <w:left w:val="nil"/>
              <w:bottom w:val="nil"/>
              <w:right w:val="nil"/>
            </w:tcBorders>
            <w:noWrap/>
            <w:vAlign w:val="bottom"/>
            <w:hideMark/>
          </w:tcPr>
          <w:p w14:paraId="1538FEB8" w14:textId="77777777" w:rsidR="00BB138C" w:rsidRPr="00EF6679" w:rsidRDefault="00BB138C" w:rsidP="00820288">
            <w:pPr>
              <w:spacing w:line="240" w:lineRule="auto"/>
              <w:jc w:val="center"/>
              <w:rPr>
                <w:rFonts w:ascii="Times New Roman" w:eastAsia="Times New Roman" w:hAnsi="Times New Roman" w:cs="Times New Roman"/>
                <w:color w:val="000000" w:themeColor="text1"/>
                <w:sz w:val="20"/>
                <w:szCs w:val="20"/>
              </w:rPr>
            </w:pPr>
            <w:r w:rsidRPr="00EF6679">
              <w:rPr>
                <w:rFonts w:ascii="Times New Roman" w:hAnsi="Times New Roman" w:cs="Times New Roman"/>
                <w:color w:val="000000" w:themeColor="text1"/>
                <w:sz w:val="20"/>
                <w:szCs w:val="20"/>
              </w:rPr>
              <w:t>0.9607</w:t>
            </w:r>
          </w:p>
        </w:tc>
        <w:tc>
          <w:tcPr>
            <w:tcW w:w="934" w:type="dxa"/>
            <w:tcBorders>
              <w:top w:val="nil"/>
              <w:left w:val="nil"/>
              <w:bottom w:val="nil"/>
              <w:right w:val="nil"/>
            </w:tcBorders>
            <w:noWrap/>
            <w:vAlign w:val="bottom"/>
            <w:hideMark/>
          </w:tcPr>
          <w:p w14:paraId="46908EF1" w14:textId="77777777" w:rsidR="00BB138C" w:rsidRPr="00EF6679" w:rsidRDefault="00BB138C" w:rsidP="00820288">
            <w:pPr>
              <w:spacing w:line="240" w:lineRule="auto"/>
              <w:jc w:val="center"/>
              <w:rPr>
                <w:rFonts w:ascii="Times New Roman" w:eastAsia="Times New Roman" w:hAnsi="Times New Roman" w:cs="Times New Roman"/>
                <w:color w:val="000000" w:themeColor="text1"/>
                <w:sz w:val="20"/>
                <w:szCs w:val="20"/>
              </w:rPr>
            </w:pPr>
            <w:r w:rsidRPr="00EF6679">
              <w:rPr>
                <w:rFonts w:ascii="Times New Roman" w:hAnsi="Times New Roman" w:cs="Times New Roman"/>
                <w:color w:val="000000" w:themeColor="text1"/>
                <w:sz w:val="20"/>
                <w:szCs w:val="20"/>
              </w:rPr>
              <w:t>0.0031</w:t>
            </w:r>
          </w:p>
        </w:tc>
        <w:tc>
          <w:tcPr>
            <w:tcW w:w="1121" w:type="dxa"/>
            <w:tcBorders>
              <w:top w:val="nil"/>
              <w:left w:val="nil"/>
              <w:bottom w:val="nil"/>
              <w:right w:val="nil"/>
            </w:tcBorders>
            <w:noWrap/>
            <w:vAlign w:val="bottom"/>
            <w:hideMark/>
          </w:tcPr>
          <w:p w14:paraId="32C892F0" w14:textId="77777777" w:rsidR="00BB138C" w:rsidRPr="00EF6679" w:rsidRDefault="00BB138C" w:rsidP="00820288">
            <w:pPr>
              <w:spacing w:line="240" w:lineRule="auto"/>
              <w:jc w:val="center"/>
              <w:rPr>
                <w:rFonts w:ascii="Times New Roman" w:eastAsia="Times New Roman" w:hAnsi="Times New Roman" w:cs="Times New Roman"/>
                <w:color w:val="000000" w:themeColor="text1"/>
                <w:sz w:val="20"/>
                <w:szCs w:val="20"/>
              </w:rPr>
            </w:pPr>
            <w:r w:rsidRPr="00EF6679">
              <w:rPr>
                <w:rFonts w:ascii="Times New Roman" w:hAnsi="Times New Roman" w:cs="Times New Roman"/>
                <w:color w:val="000000" w:themeColor="text1"/>
                <w:sz w:val="20"/>
                <w:szCs w:val="20"/>
              </w:rPr>
              <w:t>0.1989</w:t>
            </w:r>
          </w:p>
        </w:tc>
      </w:tr>
      <w:tr w:rsidR="00BB138C" w:rsidRPr="00EF6679" w14:paraId="5352EF4E" w14:textId="77777777" w:rsidTr="0082028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trHeight w:val="201"/>
        </w:trPr>
        <w:tc>
          <w:tcPr>
            <w:tcW w:w="2588" w:type="dxa"/>
            <w:tcBorders>
              <w:top w:val="nil"/>
              <w:left w:val="nil"/>
              <w:bottom w:val="nil"/>
              <w:right w:val="nil"/>
            </w:tcBorders>
            <w:noWrap/>
            <w:vAlign w:val="bottom"/>
            <w:hideMark/>
          </w:tcPr>
          <w:p w14:paraId="17A5004D" w14:textId="77777777" w:rsidR="00BB138C" w:rsidRPr="00EF6679" w:rsidRDefault="00BB138C" w:rsidP="00820288">
            <w:pPr>
              <w:spacing w:line="240" w:lineRule="auto"/>
              <w:rPr>
                <w:rFonts w:ascii="Times New Roman" w:eastAsia="Times New Roman" w:hAnsi="Times New Roman" w:cs="Times New Roman"/>
                <w:color w:val="000000" w:themeColor="text1"/>
                <w:sz w:val="18"/>
                <w:szCs w:val="18"/>
              </w:rPr>
            </w:pPr>
            <w:r w:rsidRPr="00EF6679">
              <w:rPr>
                <w:rFonts w:ascii="Times New Roman" w:hAnsi="Times New Roman" w:cs="Times New Roman"/>
                <w:color w:val="202124"/>
                <w:sz w:val="18"/>
                <w:szCs w:val="18"/>
                <w:shd w:val="clear" w:color="auto" w:fill="FFFFFF"/>
              </w:rPr>
              <w:t>α</w:t>
            </w:r>
            <w:r w:rsidRPr="00EF6679">
              <w:rPr>
                <w:rFonts w:ascii="Times New Roman" w:hAnsi="Times New Roman" w:cs="Times New Roman"/>
                <w:color w:val="000000" w:themeColor="text1"/>
                <w:sz w:val="18"/>
                <w:szCs w:val="18"/>
              </w:rPr>
              <w:t>/</w:t>
            </w:r>
            <w:r w:rsidRPr="00EF6679">
              <w:rPr>
                <w:rFonts w:ascii="Times New Roman" w:hAnsi="Times New Roman" w:cs="Times New Roman"/>
                <w:color w:val="202124"/>
                <w:sz w:val="18"/>
                <w:szCs w:val="18"/>
                <w:shd w:val="clear" w:color="auto" w:fill="FFFFFF"/>
              </w:rPr>
              <w:t>β</w:t>
            </w:r>
            <w:r w:rsidRPr="00EF6679">
              <w:rPr>
                <w:rFonts w:ascii="Times New Roman" w:hAnsi="Times New Roman" w:cs="Times New Roman"/>
                <w:color w:val="000000" w:themeColor="text1"/>
                <w:sz w:val="18"/>
                <w:szCs w:val="18"/>
              </w:rPr>
              <w:t>-Pinene Ratio</w:t>
            </w:r>
          </w:p>
        </w:tc>
        <w:tc>
          <w:tcPr>
            <w:tcW w:w="1121" w:type="dxa"/>
            <w:tcBorders>
              <w:top w:val="nil"/>
              <w:left w:val="nil"/>
              <w:bottom w:val="nil"/>
              <w:right w:val="nil"/>
            </w:tcBorders>
            <w:noWrap/>
            <w:vAlign w:val="bottom"/>
            <w:hideMark/>
          </w:tcPr>
          <w:p w14:paraId="30094D8F" w14:textId="77777777" w:rsidR="00BB138C" w:rsidRPr="00EF6679" w:rsidRDefault="00BB138C" w:rsidP="00820288">
            <w:pPr>
              <w:spacing w:line="240" w:lineRule="auto"/>
              <w:jc w:val="center"/>
              <w:rPr>
                <w:rFonts w:ascii="Times New Roman" w:eastAsia="Times New Roman" w:hAnsi="Times New Roman" w:cs="Times New Roman"/>
                <w:color w:val="000000" w:themeColor="text1"/>
                <w:sz w:val="20"/>
                <w:szCs w:val="20"/>
              </w:rPr>
            </w:pPr>
            <w:r w:rsidRPr="00EF6679">
              <w:rPr>
                <w:rFonts w:ascii="Times New Roman" w:hAnsi="Times New Roman" w:cs="Times New Roman"/>
                <w:color w:val="000000" w:themeColor="text1"/>
                <w:sz w:val="20"/>
                <w:szCs w:val="20"/>
              </w:rPr>
              <w:t>11.64</w:t>
            </w:r>
          </w:p>
        </w:tc>
        <w:tc>
          <w:tcPr>
            <w:tcW w:w="934" w:type="dxa"/>
            <w:tcBorders>
              <w:top w:val="nil"/>
              <w:left w:val="nil"/>
              <w:bottom w:val="nil"/>
              <w:right w:val="nil"/>
            </w:tcBorders>
            <w:noWrap/>
            <w:vAlign w:val="bottom"/>
            <w:hideMark/>
          </w:tcPr>
          <w:p w14:paraId="6FF13AA4" w14:textId="77777777" w:rsidR="00BB138C" w:rsidRPr="00EF6679" w:rsidRDefault="00BB138C" w:rsidP="00820288">
            <w:pPr>
              <w:spacing w:line="240" w:lineRule="auto"/>
              <w:jc w:val="center"/>
              <w:rPr>
                <w:rFonts w:ascii="Times New Roman" w:eastAsia="Times New Roman" w:hAnsi="Times New Roman" w:cs="Times New Roman"/>
                <w:color w:val="000000" w:themeColor="text1"/>
                <w:sz w:val="20"/>
                <w:szCs w:val="20"/>
              </w:rPr>
            </w:pPr>
            <w:r w:rsidRPr="00EF6679">
              <w:rPr>
                <w:rFonts w:ascii="Times New Roman" w:hAnsi="Times New Roman" w:cs="Times New Roman"/>
                <w:color w:val="000000" w:themeColor="text1"/>
                <w:sz w:val="20"/>
                <w:szCs w:val="20"/>
              </w:rPr>
              <w:t>7.15</w:t>
            </w:r>
          </w:p>
        </w:tc>
        <w:tc>
          <w:tcPr>
            <w:tcW w:w="1121" w:type="dxa"/>
            <w:tcBorders>
              <w:top w:val="nil"/>
              <w:left w:val="nil"/>
              <w:bottom w:val="nil"/>
              <w:right w:val="nil"/>
            </w:tcBorders>
            <w:noWrap/>
            <w:vAlign w:val="bottom"/>
            <w:hideMark/>
          </w:tcPr>
          <w:p w14:paraId="1463A1AA" w14:textId="77777777" w:rsidR="00BB138C" w:rsidRPr="00EF6679" w:rsidRDefault="00BB138C" w:rsidP="00820288">
            <w:pPr>
              <w:spacing w:line="240" w:lineRule="auto"/>
              <w:jc w:val="center"/>
              <w:rPr>
                <w:rFonts w:ascii="Times New Roman" w:eastAsia="Times New Roman" w:hAnsi="Times New Roman" w:cs="Times New Roman"/>
                <w:color w:val="000000" w:themeColor="text1"/>
                <w:sz w:val="20"/>
                <w:szCs w:val="20"/>
              </w:rPr>
            </w:pPr>
            <w:r w:rsidRPr="00EF6679">
              <w:rPr>
                <w:rFonts w:ascii="Times New Roman" w:hAnsi="Times New Roman" w:cs="Times New Roman"/>
                <w:color w:val="000000" w:themeColor="text1"/>
                <w:sz w:val="20"/>
                <w:szCs w:val="20"/>
              </w:rPr>
              <w:t>3.02</w:t>
            </w:r>
          </w:p>
        </w:tc>
        <w:tc>
          <w:tcPr>
            <w:tcW w:w="532" w:type="dxa"/>
            <w:tcBorders>
              <w:top w:val="nil"/>
              <w:left w:val="nil"/>
              <w:bottom w:val="nil"/>
              <w:right w:val="nil"/>
            </w:tcBorders>
            <w:noWrap/>
            <w:vAlign w:val="bottom"/>
          </w:tcPr>
          <w:p w14:paraId="4D3DA271" w14:textId="77777777" w:rsidR="00BB138C" w:rsidRPr="00EF6679" w:rsidRDefault="00BB138C" w:rsidP="00820288">
            <w:pPr>
              <w:spacing w:line="240" w:lineRule="auto"/>
              <w:jc w:val="right"/>
              <w:rPr>
                <w:rFonts w:ascii="Times New Roman" w:eastAsia="Times New Roman" w:hAnsi="Times New Roman" w:cs="Times New Roman"/>
                <w:color w:val="000000" w:themeColor="text1"/>
                <w:sz w:val="20"/>
                <w:szCs w:val="20"/>
              </w:rPr>
            </w:pPr>
          </w:p>
        </w:tc>
        <w:tc>
          <w:tcPr>
            <w:tcW w:w="1121" w:type="dxa"/>
            <w:tcBorders>
              <w:top w:val="nil"/>
              <w:left w:val="nil"/>
              <w:bottom w:val="nil"/>
              <w:right w:val="nil"/>
            </w:tcBorders>
            <w:noWrap/>
            <w:vAlign w:val="bottom"/>
            <w:hideMark/>
          </w:tcPr>
          <w:p w14:paraId="508D9EEB" w14:textId="77777777" w:rsidR="00BB138C" w:rsidRPr="00EF6679" w:rsidRDefault="00BB138C" w:rsidP="00820288">
            <w:pPr>
              <w:spacing w:line="240" w:lineRule="auto"/>
              <w:jc w:val="center"/>
              <w:rPr>
                <w:rFonts w:ascii="Times New Roman" w:eastAsia="Times New Roman" w:hAnsi="Times New Roman" w:cs="Times New Roman"/>
                <w:color w:val="000000" w:themeColor="text1"/>
                <w:sz w:val="20"/>
                <w:szCs w:val="20"/>
              </w:rPr>
            </w:pPr>
            <w:r w:rsidRPr="00EF6679">
              <w:rPr>
                <w:rFonts w:ascii="Times New Roman" w:hAnsi="Times New Roman" w:cs="Times New Roman"/>
                <w:color w:val="000000" w:themeColor="text1"/>
                <w:sz w:val="20"/>
                <w:szCs w:val="20"/>
              </w:rPr>
              <w:t>0.0008</w:t>
            </w:r>
          </w:p>
        </w:tc>
        <w:tc>
          <w:tcPr>
            <w:tcW w:w="934" w:type="dxa"/>
            <w:tcBorders>
              <w:top w:val="nil"/>
              <w:left w:val="nil"/>
              <w:bottom w:val="nil"/>
              <w:right w:val="nil"/>
            </w:tcBorders>
            <w:noWrap/>
            <w:vAlign w:val="bottom"/>
            <w:hideMark/>
          </w:tcPr>
          <w:p w14:paraId="64167D5A" w14:textId="77777777" w:rsidR="00BB138C" w:rsidRPr="00EF6679" w:rsidRDefault="00BB138C" w:rsidP="00820288">
            <w:pPr>
              <w:spacing w:line="240" w:lineRule="auto"/>
              <w:jc w:val="center"/>
              <w:rPr>
                <w:rFonts w:ascii="Times New Roman" w:eastAsia="Times New Roman" w:hAnsi="Times New Roman" w:cs="Times New Roman"/>
                <w:color w:val="000000" w:themeColor="text1"/>
                <w:sz w:val="20"/>
                <w:szCs w:val="20"/>
              </w:rPr>
            </w:pPr>
            <w:r w:rsidRPr="00EF6679">
              <w:rPr>
                <w:rFonts w:ascii="Times New Roman" w:hAnsi="Times New Roman" w:cs="Times New Roman"/>
                <w:color w:val="000000" w:themeColor="text1"/>
                <w:sz w:val="20"/>
                <w:szCs w:val="20"/>
              </w:rPr>
              <w:t xml:space="preserve">&lt;.0001 </w:t>
            </w:r>
          </w:p>
        </w:tc>
        <w:tc>
          <w:tcPr>
            <w:tcW w:w="1121" w:type="dxa"/>
            <w:tcBorders>
              <w:top w:val="nil"/>
              <w:left w:val="nil"/>
              <w:bottom w:val="nil"/>
              <w:right w:val="nil"/>
            </w:tcBorders>
            <w:noWrap/>
            <w:vAlign w:val="bottom"/>
            <w:hideMark/>
          </w:tcPr>
          <w:p w14:paraId="4DD3D9AF" w14:textId="77777777" w:rsidR="00BB138C" w:rsidRPr="00EF6679" w:rsidRDefault="00BB138C" w:rsidP="00820288">
            <w:pPr>
              <w:spacing w:line="240" w:lineRule="auto"/>
              <w:jc w:val="center"/>
              <w:rPr>
                <w:rFonts w:ascii="Times New Roman" w:eastAsia="Times New Roman" w:hAnsi="Times New Roman" w:cs="Times New Roman"/>
                <w:color w:val="000000" w:themeColor="text1"/>
                <w:sz w:val="20"/>
                <w:szCs w:val="20"/>
              </w:rPr>
            </w:pPr>
            <w:r w:rsidRPr="00EF6679">
              <w:rPr>
                <w:rFonts w:ascii="Times New Roman" w:hAnsi="Times New Roman" w:cs="Times New Roman"/>
                <w:color w:val="000000" w:themeColor="text1"/>
                <w:sz w:val="20"/>
                <w:szCs w:val="20"/>
              </w:rPr>
              <w:t>0.0009</w:t>
            </w:r>
          </w:p>
        </w:tc>
      </w:tr>
      <w:tr w:rsidR="00BB138C" w:rsidRPr="00EF6679" w14:paraId="6745138A" w14:textId="77777777" w:rsidTr="0082028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trHeight w:val="201"/>
        </w:trPr>
        <w:tc>
          <w:tcPr>
            <w:tcW w:w="2588" w:type="dxa"/>
            <w:tcBorders>
              <w:top w:val="nil"/>
              <w:left w:val="nil"/>
              <w:bottom w:val="nil"/>
              <w:right w:val="nil"/>
            </w:tcBorders>
            <w:noWrap/>
            <w:vAlign w:val="bottom"/>
            <w:hideMark/>
          </w:tcPr>
          <w:p w14:paraId="2FB37048" w14:textId="77777777" w:rsidR="00BB138C" w:rsidRPr="00EF6679" w:rsidRDefault="00BB138C" w:rsidP="00820288">
            <w:pPr>
              <w:spacing w:line="240" w:lineRule="auto"/>
              <w:rPr>
                <w:rFonts w:ascii="Times New Roman" w:eastAsia="Times New Roman" w:hAnsi="Times New Roman" w:cs="Times New Roman"/>
                <w:color w:val="000000" w:themeColor="text1"/>
                <w:sz w:val="18"/>
                <w:szCs w:val="18"/>
              </w:rPr>
            </w:pPr>
            <w:r w:rsidRPr="00EF6679">
              <w:rPr>
                <w:rFonts w:ascii="Times New Roman" w:hAnsi="Times New Roman" w:cs="Times New Roman"/>
                <w:color w:val="000000" w:themeColor="text1"/>
                <w:sz w:val="18"/>
                <w:szCs w:val="18"/>
              </w:rPr>
              <w:t>R+/S-Limonene Ratio</w:t>
            </w:r>
          </w:p>
        </w:tc>
        <w:tc>
          <w:tcPr>
            <w:tcW w:w="1121" w:type="dxa"/>
            <w:tcBorders>
              <w:top w:val="nil"/>
              <w:left w:val="nil"/>
              <w:bottom w:val="nil"/>
              <w:right w:val="nil"/>
            </w:tcBorders>
            <w:noWrap/>
            <w:vAlign w:val="bottom"/>
            <w:hideMark/>
          </w:tcPr>
          <w:p w14:paraId="11E7580B" w14:textId="77777777" w:rsidR="00BB138C" w:rsidRPr="00EF6679" w:rsidRDefault="00BB138C" w:rsidP="00820288">
            <w:pPr>
              <w:spacing w:line="240" w:lineRule="auto"/>
              <w:jc w:val="center"/>
              <w:rPr>
                <w:rFonts w:ascii="Times New Roman" w:eastAsia="Times New Roman" w:hAnsi="Times New Roman" w:cs="Times New Roman"/>
                <w:color w:val="000000" w:themeColor="text1"/>
                <w:sz w:val="20"/>
                <w:szCs w:val="20"/>
              </w:rPr>
            </w:pPr>
            <w:r w:rsidRPr="00EF6679">
              <w:rPr>
                <w:rFonts w:ascii="Times New Roman" w:hAnsi="Times New Roman" w:cs="Times New Roman"/>
                <w:color w:val="000000" w:themeColor="text1"/>
                <w:sz w:val="20"/>
                <w:szCs w:val="20"/>
              </w:rPr>
              <w:t>0.28</w:t>
            </w:r>
          </w:p>
        </w:tc>
        <w:tc>
          <w:tcPr>
            <w:tcW w:w="934" w:type="dxa"/>
            <w:tcBorders>
              <w:top w:val="nil"/>
              <w:left w:val="nil"/>
              <w:bottom w:val="nil"/>
              <w:right w:val="nil"/>
            </w:tcBorders>
            <w:noWrap/>
            <w:vAlign w:val="bottom"/>
            <w:hideMark/>
          </w:tcPr>
          <w:p w14:paraId="73296852" w14:textId="77777777" w:rsidR="00BB138C" w:rsidRPr="00EF6679" w:rsidRDefault="00BB138C" w:rsidP="00820288">
            <w:pPr>
              <w:spacing w:line="240" w:lineRule="auto"/>
              <w:jc w:val="center"/>
              <w:rPr>
                <w:rFonts w:ascii="Times New Roman" w:eastAsia="Times New Roman" w:hAnsi="Times New Roman" w:cs="Times New Roman"/>
                <w:color w:val="000000" w:themeColor="text1"/>
                <w:sz w:val="20"/>
                <w:szCs w:val="20"/>
              </w:rPr>
            </w:pPr>
            <w:r w:rsidRPr="00EF6679">
              <w:rPr>
                <w:rFonts w:ascii="Times New Roman" w:hAnsi="Times New Roman" w:cs="Times New Roman"/>
                <w:color w:val="000000" w:themeColor="text1"/>
                <w:sz w:val="20"/>
                <w:szCs w:val="20"/>
              </w:rPr>
              <w:t>0.89</w:t>
            </w:r>
          </w:p>
        </w:tc>
        <w:tc>
          <w:tcPr>
            <w:tcW w:w="1121" w:type="dxa"/>
            <w:tcBorders>
              <w:top w:val="nil"/>
              <w:left w:val="nil"/>
              <w:bottom w:val="nil"/>
              <w:right w:val="nil"/>
            </w:tcBorders>
            <w:noWrap/>
            <w:vAlign w:val="bottom"/>
            <w:hideMark/>
          </w:tcPr>
          <w:p w14:paraId="16941930" w14:textId="77777777" w:rsidR="00BB138C" w:rsidRPr="00EF6679" w:rsidRDefault="00BB138C" w:rsidP="00820288">
            <w:pPr>
              <w:spacing w:line="240" w:lineRule="auto"/>
              <w:jc w:val="center"/>
              <w:rPr>
                <w:rFonts w:ascii="Times New Roman" w:eastAsia="Times New Roman" w:hAnsi="Times New Roman" w:cs="Times New Roman"/>
                <w:color w:val="000000" w:themeColor="text1"/>
                <w:sz w:val="20"/>
                <w:szCs w:val="20"/>
              </w:rPr>
            </w:pPr>
            <w:r w:rsidRPr="00EF6679">
              <w:rPr>
                <w:rFonts w:ascii="Times New Roman" w:hAnsi="Times New Roman" w:cs="Times New Roman"/>
                <w:color w:val="000000" w:themeColor="text1"/>
                <w:sz w:val="20"/>
                <w:szCs w:val="20"/>
              </w:rPr>
              <w:t>0.85</w:t>
            </w:r>
          </w:p>
        </w:tc>
        <w:tc>
          <w:tcPr>
            <w:tcW w:w="532" w:type="dxa"/>
            <w:tcBorders>
              <w:top w:val="nil"/>
              <w:left w:val="nil"/>
              <w:bottom w:val="nil"/>
              <w:right w:val="nil"/>
            </w:tcBorders>
            <w:noWrap/>
            <w:vAlign w:val="bottom"/>
          </w:tcPr>
          <w:p w14:paraId="4A97029B" w14:textId="77777777" w:rsidR="00BB138C" w:rsidRPr="00EF6679" w:rsidRDefault="00BB138C" w:rsidP="00820288">
            <w:pPr>
              <w:spacing w:line="240" w:lineRule="auto"/>
              <w:jc w:val="right"/>
              <w:rPr>
                <w:rFonts w:ascii="Times New Roman" w:eastAsia="Times New Roman" w:hAnsi="Times New Roman" w:cs="Times New Roman"/>
                <w:color w:val="000000" w:themeColor="text1"/>
                <w:sz w:val="20"/>
                <w:szCs w:val="20"/>
              </w:rPr>
            </w:pPr>
          </w:p>
        </w:tc>
        <w:tc>
          <w:tcPr>
            <w:tcW w:w="1121" w:type="dxa"/>
            <w:tcBorders>
              <w:top w:val="nil"/>
              <w:left w:val="nil"/>
              <w:bottom w:val="nil"/>
              <w:right w:val="nil"/>
            </w:tcBorders>
            <w:noWrap/>
            <w:vAlign w:val="bottom"/>
            <w:hideMark/>
          </w:tcPr>
          <w:p w14:paraId="1E4BC8AE" w14:textId="77777777" w:rsidR="00BB138C" w:rsidRPr="00EF6679" w:rsidRDefault="00BB138C" w:rsidP="00820288">
            <w:pPr>
              <w:spacing w:line="240" w:lineRule="auto"/>
              <w:jc w:val="center"/>
              <w:rPr>
                <w:rFonts w:ascii="Times New Roman" w:eastAsia="Times New Roman" w:hAnsi="Times New Roman" w:cs="Times New Roman"/>
                <w:color w:val="000000" w:themeColor="text1"/>
                <w:sz w:val="20"/>
                <w:szCs w:val="20"/>
              </w:rPr>
            </w:pPr>
            <w:r w:rsidRPr="00EF6679">
              <w:rPr>
                <w:rFonts w:ascii="Times New Roman" w:hAnsi="Times New Roman" w:cs="Times New Roman"/>
                <w:color w:val="000000" w:themeColor="text1"/>
                <w:sz w:val="20"/>
                <w:szCs w:val="20"/>
              </w:rPr>
              <w:t>0.5981</w:t>
            </w:r>
          </w:p>
        </w:tc>
        <w:tc>
          <w:tcPr>
            <w:tcW w:w="934" w:type="dxa"/>
            <w:tcBorders>
              <w:top w:val="nil"/>
              <w:left w:val="nil"/>
              <w:bottom w:val="nil"/>
              <w:right w:val="nil"/>
            </w:tcBorders>
            <w:noWrap/>
            <w:vAlign w:val="bottom"/>
            <w:hideMark/>
          </w:tcPr>
          <w:p w14:paraId="5C5E82EA" w14:textId="77777777" w:rsidR="00BB138C" w:rsidRPr="00EF6679" w:rsidRDefault="00BB138C" w:rsidP="00820288">
            <w:pPr>
              <w:spacing w:line="240" w:lineRule="auto"/>
              <w:jc w:val="center"/>
              <w:rPr>
                <w:rFonts w:ascii="Times New Roman" w:eastAsia="Times New Roman" w:hAnsi="Times New Roman" w:cs="Times New Roman"/>
                <w:color w:val="000000" w:themeColor="text1"/>
                <w:sz w:val="20"/>
                <w:szCs w:val="20"/>
              </w:rPr>
            </w:pPr>
            <w:r w:rsidRPr="00EF6679">
              <w:rPr>
                <w:rFonts w:ascii="Times New Roman" w:hAnsi="Times New Roman" w:cs="Times New Roman"/>
                <w:color w:val="000000" w:themeColor="text1"/>
                <w:sz w:val="20"/>
                <w:szCs w:val="20"/>
              </w:rPr>
              <w:t>0.5483</w:t>
            </w:r>
          </w:p>
        </w:tc>
        <w:tc>
          <w:tcPr>
            <w:tcW w:w="1121" w:type="dxa"/>
            <w:tcBorders>
              <w:top w:val="nil"/>
              <w:left w:val="nil"/>
              <w:bottom w:val="nil"/>
              <w:right w:val="nil"/>
            </w:tcBorders>
            <w:noWrap/>
            <w:vAlign w:val="bottom"/>
            <w:hideMark/>
          </w:tcPr>
          <w:p w14:paraId="30D144B1" w14:textId="77777777" w:rsidR="00BB138C" w:rsidRPr="00EF6679" w:rsidRDefault="00BB138C" w:rsidP="00820288">
            <w:pPr>
              <w:spacing w:line="240" w:lineRule="auto"/>
              <w:jc w:val="center"/>
              <w:rPr>
                <w:rFonts w:ascii="Times New Roman" w:eastAsia="Times New Roman" w:hAnsi="Times New Roman" w:cs="Times New Roman"/>
                <w:color w:val="000000" w:themeColor="text1"/>
                <w:sz w:val="20"/>
                <w:szCs w:val="20"/>
              </w:rPr>
            </w:pPr>
            <w:r w:rsidRPr="00EF6679">
              <w:rPr>
                <w:rFonts w:ascii="Times New Roman" w:hAnsi="Times New Roman" w:cs="Times New Roman"/>
                <w:color w:val="000000" w:themeColor="text1"/>
                <w:sz w:val="20"/>
                <w:szCs w:val="20"/>
              </w:rPr>
              <w:t>0.5948</w:t>
            </w:r>
          </w:p>
        </w:tc>
      </w:tr>
      <w:tr w:rsidR="00BB138C" w:rsidRPr="00EF6679" w14:paraId="786465AC" w14:textId="77777777" w:rsidTr="0082028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trHeight w:val="201"/>
        </w:trPr>
        <w:tc>
          <w:tcPr>
            <w:tcW w:w="2588" w:type="dxa"/>
            <w:tcBorders>
              <w:top w:val="nil"/>
              <w:left w:val="nil"/>
              <w:bottom w:val="nil"/>
              <w:right w:val="nil"/>
            </w:tcBorders>
            <w:noWrap/>
            <w:vAlign w:val="bottom"/>
            <w:hideMark/>
          </w:tcPr>
          <w:p w14:paraId="600B7BC8" w14:textId="77777777" w:rsidR="00BB138C" w:rsidRPr="00EF6679" w:rsidRDefault="00BB138C" w:rsidP="00820288">
            <w:pPr>
              <w:spacing w:line="240" w:lineRule="auto"/>
              <w:rPr>
                <w:rFonts w:ascii="Times New Roman" w:eastAsia="Times New Roman" w:hAnsi="Times New Roman" w:cs="Times New Roman"/>
                <w:color w:val="000000" w:themeColor="text1"/>
                <w:sz w:val="18"/>
                <w:szCs w:val="18"/>
              </w:rPr>
            </w:pPr>
            <w:r w:rsidRPr="00EF6679">
              <w:rPr>
                <w:rFonts w:ascii="Times New Roman" w:hAnsi="Times New Roman" w:cs="Times New Roman"/>
                <w:color w:val="000000" w:themeColor="text1"/>
                <w:sz w:val="18"/>
                <w:szCs w:val="18"/>
              </w:rPr>
              <w:t>(E/Z)-Ocimene Ratio</w:t>
            </w:r>
          </w:p>
        </w:tc>
        <w:tc>
          <w:tcPr>
            <w:tcW w:w="1121" w:type="dxa"/>
            <w:tcBorders>
              <w:top w:val="nil"/>
              <w:left w:val="nil"/>
              <w:bottom w:val="nil"/>
              <w:right w:val="nil"/>
            </w:tcBorders>
            <w:noWrap/>
            <w:vAlign w:val="bottom"/>
            <w:hideMark/>
          </w:tcPr>
          <w:p w14:paraId="3398A204" w14:textId="77777777" w:rsidR="00BB138C" w:rsidRPr="00EF6679" w:rsidRDefault="00BB138C" w:rsidP="00820288">
            <w:pPr>
              <w:spacing w:line="240" w:lineRule="auto"/>
              <w:jc w:val="center"/>
              <w:rPr>
                <w:rFonts w:ascii="Times New Roman" w:eastAsia="Times New Roman" w:hAnsi="Times New Roman" w:cs="Times New Roman"/>
                <w:color w:val="000000" w:themeColor="text1"/>
                <w:sz w:val="20"/>
                <w:szCs w:val="20"/>
              </w:rPr>
            </w:pPr>
            <w:r w:rsidRPr="00EF6679">
              <w:rPr>
                <w:rFonts w:ascii="Times New Roman" w:hAnsi="Times New Roman" w:cs="Times New Roman"/>
                <w:color w:val="000000" w:themeColor="text1"/>
                <w:sz w:val="20"/>
                <w:szCs w:val="20"/>
              </w:rPr>
              <w:t>1.45</w:t>
            </w:r>
          </w:p>
        </w:tc>
        <w:tc>
          <w:tcPr>
            <w:tcW w:w="934" w:type="dxa"/>
            <w:tcBorders>
              <w:top w:val="nil"/>
              <w:left w:val="nil"/>
              <w:bottom w:val="nil"/>
              <w:right w:val="nil"/>
            </w:tcBorders>
            <w:noWrap/>
            <w:vAlign w:val="bottom"/>
            <w:hideMark/>
          </w:tcPr>
          <w:p w14:paraId="018C3EAF" w14:textId="77777777" w:rsidR="00BB138C" w:rsidRPr="00EF6679" w:rsidRDefault="00BB138C" w:rsidP="00820288">
            <w:pPr>
              <w:spacing w:line="240" w:lineRule="auto"/>
              <w:jc w:val="center"/>
              <w:rPr>
                <w:rFonts w:ascii="Times New Roman" w:eastAsia="Times New Roman" w:hAnsi="Times New Roman" w:cs="Times New Roman"/>
                <w:color w:val="000000" w:themeColor="text1"/>
                <w:sz w:val="20"/>
                <w:szCs w:val="20"/>
              </w:rPr>
            </w:pPr>
            <w:r w:rsidRPr="00EF6679">
              <w:rPr>
                <w:rFonts w:ascii="Times New Roman" w:hAnsi="Times New Roman" w:cs="Times New Roman"/>
                <w:color w:val="000000" w:themeColor="text1"/>
                <w:sz w:val="20"/>
                <w:szCs w:val="20"/>
              </w:rPr>
              <w:t>2.33</w:t>
            </w:r>
          </w:p>
        </w:tc>
        <w:tc>
          <w:tcPr>
            <w:tcW w:w="1121" w:type="dxa"/>
            <w:tcBorders>
              <w:top w:val="nil"/>
              <w:left w:val="nil"/>
              <w:bottom w:val="nil"/>
              <w:right w:val="nil"/>
            </w:tcBorders>
            <w:noWrap/>
            <w:vAlign w:val="bottom"/>
            <w:hideMark/>
          </w:tcPr>
          <w:p w14:paraId="7C4D8122" w14:textId="77777777" w:rsidR="00BB138C" w:rsidRPr="00EF6679" w:rsidRDefault="00BB138C" w:rsidP="00820288">
            <w:pPr>
              <w:spacing w:line="240" w:lineRule="auto"/>
              <w:jc w:val="center"/>
              <w:rPr>
                <w:rFonts w:ascii="Times New Roman" w:eastAsia="Times New Roman" w:hAnsi="Times New Roman" w:cs="Times New Roman"/>
                <w:color w:val="000000" w:themeColor="text1"/>
                <w:sz w:val="20"/>
                <w:szCs w:val="20"/>
              </w:rPr>
            </w:pPr>
            <w:r w:rsidRPr="00EF6679">
              <w:rPr>
                <w:rFonts w:ascii="Times New Roman" w:hAnsi="Times New Roman" w:cs="Times New Roman"/>
                <w:color w:val="000000" w:themeColor="text1"/>
                <w:sz w:val="20"/>
                <w:szCs w:val="20"/>
              </w:rPr>
              <w:t>1.68</w:t>
            </w:r>
          </w:p>
        </w:tc>
        <w:tc>
          <w:tcPr>
            <w:tcW w:w="532" w:type="dxa"/>
            <w:tcBorders>
              <w:top w:val="nil"/>
              <w:left w:val="nil"/>
              <w:bottom w:val="nil"/>
              <w:right w:val="nil"/>
            </w:tcBorders>
            <w:noWrap/>
            <w:vAlign w:val="bottom"/>
          </w:tcPr>
          <w:p w14:paraId="445FF315" w14:textId="77777777" w:rsidR="00BB138C" w:rsidRPr="00EF6679" w:rsidRDefault="00BB138C" w:rsidP="00820288">
            <w:pPr>
              <w:spacing w:line="240" w:lineRule="auto"/>
              <w:jc w:val="right"/>
              <w:rPr>
                <w:rFonts w:ascii="Times New Roman" w:eastAsia="Times New Roman" w:hAnsi="Times New Roman" w:cs="Times New Roman"/>
                <w:color w:val="000000" w:themeColor="text1"/>
                <w:sz w:val="20"/>
                <w:szCs w:val="20"/>
              </w:rPr>
            </w:pPr>
          </w:p>
        </w:tc>
        <w:tc>
          <w:tcPr>
            <w:tcW w:w="1121" w:type="dxa"/>
            <w:tcBorders>
              <w:top w:val="nil"/>
              <w:left w:val="nil"/>
              <w:bottom w:val="nil"/>
              <w:right w:val="nil"/>
            </w:tcBorders>
            <w:noWrap/>
            <w:vAlign w:val="bottom"/>
            <w:hideMark/>
          </w:tcPr>
          <w:p w14:paraId="2FFD4A11" w14:textId="77777777" w:rsidR="00BB138C" w:rsidRPr="00EF6679" w:rsidRDefault="00BB138C" w:rsidP="00820288">
            <w:pPr>
              <w:spacing w:line="240" w:lineRule="auto"/>
              <w:jc w:val="center"/>
              <w:rPr>
                <w:rFonts w:ascii="Times New Roman" w:eastAsia="Times New Roman" w:hAnsi="Times New Roman" w:cs="Times New Roman"/>
                <w:color w:val="000000" w:themeColor="text1"/>
                <w:sz w:val="20"/>
                <w:szCs w:val="20"/>
              </w:rPr>
            </w:pPr>
            <w:r w:rsidRPr="00EF6679">
              <w:rPr>
                <w:rFonts w:ascii="Times New Roman" w:hAnsi="Times New Roman" w:cs="Times New Roman"/>
                <w:color w:val="000000" w:themeColor="text1"/>
                <w:sz w:val="20"/>
                <w:szCs w:val="20"/>
              </w:rPr>
              <w:t>0.2301</w:t>
            </w:r>
          </w:p>
        </w:tc>
        <w:tc>
          <w:tcPr>
            <w:tcW w:w="934" w:type="dxa"/>
            <w:tcBorders>
              <w:top w:val="nil"/>
              <w:left w:val="nil"/>
              <w:bottom w:val="nil"/>
              <w:right w:val="nil"/>
            </w:tcBorders>
            <w:noWrap/>
            <w:vAlign w:val="bottom"/>
            <w:hideMark/>
          </w:tcPr>
          <w:p w14:paraId="230F350F" w14:textId="77777777" w:rsidR="00BB138C" w:rsidRPr="00EF6679" w:rsidRDefault="00BB138C" w:rsidP="00820288">
            <w:pPr>
              <w:spacing w:line="240" w:lineRule="auto"/>
              <w:jc w:val="center"/>
              <w:rPr>
                <w:rFonts w:ascii="Times New Roman" w:eastAsia="Times New Roman" w:hAnsi="Times New Roman" w:cs="Times New Roman"/>
                <w:color w:val="000000" w:themeColor="text1"/>
                <w:sz w:val="20"/>
                <w:szCs w:val="20"/>
              </w:rPr>
            </w:pPr>
            <w:r w:rsidRPr="00EF6679">
              <w:rPr>
                <w:rFonts w:ascii="Times New Roman" w:hAnsi="Times New Roman" w:cs="Times New Roman"/>
                <w:color w:val="000000" w:themeColor="text1"/>
                <w:sz w:val="20"/>
                <w:szCs w:val="20"/>
              </w:rPr>
              <w:t>0.0101</w:t>
            </w:r>
          </w:p>
        </w:tc>
        <w:tc>
          <w:tcPr>
            <w:tcW w:w="1121" w:type="dxa"/>
            <w:tcBorders>
              <w:top w:val="nil"/>
              <w:left w:val="nil"/>
              <w:bottom w:val="nil"/>
              <w:right w:val="nil"/>
            </w:tcBorders>
            <w:noWrap/>
            <w:vAlign w:val="bottom"/>
            <w:hideMark/>
          </w:tcPr>
          <w:p w14:paraId="197353D9" w14:textId="77777777" w:rsidR="00BB138C" w:rsidRPr="00EF6679" w:rsidRDefault="00BB138C" w:rsidP="00820288">
            <w:pPr>
              <w:spacing w:line="240" w:lineRule="auto"/>
              <w:jc w:val="center"/>
              <w:rPr>
                <w:rFonts w:ascii="Times New Roman" w:eastAsia="Times New Roman" w:hAnsi="Times New Roman" w:cs="Times New Roman"/>
                <w:color w:val="000000" w:themeColor="text1"/>
                <w:sz w:val="20"/>
                <w:szCs w:val="20"/>
              </w:rPr>
            </w:pPr>
            <w:r w:rsidRPr="00EF6679">
              <w:rPr>
                <w:rFonts w:ascii="Times New Roman" w:hAnsi="Times New Roman" w:cs="Times New Roman"/>
                <w:color w:val="000000" w:themeColor="text1"/>
                <w:sz w:val="20"/>
                <w:szCs w:val="20"/>
              </w:rPr>
              <w:t>0.0797</w:t>
            </w:r>
          </w:p>
        </w:tc>
      </w:tr>
      <w:tr w:rsidR="00BB138C" w:rsidRPr="00EF6679" w14:paraId="74082EF3" w14:textId="77777777" w:rsidTr="0082028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trHeight w:val="201"/>
        </w:trPr>
        <w:tc>
          <w:tcPr>
            <w:tcW w:w="2588" w:type="dxa"/>
            <w:tcBorders>
              <w:top w:val="nil"/>
              <w:left w:val="nil"/>
              <w:bottom w:val="nil"/>
              <w:right w:val="nil"/>
            </w:tcBorders>
            <w:noWrap/>
            <w:vAlign w:val="bottom"/>
            <w:hideMark/>
          </w:tcPr>
          <w:p w14:paraId="3E9D8061" w14:textId="77777777" w:rsidR="00BB138C" w:rsidRPr="00EF6679" w:rsidRDefault="00BB138C" w:rsidP="00820288">
            <w:pPr>
              <w:spacing w:line="240" w:lineRule="auto"/>
              <w:rPr>
                <w:rFonts w:ascii="Times New Roman" w:eastAsia="Times New Roman" w:hAnsi="Times New Roman" w:cs="Times New Roman"/>
                <w:color w:val="000000" w:themeColor="text1"/>
                <w:sz w:val="18"/>
                <w:szCs w:val="18"/>
              </w:rPr>
            </w:pPr>
            <w:r w:rsidRPr="00EF6679">
              <w:rPr>
                <w:rFonts w:ascii="Times New Roman" w:hAnsi="Times New Roman" w:cs="Times New Roman"/>
                <w:color w:val="202124"/>
                <w:sz w:val="18"/>
                <w:szCs w:val="18"/>
                <w:shd w:val="clear" w:color="auto" w:fill="FFFFFF"/>
              </w:rPr>
              <w:t>α</w:t>
            </w:r>
            <w:r w:rsidRPr="00EF6679">
              <w:rPr>
                <w:rFonts w:ascii="Times New Roman" w:hAnsi="Times New Roman" w:cs="Times New Roman"/>
                <w:color w:val="000000" w:themeColor="text1"/>
                <w:sz w:val="18"/>
                <w:szCs w:val="18"/>
              </w:rPr>
              <w:t>-Terpinene/Total Terpinenes</w:t>
            </w:r>
          </w:p>
        </w:tc>
        <w:tc>
          <w:tcPr>
            <w:tcW w:w="1121" w:type="dxa"/>
            <w:tcBorders>
              <w:top w:val="nil"/>
              <w:left w:val="nil"/>
              <w:bottom w:val="nil"/>
              <w:right w:val="nil"/>
            </w:tcBorders>
            <w:noWrap/>
            <w:vAlign w:val="bottom"/>
            <w:hideMark/>
          </w:tcPr>
          <w:p w14:paraId="3B52DDAF" w14:textId="77777777" w:rsidR="00BB138C" w:rsidRPr="00EF6679" w:rsidRDefault="00BB138C" w:rsidP="00820288">
            <w:pPr>
              <w:spacing w:line="240" w:lineRule="auto"/>
              <w:jc w:val="center"/>
              <w:rPr>
                <w:rFonts w:ascii="Times New Roman" w:eastAsia="Times New Roman" w:hAnsi="Times New Roman" w:cs="Times New Roman"/>
                <w:color w:val="000000" w:themeColor="text1"/>
                <w:sz w:val="20"/>
                <w:szCs w:val="20"/>
              </w:rPr>
            </w:pPr>
            <w:r w:rsidRPr="00EF6679">
              <w:rPr>
                <w:rFonts w:ascii="Times New Roman" w:hAnsi="Times New Roman" w:cs="Times New Roman"/>
                <w:color w:val="000000" w:themeColor="text1"/>
                <w:sz w:val="20"/>
                <w:szCs w:val="20"/>
              </w:rPr>
              <w:t>0.51</w:t>
            </w:r>
          </w:p>
        </w:tc>
        <w:tc>
          <w:tcPr>
            <w:tcW w:w="934" w:type="dxa"/>
            <w:tcBorders>
              <w:top w:val="nil"/>
              <w:left w:val="nil"/>
              <w:bottom w:val="nil"/>
              <w:right w:val="nil"/>
            </w:tcBorders>
            <w:noWrap/>
            <w:vAlign w:val="bottom"/>
            <w:hideMark/>
          </w:tcPr>
          <w:p w14:paraId="750F513F" w14:textId="77777777" w:rsidR="00BB138C" w:rsidRPr="00EF6679" w:rsidRDefault="00BB138C" w:rsidP="00820288">
            <w:pPr>
              <w:spacing w:line="240" w:lineRule="auto"/>
              <w:jc w:val="center"/>
              <w:rPr>
                <w:rFonts w:ascii="Times New Roman" w:eastAsia="Times New Roman" w:hAnsi="Times New Roman" w:cs="Times New Roman"/>
                <w:color w:val="000000" w:themeColor="text1"/>
                <w:sz w:val="20"/>
                <w:szCs w:val="20"/>
              </w:rPr>
            </w:pPr>
            <w:r w:rsidRPr="00EF6679">
              <w:rPr>
                <w:rFonts w:ascii="Times New Roman" w:hAnsi="Times New Roman" w:cs="Times New Roman"/>
                <w:color w:val="000000" w:themeColor="text1"/>
                <w:sz w:val="20"/>
                <w:szCs w:val="20"/>
              </w:rPr>
              <w:t>1.10</w:t>
            </w:r>
          </w:p>
        </w:tc>
        <w:tc>
          <w:tcPr>
            <w:tcW w:w="1121" w:type="dxa"/>
            <w:tcBorders>
              <w:top w:val="nil"/>
              <w:left w:val="nil"/>
              <w:bottom w:val="nil"/>
              <w:right w:val="nil"/>
            </w:tcBorders>
            <w:noWrap/>
            <w:vAlign w:val="bottom"/>
            <w:hideMark/>
          </w:tcPr>
          <w:p w14:paraId="67ACD372" w14:textId="77777777" w:rsidR="00BB138C" w:rsidRPr="00EF6679" w:rsidRDefault="00BB138C" w:rsidP="00820288">
            <w:pPr>
              <w:spacing w:line="240" w:lineRule="auto"/>
              <w:jc w:val="center"/>
              <w:rPr>
                <w:rFonts w:ascii="Times New Roman" w:eastAsia="Times New Roman" w:hAnsi="Times New Roman" w:cs="Times New Roman"/>
                <w:color w:val="000000" w:themeColor="text1"/>
                <w:sz w:val="20"/>
                <w:szCs w:val="20"/>
              </w:rPr>
            </w:pPr>
            <w:r w:rsidRPr="00EF6679">
              <w:rPr>
                <w:rFonts w:ascii="Times New Roman" w:hAnsi="Times New Roman" w:cs="Times New Roman"/>
                <w:color w:val="000000" w:themeColor="text1"/>
                <w:sz w:val="20"/>
                <w:szCs w:val="20"/>
              </w:rPr>
              <w:t>1.33</w:t>
            </w:r>
          </w:p>
        </w:tc>
        <w:tc>
          <w:tcPr>
            <w:tcW w:w="532" w:type="dxa"/>
            <w:tcBorders>
              <w:top w:val="nil"/>
              <w:left w:val="nil"/>
              <w:bottom w:val="nil"/>
              <w:right w:val="nil"/>
            </w:tcBorders>
            <w:noWrap/>
            <w:vAlign w:val="bottom"/>
          </w:tcPr>
          <w:p w14:paraId="6C38BC77" w14:textId="77777777" w:rsidR="00BB138C" w:rsidRPr="00EF6679" w:rsidRDefault="00BB138C" w:rsidP="00820288">
            <w:pPr>
              <w:spacing w:line="240" w:lineRule="auto"/>
              <w:jc w:val="right"/>
              <w:rPr>
                <w:rFonts w:ascii="Times New Roman" w:eastAsia="Times New Roman" w:hAnsi="Times New Roman" w:cs="Times New Roman"/>
                <w:color w:val="000000" w:themeColor="text1"/>
                <w:sz w:val="20"/>
                <w:szCs w:val="20"/>
              </w:rPr>
            </w:pPr>
          </w:p>
        </w:tc>
        <w:tc>
          <w:tcPr>
            <w:tcW w:w="1121" w:type="dxa"/>
            <w:tcBorders>
              <w:top w:val="nil"/>
              <w:left w:val="nil"/>
              <w:bottom w:val="nil"/>
              <w:right w:val="nil"/>
            </w:tcBorders>
            <w:noWrap/>
            <w:vAlign w:val="bottom"/>
            <w:hideMark/>
          </w:tcPr>
          <w:p w14:paraId="57A30B54" w14:textId="77777777" w:rsidR="00BB138C" w:rsidRPr="00EF6679" w:rsidRDefault="00BB138C" w:rsidP="00820288">
            <w:pPr>
              <w:spacing w:line="240" w:lineRule="auto"/>
              <w:jc w:val="center"/>
              <w:rPr>
                <w:rFonts w:ascii="Times New Roman" w:eastAsia="Times New Roman" w:hAnsi="Times New Roman" w:cs="Times New Roman"/>
                <w:color w:val="000000" w:themeColor="text1"/>
                <w:sz w:val="20"/>
                <w:szCs w:val="20"/>
              </w:rPr>
            </w:pPr>
            <w:r w:rsidRPr="00EF6679">
              <w:rPr>
                <w:rFonts w:ascii="Times New Roman" w:hAnsi="Times New Roman" w:cs="Times New Roman"/>
                <w:color w:val="000000" w:themeColor="text1"/>
                <w:sz w:val="20"/>
                <w:szCs w:val="20"/>
              </w:rPr>
              <w:t>0.4756</w:t>
            </w:r>
          </w:p>
        </w:tc>
        <w:tc>
          <w:tcPr>
            <w:tcW w:w="934" w:type="dxa"/>
            <w:tcBorders>
              <w:top w:val="nil"/>
              <w:left w:val="nil"/>
              <w:bottom w:val="nil"/>
              <w:right w:val="nil"/>
            </w:tcBorders>
            <w:noWrap/>
            <w:vAlign w:val="bottom"/>
            <w:hideMark/>
          </w:tcPr>
          <w:p w14:paraId="24F67726" w14:textId="77777777" w:rsidR="00BB138C" w:rsidRPr="00EF6679" w:rsidRDefault="00BB138C" w:rsidP="00820288">
            <w:pPr>
              <w:spacing w:line="240" w:lineRule="auto"/>
              <w:jc w:val="center"/>
              <w:rPr>
                <w:rFonts w:ascii="Times New Roman" w:eastAsia="Times New Roman" w:hAnsi="Times New Roman" w:cs="Times New Roman"/>
                <w:color w:val="000000" w:themeColor="text1"/>
                <w:sz w:val="20"/>
                <w:szCs w:val="20"/>
              </w:rPr>
            </w:pPr>
            <w:r w:rsidRPr="00EF6679">
              <w:rPr>
                <w:rFonts w:ascii="Times New Roman" w:hAnsi="Times New Roman" w:cs="Times New Roman"/>
                <w:color w:val="000000" w:themeColor="text1"/>
                <w:sz w:val="20"/>
                <w:szCs w:val="20"/>
              </w:rPr>
              <w:t>0.3598</w:t>
            </w:r>
          </w:p>
        </w:tc>
        <w:tc>
          <w:tcPr>
            <w:tcW w:w="1121" w:type="dxa"/>
            <w:tcBorders>
              <w:top w:val="nil"/>
              <w:left w:val="nil"/>
              <w:bottom w:val="nil"/>
              <w:right w:val="nil"/>
            </w:tcBorders>
            <w:noWrap/>
            <w:vAlign w:val="bottom"/>
            <w:hideMark/>
          </w:tcPr>
          <w:p w14:paraId="1E45BA48" w14:textId="77777777" w:rsidR="00BB138C" w:rsidRPr="00EF6679" w:rsidRDefault="00BB138C" w:rsidP="00820288">
            <w:pPr>
              <w:spacing w:line="240" w:lineRule="auto"/>
              <w:jc w:val="center"/>
              <w:rPr>
                <w:rFonts w:ascii="Times New Roman" w:eastAsia="Times New Roman" w:hAnsi="Times New Roman" w:cs="Times New Roman"/>
                <w:color w:val="000000" w:themeColor="text1"/>
                <w:sz w:val="20"/>
                <w:szCs w:val="20"/>
              </w:rPr>
            </w:pPr>
            <w:r w:rsidRPr="00EF6679">
              <w:rPr>
                <w:rFonts w:ascii="Times New Roman" w:hAnsi="Times New Roman" w:cs="Times New Roman"/>
                <w:color w:val="000000" w:themeColor="text1"/>
                <w:sz w:val="20"/>
                <w:szCs w:val="20"/>
              </w:rPr>
              <w:t>0.209</w:t>
            </w:r>
          </w:p>
        </w:tc>
      </w:tr>
      <w:tr w:rsidR="00BB138C" w:rsidRPr="00EF6679" w14:paraId="1EC4C5A8" w14:textId="77777777" w:rsidTr="0082028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trHeight w:val="201"/>
        </w:trPr>
        <w:tc>
          <w:tcPr>
            <w:tcW w:w="2588" w:type="dxa"/>
            <w:tcBorders>
              <w:top w:val="nil"/>
              <w:left w:val="nil"/>
              <w:bottom w:val="nil"/>
              <w:right w:val="nil"/>
            </w:tcBorders>
            <w:noWrap/>
            <w:vAlign w:val="bottom"/>
            <w:hideMark/>
          </w:tcPr>
          <w:p w14:paraId="78FE1576" w14:textId="77777777" w:rsidR="00BB138C" w:rsidRPr="00EF6679" w:rsidRDefault="00BB138C" w:rsidP="00820288">
            <w:pPr>
              <w:spacing w:line="240" w:lineRule="auto"/>
              <w:rPr>
                <w:rFonts w:ascii="Times New Roman" w:eastAsia="Times New Roman" w:hAnsi="Times New Roman" w:cs="Times New Roman"/>
                <w:color w:val="000000" w:themeColor="text1"/>
                <w:sz w:val="18"/>
                <w:szCs w:val="18"/>
              </w:rPr>
            </w:pPr>
            <w:r w:rsidRPr="00EF6679">
              <w:rPr>
                <w:rFonts w:ascii="Times New Roman" w:hAnsi="Times New Roman" w:cs="Times New Roman"/>
                <w:color w:val="202124"/>
                <w:sz w:val="18"/>
                <w:szCs w:val="18"/>
                <w:shd w:val="clear" w:color="auto" w:fill="FFFFFF"/>
              </w:rPr>
              <w:t>γ</w:t>
            </w:r>
            <w:r w:rsidRPr="00EF6679">
              <w:rPr>
                <w:rFonts w:ascii="Times New Roman" w:hAnsi="Times New Roman" w:cs="Times New Roman"/>
                <w:color w:val="000000" w:themeColor="text1"/>
                <w:sz w:val="18"/>
                <w:szCs w:val="18"/>
              </w:rPr>
              <w:t>-Terpinene/Total Terpinenes</w:t>
            </w:r>
          </w:p>
        </w:tc>
        <w:tc>
          <w:tcPr>
            <w:tcW w:w="1121" w:type="dxa"/>
            <w:tcBorders>
              <w:top w:val="nil"/>
              <w:left w:val="nil"/>
              <w:bottom w:val="nil"/>
              <w:right w:val="nil"/>
            </w:tcBorders>
            <w:noWrap/>
            <w:vAlign w:val="bottom"/>
            <w:hideMark/>
          </w:tcPr>
          <w:p w14:paraId="468A535E" w14:textId="77777777" w:rsidR="00BB138C" w:rsidRPr="00EF6679" w:rsidRDefault="00BB138C" w:rsidP="00820288">
            <w:pPr>
              <w:spacing w:line="240" w:lineRule="auto"/>
              <w:jc w:val="center"/>
              <w:rPr>
                <w:rFonts w:ascii="Times New Roman" w:eastAsia="Times New Roman" w:hAnsi="Times New Roman" w:cs="Times New Roman"/>
                <w:color w:val="000000" w:themeColor="text1"/>
                <w:sz w:val="20"/>
                <w:szCs w:val="20"/>
              </w:rPr>
            </w:pPr>
            <w:r w:rsidRPr="00EF6679">
              <w:rPr>
                <w:rFonts w:ascii="Times New Roman" w:hAnsi="Times New Roman" w:cs="Times New Roman"/>
                <w:color w:val="000000" w:themeColor="text1"/>
                <w:sz w:val="20"/>
                <w:szCs w:val="20"/>
              </w:rPr>
              <w:t>5.16</w:t>
            </w:r>
          </w:p>
        </w:tc>
        <w:tc>
          <w:tcPr>
            <w:tcW w:w="934" w:type="dxa"/>
            <w:tcBorders>
              <w:top w:val="nil"/>
              <w:left w:val="nil"/>
              <w:bottom w:val="nil"/>
              <w:right w:val="nil"/>
            </w:tcBorders>
            <w:noWrap/>
            <w:vAlign w:val="bottom"/>
            <w:hideMark/>
          </w:tcPr>
          <w:p w14:paraId="43AD0E98" w14:textId="77777777" w:rsidR="00BB138C" w:rsidRPr="00EF6679" w:rsidRDefault="00BB138C" w:rsidP="00820288">
            <w:pPr>
              <w:spacing w:line="240" w:lineRule="auto"/>
              <w:jc w:val="center"/>
              <w:rPr>
                <w:rFonts w:ascii="Times New Roman" w:eastAsia="Times New Roman" w:hAnsi="Times New Roman" w:cs="Times New Roman"/>
                <w:color w:val="000000" w:themeColor="text1"/>
                <w:sz w:val="20"/>
                <w:szCs w:val="20"/>
              </w:rPr>
            </w:pPr>
            <w:r w:rsidRPr="00EF6679">
              <w:rPr>
                <w:rFonts w:ascii="Times New Roman" w:hAnsi="Times New Roman" w:cs="Times New Roman"/>
                <w:color w:val="000000" w:themeColor="text1"/>
                <w:sz w:val="20"/>
                <w:szCs w:val="20"/>
              </w:rPr>
              <w:t>1.24</w:t>
            </w:r>
          </w:p>
        </w:tc>
        <w:tc>
          <w:tcPr>
            <w:tcW w:w="1121" w:type="dxa"/>
            <w:tcBorders>
              <w:top w:val="nil"/>
              <w:left w:val="nil"/>
              <w:bottom w:val="nil"/>
              <w:right w:val="nil"/>
            </w:tcBorders>
            <w:noWrap/>
            <w:vAlign w:val="bottom"/>
            <w:hideMark/>
          </w:tcPr>
          <w:p w14:paraId="6115C811" w14:textId="77777777" w:rsidR="00BB138C" w:rsidRPr="00EF6679" w:rsidRDefault="00BB138C" w:rsidP="00820288">
            <w:pPr>
              <w:spacing w:line="240" w:lineRule="auto"/>
              <w:jc w:val="center"/>
              <w:rPr>
                <w:rFonts w:ascii="Times New Roman" w:eastAsia="Times New Roman" w:hAnsi="Times New Roman" w:cs="Times New Roman"/>
                <w:color w:val="000000" w:themeColor="text1"/>
                <w:sz w:val="20"/>
                <w:szCs w:val="20"/>
              </w:rPr>
            </w:pPr>
            <w:r w:rsidRPr="00EF6679">
              <w:rPr>
                <w:rFonts w:ascii="Times New Roman" w:hAnsi="Times New Roman" w:cs="Times New Roman"/>
                <w:color w:val="000000" w:themeColor="text1"/>
                <w:sz w:val="20"/>
                <w:szCs w:val="20"/>
              </w:rPr>
              <w:t>1.45</w:t>
            </w:r>
          </w:p>
        </w:tc>
        <w:tc>
          <w:tcPr>
            <w:tcW w:w="532" w:type="dxa"/>
            <w:tcBorders>
              <w:top w:val="nil"/>
              <w:left w:val="nil"/>
              <w:bottom w:val="nil"/>
              <w:right w:val="nil"/>
            </w:tcBorders>
            <w:noWrap/>
            <w:vAlign w:val="bottom"/>
          </w:tcPr>
          <w:p w14:paraId="1BA90EC4" w14:textId="77777777" w:rsidR="00BB138C" w:rsidRPr="00EF6679" w:rsidRDefault="00BB138C" w:rsidP="00820288">
            <w:pPr>
              <w:spacing w:line="240" w:lineRule="auto"/>
              <w:jc w:val="right"/>
              <w:rPr>
                <w:rFonts w:ascii="Times New Roman" w:eastAsia="Times New Roman" w:hAnsi="Times New Roman" w:cs="Times New Roman"/>
                <w:color w:val="000000" w:themeColor="text1"/>
                <w:sz w:val="20"/>
                <w:szCs w:val="20"/>
              </w:rPr>
            </w:pPr>
          </w:p>
        </w:tc>
        <w:tc>
          <w:tcPr>
            <w:tcW w:w="1121" w:type="dxa"/>
            <w:tcBorders>
              <w:top w:val="nil"/>
              <w:left w:val="nil"/>
              <w:bottom w:val="nil"/>
              <w:right w:val="nil"/>
            </w:tcBorders>
            <w:noWrap/>
            <w:vAlign w:val="bottom"/>
            <w:hideMark/>
          </w:tcPr>
          <w:p w14:paraId="3FA83FD5" w14:textId="77777777" w:rsidR="00BB138C" w:rsidRPr="00EF6679" w:rsidRDefault="00BB138C" w:rsidP="00820288">
            <w:pPr>
              <w:spacing w:line="240" w:lineRule="auto"/>
              <w:jc w:val="center"/>
              <w:rPr>
                <w:rFonts w:ascii="Times New Roman" w:eastAsia="Times New Roman" w:hAnsi="Times New Roman" w:cs="Times New Roman"/>
                <w:color w:val="000000" w:themeColor="text1"/>
                <w:sz w:val="20"/>
                <w:szCs w:val="20"/>
              </w:rPr>
            </w:pPr>
            <w:r w:rsidRPr="00EF6679">
              <w:rPr>
                <w:rFonts w:ascii="Times New Roman" w:hAnsi="Times New Roman" w:cs="Times New Roman"/>
                <w:color w:val="000000" w:themeColor="text1"/>
                <w:sz w:val="20"/>
                <w:szCs w:val="20"/>
              </w:rPr>
              <w:t>0.0241</w:t>
            </w:r>
          </w:p>
        </w:tc>
        <w:tc>
          <w:tcPr>
            <w:tcW w:w="934" w:type="dxa"/>
            <w:tcBorders>
              <w:top w:val="nil"/>
              <w:left w:val="nil"/>
              <w:bottom w:val="nil"/>
              <w:right w:val="nil"/>
            </w:tcBorders>
            <w:noWrap/>
            <w:vAlign w:val="bottom"/>
            <w:hideMark/>
          </w:tcPr>
          <w:p w14:paraId="34A5A4EC" w14:textId="77777777" w:rsidR="00BB138C" w:rsidRPr="00EF6679" w:rsidRDefault="00BB138C" w:rsidP="00820288">
            <w:pPr>
              <w:spacing w:line="240" w:lineRule="auto"/>
              <w:jc w:val="center"/>
              <w:rPr>
                <w:rFonts w:ascii="Times New Roman" w:eastAsia="Times New Roman" w:hAnsi="Times New Roman" w:cs="Times New Roman"/>
                <w:color w:val="000000" w:themeColor="text1"/>
                <w:sz w:val="20"/>
                <w:szCs w:val="20"/>
              </w:rPr>
            </w:pPr>
            <w:r w:rsidRPr="00EF6679">
              <w:rPr>
                <w:rFonts w:ascii="Times New Roman" w:hAnsi="Times New Roman" w:cs="Times New Roman"/>
                <w:color w:val="000000" w:themeColor="text1"/>
                <w:sz w:val="20"/>
                <w:szCs w:val="20"/>
              </w:rPr>
              <w:t>0.2606</w:t>
            </w:r>
          </w:p>
        </w:tc>
        <w:tc>
          <w:tcPr>
            <w:tcW w:w="1121" w:type="dxa"/>
            <w:tcBorders>
              <w:top w:val="nil"/>
              <w:left w:val="nil"/>
              <w:bottom w:val="nil"/>
              <w:right w:val="nil"/>
            </w:tcBorders>
            <w:noWrap/>
            <w:vAlign w:val="bottom"/>
            <w:hideMark/>
          </w:tcPr>
          <w:p w14:paraId="51B4C3B5" w14:textId="77777777" w:rsidR="00BB138C" w:rsidRPr="00EF6679" w:rsidRDefault="00BB138C" w:rsidP="00820288">
            <w:pPr>
              <w:spacing w:line="240" w:lineRule="auto"/>
              <w:jc w:val="center"/>
              <w:rPr>
                <w:rFonts w:ascii="Times New Roman" w:eastAsia="Times New Roman" w:hAnsi="Times New Roman" w:cs="Times New Roman"/>
                <w:color w:val="000000" w:themeColor="text1"/>
                <w:sz w:val="20"/>
                <w:szCs w:val="20"/>
              </w:rPr>
            </w:pPr>
            <w:r w:rsidRPr="00EF6679">
              <w:rPr>
                <w:rFonts w:ascii="Times New Roman" w:hAnsi="Times New Roman" w:cs="Times New Roman"/>
                <w:color w:val="000000" w:themeColor="text1"/>
                <w:sz w:val="20"/>
                <w:szCs w:val="20"/>
              </w:rPr>
              <w:t>0.1525</w:t>
            </w:r>
          </w:p>
        </w:tc>
      </w:tr>
      <w:tr w:rsidR="00BB138C" w:rsidRPr="00EF6679" w14:paraId="4E754918" w14:textId="77777777" w:rsidTr="0082028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trHeight w:val="201"/>
        </w:trPr>
        <w:tc>
          <w:tcPr>
            <w:tcW w:w="2588" w:type="dxa"/>
            <w:tcBorders>
              <w:top w:val="nil"/>
              <w:left w:val="nil"/>
              <w:bottom w:val="nil"/>
              <w:right w:val="nil"/>
            </w:tcBorders>
            <w:noWrap/>
            <w:vAlign w:val="bottom"/>
            <w:hideMark/>
          </w:tcPr>
          <w:p w14:paraId="7DDF7BC5" w14:textId="77777777" w:rsidR="00BB138C" w:rsidRPr="00EF6679" w:rsidRDefault="00BB138C" w:rsidP="00820288">
            <w:pPr>
              <w:spacing w:line="240" w:lineRule="auto"/>
              <w:rPr>
                <w:rFonts w:ascii="Times New Roman" w:eastAsia="Times New Roman" w:hAnsi="Times New Roman" w:cs="Times New Roman"/>
                <w:color w:val="000000" w:themeColor="text1"/>
                <w:sz w:val="18"/>
                <w:szCs w:val="18"/>
              </w:rPr>
            </w:pPr>
            <w:r w:rsidRPr="00EF6679">
              <w:rPr>
                <w:rFonts w:ascii="Times New Roman" w:hAnsi="Times New Roman" w:cs="Times New Roman"/>
                <w:color w:val="000000" w:themeColor="text1"/>
                <w:sz w:val="18"/>
                <w:szCs w:val="18"/>
              </w:rPr>
              <w:t>Terpinolene/Total Terpinenes</w:t>
            </w:r>
          </w:p>
        </w:tc>
        <w:tc>
          <w:tcPr>
            <w:tcW w:w="1121" w:type="dxa"/>
            <w:tcBorders>
              <w:top w:val="nil"/>
              <w:left w:val="nil"/>
              <w:bottom w:val="nil"/>
              <w:right w:val="nil"/>
            </w:tcBorders>
            <w:noWrap/>
            <w:vAlign w:val="bottom"/>
            <w:hideMark/>
          </w:tcPr>
          <w:p w14:paraId="019C282F" w14:textId="77777777" w:rsidR="00BB138C" w:rsidRPr="00EF6679" w:rsidRDefault="00BB138C" w:rsidP="00820288">
            <w:pPr>
              <w:spacing w:line="240" w:lineRule="auto"/>
              <w:jc w:val="center"/>
              <w:rPr>
                <w:rFonts w:ascii="Times New Roman" w:eastAsia="Times New Roman" w:hAnsi="Times New Roman" w:cs="Times New Roman"/>
                <w:color w:val="000000" w:themeColor="text1"/>
                <w:sz w:val="20"/>
                <w:szCs w:val="20"/>
              </w:rPr>
            </w:pPr>
            <w:r w:rsidRPr="00EF6679">
              <w:rPr>
                <w:rFonts w:ascii="Times New Roman" w:hAnsi="Times New Roman" w:cs="Times New Roman"/>
                <w:color w:val="000000" w:themeColor="text1"/>
                <w:sz w:val="20"/>
                <w:szCs w:val="20"/>
              </w:rPr>
              <w:t>2.66</w:t>
            </w:r>
          </w:p>
        </w:tc>
        <w:tc>
          <w:tcPr>
            <w:tcW w:w="934" w:type="dxa"/>
            <w:tcBorders>
              <w:top w:val="nil"/>
              <w:left w:val="nil"/>
              <w:bottom w:val="nil"/>
              <w:right w:val="nil"/>
            </w:tcBorders>
            <w:noWrap/>
            <w:vAlign w:val="bottom"/>
            <w:hideMark/>
          </w:tcPr>
          <w:p w14:paraId="5EBE510A" w14:textId="77777777" w:rsidR="00BB138C" w:rsidRPr="00EF6679" w:rsidRDefault="00BB138C" w:rsidP="00820288">
            <w:pPr>
              <w:spacing w:line="240" w:lineRule="auto"/>
              <w:jc w:val="center"/>
              <w:rPr>
                <w:rFonts w:ascii="Times New Roman" w:eastAsia="Times New Roman" w:hAnsi="Times New Roman" w:cs="Times New Roman"/>
                <w:color w:val="000000" w:themeColor="text1"/>
                <w:sz w:val="20"/>
                <w:szCs w:val="20"/>
              </w:rPr>
            </w:pPr>
            <w:r w:rsidRPr="00EF6679">
              <w:rPr>
                <w:rFonts w:ascii="Times New Roman" w:hAnsi="Times New Roman" w:cs="Times New Roman"/>
                <w:color w:val="000000" w:themeColor="text1"/>
                <w:sz w:val="20"/>
                <w:szCs w:val="20"/>
              </w:rPr>
              <w:t>1.17</w:t>
            </w:r>
          </w:p>
        </w:tc>
        <w:tc>
          <w:tcPr>
            <w:tcW w:w="1121" w:type="dxa"/>
            <w:tcBorders>
              <w:top w:val="nil"/>
              <w:left w:val="nil"/>
              <w:bottom w:val="nil"/>
              <w:right w:val="nil"/>
            </w:tcBorders>
            <w:noWrap/>
            <w:vAlign w:val="bottom"/>
            <w:hideMark/>
          </w:tcPr>
          <w:p w14:paraId="4637CECA" w14:textId="77777777" w:rsidR="00BB138C" w:rsidRPr="00EF6679" w:rsidRDefault="00BB138C" w:rsidP="00820288">
            <w:pPr>
              <w:spacing w:line="240" w:lineRule="auto"/>
              <w:jc w:val="center"/>
              <w:rPr>
                <w:rFonts w:ascii="Times New Roman" w:eastAsia="Times New Roman" w:hAnsi="Times New Roman" w:cs="Times New Roman"/>
                <w:color w:val="000000" w:themeColor="text1"/>
                <w:sz w:val="20"/>
                <w:szCs w:val="20"/>
              </w:rPr>
            </w:pPr>
            <w:r w:rsidRPr="00EF6679">
              <w:rPr>
                <w:rFonts w:ascii="Times New Roman" w:hAnsi="Times New Roman" w:cs="Times New Roman"/>
                <w:color w:val="000000" w:themeColor="text1"/>
                <w:sz w:val="20"/>
                <w:szCs w:val="20"/>
              </w:rPr>
              <w:t>1.42</w:t>
            </w:r>
          </w:p>
        </w:tc>
        <w:tc>
          <w:tcPr>
            <w:tcW w:w="532" w:type="dxa"/>
            <w:tcBorders>
              <w:top w:val="nil"/>
              <w:left w:val="nil"/>
              <w:bottom w:val="nil"/>
              <w:right w:val="nil"/>
            </w:tcBorders>
            <w:noWrap/>
            <w:vAlign w:val="bottom"/>
          </w:tcPr>
          <w:p w14:paraId="6604FEBC" w14:textId="77777777" w:rsidR="00BB138C" w:rsidRPr="00EF6679" w:rsidRDefault="00BB138C" w:rsidP="00820288">
            <w:pPr>
              <w:spacing w:line="240" w:lineRule="auto"/>
              <w:jc w:val="right"/>
              <w:rPr>
                <w:rFonts w:ascii="Times New Roman" w:eastAsia="Times New Roman" w:hAnsi="Times New Roman" w:cs="Times New Roman"/>
                <w:color w:val="000000" w:themeColor="text1"/>
                <w:sz w:val="20"/>
                <w:szCs w:val="20"/>
              </w:rPr>
            </w:pPr>
          </w:p>
        </w:tc>
        <w:tc>
          <w:tcPr>
            <w:tcW w:w="1121" w:type="dxa"/>
            <w:tcBorders>
              <w:top w:val="nil"/>
              <w:left w:val="nil"/>
              <w:bottom w:val="nil"/>
              <w:right w:val="nil"/>
            </w:tcBorders>
            <w:noWrap/>
            <w:vAlign w:val="bottom"/>
            <w:hideMark/>
          </w:tcPr>
          <w:p w14:paraId="68AD6CF4" w14:textId="77777777" w:rsidR="00BB138C" w:rsidRPr="00EF6679" w:rsidRDefault="00BB138C" w:rsidP="00820288">
            <w:pPr>
              <w:spacing w:line="240" w:lineRule="auto"/>
              <w:jc w:val="center"/>
              <w:rPr>
                <w:rFonts w:ascii="Times New Roman" w:eastAsia="Times New Roman" w:hAnsi="Times New Roman" w:cs="Times New Roman"/>
                <w:color w:val="000000" w:themeColor="text1"/>
                <w:sz w:val="20"/>
                <w:szCs w:val="20"/>
              </w:rPr>
            </w:pPr>
            <w:r w:rsidRPr="00EF6679">
              <w:rPr>
                <w:rFonts w:ascii="Times New Roman" w:hAnsi="Times New Roman" w:cs="Times New Roman"/>
                <w:color w:val="000000" w:themeColor="text1"/>
                <w:sz w:val="20"/>
                <w:szCs w:val="20"/>
              </w:rPr>
              <w:t>0.1044</w:t>
            </w:r>
          </w:p>
        </w:tc>
        <w:tc>
          <w:tcPr>
            <w:tcW w:w="934" w:type="dxa"/>
            <w:tcBorders>
              <w:top w:val="nil"/>
              <w:left w:val="nil"/>
              <w:bottom w:val="nil"/>
              <w:right w:val="nil"/>
            </w:tcBorders>
            <w:noWrap/>
            <w:vAlign w:val="bottom"/>
            <w:hideMark/>
          </w:tcPr>
          <w:p w14:paraId="6039B3BE" w14:textId="77777777" w:rsidR="00BB138C" w:rsidRPr="00EF6679" w:rsidRDefault="00BB138C" w:rsidP="00820288">
            <w:pPr>
              <w:spacing w:line="240" w:lineRule="auto"/>
              <w:jc w:val="center"/>
              <w:rPr>
                <w:rFonts w:ascii="Times New Roman" w:eastAsia="Times New Roman" w:hAnsi="Times New Roman" w:cs="Times New Roman"/>
                <w:color w:val="000000" w:themeColor="text1"/>
                <w:sz w:val="20"/>
                <w:szCs w:val="20"/>
              </w:rPr>
            </w:pPr>
            <w:r w:rsidRPr="00EF6679">
              <w:rPr>
                <w:rFonts w:ascii="Times New Roman" w:hAnsi="Times New Roman" w:cs="Times New Roman"/>
                <w:color w:val="000000" w:themeColor="text1"/>
                <w:sz w:val="20"/>
                <w:szCs w:val="20"/>
              </w:rPr>
              <w:t>0.3074</w:t>
            </w:r>
          </w:p>
        </w:tc>
        <w:tc>
          <w:tcPr>
            <w:tcW w:w="1121" w:type="dxa"/>
            <w:tcBorders>
              <w:top w:val="nil"/>
              <w:left w:val="nil"/>
              <w:bottom w:val="nil"/>
              <w:right w:val="nil"/>
            </w:tcBorders>
            <w:noWrap/>
            <w:vAlign w:val="bottom"/>
            <w:hideMark/>
          </w:tcPr>
          <w:p w14:paraId="20B15778" w14:textId="77777777" w:rsidR="00BB138C" w:rsidRPr="00EF6679" w:rsidRDefault="00BB138C" w:rsidP="00820288">
            <w:pPr>
              <w:spacing w:line="240" w:lineRule="auto"/>
              <w:jc w:val="center"/>
              <w:rPr>
                <w:rFonts w:ascii="Times New Roman" w:eastAsia="Times New Roman" w:hAnsi="Times New Roman" w:cs="Times New Roman"/>
                <w:color w:val="000000" w:themeColor="text1"/>
                <w:sz w:val="20"/>
                <w:szCs w:val="20"/>
              </w:rPr>
            </w:pPr>
            <w:r w:rsidRPr="00EF6679">
              <w:rPr>
                <w:rFonts w:ascii="Times New Roman" w:hAnsi="Times New Roman" w:cs="Times New Roman"/>
                <w:color w:val="000000" w:themeColor="text1"/>
                <w:sz w:val="20"/>
                <w:szCs w:val="20"/>
              </w:rPr>
              <w:t>0.1674</w:t>
            </w:r>
          </w:p>
        </w:tc>
      </w:tr>
      <w:tr w:rsidR="00BB138C" w:rsidRPr="00EF6679" w14:paraId="0D7ACD4A" w14:textId="77777777" w:rsidTr="0082028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trHeight w:val="201"/>
        </w:trPr>
        <w:tc>
          <w:tcPr>
            <w:tcW w:w="2588" w:type="dxa"/>
            <w:tcBorders>
              <w:top w:val="nil"/>
              <w:left w:val="nil"/>
              <w:bottom w:val="single" w:sz="4" w:space="0" w:color="auto"/>
              <w:right w:val="nil"/>
            </w:tcBorders>
            <w:noWrap/>
            <w:vAlign w:val="bottom"/>
          </w:tcPr>
          <w:p w14:paraId="048207E5" w14:textId="77777777" w:rsidR="00BB138C" w:rsidRPr="00EF6679" w:rsidRDefault="00BB138C" w:rsidP="00820288">
            <w:pPr>
              <w:spacing w:line="240" w:lineRule="auto"/>
              <w:rPr>
                <w:rFonts w:ascii="Times New Roman" w:hAnsi="Times New Roman" w:cs="Times New Roman"/>
                <w:color w:val="000000" w:themeColor="text1"/>
                <w:sz w:val="18"/>
                <w:szCs w:val="18"/>
              </w:rPr>
            </w:pPr>
            <w:r w:rsidRPr="00EF6679">
              <w:rPr>
                <w:rFonts w:ascii="Times New Roman" w:hAnsi="Times New Roman" w:cs="Times New Roman"/>
                <w:color w:val="000000" w:themeColor="text1"/>
                <w:sz w:val="18"/>
                <w:szCs w:val="18"/>
              </w:rPr>
              <w:t>Terpinene Total (α+β+δ)</w:t>
            </w:r>
          </w:p>
        </w:tc>
        <w:tc>
          <w:tcPr>
            <w:tcW w:w="1121" w:type="dxa"/>
            <w:tcBorders>
              <w:top w:val="nil"/>
              <w:left w:val="nil"/>
              <w:bottom w:val="single" w:sz="4" w:space="0" w:color="auto"/>
              <w:right w:val="nil"/>
            </w:tcBorders>
            <w:noWrap/>
            <w:vAlign w:val="bottom"/>
          </w:tcPr>
          <w:p w14:paraId="0B759E6E" w14:textId="77777777" w:rsidR="00BB138C" w:rsidRPr="00EF6679" w:rsidRDefault="00BB138C" w:rsidP="00820288">
            <w:pPr>
              <w:spacing w:line="240" w:lineRule="auto"/>
              <w:jc w:val="center"/>
              <w:rPr>
                <w:rFonts w:ascii="Times New Roman" w:hAnsi="Times New Roman" w:cs="Times New Roman"/>
                <w:color w:val="000000" w:themeColor="text1"/>
                <w:sz w:val="20"/>
                <w:szCs w:val="20"/>
              </w:rPr>
            </w:pPr>
            <w:r w:rsidRPr="00EF6679">
              <w:rPr>
                <w:rFonts w:ascii="Times New Roman" w:hAnsi="Times New Roman" w:cs="Times New Roman"/>
                <w:color w:val="000000" w:themeColor="text1"/>
                <w:sz w:val="20"/>
                <w:szCs w:val="20"/>
              </w:rPr>
              <w:t>5.15</w:t>
            </w:r>
          </w:p>
        </w:tc>
        <w:tc>
          <w:tcPr>
            <w:tcW w:w="934" w:type="dxa"/>
            <w:tcBorders>
              <w:top w:val="nil"/>
              <w:left w:val="nil"/>
              <w:bottom w:val="single" w:sz="4" w:space="0" w:color="auto"/>
              <w:right w:val="nil"/>
            </w:tcBorders>
            <w:noWrap/>
            <w:vAlign w:val="bottom"/>
          </w:tcPr>
          <w:p w14:paraId="3A4BAB51" w14:textId="77777777" w:rsidR="00BB138C" w:rsidRPr="00EF6679" w:rsidRDefault="00BB138C" w:rsidP="00820288">
            <w:pPr>
              <w:spacing w:line="240" w:lineRule="auto"/>
              <w:jc w:val="center"/>
              <w:rPr>
                <w:rFonts w:ascii="Times New Roman" w:hAnsi="Times New Roman" w:cs="Times New Roman"/>
                <w:color w:val="000000" w:themeColor="text1"/>
                <w:sz w:val="20"/>
                <w:szCs w:val="20"/>
              </w:rPr>
            </w:pPr>
            <w:r w:rsidRPr="00EF6679">
              <w:rPr>
                <w:rFonts w:ascii="Times New Roman" w:hAnsi="Times New Roman" w:cs="Times New Roman"/>
                <w:color w:val="000000" w:themeColor="text1"/>
                <w:sz w:val="20"/>
                <w:szCs w:val="20"/>
              </w:rPr>
              <w:t>1.08</w:t>
            </w:r>
          </w:p>
        </w:tc>
        <w:tc>
          <w:tcPr>
            <w:tcW w:w="1121" w:type="dxa"/>
            <w:tcBorders>
              <w:top w:val="nil"/>
              <w:left w:val="nil"/>
              <w:bottom w:val="single" w:sz="4" w:space="0" w:color="auto"/>
              <w:right w:val="nil"/>
            </w:tcBorders>
            <w:noWrap/>
            <w:vAlign w:val="bottom"/>
          </w:tcPr>
          <w:p w14:paraId="03F8159A" w14:textId="77777777" w:rsidR="00BB138C" w:rsidRPr="00EF6679" w:rsidRDefault="00BB138C" w:rsidP="00820288">
            <w:pPr>
              <w:spacing w:line="240" w:lineRule="auto"/>
              <w:jc w:val="center"/>
              <w:rPr>
                <w:rFonts w:ascii="Times New Roman" w:hAnsi="Times New Roman" w:cs="Times New Roman"/>
                <w:color w:val="000000" w:themeColor="text1"/>
                <w:sz w:val="20"/>
                <w:szCs w:val="20"/>
              </w:rPr>
            </w:pPr>
            <w:r w:rsidRPr="00EF6679">
              <w:rPr>
                <w:rFonts w:ascii="Times New Roman" w:hAnsi="Times New Roman" w:cs="Times New Roman"/>
                <w:color w:val="000000" w:themeColor="text1"/>
                <w:sz w:val="20"/>
                <w:szCs w:val="20"/>
              </w:rPr>
              <w:t>1.34</w:t>
            </w:r>
          </w:p>
        </w:tc>
        <w:tc>
          <w:tcPr>
            <w:tcW w:w="532" w:type="dxa"/>
            <w:tcBorders>
              <w:top w:val="nil"/>
              <w:left w:val="nil"/>
              <w:bottom w:val="single" w:sz="4" w:space="0" w:color="auto"/>
              <w:right w:val="nil"/>
            </w:tcBorders>
            <w:noWrap/>
            <w:vAlign w:val="bottom"/>
          </w:tcPr>
          <w:p w14:paraId="5F6159E2" w14:textId="77777777" w:rsidR="00BB138C" w:rsidRPr="00EF6679" w:rsidRDefault="00BB138C" w:rsidP="00820288">
            <w:pPr>
              <w:spacing w:line="240" w:lineRule="auto"/>
              <w:jc w:val="right"/>
              <w:rPr>
                <w:rFonts w:ascii="Times New Roman" w:eastAsia="Times New Roman" w:hAnsi="Times New Roman" w:cs="Times New Roman"/>
                <w:color w:val="000000" w:themeColor="text1"/>
                <w:sz w:val="20"/>
                <w:szCs w:val="20"/>
              </w:rPr>
            </w:pPr>
          </w:p>
        </w:tc>
        <w:tc>
          <w:tcPr>
            <w:tcW w:w="1121" w:type="dxa"/>
            <w:tcBorders>
              <w:top w:val="nil"/>
              <w:left w:val="nil"/>
              <w:bottom w:val="single" w:sz="4" w:space="0" w:color="auto"/>
              <w:right w:val="nil"/>
            </w:tcBorders>
            <w:noWrap/>
            <w:vAlign w:val="bottom"/>
          </w:tcPr>
          <w:p w14:paraId="34C221FF" w14:textId="77777777" w:rsidR="00BB138C" w:rsidRPr="00EF6679" w:rsidRDefault="00BB138C" w:rsidP="00820288">
            <w:pPr>
              <w:spacing w:line="240" w:lineRule="auto"/>
              <w:jc w:val="center"/>
              <w:rPr>
                <w:rFonts w:ascii="Times New Roman" w:hAnsi="Times New Roman" w:cs="Times New Roman"/>
                <w:color w:val="000000" w:themeColor="text1"/>
                <w:sz w:val="20"/>
                <w:szCs w:val="20"/>
              </w:rPr>
            </w:pPr>
            <w:r w:rsidRPr="00EF6679">
              <w:rPr>
                <w:rFonts w:ascii="Times New Roman" w:hAnsi="Times New Roman" w:cs="Times New Roman"/>
                <w:color w:val="000000" w:themeColor="text1"/>
                <w:sz w:val="20"/>
                <w:szCs w:val="20"/>
              </w:rPr>
              <w:t>0.0421</w:t>
            </w:r>
          </w:p>
        </w:tc>
        <w:tc>
          <w:tcPr>
            <w:tcW w:w="934" w:type="dxa"/>
            <w:tcBorders>
              <w:top w:val="nil"/>
              <w:left w:val="nil"/>
              <w:bottom w:val="single" w:sz="4" w:space="0" w:color="auto"/>
              <w:right w:val="nil"/>
            </w:tcBorders>
            <w:noWrap/>
            <w:vAlign w:val="bottom"/>
          </w:tcPr>
          <w:p w14:paraId="169F06E3" w14:textId="77777777" w:rsidR="00BB138C" w:rsidRPr="00EF6679" w:rsidRDefault="00BB138C" w:rsidP="00820288">
            <w:pPr>
              <w:spacing w:line="240" w:lineRule="auto"/>
              <w:jc w:val="center"/>
              <w:rPr>
                <w:rFonts w:ascii="Times New Roman" w:hAnsi="Times New Roman" w:cs="Times New Roman"/>
                <w:color w:val="000000" w:themeColor="text1"/>
                <w:sz w:val="20"/>
                <w:szCs w:val="20"/>
              </w:rPr>
            </w:pPr>
            <w:r w:rsidRPr="00EF6679">
              <w:rPr>
                <w:rFonts w:ascii="Times New Roman" w:hAnsi="Times New Roman" w:cs="Times New Roman"/>
                <w:color w:val="000000" w:themeColor="text1"/>
                <w:sz w:val="20"/>
                <w:szCs w:val="20"/>
              </w:rPr>
              <w:t>0.0011</w:t>
            </w:r>
          </w:p>
        </w:tc>
        <w:tc>
          <w:tcPr>
            <w:tcW w:w="1121" w:type="dxa"/>
            <w:tcBorders>
              <w:top w:val="nil"/>
              <w:left w:val="nil"/>
              <w:bottom w:val="single" w:sz="4" w:space="0" w:color="auto"/>
              <w:right w:val="nil"/>
            </w:tcBorders>
            <w:noWrap/>
            <w:vAlign w:val="bottom"/>
          </w:tcPr>
          <w:p w14:paraId="6DD7DE5F" w14:textId="77777777" w:rsidR="00BB138C" w:rsidRPr="00EF6679" w:rsidRDefault="00BB138C" w:rsidP="00820288">
            <w:pPr>
              <w:spacing w:line="240" w:lineRule="auto"/>
              <w:jc w:val="center"/>
              <w:rPr>
                <w:rFonts w:ascii="Times New Roman" w:hAnsi="Times New Roman" w:cs="Times New Roman"/>
                <w:color w:val="000000" w:themeColor="text1"/>
                <w:sz w:val="20"/>
                <w:szCs w:val="20"/>
              </w:rPr>
            </w:pPr>
            <w:r w:rsidRPr="00EF6679">
              <w:rPr>
                <w:rFonts w:ascii="Times New Roman" w:hAnsi="Times New Roman" w:cs="Times New Roman"/>
                <w:color w:val="000000" w:themeColor="text1"/>
                <w:sz w:val="20"/>
                <w:szCs w:val="20"/>
              </w:rPr>
              <w:t>0.0005</w:t>
            </w:r>
          </w:p>
        </w:tc>
      </w:tr>
    </w:tbl>
    <w:p w14:paraId="3B223D37" w14:textId="77777777" w:rsidR="00BB138C" w:rsidRPr="00EF6679" w:rsidRDefault="00BB138C" w:rsidP="00BB138C">
      <w:pPr>
        <w:spacing w:line="240" w:lineRule="auto"/>
        <w:rPr>
          <w:rFonts w:cs="Times New Roman"/>
          <w:color w:val="000000" w:themeColor="text1"/>
          <w:sz w:val="14"/>
          <w:szCs w:val="14"/>
        </w:rPr>
      </w:pPr>
      <w:r w:rsidRPr="00EF6679">
        <w:rPr>
          <w:rFonts w:cs="Times New Roman"/>
          <w:color w:val="000000" w:themeColor="text1"/>
          <w:sz w:val="14"/>
          <w:szCs w:val="14"/>
        </w:rPr>
        <w:br w:type="page"/>
      </w:r>
    </w:p>
    <w:p w14:paraId="2B933CB3" w14:textId="1D345366" w:rsidR="00BB138C" w:rsidRPr="00EF6679" w:rsidRDefault="00BB138C" w:rsidP="006C6A26">
      <w:pPr>
        <w:pStyle w:val="TableTOC"/>
      </w:pPr>
      <w:bookmarkStart w:id="709" w:name="_Toc141478788"/>
      <w:r w:rsidRPr="00EF6679">
        <w:rPr>
          <w:b/>
          <w:bCs/>
        </w:rPr>
        <w:lastRenderedPageBreak/>
        <w:t xml:space="preserve">Table </w:t>
      </w:r>
      <w:r w:rsidR="00BA2365" w:rsidRPr="00EF6679">
        <w:rPr>
          <w:b/>
          <w:bCs/>
        </w:rPr>
        <w:t>5.</w:t>
      </w:r>
      <w:r w:rsidRPr="00EF6679">
        <w:rPr>
          <w:b/>
          <w:bCs/>
        </w:rPr>
        <w:t xml:space="preserve">4. </w:t>
      </w:r>
      <w:r w:rsidRPr="00EF6679">
        <w:t>Influence of growing season on aroma volatile tissue concentrations in hydroponically grown greenhouse sweet basil (</w:t>
      </w:r>
      <w:r w:rsidRPr="00EF6679">
        <w:rPr>
          <w:i/>
          <w:iCs/>
        </w:rPr>
        <w:t xml:space="preserve">Ocimum basilicum </w:t>
      </w:r>
      <w:r w:rsidRPr="00EF6679">
        <w:t>var. Genovese).</w:t>
      </w:r>
      <w:bookmarkEnd w:id="709"/>
    </w:p>
    <w:p w14:paraId="4A8C7113" w14:textId="77777777" w:rsidR="00BB138C" w:rsidRPr="00EF6679" w:rsidRDefault="00BB138C" w:rsidP="00BB138C">
      <w:pPr>
        <w:spacing w:line="240" w:lineRule="auto"/>
        <w:rPr>
          <w:rFonts w:cs="Times New Roman"/>
          <w:b/>
          <w:bCs/>
          <w:color w:val="000000" w:themeColor="text1"/>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29" w:type="dxa"/>
          <w:right w:w="0" w:type="dxa"/>
        </w:tblCellMar>
        <w:tblLook w:val="04A0" w:firstRow="1" w:lastRow="0" w:firstColumn="1" w:lastColumn="0" w:noHBand="0" w:noVBand="1"/>
      </w:tblPr>
      <w:tblGrid>
        <w:gridCol w:w="2880"/>
        <w:gridCol w:w="758"/>
        <w:gridCol w:w="366"/>
        <w:gridCol w:w="712"/>
        <w:gridCol w:w="478"/>
      </w:tblGrid>
      <w:tr w:rsidR="00BB138C" w:rsidRPr="00EF6679" w14:paraId="395272D9" w14:textId="77777777" w:rsidTr="00820288">
        <w:trPr>
          <w:trHeight w:val="144"/>
        </w:trPr>
        <w:tc>
          <w:tcPr>
            <w:tcW w:w="2880" w:type="dxa"/>
            <w:vMerge w:val="restart"/>
            <w:tcBorders>
              <w:top w:val="single" w:sz="4" w:space="0" w:color="auto"/>
            </w:tcBorders>
            <w:noWrap/>
            <w:vAlign w:val="bottom"/>
          </w:tcPr>
          <w:p w14:paraId="08DABBC6" w14:textId="77777777" w:rsidR="00BB138C" w:rsidRPr="00EF6679" w:rsidRDefault="00BB138C" w:rsidP="00820288">
            <w:pPr>
              <w:spacing w:line="240" w:lineRule="auto"/>
              <w:rPr>
                <w:rFonts w:ascii="Times New Roman" w:hAnsi="Times New Roman" w:cs="Times New Roman"/>
                <w:b/>
                <w:bCs/>
                <w:color w:val="000000" w:themeColor="text1"/>
                <w:sz w:val="16"/>
                <w:szCs w:val="16"/>
              </w:rPr>
            </w:pPr>
            <w:r w:rsidRPr="00EF6679">
              <w:rPr>
                <w:rFonts w:ascii="Times New Roman" w:hAnsi="Times New Roman" w:cs="Times New Roman"/>
                <w:b/>
                <w:bCs/>
                <w:color w:val="000000" w:themeColor="text1"/>
                <w:sz w:val="16"/>
                <w:szCs w:val="16"/>
              </w:rPr>
              <w:t>Compound Name</w:t>
            </w:r>
          </w:p>
        </w:tc>
        <w:tc>
          <w:tcPr>
            <w:tcW w:w="2314" w:type="dxa"/>
            <w:gridSpan w:val="4"/>
            <w:tcBorders>
              <w:top w:val="single" w:sz="4" w:space="0" w:color="auto"/>
              <w:bottom w:val="single" w:sz="4" w:space="0" w:color="auto"/>
            </w:tcBorders>
            <w:noWrap/>
            <w:vAlign w:val="center"/>
          </w:tcPr>
          <w:p w14:paraId="4A62548D" w14:textId="77777777" w:rsidR="00BB138C" w:rsidRPr="00EF6679" w:rsidRDefault="00BB138C" w:rsidP="00820288">
            <w:pPr>
              <w:tabs>
                <w:tab w:val="left" w:pos="327"/>
              </w:tabs>
              <w:spacing w:line="240" w:lineRule="auto"/>
              <w:jc w:val="center"/>
              <w:rPr>
                <w:rFonts w:ascii="Times New Roman" w:hAnsi="Times New Roman" w:cs="Times New Roman"/>
                <w:b/>
                <w:bCs/>
                <w:color w:val="000000" w:themeColor="text1"/>
                <w:sz w:val="16"/>
                <w:szCs w:val="16"/>
              </w:rPr>
            </w:pPr>
            <w:r w:rsidRPr="00EF6679">
              <w:rPr>
                <w:rFonts w:ascii="Times New Roman" w:hAnsi="Times New Roman" w:cs="Times New Roman"/>
                <w:b/>
                <w:bCs/>
                <w:color w:val="000000" w:themeColor="text1"/>
                <w:sz w:val="16"/>
                <w:szCs w:val="16"/>
              </w:rPr>
              <w:t>Growing Season</w:t>
            </w:r>
          </w:p>
        </w:tc>
      </w:tr>
      <w:tr w:rsidR="00BB138C" w:rsidRPr="00EF6679" w14:paraId="4F64599D" w14:textId="77777777" w:rsidTr="00820288">
        <w:trPr>
          <w:trHeight w:val="144"/>
        </w:trPr>
        <w:tc>
          <w:tcPr>
            <w:tcW w:w="2880" w:type="dxa"/>
            <w:vMerge/>
            <w:tcBorders>
              <w:bottom w:val="single" w:sz="4" w:space="0" w:color="auto"/>
            </w:tcBorders>
            <w:noWrap/>
            <w:vAlign w:val="center"/>
          </w:tcPr>
          <w:p w14:paraId="2B0CCF91" w14:textId="77777777" w:rsidR="00BB138C" w:rsidRPr="00EF6679" w:rsidRDefault="00BB138C" w:rsidP="00820288">
            <w:pPr>
              <w:spacing w:line="240" w:lineRule="auto"/>
              <w:rPr>
                <w:rFonts w:ascii="Times New Roman" w:hAnsi="Times New Roman" w:cs="Times New Roman"/>
                <w:b/>
                <w:bCs/>
                <w:color w:val="000000" w:themeColor="text1"/>
                <w:sz w:val="16"/>
                <w:szCs w:val="16"/>
              </w:rPr>
            </w:pPr>
          </w:p>
        </w:tc>
        <w:tc>
          <w:tcPr>
            <w:tcW w:w="1124" w:type="dxa"/>
            <w:gridSpan w:val="2"/>
            <w:tcBorders>
              <w:top w:val="single" w:sz="4" w:space="0" w:color="auto"/>
              <w:bottom w:val="single" w:sz="4" w:space="0" w:color="auto"/>
            </w:tcBorders>
            <w:noWrap/>
            <w:vAlign w:val="center"/>
          </w:tcPr>
          <w:p w14:paraId="2583B443" w14:textId="77777777" w:rsidR="00BB138C" w:rsidRPr="00EF6679" w:rsidRDefault="00BB138C" w:rsidP="00820288">
            <w:pPr>
              <w:spacing w:line="240" w:lineRule="auto"/>
              <w:jc w:val="center"/>
              <w:rPr>
                <w:rFonts w:ascii="Times New Roman" w:hAnsi="Times New Roman" w:cs="Times New Roman"/>
                <w:b/>
                <w:bCs/>
                <w:color w:val="000000" w:themeColor="text1"/>
                <w:sz w:val="16"/>
                <w:szCs w:val="16"/>
              </w:rPr>
            </w:pPr>
            <w:r w:rsidRPr="00EF6679">
              <w:rPr>
                <w:rFonts w:ascii="Times New Roman" w:hAnsi="Times New Roman" w:cs="Times New Roman"/>
                <w:b/>
                <w:bCs/>
                <w:color w:val="000000" w:themeColor="text1"/>
                <w:sz w:val="16"/>
                <w:szCs w:val="16"/>
              </w:rPr>
              <w:t>Summer</w:t>
            </w:r>
          </w:p>
        </w:tc>
        <w:tc>
          <w:tcPr>
            <w:tcW w:w="1190" w:type="dxa"/>
            <w:gridSpan w:val="2"/>
            <w:tcBorders>
              <w:top w:val="single" w:sz="4" w:space="0" w:color="auto"/>
              <w:bottom w:val="single" w:sz="4" w:space="0" w:color="auto"/>
            </w:tcBorders>
            <w:noWrap/>
            <w:vAlign w:val="center"/>
          </w:tcPr>
          <w:p w14:paraId="48A725DD" w14:textId="77777777" w:rsidR="00BB138C" w:rsidRPr="00EF6679" w:rsidRDefault="00BB138C" w:rsidP="00820288">
            <w:pPr>
              <w:spacing w:line="240" w:lineRule="auto"/>
              <w:jc w:val="center"/>
              <w:rPr>
                <w:rFonts w:ascii="Times New Roman" w:hAnsi="Times New Roman" w:cs="Times New Roman"/>
                <w:b/>
                <w:bCs/>
                <w:color w:val="000000" w:themeColor="text1"/>
                <w:sz w:val="16"/>
                <w:szCs w:val="16"/>
              </w:rPr>
            </w:pPr>
            <w:r w:rsidRPr="00EF6679">
              <w:rPr>
                <w:rFonts w:ascii="Times New Roman" w:hAnsi="Times New Roman" w:cs="Times New Roman"/>
                <w:b/>
                <w:bCs/>
                <w:color w:val="000000" w:themeColor="text1"/>
                <w:sz w:val="16"/>
                <w:szCs w:val="16"/>
              </w:rPr>
              <w:t>Winter</w:t>
            </w:r>
          </w:p>
        </w:tc>
      </w:tr>
      <w:tr w:rsidR="00BB138C" w:rsidRPr="00EF6679" w14:paraId="19E3EC67" w14:textId="77777777" w:rsidTr="00820288">
        <w:trPr>
          <w:trHeight w:val="144"/>
        </w:trPr>
        <w:tc>
          <w:tcPr>
            <w:tcW w:w="2880" w:type="dxa"/>
            <w:tcBorders>
              <w:top w:val="single" w:sz="4" w:space="0" w:color="auto"/>
            </w:tcBorders>
            <w:noWrap/>
            <w:vAlign w:val="bottom"/>
          </w:tcPr>
          <w:p w14:paraId="57CEBD11" w14:textId="77777777" w:rsidR="00BB138C" w:rsidRPr="00EF6679" w:rsidRDefault="00BB138C" w:rsidP="00820288">
            <w:pPr>
              <w:spacing w:line="240" w:lineRule="auto"/>
              <w:rPr>
                <w:rFonts w:ascii="Times New Roman" w:hAnsi="Times New Roman" w:cs="Times New Roman"/>
                <w:b/>
                <w:bCs/>
                <w:color w:val="000000" w:themeColor="text1"/>
                <w:sz w:val="16"/>
                <w:szCs w:val="16"/>
              </w:rPr>
            </w:pPr>
            <w:r w:rsidRPr="00EF6679">
              <w:rPr>
                <w:rFonts w:ascii="Times New Roman" w:hAnsi="Times New Roman" w:cs="Times New Roman"/>
                <w:color w:val="000000" w:themeColor="text1"/>
                <w:sz w:val="16"/>
                <w:szCs w:val="16"/>
              </w:rPr>
              <w:t xml:space="preserve">Propanal                 </w:t>
            </w:r>
          </w:p>
        </w:tc>
        <w:tc>
          <w:tcPr>
            <w:tcW w:w="758" w:type="dxa"/>
            <w:tcBorders>
              <w:top w:val="single" w:sz="4" w:space="0" w:color="auto"/>
            </w:tcBorders>
            <w:noWrap/>
            <w:vAlign w:val="center"/>
          </w:tcPr>
          <w:p w14:paraId="313817A2" w14:textId="77777777" w:rsidR="00BB138C" w:rsidRPr="00EF6679" w:rsidRDefault="00BB138C" w:rsidP="00820288">
            <w:pPr>
              <w:spacing w:line="240" w:lineRule="auto"/>
              <w:jc w:val="right"/>
              <w:rPr>
                <w:rFonts w:ascii="Times New Roman" w:hAnsi="Times New Roman" w:cs="Times New Roman"/>
                <w:color w:val="000000" w:themeColor="text1"/>
                <w:sz w:val="16"/>
                <w:szCs w:val="16"/>
              </w:rPr>
            </w:pPr>
            <w:r w:rsidRPr="00EF6679">
              <w:rPr>
                <w:rFonts w:ascii="Times New Roman" w:hAnsi="Times New Roman" w:cs="Times New Roman"/>
                <w:color w:val="000000" w:themeColor="text1"/>
                <w:sz w:val="16"/>
                <w:szCs w:val="16"/>
              </w:rPr>
              <w:t>0.185</w:t>
            </w:r>
          </w:p>
        </w:tc>
        <w:tc>
          <w:tcPr>
            <w:tcW w:w="366" w:type="dxa"/>
            <w:tcBorders>
              <w:top w:val="single" w:sz="4" w:space="0" w:color="auto"/>
            </w:tcBorders>
            <w:noWrap/>
            <w:vAlign w:val="center"/>
          </w:tcPr>
          <w:p w14:paraId="4FEF6F40" w14:textId="77777777" w:rsidR="00BB138C" w:rsidRPr="00EF6679" w:rsidRDefault="00BB138C" w:rsidP="00820288">
            <w:pPr>
              <w:spacing w:line="240" w:lineRule="auto"/>
              <w:rPr>
                <w:rFonts w:ascii="Times New Roman" w:hAnsi="Times New Roman" w:cs="Times New Roman"/>
                <w:color w:val="000000" w:themeColor="text1"/>
                <w:sz w:val="16"/>
                <w:szCs w:val="16"/>
                <w:vertAlign w:val="superscript"/>
              </w:rPr>
            </w:pPr>
            <w:r w:rsidRPr="00EF6679">
              <w:rPr>
                <w:rFonts w:ascii="Times New Roman" w:hAnsi="Times New Roman" w:cs="Times New Roman"/>
                <w:color w:val="000000" w:themeColor="text1"/>
                <w:sz w:val="16"/>
                <w:szCs w:val="16"/>
                <w:vertAlign w:val="superscript"/>
              </w:rPr>
              <w:t>a</w:t>
            </w:r>
          </w:p>
        </w:tc>
        <w:tc>
          <w:tcPr>
            <w:tcW w:w="712" w:type="dxa"/>
            <w:tcBorders>
              <w:top w:val="single" w:sz="4" w:space="0" w:color="auto"/>
            </w:tcBorders>
            <w:noWrap/>
            <w:vAlign w:val="bottom"/>
          </w:tcPr>
          <w:p w14:paraId="2F8BDC71" w14:textId="77777777" w:rsidR="00BB138C" w:rsidRPr="00EF6679" w:rsidRDefault="00BB138C" w:rsidP="00820288">
            <w:pPr>
              <w:spacing w:line="240" w:lineRule="auto"/>
              <w:jc w:val="right"/>
              <w:rPr>
                <w:rFonts w:ascii="Times New Roman" w:hAnsi="Times New Roman" w:cs="Times New Roman"/>
                <w:color w:val="000000" w:themeColor="text1"/>
                <w:sz w:val="16"/>
                <w:szCs w:val="16"/>
              </w:rPr>
            </w:pPr>
            <w:r w:rsidRPr="00EF6679">
              <w:rPr>
                <w:rFonts w:ascii="Times New Roman" w:hAnsi="Times New Roman" w:cs="Times New Roman"/>
                <w:color w:val="000000" w:themeColor="text1"/>
                <w:sz w:val="16"/>
                <w:szCs w:val="16"/>
              </w:rPr>
              <w:t>0.121</w:t>
            </w:r>
          </w:p>
        </w:tc>
        <w:tc>
          <w:tcPr>
            <w:tcW w:w="478" w:type="dxa"/>
            <w:tcBorders>
              <w:top w:val="single" w:sz="4" w:space="0" w:color="auto"/>
            </w:tcBorders>
            <w:noWrap/>
            <w:vAlign w:val="center"/>
          </w:tcPr>
          <w:p w14:paraId="2394AE00" w14:textId="77777777" w:rsidR="00BB138C" w:rsidRPr="00EF6679" w:rsidRDefault="00BB138C" w:rsidP="00820288">
            <w:pPr>
              <w:spacing w:line="240" w:lineRule="auto"/>
              <w:rPr>
                <w:rFonts w:ascii="Times New Roman" w:hAnsi="Times New Roman" w:cs="Times New Roman"/>
                <w:color w:val="000000" w:themeColor="text1"/>
                <w:sz w:val="16"/>
                <w:szCs w:val="16"/>
                <w:vertAlign w:val="superscript"/>
              </w:rPr>
            </w:pPr>
            <w:r w:rsidRPr="00EF6679">
              <w:rPr>
                <w:rFonts w:ascii="Times New Roman" w:hAnsi="Times New Roman" w:cs="Times New Roman"/>
                <w:color w:val="000000" w:themeColor="text1"/>
                <w:sz w:val="16"/>
                <w:szCs w:val="16"/>
                <w:vertAlign w:val="superscript"/>
              </w:rPr>
              <w:t>b</w:t>
            </w:r>
          </w:p>
        </w:tc>
      </w:tr>
      <w:tr w:rsidR="00BB138C" w:rsidRPr="00EF6679" w14:paraId="25533B2F" w14:textId="77777777" w:rsidTr="00820288">
        <w:trPr>
          <w:trHeight w:val="144"/>
        </w:trPr>
        <w:tc>
          <w:tcPr>
            <w:tcW w:w="2880" w:type="dxa"/>
            <w:noWrap/>
            <w:vAlign w:val="bottom"/>
            <w:hideMark/>
          </w:tcPr>
          <w:p w14:paraId="57F0D9F3" w14:textId="77777777" w:rsidR="00BB138C" w:rsidRPr="00EF6679" w:rsidRDefault="00BB138C" w:rsidP="00820288">
            <w:pPr>
              <w:spacing w:line="240" w:lineRule="auto"/>
              <w:rPr>
                <w:rFonts w:ascii="Times New Roman" w:hAnsi="Times New Roman" w:cs="Times New Roman"/>
                <w:color w:val="000000" w:themeColor="text1"/>
                <w:sz w:val="16"/>
                <w:szCs w:val="16"/>
              </w:rPr>
            </w:pPr>
            <w:r w:rsidRPr="00EF6679">
              <w:rPr>
                <w:rFonts w:ascii="Times New Roman" w:hAnsi="Times New Roman" w:cs="Times New Roman"/>
                <w:color w:val="000000" w:themeColor="text1"/>
                <w:sz w:val="16"/>
                <w:szCs w:val="16"/>
              </w:rPr>
              <w:t xml:space="preserve">Dimethyl Sulfide         </w:t>
            </w:r>
          </w:p>
        </w:tc>
        <w:tc>
          <w:tcPr>
            <w:tcW w:w="758" w:type="dxa"/>
            <w:noWrap/>
            <w:vAlign w:val="center"/>
            <w:hideMark/>
          </w:tcPr>
          <w:p w14:paraId="4DE61166" w14:textId="77777777" w:rsidR="00BB138C" w:rsidRPr="00EF6679" w:rsidRDefault="00BB138C" w:rsidP="00820288">
            <w:pPr>
              <w:spacing w:line="240" w:lineRule="auto"/>
              <w:jc w:val="right"/>
              <w:rPr>
                <w:rFonts w:ascii="Times New Roman" w:hAnsi="Times New Roman" w:cs="Times New Roman"/>
                <w:color w:val="000000" w:themeColor="text1"/>
                <w:sz w:val="16"/>
                <w:szCs w:val="16"/>
              </w:rPr>
            </w:pPr>
            <w:r w:rsidRPr="00EF6679">
              <w:rPr>
                <w:rFonts w:ascii="Times New Roman" w:hAnsi="Times New Roman" w:cs="Times New Roman"/>
                <w:color w:val="000000" w:themeColor="text1"/>
                <w:sz w:val="16"/>
                <w:szCs w:val="16"/>
              </w:rPr>
              <w:t>0.328</w:t>
            </w:r>
          </w:p>
        </w:tc>
        <w:tc>
          <w:tcPr>
            <w:tcW w:w="366" w:type="dxa"/>
            <w:noWrap/>
            <w:vAlign w:val="center"/>
            <w:hideMark/>
          </w:tcPr>
          <w:p w14:paraId="0E3652E5" w14:textId="77777777" w:rsidR="00BB138C" w:rsidRPr="00EF6679" w:rsidRDefault="00BB138C" w:rsidP="00820288">
            <w:pPr>
              <w:spacing w:line="240" w:lineRule="auto"/>
              <w:rPr>
                <w:rFonts w:ascii="Times New Roman" w:hAnsi="Times New Roman" w:cs="Times New Roman"/>
                <w:color w:val="000000" w:themeColor="text1"/>
                <w:sz w:val="16"/>
                <w:szCs w:val="16"/>
                <w:vertAlign w:val="superscript"/>
              </w:rPr>
            </w:pPr>
            <w:r w:rsidRPr="00EF6679">
              <w:rPr>
                <w:rFonts w:ascii="Times New Roman" w:hAnsi="Times New Roman" w:cs="Times New Roman"/>
                <w:color w:val="000000" w:themeColor="text1"/>
                <w:sz w:val="16"/>
                <w:szCs w:val="16"/>
                <w:vertAlign w:val="superscript"/>
              </w:rPr>
              <w:t>a</w:t>
            </w:r>
          </w:p>
        </w:tc>
        <w:tc>
          <w:tcPr>
            <w:tcW w:w="712" w:type="dxa"/>
            <w:noWrap/>
            <w:vAlign w:val="center"/>
            <w:hideMark/>
          </w:tcPr>
          <w:p w14:paraId="5516D0B0" w14:textId="77777777" w:rsidR="00BB138C" w:rsidRPr="00EF6679" w:rsidRDefault="00BB138C" w:rsidP="00820288">
            <w:pPr>
              <w:spacing w:line="240" w:lineRule="auto"/>
              <w:jc w:val="right"/>
              <w:rPr>
                <w:rFonts w:ascii="Times New Roman" w:hAnsi="Times New Roman" w:cs="Times New Roman"/>
                <w:color w:val="000000" w:themeColor="text1"/>
                <w:sz w:val="16"/>
                <w:szCs w:val="16"/>
              </w:rPr>
            </w:pPr>
            <w:r w:rsidRPr="00EF6679">
              <w:rPr>
                <w:rFonts w:ascii="Times New Roman" w:hAnsi="Times New Roman" w:cs="Times New Roman"/>
                <w:color w:val="000000" w:themeColor="text1"/>
                <w:sz w:val="16"/>
                <w:szCs w:val="16"/>
              </w:rPr>
              <w:t>0.328</w:t>
            </w:r>
          </w:p>
        </w:tc>
        <w:tc>
          <w:tcPr>
            <w:tcW w:w="478" w:type="dxa"/>
            <w:noWrap/>
            <w:vAlign w:val="center"/>
            <w:hideMark/>
          </w:tcPr>
          <w:p w14:paraId="6750E44D" w14:textId="77777777" w:rsidR="00BB138C" w:rsidRPr="00EF6679" w:rsidRDefault="00BB138C" w:rsidP="00820288">
            <w:pPr>
              <w:spacing w:line="240" w:lineRule="auto"/>
              <w:rPr>
                <w:rFonts w:ascii="Times New Roman" w:hAnsi="Times New Roman" w:cs="Times New Roman"/>
                <w:color w:val="000000" w:themeColor="text1"/>
                <w:sz w:val="16"/>
                <w:szCs w:val="16"/>
                <w:vertAlign w:val="superscript"/>
              </w:rPr>
            </w:pPr>
            <w:r w:rsidRPr="00EF6679">
              <w:rPr>
                <w:rFonts w:ascii="Times New Roman" w:hAnsi="Times New Roman" w:cs="Times New Roman"/>
                <w:color w:val="000000" w:themeColor="text1"/>
                <w:sz w:val="16"/>
                <w:szCs w:val="16"/>
                <w:vertAlign w:val="superscript"/>
              </w:rPr>
              <w:t>a</w:t>
            </w:r>
          </w:p>
        </w:tc>
      </w:tr>
      <w:tr w:rsidR="00BB138C" w:rsidRPr="00EF6679" w14:paraId="50024282" w14:textId="77777777" w:rsidTr="00820288">
        <w:trPr>
          <w:trHeight w:val="144"/>
        </w:trPr>
        <w:tc>
          <w:tcPr>
            <w:tcW w:w="2880" w:type="dxa"/>
            <w:noWrap/>
            <w:vAlign w:val="bottom"/>
            <w:hideMark/>
          </w:tcPr>
          <w:p w14:paraId="0512526B" w14:textId="77777777" w:rsidR="00BB138C" w:rsidRPr="00EF6679" w:rsidRDefault="00BB138C" w:rsidP="00820288">
            <w:pPr>
              <w:spacing w:line="240" w:lineRule="auto"/>
              <w:rPr>
                <w:rFonts w:ascii="Times New Roman" w:hAnsi="Times New Roman" w:cs="Times New Roman"/>
                <w:color w:val="000000" w:themeColor="text1"/>
                <w:sz w:val="16"/>
                <w:szCs w:val="16"/>
              </w:rPr>
            </w:pPr>
            <w:r w:rsidRPr="00EF6679">
              <w:rPr>
                <w:rFonts w:ascii="Times New Roman" w:hAnsi="Times New Roman" w:cs="Times New Roman"/>
                <w:color w:val="000000" w:themeColor="text1"/>
                <w:sz w:val="16"/>
                <w:szCs w:val="16"/>
              </w:rPr>
              <w:t xml:space="preserve">2-methyl Furan           </w:t>
            </w:r>
          </w:p>
        </w:tc>
        <w:tc>
          <w:tcPr>
            <w:tcW w:w="758" w:type="dxa"/>
            <w:noWrap/>
            <w:vAlign w:val="bottom"/>
            <w:hideMark/>
          </w:tcPr>
          <w:p w14:paraId="2AF08C45" w14:textId="77777777" w:rsidR="00BB138C" w:rsidRPr="00EF6679" w:rsidRDefault="00BB138C" w:rsidP="00820288">
            <w:pPr>
              <w:spacing w:line="240" w:lineRule="auto"/>
              <w:jc w:val="right"/>
              <w:rPr>
                <w:rFonts w:ascii="Times New Roman" w:hAnsi="Times New Roman" w:cs="Times New Roman"/>
                <w:color w:val="000000" w:themeColor="text1"/>
                <w:sz w:val="16"/>
                <w:szCs w:val="16"/>
              </w:rPr>
            </w:pPr>
            <w:r w:rsidRPr="00EF6679">
              <w:rPr>
                <w:rFonts w:ascii="Times New Roman" w:hAnsi="Times New Roman" w:cs="Times New Roman"/>
                <w:color w:val="000000" w:themeColor="text1"/>
                <w:sz w:val="16"/>
                <w:szCs w:val="16"/>
              </w:rPr>
              <w:t>n.d.</w:t>
            </w:r>
          </w:p>
        </w:tc>
        <w:tc>
          <w:tcPr>
            <w:tcW w:w="366" w:type="dxa"/>
            <w:noWrap/>
            <w:vAlign w:val="center"/>
            <w:hideMark/>
          </w:tcPr>
          <w:p w14:paraId="6941EBC9" w14:textId="77777777" w:rsidR="00BB138C" w:rsidRPr="00EF6679" w:rsidRDefault="00BB138C" w:rsidP="00820288">
            <w:pPr>
              <w:spacing w:line="240" w:lineRule="auto"/>
              <w:rPr>
                <w:rFonts w:ascii="Times New Roman" w:hAnsi="Times New Roman" w:cs="Times New Roman"/>
                <w:color w:val="000000" w:themeColor="text1"/>
                <w:sz w:val="16"/>
                <w:szCs w:val="16"/>
                <w:vertAlign w:val="superscript"/>
              </w:rPr>
            </w:pPr>
            <w:r w:rsidRPr="00EF6679">
              <w:rPr>
                <w:rFonts w:ascii="Times New Roman" w:hAnsi="Times New Roman" w:cs="Times New Roman"/>
                <w:color w:val="000000" w:themeColor="text1"/>
                <w:sz w:val="16"/>
                <w:szCs w:val="16"/>
                <w:vertAlign w:val="superscript"/>
              </w:rPr>
              <w:t>a</w:t>
            </w:r>
          </w:p>
        </w:tc>
        <w:tc>
          <w:tcPr>
            <w:tcW w:w="712" w:type="dxa"/>
            <w:noWrap/>
            <w:vAlign w:val="bottom"/>
            <w:hideMark/>
          </w:tcPr>
          <w:p w14:paraId="20FF6B1E" w14:textId="77777777" w:rsidR="00BB138C" w:rsidRPr="00EF6679" w:rsidRDefault="00BB138C" w:rsidP="00820288">
            <w:pPr>
              <w:spacing w:line="240" w:lineRule="auto"/>
              <w:jc w:val="right"/>
              <w:rPr>
                <w:rFonts w:ascii="Times New Roman" w:hAnsi="Times New Roman" w:cs="Times New Roman"/>
                <w:color w:val="000000" w:themeColor="text1"/>
                <w:sz w:val="16"/>
                <w:szCs w:val="16"/>
              </w:rPr>
            </w:pPr>
            <w:r w:rsidRPr="00EF6679">
              <w:rPr>
                <w:rFonts w:ascii="Times New Roman" w:hAnsi="Times New Roman" w:cs="Times New Roman"/>
                <w:color w:val="000000" w:themeColor="text1"/>
                <w:sz w:val="16"/>
                <w:szCs w:val="16"/>
              </w:rPr>
              <w:t>n.d.</w:t>
            </w:r>
          </w:p>
        </w:tc>
        <w:tc>
          <w:tcPr>
            <w:tcW w:w="478" w:type="dxa"/>
            <w:noWrap/>
            <w:vAlign w:val="center"/>
            <w:hideMark/>
          </w:tcPr>
          <w:p w14:paraId="01BD235C" w14:textId="77777777" w:rsidR="00BB138C" w:rsidRPr="00EF6679" w:rsidRDefault="00BB138C" w:rsidP="00820288">
            <w:pPr>
              <w:spacing w:line="240" w:lineRule="auto"/>
              <w:rPr>
                <w:rFonts w:ascii="Times New Roman" w:hAnsi="Times New Roman" w:cs="Times New Roman"/>
                <w:color w:val="000000" w:themeColor="text1"/>
                <w:sz w:val="16"/>
                <w:szCs w:val="16"/>
                <w:vertAlign w:val="superscript"/>
              </w:rPr>
            </w:pPr>
            <w:r w:rsidRPr="00EF6679">
              <w:rPr>
                <w:rFonts w:ascii="Times New Roman" w:hAnsi="Times New Roman" w:cs="Times New Roman"/>
                <w:color w:val="000000" w:themeColor="text1"/>
                <w:sz w:val="16"/>
                <w:szCs w:val="16"/>
                <w:vertAlign w:val="superscript"/>
              </w:rPr>
              <w:t>a</w:t>
            </w:r>
          </w:p>
        </w:tc>
      </w:tr>
      <w:tr w:rsidR="00BB138C" w:rsidRPr="00EF6679" w14:paraId="651B046E" w14:textId="77777777" w:rsidTr="00820288">
        <w:trPr>
          <w:trHeight w:val="144"/>
        </w:trPr>
        <w:tc>
          <w:tcPr>
            <w:tcW w:w="2880" w:type="dxa"/>
            <w:noWrap/>
            <w:vAlign w:val="bottom"/>
            <w:hideMark/>
          </w:tcPr>
          <w:p w14:paraId="01BE5704" w14:textId="77777777" w:rsidR="00BB138C" w:rsidRPr="00EF6679" w:rsidRDefault="00BB138C" w:rsidP="00820288">
            <w:pPr>
              <w:spacing w:line="240" w:lineRule="auto"/>
              <w:rPr>
                <w:rFonts w:ascii="Times New Roman" w:hAnsi="Times New Roman" w:cs="Times New Roman"/>
                <w:color w:val="000000" w:themeColor="text1"/>
                <w:sz w:val="16"/>
                <w:szCs w:val="16"/>
              </w:rPr>
            </w:pPr>
            <w:r w:rsidRPr="00EF6679">
              <w:rPr>
                <w:rFonts w:ascii="Times New Roman" w:hAnsi="Times New Roman" w:cs="Times New Roman"/>
                <w:color w:val="000000" w:themeColor="text1"/>
                <w:sz w:val="16"/>
                <w:szCs w:val="16"/>
              </w:rPr>
              <w:t xml:space="preserve">2-ethyl-Furan            </w:t>
            </w:r>
          </w:p>
        </w:tc>
        <w:tc>
          <w:tcPr>
            <w:tcW w:w="758" w:type="dxa"/>
            <w:noWrap/>
            <w:vAlign w:val="center"/>
            <w:hideMark/>
          </w:tcPr>
          <w:p w14:paraId="7E1CDA23" w14:textId="77777777" w:rsidR="00BB138C" w:rsidRPr="00EF6679" w:rsidRDefault="00BB138C" w:rsidP="00820288">
            <w:pPr>
              <w:spacing w:line="240" w:lineRule="auto"/>
              <w:jc w:val="right"/>
              <w:rPr>
                <w:rFonts w:ascii="Times New Roman" w:hAnsi="Times New Roman" w:cs="Times New Roman"/>
                <w:color w:val="000000" w:themeColor="text1"/>
                <w:sz w:val="16"/>
                <w:szCs w:val="16"/>
              </w:rPr>
            </w:pPr>
            <w:r w:rsidRPr="00EF6679">
              <w:rPr>
                <w:rFonts w:ascii="Times New Roman" w:hAnsi="Times New Roman" w:cs="Times New Roman"/>
                <w:color w:val="000000" w:themeColor="text1"/>
                <w:sz w:val="16"/>
                <w:szCs w:val="16"/>
              </w:rPr>
              <w:t>n.d.</w:t>
            </w:r>
          </w:p>
        </w:tc>
        <w:tc>
          <w:tcPr>
            <w:tcW w:w="366" w:type="dxa"/>
            <w:noWrap/>
            <w:vAlign w:val="center"/>
            <w:hideMark/>
          </w:tcPr>
          <w:p w14:paraId="33E97EEF" w14:textId="77777777" w:rsidR="00BB138C" w:rsidRPr="00EF6679" w:rsidRDefault="00BB138C" w:rsidP="00820288">
            <w:pPr>
              <w:spacing w:line="240" w:lineRule="auto"/>
              <w:rPr>
                <w:rFonts w:ascii="Times New Roman" w:hAnsi="Times New Roman" w:cs="Times New Roman"/>
                <w:color w:val="000000" w:themeColor="text1"/>
                <w:sz w:val="16"/>
                <w:szCs w:val="16"/>
                <w:vertAlign w:val="superscript"/>
              </w:rPr>
            </w:pPr>
            <w:r w:rsidRPr="00EF6679">
              <w:rPr>
                <w:rFonts w:ascii="Times New Roman" w:hAnsi="Times New Roman" w:cs="Times New Roman"/>
                <w:color w:val="000000" w:themeColor="text1"/>
                <w:sz w:val="16"/>
                <w:szCs w:val="16"/>
                <w:vertAlign w:val="superscript"/>
              </w:rPr>
              <w:t>a</w:t>
            </w:r>
          </w:p>
        </w:tc>
        <w:tc>
          <w:tcPr>
            <w:tcW w:w="712" w:type="dxa"/>
            <w:noWrap/>
            <w:vAlign w:val="center"/>
            <w:hideMark/>
          </w:tcPr>
          <w:p w14:paraId="1FB757F0" w14:textId="77777777" w:rsidR="00BB138C" w:rsidRPr="00EF6679" w:rsidRDefault="00BB138C" w:rsidP="00820288">
            <w:pPr>
              <w:spacing w:line="240" w:lineRule="auto"/>
              <w:jc w:val="right"/>
              <w:rPr>
                <w:rFonts w:ascii="Times New Roman" w:hAnsi="Times New Roman" w:cs="Times New Roman"/>
                <w:color w:val="000000" w:themeColor="text1"/>
                <w:sz w:val="16"/>
                <w:szCs w:val="16"/>
              </w:rPr>
            </w:pPr>
            <w:r w:rsidRPr="00EF6679">
              <w:rPr>
                <w:rFonts w:ascii="Times New Roman" w:hAnsi="Times New Roman" w:cs="Times New Roman"/>
                <w:color w:val="000000" w:themeColor="text1"/>
                <w:sz w:val="16"/>
                <w:szCs w:val="16"/>
              </w:rPr>
              <w:t>n.d.</w:t>
            </w:r>
          </w:p>
        </w:tc>
        <w:tc>
          <w:tcPr>
            <w:tcW w:w="478" w:type="dxa"/>
            <w:noWrap/>
            <w:vAlign w:val="center"/>
            <w:hideMark/>
          </w:tcPr>
          <w:p w14:paraId="57B5661B" w14:textId="77777777" w:rsidR="00BB138C" w:rsidRPr="00EF6679" w:rsidRDefault="00BB138C" w:rsidP="00820288">
            <w:pPr>
              <w:spacing w:line="240" w:lineRule="auto"/>
              <w:rPr>
                <w:rFonts w:ascii="Times New Roman" w:hAnsi="Times New Roman" w:cs="Times New Roman"/>
                <w:color w:val="000000" w:themeColor="text1"/>
                <w:sz w:val="16"/>
                <w:szCs w:val="16"/>
                <w:vertAlign w:val="superscript"/>
              </w:rPr>
            </w:pPr>
            <w:r w:rsidRPr="00EF6679">
              <w:rPr>
                <w:rFonts w:ascii="Times New Roman" w:hAnsi="Times New Roman" w:cs="Times New Roman"/>
                <w:color w:val="000000" w:themeColor="text1"/>
                <w:sz w:val="16"/>
                <w:szCs w:val="16"/>
                <w:vertAlign w:val="superscript"/>
              </w:rPr>
              <w:t>a</w:t>
            </w:r>
          </w:p>
        </w:tc>
      </w:tr>
      <w:tr w:rsidR="00BB138C" w:rsidRPr="00EF6679" w14:paraId="00D1D60F" w14:textId="77777777" w:rsidTr="00820288">
        <w:trPr>
          <w:trHeight w:val="144"/>
        </w:trPr>
        <w:tc>
          <w:tcPr>
            <w:tcW w:w="2880" w:type="dxa"/>
            <w:noWrap/>
            <w:vAlign w:val="bottom"/>
            <w:hideMark/>
          </w:tcPr>
          <w:p w14:paraId="5885DC02" w14:textId="77777777" w:rsidR="00BB138C" w:rsidRPr="00EF6679" w:rsidRDefault="00BB138C" w:rsidP="00820288">
            <w:pPr>
              <w:spacing w:line="240" w:lineRule="auto"/>
              <w:rPr>
                <w:rFonts w:ascii="Times New Roman" w:hAnsi="Times New Roman" w:cs="Times New Roman"/>
                <w:color w:val="000000" w:themeColor="text1"/>
                <w:sz w:val="16"/>
                <w:szCs w:val="16"/>
              </w:rPr>
            </w:pPr>
            <w:r w:rsidRPr="00EF6679">
              <w:rPr>
                <w:rFonts w:ascii="Times New Roman" w:hAnsi="Times New Roman" w:cs="Times New Roman"/>
                <w:color w:val="000000" w:themeColor="text1"/>
                <w:sz w:val="16"/>
                <w:szCs w:val="16"/>
              </w:rPr>
              <w:t xml:space="preserve">trans-2-Pentenal         </w:t>
            </w:r>
          </w:p>
        </w:tc>
        <w:tc>
          <w:tcPr>
            <w:tcW w:w="758" w:type="dxa"/>
            <w:noWrap/>
            <w:vAlign w:val="bottom"/>
            <w:hideMark/>
          </w:tcPr>
          <w:p w14:paraId="22560FB8" w14:textId="77777777" w:rsidR="00BB138C" w:rsidRPr="00EF6679" w:rsidRDefault="00BB138C" w:rsidP="00820288">
            <w:pPr>
              <w:spacing w:line="240" w:lineRule="auto"/>
              <w:jc w:val="right"/>
              <w:rPr>
                <w:rFonts w:ascii="Times New Roman" w:hAnsi="Times New Roman" w:cs="Times New Roman"/>
                <w:color w:val="000000" w:themeColor="text1"/>
                <w:sz w:val="16"/>
                <w:szCs w:val="16"/>
              </w:rPr>
            </w:pPr>
            <w:r w:rsidRPr="00EF6679">
              <w:rPr>
                <w:rFonts w:ascii="Times New Roman" w:hAnsi="Times New Roman" w:cs="Times New Roman"/>
                <w:color w:val="000000" w:themeColor="text1"/>
                <w:sz w:val="16"/>
                <w:szCs w:val="16"/>
              </w:rPr>
              <w:t>8.884</w:t>
            </w:r>
          </w:p>
        </w:tc>
        <w:tc>
          <w:tcPr>
            <w:tcW w:w="366" w:type="dxa"/>
            <w:noWrap/>
            <w:vAlign w:val="center"/>
            <w:hideMark/>
          </w:tcPr>
          <w:p w14:paraId="5AA5DB43" w14:textId="77777777" w:rsidR="00BB138C" w:rsidRPr="00EF6679" w:rsidRDefault="00BB138C" w:rsidP="00820288">
            <w:pPr>
              <w:spacing w:line="240" w:lineRule="auto"/>
              <w:rPr>
                <w:rFonts w:ascii="Times New Roman" w:hAnsi="Times New Roman" w:cs="Times New Roman"/>
                <w:color w:val="000000" w:themeColor="text1"/>
                <w:sz w:val="16"/>
                <w:szCs w:val="16"/>
                <w:vertAlign w:val="superscript"/>
              </w:rPr>
            </w:pPr>
            <w:r w:rsidRPr="00EF6679">
              <w:rPr>
                <w:rFonts w:ascii="Times New Roman" w:hAnsi="Times New Roman" w:cs="Times New Roman"/>
                <w:color w:val="000000" w:themeColor="text1"/>
                <w:sz w:val="16"/>
                <w:szCs w:val="16"/>
                <w:vertAlign w:val="superscript"/>
              </w:rPr>
              <w:t>a</w:t>
            </w:r>
          </w:p>
        </w:tc>
        <w:tc>
          <w:tcPr>
            <w:tcW w:w="712" w:type="dxa"/>
            <w:noWrap/>
            <w:vAlign w:val="bottom"/>
            <w:hideMark/>
          </w:tcPr>
          <w:p w14:paraId="27D975E1" w14:textId="77777777" w:rsidR="00BB138C" w:rsidRPr="00EF6679" w:rsidRDefault="00BB138C" w:rsidP="00820288">
            <w:pPr>
              <w:spacing w:line="240" w:lineRule="auto"/>
              <w:jc w:val="right"/>
              <w:rPr>
                <w:rFonts w:ascii="Times New Roman" w:hAnsi="Times New Roman" w:cs="Times New Roman"/>
                <w:color w:val="000000" w:themeColor="text1"/>
                <w:sz w:val="16"/>
                <w:szCs w:val="16"/>
              </w:rPr>
            </w:pPr>
            <w:r w:rsidRPr="00EF6679">
              <w:rPr>
                <w:rFonts w:ascii="Times New Roman" w:hAnsi="Times New Roman" w:cs="Times New Roman"/>
                <w:color w:val="000000" w:themeColor="text1"/>
                <w:sz w:val="16"/>
                <w:szCs w:val="16"/>
              </w:rPr>
              <w:t>4.772</w:t>
            </w:r>
          </w:p>
        </w:tc>
        <w:tc>
          <w:tcPr>
            <w:tcW w:w="478" w:type="dxa"/>
            <w:noWrap/>
            <w:vAlign w:val="center"/>
            <w:hideMark/>
          </w:tcPr>
          <w:p w14:paraId="5C8BF8BA" w14:textId="77777777" w:rsidR="00BB138C" w:rsidRPr="00EF6679" w:rsidRDefault="00BB138C" w:rsidP="00820288">
            <w:pPr>
              <w:spacing w:line="240" w:lineRule="auto"/>
              <w:rPr>
                <w:rFonts w:ascii="Times New Roman" w:hAnsi="Times New Roman" w:cs="Times New Roman"/>
                <w:color w:val="000000" w:themeColor="text1"/>
                <w:sz w:val="16"/>
                <w:szCs w:val="16"/>
                <w:vertAlign w:val="superscript"/>
              </w:rPr>
            </w:pPr>
            <w:r w:rsidRPr="00EF6679">
              <w:rPr>
                <w:rFonts w:ascii="Times New Roman" w:hAnsi="Times New Roman" w:cs="Times New Roman"/>
                <w:color w:val="000000" w:themeColor="text1"/>
                <w:sz w:val="16"/>
                <w:szCs w:val="16"/>
                <w:vertAlign w:val="superscript"/>
              </w:rPr>
              <w:t>b</w:t>
            </w:r>
          </w:p>
        </w:tc>
      </w:tr>
      <w:tr w:rsidR="00BB138C" w:rsidRPr="00EF6679" w14:paraId="04283742" w14:textId="77777777" w:rsidTr="00820288">
        <w:trPr>
          <w:trHeight w:val="144"/>
        </w:trPr>
        <w:tc>
          <w:tcPr>
            <w:tcW w:w="2880" w:type="dxa"/>
            <w:noWrap/>
            <w:vAlign w:val="bottom"/>
          </w:tcPr>
          <w:p w14:paraId="0D0DB2CD" w14:textId="77777777" w:rsidR="00BB138C" w:rsidRPr="00EF6679" w:rsidRDefault="00BB138C" w:rsidP="00820288">
            <w:pPr>
              <w:spacing w:line="240" w:lineRule="auto"/>
              <w:rPr>
                <w:rFonts w:ascii="Times New Roman" w:hAnsi="Times New Roman" w:cs="Times New Roman"/>
                <w:b/>
                <w:bCs/>
                <w:color w:val="000000" w:themeColor="text1"/>
                <w:sz w:val="16"/>
                <w:szCs w:val="16"/>
              </w:rPr>
            </w:pPr>
            <w:r w:rsidRPr="00EF6679">
              <w:rPr>
                <w:rFonts w:ascii="Times New Roman" w:hAnsi="Times New Roman" w:cs="Times New Roman"/>
                <w:color w:val="000000" w:themeColor="text1"/>
                <w:sz w:val="16"/>
                <w:szCs w:val="16"/>
              </w:rPr>
              <w:t xml:space="preserve">2-ethyl-2-Butenal   </w:t>
            </w:r>
          </w:p>
        </w:tc>
        <w:tc>
          <w:tcPr>
            <w:tcW w:w="758" w:type="dxa"/>
            <w:noWrap/>
            <w:vAlign w:val="center"/>
          </w:tcPr>
          <w:p w14:paraId="61912289" w14:textId="77777777" w:rsidR="00BB138C" w:rsidRPr="00EF6679" w:rsidRDefault="00BB138C" w:rsidP="00820288">
            <w:pPr>
              <w:spacing w:line="240" w:lineRule="auto"/>
              <w:jc w:val="right"/>
              <w:rPr>
                <w:rFonts w:ascii="Times New Roman" w:hAnsi="Times New Roman" w:cs="Times New Roman"/>
                <w:color w:val="000000" w:themeColor="text1"/>
                <w:sz w:val="16"/>
                <w:szCs w:val="16"/>
              </w:rPr>
            </w:pPr>
            <w:r w:rsidRPr="00EF6679">
              <w:rPr>
                <w:rFonts w:ascii="Times New Roman" w:hAnsi="Times New Roman" w:cs="Times New Roman"/>
                <w:color w:val="000000" w:themeColor="text1"/>
                <w:sz w:val="16"/>
                <w:szCs w:val="16"/>
              </w:rPr>
              <w:t>3.123</w:t>
            </w:r>
          </w:p>
        </w:tc>
        <w:tc>
          <w:tcPr>
            <w:tcW w:w="366" w:type="dxa"/>
            <w:noWrap/>
            <w:vAlign w:val="center"/>
          </w:tcPr>
          <w:p w14:paraId="17E6D2BA" w14:textId="77777777" w:rsidR="00BB138C" w:rsidRPr="00EF6679" w:rsidRDefault="00BB138C" w:rsidP="00820288">
            <w:pPr>
              <w:spacing w:line="240" w:lineRule="auto"/>
              <w:rPr>
                <w:rFonts w:ascii="Times New Roman" w:hAnsi="Times New Roman" w:cs="Times New Roman"/>
                <w:color w:val="000000" w:themeColor="text1"/>
                <w:sz w:val="16"/>
                <w:szCs w:val="16"/>
                <w:vertAlign w:val="superscript"/>
              </w:rPr>
            </w:pPr>
            <w:r w:rsidRPr="00EF6679">
              <w:rPr>
                <w:rFonts w:ascii="Times New Roman" w:hAnsi="Times New Roman" w:cs="Times New Roman"/>
                <w:color w:val="000000" w:themeColor="text1"/>
                <w:sz w:val="16"/>
                <w:szCs w:val="16"/>
                <w:vertAlign w:val="superscript"/>
              </w:rPr>
              <w:t>a</w:t>
            </w:r>
          </w:p>
        </w:tc>
        <w:tc>
          <w:tcPr>
            <w:tcW w:w="712" w:type="dxa"/>
            <w:noWrap/>
            <w:vAlign w:val="center"/>
          </w:tcPr>
          <w:p w14:paraId="0D2EE96A" w14:textId="77777777" w:rsidR="00BB138C" w:rsidRPr="00EF6679" w:rsidRDefault="00BB138C" w:rsidP="00820288">
            <w:pPr>
              <w:spacing w:line="240" w:lineRule="auto"/>
              <w:jc w:val="right"/>
              <w:rPr>
                <w:rFonts w:ascii="Times New Roman" w:hAnsi="Times New Roman" w:cs="Times New Roman"/>
                <w:color w:val="000000" w:themeColor="text1"/>
                <w:sz w:val="16"/>
                <w:szCs w:val="16"/>
              </w:rPr>
            </w:pPr>
            <w:r w:rsidRPr="00EF6679">
              <w:rPr>
                <w:rFonts w:ascii="Times New Roman" w:hAnsi="Times New Roman" w:cs="Times New Roman"/>
                <w:color w:val="000000" w:themeColor="text1"/>
                <w:sz w:val="16"/>
                <w:szCs w:val="16"/>
              </w:rPr>
              <w:t>2.463</w:t>
            </w:r>
          </w:p>
        </w:tc>
        <w:tc>
          <w:tcPr>
            <w:tcW w:w="478" w:type="dxa"/>
            <w:noWrap/>
            <w:vAlign w:val="center"/>
          </w:tcPr>
          <w:p w14:paraId="5BBD31B1" w14:textId="77777777" w:rsidR="00BB138C" w:rsidRPr="00EF6679" w:rsidRDefault="00BB138C" w:rsidP="00820288">
            <w:pPr>
              <w:spacing w:line="240" w:lineRule="auto"/>
              <w:rPr>
                <w:rFonts w:ascii="Times New Roman" w:hAnsi="Times New Roman" w:cs="Times New Roman"/>
                <w:color w:val="000000" w:themeColor="text1"/>
                <w:sz w:val="16"/>
                <w:szCs w:val="16"/>
                <w:vertAlign w:val="superscript"/>
              </w:rPr>
            </w:pPr>
            <w:r w:rsidRPr="00EF6679">
              <w:rPr>
                <w:rFonts w:ascii="Times New Roman" w:hAnsi="Times New Roman" w:cs="Times New Roman"/>
                <w:color w:val="000000" w:themeColor="text1"/>
                <w:sz w:val="16"/>
                <w:szCs w:val="16"/>
                <w:vertAlign w:val="superscript"/>
              </w:rPr>
              <w:t>b</w:t>
            </w:r>
          </w:p>
        </w:tc>
      </w:tr>
      <w:tr w:rsidR="00BB138C" w:rsidRPr="00EF6679" w14:paraId="4417C55B" w14:textId="77777777" w:rsidTr="00820288">
        <w:trPr>
          <w:trHeight w:val="144"/>
        </w:trPr>
        <w:tc>
          <w:tcPr>
            <w:tcW w:w="2880" w:type="dxa"/>
            <w:noWrap/>
            <w:vAlign w:val="bottom"/>
            <w:hideMark/>
          </w:tcPr>
          <w:p w14:paraId="15DC9E4B" w14:textId="77777777" w:rsidR="00BB138C" w:rsidRPr="00EF6679" w:rsidRDefault="00BB138C" w:rsidP="00820288">
            <w:pPr>
              <w:spacing w:line="240" w:lineRule="auto"/>
              <w:rPr>
                <w:rFonts w:ascii="Times New Roman" w:hAnsi="Times New Roman" w:cs="Times New Roman"/>
                <w:color w:val="000000" w:themeColor="text1"/>
                <w:sz w:val="16"/>
                <w:szCs w:val="16"/>
              </w:rPr>
            </w:pPr>
            <w:r w:rsidRPr="00EF6679">
              <w:rPr>
                <w:rFonts w:ascii="Times New Roman" w:hAnsi="Times New Roman" w:cs="Times New Roman"/>
                <w:color w:val="000000" w:themeColor="text1"/>
                <w:sz w:val="16"/>
                <w:szCs w:val="16"/>
              </w:rPr>
              <w:t xml:space="preserve">(E)-2-Hexenal            </w:t>
            </w:r>
          </w:p>
        </w:tc>
        <w:tc>
          <w:tcPr>
            <w:tcW w:w="758" w:type="dxa"/>
            <w:noWrap/>
            <w:vAlign w:val="center"/>
            <w:hideMark/>
          </w:tcPr>
          <w:p w14:paraId="4BB16961" w14:textId="77777777" w:rsidR="00BB138C" w:rsidRPr="00EF6679" w:rsidRDefault="00BB138C" w:rsidP="00820288">
            <w:pPr>
              <w:spacing w:line="240" w:lineRule="auto"/>
              <w:jc w:val="right"/>
              <w:rPr>
                <w:rFonts w:ascii="Times New Roman" w:hAnsi="Times New Roman" w:cs="Times New Roman"/>
                <w:color w:val="000000" w:themeColor="text1"/>
                <w:sz w:val="16"/>
                <w:szCs w:val="16"/>
              </w:rPr>
            </w:pPr>
            <w:r w:rsidRPr="00EF6679">
              <w:rPr>
                <w:rFonts w:ascii="Times New Roman" w:hAnsi="Times New Roman" w:cs="Times New Roman"/>
                <w:color w:val="000000" w:themeColor="text1"/>
                <w:sz w:val="16"/>
                <w:szCs w:val="16"/>
              </w:rPr>
              <w:t>0.167</w:t>
            </w:r>
          </w:p>
        </w:tc>
        <w:tc>
          <w:tcPr>
            <w:tcW w:w="366" w:type="dxa"/>
            <w:noWrap/>
            <w:vAlign w:val="center"/>
            <w:hideMark/>
          </w:tcPr>
          <w:p w14:paraId="702488AD" w14:textId="77777777" w:rsidR="00BB138C" w:rsidRPr="00EF6679" w:rsidRDefault="00BB138C" w:rsidP="00820288">
            <w:pPr>
              <w:spacing w:line="240" w:lineRule="auto"/>
              <w:rPr>
                <w:rFonts w:ascii="Times New Roman" w:hAnsi="Times New Roman" w:cs="Times New Roman"/>
                <w:color w:val="000000" w:themeColor="text1"/>
                <w:sz w:val="16"/>
                <w:szCs w:val="16"/>
                <w:vertAlign w:val="superscript"/>
              </w:rPr>
            </w:pPr>
            <w:r w:rsidRPr="00EF6679">
              <w:rPr>
                <w:rFonts w:ascii="Times New Roman" w:hAnsi="Times New Roman" w:cs="Times New Roman"/>
                <w:color w:val="000000" w:themeColor="text1"/>
                <w:sz w:val="16"/>
                <w:szCs w:val="16"/>
                <w:vertAlign w:val="superscript"/>
              </w:rPr>
              <w:t>a</w:t>
            </w:r>
          </w:p>
        </w:tc>
        <w:tc>
          <w:tcPr>
            <w:tcW w:w="712" w:type="dxa"/>
            <w:noWrap/>
            <w:vAlign w:val="center"/>
            <w:hideMark/>
          </w:tcPr>
          <w:p w14:paraId="449C37E7" w14:textId="77777777" w:rsidR="00BB138C" w:rsidRPr="00EF6679" w:rsidRDefault="00BB138C" w:rsidP="00820288">
            <w:pPr>
              <w:spacing w:line="240" w:lineRule="auto"/>
              <w:jc w:val="right"/>
              <w:rPr>
                <w:rFonts w:ascii="Times New Roman" w:hAnsi="Times New Roman" w:cs="Times New Roman"/>
                <w:color w:val="000000" w:themeColor="text1"/>
                <w:sz w:val="16"/>
                <w:szCs w:val="16"/>
              </w:rPr>
            </w:pPr>
            <w:r w:rsidRPr="00EF6679">
              <w:rPr>
                <w:rFonts w:ascii="Times New Roman" w:hAnsi="Times New Roman" w:cs="Times New Roman"/>
                <w:color w:val="000000" w:themeColor="text1"/>
                <w:sz w:val="16"/>
                <w:szCs w:val="16"/>
              </w:rPr>
              <w:t>0.146</w:t>
            </w:r>
          </w:p>
        </w:tc>
        <w:tc>
          <w:tcPr>
            <w:tcW w:w="478" w:type="dxa"/>
            <w:noWrap/>
            <w:vAlign w:val="center"/>
            <w:hideMark/>
          </w:tcPr>
          <w:p w14:paraId="381977DA" w14:textId="77777777" w:rsidR="00BB138C" w:rsidRPr="00EF6679" w:rsidRDefault="00BB138C" w:rsidP="00820288">
            <w:pPr>
              <w:spacing w:line="240" w:lineRule="auto"/>
              <w:rPr>
                <w:rFonts w:ascii="Times New Roman" w:hAnsi="Times New Roman" w:cs="Times New Roman"/>
                <w:color w:val="000000" w:themeColor="text1"/>
                <w:sz w:val="16"/>
                <w:szCs w:val="16"/>
                <w:vertAlign w:val="superscript"/>
              </w:rPr>
            </w:pPr>
            <w:r w:rsidRPr="00EF6679">
              <w:rPr>
                <w:rFonts w:ascii="Times New Roman" w:hAnsi="Times New Roman" w:cs="Times New Roman"/>
                <w:color w:val="000000" w:themeColor="text1"/>
                <w:sz w:val="16"/>
                <w:szCs w:val="16"/>
                <w:vertAlign w:val="superscript"/>
              </w:rPr>
              <w:t>a</w:t>
            </w:r>
          </w:p>
        </w:tc>
      </w:tr>
      <w:tr w:rsidR="00BB138C" w:rsidRPr="00EF6679" w14:paraId="319A642B" w14:textId="77777777" w:rsidTr="00820288">
        <w:trPr>
          <w:trHeight w:val="144"/>
        </w:trPr>
        <w:tc>
          <w:tcPr>
            <w:tcW w:w="2880" w:type="dxa"/>
            <w:noWrap/>
            <w:vAlign w:val="bottom"/>
            <w:hideMark/>
          </w:tcPr>
          <w:p w14:paraId="5EFB01C2" w14:textId="77777777" w:rsidR="00BB138C" w:rsidRPr="00EF6679" w:rsidRDefault="00BB138C" w:rsidP="00820288">
            <w:pPr>
              <w:spacing w:line="240" w:lineRule="auto"/>
              <w:rPr>
                <w:rFonts w:ascii="Times New Roman" w:hAnsi="Times New Roman" w:cs="Times New Roman"/>
                <w:color w:val="000000" w:themeColor="text1"/>
                <w:sz w:val="16"/>
                <w:szCs w:val="16"/>
              </w:rPr>
            </w:pPr>
            <w:r w:rsidRPr="00EF6679">
              <w:rPr>
                <w:rFonts w:ascii="Times New Roman" w:hAnsi="Times New Roman" w:cs="Times New Roman"/>
                <w:color w:val="000000" w:themeColor="text1"/>
                <w:sz w:val="16"/>
                <w:szCs w:val="16"/>
              </w:rPr>
              <w:t xml:space="preserve">α-Pinene                  </w:t>
            </w:r>
          </w:p>
        </w:tc>
        <w:tc>
          <w:tcPr>
            <w:tcW w:w="758" w:type="dxa"/>
            <w:noWrap/>
            <w:vAlign w:val="center"/>
            <w:hideMark/>
          </w:tcPr>
          <w:p w14:paraId="5E7F572D" w14:textId="77777777" w:rsidR="00BB138C" w:rsidRPr="00EF6679" w:rsidRDefault="00BB138C" w:rsidP="00820288">
            <w:pPr>
              <w:spacing w:line="240" w:lineRule="auto"/>
              <w:jc w:val="right"/>
              <w:rPr>
                <w:rFonts w:ascii="Times New Roman" w:hAnsi="Times New Roman" w:cs="Times New Roman"/>
                <w:color w:val="000000" w:themeColor="text1"/>
                <w:sz w:val="16"/>
                <w:szCs w:val="16"/>
              </w:rPr>
            </w:pPr>
            <w:r w:rsidRPr="00EF6679">
              <w:rPr>
                <w:rFonts w:ascii="Times New Roman" w:hAnsi="Times New Roman" w:cs="Times New Roman"/>
                <w:color w:val="000000" w:themeColor="text1"/>
                <w:sz w:val="16"/>
                <w:szCs w:val="16"/>
              </w:rPr>
              <w:t>7.987</w:t>
            </w:r>
          </w:p>
        </w:tc>
        <w:tc>
          <w:tcPr>
            <w:tcW w:w="366" w:type="dxa"/>
            <w:noWrap/>
            <w:vAlign w:val="center"/>
            <w:hideMark/>
          </w:tcPr>
          <w:p w14:paraId="5640422C" w14:textId="77777777" w:rsidR="00BB138C" w:rsidRPr="00EF6679" w:rsidRDefault="00BB138C" w:rsidP="00820288">
            <w:pPr>
              <w:spacing w:line="240" w:lineRule="auto"/>
              <w:rPr>
                <w:rFonts w:ascii="Times New Roman" w:hAnsi="Times New Roman" w:cs="Times New Roman"/>
                <w:color w:val="000000" w:themeColor="text1"/>
                <w:sz w:val="16"/>
                <w:szCs w:val="16"/>
                <w:vertAlign w:val="superscript"/>
              </w:rPr>
            </w:pPr>
            <w:r w:rsidRPr="00EF6679">
              <w:rPr>
                <w:rFonts w:ascii="Times New Roman" w:hAnsi="Times New Roman" w:cs="Times New Roman"/>
                <w:color w:val="000000" w:themeColor="text1"/>
                <w:sz w:val="16"/>
                <w:szCs w:val="16"/>
                <w:vertAlign w:val="superscript"/>
              </w:rPr>
              <w:t>b</w:t>
            </w:r>
          </w:p>
        </w:tc>
        <w:tc>
          <w:tcPr>
            <w:tcW w:w="712" w:type="dxa"/>
            <w:noWrap/>
            <w:vAlign w:val="center"/>
            <w:hideMark/>
          </w:tcPr>
          <w:p w14:paraId="7A37703E" w14:textId="77777777" w:rsidR="00BB138C" w:rsidRPr="00EF6679" w:rsidRDefault="00BB138C" w:rsidP="00820288">
            <w:pPr>
              <w:spacing w:line="240" w:lineRule="auto"/>
              <w:jc w:val="right"/>
              <w:rPr>
                <w:rFonts w:ascii="Times New Roman" w:hAnsi="Times New Roman" w:cs="Times New Roman"/>
                <w:color w:val="000000" w:themeColor="text1"/>
                <w:sz w:val="16"/>
                <w:szCs w:val="16"/>
              </w:rPr>
            </w:pPr>
            <w:r w:rsidRPr="00EF6679">
              <w:rPr>
                <w:rFonts w:ascii="Times New Roman" w:hAnsi="Times New Roman" w:cs="Times New Roman"/>
                <w:color w:val="000000" w:themeColor="text1"/>
                <w:sz w:val="16"/>
                <w:szCs w:val="16"/>
              </w:rPr>
              <w:t>11.516</w:t>
            </w:r>
          </w:p>
        </w:tc>
        <w:tc>
          <w:tcPr>
            <w:tcW w:w="478" w:type="dxa"/>
            <w:noWrap/>
            <w:vAlign w:val="center"/>
            <w:hideMark/>
          </w:tcPr>
          <w:p w14:paraId="3BD9E7B2" w14:textId="77777777" w:rsidR="00BB138C" w:rsidRPr="00EF6679" w:rsidRDefault="00BB138C" w:rsidP="00820288">
            <w:pPr>
              <w:spacing w:line="240" w:lineRule="auto"/>
              <w:rPr>
                <w:rFonts w:ascii="Times New Roman" w:hAnsi="Times New Roman" w:cs="Times New Roman"/>
                <w:color w:val="000000" w:themeColor="text1"/>
                <w:sz w:val="16"/>
                <w:szCs w:val="16"/>
                <w:vertAlign w:val="superscript"/>
              </w:rPr>
            </w:pPr>
            <w:r w:rsidRPr="00EF6679">
              <w:rPr>
                <w:rFonts w:ascii="Times New Roman" w:hAnsi="Times New Roman" w:cs="Times New Roman"/>
                <w:color w:val="000000" w:themeColor="text1"/>
                <w:sz w:val="16"/>
                <w:szCs w:val="16"/>
                <w:vertAlign w:val="superscript"/>
              </w:rPr>
              <w:t>a</w:t>
            </w:r>
          </w:p>
        </w:tc>
      </w:tr>
      <w:tr w:rsidR="00BB138C" w:rsidRPr="00EF6679" w14:paraId="2FB8525A" w14:textId="77777777" w:rsidTr="00820288">
        <w:trPr>
          <w:trHeight w:val="144"/>
        </w:trPr>
        <w:tc>
          <w:tcPr>
            <w:tcW w:w="2880" w:type="dxa"/>
            <w:noWrap/>
            <w:vAlign w:val="bottom"/>
            <w:hideMark/>
          </w:tcPr>
          <w:p w14:paraId="0B018A8F" w14:textId="77777777" w:rsidR="00BB138C" w:rsidRPr="00EF6679" w:rsidRDefault="00BB138C" w:rsidP="00820288">
            <w:pPr>
              <w:spacing w:line="240" w:lineRule="auto"/>
              <w:rPr>
                <w:rFonts w:ascii="Times New Roman" w:hAnsi="Times New Roman" w:cs="Times New Roman"/>
                <w:color w:val="000000" w:themeColor="text1"/>
                <w:sz w:val="16"/>
                <w:szCs w:val="16"/>
              </w:rPr>
            </w:pPr>
            <w:r w:rsidRPr="00EF6679">
              <w:rPr>
                <w:rFonts w:ascii="Times New Roman" w:hAnsi="Times New Roman" w:cs="Times New Roman"/>
                <w:color w:val="000000" w:themeColor="text1"/>
                <w:sz w:val="16"/>
                <w:szCs w:val="16"/>
              </w:rPr>
              <w:t xml:space="preserve">Camphene                 </w:t>
            </w:r>
          </w:p>
        </w:tc>
        <w:tc>
          <w:tcPr>
            <w:tcW w:w="758" w:type="dxa"/>
            <w:noWrap/>
            <w:vAlign w:val="center"/>
            <w:hideMark/>
          </w:tcPr>
          <w:p w14:paraId="552D479F" w14:textId="77777777" w:rsidR="00BB138C" w:rsidRPr="00EF6679" w:rsidRDefault="00BB138C" w:rsidP="00820288">
            <w:pPr>
              <w:spacing w:line="240" w:lineRule="auto"/>
              <w:jc w:val="right"/>
              <w:rPr>
                <w:rFonts w:ascii="Times New Roman" w:hAnsi="Times New Roman" w:cs="Times New Roman"/>
                <w:color w:val="000000" w:themeColor="text1"/>
                <w:sz w:val="16"/>
                <w:szCs w:val="16"/>
              </w:rPr>
            </w:pPr>
            <w:r w:rsidRPr="00EF6679">
              <w:rPr>
                <w:rFonts w:ascii="Times New Roman" w:hAnsi="Times New Roman" w:cs="Times New Roman"/>
                <w:color w:val="000000" w:themeColor="text1"/>
                <w:sz w:val="16"/>
                <w:szCs w:val="16"/>
              </w:rPr>
              <w:t>1.864</w:t>
            </w:r>
          </w:p>
        </w:tc>
        <w:tc>
          <w:tcPr>
            <w:tcW w:w="366" w:type="dxa"/>
            <w:noWrap/>
            <w:vAlign w:val="center"/>
            <w:hideMark/>
          </w:tcPr>
          <w:p w14:paraId="45217707" w14:textId="77777777" w:rsidR="00BB138C" w:rsidRPr="00EF6679" w:rsidRDefault="00BB138C" w:rsidP="00820288">
            <w:pPr>
              <w:spacing w:line="240" w:lineRule="auto"/>
              <w:rPr>
                <w:rFonts w:ascii="Times New Roman" w:hAnsi="Times New Roman" w:cs="Times New Roman"/>
                <w:color w:val="000000" w:themeColor="text1"/>
                <w:sz w:val="16"/>
                <w:szCs w:val="16"/>
                <w:vertAlign w:val="superscript"/>
              </w:rPr>
            </w:pPr>
            <w:r w:rsidRPr="00EF6679">
              <w:rPr>
                <w:rFonts w:ascii="Times New Roman" w:hAnsi="Times New Roman" w:cs="Times New Roman"/>
                <w:color w:val="000000" w:themeColor="text1"/>
                <w:sz w:val="16"/>
                <w:szCs w:val="16"/>
                <w:vertAlign w:val="superscript"/>
              </w:rPr>
              <w:t>b</w:t>
            </w:r>
          </w:p>
        </w:tc>
        <w:tc>
          <w:tcPr>
            <w:tcW w:w="712" w:type="dxa"/>
            <w:noWrap/>
            <w:vAlign w:val="center"/>
            <w:hideMark/>
          </w:tcPr>
          <w:p w14:paraId="2FE02056" w14:textId="77777777" w:rsidR="00BB138C" w:rsidRPr="00EF6679" w:rsidRDefault="00BB138C" w:rsidP="00820288">
            <w:pPr>
              <w:spacing w:line="240" w:lineRule="auto"/>
              <w:jc w:val="right"/>
              <w:rPr>
                <w:rFonts w:ascii="Times New Roman" w:hAnsi="Times New Roman" w:cs="Times New Roman"/>
                <w:color w:val="000000" w:themeColor="text1"/>
                <w:sz w:val="16"/>
                <w:szCs w:val="16"/>
              </w:rPr>
            </w:pPr>
            <w:r w:rsidRPr="00EF6679">
              <w:rPr>
                <w:rFonts w:ascii="Times New Roman" w:hAnsi="Times New Roman" w:cs="Times New Roman"/>
                <w:color w:val="000000" w:themeColor="text1"/>
                <w:sz w:val="16"/>
                <w:szCs w:val="16"/>
              </w:rPr>
              <w:t>2.164</w:t>
            </w:r>
          </w:p>
        </w:tc>
        <w:tc>
          <w:tcPr>
            <w:tcW w:w="478" w:type="dxa"/>
            <w:noWrap/>
            <w:vAlign w:val="center"/>
            <w:hideMark/>
          </w:tcPr>
          <w:p w14:paraId="44454016" w14:textId="77777777" w:rsidR="00BB138C" w:rsidRPr="00EF6679" w:rsidRDefault="00BB138C" w:rsidP="00820288">
            <w:pPr>
              <w:spacing w:line="240" w:lineRule="auto"/>
              <w:rPr>
                <w:rFonts w:ascii="Times New Roman" w:hAnsi="Times New Roman" w:cs="Times New Roman"/>
                <w:color w:val="000000" w:themeColor="text1"/>
                <w:sz w:val="16"/>
                <w:szCs w:val="16"/>
                <w:vertAlign w:val="superscript"/>
              </w:rPr>
            </w:pPr>
            <w:r w:rsidRPr="00EF6679">
              <w:rPr>
                <w:rFonts w:ascii="Times New Roman" w:hAnsi="Times New Roman" w:cs="Times New Roman"/>
                <w:color w:val="000000" w:themeColor="text1"/>
                <w:sz w:val="16"/>
                <w:szCs w:val="16"/>
                <w:vertAlign w:val="superscript"/>
              </w:rPr>
              <w:t>a</w:t>
            </w:r>
          </w:p>
        </w:tc>
      </w:tr>
      <w:tr w:rsidR="00BB138C" w:rsidRPr="00EF6679" w14:paraId="4A27E1E3" w14:textId="77777777" w:rsidTr="00820288">
        <w:trPr>
          <w:trHeight w:val="144"/>
        </w:trPr>
        <w:tc>
          <w:tcPr>
            <w:tcW w:w="2880" w:type="dxa"/>
            <w:noWrap/>
            <w:vAlign w:val="bottom"/>
            <w:hideMark/>
          </w:tcPr>
          <w:p w14:paraId="4D3C0FAD" w14:textId="77777777" w:rsidR="00BB138C" w:rsidRPr="00EF6679" w:rsidRDefault="00BB138C" w:rsidP="00820288">
            <w:pPr>
              <w:spacing w:line="240" w:lineRule="auto"/>
              <w:rPr>
                <w:rFonts w:ascii="Times New Roman" w:hAnsi="Times New Roman" w:cs="Times New Roman"/>
                <w:color w:val="000000" w:themeColor="text1"/>
                <w:sz w:val="16"/>
                <w:szCs w:val="16"/>
              </w:rPr>
            </w:pPr>
            <w:r w:rsidRPr="00EF6679">
              <w:rPr>
                <w:rFonts w:ascii="Times New Roman" w:hAnsi="Times New Roman" w:cs="Times New Roman"/>
                <w:color w:val="000000" w:themeColor="text1"/>
                <w:sz w:val="16"/>
                <w:szCs w:val="16"/>
              </w:rPr>
              <w:t xml:space="preserve">Benzaldehyde             </w:t>
            </w:r>
          </w:p>
        </w:tc>
        <w:tc>
          <w:tcPr>
            <w:tcW w:w="758" w:type="dxa"/>
            <w:noWrap/>
            <w:vAlign w:val="center"/>
            <w:hideMark/>
          </w:tcPr>
          <w:p w14:paraId="1432368B" w14:textId="77777777" w:rsidR="00BB138C" w:rsidRPr="00EF6679" w:rsidRDefault="00BB138C" w:rsidP="00820288">
            <w:pPr>
              <w:spacing w:line="240" w:lineRule="auto"/>
              <w:jc w:val="right"/>
              <w:rPr>
                <w:rFonts w:ascii="Times New Roman" w:hAnsi="Times New Roman" w:cs="Times New Roman"/>
                <w:color w:val="000000" w:themeColor="text1"/>
                <w:sz w:val="16"/>
                <w:szCs w:val="16"/>
              </w:rPr>
            </w:pPr>
            <w:r w:rsidRPr="00EF6679">
              <w:rPr>
                <w:rFonts w:ascii="Times New Roman" w:hAnsi="Times New Roman" w:cs="Times New Roman"/>
                <w:color w:val="000000" w:themeColor="text1"/>
                <w:sz w:val="16"/>
                <w:szCs w:val="16"/>
              </w:rPr>
              <w:t>0.069</w:t>
            </w:r>
          </w:p>
        </w:tc>
        <w:tc>
          <w:tcPr>
            <w:tcW w:w="366" w:type="dxa"/>
            <w:noWrap/>
            <w:vAlign w:val="center"/>
            <w:hideMark/>
          </w:tcPr>
          <w:p w14:paraId="65632C0A" w14:textId="77777777" w:rsidR="00BB138C" w:rsidRPr="00EF6679" w:rsidRDefault="00BB138C" w:rsidP="00820288">
            <w:pPr>
              <w:spacing w:line="240" w:lineRule="auto"/>
              <w:rPr>
                <w:rFonts w:ascii="Times New Roman" w:hAnsi="Times New Roman" w:cs="Times New Roman"/>
                <w:color w:val="000000" w:themeColor="text1"/>
                <w:sz w:val="16"/>
                <w:szCs w:val="16"/>
                <w:vertAlign w:val="superscript"/>
              </w:rPr>
            </w:pPr>
            <w:r w:rsidRPr="00EF6679">
              <w:rPr>
                <w:rFonts w:ascii="Times New Roman" w:hAnsi="Times New Roman" w:cs="Times New Roman"/>
                <w:color w:val="000000" w:themeColor="text1"/>
                <w:sz w:val="16"/>
                <w:szCs w:val="16"/>
                <w:vertAlign w:val="superscript"/>
              </w:rPr>
              <w:t>a</w:t>
            </w:r>
          </w:p>
        </w:tc>
        <w:tc>
          <w:tcPr>
            <w:tcW w:w="712" w:type="dxa"/>
            <w:noWrap/>
            <w:vAlign w:val="center"/>
            <w:hideMark/>
          </w:tcPr>
          <w:p w14:paraId="289D68A8" w14:textId="77777777" w:rsidR="00BB138C" w:rsidRPr="00EF6679" w:rsidRDefault="00BB138C" w:rsidP="00820288">
            <w:pPr>
              <w:spacing w:line="240" w:lineRule="auto"/>
              <w:jc w:val="right"/>
              <w:rPr>
                <w:rFonts w:ascii="Times New Roman" w:hAnsi="Times New Roman" w:cs="Times New Roman"/>
                <w:color w:val="000000" w:themeColor="text1"/>
                <w:sz w:val="16"/>
                <w:szCs w:val="16"/>
              </w:rPr>
            </w:pPr>
            <w:r w:rsidRPr="00EF6679">
              <w:rPr>
                <w:rFonts w:ascii="Times New Roman" w:hAnsi="Times New Roman" w:cs="Times New Roman"/>
                <w:color w:val="000000" w:themeColor="text1"/>
                <w:sz w:val="16"/>
                <w:szCs w:val="16"/>
              </w:rPr>
              <w:t>0.069</w:t>
            </w:r>
          </w:p>
        </w:tc>
        <w:tc>
          <w:tcPr>
            <w:tcW w:w="478" w:type="dxa"/>
            <w:noWrap/>
            <w:vAlign w:val="center"/>
            <w:hideMark/>
          </w:tcPr>
          <w:p w14:paraId="39C4B386" w14:textId="77777777" w:rsidR="00BB138C" w:rsidRPr="00EF6679" w:rsidRDefault="00BB138C" w:rsidP="00820288">
            <w:pPr>
              <w:spacing w:line="240" w:lineRule="auto"/>
              <w:rPr>
                <w:rFonts w:ascii="Times New Roman" w:hAnsi="Times New Roman" w:cs="Times New Roman"/>
                <w:color w:val="000000" w:themeColor="text1"/>
                <w:sz w:val="16"/>
                <w:szCs w:val="16"/>
                <w:vertAlign w:val="superscript"/>
              </w:rPr>
            </w:pPr>
            <w:r w:rsidRPr="00EF6679">
              <w:rPr>
                <w:rFonts w:ascii="Times New Roman" w:hAnsi="Times New Roman" w:cs="Times New Roman"/>
                <w:color w:val="000000" w:themeColor="text1"/>
                <w:sz w:val="16"/>
                <w:szCs w:val="16"/>
                <w:vertAlign w:val="superscript"/>
              </w:rPr>
              <w:t>a</w:t>
            </w:r>
          </w:p>
        </w:tc>
      </w:tr>
      <w:tr w:rsidR="00BB138C" w:rsidRPr="00EF6679" w14:paraId="65A523DC" w14:textId="77777777" w:rsidTr="00820288">
        <w:trPr>
          <w:trHeight w:val="144"/>
        </w:trPr>
        <w:tc>
          <w:tcPr>
            <w:tcW w:w="2880" w:type="dxa"/>
            <w:noWrap/>
            <w:vAlign w:val="bottom"/>
          </w:tcPr>
          <w:p w14:paraId="7711A2DE" w14:textId="77777777" w:rsidR="00BB138C" w:rsidRPr="00EF6679" w:rsidRDefault="00BB138C" w:rsidP="00820288">
            <w:pPr>
              <w:spacing w:line="240" w:lineRule="auto"/>
              <w:rPr>
                <w:rFonts w:ascii="Times New Roman" w:hAnsi="Times New Roman" w:cs="Times New Roman"/>
                <w:b/>
                <w:bCs/>
                <w:color w:val="000000" w:themeColor="text1"/>
                <w:sz w:val="16"/>
                <w:szCs w:val="16"/>
              </w:rPr>
            </w:pPr>
            <w:r w:rsidRPr="00EF6679">
              <w:rPr>
                <w:rFonts w:ascii="Times New Roman" w:hAnsi="Times New Roman" w:cs="Times New Roman"/>
                <w:color w:val="000000" w:themeColor="text1"/>
                <w:sz w:val="16"/>
                <w:szCs w:val="16"/>
              </w:rPr>
              <w:t>2-cyclopropyl-Pentane</w:t>
            </w:r>
          </w:p>
        </w:tc>
        <w:tc>
          <w:tcPr>
            <w:tcW w:w="758" w:type="dxa"/>
            <w:noWrap/>
            <w:vAlign w:val="center"/>
          </w:tcPr>
          <w:p w14:paraId="7AA223F1" w14:textId="77777777" w:rsidR="00BB138C" w:rsidRPr="00EF6679" w:rsidRDefault="00BB138C" w:rsidP="00820288">
            <w:pPr>
              <w:spacing w:line="240" w:lineRule="auto"/>
              <w:jc w:val="right"/>
              <w:rPr>
                <w:rFonts w:ascii="Times New Roman" w:hAnsi="Times New Roman" w:cs="Times New Roman"/>
                <w:color w:val="000000" w:themeColor="text1"/>
                <w:sz w:val="16"/>
                <w:szCs w:val="16"/>
              </w:rPr>
            </w:pPr>
            <w:r w:rsidRPr="00EF6679">
              <w:rPr>
                <w:rFonts w:ascii="Times New Roman" w:hAnsi="Times New Roman" w:cs="Times New Roman"/>
                <w:color w:val="000000" w:themeColor="text1"/>
                <w:sz w:val="16"/>
                <w:szCs w:val="16"/>
              </w:rPr>
              <w:t>8.620</w:t>
            </w:r>
          </w:p>
        </w:tc>
        <w:tc>
          <w:tcPr>
            <w:tcW w:w="366" w:type="dxa"/>
            <w:noWrap/>
            <w:vAlign w:val="center"/>
          </w:tcPr>
          <w:p w14:paraId="3949DA26" w14:textId="77777777" w:rsidR="00BB138C" w:rsidRPr="00EF6679" w:rsidRDefault="00BB138C" w:rsidP="00820288">
            <w:pPr>
              <w:spacing w:line="240" w:lineRule="auto"/>
              <w:rPr>
                <w:rFonts w:ascii="Times New Roman" w:hAnsi="Times New Roman" w:cs="Times New Roman"/>
                <w:color w:val="000000" w:themeColor="text1"/>
                <w:sz w:val="16"/>
                <w:szCs w:val="16"/>
                <w:vertAlign w:val="superscript"/>
              </w:rPr>
            </w:pPr>
            <w:r w:rsidRPr="00EF6679">
              <w:rPr>
                <w:rFonts w:ascii="Times New Roman" w:hAnsi="Times New Roman" w:cs="Times New Roman"/>
                <w:color w:val="000000" w:themeColor="text1"/>
                <w:sz w:val="16"/>
                <w:szCs w:val="16"/>
                <w:vertAlign w:val="superscript"/>
              </w:rPr>
              <w:t>a</w:t>
            </w:r>
          </w:p>
        </w:tc>
        <w:tc>
          <w:tcPr>
            <w:tcW w:w="712" w:type="dxa"/>
            <w:noWrap/>
            <w:vAlign w:val="center"/>
          </w:tcPr>
          <w:p w14:paraId="6142B88C" w14:textId="77777777" w:rsidR="00BB138C" w:rsidRPr="00EF6679" w:rsidRDefault="00BB138C" w:rsidP="00820288">
            <w:pPr>
              <w:spacing w:line="240" w:lineRule="auto"/>
              <w:jc w:val="right"/>
              <w:rPr>
                <w:rFonts w:ascii="Times New Roman" w:hAnsi="Times New Roman" w:cs="Times New Roman"/>
                <w:color w:val="000000" w:themeColor="text1"/>
                <w:sz w:val="16"/>
                <w:szCs w:val="16"/>
              </w:rPr>
            </w:pPr>
            <w:r w:rsidRPr="00EF6679">
              <w:rPr>
                <w:rFonts w:ascii="Times New Roman" w:hAnsi="Times New Roman" w:cs="Times New Roman"/>
                <w:color w:val="000000" w:themeColor="text1"/>
                <w:sz w:val="16"/>
                <w:szCs w:val="16"/>
              </w:rPr>
              <w:t>9.898</w:t>
            </w:r>
          </w:p>
        </w:tc>
        <w:tc>
          <w:tcPr>
            <w:tcW w:w="478" w:type="dxa"/>
            <w:noWrap/>
            <w:vAlign w:val="center"/>
          </w:tcPr>
          <w:p w14:paraId="57AEBD68" w14:textId="77777777" w:rsidR="00BB138C" w:rsidRPr="00EF6679" w:rsidRDefault="00BB138C" w:rsidP="00820288">
            <w:pPr>
              <w:spacing w:line="240" w:lineRule="auto"/>
              <w:rPr>
                <w:rFonts w:ascii="Times New Roman" w:hAnsi="Times New Roman" w:cs="Times New Roman"/>
                <w:color w:val="000000" w:themeColor="text1"/>
                <w:sz w:val="16"/>
                <w:szCs w:val="16"/>
                <w:vertAlign w:val="superscript"/>
              </w:rPr>
            </w:pPr>
            <w:r w:rsidRPr="00EF6679">
              <w:rPr>
                <w:rFonts w:ascii="Times New Roman" w:hAnsi="Times New Roman" w:cs="Times New Roman"/>
                <w:color w:val="000000" w:themeColor="text1"/>
                <w:sz w:val="16"/>
                <w:szCs w:val="16"/>
                <w:vertAlign w:val="superscript"/>
              </w:rPr>
              <w:t>a</w:t>
            </w:r>
          </w:p>
        </w:tc>
      </w:tr>
      <w:tr w:rsidR="00BB138C" w:rsidRPr="00EF6679" w14:paraId="59BA16D0" w14:textId="77777777" w:rsidTr="00820288">
        <w:trPr>
          <w:trHeight w:val="144"/>
        </w:trPr>
        <w:tc>
          <w:tcPr>
            <w:tcW w:w="2880" w:type="dxa"/>
            <w:noWrap/>
            <w:vAlign w:val="bottom"/>
            <w:hideMark/>
          </w:tcPr>
          <w:p w14:paraId="0B5D8A0A" w14:textId="77777777" w:rsidR="00BB138C" w:rsidRPr="00EF6679" w:rsidRDefault="00BB138C" w:rsidP="00820288">
            <w:pPr>
              <w:spacing w:line="240" w:lineRule="auto"/>
              <w:rPr>
                <w:rFonts w:ascii="Times New Roman" w:hAnsi="Times New Roman" w:cs="Times New Roman"/>
                <w:color w:val="000000" w:themeColor="text1"/>
                <w:sz w:val="16"/>
                <w:szCs w:val="16"/>
              </w:rPr>
            </w:pPr>
            <w:r w:rsidRPr="00EF6679">
              <w:rPr>
                <w:rFonts w:ascii="Times New Roman" w:hAnsi="Times New Roman" w:cs="Times New Roman"/>
                <w:color w:val="000000" w:themeColor="text1"/>
                <w:sz w:val="16"/>
                <w:szCs w:val="16"/>
              </w:rPr>
              <w:t xml:space="preserve">β-Pinene                  </w:t>
            </w:r>
          </w:p>
        </w:tc>
        <w:tc>
          <w:tcPr>
            <w:tcW w:w="758" w:type="dxa"/>
            <w:noWrap/>
            <w:vAlign w:val="center"/>
            <w:hideMark/>
          </w:tcPr>
          <w:p w14:paraId="1E855051" w14:textId="77777777" w:rsidR="00BB138C" w:rsidRPr="00EF6679" w:rsidRDefault="00BB138C" w:rsidP="00820288">
            <w:pPr>
              <w:spacing w:line="240" w:lineRule="auto"/>
              <w:jc w:val="right"/>
              <w:rPr>
                <w:rFonts w:ascii="Times New Roman" w:hAnsi="Times New Roman" w:cs="Times New Roman"/>
                <w:color w:val="000000" w:themeColor="text1"/>
                <w:sz w:val="16"/>
                <w:szCs w:val="16"/>
              </w:rPr>
            </w:pPr>
            <w:r w:rsidRPr="00EF6679">
              <w:rPr>
                <w:rFonts w:ascii="Times New Roman" w:hAnsi="Times New Roman" w:cs="Times New Roman"/>
                <w:color w:val="000000" w:themeColor="text1"/>
                <w:sz w:val="16"/>
                <w:szCs w:val="16"/>
              </w:rPr>
              <w:t>86.703</w:t>
            </w:r>
          </w:p>
        </w:tc>
        <w:tc>
          <w:tcPr>
            <w:tcW w:w="366" w:type="dxa"/>
            <w:noWrap/>
            <w:vAlign w:val="center"/>
            <w:hideMark/>
          </w:tcPr>
          <w:p w14:paraId="7B66ED1E" w14:textId="77777777" w:rsidR="00BB138C" w:rsidRPr="00EF6679" w:rsidRDefault="00BB138C" w:rsidP="00820288">
            <w:pPr>
              <w:spacing w:line="240" w:lineRule="auto"/>
              <w:rPr>
                <w:rFonts w:ascii="Times New Roman" w:hAnsi="Times New Roman" w:cs="Times New Roman"/>
                <w:color w:val="000000" w:themeColor="text1"/>
                <w:sz w:val="16"/>
                <w:szCs w:val="16"/>
                <w:vertAlign w:val="superscript"/>
              </w:rPr>
            </w:pPr>
            <w:r w:rsidRPr="00EF6679">
              <w:rPr>
                <w:rFonts w:ascii="Times New Roman" w:hAnsi="Times New Roman" w:cs="Times New Roman"/>
                <w:color w:val="000000" w:themeColor="text1"/>
                <w:sz w:val="16"/>
                <w:szCs w:val="16"/>
                <w:vertAlign w:val="superscript"/>
              </w:rPr>
              <w:t>a</w:t>
            </w:r>
          </w:p>
        </w:tc>
        <w:tc>
          <w:tcPr>
            <w:tcW w:w="712" w:type="dxa"/>
            <w:noWrap/>
            <w:vAlign w:val="center"/>
            <w:hideMark/>
          </w:tcPr>
          <w:p w14:paraId="36A392DB" w14:textId="77777777" w:rsidR="00BB138C" w:rsidRPr="00EF6679" w:rsidRDefault="00BB138C" w:rsidP="00820288">
            <w:pPr>
              <w:spacing w:line="240" w:lineRule="auto"/>
              <w:jc w:val="right"/>
              <w:rPr>
                <w:rFonts w:ascii="Times New Roman" w:hAnsi="Times New Roman" w:cs="Times New Roman"/>
                <w:color w:val="000000" w:themeColor="text1"/>
                <w:sz w:val="16"/>
                <w:szCs w:val="16"/>
              </w:rPr>
            </w:pPr>
            <w:r w:rsidRPr="00EF6679">
              <w:rPr>
                <w:rFonts w:ascii="Times New Roman" w:hAnsi="Times New Roman" w:cs="Times New Roman"/>
                <w:color w:val="000000" w:themeColor="text1"/>
                <w:sz w:val="16"/>
                <w:szCs w:val="16"/>
              </w:rPr>
              <w:t>102.460</w:t>
            </w:r>
          </w:p>
        </w:tc>
        <w:tc>
          <w:tcPr>
            <w:tcW w:w="478" w:type="dxa"/>
            <w:noWrap/>
            <w:vAlign w:val="center"/>
            <w:hideMark/>
          </w:tcPr>
          <w:p w14:paraId="3C45B83F" w14:textId="77777777" w:rsidR="00BB138C" w:rsidRPr="00EF6679" w:rsidRDefault="00BB138C" w:rsidP="00820288">
            <w:pPr>
              <w:spacing w:line="240" w:lineRule="auto"/>
              <w:rPr>
                <w:rFonts w:ascii="Times New Roman" w:hAnsi="Times New Roman" w:cs="Times New Roman"/>
                <w:color w:val="000000" w:themeColor="text1"/>
                <w:sz w:val="16"/>
                <w:szCs w:val="16"/>
                <w:vertAlign w:val="superscript"/>
              </w:rPr>
            </w:pPr>
            <w:r w:rsidRPr="00EF6679">
              <w:rPr>
                <w:rFonts w:ascii="Times New Roman" w:hAnsi="Times New Roman" w:cs="Times New Roman"/>
                <w:color w:val="000000" w:themeColor="text1"/>
                <w:sz w:val="16"/>
                <w:szCs w:val="16"/>
                <w:vertAlign w:val="superscript"/>
              </w:rPr>
              <w:t>a</w:t>
            </w:r>
          </w:p>
        </w:tc>
      </w:tr>
      <w:tr w:rsidR="00BB138C" w:rsidRPr="00EF6679" w14:paraId="7BF633D9" w14:textId="77777777" w:rsidTr="00820288">
        <w:trPr>
          <w:trHeight w:val="144"/>
        </w:trPr>
        <w:tc>
          <w:tcPr>
            <w:tcW w:w="2880" w:type="dxa"/>
            <w:noWrap/>
            <w:vAlign w:val="bottom"/>
            <w:hideMark/>
          </w:tcPr>
          <w:p w14:paraId="5309FFCE" w14:textId="77777777" w:rsidR="00BB138C" w:rsidRPr="00EF6679" w:rsidRDefault="00BB138C" w:rsidP="00820288">
            <w:pPr>
              <w:spacing w:line="240" w:lineRule="auto"/>
              <w:rPr>
                <w:rFonts w:ascii="Times New Roman" w:hAnsi="Times New Roman" w:cs="Times New Roman"/>
                <w:color w:val="000000" w:themeColor="text1"/>
                <w:sz w:val="16"/>
                <w:szCs w:val="16"/>
              </w:rPr>
            </w:pPr>
            <w:r w:rsidRPr="00EF6679">
              <w:rPr>
                <w:rFonts w:ascii="Times New Roman" w:hAnsi="Times New Roman" w:cs="Times New Roman"/>
                <w:color w:val="000000" w:themeColor="text1"/>
                <w:sz w:val="16"/>
                <w:szCs w:val="16"/>
              </w:rPr>
              <w:t xml:space="preserve">1-Octen-3-ol             </w:t>
            </w:r>
          </w:p>
        </w:tc>
        <w:tc>
          <w:tcPr>
            <w:tcW w:w="758" w:type="dxa"/>
            <w:noWrap/>
            <w:vAlign w:val="center"/>
            <w:hideMark/>
          </w:tcPr>
          <w:p w14:paraId="41A75E4C" w14:textId="77777777" w:rsidR="00BB138C" w:rsidRPr="00EF6679" w:rsidRDefault="00BB138C" w:rsidP="00820288">
            <w:pPr>
              <w:spacing w:line="240" w:lineRule="auto"/>
              <w:jc w:val="right"/>
              <w:rPr>
                <w:rFonts w:ascii="Times New Roman" w:hAnsi="Times New Roman" w:cs="Times New Roman"/>
                <w:color w:val="000000" w:themeColor="text1"/>
                <w:sz w:val="16"/>
                <w:szCs w:val="16"/>
              </w:rPr>
            </w:pPr>
            <w:r w:rsidRPr="00EF6679">
              <w:rPr>
                <w:rFonts w:ascii="Times New Roman" w:hAnsi="Times New Roman" w:cs="Times New Roman"/>
                <w:color w:val="000000" w:themeColor="text1"/>
                <w:sz w:val="16"/>
                <w:szCs w:val="16"/>
              </w:rPr>
              <w:t>3.978</w:t>
            </w:r>
          </w:p>
        </w:tc>
        <w:tc>
          <w:tcPr>
            <w:tcW w:w="366" w:type="dxa"/>
            <w:noWrap/>
            <w:vAlign w:val="center"/>
            <w:hideMark/>
          </w:tcPr>
          <w:p w14:paraId="4CD968FE" w14:textId="77777777" w:rsidR="00BB138C" w:rsidRPr="00EF6679" w:rsidRDefault="00BB138C" w:rsidP="00820288">
            <w:pPr>
              <w:spacing w:line="240" w:lineRule="auto"/>
              <w:rPr>
                <w:rFonts w:ascii="Times New Roman" w:hAnsi="Times New Roman" w:cs="Times New Roman"/>
                <w:color w:val="000000" w:themeColor="text1"/>
                <w:sz w:val="16"/>
                <w:szCs w:val="16"/>
                <w:vertAlign w:val="superscript"/>
              </w:rPr>
            </w:pPr>
            <w:r w:rsidRPr="00EF6679">
              <w:rPr>
                <w:rFonts w:ascii="Times New Roman" w:hAnsi="Times New Roman" w:cs="Times New Roman"/>
                <w:color w:val="000000" w:themeColor="text1"/>
                <w:sz w:val="16"/>
                <w:szCs w:val="16"/>
                <w:vertAlign w:val="superscript"/>
              </w:rPr>
              <w:t>a</w:t>
            </w:r>
          </w:p>
        </w:tc>
        <w:tc>
          <w:tcPr>
            <w:tcW w:w="712" w:type="dxa"/>
            <w:noWrap/>
            <w:vAlign w:val="center"/>
            <w:hideMark/>
          </w:tcPr>
          <w:p w14:paraId="4B9DBAE1" w14:textId="77777777" w:rsidR="00BB138C" w:rsidRPr="00EF6679" w:rsidRDefault="00BB138C" w:rsidP="00820288">
            <w:pPr>
              <w:spacing w:line="240" w:lineRule="auto"/>
              <w:jc w:val="right"/>
              <w:rPr>
                <w:rFonts w:ascii="Times New Roman" w:hAnsi="Times New Roman" w:cs="Times New Roman"/>
                <w:color w:val="000000" w:themeColor="text1"/>
                <w:sz w:val="16"/>
                <w:szCs w:val="16"/>
              </w:rPr>
            </w:pPr>
            <w:r w:rsidRPr="00EF6679">
              <w:rPr>
                <w:rFonts w:ascii="Times New Roman" w:hAnsi="Times New Roman" w:cs="Times New Roman"/>
                <w:color w:val="000000" w:themeColor="text1"/>
                <w:sz w:val="16"/>
                <w:szCs w:val="16"/>
              </w:rPr>
              <w:t>2.972</w:t>
            </w:r>
          </w:p>
        </w:tc>
        <w:tc>
          <w:tcPr>
            <w:tcW w:w="478" w:type="dxa"/>
            <w:noWrap/>
            <w:vAlign w:val="center"/>
            <w:hideMark/>
          </w:tcPr>
          <w:p w14:paraId="7D172513" w14:textId="77777777" w:rsidR="00BB138C" w:rsidRPr="00EF6679" w:rsidRDefault="00BB138C" w:rsidP="00820288">
            <w:pPr>
              <w:spacing w:line="240" w:lineRule="auto"/>
              <w:rPr>
                <w:rFonts w:ascii="Times New Roman" w:hAnsi="Times New Roman" w:cs="Times New Roman"/>
                <w:color w:val="000000" w:themeColor="text1"/>
                <w:sz w:val="16"/>
                <w:szCs w:val="16"/>
                <w:vertAlign w:val="superscript"/>
              </w:rPr>
            </w:pPr>
            <w:r w:rsidRPr="00EF6679">
              <w:rPr>
                <w:rFonts w:ascii="Times New Roman" w:hAnsi="Times New Roman" w:cs="Times New Roman"/>
                <w:color w:val="000000" w:themeColor="text1"/>
                <w:sz w:val="16"/>
                <w:szCs w:val="16"/>
                <w:vertAlign w:val="superscript"/>
              </w:rPr>
              <w:t>a</w:t>
            </w:r>
          </w:p>
        </w:tc>
      </w:tr>
      <w:tr w:rsidR="00BB138C" w:rsidRPr="00EF6679" w14:paraId="3377A431" w14:textId="77777777" w:rsidTr="00820288">
        <w:trPr>
          <w:trHeight w:val="144"/>
        </w:trPr>
        <w:tc>
          <w:tcPr>
            <w:tcW w:w="2880" w:type="dxa"/>
            <w:noWrap/>
            <w:vAlign w:val="bottom"/>
          </w:tcPr>
          <w:p w14:paraId="2F30060B" w14:textId="77777777" w:rsidR="00BB138C" w:rsidRPr="00EF6679" w:rsidRDefault="00BB138C" w:rsidP="00820288">
            <w:pPr>
              <w:spacing w:line="240" w:lineRule="auto"/>
              <w:rPr>
                <w:rFonts w:ascii="Times New Roman" w:hAnsi="Times New Roman" w:cs="Times New Roman"/>
                <w:b/>
                <w:bCs/>
                <w:color w:val="000000" w:themeColor="text1"/>
                <w:sz w:val="16"/>
                <w:szCs w:val="16"/>
              </w:rPr>
            </w:pPr>
            <w:r w:rsidRPr="00EF6679">
              <w:rPr>
                <w:rFonts w:ascii="Times New Roman" w:hAnsi="Times New Roman" w:cs="Times New Roman"/>
                <w:color w:val="000000" w:themeColor="text1"/>
                <w:sz w:val="16"/>
                <w:szCs w:val="16"/>
              </w:rPr>
              <w:t xml:space="preserve">1,4-Octadiene            </w:t>
            </w:r>
          </w:p>
        </w:tc>
        <w:tc>
          <w:tcPr>
            <w:tcW w:w="758" w:type="dxa"/>
            <w:noWrap/>
            <w:vAlign w:val="center"/>
          </w:tcPr>
          <w:p w14:paraId="6064915C" w14:textId="77777777" w:rsidR="00BB138C" w:rsidRPr="00EF6679" w:rsidRDefault="00BB138C" w:rsidP="00820288">
            <w:pPr>
              <w:spacing w:line="240" w:lineRule="auto"/>
              <w:jc w:val="right"/>
              <w:rPr>
                <w:rFonts w:ascii="Times New Roman" w:hAnsi="Times New Roman" w:cs="Times New Roman"/>
                <w:color w:val="000000" w:themeColor="text1"/>
                <w:sz w:val="16"/>
                <w:szCs w:val="16"/>
              </w:rPr>
            </w:pPr>
            <w:r w:rsidRPr="00EF6679">
              <w:rPr>
                <w:rFonts w:ascii="Times New Roman" w:hAnsi="Times New Roman" w:cs="Times New Roman"/>
                <w:color w:val="000000" w:themeColor="text1"/>
                <w:sz w:val="16"/>
                <w:szCs w:val="16"/>
              </w:rPr>
              <w:t>8.026</w:t>
            </w:r>
          </w:p>
        </w:tc>
        <w:tc>
          <w:tcPr>
            <w:tcW w:w="366" w:type="dxa"/>
            <w:noWrap/>
            <w:vAlign w:val="center"/>
          </w:tcPr>
          <w:p w14:paraId="0D296D90" w14:textId="77777777" w:rsidR="00BB138C" w:rsidRPr="00EF6679" w:rsidRDefault="00BB138C" w:rsidP="00820288">
            <w:pPr>
              <w:spacing w:line="240" w:lineRule="auto"/>
              <w:rPr>
                <w:rFonts w:ascii="Times New Roman" w:hAnsi="Times New Roman" w:cs="Times New Roman"/>
                <w:color w:val="000000" w:themeColor="text1"/>
                <w:sz w:val="16"/>
                <w:szCs w:val="16"/>
                <w:vertAlign w:val="superscript"/>
              </w:rPr>
            </w:pPr>
            <w:r w:rsidRPr="00EF6679">
              <w:rPr>
                <w:rFonts w:ascii="Times New Roman" w:hAnsi="Times New Roman" w:cs="Times New Roman"/>
                <w:color w:val="000000" w:themeColor="text1"/>
                <w:sz w:val="16"/>
                <w:szCs w:val="16"/>
                <w:vertAlign w:val="superscript"/>
              </w:rPr>
              <w:t>a</w:t>
            </w:r>
          </w:p>
        </w:tc>
        <w:tc>
          <w:tcPr>
            <w:tcW w:w="712" w:type="dxa"/>
            <w:noWrap/>
            <w:vAlign w:val="center"/>
          </w:tcPr>
          <w:p w14:paraId="095CD973" w14:textId="77777777" w:rsidR="00BB138C" w:rsidRPr="00EF6679" w:rsidRDefault="00BB138C" w:rsidP="00820288">
            <w:pPr>
              <w:spacing w:line="240" w:lineRule="auto"/>
              <w:jc w:val="right"/>
              <w:rPr>
                <w:rFonts w:ascii="Times New Roman" w:hAnsi="Times New Roman" w:cs="Times New Roman"/>
                <w:color w:val="000000" w:themeColor="text1"/>
                <w:sz w:val="16"/>
                <w:szCs w:val="16"/>
              </w:rPr>
            </w:pPr>
            <w:r w:rsidRPr="00EF6679">
              <w:rPr>
                <w:rFonts w:ascii="Times New Roman" w:hAnsi="Times New Roman" w:cs="Times New Roman"/>
                <w:color w:val="000000" w:themeColor="text1"/>
                <w:sz w:val="16"/>
                <w:szCs w:val="16"/>
              </w:rPr>
              <w:t>3.431</w:t>
            </w:r>
          </w:p>
        </w:tc>
        <w:tc>
          <w:tcPr>
            <w:tcW w:w="478" w:type="dxa"/>
            <w:noWrap/>
            <w:vAlign w:val="center"/>
          </w:tcPr>
          <w:p w14:paraId="4A0EC3BA" w14:textId="77777777" w:rsidR="00BB138C" w:rsidRPr="00EF6679" w:rsidRDefault="00BB138C" w:rsidP="00820288">
            <w:pPr>
              <w:spacing w:line="240" w:lineRule="auto"/>
              <w:rPr>
                <w:rFonts w:ascii="Times New Roman" w:hAnsi="Times New Roman" w:cs="Times New Roman"/>
                <w:color w:val="000000" w:themeColor="text1"/>
                <w:sz w:val="16"/>
                <w:szCs w:val="16"/>
                <w:vertAlign w:val="superscript"/>
              </w:rPr>
            </w:pPr>
            <w:r w:rsidRPr="00EF6679">
              <w:rPr>
                <w:rFonts w:ascii="Times New Roman" w:hAnsi="Times New Roman" w:cs="Times New Roman"/>
                <w:color w:val="000000" w:themeColor="text1"/>
                <w:sz w:val="16"/>
                <w:szCs w:val="16"/>
                <w:vertAlign w:val="superscript"/>
              </w:rPr>
              <w:t>b</w:t>
            </w:r>
          </w:p>
        </w:tc>
      </w:tr>
      <w:tr w:rsidR="00BB138C" w:rsidRPr="00EF6679" w14:paraId="77C89B46" w14:textId="77777777" w:rsidTr="00820288">
        <w:trPr>
          <w:trHeight w:val="144"/>
        </w:trPr>
        <w:tc>
          <w:tcPr>
            <w:tcW w:w="2880" w:type="dxa"/>
            <w:noWrap/>
            <w:vAlign w:val="bottom"/>
            <w:hideMark/>
          </w:tcPr>
          <w:p w14:paraId="0FE2BBAD" w14:textId="77777777" w:rsidR="00BB138C" w:rsidRPr="00EF6679" w:rsidRDefault="00BB138C" w:rsidP="00820288">
            <w:pPr>
              <w:spacing w:line="240" w:lineRule="auto"/>
              <w:rPr>
                <w:rFonts w:ascii="Times New Roman" w:hAnsi="Times New Roman" w:cs="Times New Roman"/>
                <w:color w:val="000000" w:themeColor="text1"/>
                <w:sz w:val="16"/>
                <w:szCs w:val="16"/>
              </w:rPr>
            </w:pPr>
            <w:r w:rsidRPr="00EF6679">
              <w:rPr>
                <w:rFonts w:ascii="Times New Roman" w:hAnsi="Times New Roman" w:cs="Times New Roman"/>
                <w:color w:val="000000" w:themeColor="text1"/>
                <w:sz w:val="16"/>
                <w:szCs w:val="16"/>
              </w:rPr>
              <w:t>Phenol</w:t>
            </w:r>
          </w:p>
        </w:tc>
        <w:tc>
          <w:tcPr>
            <w:tcW w:w="758" w:type="dxa"/>
            <w:noWrap/>
            <w:vAlign w:val="center"/>
            <w:hideMark/>
          </w:tcPr>
          <w:p w14:paraId="0846A774" w14:textId="77777777" w:rsidR="00BB138C" w:rsidRPr="00EF6679" w:rsidRDefault="00BB138C" w:rsidP="00820288">
            <w:pPr>
              <w:spacing w:line="240" w:lineRule="auto"/>
              <w:jc w:val="right"/>
              <w:rPr>
                <w:rFonts w:ascii="Times New Roman" w:hAnsi="Times New Roman" w:cs="Times New Roman"/>
                <w:color w:val="000000" w:themeColor="text1"/>
                <w:sz w:val="16"/>
                <w:szCs w:val="16"/>
              </w:rPr>
            </w:pPr>
            <w:r w:rsidRPr="00EF6679">
              <w:rPr>
                <w:rFonts w:ascii="Times New Roman" w:hAnsi="Times New Roman" w:cs="Times New Roman"/>
                <w:color w:val="000000" w:themeColor="text1"/>
                <w:sz w:val="16"/>
                <w:szCs w:val="16"/>
              </w:rPr>
              <w:t>89.113</w:t>
            </w:r>
          </w:p>
        </w:tc>
        <w:tc>
          <w:tcPr>
            <w:tcW w:w="366" w:type="dxa"/>
            <w:noWrap/>
            <w:vAlign w:val="center"/>
            <w:hideMark/>
          </w:tcPr>
          <w:p w14:paraId="1992CB2F" w14:textId="77777777" w:rsidR="00BB138C" w:rsidRPr="00EF6679" w:rsidRDefault="00BB138C" w:rsidP="00820288">
            <w:pPr>
              <w:spacing w:line="240" w:lineRule="auto"/>
              <w:rPr>
                <w:rFonts w:ascii="Times New Roman" w:hAnsi="Times New Roman" w:cs="Times New Roman"/>
                <w:color w:val="000000" w:themeColor="text1"/>
                <w:sz w:val="16"/>
                <w:szCs w:val="16"/>
                <w:vertAlign w:val="superscript"/>
              </w:rPr>
            </w:pPr>
            <w:r w:rsidRPr="00EF6679">
              <w:rPr>
                <w:rFonts w:ascii="Times New Roman" w:hAnsi="Times New Roman" w:cs="Times New Roman"/>
                <w:color w:val="000000" w:themeColor="text1"/>
                <w:sz w:val="16"/>
                <w:szCs w:val="16"/>
                <w:vertAlign w:val="superscript"/>
              </w:rPr>
              <w:t>a</w:t>
            </w:r>
          </w:p>
        </w:tc>
        <w:tc>
          <w:tcPr>
            <w:tcW w:w="712" w:type="dxa"/>
            <w:noWrap/>
            <w:vAlign w:val="center"/>
            <w:hideMark/>
          </w:tcPr>
          <w:p w14:paraId="2F898CD6" w14:textId="77777777" w:rsidR="00BB138C" w:rsidRPr="00EF6679" w:rsidRDefault="00BB138C" w:rsidP="00820288">
            <w:pPr>
              <w:spacing w:line="240" w:lineRule="auto"/>
              <w:jc w:val="right"/>
              <w:rPr>
                <w:rFonts w:ascii="Times New Roman" w:hAnsi="Times New Roman" w:cs="Times New Roman"/>
                <w:color w:val="000000" w:themeColor="text1"/>
                <w:sz w:val="16"/>
                <w:szCs w:val="16"/>
              </w:rPr>
            </w:pPr>
            <w:r w:rsidRPr="00EF6679">
              <w:rPr>
                <w:rFonts w:ascii="Times New Roman" w:hAnsi="Times New Roman" w:cs="Times New Roman"/>
                <w:color w:val="000000" w:themeColor="text1"/>
                <w:sz w:val="16"/>
                <w:szCs w:val="16"/>
              </w:rPr>
              <w:t>102.390</w:t>
            </w:r>
          </w:p>
        </w:tc>
        <w:tc>
          <w:tcPr>
            <w:tcW w:w="478" w:type="dxa"/>
            <w:noWrap/>
            <w:vAlign w:val="center"/>
            <w:hideMark/>
          </w:tcPr>
          <w:p w14:paraId="4AECC183" w14:textId="77777777" w:rsidR="00BB138C" w:rsidRPr="00EF6679" w:rsidRDefault="00BB138C" w:rsidP="00820288">
            <w:pPr>
              <w:spacing w:line="240" w:lineRule="auto"/>
              <w:rPr>
                <w:rFonts w:ascii="Times New Roman" w:hAnsi="Times New Roman" w:cs="Times New Roman"/>
                <w:color w:val="000000" w:themeColor="text1"/>
                <w:sz w:val="16"/>
                <w:szCs w:val="16"/>
                <w:vertAlign w:val="superscript"/>
              </w:rPr>
            </w:pPr>
            <w:r w:rsidRPr="00EF6679">
              <w:rPr>
                <w:rFonts w:ascii="Times New Roman" w:hAnsi="Times New Roman" w:cs="Times New Roman"/>
                <w:color w:val="000000" w:themeColor="text1"/>
                <w:sz w:val="16"/>
                <w:szCs w:val="16"/>
                <w:vertAlign w:val="superscript"/>
              </w:rPr>
              <w:t>a</w:t>
            </w:r>
          </w:p>
        </w:tc>
      </w:tr>
      <w:tr w:rsidR="00BB138C" w:rsidRPr="00EF6679" w14:paraId="787DD0DB" w14:textId="77777777" w:rsidTr="00820288">
        <w:trPr>
          <w:trHeight w:val="144"/>
        </w:trPr>
        <w:tc>
          <w:tcPr>
            <w:tcW w:w="2880" w:type="dxa"/>
            <w:noWrap/>
            <w:vAlign w:val="bottom"/>
            <w:hideMark/>
          </w:tcPr>
          <w:p w14:paraId="65F9C0B7" w14:textId="77777777" w:rsidR="00BB138C" w:rsidRPr="00EF6679" w:rsidRDefault="00BB138C" w:rsidP="00820288">
            <w:pPr>
              <w:spacing w:line="240" w:lineRule="auto"/>
              <w:rPr>
                <w:rFonts w:ascii="Times New Roman" w:hAnsi="Times New Roman" w:cs="Times New Roman"/>
                <w:color w:val="000000" w:themeColor="text1"/>
                <w:sz w:val="16"/>
                <w:szCs w:val="16"/>
              </w:rPr>
            </w:pPr>
            <w:r w:rsidRPr="00EF6679">
              <w:rPr>
                <w:rFonts w:ascii="Times New Roman" w:hAnsi="Times New Roman" w:cs="Times New Roman"/>
                <w:color w:val="000000" w:themeColor="text1"/>
                <w:sz w:val="16"/>
                <w:szCs w:val="16"/>
              </w:rPr>
              <w:t xml:space="preserve">ß-Myrcene           </w:t>
            </w:r>
          </w:p>
        </w:tc>
        <w:tc>
          <w:tcPr>
            <w:tcW w:w="758" w:type="dxa"/>
            <w:noWrap/>
            <w:vAlign w:val="center"/>
            <w:hideMark/>
          </w:tcPr>
          <w:p w14:paraId="39632916" w14:textId="77777777" w:rsidR="00BB138C" w:rsidRPr="00EF6679" w:rsidRDefault="00BB138C" w:rsidP="00820288">
            <w:pPr>
              <w:spacing w:line="240" w:lineRule="auto"/>
              <w:jc w:val="right"/>
              <w:rPr>
                <w:rFonts w:ascii="Times New Roman" w:hAnsi="Times New Roman" w:cs="Times New Roman"/>
                <w:color w:val="000000" w:themeColor="text1"/>
                <w:sz w:val="16"/>
                <w:szCs w:val="16"/>
              </w:rPr>
            </w:pPr>
            <w:r w:rsidRPr="00EF6679">
              <w:rPr>
                <w:rFonts w:ascii="Times New Roman" w:hAnsi="Times New Roman" w:cs="Times New Roman"/>
                <w:color w:val="000000" w:themeColor="text1"/>
                <w:sz w:val="16"/>
                <w:szCs w:val="16"/>
              </w:rPr>
              <w:t>122.340</w:t>
            </w:r>
          </w:p>
        </w:tc>
        <w:tc>
          <w:tcPr>
            <w:tcW w:w="366" w:type="dxa"/>
            <w:noWrap/>
            <w:vAlign w:val="center"/>
            <w:hideMark/>
          </w:tcPr>
          <w:p w14:paraId="2C2C0D75" w14:textId="77777777" w:rsidR="00BB138C" w:rsidRPr="00EF6679" w:rsidRDefault="00BB138C" w:rsidP="00820288">
            <w:pPr>
              <w:spacing w:line="240" w:lineRule="auto"/>
              <w:rPr>
                <w:rFonts w:ascii="Times New Roman" w:hAnsi="Times New Roman" w:cs="Times New Roman"/>
                <w:color w:val="000000" w:themeColor="text1"/>
                <w:sz w:val="16"/>
                <w:szCs w:val="16"/>
                <w:vertAlign w:val="superscript"/>
              </w:rPr>
            </w:pPr>
            <w:r w:rsidRPr="00EF6679">
              <w:rPr>
                <w:rFonts w:ascii="Times New Roman" w:hAnsi="Times New Roman" w:cs="Times New Roman"/>
                <w:color w:val="000000" w:themeColor="text1"/>
                <w:sz w:val="16"/>
                <w:szCs w:val="16"/>
                <w:vertAlign w:val="superscript"/>
              </w:rPr>
              <w:t>a</w:t>
            </w:r>
          </w:p>
        </w:tc>
        <w:tc>
          <w:tcPr>
            <w:tcW w:w="712" w:type="dxa"/>
            <w:noWrap/>
            <w:vAlign w:val="center"/>
            <w:hideMark/>
          </w:tcPr>
          <w:p w14:paraId="310CFA87" w14:textId="77777777" w:rsidR="00BB138C" w:rsidRPr="00EF6679" w:rsidRDefault="00BB138C" w:rsidP="00820288">
            <w:pPr>
              <w:spacing w:line="240" w:lineRule="auto"/>
              <w:jc w:val="right"/>
              <w:rPr>
                <w:rFonts w:ascii="Times New Roman" w:hAnsi="Times New Roman" w:cs="Times New Roman"/>
                <w:color w:val="000000" w:themeColor="text1"/>
                <w:sz w:val="16"/>
                <w:szCs w:val="16"/>
              </w:rPr>
            </w:pPr>
            <w:r w:rsidRPr="00EF6679">
              <w:rPr>
                <w:rFonts w:ascii="Times New Roman" w:hAnsi="Times New Roman" w:cs="Times New Roman"/>
                <w:color w:val="000000" w:themeColor="text1"/>
                <w:sz w:val="16"/>
                <w:szCs w:val="16"/>
              </w:rPr>
              <w:t>122.250</w:t>
            </w:r>
          </w:p>
        </w:tc>
        <w:tc>
          <w:tcPr>
            <w:tcW w:w="478" w:type="dxa"/>
            <w:noWrap/>
            <w:vAlign w:val="center"/>
            <w:hideMark/>
          </w:tcPr>
          <w:p w14:paraId="59F3C949" w14:textId="77777777" w:rsidR="00BB138C" w:rsidRPr="00EF6679" w:rsidRDefault="00BB138C" w:rsidP="00820288">
            <w:pPr>
              <w:spacing w:line="240" w:lineRule="auto"/>
              <w:rPr>
                <w:rFonts w:ascii="Times New Roman" w:hAnsi="Times New Roman" w:cs="Times New Roman"/>
                <w:color w:val="000000" w:themeColor="text1"/>
                <w:sz w:val="16"/>
                <w:szCs w:val="16"/>
                <w:vertAlign w:val="superscript"/>
              </w:rPr>
            </w:pPr>
            <w:r w:rsidRPr="00EF6679">
              <w:rPr>
                <w:rFonts w:ascii="Times New Roman" w:hAnsi="Times New Roman" w:cs="Times New Roman"/>
                <w:color w:val="000000" w:themeColor="text1"/>
                <w:sz w:val="16"/>
                <w:szCs w:val="16"/>
                <w:vertAlign w:val="superscript"/>
              </w:rPr>
              <w:t>a</w:t>
            </w:r>
          </w:p>
        </w:tc>
      </w:tr>
      <w:tr w:rsidR="00BB138C" w:rsidRPr="00EF6679" w14:paraId="3AD36DB6" w14:textId="77777777" w:rsidTr="00820288">
        <w:trPr>
          <w:trHeight w:val="144"/>
        </w:trPr>
        <w:tc>
          <w:tcPr>
            <w:tcW w:w="2880" w:type="dxa"/>
            <w:noWrap/>
            <w:vAlign w:val="bottom"/>
            <w:hideMark/>
          </w:tcPr>
          <w:p w14:paraId="0DC24B83" w14:textId="77777777" w:rsidR="00BB138C" w:rsidRPr="00EF6679" w:rsidRDefault="00BB138C" w:rsidP="00820288">
            <w:pPr>
              <w:spacing w:line="240" w:lineRule="auto"/>
              <w:rPr>
                <w:rFonts w:ascii="Times New Roman" w:hAnsi="Times New Roman" w:cs="Times New Roman"/>
                <w:color w:val="000000" w:themeColor="text1"/>
                <w:sz w:val="16"/>
                <w:szCs w:val="16"/>
              </w:rPr>
            </w:pPr>
            <w:r w:rsidRPr="00EF6679">
              <w:rPr>
                <w:rFonts w:ascii="Times New Roman" w:hAnsi="Times New Roman" w:cs="Times New Roman"/>
                <w:color w:val="000000" w:themeColor="text1"/>
                <w:sz w:val="16"/>
                <w:szCs w:val="16"/>
              </w:rPr>
              <w:t xml:space="preserve">3-Carene                 </w:t>
            </w:r>
          </w:p>
        </w:tc>
        <w:tc>
          <w:tcPr>
            <w:tcW w:w="758" w:type="dxa"/>
            <w:noWrap/>
            <w:vAlign w:val="center"/>
            <w:hideMark/>
          </w:tcPr>
          <w:p w14:paraId="71D78E12" w14:textId="77777777" w:rsidR="00BB138C" w:rsidRPr="00EF6679" w:rsidRDefault="00BB138C" w:rsidP="00820288">
            <w:pPr>
              <w:spacing w:line="240" w:lineRule="auto"/>
              <w:jc w:val="right"/>
              <w:rPr>
                <w:rFonts w:ascii="Times New Roman" w:hAnsi="Times New Roman" w:cs="Times New Roman"/>
                <w:color w:val="000000" w:themeColor="text1"/>
                <w:sz w:val="16"/>
                <w:szCs w:val="16"/>
              </w:rPr>
            </w:pPr>
            <w:r w:rsidRPr="00EF6679">
              <w:rPr>
                <w:rFonts w:ascii="Times New Roman" w:hAnsi="Times New Roman" w:cs="Times New Roman"/>
                <w:color w:val="000000" w:themeColor="text1"/>
                <w:sz w:val="16"/>
                <w:szCs w:val="16"/>
              </w:rPr>
              <w:t>172.010</w:t>
            </w:r>
          </w:p>
        </w:tc>
        <w:tc>
          <w:tcPr>
            <w:tcW w:w="366" w:type="dxa"/>
            <w:noWrap/>
            <w:vAlign w:val="center"/>
            <w:hideMark/>
          </w:tcPr>
          <w:p w14:paraId="75722C31" w14:textId="77777777" w:rsidR="00BB138C" w:rsidRPr="00EF6679" w:rsidRDefault="00BB138C" w:rsidP="00820288">
            <w:pPr>
              <w:spacing w:line="240" w:lineRule="auto"/>
              <w:rPr>
                <w:rFonts w:ascii="Times New Roman" w:hAnsi="Times New Roman" w:cs="Times New Roman"/>
                <w:color w:val="000000" w:themeColor="text1"/>
                <w:sz w:val="16"/>
                <w:szCs w:val="16"/>
                <w:vertAlign w:val="superscript"/>
              </w:rPr>
            </w:pPr>
            <w:r w:rsidRPr="00EF6679">
              <w:rPr>
                <w:rFonts w:ascii="Times New Roman" w:hAnsi="Times New Roman" w:cs="Times New Roman"/>
                <w:color w:val="000000" w:themeColor="text1"/>
                <w:sz w:val="16"/>
                <w:szCs w:val="16"/>
                <w:vertAlign w:val="superscript"/>
              </w:rPr>
              <w:t>a</w:t>
            </w:r>
          </w:p>
        </w:tc>
        <w:tc>
          <w:tcPr>
            <w:tcW w:w="712" w:type="dxa"/>
            <w:noWrap/>
            <w:vAlign w:val="center"/>
            <w:hideMark/>
          </w:tcPr>
          <w:p w14:paraId="3816441E" w14:textId="77777777" w:rsidR="00BB138C" w:rsidRPr="00EF6679" w:rsidRDefault="00BB138C" w:rsidP="00820288">
            <w:pPr>
              <w:spacing w:line="240" w:lineRule="auto"/>
              <w:jc w:val="right"/>
              <w:rPr>
                <w:rFonts w:ascii="Times New Roman" w:hAnsi="Times New Roman" w:cs="Times New Roman"/>
                <w:color w:val="000000" w:themeColor="text1"/>
                <w:sz w:val="16"/>
                <w:szCs w:val="16"/>
              </w:rPr>
            </w:pPr>
            <w:r w:rsidRPr="00EF6679">
              <w:rPr>
                <w:rFonts w:ascii="Times New Roman" w:hAnsi="Times New Roman" w:cs="Times New Roman"/>
                <w:color w:val="000000" w:themeColor="text1"/>
                <w:sz w:val="16"/>
                <w:szCs w:val="16"/>
              </w:rPr>
              <w:t>174.530</w:t>
            </w:r>
          </w:p>
        </w:tc>
        <w:tc>
          <w:tcPr>
            <w:tcW w:w="478" w:type="dxa"/>
            <w:noWrap/>
            <w:vAlign w:val="center"/>
            <w:hideMark/>
          </w:tcPr>
          <w:p w14:paraId="49401787" w14:textId="77777777" w:rsidR="00BB138C" w:rsidRPr="00EF6679" w:rsidRDefault="00BB138C" w:rsidP="00820288">
            <w:pPr>
              <w:spacing w:line="240" w:lineRule="auto"/>
              <w:rPr>
                <w:rFonts w:ascii="Times New Roman" w:hAnsi="Times New Roman" w:cs="Times New Roman"/>
                <w:color w:val="000000" w:themeColor="text1"/>
                <w:sz w:val="16"/>
                <w:szCs w:val="16"/>
                <w:vertAlign w:val="superscript"/>
              </w:rPr>
            </w:pPr>
            <w:r w:rsidRPr="00EF6679">
              <w:rPr>
                <w:rFonts w:ascii="Times New Roman" w:hAnsi="Times New Roman" w:cs="Times New Roman"/>
                <w:color w:val="000000" w:themeColor="text1"/>
                <w:sz w:val="16"/>
                <w:szCs w:val="16"/>
                <w:vertAlign w:val="superscript"/>
              </w:rPr>
              <w:t>a</w:t>
            </w:r>
          </w:p>
        </w:tc>
      </w:tr>
      <w:tr w:rsidR="00BB138C" w:rsidRPr="00EF6679" w14:paraId="7C70D0D5" w14:textId="77777777" w:rsidTr="00820288">
        <w:trPr>
          <w:trHeight w:val="144"/>
        </w:trPr>
        <w:tc>
          <w:tcPr>
            <w:tcW w:w="2880" w:type="dxa"/>
            <w:noWrap/>
            <w:vAlign w:val="bottom"/>
            <w:hideMark/>
          </w:tcPr>
          <w:p w14:paraId="5C24A686" w14:textId="77777777" w:rsidR="00BB138C" w:rsidRPr="00EF6679" w:rsidRDefault="00BB138C" w:rsidP="00820288">
            <w:pPr>
              <w:spacing w:line="240" w:lineRule="auto"/>
              <w:rPr>
                <w:rFonts w:ascii="Times New Roman" w:hAnsi="Times New Roman" w:cs="Times New Roman"/>
                <w:color w:val="000000" w:themeColor="text1"/>
                <w:sz w:val="16"/>
                <w:szCs w:val="16"/>
              </w:rPr>
            </w:pPr>
            <w:r w:rsidRPr="00EF6679">
              <w:rPr>
                <w:rFonts w:ascii="Times New Roman" w:hAnsi="Times New Roman" w:cs="Times New Roman"/>
                <w:color w:val="000000" w:themeColor="text1"/>
                <w:sz w:val="16"/>
                <w:szCs w:val="16"/>
              </w:rPr>
              <w:t xml:space="preserve">2-pentyl-Furan           </w:t>
            </w:r>
          </w:p>
        </w:tc>
        <w:tc>
          <w:tcPr>
            <w:tcW w:w="758" w:type="dxa"/>
            <w:noWrap/>
            <w:vAlign w:val="bottom"/>
            <w:hideMark/>
          </w:tcPr>
          <w:p w14:paraId="0515407E" w14:textId="77777777" w:rsidR="00BB138C" w:rsidRPr="00EF6679" w:rsidRDefault="00BB138C" w:rsidP="00820288">
            <w:pPr>
              <w:spacing w:line="240" w:lineRule="auto"/>
              <w:jc w:val="right"/>
              <w:rPr>
                <w:rFonts w:ascii="Times New Roman" w:hAnsi="Times New Roman" w:cs="Times New Roman"/>
                <w:color w:val="000000" w:themeColor="text1"/>
                <w:sz w:val="16"/>
                <w:szCs w:val="16"/>
              </w:rPr>
            </w:pPr>
            <w:r w:rsidRPr="00EF6679">
              <w:rPr>
                <w:rFonts w:ascii="Times New Roman" w:hAnsi="Times New Roman" w:cs="Times New Roman"/>
                <w:color w:val="000000" w:themeColor="text1"/>
                <w:sz w:val="16"/>
                <w:szCs w:val="16"/>
              </w:rPr>
              <w:t>n.d.</w:t>
            </w:r>
          </w:p>
        </w:tc>
        <w:tc>
          <w:tcPr>
            <w:tcW w:w="366" w:type="dxa"/>
            <w:noWrap/>
            <w:vAlign w:val="center"/>
            <w:hideMark/>
          </w:tcPr>
          <w:p w14:paraId="1B57E523" w14:textId="77777777" w:rsidR="00BB138C" w:rsidRPr="00EF6679" w:rsidRDefault="00BB138C" w:rsidP="00820288">
            <w:pPr>
              <w:spacing w:line="240" w:lineRule="auto"/>
              <w:rPr>
                <w:rFonts w:ascii="Times New Roman" w:hAnsi="Times New Roman" w:cs="Times New Roman"/>
                <w:color w:val="000000" w:themeColor="text1"/>
                <w:sz w:val="16"/>
                <w:szCs w:val="16"/>
                <w:vertAlign w:val="superscript"/>
              </w:rPr>
            </w:pPr>
            <w:r w:rsidRPr="00EF6679">
              <w:rPr>
                <w:rFonts w:ascii="Times New Roman" w:hAnsi="Times New Roman" w:cs="Times New Roman"/>
                <w:color w:val="000000" w:themeColor="text1"/>
                <w:sz w:val="16"/>
                <w:szCs w:val="16"/>
                <w:vertAlign w:val="superscript"/>
              </w:rPr>
              <w:t>a</w:t>
            </w:r>
          </w:p>
        </w:tc>
        <w:tc>
          <w:tcPr>
            <w:tcW w:w="712" w:type="dxa"/>
            <w:noWrap/>
            <w:vAlign w:val="bottom"/>
            <w:hideMark/>
          </w:tcPr>
          <w:p w14:paraId="15FE2E82" w14:textId="77777777" w:rsidR="00BB138C" w:rsidRPr="00EF6679" w:rsidRDefault="00BB138C" w:rsidP="00820288">
            <w:pPr>
              <w:spacing w:line="240" w:lineRule="auto"/>
              <w:jc w:val="right"/>
              <w:rPr>
                <w:rFonts w:ascii="Times New Roman" w:hAnsi="Times New Roman" w:cs="Times New Roman"/>
                <w:color w:val="000000" w:themeColor="text1"/>
                <w:sz w:val="16"/>
                <w:szCs w:val="16"/>
              </w:rPr>
            </w:pPr>
            <w:r w:rsidRPr="00EF6679">
              <w:rPr>
                <w:rFonts w:ascii="Times New Roman" w:hAnsi="Times New Roman" w:cs="Times New Roman"/>
                <w:color w:val="000000" w:themeColor="text1"/>
                <w:sz w:val="16"/>
                <w:szCs w:val="16"/>
              </w:rPr>
              <w:t>n.d.</w:t>
            </w:r>
          </w:p>
        </w:tc>
        <w:tc>
          <w:tcPr>
            <w:tcW w:w="478" w:type="dxa"/>
            <w:noWrap/>
            <w:vAlign w:val="center"/>
            <w:hideMark/>
          </w:tcPr>
          <w:p w14:paraId="534AECF2" w14:textId="77777777" w:rsidR="00BB138C" w:rsidRPr="00EF6679" w:rsidRDefault="00BB138C" w:rsidP="00820288">
            <w:pPr>
              <w:spacing w:line="240" w:lineRule="auto"/>
              <w:rPr>
                <w:rFonts w:ascii="Times New Roman" w:hAnsi="Times New Roman" w:cs="Times New Roman"/>
                <w:color w:val="000000" w:themeColor="text1"/>
                <w:sz w:val="16"/>
                <w:szCs w:val="16"/>
                <w:vertAlign w:val="superscript"/>
              </w:rPr>
            </w:pPr>
            <w:r w:rsidRPr="00EF6679">
              <w:rPr>
                <w:rFonts w:ascii="Times New Roman" w:hAnsi="Times New Roman" w:cs="Times New Roman"/>
                <w:color w:val="000000" w:themeColor="text1"/>
                <w:sz w:val="16"/>
                <w:szCs w:val="16"/>
                <w:vertAlign w:val="superscript"/>
              </w:rPr>
              <w:t>a</w:t>
            </w:r>
          </w:p>
        </w:tc>
      </w:tr>
      <w:tr w:rsidR="00BB138C" w:rsidRPr="00EF6679" w14:paraId="410880F4" w14:textId="77777777" w:rsidTr="00820288">
        <w:trPr>
          <w:trHeight w:val="144"/>
        </w:trPr>
        <w:tc>
          <w:tcPr>
            <w:tcW w:w="2880" w:type="dxa"/>
            <w:noWrap/>
            <w:vAlign w:val="bottom"/>
          </w:tcPr>
          <w:p w14:paraId="0F08822E" w14:textId="77777777" w:rsidR="00BB138C" w:rsidRPr="00EF6679" w:rsidRDefault="00BB138C" w:rsidP="00820288">
            <w:pPr>
              <w:spacing w:line="240" w:lineRule="auto"/>
              <w:rPr>
                <w:rFonts w:ascii="Times New Roman" w:hAnsi="Times New Roman" w:cs="Times New Roman"/>
                <w:b/>
                <w:bCs/>
                <w:color w:val="000000" w:themeColor="text1"/>
                <w:sz w:val="16"/>
                <w:szCs w:val="16"/>
              </w:rPr>
            </w:pPr>
            <w:r w:rsidRPr="00EF6679">
              <w:rPr>
                <w:rFonts w:ascii="Times New Roman" w:hAnsi="Times New Roman" w:cs="Times New Roman"/>
                <w:color w:val="000000" w:themeColor="text1"/>
                <w:sz w:val="16"/>
                <w:szCs w:val="16"/>
              </w:rPr>
              <w:t>(E,E)-2,4-Heptadienal</w:t>
            </w:r>
          </w:p>
        </w:tc>
        <w:tc>
          <w:tcPr>
            <w:tcW w:w="758" w:type="dxa"/>
            <w:noWrap/>
            <w:vAlign w:val="center"/>
          </w:tcPr>
          <w:p w14:paraId="5476C97E" w14:textId="77777777" w:rsidR="00BB138C" w:rsidRPr="00EF6679" w:rsidRDefault="00BB138C" w:rsidP="00820288">
            <w:pPr>
              <w:spacing w:line="240" w:lineRule="auto"/>
              <w:jc w:val="right"/>
              <w:rPr>
                <w:rFonts w:ascii="Times New Roman" w:hAnsi="Times New Roman" w:cs="Times New Roman"/>
                <w:color w:val="000000" w:themeColor="text1"/>
                <w:sz w:val="16"/>
                <w:szCs w:val="16"/>
              </w:rPr>
            </w:pPr>
            <w:r w:rsidRPr="00EF6679">
              <w:rPr>
                <w:rFonts w:ascii="Times New Roman" w:hAnsi="Times New Roman" w:cs="Times New Roman"/>
                <w:color w:val="000000" w:themeColor="text1"/>
                <w:sz w:val="16"/>
                <w:szCs w:val="16"/>
              </w:rPr>
              <w:t>12.734</w:t>
            </w:r>
          </w:p>
        </w:tc>
        <w:tc>
          <w:tcPr>
            <w:tcW w:w="366" w:type="dxa"/>
            <w:noWrap/>
            <w:vAlign w:val="center"/>
          </w:tcPr>
          <w:p w14:paraId="6C1CDC1C" w14:textId="77777777" w:rsidR="00BB138C" w:rsidRPr="00EF6679" w:rsidRDefault="00BB138C" w:rsidP="00820288">
            <w:pPr>
              <w:spacing w:line="240" w:lineRule="auto"/>
              <w:rPr>
                <w:rFonts w:ascii="Times New Roman" w:hAnsi="Times New Roman" w:cs="Times New Roman"/>
                <w:color w:val="000000" w:themeColor="text1"/>
                <w:sz w:val="16"/>
                <w:szCs w:val="16"/>
                <w:vertAlign w:val="superscript"/>
              </w:rPr>
            </w:pPr>
            <w:r w:rsidRPr="00EF6679">
              <w:rPr>
                <w:rFonts w:ascii="Times New Roman" w:hAnsi="Times New Roman" w:cs="Times New Roman"/>
                <w:color w:val="000000" w:themeColor="text1"/>
                <w:sz w:val="16"/>
                <w:szCs w:val="16"/>
                <w:vertAlign w:val="superscript"/>
              </w:rPr>
              <w:t>a</w:t>
            </w:r>
          </w:p>
        </w:tc>
        <w:tc>
          <w:tcPr>
            <w:tcW w:w="712" w:type="dxa"/>
            <w:noWrap/>
            <w:vAlign w:val="center"/>
          </w:tcPr>
          <w:p w14:paraId="2A35093F" w14:textId="77777777" w:rsidR="00BB138C" w:rsidRPr="00EF6679" w:rsidRDefault="00BB138C" w:rsidP="00820288">
            <w:pPr>
              <w:spacing w:line="240" w:lineRule="auto"/>
              <w:jc w:val="right"/>
              <w:rPr>
                <w:rFonts w:ascii="Times New Roman" w:hAnsi="Times New Roman" w:cs="Times New Roman"/>
                <w:color w:val="000000" w:themeColor="text1"/>
                <w:sz w:val="16"/>
                <w:szCs w:val="16"/>
              </w:rPr>
            </w:pPr>
            <w:r w:rsidRPr="00EF6679">
              <w:rPr>
                <w:rFonts w:ascii="Times New Roman" w:hAnsi="Times New Roman" w:cs="Times New Roman"/>
                <w:color w:val="000000" w:themeColor="text1"/>
                <w:sz w:val="16"/>
                <w:szCs w:val="16"/>
              </w:rPr>
              <w:t>12.911</w:t>
            </w:r>
          </w:p>
        </w:tc>
        <w:tc>
          <w:tcPr>
            <w:tcW w:w="478" w:type="dxa"/>
            <w:noWrap/>
            <w:vAlign w:val="center"/>
          </w:tcPr>
          <w:p w14:paraId="4FB07F17" w14:textId="77777777" w:rsidR="00BB138C" w:rsidRPr="00EF6679" w:rsidRDefault="00BB138C" w:rsidP="00820288">
            <w:pPr>
              <w:spacing w:line="240" w:lineRule="auto"/>
              <w:rPr>
                <w:rFonts w:ascii="Times New Roman" w:hAnsi="Times New Roman" w:cs="Times New Roman"/>
                <w:color w:val="000000" w:themeColor="text1"/>
                <w:sz w:val="16"/>
                <w:szCs w:val="16"/>
                <w:vertAlign w:val="superscript"/>
              </w:rPr>
            </w:pPr>
            <w:r w:rsidRPr="00EF6679">
              <w:rPr>
                <w:rFonts w:ascii="Times New Roman" w:hAnsi="Times New Roman" w:cs="Times New Roman"/>
                <w:color w:val="000000" w:themeColor="text1"/>
                <w:sz w:val="16"/>
                <w:szCs w:val="16"/>
                <w:vertAlign w:val="superscript"/>
              </w:rPr>
              <w:t>a</w:t>
            </w:r>
          </w:p>
        </w:tc>
      </w:tr>
      <w:tr w:rsidR="00BB138C" w:rsidRPr="00EF6679" w14:paraId="75C70936" w14:textId="77777777" w:rsidTr="00820288">
        <w:trPr>
          <w:trHeight w:val="144"/>
        </w:trPr>
        <w:tc>
          <w:tcPr>
            <w:tcW w:w="2880" w:type="dxa"/>
            <w:noWrap/>
            <w:vAlign w:val="bottom"/>
            <w:hideMark/>
          </w:tcPr>
          <w:p w14:paraId="7E47E42F" w14:textId="77777777" w:rsidR="00BB138C" w:rsidRPr="00EF6679" w:rsidRDefault="00BB138C" w:rsidP="00820288">
            <w:pPr>
              <w:spacing w:line="240" w:lineRule="auto"/>
              <w:rPr>
                <w:rFonts w:ascii="Times New Roman" w:hAnsi="Times New Roman" w:cs="Times New Roman"/>
                <w:color w:val="000000" w:themeColor="text1"/>
                <w:sz w:val="16"/>
                <w:szCs w:val="16"/>
              </w:rPr>
            </w:pPr>
            <w:r w:rsidRPr="00EF6679">
              <w:rPr>
                <w:rFonts w:ascii="Times New Roman" w:hAnsi="Times New Roman" w:cs="Times New Roman"/>
                <w:color w:val="000000" w:themeColor="text1"/>
                <w:sz w:val="16"/>
                <w:szCs w:val="16"/>
              </w:rPr>
              <w:t xml:space="preserve">Formamide, N-phenyl-     </w:t>
            </w:r>
          </w:p>
        </w:tc>
        <w:tc>
          <w:tcPr>
            <w:tcW w:w="758" w:type="dxa"/>
            <w:noWrap/>
            <w:vAlign w:val="bottom"/>
            <w:hideMark/>
          </w:tcPr>
          <w:p w14:paraId="2709CD38" w14:textId="77777777" w:rsidR="00BB138C" w:rsidRPr="00EF6679" w:rsidRDefault="00BB138C" w:rsidP="00820288">
            <w:pPr>
              <w:spacing w:line="240" w:lineRule="auto"/>
              <w:jc w:val="right"/>
              <w:rPr>
                <w:rFonts w:ascii="Times New Roman" w:hAnsi="Times New Roman" w:cs="Times New Roman"/>
                <w:color w:val="000000" w:themeColor="text1"/>
                <w:sz w:val="16"/>
                <w:szCs w:val="16"/>
              </w:rPr>
            </w:pPr>
            <w:r w:rsidRPr="00EF6679">
              <w:rPr>
                <w:rFonts w:ascii="Times New Roman" w:hAnsi="Times New Roman" w:cs="Times New Roman"/>
                <w:color w:val="000000" w:themeColor="text1"/>
                <w:sz w:val="16"/>
                <w:szCs w:val="16"/>
              </w:rPr>
              <w:t>17.813</w:t>
            </w:r>
          </w:p>
        </w:tc>
        <w:tc>
          <w:tcPr>
            <w:tcW w:w="366" w:type="dxa"/>
            <w:noWrap/>
            <w:vAlign w:val="bottom"/>
            <w:hideMark/>
          </w:tcPr>
          <w:p w14:paraId="3E12B7C8" w14:textId="77777777" w:rsidR="00BB138C" w:rsidRPr="00EF6679" w:rsidRDefault="00BB138C" w:rsidP="00820288">
            <w:pPr>
              <w:spacing w:line="240" w:lineRule="auto"/>
              <w:rPr>
                <w:rFonts w:ascii="Times New Roman" w:hAnsi="Times New Roman" w:cs="Times New Roman"/>
                <w:color w:val="000000" w:themeColor="text1"/>
                <w:sz w:val="16"/>
                <w:szCs w:val="16"/>
                <w:vertAlign w:val="superscript"/>
              </w:rPr>
            </w:pPr>
            <w:r w:rsidRPr="00EF6679">
              <w:rPr>
                <w:rFonts w:ascii="Times New Roman" w:hAnsi="Times New Roman" w:cs="Times New Roman"/>
                <w:color w:val="000000" w:themeColor="text1"/>
                <w:sz w:val="16"/>
                <w:szCs w:val="16"/>
                <w:vertAlign w:val="superscript"/>
              </w:rPr>
              <w:t xml:space="preserve">a </w:t>
            </w:r>
          </w:p>
        </w:tc>
        <w:tc>
          <w:tcPr>
            <w:tcW w:w="712" w:type="dxa"/>
            <w:noWrap/>
            <w:vAlign w:val="bottom"/>
            <w:hideMark/>
          </w:tcPr>
          <w:p w14:paraId="6F2156B5" w14:textId="77777777" w:rsidR="00BB138C" w:rsidRPr="00EF6679" w:rsidRDefault="00BB138C" w:rsidP="00820288">
            <w:pPr>
              <w:spacing w:line="240" w:lineRule="auto"/>
              <w:jc w:val="right"/>
              <w:rPr>
                <w:rFonts w:ascii="Times New Roman" w:hAnsi="Times New Roman" w:cs="Times New Roman"/>
                <w:color w:val="000000" w:themeColor="text1"/>
                <w:sz w:val="16"/>
                <w:szCs w:val="16"/>
              </w:rPr>
            </w:pPr>
            <w:r w:rsidRPr="00EF6679">
              <w:rPr>
                <w:rFonts w:ascii="Times New Roman" w:hAnsi="Times New Roman" w:cs="Times New Roman"/>
                <w:color w:val="000000" w:themeColor="text1"/>
                <w:sz w:val="16"/>
                <w:szCs w:val="16"/>
              </w:rPr>
              <w:t>14.829</w:t>
            </w:r>
          </w:p>
        </w:tc>
        <w:tc>
          <w:tcPr>
            <w:tcW w:w="478" w:type="dxa"/>
            <w:noWrap/>
            <w:vAlign w:val="center"/>
            <w:hideMark/>
          </w:tcPr>
          <w:p w14:paraId="6D0862E6" w14:textId="77777777" w:rsidR="00BB138C" w:rsidRPr="00EF6679" w:rsidRDefault="00BB138C" w:rsidP="00820288">
            <w:pPr>
              <w:spacing w:line="240" w:lineRule="auto"/>
              <w:rPr>
                <w:rFonts w:ascii="Times New Roman" w:hAnsi="Times New Roman" w:cs="Times New Roman"/>
                <w:color w:val="000000" w:themeColor="text1"/>
                <w:sz w:val="16"/>
                <w:szCs w:val="16"/>
                <w:vertAlign w:val="superscript"/>
              </w:rPr>
            </w:pPr>
            <w:r w:rsidRPr="00EF6679">
              <w:rPr>
                <w:rFonts w:ascii="Times New Roman" w:hAnsi="Times New Roman" w:cs="Times New Roman"/>
                <w:color w:val="000000" w:themeColor="text1"/>
                <w:sz w:val="16"/>
                <w:szCs w:val="16"/>
                <w:vertAlign w:val="superscript"/>
              </w:rPr>
              <w:t xml:space="preserve">a </w:t>
            </w:r>
          </w:p>
        </w:tc>
      </w:tr>
      <w:tr w:rsidR="00BB138C" w:rsidRPr="00EF6679" w14:paraId="3F913D10" w14:textId="77777777" w:rsidTr="00820288">
        <w:trPr>
          <w:trHeight w:val="144"/>
        </w:trPr>
        <w:tc>
          <w:tcPr>
            <w:tcW w:w="2880" w:type="dxa"/>
            <w:noWrap/>
            <w:vAlign w:val="bottom"/>
            <w:hideMark/>
          </w:tcPr>
          <w:p w14:paraId="6FB95FF7" w14:textId="77777777" w:rsidR="00BB138C" w:rsidRPr="00EF6679" w:rsidRDefault="00BB138C" w:rsidP="00820288">
            <w:pPr>
              <w:spacing w:line="240" w:lineRule="auto"/>
              <w:rPr>
                <w:rFonts w:ascii="Times New Roman" w:hAnsi="Times New Roman" w:cs="Times New Roman"/>
                <w:color w:val="000000" w:themeColor="text1"/>
                <w:sz w:val="16"/>
                <w:szCs w:val="16"/>
              </w:rPr>
            </w:pPr>
            <w:r w:rsidRPr="00EF6679">
              <w:rPr>
                <w:rFonts w:ascii="Times New Roman" w:hAnsi="Times New Roman" w:cs="Times New Roman"/>
                <w:color w:val="000000" w:themeColor="text1"/>
                <w:sz w:val="16"/>
                <w:szCs w:val="16"/>
              </w:rPr>
              <w:t xml:space="preserve">2-Isobutylthiazole       </w:t>
            </w:r>
          </w:p>
        </w:tc>
        <w:tc>
          <w:tcPr>
            <w:tcW w:w="758" w:type="dxa"/>
            <w:noWrap/>
            <w:vAlign w:val="bottom"/>
            <w:hideMark/>
          </w:tcPr>
          <w:p w14:paraId="35A3709B" w14:textId="77777777" w:rsidR="00BB138C" w:rsidRPr="00EF6679" w:rsidRDefault="00BB138C" w:rsidP="00820288">
            <w:pPr>
              <w:spacing w:line="240" w:lineRule="auto"/>
              <w:jc w:val="right"/>
              <w:rPr>
                <w:rFonts w:ascii="Times New Roman" w:hAnsi="Times New Roman" w:cs="Times New Roman"/>
                <w:color w:val="000000" w:themeColor="text1"/>
                <w:sz w:val="16"/>
                <w:szCs w:val="16"/>
              </w:rPr>
            </w:pPr>
            <w:r w:rsidRPr="00EF6679">
              <w:rPr>
                <w:rFonts w:ascii="Times New Roman" w:hAnsi="Times New Roman" w:cs="Times New Roman"/>
                <w:color w:val="000000" w:themeColor="text1"/>
                <w:sz w:val="16"/>
                <w:szCs w:val="16"/>
              </w:rPr>
              <w:t>4.580</w:t>
            </w:r>
          </w:p>
        </w:tc>
        <w:tc>
          <w:tcPr>
            <w:tcW w:w="366" w:type="dxa"/>
            <w:noWrap/>
            <w:vAlign w:val="bottom"/>
            <w:hideMark/>
          </w:tcPr>
          <w:p w14:paraId="5A23B71C" w14:textId="77777777" w:rsidR="00BB138C" w:rsidRPr="00EF6679" w:rsidRDefault="00BB138C" w:rsidP="00820288">
            <w:pPr>
              <w:spacing w:line="240" w:lineRule="auto"/>
              <w:rPr>
                <w:rFonts w:ascii="Times New Roman" w:hAnsi="Times New Roman" w:cs="Times New Roman"/>
                <w:color w:val="000000" w:themeColor="text1"/>
                <w:sz w:val="16"/>
                <w:szCs w:val="16"/>
                <w:vertAlign w:val="superscript"/>
              </w:rPr>
            </w:pPr>
            <w:r w:rsidRPr="00EF6679">
              <w:rPr>
                <w:rFonts w:ascii="Times New Roman" w:hAnsi="Times New Roman" w:cs="Times New Roman"/>
                <w:color w:val="000000" w:themeColor="text1"/>
                <w:sz w:val="16"/>
                <w:szCs w:val="16"/>
                <w:vertAlign w:val="superscript"/>
              </w:rPr>
              <w:t xml:space="preserve">a </w:t>
            </w:r>
          </w:p>
        </w:tc>
        <w:tc>
          <w:tcPr>
            <w:tcW w:w="712" w:type="dxa"/>
            <w:noWrap/>
            <w:vAlign w:val="bottom"/>
            <w:hideMark/>
          </w:tcPr>
          <w:p w14:paraId="27348DFB" w14:textId="77777777" w:rsidR="00BB138C" w:rsidRPr="00EF6679" w:rsidRDefault="00BB138C" w:rsidP="00820288">
            <w:pPr>
              <w:spacing w:line="240" w:lineRule="auto"/>
              <w:jc w:val="right"/>
              <w:rPr>
                <w:rFonts w:ascii="Times New Roman" w:hAnsi="Times New Roman" w:cs="Times New Roman"/>
                <w:color w:val="000000" w:themeColor="text1"/>
                <w:sz w:val="16"/>
                <w:szCs w:val="16"/>
              </w:rPr>
            </w:pPr>
            <w:r w:rsidRPr="00EF6679">
              <w:rPr>
                <w:rFonts w:ascii="Times New Roman" w:hAnsi="Times New Roman" w:cs="Times New Roman"/>
                <w:color w:val="000000" w:themeColor="text1"/>
                <w:sz w:val="16"/>
                <w:szCs w:val="16"/>
              </w:rPr>
              <w:t>4.809</w:t>
            </w:r>
          </w:p>
        </w:tc>
        <w:tc>
          <w:tcPr>
            <w:tcW w:w="478" w:type="dxa"/>
            <w:noWrap/>
            <w:vAlign w:val="center"/>
            <w:hideMark/>
          </w:tcPr>
          <w:p w14:paraId="2637A3BC" w14:textId="77777777" w:rsidR="00BB138C" w:rsidRPr="00EF6679" w:rsidRDefault="00BB138C" w:rsidP="00820288">
            <w:pPr>
              <w:spacing w:line="240" w:lineRule="auto"/>
              <w:rPr>
                <w:rFonts w:ascii="Times New Roman" w:hAnsi="Times New Roman" w:cs="Times New Roman"/>
                <w:color w:val="000000" w:themeColor="text1"/>
                <w:sz w:val="16"/>
                <w:szCs w:val="16"/>
                <w:vertAlign w:val="superscript"/>
              </w:rPr>
            </w:pPr>
            <w:r w:rsidRPr="00EF6679">
              <w:rPr>
                <w:rFonts w:ascii="Times New Roman" w:hAnsi="Times New Roman" w:cs="Times New Roman"/>
                <w:color w:val="000000" w:themeColor="text1"/>
                <w:sz w:val="16"/>
                <w:szCs w:val="16"/>
                <w:vertAlign w:val="superscript"/>
              </w:rPr>
              <w:t xml:space="preserve">a </w:t>
            </w:r>
          </w:p>
        </w:tc>
      </w:tr>
      <w:tr w:rsidR="00BB138C" w:rsidRPr="00EF6679" w14:paraId="0EC8B096" w14:textId="77777777" w:rsidTr="00820288">
        <w:trPr>
          <w:trHeight w:val="144"/>
        </w:trPr>
        <w:tc>
          <w:tcPr>
            <w:tcW w:w="2880" w:type="dxa"/>
            <w:noWrap/>
            <w:vAlign w:val="bottom"/>
            <w:hideMark/>
          </w:tcPr>
          <w:p w14:paraId="41E05984" w14:textId="77777777" w:rsidR="00BB138C" w:rsidRPr="00EF6679" w:rsidRDefault="00BB138C" w:rsidP="00820288">
            <w:pPr>
              <w:spacing w:line="240" w:lineRule="auto"/>
              <w:rPr>
                <w:rFonts w:ascii="Times New Roman" w:hAnsi="Times New Roman" w:cs="Times New Roman"/>
                <w:color w:val="000000" w:themeColor="text1"/>
                <w:sz w:val="16"/>
                <w:szCs w:val="16"/>
              </w:rPr>
            </w:pPr>
            <w:r w:rsidRPr="00EF6679">
              <w:rPr>
                <w:rFonts w:ascii="Times New Roman" w:hAnsi="Times New Roman" w:cs="Times New Roman"/>
                <w:color w:val="000000" w:themeColor="text1"/>
                <w:sz w:val="16"/>
                <w:szCs w:val="16"/>
              </w:rPr>
              <w:t xml:space="preserve">(R)+Limonene             </w:t>
            </w:r>
          </w:p>
        </w:tc>
        <w:tc>
          <w:tcPr>
            <w:tcW w:w="758" w:type="dxa"/>
            <w:noWrap/>
            <w:vAlign w:val="bottom"/>
            <w:hideMark/>
          </w:tcPr>
          <w:p w14:paraId="56D6FA76" w14:textId="77777777" w:rsidR="00BB138C" w:rsidRPr="00EF6679" w:rsidRDefault="00BB138C" w:rsidP="00820288">
            <w:pPr>
              <w:spacing w:line="240" w:lineRule="auto"/>
              <w:jc w:val="right"/>
              <w:rPr>
                <w:rFonts w:ascii="Times New Roman" w:hAnsi="Times New Roman" w:cs="Times New Roman"/>
                <w:color w:val="000000" w:themeColor="text1"/>
                <w:sz w:val="16"/>
                <w:szCs w:val="16"/>
              </w:rPr>
            </w:pPr>
            <w:r w:rsidRPr="00EF6679">
              <w:rPr>
                <w:rFonts w:ascii="Times New Roman" w:hAnsi="Times New Roman" w:cs="Times New Roman"/>
                <w:color w:val="000000" w:themeColor="text1"/>
                <w:sz w:val="16"/>
                <w:szCs w:val="16"/>
              </w:rPr>
              <w:t>52.977</w:t>
            </w:r>
          </w:p>
        </w:tc>
        <w:tc>
          <w:tcPr>
            <w:tcW w:w="366" w:type="dxa"/>
            <w:noWrap/>
            <w:vAlign w:val="bottom"/>
            <w:hideMark/>
          </w:tcPr>
          <w:p w14:paraId="10537516" w14:textId="77777777" w:rsidR="00BB138C" w:rsidRPr="00EF6679" w:rsidRDefault="00BB138C" w:rsidP="00820288">
            <w:pPr>
              <w:spacing w:line="240" w:lineRule="auto"/>
              <w:rPr>
                <w:rFonts w:ascii="Times New Roman" w:hAnsi="Times New Roman" w:cs="Times New Roman"/>
                <w:color w:val="000000" w:themeColor="text1"/>
                <w:sz w:val="16"/>
                <w:szCs w:val="16"/>
                <w:vertAlign w:val="superscript"/>
              </w:rPr>
            </w:pPr>
            <w:r w:rsidRPr="00EF6679">
              <w:rPr>
                <w:rFonts w:ascii="Times New Roman" w:hAnsi="Times New Roman" w:cs="Times New Roman"/>
                <w:color w:val="000000" w:themeColor="text1"/>
                <w:sz w:val="16"/>
                <w:szCs w:val="16"/>
                <w:vertAlign w:val="superscript"/>
              </w:rPr>
              <w:t xml:space="preserve">a </w:t>
            </w:r>
          </w:p>
        </w:tc>
        <w:tc>
          <w:tcPr>
            <w:tcW w:w="712" w:type="dxa"/>
            <w:noWrap/>
            <w:vAlign w:val="bottom"/>
            <w:hideMark/>
          </w:tcPr>
          <w:p w14:paraId="6CBF75E7" w14:textId="77777777" w:rsidR="00BB138C" w:rsidRPr="00EF6679" w:rsidRDefault="00BB138C" w:rsidP="00820288">
            <w:pPr>
              <w:spacing w:line="240" w:lineRule="auto"/>
              <w:jc w:val="right"/>
              <w:rPr>
                <w:rFonts w:ascii="Times New Roman" w:hAnsi="Times New Roman" w:cs="Times New Roman"/>
                <w:color w:val="000000" w:themeColor="text1"/>
                <w:sz w:val="16"/>
                <w:szCs w:val="16"/>
              </w:rPr>
            </w:pPr>
            <w:r w:rsidRPr="00EF6679">
              <w:rPr>
                <w:rFonts w:ascii="Times New Roman" w:hAnsi="Times New Roman" w:cs="Times New Roman"/>
                <w:color w:val="000000" w:themeColor="text1"/>
                <w:sz w:val="16"/>
                <w:szCs w:val="16"/>
              </w:rPr>
              <w:t>38.227</w:t>
            </w:r>
          </w:p>
        </w:tc>
        <w:tc>
          <w:tcPr>
            <w:tcW w:w="478" w:type="dxa"/>
            <w:noWrap/>
            <w:vAlign w:val="center"/>
            <w:hideMark/>
          </w:tcPr>
          <w:p w14:paraId="081AFF81" w14:textId="77777777" w:rsidR="00BB138C" w:rsidRPr="00EF6679" w:rsidRDefault="00BB138C" w:rsidP="00820288">
            <w:pPr>
              <w:spacing w:line="240" w:lineRule="auto"/>
              <w:rPr>
                <w:rFonts w:ascii="Times New Roman" w:hAnsi="Times New Roman" w:cs="Times New Roman"/>
                <w:color w:val="000000" w:themeColor="text1"/>
                <w:sz w:val="16"/>
                <w:szCs w:val="16"/>
                <w:vertAlign w:val="superscript"/>
              </w:rPr>
            </w:pPr>
            <w:r w:rsidRPr="00EF6679">
              <w:rPr>
                <w:rFonts w:ascii="Times New Roman" w:hAnsi="Times New Roman" w:cs="Times New Roman"/>
                <w:color w:val="000000" w:themeColor="text1"/>
                <w:sz w:val="16"/>
                <w:szCs w:val="16"/>
                <w:vertAlign w:val="superscript"/>
              </w:rPr>
              <w:t xml:space="preserve">b </w:t>
            </w:r>
          </w:p>
        </w:tc>
      </w:tr>
      <w:tr w:rsidR="00BB138C" w:rsidRPr="00EF6679" w14:paraId="2881FE8E" w14:textId="77777777" w:rsidTr="00820288">
        <w:trPr>
          <w:trHeight w:val="144"/>
        </w:trPr>
        <w:tc>
          <w:tcPr>
            <w:tcW w:w="2880" w:type="dxa"/>
            <w:noWrap/>
            <w:vAlign w:val="bottom"/>
            <w:hideMark/>
          </w:tcPr>
          <w:p w14:paraId="442B3139" w14:textId="77777777" w:rsidR="00BB138C" w:rsidRPr="00EF6679" w:rsidRDefault="00BB138C" w:rsidP="00820288">
            <w:pPr>
              <w:spacing w:line="240" w:lineRule="auto"/>
              <w:rPr>
                <w:rFonts w:ascii="Times New Roman" w:hAnsi="Times New Roman" w:cs="Times New Roman"/>
                <w:color w:val="000000" w:themeColor="text1"/>
                <w:sz w:val="16"/>
                <w:szCs w:val="16"/>
              </w:rPr>
            </w:pPr>
            <w:r w:rsidRPr="00EF6679">
              <w:rPr>
                <w:rFonts w:ascii="Times New Roman" w:hAnsi="Times New Roman" w:cs="Times New Roman"/>
                <w:color w:val="000000" w:themeColor="text1"/>
                <w:sz w:val="16"/>
                <w:szCs w:val="16"/>
              </w:rPr>
              <w:t>1,3,6-Octatriene, 3,7-dimethy-, (E)</w:t>
            </w:r>
          </w:p>
        </w:tc>
        <w:tc>
          <w:tcPr>
            <w:tcW w:w="758" w:type="dxa"/>
            <w:noWrap/>
            <w:vAlign w:val="bottom"/>
            <w:hideMark/>
          </w:tcPr>
          <w:p w14:paraId="480C4387" w14:textId="77777777" w:rsidR="00BB138C" w:rsidRPr="00EF6679" w:rsidRDefault="00BB138C" w:rsidP="00820288">
            <w:pPr>
              <w:spacing w:line="240" w:lineRule="auto"/>
              <w:jc w:val="right"/>
              <w:rPr>
                <w:rFonts w:ascii="Times New Roman" w:hAnsi="Times New Roman" w:cs="Times New Roman"/>
                <w:color w:val="000000" w:themeColor="text1"/>
                <w:sz w:val="16"/>
                <w:szCs w:val="16"/>
              </w:rPr>
            </w:pPr>
            <w:r w:rsidRPr="00EF6679">
              <w:rPr>
                <w:rFonts w:ascii="Times New Roman" w:hAnsi="Times New Roman" w:cs="Times New Roman"/>
                <w:color w:val="000000" w:themeColor="text1"/>
                <w:sz w:val="16"/>
                <w:szCs w:val="16"/>
              </w:rPr>
              <w:t>259.780</w:t>
            </w:r>
          </w:p>
        </w:tc>
        <w:tc>
          <w:tcPr>
            <w:tcW w:w="366" w:type="dxa"/>
            <w:noWrap/>
            <w:vAlign w:val="bottom"/>
            <w:hideMark/>
          </w:tcPr>
          <w:p w14:paraId="19877A7F" w14:textId="77777777" w:rsidR="00BB138C" w:rsidRPr="00EF6679" w:rsidRDefault="00BB138C" w:rsidP="00820288">
            <w:pPr>
              <w:spacing w:line="240" w:lineRule="auto"/>
              <w:rPr>
                <w:rFonts w:ascii="Times New Roman" w:hAnsi="Times New Roman" w:cs="Times New Roman"/>
                <w:color w:val="000000" w:themeColor="text1"/>
                <w:sz w:val="16"/>
                <w:szCs w:val="16"/>
                <w:vertAlign w:val="superscript"/>
              </w:rPr>
            </w:pPr>
            <w:r w:rsidRPr="00EF6679">
              <w:rPr>
                <w:rFonts w:ascii="Times New Roman" w:hAnsi="Times New Roman" w:cs="Times New Roman"/>
                <w:color w:val="000000" w:themeColor="text1"/>
                <w:sz w:val="16"/>
                <w:szCs w:val="16"/>
                <w:vertAlign w:val="superscript"/>
              </w:rPr>
              <w:t xml:space="preserve">a </w:t>
            </w:r>
          </w:p>
        </w:tc>
        <w:tc>
          <w:tcPr>
            <w:tcW w:w="712" w:type="dxa"/>
            <w:noWrap/>
            <w:vAlign w:val="bottom"/>
            <w:hideMark/>
          </w:tcPr>
          <w:p w14:paraId="7D73158D" w14:textId="77777777" w:rsidR="00BB138C" w:rsidRPr="00EF6679" w:rsidRDefault="00BB138C" w:rsidP="00820288">
            <w:pPr>
              <w:spacing w:line="240" w:lineRule="auto"/>
              <w:jc w:val="right"/>
              <w:rPr>
                <w:rFonts w:ascii="Times New Roman" w:hAnsi="Times New Roman" w:cs="Times New Roman"/>
                <w:color w:val="000000" w:themeColor="text1"/>
                <w:sz w:val="16"/>
                <w:szCs w:val="16"/>
              </w:rPr>
            </w:pPr>
            <w:r w:rsidRPr="00EF6679">
              <w:rPr>
                <w:rFonts w:ascii="Times New Roman" w:hAnsi="Times New Roman" w:cs="Times New Roman"/>
                <w:color w:val="000000" w:themeColor="text1"/>
                <w:sz w:val="16"/>
                <w:szCs w:val="16"/>
              </w:rPr>
              <w:t>188.770</w:t>
            </w:r>
          </w:p>
        </w:tc>
        <w:tc>
          <w:tcPr>
            <w:tcW w:w="478" w:type="dxa"/>
            <w:noWrap/>
            <w:vAlign w:val="center"/>
            <w:hideMark/>
          </w:tcPr>
          <w:p w14:paraId="430EC400" w14:textId="77777777" w:rsidR="00BB138C" w:rsidRPr="00EF6679" w:rsidRDefault="00BB138C" w:rsidP="00820288">
            <w:pPr>
              <w:spacing w:line="240" w:lineRule="auto"/>
              <w:rPr>
                <w:rFonts w:ascii="Times New Roman" w:hAnsi="Times New Roman" w:cs="Times New Roman"/>
                <w:color w:val="000000" w:themeColor="text1"/>
                <w:sz w:val="16"/>
                <w:szCs w:val="16"/>
                <w:vertAlign w:val="superscript"/>
              </w:rPr>
            </w:pPr>
            <w:r w:rsidRPr="00EF6679">
              <w:rPr>
                <w:rFonts w:ascii="Times New Roman" w:hAnsi="Times New Roman" w:cs="Times New Roman"/>
                <w:color w:val="000000" w:themeColor="text1"/>
                <w:sz w:val="16"/>
                <w:szCs w:val="16"/>
                <w:vertAlign w:val="superscript"/>
              </w:rPr>
              <w:t xml:space="preserve">b </w:t>
            </w:r>
          </w:p>
        </w:tc>
      </w:tr>
      <w:tr w:rsidR="00BB138C" w:rsidRPr="00EF6679" w14:paraId="3BEEF2BC" w14:textId="77777777" w:rsidTr="00820288">
        <w:trPr>
          <w:trHeight w:val="144"/>
        </w:trPr>
        <w:tc>
          <w:tcPr>
            <w:tcW w:w="2880" w:type="dxa"/>
            <w:noWrap/>
            <w:vAlign w:val="bottom"/>
            <w:hideMark/>
          </w:tcPr>
          <w:p w14:paraId="1E0F5D2A" w14:textId="77777777" w:rsidR="00BB138C" w:rsidRPr="00EF6679" w:rsidRDefault="00BB138C" w:rsidP="00820288">
            <w:pPr>
              <w:spacing w:line="240" w:lineRule="auto"/>
              <w:rPr>
                <w:rFonts w:ascii="Times New Roman" w:hAnsi="Times New Roman" w:cs="Times New Roman"/>
                <w:color w:val="000000" w:themeColor="text1"/>
                <w:sz w:val="16"/>
                <w:szCs w:val="16"/>
              </w:rPr>
            </w:pPr>
            <w:r w:rsidRPr="00EF6679">
              <w:rPr>
                <w:rFonts w:ascii="Times New Roman" w:hAnsi="Times New Roman" w:cs="Times New Roman"/>
                <w:color w:val="000000" w:themeColor="text1"/>
                <w:sz w:val="16"/>
                <w:szCs w:val="16"/>
              </w:rPr>
              <w:t xml:space="preserve">(S)-Limonene             </w:t>
            </w:r>
          </w:p>
        </w:tc>
        <w:tc>
          <w:tcPr>
            <w:tcW w:w="758" w:type="dxa"/>
            <w:noWrap/>
            <w:vAlign w:val="bottom"/>
            <w:hideMark/>
          </w:tcPr>
          <w:p w14:paraId="4E75C3FD" w14:textId="77777777" w:rsidR="00BB138C" w:rsidRPr="00EF6679" w:rsidRDefault="00BB138C" w:rsidP="00820288">
            <w:pPr>
              <w:spacing w:line="240" w:lineRule="auto"/>
              <w:jc w:val="right"/>
              <w:rPr>
                <w:rFonts w:ascii="Times New Roman" w:hAnsi="Times New Roman" w:cs="Times New Roman"/>
                <w:color w:val="000000" w:themeColor="text1"/>
                <w:sz w:val="16"/>
                <w:szCs w:val="16"/>
              </w:rPr>
            </w:pPr>
            <w:r w:rsidRPr="00EF6679">
              <w:rPr>
                <w:rFonts w:ascii="Times New Roman" w:hAnsi="Times New Roman" w:cs="Times New Roman"/>
                <w:color w:val="000000" w:themeColor="text1"/>
                <w:sz w:val="16"/>
                <w:szCs w:val="16"/>
              </w:rPr>
              <w:t>30.901</w:t>
            </w:r>
          </w:p>
        </w:tc>
        <w:tc>
          <w:tcPr>
            <w:tcW w:w="366" w:type="dxa"/>
            <w:noWrap/>
            <w:vAlign w:val="bottom"/>
            <w:hideMark/>
          </w:tcPr>
          <w:p w14:paraId="16EC8F70" w14:textId="77777777" w:rsidR="00BB138C" w:rsidRPr="00EF6679" w:rsidRDefault="00BB138C" w:rsidP="00820288">
            <w:pPr>
              <w:spacing w:line="240" w:lineRule="auto"/>
              <w:rPr>
                <w:rFonts w:ascii="Times New Roman" w:hAnsi="Times New Roman" w:cs="Times New Roman"/>
                <w:color w:val="000000" w:themeColor="text1"/>
                <w:sz w:val="16"/>
                <w:szCs w:val="16"/>
                <w:vertAlign w:val="superscript"/>
              </w:rPr>
            </w:pPr>
            <w:r w:rsidRPr="00EF6679">
              <w:rPr>
                <w:rFonts w:ascii="Times New Roman" w:hAnsi="Times New Roman" w:cs="Times New Roman"/>
                <w:color w:val="000000" w:themeColor="text1"/>
                <w:sz w:val="16"/>
                <w:szCs w:val="16"/>
                <w:vertAlign w:val="superscript"/>
              </w:rPr>
              <w:t xml:space="preserve">a </w:t>
            </w:r>
          </w:p>
        </w:tc>
        <w:tc>
          <w:tcPr>
            <w:tcW w:w="712" w:type="dxa"/>
            <w:noWrap/>
            <w:vAlign w:val="bottom"/>
            <w:hideMark/>
          </w:tcPr>
          <w:p w14:paraId="0C477CF4" w14:textId="77777777" w:rsidR="00BB138C" w:rsidRPr="00EF6679" w:rsidRDefault="00BB138C" w:rsidP="00820288">
            <w:pPr>
              <w:spacing w:line="240" w:lineRule="auto"/>
              <w:jc w:val="right"/>
              <w:rPr>
                <w:rFonts w:ascii="Times New Roman" w:hAnsi="Times New Roman" w:cs="Times New Roman"/>
                <w:color w:val="000000" w:themeColor="text1"/>
                <w:sz w:val="16"/>
                <w:szCs w:val="16"/>
              </w:rPr>
            </w:pPr>
            <w:r w:rsidRPr="00EF6679">
              <w:rPr>
                <w:rFonts w:ascii="Times New Roman" w:hAnsi="Times New Roman" w:cs="Times New Roman"/>
                <w:color w:val="000000" w:themeColor="text1"/>
                <w:sz w:val="16"/>
                <w:szCs w:val="16"/>
              </w:rPr>
              <w:t>23.181</w:t>
            </w:r>
          </w:p>
        </w:tc>
        <w:tc>
          <w:tcPr>
            <w:tcW w:w="478" w:type="dxa"/>
            <w:noWrap/>
            <w:vAlign w:val="center"/>
            <w:hideMark/>
          </w:tcPr>
          <w:p w14:paraId="2D915823" w14:textId="77777777" w:rsidR="00BB138C" w:rsidRPr="00EF6679" w:rsidRDefault="00BB138C" w:rsidP="00820288">
            <w:pPr>
              <w:spacing w:line="240" w:lineRule="auto"/>
              <w:rPr>
                <w:rFonts w:ascii="Times New Roman" w:hAnsi="Times New Roman" w:cs="Times New Roman"/>
                <w:color w:val="000000" w:themeColor="text1"/>
                <w:sz w:val="16"/>
                <w:szCs w:val="16"/>
                <w:vertAlign w:val="superscript"/>
              </w:rPr>
            </w:pPr>
            <w:r w:rsidRPr="00EF6679">
              <w:rPr>
                <w:rFonts w:ascii="Times New Roman" w:hAnsi="Times New Roman" w:cs="Times New Roman"/>
                <w:color w:val="000000" w:themeColor="text1"/>
                <w:sz w:val="16"/>
                <w:szCs w:val="16"/>
                <w:vertAlign w:val="superscript"/>
              </w:rPr>
              <w:t xml:space="preserve">b </w:t>
            </w:r>
          </w:p>
        </w:tc>
      </w:tr>
      <w:tr w:rsidR="00BB138C" w:rsidRPr="00EF6679" w14:paraId="2B252883" w14:textId="77777777" w:rsidTr="00820288">
        <w:trPr>
          <w:trHeight w:val="144"/>
        </w:trPr>
        <w:tc>
          <w:tcPr>
            <w:tcW w:w="2880" w:type="dxa"/>
            <w:noWrap/>
            <w:vAlign w:val="bottom"/>
            <w:hideMark/>
          </w:tcPr>
          <w:p w14:paraId="58E2DCBA" w14:textId="77777777" w:rsidR="00BB138C" w:rsidRPr="00EF6679" w:rsidRDefault="00BB138C" w:rsidP="00820288">
            <w:pPr>
              <w:spacing w:line="240" w:lineRule="auto"/>
              <w:rPr>
                <w:rFonts w:ascii="Times New Roman" w:hAnsi="Times New Roman" w:cs="Times New Roman"/>
                <w:color w:val="000000" w:themeColor="text1"/>
                <w:sz w:val="16"/>
                <w:szCs w:val="16"/>
              </w:rPr>
            </w:pPr>
            <w:r w:rsidRPr="00EF6679">
              <w:rPr>
                <w:rFonts w:ascii="Times New Roman" w:hAnsi="Times New Roman" w:cs="Times New Roman"/>
                <w:color w:val="000000" w:themeColor="text1"/>
                <w:sz w:val="16"/>
                <w:szCs w:val="16"/>
              </w:rPr>
              <w:t xml:space="preserve">Eucalyptol               </w:t>
            </w:r>
          </w:p>
        </w:tc>
        <w:tc>
          <w:tcPr>
            <w:tcW w:w="758" w:type="dxa"/>
            <w:noWrap/>
            <w:vAlign w:val="bottom"/>
            <w:hideMark/>
          </w:tcPr>
          <w:p w14:paraId="123AC1E3" w14:textId="77777777" w:rsidR="00BB138C" w:rsidRPr="00EF6679" w:rsidRDefault="00BB138C" w:rsidP="00820288">
            <w:pPr>
              <w:spacing w:line="240" w:lineRule="auto"/>
              <w:jc w:val="right"/>
              <w:rPr>
                <w:rFonts w:ascii="Times New Roman" w:hAnsi="Times New Roman" w:cs="Times New Roman"/>
                <w:color w:val="000000" w:themeColor="text1"/>
                <w:sz w:val="16"/>
                <w:szCs w:val="16"/>
              </w:rPr>
            </w:pPr>
            <w:r w:rsidRPr="00EF6679">
              <w:rPr>
                <w:rFonts w:ascii="Times New Roman" w:hAnsi="Times New Roman" w:cs="Times New Roman"/>
                <w:color w:val="000000" w:themeColor="text1"/>
                <w:sz w:val="16"/>
                <w:szCs w:val="16"/>
              </w:rPr>
              <w:t>1.328</w:t>
            </w:r>
          </w:p>
        </w:tc>
        <w:tc>
          <w:tcPr>
            <w:tcW w:w="366" w:type="dxa"/>
            <w:noWrap/>
            <w:vAlign w:val="bottom"/>
            <w:hideMark/>
          </w:tcPr>
          <w:p w14:paraId="732CCDAB" w14:textId="77777777" w:rsidR="00BB138C" w:rsidRPr="00EF6679" w:rsidRDefault="00BB138C" w:rsidP="00820288">
            <w:pPr>
              <w:spacing w:line="240" w:lineRule="auto"/>
              <w:rPr>
                <w:rFonts w:ascii="Times New Roman" w:hAnsi="Times New Roman" w:cs="Times New Roman"/>
                <w:color w:val="000000" w:themeColor="text1"/>
                <w:sz w:val="16"/>
                <w:szCs w:val="16"/>
                <w:vertAlign w:val="superscript"/>
              </w:rPr>
            </w:pPr>
            <w:r w:rsidRPr="00EF6679">
              <w:rPr>
                <w:rFonts w:ascii="Times New Roman" w:hAnsi="Times New Roman" w:cs="Times New Roman"/>
                <w:color w:val="000000" w:themeColor="text1"/>
                <w:sz w:val="16"/>
                <w:szCs w:val="16"/>
                <w:vertAlign w:val="superscript"/>
              </w:rPr>
              <w:t xml:space="preserve">a </w:t>
            </w:r>
          </w:p>
        </w:tc>
        <w:tc>
          <w:tcPr>
            <w:tcW w:w="712" w:type="dxa"/>
            <w:noWrap/>
            <w:vAlign w:val="bottom"/>
            <w:hideMark/>
          </w:tcPr>
          <w:p w14:paraId="18DB1FC5" w14:textId="77777777" w:rsidR="00BB138C" w:rsidRPr="00EF6679" w:rsidRDefault="00BB138C" w:rsidP="00820288">
            <w:pPr>
              <w:spacing w:line="240" w:lineRule="auto"/>
              <w:jc w:val="right"/>
              <w:rPr>
                <w:rFonts w:ascii="Times New Roman" w:hAnsi="Times New Roman" w:cs="Times New Roman"/>
                <w:color w:val="000000" w:themeColor="text1"/>
                <w:sz w:val="16"/>
                <w:szCs w:val="16"/>
              </w:rPr>
            </w:pPr>
            <w:r w:rsidRPr="00EF6679">
              <w:rPr>
                <w:rFonts w:ascii="Times New Roman" w:hAnsi="Times New Roman" w:cs="Times New Roman"/>
                <w:color w:val="000000" w:themeColor="text1"/>
                <w:sz w:val="16"/>
                <w:szCs w:val="16"/>
              </w:rPr>
              <w:t>0.964</w:t>
            </w:r>
          </w:p>
        </w:tc>
        <w:tc>
          <w:tcPr>
            <w:tcW w:w="478" w:type="dxa"/>
            <w:noWrap/>
            <w:vAlign w:val="center"/>
            <w:hideMark/>
          </w:tcPr>
          <w:p w14:paraId="295E8BC7" w14:textId="77777777" w:rsidR="00BB138C" w:rsidRPr="00EF6679" w:rsidRDefault="00BB138C" w:rsidP="00820288">
            <w:pPr>
              <w:spacing w:line="240" w:lineRule="auto"/>
              <w:rPr>
                <w:rFonts w:ascii="Times New Roman" w:hAnsi="Times New Roman" w:cs="Times New Roman"/>
                <w:color w:val="000000" w:themeColor="text1"/>
                <w:sz w:val="16"/>
                <w:szCs w:val="16"/>
                <w:vertAlign w:val="superscript"/>
              </w:rPr>
            </w:pPr>
            <w:r w:rsidRPr="00EF6679">
              <w:rPr>
                <w:rFonts w:ascii="Times New Roman" w:hAnsi="Times New Roman" w:cs="Times New Roman"/>
                <w:color w:val="000000" w:themeColor="text1"/>
                <w:sz w:val="16"/>
                <w:szCs w:val="16"/>
                <w:vertAlign w:val="superscript"/>
              </w:rPr>
              <w:t xml:space="preserve">b </w:t>
            </w:r>
          </w:p>
        </w:tc>
      </w:tr>
      <w:tr w:rsidR="00BB138C" w:rsidRPr="00EF6679" w14:paraId="309A030D" w14:textId="77777777" w:rsidTr="00820288">
        <w:trPr>
          <w:trHeight w:val="144"/>
        </w:trPr>
        <w:tc>
          <w:tcPr>
            <w:tcW w:w="2880" w:type="dxa"/>
            <w:noWrap/>
            <w:vAlign w:val="bottom"/>
            <w:hideMark/>
          </w:tcPr>
          <w:p w14:paraId="4B8FED8D" w14:textId="77777777" w:rsidR="00BB138C" w:rsidRPr="00EF6679" w:rsidRDefault="00BB138C" w:rsidP="00820288">
            <w:pPr>
              <w:spacing w:line="240" w:lineRule="auto"/>
              <w:rPr>
                <w:rFonts w:ascii="Times New Roman" w:hAnsi="Times New Roman" w:cs="Times New Roman"/>
                <w:color w:val="000000" w:themeColor="text1"/>
                <w:sz w:val="16"/>
                <w:szCs w:val="16"/>
              </w:rPr>
            </w:pPr>
            <w:r w:rsidRPr="00EF6679">
              <w:rPr>
                <w:rFonts w:ascii="Times New Roman" w:hAnsi="Times New Roman" w:cs="Times New Roman"/>
                <w:color w:val="000000" w:themeColor="text1"/>
                <w:sz w:val="16"/>
                <w:szCs w:val="16"/>
              </w:rPr>
              <w:t xml:space="preserve">Benzeneacetaldehyde      </w:t>
            </w:r>
          </w:p>
        </w:tc>
        <w:tc>
          <w:tcPr>
            <w:tcW w:w="758" w:type="dxa"/>
            <w:noWrap/>
            <w:vAlign w:val="bottom"/>
            <w:hideMark/>
          </w:tcPr>
          <w:p w14:paraId="6B990A65" w14:textId="77777777" w:rsidR="00BB138C" w:rsidRPr="00EF6679" w:rsidRDefault="00BB138C" w:rsidP="00820288">
            <w:pPr>
              <w:spacing w:line="240" w:lineRule="auto"/>
              <w:jc w:val="right"/>
              <w:rPr>
                <w:rFonts w:ascii="Times New Roman" w:hAnsi="Times New Roman" w:cs="Times New Roman"/>
                <w:color w:val="000000" w:themeColor="text1"/>
                <w:sz w:val="16"/>
                <w:szCs w:val="16"/>
              </w:rPr>
            </w:pPr>
            <w:r w:rsidRPr="00EF6679">
              <w:rPr>
                <w:rFonts w:ascii="Times New Roman" w:hAnsi="Times New Roman" w:cs="Times New Roman"/>
                <w:color w:val="000000" w:themeColor="text1"/>
                <w:sz w:val="16"/>
                <w:szCs w:val="16"/>
              </w:rPr>
              <w:t>12.928</w:t>
            </w:r>
          </w:p>
        </w:tc>
        <w:tc>
          <w:tcPr>
            <w:tcW w:w="366" w:type="dxa"/>
            <w:noWrap/>
            <w:vAlign w:val="bottom"/>
            <w:hideMark/>
          </w:tcPr>
          <w:p w14:paraId="6930AC2A" w14:textId="77777777" w:rsidR="00BB138C" w:rsidRPr="00EF6679" w:rsidRDefault="00BB138C" w:rsidP="00820288">
            <w:pPr>
              <w:spacing w:line="240" w:lineRule="auto"/>
              <w:rPr>
                <w:rFonts w:ascii="Times New Roman" w:hAnsi="Times New Roman" w:cs="Times New Roman"/>
                <w:color w:val="000000" w:themeColor="text1"/>
                <w:sz w:val="16"/>
                <w:szCs w:val="16"/>
                <w:vertAlign w:val="superscript"/>
              </w:rPr>
            </w:pPr>
            <w:r w:rsidRPr="00EF6679">
              <w:rPr>
                <w:rFonts w:ascii="Times New Roman" w:hAnsi="Times New Roman" w:cs="Times New Roman"/>
                <w:color w:val="000000" w:themeColor="text1"/>
                <w:sz w:val="16"/>
                <w:szCs w:val="16"/>
                <w:vertAlign w:val="superscript"/>
              </w:rPr>
              <w:t xml:space="preserve">a </w:t>
            </w:r>
          </w:p>
        </w:tc>
        <w:tc>
          <w:tcPr>
            <w:tcW w:w="712" w:type="dxa"/>
            <w:noWrap/>
            <w:vAlign w:val="bottom"/>
            <w:hideMark/>
          </w:tcPr>
          <w:p w14:paraId="0B49C19F" w14:textId="77777777" w:rsidR="00BB138C" w:rsidRPr="00EF6679" w:rsidRDefault="00BB138C" w:rsidP="00820288">
            <w:pPr>
              <w:spacing w:line="240" w:lineRule="auto"/>
              <w:jc w:val="right"/>
              <w:rPr>
                <w:rFonts w:ascii="Times New Roman" w:hAnsi="Times New Roman" w:cs="Times New Roman"/>
                <w:color w:val="000000" w:themeColor="text1"/>
                <w:sz w:val="16"/>
                <w:szCs w:val="16"/>
              </w:rPr>
            </w:pPr>
            <w:r w:rsidRPr="00EF6679">
              <w:rPr>
                <w:rFonts w:ascii="Times New Roman" w:hAnsi="Times New Roman" w:cs="Times New Roman"/>
                <w:color w:val="000000" w:themeColor="text1"/>
                <w:sz w:val="16"/>
                <w:szCs w:val="16"/>
              </w:rPr>
              <w:t>10.455</w:t>
            </w:r>
          </w:p>
        </w:tc>
        <w:tc>
          <w:tcPr>
            <w:tcW w:w="478" w:type="dxa"/>
            <w:noWrap/>
            <w:vAlign w:val="center"/>
            <w:hideMark/>
          </w:tcPr>
          <w:p w14:paraId="279595A1" w14:textId="77777777" w:rsidR="00BB138C" w:rsidRPr="00EF6679" w:rsidRDefault="00BB138C" w:rsidP="00820288">
            <w:pPr>
              <w:spacing w:line="240" w:lineRule="auto"/>
              <w:rPr>
                <w:rFonts w:ascii="Times New Roman" w:hAnsi="Times New Roman" w:cs="Times New Roman"/>
                <w:color w:val="000000" w:themeColor="text1"/>
                <w:sz w:val="16"/>
                <w:szCs w:val="16"/>
                <w:vertAlign w:val="superscript"/>
              </w:rPr>
            </w:pPr>
            <w:r w:rsidRPr="00EF6679">
              <w:rPr>
                <w:rFonts w:ascii="Times New Roman" w:hAnsi="Times New Roman" w:cs="Times New Roman"/>
                <w:color w:val="000000" w:themeColor="text1"/>
                <w:sz w:val="16"/>
                <w:szCs w:val="16"/>
                <w:vertAlign w:val="superscript"/>
              </w:rPr>
              <w:t xml:space="preserve">a </w:t>
            </w:r>
          </w:p>
        </w:tc>
      </w:tr>
      <w:tr w:rsidR="00BB138C" w:rsidRPr="00EF6679" w14:paraId="7D77A146" w14:textId="77777777" w:rsidTr="00820288">
        <w:trPr>
          <w:trHeight w:val="144"/>
        </w:trPr>
        <w:tc>
          <w:tcPr>
            <w:tcW w:w="2880" w:type="dxa"/>
            <w:noWrap/>
            <w:vAlign w:val="bottom"/>
            <w:hideMark/>
          </w:tcPr>
          <w:p w14:paraId="1F73E117" w14:textId="77777777" w:rsidR="00BB138C" w:rsidRPr="00EF6679" w:rsidRDefault="00BB138C" w:rsidP="00820288">
            <w:pPr>
              <w:spacing w:line="240" w:lineRule="auto"/>
              <w:rPr>
                <w:rFonts w:ascii="Times New Roman" w:hAnsi="Times New Roman" w:cs="Times New Roman"/>
                <w:color w:val="000000" w:themeColor="text1"/>
                <w:sz w:val="16"/>
                <w:szCs w:val="16"/>
              </w:rPr>
            </w:pPr>
            <w:r w:rsidRPr="00EF6679">
              <w:rPr>
                <w:rFonts w:ascii="Times New Roman" w:hAnsi="Times New Roman" w:cs="Times New Roman"/>
                <w:color w:val="000000" w:themeColor="text1"/>
                <w:sz w:val="16"/>
                <w:szCs w:val="16"/>
              </w:rPr>
              <w:t>1,3,6-Octatriene, 3,7-dimethy-, (Z)</w:t>
            </w:r>
          </w:p>
        </w:tc>
        <w:tc>
          <w:tcPr>
            <w:tcW w:w="758" w:type="dxa"/>
            <w:noWrap/>
            <w:vAlign w:val="bottom"/>
            <w:hideMark/>
          </w:tcPr>
          <w:p w14:paraId="3B8F0141" w14:textId="77777777" w:rsidR="00BB138C" w:rsidRPr="00EF6679" w:rsidRDefault="00BB138C" w:rsidP="00820288">
            <w:pPr>
              <w:spacing w:line="240" w:lineRule="auto"/>
              <w:jc w:val="right"/>
              <w:rPr>
                <w:rFonts w:ascii="Times New Roman" w:hAnsi="Times New Roman" w:cs="Times New Roman"/>
                <w:color w:val="000000" w:themeColor="text1"/>
                <w:sz w:val="16"/>
                <w:szCs w:val="16"/>
              </w:rPr>
            </w:pPr>
            <w:r w:rsidRPr="00EF6679">
              <w:rPr>
                <w:rFonts w:ascii="Times New Roman" w:hAnsi="Times New Roman" w:cs="Times New Roman"/>
                <w:color w:val="000000" w:themeColor="text1"/>
                <w:sz w:val="16"/>
                <w:szCs w:val="16"/>
              </w:rPr>
              <w:t>9.344</w:t>
            </w:r>
          </w:p>
        </w:tc>
        <w:tc>
          <w:tcPr>
            <w:tcW w:w="366" w:type="dxa"/>
            <w:noWrap/>
            <w:vAlign w:val="bottom"/>
            <w:hideMark/>
          </w:tcPr>
          <w:p w14:paraId="782FE28B" w14:textId="77777777" w:rsidR="00BB138C" w:rsidRPr="00EF6679" w:rsidRDefault="00BB138C" w:rsidP="00820288">
            <w:pPr>
              <w:spacing w:line="240" w:lineRule="auto"/>
              <w:rPr>
                <w:rFonts w:ascii="Times New Roman" w:hAnsi="Times New Roman" w:cs="Times New Roman"/>
                <w:color w:val="000000" w:themeColor="text1"/>
                <w:sz w:val="16"/>
                <w:szCs w:val="16"/>
                <w:vertAlign w:val="superscript"/>
              </w:rPr>
            </w:pPr>
            <w:r w:rsidRPr="00EF6679">
              <w:rPr>
                <w:rFonts w:ascii="Times New Roman" w:hAnsi="Times New Roman" w:cs="Times New Roman"/>
                <w:color w:val="000000" w:themeColor="text1"/>
                <w:sz w:val="16"/>
                <w:szCs w:val="16"/>
                <w:vertAlign w:val="superscript"/>
              </w:rPr>
              <w:t xml:space="preserve">b </w:t>
            </w:r>
          </w:p>
        </w:tc>
        <w:tc>
          <w:tcPr>
            <w:tcW w:w="712" w:type="dxa"/>
            <w:noWrap/>
            <w:vAlign w:val="bottom"/>
            <w:hideMark/>
          </w:tcPr>
          <w:p w14:paraId="6012D6B8" w14:textId="77777777" w:rsidR="00BB138C" w:rsidRPr="00EF6679" w:rsidRDefault="00BB138C" w:rsidP="00820288">
            <w:pPr>
              <w:spacing w:line="240" w:lineRule="auto"/>
              <w:jc w:val="right"/>
              <w:rPr>
                <w:rFonts w:ascii="Times New Roman" w:hAnsi="Times New Roman" w:cs="Times New Roman"/>
                <w:color w:val="000000" w:themeColor="text1"/>
                <w:sz w:val="16"/>
                <w:szCs w:val="16"/>
              </w:rPr>
            </w:pPr>
            <w:r w:rsidRPr="00EF6679">
              <w:rPr>
                <w:rFonts w:ascii="Times New Roman" w:hAnsi="Times New Roman" w:cs="Times New Roman"/>
                <w:color w:val="000000" w:themeColor="text1"/>
                <w:sz w:val="16"/>
                <w:szCs w:val="16"/>
              </w:rPr>
              <w:t>19.573</w:t>
            </w:r>
          </w:p>
        </w:tc>
        <w:tc>
          <w:tcPr>
            <w:tcW w:w="478" w:type="dxa"/>
            <w:noWrap/>
            <w:vAlign w:val="center"/>
            <w:hideMark/>
          </w:tcPr>
          <w:p w14:paraId="4DC44428" w14:textId="77777777" w:rsidR="00BB138C" w:rsidRPr="00EF6679" w:rsidRDefault="00BB138C" w:rsidP="00820288">
            <w:pPr>
              <w:spacing w:line="240" w:lineRule="auto"/>
              <w:rPr>
                <w:rFonts w:ascii="Times New Roman" w:hAnsi="Times New Roman" w:cs="Times New Roman"/>
                <w:color w:val="000000" w:themeColor="text1"/>
                <w:sz w:val="16"/>
                <w:szCs w:val="16"/>
                <w:vertAlign w:val="superscript"/>
              </w:rPr>
            </w:pPr>
            <w:r w:rsidRPr="00EF6679">
              <w:rPr>
                <w:rFonts w:ascii="Times New Roman" w:hAnsi="Times New Roman" w:cs="Times New Roman"/>
                <w:color w:val="000000" w:themeColor="text1"/>
                <w:sz w:val="16"/>
                <w:szCs w:val="16"/>
                <w:vertAlign w:val="superscript"/>
              </w:rPr>
              <w:t xml:space="preserve">a </w:t>
            </w:r>
          </w:p>
        </w:tc>
      </w:tr>
      <w:tr w:rsidR="00BB138C" w:rsidRPr="00EF6679" w14:paraId="5D728043" w14:textId="77777777" w:rsidTr="00820288">
        <w:trPr>
          <w:trHeight w:val="144"/>
        </w:trPr>
        <w:tc>
          <w:tcPr>
            <w:tcW w:w="2880" w:type="dxa"/>
            <w:noWrap/>
            <w:vAlign w:val="bottom"/>
            <w:hideMark/>
          </w:tcPr>
          <w:p w14:paraId="7172E619" w14:textId="77777777" w:rsidR="00BB138C" w:rsidRPr="00EF6679" w:rsidRDefault="00BB138C" w:rsidP="00820288">
            <w:pPr>
              <w:spacing w:line="240" w:lineRule="auto"/>
              <w:rPr>
                <w:rFonts w:ascii="Times New Roman" w:hAnsi="Times New Roman" w:cs="Times New Roman"/>
                <w:color w:val="000000" w:themeColor="text1"/>
                <w:sz w:val="16"/>
                <w:szCs w:val="16"/>
              </w:rPr>
            </w:pPr>
            <w:r w:rsidRPr="00EF6679">
              <w:rPr>
                <w:rFonts w:ascii="Times New Roman" w:hAnsi="Times New Roman" w:cs="Times New Roman"/>
                <w:color w:val="000000" w:themeColor="text1"/>
                <w:sz w:val="16"/>
                <w:szCs w:val="16"/>
              </w:rPr>
              <w:t>γ-Terpinene</w:t>
            </w:r>
          </w:p>
        </w:tc>
        <w:tc>
          <w:tcPr>
            <w:tcW w:w="758" w:type="dxa"/>
            <w:noWrap/>
            <w:vAlign w:val="bottom"/>
            <w:hideMark/>
          </w:tcPr>
          <w:p w14:paraId="5FF24E08" w14:textId="77777777" w:rsidR="00BB138C" w:rsidRPr="00EF6679" w:rsidRDefault="00BB138C" w:rsidP="00820288">
            <w:pPr>
              <w:spacing w:line="240" w:lineRule="auto"/>
              <w:jc w:val="right"/>
              <w:rPr>
                <w:rFonts w:ascii="Times New Roman" w:hAnsi="Times New Roman" w:cs="Times New Roman"/>
                <w:color w:val="000000" w:themeColor="text1"/>
                <w:sz w:val="16"/>
                <w:szCs w:val="16"/>
              </w:rPr>
            </w:pPr>
            <w:r w:rsidRPr="00EF6679">
              <w:rPr>
                <w:rFonts w:ascii="Times New Roman" w:hAnsi="Times New Roman" w:cs="Times New Roman"/>
                <w:color w:val="000000" w:themeColor="text1"/>
                <w:sz w:val="16"/>
                <w:szCs w:val="16"/>
              </w:rPr>
              <w:t>2.839</w:t>
            </w:r>
          </w:p>
        </w:tc>
        <w:tc>
          <w:tcPr>
            <w:tcW w:w="366" w:type="dxa"/>
            <w:noWrap/>
            <w:vAlign w:val="bottom"/>
            <w:hideMark/>
          </w:tcPr>
          <w:p w14:paraId="6DA879F8" w14:textId="77777777" w:rsidR="00BB138C" w:rsidRPr="00EF6679" w:rsidRDefault="00BB138C" w:rsidP="00820288">
            <w:pPr>
              <w:spacing w:line="240" w:lineRule="auto"/>
              <w:rPr>
                <w:rFonts w:ascii="Times New Roman" w:hAnsi="Times New Roman" w:cs="Times New Roman"/>
                <w:color w:val="000000" w:themeColor="text1"/>
                <w:sz w:val="16"/>
                <w:szCs w:val="16"/>
                <w:vertAlign w:val="superscript"/>
              </w:rPr>
            </w:pPr>
            <w:r w:rsidRPr="00EF6679">
              <w:rPr>
                <w:rFonts w:ascii="Times New Roman" w:hAnsi="Times New Roman" w:cs="Times New Roman"/>
                <w:color w:val="000000" w:themeColor="text1"/>
                <w:sz w:val="16"/>
                <w:szCs w:val="16"/>
                <w:vertAlign w:val="superscript"/>
              </w:rPr>
              <w:t xml:space="preserve">a </w:t>
            </w:r>
          </w:p>
        </w:tc>
        <w:tc>
          <w:tcPr>
            <w:tcW w:w="712" w:type="dxa"/>
            <w:noWrap/>
            <w:vAlign w:val="bottom"/>
            <w:hideMark/>
          </w:tcPr>
          <w:p w14:paraId="735C22F7" w14:textId="77777777" w:rsidR="00BB138C" w:rsidRPr="00EF6679" w:rsidRDefault="00BB138C" w:rsidP="00820288">
            <w:pPr>
              <w:spacing w:line="240" w:lineRule="auto"/>
              <w:jc w:val="right"/>
              <w:rPr>
                <w:rFonts w:ascii="Times New Roman" w:hAnsi="Times New Roman" w:cs="Times New Roman"/>
                <w:color w:val="000000" w:themeColor="text1"/>
                <w:sz w:val="16"/>
                <w:szCs w:val="16"/>
              </w:rPr>
            </w:pPr>
            <w:r w:rsidRPr="00EF6679">
              <w:rPr>
                <w:rFonts w:ascii="Times New Roman" w:hAnsi="Times New Roman" w:cs="Times New Roman"/>
                <w:color w:val="000000" w:themeColor="text1"/>
                <w:sz w:val="16"/>
                <w:szCs w:val="16"/>
              </w:rPr>
              <w:t>1.789</w:t>
            </w:r>
          </w:p>
        </w:tc>
        <w:tc>
          <w:tcPr>
            <w:tcW w:w="478" w:type="dxa"/>
            <w:noWrap/>
            <w:vAlign w:val="center"/>
            <w:hideMark/>
          </w:tcPr>
          <w:p w14:paraId="30B651F2" w14:textId="77777777" w:rsidR="00BB138C" w:rsidRPr="00EF6679" w:rsidRDefault="00BB138C" w:rsidP="00820288">
            <w:pPr>
              <w:spacing w:line="240" w:lineRule="auto"/>
              <w:rPr>
                <w:rFonts w:ascii="Times New Roman" w:hAnsi="Times New Roman" w:cs="Times New Roman"/>
                <w:color w:val="000000" w:themeColor="text1"/>
                <w:sz w:val="16"/>
                <w:szCs w:val="16"/>
                <w:vertAlign w:val="superscript"/>
              </w:rPr>
            </w:pPr>
            <w:r w:rsidRPr="00EF6679">
              <w:rPr>
                <w:rFonts w:ascii="Times New Roman" w:hAnsi="Times New Roman" w:cs="Times New Roman"/>
                <w:color w:val="000000" w:themeColor="text1"/>
                <w:sz w:val="16"/>
                <w:szCs w:val="16"/>
                <w:vertAlign w:val="superscript"/>
              </w:rPr>
              <w:t xml:space="preserve">b </w:t>
            </w:r>
          </w:p>
        </w:tc>
      </w:tr>
      <w:tr w:rsidR="00BB138C" w:rsidRPr="00EF6679" w14:paraId="6FAB4F77" w14:textId="77777777" w:rsidTr="00820288">
        <w:trPr>
          <w:trHeight w:val="144"/>
        </w:trPr>
        <w:tc>
          <w:tcPr>
            <w:tcW w:w="2880" w:type="dxa"/>
            <w:noWrap/>
            <w:vAlign w:val="bottom"/>
          </w:tcPr>
          <w:p w14:paraId="0CAF71E5" w14:textId="77777777" w:rsidR="00BB138C" w:rsidRPr="00EF6679" w:rsidRDefault="00BB138C" w:rsidP="00820288">
            <w:pPr>
              <w:spacing w:line="240" w:lineRule="auto"/>
              <w:rPr>
                <w:rFonts w:ascii="Times New Roman" w:hAnsi="Times New Roman" w:cs="Times New Roman"/>
                <w:b/>
                <w:bCs/>
                <w:color w:val="000000" w:themeColor="text1"/>
                <w:sz w:val="16"/>
                <w:szCs w:val="16"/>
              </w:rPr>
            </w:pPr>
            <w:r w:rsidRPr="00EF6679">
              <w:rPr>
                <w:rFonts w:ascii="Times New Roman" w:hAnsi="Times New Roman" w:cs="Times New Roman"/>
                <w:color w:val="000000" w:themeColor="text1"/>
                <w:sz w:val="16"/>
                <w:szCs w:val="16"/>
              </w:rPr>
              <w:t>3-ethyl-Benzaldehyde</w:t>
            </w:r>
          </w:p>
        </w:tc>
        <w:tc>
          <w:tcPr>
            <w:tcW w:w="758" w:type="dxa"/>
            <w:noWrap/>
            <w:vAlign w:val="bottom"/>
          </w:tcPr>
          <w:p w14:paraId="41B112B7" w14:textId="77777777" w:rsidR="00BB138C" w:rsidRPr="00EF6679" w:rsidRDefault="00BB138C" w:rsidP="00820288">
            <w:pPr>
              <w:spacing w:line="240" w:lineRule="auto"/>
              <w:jc w:val="right"/>
              <w:rPr>
                <w:rFonts w:ascii="Times New Roman" w:hAnsi="Times New Roman" w:cs="Times New Roman"/>
                <w:color w:val="000000" w:themeColor="text1"/>
                <w:sz w:val="16"/>
                <w:szCs w:val="16"/>
              </w:rPr>
            </w:pPr>
            <w:r w:rsidRPr="00EF6679">
              <w:rPr>
                <w:rFonts w:ascii="Times New Roman" w:hAnsi="Times New Roman" w:cs="Times New Roman"/>
                <w:color w:val="000000" w:themeColor="text1"/>
                <w:sz w:val="16"/>
                <w:szCs w:val="16"/>
              </w:rPr>
              <w:t>1.580</w:t>
            </w:r>
          </w:p>
        </w:tc>
        <w:tc>
          <w:tcPr>
            <w:tcW w:w="366" w:type="dxa"/>
            <w:noWrap/>
            <w:vAlign w:val="bottom"/>
          </w:tcPr>
          <w:p w14:paraId="4127DCFC" w14:textId="77777777" w:rsidR="00BB138C" w:rsidRPr="00EF6679" w:rsidRDefault="00BB138C" w:rsidP="00820288">
            <w:pPr>
              <w:spacing w:line="240" w:lineRule="auto"/>
              <w:rPr>
                <w:rFonts w:ascii="Times New Roman" w:hAnsi="Times New Roman" w:cs="Times New Roman"/>
                <w:color w:val="000000" w:themeColor="text1"/>
                <w:sz w:val="16"/>
                <w:szCs w:val="16"/>
                <w:vertAlign w:val="superscript"/>
              </w:rPr>
            </w:pPr>
            <w:r w:rsidRPr="00EF6679">
              <w:rPr>
                <w:rFonts w:ascii="Times New Roman" w:hAnsi="Times New Roman" w:cs="Times New Roman"/>
                <w:color w:val="000000" w:themeColor="text1"/>
                <w:sz w:val="16"/>
                <w:szCs w:val="16"/>
                <w:vertAlign w:val="superscript"/>
              </w:rPr>
              <w:t xml:space="preserve">a </w:t>
            </w:r>
          </w:p>
        </w:tc>
        <w:tc>
          <w:tcPr>
            <w:tcW w:w="712" w:type="dxa"/>
            <w:noWrap/>
            <w:vAlign w:val="bottom"/>
          </w:tcPr>
          <w:p w14:paraId="3155759B" w14:textId="77777777" w:rsidR="00BB138C" w:rsidRPr="00EF6679" w:rsidRDefault="00BB138C" w:rsidP="00820288">
            <w:pPr>
              <w:spacing w:line="240" w:lineRule="auto"/>
              <w:jc w:val="right"/>
              <w:rPr>
                <w:rFonts w:ascii="Times New Roman" w:hAnsi="Times New Roman" w:cs="Times New Roman"/>
                <w:color w:val="000000" w:themeColor="text1"/>
                <w:sz w:val="16"/>
                <w:szCs w:val="16"/>
              </w:rPr>
            </w:pPr>
            <w:r w:rsidRPr="00EF6679">
              <w:rPr>
                <w:rFonts w:ascii="Times New Roman" w:hAnsi="Times New Roman" w:cs="Times New Roman"/>
                <w:color w:val="000000" w:themeColor="text1"/>
                <w:sz w:val="16"/>
                <w:szCs w:val="16"/>
              </w:rPr>
              <w:t>1.325</w:t>
            </w:r>
          </w:p>
        </w:tc>
        <w:tc>
          <w:tcPr>
            <w:tcW w:w="478" w:type="dxa"/>
            <w:noWrap/>
            <w:vAlign w:val="center"/>
          </w:tcPr>
          <w:p w14:paraId="368D8EC8" w14:textId="77777777" w:rsidR="00BB138C" w:rsidRPr="00EF6679" w:rsidRDefault="00BB138C" w:rsidP="00820288">
            <w:pPr>
              <w:spacing w:line="240" w:lineRule="auto"/>
              <w:rPr>
                <w:rFonts w:ascii="Times New Roman" w:hAnsi="Times New Roman" w:cs="Times New Roman"/>
                <w:color w:val="000000" w:themeColor="text1"/>
                <w:sz w:val="16"/>
                <w:szCs w:val="16"/>
                <w:vertAlign w:val="superscript"/>
              </w:rPr>
            </w:pPr>
            <w:r w:rsidRPr="00EF6679">
              <w:rPr>
                <w:rFonts w:ascii="Times New Roman" w:hAnsi="Times New Roman" w:cs="Times New Roman"/>
                <w:color w:val="000000" w:themeColor="text1"/>
                <w:sz w:val="16"/>
                <w:szCs w:val="16"/>
                <w:vertAlign w:val="superscript"/>
              </w:rPr>
              <w:t xml:space="preserve">a </w:t>
            </w:r>
          </w:p>
        </w:tc>
      </w:tr>
      <w:tr w:rsidR="00BB138C" w:rsidRPr="00EF6679" w14:paraId="415FB90F" w14:textId="77777777" w:rsidTr="00820288">
        <w:trPr>
          <w:trHeight w:val="144"/>
        </w:trPr>
        <w:tc>
          <w:tcPr>
            <w:tcW w:w="2880" w:type="dxa"/>
            <w:noWrap/>
            <w:vAlign w:val="bottom"/>
            <w:hideMark/>
          </w:tcPr>
          <w:p w14:paraId="1A148D02" w14:textId="77777777" w:rsidR="00BB138C" w:rsidRPr="00EF6679" w:rsidRDefault="00BB138C" w:rsidP="00820288">
            <w:pPr>
              <w:spacing w:line="240" w:lineRule="auto"/>
              <w:rPr>
                <w:rFonts w:ascii="Times New Roman" w:hAnsi="Times New Roman" w:cs="Times New Roman"/>
                <w:color w:val="000000" w:themeColor="text1"/>
                <w:sz w:val="16"/>
                <w:szCs w:val="16"/>
              </w:rPr>
            </w:pPr>
            <w:r w:rsidRPr="00EF6679">
              <w:rPr>
                <w:rFonts w:ascii="Times New Roman" w:hAnsi="Times New Roman" w:cs="Times New Roman"/>
                <w:color w:val="000000" w:themeColor="text1"/>
                <w:sz w:val="16"/>
                <w:szCs w:val="16"/>
              </w:rPr>
              <w:t>α-Terpinene</w:t>
            </w:r>
          </w:p>
        </w:tc>
        <w:tc>
          <w:tcPr>
            <w:tcW w:w="758" w:type="dxa"/>
            <w:noWrap/>
            <w:vAlign w:val="bottom"/>
            <w:hideMark/>
          </w:tcPr>
          <w:p w14:paraId="2172341C" w14:textId="77777777" w:rsidR="00BB138C" w:rsidRPr="00EF6679" w:rsidRDefault="00BB138C" w:rsidP="00820288">
            <w:pPr>
              <w:spacing w:line="240" w:lineRule="auto"/>
              <w:jc w:val="right"/>
              <w:rPr>
                <w:rFonts w:ascii="Times New Roman" w:hAnsi="Times New Roman" w:cs="Times New Roman"/>
                <w:color w:val="000000" w:themeColor="text1"/>
                <w:sz w:val="16"/>
                <w:szCs w:val="16"/>
              </w:rPr>
            </w:pPr>
            <w:r w:rsidRPr="00EF6679">
              <w:rPr>
                <w:rFonts w:ascii="Times New Roman" w:hAnsi="Times New Roman" w:cs="Times New Roman"/>
                <w:color w:val="000000" w:themeColor="text1"/>
                <w:sz w:val="16"/>
                <w:szCs w:val="16"/>
              </w:rPr>
              <w:t>1.328</w:t>
            </w:r>
          </w:p>
        </w:tc>
        <w:tc>
          <w:tcPr>
            <w:tcW w:w="366" w:type="dxa"/>
            <w:noWrap/>
            <w:vAlign w:val="bottom"/>
            <w:hideMark/>
          </w:tcPr>
          <w:p w14:paraId="3545DA5C" w14:textId="77777777" w:rsidR="00BB138C" w:rsidRPr="00EF6679" w:rsidRDefault="00BB138C" w:rsidP="00820288">
            <w:pPr>
              <w:spacing w:line="240" w:lineRule="auto"/>
              <w:rPr>
                <w:rFonts w:ascii="Times New Roman" w:hAnsi="Times New Roman" w:cs="Times New Roman"/>
                <w:color w:val="000000" w:themeColor="text1"/>
                <w:sz w:val="16"/>
                <w:szCs w:val="16"/>
                <w:vertAlign w:val="superscript"/>
              </w:rPr>
            </w:pPr>
            <w:r w:rsidRPr="00EF6679">
              <w:rPr>
                <w:rFonts w:ascii="Times New Roman" w:hAnsi="Times New Roman" w:cs="Times New Roman"/>
                <w:color w:val="000000" w:themeColor="text1"/>
                <w:sz w:val="16"/>
                <w:szCs w:val="16"/>
                <w:vertAlign w:val="superscript"/>
              </w:rPr>
              <w:t xml:space="preserve">a </w:t>
            </w:r>
          </w:p>
        </w:tc>
        <w:tc>
          <w:tcPr>
            <w:tcW w:w="712" w:type="dxa"/>
            <w:noWrap/>
            <w:vAlign w:val="bottom"/>
            <w:hideMark/>
          </w:tcPr>
          <w:p w14:paraId="53D6BA23" w14:textId="77777777" w:rsidR="00BB138C" w:rsidRPr="00EF6679" w:rsidRDefault="00BB138C" w:rsidP="00820288">
            <w:pPr>
              <w:spacing w:line="240" w:lineRule="auto"/>
              <w:jc w:val="right"/>
              <w:rPr>
                <w:rFonts w:ascii="Times New Roman" w:hAnsi="Times New Roman" w:cs="Times New Roman"/>
                <w:color w:val="000000" w:themeColor="text1"/>
                <w:sz w:val="16"/>
                <w:szCs w:val="16"/>
              </w:rPr>
            </w:pPr>
            <w:r w:rsidRPr="00EF6679">
              <w:rPr>
                <w:rFonts w:ascii="Times New Roman" w:hAnsi="Times New Roman" w:cs="Times New Roman"/>
                <w:color w:val="000000" w:themeColor="text1"/>
                <w:sz w:val="16"/>
                <w:szCs w:val="16"/>
              </w:rPr>
              <w:t>1.352</w:t>
            </w:r>
          </w:p>
        </w:tc>
        <w:tc>
          <w:tcPr>
            <w:tcW w:w="478" w:type="dxa"/>
            <w:noWrap/>
            <w:vAlign w:val="center"/>
            <w:hideMark/>
          </w:tcPr>
          <w:p w14:paraId="6FAFABD3" w14:textId="77777777" w:rsidR="00BB138C" w:rsidRPr="00EF6679" w:rsidRDefault="00BB138C" w:rsidP="00820288">
            <w:pPr>
              <w:spacing w:line="240" w:lineRule="auto"/>
              <w:rPr>
                <w:rFonts w:ascii="Times New Roman" w:hAnsi="Times New Roman" w:cs="Times New Roman"/>
                <w:color w:val="000000" w:themeColor="text1"/>
                <w:sz w:val="16"/>
                <w:szCs w:val="16"/>
                <w:vertAlign w:val="superscript"/>
              </w:rPr>
            </w:pPr>
            <w:r w:rsidRPr="00EF6679">
              <w:rPr>
                <w:rFonts w:ascii="Times New Roman" w:hAnsi="Times New Roman" w:cs="Times New Roman"/>
                <w:color w:val="000000" w:themeColor="text1"/>
                <w:sz w:val="16"/>
                <w:szCs w:val="16"/>
                <w:vertAlign w:val="superscript"/>
              </w:rPr>
              <w:t xml:space="preserve">a </w:t>
            </w:r>
          </w:p>
        </w:tc>
      </w:tr>
      <w:tr w:rsidR="00BB138C" w:rsidRPr="00EF6679" w14:paraId="026BBBA8" w14:textId="77777777" w:rsidTr="00820288">
        <w:trPr>
          <w:trHeight w:val="144"/>
        </w:trPr>
        <w:tc>
          <w:tcPr>
            <w:tcW w:w="2880" w:type="dxa"/>
            <w:noWrap/>
            <w:vAlign w:val="bottom"/>
            <w:hideMark/>
          </w:tcPr>
          <w:p w14:paraId="104B5496" w14:textId="77777777" w:rsidR="00BB138C" w:rsidRPr="00EF6679" w:rsidRDefault="00BB138C" w:rsidP="00820288">
            <w:pPr>
              <w:spacing w:line="240" w:lineRule="auto"/>
              <w:rPr>
                <w:rFonts w:ascii="Times New Roman" w:hAnsi="Times New Roman" w:cs="Times New Roman"/>
                <w:color w:val="000000" w:themeColor="text1"/>
                <w:sz w:val="16"/>
                <w:szCs w:val="16"/>
              </w:rPr>
            </w:pPr>
            <w:r w:rsidRPr="00EF6679">
              <w:rPr>
                <w:rFonts w:ascii="Times New Roman" w:hAnsi="Times New Roman" w:cs="Times New Roman"/>
                <w:color w:val="000000" w:themeColor="text1"/>
                <w:sz w:val="16"/>
                <w:szCs w:val="16"/>
              </w:rPr>
              <w:t xml:space="preserve">Benzamide                </w:t>
            </w:r>
          </w:p>
        </w:tc>
        <w:tc>
          <w:tcPr>
            <w:tcW w:w="758" w:type="dxa"/>
            <w:noWrap/>
            <w:vAlign w:val="bottom"/>
            <w:hideMark/>
          </w:tcPr>
          <w:p w14:paraId="34F8B3B1" w14:textId="77777777" w:rsidR="00BB138C" w:rsidRPr="00EF6679" w:rsidRDefault="00BB138C" w:rsidP="00820288">
            <w:pPr>
              <w:spacing w:line="240" w:lineRule="auto"/>
              <w:jc w:val="right"/>
              <w:rPr>
                <w:rFonts w:ascii="Times New Roman" w:hAnsi="Times New Roman" w:cs="Times New Roman"/>
                <w:color w:val="000000" w:themeColor="text1"/>
                <w:sz w:val="16"/>
                <w:szCs w:val="16"/>
              </w:rPr>
            </w:pPr>
            <w:r w:rsidRPr="00EF6679">
              <w:rPr>
                <w:rFonts w:ascii="Times New Roman" w:hAnsi="Times New Roman" w:cs="Times New Roman"/>
                <w:color w:val="000000" w:themeColor="text1"/>
                <w:sz w:val="16"/>
                <w:szCs w:val="16"/>
              </w:rPr>
              <w:t>4.644</w:t>
            </w:r>
          </w:p>
        </w:tc>
        <w:tc>
          <w:tcPr>
            <w:tcW w:w="366" w:type="dxa"/>
            <w:noWrap/>
            <w:vAlign w:val="bottom"/>
            <w:hideMark/>
          </w:tcPr>
          <w:p w14:paraId="441265CB" w14:textId="77777777" w:rsidR="00BB138C" w:rsidRPr="00EF6679" w:rsidRDefault="00BB138C" w:rsidP="00820288">
            <w:pPr>
              <w:spacing w:line="240" w:lineRule="auto"/>
              <w:rPr>
                <w:rFonts w:ascii="Times New Roman" w:hAnsi="Times New Roman" w:cs="Times New Roman"/>
                <w:color w:val="000000" w:themeColor="text1"/>
                <w:sz w:val="16"/>
                <w:szCs w:val="16"/>
                <w:vertAlign w:val="superscript"/>
              </w:rPr>
            </w:pPr>
            <w:r w:rsidRPr="00EF6679">
              <w:rPr>
                <w:rFonts w:ascii="Times New Roman" w:hAnsi="Times New Roman" w:cs="Times New Roman"/>
                <w:color w:val="000000" w:themeColor="text1"/>
                <w:sz w:val="16"/>
                <w:szCs w:val="16"/>
                <w:vertAlign w:val="superscript"/>
              </w:rPr>
              <w:t xml:space="preserve">a </w:t>
            </w:r>
          </w:p>
        </w:tc>
        <w:tc>
          <w:tcPr>
            <w:tcW w:w="712" w:type="dxa"/>
            <w:noWrap/>
            <w:vAlign w:val="bottom"/>
            <w:hideMark/>
          </w:tcPr>
          <w:p w14:paraId="10D7E415" w14:textId="77777777" w:rsidR="00BB138C" w:rsidRPr="00EF6679" w:rsidRDefault="00BB138C" w:rsidP="00820288">
            <w:pPr>
              <w:spacing w:line="240" w:lineRule="auto"/>
              <w:jc w:val="right"/>
              <w:rPr>
                <w:rFonts w:ascii="Times New Roman" w:hAnsi="Times New Roman" w:cs="Times New Roman"/>
                <w:color w:val="000000" w:themeColor="text1"/>
                <w:sz w:val="16"/>
                <w:szCs w:val="16"/>
              </w:rPr>
            </w:pPr>
            <w:r w:rsidRPr="00EF6679">
              <w:rPr>
                <w:rFonts w:ascii="Times New Roman" w:hAnsi="Times New Roman" w:cs="Times New Roman"/>
                <w:color w:val="000000" w:themeColor="text1"/>
                <w:sz w:val="16"/>
                <w:szCs w:val="16"/>
              </w:rPr>
              <w:t>5.119</w:t>
            </w:r>
          </w:p>
        </w:tc>
        <w:tc>
          <w:tcPr>
            <w:tcW w:w="478" w:type="dxa"/>
            <w:noWrap/>
            <w:vAlign w:val="center"/>
            <w:hideMark/>
          </w:tcPr>
          <w:p w14:paraId="4555AA1C" w14:textId="77777777" w:rsidR="00BB138C" w:rsidRPr="00EF6679" w:rsidRDefault="00BB138C" w:rsidP="00820288">
            <w:pPr>
              <w:spacing w:line="240" w:lineRule="auto"/>
              <w:rPr>
                <w:rFonts w:ascii="Times New Roman" w:hAnsi="Times New Roman" w:cs="Times New Roman"/>
                <w:color w:val="000000" w:themeColor="text1"/>
                <w:sz w:val="16"/>
                <w:szCs w:val="16"/>
                <w:vertAlign w:val="superscript"/>
              </w:rPr>
            </w:pPr>
            <w:r w:rsidRPr="00EF6679">
              <w:rPr>
                <w:rFonts w:ascii="Times New Roman" w:hAnsi="Times New Roman" w:cs="Times New Roman"/>
                <w:color w:val="000000" w:themeColor="text1"/>
                <w:sz w:val="16"/>
                <w:szCs w:val="16"/>
                <w:vertAlign w:val="superscript"/>
              </w:rPr>
              <w:t xml:space="preserve">a </w:t>
            </w:r>
          </w:p>
        </w:tc>
      </w:tr>
      <w:tr w:rsidR="00BB138C" w:rsidRPr="00EF6679" w14:paraId="18402F27" w14:textId="77777777" w:rsidTr="00820288">
        <w:trPr>
          <w:trHeight w:val="144"/>
        </w:trPr>
        <w:tc>
          <w:tcPr>
            <w:tcW w:w="2880" w:type="dxa"/>
            <w:noWrap/>
            <w:vAlign w:val="bottom"/>
            <w:hideMark/>
          </w:tcPr>
          <w:p w14:paraId="7A0ADA71" w14:textId="77777777" w:rsidR="00BB138C" w:rsidRPr="00EF6679" w:rsidRDefault="00BB138C" w:rsidP="00820288">
            <w:pPr>
              <w:spacing w:line="240" w:lineRule="auto"/>
              <w:rPr>
                <w:rFonts w:ascii="Times New Roman" w:hAnsi="Times New Roman" w:cs="Times New Roman"/>
                <w:color w:val="000000" w:themeColor="text1"/>
                <w:sz w:val="16"/>
                <w:szCs w:val="16"/>
              </w:rPr>
            </w:pPr>
            <w:r w:rsidRPr="00EF6679">
              <w:rPr>
                <w:rFonts w:ascii="Times New Roman" w:hAnsi="Times New Roman" w:cs="Times New Roman"/>
                <w:color w:val="000000" w:themeColor="text1"/>
                <w:sz w:val="16"/>
                <w:szCs w:val="16"/>
              </w:rPr>
              <w:t xml:space="preserve">Decane                   </w:t>
            </w:r>
          </w:p>
        </w:tc>
        <w:tc>
          <w:tcPr>
            <w:tcW w:w="758" w:type="dxa"/>
            <w:noWrap/>
            <w:vAlign w:val="bottom"/>
            <w:hideMark/>
          </w:tcPr>
          <w:p w14:paraId="0D6B2D06" w14:textId="77777777" w:rsidR="00BB138C" w:rsidRPr="00EF6679" w:rsidRDefault="00BB138C" w:rsidP="00820288">
            <w:pPr>
              <w:spacing w:line="240" w:lineRule="auto"/>
              <w:jc w:val="right"/>
              <w:rPr>
                <w:rFonts w:ascii="Times New Roman" w:hAnsi="Times New Roman" w:cs="Times New Roman"/>
                <w:color w:val="000000" w:themeColor="text1"/>
                <w:sz w:val="16"/>
                <w:szCs w:val="16"/>
              </w:rPr>
            </w:pPr>
            <w:r w:rsidRPr="00EF6679">
              <w:rPr>
                <w:rFonts w:ascii="Times New Roman" w:hAnsi="Times New Roman" w:cs="Times New Roman"/>
                <w:color w:val="000000" w:themeColor="text1"/>
                <w:sz w:val="16"/>
                <w:szCs w:val="16"/>
              </w:rPr>
              <w:t>6.903</w:t>
            </w:r>
          </w:p>
        </w:tc>
        <w:tc>
          <w:tcPr>
            <w:tcW w:w="366" w:type="dxa"/>
            <w:noWrap/>
            <w:vAlign w:val="bottom"/>
            <w:hideMark/>
          </w:tcPr>
          <w:p w14:paraId="63AAEF0F" w14:textId="77777777" w:rsidR="00BB138C" w:rsidRPr="00EF6679" w:rsidRDefault="00BB138C" w:rsidP="00820288">
            <w:pPr>
              <w:spacing w:line="240" w:lineRule="auto"/>
              <w:rPr>
                <w:rFonts w:ascii="Times New Roman" w:hAnsi="Times New Roman" w:cs="Times New Roman"/>
                <w:color w:val="000000" w:themeColor="text1"/>
                <w:sz w:val="16"/>
                <w:szCs w:val="16"/>
                <w:vertAlign w:val="superscript"/>
              </w:rPr>
            </w:pPr>
            <w:r w:rsidRPr="00EF6679">
              <w:rPr>
                <w:rFonts w:ascii="Times New Roman" w:hAnsi="Times New Roman" w:cs="Times New Roman"/>
                <w:color w:val="000000" w:themeColor="text1"/>
                <w:sz w:val="16"/>
                <w:szCs w:val="16"/>
                <w:vertAlign w:val="superscript"/>
              </w:rPr>
              <w:t xml:space="preserve">a </w:t>
            </w:r>
          </w:p>
        </w:tc>
        <w:tc>
          <w:tcPr>
            <w:tcW w:w="712" w:type="dxa"/>
            <w:noWrap/>
            <w:vAlign w:val="bottom"/>
            <w:hideMark/>
          </w:tcPr>
          <w:p w14:paraId="2FA1EEE9" w14:textId="77777777" w:rsidR="00BB138C" w:rsidRPr="00EF6679" w:rsidRDefault="00BB138C" w:rsidP="00820288">
            <w:pPr>
              <w:spacing w:line="240" w:lineRule="auto"/>
              <w:jc w:val="right"/>
              <w:rPr>
                <w:rFonts w:ascii="Times New Roman" w:hAnsi="Times New Roman" w:cs="Times New Roman"/>
                <w:color w:val="000000" w:themeColor="text1"/>
                <w:sz w:val="16"/>
                <w:szCs w:val="16"/>
              </w:rPr>
            </w:pPr>
            <w:r w:rsidRPr="00EF6679">
              <w:rPr>
                <w:rFonts w:ascii="Times New Roman" w:hAnsi="Times New Roman" w:cs="Times New Roman"/>
                <w:color w:val="000000" w:themeColor="text1"/>
                <w:sz w:val="16"/>
                <w:szCs w:val="16"/>
              </w:rPr>
              <w:t>7.939</w:t>
            </w:r>
          </w:p>
        </w:tc>
        <w:tc>
          <w:tcPr>
            <w:tcW w:w="478" w:type="dxa"/>
            <w:noWrap/>
            <w:vAlign w:val="center"/>
            <w:hideMark/>
          </w:tcPr>
          <w:p w14:paraId="72574007" w14:textId="77777777" w:rsidR="00BB138C" w:rsidRPr="00EF6679" w:rsidRDefault="00BB138C" w:rsidP="00820288">
            <w:pPr>
              <w:spacing w:line="240" w:lineRule="auto"/>
              <w:rPr>
                <w:rFonts w:ascii="Times New Roman" w:hAnsi="Times New Roman" w:cs="Times New Roman"/>
                <w:color w:val="000000" w:themeColor="text1"/>
                <w:sz w:val="16"/>
                <w:szCs w:val="16"/>
                <w:vertAlign w:val="superscript"/>
              </w:rPr>
            </w:pPr>
            <w:r w:rsidRPr="00EF6679">
              <w:rPr>
                <w:rFonts w:ascii="Times New Roman" w:hAnsi="Times New Roman" w:cs="Times New Roman"/>
                <w:color w:val="000000" w:themeColor="text1"/>
                <w:sz w:val="16"/>
                <w:szCs w:val="16"/>
                <w:vertAlign w:val="superscript"/>
              </w:rPr>
              <w:t xml:space="preserve">a </w:t>
            </w:r>
          </w:p>
        </w:tc>
      </w:tr>
      <w:tr w:rsidR="00BB138C" w:rsidRPr="00EF6679" w14:paraId="7944DA5D" w14:textId="77777777" w:rsidTr="00820288">
        <w:trPr>
          <w:trHeight w:val="144"/>
        </w:trPr>
        <w:tc>
          <w:tcPr>
            <w:tcW w:w="2880" w:type="dxa"/>
            <w:noWrap/>
            <w:vAlign w:val="bottom"/>
            <w:hideMark/>
          </w:tcPr>
          <w:p w14:paraId="715DA024" w14:textId="77777777" w:rsidR="00BB138C" w:rsidRPr="00EF6679" w:rsidRDefault="00BB138C" w:rsidP="00820288">
            <w:pPr>
              <w:spacing w:line="240" w:lineRule="auto"/>
              <w:rPr>
                <w:rFonts w:ascii="Times New Roman" w:hAnsi="Times New Roman" w:cs="Times New Roman"/>
                <w:color w:val="000000" w:themeColor="text1"/>
                <w:sz w:val="16"/>
                <w:szCs w:val="16"/>
              </w:rPr>
            </w:pPr>
            <w:r w:rsidRPr="00EF6679">
              <w:rPr>
                <w:rFonts w:ascii="Times New Roman" w:hAnsi="Times New Roman" w:cs="Times New Roman"/>
                <w:color w:val="000000" w:themeColor="text1"/>
                <w:sz w:val="16"/>
                <w:szCs w:val="16"/>
              </w:rPr>
              <w:t xml:space="preserve">Terpinolene              </w:t>
            </w:r>
          </w:p>
        </w:tc>
        <w:tc>
          <w:tcPr>
            <w:tcW w:w="758" w:type="dxa"/>
            <w:noWrap/>
            <w:vAlign w:val="bottom"/>
            <w:hideMark/>
          </w:tcPr>
          <w:p w14:paraId="2FD56F07" w14:textId="77777777" w:rsidR="00BB138C" w:rsidRPr="00EF6679" w:rsidRDefault="00BB138C" w:rsidP="00820288">
            <w:pPr>
              <w:spacing w:line="240" w:lineRule="auto"/>
              <w:jc w:val="right"/>
              <w:rPr>
                <w:rFonts w:ascii="Times New Roman" w:hAnsi="Times New Roman" w:cs="Times New Roman"/>
                <w:color w:val="000000" w:themeColor="text1"/>
                <w:sz w:val="16"/>
                <w:szCs w:val="16"/>
              </w:rPr>
            </w:pPr>
            <w:r w:rsidRPr="00EF6679">
              <w:rPr>
                <w:rFonts w:ascii="Times New Roman" w:hAnsi="Times New Roman" w:cs="Times New Roman"/>
                <w:color w:val="000000" w:themeColor="text1"/>
                <w:sz w:val="16"/>
                <w:szCs w:val="16"/>
              </w:rPr>
              <w:t>239.670</w:t>
            </w:r>
          </w:p>
        </w:tc>
        <w:tc>
          <w:tcPr>
            <w:tcW w:w="366" w:type="dxa"/>
            <w:noWrap/>
            <w:vAlign w:val="bottom"/>
            <w:hideMark/>
          </w:tcPr>
          <w:p w14:paraId="2A113364" w14:textId="77777777" w:rsidR="00BB138C" w:rsidRPr="00EF6679" w:rsidRDefault="00BB138C" w:rsidP="00820288">
            <w:pPr>
              <w:spacing w:line="240" w:lineRule="auto"/>
              <w:rPr>
                <w:rFonts w:ascii="Times New Roman" w:hAnsi="Times New Roman" w:cs="Times New Roman"/>
                <w:color w:val="000000" w:themeColor="text1"/>
                <w:sz w:val="16"/>
                <w:szCs w:val="16"/>
                <w:vertAlign w:val="superscript"/>
              </w:rPr>
            </w:pPr>
            <w:r w:rsidRPr="00EF6679">
              <w:rPr>
                <w:rFonts w:ascii="Times New Roman" w:hAnsi="Times New Roman" w:cs="Times New Roman"/>
                <w:color w:val="000000" w:themeColor="text1"/>
                <w:sz w:val="16"/>
                <w:szCs w:val="16"/>
                <w:vertAlign w:val="superscript"/>
              </w:rPr>
              <w:t xml:space="preserve">a </w:t>
            </w:r>
          </w:p>
        </w:tc>
        <w:tc>
          <w:tcPr>
            <w:tcW w:w="712" w:type="dxa"/>
            <w:noWrap/>
            <w:vAlign w:val="bottom"/>
            <w:hideMark/>
          </w:tcPr>
          <w:p w14:paraId="70ED409E" w14:textId="77777777" w:rsidR="00BB138C" w:rsidRPr="00EF6679" w:rsidRDefault="00BB138C" w:rsidP="00820288">
            <w:pPr>
              <w:spacing w:line="240" w:lineRule="auto"/>
              <w:jc w:val="right"/>
              <w:rPr>
                <w:rFonts w:ascii="Times New Roman" w:hAnsi="Times New Roman" w:cs="Times New Roman"/>
                <w:color w:val="000000" w:themeColor="text1"/>
                <w:sz w:val="16"/>
                <w:szCs w:val="16"/>
              </w:rPr>
            </w:pPr>
            <w:r w:rsidRPr="00EF6679">
              <w:rPr>
                <w:rFonts w:ascii="Times New Roman" w:hAnsi="Times New Roman" w:cs="Times New Roman"/>
                <w:color w:val="000000" w:themeColor="text1"/>
                <w:sz w:val="16"/>
                <w:szCs w:val="16"/>
              </w:rPr>
              <w:t>217.830</w:t>
            </w:r>
          </w:p>
        </w:tc>
        <w:tc>
          <w:tcPr>
            <w:tcW w:w="478" w:type="dxa"/>
            <w:noWrap/>
            <w:vAlign w:val="center"/>
            <w:hideMark/>
          </w:tcPr>
          <w:p w14:paraId="58D4DD91" w14:textId="77777777" w:rsidR="00BB138C" w:rsidRPr="00EF6679" w:rsidRDefault="00BB138C" w:rsidP="00820288">
            <w:pPr>
              <w:spacing w:line="240" w:lineRule="auto"/>
              <w:rPr>
                <w:rFonts w:ascii="Times New Roman" w:hAnsi="Times New Roman" w:cs="Times New Roman"/>
                <w:color w:val="000000" w:themeColor="text1"/>
                <w:sz w:val="16"/>
                <w:szCs w:val="16"/>
                <w:vertAlign w:val="superscript"/>
              </w:rPr>
            </w:pPr>
            <w:r w:rsidRPr="00EF6679">
              <w:rPr>
                <w:rFonts w:ascii="Times New Roman" w:hAnsi="Times New Roman" w:cs="Times New Roman"/>
                <w:color w:val="000000" w:themeColor="text1"/>
                <w:sz w:val="16"/>
                <w:szCs w:val="16"/>
                <w:vertAlign w:val="superscript"/>
              </w:rPr>
              <w:t xml:space="preserve">a </w:t>
            </w:r>
          </w:p>
        </w:tc>
      </w:tr>
      <w:tr w:rsidR="00BB138C" w:rsidRPr="00EF6679" w14:paraId="0BB463A7" w14:textId="77777777" w:rsidTr="00820288">
        <w:trPr>
          <w:trHeight w:val="144"/>
        </w:trPr>
        <w:tc>
          <w:tcPr>
            <w:tcW w:w="2880" w:type="dxa"/>
            <w:noWrap/>
            <w:vAlign w:val="bottom"/>
            <w:hideMark/>
          </w:tcPr>
          <w:p w14:paraId="617A280E" w14:textId="77777777" w:rsidR="00BB138C" w:rsidRPr="00EF6679" w:rsidRDefault="00BB138C" w:rsidP="00820288">
            <w:pPr>
              <w:spacing w:line="240" w:lineRule="auto"/>
              <w:rPr>
                <w:rFonts w:ascii="Times New Roman" w:hAnsi="Times New Roman" w:cs="Times New Roman"/>
                <w:color w:val="000000" w:themeColor="text1"/>
                <w:sz w:val="16"/>
                <w:szCs w:val="16"/>
              </w:rPr>
            </w:pPr>
            <w:r w:rsidRPr="00EF6679">
              <w:rPr>
                <w:rFonts w:ascii="Times New Roman" w:hAnsi="Times New Roman" w:cs="Times New Roman"/>
                <w:color w:val="000000" w:themeColor="text1"/>
                <w:sz w:val="16"/>
                <w:szCs w:val="16"/>
              </w:rPr>
              <w:t xml:space="preserve">Sabinene hydrate    </w:t>
            </w:r>
          </w:p>
        </w:tc>
        <w:tc>
          <w:tcPr>
            <w:tcW w:w="758" w:type="dxa"/>
            <w:noWrap/>
            <w:vAlign w:val="bottom"/>
            <w:hideMark/>
          </w:tcPr>
          <w:p w14:paraId="265F8E1C" w14:textId="77777777" w:rsidR="00BB138C" w:rsidRPr="00EF6679" w:rsidRDefault="00BB138C" w:rsidP="00820288">
            <w:pPr>
              <w:spacing w:line="240" w:lineRule="auto"/>
              <w:jc w:val="right"/>
              <w:rPr>
                <w:rFonts w:ascii="Times New Roman" w:hAnsi="Times New Roman" w:cs="Times New Roman"/>
                <w:color w:val="000000" w:themeColor="text1"/>
                <w:sz w:val="16"/>
                <w:szCs w:val="16"/>
              </w:rPr>
            </w:pPr>
            <w:r w:rsidRPr="00EF6679">
              <w:rPr>
                <w:rFonts w:ascii="Times New Roman" w:hAnsi="Times New Roman" w:cs="Times New Roman"/>
                <w:color w:val="000000" w:themeColor="text1"/>
                <w:sz w:val="16"/>
                <w:szCs w:val="16"/>
              </w:rPr>
              <w:t>7.603</w:t>
            </w:r>
          </w:p>
        </w:tc>
        <w:tc>
          <w:tcPr>
            <w:tcW w:w="366" w:type="dxa"/>
            <w:noWrap/>
            <w:vAlign w:val="bottom"/>
            <w:hideMark/>
          </w:tcPr>
          <w:p w14:paraId="3ADB86AA" w14:textId="77777777" w:rsidR="00BB138C" w:rsidRPr="00EF6679" w:rsidRDefault="00BB138C" w:rsidP="00820288">
            <w:pPr>
              <w:spacing w:line="240" w:lineRule="auto"/>
              <w:rPr>
                <w:rFonts w:ascii="Times New Roman" w:hAnsi="Times New Roman" w:cs="Times New Roman"/>
                <w:color w:val="000000" w:themeColor="text1"/>
                <w:sz w:val="16"/>
                <w:szCs w:val="16"/>
                <w:vertAlign w:val="superscript"/>
              </w:rPr>
            </w:pPr>
            <w:r w:rsidRPr="00EF6679">
              <w:rPr>
                <w:rFonts w:ascii="Times New Roman" w:hAnsi="Times New Roman" w:cs="Times New Roman"/>
                <w:color w:val="000000" w:themeColor="text1"/>
                <w:sz w:val="16"/>
                <w:szCs w:val="16"/>
                <w:vertAlign w:val="superscript"/>
              </w:rPr>
              <w:t xml:space="preserve">a </w:t>
            </w:r>
          </w:p>
        </w:tc>
        <w:tc>
          <w:tcPr>
            <w:tcW w:w="712" w:type="dxa"/>
            <w:noWrap/>
            <w:vAlign w:val="bottom"/>
            <w:hideMark/>
          </w:tcPr>
          <w:p w14:paraId="12C9EDF8" w14:textId="77777777" w:rsidR="00BB138C" w:rsidRPr="00EF6679" w:rsidRDefault="00BB138C" w:rsidP="00820288">
            <w:pPr>
              <w:spacing w:line="240" w:lineRule="auto"/>
              <w:jc w:val="right"/>
              <w:rPr>
                <w:rFonts w:ascii="Times New Roman" w:hAnsi="Times New Roman" w:cs="Times New Roman"/>
                <w:color w:val="000000" w:themeColor="text1"/>
                <w:sz w:val="16"/>
                <w:szCs w:val="16"/>
              </w:rPr>
            </w:pPr>
            <w:r w:rsidRPr="00EF6679">
              <w:rPr>
                <w:rFonts w:ascii="Times New Roman" w:hAnsi="Times New Roman" w:cs="Times New Roman"/>
                <w:color w:val="000000" w:themeColor="text1"/>
                <w:sz w:val="16"/>
                <w:szCs w:val="16"/>
              </w:rPr>
              <w:t>8.046</w:t>
            </w:r>
          </w:p>
        </w:tc>
        <w:tc>
          <w:tcPr>
            <w:tcW w:w="478" w:type="dxa"/>
            <w:noWrap/>
            <w:vAlign w:val="center"/>
            <w:hideMark/>
          </w:tcPr>
          <w:p w14:paraId="67BAFE23" w14:textId="77777777" w:rsidR="00BB138C" w:rsidRPr="00EF6679" w:rsidRDefault="00BB138C" w:rsidP="00820288">
            <w:pPr>
              <w:spacing w:line="240" w:lineRule="auto"/>
              <w:rPr>
                <w:rFonts w:ascii="Times New Roman" w:hAnsi="Times New Roman" w:cs="Times New Roman"/>
                <w:color w:val="000000" w:themeColor="text1"/>
                <w:sz w:val="16"/>
                <w:szCs w:val="16"/>
                <w:vertAlign w:val="superscript"/>
              </w:rPr>
            </w:pPr>
            <w:r w:rsidRPr="00EF6679">
              <w:rPr>
                <w:rFonts w:ascii="Times New Roman" w:hAnsi="Times New Roman" w:cs="Times New Roman"/>
                <w:color w:val="000000" w:themeColor="text1"/>
                <w:sz w:val="16"/>
                <w:szCs w:val="16"/>
                <w:vertAlign w:val="superscript"/>
              </w:rPr>
              <w:t xml:space="preserve">a </w:t>
            </w:r>
          </w:p>
        </w:tc>
      </w:tr>
      <w:tr w:rsidR="00BB138C" w:rsidRPr="00EF6679" w14:paraId="568F8E8F" w14:textId="77777777" w:rsidTr="00820288">
        <w:trPr>
          <w:trHeight w:val="144"/>
        </w:trPr>
        <w:tc>
          <w:tcPr>
            <w:tcW w:w="2880" w:type="dxa"/>
            <w:noWrap/>
            <w:vAlign w:val="bottom"/>
            <w:hideMark/>
          </w:tcPr>
          <w:p w14:paraId="225FB677" w14:textId="77777777" w:rsidR="00BB138C" w:rsidRPr="00EF6679" w:rsidRDefault="00BB138C" w:rsidP="00820288">
            <w:pPr>
              <w:spacing w:line="240" w:lineRule="auto"/>
              <w:rPr>
                <w:rFonts w:ascii="Times New Roman" w:hAnsi="Times New Roman" w:cs="Times New Roman"/>
                <w:color w:val="000000" w:themeColor="text1"/>
                <w:sz w:val="16"/>
                <w:szCs w:val="16"/>
              </w:rPr>
            </w:pPr>
            <w:r w:rsidRPr="00EF6679">
              <w:rPr>
                <w:rFonts w:ascii="Times New Roman" w:hAnsi="Times New Roman" w:cs="Times New Roman"/>
                <w:color w:val="000000" w:themeColor="text1"/>
                <w:sz w:val="16"/>
                <w:szCs w:val="16"/>
              </w:rPr>
              <w:t xml:space="preserve">Nonanal                  </w:t>
            </w:r>
          </w:p>
        </w:tc>
        <w:tc>
          <w:tcPr>
            <w:tcW w:w="758" w:type="dxa"/>
            <w:noWrap/>
            <w:vAlign w:val="bottom"/>
            <w:hideMark/>
          </w:tcPr>
          <w:p w14:paraId="4CE7C0EE" w14:textId="77777777" w:rsidR="00BB138C" w:rsidRPr="00EF6679" w:rsidRDefault="00BB138C" w:rsidP="00820288">
            <w:pPr>
              <w:spacing w:line="240" w:lineRule="auto"/>
              <w:jc w:val="right"/>
              <w:rPr>
                <w:rFonts w:ascii="Times New Roman" w:hAnsi="Times New Roman" w:cs="Times New Roman"/>
                <w:color w:val="000000" w:themeColor="text1"/>
                <w:sz w:val="16"/>
                <w:szCs w:val="16"/>
              </w:rPr>
            </w:pPr>
            <w:r w:rsidRPr="00EF6679">
              <w:rPr>
                <w:rFonts w:ascii="Times New Roman" w:hAnsi="Times New Roman" w:cs="Times New Roman"/>
                <w:color w:val="000000" w:themeColor="text1"/>
                <w:sz w:val="16"/>
                <w:szCs w:val="16"/>
              </w:rPr>
              <w:t>0.241</w:t>
            </w:r>
          </w:p>
        </w:tc>
        <w:tc>
          <w:tcPr>
            <w:tcW w:w="366" w:type="dxa"/>
            <w:noWrap/>
            <w:vAlign w:val="bottom"/>
            <w:hideMark/>
          </w:tcPr>
          <w:p w14:paraId="71E15229" w14:textId="77777777" w:rsidR="00BB138C" w:rsidRPr="00EF6679" w:rsidRDefault="00BB138C" w:rsidP="00820288">
            <w:pPr>
              <w:spacing w:line="240" w:lineRule="auto"/>
              <w:rPr>
                <w:rFonts w:ascii="Times New Roman" w:hAnsi="Times New Roman" w:cs="Times New Roman"/>
                <w:color w:val="000000" w:themeColor="text1"/>
                <w:sz w:val="16"/>
                <w:szCs w:val="16"/>
                <w:vertAlign w:val="superscript"/>
              </w:rPr>
            </w:pPr>
            <w:r w:rsidRPr="00EF6679">
              <w:rPr>
                <w:rFonts w:ascii="Times New Roman" w:hAnsi="Times New Roman" w:cs="Times New Roman"/>
                <w:color w:val="000000" w:themeColor="text1"/>
                <w:sz w:val="16"/>
                <w:szCs w:val="16"/>
                <w:vertAlign w:val="superscript"/>
              </w:rPr>
              <w:t xml:space="preserve">a </w:t>
            </w:r>
          </w:p>
        </w:tc>
        <w:tc>
          <w:tcPr>
            <w:tcW w:w="712" w:type="dxa"/>
            <w:noWrap/>
            <w:vAlign w:val="bottom"/>
            <w:hideMark/>
          </w:tcPr>
          <w:p w14:paraId="6C19D7B8" w14:textId="77777777" w:rsidR="00BB138C" w:rsidRPr="00EF6679" w:rsidRDefault="00BB138C" w:rsidP="00820288">
            <w:pPr>
              <w:spacing w:line="240" w:lineRule="auto"/>
              <w:jc w:val="right"/>
              <w:rPr>
                <w:rFonts w:ascii="Times New Roman" w:hAnsi="Times New Roman" w:cs="Times New Roman"/>
                <w:color w:val="000000" w:themeColor="text1"/>
                <w:sz w:val="16"/>
                <w:szCs w:val="16"/>
              </w:rPr>
            </w:pPr>
            <w:r w:rsidRPr="00EF6679">
              <w:rPr>
                <w:rFonts w:ascii="Times New Roman" w:hAnsi="Times New Roman" w:cs="Times New Roman"/>
                <w:color w:val="000000" w:themeColor="text1"/>
                <w:sz w:val="16"/>
                <w:szCs w:val="16"/>
              </w:rPr>
              <w:t>0.255</w:t>
            </w:r>
          </w:p>
        </w:tc>
        <w:tc>
          <w:tcPr>
            <w:tcW w:w="478" w:type="dxa"/>
            <w:noWrap/>
            <w:vAlign w:val="center"/>
            <w:hideMark/>
          </w:tcPr>
          <w:p w14:paraId="36758C2E" w14:textId="77777777" w:rsidR="00BB138C" w:rsidRPr="00EF6679" w:rsidRDefault="00BB138C" w:rsidP="00820288">
            <w:pPr>
              <w:spacing w:line="240" w:lineRule="auto"/>
              <w:rPr>
                <w:rFonts w:ascii="Times New Roman" w:hAnsi="Times New Roman" w:cs="Times New Roman"/>
                <w:color w:val="000000" w:themeColor="text1"/>
                <w:sz w:val="16"/>
                <w:szCs w:val="16"/>
                <w:vertAlign w:val="superscript"/>
              </w:rPr>
            </w:pPr>
            <w:r w:rsidRPr="00EF6679">
              <w:rPr>
                <w:rFonts w:ascii="Times New Roman" w:hAnsi="Times New Roman" w:cs="Times New Roman"/>
                <w:color w:val="000000" w:themeColor="text1"/>
                <w:sz w:val="16"/>
                <w:szCs w:val="16"/>
                <w:vertAlign w:val="superscript"/>
              </w:rPr>
              <w:t xml:space="preserve">a </w:t>
            </w:r>
          </w:p>
        </w:tc>
      </w:tr>
      <w:tr w:rsidR="00BB138C" w:rsidRPr="00EF6679" w14:paraId="07B4974E" w14:textId="77777777" w:rsidTr="00820288">
        <w:trPr>
          <w:trHeight w:val="144"/>
        </w:trPr>
        <w:tc>
          <w:tcPr>
            <w:tcW w:w="2880" w:type="dxa"/>
            <w:noWrap/>
            <w:vAlign w:val="bottom"/>
            <w:hideMark/>
          </w:tcPr>
          <w:p w14:paraId="5C5CF996" w14:textId="77777777" w:rsidR="00BB138C" w:rsidRPr="00EF6679" w:rsidRDefault="00BB138C" w:rsidP="00820288">
            <w:pPr>
              <w:spacing w:line="240" w:lineRule="auto"/>
              <w:rPr>
                <w:rFonts w:ascii="Times New Roman" w:hAnsi="Times New Roman" w:cs="Times New Roman"/>
                <w:color w:val="000000" w:themeColor="text1"/>
                <w:sz w:val="16"/>
                <w:szCs w:val="16"/>
              </w:rPr>
            </w:pPr>
            <w:r w:rsidRPr="00EF6679">
              <w:rPr>
                <w:rFonts w:ascii="Times New Roman" w:hAnsi="Times New Roman" w:cs="Times New Roman"/>
                <w:color w:val="000000" w:themeColor="text1"/>
                <w:sz w:val="16"/>
                <w:szCs w:val="16"/>
              </w:rPr>
              <w:t xml:space="preserve">Linalool                 </w:t>
            </w:r>
          </w:p>
        </w:tc>
        <w:tc>
          <w:tcPr>
            <w:tcW w:w="758" w:type="dxa"/>
            <w:noWrap/>
            <w:vAlign w:val="bottom"/>
            <w:hideMark/>
          </w:tcPr>
          <w:p w14:paraId="75DFD012" w14:textId="77777777" w:rsidR="00BB138C" w:rsidRPr="00EF6679" w:rsidRDefault="00BB138C" w:rsidP="00820288">
            <w:pPr>
              <w:spacing w:line="240" w:lineRule="auto"/>
              <w:jc w:val="right"/>
              <w:rPr>
                <w:rFonts w:ascii="Times New Roman" w:hAnsi="Times New Roman" w:cs="Times New Roman"/>
                <w:color w:val="000000" w:themeColor="text1"/>
                <w:sz w:val="16"/>
                <w:szCs w:val="16"/>
              </w:rPr>
            </w:pPr>
            <w:r w:rsidRPr="00EF6679">
              <w:rPr>
                <w:rFonts w:ascii="Times New Roman" w:hAnsi="Times New Roman" w:cs="Times New Roman"/>
                <w:color w:val="000000" w:themeColor="text1"/>
                <w:sz w:val="16"/>
                <w:szCs w:val="16"/>
              </w:rPr>
              <w:t>n.d.</w:t>
            </w:r>
          </w:p>
        </w:tc>
        <w:tc>
          <w:tcPr>
            <w:tcW w:w="366" w:type="dxa"/>
            <w:noWrap/>
            <w:vAlign w:val="center"/>
            <w:hideMark/>
          </w:tcPr>
          <w:p w14:paraId="263E47EA" w14:textId="77777777" w:rsidR="00BB138C" w:rsidRPr="00EF6679" w:rsidRDefault="00BB138C" w:rsidP="00820288">
            <w:pPr>
              <w:spacing w:line="240" w:lineRule="auto"/>
              <w:rPr>
                <w:rFonts w:ascii="Times New Roman" w:hAnsi="Times New Roman" w:cs="Times New Roman"/>
                <w:color w:val="000000" w:themeColor="text1"/>
                <w:sz w:val="16"/>
                <w:szCs w:val="16"/>
                <w:vertAlign w:val="superscript"/>
              </w:rPr>
            </w:pPr>
            <w:r w:rsidRPr="00EF6679">
              <w:rPr>
                <w:rFonts w:ascii="Times New Roman" w:hAnsi="Times New Roman" w:cs="Times New Roman"/>
                <w:color w:val="000000" w:themeColor="text1"/>
                <w:sz w:val="16"/>
                <w:szCs w:val="16"/>
                <w:vertAlign w:val="superscript"/>
              </w:rPr>
              <w:t>a</w:t>
            </w:r>
          </w:p>
        </w:tc>
        <w:tc>
          <w:tcPr>
            <w:tcW w:w="712" w:type="dxa"/>
            <w:noWrap/>
            <w:vAlign w:val="bottom"/>
            <w:hideMark/>
          </w:tcPr>
          <w:p w14:paraId="3E599BC6" w14:textId="77777777" w:rsidR="00BB138C" w:rsidRPr="00EF6679" w:rsidRDefault="00BB138C" w:rsidP="00820288">
            <w:pPr>
              <w:spacing w:line="240" w:lineRule="auto"/>
              <w:jc w:val="right"/>
              <w:rPr>
                <w:rFonts w:ascii="Times New Roman" w:hAnsi="Times New Roman" w:cs="Times New Roman"/>
                <w:color w:val="000000" w:themeColor="text1"/>
                <w:sz w:val="16"/>
                <w:szCs w:val="16"/>
              </w:rPr>
            </w:pPr>
            <w:r w:rsidRPr="00EF6679">
              <w:rPr>
                <w:rFonts w:ascii="Times New Roman" w:hAnsi="Times New Roman" w:cs="Times New Roman"/>
                <w:color w:val="000000" w:themeColor="text1"/>
                <w:sz w:val="16"/>
                <w:szCs w:val="16"/>
              </w:rPr>
              <w:t>0.010</w:t>
            </w:r>
          </w:p>
        </w:tc>
        <w:tc>
          <w:tcPr>
            <w:tcW w:w="478" w:type="dxa"/>
            <w:noWrap/>
            <w:vAlign w:val="center"/>
            <w:hideMark/>
          </w:tcPr>
          <w:p w14:paraId="0EB9C483" w14:textId="77777777" w:rsidR="00BB138C" w:rsidRPr="00EF6679" w:rsidRDefault="00BB138C" w:rsidP="00820288">
            <w:pPr>
              <w:spacing w:line="240" w:lineRule="auto"/>
              <w:rPr>
                <w:rFonts w:ascii="Times New Roman" w:hAnsi="Times New Roman" w:cs="Times New Roman"/>
                <w:color w:val="000000" w:themeColor="text1"/>
                <w:sz w:val="16"/>
                <w:szCs w:val="16"/>
                <w:vertAlign w:val="superscript"/>
              </w:rPr>
            </w:pPr>
            <w:r w:rsidRPr="00EF6679">
              <w:rPr>
                <w:rFonts w:ascii="Times New Roman" w:hAnsi="Times New Roman" w:cs="Times New Roman"/>
                <w:color w:val="000000" w:themeColor="text1"/>
                <w:sz w:val="16"/>
                <w:szCs w:val="16"/>
                <w:vertAlign w:val="superscript"/>
              </w:rPr>
              <w:t>a</w:t>
            </w:r>
          </w:p>
        </w:tc>
      </w:tr>
      <w:tr w:rsidR="00BB138C" w:rsidRPr="00EF6679" w14:paraId="370DD841" w14:textId="77777777" w:rsidTr="00820288">
        <w:trPr>
          <w:trHeight w:val="144"/>
        </w:trPr>
        <w:tc>
          <w:tcPr>
            <w:tcW w:w="2880" w:type="dxa"/>
            <w:noWrap/>
            <w:vAlign w:val="bottom"/>
          </w:tcPr>
          <w:p w14:paraId="361D4A47" w14:textId="77777777" w:rsidR="00BB138C" w:rsidRPr="00EF6679" w:rsidRDefault="00BB138C" w:rsidP="00820288">
            <w:pPr>
              <w:spacing w:line="240" w:lineRule="auto"/>
              <w:rPr>
                <w:rFonts w:ascii="Times New Roman" w:hAnsi="Times New Roman" w:cs="Times New Roman"/>
                <w:color w:val="000000" w:themeColor="text1"/>
                <w:sz w:val="16"/>
                <w:szCs w:val="16"/>
              </w:rPr>
            </w:pPr>
            <w:r w:rsidRPr="00EF6679">
              <w:rPr>
                <w:rFonts w:ascii="Times New Roman" w:hAnsi="Times New Roman" w:cs="Times New Roman"/>
                <w:color w:val="000000" w:themeColor="text1"/>
                <w:sz w:val="16"/>
                <w:szCs w:val="16"/>
              </w:rPr>
              <w:t xml:space="preserve">Fenchyl acetate          </w:t>
            </w:r>
          </w:p>
        </w:tc>
        <w:tc>
          <w:tcPr>
            <w:tcW w:w="758" w:type="dxa"/>
            <w:noWrap/>
            <w:vAlign w:val="bottom"/>
          </w:tcPr>
          <w:p w14:paraId="1CB74F73" w14:textId="77777777" w:rsidR="00BB138C" w:rsidRPr="00EF6679" w:rsidRDefault="00BB138C" w:rsidP="00820288">
            <w:pPr>
              <w:spacing w:line="240" w:lineRule="auto"/>
              <w:jc w:val="right"/>
              <w:rPr>
                <w:rFonts w:ascii="Times New Roman" w:hAnsi="Times New Roman" w:cs="Times New Roman"/>
                <w:color w:val="000000" w:themeColor="text1"/>
                <w:sz w:val="16"/>
                <w:szCs w:val="16"/>
              </w:rPr>
            </w:pPr>
            <w:r w:rsidRPr="00EF6679">
              <w:rPr>
                <w:rFonts w:ascii="Times New Roman" w:hAnsi="Times New Roman" w:cs="Times New Roman"/>
                <w:color w:val="000000" w:themeColor="text1"/>
                <w:sz w:val="16"/>
                <w:szCs w:val="16"/>
              </w:rPr>
              <w:t>0.178</w:t>
            </w:r>
          </w:p>
        </w:tc>
        <w:tc>
          <w:tcPr>
            <w:tcW w:w="366" w:type="dxa"/>
            <w:noWrap/>
            <w:vAlign w:val="bottom"/>
          </w:tcPr>
          <w:p w14:paraId="3F6FB775" w14:textId="77777777" w:rsidR="00BB138C" w:rsidRPr="00EF6679" w:rsidRDefault="00BB138C" w:rsidP="00820288">
            <w:pPr>
              <w:spacing w:line="240" w:lineRule="auto"/>
              <w:rPr>
                <w:rFonts w:ascii="Times New Roman" w:hAnsi="Times New Roman" w:cs="Times New Roman"/>
                <w:color w:val="000000" w:themeColor="text1"/>
                <w:sz w:val="16"/>
                <w:szCs w:val="16"/>
                <w:vertAlign w:val="superscript"/>
              </w:rPr>
            </w:pPr>
            <w:r w:rsidRPr="00EF6679">
              <w:rPr>
                <w:rFonts w:ascii="Times New Roman" w:hAnsi="Times New Roman" w:cs="Times New Roman"/>
                <w:color w:val="000000" w:themeColor="text1"/>
                <w:sz w:val="16"/>
                <w:szCs w:val="16"/>
                <w:vertAlign w:val="superscript"/>
              </w:rPr>
              <w:t xml:space="preserve">a </w:t>
            </w:r>
          </w:p>
        </w:tc>
        <w:tc>
          <w:tcPr>
            <w:tcW w:w="712" w:type="dxa"/>
            <w:noWrap/>
            <w:vAlign w:val="bottom"/>
          </w:tcPr>
          <w:p w14:paraId="3BDDE4B0" w14:textId="77777777" w:rsidR="00BB138C" w:rsidRPr="00EF6679" w:rsidRDefault="00BB138C" w:rsidP="00820288">
            <w:pPr>
              <w:spacing w:line="240" w:lineRule="auto"/>
              <w:jc w:val="right"/>
              <w:rPr>
                <w:rFonts w:ascii="Times New Roman" w:hAnsi="Times New Roman" w:cs="Times New Roman"/>
                <w:color w:val="000000" w:themeColor="text1"/>
                <w:sz w:val="16"/>
                <w:szCs w:val="16"/>
              </w:rPr>
            </w:pPr>
            <w:r w:rsidRPr="00EF6679">
              <w:rPr>
                <w:rFonts w:ascii="Times New Roman" w:hAnsi="Times New Roman" w:cs="Times New Roman"/>
                <w:color w:val="000000" w:themeColor="text1"/>
                <w:sz w:val="16"/>
                <w:szCs w:val="16"/>
              </w:rPr>
              <w:t>0.020</w:t>
            </w:r>
          </w:p>
        </w:tc>
        <w:tc>
          <w:tcPr>
            <w:tcW w:w="478" w:type="dxa"/>
            <w:noWrap/>
            <w:vAlign w:val="center"/>
          </w:tcPr>
          <w:p w14:paraId="4A9AFDF7" w14:textId="77777777" w:rsidR="00BB138C" w:rsidRPr="00EF6679" w:rsidRDefault="00BB138C" w:rsidP="00820288">
            <w:pPr>
              <w:spacing w:line="240" w:lineRule="auto"/>
              <w:rPr>
                <w:rFonts w:ascii="Times New Roman" w:hAnsi="Times New Roman" w:cs="Times New Roman"/>
                <w:color w:val="000000" w:themeColor="text1"/>
                <w:sz w:val="16"/>
                <w:szCs w:val="16"/>
                <w:vertAlign w:val="superscript"/>
              </w:rPr>
            </w:pPr>
            <w:r w:rsidRPr="00EF6679">
              <w:rPr>
                <w:rFonts w:ascii="Times New Roman" w:hAnsi="Times New Roman" w:cs="Times New Roman"/>
                <w:color w:val="000000" w:themeColor="text1"/>
                <w:sz w:val="16"/>
                <w:szCs w:val="16"/>
                <w:vertAlign w:val="superscript"/>
              </w:rPr>
              <w:t xml:space="preserve">b </w:t>
            </w:r>
          </w:p>
        </w:tc>
      </w:tr>
      <w:tr w:rsidR="00BB138C" w:rsidRPr="00EF6679" w14:paraId="367D30F5" w14:textId="77777777" w:rsidTr="00820288">
        <w:trPr>
          <w:trHeight w:val="144"/>
        </w:trPr>
        <w:tc>
          <w:tcPr>
            <w:tcW w:w="2880" w:type="dxa"/>
            <w:noWrap/>
            <w:vAlign w:val="bottom"/>
          </w:tcPr>
          <w:p w14:paraId="292E0231" w14:textId="77777777" w:rsidR="00BB138C" w:rsidRPr="00EF6679" w:rsidRDefault="00BB138C" w:rsidP="00820288">
            <w:pPr>
              <w:spacing w:line="240" w:lineRule="auto"/>
              <w:rPr>
                <w:rFonts w:ascii="Times New Roman" w:hAnsi="Times New Roman" w:cs="Times New Roman"/>
                <w:color w:val="000000" w:themeColor="text1"/>
                <w:sz w:val="16"/>
                <w:szCs w:val="16"/>
              </w:rPr>
            </w:pPr>
            <w:r w:rsidRPr="00EF6679">
              <w:rPr>
                <w:rFonts w:ascii="Times New Roman" w:hAnsi="Times New Roman" w:cs="Times New Roman"/>
                <w:color w:val="000000" w:themeColor="text1"/>
                <w:sz w:val="16"/>
                <w:szCs w:val="16"/>
              </w:rPr>
              <w:t>Ethanol, 2-phenyl-</w:t>
            </w:r>
          </w:p>
        </w:tc>
        <w:tc>
          <w:tcPr>
            <w:tcW w:w="758" w:type="dxa"/>
            <w:noWrap/>
            <w:vAlign w:val="bottom"/>
          </w:tcPr>
          <w:p w14:paraId="6516DDB4" w14:textId="77777777" w:rsidR="00BB138C" w:rsidRPr="00EF6679" w:rsidRDefault="00BB138C" w:rsidP="00820288">
            <w:pPr>
              <w:spacing w:line="240" w:lineRule="auto"/>
              <w:jc w:val="right"/>
              <w:rPr>
                <w:rFonts w:ascii="Times New Roman" w:hAnsi="Times New Roman" w:cs="Times New Roman"/>
                <w:color w:val="000000" w:themeColor="text1"/>
                <w:sz w:val="16"/>
                <w:szCs w:val="16"/>
              </w:rPr>
            </w:pPr>
            <w:r w:rsidRPr="00EF6679">
              <w:rPr>
                <w:rFonts w:ascii="Times New Roman" w:hAnsi="Times New Roman" w:cs="Times New Roman"/>
                <w:color w:val="000000" w:themeColor="text1"/>
                <w:sz w:val="16"/>
                <w:szCs w:val="16"/>
              </w:rPr>
              <w:t>29.229</w:t>
            </w:r>
          </w:p>
        </w:tc>
        <w:tc>
          <w:tcPr>
            <w:tcW w:w="366" w:type="dxa"/>
            <w:noWrap/>
            <w:vAlign w:val="bottom"/>
          </w:tcPr>
          <w:p w14:paraId="39441C4E" w14:textId="77777777" w:rsidR="00BB138C" w:rsidRPr="00EF6679" w:rsidRDefault="00BB138C" w:rsidP="00820288">
            <w:pPr>
              <w:spacing w:line="240" w:lineRule="auto"/>
              <w:rPr>
                <w:rFonts w:ascii="Times New Roman" w:hAnsi="Times New Roman" w:cs="Times New Roman"/>
                <w:color w:val="000000" w:themeColor="text1"/>
                <w:sz w:val="16"/>
                <w:szCs w:val="16"/>
                <w:vertAlign w:val="superscript"/>
              </w:rPr>
            </w:pPr>
            <w:r w:rsidRPr="00EF6679">
              <w:rPr>
                <w:rFonts w:ascii="Times New Roman" w:hAnsi="Times New Roman" w:cs="Times New Roman"/>
                <w:color w:val="000000" w:themeColor="text1"/>
                <w:sz w:val="16"/>
                <w:szCs w:val="16"/>
                <w:vertAlign w:val="superscript"/>
              </w:rPr>
              <w:t xml:space="preserve">a </w:t>
            </w:r>
          </w:p>
        </w:tc>
        <w:tc>
          <w:tcPr>
            <w:tcW w:w="712" w:type="dxa"/>
            <w:noWrap/>
            <w:vAlign w:val="bottom"/>
          </w:tcPr>
          <w:p w14:paraId="04FEB4FB" w14:textId="77777777" w:rsidR="00BB138C" w:rsidRPr="00EF6679" w:rsidRDefault="00BB138C" w:rsidP="00820288">
            <w:pPr>
              <w:spacing w:line="240" w:lineRule="auto"/>
              <w:jc w:val="right"/>
              <w:rPr>
                <w:rFonts w:ascii="Times New Roman" w:hAnsi="Times New Roman" w:cs="Times New Roman"/>
                <w:color w:val="000000" w:themeColor="text1"/>
                <w:sz w:val="16"/>
                <w:szCs w:val="16"/>
              </w:rPr>
            </w:pPr>
            <w:r w:rsidRPr="00EF6679">
              <w:rPr>
                <w:rFonts w:ascii="Times New Roman" w:hAnsi="Times New Roman" w:cs="Times New Roman"/>
                <w:color w:val="000000" w:themeColor="text1"/>
                <w:sz w:val="16"/>
                <w:szCs w:val="16"/>
              </w:rPr>
              <w:t>29.008</w:t>
            </w:r>
          </w:p>
        </w:tc>
        <w:tc>
          <w:tcPr>
            <w:tcW w:w="478" w:type="dxa"/>
            <w:noWrap/>
            <w:vAlign w:val="center"/>
          </w:tcPr>
          <w:p w14:paraId="3A71B017" w14:textId="77777777" w:rsidR="00BB138C" w:rsidRPr="00EF6679" w:rsidRDefault="00BB138C" w:rsidP="00820288">
            <w:pPr>
              <w:spacing w:line="240" w:lineRule="auto"/>
              <w:rPr>
                <w:rFonts w:ascii="Times New Roman" w:hAnsi="Times New Roman" w:cs="Times New Roman"/>
                <w:color w:val="000000" w:themeColor="text1"/>
                <w:sz w:val="16"/>
                <w:szCs w:val="16"/>
                <w:vertAlign w:val="superscript"/>
              </w:rPr>
            </w:pPr>
            <w:r w:rsidRPr="00EF6679">
              <w:rPr>
                <w:rFonts w:ascii="Times New Roman" w:hAnsi="Times New Roman" w:cs="Times New Roman"/>
                <w:color w:val="000000" w:themeColor="text1"/>
                <w:sz w:val="16"/>
                <w:szCs w:val="16"/>
                <w:vertAlign w:val="superscript"/>
              </w:rPr>
              <w:t xml:space="preserve">a </w:t>
            </w:r>
          </w:p>
        </w:tc>
      </w:tr>
      <w:tr w:rsidR="00BB138C" w:rsidRPr="00EF6679" w14:paraId="4214423D" w14:textId="77777777" w:rsidTr="00820288">
        <w:trPr>
          <w:trHeight w:val="144"/>
        </w:trPr>
        <w:tc>
          <w:tcPr>
            <w:tcW w:w="2880" w:type="dxa"/>
            <w:noWrap/>
            <w:vAlign w:val="bottom"/>
            <w:hideMark/>
          </w:tcPr>
          <w:p w14:paraId="7BCBEF3B" w14:textId="77777777" w:rsidR="00BB138C" w:rsidRPr="00EF6679" w:rsidRDefault="00BB138C" w:rsidP="00820288">
            <w:pPr>
              <w:spacing w:line="240" w:lineRule="auto"/>
              <w:rPr>
                <w:rFonts w:ascii="Times New Roman" w:hAnsi="Times New Roman" w:cs="Times New Roman"/>
                <w:color w:val="000000" w:themeColor="text1"/>
                <w:sz w:val="16"/>
                <w:szCs w:val="16"/>
              </w:rPr>
            </w:pPr>
            <w:r w:rsidRPr="00EF6679">
              <w:rPr>
                <w:rFonts w:ascii="Times New Roman" w:hAnsi="Times New Roman" w:cs="Times New Roman"/>
                <w:color w:val="000000" w:themeColor="text1"/>
                <w:sz w:val="16"/>
                <w:szCs w:val="16"/>
              </w:rPr>
              <w:t xml:space="preserve">1,5-Decadiyne            </w:t>
            </w:r>
          </w:p>
        </w:tc>
        <w:tc>
          <w:tcPr>
            <w:tcW w:w="758" w:type="dxa"/>
            <w:noWrap/>
            <w:vAlign w:val="bottom"/>
            <w:hideMark/>
          </w:tcPr>
          <w:p w14:paraId="59A5AE88" w14:textId="77777777" w:rsidR="00BB138C" w:rsidRPr="00EF6679" w:rsidRDefault="00BB138C" w:rsidP="00820288">
            <w:pPr>
              <w:spacing w:line="240" w:lineRule="auto"/>
              <w:jc w:val="right"/>
              <w:rPr>
                <w:rFonts w:ascii="Times New Roman" w:hAnsi="Times New Roman" w:cs="Times New Roman"/>
                <w:color w:val="000000" w:themeColor="text1"/>
                <w:sz w:val="16"/>
                <w:szCs w:val="16"/>
              </w:rPr>
            </w:pPr>
            <w:r w:rsidRPr="00EF6679">
              <w:rPr>
                <w:rFonts w:ascii="Times New Roman" w:hAnsi="Times New Roman" w:cs="Times New Roman"/>
                <w:color w:val="000000" w:themeColor="text1"/>
                <w:sz w:val="16"/>
                <w:szCs w:val="16"/>
              </w:rPr>
              <w:t>0.046</w:t>
            </w:r>
          </w:p>
        </w:tc>
        <w:tc>
          <w:tcPr>
            <w:tcW w:w="366" w:type="dxa"/>
            <w:noWrap/>
            <w:vAlign w:val="center"/>
            <w:hideMark/>
          </w:tcPr>
          <w:p w14:paraId="44257A3D" w14:textId="77777777" w:rsidR="00BB138C" w:rsidRPr="00EF6679" w:rsidRDefault="00BB138C" w:rsidP="00820288">
            <w:pPr>
              <w:spacing w:line="240" w:lineRule="auto"/>
              <w:rPr>
                <w:rFonts w:ascii="Times New Roman" w:hAnsi="Times New Roman" w:cs="Times New Roman"/>
                <w:color w:val="000000" w:themeColor="text1"/>
                <w:sz w:val="16"/>
                <w:szCs w:val="16"/>
                <w:vertAlign w:val="superscript"/>
              </w:rPr>
            </w:pPr>
            <w:r w:rsidRPr="00EF6679">
              <w:rPr>
                <w:rFonts w:ascii="Times New Roman" w:hAnsi="Times New Roman" w:cs="Times New Roman"/>
                <w:color w:val="000000" w:themeColor="text1"/>
                <w:sz w:val="16"/>
                <w:szCs w:val="16"/>
                <w:vertAlign w:val="superscript"/>
              </w:rPr>
              <w:t>a</w:t>
            </w:r>
          </w:p>
        </w:tc>
        <w:tc>
          <w:tcPr>
            <w:tcW w:w="712" w:type="dxa"/>
            <w:noWrap/>
            <w:vAlign w:val="bottom"/>
            <w:hideMark/>
          </w:tcPr>
          <w:p w14:paraId="6CCF4009" w14:textId="77777777" w:rsidR="00BB138C" w:rsidRPr="00EF6679" w:rsidRDefault="00BB138C" w:rsidP="00820288">
            <w:pPr>
              <w:spacing w:line="240" w:lineRule="auto"/>
              <w:jc w:val="right"/>
              <w:rPr>
                <w:rFonts w:ascii="Times New Roman" w:hAnsi="Times New Roman" w:cs="Times New Roman"/>
                <w:color w:val="000000" w:themeColor="text1"/>
                <w:sz w:val="16"/>
                <w:szCs w:val="16"/>
              </w:rPr>
            </w:pPr>
            <w:r w:rsidRPr="00EF6679">
              <w:rPr>
                <w:rFonts w:ascii="Times New Roman" w:hAnsi="Times New Roman" w:cs="Times New Roman"/>
                <w:color w:val="000000" w:themeColor="text1"/>
                <w:sz w:val="16"/>
                <w:szCs w:val="16"/>
              </w:rPr>
              <w:t>0.024</w:t>
            </w:r>
          </w:p>
        </w:tc>
        <w:tc>
          <w:tcPr>
            <w:tcW w:w="478" w:type="dxa"/>
            <w:noWrap/>
            <w:vAlign w:val="center"/>
            <w:hideMark/>
          </w:tcPr>
          <w:p w14:paraId="65D89D37" w14:textId="77777777" w:rsidR="00BB138C" w:rsidRPr="00EF6679" w:rsidRDefault="00BB138C" w:rsidP="00820288">
            <w:pPr>
              <w:spacing w:line="240" w:lineRule="auto"/>
              <w:rPr>
                <w:rFonts w:ascii="Times New Roman" w:hAnsi="Times New Roman" w:cs="Times New Roman"/>
                <w:color w:val="000000" w:themeColor="text1"/>
                <w:sz w:val="16"/>
                <w:szCs w:val="16"/>
                <w:vertAlign w:val="superscript"/>
              </w:rPr>
            </w:pPr>
            <w:r w:rsidRPr="00EF6679">
              <w:rPr>
                <w:rFonts w:ascii="Times New Roman" w:hAnsi="Times New Roman" w:cs="Times New Roman"/>
                <w:color w:val="000000" w:themeColor="text1"/>
                <w:sz w:val="16"/>
                <w:szCs w:val="16"/>
                <w:vertAlign w:val="superscript"/>
              </w:rPr>
              <w:t>a</w:t>
            </w:r>
          </w:p>
        </w:tc>
      </w:tr>
      <w:tr w:rsidR="00BB138C" w:rsidRPr="00EF6679" w14:paraId="4DB88196" w14:textId="77777777" w:rsidTr="00820288">
        <w:trPr>
          <w:trHeight w:val="144"/>
        </w:trPr>
        <w:tc>
          <w:tcPr>
            <w:tcW w:w="2880" w:type="dxa"/>
            <w:noWrap/>
            <w:vAlign w:val="bottom"/>
            <w:hideMark/>
          </w:tcPr>
          <w:p w14:paraId="1E3DF049" w14:textId="77777777" w:rsidR="00BB138C" w:rsidRPr="00EF6679" w:rsidRDefault="00BB138C" w:rsidP="00820288">
            <w:pPr>
              <w:spacing w:line="240" w:lineRule="auto"/>
              <w:rPr>
                <w:rFonts w:ascii="Times New Roman" w:hAnsi="Times New Roman" w:cs="Times New Roman"/>
                <w:color w:val="000000" w:themeColor="text1"/>
                <w:sz w:val="16"/>
                <w:szCs w:val="16"/>
              </w:rPr>
            </w:pPr>
            <w:r w:rsidRPr="00EF6679">
              <w:rPr>
                <w:rFonts w:ascii="Times New Roman" w:hAnsi="Times New Roman" w:cs="Times New Roman"/>
                <w:color w:val="000000" w:themeColor="text1"/>
                <w:sz w:val="16"/>
                <w:szCs w:val="16"/>
              </w:rPr>
              <w:t xml:space="preserve">trans-Pinocarveol        </w:t>
            </w:r>
          </w:p>
        </w:tc>
        <w:tc>
          <w:tcPr>
            <w:tcW w:w="758" w:type="dxa"/>
            <w:noWrap/>
            <w:vAlign w:val="bottom"/>
            <w:hideMark/>
          </w:tcPr>
          <w:p w14:paraId="4937D6FE" w14:textId="77777777" w:rsidR="00BB138C" w:rsidRPr="00EF6679" w:rsidRDefault="00BB138C" w:rsidP="00820288">
            <w:pPr>
              <w:spacing w:line="240" w:lineRule="auto"/>
              <w:jc w:val="right"/>
              <w:rPr>
                <w:rFonts w:ascii="Times New Roman" w:hAnsi="Times New Roman" w:cs="Times New Roman"/>
                <w:color w:val="000000" w:themeColor="text1"/>
                <w:sz w:val="16"/>
                <w:szCs w:val="16"/>
              </w:rPr>
            </w:pPr>
            <w:r w:rsidRPr="00EF6679">
              <w:rPr>
                <w:rFonts w:ascii="Times New Roman" w:hAnsi="Times New Roman" w:cs="Times New Roman"/>
                <w:color w:val="000000" w:themeColor="text1"/>
                <w:sz w:val="16"/>
                <w:szCs w:val="16"/>
              </w:rPr>
              <w:t>3.403</w:t>
            </w:r>
          </w:p>
        </w:tc>
        <w:tc>
          <w:tcPr>
            <w:tcW w:w="366" w:type="dxa"/>
            <w:noWrap/>
            <w:vAlign w:val="bottom"/>
            <w:hideMark/>
          </w:tcPr>
          <w:p w14:paraId="7E3FAA22" w14:textId="77777777" w:rsidR="00BB138C" w:rsidRPr="00EF6679" w:rsidRDefault="00BB138C" w:rsidP="00820288">
            <w:pPr>
              <w:spacing w:line="240" w:lineRule="auto"/>
              <w:rPr>
                <w:rFonts w:ascii="Times New Roman" w:hAnsi="Times New Roman" w:cs="Times New Roman"/>
                <w:color w:val="000000" w:themeColor="text1"/>
                <w:sz w:val="16"/>
                <w:szCs w:val="16"/>
                <w:vertAlign w:val="superscript"/>
              </w:rPr>
            </w:pPr>
            <w:r w:rsidRPr="00EF6679">
              <w:rPr>
                <w:rFonts w:ascii="Times New Roman" w:hAnsi="Times New Roman" w:cs="Times New Roman"/>
                <w:color w:val="000000" w:themeColor="text1"/>
                <w:sz w:val="16"/>
                <w:szCs w:val="16"/>
                <w:vertAlign w:val="superscript"/>
              </w:rPr>
              <w:t xml:space="preserve">a </w:t>
            </w:r>
          </w:p>
        </w:tc>
        <w:tc>
          <w:tcPr>
            <w:tcW w:w="712" w:type="dxa"/>
            <w:noWrap/>
            <w:vAlign w:val="bottom"/>
            <w:hideMark/>
          </w:tcPr>
          <w:p w14:paraId="6B6ECEB6" w14:textId="77777777" w:rsidR="00BB138C" w:rsidRPr="00EF6679" w:rsidRDefault="00BB138C" w:rsidP="00820288">
            <w:pPr>
              <w:spacing w:line="240" w:lineRule="auto"/>
              <w:jc w:val="right"/>
              <w:rPr>
                <w:rFonts w:ascii="Times New Roman" w:hAnsi="Times New Roman" w:cs="Times New Roman"/>
                <w:color w:val="000000" w:themeColor="text1"/>
                <w:sz w:val="16"/>
                <w:szCs w:val="16"/>
              </w:rPr>
            </w:pPr>
            <w:r w:rsidRPr="00EF6679">
              <w:rPr>
                <w:rFonts w:ascii="Times New Roman" w:hAnsi="Times New Roman" w:cs="Times New Roman"/>
                <w:color w:val="000000" w:themeColor="text1"/>
                <w:sz w:val="16"/>
                <w:szCs w:val="16"/>
              </w:rPr>
              <w:t>2.819</w:t>
            </w:r>
          </w:p>
        </w:tc>
        <w:tc>
          <w:tcPr>
            <w:tcW w:w="478" w:type="dxa"/>
            <w:noWrap/>
            <w:vAlign w:val="center"/>
            <w:hideMark/>
          </w:tcPr>
          <w:p w14:paraId="14FD1FC5" w14:textId="77777777" w:rsidR="00BB138C" w:rsidRPr="00EF6679" w:rsidRDefault="00BB138C" w:rsidP="00820288">
            <w:pPr>
              <w:spacing w:line="240" w:lineRule="auto"/>
              <w:rPr>
                <w:rFonts w:ascii="Times New Roman" w:hAnsi="Times New Roman" w:cs="Times New Roman"/>
                <w:color w:val="000000" w:themeColor="text1"/>
                <w:sz w:val="16"/>
                <w:szCs w:val="16"/>
                <w:vertAlign w:val="superscript"/>
              </w:rPr>
            </w:pPr>
            <w:r w:rsidRPr="00EF6679">
              <w:rPr>
                <w:rFonts w:ascii="Times New Roman" w:hAnsi="Times New Roman" w:cs="Times New Roman"/>
                <w:color w:val="000000" w:themeColor="text1"/>
                <w:sz w:val="16"/>
                <w:szCs w:val="16"/>
                <w:vertAlign w:val="superscript"/>
              </w:rPr>
              <w:t xml:space="preserve">a </w:t>
            </w:r>
          </w:p>
        </w:tc>
      </w:tr>
      <w:tr w:rsidR="00BB138C" w:rsidRPr="00EF6679" w14:paraId="7156A0BF" w14:textId="77777777" w:rsidTr="00820288">
        <w:trPr>
          <w:trHeight w:val="144"/>
        </w:trPr>
        <w:tc>
          <w:tcPr>
            <w:tcW w:w="2880" w:type="dxa"/>
            <w:noWrap/>
            <w:vAlign w:val="bottom"/>
            <w:hideMark/>
          </w:tcPr>
          <w:p w14:paraId="3A503A19" w14:textId="77777777" w:rsidR="00BB138C" w:rsidRPr="00EF6679" w:rsidRDefault="00BB138C" w:rsidP="00820288">
            <w:pPr>
              <w:spacing w:line="240" w:lineRule="auto"/>
              <w:rPr>
                <w:rFonts w:ascii="Times New Roman" w:hAnsi="Times New Roman" w:cs="Times New Roman"/>
                <w:color w:val="000000" w:themeColor="text1"/>
                <w:sz w:val="16"/>
                <w:szCs w:val="16"/>
              </w:rPr>
            </w:pPr>
            <w:r w:rsidRPr="00EF6679">
              <w:rPr>
                <w:rFonts w:ascii="Times New Roman" w:hAnsi="Times New Roman" w:cs="Times New Roman"/>
                <w:color w:val="000000" w:themeColor="text1"/>
                <w:sz w:val="16"/>
                <w:szCs w:val="16"/>
              </w:rPr>
              <w:t xml:space="preserve">3-Menthene               </w:t>
            </w:r>
          </w:p>
        </w:tc>
        <w:tc>
          <w:tcPr>
            <w:tcW w:w="758" w:type="dxa"/>
            <w:noWrap/>
            <w:vAlign w:val="bottom"/>
            <w:hideMark/>
          </w:tcPr>
          <w:p w14:paraId="32D1AC6C" w14:textId="77777777" w:rsidR="00BB138C" w:rsidRPr="00EF6679" w:rsidRDefault="00BB138C" w:rsidP="00820288">
            <w:pPr>
              <w:spacing w:line="240" w:lineRule="auto"/>
              <w:jc w:val="right"/>
              <w:rPr>
                <w:rFonts w:ascii="Times New Roman" w:hAnsi="Times New Roman" w:cs="Times New Roman"/>
                <w:color w:val="000000" w:themeColor="text1"/>
                <w:sz w:val="16"/>
                <w:szCs w:val="16"/>
              </w:rPr>
            </w:pPr>
            <w:r w:rsidRPr="00EF6679">
              <w:rPr>
                <w:rFonts w:ascii="Times New Roman" w:hAnsi="Times New Roman" w:cs="Times New Roman"/>
                <w:color w:val="000000" w:themeColor="text1"/>
                <w:sz w:val="16"/>
                <w:szCs w:val="16"/>
              </w:rPr>
              <w:t>23.051</w:t>
            </w:r>
          </w:p>
        </w:tc>
        <w:tc>
          <w:tcPr>
            <w:tcW w:w="366" w:type="dxa"/>
            <w:noWrap/>
            <w:vAlign w:val="bottom"/>
            <w:hideMark/>
          </w:tcPr>
          <w:p w14:paraId="30D06ED2" w14:textId="77777777" w:rsidR="00BB138C" w:rsidRPr="00EF6679" w:rsidRDefault="00BB138C" w:rsidP="00820288">
            <w:pPr>
              <w:spacing w:line="240" w:lineRule="auto"/>
              <w:rPr>
                <w:rFonts w:ascii="Times New Roman" w:hAnsi="Times New Roman" w:cs="Times New Roman"/>
                <w:color w:val="000000" w:themeColor="text1"/>
                <w:sz w:val="16"/>
                <w:szCs w:val="16"/>
                <w:vertAlign w:val="superscript"/>
              </w:rPr>
            </w:pPr>
            <w:r w:rsidRPr="00EF6679">
              <w:rPr>
                <w:rFonts w:ascii="Times New Roman" w:hAnsi="Times New Roman" w:cs="Times New Roman"/>
                <w:color w:val="000000" w:themeColor="text1"/>
                <w:sz w:val="16"/>
                <w:szCs w:val="16"/>
                <w:vertAlign w:val="superscript"/>
              </w:rPr>
              <w:t xml:space="preserve">a </w:t>
            </w:r>
          </w:p>
        </w:tc>
        <w:tc>
          <w:tcPr>
            <w:tcW w:w="712" w:type="dxa"/>
            <w:noWrap/>
            <w:vAlign w:val="bottom"/>
            <w:hideMark/>
          </w:tcPr>
          <w:p w14:paraId="473841FC" w14:textId="77777777" w:rsidR="00BB138C" w:rsidRPr="00EF6679" w:rsidRDefault="00BB138C" w:rsidP="00820288">
            <w:pPr>
              <w:spacing w:line="240" w:lineRule="auto"/>
              <w:jc w:val="right"/>
              <w:rPr>
                <w:rFonts w:ascii="Times New Roman" w:hAnsi="Times New Roman" w:cs="Times New Roman"/>
                <w:color w:val="000000" w:themeColor="text1"/>
                <w:sz w:val="16"/>
                <w:szCs w:val="16"/>
              </w:rPr>
            </w:pPr>
            <w:r w:rsidRPr="00EF6679">
              <w:rPr>
                <w:rFonts w:ascii="Times New Roman" w:hAnsi="Times New Roman" w:cs="Times New Roman"/>
                <w:color w:val="000000" w:themeColor="text1"/>
                <w:sz w:val="16"/>
                <w:szCs w:val="16"/>
              </w:rPr>
              <w:t>19.218</w:t>
            </w:r>
          </w:p>
        </w:tc>
        <w:tc>
          <w:tcPr>
            <w:tcW w:w="478" w:type="dxa"/>
            <w:noWrap/>
            <w:vAlign w:val="center"/>
            <w:hideMark/>
          </w:tcPr>
          <w:p w14:paraId="54483644" w14:textId="77777777" w:rsidR="00BB138C" w:rsidRPr="00EF6679" w:rsidRDefault="00BB138C" w:rsidP="00820288">
            <w:pPr>
              <w:spacing w:line="240" w:lineRule="auto"/>
              <w:rPr>
                <w:rFonts w:ascii="Times New Roman" w:hAnsi="Times New Roman" w:cs="Times New Roman"/>
                <w:color w:val="000000" w:themeColor="text1"/>
                <w:sz w:val="16"/>
                <w:szCs w:val="16"/>
                <w:vertAlign w:val="superscript"/>
              </w:rPr>
            </w:pPr>
            <w:r w:rsidRPr="00EF6679">
              <w:rPr>
                <w:rFonts w:ascii="Times New Roman" w:hAnsi="Times New Roman" w:cs="Times New Roman"/>
                <w:color w:val="000000" w:themeColor="text1"/>
                <w:sz w:val="16"/>
                <w:szCs w:val="16"/>
                <w:vertAlign w:val="superscript"/>
              </w:rPr>
              <w:t xml:space="preserve">a </w:t>
            </w:r>
          </w:p>
        </w:tc>
      </w:tr>
      <w:tr w:rsidR="00BB138C" w:rsidRPr="00EF6679" w14:paraId="63D1E046" w14:textId="77777777" w:rsidTr="00820288">
        <w:trPr>
          <w:trHeight w:val="144"/>
        </w:trPr>
        <w:tc>
          <w:tcPr>
            <w:tcW w:w="2880" w:type="dxa"/>
            <w:noWrap/>
            <w:vAlign w:val="bottom"/>
            <w:hideMark/>
          </w:tcPr>
          <w:p w14:paraId="2361BB9F" w14:textId="77777777" w:rsidR="00BB138C" w:rsidRPr="00EF6679" w:rsidRDefault="00BB138C" w:rsidP="00820288">
            <w:pPr>
              <w:spacing w:line="240" w:lineRule="auto"/>
              <w:rPr>
                <w:rFonts w:ascii="Times New Roman" w:hAnsi="Times New Roman" w:cs="Times New Roman"/>
                <w:color w:val="000000" w:themeColor="text1"/>
                <w:sz w:val="16"/>
                <w:szCs w:val="16"/>
              </w:rPr>
            </w:pPr>
            <w:r w:rsidRPr="00EF6679">
              <w:rPr>
                <w:rFonts w:ascii="Times New Roman" w:hAnsi="Times New Roman" w:cs="Times New Roman"/>
                <w:color w:val="000000" w:themeColor="text1"/>
                <w:sz w:val="16"/>
                <w:szCs w:val="16"/>
              </w:rPr>
              <w:t xml:space="preserve">3-Caren-10-al            </w:t>
            </w:r>
          </w:p>
        </w:tc>
        <w:tc>
          <w:tcPr>
            <w:tcW w:w="758" w:type="dxa"/>
            <w:noWrap/>
            <w:vAlign w:val="bottom"/>
            <w:hideMark/>
          </w:tcPr>
          <w:p w14:paraId="77677C87" w14:textId="77777777" w:rsidR="00BB138C" w:rsidRPr="00EF6679" w:rsidRDefault="00BB138C" w:rsidP="00820288">
            <w:pPr>
              <w:spacing w:line="240" w:lineRule="auto"/>
              <w:jc w:val="right"/>
              <w:rPr>
                <w:rFonts w:ascii="Times New Roman" w:hAnsi="Times New Roman" w:cs="Times New Roman"/>
                <w:color w:val="000000" w:themeColor="text1"/>
                <w:sz w:val="16"/>
                <w:szCs w:val="16"/>
              </w:rPr>
            </w:pPr>
            <w:r w:rsidRPr="00EF6679">
              <w:rPr>
                <w:rFonts w:ascii="Times New Roman" w:hAnsi="Times New Roman" w:cs="Times New Roman"/>
                <w:color w:val="000000" w:themeColor="text1"/>
                <w:sz w:val="16"/>
                <w:szCs w:val="16"/>
              </w:rPr>
              <w:t>0.596</w:t>
            </w:r>
          </w:p>
        </w:tc>
        <w:tc>
          <w:tcPr>
            <w:tcW w:w="366" w:type="dxa"/>
            <w:noWrap/>
            <w:vAlign w:val="bottom"/>
            <w:hideMark/>
          </w:tcPr>
          <w:p w14:paraId="582148F8" w14:textId="77777777" w:rsidR="00BB138C" w:rsidRPr="00EF6679" w:rsidRDefault="00BB138C" w:rsidP="00820288">
            <w:pPr>
              <w:spacing w:line="240" w:lineRule="auto"/>
              <w:rPr>
                <w:rFonts w:ascii="Times New Roman" w:hAnsi="Times New Roman" w:cs="Times New Roman"/>
                <w:color w:val="000000" w:themeColor="text1"/>
                <w:sz w:val="16"/>
                <w:szCs w:val="16"/>
                <w:vertAlign w:val="superscript"/>
              </w:rPr>
            </w:pPr>
            <w:r w:rsidRPr="00EF6679">
              <w:rPr>
                <w:rFonts w:ascii="Times New Roman" w:hAnsi="Times New Roman" w:cs="Times New Roman"/>
                <w:color w:val="000000" w:themeColor="text1"/>
                <w:sz w:val="16"/>
                <w:szCs w:val="16"/>
                <w:vertAlign w:val="superscript"/>
              </w:rPr>
              <w:t xml:space="preserve">a </w:t>
            </w:r>
          </w:p>
        </w:tc>
        <w:tc>
          <w:tcPr>
            <w:tcW w:w="712" w:type="dxa"/>
            <w:noWrap/>
            <w:vAlign w:val="bottom"/>
            <w:hideMark/>
          </w:tcPr>
          <w:p w14:paraId="0FF92ABD" w14:textId="77777777" w:rsidR="00BB138C" w:rsidRPr="00EF6679" w:rsidRDefault="00BB138C" w:rsidP="00820288">
            <w:pPr>
              <w:spacing w:line="240" w:lineRule="auto"/>
              <w:jc w:val="right"/>
              <w:rPr>
                <w:rFonts w:ascii="Times New Roman" w:hAnsi="Times New Roman" w:cs="Times New Roman"/>
                <w:color w:val="000000" w:themeColor="text1"/>
                <w:sz w:val="16"/>
                <w:szCs w:val="16"/>
              </w:rPr>
            </w:pPr>
            <w:r w:rsidRPr="00EF6679">
              <w:rPr>
                <w:rFonts w:ascii="Times New Roman" w:hAnsi="Times New Roman" w:cs="Times New Roman"/>
                <w:color w:val="000000" w:themeColor="text1"/>
                <w:sz w:val="16"/>
                <w:szCs w:val="16"/>
              </w:rPr>
              <w:t>0.799</w:t>
            </w:r>
          </w:p>
        </w:tc>
        <w:tc>
          <w:tcPr>
            <w:tcW w:w="478" w:type="dxa"/>
            <w:noWrap/>
            <w:vAlign w:val="center"/>
            <w:hideMark/>
          </w:tcPr>
          <w:p w14:paraId="64E94390" w14:textId="77777777" w:rsidR="00BB138C" w:rsidRPr="00EF6679" w:rsidRDefault="00BB138C" w:rsidP="00820288">
            <w:pPr>
              <w:spacing w:line="240" w:lineRule="auto"/>
              <w:rPr>
                <w:rFonts w:ascii="Times New Roman" w:hAnsi="Times New Roman" w:cs="Times New Roman"/>
                <w:color w:val="000000" w:themeColor="text1"/>
                <w:sz w:val="16"/>
                <w:szCs w:val="16"/>
                <w:vertAlign w:val="superscript"/>
              </w:rPr>
            </w:pPr>
            <w:r w:rsidRPr="00EF6679">
              <w:rPr>
                <w:rFonts w:ascii="Times New Roman" w:hAnsi="Times New Roman" w:cs="Times New Roman"/>
                <w:color w:val="000000" w:themeColor="text1"/>
                <w:sz w:val="16"/>
                <w:szCs w:val="16"/>
                <w:vertAlign w:val="superscript"/>
              </w:rPr>
              <w:t xml:space="preserve">a </w:t>
            </w:r>
          </w:p>
        </w:tc>
      </w:tr>
      <w:tr w:rsidR="00BB138C" w:rsidRPr="00EF6679" w14:paraId="6819B0F7" w14:textId="77777777" w:rsidTr="00820288">
        <w:trPr>
          <w:trHeight w:val="144"/>
        </w:trPr>
        <w:tc>
          <w:tcPr>
            <w:tcW w:w="2880" w:type="dxa"/>
            <w:noWrap/>
            <w:vAlign w:val="bottom"/>
            <w:hideMark/>
          </w:tcPr>
          <w:p w14:paraId="0595CC07" w14:textId="77777777" w:rsidR="00BB138C" w:rsidRPr="00EF6679" w:rsidRDefault="00BB138C" w:rsidP="00820288">
            <w:pPr>
              <w:spacing w:line="240" w:lineRule="auto"/>
              <w:rPr>
                <w:rFonts w:ascii="Times New Roman" w:hAnsi="Times New Roman" w:cs="Times New Roman"/>
                <w:color w:val="000000" w:themeColor="text1"/>
                <w:sz w:val="16"/>
                <w:szCs w:val="16"/>
              </w:rPr>
            </w:pPr>
            <w:r w:rsidRPr="00EF6679">
              <w:rPr>
                <w:rFonts w:ascii="Times New Roman" w:hAnsi="Times New Roman" w:cs="Times New Roman"/>
                <w:color w:val="000000" w:themeColor="text1"/>
                <w:sz w:val="16"/>
                <w:szCs w:val="16"/>
              </w:rPr>
              <w:t xml:space="preserve">Isoborneol               </w:t>
            </w:r>
          </w:p>
        </w:tc>
        <w:tc>
          <w:tcPr>
            <w:tcW w:w="758" w:type="dxa"/>
            <w:noWrap/>
            <w:vAlign w:val="bottom"/>
            <w:hideMark/>
          </w:tcPr>
          <w:p w14:paraId="5EC0DFEA" w14:textId="77777777" w:rsidR="00BB138C" w:rsidRPr="00EF6679" w:rsidRDefault="00BB138C" w:rsidP="00820288">
            <w:pPr>
              <w:spacing w:line="240" w:lineRule="auto"/>
              <w:jc w:val="right"/>
              <w:rPr>
                <w:rFonts w:ascii="Times New Roman" w:hAnsi="Times New Roman" w:cs="Times New Roman"/>
                <w:color w:val="000000" w:themeColor="text1"/>
                <w:sz w:val="16"/>
                <w:szCs w:val="16"/>
              </w:rPr>
            </w:pPr>
            <w:r w:rsidRPr="00EF6679">
              <w:rPr>
                <w:rFonts w:ascii="Times New Roman" w:hAnsi="Times New Roman" w:cs="Times New Roman"/>
                <w:color w:val="000000" w:themeColor="text1"/>
                <w:sz w:val="16"/>
                <w:szCs w:val="16"/>
              </w:rPr>
              <w:t>4.226</w:t>
            </w:r>
          </w:p>
        </w:tc>
        <w:tc>
          <w:tcPr>
            <w:tcW w:w="366" w:type="dxa"/>
            <w:noWrap/>
            <w:vAlign w:val="center"/>
            <w:hideMark/>
          </w:tcPr>
          <w:p w14:paraId="285AF6C4" w14:textId="77777777" w:rsidR="00BB138C" w:rsidRPr="00EF6679" w:rsidRDefault="00BB138C" w:rsidP="00820288">
            <w:pPr>
              <w:spacing w:line="240" w:lineRule="auto"/>
              <w:rPr>
                <w:rFonts w:ascii="Times New Roman" w:hAnsi="Times New Roman" w:cs="Times New Roman"/>
                <w:color w:val="000000" w:themeColor="text1"/>
                <w:sz w:val="16"/>
                <w:szCs w:val="16"/>
                <w:vertAlign w:val="superscript"/>
              </w:rPr>
            </w:pPr>
            <w:r w:rsidRPr="00EF6679">
              <w:rPr>
                <w:rFonts w:ascii="Times New Roman" w:hAnsi="Times New Roman" w:cs="Times New Roman"/>
                <w:color w:val="000000" w:themeColor="text1"/>
                <w:sz w:val="16"/>
                <w:szCs w:val="16"/>
                <w:vertAlign w:val="superscript"/>
              </w:rPr>
              <w:t>a</w:t>
            </w:r>
          </w:p>
        </w:tc>
        <w:tc>
          <w:tcPr>
            <w:tcW w:w="712" w:type="dxa"/>
            <w:noWrap/>
            <w:vAlign w:val="bottom"/>
            <w:hideMark/>
          </w:tcPr>
          <w:p w14:paraId="44B9801D" w14:textId="77777777" w:rsidR="00BB138C" w:rsidRPr="00EF6679" w:rsidRDefault="00BB138C" w:rsidP="00820288">
            <w:pPr>
              <w:spacing w:line="240" w:lineRule="auto"/>
              <w:jc w:val="right"/>
              <w:rPr>
                <w:rFonts w:ascii="Times New Roman" w:hAnsi="Times New Roman" w:cs="Times New Roman"/>
                <w:color w:val="000000" w:themeColor="text1"/>
                <w:sz w:val="16"/>
                <w:szCs w:val="16"/>
              </w:rPr>
            </w:pPr>
            <w:r w:rsidRPr="00EF6679">
              <w:rPr>
                <w:rFonts w:ascii="Times New Roman" w:hAnsi="Times New Roman" w:cs="Times New Roman"/>
                <w:color w:val="000000" w:themeColor="text1"/>
                <w:sz w:val="16"/>
                <w:szCs w:val="16"/>
              </w:rPr>
              <w:t>6.092</w:t>
            </w:r>
          </w:p>
        </w:tc>
        <w:tc>
          <w:tcPr>
            <w:tcW w:w="478" w:type="dxa"/>
            <w:noWrap/>
            <w:vAlign w:val="center"/>
            <w:hideMark/>
          </w:tcPr>
          <w:p w14:paraId="1B74BA3F" w14:textId="77777777" w:rsidR="00BB138C" w:rsidRPr="00EF6679" w:rsidRDefault="00BB138C" w:rsidP="00820288">
            <w:pPr>
              <w:spacing w:line="240" w:lineRule="auto"/>
              <w:rPr>
                <w:rFonts w:ascii="Times New Roman" w:hAnsi="Times New Roman" w:cs="Times New Roman"/>
                <w:color w:val="000000" w:themeColor="text1"/>
                <w:sz w:val="16"/>
                <w:szCs w:val="16"/>
                <w:vertAlign w:val="superscript"/>
              </w:rPr>
            </w:pPr>
            <w:r w:rsidRPr="00EF6679">
              <w:rPr>
                <w:rFonts w:ascii="Times New Roman" w:hAnsi="Times New Roman" w:cs="Times New Roman"/>
                <w:color w:val="000000" w:themeColor="text1"/>
                <w:sz w:val="16"/>
                <w:szCs w:val="16"/>
                <w:vertAlign w:val="superscript"/>
              </w:rPr>
              <w:t>a</w:t>
            </w:r>
          </w:p>
        </w:tc>
      </w:tr>
      <w:tr w:rsidR="00BB138C" w:rsidRPr="00EF6679" w14:paraId="76FC5C34" w14:textId="77777777" w:rsidTr="00820288">
        <w:trPr>
          <w:trHeight w:val="144"/>
        </w:trPr>
        <w:tc>
          <w:tcPr>
            <w:tcW w:w="2880" w:type="dxa"/>
            <w:noWrap/>
            <w:vAlign w:val="bottom"/>
            <w:hideMark/>
          </w:tcPr>
          <w:p w14:paraId="3CA6E8C5" w14:textId="77777777" w:rsidR="00BB138C" w:rsidRPr="00EF6679" w:rsidRDefault="00BB138C" w:rsidP="00820288">
            <w:pPr>
              <w:spacing w:line="240" w:lineRule="auto"/>
              <w:rPr>
                <w:rFonts w:ascii="Times New Roman" w:hAnsi="Times New Roman" w:cs="Times New Roman"/>
                <w:color w:val="000000" w:themeColor="text1"/>
                <w:sz w:val="16"/>
                <w:szCs w:val="16"/>
              </w:rPr>
            </w:pPr>
            <w:r w:rsidRPr="00EF6679">
              <w:rPr>
                <w:rFonts w:ascii="Times New Roman" w:hAnsi="Times New Roman" w:cs="Times New Roman"/>
                <w:color w:val="000000" w:themeColor="text1"/>
                <w:sz w:val="16"/>
                <w:szCs w:val="16"/>
              </w:rPr>
              <w:t xml:space="preserve">Cycloheptene             </w:t>
            </w:r>
          </w:p>
        </w:tc>
        <w:tc>
          <w:tcPr>
            <w:tcW w:w="758" w:type="dxa"/>
            <w:noWrap/>
            <w:vAlign w:val="bottom"/>
            <w:hideMark/>
          </w:tcPr>
          <w:p w14:paraId="6A3C9CC3" w14:textId="77777777" w:rsidR="00BB138C" w:rsidRPr="00EF6679" w:rsidRDefault="00BB138C" w:rsidP="00820288">
            <w:pPr>
              <w:spacing w:line="240" w:lineRule="auto"/>
              <w:jc w:val="right"/>
              <w:rPr>
                <w:rFonts w:ascii="Times New Roman" w:hAnsi="Times New Roman" w:cs="Times New Roman"/>
                <w:color w:val="000000" w:themeColor="text1"/>
                <w:sz w:val="16"/>
                <w:szCs w:val="16"/>
              </w:rPr>
            </w:pPr>
            <w:r w:rsidRPr="00EF6679">
              <w:rPr>
                <w:rFonts w:ascii="Times New Roman" w:hAnsi="Times New Roman" w:cs="Times New Roman"/>
                <w:color w:val="000000" w:themeColor="text1"/>
                <w:sz w:val="16"/>
                <w:szCs w:val="16"/>
              </w:rPr>
              <w:t>0.012</w:t>
            </w:r>
          </w:p>
        </w:tc>
        <w:tc>
          <w:tcPr>
            <w:tcW w:w="366" w:type="dxa"/>
            <w:noWrap/>
            <w:vAlign w:val="bottom"/>
            <w:hideMark/>
          </w:tcPr>
          <w:p w14:paraId="3256E4D2" w14:textId="77777777" w:rsidR="00BB138C" w:rsidRPr="00EF6679" w:rsidRDefault="00BB138C" w:rsidP="00820288">
            <w:pPr>
              <w:spacing w:line="240" w:lineRule="auto"/>
              <w:rPr>
                <w:rFonts w:ascii="Times New Roman" w:hAnsi="Times New Roman" w:cs="Times New Roman"/>
                <w:color w:val="000000" w:themeColor="text1"/>
                <w:sz w:val="16"/>
                <w:szCs w:val="16"/>
                <w:vertAlign w:val="superscript"/>
              </w:rPr>
            </w:pPr>
            <w:r w:rsidRPr="00EF6679">
              <w:rPr>
                <w:rFonts w:ascii="Times New Roman" w:hAnsi="Times New Roman" w:cs="Times New Roman"/>
                <w:color w:val="000000" w:themeColor="text1"/>
                <w:sz w:val="16"/>
                <w:szCs w:val="16"/>
                <w:vertAlign w:val="superscript"/>
              </w:rPr>
              <w:t xml:space="preserve">a </w:t>
            </w:r>
          </w:p>
        </w:tc>
        <w:tc>
          <w:tcPr>
            <w:tcW w:w="712" w:type="dxa"/>
            <w:noWrap/>
            <w:vAlign w:val="bottom"/>
            <w:hideMark/>
          </w:tcPr>
          <w:p w14:paraId="4A95090E" w14:textId="77777777" w:rsidR="00BB138C" w:rsidRPr="00EF6679" w:rsidRDefault="00BB138C" w:rsidP="00820288">
            <w:pPr>
              <w:spacing w:line="240" w:lineRule="auto"/>
              <w:jc w:val="right"/>
              <w:rPr>
                <w:rFonts w:ascii="Times New Roman" w:hAnsi="Times New Roman" w:cs="Times New Roman"/>
                <w:color w:val="000000" w:themeColor="text1"/>
                <w:sz w:val="16"/>
                <w:szCs w:val="16"/>
              </w:rPr>
            </w:pPr>
            <w:r w:rsidRPr="00EF6679">
              <w:rPr>
                <w:rFonts w:ascii="Times New Roman" w:hAnsi="Times New Roman" w:cs="Times New Roman"/>
                <w:color w:val="000000" w:themeColor="text1"/>
                <w:sz w:val="16"/>
                <w:szCs w:val="16"/>
              </w:rPr>
              <w:t>0.029</w:t>
            </w:r>
          </w:p>
        </w:tc>
        <w:tc>
          <w:tcPr>
            <w:tcW w:w="478" w:type="dxa"/>
            <w:noWrap/>
            <w:vAlign w:val="center"/>
            <w:hideMark/>
          </w:tcPr>
          <w:p w14:paraId="528943D6" w14:textId="77777777" w:rsidR="00BB138C" w:rsidRPr="00EF6679" w:rsidRDefault="00BB138C" w:rsidP="00820288">
            <w:pPr>
              <w:spacing w:line="240" w:lineRule="auto"/>
              <w:rPr>
                <w:rFonts w:ascii="Times New Roman" w:hAnsi="Times New Roman" w:cs="Times New Roman"/>
                <w:color w:val="000000" w:themeColor="text1"/>
                <w:sz w:val="16"/>
                <w:szCs w:val="16"/>
                <w:vertAlign w:val="superscript"/>
              </w:rPr>
            </w:pPr>
            <w:r w:rsidRPr="00EF6679">
              <w:rPr>
                <w:rFonts w:ascii="Times New Roman" w:hAnsi="Times New Roman" w:cs="Times New Roman"/>
                <w:color w:val="000000" w:themeColor="text1"/>
                <w:sz w:val="16"/>
                <w:szCs w:val="16"/>
                <w:vertAlign w:val="superscript"/>
              </w:rPr>
              <w:t xml:space="preserve">a </w:t>
            </w:r>
          </w:p>
        </w:tc>
      </w:tr>
      <w:tr w:rsidR="00BB138C" w:rsidRPr="00EF6679" w14:paraId="01B064A1" w14:textId="77777777" w:rsidTr="00820288">
        <w:trPr>
          <w:trHeight w:val="144"/>
        </w:trPr>
        <w:tc>
          <w:tcPr>
            <w:tcW w:w="2880" w:type="dxa"/>
            <w:noWrap/>
            <w:vAlign w:val="bottom"/>
            <w:hideMark/>
          </w:tcPr>
          <w:p w14:paraId="4A6A3392" w14:textId="77777777" w:rsidR="00BB138C" w:rsidRPr="00EF6679" w:rsidRDefault="00BB138C" w:rsidP="00820288">
            <w:pPr>
              <w:spacing w:line="240" w:lineRule="auto"/>
              <w:rPr>
                <w:rFonts w:ascii="Times New Roman" w:hAnsi="Times New Roman" w:cs="Times New Roman"/>
                <w:color w:val="000000" w:themeColor="text1"/>
                <w:sz w:val="16"/>
                <w:szCs w:val="16"/>
              </w:rPr>
            </w:pPr>
            <w:r w:rsidRPr="00EF6679">
              <w:rPr>
                <w:rFonts w:ascii="Times New Roman" w:hAnsi="Times New Roman" w:cs="Times New Roman"/>
                <w:color w:val="000000" w:themeColor="text1"/>
                <w:sz w:val="16"/>
                <w:szCs w:val="16"/>
              </w:rPr>
              <w:t xml:space="preserve">p-Menth-1-en-8-ol        </w:t>
            </w:r>
          </w:p>
        </w:tc>
        <w:tc>
          <w:tcPr>
            <w:tcW w:w="758" w:type="dxa"/>
            <w:noWrap/>
            <w:vAlign w:val="bottom"/>
            <w:hideMark/>
          </w:tcPr>
          <w:p w14:paraId="67494B78" w14:textId="77777777" w:rsidR="00BB138C" w:rsidRPr="00EF6679" w:rsidRDefault="00BB138C" w:rsidP="00820288">
            <w:pPr>
              <w:spacing w:line="240" w:lineRule="auto"/>
              <w:jc w:val="right"/>
              <w:rPr>
                <w:rFonts w:ascii="Times New Roman" w:hAnsi="Times New Roman" w:cs="Times New Roman"/>
                <w:color w:val="000000" w:themeColor="text1"/>
                <w:sz w:val="16"/>
                <w:szCs w:val="16"/>
              </w:rPr>
            </w:pPr>
            <w:r w:rsidRPr="00EF6679">
              <w:rPr>
                <w:rFonts w:ascii="Times New Roman" w:hAnsi="Times New Roman" w:cs="Times New Roman"/>
                <w:color w:val="000000" w:themeColor="text1"/>
                <w:sz w:val="16"/>
                <w:szCs w:val="16"/>
              </w:rPr>
              <w:t>3.188</w:t>
            </w:r>
          </w:p>
        </w:tc>
        <w:tc>
          <w:tcPr>
            <w:tcW w:w="366" w:type="dxa"/>
            <w:noWrap/>
            <w:vAlign w:val="bottom"/>
            <w:hideMark/>
          </w:tcPr>
          <w:p w14:paraId="01E115DC" w14:textId="77777777" w:rsidR="00BB138C" w:rsidRPr="00EF6679" w:rsidRDefault="00BB138C" w:rsidP="00820288">
            <w:pPr>
              <w:spacing w:line="240" w:lineRule="auto"/>
              <w:rPr>
                <w:rFonts w:ascii="Times New Roman" w:hAnsi="Times New Roman" w:cs="Times New Roman"/>
                <w:color w:val="000000" w:themeColor="text1"/>
                <w:sz w:val="16"/>
                <w:szCs w:val="16"/>
                <w:vertAlign w:val="superscript"/>
              </w:rPr>
            </w:pPr>
            <w:r w:rsidRPr="00EF6679">
              <w:rPr>
                <w:rFonts w:ascii="Times New Roman" w:hAnsi="Times New Roman" w:cs="Times New Roman"/>
                <w:color w:val="000000" w:themeColor="text1"/>
                <w:sz w:val="16"/>
                <w:szCs w:val="16"/>
                <w:vertAlign w:val="superscript"/>
              </w:rPr>
              <w:t xml:space="preserve">a </w:t>
            </w:r>
          </w:p>
        </w:tc>
        <w:tc>
          <w:tcPr>
            <w:tcW w:w="712" w:type="dxa"/>
            <w:noWrap/>
            <w:vAlign w:val="bottom"/>
            <w:hideMark/>
          </w:tcPr>
          <w:p w14:paraId="3310558A" w14:textId="77777777" w:rsidR="00BB138C" w:rsidRPr="00EF6679" w:rsidRDefault="00BB138C" w:rsidP="00820288">
            <w:pPr>
              <w:spacing w:line="240" w:lineRule="auto"/>
              <w:jc w:val="right"/>
              <w:rPr>
                <w:rFonts w:ascii="Times New Roman" w:hAnsi="Times New Roman" w:cs="Times New Roman"/>
                <w:color w:val="000000" w:themeColor="text1"/>
                <w:sz w:val="16"/>
                <w:szCs w:val="16"/>
              </w:rPr>
            </w:pPr>
            <w:r w:rsidRPr="00EF6679">
              <w:rPr>
                <w:rFonts w:ascii="Times New Roman" w:hAnsi="Times New Roman" w:cs="Times New Roman"/>
                <w:color w:val="000000" w:themeColor="text1"/>
                <w:sz w:val="16"/>
                <w:szCs w:val="16"/>
              </w:rPr>
              <w:t>2.163</w:t>
            </w:r>
          </w:p>
        </w:tc>
        <w:tc>
          <w:tcPr>
            <w:tcW w:w="478" w:type="dxa"/>
            <w:noWrap/>
            <w:vAlign w:val="center"/>
            <w:hideMark/>
          </w:tcPr>
          <w:p w14:paraId="14AE66F4" w14:textId="77777777" w:rsidR="00BB138C" w:rsidRPr="00EF6679" w:rsidRDefault="00BB138C" w:rsidP="00820288">
            <w:pPr>
              <w:spacing w:line="240" w:lineRule="auto"/>
              <w:rPr>
                <w:rFonts w:ascii="Times New Roman" w:hAnsi="Times New Roman" w:cs="Times New Roman"/>
                <w:color w:val="000000" w:themeColor="text1"/>
                <w:sz w:val="16"/>
                <w:szCs w:val="16"/>
                <w:vertAlign w:val="superscript"/>
              </w:rPr>
            </w:pPr>
            <w:r w:rsidRPr="00EF6679">
              <w:rPr>
                <w:rFonts w:ascii="Times New Roman" w:hAnsi="Times New Roman" w:cs="Times New Roman"/>
                <w:color w:val="000000" w:themeColor="text1"/>
                <w:sz w:val="16"/>
                <w:szCs w:val="16"/>
                <w:vertAlign w:val="superscript"/>
              </w:rPr>
              <w:t xml:space="preserve">b </w:t>
            </w:r>
          </w:p>
        </w:tc>
      </w:tr>
      <w:tr w:rsidR="00BB138C" w:rsidRPr="00EF6679" w14:paraId="5FE30193" w14:textId="77777777" w:rsidTr="00820288">
        <w:trPr>
          <w:trHeight w:val="144"/>
        </w:trPr>
        <w:tc>
          <w:tcPr>
            <w:tcW w:w="2880" w:type="dxa"/>
            <w:noWrap/>
            <w:vAlign w:val="bottom"/>
            <w:hideMark/>
          </w:tcPr>
          <w:p w14:paraId="67111AA0" w14:textId="77777777" w:rsidR="00BB138C" w:rsidRPr="00EF6679" w:rsidRDefault="00BB138C" w:rsidP="00820288">
            <w:pPr>
              <w:spacing w:line="240" w:lineRule="auto"/>
              <w:rPr>
                <w:rFonts w:ascii="Times New Roman" w:hAnsi="Times New Roman" w:cs="Times New Roman"/>
                <w:color w:val="000000" w:themeColor="text1"/>
                <w:sz w:val="16"/>
                <w:szCs w:val="16"/>
              </w:rPr>
            </w:pPr>
            <w:r w:rsidRPr="00EF6679">
              <w:rPr>
                <w:rFonts w:ascii="Times New Roman" w:hAnsi="Times New Roman" w:cs="Times New Roman"/>
                <w:color w:val="000000" w:themeColor="text1"/>
                <w:sz w:val="16"/>
                <w:szCs w:val="16"/>
              </w:rPr>
              <w:t xml:space="preserve">Methyl Salicylate        </w:t>
            </w:r>
          </w:p>
        </w:tc>
        <w:tc>
          <w:tcPr>
            <w:tcW w:w="758" w:type="dxa"/>
            <w:noWrap/>
            <w:vAlign w:val="bottom"/>
            <w:hideMark/>
          </w:tcPr>
          <w:p w14:paraId="1637576D" w14:textId="77777777" w:rsidR="00BB138C" w:rsidRPr="00EF6679" w:rsidRDefault="00BB138C" w:rsidP="00820288">
            <w:pPr>
              <w:spacing w:line="240" w:lineRule="auto"/>
              <w:jc w:val="right"/>
              <w:rPr>
                <w:rFonts w:ascii="Times New Roman" w:hAnsi="Times New Roman" w:cs="Times New Roman"/>
                <w:color w:val="000000" w:themeColor="text1"/>
                <w:sz w:val="16"/>
                <w:szCs w:val="16"/>
              </w:rPr>
            </w:pPr>
            <w:r w:rsidRPr="00EF6679">
              <w:rPr>
                <w:rFonts w:ascii="Times New Roman" w:hAnsi="Times New Roman" w:cs="Times New Roman"/>
                <w:color w:val="000000" w:themeColor="text1"/>
                <w:sz w:val="16"/>
                <w:szCs w:val="16"/>
              </w:rPr>
              <w:t>0.996</w:t>
            </w:r>
          </w:p>
        </w:tc>
        <w:tc>
          <w:tcPr>
            <w:tcW w:w="366" w:type="dxa"/>
            <w:noWrap/>
            <w:vAlign w:val="bottom"/>
            <w:hideMark/>
          </w:tcPr>
          <w:p w14:paraId="6421BF45" w14:textId="77777777" w:rsidR="00BB138C" w:rsidRPr="00EF6679" w:rsidRDefault="00BB138C" w:rsidP="00820288">
            <w:pPr>
              <w:spacing w:line="240" w:lineRule="auto"/>
              <w:rPr>
                <w:rFonts w:ascii="Times New Roman" w:hAnsi="Times New Roman" w:cs="Times New Roman"/>
                <w:color w:val="000000" w:themeColor="text1"/>
                <w:sz w:val="16"/>
                <w:szCs w:val="16"/>
                <w:vertAlign w:val="superscript"/>
              </w:rPr>
            </w:pPr>
            <w:r w:rsidRPr="00EF6679">
              <w:rPr>
                <w:rFonts w:ascii="Times New Roman" w:hAnsi="Times New Roman" w:cs="Times New Roman"/>
                <w:color w:val="000000" w:themeColor="text1"/>
                <w:sz w:val="16"/>
                <w:szCs w:val="16"/>
                <w:vertAlign w:val="superscript"/>
              </w:rPr>
              <w:t xml:space="preserve">a </w:t>
            </w:r>
          </w:p>
        </w:tc>
        <w:tc>
          <w:tcPr>
            <w:tcW w:w="712" w:type="dxa"/>
            <w:noWrap/>
            <w:vAlign w:val="bottom"/>
            <w:hideMark/>
          </w:tcPr>
          <w:p w14:paraId="7DB3AFA0" w14:textId="77777777" w:rsidR="00BB138C" w:rsidRPr="00EF6679" w:rsidRDefault="00BB138C" w:rsidP="00820288">
            <w:pPr>
              <w:spacing w:line="240" w:lineRule="auto"/>
              <w:jc w:val="right"/>
              <w:rPr>
                <w:rFonts w:ascii="Times New Roman" w:hAnsi="Times New Roman" w:cs="Times New Roman"/>
                <w:color w:val="000000" w:themeColor="text1"/>
                <w:sz w:val="16"/>
                <w:szCs w:val="16"/>
              </w:rPr>
            </w:pPr>
            <w:r w:rsidRPr="00EF6679">
              <w:rPr>
                <w:rFonts w:ascii="Times New Roman" w:hAnsi="Times New Roman" w:cs="Times New Roman"/>
                <w:color w:val="000000" w:themeColor="text1"/>
                <w:sz w:val="16"/>
                <w:szCs w:val="16"/>
              </w:rPr>
              <w:t>0.349</w:t>
            </w:r>
          </w:p>
        </w:tc>
        <w:tc>
          <w:tcPr>
            <w:tcW w:w="478" w:type="dxa"/>
            <w:noWrap/>
            <w:vAlign w:val="center"/>
            <w:hideMark/>
          </w:tcPr>
          <w:p w14:paraId="71658D1A" w14:textId="77777777" w:rsidR="00BB138C" w:rsidRPr="00EF6679" w:rsidRDefault="00BB138C" w:rsidP="00820288">
            <w:pPr>
              <w:spacing w:line="240" w:lineRule="auto"/>
              <w:rPr>
                <w:rFonts w:ascii="Times New Roman" w:hAnsi="Times New Roman" w:cs="Times New Roman"/>
                <w:color w:val="000000" w:themeColor="text1"/>
                <w:sz w:val="16"/>
                <w:szCs w:val="16"/>
                <w:vertAlign w:val="superscript"/>
              </w:rPr>
            </w:pPr>
            <w:r w:rsidRPr="00EF6679">
              <w:rPr>
                <w:rFonts w:ascii="Times New Roman" w:hAnsi="Times New Roman" w:cs="Times New Roman"/>
                <w:color w:val="000000" w:themeColor="text1"/>
                <w:sz w:val="16"/>
                <w:szCs w:val="16"/>
                <w:vertAlign w:val="superscript"/>
              </w:rPr>
              <w:t xml:space="preserve">b </w:t>
            </w:r>
          </w:p>
        </w:tc>
      </w:tr>
      <w:tr w:rsidR="00BB138C" w:rsidRPr="00EF6679" w14:paraId="0318ED83" w14:textId="77777777" w:rsidTr="00820288">
        <w:trPr>
          <w:trHeight w:val="144"/>
        </w:trPr>
        <w:tc>
          <w:tcPr>
            <w:tcW w:w="2880" w:type="dxa"/>
            <w:noWrap/>
            <w:vAlign w:val="bottom"/>
          </w:tcPr>
          <w:p w14:paraId="22C04A3B" w14:textId="77777777" w:rsidR="00BB138C" w:rsidRPr="00EF6679" w:rsidRDefault="00BB138C" w:rsidP="00820288">
            <w:pPr>
              <w:spacing w:line="240" w:lineRule="auto"/>
              <w:rPr>
                <w:rFonts w:ascii="Times New Roman" w:hAnsi="Times New Roman" w:cs="Times New Roman"/>
                <w:b/>
                <w:bCs/>
                <w:color w:val="000000" w:themeColor="text1"/>
                <w:sz w:val="16"/>
                <w:szCs w:val="16"/>
              </w:rPr>
            </w:pPr>
            <w:r w:rsidRPr="00EF6679">
              <w:rPr>
                <w:rFonts w:ascii="Times New Roman" w:hAnsi="Times New Roman" w:cs="Times New Roman"/>
                <w:color w:val="000000" w:themeColor="text1"/>
                <w:sz w:val="16"/>
                <w:szCs w:val="16"/>
              </w:rPr>
              <w:t>2-methyl-2-Hepten-4-yne</w:t>
            </w:r>
          </w:p>
        </w:tc>
        <w:tc>
          <w:tcPr>
            <w:tcW w:w="758" w:type="dxa"/>
            <w:noWrap/>
            <w:vAlign w:val="bottom"/>
          </w:tcPr>
          <w:p w14:paraId="45EC8D81" w14:textId="77777777" w:rsidR="00BB138C" w:rsidRPr="00EF6679" w:rsidRDefault="00BB138C" w:rsidP="00820288">
            <w:pPr>
              <w:spacing w:line="240" w:lineRule="auto"/>
              <w:jc w:val="right"/>
              <w:rPr>
                <w:rFonts w:ascii="Times New Roman" w:hAnsi="Times New Roman" w:cs="Times New Roman"/>
                <w:color w:val="000000" w:themeColor="text1"/>
                <w:sz w:val="16"/>
                <w:szCs w:val="16"/>
              </w:rPr>
            </w:pPr>
            <w:r w:rsidRPr="00EF6679">
              <w:rPr>
                <w:rFonts w:ascii="Times New Roman" w:hAnsi="Times New Roman" w:cs="Times New Roman"/>
                <w:color w:val="000000" w:themeColor="text1"/>
                <w:sz w:val="16"/>
                <w:szCs w:val="16"/>
              </w:rPr>
              <w:t>9.596</w:t>
            </w:r>
          </w:p>
        </w:tc>
        <w:tc>
          <w:tcPr>
            <w:tcW w:w="366" w:type="dxa"/>
            <w:noWrap/>
            <w:vAlign w:val="bottom"/>
          </w:tcPr>
          <w:p w14:paraId="1EFD6010" w14:textId="77777777" w:rsidR="00BB138C" w:rsidRPr="00EF6679" w:rsidRDefault="00BB138C" w:rsidP="00820288">
            <w:pPr>
              <w:spacing w:line="240" w:lineRule="auto"/>
              <w:rPr>
                <w:rFonts w:ascii="Times New Roman" w:hAnsi="Times New Roman" w:cs="Times New Roman"/>
                <w:color w:val="000000" w:themeColor="text1"/>
                <w:sz w:val="16"/>
                <w:szCs w:val="16"/>
                <w:vertAlign w:val="superscript"/>
              </w:rPr>
            </w:pPr>
            <w:r w:rsidRPr="00EF6679">
              <w:rPr>
                <w:rFonts w:ascii="Times New Roman" w:hAnsi="Times New Roman" w:cs="Times New Roman"/>
                <w:color w:val="000000" w:themeColor="text1"/>
                <w:sz w:val="16"/>
                <w:szCs w:val="16"/>
                <w:vertAlign w:val="superscript"/>
              </w:rPr>
              <w:t xml:space="preserve">a </w:t>
            </w:r>
          </w:p>
        </w:tc>
        <w:tc>
          <w:tcPr>
            <w:tcW w:w="712" w:type="dxa"/>
            <w:noWrap/>
            <w:vAlign w:val="bottom"/>
          </w:tcPr>
          <w:p w14:paraId="795B0340" w14:textId="77777777" w:rsidR="00BB138C" w:rsidRPr="00EF6679" w:rsidRDefault="00BB138C" w:rsidP="00820288">
            <w:pPr>
              <w:spacing w:line="240" w:lineRule="auto"/>
              <w:jc w:val="right"/>
              <w:rPr>
                <w:rFonts w:ascii="Times New Roman" w:hAnsi="Times New Roman" w:cs="Times New Roman"/>
                <w:color w:val="000000" w:themeColor="text1"/>
                <w:sz w:val="16"/>
                <w:szCs w:val="16"/>
              </w:rPr>
            </w:pPr>
            <w:r w:rsidRPr="00EF6679">
              <w:rPr>
                <w:rFonts w:ascii="Times New Roman" w:hAnsi="Times New Roman" w:cs="Times New Roman"/>
                <w:color w:val="000000" w:themeColor="text1"/>
                <w:sz w:val="16"/>
                <w:szCs w:val="16"/>
              </w:rPr>
              <w:t>6.049</w:t>
            </w:r>
          </w:p>
        </w:tc>
        <w:tc>
          <w:tcPr>
            <w:tcW w:w="478" w:type="dxa"/>
            <w:noWrap/>
            <w:vAlign w:val="center"/>
          </w:tcPr>
          <w:p w14:paraId="3398AC5B" w14:textId="77777777" w:rsidR="00BB138C" w:rsidRPr="00EF6679" w:rsidRDefault="00BB138C" w:rsidP="00820288">
            <w:pPr>
              <w:spacing w:line="240" w:lineRule="auto"/>
              <w:rPr>
                <w:rFonts w:ascii="Times New Roman" w:hAnsi="Times New Roman" w:cs="Times New Roman"/>
                <w:color w:val="000000" w:themeColor="text1"/>
                <w:sz w:val="16"/>
                <w:szCs w:val="16"/>
                <w:vertAlign w:val="superscript"/>
              </w:rPr>
            </w:pPr>
            <w:r w:rsidRPr="00EF6679">
              <w:rPr>
                <w:rFonts w:ascii="Times New Roman" w:hAnsi="Times New Roman" w:cs="Times New Roman"/>
                <w:color w:val="000000" w:themeColor="text1"/>
                <w:sz w:val="16"/>
                <w:szCs w:val="16"/>
                <w:vertAlign w:val="superscript"/>
              </w:rPr>
              <w:t xml:space="preserve">b </w:t>
            </w:r>
          </w:p>
        </w:tc>
      </w:tr>
      <w:tr w:rsidR="00BB138C" w:rsidRPr="00EF6679" w14:paraId="2974B75F" w14:textId="77777777" w:rsidTr="00820288">
        <w:trPr>
          <w:trHeight w:val="144"/>
        </w:trPr>
        <w:tc>
          <w:tcPr>
            <w:tcW w:w="2880" w:type="dxa"/>
            <w:noWrap/>
            <w:vAlign w:val="bottom"/>
            <w:hideMark/>
          </w:tcPr>
          <w:p w14:paraId="6E5C74E2" w14:textId="77777777" w:rsidR="00BB138C" w:rsidRPr="00EF6679" w:rsidRDefault="00BB138C" w:rsidP="00820288">
            <w:pPr>
              <w:spacing w:line="240" w:lineRule="auto"/>
              <w:rPr>
                <w:rFonts w:ascii="Times New Roman" w:hAnsi="Times New Roman" w:cs="Times New Roman"/>
                <w:color w:val="000000" w:themeColor="text1"/>
                <w:sz w:val="16"/>
                <w:szCs w:val="16"/>
              </w:rPr>
            </w:pPr>
            <w:r w:rsidRPr="00EF6679">
              <w:rPr>
                <w:rFonts w:ascii="Times New Roman" w:hAnsi="Times New Roman" w:cs="Times New Roman"/>
                <w:color w:val="000000" w:themeColor="text1"/>
                <w:sz w:val="16"/>
                <w:szCs w:val="16"/>
              </w:rPr>
              <w:t xml:space="preserve">1,3-cis,5-cis-Octatriene </w:t>
            </w:r>
          </w:p>
        </w:tc>
        <w:tc>
          <w:tcPr>
            <w:tcW w:w="758" w:type="dxa"/>
            <w:noWrap/>
            <w:vAlign w:val="bottom"/>
            <w:hideMark/>
          </w:tcPr>
          <w:p w14:paraId="6BFCE814" w14:textId="77777777" w:rsidR="00BB138C" w:rsidRPr="00EF6679" w:rsidRDefault="00BB138C" w:rsidP="00820288">
            <w:pPr>
              <w:spacing w:line="240" w:lineRule="auto"/>
              <w:jc w:val="right"/>
              <w:rPr>
                <w:rFonts w:ascii="Times New Roman" w:hAnsi="Times New Roman" w:cs="Times New Roman"/>
                <w:color w:val="000000" w:themeColor="text1"/>
                <w:sz w:val="16"/>
                <w:szCs w:val="16"/>
              </w:rPr>
            </w:pPr>
            <w:r w:rsidRPr="00EF6679">
              <w:rPr>
                <w:rFonts w:ascii="Times New Roman" w:hAnsi="Times New Roman" w:cs="Times New Roman"/>
                <w:color w:val="000000" w:themeColor="text1"/>
                <w:sz w:val="16"/>
                <w:szCs w:val="16"/>
              </w:rPr>
              <w:t>3.668</w:t>
            </w:r>
          </w:p>
        </w:tc>
        <w:tc>
          <w:tcPr>
            <w:tcW w:w="366" w:type="dxa"/>
            <w:noWrap/>
            <w:vAlign w:val="bottom"/>
            <w:hideMark/>
          </w:tcPr>
          <w:p w14:paraId="60604046" w14:textId="77777777" w:rsidR="00BB138C" w:rsidRPr="00EF6679" w:rsidRDefault="00BB138C" w:rsidP="00820288">
            <w:pPr>
              <w:spacing w:line="240" w:lineRule="auto"/>
              <w:rPr>
                <w:rFonts w:ascii="Times New Roman" w:hAnsi="Times New Roman" w:cs="Times New Roman"/>
                <w:color w:val="000000" w:themeColor="text1"/>
                <w:sz w:val="16"/>
                <w:szCs w:val="16"/>
                <w:vertAlign w:val="superscript"/>
              </w:rPr>
            </w:pPr>
            <w:r w:rsidRPr="00EF6679">
              <w:rPr>
                <w:rFonts w:ascii="Times New Roman" w:hAnsi="Times New Roman" w:cs="Times New Roman"/>
                <w:color w:val="000000" w:themeColor="text1"/>
                <w:sz w:val="16"/>
                <w:szCs w:val="16"/>
                <w:vertAlign w:val="superscript"/>
              </w:rPr>
              <w:t xml:space="preserve">a </w:t>
            </w:r>
          </w:p>
        </w:tc>
        <w:tc>
          <w:tcPr>
            <w:tcW w:w="712" w:type="dxa"/>
            <w:noWrap/>
            <w:vAlign w:val="bottom"/>
            <w:hideMark/>
          </w:tcPr>
          <w:p w14:paraId="678EA4C1" w14:textId="77777777" w:rsidR="00BB138C" w:rsidRPr="00EF6679" w:rsidRDefault="00BB138C" w:rsidP="00820288">
            <w:pPr>
              <w:spacing w:line="240" w:lineRule="auto"/>
              <w:jc w:val="right"/>
              <w:rPr>
                <w:rFonts w:ascii="Times New Roman" w:hAnsi="Times New Roman" w:cs="Times New Roman"/>
                <w:color w:val="000000" w:themeColor="text1"/>
                <w:sz w:val="16"/>
                <w:szCs w:val="16"/>
              </w:rPr>
            </w:pPr>
            <w:r w:rsidRPr="00EF6679">
              <w:rPr>
                <w:rFonts w:ascii="Times New Roman" w:hAnsi="Times New Roman" w:cs="Times New Roman"/>
                <w:color w:val="000000" w:themeColor="text1"/>
                <w:sz w:val="16"/>
                <w:szCs w:val="16"/>
              </w:rPr>
              <w:t>4.464</w:t>
            </w:r>
          </w:p>
        </w:tc>
        <w:tc>
          <w:tcPr>
            <w:tcW w:w="478" w:type="dxa"/>
            <w:noWrap/>
            <w:vAlign w:val="center"/>
            <w:hideMark/>
          </w:tcPr>
          <w:p w14:paraId="66536C75" w14:textId="77777777" w:rsidR="00BB138C" w:rsidRPr="00EF6679" w:rsidRDefault="00BB138C" w:rsidP="00820288">
            <w:pPr>
              <w:spacing w:line="240" w:lineRule="auto"/>
              <w:rPr>
                <w:rFonts w:ascii="Times New Roman" w:hAnsi="Times New Roman" w:cs="Times New Roman"/>
                <w:color w:val="000000" w:themeColor="text1"/>
                <w:sz w:val="16"/>
                <w:szCs w:val="16"/>
                <w:vertAlign w:val="superscript"/>
              </w:rPr>
            </w:pPr>
            <w:r w:rsidRPr="00EF6679">
              <w:rPr>
                <w:rFonts w:ascii="Times New Roman" w:hAnsi="Times New Roman" w:cs="Times New Roman"/>
                <w:color w:val="000000" w:themeColor="text1"/>
                <w:sz w:val="16"/>
                <w:szCs w:val="16"/>
                <w:vertAlign w:val="superscript"/>
              </w:rPr>
              <w:t xml:space="preserve">a </w:t>
            </w:r>
          </w:p>
        </w:tc>
      </w:tr>
      <w:tr w:rsidR="00BB138C" w:rsidRPr="00EF6679" w14:paraId="74F502A1" w14:textId="77777777" w:rsidTr="00820288">
        <w:trPr>
          <w:trHeight w:val="144"/>
        </w:trPr>
        <w:tc>
          <w:tcPr>
            <w:tcW w:w="2880" w:type="dxa"/>
            <w:noWrap/>
            <w:vAlign w:val="bottom"/>
            <w:hideMark/>
          </w:tcPr>
          <w:p w14:paraId="7DAB7C71" w14:textId="77777777" w:rsidR="00BB138C" w:rsidRPr="00EF6679" w:rsidRDefault="00BB138C" w:rsidP="00820288">
            <w:pPr>
              <w:spacing w:line="240" w:lineRule="auto"/>
              <w:rPr>
                <w:rFonts w:ascii="Times New Roman" w:hAnsi="Times New Roman" w:cs="Times New Roman"/>
                <w:color w:val="000000" w:themeColor="text1"/>
                <w:sz w:val="16"/>
                <w:szCs w:val="16"/>
              </w:rPr>
            </w:pPr>
            <w:r w:rsidRPr="00EF6679">
              <w:rPr>
                <w:rFonts w:ascii="Times New Roman" w:hAnsi="Times New Roman" w:cs="Times New Roman"/>
                <w:color w:val="000000" w:themeColor="text1"/>
                <w:sz w:val="16"/>
                <w:szCs w:val="16"/>
              </w:rPr>
              <w:t xml:space="preserve">p-allyl-Anisole  </w:t>
            </w:r>
          </w:p>
        </w:tc>
        <w:tc>
          <w:tcPr>
            <w:tcW w:w="758" w:type="dxa"/>
            <w:noWrap/>
            <w:vAlign w:val="bottom"/>
            <w:hideMark/>
          </w:tcPr>
          <w:p w14:paraId="36D1FF73" w14:textId="77777777" w:rsidR="00BB138C" w:rsidRPr="00EF6679" w:rsidRDefault="00BB138C" w:rsidP="00820288">
            <w:pPr>
              <w:spacing w:line="240" w:lineRule="auto"/>
              <w:jc w:val="right"/>
              <w:rPr>
                <w:rFonts w:ascii="Times New Roman" w:hAnsi="Times New Roman" w:cs="Times New Roman"/>
                <w:color w:val="000000" w:themeColor="text1"/>
                <w:sz w:val="16"/>
                <w:szCs w:val="16"/>
              </w:rPr>
            </w:pPr>
            <w:r w:rsidRPr="00EF6679">
              <w:rPr>
                <w:rFonts w:ascii="Times New Roman" w:hAnsi="Times New Roman" w:cs="Times New Roman"/>
                <w:color w:val="000000" w:themeColor="text1"/>
                <w:sz w:val="16"/>
                <w:szCs w:val="16"/>
              </w:rPr>
              <w:t>0.082</w:t>
            </w:r>
          </w:p>
        </w:tc>
        <w:tc>
          <w:tcPr>
            <w:tcW w:w="366" w:type="dxa"/>
            <w:noWrap/>
            <w:vAlign w:val="bottom"/>
            <w:hideMark/>
          </w:tcPr>
          <w:p w14:paraId="3141B71E" w14:textId="77777777" w:rsidR="00BB138C" w:rsidRPr="00EF6679" w:rsidRDefault="00BB138C" w:rsidP="00820288">
            <w:pPr>
              <w:spacing w:line="240" w:lineRule="auto"/>
              <w:rPr>
                <w:rFonts w:ascii="Times New Roman" w:hAnsi="Times New Roman" w:cs="Times New Roman"/>
                <w:color w:val="000000" w:themeColor="text1"/>
                <w:sz w:val="16"/>
                <w:szCs w:val="16"/>
                <w:vertAlign w:val="superscript"/>
              </w:rPr>
            </w:pPr>
            <w:r w:rsidRPr="00EF6679">
              <w:rPr>
                <w:rFonts w:ascii="Times New Roman" w:hAnsi="Times New Roman" w:cs="Times New Roman"/>
                <w:color w:val="000000" w:themeColor="text1"/>
                <w:sz w:val="16"/>
                <w:szCs w:val="16"/>
                <w:vertAlign w:val="superscript"/>
              </w:rPr>
              <w:t xml:space="preserve">a </w:t>
            </w:r>
          </w:p>
        </w:tc>
        <w:tc>
          <w:tcPr>
            <w:tcW w:w="712" w:type="dxa"/>
            <w:noWrap/>
            <w:vAlign w:val="bottom"/>
            <w:hideMark/>
          </w:tcPr>
          <w:p w14:paraId="411AD9A8" w14:textId="77777777" w:rsidR="00BB138C" w:rsidRPr="00EF6679" w:rsidRDefault="00BB138C" w:rsidP="00820288">
            <w:pPr>
              <w:spacing w:line="240" w:lineRule="auto"/>
              <w:jc w:val="right"/>
              <w:rPr>
                <w:rFonts w:ascii="Times New Roman" w:hAnsi="Times New Roman" w:cs="Times New Roman"/>
                <w:color w:val="000000" w:themeColor="text1"/>
                <w:sz w:val="16"/>
                <w:szCs w:val="16"/>
              </w:rPr>
            </w:pPr>
            <w:r w:rsidRPr="00EF6679">
              <w:rPr>
                <w:rFonts w:ascii="Times New Roman" w:hAnsi="Times New Roman" w:cs="Times New Roman"/>
                <w:color w:val="000000" w:themeColor="text1"/>
                <w:sz w:val="16"/>
                <w:szCs w:val="16"/>
              </w:rPr>
              <w:t>0.011</w:t>
            </w:r>
          </w:p>
        </w:tc>
        <w:tc>
          <w:tcPr>
            <w:tcW w:w="478" w:type="dxa"/>
            <w:noWrap/>
            <w:vAlign w:val="center"/>
            <w:hideMark/>
          </w:tcPr>
          <w:p w14:paraId="3E1CE11E" w14:textId="77777777" w:rsidR="00BB138C" w:rsidRPr="00EF6679" w:rsidRDefault="00BB138C" w:rsidP="00820288">
            <w:pPr>
              <w:spacing w:line="240" w:lineRule="auto"/>
              <w:rPr>
                <w:rFonts w:ascii="Times New Roman" w:hAnsi="Times New Roman" w:cs="Times New Roman"/>
                <w:color w:val="000000" w:themeColor="text1"/>
                <w:sz w:val="16"/>
                <w:szCs w:val="16"/>
                <w:vertAlign w:val="superscript"/>
              </w:rPr>
            </w:pPr>
            <w:r w:rsidRPr="00EF6679">
              <w:rPr>
                <w:rFonts w:ascii="Times New Roman" w:hAnsi="Times New Roman" w:cs="Times New Roman"/>
                <w:color w:val="000000" w:themeColor="text1"/>
                <w:sz w:val="16"/>
                <w:szCs w:val="16"/>
                <w:vertAlign w:val="superscript"/>
              </w:rPr>
              <w:t xml:space="preserve">a </w:t>
            </w:r>
          </w:p>
        </w:tc>
      </w:tr>
      <w:tr w:rsidR="00BB138C" w:rsidRPr="00EF6679" w14:paraId="10DE77E4" w14:textId="77777777" w:rsidTr="00820288">
        <w:trPr>
          <w:trHeight w:val="144"/>
        </w:trPr>
        <w:tc>
          <w:tcPr>
            <w:tcW w:w="2880" w:type="dxa"/>
            <w:noWrap/>
            <w:vAlign w:val="bottom"/>
            <w:hideMark/>
          </w:tcPr>
          <w:p w14:paraId="7672C64F" w14:textId="77777777" w:rsidR="00BB138C" w:rsidRPr="00EF6679" w:rsidRDefault="00BB138C" w:rsidP="00820288">
            <w:pPr>
              <w:spacing w:line="240" w:lineRule="auto"/>
              <w:rPr>
                <w:rFonts w:ascii="Times New Roman" w:hAnsi="Times New Roman" w:cs="Times New Roman"/>
                <w:color w:val="000000" w:themeColor="text1"/>
                <w:sz w:val="16"/>
                <w:szCs w:val="16"/>
              </w:rPr>
            </w:pPr>
            <w:r w:rsidRPr="00EF6679">
              <w:rPr>
                <w:rFonts w:ascii="Times New Roman" w:hAnsi="Times New Roman" w:cs="Times New Roman"/>
                <w:color w:val="000000" w:themeColor="text1"/>
                <w:sz w:val="16"/>
                <w:szCs w:val="16"/>
              </w:rPr>
              <w:t>Nonylcyclopropane</w:t>
            </w:r>
          </w:p>
        </w:tc>
        <w:tc>
          <w:tcPr>
            <w:tcW w:w="758" w:type="dxa"/>
            <w:noWrap/>
            <w:vAlign w:val="bottom"/>
            <w:hideMark/>
          </w:tcPr>
          <w:p w14:paraId="2C2EAD3A" w14:textId="77777777" w:rsidR="00BB138C" w:rsidRPr="00EF6679" w:rsidRDefault="00BB138C" w:rsidP="00820288">
            <w:pPr>
              <w:spacing w:line="240" w:lineRule="auto"/>
              <w:jc w:val="right"/>
              <w:rPr>
                <w:rFonts w:ascii="Times New Roman" w:hAnsi="Times New Roman" w:cs="Times New Roman"/>
                <w:color w:val="000000" w:themeColor="text1"/>
                <w:sz w:val="16"/>
                <w:szCs w:val="16"/>
              </w:rPr>
            </w:pPr>
            <w:r w:rsidRPr="00EF6679">
              <w:rPr>
                <w:rFonts w:ascii="Times New Roman" w:hAnsi="Times New Roman" w:cs="Times New Roman"/>
                <w:color w:val="000000" w:themeColor="text1"/>
                <w:sz w:val="16"/>
                <w:szCs w:val="16"/>
              </w:rPr>
              <w:t>0.040</w:t>
            </w:r>
          </w:p>
        </w:tc>
        <w:tc>
          <w:tcPr>
            <w:tcW w:w="366" w:type="dxa"/>
            <w:noWrap/>
            <w:vAlign w:val="center"/>
            <w:hideMark/>
          </w:tcPr>
          <w:p w14:paraId="15B84C89" w14:textId="77777777" w:rsidR="00BB138C" w:rsidRPr="00EF6679" w:rsidRDefault="00BB138C" w:rsidP="00820288">
            <w:pPr>
              <w:spacing w:line="240" w:lineRule="auto"/>
              <w:rPr>
                <w:rFonts w:ascii="Times New Roman" w:hAnsi="Times New Roman" w:cs="Times New Roman"/>
                <w:color w:val="000000" w:themeColor="text1"/>
                <w:sz w:val="16"/>
                <w:szCs w:val="16"/>
                <w:vertAlign w:val="superscript"/>
              </w:rPr>
            </w:pPr>
            <w:r w:rsidRPr="00EF6679">
              <w:rPr>
                <w:rFonts w:ascii="Times New Roman" w:hAnsi="Times New Roman" w:cs="Times New Roman"/>
                <w:color w:val="000000" w:themeColor="text1"/>
                <w:sz w:val="16"/>
                <w:szCs w:val="16"/>
                <w:vertAlign w:val="superscript"/>
              </w:rPr>
              <w:t>a</w:t>
            </w:r>
          </w:p>
        </w:tc>
        <w:tc>
          <w:tcPr>
            <w:tcW w:w="712" w:type="dxa"/>
            <w:noWrap/>
            <w:vAlign w:val="bottom"/>
            <w:hideMark/>
          </w:tcPr>
          <w:p w14:paraId="5A5CDBAA" w14:textId="77777777" w:rsidR="00BB138C" w:rsidRPr="00EF6679" w:rsidRDefault="00BB138C" w:rsidP="00820288">
            <w:pPr>
              <w:spacing w:line="240" w:lineRule="auto"/>
              <w:jc w:val="right"/>
              <w:rPr>
                <w:rFonts w:ascii="Times New Roman" w:hAnsi="Times New Roman" w:cs="Times New Roman"/>
                <w:color w:val="000000" w:themeColor="text1"/>
                <w:sz w:val="16"/>
                <w:szCs w:val="16"/>
              </w:rPr>
            </w:pPr>
            <w:r w:rsidRPr="00EF6679">
              <w:rPr>
                <w:rFonts w:ascii="Times New Roman" w:hAnsi="Times New Roman" w:cs="Times New Roman"/>
                <w:color w:val="000000" w:themeColor="text1"/>
                <w:sz w:val="16"/>
                <w:szCs w:val="16"/>
              </w:rPr>
              <w:t>n.d.</w:t>
            </w:r>
          </w:p>
        </w:tc>
        <w:tc>
          <w:tcPr>
            <w:tcW w:w="478" w:type="dxa"/>
            <w:noWrap/>
            <w:vAlign w:val="center"/>
            <w:hideMark/>
          </w:tcPr>
          <w:p w14:paraId="3763F5EE" w14:textId="77777777" w:rsidR="00BB138C" w:rsidRPr="00EF6679" w:rsidRDefault="00BB138C" w:rsidP="00820288">
            <w:pPr>
              <w:spacing w:line="240" w:lineRule="auto"/>
              <w:rPr>
                <w:rFonts w:ascii="Times New Roman" w:hAnsi="Times New Roman" w:cs="Times New Roman"/>
                <w:color w:val="000000" w:themeColor="text1"/>
                <w:sz w:val="16"/>
                <w:szCs w:val="16"/>
                <w:vertAlign w:val="superscript"/>
              </w:rPr>
            </w:pPr>
            <w:r w:rsidRPr="00EF6679">
              <w:rPr>
                <w:rFonts w:ascii="Times New Roman" w:hAnsi="Times New Roman" w:cs="Times New Roman"/>
                <w:color w:val="000000" w:themeColor="text1"/>
                <w:sz w:val="16"/>
                <w:szCs w:val="16"/>
                <w:vertAlign w:val="superscript"/>
              </w:rPr>
              <w:t>b</w:t>
            </w:r>
          </w:p>
        </w:tc>
      </w:tr>
      <w:tr w:rsidR="00BB138C" w:rsidRPr="00EF6679" w14:paraId="2B5B411E" w14:textId="77777777" w:rsidTr="00820288">
        <w:trPr>
          <w:trHeight w:val="144"/>
        </w:trPr>
        <w:tc>
          <w:tcPr>
            <w:tcW w:w="2880" w:type="dxa"/>
            <w:noWrap/>
            <w:vAlign w:val="bottom"/>
            <w:hideMark/>
          </w:tcPr>
          <w:p w14:paraId="41AA23CB" w14:textId="77777777" w:rsidR="00BB138C" w:rsidRPr="00EF6679" w:rsidRDefault="00BB138C" w:rsidP="00820288">
            <w:pPr>
              <w:spacing w:line="240" w:lineRule="auto"/>
              <w:rPr>
                <w:rFonts w:ascii="Times New Roman" w:hAnsi="Times New Roman" w:cs="Times New Roman"/>
                <w:color w:val="000000" w:themeColor="text1"/>
                <w:sz w:val="16"/>
                <w:szCs w:val="16"/>
              </w:rPr>
            </w:pPr>
            <w:r w:rsidRPr="00EF6679">
              <w:rPr>
                <w:rFonts w:ascii="Times New Roman" w:hAnsi="Times New Roman" w:cs="Times New Roman"/>
                <w:color w:val="000000" w:themeColor="text1"/>
                <w:sz w:val="16"/>
                <w:szCs w:val="16"/>
              </w:rPr>
              <w:t xml:space="preserve">Benzenepropanenitrile    </w:t>
            </w:r>
          </w:p>
        </w:tc>
        <w:tc>
          <w:tcPr>
            <w:tcW w:w="758" w:type="dxa"/>
            <w:noWrap/>
            <w:vAlign w:val="bottom"/>
            <w:hideMark/>
          </w:tcPr>
          <w:p w14:paraId="372C04E7" w14:textId="77777777" w:rsidR="00BB138C" w:rsidRPr="00EF6679" w:rsidRDefault="00BB138C" w:rsidP="00820288">
            <w:pPr>
              <w:spacing w:line="240" w:lineRule="auto"/>
              <w:jc w:val="right"/>
              <w:rPr>
                <w:rFonts w:ascii="Times New Roman" w:hAnsi="Times New Roman" w:cs="Times New Roman"/>
                <w:color w:val="000000" w:themeColor="text1"/>
                <w:sz w:val="16"/>
                <w:szCs w:val="16"/>
              </w:rPr>
            </w:pPr>
            <w:r w:rsidRPr="00EF6679">
              <w:rPr>
                <w:rFonts w:ascii="Times New Roman" w:hAnsi="Times New Roman" w:cs="Times New Roman"/>
                <w:color w:val="000000" w:themeColor="text1"/>
                <w:sz w:val="16"/>
                <w:szCs w:val="16"/>
              </w:rPr>
              <w:t>n.d.</w:t>
            </w:r>
          </w:p>
        </w:tc>
        <w:tc>
          <w:tcPr>
            <w:tcW w:w="366" w:type="dxa"/>
            <w:noWrap/>
            <w:vAlign w:val="center"/>
            <w:hideMark/>
          </w:tcPr>
          <w:p w14:paraId="2EC4E9CF" w14:textId="77777777" w:rsidR="00BB138C" w:rsidRPr="00EF6679" w:rsidRDefault="00BB138C" w:rsidP="00820288">
            <w:pPr>
              <w:spacing w:line="240" w:lineRule="auto"/>
              <w:rPr>
                <w:rFonts w:ascii="Times New Roman" w:hAnsi="Times New Roman" w:cs="Times New Roman"/>
                <w:color w:val="000000" w:themeColor="text1"/>
                <w:sz w:val="16"/>
                <w:szCs w:val="16"/>
                <w:vertAlign w:val="superscript"/>
              </w:rPr>
            </w:pPr>
            <w:r w:rsidRPr="00EF6679">
              <w:rPr>
                <w:rFonts w:ascii="Times New Roman" w:hAnsi="Times New Roman" w:cs="Times New Roman"/>
                <w:color w:val="000000" w:themeColor="text1"/>
                <w:sz w:val="16"/>
                <w:szCs w:val="16"/>
                <w:vertAlign w:val="superscript"/>
              </w:rPr>
              <w:t>a</w:t>
            </w:r>
          </w:p>
        </w:tc>
        <w:tc>
          <w:tcPr>
            <w:tcW w:w="712" w:type="dxa"/>
            <w:noWrap/>
            <w:vAlign w:val="bottom"/>
            <w:hideMark/>
          </w:tcPr>
          <w:p w14:paraId="534A8683" w14:textId="77777777" w:rsidR="00BB138C" w:rsidRPr="00EF6679" w:rsidRDefault="00BB138C" w:rsidP="00820288">
            <w:pPr>
              <w:spacing w:line="240" w:lineRule="auto"/>
              <w:jc w:val="right"/>
              <w:rPr>
                <w:rFonts w:ascii="Times New Roman" w:hAnsi="Times New Roman" w:cs="Times New Roman"/>
                <w:color w:val="000000" w:themeColor="text1"/>
                <w:sz w:val="16"/>
                <w:szCs w:val="16"/>
              </w:rPr>
            </w:pPr>
            <w:r w:rsidRPr="00EF6679">
              <w:rPr>
                <w:rFonts w:ascii="Times New Roman" w:hAnsi="Times New Roman" w:cs="Times New Roman"/>
                <w:color w:val="000000" w:themeColor="text1"/>
                <w:sz w:val="16"/>
                <w:szCs w:val="16"/>
              </w:rPr>
              <w:t>n.d.</w:t>
            </w:r>
          </w:p>
        </w:tc>
        <w:tc>
          <w:tcPr>
            <w:tcW w:w="478" w:type="dxa"/>
            <w:noWrap/>
            <w:vAlign w:val="center"/>
            <w:hideMark/>
          </w:tcPr>
          <w:p w14:paraId="6D172109" w14:textId="77777777" w:rsidR="00BB138C" w:rsidRPr="00EF6679" w:rsidRDefault="00BB138C" w:rsidP="00820288">
            <w:pPr>
              <w:spacing w:line="240" w:lineRule="auto"/>
              <w:rPr>
                <w:rFonts w:ascii="Times New Roman" w:hAnsi="Times New Roman" w:cs="Times New Roman"/>
                <w:color w:val="000000" w:themeColor="text1"/>
                <w:sz w:val="16"/>
                <w:szCs w:val="16"/>
                <w:vertAlign w:val="superscript"/>
              </w:rPr>
            </w:pPr>
            <w:r w:rsidRPr="00EF6679">
              <w:rPr>
                <w:rFonts w:ascii="Times New Roman" w:hAnsi="Times New Roman" w:cs="Times New Roman"/>
                <w:color w:val="000000" w:themeColor="text1"/>
                <w:sz w:val="16"/>
                <w:szCs w:val="16"/>
                <w:vertAlign w:val="superscript"/>
              </w:rPr>
              <w:t>a</w:t>
            </w:r>
          </w:p>
        </w:tc>
      </w:tr>
      <w:tr w:rsidR="00BB138C" w:rsidRPr="00EF6679" w14:paraId="6FD6CDBE" w14:textId="77777777" w:rsidTr="00820288">
        <w:trPr>
          <w:trHeight w:val="144"/>
        </w:trPr>
        <w:tc>
          <w:tcPr>
            <w:tcW w:w="2880" w:type="dxa"/>
            <w:noWrap/>
            <w:vAlign w:val="bottom"/>
          </w:tcPr>
          <w:p w14:paraId="66DDF6A2" w14:textId="77777777" w:rsidR="00BB138C" w:rsidRPr="00EF6679" w:rsidRDefault="00BB138C" w:rsidP="00820288">
            <w:pPr>
              <w:spacing w:line="240" w:lineRule="auto"/>
              <w:rPr>
                <w:rFonts w:ascii="Times New Roman" w:hAnsi="Times New Roman" w:cs="Times New Roman"/>
                <w:b/>
                <w:bCs/>
                <w:color w:val="000000" w:themeColor="text1"/>
                <w:sz w:val="16"/>
                <w:szCs w:val="16"/>
              </w:rPr>
            </w:pPr>
            <w:r w:rsidRPr="00EF6679">
              <w:rPr>
                <w:rFonts w:ascii="Times New Roman" w:hAnsi="Times New Roman" w:cs="Times New Roman"/>
                <w:color w:val="000000" w:themeColor="text1"/>
                <w:sz w:val="16"/>
                <w:szCs w:val="16"/>
              </w:rPr>
              <w:t xml:space="preserve">d-Carvone                </w:t>
            </w:r>
          </w:p>
        </w:tc>
        <w:tc>
          <w:tcPr>
            <w:tcW w:w="758" w:type="dxa"/>
            <w:noWrap/>
            <w:vAlign w:val="bottom"/>
          </w:tcPr>
          <w:p w14:paraId="6C4BA3C7" w14:textId="77777777" w:rsidR="00BB138C" w:rsidRPr="00EF6679" w:rsidRDefault="00BB138C" w:rsidP="00820288">
            <w:pPr>
              <w:spacing w:line="240" w:lineRule="auto"/>
              <w:jc w:val="right"/>
              <w:rPr>
                <w:rFonts w:ascii="Times New Roman" w:hAnsi="Times New Roman" w:cs="Times New Roman"/>
                <w:color w:val="000000" w:themeColor="text1"/>
                <w:sz w:val="16"/>
                <w:szCs w:val="16"/>
              </w:rPr>
            </w:pPr>
            <w:r w:rsidRPr="00EF6679">
              <w:rPr>
                <w:rFonts w:ascii="Times New Roman" w:hAnsi="Times New Roman" w:cs="Times New Roman"/>
                <w:color w:val="000000" w:themeColor="text1"/>
                <w:sz w:val="16"/>
                <w:szCs w:val="16"/>
              </w:rPr>
              <w:t>0.074</w:t>
            </w:r>
          </w:p>
        </w:tc>
        <w:tc>
          <w:tcPr>
            <w:tcW w:w="366" w:type="dxa"/>
            <w:noWrap/>
            <w:vAlign w:val="center"/>
          </w:tcPr>
          <w:p w14:paraId="2CD6FDF5" w14:textId="77777777" w:rsidR="00BB138C" w:rsidRPr="00EF6679" w:rsidRDefault="00BB138C" w:rsidP="00820288">
            <w:pPr>
              <w:spacing w:line="240" w:lineRule="auto"/>
              <w:rPr>
                <w:rFonts w:ascii="Times New Roman" w:hAnsi="Times New Roman" w:cs="Times New Roman"/>
                <w:color w:val="000000" w:themeColor="text1"/>
                <w:sz w:val="16"/>
                <w:szCs w:val="16"/>
                <w:vertAlign w:val="superscript"/>
              </w:rPr>
            </w:pPr>
            <w:r w:rsidRPr="00EF6679">
              <w:rPr>
                <w:rFonts w:ascii="Times New Roman" w:hAnsi="Times New Roman" w:cs="Times New Roman"/>
                <w:color w:val="000000" w:themeColor="text1"/>
                <w:sz w:val="16"/>
                <w:szCs w:val="16"/>
                <w:vertAlign w:val="superscript"/>
              </w:rPr>
              <w:t>a</w:t>
            </w:r>
          </w:p>
        </w:tc>
        <w:tc>
          <w:tcPr>
            <w:tcW w:w="712" w:type="dxa"/>
            <w:noWrap/>
            <w:vAlign w:val="bottom"/>
          </w:tcPr>
          <w:p w14:paraId="4ED972CD" w14:textId="77777777" w:rsidR="00BB138C" w:rsidRPr="00EF6679" w:rsidRDefault="00BB138C" w:rsidP="00820288">
            <w:pPr>
              <w:spacing w:line="240" w:lineRule="auto"/>
              <w:jc w:val="right"/>
              <w:rPr>
                <w:rFonts w:ascii="Times New Roman" w:hAnsi="Times New Roman" w:cs="Times New Roman"/>
                <w:color w:val="000000" w:themeColor="text1"/>
                <w:sz w:val="16"/>
                <w:szCs w:val="16"/>
              </w:rPr>
            </w:pPr>
            <w:r w:rsidRPr="00EF6679">
              <w:rPr>
                <w:rFonts w:ascii="Times New Roman" w:hAnsi="Times New Roman" w:cs="Times New Roman"/>
                <w:color w:val="000000" w:themeColor="text1"/>
                <w:sz w:val="16"/>
                <w:szCs w:val="16"/>
              </w:rPr>
              <w:t>0.027</w:t>
            </w:r>
          </w:p>
        </w:tc>
        <w:tc>
          <w:tcPr>
            <w:tcW w:w="478" w:type="dxa"/>
            <w:noWrap/>
            <w:vAlign w:val="center"/>
          </w:tcPr>
          <w:p w14:paraId="0715F14D" w14:textId="77777777" w:rsidR="00BB138C" w:rsidRPr="00EF6679" w:rsidRDefault="00BB138C" w:rsidP="00820288">
            <w:pPr>
              <w:spacing w:line="240" w:lineRule="auto"/>
              <w:rPr>
                <w:rFonts w:ascii="Times New Roman" w:hAnsi="Times New Roman" w:cs="Times New Roman"/>
                <w:color w:val="000000" w:themeColor="text1"/>
                <w:sz w:val="16"/>
                <w:szCs w:val="16"/>
                <w:vertAlign w:val="superscript"/>
              </w:rPr>
            </w:pPr>
            <w:r w:rsidRPr="00EF6679">
              <w:rPr>
                <w:rFonts w:ascii="Times New Roman" w:hAnsi="Times New Roman" w:cs="Times New Roman"/>
                <w:color w:val="000000" w:themeColor="text1"/>
                <w:sz w:val="16"/>
                <w:szCs w:val="16"/>
                <w:vertAlign w:val="superscript"/>
              </w:rPr>
              <w:t>b</w:t>
            </w:r>
          </w:p>
        </w:tc>
      </w:tr>
      <w:tr w:rsidR="00BB138C" w:rsidRPr="00EF6679" w14:paraId="7F68C6CA" w14:textId="77777777" w:rsidTr="00820288">
        <w:trPr>
          <w:trHeight w:val="144"/>
        </w:trPr>
        <w:tc>
          <w:tcPr>
            <w:tcW w:w="2880" w:type="dxa"/>
            <w:noWrap/>
            <w:vAlign w:val="bottom"/>
            <w:hideMark/>
          </w:tcPr>
          <w:p w14:paraId="1E9FE9C3" w14:textId="77777777" w:rsidR="00BB138C" w:rsidRPr="00EF6679" w:rsidRDefault="00BB138C" w:rsidP="00820288">
            <w:pPr>
              <w:spacing w:line="240" w:lineRule="auto"/>
              <w:rPr>
                <w:rFonts w:ascii="Times New Roman" w:hAnsi="Times New Roman" w:cs="Times New Roman"/>
                <w:color w:val="000000" w:themeColor="text1"/>
                <w:sz w:val="16"/>
                <w:szCs w:val="16"/>
              </w:rPr>
            </w:pPr>
            <w:r w:rsidRPr="00EF6679">
              <w:rPr>
                <w:rFonts w:ascii="Times New Roman" w:hAnsi="Times New Roman" w:cs="Times New Roman"/>
                <w:color w:val="000000" w:themeColor="text1"/>
                <w:sz w:val="16"/>
                <w:szCs w:val="16"/>
              </w:rPr>
              <w:t xml:space="preserve">Indole                   </w:t>
            </w:r>
          </w:p>
        </w:tc>
        <w:tc>
          <w:tcPr>
            <w:tcW w:w="758" w:type="dxa"/>
            <w:noWrap/>
            <w:vAlign w:val="bottom"/>
            <w:hideMark/>
          </w:tcPr>
          <w:p w14:paraId="77D79B81" w14:textId="77777777" w:rsidR="00BB138C" w:rsidRPr="00EF6679" w:rsidRDefault="00BB138C" w:rsidP="00820288">
            <w:pPr>
              <w:spacing w:line="240" w:lineRule="auto"/>
              <w:jc w:val="right"/>
              <w:rPr>
                <w:rFonts w:ascii="Times New Roman" w:hAnsi="Times New Roman" w:cs="Times New Roman"/>
                <w:color w:val="000000" w:themeColor="text1"/>
                <w:sz w:val="16"/>
                <w:szCs w:val="16"/>
              </w:rPr>
            </w:pPr>
            <w:r w:rsidRPr="00EF6679">
              <w:rPr>
                <w:rFonts w:ascii="Times New Roman" w:hAnsi="Times New Roman" w:cs="Times New Roman"/>
                <w:color w:val="000000" w:themeColor="text1"/>
                <w:sz w:val="16"/>
                <w:szCs w:val="16"/>
              </w:rPr>
              <w:t>0.118</w:t>
            </w:r>
          </w:p>
        </w:tc>
        <w:tc>
          <w:tcPr>
            <w:tcW w:w="366" w:type="dxa"/>
            <w:noWrap/>
            <w:vAlign w:val="bottom"/>
            <w:hideMark/>
          </w:tcPr>
          <w:p w14:paraId="25759083" w14:textId="77777777" w:rsidR="00BB138C" w:rsidRPr="00EF6679" w:rsidRDefault="00BB138C" w:rsidP="00820288">
            <w:pPr>
              <w:spacing w:line="240" w:lineRule="auto"/>
              <w:rPr>
                <w:rFonts w:ascii="Times New Roman" w:hAnsi="Times New Roman" w:cs="Times New Roman"/>
                <w:color w:val="000000" w:themeColor="text1"/>
                <w:sz w:val="16"/>
                <w:szCs w:val="16"/>
                <w:vertAlign w:val="superscript"/>
              </w:rPr>
            </w:pPr>
            <w:r w:rsidRPr="00EF6679">
              <w:rPr>
                <w:rFonts w:ascii="Times New Roman" w:hAnsi="Times New Roman" w:cs="Times New Roman"/>
                <w:color w:val="000000" w:themeColor="text1"/>
                <w:sz w:val="16"/>
                <w:szCs w:val="16"/>
                <w:vertAlign w:val="superscript"/>
              </w:rPr>
              <w:t xml:space="preserve">a </w:t>
            </w:r>
          </w:p>
        </w:tc>
        <w:tc>
          <w:tcPr>
            <w:tcW w:w="712" w:type="dxa"/>
            <w:noWrap/>
            <w:vAlign w:val="bottom"/>
            <w:hideMark/>
          </w:tcPr>
          <w:p w14:paraId="2A35B3C1" w14:textId="77777777" w:rsidR="00BB138C" w:rsidRPr="00EF6679" w:rsidRDefault="00BB138C" w:rsidP="00820288">
            <w:pPr>
              <w:spacing w:line="240" w:lineRule="auto"/>
              <w:jc w:val="right"/>
              <w:rPr>
                <w:rFonts w:ascii="Times New Roman" w:hAnsi="Times New Roman" w:cs="Times New Roman"/>
                <w:color w:val="000000" w:themeColor="text1"/>
                <w:sz w:val="16"/>
                <w:szCs w:val="16"/>
              </w:rPr>
            </w:pPr>
            <w:r w:rsidRPr="00EF6679">
              <w:rPr>
                <w:rFonts w:ascii="Times New Roman" w:hAnsi="Times New Roman" w:cs="Times New Roman"/>
                <w:color w:val="000000" w:themeColor="text1"/>
                <w:sz w:val="16"/>
                <w:szCs w:val="16"/>
              </w:rPr>
              <w:t>0.040</w:t>
            </w:r>
          </w:p>
        </w:tc>
        <w:tc>
          <w:tcPr>
            <w:tcW w:w="478" w:type="dxa"/>
            <w:noWrap/>
            <w:vAlign w:val="center"/>
            <w:hideMark/>
          </w:tcPr>
          <w:p w14:paraId="693DB57F" w14:textId="77777777" w:rsidR="00BB138C" w:rsidRPr="00EF6679" w:rsidRDefault="00BB138C" w:rsidP="00820288">
            <w:pPr>
              <w:spacing w:line="240" w:lineRule="auto"/>
              <w:rPr>
                <w:rFonts w:ascii="Times New Roman" w:hAnsi="Times New Roman" w:cs="Times New Roman"/>
                <w:color w:val="000000" w:themeColor="text1"/>
                <w:sz w:val="16"/>
                <w:szCs w:val="16"/>
                <w:vertAlign w:val="superscript"/>
              </w:rPr>
            </w:pPr>
            <w:r w:rsidRPr="00EF6679">
              <w:rPr>
                <w:rFonts w:ascii="Times New Roman" w:hAnsi="Times New Roman" w:cs="Times New Roman"/>
                <w:color w:val="000000" w:themeColor="text1"/>
                <w:sz w:val="16"/>
                <w:szCs w:val="16"/>
                <w:vertAlign w:val="superscript"/>
              </w:rPr>
              <w:t xml:space="preserve">b </w:t>
            </w:r>
          </w:p>
        </w:tc>
      </w:tr>
      <w:tr w:rsidR="00BB138C" w:rsidRPr="00EF6679" w14:paraId="5B1AF90E" w14:textId="77777777" w:rsidTr="00820288">
        <w:trPr>
          <w:trHeight w:val="144"/>
        </w:trPr>
        <w:tc>
          <w:tcPr>
            <w:tcW w:w="2880" w:type="dxa"/>
            <w:noWrap/>
            <w:vAlign w:val="bottom"/>
          </w:tcPr>
          <w:p w14:paraId="719F24AC" w14:textId="77777777" w:rsidR="00BB138C" w:rsidRPr="00EF6679" w:rsidRDefault="00BB138C" w:rsidP="00820288">
            <w:pPr>
              <w:spacing w:line="240" w:lineRule="auto"/>
              <w:rPr>
                <w:rFonts w:ascii="Times New Roman" w:hAnsi="Times New Roman" w:cs="Times New Roman"/>
                <w:b/>
                <w:bCs/>
                <w:color w:val="000000" w:themeColor="text1"/>
                <w:sz w:val="16"/>
                <w:szCs w:val="16"/>
              </w:rPr>
            </w:pPr>
            <w:r w:rsidRPr="00EF6679">
              <w:rPr>
                <w:rFonts w:ascii="Times New Roman" w:hAnsi="Times New Roman" w:cs="Times New Roman"/>
                <w:color w:val="000000" w:themeColor="text1"/>
                <w:sz w:val="16"/>
                <w:szCs w:val="16"/>
              </w:rPr>
              <w:t xml:space="preserve">1-Octene                 </w:t>
            </w:r>
          </w:p>
        </w:tc>
        <w:tc>
          <w:tcPr>
            <w:tcW w:w="758" w:type="dxa"/>
            <w:noWrap/>
            <w:vAlign w:val="bottom"/>
          </w:tcPr>
          <w:p w14:paraId="014ECCE7" w14:textId="77777777" w:rsidR="00BB138C" w:rsidRPr="00EF6679" w:rsidRDefault="00BB138C" w:rsidP="00820288">
            <w:pPr>
              <w:spacing w:line="240" w:lineRule="auto"/>
              <w:jc w:val="right"/>
              <w:rPr>
                <w:rFonts w:ascii="Times New Roman" w:hAnsi="Times New Roman" w:cs="Times New Roman"/>
                <w:color w:val="000000" w:themeColor="text1"/>
                <w:sz w:val="16"/>
                <w:szCs w:val="16"/>
              </w:rPr>
            </w:pPr>
            <w:r w:rsidRPr="00EF6679">
              <w:rPr>
                <w:rFonts w:ascii="Times New Roman" w:hAnsi="Times New Roman" w:cs="Times New Roman"/>
                <w:color w:val="000000" w:themeColor="text1"/>
                <w:sz w:val="16"/>
                <w:szCs w:val="16"/>
              </w:rPr>
              <w:t>n.d.</w:t>
            </w:r>
          </w:p>
        </w:tc>
        <w:tc>
          <w:tcPr>
            <w:tcW w:w="366" w:type="dxa"/>
            <w:noWrap/>
            <w:vAlign w:val="bottom"/>
          </w:tcPr>
          <w:p w14:paraId="47177B7B" w14:textId="77777777" w:rsidR="00BB138C" w:rsidRPr="00EF6679" w:rsidRDefault="00BB138C" w:rsidP="00820288">
            <w:pPr>
              <w:spacing w:line="240" w:lineRule="auto"/>
              <w:rPr>
                <w:rFonts w:ascii="Times New Roman" w:hAnsi="Times New Roman" w:cs="Times New Roman"/>
                <w:color w:val="000000" w:themeColor="text1"/>
                <w:sz w:val="16"/>
                <w:szCs w:val="16"/>
                <w:vertAlign w:val="superscript"/>
              </w:rPr>
            </w:pPr>
            <w:r w:rsidRPr="00EF6679">
              <w:rPr>
                <w:rFonts w:ascii="Times New Roman" w:hAnsi="Times New Roman" w:cs="Times New Roman"/>
                <w:color w:val="000000" w:themeColor="text1"/>
                <w:sz w:val="16"/>
                <w:szCs w:val="16"/>
                <w:vertAlign w:val="superscript"/>
              </w:rPr>
              <w:t xml:space="preserve">a </w:t>
            </w:r>
          </w:p>
        </w:tc>
        <w:tc>
          <w:tcPr>
            <w:tcW w:w="712" w:type="dxa"/>
            <w:noWrap/>
            <w:vAlign w:val="bottom"/>
          </w:tcPr>
          <w:p w14:paraId="6AE8F50D" w14:textId="77777777" w:rsidR="00BB138C" w:rsidRPr="00EF6679" w:rsidRDefault="00BB138C" w:rsidP="00820288">
            <w:pPr>
              <w:spacing w:line="240" w:lineRule="auto"/>
              <w:jc w:val="right"/>
              <w:rPr>
                <w:rFonts w:ascii="Times New Roman" w:hAnsi="Times New Roman" w:cs="Times New Roman"/>
                <w:color w:val="000000" w:themeColor="text1"/>
                <w:sz w:val="16"/>
                <w:szCs w:val="16"/>
              </w:rPr>
            </w:pPr>
            <w:r w:rsidRPr="00EF6679">
              <w:rPr>
                <w:rFonts w:ascii="Times New Roman" w:hAnsi="Times New Roman" w:cs="Times New Roman"/>
                <w:color w:val="000000" w:themeColor="text1"/>
                <w:sz w:val="16"/>
                <w:szCs w:val="16"/>
              </w:rPr>
              <w:t>n.d.</w:t>
            </w:r>
          </w:p>
        </w:tc>
        <w:tc>
          <w:tcPr>
            <w:tcW w:w="478" w:type="dxa"/>
            <w:noWrap/>
            <w:vAlign w:val="center"/>
          </w:tcPr>
          <w:p w14:paraId="060DD116" w14:textId="77777777" w:rsidR="00BB138C" w:rsidRPr="00EF6679" w:rsidRDefault="00BB138C" w:rsidP="00820288">
            <w:pPr>
              <w:spacing w:line="240" w:lineRule="auto"/>
              <w:rPr>
                <w:rFonts w:ascii="Times New Roman" w:hAnsi="Times New Roman" w:cs="Times New Roman"/>
                <w:color w:val="000000" w:themeColor="text1"/>
                <w:sz w:val="16"/>
                <w:szCs w:val="16"/>
                <w:vertAlign w:val="superscript"/>
              </w:rPr>
            </w:pPr>
            <w:r w:rsidRPr="00EF6679">
              <w:rPr>
                <w:rFonts w:ascii="Times New Roman" w:hAnsi="Times New Roman" w:cs="Times New Roman"/>
                <w:color w:val="000000" w:themeColor="text1"/>
                <w:sz w:val="16"/>
                <w:szCs w:val="16"/>
                <w:vertAlign w:val="superscript"/>
              </w:rPr>
              <w:t xml:space="preserve">a </w:t>
            </w:r>
          </w:p>
        </w:tc>
      </w:tr>
      <w:tr w:rsidR="00BB138C" w:rsidRPr="00EF6679" w14:paraId="318BB9EA" w14:textId="77777777" w:rsidTr="00820288">
        <w:trPr>
          <w:trHeight w:val="144"/>
        </w:trPr>
        <w:tc>
          <w:tcPr>
            <w:tcW w:w="2880" w:type="dxa"/>
            <w:noWrap/>
            <w:vAlign w:val="bottom"/>
            <w:hideMark/>
          </w:tcPr>
          <w:p w14:paraId="34D1738A" w14:textId="77777777" w:rsidR="00BB138C" w:rsidRPr="00EF6679" w:rsidRDefault="00BB138C" w:rsidP="00820288">
            <w:pPr>
              <w:spacing w:line="240" w:lineRule="auto"/>
              <w:rPr>
                <w:rFonts w:ascii="Times New Roman" w:hAnsi="Times New Roman" w:cs="Times New Roman"/>
                <w:color w:val="000000" w:themeColor="text1"/>
                <w:sz w:val="16"/>
                <w:szCs w:val="16"/>
              </w:rPr>
            </w:pPr>
            <w:r w:rsidRPr="00EF6679">
              <w:rPr>
                <w:rFonts w:ascii="Times New Roman" w:hAnsi="Times New Roman" w:cs="Times New Roman"/>
                <w:color w:val="000000" w:themeColor="text1"/>
                <w:sz w:val="16"/>
                <w:szCs w:val="16"/>
              </w:rPr>
              <w:t xml:space="preserve">Eugenol                  </w:t>
            </w:r>
          </w:p>
        </w:tc>
        <w:tc>
          <w:tcPr>
            <w:tcW w:w="758" w:type="dxa"/>
            <w:noWrap/>
            <w:vAlign w:val="bottom"/>
            <w:hideMark/>
          </w:tcPr>
          <w:p w14:paraId="624A4CB9" w14:textId="77777777" w:rsidR="00BB138C" w:rsidRPr="00EF6679" w:rsidRDefault="00BB138C" w:rsidP="00820288">
            <w:pPr>
              <w:spacing w:line="240" w:lineRule="auto"/>
              <w:jc w:val="right"/>
              <w:rPr>
                <w:rFonts w:ascii="Times New Roman" w:hAnsi="Times New Roman" w:cs="Times New Roman"/>
                <w:color w:val="000000" w:themeColor="text1"/>
                <w:sz w:val="16"/>
                <w:szCs w:val="16"/>
              </w:rPr>
            </w:pPr>
            <w:r w:rsidRPr="00EF6679">
              <w:rPr>
                <w:rFonts w:ascii="Times New Roman" w:hAnsi="Times New Roman" w:cs="Times New Roman"/>
                <w:color w:val="000000" w:themeColor="text1"/>
                <w:sz w:val="16"/>
                <w:szCs w:val="16"/>
              </w:rPr>
              <w:t>0.028</w:t>
            </w:r>
          </w:p>
        </w:tc>
        <w:tc>
          <w:tcPr>
            <w:tcW w:w="366" w:type="dxa"/>
            <w:noWrap/>
            <w:vAlign w:val="center"/>
            <w:hideMark/>
          </w:tcPr>
          <w:p w14:paraId="576E3C02" w14:textId="77777777" w:rsidR="00BB138C" w:rsidRPr="00EF6679" w:rsidRDefault="00BB138C" w:rsidP="00820288">
            <w:pPr>
              <w:spacing w:line="240" w:lineRule="auto"/>
              <w:rPr>
                <w:rFonts w:ascii="Times New Roman" w:hAnsi="Times New Roman" w:cs="Times New Roman"/>
                <w:color w:val="000000" w:themeColor="text1"/>
                <w:sz w:val="16"/>
                <w:szCs w:val="16"/>
                <w:vertAlign w:val="superscript"/>
              </w:rPr>
            </w:pPr>
            <w:r w:rsidRPr="00EF6679">
              <w:rPr>
                <w:rFonts w:ascii="Times New Roman" w:hAnsi="Times New Roman" w:cs="Times New Roman"/>
                <w:color w:val="000000" w:themeColor="text1"/>
                <w:sz w:val="16"/>
                <w:szCs w:val="16"/>
                <w:vertAlign w:val="superscript"/>
              </w:rPr>
              <w:t>a</w:t>
            </w:r>
          </w:p>
        </w:tc>
        <w:tc>
          <w:tcPr>
            <w:tcW w:w="712" w:type="dxa"/>
            <w:noWrap/>
            <w:vAlign w:val="bottom"/>
            <w:hideMark/>
          </w:tcPr>
          <w:p w14:paraId="3B00FAA9" w14:textId="77777777" w:rsidR="00BB138C" w:rsidRPr="00EF6679" w:rsidRDefault="00BB138C" w:rsidP="00820288">
            <w:pPr>
              <w:spacing w:line="240" w:lineRule="auto"/>
              <w:jc w:val="right"/>
              <w:rPr>
                <w:rFonts w:ascii="Times New Roman" w:hAnsi="Times New Roman" w:cs="Times New Roman"/>
                <w:color w:val="000000" w:themeColor="text1"/>
                <w:sz w:val="16"/>
                <w:szCs w:val="16"/>
              </w:rPr>
            </w:pPr>
            <w:r w:rsidRPr="00EF6679">
              <w:rPr>
                <w:rFonts w:ascii="Times New Roman" w:hAnsi="Times New Roman" w:cs="Times New Roman"/>
                <w:color w:val="000000" w:themeColor="text1"/>
                <w:sz w:val="16"/>
                <w:szCs w:val="16"/>
              </w:rPr>
              <w:t>n.d.</w:t>
            </w:r>
          </w:p>
        </w:tc>
        <w:tc>
          <w:tcPr>
            <w:tcW w:w="478" w:type="dxa"/>
            <w:noWrap/>
            <w:vAlign w:val="center"/>
            <w:hideMark/>
          </w:tcPr>
          <w:p w14:paraId="2F9CE862" w14:textId="77777777" w:rsidR="00BB138C" w:rsidRPr="00EF6679" w:rsidRDefault="00BB138C" w:rsidP="00820288">
            <w:pPr>
              <w:spacing w:line="240" w:lineRule="auto"/>
              <w:rPr>
                <w:rFonts w:ascii="Times New Roman" w:hAnsi="Times New Roman" w:cs="Times New Roman"/>
                <w:color w:val="000000" w:themeColor="text1"/>
                <w:sz w:val="16"/>
                <w:szCs w:val="16"/>
                <w:vertAlign w:val="superscript"/>
              </w:rPr>
            </w:pPr>
            <w:r w:rsidRPr="00EF6679">
              <w:rPr>
                <w:rFonts w:ascii="Times New Roman" w:hAnsi="Times New Roman" w:cs="Times New Roman"/>
                <w:color w:val="000000" w:themeColor="text1"/>
                <w:sz w:val="16"/>
                <w:szCs w:val="16"/>
                <w:vertAlign w:val="superscript"/>
              </w:rPr>
              <w:t>b</w:t>
            </w:r>
          </w:p>
        </w:tc>
      </w:tr>
      <w:tr w:rsidR="00BB138C" w:rsidRPr="00EF6679" w14:paraId="00E79BC9" w14:textId="77777777" w:rsidTr="00820288">
        <w:trPr>
          <w:trHeight w:val="144"/>
        </w:trPr>
        <w:tc>
          <w:tcPr>
            <w:tcW w:w="2880" w:type="dxa"/>
            <w:noWrap/>
            <w:vAlign w:val="bottom"/>
            <w:hideMark/>
          </w:tcPr>
          <w:p w14:paraId="58681654" w14:textId="77777777" w:rsidR="00BB138C" w:rsidRPr="00EF6679" w:rsidRDefault="00BB138C" w:rsidP="00820288">
            <w:pPr>
              <w:spacing w:line="240" w:lineRule="auto"/>
              <w:rPr>
                <w:rFonts w:ascii="Times New Roman" w:hAnsi="Times New Roman" w:cs="Times New Roman"/>
                <w:color w:val="000000" w:themeColor="text1"/>
                <w:sz w:val="16"/>
                <w:szCs w:val="16"/>
              </w:rPr>
            </w:pPr>
            <w:r w:rsidRPr="00EF6679">
              <w:rPr>
                <w:rFonts w:ascii="Times New Roman" w:hAnsi="Times New Roman" w:cs="Times New Roman"/>
                <w:color w:val="000000" w:themeColor="text1"/>
                <w:sz w:val="16"/>
                <w:szCs w:val="16"/>
              </w:rPr>
              <w:t xml:space="preserve">Citronellyl acetate      </w:t>
            </w:r>
          </w:p>
        </w:tc>
        <w:tc>
          <w:tcPr>
            <w:tcW w:w="758" w:type="dxa"/>
            <w:noWrap/>
            <w:vAlign w:val="bottom"/>
            <w:hideMark/>
          </w:tcPr>
          <w:p w14:paraId="2C2D89EE" w14:textId="77777777" w:rsidR="00BB138C" w:rsidRPr="00EF6679" w:rsidRDefault="00BB138C" w:rsidP="00820288">
            <w:pPr>
              <w:spacing w:line="240" w:lineRule="auto"/>
              <w:jc w:val="right"/>
              <w:rPr>
                <w:rFonts w:ascii="Times New Roman" w:hAnsi="Times New Roman" w:cs="Times New Roman"/>
                <w:color w:val="000000" w:themeColor="text1"/>
                <w:sz w:val="16"/>
                <w:szCs w:val="16"/>
              </w:rPr>
            </w:pPr>
            <w:r w:rsidRPr="00EF6679">
              <w:rPr>
                <w:rFonts w:ascii="Times New Roman" w:hAnsi="Times New Roman" w:cs="Times New Roman"/>
                <w:color w:val="000000" w:themeColor="text1"/>
                <w:sz w:val="16"/>
                <w:szCs w:val="16"/>
              </w:rPr>
              <w:t>31.728</w:t>
            </w:r>
          </w:p>
        </w:tc>
        <w:tc>
          <w:tcPr>
            <w:tcW w:w="366" w:type="dxa"/>
            <w:noWrap/>
            <w:vAlign w:val="center"/>
            <w:hideMark/>
          </w:tcPr>
          <w:p w14:paraId="6A113B23" w14:textId="77777777" w:rsidR="00BB138C" w:rsidRPr="00EF6679" w:rsidRDefault="00BB138C" w:rsidP="00820288">
            <w:pPr>
              <w:spacing w:line="240" w:lineRule="auto"/>
              <w:rPr>
                <w:rFonts w:ascii="Times New Roman" w:hAnsi="Times New Roman" w:cs="Times New Roman"/>
                <w:color w:val="000000" w:themeColor="text1"/>
                <w:sz w:val="16"/>
                <w:szCs w:val="16"/>
                <w:vertAlign w:val="superscript"/>
              </w:rPr>
            </w:pPr>
            <w:r w:rsidRPr="00EF6679">
              <w:rPr>
                <w:rFonts w:ascii="Times New Roman" w:hAnsi="Times New Roman" w:cs="Times New Roman"/>
                <w:color w:val="000000" w:themeColor="text1"/>
                <w:sz w:val="16"/>
                <w:szCs w:val="16"/>
                <w:vertAlign w:val="superscript"/>
              </w:rPr>
              <w:t>a</w:t>
            </w:r>
          </w:p>
        </w:tc>
        <w:tc>
          <w:tcPr>
            <w:tcW w:w="712" w:type="dxa"/>
            <w:noWrap/>
            <w:vAlign w:val="bottom"/>
            <w:hideMark/>
          </w:tcPr>
          <w:p w14:paraId="32169917" w14:textId="77777777" w:rsidR="00BB138C" w:rsidRPr="00EF6679" w:rsidRDefault="00BB138C" w:rsidP="00820288">
            <w:pPr>
              <w:spacing w:line="240" w:lineRule="auto"/>
              <w:jc w:val="right"/>
              <w:rPr>
                <w:rFonts w:ascii="Times New Roman" w:hAnsi="Times New Roman" w:cs="Times New Roman"/>
                <w:color w:val="000000" w:themeColor="text1"/>
                <w:sz w:val="16"/>
                <w:szCs w:val="16"/>
              </w:rPr>
            </w:pPr>
            <w:r w:rsidRPr="00EF6679">
              <w:rPr>
                <w:rFonts w:ascii="Times New Roman" w:hAnsi="Times New Roman" w:cs="Times New Roman"/>
                <w:color w:val="000000" w:themeColor="text1"/>
                <w:sz w:val="16"/>
                <w:szCs w:val="16"/>
              </w:rPr>
              <w:t>n.d.</w:t>
            </w:r>
          </w:p>
        </w:tc>
        <w:tc>
          <w:tcPr>
            <w:tcW w:w="478" w:type="dxa"/>
            <w:noWrap/>
            <w:vAlign w:val="center"/>
            <w:hideMark/>
          </w:tcPr>
          <w:p w14:paraId="27FBC5FF" w14:textId="77777777" w:rsidR="00BB138C" w:rsidRPr="00EF6679" w:rsidRDefault="00BB138C" w:rsidP="00820288">
            <w:pPr>
              <w:spacing w:line="240" w:lineRule="auto"/>
              <w:rPr>
                <w:rFonts w:ascii="Times New Roman" w:hAnsi="Times New Roman" w:cs="Times New Roman"/>
                <w:color w:val="000000" w:themeColor="text1"/>
                <w:sz w:val="16"/>
                <w:szCs w:val="16"/>
                <w:vertAlign w:val="superscript"/>
              </w:rPr>
            </w:pPr>
            <w:r w:rsidRPr="00EF6679">
              <w:rPr>
                <w:rFonts w:ascii="Times New Roman" w:hAnsi="Times New Roman" w:cs="Times New Roman"/>
                <w:color w:val="000000" w:themeColor="text1"/>
                <w:sz w:val="16"/>
                <w:szCs w:val="16"/>
                <w:vertAlign w:val="superscript"/>
              </w:rPr>
              <w:t>b</w:t>
            </w:r>
          </w:p>
        </w:tc>
      </w:tr>
      <w:tr w:rsidR="00BB138C" w:rsidRPr="00EF6679" w14:paraId="0079D086" w14:textId="77777777" w:rsidTr="00820288">
        <w:trPr>
          <w:trHeight w:val="144"/>
        </w:trPr>
        <w:tc>
          <w:tcPr>
            <w:tcW w:w="2880" w:type="dxa"/>
            <w:noWrap/>
            <w:vAlign w:val="bottom"/>
            <w:hideMark/>
          </w:tcPr>
          <w:p w14:paraId="505020D2" w14:textId="77777777" w:rsidR="00BB138C" w:rsidRPr="00EF6679" w:rsidRDefault="00BB138C" w:rsidP="00820288">
            <w:pPr>
              <w:spacing w:line="240" w:lineRule="auto"/>
              <w:rPr>
                <w:rFonts w:ascii="Times New Roman" w:hAnsi="Times New Roman" w:cs="Times New Roman"/>
                <w:color w:val="000000" w:themeColor="text1"/>
                <w:sz w:val="16"/>
                <w:szCs w:val="16"/>
              </w:rPr>
            </w:pPr>
            <w:r w:rsidRPr="00EF6679">
              <w:rPr>
                <w:rFonts w:ascii="Times New Roman" w:hAnsi="Times New Roman" w:cs="Times New Roman"/>
                <w:color w:val="000000" w:themeColor="text1"/>
                <w:sz w:val="16"/>
                <w:szCs w:val="16"/>
              </w:rPr>
              <w:t xml:space="preserve">Methyl Eugenol           </w:t>
            </w:r>
          </w:p>
        </w:tc>
        <w:tc>
          <w:tcPr>
            <w:tcW w:w="758" w:type="dxa"/>
            <w:noWrap/>
            <w:vAlign w:val="bottom"/>
            <w:hideMark/>
          </w:tcPr>
          <w:p w14:paraId="2D07F7FA" w14:textId="77777777" w:rsidR="00BB138C" w:rsidRPr="00EF6679" w:rsidRDefault="00BB138C" w:rsidP="00820288">
            <w:pPr>
              <w:spacing w:line="240" w:lineRule="auto"/>
              <w:jc w:val="right"/>
              <w:rPr>
                <w:rFonts w:ascii="Times New Roman" w:hAnsi="Times New Roman" w:cs="Times New Roman"/>
                <w:color w:val="000000" w:themeColor="text1"/>
                <w:sz w:val="16"/>
                <w:szCs w:val="16"/>
              </w:rPr>
            </w:pPr>
            <w:r w:rsidRPr="00EF6679">
              <w:rPr>
                <w:rFonts w:ascii="Times New Roman" w:hAnsi="Times New Roman" w:cs="Times New Roman"/>
                <w:color w:val="000000" w:themeColor="text1"/>
                <w:sz w:val="16"/>
                <w:szCs w:val="16"/>
              </w:rPr>
              <w:t>0.311</w:t>
            </w:r>
          </w:p>
        </w:tc>
        <w:tc>
          <w:tcPr>
            <w:tcW w:w="366" w:type="dxa"/>
            <w:noWrap/>
            <w:vAlign w:val="center"/>
            <w:hideMark/>
          </w:tcPr>
          <w:p w14:paraId="25C0EF0A" w14:textId="77777777" w:rsidR="00BB138C" w:rsidRPr="00EF6679" w:rsidRDefault="00BB138C" w:rsidP="00820288">
            <w:pPr>
              <w:spacing w:line="240" w:lineRule="auto"/>
              <w:rPr>
                <w:rFonts w:ascii="Times New Roman" w:hAnsi="Times New Roman" w:cs="Times New Roman"/>
                <w:color w:val="000000" w:themeColor="text1"/>
                <w:sz w:val="16"/>
                <w:szCs w:val="16"/>
                <w:vertAlign w:val="superscript"/>
              </w:rPr>
            </w:pPr>
            <w:r w:rsidRPr="00EF6679">
              <w:rPr>
                <w:rFonts w:ascii="Times New Roman" w:hAnsi="Times New Roman" w:cs="Times New Roman"/>
                <w:color w:val="000000" w:themeColor="text1"/>
                <w:sz w:val="16"/>
                <w:szCs w:val="16"/>
                <w:vertAlign w:val="superscript"/>
              </w:rPr>
              <w:t>a</w:t>
            </w:r>
          </w:p>
        </w:tc>
        <w:tc>
          <w:tcPr>
            <w:tcW w:w="712" w:type="dxa"/>
            <w:noWrap/>
            <w:vAlign w:val="bottom"/>
            <w:hideMark/>
          </w:tcPr>
          <w:p w14:paraId="759F1577" w14:textId="77777777" w:rsidR="00BB138C" w:rsidRPr="00EF6679" w:rsidRDefault="00BB138C" w:rsidP="00820288">
            <w:pPr>
              <w:spacing w:line="240" w:lineRule="auto"/>
              <w:jc w:val="right"/>
              <w:rPr>
                <w:rFonts w:ascii="Times New Roman" w:hAnsi="Times New Roman" w:cs="Times New Roman"/>
                <w:color w:val="000000" w:themeColor="text1"/>
                <w:sz w:val="16"/>
                <w:szCs w:val="16"/>
              </w:rPr>
            </w:pPr>
            <w:r w:rsidRPr="00EF6679">
              <w:rPr>
                <w:rFonts w:ascii="Times New Roman" w:hAnsi="Times New Roman" w:cs="Times New Roman"/>
                <w:color w:val="000000" w:themeColor="text1"/>
                <w:sz w:val="16"/>
                <w:szCs w:val="16"/>
              </w:rPr>
              <w:t>0.028</w:t>
            </w:r>
          </w:p>
        </w:tc>
        <w:tc>
          <w:tcPr>
            <w:tcW w:w="478" w:type="dxa"/>
            <w:noWrap/>
            <w:vAlign w:val="center"/>
            <w:hideMark/>
          </w:tcPr>
          <w:p w14:paraId="73077754" w14:textId="77777777" w:rsidR="00BB138C" w:rsidRPr="00EF6679" w:rsidRDefault="00BB138C" w:rsidP="00820288">
            <w:pPr>
              <w:spacing w:line="240" w:lineRule="auto"/>
              <w:rPr>
                <w:rFonts w:ascii="Times New Roman" w:hAnsi="Times New Roman" w:cs="Times New Roman"/>
                <w:color w:val="000000" w:themeColor="text1"/>
                <w:sz w:val="16"/>
                <w:szCs w:val="16"/>
                <w:vertAlign w:val="superscript"/>
              </w:rPr>
            </w:pPr>
            <w:r w:rsidRPr="00EF6679">
              <w:rPr>
                <w:rFonts w:ascii="Times New Roman" w:hAnsi="Times New Roman" w:cs="Times New Roman"/>
                <w:color w:val="000000" w:themeColor="text1"/>
                <w:sz w:val="16"/>
                <w:szCs w:val="16"/>
                <w:vertAlign w:val="superscript"/>
              </w:rPr>
              <w:t>b</w:t>
            </w:r>
          </w:p>
        </w:tc>
      </w:tr>
      <w:tr w:rsidR="00BB138C" w:rsidRPr="00EF6679" w14:paraId="566C32AC" w14:textId="77777777" w:rsidTr="00820288">
        <w:trPr>
          <w:trHeight w:val="144"/>
        </w:trPr>
        <w:tc>
          <w:tcPr>
            <w:tcW w:w="2880" w:type="dxa"/>
            <w:noWrap/>
            <w:vAlign w:val="bottom"/>
            <w:hideMark/>
          </w:tcPr>
          <w:p w14:paraId="5C4153A9" w14:textId="77777777" w:rsidR="00BB138C" w:rsidRPr="00EF6679" w:rsidRDefault="00BB138C" w:rsidP="00820288">
            <w:pPr>
              <w:spacing w:line="240" w:lineRule="auto"/>
              <w:rPr>
                <w:rFonts w:ascii="Times New Roman" w:hAnsi="Times New Roman" w:cs="Times New Roman"/>
                <w:color w:val="000000" w:themeColor="text1"/>
                <w:sz w:val="16"/>
                <w:szCs w:val="16"/>
              </w:rPr>
            </w:pPr>
            <w:r w:rsidRPr="00EF6679">
              <w:rPr>
                <w:rFonts w:ascii="Times New Roman" w:hAnsi="Times New Roman" w:cs="Times New Roman"/>
                <w:color w:val="000000" w:themeColor="text1"/>
                <w:sz w:val="16"/>
                <w:szCs w:val="16"/>
              </w:rPr>
              <w:t xml:space="preserve">Humulene               </w:t>
            </w:r>
          </w:p>
        </w:tc>
        <w:tc>
          <w:tcPr>
            <w:tcW w:w="758" w:type="dxa"/>
            <w:noWrap/>
            <w:vAlign w:val="bottom"/>
            <w:hideMark/>
          </w:tcPr>
          <w:p w14:paraId="51334FF7" w14:textId="77777777" w:rsidR="00BB138C" w:rsidRPr="00EF6679" w:rsidRDefault="00BB138C" w:rsidP="00820288">
            <w:pPr>
              <w:spacing w:line="240" w:lineRule="auto"/>
              <w:jc w:val="right"/>
              <w:rPr>
                <w:rFonts w:ascii="Times New Roman" w:hAnsi="Times New Roman" w:cs="Times New Roman"/>
                <w:color w:val="000000" w:themeColor="text1"/>
                <w:sz w:val="16"/>
                <w:szCs w:val="16"/>
              </w:rPr>
            </w:pPr>
            <w:r w:rsidRPr="00EF6679">
              <w:rPr>
                <w:rFonts w:ascii="Times New Roman" w:hAnsi="Times New Roman" w:cs="Times New Roman"/>
                <w:color w:val="000000" w:themeColor="text1"/>
                <w:sz w:val="16"/>
                <w:szCs w:val="16"/>
              </w:rPr>
              <w:t>0.015</w:t>
            </w:r>
          </w:p>
        </w:tc>
        <w:tc>
          <w:tcPr>
            <w:tcW w:w="366" w:type="dxa"/>
            <w:noWrap/>
            <w:vAlign w:val="center"/>
            <w:hideMark/>
          </w:tcPr>
          <w:p w14:paraId="388F864E" w14:textId="77777777" w:rsidR="00BB138C" w:rsidRPr="00EF6679" w:rsidRDefault="00BB138C" w:rsidP="00820288">
            <w:pPr>
              <w:spacing w:line="240" w:lineRule="auto"/>
              <w:rPr>
                <w:rFonts w:ascii="Times New Roman" w:hAnsi="Times New Roman" w:cs="Times New Roman"/>
                <w:color w:val="000000" w:themeColor="text1"/>
                <w:sz w:val="16"/>
                <w:szCs w:val="16"/>
                <w:vertAlign w:val="superscript"/>
              </w:rPr>
            </w:pPr>
            <w:r w:rsidRPr="00EF6679">
              <w:rPr>
                <w:rFonts w:ascii="Times New Roman" w:hAnsi="Times New Roman" w:cs="Times New Roman"/>
                <w:color w:val="000000" w:themeColor="text1"/>
                <w:sz w:val="16"/>
                <w:szCs w:val="16"/>
                <w:vertAlign w:val="superscript"/>
              </w:rPr>
              <w:t>a</w:t>
            </w:r>
          </w:p>
        </w:tc>
        <w:tc>
          <w:tcPr>
            <w:tcW w:w="712" w:type="dxa"/>
            <w:noWrap/>
            <w:vAlign w:val="bottom"/>
            <w:hideMark/>
          </w:tcPr>
          <w:p w14:paraId="7520346D" w14:textId="77777777" w:rsidR="00BB138C" w:rsidRPr="00EF6679" w:rsidRDefault="00BB138C" w:rsidP="00820288">
            <w:pPr>
              <w:spacing w:line="240" w:lineRule="auto"/>
              <w:jc w:val="right"/>
              <w:rPr>
                <w:rFonts w:ascii="Times New Roman" w:hAnsi="Times New Roman" w:cs="Times New Roman"/>
                <w:color w:val="000000" w:themeColor="text1"/>
                <w:sz w:val="16"/>
                <w:szCs w:val="16"/>
              </w:rPr>
            </w:pPr>
            <w:r w:rsidRPr="00EF6679">
              <w:rPr>
                <w:rFonts w:ascii="Times New Roman" w:hAnsi="Times New Roman" w:cs="Times New Roman"/>
                <w:color w:val="000000" w:themeColor="text1"/>
                <w:sz w:val="16"/>
                <w:szCs w:val="16"/>
              </w:rPr>
              <w:t>n.d.</w:t>
            </w:r>
          </w:p>
        </w:tc>
        <w:tc>
          <w:tcPr>
            <w:tcW w:w="478" w:type="dxa"/>
            <w:noWrap/>
            <w:vAlign w:val="center"/>
            <w:hideMark/>
          </w:tcPr>
          <w:p w14:paraId="6F882E7C" w14:textId="77777777" w:rsidR="00BB138C" w:rsidRPr="00EF6679" w:rsidRDefault="00BB138C" w:rsidP="00820288">
            <w:pPr>
              <w:spacing w:line="240" w:lineRule="auto"/>
              <w:rPr>
                <w:rFonts w:ascii="Times New Roman" w:hAnsi="Times New Roman" w:cs="Times New Roman"/>
                <w:color w:val="000000" w:themeColor="text1"/>
                <w:sz w:val="16"/>
                <w:szCs w:val="16"/>
                <w:vertAlign w:val="superscript"/>
              </w:rPr>
            </w:pPr>
            <w:r w:rsidRPr="00EF6679">
              <w:rPr>
                <w:rFonts w:ascii="Times New Roman" w:hAnsi="Times New Roman" w:cs="Times New Roman"/>
                <w:color w:val="000000" w:themeColor="text1"/>
                <w:sz w:val="16"/>
                <w:szCs w:val="16"/>
                <w:vertAlign w:val="superscript"/>
              </w:rPr>
              <w:t>a</w:t>
            </w:r>
          </w:p>
        </w:tc>
      </w:tr>
      <w:tr w:rsidR="00BB138C" w:rsidRPr="00EF6679" w14:paraId="479A71BD" w14:textId="77777777" w:rsidTr="00820288">
        <w:trPr>
          <w:trHeight w:val="144"/>
        </w:trPr>
        <w:tc>
          <w:tcPr>
            <w:tcW w:w="2880" w:type="dxa"/>
            <w:tcBorders>
              <w:bottom w:val="single" w:sz="4" w:space="0" w:color="auto"/>
            </w:tcBorders>
            <w:noWrap/>
            <w:vAlign w:val="bottom"/>
          </w:tcPr>
          <w:p w14:paraId="0FE0D26B" w14:textId="77777777" w:rsidR="00BB138C" w:rsidRPr="00EF6679" w:rsidRDefault="00BB138C" w:rsidP="00820288">
            <w:pPr>
              <w:spacing w:line="240" w:lineRule="auto"/>
              <w:rPr>
                <w:rFonts w:ascii="Times New Roman" w:hAnsi="Times New Roman" w:cs="Times New Roman"/>
                <w:b/>
                <w:bCs/>
                <w:color w:val="000000" w:themeColor="text1"/>
                <w:sz w:val="16"/>
                <w:szCs w:val="16"/>
              </w:rPr>
            </w:pPr>
            <w:r w:rsidRPr="00EF6679">
              <w:rPr>
                <w:rFonts w:ascii="Times New Roman" w:hAnsi="Times New Roman" w:cs="Times New Roman"/>
                <w:color w:val="000000" w:themeColor="text1"/>
                <w:sz w:val="16"/>
                <w:szCs w:val="16"/>
              </w:rPr>
              <w:t xml:space="preserve">1,4-Heptadiene           </w:t>
            </w:r>
          </w:p>
        </w:tc>
        <w:tc>
          <w:tcPr>
            <w:tcW w:w="758" w:type="dxa"/>
            <w:tcBorders>
              <w:bottom w:val="single" w:sz="4" w:space="0" w:color="auto"/>
            </w:tcBorders>
            <w:noWrap/>
            <w:vAlign w:val="bottom"/>
          </w:tcPr>
          <w:p w14:paraId="3EF515DB" w14:textId="77777777" w:rsidR="00BB138C" w:rsidRPr="00EF6679" w:rsidRDefault="00BB138C" w:rsidP="00820288">
            <w:pPr>
              <w:spacing w:line="240" w:lineRule="auto"/>
              <w:jc w:val="right"/>
              <w:rPr>
                <w:rFonts w:ascii="Times New Roman" w:hAnsi="Times New Roman" w:cs="Times New Roman"/>
                <w:color w:val="000000" w:themeColor="text1"/>
                <w:sz w:val="16"/>
                <w:szCs w:val="16"/>
              </w:rPr>
            </w:pPr>
            <w:r w:rsidRPr="00EF6679">
              <w:rPr>
                <w:rFonts w:ascii="Times New Roman" w:hAnsi="Times New Roman" w:cs="Times New Roman"/>
                <w:color w:val="000000" w:themeColor="text1"/>
                <w:sz w:val="16"/>
                <w:szCs w:val="16"/>
              </w:rPr>
              <w:t>0.044</w:t>
            </w:r>
          </w:p>
        </w:tc>
        <w:tc>
          <w:tcPr>
            <w:tcW w:w="366" w:type="dxa"/>
            <w:tcBorders>
              <w:bottom w:val="single" w:sz="4" w:space="0" w:color="auto"/>
            </w:tcBorders>
            <w:noWrap/>
            <w:vAlign w:val="center"/>
          </w:tcPr>
          <w:p w14:paraId="5B545B3B" w14:textId="77777777" w:rsidR="00BB138C" w:rsidRPr="00EF6679" w:rsidRDefault="00BB138C" w:rsidP="00820288">
            <w:pPr>
              <w:spacing w:line="240" w:lineRule="auto"/>
              <w:rPr>
                <w:rFonts w:ascii="Times New Roman" w:hAnsi="Times New Roman" w:cs="Times New Roman"/>
                <w:color w:val="000000" w:themeColor="text1"/>
                <w:sz w:val="16"/>
                <w:szCs w:val="16"/>
                <w:vertAlign w:val="superscript"/>
              </w:rPr>
            </w:pPr>
            <w:r w:rsidRPr="00EF6679">
              <w:rPr>
                <w:rFonts w:ascii="Times New Roman" w:hAnsi="Times New Roman" w:cs="Times New Roman"/>
                <w:color w:val="000000" w:themeColor="text1"/>
                <w:sz w:val="16"/>
                <w:szCs w:val="16"/>
                <w:vertAlign w:val="superscript"/>
              </w:rPr>
              <w:t>a</w:t>
            </w:r>
          </w:p>
        </w:tc>
        <w:tc>
          <w:tcPr>
            <w:tcW w:w="712" w:type="dxa"/>
            <w:tcBorders>
              <w:bottom w:val="single" w:sz="4" w:space="0" w:color="auto"/>
            </w:tcBorders>
            <w:noWrap/>
            <w:vAlign w:val="bottom"/>
          </w:tcPr>
          <w:p w14:paraId="4E3CDD1F" w14:textId="77777777" w:rsidR="00BB138C" w:rsidRPr="00EF6679" w:rsidRDefault="00BB138C" w:rsidP="00820288">
            <w:pPr>
              <w:spacing w:line="240" w:lineRule="auto"/>
              <w:jc w:val="right"/>
              <w:rPr>
                <w:rFonts w:ascii="Times New Roman" w:hAnsi="Times New Roman" w:cs="Times New Roman"/>
                <w:color w:val="000000" w:themeColor="text1"/>
                <w:sz w:val="16"/>
                <w:szCs w:val="16"/>
              </w:rPr>
            </w:pPr>
            <w:r w:rsidRPr="00EF6679">
              <w:rPr>
                <w:rFonts w:ascii="Times New Roman" w:hAnsi="Times New Roman" w:cs="Times New Roman"/>
                <w:color w:val="000000" w:themeColor="text1"/>
                <w:sz w:val="16"/>
                <w:szCs w:val="16"/>
              </w:rPr>
              <w:t>0.036</w:t>
            </w:r>
          </w:p>
        </w:tc>
        <w:tc>
          <w:tcPr>
            <w:tcW w:w="478" w:type="dxa"/>
            <w:tcBorders>
              <w:bottom w:val="single" w:sz="4" w:space="0" w:color="auto"/>
            </w:tcBorders>
            <w:noWrap/>
            <w:vAlign w:val="center"/>
          </w:tcPr>
          <w:p w14:paraId="0FFBBD50" w14:textId="77777777" w:rsidR="00BB138C" w:rsidRPr="00EF6679" w:rsidRDefault="00BB138C" w:rsidP="00820288">
            <w:pPr>
              <w:spacing w:line="240" w:lineRule="auto"/>
              <w:rPr>
                <w:rFonts w:ascii="Times New Roman" w:hAnsi="Times New Roman" w:cs="Times New Roman"/>
                <w:color w:val="000000" w:themeColor="text1"/>
                <w:sz w:val="16"/>
                <w:szCs w:val="16"/>
                <w:vertAlign w:val="superscript"/>
              </w:rPr>
            </w:pPr>
            <w:r w:rsidRPr="00EF6679">
              <w:rPr>
                <w:rFonts w:ascii="Times New Roman" w:hAnsi="Times New Roman" w:cs="Times New Roman"/>
                <w:color w:val="000000" w:themeColor="text1"/>
                <w:sz w:val="16"/>
                <w:szCs w:val="16"/>
                <w:vertAlign w:val="superscript"/>
              </w:rPr>
              <w:t>a</w:t>
            </w:r>
          </w:p>
        </w:tc>
      </w:tr>
    </w:tbl>
    <w:p w14:paraId="0B0A4B09" w14:textId="77777777" w:rsidR="00BB138C" w:rsidRPr="00EF6679" w:rsidRDefault="00BB138C" w:rsidP="00BB138C">
      <w:pPr>
        <w:spacing w:line="240" w:lineRule="auto"/>
        <w:ind w:right="3060"/>
        <w:jc w:val="both"/>
        <w:rPr>
          <w:rFonts w:cs="Times New Roman"/>
          <w:color w:val="000000" w:themeColor="text1"/>
          <w:sz w:val="14"/>
          <w:szCs w:val="14"/>
        </w:rPr>
      </w:pPr>
      <w:r w:rsidRPr="00EF6679">
        <w:rPr>
          <w:rFonts w:cs="Times New Roman"/>
          <w:color w:val="000000" w:themeColor="text1"/>
          <w:sz w:val="14"/>
          <w:szCs w:val="14"/>
        </w:rPr>
        <w:t>All concentrations are presented in micro molarity of analyte per gram of fresh mass (µM</w:t>
      </w:r>
      <w:r w:rsidRPr="00EF6679">
        <w:rPr>
          <w:rFonts w:cs="Times New Roman"/>
          <w:color w:val="000000" w:themeColor="text1"/>
          <w:sz w:val="14"/>
          <w:szCs w:val="14"/>
        </w:rPr>
        <w:sym w:font="Symbol" w:char="F0D7"/>
      </w:r>
      <w:r w:rsidRPr="00EF6679">
        <w:rPr>
          <w:rFonts w:cs="Times New Roman"/>
          <w:color w:val="000000" w:themeColor="text1"/>
          <w:sz w:val="14"/>
          <w:szCs w:val="14"/>
        </w:rPr>
        <w:t>g</w:t>
      </w:r>
      <w:r w:rsidRPr="00EF6679">
        <w:rPr>
          <w:rFonts w:cs="Times New Roman"/>
          <w:color w:val="000000" w:themeColor="text1"/>
          <w:sz w:val="14"/>
          <w:szCs w:val="14"/>
          <w:vertAlign w:val="superscript"/>
        </w:rPr>
        <w:t>-1</w:t>
      </w:r>
      <w:r w:rsidRPr="00EF6679">
        <w:rPr>
          <w:rFonts w:cs="Times New Roman"/>
          <w:color w:val="000000" w:themeColor="text1"/>
          <w:sz w:val="14"/>
          <w:szCs w:val="14"/>
        </w:rPr>
        <w:t xml:space="preserve"> FM). Mean values represent two plants per replication and ten replications per treatment. Values for each season are averaged across all treatments within that season. Compound means that were consistently below the instrument detection limit are denoted as n.d. (i.e., not detected). Values were analyzed using Tukey’s (protected) honest significant difference test. Data in the same row followed by the same letter are not significantly different (</w:t>
      </w:r>
      <w:r w:rsidRPr="00EF6679">
        <w:rPr>
          <w:rFonts w:cs="Times New Roman"/>
          <w:color w:val="000000" w:themeColor="text1"/>
          <w:sz w:val="16"/>
          <w:szCs w:val="16"/>
        </w:rPr>
        <w:t>α = 0.05)</w:t>
      </w:r>
      <w:r w:rsidRPr="00EF6679">
        <w:rPr>
          <w:rFonts w:cs="Times New Roman"/>
          <w:color w:val="000000" w:themeColor="text1"/>
          <w:sz w:val="14"/>
          <w:szCs w:val="14"/>
        </w:rPr>
        <w:t xml:space="preserve">. </w:t>
      </w:r>
      <w:r w:rsidRPr="00EF6679">
        <w:rPr>
          <w:rFonts w:cs="Times New Roman"/>
          <w:color w:val="000000" w:themeColor="text1"/>
          <w:sz w:val="14"/>
          <w:szCs w:val="14"/>
        </w:rPr>
        <w:br w:type="page"/>
      </w:r>
    </w:p>
    <w:p w14:paraId="24ED56E9" w14:textId="6CEB62A5" w:rsidR="00BB138C" w:rsidRPr="00EF6679" w:rsidRDefault="00BB138C" w:rsidP="00BB138C">
      <w:pPr>
        <w:pStyle w:val="TableTOC"/>
        <w:ind w:right="90"/>
        <w:jc w:val="both"/>
        <w:rPr>
          <w:rFonts w:cs="Times New Roman"/>
          <w:color w:val="000000" w:themeColor="text1"/>
          <w:sz w:val="14"/>
          <w:szCs w:val="14"/>
        </w:rPr>
      </w:pPr>
      <w:bookmarkStart w:id="710" w:name="_Toc141478789"/>
      <w:r w:rsidRPr="00EF6679">
        <w:rPr>
          <w:rFonts w:cs="Times New Roman"/>
          <w:b/>
          <w:bCs/>
          <w:color w:val="000000" w:themeColor="text1"/>
        </w:rPr>
        <w:lastRenderedPageBreak/>
        <w:t xml:space="preserve">Table </w:t>
      </w:r>
      <w:r w:rsidR="00BA2365" w:rsidRPr="00EF6679">
        <w:rPr>
          <w:rFonts w:cs="Times New Roman"/>
          <w:b/>
          <w:bCs/>
        </w:rPr>
        <w:t>5.</w:t>
      </w:r>
      <w:r w:rsidRPr="00EF6679">
        <w:rPr>
          <w:rFonts w:cs="Times New Roman"/>
          <w:b/>
          <w:bCs/>
          <w:color w:val="000000" w:themeColor="text1"/>
        </w:rPr>
        <w:t xml:space="preserve">5. </w:t>
      </w:r>
      <w:r w:rsidRPr="00EF6679">
        <w:rPr>
          <w:rFonts w:cs="Times New Roman"/>
          <w:color w:val="000000" w:themeColor="text1"/>
        </w:rPr>
        <w:t>Influence of growing season on aroma volatile organic compound (VOC) total concentration and pertinent (VOC) ratios in hydroponically grown greenhouse sweet basil (</w:t>
      </w:r>
      <w:r w:rsidRPr="00EF6679">
        <w:rPr>
          <w:rFonts w:cs="Times New Roman"/>
          <w:i/>
          <w:iCs/>
          <w:color w:val="000000" w:themeColor="text1"/>
        </w:rPr>
        <w:t xml:space="preserve">Ocimum basilicum </w:t>
      </w:r>
      <w:r w:rsidRPr="00EF6679">
        <w:rPr>
          <w:rFonts w:cs="Times New Roman"/>
          <w:color w:val="000000" w:themeColor="text1"/>
        </w:rPr>
        <w:t>var. Genovese).</w:t>
      </w:r>
      <w:bookmarkEnd w:id="710"/>
    </w:p>
    <w:p w14:paraId="402BFCCA" w14:textId="77777777" w:rsidR="00BB138C" w:rsidRPr="00EF6679" w:rsidRDefault="00BB138C" w:rsidP="00BB138C">
      <w:pPr>
        <w:spacing w:line="240" w:lineRule="auto"/>
        <w:rPr>
          <w:rFonts w:cs="Times New Roman"/>
          <w:color w:val="000000" w:themeColor="text1"/>
          <w:sz w:val="14"/>
          <w:szCs w:val="14"/>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29" w:type="dxa"/>
          <w:right w:w="0" w:type="dxa"/>
        </w:tblCellMar>
        <w:tblLook w:val="04A0" w:firstRow="1" w:lastRow="0" w:firstColumn="1" w:lastColumn="0" w:noHBand="0" w:noVBand="1"/>
      </w:tblPr>
      <w:tblGrid>
        <w:gridCol w:w="5144"/>
        <w:gridCol w:w="1354"/>
        <w:gridCol w:w="653"/>
        <w:gridCol w:w="1271"/>
        <w:gridCol w:w="855"/>
      </w:tblGrid>
      <w:tr w:rsidR="00BB138C" w:rsidRPr="00EF6679" w14:paraId="5A8658AF" w14:textId="77777777" w:rsidTr="00820288">
        <w:trPr>
          <w:trHeight w:val="334"/>
        </w:trPr>
        <w:tc>
          <w:tcPr>
            <w:tcW w:w="5144" w:type="dxa"/>
            <w:tcBorders>
              <w:top w:val="single" w:sz="4" w:space="0" w:color="auto"/>
            </w:tcBorders>
            <w:noWrap/>
            <w:vAlign w:val="center"/>
          </w:tcPr>
          <w:p w14:paraId="728DAA8B" w14:textId="77777777" w:rsidR="00BB138C" w:rsidRPr="00EF6679" w:rsidRDefault="00BB138C" w:rsidP="00820288">
            <w:pPr>
              <w:spacing w:line="240" w:lineRule="auto"/>
              <w:rPr>
                <w:rFonts w:ascii="Times New Roman" w:hAnsi="Times New Roman" w:cs="Times New Roman"/>
                <w:b/>
                <w:bCs/>
                <w:color w:val="000000" w:themeColor="text1"/>
                <w:sz w:val="20"/>
                <w:szCs w:val="20"/>
              </w:rPr>
            </w:pPr>
          </w:p>
        </w:tc>
        <w:tc>
          <w:tcPr>
            <w:tcW w:w="4133" w:type="dxa"/>
            <w:gridSpan w:val="4"/>
            <w:tcBorders>
              <w:top w:val="single" w:sz="4" w:space="0" w:color="auto"/>
              <w:bottom w:val="single" w:sz="4" w:space="0" w:color="auto"/>
            </w:tcBorders>
            <w:noWrap/>
            <w:vAlign w:val="center"/>
          </w:tcPr>
          <w:p w14:paraId="3FD49C8B" w14:textId="77777777" w:rsidR="00BB138C" w:rsidRPr="00EF6679" w:rsidRDefault="00BB138C" w:rsidP="00820288">
            <w:pPr>
              <w:tabs>
                <w:tab w:val="left" w:pos="327"/>
              </w:tabs>
              <w:spacing w:line="240" w:lineRule="auto"/>
              <w:jc w:val="center"/>
              <w:rPr>
                <w:rFonts w:ascii="Times New Roman" w:hAnsi="Times New Roman" w:cs="Times New Roman"/>
                <w:b/>
                <w:bCs/>
                <w:color w:val="000000" w:themeColor="text1"/>
                <w:sz w:val="20"/>
                <w:szCs w:val="20"/>
              </w:rPr>
            </w:pPr>
            <w:r w:rsidRPr="00EF6679">
              <w:rPr>
                <w:rFonts w:ascii="Times New Roman" w:hAnsi="Times New Roman" w:cs="Times New Roman"/>
                <w:b/>
                <w:bCs/>
                <w:color w:val="000000" w:themeColor="text1"/>
                <w:sz w:val="20"/>
                <w:szCs w:val="20"/>
              </w:rPr>
              <w:t>Growing Season</w:t>
            </w:r>
          </w:p>
        </w:tc>
      </w:tr>
      <w:tr w:rsidR="00BB138C" w:rsidRPr="00EF6679" w14:paraId="0A4D06AA" w14:textId="77777777" w:rsidTr="00820288">
        <w:trPr>
          <w:trHeight w:val="334"/>
        </w:trPr>
        <w:tc>
          <w:tcPr>
            <w:tcW w:w="5144" w:type="dxa"/>
            <w:tcBorders>
              <w:bottom w:val="single" w:sz="4" w:space="0" w:color="auto"/>
            </w:tcBorders>
            <w:noWrap/>
            <w:vAlign w:val="center"/>
          </w:tcPr>
          <w:p w14:paraId="6F0529C2" w14:textId="77777777" w:rsidR="00BB138C" w:rsidRPr="00EF6679" w:rsidRDefault="00BB138C" w:rsidP="00820288">
            <w:pPr>
              <w:spacing w:line="240" w:lineRule="auto"/>
              <w:rPr>
                <w:rFonts w:ascii="Times New Roman" w:hAnsi="Times New Roman" w:cs="Times New Roman"/>
                <w:b/>
                <w:bCs/>
                <w:color w:val="000000" w:themeColor="text1"/>
                <w:sz w:val="20"/>
                <w:szCs w:val="20"/>
              </w:rPr>
            </w:pPr>
            <w:r w:rsidRPr="00EF6679">
              <w:rPr>
                <w:rFonts w:ascii="Times New Roman" w:hAnsi="Times New Roman" w:cs="Times New Roman"/>
                <w:b/>
                <w:bCs/>
                <w:color w:val="000000" w:themeColor="text1"/>
                <w:sz w:val="20"/>
                <w:szCs w:val="20"/>
              </w:rPr>
              <w:t>Compound Name</w:t>
            </w:r>
          </w:p>
        </w:tc>
        <w:tc>
          <w:tcPr>
            <w:tcW w:w="2007" w:type="dxa"/>
            <w:gridSpan w:val="2"/>
            <w:tcBorders>
              <w:top w:val="single" w:sz="4" w:space="0" w:color="auto"/>
              <w:bottom w:val="single" w:sz="4" w:space="0" w:color="auto"/>
            </w:tcBorders>
            <w:noWrap/>
            <w:vAlign w:val="center"/>
          </w:tcPr>
          <w:p w14:paraId="341FDECE" w14:textId="77777777" w:rsidR="00BB138C" w:rsidRPr="00EF6679" w:rsidRDefault="00BB138C" w:rsidP="00820288">
            <w:pPr>
              <w:spacing w:line="240" w:lineRule="auto"/>
              <w:jc w:val="center"/>
              <w:rPr>
                <w:rFonts w:ascii="Times New Roman" w:hAnsi="Times New Roman" w:cs="Times New Roman"/>
                <w:b/>
                <w:bCs/>
                <w:color w:val="000000" w:themeColor="text1"/>
                <w:sz w:val="20"/>
                <w:szCs w:val="20"/>
              </w:rPr>
            </w:pPr>
            <w:r w:rsidRPr="00EF6679">
              <w:rPr>
                <w:rFonts w:ascii="Times New Roman" w:hAnsi="Times New Roman" w:cs="Times New Roman"/>
                <w:b/>
                <w:bCs/>
                <w:color w:val="000000" w:themeColor="text1"/>
                <w:sz w:val="20"/>
                <w:szCs w:val="20"/>
              </w:rPr>
              <w:t>Summer</w:t>
            </w:r>
          </w:p>
        </w:tc>
        <w:tc>
          <w:tcPr>
            <w:tcW w:w="2126" w:type="dxa"/>
            <w:gridSpan w:val="2"/>
            <w:tcBorders>
              <w:top w:val="single" w:sz="4" w:space="0" w:color="auto"/>
              <w:bottom w:val="single" w:sz="4" w:space="0" w:color="auto"/>
            </w:tcBorders>
            <w:noWrap/>
            <w:vAlign w:val="center"/>
          </w:tcPr>
          <w:p w14:paraId="45B34AE5" w14:textId="77777777" w:rsidR="00BB138C" w:rsidRPr="00EF6679" w:rsidRDefault="00BB138C" w:rsidP="00820288">
            <w:pPr>
              <w:spacing w:line="240" w:lineRule="auto"/>
              <w:jc w:val="center"/>
              <w:rPr>
                <w:rFonts w:ascii="Times New Roman" w:hAnsi="Times New Roman" w:cs="Times New Roman"/>
                <w:b/>
                <w:bCs/>
                <w:color w:val="000000" w:themeColor="text1"/>
                <w:sz w:val="20"/>
                <w:szCs w:val="20"/>
              </w:rPr>
            </w:pPr>
            <w:r w:rsidRPr="00EF6679">
              <w:rPr>
                <w:rFonts w:ascii="Times New Roman" w:hAnsi="Times New Roman" w:cs="Times New Roman"/>
                <w:b/>
                <w:bCs/>
                <w:color w:val="000000" w:themeColor="text1"/>
                <w:sz w:val="20"/>
                <w:szCs w:val="20"/>
              </w:rPr>
              <w:t>Winter</w:t>
            </w:r>
          </w:p>
        </w:tc>
      </w:tr>
      <w:tr w:rsidR="00BB138C" w:rsidRPr="00EF6679" w14:paraId="0F3400E7" w14:textId="77777777" w:rsidTr="00820288">
        <w:trPr>
          <w:trHeight w:val="334"/>
        </w:trPr>
        <w:tc>
          <w:tcPr>
            <w:tcW w:w="5144" w:type="dxa"/>
            <w:tcBorders>
              <w:top w:val="single" w:sz="4" w:space="0" w:color="auto"/>
            </w:tcBorders>
            <w:noWrap/>
            <w:vAlign w:val="bottom"/>
          </w:tcPr>
          <w:p w14:paraId="48056892" w14:textId="77777777" w:rsidR="00BB138C" w:rsidRPr="00EF6679" w:rsidRDefault="00BB138C" w:rsidP="00820288">
            <w:pPr>
              <w:spacing w:line="240" w:lineRule="auto"/>
              <w:rPr>
                <w:rFonts w:ascii="Times New Roman" w:hAnsi="Times New Roman" w:cs="Times New Roman"/>
                <w:color w:val="000000" w:themeColor="text1"/>
                <w:sz w:val="20"/>
                <w:szCs w:val="20"/>
              </w:rPr>
            </w:pPr>
            <w:r w:rsidRPr="00EF6679">
              <w:rPr>
                <w:rFonts w:ascii="Times New Roman" w:hAnsi="Times New Roman" w:cs="Times New Roman"/>
                <w:color w:val="000000" w:themeColor="text1"/>
                <w:sz w:val="20"/>
                <w:szCs w:val="20"/>
              </w:rPr>
              <w:t>VOC Total</w:t>
            </w:r>
          </w:p>
        </w:tc>
        <w:tc>
          <w:tcPr>
            <w:tcW w:w="1354" w:type="dxa"/>
            <w:tcBorders>
              <w:top w:val="single" w:sz="4" w:space="0" w:color="auto"/>
            </w:tcBorders>
            <w:noWrap/>
            <w:vAlign w:val="center"/>
          </w:tcPr>
          <w:p w14:paraId="12898774" w14:textId="77777777" w:rsidR="00BB138C" w:rsidRPr="00EF6679" w:rsidRDefault="00BB138C" w:rsidP="00820288">
            <w:pPr>
              <w:spacing w:line="240" w:lineRule="auto"/>
              <w:jc w:val="right"/>
              <w:rPr>
                <w:rFonts w:ascii="Times New Roman" w:hAnsi="Times New Roman" w:cs="Times New Roman"/>
                <w:color w:val="000000" w:themeColor="text1"/>
                <w:sz w:val="20"/>
                <w:szCs w:val="20"/>
              </w:rPr>
            </w:pPr>
            <w:r w:rsidRPr="00EF6679">
              <w:rPr>
                <w:rFonts w:ascii="Times New Roman" w:hAnsi="Times New Roman" w:cs="Times New Roman"/>
                <w:color w:val="000000" w:themeColor="text1"/>
                <w:sz w:val="20"/>
                <w:szCs w:val="20"/>
              </w:rPr>
              <w:t>1300.050</w:t>
            </w:r>
          </w:p>
        </w:tc>
        <w:tc>
          <w:tcPr>
            <w:tcW w:w="653" w:type="dxa"/>
            <w:tcBorders>
              <w:top w:val="single" w:sz="4" w:space="0" w:color="auto"/>
            </w:tcBorders>
            <w:noWrap/>
            <w:vAlign w:val="center"/>
          </w:tcPr>
          <w:p w14:paraId="411E1B86" w14:textId="77777777" w:rsidR="00BB138C" w:rsidRPr="00EF6679" w:rsidRDefault="00BB138C" w:rsidP="00820288">
            <w:pPr>
              <w:spacing w:line="240" w:lineRule="auto"/>
              <w:rPr>
                <w:rFonts w:ascii="Times New Roman" w:hAnsi="Times New Roman" w:cs="Times New Roman"/>
                <w:color w:val="000000" w:themeColor="text1"/>
                <w:sz w:val="20"/>
                <w:szCs w:val="20"/>
                <w:vertAlign w:val="superscript"/>
              </w:rPr>
            </w:pPr>
            <w:r w:rsidRPr="00EF6679">
              <w:rPr>
                <w:rFonts w:ascii="Times New Roman" w:hAnsi="Times New Roman" w:cs="Times New Roman"/>
                <w:color w:val="000000" w:themeColor="text1"/>
                <w:sz w:val="20"/>
                <w:szCs w:val="20"/>
                <w:vertAlign w:val="superscript"/>
              </w:rPr>
              <w:t xml:space="preserve">a </w:t>
            </w:r>
          </w:p>
        </w:tc>
        <w:tc>
          <w:tcPr>
            <w:tcW w:w="1271" w:type="dxa"/>
            <w:tcBorders>
              <w:top w:val="single" w:sz="4" w:space="0" w:color="auto"/>
            </w:tcBorders>
            <w:noWrap/>
            <w:vAlign w:val="bottom"/>
          </w:tcPr>
          <w:p w14:paraId="3B12A7DD" w14:textId="77777777" w:rsidR="00BB138C" w:rsidRPr="00EF6679" w:rsidRDefault="00BB138C" w:rsidP="00820288">
            <w:pPr>
              <w:spacing w:line="240" w:lineRule="auto"/>
              <w:jc w:val="right"/>
              <w:rPr>
                <w:rFonts w:ascii="Times New Roman" w:hAnsi="Times New Roman" w:cs="Times New Roman"/>
                <w:color w:val="000000" w:themeColor="text1"/>
                <w:sz w:val="20"/>
                <w:szCs w:val="20"/>
              </w:rPr>
            </w:pPr>
            <w:r w:rsidRPr="00EF6679">
              <w:rPr>
                <w:rFonts w:ascii="Times New Roman" w:hAnsi="Times New Roman" w:cs="Times New Roman"/>
                <w:color w:val="000000" w:themeColor="text1"/>
                <w:sz w:val="20"/>
                <w:szCs w:val="20"/>
              </w:rPr>
              <w:t>1307.350</w:t>
            </w:r>
          </w:p>
        </w:tc>
        <w:tc>
          <w:tcPr>
            <w:tcW w:w="855" w:type="dxa"/>
            <w:tcBorders>
              <w:top w:val="single" w:sz="4" w:space="0" w:color="auto"/>
            </w:tcBorders>
            <w:noWrap/>
            <w:vAlign w:val="bottom"/>
          </w:tcPr>
          <w:p w14:paraId="55BEAE5D" w14:textId="77777777" w:rsidR="00BB138C" w:rsidRPr="00EF6679" w:rsidRDefault="00BB138C" w:rsidP="00820288">
            <w:pPr>
              <w:spacing w:line="240" w:lineRule="auto"/>
              <w:rPr>
                <w:rFonts w:ascii="Times New Roman" w:hAnsi="Times New Roman" w:cs="Times New Roman"/>
                <w:color w:val="000000" w:themeColor="text1"/>
                <w:sz w:val="20"/>
                <w:szCs w:val="20"/>
                <w:vertAlign w:val="superscript"/>
              </w:rPr>
            </w:pPr>
            <w:r w:rsidRPr="00EF6679">
              <w:rPr>
                <w:rFonts w:ascii="Times New Roman" w:hAnsi="Times New Roman" w:cs="Times New Roman"/>
                <w:color w:val="000000" w:themeColor="text1"/>
                <w:sz w:val="20"/>
                <w:szCs w:val="20"/>
                <w:vertAlign w:val="superscript"/>
              </w:rPr>
              <w:t xml:space="preserve">a </w:t>
            </w:r>
          </w:p>
        </w:tc>
      </w:tr>
      <w:tr w:rsidR="00BB138C" w:rsidRPr="00EF6679" w14:paraId="6219C17F" w14:textId="77777777" w:rsidTr="00820288">
        <w:trPr>
          <w:trHeight w:val="334"/>
        </w:trPr>
        <w:tc>
          <w:tcPr>
            <w:tcW w:w="5144" w:type="dxa"/>
            <w:noWrap/>
            <w:vAlign w:val="bottom"/>
            <w:hideMark/>
          </w:tcPr>
          <w:p w14:paraId="59134C99" w14:textId="77777777" w:rsidR="00BB138C" w:rsidRPr="00EF6679" w:rsidRDefault="00BB138C" w:rsidP="00820288">
            <w:pPr>
              <w:spacing w:line="240" w:lineRule="auto"/>
              <w:rPr>
                <w:rFonts w:ascii="Times New Roman" w:hAnsi="Times New Roman" w:cs="Times New Roman"/>
                <w:color w:val="000000" w:themeColor="text1"/>
                <w:sz w:val="20"/>
                <w:szCs w:val="20"/>
              </w:rPr>
            </w:pPr>
            <w:r w:rsidRPr="00EF6679">
              <w:rPr>
                <w:rFonts w:ascii="Times New Roman" w:hAnsi="Times New Roman" w:cs="Times New Roman"/>
                <w:color w:val="202124"/>
                <w:sz w:val="20"/>
                <w:szCs w:val="20"/>
                <w:shd w:val="clear" w:color="auto" w:fill="FFFFFF"/>
              </w:rPr>
              <w:t>α</w:t>
            </w:r>
            <w:r w:rsidRPr="00EF6679">
              <w:rPr>
                <w:rFonts w:ascii="Times New Roman" w:hAnsi="Times New Roman" w:cs="Times New Roman"/>
                <w:color w:val="000000" w:themeColor="text1"/>
                <w:sz w:val="20"/>
                <w:szCs w:val="20"/>
              </w:rPr>
              <w:t>/</w:t>
            </w:r>
            <w:r w:rsidRPr="00EF6679">
              <w:rPr>
                <w:rFonts w:ascii="Times New Roman" w:hAnsi="Times New Roman" w:cs="Times New Roman"/>
                <w:color w:val="202124"/>
                <w:sz w:val="20"/>
                <w:szCs w:val="20"/>
                <w:shd w:val="clear" w:color="auto" w:fill="FFFFFF"/>
              </w:rPr>
              <w:t>β</w:t>
            </w:r>
            <w:r w:rsidRPr="00EF6679">
              <w:rPr>
                <w:rFonts w:ascii="Times New Roman" w:hAnsi="Times New Roman" w:cs="Times New Roman"/>
                <w:color w:val="000000" w:themeColor="text1"/>
                <w:sz w:val="20"/>
                <w:szCs w:val="20"/>
              </w:rPr>
              <w:t>-Pinene Ratio</w:t>
            </w:r>
          </w:p>
        </w:tc>
        <w:tc>
          <w:tcPr>
            <w:tcW w:w="1354" w:type="dxa"/>
            <w:noWrap/>
            <w:vAlign w:val="center"/>
            <w:hideMark/>
          </w:tcPr>
          <w:p w14:paraId="546E69A4" w14:textId="77777777" w:rsidR="00BB138C" w:rsidRPr="00EF6679" w:rsidRDefault="00BB138C" w:rsidP="00820288">
            <w:pPr>
              <w:spacing w:line="240" w:lineRule="auto"/>
              <w:jc w:val="right"/>
              <w:rPr>
                <w:rFonts w:ascii="Times New Roman" w:hAnsi="Times New Roman" w:cs="Times New Roman"/>
                <w:color w:val="000000" w:themeColor="text1"/>
                <w:sz w:val="20"/>
                <w:szCs w:val="20"/>
              </w:rPr>
            </w:pPr>
            <w:r w:rsidRPr="00EF6679">
              <w:rPr>
                <w:rFonts w:ascii="Times New Roman" w:hAnsi="Times New Roman" w:cs="Times New Roman"/>
                <w:color w:val="000000" w:themeColor="text1"/>
                <w:sz w:val="20"/>
                <w:szCs w:val="20"/>
              </w:rPr>
              <w:t>0.103</w:t>
            </w:r>
          </w:p>
        </w:tc>
        <w:tc>
          <w:tcPr>
            <w:tcW w:w="653" w:type="dxa"/>
            <w:noWrap/>
            <w:vAlign w:val="center"/>
            <w:hideMark/>
          </w:tcPr>
          <w:p w14:paraId="2AD78D2C" w14:textId="77777777" w:rsidR="00BB138C" w:rsidRPr="00EF6679" w:rsidRDefault="00BB138C" w:rsidP="00820288">
            <w:pPr>
              <w:spacing w:line="240" w:lineRule="auto"/>
              <w:rPr>
                <w:rFonts w:ascii="Times New Roman" w:hAnsi="Times New Roman" w:cs="Times New Roman"/>
                <w:color w:val="000000" w:themeColor="text1"/>
                <w:sz w:val="20"/>
                <w:szCs w:val="20"/>
                <w:vertAlign w:val="superscript"/>
              </w:rPr>
            </w:pPr>
            <w:r w:rsidRPr="00EF6679">
              <w:rPr>
                <w:rFonts w:ascii="Times New Roman" w:hAnsi="Times New Roman" w:cs="Times New Roman"/>
                <w:color w:val="000000" w:themeColor="text1"/>
                <w:sz w:val="20"/>
                <w:szCs w:val="20"/>
                <w:vertAlign w:val="superscript"/>
              </w:rPr>
              <w:t xml:space="preserve">b </w:t>
            </w:r>
          </w:p>
        </w:tc>
        <w:tc>
          <w:tcPr>
            <w:tcW w:w="1271" w:type="dxa"/>
            <w:noWrap/>
            <w:vAlign w:val="bottom"/>
            <w:hideMark/>
          </w:tcPr>
          <w:p w14:paraId="2A4FAD99" w14:textId="77777777" w:rsidR="00BB138C" w:rsidRPr="00EF6679" w:rsidRDefault="00BB138C" w:rsidP="00820288">
            <w:pPr>
              <w:spacing w:line="240" w:lineRule="auto"/>
              <w:jc w:val="right"/>
              <w:rPr>
                <w:rFonts w:ascii="Times New Roman" w:hAnsi="Times New Roman" w:cs="Times New Roman"/>
                <w:color w:val="000000" w:themeColor="text1"/>
                <w:sz w:val="20"/>
                <w:szCs w:val="20"/>
              </w:rPr>
            </w:pPr>
            <w:r w:rsidRPr="00EF6679">
              <w:rPr>
                <w:rFonts w:ascii="Times New Roman" w:hAnsi="Times New Roman" w:cs="Times New Roman"/>
                <w:color w:val="000000" w:themeColor="text1"/>
                <w:sz w:val="20"/>
                <w:szCs w:val="20"/>
              </w:rPr>
              <w:t>0.124</w:t>
            </w:r>
          </w:p>
        </w:tc>
        <w:tc>
          <w:tcPr>
            <w:tcW w:w="855" w:type="dxa"/>
            <w:noWrap/>
            <w:vAlign w:val="bottom"/>
            <w:hideMark/>
          </w:tcPr>
          <w:p w14:paraId="4DC38D8A" w14:textId="77777777" w:rsidR="00BB138C" w:rsidRPr="00EF6679" w:rsidRDefault="00BB138C" w:rsidP="00820288">
            <w:pPr>
              <w:spacing w:line="240" w:lineRule="auto"/>
              <w:rPr>
                <w:rFonts w:ascii="Times New Roman" w:hAnsi="Times New Roman" w:cs="Times New Roman"/>
                <w:color w:val="000000" w:themeColor="text1"/>
                <w:sz w:val="20"/>
                <w:szCs w:val="20"/>
                <w:vertAlign w:val="superscript"/>
              </w:rPr>
            </w:pPr>
            <w:r w:rsidRPr="00EF6679">
              <w:rPr>
                <w:rFonts w:ascii="Times New Roman" w:hAnsi="Times New Roman" w:cs="Times New Roman"/>
                <w:color w:val="000000" w:themeColor="text1"/>
                <w:sz w:val="20"/>
                <w:szCs w:val="20"/>
                <w:vertAlign w:val="superscript"/>
              </w:rPr>
              <w:t xml:space="preserve">a </w:t>
            </w:r>
          </w:p>
        </w:tc>
      </w:tr>
      <w:tr w:rsidR="00BB138C" w:rsidRPr="00EF6679" w14:paraId="380F71A5" w14:textId="77777777" w:rsidTr="00820288">
        <w:trPr>
          <w:trHeight w:val="334"/>
        </w:trPr>
        <w:tc>
          <w:tcPr>
            <w:tcW w:w="5144" w:type="dxa"/>
            <w:noWrap/>
            <w:vAlign w:val="bottom"/>
            <w:hideMark/>
          </w:tcPr>
          <w:p w14:paraId="1121013A" w14:textId="77777777" w:rsidR="00BB138C" w:rsidRPr="00EF6679" w:rsidRDefault="00BB138C" w:rsidP="00820288">
            <w:pPr>
              <w:spacing w:line="240" w:lineRule="auto"/>
              <w:rPr>
                <w:rFonts w:ascii="Times New Roman" w:hAnsi="Times New Roman" w:cs="Times New Roman"/>
                <w:color w:val="000000" w:themeColor="text1"/>
                <w:sz w:val="20"/>
                <w:szCs w:val="20"/>
              </w:rPr>
            </w:pPr>
            <w:r w:rsidRPr="00EF6679">
              <w:rPr>
                <w:rFonts w:ascii="Times New Roman" w:hAnsi="Times New Roman" w:cs="Times New Roman"/>
                <w:color w:val="000000" w:themeColor="text1"/>
                <w:sz w:val="20"/>
                <w:szCs w:val="20"/>
              </w:rPr>
              <w:t>R+/S-Limonene Ratio</w:t>
            </w:r>
          </w:p>
        </w:tc>
        <w:tc>
          <w:tcPr>
            <w:tcW w:w="1354" w:type="dxa"/>
            <w:noWrap/>
            <w:vAlign w:val="center"/>
            <w:hideMark/>
          </w:tcPr>
          <w:p w14:paraId="3A38CA9D" w14:textId="77777777" w:rsidR="00BB138C" w:rsidRPr="00EF6679" w:rsidRDefault="00BB138C" w:rsidP="00820288">
            <w:pPr>
              <w:spacing w:line="240" w:lineRule="auto"/>
              <w:jc w:val="right"/>
              <w:rPr>
                <w:rFonts w:ascii="Times New Roman" w:hAnsi="Times New Roman" w:cs="Times New Roman"/>
                <w:color w:val="000000" w:themeColor="text1"/>
                <w:sz w:val="20"/>
                <w:szCs w:val="20"/>
              </w:rPr>
            </w:pPr>
            <w:r w:rsidRPr="00EF6679">
              <w:rPr>
                <w:rFonts w:ascii="Times New Roman" w:hAnsi="Times New Roman" w:cs="Times New Roman"/>
                <w:color w:val="000000" w:themeColor="text1"/>
                <w:sz w:val="20"/>
                <w:szCs w:val="20"/>
              </w:rPr>
              <w:t>1.862</w:t>
            </w:r>
          </w:p>
        </w:tc>
        <w:tc>
          <w:tcPr>
            <w:tcW w:w="653" w:type="dxa"/>
            <w:noWrap/>
            <w:vAlign w:val="center"/>
            <w:hideMark/>
          </w:tcPr>
          <w:p w14:paraId="2FC1B9E2" w14:textId="77777777" w:rsidR="00BB138C" w:rsidRPr="00EF6679" w:rsidRDefault="00BB138C" w:rsidP="00820288">
            <w:pPr>
              <w:spacing w:line="240" w:lineRule="auto"/>
              <w:rPr>
                <w:rFonts w:ascii="Times New Roman" w:hAnsi="Times New Roman" w:cs="Times New Roman"/>
                <w:color w:val="000000" w:themeColor="text1"/>
                <w:sz w:val="20"/>
                <w:szCs w:val="20"/>
                <w:vertAlign w:val="superscript"/>
              </w:rPr>
            </w:pPr>
            <w:r w:rsidRPr="00EF6679">
              <w:rPr>
                <w:rFonts w:ascii="Times New Roman" w:hAnsi="Times New Roman" w:cs="Times New Roman"/>
                <w:color w:val="000000" w:themeColor="text1"/>
                <w:sz w:val="20"/>
                <w:szCs w:val="20"/>
                <w:vertAlign w:val="superscript"/>
              </w:rPr>
              <w:t>a</w:t>
            </w:r>
          </w:p>
        </w:tc>
        <w:tc>
          <w:tcPr>
            <w:tcW w:w="1271" w:type="dxa"/>
            <w:noWrap/>
            <w:vAlign w:val="bottom"/>
            <w:hideMark/>
          </w:tcPr>
          <w:p w14:paraId="3604EC91" w14:textId="77777777" w:rsidR="00BB138C" w:rsidRPr="00EF6679" w:rsidRDefault="00BB138C" w:rsidP="00820288">
            <w:pPr>
              <w:spacing w:line="240" w:lineRule="auto"/>
              <w:jc w:val="right"/>
              <w:rPr>
                <w:rFonts w:ascii="Times New Roman" w:hAnsi="Times New Roman" w:cs="Times New Roman"/>
                <w:color w:val="000000" w:themeColor="text1"/>
                <w:sz w:val="20"/>
                <w:szCs w:val="20"/>
              </w:rPr>
            </w:pPr>
            <w:r w:rsidRPr="00EF6679">
              <w:rPr>
                <w:rFonts w:ascii="Times New Roman" w:hAnsi="Times New Roman" w:cs="Times New Roman"/>
                <w:color w:val="000000" w:themeColor="text1"/>
                <w:sz w:val="20"/>
                <w:szCs w:val="20"/>
              </w:rPr>
              <w:t>1.830</w:t>
            </w:r>
          </w:p>
        </w:tc>
        <w:tc>
          <w:tcPr>
            <w:tcW w:w="855" w:type="dxa"/>
            <w:noWrap/>
            <w:vAlign w:val="center"/>
            <w:hideMark/>
          </w:tcPr>
          <w:p w14:paraId="75F44BDE" w14:textId="77777777" w:rsidR="00BB138C" w:rsidRPr="00EF6679" w:rsidRDefault="00BB138C" w:rsidP="00820288">
            <w:pPr>
              <w:spacing w:line="240" w:lineRule="auto"/>
              <w:rPr>
                <w:rFonts w:ascii="Times New Roman" w:hAnsi="Times New Roman" w:cs="Times New Roman"/>
                <w:color w:val="000000" w:themeColor="text1"/>
                <w:sz w:val="20"/>
                <w:szCs w:val="20"/>
                <w:vertAlign w:val="superscript"/>
              </w:rPr>
            </w:pPr>
            <w:r w:rsidRPr="00EF6679">
              <w:rPr>
                <w:rFonts w:ascii="Times New Roman" w:hAnsi="Times New Roman" w:cs="Times New Roman"/>
                <w:color w:val="000000" w:themeColor="text1"/>
                <w:sz w:val="20"/>
                <w:szCs w:val="20"/>
                <w:vertAlign w:val="superscript"/>
              </w:rPr>
              <w:t>a</w:t>
            </w:r>
          </w:p>
        </w:tc>
      </w:tr>
      <w:tr w:rsidR="00BB138C" w:rsidRPr="00EF6679" w14:paraId="2407A301" w14:textId="77777777" w:rsidTr="00820288">
        <w:trPr>
          <w:trHeight w:val="334"/>
        </w:trPr>
        <w:tc>
          <w:tcPr>
            <w:tcW w:w="5144" w:type="dxa"/>
            <w:noWrap/>
            <w:vAlign w:val="bottom"/>
            <w:hideMark/>
          </w:tcPr>
          <w:p w14:paraId="4387934B" w14:textId="77777777" w:rsidR="00BB138C" w:rsidRPr="00EF6679" w:rsidRDefault="00BB138C" w:rsidP="00820288">
            <w:pPr>
              <w:spacing w:line="240" w:lineRule="auto"/>
              <w:rPr>
                <w:rFonts w:ascii="Times New Roman" w:hAnsi="Times New Roman" w:cs="Times New Roman"/>
                <w:color w:val="000000" w:themeColor="text1"/>
                <w:sz w:val="20"/>
                <w:szCs w:val="20"/>
              </w:rPr>
            </w:pPr>
            <w:r w:rsidRPr="00EF6679">
              <w:rPr>
                <w:rFonts w:ascii="Times New Roman" w:hAnsi="Times New Roman" w:cs="Times New Roman"/>
                <w:color w:val="000000" w:themeColor="text1"/>
                <w:sz w:val="20"/>
                <w:szCs w:val="20"/>
              </w:rPr>
              <w:t>(E/Z)-Ocimene Ratio</w:t>
            </w:r>
          </w:p>
        </w:tc>
        <w:tc>
          <w:tcPr>
            <w:tcW w:w="1354" w:type="dxa"/>
            <w:noWrap/>
            <w:vAlign w:val="center"/>
            <w:hideMark/>
          </w:tcPr>
          <w:p w14:paraId="432A819B" w14:textId="77777777" w:rsidR="00BB138C" w:rsidRPr="00EF6679" w:rsidRDefault="00BB138C" w:rsidP="00820288">
            <w:pPr>
              <w:spacing w:line="240" w:lineRule="auto"/>
              <w:jc w:val="right"/>
              <w:rPr>
                <w:rFonts w:ascii="Times New Roman" w:hAnsi="Times New Roman" w:cs="Times New Roman"/>
                <w:color w:val="000000" w:themeColor="text1"/>
                <w:sz w:val="20"/>
                <w:szCs w:val="20"/>
              </w:rPr>
            </w:pPr>
            <w:r w:rsidRPr="00EF6679">
              <w:rPr>
                <w:rFonts w:ascii="Times New Roman" w:hAnsi="Times New Roman" w:cs="Times New Roman"/>
                <w:color w:val="000000" w:themeColor="text1"/>
                <w:sz w:val="20"/>
                <w:szCs w:val="20"/>
              </w:rPr>
              <w:t>32.047</w:t>
            </w:r>
          </w:p>
        </w:tc>
        <w:tc>
          <w:tcPr>
            <w:tcW w:w="653" w:type="dxa"/>
            <w:noWrap/>
            <w:vAlign w:val="center"/>
            <w:hideMark/>
          </w:tcPr>
          <w:p w14:paraId="50BAFD96" w14:textId="77777777" w:rsidR="00BB138C" w:rsidRPr="00EF6679" w:rsidRDefault="00BB138C" w:rsidP="00820288">
            <w:pPr>
              <w:spacing w:line="240" w:lineRule="auto"/>
              <w:rPr>
                <w:rFonts w:ascii="Times New Roman" w:hAnsi="Times New Roman" w:cs="Times New Roman"/>
                <w:color w:val="000000" w:themeColor="text1"/>
                <w:sz w:val="20"/>
                <w:szCs w:val="20"/>
                <w:vertAlign w:val="superscript"/>
              </w:rPr>
            </w:pPr>
            <w:r w:rsidRPr="00EF6679">
              <w:rPr>
                <w:rFonts w:ascii="Times New Roman" w:hAnsi="Times New Roman" w:cs="Times New Roman"/>
                <w:color w:val="000000" w:themeColor="text1"/>
                <w:sz w:val="20"/>
                <w:szCs w:val="20"/>
                <w:vertAlign w:val="superscript"/>
              </w:rPr>
              <w:t>a</w:t>
            </w:r>
          </w:p>
        </w:tc>
        <w:tc>
          <w:tcPr>
            <w:tcW w:w="1271" w:type="dxa"/>
            <w:noWrap/>
            <w:vAlign w:val="bottom"/>
            <w:hideMark/>
          </w:tcPr>
          <w:p w14:paraId="309F3B02" w14:textId="77777777" w:rsidR="00BB138C" w:rsidRPr="00EF6679" w:rsidRDefault="00BB138C" w:rsidP="00820288">
            <w:pPr>
              <w:spacing w:line="240" w:lineRule="auto"/>
              <w:jc w:val="right"/>
              <w:rPr>
                <w:rFonts w:ascii="Times New Roman" w:hAnsi="Times New Roman" w:cs="Times New Roman"/>
                <w:color w:val="000000" w:themeColor="text1"/>
                <w:sz w:val="20"/>
                <w:szCs w:val="20"/>
              </w:rPr>
            </w:pPr>
            <w:r w:rsidRPr="00EF6679">
              <w:rPr>
                <w:rFonts w:ascii="Times New Roman" w:hAnsi="Times New Roman" w:cs="Times New Roman"/>
                <w:color w:val="000000" w:themeColor="text1"/>
                <w:sz w:val="20"/>
                <w:szCs w:val="20"/>
              </w:rPr>
              <w:t>37.307</w:t>
            </w:r>
          </w:p>
        </w:tc>
        <w:tc>
          <w:tcPr>
            <w:tcW w:w="855" w:type="dxa"/>
            <w:noWrap/>
            <w:vAlign w:val="center"/>
            <w:hideMark/>
          </w:tcPr>
          <w:p w14:paraId="67A79B8F" w14:textId="77777777" w:rsidR="00BB138C" w:rsidRPr="00EF6679" w:rsidRDefault="00BB138C" w:rsidP="00820288">
            <w:pPr>
              <w:spacing w:line="240" w:lineRule="auto"/>
              <w:rPr>
                <w:rFonts w:ascii="Times New Roman" w:hAnsi="Times New Roman" w:cs="Times New Roman"/>
                <w:color w:val="000000" w:themeColor="text1"/>
                <w:sz w:val="20"/>
                <w:szCs w:val="20"/>
                <w:vertAlign w:val="superscript"/>
              </w:rPr>
            </w:pPr>
            <w:r w:rsidRPr="00EF6679">
              <w:rPr>
                <w:rFonts w:ascii="Times New Roman" w:hAnsi="Times New Roman" w:cs="Times New Roman"/>
                <w:color w:val="000000" w:themeColor="text1"/>
                <w:sz w:val="20"/>
                <w:szCs w:val="20"/>
                <w:vertAlign w:val="superscript"/>
              </w:rPr>
              <w:t>a</w:t>
            </w:r>
          </w:p>
        </w:tc>
      </w:tr>
      <w:tr w:rsidR="00BB138C" w:rsidRPr="00EF6679" w14:paraId="083D3B3A" w14:textId="77777777" w:rsidTr="00820288">
        <w:trPr>
          <w:trHeight w:val="334"/>
        </w:trPr>
        <w:tc>
          <w:tcPr>
            <w:tcW w:w="5144" w:type="dxa"/>
            <w:noWrap/>
            <w:vAlign w:val="bottom"/>
            <w:hideMark/>
          </w:tcPr>
          <w:p w14:paraId="54051FF9" w14:textId="77777777" w:rsidR="00BB138C" w:rsidRPr="00EF6679" w:rsidRDefault="00BB138C" w:rsidP="00820288">
            <w:pPr>
              <w:spacing w:line="240" w:lineRule="auto"/>
              <w:rPr>
                <w:rFonts w:ascii="Times New Roman" w:hAnsi="Times New Roman" w:cs="Times New Roman"/>
                <w:color w:val="000000" w:themeColor="text1"/>
                <w:sz w:val="20"/>
                <w:szCs w:val="20"/>
              </w:rPr>
            </w:pPr>
            <w:r w:rsidRPr="00EF6679">
              <w:rPr>
                <w:rFonts w:ascii="Times New Roman" w:hAnsi="Times New Roman" w:cs="Times New Roman"/>
                <w:color w:val="202124"/>
                <w:sz w:val="20"/>
                <w:szCs w:val="20"/>
                <w:shd w:val="clear" w:color="auto" w:fill="FFFFFF"/>
              </w:rPr>
              <w:t>α</w:t>
            </w:r>
            <w:r w:rsidRPr="00EF6679">
              <w:rPr>
                <w:rFonts w:ascii="Times New Roman" w:hAnsi="Times New Roman" w:cs="Times New Roman"/>
                <w:color w:val="000000" w:themeColor="text1"/>
                <w:sz w:val="20"/>
                <w:szCs w:val="20"/>
              </w:rPr>
              <w:t>-Terpinene/Total Terpinenes</w:t>
            </w:r>
          </w:p>
        </w:tc>
        <w:tc>
          <w:tcPr>
            <w:tcW w:w="1354" w:type="dxa"/>
            <w:noWrap/>
            <w:vAlign w:val="center"/>
            <w:hideMark/>
          </w:tcPr>
          <w:p w14:paraId="63A87FA7" w14:textId="77777777" w:rsidR="00BB138C" w:rsidRPr="00EF6679" w:rsidRDefault="00BB138C" w:rsidP="00820288">
            <w:pPr>
              <w:spacing w:line="240" w:lineRule="auto"/>
              <w:jc w:val="right"/>
              <w:rPr>
                <w:rFonts w:ascii="Times New Roman" w:hAnsi="Times New Roman" w:cs="Times New Roman"/>
                <w:color w:val="000000" w:themeColor="text1"/>
                <w:sz w:val="20"/>
                <w:szCs w:val="20"/>
              </w:rPr>
            </w:pPr>
            <w:r w:rsidRPr="00EF6679">
              <w:rPr>
                <w:rFonts w:ascii="Times New Roman" w:hAnsi="Times New Roman" w:cs="Times New Roman"/>
                <w:color w:val="000000" w:themeColor="text1"/>
                <w:sz w:val="20"/>
                <w:szCs w:val="20"/>
              </w:rPr>
              <w:t>0.012</w:t>
            </w:r>
          </w:p>
        </w:tc>
        <w:tc>
          <w:tcPr>
            <w:tcW w:w="653" w:type="dxa"/>
            <w:noWrap/>
            <w:vAlign w:val="center"/>
            <w:hideMark/>
          </w:tcPr>
          <w:p w14:paraId="52360E98" w14:textId="77777777" w:rsidR="00BB138C" w:rsidRPr="00EF6679" w:rsidRDefault="00BB138C" w:rsidP="00820288">
            <w:pPr>
              <w:spacing w:line="240" w:lineRule="auto"/>
              <w:rPr>
                <w:rFonts w:ascii="Times New Roman" w:hAnsi="Times New Roman" w:cs="Times New Roman"/>
                <w:color w:val="000000" w:themeColor="text1"/>
                <w:sz w:val="20"/>
                <w:szCs w:val="20"/>
                <w:vertAlign w:val="superscript"/>
              </w:rPr>
            </w:pPr>
            <w:r w:rsidRPr="00EF6679">
              <w:rPr>
                <w:rFonts w:ascii="Times New Roman" w:hAnsi="Times New Roman" w:cs="Times New Roman"/>
                <w:color w:val="000000" w:themeColor="text1"/>
                <w:sz w:val="20"/>
                <w:szCs w:val="20"/>
                <w:vertAlign w:val="superscript"/>
              </w:rPr>
              <w:t xml:space="preserve">a </w:t>
            </w:r>
          </w:p>
        </w:tc>
        <w:tc>
          <w:tcPr>
            <w:tcW w:w="1271" w:type="dxa"/>
            <w:noWrap/>
            <w:vAlign w:val="bottom"/>
            <w:hideMark/>
          </w:tcPr>
          <w:p w14:paraId="7EDAD0C1" w14:textId="77777777" w:rsidR="00BB138C" w:rsidRPr="00EF6679" w:rsidRDefault="00BB138C" w:rsidP="00820288">
            <w:pPr>
              <w:spacing w:line="240" w:lineRule="auto"/>
              <w:jc w:val="right"/>
              <w:rPr>
                <w:rFonts w:ascii="Times New Roman" w:hAnsi="Times New Roman" w:cs="Times New Roman"/>
                <w:color w:val="000000" w:themeColor="text1"/>
                <w:sz w:val="20"/>
                <w:szCs w:val="20"/>
              </w:rPr>
            </w:pPr>
            <w:r w:rsidRPr="00EF6679">
              <w:rPr>
                <w:rFonts w:ascii="Times New Roman" w:hAnsi="Times New Roman" w:cs="Times New Roman"/>
                <w:color w:val="000000" w:themeColor="text1"/>
                <w:sz w:val="20"/>
                <w:szCs w:val="20"/>
              </w:rPr>
              <w:t>0.010</w:t>
            </w:r>
          </w:p>
        </w:tc>
        <w:tc>
          <w:tcPr>
            <w:tcW w:w="855" w:type="dxa"/>
            <w:noWrap/>
            <w:vAlign w:val="bottom"/>
            <w:hideMark/>
          </w:tcPr>
          <w:p w14:paraId="2B877FC4" w14:textId="77777777" w:rsidR="00BB138C" w:rsidRPr="00EF6679" w:rsidRDefault="00BB138C" w:rsidP="00820288">
            <w:pPr>
              <w:spacing w:line="240" w:lineRule="auto"/>
              <w:rPr>
                <w:rFonts w:ascii="Times New Roman" w:hAnsi="Times New Roman" w:cs="Times New Roman"/>
                <w:color w:val="000000" w:themeColor="text1"/>
                <w:sz w:val="20"/>
                <w:szCs w:val="20"/>
                <w:vertAlign w:val="superscript"/>
              </w:rPr>
            </w:pPr>
            <w:r w:rsidRPr="00EF6679">
              <w:rPr>
                <w:rFonts w:ascii="Times New Roman" w:hAnsi="Times New Roman" w:cs="Times New Roman"/>
                <w:color w:val="000000" w:themeColor="text1"/>
                <w:sz w:val="20"/>
                <w:szCs w:val="20"/>
                <w:vertAlign w:val="superscript"/>
              </w:rPr>
              <w:t xml:space="preserve">a </w:t>
            </w:r>
          </w:p>
        </w:tc>
      </w:tr>
      <w:tr w:rsidR="00BB138C" w:rsidRPr="00EF6679" w14:paraId="54D031AB" w14:textId="77777777" w:rsidTr="00820288">
        <w:trPr>
          <w:trHeight w:val="334"/>
        </w:trPr>
        <w:tc>
          <w:tcPr>
            <w:tcW w:w="5144" w:type="dxa"/>
            <w:noWrap/>
            <w:vAlign w:val="bottom"/>
          </w:tcPr>
          <w:p w14:paraId="3015DC50" w14:textId="77777777" w:rsidR="00BB138C" w:rsidRPr="00EF6679" w:rsidRDefault="00BB138C" w:rsidP="00820288">
            <w:pPr>
              <w:spacing w:line="240" w:lineRule="auto"/>
              <w:rPr>
                <w:rFonts w:ascii="Times New Roman" w:hAnsi="Times New Roman" w:cs="Times New Roman"/>
                <w:color w:val="000000" w:themeColor="text1"/>
                <w:sz w:val="20"/>
                <w:szCs w:val="20"/>
              </w:rPr>
            </w:pPr>
            <w:r w:rsidRPr="00EF6679">
              <w:rPr>
                <w:rFonts w:ascii="Times New Roman" w:hAnsi="Times New Roman" w:cs="Times New Roman"/>
                <w:color w:val="202124"/>
                <w:sz w:val="20"/>
                <w:szCs w:val="20"/>
                <w:shd w:val="clear" w:color="auto" w:fill="FFFFFF"/>
              </w:rPr>
              <w:t>γ</w:t>
            </w:r>
            <w:r w:rsidRPr="00EF6679">
              <w:rPr>
                <w:rFonts w:ascii="Times New Roman" w:hAnsi="Times New Roman" w:cs="Times New Roman"/>
                <w:color w:val="000000" w:themeColor="text1"/>
                <w:sz w:val="20"/>
                <w:szCs w:val="20"/>
              </w:rPr>
              <w:t>-Terpinene/Total Terpinenes</w:t>
            </w:r>
          </w:p>
        </w:tc>
        <w:tc>
          <w:tcPr>
            <w:tcW w:w="1354" w:type="dxa"/>
            <w:noWrap/>
            <w:vAlign w:val="center"/>
          </w:tcPr>
          <w:p w14:paraId="51B1C466" w14:textId="77777777" w:rsidR="00BB138C" w:rsidRPr="00EF6679" w:rsidRDefault="00BB138C" w:rsidP="00820288">
            <w:pPr>
              <w:spacing w:line="240" w:lineRule="auto"/>
              <w:jc w:val="right"/>
              <w:rPr>
                <w:rFonts w:ascii="Times New Roman" w:hAnsi="Times New Roman" w:cs="Times New Roman"/>
                <w:color w:val="000000" w:themeColor="text1"/>
                <w:sz w:val="20"/>
                <w:szCs w:val="20"/>
              </w:rPr>
            </w:pPr>
            <w:r w:rsidRPr="00EF6679">
              <w:rPr>
                <w:rFonts w:ascii="Times New Roman" w:hAnsi="Times New Roman" w:cs="Times New Roman"/>
                <w:color w:val="000000" w:themeColor="text1"/>
                <w:sz w:val="20"/>
                <w:szCs w:val="20"/>
              </w:rPr>
              <w:t>0.017</w:t>
            </w:r>
          </w:p>
        </w:tc>
        <w:tc>
          <w:tcPr>
            <w:tcW w:w="653" w:type="dxa"/>
            <w:noWrap/>
            <w:vAlign w:val="center"/>
          </w:tcPr>
          <w:p w14:paraId="2BC86701" w14:textId="77777777" w:rsidR="00BB138C" w:rsidRPr="00EF6679" w:rsidRDefault="00BB138C" w:rsidP="00820288">
            <w:pPr>
              <w:spacing w:line="240" w:lineRule="auto"/>
              <w:rPr>
                <w:rFonts w:ascii="Times New Roman" w:hAnsi="Times New Roman" w:cs="Times New Roman"/>
                <w:color w:val="000000" w:themeColor="text1"/>
                <w:sz w:val="20"/>
                <w:szCs w:val="20"/>
                <w:vertAlign w:val="superscript"/>
              </w:rPr>
            </w:pPr>
            <w:r w:rsidRPr="00EF6679">
              <w:rPr>
                <w:rFonts w:ascii="Times New Roman" w:hAnsi="Times New Roman" w:cs="Times New Roman"/>
                <w:color w:val="000000" w:themeColor="text1"/>
                <w:sz w:val="20"/>
                <w:szCs w:val="20"/>
                <w:vertAlign w:val="superscript"/>
              </w:rPr>
              <w:t xml:space="preserve">a </w:t>
            </w:r>
          </w:p>
        </w:tc>
        <w:tc>
          <w:tcPr>
            <w:tcW w:w="1271" w:type="dxa"/>
            <w:noWrap/>
            <w:vAlign w:val="bottom"/>
          </w:tcPr>
          <w:p w14:paraId="4224650F" w14:textId="77777777" w:rsidR="00BB138C" w:rsidRPr="00EF6679" w:rsidRDefault="00BB138C" w:rsidP="00820288">
            <w:pPr>
              <w:spacing w:line="240" w:lineRule="auto"/>
              <w:jc w:val="right"/>
              <w:rPr>
                <w:rFonts w:ascii="Times New Roman" w:hAnsi="Times New Roman" w:cs="Times New Roman"/>
                <w:color w:val="000000" w:themeColor="text1"/>
                <w:sz w:val="20"/>
                <w:szCs w:val="20"/>
              </w:rPr>
            </w:pPr>
            <w:r w:rsidRPr="00EF6679">
              <w:rPr>
                <w:rFonts w:ascii="Times New Roman" w:hAnsi="Times New Roman" w:cs="Times New Roman"/>
                <w:color w:val="000000" w:themeColor="text1"/>
                <w:sz w:val="20"/>
                <w:szCs w:val="20"/>
              </w:rPr>
              <w:t>0.008</w:t>
            </w:r>
          </w:p>
        </w:tc>
        <w:tc>
          <w:tcPr>
            <w:tcW w:w="855" w:type="dxa"/>
            <w:noWrap/>
            <w:vAlign w:val="bottom"/>
          </w:tcPr>
          <w:p w14:paraId="0945C62C" w14:textId="77777777" w:rsidR="00BB138C" w:rsidRPr="00EF6679" w:rsidRDefault="00BB138C" w:rsidP="00820288">
            <w:pPr>
              <w:spacing w:line="240" w:lineRule="auto"/>
              <w:rPr>
                <w:rFonts w:ascii="Times New Roman" w:hAnsi="Times New Roman" w:cs="Times New Roman"/>
                <w:color w:val="000000" w:themeColor="text1"/>
                <w:sz w:val="20"/>
                <w:szCs w:val="20"/>
                <w:vertAlign w:val="superscript"/>
              </w:rPr>
            </w:pPr>
            <w:r w:rsidRPr="00EF6679">
              <w:rPr>
                <w:rFonts w:ascii="Times New Roman" w:hAnsi="Times New Roman" w:cs="Times New Roman"/>
                <w:color w:val="000000" w:themeColor="text1"/>
                <w:sz w:val="20"/>
                <w:szCs w:val="20"/>
                <w:vertAlign w:val="superscript"/>
              </w:rPr>
              <w:t xml:space="preserve">b </w:t>
            </w:r>
          </w:p>
        </w:tc>
      </w:tr>
      <w:tr w:rsidR="00BB138C" w:rsidRPr="00EF6679" w14:paraId="04B874DC" w14:textId="77777777" w:rsidTr="00820288">
        <w:trPr>
          <w:trHeight w:val="334"/>
        </w:trPr>
        <w:tc>
          <w:tcPr>
            <w:tcW w:w="5144" w:type="dxa"/>
            <w:tcBorders>
              <w:bottom w:val="single" w:sz="4" w:space="0" w:color="auto"/>
            </w:tcBorders>
            <w:noWrap/>
            <w:vAlign w:val="bottom"/>
            <w:hideMark/>
          </w:tcPr>
          <w:p w14:paraId="520E42FD" w14:textId="77777777" w:rsidR="00BB138C" w:rsidRPr="00EF6679" w:rsidRDefault="00BB138C" w:rsidP="00820288">
            <w:pPr>
              <w:spacing w:line="240" w:lineRule="auto"/>
              <w:rPr>
                <w:rFonts w:ascii="Times New Roman" w:hAnsi="Times New Roman" w:cs="Times New Roman"/>
                <w:color w:val="000000" w:themeColor="text1"/>
                <w:sz w:val="20"/>
                <w:szCs w:val="20"/>
              </w:rPr>
            </w:pPr>
            <w:r w:rsidRPr="00EF6679">
              <w:rPr>
                <w:rFonts w:ascii="Times New Roman" w:hAnsi="Times New Roman" w:cs="Times New Roman"/>
                <w:color w:val="000000" w:themeColor="text1"/>
                <w:sz w:val="20"/>
                <w:szCs w:val="20"/>
              </w:rPr>
              <w:t>Terpinolene/Total Terpinenes</w:t>
            </w:r>
          </w:p>
        </w:tc>
        <w:tc>
          <w:tcPr>
            <w:tcW w:w="1354" w:type="dxa"/>
            <w:tcBorders>
              <w:bottom w:val="single" w:sz="4" w:space="0" w:color="auto"/>
            </w:tcBorders>
            <w:noWrap/>
            <w:vAlign w:val="center"/>
            <w:hideMark/>
          </w:tcPr>
          <w:p w14:paraId="082CC3E6" w14:textId="77777777" w:rsidR="00BB138C" w:rsidRPr="00EF6679" w:rsidRDefault="00BB138C" w:rsidP="00820288">
            <w:pPr>
              <w:spacing w:line="240" w:lineRule="auto"/>
              <w:jc w:val="right"/>
              <w:rPr>
                <w:rFonts w:ascii="Times New Roman" w:hAnsi="Times New Roman" w:cs="Times New Roman"/>
                <w:color w:val="000000" w:themeColor="text1"/>
                <w:sz w:val="20"/>
                <w:szCs w:val="20"/>
              </w:rPr>
            </w:pPr>
            <w:r w:rsidRPr="00EF6679">
              <w:rPr>
                <w:rFonts w:ascii="Times New Roman" w:hAnsi="Times New Roman" w:cs="Times New Roman"/>
                <w:color w:val="000000" w:themeColor="text1"/>
                <w:sz w:val="20"/>
                <w:szCs w:val="20"/>
              </w:rPr>
              <w:t>0.971</w:t>
            </w:r>
          </w:p>
        </w:tc>
        <w:tc>
          <w:tcPr>
            <w:tcW w:w="653" w:type="dxa"/>
            <w:tcBorders>
              <w:bottom w:val="single" w:sz="4" w:space="0" w:color="auto"/>
            </w:tcBorders>
            <w:noWrap/>
            <w:vAlign w:val="center"/>
            <w:hideMark/>
          </w:tcPr>
          <w:p w14:paraId="3863F5D1" w14:textId="77777777" w:rsidR="00BB138C" w:rsidRPr="00EF6679" w:rsidRDefault="00BB138C" w:rsidP="00820288">
            <w:pPr>
              <w:spacing w:line="240" w:lineRule="auto"/>
              <w:rPr>
                <w:rFonts w:ascii="Times New Roman" w:hAnsi="Times New Roman" w:cs="Times New Roman"/>
                <w:color w:val="000000" w:themeColor="text1"/>
                <w:sz w:val="20"/>
                <w:szCs w:val="20"/>
                <w:vertAlign w:val="superscript"/>
              </w:rPr>
            </w:pPr>
            <w:r w:rsidRPr="00EF6679">
              <w:rPr>
                <w:rFonts w:ascii="Times New Roman" w:hAnsi="Times New Roman" w:cs="Times New Roman"/>
                <w:color w:val="000000" w:themeColor="text1"/>
                <w:sz w:val="20"/>
                <w:szCs w:val="20"/>
                <w:vertAlign w:val="superscript"/>
              </w:rPr>
              <w:t xml:space="preserve">a </w:t>
            </w:r>
          </w:p>
        </w:tc>
        <w:tc>
          <w:tcPr>
            <w:tcW w:w="1271" w:type="dxa"/>
            <w:tcBorders>
              <w:bottom w:val="single" w:sz="4" w:space="0" w:color="auto"/>
            </w:tcBorders>
            <w:noWrap/>
            <w:vAlign w:val="bottom"/>
            <w:hideMark/>
          </w:tcPr>
          <w:p w14:paraId="6DDA33A8" w14:textId="77777777" w:rsidR="00BB138C" w:rsidRPr="00EF6679" w:rsidRDefault="00BB138C" w:rsidP="00820288">
            <w:pPr>
              <w:spacing w:line="240" w:lineRule="auto"/>
              <w:jc w:val="right"/>
              <w:rPr>
                <w:rFonts w:ascii="Times New Roman" w:hAnsi="Times New Roman" w:cs="Times New Roman"/>
                <w:color w:val="000000" w:themeColor="text1"/>
                <w:sz w:val="20"/>
                <w:szCs w:val="20"/>
              </w:rPr>
            </w:pPr>
            <w:r w:rsidRPr="00EF6679">
              <w:rPr>
                <w:rFonts w:ascii="Times New Roman" w:hAnsi="Times New Roman" w:cs="Times New Roman"/>
                <w:color w:val="000000" w:themeColor="text1"/>
                <w:sz w:val="20"/>
                <w:szCs w:val="20"/>
              </w:rPr>
              <w:t>0.982</w:t>
            </w:r>
          </w:p>
        </w:tc>
        <w:tc>
          <w:tcPr>
            <w:tcW w:w="855" w:type="dxa"/>
            <w:tcBorders>
              <w:bottom w:val="single" w:sz="4" w:space="0" w:color="auto"/>
            </w:tcBorders>
            <w:noWrap/>
            <w:vAlign w:val="bottom"/>
            <w:hideMark/>
          </w:tcPr>
          <w:p w14:paraId="66FCA0FA" w14:textId="77777777" w:rsidR="00BB138C" w:rsidRPr="00EF6679" w:rsidRDefault="00BB138C" w:rsidP="00820288">
            <w:pPr>
              <w:spacing w:line="240" w:lineRule="auto"/>
              <w:rPr>
                <w:rFonts w:ascii="Times New Roman" w:hAnsi="Times New Roman" w:cs="Times New Roman"/>
                <w:color w:val="000000" w:themeColor="text1"/>
                <w:sz w:val="20"/>
                <w:szCs w:val="20"/>
                <w:vertAlign w:val="superscript"/>
              </w:rPr>
            </w:pPr>
            <w:r w:rsidRPr="00EF6679">
              <w:rPr>
                <w:rFonts w:ascii="Times New Roman" w:hAnsi="Times New Roman" w:cs="Times New Roman"/>
                <w:color w:val="000000" w:themeColor="text1"/>
                <w:sz w:val="20"/>
                <w:szCs w:val="20"/>
                <w:vertAlign w:val="superscript"/>
              </w:rPr>
              <w:t xml:space="preserve">a </w:t>
            </w:r>
          </w:p>
        </w:tc>
      </w:tr>
    </w:tbl>
    <w:p w14:paraId="3367CDD3" w14:textId="77777777" w:rsidR="00BB138C" w:rsidRPr="00EF6679" w:rsidRDefault="00BB138C" w:rsidP="00BB138C">
      <w:pPr>
        <w:spacing w:line="240" w:lineRule="auto"/>
        <w:jc w:val="both"/>
        <w:rPr>
          <w:rFonts w:cs="Times New Roman"/>
          <w:color w:val="000000" w:themeColor="text1"/>
          <w:sz w:val="20"/>
          <w:szCs w:val="20"/>
        </w:rPr>
      </w:pPr>
      <w:r w:rsidRPr="00EF6679">
        <w:rPr>
          <w:rFonts w:cs="Times New Roman"/>
          <w:color w:val="000000" w:themeColor="text1"/>
          <w:sz w:val="20"/>
          <w:szCs w:val="20"/>
        </w:rPr>
        <w:t>Total concentration is presented in micro molarity of analyte per gram of fresh mass (µM</w:t>
      </w:r>
      <w:r w:rsidRPr="00EF6679">
        <w:rPr>
          <w:rFonts w:cs="Times New Roman"/>
          <w:color w:val="000000" w:themeColor="text1"/>
          <w:sz w:val="20"/>
          <w:szCs w:val="20"/>
        </w:rPr>
        <w:sym w:font="Symbol" w:char="F0D7"/>
      </w:r>
      <w:r w:rsidRPr="00EF6679">
        <w:rPr>
          <w:rFonts w:cs="Times New Roman"/>
          <w:color w:val="000000" w:themeColor="text1"/>
          <w:sz w:val="20"/>
          <w:szCs w:val="20"/>
        </w:rPr>
        <w:t>g</w:t>
      </w:r>
      <w:r w:rsidRPr="00EF6679">
        <w:rPr>
          <w:rFonts w:cs="Times New Roman"/>
          <w:color w:val="000000" w:themeColor="text1"/>
          <w:sz w:val="20"/>
          <w:szCs w:val="20"/>
          <w:vertAlign w:val="superscript"/>
        </w:rPr>
        <w:t>-1</w:t>
      </w:r>
      <w:r w:rsidRPr="00EF6679">
        <w:rPr>
          <w:rFonts w:cs="Times New Roman"/>
          <w:color w:val="000000" w:themeColor="text1"/>
          <w:sz w:val="20"/>
          <w:szCs w:val="20"/>
        </w:rPr>
        <w:t xml:space="preserve"> FM). All ratios represent mean values of two plants per replication and ten replications per treatment. Values for each season are averaged across all treatments within that season. Values were analyzed using Tukey’s (protected) honest significant difference test. Data in the same row followed by the same letter are not significantly different (α = 0.05). </w:t>
      </w:r>
    </w:p>
    <w:p w14:paraId="304FF072" w14:textId="77777777" w:rsidR="00BB138C" w:rsidRPr="00EF6679" w:rsidRDefault="00BB138C" w:rsidP="00BB138C">
      <w:pPr>
        <w:spacing w:line="240" w:lineRule="auto"/>
        <w:rPr>
          <w:rFonts w:cs="Times New Roman"/>
          <w:b/>
          <w:bCs/>
          <w:color w:val="000000" w:themeColor="text1"/>
        </w:rPr>
      </w:pPr>
      <w:r w:rsidRPr="00EF6679">
        <w:rPr>
          <w:rFonts w:cs="Times New Roman"/>
          <w:b/>
          <w:bCs/>
          <w:color w:val="000000" w:themeColor="text1"/>
        </w:rPr>
        <w:br w:type="page"/>
      </w:r>
    </w:p>
    <w:p w14:paraId="05C80242" w14:textId="6A3ACD85" w:rsidR="00BB138C" w:rsidRPr="00EF6679" w:rsidRDefault="00BB138C" w:rsidP="00EF6679">
      <w:pPr>
        <w:pStyle w:val="TableTOC"/>
        <w:rPr>
          <w:rFonts w:cs="Times New Roman"/>
        </w:rPr>
      </w:pPr>
      <w:bookmarkStart w:id="711" w:name="_Toc141478790"/>
      <w:r w:rsidRPr="00EF6679">
        <w:rPr>
          <w:rFonts w:cs="Times New Roman"/>
          <w:b/>
          <w:bCs/>
        </w:rPr>
        <w:lastRenderedPageBreak/>
        <w:t xml:space="preserve">Table </w:t>
      </w:r>
      <w:r w:rsidR="00BA2365" w:rsidRPr="00EF6679">
        <w:rPr>
          <w:rFonts w:cs="Times New Roman"/>
          <w:b/>
          <w:bCs/>
        </w:rPr>
        <w:t>5.</w:t>
      </w:r>
      <w:r w:rsidRPr="00EF6679">
        <w:rPr>
          <w:rFonts w:cs="Times New Roman"/>
          <w:b/>
          <w:bCs/>
        </w:rPr>
        <w:t xml:space="preserve">6. </w:t>
      </w:r>
      <w:r w:rsidRPr="00EF6679">
        <w:rPr>
          <w:rFonts w:cs="Times New Roman"/>
        </w:rPr>
        <w:t>Influence of light treatment on aroma volatile tissue concentrations in hydroponically grown greenhouse sweet basil (</w:t>
      </w:r>
      <w:r w:rsidRPr="00EF6679">
        <w:rPr>
          <w:rFonts w:cs="Times New Roman"/>
          <w:i/>
          <w:iCs/>
        </w:rPr>
        <w:t xml:space="preserve">Ocimum basilicum </w:t>
      </w:r>
      <w:r w:rsidRPr="00EF6679">
        <w:rPr>
          <w:rFonts w:cs="Times New Roman"/>
        </w:rPr>
        <w:t>var. Genovese).</w:t>
      </w:r>
      <w:bookmarkEnd w:id="711"/>
    </w:p>
    <w:p w14:paraId="650B6455" w14:textId="77777777" w:rsidR="00BB138C" w:rsidRPr="00EF6679" w:rsidRDefault="00BB138C" w:rsidP="00BB138C">
      <w:pPr>
        <w:spacing w:line="240" w:lineRule="auto"/>
        <w:rPr>
          <w:rFonts w:cs="Times New Roman"/>
          <w:b/>
          <w:bCs/>
          <w:color w:val="000000" w:themeColor="text1"/>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14" w:type="dxa"/>
        </w:tblCellMar>
        <w:tblLook w:val="04A0" w:firstRow="1" w:lastRow="0" w:firstColumn="1" w:lastColumn="0" w:noHBand="0" w:noVBand="1"/>
      </w:tblPr>
      <w:tblGrid>
        <w:gridCol w:w="2880"/>
        <w:gridCol w:w="576"/>
        <w:gridCol w:w="576"/>
        <w:gridCol w:w="576"/>
        <w:gridCol w:w="576"/>
        <w:gridCol w:w="576"/>
        <w:gridCol w:w="576"/>
        <w:gridCol w:w="576"/>
        <w:gridCol w:w="576"/>
      </w:tblGrid>
      <w:tr w:rsidR="00BB138C" w:rsidRPr="00EF6679" w14:paraId="78C365F6" w14:textId="77777777" w:rsidTr="00820288">
        <w:trPr>
          <w:trHeight w:val="173"/>
        </w:trPr>
        <w:tc>
          <w:tcPr>
            <w:tcW w:w="2880" w:type="dxa"/>
            <w:tcBorders>
              <w:top w:val="single" w:sz="4" w:space="0" w:color="auto"/>
            </w:tcBorders>
            <w:noWrap/>
            <w:vAlign w:val="center"/>
          </w:tcPr>
          <w:p w14:paraId="0115003A" w14:textId="77777777" w:rsidR="00BB138C" w:rsidRPr="00EF6679" w:rsidRDefault="00BB138C" w:rsidP="00820288">
            <w:pPr>
              <w:spacing w:line="240" w:lineRule="auto"/>
              <w:rPr>
                <w:rFonts w:ascii="Times New Roman" w:hAnsi="Times New Roman" w:cs="Times New Roman"/>
                <w:color w:val="000000" w:themeColor="text1"/>
                <w:sz w:val="16"/>
                <w:szCs w:val="16"/>
              </w:rPr>
            </w:pPr>
          </w:p>
        </w:tc>
        <w:tc>
          <w:tcPr>
            <w:tcW w:w="4608" w:type="dxa"/>
            <w:gridSpan w:val="8"/>
            <w:tcBorders>
              <w:top w:val="single" w:sz="4" w:space="0" w:color="auto"/>
              <w:bottom w:val="single" w:sz="4" w:space="0" w:color="auto"/>
            </w:tcBorders>
            <w:noWrap/>
            <w:vAlign w:val="center"/>
          </w:tcPr>
          <w:p w14:paraId="1DB66167" w14:textId="77777777" w:rsidR="00BB138C" w:rsidRPr="00EF6679" w:rsidRDefault="00BB138C" w:rsidP="00820288">
            <w:pPr>
              <w:spacing w:line="240" w:lineRule="auto"/>
              <w:jc w:val="center"/>
              <w:rPr>
                <w:rFonts w:ascii="Times New Roman" w:hAnsi="Times New Roman" w:cs="Times New Roman"/>
                <w:b/>
                <w:bCs/>
                <w:color w:val="000000" w:themeColor="text1"/>
                <w:sz w:val="16"/>
                <w:szCs w:val="16"/>
              </w:rPr>
            </w:pPr>
            <w:r w:rsidRPr="00EF6679">
              <w:rPr>
                <w:rFonts w:ascii="Times New Roman" w:hAnsi="Times New Roman" w:cs="Times New Roman"/>
                <w:b/>
                <w:bCs/>
                <w:color w:val="000000" w:themeColor="text1"/>
                <w:sz w:val="16"/>
                <w:szCs w:val="16"/>
              </w:rPr>
              <w:t>Lighting Treatments</w:t>
            </w:r>
          </w:p>
        </w:tc>
      </w:tr>
      <w:tr w:rsidR="00BB138C" w:rsidRPr="00EF6679" w14:paraId="6AE9F383" w14:textId="77777777" w:rsidTr="00820288">
        <w:trPr>
          <w:trHeight w:val="173"/>
        </w:trPr>
        <w:tc>
          <w:tcPr>
            <w:tcW w:w="2880" w:type="dxa"/>
            <w:tcBorders>
              <w:bottom w:val="single" w:sz="4" w:space="0" w:color="auto"/>
            </w:tcBorders>
            <w:noWrap/>
            <w:vAlign w:val="center"/>
            <w:hideMark/>
          </w:tcPr>
          <w:p w14:paraId="7B2B86E3" w14:textId="77777777" w:rsidR="00BB138C" w:rsidRPr="00EF6679" w:rsidRDefault="00BB138C" w:rsidP="00820288">
            <w:pPr>
              <w:spacing w:line="240" w:lineRule="auto"/>
              <w:rPr>
                <w:rFonts w:ascii="Times New Roman" w:hAnsi="Times New Roman" w:cs="Times New Roman"/>
                <w:b/>
                <w:bCs/>
                <w:color w:val="000000" w:themeColor="text1"/>
                <w:sz w:val="16"/>
                <w:szCs w:val="16"/>
              </w:rPr>
            </w:pPr>
            <w:r w:rsidRPr="00EF6679">
              <w:rPr>
                <w:rFonts w:ascii="Times New Roman" w:hAnsi="Times New Roman" w:cs="Times New Roman"/>
                <w:b/>
                <w:bCs/>
                <w:color w:val="000000" w:themeColor="text1"/>
                <w:sz w:val="16"/>
                <w:szCs w:val="16"/>
              </w:rPr>
              <w:t>Compound Name</w:t>
            </w:r>
          </w:p>
        </w:tc>
        <w:tc>
          <w:tcPr>
            <w:tcW w:w="1152" w:type="dxa"/>
            <w:gridSpan w:val="2"/>
            <w:tcBorders>
              <w:top w:val="single" w:sz="4" w:space="0" w:color="auto"/>
              <w:bottom w:val="single" w:sz="4" w:space="0" w:color="auto"/>
            </w:tcBorders>
            <w:noWrap/>
            <w:vAlign w:val="center"/>
            <w:hideMark/>
          </w:tcPr>
          <w:p w14:paraId="4FE2A614" w14:textId="77777777" w:rsidR="00BB138C" w:rsidRPr="00EF6679" w:rsidRDefault="00BB138C" w:rsidP="00820288">
            <w:pPr>
              <w:spacing w:line="240" w:lineRule="auto"/>
              <w:jc w:val="center"/>
              <w:rPr>
                <w:rFonts w:ascii="Times New Roman" w:hAnsi="Times New Roman" w:cs="Times New Roman"/>
                <w:b/>
                <w:bCs/>
                <w:color w:val="000000" w:themeColor="text1"/>
                <w:sz w:val="16"/>
                <w:szCs w:val="16"/>
              </w:rPr>
            </w:pPr>
            <w:r w:rsidRPr="00EF6679">
              <w:rPr>
                <w:rFonts w:ascii="Times New Roman" w:hAnsi="Times New Roman" w:cs="Times New Roman"/>
                <w:b/>
                <w:bCs/>
                <w:color w:val="000000" w:themeColor="text1"/>
                <w:sz w:val="16"/>
                <w:szCs w:val="16"/>
              </w:rPr>
              <w:t>Narrowband 20B/80R</w:t>
            </w:r>
          </w:p>
        </w:tc>
        <w:tc>
          <w:tcPr>
            <w:tcW w:w="1152" w:type="dxa"/>
            <w:gridSpan w:val="2"/>
            <w:tcBorders>
              <w:top w:val="single" w:sz="4" w:space="0" w:color="auto"/>
              <w:bottom w:val="single" w:sz="4" w:space="0" w:color="auto"/>
            </w:tcBorders>
            <w:noWrap/>
            <w:vAlign w:val="center"/>
            <w:hideMark/>
          </w:tcPr>
          <w:p w14:paraId="450A3198" w14:textId="77777777" w:rsidR="00BB138C" w:rsidRPr="00EF6679" w:rsidRDefault="00BB138C" w:rsidP="00820288">
            <w:pPr>
              <w:spacing w:line="240" w:lineRule="auto"/>
              <w:jc w:val="center"/>
              <w:rPr>
                <w:rFonts w:ascii="Times New Roman" w:hAnsi="Times New Roman" w:cs="Times New Roman"/>
                <w:b/>
                <w:bCs/>
                <w:color w:val="000000" w:themeColor="text1"/>
                <w:sz w:val="16"/>
                <w:szCs w:val="16"/>
              </w:rPr>
            </w:pPr>
            <w:r w:rsidRPr="00EF6679">
              <w:rPr>
                <w:rFonts w:ascii="Times New Roman" w:hAnsi="Times New Roman" w:cs="Times New Roman"/>
                <w:b/>
                <w:bCs/>
                <w:color w:val="000000" w:themeColor="text1"/>
                <w:sz w:val="16"/>
                <w:szCs w:val="16"/>
              </w:rPr>
              <w:t>Broadband White</w:t>
            </w:r>
          </w:p>
        </w:tc>
        <w:tc>
          <w:tcPr>
            <w:tcW w:w="1152" w:type="dxa"/>
            <w:gridSpan w:val="2"/>
            <w:tcBorders>
              <w:top w:val="single" w:sz="4" w:space="0" w:color="auto"/>
              <w:bottom w:val="single" w:sz="4" w:space="0" w:color="auto"/>
            </w:tcBorders>
            <w:noWrap/>
            <w:vAlign w:val="center"/>
            <w:hideMark/>
          </w:tcPr>
          <w:p w14:paraId="331D7660" w14:textId="77777777" w:rsidR="00BB138C" w:rsidRPr="00EF6679" w:rsidRDefault="00BB138C" w:rsidP="00820288">
            <w:pPr>
              <w:spacing w:line="240" w:lineRule="auto"/>
              <w:jc w:val="center"/>
              <w:rPr>
                <w:rFonts w:ascii="Times New Roman" w:hAnsi="Times New Roman" w:cs="Times New Roman"/>
                <w:b/>
                <w:bCs/>
                <w:color w:val="000000" w:themeColor="text1"/>
                <w:sz w:val="16"/>
                <w:szCs w:val="16"/>
              </w:rPr>
            </w:pPr>
            <w:r w:rsidRPr="00EF6679">
              <w:rPr>
                <w:rFonts w:ascii="Times New Roman" w:hAnsi="Times New Roman" w:cs="Times New Roman"/>
                <w:b/>
                <w:bCs/>
                <w:color w:val="000000" w:themeColor="text1"/>
                <w:sz w:val="16"/>
                <w:szCs w:val="16"/>
              </w:rPr>
              <w:t>High Pressure Sodium</w:t>
            </w:r>
          </w:p>
        </w:tc>
        <w:tc>
          <w:tcPr>
            <w:tcW w:w="1152" w:type="dxa"/>
            <w:gridSpan w:val="2"/>
            <w:tcBorders>
              <w:top w:val="single" w:sz="4" w:space="0" w:color="auto"/>
              <w:bottom w:val="single" w:sz="4" w:space="0" w:color="auto"/>
            </w:tcBorders>
            <w:noWrap/>
            <w:vAlign w:val="center"/>
            <w:hideMark/>
          </w:tcPr>
          <w:p w14:paraId="0C5318C5" w14:textId="77777777" w:rsidR="00BB138C" w:rsidRPr="00EF6679" w:rsidRDefault="00BB138C" w:rsidP="00820288">
            <w:pPr>
              <w:spacing w:line="240" w:lineRule="auto"/>
              <w:jc w:val="center"/>
              <w:rPr>
                <w:rFonts w:ascii="Times New Roman" w:hAnsi="Times New Roman" w:cs="Times New Roman"/>
                <w:b/>
                <w:bCs/>
                <w:color w:val="000000" w:themeColor="text1"/>
                <w:sz w:val="16"/>
                <w:szCs w:val="16"/>
              </w:rPr>
            </w:pPr>
            <w:r w:rsidRPr="00EF6679">
              <w:rPr>
                <w:rFonts w:ascii="Times New Roman" w:hAnsi="Times New Roman" w:cs="Times New Roman"/>
                <w:b/>
                <w:bCs/>
                <w:color w:val="000000" w:themeColor="text1"/>
                <w:sz w:val="16"/>
                <w:szCs w:val="16"/>
              </w:rPr>
              <w:t>Natural Light Control</w:t>
            </w:r>
          </w:p>
        </w:tc>
      </w:tr>
      <w:tr w:rsidR="00BB138C" w:rsidRPr="00EF6679" w14:paraId="222A0F70" w14:textId="77777777" w:rsidTr="00820288">
        <w:trPr>
          <w:trHeight w:val="173"/>
        </w:trPr>
        <w:tc>
          <w:tcPr>
            <w:tcW w:w="2880" w:type="dxa"/>
            <w:tcBorders>
              <w:top w:val="single" w:sz="4" w:space="0" w:color="auto"/>
            </w:tcBorders>
            <w:noWrap/>
            <w:vAlign w:val="bottom"/>
            <w:hideMark/>
          </w:tcPr>
          <w:p w14:paraId="2C2FE067" w14:textId="77777777" w:rsidR="00BB138C" w:rsidRPr="00EF6679" w:rsidRDefault="00BB138C" w:rsidP="00820288">
            <w:pPr>
              <w:spacing w:line="240" w:lineRule="auto"/>
              <w:rPr>
                <w:rFonts w:ascii="Times New Roman" w:hAnsi="Times New Roman" w:cs="Times New Roman"/>
                <w:b/>
                <w:bCs/>
                <w:color w:val="000000" w:themeColor="text1"/>
                <w:sz w:val="16"/>
                <w:szCs w:val="16"/>
              </w:rPr>
            </w:pPr>
            <w:r w:rsidRPr="00EF6679">
              <w:rPr>
                <w:rFonts w:ascii="Times New Roman" w:hAnsi="Times New Roman" w:cs="Times New Roman"/>
                <w:color w:val="000000" w:themeColor="text1"/>
                <w:sz w:val="16"/>
                <w:szCs w:val="16"/>
              </w:rPr>
              <w:t xml:space="preserve">Propanal                 </w:t>
            </w:r>
          </w:p>
        </w:tc>
        <w:tc>
          <w:tcPr>
            <w:tcW w:w="576" w:type="dxa"/>
            <w:tcBorders>
              <w:top w:val="single" w:sz="4" w:space="0" w:color="auto"/>
            </w:tcBorders>
            <w:noWrap/>
            <w:vAlign w:val="bottom"/>
            <w:hideMark/>
          </w:tcPr>
          <w:p w14:paraId="43C093FA" w14:textId="77777777" w:rsidR="00BB138C" w:rsidRPr="00EF6679" w:rsidRDefault="00BB138C" w:rsidP="00820288">
            <w:pPr>
              <w:spacing w:line="240" w:lineRule="auto"/>
              <w:jc w:val="right"/>
              <w:rPr>
                <w:rFonts w:ascii="Times New Roman" w:hAnsi="Times New Roman" w:cs="Times New Roman"/>
                <w:color w:val="000000" w:themeColor="text1"/>
                <w:sz w:val="16"/>
                <w:szCs w:val="16"/>
              </w:rPr>
            </w:pPr>
            <w:r w:rsidRPr="00EF6679">
              <w:rPr>
                <w:rFonts w:ascii="Times New Roman" w:hAnsi="Times New Roman" w:cs="Times New Roman"/>
                <w:color w:val="000000" w:themeColor="text1"/>
                <w:sz w:val="16"/>
                <w:szCs w:val="16"/>
              </w:rPr>
              <w:t>0.305</w:t>
            </w:r>
          </w:p>
        </w:tc>
        <w:tc>
          <w:tcPr>
            <w:tcW w:w="576" w:type="dxa"/>
            <w:tcBorders>
              <w:top w:val="single" w:sz="4" w:space="0" w:color="auto"/>
            </w:tcBorders>
            <w:noWrap/>
            <w:vAlign w:val="center"/>
            <w:hideMark/>
          </w:tcPr>
          <w:p w14:paraId="4DF9BF60" w14:textId="77777777" w:rsidR="00BB138C" w:rsidRPr="00EF6679" w:rsidRDefault="00BB138C" w:rsidP="00820288">
            <w:pPr>
              <w:spacing w:line="240" w:lineRule="auto"/>
              <w:rPr>
                <w:rFonts w:ascii="Times New Roman" w:hAnsi="Times New Roman" w:cs="Times New Roman"/>
                <w:color w:val="000000" w:themeColor="text1"/>
                <w:sz w:val="16"/>
                <w:szCs w:val="16"/>
                <w:vertAlign w:val="superscript"/>
              </w:rPr>
            </w:pPr>
            <w:r w:rsidRPr="00EF6679">
              <w:rPr>
                <w:rFonts w:ascii="Times New Roman" w:hAnsi="Times New Roman" w:cs="Times New Roman"/>
                <w:color w:val="000000" w:themeColor="text1"/>
                <w:sz w:val="16"/>
                <w:szCs w:val="16"/>
                <w:vertAlign w:val="superscript"/>
              </w:rPr>
              <w:t>a</w:t>
            </w:r>
          </w:p>
        </w:tc>
        <w:tc>
          <w:tcPr>
            <w:tcW w:w="576" w:type="dxa"/>
            <w:tcBorders>
              <w:top w:val="single" w:sz="4" w:space="0" w:color="auto"/>
            </w:tcBorders>
            <w:noWrap/>
            <w:vAlign w:val="center"/>
            <w:hideMark/>
          </w:tcPr>
          <w:p w14:paraId="012FB2C0" w14:textId="77777777" w:rsidR="00BB138C" w:rsidRPr="00EF6679" w:rsidRDefault="00BB138C" w:rsidP="00820288">
            <w:pPr>
              <w:spacing w:line="240" w:lineRule="auto"/>
              <w:jc w:val="right"/>
              <w:rPr>
                <w:rFonts w:ascii="Times New Roman" w:hAnsi="Times New Roman" w:cs="Times New Roman"/>
                <w:color w:val="000000" w:themeColor="text1"/>
                <w:sz w:val="16"/>
                <w:szCs w:val="16"/>
              </w:rPr>
            </w:pPr>
            <w:r w:rsidRPr="00EF6679">
              <w:rPr>
                <w:rFonts w:ascii="Times New Roman" w:hAnsi="Times New Roman" w:cs="Times New Roman"/>
                <w:color w:val="000000" w:themeColor="text1"/>
                <w:sz w:val="16"/>
                <w:szCs w:val="16"/>
              </w:rPr>
              <w:t>0.201</w:t>
            </w:r>
          </w:p>
        </w:tc>
        <w:tc>
          <w:tcPr>
            <w:tcW w:w="576" w:type="dxa"/>
            <w:tcBorders>
              <w:top w:val="single" w:sz="4" w:space="0" w:color="auto"/>
            </w:tcBorders>
            <w:noWrap/>
            <w:vAlign w:val="center"/>
            <w:hideMark/>
          </w:tcPr>
          <w:p w14:paraId="1DE9204E" w14:textId="77777777" w:rsidR="00BB138C" w:rsidRPr="00EF6679" w:rsidRDefault="00BB138C" w:rsidP="00820288">
            <w:pPr>
              <w:spacing w:line="240" w:lineRule="auto"/>
              <w:rPr>
                <w:rFonts w:ascii="Times New Roman" w:hAnsi="Times New Roman" w:cs="Times New Roman"/>
                <w:color w:val="000000" w:themeColor="text1"/>
                <w:sz w:val="16"/>
                <w:szCs w:val="16"/>
                <w:vertAlign w:val="superscript"/>
              </w:rPr>
            </w:pPr>
            <w:r w:rsidRPr="00EF6679">
              <w:rPr>
                <w:rFonts w:ascii="Times New Roman" w:hAnsi="Times New Roman" w:cs="Times New Roman"/>
                <w:color w:val="000000" w:themeColor="text1"/>
                <w:sz w:val="16"/>
                <w:szCs w:val="16"/>
                <w:vertAlign w:val="superscript"/>
              </w:rPr>
              <w:t>ab</w:t>
            </w:r>
          </w:p>
        </w:tc>
        <w:tc>
          <w:tcPr>
            <w:tcW w:w="576" w:type="dxa"/>
            <w:tcBorders>
              <w:top w:val="single" w:sz="4" w:space="0" w:color="auto"/>
            </w:tcBorders>
            <w:noWrap/>
            <w:vAlign w:val="center"/>
            <w:hideMark/>
          </w:tcPr>
          <w:p w14:paraId="13891ECA" w14:textId="77777777" w:rsidR="00BB138C" w:rsidRPr="00EF6679" w:rsidRDefault="00BB138C" w:rsidP="00820288">
            <w:pPr>
              <w:spacing w:line="240" w:lineRule="auto"/>
              <w:jc w:val="right"/>
              <w:rPr>
                <w:rFonts w:ascii="Times New Roman" w:hAnsi="Times New Roman" w:cs="Times New Roman"/>
                <w:color w:val="000000" w:themeColor="text1"/>
                <w:sz w:val="16"/>
                <w:szCs w:val="16"/>
              </w:rPr>
            </w:pPr>
            <w:r w:rsidRPr="00EF6679">
              <w:rPr>
                <w:rFonts w:ascii="Times New Roman" w:hAnsi="Times New Roman" w:cs="Times New Roman"/>
                <w:color w:val="000000" w:themeColor="text1"/>
                <w:sz w:val="16"/>
                <w:szCs w:val="16"/>
              </w:rPr>
              <w:t>0.136</w:t>
            </w:r>
          </w:p>
        </w:tc>
        <w:tc>
          <w:tcPr>
            <w:tcW w:w="576" w:type="dxa"/>
            <w:tcBorders>
              <w:top w:val="single" w:sz="4" w:space="0" w:color="auto"/>
            </w:tcBorders>
            <w:noWrap/>
            <w:vAlign w:val="center"/>
            <w:hideMark/>
          </w:tcPr>
          <w:p w14:paraId="0E6EF12F" w14:textId="77777777" w:rsidR="00BB138C" w:rsidRPr="00EF6679" w:rsidRDefault="00BB138C" w:rsidP="00820288">
            <w:pPr>
              <w:spacing w:line="240" w:lineRule="auto"/>
              <w:rPr>
                <w:rFonts w:ascii="Times New Roman" w:hAnsi="Times New Roman" w:cs="Times New Roman"/>
                <w:color w:val="000000" w:themeColor="text1"/>
                <w:sz w:val="16"/>
                <w:szCs w:val="16"/>
                <w:vertAlign w:val="superscript"/>
              </w:rPr>
            </w:pPr>
            <w:r w:rsidRPr="00EF6679">
              <w:rPr>
                <w:rFonts w:ascii="Times New Roman" w:hAnsi="Times New Roman" w:cs="Times New Roman"/>
                <w:color w:val="000000" w:themeColor="text1"/>
                <w:sz w:val="16"/>
                <w:szCs w:val="16"/>
                <w:vertAlign w:val="superscript"/>
              </w:rPr>
              <w:t>ab</w:t>
            </w:r>
          </w:p>
        </w:tc>
        <w:tc>
          <w:tcPr>
            <w:tcW w:w="576" w:type="dxa"/>
            <w:tcBorders>
              <w:top w:val="single" w:sz="4" w:space="0" w:color="auto"/>
            </w:tcBorders>
            <w:noWrap/>
            <w:vAlign w:val="center"/>
            <w:hideMark/>
          </w:tcPr>
          <w:p w14:paraId="51273FF9" w14:textId="77777777" w:rsidR="00BB138C" w:rsidRPr="00EF6679" w:rsidRDefault="00BB138C" w:rsidP="00820288">
            <w:pPr>
              <w:spacing w:line="240" w:lineRule="auto"/>
              <w:jc w:val="right"/>
              <w:rPr>
                <w:rFonts w:ascii="Times New Roman" w:hAnsi="Times New Roman" w:cs="Times New Roman"/>
                <w:color w:val="000000" w:themeColor="text1"/>
                <w:sz w:val="16"/>
                <w:szCs w:val="16"/>
              </w:rPr>
            </w:pPr>
            <w:r w:rsidRPr="00EF6679">
              <w:rPr>
                <w:rFonts w:ascii="Times New Roman" w:hAnsi="Times New Roman" w:cs="Times New Roman"/>
                <w:color w:val="000000" w:themeColor="text1"/>
                <w:sz w:val="16"/>
                <w:szCs w:val="16"/>
              </w:rPr>
              <w:t>0.072</w:t>
            </w:r>
          </w:p>
        </w:tc>
        <w:tc>
          <w:tcPr>
            <w:tcW w:w="576" w:type="dxa"/>
            <w:tcBorders>
              <w:top w:val="single" w:sz="4" w:space="0" w:color="auto"/>
            </w:tcBorders>
            <w:noWrap/>
            <w:vAlign w:val="center"/>
            <w:hideMark/>
          </w:tcPr>
          <w:p w14:paraId="69CE15E0" w14:textId="77777777" w:rsidR="00BB138C" w:rsidRPr="00EF6679" w:rsidRDefault="00BB138C" w:rsidP="00820288">
            <w:pPr>
              <w:spacing w:line="240" w:lineRule="auto"/>
              <w:rPr>
                <w:rFonts w:ascii="Times New Roman" w:hAnsi="Times New Roman" w:cs="Times New Roman"/>
                <w:color w:val="000000" w:themeColor="text1"/>
                <w:sz w:val="16"/>
                <w:szCs w:val="16"/>
                <w:vertAlign w:val="superscript"/>
              </w:rPr>
            </w:pPr>
            <w:r w:rsidRPr="00EF6679">
              <w:rPr>
                <w:rFonts w:ascii="Times New Roman" w:hAnsi="Times New Roman" w:cs="Times New Roman"/>
                <w:color w:val="000000" w:themeColor="text1"/>
                <w:sz w:val="16"/>
                <w:szCs w:val="16"/>
                <w:vertAlign w:val="superscript"/>
              </w:rPr>
              <w:t>b</w:t>
            </w:r>
          </w:p>
        </w:tc>
      </w:tr>
      <w:tr w:rsidR="00BB138C" w:rsidRPr="00EF6679" w14:paraId="70C275A8" w14:textId="77777777" w:rsidTr="00820288">
        <w:trPr>
          <w:trHeight w:val="173"/>
        </w:trPr>
        <w:tc>
          <w:tcPr>
            <w:tcW w:w="2880" w:type="dxa"/>
            <w:noWrap/>
            <w:vAlign w:val="bottom"/>
            <w:hideMark/>
          </w:tcPr>
          <w:p w14:paraId="429F0617" w14:textId="77777777" w:rsidR="00BB138C" w:rsidRPr="00EF6679" w:rsidRDefault="00BB138C" w:rsidP="00820288">
            <w:pPr>
              <w:spacing w:line="240" w:lineRule="auto"/>
              <w:rPr>
                <w:rFonts w:ascii="Times New Roman" w:hAnsi="Times New Roman" w:cs="Times New Roman"/>
                <w:color w:val="000000" w:themeColor="text1"/>
                <w:sz w:val="16"/>
                <w:szCs w:val="16"/>
              </w:rPr>
            </w:pPr>
            <w:r w:rsidRPr="00EF6679">
              <w:rPr>
                <w:rFonts w:ascii="Times New Roman" w:hAnsi="Times New Roman" w:cs="Times New Roman"/>
                <w:color w:val="000000" w:themeColor="text1"/>
                <w:sz w:val="16"/>
                <w:szCs w:val="16"/>
              </w:rPr>
              <w:t xml:space="preserve">Dimethyl Sulfide         </w:t>
            </w:r>
          </w:p>
        </w:tc>
        <w:tc>
          <w:tcPr>
            <w:tcW w:w="576" w:type="dxa"/>
            <w:noWrap/>
            <w:vAlign w:val="center"/>
            <w:hideMark/>
          </w:tcPr>
          <w:p w14:paraId="69B9885B" w14:textId="77777777" w:rsidR="00BB138C" w:rsidRPr="00EF6679" w:rsidRDefault="00BB138C" w:rsidP="00820288">
            <w:pPr>
              <w:spacing w:line="240" w:lineRule="auto"/>
              <w:jc w:val="right"/>
              <w:rPr>
                <w:rFonts w:ascii="Times New Roman" w:hAnsi="Times New Roman" w:cs="Times New Roman"/>
                <w:color w:val="000000" w:themeColor="text1"/>
                <w:sz w:val="16"/>
                <w:szCs w:val="16"/>
              </w:rPr>
            </w:pPr>
            <w:r w:rsidRPr="00EF6679">
              <w:rPr>
                <w:rFonts w:ascii="Times New Roman" w:hAnsi="Times New Roman" w:cs="Times New Roman"/>
                <w:color w:val="000000" w:themeColor="text1"/>
                <w:sz w:val="16"/>
                <w:szCs w:val="16"/>
              </w:rPr>
              <w:t>3.511</w:t>
            </w:r>
          </w:p>
        </w:tc>
        <w:tc>
          <w:tcPr>
            <w:tcW w:w="576" w:type="dxa"/>
            <w:noWrap/>
            <w:vAlign w:val="center"/>
            <w:hideMark/>
          </w:tcPr>
          <w:p w14:paraId="0DB0E966" w14:textId="77777777" w:rsidR="00BB138C" w:rsidRPr="00EF6679" w:rsidRDefault="00BB138C" w:rsidP="00820288">
            <w:pPr>
              <w:spacing w:line="240" w:lineRule="auto"/>
              <w:rPr>
                <w:rFonts w:ascii="Times New Roman" w:hAnsi="Times New Roman" w:cs="Times New Roman"/>
                <w:color w:val="000000" w:themeColor="text1"/>
                <w:sz w:val="16"/>
                <w:szCs w:val="16"/>
                <w:vertAlign w:val="superscript"/>
              </w:rPr>
            </w:pPr>
            <w:r w:rsidRPr="00EF6679">
              <w:rPr>
                <w:rFonts w:ascii="Times New Roman" w:hAnsi="Times New Roman" w:cs="Times New Roman"/>
                <w:color w:val="000000" w:themeColor="text1"/>
                <w:sz w:val="16"/>
                <w:szCs w:val="16"/>
                <w:vertAlign w:val="superscript"/>
              </w:rPr>
              <w:t>a</w:t>
            </w:r>
          </w:p>
        </w:tc>
        <w:tc>
          <w:tcPr>
            <w:tcW w:w="576" w:type="dxa"/>
            <w:noWrap/>
            <w:vAlign w:val="center"/>
            <w:hideMark/>
          </w:tcPr>
          <w:p w14:paraId="56F69577" w14:textId="77777777" w:rsidR="00BB138C" w:rsidRPr="00EF6679" w:rsidRDefault="00BB138C" w:rsidP="00820288">
            <w:pPr>
              <w:spacing w:line="240" w:lineRule="auto"/>
              <w:jc w:val="right"/>
              <w:rPr>
                <w:rFonts w:ascii="Times New Roman" w:hAnsi="Times New Roman" w:cs="Times New Roman"/>
                <w:color w:val="000000" w:themeColor="text1"/>
                <w:sz w:val="16"/>
                <w:szCs w:val="16"/>
              </w:rPr>
            </w:pPr>
            <w:r w:rsidRPr="00EF6679">
              <w:rPr>
                <w:rFonts w:ascii="Times New Roman" w:hAnsi="Times New Roman" w:cs="Times New Roman"/>
                <w:color w:val="000000" w:themeColor="text1"/>
                <w:sz w:val="16"/>
                <w:szCs w:val="16"/>
              </w:rPr>
              <w:t>1.922</w:t>
            </w:r>
          </w:p>
        </w:tc>
        <w:tc>
          <w:tcPr>
            <w:tcW w:w="576" w:type="dxa"/>
            <w:noWrap/>
            <w:vAlign w:val="center"/>
            <w:hideMark/>
          </w:tcPr>
          <w:p w14:paraId="4CD0E4E6" w14:textId="77777777" w:rsidR="00BB138C" w:rsidRPr="00EF6679" w:rsidRDefault="00BB138C" w:rsidP="00820288">
            <w:pPr>
              <w:spacing w:line="240" w:lineRule="auto"/>
              <w:rPr>
                <w:rFonts w:ascii="Times New Roman" w:hAnsi="Times New Roman" w:cs="Times New Roman"/>
                <w:color w:val="000000" w:themeColor="text1"/>
                <w:sz w:val="16"/>
                <w:szCs w:val="16"/>
                <w:vertAlign w:val="superscript"/>
              </w:rPr>
            </w:pPr>
            <w:r w:rsidRPr="00EF6679">
              <w:rPr>
                <w:rFonts w:ascii="Times New Roman" w:hAnsi="Times New Roman" w:cs="Times New Roman"/>
                <w:color w:val="000000" w:themeColor="text1"/>
                <w:sz w:val="16"/>
                <w:szCs w:val="16"/>
                <w:vertAlign w:val="superscript"/>
              </w:rPr>
              <w:t>b</w:t>
            </w:r>
          </w:p>
        </w:tc>
        <w:tc>
          <w:tcPr>
            <w:tcW w:w="576" w:type="dxa"/>
            <w:noWrap/>
            <w:vAlign w:val="center"/>
            <w:hideMark/>
          </w:tcPr>
          <w:p w14:paraId="04EA3043" w14:textId="77777777" w:rsidR="00BB138C" w:rsidRPr="00EF6679" w:rsidRDefault="00BB138C" w:rsidP="00820288">
            <w:pPr>
              <w:spacing w:line="240" w:lineRule="auto"/>
              <w:jc w:val="right"/>
              <w:rPr>
                <w:rFonts w:ascii="Times New Roman" w:hAnsi="Times New Roman" w:cs="Times New Roman"/>
                <w:color w:val="000000" w:themeColor="text1"/>
                <w:sz w:val="16"/>
                <w:szCs w:val="16"/>
              </w:rPr>
            </w:pPr>
            <w:r w:rsidRPr="00EF6679">
              <w:rPr>
                <w:rFonts w:ascii="Times New Roman" w:hAnsi="Times New Roman" w:cs="Times New Roman"/>
                <w:color w:val="000000" w:themeColor="text1"/>
                <w:sz w:val="16"/>
                <w:szCs w:val="16"/>
              </w:rPr>
              <w:t>1.361</w:t>
            </w:r>
          </w:p>
        </w:tc>
        <w:tc>
          <w:tcPr>
            <w:tcW w:w="576" w:type="dxa"/>
            <w:noWrap/>
            <w:vAlign w:val="center"/>
            <w:hideMark/>
          </w:tcPr>
          <w:p w14:paraId="274A329D" w14:textId="77777777" w:rsidR="00BB138C" w:rsidRPr="00EF6679" w:rsidRDefault="00BB138C" w:rsidP="00820288">
            <w:pPr>
              <w:spacing w:line="240" w:lineRule="auto"/>
              <w:rPr>
                <w:rFonts w:ascii="Times New Roman" w:hAnsi="Times New Roman" w:cs="Times New Roman"/>
                <w:color w:val="000000" w:themeColor="text1"/>
                <w:sz w:val="16"/>
                <w:szCs w:val="16"/>
                <w:vertAlign w:val="superscript"/>
              </w:rPr>
            </w:pPr>
            <w:r w:rsidRPr="00EF6679">
              <w:rPr>
                <w:rFonts w:ascii="Times New Roman" w:hAnsi="Times New Roman" w:cs="Times New Roman"/>
                <w:color w:val="000000" w:themeColor="text1"/>
                <w:sz w:val="16"/>
                <w:szCs w:val="16"/>
                <w:vertAlign w:val="superscript"/>
              </w:rPr>
              <w:t>b</w:t>
            </w:r>
          </w:p>
        </w:tc>
        <w:tc>
          <w:tcPr>
            <w:tcW w:w="576" w:type="dxa"/>
            <w:noWrap/>
            <w:vAlign w:val="center"/>
            <w:hideMark/>
          </w:tcPr>
          <w:p w14:paraId="64847452" w14:textId="77777777" w:rsidR="00BB138C" w:rsidRPr="00EF6679" w:rsidRDefault="00BB138C" w:rsidP="00820288">
            <w:pPr>
              <w:spacing w:line="240" w:lineRule="auto"/>
              <w:jc w:val="right"/>
              <w:rPr>
                <w:rFonts w:ascii="Times New Roman" w:hAnsi="Times New Roman" w:cs="Times New Roman"/>
                <w:color w:val="000000" w:themeColor="text1"/>
                <w:sz w:val="16"/>
                <w:szCs w:val="16"/>
              </w:rPr>
            </w:pPr>
            <w:r w:rsidRPr="00EF6679">
              <w:rPr>
                <w:rFonts w:ascii="Times New Roman" w:hAnsi="Times New Roman" w:cs="Times New Roman"/>
                <w:color w:val="000000" w:themeColor="text1"/>
                <w:sz w:val="16"/>
                <w:szCs w:val="16"/>
              </w:rPr>
              <w:t>1.016</w:t>
            </w:r>
          </w:p>
        </w:tc>
        <w:tc>
          <w:tcPr>
            <w:tcW w:w="576" w:type="dxa"/>
            <w:noWrap/>
            <w:vAlign w:val="center"/>
            <w:hideMark/>
          </w:tcPr>
          <w:p w14:paraId="486F4BF9" w14:textId="77777777" w:rsidR="00BB138C" w:rsidRPr="00EF6679" w:rsidRDefault="00BB138C" w:rsidP="00820288">
            <w:pPr>
              <w:spacing w:line="240" w:lineRule="auto"/>
              <w:rPr>
                <w:rFonts w:ascii="Times New Roman" w:hAnsi="Times New Roman" w:cs="Times New Roman"/>
                <w:color w:val="000000" w:themeColor="text1"/>
                <w:sz w:val="16"/>
                <w:szCs w:val="16"/>
                <w:vertAlign w:val="superscript"/>
              </w:rPr>
            </w:pPr>
            <w:r w:rsidRPr="00EF6679">
              <w:rPr>
                <w:rFonts w:ascii="Times New Roman" w:hAnsi="Times New Roman" w:cs="Times New Roman"/>
                <w:color w:val="000000" w:themeColor="text1"/>
                <w:sz w:val="16"/>
                <w:szCs w:val="16"/>
                <w:vertAlign w:val="superscript"/>
              </w:rPr>
              <w:t>b</w:t>
            </w:r>
          </w:p>
        </w:tc>
      </w:tr>
      <w:tr w:rsidR="00BB138C" w:rsidRPr="00EF6679" w14:paraId="26F88FBF" w14:textId="77777777" w:rsidTr="00820288">
        <w:trPr>
          <w:trHeight w:val="173"/>
        </w:trPr>
        <w:tc>
          <w:tcPr>
            <w:tcW w:w="2880" w:type="dxa"/>
            <w:noWrap/>
            <w:vAlign w:val="bottom"/>
            <w:hideMark/>
          </w:tcPr>
          <w:p w14:paraId="6F28A4F1" w14:textId="77777777" w:rsidR="00BB138C" w:rsidRPr="00EF6679" w:rsidRDefault="00BB138C" w:rsidP="00820288">
            <w:pPr>
              <w:spacing w:line="240" w:lineRule="auto"/>
              <w:rPr>
                <w:rFonts w:ascii="Times New Roman" w:hAnsi="Times New Roman" w:cs="Times New Roman"/>
                <w:color w:val="000000" w:themeColor="text1"/>
                <w:sz w:val="16"/>
                <w:szCs w:val="16"/>
              </w:rPr>
            </w:pPr>
            <w:r w:rsidRPr="00EF6679">
              <w:rPr>
                <w:rFonts w:ascii="Times New Roman" w:hAnsi="Times New Roman" w:cs="Times New Roman"/>
                <w:color w:val="000000" w:themeColor="text1"/>
                <w:sz w:val="16"/>
                <w:szCs w:val="16"/>
              </w:rPr>
              <w:t xml:space="preserve">2-methyl Furan           </w:t>
            </w:r>
          </w:p>
        </w:tc>
        <w:tc>
          <w:tcPr>
            <w:tcW w:w="576" w:type="dxa"/>
            <w:noWrap/>
            <w:vAlign w:val="bottom"/>
            <w:hideMark/>
          </w:tcPr>
          <w:p w14:paraId="054C9595" w14:textId="77777777" w:rsidR="00BB138C" w:rsidRPr="00EF6679" w:rsidRDefault="00BB138C" w:rsidP="00820288">
            <w:pPr>
              <w:spacing w:line="240" w:lineRule="auto"/>
              <w:jc w:val="right"/>
              <w:rPr>
                <w:rFonts w:ascii="Times New Roman" w:hAnsi="Times New Roman" w:cs="Times New Roman"/>
                <w:color w:val="000000" w:themeColor="text1"/>
                <w:sz w:val="16"/>
                <w:szCs w:val="16"/>
              </w:rPr>
            </w:pPr>
            <w:r w:rsidRPr="00EF6679">
              <w:rPr>
                <w:rFonts w:ascii="Times New Roman" w:hAnsi="Times New Roman" w:cs="Times New Roman"/>
                <w:color w:val="000000" w:themeColor="text1"/>
                <w:sz w:val="16"/>
                <w:szCs w:val="16"/>
              </w:rPr>
              <w:t>0.004</w:t>
            </w:r>
          </w:p>
        </w:tc>
        <w:tc>
          <w:tcPr>
            <w:tcW w:w="576" w:type="dxa"/>
            <w:noWrap/>
            <w:vAlign w:val="center"/>
            <w:hideMark/>
          </w:tcPr>
          <w:p w14:paraId="66133B7C" w14:textId="77777777" w:rsidR="00BB138C" w:rsidRPr="00EF6679" w:rsidRDefault="00BB138C" w:rsidP="00820288">
            <w:pPr>
              <w:spacing w:line="240" w:lineRule="auto"/>
              <w:rPr>
                <w:rFonts w:ascii="Times New Roman" w:hAnsi="Times New Roman" w:cs="Times New Roman"/>
                <w:color w:val="000000" w:themeColor="text1"/>
                <w:sz w:val="16"/>
                <w:szCs w:val="16"/>
                <w:vertAlign w:val="superscript"/>
              </w:rPr>
            </w:pPr>
            <w:r w:rsidRPr="00EF6679">
              <w:rPr>
                <w:rFonts w:ascii="Times New Roman" w:hAnsi="Times New Roman" w:cs="Times New Roman"/>
                <w:color w:val="000000" w:themeColor="text1"/>
                <w:sz w:val="16"/>
                <w:szCs w:val="16"/>
                <w:vertAlign w:val="superscript"/>
              </w:rPr>
              <w:t>a</w:t>
            </w:r>
          </w:p>
        </w:tc>
        <w:tc>
          <w:tcPr>
            <w:tcW w:w="576" w:type="dxa"/>
            <w:noWrap/>
            <w:vAlign w:val="bottom"/>
            <w:hideMark/>
          </w:tcPr>
          <w:p w14:paraId="0ADDF365" w14:textId="77777777" w:rsidR="00BB138C" w:rsidRPr="00EF6679" w:rsidRDefault="00BB138C" w:rsidP="00820288">
            <w:pPr>
              <w:spacing w:line="240" w:lineRule="auto"/>
              <w:jc w:val="right"/>
              <w:rPr>
                <w:rFonts w:ascii="Times New Roman" w:hAnsi="Times New Roman" w:cs="Times New Roman"/>
                <w:color w:val="000000" w:themeColor="text1"/>
                <w:sz w:val="16"/>
                <w:szCs w:val="16"/>
              </w:rPr>
            </w:pPr>
            <w:r w:rsidRPr="00EF6679">
              <w:rPr>
                <w:rFonts w:ascii="Times New Roman" w:hAnsi="Times New Roman" w:cs="Times New Roman"/>
                <w:color w:val="000000" w:themeColor="text1"/>
                <w:sz w:val="16"/>
                <w:szCs w:val="16"/>
              </w:rPr>
              <w:t>0.007</w:t>
            </w:r>
          </w:p>
        </w:tc>
        <w:tc>
          <w:tcPr>
            <w:tcW w:w="576" w:type="dxa"/>
            <w:noWrap/>
            <w:vAlign w:val="center"/>
            <w:hideMark/>
          </w:tcPr>
          <w:p w14:paraId="7FCF1A04" w14:textId="77777777" w:rsidR="00BB138C" w:rsidRPr="00EF6679" w:rsidRDefault="00BB138C" w:rsidP="00820288">
            <w:pPr>
              <w:spacing w:line="240" w:lineRule="auto"/>
              <w:rPr>
                <w:rFonts w:ascii="Times New Roman" w:hAnsi="Times New Roman" w:cs="Times New Roman"/>
                <w:color w:val="000000" w:themeColor="text1"/>
                <w:sz w:val="16"/>
                <w:szCs w:val="16"/>
                <w:vertAlign w:val="superscript"/>
              </w:rPr>
            </w:pPr>
            <w:r w:rsidRPr="00EF6679">
              <w:rPr>
                <w:rFonts w:ascii="Times New Roman" w:hAnsi="Times New Roman" w:cs="Times New Roman"/>
                <w:color w:val="000000" w:themeColor="text1"/>
                <w:sz w:val="16"/>
                <w:szCs w:val="16"/>
                <w:vertAlign w:val="superscript"/>
              </w:rPr>
              <w:t>a</w:t>
            </w:r>
          </w:p>
        </w:tc>
        <w:tc>
          <w:tcPr>
            <w:tcW w:w="576" w:type="dxa"/>
            <w:noWrap/>
            <w:vAlign w:val="bottom"/>
            <w:hideMark/>
          </w:tcPr>
          <w:p w14:paraId="472611B9" w14:textId="77777777" w:rsidR="00BB138C" w:rsidRPr="00EF6679" w:rsidRDefault="00BB138C" w:rsidP="00820288">
            <w:pPr>
              <w:spacing w:line="240" w:lineRule="auto"/>
              <w:jc w:val="right"/>
              <w:rPr>
                <w:rFonts w:ascii="Times New Roman" w:hAnsi="Times New Roman" w:cs="Times New Roman"/>
                <w:color w:val="000000" w:themeColor="text1"/>
                <w:sz w:val="16"/>
                <w:szCs w:val="16"/>
              </w:rPr>
            </w:pPr>
            <w:r w:rsidRPr="00EF6679">
              <w:rPr>
                <w:rFonts w:ascii="Times New Roman" w:hAnsi="Times New Roman" w:cs="Times New Roman"/>
                <w:color w:val="000000" w:themeColor="text1"/>
                <w:sz w:val="16"/>
                <w:szCs w:val="16"/>
              </w:rPr>
              <w:t>0.003</w:t>
            </w:r>
          </w:p>
        </w:tc>
        <w:tc>
          <w:tcPr>
            <w:tcW w:w="576" w:type="dxa"/>
            <w:noWrap/>
            <w:vAlign w:val="center"/>
            <w:hideMark/>
          </w:tcPr>
          <w:p w14:paraId="1A82D33B" w14:textId="77777777" w:rsidR="00BB138C" w:rsidRPr="00EF6679" w:rsidRDefault="00BB138C" w:rsidP="00820288">
            <w:pPr>
              <w:spacing w:line="240" w:lineRule="auto"/>
              <w:rPr>
                <w:rFonts w:ascii="Times New Roman" w:hAnsi="Times New Roman" w:cs="Times New Roman"/>
                <w:color w:val="000000" w:themeColor="text1"/>
                <w:sz w:val="16"/>
                <w:szCs w:val="16"/>
                <w:vertAlign w:val="superscript"/>
              </w:rPr>
            </w:pPr>
            <w:r w:rsidRPr="00EF6679">
              <w:rPr>
                <w:rFonts w:ascii="Times New Roman" w:hAnsi="Times New Roman" w:cs="Times New Roman"/>
                <w:color w:val="000000" w:themeColor="text1"/>
                <w:sz w:val="16"/>
                <w:szCs w:val="16"/>
                <w:vertAlign w:val="superscript"/>
              </w:rPr>
              <w:t>a</w:t>
            </w:r>
          </w:p>
        </w:tc>
        <w:tc>
          <w:tcPr>
            <w:tcW w:w="576" w:type="dxa"/>
            <w:noWrap/>
            <w:vAlign w:val="bottom"/>
            <w:hideMark/>
          </w:tcPr>
          <w:p w14:paraId="27EE3CED" w14:textId="77777777" w:rsidR="00BB138C" w:rsidRPr="00EF6679" w:rsidRDefault="00BB138C" w:rsidP="00820288">
            <w:pPr>
              <w:spacing w:line="240" w:lineRule="auto"/>
              <w:jc w:val="right"/>
              <w:rPr>
                <w:rFonts w:ascii="Times New Roman" w:hAnsi="Times New Roman" w:cs="Times New Roman"/>
                <w:color w:val="000000" w:themeColor="text1"/>
                <w:sz w:val="16"/>
                <w:szCs w:val="16"/>
              </w:rPr>
            </w:pPr>
            <w:r w:rsidRPr="00EF6679">
              <w:rPr>
                <w:rFonts w:ascii="Times New Roman" w:hAnsi="Times New Roman" w:cs="Times New Roman"/>
                <w:color w:val="000000" w:themeColor="text1"/>
                <w:sz w:val="16"/>
                <w:szCs w:val="16"/>
              </w:rPr>
              <w:t>0.006</w:t>
            </w:r>
          </w:p>
        </w:tc>
        <w:tc>
          <w:tcPr>
            <w:tcW w:w="576" w:type="dxa"/>
            <w:noWrap/>
            <w:vAlign w:val="center"/>
            <w:hideMark/>
          </w:tcPr>
          <w:p w14:paraId="79A4164D" w14:textId="77777777" w:rsidR="00BB138C" w:rsidRPr="00EF6679" w:rsidRDefault="00BB138C" w:rsidP="00820288">
            <w:pPr>
              <w:spacing w:line="240" w:lineRule="auto"/>
              <w:rPr>
                <w:rFonts w:ascii="Times New Roman" w:hAnsi="Times New Roman" w:cs="Times New Roman"/>
                <w:color w:val="000000" w:themeColor="text1"/>
                <w:sz w:val="16"/>
                <w:szCs w:val="16"/>
                <w:vertAlign w:val="superscript"/>
              </w:rPr>
            </w:pPr>
            <w:r w:rsidRPr="00EF6679">
              <w:rPr>
                <w:rFonts w:ascii="Times New Roman" w:hAnsi="Times New Roman" w:cs="Times New Roman"/>
                <w:color w:val="000000" w:themeColor="text1"/>
                <w:sz w:val="16"/>
                <w:szCs w:val="16"/>
                <w:vertAlign w:val="superscript"/>
              </w:rPr>
              <w:t>a</w:t>
            </w:r>
          </w:p>
        </w:tc>
      </w:tr>
      <w:tr w:rsidR="00BB138C" w:rsidRPr="00EF6679" w14:paraId="5E087821" w14:textId="77777777" w:rsidTr="00820288">
        <w:trPr>
          <w:trHeight w:val="173"/>
        </w:trPr>
        <w:tc>
          <w:tcPr>
            <w:tcW w:w="2880" w:type="dxa"/>
            <w:noWrap/>
            <w:vAlign w:val="bottom"/>
            <w:hideMark/>
          </w:tcPr>
          <w:p w14:paraId="28AF4AF6" w14:textId="77777777" w:rsidR="00BB138C" w:rsidRPr="00EF6679" w:rsidRDefault="00BB138C" w:rsidP="00820288">
            <w:pPr>
              <w:spacing w:line="240" w:lineRule="auto"/>
              <w:rPr>
                <w:rFonts w:ascii="Times New Roman" w:hAnsi="Times New Roman" w:cs="Times New Roman"/>
                <w:color w:val="000000" w:themeColor="text1"/>
                <w:sz w:val="16"/>
                <w:szCs w:val="16"/>
              </w:rPr>
            </w:pPr>
            <w:r w:rsidRPr="00EF6679">
              <w:rPr>
                <w:rFonts w:ascii="Times New Roman" w:hAnsi="Times New Roman" w:cs="Times New Roman"/>
                <w:color w:val="000000" w:themeColor="text1"/>
                <w:sz w:val="16"/>
                <w:szCs w:val="16"/>
              </w:rPr>
              <w:t xml:space="preserve">2-ethyl-Furan            </w:t>
            </w:r>
          </w:p>
        </w:tc>
        <w:tc>
          <w:tcPr>
            <w:tcW w:w="576" w:type="dxa"/>
            <w:noWrap/>
            <w:vAlign w:val="bottom"/>
            <w:hideMark/>
          </w:tcPr>
          <w:p w14:paraId="67DB7829" w14:textId="77777777" w:rsidR="00BB138C" w:rsidRPr="00EF6679" w:rsidRDefault="00BB138C" w:rsidP="00820288">
            <w:pPr>
              <w:spacing w:line="240" w:lineRule="auto"/>
              <w:jc w:val="right"/>
              <w:rPr>
                <w:rFonts w:ascii="Times New Roman" w:hAnsi="Times New Roman" w:cs="Times New Roman"/>
                <w:color w:val="000000" w:themeColor="text1"/>
                <w:sz w:val="16"/>
                <w:szCs w:val="16"/>
              </w:rPr>
            </w:pPr>
            <w:r w:rsidRPr="00EF6679">
              <w:rPr>
                <w:rFonts w:ascii="Times New Roman" w:hAnsi="Times New Roman" w:cs="Times New Roman"/>
                <w:color w:val="000000" w:themeColor="text1"/>
                <w:sz w:val="16"/>
                <w:szCs w:val="16"/>
              </w:rPr>
              <w:t>0.004</w:t>
            </w:r>
          </w:p>
        </w:tc>
        <w:tc>
          <w:tcPr>
            <w:tcW w:w="576" w:type="dxa"/>
            <w:noWrap/>
            <w:vAlign w:val="center"/>
            <w:hideMark/>
          </w:tcPr>
          <w:p w14:paraId="699DB0F5" w14:textId="77777777" w:rsidR="00BB138C" w:rsidRPr="00EF6679" w:rsidRDefault="00BB138C" w:rsidP="00820288">
            <w:pPr>
              <w:spacing w:line="240" w:lineRule="auto"/>
              <w:rPr>
                <w:rFonts w:ascii="Times New Roman" w:hAnsi="Times New Roman" w:cs="Times New Roman"/>
                <w:color w:val="000000" w:themeColor="text1"/>
                <w:sz w:val="16"/>
                <w:szCs w:val="16"/>
                <w:vertAlign w:val="superscript"/>
              </w:rPr>
            </w:pPr>
            <w:r w:rsidRPr="00EF6679">
              <w:rPr>
                <w:rFonts w:ascii="Times New Roman" w:hAnsi="Times New Roman" w:cs="Times New Roman"/>
                <w:color w:val="000000" w:themeColor="text1"/>
                <w:sz w:val="16"/>
                <w:szCs w:val="16"/>
                <w:vertAlign w:val="superscript"/>
              </w:rPr>
              <w:t>a</w:t>
            </w:r>
          </w:p>
        </w:tc>
        <w:tc>
          <w:tcPr>
            <w:tcW w:w="576" w:type="dxa"/>
            <w:noWrap/>
            <w:vAlign w:val="bottom"/>
            <w:hideMark/>
          </w:tcPr>
          <w:p w14:paraId="619A8EB4" w14:textId="77777777" w:rsidR="00BB138C" w:rsidRPr="00EF6679" w:rsidRDefault="00BB138C" w:rsidP="00820288">
            <w:pPr>
              <w:spacing w:line="240" w:lineRule="auto"/>
              <w:jc w:val="right"/>
              <w:rPr>
                <w:rFonts w:ascii="Times New Roman" w:hAnsi="Times New Roman" w:cs="Times New Roman"/>
                <w:color w:val="000000" w:themeColor="text1"/>
                <w:sz w:val="16"/>
                <w:szCs w:val="16"/>
              </w:rPr>
            </w:pPr>
            <w:r w:rsidRPr="00EF6679">
              <w:rPr>
                <w:rFonts w:ascii="Times New Roman" w:hAnsi="Times New Roman" w:cs="Times New Roman"/>
                <w:color w:val="000000" w:themeColor="text1"/>
                <w:sz w:val="16"/>
                <w:szCs w:val="16"/>
              </w:rPr>
              <w:t>0.007</w:t>
            </w:r>
          </w:p>
        </w:tc>
        <w:tc>
          <w:tcPr>
            <w:tcW w:w="576" w:type="dxa"/>
            <w:noWrap/>
            <w:vAlign w:val="center"/>
            <w:hideMark/>
          </w:tcPr>
          <w:p w14:paraId="01617838" w14:textId="77777777" w:rsidR="00BB138C" w:rsidRPr="00EF6679" w:rsidRDefault="00BB138C" w:rsidP="00820288">
            <w:pPr>
              <w:spacing w:line="240" w:lineRule="auto"/>
              <w:rPr>
                <w:rFonts w:ascii="Times New Roman" w:hAnsi="Times New Roman" w:cs="Times New Roman"/>
                <w:color w:val="000000" w:themeColor="text1"/>
                <w:sz w:val="16"/>
                <w:szCs w:val="16"/>
                <w:vertAlign w:val="superscript"/>
              </w:rPr>
            </w:pPr>
            <w:r w:rsidRPr="00EF6679">
              <w:rPr>
                <w:rFonts w:ascii="Times New Roman" w:hAnsi="Times New Roman" w:cs="Times New Roman"/>
                <w:color w:val="000000" w:themeColor="text1"/>
                <w:sz w:val="16"/>
                <w:szCs w:val="16"/>
                <w:vertAlign w:val="superscript"/>
              </w:rPr>
              <w:t>a</w:t>
            </w:r>
          </w:p>
        </w:tc>
        <w:tc>
          <w:tcPr>
            <w:tcW w:w="576" w:type="dxa"/>
            <w:noWrap/>
            <w:vAlign w:val="bottom"/>
            <w:hideMark/>
          </w:tcPr>
          <w:p w14:paraId="134DB43E" w14:textId="77777777" w:rsidR="00BB138C" w:rsidRPr="00EF6679" w:rsidRDefault="00BB138C" w:rsidP="00820288">
            <w:pPr>
              <w:spacing w:line="240" w:lineRule="auto"/>
              <w:jc w:val="right"/>
              <w:rPr>
                <w:rFonts w:ascii="Times New Roman" w:hAnsi="Times New Roman" w:cs="Times New Roman"/>
                <w:color w:val="000000" w:themeColor="text1"/>
                <w:sz w:val="16"/>
                <w:szCs w:val="16"/>
              </w:rPr>
            </w:pPr>
            <w:r w:rsidRPr="00EF6679">
              <w:rPr>
                <w:rFonts w:ascii="Times New Roman" w:hAnsi="Times New Roman" w:cs="Times New Roman"/>
                <w:color w:val="000000" w:themeColor="text1"/>
                <w:sz w:val="16"/>
                <w:szCs w:val="16"/>
              </w:rPr>
              <w:t>0.003</w:t>
            </w:r>
          </w:p>
        </w:tc>
        <w:tc>
          <w:tcPr>
            <w:tcW w:w="576" w:type="dxa"/>
            <w:noWrap/>
            <w:vAlign w:val="center"/>
            <w:hideMark/>
          </w:tcPr>
          <w:p w14:paraId="27087555" w14:textId="77777777" w:rsidR="00BB138C" w:rsidRPr="00EF6679" w:rsidRDefault="00BB138C" w:rsidP="00820288">
            <w:pPr>
              <w:spacing w:line="240" w:lineRule="auto"/>
              <w:rPr>
                <w:rFonts w:ascii="Times New Roman" w:hAnsi="Times New Roman" w:cs="Times New Roman"/>
                <w:color w:val="000000" w:themeColor="text1"/>
                <w:sz w:val="16"/>
                <w:szCs w:val="16"/>
                <w:vertAlign w:val="superscript"/>
              </w:rPr>
            </w:pPr>
            <w:r w:rsidRPr="00EF6679">
              <w:rPr>
                <w:rFonts w:ascii="Times New Roman" w:hAnsi="Times New Roman" w:cs="Times New Roman"/>
                <w:color w:val="000000" w:themeColor="text1"/>
                <w:sz w:val="16"/>
                <w:szCs w:val="16"/>
                <w:vertAlign w:val="superscript"/>
              </w:rPr>
              <w:t>a</w:t>
            </w:r>
          </w:p>
        </w:tc>
        <w:tc>
          <w:tcPr>
            <w:tcW w:w="576" w:type="dxa"/>
            <w:noWrap/>
            <w:vAlign w:val="bottom"/>
            <w:hideMark/>
          </w:tcPr>
          <w:p w14:paraId="0A8A15D0" w14:textId="77777777" w:rsidR="00BB138C" w:rsidRPr="00EF6679" w:rsidRDefault="00BB138C" w:rsidP="00820288">
            <w:pPr>
              <w:spacing w:line="240" w:lineRule="auto"/>
              <w:jc w:val="right"/>
              <w:rPr>
                <w:rFonts w:ascii="Times New Roman" w:hAnsi="Times New Roman" w:cs="Times New Roman"/>
                <w:color w:val="000000" w:themeColor="text1"/>
                <w:sz w:val="16"/>
                <w:szCs w:val="16"/>
              </w:rPr>
            </w:pPr>
            <w:r w:rsidRPr="00EF6679">
              <w:rPr>
                <w:rFonts w:ascii="Times New Roman" w:hAnsi="Times New Roman" w:cs="Times New Roman"/>
                <w:color w:val="000000" w:themeColor="text1"/>
                <w:sz w:val="16"/>
                <w:szCs w:val="16"/>
              </w:rPr>
              <w:t>0.006</w:t>
            </w:r>
          </w:p>
        </w:tc>
        <w:tc>
          <w:tcPr>
            <w:tcW w:w="576" w:type="dxa"/>
            <w:noWrap/>
            <w:vAlign w:val="center"/>
            <w:hideMark/>
          </w:tcPr>
          <w:p w14:paraId="6E7372D0" w14:textId="77777777" w:rsidR="00BB138C" w:rsidRPr="00EF6679" w:rsidRDefault="00BB138C" w:rsidP="00820288">
            <w:pPr>
              <w:spacing w:line="240" w:lineRule="auto"/>
              <w:rPr>
                <w:rFonts w:ascii="Times New Roman" w:hAnsi="Times New Roman" w:cs="Times New Roman"/>
                <w:color w:val="000000" w:themeColor="text1"/>
                <w:sz w:val="16"/>
                <w:szCs w:val="16"/>
                <w:vertAlign w:val="superscript"/>
              </w:rPr>
            </w:pPr>
            <w:r w:rsidRPr="00EF6679">
              <w:rPr>
                <w:rFonts w:ascii="Times New Roman" w:hAnsi="Times New Roman" w:cs="Times New Roman"/>
                <w:color w:val="000000" w:themeColor="text1"/>
                <w:sz w:val="16"/>
                <w:szCs w:val="16"/>
                <w:vertAlign w:val="superscript"/>
              </w:rPr>
              <w:t>a</w:t>
            </w:r>
          </w:p>
        </w:tc>
      </w:tr>
      <w:tr w:rsidR="00BB138C" w:rsidRPr="00EF6679" w14:paraId="5ECBA889" w14:textId="77777777" w:rsidTr="00820288">
        <w:trPr>
          <w:trHeight w:val="173"/>
        </w:trPr>
        <w:tc>
          <w:tcPr>
            <w:tcW w:w="2880" w:type="dxa"/>
            <w:noWrap/>
            <w:vAlign w:val="bottom"/>
            <w:hideMark/>
          </w:tcPr>
          <w:p w14:paraId="05F57511" w14:textId="77777777" w:rsidR="00BB138C" w:rsidRPr="00EF6679" w:rsidRDefault="00BB138C" w:rsidP="00820288">
            <w:pPr>
              <w:spacing w:line="240" w:lineRule="auto"/>
              <w:rPr>
                <w:rFonts w:ascii="Times New Roman" w:hAnsi="Times New Roman" w:cs="Times New Roman"/>
                <w:b/>
                <w:bCs/>
                <w:color w:val="000000" w:themeColor="text1"/>
                <w:sz w:val="16"/>
                <w:szCs w:val="16"/>
              </w:rPr>
            </w:pPr>
            <w:r w:rsidRPr="00EF6679">
              <w:rPr>
                <w:rFonts w:ascii="Times New Roman" w:hAnsi="Times New Roman" w:cs="Times New Roman"/>
                <w:color w:val="000000" w:themeColor="text1"/>
                <w:sz w:val="16"/>
                <w:szCs w:val="16"/>
              </w:rPr>
              <w:t xml:space="preserve">trans-2-Pentenal         </w:t>
            </w:r>
          </w:p>
        </w:tc>
        <w:tc>
          <w:tcPr>
            <w:tcW w:w="576" w:type="dxa"/>
            <w:noWrap/>
            <w:vAlign w:val="center"/>
            <w:hideMark/>
          </w:tcPr>
          <w:p w14:paraId="3498AFF2" w14:textId="77777777" w:rsidR="00BB138C" w:rsidRPr="00EF6679" w:rsidRDefault="00BB138C" w:rsidP="00820288">
            <w:pPr>
              <w:spacing w:line="240" w:lineRule="auto"/>
              <w:jc w:val="right"/>
              <w:rPr>
                <w:rFonts w:ascii="Times New Roman" w:hAnsi="Times New Roman" w:cs="Times New Roman"/>
                <w:color w:val="000000" w:themeColor="text1"/>
                <w:sz w:val="16"/>
                <w:szCs w:val="16"/>
              </w:rPr>
            </w:pPr>
            <w:r w:rsidRPr="00EF6679">
              <w:rPr>
                <w:rFonts w:ascii="Times New Roman" w:hAnsi="Times New Roman" w:cs="Times New Roman"/>
                <w:color w:val="000000" w:themeColor="text1"/>
                <w:sz w:val="16"/>
                <w:szCs w:val="16"/>
              </w:rPr>
              <w:t>6.340</w:t>
            </w:r>
          </w:p>
        </w:tc>
        <w:tc>
          <w:tcPr>
            <w:tcW w:w="576" w:type="dxa"/>
            <w:noWrap/>
            <w:vAlign w:val="center"/>
            <w:hideMark/>
          </w:tcPr>
          <w:p w14:paraId="60A2952E" w14:textId="77777777" w:rsidR="00BB138C" w:rsidRPr="00EF6679" w:rsidRDefault="00BB138C" w:rsidP="00820288">
            <w:pPr>
              <w:spacing w:line="240" w:lineRule="auto"/>
              <w:rPr>
                <w:rFonts w:ascii="Times New Roman" w:hAnsi="Times New Roman" w:cs="Times New Roman"/>
                <w:color w:val="000000" w:themeColor="text1"/>
                <w:sz w:val="16"/>
                <w:szCs w:val="16"/>
                <w:vertAlign w:val="superscript"/>
              </w:rPr>
            </w:pPr>
            <w:r w:rsidRPr="00EF6679">
              <w:rPr>
                <w:rFonts w:ascii="Times New Roman" w:hAnsi="Times New Roman" w:cs="Times New Roman"/>
                <w:color w:val="000000" w:themeColor="text1"/>
                <w:sz w:val="16"/>
                <w:szCs w:val="16"/>
                <w:vertAlign w:val="superscript"/>
              </w:rPr>
              <w:t>bc</w:t>
            </w:r>
          </w:p>
        </w:tc>
        <w:tc>
          <w:tcPr>
            <w:tcW w:w="576" w:type="dxa"/>
            <w:noWrap/>
            <w:vAlign w:val="bottom"/>
            <w:hideMark/>
          </w:tcPr>
          <w:p w14:paraId="5841DD60" w14:textId="77777777" w:rsidR="00BB138C" w:rsidRPr="00EF6679" w:rsidRDefault="00BB138C" w:rsidP="00820288">
            <w:pPr>
              <w:spacing w:line="240" w:lineRule="auto"/>
              <w:jc w:val="right"/>
              <w:rPr>
                <w:rFonts w:ascii="Times New Roman" w:hAnsi="Times New Roman" w:cs="Times New Roman"/>
                <w:color w:val="000000" w:themeColor="text1"/>
                <w:sz w:val="16"/>
                <w:szCs w:val="16"/>
              </w:rPr>
            </w:pPr>
            <w:r w:rsidRPr="00EF6679">
              <w:rPr>
                <w:rFonts w:ascii="Times New Roman" w:hAnsi="Times New Roman" w:cs="Times New Roman"/>
                <w:color w:val="000000" w:themeColor="text1"/>
                <w:sz w:val="16"/>
                <w:szCs w:val="16"/>
              </w:rPr>
              <w:t>17.577</w:t>
            </w:r>
          </w:p>
        </w:tc>
        <w:tc>
          <w:tcPr>
            <w:tcW w:w="576" w:type="dxa"/>
            <w:noWrap/>
            <w:vAlign w:val="center"/>
            <w:hideMark/>
          </w:tcPr>
          <w:p w14:paraId="71D699A4" w14:textId="77777777" w:rsidR="00BB138C" w:rsidRPr="00EF6679" w:rsidRDefault="00BB138C" w:rsidP="00820288">
            <w:pPr>
              <w:spacing w:line="240" w:lineRule="auto"/>
              <w:rPr>
                <w:rFonts w:ascii="Times New Roman" w:hAnsi="Times New Roman" w:cs="Times New Roman"/>
                <w:color w:val="000000" w:themeColor="text1"/>
                <w:sz w:val="16"/>
                <w:szCs w:val="16"/>
                <w:vertAlign w:val="superscript"/>
              </w:rPr>
            </w:pPr>
            <w:r w:rsidRPr="00EF6679">
              <w:rPr>
                <w:rFonts w:ascii="Times New Roman" w:hAnsi="Times New Roman" w:cs="Times New Roman"/>
                <w:color w:val="000000" w:themeColor="text1"/>
                <w:sz w:val="16"/>
                <w:szCs w:val="16"/>
                <w:vertAlign w:val="superscript"/>
              </w:rPr>
              <w:t>a</w:t>
            </w:r>
          </w:p>
        </w:tc>
        <w:tc>
          <w:tcPr>
            <w:tcW w:w="576" w:type="dxa"/>
            <w:noWrap/>
            <w:vAlign w:val="bottom"/>
            <w:hideMark/>
          </w:tcPr>
          <w:p w14:paraId="50D12CC0" w14:textId="77777777" w:rsidR="00BB138C" w:rsidRPr="00EF6679" w:rsidRDefault="00BB138C" w:rsidP="00820288">
            <w:pPr>
              <w:spacing w:line="240" w:lineRule="auto"/>
              <w:jc w:val="right"/>
              <w:rPr>
                <w:rFonts w:ascii="Times New Roman" w:hAnsi="Times New Roman" w:cs="Times New Roman"/>
                <w:color w:val="000000" w:themeColor="text1"/>
                <w:sz w:val="16"/>
                <w:szCs w:val="16"/>
              </w:rPr>
            </w:pPr>
            <w:r w:rsidRPr="00EF6679">
              <w:rPr>
                <w:rFonts w:ascii="Times New Roman" w:hAnsi="Times New Roman" w:cs="Times New Roman"/>
                <w:color w:val="000000" w:themeColor="text1"/>
                <w:sz w:val="16"/>
                <w:szCs w:val="16"/>
              </w:rPr>
              <w:t>4.690</w:t>
            </w:r>
          </w:p>
        </w:tc>
        <w:tc>
          <w:tcPr>
            <w:tcW w:w="576" w:type="dxa"/>
            <w:noWrap/>
            <w:vAlign w:val="center"/>
            <w:hideMark/>
          </w:tcPr>
          <w:p w14:paraId="03AEAB7A" w14:textId="77777777" w:rsidR="00BB138C" w:rsidRPr="00EF6679" w:rsidRDefault="00BB138C" w:rsidP="00820288">
            <w:pPr>
              <w:spacing w:line="240" w:lineRule="auto"/>
              <w:rPr>
                <w:rFonts w:ascii="Times New Roman" w:hAnsi="Times New Roman" w:cs="Times New Roman"/>
                <w:color w:val="000000" w:themeColor="text1"/>
                <w:sz w:val="16"/>
                <w:szCs w:val="16"/>
                <w:vertAlign w:val="superscript"/>
              </w:rPr>
            </w:pPr>
            <w:r w:rsidRPr="00EF6679">
              <w:rPr>
                <w:rFonts w:ascii="Times New Roman" w:hAnsi="Times New Roman" w:cs="Times New Roman"/>
                <w:color w:val="000000" w:themeColor="text1"/>
                <w:sz w:val="16"/>
                <w:szCs w:val="16"/>
                <w:vertAlign w:val="superscript"/>
              </w:rPr>
              <w:t>c</w:t>
            </w:r>
          </w:p>
        </w:tc>
        <w:tc>
          <w:tcPr>
            <w:tcW w:w="576" w:type="dxa"/>
            <w:noWrap/>
            <w:vAlign w:val="bottom"/>
            <w:hideMark/>
          </w:tcPr>
          <w:p w14:paraId="5EF5261C" w14:textId="77777777" w:rsidR="00BB138C" w:rsidRPr="00EF6679" w:rsidRDefault="00BB138C" w:rsidP="00820288">
            <w:pPr>
              <w:spacing w:line="240" w:lineRule="auto"/>
              <w:jc w:val="right"/>
              <w:rPr>
                <w:rFonts w:ascii="Times New Roman" w:hAnsi="Times New Roman" w:cs="Times New Roman"/>
                <w:color w:val="000000" w:themeColor="text1"/>
                <w:sz w:val="16"/>
                <w:szCs w:val="16"/>
              </w:rPr>
            </w:pPr>
            <w:r w:rsidRPr="00EF6679">
              <w:rPr>
                <w:rFonts w:ascii="Times New Roman" w:hAnsi="Times New Roman" w:cs="Times New Roman"/>
                <w:color w:val="000000" w:themeColor="text1"/>
                <w:sz w:val="16"/>
                <w:szCs w:val="16"/>
              </w:rPr>
              <w:t>6.481</w:t>
            </w:r>
          </w:p>
        </w:tc>
        <w:tc>
          <w:tcPr>
            <w:tcW w:w="576" w:type="dxa"/>
            <w:noWrap/>
            <w:vAlign w:val="center"/>
            <w:hideMark/>
          </w:tcPr>
          <w:p w14:paraId="7DC3E240" w14:textId="77777777" w:rsidR="00BB138C" w:rsidRPr="00EF6679" w:rsidRDefault="00BB138C" w:rsidP="00820288">
            <w:pPr>
              <w:spacing w:line="240" w:lineRule="auto"/>
              <w:rPr>
                <w:rFonts w:ascii="Times New Roman" w:hAnsi="Times New Roman" w:cs="Times New Roman"/>
                <w:color w:val="000000" w:themeColor="text1"/>
                <w:sz w:val="16"/>
                <w:szCs w:val="16"/>
                <w:vertAlign w:val="superscript"/>
              </w:rPr>
            </w:pPr>
            <w:r w:rsidRPr="00EF6679">
              <w:rPr>
                <w:rFonts w:ascii="Times New Roman" w:hAnsi="Times New Roman" w:cs="Times New Roman"/>
                <w:color w:val="000000" w:themeColor="text1"/>
                <w:sz w:val="16"/>
                <w:szCs w:val="16"/>
                <w:vertAlign w:val="superscript"/>
              </w:rPr>
              <w:t>bc</w:t>
            </w:r>
          </w:p>
        </w:tc>
      </w:tr>
      <w:tr w:rsidR="00BB138C" w:rsidRPr="00EF6679" w14:paraId="27A1CFB0" w14:textId="77777777" w:rsidTr="00820288">
        <w:trPr>
          <w:trHeight w:val="173"/>
        </w:trPr>
        <w:tc>
          <w:tcPr>
            <w:tcW w:w="2880" w:type="dxa"/>
            <w:noWrap/>
            <w:vAlign w:val="bottom"/>
            <w:hideMark/>
          </w:tcPr>
          <w:p w14:paraId="460D7034" w14:textId="77777777" w:rsidR="00BB138C" w:rsidRPr="00EF6679" w:rsidRDefault="00BB138C" w:rsidP="00820288">
            <w:pPr>
              <w:spacing w:line="240" w:lineRule="auto"/>
              <w:rPr>
                <w:rFonts w:ascii="Times New Roman" w:hAnsi="Times New Roman" w:cs="Times New Roman"/>
                <w:color w:val="000000" w:themeColor="text1"/>
                <w:sz w:val="16"/>
                <w:szCs w:val="16"/>
              </w:rPr>
            </w:pPr>
            <w:r w:rsidRPr="00EF6679">
              <w:rPr>
                <w:rFonts w:ascii="Times New Roman" w:hAnsi="Times New Roman" w:cs="Times New Roman"/>
                <w:color w:val="000000" w:themeColor="text1"/>
                <w:sz w:val="16"/>
                <w:szCs w:val="16"/>
              </w:rPr>
              <w:t xml:space="preserve">2-ethyl-2-Butenal   </w:t>
            </w:r>
          </w:p>
        </w:tc>
        <w:tc>
          <w:tcPr>
            <w:tcW w:w="576" w:type="dxa"/>
            <w:noWrap/>
            <w:vAlign w:val="bottom"/>
            <w:hideMark/>
          </w:tcPr>
          <w:p w14:paraId="0C964BF7" w14:textId="77777777" w:rsidR="00BB138C" w:rsidRPr="00EF6679" w:rsidRDefault="00BB138C" w:rsidP="00820288">
            <w:pPr>
              <w:spacing w:line="240" w:lineRule="auto"/>
              <w:jc w:val="right"/>
              <w:rPr>
                <w:rFonts w:ascii="Times New Roman" w:hAnsi="Times New Roman" w:cs="Times New Roman"/>
                <w:color w:val="000000" w:themeColor="text1"/>
                <w:sz w:val="16"/>
                <w:szCs w:val="16"/>
              </w:rPr>
            </w:pPr>
            <w:r w:rsidRPr="00EF6679">
              <w:rPr>
                <w:rFonts w:ascii="Times New Roman" w:hAnsi="Times New Roman" w:cs="Times New Roman"/>
                <w:color w:val="000000" w:themeColor="text1"/>
                <w:sz w:val="16"/>
                <w:szCs w:val="16"/>
              </w:rPr>
              <w:t>2.960</w:t>
            </w:r>
          </w:p>
        </w:tc>
        <w:tc>
          <w:tcPr>
            <w:tcW w:w="576" w:type="dxa"/>
            <w:noWrap/>
            <w:vAlign w:val="center"/>
            <w:hideMark/>
          </w:tcPr>
          <w:p w14:paraId="7CED0ABC" w14:textId="77777777" w:rsidR="00BB138C" w:rsidRPr="00EF6679" w:rsidRDefault="00BB138C" w:rsidP="00820288">
            <w:pPr>
              <w:spacing w:line="240" w:lineRule="auto"/>
              <w:rPr>
                <w:rFonts w:ascii="Times New Roman" w:hAnsi="Times New Roman" w:cs="Times New Roman"/>
                <w:color w:val="000000" w:themeColor="text1"/>
                <w:sz w:val="16"/>
                <w:szCs w:val="16"/>
                <w:vertAlign w:val="superscript"/>
              </w:rPr>
            </w:pPr>
            <w:r w:rsidRPr="00EF6679">
              <w:rPr>
                <w:rFonts w:ascii="Times New Roman" w:hAnsi="Times New Roman" w:cs="Times New Roman"/>
                <w:color w:val="000000" w:themeColor="text1"/>
                <w:sz w:val="16"/>
                <w:szCs w:val="16"/>
                <w:vertAlign w:val="superscript"/>
              </w:rPr>
              <w:t>b</w:t>
            </w:r>
          </w:p>
        </w:tc>
        <w:tc>
          <w:tcPr>
            <w:tcW w:w="576" w:type="dxa"/>
            <w:noWrap/>
            <w:vAlign w:val="bottom"/>
            <w:hideMark/>
          </w:tcPr>
          <w:p w14:paraId="2CC1BD7E" w14:textId="77777777" w:rsidR="00BB138C" w:rsidRPr="00EF6679" w:rsidRDefault="00BB138C" w:rsidP="00820288">
            <w:pPr>
              <w:spacing w:line="240" w:lineRule="auto"/>
              <w:jc w:val="right"/>
              <w:rPr>
                <w:rFonts w:ascii="Times New Roman" w:hAnsi="Times New Roman" w:cs="Times New Roman"/>
                <w:color w:val="000000" w:themeColor="text1"/>
                <w:sz w:val="16"/>
                <w:szCs w:val="16"/>
              </w:rPr>
            </w:pPr>
            <w:r w:rsidRPr="00EF6679">
              <w:rPr>
                <w:rFonts w:ascii="Times New Roman" w:hAnsi="Times New Roman" w:cs="Times New Roman"/>
                <w:color w:val="000000" w:themeColor="text1"/>
                <w:sz w:val="16"/>
                <w:szCs w:val="16"/>
              </w:rPr>
              <w:t>5.377</w:t>
            </w:r>
          </w:p>
        </w:tc>
        <w:tc>
          <w:tcPr>
            <w:tcW w:w="576" w:type="dxa"/>
            <w:noWrap/>
            <w:vAlign w:val="center"/>
            <w:hideMark/>
          </w:tcPr>
          <w:p w14:paraId="1F8F5388" w14:textId="77777777" w:rsidR="00BB138C" w:rsidRPr="00EF6679" w:rsidRDefault="00BB138C" w:rsidP="00820288">
            <w:pPr>
              <w:spacing w:line="240" w:lineRule="auto"/>
              <w:rPr>
                <w:rFonts w:ascii="Times New Roman" w:hAnsi="Times New Roman" w:cs="Times New Roman"/>
                <w:color w:val="000000" w:themeColor="text1"/>
                <w:sz w:val="16"/>
                <w:szCs w:val="16"/>
                <w:vertAlign w:val="superscript"/>
              </w:rPr>
            </w:pPr>
            <w:r w:rsidRPr="00EF6679">
              <w:rPr>
                <w:rFonts w:ascii="Times New Roman" w:hAnsi="Times New Roman" w:cs="Times New Roman"/>
                <w:color w:val="000000" w:themeColor="text1"/>
                <w:sz w:val="16"/>
                <w:szCs w:val="16"/>
                <w:vertAlign w:val="superscript"/>
              </w:rPr>
              <w:t>a</w:t>
            </w:r>
          </w:p>
        </w:tc>
        <w:tc>
          <w:tcPr>
            <w:tcW w:w="576" w:type="dxa"/>
            <w:noWrap/>
            <w:vAlign w:val="bottom"/>
            <w:hideMark/>
          </w:tcPr>
          <w:p w14:paraId="58844A31" w14:textId="77777777" w:rsidR="00BB138C" w:rsidRPr="00EF6679" w:rsidRDefault="00BB138C" w:rsidP="00820288">
            <w:pPr>
              <w:spacing w:line="240" w:lineRule="auto"/>
              <w:jc w:val="right"/>
              <w:rPr>
                <w:rFonts w:ascii="Times New Roman" w:hAnsi="Times New Roman" w:cs="Times New Roman"/>
                <w:color w:val="000000" w:themeColor="text1"/>
                <w:sz w:val="16"/>
                <w:szCs w:val="16"/>
              </w:rPr>
            </w:pPr>
            <w:r w:rsidRPr="00EF6679">
              <w:rPr>
                <w:rFonts w:ascii="Times New Roman" w:hAnsi="Times New Roman" w:cs="Times New Roman"/>
                <w:color w:val="000000" w:themeColor="text1"/>
                <w:sz w:val="16"/>
                <w:szCs w:val="16"/>
              </w:rPr>
              <w:t>2.413</w:t>
            </w:r>
          </w:p>
        </w:tc>
        <w:tc>
          <w:tcPr>
            <w:tcW w:w="576" w:type="dxa"/>
            <w:noWrap/>
            <w:vAlign w:val="center"/>
            <w:hideMark/>
          </w:tcPr>
          <w:p w14:paraId="661F2612" w14:textId="77777777" w:rsidR="00BB138C" w:rsidRPr="00EF6679" w:rsidRDefault="00BB138C" w:rsidP="00820288">
            <w:pPr>
              <w:spacing w:line="240" w:lineRule="auto"/>
              <w:rPr>
                <w:rFonts w:ascii="Times New Roman" w:hAnsi="Times New Roman" w:cs="Times New Roman"/>
                <w:color w:val="000000" w:themeColor="text1"/>
                <w:sz w:val="16"/>
                <w:szCs w:val="16"/>
                <w:vertAlign w:val="superscript"/>
              </w:rPr>
            </w:pPr>
            <w:r w:rsidRPr="00EF6679">
              <w:rPr>
                <w:rFonts w:ascii="Times New Roman" w:hAnsi="Times New Roman" w:cs="Times New Roman"/>
                <w:color w:val="000000" w:themeColor="text1"/>
                <w:sz w:val="16"/>
                <w:szCs w:val="16"/>
                <w:vertAlign w:val="superscript"/>
              </w:rPr>
              <w:t>b</w:t>
            </w:r>
          </w:p>
        </w:tc>
        <w:tc>
          <w:tcPr>
            <w:tcW w:w="576" w:type="dxa"/>
            <w:noWrap/>
            <w:vAlign w:val="bottom"/>
            <w:hideMark/>
          </w:tcPr>
          <w:p w14:paraId="54046C6F" w14:textId="77777777" w:rsidR="00BB138C" w:rsidRPr="00EF6679" w:rsidRDefault="00BB138C" w:rsidP="00820288">
            <w:pPr>
              <w:spacing w:line="240" w:lineRule="auto"/>
              <w:jc w:val="right"/>
              <w:rPr>
                <w:rFonts w:ascii="Times New Roman" w:hAnsi="Times New Roman" w:cs="Times New Roman"/>
                <w:color w:val="000000" w:themeColor="text1"/>
                <w:sz w:val="16"/>
                <w:szCs w:val="16"/>
              </w:rPr>
            </w:pPr>
            <w:r w:rsidRPr="00EF6679">
              <w:rPr>
                <w:rFonts w:ascii="Times New Roman" w:hAnsi="Times New Roman" w:cs="Times New Roman"/>
                <w:color w:val="000000" w:themeColor="text1"/>
                <w:sz w:val="16"/>
                <w:szCs w:val="16"/>
              </w:rPr>
              <w:t>2.579</w:t>
            </w:r>
          </w:p>
        </w:tc>
        <w:tc>
          <w:tcPr>
            <w:tcW w:w="576" w:type="dxa"/>
            <w:noWrap/>
            <w:vAlign w:val="center"/>
            <w:hideMark/>
          </w:tcPr>
          <w:p w14:paraId="48C0CDBE" w14:textId="77777777" w:rsidR="00BB138C" w:rsidRPr="00EF6679" w:rsidRDefault="00BB138C" w:rsidP="00820288">
            <w:pPr>
              <w:spacing w:line="240" w:lineRule="auto"/>
              <w:rPr>
                <w:rFonts w:ascii="Times New Roman" w:hAnsi="Times New Roman" w:cs="Times New Roman"/>
                <w:color w:val="000000" w:themeColor="text1"/>
                <w:sz w:val="16"/>
                <w:szCs w:val="16"/>
                <w:vertAlign w:val="superscript"/>
              </w:rPr>
            </w:pPr>
            <w:r w:rsidRPr="00EF6679">
              <w:rPr>
                <w:rFonts w:ascii="Times New Roman" w:hAnsi="Times New Roman" w:cs="Times New Roman"/>
                <w:color w:val="000000" w:themeColor="text1"/>
                <w:sz w:val="16"/>
                <w:szCs w:val="16"/>
                <w:vertAlign w:val="superscript"/>
              </w:rPr>
              <w:t>b</w:t>
            </w:r>
          </w:p>
        </w:tc>
      </w:tr>
      <w:tr w:rsidR="00BB138C" w:rsidRPr="00EF6679" w14:paraId="07F56ACC" w14:textId="77777777" w:rsidTr="00820288">
        <w:trPr>
          <w:trHeight w:val="173"/>
        </w:trPr>
        <w:tc>
          <w:tcPr>
            <w:tcW w:w="2880" w:type="dxa"/>
            <w:noWrap/>
            <w:vAlign w:val="bottom"/>
            <w:hideMark/>
          </w:tcPr>
          <w:p w14:paraId="05A9485E" w14:textId="77777777" w:rsidR="00BB138C" w:rsidRPr="00EF6679" w:rsidRDefault="00BB138C" w:rsidP="00820288">
            <w:pPr>
              <w:spacing w:line="240" w:lineRule="auto"/>
              <w:rPr>
                <w:rFonts w:ascii="Times New Roman" w:hAnsi="Times New Roman" w:cs="Times New Roman"/>
                <w:color w:val="000000" w:themeColor="text1"/>
                <w:sz w:val="16"/>
                <w:szCs w:val="16"/>
              </w:rPr>
            </w:pPr>
            <w:r w:rsidRPr="00EF6679">
              <w:rPr>
                <w:rFonts w:ascii="Times New Roman" w:hAnsi="Times New Roman" w:cs="Times New Roman"/>
                <w:color w:val="000000" w:themeColor="text1"/>
                <w:sz w:val="16"/>
                <w:szCs w:val="16"/>
              </w:rPr>
              <w:t xml:space="preserve">(E)-2-Hexenal            </w:t>
            </w:r>
          </w:p>
        </w:tc>
        <w:tc>
          <w:tcPr>
            <w:tcW w:w="576" w:type="dxa"/>
            <w:noWrap/>
            <w:vAlign w:val="bottom"/>
            <w:hideMark/>
          </w:tcPr>
          <w:p w14:paraId="4A49DED1" w14:textId="77777777" w:rsidR="00BB138C" w:rsidRPr="00EF6679" w:rsidRDefault="00BB138C" w:rsidP="00820288">
            <w:pPr>
              <w:spacing w:line="240" w:lineRule="auto"/>
              <w:jc w:val="right"/>
              <w:rPr>
                <w:rFonts w:ascii="Times New Roman" w:hAnsi="Times New Roman" w:cs="Times New Roman"/>
                <w:color w:val="000000" w:themeColor="text1"/>
                <w:sz w:val="16"/>
                <w:szCs w:val="16"/>
              </w:rPr>
            </w:pPr>
            <w:r w:rsidRPr="00EF6679">
              <w:rPr>
                <w:rFonts w:ascii="Times New Roman" w:hAnsi="Times New Roman" w:cs="Times New Roman"/>
                <w:color w:val="000000" w:themeColor="text1"/>
                <w:sz w:val="16"/>
                <w:szCs w:val="16"/>
              </w:rPr>
              <w:t>0.160</w:t>
            </w:r>
          </w:p>
        </w:tc>
        <w:tc>
          <w:tcPr>
            <w:tcW w:w="576" w:type="dxa"/>
            <w:noWrap/>
            <w:vAlign w:val="center"/>
            <w:hideMark/>
          </w:tcPr>
          <w:p w14:paraId="0EF5D943" w14:textId="77777777" w:rsidR="00BB138C" w:rsidRPr="00EF6679" w:rsidRDefault="00BB138C" w:rsidP="00820288">
            <w:pPr>
              <w:spacing w:line="240" w:lineRule="auto"/>
              <w:rPr>
                <w:rFonts w:ascii="Times New Roman" w:hAnsi="Times New Roman" w:cs="Times New Roman"/>
                <w:color w:val="000000" w:themeColor="text1"/>
                <w:sz w:val="16"/>
                <w:szCs w:val="16"/>
                <w:vertAlign w:val="superscript"/>
              </w:rPr>
            </w:pPr>
            <w:r w:rsidRPr="00EF6679">
              <w:rPr>
                <w:rFonts w:ascii="Times New Roman" w:hAnsi="Times New Roman" w:cs="Times New Roman"/>
                <w:color w:val="000000" w:themeColor="text1"/>
                <w:sz w:val="16"/>
                <w:szCs w:val="16"/>
                <w:vertAlign w:val="superscript"/>
              </w:rPr>
              <w:t>bc</w:t>
            </w:r>
          </w:p>
        </w:tc>
        <w:tc>
          <w:tcPr>
            <w:tcW w:w="576" w:type="dxa"/>
            <w:noWrap/>
            <w:vAlign w:val="bottom"/>
            <w:hideMark/>
          </w:tcPr>
          <w:p w14:paraId="089C90F2" w14:textId="77777777" w:rsidR="00BB138C" w:rsidRPr="00EF6679" w:rsidRDefault="00BB138C" w:rsidP="00820288">
            <w:pPr>
              <w:spacing w:line="240" w:lineRule="auto"/>
              <w:jc w:val="right"/>
              <w:rPr>
                <w:rFonts w:ascii="Times New Roman" w:hAnsi="Times New Roman" w:cs="Times New Roman"/>
                <w:color w:val="000000" w:themeColor="text1"/>
                <w:sz w:val="16"/>
                <w:szCs w:val="16"/>
              </w:rPr>
            </w:pPr>
            <w:r w:rsidRPr="00EF6679">
              <w:rPr>
                <w:rFonts w:ascii="Times New Roman" w:hAnsi="Times New Roman" w:cs="Times New Roman"/>
                <w:color w:val="000000" w:themeColor="text1"/>
                <w:sz w:val="16"/>
                <w:szCs w:val="16"/>
              </w:rPr>
              <w:t>0.311</w:t>
            </w:r>
          </w:p>
        </w:tc>
        <w:tc>
          <w:tcPr>
            <w:tcW w:w="576" w:type="dxa"/>
            <w:noWrap/>
            <w:vAlign w:val="center"/>
            <w:hideMark/>
          </w:tcPr>
          <w:p w14:paraId="797150D4" w14:textId="77777777" w:rsidR="00BB138C" w:rsidRPr="00EF6679" w:rsidRDefault="00BB138C" w:rsidP="00820288">
            <w:pPr>
              <w:spacing w:line="240" w:lineRule="auto"/>
              <w:rPr>
                <w:rFonts w:ascii="Times New Roman" w:hAnsi="Times New Roman" w:cs="Times New Roman"/>
                <w:color w:val="000000" w:themeColor="text1"/>
                <w:sz w:val="16"/>
                <w:szCs w:val="16"/>
                <w:vertAlign w:val="superscript"/>
              </w:rPr>
            </w:pPr>
            <w:r w:rsidRPr="00EF6679">
              <w:rPr>
                <w:rFonts w:ascii="Times New Roman" w:hAnsi="Times New Roman" w:cs="Times New Roman"/>
                <w:color w:val="000000" w:themeColor="text1"/>
                <w:sz w:val="16"/>
                <w:szCs w:val="16"/>
                <w:vertAlign w:val="superscript"/>
              </w:rPr>
              <w:t>a</w:t>
            </w:r>
          </w:p>
        </w:tc>
        <w:tc>
          <w:tcPr>
            <w:tcW w:w="576" w:type="dxa"/>
            <w:noWrap/>
            <w:vAlign w:val="bottom"/>
            <w:hideMark/>
          </w:tcPr>
          <w:p w14:paraId="0B36C8B5" w14:textId="77777777" w:rsidR="00BB138C" w:rsidRPr="00EF6679" w:rsidRDefault="00BB138C" w:rsidP="00820288">
            <w:pPr>
              <w:spacing w:line="240" w:lineRule="auto"/>
              <w:jc w:val="right"/>
              <w:rPr>
                <w:rFonts w:ascii="Times New Roman" w:hAnsi="Times New Roman" w:cs="Times New Roman"/>
                <w:color w:val="000000" w:themeColor="text1"/>
                <w:sz w:val="16"/>
                <w:szCs w:val="16"/>
              </w:rPr>
            </w:pPr>
            <w:r w:rsidRPr="00EF6679">
              <w:rPr>
                <w:rFonts w:ascii="Times New Roman" w:hAnsi="Times New Roman" w:cs="Times New Roman"/>
                <w:color w:val="000000" w:themeColor="text1"/>
                <w:sz w:val="16"/>
                <w:szCs w:val="16"/>
              </w:rPr>
              <w:t>0.123</w:t>
            </w:r>
          </w:p>
        </w:tc>
        <w:tc>
          <w:tcPr>
            <w:tcW w:w="576" w:type="dxa"/>
            <w:noWrap/>
            <w:vAlign w:val="center"/>
            <w:hideMark/>
          </w:tcPr>
          <w:p w14:paraId="4FBE8C9D" w14:textId="77777777" w:rsidR="00BB138C" w:rsidRPr="00EF6679" w:rsidRDefault="00BB138C" w:rsidP="00820288">
            <w:pPr>
              <w:spacing w:line="240" w:lineRule="auto"/>
              <w:rPr>
                <w:rFonts w:ascii="Times New Roman" w:hAnsi="Times New Roman" w:cs="Times New Roman"/>
                <w:color w:val="000000" w:themeColor="text1"/>
                <w:sz w:val="16"/>
                <w:szCs w:val="16"/>
                <w:vertAlign w:val="superscript"/>
              </w:rPr>
            </w:pPr>
            <w:r w:rsidRPr="00EF6679">
              <w:rPr>
                <w:rFonts w:ascii="Times New Roman" w:hAnsi="Times New Roman" w:cs="Times New Roman"/>
                <w:color w:val="000000" w:themeColor="text1"/>
                <w:sz w:val="16"/>
                <w:szCs w:val="16"/>
                <w:vertAlign w:val="superscript"/>
              </w:rPr>
              <w:t>bc</w:t>
            </w:r>
          </w:p>
        </w:tc>
        <w:tc>
          <w:tcPr>
            <w:tcW w:w="576" w:type="dxa"/>
            <w:noWrap/>
            <w:vAlign w:val="bottom"/>
            <w:hideMark/>
          </w:tcPr>
          <w:p w14:paraId="5C253A1A" w14:textId="77777777" w:rsidR="00BB138C" w:rsidRPr="00EF6679" w:rsidRDefault="00BB138C" w:rsidP="00820288">
            <w:pPr>
              <w:spacing w:line="240" w:lineRule="auto"/>
              <w:jc w:val="right"/>
              <w:rPr>
                <w:rFonts w:ascii="Times New Roman" w:hAnsi="Times New Roman" w:cs="Times New Roman"/>
                <w:color w:val="000000" w:themeColor="text1"/>
                <w:sz w:val="16"/>
                <w:szCs w:val="16"/>
              </w:rPr>
            </w:pPr>
            <w:r w:rsidRPr="00EF6679">
              <w:rPr>
                <w:rFonts w:ascii="Times New Roman" w:hAnsi="Times New Roman" w:cs="Times New Roman"/>
                <w:color w:val="000000" w:themeColor="text1"/>
                <w:sz w:val="16"/>
                <w:szCs w:val="16"/>
              </w:rPr>
              <w:t>0.159</w:t>
            </w:r>
          </w:p>
        </w:tc>
        <w:tc>
          <w:tcPr>
            <w:tcW w:w="576" w:type="dxa"/>
            <w:noWrap/>
            <w:vAlign w:val="center"/>
            <w:hideMark/>
          </w:tcPr>
          <w:p w14:paraId="1B32D3D6" w14:textId="77777777" w:rsidR="00BB138C" w:rsidRPr="00EF6679" w:rsidRDefault="00BB138C" w:rsidP="00820288">
            <w:pPr>
              <w:spacing w:line="240" w:lineRule="auto"/>
              <w:rPr>
                <w:rFonts w:ascii="Times New Roman" w:hAnsi="Times New Roman" w:cs="Times New Roman"/>
                <w:color w:val="000000" w:themeColor="text1"/>
                <w:sz w:val="16"/>
                <w:szCs w:val="16"/>
                <w:vertAlign w:val="superscript"/>
              </w:rPr>
            </w:pPr>
            <w:r w:rsidRPr="00EF6679">
              <w:rPr>
                <w:rFonts w:ascii="Times New Roman" w:hAnsi="Times New Roman" w:cs="Times New Roman"/>
                <w:color w:val="000000" w:themeColor="text1"/>
                <w:sz w:val="16"/>
                <w:szCs w:val="16"/>
                <w:vertAlign w:val="superscript"/>
              </w:rPr>
              <w:t>bc</w:t>
            </w:r>
          </w:p>
        </w:tc>
      </w:tr>
      <w:tr w:rsidR="00BB138C" w:rsidRPr="00EF6679" w14:paraId="07AA54B1" w14:textId="77777777" w:rsidTr="00820288">
        <w:trPr>
          <w:trHeight w:val="173"/>
        </w:trPr>
        <w:tc>
          <w:tcPr>
            <w:tcW w:w="2880" w:type="dxa"/>
            <w:noWrap/>
            <w:vAlign w:val="bottom"/>
            <w:hideMark/>
          </w:tcPr>
          <w:p w14:paraId="6D0ED478" w14:textId="77777777" w:rsidR="00BB138C" w:rsidRPr="00EF6679" w:rsidRDefault="00BB138C" w:rsidP="00820288">
            <w:pPr>
              <w:spacing w:line="240" w:lineRule="auto"/>
              <w:rPr>
                <w:rFonts w:ascii="Times New Roman" w:hAnsi="Times New Roman" w:cs="Times New Roman"/>
                <w:color w:val="000000" w:themeColor="text1"/>
                <w:sz w:val="16"/>
                <w:szCs w:val="16"/>
              </w:rPr>
            </w:pPr>
            <w:r w:rsidRPr="00EF6679">
              <w:rPr>
                <w:rFonts w:ascii="Times New Roman" w:hAnsi="Times New Roman" w:cs="Times New Roman"/>
                <w:color w:val="000000" w:themeColor="text1"/>
                <w:sz w:val="16"/>
                <w:szCs w:val="16"/>
              </w:rPr>
              <w:t xml:space="preserve">α-Pinene                  </w:t>
            </w:r>
          </w:p>
        </w:tc>
        <w:tc>
          <w:tcPr>
            <w:tcW w:w="576" w:type="dxa"/>
            <w:noWrap/>
            <w:vAlign w:val="bottom"/>
            <w:hideMark/>
          </w:tcPr>
          <w:p w14:paraId="6CFA00EB" w14:textId="77777777" w:rsidR="00BB138C" w:rsidRPr="00EF6679" w:rsidRDefault="00BB138C" w:rsidP="00820288">
            <w:pPr>
              <w:spacing w:line="240" w:lineRule="auto"/>
              <w:jc w:val="right"/>
              <w:rPr>
                <w:rFonts w:ascii="Times New Roman" w:hAnsi="Times New Roman" w:cs="Times New Roman"/>
                <w:color w:val="000000" w:themeColor="text1"/>
                <w:sz w:val="16"/>
                <w:szCs w:val="16"/>
              </w:rPr>
            </w:pPr>
            <w:r w:rsidRPr="00EF6679">
              <w:rPr>
                <w:rFonts w:ascii="Times New Roman" w:hAnsi="Times New Roman" w:cs="Times New Roman"/>
                <w:color w:val="000000" w:themeColor="text1"/>
                <w:sz w:val="16"/>
                <w:szCs w:val="16"/>
              </w:rPr>
              <w:t>12.108</w:t>
            </w:r>
          </w:p>
        </w:tc>
        <w:tc>
          <w:tcPr>
            <w:tcW w:w="576" w:type="dxa"/>
            <w:noWrap/>
            <w:vAlign w:val="center"/>
            <w:hideMark/>
          </w:tcPr>
          <w:p w14:paraId="4E0224FE" w14:textId="77777777" w:rsidR="00BB138C" w:rsidRPr="00EF6679" w:rsidRDefault="00BB138C" w:rsidP="00820288">
            <w:pPr>
              <w:spacing w:line="240" w:lineRule="auto"/>
              <w:rPr>
                <w:rFonts w:ascii="Times New Roman" w:hAnsi="Times New Roman" w:cs="Times New Roman"/>
                <w:color w:val="000000" w:themeColor="text1"/>
                <w:sz w:val="16"/>
                <w:szCs w:val="16"/>
                <w:vertAlign w:val="superscript"/>
              </w:rPr>
            </w:pPr>
            <w:r w:rsidRPr="00EF6679">
              <w:rPr>
                <w:rFonts w:ascii="Times New Roman" w:hAnsi="Times New Roman" w:cs="Times New Roman"/>
                <w:color w:val="000000" w:themeColor="text1"/>
                <w:sz w:val="16"/>
                <w:szCs w:val="16"/>
                <w:vertAlign w:val="superscript"/>
              </w:rPr>
              <w:t>a</w:t>
            </w:r>
          </w:p>
        </w:tc>
        <w:tc>
          <w:tcPr>
            <w:tcW w:w="576" w:type="dxa"/>
            <w:noWrap/>
            <w:vAlign w:val="bottom"/>
            <w:hideMark/>
          </w:tcPr>
          <w:p w14:paraId="4351F439" w14:textId="77777777" w:rsidR="00BB138C" w:rsidRPr="00EF6679" w:rsidRDefault="00BB138C" w:rsidP="00820288">
            <w:pPr>
              <w:spacing w:line="240" w:lineRule="auto"/>
              <w:jc w:val="right"/>
              <w:rPr>
                <w:rFonts w:ascii="Times New Roman" w:hAnsi="Times New Roman" w:cs="Times New Roman"/>
                <w:color w:val="000000" w:themeColor="text1"/>
                <w:sz w:val="16"/>
                <w:szCs w:val="16"/>
              </w:rPr>
            </w:pPr>
            <w:r w:rsidRPr="00EF6679">
              <w:rPr>
                <w:rFonts w:ascii="Times New Roman" w:hAnsi="Times New Roman" w:cs="Times New Roman"/>
                <w:color w:val="000000" w:themeColor="text1"/>
                <w:sz w:val="16"/>
                <w:szCs w:val="16"/>
              </w:rPr>
              <w:t>10.229</w:t>
            </w:r>
          </w:p>
        </w:tc>
        <w:tc>
          <w:tcPr>
            <w:tcW w:w="576" w:type="dxa"/>
            <w:noWrap/>
            <w:vAlign w:val="center"/>
            <w:hideMark/>
          </w:tcPr>
          <w:p w14:paraId="3A130147" w14:textId="77777777" w:rsidR="00BB138C" w:rsidRPr="00EF6679" w:rsidRDefault="00BB138C" w:rsidP="00820288">
            <w:pPr>
              <w:spacing w:line="240" w:lineRule="auto"/>
              <w:rPr>
                <w:rFonts w:ascii="Times New Roman" w:hAnsi="Times New Roman" w:cs="Times New Roman"/>
                <w:color w:val="000000" w:themeColor="text1"/>
                <w:sz w:val="16"/>
                <w:szCs w:val="16"/>
                <w:vertAlign w:val="superscript"/>
              </w:rPr>
            </w:pPr>
            <w:r w:rsidRPr="00EF6679">
              <w:rPr>
                <w:rFonts w:ascii="Times New Roman" w:hAnsi="Times New Roman" w:cs="Times New Roman"/>
                <w:color w:val="000000" w:themeColor="text1"/>
                <w:sz w:val="16"/>
                <w:szCs w:val="16"/>
                <w:vertAlign w:val="superscript"/>
              </w:rPr>
              <w:t>a</w:t>
            </w:r>
          </w:p>
        </w:tc>
        <w:tc>
          <w:tcPr>
            <w:tcW w:w="576" w:type="dxa"/>
            <w:noWrap/>
            <w:vAlign w:val="bottom"/>
            <w:hideMark/>
          </w:tcPr>
          <w:p w14:paraId="0624E114" w14:textId="77777777" w:rsidR="00BB138C" w:rsidRPr="00EF6679" w:rsidRDefault="00BB138C" w:rsidP="00820288">
            <w:pPr>
              <w:spacing w:line="240" w:lineRule="auto"/>
              <w:jc w:val="right"/>
              <w:rPr>
                <w:rFonts w:ascii="Times New Roman" w:hAnsi="Times New Roman" w:cs="Times New Roman"/>
                <w:color w:val="000000" w:themeColor="text1"/>
                <w:sz w:val="16"/>
                <w:szCs w:val="16"/>
              </w:rPr>
            </w:pPr>
            <w:r w:rsidRPr="00EF6679">
              <w:rPr>
                <w:rFonts w:ascii="Times New Roman" w:hAnsi="Times New Roman" w:cs="Times New Roman"/>
                <w:color w:val="000000" w:themeColor="text1"/>
                <w:sz w:val="16"/>
                <w:szCs w:val="16"/>
              </w:rPr>
              <w:t>6.817</w:t>
            </w:r>
          </w:p>
        </w:tc>
        <w:tc>
          <w:tcPr>
            <w:tcW w:w="576" w:type="dxa"/>
            <w:noWrap/>
            <w:vAlign w:val="center"/>
            <w:hideMark/>
          </w:tcPr>
          <w:p w14:paraId="4FDB7F67" w14:textId="77777777" w:rsidR="00BB138C" w:rsidRPr="00EF6679" w:rsidRDefault="00BB138C" w:rsidP="00820288">
            <w:pPr>
              <w:spacing w:line="240" w:lineRule="auto"/>
              <w:rPr>
                <w:rFonts w:ascii="Times New Roman" w:hAnsi="Times New Roman" w:cs="Times New Roman"/>
                <w:color w:val="000000" w:themeColor="text1"/>
                <w:sz w:val="16"/>
                <w:szCs w:val="16"/>
                <w:vertAlign w:val="superscript"/>
              </w:rPr>
            </w:pPr>
            <w:r w:rsidRPr="00EF6679">
              <w:rPr>
                <w:rFonts w:ascii="Times New Roman" w:hAnsi="Times New Roman" w:cs="Times New Roman"/>
                <w:color w:val="000000" w:themeColor="text1"/>
                <w:sz w:val="16"/>
                <w:szCs w:val="16"/>
                <w:vertAlign w:val="superscript"/>
              </w:rPr>
              <w:t>a</w:t>
            </w:r>
          </w:p>
        </w:tc>
        <w:tc>
          <w:tcPr>
            <w:tcW w:w="576" w:type="dxa"/>
            <w:noWrap/>
            <w:vAlign w:val="bottom"/>
            <w:hideMark/>
          </w:tcPr>
          <w:p w14:paraId="32B362AB" w14:textId="77777777" w:rsidR="00BB138C" w:rsidRPr="00EF6679" w:rsidRDefault="00BB138C" w:rsidP="00820288">
            <w:pPr>
              <w:spacing w:line="240" w:lineRule="auto"/>
              <w:jc w:val="right"/>
              <w:rPr>
                <w:rFonts w:ascii="Times New Roman" w:hAnsi="Times New Roman" w:cs="Times New Roman"/>
                <w:color w:val="000000" w:themeColor="text1"/>
                <w:sz w:val="16"/>
                <w:szCs w:val="16"/>
              </w:rPr>
            </w:pPr>
            <w:r w:rsidRPr="00EF6679">
              <w:rPr>
                <w:rFonts w:ascii="Times New Roman" w:hAnsi="Times New Roman" w:cs="Times New Roman"/>
                <w:color w:val="000000" w:themeColor="text1"/>
                <w:sz w:val="16"/>
                <w:szCs w:val="16"/>
              </w:rPr>
              <w:t>7.978</w:t>
            </w:r>
          </w:p>
        </w:tc>
        <w:tc>
          <w:tcPr>
            <w:tcW w:w="576" w:type="dxa"/>
            <w:noWrap/>
            <w:vAlign w:val="center"/>
            <w:hideMark/>
          </w:tcPr>
          <w:p w14:paraId="26DD0234" w14:textId="77777777" w:rsidR="00BB138C" w:rsidRPr="00EF6679" w:rsidRDefault="00BB138C" w:rsidP="00820288">
            <w:pPr>
              <w:spacing w:line="240" w:lineRule="auto"/>
              <w:rPr>
                <w:rFonts w:ascii="Times New Roman" w:hAnsi="Times New Roman" w:cs="Times New Roman"/>
                <w:color w:val="000000" w:themeColor="text1"/>
                <w:sz w:val="16"/>
                <w:szCs w:val="16"/>
                <w:vertAlign w:val="superscript"/>
              </w:rPr>
            </w:pPr>
            <w:r w:rsidRPr="00EF6679">
              <w:rPr>
                <w:rFonts w:ascii="Times New Roman" w:hAnsi="Times New Roman" w:cs="Times New Roman"/>
                <w:color w:val="000000" w:themeColor="text1"/>
                <w:sz w:val="16"/>
                <w:szCs w:val="16"/>
                <w:vertAlign w:val="superscript"/>
              </w:rPr>
              <w:t>a</w:t>
            </w:r>
          </w:p>
        </w:tc>
      </w:tr>
      <w:tr w:rsidR="00BB138C" w:rsidRPr="00EF6679" w14:paraId="20970FB7" w14:textId="77777777" w:rsidTr="00820288">
        <w:trPr>
          <w:trHeight w:val="173"/>
        </w:trPr>
        <w:tc>
          <w:tcPr>
            <w:tcW w:w="2880" w:type="dxa"/>
            <w:noWrap/>
            <w:vAlign w:val="bottom"/>
            <w:hideMark/>
          </w:tcPr>
          <w:p w14:paraId="2C7FCEF0" w14:textId="77777777" w:rsidR="00BB138C" w:rsidRPr="00EF6679" w:rsidRDefault="00BB138C" w:rsidP="00820288">
            <w:pPr>
              <w:spacing w:line="240" w:lineRule="auto"/>
              <w:rPr>
                <w:rFonts w:ascii="Times New Roman" w:hAnsi="Times New Roman" w:cs="Times New Roman"/>
                <w:color w:val="000000" w:themeColor="text1"/>
                <w:sz w:val="16"/>
                <w:szCs w:val="16"/>
              </w:rPr>
            </w:pPr>
            <w:r w:rsidRPr="00EF6679">
              <w:rPr>
                <w:rFonts w:ascii="Times New Roman" w:hAnsi="Times New Roman" w:cs="Times New Roman"/>
                <w:color w:val="000000" w:themeColor="text1"/>
                <w:sz w:val="16"/>
                <w:szCs w:val="16"/>
              </w:rPr>
              <w:t xml:space="preserve">Camphene                 </w:t>
            </w:r>
          </w:p>
        </w:tc>
        <w:tc>
          <w:tcPr>
            <w:tcW w:w="576" w:type="dxa"/>
            <w:noWrap/>
            <w:vAlign w:val="bottom"/>
            <w:hideMark/>
          </w:tcPr>
          <w:p w14:paraId="3E328F5A" w14:textId="77777777" w:rsidR="00BB138C" w:rsidRPr="00EF6679" w:rsidRDefault="00BB138C" w:rsidP="00820288">
            <w:pPr>
              <w:spacing w:line="240" w:lineRule="auto"/>
              <w:jc w:val="right"/>
              <w:rPr>
                <w:rFonts w:ascii="Times New Roman" w:hAnsi="Times New Roman" w:cs="Times New Roman"/>
                <w:color w:val="000000" w:themeColor="text1"/>
                <w:sz w:val="16"/>
                <w:szCs w:val="16"/>
              </w:rPr>
            </w:pPr>
            <w:r w:rsidRPr="00EF6679">
              <w:rPr>
                <w:rFonts w:ascii="Times New Roman" w:hAnsi="Times New Roman" w:cs="Times New Roman"/>
                <w:color w:val="000000" w:themeColor="text1"/>
                <w:sz w:val="16"/>
                <w:szCs w:val="16"/>
              </w:rPr>
              <w:t>13.720</w:t>
            </w:r>
          </w:p>
        </w:tc>
        <w:tc>
          <w:tcPr>
            <w:tcW w:w="576" w:type="dxa"/>
            <w:noWrap/>
            <w:vAlign w:val="center"/>
            <w:hideMark/>
          </w:tcPr>
          <w:p w14:paraId="34B23215" w14:textId="77777777" w:rsidR="00BB138C" w:rsidRPr="00EF6679" w:rsidRDefault="00BB138C" w:rsidP="00820288">
            <w:pPr>
              <w:spacing w:line="240" w:lineRule="auto"/>
              <w:rPr>
                <w:rFonts w:ascii="Times New Roman" w:hAnsi="Times New Roman" w:cs="Times New Roman"/>
                <w:color w:val="000000" w:themeColor="text1"/>
                <w:sz w:val="16"/>
                <w:szCs w:val="16"/>
                <w:vertAlign w:val="superscript"/>
              </w:rPr>
            </w:pPr>
            <w:r w:rsidRPr="00EF6679">
              <w:rPr>
                <w:rFonts w:ascii="Times New Roman" w:hAnsi="Times New Roman" w:cs="Times New Roman"/>
                <w:color w:val="000000" w:themeColor="text1"/>
                <w:sz w:val="16"/>
                <w:szCs w:val="16"/>
                <w:vertAlign w:val="superscript"/>
              </w:rPr>
              <w:t>a</w:t>
            </w:r>
          </w:p>
        </w:tc>
        <w:tc>
          <w:tcPr>
            <w:tcW w:w="576" w:type="dxa"/>
            <w:noWrap/>
            <w:vAlign w:val="bottom"/>
            <w:hideMark/>
          </w:tcPr>
          <w:p w14:paraId="333826EC" w14:textId="77777777" w:rsidR="00BB138C" w:rsidRPr="00EF6679" w:rsidRDefault="00BB138C" w:rsidP="00820288">
            <w:pPr>
              <w:spacing w:line="240" w:lineRule="auto"/>
              <w:jc w:val="right"/>
              <w:rPr>
                <w:rFonts w:ascii="Times New Roman" w:hAnsi="Times New Roman" w:cs="Times New Roman"/>
                <w:color w:val="000000" w:themeColor="text1"/>
                <w:sz w:val="16"/>
                <w:szCs w:val="16"/>
              </w:rPr>
            </w:pPr>
            <w:r w:rsidRPr="00EF6679">
              <w:rPr>
                <w:rFonts w:ascii="Times New Roman" w:hAnsi="Times New Roman" w:cs="Times New Roman"/>
                <w:color w:val="000000" w:themeColor="text1"/>
                <w:sz w:val="16"/>
                <w:szCs w:val="16"/>
              </w:rPr>
              <w:t>11.591</w:t>
            </w:r>
          </w:p>
        </w:tc>
        <w:tc>
          <w:tcPr>
            <w:tcW w:w="576" w:type="dxa"/>
            <w:noWrap/>
            <w:vAlign w:val="center"/>
            <w:hideMark/>
          </w:tcPr>
          <w:p w14:paraId="0C39F6AB" w14:textId="77777777" w:rsidR="00BB138C" w:rsidRPr="00EF6679" w:rsidRDefault="00BB138C" w:rsidP="00820288">
            <w:pPr>
              <w:spacing w:line="240" w:lineRule="auto"/>
              <w:rPr>
                <w:rFonts w:ascii="Times New Roman" w:hAnsi="Times New Roman" w:cs="Times New Roman"/>
                <w:color w:val="000000" w:themeColor="text1"/>
                <w:sz w:val="16"/>
                <w:szCs w:val="16"/>
                <w:vertAlign w:val="superscript"/>
              </w:rPr>
            </w:pPr>
            <w:r w:rsidRPr="00EF6679">
              <w:rPr>
                <w:rFonts w:ascii="Times New Roman" w:hAnsi="Times New Roman" w:cs="Times New Roman"/>
                <w:color w:val="000000" w:themeColor="text1"/>
                <w:sz w:val="16"/>
                <w:szCs w:val="16"/>
                <w:vertAlign w:val="superscript"/>
              </w:rPr>
              <w:t>a</w:t>
            </w:r>
          </w:p>
        </w:tc>
        <w:tc>
          <w:tcPr>
            <w:tcW w:w="576" w:type="dxa"/>
            <w:noWrap/>
            <w:vAlign w:val="bottom"/>
            <w:hideMark/>
          </w:tcPr>
          <w:p w14:paraId="26B8A3D0" w14:textId="77777777" w:rsidR="00BB138C" w:rsidRPr="00EF6679" w:rsidRDefault="00BB138C" w:rsidP="00820288">
            <w:pPr>
              <w:spacing w:line="240" w:lineRule="auto"/>
              <w:jc w:val="right"/>
              <w:rPr>
                <w:rFonts w:ascii="Times New Roman" w:hAnsi="Times New Roman" w:cs="Times New Roman"/>
                <w:color w:val="000000" w:themeColor="text1"/>
                <w:sz w:val="16"/>
                <w:szCs w:val="16"/>
              </w:rPr>
            </w:pPr>
            <w:r w:rsidRPr="00EF6679">
              <w:rPr>
                <w:rFonts w:ascii="Times New Roman" w:hAnsi="Times New Roman" w:cs="Times New Roman"/>
                <w:color w:val="000000" w:themeColor="text1"/>
                <w:sz w:val="16"/>
                <w:szCs w:val="16"/>
              </w:rPr>
              <w:t>7.726</w:t>
            </w:r>
          </w:p>
        </w:tc>
        <w:tc>
          <w:tcPr>
            <w:tcW w:w="576" w:type="dxa"/>
            <w:noWrap/>
            <w:vAlign w:val="center"/>
            <w:hideMark/>
          </w:tcPr>
          <w:p w14:paraId="1471240E" w14:textId="77777777" w:rsidR="00BB138C" w:rsidRPr="00EF6679" w:rsidRDefault="00BB138C" w:rsidP="00820288">
            <w:pPr>
              <w:spacing w:line="240" w:lineRule="auto"/>
              <w:rPr>
                <w:rFonts w:ascii="Times New Roman" w:hAnsi="Times New Roman" w:cs="Times New Roman"/>
                <w:color w:val="000000" w:themeColor="text1"/>
                <w:sz w:val="16"/>
                <w:szCs w:val="16"/>
                <w:vertAlign w:val="superscript"/>
              </w:rPr>
            </w:pPr>
            <w:r w:rsidRPr="00EF6679">
              <w:rPr>
                <w:rFonts w:ascii="Times New Roman" w:hAnsi="Times New Roman" w:cs="Times New Roman"/>
                <w:color w:val="000000" w:themeColor="text1"/>
                <w:sz w:val="16"/>
                <w:szCs w:val="16"/>
                <w:vertAlign w:val="superscript"/>
              </w:rPr>
              <w:t>a</w:t>
            </w:r>
          </w:p>
        </w:tc>
        <w:tc>
          <w:tcPr>
            <w:tcW w:w="576" w:type="dxa"/>
            <w:noWrap/>
            <w:vAlign w:val="bottom"/>
            <w:hideMark/>
          </w:tcPr>
          <w:p w14:paraId="5380D71F" w14:textId="77777777" w:rsidR="00BB138C" w:rsidRPr="00EF6679" w:rsidRDefault="00BB138C" w:rsidP="00820288">
            <w:pPr>
              <w:spacing w:line="240" w:lineRule="auto"/>
              <w:jc w:val="right"/>
              <w:rPr>
                <w:rFonts w:ascii="Times New Roman" w:hAnsi="Times New Roman" w:cs="Times New Roman"/>
                <w:color w:val="000000" w:themeColor="text1"/>
                <w:sz w:val="16"/>
                <w:szCs w:val="16"/>
              </w:rPr>
            </w:pPr>
            <w:r w:rsidRPr="00EF6679">
              <w:rPr>
                <w:rFonts w:ascii="Times New Roman" w:hAnsi="Times New Roman" w:cs="Times New Roman"/>
                <w:color w:val="000000" w:themeColor="text1"/>
                <w:sz w:val="16"/>
                <w:szCs w:val="16"/>
              </w:rPr>
              <w:t>9.039</w:t>
            </w:r>
          </w:p>
        </w:tc>
        <w:tc>
          <w:tcPr>
            <w:tcW w:w="576" w:type="dxa"/>
            <w:noWrap/>
            <w:vAlign w:val="center"/>
            <w:hideMark/>
          </w:tcPr>
          <w:p w14:paraId="10C99648" w14:textId="77777777" w:rsidR="00BB138C" w:rsidRPr="00EF6679" w:rsidRDefault="00BB138C" w:rsidP="00820288">
            <w:pPr>
              <w:spacing w:line="240" w:lineRule="auto"/>
              <w:rPr>
                <w:rFonts w:ascii="Times New Roman" w:hAnsi="Times New Roman" w:cs="Times New Roman"/>
                <w:color w:val="000000" w:themeColor="text1"/>
                <w:sz w:val="16"/>
                <w:szCs w:val="16"/>
                <w:vertAlign w:val="superscript"/>
              </w:rPr>
            </w:pPr>
            <w:r w:rsidRPr="00EF6679">
              <w:rPr>
                <w:rFonts w:ascii="Times New Roman" w:hAnsi="Times New Roman" w:cs="Times New Roman"/>
                <w:color w:val="000000" w:themeColor="text1"/>
                <w:sz w:val="16"/>
                <w:szCs w:val="16"/>
                <w:vertAlign w:val="superscript"/>
              </w:rPr>
              <w:t>a</w:t>
            </w:r>
          </w:p>
        </w:tc>
      </w:tr>
      <w:tr w:rsidR="00BB138C" w:rsidRPr="00EF6679" w14:paraId="4B5F53E0" w14:textId="77777777" w:rsidTr="00820288">
        <w:trPr>
          <w:trHeight w:val="173"/>
        </w:trPr>
        <w:tc>
          <w:tcPr>
            <w:tcW w:w="2880" w:type="dxa"/>
            <w:noWrap/>
            <w:vAlign w:val="bottom"/>
            <w:hideMark/>
          </w:tcPr>
          <w:p w14:paraId="5E42A4DD" w14:textId="77777777" w:rsidR="00BB138C" w:rsidRPr="00EF6679" w:rsidRDefault="00BB138C" w:rsidP="00820288">
            <w:pPr>
              <w:spacing w:line="240" w:lineRule="auto"/>
              <w:rPr>
                <w:rFonts w:ascii="Times New Roman" w:hAnsi="Times New Roman" w:cs="Times New Roman"/>
                <w:b/>
                <w:bCs/>
                <w:color w:val="000000" w:themeColor="text1"/>
                <w:sz w:val="16"/>
                <w:szCs w:val="16"/>
              </w:rPr>
            </w:pPr>
            <w:r w:rsidRPr="00EF6679">
              <w:rPr>
                <w:rFonts w:ascii="Times New Roman" w:hAnsi="Times New Roman" w:cs="Times New Roman"/>
                <w:color w:val="000000" w:themeColor="text1"/>
                <w:sz w:val="16"/>
                <w:szCs w:val="16"/>
              </w:rPr>
              <w:t xml:space="preserve">Benzaldehyde             </w:t>
            </w:r>
          </w:p>
        </w:tc>
        <w:tc>
          <w:tcPr>
            <w:tcW w:w="576" w:type="dxa"/>
            <w:noWrap/>
            <w:vAlign w:val="bottom"/>
            <w:hideMark/>
          </w:tcPr>
          <w:p w14:paraId="3DBB93C4" w14:textId="77777777" w:rsidR="00BB138C" w:rsidRPr="00EF6679" w:rsidRDefault="00BB138C" w:rsidP="00820288">
            <w:pPr>
              <w:spacing w:line="240" w:lineRule="auto"/>
              <w:jc w:val="right"/>
              <w:rPr>
                <w:rFonts w:ascii="Times New Roman" w:hAnsi="Times New Roman" w:cs="Times New Roman"/>
                <w:color w:val="000000" w:themeColor="text1"/>
                <w:sz w:val="16"/>
                <w:szCs w:val="16"/>
              </w:rPr>
            </w:pPr>
            <w:r w:rsidRPr="00EF6679">
              <w:rPr>
                <w:rFonts w:ascii="Times New Roman" w:hAnsi="Times New Roman" w:cs="Times New Roman"/>
                <w:color w:val="000000" w:themeColor="text1"/>
                <w:sz w:val="16"/>
                <w:szCs w:val="16"/>
              </w:rPr>
              <w:t>0.429</w:t>
            </w:r>
          </w:p>
        </w:tc>
        <w:tc>
          <w:tcPr>
            <w:tcW w:w="576" w:type="dxa"/>
            <w:noWrap/>
            <w:vAlign w:val="center"/>
            <w:hideMark/>
          </w:tcPr>
          <w:p w14:paraId="6020AC1B" w14:textId="77777777" w:rsidR="00BB138C" w:rsidRPr="00EF6679" w:rsidRDefault="00BB138C" w:rsidP="00820288">
            <w:pPr>
              <w:spacing w:line="240" w:lineRule="auto"/>
              <w:rPr>
                <w:rFonts w:ascii="Times New Roman" w:hAnsi="Times New Roman" w:cs="Times New Roman"/>
                <w:color w:val="000000" w:themeColor="text1"/>
                <w:sz w:val="16"/>
                <w:szCs w:val="16"/>
                <w:vertAlign w:val="superscript"/>
              </w:rPr>
            </w:pPr>
            <w:r w:rsidRPr="00EF6679">
              <w:rPr>
                <w:rFonts w:ascii="Times New Roman" w:hAnsi="Times New Roman" w:cs="Times New Roman"/>
                <w:color w:val="000000" w:themeColor="text1"/>
                <w:sz w:val="16"/>
                <w:szCs w:val="16"/>
                <w:vertAlign w:val="superscript"/>
              </w:rPr>
              <w:t>a</w:t>
            </w:r>
          </w:p>
        </w:tc>
        <w:tc>
          <w:tcPr>
            <w:tcW w:w="576" w:type="dxa"/>
            <w:noWrap/>
            <w:vAlign w:val="center"/>
            <w:hideMark/>
          </w:tcPr>
          <w:p w14:paraId="607762D8" w14:textId="77777777" w:rsidR="00BB138C" w:rsidRPr="00EF6679" w:rsidRDefault="00BB138C" w:rsidP="00820288">
            <w:pPr>
              <w:spacing w:line="240" w:lineRule="auto"/>
              <w:jc w:val="right"/>
              <w:rPr>
                <w:rFonts w:ascii="Times New Roman" w:hAnsi="Times New Roman" w:cs="Times New Roman"/>
                <w:color w:val="000000" w:themeColor="text1"/>
                <w:sz w:val="16"/>
                <w:szCs w:val="16"/>
              </w:rPr>
            </w:pPr>
            <w:r w:rsidRPr="00EF6679">
              <w:rPr>
                <w:rFonts w:ascii="Times New Roman" w:hAnsi="Times New Roman" w:cs="Times New Roman"/>
                <w:color w:val="000000" w:themeColor="text1"/>
                <w:sz w:val="16"/>
                <w:szCs w:val="16"/>
              </w:rPr>
              <w:t>0.578</w:t>
            </w:r>
          </w:p>
        </w:tc>
        <w:tc>
          <w:tcPr>
            <w:tcW w:w="576" w:type="dxa"/>
            <w:noWrap/>
            <w:vAlign w:val="center"/>
            <w:hideMark/>
          </w:tcPr>
          <w:p w14:paraId="5F17ECE8" w14:textId="77777777" w:rsidR="00BB138C" w:rsidRPr="00EF6679" w:rsidRDefault="00BB138C" w:rsidP="00820288">
            <w:pPr>
              <w:spacing w:line="240" w:lineRule="auto"/>
              <w:rPr>
                <w:rFonts w:ascii="Times New Roman" w:hAnsi="Times New Roman" w:cs="Times New Roman"/>
                <w:color w:val="000000" w:themeColor="text1"/>
                <w:sz w:val="16"/>
                <w:szCs w:val="16"/>
                <w:vertAlign w:val="superscript"/>
              </w:rPr>
            </w:pPr>
            <w:r w:rsidRPr="00EF6679">
              <w:rPr>
                <w:rFonts w:ascii="Times New Roman" w:hAnsi="Times New Roman" w:cs="Times New Roman"/>
                <w:color w:val="000000" w:themeColor="text1"/>
                <w:sz w:val="16"/>
                <w:szCs w:val="16"/>
                <w:vertAlign w:val="superscript"/>
              </w:rPr>
              <w:t>a</w:t>
            </w:r>
          </w:p>
        </w:tc>
        <w:tc>
          <w:tcPr>
            <w:tcW w:w="576" w:type="dxa"/>
            <w:noWrap/>
            <w:vAlign w:val="center"/>
            <w:hideMark/>
          </w:tcPr>
          <w:p w14:paraId="33E86476" w14:textId="77777777" w:rsidR="00BB138C" w:rsidRPr="00EF6679" w:rsidRDefault="00BB138C" w:rsidP="00820288">
            <w:pPr>
              <w:spacing w:line="240" w:lineRule="auto"/>
              <w:jc w:val="right"/>
              <w:rPr>
                <w:rFonts w:ascii="Times New Roman" w:hAnsi="Times New Roman" w:cs="Times New Roman"/>
                <w:color w:val="000000" w:themeColor="text1"/>
                <w:sz w:val="16"/>
                <w:szCs w:val="16"/>
              </w:rPr>
            </w:pPr>
            <w:r w:rsidRPr="00EF6679">
              <w:rPr>
                <w:rFonts w:ascii="Times New Roman" w:hAnsi="Times New Roman" w:cs="Times New Roman"/>
                <w:color w:val="000000" w:themeColor="text1"/>
                <w:sz w:val="16"/>
                <w:szCs w:val="16"/>
              </w:rPr>
              <w:t>0.314</w:t>
            </w:r>
          </w:p>
        </w:tc>
        <w:tc>
          <w:tcPr>
            <w:tcW w:w="576" w:type="dxa"/>
            <w:noWrap/>
            <w:vAlign w:val="center"/>
            <w:hideMark/>
          </w:tcPr>
          <w:p w14:paraId="7562D715" w14:textId="77777777" w:rsidR="00BB138C" w:rsidRPr="00EF6679" w:rsidRDefault="00BB138C" w:rsidP="00820288">
            <w:pPr>
              <w:spacing w:line="240" w:lineRule="auto"/>
              <w:rPr>
                <w:rFonts w:ascii="Times New Roman" w:hAnsi="Times New Roman" w:cs="Times New Roman"/>
                <w:color w:val="000000" w:themeColor="text1"/>
                <w:sz w:val="16"/>
                <w:szCs w:val="16"/>
                <w:vertAlign w:val="superscript"/>
              </w:rPr>
            </w:pPr>
            <w:r w:rsidRPr="00EF6679">
              <w:rPr>
                <w:rFonts w:ascii="Times New Roman" w:hAnsi="Times New Roman" w:cs="Times New Roman"/>
                <w:color w:val="000000" w:themeColor="text1"/>
                <w:sz w:val="16"/>
                <w:szCs w:val="16"/>
                <w:vertAlign w:val="superscript"/>
              </w:rPr>
              <w:t>a</w:t>
            </w:r>
          </w:p>
        </w:tc>
        <w:tc>
          <w:tcPr>
            <w:tcW w:w="576" w:type="dxa"/>
            <w:noWrap/>
            <w:vAlign w:val="center"/>
            <w:hideMark/>
          </w:tcPr>
          <w:p w14:paraId="6BE2471F" w14:textId="77777777" w:rsidR="00BB138C" w:rsidRPr="00EF6679" w:rsidRDefault="00BB138C" w:rsidP="00820288">
            <w:pPr>
              <w:spacing w:line="240" w:lineRule="auto"/>
              <w:jc w:val="right"/>
              <w:rPr>
                <w:rFonts w:ascii="Times New Roman" w:hAnsi="Times New Roman" w:cs="Times New Roman"/>
                <w:color w:val="000000" w:themeColor="text1"/>
                <w:sz w:val="16"/>
                <w:szCs w:val="16"/>
              </w:rPr>
            </w:pPr>
            <w:r w:rsidRPr="00EF6679">
              <w:rPr>
                <w:rFonts w:ascii="Times New Roman" w:hAnsi="Times New Roman" w:cs="Times New Roman"/>
                <w:color w:val="000000" w:themeColor="text1"/>
                <w:sz w:val="16"/>
                <w:szCs w:val="16"/>
              </w:rPr>
              <w:t>0.288</w:t>
            </w:r>
          </w:p>
        </w:tc>
        <w:tc>
          <w:tcPr>
            <w:tcW w:w="576" w:type="dxa"/>
            <w:noWrap/>
            <w:vAlign w:val="center"/>
            <w:hideMark/>
          </w:tcPr>
          <w:p w14:paraId="62CF7243" w14:textId="77777777" w:rsidR="00BB138C" w:rsidRPr="00EF6679" w:rsidRDefault="00BB138C" w:rsidP="00820288">
            <w:pPr>
              <w:spacing w:line="240" w:lineRule="auto"/>
              <w:rPr>
                <w:rFonts w:ascii="Times New Roman" w:hAnsi="Times New Roman" w:cs="Times New Roman"/>
                <w:color w:val="000000" w:themeColor="text1"/>
                <w:sz w:val="16"/>
                <w:szCs w:val="16"/>
                <w:vertAlign w:val="superscript"/>
              </w:rPr>
            </w:pPr>
            <w:r w:rsidRPr="00EF6679">
              <w:rPr>
                <w:rFonts w:ascii="Times New Roman" w:hAnsi="Times New Roman" w:cs="Times New Roman"/>
                <w:color w:val="000000" w:themeColor="text1"/>
                <w:sz w:val="16"/>
                <w:szCs w:val="16"/>
                <w:vertAlign w:val="superscript"/>
              </w:rPr>
              <w:t>a</w:t>
            </w:r>
          </w:p>
        </w:tc>
      </w:tr>
      <w:tr w:rsidR="00BB138C" w:rsidRPr="00EF6679" w14:paraId="31CAC260" w14:textId="77777777" w:rsidTr="00820288">
        <w:trPr>
          <w:trHeight w:val="173"/>
        </w:trPr>
        <w:tc>
          <w:tcPr>
            <w:tcW w:w="2880" w:type="dxa"/>
            <w:noWrap/>
            <w:vAlign w:val="bottom"/>
            <w:hideMark/>
          </w:tcPr>
          <w:p w14:paraId="2321828E" w14:textId="77777777" w:rsidR="00BB138C" w:rsidRPr="00EF6679" w:rsidRDefault="00BB138C" w:rsidP="00820288">
            <w:pPr>
              <w:spacing w:line="240" w:lineRule="auto"/>
              <w:rPr>
                <w:rFonts w:ascii="Times New Roman" w:hAnsi="Times New Roman" w:cs="Times New Roman"/>
                <w:color w:val="000000" w:themeColor="text1"/>
                <w:sz w:val="16"/>
                <w:szCs w:val="16"/>
              </w:rPr>
            </w:pPr>
            <w:r w:rsidRPr="00EF6679">
              <w:rPr>
                <w:rFonts w:ascii="Times New Roman" w:hAnsi="Times New Roman" w:cs="Times New Roman"/>
                <w:color w:val="000000" w:themeColor="text1"/>
                <w:sz w:val="16"/>
                <w:szCs w:val="16"/>
              </w:rPr>
              <w:t>2-cyclopropyl-Pentane</w:t>
            </w:r>
          </w:p>
        </w:tc>
        <w:tc>
          <w:tcPr>
            <w:tcW w:w="576" w:type="dxa"/>
            <w:noWrap/>
            <w:vAlign w:val="bottom"/>
            <w:hideMark/>
          </w:tcPr>
          <w:p w14:paraId="579A54AE" w14:textId="77777777" w:rsidR="00BB138C" w:rsidRPr="00EF6679" w:rsidRDefault="00BB138C" w:rsidP="00820288">
            <w:pPr>
              <w:spacing w:line="240" w:lineRule="auto"/>
              <w:jc w:val="right"/>
              <w:rPr>
                <w:rFonts w:ascii="Times New Roman" w:hAnsi="Times New Roman" w:cs="Times New Roman"/>
                <w:color w:val="000000" w:themeColor="text1"/>
                <w:sz w:val="16"/>
                <w:szCs w:val="16"/>
              </w:rPr>
            </w:pPr>
            <w:r w:rsidRPr="00EF6679">
              <w:rPr>
                <w:rFonts w:ascii="Times New Roman" w:hAnsi="Times New Roman" w:cs="Times New Roman"/>
                <w:color w:val="000000" w:themeColor="text1"/>
                <w:sz w:val="16"/>
                <w:szCs w:val="16"/>
              </w:rPr>
              <w:t>12.959</w:t>
            </w:r>
          </w:p>
        </w:tc>
        <w:tc>
          <w:tcPr>
            <w:tcW w:w="576" w:type="dxa"/>
            <w:noWrap/>
            <w:vAlign w:val="center"/>
            <w:hideMark/>
          </w:tcPr>
          <w:p w14:paraId="56AF81E8" w14:textId="77777777" w:rsidR="00BB138C" w:rsidRPr="00EF6679" w:rsidRDefault="00BB138C" w:rsidP="00820288">
            <w:pPr>
              <w:spacing w:line="240" w:lineRule="auto"/>
              <w:rPr>
                <w:rFonts w:ascii="Times New Roman" w:hAnsi="Times New Roman" w:cs="Times New Roman"/>
                <w:color w:val="000000" w:themeColor="text1"/>
                <w:sz w:val="16"/>
                <w:szCs w:val="16"/>
                <w:vertAlign w:val="superscript"/>
              </w:rPr>
            </w:pPr>
            <w:r w:rsidRPr="00EF6679">
              <w:rPr>
                <w:rFonts w:ascii="Times New Roman" w:hAnsi="Times New Roman" w:cs="Times New Roman"/>
                <w:color w:val="000000" w:themeColor="text1"/>
                <w:sz w:val="16"/>
                <w:szCs w:val="16"/>
                <w:vertAlign w:val="superscript"/>
              </w:rPr>
              <w:t>a</w:t>
            </w:r>
          </w:p>
        </w:tc>
        <w:tc>
          <w:tcPr>
            <w:tcW w:w="576" w:type="dxa"/>
            <w:noWrap/>
            <w:vAlign w:val="center"/>
            <w:hideMark/>
          </w:tcPr>
          <w:p w14:paraId="2617944C" w14:textId="77777777" w:rsidR="00BB138C" w:rsidRPr="00EF6679" w:rsidRDefault="00BB138C" w:rsidP="00820288">
            <w:pPr>
              <w:spacing w:line="240" w:lineRule="auto"/>
              <w:jc w:val="right"/>
              <w:rPr>
                <w:rFonts w:ascii="Times New Roman" w:hAnsi="Times New Roman" w:cs="Times New Roman"/>
                <w:color w:val="000000" w:themeColor="text1"/>
                <w:sz w:val="16"/>
                <w:szCs w:val="16"/>
              </w:rPr>
            </w:pPr>
            <w:r w:rsidRPr="00EF6679">
              <w:rPr>
                <w:rFonts w:ascii="Times New Roman" w:hAnsi="Times New Roman" w:cs="Times New Roman"/>
                <w:color w:val="000000" w:themeColor="text1"/>
                <w:sz w:val="16"/>
                <w:szCs w:val="16"/>
              </w:rPr>
              <w:t>12.767</w:t>
            </w:r>
          </w:p>
        </w:tc>
        <w:tc>
          <w:tcPr>
            <w:tcW w:w="576" w:type="dxa"/>
            <w:noWrap/>
            <w:vAlign w:val="center"/>
            <w:hideMark/>
          </w:tcPr>
          <w:p w14:paraId="71A0FA7A" w14:textId="77777777" w:rsidR="00BB138C" w:rsidRPr="00EF6679" w:rsidRDefault="00BB138C" w:rsidP="00820288">
            <w:pPr>
              <w:spacing w:line="240" w:lineRule="auto"/>
              <w:rPr>
                <w:rFonts w:ascii="Times New Roman" w:hAnsi="Times New Roman" w:cs="Times New Roman"/>
                <w:color w:val="000000" w:themeColor="text1"/>
                <w:sz w:val="16"/>
                <w:szCs w:val="16"/>
                <w:vertAlign w:val="superscript"/>
              </w:rPr>
            </w:pPr>
            <w:r w:rsidRPr="00EF6679">
              <w:rPr>
                <w:rFonts w:ascii="Times New Roman" w:hAnsi="Times New Roman" w:cs="Times New Roman"/>
                <w:color w:val="000000" w:themeColor="text1"/>
                <w:sz w:val="16"/>
                <w:szCs w:val="16"/>
                <w:vertAlign w:val="superscript"/>
              </w:rPr>
              <w:t>ab</w:t>
            </w:r>
          </w:p>
        </w:tc>
        <w:tc>
          <w:tcPr>
            <w:tcW w:w="576" w:type="dxa"/>
            <w:noWrap/>
            <w:vAlign w:val="bottom"/>
            <w:hideMark/>
          </w:tcPr>
          <w:p w14:paraId="47B6167A" w14:textId="77777777" w:rsidR="00BB138C" w:rsidRPr="00EF6679" w:rsidRDefault="00BB138C" w:rsidP="00820288">
            <w:pPr>
              <w:spacing w:line="240" w:lineRule="auto"/>
              <w:jc w:val="right"/>
              <w:rPr>
                <w:rFonts w:ascii="Times New Roman" w:hAnsi="Times New Roman" w:cs="Times New Roman"/>
                <w:color w:val="000000" w:themeColor="text1"/>
                <w:sz w:val="16"/>
                <w:szCs w:val="16"/>
              </w:rPr>
            </w:pPr>
            <w:r w:rsidRPr="00EF6679">
              <w:rPr>
                <w:rFonts w:ascii="Times New Roman" w:hAnsi="Times New Roman" w:cs="Times New Roman"/>
                <w:color w:val="000000" w:themeColor="text1"/>
                <w:sz w:val="16"/>
                <w:szCs w:val="16"/>
              </w:rPr>
              <w:t>8.477</w:t>
            </w:r>
          </w:p>
        </w:tc>
        <w:tc>
          <w:tcPr>
            <w:tcW w:w="576" w:type="dxa"/>
            <w:noWrap/>
            <w:vAlign w:val="center"/>
            <w:hideMark/>
          </w:tcPr>
          <w:p w14:paraId="2F891F69" w14:textId="77777777" w:rsidR="00BB138C" w:rsidRPr="00EF6679" w:rsidRDefault="00BB138C" w:rsidP="00820288">
            <w:pPr>
              <w:spacing w:line="240" w:lineRule="auto"/>
              <w:rPr>
                <w:rFonts w:ascii="Times New Roman" w:hAnsi="Times New Roman" w:cs="Times New Roman"/>
                <w:color w:val="000000" w:themeColor="text1"/>
                <w:sz w:val="16"/>
                <w:szCs w:val="16"/>
                <w:vertAlign w:val="superscript"/>
              </w:rPr>
            </w:pPr>
            <w:r w:rsidRPr="00EF6679">
              <w:rPr>
                <w:rFonts w:ascii="Times New Roman" w:hAnsi="Times New Roman" w:cs="Times New Roman"/>
                <w:color w:val="000000" w:themeColor="text1"/>
                <w:sz w:val="16"/>
                <w:szCs w:val="16"/>
                <w:vertAlign w:val="superscript"/>
              </w:rPr>
              <w:t>ab</w:t>
            </w:r>
          </w:p>
        </w:tc>
        <w:tc>
          <w:tcPr>
            <w:tcW w:w="576" w:type="dxa"/>
            <w:noWrap/>
            <w:vAlign w:val="center"/>
            <w:hideMark/>
          </w:tcPr>
          <w:p w14:paraId="3A86D7DC" w14:textId="77777777" w:rsidR="00BB138C" w:rsidRPr="00EF6679" w:rsidRDefault="00BB138C" w:rsidP="00820288">
            <w:pPr>
              <w:spacing w:line="240" w:lineRule="auto"/>
              <w:jc w:val="right"/>
              <w:rPr>
                <w:rFonts w:ascii="Times New Roman" w:hAnsi="Times New Roman" w:cs="Times New Roman"/>
                <w:color w:val="000000" w:themeColor="text1"/>
                <w:sz w:val="16"/>
                <w:szCs w:val="16"/>
              </w:rPr>
            </w:pPr>
            <w:r w:rsidRPr="00EF6679">
              <w:rPr>
                <w:rFonts w:ascii="Times New Roman" w:hAnsi="Times New Roman" w:cs="Times New Roman"/>
                <w:color w:val="000000" w:themeColor="text1"/>
                <w:sz w:val="16"/>
                <w:szCs w:val="16"/>
              </w:rPr>
              <w:t>5.728</w:t>
            </w:r>
          </w:p>
        </w:tc>
        <w:tc>
          <w:tcPr>
            <w:tcW w:w="576" w:type="dxa"/>
            <w:noWrap/>
            <w:vAlign w:val="center"/>
            <w:hideMark/>
          </w:tcPr>
          <w:p w14:paraId="6213EF28" w14:textId="77777777" w:rsidR="00BB138C" w:rsidRPr="00EF6679" w:rsidRDefault="00BB138C" w:rsidP="00820288">
            <w:pPr>
              <w:spacing w:line="240" w:lineRule="auto"/>
              <w:rPr>
                <w:rFonts w:ascii="Times New Roman" w:hAnsi="Times New Roman" w:cs="Times New Roman"/>
                <w:color w:val="000000" w:themeColor="text1"/>
                <w:sz w:val="16"/>
                <w:szCs w:val="16"/>
                <w:vertAlign w:val="superscript"/>
              </w:rPr>
            </w:pPr>
            <w:r w:rsidRPr="00EF6679">
              <w:rPr>
                <w:rFonts w:ascii="Times New Roman" w:hAnsi="Times New Roman" w:cs="Times New Roman"/>
                <w:color w:val="000000" w:themeColor="text1"/>
                <w:sz w:val="16"/>
                <w:szCs w:val="16"/>
                <w:vertAlign w:val="superscript"/>
              </w:rPr>
              <w:t>b</w:t>
            </w:r>
          </w:p>
        </w:tc>
      </w:tr>
      <w:tr w:rsidR="00BB138C" w:rsidRPr="00EF6679" w14:paraId="556A7EB0" w14:textId="77777777" w:rsidTr="00820288">
        <w:trPr>
          <w:trHeight w:val="173"/>
        </w:trPr>
        <w:tc>
          <w:tcPr>
            <w:tcW w:w="2880" w:type="dxa"/>
            <w:noWrap/>
            <w:vAlign w:val="bottom"/>
            <w:hideMark/>
          </w:tcPr>
          <w:p w14:paraId="4A8FA57B" w14:textId="77777777" w:rsidR="00BB138C" w:rsidRPr="00EF6679" w:rsidRDefault="00BB138C" w:rsidP="00820288">
            <w:pPr>
              <w:spacing w:line="240" w:lineRule="auto"/>
              <w:rPr>
                <w:rFonts w:ascii="Times New Roman" w:hAnsi="Times New Roman" w:cs="Times New Roman"/>
                <w:color w:val="000000" w:themeColor="text1"/>
                <w:sz w:val="16"/>
                <w:szCs w:val="16"/>
              </w:rPr>
            </w:pPr>
            <w:r w:rsidRPr="00EF6679">
              <w:rPr>
                <w:rFonts w:ascii="Times New Roman" w:hAnsi="Times New Roman" w:cs="Times New Roman"/>
                <w:color w:val="000000" w:themeColor="text1"/>
                <w:sz w:val="16"/>
                <w:szCs w:val="16"/>
              </w:rPr>
              <w:t xml:space="preserve">β-Pinene                  </w:t>
            </w:r>
          </w:p>
        </w:tc>
        <w:tc>
          <w:tcPr>
            <w:tcW w:w="576" w:type="dxa"/>
            <w:noWrap/>
            <w:vAlign w:val="center"/>
            <w:hideMark/>
          </w:tcPr>
          <w:p w14:paraId="03CC39E7" w14:textId="77777777" w:rsidR="00BB138C" w:rsidRPr="00EF6679" w:rsidRDefault="00BB138C" w:rsidP="00820288">
            <w:pPr>
              <w:spacing w:line="240" w:lineRule="auto"/>
              <w:jc w:val="right"/>
              <w:rPr>
                <w:rFonts w:ascii="Times New Roman" w:hAnsi="Times New Roman" w:cs="Times New Roman"/>
                <w:color w:val="000000" w:themeColor="text1"/>
                <w:sz w:val="16"/>
                <w:szCs w:val="16"/>
              </w:rPr>
            </w:pPr>
            <w:r w:rsidRPr="00EF6679">
              <w:rPr>
                <w:rFonts w:ascii="Times New Roman" w:hAnsi="Times New Roman" w:cs="Times New Roman"/>
                <w:color w:val="000000" w:themeColor="text1"/>
                <w:sz w:val="16"/>
                <w:szCs w:val="16"/>
              </w:rPr>
              <w:t>131.860</w:t>
            </w:r>
          </w:p>
        </w:tc>
        <w:tc>
          <w:tcPr>
            <w:tcW w:w="576" w:type="dxa"/>
            <w:noWrap/>
            <w:vAlign w:val="center"/>
            <w:hideMark/>
          </w:tcPr>
          <w:p w14:paraId="4CD5FAB4" w14:textId="77777777" w:rsidR="00BB138C" w:rsidRPr="00EF6679" w:rsidRDefault="00BB138C" w:rsidP="00820288">
            <w:pPr>
              <w:spacing w:line="240" w:lineRule="auto"/>
              <w:rPr>
                <w:rFonts w:ascii="Times New Roman" w:hAnsi="Times New Roman" w:cs="Times New Roman"/>
                <w:color w:val="000000" w:themeColor="text1"/>
                <w:sz w:val="16"/>
                <w:szCs w:val="16"/>
                <w:vertAlign w:val="superscript"/>
              </w:rPr>
            </w:pPr>
            <w:r w:rsidRPr="00EF6679">
              <w:rPr>
                <w:rFonts w:ascii="Times New Roman" w:hAnsi="Times New Roman" w:cs="Times New Roman"/>
                <w:color w:val="000000" w:themeColor="text1"/>
                <w:sz w:val="16"/>
                <w:szCs w:val="16"/>
                <w:vertAlign w:val="superscript"/>
              </w:rPr>
              <w:t>a</w:t>
            </w:r>
          </w:p>
        </w:tc>
        <w:tc>
          <w:tcPr>
            <w:tcW w:w="576" w:type="dxa"/>
            <w:noWrap/>
            <w:vAlign w:val="center"/>
            <w:hideMark/>
          </w:tcPr>
          <w:p w14:paraId="47FFB68A" w14:textId="77777777" w:rsidR="00BB138C" w:rsidRPr="00EF6679" w:rsidRDefault="00BB138C" w:rsidP="00820288">
            <w:pPr>
              <w:spacing w:line="240" w:lineRule="auto"/>
              <w:jc w:val="right"/>
              <w:rPr>
                <w:rFonts w:ascii="Times New Roman" w:hAnsi="Times New Roman" w:cs="Times New Roman"/>
                <w:color w:val="000000" w:themeColor="text1"/>
                <w:sz w:val="16"/>
                <w:szCs w:val="16"/>
              </w:rPr>
            </w:pPr>
            <w:r w:rsidRPr="00EF6679">
              <w:rPr>
                <w:rFonts w:ascii="Times New Roman" w:hAnsi="Times New Roman" w:cs="Times New Roman"/>
                <w:color w:val="000000" w:themeColor="text1"/>
                <w:sz w:val="16"/>
                <w:szCs w:val="16"/>
              </w:rPr>
              <w:t>128.720</w:t>
            </w:r>
          </w:p>
        </w:tc>
        <w:tc>
          <w:tcPr>
            <w:tcW w:w="576" w:type="dxa"/>
            <w:noWrap/>
            <w:vAlign w:val="center"/>
            <w:hideMark/>
          </w:tcPr>
          <w:p w14:paraId="380A9C3B" w14:textId="77777777" w:rsidR="00BB138C" w:rsidRPr="00EF6679" w:rsidRDefault="00BB138C" w:rsidP="00820288">
            <w:pPr>
              <w:spacing w:line="240" w:lineRule="auto"/>
              <w:rPr>
                <w:rFonts w:ascii="Times New Roman" w:hAnsi="Times New Roman" w:cs="Times New Roman"/>
                <w:color w:val="000000" w:themeColor="text1"/>
                <w:sz w:val="16"/>
                <w:szCs w:val="16"/>
                <w:vertAlign w:val="superscript"/>
              </w:rPr>
            </w:pPr>
            <w:r w:rsidRPr="00EF6679">
              <w:rPr>
                <w:rFonts w:ascii="Times New Roman" w:hAnsi="Times New Roman" w:cs="Times New Roman"/>
                <w:color w:val="000000" w:themeColor="text1"/>
                <w:sz w:val="16"/>
                <w:szCs w:val="16"/>
                <w:vertAlign w:val="superscript"/>
              </w:rPr>
              <w:t>ab</w:t>
            </w:r>
          </w:p>
        </w:tc>
        <w:tc>
          <w:tcPr>
            <w:tcW w:w="576" w:type="dxa"/>
            <w:noWrap/>
            <w:vAlign w:val="center"/>
            <w:hideMark/>
          </w:tcPr>
          <w:p w14:paraId="0A1863F2" w14:textId="77777777" w:rsidR="00BB138C" w:rsidRPr="00EF6679" w:rsidRDefault="00BB138C" w:rsidP="00820288">
            <w:pPr>
              <w:spacing w:line="240" w:lineRule="auto"/>
              <w:jc w:val="right"/>
              <w:rPr>
                <w:rFonts w:ascii="Times New Roman" w:hAnsi="Times New Roman" w:cs="Times New Roman"/>
                <w:color w:val="000000" w:themeColor="text1"/>
                <w:sz w:val="16"/>
                <w:szCs w:val="16"/>
              </w:rPr>
            </w:pPr>
            <w:r w:rsidRPr="00EF6679">
              <w:rPr>
                <w:rFonts w:ascii="Times New Roman" w:hAnsi="Times New Roman" w:cs="Times New Roman"/>
                <w:color w:val="000000" w:themeColor="text1"/>
                <w:sz w:val="16"/>
                <w:szCs w:val="16"/>
              </w:rPr>
              <w:t>82.234</w:t>
            </w:r>
          </w:p>
        </w:tc>
        <w:tc>
          <w:tcPr>
            <w:tcW w:w="576" w:type="dxa"/>
            <w:noWrap/>
            <w:vAlign w:val="center"/>
            <w:hideMark/>
          </w:tcPr>
          <w:p w14:paraId="64BEEC97" w14:textId="77777777" w:rsidR="00BB138C" w:rsidRPr="00EF6679" w:rsidRDefault="00BB138C" w:rsidP="00820288">
            <w:pPr>
              <w:spacing w:line="240" w:lineRule="auto"/>
              <w:rPr>
                <w:rFonts w:ascii="Times New Roman" w:hAnsi="Times New Roman" w:cs="Times New Roman"/>
                <w:color w:val="000000" w:themeColor="text1"/>
                <w:sz w:val="16"/>
                <w:szCs w:val="16"/>
                <w:vertAlign w:val="superscript"/>
              </w:rPr>
            </w:pPr>
            <w:r w:rsidRPr="00EF6679">
              <w:rPr>
                <w:rFonts w:ascii="Times New Roman" w:hAnsi="Times New Roman" w:cs="Times New Roman"/>
                <w:color w:val="000000" w:themeColor="text1"/>
                <w:sz w:val="16"/>
                <w:szCs w:val="16"/>
                <w:vertAlign w:val="superscript"/>
              </w:rPr>
              <w:t>ab</w:t>
            </w:r>
          </w:p>
        </w:tc>
        <w:tc>
          <w:tcPr>
            <w:tcW w:w="576" w:type="dxa"/>
            <w:noWrap/>
            <w:vAlign w:val="center"/>
            <w:hideMark/>
          </w:tcPr>
          <w:p w14:paraId="0B87471B" w14:textId="77777777" w:rsidR="00BB138C" w:rsidRPr="00EF6679" w:rsidRDefault="00BB138C" w:rsidP="00820288">
            <w:pPr>
              <w:spacing w:line="240" w:lineRule="auto"/>
              <w:jc w:val="right"/>
              <w:rPr>
                <w:rFonts w:ascii="Times New Roman" w:hAnsi="Times New Roman" w:cs="Times New Roman"/>
                <w:color w:val="000000" w:themeColor="text1"/>
                <w:sz w:val="16"/>
                <w:szCs w:val="16"/>
              </w:rPr>
            </w:pPr>
            <w:r w:rsidRPr="00EF6679">
              <w:rPr>
                <w:rFonts w:ascii="Times New Roman" w:hAnsi="Times New Roman" w:cs="Times New Roman"/>
                <w:color w:val="000000" w:themeColor="text1"/>
                <w:sz w:val="16"/>
                <w:szCs w:val="16"/>
              </w:rPr>
              <w:t>66.354</w:t>
            </w:r>
          </w:p>
        </w:tc>
        <w:tc>
          <w:tcPr>
            <w:tcW w:w="576" w:type="dxa"/>
            <w:noWrap/>
            <w:vAlign w:val="center"/>
            <w:hideMark/>
          </w:tcPr>
          <w:p w14:paraId="5FBFA003" w14:textId="77777777" w:rsidR="00BB138C" w:rsidRPr="00EF6679" w:rsidRDefault="00BB138C" w:rsidP="00820288">
            <w:pPr>
              <w:spacing w:line="240" w:lineRule="auto"/>
              <w:rPr>
                <w:rFonts w:ascii="Times New Roman" w:hAnsi="Times New Roman" w:cs="Times New Roman"/>
                <w:color w:val="000000" w:themeColor="text1"/>
                <w:sz w:val="16"/>
                <w:szCs w:val="16"/>
                <w:vertAlign w:val="superscript"/>
              </w:rPr>
            </w:pPr>
            <w:r w:rsidRPr="00EF6679">
              <w:rPr>
                <w:rFonts w:ascii="Times New Roman" w:hAnsi="Times New Roman" w:cs="Times New Roman"/>
                <w:color w:val="000000" w:themeColor="text1"/>
                <w:sz w:val="16"/>
                <w:szCs w:val="16"/>
                <w:vertAlign w:val="superscript"/>
              </w:rPr>
              <w:t>ab</w:t>
            </w:r>
          </w:p>
        </w:tc>
      </w:tr>
      <w:tr w:rsidR="00BB138C" w:rsidRPr="00EF6679" w14:paraId="1909B31E" w14:textId="77777777" w:rsidTr="00820288">
        <w:trPr>
          <w:trHeight w:val="173"/>
        </w:trPr>
        <w:tc>
          <w:tcPr>
            <w:tcW w:w="2880" w:type="dxa"/>
            <w:noWrap/>
            <w:vAlign w:val="bottom"/>
            <w:hideMark/>
          </w:tcPr>
          <w:p w14:paraId="718AF97B" w14:textId="77777777" w:rsidR="00BB138C" w:rsidRPr="00EF6679" w:rsidRDefault="00BB138C" w:rsidP="00820288">
            <w:pPr>
              <w:spacing w:line="240" w:lineRule="auto"/>
              <w:rPr>
                <w:rFonts w:ascii="Times New Roman" w:hAnsi="Times New Roman" w:cs="Times New Roman"/>
                <w:b/>
                <w:bCs/>
                <w:color w:val="000000" w:themeColor="text1"/>
                <w:sz w:val="16"/>
                <w:szCs w:val="16"/>
              </w:rPr>
            </w:pPr>
            <w:r w:rsidRPr="00EF6679">
              <w:rPr>
                <w:rFonts w:ascii="Times New Roman" w:hAnsi="Times New Roman" w:cs="Times New Roman"/>
                <w:color w:val="000000" w:themeColor="text1"/>
                <w:sz w:val="16"/>
                <w:szCs w:val="16"/>
              </w:rPr>
              <w:t xml:space="preserve">1-Octen-3-ol             </w:t>
            </w:r>
          </w:p>
        </w:tc>
        <w:tc>
          <w:tcPr>
            <w:tcW w:w="576" w:type="dxa"/>
            <w:noWrap/>
            <w:vAlign w:val="bottom"/>
            <w:hideMark/>
          </w:tcPr>
          <w:p w14:paraId="7B91D1D3" w14:textId="77777777" w:rsidR="00BB138C" w:rsidRPr="00EF6679" w:rsidRDefault="00BB138C" w:rsidP="00820288">
            <w:pPr>
              <w:spacing w:line="240" w:lineRule="auto"/>
              <w:jc w:val="right"/>
              <w:rPr>
                <w:rFonts w:ascii="Times New Roman" w:hAnsi="Times New Roman" w:cs="Times New Roman"/>
                <w:color w:val="000000" w:themeColor="text1"/>
                <w:sz w:val="16"/>
                <w:szCs w:val="16"/>
              </w:rPr>
            </w:pPr>
            <w:r w:rsidRPr="00EF6679">
              <w:rPr>
                <w:rFonts w:ascii="Times New Roman" w:hAnsi="Times New Roman" w:cs="Times New Roman"/>
                <w:color w:val="000000" w:themeColor="text1"/>
                <w:sz w:val="16"/>
                <w:szCs w:val="16"/>
              </w:rPr>
              <w:t>2.748</w:t>
            </w:r>
          </w:p>
        </w:tc>
        <w:tc>
          <w:tcPr>
            <w:tcW w:w="576" w:type="dxa"/>
            <w:noWrap/>
            <w:vAlign w:val="center"/>
            <w:hideMark/>
          </w:tcPr>
          <w:p w14:paraId="242B8C75" w14:textId="77777777" w:rsidR="00BB138C" w:rsidRPr="00EF6679" w:rsidRDefault="00BB138C" w:rsidP="00820288">
            <w:pPr>
              <w:spacing w:line="240" w:lineRule="auto"/>
              <w:rPr>
                <w:rFonts w:ascii="Times New Roman" w:hAnsi="Times New Roman" w:cs="Times New Roman"/>
                <w:color w:val="000000" w:themeColor="text1"/>
                <w:sz w:val="16"/>
                <w:szCs w:val="16"/>
                <w:vertAlign w:val="superscript"/>
              </w:rPr>
            </w:pPr>
            <w:r w:rsidRPr="00EF6679">
              <w:rPr>
                <w:rFonts w:ascii="Times New Roman" w:hAnsi="Times New Roman" w:cs="Times New Roman"/>
                <w:color w:val="000000" w:themeColor="text1"/>
                <w:sz w:val="16"/>
                <w:szCs w:val="16"/>
                <w:vertAlign w:val="superscript"/>
              </w:rPr>
              <w:t>a</w:t>
            </w:r>
          </w:p>
        </w:tc>
        <w:tc>
          <w:tcPr>
            <w:tcW w:w="576" w:type="dxa"/>
            <w:noWrap/>
            <w:vAlign w:val="bottom"/>
            <w:hideMark/>
          </w:tcPr>
          <w:p w14:paraId="35B82146" w14:textId="77777777" w:rsidR="00BB138C" w:rsidRPr="00EF6679" w:rsidRDefault="00BB138C" w:rsidP="00820288">
            <w:pPr>
              <w:spacing w:line="240" w:lineRule="auto"/>
              <w:jc w:val="right"/>
              <w:rPr>
                <w:rFonts w:ascii="Times New Roman" w:hAnsi="Times New Roman" w:cs="Times New Roman"/>
                <w:color w:val="000000" w:themeColor="text1"/>
                <w:sz w:val="16"/>
                <w:szCs w:val="16"/>
              </w:rPr>
            </w:pPr>
            <w:r w:rsidRPr="00EF6679">
              <w:rPr>
                <w:rFonts w:ascii="Times New Roman" w:hAnsi="Times New Roman" w:cs="Times New Roman"/>
                <w:color w:val="000000" w:themeColor="text1"/>
                <w:sz w:val="16"/>
                <w:szCs w:val="16"/>
              </w:rPr>
              <w:t>3.125</w:t>
            </w:r>
          </w:p>
        </w:tc>
        <w:tc>
          <w:tcPr>
            <w:tcW w:w="576" w:type="dxa"/>
            <w:noWrap/>
            <w:vAlign w:val="center"/>
            <w:hideMark/>
          </w:tcPr>
          <w:p w14:paraId="73E139D1" w14:textId="77777777" w:rsidR="00BB138C" w:rsidRPr="00EF6679" w:rsidRDefault="00BB138C" w:rsidP="00820288">
            <w:pPr>
              <w:spacing w:line="240" w:lineRule="auto"/>
              <w:rPr>
                <w:rFonts w:ascii="Times New Roman" w:hAnsi="Times New Roman" w:cs="Times New Roman"/>
                <w:color w:val="000000" w:themeColor="text1"/>
                <w:sz w:val="16"/>
                <w:szCs w:val="16"/>
                <w:vertAlign w:val="superscript"/>
              </w:rPr>
            </w:pPr>
            <w:r w:rsidRPr="00EF6679">
              <w:rPr>
                <w:rFonts w:ascii="Times New Roman" w:hAnsi="Times New Roman" w:cs="Times New Roman"/>
                <w:color w:val="000000" w:themeColor="text1"/>
                <w:sz w:val="16"/>
                <w:szCs w:val="16"/>
                <w:vertAlign w:val="superscript"/>
              </w:rPr>
              <w:t>a</w:t>
            </w:r>
          </w:p>
        </w:tc>
        <w:tc>
          <w:tcPr>
            <w:tcW w:w="576" w:type="dxa"/>
            <w:noWrap/>
            <w:vAlign w:val="bottom"/>
            <w:hideMark/>
          </w:tcPr>
          <w:p w14:paraId="2273FA64" w14:textId="77777777" w:rsidR="00BB138C" w:rsidRPr="00EF6679" w:rsidRDefault="00BB138C" w:rsidP="00820288">
            <w:pPr>
              <w:spacing w:line="240" w:lineRule="auto"/>
              <w:jc w:val="right"/>
              <w:rPr>
                <w:rFonts w:ascii="Times New Roman" w:hAnsi="Times New Roman" w:cs="Times New Roman"/>
                <w:color w:val="000000" w:themeColor="text1"/>
                <w:sz w:val="16"/>
                <w:szCs w:val="16"/>
              </w:rPr>
            </w:pPr>
            <w:r w:rsidRPr="00EF6679">
              <w:rPr>
                <w:rFonts w:ascii="Times New Roman" w:hAnsi="Times New Roman" w:cs="Times New Roman"/>
                <w:color w:val="000000" w:themeColor="text1"/>
                <w:sz w:val="16"/>
                <w:szCs w:val="16"/>
              </w:rPr>
              <w:t>3.210</w:t>
            </w:r>
          </w:p>
        </w:tc>
        <w:tc>
          <w:tcPr>
            <w:tcW w:w="576" w:type="dxa"/>
            <w:noWrap/>
            <w:vAlign w:val="center"/>
            <w:hideMark/>
          </w:tcPr>
          <w:p w14:paraId="5659A4B8" w14:textId="77777777" w:rsidR="00BB138C" w:rsidRPr="00EF6679" w:rsidRDefault="00BB138C" w:rsidP="00820288">
            <w:pPr>
              <w:spacing w:line="240" w:lineRule="auto"/>
              <w:rPr>
                <w:rFonts w:ascii="Times New Roman" w:hAnsi="Times New Roman" w:cs="Times New Roman"/>
                <w:color w:val="000000" w:themeColor="text1"/>
                <w:sz w:val="16"/>
                <w:szCs w:val="16"/>
                <w:vertAlign w:val="superscript"/>
              </w:rPr>
            </w:pPr>
            <w:r w:rsidRPr="00EF6679">
              <w:rPr>
                <w:rFonts w:ascii="Times New Roman" w:hAnsi="Times New Roman" w:cs="Times New Roman"/>
                <w:color w:val="000000" w:themeColor="text1"/>
                <w:sz w:val="16"/>
                <w:szCs w:val="16"/>
                <w:vertAlign w:val="superscript"/>
              </w:rPr>
              <w:t>a</w:t>
            </w:r>
          </w:p>
        </w:tc>
        <w:tc>
          <w:tcPr>
            <w:tcW w:w="576" w:type="dxa"/>
            <w:noWrap/>
            <w:vAlign w:val="bottom"/>
            <w:hideMark/>
          </w:tcPr>
          <w:p w14:paraId="4811113E" w14:textId="77777777" w:rsidR="00BB138C" w:rsidRPr="00EF6679" w:rsidRDefault="00BB138C" w:rsidP="00820288">
            <w:pPr>
              <w:spacing w:line="240" w:lineRule="auto"/>
              <w:jc w:val="right"/>
              <w:rPr>
                <w:rFonts w:ascii="Times New Roman" w:hAnsi="Times New Roman" w:cs="Times New Roman"/>
                <w:color w:val="000000" w:themeColor="text1"/>
                <w:sz w:val="16"/>
                <w:szCs w:val="16"/>
              </w:rPr>
            </w:pPr>
            <w:r w:rsidRPr="00EF6679">
              <w:rPr>
                <w:rFonts w:ascii="Times New Roman" w:hAnsi="Times New Roman" w:cs="Times New Roman"/>
                <w:color w:val="000000" w:themeColor="text1"/>
                <w:sz w:val="16"/>
                <w:szCs w:val="16"/>
              </w:rPr>
              <w:t>2.364</w:t>
            </w:r>
          </w:p>
        </w:tc>
        <w:tc>
          <w:tcPr>
            <w:tcW w:w="576" w:type="dxa"/>
            <w:noWrap/>
            <w:vAlign w:val="center"/>
            <w:hideMark/>
          </w:tcPr>
          <w:p w14:paraId="51CF4EAA" w14:textId="77777777" w:rsidR="00BB138C" w:rsidRPr="00EF6679" w:rsidRDefault="00BB138C" w:rsidP="00820288">
            <w:pPr>
              <w:spacing w:line="240" w:lineRule="auto"/>
              <w:rPr>
                <w:rFonts w:ascii="Times New Roman" w:hAnsi="Times New Roman" w:cs="Times New Roman"/>
                <w:color w:val="000000" w:themeColor="text1"/>
                <w:sz w:val="16"/>
                <w:szCs w:val="16"/>
                <w:vertAlign w:val="superscript"/>
              </w:rPr>
            </w:pPr>
            <w:r w:rsidRPr="00EF6679">
              <w:rPr>
                <w:rFonts w:ascii="Times New Roman" w:hAnsi="Times New Roman" w:cs="Times New Roman"/>
                <w:color w:val="000000" w:themeColor="text1"/>
                <w:sz w:val="16"/>
                <w:szCs w:val="16"/>
                <w:vertAlign w:val="superscript"/>
              </w:rPr>
              <w:t>a</w:t>
            </w:r>
          </w:p>
        </w:tc>
      </w:tr>
      <w:tr w:rsidR="00BB138C" w:rsidRPr="00EF6679" w14:paraId="62B3C342" w14:textId="77777777" w:rsidTr="00820288">
        <w:trPr>
          <w:trHeight w:val="173"/>
        </w:trPr>
        <w:tc>
          <w:tcPr>
            <w:tcW w:w="2880" w:type="dxa"/>
            <w:noWrap/>
            <w:vAlign w:val="bottom"/>
            <w:hideMark/>
          </w:tcPr>
          <w:p w14:paraId="242933D5" w14:textId="77777777" w:rsidR="00BB138C" w:rsidRPr="00EF6679" w:rsidRDefault="00BB138C" w:rsidP="00820288">
            <w:pPr>
              <w:spacing w:line="240" w:lineRule="auto"/>
              <w:rPr>
                <w:rFonts w:ascii="Times New Roman" w:hAnsi="Times New Roman" w:cs="Times New Roman"/>
                <w:color w:val="000000" w:themeColor="text1"/>
                <w:sz w:val="16"/>
                <w:szCs w:val="16"/>
              </w:rPr>
            </w:pPr>
            <w:r w:rsidRPr="00EF6679">
              <w:rPr>
                <w:rFonts w:ascii="Times New Roman" w:hAnsi="Times New Roman" w:cs="Times New Roman"/>
                <w:color w:val="000000" w:themeColor="text1"/>
                <w:sz w:val="16"/>
                <w:szCs w:val="16"/>
              </w:rPr>
              <w:t xml:space="preserve">1,4-Octadiene            </w:t>
            </w:r>
          </w:p>
        </w:tc>
        <w:tc>
          <w:tcPr>
            <w:tcW w:w="576" w:type="dxa"/>
            <w:noWrap/>
            <w:vAlign w:val="center"/>
            <w:hideMark/>
          </w:tcPr>
          <w:p w14:paraId="5BB6331E" w14:textId="77777777" w:rsidR="00BB138C" w:rsidRPr="00EF6679" w:rsidRDefault="00BB138C" w:rsidP="00820288">
            <w:pPr>
              <w:spacing w:line="240" w:lineRule="auto"/>
              <w:jc w:val="right"/>
              <w:rPr>
                <w:rFonts w:ascii="Times New Roman" w:hAnsi="Times New Roman" w:cs="Times New Roman"/>
                <w:color w:val="000000" w:themeColor="text1"/>
                <w:sz w:val="16"/>
                <w:szCs w:val="16"/>
              </w:rPr>
            </w:pPr>
            <w:r w:rsidRPr="00EF6679">
              <w:rPr>
                <w:rFonts w:ascii="Times New Roman" w:hAnsi="Times New Roman" w:cs="Times New Roman"/>
                <w:color w:val="000000" w:themeColor="text1"/>
                <w:sz w:val="16"/>
                <w:szCs w:val="16"/>
              </w:rPr>
              <w:t>4.183</w:t>
            </w:r>
          </w:p>
        </w:tc>
        <w:tc>
          <w:tcPr>
            <w:tcW w:w="576" w:type="dxa"/>
            <w:noWrap/>
            <w:vAlign w:val="center"/>
            <w:hideMark/>
          </w:tcPr>
          <w:p w14:paraId="77D3DD56" w14:textId="77777777" w:rsidR="00BB138C" w:rsidRPr="00EF6679" w:rsidRDefault="00BB138C" w:rsidP="00820288">
            <w:pPr>
              <w:spacing w:line="240" w:lineRule="auto"/>
              <w:rPr>
                <w:rFonts w:ascii="Times New Roman" w:hAnsi="Times New Roman" w:cs="Times New Roman"/>
                <w:color w:val="000000" w:themeColor="text1"/>
                <w:sz w:val="16"/>
                <w:szCs w:val="16"/>
                <w:vertAlign w:val="superscript"/>
              </w:rPr>
            </w:pPr>
            <w:r w:rsidRPr="00EF6679">
              <w:rPr>
                <w:rFonts w:ascii="Times New Roman" w:hAnsi="Times New Roman" w:cs="Times New Roman"/>
                <w:color w:val="000000" w:themeColor="text1"/>
                <w:sz w:val="16"/>
                <w:szCs w:val="16"/>
                <w:vertAlign w:val="superscript"/>
              </w:rPr>
              <w:t>a</w:t>
            </w:r>
          </w:p>
        </w:tc>
        <w:tc>
          <w:tcPr>
            <w:tcW w:w="576" w:type="dxa"/>
            <w:noWrap/>
            <w:vAlign w:val="bottom"/>
            <w:hideMark/>
          </w:tcPr>
          <w:p w14:paraId="15DF2B79" w14:textId="77777777" w:rsidR="00BB138C" w:rsidRPr="00EF6679" w:rsidRDefault="00BB138C" w:rsidP="00820288">
            <w:pPr>
              <w:spacing w:line="240" w:lineRule="auto"/>
              <w:jc w:val="right"/>
              <w:rPr>
                <w:rFonts w:ascii="Times New Roman" w:hAnsi="Times New Roman" w:cs="Times New Roman"/>
                <w:color w:val="000000" w:themeColor="text1"/>
                <w:sz w:val="16"/>
                <w:szCs w:val="16"/>
              </w:rPr>
            </w:pPr>
            <w:r w:rsidRPr="00EF6679">
              <w:rPr>
                <w:rFonts w:ascii="Times New Roman" w:hAnsi="Times New Roman" w:cs="Times New Roman"/>
                <w:color w:val="000000" w:themeColor="text1"/>
                <w:sz w:val="16"/>
                <w:szCs w:val="16"/>
              </w:rPr>
              <w:t>6.421</w:t>
            </w:r>
          </w:p>
        </w:tc>
        <w:tc>
          <w:tcPr>
            <w:tcW w:w="576" w:type="dxa"/>
            <w:noWrap/>
            <w:vAlign w:val="center"/>
            <w:hideMark/>
          </w:tcPr>
          <w:p w14:paraId="2D9384EB" w14:textId="77777777" w:rsidR="00BB138C" w:rsidRPr="00EF6679" w:rsidRDefault="00BB138C" w:rsidP="00820288">
            <w:pPr>
              <w:spacing w:line="240" w:lineRule="auto"/>
              <w:rPr>
                <w:rFonts w:ascii="Times New Roman" w:hAnsi="Times New Roman" w:cs="Times New Roman"/>
                <w:color w:val="000000" w:themeColor="text1"/>
                <w:sz w:val="16"/>
                <w:szCs w:val="16"/>
                <w:vertAlign w:val="superscript"/>
              </w:rPr>
            </w:pPr>
            <w:r w:rsidRPr="00EF6679">
              <w:rPr>
                <w:rFonts w:ascii="Times New Roman" w:hAnsi="Times New Roman" w:cs="Times New Roman"/>
                <w:color w:val="000000" w:themeColor="text1"/>
                <w:sz w:val="16"/>
                <w:szCs w:val="16"/>
                <w:vertAlign w:val="superscript"/>
              </w:rPr>
              <w:t>a</w:t>
            </w:r>
          </w:p>
        </w:tc>
        <w:tc>
          <w:tcPr>
            <w:tcW w:w="576" w:type="dxa"/>
            <w:noWrap/>
            <w:vAlign w:val="bottom"/>
            <w:hideMark/>
          </w:tcPr>
          <w:p w14:paraId="0F5EFB8C" w14:textId="77777777" w:rsidR="00BB138C" w:rsidRPr="00EF6679" w:rsidRDefault="00BB138C" w:rsidP="00820288">
            <w:pPr>
              <w:spacing w:line="240" w:lineRule="auto"/>
              <w:jc w:val="right"/>
              <w:rPr>
                <w:rFonts w:ascii="Times New Roman" w:hAnsi="Times New Roman" w:cs="Times New Roman"/>
                <w:color w:val="000000" w:themeColor="text1"/>
                <w:sz w:val="16"/>
                <w:szCs w:val="16"/>
              </w:rPr>
            </w:pPr>
            <w:r w:rsidRPr="00EF6679">
              <w:rPr>
                <w:rFonts w:ascii="Times New Roman" w:hAnsi="Times New Roman" w:cs="Times New Roman"/>
                <w:color w:val="000000" w:themeColor="text1"/>
                <w:sz w:val="16"/>
                <w:szCs w:val="16"/>
              </w:rPr>
              <w:t>6.745</w:t>
            </w:r>
          </w:p>
        </w:tc>
        <w:tc>
          <w:tcPr>
            <w:tcW w:w="576" w:type="dxa"/>
            <w:noWrap/>
            <w:vAlign w:val="center"/>
            <w:hideMark/>
          </w:tcPr>
          <w:p w14:paraId="49E4EAF9" w14:textId="77777777" w:rsidR="00BB138C" w:rsidRPr="00EF6679" w:rsidRDefault="00BB138C" w:rsidP="00820288">
            <w:pPr>
              <w:spacing w:line="240" w:lineRule="auto"/>
              <w:rPr>
                <w:rFonts w:ascii="Times New Roman" w:hAnsi="Times New Roman" w:cs="Times New Roman"/>
                <w:color w:val="000000" w:themeColor="text1"/>
                <w:sz w:val="16"/>
                <w:szCs w:val="16"/>
                <w:vertAlign w:val="superscript"/>
              </w:rPr>
            </w:pPr>
            <w:r w:rsidRPr="00EF6679">
              <w:rPr>
                <w:rFonts w:ascii="Times New Roman" w:hAnsi="Times New Roman" w:cs="Times New Roman"/>
                <w:color w:val="000000" w:themeColor="text1"/>
                <w:sz w:val="16"/>
                <w:szCs w:val="16"/>
                <w:vertAlign w:val="superscript"/>
              </w:rPr>
              <w:t>a</w:t>
            </w:r>
          </w:p>
        </w:tc>
        <w:tc>
          <w:tcPr>
            <w:tcW w:w="576" w:type="dxa"/>
            <w:noWrap/>
            <w:vAlign w:val="bottom"/>
            <w:hideMark/>
          </w:tcPr>
          <w:p w14:paraId="6E172660" w14:textId="77777777" w:rsidR="00BB138C" w:rsidRPr="00EF6679" w:rsidRDefault="00BB138C" w:rsidP="00820288">
            <w:pPr>
              <w:spacing w:line="240" w:lineRule="auto"/>
              <w:jc w:val="right"/>
              <w:rPr>
                <w:rFonts w:ascii="Times New Roman" w:hAnsi="Times New Roman" w:cs="Times New Roman"/>
                <w:color w:val="000000" w:themeColor="text1"/>
                <w:sz w:val="16"/>
                <w:szCs w:val="16"/>
              </w:rPr>
            </w:pPr>
            <w:r w:rsidRPr="00EF6679">
              <w:rPr>
                <w:rFonts w:ascii="Times New Roman" w:hAnsi="Times New Roman" w:cs="Times New Roman"/>
                <w:color w:val="000000" w:themeColor="text1"/>
                <w:sz w:val="16"/>
                <w:szCs w:val="16"/>
              </w:rPr>
              <w:t>4.647</w:t>
            </w:r>
          </w:p>
        </w:tc>
        <w:tc>
          <w:tcPr>
            <w:tcW w:w="576" w:type="dxa"/>
            <w:noWrap/>
            <w:vAlign w:val="center"/>
            <w:hideMark/>
          </w:tcPr>
          <w:p w14:paraId="09281B80" w14:textId="77777777" w:rsidR="00BB138C" w:rsidRPr="00EF6679" w:rsidRDefault="00BB138C" w:rsidP="00820288">
            <w:pPr>
              <w:spacing w:line="240" w:lineRule="auto"/>
              <w:rPr>
                <w:rFonts w:ascii="Times New Roman" w:hAnsi="Times New Roman" w:cs="Times New Roman"/>
                <w:color w:val="000000" w:themeColor="text1"/>
                <w:sz w:val="16"/>
                <w:szCs w:val="16"/>
                <w:vertAlign w:val="superscript"/>
              </w:rPr>
            </w:pPr>
            <w:r w:rsidRPr="00EF6679">
              <w:rPr>
                <w:rFonts w:ascii="Times New Roman" w:hAnsi="Times New Roman" w:cs="Times New Roman"/>
                <w:color w:val="000000" w:themeColor="text1"/>
                <w:sz w:val="16"/>
                <w:szCs w:val="16"/>
                <w:vertAlign w:val="superscript"/>
              </w:rPr>
              <w:t>a</w:t>
            </w:r>
          </w:p>
        </w:tc>
      </w:tr>
      <w:tr w:rsidR="00BB138C" w:rsidRPr="00EF6679" w14:paraId="14015514" w14:textId="77777777" w:rsidTr="00820288">
        <w:trPr>
          <w:trHeight w:val="173"/>
        </w:trPr>
        <w:tc>
          <w:tcPr>
            <w:tcW w:w="2880" w:type="dxa"/>
            <w:noWrap/>
            <w:vAlign w:val="bottom"/>
            <w:hideMark/>
          </w:tcPr>
          <w:p w14:paraId="255698F0" w14:textId="77777777" w:rsidR="00BB138C" w:rsidRPr="00EF6679" w:rsidRDefault="00BB138C" w:rsidP="00820288">
            <w:pPr>
              <w:spacing w:line="240" w:lineRule="auto"/>
              <w:rPr>
                <w:rFonts w:ascii="Times New Roman" w:hAnsi="Times New Roman" w:cs="Times New Roman"/>
                <w:color w:val="000000" w:themeColor="text1"/>
                <w:sz w:val="16"/>
                <w:szCs w:val="16"/>
              </w:rPr>
            </w:pPr>
            <w:r w:rsidRPr="00EF6679">
              <w:rPr>
                <w:rFonts w:ascii="Times New Roman" w:hAnsi="Times New Roman" w:cs="Times New Roman"/>
                <w:color w:val="000000" w:themeColor="text1"/>
                <w:sz w:val="16"/>
                <w:szCs w:val="16"/>
              </w:rPr>
              <w:t>Phenol</w:t>
            </w:r>
          </w:p>
        </w:tc>
        <w:tc>
          <w:tcPr>
            <w:tcW w:w="576" w:type="dxa"/>
            <w:noWrap/>
            <w:vAlign w:val="bottom"/>
            <w:hideMark/>
          </w:tcPr>
          <w:p w14:paraId="0636007D" w14:textId="77777777" w:rsidR="00BB138C" w:rsidRPr="00EF6679" w:rsidRDefault="00BB138C" w:rsidP="00820288">
            <w:pPr>
              <w:spacing w:line="240" w:lineRule="auto"/>
              <w:jc w:val="right"/>
              <w:rPr>
                <w:rFonts w:ascii="Times New Roman" w:hAnsi="Times New Roman" w:cs="Times New Roman"/>
                <w:color w:val="000000" w:themeColor="text1"/>
                <w:sz w:val="16"/>
                <w:szCs w:val="16"/>
              </w:rPr>
            </w:pPr>
            <w:r w:rsidRPr="00EF6679">
              <w:rPr>
                <w:rFonts w:ascii="Times New Roman" w:hAnsi="Times New Roman" w:cs="Times New Roman"/>
                <w:color w:val="000000" w:themeColor="text1"/>
                <w:sz w:val="16"/>
                <w:szCs w:val="16"/>
              </w:rPr>
              <w:t>130.650</w:t>
            </w:r>
          </w:p>
        </w:tc>
        <w:tc>
          <w:tcPr>
            <w:tcW w:w="576" w:type="dxa"/>
            <w:noWrap/>
            <w:vAlign w:val="center"/>
            <w:hideMark/>
          </w:tcPr>
          <w:p w14:paraId="60BD71F5" w14:textId="77777777" w:rsidR="00BB138C" w:rsidRPr="00EF6679" w:rsidRDefault="00BB138C" w:rsidP="00820288">
            <w:pPr>
              <w:spacing w:line="240" w:lineRule="auto"/>
              <w:rPr>
                <w:rFonts w:ascii="Times New Roman" w:hAnsi="Times New Roman" w:cs="Times New Roman"/>
                <w:color w:val="000000" w:themeColor="text1"/>
                <w:sz w:val="16"/>
                <w:szCs w:val="16"/>
                <w:vertAlign w:val="superscript"/>
              </w:rPr>
            </w:pPr>
            <w:r w:rsidRPr="00EF6679">
              <w:rPr>
                <w:rFonts w:ascii="Times New Roman" w:hAnsi="Times New Roman" w:cs="Times New Roman"/>
                <w:color w:val="000000" w:themeColor="text1"/>
                <w:sz w:val="16"/>
                <w:szCs w:val="16"/>
                <w:vertAlign w:val="superscript"/>
              </w:rPr>
              <w:t>a</w:t>
            </w:r>
          </w:p>
        </w:tc>
        <w:tc>
          <w:tcPr>
            <w:tcW w:w="576" w:type="dxa"/>
            <w:noWrap/>
            <w:vAlign w:val="bottom"/>
            <w:hideMark/>
          </w:tcPr>
          <w:p w14:paraId="5EC9A6D5" w14:textId="77777777" w:rsidR="00BB138C" w:rsidRPr="00EF6679" w:rsidRDefault="00BB138C" w:rsidP="00820288">
            <w:pPr>
              <w:spacing w:line="240" w:lineRule="auto"/>
              <w:jc w:val="right"/>
              <w:rPr>
                <w:rFonts w:ascii="Times New Roman" w:hAnsi="Times New Roman" w:cs="Times New Roman"/>
                <w:color w:val="000000" w:themeColor="text1"/>
                <w:sz w:val="16"/>
                <w:szCs w:val="16"/>
              </w:rPr>
            </w:pPr>
            <w:r w:rsidRPr="00EF6679">
              <w:rPr>
                <w:rFonts w:ascii="Times New Roman" w:hAnsi="Times New Roman" w:cs="Times New Roman"/>
                <w:color w:val="000000" w:themeColor="text1"/>
                <w:sz w:val="16"/>
                <w:szCs w:val="16"/>
              </w:rPr>
              <w:t>129.300</w:t>
            </w:r>
          </w:p>
        </w:tc>
        <w:tc>
          <w:tcPr>
            <w:tcW w:w="576" w:type="dxa"/>
            <w:noWrap/>
            <w:vAlign w:val="center"/>
            <w:hideMark/>
          </w:tcPr>
          <w:p w14:paraId="7912299E" w14:textId="77777777" w:rsidR="00BB138C" w:rsidRPr="00EF6679" w:rsidRDefault="00BB138C" w:rsidP="00820288">
            <w:pPr>
              <w:spacing w:line="240" w:lineRule="auto"/>
              <w:rPr>
                <w:rFonts w:ascii="Times New Roman" w:hAnsi="Times New Roman" w:cs="Times New Roman"/>
                <w:color w:val="000000" w:themeColor="text1"/>
                <w:sz w:val="16"/>
                <w:szCs w:val="16"/>
                <w:vertAlign w:val="superscript"/>
              </w:rPr>
            </w:pPr>
            <w:r w:rsidRPr="00EF6679">
              <w:rPr>
                <w:rFonts w:ascii="Times New Roman" w:hAnsi="Times New Roman" w:cs="Times New Roman"/>
                <w:color w:val="000000" w:themeColor="text1"/>
                <w:sz w:val="16"/>
                <w:szCs w:val="16"/>
                <w:vertAlign w:val="superscript"/>
              </w:rPr>
              <w:t>a</w:t>
            </w:r>
          </w:p>
        </w:tc>
        <w:tc>
          <w:tcPr>
            <w:tcW w:w="576" w:type="dxa"/>
            <w:noWrap/>
            <w:vAlign w:val="bottom"/>
            <w:hideMark/>
          </w:tcPr>
          <w:p w14:paraId="48D39659" w14:textId="77777777" w:rsidR="00BB138C" w:rsidRPr="00EF6679" w:rsidRDefault="00BB138C" w:rsidP="00820288">
            <w:pPr>
              <w:spacing w:line="240" w:lineRule="auto"/>
              <w:jc w:val="right"/>
              <w:rPr>
                <w:rFonts w:ascii="Times New Roman" w:hAnsi="Times New Roman" w:cs="Times New Roman"/>
                <w:color w:val="000000" w:themeColor="text1"/>
                <w:sz w:val="16"/>
                <w:szCs w:val="16"/>
              </w:rPr>
            </w:pPr>
            <w:r w:rsidRPr="00EF6679">
              <w:rPr>
                <w:rFonts w:ascii="Times New Roman" w:hAnsi="Times New Roman" w:cs="Times New Roman"/>
                <w:color w:val="000000" w:themeColor="text1"/>
                <w:sz w:val="16"/>
                <w:szCs w:val="16"/>
              </w:rPr>
              <w:t>84.157</w:t>
            </w:r>
          </w:p>
        </w:tc>
        <w:tc>
          <w:tcPr>
            <w:tcW w:w="576" w:type="dxa"/>
            <w:noWrap/>
            <w:vAlign w:val="center"/>
            <w:hideMark/>
          </w:tcPr>
          <w:p w14:paraId="783BA939" w14:textId="77777777" w:rsidR="00BB138C" w:rsidRPr="00EF6679" w:rsidRDefault="00BB138C" w:rsidP="00820288">
            <w:pPr>
              <w:spacing w:line="240" w:lineRule="auto"/>
              <w:rPr>
                <w:rFonts w:ascii="Times New Roman" w:hAnsi="Times New Roman" w:cs="Times New Roman"/>
                <w:color w:val="000000" w:themeColor="text1"/>
                <w:sz w:val="16"/>
                <w:szCs w:val="16"/>
                <w:vertAlign w:val="superscript"/>
              </w:rPr>
            </w:pPr>
            <w:r w:rsidRPr="00EF6679">
              <w:rPr>
                <w:rFonts w:ascii="Times New Roman" w:hAnsi="Times New Roman" w:cs="Times New Roman"/>
                <w:color w:val="000000" w:themeColor="text1"/>
                <w:sz w:val="16"/>
                <w:szCs w:val="16"/>
                <w:vertAlign w:val="superscript"/>
              </w:rPr>
              <w:t>a</w:t>
            </w:r>
          </w:p>
        </w:tc>
        <w:tc>
          <w:tcPr>
            <w:tcW w:w="576" w:type="dxa"/>
            <w:noWrap/>
            <w:vAlign w:val="bottom"/>
            <w:hideMark/>
          </w:tcPr>
          <w:p w14:paraId="23D7E832" w14:textId="77777777" w:rsidR="00BB138C" w:rsidRPr="00EF6679" w:rsidRDefault="00BB138C" w:rsidP="00820288">
            <w:pPr>
              <w:spacing w:line="240" w:lineRule="auto"/>
              <w:jc w:val="right"/>
              <w:rPr>
                <w:rFonts w:ascii="Times New Roman" w:hAnsi="Times New Roman" w:cs="Times New Roman"/>
                <w:color w:val="000000" w:themeColor="text1"/>
                <w:sz w:val="16"/>
                <w:szCs w:val="16"/>
              </w:rPr>
            </w:pPr>
            <w:r w:rsidRPr="00EF6679">
              <w:rPr>
                <w:rFonts w:ascii="Times New Roman" w:hAnsi="Times New Roman" w:cs="Times New Roman"/>
                <w:color w:val="000000" w:themeColor="text1"/>
                <w:sz w:val="16"/>
                <w:szCs w:val="16"/>
              </w:rPr>
              <w:t>69.484</w:t>
            </w:r>
          </w:p>
        </w:tc>
        <w:tc>
          <w:tcPr>
            <w:tcW w:w="576" w:type="dxa"/>
            <w:noWrap/>
            <w:vAlign w:val="center"/>
            <w:hideMark/>
          </w:tcPr>
          <w:p w14:paraId="2CF37CA3" w14:textId="77777777" w:rsidR="00BB138C" w:rsidRPr="00EF6679" w:rsidRDefault="00BB138C" w:rsidP="00820288">
            <w:pPr>
              <w:spacing w:line="240" w:lineRule="auto"/>
              <w:rPr>
                <w:rFonts w:ascii="Times New Roman" w:hAnsi="Times New Roman" w:cs="Times New Roman"/>
                <w:color w:val="000000" w:themeColor="text1"/>
                <w:sz w:val="16"/>
                <w:szCs w:val="16"/>
                <w:vertAlign w:val="superscript"/>
              </w:rPr>
            </w:pPr>
            <w:r w:rsidRPr="00EF6679">
              <w:rPr>
                <w:rFonts w:ascii="Times New Roman" w:hAnsi="Times New Roman" w:cs="Times New Roman"/>
                <w:color w:val="000000" w:themeColor="text1"/>
                <w:sz w:val="16"/>
                <w:szCs w:val="16"/>
                <w:vertAlign w:val="superscript"/>
              </w:rPr>
              <w:t>b</w:t>
            </w:r>
          </w:p>
        </w:tc>
      </w:tr>
      <w:tr w:rsidR="00BB138C" w:rsidRPr="00EF6679" w14:paraId="360572A3" w14:textId="77777777" w:rsidTr="00820288">
        <w:trPr>
          <w:trHeight w:val="173"/>
        </w:trPr>
        <w:tc>
          <w:tcPr>
            <w:tcW w:w="2880" w:type="dxa"/>
            <w:noWrap/>
            <w:vAlign w:val="bottom"/>
            <w:hideMark/>
          </w:tcPr>
          <w:p w14:paraId="1229AE45" w14:textId="77777777" w:rsidR="00BB138C" w:rsidRPr="00EF6679" w:rsidRDefault="00BB138C" w:rsidP="00820288">
            <w:pPr>
              <w:spacing w:line="240" w:lineRule="auto"/>
              <w:rPr>
                <w:rFonts w:ascii="Times New Roman" w:hAnsi="Times New Roman" w:cs="Times New Roman"/>
                <w:color w:val="000000" w:themeColor="text1"/>
                <w:sz w:val="16"/>
                <w:szCs w:val="16"/>
              </w:rPr>
            </w:pPr>
            <w:r w:rsidRPr="00EF6679">
              <w:rPr>
                <w:rFonts w:ascii="Times New Roman" w:hAnsi="Times New Roman" w:cs="Times New Roman"/>
                <w:color w:val="000000" w:themeColor="text1"/>
                <w:sz w:val="16"/>
                <w:szCs w:val="16"/>
              </w:rPr>
              <w:t xml:space="preserve">ß-Myrcene           </w:t>
            </w:r>
          </w:p>
        </w:tc>
        <w:tc>
          <w:tcPr>
            <w:tcW w:w="576" w:type="dxa"/>
            <w:noWrap/>
            <w:vAlign w:val="bottom"/>
            <w:hideMark/>
          </w:tcPr>
          <w:p w14:paraId="640F43E9" w14:textId="77777777" w:rsidR="00BB138C" w:rsidRPr="00EF6679" w:rsidRDefault="00BB138C" w:rsidP="00820288">
            <w:pPr>
              <w:spacing w:line="240" w:lineRule="auto"/>
              <w:jc w:val="right"/>
              <w:rPr>
                <w:rFonts w:ascii="Times New Roman" w:hAnsi="Times New Roman" w:cs="Times New Roman"/>
                <w:color w:val="000000" w:themeColor="text1"/>
                <w:sz w:val="16"/>
                <w:szCs w:val="16"/>
              </w:rPr>
            </w:pPr>
            <w:r w:rsidRPr="00EF6679">
              <w:rPr>
                <w:rFonts w:ascii="Times New Roman" w:hAnsi="Times New Roman" w:cs="Times New Roman"/>
                <w:color w:val="000000" w:themeColor="text1"/>
                <w:sz w:val="16"/>
                <w:szCs w:val="16"/>
              </w:rPr>
              <w:t>242.220</w:t>
            </w:r>
          </w:p>
        </w:tc>
        <w:tc>
          <w:tcPr>
            <w:tcW w:w="576" w:type="dxa"/>
            <w:noWrap/>
            <w:vAlign w:val="center"/>
            <w:hideMark/>
          </w:tcPr>
          <w:p w14:paraId="38AD4059" w14:textId="77777777" w:rsidR="00BB138C" w:rsidRPr="00EF6679" w:rsidRDefault="00BB138C" w:rsidP="00820288">
            <w:pPr>
              <w:spacing w:line="240" w:lineRule="auto"/>
              <w:rPr>
                <w:rFonts w:ascii="Times New Roman" w:hAnsi="Times New Roman" w:cs="Times New Roman"/>
                <w:color w:val="000000" w:themeColor="text1"/>
                <w:sz w:val="16"/>
                <w:szCs w:val="16"/>
                <w:vertAlign w:val="superscript"/>
              </w:rPr>
            </w:pPr>
            <w:r w:rsidRPr="00EF6679">
              <w:rPr>
                <w:rFonts w:ascii="Times New Roman" w:hAnsi="Times New Roman" w:cs="Times New Roman"/>
                <w:color w:val="000000" w:themeColor="text1"/>
                <w:sz w:val="16"/>
                <w:szCs w:val="16"/>
                <w:vertAlign w:val="superscript"/>
              </w:rPr>
              <w:t>a</w:t>
            </w:r>
          </w:p>
        </w:tc>
        <w:tc>
          <w:tcPr>
            <w:tcW w:w="576" w:type="dxa"/>
            <w:noWrap/>
            <w:vAlign w:val="bottom"/>
            <w:hideMark/>
          </w:tcPr>
          <w:p w14:paraId="698A7617" w14:textId="77777777" w:rsidR="00BB138C" w:rsidRPr="00EF6679" w:rsidRDefault="00BB138C" w:rsidP="00820288">
            <w:pPr>
              <w:spacing w:line="240" w:lineRule="auto"/>
              <w:jc w:val="right"/>
              <w:rPr>
                <w:rFonts w:ascii="Times New Roman" w:hAnsi="Times New Roman" w:cs="Times New Roman"/>
                <w:color w:val="000000" w:themeColor="text1"/>
                <w:sz w:val="16"/>
                <w:szCs w:val="16"/>
              </w:rPr>
            </w:pPr>
            <w:r w:rsidRPr="00EF6679">
              <w:rPr>
                <w:rFonts w:ascii="Times New Roman" w:hAnsi="Times New Roman" w:cs="Times New Roman"/>
                <w:color w:val="000000" w:themeColor="text1"/>
                <w:sz w:val="16"/>
                <w:szCs w:val="16"/>
              </w:rPr>
              <w:t>173.060</w:t>
            </w:r>
          </w:p>
        </w:tc>
        <w:tc>
          <w:tcPr>
            <w:tcW w:w="576" w:type="dxa"/>
            <w:noWrap/>
            <w:vAlign w:val="center"/>
            <w:hideMark/>
          </w:tcPr>
          <w:p w14:paraId="7FE12F70" w14:textId="77777777" w:rsidR="00BB138C" w:rsidRPr="00EF6679" w:rsidRDefault="00BB138C" w:rsidP="00820288">
            <w:pPr>
              <w:spacing w:line="240" w:lineRule="auto"/>
              <w:rPr>
                <w:rFonts w:ascii="Times New Roman" w:hAnsi="Times New Roman" w:cs="Times New Roman"/>
                <w:color w:val="000000" w:themeColor="text1"/>
                <w:sz w:val="16"/>
                <w:szCs w:val="16"/>
                <w:vertAlign w:val="superscript"/>
              </w:rPr>
            </w:pPr>
            <w:r w:rsidRPr="00EF6679">
              <w:rPr>
                <w:rFonts w:ascii="Times New Roman" w:hAnsi="Times New Roman" w:cs="Times New Roman"/>
                <w:color w:val="000000" w:themeColor="text1"/>
                <w:sz w:val="16"/>
                <w:szCs w:val="16"/>
                <w:vertAlign w:val="superscript"/>
              </w:rPr>
              <w:t>ab</w:t>
            </w:r>
          </w:p>
        </w:tc>
        <w:tc>
          <w:tcPr>
            <w:tcW w:w="576" w:type="dxa"/>
            <w:noWrap/>
            <w:vAlign w:val="bottom"/>
            <w:hideMark/>
          </w:tcPr>
          <w:p w14:paraId="7CE5C8C8" w14:textId="77777777" w:rsidR="00BB138C" w:rsidRPr="00EF6679" w:rsidRDefault="00BB138C" w:rsidP="00820288">
            <w:pPr>
              <w:spacing w:line="240" w:lineRule="auto"/>
              <w:jc w:val="right"/>
              <w:rPr>
                <w:rFonts w:ascii="Times New Roman" w:hAnsi="Times New Roman" w:cs="Times New Roman"/>
                <w:color w:val="000000" w:themeColor="text1"/>
                <w:sz w:val="16"/>
                <w:szCs w:val="16"/>
              </w:rPr>
            </w:pPr>
            <w:r w:rsidRPr="00EF6679">
              <w:rPr>
                <w:rFonts w:ascii="Times New Roman" w:hAnsi="Times New Roman" w:cs="Times New Roman"/>
                <w:color w:val="000000" w:themeColor="text1"/>
                <w:sz w:val="16"/>
                <w:szCs w:val="16"/>
              </w:rPr>
              <w:t>107.080</w:t>
            </w:r>
          </w:p>
        </w:tc>
        <w:tc>
          <w:tcPr>
            <w:tcW w:w="576" w:type="dxa"/>
            <w:noWrap/>
            <w:vAlign w:val="center"/>
            <w:hideMark/>
          </w:tcPr>
          <w:p w14:paraId="16548C7B" w14:textId="77777777" w:rsidR="00BB138C" w:rsidRPr="00EF6679" w:rsidRDefault="00BB138C" w:rsidP="00820288">
            <w:pPr>
              <w:spacing w:line="240" w:lineRule="auto"/>
              <w:rPr>
                <w:rFonts w:ascii="Times New Roman" w:hAnsi="Times New Roman" w:cs="Times New Roman"/>
                <w:color w:val="000000" w:themeColor="text1"/>
                <w:sz w:val="16"/>
                <w:szCs w:val="16"/>
                <w:vertAlign w:val="superscript"/>
              </w:rPr>
            </w:pPr>
            <w:r w:rsidRPr="00EF6679">
              <w:rPr>
                <w:rFonts w:ascii="Times New Roman" w:hAnsi="Times New Roman" w:cs="Times New Roman"/>
                <w:color w:val="000000" w:themeColor="text1"/>
                <w:sz w:val="16"/>
                <w:szCs w:val="16"/>
                <w:vertAlign w:val="superscript"/>
              </w:rPr>
              <w:t>ab</w:t>
            </w:r>
          </w:p>
        </w:tc>
        <w:tc>
          <w:tcPr>
            <w:tcW w:w="576" w:type="dxa"/>
            <w:noWrap/>
            <w:vAlign w:val="bottom"/>
            <w:hideMark/>
          </w:tcPr>
          <w:p w14:paraId="449E0CD8" w14:textId="77777777" w:rsidR="00BB138C" w:rsidRPr="00EF6679" w:rsidRDefault="00BB138C" w:rsidP="00820288">
            <w:pPr>
              <w:spacing w:line="240" w:lineRule="auto"/>
              <w:jc w:val="right"/>
              <w:rPr>
                <w:rFonts w:ascii="Times New Roman" w:hAnsi="Times New Roman" w:cs="Times New Roman"/>
                <w:color w:val="000000" w:themeColor="text1"/>
                <w:sz w:val="16"/>
                <w:szCs w:val="16"/>
              </w:rPr>
            </w:pPr>
            <w:r w:rsidRPr="00EF6679">
              <w:rPr>
                <w:rFonts w:ascii="Times New Roman" w:hAnsi="Times New Roman" w:cs="Times New Roman"/>
                <w:color w:val="000000" w:themeColor="text1"/>
                <w:sz w:val="16"/>
                <w:szCs w:val="16"/>
              </w:rPr>
              <w:t>51.419</w:t>
            </w:r>
          </w:p>
        </w:tc>
        <w:tc>
          <w:tcPr>
            <w:tcW w:w="576" w:type="dxa"/>
            <w:noWrap/>
            <w:vAlign w:val="center"/>
            <w:hideMark/>
          </w:tcPr>
          <w:p w14:paraId="7E5FA337" w14:textId="77777777" w:rsidR="00BB138C" w:rsidRPr="00EF6679" w:rsidRDefault="00BB138C" w:rsidP="00820288">
            <w:pPr>
              <w:spacing w:line="240" w:lineRule="auto"/>
              <w:rPr>
                <w:rFonts w:ascii="Times New Roman" w:hAnsi="Times New Roman" w:cs="Times New Roman"/>
                <w:color w:val="000000" w:themeColor="text1"/>
                <w:sz w:val="16"/>
                <w:szCs w:val="16"/>
                <w:vertAlign w:val="superscript"/>
              </w:rPr>
            </w:pPr>
            <w:r w:rsidRPr="00EF6679">
              <w:rPr>
                <w:rFonts w:ascii="Times New Roman" w:hAnsi="Times New Roman" w:cs="Times New Roman"/>
                <w:color w:val="000000" w:themeColor="text1"/>
                <w:sz w:val="16"/>
                <w:szCs w:val="16"/>
                <w:vertAlign w:val="superscript"/>
              </w:rPr>
              <w:t>b</w:t>
            </w:r>
          </w:p>
        </w:tc>
      </w:tr>
      <w:tr w:rsidR="00BB138C" w:rsidRPr="00EF6679" w14:paraId="1288F572" w14:textId="77777777" w:rsidTr="00820288">
        <w:trPr>
          <w:trHeight w:val="173"/>
        </w:trPr>
        <w:tc>
          <w:tcPr>
            <w:tcW w:w="2880" w:type="dxa"/>
            <w:noWrap/>
            <w:vAlign w:val="bottom"/>
            <w:hideMark/>
          </w:tcPr>
          <w:p w14:paraId="0A0BA239" w14:textId="77777777" w:rsidR="00BB138C" w:rsidRPr="00EF6679" w:rsidRDefault="00BB138C" w:rsidP="00820288">
            <w:pPr>
              <w:spacing w:line="240" w:lineRule="auto"/>
              <w:rPr>
                <w:rFonts w:ascii="Times New Roman" w:hAnsi="Times New Roman" w:cs="Times New Roman"/>
                <w:color w:val="000000" w:themeColor="text1"/>
                <w:sz w:val="16"/>
                <w:szCs w:val="16"/>
              </w:rPr>
            </w:pPr>
            <w:r w:rsidRPr="00EF6679">
              <w:rPr>
                <w:rFonts w:ascii="Times New Roman" w:hAnsi="Times New Roman" w:cs="Times New Roman"/>
                <w:color w:val="000000" w:themeColor="text1"/>
                <w:sz w:val="16"/>
                <w:szCs w:val="16"/>
              </w:rPr>
              <w:t xml:space="preserve">3-Carene                 </w:t>
            </w:r>
          </w:p>
        </w:tc>
        <w:tc>
          <w:tcPr>
            <w:tcW w:w="576" w:type="dxa"/>
            <w:noWrap/>
            <w:vAlign w:val="center"/>
            <w:hideMark/>
          </w:tcPr>
          <w:p w14:paraId="7B5B115C" w14:textId="77777777" w:rsidR="00BB138C" w:rsidRPr="00EF6679" w:rsidRDefault="00BB138C" w:rsidP="00820288">
            <w:pPr>
              <w:spacing w:line="240" w:lineRule="auto"/>
              <w:jc w:val="right"/>
              <w:rPr>
                <w:rFonts w:ascii="Times New Roman" w:hAnsi="Times New Roman" w:cs="Times New Roman"/>
                <w:color w:val="000000" w:themeColor="text1"/>
                <w:sz w:val="16"/>
                <w:szCs w:val="16"/>
              </w:rPr>
            </w:pPr>
            <w:r w:rsidRPr="00EF6679">
              <w:rPr>
                <w:rFonts w:ascii="Times New Roman" w:hAnsi="Times New Roman" w:cs="Times New Roman"/>
                <w:color w:val="000000" w:themeColor="text1"/>
                <w:sz w:val="16"/>
                <w:szCs w:val="16"/>
              </w:rPr>
              <w:t>345.810</w:t>
            </w:r>
          </w:p>
        </w:tc>
        <w:tc>
          <w:tcPr>
            <w:tcW w:w="576" w:type="dxa"/>
            <w:noWrap/>
            <w:vAlign w:val="center"/>
            <w:hideMark/>
          </w:tcPr>
          <w:p w14:paraId="6FB60083" w14:textId="77777777" w:rsidR="00BB138C" w:rsidRPr="00EF6679" w:rsidRDefault="00BB138C" w:rsidP="00820288">
            <w:pPr>
              <w:spacing w:line="240" w:lineRule="auto"/>
              <w:rPr>
                <w:rFonts w:ascii="Times New Roman" w:hAnsi="Times New Roman" w:cs="Times New Roman"/>
                <w:color w:val="000000" w:themeColor="text1"/>
                <w:sz w:val="16"/>
                <w:szCs w:val="16"/>
                <w:vertAlign w:val="superscript"/>
              </w:rPr>
            </w:pPr>
            <w:r w:rsidRPr="00EF6679">
              <w:rPr>
                <w:rFonts w:ascii="Times New Roman" w:hAnsi="Times New Roman" w:cs="Times New Roman"/>
                <w:color w:val="000000" w:themeColor="text1"/>
                <w:sz w:val="16"/>
                <w:szCs w:val="16"/>
                <w:vertAlign w:val="superscript"/>
              </w:rPr>
              <w:t>a</w:t>
            </w:r>
          </w:p>
        </w:tc>
        <w:tc>
          <w:tcPr>
            <w:tcW w:w="576" w:type="dxa"/>
            <w:noWrap/>
            <w:vAlign w:val="bottom"/>
            <w:hideMark/>
          </w:tcPr>
          <w:p w14:paraId="343E98CD" w14:textId="77777777" w:rsidR="00BB138C" w:rsidRPr="00EF6679" w:rsidRDefault="00BB138C" w:rsidP="00820288">
            <w:pPr>
              <w:spacing w:line="240" w:lineRule="auto"/>
              <w:jc w:val="right"/>
              <w:rPr>
                <w:rFonts w:ascii="Times New Roman" w:hAnsi="Times New Roman" w:cs="Times New Roman"/>
                <w:color w:val="000000" w:themeColor="text1"/>
                <w:sz w:val="16"/>
                <w:szCs w:val="16"/>
              </w:rPr>
            </w:pPr>
            <w:r w:rsidRPr="00EF6679">
              <w:rPr>
                <w:rFonts w:ascii="Times New Roman" w:hAnsi="Times New Roman" w:cs="Times New Roman"/>
                <w:color w:val="000000" w:themeColor="text1"/>
                <w:sz w:val="16"/>
                <w:szCs w:val="16"/>
              </w:rPr>
              <w:t>247.070</w:t>
            </w:r>
          </w:p>
        </w:tc>
        <w:tc>
          <w:tcPr>
            <w:tcW w:w="576" w:type="dxa"/>
            <w:noWrap/>
            <w:vAlign w:val="center"/>
            <w:hideMark/>
          </w:tcPr>
          <w:p w14:paraId="6078CA03" w14:textId="77777777" w:rsidR="00BB138C" w:rsidRPr="00EF6679" w:rsidRDefault="00BB138C" w:rsidP="00820288">
            <w:pPr>
              <w:spacing w:line="240" w:lineRule="auto"/>
              <w:rPr>
                <w:rFonts w:ascii="Times New Roman" w:hAnsi="Times New Roman" w:cs="Times New Roman"/>
                <w:color w:val="000000" w:themeColor="text1"/>
                <w:sz w:val="16"/>
                <w:szCs w:val="16"/>
                <w:vertAlign w:val="superscript"/>
              </w:rPr>
            </w:pPr>
            <w:r w:rsidRPr="00EF6679">
              <w:rPr>
                <w:rFonts w:ascii="Times New Roman" w:hAnsi="Times New Roman" w:cs="Times New Roman"/>
                <w:color w:val="000000" w:themeColor="text1"/>
                <w:sz w:val="16"/>
                <w:szCs w:val="16"/>
                <w:vertAlign w:val="superscript"/>
              </w:rPr>
              <w:t>ab</w:t>
            </w:r>
          </w:p>
        </w:tc>
        <w:tc>
          <w:tcPr>
            <w:tcW w:w="576" w:type="dxa"/>
            <w:noWrap/>
            <w:vAlign w:val="bottom"/>
            <w:hideMark/>
          </w:tcPr>
          <w:p w14:paraId="14EAB141" w14:textId="77777777" w:rsidR="00BB138C" w:rsidRPr="00EF6679" w:rsidRDefault="00BB138C" w:rsidP="00820288">
            <w:pPr>
              <w:spacing w:line="240" w:lineRule="auto"/>
              <w:jc w:val="right"/>
              <w:rPr>
                <w:rFonts w:ascii="Times New Roman" w:hAnsi="Times New Roman" w:cs="Times New Roman"/>
                <w:color w:val="000000" w:themeColor="text1"/>
                <w:sz w:val="16"/>
                <w:szCs w:val="16"/>
              </w:rPr>
            </w:pPr>
            <w:r w:rsidRPr="00EF6679">
              <w:rPr>
                <w:rFonts w:ascii="Times New Roman" w:hAnsi="Times New Roman" w:cs="Times New Roman"/>
                <w:color w:val="000000" w:themeColor="text1"/>
                <w:sz w:val="16"/>
                <w:szCs w:val="16"/>
              </w:rPr>
              <w:t>152.880</w:t>
            </w:r>
          </w:p>
        </w:tc>
        <w:tc>
          <w:tcPr>
            <w:tcW w:w="576" w:type="dxa"/>
            <w:noWrap/>
            <w:vAlign w:val="center"/>
            <w:hideMark/>
          </w:tcPr>
          <w:p w14:paraId="0A9ECE21" w14:textId="77777777" w:rsidR="00BB138C" w:rsidRPr="00EF6679" w:rsidRDefault="00BB138C" w:rsidP="00820288">
            <w:pPr>
              <w:spacing w:line="240" w:lineRule="auto"/>
              <w:rPr>
                <w:rFonts w:ascii="Times New Roman" w:hAnsi="Times New Roman" w:cs="Times New Roman"/>
                <w:color w:val="000000" w:themeColor="text1"/>
                <w:sz w:val="16"/>
                <w:szCs w:val="16"/>
                <w:vertAlign w:val="superscript"/>
              </w:rPr>
            </w:pPr>
            <w:r w:rsidRPr="00EF6679">
              <w:rPr>
                <w:rFonts w:ascii="Times New Roman" w:hAnsi="Times New Roman" w:cs="Times New Roman"/>
                <w:color w:val="000000" w:themeColor="text1"/>
                <w:sz w:val="16"/>
                <w:szCs w:val="16"/>
                <w:vertAlign w:val="superscript"/>
              </w:rPr>
              <w:t>ab</w:t>
            </w:r>
          </w:p>
        </w:tc>
        <w:tc>
          <w:tcPr>
            <w:tcW w:w="576" w:type="dxa"/>
            <w:noWrap/>
            <w:vAlign w:val="bottom"/>
            <w:hideMark/>
          </w:tcPr>
          <w:p w14:paraId="09566E5B" w14:textId="77777777" w:rsidR="00BB138C" w:rsidRPr="00EF6679" w:rsidRDefault="00BB138C" w:rsidP="00820288">
            <w:pPr>
              <w:spacing w:line="240" w:lineRule="auto"/>
              <w:jc w:val="right"/>
              <w:rPr>
                <w:rFonts w:ascii="Times New Roman" w:hAnsi="Times New Roman" w:cs="Times New Roman"/>
                <w:color w:val="000000" w:themeColor="text1"/>
                <w:sz w:val="16"/>
                <w:szCs w:val="16"/>
              </w:rPr>
            </w:pPr>
            <w:r w:rsidRPr="00EF6679">
              <w:rPr>
                <w:rFonts w:ascii="Times New Roman" w:hAnsi="Times New Roman" w:cs="Times New Roman"/>
                <w:color w:val="000000" w:themeColor="text1"/>
                <w:sz w:val="16"/>
                <w:szCs w:val="16"/>
              </w:rPr>
              <w:t>73.410</w:t>
            </w:r>
          </w:p>
        </w:tc>
        <w:tc>
          <w:tcPr>
            <w:tcW w:w="576" w:type="dxa"/>
            <w:noWrap/>
            <w:vAlign w:val="center"/>
            <w:hideMark/>
          </w:tcPr>
          <w:p w14:paraId="53D44C89" w14:textId="77777777" w:rsidR="00BB138C" w:rsidRPr="00EF6679" w:rsidRDefault="00BB138C" w:rsidP="00820288">
            <w:pPr>
              <w:spacing w:line="240" w:lineRule="auto"/>
              <w:rPr>
                <w:rFonts w:ascii="Times New Roman" w:hAnsi="Times New Roman" w:cs="Times New Roman"/>
                <w:color w:val="000000" w:themeColor="text1"/>
                <w:sz w:val="16"/>
                <w:szCs w:val="16"/>
                <w:vertAlign w:val="superscript"/>
              </w:rPr>
            </w:pPr>
            <w:r w:rsidRPr="00EF6679">
              <w:rPr>
                <w:rFonts w:ascii="Times New Roman" w:hAnsi="Times New Roman" w:cs="Times New Roman"/>
                <w:color w:val="000000" w:themeColor="text1"/>
                <w:sz w:val="16"/>
                <w:szCs w:val="16"/>
                <w:vertAlign w:val="superscript"/>
              </w:rPr>
              <w:t>b</w:t>
            </w:r>
          </w:p>
        </w:tc>
      </w:tr>
      <w:tr w:rsidR="00BB138C" w:rsidRPr="00EF6679" w14:paraId="559AC7E9" w14:textId="77777777" w:rsidTr="00820288">
        <w:trPr>
          <w:trHeight w:val="173"/>
        </w:trPr>
        <w:tc>
          <w:tcPr>
            <w:tcW w:w="2880" w:type="dxa"/>
            <w:noWrap/>
            <w:vAlign w:val="bottom"/>
            <w:hideMark/>
          </w:tcPr>
          <w:p w14:paraId="2B3CC971" w14:textId="77777777" w:rsidR="00BB138C" w:rsidRPr="00EF6679" w:rsidRDefault="00BB138C" w:rsidP="00820288">
            <w:pPr>
              <w:spacing w:line="240" w:lineRule="auto"/>
              <w:rPr>
                <w:rFonts w:ascii="Times New Roman" w:hAnsi="Times New Roman" w:cs="Times New Roman"/>
                <w:b/>
                <w:bCs/>
                <w:color w:val="000000" w:themeColor="text1"/>
                <w:sz w:val="16"/>
                <w:szCs w:val="16"/>
              </w:rPr>
            </w:pPr>
            <w:r w:rsidRPr="00EF6679">
              <w:rPr>
                <w:rFonts w:ascii="Times New Roman" w:hAnsi="Times New Roman" w:cs="Times New Roman"/>
                <w:color w:val="000000" w:themeColor="text1"/>
                <w:sz w:val="16"/>
                <w:szCs w:val="16"/>
              </w:rPr>
              <w:t xml:space="preserve">2-pentyl-Furan           </w:t>
            </w:r>
          </w:p>
        </w:tc>
        <w:tc>
          <w:tcPr>
            <w:tcW w:w="576" w:type="dxa"/>
            <w:noWrap/>
            <w:vAlign w:val="bottom"/>
            <w:hideMark/>
          </w:tcPr>
          <w:p w14:paraId="5608C246" w14:textId="77777777" w:rsidR="00BB138C" w:rsidRPr="00EF6679" w:rsidRDefault="00BB138C" w:rsidP="00820288">
            <w:pPr>
              <w:spacing w:line="240" w:lineRule="auto"/>
              <w:jc w:val="right"/>
              <w:rPr>
                <w:rFonts w:ascii="Times New Roman" w:hAnsi="Times New Roman" w:cs="Times New Roman"/>
                <w:color w:val="000000" w:themeColor="text1"/>
                <w:sz w:val="16"/>
                <w:szCs w:val="16"/>
              </w:rPr>
            </w:pPr>
            <w:r w:rsidRPr="00EF6679">
              <w:rPr>
                <w:rFonts w:ascii="Times New Roman" w:hAnsi="Times New Roman" w:cs="Times New Roman"/>
                <w:color w:val="000000" w:themeColor="text1"/>
                <w:sz w:val="16"/>
                <w:szCs w:val="16"/>
              </w:rPr>
              <w:t>0.010</w:t>
            </w:r>
          </w:p>
        </w:tc>
        <w:tc>
          <w:tcPr>
            <w:tcW w:w="576" w:type="dxa"/>
            <w:noWrap/>
            <w:vAlign w:val="center"/>
            <w:hideMark/>
          </w:tcPr>
          <w:p w14:paraId="2911E98C" w14:textId="77777777" w:rsidR="00BB138C" w:rsidRPr="00EF6679" w:rsidRDefault="00BB138C" w:rsidP="00820288">
            <w:pPr>
              <w:spacing w:line="240" w:lineRule="auto"/>
              <w:rPr>
                <w:rFonts w:ascii="Times New Roman" w:hAnsi="Times New Roman" w:cs="Times New Roman"/>
                <w:color w:val="000000" w:themeColor="text1"/>
                <w:sz w:val="16"/>
                <w:szCs w:val="16"/>
                <w:vertAlign w:val="superscript"/>
              </w:rPr>
            </w:pPr>
            <w:r w:rsidRPr="00EF6679">
              <w:rPr>
                <w:rFonts w:ascii="Times New Roman" w:hAnsi="Times New Roman" w:cs="Times New Roman"/>
                <w:color w:val="000000" w:themeColor="text1"/>
                <w:sz w:val="16"/>
                <w:szCs w:val="16"/>
                <w:vertAlign w:val="superscript"/>
              </w:rPr>
              <w:t>abc</w:t>
            </w:r>
          </w:p>
        </w:tc>
        <w:tc>
          <w:tcPr>
            <w:tcW w:w="576" w:type="dxa"/>
            <w:noWrap/>
            <w:vAlign w:val="bottom"/>
            <w:hideMark/>
          </w:tcPr>
          <w:p w14:paraId="2F396BD7" w14:textId="77777777" w:rsidR="00BB138C" w:rsidRPr="00EF6679" w:rsidRDefault="00BB138C" w:rsidP="00820288">
            <w:pPr>
              <w:spacing w:line="240" w:lineRule="auto"/>
              <w:jc w:val="right"/>
              <w:rPr>
                <w:rFonts w:ascii="Times New Roman" w:hAnsi="Times New Roman" w:cs="Times New Roman"/>
                <w:color w:val="000000" w:themeColor="text1"/>
                <w:sz w:val="16"/>
                <w:szCs w:val="16"/>
              </w:rPr>
            </w:pPr>
            <w:r w:rsidRPr="00EF6679">
              <w:rPr>
                <w:rFonts w:ascii="Times New Roman" w:hAnsi="Times New Roman" w:cs="Times New Roman"/>
                <w:color w:val="000000" w:themeColor="text1"/>
                <w:sz w:val="16"/>
                <w:szCs w:val="16"/>
              </w:rPr>
              <w:t>0.004</w:t>
            </w:r>
          </w:p>
        </w:tc>
        <w:tc>
          <w:tcPr>
            <w:tcW w:w="576" w:type="dxa"/>
            <w:noWrap/>
            <w:vAlign w:val="center"/>
            <w:hideMark/>
          </w:tcPr>
          <w:p w14:paraId="48EAD1A0" w14:textId="77777777" w:rsidR="00BB138C" w:rsidRPr="00EF6679" w:rsidRDefault="00BB138C" w:rsidP="00820288">
            <w:pPr>
              <w:spacing w:line="240" w:lineRule="auto"/>
              <w:rPr>
                <w:rFonts w:ascii="Times New Roman" w:hAnsi="Times New Roman" w:cs="Times New Roman"/>
                <w:color w:val="000000" w:themeColor="text1"/>
                <w:sz w:val="16"/>
                <w:szCs w:val="16"/>
                <w:vertAlign w:val="superscript"/>
              </w:rPr>
            </w:pPr>
            <w:r w:rsidRPr="00EF6679">
              <w:rPr>
                <w:rFonts w:ascii="Times New Roman" w:hAnsi="Times New Roman" w:cs="Times New Roman"/>
                <w:color w:val="000000" w:themeColor="text1"/>
                <w:sz w:val="16"/>
                <w:szCs w:val="16"/>
                <w:vertAlign w:val="superscript"/>
              </w:rPr>
              <w:t>bc</w:t>
            </w:r>
          </w:p>
        </w:tc>
        <w:tc>
          <w:tcPr>
            <w:tcW w:w="576" w:type="dxa"/>
            <w:noWrap/>
            <w:vAlign w:val="bottom"/>
            <w:hideMark/>
          </w:tcPr>
          <w:p w14:paraId="7378BBA4" w14:textId="77777777" w:rsidR="00BB138C" w:rsidRPr="00EF6679" w:rsidRDefault="00BB138C" w:rsidP="00820288">
            <w:pPr>
              <w:spacing w:line="240" w:lineRule="auto"/>
              <w:jc w:val="right"/>
              <w:rPr>
                <w:rFonts w:ascii="Times New Roman" w:hAnsi="Times New Roman" w:cs="Times New Roman"/>
                <w:color w:val="000000" w:themeColor="text1"/>
                <w:sz w:val="16"/>
                <w:szCs w:val="16"/>
              </w:rPr>
            </w:pPr>
            <w:r w:rsidRPr="00EF6679">
              <w:rPr>
                <w:rFonts w:ascii="Times New Roman" w:hAnsi="Times New Roman" w:cs="Times New Roman"/>
                <w:color w:val="000000" w:themeColor="text1"/>
                <w:sz w:val="16"/>
                <w:szCs w:val="16"/>
              </w:rPr>
              <w:t>0.006</w:t>
            </w:r>
          </w:p>
        </w:tc>
        <w:tc>
          <w:tcPr>
            <w:tcW w:w="576" w:type="dxa"/>
            <w:noWrap/>
            <w:vAlign w:val="center"/>
            <w:hideMark/>
          </w:tcPr>
          <w:p w14:paraId="79C37E95" w14:textId="77777777" w:rsidR="00BB138C" w:rsidRPr="00EF6679" w:rsidRDefault="00BB138C" w:rsidP="00820288">
            <w:pPr>
              <w:spacing w:line="240" w:lineRule="auto"/>
              <w:rPr>
                <w:rFonts w:ascii="Times New Roman" w:hAnsi="Times New Roman" w:cs="Times New Roman"/>
                <w:color w:val="000000" w:themeColor="text1"/>
                <w:sz w:val="16"/>
                <w:szCs w:val="16"/>
                <w:vertAlign w:val="superscript"/>
              </w:rPr>
            </w:pPr>
            <w:r w:rsidRPr="00EF6679">
              <w:rPr>
                <w:rFonts w:ascii="Times New Roman" w:hAnsi="Times New Roman" w:cs="Times New Roman"/>
                <w:color w:val="000000" w:themeColor="text1"/>
                <w:sz w:val="16"/>
                <w:szCs w:val="16"/>
                <w:vertAlign w:val="superscript"/>
              </w:rPr>
              <w:t>abc</w:t>
            </w:r>
          </w:p>
        </w:tc>
        <w:tc>
          <w:tcPr>
            <w:tcW w:w="576" w:type="dxa"/>
            <w:noWrap/>
            <w:vAlign w:val="bottom"/>
            <w:hideMark/>
          </w:tcPr>
          <w:p w14:paraId="5BDC0BA5" w14:textId="77777777" w:rsidR="00BB138C" w:rsidRPr="00EF6679" w:rsidRDefault="00BB138C" w:rsidP="00820288">
            <w:pPr>
              <w:spacing w:line="240" w:lineRule="auto"/>
              <w:jc w:val="right"/>
              <w:rPr>
                <w:rFonts w:ascii="Times New Roman" w:hAnsi="Times New Roman" w:cs="Times New Roman"/>
                <w:color w:val="000000" w:themeColor="text1"/>
                <w:sz w:val="16"/>
                <w:szCs w:val="16"/>
              </w:rPr>
            </w:pPr>
            <w:r w:rsidRPr="00EF6679">
              <w:rPr>
                <w:rFonts w:ascii="Times New Roman" w:hAnsi="Times New Roman" w:cs="Times New Roman"/>
                <w:color w:val="000000" w:themeColor="text1"/>
                <w:sz w:val="16"/>
                <w:szCs w:val="16"/>
              </w:rPr>
              <w:t>0.004</w:t>
            </w:r>
          </w:p>
        </w:tc>
        <w:tc>
          <w:tcPr>
            <w:tcW w:w="576" w:type="dxa"/>
            <w:noWrap/>
            <w:vAlign w:val="center"/>
            <w:hideMark/>
          </w:tcPr>
          <w:p w14:paraId="23B799FA" w14:textId="77777777" w:rsidR="00BB138C" w:rsidRPr="00EF6679" w:rsidRDefault="00BB138C" w:rsidP="00820288">
            <w:pPr>
              <w:spacing w:line="240" w:lineRule="auto"/>
              <w:rPr>
                <w:rFonts w:ascii="Times New Roman" w:hAnsi="Times New Roman" w:cs="Times New Roman"/>
                <w:color w:val="000000" w:themeColor="text1"/>
                <w:sz w:val="16"/>
                <w:szCs w:val="16"/>
                <w:vertAlign w:val="superscript"/>
              </w:rPr>
            </w:pPr>
            <w:r w:rsidRPr="00EF6679">
              <w:rPr>
                <w:rFonts w:ascii="Times New Roman" w:hAnsi="Times New Roman" w:cs="Times New Roman"/>
                <w:color w:val="000000" w:themeColor="text1"/>
                <w:sz w:val="16"/>
                <w:szCs w:val="16"/>
                <w:vertAlign w:val="superscript"/>
              </w:rPr>
              <w:t>c</w:t>
            </w:r>
          </w:p>
        </w:tc>
      </w:tr>
      <w:tr w:rsidR="00BB138C" w:rsidRPr="00EF6679" w14:paraId="6AAA9F67" w14:textId="77777777" w:rsidTr="00820288">
        <w:trPr>
          <w:trHeight w:val="173"/>
        </w:trPr>
        <w:tc>
          <w:tcPr>
            <w:tcW w:w="2880" w:type="dxa"/>
            <w:noWrap/>
            <w:vAlign w:val="bottom"/>
            <w:hideMark/>
          </w:tcPr>
          <w:p w14:paraId="2DF42969" w14:textId="77777777" w:rsidR="00BB138C" w:rsidRPr="00EF6679" w:rsidRDefault="00BB138C" w:rsidP="00820288">
            <w:pPr>
              <w:spacing w:line="240" w:lineRule="auto"/>
              <w:rPr>
                <w:rFonts w:ascii="Times New Roman" w:hAnsi="Times New Roman" w:cs="Times New Roman"/>
                <w:color w:val="000000" w:themeColor="text1"/>
                <w:sz w:val="16"/>
                <w:szCs w:val="16"/>
              </w:rPr>
            </w:pPr>
            <w:r w:rsidRPr="00EF6679">
              <w:rPr>
                <w:rFonts w:ascii="Times New Roman" w:hAnsi="Times New Roman" w:cs="Times New Roman"/>
                <w:color w:val="000000" w:themeColor="text1"/>
                <w:sz w:val="16"/>
                <w:szCs w:val="16"/>
              </w:rPr>
              <w:t>(E,E)-2,4-Heptadienal</w:t>
            </w:r>
          </w:p>
        </w:tc>
        <w:tc>
          <w:tcPr>
            <w:tcW w:w="576" w:type="dxa"/>
            <w:noWrap/>
            <w:vAlign w:val="bottom"/>
            <w:hideMark/>
          </w:tcPr>
          <w:p w14:paraId="0AE56CFA" w14:textId="77777777" w:rsidR="00BB138C" w:rsidRPr="00EF6679" w:rsidRDefault="00BB138C" w:rsidP="00820288">
            <w:pPr>
              <w:spacing w:line="240" w:lineRule="auto"/>
              <w:jc w:val="right"/>
              <w:rPr>
                <w:rFonts w:ascii="Times New Roman" w:hAnsi="Times New Roman" w:cs="Times New Roman"/>
                <w:color w:val="000000" w:themeColor="text1"/>
                <w:sz w:val="16"/>
                <w:szCs w:val="16"/>
              </w:rPr>
            </w:pPr>
            <w:r w:rsidRPr="00EF6679">
              <w:rPr>
                <w:rFonts w:ascii="Times New Roman" w:hAnsi="Times New Roman" w:cs="Times New Roman"/>
                <w:color w:val="000000" w:themeColor="text1"/>
                <w:sz w:val="16"/>
                <w:szCs w:val="16"/>
              </w:rPr>
              <w:t>15.381</w:t>
            </w:r>
          </w:p>
        </w:tc>
        <w:tc>
          <w:tcPr>
            <w:tcW w:w="576" w:type="dxa"/>
            <w:noWrap/>
            <w:vAlign w:val="center"/>
            <w:hideMark/>
          </w:tcPr>
          <w:p w14:paraId="1E925F68" w14:textId="77777777" w:rsidR="00BB138C" w:rsidRPr="00EF6679" w:rsidRDefault="00BB138C" w:rsidP="00820288">
            <w:pPr>
              <w:spacing w:line="240" w:lineRule="auto"/>
              <w:rPr>
                <w:rFonts w:ascii="Times New Roman" w:hAnsi="Times New Roman" w:cs="Times New Roman"/>
                <w:color w:val="000000" w:themeColor="text1"/>
                <w:sz w:val="16"/>
                <w:szCs w:val="16"/>
                <w:vertAlign w:val="superscript"/>
              </w:rPr>
            </w:pPr>
            <w:r w:rsidRPr="00EF6679">
              <w:rPr>
                <w:rFonts w:ascii="Times New Roman" w:hAnsi="Times New Roman" w:cs="Times New Roman"/>
                <w:color w:val="000000" w:themeColor="text1"/>
                <w:sz w:val="16"/>
                <w:szCs w:val="16"/>
                <w:vertAlign w:val="superscript"/>
              </w:rPr>
              <w:t>a</w:t>
            </w:r>
          </w:p>
        </w:tc>
        <w:tc>
          <w:tcPr>
            <w:tcW w:w="576" w:type="dxa"/>
            <w:noWrap/>
            <w:vAlign w:val="bottom"/>
            <w:hideMark/>
          </w:tcPr>
          <w:p w14:paraId="7062CF2D" w14:textId="77777777" w:rsidR="00BB138C" w:rsidRPr="00EF6679" w:rsidRDefault="00BB138C" w:rsidP="00820288">
            <w:pPr>
              <w:spacing w:line="240" w:lineRule="auto"/>
              <w:jc w:val="right"/>
              <w:rPr>
                <w:rFonts w:ascii="Times New Roman" w:hAnsi="Times New Roman" w:cs="Times New Roman"/>
                <w:color w:val="000000" w:themeColor="text1"/>
                <w:sz w:val="16"/>
                <w:szCs w:val="16"/>
              </w:rPr>
            </w:pPr>
            <w:r w:rsidRPr="00EF6679">
              <w:rPr>
                <w:rFonts w:ascii="Times New Roman" w:hAnsi="Times New Roman" w:cs="Times New Roman"/>
                <w:color w:val="000000" w:themeColor="text1"/>
                <w:sz w:val="16"/>
                <w:szCs w:val="16"/>
              </w:rPr>
              <w:t>15.857</w:t>
            </w:r>
          </w:p>
        </w:tc>
        <w:tc>
          <w:tcPr>
            <w:tcW w:w="576" w:type="dxa"/>
            <w:noWrap/>
            <w:vAlign w:val="center"/>
            <w:hideMark/>
          </w:tcPr>
          <w:p w14:paraId="19B2EC9B" w14:textId="77777777" w:rsidR="00BB138C" w:rsidRPr="00EF6679" w:rsidRDefault="00BB138C" w:rsidP="00820288">
            <w:pPr>
              <w:spacing w:line="240" w:lineRule="auto"/>
              <w:rPr>
                <w:rFonts w:ascii="Times New Roman" w:hAnsi="Times New Roman" w:cs="Times New Roman"/>
                <w:color w:val="000000" w:themeColor="text1"/>
                <w:sz w:val="16"/>
                <w:szCs w:val="16"/>
                <w:vertAlign w:val="superscript"/>
              </w:rPr>
            </w:pPr>
            <w:r w:rsidRPr="00EF6679">
              <w:rPr>
                <w:rFonts w:ascii="Times New Roman" w:hAnsi="Times New Roman" w:cs="Times New Roman"/>
                <w:color w:val="000000" w:themeColor="text1"/>
                <w:sz w:val="16"/>
                <w:szCs w:val="16"/>
                <w:vertAlign w:val="superscript"/>
              </w:rPr>
              <w:t>a</w:t>
            </w:r>
          </w:p>
        </w:tc>
        <w:tc>
          <w:tcPr>
            <w:tcW w:w="576" w:type="dxa"/>
            <w:noWrap/>
            <w:vAlign w:val="bottom"/>
            <w:hideMark/>
          </w:tcPr>
          <w:p w14:paraId="002BC882" w14:textId="77777777" w:rsidR="00BB138C" w:rsidRPr="00EF6679" w:rsidRDefault="00BB138C" w:rsidP="00820288">
            <w:pPr>
              <w:spacing w:line="240" w:lineRule="auto"/>
              <w:jc w:val="right"/>
              <w:rPr>
                <w:rFonts w:ascii="Times New Roman" w:hAnsi="Times New Roman" w:cs="Times New Roman"/>
                <w:color w:val="000000" w:themeColor="text1"/>
                <w:sz w:val="16"/>
                <w:szCs w:val="16"/>
              </w:rPr>
            </w:pPr>
            <w:r w:rsidRPr="00EF6679">
              <w:rPr>
                <w:rFonts w:ascii="Times New Roman" w:hAnsi="Times New Roman" w:cs="Times New Roman"/>
                <w:color w:val="000000" w:themeColor="text1"/>
                <w:sz w:val="16"/>
                <w:szCs w:val="16"/>
              </w:rPr>
              <w:t>11.245</w:t>
            </w:r>
          </w:p>
        </w:tc>
        <w:tc>
          <w:tcPr>
            <w:tcW w:w="576" w:type="dxa"/>
            <w:noWrap/>
            <w:vAlign w:val="center"/>
            <w:hideMark/>
          </w:tcPr>
          <w:p w14:paraId="2AB7E0AB" w14:textId="77777777" w:rsidR="00BB138C" w:rsidRPr="00EF6679" w:rsidRDefault="00BB138C" w:rsidP="00820288">
            <w:pPr>
              <w:spacing w:line="240" w:lineRule="auto"/>
              <w:rPr>
                <w:rFonts w:ascii="Times New Roman" w:hAnsi="Times New Roman" w:cs="Times New Roman"/>
                <w:color w:val="000000" w:themeColor="text1"/>
                <w:sz w:val="16"/>
                <w:szCs w:val="16"/>
                <w:vertAlign w:val="superscript"/>
              </w:rPr>
            </w:pPr>
            <w:r w:rsidRPr="00EF6679">
              <w:rPr>
                <w:rFonts w:ascii="Times New Roman" w:hAnsi="Times New Roman" w:cs="Times New Roman"/>
                <w:color w:val="000000" w:themeColor="text1"/>
                <w:sz w:val="16"/>
                <w:szCs w:val="16"/>
                <w:vertAlign w:val="superscript"/>
              </w:rPr>
              <w:t>a</w:t>
            </w:r>
          </w:p>
        </w:tc>
        <w:tc>
          <w:tcPr>
            <w:tcW w:w="576" w:type="dxa"/>
            <w:noWrap/>
            <w:vAlign w:val="bottom"/>
            <w:hideMark/>
          </w:tcPr>
          <w:p w14:paraId="6B32D7DC" w14:textId="77777777" w:rsidR="00BB138C" w:rsidRPr="00EF6679" w:rsidRDefault="00BB138C" w:rsidP="00820288">
            <w:pPr>
              <w:spacing w:line="240" w:lineRule="auto"/>
              <w:jc w:val="right"/>
              <w:rPr>
                <w:rFonts w:ascii="Times New Roman" w:hAnsi="Times New Roman" w:cs="Times New Roman"/>
                <w:color w:val="000000" w:themeColor="text1"/>
                <w:sz w:val="16"/>
                <w:szCs w:val="16"/>
              </w:rPr>
            </w:pPr>
            <w:r w:rsidRPr="00EF6679">
              <w:rPr>
                <w:rFonts w:ascii="Times New Roman" w:hAnsi="Times New Roman" w:cs="Times New Roman"/>
                <w:color w:val="000000" w:themeColor="text1"/>
                <w:sz w:val="16"/>
                <w:szCs w:val="16"/>
              </w:rPr>
              <w:t>10.900</w:t>
            </w:r>
          </w:p>
        </w:tc>
        <w:tc>
          <w:tcPr>
            <w:tcW w:w="576" w:type="dxa"/>
            <w:noWrap/>
            <w:vAlign w:val="center"/>
            <w:hideMark/>
          </w:tcPr>
          <w:p w14:paraId="1890160D" w14:textId="77777777" w:rsidR="00BB138C" w:rsidRPr="00EF6679" w:rsidRDefault="00BB138C" w:rsidP="00820288">
            <w:pPr>
              <w:spacing w:line="240" w:lineRule="auto"/>
              <w:rPr>
                <w:rFonts w:ascii="Times New Roman" w:hAnsi="Times New Roman" w:cs="Times New Roman"/>
                <w:color w:val="000000" w:themeColor="text1"/>
                <w:sz w:val="16"/>
                <w:szCs w:val="16"/>
                <w:vertAlign w:val="superscript"/>
              </w:rPr>
            </w:pPr>
            <w:r w:rsidRPr="00EF6679">
              <w:rPr>
                <w:rFonts w:ascii="Times New Roman" w:hAnsi="Times New Roman" w:cs="Times New Roman"/>
                <w:color w:val="000000" w:themeColor="text1"/>
                <w:sz w:val="16"/>
                <w:szCs w:val="16"/>
                <w:vertAlign w:val="superscript"/>
              </w:rPr>
              <w:t>a</w:t>
            </w:r>
          </w:p>
        </w:tc>
      </w:tr>
      <w:tr w:rsidR="00BB138C" w:rsidRPr="00EF6679" w14:paraId="4472E662" w14:textId="77777777" w:rsidTr="00820288">
        <w:trPr>
          <w:trHeight w:val="173"/>
        </w:trPr>
        <w:tc>
          <w:tcPr>
            <w:tcW w:w="2880" w:type="dxa"/>
            <w:noWrap/>
            <w:vAlign w:val="bottom"/>
            <w:hideMark/>
          </w:tcPr>
          <w:p w14:paraId="2EB2127A" w14:textId="77777777" w:rsidR="00BB138C" w:rsidRPr="00EF6679" w:rsidRDefault="00BB138C" w:rsidP="00820288">
            <w:pPr>
              <w:spacing w:line="240" w:lineRule="auto"/>
              <w:rPr>
                <w:rFonts w:ascii="Times New Roman" w:hAnsi="Times New Roman" w:cs="Times New Roman"/>
                <w:color w:val="000000" w:themeColor="text1"/>
                <w:sz w:val="16"/>
                <w:szCs w:val="16"/>
              </w:rPr>
            </w:pPr>
            <w:r w:rsidRPr="00EF6679">
              <w:rPr>
                <w:rFonts w:ascii="Times New Roman" w:hAnsi="Times New Roman" w:cs="Times New Roman"/>
                <w:color w:val="000000" w:themeColor="text1"/>
                <w:sz w:val="16"/>
                <w:szCs w:val="16"/>
              </w:rPr>
              <w:t xml:space="preserve">Formamide, N-phenyl-     </w:t>
            </w:r>
          </w:p>
        </w:tc>
        <w:tc>
          <w:tcPr>
            <w:tcW w:w="576" w:type="dxa"/>
            <w:noWrap/>
            <w:vAlign w:val="bottom"/>
            <w:hideMark/>
          </w:tcPr>
          <w:p w14:paraId="007BA6EB" w14:textId="77777777" w:rsidR="00BB138C" w:rsidRPr="00EF6679" w:rsidRDefault="00BB138C" w:rsidP="00820288">
            <w:pPr>
              <w:spacing w:line="240" w:lineRule="auto"/>
              <w:jc w:val="right"/>
              <w:rPr>
                <w:rFonts w:ascii="Times New Roman" w:hAnsi="Times New Roman" w:cs="Times New Roman"/>
                <w:color w:val="000000" w:themeColor="text1"/>
                <w:sz w:val="16"/>
                <w:szCs w:val="16"/>
              </w:rPr>
            </w:pPr>
            <w:r w:rsidRPr="00EF6679">
              <w:rPr>
                <w:rFonts w:ascii="Times New Roman" w:hAnsi="Times New Roman" w:cs="Times New Roman"/>
                <w:color w:val="000000" w:themeColor="text1"/>
                <w:sz w:val="16"/>
                <w:szCs w:val="16"/>
              </w:rPr>
              <w:t>17.168</w:t>
            </w:r>
          </w:p>
        </w:tc>
        <w:tc>
          <w:tcPr>
            <w:tcW w:w="576" w:type="dxa"/>
            <w:noWrap/>
            <w:vAlign w:val="bottom"/>
            <w:hideMark/>
          </w:tcPr>
          <w:p w14:paraId="22BF3B9F" w14:textId="77777777" w:rsidR="00BB138C" w:rsidRPr="00EF6679" w:rsidRDefault="00BB138C" w:rsidP="00820288">
            <w:pPr>
              <w:spacing w:line="240" w:lineRule="auto"/>
              <w:rPr>
                <w:rFonts w:ascii="Times New Roman" w:hAnsi="Times New Roman" w:cs="Times New Roman"/>
                <w:color w:val="000000" w:themeColor="text1"/>
                <w:sz w:val="16"/>
                <w:szCs w:val="16"/>
                <w:vertAlign w:val="superscript"/>
              </w:rPr>
            </w:pPr>
            <w:r w:rsidRPr="00EF6679">
              <w:rPr>
                <w:rFonts w:ascii="Times New Roman" w:hAnsi="Times New Roman" w:cs="Times New Roman"/>
                <w:color w:val="000000" w:themeColor="text1"/>
                <w:sz w:val="16"/>
                <w:szCs w:val="16"/>
                <w:vertAlign w:val="superscript"/>
              </w:rPr>
              <w:t xml:space="preserve">b </w:t>
            </w:r>
          </w:p>
        </w:tc>
        <w:tc>
          <w:tcPr>
            <w:tcW w:w="576" w:type="dxa"/>
            <w:noWrap/>
            <w:vAlign w:val="bottom"/>
            <w:hideMark/>
          </w:tcPr>
          <w:p w14:paraId="1D5F09B9" w14:textId="77777777" w:rsidR="00BB138C" w:rsidRPr="00EF6679" w:rsidRDefault="00BB138C" w:rsidP="00820288">
            <w:pPr>
              <w:spacing w:line="240" w:lineRule="auto"/>
              <w:jc w:val="right"/>
              <w:rPr>
                <w:rFonts w:ascii="Times New Roman" w:hAnsi="Times New Roman" w:cs="Times New Roman"/>
                <w:color w:val="000000" w:themeColor="text1"/>
                <w:sz w:val="16"/>
                <w:szCs w:val="16"/>
              </w:rPr>
            </w:pPr>
            <w:r w:rsidRPr="00EF6679">
              <w:rPr>
                <w:rFonts w:ascii="Times New Roman" w:hAnsi="Times New Roman" w:cs="Times New Roman"/>
                <w:color w:val="000000" w:themeColor="text1"/>
                <w:sz w:val="16"/>
                <w:szCs w:val="16"/>
              </w:rPr>
              <w:t>6.619</w:t>
            </w:r>
          </w:p>
        </w:tc>
        <w:tc>
          <w:tcPr>
            <w:tcW w:w="576" w:type="dxa"/>
            <w:noWrap/>
            <w:vAlign w:val="bottom"/>
            <w:hideMark/>
          </w:tcPr>
          <w:p w14:paraId="6204BDB5" w14:textId="77777777" w:rsidR="00BB138C" w:rsidRPr="00EF6679" w:rsidRDefault="00BB138C" w:rsidP="00820288">
            <w:pPr>
              <w:spacing w:line="240" w:lineRule="auto"/>
              <w:rPr>
                <w:rFonts w:ascii="Times New Roman" w:hAnsi="Times New Roman" w:cs="Times New Roman"/>
                <w:color w:val="000000" w:themeColor="text1"/>
                <w:sz w:val="16"/>
                <w:szCs w:val="16"/>
                <w:vertAlign w:val="superscript"/>
              </w:rPr>
            </w:pPr>
            <w:r w:rsidRPr="00EF6679">
              <w:rPr>
                <w:rFonts w:ascii="Times New Roman" w:hAnsi="Times New Roman" w:cs="Times New Roman"/>
                <w:color w:val="000000" w:themeColor="text1"/>
                <w:sz w:val="16"/>
                <w:szCs w:val="16"/>
                <w:vertAlign w:val="superscript"/>
              </w:rPr>
              <w:t xml:space="preserve">b </w:t>
            </w:r>
          </w:p>
        </w:tc>
        <w:tc>
          <w:tcPr>
            <w:tcW w:w="576" w:type="dxa"/>
            <w:noWrap/>
            <w:vAlign w:val="bottom"/>
            <w:hideMark/>
          </w:tcPr>
          <w:p w14:paraId="6AEEB37D" w14:textId="77777777" w:rsidR="00BB138C" w:rsidRPr="00EF6679" w:rsidRDefault="00BB138C" w:rsidP="00820288">
            <w:pPr>
              <w:spacing w:line="240" w:lineRule="auto"/>
              <w:jc w:val="right"/>
              <w:rPr>
                <w:rFonts w:ascii="Times New Roman" w:hAnsi="Times New Roman" w:cs="Times New Roman"/>
                <w:color w:val="000000" w:themeColor="text1"/>
                <w:sz w:val="16"/>
                <w:szCs w:val="16"/>
              </w:rPr>
            </w:pPr>
            <w:r w:rsidRPr="00EF6679">
              <w:rPr>
                <w:rFonts w:ascii="Times New Roman" w:hAnsi="Times New Roman" w:cs="Times New Roman"/>
                <w:color w:val="000000" w:themeColor="text1"/>
                <w:sz w:val="16"/>
                <w:szCs w:val="16"/>
              </w:rPr>
              <w:t>15.472</w:t>
            </w:r>
          </w:p>
        </w:tc>
        <w:tc>
          <w:tcPr>
            <w:tcW w:w="576" w:type="dxa"/>
            <w:noWrap/>
            <w:vAlign w:val="bottom"/>
            <w:hideMark/>
          </w:tcPr>
          <w:p w14:paraId="6268A5C3" w14:textId="77777777" w:rsidR="00BB138C" w:rsidRPr="00EF6679" w:rsidRDefault="00BB138C" w:rsidP="00820288">
            <w:pPr>
              <w:spacing w:line="240" w:lineRule="auto"/>
              <w:rPr>
                <w:rFonts w:ascii="Times New Roman" w:hAnsi="Times New Roman" w:cs="Times New Roman"/>
                <w:color w:val="000000" w:themeColor="text1"/>
                <w:sz w:val="16"/>
                <w:szCs w:val="16"/>
                <w:vertAlign w:val="superscript"/>
              </w:rPr>
            </w:pPr>
            <w:r w:rsidRPr="00EF6679">
              <w:rPr>
                <w:rFonts w:ascii="Times New Roman" w:hAnsi="Times New Roman" w:cs="Times New Roman"/>
                <w:color w:val="000000" w:themeColor="text1"/>
                <w:sz w:val="16"/>
                <w:szCs w:val="16"/>
                <w:vertAlign w:val="superscript"/>
              </w:rPr>
              <w:t xml:space="preserve">b </w:t>
            </w:r>
          </w:p>
        </w:tc>
        <w:tc>
          <w:tcPr>
            <w:tcW w:w="576" w:type="dxa"/>
            <w:noWrap/>
            <w:vAlign w:val="bottom"/>
            <w:hideMark/>
          </w:tcPr>
          <w:p w14:paraId="63AC24A5" w14:textId="77777777" w:rsidR="00BB138C" w:rsidRPr="00EF6679" w:rsidRDefault="00BB138C" w:rsidP="00820288">
            <w:pPr>
              <w:spacing w:line="240" w:lineRule="auto"/>
              <w:jc w:val="right"/>
              <w:rPr>
                <w:rFonts w:ascii="Times New Roman" w:hAnsi="Times New Roman" w:cs="Times New Roman"/>
                <w:color w:val="000000" w:themeColor="text1"/>
                <w:sz w:val="16"/>
                <w:szCs w:val="16"/>
              </w:rPr>
            </w:pPr>
            <w:r w:rsidRPr="00EF6679">
              <w:rPr>
                <w:rFonts w:ascii="Times New Roman" w:hAnsi="Times New Roman" w:cs="Times New Roman"/>
                <w:color w:val="000000" w:themeColor="text1"/>
                <w:sz w:val="16"/>
                <w:szCs w:val="16"/>
              </w:rPr>
              <w:t>32.528</w:t>
            </w:r>
          </w:p>
        </w:tc>
        <w:tc>
          <w:tcPr>
            <w:tcW w:w="576" w:type="dxa"/>
            <w:noWrap/>
            <w:vAlign w:val="bottom"/>
            <w:hideMark/>
          </w:tcPr>
          <w:p w14:paraId="5E06C2FA" w14:textId="77777777" w:rsidR="00BB138C" w:rsidRPr="00EF6679" w:rsidRDefault="00BB138C" w:rsidP="00820288">
            <w:pPr>
              <w:spacing w:line="240" w:lineRule="auto"/>
              <w:rPr>
                <w:rFonts w:ascii="Times New Roman" w:hAnsi="Times New Roman" w:cs="Times New Roman"/>
                <w:color w:val="000000" w:themeColor="text1"/>
                <w:sz w:val="16"/>
                <w:szCs w:val="16"/>
                <w:vertAlign w:val="superscript"/>
              </w:rPr>
            </w:pPr>
            <w:r w:rsidRPr="00EF6679">
              <w:rPr>
                <w:rFonts w:ascii="Times New Roman" w:hAnsi="Times New Roman" w:cs="Times New Roman"/>
                <w:color w:val="000000" w:themeColor="text1"/>
                <w:sz w:val="16"/>
                <w:szCs w:val="16"/>
                <w:vertAlign w:val="superscript"/>
              </w:rPr>
              <w:t xml:space="preserve">a </w:t>
            </w:r>
          </w:p>
        </w:tc>
      </w:tr>
      <w:tr w:rsidR="00BB138C" w:rsidRPr="00EF6679" w14:paraId="0E324D5C" w14:textId="77777777" w:rsidTr="00820288">
        <w:trPr>
          <w:trHeight w:val="173"/>
        </w:trPr>
        <w:tc>
          <w:tcPr>
            <w:tcW w:w="2880" w:type="dxa"/>
            <w:noWrap/>
            <w:vAlign w:val="bottom"/>
            <w:hideMark/>
          </w:tcPr>
          <w:p w14:paraId="06FD1738" w14:textId="77777777" w:rsidR="00BB138C" w:rsidRPr="00EF6679" w:rsidRDefault="00BB138C" w:rsidP="00820288">
            <w:pPr>
              <w:spacing w:line="240" w:lineRule="auto"/>
              <w:rPr>
                <w:rFonts w:ascii="Times New Roman" w:hAnsi="Times New Roman" w:cs="Times New Roman"/>
                <w:color w:val="000000" w:themeColor="text1"/>
                <w:sz w:val="16"/>
                <w:szCs w:val="16"/>
              </w:rPr>
            </w:pPr>
            <w:r w:rsidRPr="00EF6679">
              <w:rPr>
                <w:rFonts w:ascii="Times New Roman" w:hAnsi="Times New Roman" w:cs="Times New Roman"/>
                <w:color w:val="000000" w:themeColor="text1"/>
                <w:sz w:val="16"/>
                <w:szCs w:val="16"/>
              </w:rPr>
              <w:t xml:space="preserve">2-Isobutylthiazole       </w:t>
            </w:r>
          </w:p>
        </w:tc>
        <w:tc>
          <w:tcPr>
            <w:tcW w:w="576" w:type="dxa"/>
            <w:noWrap/>
            <w:vAlign w:val="bottom"/>
            <w:hideMark/>
          </w:tcPr>
          <w:p w14:paraId="36707C1D" w14:textId="77777777" w:rsidR="00BB138C" w:rsidRPr="00EF6679" w:rsidRDefault="00BB138C" w:rsidP="00820288">
            <w:pPr>
              <w:spacing w:line="240" w:lineRule="auto"/>
              <w:jc w:val="right"/>
              <w:rPr>
                <w:rFonts w:ascii="Times New Roman" w:hAnsi="Times New Roman" w:cs="Times New Roman"/>
                <w:color w:val="000000" w:themeColor="text1"/>
                <w:sz w:val="16"/>
                <w:szCs w:val="16"/>
              </w:rPr>
            </w:pPr>
            <w:r w:rsidRPr="00EF6679">
              <w:rPr>
                <w:rFonts w:ascii="Times New Roman" w:hAnsi="Times New Roman" w:cs="Times New Roman"/>
                <w:color w:val="000000" w:themeColor="text1"/>
                <w:sz w:val="16"/>
                <w:szCs w:val="16"/>
              </w:rPr>
              <w:t>6.170</w:t>
            </w:r>
          </w:p>
        </w:tc>
        <w:tc>
          <w:tcPr>
            <w:tcW w:w="576" w:type="dxa"/>
            <w:noWrap/>
            <w:vAlign w:val="bottom"/>
            <w:hideMark/>
          </w:tcPr>
          <w:p w14:paraId="145623ED" w14:textId="77777777" w:rsidR="00BB138C" w:rsidRPr="00EF6679" w:rsidRDefault="00BB138C" w:rsidP="00820288">
            <w:pPr>
              <w:spacing w:line="240" w:lineRule="auto"/>
              <w:rPr>
                <w:rFonts w:ascii="Times New Roman" w:hAnsi="Times New Roman" w:cs="Times New Roman"/>
                <w:color w:val="000000" w:themeColor="text1"/>
                <w:sz w:val="16"/>
                <w:szCs w:val="16"/>
                <w:vertAlign w:val="superscript"/>
              </w:rPr>
            </w:pPr>
            <w:r w:rsidRPr="00EF6679">
              <w:rPr>
                <w:rFonts w:ascii="Times New Roman" w:hAnsi="Times New Roman" w:cs="Times New Roman"/>
                <w:color w:val="000000" w:themeColor="text1"/>
                <w:sz w:val="16"/>
                <w:szCs w:val="16"/>
                <w:vertAlign w:val="superscript"/>
              </w:rPr>
              <w:t xml:space="preserve">a </w:t>
            </w:r>
          </w:p>
        </w:tc>
        <w:tc>
          <w:tcPr>
            <w:tcW w:w="576" w:type="dxa"/>
            <w:noWrap/>
            <w:vAlign w:val="bottom"/>
            <w:hideMark/>
          </w:tcPr>
          <w:p w14:paraId="47AD0833" w14:textId="77777777" w:rsidR="00BB138C" w:rsidRPr="00EF6679" w:rsidRDefault="00BB138C" w:rsidP="00820288">
            <w:pPr>
              <w:spacing w:line="240" w:lineRule="auto"/>
              <w:jc w:val="right"/>
              <w:rPr>
                <w:rFonts w:ascii="Times New Roman" w:hAnsi="Times New Roman" w:cs="Times New Roman"/>
                <w:color w:val="000000" w:themeColor="text1"/>
                <w:sz w:val="16"/>
                <w:szCs w:val="16"/>
              </w:rPr>
            </w:pPr>
            <w:r w:rsidRPr="00EF6679">
              <w:rPr>
                <w:rFonts w:ascii="Times New Roman" w:hAnsi="Times New Roman" w:cs="Times New Roman"/>
                <w:color w:val="000000" w:themeColor="text1"/>
                <w:sz w:val="16"/>
                <w:szCs w:val="16"/>
              </w:rPr>
              <w:t>5.444</w:t>
            </w:r>
          </w:p>
        </w:tc>
        <w:tc>
          <w:tcPr>
            <w:tcW w:w="576" w:type="dxa"/>
            <w:noWrap/>
            <w:vAlign w:val="bottom"/>
            <w:hideMark/>
          </w:tcPr>
          <w:p w14:paraId="542062D8" w14:textId="77777777" w:rsidR="00BB138C" w:rsidRPr="00EF6679" w:rsidRDefault="00BB138C" w:rsidP="00820288">
            <w:pPr>
              <w:spacing w:line="240" w:lineRule="auto"/>
              <w:rPr>
                <w:rFonts w:ascii="Times New Roman" w:hAnsi="Times New Roman" w:cs="Times New Roman"/>
                <w:color w:val="000000" w:themeColor="text1"/>
                <w:sz w:val="16"/>
                <w:szCs w:val="16"/>
                <w:vertAlign w:val="superscript"/>
              </w:rPr>
            </w:pPr>
            <w:r w:rsidRPr="00EF6679">
              <w:rPr>
                <w:rFonts w:ascii="Times New Roman" w:hAnsi="Times New Roman" w:cs="Times New Roman"/>
                <w:color w:val="000000" w:themeColor="text1"/>
                <w:sz w:val="16"/>
                <w:szCs w:val="16"/>
                <w:vertAlign w:val="superscript"/>
              </w:rPr>
              <w:t xml:space="preserve">ab </w:t>
            </w:r>
          </w:p>
        </w:tc>
        <w:tc>
          <w:tcPr>
            <w:tcW w:w="576" w:type="dxa"/>
            <w:noWrap/>
            <w:vAlign w:val="bottom"/>
            <w:hideMark/>
          </w:tcPr>
          <w:p w14:paraId="797CDBE5" w14:textId="77777777" w:rsidR="00BB138C" w:rsidRPr="00EF6679" w:rsidRDefault="00BB138C" w:rsidP="00820288">
            <w:pPr>
              <w:spacing w:line="240" w:lineRule="auto"/>
              <w:jc w:val="right"/>
              <w:rPr>
                <w:rFonts w:ascii="Times New Roman" w:hAnsi="Times New Roman" w:cs="Times New Roman"/>
                <w:color w:val="000000" w:themeColor="text1"/>
                <w:sz w:val="16"/>
                <w:szCs w:val="16"/>
              </w:rPr>
            </w:pPr>
            <w:r w:rsidRPr="00EF6679">
              <w:rPr>
                <w:rFonts w:ascii="Times New Roman" w:hAnsi="Times New Roman" w:cs="Times New Roman"/>
                <w:color w:val="000000" w:themeColor="text1"/>
                <w:sz w:val="16"/>
                <w:szCs w:val="16"/>
              </w:rPr>
              <w:t>2.971</w:t>
            </w:r>
          </w:p>
        </w:tc>
        <w:tc>
          <w:tcPr>
            <w:tcW w:w="576" w:type="dxa"/>
            <w:noWrap/>
            <w:vAlign w:val="bottom"/>
            <w:hideMark/>
          </w:tcPr>
          <w:p w14:paraId="460CE1D1" w14:textId="77777777" w:rsidR="00BB138C" w:rsidRPr="00EF6679" w:rsidRDefault="00BB138C" w:rsidP="00820288">
            <w:pPr>
              <w:spacing w:line="240" w:lineRule="auto"/>
              <w:rPr>
                <w:rFonts w:ascii="Times New Roman" w:hAnsi="Times New Roman" w:cs="Times New Roman"/>
                <w:color w:val="000000" w:themeColor="text1"/>
                <w:sz w:val="16"/>
                <w:szCs w:val="16"/>
                <w:vertAlign w:val="superscript"/>
              </w:rPr>
            </w:pPr>
            <w:r w:rsidRPr="00EF6679">
              <w:rPr>
                <w:rFonts w:ascii="Times New Roman" w:hAnsi="Times New Roman" w:cs="Times New Roman"/>
                <w:color w:val="000000" w:themeColor="text1"/>
                <w:sz w:val="16"/>
                <w:szCs w:val="16"/>
                <w:vertAlign w:val="superscript"/>
              </w:rPr>
              <w:t xml:space="preserve">b </w:t>
            </w:r>
          </w:p>
        </w:tc>
        <w:tc>
          <w:tcPr>
            <w:tcW w:w="576" w:type="dxa"/>
            <w:noWrap/>
            <w:vAlign w:val="bottom"/>
            <w:hideMark/>
          </w:tcPr>
          <w:p w14:paraId="773FF20E" w14:textId="77777777" w:rsidR="00BB138C" w:rsidRPr="00EF6679" w:rsidRDefault="00BB138C" w:rsidP="00820288">
            <w:pPr>
              <w:spacing w:line="240" w:lineRule="auto"/>
              <w:jc w:val="right"/>
              <w:rPr>
                <w:rFonts w:ascii="Times New Roman" w:hAnsi="Times New Roman" w:cs="Times New Roman"/>
                <w:color w:val="000000" w:themeColor="text1"/>
                <w:sz w:val="16"/>
                <w:szCs w:val="16"/>
              </w:rPr>
            </w:pPr>
            <w:r w:rsidRPr="00EF6679">
              <w:rPr>
                <w:rFonts w:ascii="Times New Roman" w:hAnsi="Times New Roman" w:cs="Times New Roman"/>
                <w:color w:val="000000" w:themeColor="text1"/>
                <w:sz w:val="16"/>
                <w:szCs w:val="16"/>
              </w:rPr>
              <w:t>3.681</w:t>
            </w:r>
          </w:p>
        </w:tc>
        <w:tc>
          <w:tcPr>
            <w:tcW w:w="576" w:type="dxa"/>
            <w:noWrap/>
            <w:vAlign w:val="bottom"/>
            <w:hideMark/>
          </w:tcPr>
          <w:p w14:paraId="6B35E8D6" w14:textId="77777777" w:rsidR="00BB138C" w:rsidRPr="00EF6679" w:rsidRDefault="00BB138C" w:rsidP="00820288">
            <w:pPr>
              <w:spacing w:line="240" w:lineRule="auto"/>
              <w:rPr>
                <w:rFonts w:ascii="Times New Roman" w:hAnsi="Times New Roman" w:cs="Times New Roman"/>
                <w:color w:val="000000" w:themeColor="text1"/>
                <w:sz w:val="16"/>
                <w:szCs w:val="16"/>
                <w:vertAlign w:val="superscript"/>
              </w:rPr>
            </w:pPr>
            <w:r w:rsidRPr="00EF6679">
              <w:rPr>
                <w:rFonts w:ascii="Times New Roman" w:hAnsi="Times New Roman" w:cs="Times New Roman"/>
                <w:color w:val="000000" w:themeColor="text1"/>
                <w:sz w:val="16"/>
                <w:szCs w:val="16"/>
                <w:vertAlign w:val="superscript"/>
              </w:rPr>
              <w:t xml:space="preserve">a </w:t>
            </w:r>
          </w:p>
        </w:tc>
      </w:tr>
      <w:tr w:rsidR="00BB138C" w:rsidRPr="00EF6679" w14:paraId="4A845400" w14:textId="77777777" w:rsidTr="00820288">
        <w:trPr>
          <w:trHeight w:val="173"/>
        </w:trPr>
        <w:tc>
          <w:tcPr>
            <w:tcW w:w="2880" w:type="dxa"/>
            <w:noWrap/>
            <w:vAlign w:val="bottom"/>
            <w:hideMark/>
          </w:tcPr>
          <w:p w14:paraId="3ACE8063" w14:textId="77777777" w:rsidR="00BB138C" w:rsidRPr="00EF6679" w:rsidRDefault="00BB138C" w:rsidP="00820288">
            <w:pPr>
              <w:spacing w:line="240" w:lineRule="auto"/>
              <w:rPr>
                <w:rFonts w:ascii="Times New Roman" w:hAnsi="Times New Roman" w:cs="Times New Roman"/>
                <w:color w:val="000000" w:themeColor="text1"/>
                <w:sz w:val="16"/>
                <w:szCs w:val="16"/>
              </w:rPr>
            </w:pPr>
            <w:r w:rsidRPr="00EF6679">
              <w:rPr>
                <w:rFonts w:ascii="Times New Roman" w:hAnsi="Times New Roman" w:cs="Times New Roman"/>
                <w:color w:val="000000" w:themeColor="text1"/>
                <w:sz w:val="16"/>
                <w:szCs w:val="16"/>
              </w:rPr>
              <w:t xml:space="preserve">(R)+Limonene             </w:t>
            </w:r>
          </w:p>
        </w:tc>
        <w:tc>
          <w:tcPr>
            <w:tcW w:w="576" w:type="dxa"/>
            <w:noWrap/>
            <w:vAlign w:val="bottom"/>
            <w:hideMark/>
          </w:tcPr>
          <w:p w14:paraId="1F203820" w14:textId="77777777" w:rsidR="00BB138C" w:rsidRPr="00EF6679" w:rsidRDefault="00BB138C" w:rsidP="00820288">
            <w:pPr>
              <w:spacing w:line="240" w:lineRule="auto"/>
              <w:jc w:val="right"/>
              <w:rPr>
                <w:rFonts w:ascii="Times New Roman" w:hAnsi="Times New Roman" w:cs="Times New Roman"/>
                <w:color w:val="000000" w:themeColor="text1"/>
                <w:sz w:val="16"/>
                <w:szCs w:val="16"/>
              </w:rPr>
            </w:pPr>
            <w:r w:rsidRPr="00EF6679">
              <w:rPr>
                <w:rFonts w:ascii="Times New Roman" w:hAnsi="Times New Roman" w:cs="Times New Roman"/>
                <w:color w:val="000000" w:themeColor="text1"/>
                <w:sz w:val="16"/>
                <w:szCs w:val="16"/>
              </w:rPr>
              <w:t>64.896</w:t>
            </w:r>
          </w:p>
        </w:tc>
        <w:tc>
          <w:tcPr>
            <w:tcW w:w="576" w:type="dxa"/>
            <w:noWrap/>
            <w:vAlign w:val="bottom"/>
            <w:hideMark/>
          </w:tcPr>
          <w:p w14:paraId="3215D527" w14:textId="77777777" w:rsidR="00BB138C" w:rsidRPr="00EF6679" w:rsidRDefault="00BB138C" w:rsidP="00820288">
            <w:pPr>
              <w:spacing w:line="240" w:lineRule="auto"/>
              <w:rPr>
                <w:rFonts w:ascii="Times New Roman" w:hAnsi="Times New Roman" w:cs="Times New Roman"/>
                <w:color w:val="000000" w:themeColor="text1"/>
                <w:sz w:val="16"/>
                <w:szCs w:val="16"/>
                <w:vertAlign w:val="superscript"/>
              </w:rPr>
            </w:pPr>
            <w:r w:rsidRPr="00EF6679">
              <w:rPr>
                <w:rFonts w:ascii="Times New Roman" w:hAnsi="Times New Roman" w:cs="Times New Roman"/>
                <w:color w:val="000000" w:themeColor="text1"/>
                <w:sz w:val="16"/>
                <w:szCs w:val="16"/>
                <w:vertAlign w:val="superscript"/>
              </w:rPr>
              <w:t xml:space="preserve">a </w:t>
            </w:r>
          </w:p>
        </w:tc>
        <w:tc>
          <w:tcPr>
            <w:tcW w:w="576" w:type="dxa"/>
            <w:noWrap/>
            <w:vAlign w:val="bottom"/>
            <w:hideMark/>
          </w:tcPr>
          <w:p w14:paraId="0A9F157C" w14:textId="77777777" w:rsidR="00BB138C" w:rsidRPr="00EF6679" w:rsidRDefault="00BB138C" w:rsidP="00820288">
            <w:pPr>
              <w:spacing w:line="240" w:lineRule="auto"/>
              <w:jc w:val="right"/>
              <w:rPr>
                <w:rFonts w:ascii="Times New Roman" w:hAnsi="Times New Roman" w:cs="Times New Roman"/>
                <w:color w:val="000000" w:themeColor="text1"/>
                <w:sz w:val="16"/>
                <w:szCs w:val="16"/>
              </w:rPr>
            </w:pPr>
            <w:r w:rsidRPr="00EF6679">
              <w:rPr>
                <w:rFonts w:ascii="Times New Roman" w:hAnsi="Times New Roman" w:cs="Times New Roman"/>
                <w:color w:val="000000" w:themeColor="text1"/>
                <w:sz w:val="16"/>
                <w:szCs w:val="16"/>
              </w:rPr>
              <w:t>51.111</w:t>
            </w:r>
          </w:p>
        </w:tc>
        <w:tc>
          <w:tcPr>
            <w:tcW w:w="576" w:type="dxa"/>
            <w:noWrap/>
            <w:vAlign w:val="bottom"/>
            <w:hideMark/>
          </w:tcPr>
          <w:p w14:paraId="1407E122" w14:textId="77777777" w:rsidR="00BB138C" w:rsidRPr="00EF6679" w:rsidRDefault="00BB138C" w:rsidP="00820288">
            <w:pPr>
              <w:spacing w:line="240" w:lineRule="auto"/>
              <w:rPr>
                <w:rFonts w:ascii="Times New Roman" w:hAnsi="Times New Roman" w:cs="Times New Roman"/>
                <w:color w:val="000000" w:themeColor="text1"/>
                <w:sz w:val="16"/>
                <w:szCs w:val="16"/>
                <w:vertAlign w:val="superscript"/>
              </w:rPr>
            </w:pPr>
            <w:r w:rsidRPr="00EF6679">
              <w:rPr>
                <w:rFonts w:ascii="Times New Roman" w:hAnsi="Times New Roman" w:cs="Times New Roman"/>
                <w:color w:val="000000" w:themeColor="text1"/>
                <w:sz w:val="16"/>
                <w:szCs w:val="16"/>
                <w:vertAlign w:val="superscript"/>
              </w:rPr>
              <w:t xml:space="preserve">ab </w:t>
            </w:r>
          </w:p>
        </w:tc>
        <w:tc>
          <w:tcPr>
            <w:tcW w:w="576" w:type="dxa"/>
            <w:noWrap/>
            <w:vAlign w:val="bottom"/>
            <w:hideMark/>
          </w:tcPr>
          <w:p w14:paraId="0D5499D7" w14:textId="77777777" w:rsidR="00BB138C" w:rsidRPr="00EF6679" w:rsidRDefault="00BB138C" w:rsidP="00820288">
            <w:pPr>
              <w:spacing w:line="240" w:lineRule="auto"/>
              <w:jc w:val="right"/>
              <w:rPr>
                <w:rFonts w:ascii="Times New Roman" w:hAnsi="Times New Roman" w:cs="Times New Roman"/>
                <w:color w:val="000000" w:themeColor="text1"/>
                <w:sz w:val="16"/>
                <w:szCs w:val="16"/>
              </w:rPr>
            </w:pPr>
            <w:r w:rsidRPr="00EF6679">
              <w:rPr>
                <w:rFonts w:ascii="Times New Roman" w:hAnsi="Times New Roman" w:cs="Times New Roman"/>
                <w:color w:val="000000" w:themeColor="text1"/>
                <w:sz w:val="16"/>
                <w:szCs w:val="16"/>
              </w:rPr>
              <w:t>37.550</w:t>
            </w:r>
          </w:p>
        </w:tc>
        <w:tc>
          <w:tcPr>
            <w:tcW w:w="576" w:type="dxa"/>
            <w:noWrap/>
            <w:vAlign w:val="bottom"/>
            <w:hideMark/>
          </w:tcPr>
          <w:p w14:paraId="019E8156" w14:textId="77777777" w:rsidR="00BB138C" w:rsidRPr="00EF6679" w:rsidRDefault="00BB138C" w:rsidP="00820288">
            <w:pPr>
              <w:spacing w:line="240" w:lineRule="auto"/>
              <w:rPr>
                <w:rFonts w:ascii="Times New Roman" w:hAnsi="Times New Roman" w:cs="Times New Roman"/>
                <w:color w:val="000000" w:themeColor="text1"/>
                <w:sz w:val="16"/>
                <w:szCs w:val="16"/>
                <w:vertAlign w:val="superscript"/>
              </w:rPr>
            </w:pPr>
            <w:r w:rsidRPr="00EF6679">
              <w:rPr>
                <w:rFonts w:ascii="Times New Roman" w:hAnsi="Times New Roman" w:cs="Times New Roman"/>
                <w:color w:val="000000" w:themeColor="text1"/>
                <w:sz w:val="16"/>
                <w:szCs w:val="16"/>
                <w:vertAlign w:val="superscript"/>
              </w:rPr>
              <w:t xml:space="preserve">ab </w:t>
            </w:r>
          </w:p>
        </w:tc>
        <w:tc>
          <w:tcPr>
            <w:tcW w:w="576" w:type="dxa"/>
            <w:noWrap/>
            <w:vAlign w:val="bottom"/>
            <w:hideMark/>
          </w:tcPr>
          <w:p w14:paraId="38D46482" w14:textId="77777777" w:rsidR="00BB138C" w:rsidRPr="00EF6679" w:rsidRDefault="00BB138C" w:rsidP="00820288">
            <w:pPr>
              <w:spacing w:line="240" w:lineRule="auto"/>
              <w:jc w:val="right"/>
              <w:rPr>
                <w:rFonts w:ascii="Times New Roman" w:hAnsi="Times New Roman" w:cs="Times New Roman"/>
                <w:color w:val="000000" w:themeColor="text1"/>
                <w:sz w:val="16"/>
                <w:szCs w:val="16"/>
              </w:rPr>
            </w:pPr>
            <w:r w:rsidRPr="00EF6679">
              <w:rPr>
                <w:rFonts w:ascii="Times New Roman" w:hAnsi="Times New Roman" w:cs="Times New Roman"/>
                <w:color w:val="000000" w:themeColor="text1"/>
                <w:sz w:val="16"/>
                <w:szCs w:val="16"/>
              </w:rPr>
              <w:t>33.225</w:t>
            </w:r>
          </w:p>
        </w:tc>
        <w:tc>
          <w:tcPr>
            <w:tcW w:w="576" w:type="dxa"/>
            <w:noWrap/>
            <w:vAlign w:val="bottom"/>
            <w:hideMark/>
          </w:tcPr>
          <w:p w14:paraId="4720A5C5" w14:textId="77777777" w:rsidR="00BB138C" w:rsidRPr="00EF6679" w:rsidRDefault="00BB138C" w:rsidP="00820288">
            <w:pPr>
              <w:spacing w:line="240" w:lineRule="auto"/>
              <w:rPr>
                <w:rFonts w:ascii="Times New Roman" w:hAnsi="Times New Roman" w:cs="Times New Roman"/>
                <w:color w:val="000000" w:themeColor="text1"/>
                <w:sz w:val="16"/>
                <w:szCs w:val="16"/>
                <w:vertAlign w:val="superscript"/>
              </w:rPr>
            </w:pPr>
            <w:r w:rsidRPr="00EF6679">
              <w:rPr>
                <w:rFonts w:ascii="Times New Roman" w:hAnsi="Times New Roman" w:cs="Times New Roman"/>
                <w:color w:val="000000" w:themeColor="text1"/>
                <w:sz w:val="16"/>
                <w:szCs w:val="16"/>
                <w:vertAlign w:val="superscript"/>
              </w:rPr>
              <w:t xml:space="preserve">a </w:t>
            </w:r>
          </w:p>
        </w:tc>
      </w:tr>
      <w:tr w:rsidR="00BB138C" w:rsidRPr="00EF6679" w14:paraId="43A2C810" w14:textId="77777777" w:rsidTr="00820288">
        <w:trPr>
          <w:trHeight w:val="173"/>
        </w:trPr>
        <w:tc>
          <w:tcPr>
            <w:tcW w:w="2880" w:type="dxa"/>
            <w:noWrap/>
            <w:vAlign w:val="bottom"/>
            <w:hideMark/>
          </w:tcPr>
          <w:p w14:paraId="5197713F" w14:textId="77777777" w:rsidR="00BB138C" w:rsidRPr="00EF6679" w:rsidRDefault="00BB138C" w:rsidP="00820288">
            <w:pPr>
              <w:spacing w:line="240" w:lineRule="auto"/>
              <w:rPr>
                <w:rFonts w:ascii="Times New Roman" w:hAnsi="Times New Roman" w:cs="Times New Roman"/>
                <w:color w:val="000000" w:themeColor="text1"/>
                <w:sz w:val="16"/>
                <w:szCs w:val="16"/>
              </w:rPr>
            </w:pPr>
            <w:r w:rsidRPr="00EF6679">
              <w:rPr>
                <w:rFonts w:ascii="Times New Roman" w:hAnsi="Times New Roman" w:cs="Times New Roman"/>
                <w:color w:val="000000" w:themeColor="text1"/>
                <w:sz w:val="16"/>
                <w:szCs w:val="16"/>
              </w:rPr>
              <w:t>1,3,6-Octatriene, 3,7-dimethy-, (E)</w:t>
            </w:r>
          </w:p>
        </w:tc>
        <w:tc>
          <w:tcPr>
            <w:tcW w:w="576" w:type="dxa"/>
            <w:noWrap/>
            <w:vAlign w:val="bottom"/>
            <w:hideMark/>
          </w:tcPr>
          <w:p w14:paraId="39E05148" w14:textId="77777777" w:rsidR="00BB138C" w:rsidRPr="00EF6679" w:rsidRDefault="00BB138C" w:rsidP="00820288">
            <w:pPr>
              <w:spacing w:line="240" w:lineRule="auto"/>
              <w:jc w:val="right"/>
              <w:rPr>
                <w:rFonts w:ascii="Times New Roman" w:hAnsi="Times New Roman" w:cs="Times New Roman"/>
                <w:color w:val="000000" w:themeColor="text1"/>
                <w:sz w:val="16"/>
                <w:szCs w:val="16"/>
              </w:rPr>
            </w:pPr>
            <w:r w:rsidRPr="00EF6679">
              <w:rPr>
                <w:rFonts w:ascii="Times New Roman" w:hAnsi="Times New Roman" w:cs="Times New Roman"/>
                <w:color w:val="000000" w:themeColor="text1"/>
                <w:sz w:val="16"/>
                <w:szCs w:val="16"/>
              </w:rPr>
              <w:t>329.100</w:t>
            </w:r>
          </w:p>
        </w:tc>
        <w:tc>
          <w:tcPr>
            <w:tcW w:w="576" w:type="dxa"/>
            <w:noWrap/>
            <w:vAlign w:val="bottom"/>
            <w:hideMark/>
          </w:tcPr>
          <w:p w14:paraId="6D9B175D" w14:textId="77777777" w:rsidR="00BB138C" w:rsidRPr="00EF6679" w:rsidRDefault="00BB138C" w:rsidP="00820288">
            <w:pPr>
              <w:spacing w:line="240" w:lineRule="auto"/>
              <w:rPr>
                <w:rFonts w:ascii="Times New Roman" w:hAnsi="Times New Roman" w:cs="Times New Roman"/>
                <w:color w:val="000000" w:themeColor="text1"/>
                <w:sz w:val="16"/>
                <w:szCs w:val="16"/>
                <w:vertAlign w:val="superscript"/>
              </w:rPr>
            </w:pPr>
            <w:r w:rsidRPr="00EF6679">
              <w:rPr>
                <w:rFonts w:ascii="Times New Roman" w:hAnsi="Times New Roman" w:cs="Times New Roman"/>
                <w:color w:val="000000" w:themeColor="text1"/>
                <w:sz w:val="16"/>
                <w:szCs w:val="16"/>
                <w:vertAlign w:val="superscript"/>
              </w:rPr>
              <w:t xml:space="preserve">a </w:t>
            </w:r>
          </w:p>
        </w:tc>
        <w:tc>
          <w:tcPr>
            <w:tcW w:w="576" w:type="dxa"/>
            <w:noWrap/>
            <w:vAlign w:val="bottom"/>
            <w:hideMark/>
          </w:tcPr>
          <w:p w14:paraId="71DC2D50" w14:textId="77777777" w:rsidR="00BB138C" w:rsidRPr="00EF6679" w:rsidRDefault="00BB138C" w:rsidP="00820288">
            <w:pPr>
              <w:spacing w:line="240" w:lineRule="auto"/>
              <w:jc w:val="right"/>
              <w:rPr>
                <w:rFonts w:ascii="Times New Roman" w:hAnsi="Times New Roman" w:cs="Times New Roman"/>
                <w:color w:val="000000" w:themeColor="text1"/>
                <w:sz w:val="16"/>
                <w:szCs w:val="16"/>
              </w:rPr>
            </w:pPr>
            <w:r w:rsidRPr="00EF6679">
              <w:rPr>
                <w:rFonts w:ascii="Times New Roman" w:hAnsi="Times New Roman" w:cs="Times New Roman"/>
                <w:color w:val="000000" w:themeColor="text1"/>
                <w:sz w:val="16"/>
                <w:szCs w:val="16"/>
              </w:rPr>
              <w:t>253.450</w:t>
            </w:r>
          </w:p>
        </w:tc>
        <w:tc>
          <w:tcPr>
            <w:tcW w:w="576" w:type="dxa"/>
            <w:noWrap/>
            <w:vAlign w:val="bottom"/>
            <w:hideMark/>
          </w:tcPr>
          <w:p w14:paraId="26C350DF" w14:textId="77777777" w:rsidR="00BB138C" w:rsidRPr="00EF6679" w:rsidRDefault="00BB138C" w:rsidP="00820288">
            <w:pPr>
              <w:spacing w:line="240" w:lineRule="auto"/>
              <w:rPr>
                <w:rFonts w:ascii="Times New Roman" w:hAnsi="Times New Roman" w:cs="Times New Roman"/>
                <w:color w:val="000000" w:themeColor="text1"/>
                <w:sz w:val="16"/>
                <w:szCs w:val="16"/>
                <w:vertAlign w:val="superscript"/>
              </w:rPr>
            </w:pPr>
            <w:r w:rsidRPr="00EF6679">
              <w:rPr>
                <w:rFonts w:ascii="Times New Roman" w:hAnsi="Times New Roman" w:cs="Times New Roman"/>
                <w:color w:val="000000" w:themeColor="text1"/>
                <w:sz w:val="16"/>
                <w:szCs w:val="16"/>
                <w:vertAlign w:val="superscript"/>
              </w:rPr>
              <w:t xml:space="preserve">ab </w:t>
            </w:r>
          </w:p>
        </w:tc>
        <w:tc>
          <w:tcPr>
            <w:tcW w:w="576" w:type="dxa"/>
            <w:noWrap/>
            <w:vAlign w:val="bottom"/>
            <w:hideMark/>
          </w:tcPr>
          <w:p w14:paraId="2E0249C3" w14:textId="77777777" w:rsidR="00BB138C" w:rsidRPr="00EF6679" w:rsidRDefault="00BB138C" w:rsidP="00820288">
            <w:pPr>
              <w:spacing w:line="240" w:lineRule="auto"/>
              <w:jc w:val="right"/>
              <w:rPr>
                <w:rFonts w:ascii="Times New Roman" w:hAnsi="Times New Roman" w:cs="Times New Roman"/>
                <w:color w:val="000000" w:themeColor="text1"/>
                <w:sz w:val="16"/>
                <w:szCs w:val="16"/>
              </w:rPr>
            </w:pPr>
            <w:r w:rsidRPr="00EF6679">
              <w:rPr>
                <w:rFonts w:ascii="Times New Roman" w:hAnsi="Times New Roman" w:cs="Times New Roman"/>
                <w:color w:val="000000" w:themeColor="text1"/>
                <w:sz w:val="16"/>
                <w:szCs w:val="16"/>
              </w:rPr>
              <w:t>190.860</w:t>
            </w:r>
          </w:p>
        </w:tc>
        <w:tc>
          <w:tcPr>
            <w:tcW w:w="576" w:type="dxa"/>
            <w:noWrap/>
            <w:vAlign w:val="bottom"/>
            <w:hideMark/>
          </w:tcPr>
          <w:p w14:paraId="28D49402" w14:textId="77777777" w:rsidR="00BB138C" w:rsidRPr="00EF6679" w:rsidRDefault="00BB138C" w:rsidP="00820288">
            <w:pPr>
              <w:spacing w:line="240" w:lineRule="auto"/>
              <w:rPr>
                <w:rFonts w:ascii="Times New Roman" w:hAnsi="Times New Roman" w:cs="Times New Roman"/>
                <w:color w:val="000000" w:themeColor="text1"/>
                <w:sz w:val="16"/>
                <w:szCs w:val="16"/>
                <w:vertAlign w:val="superscript"/>
              </w:rPr>
            </w:pPr>
            <w:r w:rsidRPr="00EF6679">
              <w:rPr>
                <w:rFonts w:ascii="Times New Roman" w:hAnsi="Times New Roman" w:cs="Times New Roman"/>
                <w:color w:val="000000" w:themeColor="text1"/>
                <w:sz w:val="16"/>
                <w:szCs w:val="16"/>
                <w:vertAlign w:val="superscript"/>
              </w:rPr>
              <w:t xml:space="preserve">ab </w:t>
            </w:r>
          </w:p>
        </w:tc>
        <w:tc>
          <w:tcPr>
            <w:tcW w:w="576" w:type="dxa"/>
            <w:noWrap/>
            <w:vAlign w:val="bottom"/>
            <w:hideMark/>
          </w:tcPr>
          <w:p w14:paraId="7E3EE637" w14:textId="77777777" w:rsidR="00BB138C" w:rsidRPr="00EF6679" w:rsidRDefault="00BB138C" w:rsidP="00820288">
            <w:pPr>
              <w:spacing w:line="240" w:lineRule="auto"/>
              <w:jc w:val="right"/>
              <w:rPr>
                <w:rFonts w:ascii="Times New Roman" w:hAnsi="Times New Roman" w:cs="Times New Roman"/>
                <w:color w:val="000000" w:themeColor="text1"/>
                <w:sz w:val="16"/>
                <w:szCs w:val="16"/>
              </w:rPr>
            </w:pPr>
            <w:r w:rsidRPr="00EF6679">
              <w:rPr>
                <w:rFonts w:ascii="Times New Roman" w:hAnsi="Times New Roman" w:cs="Times New Roman"/>
                <w:color w:val="000000" w:themeColor="text1"/>
                <w:sz w:val="16"/>
                <w:szCs w:val="16"/>
              </w:rPr>
              <w:t>154.660</w:t>
            </w:r>
          </w:p>
        </w:tc>
        <w:tc>
          <w:tcPr>
            <w:tcW w:w="576" w:type="dxa"/>
            <w:noWrap/>
            <w:vAlign w:val="bottom"/>
            <w:hideMark/>
          </w:tcPr>
          <w:p w14:paraId="4E12D5D9" w14:textId="77777777" w:rsidR="00BB138C" w:rsidRPr="00EF6679" w:rsidRDefault="00BB138C" w:rsidP="00820288">
            <w:pPr>
              <w:spacing w:line="240" w:lineRule="auto"/>
              <w:rPr>
                <w:rFonts w:ascii="Times New Roman" w:hAnsi="Times New Roman" w:cs="Times New Roman"/>
                <w:color w:val="000000" w:themeColor="text1"/>
                <w:sz w:val="16"/>
                <w:szCs w:val="16"/>
                <w:vertAlign w:val="superscript"/>
              </w:rPr>
            </w:pPr>
            <w:r w:rsidRPr="00EF6679">
              <w:rPr>
                <w:rFonts w:ascii="Times New Roman" w:hAnsi="Times New Roman" w:cs="Times New Roman"/>
                <w:color w:val="000000" w:themeColor="text1"/>
                <w:sz w:val="16"/>
                <w:szCs w:val="16"/>
                <w:vertAlign w:val="superscript"/>
              </w:rPr>
              <w:t xml:space="preserve">b </w:t>
            </w:r>
          </w:p>
        </w:tc>
      </w:tr>
      <w:tr w:rsidR="00BB138C" w:rsidRPr="00EF6679" w14:paraId="7EEB1D11" w14:textId="77777777" w:rsidTr="00820288">
        <w:trPr>
          <w:trHeight w:val="173"/>
        </w:trPr>
        <w:tc>
          <w:tcPr>
            <w:tcW w:w="2880" w:type="dxa"/>
            <w:noWrap/>
            <w:vAlign w:val="bottom"/>
            <w:hideMark/>
          </w:tcPr>
          <w:p w14:paraId="56E1ECAC" w14:textId="77777777" w:rsidR="00BB138C" w:rsidRPr="00EF6679" w:rsidRDefault="00BB138C" w:rsidP="00820288">
            <w:pPr>
              <w:spacing w:line="240" w:lineRule="auto"/>
              <w:rPr>
                <w:rFonts w:ascii="Times New Roman" w:hAnsi="Times New Roman" w:cs="Times New Roman"/>
                <w:color w:val="000000" w:themeColor="text1"/>
                <w:sz w:val="16"/>
                <w:szCs w:val="16"/>
              </w:rPr>
            </w:pPr>
            <w:r w:rsidRPr="00EF6679">
              <w:rPr>
                <w:rFonts w:ascii="Times New Roman" w:hAnsi="Times New Roman" w:cs="Times New Roman"/>
                <w:color w:val="000000" w:themeColor="text1"/>
                <w:sz w:val="16"/>
                <w:szCs w:val="16"/>
              </w:rPr>
              <w:t xml:space="preserve">(S)-Limonene             </w:t>
            </w:r>
          </w:p>
        </w:tc>
        <w:tc>
          <w:tcPr>
            <w:tcW w:w="576" w:type="dxa"/>
            <w:noWrap/>
            <w:vAlign w:val="bottom"/>
            <w:hideMark/>
          </w:tcPr>
          <w:p w14:paraId="34415AAD" w14:textId="77777777" w:rsidR="00BB138C" w:rsidRPr="00EF6679" w:rsidRDefault="00BB138C" w:rsidP="00820288">
            <w:pPr>
              <w:spacing w:line="240" w:lineRule="auto"/>
              <w:jc w:val="right"/>
              <w:rPr>
                <w:rFonts w:ascii="Times New Roman" w:hAnsi="Times New Roman" w:cs="Times New Roman"/>
                <w:color w:val="000000" w:themeColor="text1"/>
                <w:sz w:val="16"/>
                <w:szCs w:val="16"/>
              </w:rPr>
            </w:pPr>
            <w:r w:rsidRPr="00EF6679">
              <w:rPr>
                <w:rFonts w:ascii="Times New Roman" w:hAnsi="Times New Roman" w:cs="Times New Roman"/>
                <w:color w:val="000000" w:themeColor="text1"/>
                <w:sz w:val="16"/>
                <w:szCs w:val="16"/>
              </w:rPr>
              <w:t>39.572</w:t>
            </w:r>
          </w:p>
        </w:tc>
        <w:tc>
          <w:tcPr>
            <w:tcW w:w="576" w:type="dxa"/>
            <w:noWrap/>
            <w:vAlign w:val="bottom"/>
            <w:hideMark/>
          </w:tcPr>
          <w:p w14:paraId="4A4070AB" w14:textId="77777777" w:rsidR="00BB138C" w:rsidRPr="00EF6679" w:rsidRDefault="00BB138C" w:rsidP="00820288">
            <w:pPr>
              <w:spacing w:line="240" w:lineRule="auto"/>
              <w:rPr>
                <w:rFonts w:ascii="Times New Roman" w:hAnsi="Times New Roman" w:cs="Times New Roman"/>
                <w:color w:val="000000" w:themeColor="text1"/>
                <w:sz w:val="16"/>
                <w:szCs w:val="16"/>
                <w:vertAlign w:val="superscript"/>
              </w:rPr>
            </w:pPr>
            <w:r w:rsidRPr="00EF6679">
              <w:rPr>
                <w:rFonts w:ascii="Times New Roman" w:hAnsi="Times New Roman" w:cs="Times New Roman"/>
                <w:color w:val="000000" w:themeColor="text1"/>
                <w:sz w:val="16"/>
                <w:szCs w:val="16"/>
                <w:vertAlign w:val="superscript"/>
              </w:rPr>
              <w:t xml:space="preserve">a </w:t>
            </w:r>
          </w:p>
        </w:tc>
        <w:tc>
          <w:tcPr>
            <w:tcW w:w="576" w:type="dxa"/>
            <w:noWrap/>
            <w:vAlign w:val="bottom"/>
            <w:hideMark/>
          </w:tcPr>
          <w:p w14:paraId="252F3773" w14:textId="77777777" w:rsidR="00BB138C" w:rsidRPr="00EF6679" w:rsidRDefault="00BB138C" w:rsidP="00820288">
            <w:pPr>
              <w:spacing w:line="240" w:lineRule="auto"/>
              <w:jc w:val="right"/>
              <w:rPr>
                <w:rFonts w:ascii="Times New Roman" w:hAnsi="Times New Roman" w:cs="Times New Roman"/>
                <w:color w:val="000000" w:themeColor="text1"/>
                <w:sz w:val="16"/>
                <w:szCs w:val="16"/>
              </w:rPr>
            </w:pPr>
            <w:r w:rsidRPr="00EF6679">
              <w:rPr>
                <w:rFonts w:ascii="Times New Roman" w:hAnsi="Times New Roman" w:cs="Times New Roman"/>
                <w:color w:val="000000" w:themeColor="text1"/>
                <w:sz w:val="16"/>
                <w:szCs w:val="16"/>
              </w:rPr>
              <w:t>30.185</w:t>
            </w:r>
          </w:p>
        </w:tc>
        <w:tc>
          <w:tcPr>
            <w:tcW w:w="576" w:type="dxa"/>
            <w:noWrap/>
            <w:vAlign w:val="bottom"/>
            <w:hideMark/>
          </w:tcPr>
          <w:p w14:paraId="1F6EFCC3" w14:textId="77777777" w:rsidR="00BB138C" w:rsidRPr="00EF6679" w:rsidRDefault="00BB138C" w:rsidP="00820288">
            <w:pPr>
              <w:spacing w:line="240" w:lineRule="auto"/>
              <w:rPr>
                <w:rFonts w:ascii="Times New Roman" w:hAnsi="Times New Roman" w:cs="Times New Roman"/>
                <w:color w:val="000000" w:themeColor="text1"/>
                <w:sz w:val="16"/>
                <w:szCs w:val="16"/>
                <w:vertAlign w:val="superscript"/>
              </w:rPr>
            </w:pPr>
            <w:r w:rsidRPr="00EF6679">
              <w:rPr>
                <w:rFonts w:ascii="Times New Roman" w:hAnsi="Times New Roman" w:cs="Times New Roman"/>
                <w:color w:val="000000" w:themeColor="text1"/>
                <w:sz w:val="16"/>
                <w:szCs w:val="16"/>
                <w:vertAlign w:val="superscript"/>
              </w:rPr>
              <w:t xml:space="preserve">ab </w:t>
            </w:r>
          </w:p>
        </w:tc>
        <w:tc>
          <w:tcPr>
            <w:tcW w:w="576" w:type="dxa"/>
            <w:noWrap/>
            <w:vAlign w:val="bottom"/>
            <w:hideMark/>
          </w:tcPr>
          <w:p w14:paraId="7FE39157" w14:textId="77777777" w:rsidR="00BB138C" w:rsidRPr="00EF6679" w:rsidRDefault="00BB138C" w:rsidP="00820288">
            <w:pPr>
              <w:spacing w:line="240" w:lineRule="auto"/>
              <w:jc w:val="right"/>
              <w:rPr>
                <w:rFonts w:ascii="Times New Roman" w:hAnsi="Times New Roman" w:cs="Times New Roman"/>
                <w:color w:val="000000" w:themeColor="text1"/>
                <w:sz w:val="16"/>
                <w:szCs w:val="16"/>
              </w:rPr>
            </w:pPr>
            <w:r w:rsidRPr="00EF6679">
              <w:rPr>
                <w:rFonts w:ascii="Times New Roman" w:hAnsi="Times New Roman" w:cs="Times New Roman"/>
                <w:color w:val="000000" w:themeColor="text1"/>
                <w:sz w:val="16"/>
                <w:szCs w:val="16"/>
              </w:rPr>
              <w:t>23.199</w:t>
            </w:r>
          </w:p>
        </w:tc>
        <w:tc>
          <w:tcPr>
            <w:tcW w:w="576" w:type="dxa"/>
            <w:noWrap/>
            <w:vAlign w:val="bottom"/>
            <w:hideMark/>
          </w:tcPr>
          <w:p w14:paraId="584BA1E7" w14:textId="77777777" w:rsidR="00BB138C" w:rsidRPr="00EF6679" w:rsidRDefault="00BB138C" w:rsidP="00820288">
            <w:pPr>
              <w:spacing w:line="240" w:lineRule="auto"/>
              <w:rPr>
                <w:rFonts w:ascii="Times New Roman" w:hAnsi="Times New Roman" w:cs="Times New Roman"/>
                <w:color w:val="000000" w:themeColor="text1"/>
                <w:sz w:val="16"/>
                <w:szCs w:val="16"/>
                <w:vertAlign w:val="superscript"/>
              </w:rPr>
            </w:pPr>
            <w:r w:rsidRPr="00EF6679">
              <w:rPr>
                <w:rFonts w:ascii="Times New Roman" w:hAnsi="Times New Roman" w:cs="Times New Roman"/>
                <w:color w:val="000000" w:themeColor="text1"/>
                <w:sz w:val="16"/>
                <w:szCs w:val="16"/>
                <w:vertAlign w:val="superscript"/>
              </w:rPr>
              <w:t xml:space="preserve">ab </w:t>
            </w:r>
          </w:p>
        </w:tc>
        <w:tc>
          <w:tcPr>
            <w:tcW w:w="576" w:type="dxa"/>
            <w:noWrap/>
            <w:vAlign w:val="bottom"/>
            <w:hideMark/>
          </w:tcPr>
          <w:p w14:paraId="688EF8F3" w14:textId="77777777" w:rsidR="00BB138C" w:rsidRPr="00EF6679" w:rsidRDefault="00BB138C" w:rsidP="00820288">
            <w:pPr>
              <w:spacing w:line="240" w:lineRule="auto"/>
              <w:jc w:val="right"/>
              <w:rPr>
                <w:rFonts w:ascii="Times New Roman" w:hAnsi="Times New Roman" w:cs="Times New Roman"/>
                <w:color w:val="000000" w:themeColor="text1"/>
                <w:sz w:val="16"/>
                <w:szCs w:val="16"/>
              </w:rPr>
            </w:pPr>
            <w:r w:rsidRPr="00EF6679">
              <w:rPr>
                <w:rFonts w:ascii="Times New Roman" w:hAnsi="Times New Roman" w:cs="Times New Roman"/>
                <w:color w:val="000000" w:themeColor="text1"/>
                <w:sz w:val="16"/>
                <w:szCs w:val="16"/>
              </w:rPr>
              <w:t>18.690</w:t>
            </w:r>
          </w:p>
        </w:tc>
        <w:tc>
          <w:tcPr>
            <w:tcW w:w="576" w:type="dxa"/>
            <w:noWrap/>
            <w:vAlign w:val="bottom"/>
            <w:hideMark/>
          </w:tcPr>
          <w:p w14:paraId="4FF180E8" w14:textId="77777777" w:rsidR="00BB138C" w:rsidRPr="00EF6679" w:rsidRDefault="00BB138C" w:rsidP="00820288">
            <w:pPr>
              <w:spacing w:line="240" w:lineRule="auto"/>
              <w:rPr>
                <w:rFonts w:ascii="Times New Roman" w:hAnsi="Times New Roman" w:cs="Times New Roman"/>
                <w:color w:val="000000" w:themeColor="text1"/>
                <w:sz w:val="16"/>
                <w:szCs w:val="16"/>
                <w:vertAlign w:val="superscript"/>
              </w:rPr>
            </w:pPr>
            <w:r w:rsidRPr="00EF6679">
              <w:rPr>
                <w:rFonts w:ascii="Times New Roman" w:hAnsi="Times New Roman" w:cs="Times New Roman"/>
                <w:color w:val="000000" w:themeColor="text1"/>
                <w:sz w:val="16"/>
                <w:szCs w:val="16"/>
                <w:vertAlign w:val="superscript"/>
              </w:rPr>
              <w:t xml:space="preserve">a </w:t>
            </w:r>
          </w:p>
        </w:tc>
      </w:tr>
      <w:tr w:rsidR="00BB138C" w:rsidRPr="00EF6679" w14:paraId="7F433476" w14:textId="77777777" w:rsidTr="00820288">
        <w:trPr>
          <w:trHeight w:val="173"/>
        </w:trPr>
        <w:tc>
          <w:tcPr>
            <w:tcW w:w="2880" w:type="dxa"/>
            <w:noWrap/>
            <w:vAlign w:val="bottom"/>
            <w:hideMark/>
          </w:tcPr>
          <w:p w14:paraId="1CC71EBF" w14:textId="77777777" w:rsidR="00BB138C" w:rsidRPr="00EF6679" w:rsidRDefault="00BB138C" w:rsidP="00820288">
            <w:pPr>
              <w:spacing w:line="240" w:lineRule="auto"/>
              <w:rPr>
                <w:rFonts w:ascii="Times New Roman" w:hAnsi="Times New Roman" w:cs="Times New Roman"/>
                <w:color w:val="000000" w:themeColor="text1"/>
                <w:sz w:val="16"/>
                <w:szCs w:val="16"/>
              </w:rPr>
            </w:pPr>
            <w:r w:rsidRPr="00EF6679">
              <w:rPr>
                <w:rFonts w:ascii="Times New Roman" w:hAnsi="Times New Roman" w:cs="Times New Roman"/>
                <w:color w:val="000000" w:themeColor="text1"/>
                <w:sz w:val="16"/>
                <w:szCs w:val="16"/>
              </w:rPr>
              <w:t xml:space="preserve">Eucalyptol               </w:t>
            </w:r>
          </w:p>
        </w:tc>
        <w:tc>
          <w:tcPr>
            <w:tcW w:w="576" w:type="dxa"/>
            <w:noWrap/>
            <w:vAlign w:val="bottom"/>
            <w:hideMark/>
          </w:tcPr>
          <w:p w14:paraId="1DF34BBF" w14:textId="77777777" w:rsidR="00BB138C" w:rsidRPr="00EF6679" w:rsidRDefault="00BB138C" w:rsidP="00820288">
            <w:pPr>
              <w:spacing w:line="240" w:lineRule="auto"/>
              <w:jc w:val="right"/>
              <w:rPr>
                <w:rFonts w:ascii="Times New Roman" w:hAnsi="Times New Roman" w:cs="Times New Roman"/>
                <w:color w:val="000000" w:themeColor="text1"/>
                <w:sz w:val="16"/>
                <w:szCs w:val="16"/>
              </w:rPr>
            </w:pPr>
            <w:r w:rsidRPr="00EF6679">
              <w:rPr>
                <w:rFonts w:ascii="Times New Roman" w:hAnsi="Times New Roman" w:cs="Times New Roman"/>
                <w:color w:val="000000" w:themeColor="text1"/>
                <w:sz w:val="16"/>
                <w:szCs w:val="16"/>
              </w:rPr>
              <w:t>1.682</w:t>
            </w:r>
          </w:p>
        </w:tc>
        <w:tc>
          <w:tcPr>
            <w:tcW w:w="576" w:type="dxa"/>
            <w:noWrap/>
            <w:vAlign w:val="bottom"/>
            <w:hideMark/>
          </w:tcPr>
          <w:p w14:paraId="19ADA75F" w14:textId="77777777" w:rsidR="00BB138C" w:rsidRPr="00EF6679" w:rsidRDefault="00BB138C" w:rsidP="00820288">
            <w:pPr>
              <w:spacing w:line="240" w:lineRule="auto"/>
              <w:rPr>
                <w:rFonts w:ascii="Times New Roman" w:hAnsi="Times New Roman" w:cs="Times New Roman"/>
                <w:color w:val="000000" w:themeColor="text1"/>
                <w:sz w:val="16"/>
                <w:szCs w:val="16"/>
                <w:vertAlign w:val="superscript"/>
              </w:rPr>
            </w:pPr>
            <w:r w:rsidRPr="00EF6679">
              <w:rPr>
                <w:rFonts w:ascii="Times New Roman" w:hAnsi="Times New Roman" w:cs="Times New Roman"/>
                <w:color w:val="000000" w:themeColor="text1"/>
                <w:sz w:val="16"/>
                <w:szCs w:val="16"/>
                <w:vertAlign w:val="superscript"/>
              </w:rPr>
              <w:t xml:space="preserve">a </w:t>
            </w:r>
          </w:p>
        </w:tc>
        <w:tc>
          <w:tcPr>
            <w:tcW w:w="576" w:type="dxa"/>
            <w:noWrap/>
            <w:vAlign w:val="bottom"/>
            <w:hideMark/>
          </w:tcPr>
          <w:p w14:paraId="35FA97D7" w14:textId="77777777" w:rsidR="00BB138C" w:rsidRPr="00EF6679" w:rsidRDefault="00BB138C" w:rsidP="00820288">
            <w:pPr>
              <w:spacing w:line="240" w:lineRule="auto"/>
              <w:jc w:val="right"/>
              <w:rPr>
                <w:rFonts w:ascii="Times New Roman" w:hAnsi="Times New Roman" w:cs="Times New Roman"/>
                <w:color w:val="000000" w:themeColor="text1"/>
                <w:sz w:val="16"/>
                <w:szCs w:val="16"/>
              </w:rPr>
            </w:pPr>
            <w:r w:rsidRPr="00EF6679">
              <w:rPr>
                <w:rFonts w:ascii="Times New Roman" w:hAnsi="Times New Roman" w:cs="Times New Roman"/>
                <w:color w:val="000000" w:themeColor="text1"/>
                <w:sz w:val="16"/>
                <w:szCs w:val="16"/>
              </w:rPr>
              <w:t>1.295</w:t>
            </w:r>
          </w:p>
        </w:tc>
        <w:tc>
          <w:tcPr>
            <w:tcW w:w="576" w:type="dxa"/>
            <w:noWrap/>
            <w:vAlign w:val="bottom"/>
            <w:hideMark/>
          </w:tcPr>
          <w:p w14:paraId="699FF303" w14:textId="77777777" w:rsidR="00BB138C" w:rsidRPr="00EF6679" w:rsidRDefault="00BB138C" w:rsidP="00820288">
            <w:pPr>
              <w:spacing w:line="240" w:lineRule="auto"/>
              <w:rPr>
                <w:rFonts w:ascii="Times New Roman" w:hAnsi="Times New Roman" w:cs="Times New Roman"/>
                <w:color w:val="000000" w:themeColor="text1"/>
                <w:sz w:val="16"/>
                <w:szCs w:val="16"/>
                <w:vertAlign w:val="superscript"/>
              </w:rPr>
            </w:pPr>
            <w:r w:rsidRPr="00EF6679">
              <w:rPr>
                <w:rFonts w:ascii="Times New Roman" w:hAnsi="Times New Roman" w:cs="Times New Roman"/>
                <w:color w:val="000000" w:themeColor="text1"/>
                <w:sz w:val="16"/>
                <w:szCs w:val="16"/>
                <w:vertAlign w:val="superscript"/>
              </w:rPr>
              <w:t xml:space="preserve">ab </w:t>
            </w:r>
          </w:p>
        </w:tc>
        <w:tc>
          <w:tcPr>
            <w:tcW w:w="576" w:type="dxa"/>
            <w:noWrap/>
            <w:vAlign w:val="bottom"/>
            <w:hideMark/>
          </w:tcPr>
          <w:p w14:paraId="383AA71C" w14:textId="77777777" w:rsidR="00BB138C" w:rsidRPr="00EF6679" w:rsidRDefault="00BB138C" w:rsidP="00820288">
            <w:pPr>
              <w:spacing w:line="240" w:lineRule="auto"/>
              <w:jc w:val="right"/>
              <w:rPr>
                <w:rFonts w:ascii="Times New Roman" w:hAnsi="Times New Roman" w:cs="Times New Roman"/>
                <w:color w:val="000000" w:themeColor="text1"/>
                <w:sz w:val="16"/>
                <w:szCs w:val="16"/>
              </w:rPr>
            </w:pPr>
            <w:r w:rsidRPr="00EF6679">
              <w:rPr>
                <w:rFonts w:ascii="Times New Roman" w:hAnsi="Times New Roman" w:cs="Times New Roman"/>
                <w:color w:val="000000" w:themeColor="text1"/>
                <w:sz w:val="16"/>
                <w:szCs w:val="16"/>
              </w:rPr>
              <w:t>0.974</w:t>
            </w:r>
          </w:p>
        </w:tc>
        <w:tc>
          <w:tcPr>
            <w:tcW w:w="576" w:type="dxa"/>
            <w:noWrap/>
            <w:vAlign w:val="bottom"/>
            <w:hideMark/>
          </w:tcPr>
          <w:p w14:paraId="3D29C207" w14:textId="77777777" w:rsidR="00BB138C" w:rsidRPr="00EF6679" w:rsidRDefault="00BB138C" w:rsidP="00820288">
            <w:pPr>
              <w:spacing w:line="240" w:lineRule="auto"/>
              <w:rPr>
                <w:rFonts w:ascii="Times New Roman" w:hAnsi="Times New Roman" w:cs="Times New Roman"/>
                <w:color w:val="000000" w:themeColor="text1"/>
                <w:sz w:val="16"/>
                <w:szCs w:val="16"/>
                <w:vertAlign w:val="superscript"/>
              </w:rPr>
            </w:pPr>
            <w:r w:rsidRPr="00EF6679">
              <w:rPr>
                <w:rFonts w:ascii="Times New Roman" w:hAnsi="Times New Roman" w:cs="Times New Roman"/>
                <w:color w:val="000000" w:themeColor="text1"/>
                <w:sz w:val="16"/>
                <w:szCs w:val="16"/>
                <w:vertAlign w:val="superscript"/>
              </w:rPr>
              <w:t xml:space="preserve">ab </w:t>
            </w:r>
          </w:p>
        </w:tc>
        <w:tc>
          <w:tcPr>
            <w:tcW w:w="576" w:type="dxa"/>
            <w:noWrap/>
            <w:vAlign w:val="bottom"/>
            <w:hideMark/>
          </w:tcPr>
          <w:p w14:paraId="06054CC1" w14:textId="77777777" w:rsidR="00BB138C" w:rsidRPr="00EF6679" w:rsidRDefault="00BB138C" w:rsidP="00820288">
            <w:pPr>
              <w:spacing w:line="240" w:lineRule="auto"/>
              <w:jc w:val="right"/>
              <w:rPr>
                <w:rFonts w:ascii="Times New Roman" w:hAnsi="Times New Roman" w:cs="Times New Roman"/>
                <w:color w:val="000000" w:themeColor="text1"/>
                <w:sz w:val="16"/>
                <w:szCs w:val="16"/>
              </w:rPr>
            </w:pPr>
            <w:r w:rsidRPr="00EF6679">
              <w:rPr>
                <w:rFonts w:ascii="Times New Roman" w:hAnsi="Times New Roman" w:cs="Times New Roman"/>
                <w:color w:val="000000" w:themeColor="text1"/>
                <w:sz w:val="16"/>
                <w:szCs w:val="16"/>
              </w:rPr>
              <w:t>0.791</w:t>
            </w:r>
          </w:p>
        </w:tc>
        <w:tc>
          <w:tcPr>
            <w:tcW w:w="576" w:type="dxa"/>
            <w:noWrap/>
            <w:vAlign w:val="bottom"/>
            <w:hideMark/>
          </w:tcPr>
          <w:p w14:paraId="145E4329" w14:textId="77777777" w:rsidR="00BB138C" w:rsidRPr="00EF6679" w:rsidRDefault="00BB138C" w:rsidP="00820288">
            <w:pPr>
              <w:spacing w:line="240" w:lineRule="auto"/>
              <w:rPr>
                <w:rFonts w:ascii="Times New Roman" w:hAnsi="Times New Roman" w:cs="Times New Roman"/>
                <w:color w:val="000000" w:themeColor="text1"/>
                <w:sz w:val="16"/>
                <w:szCs w:val="16"/>
                <w:vertAlign w:val="superscript"/>
              </w:rPr>
            </w:pPr>
            <w:r w:rsidRPr="00EF6679">
              <w:rPr>
                <w:rFonts w:ascii="Times New Roman" w:hAnsi="Times New Roman" w:cs="Times New Roman"/>
                <w:color w:val="000000" w:themeColor="text1"/>
                <w:sz w:val="16"/>
                <w:szCs w:val="16"/>
                <w:vertAlign w:val="superscript"/>
              </w:rPr>
              <w:t xml:space="preserve">a </w:t>
            </w:r>
          </w:p>
        </w:tc>
      </w:tr>
      <w:tr w:rsidR="00BB138C" w:rsidRPr="00EF6679" w14:paraId="78F135AF" w14:textId="77777777" w:rsidTr="00820288">
        <w:trPr>
          <w:trHeight w:val="173"/>
        </w:trPr>
        <w:tc>
          <w:tcPr>
            <w:tcW w:w="2880" w:type="dxa"/>
            <w:noWrap/>
            <w:vAlign w:val="bottom"/>
            <w:hideMark/>
          </w:tcPr>
          <w:p w14:paraId="50409864" w14:textId="77777777" w:rsidR="00BB138C" w:rsidRPr="00EF6679" w:rsidRDefault="00BB138C" w:rsidP="00820288">
            <w:pPr>
              <w:spacing w:line="240" w:lineRule="auto"/>
              <w:rPr>
                <w:rFonts w:ascii="Times New Roman" w:hAnsi="Times New Roman" w:cs="Times New Roman"/>
                <w:color w:val="000000" w:themeColor="text1"/>
                <w:sz w:val="16"/>
                <w:szCs w:val="16"/>
              </w:rPr>
            </w:pPr>
            <w:r w:rsidRPr="00EF6679">
              <w:rPr>
                <w:rFonts w:ascii="Times New Roman" w:hAnsi="Times New Roman" w:cs="Times New Roman"/>
                <w:color w:val="000000" w:themeColor="text1"/>
                <w:sz w:val="16"/>
                <w:szCs w:val="16"/>
              </w:rPr>
              <w:t xml:space="preserve">Benzeneacetaldehyde      </w:t>
            </w:r>
          </w:p>
        </w:tc>
        <w:tc>
          <w:tcPr>
            <w:tcW w:w="576" w:type="dxa"/>
            <w:noWrap/>
            <w:vAlign w:val="bottom"/>
            <w:hideMark/>
          </w:tcPr>
          <w:p w14:paraId="5923022D" w14:textId="77777777" w:rsidR="00BB138C" w:rsidRPr="00EF6679" w:rsidRDefault="00BB138C" w:rsidP="00820288">
            <w:pPr>
              <w:spacing w:line="240" w:lineRule="auto"/>
              <w:jc w:val="right"/>
              <w:rPr>
                <w:rFonts w:ascii="Times New Roman" w:hAnsi="Times New Roman" w:cs="Times New Roman"/>
                <w:color w:val="000000" w:themeColor="text1"/>
                <w:sz w:val="16"/>
                <w:szCs w:val="16"/>
              </w:rPr>
            </w:pPr>
            <w:r w:rsidRPr="00EF6679">
              <w:rPr>
                <w:rFonts w:ascii="Times New Roman" w:hAnsi="Times New Roman" w:cs="Times New Roman"/>
                <w:color w:val="000000" w:themeColor="text1"/>
                <w:sz w:val="16"/>
                <w:szCs w:val="16"/>
              </w:rPr>
              <w:t>17.089</w:t>
            </w:r>
          </w:p>
        </w:tc>
        <w:tc>
          <w:tcPr>
            <w:tcW w:w="576" w:type="dxa"/>
            <w:noWrap/>
            <w:vAlign w:val="bottom"/>
            <w:hideMark/>
          </w:tcPr>
          <w:p w14:paraId="2F176DFD" w14:textId="77777777" w:rsidR="00BB138C" w:rsidRPr="00EF6679" w:rsidRDefault="00BB138C" w:rsidP="00820288">
            <w:pPr>
              <w:spacing w:line="240" w:lineRule="auto"/>
              <w:rPr>
                <w:rFonts w:ascii="Times New Roman" w:hAnsi="Times New Roman" w:cs="Times New Roman"/>
                <w:color w:val="000000" w:themeColor="text1"/>
                <w:sz w:val="16"/>
                <w:szCs w:val="16"/>
                <w:vertAlign w:val="superscript"/>
              </w:rPr>
            </w:pPr>
            <w:r w:rsidRPr="00EF6679">
              <w:rPr>
                <w:rFonts w:ascii="Times New Roman" w:hAnsi="Times New Roman" w:cs="Times New Roman"/>
                <w:color w:val="000000" w:themeColor="text1"/>
                <w:sz w:val="16"/>
                <w:szCs w:val="16"/>
                <w:vertAlign w:val="superscript"/>
              </w:rPr>
              <w:t xml:space="preserve">a </w:t>
            </w:r>
          </w:p>
        </w:tc>
        <w:tc>
          <w:tcPr>
            <w:tcW w:w="576" w:type="dxa"/>
            <w:noWrap/>
            <w:vAlign w:val="bottom"/>
            <w:hideMark/>
          </w:tcPr>
          <w:p w14:paraId="30E33D21" w14:textId="77777777" w:rsidR="00BB138C" w:rsidRPr="00EF6679" w:rsidRDefault="00BB138C" w:rsidP="00820288">
            <w:pPr>
              <w:spacing w:line="240" w:lineRule="auto"/>
              <w:jc w:val="right"/>
              <w:rPr>
                <w:rFonts w:ascii="Times New Roman" w:hAnsi="Times New Roman" w:cs="Times New Roman"/>
                <w:color w:val="000000" w:themeColor="text1"/>
                <w:sz w:val="16"/>
                <w:szCs w:val="16"/>
              </w:rPr>
            </w:pPr>
            <w:r w:rsidRPr="00EF6679">
              <w:rPr>
                <w:rFonts w:ascii="Times New Roman" w:hAnsi="Times New Roman" w:cs="Times New Roman"/>
                <w:color w:val="000000" w:themeColor="text1"/>
                <w:sz w:val="16"/>
                <w:szCs w:val="16"/>
              </w:rPr>
              <w:t>13.341</w:t>
            </w:r>
          </w:p>
        </w:tc>
        <w:tc>
          <w:tcPr>
            <w:tcW w:w="576" w:type="dxa"/>
            <w:noWrap/>
            <w:vAlign w:val="bottom"/>
            <w:hideMark/>
          </w:tcPr>
          <w:p w14:paraId="18ACFA00" w14:textId="77777777" w:rsidR="00BB138C" w:rsidRPr="00EF6679" w:rsidRDefault="00BB138C" w:rsidP="00820288">
            <w:pPr>
              <w:spacing w:line="240" w:lineRule="auto"/>
              <w:rPr>
                <w:rFonts w:ascii="Times New Roman" w:hAnsi="Times New Roman" w:cs="Times New Roman"/>
                <w:color w:val="000000" w:themeColor="text1"/>
                <w:sz w:val="16"/>
                <w:szCs w:val="16"/>
                <w:vertAlign w:val="superscript"/>
              </w:rPr>
            </w:pPr>
            <w:r w:rsidRPr="00EF6679">
              <w:rPr>
                <w:rFonts w:ascii="Times New Roman" w:hAnsi="Times New Roman" w:cs="Times New Roman"/>
                <w:color w:val="000000" w:themeColor="text1"/>
                <w:sz w:val="16"/>
                <w:szCs w:val="16"/>
                <w:vertAlign w:val="superscript"/>
              </w:rPr>
              <w:t xml:space="preserve">a </w:t>
            </w:r>
          </w:p>
        </w:tc>
        <w:tc>
          <w:tcPr>
            <w:tcW w:w="576" w:type="dxa"/>
            <w:noWrap/>
            <w:vAlign w:val="bottom"/>
            <w:hideMark/>
          </w:tcPr>
          <w:p w14:paraId="3EFF91C4" w14:textId="77777777" w:rsidR="00BB138C" w:rsidRPr="00EF6679" w:rsidRDefault="00BB138C" w:rsidP="00820288">
            <w:pPr>
              <w:spacing w:line="240" w:lineRule="auto"/>
              <w:jc w:val="right"/>
              <w:rPr>
                <w:rFonts w:ascii="Times New Roman" w:hAnsi="Times New Roman" w:cs="Times New Roman"/>
                <w:color w:val="000000" w:themeColor="text1"/>
                <w:sz w:val="16"/>
                <w:szCs w:val="16"/>
              </w:rPr>
            </w:pPr>
            <w:r w:rsidRPr="00EF6679">
              <w:rPr>
                <w:rFonts w:ascii="Times New Roman" w:hAnsi="Times New Roman" w:cs="Times New Roman"/>
                <w:color w:val="000000" w:themeColor="text1"/>
                <w:sz w:val="16"/>
                <w:szCs w:val="16"/>
              </w:rPr>
              <w:t>9.681</w:t>
            </w:r>
          </w:p>
        </w:tc>
        <w:tc>
          <w:tcPr>
            <w:tcW w:w="576" w:type="dxa"/>
            <w:noWrap/>
            <w:vAlign w:val="bottom"/>
            <w:hideMark/>
          </w:tcPr>
          <w:p w14:paraId="6D87D5C8" w14:textId="77777777" w:rsidR="00BB138C" w:rsidRPr="00EF6679" w:rsidRDefault="00BB138C" w:rsidP="00820288">
            <w:pPr>
              <w:spacing w:line="240" w:lineRule="auto"/>
              <w:rPr>
                <w:rFonts w:ascii="Times New Roman" w:hAnsi="Times New Roman" w:cs="Times New Roman"/>
                <w:color w:val="000000" w:themeColor="text1"/>
                <w:sz w:val="16"/>
                <w:szCs w:val="16"/>
                <w:vertAlign w:val="superscript"/>
              </w:rPr>
            </w:pPr>
            <w:r w:rsidRPr="00EF6679">
              <w:rPr>
                <w:rFonts w:ascii="Times New Roman" w:hAnsi="Times New Roman" w:cs="Times New Roman"/>
                <w:color w:val="000000" w:themeColor="text1"/>
                <w:sz w:val="16"/>
                <w:szCs w:val="16"/>
                <w:vertAlign w:val="superscript"/>
              </w:rPr>
              <w:t xml:space="preserve">a </w:t>
            </w:r>
          </w:p>
        </w:tc>
        <w:tc>
          <w:tcPr>
            <w:tcW w:w="576" w:type="dxa"/>
            <w:noWrap/>
            <w:vAlign w:val="bottom"/>
            <w:hideMark/>
          </w:tcPr>
          <w:p w14:paraId="0F2141BC" w14:textId="77777777" w:rsidR="00BB138C" w:rsidRPr="00EF6679" w:rsidRDefault="00BB138C" w:rsidP="00820288">
            <w:pPr>
              <w:spacing w:line="240" w:lineRule="auto"/>
              <w:jc w:val="right"/>
              <w:rPr>
                <w:rFonts w:ascii="Times New Roman" w:hAnsi="Times New Roman" w:cs="Times New Roman"/>
                <w:color w:val="000000" w:themeColor="text1"/>
                <w:sz w:val="16"/>
                <w:szCs w:val="16"/>
              </w:rPr>
            </w:pPr>
            <w:r w:rsidRPr="00EF6679">
              <w:rPr>
                <w:rFonts w:ascii="Times New Roman" w:hAnsi="Times New Roman" w:cs="Times New Roman"/>
                <w:color w:val="000000" w:themeColor="text1"/>
                <w:sz w:val="16"/>
                <w:szCs w:val="16"/>
              </w:rPr>
              <w:t>7.187</w:t>
            </w:r>
          </w:p>
        </w:tc>
        <w:tc>
          <w:tcPr>
            <w:tcW w:w="576" w:type="dxa"/>
            <w:noWrap/>
            <w:vAlign w:val="bottom"/>
            <w:hideMark/>
          </w:tcPr>
          <w:p w14:paraId="09E38851" w14:textId="77777777" w:rsidR="00BB138C" w:rsidRPr="00EF6679" w:rsidRDefault="00BB138C" w:rsidP="00820288">
            <w:pPr>
              <w:spacing w:line="240" w:lineRule="auto"/>
              <w:rPr>
                <w:rFonts w:ascii="Times New Roman" w:hAnsi="Times New Roman" w:cs="Times New Roman"/>
                <w:color w:val="000000" w:themeColor="text1"/>
                <w:sz w:val="16"/>
                <w:szCs w:val="16"/>
                <w:vertAlign w:val="superscript"/>
              </w:rPr>
            </w:pPr>
            <w:r w:rsidRPr="00EF6679">
              <w:rPr>
                <w:rFonts w:ascii="Times New Roman" w:hAnsi="Times New Roman" w:cs="Times New Roman"/>
                <w:color w:val="000000" w:themeColor="text1"/>
                <w:sz w:val="16"/>
                <w:szCs w:val="16"/>
                <w:vertAlign w:val="superscript"/>
              </w:rPr>
              <w:t xml:space="preserve">a </w:t>
            </w:r>
          </w:p>
        </w:tc>
      </w:tr>
      <w:tr w:rsidR="00BB138C" w:rsidRPr="00EF6679" w14:paraId="33247EA0" w14:textId="77777777" w:rsidTr="00820288">
        <w:trPr>
          <w:trHeight w:val="173"/>
        </w:trPr>
        <w:tc>
          <w:tcPr>
            <w:tcW w:w="2880" w:type="dxa"/>
            <w:noWrap/>
            <w:vAlign w:val="bottom"/>
            <w:hideMark/>
          </w:tcPr>
          <w:p w14:paraId="58A5657F" w14:textId="77777777" w:rsidR="00BB138C" w:rsidRPr="00EF6679" w:rsidRDefault="00BB138C" w:rsidP="00820288">
            <w:pPr>
              <w:spacing w:line="240" w:lineRule="auto"/>
              <w:rPr>
                <w:rFonts w:ascii="Times New Roman" w:hAnsi="Times New Roman" w:cs="Times New Roman"/>
                <w:b/>
                <w:bCs/>
                <w:color w:val="000000" w:themeColor="text1"/>
                <w:sz w:val="16"/>
                <w:szCs w:val="16"/>
              </w:rPr>
            </w:pPr>
            <w:r w:rsidRPr="00EF6679">
              <w:rPr>
                <w:rFonts w:ascii="Times New Roman" w:hAnsi="Times New Roman" w:cs="Times New Roman"/>
                <w:color w:val="000000" w:themeColor="text1"/>
                <w:sz w:val="16"/>
                <w:szCs w:val="16"/>
              </w:rPr>
              <w:t>1,3,6-Octatriene, 3,7-dimethy-, (Z)</w:t>
            </w:r>
          </w:p>
        </w:tc>
        <w:tc>
          <w:tcPr>
            <w:tcW w:w="576" w:type="dxa"/>
            <w:noWrap/>
            <w:vAlign w:val="bottom"/>
            <w:hideMark/>
          </w:tcPr>
          <w:p w14:paraId="5C339AC4" w14:textId="77777777" w:rsidR="00BB138C" w:rsidRPr="00EF6679" w:rsidRDefault="00BB138C" w:rsidP="00820288">
            <w:pPr>
              <w:spacing w:line="240" w:lineRule="auto"/>
              <w:jc w:val="right"/>
              <w:rPr>
                <w:rFonts w:ascii="Times New Roman" w:hAnsi="Times New Roman" w:cs="Times New Roman"/>
                <w:color w:val="000000" w:themeColor="text1"/>
                <w:sz w:val="16"/>
                <w:szCs w:val="16"/>
              </w:rPr>
            </w:pPr>
            <w:r w:rsidRPr="00EF6679">
              <w:rPr>
                <w:rFonts w:ascii="Times New Roman" w:hAnsi="Times New Roman" w:cs="Times New Roman"/>
                <w:color w:val="000000" w:themeColor="text1"/>
                <w:sz w:val="16"/>
                <w:szCs w:val="16"/>
              </w:rPr>
              <w:t>7.541</w:t>
            </w:r>
          </w:p>
        </w:tc>
        <w:tc>
          <w:tcPr>
            <w:tcW w:w="576" w:type="dxa"/>
            <w:noWrap/>
            <w:vAlign w:val="bottom"/>
            <w:hideMark/>
          </w:tcPr>
          <w:p w14:paraId="42C5450B" w14:textId="77777777" w:rsidR="00BB138C" w:rsidRPr="00EF6679" w:rsidRDefault="00BB138C" w:rsidP="00820288">
            <w:pPr>
              <w:spacing w:line="240" w:lineRule="auto"/>
              <w:rPr>
                <w:rFonts w:ascii="Times New Roman" w:hAnsi="Times New Roman" w:cs="Times New Roman"/>
                <w:color w:val="000000" w:themeColor="text1"/>
                <w:sz w:val="16"/>
                <w:szCs w:val="16"/>
                <w:vertAlign w:val="superscript"/>
              </w:rPr>
            </w:pPr>
            <w:r w:rsidRPr="00EF6679">
              <w:rPr>
                <w:rFonts w:ascii="Times New Roman" w:hAnsi="Times New Roman" w:cs="Times New Roman"/>
                <w:color w:val="000000" w:themeColor="text1"/>
                <w:sz w:val="16"/>
                <w:szCs w:val="16"/>
                <w:vertAlign w:val="superscript"/>
              </w:rPr>
              <w:t xml:space="preserve">b </w:t>
            </w:r>
          </w:p>
        </w:tc>
        <w:tc>
          <w:tcPr>
            <w:tcW w:w="576" w:type="dxa"/>
            <w:noWrap/>
            <w:vAlign w:val="bottom"/>
            <w:hideMark/>
          </w:tcPr>
          <w:p w14:paraId="24F689CB" w14:textId="77777777" w:rsidR="00BB138C" w:rsidRPr="00EF6679" w:rsidRDefault="00BB138C" w:rsidP="00820288">
            <w:pPr>
              <w:spacing w:line="240" w:lineRule="auto"/>
              <w:jc w:val="right"/>
              <w:rPr>
                <w:rFonts w:ascii="Times New Roman" w:hAnsi="Times New Roman" w:cs="Times New Roman"/>
                <w:color w:val="000000" w:themeColor="text1"/>
                <w:sz w:val="16"/>
                <w:szCs w:val="16"/>
              </w:rPr>
            </w:pPr>
            <w:r w:rsidRPr="00EF6679">
              <w:rPr>
                <w:rFonts w:ascii="Times New Roman" w:hAnsi="Times New Roman" w:cs="Times New Roman"/>
                <w:color w:val="000000" w:themeColor="text1"/>
                <w:sz w:val="16"/>
                <w:szCs w:val="16"/>
              </w:rPr>
              <w:t>13.317</w:t>
            </w:r>
          </w:p>
        </w:tc>
        <w:tc>
          <w:tcPr>
            <w:tcW w:w="576" w:type="dxa"/>
            <w:noWrap/>
            <w:vAlign w:val="bottom"/>
            <w:hideMark/>
          </w:tcPr>
          <w:p w14:paraId="2110FF93" w14:textId="77777777" w:rsidR="00BB138C" w:rsidRPr="00EF6679" w:rsidRDefault="00BB138C" w:rsidP="00820288">
            <w:pPr>
              <w:spacing w:line="240" w:lineRule="auto"/>
              <w:rPr>
                <w:rFonts w:ascii="Times New Roman" w:hAnsi="Times New Roman" w:cs="Times New Roman"/>
                <w:color w:val="000000" w:themeColor="text1"/>
                <w:sz w:val="16"/>
                <w:szCs w:val="16"/>
                <w:vertAlign w:val="superscript"/>
              </w:rPr>
            </w:pPr>
            <w:r w:rsidRPr="00EF6679">
              <w:rPr>
                <w:rFonts w:ascii="Times New Roman" w:hAnsi="Times New Roman" w:cs="Times New Roman"/>
                <w:color w:val="000000" w:themeColor="text1"/>
                <w:sz w:val="16"/>
                <w:szCs w:val="16"/>
                <w:vertAlign w:val="superscript"/>
              </w:rPr>
              <w:t xml:space="preserve">a </w:t>
            </w:r>
          </w:p>
        </w:tc>
        <w:tc>
          <w:tcPr>
            <w:tcW w:w="576" w:type="dxa"/>
            <w:noWrap/>
            <w:vAlign w:val="bottom"/>
            <w:hideMark/>
          </w:tcPr>
          <w:p w14:paraId="2429612D" w14:textId="77777777" w:rsidR="00BB138C" w:rsidRPr="00EF6679" w:rsidRDefault="00BB138C" w:rsidP="00820288">
            <w:pPr>
              <w:spacing w:line="240" w:lineRule="auto"/>
              <w:jc w:val="right"/>
              <w:rPr>
                <w:rFonts w:ascii="Times New Roman" w:hAnsi="Times New Roman" w:cs="Times New Roman"/>
                <w:color w:val="000000" w:themeColor="text1"/>
                <w:sz w:val="16"/>
                <w:szCs w:val="16"/>
              </w:rPr>
            </w:pPr>
            <w:r w:rsidRPr="00EF6679">
              <w:rPr>
                <w:rFonts w:ascii="Times New Roman" w:hAnsi="Times New Roman" w:cs="Times New Roman"/>
                <w:color w:val="000000" w:themeColor="text1"/>
                <w:sz w:val="16"/>
                <w:szCs w:val="16"/>
              </w:rPr>
              <w:t>11.655</w:t>
            </w:r>
          </w:p>
        </w:tc>
        <w:tc>
          <w:tcPr>
            <w:tcW w:w="576" w:type="dxa"/>
            <w:noWrap/>
            <w:vAlign w:val="bottom"/>
            <w:hideMark/>
          </w:tcPr>
          <w:p w14:paraId="6281CCB8" w14:textId="77777777" w:rsidR="00BB138C" w:rsidRPr="00EF6679" w:rsidRDefault="00BB138C" w:rsidP="00820288">
            <w:pPr>
              <w:spacing w:line="240" w:lineRule="auto"/>
              <w:rPr>
                <w:rFonts w:ascii="Times New Roman" w:hAnsi="Times New Roman" w:cs="Times New Roman"/>
                <w:color w:val="000000" w:themeColor="text1"/>
                <w:sz w:val="16"/>
                <w:szCs w:val="16"/>
                <w:vertAlign w:val="superscript"/>
              </w:rPr>
            </w:pPr>
            <w:r w:rsidRPr="00EF6679">
              <w:rPr>
                <w:rFonts w:ascii="Times New Roman" w:hAnsi="Times New Roman" w:cs="Times New Roman"/>
                <w:color w:val="000000" w:themeColor="text1"/>
                <w:sz w:val="16"/>
                <w:szCs w:val="16"/>
                <w:vertAlign w:val="superscript"/>
              </w:rPr>
              <w:t xml:space="preserve">a </w:t>
            </w:r>
          </w:p>
        </w:tc>
        <w:tc>
          <w:tcPr>
            <w:tcW w:w="576" w:type="dxa"/>
            <w:noWrap/>
            <w:vAlign w:val="bottom"/>
            <w:hideMark/>
          </w:tcPr>
          <w:p w14:paraId="289792BA" w14:textId="77777777" w:rsidR="00BB138C" w:rsidRPr="00EF6679" w:rsidRDefault="00BB138C" w:rsidP="00820288">
            <w:pPr>
              <w:spacing w:line="240" w:lineRule="auto"/>
              <w:jc w:val="right"/>
              <w:rPr>
                <w:rFonts w:ascii="Times New Roman" w:hAnsi="Times New Roman" w:cs="Times New Roman"/>
                <w:color w:val="000000" w:themeColor="text1"/>
                <w:sz w:val="16"/>
                <w:szCs w:val="16"/>
              </w:rPr>
            </w:pPr>
            <w:r w:rsidRPr="00EF6679">
              <w:rPr>
                <w:rFonts w:ascii="Times New Roman" w:hAnsi="Times New Roman" w:cs="Times New Roman"/>
                <w:color w:val="000000" w:themeColor="text1"/>
                <w:sz w:val="16"/>
                <w:szCs w:val="16"/>
              </w:rPr>
              <w:t>14.009</w:t>
            </w:r>
          </w:p>
        </w:tc>
        <w:tc>
          <w:tcPr>
            <w:tcW w:w="576" w:type="dxa"/>
            <w:noWrap/>
            <w:vAlign w:val="bottom"/>
            <w:hideMark/>
          </w:tcPr>
          <w:p w14:paraId="59E4A1EA" w14:textId="77777777" w:rsidR="00BB138C" w:rsidRPr="00EF6679" w:rsidRDefault="00BB138C" w:rsidP="00820288">
            <w:pPr>
              <w:spacing w:line="240" w:lineRule="auto"/>
              <w:rPr>
                <w:rFonts w:ascii="Times New Roman" w:hAnsi="Times New Roman" w:cs="Times New Roman"/>
                <w:color w:val="000000" w:themeColor="text1"/>
                <w:sz w:val="16"/>
                <w:szCs w:val="16"/>
                <w:vertAlign w:val="superscript"/>
              </w:rPr>
            </w:pPr>
            <w:r w:rsidRPr="00EF6679">
              <w:rPr>
                <w:rFonts w:ascii="Times New Roman" w:hAnsi="Times New Roman" w:cs="Times New Roman"/>
                <w:color w:val="000000" w:themeColor="text1"/>
                <w:sz w:val="16"/>
                <w:szCs w:val="16"/>
                <w:vertAlign w:val="superscript"/>
              </w:rPr>
              <w:t xml:space="preserve">a </w:t>
            </w:r>
          </w:p>
        </w:tc>
      </w:tr>
      <w:tr w:rsidR="00BB138C" w:rsidRPr="00EF6679" w14:paraId="025CD29E" w14:textId="77777777" w:rsidTr="00820288">
        <w:trPr>
          <w:trHeight w:val="173"/>
        </w:trPr>
        <w:tc>
          <w:tcPr>
            <w:tcW w:w="2880" w:type="dxa"/>
            <w:noWrap/>
            <w:vAlign w:val="bottom"/>
            <w:hideMark/>
          </w:tcPr>
          <w:p w14:paraId="1A1A9A31" w14:textId="77777777" w:rsidR="00BB138C" w:rsidRPr="00EF6679" w:rsidRDefault="00BB138C" w:rsidP="00820288">
            <w:pPr>
              <w:spacing w:line="240" w:lineRule="auto"/>
              <w:rPr>
                <w:rFonts w:ascii="Times New Roman" w:hAnsi="Times New Roman" w:cs="Times New Roman"/>
                <w:color w:val="000000" w:themeColor="text1"/>
                <w:sz w:val="16"/>
                <w:szCs w:val="16"/>
              </w:rPr>
            </w:pPr>
            <w:r w:rsidRPr="00EF6679">
              <w:rPr>
                <w:rFonts w:ascii="Times New Roman" w:hAnsi="Times New Roman" w:cs="Times New Roman"/>
                <w:color w:val="000000" w:themeColor="text1"/>
                <w:sz w:val="16"/>
                <w:szCs w:val="16"/>
              </w:rPr>
              <w:t>γ-Terpinene</w:t>
            </w:r>
          </w:p>
        </w:tc>
        <w:tc>
          <w:tcPr>
            <w:tcW w:w="576" w:type="dxa"/>
            <w:noWrap/>
            <w:vAlign w:val="bottom"/>
            <w:hideMark/>
          </w:tcPr>
          <w:p w14:paraId="099A0A05" w14:textId="77777777" w:rsidR="00BB138C" w:rsidRPr="00EF6679" w:rsidRDefault="00BB138C" w:rsidP="00820288">
            <w:pPr>
              <w:spacing w:line="240" w:lineRule="auto"/>
              <w:jc w:val="right"/>
              <w:rPr>
                <w:rFonts w:ascii="Times New Roman" w:hAnsi="Times New Roman" w:cs="Times New Roman"/>
                <w:color w:val="000000" w:themeColor="text1"/>
                <w:sz w:val="16"/>
                <w:szCs w:val="16"/>
              </w:rPr>
            </w:pPr>
            <w:r w:rsidRPr="00EF6679">
              <w:rPr>
                <w:rFonts w:ascii="Times New Roman" w:hAnsi="Times New Roman" w:cs="Times New Roman"/>
                <w:color w:val="000000" w:themeColor="text1"/>
                <w:sz w:val="16"/>
                <w:szCs w:val="16"/>
              </w:rPr>
              <w:t>2.980</w:t>
            </w:r>
          </w:p>
        </w:tc>
        <w:tc>
          <w:tcPr>
            <w:tcW w:w="576" w:type="dxa"/>
            <w:noWrap/>
            <w:vAlign w:val="bottom"/>
            <w:hideMark/>
          </w:tcPr>
          <w:p w14:paraId="757F087A" w14:textId="77777777" w:rsidR="00BB138C" w:rsidRPr="00EF6679" w:rsidRDefault="00BB138C" w:rsidP="00820288">
            <w:pPr>
              <w:spacing w:line="240" w:lineRule="auto"/>
              <w:rPr>
                <w:rFonts w:ascii="Times New Roman" w:hAnsi="Times New Roman" w:cs="Times New Roman"/>
                <w:color w:val="000000" w:themeColor="text1"/>
                <w:sz w:val="16"/>
                <w:szCs w:val="16"/>
                <w:vertAlign w:val="superscript"/>
              </w:rPr>
            </w:pPr>
            <w:r w:rsidRPr="00EF6679">
              <w:rPr>
                <w:rFonts w:ascii="Times New Roman" w:hAnsi="Times New Roman" w:cs="Times New Roman"/>
                <w:color w:val="000000" w:themeColor="text1"/>
                <w:sz w:val="16"/>
                <w:szCs w:val="16"/>
                <w:vertAlign w:val="superscript"/>
              </w:rPr>
              <w:t xml:space="preserve">a </w:t>
            </w:r>
          </w:p>
        </w:tc>
        <w:tc>
          <w:tcPr>
            <w:tcW w:w="576" w:type="dxa"/>
            <w:noWrap/>
            <w:vAlign w:val="bottom"/>
            <w:hideMark/>
          </w:tcPr>
          <w:p w14:paraId="25752609" w14:textId="77777777" w:rsidR="00BB138C" w:rsidRPr="00EF6679" w:rsidRDefault="00BB138C" w:rsidP="00820288">
            <w:pPr>
              <w:spacing w:line="240" w:lineRule="auto"/>
              <w:jc w:val="right"/>
              <w:rPr>
                <w:rFonts w:ascii="Times New Roman" w:hAnsi="Times New Roman" w:cs="Times New Roman"/>
                <w:color w:val="000000" w:themeColor="text1"/>
                <w:sz w:val="16"/>
                <w:szCs w:val="16"/>
              </w:rPr>
            </w:pPr>
            <w:r w:rsidRPr="00EF6679">
              <w:rPr>
                <w:rFonts w:ascii="Times New Roman" w:hAnsi="Times New Roman" w:cs="Times New Roman"/>
                <w:color w:val="000000" w:themeColor="text1"/>
                <w:sz w:val="16"/>
                <w:szCs w:val="16"/>
              </w:rPr>
              <w:t>2.271</w:t>
            </w:r>
          </w:p>
        </w:tc>
        <w:tc>
          <w:tcPr>
            <w:tcW w:w="576" w:type="dxa"/>
            <w:noWrap/>
            <w:vAlign w:val="bottom"/>
            <w:hideMark/>
          </w:tcPr>
          <w:p w14:paraId="1A40E889" w14:textId="77777777" w:rsidR="00BB138C" w:rsidRPr="00EF6679" w:rsidRDefault="00BB138C" w:rsidP="00820288">
            <w:pPr>
              <w:spacing w:line="240" w:lineRule="auto"/>
              <w:rPr>
                <w:rFonts w:ascii="Times New Roman" w:hAnsi="Times New Roman" w:cs="Times New Roman"/>
                <w:color w:val="000000" w:themeColor="text1"/>
                <w:sz w:val="16"/>
                <w:szCs w:val="16"/>
                <w:vertAlign w:val="superscript"/>
              </w:rPr>
            </w:pPr>
            <w:r w:rsidRPr="00EF6679">
              <w:rPr>
                <w:rFonts w:ascii="Times New Roman" w:hAnsi="Times New Roman" w:cs="Times New Roman"/>
                <w:color w:val="000000" w:themeColor="text1"/>
                <w:sz w:val="16"/>
                <w:szCs w:val="16"/>
                <w:vertAlign w:val="superscript"/>
              </w:rPr>
              <w:t xml:space="preserve">a </w:t>
            </w:r>
          </w:p>
        </w:tc>
        <w:tc>
          <w:tcPr>
            <w:tcW w:w="576" w:type="dxa"/>
            <w:noWrap/>
            <w:vAlign w:val="bottom"/>
            <w:hideMark/>
          </w:tcPr>
          <w:p w14:paraId="47258B43" w14:textId="77777777" w:rsidR="00BB138C" w:rsidRPr="00EF6679" w:rsidRDefault="00BB138C" w:rsidP="00820288">
            <w:pPr>
              <w:spacing w:line="240" w:lineRule="auto"/>
              <w:jc w:val="right"/>
              <w:rPr>
                <w:rFonts w:ascii="Times New Roman" w:hAnsi="Times New Roman" w:cs="Times New Roman"/>
                <w:color w:val="000000" w:themeColor="text1"/>
                <w:sz w:val="16"/>
                <w:szCs w:val="16"/>
              </w:rPr>
            </w:pPr>
            <w:r w:rsidRPr="00EF6679">
              <w:rPr>
                <w:rFonts w:ascii="Times New Roman" w:hAnsi="Times New Roman" w:cs="Times New Roman"/>
                <w:color w:val="000000" w:themeColor="text1"/>
                <w:sz w:val="16"/>
                <w:szCs w:val="16"/>
              </w:rPr>
              <w:t>2.093</w:t>
            </w:r>
          </w:p>
        </w:tc>
        <w:tc>
          <w:tcPr>
            <w:tcW w:w="576" w:type="dxa"/>
            <w:noWrap/>
            <w:vAlign w:val="bottom"/>
            <w:hideMark/>
          </w:tcPr>
          <w:p w14:paraId="065C6BB9" w14:textId="77777777" w:rsidR="00BB138C" w:rsidRPr="00EF6679" w:rsidRDefault="00BB138C" w:rsidP="00820288">
            <w:pPr>
              <w:spacing w:line="240" w:lineRule="auto"/>
              <w:rPr>
                <w:rFonts w:ascii="Times New Roman" w:hAnsi="Times New Roman" w:cs="Times New Roman"/>
                <w:color w:val="000000" w:themeColor="text1"/>
                <w:sz w:val="16"/>
                <w:szCs w:val="16"/>
                <w:vertAlign w:val="superscript"/>
              </w:rPr>
            </w:pPr>
            <w:r w:rsidRPr="00EF6679">
              <w:rPr>
                <w:rFonts w:ascii="Times New Roman" w:hAnsi="Times New Roman" w:cs="Times New Roman"/>
                <w:color w:val="000000" w:themeColor="text1"/>
                <w:sz w:val="16"/>
                <w:szCs w:val="16"/>
                <w:vertAlign w:val="superscript"/>
              </w:rPr>
              <w:t xml:space="preserve">a </w:t>
            </w:r>
          </w:p>
        </w:tc>
        <w:tc>
          <w:tcPr>
            <w:tcW w:w="576" w:type="dxa"/>
            <w:noWrap/>
            <w:vAlign w:val="bottom"/>
            <w:hideMark/>
          </w:tcPr>
          <w:p w14:paraId="229D5EA4" w14:textId="77777777" w:rsidR="00BB138C" w:rsidRPr="00EF6679" w:rsidRDefault="00BB138C" w:rsidP="00820288">
            <w:pPr>
              <w:spacing w:line="240" w:lineRule="auto"/>
              <w:jc w:val="right"/>
              <w:rPr>
                <w:rFonts w:ascii="Times New Roman" w:hAnsi="Times New Roman" w:cs="Times New Roman"/>
                <w:color w:val="000000" w:themeColor="text1"/>
                <w:sz w:val="16"/>
                <w:szCs w:val="16"/>
              </w:rPr>
            </w:pPr>
            <w:r w:rsidRPr="00EF6679">
              <w:rPr>
                <w:rFonts w:ascii="Times New Roman" w:hAnsi="Times New Roman" w:cs="Times New Roman"/>
                <w:color w:val="000000" w:themeColor="text1"/>
                <w:sz w:val="16"/>
                <w:szCs w:val="16"/>
              </w:rPr>
              <w:t>2.137</w:t>
            </w:r>
          </w:p>
        </w:tc>
        <w:tc>
          <w:tcPr>
            <w:tcW w:w="576" w:type="dxa"/>
            <w:noWrap/>
            <w:vAlign w:val="bottom"/>
            <w:hideMark/>
          </w:tcPr>
          <w:p w14:paraId="0A448988" w14:textId="77777777" w:rsidR="00BB138C" w:rsidRPr="00EF6679" w:rsidRDefault="00BB138C" w:rsidP="00820288">
            <w:pPr>
              <w:spacing w:line="240" w:lineRule="auto"/>
              <w:rPr>
                <w:rFonts w:ascii="Times New Roman" w:hAnsi="Times New Roman" w:cs="Times New Roman"/>
                <w:color w:val="000000" w:themeColor="text1"/>
                <w:sz w:val="16"/>
                <w:szCs w:val="16"/>
                <w:vertAlign w:val="superscript"/>
              </w:rPr>
            </w:pPr>
            <w:r w:rsidRPr="00EF6679">
              <w:rPr>
                <w:rFonts w:ascii="Times New Roman" w:hAnsi="Times New Roman" w:cs="Times New Roman"/>
                <w:color w:val="000000" w:themeColor="text1"/>
                <w:sz w:val="16"/>
                <w:szCs w:val="16"/>
                <w:vertAlign w:val="superscript"/>
              </w:rPr>
              <w:t xml:space="preserve">a </w:t>
            </w:r>
          </w:p>
        </w:tc>
      </w:tr>
      <w:tr w:rsidR="00BB138C" w:rsidRPr="00EF6679" w14:paraId="033B54A4" w14:textId="77777777" w:rsidTr="00820288">
        <w:trPr>
          <w:trHeight w:val="173"/>
        </w:trPr>
        <w:tc>
          <w:tcPr>
            <w:tcW w:w="2880" w:type="dxa"/>
            <w:noWrap/>
            <w:vAlign w:val="bottom"/>
            <w:hideMark/>
          </w:tcPr>
          <w:p w14:paraId="3E08B152" w14:textId="77777777" w:rsidR="00BB138C" w:rsidRPr="00EF6679" w:rsidRDefault="00BB138C" w:rsidP="00820288">
            <w:pPr>
              <w:spacing w:line="240" w:lineRule="auto"/>
              <w:rPr>
                <w:rFonts w:ascii="Times New Roman" w:hAnsi="Times New Roman" w:cs="Times New Roman"/>
                <w:color w:val="000000" w:themeColor="text1"/>
                <w:sz w:val="16"/>
                <w:szCs w:val="16"/>
              </w:rPr>
            </w:pPr>
            <w:r w:rsidRPr="00EF6679">
              <w:rPr>
                <w:rFonts w:ascii="Times New Roman" w:hAnsi="Times New Roman" w:cs="Times New Roman"/>
                <w:color w:val="000000" w:themeColor="text1"/>
                <w:sz w:val="16"/>
                <w:szCs w:val="16"/>
              </w:rPr>
              <w:t>3-ethyl-Benzaldehyde</w:t>
            </w:r>
          </w:p>
        </w:tc>
        <w:tc>
          <w:tcPr>
            <w:tcW w:w="576" w:type="dxa"/>
            <w:noWrap/>
            <w:vAlign w:val="bottom"/>
            <w:hideMark/>
          </w:tcPr>
          <w:p w14:paraId="6E8759ED" w14:textId="77777777" w:rsidR="00BB138C" w:rsidRPr="00EF6679" w:rsidRDefault="00BB138C" w:rsidP="00820288">
            <w:pPr>
              <w:spacing w:line="240" w:lineRule="auto"/>
              <w:jc w:val="right"/>
              <w:rPr>
                <w:rFonts w:ascii="Times New Roman" w:hAnsi="Times New Roman" w:cs="Times New Roman"/>
                <w:color w:val="000000" w:themeColor="text1"/>
                <w:sz w:val="16"/>
                <w:szCs w:val="16"/>
              </w:rPr>
            </w:pPr>
            <w:r w:rsidRPr="00EF6679">
              <w:rPr>
                <w:rFonts w:ascii="Times New Roman" w:hAnsi="Times New Roman" w:cs="Times New Roman"/>
                <w:color w:val="000000" w:themeColor="text1"/>
                <w:sz w:val="16"/>
                <w:szCs w:val="16"/>
              </w:rPr>
              <w:t>1.516</w:t>
            </w:r>
          </w:p>
        </w:tc>
        <w:tc>
          <w:tcPr>
            <w:tcW w:w="576" w:type="dxa"/>
            <w:noWrap/>
            <w:vAlign w:val="bottom"/>
            <w:hideMark/>
          </w:tcPr>
          <w:p w14:paraId="5991C059" w14:textId="77777777" w:rsidR="00BB138C" w:rsidRPr="00EF6679" w:rsidRDefault="00BB138C" w:rsidP="00820288">
            <w:pPr>
              <w:spacing w:line="240" w:lineRule="auto"/>
              <w:rPr>
                <w:rFonts w:ascii="Times New Roman" w:hAnsi="Times New Roman" w:cs="Times New Roman"/>
                <w:color w:val="000000" w:themeColor="text1"/>
                <w:sz w:val="16"/>
                <w:szCs w:val="16"/>
                <w:vertAlign w:val="superscript"/>
              </w:rPr>
            </w:pPr>
            <w:r w:rsidRPr="00EF6679">
              <w:rPr>
                <w:rFonts w:ascii="Times New Roman" w:hAnsi="Times New Roman" w:cs="Times New Roman"/>
                <w:color w:val="000000" w:themeColor="text1"/>
                <w:sz w:val="16"/>
                <w:szCs w:val="16"/>
                <w:vertAlign w:val="superscript"/>
              </w:rPr>
              <w:t xml:space="preserve">a </w:t>
            </w:r>
          </w:p>
        </w:tc>
        <w:tc>
          <w:tcPr>
            <w:tcW w:w="576" w:type="dxa"/>
            <w:noWrap/>
            <w:vAlign w:val="bottom"/>
            <w:hideMark/>
          </w:tcPr>
          <w:p w14:paraId="478CFBDC" w14:textId="77777777" w:rsidR="00BB138C" w:rsidRPr="00EF6679" w:rsidRDefault="00BB138C" w:rsidP="00820288">
            <w:pPr>
              <w:spacing w:line="240" w:lineRule="auto"/>
              <w:jc w:val="right"/>
              <w:rPr>
                <w:rFonts w:ascii="Times New Roman" w:hAnsi="Times New Roman" w:cs="Times New Roman"/>
                <w:color w:val="000000" w:themeColor="text1"/>
                <w:sz w:val="16"/>
                <w:szCs w:val="16"/>
              </w:rPr>
            </w:pPr>
            <w:r w:rsidRPr="00EF6679">
              <w:rPr>
                <w:rFonts w:ascii="Times New Roman" w:hAnsi="Times New Roman" w:cs="Times New Roman"/>
                <w:color w:val="000000" w:themeColor="text1"/>
                <w:sz w:val="16"/>
                <w:szCs w:val="16"/>
              </w:rPr>
              <w:t>1.341</w:t>
            </w:r>
          </w:p>
        </w:tc>
        <w:tc>
          <w:tcPr>
            <w:tcW w:w="576" w:type="dxa"/>
            <w:noWrap/>
            <w:vAlign w:val="bottom"/>
            <w:hideMark/>
          </w:tcPr>
          <w:p w14:paraId="06A7057C" w14:textId="77777777" w:rsidR="00BB138C" w:rsidRPr="00EF6679" w:rsidRDefault="00BB138C" w:rsidP="00820288">
            <w:pPr>
              <w:spacing w:line="240" w:lineRule="auto"/>
              <w:rPr>
                <w:rFonts w:ascii="Times New Roman" w:hAnsi="Times New Roman" w:cs="Times New Roman"/>
                <w:color w:val="000000" w:themeColor="text1"/>
                <w:sz w:val="16"/>
                <w:szCs w:val="16"/>
                <w:vertAlign w:val="superscript"/>
              </w:rPr>
            </w:pPr>
            <w:r w:rsidRPr="00EF6679">
              <w:rPr>
                <w:rFonts w:ascii="Times New Roman" w:hAnsi="Times New Roman" w:cs="Times New Roman"/>
                <w:color w:val="000000" w:themeColor="text1"/>
                <w:sz w:val="16"/>
                <w:szCs w:val="16"/>
                <w:vertAlign w:val="superscript"/>
              </w:rPr>
              <w:t xml:space="preserve">a </w:t>
            </w:r>
          </w:p>
        </w:tc>
        <w:tc>
          <w:tcPr>
            <w:tcW w:w="576" w:type="dxa"/>
            <w:noWrap/>
            <w:vAlign w:val="bottom"/>
            <w:hideMark/>
          </w:tcPr>
          <w:p w14:paraId="508A225D" w14:textId="77777777" w:rsidR="00BB138C" w:rsidRPr="00EF6679" w:rsidRDefault="00BB138C" w:rsidP="00820288">
            <w:pPr>
              <w:spacing w:line="240" w:lineRule="auto"/>
              <w:jc w:val="right"/>
              <w:rPr>
                <w:rFonts w:ascii="Times New Roman" w:hAnsi="Times New Roman" w:cs="Times New Roman"/>
                <w:color w:val="000000" w:themeColor="text1"/>
                <w:sz w:val="16"/>
                <w:szCs w:val="16"/>
              </w:rPr>
            </w:pPr>
            <w:r w:rsidRPr="00EF6679">
              <w:rPr>
                <w:rFonts w:ascii="Times New Roman" w:hAnsi="Times New Roman" w:cs="Times New Roman"/>
                <w:color w:val="000000" w:themeColor="text1"/>
                <w:sz w:val="16"/>
                <w:szCs w:val="16"/>
              </w:rPr>
              <w:t>1.119</w:t>
            </w:r>
          </w:p>
        </w:tc>
        <w:tc>
          <w:tcPr>
            <w:tcW w:w="576" w:type="dxa"/>
            <w:noWrap/>
            <w:vAlign w:val="bottom"/>
            <w:hideMark/>
          </w:tcPr>
          <w:p w14:paraId="5E552C17" w14:textId="77777777" w:rsidR="00BB138C" w:rsidRPr="00EF6679" w:rsidRDefault="00BB138C" w:rsidP="00820288">
            <w:pPr>
              <w:spacing w:line="240" w:lineRule="auto"/>
              <w:rPr>
                <w:rFonts w:ascii="Times New Roman" w:hAnsi="Times New Roman" w:cs="Times New Roman"/>
                <w:color w:val="000000" w:themeColor="text1"/>
                <w:sz w:val="16"/>
                <w:szCs w:val="16"/>
                <w:vertAlign w:val="superscript"/>
              </w:rPr>
            </w:pPr>
            <w:r w:rsidRPr="00EF6679">
              <w:rPr>
                <w:rFonts w:ascii="Times New Roman" w:hAnsi="Times New Roman" w:cs="Times New Roman"/>
                <w:color w:val="000000" w:themeColor="text1"/>
                <w:sz w:val="16"/>
                <w:szCs w:val="16"/>
                <w:vertAlign w:val="superscript"/>
              </w:rPr>
              <w:t xml:space="preserve">a </w:t>
            </w:r>
          </w:p>
        </w:tc>
        <w:tc>
          <w:tcPr>
            <w:tcW w:w="576" w:type="dxa"/>
            <w:noWrap/>
            <w:vAlign w:val="bottom"/>
            <w:hideMark/>
          </w:tcPr>
          <w:p w14:paraId="04895430" w14:textId="77777777" w:rsidR="00BB138C" w:rsidRPr="00EF6679" w:rsidRDefault="00BB138C" w:rsidP="00820288">
            <w:pPr>
              <w:spacing w:line="240" w:lineRule="auto"/>
              <w:jc w:val="right"/>
              <w:rPr>
                <w:rFonts w:ascii="Times New Roman" w:hAnsi="Times New Roman" w:cs="Times New Roman"/>
                <w:color w:val="000000" w:themeColor="text1"/>
                <w:sz w:val="16"/>
                <w:szCs w:val="16"/>
              </w:rPr>
            </w:pPr>
            <w:r w:rsidRPr="00EF6679">
              <w:rPr>
                <w:rFonts w:ascii="Times New Roman" w:hAnsi="Times New Roman" w:cs="Times New Roman"/>
                <w:color w:val="000000" w:themeColor="text1"/>
                <w:sz w:val="16"/>
                <w:szCs w:val="16"/>
              </w:rPr>
              <w:t>2.500</w:t>
            </w:r>
          </w:p>
        </w:tc>
        <w:tc>
          <w:tcPr>
            <w:tcW w:w="576" w:type="dxa"/>
            <w:noWrap/>
            <w:vAlign w:val="bottom"/>
            <w:hideMark/>
          </w:tcPr>
          <w:p w14:paraId="236F6325" w14:textId="77777777" w:rsidR="00BB138C" w:rsidRPr="00EF6679" w:rsidRDefault="00BB138C" w:rsidP="00820288">
            <w:pPr>
              <w:spacing w:line="240" w:lineRule="auto"/>
              <w:rPr>
                <w:rFonts w:ascii="Times New Roman" w:hAnsi="Times New Roman" w:cs="Times New Roman"/>
                <w:color w:val="000000" w:themeColor="text1"/>
                <w:sz w:val="16"/>
                <w:szCs w:val="16"/>
                <w:vertAlign w:val="superscript"/>
              </w:rPr>
            </w:pPr>
            <w:r w:rsidRPr="00EF6679">
              <w:rPr>
                <w:rFonts w:ascii="Times New Roman" w:hAnsi="Times New Roman" w:cs="Times New Roman"/>
                <w:color w:val="000000" w:themeColor="text1"/>
                <w:sz w:val="16"/>
                <w:szCs w:val="16"/>
                <w:vertAlign w:val="superscript"/>
              </w:rPr>
              <w:t xml:space="preserve">a </w:t>
            </w:r>
          </w:p>
        </w:tc>
      </w:tr>
      <w:tr w:rsidR="00BB138C" w:rsidRPr="00EF6679" w14:paraId="13D9104A" w14:textId="77777777" w:rsidTr="00820288">
        <w:trPr>
          <w:trHeight w:val="173"/>
        </w:trPr>
        <w:tc>
          <w:tcPr>
            <w:tcW w:w="2880" w:type="dxa"/>
            <w:noWrap/>
            <w:vAlign w:val="bottom"/>
            <w:hideMark/>
          </w:tcPr>
          <w:p w14:paraId="162AD506" w14:textId="77777777" w:rsidR="00BB138C" w:rsidRPr="00EF6679" w:rsidRDefault="00BB138C" w:rsidP="00820288">
            <w:pPr>
              <w:spacing w:line="240" w:lineRule="auto"/>
              <w:rPr>
                <w:rFonts w:ascii="Times New Roman" w:hAnsi="Times New Roman" w:cs="Times New Roman"/>
                <w:color w:val="000000" w:themeColor="text1"/>
                <w:sz w:val="16"/>
                <w:szCs w:val="16"/>
              </w:rPr>
            </w:pPr>
            <w:r w:rsidRPr="00EF6679">
              <w:rPr>
                <w:rFonts w:ascii="Times New Roman" w:hAnsi="Times New Roman" w:cs="Times New Roman"/>
                <w:color w:val="000000" w:themeColor="text1"/>
                <w:sz w:val="16"/>
                <w:szCs w:val="16"/>
              </w:rPr>
              <w:t>α-Terpinene</w:t>
            </w:r>
          </w:p>
        </w:tc>
        <w:tc>
          <w:tcPr>
            <w:tcW w:w="576" w:type="dxa"/>
            <w:noWrap/>
            <w:vAlign w:val="bottom"/>
            <w:hideMark/>
          </w:tcPr>
          <w:p w14:paraId="043AF890" w14:textId="77777777" w:rsidR="00BB138C" w:rsidRPr="00EF6679" w:rsidRDefault="00BB138C" w:rsidP="00820288">
            <w:pPr>
              <w:spacing w:line="240" w:lineRule="auto"/>
              <w:jc w:val="right"/>
              <w:rPr>
                <w:rFonts w:ascii="Times New Roman" w:hAnsi="Times New Roman" w:cs="Times New Roman"/>
                <w:color w:val="000000" w:themeColor="text1"/>
                <w:sz w:val="16"/>
                <w:szCs w:val="16"/>
              </w:rPr>
            </w:pPr>
            <w:r w:rsidRPr="00EF6679">
              <w:rPr>
                <w:rFonts w:ascii="Times New Roman" w:hAnsi="Times New Roman" w:cs="Times New Roman"/>
                <w:color w:val="000000" w:themeColor="text1"/>
                <w:sz w:val="16"/>
                <w:szCs w:val="16"/>
              </w:rPr>
              <w:t>1.035</w:t>
            </w:r>
          </w:p>
        </w:tc>
        <w:tc>
          <w:tcPr>
            <w:tcW w:w="576" w:type="dxa"/>
            <w:noWrap/>
            <w:vAlign w:val="bottom"/>
            <w:hideMark/>
          </w:tcPr>
          <w:p w14:paraId="655E6B53" w14:textId="77777777" w:rsidR="00BB138C" w:rsidRPr="00EF6679" w:rsidRDefault="00BB138C" w:rsidP="00820288">
            <w:pPr>
              <w:spacing w:line="240" w:lineRule="auto"/>
              <w:rPr>
                <w:rFonts w:ascii="Times New Roman" w:hAnsi="Times New Roman" w:cs="Times New Roman"/>
                <w:color w:val="000000" w:themeColor="text1"/>
                <w:sz w:val="16"/>
                <w:szCs w:val="16"/>
                <w:vertAlign w:val="superscript"/>
              </w:rPr>
            </w:pPr>
            <w:r w:rsidRPr="00EF6679">
              <w:rPr>
                <w:rFonts w:ascii="Times New Roman" w:hAnsi="Times New Roman" w:cs="Times New Roman"/>
                <w:color w:val="000000" w:themeColor="text1"/>
                <w:sz w:val="16"/>
                <w:szCs w:val="16"/>
                <w:vertAlign w:val="superscript"/>
              </w:rPr>
              <w:t xml:space="preserve">a </w:t>
            </w:r>
          </w:p>
        </w:tc>
        <w:tc>
          <w:tcPr>
            <w:tcW w:w="576" w:type="dxa"/>
            <w:noWrap/>
            <w:vAlign w:val="bottom"/>
            <w:hideMark/>
          </w:tcPr>
          <w:p w14:paraId="72484623" w14:textId="77777777" w:rsidR="00BB138C" w:rsidRPr="00EF6679" w:rsidRDefault="00BB138C" w:rsidP="00820288">
            <w:pPr>
              <w:spacing w:line="240" w:lineRule="auto"/>
              <w:jc w:val="right"/>
              <w:rPr>
                <w:rFonts w:ascii="Times New Roman" w:hAnsi="Times New Roman" w:cs="Times New Roman"/>
                <w:color w:val="000000" w:themeColor="text1"/>
                <w:sz w:val="16"/>
                <w:szCs w:val="16"/>
              </w:rPr>
            </w:pPr>
            <w:r w:rsidRPr="00EF6679">
              <w:rPr>
                <w:rFonts w:ascii="Times New Roman" w:hAnsi="Times New Roman" w:cs="Times New Roman"/>
                <w:color w:val="000000" w:themeColor="text1"/>
                <w:sz w:val="16"/>
                <w:szCs w:val="16"/>
              </w:rPr>
              <w:t>0.870</w:t>
            </w:r>
          </w:p>
        </w:tc>
        <w:tc>
          <w:tcPr>
            <w:tcW w:w="576" w:type="dxa"/>
            <w:noWrap/>
            <w:vAlign w:val="bottom"/>
            <w:hideMark/>
          </w:tcPr>
          <w:p w14:paraId="59B797A3" w14:textId="77777777" w:rsidR="00BB138C" w:rsidRPr="00EF6679" w:rsidRDefault="00BB138C" w:rsidP="00820288">
            <w:pPr>
              <w:spacing w:line="240" w:lineRule="auto"/>
              <w:rPr>
                <w:rFonts w:ascii="Times New Roman" w:hAnsi="Times New Roman" w:cs="Times New Roman"/>
                <w:color w:val="000000" w:themeColor="text1"/>
                <w:sz w:val="16"/>
                <w:szCs w:val="16"/>
                <w:vertAlign w:val="superscript"/>
              </w:rPr>
            </w:pPr>
            <w:r w:rsidRPr="00EF6679">
              <w:rPr>
                <w:rFonts w:ascii="Times New Roman" w:hAnsi="Times New Roman" w:cs="Times New Roman"/>
                <w:color w:val="000000" w:themeColor="text1"/>
                <w:sz w:val="16"/>
                <w:szCs w:val="16"/>
                <w:vertAlign w:val="superscript"/>
              </w:rPr>
              <w:t xml:space="preserve">a </w:t>
            </w:r>
          </w:p>
        </w:tc>
        <w:tc>
          <w:tcPr>
            <w:tcW w:w="576" w:type="dxa"/>
            <w:noWrap/>
            <w:vAlign w:val="bottom"/>
            <w:hideMark/>
          </w:tcPr>
          <w:p w14:paraId="734129D8" w14:textId="77777777" w:rsidR="00BB138C" w:rsidRPr="00EF6679" w:rsidRDefault="00BB138C" w:rsidP="00820288">
            <w:pPr>
              <w:spacing w:line="240" w:lineRule="auto"/>
              <w:jc w:val="right"/>
              <w:rPr>
                <w:rFonts w:ascii="Times New Roman" w:hAnsi="Times New Roman" w:cs="Times New Roman"/>
                <w:color w:val="000000" w:themeColor="text1"/>
                <w:sz w:val="16"/>
                <w:szCs w:val="16"/>
              </w:rPr>
            </w:pPr>
            <w:r w:rsidRPr="00EF6679">
              <w:rPr>
                <w:rFonts w:ascii="Times New Roman" w:hAnsi="Times New Roman" w:cs="Times New Roman"/>
                <w:color w:val="000000" w:themeColor="text1"/>
                <w:sz w:val="16"/>
                <w:szCs w:val="16"/>
              </w:rPr>
              <w:t>0.757</w:t>
            </w:r>
          </w:p>
        </w:tc>
        <w:tc>
          <w:tcPr>
            <w:tcW w:w="576" w:type="dxa"/>
            <w:noWrap/>
            <w:vAlign w:val="bottom"/>
            <w:hideMark/>
          </w:tcPr>
          <w:p w14:paraId="25EF374F" w14:textId="77777777" w:rsidR="00BB138C" w:rsidRPr="00EF6679" w:rsidRDefault="00BB138C" w:rsidP="00820288">
            <w:pPr>
              <w:spacing w:line="240" w:lineRule="auto"/>
              <w:rPr>
                <w:rFonts w:ascii="Times New Roman" w:hAnsi="Times New Roman" w:cs="Times New Roman"/>
                <w:color w:val="000000" w:themeColor="text1"/>
                <w:sz w:val="16"/>
                <w:szCs w:val="16"/>
                <w:vertAlign w:val="superscript"/>
              </w:rPr>
            </w:pPr>
            <w:r w:rsidRPr="00EF6679">
              <w:rPr>
                <w:rFonts w:ascii="Times New Roman" w:hAnsi="Times New Roman" w:cs="Times New Roman"/>
                <w:color w:val="000000" w:themeColor="text1"/>
                <w:sz w:val="16"/>
                <w:szCs w:val="16"/>
                <w:vertAlign w:val="superscript"/>
              </w:rPr>
              <w:t xml:space="preserve">a </w:t>
            </w:r>
          </w:p>
        </w:tc>
        <w:tc>
          <w:tcPr>
            <w:tcW w:w="576" w:type="dxa"/>
            <w:noWrap/>
            <w:vAlign w:val="bottom"/>
            <w:hideMark/>
          </w:tcPr>
          <w:p w14:paraId="6529A4A5" w14:textId="77777777" w:rsidR="00BB138C" w:rsidRPr="00EF6679" w:rsidRDefault="00BB138C" w:rsidP="00820288">
            <w:pPr>
              <w:spacing w:line="240" w:lineRule="auto"/>
              <w:jc w:val="right"/>
              <w:rPr>
                <w:rFonts w:ascii="Times New Roman" w:hAnsi="Times New Roman" w:cs="Times New Roman"/>
                <w:color w:val="000000" w:themeColor="text1"/>
                <w:sz w:val="16"/>
                <w:szCs w:val="16"/>
              </w:rPr>
            </w:pPr>
            <w:r w:rsidRPr="00EF6679">
              <w:rPr>
                <w:rFonts w:ascii="Times New Roman" w:hAnsi="Times New Roman" w:cs="Times New Roman"/>
                <w:color w:val="000000" w:themeColor="text1"/>
                <w:sz w:val="16"/>
                <w:szCs w:val="16"/>
              </w:rPr>
              <w:t>0.930</w:t>
            </w:r>
          </w:p>
        </w:tc>
        <w:tc>
          <w:tcPr>
            <w:tcW w:w="576" w:type="dxa"/>
            <w:noWrap/>
            <w:vAlign w:val="bottom"/>
            <w:hideMark/>
          </w:tcPr>
          <w:p w14:paraId="099E2AB5" w14:textId="77777777" w:rsidR="00BB138C" w:rsidRPr="00EF6679" w:rsidRDefault="00BB138C" w:rsidP="00820288">
            <w:pPr>
              <w:spacing w:line="240" w:lineRule="auto"/>
              <w:rPr>
                <w:rFonts w:ascii="Times New Roman" w:hAnsi="Times New Roman" w:cs="Times New Roman"/>
                <w:color w:val="000000" w:themeColor="text1"/>
                <w:sz w:val="16"/>
                <w:szCs w:val="16"/>
                <w:vertAlign w:val="superscript"/>
              </w:rPr>
            </w:pPr>
            <w:r w:rsidRPr="00EF6679">
              <w:rPr>
                <w:rFonts w:ascii="Times New Roman" w:hAnsi="Times New Roman" w:cs="Times New Roman"/>
                <w:color w:val="000000" w:themeColor="text1"/>
                <w:sz w:val="16"/>
                <w:szCs w:val="16"/>
                <w:vertAlign w:val="superscript"/>
              </w:rPr>
              <w:t xml:space="preserve">a </w:t>
            </w:r>
          </w:p>
        </w:tc>
      </w:tr>
      <w:tr w:rsidR="00BB138C" w:rsidRPr="00EF6679" w14:paraId="3C9F0EA2" w14:textId="77777777" w:rsidTr="00820288">
        <w:trPr>
          <w:trHeight w:val="173"/>
        </w:trPr>
        <w:tc>
          <w:tcPr>
            <w:tcW w:w="2880" w:type="dxa"/>
            <w:noWrap/>
            <w:vAlign w:val="bottom"/>
            <w:hideMark/>
          </w:tcPr>
          <w:p w14:paraId="095292A5" w14:textId="77777777" w:rsidR="00BB138C" w:rsidRPr="00EF6679" w:rsidRDefault="00BB138C" w:rsidP="00820288">
            <w:pPr>
              <w:spacing w:line="240" w:lineRule="auto"/>
              <w:rPr>
                <w:rFonts w:ascii="Times New Roman" w:hAnsi="Times New Roman" w:cs="Times New Roman"/>
                <w:color w:val="000000" w:themeColor="text1"/>
                <w:sz w:val="16"/>
                <w:szCs w:val="16"/>
              </w:rPr>
            </w:pPr>
            <w:r w:rsidRPr="00EF6679">
              <w:rPr>
                <w:rFonts w:ascii="Times New Roman" w:hAnsi="Times New Roman" w:cs="Times New Roman"/>
                <w:color w:val="000000" w:themeColor="text1"/>
                <w:sz w:val="16"/>
                <w:szCs w:val="16"/>
              </w:rPr>
              <w:t xml:space="preserve">Benzamide                </w:t>
            </w:r>
          </w:p>
        </w:tc>
        <w:tc>
          <w:tcPr>
            <w:tcW w:w="576" w:type="dxa"/>
            <w:noWrap/>
            <w:vAlign w:val="bottom"/>
            <w:hideMark/>
          </w:tcPr>
          <w:p w14:paraId="3FD07A6A" w14:textId="77777777" w:rsidR="00BB138C" w:rsidRPr="00EF6679" w:rsidRDefault="00BB138C" w:rsidP="00820288">
            <w:pPr>
              <w:spacing w:line="240" w:lineRule="auto"/>
              <w:jc w:val="right"/>
              <w:rPr>
                <w:rFonts w:ascii="Times New Roman" w:hAnsi="Times New Roman" w:cs="Times New Roman"/>
                <w:color w:val="000000" w:themeColor="text1"/>
                <w:sz w:val="16"/>
                <w:szCs w:val="16"/>
              </w:rPr>
            </w:pPr>
            <w:r w:rsidRPr="00EF6679">
              <w:rPr>
                <w:rFonts w:ascii="Times New Roman" w:hAnsi="Times New Roman" w:cs="Times New Roman"/>
                <w:color w:val="000000" w:themeColor="text1"/>
                <w:sz w:val="16"/>
                <w:szCs w:val="16"/>
              </w:rPr>
              <w:t>6.188</w:t>
            </w:r>
          </w:p>
        </w:tc>
        <w:tc>
          <w:tcPr>
            <w:tcW w:w="576" w:type="dxa"/>
            <w:noWrap/>
            <w:vAlign w:val="bottom"/>
            <w:hideMark/>
          </w:tcPr>
          <w:p w14:paraId="3BF5105F" w14:textId="77777777" w:rsidR="00BB138C" w:rsidRPr="00EF6679" w:rsidRDefault="00BB138C" w:rsidP="00820288">
            <w:pPr>
              <w:spacing w:line="240" w:lineRule="auto"/>
              <w:rPr>
                <w:rFonts w:ascii="Times New Roman" w:hAnsi="Times New Roman" w:cs="Times New Roman"/>
                <w:color w:val="000000" w:themeColor="text1"/>
                <w:sz w:val="16"/>
                <w:szCs w:val="16"/>
                <w:vertAlign w:val="superscript"/>
              </w:rPr>
            </w:pPr>
            <w:r w:rsidRPr="00EF6679">
              <w:rPr>
                <w:rFonts w:ascii="Times New Roman" w:hAnsi="Times New Roman" w:cs="Times New Roman"/>
                <w:color w:val="000000" w:themeColor="text1"/>
                <w:sz w:val="16"/>
                <w:szCs w:val="16"/>
                <w:vertAlign w:val="superscript"/>
              </w:rPr>
              <w:t xml:space="preserve">a </w:t>
            </w:r>
          </w:p>
        </w:tc>
        <w:tc>
          <w:tcPr>
            <w:tcW w:w="576" w:type="dxa"/>
            <w:noWrap/>
            <w:vAlign w:val="bottom"/>
            <w:hideMark/>
          </w:tcPr>
          <w:p w14:paraId="4381DA83" w14:textId="77777777" w:rsidR="00BB138C" w:rsidRPr="00EF6679" w:rsidRDefault="00BB138C" w:rsidP="00820288">
            <w:pPr>
              <w:spacing w:line="240" w:lineRule="auto"/>
              <w:jc w:val="right"/>
              <w:rPr>
                <w:rFonts w:ascii="Times New Roman" w:hAnsi="Times New Roman" w:cs="Times New Roman"/>
                <w:color w:val="000000" w:themeColor="text1"/>
                <w:sz w:val="16"/>
                <w:szCs w:val="16"/>
              </w:rPr>
            </w:pPr>
            <w:r w:rsidRPr="00EF6679">
              <w:rPr>
                <w:rFonts w:ascii="Times New Roman" w:hAnsi="Times New Roman" w:cs="Times New Roman"/>
                <w:color w:val="000000" w:themeColor="text1"/>
                <w:sz w:val="16"/>
                <w:szCs w:val="16"/>
              </w:rPr>
              <w:t>4.434</w:t>
            </w:r>
          </w:p>
        </w:tc>
        <w:tc>
          <w:tcPr>
            <w:tcW w:w="576" w:type="dxa"/>
            <w:noWrap/>
            <w:vAlign w:val="bottom"/>
            <w:hideMark/>
          </w:tcPr>
          <w:p w14:paraId="67A8B0CC" w14:textId="77777777" w:rsidR="00BB138C" w:rsidRPr="00EF6679" w:rsidRDefault="00BB138C" w:rsidP="00820288">
            <w:pPr>
              <w:spacing w:line="240" w:lineRule="auto"/>
              <w:rPr>
                <w:rFonts w:ascii="Times New Roman" w:hAnsi="Times New Roman" w:cs="Times New Roman"/>
                <w:color w:val="000000" w:themeColor="text1"/>
                <w:sz w:val="16"/>
                <w:szCs w:val="16"/>
                <w:vertAlign w:val="superscript"/>
              </w:rPr>
            </w:pPr>
            <w:r w:rsidRPr="00EF6679">
              <w:rPr>
                <w:rFonts w:ascii="Times New Roman" w:hAnsi="Times New Roman" w:cs="Times New Roman"/>
                <w:color w:val="000000" w:themeColor="text1"/>
                <w:sz w:val="16"/>
                <w:szCs w:val="16"/>
                <w:vertAlign w:val="superscript"/>
              </w:rPr>
              <w:t xml:space="preserve">a </w:t>
            </w:r>
          </w:p>
        </w:tc>
        <w:tc>
          <w:tcPr>
            <w:tcW w:w="576" w:type="dxa"/>
            <w:noWrap/>
            <w:vAlign w:val="bottom"/>
            <w:hideMark/>
          </w:tcPr>
          <w:p w14:paraId="4D9380D0" w14:textId="77777777" w:rsidR="00BB138C" w:rsidRPr="00EF6679" w:rsidRDefault="00BB138C" w:rsidP="00820288">
            <w:pPr>
              <w:spacing w:line="240" w:lineRule="auto"/>
              <w:jc w:val="right"/>
              <w:rPr>
                <w:rFonts w:ascii="Times New Roman" w:hAnsi="Times New Roman" w:cs="Times New Roman"/>
                <w:color w:val="000000" w:themeColor="text1"/>
                <w:sz w:val="16"/>
                <w:szCs w:val="16"/>
              </w:rPr>
            </w:pPr>
            <w:r w:rsidRPr="00EF6679">
              <w:rPr>
                <w:rFonts w:ascii="Times New Roman" w:hAnsi="Times New Roman" w:cs="Times New Roman"/>
                <w:color w:val="000000" w:themeColor="text1"/>
                <w:sz w:val="16"/>
                <w:szCs w:val="16"/>
              </w:rPr>
              <w:t>3.955</w:t>
            </w:r>
          </w:p>
        </w:tc>
        <w:tc>
          <w:tcPr>
            <w:tcW w:w="576" w:type="dxa"/>
            <w:noWrap/>
            <w:vAlign w:val="bottom"/>
            <w:hideMark/>
          </w:tcPr>
          <w:p w14:paraId="2EC18B52" w14:textId="77777777" w:rsidR="00BB138C" w:rsidRPr="00EF6679" w:rsidRDefault="00BB138C" w:rsidP="00820288">
            <w:pPr>
              <w:spacing w:line="240" w:lineRule="auto"/>
              <w:rPr>
                <w:rFonts w:ascii="Times New Roman" w:hAnsi="Times New Roman" w:cs="Times New Roman"/>
                <w:color w:val="000000" w:themeColor="text1"/>
                <w:sz w:val="16"/>
                <w:szCs w:val="16"/>
                <w:vertAlign w:val="superscript"/>
              </w:rPr>
            </w:pPr>
            <w:r w:rsidRPr="00EF6679">
              <w:rPr>
                <w:rFonts w:ascii="Times New Roman" w:hAnsi="Times New Roman" w:cs="Times New Roman"/>
                <w:color w:val="000000" w:themeColor="text1"/>
                <w:sz w:val="16"/>
                <w:szCs w:val="16"/>
                <w:vertAlign w:val="superscript"/>
              </w:rPr>
              <w:t xml:space="preserve">a </w:t>
            </w:r>
          </w:p>
        </w:tc>
        <w:tc>
          <w:tcPr>
            <w:tcW w:w="576" w:type="dxa"/>
            <w:noWrap/>
            <w:vAlign w:val="bottom"/>
            <w:hideMark/>
          </w:tcPr>
          <w:p w14:paraId="520AA7DF" w14:textId="77777777" w:rsidR="00BB138C" w:rsidRPr="00EF6679" w:rsidRDefault="00BB138C" w:rsidP="00820288">
            <w:pPr>
              <w:spacing w:line="240" w:lineRule="auto"/>
              <w:jc w:val="right"/>
              <w:rPr>
                <w:rFonts w:ascii="Times New Roman" w:hAnsi="Times New Roman" w:cs="Times New Roman"/>
                <w:color w:val="000000" w:themeColor="text1"/>
                <w:sz w:val="16"/>
                <w:szCs w:val="16"/>
              </w:rPr>
            </w:pPr>
            <w:r w:rsidRPr="00EF6679">
              <w:rPr>
                <w:rFonts w:ascii="Times New Roman" w:hAnsi="Times New Roman" w:cs="Times New Roman"/>
                <w:color w:val="000000" w:themeColor="text1"/>
                <w:sz w:val="16"/>
                <w:szCs w:val="16"/>
              </w:rPr>
              <w:t>4.303</w:t>
            </w:r>
          </w:p>
        </w:tc>
        <w:tc>
          <w:tcPr>
            <w:tcW w:w="576" w:type="dxa"/>
            <w:noWrap/>
            <w:vAlign w:val="bottom"/>
            <w:hideMark/>
          </w:tcPr>
          <w:p w14:paraId="7DD7031B" w14:textId="77777777" w:rsidR="00BB138C" w:rsidRPr="00EF6679" w:rsidRDefault="00BB138C" w:rsidP="00820288">
            <w:pPr>
              <w:spacing w:line="240" w:lineRule="auto"/>
              <w:rPr>
                <w:rFonts w:ascii="Times New Roman" w:hAnsi="Times New Roman" w:cs="Times New Roman"/>
                <w:color w:val="000000" w:themeColor="text1"/>
                <w:sz w:val="16"/>
                <w:szCs w:val="16"/>
                <w:vertAlign w:val="superscript"/>
              </w:rPr>
            </w:pPr>
            <w:r w:rsidRPr="00EF6679">
              <w:rPr>
                <w:rFonts w:ascii="Times New Roman" w:hAnsi="Times New Roman" w:cs="Times New Roman"/>
                <w:color w:val="000000" w:themeColor="text1"/>
                <w:sz w:val="16"/>
                <w:szCs w:val="16"/>
                <w:vertAlign w:val="superscript"/>
              </w:rPr>
              <w:t xml:space="preserve">a </w:t>
            </w:r>
          </w:p>
        </w:tc>
      </w:tr>
      <w:tr w:rsidR="00BB138C" w:rsidRPr="00EF6679" w14:paraId="2F4E7B07" w14:textId="77777777" w:rsidTr="00820288">
        <w:trPr>
          <w:trHeight w:val="173"/>
        </w:trPr>
        <w:tc>
          <w:tcPr>
            <w:tcW w:w="2880" w:type="dxa"/>
            <w:noWrap/>
            <w:vAlign w:val="bottom"/>
            <w:hideMark/>
          </w:tcPr>
          <w:p w14:paraId="3D011F04" w14:textId="77777777" w:rsidR="00BB138C" w:rsidRPr="00EF6679" w:rsidRDefault="00BB138C" w:rsidP="00820288">
            <w:pPr>
              <w:spacing w:line="240" w:lineRule="auto"/>
              <w:rPr>
                <w:rFonts w:ascii="Times New Roman" w:hAnsi="Times New Roman" w:cs="Times New Roman"/>
                <w:color w:val="000000" w:themeColor="text1"/>
                <w:sz w:val="16"/>
                <w:szCs w:val="16"/>
              </w:rPr>
            </w:pPr>
            <w:r w:rsidRPr="00EF6679">
              <w:rPr>
                <w:rFonts w:ascii="Times New Roman" w:hAnsi="Times New Roman" w:cs="Times New Roman"/>
                <w:color w:val="000000" w:themeColor="text1"/>
                <w:sz w:val="16"/>
                <w:szCs w:val="16"/>
              </w:rPr>
              <w:t xml:space="preserve">Decane                   </w:t>
            </w:r>
          </w:p>
        </w:tc>
        <w:tc>
          <w:tcPr>
            <w:tcW w:w="576" w:type="dxa"/>
            <w:noWrap/>
            <w:vAlign w:val="bottom"/>
            <w:hideMark/>
          </w:tcPr>
          <w:p w14:paraId="6F0F9ED6" w14:textId="77777777" w:rsidR="00BB138C" w:rsidRPr="00EF6679" w:rsidRDefault="00BB138C" w:rsidP="00820288">
            <w:pPr>
              <w:spacing w:line="240" w:lineRule="auto"/>
              <w:jc w:val="right"/>
              <w:rPr>
                <w:rFonts w:ascii="Times New Roman" w:hAnsi="Times New Roman" w:cs="Times New Roman"/>
                <w:color w:val="000000" w:themeColor="text1"/>
                <w:sz w:val="16"/>
                <w:szCs w:val="16"/>
              </w:rPr>
            </w:pPr>
            <w:r w:rsidRPr="00EF6679">
              <w:rPr>
                <w:rFonts w:ascii="Times New Roman" w:hAnsi="Times New Roman" w:cs="Times New Roman"/>
                <w:color w:val="000000" w:themeColor="text1"/>
                <w:sz w:val="16"/>
                <w:szCs w:val="16"/>
              </w:rPr>
              <w:t>8.912</w:t>
            </w:r>
          </w:p>
        </w:tc>
        <w:tc>
          <w:tcPr>
            <w:tcW w:w="576" w:type="dxa"/>
            <w:noWrap/>
            <w:vAlign w:val="bottom"/>
            <w:hideMark/>
          </w:tcPr>
          <w:p w14:paraId="454D7566" w14:textId="77777777" w:rsidR="00BB138C" w:rsidRPr="00EF6679" w:rsidRDefault="00BB138C" w:rsidP="00820288">
            <w:pPr>
              <w:spacing w:line="240" w:lineRule="auto"/>
              <w:rPr>
                <w:rFonts w:ascii="Times New Roman" w:hAnsi="Times New Roman" w:cs="Times New Roman"/>
                <w:color w:val="000000" w:themeColor="text1"/>
                <w:sz w:val="16"/>
                <w:szCs w:val="16"/>
                <w:vertAlign w:val="superscript"/>
              </w:rPr>
            </w:pPr>
            <w:r w:rsidRPr="00EF6679">
              <w:rPr>
                <w:rFonts w:ascii="Times New Roman" w:hAnsi="Times New Roman" w:cs="Times New Roman"/>
                <w:color w:val="000000" w:themeColor="text1"/>
                <w:sz w:val="16"/>
                <w:szCs w:val="16"/>
                <w:vertAlign w:val="superscript"/>
              </w:rPr>
              <w:t xml:space="preserve">a </w:t>
            </w:r>
          </w:p>
        </w:tc>
        <w:tc>
          <w:tcPr>
            <w:tcW w:w="576" w:type="dxa"/>
            <w:noWrap/>
            <w:vAlign w:val="bottom"/>
            <w:hideMark/>
          </w:tcPr>
          <w:p w14:paraId="479D950F" w14:textId="77777777" w:rsidR="00BB138C" w:rsidRPr="00EF6679" w:rsidRDefault="00BB138C" w:rsidP="00820288">
            <w:pPr>
              <w:spacing w:line="240" w:lineRule="auto"/>
              <w:jc w:val="right"/>
              <w:rPr>
                <w:rFonts w:ascii="Times New Roman" w:hAnsi="Times New Roman" w:cs="Times New Roman"/>
                <w:color w:val="000000" w:themeColor="text1"/>
                <w:sz w:val="16"/>
                <w:szCs w:val="16"/>
              </w:rPr>
            </w:pPr>
            <w:r w:rsidRPr="00EF6679">
              <w:rPr>
                <w:rFonts w:ascii="Times New Roman" w:hAnsi="Times New Roman" w:cs="Times New Roman"/>
                <w:color w:val="000000" w:themeColor="text1"/>
                <w:sz w:val="16"/>
                <w:szCs w:val="16"/>
              </w:rPr>
              <w:t>6.155</w:t>
            </w:r>
          </w:p>
        </w:tc>
        <w:tc>
          <w:tcPr>
            <w:tcW w:w="576" w:type="dxa"/>
            <w:noWrap/>
            <w:vAlign w:val="bottom"/>
            <w:hideMark/>
          </w:tcPr>
          <w:p w14:paraId="036C3379" w14:textId="77777777" w:rsidR="00BB138C" w:rsidRPr="00EF6679" w:rsidRDefault="00BB138C" w:rsidP="00820288">
            <w:pPr>
              <w:spacing w:line="240" w:lineRule="auto"/>
              <w:rPr>
                <w:rFonts w:ascii="Times New Roman" w:hAnsi="Times New Roman" w:cs="Times New Roman"/>
                <w:color w:val="000000" w:themeColor="text1"/>
                <w:sz w:val="16"/>
                <w:szCs w:val="16"/>
                <w:vertAlign w:val="superscript"/>
              </w:rPr>
            </w:pPr>
            <w:r w:rsidRPr="00EF6679">
              <w:rPr>
                <w:rFonts w:ascii="Times New Roman" w:hAnsi="Times New Roman" w:cs="Times New Roman"/>
                <w:color w:val="000000" w:themeColor="text1"/>
                <w:sz w:val="16"/>
                <w:szCs w:val="16"/>
                <w:vertAlign w:val="superscript"/>
              </w:rPr>
              <w:t xml:space="preserve">a </w:t>
            </w:r>
          </w:p>
        </w:tc>
        <w:tc>
          <w:tcPr>
            <w:tcW w:w="576" w:type="dxa"/>
            <w:noWrap/>
            <w:vAlign w:val="bottom"/>
            <w:hideMark/>
          </w:tcPr>
          <w:p w14:paraId="68FF6652" w14:textId="77777777" w:rsidR="00BB138C" w:rsidRPr="00EF6679" w:rsidRDefault="00BB138C" w:rsidP="00820288">
            <w:pPr>
              <w:spacing w:line="240" w:lineRule="auto"/>
              <w:jc w:val="right"/>
              <w:rPr>
                <w:rFonts w:ascii="Times New Roman" w:hAnsi="Times New Roman" w:cs="Times New Roman"/>
                <w:color w:val="000000" w:themeColor="text1"/>
                <w:sz w:val="16"/>
                <w:szCs w:val="16"/>
              </w:rPr>
            </w:pPr>
            <w:r w:rsidRPr="00EF6679">
              <w:rPr>
                <w:rFonts w:ascii="Times New Roman" w:hAnsi="Times New Roman" w:cs="Times New Roman"/>
                <w:color w:val="000000" w:themeColor="text1"/>
                <w:sz w:val="16"/>
                <w:szCs w:val="16"/>
              </w:rPr>
              <w:t>7.642</w:t>
            </w:r>
          </w:p>
        </w:tc>
        <w:tc>
          <w:tcPr>
            <w:tcW w:w="576" w:type="dxa"/>
            <w:noWrap/>
            <w:vAlign w:val="bottom"/>
            <w:hideMark/>
          </w:tcPr>
          <w:p w14:paraId="29054EED" w14:textId="77777777" w:rsidR="00BB138C" w:rsidRPr="00EF6679" w:rsidRDefault="00BB138C" w:rsidP="00820288">
            <w:pPr>
              <w:spacing w:line="240" w:lineRule="auto"/>
              <w:rPr>
                <w:rFonts w:ascii="Times New Roman" w:hAnsi="Times New Roman" w:cs="Times New Roman"/>
                <w:color w:val="000000" w:themeColor="text1"/>
                <w:sz w:val="16"/>
                <w:szCs w:val="16"/>
                <w:vertAlign w:val="superscript"/>
              </w:rPr>
            </w:pPr>
            <w:r w:rsidRPr="00EF6679">
              <w:rPr>
                <w:rFonts w:ascii="Times New Roman" w:hAnsi="Times New Roman" w:cs="Times New Roman"/>
                <w:color w:val="000000" w:themeColor="text1"/>
                <w:sz w:val="16"/>
                <w:szCs w:val="16"/>
                <w:vertAlign w:val="superscript"/>
              </w:rPr>
              <w:t xml:space="preserve">a </w:t>
            </w:r>
          </w:p>
        </w:tc>
        <w:tc>
          <w:tcPr>
            <w:tcW w:w="576" w:type="dxa"/>
            <w:noWrap/>
            <w:vAlign w:val="bottom"/>
            <w:hideMark/>
          </w:tcPr>
          <w:p w14:paraId="4BB1AC98" w14:textId="77777777" w:rsidR="00BB138C" w:rsidRPr="00EF6679" w:rsidRDefault="00BB138C" w:rsidP="00820288">
            <w:pPr>
              <w:spacing w:line="240" w:lineRule="auto"/>
              <w:jc w:val="right"/>
              <w:rPr>
                <w:rFonts w:ascii="Times New Roman" w:hAnsi="Times New Roman" w:cs="Times New Roman"/>
                <w:color w:val="000000" w:themeColor="text1"/>
                <w:sz w:val="16"/>
                <w:szCs w:val="16"/>
              </w:rPr>
            </w:pPr>
            <w:r w:rsidRPr="00EF6679">
              <w:rPr>
                <w:rFonts w:ascii="Times New Roman" w:hAnsi="Times New Roman" w:cs="Times New Roman"/>
                <w:color w:val="000000" w:themeColor="text1"/>
                <w:sz w:val="16"/>
                <w:szCs w:val="16"/>
              </w:rPr>
              <w:t>5.909</w:t>
            </w:r>
          </w:p>
        </w:tc>
        <w:tc>
          <w:tcPr>
            <w:tcW w:w="576" w:type="dxa"/>
            <w:noWrap/>
            <w:vAlign w:val="bottom"/>
            <w:hideMark/>
          </w:tcPr>
          <w:p w14:paraId="7A371C88" w14:textId="77777777" w:rsidR="00BB138C" w:rsidRPr="00EF6679" w:rsidRDefault="00BB138C" w:rsidP="00820288">
            <w:pPr>
              <w:spacing w:line="240" w:lineRule="auto"/>
              <w:rPr>
                <w:rFonts w:ascii="Times New Roman" w:hAnsi="Times New Roman" w:cs="Times New Roman"/>
                <w:color w:val="000000" w:themeColor="text1"/>
                <w:sz w:val="16"/>
                <w:szCs w:val="16"/>
                <w:vertAlign w:val="superscript"/>
              </w:rPr>
            </w:pPr>
            <w:r w:rsidRPr="00EF6679">
              <w:rPr>
                <w:rFonts w:ascii="Times New Roman" w:hAnsi="Times New Roman" w:cs="Times New Roman"/>
                <w:color w:val="000000" w:themeColor="text1"/>
                <w:sz w:val="16"/>
                <w:szCs w:val="16"/>
                <w:vertAlign w:val="superscript"/>
              </w:rPr>
              <w:t xml:space="preserve">a </w:t>
            </w:r>
          </w:p>
        </w:tc>
      </w:tr>
      <w:tr w:rsidR="00BB138C" w:rsidRPr="00EF6679" w14:paraId="2D23609F" w14:textId="77777777" w:rsidTr="00820288">
        <w:trPr>
          <w:trHeight w:val="173"/>
        </w:trPr>
        <w:tc>
          <w:tcPr>
            <w:tcW w:w="2880" w:type="dxa"/>
            <w:noWrap/>
            <w:vAlign w:val="bottom"/>
            <w:hideMark/>
          </w:tcPr>
          <w:p w14:paraId="70D28B7D" w14:textId="77777777" w:rsidR="00BB138C" w:rsidRPr="00EF6679" w:rsidRDefault="00BB138C" w:rsidP="00820288">
            <w:pPr>
              <w:spacing w:line="240" w:lineRule="auto"/>
              <w:rPr>
                <w:rFonts w:ascii="Times New Roman" w:hAnsi="Times New Roman" w:cs="Times New Roman"/>
                <w:color w:val="000000" w:themeColor="text1"/>
                <w:sz w:val="16"/>
                <w:szCs w:val="16"/>
              </w:rPr>
            </w:pPr>
            <w:r w:rsidRPr="00EF6679">
              <w:rPr>
                <w:rFonts w:ascii="Times New Roman" w:hAnsi="Times New Roman" w:cs="Times New Roman"/>
                <w:color w:val="000000" w:themeColor="text1"/>
                <w:sz w:val="16"/>
                <w:szCs w:val="16"/>
              </w:rPr>
              <w:t xml:space="preserve">Terpinolene              </w:t>
            </w:r>
          </w:p>
        </w:tc>
        <w:tc>
          <w:tcPr>
            <w:tcW w:w="576" w:type="dxa"/>
            <w:noWrap/>
            <w:vAlign w:val="bottom"/>
            <w:hideMark/>
          </w:tcPr>
          <w:p w14:paraId="583E3358" w14:textId="77777777" w:rsidR="00BB138C" w:rsidRPr="00EF6679" w:rsidRDefault="00BB138C" w:rsidP="00820288">
            <w:pPr>
              <w:spacing w:line="240" w:lineRule="auto"/>
              <w:jc w:val="right"/>
              <w:rPr>
                <w:rFonts w:ascii="Times New Roman" w:hAnsi="Times New Roman" w:cs="Times New Roman"/>
                <w:color w:val="000000" w:themeColor="text1"/>
                <w:sz w:val="16"/>
                <w:szCs w:val="16"/>
              </w:rPr>
            </w:pPr>
            <w:r w:rsidRPr="00EF6679">
              <w:rPr>
                <w:rFonts w:ascii="Times New Roman" w:hAnsi="Times New Roman" w:cs="Times New Roman"/>
                <w:color w:val="000000" w:themeColor="text1"/>
                <w:sz w:val="16"/>
                <w:szCs w:val="16"/>
              </w:rPr>
              <w:t>237.030</w:t>
            </w:r>
          </w:p>
        </w:tc>
        <w:tc>
          <w:tcPr>
            <w:tcW w:w="576" w:type="dxa"/>
            <w:noWrap/>
            <w:vAlign w:val="bottom"/>
            <w:hideMark/>
          </w:tcPr>
          <w:p w14:paraId="65449766" w14:textId="77777777" w:rsidR="00BB138C" w:rsidRPr="00EF6679" w:rsidRDefault="00BB138C" w:rsidP="00820288">
            <w:pPr>
              <w:spacing w:line="240" w:lineRule="auto"/>
              <w:rPr>
                <w:rFonts w:ascii="Times New Roman" w:hAnsi="Times New Roman" w:cs="Times New Roman"/>
                <w:color w:val="000000" w:themeColor="text1"/>
                <w:sz w:val="16"/>
                <w:szCs w:val="16"/>
                <w:vertAlign w:val="superscript"/>
              </w:rPr>
            </w:pPr>
            <w:r w:rsidRPr="00EF6679">
              <w:rPr>
                <w:rFonts w:ascii="Times New Roman" w:hAnsi="Times New Roman" w:cs="Times New Roman"/>
                <w:color w:val="000000" w:themeColor="text1"/>
                <w:sz w:val="16"/>
                <w:szCs w:val="16"/>
                <w:vertAlign w:val="superscript"/>
              </w:rPr>
              <w:t xml:space="preserve">abc </w:t>
            </w:r>
          </w:p>
        </w:tc>
        <w:tc>
          <w:tcPr>
            <w:tcW w:w="576" w:type="dxa"/>
            <w:noWrap/>
            <w:vAlign w:val="bottom"/>
            <w:hideMark/>
          </w:tcPr>
          <w:p w14:paraId="13711B7E" w14:textId="77777777" w:rsidR="00BB138C" w:rsidRPr="00EF6679" w:rsidRDefault="00BB138C" w:rsidP="00820288">
            <w:pPr>
              <w:spacing w:line="240" w:lineRule="auto"/>
              <w:jc w:val="right"/>
              <w:rPr>
                <w:rFonts w:ascii="Times New Roman" w:hAnsi="Times New Roman" w:cs="Times New Roman"/>
                <w:color w:val="000000" w:themeColor="text1"/>
                <w:sz w:val="16"/>
                <w:szCs w:val="16"/>
              </w:rPr>
            </w:pPr>
            <w:r w:rsidRPr="00EF6679">
              <w:rPr>
                <w:rFonts w:ascii="Times New Roman" w:hAnsi="Times New Roman" w:cs="Times New Roman"/>
                <w:color w:val="000000" w:themeColor="text1"/>
                <w:sz w:val="16"/>
                <w:szCs w:val="16"/>
              </w:rPr>
              <w:t>333.710</w:t>
            </w:r>
          </w:p>
        </w:tc>
        <w:tc>
          <w:tcPr>
            <w:tcW w:w="576" w:type="dxa"/>
            <w:noWrap/>
            <w:vAlign w:val="bottom"/>
            <w:hideMark/>
          </w:tcPr>
          <w:p w14:paraId="753878C7" w14:textId="77777777" w:rsidR="00BB138C" w:rsidRPr="00EF6679" w:rsidRDefault="00BB138C" w:rsidP="00820288">
            <w:pPr>
              <w:spacing w:line="240" w:lineRule="auto"/>
              <w:rPr>
                <w:rFonts w:ascii="Times New Roman" w:hAnsi="Times New Roman" w:cs="Times New Roman"/>
                <w:color w:val="000000" w:themeColor="text1"/>
                <w:sz w:val="16"/>
                <w:szCs w:val="16"/>
                <w:vertAlign w:val="superscript"/>
              </w:rPr>
            </w:pPr>
            <w:r w:rsidRPr="00EF6679">
              <w:rPr>
                <w:rFonts w:ascii="Times New Roman" w:hAnsi="Times New Roman" w:cs="Times New Roman"/>
                <w:color w:val="000000" w:themeColor="text1"/>
                <w:sz w:val="16"/>
                <w:szCs w:val="16"/>
                <w:vertAlign w:val="superscript"/>
              </w:rPr>
              <w:t xml:space="preserve">ab </w:t>
            </w:r>
          </w:p>
        </w:tc>
        <w:tc>
          <w:tcPr>
            <w:tcW w:w="576" w:type="dxa"/>
            <w:noWrap/>
            <w:vAlign w:val="bottom"/>
            <w:hideMark/>
          </w:tcPr>
          <w:p w14:paraId="127E597D" w14:textId="77777777" w:rsidR="00BB138C" w:rsidRPr="00EF6679" w:rsidRDefault="00BB138C" w:rsidP="00820288">
            <w:pPr>
              <w:spacing w:line="240" w:lineRule="auto"/>
              <w:jc w:val="right"/>
              <w:rPr>
                <w:rFonts w:ascii="Times New Roman" w:hAnsi="Times New Roman" w:cs="Times New Roman"/>
                <w:color w:val="000000" w:themeColor="text1"/>
                <w:sz w:val="16"/>
                <w:szCs w:val="16"/>
              </w:rPr>
            </w:pPr>
            <w:r w:rsidRPr="00EF6679">
              <w:rPr>
                <w:rFonts w:ascii="Times New Roman" w:hAnsi="Times New Roman" w:cs="Times New Roman"/>
                <w:color w:val="000000" w:themeColor="text1"/>
                <w:sz w:val="16"/>
                <w:szCs w:val="16"/>
              </w:rPr>
              <w:t>178.430</w:t>
            </w:r>
          </w:p>
        </w:tc>
        <w:tc>
          <w:tcPr>
            <w:tcW w:w="576" w:type="dxa"/>
            <w:noWrap/>
            <w:vAlign w:val="bottom"/>
            <w:hideMark/>
          </w:tcPr>
          <w:p w14:paraId="143BD92B" w14:textId="77777777" w:rsidR="00BB138C" w:rsidRPr="00EF6679" w:rsidRDefault="00BB138C" w:rsidP="00820288">
            <w:pPr>
              <w:spacing w:line="240" w:lineRule="auto"/>
              <w:rPr>
                <w:rFonts w:ascii="Times New Roman" w:hAnsi="Times New Roman" w:cs="Times New Roman"/>
                <w:color w:val="000000" w:themeColor="text1"/>
                <w:sz w:val="16"/>
                <w:szCs w:val="16"/>
                <w:vertAlign w:val="superscript"/>
              </w:rPr>
            </w:pPr>
            <w:r w:rsidRPr="00EF6679">
              <w:rPr>
                <w:rFonts w:ascii="Times New Roman" w:hAnsi="Times New Roman" w:cs="Times New Roman"/>
                <w:color w:val="000000" w:themeColor="text1"/>
                <w:sz w:val="16"/>
                <w:szCs w:val="16"/>
                <w:vertAlign w:val="superscript"/>
              </w:rPr>
              <w:t xml:space="preserve">bc </w:t>
            </w:r>
          </w:p>
        </w:tc>
        <w:tc>
          <w:tcPr>
            <w:tcW w:w="576" w:type="dxa"/>
            <w:noWrap/>
            <w:vAlign w:val="bottom"/>
            <w:hideMark/>
          </w:tcPr>
          <w:p w14:paraId="57070868" w14:textId="77777777" w:rsidR="00BB138C" w:rsidRPr="00EF6679" w:rsidRDefault="00BB138C" w:rsidP="00820288">
            <w:pPr>
              <w:spacing w:line="240" w:lineRule="auto"/>
              <w:jc w:val="right"/>
              <w:rPr>
                <w:rFonts w:ascii="Times New Roman" w:hAnsi="Times New Roman" w:cs="Times New Roman"/>
                <w:color w:val="000000" w:themeColor="text1"/>
                <w:sz w:val="16"/>
                <w:szCs w:val="16"/>
              </w:rPr>
            </w:pPr>
            <w:r w:rsidRPr="00EF6679">
              <w:rPr>
                <w:rFonts w:ascii="Times New Roman" w:hAnsi="Times New Roman" w:cs="Times New Roman"/>
                <w:color w:val="000000" w:themeColor="text1"/>
                <w:sz w:val="16"/>
                <w:szCs w:val="16"/>
              </w:rPr>
              <w:t>104.710</w:t>
            </w:r>
          </w:p>
        </w:tc>
        <w:tc>
          <w:tcPr>
            <w:tcW w:w="576" w:type="dxa"/>
            <w:noWrap/>
            <w:vAlign w:val="bottom"/>
            <w:hideMark/>
          </w:tcPr>
          <w:p w14:paraId="43DA6A0D" w14:textId="77777777" w:rsidR="00BB138C" w:rsidRPr="00EF6679" w:rsidRDefault="00BB138C" w:rsidP="00820288">
            <w:pPr>
              <w:spacing w:line="240" w:lineRule="auto"/>
              <w:rPr>
                <w:rFonts w:ascii="Times New Roman" w:hAnsi="Times New Roman" w:cs="Times New Roman"/>
                <w:color w:val="000000" w:themeColor="text1"/>
                <w:sz w:val="16"/>
                <w:szCs w:val="16"/>
                <w:vertAlign w:val="superscript"/>
              </w:rPr>
            </w:pPr>
            <w:r w:rsidRPr="00EF6679">
              <w:rPr>
                <w:rFonts w:ascii="Times New Roman" w:hAnsi="Times New Roman" w:cs="Times New Roman"/>
                <w:color w:val="000000" w:themeColor="text1"/>
                <w:sz w:val="16"/>
                <w:szCs w:val="16"/>
                <w:vertAlign w:val="superscript"/>
              </w:rPr>
              <w:t xml:space="preserve">c </w:t>
            </w:r>
          </w:p>
        </w:tc>
      </w:tr>
      <w:tr w:rsidR="00BB138C" w:rsidRPr="00EF6679" w14:paraId="6087FE61" w14:textId="77777777" w:rsidTr="00820288">
        <w:trPr>
          <w:trHeight w:val="173"/>
        </w:trPr>
        <w:tc>
          <w:tcPr>
            <w:tcW w:w="2880" w:type="dxa"/>
            <w:noWrap/>
            <w:vAlign w:val="bottom"/>
            <w:hideMark/>
          </w:tcPr>
          <w:p w14:paraId="413E7CD1" w14:textId="77777777" w:rsidR="00BB138C" w:rsidRPr="00EF6679" w:rsidRDefault="00BB138C" w:rsidP="00820288">
            <w:pPr>
              <w:spacing w:line="240" w:lineRule="auto"/>
              <w:rPr>
                <w:rFonts w:ascii="Times New Roman" w:hAnsi="Times New Roman" w:cs="Times New Roman"/>
                <w:color w:val="000000" w:themeColor="text1"/>
                <w:sz w:val="16"/>
                <w:szCs w:val="16"/>
              </w:rPr>
            </w:pPr>
            <w:r w:rsidRPr="00EF6679">
              <w:rPr>
                <w:rFonts w:ascii="Times New Roman" w:hAnsi="Times New Roman" w:cs="Times New Roman"/>
                <w:color w:val="000000" w:themeColor="text1"/>
                <w:sz w:val="16"/>
                <w:szCs w:val="16"/>
              </w:rPr>
              <w:t xml:space="preserve">Sabinene hydrate    </w:t>
            </w:r>
          </w:p>
        </w:tc>
        <w:tc>
          <w:tcPr>
            <w:tcW w:w="576" w:type="dxa"/>
            <w:noWrap/>
            <w:vAlign w:val="bottom"/>
            <w:hideMark/>
          </w:tcPr>
          <w:p w14:paraId="15473B97" w14:textId="77777777" w:rsidR="00BB138C" w:rsidRPr="00EF6679" w:rsidRDefault="00BB138C" w:rsidP="00820288">
            <w:pPr>
              <w:spacing w:line="240" w:lineRule="auto"/>
              <w:jc w:val="right"/>
              <w:rPr>
                <w:rFonts w:ascii="Times New Roman" w:hAnsi="Times New Roman" w:cs="Times New Roman"/>
                <w:color w:val="000000" w:themeColor="text1"/>
                <w:sz w:val="16"/>
                <w:szCs w:val="16"/>
              </w:rPr>
            </w:pPr>
            <w:r w:rsidRPr="00EF6679">
              <w:rPr>
                <w:rFonts w:ascii="Times New Roman" w:hAnsi="Times New Roman" w:cs="Times New Roman"/>
                <w:color w:val="000000" w:themeColor="text1"/>
                <w:sz w:val="16"/>
                <w:szCs w:val="16"/>
              </w:rPr>
              <w:t>9.580</w:t>
            </w:r>
          </w:p>
        </w:tc>
        <w:tc>
          <w:tcPr>
            <w:tcW w:w="576" w:type="dxa"/>
            <w:noWrap/>
            <w:vAlign w:val="bottom"/>
            <w:hideMark/>
          </w:tcPr>
          <w:p w14:paraId="68C5C547" w14:textId="77777777" w:rsidR="00BB138C" w:rsidRPr="00EF6679" w:rsidRDefault="00BB138C" w:rsidP="00820288">
            <w:pPr>
              <w:spacing w:line="240" w:lineRule="auto"/>
              <w:rPr>
                <w:rFonts w:ascii="Times New Roman" w:hAnsi="Times New Roman" w:cs="Times New Roman"/>
                <w:color w:val="000000" w:themeColor="text1"/>
                <w:sz w:val="16"/>
                <w:szCs w:val="16"/>
                <w:vertAlign w:val="superscript"/>
              </w:rPr>
            </w:pPr>
            <w:r w:rsidRPr="00EF6679">
              <w:rPr>
                <w:rFonts w:ascii="Times New Roman" w:hAnsi="Times New Roman" w:cs="Times New Roman"/>
                <w:color w:val="000000" w:themeColor="text1"/>
                <w:sz w:val="16"/>
                <w:szCs w:val="16"/>
                <w:vertAlign w:val="superscript"/>
              </w:rPr>
              <w:t xml:space="preserve">a </w:t>
            </w:r>
          </w:p>
        </w:tc>
        <w:tc>
          <w:tcPr>
            <w:tcW w:w="576" w:type="dxa"/>
            <w:noWrap/>
            <w:vAlign w:val="bottom"/>
            <w:hideMark/>
          </w:tcPr>
          <w:p w14:paraId="062E2231" w14:textId="77777777" w:rsidR="00BB138C" w:rsidRPr="00EF6679" w:rsidRDefault="00BB138C" w:rsidP="00820288">
            <w:pPr>
              <w:spacing w:line="240" w:lineRule="auto"/>
              <w:jc w:val="right"/>
              <w:rPr>
                <w:rFonts w:ascii="Times New Roman" w:hAnsi="Times New Roman" w:cs="Times New Roman"/>
                <w:color w:val="000000" w:themeColor="text1"/>
                <w:sz w:val="16"/>
                <w:szCs w:val="16"/>
              </w:rPr>
            </w:pPr>
            <w:r w:rsidRPr="00EF6679">
              <w:rPr>
                <w:rFonts w:ascii="Times New Roman" w:hAnsi="Times New Roman" w:cs="Times New Roman"/>
                <w:color w:val="000000" w:themeColor="text1"/>
                <w:sz w:val="16"/>
                <w:szCs w:val="16"/>
              </w:rPr>
              <w:t>6.405</w:t>
            </w:r>
          </w:p>
        </w:tc>
        <w:tc>
          <w:tcPr>
            <w:tcW w:w="576" w:type="dxa"/>
            <w:noWrap/>
            <w:vAlign w:val="bottom"/>
            <w:hideMark/>
          </w:tcPr>
          <w:p w14:paraId="32E26CC5" w14:textId="77777777" w:rsidR="00BB138C" w:rsidRPr="00EF6679" w:rsidRDefault="00BB138C" w:rsidP="00820288">
            <w:pPr>
              <w:spacing w:line="240" w:lineRule="auto"/>
              <w:rPr>
                <w:rFonts w:ascii="Times New Roman" w:hAnsi="Times New Roman" w:cs="Times New Roman"/>
                <w:color w:val="000000" w:themeColor="text1"/>
                <w:sz w:val="16"/>
                <w:szCs w:val="16"/>
                <w:vertAlign w:val="superscript"/>
              </w:rPr>
            </w:pPr>
            <w:r w:rsidRPr="00EF6679">
              <w:rPr>
                <w:rFonts w:ascii="Times New Roman" w:hAnsi="Times New Roman" w:cs="Times New Roman"/>
                <w:color w:val="000000" w:themeColor="text1"/>
                <w:sz w:val="16"/>
                <w:szCs w:val="16"/>
                <w:vertAlign w:val="superscript"/>
              </w:rPr>
              <w:t xml:space="preserve">a </w:t>
            </w:r>
          </w:p>
        </w:tc>
        <w:tc>
          <w:tcPr>
            <w:tcW w:w="576" w:type="dxa"/>
            <w:noWrap/>
            <w:vAlign w:val="bottom"/>
            <w:hideMark/>
          </w:tcPr>
          <w:p w14:paraId="33739989" w14:textId="77777777" w:rsidR="00BB138C" w:rsidRPr="00EF6679" w:rsidRDefault="00BB138C" w:rsidP="00820288">
            <w:pPr>
              <w:spacing w:line="240" w:lineRule="auto"/>
              <w:jc w:val="right"/>
              <w:rPr>
                <w:rFonts w:ascii="Times New Roman" w:hAnsi="Times New Roman" w:cs="Times New Roman"/>
                <w:color w:val="000000" w:themeColor="text1"/>
                <w:sz w:val="16"/>
                <w:szCs w:val="16"/>
              </w:rPr>
            </w:pPr>
            <w:r w:rsidRPr="00EF6679">
              <w:rPr>
                <w:rFonts w:ascii="Times New Roman" w:hAnsi="Times New Roman" w:cs="Times New Roman"/>
                <w:color w:val="000000" w:themeColor="text1"/>
                <w:sz w:val="16"/>
                <w:szCs w:val="16"/>
              </w:rPr>
              <w:t>7.862</w:t>
            </w:r>
          </w:p>
        </w:tc>
        <w:tc>
          <w:tcPr>
            <w:tcW w:w="576" w:type="dxa"/>
            <w:noWrap/>
            <w:vAlign w:val="bottom"/>
            <w:hideMark/>
          </w:tcPr>
          <w:p w14:paraId="74D5D9AF" w14:textId="77777777" w:rsidR="00BB138C" w:rsidRPr="00EF6679" w:rsidRDefault="00BB138C" w:rsidP="00820288">
            <w:pPr>
              <w:spacing w:line="240" w:lineRule="auto"/>
              <w:rPr>
                <w:rFonts w:ascii="Times New Roman" w:hAnsi="Times New Roman" w:cs="Times New Roman"/>
                <w:color w:val="000000" w:themeColor="text1"/>
                <w:sz w:val="16"/>
                <w:szCs w:val="16"/>
                <w:vertAlign w:val="superscript"/>
              </w:rPr>
            </w:pPr>
            <w:r w:rsidRPr="00EF6679">
              <w:rPr>
                <w:rFonts w:ascii="Times New Roman" w:hAnsi="Times New Roman" w:cs="Times New Roman"/>
                <w:color w:val="000000" w:themeColor="text1"/>
                <w:sz w:val="16"/>
                <w:szCs w:val="16"/>
                <w:vertAlign w:val="superscript"/>
              </w:rPr>
              <w:t xml:space="preserve">a </w:t>
            </w:r>
          </w:p>
        </w:tc>
        <w:tc>
          <w:tcPr>
            <w:tcW w:w="576" w:type="dxa"/>
            <w:noWrap/>
            <w:vAlign w:val="bottom"/>
            <w:hideMark/>
          </w:tcPr>
          <w:p w14:paraId="4B0D0243" w14:textId="77777777" w:rsidR="00BB138C" w:rsidRPr="00EF6679" w:rsidRDefault="00BB138C" w:rsidP="00820288">
            <w:pPr>
              <w:spacing w:line="240" w:lineRule="auto"/>
              <w:jc w:val="right"/>
              <w:rPr>
                <w:rFonts w:ascii="Times New Roman" w:hAnsi="Times New Roman" w:cs="Times New Roman"/>
                <w:color w:val="000000" w:themeColor="text1"/>
                <w:sz w:val="16"/>
                <w:szCs w:val="16"/>
              </w:rPr>
            </w:pPr>
            <w:r w:rsidRPr="00EF6679">
              <w:rPr>
                <w:rFonts w:ascii="Times New Roman" w:hAnsi="Times New Roman" w:cs="Times New Roman"/>
                <w:color w:val="000000" w:themeColor="text1"/>
                <w:sz w:val="16"/>
                <w:szCs w:val="16"/>
              </w:rPr>
              <w:t>6.263</w:t>
            </w:r>
          </w:p>
        </w:tc>
        <w:tc>
          <w:tcPr>
            <w:tcW w:w="576" w:type="dxa"/>
            <w:noWrap/>
            <w:vAlign w:val="bottom"/>
            <w:hideMark/>
          </w:tcPr>
          <w:p w14:paraId="4D1CAF90" w14:textId="77777777" w:rsidR="00BB138C" w:rsidRPr="00EF6679" w:rsidRDefault="00BB138C" w:rsidP="00820288">
            <w:pPr>
              <w:spacing w:line="240" w:lineRule="auto"/>
              <w:rPr>
                <w:rFonts w:ascii="Times New Roman" w:hAnsi="Times New Roman" w:cs="Times New Roman"/>
                <w:color w:val="000000" w:themeColor="text1"/>
                <w:sz w:val="16"/>
                <w:szCs w:val="16"/>
                <w:vertAlign w:val="superscript"/>
              </w:rPr>
            </w:pPr>
            <w:r w:rsidRPr="00EF6679">
              <w:rPr>
                <w:rFonts w:ascii="Times New Roman" w:hAnsi="Times New Roman" w:cs="Times New Roman"/>
                <w:color w:val="000000" w:themeColor="text1"/>
                <w:sz w:val="16"/>
                <w:szCs w:val="16"/>
                <w:vertAlign w:val="superscript"/>
              </w:rPr>
              <w:t xml:space="preserve">a </w:t>
            </w:r>
          </w:p>
        </w:tc>
      </w:tr>
      <w:tr w:rsidR="00BB138C" w:rsidRPr="00EF6679" w14:paraId="618655A5" w14:textId="77777777" w:rsidTr="00820288">
        <w:trPr>
          <w:trHeight w:val="173"/>
        </w:trPr>
        <w:tc>
          <w:tcPr>
            <w:tcW w:w="2880" w:type="dxa"/>
            <w:noWrap/>
            <w:vAlign w:val="bottom"/>
            <w:hideMark/>
          </w:tcPr>
          <w:p w14:paraId="5C36ABA0" w14:textId="77777777" w:rsidR="00BB138C" w:rsidRPr="00EF6679" w:rsidRDefault="00BB138C" w:rsidP="00820288">
            <w:pPr>
              <w:spacing w:line="240" w:lineRule="auto"/>
              <w:rPr>
                <w:rFonts w:ascii="Times New Roman" w:hAnsi="Times New Roman" w:cs="Times New Roman"/>
                <w:b/>
                <w:bCs/>
                <w:color w:val="000000" w:themeColor="text1"/>
                <w:sz w:val="16"/>
                <w:szCs w:val="16"/>
              </w:rPr>
            </w:pPr>
            <w:r w:rsidRPr="00EF6679">
              <w:rPr>
                <w:rFonts w:ascii="Times New Roman" w:hAnsi="Times New Roman" w:cs="Times New Roman"/>
                <w:color w:val="000000" w:themeColor="text1"/>
                <w:sz w:val="16"/>
                <w:szCs w:val="16"/>
              </w:rPr>
              <w:t xml:space="preserve">Nonanal                  </w:t>
            </w:r>
          </w:p>
        </w:tc>
        <w:tc>
          <w:tcPr>
            <w:tcW w:w="576" w:type="dxa"/>
            <w:noWrap/>
            <w:vAlign w:val="bottom"/>
            <w:hideMark/>
          </w:tcPr>
          <w:p w14:paraId="3862F18B" w14:textId="77777777" w:rsidR="00BB138C" w:rsidRPr="00EF6679" w:rsidRDefault="00BB138C" w:rsidP="00820288">
            <w:pPr>
              <w:spacing w:line="240" w:lineRule="auto"/>
              <w:jc w:val="right"/>
              <w:rPr>
                <w:rFonts w:ascii="Times New Roman" w:hAnsi="Times New Roman" w:cs="Times New Roman"/>
                <w:color w:val="000000" w:themeColor="text1"/>
                <w:sz w:val="16"/>
                <w:szCs w:val="16"/>
              </w:rPr>
            </w:pPr>
            <w:r w:rsidRPr="00EF6679">
              <w:rPr>
                <w:rFonts w:ascii="Times New Roman" w:hAnsi="Times New Roman" w:cs="Times New Roman"/>
                <w:color w:val="000000" w:themeColor="text1"/>
                <w:sz w:val="16"/>
                <w:szCs w:val="16"/>
              </w:rPr>
              <w:t>0.304</w:t>
            </w:r>
          </w:p>
        </w:tc>
        <w:tc>
          <w:tcPr>
            <w:tcW w:w="576" w:type="dxa"/>
            <w:noWrap/>
            <w:vAlign w:val="bottom"/>
            <w:hideMark/>
          </w:tcPr>
          <w:p w14:paraId="46D921DC" w14:textId="77777777" w:rsidR="00BB138C" w:rsidRPr="00EF6679" w:rsidRDefault="00BB138C" w:rsidP="00820288">
            <w:pPr>
              <w:spacing w:line="240" w:lineRule="auto"/>
              <w:rPr>
                <w:rFonts w:ascii="Times New Roman" w:hAnsi="Times New Roman" w:cs="Times New Roman"/>
                <w:color w:val="000000" w:themeColor="text1"/>
                <w:sz w:val="16"/>
                <w:szCs w:val="16"/>
                <w:vertAlign w:val="superscript"/>
              </w:rPr>
            </w:pPr>
            <w:r w:rsidRPr="00EF6679">
              <w:rPr>
                <w:rFonts w:ascii="Times New Roman" w:hAnsi="Times New Roman" w:cs="Times New Roman"/>
                <w:color w:val="000000" w:themeColor="text1"/>
                <w:sz w:val="16"/>
                <w:szCs w:val="16"/>
                <w:vertAlign w:val="superscript"/>
              </w:rPr>
              <w:t xml:space="preserve">a </w:t>
            </w:r>
          </w:p>
        </w:tc>
        <w:tc>
          <w:tcPr>
            <w:tcW w:w="576" w:type="dxa"/>
            <w:noWrap/>
            <w:vAlign w:val="bottom"/>
            <w:hideMark/>
          </w:tcPr>
          <w:p w14:paraId="12F4CFE3" w14:textId="77777777" w:rsidR="00BB138C" w:rsidRPr="00EF6679" w:rsidRDefault="00BB138C" w:rsidP="00820288">
            <w:pPr>
              <w:spacing w:line="240" w:lineRule="auto"/>
              <w:jc w:val="right"/>
              <w:rPr>
                <w:rFonts w:ascii="Times New Roman" w:hAnsi="Times New Roman" w:cs="Times New Roman"/>
                <w:color w:val="000000" w:themeColor="text1"/>
                <w:sz w:val="16"/>
                <w:szCs w:val="16"/>
              </w:rPr>
            </w:pPr>
            <w:r w:rsidRPr="00EF6679">
              <w:rPr>
                <w:rFonts w:ascii="Times New Roman" w:hAnsi="Times New Roman" w:cs="Times New Roman"/>
                <w:color w:val="000000" w:themeColor="text1"/>
                <w:sz w:val="16"/>
                <w:szCs w:val="16"/>
              </w:rPr>
              <w:t>0.203</w:t>
            </w:r>
          </w:p>
        </w:tc>
        <w:tc>
          <w:tcPr>
            <w:tcW w:w="576" w:type="dxa"/>
            <w:noWrap/>
            <w:vAlign w:val="bottom"/>
            <w:hideMark/>
          </w:tcPr>
          <w:p w14:paraId="54D7FE92" w14:textId="77777777" w:rsidR="00BB138C" w:rsidRPr="00EF6679" w:rsidRDefault="00BB138C" w:rsidP="00820288">
            <w:pPr>
              <w:spacing w:line="240" w:lineRule="auto"/>
              <w:rPr>
                <w:rFonts w:ascii="Times New Roman" w:hAnsi="Times New Roman" w:cs="Times New Roman"/>
                <w:color w:val="000000" w:themeColor="text1"/>
                <w:sz w:val="16"/>
                <w:szCs w:val="16"/>
                <w:vertAlign w:val="superscript"/>
              </w:rPr>
            </w:pPr>
            <w:r w:rsidRPr="00EF6679">
              <w:rPr>
                <w:rFonts w:ascii="Times New Roman" w:hAnsi="Times New Roman" w:cs="Times New Roman"/>
                <w:color w:val="000000" w:themeColor="text1"/>
                <w:sz w:val="16"/>
                <w:szCs w:val="16"/>
                <w:vertAlign w:val="superscript"/>
              </w:rPr>
              <w:t xml:space="preserve">a </w:t>
            </w:r>
          </w:p>
        </w:tc>
        <w:tc>
          <w:tcPr>
            <w:tcW w:w="576" w:type="dxa"/>
            <w:noWrap/>
            <w:vAlign w:val="bottom"/>
            <w:hideMark/>
          </w:tcPr>
          <w:p w14:paraId="7D4E0F56" w14:textId="77777777" w:rsidR="00BB138C" w:rsidRPr="00EF6679" w:rsidRDefault="00BB138C" w:rsidP="00820288">
            <w:pPr>
              <w:spacing w:line="240" w:lineRule="auto"/>
              <w:jc w:val="right"/>
              <w:rPr>
                <w:rFonts w:ascii="Times New Roman" w:hAnsi="Times New Roman" w:cs="Times New Roman"/>
                <w:color w:val="000000" w:themeColor="text1"/>
                <w:sz w:val="16"/>
                <w:szCs w:val="16"/>
              </w:rPr>
            </w:pPr>
            <w:r w:rsidRPr="00EF6679">
              <w:rPr>
                <w:rFonts w:ascii="Times New Roman" w:hAnsi="Times New Roman" w:cs="Times New Roman"/>
                <w:color w:val="000000" w:themeColor="text1"/>
                <w:sz w:val="16"/>
                <w:szCs w:val="16"/>
              </w:rPr>
              <w:t>0.249</w:t>
            </w:r>
          </w:p>
        </w:tc>
        <w:tc>
          <w:tcPr>
            <w:tcW w:w="576" w:type="dxa"/>
            <w:noWrap/>
            <w:vAlign w:val="bottom"/>
            <w:hideMark/>
          </w:tcPr>
          <w:p w14:paraId="36AF5073" w14:textId="77777777" w:rsidR="00BB138C" w:rsidRPr="00EF6679" w:rsidRDefault="00BB138C" w:rsidP="00820288">
            <w:pPr>
              <w:spacing w:line="240" w:lineRule="auto"/>
              <w:rPr>
                <w:rFonts w:ascii="Times New Roman" w:hAnsi="Times New Roman" w:cs="Times New Roman"/>
                <w:color w:val="000000" w:themeColor="text1"/>
                <w:sz w:val="16"/>
                <w:szCs w:val="16"/>
                <w:vertAlign w:val="superscript"/>
              </w:rPr>
            </w:pPr>
            <w:r w:rsidRPr="00EF6679">
              <w:rPr>
                <w:rFonts w:ascii="Times New Roman" w:hAnsi="Times New Roman" w:cs="Times New Roman"/>
                <w:color w:val="000000" w:themeColor="text1"/>
                <w:sz w:val="16"/>
                <w:szCs w:val="16"/>
                <w:vertAlign w:val="superscript"/>
              </w:rPr>
              <w:t xml:space="preserve">a </w:t>
            </w:r>
          </w:p>
        </w:tc>
        <w:tc>
          <w:tcPr>
            <w:tcW w:w="576" w:type="dxa"/>
            <w:noWrap/>
            <w:vAlign w:val="bottom"/>
            <w:hideMark/>
          </w:tcPr>
          <w:p w14:paraId="7EAE2F81" w14:textId="77777777" w:rsidR="00BB138C" w:rsidRPr="00EF6679" w:rsidRDefault="00BB138C" w:rsidP="00820288">
            <w:pPr>
              <w:spacing w:line="240" w:lineRule="auto"/>
              <w:jc w:val="right"/>
              <w:rPr>
                <w:rFonts w:ascii="Times New Roman" w:hAnsi="Times New Roman" w:cs="Times New Roman"/>
                <w:color w:val="000000" w:themeColor="text1"/>
                <w:sz w:val="16"/>
                <w:szCs w:val="16"/>
              </w:rPr>
            </w:pPr>
            <w:r w:rsidRPr="00EF6679">
              <w:rPr>
                <w:rFonts w:ascii="Times New Roman" w:hAnsi="Times New Roman" w:cs="Times New Roman"/>
                <w:color w:val="000000" w:themeColor="text1"/>
                <w:sz w:val="16"/>
                <w:szCs w:val="16"/>
              </w:rPr>
              <w:t>0.199</w:t>
            </w:r>
          </w:p>
        </w:tc>
        <w:tc>
          <w:tcPr>
            <w:tcW w:w="576" w:type="dxa"/>
            <w:noWrap/>
            <w:vAlign w:val="bottom"/>
            <w:hideMark/>
          </w:tcPr>
          <w:p w14:paraId="7B615EFF" w14:textId="77777777" w:rsidR="00BB138C" w:rsidRPr="00EF6679" w:rsidRDefault="00BB138C" w:rsidP="00820288">
            <w:pPr>
              <w:spacing w:line="240" w:lineRule="auto"/>
              <w:rPr>
                <w:rFonts w:ascii="Times New Roman" w:hAnsi="Times New Roman" w:cs="Times New Roman"/>
                <w:color w:val="000000" w:themeColor="text1"/>
                <w:sz w:val="16"/>
                <w:szCs w:val="16"/>
                <w:vertAlign w:val="superscript"/>
              </w:rPr>
            </w:pPr>
            <w:r w:rsidRPr="00EF6679">
              <w:rPr>
                <w:rFonts w:ascii="Times New Roman" w:hAnsi="Times New Roman" w:cs="Times New Roman"/>
                <w:color w:val="000000" w:themeColor="text1"/>
                <w:sz w:val="16"/>
                <w:szCs w:val="16"/>
                <w:vertAlign w:val="superscript"/>
              </w:rPr>
              <w:t xml:space="preserve">a </w:t>
            </w:r>
          </w:p>
        </w:tc>
      </w:tr>
      <w:tr w:rsidR="00BB138C" w:rsidRPr="00EF6679" w14:paraId="10502880" w14:textId="77777777" w:rsidTr="00820288">
        <w:trPr>
          <w:trHeight w:val="173"/>
        </w:trPr>
        <w:tc>
          <w:tcPr>
            <w:tcW w:w="2880" w:type="dxa"/>
            <w:noWrap/>
            <w:vAlign w:val="bottom"/>
            <w:hideMark/>
          </w:tcPr>
          <w:p w14:paraId="79908244" w14:textId="77777777" w:rsidR="00BB138C" w:rsidRPr="00EF6679" w:rsidRDefault="00BB138C" w:rsidP="00820288">
            <w:pPr>
              <w:spacing w:line="240" w:lineRule="auto"/>
              <w:rPr>
                <w:rFonts w:ascii="Times New Roman" w:hAnsi="Times New Roman" w:cs="Times New Roman"/>
                <w:color w:val="000000" w:themeColor="text1"/>
                <w:sz w:val="16"/>
                <w:szCs w:val="16"/>
              </w:rPr>
            </w:pPr>
            <w:r w:rsidRPr="00EF6679">
              <w:rPr>
                <w:rFonts w:ascii="Times New Roman" w:hAnsi="Times New Roman" w:cs="Times New Roman"/>
                <w:color w:val="000000" w:themeColor="text1"/>
                <w:sz w:val="16"/>
                <w:szCs w:val="16"/>
              </w:rPr>
              <w:t xml:space="preserve">Linalool                 </w:t>
            </w:r>
          </w:p>
        </w:tc>
        <w:tc>
          <w:tcPr>
            <w:tcW w:w="576" w:type="dxa"/>
            <w:noWrap/>
            <w:vAlign w:val="bottom"/>
            <w:hideMark/>
          </w:tcPr>
          <w:p w14:paraId="37E2570D" w14:textId="77777777" w:rsidR="00BB138C" w:rsidRPr="00EF6679" w:rsidRDefault="00BB138C" w:rsidP="00820288">
            <w:pPr>
              <w:spacing w:line="240" w:lineRule="auto"/>
              <w:jc w:val="right"/>
              <w:rPr>
                <w:rFonts w:ascii="Times New Roman" w:hAnsi="Times New Roman" w:cs="Times New Roman"/>
                <w:color w:val="000000" w:themeColor="text1"/>
                <w:sz w:val="16"/>
                <w:szCs w:val="16"/>
              </w:rPr>
            </w:pPr>
            <w:r w:rsidRPr="00EF6679">
              <w:rPr>
                <w:rFonts w:ascii="Times New Roman" w:hAnsi="Times New Roman" w:cs="Times New Roman"/>
                <w:color w:val="000000" w:themeColor="text1"/>
                <w:sz w:val="16"/>
                <w:szCs w:val="16"/>
              </w:rPr>
              <w:t>0.018</w:t>
            </w:r>
          </w:p>
        </w:tc>
        <w:tc>
          <w:tcPr>
            <w:tcW w:w="576" w:type="dxa"/>
            <w:noWrap/>
            <w:vAlign w:val="bottom"/>
            <w:hideMark/>
          </w:tcPr>
          <w:p w14:paraId="01325A61" w14:textId="77777777" w:rsidR="00BB138C" w:rsidRPr="00EF6679" w:rsidRDefault="00BB138C" w:rsidP="00820288">
            <w:pPr>
              <w:spacing w:line="240" w:lineRule="auto"/>
              <w:rPr>
                <w:rFonts w:ascii="Times New Roman" w:hAnsi="Times New Roman" w:cs="Times New Roman"/>
                <w:color w:val="000000" w:themeColor="text1"/>
                <w:sz w:val="16"/>
                <w:szCs w:val="16"/>
                <w:vertAlign w:val="superscript"/>
              </w:rPr>
            </w:pPr>
            <w:r w:rsidRPr="00EF6679">
              <w:rPr>
                <w:rFonts w:ascii="Times New Roman" w:hAnsi="Times New Roman" w:cs="Times New Roman"/>
                <w:color w:val="000000" w:themeColor="text1"/>
                <w:sz w:val="16"/>
                <w:szCs w:val="16"/>
                <w:vertAlign w:val="superscript"/>
              </w:rPr>
              <w:t xml:space="preserve">a </w:t>
            </w:r>
          </w:p>
        </w:tc>
        <w:tc>
          <w:tcPr>
            <w:tcW w:w="576" w:type="dxa"/>
            <w:noWrap/>
            <w:vAlign w:val="bottom"/>
            <w:hideMark/>
          </w:tcPr>
          <w:p w14:paraId="03C1E7C0" w14:textId="77777777" w:rsidR="00BB138C" w:rsidRPr="00EF6679" w:rsidRDefault="00BB138C" w:rsidP="00820288">
            <w:pPr>
              <w:spacing w:line="240" w:lineRule="auto"/>
              <w:jc w:val="right"/>
              <w:rPr>
                <w:rFonts w:ascii="Times New Roman" w:hAnsi="Times New Roman" w:cs="Times New Roman"/>
                <w:color w:val="000000" w:themeColor="text1"/>
                <w:sz w:val="16"/>
                <w:szCs w:val="16"/>
              </w:rPr>
            </w:pPr>
            <w:r w:rsidRPr="00EF6679">
              <w:rPr>
                <w:rFonts w:ascii="Times New Roman" w:hAnsi="Times New Roman" w:cs="Times New Roman"/>
                <w:color w:val="000000" w:themeColor="text1"/>
                <w:sz w:val="16"/>
                <w:szCs w:val="16"/>
              </w:rPr>
              <w:t>0.010</w:t>
            </w:r>
          </w:p>
        </w:tc>
        <w:tc>
          <w:tcPr>
            <w:tcW w:w="576" w:type="dxa"/>
            <w:noWrap/>
            <w:vAlign w:val="bottom"/>
            <w:hideMark/>
          </w:tcPr>
          <w:p w14:paraId="40E4602E" w14:textId="77777777" w:rsidR="00BB138C" w:rsidRPr="00EF6679" w:rsidRDefault="00BB138C" w:rsidP="00820288">
            <w:pPr>
              <w:spacing w:line="240" w:lineRule="auto"/>
              <w:rPr>
                <w:rFonts w:ascii="Times New Roman" w:hAnsi="Times New Roman" w:cs="Times New Roman"/>
                <w:color w:val="000000" w:themeColor="text1"/>
                <w:sz w:val="16"/>
                <w:szCs w:val="16"/>
                <w:vertAlign w:val="superscript"/>
              </w:rPr>
            </w:pPr>
            <w:r w:rsidRPr="00EF6679">
              <w:rPr>
                <w:rFonts w:ascii="Times New Roman" w:hAnsi="Times New Roman" w:cs="Times New Roman"/>
                <w:color w:val="000000" w:themeColor="text1"/>
                <w:sz w:val="16"/>
                <w:szCs w:val="16"/>
                <w:vertAlign w:val="superscript"/>
              </w:rPr>
              <w:t xml:space="preserve">a </w:t>
            </w:r>
          </w:p>
        </w:tc>
        <w:tc>
          <w:tcPr>
            <w:tcW w:w="576" w:type="dxa"/>
            <w:noWrap/>
            <w:vAlign w:val="bottom"/>
            <w:hideMark/>
          </w:tcPr>
          <w:p w14:paraId="144AA93A" w14:textId="77777777" w:rsidR="00BB138C" w:rsidRPr="00EF6679" w:rsidRDefault="00BB138C" w:rsidP="00820288">
            <w:pPr>
              <w:spacing w:line="240" w:lineRule="auto"/>
              <w:jc w:val="right"/>
              <w:rPr>
                <w:rFonts w:ascii="Times New Roman" w:hAnsi="Times New Roman" w:cs="Times New Roman"/>
                <w:color w:val="000000" w:themeColor="text1"/>
                <w:sz w:val="16"/>
                <w:szCs w:val="16"/>
              </w:rPr>
            </w:pPr>
            <w:r w:rsidRPr="00EF6679">
              <w:rPr>
                <w:rFonts w:ascii="Times New Roman" w:hAnsi="Times New Roman" w:cs="Times New Roman"/>
                <w:color w:val="000000" w:themeColor="text1"/>
                <w:sz w:val="16"/>
                <w:szCs w:val="16"/>
              </w:rPr>
              <w:t>0.011</w:t>
            </w:r>
          </w:p>
        </w:tc>
        <w:tc>
          <w:tcPr>
            <w:tcW w:w="576" w:type="dxa"/>
            <w:noWrap/>
            <w:vAlign w:val="bottom"/>
            <w:hideMark/>
          </w:tcPr>
          <w:p w14:paraId="0F4AC880" w14:textId="77777777" w:rsidR="00BB138C" w:rsidRPr="00EF6679" w:rsidRDefault="00BB138C" w:rsidP="00820288">
            <w:pPr>
              <w:spacing w:line="240" w:lineRule="auto"/>
              <w:rPr>
                <w:rFonts w:ascii="Times New Roman" w:hAnsi="Times New Roman" w:cs="Times New Roman"/>
                <w:color w:val="000000" w:themeColor="text1"/>
                <w:sz w:val="16"/>
                <w:szCs w:val="16"/>
                <w:vertAlign w:val="superscript"/>
              </w:rPr>
            </w:pPr>
            <w:r w:rsidRPr="00EF6679">
              <w:rPr>
                <w:rFonts w:ascii="Times New Roman" w:hAnsi="Times New Roman" w:cs="Times New Roman"/>
                <w:color w:val="000000" w:themeColor="text1"/>
                <w:sz w:val="16"/>
                <w:szCs w:val="16"/>
                <w:vertAlign w:val="superscript"/>
              </w:rPr>
              <w:t xml:space="preserve">a </w:t>
            </w:r>
          </w:p>
        </w:tc>
        <w:tc>
          <w:tcPr>
            <w:tcW w:w="576" w:type="dxa"/>
            <w:noWrap/>
            <w:vAlign w:val="bottom"/>
            <w:hideMark/>
          </w:tcPr>
          <w:p w14:paraId="42FA9358" w14:textId="77777777" w:rsidR="00BB138C" w:rsidRPr="00EF6679" w:rsidRDefault="00BB138C" w:rsidP="00820288">
            <w:pPr>
              <w:spacing w:line="240" w:lineRule="auto"/>
              <w:jc w:val="right"/>
              <w:rPr>
                <w:rFonts w:ascii="Times New Roman" w:hAnsi="Times New Roman" w:cs="Times New Roman"/>
                <w:color w:val="000000" w:themeColor="text1"/>
                <w:sz w:val="16"/>
                <w:szCs w:val="16"/>
              </w:rPr>
            </w:pPr>
            <w:r w:rsidRPr="00EF6679">
              <w:rPr>
                <w:rFonts w:ascii="Times New Roman" w:hAnsi="Times New Roman" w:cs="Times New Roman"/>
                <w:color w:val="000000" w:themeColor="text1"/>
                <w:sz w:val="16"/>
                <w:szCs w:val="16"/>
              </w:rPr>
              <w:t>n.d.</w:t>
            </w:r>
          </w:p>
        </w:tc>
        <w:tc>
          <w:tcPr>
            <w:tcW w:w="576" w:type="dxa"/>
            <w:noWrap/>
            <w:vAlign w:val="bottom"/>
            <w:hideMark/>
          </w:tcPr>
          <w:p w14:paraId="21F35D54" w14:textId="77777777" w:rsidR="00BB138C" w:rsidRPr="00EF6679" w:rsidRDefault="00BB138C" w:rsidP="00820288">
            <w:pPr>
              <w:spacing w:line="240" w:lineRule="auto"/>
              <w:rPr>
                <w:rFonts w:ascii="Times New Roman" w:hAnsi="Times New Roman" w:cs="Times New Roman"/>
                <w:color w:val="000000" w:themeColor="text1"/>
                <w:sz w:val="16"/>
                <w:szCs w:val="16"/>
                <w:vertAlign w:val="superscript"/>
              </w:rPr>
            </w:pPr>
            <w:r w:rsidRPr="00EF6679">
              <w:rPr>
                <w:rFonts w:ascii="Times New Roman" w:hAnsi="Times New Roman" w:cs="Times New Roman"/>
                <w:color w:val="000000" w:themeColor="text1"/>
                <w:sz w:val="16"/>
                <w:szCs w:val="16"/>
                <w:vertAlign w:val="superscript"/>
              </w:rPr>
              <w:t xml:space="preserve">a </w:t>
            </w:r>
          </w:p>
        </w:tc>
      </w:tr>
      <w:tr w:rsidR="00BB138C" w:rsidRPr="00EF6679" w14:paraId="6BAF7DAA" w14:textId="77777777" w:rsidTr="00820288">
        <w:trPr>
          <w:trHeight w:val="173"/>
        </w:trPr>
        <w:tc>
          <w:tcPr>
            <w:tcW w:w="2880" w:type="dxa"/>
            <w:noWrap/>
            <w:vAlign w:val="bottom"/>
            <w:hideMark/>
          </w:tcPr>
          <w:p w14:paraId="6E2E66D4" w14:textId="77777777" w:rsidR="00BB138C" w:rsidRPr="00EF6679" w:rsidRDefault="00BB138C" w:rsidP="00820288">
            <w:pPr>
              <w:spacing w:line="240" w:lineRule="auto"/>
              <w:rPr>
                <w:rFonts w:ascii="Times New Roman" w:hAnsi="Times New Roman" w:cs="Times New Roman"/>
                <w:color w:val="000000" w:themeColor="text1"/>
                <w:sz w:val="16"/>
                <w:szCs w:val="16"/>
              </w:rPr>
            </w:pPr>
            <w:r w:rsidRPr="00EF6679">
              <w:rPr>
                <w:rFonts w:ascii="Times New Roman" w:hAnsi="Times New Roman" w:cs="Times New Roman"/>
                <w:color w:val="000000" w:themeColor="text1"/>
                <w:sz w:val="16"/>
                <w:szCs w:val="16"/>
              </w:rPr>
              <w:t xml:space="preserve">Fenchyl acetate          </w:t>
            </w:r>
          </w:p>
        </w:tc>
        <w:tc>
          <w:tcPr>
            <w:tcW w:w="576" w:type="dxa"/>
            <w:noWrap/>
            <w:vAlign w:val="bottom"/>
            <w:hideMark/>
          </w:tcPr>
          <w:p w14:paraId="052BB2EE" w14:textId="77777777" w:rsidR="00BB138C" w:rsidRPr="00EF6679" w:rsidRDefault="00BB138C" w:rsidP="00820288">
            <w:pPr>
              <w:spacing w:line="240" w:lineRule="auto"/>
              <w:jc w:val="right"/>
              <w:rPr>
                <w:rFonts w:ascii="Times New Roman" w:hAnsi="Times New Roman" w:cs="Times New Roman"/>
                <w:color w:val="000000" w:themeColor="text1"/>
                <w:sz w:val="16"/>
                <w:szCs w:val="16"/>
              </w:rPr>
            </w:pPr>
            <w:r w:rsidRPr="00EF6679">
              <w:rPr>
                <w:rFonts w:ascii="Times New Roman" w:hAnsi="Times New Roman" w:cs="Times New Roman"/>
                <w:color w:val="000000" w:themeColor="text1"/>
                <w:sz w:val="16"/>
                <w:szCs w:val="16"/>
              </w:rPr>
              <w:t>0.317</w:t>
            </w:r>
          </w:p>
        </w:tc>
        <w:tc>
          <w:tcPr>
            <w:tcW w:w="576" w:type="dxa"/>
            <w:noWrap/>
            <w:vAlign w:val="bottom"/>
            <w:hideMark/>
          </w:tcPr>
          <w:p w14:paraId="787BF4C0" w14:textId="77777777" w:rsidR="00BB138C" w:rsidRPr="00EF6679" w:rsidRDefault="00BB138C" w:rsidP="00820288">
            <w:pPr>
              <w:spacing w:line="240" w:lineRule="auto"/>
              <w:rPr>
                <w:rFonts w:ascii="Times New Roman" w:hAnsi="Times New Roman" w:cs="Times New Roman"/>
                <w:color w:val="000000" w:themeColor="text1"/>
                <w:sz w:val="16"/>
                <w:szCs w:val="16"/>
                <w:vertAlign w:val="superscript"/>
              </w:rPr>
            </w:pPr>
            <w:r w:rsidRPr="00EF6679">
              <w:rPr>
                <w:rFonts w:ascii="Times New Roman" w:hAnsi="Times New Roman" w:cs="Times New Roman"/>
                <w:color w:val="000000" w:themeColor="text1"/>
                <w:sz w:val="16"/>
                <w:szCs w:val="16"/>
                <w:vertAlign w:val="superscript"/>
              </w:rPr>
              <w:t xml:space="preserve">a </w:t>
            </w:r>
          </w:p>
        </w:tc>
        <w:tc>
          <w:tcPr>
            <w:tcW w:w="576" w:type="dxa"/>
            <w:noWrap/>
            <w:vAlign w:val="bottom"/>
            <w:hideMark/>
          </w:tcPr>
          <w:p w14:paraId="466974F7" w14:textId="77777777" w:rsidR="00BB138C" w:rsidRPr="00EF6679" w:rsidRDefault="00BB138C" w:rsidP="00820288">
            <w:pPr>
              <w:spacing w:line="240" w:lineRule="auto"/>
              <w:jc w:val="right"/>
              <w:rPr>
                <w:rFonts w:ascii="Times New Roman" w:hAnsi="Times New Roman" w:cs="Times New Roman"/>
                <w:color w:val="000000" w:themeColor="text1"/>
                <w:sz w:val="16"/>
                <w:szCs w:val="16"/>
              </w:rPr>
            </w:pPr>
            <w:r w:rsidRPr="00EF6679">
              <w:rPr>
                <w:rFonts w:ascii="Times New Roman" w:hAnsi="Times New Roman" w:cs="Times New Roman"/>
                <w:color w:val="000000" w:themeColor="text1"/>
                <w:sz w:val="16"/>
                <w:szCs w:val="16"/>
              </w:rPr>
              <w:t>0.144</w:t>
            </w:r>
          </w:p>
        </w:tc>
        <w:tc>
          <w:tcPr>
            <w:tcW w:w="576" w:type="dxa"/>
            <w:noWrap/>
            <w:vAlign w:val="bottom"/>
            <w:hideMark/>
          </w:tcPr>
          <w:p w14:paraId="56B91473" w14:textId="77777777" w:rsidR="00BB138C" w:rsidRPr="00EF6679" w:rsidRDefault="00BB138C" w:rsidP="00820288">
            <w:pPr>
              <w:spacing w:line="240" w:lineRule="auto"/>
              <w:rPr>
                <w:rFonts w:ascii="Times New Roman" w:hAnsi="Times New Roman" w:cs="Times New Roman"/>
                <w:color w:val="000000" w:themeColor="text1"/>
                <w:sz w:val="16"/>
                <w:szCs w:val="16"/>
                <w:vertAlign w:val="superscript"/>
              </w:rPr>
            </w:pPr>
            <w:r w:rsidRPr="00EF6679">
              <w:rPr>
                <w:rFonts w:ascii="Times New Roman" w:hAnsi="Times New Roman" w:cs="Times New Roman"/>
                <w:color w:val="000000" w:themeColor="text1"/>
                <w:sz w:val="16"/>
                <w:szCs w:val="16"/>
                <w:vertAlign w:val="superscript"/>
              </w:rPr>
              <w:t xml:space="preserve">ab </w:t>
            </w:r>
          </w:p>
        </w:tc>
        <w:tc>
          <w:tcPr>
            <w:tcW w:w="576" w:type="dxa"/>
            <w:noWrap/>
            <w:vAlign w:val="bottom"/>
            <w:hideMark/>
          </w:tcPr>
          <w:p w14:paraId="15526F20" w14:textId="77777777" w:rsidR="00BB138C" w:rsidRPr="00EF6679" w:rsidRDefault="00BB138C" w:rsidP="00820288">
            <w:pPr>
              <w:spacing w:line="240" w:lineRule="auto"/>
              <w:jc w:val="right"/>
              <w:rPr>
                <w:rFonts w:ascii="Times New Roman" w:hAnsi="Times New Roman" w:cs="Times New Roman"/>
                <w:color w:val="000000" w:themeColor="text1"/>
                <w:sz w:val="16"/>
                <w:szCs w:val="16"/>
              </w:rPr>
            </w:pPr>
            <w:r w:rsidRPr="00EF6679">
              <w:rPr>
                <w:rFonts w:ascii="Times New Roman" w:hAnsi="Times New Roman" w:cs="Times New Roman"/>
                <w:color w:val="000000" w:themeColor="text1"/>
                <w:sz w:val="16"/>
                <w:szCs w:val="16"/>
              </w:rPr>
              <w:t>0.071</w:t>
            </w:r>
          </w:p>
        </w:tc>
        <w:tc>
          <w:tcPr>
            <w:tcW w:w="576" w:type="dxa"/>
            <w:noWrap/>
            <w:vAlign w:val="bottom"/>
            <w:hideMark/>
          </w:tcPr>
          <w:p w14:paraId="167DCEF5" w14:textId="77777777" w:rsidR="00BB138C" w:rsidRPr="00EF6679" w:rsidRDefault="00BB138C" w:rsidP="00820288">
            <w:pPr>
              <w:spacing w:line="240" w:lineRule="auto"/>
              <w:rPr>
                <w:rFonts w:ascii="Times New Roman" w:hAnsi="Times New Roman" w:cs="Times New Roman"/>
                <w:color w:val="000000" w:themeColor="text1"/>
                <w:sz w:val="16"/>
                <w:szCs w:val="16"/>
                <w:vertAlign w:val="superscript"/>
              </w:rPr>
            </w:pPr>
            <w:r w:rsidRPr="00EF6679">
              <w:rPr>
                <w:rFonts w:ascii="Times New Roman" w:hAnsi="Times New Roman" w:cs="Times New Roman"/>
                <w:color w:val="000000" w:themeColor="text1"/>
                <w:sz w:val="16"/>
                <w:szCs w:val="16"/>
                <w:vertAlign w:val="superscript"/>
              </w:rPr>
              <w:t xml:space="preserve">ab </w:t>
            </w:r>
          </w:p>
        </w:tc>
        <w:tc>
          <w:tcPr>
            <w:tcW w:w="576" w:type="dxa"/>
            <w:noWrap/>
            <w:vAlign w:val="bottom"/>
            <w:hideMark/>
          </w:tcPr>
          <w:p w14:paraId="7379468C" w14:textId="77777777" w:rsidR="00BB138C" w:rsidRPr="00EF6679" w:rsidRDefault="00BB138C" w:rsidP="00820288">
            <w:pPr>
              <w:spacing w:line="240" w:lineRule="auto"/>
              <w:jc w:val="right"/>
              <w:rPr>
                <w:rFonts w:ascii="Times New Roman" w:hAnsi="Times New Roman" w:cs="Times New Roman"/>
                <w:color w:val="000000" w:themeColor="text1"/>
                <w:sz w:val="16"/>
                <w:szCs w:val="16"/>
              </w:rPr>
            </w:pPr>
            <w:r w:rsidRPr="00EF6679">
              <w:rPr>
                <w:rFonts w:ascii="Times New Roman" w:hAnsi="Times New Roman" w:cs="Times New Roman"/>
                <w:color w:val="000000" w:themeColor="text1"/>
                <w:sz w:val="16"/>
                <w:szCs w:val="16"/>
              </w:rPr>
              <w:t>0.031</w:t>
            </w:r>
          </w:p>
        </w:tc>
        <w:tc>
          <w:tcPr>
            <w:tcW w:w="576" w:type="dxa"/>
            <w:noWrap/>
            <w:vAlign w:val="bottom"/>
            <w:hideMark/>
          </w:tcPr>
          <w:p w14:paraId="0E9455E2" w14:textId="77777777" w:rsidR="00BB138C" w:rsidRPr="00EF6679" w:rsidRDefault="00BB138C" w:rsidP="00820288">
            <w:pPr>
              <w:spacing w:line="240" w:lineRule="auto"/>
              <w:rPr>
                <w:rFonts w:ascii="Times New Roman" w:hAnsi="Times New Roman" w:cs="Times New Roman"/>
                <w:color w:val="000000" w:themeColor="text1"/>
                <w:sz w:val="16"/>
                <w:szCs w:val="16"/>
                <w:vertAlign w:val="superscript"/>
              </w:rPr>
            </w:pPr>
            <w:r w:rsidRPr="00EF6679">
              <w:rPr>
                <w:rFonts w:ascii="Times New Roman" w:hAnsi="Times New Roman" w:cs="Times New Roman"/>
                <w:color w:val="000000" w:themeColor="text1"/>
                <w:sz w:val="16"/>
                <w:szCs w:val="16"/>
                <w:vertAlign w:val="superscript"/>
              </w:rPr>
              <w:t xml:space="preserve">ab </w:t>
            </w:r>
          </w:p>
        </w:tc>
      </w:tr>
      <w:tr w:rsidR="00BB138C" w:rsidRPr="00EF6679" w14:paraId="3FA5060B" w14:textId="77777777" w:rsidTr="00820288">
        <w:trPr>
          <w:trHeight w:val="173"/>
        </w:trPr>
        <w:tc>
          <w:tcPr>
            <w:tcW w:w="2880" w:type="dxa"/>
            <w:noWrap/>
            <w:vAlign w:val="bottom"/>
            <w:hideMark/>
          </w:tcPr>
          <w:p w14:paraId="4674D64C" w14:textId="77777777" w:rsidR="00BB138C" w:rsidRPr="00EF6679" w:rsidRDefault="00BB138C" w:rsidP="00820288">
            <w:pPr>
              <w:spacing w:line="240" w:lineRule="auto"/>
              <w:rPr>
                <w:rFonts w:ascii="Times New Roman" w:hAnsi="Times New Roman" w:cs="Times New Roman"/>
                <w:color w:val="000000" w:themeColor="text1"/>
                <w:sz w:val="16"/>
                <w:szCs w:val="16"/>
              </w:rPr>
            </w:pPr>
            <w:r w:rsidRPr="00EF6679">
              <w:rPr>
                <w:rFonts w:ascii="Times New Roman" w:hAnsi="Times New Roman" w:cs="Times New Roman"/>
                <w:color w:val="000000" w:themeColor="text1"/>
                <w:sz w:val="16"/>
                <w:szCs w:val="16"/>
              </w:rPr>
              <w:t>Ethanol, 2-phenyl-</w:t>
            </w:r>
          </w:p>
        </w:tc>
        <w:tc>
          <w:tcPr>
            <w:tcW w:w="576" w:type="dxa"/>
            <w:noWrap/>
            <w:vAlign w:val="bottom"/>
            <w:hideMark/>
          </w:tcPr>
          <w:p w14:paraId="0B4DFF0C" w14:textId="77777777" w:rsidR="00BB138C" w:rsidRPr="00EF6679" w:rsidRDefault="00BB138C" w:rsidP="00820288">
            <w:pPr>
              <w:spacing w:line="240" w:lineRule="auto"/>
              <w:jc w:val="right"/>
              <w:rPr>
                <w:rFonts w:ascii="Times New Roman" w:hAnsi="Times New Roman" w:cs="Times New Roman"/>
                <w:color w:val="000000" w:themeColor="text1"/>
                <w:sz w:val="16"/>
                <w:szCs w:val="16"/>
              </w:rPr>
            </w:pPr>
            <w:r w:rsidRPr="00EF6679">
              <w:rPr>
                <w:rFonts w:ascii="Times New Roman" w:hAnsi="Times New Roman" w:cs="Times New Roman"/>
                <w:color w:val="000000" w:themeColor="text1"/>
                <w:sz w:val="16"/>
                <w:szCs w:val="16"/>
              </w:rPr>
              <w:t>20.037</w:t>
            </w:r>
          </w:p>
        </w:tc>
        <w:tc>
          <w:tcPr>
            <w:tcW w:w="576" w:type="dxa"/>
            <w:noWrap/>
            <w:vAlign w:val="bottom"/>
            <w:hideMark/>
          </w:tcPr>
          <w:p w14:paraId="4A3E363E" w14:textId="77777777" w:rsidR="00BB138C" w:rsidRPr="00EF6679" w:rsidRDefault="00BB138C" w:rsidP="00820288">
            <w:pPr>
              <w:spacing w:line="240" w:lineRule="auto"/>
              <w:rPr>
                <w:rFonts w:ascii="Times New Roman" w:hAnsi="Times New Roman" w:cs="Times New Roman"/>
                <w:color w:val="000000" w:themeColor="text1"/>
                <w:sz w:val="16"/>
                <w:szCs w:val="16"/>
                <w:vertAlign w:val="superscript"/>
              </w:rPr>
            </w:pPr>
            <w:r w:rsidRPr="00EF6679">
              <w:rPr>
                <w:rFonts w:ascii="Times New Roman" w:hAnsi="Times New Roman" w:cs="Times New Roman"/>
                <w:color w:val="000000" w:themeColor="text1"/>
                <w:sz w:val="16"/>
                <w:szCs w:val="16"/>
                <w:vertAlign w:val="superscript"/>
              </w:rPr>
              <w:t xml:space="preserve">ab </w:t>
            </w:r>
          </w:p>
        </w:tc>
        <w:tc>
          <w:tcPr>
            <w:tcW w:w="576" w:type="dxa"/>
            <w:noWrap/>
            <w:vAlign w:val="bottom"/>
            <w:hideMark/>
          </w:tcPr>
          <w:p w14:paraId="4FB3BBEB" w14:textId="77777777" w:rsidR="00BB138C" w:rsidRPr="00EF6679" w:rsidRDefault="00BB138C" w:rsidP="00820288">
            <w:pPr>
              <w:spacing w:line="240" w:lineRule="auto"/>
              <w:jc w:val="right"/>
              <w:rPr>
                <w:rFonts w:ascii="Times New Roman" w:hAnsi="Times New Roman" w:cs="Times New Roman"/>
                <w:color w:val="000000" w:themeColor="text1"/>
                <w:sz w:val="16"/>
                <w:szCs w:val="16"/>
              </w:rPr>
            </w:pPr>
            <w:r w:rsidRPr="00EF6679">
              <w:rPr>
                <w:rFonts w:ascii="Times New Roman" w:hAnsi="Times New Roman" w:cs="Times New Roman"/>
                <w:color w:val="000000" w:themeColor="text1"/>
                <w:sz w:val="16"/>
                <w:szCs w:val="16"/>
              </w:rPr>
              <w:t>37.459</w:t>
            </w:r>
          </w:p>
        </w:tc>
        <w:tc>
          <w:tcPr>
            <w:tcW w:w="576" w:type="dxa"/>
            <w:noWrap/>
            <w:vAlign w:val="bottom"/>
            <w:hideMark/>
          </w:tcPr>
          <w:p w14:paraId="3D3D0694" w14:textId="77777777" w:rsidR="00BB138C" w:rsidRPr="00EF6679" w:rsidRDefault="00BB138C" w:rsidP="00820288">
            <w:pPr>
              <w:spacing w:line="240" w:lineRule="auto"/>
              <w:rPr>
                <w:rFonts w:ascii="Times New Roman" w:hAnsi="Times New Roman" w:cs="Times New Roman"/>
                <w:color w:val="000000" w:themeColor="text1"/>
                <w:sz w:val="16"/>
                <w:szCs w:val="16"/>
                <w:vertAlign w:val="superscript"/>
              </w:rPr>
            </w:pPr>
            <w:r w:rsidRPr="00EF6679">
              <w:rPr>
                <w:rFonts w:ascii="Times New Roman" w:hAnsi="Times New Roman" w:cs="Times New Roman"/>
                <w:color w:val="000000" w:themeColor="text1"/>
                <w:sz w:val="16"/>
                <w:szCs w:val="16"/>
                <w:vertAlign w:val="superscript"/>
              </w:rPr>
              <w:t xml:space="preserve">ab </w:t>
            </w:r>
          </w:p>
        </w:tc>
        <w:tc>
          <w:tcPr>
            <w:tcW w:w="576" w:type="dxa"/>
            <w:noWrap/>
            <w:vAlign w:val="bottom"/>
            <w:hideMark/>
          </w:tcPr>
          <w:p w14:paraId="69323E4B" w14:textId="77777777" w:rsidR="00BB138C" w:rsidRPr="00EF6679" w:rsidRDefault="00BB138C" w:rsidP="00820288">
            <w:pPr>
              <w:spacing w:line="240" w:lineRule="auto"/>
              <w:jc w:val="right"/>
              <w:rPr>
                <w:rFonts w:ascii="Times New Roman" w:hAnsi="Times New Roman" w:cs="Times New Roman"/>
                <w:color w:val="000000" w:themeColor="text1"/>
                <w:sz w:val="16"/>
                <w:szCs w:val="16"/>
              </w:rPr>
            </w:pPr>
            <w:r w:rsidRPr="00EF6679">
              <w:rPr>
                <w:rFonts w:ascii="Times New Roman" w:hAnsi="Times New Roman" w:cs="Times New Roman"/>
                <w:color w:val="000000" w:themeColor="text1"/>
                <w:sz w:val="16"/>
                <w:szCs w:val="16"/>
              </w:rPr>
              <w:t>7.290</w:t>
            </w:r>
          </w:p>
        </w:tc>
        <w:tc>
          <w:tcPr>
            <w:tcW w:w="576" w:type="dxa"/>
            <w:noWrap/>
            <w:vAlign w:val="bottom"/>
            <w:hideMark/>
          </w:tcPr>
          <w:p w14:paraId="478CBDFA" w14:textId="77777777" w:rsidR="00BB138C" w:rsidRPr="00EF6679" w:rsidRDefault="00BB138C" w:rsidP="00820288">
            <w:pPr>
              <w:spacing w:line="240" w:lineRule="auto"/>
              <w:rPr>
                <w:rFonts w:ascii="Times New Roman" w:hAnsi="Times New Roman" w:cs="Times New Roman"/>
                <w:color w:val="000000" w:themeColor="text1"/>
                <w:sz w:val="16"/>
                <w:szCs w:val="16"/>
                <w:vertAlign w:val="superscript"/>
              </w:rPr>
            </w:pPr>
            <w:r w:rsidRPr="00EF6679">
              <w:rPr>
                <w:rFonts w:ascii="Times New Roman" w:hAnsi="Times New Roman" w:cs="Times New Roman"/>
                <w:color w:val="000000" w:themeColor="text1"/>
                <w:sz w:val="16"/>
                <w:szCs w:val="16"/>
                <w:vertAlign w:val="superscript"/>
              </w:rPr>
              <w:t xml:space="preserve">b </w:t>
            </w:r>
          </w:p>
        </w:tc>
        <w:tc>
          <w:tcPr>
            <w:tcW w:w="576" w:type="dxa"/>
            <w:noWrap/>
            <w:vAlign w:val="bottom"/>
            <w:hideMark/>
          </w:tcPr>
          <w:p w14:paraId="7D610DE3" w14:textId="77777777" w:rsidR="00BB138C" w:rsidRPr="00EF6679" w:rsidRDefault="00BB138C" w:rsidP="00820288">
            <w:pPr>
              <w:spacing w:line="240" w:lineRule="auto"/>
              <w:jc w:val="right"/>
              <w:rPr>
                <w:rFonts w:ascii="Times New Roman" w:hAnsi="Times New Roman" w:cs="Times New Roman"/>
                <w:color w:val="000000" w:themeColor="text1"/>
                <w:sz w:val="16"/>
                <w:szCs w:val="16"/>
              </w:rPr>
            </w:pPr>
            <w:r w:rsidRPr="00EF6679">
              <w:rPr>
                <w:rFonts w:ascii="Times New Roman" w:hAnsi="Times New Roman" w:cs="Times New Roman"/>
                <w:color w:val="000000" w:themeColor="text1"/>
                <w:sz w:val="16"/>
                <w:szCs w:val="16"/>
              </w:rPr>
              <w:t>32.059</w:t>
            </w:r>
          </w:p>
        </w:tc>
        <w:tc>
          <w:tcPr>
            <w:tcW w:w="576" w:type="dxa"/>
            <w:noWrap/>
            <w:vAlign w:val="bottom"/>
            <w:hideMark/>
          </w:tcPr>
          <w:p w14:paraId="0F5EB727" w14:textId="77777777" w:rsidR="00BB138C" w:rsidRPr="00EF6679" w:rsidRDefault="00BB138C" w:rsidP="00820288">
            <w:pPr>
              <w:spacing w:line="240" w:lineRule="auto"/>
              <w:rPr>
                <w:rFonts w:ascii="Times New Roman" w:hAnsi="Times New Roman" w:cs="Times New Roman"/>
                <w:color w:val="000000" w:themeColor="text1"/>
                <w:sz w:val="16"/>
                <w:szCs w:val="16"/>
                <w:vertAlign w:val="superscript"/>
              </w:rPr>
            </w:pPr>
            <w:r w:rsidRPr="00EF6679">
              <w:rPr>
                <w:rFonts w:ascii="Times New Roman" w:hAnsi="Times New Roman" w:cs="Times New Roman"/>
                <w:color w:val="000000" w:themeColor="text1"/>
                <w:sz w:val="16"/>
                <w:szCs w:val="16"/>
                <w:vertAlign w:val="superscript"/>
              </w:rPr>
              <w:t xml:space="preserve">ab </w:t>
            </w:r>
          </w:p>
        </w:tc>
      </w:tr>
      <w:tr w:rsidR="00BB138C" w:rsidRPr="00EF6679" w14:paraId="47FEDB77" w14:textId="77777777" w:rsidTr="00820288">
        <w:trPr>
          <w:trHeight w:val="173"/>
        </w:trPr>
        <w:tc>
          <w:tcPr>
            <w:tcW w:w="2880" w:type="dxa"/>
            <w:noWrap/>
            <w:vAlign w:val="bottom"/>
            <w:hideMark/>
          </w:tcPr>
          <w:p w14:paraId="38E5BAA6" w14:textId="77777777" w:rsidR="00BB138C" w:rsidRPr="00EF6679" w:rsidRDefault="00BB138C" w:rsidP="00820288">
            <w:pPr>
              <w:spacing w:line="240" w:lineRule="auto"/>
              <w:rPr>
                <w:rFonts w:ascii="Times New Roman" w:hAnsi="Times New Roman" w:cs="Times New Roman"/>
                <w:color w:val="000000" w:themeColor="text1"/>
                <w:sz w:val="16"/>
                <w:szCs w:val="16"/>
              </w:rPr>
            </w:pPr>
            <w:r w:rsidRPr="00EF6679">
              <w:rPr>
                <w:rFonts w:ascii="Times New Roman" w:hAnsi="Times New Roman" w:cs="Times New Roman"/>
                <w:color w:val="000000" w:themeColor="text1"/>
                <w:sz w:val="16"/>
                <w:szCs w:val="16"/>
              </w:rPr>
              <w:t xml:space="preserve">1,5-Decadiyne            </w:t>
            </w:r>
          </w:p>
        </w:tc>
        <w:tc>
          <w:tcPr>
            <w:tcW w:w="576" w:type="dxa"/>
            <w:noWrap/>
            <w:vAlign w:val="bottom"/>
            <w:hideMark/>
          </w:tcPr>
          <w:p w14:paraId="6036464C" w14:textId="77777777" w:rsidR="00BB138C" w:rsidRPr="00EF6679" w:rsidRDefault="00BB138C" w:rsidP="00820288">
            <w:pPr>
              <w:spacing w:line="240" w:lineRule="auto"/>
              <w:jc w:val="right"/>
              <w:rPr>
                <w:rFonts w:ascii="Times New Roman" w:hAnsi="Times New Roman" w:cs="Times New Roman"/>
                <w:color w:val="000000" w:themeColor="text1"/>
                <w:sz w:val="16"/>
                <w:szCs w:val="16"/>
              </w:rPr>
            </w:pPr>
            <w:r w:rsidRPr="00EF6679">
              <w:rPr>
                <w:rFonts w:ascii="Times New Roman" w:hAnsi="Times New Roman" w:cs="Times New Roman"/>
                <w:color w:val="000000" w:themeColor="text1"/>
                <w:sz w:val="16"/>
                <w:szCs w:val="16"/>
              </w:rPr>
              <w:t>0.089</w:t>
            </w:r>
          </w:p>
        </w:tc>
        <w:tc>
          <w:tcPr>
            <w:tcW w:w="576" w:type="dxa"/>
            <w:noWrap/>
            <w:vAlign w:val="bottom"/>
            <w:hideMark/>
          </w:tcPr>
          <w:p w14:paraId="1D33C334" w14:textId="77777777" w:rsidR="00BB138C" w:rsidRPr="00EF6679" w:rsidRDefault="00BB138C" w:rsidP="00820288">
            <w:pPr>
              <w:spacing w:line="240" w:lineRule="auto"/>
              <w:rPr>
                <w:rFonts w:ascii="Times New Roman" w:hAnsi="Times New Roman" w:cs="Times New Roman"/>
                <w:color w:val="000000" w:themeColor="text1"/>
                <w:sz w:val="16"/>
                <w:szCs w:val="16"/>
                <w:vertAlign w:val="superscript"/>
              </w:rPr>
            </w:pPr>
            <w:r w:rsidRPr="00EF6679">
              <w:rPr>
                <w:rFonts w:ascii="Times New Roman" w:hAnsi="Times New Roman" w:cs="Times New Roman"/>
                <w:color w:val="000000" w:themeColor="text1"/>
                <w:sz w:val="16"/>
                <w:szCs w:val="16"/>
                <w:vertAlign w:val="superscript"/>
              </w:rPr>
              <w:t xml:space="preserve">a </w:t>
            </w:r>
          </w:p>
        </w:tc>
        <w:tc>
          <w:tcPr>
            <w:tcW w:w="576" w:type="dxa"/>
            <w:noWrap/>
            <w:vAlign w:val="bottom"/>
            <w:hideMark/>
          </w:tcPr>
          <w:p w14:paraId="65D46373" w14:textId="77777777" w:rsidR="00BB138C" w:rsidRPr="00EF6679" w:rsidRDefault="00BB138C" w:rsidP="00820288">
            <w:pPr>
              <w:spacing w:line="240" w:lineRule="auto"/>
              <w:jc w:val="right"/>
              <w:rPr>
                <w:rFonts w:ascii="Times New Roman" w:hAnsi="Times New Roman" w:cs="Times New Roman"/>
                <w:color w:val="000000" w:themeColor="text1"/>
                <w:sz w:val="16"/>
                <w:szCs w:val="16"/>
              </w:rPr>
            </w:pPr>
            <w:r w:rsidRPr="00EF6679">
              <w:rPr>
                <w:rFonts w:ascii="Times New Roman" w:hAnsi="Times New Roman" w:cs="Times New Roman"/>
                <w:color w:val="000000" w:themeColor="text1"/>
                <w:sz w:val="16"/>
                <w:szCs w:val="16"/>
              </w:rPr>
              <w:t>0.076</w:t>
            </w:r>
          </w:p>
        </w:tc>
        <w:tc>
          <w:tcPr>
            <w:tcW w:w="576" w:type="dxa"/>
            <w:noWrap/>
            <w:vAlign w:val="bottom"/>
            <w:hideMark/>
          </w:tcPr>
          <w:p w14:paraId="1FF83082" w14:textId="77777777" w:rsidR="00BB138C" w:rsidRPr="00EF6679" w:rsidRDefault="00BB138C" w:rsidP="00820288">
            <w:pPr>
              <w:spacing w:line="240" w:lineRule="auto"/>
              <w:rPr>
                <w:rFonts w:ascii="Times New Roman" w:hAnsi="Times New Roman" w:cs="Times New Roman"/>
                <w:color w:val="000000" w:themeColor="text1"/>
                <w:sz w:val="16"/>
                <w:szCs w:val="16"/>
                <w:vertAlign w:val="superscript"/>
              </w:rPr>
            </w:pPr>
            <w:r w:rsidRPr="00EF6679">
              <w:rPr>
                <w:rFonts w:ascii="Times New Roman" w:hAnsi="Times New Roman" w:cs="Times New Roman"/>
                <w:color w:val="000000" w:themeColor="text1"/>
                <w:sz w:val="16"/>
                <w:szCs w:val="16"/>
                <w:vertAlign w:val="superscript"/>
              </w:rPr>
              <w:t xml:space="preserve">a </w:t>
            </w:r>
          </w:p>
        </w:tc>
        <w:tc>
          <w:tcPr>
            <w:tcW w:w="576" w:type="dxa"/>
            <w:noWrap/>
            <w:vAlign w:val="bottom"/>
            <w:hideMark/>
          </w:tcPr>
          <w:p w14:paraId="0F69BD20" w14:textId="77777777" w:rsidR="00BB138C" w:rsidRPr="00EF6679" w:rsidRDefault="00BB138C" w:rsidP="00820288">
            <w:pPr>
              <w:spacing w:line="240" w:lineRule="auto"/>
              <w:jc w:val="right"/>
              <w:rPr>
                <w:rFonts w:ascii="Times New Roman" w:hAnsi="Times New Roman" w:cs="Times New Roman"/>
                <w:color w:val="000000" w:themeColor="text1"/>
                <w:sz w:val="16"/>
                <w:szCs w:val="16"/>
              </w:rPr>
            </w:pPr>
            <w:r w:rsidRPr="00EF6679">
              <w:rPr>
                <w:rFonts w:ascii="Times New Roman" w:hAnsi="Times New Roman" w:cs="Times New Roman"/>
                <w:color w:val="000000" w:themeColor="text1"/>
                <w:sz w:val="16"/>
                <w:szCs w:val="16"/>
              </w:rPr>
              <w:t>n.d.</w:t>
            </w:r>
          </w:p>
        </w:tc>
        <w:tc>
          <w:tcPr>
            <w:tcW w:w="576" w:type="dxa"/>
            <w:noWrap/>
            <w:vAlign w:val="bottom"/>
            <w:hideMark/>
          </w:tcPr>
          <w:p w14:paraId="66893C8E" w14:textId="77777777" w:rsidR="00BB138C" w:rsidRPr="00EF6679" w:rsidRDefault="00BB138C" w:rsidP="00820288">
            <w:pPr>
              <w:spacing w:line="240" w:lineRule="auto"/>
              <w:rPr>
                <w:rFonts w:ascii="Times New Roman" w:hAnsi="Times New Roman" w:cs="Times New Roman"/>
                <w:color w:val="000000" w:themeColor="text1"/>
                <w:sz w:val="16"/>
                <w:szCs w:val="16"/>
                <w:vertAlign w:val="superscript"/>
              </w:rPr>
            </w:pPr>
            <w:r w:rsidRPr="00EF6679">
              <w:rPr>
                <w:rFonts w:ascii="Times New Roman" w:hAnsi="Times New Roman" w:cs="Times New Roman"/>
                <w:color w:val="000000" w:themeColor="text1"/>
                <w:sz w:val="16"/>
                <w:szCs w:val="16"/>
                <w:vertAlign w:val="superscript"/>
              </w:rPr>
              <w:t xml:space="preserve">a </w:t>
            </w:r>
          </w:p>
        </w:tc>
        <w:tc>
          <w:tcPr>
            <w:tcW w:w="576" w:type="dxa"/>
            <w:noWrap/>
            <w:vAlign w:val="bottom"/>
            <w:hideMark/>
          </w:tcPr>
          <w:p w14:paraId="39E4FBD0" w14:textId="77777777" w:rsidR="00BB138C" w:rsidRPr="00EF6679" w:rsidRDefault="00BB138C" w:rsidP="00820288">
            <w:pPr>
              <w:spacing w:line="240" w:lineRule="auto"/>
              <w:jc w:val="right"/>
              <w:rPr>
                <w:rFonts w:ascii="Times New Roman" w:hAnsi="Times New Roman" w:cs="Times New Roman"/>
                <w:color w:val="000000" w:themeColor="text1"/>
                <w:sz w:val="16"/>
                <w:szCs w:val="16"/>
              </w:rPr>
            </w:pPr>
            <w:r w:rsidRPr="00EF6679">
              <w:rPr>
                <w:rFonts w:ascii="Times New Roman" w:hAnsi="Times New Roman" w:cs="Times New Roman"/>
                <w:color w:val="000000" w:themeColor="text1"/>
                <w:sz w:val="16"/>
                <w:szCs w:val="16"/>
              </w:rPr>
              <w:t>0.020</w:t>
            </w:r>
          </w:p>
        </w:tc>
        <w:tc>
          <w:tcPr>
            <w:tcW w:w="576" w:type="dxa"/>
            <w:noWrap/>
            <w:vAlign w:val="bottom"/>
            <w:hideMark/>
          </w:tcPr>
          <w:p w14:paraId="209D2771" w14:textId="77777777" w:rsidR="00BB138C" w:rsidRPr="00EF6679" w:rsidRDefault="00BB138C" w:rsidP="00820288">
            <w:pPr>
              <w:spacing w:line="240" w:lineRule="auto"/>
              <w:rPr>
                <w:rFonts w:ascii="Times New Roman" w:hAnsi="Times New Roman" w:cs="Times New Roman"/>
                <w:color w:val="000000" w:themeColor="text1"/>
                <w:sz w:val="16"/>
                <w:szCs w:val="16"/>
                <w:vertAlign w:val="superscript"/>
              </w:rPr>
            </w:pPr>
            <w:r w:rsidRPr="00EF6679">
              <w:rPr>
                <w:rFonts w:ascii="Times New Roman" w:hAnsi="Times New Roman" w:cs="Times New Roman"/>
                <w:color w:val="000000" w:themeColor="text1"/>
                <w:sz w:val="16"/>
                <w:szCs w:val="16"/>
                <w:vertAlign w:val="superscript"/>
              </w:rPr>
              <w:t xml:space="preserve">a </w:t>
            </w:r>
          </w:p>
        </w:tc>
      </w:tr>
      <w:tr w:rsidR="00BB138C" w:rsidRPr="00EF6679" w14:paraId="118C228E" w14:textId="77777777" w:rsidTr="00820288">
        <w:trPr>
          <w:trHeight w:val="173"/>
        </w:trPr>
        <w:tc>
          <w:tcPr>
            <w:tcW w:w="2880" w:type="dxa"/>
            <w:noWrap/>
            <w:vAlign w:val="bottom"/>
            <w:hideMark/>
          </w:tcPr>
          <w:p w14:paraId="17362DAA" w14:textId="77777777" w:rsidR="00BB138C" w:rsidRPr="00EF6679" w:rsidRDefault="00BB138C" w:rsidP="00820288">
            <w:pPr>
              <w:spacing w:line="240" w:lineRule="auto"/>
              <w:rPr>
                <w:rFonts w:ascii="Times New Roman" w:hAnsi="Times New Roman" w:cs="Times New Roman"/>
                <w:color w:val="000000" w:themeColor="text1"/>
                <w:sz w:val="16"/>
                <w:szCs w:val="16"/>
              </w:rPr>
            </w:pPr>
            <w:r w:rsidRPr="00EF6679">
              <w:rPr>
                <w:rFonts w:ascii="Times New Roman" w:hAnsi="Times New Roman" w:cs="Times New Roman"/>
                <w:color w:val="000000" w:themeColor="text1"/>
                <w:sz w:val="16"/>
                <w:szCs w:val="16"/>
              </w:rPr>
              <w:t xml:space="preserve">trans-Pinocarveol        </w:t>
            </w:r>
          </w:p>
        </w:tc>
        <w:tc>
          <w:tcPr>
            <w:tcW w:w="576" w:type="dxa"/>
            <w:noWrap/>
            <w:vAlign w:val="bottom"/>
            <w:hideMark/>
          </w:tcPr>
          <w:p w14:paraId="14828689" w14:textId="77777777" w:rsidR="00BB138C" w:rsidRPr="00EF6679" w:rsidRDefault="00BB138C" w:rsidP="00820288">
            <w:pPr>
              <w:spacing w:line="240" w:lineRule="auto"/>
              <w:jc w:val="right"/>
              <w:rPr>
                <w:rFonts w:ascii="Times New Roman" w:hAnsi="Times New Roman" w:cs="Times New Roman"/>
                <w:color w:val="000000" w:themeColor="text1"/>
                <w:sz w:val="16"/>
                <w:szCs w:val="16"/>
              </w:rPr>
            </w:pPr>
            <w:r w:rsidRPr="00EF6679">
              <w:rPr>
                <w:rFonts w:ascii="Times New Roman" w:hAnsi="Times New Roman" w:cs="Times New Roman"/>
                <w:color w:val="000000" w:themeColor="text1"/>
                <w:sz w:val="16"/>
                <w:szCs w:val="16"/>
              </w:rPr>
              <w:t>3.099</w:t>
            </w:r>
          </w:p>
        </w:tc>
        <w:tc>
          <w:tcPr>
            <w:tcW w:w="576" w:type="dxa"/>
            <w:noWrap/>
            <w:vAlign w:val="bottom"/>
            <w:hideMark/>
          </w:tcPr>
          <w:p w14:paraId="6E6FFCF3" w14:textId="77777777" w:rsidR="00BB138C" w:rsidRPr="00EF6679" w:rsidRDefault="00BB138C" w:rsidP="00820288">
            <w:pPr>
              <w:spacing w:line="240" w:lineRule="auto"/>
              <w:rPr>
                <w:rFonts w:ascii="Times New Roman" w:hAnsi="Times New Roman" w:cs="Times New Roman"/>
                <w:color w:val="000000" w:themeColor="text1"/>
                <w:sz w:val="16"/>
                <w:szCs w:val="16"/>
                <w:vertAlign w:val="superscript"/>
              </w:rPr>
            </w:pPr>
            <w:r w:rsidRPr="00EF6679">
              <w:rPr>
                <w:rFonts w:ascii="Times New Roman" w:hAnsi="Times New Roman" w:cs="Times New Roman"/>
                <w:color w:val="000000" w:themeColor="text1"/>
                <w:sz w:val="16"/>
                <w:szCs w:val="16"/>
                <w:vertAlign w:val="superscript"/>
              </w:rPr>
              <w:t xml:space="preserve">abc </w:t>
            </w:r>
          </w:p>
        </w:tc>
        <w:tc>
          <w:tcPr>
            <w:tcW w:w="576" w:type="dxa"/>
            <w:noWrap/>
            <w:vAlign w:val="bottom"/>
            <w:hideMark/>
          </w:tcPr>
          <w:p w14:paraId="5947E58B" w14:textId="77777777" w:rsidR="00BB138C" w:rsidRPr="00EF6679" w:rsidRDefault="00BB138C" w:rsidP="00820288">
            <w:pPr>
              <w:spacing w:line="240" w:lineRule="auto"/>
              <w:jc w:val="right"/>
              <w:rPr>
                <w:rFonts w:ascii="Times New Roman" w:hAnsi="Times New Roman" w:cs="Times New Roman"/>
                <w:color w:val="000000" w:themeColor="text1"/>
                <w:sz w:val="16"/>
                <w:szCs w:val="16"/>
              </w:rPr>
            </w:pPr>
            <w:r w:rsidRPr="00EF6679">
              <w:rPr>
                <w:rFonts w:ascii="Times New Roman" w:hAnsi="Times New Roman" w:cs="Times New Roman"/>
                <w:color w:val="000000" w:themeColor="text1"/>
                <w:sz w:val="16"/>
                <w:szCs w:val="16"/>
              </w:rPr>
              <w:t>4.936</w:t>
            </w:r>
          </w:p>
        </w:tc>
        <w:tc>
          <w:tcPr>
            <w:tcW w:w="576" w:type="dxa"/>
            <w:noWrap/>
            <w:vAlign w:val="bottom"/>
            <w:hideMark/>
          </w:tcPr>
          <w:p w14:paraId="363DFBA9" w14:textId="77777777" w:rsidR="00BB138C" w:rsidRPr="00EF6679" w:rsidRDefault="00BB138C" w:rsidP="00820288">
            <w:pPr>
              <w:spacing w:line="240" w:lineRule="auto"/>
              <w:rPr>
                <w:rFonts w:ascii="Times New Roman" w:hAnsi="Times New Roman" w:cs="Times New Roman"/>
                <w:color w:val="000000" w:themeColor="text1"/>
                <w:sz w:val="16"/>
                <w:szCs w:val="16"/>
                <w:vertAlign w:val="superscript"/>
              </w:rPr>
            </w:pPr>
            <w:r w:rsidRPr="00EF6679">
              <w:rPr>
                <w:rFonts w:ascii="Times New Roman" w:hAnsi="Times New Roman" w:cs="Times New Roman"/>
                <w:color w:val="000000" w:themeColor="text1"/>
                <w:sz w:val="16"/>
                <w:szCs w:val="16"/>
                <w:vertAlign w:val="superscript"/>
              </w:rPr>
              <w:t xml:space="preserve">ab </w:t>
            </w:r>
          </w:p>
        </w:tc>
        <w:tc>
          <w:tcPr>
            <w:tcW w:w="576" w:type="dxa"/>
            <w:noWrap/>
            <w:vAlign w:val="bottom"/>
            <w:hideMark/>
          </w:tcPr>
          <w:p w14:paraId="02EC4708" w14:textId="77777777" w:rsidR="00BB138C" w:rsidRPr="00EF6679" w:rsidRDefault="00BB138C" w:rsidP="00820288">
            <w:pPr>
              <w:spacing w:line="240" w:lineRule="auto"/>
              <w:jc w:val="right"/>
              <w:rPr>
                <w:rFonts w:ascii="Times New Roman" w:hAnsi="Times New Roman" w:cs="Times New Roman"/>
                <w:color w:val="000000" w:themeColor="text1"/>
                <w:sz w:val="16"/>
                <w:szCs w:val="16"/>
              </w:rPr>
            </w:pPr>
            <w:r w:rsidRPr="00EF6679">
              <w:rPr>
                <w:rFonts w:ascii="Times New Roman" w:hAnsi="Times New Roman" w:cs="Times New Roman"/>
                <w:color w:val="000000" w:themeColor="text1"/>
                <w:sz w:val="16"/>
                <w:szCs w:val="16"/>
              </w:rPr>
              <w:t>0.766</w:t>
            </w:r>
          </w:p>
        </w:tc>
        <w:tc>
          <w:tcPr>
            <w:tcW w:w="576" w:type="dxa"/>
            <w:noWrap/>
            <w:vAlign w:val="bottom"/>
            <w:hideMark/>
          </w:tcPr>
          <w:p w14:paraId="3D6DC012" w14:textId="77777777" w:rsidR="00BB138C" w:rsidRPr="00EF6679" w:rsidRDefault="00BB138C" w:rsidP="00820288">
            <w:pPr>
              <w:spacing w:line="240" w:lineRule="auto"/>
              <w:rPr>
                <w:rFonts w:ascii="Times New Roman" w:hAnsi="Times New Roman" w:cs="Times New Roman"/>
                <w:color w:val="000000" w:themeColor="text1"/>
                <w:sz w:val="16"/>
                <w:szCs w:val="16"/>
                <w:vertAlign w:val="superscript"/>
              </w:rPr>
            </w:pPr>
            <w:r w:rsidRPr="00EF6679">
              <w:rPr>
                <w:rFonts w:ascii="Times New Roman" w:hAnsi="Times New Roman" w:cs="Times New Roman"/>
                <w:color w:val="000000" w:themeColor="text1"/>
                <w:sz w:val="16"/>
                <w:szCs w:val="16"/>
                <w:vertAlign w:val="superscript"/>
              </w:rPr>
              <w:t xml:space="preserve">c </w:t>
            </w:r>
          </w:p>
        </w:tc>
        <w:tc>
          <w:tcPr>
            <w:tcW w:w="576" w:type="dxa"/>
            <w:noWrap/>
            <w:vAlign w:val="bottom"/>
            <w:hideMark/>
          </w:tcPr>
          <w:p w14:paraId="366E34EE" w14:textId="77777777" w:rsidR="00BB138C" w:rsidRPr="00EF6679" w:rsidRDefault="00BB138C" w:rsidP="00820288">
            <w:pPr>
              <w:spacing w:line="240" w:lineRule="auto"/>
              <w:jc w:val="right"/>
              <w:rPr>
                <w:rFonts w:ascii="Times New Roman" w:hAnsi="Times New Roman" w:cs="Times New Roman"/>
                <w:color w:val="000000" w:themeColor="text1"/>
                <w:sz w:val="16"/>
                <w:szCs w:val="16"/>
              </w:rPr>
            </w:pPr>
            <w:r w:rsidRPr="00EF6679">
              <w:rPr>
                <w:rFonts w:ascii="Times New Roman" w:hAnsi="Times New Roman" w:cs="Times New Roman"/>
                <w:color w:val="000000" w:themeColor="text1"/>
                <w:sz w:val="16"/>
                <w:szCs w:val="16"/>
              </w:rPr>
              <w:t>3.148</w:t>
            </w:r>
          </w:p>
        </w:tc>
        <w:tc>
          <w:tcPr>
            <w:tcW w:w="576" w:type="dxa"/>
            <w:noWrap/>
            <w:vAlign w:val="bottom"/>
            <w:hideMark/>
          </w:tcPr>
          <w:p w14:paraId="3CF15665" w14:textId="77777777" w:rsidR="00BB138C" w:rsidRPr="00EF6679" w:rsidRDefault="00BB138C" w:rsidP="00820288">
            <w:pPr>
              <w:spacing w:line="240" w:lineRule="auto"/>
              <w:rPr>
                <w:rFonts w:ascii="Times New Roman" w:hAnsi="Times New Roman" w:cs="Times New Roman"/>
                <w:color w:val="000000" w:themeColor="text1"/>
                <w:sz w:val="16"/>
                <w:szCs w:val="16"/>
                <w:vertAlign w:val="superscript"/>
              </w:rPr>
            </w:pPr>
            <w:r w:rsidRPr="00EF6679">
              <w:rPr>
                <w:rFonts w:ascii="Times New Roman" w:hAnsi="Times New Roman" w:cs="Times New Roman"/>
                <w:color w:val="000000" w:themeColor="text1"/>
                <w:sz w:val="16"/>
                <w:szCs w:val="16"/>
                <w:vertAlign w:val="superscript"/>
              </w:rPr>
              <w:t xml:space="preserve">abc </w:t>
            </w:r>
          </w:p>
        </w:tc>
      </w:tr>
      <w:tr w:rsidR="00BB138C" w:rsidRPr="00EF6679" w14:paraId="3088D165" w14:textId="77777777" w:rsidTr="00820288">
        <w:trPr>
          <w:trHeight w:val="173"/>
        </w:trPr>
        <w:tc>
          <w:tcPr>
            <w:tcW w:w="2880" w:type="dxa"/>
            <w:noWrap/>
            <w:vAlign w:val="bottom"/>
            <w:hideMark/>
          </w:tcPr>
          <w:p w14:paraId="48166E76" w14:textId="77777777" w:rsidR="00BB138C" w:rsidRPr="00EF6679" w:rsidRDefault="00BB138C" w:rsidP="00820288">
            <w:pPr>
              <w:spacing w:line="240" w:lineRule="auto"/>
              <w:rPr>
                <w:rFonts w:ascii="Times New Roman" w:hAnsi="Times New Roman" w:cs="Times New Roman"/>
                <w:color w:val="000000" w:themeColor="text1"/>
                <w:sz w:val="16"/>
                <w:szCs w:val="16"/>
              </w:rPr>
            </w:pPr>
            <w:r w:rsidRPr="00EF6679">
              <w:rPr>
                <w:rFonts w:ascii="Times New Roman" w:hAnsi="Times New Roman" w:cs="Times New Roman"/>
                <w:color w:val="000000" w:themeColor="text1"/>
                <w:sz w:val="16"/>
                <w:szCs w:val="16"/>
              </w:rPr>
              <w:t xml:space="preserve">3-Menthene               </w:t>
            </w:r>
          </w:p>
        </w:tc>
        <w:tc>
          <w:tcPr>
            <w:tcW w:w="576" w:type="dxa"/>
            <w:noWrap/>
            <w:vAlign w:val="bottom"/>
            <w:hideMark/>
          </w:tcPr>
          <w:p w14:paraId="1F988CA5" w14:textId="77777777" w:rsidR="00BB138C" w:rsidRPr="00EF6679" w:rsidRDefault="00BB138C" w:rsidP="00820288">
            <w:pPr>
              <w:spacing w:line="240" w:lineRule="auto"/>
              <w:jc w:val="right"/>
              <w:rPr>
                <w:rFonts w:ascii="Times New Roman" w:hAnsi="Times New Roman" w:cs="Times New Roman"/>
                <w:color w:val="000000" w:themeColor="text1"/>
                <w:sz w:val="16"/>
                <w:szCs w:val="16"/>
              </w:rPr>
            </w:pPr>
            <w:r w:rsidRPr="00EF6679">
              <w:rPr>
                <w:rFonts w:ascii="Times New Roman" w:hAnsi="Times New Roman" w:cs="Times New Roman"/>
                <w:color w:val="000000" w:themeColor="text1"/>
                <w:sz w:val="16"/>
                <w:szCs w:val="16"/>
              </w:rPr>
              <w:t>21.881</w:t>
            </w:r>
          </w:p>
        </w:tc>
        <w:tc>
          <w:tcPr>
            <w:tcW w:w="576" w:type="dxa"/>
            <w:noWrap/>
            <w:vAlign w:val="bottom"/>
            <w:hideMark/>
          </w:tcPr>
          <w:p w14:paraId="3A585F5F" w14:textId="77777777" w:rsidR="00BB138C" w:rsidRPr="00EF6679" w:rsidRDefault="00BB138C" w:rsidP="00820288">
            <w:pPr>
              <w:spacing w:line="240" w:lineRule="auto"/>
              <w:rPr>
                <w:rFonts w:ascii="Times New Roman" w:hAnsi="Times New Roman" w:cs="Times New Roman"/>
                <w:color w:val="000000" w:themeColor="text1"/>
                <w:sz w:val="16"/>
                <w:szCs w:val="16"/>
                <w:vertAlign w:val="superscript"/>
              </w:rPr>
            </w:pPr>
            <w:r w:rsidRPr="00EF6679">
              <w:rPr>
                <w:rFonts w:ascii="Times New Roman" w:hAnsi="Times New Roman" w:cs="Times New Roman"/>
                <w:color w:val="000000" w:themeColor="text1"/>
                <w:sz w:val="16"/>
                <w:szCs w:val="16"/>
                <w:vertAlign w:val="superscript"/>
              </w:rPr>
              <w:t xml:space="preserve">ab </w:t>
            </w:r>
          </w:p>
        </w:tc>
        <w:tc>
          <w:tcPr>
            <w:tcW w:w="576" w:type="dxa"/>
            <w:noWrap/>
            <w:vAlign w:val="bottom"/>
            <w:hideMark/>
          </w:tcPr>
          <w:p w14:paraId="6B4F99A6" w14:textId="77777777" w:rsidR="00BB138C" w:rsidRPr="00EF6679" w:rsidRDefault="00BB138C" w:rsidP="00820288">
            <w:pPr>
              <w:spacing w:line="240" w:lineRule="auto"/>
              <w:jc w:val="right"/>
              <w:rPr>
                <w:rFonts w:ascii="Times New Roman" w:hAnsi="Times New Roman" w:cs="Times New Roman"/>
                <w:color w:val="000000" w:themeColor="text1"/>
                <w:sz w:val="16"/>
                <w:szCs w:val="16"/>
              </w:rPr>
            </w:pPr>
            <w:r w:rsidRPr="00EF6679">
              <w:rPr>
                <w:rFonts w:ascii="Times New Roman" w:hAnsi="Times New Roman" w:cs="Times New Roman"/>
                <w:color w:val="000000" w:themeColor="text1"/>
                <w:sz w:val="16"/>
                <w:szCs w:val="16"/>
              </w:rPr>
              <w:t>32.592</w:t>
            </w:r>
          </w:p>
        </w:tc>
        <w:tc>
          <w:tcPr>
            <w:tcW w:w="576" w:type="dxa"/>
            <w:noWrap/>
            <w:vAlign w:val="bottom"/>
            <w:hideMark/>
          </w:tcPr>
          <w:p w14:paraId="67C662D9" w14:textId="77777777" w:rsidR="00BB138C" w:rsidRPr="00EF6679" w:rsidRDefault="00BB138C" w:rsidP="00820288">
            <w:pPr>
              <w:spacing w:line="240" w:lineRule="auto"/>
              <w:rPr>
                <w:rFonts w:ascii="Times New Roman" w:hAnsi="Times New Roman" w:cs="Times New Roman"/>
                <w:color w:val="000000" w:themeColor="text1"/>
                <w:sz w:val="16"/>
                <w:szCs w:val="16"/>
                <w:vertAlign w:val="superscript"/>
              </w:rPr>
            </w:pPr>
            <w:r w:rsidRPr="00EF6679">
              <w:rPr>
                <w:rFonts w:ascii="Times New Roman" w:hAnsi="Times New Roman" w:cs="Times New Roman"/>
                <w:color w:val="000000" w:themeColor="text1"/>
                <w:sz w:val="16"/>
                <w:szCs w:val="16"/>
                <w:vertAlign w:val="superscript"/>
              </w:rPr>
              <w:t xml:space="preserve">a </w:t>
            </w:r>
          </w:p>
        </w:tc>
        <w:tc>
          <w:tcPr>
            <w:tcW w:w="576" w:type="dxa"/>
            <w:noWrap/>
            <w:vAlign w:val="bottom"/>
            <w:hideMark/>
          </w:tcPr>
          <w:p w14:paraId="40CB0E40" w14:textId="77777777" w:rsidR="00BB138C" w:rsidRPr="00EF6679" w:rsidRDefault="00BB138C" w:rsidP="00820288">
            <w:pPr>
              <w:spacing w:line="240" w:lineRule="auto"/>
              <w:jc w:val="right"/>
              <w:rPr>
                <w:rFonts w:ascii="Times New Roman" w:hAnsi="Times New Roman" w:cs="Times New Roman"/>
                <w:color w:val="000000" w:themeColor="text1"/>
                <w:sz w:val="16"/>
                <w:szCs w:val="16"/>
              </w:rPr>
            </w:pPr>
            <w:r w:rsidRPr="00EF6679">
              <w:rPr>
                <w:rFonts w:ascii="Times New Roman" w:hAnsi="Times New Roman" w:cs="Times New Roman"/>
                <w:color w:val="000000" w:themeColor="text1"/>
                <w:sz w:val="16"/>
                <w:szCs w:val="16"/>
              </w:rPr>
              <w:t>6.348</w:t>
            </w:r>
          </w:p>
        </w:tc>
        <w:tc>
          <w:tcPr>
            <w:tcW w:w="576" w:type="dxa"/>
            <w:noWrap/>
            <w:vAlign w:val="bottom"/>
            <w:hideMark/>
          </w:tcPr>
          <w:p w14:paraId="48EE8AE9" w14:textId="77777777" w:rsidR="00BB138C" w:rsidRPr="00EF6679" w:rsidRDefault="00BB138C" w:rsidP="00820288">
            <w:pPr>
              <w:spacing w:line="240" w:lineRule="auto"/>
              <w:rPr>
                <w:rFonts w:ascii="Times New Roman" w:hAnsi="Times New Roman" w:cs="Times New Roman"/>
                <w:color w:val="000000" w:themeColor="text1"/>
                <w:sz w:val="16"/>
                <w:szCs w:val="16"/>
                <w:vertAlign w:val="superscript"/>
              </w:rPr>
            </w:pPr>
            <w:r w:rsidRPr="00EF6679">
              <w:rPr>
                <w:rFonts w:ascii="Times New Roman" w:hAnsi="Times New Roman" w:cs="Times New Roman"/>
                <w:color w:val="000000" w:themeColor="text1"/>
                <w:sz w:val="16"/>
                <w:szCs w:val="16"/>
                <w:vertAlign w:val="superscript"/>
              </w:rPr>
              <w:t xml:space="preserve">b </w:t>
            </w:r>
          </w:p>
        </w:tc>
        <w:tc>
          <w:tcPr>
            <w:tcW w:w="576" w:type="dxa"/>
            <w:noWrap/>
            <w:vAlign w:val="bottom"/>
            <w:hideMark/>
          </w:tcPr>
          <w:p w14:paraId="0253E870" w14:textId="77777777" w:rsidR="00BB138C" w:rsidRPr="00EF6679" w:rsidRDefault="00BB138C" w:rsidP="00820288">
            <w:pPr>
              <w:spacing w:line="240" w:lineRule="auto"/>
              <w:jc w:val="right"/>
              <w:rPr>
                <w:rFonts w:ascii="Times New Roman" w:hAnsi="Times New Roman" w:cs="Times New Roman"/>
                <w:color w:val="000000" w:themeColor="text1"/>
                <w:sz w:val="16"/>
                <w:szCs w:val="16"/>
              </w:rPr>
            </w:pPr>
            <w:r w:rsidRPr="00EF6679">
              <w:rPr>
                <w:rFonts w:ascii="Times New Roman" w:hAnsi="Times New Roman" w:cs="Times New Roman"/>
                <w:color w:val="000000" w:themeColor="text1"/>
                <w:sz w:val="16"/>
                <w:szCs w:val="16"/>
              </w:rPr>
              <w:t>21.481</w:t>
            </w:r>
          </w:p>
        </w:tc>
        <w:tc>
          <w:tcPr>
            <w:tcW w:w="576" w:type="dxa"/>
            <w:noWrap/>
            <w:vAlign w:val="bottom"/>
            <w:hideMark/>
          </w:tcPr>
          <w:p w14:paraId="6808B15B" w14:textId="77777777" w:rsidR="00BB138C" w:rsidRPr="00EF6679" w:rsidRDefault="00BB138C" w:rsidP="00820288">
            <w:pPr>
              <w:spacing w:line="240" w:lineRule="auto"/>
              <w:rPr>
                <w:rFonts w:ascii="Times New Roman" w:hAnsi="Times New Roman" w:cs="Times New Roman"/>
                <w:color w:val="000000" w:themeColor="text1"/>
                <w:sz w:val="16"/>
                <w:szCs w:val="16"/>
                <w:vertAlign w:val="superscript"/>
              </w:rPr>
            </w:pPr>
            <w:r w:rsidRPr="00EF6679">
              <w:rPr>
                <w:rFonts w:ascii="Times New Roman" w:hAnsi="Times New Roman" w:cs="Times New Roman"/>
                <w:color w:val="000000" w:themeColor="text1"/>
                <w:sz w:val="16"/>
                <w:szCs w:val="16"/>
                <w:vertAlign w:val="superscript"/>
              </w:rPr>
              <w:t xml:space="preserve">ab </w:t>
            </w:r>
          </w:p>
        </w:tc>
      </w:tr>
      <w:tr w:rsidR="00BB138C" w:rsidRPr="00EF6679" w14:paraId="379866D0" w14:textId="77777777" w:rsidTr="00820288">
        <w:trPr>
          <w:trHeight w:val="173"/>
        </w:trPr>
        <w:tc>
          <w:tcPr>
            <w:tcW w:w="2880" w:type="dxa"/>
            <w:noWrap/>
            <w:vAlign w:val="bottom"/>
            <w:hideMark/>
          </w:tcPr>
          <w:p w14:paraId="0BD5D84D" w14:textId="77777777" w:rsidR="00BB138C" w:rsidRPr="00EF6679" w:rsidRDefault="00BB138C" w:rsidP="00820288">
            <w:pPr>
              <w:spacing w:line="240" w:lineRule="auto"/>
              <w:rPr>
                <w:rFonts w:ascii="Times New Roman" w:hAnsi="Times New Roman" w:cs="Times New Roman"/>
                <w:color w:val="000000" w:themeColor="text1"/>
                <w:sz w:val="16"/>
                <w:szCs w:val="16"/>
              </w:rPr>
            </w:pPr>
            <w:r w:rsidRPr="00EF6679">
              <w:rPr>
                <w:rFonts w:ascii="Times New Roman" w:hAnsi="Times New Roman" w:cs="Times New Roman"/>
                <w:color w:val="000000" w:themeColor="text1"/>
                <w:sz w:val="16"/>
                <w:szCs w:val="16"/>
              </w:rPr>
              <w:t xml:space="preserve">3-Caren-10-al            </w:t>
            </w:r>
          </w:p>
        </w:tc>
        <w:tc>
          <w:tcPr>
            <w:tcW w:w="576" w:type="dxa"/>
            <w:noWrap/>
            <w:vAlign w:val="bottom"/>
            <w:hideMark/>
          </w:tcPr>
          <w:p w14:paraId="25D7B5D3" w14:textId="77777777" w:rsidR="00BB138C" w:rsidRPr="00EF6679" w:rsidRDefault="00BB138C" w:rsidP="00820288">
            <w:pPr>
              <w:spacing w:line="240" w:lineRule="auto"/>
              <w:jc w:val="right"/>
              <w:rPr>
                <w:rFonts w:ascii="Times New Roman" w:hAnsi="Times New Roman" w:cs="Times New Roman"/>
                <w:color w:val="000000" w:themeColor="text1"/>
                <w:sz w:val="16"/>
                <w:szCs w:val="16"/>
              </w:rPr>
            </w:pPr>
            <w:r w:rsidRPr="00EF6679">
              <w:rPr>
                <w:rFonts w:ascii="Times New Roman" w:hAnsi="Times New Roman" w:cs="Times New Roman"/>
                <w:color w:val="000000" w:themeColor="text1"/>
                <w:sz w:val="16"/>
                <w:szCs w:val="16"/>
              </w:rPr>
              <w:t>0.497</w:t>
            </w:r>
          </w:p>
        </w:tc>
        <w:tc>
          <w:tcPr>
            <w:tcW w:w="576" w:type="dxa"/>
            <w:noWrap/>
            <w:vAlign w:val="bottom"/>
            <w:hideMark/>
          </w:tcPr>
          <w:p w14:paraId="5F672DCD" w14:textId="77777777" w:rsidR="00BB138C" w:rsidRPr="00EF6679" w:rsidRDefault="00BB138C" w:rsidP="00820288">
            <w:pPr>
              <w:spacing w:line="240" w:lineRule="auto"/>
              <w:rPr>
                <w:rFonts w:ascii="Times New Roman" w:hAnsi="Times New Roman" w:cs="Times New Roman"/>
                <w:color w:val="000000" w:themeColor="text1"/>
                <w:sz w:val="16"/>
                <w:szCs w:val="16"/>
                <w:vertAlign w:val="superscript"/>
              </w:rPr>
            </w:pPr>
            <w:r w:rsidRPr="00EF6679">
              <w:rPr>
                <w:rFonts w:ascii="Times New Roman" w:hAnsi="Times New Roman" w:cs="Times New Roman"/>
                <w:color w:val="000000" w:themeColor="text1"/>
                <w:sz w:val="16"/>
                <w:szCs w:val="16"/>
                <w:vertAlign w:val="superscript"/>
              </w:rPr>
              <w:t xml:space="preserve">a </w:t>
            </w:r>
          </w:p>
        </w:tc>
        <w:tc>
          <w:tcPr>
            <w:tcW w:w="576" w:type="dxa"/>
            <w:noWrap/>
            <w:vAlign w:val="bottom"/>
            <w:hideMark/>
          </w:tcPr>
          <w:p w14:paraId="1454FCA0" w14:textId="77777777" w:rsidR="00BB138C" w:rsidRPr="00EF6679" w:rsidRDefault="00BB138C" w:rsidP="00820288">
            <w:pPr>
              <w:spacing w:line="240" w:lineRule="auto"/>
              <w:jc w:val="right"/>
              <w:rPr>
                <w:rFonts w:ascii="Times New Roman" w:hAnsi="Times New Roman" w:cs="Times New Roman"/>
                <w:color w:val="000000" w:themeColor="text1"/>
                <w:sz w:val="16"/>
                <w:szCs w:val="16"/>
              </w:rPr>
            </w:pPr>
            <w:r w:rsidRPr="00EF6679">
              <w:rPr>
                <w:rFonts w:ascii="Times New Roman" w:hAnsi="Times New Roman" w:cs="Times New Roman"/>
                <w:color w:val="000000" w:themeColor="text1"/>
                <w:sz w:val="16"/>
                <w:szCs w:val="16"/>
              </w:rPr>
              <w:t>0.549</w:t>
            </w:r>
          </w:p>
        </w:tc>
        <w:tc>
          <w:tcPr>
            <w:tcW w:w="576" w:type="dxa"/>
            <w:noWrap/>
            <w:vAlign w:val="bottom"/>
            <w:hideMark/>
          </w:tcPr>
          <w:p w14:paraId="1B6C2FDD" w14:textId="77777777" w:rsidR="00BB138C" w:rsidRPr="00EF6679" w:rsidRDefault="00BB138C" w:rsidP="00820288">
            <w:pPr>
              <w:spacing w:line="240" w:lineRule="auto"/>
              <w:rPr>
                <w:rFonts w:ascii="Times New Roman" w:hAnsi="Times New Roman" w:cs="Times New Roman"/>
                <w:color w:val="000000" w:themeColor="text1"/>
                <w:sz w:val="16"/>
                <w:szCs w:val="16"/>
                <w:vertAlign w:val="superscript"/>
              </w:rPr>
            </w:pPr>
            <w:r w:rsidRPr="00EF6679">
              <w:rPr>
                <w:rFonts w:ascii="Times New Roman" w:hAnsi="Times New Roman" w:cs="Times New Roman"/>
                <w:color w:val="000000" w:themeColor="text1"/>
                <w:sz w:val="16"/>
                <w:szCs w:val="16"/>
                <w:vertAlign w:val="superscript"/>
              </w:rPr>
              <w:t xml:space="preserve">a </w:t>
            </w:r>
          </w:p>
        </w:tc>
        <w:tc>
          <w:tcPr>
            <w:tcW w:w="576" w:type="dxa"/>
            <w:noWrap/>
            <w:vAlign w:val="bottom"/>
            <w:hideMark/>
          </w:tcPr>
          <w:p w14:paraId="2074EB6F" w14:textId="77777777" w:rsidR="00BB138C" w:rsidRPr="00EF6679" w:rsidRDefault="00BB138C" w:rsidP="00820288">
            <w:pPr>
              <w:spacing w:line="240" w:lineRule="auto"/>
              <w:jc w:val="right"/>
              <w:rPr>
                <w:rFonts w:ascii="Times New Roman" w:hAnsi="Times New Roman" w:cs="Times New Roman"/>
                <w:color w:val="000000" w:themeColor="text1"/>
                <w:sz w:val="16"/>
                <w:szCs w:val="16"/>
              </w:rPr>
            </w:pPr>
            <w:r w:rsidRPr="00EF6679">
              <w:rPr>
                <w:rFonts w:ascii="Times New Roman" w:hAnsi="Times New Roman" w:cs="Times New Roman"/>
                <w:color w:val="000000" w:themeColor="text1"/>
                <w:sz w:val="16"/>
                <w:szCs w:val="16"/>
              </w:rPr>
              <w:t>0.807</w:t>
            </w:r>
          </w:p>
        </w:tc>
        <w:tc>
          <w:tcPr>
            <w:tcW w:w="576" w:type="dxa"/>
            <w:noWrap/>
            <w:vAlign w:val="bottom"/>
            <w:hideMark/>
          </w:tcPr>
          <w:p w14:paraId="4078B301" w14:textId="77777777" w:rsidR="00BB138C" w:rsidRPr="00EF6679" w:rsidRDefault="00BB138C" w:rsidP="00820288">
            <w:pPr>
              <w:spacing w:line="240" w:lineRule="auto"/>
              <w:rPr>
                <w:rFonts w:ascii="Times New Roman" w:hAnsi="Times New Roman" w:cs="Times New Roman"/>
                <w:color w:val="000000" w:themeColor="text1"/>
                <w:sz w:val="16"/>
                <w:szCs w:val="16"/>
                <w:vertAlign w:val="superscript"/>
              </w:rPr>
            </w:pPr>
            <w:r w:rsidRPr="00EF6679">
              <w:rPr>
                <w:rFonts w:ascii="Times New Roman" w:hAnsi="Times New Roman" w:cs="Times New Roman"/>
                <w:color w:val="000000" w:themeColor="text1"/>
                <w:sz w:val="16"/>
                <w:szCs w:val="16"/>
                <w:vertAlign w:val="superscript"/>
              </w:rPr>
              <w:t xml:space="preserve">a </w:t>
            </w:r>
          </w:p>
        </w:tc>
        <w:tc>
          <w:tcPr>
            <w:tcW w:w="576" w:type="dxa"/>
            <w:noWrap/>
            <w:vAlign w:val="bottom"/>
            <w:hideMark/>
          </w:tcPr>
          <w:p w14:paraId="7177F13F" w14:textId="77777777" w:rsidR="00BB138C" w:rsidRPr="00EF6679" w:rsidRDefault="00BB138C" w:rsidP="00820288">
            <w:pPr>
              <w:spacing w:line="240" w:lineRule="auto"/>
              <w:jc w:val="right"/>
              <w:rPr>
                <w:rFonts w:ascii="Times New Roman" w:hAnsi="Times New Roman" w:cs="Times New Roman"/>
                <w:color w:val="000000" w:themeColor="text1"/>
                <w:sz w:val="16"/>
                <w:szCs w:val="16"/>
              </w:rPr>
            </w:pPr>
            <w:r w:rsidRPr="00EF6679">
              <w:rPr>
                <w:rFonts w:ascii="Times New Roman" w:hAnsi="Times New Roman" w:cs="Times New Roman"/>
                <w:color w:val="000000" w:themeColor="text1"/>
                <w:sz w:val="16"/>
                <w:szCs w:val="16"/>
              </w:rPr>
              <w:t>1.207</w:t>
            </w:r>
          </w:p>
        </w:tc>
        <w:tc>
          <w:tcPr>
            <w:tcW w:w="576" w:type="dxa"/>
            <w:noWrap/>
            <w:vAlign w:val="bottom"/>
            <w:hideMark/>
          </w:tcPr>
          <w:p w14:paraId="216EED75" w14:textId="77777777" w:rsidR="00BB138C" w:rsidRPr="00EF6679" w:rsidRDefault="00BB138C" w:rsidP="00820288">
            <w:pPr>
              <w:spacing w:line="240" w:lineRule="auto"/>
              <w:rPr>
                <w:rFonts w:ascii="Times New Roman" w:hAnsi="Times New Roman" w:cs="Times New Roman"/>
                <w:color w:val="000000" w:themeColor="text1"/>
                <w:sz w:val="16"/>
                <w:szCs w:val="16"/>
                <w:vertAlign w:val="superscript"/>
              </w:rPr>
            </w:pPr>
            <w:r w:rsidRPr="00EF6679">
              <w:rPr>
                <w:rFonts w:ascii="Times New Roman" w:hAnsi="Times New Roman" w:cs="Times New Roman"/>
                <w:color w:val="000000" w:themeColor="text1"/>
                <w:sz w:val="16"/>
                <w:szCs w:val="16"/>
                <w:vertAlign w:val="superscript"/>
              </w:rPr>
              <w:t xml:space="preserve">a </w:t>
            </w:r>
          </w:p>
        </w:tc>
      </w:tr>
      <w:tr w:rsidR="00BB138C" w:rsidRPr="00EF6679" w14:paraId="4FE61CEE" w14:textId="77777777" w:rsidTr="00820288">
        <w:trPr>
          <w:trHeight w:val="173"/>
        </w:trPr>
        <w:tc>
          <w:tcPr>
            <w:tcW w:w="2880" w:type="dxa"/>
            <w:noWrap/>
            <w:vAlign w:val="bottom"/>
            <w:hideMark/>
          </w:tcPr>
          <w:p w14:paraId="6CAD1413" w14:textId="77777777" w:rsidR="00BB138C" w:rsidRPr="00EF6679" w:rsidRDefault="00BB138C" w:rsidP="00820288">
            <w:pPr>
              <w:spacing w:line="240" w:lineRule="auto"/>
              <w:rPr>
                <w:rFonts w:ascii="Times New Roman" w:hAnsi="Times New Roman" w:cs="Times New Roman"/>
                <w:color w:val="000000" w:themeColor="text1"/>
                <w:sz w:val="16"/>
                <w:szCs w:val="16"/>
              </w:rPr>
            </w:pPr>
            <w:r w:rsidRPr="00EF6679">
              <w:rPr>
                <w:rFonts w:ascii="Times New Roman" w:hAnsi="Times New Roman" w:cs="Times New Roman"/>
                <w:color w:val="000000" w:themeColor="text1"/>
                <w:sz w:val="16"/>
                <w:szCs w:val="16"/>
              </w:rPr>
              <w:t xml:space="preserve">Isoborneol               </w:t>
            </w:r>
          </w:p>
        </w:tc>
        <w:tc>
          <w:tcPr>
            <w:tcW w:w="576" w:type="dxa"/>
            <w:noWrap/>
            <w:vAlign w:val="bottom"/>
            <w:hideMark/>
          </w:tcPr>
          <w:p w14:paraId="46E806ED" w14:textId="77777777" w:rsidR="00BB138C" w:rsidRPr="00EF6679" w:rsidRDefault="00BB138C" w:rsidP="00820288">
            <w:pPr>
              <w:spacing w:line="240" w:lineRule="auto"/>
              <w:jc w:val="right"/>
              <w:rPr>
                <w:rFonts w:ascii="Times New Roman" w:hAnsi="Times New Roman" w:cs="Times New Roman"/>
                <w:color w:val="000000" w:themeColor="text1"/>
                <w:sz w:val="16"/>
                <w:szCs w:val="16"/>
              </w:rPr>
            </w:pPr>
            <w:r w:rsidRPr="00EF6679">
              <w:rPr>
                <w:rFonts w:ascii="Times New Roman" w:hAnsi="Times New Roman" w:cs="Times New Roman"/>
                <w:color w:val="000000" w:themeColor="text1"/>
                <w:sz w:val="16"/>
                <w:szCs w:val="16"/>
              </w:rPr>
              <w:t>4.025</w:t>
            </w:r>
          </w:p>
        </w:tc>
        <w:tc>
          <w:tcPr>
            <w:tcW w:w="576" w:type="dxa"/>
            <w:noWrap/>
            <w:vAlign w:val="bottom"/>
            <w:hideMark/>
          </w:tcPr>
          <w:p w14:paraId="4E5E8CD6" w14:textId="77777777" w:rsidR="00BB138C" w:rsidRPr="00EF6679" w:rsidRDefault="00BB138C" w:rsidP="00820288">
            <w:pPr>
              <w:spacing w:line="240" w:lineRule="auto"/>
              <w:rPr>
                <w:rFonts w:ascii="Times New Roman" w:hAnsi="Times New Roman" w:cs="Times New Roman"/>
                <w:color w:val="000000" w:themeColor="text1"/>
                <w:sz w:val="16"/>
                <w:szCs w:val="16"/>
                <w:vertAlign w:val="superscript"/>
              </w:rPr>
            </w:pPr>
            <w:r w:rsidRPr="00EF6679">
              <w:rPr>
                <w:rFonts w:ascii="Times New Roman" w:hAnsi="Times New Roman" w:cs="Times New Roman"/>
                <w:color w:val="000000" w:themeColor="text1"/>
                <w:sz w:val="16"/>
                <w:szCs w:val="16"/>
                <w:vertAlign w:val="superscript"/>
              </w:rPr>
              <w:t xml:space="preserve">ab </w:t>
            </w:r>
          </w:p>
        </w:tc>
        <w:tc>
          <w:tcPr>
            <w:tcW w:w="576" w:type="dxa"/>
            <w:noWrap/>
            <w:vAlign w:val="bottom"/>
            <w:hideMark/>
          </w:tcPr>
          <w:p w14:paraId="1C4DC64F" w14:textId="77777777" w:rsidR="00BB138C" w:rsidRPr="00EF6679" w:rsidRDefault="00BB138C" w:rsidP="00820288">
            <w:pPr>
              <w:spacing w:line="240" w:lineRule="auto"/>
              <w:jc w:val="right"/>
              <w:rPr>
                <w:rFonts w:ascii="Times New Roman" w:hAnsi="Times New Roman" w:cs="Times New Roman"/>
                <w:color w:val="000000" w:themeColor="text1"/>
                <w:sz w:val="16"/>
                <w:szCs w:val="16"/>
              </w:rPr>
            </w:pPr>
            <w:r w:rsidRPr="00EF6679">
              <w:rPr>
                <w:rFonts w:ascii="Times New Roman" w:hAnsi="Times New Roman" w:cs="Times New Roman"/>
                <w:color w:val="000000" w:themeColor="text1"/>
                <w:sz w:val="16"/>
                <w:szCs w:val="16"/>
              </w:rPr>
              <w:t>4.677</w:t>
            </w:r>
          </w:p>
        </w:tc>
        <w:tc>
          <w:tcPr>
            <w:tcW w:w="576" w:type="dxa"/>
            <w:noWrap/>
            <w:vAlign w:val="bottom"/>
            <w:hideMark/>
          </w:tcPr>
          <w:p w14:paraId="6EBD92FF" w14:textId="77777777" w:rsidR="00BB138C" w:rsidRPr="00EF6679" w:rsidRDefault="00BB138C" w:rsidP="00820288">
            <w:pPr>
              <w:spacing w:line="240" w:lineRule="auto"/>
              <w:rPr>
                <w:rFonts w:ascii="Times New Roman" w:hAnsi="Times New Roman" w:cs="Times New Roman"/>
                <w:color w:val="000000" w:themeColor="text1"/>
                <w:sz w:val="16"/>
                <w:szCs w:val="16"/>
                <w:vertAlign w:val="superscript"/>
              </w:rPr>
            </w:pPr>
            <w:r w:rsidRPr="00EF6679">
              <w:rPr>
                <w:rFonts w:ascii="Times New Roman" w:hAnsi="Times New Roman" w:cs="Times New Roman"/>
                <w:color w:val="000000" w:themeColor="text1"/>
                <w:sz w:val="16"/>
                <w:szCs w:val="16"/>
                <w:vertAlign w:val="superscript"/>
              </w:rPr>
              <w:t xml:space="preserve">ab </w:t>
            </w:r>
          </w:p>
        </w:tc>
        <w:tc>
          <w:tcPr>
            <w:tcW w:w="576" w:type="dxa"/>
            <w:noWrap/>
            <w:vAlign w:val="bottom"/>
            <w:hideMark/>
          </w:tcPr>
          <w:p w14:paraId="79BD39B8" w14:textId="77777777" w:rsidR="00BB138C" w:rsidRPr="00EF6679" w:rsidRDefault="00BB138C" w:rsidP="00820288">
            <w:pPr>
              <w:spacing w:line="240" w:lineRule="auto"/>
              <w:jc w:val="right"/>
              <w:rPr>
                <w:rFonts w:ascii="Times New Roman" w:hAnsi="Times New Roman" w:cs="Times New Roman"/>
                <w:color w:val="000000" w:themeColor="text1"/>
                <w:sz w:val="16"/>
                <w:szCs w:val="16"/>
              </w:rPr>
            </w:pPr>
            <w:r w:rsidRPr="00EF6679">
              <w:rPr>
                <w:rFonts w:ascii="Times New Roman" w:hAnsi="Times New Roman" w:cs="Times New Roman"/>
                <w:color w:val="000000" w:themeColor="text1"/>
                <w:sz w:val="16"/>
                <w:szCs w:val="16"/>
              </w:rPr>
              <w:t>5.362</w:t>
            </w:r>
          </w:p>
        </w:tc>
        <w:tc>
          <w:tcPr>
            <w:tcW w:w="576" w:type="dxa"/>
            <w:noWrap/>
            <w:vAlign w:val="bottom"/>
            <w:hideMark/>
          </w:tcPr>
          <w:p w14:paraId="6B5C3610" w14:textId="77777777" w:rsidR="00BB138C" w:rsidRPr="00EF6679" w:rsidRDefault="00BB138C" w:rsidP="00820288">
            <w:pPr>
              <w:spacing w:line="240" w:lineRule="auto"/>
              <w:rPr>
                <w:rFonts w:ascii="Times New Roman" w:hAnsi="Times New Roman" w:cs="Times New Roman"/>
                <w:color w:val="000000" w:themeColor="text1"/>
                <w:sz w:val="16"/>
                <w:szCs w:val="16"/>
                <w:vertAlign w:val="superscript"/>
              </w:rPr>
            </w:pPr>
            <w:r w:rsidRPr="00EF6679">
              <w:rPr>
                <w:rFonts w:ascii="Times New Roman" w:hAnsi="Times New Roman" w:cs="Times New Roman"/>
                <w:color w:val="000000" w:themeColor="text1"/>
                <w:sz w:val="16"/>
                <w:szCs w:val="16"/>
                <w:vertAlign w:val="superscript"/>
              </w:rPr>
              <w:t xml:space="preserve">ab </w:t>
            </w:r>
          </w:p>
        </w:tc>
        <w:tc>
          <w:tcPr>
            <w:tcW w:w="576" w:type="dxa"/>
            <w:noWrap/>
            <w:vAlign w:val="bottom"/>
            <w:hideMark/>
          </w:tcPr>
          <w:p w14:paraId="4B92E525" w14:textId="77777777" w:rsidR="00BB138C" w:rsidRPr="00EF6679" w:rsidRDefault="00BB138C" w:rsidP="00820288">
            <w:pPr>
              <w:spacing w:line="240" w:lineRule="auto"/>
              <w:jc w:val="right"/>
              <w:rPr>
                <w:rFonts w:ascii="Times New Roman" w:hAnsi="Times New Roman" w:cs="Times New Roman"/>
                <w:color w:val="000000" w:themeColor="text1"/>
                <w:sz w:val="16"/>
                <w:szCs w:val="16"/>
              </w:rPr>
            </w:pPr>
            <w:r w:rsidRPr="00EF6679">
              <w:rPr>
                <w:rFonts w:ascii="Times New Roman" w:hAnsi="Times New Roman" w:cs="Times New Roman"/>
                <w:color w:val="000000" w:themeColor="text1"/>
                <w:sz w:val="16"/>
                <w:szCs w:val="16"/>
              </w:rPr>
              <w:t>7.903</w:t>
            </w:r>
          </w:p>
        </w:tc>
        <w:tc>
          <w:tcPr>
            <w:tcW w:w="576" w:type="dxa"/>
            <w:noWrap/>
            <w:vAlign w:val="bottom"/>
            <w:hideMark/>
          </w:tcPr>
          <w:p w14:paraId="5D6D947B" w14:textId="77777777" w:rsidR="00BB138C" w:rsidRPr="00EF6679" w:rsidRDefault="00BB138C" w:rsidP="00820288">
            <w:pPr>
              <w:spacing w:line="240" w:lineRule="auto"/>
              <w:rPr>
                <w:rFonts w:ascii="Times New Roman" w:hAnsi="Times New Roman" w:cs="Times New Roman"/>
                <w:color w:val="000000" w:themeColor="text1"/>
                <w:sz w:val="16"/>
                <w:szCs w:val="16"/>
                <w:vertAlign w:val="superscript"/>
              </w:rPr>
            </w:pPr>
            <w:r w:rsidRPr="00EF6679">
              <w:rPr>
                <w:rFonts w:ascii="Times New Roman" w:hAnsi="Times New Roman" w:cs="Times New Roman"/>
                <w:color w:val="000000" w:themeColor="text1"/>
                <w:sz w:val="16"/>
                <w:szCs w:val="16"/>
                <w:vertAlign w:val="superscript"/>
              </w:rPr>
              <w:t xml:space="preserve">a </w:t>
            </w:r>
          </w:p>
        </w:tc>
      </w:tr>
      <w:tr w:rsidR="00BB138C" w:rsidRPr="00EF6679" w14:paraId="48FF9B83" w14:textId="77777777" w:rsidTr="00820288">
        <w:trPr>
          <w:trHeight w:val="173"/>
        </w:trPr>
        <w:tc>
          <w:tcPr>
            <w:tcW w:w="2880" w:type="dxa"/>
            <w:noWrap/>
            <w:vAlign w:val="bottom"/>
            <w:hideMark/>
          </w:tcPr>
          <w:p w14:paraId="49F0C607" w14:textId="77777777" w:rsidR="00BB138C" w:rsidRPr="00EF6679" w:rsidRDefault="00BB138C" w:rsidP="00820288">
            <w:pPr>
              <w:spacing w:line="240" w:lineRule="auto"/>
              <w:rPr>
                <w:rFonts w:ascii="Times New Roman" w:hAnsi="Times New Roman" w:cs="Times New Roman"/>
                <w:b/>
                <w:bCs/>
                <w:color w:val="000000" w:themeColor="text1"/>
                <w:sz w:val="16"/>
                <w:szCs w:val="16"/>
              </w:rPr>
            </w:pPr>
            <w:r w:rsidRPr="00EF6679">
              <w:rPr>
                <w:rFonts w:ascii="Times New Roman" w:hAnsi="Times New Roman" w:cs="Times New Roman"/>
                <w:color w:val="000000" w:themeColor="text1"/>
                <w:sz w:val="16"/>
                <w:szCs w:val="16"/>
              </w:rPr>
              <w:t xml:space="preserve">Cycloheptene             </w:t>
            </w:r>
          </w:p>
        </w:tc>
        <w:tc>
          <w:tcPr>
            <w:tcW w:w="576" w:type="dxa"/>
            <w:noWrap/>
            <w:vAlign w:val="bottom"/>
            <w:hideMark/>
          </w:tcPr>
          <w:p w14:paraId="34E9E624" w14:textId="77777777" w:rsidR="00BB138C" w:rsidRPr="00EF6679" w:rsidRDefault="00BB138C" w:rsidP="00820288">
            <w:pPr>
              <w:spacing w:line="240" w:lineRule="auto"/>
              <w:jc w:val="right"/>
              <w:rPr>
                <w:rFonts w:ascii="Times New Roman" w:hAnsi="Times New Roman" w:cs="Times New Roman"/>
                <w:color w:val="000000" w:themeColor="text1"/>
                <w:sz w:val="16"/>
                <w:szCs w:val="16"/>
              </w:rPr>
            </w:pPr>
            <w:r w:rsidRPr="00EF6679">
              <w:rPr>
                <w:rFonts w:ascii="Times New Roman" w:hAnsi="Times New Roman" w:cs="Times New Roman"/>
                <w:color w:val="000000" w:themeColor="text1"/>
                <w:sz w:val="16"/>
                <w:szCs w:val="16"/>
              </w:rPr>
              <w:t>n.d.</w:t>
            </w:r>
          </w:p>
        </w:tc>
        <w:tc>
          <w:tcPr>
            <w:tcW w:w="576" w:type="dxa"/>
            <w:noWrap/>
            <w:vAlign w:val="bottom"/>
            <w:hideMark/>
          </w:tcPr>
          <w:p w14:paraId="0C2EC6A0" w14:textId="77777777" w:rsidR="00BB138C" w:rsidRPr="00EF6679" w:rsidRDefault="00BB138C" w:rsidP="00820288">
            <w:pPr>
              <w:spacing w:line="240" w:lineRule="auto"/>
              <w:rPr>
                <w:rFonts w:ascii="Times New Roman" w:hAnsi="Times New Roman" w:cs="Times New Roman"/>
                <w:color w:val="000000" w:themeColor="text1"/>
                <w:sz w:val="16"/>
                <w:szCs w:val="16"/>
                <w:vertAlign w:val="superscript"/>
              </w:rPr>
            </w:pPr>
            <w:r w:rsidRPr="00EF6679">
              <w:rPr>
                <w:rFonts w:ascii="Times New Roman" w:hAnsi="Times New Roman" w:cs="Times New Roman"/>
                <w:color w:val="000000" w:themeColor="text1"/>
                <w:sz w:val="16"/>
                <w:szCs w:val="16"/>
                <w:vertAlign w:val="superscript"/>
              </w:rPr>
              <w:t xml:space="preserve">a </w:t>
            </w:r>
          </w:p>
        </w:tc>
        <w:tc>
          <w:tcPr>
            <w:tcW w:w="576" w:type="dxa"/>
            <w:noWrap/>
            <w:vAlign w:val="bottom"/>
            <w:hideMark/>
          </w:tcPr>
          <w:p w14:paraId="7986AFE7" w14:textId="77777777" w:rsidR="00BB138C" w:rsidRPr="00EF6679" w:rsidRDefault="00BB138C" w:rsidP="00820288">
            <w:pPr>
              <w:spacing w:line="240" w:lineRule="auto"/>
              <w:jc w:val="right"/>
              <w:rPr>
                <w:rFonts w:ascii="Times New Roman" w:hAnsi="Times New Roman" w:cs="Times New Roman"/>
                <w:color w:val="000000" w:themeColor="text1"/>
                <w:sz w:val="16"/>
                <w:szCs w:val="16"/>
              </w:rPr>
            </w:pPr>
            <w:r w:rsidRPr="00EF6679">
              <w:rPr>
                <w:rFonts w:ascii="Times New Roman" w:hAnsi="Times New Roman" w:cs="Times New Roman"/>
                <w:color w:val="000000" w:themeColor="text1"/>
                <w:sz w:val="16"/>
                <w:szCs w:val="16"/>
              </w:rPr>
              <w:t>n.d.</w:t>
            </w:r>
          </w:p>
        </w:tc>
        <w:tc>
          <w:tcPr>
            <w:tcW w:w="576" w:type="dxa"/>
            <w:noWrap/>
            <w:vAlign w:val="bottom"/>
            <w:hideMark/>
          </w:tcPr>
          <w:p w14:paraId="3F173192" w14:textId="77777777" w:rsidR="00BB138C" w:rsidRPr="00EF6679" w:rsidRDefault="00BB138C" w:rsidP="00820288">
            <w:pPr>
              <w:spacing w:line="240" w:lineRule="auto"/>
              <w:rPr>
                <w:rFonts w:ascii="Times New Roman" w:hAnsi="Times New Roman" w:cs="Times New Roman"/>
                <w:color w:val="000000" w:themeColor="text1"/>
                <w:sz w:val="16"/>
                <w:szCs w:val="16"/>
                <w:vertAlign w:val="superscript"/>
              </w:rPr>
            </w:pPr>
            <w:r w:rsidRPr="00EF6679">
              <w:rPr>
                <w:rFonts w:ascii="Times New Roman" w:hAnsi="Times New Roman" w:cs="Times New Roman"/>
                <w:color w:val="000000" w:themeColor="text1"/>
                <w:sz w:val="16"/>
                <w:szCs w:val="16"/>
                <w:vertAlign w:val="superscript"/>
              </w:rPr>
              <w:t xml:space="preserve">a </w:t>
            </w:r>
          </w:p>
        </w:tc>
        <w:tc>
          <w:tcPr>
            <w:tcW w:w="576" w:type="dxa"/>
            <w:noWrap/>
            <w:vAlign w:val="bottom"/>
            <w:hideMark/>
          </w:tcPr>
          <w:p w14:paraId="77D5833B" w14:textId="77777777" w:rsidR="00BB138C" w:rsidRPr="00EF6679" w:rsidRDefault="00BB138C" w:rsidP="00820288">
            <w:pPr>
              <w:spacing w:line="240" w:lineRule="auto"/>
              <w:jc w:val="right"/>
              <w:rPr>
                <w:rFonts w:ascii="Times New Roman" w:hAnsi="Times New Roman" w:cs="Times New Roman"/>
                <w:color w:val="000000" w:themeColor="text1"/>
                <w:sz w:val="16"/>
                <w:szCs w:val="16"/>
              </w:rPr>
            </w:pPr>
            <w:r w:rsidRPr="00EF6679">
              <w:rPr>
                <w:rFonts w:ascii="Times New Roman" w:hAnsi="Times New Roman" w:cs="Times New Roman"/>
                <w:color w:val="000000" w:themeColor="text1"/>
                <w:sz w:val="16"/>
                <w:szCs w:val="16"/>
              </w:rPr>
              <w:t>n.d.</w:t>
            </w:r>
          </w:p>
        </w:tc>
        <w:tc>
          <w:tcPr>
            <w:tcW w:w="576" w:type="dxa"/>
            <w:noWrap/>
            <w:vAlign w:val="bottom"/>
            <w:hideMark/>
          </w:tcPr>
          <w:p w14:paraId="55185C6D" w14:textId="77777777" w:rsidR="00BB138C" w:rsidRPr="00EF6679" w:rsidRDefault="00BB138C" w:rsidP="00820288">
            <w:pPr>
              <w:spacing w:line="240" w:lineRule="auto"/>
              <w:rPr>
                <w:rFonts w:ascii="Times New Roman" w:hAnsi="Times New Roman" w:cs="Times New Roman"/>
                <w:color w:val="000000" w:themeColor="text1"/>
                <w:sz w:val="16"/>
                <w:szCs w:val="16"/>
                <w:vertAlign w:val="superscript"/>
              </w:rPr>
            </w:pPr>
            <w:r w:rsidRPr="00EF6679">
              <w:rPr>
                <w:rFonts w:ascii="Times New Roman" w:hAnsi="Times New Roman" w:cs="Times New Roman"/>
                <w:color w:val="000000" w:themeColor="text1"/>
                <w:sz w:val="16"/>
                <w:szCs w:val="16"/>
                <w:vertAlign w:val="superscript"/>
              </w:rPr>
              <w:t xml:space="preserve">a </w:t>
            </w:r>
          </w:p>
        </w:tc>
        <w:tc>
          <w:tcPr>
            <w:tcW w:w="576" w:type="dxa"/>
            <w:noWrap/>
            <w:vAlign w:val="bottom"/>
            <w:hideMark/>
          </w:tcPr>
          <w:p w14:paraId="229EB451" w14:textId="77777777" w:rsidR="00BB138C" w:rsidRPr="00EF6679" w:rsidRDefault="00BB138C" w:rsidP="00820288">
            <w:pPr>
              <w:spacing w:line="240" w:lineRule="auto"/>
              <w:jc w:val="right"/>
              <w:rPr>
                <w:rFonts w:ascii="Times New Roman" w:hAnsi="Times New Roman" w:cs="Times New Roman"/>
                <w:color w:val="000000" w:themeColor="text1"/>
                <w:sz w:val="16"/>
                <w:szCs w:val="16"/>
              </w:rPr>
            </w:pPr>
            <w:r w:rsidRPr="00EF6679">
              <w:rPr>
                <w:rFonts w:ascii="Times New Roman" w:hAnsi="Times New Roman" w:cs="Times New Roman"/>
                <w:color w:val="000000" w:themeColor="text1"/>
                <w:sz w:val="16"/>
                <w:szCs w:val="16"/>
              </w:rPr>
              <w:t>0.061</w:t>
            </w:r>
          </w:p>
        </w:tc>
        <w:tc>
          <w:tcPr>
            <w:tcW w:w="576" w:type="dxa"/>
            <w:noWrap/>
            <w:vAlign w:val="bottom"/>
            <w:hideMark/>
          </w:tcPr>
          <w:p w14:paraId="3D783E6C" w14:textId="77777777" w:rsidR="00BB138C" w:rsidRPr="00EF6679" w:rsidRDefault="00BB138C" w:rsidP="00820288">
            <w:pPr>
              <w:spacing w:line="240" w:lineRule="auto"/>
              <w:rPr>
                <w:rFonts w:ascii="Times New Roman" w:hAnsi="Times New Roman" w:cs="Times New Roman"/>
                <w:color w:val="000000" w:themeColor="text1"/>
                <w:sz w:val="16"/>
                <w:szCs w:val="16"/>
                <w:vertAlign w:val="superscript"/>
              </w:rPr>
            </w:pPr>
            <w:r w:rsidRPr="00EF6679">
              <w:rPr>
                <w:rFonts w:ascii="Times New Roman" w:hAnsi="Times New Roman" w:cs="Times New Roman"/>
                <w:color w:val="000000" w:themeColor="text1"/>
                <w:sz w:val="16"/>
                <w:szCs w:val="16"/>
                <w:vertAlign w:val="superscript"/>
              </w:rPr>
              <w:t xml:space="preserve">a </w:t>
            </w:r>
          </w:p>
        </w:tc>
      </w:tr>
      <w:tr w:rsidR="00BB138C" w:rsidRPr="00EF6679" w14:paraId="4C0419D4" w14:textId="77777777" w:rsidTr="00820288">
        <w:trPr>
          <w:trHeight w:val="173"/>
        </w:trPr>
        <w:tc>
          <w:tcPr>
            <w:tcW w:w="2880" w:type="dxa"/>
            <w:noWrap/>
            <w:vAlign w:val="bottom"/>
            <w:hideMark/>
          </w:tcPr>
          <w:p w14:paraId="10FDC81C" w14:textId="77777777" w:rsidR="00BB138C" w:rsidRPr="00EF6679" w:rsidRDefault="00BB138C" w:rsidP="00820288">
            <w:pPr>
              <w:spacing w:line="240" w:lineRule="auto"/>
              <w:rPr>
                <w:rFonts w:ascii="Times New Roman" w:hAnsi="Times New Roman" w:cs="Times New Roman"/>
                <w:color w:val="000000" w:themeColor="text1"/>
                <w:sz w:val="16"/>
                <w:szCs w:val="16"/>
              </w:rPr>
            </w:pPr>
            <w:r w:rsidRPr="00EF6679">
              <w:rPr>
                <w:rFonts w:ascii="Times New Roman" w:hAnsi="Times New Roman" w:cs="Times New Roman"/>
                <w:color w:val="000000" w:themeColor="text1"/>
                <w:sz w:val="16"/>
                <w:szCs w:val="16"/>
              </w:rPr>
              <w:t xml:space="preserve">p-Menth-1-en-8-ol        </w:t>
            </w:r>
          </w:p>
        </w:tc>
        <w:tc>
          <w:tcPr>
            <w:tcW w:w="576" w:type="dxa"/>
            <w:noWrap/>
            <w:vAlign w:val="bottom"/>
            <w:hideMark/>
          </w:tcPr>
          <w:p w14:paraId="72F293A4" w14:textId="77777777" w:rsidR="00BB138C" w:rsidRPr="00EF6679" w:rsidRDefault="00BB138C" w:rsidP="00820288">
            <w:pPr>
              <w:spacing w:line="240" w:lineRule="auto"/>
              <w:jc w:val="right"/>
              <w:rPr>
                <w:rFonts w:ascii="Times New Roman" w:hAnsi="Times New Roman" w:cs="Times New Roman"/>
                <w:color w:val="000000" w:themeColor="text1"/>
                <w:sz w:val="16"/>
                <w:szCs w:val="16"/>
              </w:rPr>
            </w:pPr>
            <w:r w:rsidRPr="00EF6679">
              <w:rPr>
                <w:rFonts w:ascii="Times New Roman" w:hAnsi="Times New Roman" w:cs="Times New Roman"/>
                <w:color w:val="000000" w:themeColor="text1"/>
                <w:sz w:val="16"/>
                <w:szCs w:val="16"/>
              </w:rPr>
              <w:t>3.028</w:t>
            </w:r>
          </w:p>
        </w:tc>
        <w:tc>
          <w:tcPr>
            <w:tcW w:w="576" w:type="dxa"/>
            <w:noWrap/>
            <w:vAlign w:val="bottom"/>
            <w:hideMark/>
          </w:tcPr>
          <w:p w14:paraId="5F16E0A1" w14:textId="77777777" w:rsidR="00BB138C" w:rsidRPr="00EF6679" w:rsidRDefault="00BB138C" w:rsidP="00820288">
            <w:pPr>
              <w:spacing w:line="240" w:lineRule="auto"/>
              <w:rPr>
                <w:rFonts w:ascii="Times New Roman" w:hAnsi="Times New Roman" w:cs="Times New Roman"/>
                <w:color w:val="000000" w:themeColor="text1"/>
                <w:sz w:val="16"/>
                <w:szCs w:val="16"/>
                <w:vertAlign w:val="superscript"/>
              </w:rPr>
            </w:pPr>
            <w:r w:rsidRPr="00EF6679">
              <w:rPr>
                <w:rFonts w:ascii="Times New Roman" w:hAnsi="Times New Roman" w:cs="Times New Roman"/>
                <w:color w:val="000000" w:themeColor="text1"/>
                <w:sz w:val="16"/>
                <w:szCs w:val="16"/>
                <w:vertAlign w:val="superscript"/>
              </w:rPr>
              <w:t xml:space="preserve">a </w:t>
            </w:r>
          </w:p>
        </w:tc>
        <w:tc>
          <w:tcPr>
            <w:tcW w:w="576" w:type="dxa"/>
            <w:noWrap/>
            <w:vAlign w:val="bottom"/>
            <w:hideMark/>
          </w:tcPr>
          <w:p w14:paraId="0BB4699E" w14:textId="77777777" w:rsidR="00BB138C" w:rsidRPr="00EF6679" w:rsidRDefault="00BB138C" w:rsidP="00820288">
            <w:pPr>
              <w:spacing w:line="240" w:lineRule="auto"/>
              <w:jc w:val="right"/>
              <w:rPr>
                <w:rFonts w:ascii="Times New Roman" w:hAnsi="Times New Roman" w:cs="Times New Roman"/>
                <w:color w:val="000000" w:themeColor="text1"/>
                <w:sz w:val="16"/>
                <w:szCs w:val="16"/>
              </w:rPr>
            </w:pPr>
            <w:r w:rsidRPr="00EF6679">
              <w:rPr>
                <w:rFonts w:ascii="Times New Roman" w:hAnsi="Times New Roman" w:cs="Times New Roman"/>
                <w:color w:val="000000" w:themeColor="text1"/>
                <w:sz w:val="16"/>
                <w:szCs w:val="16"/>
              </w:rPr>
              <w:t>3.443</w:t>
            </w:r>
          </w:p>
        </w:tc>
        <w:tc>
          <w:tcPr>
            <w:tcW w:w="576" w:type="dxa"/>
            <w:noWrap/>
            <w:vAlign w:val="bottom"/>
            <w:hideMark/>
          </w:tcPr>
          <w:p w14:paraId="23447FCF" w14:textId="77777777" w:rsidR="00BB138C" w:rsidRPr="00EF6679" w:rsidRDefault="00BB138C" w:rsidP="00820288">
            <w:pPr>
              <w:spacing w:line="240" w:lineRule="auto"/>
              <w:rPr>
                <w:rFonts w:ascii="Times New Roman" w:hAnsi="Times New Roman" w:cs="Times New Roman"/>
                <w:color w:val="000000" w:themeColor="text1"/>
                <w:sz w:val="16"/>
                <w:szCs w:val="16"/>
                <w:vertAlign w:val="superscript"/>
              </w:rPr>
            </w:pPr>
            <w:r w:rsidRPr="00EF6679">
              <w:rPr>
                <w:rFonts w:ascii="Times New Roman" w:hAnsi="Times New Roman" w:cs="Times New Roman"/>
                <w:color w:val="000000" w:themeColor="text1"/>
                <w:sz w:val="16"/>
                <w:szCs w:val="16"/>
                <w:vertAlign w:val="superscript"/>
              </w:rPr>
              <w:t xml:space="preserve">a </w:t>
            </w:r>
          </w:p>
        </w:tc>
        <w:tc>
          <w:tcPr>
            <w:tcW w:w="576" w:type="dxa"/>
            <w:noWrap/>
            <w:vAlign w:val="bottom"/>
            <w:hideMark/>
          </w:tcPr>
          <w:p w14:paraId="15E7DE86" w14:textId="77777777" w:rsidR="00BB138C" w:rsidRPr="00EF6679" w:rsidRDefault="00BB138C" w:rsidP="00820288">
            <w:pPr>
              <w:spacing w:line="240" w:lineRule="auto"/>
              <w:jc w:val="right"/>
              <w:rPr>
                <w:rFonts w:ascii="Times New Roman" w:hAnsi="Times New Roman" w:cs="Times New Roman"/>
                <w:color w:val="000000" w:themeColor="text1"/>
                <w:sz w:val="16"/>
                <w:szCs w:val="16"/>
              </w:rPr>
            </w:pPr>
            <w:r w:rsidRPr="00EF6679">
              <w:rPr>
                <w:rFonts w:ascii="Times New Roman" w:hAnsi="Times New Roman" w:cs="Times New Roman"/>
                <w:color w:val="000000" w:themeColor="text1"/>
                <w:sz w:val="16"/>
                <w:szCs w:val="16"/>
              </w:rPr>
              <w:t>2.272</w:t>
            </w:r>
          </w:p>
        </w:tc>
        <w:tc>
          <w:tcPr>
            <w:tcW w:w="576" w:type="dxa"/>
            <w:noWrap/>
            <w:vAlign w:val="bottom"/>
            <w:hideMark/>
          </w:tcPr>
          <w:p w14:paraId="7B50889A" w14:textId="77777777" w:rsidR="00BB138C" w:rsidRPr="00EF6679" w:rsidRDefault="00BB138C" w:rsidP="00820288">
            <w:pPr>
              <w:spacing w:line="240" w:lineRule="auto"/>
              <w:rPr>
                <w:rFonts w:ascii="Times New Roman" w:hAnsi="Times New Roman" w:cs="Times New Roman"/>
                <w:color w:val="000000" w:themeColor="text1"/>
                <w:sz w:val="16"/>
                <w:szCs w:val="16"/>
                <w:vertAlign w:val="superscript"/>
              </w:rPr>
            </w:pPr>
            <w:r w:rsidRPr="00EF6679">
              <w:rPr>
                <w:rFonts w:ascii="Times New Roman" w:hAnsi="Times New Roman" w:cs="Times New Roman"/>
                <w:color w:val="000000" w:themeColor="text1"/>
                <w:sz w:val="16"/>
                <w:szCs w:val="16"/>
                <w:vertAlign w:val="superscript"/>
              </w:rPr>
              <w:t xml:space="preserve">a </w:t>
            </w:r>
          </w:p>
        </w:tc>
        <w:tc>
          <w:tcPr>
            <w:tcW w:w="576" w:type="dxa"/>
            <w:noWrap/>
            <w:vAlign w:val="bottom"/>
            <w:hideMark/>
          </w:tcPr>
          <w:p w14:paraId="5B95788D" w14:textId="77777777" w:rsidR="00BB138C" w:rsidRPr="00EF6679" w:rsidRDefault="00BB138C" w:rsidP="00820288">
            <w:pPr>
              <w:spacing w:line="240" w:lineRule="auto"/>
              <w:jc w:val="right"/>
              <w:rPr>
                <w:rFonts w:ascii="Times New Roman" w:hAnsi="Times New Roman" w:cs="Times New Roman"/>
                <w:color w:val="000000" w:themeColor="text1"/>
                <w:sz w:val="16"/>
                <w:szCs w:val="16"/>
              </w:rPr>
            </w:pPr>
            <w:r w:rsidRPr="00EF6679">
              <w:rPr>
                <w:rFonts w:ascii="Times New Roman" w:hAnsi="Times New Roman" w:cs="Times New Roman"/>
                <w:color w:val="000000" w:themeColor="text1"/>
                <w:sz w:val="16"/>
                <w:szCs w:val="16"/>
              </w:rPr>
              <w:t>2.478</w:t>
            </w:r>
          </w:p>
        </w:tc>
        <w:tc>
          <w:tcPr>
            <w:tcW w:w="576" w:type="dxa"/>
            <w:noWrap/>
            <w:vAlign w:val="bottom"/>
            <w:hideMark/>
          </w:tcPr>
          <w:p w14:paraId="103E95C3" w14:textId="77777777" w:rsidR="00BB138C" w:rsidRPr="00EF6679" w:rsidRDefault="00BB138C" w:rsidP="00820288">
            <w:pPr>
              <w:spacing w:line="240" w:lineRule="auto"/>
              <w:rPr>
                <w:rFonts w:ascii="Times New Roman" w:hAnsi="Times New Roman" w:cs="Times New Roman"/>
                <w:color w:val="000000" w:themeColor="text1"/>
                <w:sz w:val="16"/>
                <w:szCs w:val="16"/>
                <w:vertAlign w:val="superscript"/>
              </w:rPr>
            </w:pPr>
            <w:r w:rsidRPr="00EF6679">
              <w:rPr>
                <w:rFonts w:ascii="Times New Roman" w:hAnsi="Times New Roman" w:cs="Times New Roman"/>
                <w:color w:val="000000" w:themeColor="text1"/>
                <w:sz w:val="16"/>
                <w:szCs w:val="16"/>
                <w:vertAlign w:val="superscript"/>
              </w:rPr>
              <w:t xml:space="preserve">a </w:t>
            </w:r>
          </w:p>
        </w:tc>
      </w:tr>
      <w:tr w:rsidR="00BB138C" w:rsidRPr="00EF6679" w14:paraId="3F9F541D" w14:textId="77777777" w:rsidTr="00820288">
        <w:trPr>
          <w:trHeight w:val="173"/>
        </w:trPr>
        <w:tc>
          <w:tcPr>
            <w:tcW w:w="2880" w:type="dxa"/>
            <w:noWrap/>
            <w:vAlign w:val="bottom"/>
            <w:hideMark/>
          </w:tcPr>
          <w:p w14:paraId="545FB880" w14:textId="77777777" w:rsidR="00BB138C" w:rsidRPr="00EF6679" w:rsidRDefault="00BB138C" w:rsidP="00820288">
            <w:pPr>
              <w:spacing w:line="240" w:lineRule="auto"/>
              <w:rPr>
                <w:rFonts w:ascii="Times New Roman" w:hAnsi="Times New Roman" w:cs="Times New Roman"/>
                <w:color w:val="000000" w:themeColor="text1"/>
                <w:sz w:val="16"/>
                <w:szCs w:val="16"/>
              </w:rPr>
            </w:pPr>
            <w:r w:rsidRPr="00EF6679">
              <w:rPr>
                <w:rFonts w:ascii="Times New Roman" w:hAnsi="Times New Roman" w:cs="Times New Roman"/>
                <w:color w:val="000000" w:themeColor="text1"/>
                <w:sz w:val="16"/>
                <w:szCs w:val="16"/>
              </w:rPr>
              <w:t xml:space="preserve">Methyl Salicylate        </w:t>
            </w:r>
          </w:p>
        </w:tc>
        <w:tc>
          <w:tcPr>
            <w:tcW w:w="576" w:type="dxa"/>
            <w:noWrap/>
            <w:vAlign w:val="bottom"/>
            <w:hideMark/>
          </w:tcPr>
          <w:p w14:paraId="7735E236" w14:textId="77777777" w:rsidR="00BB138C" w:rsidRPr="00EF6679" w:rsidRDefault="00BB138C" w:rsidP="00820288">
            <w:pPr>
              <w:spacing w:line="240" w:lineRule="auto"/>
              <w:jc w:val="right"/>
              <w:rPr>
                <w:rFonts w:ascii="Times New Roman" w:hAnsi="Times New Roman" w:cs="Times New Roman"/>
                <w:color w:val="000000" w:themeColor="text1"/>
                <w:sz w:val="16"/>
                <w:szCs w:val="16"/>
              </w:rPr>
            </w:pPr>
            <w:r w:rsidRPr="00EF6679">
              <w:rPr>
                <w:rFonts w:ascii="Times New Roman" w:hAnsi="Times New Roman" w:cs="Times New Roman"/>
                <w:color w:val="000000" w:themeColor="text1"/>
                <w:sz w:val="16"/>
                <w:szCs w:val="16"/>
              </w:rPr>
              <w:t>0.646</w:t>
            </w:r>
          </w:p>
        </w:tc>
        <w:tc>
          <w:tcPr>
            <w:tcW w:w="576" w:type="dxa"/>
            <w:noWrap/>
            <w:vAlign w:val="bottom"/>
            <w:hideMark/>
          </w:tcPr>
          <w:p w14:paraId="6934180B" w14:textId="77777777" w:rsidR="00BB138C" w:rsidRPr="00EF6679" w:rsidRDefault="00BB138C" w:rsidP="00820288">
            <w:pPr>
              <w:spacing w:line="240" w:lineRule="auto"/>
              <w:rPr>
                <w:rFonts w:ascii="Times New Roman" w:hAnsi="Times New Roman" w:cs="Times New Roman"/>
                <w:color w:val="000000" w:themeColor="text1"/>
                <w:sz w:val="16"/>
                <w:szCs w:val="16"/>
                <w:vertAlign w:val="superscript"/>
              </w:rPr>
            </w:pPr>
            <w:r w:rsidRPr="00EF6679">
              <w:rPr>
                <w:rFonts w:ascii="Times New Roman" w:hAnsi="Times New Roman" w:cs="Times New Roman"/>
                <w:color w:val="000000" w:themeColor="text1"/>
                <w:sz w:val="16"/>
                <w:szCs w:val="16"/>
                <w:vertAlign w:val="superscript"/>
              </w:rPr>
              <w:t xml:space="preserve">a </w:t>
            </w:r>
          </w:p>
        </w:tc>
        <w:tc>
          <w:tcPr>
            <w:tcW w:w="576" w:type="dxa"/>
            <w:noWrap/>
            <w:vAlign w:val="bottom"/>
            <w:hideMark/>
          </w:tcPr>
          <w:p w14:paraId="0E8B4387" w14:textId="77777777" w:rsidR="00BB138C" w:rsidRPr="00EF6679" w:rsidRDefault="00BB138C" w:rsidP="00820288">
            <w:pPr>
              <w:spacing w:line="240" w:lineRule="auto"/>
              <w:jc w:val="right"/>
              <w:rPr>
                <w:rFonts w:ascii="Times New Roman" w:hAnsi="Times New Roman" w:cs="Times New Roman"/>
                <w:color w:val="000000" w:themeColor="text1"/>
                <w:sz w:val="16"/>
                <w:szCs w:val="16"/>
              </w:rPr>
            </w:pPr>
            <w:r w:rsidRPr="00EF6679">
              <w:rPr>
                <w:rFonts w:ascii="Times New Roman" w:hAnsi="Times New Roman" w:cs="Times New Roman"/>
                <w:color w:val="000000" w:themeColor="text1"/>
                <w:sz w:val="16"/>
                <w:szCs w:val="16"/>
              </w:rPr>
              <w:t>0.995</w:t>
            </w:r>
          </w:p>
        </w:tc>
        <w:tc>
          <w:tcPr>
            <w:tcW w:w="576" w:type="dxa"/>
            <w:noWrap/>
            <w:vAlign w:val="bottom"/>
            <w:hideMark/>
          </w:tcPr>
          <w:p w14:paraId="0FAA4A3E" w14:textId="77777777" w:rsidR="00BB138C" w:rsidRPr="00EF6679" w:rsidRDefault="00BB138C" w:rsidP="00820288">
            <w:pPr>
              <w:spacing w:line="240" w:lineRule="auto"/>
              <w:rPr>
                <w:rFonts w:ascii="Times New Roman" w:hAnsi="Times New Roman" w:cs="Times New Roman"/>
                <w:color w:val="000000" w:themeColor="text1"/>
                <w:sz w:val="16"/>
                <w:szCs w:val="16"/>
                <w:vertAlign w:val="superscript"/>
              </w:rPr>
            </w:pPr>
            <w:r w:rsidRPr="00EF6679">
              <w:rPr>
                <w:rFonts w:ascii="Times New Roman" w:hAnsi="Times New Roman" w:cs="Times New Roman"/>
                <w:color w:val="000000" w:themeColor="text1"/>
                <w:sz w:val="16"/>
                <w:szCs w:val="16"/>
                <w:vertAlign w:val="superscript"/>
              </w:rPr>
              <w:t xml:space="preserve">a </w:t>
            </w:r>
          </w:p>
        </w:tc>
        <w:tc>
          <w:tcPr>
            <w:tcW w:w="576" w:type="dxa"/>
            <w:noWrap/>
            <w:vAlign w:val="bottom"/>
            <w:hideMark/>
          </w:tcPr>
          <w:p w14:paraId="12EEE8D8" w14:textId="77777777" w:rsidR="00BB138C" w:rsidRPr="00EF6679" w:rsidRDefault="00BB138C" w:rsidP="00820288">
            <w:pPr>
              <w:spacing w:line="240" w:lineRule="auto"/>
              <w:jc w:val="right"/>
              <w:rPr>
                <w:rFonts w:ascii="Times New Roman" w:hAnsi="Times New Roman" w:cs="Times New Roman"/>
                <w:color w:val="000000" w:themeColor="text1"/>
                <w:sz w:val="16"/>
                <w:szCs w:val="16"/>
              </w:rPr>
            </w:pPr>
            <w:r w:rsidRPr="00EF6679">
              <w:rPr>
                <w:rFonts w:ascii="Times New Roman" w:hAnsi="Times New Roman" w:cs="Times New Roman"/>
                <w:color w:val="000000" w:themeColor="text1"/>
                <w:sz w:val="16"/>
                <w:szCs w:val="16"/>
              </w:rPr>
              <w:t>0.509</w:t>
            </w:r>
          </w:p>
        </w:tc>
        <w:tc>
          <w:tcPr>
            <w:tcW w:w="576" w:type="dxa"/>
            <w:noWrap/>
            <w:vAlign w:val="bottom"/>
            <w:hideMark/>
          </w:tcPr>
          <w:p w14:paraId="72676269" w14:textId="77777777" w:rsidR="00BB138C" w:rsidRPr="00EF6679" w:rsidRDefault="00BB138C" w:rsidP="00820288">
            <w:pPr>
              <w:spacing w:line="240" w:lineRule="auto"/>
              <w:rPr>
                <w:rFonts w:ascii="Times New Roman" w:hAnsi="Times New Roman" w:cs="Times New Roman"/>
                <w:color w:val="000000" w:themeColor="text1"/>
                <w:sz w:val="16"/>
                <w:szCs w:val="16"/>
                <w:vertAlign w:val="superscript"/>
              </w:rPr>
            </w:pPr>
            <w:r w:rsidRPr="00EF6679">
              <w:rPr>
                <w:rFonts w:ascii="Times New Roman" w:hAnsi="Times New Roman" w:cs="Times New Roman"/>
                <w:color w:val="000000" w:themeColor="text1"/>
                <w:sz w:val="16"/>
                <w:szCs w:val="16"/>
                <w:vertAlign w:val="superscript"/>
              </w:rPr>
              <w:t xml:space="preserve">a </w:t>
            </w:r>
          </w:p>
        </w:tc>
        <w:tc>
          <w:tcPr>
            <w:tcW w:w="576" w:type="dxa"/>
            <w:noWrap/>
            <w:vAlign w:val="bottom"/>
            <w:hideMark/>
          </w:tcPr>
          <w:p w14:paraId="03373BFA" w14:textId="77777777" w:rsidR="00BB138C" w:rsidRPr="00EF6679" w:rsidRDefault="00BB138C" w:rsidP="00820288">
            <w:pPr>
              <w:spacing w:line="240" w:lineRule="auto"/>
              <w:jc w:val="right"/>
              <w:rPr>
                <w:rFonts w:ascii="Times New Roman" w:hAnsi="Times New Roman" w:cs="Times New Roman"/>
                <w:color w:val="000000" w:themeColor="text1"/>
                <w:sz w:val="16"/>
                <w:szCs w:val="16"/>
              </w:rPr>
            </w:pPr>
            <w:r w:rsidRPr="00EF6679">
              <w:rPr>
                <w:rFonts w:ascii="Times New Roman" w:hAnsi="Times New Roman" w:cs="Times New Roman"/>
                <w:color w:val="000000" w:themeColor="text1"/>
                <w:sz w:val="16"/>
                <w:szCs w:val="16"/>
              </w:rPr>
              <w:t>0.652</w:t>
            </w:r>
          </w:p>
        </w:tc>
        <w:tc>
          <w:tcPr>
            <w:tcW w:w="576" w:type="dxa"/>
            <w:noWrap/>
            <w:vAlign w:val="bottom"/>
            <w:hideMark/>
          </w:tcPr>
          <w:p w14:paraId="79049399" w14:textId="77777777" w:rsidR="00BB138C" w:rsidRPr="00EF6679" w:rsidRDefault="00BB138C" w:rsidP="00820288">
            <w:pPr>
              <w:spacing w:line="240" w:lineRule="auto"/>
              <w:rPr>
                <w:rFonts w:ascii="Times New Roman" w:hAnsi="Times New Roman" w:cs="Times New Roman"/>
                <w:color w:val="000000" w:themeColor="text1"/>
                <w:sz w:val="16"/>
                <w:szCs w:val="16"/>
                <w:vertAlign w:val="superscript"/>
              </w:rPr>
            </w:pPr>
            <w:r w:rsidRPr="00EF6679">
              <w:rPr>
                <w:rFonts w:ascii="Times New Roman" w:hAnsi="Times New Roman" w:cs="Times New Roman"/>
                <w:color w:val="000000" w:themeColor="text1"/>
                <w:sz w:val="16"/>
                <w:szCs w:val="16"/>
                <w:vertAlign w:val="superscript"/>
              </w:rPr>
              <w:t xml:space="preserve">a </w:t>
            </w:r>
          </w:p>
        </w:tc>
      </w:tr>
      <w:tr w:rsidR="00BB138C" w:rsidRPr="00EF6679" w14:paraId="0D404377" w14:textId="77777777" w:rsidTr="00820288">
        <w:trPr>
          <w:trHeight w:val="173"/>
        </w:trPr>
        <w:tc>
          <w:tcPr>
            <w:tcW w:w="2880" w:type="dxa"/>
            <w:noWrap/>
            <w:vAlign w:val="bottom"/>
            <w:hideMark/>
          </w:tcPr>
          <w:p w14:paraId="5E6AACEF" w14:textId="77777777" w:rsidR="00BB138C" w:rsidRPr="00EF6679" w:rsidRDefault="00BB138C" w:rsidP="00820288">
            <w:pPr>
              <w:spacing w:line="240" w:lineRule="auto"/>
              <w:rPr>
                <w:rFonts w:ascii="Times New Roman" w:hAnsi="Times New Roman" w:cs="Times New Roman"/>
                <w:color w:val="000000" w:themeColor="text1"/>
                <w:sz w:val="16"/>
                <w:szCs w:val="16"/>
              </w:rPr>
            </w:pPr>
            <w:r w:rsidRPr="00EF6679">
              <w:rPr>
                <w:rFonts w:ascii="Times New Roman" w:hAnsi="Times New Roman" w:cs="Times New Roman"/>
                <w:color w:val="000000" w:themeColor="text1"/>
                <w:sz w:val="16"/>
                <w:szCs w:val="16"/>
              </w:rPr>
              <w:t>2-methyl-2-Hepten-4-yne</w:t>
            </w:r>
          </w:p>
        </w:tc>
        <w:tc>
          <w:tcPr>
            <w:tcW w:w="576" w:type="dxa"/>
            <w:noWrap/>
            <w:vAlign w:val="bottom"/>
            <w:hideMark/>
          </w:tcPr>
          <w:p w14:paraId="3D7922D8" w14:textId="77777777" w:rsidR="00BB138C" w:rsidRPr="00EF6679" w:rsidRDefault="00BB138C" w:rsidP="00820288">
            <w:pPr>
              <w:spacing w:line="240" w:lineRule="auto"/>
              <w:jc w:val="right"/>
              <w:rPr>
                <w:rFonts w:ascii="Times New Roman" w:hAnsi="Times New Roman" w:cs="Times New Roman"/>
                <w:color w:val="000000" w:themeColor="text1"/>
                <w:sz w:val="16"/>
                <w:szCs w:val="16"/>
              </w:rPr>
            </w:pPr>
            <w:r w:rsidRPr="00EF6679">
              <w:rPr>
                <w:rFonts w:ascii="Times New Roman" w:hAnsi="Times New Roman" w:cs="Times New Roman"/>
                <w:color w:val="000000" w:themeColor="text1"/>
                <w:sz w:val="16"/>
                <w:szCs w:val="16"/>
              </w:rPr>
              <w:t>8.788</w:t>
            </w:r>
          </w:p>
        </w:tc>
        <w:tc>
          <w:tcPr>
            <w:tcW w:w="576" w:type="dxa"/>
            <w:noWrap/>
            <w:vAlign w:val="bottom"/>
            <w:hideMark/>
          </w:tcPr>
          <w:p w14:paraId="6B3A8006" w14:textId="77777777" w:rsidR="00BB138C" w:rsidRPr="00EF6679" w:rsidRDefault="00BB138C" w:rsidP="00820288">
            <w:pPr>
              <w:spacing w:line="240" w:lineRule="auto"/>
              <w:rPr>
                <w:rFonts w:ascii="Times New Roman" w:hAnsi="Times New Roman" w:cs="Times New Roman"/>
                <w:color w:val="000000" w:themeColor="text1"/>
                <w:sz w:val="16"/>
                <w:szCs w:val="16"/>
                <w:vertAlign w:val="superscript"/>
              </w:rPr>
            </w:pPr>
            <w:r w:rsidRPr="00EF6679">
              <w:rPr>
                <w:rFonts w:ascii="Times New Roman" w:hAnsi="Times New Roman" w:cs="Times New Roman"/>
                <w:color w:val="000000" w:themeColor="text1"/>
                <w:sz w:val="16"/>
                <w:szCs w:val="16"/>
                <w:vertAlign w:val="superscript"/>
              </w:rPr>
              <w:t xml:space="preserve">a </w:t>
            </w:r>
          </w:p>
        </w:tc>
        <w:tc>
          <w:tcPr>
            <w:tcW w:w="576" w:type="dxa"/>
            <w:noWrap/>
            <w:vAlign w:val="bottom"/>
            <w:hideMark/>
          </w:tcPr>
          <w:p w14:paraId="3E4E51ED" w14:textId="77777777" w:rsidR="00BB138C" w:rsidRPr="00EF6679" w:rsidRDefault="00BB138C" w:rsidP="00820288">
            <w:pPr>
              <w:spacing w:line="240" w:lineRule="auto"/>
              <w:jc w:val="right"/>
              <w:rPr>
                <w:rFonts w:ascii="Times New Roman" w:hAnsi="Times New Roman" w:cs="Times New Roman"/>
                <w:color w:val="000000" w:themeColor="text1"/>
                <w:sz w:val="16"/>
                <w:szCs w:val="16"/>
              </w:rPr>
            </w:pPr>
            <w:r w:rsidRPr="00EF6679">
              <w:rPr>
                <w:rFonts w:ascii="Times New Roman" w:hAnsi="Times New Roman" w:cs="Times New Roman"/>
                <w:color w:val="000000" w:themeColor="text1"/>
                <w:sz w:val="16"/>
                <w:szCs w:val="16"/>
              </w:rPr>
              <w:t>9.003</w:t>
            </w:r>
          </w:p>
        </w:tc>
        <w:tc>
          <w:tcPr>
            <w:tcW w:w="576" w:type="dxa"/>
            <w:noWrap/>
            <w:vAlign w:val="bottom"/>
            <w:hideMark/>
          </w:tcPr>
          <w:p w14:paraId="5DA9D2BA" w14:textId="77777777" w:rsidR="00BB138C" w:rsidRPr="00EF6679" w:rsidRDefault="00BB138C" w:rsidP="00820288">
            <w:pPr>
              <w:spacing w:line="240" w:lineRule="auto"/>
              <w:rPr>
                <w:rFonts w:ascii="Times New Roman" w:hAnsi="Times New Roman" w:cs="Times New Roman"/>
                <w:color w:val="000000" w:themeColor="text1"/>
                <w:sz w:val="16"/>
                <w:szCs w:val="16"/>
                <w:vertAlign w:val="superscript"/>
              </w:rPr>
            </w:pPr>
            <w:r w:rsidRPr="00EF6679">
              <w:rPr>
                <w:rFonts w:ascii="Times New Roman" w:hAnsi="Times New Roman" w:cs="Times New Roman"/>
                <w:color w:val="000000" w:themeColor="text1"/>
                <w:sz w:val="16"/>
                <w:szCs w:val="16"/>
                <w:vertAlign w:val="superscript"/>
              </w:rPr>
              <w:t xml:space="preserve">a </w:t>
            </w:r>
          </w:p>
        </w:tc>
        <w:tc>
          <w:tcPr>
            <w:tcW w:w="576" w:type="dxa"/>
            <w:noWrap/>
            <w:vAlign w:val="bottom"/>
            <w:hideMark/>
          </w:tcPr>
          <w:p w14:paraId="57061D69" w14:textId="77777777" w:rsidR="00BB138C" w:rsidRPr="00EF6679" w:rsidRDefault="00BB138C" w:rsidP="00820288">
            <w:pPr>
              <w:spacing w:line="240" w:lineRule="auto"/>
              <w:jc w:val="right"/>
              <w:rPr>
                <w:rFonts w:ascii="Times New Roman" w:hAnsi="Times New Roman" w:cs="Times New Roman"/>
                <w:color w:val="000000" w:themeColor="text1"/>
                <w:sz w:val="16"/>
                <w:szCs w:val="16"/>
              </w:rPr>
            </w:pPr>
            <w:r w:rsidRPr="00EF6679">
              <w:rPr>
                <w:rFonts w:ascii="Times New Roman" w:hAnsi="Times New Roman" w:cs="Times New Roman"/>
                <w:color w:val="000000" w:themeColor="text1"/>
                <w:sz w:val="16"/>
                <w:szCs w:val="16"/>
              </w:rPr>
              <w:t>6.990</w:t>
            </w:r>
          </w:p>
        </w:tc>
        <w:tc>
          <w:tcPr>
            <w:tcW w:w="576" w:type="dxa"/>
            <w:noWrap/>
            <w:vAlign w:val="bottom"/>
            <w:hideMark/>
          </w:tcPr>
          <w:p w14:paraId="20A317F1" w14:textId="77777777" w:rsidR="00BB138C" w:rsidRPr="00EF6679" w:rsidRDefault="00BB138C" w:rsidP="00820288">
            <w:pPr>
              <w:spacing w:line="240" w:lineRule="auto"/>
              <w:rPr>
                <w:rFonts w:ascii="Times New Roman" w:hAnsi="Times New Roman" w:cs="Times New Roman"/>
                <w:color w:val="000000" w:themeColor="text1"/>
                <w:sz w:val="16"/>
                <w:szCs w:val="16"/>
                <w:vertAlign w:val="superscript"/>
              </w:rPr>
            </w:pPr>
            <w:r w:rsidRPr="00EF6679">
              <w:rPr>
                <w:rFonts w:ascii="Times New Roman" w:hAnsi="Times New Roman" w:cs="Times New Roman"/>
                <w:color w:val="000000" w:themeColor="text1"/>
                <w:sz w:val="16"/>
                <w:szCs w:val="16"/>
                <w:vertAlign w:val="superscript"/>
              </w:rPr>
              <w:t xml:space="preserve">a </w:t>
            </w:r>
          </w:p>
        </w:tc>
        <w:tc>
          <w:tcPr>
            <w:tcW w:w="576" w:type="dxa"/>
            <w:noWrap/>
            <w:vAlign w:val="bottom"/>
            <w:hideMark/>
          </w:tcPr>
          <w:p w14:paraId="2BDA4760" w14:textId="77777777" w:rsidR="00BB138C" w:rsidRPr="00EF6679" w:rsidRDefault="00BB138C" w:rsidP="00820288">
            <w:pPr>
              <w:spacing w:line="240" w:lineRule="auto"/>
              <w:jc w:val="right"/>
              <w:rPr>
                <w:rFonts w:ascii="Times New Roman" w:hAnsi="Times New Roman" w:cs="Times New Roman"/>
                <w:color w:val="000000" w:themeColor="text1"/>
                <w:sz w:val="16"/>
                <w:szCs w:val="16"/>
              </w:rPr>
            </w:pPr>
            <w:r w:rsidRPr="00EF6679">
              <w:rPr>
                <w:rFonts w:ascii="Times New Roman" w:hAnsi="Times New Roman" w:cs="Times New Roman"/>
                <w:color w:val="000000" w:themeColor="text1"/>
                <w:sz w:val="16"/>
                <w:szCs w:val="16"/>
              </w:rPr>
              <w:t>7.476</w:t>
            </w:r>
          </w:p>
        </w:tc>
        <w:tc>
          <w:tcPr>
            <w:tcW w:w="576" w:type="dxa"/>
            <w:noWrap/>
            <w:vAlign w:val="bottom"/>
            <w:hideMark/>
          </w:tcPr>
          <w:p w14:paraId="6FF10B02" w14:textId="77777777" w:rsidR="00BB138C" w:rsidRPr="00EF6679" w:rsidRDefault="00BB138C" w:rsidP="00820288">
            <w:pPr>
              <w:spacing w:line="240" w:lineRule="auto"/>
              <w:rPr>
                <w:rFonts w:ascii="Times New Roman" w:hAnsi="Times New Roman" w:cs="Times New Roman"/>
                <w:color w:val="000000" w:themeColor="text1"/>
                <w:sz w:val="16"/>
                <w:szCs w:val="16"/>
                <w:vertAlign w:val="superscript"/>
              </w:rPr>
            </w:pPr>
            <w:r w:rsidRPr="00EF6679">
              <w:rPr>
                <w:rFonts w:ascii="Times New Roman" w:hAnsi="Times New Roman" w:cs="Times New Roman"/>
                <w:color w:val="000000" w:themeColor="text1"/>
                <w:sz w:val="16"/>
                <w:szCs w:val="16"/>
                <w:vertAlign w:val="superscript"/>
              </w:rPr>
              <w:t xml:space="preserve">a </w:t>
            </w:r>
          </w:p>
        </w:tc>
      </w:tr>
      <w:tr w:rsidR="00BB138C" w:rsidRPr="00EF6679" w14:paraId="2C5E885F" w14:textId="77777777" w:rsidTr="00820288">
        <w:trPr>
          <w:trHeight w:val="173"/>
        </w:trPr>
        <w:tc>
          <w:tcPr>
            <w:tcW w:w="2880" w:type="dxa"/>
            <w:noWrap/>
            <w:vAlign w:val="bottom"/>
            <w:hideMark/>
          </w:tcPr>
          <w:p w14:paraId="7568E9E5" w14:textId="77777777" w:rsidR="00BB138C" w:rsidRPr="00EF6679" w:rsidRDefault="00BB138C" w:rsidP="00820288">
            <w:pPr>
              <w:spacing w:line="240" w:lineRule="auto"/>
              <w:rPr>
                <w:rFonts w:ascii="Times New Roman" w:hAnsi="Times New Roman" w:cs="Times New Roman"/>
                <w:color w:val="000000" w:themeColor="text1"/>
                <w:sz w:val="16"/>
                <w:szCs w:val="16"/>
              </w:rPr>
            </w:pPr>
            <w:r w:rsidRPr="00EF6679">
              <w:rPr>
                <w:rFonts w:ascii="Times New Roman" w:hAnsi="Times New Roman" w:cs="Times New Roman"/>
                <w:color w:val="000000" w:themeColor="text1"/>
                <w:sz w:val="16"/>
                <w:szCs w:val="16"/>
              </w:rPr>
              <w:t xml:space="preserve">1,3-cis,5-cis-Octatriene </w:t>
            </w:r>
          </w:p>
        </w:tc>
        <w:tc>
          <w:tcPr>
            <w:tcW w:w="576" w:type="dxa"/>
            <w:noWrap/>
            <w:vAlign w:val="bottom"/>
            <w:hideMark/>
          </w:tcPr>
          <w:p w14:paraId="54E1E2D6" w14:textId="77777777" w:rsidR="00BB138C" w:rsidRPr="00EF6679" w:rsidRDefault="00BB138C" w:rsidP="00820288">
            <w:pPr>
              <w:spacing w:line="240" w:lineRule="auto"/>
              <w:jc w:val="right"/>
              <w:rPr>
                <w:rFonts w:ascii="Times New Roman" w:hAnsi="Times New Roman" w:cs="Times New Roman"/>
                <w:color w:val="000000" w:themeColor="text1"/>
                <w:sz w:val="16"/>
                <w:szCs w:val="16"/>
              </w:rPr>
            </w:pPr>
            <w:r w:rsidRPr="00EF6679">
              <w:rPr>
                <w:rFonts w:ascii="Times New Roman" w:hAnsi="Times New Roman" w:cs="Times New Roman"/>
                <w:color w:val="000000" w:themeColor="text1"/>
                <w:sz w:val="16"/>
                <w:szCs w:val="16"/>
              </w:rPr>
              <w:t>2.828</w:t>
            </w:r>
          </w:p>
        </w:tc>
        <w:tc>
          <w:tcPr>
            <w:tcW w:w="576" w:type="dxa"/>
            <w:noWrap/>
            <w:vAlign w:val="bottom"/>
            <w:hideMark/>
          </w:tcPr>
          <w:p w14:paraId="78C81444" w14:textId="77777777" w:rsidR="00BB138C" w:rsidRPr="00EF6679" w:rsidRDefault="00BB138C" w:rsidP="00820288">
            <w:pPr>
              <w:spacing w:line="240" w:lineRule="auto"/>
              <w:rPr>
                <w:rFonts w:ascii="Times New Roman" w:hAnsi="Times New Roman" w:cs="Times New Roman"/>
                <w:color w:val="000000" w:themeColor="text1"/>
                <w:sz w:val="16"/>
                <w:szCs w:val="16"/>
                <w:vertAlign w:val="superscript"/>
              </w:rPr>
            </w:pPr>
            <w:r w:rsidRPr="00EF6679">
              <w:rPr>
                <w:rFonts w:ascii="Times New Roman" w:hAnsi="Times New Roman" w:cs="Times New Roman"/>
                <w:color w:val="000000" w:themeColor="text1"/>
                <w:sz w:val="16"/>
                <w:szCs w:val="16"/>
                <w:vertAlign w:val="superscript"/>
              </w:rPr>
              <w:t xml:space="preserve">a </w:t>
            </w:r>
          </w:p>
        </w:tc>
        <w:tc>
          <w:tcPr>
            <w:tcW w:w="576" w:type="dxa"/>
            <w:noWrap/>
            <w:vAlign w:val="bottom"/>
            <w:hideMark/>
          </w:tcPr>
          <w:p w14:paraId="2EBE5D74" w14:textId="77777777" w:rsidR="00BB138C" w:rsidRPr="00EF6679" w:rsidRDefault="00BB138C" w:rsidP="00820288">
            <w:pPr>
              <w:spacing w:line="240" w:lineRule="auto"/>
              <w:jc w:val="right"/>
              <w:rPr>
                <w:rFonts w:ascii="Times New Roman" w:hAnsi="Times New Roman" w:cs="Times New Roman"/>
                <w:color w:val="000000" w:themeColor="text1"/>
                <w:sz w:val="16"/>
                <w:szCs w:val="16"/>
              </w:rPr>
            </w:pPr>
            <w:r w:rsidRPr="00EF6679">
              <w:rPr>
                <w:rFonts w:ascii="Times New Roman" w:hAnsi="Times New Roman" w:cs="Times New Roman"/>
                <w:color w:val="000000" w:themeColor="text1"/>
                <w:sz w:val="16"/>
                <w:szCs w:val="16"/>
              </w:rPr>
              <w:t>3.929</w:t>
            </w:r>
          </w:p>
        </w:tc>
        <w:tc>
          <w:tcPr>
            <w:tcW w:w="576" w:type="dxa"/>
            <w:noWrap/>
            <w:vAlign w:val="bottom"/>
            <w:hideMark/>
          </w:tcPr>
          <w:p w14:paraId="58140295" w14:textId="77777777" w:rsidR="00BB138C" w:rsidRPr="00EF6679" w:rsidRDefault="00BB138C" w:rsidP="00820288">
            <w:pPr>
              <w:spacing w:line="240" w:lineRule="auto"/>
              <w:rPr>
                <w:rFonts w:ascii="Times New Roman" w:hAnsi="Times New Roman" w:cs="Times New Roman"/>
                <w:color w:val="000000" w:themeColor="text1"/>
                <w:sz w:val="16"/>
                <w:szCs w:val="16"/>
                <w:vertAlign w:val="superscript"/>
              </w:rPr>
            </w:pPr>
            <w:r w:rsidRPr="00EF6679">
              <w:rPr>
                <w:rFonts w:ascii="Times New Roman" w:hAnsi="Times New Roman" w:cs="Times New Roman"/>
                <w:color w:val="000000" w:themeColor="text1"/>
                <w:sz w:val="16"/>
                <w:szCs w:val="16"/>
                <w:vertAlign w:val="superscript"/>
              </w:rPr>
              <w:t xml:space="preserve">a </w:t>
            </w:r>
          </w:p>
        </w:tc>
        <w:tc>
          <w:tcPr>
            <w:tcW w:w="576" w:type="dxa"/>
            <w:noWrap/>
            <w:vAlign w:val="bottom"/>
            <w:hideMark/>
          </w:tcPr>
          <w:p w14:paraId="12B3E6FF" w14:textId="77777777" w:rsidR="00BB138C" w:rsidRPr="00EF6679" w:rsidRDefault="00BB138C" w:rsidP="00820288">
            <w:pPr>
              <w:spacing w:line="240" w:lineRule="auto"/>
              <w:jc w:val="right"/>
              <w:rPr>
                <w:rFonts w:ascii="Times New Roman" w:hAnsi="Times New Roman" w:cs="Times New Roman"/>
                <w:color w:val="000000" w:themeColor="text1"/>
                <w:sz w:val="16"/>
                <w:szCs w:val="16"/>
              </w:rPr>
            </w:pPr>
            <w:r w:rsidRPr="00EF6679">
              <w:rPr>
                <w:rFonts w:ascii="Times New Roman" w:hAnsi="Times New Roman" w:cs="Times New Roman"/>
                <w:color w:val="000000" w:themeColor="text1"/>
                <w:sz w:val="16"/>
                <w:szCs w:val="16"/>
              </w:rPr>
              <w:t>2.648</w:t>
            </w:r>
          </w:p>
        </w:tc>
        <w:tc>
          <w:tcPr>
            <w:tcW w:w="576" w:type="dxa"/>
            <w:noWrap/>
            <w:vAlign w:val="bottom"/>
            <w:hideMark/>
          </w:tcPr>
          <w:p w14:paraId="1AB18873" w14:textId="77777777" w:rsidR="00BB138C" w:rsidRPr="00EF6679" w:rsidRDefault="00BB138C" w:rsidP="00820288">
            <w:pPr>
              <w:spacing w:line="240" w:lineRule="auto"/>
              <w:rPr>
                <w:rFonts w:ascii="Times New Roman" w:hAnsi="Times New Roman" w:cs="Times New Roman"/>
                <w:color w:val="000000" w:themeColor="text1"/>
                <w:sz w:val="16"/>
                <w:szCs w:val="16"/>
                <w:vertAlign w:val="superscript"/>
              </w:rPr>
            </w:pPr>
            <w:r w:rsidRPr="00EF6679">
              <w:rPr>
                <w:rFonts w:ascii="Times New Roman" w:hAnsi="Times New Roman" w:cs="Times New Roman"/>
                <w:color w:val="000000" w:themeColor="text1"/>
                <w:sz w:val="16"/>
                <w:szCs w:val="16"/>
                <w:vertAlign w:val="superscript"/>
              </w:rPr>
              <w:t xml:space="preserve">a </w:t>
            </w:r>
          </w:p>
        </w:tc>
        <w:tc>
          <w:tcPr>
            <w:tcW w:w="576" w:type="dxa"/>
            <w:noWrap/>
            <w:vAlign w:val="bottom"/>
            <w:hideMark/>
          </w:tcPr>
          <w:p w14:paraId="27CC6604" w14:textId="77777777" w:rsidR="00BB138C" w:rsidRPr="00EF6679" w:rsidRDefault="00BB138C" w:rsidP="00820288">
            <w:pPr>
              <w:spacing w:line="240" w:lineRule="auto"/>
              <w:jc w:val="right"/>
              <w:rPr>
                <w:rFonts w:ascii="Times New Roman" w:hAnsi="Times New Roman" w:cs="Times New Roman"/>
                <w:color w:val="000000" w:themeColor="text1"/>
                <w:sz w:val="16"/>
                <w:szCs w:val="16"/>
              </w:rPr>
            </w:pPr>
            <w:r w:rsidRPr="00EF6679">
              <w:rPr>
                <w:rFonts w:ascii="Times New Roman" w:hAnsi="Times New Roman" w:cs="Times New Roman"/>
                <w:color w:val="000000" w:themeColor="text1"/>
                <w:sz w:val="16"/>
                <w:szCs w:val="16"/>
              </w:rPr>
              <w:t>2.787</w:t>
            </w:r>
          </w:p>
        </w:tc>
        <w:tc>
          <w:tcPr>
            <w:tcW w:w="576" w:type="dxa"/>
            <w:noWrap/>
            <w:vAlign w:val="bottom"/>
            <w:hideMark/>
          </w:tcPr>
          <w:p w14:paraId="677270CE" w14:textId="77777777" w:rsidR="00BB138C" w:rsidRPr="00EF6679" w:rsidRDefault="00BB138C" w:rsidP="00820288">
            <w:pPr>
              <w:spacing w:line="240" w:lineRule="auto"/>
              <w:rPr>
                <w:rFonts w:ascii="Times New Roman" w:hAnsi="Times New Roman" w:cs="Times New Roman"/>
                <w:color w:val="000000" w:themeColor="text1"/>
                <w:sz w:val="16"/>
                <w:szCs w:val="16"/>
                <w:vertAlign w:val="superscript"/>
              </w:rPr>
            </w:pPr>
            <w:r w:rsidRPr="00EF6679">
              <w:rPr>
                <w:rFonts w:ascii="Times New Roman" w:hAnsi="Times New Roman" w:cs="Times New Roman"/>
                <w:color w:val="000000" w:themeColor="text1"/>
                <w:sz w:val="16"/>
                <w:szCs w:val="16"/>
                <w:vertAlign w:val="superscript"/>
              </w:rPr>
              <w:t xml:space="preserve">a </w:t>
            </w:r>
          </w:p>
        </w:tc>
      </w:tr>
      <w:tr w:rsidR="00BB138C" w:rsidRPr="00EF6679" w14:paraId="4E35A9F6" w14:textId="77777777" w:rsidTr="00820288">
        <w:trPr>
          <w:trHeight w:val="173"/>
        </w:trPr>
        <w:tc>
          <w:tcPr>
            <w:tcW w:w="2880" w:type="dxa"/>
            <w:noWrap/>
            <w:vAlign w:val="bottom"/>
          </w:tcPr>
          <w:p w14:paraId="41A26FD1" w14:textId="77777777" w:rsidR="00BB138C" w:rsidRPr="00EF6679" w:rsidRDefault="00BB138C" w:rsidP="00820288">
            <w:pPr>
              <w:spacing w:line="240" w:lineRule="auto"/>
              <w:rPr>
                <w:rFonts w:ascii="Times New Roman" w:hAnsi="Times New Roman" w:cs="Times New Roman"/>
                <w:b/>
                <w:bCs/>
                <w:color w:val="000000" w:themeColor="text1"/>
                <w:sz w:val="16"/>
                <w:szCs w:val="16"/>
              </w:rPr>
            </w:pPr>
            <w:r w:rsidRPr="00EF6679">
              <w:rPr>
                <w:rFonts w:ascii="Times New Roman" w:hAnsi="Times New Roman" w:cs="Times New Roman"/>
                <w:color w:val="000000" w:themeColor="text1"/>
                <w:sz w:val="16"/>
                <w:szCs w:val="16"/>
              </w:rPr>
              <w:t xml:space="preserve">p-allyl-Anisole  </w:t>
            </w:r>
          </w:p>
        </w:tc>
        <w:tc>
          <w:tcPr>
            <w:tcW w:w="576" w:type="dxa"/>
            <w:noWrap/>
            <w:vAlign w:val="bottom"/>
          </w:tcPr>
          <w:p w14:paraId="0FA86D76" w14:textId="77777777" w:rsidR="00BB138C" w:rsidRPr="00EF6679" w:rsidRDefault="00BB138C" w:rsidP="00820288">
            <w:pPr>
              <w:spacing w:line="240" w:lineRule="auto"/>
              <w:jc w:val="right"/>
              <w:rPr>
                <w:rFonts w:ascii="Times New Roman" w:hAnsi="Times New Roman" w:cs="Times New Roman"/>
                <w:color w:val="000000" w:themeColor="text1"/>
                <w:sz w:val="16"/>
                <w:szCs w:val="16"/>
              </w:rPr>
            </w:pPr>
            <w:r w:rsidRPr="00EF6679">
              <w:rPr>
                <w:rFonts w:ascii="Times New Roman" w:hAnsi="Times New Roman" w:cs="Times New Roman"/>
                <w:color w:val="000000" w:themeColor="text1"/>
                <w:sz w:val="16"/>
                <w:szCs w:val="16"/>
              </w:rPr>
              <w:t>0.068</w:t>
            </w:r>
          </w:p>
        </w:tc>
        <w:tc>
          <w:tcPr>
            <w:tcW w:w="576" w:type="dxa"/>
            <w:noWrap/>
            <w:vAlign w:val="bottom"/>
          </w:tcPr>
          <w:p w14:paraId="4B7BF4C0" w14:textId="77777777" w:rsidR="00BB138C" w:rsidRPr="00EF6679" w:rsidRDefault="00BB138C" w:rsidP="00820288">
            <w:pPr>
              <w:spacing w:line="240" w:lineRule="auto"/>
              <w:rPr>
                <w:rFonts w:ascii="Times New Roman" w:hAnsi="Times New Roman" w:cs="Times New Roman"/>
                <w:color w:val="000000" w:themeColor="text1"/>
                <w:sz w:val="16"/>
                <w:szCs w:val="16"/>
                <w:vertAlign w:val="superscript"/>
              </w:rPr>
            </w:pPr>
            <w:r w:rsidRPr="00EF6679">
              <w:rPr>
                <w:rFonts w:ascii="Times New Roman" w:hAnsi="Times New Roman" w:cs="Times New Roman"/>
                <w:color w:val="000000" w:themeColor="text1"/>
                <w:sz w:val="16"/>
                <w:szCs w:val="16"/>
                <w:vertAlign w:val="superscript"/>
              </w:rPr>
              <w:t xml:space="preserve">a </w:t>
            </w:r>
          </w:p>
        </w:tc>
        <w:tc>
          <w:tcPr>
            <w:tcW w:w="576" w:type="dxa"/>
            <w:noWrap/>
            <w:vAlign w:val="bottom"/>
          </w:tcPr>
          <w:p w14:paraId="6D693C05" w14:textId="77777777" w:rsidR="00BB138C" w:rsidRPr="00EF6679" w:rsidRDefault="00BB138C" w:rsidP="00820288">
            <w:pPr>
              <w:spacing w:line="240" w:lineRule="auto"/>
              <w:jc w:val="right"/>
              <w:rPr>
                <w:rFonts w:ascii="Times New Roman" w:hAnsi="Times New Roman" w:cs="Times New Roman"/>
                <w:color w:val="000000" w:themeColor="text1"/>
                <w:sz w:val="16"/>
                <w:szCs w:val="16"/>
              </w:rPr>
            </w:pPr>
            <w:r w:rsidRPr="00EF6679">
              <w:rPr>
                <w:rFonts w:ascii="Times New Roman" w:hAnsi="Times New Roman" w:cs="Times New Roman"/>
                <w:color w:val="000000" w:themeColor="text1"/>
                <w:sz w:val="16"/>
                <w:szCs w:val="16"/>
              </w:rPr>
              <w:t>0.095</w:t>
            </w:r>
          </w:p>
        </w:tc>
        <w:tc>
          <w:tcPr>
            <w:tcW w:w="576" w:type="dxa"/>
            <w:noWrap/>
            <w:vAlign w:val="bottom"/>
          </w:tcPr>
          <w:p w14:paraId="79307696" w14:textId="77777777" w:rsidR="00BB138C" w:rsidRPr="00EF6679" w:rsidRDefault="00BB138C" w:rsidP="00820288">
            <w:pPr>
              <w:spacing w:line="240" w:lineRule="auto"/>
              <w:rPr>
                <w:rFonts w:ascii="Times New Roman" w:hAnsi="Times New Roman" w:cs="Times New Roman"/>
                <w:color w:val="000000" w:themeColor="text1"/>
                <w:sz w:val="16"/>
                <w:szCs w:val="16"/>
                <w:vertAlign w:val="superscript"/>
              </w:rPr>
            </w:pPr>
            <w:r w:rsidRPr="00EF6679">
              <w:rPr>
                <w:rFonts w:ascii="Times New Roman" w:hAnsi="Times New Roman" w:cs="Times New Roman"/>
                <w:color w:val="000000" w:themeColor="text1"/>
                <w:sz w:val="16"/>
                <w:szCs w:val="16"/>
                <w:vertAlign w:val="superscript"/>
              </w:rPr>
              <w:t xml:space="preserve">a </w:t>
            </w:r>
          </w:p>
        </w:tc>
        <w:tc>
          <w:tcPr>
            <w:tcW w:w="576" w:type="dxa"/>
            <w:noWrap/>
            <w:vAlign w:val="bottom"/>
          </w:tcPr>
          <w:p w14:paraId="5342528D" w14:textId="77777777" w:rsidR="00BB138C" w:rsidRPr="00EF6679" w:rsidRDefault="00BB138C" w:rsidP="00820288">
            <w:pPr>
              <w:spacing w:line="240" w:lineRule="auto"/>
              <w:jc w:val="right"/>
              <w:rPr>
                <w:rFonts w:ascii="Times New Roman" w:hAnsi="Times New Roman" w:cs="Times New Roman"/>
                <w:color w:val="000000" w:themeColor="text1"/>
                <w:sz w:val="16"/>
                <w:szCs w:val="16"/>
              </w:rPr>
            </w:pPr>
            <w:r w:rsidRPr="00EF6679">
              <w:rPr>
                <w:rFonts w:ascii="Times New Roman" w:hAnsi="Times New Roman" w:cs="Times New Roman"/>
                <w:color w:val="000000" w:themeColor="text1"/>
                <w:sz w:val="16"/>
                <w:szCs w:val="16"/>
              </w:rPr>
              <w:t>0.077</w:t>
            </w:r>
          </w:p>
        </w:tc>
        <w:tc>
          <w:tcPr>
            <w:tcW w:w="576" w:type="dxa"/>
            <w:noWrap/>
            <w:vAlign w:val="bottom"/>
          </w:tcPr>
          <w:p w14:paraId="3265C104" w14:textId="77777777" w:rsidR="00BB138C" w:rsidRPr="00EF6679" w:rsidRDefault="00BB138C" w:rsidP="00820288">
            <w:pPr>
              <w:spacing w:line="240" w:lineRule="auto"/>
              <w:rPr>
                <w:rFonts w:ascii="Times New Roman" w:hAnsi="Times New Roman" w:cs="Times New Roman"/>
                <w:color w:val="000000" w:themeColor="text1"/>
                <w:sz w:val="16"/>
                <w:szCs w:val="16"/>
                <w:vertAlign w:val="superscript"/>
              </w:rPr>
            </w:pPr>
            <w:r w:rsidRPr="00EF6679">
              <w:rPr>
                <w:rFonts w:ascii="Times New Roman" w:hAnsi="Times New Roman" w:cs="Times New Roman"/>
                <w:color w:val="000000" w:themeColor="text1"/>
                <w:sz w:val="16"/>
                <w:szCs w:val="16"/>
                <w:vertAlign w:val="superscript"/>
              </w:rPr>
              <w:t xml:space="preserve">a </w:t>
            </w:r>
          </w:p>
        </w:tc>
        <w:tc>
          <w:tcPr>
            <w:tcW w:w="576" w:type="dxa"/>
            <w:noWrap/>
            <w:vAlign w:val="bottom"/>
          </w:tcPr>
          <w:p w14:paraId="04AA8F79" w14:textId="77777777" w:rsidR="00BB138C" w:rsidRPr="00EF6679" w:rsidRDefault="00BB138C" w:rsidP="00820288">
            <w:pPr>
              <w:spacing w:line="240" w:lineRule="auto"/>
              <w:jc w:val="right"/>
              <w:rPr>
                <w:rFonts w:ascii="Times New Roman" w:hAnsi="Times New Roman" w:cs="Times New Roman"/>
                <w:color w:val="000000" w:themeColor="text1"/>
                <w:sz w:val="16"/>
                <w:szCs w:val="16"/>
              </w:rPr>
            </w:pPr>
            <w:r w:rsidRPr="00EF6679">
              <w:rPr>
                <w:rFonts w:ascii="Times New Roman" w:hAnsi="Times New Roman" w:cs="Times New Roman"/>
                <w:color w:val="000000" w:themeColor="text1"/>
                <w:sz w:val="16"/>
                <w:szCs w:val="16"/>
              </w:rPr>
              <w:t>0.065</w:t>
            </w:r>
          </w:p>
        </w:tc>
        <w:tc>
          <w:tcPr>
            <w:tcW w:w="576" w:type="dxa"/>
            <w:noWrap/>
            <w:vAlign w:val="bottom"/>
          </w:tcPr>
          <w:p w14:paraId="1E4EC058" w14:textId="77777777" w:rsidR="00BB138C" w:rsidRPr="00EF6679" w:rsidRDefault="00BB138C" w:rsidP="00820288">
            <w:pPr>
              <w:spacing w:line="240" w:lineRule="auto"/>
              <w:rPr>
                <w:rFonts w:ascii="Times New Roman" w:hAnsi="Times New Roman" w:cs="Times New Roman"/>
                <w:color w:val="000000" w:themeColor="text1"/>
                <w:sz w:val="16"/>
                <w:szCs w:val="16"/>
                <w:vertAlign w:val="superscript"/>
              </w:rPr>
            </w:pPr>
            <w:r w:rsidRPr="00EF6679">
              <w:rPr>
                <w:rFonts w:ascii="Times New Roman" w:hAnsi="Times New Roman" w:cs="Times New Roman"/>
                <w:color w:val="000000" w:themeColor="text1"/>
                <w:sz w:val="16"/>
                <w:szCs w:val="16"/>
                <w:vertAlign w:val="superscript"/>
              </w:rPr>
              <w:t xml:space="preserve">a </w:t>
            </w:r>
          </w:p>
        </w:tc>
      </w:tr>
      <w:tr w:rsidR="00BB138C" w:rsidRPr="00EF6679" w14:paraId="7A66CD30" w14:textId="77777777" w:rsidTr="00820288">
        <w:trPr>
          <w:trHeight w:val="173"/>
        </w:trPr>
        <w:tc>
          <w:tcPr>
            <w:tcW w:w="2880" w:type="dxa"/>
            <w:noWrap/>
            <w:vAlign w:val="bottom"/>
            <w:hideMark/>
          </w:tcPr>
          <w:p w14:paraId="7BC632D5" w14:textId="77777777" w:rsidR="00BB138C" w:rsidRPr="00EF6679" w:rsidRDefault="00BB138C" w:rsidP="00820288">
            <w:pPr>
              <w:spacing w:line="240" w:lineRule="auto"/>
              <w:rPr>
                <w:rFonts w:ascii="Times New Roman" w:hAnsi="Times New Roman" w:cs="Times New Roman"/>
                <w:color w:val="000000" w:themeColor="text1"/>
                <w:sz w:val="16"/>
                <w:szCs w:val="16"/>
              </w:rPr>
            </w:pPr>
            <w:r w:rsidRPr="00EF6679">
              <w:rPr>
                <w:rFonts w:ascii="Times New Roman" w:hAnsi="Times New Roman" w:cs="Times New Roman"/>
                <w:color w:val="000000" w:themeColor="text1"/>
                <w:sz w:val="16"/>
                <w:szCs w:val="16"/>
              </w:rPr>
              <w:t>Nonylcyclopropane</w:t>
            </w:r>
          </w:p>
        </w:tc>
        <w:tc>
          <w:tcPr>
            <w:tcW w:w="576" w:type="dxa"/>
            <w:noWrap/>
            <w:vAlign w:val="bottom"/>
            <w:hideMark/>
          </w:tcPr>
          <w:p w14:paraId="7D9907DE" w14:textId="77777777" w:rsidR="00BB138C" w:rsidRPr="00EF6679" w:rsidRDefault="00BB138C" w:rsidP="00820288">
            <w:pPr>
              <w:spacing w:line="240" w:lineRule="auto"/>
              <w:jc w:val="right"/>
              <w:rPr>
                <w:rFonts w:ascii="Times New Roman" w:hAnsi="Times New Roman" w:cs="Times New Roman"/>
                <w:color w:val="000000" w:themeColor="text1"/>
                <w:sz w:val="16"/>
                <w:szCs w:val="16"/>
              </w:rPr>
            </w:pPr>
            <w:r w:rsidRPr="00EF6679">
              <w:rPr>
                <w:rFonts w:ascii="Times New Roman" w:hAnsi="Times New Roman" w:cs="Times New Roman"/>
                <w:color w:val="000000" w:themeColor="text1"/>
                <w:sz w:val="16"/>
                <w:szCs w:val="16"/>
              </w:rPr>
              <w:t>0.030</w:t>
            </w:r>
          </w:p>
        </w:tc>
        <w:tc>
          <w:tcPr>
            <w:tcW w:w="576" w:type="dxa"/>
            <w:noWrap/>
            <w:vAlign w:val="bottom"/>
            <w:hideMark/>
          </w:tcPr>
          <w:p w14:paraId="72CFBE77" w14:textId="77777777" w:rsidR="00BB138C" w:rsidRPr="00EF6679" w:rsidRDefault="00BB138C" w:rsidP="00820288">
            <w:pPr>
              <w:spacing w:line="240" w:lineRule="auto"/>
              <w:rPr>
                <w:rFonts w:ascii="Times New Roman" w:hAnsi="Times New Roman" w:cs="Times New Roman"/>
                <w:color w:val="000000" w:themeColor="text1"/>
                <w:sz w:val="16"/>
                <w:szCs w:val="16"/>
                <w:vertAlign w:val="superscript"/>
              </w:rPr>
            </w:pPr>
            <w:r w:rsidRPr="00EF6679">
              <w:rPr>
                <w:rFonts w:ascii="Times New Roman" w:hAnsi="Times New Roman" w:cs="Times New Roman"/>
                <w:color w:val="000000" w:themeColor="text1"/>
                <w:sz w:val="16"/>
                <w:szCs w:val="16"/>
                <w:vertAlign w:val="superscript"/>
              </w:rPr>
              <w:t xml:space="preserve">b </w:t>
            </w:r>
          </w:p>
        </w:tc>
        <w:tc>
          <w:tcPr>
            <w:tcW w:w="576" w:type="dxa"/>
            <w:noWrap/>
            <w:vAlign w:val="bottom"/>
            <w:hideMark/>
          </w:tcPr>
          <w:p w14:paraId="26CACDF3" w14:textId="77777777" w:rsidR="00BB138C" w:rsidRPr="00EF6679" w:rsidRDefault="00BB138C" w:rsidP="00820288">
            <w:pPr>
              <w:spacing w:line="240" w:lineRule="auto"/>
              <w:jc w:val="right"/>
              <w:rPr>
                <w:rFonts w:ascii="Times New Roman" w:hAnsi="Times New Roman" w:cs="Times New Roman"/>
                <w:color w:val="000000" w:themeColor="text1"/>
                <w:sz w:val="16"/>
                <w:szCs w:val="16"/>
              </w:rPr>
            </w:pPr>
            <w:r w:rsidRPr="00EF6679">
              <w:rPr>
                <w:rFonts w:ascii="Times New Roman" w:hAnsi="Times New Roman" w:cs="Times New Roman"/>
                <w:color w:val="000000" w:themeColor="text1"/>
                <w:sz w:val="16"/>
                <w:szCs w:val="16"/>
              </w:rPr>
              <w:t>0.152</w:t>
            </w:r>
          </w:p>
        </w:tc>
        <w:tc>
          <w:tcPr>
            <w:tcW w:w="576" w:type="dxa"/>
            <w:noWrap/>
            <w:vAlign w:val="bottom"/>
            <w:hideMark/>
          </w:tcPr>
          <w:p w14:paraId="4D4B9A59" w14:textId="77777777" w:rsidR="00BB138C" w:rsidRPr="00EF6679" w:rsidRDefault="00BB138C" w:rsidP="00820288">
            <w:pPr>
              <w:spacing w:line="240" w:lineRule="auto"/>
              <w:rPr>
                <w:rFonts w:ascii="Times New Roman" w:hAnsi="Times New Roman" w:cs="Times New Roman"/>
                <w:color w:val="000000" w:themeColor="text1"/>
                <w:sz w:val="16"/>
                <w:szCs w:val="16"/>
                <w:vertAlign w:val="superscript"/>
              </w:rPr>
            </w:pPr>
            <w:r w:rsidRPr="00EF6679">
              <w:rPr>
                <w:rFonts w:ascii="Times New Roman" w:hAnsi="Times New Roman" w:cs="Times New Roman"/>
                <w:color w:val="000000" w:themeColor="text1"/>
                <w:sz w:val="16"/>
                <w:szCs w:val="16"/>
                <w:vertAlign w:val="superscript"/>
              </w:rPr>
              <w:t xml:space="preserve">a </w:t>
            </w:r>
          </w:p>
        </w:tc>
        <w:tc>
          <w:tcPr>
            <w:tcW w:w="576" w:type="dxa"/>
            <w:noWrap/>
            <w:vAlign w:val="bottom"/>
            <w:hideMark/>
          </w:tcPr>
          <w:p w14:paraId="686D3593" w14:textId="77777777" w:rsidR="00BB138C" w:rsidRPr="00EF6679" w:rsidRDefault="00BB138C" w:rsidP="00820288">
            <w:pPr>
              <w:spacing w:line="240" w:lineRule="auto"/>
              <w:jc w:val="right"/>
              <w:rPr>
                <w:rFonts w:ascii="Times New Roman" w:hAnsi="Times New Roman" w:cs="Times New Roman"/>
                <w:color w:val="000000" w:themeColor="text1"/>
                <w:sz w:val="16"/>
                <w:szCs w:val="16"/>
              </w:rPr>
            </w:pPr>
            <w:r w:rsidRPr="00EF6679">
              <w:rPr>
                <w:rFonts w:ascii="Times New Roman" w:hAnsi="Times New Roman" w:cs="Times New Roman"/>
                <w:color w:val="000000" w:themeColor="text1"/>
                <w:sz w:val="16"/>
                <w:szCs w:val="16"/>
              </w:rPr>
              <w:t>n.d.</w:t>
            </w:r>
          </w:p>
        </w:tc>
        <w:tc>
          <w:tcPr>
            <w:tcW w:w="576" w:type="dxa"/>
            <w:noWrap/>
            <w:vAlign w:val="bottom"/>
            <w:hideMark/>
          </w:tcPr>
          <w:p w14:paraId="40AD4229" w14:textId="77777777" w:rsidR="00BB138C" w:rsidRPr="00EF6679" w:rsidRDefault="00BB138C" w:rsidP="00820288">
            <w:pPr>
              <w:spacing w:line="240" w:lineRule="auto"/>
              <w:rPr>
                <w:rFonts w:ascii="Times New Roman" w:hAnsi="Times New Roman" w:cs="Times New Roman"/>
                <w:color w:val="000000" w:themeColor="text1"/>
                <w:sz w:val="16"/>
                <w:szCs w:val="16"/>
                <w:vertAlign w:val="superscript"/>
              </w:rPr>
            </w:pPr>
            <w:r w:rsidRPr="00EF6679">
              <w:rPr>
                <w:rFonts w:ascii="Times New Roman" w:hAnsi="Times New Roman" w:cs="Times New Roman"/>
                <w:color w:val="000000" w:themeColor="text1"/>
                <w:sz w:val="16"/>
                <w:szCs w:val="16"/>
                <w:vertAlign w:val="superscript"/>
              </w:rPr>
              <w:t xml:space="preserve">b </w:t>
            </w:r>
          </w:p>
        </w:tc>
        <w:tc>
          <w:tcPr>
            <w:tcW w:w="576" w:type="dxa"/>
            <w:noWrap/>
            <w:vAlign w:val="bottom"/>
            <w:hideMark/>
          </w:tcPr>
          <w:p w14:paraId="51CFFF1A" w14:textId="77777777" w:rsidR="00BB138C" w:rsidRPr="00EF6679" w:rsidRDefault="00BB138C" w:rsidP="00820288">
            <w:pPr>
              <w:spacing w:line="240" w:lineRule="auto"/>
              <w:jc w:val="right"/>
              <w:rPr>
                <w:rFonts w:ascii="Times New Roman" w:hAnsi="Times New Roman" w:cs="Times New Roman"/>
                <w:color w:val="000000" w:themeColor="text1"/>
                <w:sz w:val="16"/>
                <w:szCs w:val="16"/>
              </w:rPr>
            </w:pPr>
            <w:r w:rsidRPr="00EF6679">
              <w:rPr>
                <w:rFonts w:ascii="Times New Roman" w:hAnsi="Times New Roman" w:cs="Times New Roman"/>
                <w:color w:val="000000" w:themeColor="text1"/>
                <w:sz w:val="16"/>
                <w:szCs w:val="16"/>
              </w:rPr>
              <w:t>n.d.</w:t>
            </w:r>
          </w:p>
        </w:tc>
        <w:tc>
          <w:tcPr>
            <w:tcW w:w="576" w:type="dxa"/>
            <w:noWrap/>
            <w:vAlign w:val="bottom"/>
            <w:hideMark/>
          </w:tcPr>
          <w:p w14:paraId="337A6AFA" w14:textId="77777777" w:rsidR="00BB138C" w:rsidRPr="00EF6679" w:rsidRDefault="00BB138C" w:rsidP="00820288">
            <w:pPr>
              <w:spacing w:line="240" w:lineRule="auto"/>
              <w:rPr>
                <w:rFonts w:ascii="Times New Roman" w:hAnsi="Times New Roman" w:cs="Times New Roman"/>
                <w:color w:val="000000" w:themeColor="text1"/>
                <w:sz w:val="16"/>
                <w:szCs w:val="16"/>
                <w:vertAlign w:val="superscript"/>
              </w:rPr>
            </w:pPr>
            <w:r w:rsidRPr="00EF6679">
              <w:rPr>
                <w:rFonts w:ascii="Times New Roman" w:hAnsi="Times New Roman" w:cs="Times New Roman"/>
                <w:color w:val="000000" w:themeColor="text1"/>
                <w:sz w:val="16"/>
                <w:szCs w:val="16"/>
                <w:vertAlign w:val="superscript"/>
              </w:rPr>
              <w:t xml:space="preserve">b </w:t>
            </w:r>
          </w:p>
        </w:tc>
      </w:tr>
      <w:tr w:rsidR="00BB138C" w:rsidRPr="00EF6679" w14:paraId="0618503F" w14:textId="77777777" w:rsidTr="00820288">
        <w:trPr>
          <w:trHeight w:val="173"/>
        </w:trPr>
        <w:tc>
          <w:tcPr>
            <w:tcW w:w="2880" w:type="dxa"/>
            <w:noWrap/>
            <w:vAlign w:val="bottom"/>
            <w:hideMark/>
          </w:tcPr>
          <w:p w14:paraId="54DA9882" w14:textId="77777777" w:rsidR="00BB138C" w:rsidRPr="00EF6679" w:rsidRDefault="00BB138C" w:rsidP="00820288">
            <w:pPr>
              <w:spacing w:line="240" w:lineRule="auto"/>
              <w:rPr>
                <w:rFonts w:ascii="Times New Roman" w:hAnsi="Times New Roman" w:cs="Times New Roman"/>
                <w:b/>
                <w:bCs/>
                <w:color w:val="000000" w:themeColor="text1"/>
                <w:sz w:val="16"/>
                <w:szCs w:val="16"/>
              </w:rPr>
            </w:pPr>
            <w:r w:rsidRPr="00EF6679">
              <w:rPr>
                <w:rFonts w:ascii="Times New Roman" w:hAnsi="Times New Roman" w:cs="Times New Roman"/>
                <w:color w:val="000000" w:themeColor="text1"/>
                <w:sz w:val="16"/>
                <w:szCs w:val="16"/>
              </w:rPr>
              <w:t xml:space="preserve">Benzenepropanenitrile    </w:t>
            </w:r>
          </w:p>
        </w:tc>
        <w:tc>
          <w:tcPr>
            <w:tcW w:w="576" w:type="dxa"/>
            <w:noWrap/>
            <w:vAlign w:val="bottom"/>
            <w:hideMark/>
          </w:tcPr>
          <w:p w14:paraId="6119869F" w14:textId="77777777" w:rsidR="00BB138C" w:rsidRPr="00EF6679" w:rsidRDefault="00BB138C" w:rsidP="00820288">
            <w:pPr>
              <w:spacing w:line="240" w:lineRule="auto"/>
              <w:jc w:val="right"/>
              <w:rPr>
                <w:rFonts w:ascii="Times New Roman" w:hAnsi="Times New Roman" w:cs="Times New Roman"/>
                <w:color w:val="000000" w:themeColor="text1"/>
                <w:sz w:val="16"/>
                <w:szCs w:val="16"/>
              </w:rPr>
            </w:pPr>
            <w:r w:rsidRPr="00EF6679">
              <w:rPr>
                <w:rFonts w:ascii="Times New Roman" w:hAnsi="Times New Roman" w:cs="Times New Roman"/>
                <w:color w:val="000000" w:themeColor="text1"/>
                <w:sz w:val="16"/>
                <w:szCs w:val="16"/>
              </w:rPr>
              <w:t>n.d.</w:t>
            </w:r>
          </w:p>
        </w:tc>
        <w:tc>
          <w:tcPr>
            <w:tcW w:w="576" w:type="dxa"/>
            <w:noWrap/>
            <w:vAlign w:val="bottom"/>
            <w:hideMark/>
          </w:tcPr>
          <w:p w14:paraId="2B4E61F9" w14:textId="77777777" w:rsidR="00BB138C" w:rsidRPr="00EF6679" w:rsidRDefault="00BB138C" w:rsidP="00820288">
            <w:pPr>
              <w:spacing w:line="240" w:lineRule="auto"/>
              <w:rPr>
                <w:rFonts w:ascii="Times New Roman" w:hAnsi="Times New Roman" w:cs="Times New Roman"/>
                <w:color w:val="000000" w:themeColor="text1"/>
                <w:sz w:val="16"/>
                <w:szCs w:val="16"/>
                <w:vertAlign w:val="superscript"/>
              </w:rPr>
            </w:pPr>
            <w:r w:rsidRPr="00EF6679">
              <w:rPr>
                <w:rFonts w:ascii="Times New Roman" w:hAnsi="Times New Roman" w:cs="Times New Roman"/>
                <w:color w:val="000000" w:themeColor="text1"/>
                <w:sz w:val="16"/>
                <w:szCs w:val="16"/>
                <w:vertAlign w:val="superscript"/>
              </w:rPr>
              <w:t xml:space="preserve">a </w:t>
            </w:r>
          </w:p>
        </w:tc>
        <w:tc>
          <w:tcPr>
            <w:tcW w:w="576" w:type="dxa"/>
            <w:noWrap/>
            <w:vAlign w:val="bottom"/>
            <w:hideMark/>
          </w:tcPr>
          <w:p w14:paraId="7911499F" w14:textId="77777777" w:rsidR="00BB138C" w:rsidRPr="00EF6679" w:rsidRDefault="00BB138C" w:rsidP="00820288">
            <w:pPr>
              <w:spacing w:line="240" w:lineRule="auto"/>
              <w:jc w:val="right"/>
              <w:rPr>
                <w:rFonts w:ascii="Times New Roman" w:hAnsi="Times New Roman" w:cs="Times New Roman"/>
                <w:color w:val="000000" w:themeColor="text1"/>
                <w:sz w:val="16"/>
                <w:szCs w:val="16"/>
              </w:rPr>
            </w:pPr>
            <w:r w:rsidRPr="00EF6679">
              <w:rPr>
                <w:rFonts w:ascii="Times New Roman" w:hAnsi="Times New Roman" w:cs="Times New Roman"/>
                <w:color w:val="000000" w:themeColor="text1"/>
                <w:sz w:val="16"/>
                <w:szCs w:val="16"/>
              </w:rPr>
              <w:t>0.002</w:t>
            </w:r>
          </w:p>
        </w:tc>
        <w:tc>
          <w:tcPr>
            <w:tcW w:w="576" w:type="dxa"/>
            <w:noWrap/>
            <w:vAlign w:val="bottom"/>
            <w:hideMark/>
          </w:tcPr>
          <w:p w14:paraId="2742537F" w14:textId="77777777" w:rsidR="00BB138C" w:rsidRPr="00EF6679" w:rsidRDefault="00BB138C" w:rsidP="00820288">
            <w:pPr>
              <w:spacing w:line="240" w:lineRule="auto"/>
              <w:rPr>
                <w:rFonts w:ascii="Times New Roman" w:hAnsi="Times New Roman" w:cs="Times New Roman"/>
                <w:color w:val="000000" w:themeColor="text1"/>
                <w:sz w:val="16"/>
                <w:szCs w:val="16"/>
                <w:vertAlign w:val="superscript"/>
              </w:rPr>
            </w:pPr>
            <w:r w:rsidRPr="00EF6679">
              <w:rPr>
                <w:rFonts w:ascii="Times New Roman" w:hAnsi="Times New Roman" w:cs="Times New Roman"/>
                <w:color w:val="000000" w:themeColor="text1"/>
                <w:sz w:val="16"/>
                <w:szCs w:val="16"/>
                <w:vertAlign w:val="superscript"/>
              </w:rPr>
              <w:t xml:space="preserve">a </w:t>
            </w:r>
          </w:p>
        </w:tc>
        <w:tc>
          <w:tcPr>
            <w:tcW w:w="576" w:type="dxa"/>
            <w:noWrap/>
            <w:vAlign w:val="bottom"/>
            <w:hideMark/>
          </w:tcPr>
          <w:p w14:paraId="3689F6FE" w14:textId="77777777" w:rsidR="00BB138C" w:rsidRPr="00EF6679" w:rsidRDefault="00BB138C" w:rsidP="00820288">
            <w:pPr>
              <w:spacing w:line="240" w:lineRule="auto"/>
              <w:jc w:val="right"/>
              <w:rPr>
                <w:rFonts w:ascii="Times New Roman" w:hAnsi="Times New Roman" w:cs="Times New Roman"/>
                <w:color w:val="000000" w:themeColor="text1"/>
                <w:sz w:val="16"/>
                <w:szCs w:val="16"/>
              </w:rPr>
            </w:pPr>
            <w:r w:rsidRPr="00EF6679">
              <w:rPr>
                <w:rFonts w:ascii="Times New Roman" w:hAnsi="Times New Roman" w:cs="Times New Roman"/>
                <w:color w:val="000000" w:themeColor="text1"/>
                <w:sz w:val="16"/>
                <w:szCs w:val="16"/>
              </w:rPr>
              <w:t>n.d.</w:t>
            </w:r>
          </w:p>
        </w:tc>
        <w:tc>
          <w:tcPr>
            <w:tcW w:w="576" w:type="dxa"/>
            <w:noWrap/>
            <w:vAlign w:val="bottom"/>
            <w:hideMark/>
          </w:tcPr>
          <w:p w14:paraId="65D54F87" w14:textId="77777777" w:rsidR="00BB138C" w:rsidRPr="00EF6679" w:rsidRDefault="00BB138C" w:rsidP="00820288">
            <w:pPr>
              <w:spacing w:line="240" w:lineRule="auto"/>
              <w:rPr>
                <w:rFonts w:ascii="Times New Roman" w:hAnsi="Times New Roman" w:cs="Times New Roman"/>
                <w:color w:val="000000" w:themeColor="text1"/>
                <w:sz w:val="16"/>
                <w:szCs w:val="16"/>
                <w:vertAlign w:val="superscript"/>
              </w:rPr>
            </w:pPr>
            <w:r w:rsidRPr="00EF6679">
              <w:rPr>
                <w:rFonts w:ascii="Times New Roman" w:hAnsi="Times New Roman" w:cs="Times New Roman"/>
                <w:color w:val="000000" w:themeColor="text1"/>
                <w:sz w:val="16"/>
                <w:szCs w:val="16"/>
                <w:vertAlign w:val="superscript"/>
              </w:rPr>
              <w:t xml:space="preserve">a </w:t>
            </w:r>
          </w:p>
        </w:tc>
        <w:tc>
          <w:tcPr>
            <w:tcW w:w="576" w:type="dxa"/>
            <w:noWrap/>
            <w:vAlign w:val="bottom"/>
            <w:hideMark/>
          </w:tcPr>
          <w:p w14:paraId="4358E567" w14:textId="77777777" w:rsidR="00BB138C" w:rsidRPr="00EF6679" w:rsidRDefault="00BB138C" w:rsidP="00820288">
            <w:pPr>
              <w:spacing w:line="240" w:lineRule="auto"/>
              <w:jc w:val="right"/>
              <w:rPr>
                <w:rFonts w:ascii="Times New Roman" w:hAnsi="Times New Roman" w:cs="Times New Roman"/>
                <w:color w:val="000000" w:themeColor="text1"/>
                <w:sz w:val="16"/>
                <w:szCs w:val="16"/>
              </w:rPr>
            </w:pPr>
            <w:r w:rsidRPr="00EF6679">
              <w:rPr>
                <w:rFonts w:ascii="Times New Roman" w:hAnsi="Times New Roman" w:cs="Times New Roman"/>
                <w:color w:val="000000" w:themeColor="text1"/>
                <w:sz w:val="16"/>
                <w:szCs w:val="16"/>
              </w:rPr>
              <w:t>n.d.</w:t>
            </w:r>
          </w:p>
        </w:tc>
        <w:tc>
          <w:tcPr>
            <w:tcW w:w="576" w:type="dxa"/>
            <w:noWrap/>
            <w:vAlign w:val="bottom"/>
            <w:hideMark/>
          </w:tcPr>
          <w:p w14:paraId="446587D2" w14:textId="77777777" w:rsidR="00BB138C" w:rsidRPr="00EF6679" w:rsidRDefault="00BB138C" w:rsidP="00820288">
            <w:pPr>
              <w:spacing w:line="240" w:lineRule="auto"/>
              <w:rPr>
                <w:rFonts w:ascii="Times New Roman" w:hAnsi="Times New Roman" w:cs="Times New Roman"/>
                <w:color w:val="000000" w:themeColor="text1"/>
                <w:sz w:val="16"/>
                <w:szCs w:val="16"/>
                <w:vertAlign w:val="superscript"/>
              </w:rPr>
            </w:pPr>
            <w:r w:rsidRPr="00EF6679">
              <w:rPr>
                <w:rFonts w:ascii="Times New Roman" w:hAnsi="Times New Roman" w:cs="Times New Roman"/>
                <w:color w:val="000000" w:themeColor="text1"/>
                <w:sz w:val="16"/>
                <w:szCs w:val="16"/>
                <w:vertAlign w:val="superscript"/>
              </w:rPr>
              <w:t xml:space="preserve">a </w:t>
            </w:r>
          </w:p>
        </w:tc>
      </w:tr>
      <w:tr w:rsidR="00BB138C" w:rsidRPr="00EF6679" w14:paraId="542FB03D" w14:textId="77777777" w:rsidTr="00820288">
        <w:trPr>
          <w:trHeight w:val="173"/>
        </w:trPr>
        <w:tc>
          <w:tcPr>
            <w:tcW w:w="2880" w:type="dxa"/>
            <w:noWrap/>
            <w:vAlign w:val="bottom"/>
            <w:hideMark/>
          </w:tcPr>
          <w:p w14:paraId="6DCB22E7" w14:textId="77777777" w:rsidR="00BB138C" w:rsidRPr="00EF6679" w:rsidRDefault="00BB138C" w:rsidP="00820288">
            <w:pPr>
              <w:spacing w:line="240" w:lineRule="auto"/>
              <w:rPr>
                <w:rFonts w:ascii="Times New Roman" w:hAnsi="Times New Roman" w:cs="Times New Roman"/>
                <w:color w:val="000000" w:themeColor="text1"/>
                <w:sz w:val="16"/>
                <w:szCs w:val="16"/>
              </w:rPr>
            </w:pPr>
            <w:r w:rsidRPr="00EF6679">
              <w:rPr>
                <w:rFonts w:ascii="Times New Roman" w:hAnsi="Times New Roman" w:cs="Times New Roman"/>
                <w:color w:val="000000" w:themeColor="text1"/>
                <w:sz w:val="16"/>
                <w:szCs w:val="16"/>
              </w:rPr>
              <w:t xml:space="preserve">d-Carvone                </w:t>
            </w:r>
          </w:p>
        </w:tc>
        <w:tc>
          <w:tcPr>
            <w:tcW w:w="576" w:type="dxa"/>
            <w:noWrap/>
            <w:vAlign w:val="bottom"/>
            <w:hideMark/>
          </w:tcPr>
          <w:p w14:paraId="2506E398" w14:textId="77777777" w:rsidR="00BB138C" w:rsidRPr="00EF6679" w:rsidRDefault="00BB138C" w:rsidP="00820288">
            <w:pPr>
              <w:spacing w:line="240" w:lineRule="auto"/>
              <w:jc w:val="right"/>
              <w:rPr>
                <w:rFonts w:ascii="Times New Roman" w:hAnsi="Times New Roman" w:cs="Times New Roman"/>
                <w:color w:val="000000" w:themeColor="text1"/>
                <w:sz w:val="16"/>
                <w:szCs w:val="16"/>
              </w:rPr>
            </w:pPr>
            <w:r w:rsidRPr="00EF6679">
              <w:rPr>
                <w:rFonts w:ascii="Times New Roman" w:hAnsi="Times New Roman" w:cs="Times New Roman"/>
                <w:color w:val="000000" w:themeColor="text1"/>
                <w:sz w:val="16"/>
                <w:szCs w:val="16"/>
              </w:rPr>
              <w:t>0.044</w:t>
            </w:r>
          </w:p>
        </w:tc>
        <w:tc>
          <w:tcPr>
            <w:tcW w:w="576" w:type="dxa"/>
            <w:noWrap/>
            <w:vAlign w:val="bottom"/>
            <w:hideMark/>
          </w:tcPr>
          <w:p w14:paraId="1455F272" w14:textId="77777777" w:rsidR="00BB138C" w:rsidRPr="00EF6679" w:rsidRDefault="00BB138C" w:rsidP="00820288">
            <w:pPr>
              <w:spacing w:line="240" w:lineRule="auto"/>
              <w:rPr>
                <w:rFonts w:ascii="Times New Roman" w:hAnsi="Times New Roman" w:cs="Times New Roman"/>
                <w:color w:val="000000" w:themeColor="text1"/>
                <w:sz w:val="16"/>
                <w:szCs w:val="16"/>
                <w:vertAlign w:val="superscript"/>
              </w:rPr>
            </w:pPr>
            <w:r w:rsidRPr="00EF6679">
              <w:rPr>
                <w:rFonts w:ascii="Times New Roman" w:hAnsi="Times New Roman" w:cs="Times New Roman"/>
                <w:color w:val="000000" w:themeColor="text1"/>
                <w:sz w:val="16"/>
                <w:szCs w:val="16"/>
                <w:vertAlign w:val="superscript"/>
              </w:rPr>
              <w:t xml:space="preserve">ab </w:t>
            </w:r>
          </w:p>
        </w:tc>
        <w:tc>
          <w:tcPr>
            <w:tcW w:w="576" w:type="dxa"/>
            <w:noWrap/>
            <w:vAlign w:val="bottom"/>
            <w:hideMark/>
          </w:tcPr>
          <w:p w14:paraId="4042CA0B" w14:textId="77777777" w:rsidR="00BB138C" w:rsidRPr="00EF6679" w:rsidRDefault="00BB138C" w:rsidP="00820288">
            <w:pPr>
              <w:spacing w:line="240" w:lineRule="auto"/>
              <w:jc w:val="right"/>
              <w:rPr>
                <w:rFonts w:ascii="Times New Roman" w:hAnsi="Times New Roman" w:cs="Times New Roman"/>
                <w:color w:val="000000" w:themeColor="text1"/>
                <w:sz w:val="16"/>
                <w:szCs w:val="16"/>
              </w:rPr>
            </w:pPr>
            <w:r w:rsidRPr="00EF6679">
              <w:rPr>
                <w:rFonts w:ascii="Times New Roman" w:hAnsi="Times New Roman" w:cs="Times New Roman"/>
                <w:color w:val="000000" w:themeColor="text1"/>
                <w:sz w:val="16"/>
                <w:szCs w:val="16"/>
              </w:rPr>
              <w:t>0.119</w:t>
            </w:r>
          </w:p>
        </w:tc>
        <w:tc>
          <w:tcPr>
            <w:tcW w:w="576" w:type="dxa"/>
            <w:noWrap/>
            <w:vAlign w:val="bottom"/>
            <w:hideMark/>
          </w:tcPr>
          <w:p w14:paraId="5D4DDE89" w14:textId="77777777" w:rsidR="00BB138C" w:rsidRPr="00EF6679" w:rsidRDefault="00BB138C" w:rsidP="00820288">
            <w:pPr>
              <w:spacing w:line="240" w:lineRule="auto"/>
              <w:rPr>
                <w:rFonts w:ascii="Times New Roman" w:hAnsi="Times New Roman" w:cs="Times New Roman"/>
                <w:color w:val="000000" w:themeColor="text1"/>
                <w:sz w:val="16"/>
                <w:szCs w:val="16"/>
                <w:vertAlign w:val="superscript"/>
              </w:rPr>
            </w:pPr>
            <w:r w:rsidRPr="00EF6679">
              <w:rPr>
                <w:rFonts w:ascii="Times New Roman" w:hAnsi="Times New Roman" w:cs="Times New Roman"/>
                <w:color w:val="000000" w:themeColor="text1"/>
                <w:sz w:val="16"/>
                <w:szCs w:val="16"/>
                <w:vertAlign w:val="superscript"/>
              </w:rPr>
              <w:t xml:space="preserve">a </w:t>
            </w:r>
          </w:p>
        </w:tc>
        <w:tc>
          <w:tcPr>
            <w:tcW w:w="576" w:type="dxa"/>
            <w:noWrap/>
            <w:vAlign w:val="bottom"/>
            <w:hideMark/>
          </w:tcPr>
          <w:p w14:paraId="0F5F261C" w14:textId="77777777" w:rsidR="00BB138C" w:rsidRPr="00EF6679" w:rsidRDefault="00BB138C" w:rsidP="00820288">
            <w:pPr>
              <w:spacing w:line="240" w:lineRule="auto"/>
              <w:jc w:val="right"/>
              <w:rPr>
                <w:rFonts w:ascii="Times New Roman" w:hAnsi="Times New Roman" w:cs="Times New Roman"/>
                <w:color w:val="000000" w:themeColor="text1"/>
                <w:sz w:val="16"/>
                <w:szCs w:val="16"/>
              </w:rPr>
            </w:pPr>
            <w:r w:rsidRPr="00EF6679">
              <w:rPr>
                <w:rFonts w:ascii="Times New Roman" w:hAnsi="Times New Roman" w:cs="Times New Roman"/>
                <w:color w:val="000000" w:themeColor="text1"/>
                <w:sz w:val="16"/>
                <w:szCs w:val="16"/>
              </w:rPr>
              <w:t>0.039</w:t>
            </w:r>
          </w:p>
        </w:tc>
        <w:tc>
          <w:tcPr>
            <w:tcW w:w="576" w:type="dxa"/>
            <w:noWrap/>
            <w:vAlign w:val="bottom"/>
            <w:hideMark/>
          </w:tcPr>
          <w:p w14:paraId="5045A8B5" w14:textId="77777777" w:rsidR="00BB138C" w:rsidRPr="00EF6679" w:rsidRDefault="00BB138C" w:rsidP="00820288">
            <w:pPr>
              <w:spacing w:line="240" w:lineRule="auto"/>
              <w:rPr>
                <w:rFonts w:ascii="Times New Roman" w:hAnsi="Times New Roman" w:cs="Times New Roman"/>
                <w:color w:val="000000" w:themeColor="text1"/>
                <w:sz w:val="16"/>
                <w:szCs w:val="16"/>
                <w:vertAlign w:val="superscript"/>
              </w:rPr>
            </w:pPr>
            <w:r w:rsidRPr="00EF6679">
              <w:rPr>
                <w:rFonts w:ascii="Times New Roman" w:hAnsi="Times New Roman" w:cs="Times New Roman"/>
                <w:color w:val="000000" w:themeColor="text1"/>
                <w:sz w:val="16"/>
                <w:szCs w:val="16"/>
                <w:vertAlign w:val="superscript"/>
              </w:rPr>
              <w:t xml:space="preserve">ab </w:t>
            </w:r>
          </w:p>
        </w:tc>
        <w:tc>
          <w:tcPr>
            <w:tcW w:w="576" w:type="dxa"/>
            <w:noWrap/>
            <w:vAlign w:val="bottom"/>
            <w:hideMark/>
          </w:tcPr>
          <w:p w14:paraId="1B660BDC" w14:textId="77777777" w:rsidR="00BB138C" w:rsidRPr="00EF6679" w:rsidRDefault="00BB138C" w:rsidP="00820288">
            <w:pPr>
              <w:spacing w:line="240" w:lineRule="auto"/>
              <w:jc w:val="right"/>
              <w:rPr>
                <w:rFonts w:ascii="Times New Roman" w:hAnsi="Times New Roman" w:cs="Times New Roman"/>
                <w:color w:val="000000" w:themeColor="text1"/>
                <w:sz w:val="16"/>
                <w:szCs w:val="16"/>
              </w:rPr>
            </w:pPr>
            <w:r w:rsidRPr="00EF6679">
              <w:rPr>
                <w:rFonts w:ascii="Times New Roman" w:hAnsi="Times New Roman" w:cs="Times New Roman"/>
                <w:color w:val="000000" w:themeColor="text1"/>
                <w:sz w:val="16"/>
                <w:szCs w:val="16"/>
              </w:rPr>
              <w:t>0.024</w:t>
            </w:r>
          </w:p>
        </w:tc>
        <w:tc>
          <w:tcPr>
            <w:tcW w:w="576" w:type="dxa"/>
            <w:noWrap/>
            <w:vAlign w:val="bottom"/>
            <w:hideMark/>
          </w:tcPr>
          <w:p w14:paraId="34E1C42D" w14:textId="77777777" w:rsidR="00BB138C" w:rsidRPr="00EF6679" w:rsidRDefault="00BB138C" w:rsidP="00820288">
            <w:pPr>
              <w:spacing w:line="240" w:lineRule="auto"/>
              <w:rPr>
                <w:rFonts w:ascii="Times New Roman" w:hAnsi="Times New Roman" w:cs="Times New Roman"/>
                <w:color w:val="000000" w:themeColor="text1"/>
                <w:sz w:val="16"/>
                <w:szCs w:val="16"/>
                <w:vertAlign w:val="superscript"/>
              </w:rPr>
            </w:pPr>
            <w:r w:rsidRPr="00EF6679">
              <w:rPr>
                <w:rFonts w:ascii="Times New Roman" w:hAnsi="Times New Roman" w:cs="Times New Roman"/>
                <w:color w:val="000000" w:themeColor="text1"/>
                <w:sz w:val="16"/>
                <w:szCs w:val="16"/>
                <w:vertAlign w:val="superscript"/>
              </w:rPr>
              <w:t xml:space="preserve">b </w:t>
            </w:r>
          </w:p>
        </w:tc>
      </w:tr>
      <w:tr w:rsidR="00BB138C" w:rsidRPr="00EF6679" w14:paraId="31C4AAFA" w14:textId="77777777" w:rsidTr="00820288">
        <w:trPr>
          <w:trHeight w:val="173"/>
        </w:trPr>
        <w:tc>
          <w:tcPr>
            <w:tcW w:w="2880" w:type="dxa"/>
            <w:noWrap/>
            <w:vAlign w:val="bottom"/>
            <w:hideMark/>
          </w:tcPr>
          <w:p w14:paraId="4488EF59" w14:textId="77777777" w:rsidR="00BB138C" w:rsidRPr="00EF6679" w:rsidRDefault="00BB138C" w:rsidP="00820288">
            <w:pPr>
              <w:spacing w:line="240" w:lineRule="auto"/>
              <w:rPr>
                <w:rFonts w:ascii="Times New Roman" w:hAnsi="Times New Roman" w:cs="Times New Roman"/>
                <w:color w:val="000000" w:themeColor="text1"/>
                <w:sz w:val="16"/>
                <w:szCs w:val="16"/>
              </w:rPr>
            </w:pPr>
            <w:r w:rsidRPr="00EF6679">
              <w:rPr>
                <w:rFonts w:ascii="Times New Roman" w:hAnsi="Times New Roman" w:cs="Times New Roman"/>
                <w:color w:val="000000" w:themeColor="text1"/>
                <w:sz w:val="16"/>
                <w:szCs w:val="16"/>
              </w:rPr>
              <w:t xml:space="preserve">Indole                   </w:t>
            </w:r>
          </w:p>
        </w:tc>
        <w:tc>
          <w:tcPr>
            <w:tcW w:w="576" w:type="dxa"/>
            <w:noWrap/>
            <w:vAlign w:val="bottom"/>
            <w:hideMark/>
          </w:tcPr>
          <w:p w14:paraId="54530558" w14:textId="77777777" w:rsidR="00BB138C" w:rsidRPr="00EF6679" w:rsidRDefault="00BB138C" w:rsidP="00820288">
            <w:pPr>
              <w:spacing w:line="240" w:lineRule="auto"/>
              <w:jc w:val="right"/>
              <w:rPr>
                <w:rFonts w:ascii="Times New Roman" w:hAnsi="Times New Roman" w:cs="Times New Roman"/>
                <w:color w:val="000000" w:themeColor="text1"/>
                <w:sz w:val="16"/>
                <w:szCs w:val="16"/>
              </w:rPr>
            </w:pPr>
            <w:r w:rsidRPr="00EF6679">
              <w:rPr>
                <w:rFonts w:ascii="Times New Roman" w:hAnsi="Times New Roman" w:cs="Times New Roman"/>
                <w:color w:val="000000" w:themeColor="text1"/>
                <w:sz w:val="16"/>
                <w:szCs w:val="16"/>
              </w:rPr>
              <w:t>0.072</w:t>
            </w:r>
          </w:p>
        </w:tc>
        <w:tc>
          <w:tcPr>
            <w:tcW w:w="576" w:type="dxa"/>
            <w:noWrap/>
            <w:vAlign w:val="bottom"/>
            <w:hideMark/>
          </w:tcPr>
          <w:p w14:paraId="1000DCE9" w14:textId="77777777" w:rsidR="00BB138C" w:rsidRPr="00EF6679" w:rsidRDefault="00BB138C" w:rsidP="00820288">
            <w:pPr>
              <w:spacing w:line="240" w:lineRule="auto"/>
              <w:rPr>
                <w:rFonts w:ascii="Times New Roman" w:hAnsi="Times New Roman" w:cs="Times New Roman"/>
                <w:color w:val="000000" w:themeColor="text1"/>
                <w:sz w:val="16"/>
                <w:szCs w:val="16"/>
                <w:vertAlign w:val="superscript"/>
              </w:rPr>
            </w:pPr>
            <w:r w:rsidRPr="00EF6679">
              <w:rPr>
                <w:rFonts w:ascii="Times New Roman" w:hAnsi="Times New Roman" w:cs="Times New Roman"/>
                <w:color w:val="000000" w:themeColor="text1"/>
                <w:sz w:val="16"/>
                <w:szCs w:val="16"/>
                <w:vertAlign w:val="superscript"/>
              </w:rPr>
              <w:t xml:space="preserve">ab </w:t>
            </w:r>
          </w:p>
        </w:tc>
        <w:tc>
          <w:tcPr>
            <w:tcW w:w="576" w:type="dxa"/>
            <w:noWrap/>
            <w:vAlign w:val="bottom"/>
            <w:hideMark/>
          </w:tcPr>
          <w:p w14:paraId="0C278541" w14:textId="77777777" w:rsidR="00BB138C" w:rsidRPr="00EF6679" w:rsidRDefault="00BB138C" w:rsidP="00820288">
            <w:pPr>
              <w:spacing w:line="240" w:lineRule="auto"/>
              <w:jc w:val="right"/>
              <w:rPr>
                <w:rFonts w:ascii="Times New Roman" w:hAnsi="Times New Roman" w:cs="Times New Roman"/>
                <w:color w:val="000000" w:themeColor="text1"/>
                <w:sz w:val="16"/>
                <w:szCs w:val="16"/>
              </w:rPr>
            </w:pPr>
            <w:r w:rsidRPr="00EF6679">
              <w:rPr>
                <w:rFonts w:ascii="Times New Roman" w:hAnsi="Times New Roman" w:cs="Times New Roman"/>
                <w:color w:val="000000" w:themeColor="text1"/>
                <w:sz w:val="16"/>
                <w:szCs w:val="16"/>
              </w:rPr>
              <w:t>0.192</w:t>
            </w:r>
          </w:p>
        </w:tc>
        <w:tc>
          <w:tcPr>
            <w:tcW w:w="576" w:type="dxa"/>
            <w:noWrap/>
            <w:vAlign w:val="bottom"/>
            <w:hideMark/>
          </w:tcPr>
          <w:p w14:paraId="632FC157" w14:textId="77777777" w:rsidR="00BB138C" w:rsidRPr="00EF6679" w:rsidRDefault="00BB138C" w:rsidP="00820288">
            <w:pPr>
              <w:spacing w:line="240" w:lineRule="auto"/>
              <w:rPr>
                <w:rFonts w:ascii="Times New Roman" w:hAnsi="Times New Roman" w:cs="Times New Roman"/>
                <w:color w:val="000000" w:themeColor="text1"/>
                <w:sz w:val="16"/>
                <w:szCs w:val="16"/>
                <w:vertAlign w:val="superscript"/>
              </w:rPr>
            </w:pPr>
            <w:r w:rsidRPr="00EF6679">
              <w:rPr>
                <w:rFonts w:ascii="Times New Roman" w:hAnsi="Times New Roman" w:cs="Times New Roman"/>
                <w:color w:val="000000" w:themeColor="text1"/>
                <w:sz w:val="16"/>
                <w:szCs w:val="16"/>
                <w:vertAlign w:val="superscript"/>
              </w:rPr>
              <w:t xml:space="preserve">a </w:t>
            </w:r>
          </w:p>
        </w:tc>
        <w:tc>
          <w:tcPr>
            <w:tcW w:w="576" w:type="dxa"/>
            <w:noWrap/>
            <w:vAlign w:val="bottom"/>
            <w:hideMark/>
          </w:tcPr>
          <w:p w14:paraId="3A18FF52" w14:textId="77777777" w:rsidR="00BB138C" w:rsidRPr="00EF6679" w:rsidRDefault="00BB138C" w:rsidP="00820288">
            <w:pPr>
              <w:spacing w:line="240" w:lineRule="auto"/>
              <w:jc w:val="right"/>
              <w:rPr>
                <w:rFonts w:ascii="Times New Roman" w:hAnsi="Times New Roman" w:cs="Times New Roman"/>
                <w:color w:val="000000" w:themeColor="text1"/>
                <w:sz w:val="16"/>
                <w:szCs w:val="16"/>
              </w:rPr>
            </w:pPr>
            <w:r w:rsidRPr="00EF6679">
              <w:rPr>
                <w:rFonts w:ascii="Times New Roman" w:hAnsi="Times New Roman" w:cs="Times New Roman"/>
                <w:color w:val="000000" w:themeColor="text1"/>
                <w:sz w:val="16"/>
                <w:szCs w:val="16"/>
              </w:rPr>
              <w:t>0.061</w:t>
            </w:r>
          </w:p>
        </w:tc>
        <w:tc>
          <w:tcPr>
            <w:tcW w:w="576" w:type="dxa"/>
            <w:noWrap/>
            <w:vAlign w:val="bottom"/>
            <w:hideMark/>
          </w:tcPr>
          <w:p w14:paraId="6C07C906" w14:textId="77777777" w:rsidR="00BB138C" w:rsidRPr="00EF6679" w:rsidRDefault="00BB138C" w:rsidP="00820288">
            <w:pPr>
              <w:spacing w:line="240" w:lineRule="auto"/>
              <w:rPr>
                <w:rFonts w:ascii="Times New Roman" w:hAnsi="Times New Roman" w:cs="Times New Roman"/>
                <w:color w:val="000000" w:themeColor="text1"/>
                <w:sz w:val="16"/>
                <w:szCs w:val="16"/>
                <w:vertAlign w:val="superscript"/>
              </w:rPr>
            </w:pPr>
            <w:r w:rsidRPr="00EF6679">
              <w:rPr>
                <w:rFonts w:ascii="Times New Roman" w:hAnsi="Times New Roman" w:cs="Times New Roman"/>
                <w:color w:val="000000" w:themeColor="text1"/>
                <w:sz w:val="16"/>
                <w:szCs w:val="16"/>
                <w:vertAlign w:val="superscript"/>
              </w:rPr>
              <w:t xml:space="preserve">ab </w:t>
            </w:r>
          </w:p>
        </w:tc>
        <w:tc>
          <w:tcPr>
            <w:tcW w:w="576" w:type="dxa"/>
            <w:noWrap/>
            <w:vAlign w:val="bottom"/>
            <w:hideMark/>
          </w:tcPr>
          <w:p w14:paraId="01B7DC07" w14:textId="77777777" w:rsidR="00BB138C" w:rsidRPr="00EF6679" w:rsidRDefault="00BB138C" w:rsidP="00820288">
            <w:pPr>
              <w:spacing w:line="240" w:lineRule="auto"/>
              <w:jc w:val="right"/>
              <w:rPr>
                <w:rFonts w:ascii="Times New Roman" w:hAnsi="Times New Roman" w:cs="Times New Roman"/>
                <w:color w:val="000000" w:themeColor="text1"/>
                <w:sz w:val="16"/>
                <w:szCs w:val="16"/>
              </w:rPr>
            </w:pPr>
            <w:r w:rsidRPr="00EF6679">
              <w:rPr>
                <w:rFonts w:ascii="Times New Roman" w:hAnsi="Times New Roman" w:cs="Times New Roman"/>
                <w:color w:val="000000" w:themeColor="text1"/>
                <w:sz w:val="16"/>
                <w:szCs w:val="16"/>
              </w:rPr>
              <w:t>0.038</w:t>
            </w:r>
          </w:p>
        </w:tc>
        <w:tc>
          <w:tcPr>
            <w:tcW w:w="576" w:type="dxa"/>
            <w:noWrap/>
            <w:vAlign w:val="bottom"/>
            <w:hideMark/>
          </w:tcPr>
          <w:p w14:paraId="05809AF0" w14:textId="77777777" w:rsidR="00BB138C" w:rsidRPr="00EF6679" w:rsidRDefault="00BB138C" w:rsidP="00820288">
            <w:pPr>
              <w:spacing w:line="240" w:lineRule="auto"/>
              <w:rPr>
                <w:rFonts w:ascii="Times New Roman" w:hAnsi="Times New Roman" w:cs="Times New Roman"/>
                <w:color w:val="000000" w:themeColor="text1"/>
                <w:sz w:val="16"/>
                <w:szCs w:val="16"/>
                <w:vertAlign w:val="superscript"/>
              </w:rPr>
            </w:pPr>
            <w:r w:rsidRPr="00EF6679">
              <w:rPr>
                <w:rFonts w:ascii="Times New Roman" w:hAnsi="Times New Roman" w:cs="Times New Roman"/>
                <w:color w:val="000000" w:themeColor="text1"/>
                <w:sz w:val="16"/>
                <w:szCs w:val="16"/>
                <w:vertAlign w:val="superscript"/>
              </w:rPr>
              <w:t xml:space="preserve">b </w:t>
            </w:r>
          </w:p>
        </w:tc>
      </w:tr>
      <w:tr w:rsidR="00BB138C" w:rsidRPr="00EF6679" w14:paraId="7ADAD563" w14:textId="77777777" w:rsidTr="00820288">
        <w:trPr>
          <w:trHeight w:val="173"/>
        </w:trPr>
        <w:tc>
          <w:tcPr>
            <w:tcW w:w="2880" w:type="dxa"/>
            <w:noWrap/>
            <w:vAlign w:val="bottom"/>
            <w:hideMark/>
          </w:tcPr>
          <w:p w14:paraId="60E015B8" w14:textId="77777777" w:rsidR="00BB138C" w:rsidRPr="00EF6679" w:rsidRDefault="00BB138C" w:rsidP="00820288">
            <w:pPr>
              <w:spacing w:line="240" w:lineRule="auto"/>
              <w:rPr>
                <w:rFonts w:ascii="Times New Roman" w:hAnsi="Times New Roman" w:cs="Times New Roman"/>
                <w:color w:val="000000" w:themeColor="text1"/>
                <w:sz w:val="16"/>
                <w:szCs w:val="16"/>
              </w:rPr>
            </w:pPr>
            <w:r w:rsidRPr="00EF6679">
              <w:rPr>
                <w:rFonts w:ascii="Times New Roman" w:hAnsi="Times New Roman" w:cs="Times New Roman"/>
                <w:color w:val="000000" w:themeColor="text1"/>
                <w:sz w:val="16"/>
                <w:szCs w:val="16"/>
              </w:rPr>
              <w:t xml:space="preserve">1-Octene                 </w:t>
            </w:r>
          </w:p>
        </w:tc>
        <w:tc>
          <w:tcPr>
            <w:tcW w:w="576" w:type="dxa"/>
            <w:noWrap/>
            <w:vAlign w:val="bottom"/>
            <w:hideMark/>
          </w:tcPr>
          <w:p w14:paraId="0FAE2DCB" w14:textId="77777777" w:rsidR="00BB138C" w:rsidRPr="00EF6679" w:rsidRDefault="00BB138C" w:rsidP="00820288">
            <w:pPr>
              <w:spacing w:line="240" w:lineRule="auto"/>
              <w:jc w:val="right"/>
              <w:rPr>
                <w:rFonts w:ascii="Times New Roman" w:hAnsi="Times New Roman" w:cs="Times New Roman"/>
                <w:color w:val="000000" w:themeColor="text1"/>
                <w:sz w:val="16"/>
                <w:szCs w:val="16"/>
              </w:rPr>
            </w:pPr>
            <w:r w:rsidRPr="00EF6679">
              <w:rPr>
                <w:rFonts w:ascii="Times New Roman" w:hAnsi="Times New Roman" w:cs="Times New Roman"/>
                <w:color w:val="000000" w:themeColor="text1"/>
                <w:sz w:val="16"/>
                <w:szCs w:val="16"/>
              </w:rPr>
              <w:t>0.007</w:t>
            </w:r>
          </w:p>
        </w:tc>
        <w:tc>
          <w:tcPr>
            <w:tcW w:w="576" w:type="dxa"/>
            <w:noWrap/>
            <w:vAlign w:val="bottom"/>
            <w:hideMark/>
          </w:tcPr>
          <w:p w14:paraId="281F7CCB" w14:textId="77777777" w:rsidR="00BB138C" w:rsidRPr="00EF6679" w:rsidRDefault="00BB138C" w:rsidP="00820288">
            <w:pPr>
              <w:spacing w:line="240" w:lineRule="auto"/>
              <w:rPr>
                <w:rFonts w:ascii="Times New Roman" w:hAnsi="Times New Roman" w:cs="Times New Roman"/>
                <w:color w:val="000000" w:themeColor="text1"/>
                <w:sz w:val="16"/>
                <w:szCs w:val="16"/>
                <w:vertAlign w:val="superscript"/>
              </w:rPr>
            </w:pPr>
            <w:r w:rsidRPr="00EF6679">
              <w:rPr>
                <w:rFonts w:ascii="Times New Roman" w:hAnsi="Times New Roman" w:cs="Times New Roman"/>
                <w:color w:val="000000" w:themeColor="text1"/>
                <w:sz w:val="16"/>
                <w:szCs w:val="16"/>
                <w:vertAlign w:val="superscript"/>
              </w:rPr>
              <w:t xml:space="preserve">a </w:t>
            </w:r>
          </w:p>
        </w:tc>
        <w:tc>
          <w:tcPr>
            <w:tcW w:w="576" w:type="dxa"/>
            <w:noWrap/>
            <w:vAlign w:val="bottom"/>
            <w:hideMark/>
          </w:tcPr>
          <w:p w14:paraId="5B034C7D" w14:textId="77777777" w:rsidR="00BB138C" w:rsidRPr="00EF6679" w:rsidRDefault="00BB138C" w:rsidP="00820288">
            <w:pPr>
              <w:spacing w:line="240" w:lineRule="auto"/>
              <w:jc w:val="right"/>
              <w:rPr>
                <w:rFonts w:ascii="Times New Roman" w:hAnsi="Times New Roman" w:cs="Times New Roman"/>
                <w:color w:val="000000" w:themeColor="text1"/>
                <w:sz w:val="16"/>
                <w:szCs w:val="16"/>
              </w:rPr>
            </w:pPr>
            <w:r w:rsidRPr="00EF6679">
              <w:rPr>
                <w:rFonts w:ascii="Times New Roman" w:hAnsi="Times New Roman" w:cs="Times New Roman"/>
                <w:color w:val="000000" w:themeColor="text1"/>
                <w:sz w:val="16"/>
                <w:szCs w:val="16"/>
              </w:rPr>
              <w:t>0.004</w:t>
            </w:r>
          </w:p>
        </w:tc>
        <w:tc>
          <w:tcPr>
            <w:tcW w:w="576" w:type="dxa"/>
            <w:noWrap/>
            <w:vAlign w:val="bottom"/>
            <w:hideMark/>
          </w:tcPr>
          <w:p w14:paraId="289A41F6" w14:textId="77777777" w:rsidR="00BB138C" w:rsidRPr="00EF6679" w:rsidRDefault="00BB138C" w:rsidP="00820288">
            <w:pPr>
              <w:spacing w:line="240" w:lineRule="auto"/>
              <w:rPr>
                <w:rFonts w:ascii="Times New Roman" w:hAnsi="Times New Roman" w:cs="Times New Roman"/>
                <w:color w:val="000000" w:themeColor="text1"/>
                <w:sz w:val="16"/>
                <w:szCs w:val="16"/>
                <w:vertAlign w:val="superscript"/>
              </w:rPr>
            </w:pPr>
            <w:r w:rsidRPr="00EF6679">
              <w:rPr>
                <w:rFonts w:ascii="Times New Roman" w:hAnsi="Times New Roman" w:cs="Times New Roman"/>
                <w:color w:val="000000" w:themeColor="text1"/>
                <w:sz w:val="16"/>
                <w:szCs w:val="16"/>
                <w:vertAlign w:val="superscript"/>
              </w:rPr>
              <w:t xml:space="preserve">a </w:t>
            </w:r>
          </w:p>
        </w:tc>
        <w:tc>
          <w:tcPr>
            <w:tcW w:w="576" w:type="dxa"/>
            <w:noWrap/>
            <w:vAlign w:val="bottom"/>
            <w:hideMark/>
          </w:tcPr>
          <w:p w14:paraId="40E13915" w14:textId="77777777" w:rsidR="00BB138C" w:rsidRPr="00EF6679" w:rsidRDefault="00BB138C" w:rsidP="00820288">
            <w:pPr>
              <w:spacing w:line="240" w:lineRule="auto"/>
              <w:jc w:val="right"/>
              <w:rPr>
                <w:rFonts w:ascii="Times New Roman" w:hAnsi="Times New Roman" w:cs="Times New Roman"/>
                <w:color w:val="000000" w:themeColor="text1"/>
                <w:sz w:val="16"/>
                <w:szCs w:val="16"/>
              </w:rPr>
            </w:pPr>
            <w:r w:rsidRPr="00EF6679">
              <w:rPr>
                <w:rFonts w:ascii="Times New Roman" w:hAnsi="Times New Roman" w:cs="Times New Roman"/>
                <w:color w:val="000000" w:themeColor="text1"/>
                <w:sz w:val="16"/>
                <w:szCs w:val="16"/>
              </w:rPr>
              <w:t>0.005</w:t>
            </w:r>
          </w:p>
        </w:tc>
        <w:tc>
          <w:tcPr>
            <w:tcW w:w="576" w:type="dxa"/>
            <w:noWrap/>
            <w:vAlign w:val="bottom"/>
            <w:hideMark/>
          </w:tcPr>
          <w:p w14:paraId="1B57B5BF" w14:textId="77777777" w:rsidR="00BB138C" w:rsidRPr="00EF6679" w:rsidRDefault="00BB138C" w:rsidP="00820288">
            <w:pPr>
              <w:spacing w:line="240" w:lineRule="auto"/>
              <w:rPr>
                <w:rFonts w:ascii="Times New Roman" w:hAnsi="Times New Roman" w:cs="Times New Roman"/>
                <w:color w:val="000000" w:themeColor="text1"/>
                <w:sz w:val="16"/>
                <w:szCs w:val="16"/>
                <w:vertAlign w:val="superscript"/>
              </w:rPr>
            </w:pPr>
            <w:r w:rsidRPr="00EF6679">
              <w:rPr>
                <w:rFonts w:ascii="Times New Roman" w:hAnsi="Times New Roman" w:cs="Times New Roman"/>
                <w:color w:val="000000" w:themeColor="text1"/>
                <w:sz w:val="16"/>
                <w:szCs w:val="16"/>
                <w:vertAlign w:val="superscript"/>
              </w:rPr>
              <w:t xml:space="preserve">a </w:t>
            </w:r>
          </w:p>
        </w:tc>
        <w:tc>
          <w:tcPr>
            <w:tcW w:w="576" w:type="dxa"/>
            <w:noWrap/>
            <w:vAlign w:val="bottom"/>
            <w:hideMark/>
          </w:tcPr>
          <w:p w14:paraId="0EE40F12" w14:textId="77777777" w:rsidR="00BB138C" w:rsidRPr="00EF6679" w:rsidRDefault="00BB138C" w:rsidP="00820288">
            <w:pPr>
              <w:spacing w:line="240" w:lineRule="auto"/>
              <w:jc w:val="right"/>
              <w:rPr>
                <w:rFonts w:ascii="Times New Roman" w:hAnsi="Times New Roman" w:cs="Times New Roman"/>
                <w:color w:val="000000" w:themeColor="text1"/>
                <w:sz w:val="16"/>
                <w:szCs w:val="16"/>
              </w:rPr>
            </w:pPr>
            <w:r w:rsidRPr="00EF6679">
              <w:rPr>
                <w:rFonts w:ascii="Times New Roman" w:hAnsi="Times New Roman" w:cs="Times New Roman"/>
                <w:color w:val="000000" w:themeColor="text1"/>
                <w:sz w:val="16"/>
                <w:szCs w:val="16"/>
              </w:rPr>
              <w:t>0.003</w:t>
            </w:r>
          </w:p>
        </w:tc>
        <w:tc>
          <w:tcPr>
            <w:tcW w:w="576" w:type="dxa"/>
            <w:noWrap/>
            <w:vAlign w:val="bottom"/>
            <w:hideMark/>
          </w:tcPr>
          <w:p w14:paraId="5E22DF3B" w14:textId="77777777" w:rsidR="00BB138C" w:rsidRPr="00EF6679" w:rsidRDefault="00BB138C" w:rsidP="00820288">
            <w:pPr>
              <w:spacing w:line="240" w:lineRule="auto"/>
              <w:rPr>
                <w:rFonts w:ascii="Times New Roman" w:hAnsi="Times New Roman" w:cs="Times New Roman"/>
                <w:color w:val="000000" w:themeColor="text1"/>
                <w:sz w:val="16"/>
                <w:szCs w:val="16"/>
                <w:vertAlign w:val="superscript"/>
              </w:rPr>
            </w:pPr>
            <w:r w:rsidRPr="00EF6679">
              <w:rPr>
                <w:rFonts w:ascii="Times New Roman" w:hAnsi="Times New Roman" w:cs="Times New Roman"/>
                <w:color w:val="000000" w:themeColor="text1"/>
                <w:sz w:val="16"/>
                <w:szCs w:val="16"/>
                <w:vertAlign w:val="superscript"/>
              </w:rPr>
              <w:t xml:space="preserve">a </w:t>
            </w:r>
          </w:p>
        </w:tc>
      </w:tr>
      <w:tr w:rsidR="00BB138C" w:rsidRPr="00EF6679" w14:paraId="1BAD5A44" w14:textId="77777777" w:rsidTr="00820288">
        <w:trPr>
          <w:trHeight w:val="173"/>
        </w:trPr>
        <w:tc>
          <w:tcPr>
            <w:tcW w:w="2880" w:type="dxa"/>
            <w:noWrap/>
            <w:vAlign w:val="bottom"/>
            <w:hideMark/>
          </w:tcPr>
          <w:p w14:paraId="383939F1" w14:textId="77777777" w:rsidR="00BB138C" w:rsidRPr="00EF6679" w:rsidRDefault="00BB138C" w:rsidP="00820288">
            <w:pPr>
              <w:spacing w:line="240" w:lineRule="auto"/>
              <w:rPr>
                <w:rFonts w:ascii="Times New Roman" w:hAnsi="Times New Roman" w:cs="Times New Roman"/>
                <w:b/>
                <w:bCs/>
                <w:color w:val="000000" w:themeColor="text1"/>
                <w:sz w:val="16"/>
                <w:szCs w:val="16"/>
              </w:rPr>
            </w:pPr>
            <w:r w:rsidRPr="00EF6679">
              <w:rPr>
                <w:rFonts w:ascii="Times New Roman" w:hAnsi="Times New Roman" w:cs="Times New Roman"/>
                <w:color w:val="000000" w:themeColor="text1"/>
                <w:sz w:val="16"/>
                <w:szCs w:val="16"/>
              </w:rPr>
              <w:t xml:space="preserve">Eugenol                  </w:t>
            </w:r>
          </w:p>
        </w:tc>
        <w:tc>
          <w:tcPr>
            <w:tcW w:w="576" w:type="dxa"/>
            <w:noWrap/>
            <w:vAlign w:val="bottom"/>
            <w:hideMark/>
          </w:tcPr>
          <w:p w14:paraId="06709983" w14:textId="77777777" w:rsidR="00BB138C" w:rsidRPr="00EF6679" w:rsidRDefault="00BB138C" w:rsidP="00820288">
            <w:pPr>
              <w:spacing w:line="240" w:lineRule="auto"/>
              <w:jc w:val="right"/>
              <w:rPr>
                <w:rFonts w:ascii="Times New Roman" w:hAnsi="Times New Roman" w:cs="Times New Roman"/>
                <w:color w:val="000000" w:themeColor="text1"/>
                <w:sz w:val="16"/>
                <w:szCs w:val="16"/>
              </w:rPr>
            </w:pPr>
            <w:r w:rsidRPr="00EF6679">
              <w:rPr>
                <w:rFonts w:ascii="Times New Roman" w:hAnsi="Times New Roman" w:cs="Times New Roman"/>
                <w:color w:val="000000" w:themeColor="text1"/>
                <w:sz w:val="16"/>
                <w:szCs w:val="16"/>
              </w:rPr>
              <w:t>0.021</w:t>
            </w:r>
          </w:p>
        </w:tc>
        <w:tc>
          <w:tcPr>
            <w:tcW w:w="576" w:type="dxa"/>
            <w:noWrap/>
            <w:vAlign w:val="bottom"/>
            <w:hideMark/>
          </w:tcPr>
          <w:p w14:paraId="28BDEA98" w14:textId="77777777" w:rsidR="00BB138C" w:rsidRPr="00EF6679" w:rsidRDefault="00BB138C" w:rsidP="00820288">
            <w:pPr>
              <w:spacing w:line="240" w:lineRule="auto"/>
              <w:rPr>
                <w:rFonts w:ascii="Times New Roman" w:hAnsi="Times New Roman" w:cs="Times New Roman"/>
                <w:color w:val="000000" w:themeColor="text1"/>
                <w:sz w:val="16"/>
                <w:szCs w:val="16"/>
                <w:vertAlign w:val="superscript"/>
              </w:rPr>
            </w:pPr>
            <w:r w:rsidRPr="00EF6679">
              <w:rPr>
                <w:rFonts w:ascii="Times New Roman" w:hAnsi="Times New Roman" w:cs="Times New Roman"/>
                <w:color w:val="000000" w:themeColor="text1"/>
                <w:sz w:val="16"/>
                <w:szCs w:val="16"/>
                <w:vertAlign w:val="superscript"/>
              </w:rPr>
              <w:t xml:space="preserve">a </w:t>
            </w:r>
          </w:p>
        </w:tc>
        <w:tc>
          <w:tcPr>
            <w:tcW w:w="576" w:type="dxa"/>
            <w:noWrap/>
            <w:vAlign w:val="bottom"/>
            <w:hideMark/>
          </w:tcPr>
          <w:p w14:paraId="18DD7EF2" w14:textId="77777777" w:rsidR="00BB138C" w:rsidRPr="00EF6679" w:rsidRDefault="00BB138C" w:rsidP="00820288">
            <w:pPr>
              <w:spacing w:line="240" w:lineRule="auto"/>
              <w:jc w:val="right"/>
              <w:rPr>
                <w:rFonts w:ascii="Times New Roman" w:hAnsi="Times New Roman" w:cs="Times New Roman"/>
                <w:color w:val="000000" w:themeColor="text1"/>
                <w:sz w:val="16"/>
                <w:szCs w:val="16"/>
              </w:rPr>
            </w:pPr>
            <w:r w:rsidRPr="00EF6679">
              <w:rPr>
                <w:rFonts w:ascii="Times New Roman" w:hAnsi="Times New Roman" w:cs="Times New Roman"/>
                <w:color w:val="000000" w:themeColor="text1"/>
                <w:sz w:val="16"/>
                <w:szCs w:val="16"/>
              </w:rPr>
              <w:t>0.021</w:t>
            </w:r>
          </w:p>
        </w:tc>
        <w:tc>
          <w:tcPr>
            <w:tcW w:w="576" w:type="dxa"/>
            <w:noWrap/>
            <w:vAlign w:val="bottom"/>
            <w:hideMark/>
          </w:tcPr>
          <w:p w14:paraId="045BC676" w14:textId="77777777" w:rsidR="00BB138C" w:rsidRPr="00EF6679" w:rsidRDefault="00BB138C" w:rsidP="00820288">
            <w:pPr>
              <w:spacing w:line="240" w:lineRule="auto"/>
              <w:rPr>
                <w:rFonts w:ascii="Times New Roman" w:hAnsi="Times New Roman" w:cs="Times New Roman"/>
                <w:color w:val="000000" w:themeColor="text1"/>
                <w:sz w:val="16"/>
                <w:szCs w:val="16"/>
                <w:vertAlign w:val="superscript"/>
              </w:rPr>
            </w:pPr>
            <w:r w:rsidRPr="00EF6679">
              <w:rPr>
                <w:rFonts w:ascii="Times New Roman" w:hAnsi="Times New Roman" w:cs="Times New Roman"/>
                <w:color w:val="000000" w:themeColor="text1"/>
                <w:sz w:val="16"/>
                <w:szCs w:val="16"/>
                <w:vertAlign w:val="superscript"/>
              </w:rPr>
              <w:t xml:space="preserve">a </w:t>
            </w:r>
          </w:p>
        </w:tc>
        <w:tc>
          <w:tcPr>
            <w:tcW w:w="576" w:type="dxa"/>
            <w:noWrap/>
            <w:vAlign w:val="bottom"/>
            <w:hideMark/>
          </w:tcPr>
          <w:p w14:paraId="4FD9475A" w14:textId="77777777" w:rsidR="00BB138C" w:rsidRPr="00EF6679" w:rsidRDefault="00BB138C" w:rsidP="00820288">
            <w:pPr>
              <w:spacing w:line="240" w:lineRule="auto"/>
              <w:jc w:val="right"/>
              <w:rPr>
                <w:rFonts w:ascii="Times New Roman" w:hAnsi="Times New Roman" w:cs="Times New Roman"/>
                <w:color w:val="000000" w:themeColor="text1"/>
                <w:sz w:val="16"/>
                <w:szCs w:val="16"/>
              </w:rPr>
            </w:pPr>
            <w:r w:rsidRPr="00EF6679">
              <w:rPr>
                <w:rFonts w:ascii="Times New Roman" w:hAnsi="Times New Roman" w:cs="Times New Roman"/>
                <w:color w:val="000000" w:themeColor="text1"/>
                <w:sz w:val="16"/>
                <w:szCs w:val="16"/>
              </w:rPr>
              <w:t>n.d.</w:t>
            </w:r>
          </w:p>
        </w:tc>
        <w:tc>
          <w:tcPr>
            <w:tcW w:w="576" w:type="dxa"/>
            <w:noWrap/>
            <w:vAlign w:val="bottom"/>
            <w:hideMark/>
          </w:tcPr>
          <w:p w14:paraId="5D932129" w14:textId="77777777" w:rsidR="00BB138C" w:rsidRPr="00EF6679" w:rsidRDefault="00BB138C" w:rsidP="00820288">
            <w:pPr>
              <w:spacing w:line="240" w:lineRule="auto"/>
              <w:rPr>
                <w:rFonts w:ascii="Times New Roman" w:hAnsi="Times New Roman" w:cs="Times New Roman"/>
                <w:color w:val="000000" w:themeColor="text1"/>
                <w:sz w:val="16"/>
                <w:szCs w:val="16"/>
                <w:vertAlign w:val="superscript"/>
              </w:rPr>
            </w:pPr>
            <w:r w:rsidRPr="00EF6679">
              <w:rPr>
                <w:rFonts w:ascii="Times New Roman" w:hAnsi="Times New Roman" w:cs="Times New Roman"/>
                <w:color w:val="000000" w:themeColor="text1"/>
                <w:sz w:val="16"/>
                <w:szCs w:val="16"/>
                <w:vertAlign w:val="superscript"/>
              </w:rPr>
              <w:t xml:space="preserve">a </w:t>
            </w:r>
          </w:p>
        </w:tc>
        <w:tc>
          <w:tcPr>
            <w:tcW w:w="576" w:type="dxa"/>
            <w:noWrap/>
            <w:vAlign w:val="bottom"/>
            <w:hideMark/>
          </w:tcPr>
          <w:p w14:paraId="706BF716" w14:textId="77777777" w:rsidR="00BB138C" w:rsidRPr="00EF6679" w:rsidRDefault="00BB138C" w:rsidP="00820288">
            <w:pPr>
              <w:spacing w:line="240" w:lineRule="auto"/>
              <w:jc w:val="right"/>
              <w:rPr>
                <w:rFonts w:ascii="Times New Roman" w:hAnsi="Times New Roman" w:cs="Times New Roman"/>
                <w:color w:val="000000" w:themeColor="text1"/>
                <w:sz w:val="16"/>
                <w:szCs w:val="16"/>
              </w:rPr>
            </w:pPr>
            <w:r w:rsidRPr="00EF6679">
              <w:rPr>
                <w:rFonts w:ascii="Times New Roman" w:hAnsi="Times New Roman" w:cs="Times New Roman"/>
                <w:color w:val="000000" w:themeColor="text1"/>
                <w:sz w:val="16"/>
                <w:szCs w:val="16"/>
              </w:rPr>
              <w:t>n.d.</w:t>
            </w:r>
          </w:p>
        </w:tc>
        <w:tc>
          <w:tcPr>
            <w:tcW w:w="576" w:type="dxa"/>
            <w:noWrap/>
            <w:vAlign w:val="bottom"/>
            <w:hideMark/>
          </w:tcPr>
          <w:p w14:paraId="78F2F4FC" w14:textId="77777777" w:rsidR="00BB138C" w:rsidRPr="00EF6679" w:rsidRDefault="00BB138C" w:rsidP="00820288">
            <w:pPr>
              <w:spacing w:line="240" w:lineRule="auto"/>
              <w:rPr>
                <w:rFonts w:ascii="Times New Roman" w:hAnsi="Times New Roman" w:cs="Times New Roman"/>
                <w:color w:val="000000" w:themeColor="text1"/>
                <w:sz w:val="16"/>
                <w:szCs w:val="16"/>
                <w:vertAlign w:val="superscript"/>
              </w:rPr>
            </w:pPr>
            <w:r w:rsidRPr="00EF6679">
              <w:rPr>
                <w:rFonts w:ascii="Times New Roman" w:hAnsi="Times New Roman" w:cs="Times New Roman"/>
                <w:color w:val="000000" w:themeColor="text1"/>
                <w:sz w:val="16"/>
                <w:szCs w:val="16"/>
                <w:vertAlign w:val="superscript"/>
              </w:rPr>
              <w:t xml:space="preserve">a </w:t>
            </w:r>
          </w:p>
        </w:tc>
      </w:tr>
      <w:tr w:rsidR="00BB138C" w:rsidRPr="00EF6679" w14:paraId="3DFF4FF5" w14:textId="77777777" w:rsidTr="00820288">
        <w:trPr>
          <w:trHeight w:val="173"/>
        </w:trPr>
        <w:tc>
          <w:tcPr>
            <w:tcW w:w="2880" w:type="dxa"/>
            <w:noWrap/>
            <w:vAlign w:val="bottom"/>
            <w:hideMark/>
          </w:tcPr>
          <w:p w14:paraId="646C99C6" w14:textId="77777777" w:rsidR="00BB138C" w:rsidRPr="00EF6679" w:rsidRDefault="00BB138C" w:rsidP="00820288">
            <w:pPr>
              <w:spacing w:line="240" w:lineRule="auto"/>
              <w:rPr>
                <w:rFonts w:ascii="Times New Roman" w:hAnsi="Times New Roman" w:cs="Times New Roman"/>
                <w:color w:val="000000" w:themeColor="text1"/>
                <w:sz w:val="16"/>
                <w:szCs w:val="16"/>
              </w:rPr>
            </w:pPr>
            <w:r w:rsidRPr="00EF6679">
              <w:rPr>
                <w:rFonts w:ascii="Times New Roman" w:hAnsi="Times New Roman" w:cs="Times New Roman"/>
                <w:color w:val="000000" w:themeColor="text1"/>
                <w:sz w:val="16"/>
                <w:szCs w:val="16"/>
              </w:rPr>
              <w:t xml:space="preserve">Citronellyl acetate      </w:t>
            </w:r>
          </w:p>
        </w:tc>
        <w:tc>
          <w:tcPr>
            <w:tcW w:w="576" w:type="dxa"/>
            <w:noWrap/>
            <w:vAlign w:val="bottom"/>
            <w:hideMark/>
          </w:tcPr>
          <w:p w14:paraId="35542E2D" w14:textId="77777777" w:rsidR="00BB138C" w:rsidRPr="00EF6679" w:rsidRDefault="00BB138C" w:rsidP="00820288">
            <w:pPr>
              <w:spacing w:line="240" w:lineRule="auto"/>
              <w:jc w:val="right"/>
              <w:rPr>
                <w:rFonts w:ascii="Times New Roman" w:hAnsi="Times New Roman" w:cs="Times New Roman"/>
                <w:color w:val="000000" w:themeColor="text1"/>
                <w:sz w:val="16"/>
                <w:szCs w:val="16"/>
              </w:rPr>
            </w:pPr>
            <w:r w:rsidRPr="00EF6679">
              <w:rPr>
                <w:rFonts w:ascii="Times New Roman" w:hAnsi="Times New Roman" w:cs="Times New Roman"/>
                <w:color w:val="000000" w:themeColor="text1"/>
                <w:sz w:val="16"/>
                <w:szCs w:val="16"/>
              </w:rPr>
              <w:t>29.671</w:t>
            </w:r>
          </w:p>
        </w:tc>
        <w:tc>
          <w:tcPr>
            <w:tcW w:w="576" w:type="dxa"/>
            <w:noWrap/>
            <w:vAlign w:val="bottom"/>
            <w:hideMark/>
          </w:tcPr>
          <w:p w14:paraId="797C47BD" w14:textId="77777777" w:rsidR="00BB138C" w:rsidRPr="00EF6679" w:rsidRDefault="00BB138C" w:rsidP="00820288">
            <w:pPr>
              <w:spacing w:line="240" w:lineRule="auto"/>
              <w:rPr>
                <w:rFonts w:ascii="Times New Roman" w:hAnsi="Times New Roman" w:cs="Times New Roman"/>
                <w:color w:val="000000" w:themeColor="text1"/>
                <w:sz w:val="16"/>
                <w:szCs w:val="16"/>
                <w:vertAlign w:val="superscript"/>
              </w:rPr>
            </w:pPr>
            <w:r w:rsidRPr="00EF6679">
              <w:rPr>
                <w:rFonts w:ascii="Times New Roman" w:hAnsi="Times New Roman" w:cs="Times New Roman"/>
                <w:color w:val="000000" w:themeColor="text1"/>
                <w:sz w:val="16"/>
                <w:szCs w:val="16"/>
                <w:vertAlign w:val="superscript"/>
              </w:rPr>
              <w:t xml:space="preserve">a </w:t>
            </w:r>
          </w:p>
        </w:tc>
        <w:tc>
          <w:tcPr>
            <w:tcW w:w="576" w:type="dxa"/>
            <w:noWrap/>
            <w:vAlign w:val="bottom"/>
            <w:hideMark/>
          </w:tcPr>
          <w:p w14:paraId="2FD9243C" w14:textId="77777777" w:rsidR="00BB138C" w:rsidRPr="00EF6679" w:rsidRDefault="00BB138C" w:rsidP="00820288">
            <w:pPr>
              <w:spacing w:line="240" w:lineRule="auto"/>
              <w:jc w:val="right"/>
              <w:rPr>
                <w:rFonts w:ascii="Times New Roman" w:hAnsi="Times New Roman" w:cs="Times New Roman"/>
                <w:color w:val="000000" w:themeColor="text1"/>
                <w:sz w:val="16"/>
                <w:szCs w:val="16"/>
              </w:rPr>
            </w:pPr>
            <w:r w:rsidRPr="00EF6679">
              <w:rPr>
                <w:rFonts w:ascii="Times New Roman" w:hAnsi="Times New Roman" w:cs="Times New Roman"/>
                <w:color w:val="000000" w:themeColor="text1"/>
                <w:sz w:val="16"/>
                <w:szCs w:val="16"/>
              </w:rPr>
              <w:t>17.303</w:t>
            </w:r>
          </w:p>
        </w:tc>
        <w:tc>
          <w:tcPr>
            <w:tcW w:w="576" w:type="dxa"/>
            <w:noWrap/>
            <w:vAlign w:val="bottom"/>
            <w:hideMark/>
          </w:tcPr>
          <w:p w14:paraId="384FCDF7" w14:textId="77777777" w:rsidR="00BB138C" w:rsidRPr="00EF6679" w:rsidRDefault="00BB138C" w:rsidP="00820288">
            <w:pPr>
              <w:spacing w:line="240" w:lineRule="auto"/>
              <w:rPr>
                <w:rFonts w:ascii="Times New Roman" w:hAnsi="Times New Roman" w:cs="Times New Roman"/>
                <w:color w:val="000000" w:themeColor="text1"/>
                <w:sz w:val="16"/>
                <w:szCs w:val="16"/>
                <w:vertAlign w:val="superscript"/>
              </w:rPr>
            </w:pPr>
            <w:r w:rsidRPr="00EF6679">
              <w:rPr>
                <w:rFonts w:ascii="Times New Roman" w:hAnsi="Times New Roman" w:cs="Times New Roman"/>
                <w:color w:val="000000" w:themeColor="text1"/>
                <w:sz w:val="16"/>
                <w:szCs w:val="16"/>
                <w:vertAlign w:val="superscript"/>
              </w:rPr>
              <w:t xml:space="preserve">a </w:t>
            </w:r>
          </w:p>
        </w:tc>
        <w:tc>
          <w:tcPr>
            <w:tcW w:w="576" w:type="dxa"/>
            <w:noWrap/>
            <w:vAlign w:val="bottom"/>
            <w:hideMark/>
          </w:tcPr>
          <w:p w14:paraId="689D5119" w14:textId="77777777" w:rsidR="00BB138C" w:rsidRPr="00EF6679" w:rsidRDefault="00BB138C" w:rsidP="00820288">
            <w:pPr>
              <w:spacing w:line="240" w:lineRule="auto"/>
              <w:jc w:val="right"/>
              <w:rPr>
                <w:rFonts w:ascii="Times New Roman" w:hAnsi="Times New Roman" w:cs="Times New Roman"/>
                <w:color w:val="000000" w:themeColor="text1"/>
                <w:sz w:val="16"/>
                <w:szCs w:val="16"/>
              </w:rPr>
            </w:pPr>
            <w:r w:rsidRPr="00EF6679">
              <w:rPr>
                <w:rFonts w:ascii="Times New Roman" w:hAnsi="Times New Roman" w:cs="Times New Roman"/>
                <w:color w:val="000000" w:themeColor="text1"/>
                <w:sz w:val="16"/>
                <w:szCs w:val="16"/>
              </w:rPr>
              <w:t>24.723</w:t>
            </w:r>
          </w:p>
        </w:tc>
        <w:tc>
          <w:tcPr>
            <w:tcW w:w="576" w:type="dxa"/>
            <w:noWrap/>
            <w:vAlign w:val="bottom"/>
            <w:hideMark/>
          </w:tcPr>
          <w:p w14:paraId="763D1A26" w14:textId="77777777" w:rsidR="00BB138C" w:rsidRPr="00EF6679" w:rsidRDefault="00BB138C" w:rsidP="00820288">
            <w:pPr>
              <w:spacing w:line="240" w:lineRule="auto"/>
              <w:rPr>
                <w:rFonts w:ascii="Times New Roman" w:hAnsi="Times New Roman" w:cs="Times New Roman"/>
                <w:color w:val="000000" w:themeColor="text1"/>
                <w:sz w:val="16"/>
                <w:szCs w:val="16"/>
                <w:vertAlign w:val="superscript"/>
              </w:rPr>
            </w:pPr>
            <w:r w:rsidRPr="00EF6679">
              <w:rPr>
                <w:rFonts w:ascii="Times New Roman" w:hAnsi="Times New Roman" w:cs="Times New Roman"/>
                <w:color w:val="000000" w:themeColor="text1"/>
                <w:sz w:val="16"/>
                <w:szCs w:val="16"/>
                <w:vertAlign w:val="superscript"/>
              </w:rPr>
              <w:t xml:space="preserve">a </w:t>
            </w:r>
          </w:p>
        </w:tc>
        <w:tc>
          <w:tcPr>
            <w:tcW w:w="576" w:type="dxa"/>
            <w:noWrap/>
            <w:vAlign w:val="bottom"/>
            <w:hideMark/>
          </w:tcPr>
          <w:p w14:paraId="21211D7E" w14:textId="77777777" w:rsidR="00BB138C" w:rsidRPr="00EF6679" w:rsidRDefault="00BB138C" w:rsidP="00820288">
            <w:pPr>
              <w:spacing w:line="240" w:lineRule="auto"/>
              <w:jc w:val="right"/>
              <w:rPr>
                <w:rFonts w:ascii="Times New Roman" w:hAnsi="Times New Roman" w:cs="Times New Roman"/>
                <w:color w:val="000000" w:themeColor="text1"/>
                <w:sz w:val="16"/>
                <w:szCs w:val="16"/>
              </w:rPr>
            </w:pPr>
            <w:r w:rsidRPr="00EF6679">
              <w:rPr>
                <w:rFonts w:ascii="Times New Roman" w:hAnsi="Times New Roman" w:cs="Times New Roman"/>
                <w:color w:val="000000" w:themeColor="text1"/>
                <w:sz w:val="16"/>
                <w:szCs w:val="16"/>
              </w:rPr>
              <w:t>12.007</w:t>
            </w:r>
          </w:p>
        </w:tc>
        <w:tc>
          <w:tcPr>
            <w:tcW w:w="576" w:type="dxa"/>
            <w:noWrap/>
            <w:vAlign w:val="bottom"/>
            <w:hideMark/>
          </w:tcPr>
          <w:p w14:paraId="0E751DA7" w14:textId="77777777" w:rsidR="00BB138C" w:rsidRPr="00EF6679" w:rsidRDefault="00BB138C" w:rsidP="00820288">
            <w:pPr>
              <w:spacing w:line="240" w:lineRule="auto"/>
              <w:rPr>
                <w:rFonts w:ascii="Times New Roman" w:hAnsi="Times New Roman" w:cs="Times New Roman"/>
                <w:color w:val="000000" w:themeColor="text1"/>
                <w:sz w:val="16"/>
                <w:szCs w:val="16"/>
                <w:vertAlign w:val="superscript"/>
              </w:rPr>
            </w:pPr>
            <w:r w:rsidRPr="00EF6679">
              <w:rPr>
                <w:rFonts w:ascii="Times New Roman" w:hAnsi="Times New Roman" w:cs="Times New Roman"/>
                <w:color w:val="000000" w:themeColor="text1"/>
                <w:sz w:val="16"/>
                <w:szCs w:val="16"/>
                <w:vertAlign w:val="superscript"/>
              </w:rPr>
              <w:t xml:space="preserve">a </w:t>
            </w:r>
          </w:p>
        </w:tc>
      </w:tr>
      <w:tr w:rsidR="00BB138C" w:rsidRPr="00EF6679" w14:paraId="126B285F" w14:textId="77777777" w:rsidTr="00820288">
        <w:trPr>
          <w:trHeight w:val="173"/>
        </w:trPr>
        <w:tc>
          <w:tcPr>
            <w:tcW w:w="2880" w:type="dxa"/>
            <w:noWrap/>
            <w:vAlign w:val="bottom"/>
            <w:hideMark/>
          </w:tcPr>
          <w:p w14:paraId="06AB3E01" w14:textId="77777777" w:rsidR="00BB138C" w:rsidRPr="00EF6679" w:rsidRDefault="00BB138C" w:rsidP="00820288">
            <w:pPr>
              <w:spacing w:line="240" w:lineRule="auto"/>
              <w:rPr>
                <w:rFonts w:ascii="Times New Roman" w:hAnsi="Times New Roman" w:cs="Times New Roman"/>
                <w:color w:val="000000" w:themeColor="text1"/>
                <w:sz w:val="16"/>
                <w:szCs w:val="16"/>
              </w:rPr>
            </w:pPr>
            <w:r w:rsidRPr="00EF6679">
              <w:rPr>
                <w:rFonts w:ascii="Times New Roman" w:hAnsi="Times New Roman" w:cs="Times New Roman"/>
                <w:color w:val="000000" w:themeColor="text1"/>
                <w:sz w:val="16"/>
                <w:szCs w:val="16"/>
              </w:rPr>
              <w:t xml:space="preserve">Methyl Eugenol           </w:t>
            </w:r>
          </w:p>
        </w:tc>
        <w:tc>
          <w:tcPr>
            <w:tcW w:w="576" w:type="dxa"/>
            <w:noWrap/>
            <w:vAlign w:val="bottom"/>
            <w:hideMark/>
          </w:tcPr>
          <w:p w14:paraId="7276513A" w14:textId="77777777" w:rsidR="00BB138C" w:rsidRPr="00EF6679" w:rsidRDefault="00BB138C" w:rsidP="00820288">
            <w:pPr>
              <w:spacing w:line="240" w:lineRule="auto"/>
              <w:jc w:val="right"/>
              <w:rPr>
                <w:rFonts w:ascii="Times New Roman" w:hAnsi="Times New Roman" w:cs="Times New Roman"/>
                <w:color w:val="000000" w:themeColor="text1"/>
                <w:sz w:val="16"/>
                <w:szCs w:val="16"/>
              </w:rPr>
            </w:pPr>
            <w:r w:rsidRPr="00EF6679">
              <w:rPr>
                <w:rFonts w:ascii="Times New Roman" w:hAnsi="Times New Roman" w:cs="Times New Roman"/>
                <w:color w:val="000000" w:themeColor="text1"/>
                <w:sz w:val="16"/>
                <w:szCs w:val="16"/>
              </w:rPr>
              <w:t>0.304</w:t>
            </w:r>
          </w:p>
        </w:tc>
        <w:tc>
          <w:tcPr>
            <w:tcW w:w="576" w:type="dxa"/>
            <w:noWrap/>
            <w:vAlign w:val="bottom"/>
            <w:hideMark/>
          </w:tcPr>
          <w:p w14:paraId="401705FF" w14:textId="77777777" w:rsidR="00BB138C" w:rsidRPr="00EF6679" w:rsidRDefault="00BB138C" w:rsidP="00820288">
            <w:pPr>
              <w:spacing w:line="240" w:lineRule="auto"/>
              <w:rPr>
                <w:rFonts w:ascii="Times New Roman" w:hAnsi="Times New Roman" w:cs="Times New Roman"/>
                <w:color w:val="000000" w:themeColor="text1"/>
                <w:sz w:val="16"/>
                <w:szCs w:val="16"/>
                <w:vertAlign w:val="superscript"/>
              </w:rPr>
            </w:pPr>
            <w:r w:rsidRPr="00EF6679">
              <w:rPr>
                <w:rFonts w:ascii="Times New Roman" w:hAnsi="Times New Roman" w:cs="Times New Roman"/>
                <w:color w:val="000000" w:themeColor="text1"/>
                <w:sz w:val="16"/>
                <w:szCs w:val="16"/>
                <w:vertAlign w:val="superscript"/>
              </w:rPr>
              <w:t xml:space="preserve">a </w:t>
            </w:r>
          </w:p>
        </w:tc>
        <w:tc>
          <w:tcPr>
            <w:tcW w:w="576" w:type="dxa"/>
            <w:noWrap/>
            <w:vAlign w:val="bottom"/>
            <w:hideMark/>
          </w:tcPr>
          <w:p w14:paraId="4E4DDF14" w14:textId="77777777" w:rsidR="00BB138C" w:rsidRPr="00EF6679" w:rsidRDefault="00BB138C" w:rsidP="00820288">
            <w:pPr>
              <w:spacing w:line="240" w:lineRule="auto"/>
              <w:jc w:val="right"/>
              <w:rPr>
                <w:rFonts w:ascii="Times New Roman" w:hAnsi="Times New Roman" w:cs="Times New Roman"/>
                <w:color w:val="000000" w:themeColor="text1"/>
                <w:sz w:val="16"/>
                <w:szCs w:val="16"/>
              </w:rPr>
            </w:pPr>
            <w:r w:rsidRPr="00EF6679">
              <w:rPr>
                <w:rFonts w:ascii="Times New Roman" w:hAnsi="Times New Roman" w:cs="Times New Roman"/>
                <w:color w:val="000000" w:themeColor="text1"/>
                <w:sz w:val="16"/>
                <w:szCs w:val="16"/>
              </w:rPr>
              <w:t>0.303</w:t>
            </w:r>
          </w:p>
        </w:tc>
        <w:tc>
          <w:tcPr>
            <w:tcW w:w="576" w:type="dxa"/>
            <w:noWrap/>
            <w:vAlign w:val="bottom"/>
            <w:hideMark/>
          </w:tcPr>
          <w:p w14:paraId="1C73DB22" w14:textId="77777777" w:rsidR="00BB138C" w:rsidRPr="00EF6679" w:rsidRDefault="00BB138C" w:rsidP="00820288">
            <w:pPr>
              <w:spacing w:line="240" w:lineRule="auto"/>
              <w:rPr>
                <w:rFonts w:ascii="Times New Roman" w:hAnsi="Times New Roman" w:cs="Times New Roman"/>
                <w:color w:val="000000" w:themeColor="text1"/>
                <w:sz w:val="16"/>
                <w:szCs w:val="16"/>
                <w:vertAlign w:val="superscript"/>
              </w:rPr>
            </w:pPr>
            <w:r w:rsidRPr="00EF6679">
              <w:rPr>
                <w:rFonts w:ascii="Times New Roman" w:hAnsi="Times New Roman" w:cs="Times New Roman"/>
                <w:color w:val="000000" w:themeColor="text1"/>
                <w:sz w:val="16"/>
                <w:szCs w:val="16"/>
                <w:vertAlign w:val="superscript"/>
              </w:rPr>
              <w:t xml:space="preserve">a </w:t>
            </w:r>
          </w:p>
        </w:tc>
        <w:tc>
          <w:tcPr>
            <w:tcW w:w="576" w:type="dxa"/>
            <w:noWrap/>
            <w:vAlign w:val="bottom"/>
            <w:hideMark/>
          </w:tcPr>
          <w:p w14:paraId="23AA6B2A" w14:textId="77777777" w:rsidR="00BB138C" w:rsidRPr="00EF6679" w:rsidRDefault="00BB138C" w:rsidP="00820288">
            <w:pPr>
              <w:spacing w:line="240" w:lineRule="auto"/>
              <w:jc w:val="right"/>
              <w:rPr>
                <w:rFonts w:ascii="Times New Roman" w:hAnsi="Times New Roman" w:cs="Times New Roman"/>
                <w:color w:val="000000" w:themeColor="text1"/>
                <w:sz w:val="16"/>
                <w:szCs w:val="16"/>
              </w:rPr>
            </w:pPr>
            <w:r w:rsidRPr="00EF6679">
              <w:rPr>
                <w:rFonts w:ascii="Times New Roman" w:hAnsi="Times New Roman" w:cs="Times New Roman"/>
                <w:color w:val="000000" w:themeColor="text1"/>
                <w:sz w:val="16"/>
                <w:szCs w:val="16"/>
              </w:rPr>
              <w:t>n.d.</w:t>
            </w:r>
          </w:p>
        </w:tc>
        <w:tc>
          <w:tcPr>
            <w:tcW w:w="576" w:type="dxa"/>
            <w:noWrap/>
            <w:vAlign w:val="bottom"/>
            <w:hideMark/>
          </w:tcPr>
          <w:p w14:paraId="5BDDEC7E" w14:textId="77777777" w:rsidR="00BB138C" w:rsidRPr="00EF6679" w:rsidRDefault="00BB138C" w:rsidP="00820288">
            <w:pPr>
              <w:spacing w:line="240" w:lineRule="auto"/>
              <w:rPr>
                <w:rFonts w:ascii="Times New Roman" w:hAnsi="Times New Roman" w:cs="Times New Roman"/>
                <w:color w:val="000000" w:themeColor="text1"/>
                <w:sz w:val="16"/>
                <w:szCs w:val="16"/>
                <w:vertAlign w:val="superscript"/>
              </w:rPr>
            </w:pPr>
            <w:r w:rsidRPr="00EF6679">
              <w:rPr>
                <w:rFonts w:ascii="Times New Roman" w:hAnsi="Times New Roman" w:cs="Times New Roman"/>
                <w:color w:val="000000" w:themeColor="text1"/>
                <w:sz w:val="16"/>
                <w:szCs w:val="16"/>
                <w:vertAlign w:val="superscript"/>
              </w:rPr>
              <w:t xml:space="preserve">a </w:t>
            </w:r>
          </w:p>
        </w:tc>
        <w:tc>
          <w:tcPr>
            <w:tcW w:w="576" w:type="dxa"/>
            <w:noWrap/>
            <w:vAlign w:val="bottom"/>
            <w:hideMark/>
          </w:tcPr>
          <w:p w14:paraId="6BC68D7D" w14:textId="77777777" w:rsidR="00BB138C" w:rsidRPr="00EF6679" w:rsidRDefault="00BB138C" w:rsidP="00820288">
            <w:pPr>
              <w:spacing w:line="240" w:lineRule="auto"/>
              <w:jc w:val="right"/>
              <w:rPr>
                <w:rFonts w:ascii="Times New Roman" w:hAnsi="Times New Roman" w:cs="Times New Roman"/>
                <w:color w:val="000000" w:themeColor="text1"/>
                <w:sz w:val="16"/>
                <w:szCs w:val="16"/>
              </w:rPr>
            </w:pPr>
            <w:r w:rsidRPr="00EF6679">
              <w:rPr>
                <w:rFonts w:ascii="Times New Roman" w:hAnsi="Times New Roman" w:cs="Times New Roman"/>
                <w:color w:val="000000" w:themeColor="text1"/>
                <w:sz w:val="16"/>
                <w:szCs w:val="16"/>
              </w:rPr>
              <w:t>n.d.</w:t>
            </w:r>
          </w:p>
        </w:tc>
        <w:tc>
          <w:tcPr>
            <w:tcW w:w="576" w:type="dxa"/>
            <w:noWrap/>
            <w:vAlign w:val="bottom"/>
            <w:hideMark/>
          </w:tcPr>
          <w:p w14:paraId="3B2EEDF2" w14:textId="77777777" w:rsidR="00BB138C" w:rsidRPr="00EF6679" w:rsidRDefault="00BB138C" w:rsidP="00820288">
            <w:pPr>
              <w:spacing w:line="240" w:lineRule="auto"/>
              <w:rPr>
                <w:rFonts w:ascii="Times New Roman" w:hAnsi="Times New Roman" w:cs="Times New Roman"/>
                <w:color w:val="000000" w:themeColor="text1"/>
                <w:sz w:val="16"/>
                <w:szCs w:val="16"/>
                <w:vertAlign w:val="superscript"/>
              </w:rPr>
            </w:pPr>
            <w:r w:rsidRPr="00EF6679">
              <w:rPr>
                <w:rFonts w:ascii="Times New Roman" w:hAnsi="Times New Roman" w:cs="Times New Roman"/>
                <w:color w:val="000000" w:themeColor="text1"/>
                <w:sz w:val="16"/>
                <w:szCs w:val="16"/>
                <w:vertAlign w:val="superscript"/>
              </w:rPr>
              <w:t xml:space="preserve">a </w:t>
            </w:r>
          </w:p>
        </w:tc>
      </w:tr>
      <w:tr w:rsidR="00BB138C" w:rsidRPr="00EF6679" w14:paraId="42AE11B0" w14:textId="77777777" w:rsidTr="00820288">
        <w:trPr>
          <w:trHeight w:val="173"/>
        </w:trPr>
        <w:tc>
          <w:tcPr>
            <w:tcW w:w="2880" w:type="dxa"/>
            <w:noWrap/>
            <w:vAlign w:val="bottom"/>
          </w:tcPr>
          <w:p w14:paraId="33F8749E" w14:textId="77777777" w:rsidR="00BB138C" w:rsidRPr="00EF6679" w:rsidRDefault="00BB138C" w:rsidP="00820288">
            <w:pPr>
              <w:spacing w:line="240" w:lineRule="auto"/>
              <w:rPr>
                <w:rFonts w:ascii="Times New Roman" w:hAnsi="Times New Roman" w:cs="Times New Roman"/>
                <w:color w:val="000000" w:themeColor="text1"/>
                <w:sz w:val="16"/>
                <w:szCs w:val="16"/>
              </w:rPr>
            </w:pPr>
            <w:r w:rsidRPr="00EF6679">
              <w:rPr>
                <w:rFonts w:ascii="Times New Roman" w:hAnsi="Times New Roman" w:cs="Times New Roman"/>
                <w:color w:val="000000" w:themeColor="text1"/>
                <w:sz w:val="16"/>
                <w:szCs w:val="16"/>
              </w:rPr>
              <w:t xml:space="preserve">Humulene               </w:t>
            </w:r>
          </w:p>
        </w:tc>
        <w:tc>
          <w:tcPr>
            <w:tcW w:w="576" w:type="dxa"/>
            <w:noWrap/>
            <w:vAlign w:val="bottom"/>
          </w:tcPr>
          <w:p w14:paraId="5D9E9C66" w14:textId="77777777" w:rsidR="00BB138C" w:rsidRPr="00EF6679" w:rsidRDefault="00BB138C" w:rsidP="00820288">
            <w:pPr>
              <w:spacing w:line="240" w:lineRule="auto"/>
              <w:jc w:val="right"/>
              <w:rPr>
                <w:rFonts w:ascii="Times New Roman" w:hAnsi="Times New Roman" w:cs="Times New Roman"/>
                <w:color w:val="000000" w:themeColor="text1"/>
                <w:sz w:val="16"/>
                <w:szCs w:val="16"/>
              </w:rPr>
            </w:pPr>
            <w:r w:rsidRPr="00EF6679">
              <w:rPr>
                <w:rFonts w:ascii="Times New Roman" w:hAnsi="Times New Roman" w:cs="Times New Roman"/>
                <w:color w:val="000000" w:themeColor="text1"/>
                <w:sz w:val="16"/>
                <w:szCs w:val="16"/>
              </w:rPr>
              <w:t>n.d.</w:t>
            </w:r>
          </w:p>
        </w:tc>
        <w:tc>
          <w:tcPr>
            <w:tcW w:w="576" w:type="dxa"/>
            <w:noWrap/>
            <w:vAlign w:val="bottom"/>
          </w:tcPr>
          <w:p w14:paraId="28E2EE71" w14:textId="77777777" w:rsidR="00BB138C" w:rsidRPr="00EF6679" w:rsidRDefault="00BB138C" w:rsidP="00820288">
            <w:pPr>
              <w:spacing w:line="240" w:lineRule="auto"/>
              <w:rPr>
                <w:rFonts w:ascii="Times New Roman" w:hAnsi="Times New Roman" w:cs="Times New Roman"/>
                <w:color w:val="000000" w:themeColor="text1"/>
                <w:sz w:val="16"/>
                <w:szCs w:val="16"/>
                <w:vertAlign w:val="superscript"/>
              </w:rPr>
            </w:pPr>
            <w:r w:rsidRPr="00EF6679">
              <w:rPr>
                <w:rFonts w:ascii="Times New Roman" w:hAnsi="Times New Roman" w:cs="Times New Roman"/>
                <w:color w:val="000000" w:themeColor="text1"/>
                <w:sz w:val="16"/>
                <w:szCs w:val="16"/>
                <w:vertAlign w:val="superscript"/>
              </w:rPr>
              <w:t xml:space="preserve">a </w:t>
            </w:r>
          </w:p>
        </w:tc>
        <w:tc>
          <w:tcPr>
            <w:tcW w:w="576" w:type="dxa"/>
            <w:noWrap/>
            <w:vAlign w:val="bottom"/>
          </w:tcPr>
          <w:p w14:paraId="24E2226B" w14:textId="77777777" w:rsidR="00BB138C" w:rsidRPr="00EF6679" w:rsidRDefault="00BB138C" w:rsidP="00820288">
            <w:pPr>
              <w:spacing w:line="240" w:lineRule="auto"/>
              <w:jc w:val="right"/>
              <w:rPr>
                <w:rFonts w:ascii="Times New Roman" w:hAnsi="Times New Roman" w:cs="Times New Roman"/>
                <w:color w:val="000000" w:themeColor="text1"/>
                <w:sz w:val="16"/>
                <w:szCs w:val="16"/>
              </w:rPr>
            </w:pPr>
            <w:r w:rsidRPr="00EF6679">
              <w:rPr>
                <w:rFonts w:ascii="Times New Roman" w:hAnsi="Times New Roman" w:cs="Times New Roman"/>
                <w:color w:val="000000" w:themeColor="text1"/>
                <w:sz w:val="16"/>
                <w:szCs w:val="16"/>
              </w:rPr>
              <w:t>n.d.</w:t>
            </w:r>
          </w:p>
        </w:tc>
        <w:tc>
          <w:tcPr>
            <w:tcW w:w="576" w:type="dxa"/>
            <w:noWrap/>
            <w:vAlign w:val="bottom"/>
          </w:tcPr>
          <w:p w14:paraId="124F33A6" w14:textId="77777777" w:rsidR="00BB138C" w:rsidRPr="00EF6679" w:rsidRDefault="00BB138C" w:rsidP="00820288">
            <w:pPr>
              <w:spacing w:line="240" w:lineRule="auto"/>
              <w:rPr>
                <w:rFonts w:ascii="Times New Roman" w:hAnsi="Times New Roman" w:cs="Times New Roman"/>
                <w:color w:val="000000" w:themeColor="text1"/>
                <w:sz w:val="16"/>
                <w:szCs w:val="16"/>
                <w:vertAlign w:val="superscript"/>
              </w:rPr>
            </w:pPr>
            <w:r w:rsidRPr="00EF6679">
              <w:rPr>
                <w:rFonts w:ascii="Times New Roman" w:hAnsi="Times New Roman" w:cs="Times New Roman"/>
                <w:color w:val="000000" w:themeColor="text1"/>
                <w:sz w:val="16"/>
                <w:szCs w:val="16"/>
                <w:vertAlign w:val="superscript"/>
              </w:rPr>
              <w:t xml:space="preserve">a </w:t>
            </w:r>
          </w:p>
        </w:tc>
        <w:tc>
          <w:tcPr>
            <w:tcW w:w="576" w:type="dxa"/>
            <w:noWrap/>
            <w:vAlign w:val="bottom"/>
          </w:tcPr>
          <w:p w14:paraId="037D1371" w14:textId="77777777" w:rsidR="00BB138C" w:rsidRPr="00EF6679" w:rsidRDefault="00BB138C" w:rsidP="00820288">
            <w:pPr>
              <w:spacing w:line="240" w:lineRule="auto"/>
              <w:jc w:val="right"/>
              <w:rPr>
                <w:rFonts w:ascii="Times New Roman" w:hAnsi="Times New Roman" w:cs="Times New Roman"/>
                <w:color w:val="000000" w:themeColor="text1"/>
                <w:sz w:val="16"/>
                <w:szCs w:val="16"/>
              </w:rPr>
            </w:pPr>
            <w:r w:rsidRPr="00EF6679">
              <w:rPr>
                <w:rFonts w:ascii="Times New Roman" w:hAnsi="Times New Roman" w:cs="Times New Roman"/>
                <w:color w:val="000000" w:themeColor="text1"/>
                <w:sz w:val="16"/>
                <w:szCs w:val="16"/>
              </w:rPr>
              <w:t>n.d.</w:t>
            </w:r>
          </w:p>
        </w:tc>
        <w:tc>
          <w:tcPr>
            <w:tcW w:w="576" w:type="dxa"/>
            <w:noWrap/>
            <w:vAlign w:val="bottom"/>
          </w:tcPr>
          <w:p w14:paraId="705F8900" w14:textId="77777777" w:rsidR="00BB138C" w:rsidRPr="00EF6679" w:rsidRDefault="00BB138C" w:rsidP="00820288">
            <w:pPr>
              <w:spacing w:line="240" w:lineRule="auto"/>
              <w:rPr>
                <w:rFonts w:ascii="Times New Roman" w:hAnsi="Times New Roman" w:cs="Times New Roman"/>
                <w:color w:val="000000" w:themeColor="text1"/>
                <w:sz w:val="16"/>
                <w:szCs w:val="16"/>
                <w:vertAlign w:val="superscript"/>
              </w:rPr>
            </w:pPr>
            <w:r w:rsidRPr="00EF6679">
              <w:rPr>
                <w:rFonts w:ascii="Times New Roman" w:hAnsi="Times New Roman" w:cs="Times New Roman"/>
                <w:color w:val="000000" w:themeColor="text1"/>
                <w:sz w:val="16"/>
                <w:szCs w:val="16"/>
                <w:vertAlign w:val="superscript"/>
              </w:rPr>
              <w:t xml:space="preserve">a </w:t>
            </w:r>
          </w:p>
        </w:tc>
        <w:tc>
          <w:tcPr>
            <w:tcW w:w="576" w:type="dxa"/>
            <w:noWrap/>
            <w:vAlign w:val="bottom"/>
          </w:tcPr>
          <w:p w14:paraId="1C17B29F" w14:textId="77777777" w:rsidR="00BB138C" w:rsidRPr="00EF6679" w:rsidRDefault="00BB138C" w:rsidP="00820288">
            <w:pPr>
              <w:spacing w:line="240" w:lineRule="auto"/>
              <w:jc w:val="right"/>
              <w:rPr>
                <w:rFonts w:ascii="Times New Roman" w:hAnsi="Times New Roman" w:cs="Times New Roman"/>
                <w:color w:val="000000" w:themeColor="text1"/>
                <w:sz w:val="16"/>
                <w:szCs w:val="16"/>
              </w:rPr>
            </w:pPr>
            <w:r w:rsidRPr="00EF6679">
              <w:rPr>
                <w:rFonts w:ascii="Times New Roman" w:hAnsi="Times New Roman" w:cs="Times New Roman"/>
                <w:color w:val="000000" w:themeColor="text1"/>
                <w:sz w:val="16"/>
                <w:szCs w:val="16"/>
              </w:rPr>
              <w:t>n.d.</w:t>
            </w:r>
          </w:p>
        </w:tc>
        <w:tc>
          <w:tcPr>
            <w:tcW w:w="576" w:type="dxa"/>
            <w:noWrap/>
            <w:vAlign w:val="bottom"/>
          </w:tcPr>
          <w:p w14:paraId="542C4DB6" w14:textId="77777777" w:rsidR="00BB138C" w:rsidRPr="00EF6679" w:rsidRDefault="00BB138C" w:rsidP="00820288">
            <w:pPr>
              <w:spacing w:line="240" w:lineRule="auto"/>
              <w:rPr>
                <w:rFonts w:ascii="Times New Roman" w:hAnsi="Times New Roman" w:cs="Times New Roman"/>
                <w:color w:val="000000" w:themeColor="text1"/>
                <w:sz w:val="16"/>
                <w:szCs w:val="16"/>
                <w:vertAlign w:val="superscript"/>
              </w:rPr>
            </w:pPr>
            <w:r w:rsidRPr="00EF6679">
              <w:rPr>
                <w:rFonts w:ascii="Times New Roman" w:hAnsi="Times New Roman" w:cs="Times New Roman"/>
                <w:color w:val="000000" w:themeColor="text1"/>
                <w:sz w:val="16"/>
                <w:szCs w:val="16"/>
                <w:vertAlign w:val="superscript"/>
              </w:rPr>
              <w:t xml:space="preserve">a </w:t>
            </w:r>
          </w:p>
        </w:tc>
      </w:tr>
      <w:tr w:rsidR="00BB138C" w:rsidRPr="00EF6679" w14:paraId="228BE28B" w14:textId="77777777" w:rsidTr="00820288">
        <w:trPr>
          <w:trHeight w:val="173"/>
        </w:trPr>
        <w:tc>
          <w:tcPr>
            <w:tcW w:w="2880" w:type="dxa"/>
            <w:tcBorders>
              <w:bottom w:val="single" w:sz="4" w:space="0" w:color="auto"/>
            </w:tcBorders>
            <w:noWrap/>
            <w:vAlign w:val="bottom"/>
          </w:tcPr>
          <w:p w14:paraId="2AE96D39" w14:textId="77777777" w:rsidR="00BB138C" w:rsidRPr="00EF6679" w:rsidRDefault="00BB138C" w:rsidP="00820288">
            <w:pPr>
              <w:spacing w:line="240" w:lineRule="auto"/>
              <w:rPr>
                <w:rFonts w:ascii="Times New Roman" w:hAnsi="Times New Roman" w:cs="Times New Roman"/>
                <w:color w:val="000000" w:themeColor="text1"/>
                <w:sz w:val="16"/>
                <w:szCs w:val="16"/>
              </w:rPr>
            </w:pPr>
            <w:r w:rsidRPr="00EF6679">
              <w:rPr>
                <w:rFonts w:ascii="Times New Roman" w:hAnsi="Times New Roman" w:cs="Times New Roman"/>
                <w:color w:val="000000" w:themeColor="text1"/>
                <w:sz w:val="16"/>
                <w:szCs w:val="16"/>
              </w:rPr>
              <w:t xml:space="preserve">1,4-Heptadiene           </w:t>
            </w:r>
          </w:p>
        </w:tc>
        <w:tc>
          <w:tcPr>
            <w:tcW w:w="576" w:type="dxa"/>
            <w:tcBorders>
              <w:bottom w:val="single" w:sz="4" w:space="0" w:color="auto"/>
            </w:tcBorders>
            <w:noWrap/>
            <w:vAlign w:val="bottom"/>
          </w:tcPr>
          <w:p w14:paraId="580FE6D7" w14:textId="77777777" w:rsidR="00BB138C" w:rsidRPr="00EF6679" w:rsidRDefault="00BB138C" w:rsidP="00820288">
            <w:pPr>
              <w:spacing w:line="240" w:lineRule="auto"/>
              <w:jc w:val="right"/>
              <w:rPr>
                <w:rFonts w:ascii="Times New Roman" w:hAnsi="Times New Roman" w:cs="Times New Roman"/>
                <w:color w:val="000000" w:themeColor="text1"/>
                <w:sz w:val="16"/>
                <w:szCs w:val="16"/>
              </w:rPr>
            </w:pPr>
            <w:r w:rsidRPr="00EF6679">
              <w:rPr>
                <w:rFonts w:ascii="Times New Roman" w:hAnsi="Times New Roman" w:cs="Times New Roman"/>
                <w:color w:val="000000" w:themeColor="text1"/>
                <w:sz w:val="16"/>
                <w:szCs w:val="16"/>
              </w:rPr>
              <w:t>n.d.</w:t>
            </w:r>
          </w:p>
        </w:tc>
        <w:tc>
          <w:tcPr>
            <w:tcW w:w="576" w:type="dxa"/>
            <w:tcBorders>
              <w:bottom w:val="single" w:sz="4" w:space="0" w:color="auto"/>
            </w:tcBorders>
            <w:noWrap/>
            <w:vAlign w:val="bottom"/>
          </w:tcPr>
          <w:p w14:paraId="7517BCB7" w14:textId="77777777" w:rsidR="00BB138C" w:rsidRPr="00EF6679" w:rsidRDefault="00BB138C" w:rsidP="00820288">
            <w:pPr>
              <w:spacing w:line="240" w:lineRule="auto"/>
              <w:rPr>
                <w:rFonts w:ascii="Times New Roman" w:hAnsi="Times New Roman" w:cs="Times New Roman"/>
                <w:color w:val="000000" w:themeColor="text1"/>
                <w:sz w:val="16"/>
                <w:szCs w:val="16"/>
                <w:vertAlign w:val="superscript"/>
              </w:rPr>
            </w:pPr>
            <w:r w:rsidRPr="00EF6679">
              <w:rPr>
                <w:rFonts w:ascii="Times New Roman" w:hAnsi="Times New Roman" w:cs="Times New Roman"/>
                <w:color w:val="000000" w:themeColor="text1"/>
                <w:sz w:val="16"/>
                <w:szCs w:val="16"/>
                <w:vertAlign w:val="superscript"/>
              </w:rPr>
              <w:t xml:space="preserve">a </w:t>
            </w:r>
          </w:p>
        </w:tc>
        <w:tc>
          <w:tcPr>
            <w:tcW w:w="576" w:type="dxa"/>
            <w:tcBorders>
              <w:bottom w:val="single" w:sz="4" w:space="0" w:color="auto"/>
            </w:tcBorders>
            <w:noWrap/>
            <w:vAlign w:val="bottom"/>
          </w:tcPr>
          <w:p w14:paraId="2AAFA6ED" w14:textId="77777777" w:rsidR="00BB138C" w:rsidRPr="00EF6679" w:rsidRDefault="00BB138C" w:rsidP="00820288">
            <w:pPr>
              <w:spacing w:line="240" w:lineRule="auto"/>
              <w:jc w:val="right"/>
              <w:rPr>
                <w:rFonts w:ascii="Times New Roman" w:hAnsi="Times New Roman" w:cs="Times New Roman"/>
                <w:color w:val="000000" w:themeColor="text1"/>
                <w:sz w:val="16"/>
                <w:szCs w:val="16"/>
              </w:rPr>
            </w:pPr>
            <w:r w:rsidRPr="00EF6679">
              <w:rPr>
                <w:rFonts w:ascii="Times New Roman" w:hAnsi="Times New Roman" w:cs="Times New Roman"/>
                <w:color w:val="000000" w:themeColor="text1"/>
                <w:sz w:val="16"/>
                <w:szCs w:val="16"/>
              </w:rPr>
              <w:t>0.081</w:t>
            </w:r>
          </w:p>
        </w:tc>
        <w:tc>
          <w:tcPr>
            <w:tcW w:w="576" w:type="dxa"/>
            <w:tcBorders>
              <w:bottom w:val="single" w:sz="4" w:space="0" w:color="auto"/>
            </w:tcBorders>
            <w:noWrap/>
            <w:vAlign w:val="bottom"/>
          </w:tcPr>
          <w:p w14:paraId="2FA3A20C" w14:textId="77777777" w:rsidR="00BB138C" w:rsidRPr="00EF6679" w:rsidRDefault="00BB138C" w:rsidP="00820288">
            <w:pPr>
              <w:spacing w:line="240" w:lineRule="auto"/>
              <w:rPr>
                <w:rFonts w:ascii="Times New Roman" w:hAnsi="Times New Roman" w:cs="Times New Roman"/>
                <w:color w:val="000000" w:themeColor="text1"/>
                <w:sz w:val="16"/>
                <w:szCs w:val="16"/>
                <w:vertAlign w:val="superscript"/>
              </w:rPr>
            </w:pPr>
            <w:r w:rsidRPr="00EF6679">
              <w:rPr>
                <w:rFonts w:ascii="Times New Roman" w:hAnsi="Times New Roman" w:cs="Times New Roman"/>
                <w:color w:val="000000" w:themeColor="text1"/>
                <w:sz w:val="16"/>
                <w:szCs w:val="16"/>
                <w:vertAlign w:val="superscript"/>
              </w:rPr>
              <w:t xml:space="preserve">a </w:t>
            </w:r>
          </w:p>
        </w:tc>
        <w:tc>
          <w:tcPr>
            <w:tcW w:w="576" w:type="dxa"/>
            <w:tcBorders>
              <w:bottom w:val="single" w:sz="4" w:space="0" w:color="auto"/>
            </w:tcBorders>
            <w:noWrap/>
            <w:vAlign w:val="bottom"/>
          </w:tcPr>
          <w:p w14:paraId="338C78EE" w14:textId="77777777" w:rsidR="00BB138C" w:rsidRPr="00EF6679" w:rsidRDefault="00BB138C" w:rsidP="00820288">
            <w:pPr>
              <w:spacing w:line="240" w:lineRule="auto"/>
              <w:jc w:val="right"/>
              <w:rPr>
                <w:rFonts w:ascii="Times New Roman" w:hAnsi="Times New Roman" w:cs="Times New Roman"/>
                <w:color w:val="000000" w:themeColor="text1"/>
                <w:sz w:val="16"/>
                <w:szCs w:val="16"/>
              </w:rPr>
            </w:pPr>
            <w:r w:rsidRPr="00EF6679">
              <w:rPr>
                <w:rFonts w:ascii="Times New Roman" w:hAnsi="Times New Roman" w:cs="Times New Roman"/>
                <w:color w:val="000000" w:themeColor="text1"/>
                <w:sz w:val="16"/>
                <w:szCs w:val="16"/>
              </w:rPr>
              <w:t>0.045</w:t>
            </w:r>
          </w:p>
        </w:tc>
        <w:tc>
          <w:tcPr>
            <w:tcW w:w="576" w:type="dxa"/>
            <w:tcBorders>
              <w:bottom w:val="single" w:sz="4" w:space="0" w:color="auto"/>
            </w:tcBorders>
            <w:noWrap/>
            <w:vAlign w:val="bottom"/>
          </w:tcPr>
          <w:p w14:paraId="2F0822BF" w14:textId="77777777" w:rsidR="00BB138C" w:rsidRPr="00EF6679" w:rsidRDefault="00BB138C" w:rsidP="00820288">
            <w:pPr>
              <w:spacing w:line="240" w:lineRule="auto"/>
              <w:rPr>
                <w:rFonts w:ascii="Times New Roman" w:hAnsi="Times New Roman" w:cs="Times New Roman"/>
                <w:color w:val="000000" w:themeColor="text1"/>
                <w:sz w:val="16"/>
                <w:szCs w:val="16"/>
                <w:vertAlign w:val="superscript"/>
              </w:rPr>
            </w:pPr>
            <w:r w:rsidRPr="00EF6679">
              <w:rPr>
                <w:rFonts w:ascii="Times New Roman" w:hAnsi="Times New Roman" w:cs="Times New Roman"/>
                <w:color w:val="000000" w:themeColor="text1"/>
                <w:sz w:val="16"/>
                <w:szCs w:val="16"/>
                <w:vertAlign w:val="superscript"/>
              </w:rPr>
              <w:t xml:space="preserve">a </w:t>
            </w:r>
          </w:p>
        </w:tc>
        <w:tc>
          <w:tcPr>
            <w:tcW w:w="576" w:type="dxa"/>
            <w:tcBorders>
              <w:bottom w:val="single" w:sz="4" w:space="0" w:color="auto"/>
            </w:tcBorders>
            <w:noWrap/>
            <w:vAlign w:val="bottom"/>
          </w:tcPr>
          <w:p w14:paraId="6629BC85" w14:textId="77777777" w:rsidR="00BB138C" w:rsidRPr="00EF6679" w:rsidRDefault="00BB138C" w:rsidP="00820288">
            <w:pPr>
              <w:spacing w:line="240" w:lineRule="auto"/>
              <w:jc w:val="right"/>
              <w:rPr>
                <w:rFonts w:ascii="Times New Roman" w:hAnsi="Times New Roman" w:cs="Times New Roman"/>
                <w:color w:val="000000" w:themeColor="text1"/>
                <w:sz w:val="16"/>
                <w:szCs w:val="16"/>
              </w:rPr>
            </w:pPr>
            <w:r w:rsidRPr="00EF6679">
              <w:rPr>
                <w:rFonts w:ascii="Times New Roman" w:hAnsi="Times New Roman" w:cs="Times New Roman"/>
                <w:color w:val="000000" w:themeColor="text1"/>
                <w:sz w:val="16"/>
                <w:szCs w:val="16"/>
              </w:rPr>
              <w:t>0.126</w:t>
            </w:r>
          </w:p>
        </w:tc>
        <w:tc>
          <w:tcPr>
            <w:tcW w:w="576" w:type="dxa"/>
            <w:tcBorders>
              <w:bottom w:val="single" w:sz="4" w:space="0" w:color="auto"/>
            </w:tcBorders>
            <w:noWrap/>
            <w:vAlign w:val="bottom"/>
          </w:tcPr>
          <w:p w14:paraId="6A3230ED" w14:textId="77777777" w:rsidR="00BB138C" w:rsidRPr="00EF6679" w:rsidRDefault="00BB138C" w:rsidP="00820288">
            <w:pPr>
              <w:spacing w:line="240" w:lineRule="auto"/>
              <w:rPr>
                <w:rFonts w:ascii="Times New Roman" w:hAnsi="Times New Roman" w:cs="Times New Roman"/>
                <w:color w:val="000000" w:themeColor="text1"/>
                <w:sz w:val="16"/>
                <w:szCs w:val="16"/>
                <w:vertAlign w:val="superscript"/>
              </w:rPr>
            </w:pPr>
            <w:r w:rsidRPr="00EF6679">
              <w:rPr>
                <w:rFonts w:ascii="Times New Roman" w:hAnsi="Times New Roman" w:cs="Times New Roman"/>
                <w:color w:val="000000" w:themeColor="text1"/>
                <w:sz w:val="16"/>
                <w:szCs w:val="16"/>
                <w:vertAlign w:val="superscript"/>
              </w:rPr>
              <w:t xml:space="preserve">a </w:t>
            </w:r>
          </w:p>
        </w:tc>
      </w:tr>
    </w:tbl>
    <w:p w14:paraId="78572E3E" w14:textId="42D432D3" w:rsidR="00BB138C" w:rsidRPr="00EF6679" w:rsidRDefault="00BB138C" w:rsidP="00EF6679">
      <w:pPr>
        <w:spacing w:line="240" w:lineRule="auto"/>
        <w:ind w:right="2160"/>
        <w:jc w:val="both"/>
        <w:rPr>
          <w:rFonts w:cs="Times New Roman"/>
          <w:color w:val="000000" w:themeColor="text1"/>
          <w:sz w:val="13"/>
          <w:szCs w:val="13"/>
        </w:rPr>
      </w:pPr>
      <w:r w:rsidRPr="00EF6679">
        <w:rPr>
          <w:rFonts w:cs="Times New Roman"/>
          <w:color w:val="000000" w:themeColor="text1"/>
          <w:sz w:val="13"/>
          <w:szCs w:val="13"/>
        </w:rPr>
        <w:t>All concentrations are presented in micro molarity of analyte per gram of fresh mass (µM</w:t>
      </w:r>
      <w:r w:rsidRPr="00EF6679">
        <w:rPr>
          <w:rFonts w:cs="Times New Roman"/>
          <w:color w:val="000000" w:themeColor="text1"/>
          <w:sz w:val="13"/>
          <w:szCs w:val="13"/>
        </w:rPr>
        <w:sym w:font="Symbol" w:char="F0D7"/>
      </w:r>
      <w:r w:rsidRPr="00EF6679">
        <w:rPr>
          <w:rFonts w:cs="Times New Roman"/>
          <w:color w:val="000000" w:themeColor="text1"/>
          <w:sz w:val="13"/>
          <w:szCs w:val="13"/>
        </w:rPr>
        <w:t>g</w:t>
      </w:r>
      <w:r w:rsidRPr="00EF6679">
        <w:rPr>
          <w:rFonts w:cs="Times New Roman"/>
          <w:color w:val="000000" w:themeColor="text1"/>
          <w:sz w:val="13"/>
          <w:szCs w:val="13"/>
          <w:vertAlign w:val="superscript"/>
        </w:rPr>
        <w:t>-1</w:t>
      </w:r>
      <w:r w:rsidRPr="00EF6679">
        <w:rPr>
          <w:rFonts w:cs="Times New Roman"/>
          <w:color w:val="000000" w:themeColor="text1"/>
          <w:sz w:val="13"/>
          <w:szCs w:val="13"/>
        </w:rPr>
        <w:t xml:space="preserve"> FM). Mean values represent two plants per replication and ten replications per treatment. Values for each treatment are averaged across all four growing seasons. Compound means that were consistently below the instrument detection limit are denoted as n.d. (i.e., not detected). Values were analyzed using Tukey’s (protected) honest significant difference test. Data in the same row followed by the same letter are not significantly different (</w:t>
      </w:r>
      <w:r w:rsidRPr="00EF6679">
        <w:rPr>
          <w:rFonts w:cs="Times New Roman"/>
          <w:color w:val="000000" w:themeColor="text1"/>
          <w:sz w:val="15"/>
          <w:szCs w:val="15"/>
        </w:rPr>
        <w:t>α = 0.05)</w:t>
      </w:r>
      <w:r w:rsidRPr="00EF6679">
        <w:rPr>
          <w:rFonts w:cs="Times New Roman"/>
          <w:color w:val="000000" w:themeColor="text1"/>
          <w:sz w:val="13"/>
          <w:szCs w:val="13"/>
        </w:rPr>
        <w:t xml:space="preserve">. </w:t>
      </w:r>
    </w:p>
    <w:p w14:paraId="4395E90C" w14:textId="675CB28E" w:rsidR="00BB138C" w:rsidRPr="00EF6679" w:rsidRDefault="00BB138C" w:rsidP="00BB138C">
      <w:pPr>
        <w:pStyle w:val="TableTOC"/>
        <w:ind w:right="90"/>
        <w:jc w:val="both"/>
        <w:rPr>
          <w:rFonts w:cs="Times New Roman"/>
          <w:color w:val="000000" w:themeColor="text1"/>
          <w:sz w:val="14"/>
          <w:szCs w:val="14"/>
        </w:rPr>
      </w:pPr>
      <w:bookmarkStart w:id="712" w:name="_Toc141478791"/>
      <w:r w:rsidRPr="00EF6679">
        <w:rPr>
          <w:rFonts w:cs="Times New Roman"/>
          <w:b/>
          <w:bCs/>
          <w:color w:val="000000" w:themeColor="text1"/>
        </w:rPr>
        <w:lastRenderedPageBreak/>
        <w:t xml:space="preserve">Table </w:t>
      </w:r>
      <w:r w:rsidR="00BA2365" w:rsidRPr="00EF6679">
        <w:rPr>
          <w:rFonts w:cs="Times New Roman"/>
          <w:b/>
          <w:bCs/>
        </w:rPr>
        <w:t>5.</w:t>
      </w:r>
      <w:r w:rsidRPr="00EF6679">
        <w:rPr>
          <w:rFonts w:cs="Times New Roman"/>
          <w:b/>
          <w:bCs/>
          <w:color w:val="000000" w:themeColor="text1"/>
        </w:rPr>
        <w:t xml:space="preserve">7. </w:t>
      </w:r>
      <w:r w:rsidRPr="00EF6679">
        <w:rPr>
          <w:rFonts w:cs="Times New Roman"/>
          <w:color w:val="000000" w:themeColor="text1"/>
        </w:rPr>
        <w:t>Influence of light treatment on aroma volatile organic compound (VOC) total concentration and pertinent (VOC) ratios in hydroponically grown greenhouse sweet basil (</w:t>
      </w:r>
      <w:r w:rsidRPr="00EF6679">
        <w:rPr>
          <w:rFonts w:cs="Times New Roman"/>
          <w:i/>
          <w:iCs/>
          <w:color w:val="000000" w:themeColor="text1"/>
        </w:rPr>
        <w:t xml:space="preserve">Ocimum basilicum </w:t>
      </w:r>
      <w:r w:rsidRPr="00EF6679">
        <w:rPr>
          <w:rFonts w:cs="Times New Roman"/>
          <w:color w:val="000000" w:themeColor="text1"/>
        </w:rPr>
        <w:t>var. Genovese).</w:t>
      </w:r>
      <w:bookmarkEnd w:id="712"/>
    </w:p>
    <w:p w14:paraId="691A5A2F" w14:textId="77777777" w:rsidR="00BB138C" w:rsidRPr="00EF6679" w:rsidRDefault="00BB138C" w:rsidP="00BB138C">
      <w:pPr>
        <w:spacing w:line="240" w:lineRule="auto"/>
        <w:rPr>
          <w:rFonts w:cs="Times New Roman"/>
          <w:color w:val="000000" w:themeColor="text1"/>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14" w:type="dxa"/>
        </w:tblCellMar>
        <w:tblLook w:val="04A0" w:firstRow="1" w:lastRow="0" w:firstColumn="1" w:lastColumn="0" w:noHBand="0" w:noVBand="1"/>
      </w:tblPr>
      <w:tblGrid>
        <w:gridCol w:w="3583"/>
        <w:gridCol w:w="716"/>
        <w:gridCol w:w="717"/>
        <w:gridCol w:w="716"/>
        <w:gridCol w:w="717"/>
        <w:gridCol w:w="716"/>
        <w:gridCol w:w="717"/>
        <w:gridCol w:w="716"/>
        <w:gridCol w:w="718"/>
      </w:tblGrid>
      <w:tr w:rsidR="00BB138C" w:rsidRPr="00EF6679" w14:paraId="61183426" w14:textId="77777777" w:rsidTr="00820288">
        <w:trPr>
          <w:trHeight w:val="378"/>
        </w:trPr>
        <w:tc>
          <w:tcPr>
            <w:tcW w:w="3583" w:type="dxa"/>
            <w:tcBorders>
              <w:top w:val="single" w:sz="4" w:space="0" w:color="auto"/>
            </w:tcBorders>
            <w:noWrap/>
            <w:vAlign w:val="center"/>
          </w:tcPr>
          <w:p w14:paraId="33029B56" w14:textId="77777777" w:rsidR="00BB138C" w:rsidRPr="00EF6679" w:rsidRDefault="00BB138C" w:rsidP="00820288">
            <w:pPr>
              <w:spacing w:line="240" w:lineRule="auto"/>
              <w:rPr>
                <w:rFonts w:ascii="Times New Roman" w:hAnsi="Times New Roman" w:cs="Times New Roman"/>
                <w:color w:val="000000" w:themeColor="text1"/>
                <w:sz w:val="20"/>
                <w:szCs w:val="20"/>
              </w:rPr>
            </w:pPr>
          </w:p>
        </w:tc>
        <w:tc>
          <w:tcPr>
            <w:tcW w:w="5733" w:type="dxa"/>
            <w:gridSpan w:val="8"/>
            <w:tcBorders>
              <w:top w:val="single" w:sz="4" w:space="0" w:color="auto"/>
              <w:bottom w:val="single" w:sz="4" w:space="0" w:color="auto"/>
            </w:tcBorders>
            <w:noWrap/>
            <w:vAlign w:val="center"/>
          </w:tcPr>
          <w:p w14:paraId="060DF90E" w14:textId="77777777" w:rsidR="00BB138C" w:rsidRPr="00EF6679" w:rsidRDefault="00BB138C" w:rsidP="00820288">
            <w:pPr>
              <w:spacing w:line="240" w:lineRule="auto"/>
              <w:jc w:val="center"/>
              <w:rPr>
                <w:rFonts w:ascii="Times New Roman" w:hAnsi="Times New Roman" w:cs="Times New Roman"/>
                <w:b/>
                <w:bCs/>
                <w:color w:val="000000" w:themeColor="text1"/>
                <w:sz w:val="20"/>
                <w:szCs w:val="20"/>
              </w:rPr>
            </w:pPr>
            <w:r w:rsidRPr="00EF6679">
              <w:rPr>
                <w:rFonts w:ascii="Times New Roman" w:hAnsi="Times New Roman" w:cs="Times New Roman"/>
                <w:b/>
                <w:bCs/>
                <w:color w:val="000000" w:themeColor="text1"/>
                <w:sz w:val="20"/>
                <w:szCs w:val="20"/>
              </w:rPr>
              <w:t>Lighting Treatments</w:t>
            </w:r>
          </w:p>
        </w:tc>
      </w:tr>
      <w:tr w:rsidR="00BB138C" w:rsidRPr="00EF6679" w14:paraId="235CB425" w14:textId="77777777" w:rsidTr="00820288">
        <w:trPr>
          <w:trHeight w:val="378"/>
        </w:trPr>
        <w:tc>
          <w:tcPr>
            <w:tcW w:w="3583" w:type="dxa"/>
            <w:tcBorders>
              <w:bottom w:val="single" w:sz="4" w:space="0" w:color="auto"/>
            </w:tcBorders>
            <w:noWrap/>
            <w:vAlign w:val="center"/>
            <w:hideMark/>
          </w:tcPr>
          <w:p w14:paraId="78957A21" w14:textId="77777777" w:rsidR="00BB138C" w:rsidRPr="00EF6679" w:rsidRDefault="00BB138C" w:rsidP="00820288">
            <w:pPr>
              <w:spacing w:line="240" w:lineRule="auto"/>
              <w:rPr>
                <w:rFonts w:ascii="Times New Roman" w:hAnsi="Times New Roman" w:cs="Times New Roman"/>
                <w:b/>
                <w:bCs/>
                <w:color w:val="000000" w:themeColor="text1"/>
                <w:sz w:val="20"/>
                <w:szCs w:val="20"/>
              </w:rPr>
            </w:pPr>
            <w:r w:rsidRPr="00EF6679">
              <w:rPr>
                <w:rFonts w:ascii="Times New Roman" w:hAnsi="Times New Roman" w:cs="Times New Roman"/>
                <w:b/>
                <w:bCs/>
                <w:color w:val="000000" w:themeColor="text1"/>
                <w:sz w:val="20"/>
                <w:szCs w:val="20"/>
              </w:rPr>
              <w:t>Compound</w:t>
            </w:r>
          </w:p>
        </w:tc>
        <w:tc>
          <w:tcPr>
            <w:tcW w:w="1433" w:type="dxa"/>
            <w:gridSpan w:val="2"/>
            <w:tcBorders>
              <w:top w:val="single" w:sz="4" w:space="0" w:color="auto"/>
              <w:bottom w:val="single" w:sz="4" w:space="0" w:color="auto"/>
            </w:tcBorders>
            <w:noWrap/>
            <w:vAlign w:val="center"/>
            <w:hideMark/>
          </w:tcPr>
          <w:p w14:paraId="197B4C83" w14:textId="77777777" w:rsidR="00BB138C" w:rsidRPr="00EF6679" w:rsidRDefault="00BB138C" w:rsidP="00820288">
            <w:pPr>
              <w:spacing w:line="240" w:lineRule="auto"/>
              <w:jc w:val="center"/>
              <w:rPr>
                <w:rFonts w:ascii="Times New Roman" w:hAnsi="Times New Roman" w:cs="Times New Roman"/>
                <w:b/>
                <w:bCs/>
                <w:color w:val="000000" w:themeColor="text1"/>
                <w:sz w:val="20"/>
                <w:szCs w:val="20"/>
              </w:rPr>
            </w:pPr>
            <w:r w:rsidRPr="00EF6679">
              <w:rPr>
                <w:rFonts w:ascii="Times New Roman" w:hAnsi="Times New Roman" w:cs="Times New Roman"/>
                <w:b/>
                <w:bCs/>
                <w:color w:val="000000" w:themeColor="text1"/>
                <w:sz w:val="20"/>
                <w:szCs w:val="20"/>
              </w:rPr>
              <w:t>Narrowband 20B/80R</w:t>
            </w:r>
          </w:p>
        </w:tc>
        <w:tc>
          <w:tcPr>
            <w:tcW w:w="1433" w:type="dxa"/>
            <w:gridSpan w:val="2"/>
            <w:tcBorders>
              <w:top w:val="single" w:sz="4" w:space="0" w:color="auto"/>
              <w:bottom w:val="single" w:sz="4" w:space="0" w:color="auto"/>
            </w:tcBorders>
            <w:noWrap/>
            <w:vAlign w:val="center"/>
            <w:hideMark/>
          </w:tcPr>
          <w:p w14:paraId="2A32EF45" w14:textId="77777777" w:rsidR="00BB138C" w:rsidRPr="00EF6679" w:rsidRDefault="00BB138C" w:rsidP="00820288">
            <w:pPr>
              <w:spacing w:line="240" w:lineRule="auto"/>
              <w:jc w:val="center"/>
              <w:rPr>
                <w:rFonts w:ascii="Times New Roman" w:hAnsi="Times New Roman" w:cs="Times New Roman"/>
                <w:b/>
                <w:bCs/>
                <w:color w:val="000000" w:themeColor="text1"/>
                <w:sz w:val="20"/>
                <w:szCs w:val="20"/>
              </w:rPr>
            </w:pPr>
            <w:r w:rsidRPr="00EF6679">
              <w:rPr>
                <w:rFonts w:ascii="Times New Roman" w:hAnsi="Times New Roman" w:cs="Times New Roman"/>
                <w:b/>
                <w:bCs/>
                <w:color w:val="000000" w:themeColor="text1"/>
                <w:sz w:val="20"/>
                <w:szCs w:val="20"/>
              </w:rPr>
              <w:t>Broadband White</w:t>
            </w:r>
          </w:p>
        </w:tc>
        <w:tc>
          <w:tcPr>
            <w:tcW w:w="1433" w:type="dxa"/>
            <w:gridSpan w:val="2"/>
            <w:tcBorders>
              <w:top w:val="single" w:sz="4" w:space="0" w:color="auto"/>
              <w:bottom w:val="single" w:sz="4" w:space="0" w:color="auto"/>
            </w:tcBorders>
            <w:noWrap/>
            <w:vAlign w:val="center"/>
            <w:hideMark/>
          </w:tcPr>
          <w:p w14:paraId="7F11EDF3" w14:textId="77777777" w:rsidR="00BB138C" w:rsidRPr="00EF6679" w:rsidRDefault="00BB138C" w:rsidP="00820288">
            <w:pPr>
              <w:spacing w:line="240" w:lineRule="auto"/>
              <w:jc w:val="center"/>
              <w:rPr>
                <w:rFonts w:ascii="Times New Roman" w:hAnsi="Times New Roman" w:cs="Times New Roman"/>
                <w:b/>
                <w:bCs/>
                <w:color w:val="000000" w:themeColor="text1"/>
                <w:sz w:val="20"/>
                <w:szCs w:val="20"/>
              </w:rPr>
            </w:pPr>
            <w:r w:rsidRPr="00EF6679">
              <w:rPr>
                <w:rFonts w:ascii="Times New Roman" w:hAnsi="Times New Roman" w:cs="Times New Roman"/>
                <w:b/>
                <w:bCs/>
                <w:color w:val="000000" w:themeColor="text1"/>
                <w:sz w:val="20"/>
                <w:szCs w:val="20"/>
              </w:rPr>
              <w:t>High Pressure Sodium</w:t>
            </w:r>
          </w:p>
        </w:tc>
        <w:tc>
          <w:tcPr>
            <w:tcW w:w="1434" w:type="dxa"/>
            <w:gridSpan w:val="2"/>
            <w:tcBorders>
              <w:top w:val="single" w:sz="4" w:space="0" w:color="auto"/>
              <w:bottom w:val="single" w:sz="4" w:space="0" w:color="auto"/>
            </w:tcBorders>
            <w:noWrap/>
            <w:vAlign w:val="center"/>
            <w:hideMark/>
          </w:tcPr>
          <w:p w14:paraId="6DE272D8" w14:textId="77777777" w:rsidR="00BB138C" w:rsidRPr="00EF6679" w:rsidRDefault="00BB138C" w:rsidP="00820288">
            <w:pPr>
              <w:spacing w:line="240" w:lineRule="auto"/>
              <w:jc w:val="center"/>
              <w:rPr>
                <w:rFonts w:ascii="Times New Roman" w:hAnsi="Times New Roman" w:cs="Times New Roman"/>
                <w:b/>
                <w:bCs/>
                <w:color w:val="000000" w:themeColor="text1"/>
                <w:sz w:val="20"/>
                <w:szCs w:val="20"/>
              </w:rPr>
            </w:pPr>
            <w:r w:rsidRPr="00EF6679">
              <w:rPr>
                <w:rFonts w:ascii="Times New Roman" w:hAnsi="Times New Roman" w:cs="Times New Roman"/>
                <w:b/>
                <w:bCs/>
                <w:color w:val="000000" w:themeColor="text1"/>
                <w:sz w:val="20"/>
                <w:szCs w:val="20"/>
              </w:rPr>
              <w:t>Natural Light Control</w:t>
            </w:r>
          </w:p>
        </w:tc>
      </w:tr>
      <w:tr w:rsidR="00BB138C" w:rsidRPr="00EF6679" w14:paraId="3933662D" w14:textId="77777777" w:rsidTr="00820288">
        <w:trPr>
          <w:trHeight w:val="378"/>
        </w:trPr>
        <w:tc>
          <w:tcPr>
            <w:tcW w:w="3583" w:type="dxa"/>
            <w:tcBorders>
              <w:top w:val="single" w:sz="4" w:space="0" w:color="auto"/>
            </w:tcBorders>
            <w:noWrap/>
            <w:vAlign w:val="bottom"/>
            <w:hideMark/>
          </w:tcPr>
          <w:p w14:paraId="3677A3AB" w14:textId="77777777" w:rsidR="00BB138C" w:rsidRPr="00EF6679" w:rsidRDefault="00BB138C" w:rsidP="00820288">
            <w:pPr>
              <w:spacing w:line="240" w:lineRule="auto"/>
              <w:rPr>
                <w:rFonts w:ascii="Times New Roman" w:hAnsi="Times New Roman" w:cs="Times New Roman"/>
                <w:b/>
                <w:bCs/>
                <w:color w:val="000000" w:themeColor="text1"/>
                <w:sz w:val="20"/>
                <w:szCs w:val="20"/>
              </w:rPr>
            </w:pPr>
            <w:r w:rsidRPr="00EF6679">
              <w:rPr>
                <w:rFonts w:ascii="Times New Roman" w:hAnsi="Times New Roman" w:cs="Times New Roman"/>
                <w:color w:val="000000" w:themeColor="text1"/>
                <w:sz w:val="20"/>
                <w:szCs w:val="20"/>
              </w:rPr>
              <w:t>VOC Total</w:t>
            </w:r>
          </w:p>
        </w:tc>
        <w:tc>
          <w:tcPr>
            <w:tcW w:w="716" w:type="dxa"/>
            <w:tcBorders>
              <w:top w:val="single" w:sz="4" w:space="0" w:color="auto"/>
            </w:tcBorders>
            <w:noWrap/>
            <w:vAlign w:val="center"/>
            <w:hideMark/>
          </w:tcPr>
          <w:p w14:paraId="26CEA1C0" w14:textId="77777777" w:rsidR="00BB138C" w:rsidRPr="00EF6679" w:rsidRDefault="00BB138C" w:rsidP="00820288">
            <w:pPr>
              <w:spacing w:line="240" w:lineRule="auto"/>
              <w:jc w:val="right"/>
              <w:rPr>
                <w:rFonts w:ascii="Times New Roman" w:hAnsi="Times New Roman" w:cs="Times New Roman"/>
                <w:color w:val="000000" w:themeColor="text1"/>
                <w:sz w:val="18"/>
                <w:szCs w:val="18"/>
              </w:rPr>
            </w:pPr>
            <w:r w:rsidRPr="00EF6679">
              <w:rPr>
                <w:rFonts w:ascii="Times New Roman" w:hAnsi="Times New Roman" w:cs="Times New Roman"/>
                <w:color w:val="000000"/>
                <w:sz w:val="18"/>
                <w:szCs w:val="18"/>
              </w:rPr>
              <w:t>1771.590</w:t>
            </w:r>
          </w:p>
        </w:tc>
        <w:tc>
          <w:tcPr>
            <w:tcW w:w="717" w:type="dxa"/>
            <w:tcBorders>
              <w:top w:val="single" w:sz="4" w:space="0" w:color="auto"/>
            </w:tcBorders>
            <w:noWrap/>
            <w:vAlign w:val="center"/>
            <w:hideMark/>
          </w:tcPr>
          <w:p w14:paraId="6020194A" w14:textId="77777777" w:rsidR="00BB138C" w:rsidRPr="00EF6679" w:rsidRDefault="00BB138C" w:rsidP="00820288">
            <w:pPr>
              <w:spacing w:line="240" w:lineRule="auto"/>
              <w:rPr>
                <w:rFonts w:ascii="Times New Roman" w:hAnsi="Times New Roman" w:cs="Times New Roman"/>
                <w:color w:val="000000" w:themeColor="text1"/>
                <w:sz w:val="18"/>
                <w:szCs w:val="18"/>
                <w:vertAlign w:val="superscript"/>
              </w:rPr>
            </w:pPr>
            <w:r w:rsidRPr="00EF6679">
              <w:rPr>
                <w:rFonts w:ascii="Times New Roman" w:hAnsi="Times New Roman" w:cs="Times New Roman"/>
                <w:color w:val="000000" w:themeColor="text1"/>
                <w:sz w:val="18"/>
                <w:szCs w:val="18"/>
                <w:vertAlign w:val="superscript"/>
              </w:rPr>
              <w:t>a</w:t>
            </w:r>
          </w:p>
        </w:tc>
        <w:tc>
          <w:tcPr>
            <w:tcW w:w="716" w:type="dxa"/>
            <w:tcBorders>
              <w:top w:val="single" w:sz="4" w:space="0" w:color="auto"/>
            </w:tcBorders>
            <w:noWrap/>
            <w:vAlign w:val="center"/>
            <w:hideMark/>
          </w:tcPr>
          <w:p w14:paraId="4A772438" w14:textId="77777777" w:rsidR="00BB138C" w:rsidRPr="00EF6679" w:rsidRDefault="00BB138C" w:rsidP="00820288">
            <w:pPr>
              <w:spacing w:line="240" w:lineRule="auto"/>
              <w:jc w:val="right"/>
              <w:rPr>
                <w:rFonts w:ascii="Times New Roman" w:hAnsi="Times New Roman" w:cs="Times New Roman"/>
                <w:color w:val="000000" w:themeColor="text1"/>
                <w:sz w:val="18"/>
                <w:szCs w:val="18"/>
              </w:rPr>
            </w:pPr>
            <w:r w:rsidRPr="00EF6679">
              <w:rPr>
                <w:rFonts w:ascii="Times New Roman" w:hAnsi="Times New Roman" w:cs="Times New Roman"/>
                <w:color w:val="000000"/>
                <w:sz w:val="18"/>
                <w:szCs w:val="18"/>
              </w:rPr>
              <w:t>1610.340</w:t>
            </w:r>
          </w:p>
        </w:tc>
        <w:tc>
          <w:tcPr>
            <w:tcW w:w="717" w:type="dxa"/>
            <w:tcBorders>
              <w:top w:val="single" w:sz="4" w:space="0" w:color="auto"/>
            </w:tcBorders>
            <w:noWrap/>
            <w:vAlign w:val="center"/>
            <w:hideMark/>
          </w:tcPr>
          <w:p w14:paraId="57B5473E" w14:textId="77777777" w:rsidR="00BB138C" w:rsidRPr="00EF6679" w:rsidRDefault="00BB138C" w:rsidP="00820288">
            <w:pPr>
              <w:spacing w:line="240" w:lineRule="auto"/>
              <w:rPr>
                <w:rFonts w:ascii="Times New Roman" w:hAnsi="Times New Roman" w:cs="Times New Roman"/>
                <w:color w:val="000000" w:themeColor="text1"/>
                <w:sz w:val="18"/>
                <w:szCs w:val="18"/>
                <w:vertAlign w:val="superscript"/>
              </w:rPr>
            </w:pPr>
            <w:r w:rsidRPr="00EF6679">
              <w:rPr>
                <w:rFonts w:ascii="Times New Roman" w:hAnsi="Times New Roman" w:cs="Times New Roman"/>
                <w:color w:val="000000" w:themeColor="text1"/>
                <w:sz w:val="18"/>
                <w:szCs w:val="18"/>
                <w:vertAlign w:val="superscript"/>
              </w:rPr>
              <w:t>b</w:t>
            </w:r>
          </w:p>
        </w:tc>
        <w:tc>
          <w:tcPr>
            <w:tcW w:w="716" w:type="dxa"/>
            <w:tcBorders>
              <w:top w:val="single" w:sz="4" w:space="0" w:color="auto"/>
            </w:tcBorders>
            <w:noWrap/>
            <w:vAlign w:val="center"/>
            <w:hideMark/>
          </w:tcPr>
          <w:p w14:paraId="607AF9A0" w14:textId="77777777" w:rsidR="00BB138C" w:rsidRPr="00EF6679" w:rsidRDefault="00BB138C" w:rsidP="00820288">
            <w:pPr>
              <w:spacing w:line="240" w:lineRule="auto"/>
              <w:jc w:val="right"/>
              <w:rPr>
                <w:rFonts w:ascii="Times New Roman" w:hAnsi="Times New Roman" w:cs="Times New Roman"/>
                <w:color w:val="000000" w:themeColor="text1"/>
                <w:sz w:val="18"/>
                <w:szCs w:val="18"/>
              </w:rPr>
            </w:pPr>
            <w:r w:rsidRPr="00EF6679">
              <w:rPr>
                <w:rFonts w:ascii="Times New Roman" w:hAnsi="Times New Roman" w:cs="Times New Roman"/>
                <w:color w:val="000000"/>
                <w:sz w:val="18"/>
                <w:szCs w:val="18"/>
              </w:rPr>
              <w:t>1032.100</w:t>
            </w:r>
          </w:p>
        </w:tc>
        <w:tc>
          <w:tcPr>
            <w:tcW w:w="717" w:type="dxa"/>
            <w:tcBorders>
              <w:top w:val="single" w:sz="4" w:space="0" w:color="auto"/>
            </w:tcBorders>
            <w:noWrap/>
            <w:vAlign w:val="center"/>
            <w:hideMark/>
          </w:tcPr>
          <w:p w14:paraId="68C762BD" w14:textId="77777777" w:rsidR="00BB138C" w:rsidRPr="00EF6679" w:rsidRDefault="00BB138C" w:rsidP="00820288">
            <w:pPr>
              <w:spacing w:line="240" w:lineRule="auto"/>
              <w:rPr>
                <w:rFonts w:ascii="Times New Roman" w:hAnsi="Times New Roman" w:cs="Times New Roman"/>
                <w:color w:val="000000" w:themeColor="text1"/>
                <w:sz w:val="18"/>
                <w:szCs w:val="18"/>
                <w:vertAlign w:val="superscript"/>
              </w:rPr>
            </w:pPr>
            <w:r w:rsidRPr="00EF6679">
              <w:rPr>
                <w:rFonts w:ascii="Times New Roman" w:hAnsi="Times New Roman" w:cs="Times New Roman"/>
                <w:color w:val="000000" w:themeColor="text1"/>
                <w:sz w:val="18"/>
                <w:szCs w:val="18"/>
                <w:vertAlign w:val="superscript"/>
              </w:rPr>
              <w:t>c</w:t>
            </w:r>
          </w:p>
        </w:tc>
        <w:tc>
          <w:tcPr>
            <w:tcW w:w="716" w:type="dxa"/>
            <w:tcBorders>
              <w:top w:val="single" w:sz="4" w:space="0" w:color="auto"/>
            </w:tcBorders>
            <w:noWrap/>
            <w:vAlign w:val="center"/>
            <w:hideMark/>
          </w:tcPr>
          <w:p w14:paraId="4423D0EA" w14:textId="77777777" w:rsidR="00BB138C" w:rsidRPr="00EF6679" w:rsidRDefault="00BB138C" w:rsidP="00820288">
            <w:pPr>
              <w:spacing w:line="240" w:lineRule="auto"/>
              <w:jc w:val="right"/>
              <w:rPr>
                <w:rFonts w:ascii="Times New Roman" w:hAnsi="Times New Roman" w:cs="Times New Roman"/>
                <w:color w:val="000000" w:themeColor="text1"/>
                <w:sz w:val="18"/>
                <w:szCs w:val="18"/>
              </w:rPr>
            </w:pPr>
            <w:r w:rsidRPr="00EF6679">
              <w:rPr>
                <w:rFonts w:ascii="Times New Roman" w:hAnsi="Times New Roman" w:cs="Times New Roman"/>
                <w:color w:val="000000"/>
                <w:sz w:val="18"/>
                <w:szCs w:val="18"/>
              </w:rPr>
              <w:t>795.200</w:t>
            </w:r>
          </w:p>
        </w:tc>
        <w:tc>
          <w:tcPr>
            <w:tcW w:w="718" w:type="dxa"/>
            <w:tcBorders>
              <w:top w:val="single" w:sz="4" w:space="0" w:color="auto"/>
            </w:tcBorders>
            <w:noWrap/>
            <w:vAlign w:val="center"/>
            <w:hideMark/>
          </w:tcPr>
          <w:p w14:paraId="2D127C32" w14:textId="77777777" w:rsidR="00BB138C" w:rsidRPr="00EF6679" w:rsidRDefault="00BB138C" w:rsidP="00820288">
            <w:pPr>
              <w:spacing w:line="240" w:lineRule="auto"/>
              <w:rPr>
                <w:rFonts w:ascii="Times New Roman" w:hAnsi="Times New Roman" w:cs="Times New Roman"/>
                <w:color w:val="000000" w:themeColor="text1"/>
                <w:sz w:val="18"/>
                <w:szCs w:val="18"/>
                <w:vertAlign w:val="superscript"/>
              </w:rPr>
            </w:pPr>
            <w:r w:rsidRPr="00EF6679">
              <w:rPr>
                <w:rFonts w:ascii="Times New Roman" w:hAnsi="Times New Roman" w:cs="Times New Roman"/>
                <w:color w:val="000000" w:themeColor="text1"/>
                <w:sz w:val="18"/>
                <w:szCs w:val="18"/>
                <w:vertAlign w:val="superscript"/>
              </w:rPr>
              <w:t>d</w:t>
            </w:r>
          </w:p>
        </w:tc>
      </w:tr>
      <w:tr w:rsidR="00BB138C" w:rsidRPr="00EF6679" w14:paraId="29A5F7D5" w14:textId="77777777" w:rsidTr="00820288">
        <w:trPr>
          <w:trHeight w:val="378"/>
        </w:trPr>
        <w:tc>
          <w:tcPr>
            <w:tcW w:w="3583" w:type="dxa"/>
            <w:noWrap/>
            <w:vAlign w:val="bottom"/>
            <w:hideMark/>
          </w:tcPr>
          <w:p w14:paraId="03E3A84A" w14:textId="77777777" w:rsidR="00BB138C" w:rsidRPr="00EF6679" w:rsidRDefault="00BB138C" w:rsidP="00820288">
            <w:pPr>
              <w:spacing w:line="240" w:lineRule="auto"/>
              <w:rPr>
                <w:rFonts w:ascii="Times New Roman" w:hAnsi="Times New Roman" w:cs="Times New Roman"/>
                <w:color w:val="000000" w:themeColor="text1"/>
                <w:sz w:val="20"/>
                <w:szCs w:val="20"/>
              </w:rPr>
            </w:pPr>
            <w:r w:rsidRPr="00EF6679">
              <w:rPr>
                <w:rFonts w:ascii="Times New Roman" w:hAnsi="Times New Roman" w:cs="Times New Roman"/>
                <w:color w:val="202124"/>
                <w:sz w:val="20"/>
                <w:szCs w:val="20"/>
                <w:shd w:val="clear" w:color="auto" w:fill="FFFFFF"/>
              </w:rPr>
              <w:t>α</w:t>
            </w:r>
            <w:r w:rsidRPr="00EF6679">
              <w:rPr>
                <w:rFonts w:ascii="Times New Roman" w:hAnsi="Times New Roman" w:cs="Times New Roman"/>
                <w:color w:val="000000" w:themeColor="text1"/>
                <w:sz w:val="20"/>
                <w:szCs w:val="20"/>
              </w:rPr>
              <w:t>/</w:t>
            </w:r>
            <w:r w:rsidRPr="00EF6679">
              <w:rPr>
                <w:rFonts w:ascii="Times New Roman" w:hAnsi="Times New Roman" w:cs="Times New Roman"/>
                <w:color w:val="202124"/>
                <w:sz w:val="20"/>
                <w:szCs w:val="20"/>
                <w:shd w:val="clear" w:color="auto" w:fill="FFFFFF"/>
              </w:rPr>
              <w:t>β</w:t>
            </w:r>
            <w:r w:rsidRPr="00EF6679">
              <w:rPr>
                <w:rFonts w:ascii="Times New Roman" w:hAnsi="Times New Roman" w:cs="Times New Roman"/>
                <w:color w:val="000000" w:themeColor="text1"/>
                <w:sz w:val="20"/>
                <w:szCs w:val="20"/>
              </w:rPr>
              <w:t>-Pinene Ratio</w:t>
            </w:r>
          </w:p>
        </w:tc>
        <w:tc>
          <w:tcPr>
            <w:tcW w:w="716" w:type="dxa"/>
            <w:noWrap/>
            <w:vAlign w:val="center"/>
            <w:hideMark/>
          </w:tcPr>
          <w:p w14:paraId="4FBBCD7D" w14:textId="77777777" w:rsidR="00BB138C" w:rsidRPr="00EF6679" w:rsidRDefault="00BB138C" w:rsidP="00820288">
            <w:pPr>
              <w:spacing w:line="240" w:lineRule="auto"/>
              <w:jc w:val="right"/>
              <w:rPr>
                <w:rFonts w:ascii="Times New Roman" w:hAnsi="Times New Roman" w:cs="Times New Roman"/>
                <w:color w:val="000000" w:themeColor="text1"/>
                <w:sz w:val="18"/>
                <w:szCs w:val="18"/>
              </w:rPr>
            </w:pPr>
            <w:r w:rsidRPr="00EF6679">
              <w:rPr>
                <w:rFonts w:ascii="Times New Roman" w:hAnsi="Times New Roman" w:cs="Times New Roman"/>
                <w:color w:val="000000"/>
                <w:sz w:val="18"/>
                <w:szCs w:val="18"/>
              </w:rPr>
              <w:t>0.093</w:t>
            </w:r>
          </w:p>
        </w:tc>
        <w:tc>
          <w:tcPr>
            <w:tcW w:w="717" w:type="dxa"/>
            <w:noWrap/>
            <w:vAlign w:val="center"/>
            <w:hideMark/>
          </w:tcPr>
          <w:p w14:paraId="72C70D7F" w14:textId="77777777" w:rsidR="00BB138C" w:rsidRPr="00EF6679" w:rsidRDefault="00BB138C" w:rsidP="00820288">
            <w:pPr>
              <w:spacing w:line="240" w:lineRule="auto"/>
              <w:rPr>
                <w:rFonts w:ascii="Times New Roman" w:hAnsi="Times New Roman" w:cs="Times New Roman"/>
                <w:color w:val="000000" w:themeColor="text1"/>
                <w:sz w:val="18"/>
                <w:szCs w:val="18"/>
                <w:vertAlign w:val="superscript"/>
              </w:rPr>
            </w:pPr>
            <w:r w:rsidRPr="00EF6679">
              <w:rPr>
                <w:rFonts w:ascii="Times New Roman" w:hAnsi="Times New Roman" w:cs="Times New Roman"/>
                <w:color w:val="000000" w:themeColor="text1"/>
                <w:sz w:val="18"/>
                <w:szCs w:val="18"/>
                <w:vertAlign w:val="superscript"/>
              </w:rPr>
              <w:t>c</w:t>
            </w:r>
          </w:p>
        </w:tc>
        <w:tc>
          <w:tcPr>
            <w:tcW w:w="716" w:type="dxa"/>
            <w:noWrap/>
            <w:vAlign w:val="center"/>
            <w:hideMark/>
          </w:tcPr>
          <w:p w14:paraId="595DC037" w14:textId="77777777" w:rsidR="00BB138C" w:rsidRPr="00EF6679" w:rsidRDefault="00BB138C" w:rsidP="00820288">
            <w:pPr>
              <w:spacing w:line="240" w:lineRule="auto"/>
              <w:jc w:val="right"/>
              <w:rPr>
                <w:rFonts w:ascii="Times New Roman" w:hAnsi="Times New Roman" w:cs="Times New Roman"/>
                <w:color w:val="000000" w:themeColor="text1"/>
                <w:sz w:val="18"/>
                <w:szCs w:val="18"/>
              </w:rPr>
            </w:pPr>
            <w:r w:rsidRPr="00EF6679">
              <w:rPr>
                <w:rFonts w:ascii="Times New Roman" w:hAnsi="Times New Roman" w:cs="Times New Roman"/>
                <w:color w:val="000000"/>
                <w:sz w:val="18"/>
                <w:szCs w:val="18"/>
              </w:rPr>
              <w:t>0.103</w:t>
            </w:r>
          </w:p>
        </w:tc>
        <w:tc>
          <w:tcPr>
            <w:tcW w:w="717" w:type="dxa"/>
            <w:noWrap/>
            <w:vAlign w:val="center"/>
            <w:hideMark/>
          </w:tcPr>
          <w:p w14:paraId="7CA3DA37" w14:textId="77777777" w:rsidR="00BB138C" w:rsidRPr="00EF6679" w:rsidRDefault="00BB138C" w:rsidP="00820288">
            <w:pPr>
              <w:spacing w:line="240" w:lineRule="auto"/>
              <w:rPr>
                <w:rFonts w:ascii="Times New Roman" w:hAnsi="Times New Roman" w:cs="Times New Roman"/>
                <w:color w:val="000000" w:themeColor="text1"/>
                <w:sz w:val="18"/>
                <w:szCs w:val="18"/>
                <w:vertAlign w:val="superscript"/>
              </w:rPr>
            </w:pPr>
            <w:r w:rsidRPr="00EF6679">
              <w:rPr>
                <w:rFonts w:ascii="Times New Roman" w:hAnsi="Times New Roman" w:cs="Times New Roman"/>
                <w:color w:val="000000" w:themeColor="text1"/>
                <w:sz w:val="18"/>
                <w:szCs w:val="18"/>
                <w:vertAlign w:val="superscript"/>
              </w:rPr>
              <w:t>bc</w:t>
            </w:r>
          </w:p>
        </w:tc>
        <w:tc>
          <w:tcPr>
            <w:tcW w:w="716" w:type="dxa"/>
            <w:noWrap/>
            <w:vAlign w:val="center"/>
            <w:hideMark/>
          </w:tcPr>
          <w:p w14:paraId="34F760D3" w14:textId="77777777" w:rsidR="00BB138C" w:rsidRPr="00EF6679" w:rsidRDefault="00BB138C" w:rsidP="00820288">
            <w:pPr>
              <w:spacing w:line="240" w:lineRule="auto"/>
              <w:jc w:val="right"/>
              <w:rPr>
                <w:rFonts w:ascii="Times New Roman" w:hAnsi="Times New Roman" w:cs="Times New Roman"/>
                <w:color w:val="000000" w:themeColor="text1"/>
                <w:sz w:val="18"/>
                <w:szCs w:val="18"/>
              </w:rPr>
            </w:pPr>
            <w:r w:rsidRPr="00EF6679">
              <w:rPr>
                <w:rFonts w:ascii="Times New Roman" w:hAnsi="Times New Roman" w:cs="Times New Roman"/>
                <w:color w:val="000000"/>
                <w:sz w:val="18"/>
                <w:szCs w:val="18"/>
              </w:rPr>
              <w:t>0.072</w:t>
            </w:r>
          </w:p>
        </w:tc>
        <w:tc>
          <w:tcPr>
            <w:tcW w:w="717" w:type="dxa"/>
            <w:noWrap/>
            <w:vAlign w:val="center"/>
            <w:hideMark/>
          </w:tcPr>
          <w:p w14:paraId="114A4769" w14:textId="77777777" w:rsidR="00BB138C" w:rsidRPr="00EF6679" w:rsidRDefault="00BB138C" w:rsidP="00820288">
            <w:pPr>
              <w:spacing w:line="240" w:lineRule="auto"/>
              <w:rPr>
                <w:rFonts w:ascii="Times New Roman" w:hAnsi="Times New Roman" w:cs="Times New Roman"/>
                <w:color w:val="000000" w:themeColor="text1"/>
                <w:sz w:val="18"/>
                <w:szCs w:val="18"/>
                <w:vertAlign w:val="superscript"/>
              </w:rPr>
            </w:pPr>
            <w:r w:rsidRPr="00EF6679">
              <w:rPr>
                <w:rFonts w:ascii="Times New Roman" w:hAnsi="Times New Roman" w:cs="Times New Roman"/>
                <w:color w:val="000000" w:themeColor="text1"/>
                <w:sz w:val="18"/>
                <w:szCs w:val="18"/>
                <w:vertAlign w:val="superscript"/>
              </w:rPr>
              <w:t>c</w:t>
            </w:r>
          </w:p>
        </w:tc>
        <w:tc>
          <w:tcPr>
            <w:tcW w:w="716" w:type="dxa"/>
            <w:noWrap/>
            <w:vAlign w:val="center"/>
            <w:hideMark/>
          </w:tcPr>
          <w:p w14:paraId="69A248EE" w14:textId="77777777" w:rsidR="00BB138C" w:rsidRPr="00EF6679" w:rsidRDefault="00BB138C" w:rsidP="00820288">
            <w:pPr>
              <w:spacing w:line="240" w:lineRule="auto"/>
              <w:jc w:val="right"/>
              <w:rPr>
                <w:rFonts w:ascii="Times New Roman" w:hAnsi="Times New Roman" w:cs="Times New Roman"/>
                <w:color w:val="000000" w:themeColor="text1"/>
                <w:sz w:val="18"/>
                <w:szCs w:val="18"/>
              </w:rPr>
            </w:pPr>
            <w:r w:rsidRPr="00EF6679">
              <w:rPr>
                <w:rFonts w:ascii="Times New Roman" w:hAnsi="Times New Roman" w:cs="Times New Roman"/>
                <w:color w:val="000000"/>
                <w:sz w:val="18"/>
                <w:szCs w:val="18"/>
              </w:rPr>
              <w:t>0.155</w:t>
            </w:r>
          </w:p>
        </w:tc>
        <w:tc>
          <w:tcPr>
            <w:tcW w:w="718" w:type="dxa"/>
            <w:noWrap/>
            <w:vAlign w:val="center"/>
            <w:hideMark/>
          </w:tcPr>
          <w:p w14:paraId="11D4BEBC" w14:textId="77777777" w:rsidR="00BB138C" w:rsidRPr="00EF6679" w:rsidRDefault="00BB138C" w:rsidP="00820288">
            <w:pPr>
              <w:spacing w:line="240" w:lineRule="auto"/>
              <w:rPr>
                <w:rFonts w:ascii="Times New Roman" w:hAnsi="Times New Roman" w:cs="Times New Roman"/>
                <w:color w:val="000000" w:themeColor="text1"/>
                <w:sz w:val="18"/>
                <w:szCs w:val="18"/>
                <w:vertAlign w:val="superscript"/>
              </w:rPr>
            </w:pPr>
            <w:r w:rsidRPr="00EF6679">
              <w:rPr>
                <w:rFonts w:ascii="Times New Roman" w:hAnsi="Times New Roman" w:cs="Times New Roman"/>
                <w:color w:val="000000" w:themeColor="text1"/>
                <w:sz w:val="18"/>
                <w:szCs w:val="18"/>
                <w:vertAlign w:val="superscript"/>
              </w:rPr>
              <w:t>a</w:t>
            </w:r>
          </w:p>
        </w:tc>
      </w:tr>
      <w:tr w:rsidR="00BB138C" w:rsidRPr="00EF6679" w14:paraId="49B04587" w14:textId="77777777" w:rsidTr="00820288">
        <w:trPr>
          <w:trHeight w:val="378"/>
        </w:trPr>
        <w:tc>
          <w:tcPr>
            <w:tcW w:w="3583" w:type="dxa"/>
            <w:noWrap/>
            <w:vAlign w:val="bottom"/>
            <w:hideMark/>
          </w:tcPr>
          <w:p w14:paraId="5F216F6F" w14:textId="77777777" w:rsidR="00BB138C" w:rsidRPr="00EF6679" w:rsidRDefault="00BB138C" w:rsidP="00820288">
            <w:pPr>
              <w:spacing w:line="240" w:lineRule="auto"/>
              <w:rPr>
                <w:rFonts w:ascii="Times New Roman" w:hAnsi="Times New Roman" w:cs="Times New Roman"/>
                <w:color w:val="000000" w:themeColor="text1"/>
                <w:sz w:val="20"/>
                <w:szCs w:val="20"/>
              </w:rPr>
            </w:pPr>
            <w:r w:rsidRPr="00EF6679">
              <w:rPr>
                <w:rFonts w:ascii="Times New Roman" w:hAnsi="Times New Roman" w:cs="Times New Roman"/>
                <w:color w:val="000000" w:themeColor="text1"/>
                <w:sz w:val="20"/>
                <w:szCs w:val="20"/>
              </w:rPr>
              <w:t>R+/S-Limonene Ratio</w:t>
            </w:r>
          </w:p>
        </w:tc>
        <w:tc>
          <w:tcPr>
            <w:tcW w:w="716" w:type="dxa"/>
            <w:noWrap/>
            <w:vAlign w:val="center"/>
            <w:hideMark/>
          </w:tcPr>
          <w:p w14:paraId="20BCD2FD" w14:textId="77777777" w:rsidR="00BB138C" w:rsidRPr="00EF6679" w:rsidRDefault="00BB138C" w:rsidP="00820288">
            <w:pPr>
              <w:spacing w:line="240" w:lineRule="auto"/>
              <w:jc w:val="right"/>
              <w:rPr>
                <w:rFonts w:ascii="Times New Roman" w:hAnsi="Times New Roman" w:cs="Times New Roman"/>
                <w:color w:val="000000" w:themeColor="text1"/>
                <w:sz w:val="18"/>
                <w:szCs w:val="18"/>
              </w:rPr>
            </w:pPr>
            <w:r w:rsidRPr="00EF6679">
              <w:rPr>
                <w:rFonts w:ascii="Times New Roman" w:hAnsi="Times New Roman" w:cs="Times New Roman"/>
                <w:color w:val="000000"/>
                <w:sz w:val="18"/>
                <w:szCs w:val="18"/>
              </w:rPr>
              <w:t>1.861</w:t>
            </w:r>
          </w:p>
        </w:tc>
        <w:tc>
          <w:tcPr>
            <w:tcW w:w="717" w:type="dxa"/>
            <w:noWrap/>
            <w:vAlign w:val="center"/>
            <w:hideMark/>
          </w:tcPr>
          <w:p w14:paraId="06F6E956" w14:textId="77777777" w:rsidR="00BB138C" w:rsidRPr="00EF6679" w:rsidRDefault="00BB138C" w:rsidP="00820288">
            <w:pPr>
              <w:spacing w:line="240" w:lineRule="auto"/>
              <w:rPr>
                <w:rFonts w:ascii="Times New Roman" w:hAnsi="Times New Roman" w:cs="Times New Roman"/>
                <w:color w:val="000000" w:themeColor="text1"/>
                <w:sz w:val="18"/>
                <w:szCs w:val="18"/>
                <w:vertAlign w:val="superscript"/>
              </w:rPr>
            </w:pPr>
            <w:r w:rsidRPr="00EF6679">
              <w:rPr>
                <w:rFonts w:ascii="Times New Roman" w:hAnsi="Times New Roman" w:cs="Times New Roman"/>
                <w:color w:val="000000" w:themeColor="text1"/>
                <w:sz w:val="18"/>
                <w:szCs w:val="18"/>
                <w:vertAlign w:val="superscript"/>
              </w:rPr>
              <w:t>a</w:t>
            </w:r>
          </w:p>
        </w:tc>
        <w:tc>
          <w:tcPr>
            <w:tcW w:w="716" w:type="dxa"/>
            <w:noWrap/>
            <w:vAlign w:val="center"/>
            <w:hideMark/>
          </w:tcPr>
          <w:p w14:paraId="49624F46" w14:textId="77777777" w:rsidR="00BB138C" w:rsidRPr="00EF6679" w:rsidRDefault="00BB138C" w:rsidP="00820288">
            <w:pPr>
              <w:spacing w:line="240" w:lineRule="auto"/>
              <w:jc w:val="right"/>
              <w:rPr>
                <w:rFonts w:ascii="Times New Roman" w:hAnsi="Times New Roman" w:cs="Times New Roman"/>
                <w:color w:val="000000" w:themeColor="text1"/>
                <w:sz w:val="18"/>
                <w:szCs w:val="18"/>
              </w:rPr>
            </w:pPr>
            <w:r w:rsidRPr="00EF6679">
              <w:rPr>
                <w:rFonts w:ascii="Times New Roman" w:hAnsi="Times New Roman" w:cs="Times New Roman"/>
                <w:color w:val="000000"/>
                <w:sz w:val="18"/>
                <w:szCs w:val="18"/>
              </w:rPr>
              <w:t>1.903</w:t>
            </w:r>
          </w:p>
        </w:tc>
        <w:tc>
          <w:tcPr>
            <w:tcW w:w="717" w:type="dxa"/>
            <w:noWrap/>
            <w:vAlign w:val="center"/>
            <w:hideMark/>
          </w:tcPr>
          <w:p w14:paraId="5B8811C3" w14:textId="77777777" w:rsidR="00BB138C" w:rsidRPr="00EF6679" w:rsidRDefault="00BB138C" w:rsidP="00820288">
            <w:pPr>
              <w:spacing w:line="240" w:lineRule="auto"/>
              <w:rPr>
                <w:rFonts w:ascii="Times New Roman" w:hAnsi="Times New Roman" w:cs="Times New Roman"/>
                <w:color w:val="000000" w:themeColor="text1"/>
                <w:sz w:val="18"/>
                <w:szCs w:val="18"/>
                <w:vertAlign w:val="superscript"/>
              </w:rPr>
            </w:pPr>
            <w:r w:rsidRPr="00EF6679">
              <w:rPr>
                <w:rFonts w:ascii="Times New Roman" w:hAnsi="Times New Roman" w:cs="Times New Roman"/>
                <w:color w:val="000000" w:themeColor="text1"/>
                <w:sz w:val="18"/>
                <w:szCs w:val="18"/>
                <w:vertAlign w:val="superscript"/>
              </w:rPr>
              <w:t>a</w:t>
            </w:r>
          </w:p>
        </w:tc>
        <w:tc>
          <w:tcPr>
            <w:tcW w:w="716" w:type="dxa"/>
            <w:noWrap/>
            <w:vAlign w:val="center"/>
            <w:hideMark/>
          </w:tcPr>
          <w:p w14:paraId="0E1E3DCF" w14:textId="77777777" w:rsidR="00BB138C" w:rsidRPr="00EF6679" w:rsidRDefault="00BB138C" w:rsidP="00820288">
            <w:pPr>
              <w:spacing w:line="240" w:lineRule="auto"/>
              <w:jc w:val="right"/>
              <w:rPr>
                <w:rFonts w:ascii="Times New Roman" w:hAnsi="Times New Roman" w:cs="Times New Roman"/>
                <w:color w:val="000000" w:themeColor="text1"/>
                <w:sz w:val="18"/>
                <w:szCs w:val="18"/>
              </w:rPr>
            </w:pPr>
            <w:r w:rsidRPr="00EF6679">
              <w:rPr>
                <w:rFonts w:ascii="Times New Roman" w:hAnsi="Times New Roman" w:cs="Times New Roman"/>
                <w:color w:val="000000"/>
                <w:sz w:val="18"/>
                <w:szCs w:val="18"/>
              </w:rPr>
              <w:t>1.803</w:t>
            </w:r>
          </w:p>
        </w:tc>
        <w:tc>
          <w:tcPr>
            <w:tcW w:w="717" w:type="dxa"/>
            <w:noWrap/>
            <w:vAlign w:val="center"/>
            <w:hideMark/>
          </w:tcPr>
          <w:p w14:paraId="3935EB1E" w14:textId="77777777" w:rsidR="00BB138C" w:rsidRPr="00EF6679" w:rsidRDefault="00BB138C" w:rsidP="00820288">
            <w:pPr>
              <w:spacing w:line="240" w:lineRule="auto"/>
              <w:rPr>
                <w:rFonts w:ascii="Times New Roman" w:hAnsi="Times New Roman" w:cs="Times New Roman"/>
                <w:color w:val="000000" w:themeColor="text1"/>
                <w:sz w:val="18"/>
                <w:szCs w:val="18"/>
                <w:vertAlign w:val="superscript"/>
              </w:rPr>
            </w:pPr>
            <w:r w:rsidRPr="00EF6679">
              <w:rPr>
                <w:rFonts w:ascii="Times New Roman" w:hAnsi="Times New Roman" w:cs="Times New Roman"/>
                <w:color w:val="000000" w:themeColor="text1"/>
                <w:sz w:val="18"/>
                <w:szCs w:val="18"/>
                <w:vertAlign w:val="superscript"/>
              </w:rPr>
              <w:t>a</w:t>
            </w:r>
          </w:p>
        </w:tc>
        <w:tc>
          <w:tcPr>
            <w:tcW w:w="716" w:type="dxa"/>
            <w:noWrap/>
            <w:vAlign w:val="center"/>
            <w:hideMark/>
          </w:tcPr>
          <w:p w14:paraId="6489AB39" w14:textId="77777777" w:rsidR="00BB138C" w:rsidRPr="00EF6679" w:rsidRDefault="00BB138C" w:rsidP="00820288">
            <w:pPr>
              <w:spacing w:line="240" w:lineRule="auto"/>
              <w:jc w:val="right"/>
              <w:rPr>
                <w:rFonts w:ascii="Times New Roman" w:hAnsi="Times New Roman" w:cs="Times New Roman"/>
                <w:color w:val="000000" w:themeColor="text1"/>
                <w:sz w:val="18"/>
                <w:szCs w:val="18"/>
              </w:rPr>
            </w:pPr>
            <w:r w:rsidRPr="00EF6679">
              <w:rPr>
                <w:rFonts w:ascii="Times New Roman" w:hAnsi="Times New Roman" w:cs="Times New Roman"/>
                <w:color w:val="000000"/>
                <w:sz w:val="18"/>
                <w:szCs w:val="18"/>
              </w:rPr>
              <w:t>1.832</w:t>
            </w:r>
          </w:p>
        </w:tc>
        <w:tc>
          <w:tcPr>
            <w:tcW w:w="718" w:type="dxa"/>
            <w:noWrap/>
            <w:vAlign w:val="center"/>
            <w:hideMark/>
          </w:tcPr>
          <w:p w14:paraId="107A94EF" w14:textId="77777777" w:rsidR="00BB138C" w:rsidRPr="00EF6679" w:rsidRDefault="00BB138C" w:rsidP="00820288">
            <w:pPr>
              <w:spacing w:line="240" w:lineRule="auto"/>
              <w:rPr>
                <w:rFonts w:ascii="Times New Roman" w:hAnsi="Times New Roman" w:cs="Times New Roman"/>
                <w:color w:val="000000" w:themeColor="text1"/>
                <w:sz w:val="18"/>
                <w:szCs w:val="18"/>
                <w:vertAlign w:val="superscript"/>
              </w:rPr>
            </w:pPr>
            <w:r w:rsidRPr="00EF6679">
              <w:rPr>
                <w:rFonts w:ascii="Times New Roman" w:hAnsi="Times New Roman" w:cs="Times New Roman"/>
                <w:color w:val="000000" w:themeColor="text1"/>
                <w:sz w:val="18"/>
                <w:szCs w:val="18"/>
                <w:vertAlign w:val="superscript"/>
              </w:rPr>
              <w:t>a</w:t>
            </w:r>
          </w:p>
        </w:tc>
      </w:tr>
      <w:tr w:rsidR="00BB138C" w:rsidRPr="00EF6679" w14:paraId="38E3EC02" w14:textId="77777777" w:rsidTr="00820288">
        <w:trPr>
          <w:trHeight w:val="378"/>
        </w:trPr>
        <w:tc>
          <w:tcPr>
            <w:tcW w:w="3583" w:type="dxa"/>
            <w:noWrap/>
            <w:vAlign w:val="bottom"/>
          </w:tcPr>
          <w:p w14:paraId="0A68286F" w14:textId="77777777" w:rsidR="00BB138C" w:rsidRPr="00EF6679" w:rsidRDefault="00BB138C" w:rsidP="00820288">
            <w:pPr>
              <w:spacing w:line="240" w:lineRule="auto"/>
              <w:rPr>
                <w:rFonts w:ascii="Times New Roman" w:hAnsi="Times New Roman" w:cs="Times New Roman"/>
                <w:color w:val="000000" w:themeColor="text1"/>
                <w:sz w:val="20"/>
                <w:szCs w:val="20"/>
              </w:rPr>
            </w:pPr>
            <w:r w:rsidRPr="00EF6679">
              <w:rPr>
                <w:rFonts w:ascii="Times New Roman" w:hAnsi="Times New Roman" w:cs="Times New Roman"/>
                <w:color w:val="000000" w:themeColor="text1"/>
                <w:sz w:val="20"/>
                <w:szCs w:val="20"/>
              </w:rPr>
              <w:t>(E/Z)-Ocimene Ratio</w:t>
            </w:r>
          </w:p>
        </w:tc>
        <w:tc>
          <w:tcPr>
            <w:tcW w:w="716" w:type="dxa"/>
            <w:noWrap/>
            <w:vAlign w:val="center"/>
          </w:tcPr>
          <w:p w14:paraId="58E3DC60" w14:textId="77777777" w:rsidR="00BB138C" w:rsidRPr="00EF6679" w:rsidRDefault="00BB138C" w:rsidP="00820288">
            <w:pPr>
              <w:spacing w:line="240" w:lineRule="auto"/>
              <w:jc w:val="right"/>
              <w:rPr>
                <w:rFonts w:ascii="Times New Roman" w:hAnsi="Times New Roman" w:cs="Times New Roman"/>
                <w:color w:val="000000" w:themeColor="text1"/>
                <w:sz w:val="18"/>
                <w:szCs w:val="18"/>
              </w:rPr>
            </w:pPr>
            <w:r w:rsidRPr="00EF6679">
              <w:rPr>
                <w:rFonts w:ascii="Times New Roman" w:hAnsi="Times New Roman" w:cs="Times New Roman"/>
                <w:color w:val="000000"/>
                <w:sz w:val="18"/>
                <w:szCs w:val="18"/>
              </w:rPr>
              <w:t>44.385</w:t>
            </w:r>
          </w:p>
        </w:tc>
        <w:tc>
          <w:tcPr>
            <w:tcW w:w="717" w:type="dxa"/>
            <w:noWrap/>
            <w:vAlign w:val="center"/>
          </w:tcPr>
          <w:p w14:paraId="388A359A" w14:textId="77777777" w:rsidR="00BB138C" w:rsidRPr="00EF6679" w:rsidRDefault="00BB138C" w:rsidP="00820288">
            <w:pPr>
              <w:spacing w:line="240" w:lineRule="auto"/>
              <w:rPr>
                <w:rFonts w:ascii="Times New Roman" w:hAnsi="Times New Roman" w:cs="Times New Roman"/>
                <w:color w:val="000000" w:themeColor="text1"/>
                <w:sz w:val="18"/>
                <w:szCs w:val="18"/>
                <w:vertAlign w:val="superscript"/>
              </w:rPr>
            </w:pPr>
            <w:r w:rsidRPr="00EF6679">
              <w:rPr>
                <w:rFonts w:ascii="Times New Roman" w:hAnsi="Times New Roman" w:cs="Times New Roman"/>
                <w:color w:val="000000" w:themeColor="text1"/>
                <w:sz w:val="18"/>
                <w:szCs w:val="18"/>
                <w:vertAlign w:val="superscript"/>
              </w:rPr>
              <w:t>a</w:t>
            </w:r>
          </w:p>
        </w:tc>
        <w:tc>
          <w:tcPr>
            <w:tcW w:w="716" w:type="dxa"/>
            <w:noWrap/>
            <w:vAlign w:val="center"/>
          </w:tcPr>
          <w:p w14:paraId="29372FE9" w14:textId="77777777" w:rsidR="00BB138C" w:rsidRPr="00EF6679" w:rsidRDefault="00BB138C" w:rsidP="00820288">
            <w:pPr>
              <w:spacing w:line="240" w:lineRule="auto"/>
              <w:jc w:val="right"/>
              <w:rPr>
                <w:rFonts w:ascii="Times New Roman" w:hAnsi="Times New Roman" w:cs="Times New Roman"/>
                <w:color w:val="000000" w:themeColor="text1"/>
                <w:sz w:val="18"/>
                <w:szCs w:val="18"/>
              </w:rPr>
            </w:pPr>
            <w:r w:rsidRPr="00EF6679">
              <w:rPr>
                <w:rFonts w:ascii="Times New Roman" w:hAnsi="Times New Roman" w:cs="Times New Roman"/>
                <w:color w:val="000000"/>
                <w:sz w:val="18"/>
                <w:szCs w:val="18"/>
              </w:rPr>
              <w:t>25.657</w:t>
            </w:r>
          </w:p>
        </w:tc>
        <w:tc>
          <w:tcPr>
            <w:tcW w:w="717" w:type="dxa"/>
            <w:noWrap/>
            <w:vAlign w:val="center"/>
          </w:tcPr>
          <w:p w14:paraId="4535C4C0" w14:textId="77777777" w:rsidR="00BB138C" w:rsidRPr="00EF6679" w:rsidRDefault="00BB138C" w:rsidP="00820288">
            <w:pPr>
              <w:spacing w:line="240" w:lineRule="auto"/>
              <w:rPr>
                <w:rFonts w:ascii="Times New Roman" w:hAnsi="Times New Roman" w:cs="Times New Roman"/>
                <w:color w:val="000000" w:themeColor="text1"/>
                <w:sz w:val="18"/>
                <w:szCs w:val="18"/>
                <w:vertAlign w:val="superscript"/>
              </w:rPr>
            </w:pPr>
            <w:r w:rsidRPr="00EF6679">
              <w:rPr>
                <w:rFonts w:ascii="Times New Roman" w:hAnsi="Times New Roman" w:cs="Times New Roman"/>
                <w:color w:val="000000" w:themeColor="text1"/>
                <w:sz w:val="18"/>
                <w:szCs w:val="18"/>
                <w:vertAlign w:val="superscript"/>
              </w:rPr>
              <w:t>a</w:t>
            </w:r>
          </w:p>
        </w:tc>
        <w:tc>
          <w:tcPr>
            <w:tcW w:w="716" w:type="dxa"/>
            <w:noWrap/>
            <w:vAlign w:val="center"/>
          </w:tcPr>
          <w:p w14:paraId="3AC9E20D" w14:textId="77777777" w:rsidR="00BB138C" w:rsidRPr="00EF6679" w:rsidRDefault="00BB138C" w:rsidP="00820288">
            <w:pPr>
              <w:spacing w:line="240" w:lineRule="auto"/>
              <w:jc w:val="right"/>
              <w:rPr>
                <w:rFonts w:ascii="Times New Roman" w:hAnsi="Times New Roman" w:cs="Times New Roman"/>
                <w:color w:val="000000" w:themeColor="text1"/>
                <w:sz w:val="18"/>
                <w:szCs w:val="18"/>
              </w:rPr>
            </w:pPr>
            <w:r w:rsidRPr="00EF6679">
              <w:rPr>
                <w:rFonts w:ascii="Times New Roman" w:hAnsi="Times New Roman" w:cs="Times New Roman"/>
                <w:color w:val="000000"/>
                <w:sz w:val="18"/>
                <w:szCs w:val="18"/>
              </w:rPr>
              <w:t>21.536</w:t>
            </w:r>
          </w:p>
        </w:tc>
        <w:tc>
          <w:tcPr>
            <w:tcW w:w="717" w:type="dxa"/>
            <w:noWrap/>
            <w:vAlign w:val="center"/>
          </w:tcPr>
          <w:p w14:paraId="6DF1E091" w14:textId="77777777" w:rsidR="00BB138C" w:rsidRPr="00EF6679" w:rsidRDefault="00BB138C" w:rsidP="00820288">
            <w:pPr>
              <w:spacing w:line="240" w:lineRule="auto"/>
              <w:rPr>
                <w:rFonts w:ascii="Times New Roman" w:hAnsi="Times New Roman" w:cs="Times New Roman"/>
                <w:color w:val="000000" w:themeColor="text1"/>
                <w:sz w:val="18"/>
                <w:szCs w:val="18"/>
                <w:vertAlign w:val="superscript"/>
              </w:rPr>
            </w:pPr>
            <w:r w:rsidRPr="00EF6679">
              <w:rPr>
                <w:rFonts w:ascii="Times New Roman" w:hAnsi="Times New Roman" w:cs="Times New Roman"/>
                <w:color w:val="000000" w:themeColor="text1"/>
                <w:sz w:val="18"/>
                <w:szCs w:val="18"/>
                <w:vertAlign w:val="superscript"/>
              </w:rPr>
              <w:t>a</w:t>
            </w:r>
          </w:p>
        </w:tc>
        <w:tc>
          <w:tcPr>
            <w:tcW w:w="716" w:type="dxa"/>
            <w:noWrap/>
            <w:vAlign w:val="center"/>
          </w:tcPr>
          <w:p w14:paraId="7340FE54" w14:textId="77777777" w:rsidR="00BB138C" w:rsidRPr="00EF6679" w:rsidRDefault="00BB138C" w:rsidP="00820288">
            <w:pPr>
              <w:spacing w:line="240" w:lineRule="auto"/>
              <w:jc w:val="right"/>
              <w:rPr>
                <w:rFonts w:ascii="Times New Roman" w:hAnsi="Times New Roman" w:cs="Times New Roman"/>
                <w:color w:val="000000" w:themeColor="text1"/>
                <w:sz w:val="18"/>
                <w:szCs w:val="18"/>
              </w:rPr>
            </w:pPr>
            <w:r w:rsidRPr="00EF6679">
              <w:rPr>
                <w:rFonts w:ascii="Times New Roman" w:hAnsi="Times New Roman" w:cs="Times New Roman"/>
                <w:color w:val="000000"/>
                <w:sz w:val="18"/>
                <w:szCs w:val="18"/>
              </w:rPr>
              <w:t>26.916</w:t>
            </w:r>
          </w:p>
        </w:tc>
        <w:tc>
          <w:tcPr>
            <w:tcW w:w="718" w:type="dxa"/>
            <w:noWrap/>
            <w:vAlign w:val="center"/>
          </w:tcPr>
          <w:p w14:paraId="1F69CCD6" w14:textId="77777777" w:rsidR="00BB138C" w:rsidRPr="00EF6679" w:rsidRDefault="00BB138C" w:rsidP="00820288">
            <w:pPr>
              <w:spacing w:line="240" w:lineRule="auto"/>
              <w:rPr>
                <w:rFonts w:ascii="Times New Roman" w:hAnsi="Times New Roman" w:cs="Times New Roman"/>
                <w:color w:val="000000" w:themeColor="text1"/>
                <w:sz w:val="18"/>
                <w:szCs w:val="18"/>
                <w:vertAlign w:val="superscript"/>
              </w:rPr>
            </w:pPr>
            <w:r w:rsidRPr="00EF6679">
              <w:rPr>
                <w:rFonts w:ascii="Times New Roman" w:hAnsi="Times New Roman" w:cs="Times New Roman"/>
                <w:color w:val="000000" w:themeColor="text1"/>
                <w:sz w:val="18"/>
                <w:szCs w:val="18"/>
                <w:vertAlign w:val="superscript"/>
              </w:rPr>
              <w:t>a</w:t>
            </w:r>
          </w:p>
        </w:tc>
      </w:tr>
      <w:tr w:rsidR="00BB138C" w:rsidRPr="00EF6679" w14:paraId="5C46926D" w14:textId="77777777" w:rsidTr="00820288">
        <w:trPr>
          <w:trHeight w:val="378"/>
        </w:trPr>
        <w:tc>
          <w:tcPr>
            <w:tcW w:w="3583" w:type="dxa"/>
            <w:noWrap/>
            <w:vAlign w:val="bottom"/>
          </w:tcPr>
          <w:p w14:paraId="1AE1E065" w14:textId="77777777" w:rsidR="00BB138C" w:rsidRPr="00EF6679" w:rsidRDefault="00BB138C" w:rsidP="00820288">
            <w:pPr>
              <w:spacing w:line="240" w:lineRule="auto"/>
              <w:rPr>
                <w:rFonts w:ascii="Times New Roman" w:hAnsi="Times New Roman" w:cs="Times New Roman"/>
                <w:color w:val="000000" w:themeColor="text1"/>
                <w:sz w:val="20"/>
                <w:szCs w:val="20"/>
              </w:rPr>
            </w:pPr>
            <w:r w:rsidRPr="00EF6679">
              <w:rPr>
                <w:rFonts w:ascii="Times New Roman" w:hAnsi="Times New Roman" w:cs="Times New Roman"/>
                <w:color w:val="202124"/>
                <w:sz w:val="20"/>
                <w:szCs w:val="20"/>
                <w:shd w:val="clear" w:color="auto" w:fill="FFFFFF"/>
              </w:rPr>
              <w:t>α</w:t>
            </w:r>
            <w:r w:rsidRPr="00EF6679">
              <w:rPr>
                <w:rFonts w:ascii="Times New Roman" w:hAnsi="Times New Roman" w:cs="Times New Roman"/>
                <w:color w:val="000000" w:themeColor="text1"/>
                <w:sz w:val="20"/>
                <w:szCs w:val="20"/>
              </w:rPr>
              <w:t>-Terpinene/Total Terpinenes</w:t>
            </w:r>
          </w:p>
        </w:tc>
        <w:tc>
          <w:tcPr>
            <w:tcW w:w="716" w:type="dxa"/>
            <w:noWrap/>
            <w:vAlign w:val="center"/>
          </w:tcPr>
          <w:p w14:paraId="666A4A19" w14:textId="77777777" w:rsidR="00BB138C" w:rsidRPr="00EF6679" w:rsidRDefault="00BB138C" w:rsidP="00820288">
            <w:pPr>
              <w:spacing w:line="240" w:lineRule="auto"/>
              <w:jc w:val="right"/>
              <w:rPr>
                <w:rFonts w:ascii="Times New Roman" w:hAnsi="Times New Roman" w:cs="Times New Roman"/>
                <w:color w:val="000000" w:themeColor="text1"/>
                <w:sz w:val="18"/>
                <w:szCs w:val="18"/>
              </w:rPr>
            </w:pPr>
            <w:r w:rsidRPr="00EF6679">
              <w:rPr>
                <w:rFonts w:ascii="Times New Roman" w:hAnsi="Times New Roman" w:cs="Times New Roman"/>
                <w:color w:val="000000"/>
                <w:sz w:val="18"/>
                <w:szCs w:val="18"/>
              </w:rPr>
              <w:t>0.024</w:t>
            </w:r>
          </w:p>
        </w:tc>
        <w:tc>
          <w:tcPr>
            <w:tcW w:w="717" w:type="dxa"/>
            <w:noWrap/>
            <w:vAlign w:val="center"/>
          </w:tcPr>
          <w:p w14:paraId="16A97EE5" w14:textId="77777777" w:rsidR="00BB138C" w:rsidRPr="00EF6679" w:rsidRDefault="00BB138C" w:rsidP="00820288">
            <w:pPr>
              <w:spacing w:line="240" w:lineRule="auto"/>
              <w:rPr>
                <w:rFonts w:ascii="Times New Roman" w:hAnsi="Times New Roman" w:cs="Times New Roman"/>
                <w:color w:val="000000" w:themeColor="text1"/>
                <w:sz w:val="18"/>
                <w:szCs w:val="18"/>
                <w:vertAlign w:val="superscript"/>
              </w:rPr>
            </w:pPr>
            <w:r w:rsidRPr="00EF6679">
              <w:rPr>
                <w:rFonts w:ascii="Times New Roman" w:hAnsi="Times New Roman" w:cs="Times New Roman"/>
                <w:color w:val="000000" w:themeColor="text1"/>
                <w:sz w:val="18"/>
                <w:szCs w:val="18"/>
                <w:vertAlign w:val="superscript"/>
              </w:rPr>
              <w:t>a</w:t>
            </w:r>
          </w:p>
        </w:tc>
        <w:tc>
          <w:tcPr>
            <w:tcW w:w="716" w:type="dxa"/>
            <w:noWrap/>
            <w:vAlign w:val="center"/>
          </w:tcPr>
          <w:p w14:paraId="7F75DA8C" w14:textId="77777777" w:rsidR="00BB138C" w:rsidRPr="00EF6679" w:rsidRDefault="00BB138C" w:rsidP="00820288">
            <w:pPr>
              <w:spacing w:line="240" w:lineRule="auto"/>
              <w:jc w:val="right"/>
              <w:rPr>
                <w:rFonts w:ascii="Times New Roman" w:hAnsi="Times New Roman" w:cs="Times New Roman"/>
                <w:color w:val="000000" w:themeColor="text1"/>
                <w:sz w:val="18"/>
                <w:szCs w:val="18"/>
              </w:rPr>
            </w:pPr>
            <w:r w:rsidRPr="00EF6679">
              <w:rPr>
                <w:rFonts w:ascii="Times New Roman" w:hAnsi="Times New Roman" w:cs="Times New Roman"/>
                <w:color w:val="000000"/>
                <w:sz w:val="18"/>
                <w:szCs w:val="18"/>
              </w:rPr>
              <w:t>0.004</w:t>
            </w:r>
          </w:p>
        </w:tc>
        <w:tc>
          <w:tcPr>
            <w:tcW w:w="717" w:type="dxa"/>
            <w:noWrap/>
            <w:vAlign w:val="center"/>
          </w:tcPr>
          <w:p w14:paraId="674E3860" w14:textId="77777777" w:rsidR="00BB138C" w:rsidRPr="00EF6679" w:rsidRDefault="00BB138C" w:rsidP="00820288">
            <w:pPr>
              <w:spacing w:line="240" w:lineRule="auto"/>
              <w:rPr>
                <w:rFonts w:ascii="Times New Roman" w:hAnsi="Times New Roman" w:cs="Times New Roman"/>
                <w:color w:val="000000" w:themeColor="text1"/>
                <w:sz w:val="18"/>
                <w:szCs w:val="18"/>
                <w:vertAlign w:val="superscript"/>
              </w:rPr>
            </w:pPr>
            <w:r w:rsidRPr="00EF6679">
              <w:rPr>
                <w:rFonts w:ascii="Times New Roman" w:hAnsi="Times New Roman" w:cs="Times New Roman"/>
                <w:color w:val="000000" w:themeColor="text1"/>
                <w:sz w:val="18"/>
                <w:szCs w:val="18"/>
                <w:vertAlign w:val="superscript"/>
              </w:rPr>
              <w:t>a</w:t>
            </w:r>
          </w:p>
        </w:tc>
        <w:tc>
          <w:tcPr>
            <w:tcW w:w="716" w:type="dxa"/>
            <w:noWrap/>
            <w:vAlign w:val="center"/>
          </w:tcPr>
          <w:p w14:paraId="3ED59D1B" w14:textId="77777777" w:rsidR="00BB138C" w:rsidRPr="00EF6679" w:rsidRDefault="00BB138C" w:rsidP="00820288">
            <w:pPr>
              <w:spacing w:line="240" w:lineRule="auto"/>
              <w:jc w:val="right"/>
              <w:rPr>
                <w:rFonts w:ascii="Times New Roman" w:hAnsi="Times New Roman" w:cs="Times New Roman"/>
                <w:color w:val="000000" w:themeColor="text1"/>
                <w:sz w:val="18"/>
                <w:szCs w:val="18"/>
              </w:rPr>
            </w:pPr>
            <w:r w:rsidRPr="00EF6679">
              <w:rPr>
                <w:rFonts w:ascii="Times New Roman" w:hAnsi="Times New Roman" w:cs="Times New Roman"/>
                <w:color w:val="000000"/>
                <w:sz w:val="18"/>
                <w:szCs w:val="18"/>
              </w:rPr>
              <w:t>0.007</w:t>
            </w:r>
          </w:p>
        </w:tc>
        <w:tc>
          <w:tcPr>
            <w:tcW w:w="717" w:type="dxa"/>
            <w:noWrap/>
            <w:vAlign w:val="center"/>
          </w:tcPr>
          <w:p w14:paraId="23F8F3AB" w14:textId="77777777" w:rsidR="00BB138C" w:rsidRPr="00EF6679" w:rsidRDefault="00BB138C" w:rsidP="00820288">
            <w:pPr>
              <w:spacing w:line="240" w:lineRule="auto"/>
              <w:rPr>
                <w:rFonts w:ascii="Times New Roman" w:hAnsi="Times New Roman" w:cs="Times New Roman"/>
                <w:color w:val="000000" w:themeColor="text1"/>
                <w:sz w:val="18"/>
                <w:szCs w:val="18"/>
                <w:vertAlign w:val="superscript"/>
              </w:rPr>
            </w:pPr>
            <w:r w:rsidRPr="00EF6679">
              <w:rPr>
                <w:rFonts w:ascii="Times New Roman" w:hAnsi="Times New Roman" w:cs="Times New Roman"/>
                <w:color w:val="000000" w:themeColor="text1"/>
                <w:sz w:val="18"/>
                <w:szCs w:val="18"/>
                <w:vertAlign w:val="superscript"/>
              </w:rPr>
              <w:t>a</w:t>
            </w:r>
          </w:p>
        </w:tc>
        <w:tc>
          <w:tcPr>
            <w:tcW w:w="716" w:type="dxa"/>
            <w:noWrap/>
            <w:vAlign w:val="center"/>
          </w:tcPr>
          <w:p w14:paraId="20A8BF50" w14:textId="77777777" w:rsidR="00BB138C" w:rsidRPr="00EF6679" w:rsidRDefault="00BB138C" w:rsidP="00820288">
            <w:pPr>
              <w:spacing w:line="240" w:lineRule="auto"/>
              <w:jc w:val="right"/>
              <w:rPr>
                <w:rFonts w:ascii="Times New Roman" w:hAnsi="Times New Roman" w:cs="Times New Roman"/>
                <w:color w:val="000000" w:themeColor="text1"/>
                <w:sz w:val="18"/>
                <w:szCs w:val="18"/>
              </w:rPr>
            </w:pPr>
            <w:r w:rsidRPr="00EF6679">
              <w:rPr>
                <w:rFonts w:ascii="Times New Roman" w:hAnsi="Times New Roman" w:cs="Times New Roman"/>
                <w:color w:val="000000"/>
                <w:sz w:val="18"/>
                <w:szCs w:val="18"/>
              </w:rPr>
              <w:t>0.017</w:t>
            </w:r>
          </w:p>
        </w:tc>
        <w:tc>
          <w:tcPr>
            <w:tcW w:w="718" w:type="dxa"/>
            <w:noWrap/>
            <w:vAlign w:val="center"/>
          </w:tcPr>
          <w:p w14:paraId="04C031E3" w14:textId="77777777" w:rsidR="00BB138C" w:rsidRPr="00EF6679" w:rsidRDefault="00BB138C" w:rsidP="00820288">
            <w:pPr>
              <w:spacing w:line="240" w:lineRule="auto"/>
              <w:rPr>
                <w:rFonts w:ascii="Times New Roman" w:hAnsi="Times New Roman" w:cs="Times New Roman"/>
                <w:color w:val="000000" w:themeColor="text1"/>
                <w:sz w:val="18"/>
                <w:szCs w:val="18"/>
                <w:vertAlign w:val="superscript"/>
              </w:rPr>
            </w:pPr>
            <w:r w:rsidRPr="00EF6679">
              <w:rPr>
                <w:rFonts w:ascii="Times New Roman" w:hAnsi="Times New Roman" w:cs="Times New Roman"/>
                <w:color w:val="000000" w:themeColor="text1"/>
                <w:sz w:val="18"/>
                <w:szCs w:val="18"/>
                <w:vertAlign w:val="superscript"/>
              </w:rPr>
              <w:t>a</w:t>
            </w:r>
          </w:p>
        </w:tc>
      </w:tr>
      <w:tr w:rsidR="00BB138C" w:rsidRPr="00EF6679" w14:paraId="34596CB3" w14:textId="77777777" w:rsidTr="00820288">
        <w:trPr>
          <w:trHeight w:val="378"/>
        </w:trPr>
        <w:tc>
          <w:tcPr>
            <w:tcW w:w="3583" w:type="dxa"/>
            <w:noWrap/>
            <w:vAlign w:val="bottom"/>
          </w:tcPr>
          <w:p w14:paraId="1A6C4BF2" w14:textId="77777777" w:rsidR="00BB138C" w:rsidRPr="00EF6679" w:rsidRDefault="00BB138C" w:rsidP="00820288">
            <w:pPr>
              <w:spacing w:line="240" w:lineRule="auto"/>
              <w:rPr>
                <w:rFonts w:ascii="Times New Roman" w:hAnsi="Times New Roman" w:cs="Times New Roman"/>
                <w:color w:val="000000" w:themeColor="text1"/>
                <w:sz w:val="20"/>
                <w:szCs w:val="20"/>
              </w:rPr>
            </w:pPr>
            <w:r w:rsidRPr="00EF6679">
              <w:rPr>
                <w:rFonts w:ascii="Times New Roman" w:hAnsi="Times New Roman" w:cs="Times New Roman"/>
                <w:color w:val="202124"/>
                <w:sz w:val="20"/>
                <w:szCs w:val="20"/>
                <w:shd w:val="clear" w:color="auto" w:fill="FFFFFF"/>
              </w:rPr>
              <w:t>γ</w:t>
            </w:r>
            <w:r w:rsidRPr="00EF6679">
              <w:rPr>
                <w:rFonts w:ascii="Times New Roman" w:hAnsi="Times New Roman" w:cs="Times New Roman"/>
                <w:color w:val="000000" w:themeColor="text1"/>
                <w:sz w:val="20"/>
                <w:szCs w:val="20"/>
              </w:rPr>
              <w:t>-Terpinene/Total Terpinenes</w:t>
            </w:r>
          </w:p>
        </w:tc>
        <w:tc>
          <w:tcPr>
            <w:tcW w:w="716" w:type="dxa"/>
            <w:noWrap/>
            <w:vAlign w:val="center"/>
          </w:tcPr>
          <w:p w14:paraId="47AA4F6A" w14:textId="77777777" w:rsidR="00BB138C" w:rsidRPr="00EF6679" w:rsidRDefault="00BB138C" w:rsidP="00820288">
            <w:pPr>
              <w:spacing w:line="240" w:lineRule="auto"/>
              <w:jc w:val="right"/>
              <w:rPr>
                <w:rFonts w:ascii="Times New Roman" w:hAnsi="Times New Roman" w:cs="Times New Roman"/>
                <w:color w:val="000000" w:themeColor="text1"/>
                <w:sz w:val="18"/>
                <w:szCs w:val="18"/>
              </w:rPr>
            </w:pPr>
            <w:r w:rsidRPr="00EF6679">
              <w:rPr>
                <w:rFonts w:ascii="Times New Roman" w:hAnsi="Times New Roman" w:cs="Times New Roman"/>
                <w:color w:val="000000"/>
                <w:sz w:val="18"/>
                <w:szCs w:val="18"/>
              </w:rPr>
              <w:t>0.034</w:t>
            </w:r>
          </w:p>
        </w:tc>
        <w:tc>
          <w:tcPr>
            <w:tcW w:w="717" w:type="dxa"/>
            <w:noWrap/>
            <w:vAlign w:val="center"/>
          </w:tcPr>
          <w:p w14:paraId="6BB580CE" w14:textId="77777777" w:rsidR="00BB138C" w:rsidRPr="00EF6679" w:rsidRDefault="00BB138C" w:rsidP="00820288">
            <w:pPr>
              <w:spacing w:line="240" w:lineRule="auto"/>
              <w:rPr>
                <w:rFonts w:ascii="Times New Roman" w:hAnsi="Times New Roman" w:cs="Times New Roman"/>
                <w:color w:val="000000" w:themeColor="text1"/>
                <w:sz w:val="18"/>
                <w:szCs w:val="18"/>
                <w:vertAlign w:val="superscript"/>
              </w:rPr>
            </w:pPr>
            <w:r w:rsidRPr="00EF6679">
              <w:rPr>
                <w:rFonts w:ascii="Times New Roman" w:hAnsi="Times New Roman" w:cs="Times New Roman"/>
                <w:color w:val="000000" w:themeColor="text1"/>
                <w:sz w:val="18"/>
                <w:szCs w:val="18"/>
                <w:vertAlign w:val="superscript"/>
              </w:rPr>
              <w:t>a</w:t>
            </w:r>
          </w:p>
        </w:tc>
        <w:tc>
          <w:tcPr>
            <w:tcW w:w="716" w:type="dxa"/>
            <w:noWrap/>
            <w:vAlign w:val="center"/>
          </w:tcPr>
          <w:p w14:paraId="2D1B3CDF" w14:textId="77777777" w:rsidR="00BB138C" w:rsidRPr="00EF6679" w:rsidRDefault="00BB138C" w:rsidP="00820288">
            <w:pPr>
              <w:spacing w:line="240" w:lineRule="auto"/>
              <w:jc w:val="right"/>
              <w:rPr>
                <w:rFonts w:ascii="Times New Roman" w:hAnsi="Times New Roman" w:cs="Times New Roman"/>
                <w:color w:val="000000" w:themeColor="text1"/>
                <w:sz w:val="18"/>
                <w:szCs w:val="18"/>
              </w:rPr>
            </w:pPr>
            <w:r w:rsidRPr="00EF6679">
              <w:rPr>
                <w:rFonts w:ascii="Times New Roman" w:hAnsi="Times New Roman" w:cs="Times New Roman"/>
                <w:color w:val="000000"/>
                <w:sz w:val="18"/>
                <w:szCs w:val="18"/>
              </w:rPr>
              <w:t>0.008</w:t>
            </w:r>
          </w:p>
        </w:tc>
        <w:tc>
          <w:tcPr>
            <w:tcW w:w="717" w:type="dxa"/>
            <w:noWrap/>
            <w:vAlign w:val="center"/>
          </w:tcPr>
          <w:p w14:paraId="08FB0F5B" w14:textId="77777777" w:rsidR="00BB138C" w:rsidRPr="00EF6679" w:rsidRDefault="00BB138C" w:rsidP="00820288">
            <w:pPr>
              <w:spacing w:line="240" w:lineRule="auto"/>
              <w:rPr>
                <w:rFonts w:ascii="Times New Roman" w:hAnsi="Times New Roman" w:cs="Times New Roman"/>
                <w:color w:val="000000" w:themeColor="text1"/>
                <w:sz w:val="18"/>
                <w:szCs w:val="18"/>
                <w:vertAlign w:val="superscript"/>
              </w:rPr>
            </w:pPr>
            <w:r w:rsidRPr="00EF6679">
              <w:rPr>
                <w:rFonts w:ascii="Times New Roman" w:hAnsi="Times New Roman" w:cs="Times New Roman"/>
                <w:color w:val="000000" w:themeColor="text1"/>
                <w:sz w:val="18"/>
                <w:szCs w:val="18"/>
                <w:vertAlign w:val="superscript"/>
              </w:rPr>
              <w:t>a</w:t>
            </w:r>
          </w:p>
        </w:tc>
        <w:tc>
          <w:tcPr>
            <w:tcW w:w="716" w:type="dxa"/>
            <w:noWrap/>
            <w:vAlign w:val="center"/>
          </w:tcPr>
          <w:p w14:paraId="2288CF75" w14:textId="77777777" w:rsidR="00BB138C" w:rsidRPr="00EF6679" w:rsidRDefault="00BB138C" w:rsidP="00820288">
            <w:pPr>
              <w:spacing w:line="240" w:lineRule="auto"/>
              <w:jc w:val="right"/>
              <w:rPr>
                <w:rFonts w:ascii="Times New Roman" w:hAnsi="Times New Roman" w:cs="Times New Roman"/>
                <w:color w:val="000000" w:themeColor="text1"/>
                <w:sz w:val="18"/>
                <w:szCs w:val="18"/>
              </w:rPr>
            </w:pPr>
            <w:r w:rsidRPr="00EF6679">
              <w:rPr>
                <w:rFonts w:ascii="Times New Roman" w:hAnsi="Times New Roman" w:cs="Times New Roman"/>
                <w:color w:val="000000"/>
                <w:sz w:val="18"/>
                <w:szCs w:val="18"/>
              </w:rPr>
              <w:t>0.009</w:t>
            </w:r>
          </w:p>
        </w:tc>
        <w:tc>
          <w:tcPr>
            <w:tcW w:w="717" w:type="dxa"/>
            <w:noWrap/>
            <w:vAlign w:val="center"/>
          </w:tcPr>
          <w:p w14:paraId="758B7439" w14:textId="77777777" w:rsidR="00BB138C" w:rsidRPr="00EF6679" w:rsidRDefault="00BB138C" w:rsidP="00820288">
            <w:pPr>
              <w:spacing w:line="240" w:lineRule="auto"/>
              <w:rPr>
                <w:rFonts w:ascii="Times New Roman" w:hAnsi="Times New Roman" w:cs="Times New Roman"/>
                <w:color w:val="000000" w:themeColor="text1"/>
                <w:sz w:val="18"/>
                <w:szCs w:val="18"/>
                <w:vertAlign w:val="superscript"/>
              </w:rPr>
            </w:pPr>
            <w:r w:rsidRPr="00EF6679">
              <w:rPr>
                <w:rFonts w:ascii="Times New Roman" w:hAnsi="Times New Roman" w:cs="Times New Roman"/>
                <w:color w:val="000000" w:themeColor="text1"/>
                <w:sz w:val="18"/>
                <w:szCs w:val="18"/>
                <w:vertAlign w:val="superscript"/>
              </w:rPr>
              <w:t>a</w:t>
            </w:r>
          </w:p>
        </w:tc>
        <w:tc>
          <w:tcPr>
            <w:tcW w:w="716" w:type="dxa"/>
            <w:noWrap/>
            <w:vAlign w:val="center"/>
          </w:tcPr>
          <w:p w14:paraId="01F69BCF" w14:textId="77777777" w:rsidR="00BB138C" w:rsidRPr="00EF6679" w:rsidRDefault="00BB138C" w:rsidP="00820288">
            <w:pPr>
              <w:spacing w:line="240" w:lineRule="auto"/>
              <w:jc w:val="right"/>
              <w:rPr>
                <w:rFonts w:ascii="Times New Roman" w:hAnsi="Times New Roman" w:cs="Times New Roman"/>
                <w:color w:val="000000" w:themeColor="text1"/>
                <w:sz w:val="18"/>
                <w:szCs w:val="18"/>
              </w:rPr>
            </w:pPr>
            <w:r w:rsidRPr="00EF6679">
              <w:rPr>
                <w:rFonts w:ascii="Times New Roman" w:hAnsi="Times New Roman" w:cs="Times New Roman"/>
                <w:color w:val="000000"/>
                <w:sz w:val="18"/>
                <w:szCs w:val="18"/>
              </w:rPr>
              <w:t>0.021</w:t>
            </w:r>
          </w:p>
        </w:tc>
        <w:tc>
          <w:tcPr>
            <w:tcW w:w="718" w:type="dxa"/>
            <w:noWrap/>
            <w:vAlign w:val="center"/>
          </w:tcPr>
          <w:p w14:paraId="6CC3F34B" w14:textId="77777777" w:rsidR="00BB138C" w:rsidRPr="00EF6679" w:rsidRDefault="00BB138C" w:rsidP="00820288">
            <w:pPr>
              <w:spacing w:line="240" w:lineRule="auto"/>
              <w:rPr>
                <w:rFonts w:ascii="Times New Roman" w:hAnsi="Times New Roman" w:cs="Times New Roman"/>
                <w:color w:val="000000" w:themeColor="text1"/>
                <w:sz w:val="18"/>
                <w:szCs w:val="18"/>
                <w:vertAlign w:val="superscript"/>
              </w:rPr>
            </w:pPr>
            <w:r w:rsidRPr="00EF6679">
              <w:rPr>
                <w:rFonts w:ascii="Times New Roman" w:hAnsi="Times New Roman" w:cs="Times New Roman"/>
                <w:color w:val="000000" w:themeColor="text1"/>
                <w:sz w:val="18"/>
                <w:szCs w:val="18"/>
                <w:vertAlign w:val="superscript"/>
              </w:rPr>
              <w:t>a</w:t>
            </w:r>
          </w:p>
        </w:tc>
      </w:tr>
      <w:tr w:rsidR="00BB138C" w:rsidRPr="00EF6679" w14:paraId="5205184C" w14:textId="77777777" w:rsidTr="00820288">
        <w:trPr>
          <w:trHeight w:val="378"/>
        </w:trPr>
        <w:tc>
          <w:tcPr>
            <w:tcW w:w="3583" w:type="dxa"/>
            <w:tcBorders>
              <w:bottom w:val="single" w:sz="4" w:space="0" w:color="auto"/>
            </w:tcBorders>
            <w:noWrap/>
            <w:vAlign w:val="bottom"/>
          </w:tcPr>
          <w:p w14:paraId="65ABE185" w14:textId="77777777" w:rsidR="00BB138C" w:rsidRPr="00EF6679" w:rsidRDefault="00BB138C" w:rsidP="00820288">
            <w:pPr>
              <w:spacing w:line="240" w:lineRule="auto"/>
              <w:rPr>
                <w:rFonts w:ascii="Times New Roman" w:hAnsi="Times New Roman" w:cs="Times New Roman"/>
                <w:color w:val="000000" w:themeColor="text1"/>
                <w:sz w:val="20"/>
                <w:szCs w:val="20"/>
              </w:rPr>
            </w:pPr>
            <w:r w:rsidRPr="00EF6679">
              <w:rPr>
                <w:rFonts w:ascii="Times New Roman" w:hAnsi="Times New Roman" w:cs="Times New Roman"/>
                <w:color w:val="000000" w:themeColor="text1"/>
                <w:sz w:val="20"/>
                <w:szCs w:val="20"/>
              </w:rPr>
              <w:t>Terpinolene/Total Terpinenes</w:t>
            </w:r>
          </w:p>
        </w:tc>
        <w:tc>
          <w:tcPr>
            <w:tcW w:w="716" w:type="dxa"/>
            <w:tcBorders>
              <w:bottom w:val="single" w:sz="4" w:space="0" w:color="auto"/>
            </w:tcBorders>
            <w:noWrap/>
            <w:vAlign w:val="center"/>
          </w:tcPr>
          <w:p w14:paraId="0DF7AAFF" w14:textId="77777777" w:rsidR="00BB138C" w:rsidRPr="00EF6679" w:rsidRDefault="00BB138C" w:rsidP="00820288">
            <w:pPr>
              <w:spacing w:line="240" w:lineRule="auto"/>
              <w:jc w:val="right"/>
              <w:rPr>
                <w:rFonts w:ascii="Times New Roman" w:hAnsi="Times New Roman" w:cs="Times New Roman"/>
                <w:color w:val="000000" w:themeColor="text1"/>
                <w:sz w:val="18"/>
                <w:szCs w:val="18"/>
              </w:rPr>
            </w:pPr>
            <w:r w:rsidRPr="00EF6679">
              <w:rPr>
                <w:rFonts w:ascii="Times New Roman" w:hAnsi="Times New Roman" w:cs="Times New Roman"/>
                <w:color w:val="000000"/>
                <w:sz w:val="18"/>
                <w:szCs w:val="18"/>
              </w:rPr>
              <w:t>0.942</w:t>
            </w:r>
          </w:p>
        </w:tc>
        <w:tc>
          <w:tcPr>
            <w:tcW w:w="717" w:type="dxa"/>
            <w:tcBorders>
              <w:bottom w:val="single" w:sz="4" w:space="0" w:color="auto"/>
            </w:tcBorders>
            <w:noWrap/>
            <w:vAlign w:val="center"/>
          </w:tcPr>
          <w:p w14:paraId="7167BFE4" w14:textId="77777777" w:rsidR="00BB138C" w:rsidRPr="00EF6679" w:rsidRDefault="00BB138C" w:rsidP="00820288">
            <w:pPr>
              <w:spacing w:line="240" w:lineRule="auto"/>
              <w:rPr>
                <w:rFonts w:ascii="Times New Roman" w:hAnsi="Times New Roman" w:cs="Times New Roman"/>
                <w:color w:val="000000" w:themeColor="text1"/>
                <w:sz w:val="18"/>
                <w:szCs w:val="18"/>
                <w:vertAlign w:val="superscript"/>
              </w:rPr>
            </w:pPr>
            <w:r w:rsidRPr="00EF6679">
              <w:rPr>
                <w:rFonts w:ascii="Times New Roman" w:hAnsi="Times New Roman" w:cs="Times New Roman"/>
                <w:color w:val="000000" w:themeColor="text1"/>
                <w:sz w:val="18"/>
                <w:szCs w:val="18"/>
                <w:vertAlign w:val="superscript"/>
              </w:rPr>
              <w:t>a</w:t>
            </w:r>
          </w:p>
        </w:tc>
        <w:tc>
          <w:tcPr>
            <w:tcW w:w="716" w:type="dxa"/>
            <w:tcBorders>
              <w:bottom w:val="single" w:sz="4" w:space="0" w:color="auto"/>
            </w:tcBorders>
            <w:noWrap/>
            <w:vAlign w:val="center"/>
          </w:tcPr>
          <w:p w14:paraId="34398411" w14:textId="77777777" w:rsidR="00BB138C" w:rsidRPr="00EF6679" w:rsidRDefault="00BB138C" w:rsidP="00820288">
            <w:pPr>
              <w:spacing w:line="240" w:lineRule="auto"/>
              <w:jc w:val="right"/>
              <w:rPr>
                <w:rFonts w:ascii="Times New Roman" w:hAnsi="Times New Roman" w:cs="Times New Roman"/>
                <w:color w:val="000000" w:themeColor="text1"/>
                <w:sz w:val="18"/>
                <w:szCs w:val="18"/>
              </w:rPr>
            </w:pPr>
            <w:r w:rsidRPr="00EF6679">
              <w:rPr>
                <w:rFonts w:ascii="Times New Roman" w:hAnsi="Times New Roman" w:cs="Times New Roman"/>
                <w:color w:val="000000"/>
                <w:sz w:val="18"/>
                <w:szCs w:val="18"/>
              </w:rPr>
              <w:t>0.988</w:t>
            </w:r>
          </w:p>
        </w:tc>
        <w:tc>
          <w:tcPr>
            <w:tcW w:w="717" w:type="dxa"/>
            <w:tcBorders>
              <w:bottom w:val="single" w:sz="4" w:space="0" w:color="auto"/>
            </w:tcBorders>
            <w:noWrap/>
            <w:vAlign w:val="center"/>
          </w:tcPr>
          <w:p w14:paraId="1D8C4BEE" w14:textId="77777777" w:rsidR="00BB138C" w:rsidRPr="00EF6679" w:rsidRDefault="00BB138C" w:rsidP="00820288">
            <w:pPr>
              <w:spacing w:line="240" w:lineRule="auto"/>
              <w:rPr>
                <w:rFonts w:ascii="Times New Roman" w:hAnsi="Times New Roman" w:cs="Times New Roman"/>
                <w:color w:val="000000" w:themeColor="text1"/>
                <w:sz w:val="18"/>
                <w:szCs w:val="18"/>
                <w:vertAlign w:val="superscript"/>
              </w:rPr>
            </w:pPr>
            <w:r w:rsidRPr="00EF6679">
              <w:rPr>
                <w:rFonts w:ascii="Times New Roman" w:hAnsi="Times New Roman" w:cs="Times New Roman"/>
                <w:color w:val="000000" w:themeColor="text1"/>
                <w:sz w:val="18"/>
                <w:szCs w:val="18"/>
                <w:vertAlign w:val="superscript"/>
              </w:rPr>
              <w:t>a</w:t>
            </w:r>
          </w:p>
        </w:tc>
        <w:tc>
          <w:tcPr>
            <w:tcW w:w="716" w:type="dxa"/>
            <w:tcBorders>
              <w:bottom w:val="single" w:sz="4" w:space="0" w:color="auto"/>
            </w:tcBorders>
            <w:noWrap/>
            <w:vAlign w:val="center"/>
          </w:tcPr>
          <w:p w14:paraId="2A49B571" w14:textId="77777777" w:rsidR="00BB138C" w:rsidRPr="00EF6679" w:rsidRDefault="00BB138C" w:rsidP="00820288">
            <w:pPr>
              <w:spacing w:line="240" w:lineRule="auto"/>
              <w:jc w:val="right"/>
              <w:rPr>
                <w:rFonts w:ascii="Times New Roman" w:hAnsi="Times New Roman" w:cs="Times New Roman"/>
                <w:color w:val="000000" w:themeColor="text1"/>
                <w:sz w:val="18"/>
                <w:szCs w:val="18"/>
              </w:rPr>
            </w:pPr>
            <w:r w:rsidRPr="00EF6679">
              <w:rPr>
                <w:rFonts w:ascii="Times New Roman" w:hAnsi="Times New Roman" w:cs="Times New Roman"/>
                <w:color w:val="000000"/>
                <w:sz w:val="18"/>
                <w:szCs w:val="18"/>
              </w:rPr>
              <w:t>0.984</w:t>
            </w:r>
          </w:p>
        </w:tc>
        <w:tc>
          <w:tcPr>
            <w:tcW w:w="717" w:type="dxa"/>
            <w:tcBorders>
              <w:bottom w:val="single" w:sz="4" w:space="0" w:color="auto"/>
            </w:tcBorders>
            <w:noWrap/>
            <w:vAlign w:val="center"/>
          </w:tcPr>
          <w:p w14:paraId="68C26A91" w14:textId="77777777" w:rsidR="00BB138C" w:rsidRPr="00EF6679" w:rsidRDefault="00BB138C" w:rsidP="00820288">
            <w:pPr>
              <w:spacing w:line="240" w:lineRule="auto"/>
              <w:rPr>
                <w:rFonts w:ascii="Times New Roman" w:hAnsi="Times New Roman" w:cs="Times New Roman"/>
                <w:color w:val="000000" w:themeColor="text1"/>
                <w:sz w:val="18"/>
                <w:szCs w:val="18"/>
                <w:vertAlign w:val="superscript"/>
              </w:rPr>
            </w:pPr>
            <w:r w:rsidRPr="00EF6679">
              <w:rPr>
                <w:rFonts w:ascii="Times New Roman" w:hAnsi="Times New Roman" w:cs="Times New Roman"/>
                <w:color w:val="000000" w:themeColor="text1"/>
                <w:sz w:val="18"/>
                <w:szCs w:val="18"/>
                <w:vertAlign w:val="superscript"/>
              </w:rPr>
              <w:t>a</w:t>
            </w:r>
          </w:p>
        </w:tc>
        <w:tc>
          <w:tcPr>
            <w:tcW w:w="716" w:type="dxa"/>
            <w:tcBorders>
              <w:bottom w:val="single" w:sz="4" w:space="0" w:color="auto"/>
            </w:tcBorders>
            <w:noWrap/>
            <w:vAlign w:val="center"/>
          </w:tcPr>
          <w:p w14:paraId="057F3790" w14:textId="77777777" w:rsidR="00BB138C" w:rsidRPr="00EF6679" w:rsidRDefault="00BB138C" w:rsidP="00820288">
            <w:pPr>
              <w:spacing w:line="240" w:lineRule="auto"/>
              <w:jc w:val="right"/>
              <w:rPr>
                <w:rFonts w:ascii="Times New Roman" w:hAnsi="Times New Roman" w:cs="Times New Roman"/>
                <w:color w:val="000000" w:themeColor="text1"/>
                <w:sz w:val="18"/>
                <w:szCs w:val="18"/>
              </w:rPr>
            </w:pPr>
            <w:r w:rsidRPr="00EF6679">
              <w:rPr>
                <w:rFonts w:ascii="Times New Roman" w:hAnsi="Times New Roman" w:cs="Times New Roman"/>
                <w:color w:val="000000"/>
                <w:sz w:val="18"/>
                <w:szCs w:val="18"/>
              </w:rPr>
              <w:t>0.961</w:t>
            </w:r>
          </w:p>
        </w:tc>
        <w:tc>
          <w:tcPr>
            <w:tcW w:w="718" w:type="dxa"/>
            <w:tcBorders>
              <w:bottom w:val="single" w:sz="4" w:space="0" w:color="auto"/>
            </w:tcBorders>
            <w:noWrap/>
            <w:vAlign w:val="center"/>
          </w:tcPr>
          <w:p w14:paraId="7C833E97" w14:textId="77777777" w:rsidR="00BB138C" w:rsidRPr="00EF6679" w:rsidRDefault="00BB138C" w:rsidP="00820288">
            <w:pPr>
              <w:spacing w:line="240" w:lineRule="auto"/>
              <w:rPr>
                <w:rFonts w:ascii="Times New Roman" w:hAnsi="Times New Roman" w:cs="Times New Roman"/>
                <w:color w:val="000000" w:themeColor="text1"/>
                <w:sz w:val="18"/>
                <w:szCs w:val="18"/>
                <w:vertAlign w:val="superscript"/>
              </w:rPr>
            </w:pPr>
            <w:r w:rsidRPr="00EF6679">
              <w:rPr>
                <w:rFonts w:ascii="Times New Roman" w:hAnsi="Times New Roman" w:cs="Times New Roman"/>
                <w:color w:val="000000" w:themeColor="text1"/>
                <w:sz w:val="18"/>
                <w:szCs w:val="18"/>
                <w:vertAlign w:val="superscript"/>
              </w:rPr>
              <w:t>a</w:t>
            </w:r>
          </w:p>
        </w:tc>
      </w:tr>
    </w:tbl>
    <w:p w14:paraId="2881F5C0" w14:textId="77777777" w:rsidR="00BB138C" w:rsidRPr="00EF6679" w:rsidRDefault="00BB138C" w:rsidP="00BB138C">
      <w:pPr>
        <w:spacing w:line="240" w:lineRule="auto"/>
        <w:jc w:val="both"/>
        <w:rPr>
          <w:rFonts w:cs="Times New Roman"/>
          <w:color w:val="000000" w:themeColor="text1"/>
          <w:sz w:val="20"/>
          <w:szCs w:val="20"/>
        </w:rPr>
      </w:pPr>
      <w:r w:rsidRPr="00EF6679">
        <w:rPr>
          <w:rFonts w:cs="Times New Roman"/>
          <w:color w:val="000000" w:themeColor="text1"/>
          <w:sz w:val="20"/>
          <w:szCs w:val="20"/>
        </w:rPr>
        <w:t>Total concentration is presented in micro molarity of analyte per gram of fresh mass (µM</w:t>
      </w:r>
      <w:r w:rsidRPr="00EF6679">
        <w:rPr>
          <w:rFonts w:cs="Times New Roman"/>
          <w:color w:val="000000" w:themeColor="text1"/>
          <w:sz w:val="20"/>
          <w:szCs w:val="20"/>
        </w:rPr>
        <w:sym w:font="Symbol" w:char="F0D7"/>
      </w:r>
      <w:r w:rsidRPr="00EF6679">
        <w:rPr>
          <w:rFonts w:cs="Times New Roman"/>
          <w:color w:val="000000" w:themeColor="text1"/>
          <w:sz w:val="20"/>
          <w:szCs w:val="20"/>
        </w:rPr>
        <w:t>g</w:t>
      </w:r>
      <w:r w:rsidRPr="00EF6679">
        <w:rPr>
          <w:rFonts w:cs="Times New Roman"/>
          <w:color w:val="000000" w:themeColor="text1"/>
          <w:sz w:val="20"/>
          <w:szCs w:val="20"/>
          <w:vertAlign w:val="superscript"/>
        </w:rPr>
        <w:t>-1</w:t>
      </w:r>
      <w:r w:rsidRPr="00EF6679">
        <w:rPr>
          <w:rFonts w:cs="Times New Roman"/>
          <w:color w:val="000000" w:themeColor="text1"/>
          <w:sz w:val="20"/>
          <w:szCs w:val="20"/>
        </w:rPr>
        <w:t xml:space="preserve"> FM). All ratios represent mean values of two plants per replication and ten replications per treatment. Values for each season are averaged across all treatments within that season. Values were analyzed using Tukey’s (protected) honest significant difference test. Data in the same row followed by the same letter are not significantly different (α = 0.05). </w:t>
      </w:r>
    </w:p>
    <w:p w14:paraId="1CBD8DEF" w14:textId="77777777" w:rsidR="00BB138C" w:rsidRPr="00EF6679" w:rsidRDefault="00BB138C" w:rsidP="00BB138C">
      <w:pPr>
        <w:spacing w:line="240" w:lineRule="auto"/>
        <w:rPr>
          <w:rFonts w:cs="Times New Roman"/>
          <w:b/>
          <w:bCs/>
          <w:color w:val="000000" w:themeColor="text1"/>
        </w:rPr>
      </w:pPr>
    </w:p>
    <w:p w14:paraId="2EFAD2BB" w14:textId="77777777" w:rsidR="00BB138C" w:rsidRPr="00EF6679" w:rsidRDefault="00BB138C" w:rsidP="00BB138C">
      <w:pPr>
        <w:spacing w:line="240" w:lineRule="auto"/>
        <w:rPr>
          <w:rFonts w:cs="Times New Roman"/>
          <w:b/>
          <w:bCs/>
          <w:color w:val="000000" w:themeColor="text1"/>
        </w:rPr>
      </w:pPr>
    </w:p>
    <w:p w14:paraId="67731FA8" w14:textId="77777777" w:rsidR="00BB138C" w:rsidRPr="00EF6679" w:rsidRDefault="00BB138C" w:rsidP="00BB138C">
      <w:pPr>
        <w:spacing w:line="240" w:lineRule="auto"/>
        <w:rPr>
          <w:rFonts w:cs="Times New Roman"/>
          <w:b/>
          <w:bCs/>
          <w:color w:val="000000" w:themeColor="text1"/>
        </w:rPr>
      </w:pPr>
    </w:p>
    <w:p w14:paraId="4692540F" w14:textId="77777777" w:rsidR="00BB138C" w:rsidRPr="00EF6679" w:rsidRDefault="00BB138C" w:rsidP="00BB138C">
      <w:pPr>
        <w:spacing w:line="240" w:lineRule="auto"/>
        <w:rPr>
          <w:rFonts w:cs="Times New Roman"/>
          <w:b/>
          <w:bCs/>
          <w:color w:val="000000" w:themeColor="text1"/>
        </w:rPr>
      </w:pPr>
      <w:r w:rsidRPr="00EF6679">
        <w:rPr>
          <w:rFonts w:cs="Times New Roman"/>
          <w:b/>
          <w:bCs/>
          <w:color w:val="000000" w:themeColor="text1"/>
        </w:rPr>
        <w:br w:type="page"/>
      </w:r>
    </w:p>
    <w:p w14:paraId="76AFB018" w14:textId="15C95208" w:rsidR="00BB138C" w:rsidRPr="00EF6679" w:rsidRDefault="00BB138C" w:rsidP="00BB138C">
      <w:pPr>
        <w:pStyle w:val="TableTOC"/>
        <w:ind w:right="90"/>
        <w:jc w:val="both"/>
        <w:rPr>
          <w:rFonts w:cs="Times New Roman"/>
          <w:color w:val="000000" w:themeColor="text1"/>
          <w:sz w:val="14"/>
          <w:szCs w:val="14"/>
        </w:rPr>
      </w:pPr>
      <w:bookmarkStart w:id="713" w:name="_Toc141478792"/>
      <w:r w:rsidRPr="00EF6679">
        <w:rPr>
          <w:rFonts w:cs="Times New Roman"/>
          <w:b/>
          <w:bCs/>
          <w:color w:val="000000" w:themeColor="text1"/>
        </w:rPr>
        <w:lastRenderedPageBreak/>
        <w:t xml:space="preserve">Table </w:t>
      </w:r>
      <w:r w:rsidR="00BA2365" w:rsidRPr="00EF6679">
        <w:rPr>
          <w:rFonts w:cs="Times New Roman"/>
          <w:b/>
          <w:bCs/>
        </w:rPr>
        <w:t>5.</w:t>
      </w:r>
      <w:r w:rsidRPr="00EF6679">
        <w:rPr>
          <w:rFonts w:cs="Times New Roman"/>
          <w:b/>
          <w:bCs/>
          <w:color w:val="000000" w:themeColor="text1"/>
        </w:rPr>
        <w:t xml:space="preserve">8. </w:t>
      </w:r>
      <w:r w:rsidRPr="00EF6679">
        <w:rPr>
          <w:rFonts w:cs="Times New Roman"/>
          <w:color w:val="000000" w:themeColor="text1"/>
        </w:rPr>
        <w:t>Demographics of participants in sensory evaluation by growing season.</w:t>
      </w:r>
      <w:bookmarkEnd w:id="713"/>
    </w:p>
    <w:p w14:paraId="4D037118" w14:textId="77777777" w:rsidR="00BB138C" w:rsidRPr="00EF6679" w:rsidRDefault="00BB138C" w:rsidP="00BB138C">
      <w:pPr>
        <w:spacing w:line="240" w:lineRule="auto"/>
        <w:rPr>
          <w:rFonts w:cs="Times New Roman"/>
          <w:color w:val="000000" w:themeColor="text1"/>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14" w:type="dxa"/>
        </w:tblCellMar>
        <w:tblLook w:val="04A0" w:firstRow="1" w:lastRow="0" w:firstColumn="1" w:lastColumn="0" w:noHBand="0" w:noVBand="1"/>
      </w:tblPr>
      <w:tblGrid>
        <w:gridCol w:w="3456"/>
        <w:gridCol w:w="1728"/>
        <w:gridCol w:w="1728"/>
      </w:tblGrid>
      <w:tr w:rsidR="00BB138C" w:rsidRPr="00EF6679" w14:paraId="5A36119F" w14:textId="77777777" w:rsidTr="00820288">
        <w:trPr>
          <w:trHeight w:val="306"/>
        </w:trPr>
        <w:tc>
          <w:tcPr>
            <w:tcW w:w="3456" w:type="dxa"/>
            <w:tcBorders>
              <w:top w:val="single" w:sz="4" w:space="0" w:color="auto"/>
            </w:tcBorders>
            <w:noWrap/>
            <w:vAlign w:val="center"/>
          </w:tcPr>
          <w:p w14:paraId="1816809C" w14:textId="77777777" w:rsidR="00BB138C" w:rsidRPr="00EF6679" w:rsidRDefault="00BB138C" w:rsidP="00820288">
            <w:pPr>
              <w:spacing w:line="240" w:lineRule="auto"/>
              <w:rPr>
                <w:rFonts w:ascii="Times New Roman" w:hAnsi="Times New Roman" w:cs="Times New Roman"/>
                <w:color w:val="000000" w:themeColor="text1"/>
                <w:sz w:val="22"/>
                <w:szCs w:val="22"/>
              </w:rPr>
            </w:pPr>
          </w:p>
        </w:tc>
        <w:tc>
          <w:tcPr>
            <w:tcW w:w="3456" w:type="dxa"/>
            <w:gridSpan w:val="2"/>
            <w:tcBorders>
              <w:top w:val="single" w:sz="4" w:space="0" w:color="auto"/>
              <w:bottom w:val="single" w:sz="4" w:space="0" w:color="auto"/>
            </w:tcBorders>
            <w:noWrap/>
            <w:vAlign w:val="center"/>
          </w:tcPr>
          <w:p w14:paraId="3250A0D0" w14:textId="77777777" w:rsidR="00BB138C" w:rsidRPr="00EF6679" w:rsidRDefault="00BB138C" w:rsidP="00820288">
            <w:pPr>
              <w:spacing w:line="240" w:lineRule="auto"/>
              <w:jc w:val="center"/>
              <w:rPr>
                <w:rFonts w:ascii="Times New Roman" w:hAnsi="Times New Roman" w:cs="Times New Roman"/>
                <w:b/>
                <w:bCs/>
                <w:color w:val="000000" w:themeColor="text1"/>
                <w:sz w:val="22"/>
                <w:szCs w:val="22"/>
              </w:rPr>
            </w:pPr>
            <w:r w:rsidRPr="00EF6679">
              <w:rPr>
                <w:rFonts w:ascii="Times New Roman" w:hAnsi="Times New Roman" w:cs="Times New Roman"/>
                <w:b/>
                <w:bCs/>
                <w:color w:val="000000" w:themeColor="text1"/>
                <w:sz w:val="22"/>
                <w:szCs w:val="22"/>
              </w:rPr>
              <w:t>Growing Season</w:t>
            </w:r>
          </w:p>
        </w:tc>
      </w:tr>
      <w:tr w:rsidR="00BB138C" w:rsidRPr="00EF6679" w14:paraId="42172F5F" w14:textId="77777777" w:rsidTr="00820288">
        <w:trPr>
          <w:trHeight w:val="306"/>
        </w:trPr>
        <w:tc>
          <w:tcPr>
            <w:tcW w:w="3456" w:type="dxa"/>
            <w:tcBorders>
              <w:bottom w:val="single" w:sz="4" w:space="0" w:color="auto"/>
            </w:tcBorders>
            <w:noWrap/>
            <w:vAlign w:val="center"/>
            <w:hideMark/>
          </w:tcPr>
          <w:p w14:paraId="674ED43B" w14:textId="77777777" w:rsidR="00BB138C" w:rsidRPr="00EF6679" w:rsidRDefault="00BB138C" w:rsidP="00820288">
            <w:pPr>
              <w:spacing w:line="240" w:lineRule="auto"/>
              <w:rPr>
                <w:rFonts w:ascii="Times New Roman" w:hAnsi="Times New Roman" w:cs="Times New Roman"/>
                <w:b/>
                <w:bCs/>
                <w:color w:val="000000" w:themeColor="text1"/>
                <w:sz w:val="22"/>
                <w:szCs w:val="22"/>
              </w:rPr>
            </w:pPr>
          </w:p>
        </w:tc>
        <w:tc>
          <w:tcPr>
            <w:tcW w:w="1728" w:type="dxa"/>
            <w:tcBorders>
              <w:top w:val="single" w:sz="4" w:space="0" w:color="auto"/>
              <w:bottom w:val="single" w:sz="4" w:space="0" w:color="auto"/>
            </w:tcBorders>
            <w:noWrap/>
            <w:vAlign w:val="center"/>
            <w:hideMark/>
          </w:tcPr>
          <w:p w14:paraId="5630C29C" w14:textId="77777777" w:rsidR="00BB138C" w:rsidRPr="00EF6679" w:rsidRDefault="00BB138C" w:rsidP="00820288">
            <w:pPr>
              <w:spacing w:line="240" w:lineRule="auto"/>
              <w:jc w:val="center"/>
              <w:rPr>
                <w:rFonts w:ascii="Times New Roman" w:hAnsi="Times New Roman" w:cs="Times New Roman"/>
                <w:b/>
                <w:bCs/>
                <w:color w:val="000000" w:themeColor="text1"/>
                <w:sz w:val="22"/>
                <w:szCs w:val="22"/>
              </w:rPr>
            </w:pPr>
            <w:r w:rsidRPr="00EF6679">
              <w:rPr>
                <w:rFonts w:ascii="Times New Roman" w:hAnsi="Times New Roman" w:cs="Times New Roman"/>
                <w:b/>
                <w:bCs/>
                <w:color w:val="000000" w:themeColor="text1"/>
                <w:sz w:val="22"/>
                <w:szCs w:val="22"/>
              </w:rPr>
              <w:t>Summer</w:t>
            </w:r>
          </w:p>
        </w:tc>
        <w:tc>
          <w:tcPr>
            <w:tcW w:w="1728" w:type="dxa"/>
            <w:tcBorders>
              <w:top w:val="single" w:sz="4" w:space="0" w:color="auto"/>
              <w:bottom w:val="single" w:sz="4" w:space="0" w:color="auto"/>
            </w:tcBorders>
            <w:noWrap/>
            <w:vAlign w:val="center"/>
            <w:hideMark/>
          </w:tcPr>
          <w:p w14:paraId="27A6B915" w14:textId="77777777" w:rsidR="00BB138C" w:rsidRPr="00EF6679" w:rsidRDefault="00BB138C" w:rsidP="00820288">
            <w:pPr>
              <w:spacing w:line="240" w:lineRule="auto"/>
              <w:jc w:val="center"/>
              <w:rPr>
                <w:rFonts w:ascii="Times New Roman" w:hAnsi="Times New Roman" w:cs="Times New Roman"/>
                <w:b/>
                <w:bCs/>
                <w:color w:val="000000" w:themeColor="text1"/>
                <w:sz w:val="22"/>
                <w:szCs w:val="22"/>
              </w:rPr>
            </w:pPr>
            <w:r w:rsidRPr="00EF6679">
              <w:rPr>
                <w:rFonts w:ascii="Times New Roman" w:hAnsi="Times New Roman" w:cs="Times New Roman"/>
                <w:b/>
                <w:bCs/>
                <w:color w:val="000000" w:themeColor="text1"/>
                <w:sz w:val="22"/>
                <w:szCs w:val="22"/>
              </w:rPr>
              <w:t>Winter</w:t>
            </w:r>
          </w:p>
        </w:tc>
      </w:tr>
      <w:tr w:rsidR="00BB138C" w:rsidRPr="00EF6679" w14:paraId="33A93793" w14:textId="77777777" w:rsidTr="00820288">
        <w:trPr>
          <w:trHeight w:val="306"/>
        </w:trPr>
        <w:tc>
          <w:tcPr>
            <w:tcW w:w="3456" w:type="dxa"/>
            <w:tcBorders>
              <w:top w:val="single" w:sz="4" w:space="0" w:color="auto"/>
            </w:tcBorders>
            <w:noWrap/>
            <w:vAlign w:val="bottom"/>
            <w:hideMark/>
          </w:tcPr>
          <w:p w14:paraId="0E813A10" w14:textId="77777777" w:rsidR="00BB138C" w:rsidRPr="00EF6679" w:rsidRDefault="00BB138C" w:rsidP="00820288">
            <w:pPr>
              <w:spacing w:line="240" w:lineRule="auto"/>
              <w:rPr>
                <w:rFonts w:ascii="Times New Roman" w:hAnsi="Times New Roman" w:cs="Times New Roman"/>
                <w:b/>
                <w:bCs/>
                <w:color w:val="000000" w:themeColor="text1"/>
                <w:sz w:val="22"/>
                <w:szCs w:val="22"/>
              </w:rPr>
            </w:pPr>
            <w:r w:rsidRPr="00EF6679">
              <w:rPr>
                <w:rFonts w:ascii="Times New Roman" w:hAnsi="Times New Roman" w:cs="Times New Roman"/>
                <w:b/>
                <w:bCs/>
                <w:color w:val="000000" w:themeColor="text1"/>
                <w:sz w:val="22"/>
                <w:szCs w:val="22"/>
              </w:rPr>
              <w:t>Sex (</w:t>
            </w:r>
            <w:r w:rsidRPr="00EF6679">
              <w:rPr>
                <w:rFonts w:ascii="Times New Roman" w:hAnsi="Times New Roman" w:cs="Times New Roman"/>
                <w:b/>
                <w:bCs/>
                <w:i/>
                <w:iCs/>
                <w:color w:val="000000" w:themeColor="text1"/>
                <w:sz w:val="22"/>
                <w:szCs w:val="22"/>
              </w:rPr>
              <w:t>n</w:t>
            </w:r>
            <w:r w:rsidRPr="00EF6679">
              <w:rPr>
                <w:rFonts w:ascii="Times New Roman" w:hAnsi="Times New Roman" w:cs="Times New Roman"/>
                <w:b/>
                <w:bCs/>
                <w:color w:val="000000" w:themeColor="text1"/>
                <w:sz w:val="22"/>
                <w:szCs w:val="22"/>
              </w:rPr>
              <w:t>)</w:t>
            </w:r>
          </w:p>
        </w:tc>
        <w:tc>
          <w:tcPr>
            <w:tcW w:w="1728" w:type="dxa"/>
            <w:tcBorders>
              <w:top w:val="single" w:sz="4" w:space="0" w:color="auto"/>
            </w:tcBorders>
            <w:noWrap/>
            <w:vAlign w:val="bottom"/>
          </w:tcPr>
          <w:p w14:paraId="0E9D3688" w14:textId="77777777" w:rsidR="00BB138C" w:rsidRPr="00EF6679" w:rsidRDefault="00BB138C" w:rsidP="00820288">
            <w:pPr>
              <w:spacing w:line="240" w:lineRule="auto"/>
              <w:jc w:val="right"/>
              <w:rPr>
                <w:rFonts w:ascii="Times New Roman" w:hAnsi="Times New Roman" w:cs="Times New Roman"/>
                <w:color w:val="000000" w:themeColor="text1"/>
                <w:sz w:val="22"/>
                <w:szCs w:val="22"/>
              </w:rPr>
            </w:pPr>
          </w:p>
        </w:tc>
        <w:tc>
          <w:tcPr>
            <w:tcW w:w="1728" w:type="dxa"/>
            <w:tcBorders>
              <w:top w:val="single" w:sz="4" w:space="0" w:color="auto"/>
            </w:tcBorders>
            <w:noWrap/>
            <w:vAlign w:val="bottom"/>
          </w:tcPr>
          <w:p w14:paraId="4041B428" w14:textId="77777777" w:rsidR="00BB138C" w:rsidRPr="00EF6679" w:rsidRDefault="00BB138C" w:rsidP="00820288">
            <w:pPr>
              <w:spacing w:line="240" w:lineRule="auto"/>
              <w:jc w:val="right"/>
              <w:rPr>
                <w:rFonts w:ascii="Times New Roman" w:hAnsi="Times New Roman" w:cs="Times New Roman"/>
                <w:color w:val="000000" w:themeColor="text1"/>
                <w:sz w:val="22"/>
                <w:szCs w:val="22"/>
              </w:rPr>
            </w:pPr>
          </w:p>
        </w:tc>
      </w:tr>
      <w:tr w:rsidR="00BB138C" w:rsidRPr="00EF6679" w14:paraId="5FF5D982" w14:textId="77777777" w:rsidTr="00820288">
        <w:trPr>
          <w:trHeight w:val="306"/>
        </w:trPr>
        <w:tc>
          <w:tcPr>
            <w:tcW w:w="3456" w:type="dxa"/>
            <w:noWrap/>
            <w:vAlign w:val="bottom"/>
            <w:hideMark/>
          </w:tcPr>
          <w:p w14:paraId="7DC5E275" w14:textId="77777777" w:rsidR="00BB138C" w:rsidRPr="00EF6679" w:rsidRDefault="00BB138C" w:rsidP="00820288">
            <w:pPr>
              <w:spacing w:line="240" w:lineRule="auto"/>
              <w:ind w:left="720"/>
              <w:rPr>
                <w:rFonts w:ascii="Times New Roman" w:hAnsi="Times New Roman" w:cs="Times New Roman"/>
                <w:color w:val="000000" w:themeColor="text1"/>
                <w:sz w:val="22"/>
                <w:szCs w:val="22"/>
              </w:rPr>
            </w:pPr>
            <w:r w:rsidRPr="00EF6679">
              <w:rPr>
                <w:rFonts w:ascii="Times New Roman" w:hAnsi="Times New Roman" w:cs="Times New Roman"/>
                <w:color w:val="000000" w:themeColor="text1"/>
                <w:sz w:val="22"/>
                <w:szCs w:val="22"/>
              </w:rPr>
              <w:t>Men</w:t>
            </w:r>
          </w:p>
        </w:tc>
        <w:tc>
          <w:tcPr>
            <w:tcW w:w="1728" w:type="dxa"/>
            <w:noWrap/>
            <w:vAlign w:val="center"/>
          </w:tcPr>
          <w:p w14:paraId="2B8D9D76" w14:textId="77777777" w:rsidR="00BB138C" w:rsidRPr="00EF6679" w:rsidRDefault="00BB138C" w:rsidP="00820288">
            <w:pPr>
              <w:spacing w:line="240" w:lineRule="auto"/>
              <w:jc w:val="center"/>
              <w:rPr>
                <w:rFonts w:ascii="Times New Roman" w:hAnsi="Times New Roman" w:cs="Times New Roman"/>
                <w:color w:val="000000" w:themeColor="text1"/>
                <w:sz w:val="22"/>
                <w:szCs w:val="22"/>
              </w:rPr>
            </w:pPr>
            <w:r w:rsidRPr="00EF6679">
              <w:rPr>
                <w:rFonts w:ascii="Times New Roman" w:hAnsi="Times New Roman" w:cs="Times New Roman"/>
                <w:color w:val="000000" w:themeColor="text1"/>
                <w:sz w:val="22"/>
                <w:szCs w:val="22"/>
              </w:rPr>
              <w:t>68</w:t>
            </w:r>
          </w:p>
        </w:tc>
        <w:tc>
          <w:tcPr>
            <w:tcW w:w="1728" w:type="dxa"/>
            <w:noWrap/>
            <w:vAlign w:val="center"/>
          </w:tcPr>
          <w:p w14:paraId="72DE948D" w14:textId="77777777" w:rsidR="00BB138C" w:rsidRPr="00EF6679" w:rsidRDefault="00BB138C" w:rsidP="00820288">
            <w:pPr>
              <w:spacing w:line="240" w:lineRule="auto"/>
              <w:jc w:val="center"/>
              <w:rPr>
                <w:rFonts w:ascii="Times New Roman" w:hAnsi="Times New Roman" w:cs="Times New Roman"/>
                <w:color w:val="000000" w:themeColor="text1"/>
                <w:sz w:val="22"/>
                <w:szCs w:val="22"/>
              </w:rPr>
            </w:pPr>
            <w:r w:rsidRPr="00EF6679">
              <w:rPr>
                <w:rFonts w:ascii="Times New Roman" w:hAnsi="Times New Roman" w:cs="Times New Roman"/>
                <w:color w:val="000000" w:themeColor="text1"/>
                <w:sz w:val="22"/>
                <w:szCs w:val="22"/>
              </w:rPr>
              <w:t>77</w:t>
            </w:r>
          </w:p>
        </w:tc>
      </w:tr>
      <w:tr w:rsidR="00BB138C" w:rsidRPr="00EF6679" w14:paraId="65A373C1" w14:textId="77777777" w:rsidTr="00820288">
        <w:trPr>
          <w:trHeight w:val="306"/>
        </w:trPr>
        <w:tc>
          <w:tcPr>
            <w:tcW w:w="3456" w:type="dxa"/>
            <w:tcBorders>
              <w:bottom w:val="single" w:sz="4" w:space="0" w:color="auto"/>
            </w:tcBorders>
            <w:noWrap/>
            <w:vAlign w:val="bottom"/>
            <w:hideMark/>
          </w:tcPr>
          <w:p w14:paraId="75A64CD4" w14:textId="77777777" w:rsidR="00BB138C" w:rsidRPr="00EF6679" w:rsidRDefault="00BB138C" w:rsidP="00820288">
            <w:pPr>
              <w:spacing w:line="240" w:lineRule="auto"/>
              <w:ind w:left="720"/>
              <w:rPr>
                <w:rFonts w:ascii="Times New Roman" w:hAnsi="Times New Roman" w:cs="Times New Roman"/>
                <w:color w:val="000000" w:themeColor="text1"/>
                <w:sz w:val="22"/>
                <w:szCs w:val="22"/>
              </w:rPr>
            </w:pPr>
            <w:r w:rsidRPr="00EF6679">
              <w:rPr>
                <w:rFonts w:ascii="Times New Roman" w:hAnsi="Times New Roman" w:cs="Times New Roman"/>
                <w:color w:val="000000" w:themeColor="text1"/>
                <w:sz w:val="22"/>
                <w:szCs w:val="22"/>
              </w:rPr>
              <w:t>Women</w:t>
            </w:r>
          </w:p>
        </w:tc>
        <w:tc>
          <w:tcPr>
            <w:tcW w:w="1728" w:type="dxa"/>
            <w:tcBorders>
              <w:bottom w:val="single" w:sz="4" w:space="0" w:color="auto"/>
            </w:tcBorders>
            <w:noWrap/>
            <w:vAlign w:val="center"/>
          </w:tcPr>
          <w:p w14:paraId="07DE63D8" w14:textId="77777777" w:rsidR="00BB138C" w:rsidRPr="00EF6679" w:rsidRDefault="00BB138C" w:rsidP="00820288">
            <w:pPr>
              <w:spacing w:line="240" w:lineRule="auto"/>
              <w:jc w:val="center"/>
              <w:rPr>
                <w:rFonts w:ascii="Times New Roman" w:hAnsi="Times New Roman" w:cs="Times New Roman"/>
                <w:color w:val="000000" w:themeColor="text1"/>
                <w:sz w:val="22"/>
                <w:szCs w:val="22"/>
              </w:rPr>
            </w:pPr>
            <w:r w:rsidRPr="00EF6679">
              <w:rPr>
                <w:rFonts w:ascii="Times New Roman" w:hAnsi="Times New Roman" w:cs="Times New Roman"/>
                <w:color w:val="000000" w:themeColor="text1"/>
                <w:sz w:val="22"/>
                <w:szCs w:val="22"/>
              </w:rPr>
              <w:t>32</w:t>
            </w:r>
          </w:p>
        </w:tc>
        <w:tc>
          <w:tcPr>
            <w:tcW w:w="1728" w:type="dxa"/>
            <w:tcBorders>
              <w:bottom w:val="single" w:sz="4" w:space="0" w:color="auto"/>
            </w:tcBorders>
            <w:noWrap/>
            <w:vAlign w:val="center"/>
          </w:tcPr>
          <w:p w14:paraId="79A90EA3" w14:textId="77777777" w:rsidR="00BB138C" w:rsidRPr="00EF6679" w:rsidRDefault="00BB138C" w:rsidP="00820288">
            <w:pPr>
              <w:spacing w:line="240" w:lineRule="auto"/>
              <w:jc w:val="center"/>
              <w:rPr>
                <w:rFonts w:ascii="Times New Roman" w:hAnsi="Times New Roman" w:cs="Times New Roman"/>
                <w:color w:val="000000" w:themeColor="text1"/>
                <w:sz w:val="22"/>
                <w:szCs w:val="22"/>
              </w:rPr>
            </w:pPr>
            <w:r w:rsidRPr="00EF6679">
              <w:rPr>
                <w:rFonts w:ascii="Times New Roman" w:hAnsi="Times New Roman" w:cs="Times New Roman"/>
                <w:color w:val="000000" w:themeColor="text1"/>
                <w:sz w:val="22"/>
                <w:szCs w:val="22"/>
              </w:rPr>
              <w:t>23</w:t>
            </w:r>
          </w:p>
        </w:tc>
      </w:tr>
      <w:tr w:rsidR="00BB138C" w:rsidRPr="00EF6679" w14:paraId="2CDB726A" w14:textId="77777777" w:rsidTr="00820288">
        <w:trPr>
          <w:trHeight w:val="306"/>
        </w:trPr>
        <w:tc>
          <w:tcPr>
            <w:tcW w:w="3456" w:type="dxa"/>
            <w:tcBorders>
              <w:top w:val="single" w:sz="4" w:space="0" w:color="auto"/>
            </w:tcBorders>
            <w:noWrap/>
            <w:vAlign w:val="bottom"/>
          </w:tcPr>
          <w:p w14:paraId="4A9CACB9" w14:textId="77777777" w:rsidR="00BB138C" w:rsidRPr="00EF6679" w:rsidRDefault="00BB138C" w:rsidP="00820288">
            <w:pPr>
              <w:spacing w:line="240" w:lineRule="auto"/>
              <w:rPr>
                <w:rFonts w:ascii="Times New Roman" w:hAnsi="Times New Roman" w:cs="Times New Roman"/>
                <w:b/>
                <w:bCs/>
                <w:color w:val="000000" w:themeColor="text1"/>
                <w:sz w:val="22"/>
                <w:szCs w:val="22"/>
              </w:rPr>
            </w:pPr>
            <w:r w:rsidRPr="00EF6679">
              <w:rPr>
                <w:rFonts w:ascii="Times New Roman" w:hAnsi="Times New Roman" w:cs="Times New Roman"/>
                <w:b/>
                <w:bCs/>
                <w:color w:val="000000" w:themeColor="text1"/>
                <w:sz w:val="22"/>
                <w:szCs w:val="22"/>
              </w:rPr>
              <w:t xml:space="preserve">How often do you consume basil? </w:t>
            </w:r>
          </w:p>
        </w:tc>
        <w:tc>
          <w:tcPr>
            <w:tcW w:w="1728" w:type="dxa"/>
            <w:tcBorders>
              <w:top w:val="single" w:sz="4" w:space="0" w:color="auto"/>
            </w:tcBorders>
            <w:noWrap/>
            <w:vAlign w:val="center"/>
          </w:tcPr>
          <w:p w14:paraId="779B077A" w14:textId="77777777" w:rsidR="00BB138C" w:rsidRPr="00EF6679" w:rsidRDefault="00BB138C" w:rsidP="00820288">
            <w:pPr>
              <w:spacing w:line="240" w:lineRule="auto"/>
              <w:jc w:val="center"/>
              <w:rPr>
                <w:rFonts w:ascii="Times New Roman" w:hAnsi="Times New Roman" w:cs="Times New Roman"/>
                <w:color w:val="000000" w:themeColor="text1"/>
                <w:sz w:val="22"/>
                <w:szCs w:val="22"/>
              </w:rPr>
            </w:pPr>
          </w:p>
        </w:tc>
        <w:tc>
          <w:tcPr>
            <w:tcW w:w="1728" w:type="dxa"/>
            <w:tcBorders>
              <w:top w:val="single" w:sz="4" w:space="0" w:color="auto"/>
            </w:tcBorders>
            <w:noWrap/>
            <w:vAlign w:val="center"/>
          </w:tcPr>
          <w:p w14:paraId="117ABE19" w14:textId="77777777" w:rsidR="00BB138C" w:rsidRPr="00EF6679" w:rsidRDefault="00BB138C" w:rsidP="00820288">
            <w:pPr>
              <w:spacing w:line="240" w:lineRule="auto"/>
              <w:jc w:val="center"/>
              <w:rPr>
                <w:rFonts w:ascii="Times New Roman" w:hAnsi="Times New Roman" w:cs="Times New Roman"/>
                <w:color w:val="000000" w:themeColor="text1"/>
                <w:sz w:val="22"/>
                <w:szCs w:val="22"/>
              </w:rPr>
            </w:pPr>
          </w:p>
        </w:tc>
      </w:tr>
      <w:tr w:rsidR="00BB138C" w:rsidRPr="00EF6679" w14:paraId="2EE1280F" w14:textId="77777777" w:rsidTr="00820288">
        <w:trPr>
          <w:trHeight w:val="306"/>
        </w:trPr>
        <w:tc>
          <w:tcPr>
            <w:tcW w:w="3456" w:type="dxa"/>
            <w:noWrap/>
            <w:vAlign w:val="bottom"/>
          </w:tcPr>
          <w:p w14:paraId="79C12239" w14:textId="77777777" w:rsidR="00BB138C" w:rsidRPr="00EF6679" w:rsidRDefault="00BB138C" w:rsidP="00820288">
            <w:pPr>
              <w:spacing w:line="240" w:lineRule="auto"/>
              <w:ind w:left="720"/>
              <w:rPr>
                <w:rFonts w:ascii="Times New Roman" w:hAnsi="Times New Roman" w:cs="Times New Roman"/>
                <w:color w:val="000000" w:themeColor="text1"/>
                <w:sz w:val="22"/>
                <w:szCs w:val="22"/>
              </w:rPr>
            </w:pPr>
            <w:r w:rsidRPr="00EF6679">
              <w:rPr>
                <w:rFonts w:ascii="Times New Roman" w:hAnsi="Times New Roman" w:cs="Times New Roman"/>
                <w:color w:val="000000" w:themeColor="text1"/>
                <w:sz w:val="22"/>
                <w:szCs w:val="22"/>
              </w:rPr>
              <w:t>Every day</w:t>
            </w:r>
          </w:p>
        </w:tc>
        <w:tc>
          <w:tcPr>
            <w:tcW w:w="1728" w:type="dxa"/>
            <w:noWrap/>
            <w:vAlign w:val="center"/>
          </w:tcPr>
          <w:p w14:paraId="014ADD1F" w14:textId="77777777" w:rsidR="00BB138C" w:rsidRPr="00EF6679" w:rsidRDefault="00BB138C" w:rsidP="00820288">
            <w:pPr>
              <w:spacing w:line="240" w:lineRule="auto"/>
              <w:jc w:val="center"/>
              <w:rPr>
                <w:rFonts w:ascii="Times New Roman" w:hAnsi="Times New Roman" w:cs="Times New Roman"/>
                <w:color w:val="000000" w:themeColor="text1"/>
                <w:sz w:val="22"/>
                <w:szCs w:val="22"/>
              </w:rPr>
            </w:pPr>
            <w:r w:rsidRPr="00EF6679">
              <w:rPr>
                <w:rFonts w:ascii="Times New Roman" w:hAnsi="Times New Roman" w:cs="Times New Roman"/>
                <w:color w:val="000000" w:themeColor="text1"/>
                <w:sz w:val="22"/>
                <w:szCs w:val="22"/>
              </w:rPr>
              <w:t>2</w:t>
            </w:r>
          </w:p>
        </w:tc>
        <w:tc>
          <w:tcPr>
            <w:tcW w:w="1728" w:type="dxa"/>
            <w:noWrap/>
            <w:vAlign w:val="center"/>
          </w:tcPr>
          <w:p w14:paraId="30119DD8" w14:textId="77777777" w:rsidR="00BB138C" w:rsidRPr="00EF6679" w:rsidRDefault="00BB138C" w:rsidP="00820288">
            <w:pPr>
              <w:spacing w:line="240" w:lineRule="auto"/>
              <w:jc w:val="center"/>
              <w:rPr>
                <w:rFonts w:ascii="Times New Roman" w:hAnsi="Times New Roman" w:cs="Times New Roman"/>
                <w:color w:val="000000" w:themeColor="text1"/>
                <w:sz w:val="22"/>
                <w:szCs w:val="22"/>
              </w:rPr>
            </w:pPr>
            <w:r w:rsidRPr="00EF6679">
              <w:rPr>
                <w:rFonts w:ascii="Times New Roman" w:hAnsi="Times New Roman" w:cs="Times New Roman"/>
                <w:color w:val="000000" w:themeColor="text1"/>
                <w:sz w:val="22"/>
                <w:szCs w:val="22"/>
              </w:rPr>
              <w:t>4</w:t>
            </w:r>
          </w:p>
        </w:tc>
      </w:tr>
      <w:tr w:rsidR="00BB138C" w:rsidRPr="00EF6679" w14:paraId="4167FCF8" w14:textId="77777777" w:rsidTr="00820288">
        <w:trPr>
          <w:trHeight w:val="306"/>
        </w:trPr>
        <w:tc>
          <w:tcPr>
            <w:tcW w:w="3456" w:type="dxa"/>
            <w:noWrap/>
            <w:vAlign w:val="bottom"/>
          </w:tcPr>
          <w:p w14:paraId="0ECA9C75" w14:textId="77777777" w:rsidR="00BB138C" w:rsidRPr="00EF6679" w:rsidRDefault="00BB138C" w:rsidP="00820288">
            <w:pPr>
              <w:spacing w:line="240" w:lineRule="auto"/>
              <w:ind w:left="720"/>
              <w:rPr>
                <w:rFonts w:ascii="Times New Roman" w:hAnsi="Times New Roman" w:cs="Times New Roman"/>
                <w:color w:val="000000" w:themeColor="text1"/>
                <w:sz w:val="22"/>
                <w:szCs w:val="22"/>
              </w:rPr>
            </w:pPr>
            <w:r w:rsidRPr="00EF6679">
              <w:rPr>
                <w:rFonts w:ascii="Times New Roman" w:hAnsi="Times New Roman" w:cs="Times New Roman"/>
                <w:color w:val="000000" w:themeColor="text1"/>
                <w:sz w:val="22"/>
                <w:szCs w:val="22"/>
              </w:rPr>
              <w:t>3 times a week</w:t>
            </w:r>
          </w:p>
        </w:tc>
        <w:tc>
          <w:tcPr>
            <w:tcW w:w="1728" w:type="dxa"/>
            <w:noWrap/>
            <w:vAlign w:val="center"/>
          </w:tcPr>
          <w:p w14:paraId="0DE0FDE6" w14:textId="77777777" w:rsidR="00BB138C" w:rsidRPr="00EF6679" w:rsidRDefault="00BB138C" w:rsidP="00820288">
            <w:pPr>
              <w:spacing w:line="240" w:lineRule="auto"/>
              <w:jc w:val="center"/>
              <w:rPr>
                <w:rFonts w:ascii="Times New Roman" w:hAnsi="Times New Roman" w:cs="Times New Roman"/>
                <w:color w:val="000000" w:themeColor="text1"/>
                <w:sz w:val="22"/>
                <w:szCs w:val="22"/>
              </w:rPr>
            </w:pPr>
            <w:r w:rsidRPr="00EF6679">
              <w:rPr>
                <w:rFonts w:ascii="Times New Roman" w:hAnsi="Times New Roman" w:cs="Times New Roman"/>
                <w:color w:val="000000" w:themeColor="text1"/>
                <w:sz w:val="22"/>
                <w:szCs w:val="22"/>
              </w:rPr>
              <w:t>14</w:t>
            </w:r>
          </w:p>
        </w:tc>
        <w:tc>
          <w:tcPr>
            <w:tcW w:w="1728" w:type="dxa"/>
            <w:noWrap/>
            <w:vAlign w:val="center"/>
          </w:tcPr>
          <w:p w14:paraId="0B792408" w14:textId="77777777" w:rsidR="00BB138C" w:rsidRPr="00EF6679" w:rsidRDefault="00BB138C" w:rsidP="00820288">
            <w:pPr>
              <w:spacing w:line="240" w:lineRule="auto"/>
              <w:jc w:val="center"/>
              <w:rPr>
                <w:rFonts w:ascii="Times New Roman" w:hAnsi="Times New Roman" w:cs="Times New Roman"/>
                <w:color w:val="000000" w:themeColor="text1"/>
                <w:sz w:val="22"/>
                <w:szCs w:val="22"/>
              </w:rPr>
            </w:pPr>
            <w:r w:rsidRPr="00EF6679">
              <w:rPr>
                <w:rFonts w:ascii="Times New Roman" w:hAnsi="Times New Roman" w:cs="Times New Roman"/>
                <w:color w:val="000000" w:themeColor="text1"/>
                <w:sz w:val="22"/>
                <w:szCs w:val="22"/>
              </w:rPr>
              <w:t>10</w:t>
            </w:r>
          </w:p>
        </w:tc>
      </w:tr>
      <w:tr w:rsidR="00BB138C" w:rsidRPr="00EF6679" w14:paraId="250561E2" w14:textId="77777777" w:rsidTr="00820288">
        <w:trPr>
          <w:trHeight w:val="306"/>
        </w:trPr>
        <w:tc>
          <w:tcPr>
            <w:tcW w:w="3456" w:type="dxa"/>
            <w:noWrap/>
            <w:vAlign w:val="bottom"/>
          </w:tcPr>
          <w:p w14:paraId="4D607ED0" w14:textId="77777777" w:rsidR="00BB138C" w:rsidRPr="00EF6679" w:rsidRDefault="00BB138C" w:rsidP="00820288">
            <w:pPr>
              <w:spacing w:line="240" w:lineRule="auto"/>
              <w:ind w:left="720"/>
              <w:rPr>
                <w:rFonts w:ascii="Times New Roman" w:hAnsi="Times New Roman" w:cs="Times New Roman"/>
                <w:color w:val="000000" w:themeColor="text1"/>
                <w:sz w:val="22"/>
                <w:szCs w:val="22"/>
              </w:rPr>
            </w:pPr>
            <w:r w:rsidRPr="00EF6679">
              <w:rPr>
                <w:rFonts w:ascii="Times New Roman" w:hAnsi="Times New Roman" w:cs="Times New Roman"/>
                <w:color w:val="000000" w:themeColor="text1"/>
                <w:sz w:val="22"/>
                <w:szCs w:val="22"/>
              </w:rPr>
              <w:t>Once a week</w:t>
            </w:r>
          </w:p>
        </w:tc>
        <w:tc>
          <w:tcPr>
            <w:tcW w:w="1728" w:type="dxa"/>
            <w:noWrap/>
            <w:vAlign w:val="center"/>
          </w:tcPr>
          <w:p w14:paraId="09EDC317" w14:textId="77777777" w:rsidR="00BB138C" w:rsidRPr="00EF6679" w:rsidRDefault="00BB138C" w:rsidP="00820288">
            <w:pPr>
              <w:spacing w:line="240" w:lineRule="auto"/>
              <w:jc w:val="center"/>
              <w:rPr>
                <w:rFonts w:ascii="Times New Roman" w:hAnsi="Times New Roman" w:cs="Times New Roman"/>
                <w:color w:val="000000" w:themeColor="text1"/>
                <w:sz w:val="22"/>
                <w:szCs w:val="22"/>
              </w:rPr>
            </w:pPr>
            <w:r w:rsidRPr="00EF6679">
              <w:rPr>
                <w:rFonts w:ascii="Times New Roman" w:hAnsi="Times New Roman" w:cs="Times New Roman"/>
                <w:color w:val="000000" w:themeColor="text1"/>
                <w:sz w:val="22"/>
                <w:szCs w:val="22"/>
              </w:rPr>
              <w:t>30</w:t>
            </w:r>
          </w:p>
        </w:tc>
        <w:tc>
          <w:tcPr>
            <w:tcW w:w="1728" w:type="dxa"/>
            <w:noWrap/>
            <w:vAlign w:val="center"/>
          </w:tcPr>
          <w:p w14:paraId="0161EE73" w14:textId="77777777" w:rsidR="00BB138C" w:rsidRPr="00EF6679" w:rsidRDefault="00BB138C" w:rsidP="00820288">
            <w:pPr>
              <w:spacing w:line="240" w:lineRule="auto"/>
              <w:jc w:val="center"/>
              <w:rPr>
                <w:rFonts w:ascii="Times New Roman" w:hAnsi="Times New Roman" w:cs="Times New Roman"/>
                <w:color w:val="000000" w:themeColor="text1"/>
                <w:sz w:val="22"/>
                <w:szCs w:val="22"/>
              </w:rPr>
            </w:pPr>
            <w:r w:rsidRPr="00EF6679">
              <w:rPr>
                <w:rFonts w:ascii="Times New Roman" w:hAnsi="Times New Roman" w:cs="Times New Roman"/>
                <w:color w:val="000000" w:themeColor="text1"/>
                <w:sz w:val="22"/>
                <w:szCs w:val="22"/>
              </w:rPr>
              <w:t>34</w:t>
            </w:r>
          </w:p>
        </w:tc>
      </w:tr>
      <w:tr w:rsidR="00BB138C" w:rsidRPr="00EF6679" w14:paraId="5B0A5271" w14:textId="77777777" w:rsidTr="00820288">
        <w:trPr>
          <w:trHeight w:val="306"/>
        </w:trPr>
        <w:tc>
          <w:tcPr>
            <w:tcW w:w="3456" w:type="dxa"/>
            <w:noWrap/>
            <w:vAlign w:val="bottom"/>
          </w:tcPr>
          <w:p w14:paraId="5A88E61B" w14:textId="77777777" w:rsidR="00BB138C" w:rsidRPr="00EF6679" w:rsidRDefault="00BB138C" w:rsidP="00820288">
            <w:pPr>
              <w:spacing w:line="240" w:lineRule="auto"/>
              <w:ind w:left="720"/>
              <w:rPr>
                <w:rFonts w:ascii="Times New Roman" w:hAnsi="Times New Roman" w:cs="Times New Roman"/>
                <w:color w:val="000000" w:themeColor="text1"/>
                <w:sz w:val="22"/>
                <w:szCs w:val="22"/>
              </w:rPr>
            </w:pPr>
            <w:r w:rsidRPr="00EF6679">
              <w:rPr>
                <w:rFonts w:ascii="Times New Roman" w:hAnsi="Times New Roman" w:cs="Times New Roman"/>
                <w:color w:val="000000" w:themeColor="text1"/>
                <w:sz w:val="22"/>
                <w:szCs w:val="22"/>
              </w:rPr>
              <w:t>Every 2-3 weeks</w:t>
            </w:r>
          </w:p>
        </w:tc>
        <w:tc>
          <w:tcPr>
            <w:tcW w:w="1728" w:type="dxa"/>
            <w:noWrap/>
            <w:vAlign w:val="center"/>
          </w:tcPr>
          <w:p w14:paraId="50F07854" w14:textId="77777777" w:rsidR="00BB138C" w:rsidRPr="00EF6679" w:rsidRDefault="00BB138C" w:rsidP="00820288">
            <w:pPr>
              <w:spacing w:line="240" w:lineRule="auto"/>
              <w:jc w:val="center"/>
              <w:rPr>
                <w:rFonts w:ascii="Times New Roman" w:hAnsi="Times New Roman" w:cs="Times New Roman"/>
                <w:color w:val="000000" w:themeColor="text1"/>
                <w:sz w:val="22"/>
                <w:szCs w:val="22"/>
              </w:rPr>
            </w:pPr>
            <w:r w:rsidRPr="00EF6679">
              <w:rPr>
                <w:rFonts w:ascii="Times New Roman" w:hAnsi="Times New Roman" w:cs="Times New Roman"/>
                <w:color w:val="000000" w:themeColor="text1"/>
                <w:sz w:val="22"/>
                <w:szCs w:val="22"/>
              </w:rPr>
              <w:t>26</w:t>
            </w:r>
          </w:p>
        </w:tc>
        <w:tc>
          <w:tcPr>
            <w:tcW w:w="1728" w:type="dxa"/>
            <w:noWrap/>
            <w:vAlign w:val="center"/>
          </w:tcPr>
          <w:p w14:paraId="344520DB" w14:textId="77777777" w:rsidR="00BB138C" w:rsidRPr="00EF6679" w:rsidRDefault="00BB138C" w:rsidP="00820288">
            <w:pPr>
              <w:spacing w:line="240" w:lineRule="auto"/>
              <w:jc w:val="center"/>
              <w:rPr>
                <w:rFonts w:ascii="Times New Roman" w:hAnsi="Times New Roman" w:cs="Times New Roman"/>
                <w:color w:val="000000" w:themeColor="text1"/>
                <w:sz w:val="22"/>
                <w:szCs w:val="22"/>
              </w:rPr>
            </w:pPr>
            <w:r w:rsidRPr="00EF6679">
              <w:rPr>
                <w:rFonts w:ascii="Times New Roman" w:hAnsi="Times New Roman" w:cs="Times New Roman"/>
                <w:color w:val="000000" w:themeColor="text1"/>
                <w:sz w:val="22"/>
                <w:szCs w:val="22"/>
              </w:rPr>
              <w:t>24</w:t>
            </w:r>
          </w:p>
        </w:tc>
      </w:tr>
      <w:tr w:rsidR="00BB138C" w:rsidRPr="00EF6679" w14:paraId="36E0FBA8" w14:textId="77777777" w:rsidTr="00820288">
        <w:trPr>
          <w:trHeight w:val="306"/>
        </w:trPr>
        <w:tc>
          <w:tcPr>
            <w:tcW w:w="3456" w:type="dxa"/>
            <w:noWrap/>
            <w:vAlign w:val="bottom"/>
          </w:tcPr>
          <w:p w14:paraId="36098D92" w14:textId="77777777" w:rsidR="00BB138C" w:rsidRPr="00EF6679" w:rsidRDefault="00BB138C" w:rsidP="00820288">
            <w:pPr>
              <w:spacing w:line="240" w:lineRule="auto"/>
              <w:ind w:left="720"/>
              <w:rPr>
                <w:rFonts w:ascii="Times New Roman" w:hAnsi="Times New Roman" w:cs="Times New Roman"/>
                <w:color w:val="000000" w:themeColor="text1"/>
                <w:sz w:val="22"/>
                <w:szCs w:val="22"/>
              </w:rPr>
            </w:pPr>
            <w:r w:rsidRPr="00EF6679">
              <w:rPr>
                <w:rFonts w:ascii="Times New Roman" w:hAnsi="Times New Roman" w:cs="Times New Roman"/>
                <w:color w:val="000000" w:themeColor="text1"/>
                <w:sz w:val="22"/>
                <w:szCs w:val="22"/>
              </w:rPr>
              <w:t>Once a month</w:t>
            </w:r>
          </w:p>
        </w:tc>
        <w:tc>
          <w:tcPr>
            <w:tcW w:w="1728" w:type="dxa"/>
            <w:noWrap/>
            <w:vAlign w:val="center"/>
          </w:tcPr>
          <w:p w14:paraId="2788EFAF" w14:textId="77777777" w:rsidR="00BB138C" w:rsidRPr="00EF6679" w:rsidRDefault="00BB138C" w:rsidP="00820288">
            <w:pPr>
              <w:spacing w:line="240" w:lineRule="auto"/>
              <w:jc w:val="center"/>
              <w:rPr>
                <w:rFonts w:ascii="Times New Roman" w:hAnsi="Times New Roman" w:cs="Times New Roman"/>
                <w:color w:val="000000" w:themeColor="text1"/>
                <w:sz w:val="22"/>
                <w:szCs w:val="22"/>
              </w:rPr>
            </w:pPr>
            <w:r w:rsidRPr="00EF6679">
              <w:rPr>
                <w:rFonts w:ascii="Times New Roman" w:hAnsi="Times New Roman" w:cs="Times New Roman"/>
                <w:color w:val="000000" w:themeColor="text1"/>
                <w:sz w:val="22"/>
                <w:szCs w:val="22"/>
              </w:rPr>
              <w:t>19</w:t>
            </w:r>
          </w:p>
        </w:tc>
        <w:tc>
          <w:tcPr>
            <w:tcW w:w="1728" w:type="dxa"/>
            <w:noWrap/>
            <w:vAlign w:val="center"/>
          </w:tcPr>
          <w:p w14:paraId="4B5FD7A7" w14:textId="77777777" w:rsidR="00BB138C" w:rsidRPr="00EF6679" w:rsidRDefault="00BB138C" w:rsidP="00820288">
            <w:pPr>
              <w:spacing w:line="240" w:lineRule="auto"/>
              <w:jc w:val="center"/>
              <w:rPr>
                <w:rFonts w:ascii="Times New Roman" w:hAnsi="Times New Roman" w:cs="Times New Roman"/>
                <w:color w:val="000000" w:themeColor="text1"/>
                <w:sz w:val="22"/>
                <w:szCs w:val="22"/>
              </w:rPr>
            </w:pPr>
            <w:r w:rsidRPr="00EF6679">
              <w:rPr>
                <w:rFonts w:ascii="Times New Roman" w:hAnsi="Times New Roman" w:cs="Times New Roman"/>
                <w:color w:val="000000" w:themeColor="text1"/>
                <w:sz w:val="22"/>
                <w:szCs w:val="22"/>
              </w:rPr>
              <w:t>21</w:t>
            </w:r>
          </w:p>
        </w:tc>
      </w:tr>
      <w:tr w:rsidR="00BB138C" w:rsidRPr="00EF6679" w14:paraId="61B78070" w14:textId="77777777" w:rsidTr="00820288">
        <w:trPr>
          <w:trHeight w:val="306"/>
        </w:trPr>
        <w:tc>
          <w:tcPr>
            <w:tcW w:w="3456" w:type="dxa"/>
            <w:noWrap/>
            <w:vAlign w:val="bottom"/>
          </w:tcPr>
          <w:p w14:paraId="70233BA3" w14:textId="77777777" w:rsidR="00BB138C" w:rsidRPr="00EF6679" w:rsidRDefault="00BB138C" w:rsidP="00820288">
            <w:pPr>
              <w:spacing w:line="240" w:lineRule="auto"/>
              <w:ind w:left="720"/>
              <w:rPr>
                <w:rFonts w:ascii="Times New Roman" w:hAnsi="Times New Roman" w:cs="Times New Roman"/>
                <w:color w:val="000000" w:themeColor="text1"/>
                <w:sz w:val="22"/>
                <w:szCs w:val="22"/>
              </w:rPr>
            </w:pPr>
            <w:r w:rsidRPr="00EF6679">
              <w:rPr>
                <w:rFonts w:ascii="Times New Roman" w:hAnsi="Times New Roman" w:cs="Times New Roman"/>
                <w:color w:val="000000" w:themeColor="text1"/>
                <w:sz w:val="22"/>
                <w:szCs w:val="22"/>
              </w:rPr>
              <w:t>Once every 2-3 months</w:t>
            </w:r>
          </w:p>
        </w:tc>
        <w:tc>
          <w:tcPr>
            <w:tcW w:w="1728" w:type="dxa"/>
            <w:noWrap/>
            <w:vAlign w:val="center"/>
          </w:tcPr>
          <w:p w14:paraId="12B3D3BB" w14:textId="77777777" w:rsidR="00BB138C" w:rsidRPr="00EF6679" w:rsidRDefault="00BB138C" w:rsidP="00820288">
            <w:pPr>
              <w:spacing w:line="240" w:lineRule="auto"/>
              <w:jc w:val="center"/>
              <w:rPr>
                <w:rFonts w:ascii="Times New Roman" w:hAnsi="Times New Roman" w:cs="Times New Roman"/>
                <w:color w:val="000000" w:themeColor="text1"/>
                <w:sz w:val="22"/>
                <w:szCs w:val="22"/>
              </w:rPr>
            </w:pPr>
            <w:r w:rsidRPr="00EF6679">
              <w:rPr>
                <w:rFonts w:ascii="Times New Roman" w:hAnsi="Times New Roman" w:cs="Times New Roman"/>
                <w:color w:val="000000" w:themeColor="text1"/>
                <w:sz w:val="22"/>
                <w:szCs w:val="22"/>
              </w:rPr>
              <w:t>7</w:t>
            </w:r>
          </w:p>
        </w:tc>
        <w:tc>
          <w:tcPr>
            <w:tcW w:w="1728" w:type="dxa"/>
            <w:noWrap/>
            <w:vAlign w:val="center"/>
          </w:tcPr>
          <w:p w14:paraId="17CE559F" w14:textId="77777777" w:rsidR="00BB138C" w:rsidRPr="00EF6679" w:rsidRDefault="00BB138C" w:rsidP="00820288">
            <w:pPr>
              <w:spacing w:line="240" w:lineRule="auto"/>
              <w:jc w:val="center"/>
              <w:rPr>
                <w:rFonts w:ascii="Times New Roman" w:hAnsi="Times New Roman" w:cs="Times New Roman"/>
                <w:color w:val="000000" w:themeColor="text1"/>
                <w:sz w:val="22"/>
                <w:szCs w:val="22"/>
              </w:rPr>
            </w:pPr>
            <w:r w:rsidRPr="00EF6679">
              <w:rPr>
                <w:rFonts w:ascii="Times New Roman" w:hAnsi="Times New Roman" w:cs="Times New Roman"/>
                <w:color w:val="000000" w:themeColor="text1"/>
                <w:sz w:val="22"/>
                <w:szCs w:val="22"/>
              </w:rPr>
              <w:t>6</w:t>
            </w:r>
          </w:p>
        </w:tc>
      </w:tr>
      <w:tr w:rsidR="00BB138C" w:rsidRPr="00EF6679" w14:paraId="6D10AFAF" w14:textId="77777777" w:rsidTr="00820288">
        <w:trPr>
          <w:trHeight w:val="306"/>
        </w:trPr>
        <w:tc>
          <w:tcPr>
            <w:tcW w:w="3456" w:type="dxa"/>
            <w:noWrap/>
            <w:vAlign w:val="bottom"/>
          </w:tcPr>
          <w:p w14:paraId="57C7340F" w14:textId="77777777" w:rsidR="00BB138C" w:rsidRPr="00EF6679" w:rsidRDefault="00BB138C" w:rsidP="00820288">
            <w:pPr>
              <w:spacing w:line="240" w:lineRule="auto"/>
              <w:ind w:left="720"/>
              <w:rPr>
                <w:rFonts w:ascii="Times New Roman" w:hAnsi="Times New Roman" w:cs="Times New Roman"/>
                <w:color w:val="000000" w:themeColor="text1"/>
                <w:sz w:val="22"/>
                <w:szCs w:val="22"/>
              </w:rPr>
            </w:pPr>
            <w:r w:rsidRPr="00EF6679">
              <w:rPr>
                <w:rFonts w:ascii="Times New Roman" w:hAnsi="Times New Roman" w:cs="Times New Roman"/>
                <w:color w:val="000000" w:themeColor="text1"/>
                <w:sz w:val="22"/>
                <w:szCs w:val="22"/>
              </w:rPr>
              <w:t>Once every 6 months</w:t>
            </w:r>
          </w:p>
        </w:tc>
        <w:tc>
          <w:tcPr>
            <w:tcW w:w="1728" w:type="dxa"/>
            <w:noWrap/>
            <w:vAlign w:val="center"/>
          </w:tcPr>
          <w:p w14:paraId="10250875" w14:textId="77777777" w:rsidR="00BB138C" w:rsidRPr="00EF6679" w:rsidRDefault="00BB138C" w:rsidP="00820288">
            <w:pPr>
              <w:spacing w:line="240" w:lineRule="auto"/>
              <w:jc w:val="center"/>
              <w:rPr>
                <w:rFonts w:ascii="Times New Roman" w:hAnsi="Times New Roman" w:cs="Times New Roman"/>
                <w:color w:val="000000" w:themeColor="text1"/>
                <w:sz w:val="22"/>
                <w:szCs w:val="22"/>
              </w:rPr>
            </w:pPr>
            <w:r w:rsidRPr="00EF6679">
              <w:rPr>
                <w:rFonts w:ascii="Times New Roman" w:hAnsi="Times New Roman" w:cs="Times New Roman"/>
                <w:color w:val="000000" w:themeColor="text1"/>
                <w:sz w:val="22"/>
                <w:szCs w:val="22"/>
              </w:rPr>
              <w:t>2</w:t>
            </w:r>
          </w:p>
        </w:tc>
        <w:tc>
          <w:tcPr>
            <w:tcW w:w="1728" w:type="dxa"/>
            <w:noWrap/>
            <w:vAlign w:val="center"/>
          </w:tcPr>
          <w:p w14:paraId="77C21E48" w14:textId="77777777" w:rsidR="00BB138C" w:rsidRPr="00EF6679" w:rsidRDefault="00BB138C" w:rsidP="00820288">
            <w:pPr>
              <w:spacing w:line="240" w:lineRule="auto"/>
              <w:jc w:val="center"/>
              <w:rPr>
                <w:rFonts w:ascii="Times New Roman" w:hAnsi="Times New Roman" w:cs="Times New Roman"/>
                <w:color w:val="000000" w:themeColor="text1"/>
                <w:sz w:val="22"/>
                <w:szCs w:val="22"/>
              </w:rPr>
            </w:pPr>
            <w:r w:rsidRPr="00EF6679">
              <w:rPr>
                <w:rFonts w:ascii="Times New Roman" w:hAnsi="Times New Roman" w:cs="Times New Roman"/>
                <w:color w:val="000000" w:themeColor="text1"/>
                <w:sz w:val="22"/>
                <w:szCs w:val="22"/>
              </w:rPr>
              <w:t>1</w:t>
            </w:r>
          </w:p>
        </w:tc>
      </w:tr>
      <w:tr w:rsidR="00BB138C" w:rsidRPr="00EF6679" w14:paraId="74A0C5C8" w14:textId="77777777" w:rsidTr="00820288">
        <w:trPr>
          <w:trHeight w:val="306"/>
        </w:trPr>
        <w:tc>
          <w:tcPr>
            <w:tcW w:w="3456" w:type="dxa"/>
            <w:tcBorders>
              <w:bottom w:val="single" w:sz="4" w:space="0" w:color="auto"/>
            </w:tcBorders>
            <w:noWrap/>
            <w:vAlign w:val="bottom"/>
          </w:tcPr>
          <w:p w14:paraId="3430AC69" w14:textId="77777777" w:rsidR="00BB138C" w:rsidRPr="00EF6679" w:rsidRDefault="00BB138C" w:rsidP="00820288">
            <w:pPr>
              <w:spacing w:line="240" w:lineRule="auto"/>
              <w:ind w:left="720"/>
              <w:rPr>
                <w:rFonts w:ascii="Times New Roman" w:hAnsi="Times New Roman" w:cs="Times New Roman"/>
                <w:color w:val="000000" w:themeColor="text1"/>
                <w:sz w:val="22"/>
                <w:szCs w:val="22"/>
              </w:rPr>
            </w:pPr>
            <w:r w:rsidRPr="00EF6679">
              <w:rPr>
                <w:rFonts w:ascii="Times New Roman" w:hAnsi="Times New Roman" w:cs="Times New Roman"/>
                <w:color w:val="000000" w:themeColor="text1"/>
                <w:sz w:val="22"/>
                <w:szCs w:val="22"/>
              </w:rPr>
              <w:t>Never</w:t>
            </w:r>
          </w:p>
        </w:tc>
        <w:tc>
          <w:tcPr>
            <w:tcW w:w="1728" w:type="dxa"/>
            <w:tcBorders>
              <w:bottom w:val="single" w:sz="4" w:space="0" w:color="auto"/>
            </w:tcBorders>
            <w:noWrap/>
            <w:vAlign w:val="center"/>
          </w:tcPr>
          <w:p w14:paraId="4A52F7E9" w14:textId="77777777" w:rsidR="00BB138C" w:rsidRPr="00EF6679" w:rsidRDefault="00BB138C" w:rsidP="00820288">
            <w:pPr>
              <w:spacing w:line="240" w:lineRule="auto"/>
              <w:jc w:val="center"/>
              <w:rPr>
                <w:rFonts w:ascii="Times New Roman" w:hAnsi="Times New Roman" w:cs="Times New Roman"/>
                <w:color w:val="000000" w:themeColor="text1"/>
                <w:sz w:val="22"/>
                <w:szCs w:val="22"/>
              </w:rPr>
            </w:pPr>
            <w:r w:rsidRPr="00EF6679">
              <w:rPr>
                <w:rFonts w:ascii="Times New Roman" w:hAnsi="Times New Roman" w:cs="Times New Roman"/>
                <w:color w:val="000000" w:themeColor="text1"/>
                <w:sz w:val="22"/>
                <w:szCs w:val="22"/>
              </w:rPr>
              <w:t>0</w:t>
            </w:r>
          </w:p>
        </w:tc>
        <w:tc>
          <w:tcPr>
            <w:tcW w:w="1728" w:type="dxa"/>
            <w:tcBorders>
              <w:bottom w:val="single" w:sz="4" w:space="0" w:color="auto"/>
            </w:tcBorders>
            <w:noWrap/>
            <w:vAlign w:val="center"/>
          </w:tcPr>
          <w:p w14:paraId="6BFD6F39" w14:textId="77777777" w:rsidR="00BB138C" w:rsidRPr="00EF6679" w:rsidRDefault="00BB138C" w:rsidP="00820288">
            <w:pPr>
              <w:spacing w:line="240" w:lineRule="auto"/>
              <w:jc w:val="center"/>
              <w:rPr>
                <w:rFonts w:ascii="Times New Roman" w:hAnsi="Times New Roman" w:cs="Times New Roman"/>
                <w:color w:val="000000" w:themeColor="text1"/>
                <w:sz w:val="22"/>
                <w:szCs w:val="22"/>
              </w:rPr>
            </w:pPr>
            <w:r w:rsidRPr="00EF6679">
              <w:rPr>
                <w:rFonts w:ascii="Times New Roman" w:hAnsi="Times New Roman" w:cs="Times New Roman"/>
                <w:color w:val="000000" w:themeColor="text1"/>
                <w:sz w:val="22"/>
                <w:szCs w:val="22"/>
              </w:rPr>
              <w:t>0</w:t>
            </w:r>
          </w:p>
        </w:tc>
      </w:tr>
    </w:tbl>
    <w:p w14:paraId="56D06F08" w14:textId="77777777" w:rsidR="00BB138C" w:rsidRPr="00EF6679" w:rsidRDefault="00BB138C" w:rsidP="00BB138C">
      <w:pPr>
        <w:spacing w:line="240" w:lineRule="auto"/>
        <w:rPr>
          <w:rFonts w:cs="Times New Roman"/>
          <w:color w:val="000000" w:themeColor="text1"/>
        </w:rPr>
      </w:pPr>
    </w:p>
    <w:p w14:paraId="15407CF8" w14:textId="77777777" w:rsidR="00BB138C" w:rsidRPr="00EF6679" w:rsidRDefault="00BB138C" w:rsidP="00BB138C">
      <w:pPr>
        <w:spacing w:line="240" w:lineRule="auto"/>
        <w:rPr>
          <w:rFonts w:cs="Times New Roman"/>
          <w:color w:val="000000" w:themeColor="text1"/>
        </w:rPr>
      </w:pPr>
      <w:r w:rsidRPr="00EF6679">
        <w:rPr>
          <w:rFonts w:cs="Times New Roman"/>
          <w:color w:val="000000" w:themeColor="text1"/>
        </w:rPr>
        <w:br w:type="page"/>
      </w:r>
    </w:p>
    <w:p w14:paraId="6607019F" w14:textId="50EC56C3" w:rsidR="00BB138C" w:rsidRPr="00EF6679" w:rsidRDefault="00BB138C" w:rsidP="00BB138C">
      <w:pPr>
        <w:pStyle w:val="TableTOC"/>
        <w:ind w:right="90"/>
        <w:jc w:val="both"/>
        <w:rPr>
          <w:rFonts w:cs="Times New Roman"/>
          <w:color w:val="000000" w:themeColor="text1"/>
          <w:sz w:val="14"/>
          <w:szCs w:val="14"/>
        </w:rPr>
      </w:pPr>
      <w:bookmarkStart w:id="714" w:name="_Toc141478793"/>
      <w:r w:rsidRPr="00EF6679">
        <w:rPr>
          <w:rFonts w:cs="Times New Roman"/>
          <w:b/>
          <w:bCs/>
          <w:color w:val="000000" w:themeColor="text1"/>
        </w:rPr>
        <w:lastRenderedPageBreak/>
        <w:t xml:space="preserve">Table </w:t>
      </w:r>
      <w:r w:rsidR="00BA2365" w:rsidRPr="00EF6679">
        <w:rPr>
          <w:rFonts w:cs="Times New Roman"/>
          <w:b/>
          <w:bCs/>
        </w:rPr>
        <w:t>5.</w:t>
      </w:r>
      <w:r w:rsidRPr="00EF6679">
        <w:rPr>
          <w:rFonts w:cs="Times New Roman"/>
          <w:b/>
          <w:bCs/>
          <w:color w:val="000000" w:themeColor="text1"/>
        </w:rPr>
        <w:t xml:space="preserve">9. </w:t>
      </w:r>
      <w:r w:rsidRPr="00EF6679">
        <w:rPr>
          <w:rFonts w:cs="Times New Roman"/>
          <w:color w:val="000000" w:themeColor="text1"/>
        </w:rPr>
        <w:t>Consumer overall liking scores of ‘Genovese’ sweet basil across growing season and lighting type.</w:t>
      </w:r>
      <w:bookmarkEnd w:id="714"/>
      <w:r w:rsidRPr="00EF6679">
        <w:rPr>
          <w:rFonts w:cs="Times New Roman"/>
          <w:color w:val="000000" w:themeColor="text1"/>
        </w:rPr>
        <w:t xml:space="preserve"> </w:t>
      </w:r>
    </w:p>
    <w:p w14:paraId="35D60E33" w14:textId="77777777" w:rsidR="00BB138C" w:rsidRPr="00EF6679" w:rsidRDefault="00BB138C" w:rsidP="00BB138C">
      <w:pPr>
        <w:spacing w:line="240" w:lineRule="auto"/>
        <w:rPr>
          <w:rFonts w:cs="Times New Roman"/>
          <w:color w:val="000000" w:themeColor="text1"/>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29" w:type="dxa"/>
          <w:right w:w="0" w:type="dxa"/>
        </w:tblCellMar>
        <w:tblLook w:val="04A0" w:firstRow="1" w:lastRow="0" w:firstColumn="1" w:lastColumn="0" w:noHBand="0" w:noVBand="1"/>
      </w:tblPr>
      <w:tblGrid>
        <w:gridCol w:w="5111"/>
        <w:gridCol w:w="1345"/>
        <w:gridCol w:w="649"/>
        <w:gridCol w:w="1263"/>
        <w:gridCol w:w="850"/>
      </w:tblGrid>
      <w:tr w:rsidR="00BB138C" w:rsidRPr="00EF6679" w14:paraId="2EE0CA6B" w14:textId="77777777" w:rsidTr="00820288">
        <w:trPr>
          <w:trHeight w:val="520"/>
        </w:trPr>
        <w:tc>
          <w:tcPr>
            <w:tcW w:w="5111" w:type="dxa"/>
            <w:tcBorders>
              <w:top w:val="single" w:sz="4" w:space="0" w:color="auto"/>
            </w:tcBorders>
            <w:noWrap/>
            <w:vAlign w:val="center"/>
          </w:tcPr>
          <w:p w14:paraId="6FEB8168" w14:textId="77777777" w:rsidR="00BB138C" w:rsidRPr="00EF6679" w:rsidRDefault="00BB138C" w:rsidP="00820288">
            <w:pPr>
              <w:spacing w:line="240" w:lineRule="auto"/>
              <w:rPr>
                <w:rFonts w:ascii="Times New Roman" w:hAnsi="Times New Roman" w:cs="Times New Roman"/>
                <w:b/>
                <w:bCs/>
                <w:color w:val="000000" w:themeColor="text1"/>
              </w:rPr>
            </w:pPr>
          </w:p>
        </w:tc>
        <w:tc>
          <w:tcPr>
            <w:tcW w:w="4107" w:type="dxa"/>
            <w:gridSpan w:val="4"/>
            <w:tcBorders>
              <w:top w:val="single" w:sz="4" w:space="0" w:color="auto"/>
              <w:bottom w:val="single" w:sz="4" w:space="0" w:color="auto"/>
            </w:tcBorders>
            <w:noWrap/>
            <w:vAlign w:val="center"/>
          </w:tcPr>
          <w:p w14:paraId="38D06C8A" w14:textId="77777777" w:rsidR="00BB138C" w:rsidRPr="00EF6679" w:rsidRDefault="00BB138C" w:rsidP="00820288">
            <w:pPr>
              <w:tabs>
                <w:tab w:val="left" w:pos="327"/>
              </w:tabs>
              <w:spacing w:line="240" w:lineRule="auto"/>
              <w:jc w:val="center"/>
              <w:rPr>
                <w:rFonts w:ascii="Times New Roman" w:hAnsi="Times New Roman" w:cs="Times New Roman"/>
                <w:b/>
                <w:bCs/>
                <w:color w:val="000000" w:themeColor="text1"/>
              </w:rPr>
            </w:pPr>
            <w:r w:rsidRPr="00EF6679">
              <w:rPr>
                <w:rFonts w:ascii="Times New Roman" w:hAnsi="Times New Roman" w:cs="Times New Roman"/>
                <w:b/>
                <w:bCs/>
                <w:color w:val="000000" w:themeColor="text1"/>
              </w:rPr>
              <w:t>Growing Season</w:t>
            </w:r>
          </w:p>
        </w:tc>
      </w:tr>
      <w:tr w:rsidR="00BB138C" w:rsidRPr="00EF6679" w14:paraId="6255E137" w14:textId="77777777" w:rsidTr="00820288">
        <w:trPr>
          <w:trHeight w:val="520"/>
        </w:trPr>
        <w:tc>
          <w:tcPr>
            <w:tcW w:w="5111" w:type="dxa"/>
            <w:tcBorders>
              <w:bottom w:val="single" w:sz="4" w:space="0" w:color="auto"/>
            </w:tcBorders>
            <w:noWrap/>
            <w:vAlign w:val="center"/>
          </w:tcPr>
          <w:p w14:paraId="00C22E03" w14:textId="77777777" w:rsidR="00BB138C" w:rsidRPr="00EF6679" w:rsidRDefault="00BB138C" w:rsidP="00820288">
            <w:pPr>
              <w:spacing w:line="240" w:lineRule="auto"/>
              <w:rPr>
                <w:rFonts w:ascii="Times New Roman" w:hAnsi="Times New Roman" w:cs="Times New Roman"/>
                <w:b/>
                <w:bCs/>
                <w:color w:val="000000" w:themeColor="text1"/>
              </w:rPr>
            </w:pPr>
            <w:r w:rsidRPr="00EF6679">
              <w:rPr>
                <w:rFonts w:ascii="Times New Roman" w:hAnsi="Times New Roman" w:cs="Times New Roman"/>
                <w:b/>
                <w:bCs/>
                <w:color w:val="000000" w:themeColor="text1"/>
              </w:rPr>
              <w:t>Light Treatment</w:t>
            </w:r>
          </w:p>
        </w:tc>
        <w:tc>
          <w:tcPr>
            <w:tcW w:w="1994" w:type="dxa"/>
            <w:gridSpan w:val="2"/>
            <w:tcBorders>
              <w:top w:val="single" w:sz="4" w:space="0" w:color="auto"/>
              <w:bottom w:val="single" w:sz="4" w:space="0" w:color="auto"/>
            </w:tcBorders>
            <w:noWrap/>
            <w:vAlign w:val="center"/>
          </w:tcPr>
          <w:p w14:paraId="346BD2FA" w14:textId="77777777" w:rsidR="00BB138C" w:rsidRPr="00EF6679" w:rsidRDefault="00BB138C" w:rsidP="00820288">
            <w:pPr>
              <w:spacing w:line="240" w:lineRule="auto"/>
              <w:jc w:val="center"/>
              <w:rPr>
                <w:rFonts w:ascii="Times New Roman" w:hAnsi="Times New Roman" w:cs="Times New Roman"/>
                <w:color w:val="000000" w:themeColor="text1"/>
              </w:rPr>
            </w:pPr>
            <w:r w:rsidRPr="00EF6679">
              <w:rPr>
                <w:rFonts w:ascii="Times New Roman" w:hAnsi="Times New Roman" w:cs="Times New Roman"/>
                <w:color w:val="000000" w:themeColor="text1"/>
              </w:rPr>
              <w:t>Summer</w:t>
            </w:r>
          </w:p>
        </w:tc>
        <w:tc>
          <w:tcPr>
            <w:tcW w:w="2113" w:type="dxa"/>
            <w:gridSpan w:val="2"/>
            <w:tcBorders>
              <w:top w:val="single" w:sz="4" w:space="0" w:color="auto"/>
              <w:bottom w:val="single" w:sz="4" w:space="0" w:color="auto"/>
            </w:tcBorders>
            <w:noWrap/>
            <w:vAlign w:val="center"/>
          </w:tcPr>
          <w:p w14:paraId="278988E8" w14:textId="77777777" w:rsidR="00BB138C" w:rsidRPr="00EF6679" w:rsidRDefault="00BB138C" w:rsidP="00820288">
            <w:pPr>
              <w:spacing w:line="240" w:lineRule="auto"/>
              <w:jc w:val="center"/>
              <w:rPr>
                <w:rFonts w:ascii="Times New Roman" w:hAnsi="Times New Roman" w:cs="Times New Roman"/>
                <w:color w:val="000000" w:themeColor="text1"/>
              </w:rPr>
            </w:pPr>
            <w:r w:rsidRPr="00EF6679">
              <w:rPr>
                <w:rFonts w:ascii="Times New Roman" w:hAnsi="Times New Roman" w:cs="Times New Roman"/>
                <w:color w:val="000000" w:themeColor="text1"/>
              </w:rPr>
              <w:t>Winter</w:t>
            </w:r>
          </w:p>
        </w:tc>
      </w:tr>
      <w:tr w:rsidR="00BB138C" w:rsidRPr="00EF6679" w14:paraId="4091B985" w14:textId="77777777" w:rsidTr="00820288">
        <w:trPr>
          <w:trHeight w:val="520"/>
        </w:trPr>
        <w:tc>
          <w:tcPr>
            <w:tcW w:w="5111" w:type="dxa"/>
            <w:tcBorders>
              <w:top w:val="single" w:sz="4" w:space="0" w:color="auto"/>
            </w:tcBorders>
            <w:noWrap/>
            <w:vAlign w:val="center"/>
          </w:tcPr>
          <w:p w14:paraId="13ADF4A1" w14:textId="77777777" w:rsidR="00BB138C" w:rsidRPr="00EF6679" w:rsidRDefault="00BB138C" w:rsidP="00820288">
            <w:pPr>
              <w:spacing w:line="240" w:lineRule="auto"/>
              <w:rPr>
                <w:rFonts w:ascii="Times New Roman" w:hAnsi="Times New Roman" w:cs="Times New Roman"/>
                <w:color w:val="000000" w:themeColor="text1"/>
              </w:rPr>
            </w:pPr>
            <w:r w:rsidRPr="00EF6679">
              <w:rPr>
                <w:rFonts w:ascii="Times New Roman" w:hAnsi="Times New Roman" w:cs="Times New Roman"/>
                <w:color w:val="000000" w:themeColor="text1"/>
              </w:rPr>
              <w:t>Narrowband 20B/80R</w:t>
            </w:r>
          </w:p>
        </w:tc>
        <w:tc>
          <w:tcPr>
            <w:tcW w:w="1345" w:type="dxa"/>
            <w:tcBorders>
              <w:top w:val="single" w:sz="4" w:space="0" w:color="auto"/>
            </w:tcBorders>
            <w:noWrap/>
            <w:vAlign w:val="center"/>
          </w:tcPr>
          <w:p w14:paraId="138E8707" w14:textId="77777777" w:rsidR="00BB138C" w:rsidRPr="00EF6679" w:rsidRDefault="00BB138C" w:rsidP="00820288">
            <w:pPr>
              <w:spacing w:line="240" w:lineRule="auto"/>
              <w:jc w:val="right"/>
              <w:rPr>
                <w:rFonts w:ascii="Times New Roman" w:hAnsi="Times New Roman" w:cs="Times New Roman"/>
                <w:color w:val="000000" w:themeColor="text1"/>
              </w:rPr>
            </w:pPr>
            <w:r w:rsidRPr="00EF6679">
              <w:rPr>
                <w:rFonts w:ascii="Times New Roman" w:hAnsi="Times New Roman" w:cs="Times New Roman"/>
                <w:color w:val="000000" w:themeColor="text1"/>
              </w:rPr>
              <w:t xml:space="preserve">5.66 </w:t>
            </w:r>
            <w:r w:rsidRPr="00EF6679">
              <w:rPr>
                <w:rFonts w:ascii="Times New Roman" w:hAnsi="Times New Roman" w:cs="Times New Roman"/>
                <w:color w:val="000000" w:themeColor="text1"/>
                <w:shd w:val="clear" w:color="auto" w:fill="FFFFFF"/>
              </w:rPr>
              <w:t xml:space="preserve">± 1.87   </w:t>
            </w:r>
          </w:p>
        </w:tc>
        <w:tc>
          <w:tcPr>
            <w:tcW w:w="649" w:type="dxa"/>
            <w:tcBorders>
              <w:top w:val="single" w:sz="4" w:space="0" w:color="auto"/>
            </w:tcBorders>
            <w:noWrap/>
            <w:vAlign w:val="center"/>
          </w:tcPr>
          <w:p w14:paraId="5DDED668" w14:textId="77777777" w:rsidR="00BB138C" w:rsidRPr="00EF6679" w:rsidRDefault="00BB138C" w:rsidP="00820288">
            <w:pPr>
              <w:spacing w:line="240" w:lineRule="auto"/>
              <w:rPr>
                <w:rFonts w:ascii="Times New Roman" w:hAnsi="Times New Roman" w:cs="Times New Roman"/>
                <w:color w:val="000000" w:themeColor="text1"/>
                <w:vertAlign w:val="superscript"/>
              </w:rPr>
            </w:pPr>
            <w:r w:rsidRPr="00EF6679">
              <w:rPr>
                <w:rFonts w:ascii="Times New Roman" w:hAnsi="Times New Roman" w:cs="Times New Roman"/>
                <w:color w:val="000000" w:themeColor="text1"/>
                <w:vertAlign w:val="superscript"/>
              </w:rPr>
              <w:t>b</w:t>
            </w:r>
          </w:p>
        </w:tc>
        <w:tc>
          <w:tcPr>
            <w:tcW w:w="1263" w:type="dxa"/>
            <w:tcBorders>
              <w:top w:val="single" w:sz="4" w:space="0" w:color="auto"/>
            </w:tcBorders>
            <w:noWrap/>
            <w:vAlign w:val="center"/>
          </w:tcPr>
          <w:p w14:paraId="48D43CD5" w14:textId="77777777" w:rsidR="00BB138C" w:rsidRPr="00EF6679" w:rsidRDefault="00BB138C" w:rsidP="00820288">
            <w:pPr>
              <w:spacing w:line="240" w:lineRule="auto"/>
              <w:jc w:val="right"/>
              <w:rPr>
                <w:rFonts w:ascii="Times New Roman" w:hAnsi="Times New Roman" w:cs="Times New Roman"/>
                <w:color w:val="000000" w:themeColor="text1"/>
              </w:rPr>
            </w:pPr>
            <w:r w:rsidRPr="00EF6679">
              <w:rPr>
                <w:rFonts w:ascii="Times New Roman" w:hAnsi="Times New Roman" w:cs="Times New Roman"/>
                <w:color w:val="000000" w:themeColor="text1"/>
              </w:rPr>
              <w:t xml:space="preserve">6.22 </w:t>
            </w:r>
            <w:r w:rsidRPr="00EF6679">
              <w:rPr>
                <w:rFonts w:ascii="Times New Roman" w:hAnsi="Times New Roman" w:cs="Times New Roman"/>
                <w:color w:val="000000" w:themeColor="text1"/>
                <w:shd w:val="clear" w:color="auto" w:fill="FFFFFF"/>
              </w:rPr>
              <w:t>± 1.93</w:t>
            </w:r>
          </w:p>
        </w:tc>
        <w:tc>
          <w:tcPr>
            <w:tcW w:w="850" w:type="dxa"/>
            <w:tcBorders>
              <w:top w:val="single" w:sz="4" w:space="0" w:color="auto"/>
            </w:tcBorders>
            <w:noWrap/>
            <w:vAlign w:val="center"/>
          </w:tcPr>
          <w:p w14:paraId="112E842F" w14:textId="77777777" w:rsidR="00BB138C" w:rsidRPr="00EF6679" w:rsidRDefault="00BB138C" w:rsidP="00820288">
            <w:pPr>
              <w:spacing w:line="240" w:lineRule="auto"/>
              <w:rPr>
                <w:rFonts w:ascii="Times New Roman" w:hAnsi="Times New Roman" w:cs="Times New Roman"/>
                <w:color w:val="000000" w:themeColor="text1"/>
                <w:vertAlign w:val="superscript"/>
              </w:rPr>
            </w:pPr>
            <w:r w:rsidRPr="00EF6679">
              <w:rPr>
                <w:rFonts w:ascii="Times New Roman" w:hAnsi="Times New Roman" w:cs="Times New Roman"/>
                <w:color w:val="000000" w:themeColor="text1"/>
                <w:vertAlign w:val="superscript"/>
              </w:rPr>
              <w:t>bc</w:t>
            </w:r>
          </w:p>
        </w:tc>
      </w:tr>
      <w:tr w:rsidR="00BB138C" w:rsidRPr="00EF6679" w14:paraId="30EAD661" w14:textId="77777777" w:rsidTr="00820288">
        <w:trPr>
          <w:trHeight w:val="520"/>
        </w:trPr>
        <w:tc>
          <w:tcPr>
            <w:tcW w:w="5111" w:type="dxa"/>
            <w:noWrap/>
            <w:vAlign w:val="center"/>
            <w:hideMark/>
          </w:tcPr>
          <w:p w14:paraId="3186F0DE" w14:textId="77777777" w:rsidR="00BB138C" w:rsidRPr="00EF6679" w:rsidRDefault="00BB138C" w:rsidP="00820288">
            <w:pPr>
              <w:spacing w:line="240" w:lineRule="auto"/>
              <w:rPr>
                <w:rFonts w:ascii="Times New Roman" w:hAnsi="Times New Roman" w:cs="Times New Roman"/>
                <w:color w:val="000000" w:themeColor="text1"/>
              </w:rPr>
            </w:pPr>
            <w:r w:rsidRPr="00EF6679">
              <w:rPr>
                <w:rFonts w:ascii="Times New Roman" w:hAnsi="Times New Roman" w:cs="Times New Roman"/>
                <w:color w:val="000000" w:themeColor="text1"/>
              </w:rPr>
              <w:t>Broadband White</w:t>
            </w:r>
          </w:p>
        </w:tc>
        <w:tc>
          <w:tcPr>
            <w:tcW w:w="1345" w:type="dxa"/>
            <w:noWrap/>
            <w:vAlign w:val="center"/>
            <w:hideMark/>
          </w:tcPr>
          <w:p w14:paraId="20D34E6A" w14:textId="77777777" w:rsidR="00BB138C" w:rsidRPr="00EF6679" w:rsidRDefault="00BB138C" w:rsidP="00820288">
            <w:pPr>
              <w:spacing w:line="240" w:lineRule="auto"/>
              <w:jc w:val="right"/>
              <w:rPr>
                <w:rFonts w:ascii="Times New Roman" w:hAnsi="Times New Roman" w:cs="Times New Roman"/>
                <w:color w:val="000000" w:themeColor="text1"/>
              </w:rPr>
            </w:pPr>
            <w:r w:rsidRPr="00EF6679">
              <w:rPr>
                <w:rFonts w:ascii="Times New Roman" w:hAnsi="Times New Roman" w:cs="Times New Roman"/>
                <w:color w:val="000000" w:themeColor="text1"/>
              </w:rPr>
              <w:t xml:space="preserve">6.01 </w:t>
            </w:r>
            <w:r w:rsidRPr="00EF6679">
              <w:rPr>
                <w:rFonts w:ascii="Times New Roman" w:hAnsi="Times New Roman" w:cs="Times New Roman"/>
                <w:color w:val="000000" w:themeColor="text1"/>
                <w:shd w:val="clear" w:color="auto" w:fill="FFFFFF"/>
              </w:rPr>
              <w:t>± 1.91</w:t>
            </w:r>
          </w:p>
        </w:tc>
        <w:tc>
          <w:tcPr>
            <w:tcW w:w="649" w:type="dxa"/>
            <w:noWrap/>
            <w:vAlign w:val="center"/>
            <w:hideMark/>
          </w:tcPr>
          <w:p w14:paraId="65740336" w14:textId="77777777" w:rsidR="00BB138C" w:rsidRPr="00EF6679" w:rsidRDefault="00BB138C" w:rsidP="00820288">
            <w:pPr>
              <w:spacing w:line="240" w:lineRule="auto"/>
              <w:rPr>
                <w:rFonts w:ascii="Times New Roman" w:hAnsi="Times New Roman" w:cs="Times New Roman"/>
                <w:color w:val="000000" w:themeColor="text1"/>
                <w:vertAlign w:val="superscript"/>
              </w:rPr>
            </w:pPr>
            <w:r w:rsidRPr="00EF6679">
              <w:rPr>
                <w:rFonts w:ascii="Times New Roman" w:hAnsi="Times New Roman" w:cs="Times New Roman"/>
                <w:color w:val="000000" w:themeColor="text1"/>
                <w:vertAlign w:val="superscript"/>
              </w:rPr>
              <w:t xml:space="preserve">a </w:t>
            </w:r>
          </w:p>
        </w:tc>
        <w:tc>
          <w:tcPr>
            <w:tcW w:w="1263" w:type="dxa"/>
            <w:noWrap/>
            <w:vAlign w:val="center"/>
            <w:hideMark/>
          </w:tcPr>
          <w:p w14:paraId="2EAC0C21" w14:textId="77777777" w:rsidR="00BB138C" w:rsidRPr="00EF6679" w:rsidRDefault="00BB138C" w:rsidP="00820288">
            <w:pPr>
              <w:spacing w:line="240" w:lineRule="auto"/>
              <w:jc w:val="right"/>
              <w:rPr>
                <w:rFonts w:ascii="Times New Roman" w:hAnsi="Times New Roman" w:cs="Times New Roman"/>
                <w:color w:val="000000" w:themeColor="text1"/>
              </w:rPr>
            </w:pPr>
            <w:r w:rsidRPr="00EF6679">
              <w:rPr>
                <w:rFonts w:ascii="Times New Roman" w:hAnsi="Times New Roman" w:cs="Times New Roman"/>
                <w:color w:val="000000" w:themeColor="text1"/>
              </w:rPr>
              <w:t xml:space="preserve">5.99 </w:t>
            </w:r>
            <w:r w:rsidRPr="00EF6679">
              <w:rPr>
                <w:rFonts w:ascii="Times New Roman" w:hAnsi="Times New Roman" w:cs="Times New Roman"/>
                <w:color w:val="000000" w:themeColor="text1"/>
                <w:shd w:val="clear" w:color="auto" w:fill="FFFFFF"/>
              </w:rPr>
              <w:t>± 1.97</w:t>
            </w:r>
          </w:p>
        </w:tc>
        <w:tc>
          <w:tcPr>
            <w:tcW w:w="850" w:type="dxa"/>
            <w:noWrap/>
            <w:vAlign w:val="center"/>
            <w:hideMark/>
          </w:tcPr>
          <w:p w14:paraId="195A1BD7" w14:textId="77777777" w:rsidR="00BB138C" w:rsidRPr="00EF6679" w:rsidRDefault="00BB138C" w:rsidP="00820288">
            <w:pPr>
              <w:spacing w:line="240" w:lineRule="auto"/>
              <w:rPr>
                <w:rFonts w:ascii="Times New Roman" w:hAnsi="Times New Roman" w:cs="Times New Roman"/>
                <w:color w:val="000000" w:themeColor="text1"/>
                <w:vertAlign w:val="superscript"/>
              </w:rPr>
            </w:pPr>
            <w:r w:rsidRPr="00EF6679">
              <w:rPr>
                <w:rFonts w:ascii="Times New Roman" w:hAnsi="Times New Roman" w:cs="Times New Roman"/>
                <w:color w:val="000000" w:themeColor="text1"/>
                <w:vertAlign w:val="superscript"/>
              </w:rPr>
              <w:t>c</w:t>
            </w:r>
          </w:p>
        </w:tc>
      </w:tr>
      <w:tr w:rsidR="00BB138C" w:rsidRPr="00EF6679" w14:paraId="231A33FE" w14:textId="77777777" w:rsidTr="00820288">
        <w:trPr>
          <w:trHeight w:val="520"/>
        </w:trPr>
        <w:tc>
          <w:tcPr>
            <w:tcW w:w="5111" w:type="dxa"/>
            <w:noWrap/>
            <w:vAlign w:val="center"/>
            <w:hideMark/>
          </w:tcPr>
          <w:p w14:paraId="3C2F27D2" w14:textId="77777777" w:rsidR="00BB138C" w:rsidRPr="00EF6679" w:rsidRDefault="00BB138C" w:rsidP="00820288">
            <w:pPr>
              <w:spacing w:line="240" w:lineRule="auto"/>
              <w:rPr>
                <w:rFonts w:ascii="Times New Roman" w:hAnsi="Times New Roman" w:cs="Times New Roman"/>
                <w:color w:val="000000" w:themeColor="text1"/>
              </w:rPr>
            </w:pPr>
            <w:r w:rsidRPr="00EF6679">
              <w:rPr>
                <w:rFonts w:ascii="Times New Roman" w:hAnsi="Times New Roman" w:cs="Times New Roman"/>
                <w:color w:val="000000" w:themeColor="text1"/>
              </w:rPr>
              <w:t>High Pressure Sodium</w:t>
            </w:r>
          </w:p>
        </w:tc>
        <w:tc>
          <w:tcPr>
            <w:tcW w:w="1345" w:type="dxa"/>
            <w:noWrap/>
            <w:vAlign w:val="center"/>
            <w:hideMark/>
          </w:tcPr>
          <w:p w14:paraId="7817824C" w14:textId="77777777" w:rsidR="00BB138C" w:rsidRPr="00EF6679" w:rsidRDefault="00BB138C" w:rsidP="00820288">
            <w:pPr>
              <w:spacing w:line="240" w:lineRule="auto"/>
              <w:jc w:val="right"/>
              <w:rPr>
                <w:rFonts w:ascii="Times New Roman" w:hAnsi="Times New Roman" w:cs="Times New Roman"/>
                <w:color w:val="000000" w:themeColor="text1"/>
              </w:rPr>
            </w:pPr>
            <w:r w:rsidRPr="00EF6679">
              <w:rPr>
                <w:rFonts w:ascii="Times New Roman" w:hAnsi="Times New Roman" w:cs="Times New Roman"/>
                <w:color w:val="000000" w:themeColor="text1"/>
              </w:rPr>
              <w:t xml:space="preserve">6.22 </w:t>
            </w:r>
            <w:r w:rsidRPr="00EF6679">
              <w:rPr>
                <w:rFonts w:ascii="Times New Roman" w:hAnsi="Times New Roman" w:cs="Times New Roman"/>
                <w:color w:val="000000" w:themeColor="text1"/>
                <w:shd w:val="clear" w:color="auto" w:fill="FFFFFF"/>
              </w:rPr>
              <w:t>± 1.45</w:t>
            </w:r>
          </w:p>
        </w:tc>
        <w:tc>
          <w:tcPr>
            <w:tcW w:w="649" w:type="dxa"/>
            <w:noWrap/>
            <w:vAlign w:val="center"/>
            <w:hideMark/>
          </w:tcPr>
          <w:p w14:paraId="38EE83BD" w14:textId="77777777" w:rsidR="00BB138C" w:rsidRPr="00EF6679" w:rsidRDefault="00BB138C" w:rsidP="00820288">
            <w:pPr>
              <w:spacing w:line="240" w:lineRule="auto"/>
              <w:rPr>
                <w:rFonts w:ascii="Times New Roman" w:hAnsi="Times New Roman" w:cs="Times New Roman"/>
                <w:color w:val="000000" w:themeColor="text1"/>
                <w:vertAlign w:val="superscript"/>
              </w:rPr>
            </w:pPr>
            <w:r w:rsidRPr="00EF6679">
              <w:rPr>
                <w:rFonts w:ascii="Times New Roman" w:hAnsi="Times New Roman" w:cs="Times New Roman"/>
                <w:color w:val="000000" w:themeColor="text1"/>
                <w:vertAlign w:val="superscript"/>
              </w:rPr>
              <w:t>a</w:t>
            </w:r>
          </w:p>
        </w:tc>
        <w:tc>
          <w:tcPr>
            <w:tcW w:w="1263" w:type="dxa"/>
            <w:noWrap/>
            <w:vAlign w:val="center"/>
            <w:hideMark/>
          </w:tcPr>
          <w:p w14:paraId="3140B351" w14:textId="77777777" w:rsidR="00BB138C" w:rsidRPr="00EF6679" w:rsidRDefault="00BB138C" w:rsidP="00820288">
            <w:pPr>
              <w:spacing w:line="240" w:lineRule="auto"/>
              <w:jc w:val="right"/>
              <w:rPr>
                <w:rFonts w:ascii="Times New Roman" w:hAnsi="Times New Roman" w:cs="Times New Roman"/>
                <w:color w:val="000000" w:themeColor="text1"/>
              </w:rPr>
            </w:pPr>
            <w:r w:rsidRPr="00EF6679">
              <w:rPr>
                <w:rFonts w:ascii="Times New Roman" w:hAnsi="Times New Roman" w:cs="Times New Roman"/>
                <w:color w:val="000000" w:themeColor="text1"/>
              </w:rPr>
              <w:t xml:space="preserve">6.68 </w:t>
            </w:r>
            <w:r w:rsidRPr="00EF6679">
              <w:rPr>
                <w:rFonts w:ascii="Times New Roman" w:hAnsi="Times New Roman" w:cs="Times New Roman"/>
                <w:color w:val="000000" w:themeColor="text1"/>
                <w:shd w:val="clear" w:color="auto" w:fill="FFFFFF"/>
              </w:rPr>
              <w:t>± 1.54</w:t>
            </w:r>
          </w:p>
        </w:tc>
        <w:tc>
          <w:tcPr>
            <w:tcW w:w="850" w:type="dxa"/>
            <w:noWrap/>
            <w:vAlign w:val="center"/>
            <w:hideMark/>
          </w:tcPr>
          <w:p w14:paraId="1A2BF31C" w14:textId="77777777" w:rsidR="00BB138C" w:rsidRPr="00EF6679" w:rsidRDefault="00BB138C" w:rsidP="00820288">
            <w:pPr>
              <w:spacing w:line="240" w:lineRule="auto"/>
              <w:rPr>
                <w:rFonts w:ascii="Times New Roman" w:hAnsi="Times New Roman" w:cs="Times New Roman"/>
                <w:color w:val="000000" w:themeColor="text1"/>
                <w:vertAlign w:val="superscript"/>
              </w:rPr>
            </w:pPr>
            <w:r w:rsidRPr="00EF6679">
              <w:rPr>
                <w:rFonts w:ascii="Times New Roman" w:hAnsi="Times New Roman" w:cs="Times New Roman"/>
                <w:color w:val="000000" w:themeColor="text1"/>
                <w:vertAlign w:val="superscript"/>
              </w:rPr>
              <w:t>ab</w:t>
            </w:r>
          </w:p>
        </w:tc>
      </w:tr>
      <w:tr w:rsidR="00BB138C" w:rsidRPr="00EF6679" w14:paraId="5264A760" w14:textId="77777777" w:rsidTr="00820288">
        <w:trPr>
          <w:trHeight w:val="520"/>
        </w:trPr>
        <w:tc>
          <w:tcPr>
            <w:tcW w:w="5111" w:type="dxa"/>
            <w:tcBorders>
              <w:bottom w:val="single" w:sz="4" w:space="0" w:color="auto"/>
            </w:tcBorders>
            <w:noWrap/>
            <w:vAlign w:val="center"/>
            <w:hideMark/>
          </w:tcPr>
          <w:p w14:paraId="3F49614E" w14:textId="77777777" w:rsidR="00BB138C" w:rsidRPr="00EF6679" w:rsidRDefault="00BB138C" w:rsidP="00820288">
            <w:pPr>
              <w:spacing w:line="240" w:lineRule="auto"/>
              <w:rPr>
                <w:rFonts w:ascii="Times New Roman" w:hAnsi="Times New Roman" w:cs="Times New Roman"/>
                <w:color w:val="000000" w:themeColor="text1"/>
              </w:rPr>
            </w:pPr>
            <w:r w:rsidRPr="00EF6679">
              <w:rPr>
                <w:rFonts w:ascii="Times New Roman" w:hAnsi="Times New Roman" w:cs="Times New Roman"/>
                <w:color w:val="000000" w:themeColor="text1"/>
              </w:rPr>
              <w:t>Natural Light Control</w:t>
            </w:r>
          </w:p>
        </w:tc>
        <w:tc>
          <w:tcPr>
            <w:tcW w:w="1345" w:type="dxa"/>
            <w:tcBorders>
              <w:bottom w:val="single" w:sz="4" w:space="0" w:color="auto"/>
            </w:tcBorders>
            <w:noWrap/>
            <w:vAlign w:val="center"/>
            <w:hideMark/>
          </w:tcPr>
          <w:p w14:paraId="7D26B27E" w14:textId="77777777" w:rsidR="00BB138C" w:rsidRPr="00EF6679" w:rsidRDefault="00BB138C" w:rsidP="00820288">
            <w:pPr>
              <w:spacing w:line="240" w:lineRule="auto"/>
              <w:jc w:val="right"/>
              <w:rPr>
                <w:rFonts w:ascii="Times New Roman" w:hAnsi="Times New Roman" w:cs="Times New Roman"/>
                <w:color w:val="000000" w:themeColor="text1"/>
              </w:rPr>
            </w:pPr>
            <w:r w:rsidRPr="00EF6679">
              <w:rPr>
                <w:rFonts w:ascii="Times New Roman" w:hAnsi="Times New Roman" w:cs="Times New Roman"/>
                <w:color w:val="000000" w:themeColor="text1"/>
              </w:rPr>
              <w:t xml:space="preserve">6.31 </w:t>
            </w:r>
            <w:r w:rsidRPr="00EF6679">
              <w:rPr>
                <w:rFonts w:ascii="Times New Roman" w:hAnsi="Times New Roman" w:cs="Times New Roman"/>
                <w:color w:val="000000" w:themeColor="text1"/>
                <w:shd w:val="clear" w:color="auto" w:fill="FFFFFF"/>
              </w:rPr>
              <w:t>± 1.21</w:t>
            </w:r>
          </w:p>
        </w:tc>
        <w:tc>
          <w:tcPr>
            <w:tcW w:w="649" w:type="dxa"/>
            <w:tcBorders>
              <w:bottom w:val="single" w:sz="4" w:space="0" w:color="auto"/>
            </w:tcBorders>
            <w:noWrap/>
            <w:vAlign w:val="center"/>
            <w:hideMark/>
          </w:tcPr>
          <w:p w14:paraId="509A7EB6" w14:textId="77777777" w:rsidR="00BB138C" w:rsidRPr="00EF6679" w:rsidRDefault="00BB138C" w:rsidP="00820288">
            <w:pPr>
              <w:spacing w:line="240" w:lineRule="auto"/>
              <w:rPr>
                <w:rFonts w:ascii="Times New Roman" w:hAnsi="Times New Roman" w:cs="Times New Roman"/>
                <w:color w:val="000000" w:themeColor="text1"/>
                <w:vertAlign w:val="superscript"/>
              </w:rPr>
            </w:pPr>
            <w:r w:rsidRPr="00EF6679">
              <w:rPr>
                <w:rFonts w:ascii="Times New Roman" w:hAnsi="Times New Roman" w:cs="Times New Roman"/>
                <w:color w:val="000000" w:themeColor="text1"/>
                <w:vertAlign w:val="superscript"/>
              </w:rPr>
              <w:t>a</w:t>
            </w:r>
          </w:p>
        </w:tc>
        <w:tc>
          <w:tcPr>
            <w:tcW w:w="1263" w:type="dxa"/>
            <w:tcBorders>
              <w:bottom w:val="single" w:sz="4" w:space="0" w:color="auto"/>
            </w:tcBorders>
            <w:noWrap/>
            <w:vAlign w:val="center"/>
            <w:hideMark/>
          </w:tcPr>
          <w:p w14:paraId="51FBFE88" w14:textId="77777777" w:rsidR="00BB138C" w:rsidRPr="00EF6679" w:rsidRDefault="00BB138C" w:rsidP="00820288">
            <w:pPr>
              <w:spacing w:line="240" w:lineRule="auto"/>
              <w:jc w:val="right"/>
              <w:rPr>
                <w:rFonts w:ascii="Times New Roman" w:hAnsi="Times New Roman" w:cs="Times New Roman"/>
                <w:color w:val="000000" w:themeColor="text1"/>
              </w:rPr>
            </w:pPr>
            <w:r w:rsidRPr="00EF6679">
              <w:rPr>
                <w:rFonts w:ascii="Times New Roman" w:hAnsi="Times New Roman" w:cs="Times New Roman"/>
                <w:color w:val="000000" w:themeColor="text1"/>
              </w:rPr>
              <w:t xml:space="preserve">6.98 </w:t>
            </w:r>
            <w:r w:rsidRPr="00EF6679">
              <w:rPr>
                <w:rFonts w:ascii="Times New Roman" w:hAnsi="Times New Roman" w:cs="Times New Roman"/>
                <w:color w:val="000000" w:themeColor="text1"/>
                <w:shd w:val="clear" w:color="auto" w:fill="FFFFFF"/>
              </w:rPr>
              <w:t>± 1.29</w:t>
            </w:r>
          </w:p>
        </w:tc>
        <w:tc>
          <w:tcPr>
            <w:tcW w:w="850" w:type="dxa"/>
            <w:tcBorders>
              <w:bottom w:val="single" w:sz="4" w:space="0" w:color="auto"/>
            </w:tcBorders>
            <w:noWrap/>
            <w:vAlign w:val="center"/>
            <w:hideMark/>
          </w:tcPr>
          <w:p w14:paraId="4B608F42" w14:textId="77777777" w:rsidR="00BB138C" w:rsidRPr="00EF6679" w:rsidRDefault="00BB138C" w:rsidP="00820288">
            <w:pPr>
              <w:spacing w:line="240" w:lineRule="auto"/>
              <w:rPr>
                <w:rFonts w:ascii="Times New Roman" w:hAnsi="Times New Roman" w:cs="Times New Roman"/>
                <w:color w:val="000000" w:themeColor="text1"/>
                <w:vertAlign w:val="superscript"/>
              </w:rPr>
            </w:pPr>
            <w:r w:rsidRPr="00EF6679">
              <w:rPr>
                <w:rFonts w:ascii="Times New Roman" w:hAnsi="Times New Roman" w:cs="Times New Roman"/>
                <w:color w:val="000000" w:themeColor="text1"/>
                <w:vertAlign w:val="superscript"/>
              </w:rPr>
              <w:t>a</w:t>
            </w:r>
          </w:p>
        </w:tc>
      </w:tr>
    </w:tbl>
    <w:p w14:paraId="7A75E3E4" w14:textId="77777777" w:rsidR="00BB138C" w:rsidRPr="00EF6679" w:rsidRDefault="00BB138C" w:rsidP="00BB138C">
      <w:pPr>
        <w:spacing w:line="240" w:lineRule="auto"/>
        <w:rPr>
          <w:rFonts w:cs="Times New Roman"/>
          <w:color w:val="000000" w:themeColor="text1"/>
          <w:sz w:val="20"/>
          <w:szCs w:val="20"/>
        </w:rPr>
      </w:pPr>
      <w:r w:rsidRPr="00EF6679">
        <w:rPr>
          <w:rFonts w:cs="Times New Roman"/>
          <w:color w:val="000000" w:themeColor="text1"/>
          <w:sz w:val="20"/>
          <w:szCs w:val="20"/>
        </w:rPr>
        <w:t>Values for each season are averaged across all treatments within that season. Values were analyzed using Tukey’s (protected) honest significant difference test. Data in the same column followed by the same letter are not significantly different (α = 0.05). There was no significant difference in overall liking scores between the Summer and Winter growing seasons. (i.e., means of growing seasons are compared in models without significance).</w:t>
      </w:r>
    </w:p>
    <w:p w14:paraId="17B48FC0" w14:textId="77777777" w:rsidR="00BB138C" w:rsidRPr="00EF6679" w:rsidRDefault="00BB138C" w:rsidP="00BB138C">
      <w:pPr>
        <w:spacing w:line="240" w:lineRule="auto"/>
        <w:rPr>
          <w:rFonts w:cs="Times New Roman"/>
          <w:color w:val="000000" w:themeColor="text1"/>
          <w:sz w:val="14"/>
          <w:szCs w:val="14"/>
        </w:rPr>
      </w:pPr>
      <w:r w:rsidRPr="00EF6679">
        <w:rPr>
          <w:rFonts w:cs="Times New Roman"/>
          <w:color w:val="000000" w:themeColor="text1"/>
          <w:sz w:val="14"/>
          <w:szCs w:val="14"/>
        </w:rPr>
        <w:br w:type="page"/>
      </w:r>
    </w:p>
    <w:p w14:paraId="04FB7E36" w14:textId="3EF4D06A" w:rsidR="00BB138C" w:rsidRPr="00EF6679" w:rsidRDefault="00BB138C" w:rsidP="00BB138C">
      <w:pPr>
        <w:pStyle w:val="TableTOC"/>
        <w:ind w:right="90"/>
        <w:jc w:val="both"/>
        <w:rPr>
          <w:rFonts w:cs="Times New Roman"/>
          <w:color w:val="000000" w:themeColor="text1"/>
          <w:sz w:val="14"/>
          <w:szCs w:val="14"/>
        </w:rPr>
      </w:pPr>
      <w:bookmarkStart w:id="715" w:name="_Toc141478794"/>
      <w:r w:rsidRPr="00EF6679">
        <w:rPr>
          <w:rFonts w:cs="Times New Roman"/>
          <w:b/>
          <w:bCs/>
          <w:color w:val="000000" w:themeColor="text1"/>
        </w:rPr>
        <w:lastRenderedPageBreak/>
        <w:t xml:space="preserve">Table </w:t>
      </w:r>
      <w:r w:rsidR="00BA2365" w:rsidRPr="00EF6679">
        <w:rPr>
          <w:rFonts w:cs="Times New Roman"/>
          <w:b/>
          <w:bCs/>
        </w:rPr>
        <w:t>5.</w:t>
      </w:r>
      <w:r w:rsidRPr="00EF6679">
        <w:rPr>
          <w:rFonts w:cs="Times New Roman"/>
          <w:b/>
          <w:bCs/>
          <w:color w:val="000000" w:themeColor="text1"/>
        </w:rPr>
        <w:t xml:space="preserve">10. </w:t>
      </w:r>
      <w:r w:rsidRPr="00EF6679">
        <w:rPr>
          <w:rFonts w:cs="Times New Roman"/>
          <w:color w:val="000000" w:themeColor="text1"/>
        </w:rPr>
        <w:t>Consumer overall aroma intensity scores of ‘Genovese’ sweet basil across growing season and lighting type. Means of growing seasons are compared in models without significant interaction terms and different are represented with ascending letters.</w:t>
      </w:r>
      <w:bookmarkEnd w:id="715"/>
      <w:r w:rsidRPr="00EF6679">
        <w:rPr>
          <w:rFonts w:cs="Times New Roman"/>
          <w:color w:val="000000" w:themeColor="text1"/>
        </w:rPr>
        <w:t xml:space="preserve"> </w:t>
      </w:r>
    </w:p>
    <w:p w14:paraId="3F259FB4" w14:textId="77777777" w:rsidR="00BB138C" w:rsidRPr="00EF6679" w:rsidRDefault="00BB138C" w:rsidP="00BB138C">
      <w:pPr>
        <w:spacing w:line="240" w:lineRule="auto"/>
        <w:rPr>
          <w:rFonts w:cs="Times New Roman"/>
          <w:color w:val="000000" w:themeColor="text1"/>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29" w:type="dxa"/>
          <w:right w:w="0" w:type="dxa"/>
        </w:tblCellMar>
        <w:tblLook w:val="04A0" w:firstRow="1" w:lastRow="0" w:firstColumn="1" w:lastColumn="0" w:noHBand="0" w:noVBand="1"/>
      </w:tblPr>
      <w:tblGrid>
        <w:gridCol w:w="5111"/>
        <w:gridCol w:w="1345"/>
        <w:gridCol w:w="649"/>
        <w:gridCol w:w="1263"/>
        <w:gridCol w:w="850"/>
      </w:tblGrid>
      <w:tr w:rsidR="00BB138C" w:rsidRPr="00EF6679" w14:paraId="252CE89C" w14:textId="77777777" w:rsidTr="00820288">
        <w:trPr>
          <w:trHeight w:val="520"/>
        </w:trPr>
        <w:tc>
          <w:tcPr>
            <w:tcW w:w="5111" w:type="dxa"/>
            <w:tcBorders>
              <w:top w:val="single" w:sz="4" w:space="0" w:color="auto"/>
            </w:tcBorders>
            <w:noWrap/>
            <w:vAlign w:val="center"/>
          </w:tcPr>
          <w:p w14:paraId="216C9E2D" w14:textId="77777777" w:rsidR="00BB138C" w:rsidRPr="00EF6679" w:rsidRDefault="00BB138C" w:rsidP="00820288">
            <w:pPr>
              <w:spacing w:line="240" w:lineRule="auto"/>
              <w:rPr>
                <w:rFonts w:ascii="Times New Roman" w:hAnsi="Times New Roman" w:cs="Times New Roman"/>
                <w:b/>
                <w:bCs/>
                <w:color w:val="000000" w:themeColor="text1"/>
              </w:rPr>
            </w:pPr>
          </w:p>
        </w:tc>
        <w:tc>
          <w:tcPr>
            <w:tcW w:w="4107" w:type="dxa"/>
            <w:gridSpan w:val="4"/>
            <w:tcBorders>
              <w:top w:val="single" w:sz="4" w:space="0" w:color="auto"/>
              <w:bottom w:val="single" w:sz="4" w:space="0" w:color="auto"/>
            </w:tcBorders>
            <w:noWrap/>
            <w:vAlign w:val="center"/>
          </w:tcPr>
          <w:p w14:paraId="5EFCD965" w14:textId="77777777" w:rsidR="00BB138C" w:rsidRPr="00EF6679" w:rsidRDefault="00BB138C" w:rsidP="00820288">
            <w:pPr>
              <w:tabs>
                <w:tab w:val="left" w:pos="327"/>
              </w:tabs>
              <w:spacing w:line="240" w:lineRule="auto"/>
              <w:jc w:val="center"/>
              <w:rPr>
                <w:rFonts w:ascii="Times New Roman" w:hAnsi="Times New Roman" w:cs="Times New Roman"/>
                <w:b/>
                <w:bCs/>
                <w:color w:val="000000" w:themeColor="text1"/>
              </w:rPr>
            </w:pPr>
            <w:r w:rsidRPr="00EF6679">
              <w:rPr>
                <w:rFonts w:ascii="Times New Roman" w:hAnsi="Times New Roman" w:cs="Times New Roman"/>
                <w:b/>
                <w:bCs/>
                <w:color w:val="000000" w:themeColor="text1"/>
              </w:rPr>
              <w:t>Growing Season</w:t>
            </w:r>
          </w:p>
        </w:tc>
      </w:tr>
      <w:tr w:rsidR="00BB138C" w:rsidRPr="00EF6679" w14:paraId="30BC3462" w14:textId="77777777" w:rsidTr="00820288">
        <w:trPr>
          <w:trHeight w:val="520"/>
        </w:trPr>
        <w:tc>
          <w:tcPr>
            <w:tcW w:w="5111" w:type="dxa"/>
            <w:tcBorders>
              <w:bottom w:val="single" w:sz="4" w:space="0" w:color="auto"/>
            </w:tcBorders>
            <w:noWrap/>
            <w:vAlign w:val="center"/>
          </w:tcPr>
          <w:p w14:paraId="46E4783F" w14:textId="77777777" w:rsidR="00BB138C" w:rsidRPr="00EF6679" w:rsidRDefault="00BB138C" w:rsidP="00820288">
            <w:pPr>
              <w:spacing w:line="240" w:lineRule="auto"/>
              <w:rPr>
                <w:rFonts w:ascii="Times New Roman" w:hAnsi="Times New Roman" w:cs="Times New Roman"/>
                <w:b/>
                <w:bCs/>
                <w:color w:val="000000" w:themeColor="text1"/>
              </w:rPr>
            </w:pPr>
            <w:r w:rsidRPr="00EF6679">
              <w:rPr>
                <w:rFonts w:ascii="Times New Roman" w:hAnsi="Times New Roman" w:cs="Times New Roman"/>
                <w:b/>
                <w:bCs/>
                <w:color w:val="000000" w:themeColor="text1"/>
              </w:rPr>
              <w:t>Light Treatment</w:t>
            </w:r>
          </w:p>
        </w:tc>
        <w:tc>
          <w:tcPr>
            <w:tcW w:w="1994" w:type="dxa"/>
            <w:gridSpan w:val="2"/>
            <w:tcBorders>
              <w:top w:val="single" w:sz="4" w:space="0" w:color="auto"/>
              <w:bottom w:val="single" w:sz="4" w:space="0" w:color="auto"/>
            </w:tcBorders>
            <w:noWrap/>
            <w:vAlign w:val="center"/>
          </w:tcPr>
          <w:p w14:paraId="45E5DEFB" w14:textId="77777777" w:rsidR="00BB138C" w:rsidRPr="00EF6679" w:rsidRDefault="00BB138C" w:rsidP="00820288">
            <w:pPr>
              <w:spacing w:line="240" w:lineRule="auto"/>
              <w:jc w:val="center"/>
              <w:rPr>
                <w:rFonts w:ascii="Times New Roman" w:hAnsi="Times New Roman" w:cs="Times New Roman"/>
                <w:color w:val="000000" w:themeColor="text1"/>
              </w:rPr>
            </w:pPr>
            <w:r w:rsidRPr="00EF6679">
              <w:rPr>
                <w:rFonts w:ascii="Times New Roman" w:hAnsi="Times New Roman" w:cs="Times New Roman"/>
                <w:color w:val="000000" w:themeColor="text1"/>
              </w:rPr>
              <w:t>Summer</w:t>
            </w:r>
          </w:p>
        </w:tc>
        <w:tc>
          <w:tcPr>
            <w:tcW w:w="2113" w:type="dxa"/>
            <w:gridSpan w:val="2"/>
            <w:tcBorders>
              <w:top w:val="single" w:sz="4" w:space="0" w:color="auto"/>
              <w:bottom w:val="single" w:sz="4" w:space="0" w:color="auto"/>
            </w:tcBorders>
            <w:noWrap/>
            <w:vAlign w:val="center"/>
          </w:tcPr>
          <w:p w14:paraId="1EA811B6" w14:textId="77777777" w:rsidR="00BB138C" w:rsidRPr="00EF6679" w:rsidRDefault="00BB138C" w:rsidP="00820288">
            <w:pPr>
              <w:spacing w:line="240" w:lineRule="auto"/>
              <w:jc w:val="center"/>
              <w:rPr>
                <w:rFonts w:ascii="Times New Roman" w:hAnsi="Times New Roman" w:cs="Times New Roman"/>
                <w:color w:val="000000" w:themeColor="text1"/>
              </w:rPr>
            </w:pPr>
            <w:r w:rsidRPr="00EF6679">
              <w:rPr>
                <w:rFonts w:ascii="Times New Roman" w:hAnsi="Times New Roman" w:cs="Times New Roman"/>
                <w:color w:val="000000" w:themeColor="text1"/>
              </w:rPr>
              <w:t>Winter</w:t>
            </w:r>
          </w:p>
        </w:tc>
      </w:tr>
      <w:tr w:rsidR="00BB138C" w:rsidRPr="00EF6679" w14:paraId="71706982" w14:textId="77777777" w:rsidTr="00820288">
        <w:trPr>
          <w:trHeight w:val="520"/>
        </w:trPr>
        <w:tc>
          <w:tcPr>
            <w:tcW w:w="5111" w:type="dxa"/>
            <w:tcBorders>
              <w:top w:val="single" w:sz="4" w:space="0" w:color="auto"/>
            </w:tcBorders>
            <w:noWrap/>
            <w:vAlign w:val="center"/>
          </w:tcPr>
          <w:p w14:paraId="3F324F18" w14:textId="77777777" w:rsidR="00BB138C" w:rsidRPr="00EF6679" w:rsidRDefault="00BB138C" w:rsidP="00820288">
            <w:pPr>
              <w:spacing w:line="240" w:lineRule="auto"/>
              <w:rPr>
                <w:rFonts w:ascii="Times New Roman" w:hAnsi="Times New Roman" w:cs="Times New Roman"/>
                <w:color w:val="000000" w:themeColor="text1"/>
              </w:rPr>
            </w:pPr>
            <w:r w:rsidRPr="00EF6679">
              <w:rPr>
                <w:rFonts w:ascii="Times New Roman" w:hAnsi="Times New Roman" w:cs="Times New Roman"/>
                <w:color w:val="000000" w:themeColor="text1"/>
              </w:rPr>
              <w:t>Narrowband 20B/80R</w:t>
            </w:r>
          </w:p>
        </w:tc>
        <w:tc>
          <w:tcPr>
            <w:tcW w:w="1345" w:type="dxa"/>
            <w:tcBorders>
              <w:top w:val="single" w:sz="4" w:space="0" w:color="auto"/>
            </w:tcBorders>
            <w:noWrap/>
            <w:vAlign w:val="center"/>
          </w:tcPr>
          <w:p w14:paraId="08112E1A" w14:textId="77777777" w:rsidR="00BB138C" w:rsidRPr="00EF6679" w:rsidRDefault="00BB138C" w:rsidP="00820288">
            <w:pPr>
              <w:spacing w:line="240" w:lineRule="auto"/>
              <w:jc w:val="right"/>
              <w:rPr>
                <w:rFonts w:ascii="Times New Roman" w:hAnsi="Times New Roman" w:cs="Times New Roman"/>
                <w:color w:val="000000" w:themeColor="text1"/>
              </w:rPr>
            </w:pPr>
            <w:r w:rsidRPr="00EF6679">
              <w:rPr>
                <w:rFonts w:ascii="Times New Roman" w:hAnsi="Times New Roman" w:cs="Times New Roman"/>
                <w:color w:val="000000" w:themeColor="text1"/>
              </w:rPr>
              <w:t xml:space="preserve">8.20 </w:t>
            </w:r>
            <w:r w:rsidRPr="00EF6679">
              <w:rPr>
                <w:rFonts w:ascii="Times New Roman" w:hAnsi="Times New Roman" w:cs="Times New Roman"/>
                <w:color w:val="000000" w:themeColor="text1"/>
                <w:shd w:val="clear" w:color="auto" w:fill="FFFFFF"/>
              </w:rPr>
              <w:t>± 3.01</w:t>
            </w:r>
          </w:p>
        </w:tc>
        <w:tc>
          <w:tcPr>
            <w:tcW w:w="649" w:type="dxa"/>
            <w:tcBorders>
              <w:top w:val="single" w:sz="4" w:space="0" w:color="auto"/>
            </w:tcBorders>
            <w:noWrap/>
            <w:vAlign w:val="center"/>
          </w:tcPr>
          <w:p w14:paraId="162261E1" w14:textId="77777777" w:rsidR="00BB138C" w:rsidRPr="00EF6679" w:rsidRDefault="00BB138C" w:rsidP="00820288">
            <w:pPr>
              <w:spacing w:line="240" w:lineRule="auto"/>
              <w:rPr>
                <w:rFonts w:ascii="Times New Roman" w:hAnsi="Times New Roman" w:cs="Times New Roman"/>
                <w:color w:val="000000" w:themeColor="text1"/>
                <w:vertAlign w:val="superscript"/>
              </w:rPr>
            </w:pPr>
            <w:r w:rsidRPr="00EF6679">
              <w:rPr>
                <w:rFonts w:ascii="Times New Roman" w:hAnsi="Times New Roman" w:cs="Times New Roman"/>
                <w:color w:val="000000" w:themeColor="text1"/>
                <w:vertAlign w:val="superscript"/>
              </w:rPr>
              <w:t>a</w:t>
            </w:r>
          </w:p>
        </w:tc>
        <w:tc>
          <w:tcPr>
            <w:tcW w:w="1263" w:type="dxa"/>
            <w:tcBorders>
              <w:top w:val="single" w:sz="4" w:space="0" w:color="auto"/>
            </w:tcBorders>
            <w:noWrap/>
            <w:vAlign w:val="center"/>
          </w:tcPr>
          <w:p w14:paraId="4011C4B0" w14:textId="77777777" w:rsidR="00BB138C" w:rsidRPr="00EF6679" w:rsidRDefault="00BB138C" w:rsidP="00820288">
            <w:pPr>
              <w:spacing w:line="240" w:lineRule="auto"/>
              <w:jc w:val="right"/>
              <w:rPr>
                <w:rFonts w:ascii="Times New Roman" w:hAnsi="Times New Roman" w:cs="Times New Roman"/>
                <w:color w:val="000000" w:themeColor="text1"/>
              </w:rPr>
            </w:pPr>
            <w:r w:rsidRPr="00EF6679">
              <w:rPr>
                <w:rFonts w:ascii="Times New Roman" w:hAnsi="Times New Roman" w:cs="Times New Roman"/>
                <w:color w:val="000000" w:themeColor="text1"/>
              </w:rPr>
              <w:t xml:space="preserve">8.31 </w:t>
            </w:r>
            <w:r w:rsidRPr="00EF6679">
              <w:rPr>
                <w:rFonts w:ascii="Times New Roman" w:hAnsi="Times New Roman" w:cs="Times New Roman"/>
                <w:color w:val="000000" w:themeColor="text1"/>
                <w:shd w:val="clear" w:color="auto" w:fill="FFFFFF"/>
              </w:rPr>
              <w:t>± 3.17</w:t>
            </w:r>
          </w:p>
        </w:tc>
        <w:tc>
          <w:tcPr>
            <w:tcW w:w="850" w:type="dxa"/>
            <w:tcBorders>
              <w:top w:val="single" w:sz="4" w:space="0" w:color="auto"/>
            </w:tcBorders>
            <w:noWrap/>
            <w:vAlign w:val="center"/>
          </w:tcPr>
          <w:p w14:paraId="04B36683" w14:textId="77777777" w:rsidR="00BB138C" w:rsidRPr="00EF6679" w:rsidRDefault="00BB138C" w:rsidP="00820288">
            <w:pPr>
              <w:spacing w:line="240" w:lineRule="auto"/>
              <w:rPr>
                <w:rFonts w:ascii="Times New Roman" w:hAnsi="Times New Roman" w:cs="Times New Roman"/>
                <w:color w:val="000000" w:themeColor="text1"/>
                <w:vertAlign w:val="superscript"/>
              </w:rPr>
            </w:pPr>
            <w:r w:rsidRPr="00EF6679">
              <w:rPr>
                <w:rFonts w:ascii="Times New Roman" w:hAnsi="Times New Roman" w:cs="Times New Roman"/>
                <w:color w:val="000000" w:themeColor="text1"/>
                <w:vertAlign w:val="superscript"/>
              </w:rPr>
              <w:t>a</w:t>
            </w:r>
          </w:p>
        </w:tc>
      </w:tr>
      <w:tr w:rsidR="00BB138C" w:rsidRPr="00EF6679" w14:paraId="0C520058" w14:textId="77777777" w:rsidTr="00820288">
        <w:trPr>
          <w:trHeight w:val="520"/>
        </w:trPr>
        <w:tc>
          <w:tcPr>
            <w:tcW w:w="5111" w:type="dxa"/>
            <w:noWrap/>
            <w:vAlign w:val="center"/>
            <w:hideMark/>
          </w:tcPr>
          <w:p w14:paraId="008C89BB" w14:textId="77777777" w:rsidR="00BB138C" w:rsidRPr="00EF6679" w:rsidRDefault="00BB138C" w:rsidP="00820288">
            <w:pPr>
              <w:spacing w:line="240" w:lineRule="auto"/>
              <w:rPr>
                <w:rFonts w:ascii="Times New Roman" w:hAnsi="Times New Roman" w:cs="Times New Roman"/>
                <w:color w:val="000000" w:themeColor="text1"/>
              </w:rPr>
            </w:pPr>
            <w:r w:rsidRPr="00EF6679">
              <w:rPr>
                <w:rFonts w:ascii="Times New Roman" w:hAnsi="Times New Roman" w:cs="Times New Roman"/>
                <w:color w:val="000000" w:themeColor="text1"/>
              </w:rPr>
              <w:t>Broadband White</w:t>
            </w:r>
          </w:p>
        </w:tc>
        <w:tc>
          <w:tcPr>
            <w:tcW w:w="1345" w:type="dxa"/>
            <w:noWrap/>
            <w:vAlign w:val="center"/>
            <w:hideMark/>
          </w:tcPr>
          <w:p w14:paraId="2A8C74D2" w14:textId="77777777" w:rsidR="00BB138C" w:rsidRPr="00EF6679" w:rsidRDefault="00BB138C" w:rsidP="00820288">
            <w:pPr>
              <w:spacing w:line="240" w:lineRule="auto"/>
              <w:jc w:val="right"/>
              <w:rPr>
                <w:rFonts w:ascii="Times New Roman" w:hAnsi="Times New Roman" w:cs="Times New Roman"/>
                <w:color w:val="000000" w:themeColor="text1"/>
              </w:rPr>
            </w:pPr>
            <w:r w:rsidRPr="00EF6679">
              <w:rPr>
                <w:rFonts w:ascii="Times New Roman" w:hAnsi="Times New Roman" w:cs="Times New Roman"/>
                <w:color w:val="000000" w:themeColor="text1"/>
              </w:rPr>
              <w:t xml:space="preserve">8.44 </w:t>
            </w:r>
            <w:r w:rsidRPr="00EF6679">
              <w:rPr>
                <w:rFonts w:ascii="Times New Roman" w:hAnsi="Times New Roman" w:cs="Times New Roman"/>
                <w:color w:val="000000" w:themeColor="text1"/>
                <w:shd w:val="clear" w:color="auto" w:fill="FFFFFF"/>
              </w:rPr>
              <w:t>± 3.29</w:t>
            </w:r>
          </w:p>
        </w:tc>
        <w:tc>
          <w:tcPr>
            <w:tcW w:w="649" w:type="dxa"/>
            <w:noWrap/>
            <w:vAlign w:val="center"/>
            <w:hideMark/>
          </w:tcPr>
          <w:p w14:paraId="696A645E" w14:textId="77777777" w:rsidR="00BB138C" w:rsidRPr="00EF6679" w:rsidRDefault="00BB138C" w:rsidP="00820288">
            <w:pPr>
              <w:spacing w:line="240" w:lineRule="auto"/>
              <w:rPr>
                <w:rFonts w:ascii="Times New Roman" w:hAnsi="Times New Roman" w:cs="Times New Roman"/>
                <w:color w:val="000000" w:themeColor="text1"/>
                <w:vertAlign w:val="superscript"/>
              </w:rPr>
            </w:pPr>
            <w:r w:rsidRPr="00EF6679">
              <w:rPr>
                <w:rFonts w:ascii="Times New Roman" w:hAnsi="Times New Roman" w:cs="Times New Roman"/>
                <w:color w:val="000000" w:themeColor="text1"/>
                <w:vertAlign w:val="superscript"/>
              </w:rPr>
              <w:t xml:space="preserve">a </w:t>
            </w:r>
          </w:p>
        </w:tc>
        <w:tc>
          <w:tcPr>
            <w:tcW w:w="1263" w:type="dxa"/>
            <w:noWrap/>
            <w:vAlign w:val="center"/>
            <w:hideMark/>
          </w:tcPr>
          <w:p w14:paraId="31996BD0" w14:textId="77777777" w:rsidR="00BB138C" w:rsidRPr="00EF6679" w:rsidRDefault="00BB138C" w:rsidP="00820288">
            <w:pPr>
              <w:spacing w:line="240" w:lineRule="auto"/>
              <w:jc w:val="right"/>
              <w:rPr>
                <w:rFonts w:ascii="Times New Roman" w:hAnsi="Times New Roman" w:cs="Times New Roman"/>
                <w:color w:val="000000" w:themeColor="text1"/>
              </w:rPr>
            </w:pPr>
            <w:r w:rsidRPr="00EF6679">
              <w:rPr>
                <w:rFonts w:ascii="Times New Roman" w:hAnsi="Times New Roman" w:cs="Times New Roman"/>
                <w:color w:val="000000" w:themeColor="text1"/>
              </w:rPr>
              <w:t xml:space="preserve">8.61 </w:t>
            </w:r>
            <w:r w:rsidRPr="00EF6679">
              <w:rPr>
                <w:rFonts w:ascii="Times New Roman" w:hAnsi="Times New Roman" w:cs="Times New Roman"/>
                <w:color w:val="000000" w:themeColor="text1"/>
                <w:shd w:val="clear" w:color="auto" w:fill="FFFFFF"/>
              </w:rPr>
              <w:t>± 3.49</w:t>
            </w:r>
          </w:p>
        </w:tc>
        <w:tc>
          <w:tcPr>
            <w:tcW w:w="850" w:type="dxa"/>
            <w:noWrap/>
            <w:vAlign w:val="center"/>
            <w:hideMark/>
          </w:tcPr>
          <w:p w14:paraId="65C9DDE1" w14:textId="77777777" w:rsidR="00BB138C" w:rsidRPr="00EF6679" w:rsidRDefault="00BB138C" w:rsidP="00820288">
            <w:pPr>
              <w:spacing w:line="240" w:lineRule="auto"/>
              <w:rPr>
                <w:rFonts w:ascii="Times New Roman" w:hAnsi="Times New Roman" w:cs="Times New Roman"/>
                <w:color w:val="000000" w:themeColor="text1"/>
                <w:vertAlign w:val="superscript"/>
              </w:rPr>
            </w:pPr>
            <w:r w:rsidRPr="00EF6679">
              <w:rPr>
                <w:rFonts w:ascii="Times New Roman" w:hAnsi="Times New Roman" w:cs="Times New Roman"/>
                <w:color w:val="000000" w:themeColor="text1"/>
                <w:vertAlign w:val="superscript"/>
              </w:rPr>
              <w:t>a</w:t>
            </w:r>
          </w:p>
        </w:tc>
      </w:tr>
      <w:tr w:rsidR="00BB138C" w:rsidRPr="00EF6679" w14:paraId="3127EE8C" w14:textId="77777777" w:rsidTr="00820288">
        <w:trPr>
          <w:trHeight w:val="520"/>
        </w:trPr>
        <w:tc>
          <w:tcPr>
            <w:tcW w:w="5111" w:type="dxa"/>
            <w:noWrap/>
            <w:vAlign w:val="center"/>
            <w:hideMark/>
          </w:tcPr>
          <w:p w14:paraId="40E3F042" w14:textId="77777777" w:rsidR="00BB138C" w:rsidRPr="00EF6679" w:rsidRDefault="00BB138C" w:rsidP="00820288">
            <w:pPr>
              <w:spacing w:line="240" w:lineRule="auto"/>
              <w:rPr>
                <w:rFonts w:ascii="Times New Roman" w:hAnsi="Times New Roman" w:cs="Times New Roman"/>
                <w:color w:val="000000" w:themeColor="text1"/>
              </w:rPr>
            </w:pPr>
            <w:r w:rsidRPr="00EF6679">
              <w:rPr>
                <w:rFonts w:ascii="Times New Roman" w:hAnsi="Times New Roman" w:cs="Times New Roman"/>
                <w:color w:val="000000" w:themeColor="text1"/>
              </w:rPr>
              <w:t>High Pressure Sodium</w:t>
            </w:r>
          </w:p>
        </w:tc>
        <w:tc>
          <w:tcPr>
            <w:tcW w:w="1345" w:type="dxa"/>
            <w:noWrap/>
            <w:vAlign w:val="center"/>
            <w:hideMark/>
          </w:tcPr>
          <w:p w14:paraId="0384E7FA" w14:textId="77777777" w:rsidR="00BB138C" w:rsidRPr="00EF6679" w:rsidRDefault="00BB138C" w:rsidP="00820288">
            <w:pPr>
              <w:spacing w:line="240" w:lineRule="auto"/>
              <w:jc w:val="right"/>
              <w:rPr>
                <w:rFonts w:ascii="Times New Roman" w:hAnsi="Times New Roman" w:cs="Times New Roman"/>
                <w:color w:val="000000" w:themeColor="text1"/>
              </w:rPr>
            </w:pPr>
            <w:r w:rsidRPr="00EF6679">
              <w:rPr>
                <w:rFonts w:ascii="Times New Roman" w:hAnsi="Times New Roman" w:cs="Times New Roman"/>
                <w:color w:val="000000" w:themeColor="text1"/>
              </w:rPr>
              <w:t xml:space="preserve">8.32 </w:t>
            </w:r>
            <w:r w:rsidRPr="00EF6679">
              <w:rPr>
                <w:rFonts w:ascii="Times New Roman" w:hAnsi="Times New Roman" w:cs="Times New Roman"/>
                <w:color w:val="000000" w:themeColor="text1"/>
                <w:shd w:val="clear" w:color="auto" w:fill="FFFFFF"/>
              </w:rPr>
              <w:t>± 3.14</w:t>
            </w:r>
          </w:p>
        </w:tc>
        <w:tc>
          <w:tcPr>
            <w:tcW w:w="649" w:type="dxa"/>
            <w:noWrap/>
            <w:vAlign w:val="center"/>
            <w:hideMark/>
          </w:tcPr>
          <w:p w14:paraId="1CC406B0" w14:textId="77777777" w:rsidR="00BB138C" w:rsidRPr="00EF6679" w:rsidRDefault="00BB138C" w:rsidP="00820288">
            <w:pPr>
              <w:spacing w:line="240" w:lineRule="auto"/>
              <w:rPr>
                <w:rFonts w:ascii="Times New Roman" w:hAnsi="Times New Roman" w:cs="Times New Roman"/>
                <w:color w:val="000000" w:themeColor="text1"/>
                <w:vertAlign w:val="superscript"/>
              </w:rPr>
            </w:pPr>
            <w:r w:rsidRPr="00EF6679">
              <w:rPr>
                <w:rFonts w:ascii="Times New Roman" w:hAnsi="Times New Roman" w:cs="Times New Roman"/>
                <w:color w:val="000000" w:themeColor="text1"/>
                <w:vertAlign w:val="superscript"/>
              </w:rPr>
              <w:t>a</w:t>
            </w:r>
          </w:p>
        </w:tc>
        <w:tc>
          <w:tcPr>
            <w:tcW w:w="1263" w:type="dxa"/>
            <w:noWrap/>
            <w:vAlign w:val="center"/>
            <w:hideMark/>
          </w:tcPr>
          <w:p w14:paraId="27414F80" w14:textId="77777777" w:rsidR="00BB138C" w:rsidRPr="00EF6679" w:rsidRDefault="00BB138C" w:rsidP="00820288">
            <w:pPr>
              <w:spacing w:line="240" w:lineRule="auto"/>
              <w:jc w:val="right"/>
              <w:rPr>
                <w:rFonts w:ascii="Times New Roman" w:hAnsi="Times New Roman" w:cs="Times New Roman"/>
                <w:color w:val="000000" w:themeColor="text1"/>
              </w:rPr>
            </w:pPr>
            <w:r w:rsidRPr="00EF6679">
              <w:rPr>
                <w:rFonts w:ascii="Times New Roman" w:hAnsi="Times New Roman" w:cs="Times New Roman"/>
                <w:color w:val="000000" w:themeColor="text1"/>
              </w:rPr>
              <w:t xml:space="preserve">8.51 </w:t>
            </w:r>
            <w:r w:rsidRPr="00EF6679">
              <w:rPr>
                <w:rFonts w:ascii="Times New Roman" w:hAnsi="Times New Roman" w:cs="Times New Roman"/>
                <w:color w:val="000000" w:themeColor="text1"/>
                <w:shd w:val="clear" w:color="auto" w:fill="FFFFFF"/>
              </w:rPr>
              <w:t>± 3.31</w:t>
            </w:r>
          </w:p>
        </w:tc>
        <w:tc>
          <w:tcPr>
            <w:tcW w:w="850" w:type="dxa"/>
            <w:noWrap/>
            <w:vAlign w:val="center"/>
            <w:hideMark/>
          </w:tcPr>
          <w:p w14:paraId="0F93B8DF" w14:textId="77777777" w:rsidR="00BB138C" w:rsidRPr="00EF6679" w:rsidRDefault="00BB138C" w:rsidP="00820288">
            <w:pPr>
              <w:spacing w:line="240" w:lineRule="auto"/>
              <w:rPr>
                <w:rFonts w:ascii="Times New Roman" w:hAnsi="Times New Roman" w:cs="Times New Roman"/>
                <w:color w:val="000000" w:themeColor="text1"/>
                <w:vertAlign w:val="superscript"/>
              </w:rPr>
            </w:pPr>
            <w:r w:rsidRPr="00EF6679">
              <w:rPr>
                <w:rFonts w:ascii="Times New Roman" w:hAnsi="Times New Roman" w:cs="Times New Roman"/>
                <w:color w:val="000000" w:themeColor="text1"/>
                <w:vertAlign w:val="superscript"/>
              </w:rPr>
              <w:t>a</w:t>
            </w:r>
          </w:p>
        </w:tc>
      </w:tr>
      <w:tr w:rsidR="00BB138C" w:rsidRPr="00EF6679" w14:paraId="25591A15" w14:textId="77777777" w:rsidTr="00820288">
        <w:trPr>
          <w:trHeight w:val="520"/>
        </w:trPr>
        <w:tc>
          <w:tcPr>
            <w:tcW w:w="5111" w:type="dxa"/>
            <w:tcBorders>
              <w:bottom w:val="single" w:sz="4" w:space="0" w:color="auto"/>
            </w:tcBorders>
            <w:noWrap/>
            <w:vAlign w:val="center"/>
            <w:hideMark/>
          </w:tcPr>
          <w:p w14:paraId="63F738CA" w14:textId="77777777" w:rsidR="00BB138C" w:rsidRPr="00EF6679" w:rsidRDefault="00BB138C" w:rsidP="00820288">
            <w:pPr>
              <w:spacing w:line="240" w:lineRule="auto"/>
              <w:rPr>
                <w:rFonts w:ascii="Times New Roman" w:hAnsi="Times New Roman" w:cs="Times New Roman"/>
                <w:color w:val="000000" w:themeColor="text1"/>
              </w:rPr>
            </w:pPr>
            <w:r w:rsidRPr="00EF6679">
              <w:rPr>
                <w:rFonts w:ascii="Times New Roman" w:hAnsi="Times New Roman" w:cs="Times New Roman"/>
                <w:color w:val="000000" w:themeColor="text1"/>
              </w:rPr>
              <w:t>Natural Light Control</w:t>
            </w:r>
          </w:p>
        </w:tc>
        <w:tc>
          <w:tcPr>
            <w:tcW w:w="1345" w:type="dxa"/>
            <w:tcBorders>
              <w:bottom w:val="single" w:sz="4" w:space="0" w:color="auto"/>
            </w:tcBorders>
            <w:noWrap/>
            <w:vAlign w:val="center"/>
            <w:hideMark/>
          </w:tcPr>
          <w:p w14:paraId="1E4A859C" w14:textId="77777777" w:rsidR="00BB138C" w:rsidRPr="00EF6679" w:rsidRDefault="00BB138C" w:rsidP="00820288">
            <w:pPr>
              <w:spacing w:line="240" w:lineRule="auto"/>
              <w:jc w:val="right"/>
              <w:rPr>
                <w:rFonts w:ascii="Times New Roman" w:hAnsi="Times New Roman" w:cs="Times New Roman"/>
                <w:color w:val="000000" w:themeColor="text1"/>
              </w:rPr>
            </w:pPr>
            <w:r w:rsidRPr="00EF6679">
              <w:rPr>
                <w:rFonts w:ascii="Times New Roman" w:hAnsi="Times New Roman" w:cs="Times New Roman"/>
                <w:color w:val="000000" w:themeColor="text1"/>
              </w:rPr>
              <w:t xml:space="preserve">7.98 </w:t>
            </w:r>
            <w:r w:rsidRPr="00EF6679">
              <w:rPr>
                <w:rFonts w:ascii="Times New Roman" w:hAnsi="Times New Roman" w:cs="Times New Roman"/>
                <w:color w:val="000000" w:themeColor="text1"/>
                <w:shd w:val="clear" w:color="auto" w:fill="FFFFFF"/>
              </w:rPr>
              <w:t>± 3.54</w:t>
            </w:r>
          </w:p>
        </w:tc>
        <w:tc>
          <w:tcPr>
            <w:tcW w:w="649" w:type="dxa"/>
            <w:tcBorders>
              <w:bottom w:val="single" w:sz="4" w:space="0" w:color="auto"/>
            </w:tcBorders>
            <w:noWrap/>
            <w:vAlign w:val="center"/>
            <w:hideMark/>
          </w:tcPr>
          <w:p w14:paraId="2BF47E8D" w14:textId="77777777" w:rsidR="00BB138C" w:rsidRPr="00EF6679" w:rsidRDefault="00BB138C" w:rsidP="00820288">
            <w:pPr>
              <w:spacing w:line="240" w:lineRule="auto"/>
              <w:rPr>
                <w:rFonts w:ascii="Times New Roman" w:hAnsi="Times New Roman" w:cs="Times New Roman"/>
                <w:color w:val="000000" w:themeColor="text1"/>
                <w:vertAlign w:val="superscript"/>
              </w:rPr>
            </w:pPr>
            <w:r w:rsidRPr="00EF6679">
              <w:rPr>
                <w:rFonts w:ascii="Times New Roman" w:hAnsi="Times New Roman" w:cs="Times New Roman"/>
                <w:color w:val="000000" w:themeColor="text1"/>
                <w:vertAlign w:val="superscript"/>
              </w:rPr>
              <w:t>a</w:t>
            </w:r>
          </w:p>
        </w:tc>
        <w:tc>
          <w:tcPr>
            <w:tcW w:w="1263" w:type="dxa"/>
            <w:tcBorders>
              <w:bottom w:val="single" w:sz="4" w:space="0" w:color="auto"/>
            </w:tcBorders>
            <w:noWrap/>
            <w:vAlign w:val="center"/>
            <w:hideMark/>
          </w:tcPr>
          <w:p w14:paraId="5DA7A8A2" w14:textId="77777777" w:rsidR="00BB138C" w:rsidRPr="00EF6679" w:rsidRDefault="00BB138C" w:rsidP="00820288">
            <w:pPr>
              <w:spacing w:line="240" w:lineRule="auto"/>
              <w:jc w:val="right"/>
              <w:rPr>
                <w:rFonts w:ascii="Times New Roman" w:hAnsi="Times New Roman" w:cs="Times New Roman"/>
                <w:color w:val="000000" w:themeColor="text1"/>
              </w:rPr>
            </w:pPr>
            <w:r w:rsidRPr="00EF6679">
              <w:rPr>
                <w:rFonts w:ascii="Times New Roman" w:hAnsi="Times New Roman" w:cs="Times New Roman"/>
                <w:color w:val="000000" w:themeColor="text1"/>
              </w:rPr>
              <w:t xml:space="preserve">8.11 </w:t>
            </w:r>
            <w:r w:rsidRPr="00EF6679">
              <w:rPr>
                <w:rFonts w:ascii="Times New Roman" w:hAnsi="Times New Roman" w:cs="Times New Roman"/>
                <w:color w:val="000000" w:themeColor="text1"/>
                <w:shd w:val="clear" w:color="auto" w:fill="FFFFFF"/>
              </w:rPr>
              <w:t>± 3.35</w:t>
            </w:r>
          </w:p>
        </w:tc>
        <w:tc>
          <w:tcPr>
            <w:tcW w:w="850" w:type="dxa"/>
            <w:tcBorders>
              <w:bottom w:val="single" w:sz="4" w:space="0" w:color="auto"/>
            </w:tcBorders>
            <w:noWrap/>
            <w:vAlign w:val="center"/>
            <w:hideMark/>
          </w:tcPr>
          <w:p w14:paraId="03FD3EA6" w14:textId="77777777" w:rsidR="00BB138C" w:rsidRPr="00EF6679" w:rsidRDefault="00BB138C" w:rsidP="00820288">
            <w:pPr>
              <w:spacing w:line="240" w:lineRule="auto"/>
              <w:rPr>
                <w:rFonts w:ascii="Times New Roman" w:hAnsi="Times New Roman" w:cs="Times New Roman"/>
                <w:color w:val="000000" w:themeColor="text1"/>
                <w:vertAlign w:val="superscript"/>
              </w:rPr>
            </w:pPr>
            <w:r w:rsidRPr="00EF6679">
              <w:rPr>
                <w:rFonts w:ascii="Times New Roman" w:hAnsi="Times New Roman" w:cs="Times New Roman"/>
                <w:color w:val="000000" w:themeColor="text1"/>
                <w:vertAlign w:val="superscript"/>
              </w:rPr>
              <w:t>a</w:t>
            </w:r>
          </w:p>
        </w:tc>
      </w:tr>
    </w:tbl>
    <w:p w14:paraId="664A5ECF" w14:textId="77777777" w:rsidR="00BB138C" w:rsidRPr="00EF6679" w:rsidRDefault="00BB138C" w:rsidP="00BB138C">
      <w:pPr>
        <w:spacing w:line="240" w:lineRule="auto"/>
        <w:rPr>
          <w:rFonts w:cs="Times New Roman"/>
          <w:color w:val="000000" w:themeColor="text1"/>
          <w:sz w:val="20"/>
          <w:szCs w:val="20"/>
        </w:rPr>
      </w:pPr>
      <w:r w:rsidRPr="00EF6679">
        <w:rPr>
          <w:rFonts w:cs="Times New Roman"/>
          <w:color w:val="000000" w:themeColor="text1"/>
          <w:sz w:val="20"/>
          <w:szCs w:val="20"/>
        </w:rPr>
        <w:t>Values for each season are averaged across all treatments within that season. Values were analyzed using Tukey’s (protected) honest significant difference test. Data in the same column followed by the same letter are not significantly different (α = 0.05). There was no significant difference in overall liking scores between the Summer and Winter growing seasons (i.e., means of growing seasons are compared in models without significance).</w:t>
      </w:r>
    </w:p>
    <w:p w14:paraId="4E241A78" w14:textId="77777777" w:rsidR="00BB138C" w:rsidRPr="00EF6679" w:rsidRDefault="00BB138C" w:rsidP="00BB138C">
      <w:pPr>
        <w:pStyle w:val="TableTOC"/>
        <w:ind w:right="90"/>
        <w:jc w:val="both"/>
        <w:rPr>
          <w:rFonts w:cs="Times New Roman"/>
          <w:b/>
          <w:bCs/>
          <w:color w:val="000000" w:themeColor="text1"/>
        </w:rPr>
        <w:sectPr w:rsidR="00BB138C" w:rsidRPr="00EF6679" w:rsidSect="000222F1">
          <w:pgSz w:w="12240" w:h="15840"/>
          <w:pgMar w:top="1440" w:right="1440" w:bottom="1440" w:left="1440" w:header="720" w:footer="720" w:gutter="0"/>
          <w:cols w:space="720"/>
          <w:docGrid w:linePitch="360"/>
        </w:sectPr>
      </w:pPr>
    </w:p>
    <w:p w14:paraId="5A183D51" w14:textId="0DB04933" w:rsidR="00BB138C" w:rsidRPr="00EF6679" w:rsidRDefault="00BB138C" w:rsidP="00BB138C">
      <w:pPr>
        <w:pStyle w:val="TableTOC"/>
        <w:ind w:right="90"/>
        <w:jc w:val="both"/>
        <w:rPr>
          <w:rFonts w:cs="Times New Roman"/>
          <w:color w:val="000000" w:themeColor="text1"/>
          <w:sz w:val="14"/>
          <w:szCs w:val="14"/>
        </w:rPr>
      </w:pPr>
      <w:bookmarkStart w:id="716" w:name="_Toc141478795"/>
      <w:r w:rsidRPr="00EF6679">
        <w:rPr>
          <w:rFonts w:cs="Times New Roman"/>
          <w:b/>
          <w:bCs/>
          <w:color w:val="000000" w:themeColor="text1"/>
        </w:rPr>
        <w:lastRenderedPageBreak/>
        <w:t xml:space="preserve">Table </w:t>
      </w:r>
      <w:r w:rsidR="00BA2365" w:rsidRPr="00EF6679">
        <w:rPr>
          <w:rFonts w:cs="Times New Roman"/>
          <w:b/>
          <w:bCs/>
        </w:rPr>
        <w:t>5.</w:t>
      </w:r>
      <w:r w:rsidRPr="00EF6679">
        <w:rPr>
          <w:rFonts w:cs="Times New Roman"/>
          <w:b/>
          <w:bCs/>
          <w:color w:val="000000" w:themeColor="text1"/>
        </w:rPr>
        <w:t xml:space="preserve">11. </w:t>
      </w:r>
      <w:r w:rsidRPr="00EF6679">
        <w:rPr>
          <w:rFonts w:cs="Times New Roman"/>
          <w:color w:val="000000" w:themeColor="text1"/>
        </w:rPr>
        <w:t>Differentially expressed genes (DEGs) based on comparisons between supplemental lighting treatment and natural light (NL) control.</w:t>
      </w:r>
      <w:bookmarkEnd w:id="716"/>
    </w:p>
    <w:p w14:paraId="6EF53074" w14:textId="77777777" w:rsidR="00BB138C" w:rsidRPr="00EF6679" w:rsidRDefault="00BB138C" w:rsidP="00BB138C">
      <w:pPr>
        <w:spacing w:line="240" w:lineRule="auto"/>
        <w:rPr>
          <w:rFonts w:cs="Times New Roman"/>
          <w:color w:val="000000" w:themeColor="text1"/>
        </w:rPr>
      </w:pPr>
    </w:p>
    <w:tbl>
      <w:tblPr>
        <w:tblStyle w:val="TableGrid"/>
        <w:tblW w:w="1310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29" w:type="dxa"/>
          <w:right w:w="0" w:type="dxa"/>
        </w:tblCellMar>
        <w:tblLook w:val="04A0" w:firstRow="1" w:lastRow="0" w:firstColumn="1" w:lastColumn="0" w:noHBand="0" w:noVBand="1"/>
      </w:tblPr>
      <w:tblGrid>
        <w:gridCol w:w="2520"/>
        <w:gridCol w:w="1725"/>
        <w:gridCol w:w="1726"/>
        <w:gridCol w:w="1726"/>
        <w:gridCol w:w="223"/>
        <w:gridCol w:w="1728"/>
        <w:gridCol w:w="1728"/>
        <w:gridCol w:w="1728"/>
      </w:tblGrid>
      <w:tr w:rsidR="00BB138C" w:rsidRPr="00EF6679" w14:paraId="618E7DA4" w14:textId="77777777" w:rsidTr="00820288">
        <w:trPr>
          <w:trHeight w:val="432"/>
        </w:trPr>
        <w:tc>
          <w:tcPr>
            <w:tcW w:w="2520" w:type="dxa"/>
            <w:tcBorders>
              <w:top w:val="single" w:sz="4" w:space="0" w:color="auto"/>
            </w:tcBorders>
            <w:noWrap/>
            <w:vAlign w:val="center"/>
          </w:tcPr>
          <w:p w14:paraId="4F50BEC9" w14:textId="77777777" w:rsidR="00BB138C" w:rsidRPr="00EF6679" w:rsidRDefault="00BB138C" w:rsidP="00820288">
            <w:pPr>
              <w:spacing w:line="240" w:lineRule="auto"/>
              <w:jc w:val="center"/>
              <w:rPr>
                <w:rFonts w:ascii="Times New Roman" w:hAnsi="Times New Roman" w:cs="Times New Roman"/>
                <w:b/>
                <w:bCs/>
                <w:color w:val="000000" w:themeColor="text1"/>
              </w:rPr>
            </w:pPr>
          </w:p>
        </w:tc>
        <w:tc>
          <w:tcPr>
            <w:tcW w:w="5177" w:type="dxa"/>
            <w:gridSpan w:val="3"/>
            <w:tcBorders>
              <w:top w:val="single" w:sz="4" w:space="0" w:color="auto"/>
              <w:bottom w:val="single" w:sz="4" w:space="0" w:color="auto"/>
            </w:tcBorders>
            <w:noWrap/>
            <w:vAlign w:val="center"/>
          </w:tcPr>
          <w:p w14:paraId="67B40D8B" w14:textId="77777777" w:rsidR="00BB138C" w:rsidRPr="00EF6679" w:rsidRDefault="00BB138C" w:rsidP="00820288">
            <w:pPr>
              <w:spacing w:line="240" w:lineRule="auto"/>
              <w:jc w:val="center"/>
              <w:rPr>
                <w:rFonts w:ascii="Times New Roman" w:hAnsi="Times New Roman" w:cs="Times New Roman"/>
                <w:b/>
                <w:bCs/>
                <w:color w:val="000000" w:themeColor="text1"/>
              </w:rPr>
            </w:pPr>
            <w:r w:rsidRPr="00EF6679">
              <w:rPr>
                <w:rFonts w:ascii="Times New Roman" w:hAnsi="Times New Roman" w:cs="Times New Roman"/>
                <w:b/>
                <w:bCs/>
                <w:color w:val="000000" w:themeColor="text1"/>
              </w:rPr>
              <w:t>Summer</w:t>
            </w:r>
          </w:p>
        </w:tc>
        <w:tc>
          <w:tcPr>
            <w:tcW w:w="223" w:type="dxa"/>
            <w:tcBorders>
              <w:top w:val="single" w:sz="4" w:space="0" w:color="auto"/>
            </w:tcBorders>
          </w:tcPr>
          <w:p w14:paraId="01787640" w14:textId="77777777" w:rsidR="00BB138C" w:rsidRPr="00EF6679" w:rsidRDefault="00BB138C" w:rsidP="00820288">
            <w:pPr>
              <w:spacing w:line="240" w:lineRule="auto"/>
              <w:jc w:val="center"/>
              <w:rPr>
                <w:rFonts w:ascii="Times New Roman" w:hAnsi="Times New Roman" w:cs="Times New Roman"/>
                <w:b/>
                <w:bCs/>
                <w:color w:val="000000" w:themeColor="text1"/>
              </w:rPr>
            </w:pPr>
          </w:p>
        </w:tc>
        <w:tc>
          <w:tcPr>
            <w:tcW w:w="5184" w:type="dxa"/>
            <w:gridSpan w:val="3"/>
            <w:tcBorders>
              <w:top w:val="single" w:sz="4" w:space="0" w:color="auto"/>
              <w:bottom w:val="single" w:sz="4" w:space="0" w:color="auto"/>
            </w:tcBorders>
            <w:vAlign w:val="center"/>
          </w:tcPr>
          <w:p w14:paraId="055D262F" w14:textId="77777777" w:rsidR="00BB138C" w:rsidRPr="00EF6679" w:rsidRDefault="00BB138C" w:rsidP="00820288">
            <w:pPr>
              <w:spacing w:line="240" w:lineRule="auto"/>
              <w:jc w:val="center"/>
              <w:rPr>
                <w:rFonts w:ascii="Times New Roman" w:hAnsi="Times New Roman" w:cs="Times New Roman"/>
                <w:b/>
                <w:bCs/>
                <w:color w:val="000000" w:themeColor="text1"/>
              </w:rPr>
            </w:pPr>
            <w:r w:rsidRPr="00EF6679">
              <w:rPr>
                <w:rFonts w:ascii="Times New Roman" w:hAnsi="Times New Roman" w:cs="Times New Roman"/>
                <w:b/>
                <w:bCs/>
                <w:color w:val="000000" w:themeColor="text1"/>
              </w:rPr>
              <w:t>Winter</w:t>
            </w:r>
          </w:p>
        </w:tc>
      </w:tr>
      <w:tr w:rsidR="00BB138C" w:rsidRPr="00EF6679" w14:paraId="6A0EECC3" w14:textId="77777777" w:rsidTr="00820288">
        <w:trPr>
          <w:trHeight w:val="432"/>
        </w:trPr>
        <w:tc>
          <w:tcPr>
            <w:tcW w:w="2520" w:type="dxa"/>
            <w:tcBorders>
              <w:bottom w:val="single" w:sz="4" w:space="0" w:color="auto"/>
            </w:tcBorders>
            <w:noWrap/>
            <w:vAlign w:val="center"/>
          </w:tcPr>
          <w:p w14:paraId="3276D421" w14:textId="77777777" w:rsidR="00BB138C" w:rsidRPr="00EF6679" w:rsidRDefault="00BB138C" w:rsidP="00820288">
            <w:pPr>
              <w:spacing w:line="240" w:lineRule="auto"/>
              <w:rPr>
                <w:rFonts w:ascii="Times New Roman" w:hAnsi="Times New Roman" w:cs="Times New Roman"/>
                <w:b/>
                <w:bCs/>
                <w:color w:val="000000" w:themeColor="text1"/>
              </w:rPr>
            </w:pPr>
            <w:r w:rsidRPr="00EF6679">
              <w:rPr>
                <w:rFonts w:ascii="Times New Roman" w:hAnsi="Times New Roman" w:cs="Times New Roman"/>
                <w:b/>
                <w:bCs/>
                <w:color w:val="000000" w:themeColor="text1"/>
              </w:rPr>
              <w:t>DEG Comparison</w:t>
            </w:r>
          </w:p>
        </w:tc>
        <w:tc>
          <w:tcPr>
            <w:tcW w:w="1725" w:type="dxa"/>
            <w:tcBorders>
              <w:top w:val="single" w:sz="4" w:space="0" w:color="auto"/>
              <w:bottom w:val="single" w:sz="4" w:space="0" w:color="auto"/>
            </w:tcBorders>
            <w:noWrap/>
            <w:vAlign w:val="center"/>
          </w:tcPr>
          <w:p w14:paraId="13B4BE86" w14:textId="77777777" w:rsidR="00BB138C" w:rsidRPr="00EF6679" w:rsidRDefault="00BB138C" w:rsidP="00820288">
            <w:pPr>
              <w:spacing w:line="240" w:lineRule="auto"/>
              <w:jc w:val="center"/>
              <w:rPr>
                <w:rFonts w:ascii="Times New Roman" w:hAnsi="Times New Roman" w:cs="Times New Roman"/>
                <w:b/>
                <w:bCs/>
                <w:color w:val="000000" w:themeColor="text1"/>
              </w:rPr>
            </w:pPr>
            <w:r w:rsidRPr="00EF6679">
              <w:rPr>
                <w:rFonts w:ascii="Times New Roman" w:hAnsi="Times New Roman" w:cs="Times New Roman"/>
                <w:b/>
                <w:bCs/>
                <w:color w:val="000000" w:themeColor="text1"/>
              </w:rPr>
              <w:t>Upregulated</w:t>
            </w:r>
          </w:p>
        </w:tc>
        <w:tc>
          <w:tcPr>
            <w:tcW w:w="1726" w:type="dxa"/>
            <w:tcBorders>
              <w:top w:val="single" w:sz="4" w:space="0" w:color="auto"/>
              <w:bottom w:val="single" w:sz="4" w:space="0" w:color="auto"/>
            </w:tcBorders>
            <w:vAlign w:val="center"/>
          </w:tcPr>
          <w:p w14:paraId="17FDC791" w14:textId="77777777" w:rsidR="00BB138C" w:rsidRPr="00EF6679" w:rsidRDefault="00BB138C" w:rsidP="00820288">
            <w:pPr>
              <w:spacing w:line="240" w:lineRule="auto"/>
              <w:jc w:val="center"/>
              <w:rPr>
                <w:rFonts w:ascii="Times New Roman" w:hAnsi="Times New Roman" w:cs="Times New Roman"/>
                <w:b/>
                <w:bCs/>
                <w:color w:val="000000" w:themeColor="text1"/>
              </w:rPr>
            </w:pPr>
            <w:r w:rsidRPr="00EF6679">
              <w:rPr>
                <w:rFonts w:ascii="Times New Roman" w:hAnsi="Times New Roman" w:cs="Times New Roman"/>
                <w:b/>
                <w:bCs/>
                <w:color w:val="000000" w:themeColor="text1"/>
              </w:rPr>
              <w:t>Downregulated</w:t>
            </w:r>
          </w:p>
        </w:tc>
        <w:tc>
          <w:tcPr>
            <w:tcW w:w="1726" w:type="dxa"/>
            <w:tcBorders>
              <w:top w:val="single" w:sz="4" w:space="0" w:color="auto"/>
              <w:bottom w:val="single" w:sz="4" w:space="0" w:color="auto"/>
            </w:tcBorders>
            <w:vAlign w:val="center"/>
          </w:tcPr>
          <w:p w14:paraId="7DDDB195" w14:textId="77777777" w:rsidR="00BB138C" w:rsidRPr="00EF6679" w:rsidRDefault="00BB138C" w:rsidP="00820288">
            <w:pPr>
              <w:spacing w:line="240" w:lineRule="auto"/>
              <w:jc w:val="center"/>
              <w:rPr>
                <w:rFonts w:ascii="Times New Roman" w:hAnsi="Times New Roman" w:cs="Times New Roman"/>
                <w:b/>
                <w:bCs/>
                <w:color w:val="000000" w:themeColor="text1"/>
              </w:rPr>
            </w:pPr>
            <w:r w:rsidRPr="00EF6679">
              <w:rPr>
                <w:rFonts w:ascii="Times New Roman" w:hAnsi="Times New Roman" w:cs="Times New Roman"/>
                <w:b/>
                <w:bCs/>
                <w:color w:val="000000" w:themeColor="text1"/>
              </w:rPr>
              <w:t>Total DEGs</w:t>
            </w:r>
          </w:p>
        </w:tc>
        <w:tc>
          <w:tcPr>
            <w:tcW w:w="223" w:type="dxa"/>
            <w:tcBorders>
              <w:bottom w:val="single" w:sz="4" w:space="0" w:color="auto"/>
            </w:tcBorders>
          </w:tcPr>
          <w:p w14:paraId="3CF28BE7" w14:textId="77777777" w:rsidR="00BB138C" w:rsidRPr="00EF6679" w:rsidRDefault="00BB138C" w:rsidP="00820288">
            <w:pPr>
              <w:spacing w:line="240" w:lineRule="auto"/>
              <w:jc w:val="center"/>
              <w:rPr>
                <w:rFonts w:ascii="Times New Roman" w:hAnsi="Times New Roman" w:cs="Times New Roman"/>
                <w:b/>
                <w:bCs/>
                <w:color w:val="000000" w:themeColor="text1"/>
              </w:rPr>
            </w:pPr>
          </w:p>
        </w:tc>
        <w:tc>
          <w:tcPr>
            <w:tcW w:w="1728" w:type="dxa"/>
            <w:tcBorders>
              <w:top w:val="single" w:sz="4" w:space="0" w:color="auto"/>
              <w:bottom w:val="single" w:sz="4" w:space="0" w:color="auto"/>
            </w:tcBorders>
            <w:vAlign w:val="center"/>
          </w:tcPr>
          <w:p w14:paraId="3FEDF09D" w14:textId="77777777" w:rsidR="00BB138C" w:rsidRPr="00EF6679" w:rsidRDefault="00BB138C" w:rsidP="00820288">
            <w:pPr>
              <w:spacing w:line="240" w:lineRule="auto"/>
              <w:jc w:val="center"/>
              <w:rPr>
                <w:rFonts w:ascii="Times New Roman" w:hAnsi="Times New Roman" w:cs="Times New Roman"/>
                <w:b/>
                <w:bCs/>
                <w:color w:val="000000" w:themeColor="text1"/>
              </w:rPr>
            </w:pPr>
            <w:r w:rsidRPr="00EF6679">
              <w:rPr>
                <w:rFonts w:ascii="Times New Roman" w:hAnsi="Times New Roman" w:cs="Times New Roman"/>
                <w:b/>
                <w:bCs/>
                <w:color w:val="000000" w:themeColor="text1"/>
              </w:rPr>
              <w:t>Upregulated</w:t>
            </w:r>
          </w:p>
        </w:tc>
        <w:tc>
          <w:tcPr>
            <w:tcW w:w="1728" w:type="dxa"/>
            <w:tcBorders>
              <w:top w:val="single" w:sz="4" w:space="0" w:color="auto"/>
              <w:bottom w:val="single" w:sz="4" w:space="0" w:color="auto"/>
            </w:tcBorders>
            <w:vAlign w:val="center"/>
          </w:tcPr>
          <w:p w14:paraId="26348CC1" w14:textId="77777777" w:rsidR="00BB138C" w:rsidRPr="00EF6679" w:rsidRDefault="00BB138C" w:rsidP="00820288">
            <w:pPr>
              <w:spacing w:line="240" w:lineRule="auto"/>
              <w:jc w:val="center"/>
              <w:rPr>
                <w:rFonts w:ascii="Times New Roman" w:hAnsi="Times New Roman" w:cs="Times New Roman"/>
                <w:b/>
                <w:bCs/>
                <w:color w:val="000000" w:themeColor="text1"/>
              </w:rPr>
            </w:pPr>
            <w:r w:rsidRPr="00EF6679">
              <w:rPr>
                <w:rFonts w:ascii="Times New Roman" w:hAnsi="Times New Roman" w:cs="Times New Roman"/>
                <w:b/>
                <w:bCs/>
                <w:color w:val="000000" w:themeColor="text1"/>
              </w:rPr>
              <w:t>Downregulated</w:t>
            </w:r>
          </w:p>
        </w:tc>
        <w:tc>
          <w:tcPr>
            <w:tcW w:w="1728" w:type="dxa"/>
            <w:tcBorders>
              <w:top w:val="single" w:sz="4" w:space="0" w:color="auto"/>
              <w:bottom w:val="single" w:sz="4" w:space="0" w:color="auto"/>
            </w:tcBorders>
            <w:vAlign w:val="center"/>
          </w:tcPr>
          <w:p w14:paraId="49089A29" w14:textId="77777777" w:rsidR="00BB138C" w:rsidRPr="00EF6679" w:rsidRDefault="00BB138C" w:rsidP="00820288">
            <w:pPr>
              <w:spacing w:line="240" w:lineRule="auto"/>
              <w:jc w:val="center"/>
              <w:rPr>
                <w:rFonts w:ascii="Times New Roman" w:hAnsi="Times New Roman" w:cs="Times New Roman"/>
                <w:b/>
                <w:bCs/>
                <w:color w:val="000000" w:themeColor="text1"/>
              </w:rPr>
            </w:pPr>
            <w:r w:rsidRPr="00EF6679">
              <w:rPr>
                <w:rFonts w:ascii="Times New Roman" w:hAnsi="Times New Roman" w:cs="Times New Roman"/>
                <w:b/>
                <w:bCs/>
                <w:color w:val="000000" w:themeColor="text1"/>
              </w:rPr>
              <w:t>Total DEGs</w:t>
            </w:r>
          </w:p>
        </w:tc>
      </w:tr>
      <w:tr w:rsidR="00BB138C" w:rsidRPr="00EF6679" w14:paraId="2E387B7B" w14:textId="77777777" w:rsidTr="00820288">
        <w:trPr>
          <w:trHeight w:val="649"/>
        </w:trPr>
        <w:tc>
          <w:tcPr>
            <w:tcW w:w="2520" w:type="dxa"/>
            <w:tcBorders>
              <w:top w:val="single" w:sz="4" w:space="0" w:color="auto"/>
            </w:tcBorders>
            <w:noWrap/>
            <w:vAlign w:val="center"/>
          </w:tcPr>
          <w:p w14:paraId="599DD4D2" w14:textId="77777777" w:rsidR="00BB138C" w:rsidRPr="00EF6679" w:rsidRDefault="00BB138C" w:rsidP="00820288">
            <w:pPr>
              <w:spacing w:line="240" w:lineRule="auto"/>
              <w:rPr>
                <w:rFonts w:ascii="Times New Roman" w:hAnsi="Times New Roman" w:cs="Times New Roman"/>
                <w:color w:val="000000" w:themeColor="text1"/>
              </w:rPr>
            </w:pPr>
            <w:r w:rsidRPr="00EF6679">
              <w:rPr>
                <w:rFonts w:ascii="Times New Roman" w:hAnsi="Times New Roman" w:cs="Times New Roman"/>
                <w:color w:val="000000" w:themeColor="text1"/>
              </w:rPr>
              <w:t>Narrowband 20B/80R vs. NL Control</w:t>
            </w:r>
          </w:p>
        </w:tc>
        <w:tc>
          <w:tcPr>
            <w:tcW w:w="1725" w:type="dxa"/>
            <w:tcBorders>
              <w:top w:val="single" w:sz="4" w:space="0" w:color="auto"/>
            </w:tcBorders>
            <w:noWrap/>
            <w:vAlign w:val="center"/>
          </w:tcPr>
          <w:p w14:paraId="16FA7048" w14:textId="77777777" w:rsidR="00BB138C" w:rsidRPr="00EF6679" w:rsidRDefault="00BB138C" w:rsidP="00820288">
            <w:pPr>
              <w:spacing w:line="240" w:lineRule="auto"/>
              <w:jc w:val="center"/>
              <w:rPr>
                <w:rFonts w:ascii="Times New Roman" w:hAnsi="Times New Roman" w:cs="Times New Roman"/>
                <w:color w:val="000000" w:themeColor="text1"/>
              </w:rPr>
            </w:pPr>
            <w:r w:rsidRPr="00EF6679">
              <w:rPr>
                <w:rFonts w:ascii="Times New Roman" w:hAnsi="Times New Roman" w:cs="Times New Roman"/>
                <w:color w:val="000000" w:themeColor="text1"/>
              </w:rPr>
              <w:t>2045</w:t>
            </w:r>
          </w:p>
        </w:tc>
        <w:tc>
          <w:tcPr>
            <w:tcW w:w="1726" w:type="dxa"/>
            <w:tcBorders>
              <w:top w:val="single" w:sz="4" w:space="0" w:color="auto"/>
            </w:tcBorders>
            <w:vAlign w:val="center"/>
          </w:tcPr>
          <w:p w14:paraId="20B23487" w14:textId="77777777" w:rsidR="00BB138C" w:rsidRPr="00EF6679" w:rsidRDefault="00BB138C" w:rsidP="00820288">
            <w:pPr>
              <w:spacing w:line="240" w:lineRule="auto"/>
              <w:jc w:val="center"/>
              <w:rPr>
                <w:rFonts w:ascii="Times New Roman" w:hAnsi="Times New Roman" w:cs="Times New Roman"/>
                <w:color w:val="000000" w:themeColor="text1"/>
              </w:rPr>
            </w:pPr>
            <w:r w:rsidRPr="00EF6679">
              <w:rPr>
                <w:rFonts w:ascii="Times New Roman" w:hAnsi="Times New Roman" w:cs="Times New Roman"/>
                <w:color w:val="000000" w:themeColor="text1"/>
              </w:rPr>
              <w:t>1756</w:t>
            </w:r>
          </w:p>
        </w:tc>
        <w:tc>
          <w:tcPr>
            <w:tcW w:w="1726" w:type="dxa"/>
            <w:tcBorders>
              <w:top w:val="single" w:sz="4" w:space="0" w:color="auto"/>
            </w:tcBorders>
            <w:vAlign w:val="center"/>
          </w:tcPr>
          <w:p w14:paraId="6F95E59F" w14:textId="77777777" w:rsidR="00BB138C" w:rsidRPr="00EF6679" w:rsidRDefault="00BB138C" w:rsidP="00820288">
            <w:pPr>
              <w:spacing w:line="240" w:lineRule="auto"/>
              <w:jc w:val="center"/>
              <w:rPr>
                <w:rFonts w:ascii="Times New Roman" w:hAnsi="Times New Roman" w:cs="Times New Roman"/>
                <w:color w:val="000000" w:themeColor="text1"/>
              </w:rPr>
            </w:pPr>
            <w:r w:rsidRPr="00EF6679">
              <w:rPr>
                <w:rFonts w:ascii="Times New Roman" w:hAnsi="Times New Roman" w:cs="Times New Roman"/>
                <w:color w:val="000000" w:themeColor="text1"/>
              </w:rPr>
              <w:t>3801</w:t>
            </w:r>
          </w:p>
        </w:tc>
        <w:tc>
          <w:tcPr>
            <w:tcW w:w="223" w:type="dxa"/>
            <w:tcBorders>
              <w:top w:val="single" w:sz="4" w:space="0" w:color="auto"/>
            </w:tcBorders>
          </w:tcPr>
          <w:p w14:paraId="64970902" w14:textId="77777777" w:rsidR="00BB138C" w:rsidRPr="00EF6679" w:rsidRDefault="00BB138C" w:rsidP="00820288">
            <w:pPr>
              <w:spacing w:line="240" w:lineRule="auto"/>
              <w:jc w:val="center"/>
              <w:rPr>
                <w:rFonts w:ascii="Times New Roman" w:hAnsi="Times New Roman" w:cs="Times New Roman"/>
                <w:color w:val="000000" w:themeColor="text1"/>
              </w:rPr>
            </w:pPr>
          </w:p>
        </w:tc>
        <w:tc>
          <w:tcPr>
            <w:tcW w:w="1728" w:type="dxa"/>
            <w:tcBorders>
              <w:top w:val="single" w:sz="4" w:space="0" w:color="auto"/>
            </w:tcBorders>
            <w:vAlign w:val="center"/>
          </w:tcPr>
          <w:p w14:paraId="1141827F" w14:textId="77777777" w:rsidR="00BB138C" w:rsidRPr="00EF6679" w:rsidRDefault="00BB138C" w:rsidP="00820288">
            <w:pPr>
              <w:spacing w:line="240" w:lineRule="auto"/>
              <w:jc w:val="center"/>
              <w:rPr>
                <w:rFonts w:ascii="Times New Roman" w:hAnsi="Times New Roman" w:cs="Times New Roman"/>
                <w:color w:val="000000" w:themeColor="text1"/>
              </w:rPr>
            </w:pPr>
            <w:r w:rsidRPr="00EF6679">
              <w:rPr>
                <w:rFonts w:ascii="Times New Roman" w:hAnsi="Times New Roman" w:cs="Times New Roman"/>
                <w:color w:val="000000" w:themeColor="text1"/>
              </w:rPr>
              <w:t>3505</w:t>
            </w:r>
          </w:p>
        </w:tc>
        <w:tc>
          <w:tcPr>
            <w:tcW w:w="1728" w:type="dxa"/>
            <w:tcBorders>
              <w:top w:val="single" w:sz="4" w:space="0" w:color="auto"/>
            </w:tcBorders>
            <w:vAlign w:val="center"/>
          </w:tcPr>
          <w:p w14:paraId="193803C7" w14:textId="77777777" w:rsidR="00BB138C" w:rsidRPr="00EF6679" w:rsidRDefault="00BB138C" w:rsidP="00820288">
            <w:pPr>
              <w:spacing w:line="240" w:lineRule="auto"/>
              <w:jc w:val="center"/>
              <w:rPr>
                <w:rFonts w:ascii="Times New Roman" w:hAnsi="Times New Roman" w:cs="Times New Roman"/>
                <w:color w:val="000000" w:themeColor="text1"/>
              </w:rPr>
            </w:pPr>
            <w:r w:rsidRPr="00EF6679">
              <w:rPr>
                <w:rFonts w:ascii="Times New Roman" w:hAnsi="Times New Roman" w:cs="Times New Roman"/>
                <w:color w:val="000000" w:themeColor="text1"/>
              </w:rPr>
              <w:t>2073</w:t>
            </w:r>
          </w:p>
        </w:tc>
        <w:tc>
          <w:tcPr>
            <w:tcW w:w="1728" w:type="dxa"/>
            <w:tcBorders>
              <w:top w:val="single" w:sz="4" w:space="0" w:color="auto"/>
            </w:tcBorders>
            <w:vAlign w:val="center"/>
          </w:tcPr>
          <w:p w14:paraId="14F5A144" w14:textId="77777777" w:rsidR="00BB138C" w:rsidRPr="00EF6679" w:rsidRDefault="00BB138C" w:rsidP="00820288">
            <w:pPr>
              <w:spacing w:line="240" w:lineRule="auto"/>
              <w:jc w:val="center"/>
              <w:rPr>
                <w:rFonts w:ascii="Times New Roman" w:hAnsi="Times New Roman" w:cs="Times New Roman"/>
                <w:color w:val="000000" w:themeColor="text1"/>
              </w:rPr>
            </w:pPr>
            <w:r w:rsidRPr="00EF6679">
              <w:rPr>
                <w:rFonts w:ascii="Times New Roman" w:hAnsi="Times New Roman" w:cs="Times New Roman"/>
                <w:color w:val="000000" w:themeColor="text1"/>
              </w:rPr>
              <w:t>5578</w:t>
            </w:r>
          </w:p>
        </w:tc>
      </w:tr>
      <w:tr w:rsidR="00BB138C" w:rsidRPr="00EF6679" w14:paraId="31307302" w14:textId="77777777" w:rsidTr="00820288">
        <w:trPr>
          <w:trHeight w:val="649"/>
        </w:trPr>
        <w:tc>
          <w:tcPr>
            <w:tcW w:w="2520" w:type="dxa"/>
            <w:noWrap/>
            <w:vAlign w:val="center"/>
            <w:hideMark/>
          </w:tcPr>
          <w:p w14:paraId="47E5E5FD" w14:textId="77777777" w:rsidR="00BB138C" w:rsidRPr="00EF6679" w:rsidRDefault="00BB138C" w:rsidP="00820288">
            <w:pPr>
              <w:spacing w:line="240" w:lineRule="auto"/>
              <w:rPr>
                <w:rFonts w:ascii="Times New Roman" w:hAnsi="Times New Roman" w:cs="Times New Roman"/>
                <w:color w:val="000000" w:themeColor="text1"/>
              </w:rPr>
            </w:pPr>
            <w:r w:rsidRPr="00EF6679">
              <w:rPr>
                <w:rFonts w:ascii="Times New Roman" w:hAnsi="Times New Roman" w:cs="Times New Roman"/>
                <w:color w:val="000000" w:themeColor="text1"/>
              </w:rPr>
              <w:t>Broadband White vs. NL Control</w:t>
            </w:r>
          </w:p>
        </w:tc>
        <w:tc>
          <w:tcPr>
            <w:tcW w:w="1725" w:type="dxa"/>
            <w:noWrap/>
            <w:vAlign w:val="center"/>
            <w:hideMark/>
          </w:tcPr>
          <w:p w14:paraId="59B4FF9D" w14:textId="77777777" w:rsidR="00BB138C" w:rsidRPr="00EF6679" w:rsidRDefault="00BB138C" w:rsidP="00820288">
            <w:pPr>
              <w:spacing w:line="240" w:lineRule="auto"/>
              <w:jc w:val="center"/>
              <w:rPr>
                <w:rFonts w:ascii="Times New Roman" w:hAnsi="Times New Roman" w:cs="Times New Roman"/>
                <w:color w:val="000000" w:themeColor="text1"/>
              </w:rPr>
            </w:pPr>
            <w:r w:rsidRPr="00EF6679">
              <w:rPr>
                <w:rFonts w:ascii="Times New Roman" w:hAnsi="Times New Roman" w:cs="Times New Roman"/>
                <w:color w:val="000000" w:themeColor="text1"/>
              </w:rPr>
              <w:t>132</w:t>
            </w:r>
          </w:p>
        </w:tc>
        <w:tc>
          <w:tcPr>
            <w:tcW w:w="1726" w:type="dxa"/>
            <w:vAlign w:val="center"/>
          </w:tcPr>
          <w:p w14:paraId="0FBF08AC" w14:textId="77777777" w:rsidR="00BB138C" w:rsidRPr="00EF6679" w:rsidRDefault="00BB138C" w:rsidP="00820288">
            <w:pPr>
              <w:spacing w:line="240" w:lineRule="auto"/>
              <w:jc w:val="center"/>
              <w:rPr>
                <w:rFonts w:ascii="Times New Roman" w:hAnsi="Times New Roman" w:cs="Times New Roman"/>
                <w:color w:val="000000" w:themeColor="text1"/>
              </w:rPr>
            </w:pPr>
            <w:r w:rsidRPr="00EF6679">
              <w:rPr>
                <w:rFonts w:ascii="Times New Roman" w:hAnsi="Times New Roman" w:cs="Times New Roman"/>
                <w:color w:val="000000" w:themeColor="text1"/>
              </w:rPr>
              <w:t>146</w:t>
            </w:r>
          </w:p>
        </w:tc>
        <w:tc>
          <w:tcPr>
            <w:tcW w:w="1726" w:type="dxa"/>
            <w:vAlign w:val="center"/>
          </w:tcPr>
          <w:p w14:paraId="2EBC71C5" w14:textId="77777777" w:rsidR="00BB138C" w:rsidRPr="00EF6679" w:rsidRDefault="00BB138C" w:rsidP="00820288">
            <w:pPr>
              <w:spacing w:line="240" w:lineRule="auto"/>
              <w:jc w:val="center"/>
              <w:rPr>
                <w:rFonts w:ascii="Times New Roman" w:hAnsi="Times New Roman" w:cs="Times New Roman"/>
                <w:color w:val="000000" w:themeColor="text1"/>
              </w:rPr>
            </w:pPr>
            <w:r w:rsidRPr="00EF6679">
              <w:rPr>
                <w:rFonts w:ascii="Times New Roman" w:hAnsi="Times New Roman" w:cs="Times New Roman"/>
                <w:color w:val="000000" w:themeColor="text1"/>
              </w:rPr>
              <w:t>278</w:t>
            </w:r>
          </w:p>
        </w:tc>
        <w:tc>
          <w:tcPr>
            <w:tcW w:w="223" w:type="dxa"/>
          </w:tcPr>
          <w:p w14:paraId="0E6570C1" w14:textId="77777777" w:rsidR="00BB138C" w:rsidRPr="00EF6679" w:rsidRDefault="00BB138C" w:rsidP="00820288">
            <w:pPr>
              <w:spacing w:line="240" w:lineRule="auto"/>
              <w:jc w:val="center"/>
              <w:rPr>
                <w:rFonts w:ascii="Times New Roman" w:hAnsi="Times New Roman" w:cs="Times New Roman"/>
                <w:color w:val="000000" w:themeColor="text1"/>
              </w:rPr>
            </w:pPr>
          </w:p>
        </w:tc>
        <w:tc>
          <w:tcPr>
            <w:tcW w:w="1728" w:type="dxa"/>
            <w:vAlign w:val="center"/>
          </w:tcPr>
          <w:p w14:paraId="64A35BF3" w14:textId="77777777" w:rsidR="00BB138C" w:rsidRPr="00EF6679" w:rsidRDefault="00BB138C" w:rsidP="00820288">
            <w:pPr>
              <w:spacing w:line="240" w:lineRule="auto"/>
              <w:jc w:val="center"/>
              <w:rPr>
                <w:rFonts w:ascii="Times New Roman" w:hAnsi="Times New Roman" w:cs="Times New Roman"/>
                <w:color w:val="000000" w:themeColor="text1"/>
              </w:rPr>
            </w:pPr>
            <w:r w:rsidRPr="00EF6679">
              <w:rPr>
                <w:rFonts w:ascii="Times New Roman" w:hAnsi="Times New Roman" w:cs="Times New Roman"/>
                <w:color w:val="000000" w:themeColor="text1"/>
              </w:rPr>
              <w:t>3262</w:t>
            </w:r>
          </w:p>
        </w:tc>
        <w:tc>
          <w:tcPr>
            <w:tcW w:w="1728" w:type="dxa"/>
            <w:vAlign w:val="center"/>
          </w:tcPr>
          <w:p w14:paraId="6A0B7030" w14:textId="77777777" w:rsidR="00BB138C" w:rsidRPr="00EF6679" w:rsidRDefault="00BB138C" w:rsidP="00820288">
            <w:pPr>
              <w:spacing w:line="240" w:lineRule="auto"/>
              <w:jc w:val="center"/>
              <w:rPr>
                <w:rFonts w:ascii="Times New Roman" w:hAnsi="Times New Roman" w:cs="Times New Roman"/>
                <w:color w:val="000000" w:themeColor="text1"/>
              </w:rPr>
            </w:pPr>
            <w:r w:rsidRPr="00EF6679">
              <w:rPr>
                <w:rFonts w:ascii="Times New Roman" w:hAnsi="Times New Roman" w:cs="Times New Roman"/>
                <w:color w:val="000000" w:themeColor="text1"/>
              </w:rPr>
              <w:t>2347</w:t>
            </w:r>
          </w:p>
        </w:tc>
        <w:tc>
          <w:tcPr>
            <w:tcW w:w="1728" w:type="dxa"/>
            <w:vAlign w:val="center"/>
          </w:tcPr>
          <w:p w14:paraId="53DBC564" w14:textId="77777777" w:rsidR="00BB138C" w:rsidRPr="00EF6679" w:rsidRDefault="00BB138C" w:rsidP="00820288">
            <w:pPr>
              <w:spacing w:line="240" w:lineRule="auto"/>
              <w:jc w:val="center"/>
              <w:rPr>
                <w:rFonts w:ascii="Times New Roman" w:hAnsi="Times New Roman" w:cs="Times New Roman"/>
                <w:color w:val="000000" w:themeColor="text1"/>
              </w:rPr>
            </w:pPr>
            <w:r w:rsidRPr="00EF6679">
              <w:rPr>
                <w:rFonts w:ascii="Times New Roman" w:hAnsi="Times New Roman" w:cs="Times New Roman"/>
                <w:color w:val="000000" w:themeColor="text1"/>
              </w:rPr>
              <w:t>5609</w:t>
            </w:r>
          </w:p>
        </w:tc>
      </w:tr>
      <w:tr w:rsidR="00BB138C" w:rsidRPr="00EF6679" w14:paraId="73C36FC9" w14:textId="77777777" w:rsidTr="00820288">
        <w:trPr>
          <w:trHeight w:val="649"/>
        </w:trPr>
        <w:tc>
          <w:tcPr>
            <w:tcW w:w="2520" w:type="dxa"/>
            <w:tcBorders>
              <w:bottom w:val="single" w:sz="4" w:space="0" w:color="auto"/>
            </w:tcBorders>
            <w:noWrap/>
            <w:vAlign w:val="center"/>
          </w:tcPr>
          <w:p w14:paraId="2AB8D9DC" w14:textId="77777777" w:rsidR="00BB138C" w:rsidRPr="00EF6679" w:rsidRDefault="00BB138C" w:rsidP="00820288">
            <w:pPr>
              <w:spacing w:line="240" w:lineRule="auto"/>
              <w:rPr>
                <w:rFonts w:ascii="Times New Roman" w:hAnsi="Times New Roman" w:cs="Times New Roman"/>
                <w:color w:val="000000" w:themeColor="text1"/>
              </w:rPr>
            </w:pPr>
            <w:r w:rsidRPr="00EF6679">
              <w:rPr>
                <w:rFonts w:ascii="Times New Roman" w:hAnsi="Times New Roman" w:cs="Times New Roman"/>
                <w:color w:val="000000" w:themeColor="text1"/>
              </w:rPr>
              <w:t>High Pressure Sodium vs. NL Control</w:t>
            </w:r>
          </w:p>
        </w:tc>
        <w:tc>
          <w:tcPr>
            <w:tcW w:w="1725" w:type="dxa"/>
            <w:tcBorders>
              <w:bottom w:val="single" w:sz="4" w:space="0" w:color="auto"/>
            </w:tcBorders>
            <w:noWrap/>
            <w:vAlign w:val="center"/>
          </w:tcPr>
          <w:p w14:paraId="108AA75D" w14:textId="77777777" w:rsidR="00BB138C" w:rsidRPr="00EF6679" w:rsidRDefault="00BB138C" w:rsidP="00820288">
            <w:pPr>
              <w:spacing w:line="240" w:lineRule="auto"/>
              <w:jc w:val="center"/>
              <w:rPr>
                <w:rFonts w:ascii="Times New Roman" w:hAnsi="Times New Roman" w:cs="Times New Roman"/>
                <w:color w:val="000000" w:themeColor="text1"/>
              </w:rPr>
            </w:pPr>
            <w:r w:rsidRPr="00EF6679">
              <w:rPr>
                <w:rFonts w:ascii="Times New Roman" w:hAnsi="Times New Roman" w:cs="Times New Roman"/>
                <w:color w:val="000000" w:themeColor="text1"/>
              </w:rPr>
              <w:t>34</w:t>
            </w:r>
          </w:p>
        </w:tc>
        <w:tc>
          <w:tcPr>
            <w:tcW w:w="1726" w:type="dxa"/>
            <w:tcBorders>
              <w:bottom w:val="single" w:sz="4" w:space="0" w:color="auto"/>
            </w:tcBorders>
            <w:vAlign w:val="center"/>
          </w:tcPr>
          <w:p w14:paraId="3243577A" w14:textId="77777777" w:rsidR="00BB138C" w:rsidRPr="00EF6679" w:rsidRDefault="00BB138C" w:rsidP="00820288">
            <w:pPr>
              <w:spacing w:line="240" w:lineRule="auto"/>
              <w:jc w:val="center"/>
              <w:rPr>
                <w:rFonts w:ascii="Times New Roman" w:hAnsi="Times New Roman" w:cs="Times New Roman"/>
                <w:color w:val="000000" w:themeColor="text1"/>
              </w:rPr>
            </w:pPr>
            <w:r w:rsidRPr="00EF6679">
              <w:rPr>
                <w:rFonts w:ascii="Times New Roman" w:hAnsi="Times New Roman" w:cs="Times New Roman"/>
                <w:color w:val="000000" w:themeColor="text1"/>
              </w:rPr>
              <w:t>94</w:t>
            </w:r>
          </w:p>
        </w:tc>
        <w:tc>
          <w:tcPr>
            <w:tcW w:w="1726" w:type="dxa"/>
            <w:tcBorders>
              <w:bottom w:val="single" w:sz="4" w:space="0" w:color="auto"/>
            </w:tcBorders>
            <w:vAlign w:val="center"/>
          </w:tcPr>
          <w:p w14:paraId="5C7FC21A" w14:textId="77777777" w:rsidR="00BB138C" w:rsidRPr="00EF6679" w:rsidRDefault="00BB138C" w:rsidP="00820288">
            <w:pPr>
              <w:spacing w:line="240" w:lineRule="auto"/>
              <w:jc w:val="center"/>
              <w:rPr>
                <w:rFonts w:ascii="Times New Roman" w:hAnsi="Times New Roman" w:cs="Times New Roman"/>
                <w:color w:val="000000" w:themeColor="text1"/>
              </w:rPr>
            </w:pPr>
            <w:r w:rsidRPr="00EF6679">
              <w:rPr>
                <w:rFonts w:ascii="Times New Roman" w:hAnsi="Times New Roman" w:cs="Times New Roman"/>
                <w:color w:val="000000" w:themeColor="text1"/>
              </w:rPr>
              <w:t>128</w:t>
            </w:r>
          </w:p>
        </w:tc>
        <w:tc>
          <w:tcPr>
            <w:tcW w:w="223" w:type="dxa"/>
            <w:tcBorders>
              <w:bottom w:val="single" w:sz="4" w:space="0" w:color="auto"/>
            </w:tcBorders>
          </w:tcPr>
          <w:p w14:paraId="2C465708" w14:textId="77777777" w:rsidR="00BB138C" w:rsidRPr="00EF6679" w:rsidRDefault="00BB138C" w:rsidP="00820288">
            <w:pPr>
              <w:spacing w:line="240" w:lineRule="auto"/>
              <w:jc w:val="center"/>
              <w:rPr>
                <w:rFonts w:ascii="Times New Roman" w:hAnsi="Times New Roman" w:cs="Times New Roman"/>
                <w:color w:val="000000" w:themeColor="text1"/>
              </w:rPr>
            </w:pPr>
          </w:p>
        </w:tc>
        <w:tc>
          <w:tcPr>
            <w:tcW w:w="1728" w:type="dxa"/>
            <w:tcBorders>
              <w:bottom w:val="single" w:sz="4" w:space="0" w:color="auto"/>
            </w:tcBorders>
            <w:vAlign w:val="center"/>
          </w:tcPr>
          <w:p w14:paraId="2185A3DA" w14:textId="77777777" w:rsidR="00BB138C" w:rsidRPr="00EF6679" w:rsidRDefault="00BB138C" w:rsidP="00820288">
            <w:pPr>
              <w:spacing w:line="240" w:lineRule="auto"/>
              <w:jc w:val="center"/>
              <w:rPr>
                <w:rFonts w:ascii="Times New Roman" w:hAnsi="Times New Roman" w:cs="Times New Roman"/>
                <w:color w:val="000000" w:themeColor="text1"/>
              </w:rPr>
            </w:pPr>
            <w:r w:rsidRPr="00EF6679">
              <w:rPr>
                <w:rFonts w:ascii="Times New Roman" w:hAnsi="Times New Roman" w:cs="Times New Roman"/>
                <w:color w:val="000000" w:themeColor="text1"/>
              </w:rPr>
              <w:t>1228</w:t>
            </w:r>
          </w:p>
        </w:tc>
        <w:tc>
          <w:tcPr>
            <w:tcW w:w="1728" w:type="dxa"/>
            <w:tcBorders>
              <w:bottom w:val="single" w:sz="4" w:space="0" w:color="auto"/>
            </w:tcBorders>
            <w:vAlign w:val="center"/>
          </w:tcPr>
          <w:p w14:paraId="1EEBA2C9" w14:textId="77777777" w:rsidR="00BB138C" w:rsidRPr="00EF6679" w:rsidRDefault="00BB138C" w:rsidP="00820288">
            <w:pPr>
              <w:spacing w:line="240" w:lineRule="auto"/>
              <w:jc w:val="center"/>
              <w:rPr>
                <w:rFonts w:ascii="Times New Roman" w:hAnsi="Times New Roman" w:cs="Times New Roman"/>
                <w:color w:val="000000" w:themeColor="text1"/>
              </w:rPr>
            </w:pPr>
            <w:r w:rsidRPr="00EF6679">
              <w:rPr>
                <w:rFonts w:ascii="Times New Roman" w:hAnsi="Times New Roman" w:cs="Times New Roman"/>
                <w:color w:val="000000" w:themeColor="text1"/>
              </w:rPr>
              <w:t>695</w:t>
            </w:r>
          </w:p>
        </w:tc>
        <w:tc>
          <w:tcPr>
            <w:tcW w:w="1728" w:type="dxa"/>
            <w:tcBorders>
              <w:bottom w:val="single" w:sz="4" w:space="0" w:color="auto"/>
            </w:tcBorders>
            <w:vAlign w:val="center"/>
          </w:tcPr>
          <w:p w14:paraId="50D0C286" w14:textId="77777777" w:rsidR="00BB138C" w:rsidRPr="00EF6679" w:rsidRDefault="00BB138C" w:rsidP="00820288">
            <w:pPr>
              <w:spacing w:line="240" w:lineRule="auto"/>
              <w:jc w:val="center"/>
              <w:rPr>
                <w:rFonts w:ascii="Times New Roman" w:hAnsi="Times New Roman" w:cs="Times New Roman"/>
                <w:color w:val="000000" w:themeColor="text1"/>
              </w:rPr>
            </w:pPr>
            <w:r w:rsidRPr="00EF6679">
              <w:rPr>
                <w:rFonts w:ascii="Times New Roman" w:hAnsi="Times New Roman" w:cs="Times New Roman"/>
                <w:color w:val="000000" w:themeColor="text1"/>
              </w:rPr>
              <w:t>1923</w:t>
            </w:r>
          </w:p>
        </w:tc>
      </w:tr>
    </w:tbl>
    <w:p w14:paraId="2BA45B72" w14:textId="77777777" w:rsidR="00BB138C" w:rsidRPr="00EF6679" w:rsidRDefault="00BB138C" w:rsidP="00BB138C">
      <w:pPr>
        <w:spacing w:line="240" w:lineRule="auto"/>
        <w:rPr>
          <w:rFonts w:cs="Times New Roman"/>
          <w:color w:val="000000" w:themeColor="text1"/>
        </w:rPr>
        <w:sectPr w:rsidR="00BB138C" w:rsidRPr="00EF6679" w:rsidSect="00BB138C">
          <w:footerReference w:type="default" r:id="rId58"/>
          <w:pgSz w:w="15840" w:h="12240" w:orient="landscape"/>
          <w:pgMar w:top="1440" w:right="1440" w:bottom="1440" w:left="1440" w:header="720" w:footer="720" w:gutter="0"/>
          <w:cols w:space="720"/>
          <w:docGrid w:linePitch="360"/>
        </w:sectPr>
      </w:pPr>
    </w:p>
    <w:p w14:paraId="5B54EDC4" w14:textId="77777777" w:rsidR="00BB138C" w:rsidRPr="003F0091" w:rsidRDefault="00BB138C" w:rsidP="00BB138C">
      <w:pPr>
        <w:spacing w:line="240" w:lineRule="auto"/>
        <w:rPr>
          <w:rFonts w:cs="Times New Roman"/>
          <w:color w:val="000000" w:themeColor="text1"/>
        </w:rPr>
      </w:pPr>
      <w:r w:rsidRPr="003F0091">
        <w:rPr>
          <w:rFonts w:cs="Times New Roman"/>
          <w:noProof/>
          <w:color w:val="000000" w:themeColor="text1"/>
        </w:rPr>
        <w:lastRenderedPageBreak/>
        <mc:AlternateContent>
          <mc:Choice Requires="wps">
            <w:drawing>
              <wp:anchor distT="0" distB="0" distL="114300" distR="114300" simplePos="0" relativeHeight="251662336" behindDoc="0" locked="0" layoutInCell="1" allowOverlap="1" wp14:anchorId="37D334DC" wp14:editId="3C9F9A90">
                <wp:simplePos x="0" y="0"/>
                <wp:positionH relativeFrom="column">
                  <wp:posOffset>2424430</wp:posOffset>
                </wp:positionH>
                <wp:positionV relativeFrom="paragraph">
                  <wp:posOffset>4428868</wp:posOffset>
                </wp:positionV>
                <wp:extent cx="1828800" cy="333955"/>
                <wp:effectExtent l="0" t="0" r="0" b="0"/>
                <wp:wrapNone/>
                <wp:docPr id="1367924590" name="Text Box 1367924590"/>
                <wp:cNvGraphicFramePr/>
                <a:graphic xmlns:a="http://schemas.openxmlformats.org/drawingml/2006/main">
                  <a:graphicData uri="http://schemas.microsoft.com/office/word/2010/wordprocessingShape">
                    <wps:wsp>
                      <wps:cNvSpPr txBox="1"/>
                      <wps:spPr>
                        <a:xfrm>
                          <a:off x="0" y="0"/>
                          <a:ext cx="1828800" cy="333955"/>
                        </a:xfrm>
                        <a:prstGeom prst="rect">
                          <a:avLst/>
                        </a:prstGeom>
                        <a:noFill/>
                        <a:ln w="6350">
                          <a:noFill/>
                        </a:ln>
                      </wps:spPr>
                      <wps:txbx>
                        <w:txbxContent>
                          <w:p w14:paraId="6C291EB8" w14:textId="77777777" w:rsidR="00BB138C" w:rsidRPr="00687E27" w:rsidRDefault="00BB138C" w:rsidP="00BB138C">
                            <w:pPr>
                              <w:rPr>
                                <w:rFonts w:ascii="Arial" w:hAnsi="Arial" w:cs="Arial"/>
                                <w:sz w:val="21"/>
                                <w:szCs w:val="21"/>
                              </w:rPr>
                            </w:pPr>
                            <w:r w:rsidRPr="00687E27">
                              <w:rPr>
                                <w:rFonts w:ascii="Arial" w:hAnsi="Arial" w:cs="Arial"/>
                                <w:sz w:val="21"/>
                                <w:szCs w:val="21"/>
                              </w:rPr>
                              <w:t>Wavelength (nm)</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37D334DC" id="Text Box 1367924590" o:spid="_x0000_s1028" type="#_x0000_t202" style="position:absolute;margin-left:190.9pt;margin-top:348.75pt;width:2in;height:26.3pt;z-index:25166233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" filled="f" stroked="f" strokeweight=".5pt">
                <v:textbox>
                  <w:txbxContent>
                    <w:p w14:paraId="6C291EB8" w14:textId="77777777" w:rsidR="00BB138C" w:rsidRPr="00687E27" w:rsidRDefault="00BB138C" w:rsidP="00BB138C">
                      <w:pPr>
                        <w:rPr>
                          <w:rFonts w:ascii="Arial" w:hAnsi="Arial" w:cs="Arial"/>
                          <w:sz w:val="21"/>
                          <w:szCs w:val="21"/>
                        </w:rPr>
                      </w:pPr>
                      <w:r w:rsidRPr="00687E27">
                        <w:rPr>
                          <w:rFonts w:ascii="Arial" w:hAnsi="Arial" w:cs="Arial"/>
                          <w:sz w:val="21"/>
                          <w:szCs w:val="21"/>
                        </w:rPr>
                        <w:t>Wavelength (nm)</w:t>
                      </w:r>
                    </w:p>
                  </w:txbxContent>
                </v:textbox>
              </v:shape>
            </w:pict>
          </mc:Fallback>
        </mc:AlternateContent>
      </w:r>
      <w:r w:rsidRPr="003F0091">
        <w:rPr>
          <w:rFonts w:cs="Times New Roman"/>
          <w:noProof/>
          <w:color w:val="000000" w:themeColor="text1"/>
        </w:rPr>
        <w:drawing>
          <wp:inline distT="0" distB="0" distL="0" distR="0" wp14:anchorId="51F965EC" wp14:editId="67C7DFE1">
            <wp:extent cx="5892565" cy="4500934"/>
            <wp:effectExtent l="0" t="0" r="635" b="0"/>
            <wp:docPr id="1462711732" name="Picture 1462711732" descr="Chart, line 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descr="Chart, line chart&#10;&#10;Description automatically generated"/>
                    <pic:cNvPicPr/>
                  </pic:nvPicPr>
                  <pic:blipFill>
                    <a:blip r:embed="rId25">
                      <a:extLst>
                        <a:ext uri="{28A0092B-C50C-407E-A947-70E740481C1C}">
                          <a14:useLocalDpi xmlns:a14="http://schemas.microsoft.com/office/drawing/2010/main" val="0"/>
                        </a:ext>
                      </a:extLst>
                    </a:blip>
                    <a:stretch>
                      <a:fillRect/>
                    </a:stretch>
                  </pic:blipFill>
                  <pic:spPr>
                    <a:xfrm>
                      <a:off x="0" y="0"/>
                      <a:ext cx="5937843" cy="4535519"/>
                    </a:xfrm>
                    <a:prstGeom prst="rect">
                      <a:avLst/>
                    </a:prstGeom>
                    <a:ln w="9525">
                      <a:noFill/>
                    </a:ln>
                  </pic:spPr>
                </pic:pic>
              </a:graphicData>
            </a:graphic>
          </wp:inline>
        </w:drawing>
      </w:r>
    </w:p>
    <w:p w14:paraId="446313B8" w14:textId="77777777" w:rsidR="00BB138C" w:rsidRDefault="00BB138C" w:rsidP="00BB138C">
      <w:pPr>
        <w:pStyle w:val="TOCFigures1"/>
        <w:rPr>
          <w:b/>
          <w:bCs/>
        </w:rPr>
      </w:pPr>
    </w:p>
    <w:p w14:paraId="643271BC" w14:textId="79B7727E" w:rsidR="00BB138C" w:rsidRPr="003F0091" w:rsidRDefault="00BB138C" w:rsidP="00BB138C">
      <w:pPr>
        <w:pStyle w:val="TOCFigures1"/>
        <w:rPr>
          <w:b/>
          <w:bCs/>
        </w:rPr>
      </w:pPr>
      <w:bookmarkStart w:id="717" w:name="_Toc141478840"/>
      <w:r w:rsidRPr="003F0091">
        <w:rPr>
          <w:b/>
          <w:bCs/>
        </w:rPr>
        <w:t xml:space="preserve">Figure </w:t>
      </w:r>
      <w:r w:rsidR="00BA2365">
        <w:rPr>
          <w:b/>
          <w:bCs/>
        </w:rPr>
        <w:t>5.</w:t>
      </w:r>
      <w:r w:rsidRPr="003F0091">
        <w:rPr>
          <w:b/>
          <w:bCs/>
        </w:rPr>
        <w:t xml:space="preserve">1. </w:t>
      </w:r>
      <w:r w:rsidRPr="003F0091">
        <w:t>Natural light (NL) spectra under greenhouse glass, averaged across all four growing seasons, ranging from 350 nm to 850 nm. Values were taken at solar noon with three replicates for full sun (yellow) and overcast (gray) for each experimental run.</w:t>
      </w:r>
      <w:bookmarkEnd w:id="717"/>
    </w:p>
    <w:p w14:paraId="7E422AF6" w14:textId="77777777" w:rsidR="00BB138C" w:rsidRPr="003F0091" w:rsidRDefault="00BB138C" w:rsidP="00BB138C">
      <w:pPr>
        <w:pStyle w:val="NormalWeb"/>
        <w:rPr>
          <w:b/>
          <w:bCs/>
          <w:color w:val="000000" w:themeColor="text1"/>
        </w:rPr>
      </w:pPr>
    </w:p>
    <w:p w14:paraId="4B770E43" w14:textId="77777777" w:rsidR="00BB138C" w:rsidRPr="003F0091" w:rsidRDefault="00BB138C" w:rsidP="00BB138C">
      <w:pPr>
        <w:spacing w:line="240" w:lineRule="auto"/>
        <w:rPr>
          <w:rFonts w:eastAsia="Times New Roman" w:cs="Times New Roman"/>
          <w:b/>
          <w:bCs/>
          <w:color w:val="000000" w:themeColor="text1"/>
        </w:rPr>
      </w:pPr>
      <w:r w:rsidRPr="003F0091">
        <w:rPr>
          <w:rFonts w:cs="Times New Roman"/>
          <w:b/>
          <w:bCs/>
          <w:color w:val="000000" w:themeColor="text1"/>
        </w:rPr>
        <w:br w:type="page"/>
      </w:r>
    </w:p>
    <w:p w14:paraId="316AF396" w14:textId="77777777" w:rsidR="00BB138C" w:rsidRPr="003F0091" w:rsidRDefault="00BB138C" w:rsidP="00BB138C">
      <w:pPr>
        <w:pStyle w:val="NormalWeb"/>
        <w:rPr>
          <w:b/>
          <w:bCs/>
          <w:color w:val="000000" w:themeColor="text1"/>
        </w:rPr>
      </w:pPr>
      <w:r w:rsidRPr="003F0091">
        <w:rPr>
          <w:noProof/>
          <w:color w:val="000000" w:themeColor="text1"/>
        </w:rPr>
        <w:lastRenderedPageBreak/>
        <w:drawing>
          <wp:inline distT="0" distB="0" distL="0" distR="0" wp14:anchorId="79E4B013" wp14:editId="5543B3F9">
            <wp:extent cx="5380075" cy="4252817"/>
            <wp:effectExtent l="0" t="0" r="17780" b="14605"/>
            <wp:docPr id="533667862" name="Chart 533667862">
              <a:extLst xmlns:a="http://schemas.openxmlformats.org/drawingml/2006/main">
                <a:ext uri="{FF2B5EF4-FFF2-40B4-BE49-F238E27FC236}">
                  <a16:creationId xmlns:a16="http://schemas.microsoft.com/office/drawing/2014/main" id="{7A1EABBA-E2CD-F15F-E53E-29892E15C89F}"/>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59"/>
              </a:graphicData>
            </a:graphic>
          </wp:inline>
        </w:drawing>
      </w:r>
    </w:p>
    <w:p w14:paraId="6F0F93C3" w14:textId="070C30C4" w:rsidR="00BB138C" w:rsidRPr="003F0091" w:rsidRDefault="00BB138C" w:rsidP="00BB138C">
      <w:pPr>
        <w:pStyle w:val="TOCFigures1"/>
      </w:pPr>
      <w:bookmarkStart w:id="718" w:name="_Toc141478841"/>
      <w:r w:rsidRPr="003F0091">
        <w:rPr>
          <w:b/>
          <w:bCs/>
        </w:rPr>
        <w:t xml:space="preserve">Figure </w:t>
      </w:r>
      <w:r w:rsidR="00BA2365">
        <w:rPr>
          <w:b/>
          <w:bCs/>
        </w:rPr>
        <w:t>5.</w:t>
      </w:r>
      <w:r w:rsidRPr="003F0091">
        <w:rPr>
          <w:b/>
          <w:bCs/>
        </w:rPr>
        <w:t xml:space="preserve">2. </w:t>
      </w:r>
      <w:r w:rsidRPr="003F0091">
        <w:t>Emission spectra of supplemental lighting (SL) treatments from 300 nm to 850 nm: (1) Narrowband 20B/80R LED (purple), (2) Broadband White LEDs (grey), and (3) High Pressure Sodium (yellow). All SL treatments provided 8.64 mol</w:t>
      </w:r>
      <w:r w:rsidRPr="003F0091">
        <w:rPr>
          <w:b/>
          <w:bCs/>
          <w:position w:val="8"/>
        </w:rPr>
        <w:t>.</w:t>
      </w:r>
      <w:r w:rsidRPr="003F0091">
        <w:t>m</w:t>
      </w:r>
      <w:r w:rsidRPr="003F0091">
        <w:rPr>
          <w:vertAlign w:val="superscript"/>
        </w:rPr>
        <w:t>-2</w:t>
      </w:r>
      <w:r w:rsidRPr="003F0091">
        <w:rPr>
          <w:b/>
          <w:bCs/>
          <w:position w:val="8"/>
        </w:rPr>
        <w:t>.</w:t>
      </w:r>
      <w:r w:rsidRPr="003F0091">
        <w:t>d</w:t>
      </w:r>
      <w:r w:rsidRPr="003F0091">
        <w:rPr>
          <w:vertAlign w:val="superscript"/>
        </w:rPr>
        <w:t>-1</w:t>
      </w:r>
      <w:r w:rsidRPr="003F0091">
        <w:rPr>
          <w:position w:val="8"/>
        </w:rPr>
        <w:t xml:space="preserve"> </w:t>
      </w:r>
      <w:r w:rsidRPr="003F0091">
        <w:t>(continuous 100 μmol</w:t>
      </w:r>
      <w:r w:rsidRPr="003F0091">
        <w:rPr>
          <w:b/>
          <w:bCs/>
          <w:position w:val="8"/>
        </w:rPr>
        <w:t>.</w:t>
      </w:r>
      <w:r w:rsidRPr="003F0091">
        <w:t>m</w:t>
      </w:r>
      <w:r w:rsidRPr="003F0091">
        <w:rPr>
          <w:vertAlign w:val="superscript"/>
        </w:rPr>
        <w:t>-2</w:t>
      </w:r>
      <w:r w:rsidRPr="003F0091">
        <w:rPr>
          <w:b/>
          <w:bCs/>
          <w:position w:val="8"/>
        </w:rPr>
        <w:t>.</w:t>
      </w:r>
      <w:r w:rsidRPr="003F0091">
        <w:t>s</w:t>
      </w:r>
      <w:r w:rsidRPr="003F0091">
        <w:rPr>
          <w:vertAlign w:val="superscript"/>
        </w:rPr>
        <w:t>-1</w:t>
      </w:r>
      <w:r w:rsidRPr="003F0091">
        <w:t>; 24 h</w:t>
      </w:r>
      <w:r w:rsidRPr="003F0091">
        <w:rPr>
          <w:b/>
          <w:bCs/>
          <w:position w:val="8"/>
        </w:rPr>
        <w:t>.</w:t>
      </w:r>
      <w:r w:rsidRPr="003F0091">
        <w:t>d</w:t>
      </w:r>
      <w:r w:rsidRPr="003F0091">
        <w:rPr>
          <w:vertAlign w:val="superscript"/>
        </w:rPr>
        <w:t>-1</w:t>
      </w:r>
      <w:r w:rsidRPr="003F0091">
        <w:t>). All lighting treatments were measured with a PS-200 Apogee Spectroradiometer to confirm intensity of specific treatment wavelengths throughout each growing season. Readings were taken at midnight in order to exclude underlying natural solar spectra.</w:t>
      </w:r>
      <w:bookmarkEnd w:id="718"/>
      <w:r w:rsidRPr="003F0091">
        <w:t xml:space="preserve"> </w:t>
      </w:r>
    </w:p>
    <w:p w14:paraId="43A48A9D" w14:textId="77777777" w:rsidR="00BB138C" w:rsidRPr="003F0091" w:rsidRDefault="00BB138C" w:rsidP="00BB138C">
      <w:pPr>
        <w:spacing w:line="240" w:lineRule="auto"/>
        <w:rPr>
          <w:rFonts w:eastAsia="Times New Roman" w:cs="Times New Roman"/>
          <w:color w:val="000000" w:themeColor="text1"/>
        </w:rPr>
      </w:pPr>
      <w:r w:rsidRPr="003F0091">
        <w:rPr>
          <w:rFonts w:cs="Times New Roman"/>
          <w:color w:val="000000" w:themeColor="text1"/>
        </w:rPr>
        <w:br w:type="page"/>
      </w:r>
    </w:p>
    <w:p w14:paraId="1A667CBC" w14:textId="77777777" w:rsidR="00BB138C" w:rsidRPr="003F0091" w:rsidRDefault="00BB138C" w:rsidP="00BB138C">
      <w:pPr>
        <w:pStyle w:val="NormalWeb"/>
        <w:jc w:val="both"/>
        <w:rPr>
          <w:color w:val="000000" w:themeColor="text1"/>
        </w:rPr>
      </w:pPr>
      <w:r w:rsidRPr="003F0091">
        <w:rPr>
          <w:noProof/>
          <w:color w:val="000000" w:themeColor="text1"/>
        </w:rPr>
        <w:lastRenderedPageBreak/>
        <w:drawing>
          <wp:inline distT="0" distB="0" distL="0" distR="0" wp14:anchorId="215C4707" wp14:editId="6C1D9CC6">
            <wp:extent cx="5943600" cy="5150485"/>
            <wp:effectExtent l="0" t="0" r="0" b="5715"/>
            <wp:docPr id="1037833202" name="Picture 10378332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37833202" name="Picture 1037833202"/>
                    <pic:cNvPicPr/>
                  </pic:nvPicPr>
                  <pic:blipFill>
                    <a:blip r:embed="rId60">
                      <a:extLst>
                        <a:ext uri="{28A0092B-C50C-407E-A947-70E740481C1C}">
                          <a14:useLocalDpi xmlns:a14="http://schemas.microsoft.com/office/drawing/2010/main" val="0"/>
                        </a:ext>
                      </a:extLst>
                    </a:blip>
                    <a:stretch>
                      <a:fillRect/>
                    </a:stretch>
                  </pic:blipFill>
                  <pic:spPr>
                    <a:xfrm>
                      <a:off x="0" y="0"/>
                      <a:ext cx="5943600" cy="5150485"/>
                    </a:xfrm>
                    <a:prstGeom prst="rect">
                      <a:avLst/>
                    </a:prstGeom>
                  </pic:spPr>
                </pic:pic>
              </a:graphicData>
            </a:graphic>
          </wp:inline>
        </w:drawing>
      </w:r>
    </w:p>
    <w:p w14:paraId="68CBE7A6" w14:textId="004C37FA" w:rsidR="00BB138C" w:rsidRPr="003F0091" w:rsidRDefault="00BB138C" w:rsidP="00BB138C">
      <w:pPr>
        <w:pStyle w:val="TOCFigures1"/>
      </w:pPr>
      <w:bookmarkStart w:id="719" w:name="_Toc141478842"/>
      <w:r w:rsidRPr="003F0091">
        <w:rPr>
          <w:b/>
          <w:bCs/>
        </w:rPr>
        <w:t xml:space="preserve">Figure </w:t>
      </w:r>
      <w:r w:rsidR="00BA2365">
        <w:rPr>
          <w:b/>
          <w:bCs/>
        </w:rPr>
        <w:t>5.</w:t>
      </w:r>
      <w:r w:rsidRPr="003F0091">
        <w:rPr>
          <w:b/>
          <w:bCs/>
        </w:rPr>
        <w:t xml:space="preserve">3. </w:t>
      </w:r>
      <w:r w:rsidRPr="003F0091">
        <w:t>Correspondence analysis (CA) factor map illustrating the relationship between lighting treatments (red) and check-all-that-apply (CATA) descriptors (blue) selected by sensory panel participants across both growing seasons.</w:t>
      </w:r>
      <w:bookmarkEnd w:id="719"/>
      <w:r w:rsidRPr="003F0091">
        <w:t xml:space="preserve">  </w:t>
      </w:r>
    </w:p>
    <w:p w14:paraId="7182C3B6" w14:textId="77777777" w:rsidR="00BB138C" w:rsidRPr="003F0091" w:rsidRDefault="00BB138C" w:rsidP="00BB138C">
      <w:pPr>
        <w:spacing w:line="240" w:lineRule="auto"/>
        <w:rPr>
          <w:rFonts w:eastAsia="Times New Roman" w:cs="Times New Roman"/>
          <w:color w:val="000000" w:themeColor="text1"/>
        </w:rPr>
      </w:pPr>
      <w:r w:rsidRPr="003F0091">
        <w:rPr>
          <w:rFonts w:cs="Times New Roman"/>
          <w:color w:val="000000" w:themeColor="text1"/>
        </w:rPr>
        <w:br w:type="page"/>
      </w:r>
    </w:p>
    <w:p w14:paraId="409B1959" w14:textId="77777777" w:rsidR="00BB138C" w:rsidRPr="003F0091" w:rsidRDefault="00BB138C" w:rsidP="00BB138C">
      <w:pPr>
        <w:pStyle w:val="NormalWeb"/>
        <w:jc w:val="both"/>
        <w:rPr>
          <w:b/>
          <w:bCs/>
          <w:color w:val="000000" w:themeColor="text1"/>
        </w:rPr>
      </w:pPr>
      <w:r w:rsidRPr="003F0091">
        <w:rPr>
          <w:b/>
          <w:bCs/>
          <w:noProof/>
          <w:color w:val="000000" w:themeColor="text1"/>
        </w:rPr>
        <w:lastRenderedPageBreak/>
        <w:drawing>
          <wp:inline distT="0" distB="0" distL="0" distR="0" wp14:anchorId="471451D7" wp14:editId="71946CF6">
            <wp:extent cx="5651500" cy="4457700"/>
            <wp:effectExtent l="0" t="0" r="0" b="0"/>
            <wp:docPr id="290583829" name="Picture 290583829" descr="A picture containing text, screenshot, line, rectangl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0583829" name="Picture 3" descr="A picture containing text, screenshot, line, rectangle&#10;&#10;Description automatically generated"/>
                    <pic:cNvPicPr/>
                  </pic:nvPicPr>
                  <pic:blipFill>
                    <a:blip r:embed="rId61">
                      <a:extLst>
                        <a:ext uri="{28A0092B-C50C-407E-A947-70E740481C1C}">
                          <a14:useLocalDpi xmlns:a14="http://schemas.microsoft.com/office/drawing/2010/main" val="0"/>
                        </a:ext>
                      </a:extLst>
                    </a:blip>
                    <a:stretch>
                      <a:fillRect/>
                    </a:stretch>
                  </pic:blipFill>
                  <pic:spPr>
                    <a:xfrm>
                      <a:off x="0" y="0"/>
                      <a:ext cx="5651500" cy="4457700"/>
                    </a:xfrm>
                    <a:prstGeom prst="rect">
                      <a:avLst/>
                    </a:prstGeom>
                  </pic:spPr>
                </pic:pic>
              </a:graphicData>
            </a:graphic>
          </wp:inline>
        </w:drawing>
      </w:r>
    </w:p>
    <w:p w14:paraId="19284B78" w14:textId="58B7051E" w:rsidR="00BB138C" w:rsidRPr="00BB138C" w:rsidRDefault="00BB138C" w:rsidP="00BB138C">
      <w:pPr>
        <w:pStyle w:val="TOCFigures1"/>
      </w:pPr>
      <w:bookmarkStart w:id="720" w:name="_Toc141478843"/>
      <w:r w:rsidRPr="00BB138C">
        <w:rPr>
          <w:b/>
          <w:bCs/>
        </w:rPr>
        <w:t xml:space="preserve">Figure </w:t>
      </w:r>
      <w:r w:rsidR="00BA2365">
        <w:rPr>
          <w:b/>
          <w:bCs/>
        </w:rPr>
        <w:t>5.</w:t>
      </w:r>
      <w:r w:rsidRPr="00BB138C">
        <w:rPr>
          <w:b/>
          <w:bCs/>
        </w:rPr>
        <w:t>4.</w:t>
      </w:r>
      <w:r w:rsidRPr="00BB138C">
        <w:t xml:space="preserve"> Variable Importance in Projection (VIP) and βcoefficients for check-all-that-apply (CATA) frequencies predicting overall liking across both growing seasons. The threshold has been set at VIP &gt; 0.8.</w:t>
      </w:r>
      <w:bookmarkEnd w:id="720"/>
      <w:r w:rsidRPr="00BB138C">
        <w:t xml:space="preserve">   </w:t>
      </w:r>
    </w:p>
    <w:p w14:paraId="39E3EFCB" w14:textId="77777777" w:rsidR="00BB138C" w:rsidRPr="003F0091" w:rsidRDefault="00BB138C" w:rsidP="00BB138C">
      <w:pPr>
        <w:spacing w:line="240" w:lineRule="auto"/>
        <w:rPr>
          <w:rFonts w:eastAsia="Times New Roman" w:cs="Times New Roman"/>
          <w:color w:val="000000" w:themeColor="text1"/>
        </w:rPr>
      </w:pPr>
      <w:r w:rsidRPr="003F0091">
        <w:rPr>
          <w:rFonts w:cs="Times New Roman"/>
          <w:color w:val="000000" w:themeColor="text1"/>
        </w:rPr>
        <w:br w:type="page"/>
      </w:r>
    </w:p>
    <w:p w14:paraId="7873173C" w14:textId="615FFEB8" w:rsidR="00BB138C" w:rsidRPr="003F0091" w:rsidRDefault="00BB138C" w:rsidP="00BB138C">
      <w:pPr>
        <w:pStyle w:val="NormalWeb"/>
        <w:jc w:val="both"/>
        <w:rPr>
          <w:color w:val="000000" w:themeColor="text1"/>
        </w:rPr>
      </w:pPr>
      <w:r w:rsidRPr="003F0091">
        <w:rPr>
          <w:color w:val="000000" w:themeColor="text1"/>
        </w:rPr>
        <w:lastRenderedPageBreak/>
        <w:fldChar w:fldCharType="begin"/>
      </w:r>
      <w:r w:rsidR="007E7608">
        <w:rPr>
          <w:color w:val="000000" w:themeColor="text1"/>
        </w:rPr>
        <w:instrText xml:space="preserve"> INCLUDEPICTURE "C:\\Users\\hunterhammock\\Library\\Group Containers\\UBF8T346G9.ms\\WebArchiveCopyPasteTempFiles\\com.microsoft.Word\\XvY21gRVEUJSthzP8DRiscwk6Ww9gAAAAASUVORK5CYII=" \* MERGEFORMAT </w:instrText>
      </w:r>
      <w:r w:rsidRPr="003F0091">
        <w:rPr>
          <w:color w:val="000000" w:themeColor="text1"/>
        </w:rPr>
        <w:fldChar w:fldCharType="separate"/>
      </w:r>
      <w:r w:rsidRPr="003F0091">
        <w:rPr>
          <w:noProof/>
          <w:color w:val="000000" w:themeColor="text1"/>
        </w:rPr>
        <w:drawing>
          <wp:inline distT="0" distB="0" distL="0" distR="0" wp14:anchorId="6624FA9F" wp14:editId="33AF9D46">
            <wp:extent cx="5943600" cy="3517900"/>
            <wp:effectExtent l="0" t="0" r="0" b="0"/>
            <wp:docPr id="1072613760" name="Picture 1072613760" descr="A picture containing screenshot, text, diagram, lin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4479159" name="Picture 1" descr="A picture containing screenshot, text, diagram, line&#10;&#10;Description automatically generated"/>
                    <pic:cNvPicPr>
                      <a:picLocks noChangeAspect="1" noChangeArrowheads="1"/>
                    </pic:cNvPicPr>
                  </pic:nvPicPr>
                  <pic:blipFill>
                    <a:blip r:embed="rId47">
                      <a:extLst>
                        <a:ext uri="{28A0092B-C50C-407E-A947-70E740481C1C}">
                          <a14:useLocalDpi xmlns:a14="http://schemas.microsoft.com/office/drawing/2010/main" val="0"/>
                        </a:ext>
                      </a:extLst>
                    </a:blip>
                    <a:srcRect/>
                    <a:stretch>
                      <a:fillRect/>
                    </a:stretch>
                  </pic:blipFill>
                  <pic:spPr bwMode="auto">
                    <a:xfrm>
                      <a:off x="0" y="0"/>
                      <a:ext cx="5943600" cy="3517900"/>
                    </a:xfrm>
                    <a:prstGeom prst="rect">
                      <a:avLst/>
                    </a:prstGeom>
                    <a:noFill/>
                    <a:ln>
                      <a:noFill/>
                    </a:ln>
                  </pic:spPr>
                </pic:pic>
              </a:graphicData>
            </a:graphic>
          </wp:inline>
        </w:drawing>
      </w:r>
      <w:r w:rsidRPr="003F0091">
        <w:rPr>
          <w:color w:val="000000" w:themeColor="text1"/>
        </w:rPr>
        <w:fldChar w:fldCharType="end"/>
      </w:r>
      <w:r w:rsidRPr="003F0091">
        <w:rPr>
          <w:color w:val="000000" w:themeColor="text1"/>
        </w:rPr>
        <w:fldChar w:fldCharType="begin"/>
      </w:r>
      <w:r w:rsidR="00D51C42">
        <w:rPr>
          <w:color w:val="000000" w:themeColor="text1"/>
        </w:rPr>
        <w:instrText xml:space="preserve"> INCLUDEPICTURE "C:\\Users\\hunterhammock\\Library\\Group Containers\\UBF8T346G9.ms\\WebArchiveCopyPasteTempFiles\\com.microsoft.Word\\XvY21gRVEUJSthzP8DRiscwk6Ww9gAAAAASUVORK5CYII=" \* MERGEFORMAT </w:instrText>
      </w:r>
      <w:r w:rsidRPr="003F0091">
        <w:rPr>
          <w:color w:val="000000" w:themeColor="text1"/>
        </w:rPr>
        <w:fldChar w:fldCharType="separate"/>
      </w:r>
      <w:r w:rsidRPr="003F0091">
        <w:rPr>
          <w:noProof/>
          <w:color w:val="000000" w:themeColor="text1"/>
        </w:rPr>
        <w:drawing>
          <wp:inline distT="0" distB="0" distL="0" distR="0" wp14:anchorId="6624FA9F" wp14:editId="33AF9D46">
            <wp:extent cx="5943600" cy="3517900"/>
            <wp:effectExtent l="0" t="0" r="0" b="0"/>
            <wp:docPr id="1529518152" name="Picture 1529518152" descr="A picture containing screenshot, text, diagram, lin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4479159" name="Picture 1" descr="A picture containing screenshot, text, diagram, line&#10;&#10;Description automatically generated"/>
                    <pic:cNvPicPr>
                      <a:picLocks noChangeAspect="1" noChangeArrowheads="1"/>
                    </pic:cNvPicPr>
                  </pic:nvPicPr>
                  <pic:blipFill>
                    <a:blip r:embed="rId47">
                      <a:extLst>
                        <a:ext uri="{28A0092B-C50C-407E-A947-70E740481C1C}">
                          <a14:useLocalDpi xmlns:a14="http://schemas.microsoft.com/office/drawing/2010/main" val="0"/>
                        </a:ext>
                      </a:extLst>
                    </a:blip>
                    <a:srcRect/>
                    <a:stretch>
                      <a:fillRect/>
                    </a:stretch>
                  </pic:blipFill>
                  <pic:spPr bwMode="auto">
                    <a:xfrm>
                      <a:off x="0" y="0"/>
                      <a:ext cx="5943600" cy="3517900"/>
                    </a:xfrm>
                    <a:prstGeom prst="rect">
                      <a:avLst/>
                    </a:prstGeom>
                    <a:noFill/>
                    <a:ln>
                      <a:noFill/>
                    </a:ln>
                  </pic:spPr>
                </pic:pic>
              </a:graphicData>
            </a:graphic>
          </wp:inline>
        </w:drawing>
      </w:r>
      <w:r w:rsidRPr="003F0091">
        <w:rPr>
          <w:color w:val="000000" w:themeColor="text1"/>
        </w:rPr>
        <w:fldChar w:fldCharType="end"/>
      </w:r>
    </w:p>
    <w:p w14:paraId="724F467D" w14:textId="0B9B1D12" w:rsidR="00BB138C" w:rsidRPr="00BB138C" w:rsidRDefault="00BB138C" w:rsidP="00BB138C">
      <w:pPr>
        <w:pStyle w:val="TOCFigures1"/>
      </w:pPr>
      <w:bookmarkStart w:id="721" w:name="_Toc141478844"/>
      <w:r w:rsidRPr="00BB138C">
        <w:rPr>
          <w:b/>
          <w:bCs/>
        </w:rPr>
        <w:t xml:space="preserve">Figure </w:t>
      </w:r>
      <w:r w:rsidR="00BA2365">
        <w:rPr>
          <w:b/>
          <w:bCs/>
        </w:rPr>
        <w:t>5.</w:t>
      </w:r>
      <w:r w:rsidRPr="00BB138C">
        <w:rPr>
          <w:b/>
          <w:bCs/>
        </w:rPr>
        <w:t>5.</w:t>
      </w:r>
      <w:r w:rsidRPr="00BB138C">
        <w:t xml:space="preserve"> mRNA sequencing via polyA selection. Sequencing was performed on the HiSeq 6000 sequencing platform (Illumia, San Diego, USA).</w:t>
      </w:r>
      <w:bookmarkEnd w:id="721"/>
      <w:r w:rsidRPr="00BB138C">
        <w:t xml:space="preserve"> </w:t>
      </w:r>
    </w:p>
    <w:p w14:paraId="6650269D" w14:textId="77777777" w:rsidR="00BB138C" w:rsidRPr="003F0091" w:rsidRDefault="00BB138C" w:rsidP="00BB138C">
      <w:pPr>
        <w:spacing w:line="240" w:lineRule="auto"/>
        <w:rPr>
          <w:rFonts w:eastAsia="Times New Roman" w:cs="Times New Roman"/>
          <w:color w:val="000000" w:themeColor="text1"/>
        </w:rPr>
      </w:pPr>
      <w:r w:rsidRPr="003F0091">
        <w:rPr>
          <w:rFonts w:eastAsia="Times New Roman" w:cs="Times New Roman"/>
          <w:color w:val="000000" w:themeColor="text1"/>
        </w:rPr>
        <w:br w:type="page"/>
      </w:r>
    </w:p>
    <w:p w14:paraId="2BE642F5" w14:textId="3DE0283E" w:rsidR="00BB138C" w:rsidRPr="003F0091" w:rsidRDefault="00BB138C" w:rsidP="00BB138C">
      <w:pPr>
        <w:pStyle w:val="NormalWeb"/>
        <w:jc w:val="both"/>
        <w:rPr>
          <w:b/>
          <w:bCs/>
          <w:color w:val="000000" w:themeColor="text1"/>
        </w:rPr>
      </w:pPr>
      <w:r w:rsidRPr="003F0091">
        <w:rPr>
          <w:color w:val="000000" w:themeColor="text1"/>
        </w:rPr>
        <w:lastRenderedPageBreak/>
        <w:fldChar w:fldCharType="begin"/>
      </w:r>
      <w:r w:rsidR="00D51C42">
        <w:rPr>
          <w:color w:val="000000" w:themeColor="text1"/>
        </w:rPr>
        <w:instrText xml:space="preserve"> INCLUDEPICTURE "C:\\Users\\hunterhammock\\Library\\Group Containers\\UBF8T346G9.ms\\WebArchiveCopyPasteTempFiles\\com.microsoft.Word\\YE28AV3kfnoAAAAASUVORK5CYII=" \* MERGEFORMAT </w:instrText>
      </w:r>
      <w:r w:rsidRPr="003F0091">
        <w:rPr>
          <w:color w:val="000000" w:themeColor="text1"/>
        </w:rPr>
        <w:fldChar w:fldCharType="separate"/>
      </w:r>
      <w:r w:rsidRPr="003F0091">
        <w:rPr>
          <w:noProof/>
          <w:color w:val="000000" w:themeColor="text1"/>
        </w:rPr>
        <w:drawing>
          <wp:inline distT="0" distB="0" distL="0" distR="0" wp14:anchorId="73315567" wp14:editId="46A63B7E">
            <wp:extent cx="5943600" cy="5943600"/>
            <wp:effectExtent l="0" t="0" r="0" b="0"/>
            <wp:docPr id="433560948" name="Picture 433560948" descr="A graph with red and blue dots&#10;&#10;Description automatically generated with low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5056097" name="Picture 2" descr="A graph with red and blue dots&#10;&#10;Description automatically generated with low confidence"/>
                    <pic:cNvPicPr>
                      <a:picLocks noChangeAspect="1" noChangeArrowheads="1"/>
                    </pic:cNvPicPr>
                  </pic:nvPicPr>
                  <pic:blipFill>
                    <a:blip r:embed="rId48" cstate="print">
                      <a:extLst>
                        <a:ext uri="{28A0092B-C50C-407E-A947-70E740481C1C}">
                          <a14:useLocalDpi xmlns:a14="http://schemas.microsoft.com/office/drawing/2010/main" val="0"/>
                        </a:ext>
                      </a:extLst>
                    </a:blip>
                    <a:srcRect/>
                    <a:stretch>
                      <a:fillRect/>
                    </a:stretch>
                  </pic:blipFill>
                  <pic:spPr bwMode="auto">
                    <a:xfrm>
                      <a:off x="0" y="0"/>
                      <a:ext cx="5943600" cy="5943600"/>
                    </a:xfrm>
                    <a:prstGeom prst="rect">
                      <a:avLst/>
                    </a:prstGeom>
                    <a:noFill/>
                    <a:ln>
                      <a:noFill/>
                    </a:ln>
                  </pic:spPr>
                </pic:pic>
              </a:graphicData>
            </a:graphic>
          </wp:inline>
        </w:drawing>
      </w:r>
      <w:r w:rsidRPr="003F0091">
        <w:rPr>
          <w:color w:val="000000" w:themeColor="text1"/>
        </w:rPr>
        <w:fldChar w:fldCharType="end"/>
      </w:r>
    </w:p>
    <w:p w14:paraId="3BA37663" w14:textId="6A59A1A5" w:rsidR="00BB138C" w:rsidRPr="003F0091" w:rsidRDefault="00BB138C" w:rsidP="00BB138C">
      <w:pPr>
        <w:pStyle w:val="TOCFigures1"/>
      </w:pPr>
      <w:bookmarkStart w:id="722" w:name="_Toc141478845"/>
      <w:r w:rsidRPr="003F0091">
        <w:rPr>
          <w:b/>
          <w:bCs/>
        </w:rPr>
        <w:t xml:space="preserve">Figure </w:t>
      </w:r>
      <w:r w:rsidR="00BA2365">
        <w:rPr>
          <w:b/>
          <w:bCs/>
        </w:rPr>
        <w:t>5.</w:t>
      </w:r>
      <w:r w:rsidRPr="003F0091">
        <w:rPr>
          <w:b/>
          <w:bCs/>
        </w:rPr>
        <w:t xml:space="preserve">6. </w:t>
      </w:r>
      <w:r w:rsidRPr="003F0091">
        <w:t>Principal component analysis (PCA) comparing DEGs between the Natural Light Control (T4) and Narrowband 20B/80R treatment (T1).</w:t>
      </w:r>
      <w:bookmarkEnd w:id="722"/>
    </w:p>
    <w:p w14:paraId="09019573" w14:textId="77777777" w:rsidR="00BB138C" w:rsidRPr="003F0091" w:rsidRDefault="00BB138C" w:rsidP="00BB138C">
      <w:pPr>
        <w:pStyle w:val="NormalWeb"/>
        <w:jc w:val="both"/>
        <w:rPr>
          <w:color w:val="000000" w:themeColor="text1"/>
        </w:rPr>
      </w:pPr>
    </w:p>
    <w:p w14:paraId="1CCF1C52" w14:textId="77777777" w:rsidR="00BB138C" w:rsidRPr="003F0091" w:rsidRDefault="00BB138C" w:rsidP="00BB138C">
      <w:pPr>
        <w:spacing w:line="240" w:lineRule="auto"/>
        <w:rPr>
          <w:rFonts w:eastAsia="Times New Roman" w:cs="Times New Roman"/>
          <w:b/>
          <w:bCs/>
          <w:color w:val="000000" w:themeColor="text1"/>
        </w:rPr>
      </w:pPr>
      <w:r w:rsidRPr="003F0091">
        <w:rPr>
          <w:rFonts w:cs="Times New Roman"/>
          <w:b/>
          <w:bCs/>
          <w:color w:val="000000" w:themeColor="text1"/>
        </w:rPr>
        <w:br w:type="page"/>
      </w:r>
    </w:p>
    <w:p w14:paraId="507E2A77" w14:textId="5B74ABE9" w:rsidR="00BB138C" w:rsidRPr="003F0091" w:rsidRDefault="00BB138C" w:rsidP="00BB138C">
      <w:pPr>
        <w:pStyle w:val="NormalWeb"/>
        <w:jc w:val="both"/>
        <w:rPr>
          <w:b/>
          <w:bCs/>
          <w:color w:val="000000" w:themeColor="text1"/>
        </w:rPr>
      </w:pPr>
      <w:r w:rsidRPr="003F0091">
        <w:rPr>
          <w:color w:val="000000" w:themeColor="text1"/>
        </w:rPr>
        <w:lastRenderedPageBreak/>
        <w:fldChar w:fldCharType="begin"/>
      </w:r>
      <w:r w:rsidR="00D51C42">
        <w:rPr>
          <w:color w:val="000000" w:themeColor="text1"/>
        </w:rPr>
        <w:instrText xml:space="preserve"> INCLUDEPICTURE "C:\\Users\\hunterhammock\\Library\\Group Containers\\UBF8T346G9.ms\\WebArchiveCopyPasteTempFiles\\com.microsoft.Word\\A0wulAyAcBfuAAAAAElFTkSuQmCC" \* MERGEFORMAT </w:instrText>
      </w:r>
      <w:r w:rsidRPr="003F0091">
        <w:rPr>
          <w:color w:val="000000" w:themeColor="text1"/>
        </w:rPr>
        <w:fldChar w:fldCharType="separate"/>
      </w:r>
      <w:r w:rsidRPr="003F0091">
        <w:rPr>
          <w:noProof/>
          <w:color w:val="000000" w:themeColor="text1"/>
        </w:rPr>
        <w:drawing>
          <wp:inline distT="0" distB="0" distL="0" distR="0" wp14:anchorId="724519FA" wp14:editId="6002776A">
            <wp:extent cx="5943600" cy="5943600"/>
            <wp:effectExtent l="0" t="0" r="0" b="0"/>
            <wp:docPr id="2048416173" name="Picture 2048416173" descr="A picture containing text, screenshot, diagram, lin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2356429" name="Picture 3" descr="A picture containing text, screenshot, diagram, line&#10;&#10;Description automatically generated"/>
                    <pic:cNvPicPr>
                      <a:picLocks noChangeAspect="1" noChangeArrowheads="1"/>
                    </pic:cNvPicPr>
                  </pic:nvPicPr>
                  <pic:blipFill>
                    <a:blip r:embed="rId49" cstate="print">
                      <a:extLst>
                        <a:ext uri="{28A0092B-C50C-407E-A947-70E740481C1C}">
                          <a14:useLocalDpi xmlns:a14="http://schemas.microsoft.com/office/drawing/2010/main" val="0"/>
                        </a:ext>
                      </a:extLst>
                    </a:blip>
                    <a:srcRect/>
                    <a:stretch>
                      <a:fillRect/>
                    </a:stretch>
                  </pic:blipFill>
                  <pic:spPr bwMode="auto">
                    <a:xfrm>
                      <a:off x="0" y="0"/>
                      <a:ext cx="5943600" cy="5943600"/>
                    </a:xfrm>
                    <a:prstGeom prst="rect">
                      <a:avLst/>
                    </a:prstGeom>
                    <a:noFill/>
                    <a:ln>
                      <a:noFill/>
                    </a:ln>
                  </pic:spPr>
                </pic:pic>
              </a:graphicData>
            </a:graphic>
          </wp:inline>
        </w:drawing>
      </w:r>
      <w:r w:rsidRPr="003F0091">
        <w:rPr>
          <w:color w:val="000000" w:themeColor="text1"/>
        </w:rPr>
        <w:fldChar w:fldCharType="end"/>
      </w:r>
    </w:p>
    <w:p w14:paraId="132FE54F" w14:textId="6F960C0F" w:rsidR="00BB138C" w:rsidRPr="003F0091" w:rsidRDefault="00BB138C" w:rsidP="00BB138C">
      <w:pPr>
        <w:pStyle w:val="TOCFigures1"/>
      </w:pPr>
      <w:bookmarkStart w:id="723" w:name="_Toc141478846"/>
      <w:r w:rsidRPr="003F0091">
        <w:rPr>
          <w:b/>
          <w:bCs/>
        </w:rPr>
        <w:t xml:space="preserve">Figure </w:t>
      </w:r>
      <w:r w:rsidR="00BA2365">
        <w:rPr>
          <w:b/>
          <w:bCs/>
        </w:rPr>
        <w:t>5.</w:t>
      </w:r>
      <w:r w:rsidRPr="003F0091">
        <w:rPr>
          <w:b/>
          <w:bCs/>
        </w:rPr>
        <w:t xml:space="preserve">7. </w:t>
      </w:r>
      <w:r w:rsidRPr="003F0091">
        <w:t>Principal component analysis (PCA) comparing DEGs between the Natural Light Control (T4) and Broadband White treatment (T2).</w:t>
      </w:r>
      <w:bookmarkEnd w:id="723"/>
    </w:p>
    <w:p w14:paraId="2F7CC584" w14:textId="77777777" w:rsidR="00BB138C" w:rsidRPr="003F0091" w:rsidRDefault="00BB138C" w:rsidP="00BB138C">
      <w:pPr>
        <w:pStyle w:val="NormalWeb"/>
        <w:jc w:val="both"/>
        <w:rPr>
          <w:color w:val="000000" w:themeColor="text1"/>
        </w:rPr>
      </w:pPr>
    </w:p>
    <w:p w14:paraId="60B22D2C" w14:textId="77777777" w:rsidR="00BB138C" w:rsidRPr="003F0091" w:rsidRDefault="00BB138C" w:rsidP="00BB138C">
      <w:pPr>
        <w:pStyle w:val="NormalWeb"/>
        <w:jc w:val="both"/>
        <w:rPr>
          <w:color w:val="000000" w:themeColor="text1"/>
        </w:rPr>
      </w:pPr>
    </w:p>
    <w:p w14:paraId="2E7BD11E" w14:textId="77777777" w:rsidR="00BB138C" w:rsidRPr="003F0091" w:rsidRDefault="00BB138C" w:rsidP="00BB138C">
      <w:pPr>
        <w:spacing w:line="240" w:lineRule="auto"/>
        <w:rPr>
          <w:rFonts w:eastAsia="Times New Roman" w:cs="Times New Roman"/>
          <w:b/>
          <w:bCs/>
          <w:color w:val="000000" w:themeColor="text1"/>
        </w:rPr>
      </w:pPr>
      <w:r w:rsidRPr="003F0091">
        <w:rPr>
          <w:rFonts w:cs="Times New Roman"/>
          <w:b/>
          <w:bCs/>
          <w:color w:val="000000" w:themeColor="text1"/>
        </w:rPr>
        <w:br w:type="page"/>
      </w:r>
    </w:p>
    <w:p w14:paraId="5F124776" w14:textId="25F3FE3C" w:rsidR="00BB138C" w:rsidRPr="003F0091" w:rsidRDefault="00BB138C" w:rsidP="00BB138C">
      <w:pPr>
        <w:pStyle w:val="NormalWeb"/>
        <w:jc w:val="both"/>
        <w:rPr>
          <w:b/>
          <w:bCs/>
          <w:color w:val="000000" w:themeColor="text1"/>
        </w:rPr>
      </w:pPr>
      <w:r w:rsidRPr="003F0091">
        <w:rPr>
          <w:color w:val="000000" w:themeColor="text1"/>
        </w:rPr>
        <w:lastRenderedPageBreak/>
        <w:fldChar w:fldCharType="begin"/>
      </w:r>
      <w:r w:rsidR="00D51C42">
        <w:rPr>
          <w:color w:val="000000" w:themeColor="text1"/>
        </w:rPr>
        <w:instrText xml:space="preserve"> INCLUDEPICTURE "C:\\Users\\hunterhammock\\Library\\Group Containers\\UBF8T346G9.ms\\WebArchiveCopyPasteTempFiles\\com.microsoft.Word\\w+rZXZt9yWrvQAAAABJRU5ErkJggg==" \* MERGEFORMAT </w:instrText>
      </w:r>
      <w:r w:rsidRPr="003F0091">
        <w:rPr>
          <w:color w:val="000000" w:themeColor="text1"/>
        </w:rPr>
        <w:fldChar w:fldCharType="separate"/>
      </w:r>
      <w:r w:rsidRPr="003F0091">
        <w:rPr>
          <w:noProof/>
          <w:color w:val="000000" w:themeColor="text1"/>
        </w:rPr>
        <w:drawing>
          <wp:inline distT="0" distB="0" distL="0" distR="0" wp14:anchorId="59AC176A" wp14:editId="3A0B2BA7">
            <wp:extent cx="5943600" cy="5943600"/>
            <wp:effectExtent l="0" t="0" r="0" b="0"/>
            <wp:docPr id="1925119111" name="Picture 1925119111" descr="A graph with red and blue dots&#10;&#10;Description automatically generated with low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8119722" name="Picture 4" descr="A graph with red and blue dots&#10;&#10;Description automatically generated with low confidence"/>
                    <pic:cNvPicPr>
                      <a:picLocks noChangeAspect="1" noChangeArrowheads="1"/>
                    </pic:cNvPicPr>
                  </pic:nvPicPr>
                  <pic:blipFill>
                    <a:blip r:embed="rId50" cstate="print">
                      <a:extLst>
                        <a:ext uri="{28A0092B-C50C-407E-A947-70E740481C1C}">
                          <a14:useLocalDpi xmlns:a14="http://schemas.microsoft.com/office/drawing/2010/main" val="0"/>
                        </a:ext>
                      </a:extLst>
                    </a:blip>
                    <a:srcRect/>
                    <a:stretch>
                      <a:fillRect/>
                    </a:stretch>
                  </pic:blipFill>
                  <pic:spPr bwMode="auto">
                    <a:xfrm>
                      <a:off x="0" y="0"/>
                      <a:ext cx="5943600" cy="5943600"/>
                    </a:xfrm>
                    <a:prstGeom prst="rect">
                      <a:avLst/>
                    </a:prstGeom>
                    <a:noFill/>
                    <a:ln>
                      <a:noFill/>
                    </a:ln>
                  </pic:spPr>
                </pic:pic>
              </a:graphicData>
            </a:graphic>
          </wp:inline>
        </w:drawing>
      </w:r>
      <w:r w:rsidRPr="003F0091">
        <w:rPr>
          <w:color w:val="000000" w:themeColor="text1"/>
        </w:rPr>
        <w:fldChar w:fldCharType="end"/>
      </w:r>
    </w:p>
    <w:p w14:paraId="5B4C525B" w14:textId="6CB825FB" w:rsidR="00BB138C" w:rsidRPr="003F0091" w:rsidRDefault="00BB138C" w:rsidP="00BB138C">
      <w:pPr>
        <w:pStyle w:val="TOCFigures1"/>
      </w:pPr>
      <w:bookmarkStart w:id="724" w:name="_Toc141478847"/>
      <w:r w:rsidRPr="003F0091">
        <w:rPr>
          <w:b/>
          <w:bCs/>
        </w:rPr>
        <w:t xml:space="preserve">Figure </w:t>
      </w:r>
      <w:r w:rsidR="00BA2365">
        <w:rPr>
          <w:b/>
          <w:bCs/>
        </w:rPr>
        <w:t>5.</w:t>
      </w:r>
      <w:r w:rsidRPr="003F0091">
        <w:rPr>
          <w:b/>
          <w:bCs/>
        </w:rPr>
        <w:t xml:space="preserve">8. </w:t>
      </w:r>
      <w:r w:rsidRPr="003F0091">
        <w:t>Principal component analysis (PCA) comparing DEGs between the Natural Light Control (T4) and High Pressure Sodium treatment (T3).</w:t>
      </w:r>
      <w:bookmarkEnd w:id="724"/>
    </w:p>
    <w:p w14:paraId="1A005AC2" w14:textId="77777777" w:rsidR="00BB138C" w:rsidRPr="003F0091" w:rsidRDefault="00BB138C" w:rsidP="00BB138C">
      <w:pPr>
        <w:spacing w:line="240" w:lineRule="auto"/>
        <w:rPr>
          <w:rFonts w:eastAsia="Times New Roman" w:cs="Times New Roman"/>
          <w:color w:val="000000" w:themeColor="text1"/>
        </w:rPr>
      </w:pPr>
      <w:r w:rsidRPr="003F0091">
        <w:rPr>
          <w:rFonts w:cs="Times New Roman"/>
          <w:color w:val="000000" w:themeColor="text1"/>
        </w:rPr>
        <w:br w:type="page"/>
      </w:r>
    </w:p>
    <w:p w14:paraId="1AA674F5" w14:textId="77777777" w:rsidR="00BB138C" w:rsidRPr="003F0091" w:rsidRDefault="00BB138C" w:rsidP="00BB138C">
      <w:pPr>
        <w:pStyle w:val="NormalWeb"/>
        <w:jc w:val="both"/>
        <w:rPr>
          <w:b/>
          <w:bCs/>
          <w:color w:val="000000" w:themeColor="text1"/>
        </w:rPr>
      </w:pPr>
      <w:r w:rsidRPr="003F0091">
        <w:rPr>
          <w:b/>
          <w:bCs/>
          <w:noProof/>
          <w:color w:val="000000" w:themeColor="text1"/>
        </w:rPr>
        <w:lastRenderedPageBreak/>
        <w:drawing>
          <wp:inline distT="0" distB="0" distL="0" distR="0" wp14:anchorId="59967FF5" wp14:editId="7DB7AF1E">
            <wp:extent cx="5943600" cy="6426259"/>
            <wp:effectExtent l="0" t="0" r="0" b="0"/>
            <wp:docPr id="432958762" name="Picture 432958762" descr="A picture containing text, screenshot, diagram, parallel&#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79467678" name="Picture 8" descr="A picture containing text, screenshot, diagram, parallel&#10;&#10;Description automatically generated"/>
                    <pic:cNvPicPr/>
                  </pic:nvPicPr>
                  <pic:blipFill>
                    <a:blip r:embed="rId51">
                      <a:extLst>
                        <a:ext uri="{28A0092B-C50C-407E-A947-70E740481C1C}">
                          <a14:useLocalDpi xmlns:a14="http://schemas.microsoft.com/office/drawing/2010/main" val="0"/>
                        </a:ext>
                      </a:extLst>
                    </a:blip>
                    <a:stretch>
                      <a:fillRect/>
                    </a:stretch>
                  </pic:blipFill>
                  <pic:spPr>
                    <a:xfrm>
                      <a:off x="0" y="0"/>
                      <a:ext cx="5943600" cy="6426259"/>
                    </a:xfrm>
                    <a:prstGeom prst="rect">
                      <a:avLst/>
                    </a:prstGeom>
                  </pic:spPr>
                </pic:pic>
              </a:graphicData>
            </a:graphic>
          </wp:inline>
        </w:drawing>
      </w:r>
    </w:p>
    <w:p w14:paraId="7EE1A27B" w14:textId="2BF8393A" w:rsidR="00BB138C" w:rsidRPr="003F0091" w:rsidRDefault="00BB138C" w:rsidP="00BB138C">
      <w:pPr>
        <w:pStyle w:val="TOCFigures1"/>
      </w:pPr>
      <w:bookmarkStart w:id="725" w:name="_Toc141478848"/>
      <w:r w:rsidRPr="003F0091">
        <w:rPr>
          <w:b/>
          <w:bCs/>
        </w:rPr>
        <w:t xml:space="preserve">Figure </w:t>
      </w:r>
      <w:r w:rsidR="00BA2365">
        <w:rPr>
          <w:b/>
          <w:bCs/>
        </w:rPr>
        <w:t>5.</w:t>
      </w:r>
      <w:r w:rsidRPr="003F0091">
        <w:rPr>
          <w:b/>
          <w:bCs/>
        </w:rPr>
        <w:t xml:space="preserve">9. </w:t>
      </w:r>
      <w:r w:rsidRPr="003F0091">
        <w:t>Biclustering heat map comparing top 30 significant DEGs between the Natural Light Control (T4) and Narrowband 20B/80R treatment (T1) to identify co-regulated genes. Summer (S) and Winter (W) seasons are compared with four replications (R1-R4).</w:t>
      </w:r>
      <w:bookmarkEnd w:id="725"/>
      <w:r w:rsidRPr="003F0091">
        <w:t xml:space="preserve"> </w:t>
      </w:r>
    </w:p>
    <w:p w14:paraId="312353D4" w14:textId="77777777" w:rsidR="00BB138C" w:rsidRPr="003F0091" w:rsidRDefault="00BB138C" w:rsidP="00BB138C">
      <w:pPr>
        <w:spacing w:line="240" w:lineRule="auto"/>
        <w:rPr>
          <w:rFonts w:eastAsia="Times New Roman" w:cs="Times New Roman"/>
          <w:color w:val="000000" w:themeColor="text1"/>
        </w:rPr>
      </w:pPr>
      <w:r w:rsidRPr="003F0091">
        <w:rPr>
          <w:rFonts w:cs="Times New Roman"/>
          <w:color w:val="000000" w:themeColor="text1"/>
        </w:rPr>
        <w:br w:type="page"/>
      </w:r>
    </w:p>
    <w:p w14:paraId="3353AB55" w14:textId="77777777" w:rsidR="00BB138C" w:rsidRPr="003F0091" w:rsidRDefault="00BB138C" w:rsidP="00BB138C">
      <w:pPr>
        <w:pStyle w:val="NormalWeb"/>
        <w:jc w:val="both"/>
        <w:rPr>
          <w:color w:val="000000" w:themeColor="text1"/>
        </w:rPr>
      </w:pPr>
      <w:r w:rsidRPr="003F0091">
        <w:rPr>
          <w:noProof/>
          <w:color w:val="000000" w:themeColor="text1"/>
        </w:rPr>
        <w:lastRenderedPageBreak/>
        <w:drawing>
          <wp:inline distT="0" distB="0" distL="0" distR="0" wp14:anchorId="0AC61F4B" wp14:editId="6DAB2A6E">
            <wp:extent cx="5943600" cy="6426259"/>
            <wp:effectExtent l="0" t="0" r="0" b="0"/>
            <wp:docPr id="567116148" name="Picture 567116148" descr="A picture containing text, screenshot, diagram, parallel&#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94057886" name="Picture 9" descr="A picture containing text, screenshot, diagram, parallel&#10;&#10;Description automatically generated"/>
                    <pic:cNvPicPr/>
                  </pic:nvPicPr>
                  <pic:blipFill>
                    <a:blip r:embed="rId52">
                      <a:extLst>
                        <a:ext uri="{28A0092B-C50C-407E-A947-70E740481C1C}">
                          <a14:useLocalDpi xmlns:a14="http://schemas.microsoft.com/office/drawing/2010/main" val="0"/>
                        </a:ext>
                      </a:extLst>
                    </a:blip>
                    <a:stretch>
                      <a:fillRect/>
                    </a:stretch>
                  </pic:blipFill>
                  <pic:spPr>
                    <a:xfrm>
                      <a:off x="0" y="0"/>
                      <a:ext cx="5943600" cy="6426259"/>
                    </a:xfrm>
                    <a:prstGeom prst="rect">
                      <a:avLst/>
                    </a:prstGeom>
                  </pic:spPr>
                </pic:pic>
              </a:graphicData>
            </a:graphic>
          </wp:inline>
        </w:drawing>
      </w:r>
    </w:p>
    <w:p w14:paraId="2BE0A203" w14:textId="43C9B381" w:rsidR="00BB138C" w:rsidRPr="003F0091" w:rsidRDefault="00BB138C" w:rsidP="00BB138C">
      <w:pPr>
        <w:pStyle w:val="TOCFigures1"/>
      </w:pPr>
      <w:bookmarkStart w:id="726" w:name="_Toc141478849"/>
      <w:r w:rsidRPr="003F0091">
        <w:rPr>
          <w:b/>
          <w:bCs/>
        </w:rPr>
        <w:t xml:space="preserve">Figure </w:t>
      </w:r>
      <w:r w:rsidR="00BA2365">
        <w:rPr>
          <w:b/>
          <w:bCs/>
        </w:rPr>
        <w:t>5.</w:t>
      </w:r>
      <w:r w:rsidRPr="003F0091">
        <w:rPr>
          <w:b/>
          <w:bCs/>
        </w:rPr>
        <w:t xml:space="preserve">10. </w:t>
      </w:r>
      <w:r w:rsidRPr="003F0091">
        <w:t>Biclustering heat map comparing top 30 significant DEGs between the Natural Light Control (T4) and Broadband White treatment (T2) to identify co-regulated genes. Summer (S) and Winter (W) seasons are compared with four replications (R1-R4).</w:t>
      </w:r>
      <w:bookmarkEnd w:id="726"/>
    </w:p>
    <w:p w14:paraId="63B42787" w14:textId="77777777" w:rsidR="00BB138C" w:rsidRPr="003F0091" w:rsidRDefault="00BB138C" w:rsidP="00BB138C">
      <w:pPr>
        <w:spacing w:line="240" w:lineRule="auto"/>
        <w:rPr>
          <w:rFonts w:eastAsia="Times New Roman" w:cs="Times New Roman"/>
          <w:color w:val="000000" w:themeColor="text1"/>
        </w:rPr>
      </w:pPr>
      <w:r w:rsidRPr="003F0091">
        <w:rPr>
          <w:rFonts w:cs="Times New Roman"/>
          <w:color w:val="000000" w:themeColor="text1"/>
        </w:rPr>
        <w:br w:type="page"/>
      </w:r>
    </w:p>
    <w:p w14:paraId="115D491A" w14:textId="77777777" w:rsidR="00BB138C" w:rsidRPr="003F0091" w:rsidRDefault="00BB138C" w:rsidP="00BB138C">
      <w:pPr>
        <w:pStyle w:val="NormalWeb"/>
        <w:jc w:val="both"/>
        <w:rPr>
          <w:color w:val="000000" w:themeColor="text1"/>
        </w:rPr>
      </w:pPr>
      <w:r w:rsidRPr="003F0091">
        <w:rPr>
          <w:noProof/>
          <w:color w:val="000000" w:themeColor="text1"/>
        </w:rPr>
        <w:lastRenderedPageBreak/>
        <w:drawing>
          <wp:inline distT="0" distB="0" distL="0" distR="0" wp14:anchorId="5A87A1EA" wp14:editId="205B73D6">
            <wp:extent cx="5943600" cy="6426259"/>
            <wp:effectExtent l="0" t="0" r="0" b="0"/>
            <wp:docPr id="2057959170" name="Picture 2057959170" descr="A picture containing text, screenshot, diagram, pla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79657812" name="Picture 10" descr="A picture containing text, screenshot, diagram, plan&#10;&#10;Description automatically generated"/>
                    <pic:cNvPicPr/>
                  </pic:nvPicPr>
                  <pic:blipFill>
                    <a:blip r:embed="rId53">
                      <a:extLst>
                        <a:ext uri="{28A0092B-C50C-407E-A947-70E740481C1C}">
                          <a14:useLocalDpi xmlns:a14="http://schemas.microsoft.com/office/drawing/2010/main" val="0"/>
                        </a:ext>
                      </a:extLst>
                    </a:blip>
                    <a:stretch>
                      <a:fillRect/>
                    </a:stretch>
                  </pic:blipFill>
                  <pic:spPr>
                    <a:xfrm>
                      <a:off x="0" y="0"/>
                      <a:ext cx="5943600" cy="6426259"/>
                    </a:xfrm>
                    <a:prstGeom prst="rect">
                      <a:avLst/>
                    </a:prstGeom>
                  </pic:spPr>
                </pic:pic>
              </a:graphicData>
            </a:graphic>
          </wp:inline>
        </w:drawing>
      </w:r>
    </w:p>
    <w:p w14:paraId="42CA22DE" w14:textId="5E9CE352" w:rsidR="00BB138C" w:rsidRPr="003F0091" w:rsidRDefault="00BB138C" w:rsidP="00BB138C">
      <w:pPr>
        <w:pStyle w:val="TOCFigures1"/>
      </w:pPr>
      <w:bookmarkStart w:id="727" w:name="_Toc141478850"/>
      <w:r w:rsidRPr="003F0091">
        <w:rPr>
          <w:b/>
          <w:bCs/>
        </w:rPr>
        <w:t xml:space="preserve">Figure </w:t>
      </w:r>
      <w:r w:rsidR="00BA2365">
        <w:rPr>
          <w:b/>
          <w:bCs/>
        </w:rPr>
        <w:t>5.</w:t>
      </w:r>
      <w:r w:rsidRPr="003F0091">
        <w:rPr>
          <w:b/>
          <w:bCs/>
        </w:rPr>
        <w:t xml:space="preserve">11. </w:t>
      </w:r>
      <w:r w:rsidRPr="003F0091">
        <w:t>Biclustering heat map comparing top 30 significant DEGs between the Natural Light Control (T4) and High Pressure Sodium treatment (T3) to identify co-regulated genes. Summer (S) and Winter (W) seasons are compared with four replications (R1-R4).</w:t>
      </w:r>
      <w:bookmarkEnd w:id="727"/>
    </w:p>
    <w:p w14:paraId="5FA86FDE" w14:textId="77777777" w:rsidR="00BB138C" w:rsidRPr="003F0091" w:rsidRDefault="00BB138C" w:rsidP="00BB138C">
      <w:pPr>
        <w:spacing w:line="240" w:lineRule="auto"/>
        <w:rPr>
          <w:rFonts w:cs="Times New Roman"/>
          <w:b/>
          <w:bCs/>
          <w:color w:val="000000" w:themeColor="text1"/>
        </w:rPr>
      </w:pPr>
      <w:r w:rsidRPr="003F0091">
        <w:rPr>
          <w:rFonts w:cs="Times New Roman"/>
          <w:b/>
          <w:bCs/>
          <w:color w:val="000000" w:themeColor="text1"/>
        </w:rPr>
        <w:br w:type="page"/>
      </w:r>
    </w:p>
    <w:p w14:paraId="5BD893F4" w14:textId="77777777" w:rsidR="00BB138C" w:rsidRPr="003F0091" w:rsidRDefault="00BB138C" w:rsidP="00BB138C">
      <w:pPr>
        <w:spacing w:line="240" w:lineRule="auto"/>
        <w:jc w:val="both"/>
        <w:rPr>
          <w:rFonts w:cs="Times New Roman"/>
          <w:b/>
          <w:bCs/>
          <w:color w:val="000000" w:themeColor="text1"/>
        </w:rPr>
      </w:pPr>
      <w:r w:rsidRPr="003F0091">
        <w:rPr>
          <w:rFonts w:cs="Times New Roman"/>
          <w:b/>
          <w:bCs/>
          <w:noProof/>
          <w:color w:val="000000" w:themeColor="text1"/>
        </w:rPr>
        <w:lastRenderedPageBreak/>
        <w:drawing>
          <wp:inline distT="0" distB="0" distL="0" distR="0" wp14:anchorId="6F77ACCF" wp14:editId="5D2D79C2">
            <wp:extent cx="5715000" cy="5715000"/>
            <wp:effectExtent l="0" t="0" r="0" b="0"/>
            <wp:docPr id="1124191220" name="Picture 1124191220" descr="A picture containing text, screenshot, diagram, plo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01631411" name="Picture 11" descr="A picture containing text, screenshot, diagram, plot&#10;&#10;Description automatically generated"/>
                    <pic:cNvPicPr/>
                  </pic:nvPicPr>
                  <pic:blipFill>
                    <a:blip r:embed="rId54" cstate="print">
                      <a:extLst>
                        <a:ext uri="{28A0092B-C50C-407E-A947-70E740481C1C}">
                          <a14:useLocalDpi xmlns:a14="http://schemas.microsoft.com/office/drawing/2010/main" val="0"/>
                        </a:ext>
                      </a:extLst>
                    </a:blip>
                    <a:stretch>
                      <a:fillRect/>
                    </a:stretch>
                  </pic:blipFill>
                  <pic:spPr>
                    <a:xfrm>
                      <a:off x="0" y="0"/>
                      <a:ext cx="5715000" cy="5715000"/>
                    </a:xfrm>
                    <a:prstGeom prst="rect">
                      <a:avLst/>
                    </a:prstGeom>
                  </pic:spPr>
                </pic:pic>
              </a:graphicData>
            </a:graphic>
          </wp:inline>
        </w:drawing>
      </w:r>
    </w:p>
    <w:p w14:paraId="1EB0DE98" w14:textId="77777777" w:rsidR="00BB138C" w:rsidRPr="003F0091" w:rsidRDefault="00BB138C" w:rsidP="00BB138C">
      <w:pPr>
        <w:spacing w:line="240" w:lineRule="auto"/>
        <w:jc w:val="both"/>
        <w:rPr>
          <w:rFonts w:cs="Times New Roman"/>
          <w:b/>
          <w:bCs/>
          <w:color w:val="000000" w:themeColor="text1"/>
        </w:rPr>
      </w:pPr>
    </w:p>
    <w:p w14:paraId="025836BA" w14:textId="4A634D64" w:rsidR="00BB138C" w:rsidRPr="003F0091" w:rsidRDefault="00BB138C" w:rsidP="00BB138C">
      <w:pPr>
        <w:pStyle w:val="TOCFigures1"/>
        <w:rPr>
          <w:rFonts w:eastAsia="Times New Roman"/>
        </w:rPr>
      </w:pPr>
      <w:bookmarkStart w:id="728" w:name="_Toc141478851"/>
      <w:r w:rsidRPr="003F0091">
        <w:rPr>
          <w:b/>
          <w:bCs/>
        </w:rPr>
        <w:t xml:space="preserve">Figure </w:t>
      </w:r>
      <w:r w:rsidR="00BA2365">
        <w:rPr>
          <w:b/>
          <w:bCs/>
        </w:rPr>
        <w:t>5.</w:t>
      </w:r>
      <w:r w:rsidRPr="003F0091">
        <w:rPr>
          <w:b/>
          <w:bCs/>
        </w:rPr>
        <w:t xml:space="preserve">12. </w:t>
      </w:r>
      <w:r w:rsidRPr="003F0091">
        <w:t>Volcano plot showing global transcriptional change between the Natural Light Control (T4) and Narrowband 20B/80R treatment (T1). All the genes are plotted and each data point represents a gene. The log2 fold change of each gene is represented on the x-axis and the log10 of its adjusted p-value is on the y-axis. Genes with an adjusted p-value less than 0.05 and a log2 fold change greater than 1 are indicated by red dots, which represent upregulated genes. Genes with an adjusted p-value less than 0.05 and a log2 fold change less than -1 are indicated by blue dots, which represent downregulated genes.</w:t>
      </w:r>
      <w:bookmarkEnd w:id="728"/>
    </w:p>
    <w:p w14:paraId="0D383851" w14:textId="77777777" w:rsidR="00BB138C" w:rsidRPr="003F0091" w:rsidRDefault="00BB138C" w:rsidP="00BB138C">
      <w:pPr>
        <w:spacing w:line="240" w:lineRule="auto"/>
        <w:jc w:val="both"/>
        <w:rPr>
          <w:rFonts w:cs="Times New Roman"/>
          <w:color w:val="000000" w:themeColor="text1"/>
          <w:sz w:val="21"/>
          <w:szCs w:val="21"/>
          <w:shd w:val="clear" w:color="auto" w:fill="FFFFFF"/>
        </w:rPr>
      </w:pPr>
    </w:p>
    <w:p w14:paraId="40D53E7D" w14:textId="77777777" w:rsidR="00BB138C" w:rsidRPr="003F0091" w:rsidRDefault="00BB138C" w:rsidP="00BB138C">
      <w:pPr>
        <w:pStyle w:val="NormalWeb"/>
        <w:jc w:val="both"/>
        <w:rPr>
          <w:color w:val="000000" w:themeColor="text1"/>
        </w:rPr>
      </w:pPr>
    </w:p>
    <w:p w14:paraId="4FCB21AF" w14:textId="77777777" w:rsidR="00BB138C" w:rsidRPr="003F0091" w:rsidRDefault="00BB138C" w:rsidP="00BB138C">
      <w:pPr>
        <w:spacing w:line="240" w:lineRule="auto"/>
        <w:rPr>
          <w:rFonts w:eastAsia="Times New Roman" w:cs="Times New Roman"/>
          <w:color w:val="000000" w:themeColor="text1"/>
        </w:rPr>
      </w:pPr>
      <w:r w:rsidRPr="003F0091">
        <w:rPr>
          <w:rFonts w:cs="Times New Roman"/>
          <w:color w:val="000000" w:themeColor="text1"/>
        </w:rPr>
        <w:br w:type="page"/>
      </w:r>
    </w:p>
    <w:p w14:paraId="3ED810CA" w14:textId="77777777" w:rsidR="00BB138C" w:rsidRPr="003F0091" w:rsidRDefault="00BB138C" w:rsidP="00BB138C">
      <w:pPr>
        <w:pStyle w:val="NormalWeb"/>
        <w:jc w:val="both"/>
        <w:rPr>
          <w:color w:val="000000" w:themeColor="text1"/>
        </w:rPr>
      </w:pPr>
      <w:r w:rsidRPr="003F0091">
        <w:rPr>
          <w:noProof/>
          <w:color w:val="000000" w:themeColor="text1"/>
        </w:rPr>
        <w:lastRenderedPageBreak/>
        <w:drawing>
          <wp:inline distT="0" distB="0" distL="0" distR="0" wp14:anchorId="34A4EB5B" wp14:editId="35E5E0C5">
            <wp:extent cx="5715000" cy="5715000"/>
            <wp:effectExtent l="0" t="0" r="0" b="0"/>
            <wp:docPr id="120121994" name="Picture 120121994" descr="A picture containing text, screenshot, diagram, plo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6311503" name="Picture 12" descr="A picture containing text, screenshot, diagram, plot&#10;&#10;Description automatically generated"/>
                    <pic:cNvPicPr/>
                  </pic:nvPicPr>
                  <pic:blipFill>
                    <a:blip r:embed="rId55" cstate="print">
                      <a:extLst>
                        <a:ext uri="{28A0092B-C50C-407E-A947-70E740481C1C}">
                          <a14:useLocalDpi xmlns:a14="http://schemas.microsoft.com/office/drawing/2010/main" val="0"/>
                        </a:ext>
                      </a:extLst>
                    </a:blip>
                    <a:stretch>
                      <a:fillRect/>
                    </a:stretch>
                  </pic:blipFill>
                  <pic:spPr>
                    <a:xfrm>
                      <a:off x="0" y="0"/>
                      <a:ext cx="5715000" cy="5715000"/>
                    </a:xfrm>
                    <a:prstGeom prst="rect">
                      <a:avLst/>
                    </a:prstGeom>
                  </pic:spPr>
                </pic:pic>
              </a:graphicData>
            </a:graphic>
          </wp:inline>
        </w:drawing>
      </w:r>
    </w:p>
    <w:p w14:paraId="0208E38A" w14:textId="21580FCF" w:rsidR="00BB138C" w:rsidRPr="003F0091" w:rsidRDefault="00BB138C" w:rsidP="00BB138C">
      <w:pPr>
        <w:pStyle w:val="TOCFigures1"/>
        <w:rPr>
          <w:rFonts w:eastAsia="Times New Roman"/>
        </w:rPr>
      </w:pPr>
      <w:bookmarkStart w:id="729" w:name="_Toc141478852"/>
      <w:r w:rsidRPr="003F0091">
        <w:rPr>
          <w:b/>
          <w:bCs/>
        </w:rPr>
        <w:t xml:space="preserve">Figure </w:t>
      </w:r>
      <w:r w:rsidR="00BA2365">
        <w:rPr>
          <w:b/>
          <w:bCs/>
        </w:rPr>
        <w:t>5.</w:t>
      </w:r>
      <w:r w:rsidRPr="003F0091">
        <w:rPr>
          <w:b/>
          <w:bCs/>
        </w:rPr>
        <w:t xml:space="preserve">13. </w:t>
      </w:r>
      <w:r w:rsidRPr="003F0091">
        <w:t>Volcano plot showing global transcriptional change between the Natural Light Control (T4) and Broadband White treatment (T2). All the genes are plotted and each data point represents a gene. The log2 fold change of each gene is represented on the x-axis and the log10 of its adjusted p-value is on the y-axis. Genes with an adjusted p-value less than 0.05 and a log2 fold change greater than 1 are indicated by red dots, which represent upregulated genes. Genes with an adjusted p-value less than 0.05 and a log2 fold change less than -1 are indicated by blue dots, which represent downregulated genes.</w:t>
      </w:r>
      <w:bookmarkEnd w:id="729"/>
    </w:p>
    <w:p w14:paraId="2A0DC38E" w14:textId="77777777" w:rsidR="00BB138C" w:rsidRPr="003F0091" w:rsidRDefault="00BB138C" w:rsidP="00BB138C">
      <w:pPr>
        <w:pStyle w:val="NormalWeb"/>
        <w:jc w:val="both"/>
        <w:rPr>
          <w:color w:val="000000" w:themeColor="text1"/>
        </w:rPr>
      </w:pPr>
    </w:p>
    <w:p w14:paraId="6D13EEAF" w14:textId="77777777" w:rsidR="00BB138C" w:rsidRPr="003F0091" w:rsidRDefault="00BB138C" w:rsidP="00BB138C">
      <w:pPr>
        <w:spacing w:line="240" w:lineRule="auto"/>
        <w:rPr>
          <w:rFonts w:eastAsia="Times New Roman" w:cs="Times New Roman"/>
          <w:color w:val="000000" w:themeColor="text1"/>
        </w:rPr>
      </w:pPr>
      <w:r w:rsidRPr="003F0091">
        <w:rPr>
          <w:rFonts w:cs="Times New Roman"/>
          <w:color w:val="000000" w:themeColor="text1"/>
        </w:rPr>
        <w:br w:type="page"/>
      </w:r>
    </w:p>
    <w:p w14:paraId="30B8A716" w14:textId="77777777" w:rsidR="00BB138C" w:rsidRPr="003F0091" w:rsidRDefault="00BB138C" w:rsidP="00BB138C">
      <w:pPr>
        <w:pStyle w:val="NormalWeb"/>
        <w:jc w:val="both"/>
        <w:rPr>
          <w:color w:val="000000" w:themeColor="text1"/>
        </w:rPr>
      </w:pPr>
      <w:r w:rsidRPr="003F0091">
        <w:rPr>
          <w:noProof/>
          <w:color w:val="000000" w:themeColor="text1"/>
        </w:rPr>
        <w:lastRenderedPageBreak/>
        <w:drawing>
          <wp:inline distT="0" distB="0" distL="0" distR="0" wp14:anchorId="4EECAFD2" wp14:editId="6921E55A">
            <wp:extent cx="5715000" cy="5715000"/>
            <wp:effectExtent l="0" t="0" r="0" b="0"/>
            <wp:docPr id="1234977121" name="Picture 1234977121" descr="A picture containing text, screenshot, diagram, plo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75394684" name="Picture 1" descr="A picture containing text, screenshot, diagram, plot&#10;&#10;Description automatically generated"/>
                    <pic:cNvPicPr/>
                  </pic:nvPicPr>
                  <pic:blipFill>
                    <a:blip r:embed="rId56" cstate="print">
                      <a:extLst>
                        <a:ext uri="{28A0092B-C50C-407E-A947-70E740481C1C}">
                          <a14:useLocalDpi xmlns:a14="http://schemas.microsoft.com/office/drawing/2010/main" val="0"/>
                        </a:ext>
                      </a:extLst>
                    </a:blip>
                    <a:stretch>
                      <a:fillRect/>
                    </a:stretch>
                  </pic:blipFill>
                  <pic:spPr>
                    <a:xfrm>
                      <a:off x="0" y="0"/>
                      <a:ext cx="5715000" cy="5715000"/>
                    </a:xfrm>
                    <a:prstGeom prst="rect">
                      <a:avLst/>
                    </a:prstGeom>
                  </pic:spPr>
                </pic:pic>
              </a:graphicData>
            </a:graphic>
          </wp:inline>
        </w:drawing>
      </w:r>
    </w:p>
    <w:p w14:paraId="36EEC60B" w14:textId="5F4D9AEA" w:rsidR="00BB138C" w:rsidRPr="003F0091" w:rsidRDefault="00BB138C" w:rsidP="00BB138C">
      <w:pPr>
        <w:pStyle w:val="TOCFigures1"/>
      </w:pPr>
      <w:bookmarkStart w:id="730" w:name="_Toc141478853"/>
      <w:r w:rsidRPr="003F0091">
        <w:rPr>
          <w:b/>
          <w:bCs/>
        </w:rPr>
        <w:t xml:space="preserve">Figure </w:t>
      </w:r>
      <w:r w:rsidR="00BA2365">
        <w:rPr>
          <w:b/>
          <w:bCs/>
        </w:rPr>
        <w:t>5.</w:t>
      </w:r>
      <w:r w:rsidRPr="003F0091">
        <w:rPr>
          <w:b/>
          <w:bCs/>
        </w:rPr>
        <w:t xml:space="preserve">14. </w:t>
      </w:r>
      <w:r w:rsidRPr="003F0091">
        <w:t>Volcano plot showing global transcriptional change between the Natural Light Control (T4) and High Pressure Sodium treatment (T3). All the genes are plotted and each data point represents a gene. The log2 fold change of each gene is represented on the x-axis and the log10 of its adjusted p-value is on the y-axis. Genes with an adjusted p-value less than 0.05 and a log2 fold change greater than 1 are indicated by red dots, which represent upregulated genes. Genes with an adjusted p-value less than 0.05 and a log2 fold change less than -1 are indicated by blue dots, which represent downregulated genes.</w:t>
      </w:r>
      <w:bookmarkEnd w:id="730"/>
    </w:p>
    <w:p w14:paraId="01305FAE" w14:textId="77777777" w:rsidR="00BB138C" w:rsidRDefault="00BB138C" w:rsidP="00BB138C"/>
    <w:p w14:paraId="72E60AFC" w14:textId="77777777" w:rsidR="00C703D9" w:rsidRDefault="00C703D9">
      <w:pPr>
        <w:spacing w:line="240" w:lineRule="auto"/>
      </w:pPr>
    </w:p>
    <w:p w14:paraId="05EE5B20" w14:textId="77777777" w:rsidR="00C703D9" w:rsidRDefault="00C703D9">
      <w:pPr>
        <w:spacing w:line="240" w:lineRule="auto"/>
      </w:pPr>
    </w:p>
    <w:p w14:paraId="0D8964EB" w14:textId="77777777" w:rsidR="00C703D9" w:rsidRDefault="00C703D9">
      <w:pPr>
        <w:spacing w:line="240" w:lineRule="auto"/>
      </w:pPr>
    </w:p>
    <w:p w14:paraId="429AACCD" w14:textId="77777777" w:rsidR="00C703D9" w:rsidRDefault="00C703D9">
      <w:pPr>
        <w:spacing w:line="240" w:lineRule="auto"/>
      </w:pPr>
    </w:p>
    <w:p w14:paraId="3F48844A" w14:textId="77777777" w:rsidR="00C703D9" w:rsidRDefault="00C703D9">
      <w:pPr>
        <w:spacing w:line="240" w:lineRule="auto"/>
      </w:pPr>
    </w:p>
    <w:p w14:paraId="370391B0" w14:textId="77777777" w:rsidR="00C703D9" w:rsidRDefault="00C703D9">
      <w:pPr>
        <w:spacing w:line="240" w:lineRule="auto"/>
      </w:pPr>
    </w:p>
    <w:p w14:paraId="4DE82FE5" w14:textId="77777777" w:rsidR="00C703D9" w:rsidRDefault="00C703D9">
      <w:pPr>
        <w:spacing w:line="240" w:lineRule="auto"/>
      </w:pPr>
    </w:p>
    <w:p w14:paraId="197B0723" w14:textId="77777777" w:rsidR="006B7E87" w:rsidRPr="007F77C5" w:rsidRDefault="006B7E87" w:rsidP="006B7E87">
      <w:pPr>
        <w:rPr>
          <w:rFonts w:cs="Times New Roman"/>
        </w:rPr>
      </w:pPr>
    </w:p>
    <w:p w14:paraId="1FCD7C98" w14:textId="77777777" w:rsidR="006B7E87" w:rsidRPr="007F77C5" w:rsidRDefault="006B7E87" w:rsidP="006B7E87">
      <w:pPr>
        <w:rPr>
          <w:rFonts w:cs="Times New Roman"/>
        </w:rPr>
      </w:pPr>
    </w:p>
    <w:p w14:paraId="29319382" w14:textId="77777777" w:rsidR="006B7E87" w:rsidRPr="007F77C5" w:rsidRDefault="006B7E87" w:rsidP="006B7E87">
      <w:pPr>
        <w:rPr>
          <w:rFonts w:cs="Times New Roman"/>
        </w:rPr>
      </w:pPr>
    </w:p>
    <w:p w14:paraId="6DF4B638" w14:textId="77777777" w:rsidR="006B7E87" w:rsidRPr="007F77C5" w:rsidRDefault="006B7E87" w:rsidP="006B7E87">
      <w:pPr>
        <w:rPr>
          <w:rFonts w:cs="Times New Roman"/>
        </w:rPr>
      </w:pPr>
    </w:p>
    <w:p w14:paraId="5FFF73EF" w14:textId="77777777" w:rsidR="006B7E87" w:rsidRPr="007F77C5" w:rsidRDefault="006B7E87" w:rsidP="006B7E87">
      <w:pPr>
        <w:rPr>
          <w:rFonts w:cs="Times New Roman"/>
        </w:rPr>
      </w:pPr>
    </w:p>
    <w:p w14:paraId="660F7FBF" w14:textId="77777777" w:rsidR="006B7E87" w:rsidRPr="007F77C5" w:rsidRDefault="006B7E87" w:rsidP="006B7E87">
      <w:pPr>
        <w:rPr>
          <w:rFonts w:cs="Times New Roman"/>
        </w:rPr>
      </w:pPr>
    </w:p>
    <w:p w14:paraId="7BA4C01D" w14:textId="77777777" w:rsidR="006B7E87" w:rsidRPr="007F77C5" w:rsidRDefault="006B7E87" w:rsidP="006B7E87">
      <w:pPr>
        <w:rPr>
          <w:rFonts w:cs="Times New Roman"/>
        </w:rPr>
      </w:pPr>
    </w:p>
    <w:p w14:paraId="7A6B10CB" w14:textId="77777777" w:rsidR="006B7E87" w:rsidRPr="007F77C5" w:rsidRDefault="006B7E87" w:rsidP="006B7E87">
      <w:pPr>
        <w:rPr>
          <w:rFonts w:cs="Times New Roman"/>
        </w:rPr>
      </w:pPr>
    </w:p>
    <w:p w14:paraId="78702A1D" w14:textId="59E9FE09" w:rsidR="006B7E87" w:rsidRPr="002A134C" w:rsidRDefault="006B7E87" w:rsidP="006B7E87">
      <w:pPr>
        <w:pStyle w:val="MastersThesisChapter"/>
        <w:framePr w:wrap="around"/>
      </w:pPr>
      <w:bookmarkStart w:id="731" w:name="_Toc139574879"/>
      <w:bookmarkStart w:id="732" w:name="_Toc141478749"/>
      <w:r w:rsidRPr="007F77C5">
        <w:t xml:space="preserve">CHAPTER </w:t>
      </w:r>
      <w:r>
        <w:t>6: CONCLUSION</w:t>
      </w:r>
      <w:bookmarkEnd w:id="731"/>
      <w:bookmarkEnd w:id="732"/>
    </w:p>
    <w:p w14:paraId="020C89CF" w14:textId="77777777" w:rsidR="006B7E87" w:rsidRPr="007F77C5" w:rsidRDefault="006B7E87" w:rsidP="006B7E87">
      <w:pPr>
        <w:pStyle w:val="MastersThesisChapter"/>
        <w:framePr w:wrap="around"/>
        <w:rPr>
          <w:rFonts w:cs="Times New Roman"/>
        </w:rPr>
      </w:pPr>
    </w:p>
    <w:p w14:paraId="360F73A3" w14:textId="77777777" w:rsidR="006B7E87" w:rsidRPr="007F77C5" w:rsidRDefault="006B7E87" w:rsidP="006B7E87">
      <w:pPr>
        <w:rPr>
          <w:rFonts w:cs="Times New Roman"/>
        </w:rPr>
      </w:pPr>
      <w:r w:rsidRPr="007F77C5">
        <w:rPr>
          <w:rFonts w:cs="Times New Roman"/>
        </w:rPr>
        <w:br w:type="page"/>
      </w:r>
    </w:p>
    <w:p w14:paraId="241F38BC" w14:textId="77777777" w:rsidR="00C703D9" w:rsidRDefault="00C703D9">
      <w:pPr>
        <w:spacing w:line="240" w:lineRule="auto"/>
      </w:pPr>
    </w:p>
    <w:p w14:paraId="1C87ACF1" w14:textId="74EBD92F" w:rsidR="00F90432" w:rsidRDefault="00F90432" w:rsidP="00F90432">
      <w:pPr>
        <w:pStyle w:val="MastersThesisMainTitle"/>
      </w:pPr>
      <w:bookmarkStart w:id="733" w:name="_Toc139574880"/>
      <w:bookmarkStart w:id="734" w:name="_Toc141478750"/>
      <w:r>
        <w:t>Conclusion</w:t>
      </w:r>
      <w:bookmarkEnd w:id="733"/>
      <w:bookmarkEnd w:id="734"/>
    </w:p>
    <w:p w14:paraId="3F5A3940" w14:textId="4556FDEA" w:rsidR="00B34756" w:rsidRDefault="00B34756" w:rsidP="006B3F54">
      <w:pPr>
        <w:pStyle w:val="MSThesisBodyTextJustified"/>
      </w:pPr>
      <w:r>
        <w:t>This dissertation has provided a comprehensive exploration of how spectral quality from supplemental lighting and seasonal changes impact primary and secondary metabolism in hydroponically grown greenhouse basil. The study has made several critical contributions to the field, advancing our understanding of plant/light interactions, and providing practical insights for the horticulture lighting industry.</w:t>
      </w:r>
    </w:p>
    <w:p w14:paraId="24A1B7CB" w14:textId="3557D113" w:rsidR="00B34756" w:rsidRDefault="00B34756" w:rsidP="006B3F54">
      <w:pPr>
        <w:pStyle w:val="MSThesisBodyTextJustified"/>
      </w:pPr>
      <w:r>
        <w:t>In Phase 1, we evaluated different basil varieties, establishing a baseline for aroma volatile profiles and concentrations of key secondary metabolites. This phase brought to light the inherent variability among basil varieties and set the stage for subsequent phases.</w:t>
      </w:r>
    </w:p>
    <w:p w14:paraId="12788DD9" w14:textId="04FCA24B" w:rsidR="00B34756" w:rsidRDefault="00B34756" w:rsidP="006B3F54">
      <w:pPr>
        <w:pStyle w:val="MSThesisBodyTextJustified"/>
      </w:pPr>
      <w:r>
        <w:t>Phase 2 built on these initial findings, using discrete narrow-band blue/red (B/R) wavelengths to investigate their impact on aroma volatile concentrations and secondary metabolic resource partitioning in basil. The results underscored the influence of both seasonal and supplemental lighting effects on plant metabolism and highlighted the potential of manipulating B/R wavelengths to enhance flavor and phytonutrient content.</w:t>
      </w:r>
    </w:p>
    <w:p w14:paraId="65C0A7EB" w14:textId="6AEAC94C" w:rsidR="00B34756" w:rsidRDefault="00B34756" w:rsidP="006B3F54">
      <w:pPr>
        <w:pStyle w:val="MSThesisBodyTextJustified"/>
      </w:pPr>
      <w:r>
        <w:t>In Phase 3, we extended this investigation to full spectrum white LEDs and HPS, comparing their impacts on yield and nutrient accumulation with the optimal narrowband B/R identified in Phase 2. This comparative analysis deepened our understanding of the unique benefits of different lighting regimes.</w:t>
      </w:r>
    </w:p>
    <w:p w14:paraId="2AF6DB88" w14:textId="77777777" w:rsidR="00B34756" w:rsidRDefault="00B34756" w:rsidP="006B3F54">
      <w:pPr>
        <w:pStyle w:val="MSThesisBodyTextJustified"/>
      </w:pPr>
      <w:r>
        <w:t>Finally, in Phase 4, we integrated all previous phases to compare the best narrowband and full spectrum treatments with a traditional HPS treatment and natural light control. Through an interdisciplinary approach that combined photosynthetic and primary metabolic data, sensory panel results, and mRNA sequencing data, we identified a light treatment that optimally balances yield, nutrient content, and flavor preference.</w:t>
      </w:r>
    </w:p>
    <w:p w14:paraId="7B260D68" w14:textId="4C394F56" w:rsidR="00B34756" w:rsidRDefault="00B34756" w:rsidP="006B3F54">
      <w:pPr>
        <w:pStyle w:val="MSThesisBodyTextJustified"/>
      </w:pPr>
      <w:r>
        <w:lastRenderedPageBreak/>
        <w:t>These findings have significant implications for LED manufacturers and commercial growers, providing them with evidence-based guidance on selecting lighting regimes to maximize crop yield and quality.</w:t>
      </w:r>
    </w:p>
    <w:p w14:paraId="4F5DDE38" w14:textId="2AC37628" w:rsidR="008575A4" w:rsidRDefault="00B34756" w:rsidP="006B3F54">
      <w:pPr>
        <w:pStyle w:val="MSThesisBodyTextJustified"/>
      </w:pPr>
      <w:r>
        <w:t>Looking forward, there are several promising directions for future research. Extending this research to other high-value specialty crops could reveal whether similar lighting strategies can enhance their yield and quality. Additionally, exploring the molecular mechanisms underlying plant responses to different light spectra could deepen our understanding of light-mediated physiological responses. Finally, it would be beneficial to investigate the long-term sustainability of these lighting strategies in terms of energy efficiency and environmental impact.</w:t>
      </w:r>
      <w:r w:rsidR="006B3F54">
        <w:t xml:space="preserve"> </w:t>
      </w:r>
      <w:r>
        <w:t>In conclusion, this dissertation significantly broadens our understanding of the complex interplay between light conditions and plant physiology, providing a solid foundation for future research and innovation in controlled environment agriculture.</w:t>
      </w:r>
    </w:p>
    <w:p w14:paraId="238C0A52" w14:textId="77777777" w:rsidR="008575A4" w:rsidRDefault="008575A4" w:rsidP="00F90432"/>
    <w:p w14:paraId="6FC8EEED" w14:textId="0A82F13D" w:rsidR="008575A4" w:rsidRDefault="008575A4" w:rsidP="00F90432">
      <w:r>
        <w:br w:type="page"/>
      </w:r>
    </w:p>
    <w:p w14:paraId="5C6D5D71" w14:textId="3710673E" w:rsidR="008575A4" w:rsidRDefault="008575A4" w:rsidP="008575A4">
      <w:pPr>
        <w:pStyle w:val="MastersThesisMainTitle"/>
      </w:pPr>
      <w:bookmarkStart w:id="735" w:name="_Toc141478751"/>
      <w:r>
        <w:lastRenderedPageBreak/>
        <w:t>V</w:t>
      </w:r>
      <w:r w:rsidR="001D1BFC">
        <w:t>ITA</w:t>
      </w:r>
      <w:bookmarkEnd w:id="735"/>
    </w:p>
    <w:p w14:paraId="0D3CC32C" w14:textId="54A1D046" w:rsidR="00DF2C4F" w:rsidRDefault="00DF2C4F" w:rsidP="00DF2C4F">
      <w:pPr>
        <w:pStyle w:val="MSThesisBodyTextJustified"/>
      </w:pPr>
      <w:r>
        <w:t>Hunter Hammock is a young leader with a growing legacy. He has always been dedicated to his research and serving others. He began his college career at UT in 2010, studying chemistry and psychology. During his time there, he completed over 240 hours of undergraduate community service and was chapter president of NSLS UTK, a leadership organization with over 5,100 members.</w:t>
      </w:r>
    </w:p>
    <w:p w14:paraId="0B9E5E2A" w14:textId="5EBFE385" w:rsidR="00DF2C4F" w:rsidRDefault="00DF2C4F" w:rsidP="00DF2C4F">
      <w:pPr>
        <w:pStyle w:val="MSThesisBodyTextJustified"/>
      </w:pPr>
      <w:r>
        <w:t xml:space="preserve">During his senior year of college, he started working in Dr. Carl Sams’ plant physiology lab. He became passionate about using his organic and analytical chemistry background in combination with controlled environment agriculture to improve current practices and provide high-quality, sustainable food sources. He obtained a BS degree from UTK in May 2015, and accepted a graduate research/teaching assistantship to study the impact of LED lighting on high-value specialty crop production and basil flavor volatile profiles. </w:t>
      </w:r>
    </w:p>
    <w:p w14:paraId="6F8111F7" w14:textId="43F96484" w:rsidR="00DF2C4F" w:rsidRDefault="00DF2C4F" w:rsidP="00DF2C4F">
      <w:pPr>
        <w:pStyle w:val="MSThesisBodyTextJustified"/>
      </w:pPr>
      <w:r>
        <w:t xml:space="preserve">Hunter graduated with his MS degree in Plant Sciences in May 2018 and is continuing his research at UTK in pursuit of his doctorate, expecting to graduate in Spring 2023. He served as the Graduate Student Senate President from 2021-2022, and currently serves as chapter advisor of NSLS UTK, in addition to other leadership roles and committees on campus. </w:t>
      </w:r>
    </w:p>
    <w:p w14:paraId="6D9FD358" w14:textId="5191FDD0" w:rsidR="00DF2C4F" w:rsidRDefault="00DF2C4F" w:rsidP="00DF2C4F">
      <w:pPr>
        <w:pStyle w:val="MSThesisBodyTextJustified"/>
      </w:pPr>
      <w:r>
        <w:t>After graduation, Hunter wants to continue research in an industry or academic setting. His primary interests include flavor chemistry, LED lighting, spectral quality’s interaction with plant secondary metabolism, high-value specialty crops, greenhouse production, hydroponics, and human nutrition. He is driven to continue this research and mentor others in our field because of the fundamental impact it can make on society.</w:t>
      </w:r>
    </w:p>
    <w:p w14:paraId="56E397E6" w14:textId="277BD00E" w:rsidR="008575A4" w:rsidRDefault="00DF2C4F" w:rsidP="00DF2C4F">
      <w:pPr>
        <w:pStyle w:val="MSThesisBodyTextJustified"/>
      </w:pPr>
      <w:r>
        <w:t xml:space="preserve">Hunter hopes to leave behind a legacy that reflects his amazing opportunities and experiences at UTK. For all that he has gained on the path to this degree, he wants to give back by </w:t>
      </w:r>
      <w:r>
        <w:lastRenderedPageBreak/>
        <w:t>doing what others have done for him -- encourage those around him, inspire those he works among, and not only have, but instill faith in those who look up to him. Hunter is proud to be continuing the legacy of his grandparents, who were highly involved in agriculture. He looks forward to leaving a legacy that will continue to grow and flourish for generations to come.</w:t>
      </w:r>
    </w:p>
    <w:p w14:paraId="270D5380" w14:textId="77777777" w:rsidR="00C703D9" w:rsidRDefault="00C703D9">
      <w:pPr>
        <w:spacing w:line="240" w:lineRule="auto"/>
      </w:pPr>
    </w:p>
    <w:p w14:paraId="2336F374" w14:textId="77777777" w:rsidR="00C703D9" w:rsidRDefault="00C703D9">
      <w:pPr>
        <w:spacing w:line="240" w:lineRule="auto"/>
      </w:pPr>
    </w:p>
    <w:p w14:paraId="725F9830" w14:textId="77777777" w:rsidR="00C703D9" w:rsidRDefault="00C703D9">
      <w:pPr>
        <w:spacing w:line="240" w:lineRule="auto"/>
      </w:pPr>
    </w:p>
    <w:p w14:paraId="17835A52" w14:textId="77777777" w:rsidR="00C703D9" w:rsidRDefault="00C703D9">
      <w:pPr>
        <w:spacing w:line="240" w:lineRule="auto"/>
      </w:pPr>
    </w:p>
    <w:p w14:paraId="4952137E" w14:textId="7B91E8AA" w:rsidR="009B10FB" w:rsidRDefault="009B10FB" w:rsidP="00C703D9">
      <w:pPr>
        <w:pStyle w:val="MastersThesisChapter"/>
        <w:framePr w:wrap="around"/>
      </w:pPr>
    </w:p>
    <w:sectPr w:rsidR="009B10FB" w:rsidSect="00BB138C">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51AC604" w14:textId="77777777" w:rsidR="00587674" w:rsidRDefault="00587674" w:rsidP="00BB138C">
      <w:pPr>
        <w:spacing w:line="240" w:lineRule="auto"/>
      </w:pPr>
      <w:r>
        <w:separator/>
      </w:r>
    </w:p>
  </w:endnote>
  <w:endnote w:type="continuationSeparator" w:id="0">
    <w:p w14:paraId="2E460BA9" w14:textId="77777777" w:rsidR="00587674" w:rsidRDefault="00587674" w:rsidP="00BB138C">
      <w:pPr>
        <w:spacing w:line="240" w:lineRule="auto"/>
      </w:pPr>
      <w:r>
        <w:continuationSeparator/>
      </w:r>
    </w:p>
  </w:endnote>
  <w:endnote w:type="continuationNotice" w:id="1">
    <w:p w14:paraId="61725A78" w14:textId="77777777" w:rsidR="00587674" w:rsidRDefault="00587674">
      <w:pPr>
        <w:spacing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2FF" w:usb1="400004FF" w:usb2="00000000" w:usb3="00000000" w:csb0="0000019F" w:csb1="00000000"/>
  </w:font>
  <w:font w:name="Arial">
    <w:panose1 w:val="020B0604020202020204"/>
    <w:charset w:val="00"/>
    <w:family w:val="swiss"/>
    <w:pitch w:val="variable"/>
    <w:sig w:usb0="E0002AFF" w:usb1="C0007843" w:usb2="00000009" w:usb3="00000000" w:csb0="000001FF" w:csb1="00000000"/>
  </w:font>
  <w:font w:name="MS PGothic">
    <w:panose1 w:val="020B0600070205080204"/>
    <w:charset w:val="80"/>
    <w:family w:val="swiss"/>
    <w:pitch w:val="variable"/>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48A801D" w14:textId="77777777" w:rsidR="002044E5" w:rsidRDefault="00000000" w:rsidP="00BB138C">
    <w:pPr>
      <w:pStyle w:val="Footer"/>
      <w:framePr w:wrap="none"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iii</w:t>
    </w:r>
    <w:r>
      <w:rPr>
        <w:rStyle w:val="PageNumber"/>
      </w:rPr>
      <w:fldChar w:fldCharType="end"/>
    </w:r>
  </w:p>
  <w:p w14:paraId="3061CA0E" w14:textId="77777777" w:rsidR="002044E5" w:rsidRDefault="002044E5">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7C52FB4" w14:textId="77777777" w:rsidR="002044E5" w:rsidRDefault="00000000" w:rsidP="00BB138C">
    <w:pPr>
      <w:pStyle w:val="Footer"/>
      <w:framePr w:wrap="none"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172</w:t>
    </w:r>
    <w:r>
      <w:rPr>
        <w:rStyle w:val="PageNumber"/>
      </w:rPr>
      <w:fldChar w:fldCharType="end"/>
    </w:r>
  </w:p>
  <w:p w14:paraId="32C3B78D" w14:textId="77777777" w:rsidR="002044E5" w:rsidRDefault="002044E5">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FBEDC2B" w14:textId="77777777" w:rsidR="00BB138C" w:rsidRDefault="00BB138C" w:rsidP="003A3E96">
    <w:pPr>
      <w:pStyle w:val="Footer"/>
      <w:framePr w:wrap="none"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172</w:t>
    </w:r>
    <w:r>
      <w:rPr>
        <w:rStyle w:val="PageNumber"/>
      </w:rPr>
      <w:fldChar w:fldCharType="end"/>
    </w:r>
  </w:p>
  <w:p w14:paraId="6811452B" w14:textId="77777777" w:rsidR="00BB138C" w:rsidRDefault="00BB138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192F689" w14:textId="77777777" w:rsidR="00587674" w:rsidRDefault="00587674" w:rsidP="00BB138C">
      <w:pPr>
        <w:spacing w:line="240" w:lineRule="auto"/>
      </w:pPr>
      <w:r>
        <w:separator/>
      </w:r>
    </w:p>
  </w:footnote>
  <w:footnote w:type="continuationSeparator" w:id="0">
    <w:p w14:paraId="4E8F2DA8" w14:textId="77777777" w:rsidR="00587674" w:rsidRDefault="00587674" w:rsidP="00BB138C">
      <w:pPr>
        <w:spacing w:line="240" w:lineRule="auto"/>
      </w:pPr>
      <w:r>
        <w:continuationSeparator/>
      </w:r>
    </w:p>
  </w:footnote>
  <w:footnote w:type="continuationNotice" w:id="1">
    <w:p w14:paraId="1393F388" w14:textId="77777777" w:rsidR="00587674" w:rsidRDefault="00587674">
      <w:pPr>
        <w:spacing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F6941F8" w14:textId="77777777" w:rsidR="00AE778C" w:rsidRDefault="00AE778C">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1D"/>
    <w:multiLevelType w:val="multilevel"/>
    <w:tmpl w:val="F288F9BE"/>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FFFFFF7C"/>
    <w:multiLevelType w:val="singleLevel"/>
    <w:tmpl w:val="848A3C9C"/>
    <w:lvl w:ilvl="0">
      <w:start w:val="1"/>
      <w:numFmt w:val="decimal"/>
      <w:lvlText w:val="%1."/>
      <w:lvlJc w:val="left"/>
      <w:pPr>
        <w:tabs>
          <w:tab w:val="num" w:pos="1800"/>
        </w:tabs>
        <w:ind w:left="1800" w:hanging="360"/>
      </w:pPr>
    </w:lvl>
  </w:abstractNum>
  <w:abstractNum w:abstractNumId="2" w15:restartNumberingAfterBreak="0">
    <w:nsid w:val="FFFFFF7D"/>
    <w:multiLevelType w:val="singleLevel"/>
    <w:tmpl w:val="8048DF16"/>
    <w:lvl w:ilvl="0">
      <w:start w:val="1"/>
      <w:numFmt w:val="decimal"/>
      <w:lvlText w:val="%1."/>
      <w:lvlJc w:val="left"/>
      <w:pPr>
        <w:tabs>
          <w:tab w:val="num" w:pos="1440"/>
        </w:tabs>
        <w:ind w:left="1440" w:hanging="360"/>
      </w:pPr>
    </w:lvl>
  </w:abstractNum>
  <w:abstractNum w:abstractNumId="3" w15:restartNumberingAfterBreak="0">
    <w:nsid w:val="FFFFFF7E"/>
    <w:multiLevelType w:val="singleLevel"/>
    <w:tmpl w:val="F020B40E"/>
    <w:lvl w:ilvl="0">
      <w:start w:val="1"/>
      <w:numFmt w:val="decimal"/>
      <w:lvlText w:val="%1."/>
      <w:lvlJc w:val="left"/>
      <w:pPr>
        <w:tabs>
          <w:tab w:val="num" w:pos="1080"/>
        </w:tabs>
        <w:ind w:left="1080" w:hanging="360"/>
      </w:pPr>
    </w:lvl>
  </w:abstractNum>
  <w:abstractNum w:abstractNumId="4" w15:restartNumberingAfterBreak="0">
    <w:nsid w:val="FFFFFF7F"/>
    <w:multiLevelType w:val="singleLevel"/>
    <w:tmpl w:val="16924124"/>
    <w:lvl w:ilvl="0">
      <w:start w:val="1"/>
      <w:numFmt w:val="decimal"/>
      <w:lvlText w:val="%1."/>
      <w:lvlJc w:val="left"/>
      <w:pPr>
        <w:tabs>
          <w:tab w:val="num" w:pos="720"/>
        </w:tabs>
        <w:ind w:left="720" w:hanging="360"/>
      </w:pPr>
    </w:lvl>
  </w:abstractNum>
  <w:abstractNum w:abstractNumId="5" w15:restartNumberingAfterBreak="0">
    <w:nsid w:val="FFFFFF80"/>
    <w:multiLevelType w:val="singleLevel"/>
    <w:tmpl w:val="C2DE6D56"/>
    <w:lvl w:ilvl="0">
      <w:start w:val="1"/>
      <w:numFmt w:val="bullet"/>
      <w:lvlText w:val=""/>
      <w:lvlJc w:val="left"/>
      <w:pPr>
        <w:tabs>
          <w:tab w:val="num" w:pos="1800"/>
        </w:tabs>
        <w:ind w:left="1800" w:hanging="360"/>
      </w:pPr>
      <w:rPr>
        <w:rFonts w:ascii="Symbol" w:hAnsi="Symbol" w:hint="default"/>
      </w:rPr>
    </w:lvl>
  </w:abstractNum>
  <w:abstractNum w:abstractNumId="6" w15:restartNumberingAfterBreak="0">
    <w:nsid w:val="FFFFFF81"/>
    <w:multiLevelType w:val="singleLevel"/>
    <w:tmpl w:val="FE5C9550"/>
    <w:lvl w:ilvl="0">
      <w:start w:val="1"/>
      <w:numFmt w:val="bullet"/>
      <w:lvlText w:val=""/>
      <w:lvlJc w:val="left"/>
      <w:pPr>
        <w:tabs>
          <w:tab w:val="num" w:pos="1440"/>
        </w:tabs>
        <w:ind w:left="1440" w:hanging="360"/>
      </w:pPr>
      <w:rPr>
        <w:rFonts w:ascii="Symbol" w:hAnsi="Symbol" w:hint="default"/>
      </w:rPr>
    </w:lvl>
  </w:abstractNum>
  <w:abstractNum w:abstractNumId="7" w15:restartNumberingAfterBreak="0">
    <w:nsid w:val="FFFFFF82"/>
    <w:multiLevelType w:val="singleLevel"/>
    <w:tmpl w:val="97F05E7C"/>
    <w:lvl w:ilvl="0">
      <w:start w:val="1"/>
      <w:numFmt w:val="bullet"/>
      <w:lvlText w:val=""/>
      <w:lvlJc w:val="left"/>
      <w:pPr>
        <w:tabs>
          <w:tab w:val="num" w:pos="1080"/>
        </w:tabs>
        <w:ind w:left="1080" w:hanging="360"/>
      </w:pPr>
      <w:rPr>
        <w:rFonts w:ascii="Symbol" w:hAnsi="Symbol" w:hint="default"/>
      </w:rPr>
    </w:lvl>
  </w:abstractNum>
  <w:abstractNum w:abstractNumId="8" w15:restartNumberingAfterBreak="0">
    <w:nsid w:val="FFFFFF83"/>
    <w:multiLevelType w:val="singleLevel"/>
    <w:tmpl w:val="4A7A9F7A"/>
    <w:lvl w:ilvl="0">
      <w:start w:val="1"/>
      <w:numFmt w:val="bullet"/>
      <w:lvlText w:val=""/>
      <w:lvlJc w:val="left"/>
      <w:pPr>
        <w:tabs>
          <w:tab w:val="num" w:pos="720"/>
        </w:tabs>
        <w:ind w:left="720" w:hanging="360"/>
      </w:pPr>
      <w:rPr>
        <w:rFonts w:ascii="Symbol" w:hAnsi="Symbol" w:hint="default"/>
      </w:rPr>
    </w:lvl>
  </w:abstractNum>
  <w:abstractNum w:abstractNumId="9" w15:restartNumberingAfterBreak="0">
    <w:nsid w:val="FFFFFF88"/>
    <w:multiLevelType w:val="singleLevel"/>
    <w:tmpl w:val="83DC368A"/>
    <w:lvl w:ilvl="0">
      <w:start w:val="1"/>
      <w:numFmt w:val="decimal"/>
      <w:lvlText w:val="%1."/>
      <w:lvlJc w:val="left"/>
      <w:pPr>
        <w:tabs>
          <w:tab w:val="num" w:pos="360"/>
        </w:tabs>
        <w:ind w:left="360" w:hanging="360"/>
      </w:pPr>
    </w:lvl>
  </w:abstractNum>
  <w:abstractNum w:abstractNumId="10" w15:restartNumberingAfterBreak="0">
    <w:nsid w:val="FFFFFF89"/>
    <w:multiLevelType w:val="singleLevel"/>
    <w:tmpl w:val="ADE26352"/>
    <w:lvl w:ilvl="0">
      <w:start w:val="1"/>
      <w:numFmt w:val="bullet"/>
      <w:lvlText w:val=""/>
      <w:lvlJc w:val="left"/>
      <w:pPr>
        <w:tabs>
          <w:tab w:val="num" w:pos="360"/>
        </w:tabs>
        <w:ind w:left="360" w:hanging="360"/>
      </w:pPr>
      <w:rPr>
        <w:rFonts w:ascii="Symbol" w:hAnsi="Symbol" w:hint="default"/>
      </w:rPr>
    </w:lvl>
  </w:abstractNum>
  <w:abstractNum w:abstractNumId="11" w15:restartNumberingAfterBreak="0">
    <w:nsid w:val="16FF579E"/>
    <w:multiLevelType w:val="multilevel"/>
    <w:tmpl w:val="1C58A8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4C593BA5"/>
    <w:multiLevelType w:val="hybridMultilevel"/>
    <w:tmpl w:val="AF8ACE56"/>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66CF6754"/>
    <w:multiLevelType w:val="hybridMultilevel"/>
    <w:tmpl w:val="5826097E"/>
    <w:lvl w:ilvl="0" w:tplc="04090019">
      <w:start w:val="1"/>
      <w:numFmt w:val="lowerLetter"/>
      <w:lvlText w:val="%1."/>
      <w:lvlJc w:val="left"/>
      <w:pPr>
        <w:ind w:left="720" w:hanging="360"/>
      </w:pPr>
      <w:rPr>
        <w:rFonts w:hint="default"/>
      </w:rPr>
    </w:lvl>
    <w:lvl w:ilvl="1" w:tplc="710C7D18">
      <w:start w:val="9"/>
      <w:numFmt w:val="decimal"/>
      <w:lvlText w:val="%2)"/>
      <w:lvlJc w:val="left"/>
      <w:pPr>
        <w:tabs>
          <w:tab w:val="num" w:pos="1440"/>
        </w:tabs>
        <w:ind w:left="1440" w:hanging="360"/>
      </w:pPr>
      <w:rPr>
        <w:rFonts w:hint="default"/>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num w:numId="1" w16cid:durableId="56713157">
    <w:abstractNumId w:val="11"/>
  </w:num>
  <w:num w:numId="2" w16cid:durableId="1224414326">
    <w:abstractNumId w:val="0"/>
  </w:num>
  <w:num w:numId="3" w16cid:durableId="389813720">
    <w:abstractNumId w:val="13"/>
  </w:num>
  <w:num w:numId="4" w16cid:durableId="740635905">
    <w:abstractNumId w:val="12"/>
  </w:num>
  <w:num w:numId="5" w16cid:durableId="500046690">
    <w:abstractNumId w:val="1"/>
  </w:num>
  <w:num w:numId="6" w16cid:durableId="1206797035">
    <w:abstractNumId w:val="2"/>
  </w:num>
  <w:num w:numId="7" w16cid:durableId="1670449473">
    <w:abstractNumId w:val="3"/>
  </w:num>
  <w:num w:numId="8" w16cid:durableId="653682900">
    <w:abstractNumId w:val="4"/>
  </w:num>
  <w:num w:numId="9" w16cid:durableId="1200431192">
    <w:abstractNumId w:val="9"/>
  </w:num>
  <w:num w:numId="10" w16cid:durableId="2012752394">
    <w:abstractNumId w:val="5"/>
  </w:num>
  <w:num w:numId="11" w16cid:durableId="165902548">
    <w:abstractNumId w:val="6"/>
  </w:num>
  <w:num w:numId="12" w16cid:durableId="659191630">
    <w:abstractNumId w:val="7"/>
  </w:num>
  <w:num w:numId="13" w16cid:durableId="988289490">
    <w:abstractNumId w:val="8"/>
  </w:num>
  <w:num w:numId="14" w16cid:durableId="940524621">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stylePaneFormatFilter w:val="3F21" w:allStyles="1" w:customStyles="0" w:latentStyles="0" w:stylesInUse="0" w:headingStyles="1"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EN.InstantFormat" w:val="&lt;ENInstantFormat&gt;&lt;Enabled&gt;1&lt;/Enabled&gt;&lt;ScanUnformatted&gt;1&lt;/ScanUnformatted&gt;&lt;ScanChanges&gt;1&lt;/ScanChanges&gt;&lt;Suspended&gt;1&lt;/Suspended&gt;&lt;/ENInstantFormat&gt;"/>
  </w:docVars>
  <w:rsids>
    <w:rsidRoot w:val="00126D8D"/>
    <w:rsid w:val="00002531"/>
    <w:rsid w:val="00002BF6"/>
    <w:rsid w:val="00003378"/>
    <w:rsid w:val="0000354A"/>
    <w:rsid w:val="00011BF1"/>
    <w:rsid w:val="000133A6"/>
    <w:rsid w:val="00013D7E"/>
    <w:rsid w:val="00014677"/>
    <w:rsid w:val="00014DD5"/>
    <w:rsid w:val="00017922"/>
    <w:rsid w:val="00021D05"/>
    <w:rsid w:val="00022090"/>
    <w:rsid w:val="000266F4"/>
    <w:rsid w:val="0002694A"/>
    <w:rsid w:val="000273FB"/>
    <w:rsid w:val="0003464B"/>
    <w:rsid w:val="0004032B"/>
    <w:rsid w:val="000411D5"/>
    <w:rsid w:val="000432EC"/>
    <w:rsid w:val="000451D7"/>
    <w:rsid w:val="00045AB7"/>
    <w:rsid w:val="00050707"/>
    <w:rsid w:val="000507B5"/>
    <w:rsid w:val="00051648"/>
    <w:rsid w:val="00053A8F"/>
    <w:rsid w:val="00054F5F"/>
    <w:rsid w:val="000555A1"/>
    <w:rsid w:val="00060137"/>
    <w:rsid w:val="00060453"/>
    <w:rsid w:val="00061FC6"/>
    <w:rsid w:val="00062C27"/>
    <w:rsid w:val="0006560B"/>
    <w:rsid w:val="00067E1A"/>
    <w:rsid w:val="00071AB9"/>
    <w:rsid w:val="00073629"/>
    <w:rsid w:val="000736D6"/>
    <w:rsid w:val="00076B5A"/>
    <w:rsid w:val="00077DF2"/>
    <w:rsid w:val="00081984"/>
    <w:rsid w:val="000832E8"/>
    <w:rsid w:val="00084F6D"/>
    <w:rsid w:val="00087809"/>
    <w:rsid w:val="00097BC8"/>
    <w:rsid w:val="000A4740"/>
    <w:rsid w:val="000A680F"/>
    <w:rsid w:val="000B3F1A"/>
    <w:rsid w:val="000B4ACB"/>
    <w:rsid w:val="000B5261"/>
    <w:rsid w:val="000C2A7C"/>
    <w:rsid w:val="000C4CC2"/>
    <w:rsid w:val="000C5CC2"/>
    <w:rsid w:val="000C7677"/>
    <w:rsid w:val="000C7A25"/>
    <w:rsid w:val="000D092D"/>
    <w:rsid w:val="000D3F27"/>
    <w:rsid w:val="000D6BA6"/>
    <w:rsid w:val="000D7DA2"/>
    <w:rsid w:val="000E0AE6"/>
    <w:rsid w:val="000E189E"/>
    <w:rsid w:val="000E31DB"/>
    <w:rsid w:val="000E5F44"/>
    <w:rsid w:val="000E69BC"/>
    <w:rsid w:val="000F220D"/>
    <w:rsid w:val="000F6F5C"/>
    <w:rsid w:val="00100938"/>
    <w:rsid w:val="00101496"/>
    <w:rsid w:val="00105B56"/>
    <w:rsid w:val="00110078"/>
    <w:rsid w:val="0011014A"/>
    <w:rsid w:val="00110A00"/>
    <w:rsid w:val="00113B2D"/>
    <w:rsid w:val="001150F9"/>
    <w:rsid w:val="00116853"/>
    <w:rsid w:val="0012290A"/>
    <w:rsid w:val="0012350B"/>
    <w:rsid w:val="0012639D"/>
    <w:rsid w:val="00126D8D"/>
    <w:rsid w:val="00132BAF"/>
    <w:rsid w:val="00132C28"/>
    <w:rsid w:val="00133A39"/>
    <w:rsid w:val="0014224E"/>
    <w:rsid w:val="00145687"/>
    <w:rsid w:val="00146F36"/>
    <w:rsid w:val="00147BAC"/>
    <w:rsid w:val="001522AC"/>
    <w:rsid w:val="0015353E"/>
    <w:rsid w:val="00156A68"/>
    <w:rsid w:val="001610BF"/>
    <w:rsid w:val="00162D66"/>
    <w:rsid w:val="00164ACB"/>
    <w:rsid w:val="0017007F"/>
    <w:rsid w:val="001702A6"/>
    <w:rsid w:val="001724B6"/>
    <w:rsid w:val="00174FF0"/>
    <w:rsid w:val="001760CD"/>
    <w:rsid w:val="001768B7"/>
    <w:rsid w:val="00176F74"/>
    <w:rsid w:val="001809F2"/>
    <w:rsid w:val="00182E52"/>
    <w:rsid w:val="00183CCA"/>
    <w:rsid w:val="001865F6"/>
    <w:rsid w:val="00190B30"/>
    <w:rsid w:val="00191850"/>
    <w:rsid w:val="00191A98"/>
    <w:rsid w:val="0019220F"/>
    <w:rsid w:val="00192947"/>
    <w:rsid w:val="00192BE1"/>
    <w:rsid w:val="001948B7"/>
    <w:rsid w:val="0019614B"/>
    <w:rsid w:val="001A0262"/>
    <w:rsid w:val="001A0D51"/>
    <w:rsid w:val="001A2A8F"/>
    <w:rsid w:val="001A3078"/>
    <w:rsid w:val="001A35D6"/>
    <w:rsid w:val="001A5391"/>
    <w:rsid w:val="001A7E9D"/>
    <w:rsid w:val="001B158E"/>
    <w:rsid w:val="001B46F8"/>
    <w:rsid w:val="001B491C"/>
    <w:rsid w:val="001B55B5"/>
    <w:rsid w:val="001B5C56"/>
    <w:rsid w:val="001C017F"/>
    <w:rsid w:val="001C79A7"/>
    <w:rsid w:val="001D14C9"/>
    <w:rsid w:val="001D1BFC"/>
    <w:rsid w:val="001D212D"/>
    <w:rsid w:val="001D2CB1"/>
    <w:rsid w:val="001D2D90"/>
    <w:rsid w:val="001D2ECD"/>
    <w:rsid w:val="001D4408"/>
    <w:rsid w:val="001D61F0"/>
    <w:rsid w:val="001D67A2"/>
    <w:rsid w:val="001E093C"/>
    <w:rsid w:val="001E131A"/>
    <w:rsid w:val="001E2B87"/>
    <w:rsid w:val="001F1A77"/>
    <w:rsid w:val="001F2FDD"/>
    <w:rsid w:val="001F3117"/>
    <w:rsid w:val="001F4449"/>
    <w:rsid w:val="00201DE3"/>
    <w:rsid w:val="00202C73"/>
    <w:rsid w:val="002043B2"/>
    <w:rsid w:val="002044E5"/>
    <w:rsid w:val="00204602"/>
    <w:rsid w:val="002048A7"/>
    <w:rsid w:val="00205915"/>
    <w:rsid w:val="0021001D"/>
    <w:rsid w:val="002101B6"/>
    <w:rsid w:val="00212092"/>
    <w:rsid w:val="00215255"/>
    <w:rsid w:val="00216ECF"/>
    <w:rsid w:val="00217CBA"/>
    <w:rsid w:val="002206FC"/>
    <w:rsid w:val="00223095"/>
    <w:rsid w:val="00223294"/>
    <w:rsid w:val="00225158"/>
    <w:rsid w:val="00227165"/>
    <w:rsid w:val="00227865"/>
    <w:rsid w:val="00227E6F"/>
    <w:rsid w:val="00233FF1"/>
    <w:rsid w:val="002353A7"/>
    <w:rsid w:val="002358C4"/>
    <w:rsid w:val="00235C0C"/>
    <w:rsid w:val="00237D75"/>
    <w:rsid w:val="00241D39"/>
    <w:rsid w:val="00244B8C"/>
    <w:rsid w:val="00250B53"/>
    <w:rsid w:val="0025159E"/>
    <w:rsid w:val="00252065"/>
    <w:rsid w:val="00256F78"/>
    <w:rsid w:val="002577B0"/>
    <w:rsid w:val="00263221"/>
    <w:rsid w:val="002632A7"/>
    <w:rsid w:val="00264E2A"/>
    <w:rsid w:val="00274944"/>
    <w:rsid w:val="00275E16"/>
    <w:rsid w:val="00276171"/>
    <w:rsid w:val="00281AE1"/>
    <w:rsid w:val="00282B41"/>
    <w:rsid w:val="00290CD0"/>
    <w:rsid w:val="00291005"/>
    <w:rsid w:val="00291F2A"/>
    <w:rsid w:val="0029207A"/>
    <w:rsid w:val="0029217E"/>
    <w:rsid w:val="002922A6"/>
    <w:rsid w:val="002942F1"/>
    <w:rsid w:val="0029717E"/>
    <w:rsid w:val="002A4079"/>
    <w:rsid w:val="002A5F0C"/>
    <w:rsid w:val="002A664D"/>
    <w:rsid w:val="002A797B"/>
    <w:rsid w:val="002A7EE8"/>
    <w:rsid w:val="002B05FF"/>
    <w:rsid w:val="002B067F"/>
    <w:rsid w:val="002B5492"/>
    <w:rsid w:val="002B6ABD"/>
    <w:rsid w:val="002C1096"/>
    <w:rsid w:val="002C2936"/>
    <w:rsid w:val="002D1EDC"/>
    <w:rsid w:val="002D2B0C"/>
    <w:rsid w:val="002E240B"/>
    <w:rsid w:val="002E4E92"/>
    <w:rsid w:val="002E4F37"/>
    <w:rsid w:val="002E7C4B"/>
    <w:rsid w:val="002F28C1"/>
    <w:rsid w:val="002F3339"/>
    <w:rsid w:val="00304926"/>
    <w:rsid w:val="003058CE"/>
    <w:rsid w:val="003067C5"/>
    <w:rsid w:val="00306D0F"/>
    <w:rsid w:val="00311D72"/>
    <w:rsid w:val="0031346A"/>
    <w:rsid w:val="003143BE"/>
    <w:rsid w:val="00314B31"/>
    <w:rsid w:val="00315561"/>
    <w:rsid w:val="00320A8A"/>
    <w:rsid w:val="00323CC3"/>
    <w:rsid w:val="00324996"/>
    <w:rsid w:val="00326D94"/>
    <w:rsid w:val="003316F7"/>
    <w:rsid w:val="00332EEC"/>
    <w:rsid w:val="003414A9"/>
    <w:rsid w:val="00341E21"/>
    <w:rsid w:val="003433F7"/>
    <w:rsid w:val="00343646"/>
    <w:rsid w:val="003437AA"/>
    <w:rsid w:val="00343A55"/>
    <w:rsid w:val="00345C52"/>
    <w:rsid w:val="00346997"/>
    <w:rsid w:val="00347A69"/>
    <w:rsid w:val="00347E30"/>
    <w:rsid w:val="00351246"/>
    <w:rsid w:val="003514B0"/>
    <w:rsid w:val="00354688"/>
    <w:rsid w:val="003568A2"/>
    <w:rsid w:val="00361588"/>
    <w:rsid w:val="0036229A"/>
    <w:rsid w:val="00370C1D"/>
    <w:rsid w:val="003725FD"/>
    <w:rsid w:val="00372F8C"/>
    <w:rsid w:val="00377AD5"/>
    <w:rsid w:val="00377ECE"/>
    <w:rsid w:val="0038251F"/>
    <w:rsid w:val="0038359C"/>
    <w:rsid w:val="00384315"/>
    <w:rsid w:val="003857B7"/>
    <w:rsid w:val="00387571"/>
    <w:rsid w:val="00390796"/>
    <w:rsid w:val="00391263"/>
    <w:rsid w:val="00392511"/>
    <w:rsid w:val="00394003"/>
    <w:rsid w:val="00394389"/>
    <w:rsid w:val="003949B6"/>
    <w:rsid w:val="003952C0"/>
    <w:rsid w:val="00396609"/>
    <w:rsid w:val="0039670C"/>
    <w:rsid w:val="003A73CA"/>
    <w:rsid w:val="003B2C59"/>
    <w:rsid w:val="003B42A5"/>
    <w:rsid w:val="003C2203"/>
    <w:rsid w:val="003C26AD"/>
    <w:rsid w:val="003C4DDE"/>
    <w:rsid w:val="003C69FE"/>
    <w:rsid w:val="003C7560"/>
    <w:rsid w:val="003D091E"/>
    <w:rsid w:val="003D09D9"/>
    <w:rsid w:val="003D32DC"/>
    <w:rsid w:val="003D40C2"/>
    <w:rsid w:val="003D7FF1"/>
    <w:rsid w:val="003E0F45"/>
    <w:rsid w:val="003F0305"/>
    <w:rsid w:val="003F05B9"/>
    <w:rsid w:val="003F06B5"/>
    <w:rsid w:val="003F1A4E"/>
    <w:rsid w:val="003F5E5A"/>
    <w:rsid w:val="003F6195"/>
    <w:rsid w:val="0040237B"/>
    <w:rsid w:val="0040261C"/>
    <w:rsid w:val="0040289E"/>
    <w:rsid w:val="00403B91"/>
    <w:rsid w:val="00404131"/>
    <w:rsid w:val="00404536"/>
    <w:rsid w:val="0040533D"/>
    <w:rsid w:val="004054C1"/>
    <w:rsid w:val="004075CF"/>
    <w:rsid w:val="00407BBC"/>
    <w:rsid w:val="00407C00"/>
    <w:rsid w:val="00407DB0"/>
    <w:rsid w:val="00411D9E"/>
    <w:rsid w:val="00423A91"/>
    <w:rsid w:val="00427344"/>
    <w:rsid w:val="00431585"/>
    <w:rsid w:val="0043294A"/>
    <w:rsid w:val="004334D3"/>
    <w:rsid w:val="00433B89"/>
    <w:rsid w:val="00434CDF"/>
    <w:rsid w:val="00436EF5"/>
    <w:rsid w:val="0044084F"/>
    <w:rsid w:val="00440EE8"/>
    <w:rsid w:val="00445842"/>
    <w:rsid w:val="00445DD8"/>
    <w:rsid w:val="00450509"/>
    <w:rsid w:val="00452830"/>
    <w:rsid w:val="00454331"/>
    <w:rsid w:val="004552A8"/>
    <w:rsid w:val="00456EB8"/>
    <w:rsid w:val="00457E9B"/>
    <w:rsid w:val="00463F2E"/>
    <w:rsid w:val="00465BFE"/>
    <w:rsid w:val="00471162"/>
    <w:rsid w:val="004760B1"/>
    <w:rsid w:val="00480186"/>
    <w:rsid w:val="004819D6"/>
    <w:rsid w:val="004822AD"/>
    <w:rsid w:val="00482946"/>
    <w:rsid w:val="004829A0"/>
    <w:rsid w:val="00483418"/>
    <w:rsid w:val="00486312"/>
    <w:rsid w:val="0049186A"/>
    <w:rsid w:val="00492521"/>
    <w:rsid w:val="00495993"/>
    <w:rsid w:val="00495B75"/>
    <w:rsid w:val="004A322B"/>
    <w:rsid w:val="004A7737"/>
    <w:rsid w:val="004B0884"/>
    <w:rsid w:val="004B0CA2"/>
    <w:rsid w:val="004B195C"/>
    <w:rsid w:val="004B1BB7"/>
    <w:rsid w:val="004B22B4"/>
    <w:rsid w:val="004B30B5"/>
    <w:rsid w:val="004B366C"/>
    <w:rsid w:val="004C00CF"/>
    <w:rsid w:val="004C03FE"/>
    <w:rsid w:val="004C1A2A"/>
    <w:rsid w:val="004C1DA7"/>
    <w:rsid w:val="004C2976"/>
    <w:rsid w:val="004C63BC"/>
    <w:rsid w:val="004C7694"/>
    <w:rsid w:val="004C7882"/>
    <w:rsid w:val="004D0DC5"/>
    <w:rsid w:val="004D2042"/>
    <w:rsid w:val="004D2295"/>
    <w:rsid w:val="004D2947"/>
    <w:rsid w:val="004D6FE0"/>
    <w:rsid w:val="004E0059"/>
    <w:rsid w:val="004E2D64"/>
    <w:rsid w:val="004E66E3"/>
    <w:rsid w:val="004F11B9"/>
    <w:rsid w:val="004F48F8"/>
    <w:rsid w:val="004F5FC6"/>
    <w:rsid w:val="004F612F"/>
    <w:rsid w:val="004F63C0"/>
    <w:rsid w:val="00501929"/>
    <w:rsid w:val="00502745"/>
    <w:rsid w:val="00503706"/>
    <w:rsid w:val="00504988"/>
    <w:rsid w:val="00513451"/>
    <w:rsid w:val="00515AB6"/>
    <w:rsid w:val="00521752"/>
    <w:rsid w:val="00522D60"/>
    <w:rsid w:val="005304D0"/>
    <w:rsid w:val="00530E3F"/>
    <w:rsid w:val="0053255B"/>
    <w:rsid w:val="0053513D"/>
    <w:rsid w:val="00540E13"/>
    <w:rsid w:val="00547919"/>
    <w:rsid w:val="0055100B"/>
    <w:rsid w:val="0055454D"/>
    <w:rsid w:val="00556439"/>
    <w:rsid w:val="00557880"/>
    <w:rsid w:val="00560165"/>
    <w:rsid w:val="00561A96"/>
    <w:rsid w:val="00563430"/>
    <w:rsid w:val="00575672"/>
    <w:rsid w:val="00575E88"/>
    <w:rsid w:val="00580941"/>
    <w:rsid w:val="00581ED1"/>
    <w:rsid w:val="00584058"/>
    <w:rsid w:val="00587674"/>
    <w:rsid w:val="0059511F"/>
    <w:rsid w:val="005972DD"/>
    <w:rsid w:val="005A5CF3"/>
    <w:rsid w:val="005B0F49"/>
    <w:rsid w:val="005B2B3F"/>
    <w:rsid w:val="005B6445"/>
    <w:rsid w:val="005B7B01"/>
    <w:rsid w:val="005C29DC"/>
    <w:rsid w:val="005C3D61"/>
    <w:rsid w:val="005C493B"/>
    <w:rsid w:val="005C49E2"/>
    <w:rsid w:val="005C53D0"/>
    <w:rsid w:val="005C6CB0"/>
    <w:rsid w:val="005C7A65"/>
    <w:rsid w:val="005D3D8B"/>
    <w:rsid w:val="005E01DA"/>
    <w:rsid w:val="005E1B89"/>
    <w:rsid w:val="005E1DF9"/>
    <w:rsid w:val="005E238F"/>
    <w:rsid w:val="005E5F48"/>
    <w:rsid w:val="005E6490"/>
    <w:rsid w:val="005F0CF9"/>
    <w:rsid w:val="006050AF"/>
    <w:rsid w:val="00605F9F"/>
    <w:rsid w:val="00606C5B"/>
    <w:rsid w:val="00612F9C"/>
    <w:rsid w:val="006143E1"/>
    <w:rsid w:val="00615F23"/>
    <w:rsid w:val="006161B1"/>
    <w:rsid w:val="00616976"/>
    <w:rsid w:val="0061727F"/>
    <w:rsid w:val="00617C50"/>
    <w:rsid w:val="00617CBF"/>
    <w:rsid w:val="00625252"/>
    <w:rsid w:val="00625CC0"/>
    <w:rsid w:val="00626DB3"/>
    <w:rsid w:val="00630B98"/>
    <w:rsid w:val="006313BD"/>
    <w:rsid w:val="00634450"/>
    <w:rsid w:val="00634AE8"/>
    <w:rsid w:val="0063575A"/>
    <w:rsid w:val="0063704C"/>
    <w:rsid w:val="00641BB1"/>
    <w:rsid w:val="006442A3"/>
    <w:rsid w:val="00645903"/>
    <w:rsid w:val="00647770"/>
    <w:rsid w:val="00652833"/>
    <w:rsid w:val="00654DB4"/>
    <w:rsid w:val="00656A12"/>
    <w:rsid w:val="00661408"/>
    <w:rsid w:val="00662DEA"/>
    <w:rsid w:val="00662EF3"/>
    <w:rsid w:val="0066404A"/>
    <w:rsid w:val="00665B84"/>
    <w:rsid w:val="00665C00"/>
    <w:rsid w:val="00667DB4"/>
    <w:rsid w:val="00667EFB"/>
    <w:rsid w:val="00671BE0"/>
    <w:rsid w:val="00673419"/>
    <w:rsid w:val="00674F04"/>
    <w:rsid w:val="006753BF"/>
    <w:rsid w:val="00677091"/>
    <w:rsid w:val="00681DAA"/>
    <w:rsid w:val="00682129"/>
    <w:rsid w:val="00683348"/>
    <w:rsid w:val="006833F2"/>
    <w:rsid w:val="0068504F"/>
    <w:rsid w:val="00691EA3"/>
    <w:rsid w:val="00695ADA"/>
    <w:rsid w:val="0069612B"/>
    <w:rsid w:val="006971D8"/>
    <w:rsid w:val="006A106F"/>
    <w:rsid w:val="006A13C6"/>
    <w:rsid w:val="006A290C"/>
    <w:rsid w:val="006A505A"/>
    <w:rsid w:val="006A512B"/>
    <w:rsid w:val="006A60F1"/>
    <w:rsid w:val="006A65EA"/>
    <w:rsid w:val="006B0BCF"/>
    <w:rsid w:val="006B299B"/>
    <w:rsid w:val="006B3B2E"/>
    <w:rsid w:val="006B3F54"/>
    <w:rsid w:val="006B7E87"/>
    <w:rsid w:val="006C464C"/>
    <w:rsid w:val="006C574F"/>
    <w:rsid w:val="006C6A26"/>
    <w:rsid w:val="006C7680"/>
    <w:rsid w:val="006D060C"/>
    <w:rsid w:val="006D344A"/>
    <w:rsid w:val="006D3A40"/>
    <w:rsid w:val="006D515F"/>
    <w:rsid w:val="006D56C5"/>
    <w:rsid w:val="006D5933"/>
    <w:rsid w:val="006E3981"/>
    <w:rsid w:val="006E3E31"/>
    <w:rsid w:val="006F3E15"/>
    <w:rsid w:val="006F469A"/>
    <w:rsid w:val="006F495C"/>
    <w:rsid w:val="006F5215"/>
    <w:rsid w:val="006F5B03"/>
    <w:rsid w:val="007029C0"/>
    <w:rsid w:val="00703E5B"/>
    <w:rsid w:val="007054CF"/>
    <w:rsid w:val="00706EF7"/>
    <w:rsid w:val="007103F3"/>
    <w:rsid w:val="00710C6C"/>
    <w:rsid w:val="00711606"/>
    <w:rsid w:val="0071502F"/>
    <w:rsid w:val="00716C96"/>
    <w:rsid w:val="00726F6E"/>
    <w:rsid w:val="00727A65"/>
    <w:rsid w:val="007306C0"/>
    <w:rsid w:val="00730979"/>
    <w:rsid w:val="00730989"/>
    <w:rsid w:val="00733040"/>
    <w:rsid w:val="00733C17"/>
    <w:rsid w:val="007341E3"/>
    <w:rsid w:val="00736507"/>
    <w:rsid w:val="00740E31"/>
    <w:rsid w:val="007430B0"/>
    <w:rsid w:val="00744F78"/>
    <w:rsid w:val="00746795"/>
    <w:rsid w:val="007502DF"/>
    <w:rsid w:val="007503B1"/>
    <w:rsid w:val="00750748"/>
    <w:rsid w:val="00750F15"/>
    <w:rsid w:val="0075378F"/>
    <w:rsid w:val="00756EEA"/>
    <w:rsid w:val="00764410"/>
    <w:rsid w:val="00764DAC"/>
    <w:rsid w:val="0076633B"/>
    <w:rsid w:val="007748B6"/>
    <w:rsid w:val="00774A08"/>
    <w:rsid w:val="00777614"/>
    <w:rsid w:val="00783050"/>
    <w:rsid w:val="00785299"/>
    <w:rsid w:val="0078673F"/>
    <w:rsid w:val="00790280"/>
    <w:rsid w:val="0079066C"/>
    <w:rsid w:val="007937B9"/>
    <w:rsid w:val="0079421E"/>
    <w:rsid w:val="007A4A9E"/>
    <w:rsid w:val="007A50E7"/>
    <w:rsid w:val="007B1C25"/>
    <w:rsid w:val="007B29C0"/>
    <w:rsid w:val="007B3371"/>
    <w:rsid w:val="007C11E4"/>
    <w:rsid w:val="007C1DF9"/>
    <w:rsid w:val="007C54F0"/>
    <w:rsid w:val="007D35E0"/>
    <w:rsid w:val="007D3606"/>
    <w:rsid w:val="007D3C8D"/>
    <w:rsid w:val="007D3ED7"/>
    <w:rsid w:val="007D4ADC"/>
    <w:rsid w:val="007D6EEF"/>
    <w:rsid w:val="007E1764"/>
    <w:rsid w:val="007E2D15"/>
    <w:rsid w:val="007E2D41"/>
    <w:rsid w:val="007E4209"/>
    <w:rsid w:val="007E48EE"/>
    <w:rsid w:val="007E7608"/>
    <w:rsid w:val="007E769B"/>
    <w:rsid w:val="007E7D6E"/>
    <w:rsid w:val="007F4DC7"/>
    <w:rsid w:val="007F5002"/>
    <w:rsid w:val="007F6712"/>
    <w:rsid w:val="007F6D5A"/>
    <w:rsid w:val="007F74A1"/>
    <w:rsid w:val="00804E1A"/>
    <w:rsid w:val="00806D68"/>
    <w:rsid w:val="00806FE9"/>
    <w:rsid w:val="008126E3"/>
    <w:rsid w:val="00822D9A"/>
    <w:rsid w:val="00822F8E"/>
    <w:rsid w:val="008236F9"/>
    <w:rsid w:val="00825C30"/>
    <w:rsid w:val="00827C77"/>
    <w:rsid w:val="00831A87"/>
    <w:rsid w:val="00846E69"/>
    <w:rsid w:val="0085277C"/>
    <w:rsid w:val="00854391"/>
    <w:rsid w:val="00854498"/>
    <w:rsid w:val="00854753"/>
    <w:rsid w:val="00855BE0"/>
    <w:rsid w:val="008575A4"/>
    <w:rsid w:val="008579E3"/>
    <w:rsid w:val="00857CDF"/>
    <w:rsid w:val="0086061C"/>
    <w:rsid w:val="00860993"/>
    <w:rsid w:val="00864A86"/>
    <w:rsid w:val="0086610B"/>
    <w:rsid w:val="00867E70"/>
    <w:rsid w:val="0087531A"/>
    <w:rsid w:val="00876E96"/>
    <w:rsid w:val="0087710D"/>
    <w:rsid w:val="008814CF"/>
    <w:rsid w:val="00883131"/>
    <w:rsid w:val="0089071D"/>
    <w:rsid w:val="0089076D"/>
    <w:rsid w:val="00891F8A"/>
    <w:rsid w:val="008955C8"/>
    <w:rsid w:val="00896134"/>
    <w:rsid w:val="00897298"/>
    <w:rsid w:val="008A01D0"/>
    <w:rsid w:val="008A06FA"/>
    <w:rsid w:val="008A0896"/>
    <w:rsid w:val="008A0ADA"/>
    <w:rsid w:val="008A28E0"/>
    <w:rsid w:val="008A2FFC"/>
    <w:rsid w:val="008A5802"/>
    <w:rsid w:val="008A685C"/>
    <w:rsid w:val="008B04C9"/>
    <w:rsid w:val="008B1550"/>
    <w:rsid w:val="008B3D63"/>
    <w:rsid w:val="008B5178"/>
    <w:rsid w:val="008B54D8"/>
    <w:rsid w:val="008B5AD7"/>
    <w:rsid w:val="008C36B5"/>
    <w:rsid w:val="008C3C93"/>
    <w:rsid w:val="008C4DBC"/>
    <w:rsid w:val="008C5FA8"/>
    <w:rsid w:val="008C7453"/>
    <w:rsid w:val="008D2515"/>
    <w:rsid w:val="008D3B42"/>
    <w:rsid w:val="008E00FB"/>
    <w:rsid w:val="008E4D88"/>
    <w:rsid w:val="008E5778"/>
    <w:rsid w:val="008E6605"/>
    <w:rsid w:val="008E79A4"/>
    <w:rsid w:val="008F1EB8"/>
    <w:rsid w:val="008F25CE"/>
    <w:rsid w:val="008F394A"/>
    <w:rsid w:val="008F3B7C"/>
    <w:rsid w:val="008F7176"/>
    <w:rsid w:val="009031E4"/>
    <w:rsid w:val="00904D0F"/>
    <w:rsid w:val="00905183"/>
    <w:rsid w:val="009118B2"/>
    <w:rsid w:val="00913A29"/>
    <w:rsid w:val="00913BE7"/>
    <w:rsid w:val="00916420"/>
    <w:rsid w:val="009173A7"/>
    <w:rsid w:val="00917A26"/>
    <w:rsid w:val="00922138"/>
    <w:rsid w:val="009237DF"/>
    <w:rsid w:val="0092415F"/>
    <w:rsid w:val="009305A4"/>
    <w:rsid w:val="00930A16"/>
    <w:rsid w:val="009322A8"/>
    <w:rsid w:val="00940DF1"/>
    <w:rsid w:val="00943BF7"/>
    <w:rsid w:val="00944FE3"/>
    <w:rsid w:val="0094538F"/>
    <w:rsid w:val="00947058"/>
    <w:rsid w:val="00952E74"/>
    <w:rsid w:val="0095515E"/>
    <w:rsid w:val="00956338"/>
    <w:rsid w:val="009653CF"/>
    <w:rsid w:val="00971E9E"/>
    <w:rsid w:val="00974DAC"/>
    <w:rsid w:val="0097577E"/>
    <w:rsid w:val="00977B23"/>
    <w:rsid w:val="0098038D"/>
    <w:rsid w:val="00983047"/>
    <w:rsid w:val="009849C5"/>
    <w:rsid w:val="00984F39"/>
    <w:rsid w:val="00991CB3"/>
    <w:rsid w:val="009926F0"/>
    <w:rsid w:val="00995831"/>
    <w:rsid w:val="009A5A06"/>
    <w:rsid w:val="009A5A8B"/>
    <w:rsid w:val="009B0416"/>
    <w:rsid w:val="009B10FB"/>
    <w:rsid w:val="009B239F"/>
    <w:rsid w:val="009B2816"/>
    <w:rsid w:val="009B334B"/>
    <w:rsid w:val="009B3727"/>
    <w:rsid w:val="009B76E8"/>
    <w:rsid w:val="009C56FB"/>
    <w:rsid w:val="009C6C1C"/>
    <w:rsid w:val="009D7BEA"/>
    <w:rsid w:val="009D7EB3"/>
    <w:rsid w:val="009E0475"/>
    <w:rsid w:val="009E5998"/>
    <w:rsid w:val="009F3E98"/>
    <w:rsid w:val="009F720C"/>
    <w:rsid w:val="00A01BE8"/>
    <w:rsid w:val="00A025A4"/>
    <w:rsid w:val="00A02A02"/>
    <w:rsid w:val="00A02ECA"/>
    <w:rsid w:val="00A05CE7"/>
    <w:rsid w:val="00A07146"/>
    <w:rsid w:val="00A155B5"/>
    <w:rsid w:val="00A15B5E"/>
    <w:rsid w:val="00A169F6"/>
    <w:rsid w:val="00A16FFF"/>
    <w:rsid w:val="00A20642"/>
    <w:rsid w:val="00A20FB4"/>
    <w:rsid w:val="00A25267"/>
    <w:rsid w:val="00A26FCE"/>
    <w:rsid w:val="00A27441"/>
    <w:rsid w:val="00A307CE"/>
    <w:rsid w:val="00A3396F"/>
    <w:rsid w:val="00A34362"/>
    <w:rsid w:val="00A344DB"/>
    <w:rsid w:val="00A3631A"/>
    <w:rsid w:val="00A36C22"/>
    <w:rsid w:val="00A37527"/>
    <w:rsid w:val="00A406EC"/>
    <w:rsid w:val="00A441B0"/>
    <w:rsid w:val="00A46629"/>
    <w:rsid w:val="00A505EE"/>
    <w:rsid w:val="00A511D4"/>
    <w:rsid w:val="00A52CB4"/>
    <w:rsid w:val="00A5484A"/>
    <w:rsid w:val="00A55516"/>
    <w:rsid w:val="00A556A1"/>
    <w:rsid w:val="00A5722E"/>
    <w:rsid w:val="00A62EE8"/>
    <w:rsid w:val="00A645EA"/>
    <w:rsid w:val="00A648B1"/>
    <w:rsid w:val="00A649C8"/>
    <w:rsid w:val="00A67555"/>
    <w:rsid w:val="00A67B85"/>
    <w:rsid w:val="00A73A92"/>
    <w:rsid w:val="00A77AF1"/>
    <w:rsid w:val="00A800A3"/>
    <w:rsid w:val="00A80D98"/>
    <w:rsid w:val="00A82E0A"/>
    <w:rsid w:val="00A831D8"/>
    <w:rsid w:val="00A86D01"/>
    <w:rsid w:val="00A92F09"/>
    <w:rsid w:val="00A92F81"/>
    <w:rsid w:val="00A959D2"/>
    <w:rsid w:val="00A972A6"/>
    <w:rsid w:val="00AA1E55"/>
    <w:rsid w:val="00AA2233"/>
    <w:rsid w:val="00AA31AE"/>
    <w:rsid w:val="00AB1EEC"/>
    <w:rsid w:val="00AB2A6B"/>
    <w:rsid w:val="00AB42FB"/>
    <w:rsid w:val="00AB4E23"/>
    <w:rsid w:val="00AB59CC"/>
    <w:rsid w:val="00AB79AB"/>
    <w:rsid w:val="00AC1837"/>
    <w:rsid w:val="00AC1E94"/>
    <w:rsid w:val="00AD08A8"/>
    <w:rsid w:val="00AD186C"/>
    <w:rsid w:val="00AD4465"/>
    <w:rsid w:val="00AD5E45"/>
    <w:rsid w:val="00AD626E"/>
    <w:rsid w:val="00AD6E6C"/>
    <w:rsid w:val="00AD79A6"/>
    <w:rsid w:val="00AE0496"/>
    <w:rsid w:val="00AE053E"/>
    <w:rsid w:val="00AE4813"/>
    <w:rsid w:val="00AE778C"/>
    <w:rsid w:val="00AF0A29"/>
    <w:rsid w:val="00AF5272"/>
    <w:rsid w:val="00AF78CE"/>
    <w:rsid w:val="00B01044"/>
    <w:rsid w:val="00B010DD"/>
    <w:rsid w:val="00B0426D"/>
    <w:rsid w:val="00B043E5"/>
    <w:rsid w:val="00B1208D"/>
    <w:rsid w:val="00B13494"/>
    <w:rsid w:val="00B17DEC"/>
    <w:rsid w:val="00B226BB"/>
    <w:rsid w:val="00B227F1"/>
    <w:rsid w:val="00B22C77"/>
    <w:rsid w:val="00B31F5B"/>
    <w:rsid w:val="00B33470"/>
    <w:rsid w:val="00B33DDE"/>
    <w:rsid w:val="00B34756"/>
    <w:rsid w:val="00B37152"/>
    <w:rsid w:val="00B37507"/>
    <w:rsid w:val="00B37CA5"/>
    <w:rsid w:val="00B4090A"/>
    <w:rsid w:val="00B40E41"/>
    <w:rsid w:val="00B41546"/>
    <w:rsid w:val="00B427FB"/>
    <w:rsid w:val="00B437A6"/>
    <w:rsid w:val="00B43CBA"/>
    <w:rsid w:val="00B46B6F"/>
    <w:rsid w:val="00B528CD"/>
    <w:rsid w:val="00B55DBE"/>
    <w:rsid w:val="00B605A4"/>
    <w:rsid w:val="00B61CD3"/>
    <w:rsid w:val="00B63826"/>
    <w:rsid w:val="00B63EA2"/>
    <w:rsid w:val="00B64271"/>
    <w:rsid w:val="00B679CB"/>
    <w:rsid w:val="00B700CB"/>
    <w:rsid w:val="00B70596"/>
    <w:rsid w:val="00B7255B"/>
    <w:rsid w:val="00B76033"/>
    <w:rsid w:val="00B7737A"/>
    <w:rsid w:val="00B86858"/>
    <w:rsid w:val="00B8760E"/>
    <w:rsid w:val="00B93791"/>
    <w:rsid w:val="00B94A39"/>
    <w:rsid w:val="00B94A70"/>
    <w:rsid w:val="00B9788F"/>
    <w:rsid w:val="00BA2365"/>
    <w:rsid w:val="00BA59E1"/>
    <w:rsid w:val="00BA6775"/>
    <w:rsid w:val="00BB00A7"/>
    <w:rsid w:val="00BB0A8A"/>
    <w:rsid w:val="00BB0BD7"/>
    <w:rsid w:val="00BB138C"/>
    <w:rsid w:val="00BB18A5"/>
    <w:rsid w:val="00BB74CC"/>
    <w:rsid w:val="00BC0098"/>
    <w:rsid w:val="00BC08B9"/>
    <w:rsid w:val="00BC2753"/>
    <w:rsid w:val="00BC4F6A"/>
    <w:rsid w:val="00BC5940"/>
    <w:rsid w:val="00BD1034"/>
    <w:rsid w:val="00BE0090"/>
    <w:rsid w:val="00BE284A"/>
    <w:rsid w:val="00BE3383"/>
    <w:rsid w:val="00BE4E16"/>
    <w:rsid w:val="00BE59F8"/>
    <w:rsid w:val="00BE7335"/>
    <w:rsid w:val="00BF02F3"/>
    <w:rsid w:val="00BF05F0"/>
    <w:rsid w:val="00BF0B27"/>
    <w:rsid w:val="00BF1EB3"/>
    <w:rsid w:val="00BF2069"/>
    <w:rsid w:val="00BF5DF4"/>
    <w:rsid w:val="00C033FC"/>
    <w:rsid w:val="00C03981"/>
    <w:rsid w:val="00C1301A"/>
    <w:rsid w:val="00C15107"/>
    <w:rsid w:val="00C164E4"/>
    <w:rsid w:val="00C16B10"/>
    <w:rsid w:val="00C20BC5"/>
    <w:rsid w:val="00C2176B"/>
    <w:rsid w:val="00C25B40"/>
    <w:rsid w:val="00C33E3D"/>
    <w:rsid w:val="00C34E8C"/>
    <w:rsid w:val="00C41CA0"/>
    <w:rsid w:val="00C43F02"/>
    <w:rsid w:val="00C45252"/>
    <w:rsid w:val="00C47DB7"/>
    <w:rsid w:val="00C50416"/>
    <w:rsid w:val="00C5533F"/>
    <w:rsid w:val="00C56082"/>
    <w:rsid w:val="00C56E0B"/>
    <w:rsid w:val="00C608DC"/>
    <w:rsid w:val="00C60B85"/>
    <w:rsid w:val="00C60D0F"/>
    <w:rsid w:val="00C62040"/>
    <w:rsid w:val="00C703D9"/>
    <w:rsid w:val="00C70FDC"/>
    <w:rsid w:val="00C736E9"/>
    <w:rsid w:val="00C73F59"/>
    <w:rsid w:val="00C75A8F"/>
    <w:rsid w:val="00C765CB"/>
    <w:rsid w:val="00C822C0"/>
    <w:rsid w:val="00C8426A"/>
    <w:rsid w:val="00C845A5"/>
    <w:rsid w:val="00C84E2B"/>
    <w:rsid w:val="00C94828"/>
    <w:rsid w:val="00C9528C"/>
    <w:rsid w:val="00CA0542"/>
    <w:rsid w:val="00CA0B18"/>
    <w:rsid w:val="00CA10C8"/>
    <w:rsid w:val="00CA167C"/>
    <w:rsid w:val="00CA329F"/>
    <w:rsid w:val="00CA63AD"/>
    <w:rsid w:val="00CB1146"/>
    <w:rsid w:val="00CB43F2"/>
    <w:rsid w:val="00CB5B65"/>
    <w:rsid w:val="00CC4640"/>
    <w:rsid w:val="00CC46C4"/>
    <w:rsid w:val="00CD1C8F"/>
    <w:rsid w:val="00CD241C"/>
    <w:rsid w:val="00CD55F9"/>
    <w:rsid w:val="00CE450D"/>
    <w:rsid w:val="00CE5B79"/>
    <w:rsid w:val="00CE61E4"/>
    <w:rsid w:val="00CF04E3"/>
    <w:rsid w:val="00CF224A"/>
    <w:rsid w:val="00CF62B9"/>
    <w:rsid w:val="00CF63C3"/>
    <w:rsid w:val="00D000B6"/>
    <w:rsid w:val="00D00610"/>
    <w:rsid w:val="00D00710"/>
    <w:rsid w:val="00D01571"/>
    <w:rsid w:val="00D06001"/>
    <w:rsid w:val="00D10CCB"/>
    <w:rsid w:val="00D11992"/>
    <w:rsid w:val="00D15D75"/>
    <w:rsid w:val="00D22819"/>
    <w:rsid w:val="00D30005"/>
    <w:rsid w:val="00D33CA8"/>
    <w:rsid w:val="00D42D76"/>
    <w:rsid w:val="00D4413B"/>
    <w:rsid w:val="00D45194"/>
    <w:rsid w:val="00D51C42"/>
    <w:rsid w:val="00D53E0B"/>
    <w:rsid w:val="00D545D3"/>
    <w:rsid w:val="00D60BCF"/>
    <w:rsid w:val="00D612E4"/>
    <w:rsid w:val="00D67A3F"/>
    <w:rsid w:val="00D74802"/>
    <w:rsid w:val="00D76E67"/>
    <w:rsid w:val="00D775A8"/>
    <w:rsid w:val="00D823FD"/>
    <w:rsid w:val="00D836A8"/>
    <w:rsid w:val="00D9206A"/>
    <w:rsid w:val="00D93D30"/>
    <w:rsid w:val="00D94F74"/>
    <w:rsid w:val="00D9671B"/>
    <w:rsid w:val="00D9797A"/>
    <w:rsid w:val="00D97B6B"/>
    <w:rsid w:val="00DA116D"/>
    <w:rsid w:val="00DA11C1"/>
    <w:rsid w:val="00DA14FE"/>
    <w:rsid w:val="00DA1E70"/>
    <w:rsid w:val="00DA1F1E"/>
    <w:rsid w:val="00DA58F3"/>
    <w:rsid w:val="00DA5FFC"/>
    <w:rsid w:val="00DA6ADE"/>
    <w:rsid w:val="00DB51F5"/>
    <w:rsid w:val="00DB52A2"/>
    <w:rsid w:val="00DB54AC"/>
    <w:rsid w:val="00DB597A"/>
    <w:rsid w:val="00DC042B"/>
    <w:rsid w:val="00DC1C5F"/>
    <w:rsid w:val="00DC4409"/>
    <w:rsid w:val="00DC53C9"/>
    <w:rsid w:val="00DD1056"/>
    <w:rsid w:val="00DD2BA4"/>
    <w:rsid w:val="00DD4909"/>
    <w:rsid w:val="00DD5088"/>
    <w:rsid w:val="00DD557E"/>
    <w:rsid w:val="00DD55C1"/>
    <w:rsid w:val="00DD6437"/>
    <w:rsid w:val="00DD6E25"/>
    <w:rsid w:val="00DD7738"/>
    <w:rsid w:val="00DE23ED"/>
    <w:rsid w:val="00DE3725"/>
    <w:rsid w:val="00DE715B"/>
    <w:rsid w:val="00DF0BE4"/>
    <w:rsid w:val="00DF101A"/>
    <w:rsid w:val="00DF2C4F"/>
    <w:rsid w:val="00DF2DFE"/>
    <w:rsid w:val="00DF3A1B"/>
    <w:rsid w:val="00DF4CED"/>
    <w:rsid w:val="00DF705A"/>
    <w:rsid w:val="00DF7178"/>
    <w:rsid w:val="00DF7A04"/>
    <w:rsid w:val="00E00C9E"/>
    <w:rsid w:val="00E00E1F"/>
    <w:rsid w:val="00E02EE9"/>
    <w:rsid w:val="00E071D0"/>
    <w:rsid w:val="00E11CDF"/>
    <w:rsid w:val="00E1682F"/>
    <w:rsid w:val="00E16DF3"/>
    <w:rsid w:val="00E17971"/>
    <w:rsid w:val="00E207E4"/>
    <w:rsid w:val="00E229CF"/>
    <w:rsid w:val="00E23251"/>
    <w:rsid w:val="00E26CE0"/>
    <w:rsid w:val="00E30AFC"/>
    <w:rsid w:val="00E310AC"/>
    <w:rsid w:val="00E33294"/>
    <w:rsid w:val="00E3357F"/>
    <w:rsid w:val="00E3477E"/>
    <w:rsid w:val="00E35383"/>
    <w:rsid w:val="00E35C60"/>
    <w:rsid w:val="00E464CB"/>
    <w:rsid w:val="00E53351"/>
    <w:rsid w:val="00E654E7"/>
    <w:rsid w:val="00E7184B"/>
    <w:rsid w:val="00E75B7A"/>
    <w:rsid w:val="00E7673F"/>
    <w:rsid w:val="00E8135F"/>
    <w:rsid w:val="00E816E5"/>
    <w:rsid w:val="00E81D33"/>
    <w:rsid w:val="00E827DB"/>
    <w:rsid w:val="00E8360E"/>
    <w:rsid w:val="00E8374B"/>
    <w:rsid w:val="00E86A91"/>
    <w:rsid w:val="00E931C2"/>
    <w:rsid w:val="00E94582"/>
    <w:rsid w:val="00E94DE1"/>
    <w:rsid w:val="00E974C8"/>
    <w:rsid w:val="00EA26A0"/>
    <w:rsid w:val="00EA6298"/>
    <w:rsid w:val="00EA7829"/>
    <w:rsid w:val="00EB189F"/>
    <w:rsid w:val="00EB2900"/>
    <w:rsid w:val="00EB3ABD"/>
    <w:rsid w:val="00EC0573"/>
    <w:rsid w:val="00EC2AF2"/>
    <w:rsid w:val="00EC3B46"/>
    <w:rsid w:val="00EC5877"/>
    <w:rsid w:val="00EC5FD8"/>
    <w:rsid w:val="00EC617A"/>
    <w:rsid w:val="00ED32C3"/>
    <w:rsid w:val="00ED6968"/>
    <w:rsid w:val="00ED7828"/>
    <w:rsid w:val="00EE5BF7"/>
    <w:rsid w:val="00EF0B5D"/>
    <w:rsid w:val="00EF0C5D"/>
    <w:rsid w:val="00EF5B62"/>
    <w:rsid w:val="00EF6679"/>
    <w:rsid w:val="00F021D6"/>
    <w:rsid w:val="00F02E4C"/>
    <w:rsid w:val="00F040C4"/>
    <w:rsid w:val="00F043CB"/>
    <w:rsid w:val="00F05B17"/>
    <w:rsid w:val="00F07201"/>
    <w:rsid w:val="00F16A2A"/>
    <w:rsid w:val="00F20A71"/>
    <w:rsid w:val="00F21A4F"/>
    <w:rsid w:val="00F230F7"/>
    <w:rsid w:val="00F268A0"/>
    <w:rsid w:val="00F272D6"/>
    <w:rsid w:val="00F330D1"/>
    <w:rsid w:val="00F338EC"/>
    <w:rsid w:val="00F341EA"/>
    <w:rsid w:val="00F34A64"/>
    <w:rsid w:val="00F3599A"/>
    <w:rsid w:val="00F43C1D"/>
    <w:rsid w:val="00F4427E"/>
    <w:rsid w:val="00F44EC0"/>
    <w:rsid w:val="00F468D3"/>
    <w:rsid w:val="00F5142B"/>
    <w:rsid w:val="00F51475"/>
    <w:rsid w:val="00F54981"/>
    <w:rsid w:val="00F567C3"/>
    <w:rsid w:val="00F57277"/>
    <w:rsid w:val="00F605D5"/>
    <w:rsid w:val="00F60B3B"/>
    <w:rsid w:val="00F60BA3"/>
    <w:rsid w:val="00F6122A"/>
    <w:rsid w:val="00F61FE3"/>
    <w:rsid w:val="00F6311F"/>
    <w:rsid w:val="00F66AA3"/>
    <w:rsid w:val="00F6721B"/>
    <w:rsid w:val="00F67894"/>
    <w:rsid w:val="00F704F8"/>
    <w:rsid w:val="00F70816"/>
    <w:rsid w:val="00F70BF0"/>
    <w:rsid w:val="00F70F76"/>
    <w:rsid w:val="00F72B79"/>
    <w:rsid w:val="00F745DA"/>
    <w:rsid w:val="00F74D7C"/>
    <w:rsid w:val="00F77371"/>
    <w:rsid w:val="00F80AAA"/>
    <w:rsid w:val="00F82240"/>
    <w:rsid w:val="00F85AFD"/>
    <w:rsid w:val="00F9040B"/>
    <w:rsid w:val="00F90432"/>
    <w:rsid w:val="00F90B81"/>
    <w:rsid w:val="00F90D76"/>
    <w:rsid w:val="00F92CB5"/>
    <w:rsid w:val="00F9307C"/>
    <w:rsid w:val="00F973C4"/>
    <w:rsid w:val="00FA3694"/>
    <w:rsid w:val="00FA54B1"/>
    <w:rsid w:val="00FB06F9"/>
    <w:rsid w:val="00FB1B6F"/>
    <w:rsid w:val="00FB1B8A"/>
    <w:rsid w:val="00FB40BD"/>
    <w:rsid w:val="00FB4853"/>
    <w:rsid w:val="00FB4921"/>
    <w:rsid w:val="00FB7432"/>
    <w:rsid w:val="00FC471A"/>
    <w:rsid w:val="00FC50EE"/>
    <w:rsid w:val="00FC552D"/>
    <w:rsid w:val="00FC6C7D"/>
    <w:rsid w:val="00FD08BD"/>
    <w:rsid w:val="00FD15DE"/>
    <w:rsid w:val="00FD4EDE"/>
    <w:rsid w:val="00FD5AFF"/>
    <w:rsid w:val="00FD7782"/>
    <w:rsid w:val="00FE02C2"/>
    <w:rsid w:val="00FE6A7E"/>
    <w:rsid w:val="00FF2E16"/>
    <w:rsid w:val="00FF44A0"/>
    <w:rsid w:val="00FF47FE"/>
    <w:rsid w:val="00FF65A4"/>
    <w:rsid w:val="00FF7350"/>
    <w:rsid w:val="00FF744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25F9DFF9"/>
  <w14:defaultImageDpi w14:val="32767"/>
  <w15:chartTrackingRefBased/>
  <w15:docId w15:val="{668E4D22-5D28-9F4B-9EA7-5D162EFB0F9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heme="minorHAnsi" w:hAnsi="Times New Roman" w:cs="Times New Roman"/>
        <w:kern w:val="2"/>
        <w:sz w:val="24"/>
        <w:szCs w:val="24"/>
        <w:lang w:val="en-US"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Smart Link" w:semiHidden="1" w:unhideWhenUsed="1"/>
  </w:latentStyles>
  <w:style w:type="paragraph" w:default="1" w:styleId="Normal">
    <w:name w:val="Normal"/>
    <w:aliases w:val="Master's Thesis"/>
    <w:qFormat/>
    <w:rsid w:val="00126D8D"/>
    <w:pPr>
      <w:spacing w:line="480" w:lineRule="auto"/>
    </w:pPr>
    <w:rPr>
      <w:rFonts w:cstheme="minorBidi"/>
      <w:kern w:val="0"/>
      <w14:ligatures w14:val="none"/>
    </w:rPr>
  </w:style>
  <w:style w:type="paragraph" w:styleId="Heading1">
    <w:name w:val="heading 1"/>
    <w:basedOn w:val="Normal"/>
    <w:next w:val="Normal"/>
    <w:link w:val="Heading1Char"/>
    <w:uiPriority w:val="9"/>
    <w:qFormat/>
    <w:rsid w:val="00126D8D"/>
    <w:pPr>
      <w:keepNext/>
      <w:keepLines/>
      <w:spacing w:before="24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semiHidden/>
    <w:unhideWhenUsed/>
    <w:qFormat/>
    <w:rsid w:val="00126D8D"/>
    <w:pPr>
      <w:keepNext/>
      <w:keepLines/>
      <w:spacing w:before="4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uiPriority w:val="9"/>
    <w:semiHidden/>
    <w:unhideWhenUsed/>
    <w:qFormat/>
    <w:rsid w:val="00126D8D"/>
    <w:pPr>
      <w:keepNext/>
      <w:keepLines/>
      <w:spacing w:before="40"/>
      <w:outlineLvl w:val="2"/>
    </w:pPr>
    <w:rPr>
      <w:rFonts w:asciiTheme="majorHAnsi" w:eastAsiaTheme="majorEastAsia" w:hAnsiTheme="majorHAnsi" w:cstheme="majorBidi"/>
      <w:color w:val="1F3763" w:themeColor="accent1" w:themeShade="7F"/>
    </w:rPr>
  </w:style>
  <w:style w:type="paragraph" w:styleId="Heading4">
    <w:name w:val="heading 4"/>
    <w:basedOn w:val="Normal"/>
    <w:next w:val="Normal"/>
    <w:link w:val="Heading4Char"/>
    <w:uiPriority w:val="9"/>
    <w:semiHidden/>
    <w:unhideWhenUsed/>
    <w:qFormat/>
    <w:rsid w:val="00126D8D"/>
    <w:pPr>
      <w:keepNext/>
      <w:keepLines/>
      <w:spacing w:before="40"/>
      <w:outlineLvl w:val="3"/>
    </w:pPr>
    <w:rPr>
      <w:rFonts w:asciiTheme="majorHAnsi" w:eastAsiaTheme="majorEastAsia" w:hAnsiTheme="majorHAnsi" w:cstheme="majorBidi"/>
      <w:i/>
      <w:iCs/>
      <w:color w:val="2F5496"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MastersThesisSection1">
    <w:name w:val="Master's Thesis: Section 1"/>
    <w:autoRedefine/>
    <w:qFormat/>
    <w:rsid w:val="00126D8D"/>
    <w:pPr>
      <w:spacing w:line="480" w:lineRule="auto"/>
    </w:pPr>
    <w:rPr>
      <w:kern w:val="0"/>
      <w:sz w:val="32"/>
      <w14:ligatures w14:val="none"/>
    </w:rPr>
  </w:style>
  <w:style w:type="paragraph" w:customStyle="1" w:styleId="MastersThesisSubsection">
    <w:name w:val="Master's Thesis: Subsection"/>
    <w:qFormat/>
    <w:rsid w:val="00126D8D"/>
    <w:pPr>
      <w:spacing w:line="480" w:lineRule="auto"/>
    </w:pPr>
    <w:rPr>
      <w:rFonts w:cstheme="minorBidi"/>
      <w:b/>
      <w:kern w:val="0"/>
      <w:sz w:val="28"/>
      <w14:ligatures w14:val="none"/>
    </w:rPr>
  </w:style>
  <w:style w:type="paragraph" w:customStyle="1" w:styleId="MastersThesisSubsection2">
    <w:name w:val="Master's Thesis: Subsection 2"/>
    <w:basedOn w:val="MastersThesisMainTitle"/>
    <w:qFormat/>
    <w:rsid w:val="00126D8D"/>
  </w:style>
  <w:style w:type="paragraph" w:customStyle="1" w:styleId="MastersThesisMainTitle">
    <w:name w:val="Master's Thesis: Main Title"/>
    <w:basedOn w:val="Normal"/>
    <w:qFormat/>
    <w:rsid w:val="00126D8D"/>
    <w:rPr>
      <w:rFonts w:cs="Times New Roman"/>
      <w:b/>
      <w:sz w:val="28"/>
    </w:rPr>
  </w:style>
  <w:style w:type="character" w:customStyle="1" w:styleId="Heading1Char">
    <w:name w:val="Heading 1 Char"/>
    <w:basedOn w:val="DefaultParagraphFont"/>
    <w:link w:val="Heading1"/>
    <w:uiPriority w:val="9"/>
    <w:rsid w:val="00126D8D"/>
    <w:rPr>
      <w:rFonts w:asciiTheme="majorHAnsi" w:eastAsiaTheme="majorEastAsia" w:hAnsiTheme="majorHAnsi" w:cstheme="majorBidi"/>
      <w:color w:val="2F5496" w:themeColor="accent1" w:themeShade="BF"/>
      <w:kern w:val="0"/>
      <w:sz w:val="32"/>
      <w:szCs w:val="32"/>
      <w14:ligatures w14:val="none"/>
    </w:rPr>
  </w:style>
  <w:style w:type="character" w:customStyle="1" w:styleId="Heading2Char">
    <w:name w:val="Heading 2 Char"/>
    <w:basedOn w:val="DefaultParagraphFont"/>
    <w:link w:val="Heading2"/>
    <w:uiPriority w:val="9"/>
    <w:semiHidden/>
    <w:rsid w:val="00126D8D"/>
    <w:rPr>
      <w:rFonts w:asciiTheme="majorHAnsi" w:eastAsiaTheme="majorEastAsia" w:hAnsiTheme="majorHAnsi" w:cstheme="majorBidi"/>
      <w:color w:val="2F5496" w:themeColor="accent1" w:themeShade="BF"/>
      <w:kern w:val="0"/>
      <w:sz w:val="26"/>
      <w:szCs w:val="26"/>
      <w14:ligatures w14:val="none"/>
    </w:rPr>
  </w:style>
  <w:style w:type="character" w:customStyle="1" w:styleId="Heading3Char">
    <w:name w:val="Heading 3 Char"/>
    <w:basedOn w:val="DefaultParagraphFont"/>
    <w:link w:val="Heading3"/>
    <w:uiPriority w:val="9"/>
    <w:semiHidden/>
    <w:rsid w:val="00126D8D"/>
    <w:rPr>
      <w:rFonts w:asciiTheme="majorHAnsi" w:eastAsiaTheme="majorEastAsia" w:hAnsiTheme="majorHAnsi" w:cstheme="majorBidi"/>
      <w:color w:val="1F3763" w:themeColor="accent1" w:themeShade="7F"/>
      <w:kern w:val="0"/>
      <w14:ligatures w14:val="none"/>
    </w:rPr>
  </w:style>
  <w:style w:type="character" w:customStyle="1" w:styleId="Heading4Char">
    <w:name w:val="Heading 4 Char"/>
    <w:basedOn w:val="DefaultParagraphFont"/>
    <w:link w:val="Heading4"/>
    <w:uiPriority w:val="9"/>
    <w:semiHidden/>
    <w:rsid w:val="00126D8D"/>
    <w:rPr>
      <w:rFonts w:asciiTheme="majorHAnsi" w:eastAsiaTheme="majorEastAsia" w:hAnsiTheme="majorHAnsi" w:cstheme="majorBidi"/>
      <w:i/>
      <w:iCs/>
      <w:color w:val="2F5496" w:themeColor="accent1" w:themeShade="BF"/>
      <w:kern w:val="0"/>
      <w14:ligatures w14:val="none"/>
    </w:rPr>
  </w:style>
  <w:style w:type="paragraph" w:styleId="DocumentMap">
    <w:name w:val="Document Map"/>
    <w:basedOn w:val="Normal"/>
    <w:link w:val="DocumentMapChar"/>
    <w:uiPriority w:val="99"/>
    <w:semiHidden/>
    <w:unhideWhenUsed/>
    <w:rsid w:val="00126D8D"/>
    <w:rPr>
      <w:rFonts w:cs="Times New Roman"/>
    </w:rPr>
  </w:style>
  <w:style w:type="character" w:customStyle="1" w:styleId="DocumentMapChar">
    <w:name w:val="Document Map Char"/>
    <w:basedOn w:val="DefaultParagraphFont"/>
    <w:link w:val="DocumentMap"/>
    <w:uiPriority w:val="99"/>
    <w:semiHidden/>
    <w:rsid w:val="00126D8D"/>
    <w:rPr>
      <w:kern w:val="0"/>
      <w14:ligatures w14:val="none"/>
    </w:rPr>
  </w:style>
  <w:style w:type="paragraph" w:styleId="FootnoteText">
    <w:name w:val="footnote text"/>
    <w:basedOn w:val="Normal"/>
    <w:link w:val="FootnoteTextChar"/>
    <w:uiPriority w:val="99"/>
    <w:unhideWhenUsed/>
    <w:rsid w:val="00126D8D"/>
  </w:style>
  <w:style w:type="character" w:customStyle="1" w:styleId="FootnoteTextChar">
    <w:name w:val="Footnote Text Char"/>
    <w:basedOn w:val="DefaultParagraphFont"/>
    <w:link w:val="FootnoteText"/>
    <w:uiPriority w:val="99"/>
    <w:rsid w:val="00126D8D"/>
    <w:rPr>
      <w:rFonts w:cstheme="minorBidi"/>
      <w:kern w:val="0"/>
      <w14:ligatures w14:val="none"/>
    </w:rPr>
  </w:style>
  <w:style w:type="character" w:styleId="FootnoteReference">
    <w:name w:val="footnote reference"/>
    <w:basedOn w:val="DefaultParagraphFont"/>
    <w:uiPriority w:val="99"/>
    <w:unhideWhenUsed/>
    <w:rsid w:val="00126D8D"/>
    <w:rPr>
      <w:vertAlign w:val="superscript"/>
    </w:rPr>
  </w:style>
  <w:style w:type="paragraph" w:styleId="Footer">
    <w:name w:val="footer"/>
    <w:basedOn w:val="Normal"/>
    <w:link w:val="FooterChar"/>
    <w:uiPriority w:val="99"/>
    <w:unhideWhenUsed/>
    <w:rsid w:val="00126D8D"/>
    <w:pPr>
      <w:tabs>
        <w:tab w:val="center" w:pos="4680"/>
        <w:tab w:val="right" w:pos="9360"/>
      </w:tabs>
    </w:pPr>
  </w:style>
  <w:style w:type="character" w:customStyle="1" w:styleId="FooterChar">
    <w:name w:val="Footer Char"/>
    <w:basedOn w:val="DefaultParagraphFont"/>
    <w:link w:val="Footer"/>
    <w:uiPriority w:val="99"/>
    <w:rsid w:val="00126D8D"/>
    <w:rPr>
      <w:rFonts w:cstheme="minorBidi"/>
      <w:kern w:val="0"/>
      <w14:ligatures w14:val="none"/>
    </w:rPr>
  </w:style>
  <w:style w:type="character" w:styleId="PageNumber">
    <w:name w:val="page number"/>
    <w:basedOn w:val="DefaultParagraphFont"/>
    <w:uiPriority w:val="99"/>
    <w:semiHidden/>
    <w:unhideWhenUsed/>
    <w:rsid w:val="00126D8D"/>
  </w:style>
  <w:style w:type="paragraph" w:styleId="TOC1">
    <w:name w:val="toc 1"/>
    <w:basedOn w:val="Normal"/>
    <w:next w:val="Normal"/>
    <w:autoRedefine/>
    <w:uiPriority w:val="39"/>
    <w:unhideWhenUsed/>
    <w:rsid w:val="00126D8D"/>
    <w:pPr>
      <w:tabs>
        <w:tab w:val="left" w:leader="dot" w:pos="8640"/>
      </w:tabs>
      <w:spacing w:before="120" w:after="120" w:line="240" w:lineRule="auto"/>
      <w:jc w:val="both"/>
    </w:pPr>
    <w:rPr>
      <w:bCs/>
    </w:rPr>
  </w:style>
  <w:style w:type="paragraph" w:styleId="TOC2">
    <w:name w:val="toc 2"/>
    <w:basedOn w:val="Normal"/>
    <w:next w:val="Normal"/>
    <w:autoRedefine/>
    <w:uiPriority w:val="39"/>
    <w:unhideWhenUsed/>
    <w:rsid w:val="00126D8D"/>
    <w:pPr>
      <w:tabs>
        <w:tab w:val="left" w:leader="dot" w:pos="8640"/>
      </w:tabs>
      <w:ind w:left="240"/>
    </w:pPr>
    <w:rPr>
      <w:bCs/>
      <w:sz w:val="22"/>
      <w:szCs w:val="22"/>
    </w:rPr>
  </w:style>
  <w:style w:type="paragraph" w:styleId="TOC3">
    <w:name w:val="toc 3"/>
    <w:basedOn w:val="Normal"/>
    <w:next w:val="Normal"/>
    <w:autoRedefine/>
    <w:uiPriority w:val="39"/>
    <w:unhideWhenUsed/>
    <w:rsid w:val="00126D8D"/>
    <w:pPr>
      <w:tabs>
        <w:tab w:val="left" w:leader="dot" w:pos="8640"/>
      </w:tabs>
      <w:ind w:left="480"/>
    </w:pPr>
    <w:rPr>
      <w:sz w:val="22"/>
      <w:szCs w:val="22"/>
    </w:rPr>
  </w:style>
  <w:style w:type="paragraph" w:styleId="TOC4">
    <w:name w:val="toc 4"/>
    <w:basedOn w:val="Normal"/>
    <w:next w:val="Normal"/>
    <w:autoRedefine/>
    <w:uiPriority w:val="39"/>
    <w:unhideWhenUsed/>
    <w:rsid w:val="00126D8D"/>
    <w:pPr>
      <w:ind w:left="720"/>
    </w:pPr>
    <w:rPr>
      <w:rFonts w:asciiTheme="minorHAnsi" w:hAnsiTheme="minorHAnsi"/>
      <w:sz w:val="20"/>
      <w:szCs w:val="20"/>
    </w:rPr>
  </w:style>
  <w:style w:type="paragraph" w:styleId="TOC5">
    <w:name w:val="toc 5"/>
    <w:basedOn w:val="Normal"/>
    <w:next w:val="Normal"/>
    <w:autoRedefine/>
    <w:uiPriority w:val="39"/>
    <w:unhideWhenUsed/>
    <w:rsid w:val="00126D8D"/>
    <w:pPr>
      <w:ind w:left="960"/>
    </w:pPr>
    <w:rPr>
      <w:rFonts w:asciiTheme="minorHAnsi" w:hAnsiTheme="minorHAnsi"/>
      <w:sz w:val="20"/>
      <w:szCs w:val="20"/>
    </w:rPr>
  </w:style>
  <w:style w:type="paragraph" w:styleId="TOC6">
    <w:name w:val="toc 6"/>
    <w:basedOn w:val="Normal"/>
    <w:next w:val="Normal"/>
    <w:autoRedefine/>
    <w:uiPriority w:val="39"/>
    <w:unhideWhenUsed/>
    <w:rsid w:val="00126D8D"/>
    <w:pPr>
      <w:ind w:left="1200"/>
    </w:pPr>
    <w:rPr>
      <w:rFonts w:asciiTheme="minorHAnsi" w:hAnsiTheme="minorHAnsi"/>
      <w:sz w:val="20"/>
      <w:szCs w:val="20"/>
    </w:rPr>
  </w:style>
  <w:style w:type="paragraph" w:styleId="TOC7">
    <w:name w:val="toc 7"/>
    <w:basedOn w:val="Normal"/>
    <w:next w:val="Normal"/>
    <w:autoRedefine/>
    <w:uiPriority w:val="39"/>
    <w:unhideWhenUsed/>
    <w:rsid w:val="00126D8D"/>
    <w:pPr>
      <w:ind w:left="1440"/>
    </w:pPr>
    <w:rPr>
      <w:rFonts w:asciiTheme="minorHAnsi" w:hAnsiTheme="minorHAnsi"/>
      <w:sz w:val="20"/>
      <w:szCs w:val="20"/>
    </w:rPr>
  </w:style>
  <w:style w:type="paragraph" w:styleId="TOC8">
    <w:name w:val="toc 8"/>
    <w:basedOn w:val="Normal"/>
    <w:next w:val="Normal"/>
    <w:autoRedefine/>
    <w:uiPriority w:val="39"/>
    <w:unhideWhenUsed/>
    <w:rsid w:val="00126D8D"/>
    <w:pPr>
      <w:ind w:left="1680"/>
    </w:pPr>
    <w:rPr>
      <w:rFonts w:asciiTheme="minorHAnsi" w:hAnsiTheme="minorHAnsi"/>
      <w:sz w:val="20"/>
      <w:szCs w:val="20"/>
    </w:rPr>
  </w:style>
  <w:style w:type="paragraph" w:styleId="TOC9">
    <w:name w:val="toc 9"/>
    <w:basedOn w:val="Normal"/>
    <w:next w:val="Normal"/>
    <w:autoRedefine/>
    <w:uiPriority w:val="39"/>
    <w:unhideWhenUsed/>
    <w:rsid w:val="00126D8D"/>
    <w:pPr>
      <w:ind w:left="1920"/>
    </w:pPr>
    <w:rPr>
      <w:rFonts w:asciiTheme="minorHAnsi" w:hAnsiTheme="minorHAnsi"/>
      <w:sz w:val="20"/>
      <w:szCs w:val="20"/>
    </w:rPr>
  </w:style>
  <w:style w:type="paragraph" w:styleId="Title">
    <w:name w:val="Title"/>
    <w:basedOn w:val="Normal"/>
    <w:next w:val="Normal"/>
    <w:link w:val="TitleChar"/>
    <w:uiPriority w:val="10"/>
    <w:qFormat/>
    <w:rsid w:val="00126D8D"/>
    <w:pPr>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126D8D"/>
    <w:rPr>
      <w:rFonts w:asciiTheme="majorHAnsi" w:eastAsiaTheme="majorEastAsia" w:hAnsiTheme="majorHAnsi" w:cstheme="majorBidi"/>
      <w:spacing w:val="-10"/>
      <w:kern w:val="28"/>
      <w:sz w:val="56"/>
      <w:szCs w:val="56"/>
      <w14:ligatures w14:val="none"/>
    </w:rPr>
  </w:style>
  <w:style w:type="paragraph" w:customStyle="1" w:styleId="MastersThesisChapter">
    <w:name w:val="Master's Thesis: Chapter"/>
    <w:basedOn w:val="Normal"/>
    <w:next w:val="Normal"/>
    <w:qFormat/>
    <w:rsid w:val="00126D8D"/>
    <w:pPr>
      <w:framePr w:hSpace="187" w:vSpace="187" w:wrap="around" w:vAnchor="page" w:hAnchor="page" w:xAlign="center" w:yAlign="center"/>
      <w:spacing w:line="240" w:lineRule="auto"/>
      <w:jc w:val="center"/>
    </w:pPr>
    <w:rPr>
      <w:b/>
      <w:sz w:val="32"/>
    </w:rPr>
  </w:style>
  <w:style w:type="paragraph" w:customStyle="1" w:styleId="MastersThesisSectionHeader">
    <w:name w:val="Master's Thesis: Section Header"/>
    <w:qFormat/>
    <w:rsid w:val="00126D8D"/>
    <w:pPr>
      <w:spacing w:line="480" w:lineRule="auto"/>
      <w:jc w:val="both"/>
    </w:pPr>
    <w:rPr>
      <w:b/>
      <w:i/>
      <w:iCs/>
      <w:kern w:val="0"/>
      <w:sz w:val="26"/>
      <w:szCs w:val="26"/>
      <w14:ligatures w14:val="none"/>
    </w:rPr>
  </w:style>
  <w:style w:type="character" w:customStyle="1" w:styleId="CommentTextChar">
    <w:name w:val="Comment Text Char"/>
    <w:basedOn w:val="DefaultParagraphFont"/>
    <w:link w:val="CommentText"/>
    <w:uiPriority w:val="99"/>
    <w:semiHidden/>
    <w:rsid w:val="00126D8D"/>
  </w:style>
  <w:style w:type="paragraph" w:styleId="CommentText">
    <w:name w:val="annotation text"/>
    <w:basedOn w:val="Normal"/>
    <w:link w:val="CommentTextChar"/>
    <w:uiPriority w:val="99"/>
    <w:semiHidden/>
    <w:unhideWhenUsed/>
    <w:rsid w:val="00126D8D"/>
    <w:pPr>
      <w:spacing w:line="240" w:lineRule="auto"/>
      <w:jc w:val="both"/>
    </w:pPr>
    <w:rPr>
      <w:rFonts w:cs="Times New Roman"/>
      <w:kern w:val="2"/>
      <w14:ligatures w14:val="standardContextual"/>
    </w:rPr>
  </w:style>
  <w:style w:type="character" w:customStyle="1" w:styleId="CommentTextChar1">
    <w:name w:val="Comment Text Char1"/>
    <w:basedOn w:val="DefaultParagraphFont"/>
    <w:uiPriority w:val="99"/>
    <w:semiHidden/>
    <w:rsid w:val="00126D8D"/>
    <w:rPr>
      <w:rFonts w:ascii="Times New Roman" w:hAnsi="Times New Roman"/>
      <w:sz w:val="20"/>
      <w:szCs w:val="20"/>
    </w:rPr>
  </w:style>
  <w:style w:type="character" w:customStyle="1" w:styleId="CommentSubjectChar">
    <w:name w:val="Comment Subject Char"/>
    <w:basedOn w:val="CommentTextChar"/>
    <w:link w:val="CommentSubject"/>
    <w:uiPriority w:val="99"/>
    <w:semiHidden/>
    <w:rsid w:val="00126D8D"/>
    <w:rPr>
      <w:b/>
      <w:bCs/>
      <w:sz w:val="20"/>
      <w:szCs w:val="20"/>
    </w:rPr>
  </w:style>
  <w:style w:type="paragraph" w:styleId="CommentSubject">
    <w:name w:val="annotation subject"/>
    <w:basedOn w:val="CommentText"/>
    <w:next w:val="CommentText"/>
    <w:link w:val="CommentSubjectChar"/>
    <w:uiPriority w:val="99"/>
    <w:semiHidden/>
    <w:unhideWhenUsed/>
    <w:rsid w:val="00126D8D"/>
    <w:rPr>
      <w:b/>
      <w:bCs/>
      <w:sz w:val="20"/>
      <w:szCs w:val="20"/>
    </w:rPr>
  </w:style>
  <w:style w:type="character" w:customStyle="1" w:styleId="CommentSubjectChar1">
    <w:name w:val="Comment Subject Char1"/>
    <w:basedOn w:val="CommentTextChar1"/>
    <w:uiPriority w:val="99"/>
    <w:semiHidden/>
    <w:rsid w:val="00126D8D"/>
    <w:rPr>
      <w:rFonts w:ascii="Times New Roman" w:hAnsi="Times New Roman"/>
      <w:b/>
      <w:bCs/>
      <w:sz w:val="20"/>
      <w:szCs w:val="20"/>
    </w:rPr>
  </w:style>
  <w:style w:type="character" w:customStyle="1" w:styleId="BalloonTextChar">
    <w:name w:val="Balloon Text Char"/>
    <w:basedOn w:val="DefaultParagraphFont"/>
    <w:link w:val="BalloonText"/>
    <w:uiPriority w:val="99"/>
    <w:semiHidden/>
    <w:rsid w:val="00126D8D"/>
    <w:rPr>
      <w:sz w:val="18"/>
      <w:szCs w:val="18"/>
    </w:rPr>
  </w:style>
  <w:style w:type="paragraph" w:styleId="BalloonText">
    <w:name w:val="Balloon Text"/>
    <w:basedOn w:val="Normal"/>
    <w:link w:val="BalloonTextChar"/>
    <w:uiPriority w:val="99"/>
    <w:semiHidden/>
    <w:unhideWhenUsed/>
    <w:rsid w:val="00126D8D"/>
    <w:pPr>
      <w:spacing w:line="240" w:lineRule="auto"/>
      <w:jc w:val="both"/>
    </w:pPr>
    <w:rPr>
      <w:rFonts w:cs="Times New Roman"/>
      <w:kern w:val="2"/>
      <w:sz w:val="18"/>
      <w:szCs w:val="18"/>
      <w14:ligatures w14:val="standardContextual"/>
    </w:rPr>
  </w:style>
  <w:style w:type="character" w:customStyle="1" w:styleId="BalloonTextChar1">
    <w:name w:val="Balloon Text Char1"/>
    <w:basedOn w:val="DefaultParagraphFont"/>
    <w:uiPriority w:val="99"/>
    <w:semiHidden/>
    <w:rsid w:val="00126D8D"/>
    <w:rPr>
      <w:rFonts w:ascii="Times New Roman" w:hAnsi="Times New Roman" w:cs="Times New Roman"/>
      <w:sz w:val="18"/>
      <w:szCs w:val="18"/>
    </w:rPr>
  </w:style>
  <w:style w:type="character" w:customStyle="1" w:styleId="HeaderChar">
    <w:name w:val="Header Char"/>
    <w:basedOn w:val="DefaultParagraphFont"/>
    <w:link w:val="Header"/>
    <w:uiPriority w:val="99"/>
    <w:rsid w:val="00126D8D"/>
  </w:style>
  <w:style w:type="paragraph" w:styleId="Header">
    <w:name w:val="header"/>
    <w:basedOn w:val="Normal"/>
    <w:link w:val="HeaderChar"/>
    <w:uiPriority w:val="99"/>
    <w:unhideWhenUsed/>
    <w:rsid w:val="00126D8D"/>
    <w:pPr>
      <w:tabs>
        <w:tab w:val="center" w:pos="4680"/>
        <w:tab w:val="right" w:pos="9360"/>
      </w:tabs>
      <w:spacing w:line="240" w:lineRule="auto"/>
      <w:jc w:val="both"/>
    </w:pPr>
    <w:rPr>
      <w:rFonts w:cs="Times New Roman"/>
      <w:kern w:val="2"/>
      <w14:ligatures w14:val="standardContextual"/>
    </w:rPr>
  </w:style>
  <w:style w:type="character" w:customStyle="1" w:styleId="HeaderChar1">
    <w:name w:val="Header Char1"/>
    <w:basedOn w:val="DefaultParagraphFont"/>
    <w:uiPriority w:val="99"/>
    <w:semiHidden/>
    <w:rsid w:val="00126D8D"/>
    <w:rPr>
      <w:rFonts w:ascii="Times New Roman" w:hAnsi="Times New Roman"/>
    </w:rPr>
  </w:style>
  <w:style w:type="character" w:styleId="CommentReference">
    <w:name w:val="annotation reference"/>
    <w:basedOn w:val="DefaultParagraphFont"/>
    <w:uiPriority w:val="99"/>
    <w:semiHidden/>
    <w:unhideWhenUsed/>
    <w:rsid w:val="00126D8D"/>
    <w:rPr>
      <w:sz w:val="18"/>
      <w:szCs w:val="18"/>
    </w:rPr>
  </w:style>
  <w:style w:type="paragraph" w:customStyle="1" w:styleId="EndNoteBibliography">
    <w:name w:val="EndNote Bibliography"/>
    <w:basedOn w:val="Normal"/>
    <w:rsid w:val="00126D8D"/>
    <w:pPr>
      <w:jc w:val="both"/>
    </w:pPr>
    <w:rPr>
      <w:rFonts w:cs="Times New Roman"/>
    </w:rPr>
  </w:style>
  <w:style w:type="paragraph" w:styleId="TOCHeading">
    <w:name w:val="TOC Heading"/>
    <w:basedOn w:val="Heading1"/>
    <w:next w:val="Normal"/>
    <w:uiPriority w:val="39"/>
    <w:unhideWhenUsed/>
    <w:qFormat/>
    <w:rsid w:val="00126D8D"/>
    <w:pPr>
      <w:spacing w:before="480" w:line="276" w:lineRule="auto"/>
      <w:outlineLvl w:val="9"/>
    </w:pPr>
    <w:rPr>
      <w:b/>
      <w:bCs/>
      <w:sz w:val="28"/>
      <w:szCs w:val="28"/>
    </w:rPr>
  </w:style>
  <w:style w:type="character" w:styleId="Hyperlink">
    <w:name w:val="Hyperlink"/>
    <w:basedOn w:val="DefaultParagraphFont"/>
    <w:uiPriority w:val="99"/>
    <w:unhideWhenUsed/>
    <w:rsid w:val="00126D8D"/>
    <w:rPr>
      <w:color w:val="0563C1" w:themeColor="hyperlink"/>
      <w:u w:val="single"/>
    </w:rPr>
  </w:style>
  <w:style w:type="paragraph" w:customStyle="1" w:styleId="EndNoteBibliographyTitle">
    <w:name w:val="EndNote Bibliography Title"/>
    <w:basedOn w:val="Normal"/>
    <w:rsid w:val="00126D8D"/>
    <w:pPr>
      <w:jc w:val="center"/>
    </w:pPr>
    <w:rPr>
      <w:rFonts w:cs="Times New Roman"/>
    </w:rPr>
  </w:style>
  <w:style w:type="paragraph" w:customStyle="1" w:styleId="TableTOC">
    <w:name w:val="Table TOC"/>
    <w:basedOn w:val="Normal"/>
    <w:qFormat/>
    <w:rsid w:val="00126D8D"/>
    <w:pPr>
      <w:spacing w:line="240" w:lineRule="auto"/>
    </w:pPr>
  </w:style>
  <w:style w:type="paragraph" w:styleId="TableofFigures">
    <w:name w:val="table of figures"/>
    <w:basedOn w:val="Normal"/>
    <w:next w:val="Normal"/>
    <w:uiPriority w:val="99"/>
    <w:unhideWhenUsed/>
    <w:rsid w:val="00126D8D"/>
    <w:pPr>
      <w:ind w:left="480" w:hanging="480"/>
    </w:pPr>
  </w:style>
  <w:style w:type="paragraph" w:customStyle="1" w:styleId="TOCFigures">
    <w:name w:val="TOC Figures"/>
    <w:basedOn w:val="Normal"/>
    <w:qFormat/>
    <w:rsid w:val="00126D8D"/>
    <w:pPr>
      <w:spacing w:line="240" w:lineRule="auto"/>
    </w:pPr>
    <w:rPr>
      <w:b/>
    </w:rPr>
  </w:style>
  <w:style w:type="paragraph" w:customStyle="1" w:styleId="TOCFigures1">
    <w:name w:val="TOC Figures1"/>
    <w:basedOn w:val="Normal"/>
    <w:qFormat/>
    <w:rsid w:val="00126D8D"/>
    <w:pPr>
      <w:spacing w:line="240" w:lineRule="auto"/>
      <w:jc w:val="both"/>
    </w:pPr>
  </w:style>
  <w:style w:type="paragraph" w:customStyle="1" w:styleId="Body">
    <w:name w:val="Body"/>
    <w:rsid w:val="00126D8D"/>
    <w:pPr>
      <w:pBdr>
        <w:top w:val="nil"/>
        <w:left w:val="nil"/>
        <w:bottom w:val="nil"/>
        <w:right w:val="nil"/>
        <w:between w:val="nil"/>
        <w:bar w:val="nil"/>
      </w:pBdr>
    </w:pPr>
    <w:rPr>
      <w:rFonts w:ascii="Cambria" w:eastAsia="Cambria" w:hAnsi="Cambria" w:cs="Cambria"/>
      <w:color w:val="000000"/>
      <w:kern w:val="0"/>
      <w:u w:color="000000"/>
      <w:bdr w:val="nil"/>
      <w14:ligatures w14:val="none"/>
    </w:rPr>
  </w:style>
  <w:style w:type="table" w:customStyle="1" w:styleId="PlainTable11">
    <w:name w:val="Plain Table 11"/>
    <w:basedOn w:val="TableNormal"/>
    <w:uiPriority w:val="41"/>
    <w:rsid w:val="00126D8D"/>
    <w:rPr>
      <w:rFonts w:asciiTheme="minorHAnsi" w:hAnsiTheme="minorHAnsi" w:cstheme="minorBidi"/>
      <w:kern w:val="0"/>
      <w14:ligatures w14:val="none"/>
    </w:r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PlainTable12">
    <w:name w:val="Plain Table 12"/>
    <w:basedOn w:val="TableNormal"/>
    <w:uiPriority w:val="41"/>
    <w:rsid w:val="00126D8D"/>
    <w:rPr>
      <w:rFonts w:asciiTheme="minorHAnsi" w:hAnsiTheme="minorHAnsi" w:cstheme="minorBidi"/>
      <w:kern w:val="0"/>
      <w14:ligatures w14:val="none"/>
    </w:r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paragraph" w:styleId="Revision">
    <w:name w:val="Revision"/>
    <w:hidden/>
    <w:uiPriority w:val="99"/>
    <w:semiHidden/>
    <w:rsid w:val="00126D8D"/>
    <w:rPr>
      <w:rFonts w:cstheme="minorBidi"/>
      <w:kern w:val="0"/>
      <w14:ligatures w14:val="none"/>
    </w:rPr>
  </w:style>
  <w:style w:type="paragraph" w:customStyle="1" w:styleId="MSThesisBodyTextJustified">
    <w:name w:val="MS Thesis Body Text + Justified"/>
    <w:basedOn w:val="Normal"/>
    <w:qFormat/>
    <w:rsid w:val="00126D8D"/>
    <w:pPr>
      <w:ind w:firstLine="720"/>
      <w:jc w:val="both"/>
    </w:pPr>
    <w:rPr>
      <w:rFonts w:cs="Times New Roman"/>
    </w:rPr>
  </w:style>
  <w:style w:type="character" w:styleId="UnresolvedMention">
    <w:name w:val="Unresolved Mention"/>
    <w:basedOn w:val="DefaultParagraphFont"/>
    <w:uiPriority w:val="99"/>
    <w:rsid w:val="00126D8D"/>
    <w:rPr>
      <w:color w:val="605E5C"/>
      <w:shd w:val="clear" w:color="auto" w:fill="E1DFDD"/>
    </w:rPr>
  </w:style>
  <w:style w:type="character" w:styleId="FollowedHyperlink">
    <w:name w:val="FollowedHyperlink"/>
    <w:basedOn w:val="DefaultParagraphFont"/>
    <w:uiPriority w:val="99"/>
    <w:semiHidden/>
    <w:unhideWhenUsed/>
    <w:rsid w:val="00126D8D"/>
    <w:rPr>
      <w:color w:val="954F72" w:themeColor="followedHyperlink"/>
      <w:u w:val="single"/>
    </w:rPr>
  </w:style>
  <w:style w:type="paragraph" w:styleId="NormalWeb">
    <w:name w:val="Normal (Web)"/>
    <w:basedOn w:val="Normal"/>
    <w:uiPriority w:val="99"/>
    <w:unhideWhenUsed/>
    <w:rsid w:val="00126D8D"/>
    <w:pPr>
      <w:spacing w:before="100" w:beforeAutospacing="1" w:after="100" w:afterAutospacing="1" w:line="240" w:lineRule="auto"/>
    </w:pPr>
    <w:rPr>
      <w:rFonts w:eastAsia="Times New Roman" w:cs="Times New Roman"/>
    </w:rPr>
  </w:style>
  <w:style w:type="character" w:styleId="Emphasis">
    <w:name w:val="Emphasis"/>
    <w:basedOn w:val="DefaultParagraphFont"/>
    <w:uiPriority w:val="20"/>
    <w:qFormat/>
    <w:rsid w:val="00126D8D"/>
    <w:rPr>
      <w:i/>
      <w:iCs/>
    </w:rPr>
  </w:style>
  <w:style w:type="paragraph" w:customStyle="1" w:styleId="ql-align-justify">
    <w:name w:val="ql-align-justify"/>
    <w:basedOn w:val="Normal"/>
    <w:rsid w:val="00126D8D"/>
    <w:pPr>
      <w:spacing w:before="100" w:beforeAutospacing="1" w:after="100" w:afterAutospacing="1" w:line="240" w:lineRule="auto"/>
    </w:pPr>
    <w:rPr>
      <w:rFonts w:eastAsia="Times New Roman" w:cs="Times New Roman"/>
    </w:rPr>
  </w:style>
  <w:style w:type="table" w:styleId="TableGrid">
    <w:name w:val="Table Grid"/>
    <w:basedOn w:val="TableNormal"/>
    <w:uiPriority w:val="39"/>
    <w:rsid w:val="00126D8D"/>
    <w:rPr>
      <w:rFonts w:asciiTheme="minorHAnsi" w:hAnsiTheme="minorHAnsi" w:cstheme="minorBidi"/>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msonormal0">
    <w:name w:val="msonormal"/>
    <w:basedOn w:val="Normal"/>
    <w:rsid w:val="00126D8D"/>
    <w:pPr>
      <w:spacing w:before="100" w:beforeAutospacing="1" w:after="100" w:afterAutospacing="1" w:line="240" w:lineRule="auto"/>
    </w:pPr>
    <w:rPr>
      <w:rFonts w:eastAsia="Times New Roman" w:cs="Times New Roman"/>
    </w:rPr>
  </w:style>
  <w:style w:type="paragraph" w:customStyle="1" w:styleId="xl65">
    <w:name w:val="xl65"/>
    <w:basedOn w:val="Normal"/>
    <w:rsid w:val="00126D8D"/>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Arial" w:eastAsia="Times New Roman" w:hAnsi="Arial" w:cs="Arial"/>
      <w:sz w:val="14"/>
      <w:szCs w:val="14"/>
    </w:rPr>
  </w:style>
  <w:style w:type="paragraph" w:customStyle="1" w:styleId="xl66">
    <w:name w:val="xl66"/>
    <w:basedOn w:val="Normal"/>
    <w:rsid w:val="00126D8D"/>
    <w:pPr>
      <w:spacing w:before="100" w:beforeAutospacing="1" w:after="100" w:afterAutospacing="1" w:line="240" w:lineRule="auto"/>
      <w:jc w:val="right"/>
    </w:pPr>
    <w:rPr>
      <w:rFonts w:ascii="Arial" w:eastAsia="Times New Roman" w:hAnsi="Arial" w:cs="Arial"/>
      <w:b/>
      <w:bCs/>
      <w:color w:val="000000"/>
      <w:sz w:val="14"/>
      <w:szCs w:val="14"/>
    </w:rPr>
  </w:style>
  <w:style w:type="paragraph" w:customStyle="1" w:styleId="xl67">
    <w:name w:val="xl67"/>
    <w:basedOn w:val="Normal"/>
    <w:rsid w:val="00126D8D"/>
    <w:pPr>
      <w:pBdr>
        <w:top w:val="single" w:sz="4" w:space="0" w:color="auto"/>
        <w:left w:val="single" w:sz="4" w:space="0" w:color="auto"/>
        <w:bottom w:val="single" w:sz="4" w:space="0" w:color="auto"/>
        <w:right w:val="single" w:sz="4" w:space="0" w:color="auto"/>
      </w:pBdr>
      <w:shd w:val="clear" w:color="FFFFFF" w:fill="D9E7FD"/>
      <w:spacing w:before="100" w:beforeAutospacing="1" w:after="100" w:afterAutospacing="1" w:line="240" w:lineRule="auto"/>
    </w:pPr>
    <w:rPr>
      <w:rFonts w:ascii="Arial" w:eastAsia="Times New Roman" w:hAnsi="Arial" w:cs="Arial"/>
      <w:b/>
      <w:bCs/>
      <w:color w:val="000000"/>
      <w:sz w:val="14"/>
      <w:szCs w:val="14"/>
    </w:rPr>
  </w:style>
  <w:style w:type="paragraph" w:customStyle="1" w:styleId="xl68">
    <w:name w:val="xl68"/>
    <w:basedOn w:val="Normal"/>
    <w:rsid w:val="00126D8D"/>
    <w:pPr>
      <w:spacing w:before="100" w:beforeAutospacing="1" w:after="100" w:afterAutospacing="1" w:line="240" w:lineRule="auto"/>
      <w:jc w:val="right"/>
    </w:pPr>
    <w:rPr>
      <w:rFonts w:ascii="Arial" w:eastAsia="Times New Roman" w:hAnsi="Arial" w:cs="Arial"/>
      <w:color w:val="000000"/>
      <w:sz w:val="14"/>
      <w:szCs w:val="14"/>
    </w:rPr>
  </w:style>
  <w:style w:type="paragraph" w:customStyle="1" w:styleId="xl69">
    <w:name w:val="xl69"/>
    <w:basedOn w:val="Normal"/>
    <w:rsid w:val="00126D8D"/>
    <w:pPr>
      <w:spacing w:before="100" w:beforeAutospacing="1" w:after="100" w:afterAutospacing="1" w:line="240" w:lineRule="auto"/>
      <w:jc w:val="right"/>
    </w:pPr>
    <w:rPr>
      <w:rFonts w:ascii="Arial" w:eastAsia="Times New Roman" w:hAnsi="Arial" w:cs="Arial"/>
      <w:color w:val="000000"/>
      <w:sz w:val="14"/>
      <w:szCs w:val="14"/>
    </w:rPr>
  </w:style>
  <w:style w:type="paragraph" w:customStyle="1" w:styleId="xl70">
    <w:name w:val="xl70"/>
    <w:basedOn w:val="Normal"/>
    <w:rsid w:val="00126D8D"/>
    <w:pPr>
      <w:pBdr>
        <w:top w:val="single" w:sz="4" w:space="0" w:color="auto"/>
        <w:left w:val="single" w:sz="4" w:space="0" w:color="auto"/>
        <w:bottom w:val="single" w:sz="4" w:space="0" w:color="auto"/>
        <w:right w:val="single" w:sz="4" w:space="0" w:color="auto"/>
      </w:pBdr>
      <w:shd w:val="clear" w:color="FFFFFF" w:fill="FBDAD7"/>
      <w:spacing w:before="100" w:beforeAutospacing="1" w:after="100" w:afterAutospacing="1" w:line="240" w:lineRule="auto"/>
    </w:pPr>
    <w:rPr>
      <w:rFonts w:ascii="Arial" w:eastAsia="Times New Roman" w:hAnsi="Arial" w:cs="Arial"/>
      <w:b/>
      <w:bCs/>
      <w:color w:val="000000"/>
      <w:sz w:val="14"/>
      <w:szCs w:val="14"/>
    </w:rPr>
  </w:style>
  <w:style w:type="paragraph" w:customStyle="1" w:styleId="xl71">
    <w:name w:val="xl71"/>
    <w:basedOn w:val="Normal"/>
    <w:rsid w:val="00126D8D"/>
    <w:pPr>
      <w:pBdr>
        <w:top w:val="single" w:sz="4" w:space="0" w:color="auto"/>
        <w:left w:val="single" w:sz="4" w:space="0" w:color="auto"/>
        <w:bottom w:val="single" w:sz="4" w:space="0" w:color="auto"/>
        <w:right w:val="single" w:sz="4" w:space="0" w:color="auto"/>
      </w:pBdr>
      <w:shd w:val="clear" w:color="FFFFFF" w:fill="D1F1DA"/>
      <w:spacing w:before="100" w:beforeAutospacing="1" w:after="100" w:afterAutospacing="1" w:line="240" w:lineRule="auto"/>
    </w:pPr>
    <w:rPr>
      <w:rFonts w:ascii="Arial" w:eastAsia="Times New Roman" w:hAnsi="Arial" w:cs="Arial"/>
      <w:b/>
      <w:bCs/>
      <w:color w:val="000000"/>
      <w:sz w:val="14"/>
      <w:szCs w:val="14"/>
    </w:rPr>
  </w:style>
  <w:style w:type="paragraph" w:customStyle="1" w:styleId="xl72">
    <w:name w:val="xl72"/>
    <w:basedOn w:val="Normal"/>
    <w:rsid w:val="00126D8D"/>
    <w:pPr>
      <w:pBdr>
        <w:top w:val="single" w:sz="4" w:space="0" w:color="auto"/>
        <w:left w:val="single" w:sz="4" w:space="0" w:color="auto"/>
        <w:bottom w:val="single" w:sz="4" w:space="0" w:color="auto"/>
        <w:right w:val="single" w:sz="4" w:space="0" w:color="auto"/>
      </w:pBdr>
      <w:shd w:val="clear" w:color="FFFFFF" w:fill="FFE1CC"/>
      <w:spacing w:before="100" w:beforeAutospacing="1" w:after="100" w:afterAutospacing="1" w:line="240" w:lineRule="auto"/>
    </w:pPr>
    <w:rPr>
      <w:rFonts w:ascii="Arial" w:eastAsia="Times New Roman" w:hAnsi="Arial" w:cs="Arial"/>
      <w:b/>
      <w:bCs/>
      <w:color w:val="000000"/>
      <w:sz w:val="14"/>
      <w:szCs w:val="14"/>
    </w:rPr>
  </w:style>
  <w:style w:type="paragraph" w:customStyle="1" w:styleId="xl73">
    <w:name w:val="xl73"/>
    <w:basedOn w:val="Normal"/>
    <w:rsid w:val="00126D8D"/>
    <w:pPr>
      <w:pBdr>
        <w:top w:val="single" w:sz="4" w:space="0" w:color="auto"/>
        <w:left w:val="single" w:sz="4" w:space="0" w:color="auto"/>
        <w:bottom w:val="single" w:sz="4" w:space="0" w:color="auto"/>
        <w:right w:val="single" w:sz="4" w:space="0" w:color="auto"/>
      </w:pBdr>
      <w:shd w:val="clear" w:color="FFFFFF" w:fill="DAF1F3"/>
      <w:spacing w:before="100" w:beforeAutospacing="1" w:after="100" w:afterAutospacing="1" w:line="240" w:lineRule="auto"/>
    </w:pPr>
    <w:rPr>
      <w:rFonts w:ascii="Arial" w:eastAsia="Times New Roman" w:hAnsi="Arial" w:cs="Arial"/>
      <w:b/>
      <w:bCs/>
      <w:color w:val="000000"/>
      <w:sz w:val="14"/>
      <w:szCs w:val="14"/>
    </w:rPr>
  </w:style>
  <w:style w:type="paragraph" w:customStyle="1" w:styleId="xl74">
    <w:name w:val="xl74"/>
    <w:basedOn w:val="Normal"/>
    <w:rsid w:val="00126D8D"/>
    <w:pPr>
      <w:spacing w:before="100" w:beforeAutospacing="1" w:after="100" w:afterAutospacing="1" w:line="240" w:lineRule="auto"/>
    </w:pPr>
    <w:rPr>
      <w:rFonts w:ascii="Arial" w:eastAsia="Times New Roman" w:hAnsi="Arial" w:cs="Arial"/>
      <w:color w:val="000000"/>
      <w:sz w:val="14"/>
      <w:szCs w:val="14"/>
    </w:rPr>
  </w:style>
  <w:style w:type="paragraph" w:customStyle="1" w:styleId="xl75">
    <w:name w:val="xl75"/>
    <w:basedOn w:val="Normal"/>
    <w:rsid w:val="00126D8D"/>
    <w:pPr>
      <w:pBdr>
        <w:top w:val="single" w:sz="4" w:space="0" w:color="auto"/>
        <w:left w:val="single" w:sz="4" w:space="0" w:color="auto"/>
        <w:bottom w:val="single" w:sz="4" w:space="0" w:color="auto"/>
        <w:right w:val="single" w:sz="4" w:space="0" w:color="auto"/>
      </w:pBdr>
      <w:shd w:val="clear" w:color="FFFFFF" w:fill="DAF1F3"/>
      <w:spacing w:before="100" w:beforeAutospacing="1" w:after="100" w:afterAutospacing="1" w:line="240" w:lineRule="auto"/>
    </w:pPr>
    <w:rPr>
      <w:rFonts w:ascii="Arial" w:eastAsia="Times New Roman" w:hAnsi="Arial" w:cs="Arial"/>
      <w:b/>
      <w:bCs/>
      <w:color w:val="000000"/>
      <w:sz w:val="14"/>
      <w:szCs w:val="14"/>
    </w:rPr>
  </w:style>
  <w:style w:type="paragraph" w:customStyle="1" w:styleId="xl76">
    <w:name w:val="xl76"/>
    <w:basedOn w:val="Normal"/>
    <w:rsid w:val="00126D8D"/>
    <w:pPr>
      <w:pBdr>
        <w:top w:val="single" w:sz="4" w:space="0" w:color="auto"/>
        <w:left w:val="single" w:sz="4" w:space="0" w:color="auto"/>
        <w:bottom w:val="single" w:sz="4" w:space="0" w:color="auto"/>
        <w:right w:val="single" w:sz="4" w:space="0" w:color="auto"/>
      </w:pBdr>
      <w:shd w:val="clear" w:color="FFFFFF" w:fill="D9E7FD"/>
      <w:spacing w:before="100" w:beforeAutospacing="1" w:after="100" w:afterAutospacing="1" w:line="240" w:lineRule="auto"/>
    </w:pPr>
    <w:rPr>
      <w:rFonts w:ascii="Arial" w:eastAsia="Times New Roman" w:hAnsi="Arial" w:cs="Arial"/>
      <w:b/>
      <w:bCs/>
      <w:sz w:val="14"/>
      <w:szCs w:val="14"/>
    </w:rPr>
  </w:style>
  <w:style w:type="paragraph" w:customStyle="1" w:styleId="xl77">
    <w:name w:val="xl77"/>
    <w:basedOn w:val="Normal"/>
    <w:rsid w:val="00126D8D"/>
    <w:pPr>
      <w:pBdr>
        <w:top w:val="single" w:sz="4" w:space="0" w:color="auto"/>
        <w:bottom w:val="single" w:sz="4" w:space="0" w:color="auto"/>
        <w:right w:val="single" w:sz="4" w:space="0" w:color="auto"/>
      </w:pBdr>
      <w:shd w:val="clear" w:color="FFFFFF" w:fill="FBDAD7"/>
      <w:spacing w:before="100" w:beforeAutospacing="1" w:after="100" w:afterAutospacing="1" w:line="240" w:lineRule="auto"/>
    </w:pPr>
    <w:rPr>
      <w:rFonts w:ascii="Arial" w:eastAsia="Times New Roman" w:hAnsi="Arial" w:cs="Arial"/>
      <w:b/>
      <w:bCs/>
      <w:color w:val="000000"/>
      <w:sz w:val="14"/>
      <w:szCs w:val="14"/>
    </w:rPr>
  </w:style>
  <w:style w:type="paragraph" w:customStyle="1" w:styleId="xl78">
    <w:name w:val="xl78"/>
    <w:basedOn w:val="Normal"/>
    <w:rsid w:val="00126D8D"/>
    <w:pPr>
      <w:pBdr>
        <w:top w:val="single" w:sz="4" w:space="0" w:color="auto"/>
        <w:left w:val="single" w:sz="4" w:space="0" w:color="auto"/>
        <w:bottom w:val="single" w:sz="4" w:space="0" w:color="auto"/>
        <w:right w:val="single" w:sz="4" w:space="0" w:color="auto"/>
      </w:pBdr>
      <w:shd w:val="clear" w:color="FFFFFF" w:fill="FEF2CD"/>
      <w:spacing w:before="100" w:beforeAutospacing="1" w:after="100" w:afterAutospacing="1" w:line="240" w:lineRule="auto"/>
    </w:pPr>
    <w:rPr>
      <w:rFonts w:ascii="Arial" w:eastAsia="Times New Roman" w:hAnsi="Arial" w:cs="Arial"/>
      <w:b/>
      <w:bCs/>
      <w:color w:val="000000"/>
      <w:sz w:val="14"/>
      <w:szCs w:val="14"/>
    </w:rPr>
  </w:style>
  <w:style w:type="paragraph" w:customStyle="1" w:styleId="xl79">
    <w:name w:val="xl79"/>
    <w:basedOn w:val="Normal"/>
    <w:rsid w:val="00126D8D"/>
    <w:pPr>
      <w:pBdr>
        <w:top w:val="single" w:sz="4" w:space="0" w:color="auto"/>
        <w:left w:val="single" w:sz="4" w:space="0" w:color="auto"/>
        <w:bottom w:val="single" w:sz="4" w:space="0" w:color="auto"/>
        <w:right w:val="single" w:sz="4" w:space="0" w:color="auto"/>
      </w:pBdr>
      <w:shd w:val="clear" w:color="000000" w:fill="FEF2CD"/>
      <w:spacing w:before="100" w:beforeAutospacing="1" w:after="100" w:afterAutospacing="1" w:line="240" w:lineRule="auto"/>
    </w:pPr>
    <w:rPr>
      <w:rFonts w:ascii="Arial" w:eastAsia="Times New Roman" w:hAnsi="Arial" w:cs="Arial"/>
      <w:b/>
      <w:bCs/>
      <w:sz w:val="14"/>
      <w:szCs w:val="14"/>
    </w:rPr>
  </w:style>
  <w:style w:type="paragraph" w:customStyle="1" w:styleId="xl80">
    <w:name w:val="xl80"/>
    <w:basedOn w:val="Normal"/>
    <w:rsid w:val="00126D8D"/>
    <w:pPr>
      <w:pBdr>
        <w:top w:val="single" w:sz="4" w:space="0" w:color="auto"/>
        <w:left w:val="single" w:sz="4" w:space="0" w:color="auto"/>
        <w:bottom w:val="single" w:sz="4" w:space="0" w:color="auto"/>
        <w:right w:val="single" w:sz="4" w:space="0" w:color="auto"/>
      </w:pBdr>
      <w:shd w:val="clear" w:color="FFFFFF" w:fill="FEF2CD"/>
      <w:spacing w:before="100" w:beforeAutospacing="1" w:after="100" w:afterAutospacing="1" w:line="240" w:lineRule="auto"/>
    </w:pPr>
    <w:rPr>
      <w:rFonts w:ascii="Arial" w:eastAsia="Times New Roman" w:hAnsi="Arial" w:cs="Arial"/>
      <w:b/>
      <w:bCs/>
      <w:color w:val="000000"/>
      <w:sz w:val="12"/>
      <w:szCs w:val="12"/>
    </w:rPr>
  </w:style>
  <w:style w:type="paragraph" w:customStyle="1" w:styleId="Style1">
    <w:name w:val="Style1"/>
    <w:basedOn w:val="MastersThesisSectionHeader"/>
    <w:qFormat/>
    <w:rsid w:val="00126D8D"/>
    <w:pPr>
      <w:spacing w:line="240" w:lineRule="auto"/>
    </w:pPr>
    <w:rPr>
      <w:i w:val="0"/>
      <w:iCs w:val="0"/>
      <w:color w:val="000000" w:themeColor="text1"/>
    </w:rPr>
  </w:style>
  <w:style w:type="character" w:styleId="Strong">
    <w:name w:val="Strong"/>
    <w:basedOn w:val="DefaultParagraphFont"/>
    <w:uiPriority w:val="22"/>
    <w:qFormat/>
    <w:rsid w:val="00126D8D"/>
    <w:rPr>
      <w:b/>
      <w:bCs/>
    </w:rPr>
  </w:style>
  <w:style w:type="character" w:customStyle="1" w:styleId="apple-converted-space">
    <w:name w:val="apple-converted-space"/>
    <w:basedOn w:val="DefaultParagraphFont"/>
    <w:rsid w:val="00126D8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3.tiff"/><Relationship Id="rId18" Type="http://schemas.openxmlformats.org/officeDocument/2006/relationships/hyperlink" Target="mailto:carlsams@utk.edu" TargetMode="External"/><Relationship Id="rId26" Type="http://schemas.openxmlformats.org/officeDocument/2006/relationships/chart" Target="charts/chart6.xml"/><Relationship Id="rId39" Type="http://schemas.openxmlformats.org/officeDocument/2006/relationships/image" Target="media/image9.jpeg"/><Relationship Id="rId21" Type="http://schemas.openxmlformats.org/officeDocument/2006/relationships/chart" Target="charts/chart3.xml"/><Relationship Id="rId34" Type="http://schemas.openxmlformats.org/officeDocument/2006/relationships/chart" Target="charts/chart14.xml"/><Relationship Id="rId42" Type="http://schemas.openxmlformats.org/officeDocument/2006/relationships/chart" Target="charts/chart20.xml"/><Relationship Id="rId47" Type="http://schemas.openxmlformats.org/officeDocument/2006/relationships/image" Target="media/image11.png"/><Relationship Id="rId50" Type="http://schemas.openxmlformats.org/officeDocument/2006/relationships/image" Target="media/image14.png"/><Relationship Id="rId55" Type="http://schemas.openxmlformats.org/officeDocument/2006/relationships/image" Target="media/image19.png"/><Relationship Id="rId63" Type="http://schemas.openxmlformats.org/officeDocument/2006/relationships/theme" Target="theme/theme1.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image" Target="media/image6.tiff"/><Relationship Id="rId29" Type="http://schemas.openxmlformats.org/officeDocument/2006/relationships/chart" Target="charts/chart9.xml"/><Relationship Id="rId11" Type="http://schemas.openxmlformats.org/officeDocument/2006/relationships/image" Target="media/image1.tiff"/><Relationship Id="rId24" Type="http://schemas.openxmlformats.org/officeDocument/2006/relationships/hyperlink" Target="mailto:carlsams@utk.edu" TargetMode="External"/><Relationship Id="rId32" Type="http://schemas.openxmlformats.org/officeDocument/2006/relationships/chart" Target="charts/chart12.xml"/><Relationship Id="rId37" Type="http://schemas.openxmlformats.org/officeDocument/2006/relationships/chart" Target="charts/chart17.xml"/><Relationship Id="rId40" Type="http://schemas.openxmlformats.org/officeDocument/2006/relationships/hyperlink" Target="mailto:carlsams@utk.edu" TargetMode="External"/><Relationship Id="rId45" Type="http://schemas.openxmlformats.org/officeDocument/2006/relationships/chart" Target="charts/chart23.xml"/><Relationship Id="rId53" Type="http://schemas.openxmlformats.org/officeDocument/2006/relationships/image" Target="media/image17.jpg"/><Relationship Id="rId58" Type="http://schemas.openxmlformats.org/officeDocument/2006/relationships/footer" Target="footer3.xml"/><Relationship Id="rId5" Type="http://schemas.openxmlformats.org/officeDocument/2006/relationships/webSettings" Target="webSettings.xml"/><Relationship Id="rId61" Type="http://schemas.openxmlformats.org/officeDocument/2006/relationships/image" Target="media/image22.png"/><Relationship Id="rId19" Type="http://schemas.openxmlformats.org/officeDocument/2006/relationships/chart" Target="charts/chart1.xml"/><Relationship Id="rId14" Type="http://schemas.openxmlformats.org/officeDocument/2006/relationships/image" Target="media/image4.tiff"/><Relationship Id="rId22" Type="http://schemas.openxmlformats.org/officeDocument/2006/relationships/chart" Target="charts/chart4.xml"/><Relationship Id="rId27" Type="http://schemas.openxmlformats.org/officeDocument/2006/relationships/chart" Target="charts/chart7.xml"/><Relationship Id="rId30" Type="http://schemas.openxmlformats.org/officeDocument/2006/relationships/chart" Target="charts/chart10.xml"/><Relationship Id="rId35" Type="http://schemas.openxmlformats.org/officeDocument/2006/relationships/chart" Target="charts/chart15.xml"/><Relationship Id="rId43" Type="http://schemas.openxmlformats.org/officeDocument/2006/relationships/chart" Target="charts/chart21.xml"/><Relationship Id="rId48" Type="http://schemas.openxmlformats.org/officeDocument/2006/relationships/image" Target="media/image12.png"/><Relationship Id="rId56" Type="http://schemas.openxmlformats.org/officeDocument/2006/relationships/image" Target="media/image20.png"/><Relationship Id="rId8" Type="http://schemas.openxmlformats.org/officeDocument/2006/relationships/header" Target="header1.xml"/><Relationship Id="rId51" Type="http://schemas.openxmlformats.org/officeDocument/2006/relationships/image" Target="media/image15.jpg"/><Relationship Id="rId3" Type="http://schemas.openxmlformats.org/officeDocument/2006/relationships/styles" Target="styles.xml"/><Relationship Id="rId12" Type="http://schemas.openxmlformats.org/officeDocument/2006/relationships/image" Target="media/image2.tiff"/><Relationship Id="rId17" Type="http://schemas.openxmlformats.org/officeDocument/2006/relationships/image" Target="media/image7.tiff"/><Relationship Id="rId25" Type="http://schemas.openxmlformats.org/officeDocument/2006/relationships/image" Target="media/image8.jpg"/><Relationship Id="rId33" Type="http://schemas.openxmlformats.org/officeDocument/2006/relationships/chart" Target="charts/chart13.xml"/><Relationship Id="rId38" Type="http://schemas.openxmlformats.org/officeDocument/2006/relationships/chart" Target="charts/chart18.xml"/><Relationship Id="rId46" Type="http://schemas.openxmlformats.org/officeDocument/2006/relationships/image" Target="media/image10.jpeg"/><Relationship Id="rId59" Type="http://schemas.openxmlformats.org/officeDocument/2006/relationships/chart" Target="charts/chart24.xml"/><Relationship Id="rId20" Type="http://schemas.openxmlformats.org/officeDocument/2006/relationships/chart" Target="charts/chart2.xml"/><Relationship Id="rId41" Type="http://schemas.openxmlformats.org/officeDocument/2006/relationships/chart" Target="charts/chart19.xml"/><Relationship Id="rId54" Type="http://schemas.openxmlformats.org/officeDocument/2006/relationships/image" Target="media/image18.png"/><Relationship Id="rId62"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image" Target="media/image5.tiff"/><Relationship Id="rId23" Type="http://schemas.openxmlformats.org/officeDocument/2006/relationships/chart" Target="charts/chart5.xml"/><Relationship Id="rId28" Type="http://schemas.openxmlformats.org/officeDocument/2006/relationships/chart" Target="charts/chart8.xml"/><Relationship Id="rId36" Type="http://schemas.openxmlformats.org/officeDocument/2006/relationships/chart" Target="charts/chart16.xml"/><Relationship Id="rId49" Type="http://schemas.openxmlformats.org/officeDocument/2006/relationships/image" Target="media/image13.png"/><Relationship Id="rId57" Type="http://schemas.openxmlformats.org/officeDocument/2006/relationships/hyperlink" Target="mailto:carlsams@utk.edu" TargetMode="External"/><Relationship Id="rId10" Type="http://schemas.openxmlformats.org/officeDocument/2006/relationships/footer" Target="footer2.xml"/><Relationship Id="rId31" Type="http://schemas.openxmlformats.org/officeDocument/2006/relationships/chart" Target="charts/chart11.xml"/><Relationship Id="rId44" Type="http://schemas.openxmlformats.org/officeDocument/2006/relationships/chart" Target="charts/chart22.xml"/><Relationship Id="rId52" Type="http://schemas.openxmlformats.org/officeDocument/2006/relationships/image" Target="media/image16.jpg"/><Relationship Id="rId60" Type="http://schemas.openxmlformats.org/officeDocument/2006/relationships/image" Target="media/image21.png"/><Relationship Id="rId4" Type="http://schemas.openxmlformats.org/officeDocument/2006/relationships/settings" Target="settings.xml"/><Relationship Id="rId9" Type="http://schemas.openxmlformats.org/officeDocument/2006/relationships/footer" Target="footer1.xml"/></Relationships>
</file>

<file path=word/charts/_rels/chart1.xml.rels><?xml version="1.0" encoding="UTF-8" standalone="yes"?>
<Relationships xmlns="http://schemas.openxmlformats.org/package/2006/relationships"><Relationship Id="rId1" Type="http://schemas.openxmlformats.org/officeDocument/2006/relationships/package" Target="../embeddings/Microsoft_Excel_Worksheet.xlsx"/></Relationships>
</file>

<file path=word/charts/_rels/chart2.xml.rels><?xml version="1.0" encoding="UTF-8" standalone="yes"?>
<Relationships xmlns="http://schemas.openxmlformats.org/package/2006/relationships"><Relationship Id="rId2" Type="http://schemas.openxmlformats.org/officeDocument/2006/relationships/chartUserShapes" Target="../drawings/drawing1.xml"/><Relationship Id="rId1" Type="http://schemas.openxmlformats.org/officeDocument/2006/relationships/package" Target="../embeddings/Microsoft_Excel_Worksheet1.xlsx"/></Relationships>
</file>

<file path=word/charts/_rels/chart3.xml.rels><?xml version="1.0" encoding="UTF-8" standalone="yes"?>
<Relationships xmlns="http://schemas.openxmlformats.org/package/2006/relationships"><Relationship Id="rId1" Type="http://schemas.openxmlformats.org/officeDocument/2006/relationships/package" Target="../embeddings/Microsoft_Excel_Worksheet2.xlsx"/></Relationships>
</file>

<file path=word/charts/_rels/chart4.xml.rels><?xml version="1.0" encoding="UTF-8" standalone="yes"?>
<Relationships xmlns="http://schemas.openxmlformats.org/package/2006/relationships"><Relationship Id="rId1" Type="http://schemas.openxmlformats.org/officeDocument/2006/relationships/package" Target="../embeddings/Microsoft_Excel_Worksheet3.xlsx"/></Relationships>
</file>

<file path=word/charts/_rels/chart5.xml.rels><?xml version="1.0" encoding="UTF-8" standalone="yes"?>
<Relationships xmlns="http://schemas.openxmlformats.org/package/2006/relationships"><Relationship Id="rId1" Type="http://schemas.openxmlformats.org/officeDocument/2006/relationships/package" Target="../embeddings/Microsoft_Excel_Worksheet4.xlsx"/></Relationships>
</file>

<file path=word/charts/_rels/chart6.xml.rels><?xml version="1.0" encoding="UTF-8" standalone="yes"?>
<Relationships xmlns="http://schemas.openxmlformats.org/package/2006/relationships"><Relationship Id="rId3" Type="http://schemas.openxmlformats.org/officeDocument/2006/relationships/oleObject" Target="file:////Users/hunterhammock/Desktop/Hunter%20Hammock%20PhD/Spectra%20Paper%202.xlsx" TargetMode="External"/><Relationship Id="rId2" Type="http://schemas.microsoft.com/office/2011/relationships/chartColorStyle" Target="colors1.xml"/><Relationship Id="rId1" Type="http://schemas.microsoft.com/office/2011/relationships/chartStyle" Target="style1.xml"/><Relationship Id="rId4" Type="http://schemas.openxmlformats.org/officeDocument/2006/relationships/chartUserShapes" Target="../drawings/drawing2.xml"/></Relationships>
</file>

<file path=word/charts/_rels/chart7.xml.rels><?xml version="1.0" encoding="UTF-8" standalone="yes"?>
<Relationships xmlns="http://schemas.openxmlformats.org/package/2006/relationships"><Relationship Id="rId3" Type="http://schemas.openxmlformats.org/officeDocument/2006/relationships/oleObject" Target="file:////Users/hunterhammock/Desktop/Hunter%20Hammock%20PhD/Spectra%20Paper%202.xlsx" TargetMode="External"/><Relationship Id="rId2" Type="http://schemas.microsoft.com/office/2011/relationships/chartColorStyle" Target="colors2.xml"/><Relationship Id="rId1" Type="http://schemas.microsoft.com/office/2011/relationships/chartStyle" Target="style2.xml"/><Relationship Id="rId4" Type="http://schemas.openxmlformats.org/officeDocument/2006/relationships/chartUserShapes" Target="../drawings/drawing3.xml"/></Relationships>
</file>

<file path=word/charts/_rels/chart8.xml.rels><?xml version="1.0" encoding="UTF-8" standalone="yes"?>
<Relationships xmlns="http://schemas.openxmlformats.org/package/2006/relationships"><Relationship Id="rId3" Type="http://schemas.openxmlformats.org/officeDocument/2006/relationships/oleObject" Target="file:////Users/hunterhammock/Desktop/Hunter%20Hammock%20PhD/Spectra%20Paper%202.xlsx" TargetMode="External"/><Relationship Id="rId2" Type="http://schemas.microsoft.com/office/2011/relationships/chartColorStyle" Target="colors3.xml"/><Relationship Id="rId1" Type="http://schemas.microsoft.com/office/2011/relationships/chartStyle" Target="style3.xml"/><Relationship Id="rId4" Type="http://schemas.openxmlformats.org/officeDocument/2006/relationships/chartUserShapes" Target="../drawings/drawing4.xml"/></Relationships>
</file>

<file path=word/charts/_rels/chart9.xml.rels><?xml version="1.0" encoding="UTF-8" standalone="yes"?>
<Relationships xmlns="http://schemas.openxmlformats.org/package/2006/relationships"><Relationship Id="rId3" Type="http://schemas.openxmlformats.org/officeDocument/2006/relationships/oleObject" Target="file:////Users/hunterhammock/Desktop/Hunter%20Hammock%20PhD/Spectra%20Paper%202.xlsx" TargetMode="External"/><Relationship Id="rId2" Type="http://schemas.microsoft.com/office/2011/relationships/chartColorStyle" Target="colors4.xml"/><Relationship Id="rId1" Type="http://schemas.microsoft.com/office/2011/relationships/chartStyle" Target="style4.xml"/><Relationship Id="rId4" Type="http://schemas.openxmlformats.org/officeDocument/2006/relationships/chartUserShapes" Target="../drawings/drawing5.xml"/></Relationships>
</file>

<file path=word/charts/_rels/chart10.xml.rels><?xml version="1.0" encoding="UTF-8" standalone="yes"?>
<Relationships xmlns="http://schemas.openxmlformats.org/package/2006/relationships"><Relationship Id="rId3" Type="http://schemas.openxmlformats.org/officeDocument/2006/relationships/oleObject" Target="file:////Users/hunterhammock/Desktop/Hunter%20Hammock%20PhD/Spectra%20Paper%202.xlsx" TargetMode="External"/><Relationship Id="rId2" Type="http://schemas.microsoft.com/office/2011/relationships/chartColorStyle" Target="colors5.xml"/><Relationship Id="rId1" Type="http://schemas.microsoft.com/office/2011/relationships/chartStyle" Target="style5.xml"/><Relationship Id="rId4" Type="http://schemas.openxmlformats.org/officeDocument/2006/relationships/chartUserShapes" Target="../drawings/drawing6.xml"/></Relationships>
</file>

<file path=word/charts/_rels/chart11.xml.rels><?xml version="1.0" encoding="UTF-8" standalone="yes"?>
<Relationships xmlns="http://schemas.openxmlformats.org/package/2006/relationships"><Relationship Id="rId3" Type="http://schemas.openxmlformats.org/officeDocument/2006/relationships/oleObject" Target="file:////Users/hunterhammock/Desktop/Hunter%20Hammock%20PhD/Spectra%20Paper%202.xlsx" TargetMode="External"/><Relationship Id="rId2" Type="http://schemas.microsoft.com/office/2011/relationships/chartColorStyle" Target="colors6.xml"/><Relationship Id="rId1" Type="http://schemas.microsoft.com/office/2011/relationships/chartStyle" Target="style6.xml"/><Relationship Id="rId4" Type="http://schemas.openxmlformats.org/officeDocument/2006/relationships/chartUserShapes" Target="../drawings/drawing7.xml"/></Relationships>
</file>

<file path=word/charts/_rels/chart12.xml.rels><?xml version="1.0" encoding="UTF-8" standalone="yes"?>
<Relationships xmlns="http://schemas.openxmlformats.org/package/2006/relationships"><Relationship Id="rId3" Type="http://schemas.openxmlformats.org/officeDocument/2006/relationships/oleObject" Target="file:////Users/hunterhammock/Desktop/Hunter%20Hammock%20PhD/Spectra%20Paper%202.xlsx" TargetMode="External"/><Relationship Id="rId2" Type="http://schemas.microsoft.com/office/2011/relationships/chartColorStyle" Target="colors7.xml"/><Relationship Id="rId1" Type="http://schemas.microsoft.com/office/2011/relationships/chartStyle" Target="style7.xml"/><Relationship Id="rId4" Type="http://schemas.openxmlformats.org/officeDocument/2006/relationships/chartUserShapes" Target="../drawings/drawing8.xml"/></Relationships>
</file>

<file path=word/charts/_rels/chart13.xml.rels><?xml version="1.0" encoding="UTF-8" standalone="yes"?>
<Relationships xmlns="http://schemas.openxmlformats.org/package/2006/relationships"><Relationship Id="rId3" Type="http://schemas.openxmlformats.org/officeDocument/2006/relationships/oleObject" Target="file:////Users/hunterhammock/Desktop/Hunter%20Hammock%20PhD/Spectra%20Paper%202.xlsx" TargetMode="External"/><Relationship Id="rId2" Type="http://schemas.microsoft.com/office/2011/relationships/chartColorStyle" Target="colors8.xml"/><Relationship Id="rId1" Type="http://schemas.microsoft.com/office/2011/relationships/chartStyle" Target="style8.xml"/><Relationship Id="rId4" Type="http://schemas.openxmlformats.org/officeDocument/2006/relationships/chartUserShapes" Target="../drawings/drawing9.xml"/></Relationships>
</file>

<file path=word/charts/_rels/chart14.xml.rels><?xml version="1.0" encoding="UTF-8" standalone="yes"?>
<Relationships xmlns="http://schemas.openxmlformats.org/package/2006/relationships"><Relationship Id="rId3" Type="http://schemas.openxmlformats.org/officeDocument/2006/relationships/oleObject" Target="file:////Users/hunterhammock/Desktop/Hunter%20Hammock%20PhD/Spectra%20Paper%202.xlsx" TargetMode="External"/><Relationship Id="rId2" Type="http://schemas.microsoft.com/office/2011/relationships/chartColorStyle" Target="colors9.xml"/><Relationship Id="rId1" Type="http://schemas.microsoft.com/office/2011/relationships/chartStyle" Target="style9.xml"/><Relationship Id="rId4" Type="http://schemas.openxmlformats.org/officeDocument/2006/relationships/chartUserShapes" Target="../drawings/drawing10.xml"/></Relationships>
</file>

<file path=word/charts/_rels/chart15.xml.rels><?xml version="1.0" encoding="UTF-8" standalone="yes"?>
<Relationships xmlns="http://schemas.openxmlformats.org/package/2006/relationships"><Relationship Id="rId3" Type="http://schemas.openxmlformats.org/officeDocument/2006/relationships/oleObject" Target="file:////Users/hunterhammock/Desktop/Hunter%20Hammock%20PhD/Spectra%20Paper%202.xlsx" TargetMode="External"/><Relationship Id="rId2" Type="http://schemas.microsoft.com/office/2011/relationships/chartColorStyle" Target="colors10.xml"/><Relationship Id="rId1" Type="http://schemas.microsoft.com/office/2011/relationships/chartStyle" Target="style10.xml"/><Relationship Id="rId4" Type="http://schemas.openxmlformats.org/officeDocument/2006/relationships/chartUserShapes" Target="../drawings/drawing11.xml"/></Relationships>
</file>

<file path=word/charts/_rels/chart16.xml.rels><?xml version="1.0" encoding="UTF-8" standalone="yes"?>
<Relationships xmlns="http://schemas.openxmlformats.org/package/2006/relationships"><Relationship Id="rId3" Type="http://schemas.openxmlformats.org/officeDocument/2006/relationships/oleObject" Target="file:////Users/hunterhammock/Desktop/Hunter%20Hammock%20PhD/Spectra%20Paper%202.xlsx" TargetMode="External"/><Relationship Id="rId2" Type="http://schemas.microsoft.com/office/2011/relationships/chartColorStyle" Target="colors11.xml"/><Relationship Id="rId1" Type="http://schemas.microsoft.com/office/2011/relationships/chartStyle" Target="style11.xml"/><Relationship Id="rId4" Type="http://schemas.openxmlformats.org/officeDocument/2006/relationships/chartUserShapes" Target="../drawings/drawing12.xml"/></Relationships>
</file>

<file path=word/charts/_rels/chart17.xml.rels><?xml version="1.0" encoding="UTF-8" standalone="yes"?>
<Relationships xmlns="http://schemas.openxmlformats.org/package/2006/relationships"><Relationship Id="rId3" Type="http://schemas.openxmlformats.org/officeDocument/2006/relationships/oleObject" Target="file:////Users/hunterhammock/Desktop/HAH%20PhD%202019%20VOC%20Datav2.xlsx" TargetMode="External"/><Relationship Id="rId2" Type="http://schemas.microsoft.com/office/2011/relationships/chartColorStyle" Target="colors12.xml"/><Relationship Id="rId1" Type="http://schemas.microsoft.com/office/2011/relationships/chartStyle" Target="style12.xml"/><Relationship Id="rId4" Type="http://schemas.openxmlformats.org/officeDocument/2006/relationships/chartUserShapes" Target="../drawings/drawing13.xml"/></Relationships>
</file>

<file path=word/charts/_rels/chart18.xml.rels><?xml version="1.0" encoding="UTF-8" standalone="yes"?>
<Relationships xmlns="http://schemas.openxmlformats.org/package/2006/relationships"><Relationship Id="rId3" Type="http://schemas.openxmlformats.org/officeDocument/2006/relationships/oleObject" Target="file:////Users/hunterhammock/Desktop/HAH%20PhD%202019%20VOC%20Datav2.xlsx" TargetMode="External"/><Relationship Id="rId2" Type="http://schemas.microsoft.com/office/2011/relationships/chartColorStyle" Target="colors13.xml"/><Relationship Id="rId1" Type="http://schemas.microsoft.com/office/2011/relationships/chartStyle" Target="style13.xml"/><Relationship Id="rId4" Type="http://schemas.openxmlformats.org/officeDocument/2006/relationships/chartUserShapes" Target="../drawings/drawing14.xml"/></Relationships>
</file>

<file path=word/charts/_rels/chart19.xml.rels><?xml version="1.0" encoding="UTF-8" standalone="yes"?>
<Relationships xmlns="http://schemas.openxmlformats.org/package/2006/relationships"><Relationship Id="rId3" Type="http://schemas.openxmlformats.org/officeDocument/2006/relationships/oleObject" Target="Book1" TargetMode="External"/><Relationship Id="rId2" Type="http://schemas.microsoft.com/office/2011/relationships/chartColorStyle" Target="colors14.xml"/><Relationship Id="rId1" Type="http://schemas.microsoft.com/office/2011/relationships/chartStyle" Target="style14.xml"/><Relationship Id="rId4" Type="http://schemas.openxmlformats.org/officeDocument/2006/relationships/chartUserShapes" Target="../drawings/drawing15.xml"/></Relationships>
</file>

<file path=word/charts/_rels/chart20.xml.rels><?xml version="1.0" encoding="UTF-8" standalone="yes"?>
<Relationships xmlns="http://schemas.openxmlformats.org/package/2006/relationships"><Relationship Id="rId1" Type="http://schemas.openxmlformats.org/officeDocument/2006/relationships/package" Target="../embeddings/Microsoft_Excel_Worksheet5.xlsx"/></Relationships>
</file>

<file path=word/charts/_rels/chart21.xml.rels><?xml version="1.0" encoding="UTF-8" standalone="yes"?>
<Relationships xmlns="http://schemas.openxmlformats.org/package/2006/relationships"><Relationship Id="rId1" Type="http://schemas.openxmlformats.org/officeDocument/2006/relationships/package" Target="../embeddings/Microsoft_Excel_Worksheet6.xlsx"/></Relationships>
</file>

<file path=word/charts/_rels/chart22.xml.rels><?xml version="1.0" encoding="UTF-8" standalone="yes"?>
<Relationships xmlns="http://schemas.openxmlformats.org/package/2006/relationships"><Relationship Id="rId1" Type="http://schemas.openxmlformats.org/officeDocument/2006/relationships/package" Target="../embeddings/Microsoft_Excel_Worksheet7.xlsx"/></Relationships>
</file>

<file path=word/charts/_rels/chart23.xml.rels><?xml version="1.0" encoding="UTF-8" standalone="yes"?>
<Relationships xmlns="http://schemas.openxmlformats.org/package/2006/relationships"><Relationship Id="rId1" Type="http://schemas.openxmlformats.org/officeDocument/2006/relationships/package" Target="../embeddings/Microsoft_Excel_Worksheet8.xlsx"/></Relationships>
</file>

<file path=word/charts/_rels/chart24.xml.rels><?xml version="1.0" encoding="UTF-8" standalone="yes"?>
<Relationships xmlns="http://schemas.openxmlformats.org/package/2006/relationships"><Relationship Id="rId3" Type="http://schemas.openxmlformats.org/officeDocument/2006/relationships/oleObject" Target="Book1" TargetMode="External"/><Relationship Id="rId2" Type="http://schemas.microsoft.com/office/2011/relationships/chartColorStyle" Target="colors15.xml"/><Relationship Id="rId1" Type="http://schemas.microsoft.com/office/2011/relationships/chartStyle" Target="style15.xml"/><Relationship Id="rId4" Type="http://schemas.openxmlformats.org/officeDocument/2006/relationships/chartUserShapes" Target="../drawings/drawing16.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10181106597823739"/>
          <c:y val="9.2204526404023476E-2"/>
          <c:w val="0.87452029496850814"/>
          <c:h val="0.80875147404157566"/>
        </c:manualLayout>
      </c:layout>
      <c:barChart>
        <c:barDir val="col"/>
        <c:grouping val="clustered"/>
        <c:varyColors val="0"/>
        <c:ser>
          <c:idx val="0"/>
          <c:order val="0"/>
          <c:tx>
            <c:strRef>
              <c:f>Sheet1!$B$1</c:f>
              <c:strCache>
                <c:ptCount val="1"/>
                <c:pt idx="0">
                  <c:v>Terpinene</c:v>
                </c:pt>
              </c:strCache>
            </c:strRef>
          </c:tx>
          <c:spPr>
            <a:solidFill>
              <a:srgbClr val="40D5DC"/>
            </a:solidFill>
            <a:ln>
              <a:noFill/>
            </a:ln>
            <a:effectLst/>
          </c:spPr>
          <c:invertIfNegative val="0"/>
          <c:dLbls>
            <c:dLbl>
              <c:idx val="0"/>
              <c:tx>
                <c:rich>
                  <a:bodyPr/>
                  <a:lstStyle/>
                  <a:p>
                    <a:r>
                      <a:rPr lang="en-US"/>
                      <a:t>BC</a:t>
                    </a:r>
                  </a:p>
                </c:rich>
              </c:tx>
              <c:dLblPos val="outEnd"/>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00-0A5A-D844-9BA0-9A4688F69251}"/>
                </c:ext>
              </c:extLst>
            </c:dLbl>
            <c:dLbl>
              <c:idx val="1"/>
              <c:tx>
                <c:rich>
                  <a:bodyPr/>
                  <a:lstStyle/>
                  <a:p>
                    <a:r>
                      <a:rPr lang="en-US"/>
                      <a:t>BC</a:t>
                    </a:r>
                  </a:p>
                </c:rich>
              </c:tx>
              <c:dLblPos val="outEnd"/>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01-0A5A-D844-9BA0-9A4688F69251}"/>
                </c:ext>
              </c:extLst>
            </c:dLbl>
            <c:dLbl>
              <c:idx val="2"/>
              <c:tx>
                <c:rich>
                  <a:bodyPr/>
                  <a:lstStyle/>
                  <a:p>
                    <a:r>
                      <a:rPr lang="en-US"/>
                      <a:t>A</a:t>
                    </a:r>
                  </a:p>
                </c:rich>
              </c:tx>
              <c:dLblPos val="outEnd"/>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02-0A5A-D844-9BA0-9A4688F69251}"/>
                </c:ext>
              </c:extLst>
            </c:dLbl>
            <c:dLbl>
              <c:idx val="3"/>
              <c:tx>
                <c:rich>
                  <a:bodyPr/>
                  <a:lstStyle/>
                  <a:p>
                    <a:r>
                      <a:rPr lang="en-US"/>
                      <a:t>AB</a:t>
                    </a:r>
                  </a:p>
                </c:rich>
              </c:tx>
              <c:dLblPos val="outEnd"/>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03-0A5A-D844-9BA0-9A4688F69251}"/>
                </c:ext>
              </c:extLst>
            </c:dLbl>
            <c:dLbl>
              <c:idx val="4"/>
              <c:tx>
                <c:rich>
                  <a:bodyPr/>
                  <a:lstStyle/>
                  <a:p>
                    <a:r>
                      <a:rPr lang="en-US"/>
                      <a:t>C</a:t>
                    </a:r>
                  </a:p>
                </c:rich>
              </c:tx>
              <c:dLblPos val="outEnd"/>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04-0A5A-D844-9BA0-9A4688F69251}"/>
                </c:ext>
              </c:extLst>
            </c:dLbl>
            <c:dLbl>
              <c:idx val="5"/>
              <c:tx>
                <c:rich>
                  <a:bodyPr/>
                  <a:lstStyle/>
                  <a:p>
                    <a:r>
                      <a:rPr lang="en-US"/>
                      <a:t>C</a:t>
                    </a:r>
                  </a:p>
                </c:rich>
              </c:tx>
              <c:dLblPos val="outEnd"/>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05-0A5A-D844-9BA0-9A4688F69251}"/>
                </c:ext>
              </c:extLst>
            </c:dLbl>
            <c:dLbl>
              <c:idx val="6"/>
              <c:tx>
                <c:rich>
                  <a:bodyPr/>
                  <a:lstStyle/>
                  <a:p>
                    <a:r>
                      <a:rPr lang="en-US"/>
                      <a:t>BC</a:t>
                    </a:r>
                  </a:p>
                </c:rich>
              </c:tx>
              <c:dLblPos val="outEnd"/>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06-0A5A-D844-9BA0-9A4688F69251}"/>
                </c:ext>
              </c:extLst>
            </c:dLbl>
            <c:dLbl>
              <c:idx val="8"/>
              <c:tx>
                <c:rich>
                  <a:bodyPr/>
                  <a:lstStyle/>
                  <a:p>
                    <a:r>
                      <a:rPr lang="en-US"/>
                      <a:t>D</a:t>
                    </a:r>
                  </a:p>
                </c:rich>
              </c:tx>
              <c:dLblPos val="outEnd"/>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07-0A5A-D844-9BA0-9A4688F69251}"/>
                </c:ext>
              </c:extLst>
            </c:dLbl>
            <c:spPr>
              <a:noFill/>
              <a:ln>
                <a:noFill/>
              </a:ln>
              <a:effectLst/>
            </c:spPr>
            <c:txPr>
              <a:bodyPr rot="0" vert="horz"/>
              <a:lstStyle/>
              <a:p>
                <a:pPr>
                  <a:defRPr b="1"/>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Sheet1!$A$2:$A$8</c:f>
              <c:strCache>
                <c:ptCount val="7"/>
                <c:pt idx="0">
                  <c:v>Genovese</c:v>
                </c:pt>
                <c:pt idx="1">
                  <c:v>Siam Queen</c:v>
                </c:pt>
                <c:pt idx="2">
                  <c:v>Lemon</c:v>
                </c:pt>
                <c:pt idx="3">
                  <c:v>Spicy Globe</c:v>
                </c:pt>
                <c:pt idx="4">
                  <c:v>Dark Opal</c:v>
                </c:pt>
                <c:pt idx="5">
                  <c:v>Thai</c:v>
                </c:pt>
                <c:pt idx="6">
                  <c:v>Holy</c:v>
                </c:pt>
              </c:strCache>
            </c:strRef>
          </c:cat>
          <c:val>
            <c:numRef>
              <c:f>Sheet1!$B$2:$B$8</c:f>
              <c:numCache>
                <c:formatCode>General</c:formatCode>
                <c:ptCount val="7"/>
                <c:pt idx="0">
                  <c:v>2</c:v>
                </c:pt>
                <c:pt idx="1">
                  <c:v>3.6</c:v>
                </c:pt>
                <c:pt idx="2">
                  <c:v>7.9</c:v>
                </c:pt>
                <c:pt idx="3">
                  <c:v>6.1</c:v>
                </c:pt>
                <c:pt idx="4">
                  <c:v>0</c:v>
                </c:pt>
                <c:pt idx="5">
                  <c:v>1.3</c:v>
                </c:pt>
                <c:pt idx="6">
                  <c:v>2.2000000000000002</c:v>
                </c:pt>
              </c:numCache>
            </c:numRef>
          </c:val>
          <c:extLst>
            <c:ext xmlns:c16="http://schemas.microsoft.com/office/drawing/2014/chart" uri="{C3380CC4-5D6E-409C-BE32-E72D297353CC}">
              <c16:uniqueId val="{00000008-0A5A-D844-9BA0-9A4688F69251}"/>
            </c:ext>
          </c:extLst>
        </c:ser>
        <c:ser>
          <c:idx val="1"/>
          <c:order val="1"/>
          <c:tx>
            <c:strRef>
              <c:f>Sheet1!$C$1</c:f>
              <c:strCache>
                <c:ptCount val="1"/>
                <c:pt idx="0">
                  <c:v>Terpinolene</c:v>
                </c:pt>
              </c:strCache>
            </c:strRef>
          </c:tx>
          <c:spPr>
            <a:solidFill>
              <a:srgbClr val="46C585"/>
            </a:solidFill>
          </c:spPr>
          <c:invertIfNegative val="0"/>
          <c:dLbls>
            <c:dLbl>
              <c:idx val="0"/>
              <c:tx>
                <c:rich>
                  <a:bodyPr/>
                  <a:lstStyle/>
                  <a:p>
                    <a:r>
                      <a:rPr lang="en-US"/>
                      <a:t>B</a:t>
                    </a:r>
                  </a:p>
                </c:rich>
              </c:tx>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09-0A5A-D844-9BA0-9A4688F69251}"/>
                </c:ext>
              </c:extLst>
            </c:dLbl>
            <c:dLbl>
              <c:idx val="1"/>
              <c:tx>
                <c:rich>
                  <a:bodyPr/>
                  <a:lstStyle/>
                  <a:p>
                    <a:r>
                      <a:rPr lang="en-US"/>
                      <a:t>B</a:t>
                    </a:r>
                  </a:p>
                </c:rich>
              </c:tx>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0A-0A5A-D844-9BA0-9A4688F69251}"/>
                </c:ext>
              </c:extLst>
            </c:dLbl>
            <c:dLbl>
              <c:idx val="2"/>
              <c:tx>
                <c:rich>
                  <a:bodyPr/>
                  <a:lstStyle/>
                  <a:p>
                    <a:r>
                      <a:rPr lang="en-US"/>
                      <a:t>B</a:t>
                    </a:r>
                  </a:p>
                </c:rich>
              </c:tx>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0B-0A5A-D844-9BA0-9A4688F69251}"/>
                </c:ext>
              </c:extLst>
            </c:dLbl>
            <c:dLbl>
              <c:idx val="3"/>
              <c:tx>
                <c:rich>
                  <a:bodyPr/>
                  <a:lstStyle/>
                  <a:p>
                    <a:r>
                      <a:rPr lang="en-US"/>
                      <a:t>B</a:t>
                    </a:r>
                  </a:p>
                </c:rich>
              </c:tx>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0C-0A5A-D844-9BA0-9A4688F69251}"/>
                </c:ext>
              </c:extLst>
            </c:dLbl>
            <c:dLbl>
              <c:idx val="4"/>
              <c:tx>
                <c:rich>
                  <a:bodyPr/>
                  <a:lstStyle/>
                  <a:p>
                    <a:r>
                      <a:rPr lang="en-US"/>
                      <a:t>B</a:t>
                    </a:r>
                  </a:p>
                </c:rich>
              </c:tx>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0D-0A5A-D844-9BA0-9A4688F69251}"/>
                </c:ext>
              </c:extLst>
            </c:dLbl>
            <c:dLbl>
              <c:idx val="5"/>
              <c:tx>
                <c:rich>
                  <a:bodyPr/>
                  <a:lstStyle/>
                  <a:p>
                    <a:r>
                      <a:rPr lang="en-US"/>
                      <a:t>A</a:t>
                    </a:r>
                  </a:p>
                </c:rich>
              </c:tx>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0E-0A5A-D844-9BA0-9A4688F69251}"/>
                </c:ext>
              </c:extLst>
            </c:dLbl>
            <c:dLbl>
              <c:idx val="6"/>
              <c:tx>
                <c:rich>
                  <a:bodyPr/>
                  <a:lstStyle/>
                  <a:p>
                    <a:r>
                      <a:rPr lang="en-US"/>
                      <a:t>AB</a:t>
                    </a:r>
                  </a:p>
                </c:rich>
              </c:tx>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0F-0A5A-D844-9BA0-9A4688F69251}"/>
                </c:ext>
              </c:extLst>
            </c:dLbl>
            <c:spPr>
              <a:noFill/>
              <a:ln>
                <a:noFill/>
              </a:ln>
              <a:effectLst/>
            </c:spPr>
            <c:txPr>
              <a:bodyPr/>
              <a:lstStyle/>
              <a:p>
                <a:pPr>
                  <a:defRPr b="1"/>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ext>
            </c:extLst>
          </c:dLbls>
          <c:cat>
            <c:strRef>
              <c:f>Sheet1!$A$2:$A$8</c:f>
              <c:strCache>
                <c:ptCount val="7"/>
                <c:pt idx="0">
                  <c:v>Genovese</c:v>
                </c:pt>
                <c:pt idx="1">
                  <c:v>Siam Queen</c:v>
                </c:pt>
                <c:pt idx="2">
                  <c:v>Lemon</c:v>
                </c:pt>
                <c:pt idx="3">
                  <c:v>Spicy Globe</c:v>
                </c:pt>
                <c:pt idx="4">
                  <c:v>Dark Opal</c:v>
                </c:pt>
                <c:pt idx="5">
                  <c:v>Thai</c:v>
                </c:pt>
                <c:pt idx="6">
                  <c:v>Holy</c:v>
                </c:pt>
              </c:strCache>
            </c:strRef>
          </c:cat>
          <c:val>
            <c:numRef>
              <c:f>Sheet1!$C$2:$C$8</c:f>
              <c:numCache>
                <c:formatCode>General</c:formatCode>
                <c:ptCount val="7"/>
                <c:pt idx="0">
                  <c:v>2.2000000000000002</c:v>
                </c:pt>
                <c:pt idx="1">
                  <c:v>2.2000000000000002</c:v>
                </c:pt>
                <c:pt idx="2">
                  <c:v>0.7</c:v>
                </c:pt>
                <c:pt idx="3">
                  <c:v>5</c:v>
                </c:pt>
                <c:pt idx="4">
                  <c:v>3.2</c:v>
                </c:pt>
                <c:pt idx="5">
                  <c:v>12.6</c:v>
                </c:pt>
                <c:pt idx="6">
                  <c:v>5.7</c:v>
                </c:pt>
              </c:numCache>
            </c:numRef>
          </c:val>
          <c:extLst>
            <c:ext xmlns:c16="http://schemas.microsoft.com/office/drawing/2014/chart" uri="{C3380CC4-5D6E-409C-BE32-E72D297353CC}">
              <c16:uniqueId val="{00000010-0A5A-D844-9BA0-9A4688F69251}"/>
            </c:ext>
          </c:extLst>
        </c:ser>
        <c:dLbls>
          <c:showLegendKey val="0"/>
          <c:showVal val="1"/>
          <c:showCatName val="0"/>
          <c:showSerName val="0"/>
          <c:showPercent val="0"/>
          <c:showBubbleSize val="0"/>
        </c:dLbls>
        <c:gapWidth val="100"/>
        <c:axId val="942842016"/>
        <c:axId val="972722416"/>
      </c:barChart>
      <c:catAx>
        <c:axId val="942842016"/>
        <c:scaling>
          <c:orientation val="minMax"/>
        </c:scaling>
        <c:delete val="0"/>
        <c:axPos val="b"/>
        <c:title>
          <c:tx>
            <c:rich>
              <a:bodyPr rot="0" vert="horz"/>
              <a:lstStyle/>
              <a:p>
                <a:pPr>
                  <a:defRPr/>
                </a:pPr>
                <a:r>
                  <a:rPr lang="en-US"/>
                  <a:t>Basil Variety</a:t>
                </a:r>
              </a:p>
            </c:rich>
          </c:tx>
          <c:layout>
            <c:manualLayout>
              <c:xMode val="edge"/>
              <c:yMode val="edge"/>
              <c:x val="0.46311106216618025"/>
              <c:y val="0.95046574616239432"/>
            </c:manualLayout>
          </c:layout>
          <c:overlay val="0"/>
          <c:spPr>
            <a:noFill/>
            <a:ln>
              <a:noFill/>
            </a:ln>
            <a:effectLst/>
          </c:spPr>
        </c:title>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vert="horz"/>
          <a:lstStyle/>
          <a:p>
            <a:pPr>
              <a:defRPr/>
            </a:pPr>
            <a:endParaRPr lang="en-US"/>
          </a:p>
        </c:txPr>
        <c:crossAx val="972722416"/>
        <c:crosses val="autoZero"/>
        <c:auto val="1"/>
        <c:lblAlgn val="ctr"/>
        <c:lblOffset val="100"/>
        <c:noMultiLvlLbl val="0"/>
      </c:catAx>
      <c:valAx>
        <c:axId val="972722416"/>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5400000" vert="horz"/>
              <a:lstStyle/>
              <a:p>
                <a:pPr>
                  <a:defRPr/>
                </a:pPr>
                <a:r>
                  <a:rPr lang="en-US"/>
                  <a:t>uM . g Fresh Mass-1</a:t>
                </a:r>
              </a:p>
            </c:rich>
          </c:tx>
          <c:overlay val="0"/>
          <c:spPr>
            <a:noFill/>
            <a:ln>
              <a:noFill/>
            </a:ln>
            <a:effectLst/>
          </c:spPr>
        </c:title>
        <c:numFmt formatCode="General" sourceLinked="1"/>
        <c:majorTickMark val="none"/>
        <c:minorTickMark val="none"/>
        <c:tickLblPos val="nextTo"/>
        <c:spPr>
          <a:noFill/>
          <a:ln>
            <a:noFill/>
          </a:ln>
          <a:effectLst/>
        </c:spPr>
        <c:txPr>
          <a:bodyPr rot="-60000000" vert="horz"/>
          <a:lstStyle/>
          <a:p>
            <a:pPr>
              <a:defRPr/>
            </a:pPr>
            <a:endParaRPr lang="en-US"/>
          </a:p>
        </c:txPr>
        <c:crossAx val="942842016"/>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latin typeface="Times New Roman" panose="02020603050405020304" pitchFamily="18" charset="0"/>
          <a:ea typeface="Times New Roman" charset="0"/>
          <a:cs typeface="Times New Roman" panose="02020603050405020304" pitchFamily="18" charset="0"/>
        </a:defRPr>
      </a:pPr>
      <a:endParaRPr lang="en-US"/>
    </a:p>
  </c:txPr>
  <c:externalData r:id="rId1">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11895587881446792"/>
          <c:y val="1.9656897784131523E-2"/>
          <c:w val="0.8572885872259165"/>
          <c:h val="0.85069451331178048"/>
        </c:manualLayout>
      </c:layout>
      <c:barChart>
        <c:barDir val="col"/>
        <c:grouping val="stacked"/>
        <c:varyColors val="0"/>
        <c:ser>
          <c:idx val="0"/>
          <c:order val="0"/>
          <c:tx>
            <c:strRef>
              <c:f>Sheet1!$B$1</c:f>
              <c:strCache>
                <c:ptCount val="1"/>
                <c:pt idx="0">
                  <c:v>(S)-(-)-Limonene</c:v>
                </c:pt>
              </c:strCache>
            </c:strRef>
          </c:tx>
          <c:spPr>
            <a:solidFill>
              <a:schemeClr val="accent2"/>
            </a:solidFill>
            <a:ln>
              <a:noFill/>
            </a:ln>
            <a:effectLst/>
          </c:spPr>
          <c:invertIfNegative val="0"/>
          <c:dLbls>
            <c:delete val="1"/>
          </c:dLbls>
          <c:cat>
            <c:strRef>
              <c:f>Sheet1!$A$2:$A$8</c:f>
              <c:strCache>
                <c:ptCount val="7"/>
                <c:pt idx="0">
                  <c:v>Genovese</c:v>
                </c:pt>
                <c:pt idx="1">
                  <c:v>Siam Queen</c:v>
                </c:pt>
                <c:pt idx="2">
                  <c:v>Lemon</c:v>
                </c:pt>
                <c:pt idx="3">
                  <c:v>Spicy Globe</c:v>
                </c:pt>
                <c:pt idx="4">
                  <c:v>Dark Opal</c:v>
                </c:pt>
                <c:pt idx="5">
                  <c:v>Thai</c:v>
                </c:pt>
                <c:pt idx="6">
                  <c:v>Holy</c:v>
                </c:pt>
              </c:strCache>
            </c:strRef>
          </c:cat>
          <c:val>
            <c:numRef>
              <c:f>Sheet1!$B$2:$B$8</c:f>
              <c:numCache>
                <c:formatCode>General</c:formatCode>
                <c:ptCount val="7"/>
                <c:pt idx="0">
                  <c:v>392</c:v>
                </c:pt>
                <c:pt idx="1">
                  <c:v>106</c:v>
                </c:pt>
                <c:pt idx="2">
                  <c:v>2.8</c:v>
                </c:pt>
                <c:pt idx="3">
                  <c:v>44</c:v>
                </c:pt>
                <c:pt idx="4">
                  <c:v>4.9000000000000004</c:v>
                </c:pt>
                <c:pt idx="5">
                  <c:v>458</c:v>
                </c:pt>
                <c:pt idx="6">
                  <c:v>475</c:v>
                </c:pt>
              </c:numCache>
            </c:numRef>
          </c:val>
          <c:extLst>
            <c:ext xmlns:c16="http://schemas.microsoft.com/office/drawing/2014/chart" uri="{C3380CC4-5D6E-409C-BE32-E72D297353CC}">
              <c16:uniqueId val="{00000000-F7C2-F748-8399-E02C7402479C}"/>
            </c:ext>
          </c:extLst>
        </c:ser>
        <c:ser>
          <c:idx val="1"/>
          <c:order val="1"/>
          <c:tx>
            <c:strRef>
              <c:f>Sheet1!$C$1</c:f>
              <c:strCache>
                <c:ptCount val="1"/>
                <c:pt idx="0">
                  <c:v>(R)-(+)-Limonene</c:v>
                </c:pt>
              </c:strCache>
            </c:strRef>
          </c:tx>
          <c:spPr>
            <a:solidFill>
              <a:srgbClr val="FFC000"/>
            </a:solidFill>
          </c:spPr>
          <c:invertIfNegative val="0"/>
          <c:dLbls>
            <c:delete val="1"/>
          </c:dLbls>
          <c:cat>
            <c:strRef>
              <c:f>Sheet1!$A$2:$A$8</c:f>
              <c:strCache>
                <c:ptCount val="7"/>
                <c:pt idx="0">
                  <c:v>Genovese</c:v>
                </c:pt>
                <c:pt idx="1">
                  <c:v>Siam Queen</c:v>
                </c:pt>
                <c:pt idx="2">
                  <c:v>Lemon</c:v>
                </c:pt>
                <c:pt idx="3">
                  <c:v>Spicy Globe</c:v>
                </c:pt>
                <c:pt idx="4">
                  <c:v>Dark Opal</c:v>
                </c:pt>
                <c:pt idx="5">
                  <c:v>Thai</c:v>
                </c:pt>
                <c:pt idx="6">
                  <c:v>Holy</c:v>
                </c:pt>
              </c:strCache>
            </c:strRef>
          </c:cat>
          <c:val>
            <c:numRef>
              <c:f>Sheet1!$C$2:$C$8</c:f>
              <c:numCache>
                <c:formatCode>General</c:formatCode>
                <c:ptCount val="7"/>
                <c:pt idx="0">
                  <c:v>1892</c:v>
                </c:pt>
                <c:pt idx="1">
                  <c:v>536</c:v>
                </c:pt>
                <c:pt idx="2">
                  <c:v>81</c:v>
                </c:pt>
                <c:pt idx="3">
                  <c:v>217</c:v>
                </c:pt>
                <c:pt idx="4">
                  <c:v>37</c:v>
                </c:pt>
                <c:pt idx="5">
                  <c:v>2141</c:v>
                </c:pt>
                <c:pt idx="6">
                  <c:v>2453</c:v>
                </c:pt>
              </c:numCache>
            </c:numRef>
          </c:val>
          <c:extLst>
            <c:ext xmlns:c16="http://schemas.microsoft.com/office/drawing/2014/chart" uri="{C3380CC4-5D6E-409C-BE32-E72D297353CC}">
              <c16:uniqueId val="{00000001-F7C2-F748-8399-E02C7402479C}"/>
            </c:ext>
          </c:extLst>
        </c:ser>
        <c:dLbls>
          <c:showLegendKey val="0"/>
          <c:showVal val="1"/>
          <c:showCatName val="0"/>
          <c:showSerName val="0"/>
          <c:showPercent val="0"/>
          <c:showBubbleSize val="0"/>
        </c:dLbls>
        <c:gapWidth val="100"/>
        <c:overlap val="100"/>
        <c:axId val="942842016"/>
        <c:axId val="972722416"/>
      </c:barChart>
      <c:catAx>
        <c:axId val="942842016"/>
        <c:scaling>
          <c:orientation val="minMax"/>
        </c:scaling>
        <c:delete val="0"/>
        <c:axPos val="b"/>
        <c:title>
          <c:tx>
            <c:rich>
              <a:bodyPr rot="0" vert="horz"/>
              <a:lstStyle/>
              <a:p>
                <a:pPr>
                  <a:defRPr/>
                </a:pPr>
                <a:r>
                  <a:rPr lang="en-US"/>
                  <a:t>Basil Variety</a:t>
                </a:r>
              </a:p>
            </c:rich>
          </c:tx>
          <c:layout>
            <c:manualLayout>
              <c:xMode val="edge"/>
              <c:yMode val="edge"/>
              <c:x val="0.4570807900713092"/>
              <c:y val="0.95942005989805434"/>
            </c:manualLayout>
          </c:layout>
          <c:overlay val="0"/>
          <c:spPr>
            <a:noFill/>
            <a:ln>
              <a:noFill/>
            </a:ln>
            <a:effectLst/>
          </c:spPr>
        </c:title>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vert="horz"/>
          <a:lstStyle/>
          <a:p>
            <a:pPr>
              <a:defRPr/>
            </a:pPr>
            <a:endParaRPr lang="en-US"/>
          </a:p>
        </c:txPr>
        <c:crossAx val="972722416"/>
        <c:crosses val="autoZero"/>
        <c:auto val="1"/>
        <c:lblAlgn val="ctr"/>
        <c:lblOffset val="100"/>
        <c:noMultiLvlLbl val="0"/>
      </c:catAx>
      <c:valAx>
        <c:axId val="972722416"/>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5400000" vert="horz"/>
              <a:lstStyle/>
              <a:p>
                <a:pPr>
                  <a:defRPr/>
                </a:pPr>
                <a:r>
                  <a:rPr lang="en-US"/>
                  <a:t>uM . g Fresh Mass-1</a:t>
                </a:r>
              </a:p>
            </c:rich>
          </c:tx>
          <c:overlay val="0"/>
          <c:spPr>
            <a:noFill/>
            <a:ln>
              <a:noFill/>
            </a:ln>
            <a:effectLst/>
          </c:spPr>
        </c:title>
        <c:numFmt formatCode="General" sourceLinked="1"/>
        <c:majorTickMark val="none"/>
        <c:minorTickMark val="none"/>
        <c:tickLblPos val="nextTo"/>
        <c:spPr>
          <a:noFill/>
          <a:ln>
            <a:noFill/>
          </a:ln>
          <a:effectLst/>
        </c:spPr>
        <c:txPr>
          <a:bodyPr rot="-60000000" vert="horz"/>
          <a:lstStyle/>
          <a:p>
            <a:pPr>
              <a:defRPr/>
            </a:pPr>
            <a:endParaRPr lang="en-US"/>
          </a:p>
        </c:txPr>
        <c:crossAx val="942842016"/>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latin typeface="Times New Roman" panose="02020603050405020304" pitchFamily="18" charset="0"/>
          <a:ea typeface="Times New Roman" charset="0"/>
          <a:cs typeface="Times New Roman" panose="02020603050405020304" pitchFamily="18" charset="0"/>
        </a:defRPr>
      </a:pPr>
      <a:endParaRPr lang="en-US"/>
    </a:p>
  </c:txPr>
  <c:externalData r:id="rId1">
    <c:autoUpdate val="0"/>
  </c:externalData>
  <c:userShapes r:id="rId2"/>
</c:chartSpace>
</file>

<file path=word/charts/chart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11895587881446792"/>
          <c:y val="2.0172382174949568E-2"/>
          <c:w val="0.8572885872259165"/>
          <c:h val="0.88740910459962985"/>
        </c:manualLayout>
      </c:layout>
      <c:barChart>
        <c:barDir val="col"/>
        <c:grouping val="stacked"/>
        <c:varyColors val="0"/>
        <c:ser>
          <c:idx val="0"/>
          <c:order val="0"/>
          <c:tx>
            <c:strRef>
              <c:f>Sheet1!$B$1</c:f>
              <c:strCache>
                <c:ptCount val="1"/>
                <c:pt idx="0">
                  <c:v>Methyl Eugenol</c:v>
                </c:pt>
              </c:strCache>
            </c:strRef>
          </c:tx>
          <c:spPr>
            <a:solidFill>
              <a:srgbClr val="9E3BA5"/>
            </a:solidFill>
            <a:ln>
              <a:noFill/>
            </a:ln>
            <a:effectLst/>
          </c:spPr>
          <c:invertIfNegative val="0"/>
          <c:dLbls>
            <c:dLbl>
              <c:idx val="0"/>
              <c:layout>
                <c:manualLayout>
                  <c:x val="-8.6383759853147606E-3"/>
                  <c:y val="0"/>
                </c:manualLayout>
              </c:layout>
              <c:tx>
                <c:rich>
                  <a:bodyPr/>
                  <a:lstStyle/>
                  <a:p>
                    <a:r>
                      <a:rPr lang="en-US"/>
                      <a:t>B</a:t>
                    </a:r>
                  </a:p>
                </c:rich>
              </c:tx>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00-B11D-1B48-93C4-F6ECFFAA0E39}"/>
                </c:ext>
              </c:extLst>
            </c:dLbl>
            <c:dLbl>
              <c:idx val="1"/>
              <c:layout>
                <c:manualLayout>
                  <c:x val="-1.2957563977972141E-2"/>
                  <c:y val="-1.8338529249954153E-3"/>
                </c:manualLayout>
              </c:layout>
              <c:tx>
                <c:rich>
                  <a:bodyPr/>
                  <a:lstStyle/>
                  <a:p>
                    <a:r>
                      <a:rPr lang="en-US"/>
                      <a:t>B</a:t>
                    </a:r>
                  </a:p>
                </c:rich>
              </c:tx>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01-B11D-1B48-93C4-F6ECFFAA0E39}"/>
                </c:ext>
              </c:extLst>
            </c:dLbl>
            <c:dLbl>
              <c:idx val="2"/>
              <c:layout>
                <c:manualLayout>
                  <c:x val="1.5117157974300832E-2"/>
                  <c:y val="-9.1692646249770769E-3"/>
                </c:manualLayout>
              </c:layout>
              <c:tx>
                <c:rich>
                  <a:bodyPr/>
                  <a:lstStyle/>
                  <a:p>
                    <a:r>
                      <a:rPr lang="en-US"/>
                      <a:t>C</a:t>
                    </a:r>
                  </a:p>
                </c:rich>
              </c:tx>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02-B11D-1B48-93C4-F6ECFFAA0E39}"/>
                </c:ext>
              </c:extLst>
            </c:dLbl>
            <c:dLbl>
              <c:idx val="3"/>
              <c:layout>
                <c:manualLayout>
                  <c:x val="-8.6383759853147606E-3"/>
                  <c:y val="-1.0618662929365068E-16"/>
                </c:manualLayout>
              </c:layout>
              <c:tx>
                <c:rich>
                  <a:bodyPr/>
                  <a:lstStyle/>
                  <a:p>
                    <a:r>
                      <a:rPr lang="en-US"/>
                      <a:t>B</a:t>
                    </a:r>
                  </a:p>
                </c:rich>
              </c:tx>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03-B11D-1B48-93C4-F6ECFFAA0E39}"/>
                </c:ext>
              </c:extLst>
            </c:dLbl>
            <c:dLbl>
              <c:idx val="4"/>
              <c:tx>
                <c:rich>
                  <a:bodyPr/>
                  <a:lstStyle/>
                  <a:p>
                    <a:r>
                      <a:rPr lang="en-US"/>
                      <a:t>A</a:t>
                    </a:r>
                  </a:p>
                </c:rich>
              </c:tx>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04-B11D-1B48-93C4-F6ECFFAA0E39}"/>
                </c:ext>
              </c:extLst>
            </c:dLbl>
            <c:dLbl>
              <c:idx val="5"/>
              <c:tx>
                <c:rich>
                  <a:bodyPr/>
                  <a:lstStyle/>
                  <a:p>
                    <a:r>
                      <a:rPr lang="en-US"/>
                      <a:t>B</a:t>
                    </a:r>
                  </a:p>
                </c:rich>
              </c:tx>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05-B11D-1B48-93C4-F6ECFFAA0E39}"/>
                </c:ext>
              </c:extLst>
            </c:dLbl>
            <c:dLbl>
              <c:idx val="6"/>
              <c:tx>
                <c:rich>
                  <a:bodyPr/>
                  <a:lstStyle/>
                  <a:p>
                    <a:r>
                      <a:rPr lang="en-US"/>
                      <a:t>B</a:t>
                    </a:r>
                  </a:p>
                </c:rich>
              </c:tx>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06-B11D-1B48-93C4-F6ECFFAA0E39}"/>
                </c:ext>
              </c:extLst>
            </c:dLbl>
            <c:spPr>
              <a:noFill/>
              <a:ln>
                <a:noFill/>
              </a:ln>
              <a:effectLst/>
            </c:spPr>
            <c:txPr>
              <a:bodyPr/>
              <a:lstStyle/>
              <a:p>
                <a:pPr>
                  <a:defRPr b="1"/>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ext>
            </c:extLst>
          </c:dLbls>
          <c:cat>
            <c:strRef>
              <c:f>Sheet1!$A$2:$A$8</c:f>
              <c:strCache>
                <c:ptCount val="7"/>
                <c:pt idx="0">
                  <c:v>Genovese</c:v>
                </c:pt>
                <c:pt idx="1">
                  <c:v>Siam Queen</c:v>
                </c:pt>
                <c:pt idx="2">
                  <c:v>Lemon</c:v>
                </c:pt>
                <c:pt idx="3">
                  <c:v>Spicy Globe</c:v>
                </c:pt>
                <c:pt idx="4">
                  <c:v>Dark Opal</c:v>
                </c:pt>
                <c:pt idx="5">
                  <c:v>Thai</c:v>
                </c:pt>
                <c:pt idx="6">
                  <c:v>Holy</c:v>
                </c:pt>
              </c:strCache>
            </c:strRef>
          </c:cat>
          <c:val>
            <c:numRef>
              <c:f>Sheet1!$B$2:$B$8</c:f>
              <c:numCache>
                <c:formatCode>General</c:formatCode>
                <c:ptCount val="7"/>
                <c:pt idx="0">
                  <c:v>52</c:v>
                </c:pt>
                <c:pt idx="1">
                  <c:v>25</c:v>
                </c:pt>
                <c:pt idx="2">
                  <c:v>18</c:v>
                </c:pt>
                <c:pt idx="3">
                  <c:v>138</c:v>
                </c:pt>
                <c:pt idx="4">
                  <c:v>3149</c:v>
                </c:pt>
                <c:pt idx="5">
                  <c:v>472</c:v>
                </c:pt>
                <c:pt idx="6">
                  <c:v>140</c:v>
                </c:pt>
              </c:numCache>
            </c:numRef>
          </c:val>
          <c:extLst>
            <c:ext xmlns:c16="http://schemas.microsoft.com/office/drawing/2014/chart" uri="{C3380CC4-5D6E-409C-BE32-E72D297353CC}">
              <c16:uniqueId val="{00000007-B11D-1B48-93C4-F6ECFFAA0E39}"/>
            </c:ext>
          </c:extLst>
        </c:ser>
        <c:ser>
          <c:idx val="1"/>
          <c:order val="1"/>
          <c:tx>
            <c:strRef>
              <c:f>Sheet1!$C$1</c:f>
              <c:strCache>
                <c:ptCount val="1"/>
                <c:pt idx="0">
                  <c:v>Eugenol</c:v>
                </c:pt>
              </c:strCache>
            </c:strRef>
          </c:tx>
          <c:spPr>
            <a:solidFill>
              <a:srgbClr val="EA4039"/>
            </a:solidFill>
          </c:spPr>
          <c:invertIfNegative val="0"/>
          <c:dLbls>
            <c:dLbl>
              <c:idx val="0"/>
              <c:layout>
                <c:manualLayout>
                  <c:x val="1.0797969981643431E-2"/>
                  <c:y val="-1.0875615576429791E-2"/>
                </c:manualLayout>
              </c:layout>
              <c:tx>
                <c:rich>
                  <a:bodyPr/>
                  <a:lstStyle/>
                  <a:p>
                    <a:r>
                      <a:rPr lang="en-US"/>
                      <a:t>AB</a:t>
                    </a:r>
                  </a:p>
                </c:rich>
              </c:tx>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08-B11D-1B48-93C4-F6ECFFAA0E39}"/>
                </c:ext>
              </c:extLst>
            </c:dLbl>
            <c:dLbl>
              <c:idx val="1"/>
              <c:layout>
                <c:manualLayout>
                  <c:x val="1.5117157974300872E-2"/>
                  <c:y val="0"/>
                </c:manualLayout>
              </c:layout>
              <c:tx>
                <c:rich>
                  <a:bodyPr/>
                  <a:lstStyle/>
                  <a:p>
                    <a:r>
                      <a:rPr lang="en-US"/>
                      <a:t>BC</a:t>
                    </a:r>
                  </a:p>
                </c:rich>
              </c:tx>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09-B11D-1B48-93C4-F6ECFFAA0E39}"/>
                </c:ext>
              </c:extLst>
            </c:dLbl>
            <c:dLbl>
              <c:idx val="2"/>
              <c:layout>
                <c:manualLayout>
                  <c:x val="-1.2957563977972141E-2"/>
                  <c:y val="0"/>
                </c:manualLayout>
              </c:layout>
              <c:tx>
                <c:rich>
                  <a:bodyPr/>
                  <a:lstStyle/>
                  <a:p>
                    <a:r>
                      <a:rPr lang="en-US"/>
                      <a:t>B</a:t>
                    </a:r>
                  </a:p>
                </c:rich>
              </c:tx>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0A-B11D-1B48-93C4-F6ECFFAA0E39}"/>
                </c:ext>
              </c:extLst>
            </c:dLbl>
            <c:dLbl>
              <c:idx val="3"/>
              <c:layout>
                <c:manualLayout>
                  <c:x val="1.2957563977972141E-2"/>
                  <c:y val="-1.7376194613379775E-2"/>
                </c:manualLayout>
              </c:layout>
              <c:tx>
                <c:rich>
                  <a:bodyPr/>
                  <a:lstStyle/>
                  <a:p>
                    <a:r>
                      <a:rPr lang="en-US"/>
                      <a:t>C</a:t>
                    </a:r>
                  </a:p>
                </c:rich>
              </c:tx>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0B-B11D-1B48-93C4-F6ECFFAA0E39}"/>
                </c:ext>
              </c:extLst>
            </c:dLbl>
            <c:dLbl>
              <c:idx val="4"/>
              <c:tx>
                <c:rich>
                  <a:bodyPr/>
                  <a:lstStyle/>
                  <a:p>
                    <a:r>
                      <a:rPr lang="en-US"/>
                      <a:t>C</a:t>
                    </a:r>
                  </a:p>
                </c:rich>
              </c:tx>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0C-B11D-1B48-93C4-F6ECFFAA0E39}"/>
                </c:ext>
              </c:extLst>
            </c:dLbl>
            <c:dLbl>
              <c:idx val="5"/>
              <c:tx>
                <c:rich>
                  <a:bodyPr/>
                  <a:lstStyle/>
                  <a:p>
                    <a:r>
                      <a:rPr lang="en-US"/>
                      <a:t>A</a:t>
                    </a:r>
                  </a:p>
                </c:rich>
              </c:tx>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0D-B11D-1B48-93C4-F6ECFFAA0E39}"/>
                </c:ext>
              </c:extLst>
            </c:dLbl>
            <c:dLbl>
              <c:idx val="6"/>
              <c:tx>
                <c:rich>
                  <a:bodyPr/>
                  <a:lstStyle/>
                  <a:p>
                    <a:r>
                      <a:rPr lang="en-US"/>
                      <a:t>A</a:t>
                    </a:r>
                  </a:p>
                </c:rich>
              </c:tx>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0E-B11D-1B48-93C4-F6ECFFAA0E39}"/>
                </c:ext>
              </c:extLst>
            </c:dLbl>
            <c:spPr>
              <a:noFill/>
              <a:ln>
                <a:noFill/>
              </a:ln>
              <a:effectLst/>
            </c:spPr>
            <c:txPr>
              <a:bodyPr/>
              <a:lstStyle/>
              <a:p>
                <a:pPr>
                  <a:defRPr b="1"/>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ext>
            </c:extLst>
          </c:dLbls>
          <c:cat>
            <c:strRef>
              <c:f>Sheet1!$A$2:$A$8</c:f>
              <c:strCache>
                <c:ptCount val="7"/>
                <c:pt idx="0">
                  <c:v>Genovese</c:v>
                </c:pt>
                <c:pt idx="1">
                  <c:v>Siam Queen</c:v>
                </c:pt>
                <c:pt idx="2">
                  <c:v>Lemon</c:v>
                </c:pt>
                <c:pt idx="3">
                  <c:v>Spicy Globe</c:v>
                </c:pt>
                <c:pt idx="4">
                  <c:v>Dark Opal</c:v>
                </c:pt>
                <c:pt idx="5">
                  <c:v>Thai</c:v>
                </c:pt>
                <c:pt idx="6">
                  <c:v>Holy</c:v>
                </c:pt>
              </c:strCache>
            </c:strRef>
          </c:cat>
          <c:val>
            <c:numRef>
              <c:f>Sheet1!$C$2:$C$8</c:f>
              <c:numCache>
                <c:formatCode>General</c:formatCode>
                <c:ptCount val="7"/>
                <c:pt idx="0">
                  <c:v>174</c:v>
                </c:pt>
                <c:pt idx="1">
                  <c:v>66</c:v>
                </c:pt>
                <c:pt idx="2">
                  <c:v>9</c:v>
                </c:pt>
                <c:pt idx="3">
                  <c:v>21</c:v>
                </c:pt>
                <c:pt idx="4">
                  <c:v>5</c:v>
                </c:pt>
                <c:pt idx="5">
                  <c:v>235</c:v>
                </c:pt>
                <c:pt idx="6">
                  <c:v>309</c:v>
                </c:pt>
              </c:numCache>
            </c:numRef>
          </c:val>
          <c:extLst>
            <c:ext xmlns:c16="http://schemas.microsoft.com/office/drawing/2014/chart" uri="{C3380CC4-5D6E-409C-BE32-E72D297353CC}">
              <c16:uniqueId val="{0000000F-B11D-1B48-93C4-F6ECFFAA0E39}"/>
            </c:ext>
          </c:extLst>
        </c:ser>
        <c:dLbls>
          <c:showLegendKey val="0"/>
          <c:showVal val="0"/>
          <c:showCatName val="0"/>
          <c:showSerName val="0"/>
          <c:showPercent val="0"/>
          <c:showBubbleSize val="0"/>
        </c:dLbls>
        <c:gapWidth val="100"/>
        <c:overlap val="100"/>
        <c:axId val="942842016"/>
        <c:axId val="972722416"/>
      </c:barChart>
      <c:catAx>
        <c:axId val="942842016"/>
        <c:scaling>
          <c:orientation val="minMax"/>
        </c:scaling>
        <c:delete val="0"/>
        <c:axPos val="b"/>
        <c:title>
          <c:tx>
            <c:rich>
              <a:bodyPr rot="0" vert="horz"/>
              <a:lstStyle/>
              <a:p>
                <a:pPr>
                  <a:defRPr/>
                </a:pPr>
                <a:r>
                  <a:rPr lang="en-US"/>
                  <a:t>Basil Variety</a:t>
                </a:r>
              </a:p>
            </c:rich>
          </c:tx>
          <c:layout>
            <c:manualLayout>
              <c:xMode val="edge"/>
              <c:yMode val="edge"/>
              <c:x val="0.44412322609333699"/>
              <c:y val="0.95497765648146438"/>
            </c:manualLayout>
          </c:layout>
          <c:overlay val="0"/>
          <c:spPr>
            <a:noFill/>
            <a:ln>
              <a:noFill/>
            </a:ln>
            <a:effectLst/>
          </c:spPr>
        </c:title>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vert="horz"/>
          <a:lstStyle/>
          <a:p>
            <a:pPr>
              <a:defRPr/>
            </a:pPr>
            <a:endParaRPr lang="en-US"/>
          </a:p>
        </c:txPr>
        <c:crossAx val="972722416"/>
        <c:crosses val="autoZero"/>
        <c:auto val="1"/>
        <c:lblAlgn val="ctr"/>
        <c:lblOffset val="100"/>
        <c:noMultiLvlLbl val="0"/>
      </c:catAx>
      <c:valAx>
        <c:axId val="972722416"/>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5400000" vert="horz"/>
              <a:lstStyle/>
              <a:p>
                <a:pPr>
                  <a:defRPr/>
                </a:pPr>
                <a:r>
                  <a:rPr lang="en-US"/>
                  <a:t>uM . g Fresh Mass-1</a:t>
                </a:r>
              </a:p>
            </c:rich>
          </c:tx>
          <c:overlay val="0"/>
          <c:spPr>
            <a:noFill/>
            <a:ln>
              <a:noFill/>
            </a:ln>
            <a:effectLst/>
          </c:spPr>
        </c:title>
        <c:numFmt formatCode="General" sourceLinked="1"/>
        <c:majorTickMark val="none"/>
        <c:minorTickMark val="none"/>
        <c:tickLblPos val="nextTo"/>
        <c:spPr>
          <a:noFill/>
          <a:ln>
            <a:noFill/>
          </a:ln>
          <a:effectLst/>
        </c:spPr>
        <c:txPr>
          <a:bodyPr rot="-60000000" vert="horz"/>
          <a:lstStyle/>
          <a:p>
            <a:pPr>
              <a:defRPr/>
            </a:pPr>
            <a:endParaRPr lang="en-US"/>
          </a:p>
        </c:txPr>
        <c:crossAx val="942842016"/>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latin typeface="Times New Roman" panose="02020603050405020304" pitchFamily="18" charset="0"/>
          <a:ea typeface="Times New Roman" charset="0"/>
          <a:cs typeface="Times New Roman" panose="02020603050405020304" pitchFamily="18" charset="0"/>
        </a:defRPr>
      </a:pPr>
      <a:endParaRPr lang="en-US"/>
    </a:p>
  </c:txPr>
  <c:externalData r:id="rId1">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12563049306840948"/>
          <c:y val="3.9718360714930491E-2"/>
          <c:w val="0.8507008678783361"/>
          <c:h val="0.86304431459483666"/>
        </c:manualLayout>
      </c:layout>
      <c:barChart>
        <c:barDir val="col"/>
        <c:grouping val="clustered"/>
        <c:varyColors val="0"/>
        <c:ser>
          <c:idx val="0"/>
          <c:order val="0"/>
          <c:tx>
            <c:strRef>
              <c:f>Sheet1!$B$1</c:f>
              <c:strCache>
                <c:ptCount val="1"/>
                <c:pt idx="0">
                  <c:v>Column1</c:v>
                </c:pt>
              </c:strCache>
            </c:strRef>
          </c:tx>
          <c:spPr>
            <a:solidFill>
              <a:srgbClr val="4A67C2"/>
            </a:solidFill>
            <a:ln>
              <a:noFill/>
            </a:ln>
            <a:effectLst/>
          </c:spPr>
          <c:invertIfNegative val="0"/>
          <c:dLbls>
            <c:dLbl>
              <c:idx val="0"/>
              <c:tx>
                <c:rich>
                  <a:bodyPr/>
                  <a:lstStyle/>
                  <a:p>
                    <a:r>
                      <a:rPr lang="en-US"/>
                      <a:t>A</a:t>
                    </a:r>
                  </a:p>
                </c:rich>
              </c:tx>
              <c:dLblPos val="outEnd"/>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00-C1BB-D24F-8592-9C163237FACB}"/>
                </c:ext>
              </c:extLst>
            </c:dLbl>
            <c:dLbl>
              <c:idx val="1"/>
              <c:tx>
                <c:rich>
                  <a:bodyPr/>
                  <a:lstStyle/>
                  <a:p>
                    <a:r>
                      <a:rPr lang="en-US"/>
                      <a:t>A</a:t>
                    </a:r>
                  </a:p>
                </c:rich>
              </c:tx>
              <c:dLblPos val="outEnd"/>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01-C1BB-D24F-8592-9C163237FACB}"/>
                </c:ext>
              </c:extLst>
            </c:dLbl>
            <c:dLbl>
              <c:idx val="2"/>
              <c:tx>
                <c:rich>
                  <a:bodyPr/>
                  <a:lstStyle/>
                  <a:p>
                    <a:r>
                      <a:rPr lang="en-US"/>
                      <a:t>B</a:t>
                    </a:r>
                  </a:p>
                </c:rich>
              </c:tx>
              <c:dLblPos val="outEnd"/>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02-C1BB-D24F-8592-9C163237FACB}"/>
                </c:ext>
              </c:extLst>
            </c:dLbl>
            <c:dLbl>
              <c:idx val="3"/>
              <c:tx>
                <c:rich>
                  <a:bodyPr/>
                  <a:lstStyle/>
                  <a:p>
                    <a:r>
                      <a:rPr lang="en-US"/>
                      <a:t>B</a:t>
                    </a:r>
                  </a:p>
                </c:rich>
              </c:tx>
              <c:dLblPos val="outEnd"/>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03-C1BB-D24F-8592-9C163237FACB}"/>
                </c:ext>
              </c:extLst>
            </c:dLbl>
            <c:dLbl>
              <c:idx val="4"/>
              <c:tx>
                <c:rich>
                  <a:bodyPr/>
                  <a:lstStyle/>
                  <a:p>
                    <a:r>
                      <a:rPr lang="en-US"/>
                      <a:t>B</a:t>
                    </a:r>
                  </a:p>
                </c:rich>
              </c:tx>
              <c:dLblPos val="outEnd"/>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04-C1BB-D24F-8592-9C163237FACB}"/>
                </c:ext>
              </c:extLst>
            </c:dLbl>
            <c:dLbl>
              <c:idx val="5"/>
              <c:tx>
                <c:rich>
                  <a:bodyPr/>
                  <a:lstStyle/>
                  <a:p>
                    <a:r>
                      <a:rPr lang="en-US"/>
                      <a:t>B</a:t>
                    </a:r>
                  </a:p>
                </c:rich>
              </c:tx>
              <c:dLblPos val="outEnd"/>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05-C1BB-D24F-8592-9C163237FACB}"/>
                </c:ext>
              </c:extLst>
            </c:dLbl>
            <c:dLbl>
              <c:idx val="6"/>
              <c:tx>
                <c:rich>
                  <a:bodyPr/>
                  <a:lstStyle/>
                  <a:p>
                    <a:r>
                      <a:rPr lang="en-US"/>
                      <a:t>A</a:t>
                    </a:r>
                  </a:p>
                </c:rich>
              </c:tx>
              <c:dLblPos val="outEnd"/>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06-C1BB-D24F-8592-9C163237FACB}"/>
                </c:ext>
              </c:extLst>
            </c:dLbl>
            <c:dLbl>
              <c:idx val="8"/>
              <c:tx>
                <c:rich>
                  <a:bodyPr/>
                  <a:lstStyle/>
                  <a:p>
                    <a:r>
                      <a:rPr lang="en-US"/>
                      <a:t>D</a:t>
                    </a:r>
                  </a:p>
                </c:rich>
              </c:tx>
              <c:dLblPos val="outEnd"/>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07-C1BB-D24F-8592-9C163237FACB}"/>
                </c:ext>
              </c:extLst>
            </c:dLbl>
            <c:spPr>
              <a:noFill/>
              <a:ln>
                <a:noFill/>
              </a:ln>
              <a:effectLst/>
            </c:spPr>
            <c:txPr>
              <a:bodyPr rot="0" vert="horz"/>
              <a:lstStyle/>
              <a:p>
                <a:pPr>
                  <a:defRPr b="1"/>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Sheet1!$A$2:$A$8</c:f>
              <c:strCache>
                <c:ptCount val="7"/>
                <c:pt idx="0">
                  <c:v>Genovese</c:v>
                </c:pt>
                <c:pt idx="1">
                  <c:v>Siam Queen</c:v>
                </c:pt>
                <c:pt idx="2">
                  <c:v>Lemon</c:v>
                </c:pt>
                <c:pt idx="3">
                  <c:v>Spicy Globe</c:v>
                </c:pt>
                <c:pt idx="4">
                  <c:v>Dark Opal</c:v>
                </c:pt>
                <c:pt idx="5">
                  <c:v>Thai</c:v>
                </c:pt>
                <c:pt idx="6">
                  <c:v>Holy</c:v>
                </c:pt>
              </c:strCache>
            </c:strRef>
          </c:cat>
          <c:val>
            <c:numRef>
              <c:f>Sheet1!$B$2:$B$8</c:f>
              <c:numCache>
                <c:formatCode>General</c:formatCode>
                <c:ptCount val="7"/>
                <c:pt idx="0">
                  <c:v>1829</c:v>
                </c:pt>
                <c:pt idx="1">
                  <c:v>1779</c:v>
                </c:pt>
                <c:pt idx="2">
                  <c:v>406</c:v>
                </c:pt>
                <c:pt idx="3">
                  <c:v>41</c:v>
                </c:pt>
                <c:pt idx="4">
                  <c:v>9.8000000000000007</c:v>
                </c:pt>
                <c:pt idx="5">
                  <c:v>21.3</c:v>
                </c:pt>
                <c:pt idx="6">
                  <c:v>2358</c:v>
                </c:pt>
              </c:numCache>
            </c:numRef>
          </c:val>
          <c:extLst>
            <c:ext xmlns:c16="http://schemas.microsoft.com/office/drawing/2014/chart" uri="{C3380CC4-5D6E-409C-BE32-E72D297353CC}">
              <c16:uniqueId val="{00000008-C1BB-D24F-8592-9C163237FACB}"/>
            </c:ext>
          </c:extLst>
        </c:ser>
        <c:ser>
          <c:idx val="1"/>
          <c:order val="1"/>
          <c:tx>
            <c:strRef>
              <c:f>Sheet1!$C$1</c:f>
              <c:strCache>
                <c:ptCount val="1"/>
                <c:pt idx="0">
                  <c:v>Column12</c:v>
                </c:pt>
              </c:strCache>
            </c:strRef>
          </c:tx>
          <c:spPr>
            <a:solidFill>
              <a:srgbClr val="76B94B"/>
            </a:solidFill>
          </c:spPr>
          <c:invertIfNegative val="0"/>
          <c:dLbls>
            <c:dLbl>
              <c:idx val="0"/>
              <c:tx>
                <c:rich>
                  <a:bodyPr/>
                  <a:lstStyle/>
                  <a:p>
                    <a:r>
                      <a:rPr lang="en-US"/>
                      <a:t>B</a:t>
                    </a:r>
                  </a:p>
                </c:rich>
              </c:tx>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09-C1BB-D24F-8592-9C163237FACB}"/>
                </c:ext>
              </c:extLst>
            </c:dLbl>
            <c:dLbl>
              <c:idx val="1"/>
              <c:tx>
                <c:rich>
                  <a:bodyPr/>
                  <a:lstStyle/>
                  <a:p>
                    <a:r>
                      <a:rPr lang="en-US"/>
                      <a:t>B</a:t>
                    </a:r>
                  </a:p>
                </c:rich>
              </c:tx>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0A-C1BB-D24F-8592-9C163237FACB}"/>
                </c:ext>
              </c:extLst>
            </c:dLbl>
            <c:dLbl>
              <c:idx val="2"/>
              <c:tx>
                <c:rich>
                  <a:bodyPr/>
                  <a:lstStyle/>
                  <a:p>
                    <a:r>
                      <a:rPr lang="en-US"/>
                      <a:t>B</a:t>
                    </a:r>
                  </a:p>
                </c:rich>
              </c:tx>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0B-C1BB-D24F-8592-9C163237FACB}"/>
                </c:ext>
              </c:extLst>
            </c:dLbl>
            <c:dLbl>
              <c:idx val="3"/>
              <c:tx>
                <c:rich>
                  <a:bodyPr/>
                  <a:lstStyle/>
                  <a:p>
                    <a:r>
                      <a:rPr lang="en-US"/>
                      <a:t>B</a:t>
                    </a:r>
                  </a:p>
                </c:rich>
              </c:tx>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0C-C1BB-D24F-8592-9C163237FACB}"/>
                </c:ext>
              </c:extLst>
            </c:dLbl>
            <c:dLbl>
              <c:idx val="4"/>
              <c:tx>
                <c:rich>
                  <a:bodyPr/>
                  <a:lstStyle/>
                  <a:p>
                    <a:r>
                      <a:rPr lang="en-US"/>
                      <a:t>A</a:t>
                    </a:r>
                  </a:p>
                </c:rich>
              </c:tx>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0D-C1BB-D24F-8592-9C163237FACB}"/>
                </c:ext>
              </c:extLst>
            </c:dLbl>
            <c:dLbl>
              <c:idx val="5"/>
              <c:tx>
                <c:rich>
                  <a:bodyPr/>
                  <a:lstStyle/>
                  <a:p>
                    <a:r>
                      <a:rPr lang="en-US"/>
                      <a:t>B</a:t>
                    </a:r>
                  </a:p>
                </c:rich>
              </c:tx>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0E-C1BB-D24F-8592-9C163237FACB}"/>
                </c:ext>
              </c:extLst>
            </c:dLbl>
            <c:dLbl>
              <c:idx val="6"/>
              <c:tx>
                <c:rich>
                  <a:bodyPr/>
                  <a:lstStyle/>
                  <a:p>
                    <a:r>
                      <a:rPr lang="en-US"/>
                      <a:t>B</a:t>
                    </a:r>
                  </a:p>
                </c:rich>
              </c:tx>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0F-C1BB-D24F-8592-9C163237FACB}"/>
                </c:ext>
              </c:extLst>
            </c:dLbl>
            <c:spPr>
              <a:noFill/>
              <a:ln>
                <a:noFill/>
              </a:ln>
              <a:effectLst/>
            </c:spPr>
            <c:txPr>
              <a:bodyPr/>
              <a:lstStyle/>
              <a:p>
                <a:pPr>
                  <a:defRPr b="1"/>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ext>
            </c:extLst>
          </c:dLbls>
          <c:cat>
            <c:strRef>
              <c:f>Sheet1!$A$2:$A$8</c:f>
              <c:strCache>
                <c:ptCount val="7"/>
                <c:pt idx="0">
                  <c:v>Genovese</c:v>
                </c:pt>
                <c:pt idx="1">
                  <c:v>Siam Queen</c:v>
                </c:pt>
                <c:pt idx="2">
                  <c:v>Lemon</c:v>
                </c:pt>
                <c:pt idx="3">
                  <c:v>Spicy Globe</c:v>
                </c:pt>
                <c:pt idx="4">
                  <c:v>Dark Opal</c:v>
                </c:pt>
                <c:pt idx="5">
                  <c:v>Thai</c:v>
                </c:pt>
                <c:pt idx="6">
                  <c:v>Holy</c:v>
                </c:pt>
              </c:strCache>
            </c:strRef>
          </c:cat>
          <c:val>
            <c:numRef>
              <c:f>Sheet1!$C$2:$C$8</c:f>
              <c:numCache>
                <c:formatCode>General</c:formatCode>
                <c:ptCount val="7"/>
                <c:pt idx="0">
                  <c:v>52</c:v>
                </c:pt>
                <c:pt idx="1">
                  <c:v>25</c:v>
                </c:pt>
                <c:pt idx="2">
                  <c:v>18</c:v>
                </c:pt>
                <c:pt idx="3">
                  <c:v>138</c:v>
                </c:pt>
                <c:pt idx="4">
                  <c:v>3149</c:v>
                </c:pt>
                <c:pt idx="5">
                  <c:v>472</c:v>
                </c:pt>
                <c:pt idx="6">
                  <c:v>140</c:v>
                </c:pt>
              </c:numCache>
            </c:numRef>
          </c:val>
          <c:extLst>
            <c:ext xmlns:c16="http://schemas.microsoft.com/office/drawing/2014/chart" uri="{C3380CC4-5D6E-409C-BE32-E72D297353CC}">
              <c16:uniqueId val="{00000010-C1BB-D24F-8592-9C163237FACB}"/>
            </c:ext>
          </c:extLst>
        </c:ser>
        <c:ser>
          <c:idx val="2"/>
          <c:order val="2"/>
          <c:tx>
            <c:strRef>
              <c:f>Sheet1!$D$1</c:f>
              <c:strCache>
                <c:ptCount val="1"/>
                <c:pt idx="0">
                  <c:v>Column122</c:v>
                </c:pt>
              </c:strCache>
            </c:strRef>
          </c:tx>
          <c:spPr>
            <a:solidFill>
              <a:srgbClr val="F52F31"/>
            </a:solidFill>
          </c:spPr>
          <c:invertIfNegative val="0"/>
          <c:dLbls>
            <c:dLbl>
              <c:idx val="0"/>
              <c:tx>
                <c:rich>
                  <a:bodyPr/>
                  <a:lstStyle/>
                  <a:p>
                    <a:r>
                      <a:rPr lang="en-US"/>
                      <a:t>A</a:t>
                    </a:r>
                  </a:p>
                </c:rich>
              </c:tx>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11-C1BB-D24F-8592-9C163237FACB}"/>
                </c:ext>
              </c:extLst>
            </c:dLbl>
            <c:dLbl>
              <c:idx val="1"/>
              <c:tx>
                <c:rich>
                  <a:bodyPr/>
                  <a:lstStyle/>
                  <a:p>
                    <a:r>
                      <a:rPr lang="en-US"/>
                      <a:t>AB</a:t>
                    </a:r>
                  </a:p>
                </c:rich>
              </c:tx>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12-C1BB-D24F-8592-9C163237FACB}"/>
                </c:ext>
              </c:extLst>
            </c:dLbl>
            <c:dLbl>
              <c:idx val="2"/>
              <c:tx>
                <c:rich>
                  <a:bodyPr/>
                  <a:lstStyle/>
                  <a:p>
                    <a:r>
                      <a:rPr lang="en-US"/>
                      <a:t>B</a:t>
                    </a:r>
                  </a:p>
                </c:rich>
              </c:tx>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13-C1BB-D24F-8592-9C163237FACB}"/>
                </c:ext>
              </c:extLst>
            </c:dLbl>
            <c:dLbl>
              <c:idx val="3"/>
              <c:tx>
                <c:rich>
                  <a:bodyPr/>
                  <a:lstStyle/>
                  <a:p>
                    <a:r>
                      <a:rPr lang="en-US"/>
                      <a:t>B</a:t>
                    </a:r>
                  </a:p>
                </c:rich>
              </c:tx>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14-C1BB-D24F-8592-9C163237FACB}"/>
                </c:ext>
              </c:extLst>
            </c:dLbl>
            <c:dLbl>
              <c:idx val="4"/>
              <c:tx>
                <c:rich>
                  <a:bodyPr/>
                  <a:lstStyle/>
                  <a:p>
                    <a:r>
                      <a:rPr lang="en-US"/>
                      <a:t>B</a:t>
                    </a:r>
                  </a:p>
                </c:rich>
              </c:tx>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15-C1BB-D24F-8592-9C163237FACB}"/>
                </c:ext>
              </c:extLst>
            </c:dLbl>
            <c:dLbl>
              <c:idx val="5"/>
              <c:tx>
                <c:rich>
                  <a:bodyPr/>
                  <a:lstStyle/>
                  <a:p>
                    <a:r>
                      <a:rPr lang="en-US"/>
                      <a:t>A</a:t>
                    </a:r>
                  </a:p>
                </c:rich>
              </c:tx>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16-C1BB-D24F-8592-9C163237FACB}"/>
                </c:ext>
              </c:extLst>
            </c:dLbl>
            <c:dLbl>
              <c:idx val="6"/>
              <c:tx>
                <c:rich>
                  <a:bodyPr/>
                  <a:lstStyle/>
                  <a:p>
                    <a:r>
                      <a:rPr lang="en-US"/>
                      <a:t>AB</a:t>
                    </a:r>
                  </a:p>
                </c:rich>
              </c:tx>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17-C1BB-D24F-8592-9C163237FACB}"/>
                </c:ext>
              </c:extLst>
            </c:dLbl>
            <c:spPr>
              <a:noFill/>
              <a:ln>
                <a:noFill/>
              </a:ln>
              <a:effectLst/>
            </c:spPr>
            <c:txPr>
              <a:bodyPr/>
              <a:lstStyle/>
              <a:p>
                <a:pPr>
                  <a:defRPr b="1"/>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ext>
            </c:extLst>
          </c:dLbls>
          <c:cat>
            <c:strRef>
              <c:f>Sheet1!$A$2:$A$8</c:f>
              <c:strCache>
                <c:ptCount val="7"/>
                <c:pt idx="0">
                  <c:v>Genovese</c:v>
                </c:pt>
                <c:pt idx="1">
                  <c:v>Siam Queen</c:v>
                </c:pt>
                <c:pt idx="2">
                  <c:v>Lemon</c:v>
                </c:pt>
                <c:pt idx="3">
                  <c:v>Spicy Globe</c:v>
                </c:pt>
                <c:pt idx="4">
                  <c:v>Dark Opal</c:v>
                </c:pt>
                <c:pt idx="5">
                  <c:v>Thai</c:v>
                </c:pt>
                <c:pt idx="6">
                  <c:v>Holy</c:v>
                </c:pt>
              </c:strCache>
            </c:strRef>
          </c:cat>
          <c:val>
            <c:numRef>
              <c:f>Sheet1!$D$2:$D$8</c:f>
              <c:numCache>
                <c:formatCode>General</c:formatCode>
                <c:ptCount val="7"/>
                <c:pt idx="0">
                  <c:v>1892</c:v>
                </c:pt>
                <c:pt idx="1">
                  <c:v>890</c:v>
                </c:pt>
                <c:pt idx="2">
                  <c:v>104</c:v>
                </c:pt>
                <c:pt idx="3">
                  <c:v>199</c:v>
                </c:pt>
                <c:pt idx="4">
                  <c:v>0</c:v>
                </c:pt>
                <c:pt idx="5">
                  <c:v>2258</c:v>
                </c:pt>
                <c:pt idx="6">
                  <c:v>865</c:v>
                </c:pt>
              </c:numCache>
            </c:numRef>
          </c:val>
          <c:extLst>
            <c:ext xmlns:c16="http://schemas.microsoft.com/office/drawing/2014/chart" uri="{C3380CC4-5D6E-409C-BE32-E72D297353CC}">
              <c16:uniqueId val="{00000018-C1BB-D24F-8592-9C163237FACB}"/>
            </c:ext>
          </c:extLst>
        </c:ser>
        <c:dLbls>
          <c:showLegendKey val="0"/>
          <c:showVal val="1"/>
          <c:showCatName val="0"/>
          <c:showSerName val="0"/>
          <c:showPercent val="0"/>
          <c:showBubbleSize val="0"/>
        </c:dLbls>
        <c:gapWidth val="100"/>
        <c:axId val="942842016"/>
        <c:axId val="972722416"/>
      </c:barChart>
      <c:catAx>
        <c:axId val="942842016"/>
        <c:scaling>
          <c:orientation val="minMax"/>
        </c:scaling>
        <c:delete val="0"/>
        <c:axPos val="b"/>
        <c:title>
          <c:tx>
            <c:rich>
              <a:bodyPr rot="0" vert="horz"/>
              <a:lstStyle/>
              <a:p>
                <a:pPr>
                  <a:defRPr/>
                </a:pPr>
                <a:r>
                  <a:rPr lang="en-US"/>
                  <a:t>Basil Variety</a:t>
                </a:r>
              </a:p>
            </c:rich>
          </c:tx>
          <c:layout>
            <c:manualLayout>
              <c:xMode val="edge"/>
              <c:yMode val="edge"/>
              <c:x val="0.45780722003617219"/>
              <c:y val="0.95118630545631133"/>
            </c:manualLayout>
          </c:layout>
          <c:overlay val="0"/>
          <c:spPr>
            <a:noFill/>
            <a:ln>
              <a:noFill/>
            </a:ln>
            <a:effectLst/>
          </c:spPr>
        </c:title>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vert="horz"/>
          <a:lstStyle/>
          <a:p>
            <a:pPr>
              <a:defRPr/>
            </a:pPr>
            <a:endParaRPr lang="en-US"/>
          </a:p>
        </c:txPr>
        <c:crossAx val="972722416"/>
        <c:crosses val="autoZero"/>
        <c:auto val="1"/>
        <c:lblAlgn val="ctr"/>
        <c:lblOffset val="100"/>
        <c:noMultiLvlLbl val="0"/>
      </c:catAx>
      <c:valAx>
        <c:axId val="972722416"/>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5400000" vert="horz"/>
              <a:lstStyle/>
              <a:p>
                <a:pPr>
                  <a:defRPr/>
                </a:pPr>
                <a:r>
                  <a:rPr lang="en-US"/>
                  <a:t>uM . g Fresh Mass-1</a:t>
                </a:r>
              </a:p>
            </c:rich>
          </c:tx>
          <c:overlay val="0"/>
          <c:spPr>
            <a:noFill/>
            <a:ln>
              <a:noFill/>
            </a:ln>
            <a:effectLst/>
          </c:spPr>
        </c:title>
        <c:numFmt formatCode="General" sourceLinked="1"/>
        <c:majorTickMark val="none"/>
        <c:minorTickMark val="none"/>
        <c:tickLblPos val="nextTo"/>
        <c:spPr>
          <a:noFill/>
          <a:ln>
            <a:noFill/>
          </a:ln>
          <a:effectLst/>
        </c:spPr>
        <c:txPr>
          <a:bodyPr rot="-60000000" vert="horz"/>
          <a:lstStyle/>
          <a:p>
            <a:pPr>
              <a:defRPr/>
            </a:pPr>
            <a:endParaRPr lang="en-US"/>
          </a:p>
        </c:txPr>
        <c:crossAx val="942842016"/>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latin typeface="Times New Roman" panose="02020603050405020304" pitchFamily="18" charset="0"/>
          <a:ea typeface="Times New Roman" charset="0"/>
          <a:cs typeface="Times New Roman" panose="02020603050405020304" pitchFamily="18" charset="0"/>
        </a:defRPr>
      </a:pPr>
      <a:endParaRPr lang="en-US"/>
    </a:p>
  </c:txPr>
  <c:externalData r:id="rId1">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11895043731778426"/>
          <c:y val="1.7361111111111112E-2"/>
          <c:w val="0.85729402872260019"/>
          <c:h val="0.89879223793288832"/>
        </c:manualLayout>
      </c:layout>
      <c:barChart>
        <c:barDir val="col"/>
        <c:grouping val="stacked"/>
        <c:varyColors val="0"/>
        <c:ser>
          <c:idx val="0"/>
          <c:order val="0"/>
          <c:tx>
            <c:strRef>
              <c:f>Sheet1!$B$1</c:f>
              <c:strCache>
                <c:ptCount val="1"/>
                <c:pt idx="0">
                  <c:v>a-pinene</c:v>
                </c:pt>
              </c:strCache>
            </c:strRef>
          </c:tx>
          <c:spPr>
            <a:solidFill>
              <a:schemeClr val="accent6">
                <a:lumMod val="75000"/>
              </a:schemeClr>
            </a:solidFill>
            <a:ln>
              <a:noFill/>
            </a:ln>
            <a:effectLst/>
          </c:spPr>
          <c:invertIfNegative val="0"/>
          <c:dLbls>
            <c:dLbl>
              <c:idx val="0"/>
              <c:tx>
                <c:rich>
                  <a:bodyPr/>
                  <a:lstStyle/>
                  <a:p>
                    <a:r>
                      <a:rPr lang="en-US"/>
                      <a:t>A</a:t>
                    </a:r>
                  </a:p>
                </c:rich>
              </c:tx>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00-D311-8148-B021-CFF3C1618710}"/>
                </c:ext>
              </c:extLst>
            </c:dLbl>
            <c:dLbl>
              <c:idx val="1"/>
              <c:tx>
                <c:rich>
                  <a:bodyPr/>
                  <a:lstStyle/>
                  <a:p>
                    <a:r>
                      <a:rPr lang="en-US"/>
                      <a:t>A</a:t>
                    </a:r>
                  </a:p>
                </c:rich>
              </c:tx>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01-D311-8148-B021-CFF3C1618710}"/>
                </c:ext>
              </c:extLst>
            </c:dLbl>
            <c:dLbl>
              <c:idx val="2"/>
              <c:tx>
                <c:rich>
                  <a:bodyPr/>
                  <a:lstStyle/>
                  <a:p>
                    <a:r>
                      <a:rPr lang="en-US"/>
                      <a:t>B</a:t>
                    </a:r>
                  </a:p>
                </c:rich>
              </c:tx>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02-D311-8148-B021-CFF3C1618710}"/>
                </c:ext>
              </c:extLst>
            </c:dLbl>
            <c:dLbl>
              <c:idx val="3"/>
              <c:layout>
                <c:manualLayout>
                  <c:x val="-1.2957563977972221E-2"/>
                  <c:y val="-1.736111111111111E-3"/>
                </c:manualLayout>
              </c:layout>
              <c:tx>
                <c:rich>
                  <a:bodyPr/>
                  <a:lstStyle/>
                  <a:p>
                    <a:r>
                      <a:rPr lang="en-US"/>
                      <a:t>C</a:t>
                    </a:r>
                  </a:p>
                </c:rich>
              </c:tx>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03-D311-8148-B021-CFF3C1618710}"/>
                </c:ext>
              </c:extLst>
            </c:dLbl>
            <c:dLbl>
              <c:idx val="4"/>
              <c:layout>
                <c:manualLayout>
                  <c:x val="-1.5117157974300832E-2"/>
                  <c:y val="-5.208333333333333E-3"/>
                </c:manualLayout>
              </c:layout>
              <c:tx>
                <c:rich>
                  <a:bodyPr/>
                  <a:lstStyle/>
                  <a:p>
                    <a:r>
                      <a:rPr lang="en-US"/>
                      <a:t>C</a:t>
                    </a:r>
                  </a:p>
                </c:rich>
              </c:tx>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04-D311-8148-B021-CFF3C1618710}"/>
                </c:ext>
              </c:extLst>
            </c:dLbl>
            <c:dLbl>
              <c:idx val="5"/>
              <c:layout>
                <c:manualLayout>
                  <c:x val="-1.29575639779723E-2"/>
                  <c:y val="-5.2083333333334605E-3"/>
                </c:manualLayout>
              </c:layout>
              <c:tx>
                <c:rich>
                  <a:bodyPr/>
                  <a:lstStyle/>
                  <a:p>
                    <a:r>
                      <a:rPr lang="en-US"/>
                      <a:t>C</a:t>
                    </a:r>
                  </a:p>
                </c:rich>
              </c:tx>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05-D311-8148-B021-CFF3C1618710}"/>
                </c:ext>
              </c:extLst>
            </c:dLbl>
            <c:dLbl>
              <c:idx val="6"/>
              <c:tx>
                <c:rich>
                  <a:bodyPr/>
                  <a:lstStyle/>
                  <a:p>
                    <a:r>
                      <a:rPr lang="en-US"/>
                      <a:t>A</a:t>
                    </a:r>
                  </a:p>
                </c:rich>
              </c:tx>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06-D311-8148-B021-CFF3C1618710}"/>
                </c:ext>
              </c:extLst>
            </c:dLbl>
            <c:spPr>
              <a:noFill/>
              <a:ln>
                <a:noFill/>
              </a:ln>
              <a:effectLst/>
            </c:spPr>
            <c:txPr>
              <a:bodyPr/>
              <a:lstStyle/>
              <a:p>
                <a:pPr>
                  <a:defRPr b="1"/>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ext>
            </c:extLst>
          </c:dLbls>
          <c:cat>
            <c:strRef>
              <c:f>Sheet1!$A$2:$A$8</c:f>
              <c:strCache>
                <c:ptCount val="7"/>
                <c:pt idx="0">
                  <c:v>Genovese</c:v>
                </c:pt>
                <c:pt idx="1">
                  <c:v>Siam Queen</c:v>
                </c:pt>
                <c:pt idx="2">
                  <c:v>Lemon</c:v>
                </c:pt>
                <c:pt idx="3">
                  <c:v>Spicy Globe</c:v>
                </c:pt>
                <c:pt idx="4">
                  <c:v>Dark Opal</c:v>
                </c:pt>
                <c:pt idx="5">
                  <c:v>Thai</c:v>
                </c:pt>
                <c:pt idx="6">
                  <c:v>Holy</c:v>
                </c:pt>
              </c:strCache>
            </c:strRef>
          </c:cat>
          <c:val>
            <c:numRef>
              <c:f>Sheet1!$B$2:$B$8</c:f>
              <c:numCache>
                <c:formatCode>General</c:formatCode>
                <c:ptCount val="7"/>
                <c:pt idx="0">
                  <c:v>1829</c:v>
                </c:pt>
                <c:pt idx="1">
                  <c:v>1779</c:v>
                </c:pt>
                <c:pt idx="2">
                  <c:v>406</c:v>
                </c:pt>
                <c:pt idx="3">
                  <c:v>41</c:v>
                </c:pt>
                <c:pt idx="4">
                  <c:v>9.8000000000000007</c:v>
                </c:pt>
                <c:pt idx="5">
                  <c:v>21.3</c:v>
                </c:pt>
                <c:pt idx="6">
                  <c:v>2358</c:v>
                </c:pt>
              </c:numCache>
            </c:numRef>
          </c:val>
          <c:extLst>
            <c:ext xmlns:c16="http://schemas.microsoft.com/office/drawing/2014/chart" uri="{C3380CC4-5D6E-409C-BE32-E72D297353CC}">
              <c16:uniqueId val="{00000007-D311-8148-B021-CFF3C1618710}"/>
            </c:ext>
          </c:extLst>
        </c:ser>
        <c:ser>
          <c:idx val="1"/>
          <c:order val="1"/>
          <c:tx>
            <c:strRef>
              <c:f>Sheet1!$C$1</c:f>
              <c:strCache>
                <c:ptCount val="1"/>
                <c:pt idx="0">
                  <c:v>b-pinene</c:v>
                </c:pt>
              </c:strCache>
            </c:strRef>
          </c:tx>
          <c:spPr>
            <a:solidFill>
              <a:schemeClr val="accent6">
                <a:lumMod val="60000"/>
                <a:lumOff val="40000"/>
              </a:schemeClr>
            </a:solidFill>
          </c:spPr>
          <c:invertIfNegative val="0"/>
          <c:dLbls>
            <c:dLbl>
              <c:idx val="0"/>
              <c:tx>
                <c:rich>
                  <a:bodyPr/>
                  <a:lstStyle/>
                  <a:p>
                    <a:r>
                      <a:rPr lang="en-US"/>
                      <a:t>A</a:t>
                    </a:r>
                  </a:p>
                </c:rich>
              </c:tx>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08-D311-8148-B021-CFF3C1618710}"/>
                </c:ext>
              </c:extLst>
            </c:dLbl>
            <c:dLbl>
              <c:idx val="1"/>
              <c:tx>
                <c:rich>
                  <a:bodyPr/>
                  <a:lstStyle/>
                  <a:p>
                    <a:r>
                      <a:rPr lang="en-US"/>
                      <a:t>A</a:t>
                    </a:r>
                  </a:p>
                </c:rich>
              </c:tx>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09-D311-8148-B021-CFF3C1618710}"/>
                </c:ext>
              </c:extLst>
            </c:dLbl>
            <c:dLbl>
              <c:idx val="2"/>
              <c:tx>
                <c:rich>
                  <a:bodyPr/>
                  <a:lstStyle/>
                  <a:p>
                    <a:r>
                      <a:rPr lang="en-US"/>
                      <a:t>B</a:t>
                    </a:r>
                  </a:p>
                </c:rich>
              </c:tx>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0A-D311-8148-B021-CFF3C1618710}"/>
                </c:ext>
              </c:extLst>
            </c:dLbl>
            <c:dLbl>
              <c:idx val="3"/>
              <c:layout>
                <c:manualLayout>
                  <c:x val="1.5117157974300832E-2"/>
                  <c:y val="-5.208333333333333E-3"/>
                </c:manualLayout>
              </c:layout>
              <c:tx>
                <c:rich>
                  <a:bodyPr/>
                  <a:lstStyle/>
                  <a:p>
                    <a:r>
                      <a:rPr lang="en-US"/>
                      <a:t>BC</a:t>
                    </a:r>
                  </a:p>
                </c:rich>
              </c:tx>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0B-D311-8148-B021-CFF3C1618710}"/>
                </c:ext>
              </c:extLst>
            </c:dLbl>
            <c:dLbl>
              <c:idx val="4"/>
              <c:layout>
                <c:manualLayout>
                  <c:x val="1.2957563977971983E-2"/>
                  <c:y val="-8.6805555555555559E-3"/>
                </c:manualLayout>
              </c:layout>
              <c:tx>
                <c:rich>
                  <a:bodyPr/>
                  <a:lstStyle/>
                  <a:p>
                    <a:r>
                      <a:rPr lang="en-US"/>
                      <a:t>C</a:t>
                    </a:r>
                  </a:p>
                </c:rich>
              </c:tx>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0C-D311-8148-B021-CFF3C1618710}"/>
                </c:ext>
              </c:extLst>
            </c:dLbl>
            <c:dLbl>
              <c:idx val="5"/>
              <c:layout>
                <c:manualLayout>
                  <c:x val="1.7276751970629521E-2"/>
                  <c:y val="-6.9444444444444441E-3"/>
                </c:manualLayout>
              </c:layout>
              <c:tx>
                <c:rich>
                  <a:bodyPr/>
                  <a:lstStyle/>
                  <a:p>
                    <a:r>
                      <a:rPr lang="en-US"/>
                      <a:t>C</a:t>
                    </a:r>
                  </a:p>
                </c:rich>
              </c:tx>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0D-D311-8148-B021-CFF3C1618710}"/>
                </c:ext>
              </c:extLst>
            </c:dLbl>
            <c:dLbl>
              <c:idx val="6"/>
              <c:tx>
                <c:rich>
                  <a:bodyPr/>
                  <a:lstStyle/>
                  <a:p>
                    <a:r>
                      <a:rPr lang="en-US"/>
                      <a:t>A</a:t>
                    </a:r>
                  </a:p>
                </c:rich>
              </c:tx>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0E-D311-8148-B021-CFF3C1618710}"/>
                </c:ext>
              </c:extLst>
            </c:dLbl>
            <c:spPr>
              <a:noFill/>
              <a:ln>
                <a:noFill/>
              </a:ln>
              <a:effectLst/>
            </c:spPr>
            <c:txPr>
              <a:bodyPr/>
              <a:lstStyle/>
              <a:p>
                <a:pPr>
                  <a:defRPr b="1"/>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ext>
            </c:extLst>
          </c:dLbls>
          <c:cat>
            <c:strRef>
              <c:f>Sheet1!$A$2:$A$8</c:f>
              <c:strCache>
                <c:ptCount val="7"/>
                <c:pt idx="0">
                  <c:v>Genovese</c:v>
                </c:pt>
                <c:pt idx="1">
                  <c:v>Siam Queen</c:v>
                </c:pt>
                <c:pt idx="2">
                  <c:v>Lemon</c:v>
                </c:pt>
                <c:pt idx="3">
                  <c:v>Spicy Globe</c:v>
                </c:pt>
                <c:pt idx="4">
                  <c:v>Dark Opal</c:v>
                </c:pt>
                <c:pt idx="5">
                  <c:v>Thai</c:v>
                </c:pt>
                <c:pt idx="6">
                  <c:v>Holy</c:v>
                </c:pt>
              </c:strCache>
            </c:strRef>
          </c:cat>
          <c:val>
            <c:numRef>
              <c:f>Sheet1!$C$2:$C$8</c:f>
              <c:numCache>
                <c:formatCode>0.0</c:formatCode>
                <c:ptCount val="7"/>
                <c:pt idx="0">
                  <c:v>446.09756097560978</c:v>
                </c:pt>
                <c:pt idx="1">
                  <c:v>456.15384615384619</c:v>
                </c:pt>
                <c:pt idx="2">
                  <c:v>99.024390243902445</c:v>
                </c:pt>
                <c:pt idx="3">
                  <c:v>10.512820512820513</c:v>
                </c:pt>
                <c:pt idx="4">
                  <c:v>2.3902439024390247</c:v>
                </c:pt>
                <c:pt idx="5">
                  <c:v>5.4615384615384617</c:v>
                </c:pt>
                <c:pt idx="6">
                  <c:v>575.1219512195122</c:v>
                </c:pt>
              </c:numCache>
            </c:numRef>
          </c:val>
          <c:extLst>
            <c:ext xmlns:c16="http://schemas.microsoft.com/office/drawing/2014/chart" uri="{C3380CC4-5D6E-409C-BE32-E72D297353CC}">
              <c16:uniqueId val="{0000000F-D311-8148-B021-CFF3C1618710}"/>
            </c:ext>
          </c:extLst>
        </c:ser>
        <c:dLbls>
          <c:showLegendKey val="0"/>
          <c:showVal val="0"/>
          <c:showCatName val="0"/>
          <c:showSerName val="0"/>
          <c:showPercent val="0"/>
          <c:showBubbleSize val="0"/>
        </c:dLbls>
        <c:gapWidth val="100"/>
        <c:overlap val="100"/>
        <c:axId val="942842016"/>
        <c:axId val="972722416"/>
      </c:barChart>
      <c:catAx>
        <c:axId val="942842016"/>
        <c:scaling>
          <c:orientation val="minMax"/>
        </c:scaling>
        <c:delete val="0"/>
        <c:axPos val="b"/>
        <c:title>
          <c:tx>
            <c:rich>
              <a:bodyPr rot="0" vert="horz"/>
              <a:lstStyle/>
              <a:p>
                <a:pPr>
                  <a:defRPr/>
                </a:pPr>
                <a:r>
                  <a:rPr lang="en-US"/>
                  <a:t>Basil Variety</a:t>
                </a:r>
              </a:p>
            </c:rich>
          </c:tx>
          <c:layout>
            <c:manualLayout>
              <c:xMode val="edge"/>
              <c:yMode val="edge"/>
              <c:x val="0.45923766331929605"/>
              <c:y val="0.96025395673531799"/>
            </c:manualLayout>
          </c:layout>
          <c:overlay val="0"/>
          <c:spPr>
            <a:noFill/>
            <a:ln>
              <a:noFill/>
            </a:ln>
            <a:effectLst/>
          </c:spPr>
        </c:title>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vert="horz"/>
          <a:lstStyle/>
          <a:p>
            <a:pPr>
              <a:defRPr/>
            </a:pPr>
            <a:endParaRPr lang="en-US"/>
          </a:p>
        </c:txPr>
        <c:crossAx val="972722416"/>
        <c:crosses val="autoZero"/>
        <c:auto val="1"/>
        <c:lblAlgn val="ctr"/>
        <c:lblOffset val="100"/>
        <c:noMultiLvlLbl val="0"/>
      </c:catAx>
      <c:valAx>
        <c:axId val="972722416"/>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5400000" vert="horz"/>
              <a:lstStyle/>
              <a:p>
                <a:pPr>
                  <a:defRPr/>
                </a:pPr>
                <a:r>
                  <a:rPr lang="en-US"/>
                  <a:t>uM . g Fresh Mass-1</a:t>
                </a:r>
              </a:p>
            </c:rich>
          </c:tx>
          <c:overlay val="0"/>
          <c:spPr>
            <a:noFill/>
            <a:ln>
              <a:noFill/>
            </a:ln>
            <a:effectLst/>
          </c:spPr>
        </c:title>
        <c:numFmt formatCode="General" sourceLinked="1"/>
        <c:majorTickMark val="none"/>
        <c:minorTickMark val="none"/>
        <c:tickLblPos val="nextTo"/>
        <c:spPr>
          <a:noFill/>
          <a:ln>
            <a:noFill/>
          </a:ln>
          <a:effectLst/>
        </c:spPr>
        <c:txPr>
          <a:bodyPr rot="-60000000" vert="horz"/>
          <a:lstStyle/>
          <a:p>
            <a:pPr>
              <a:defRPr/>
            </a:pPr>
            <a:endParaRPr lang="en-US"/>
          </a:p>
        </c:txPr>
        <c:crossAx val="942842016"/>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latin typeface="Times New Roman" panose="02020603050405020304" pitchFamily="18" charset="0"/>
          <a:ea typeface="Times New Roman" charset="0"/>
          <a:cs typeface="Times New Roman" panose="02020603050405020304" pitchFamily="18" charset="0"/>
        </a:defRPr>
      </a:pPr>
      <a:endParaRPr lang="en-US"/>
    </a:p>
  </c:txPr>
  <c:externalData r:id="rId1">
    <c:autoUpdate val="0"/>
  </c:externalData>
</c:chartSpace>
</file>

<file path=word/charts/chart6.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lineChart>
        <c:grouping val="standard"/>
        <c:varyColors val="0"/>
        <c:ser>
          <c:idx val="1"/>
          <c:order val="0"/>
          <c:tx>
            <c:strRef>
              <c:f>'T1'!$B$2</c:f>
              <c:strCache>
                <c:ptCount val="1"/>
                <c:pt idx="0">
                  <c:v>660/400/660</c:v>
                </c:pt>
              </c:strCache>
            </c:strRef>
          </c:tx>
          <c:spPr>
            <a:ln w="28575" cap="rnd">
              <a:solidFill>
                <a:schemeClr val="tx1"/>
              </a:solidFill>
              <a:round/>
            </a:ln>
            <a:effectLst/>
          </c:spPr>
          <c:marker>
            <c:symbol val="none"/>
          </c:marker>
          <c:cat>
            <c:numRef>
              <c:f>'T1'!$A$113:$A$1013</c:f>
              <c:numCache>
                <c:formatCode>General</c:formatCode>
                <c:ptCount val="901"/>
                <c:pt idx="0">
                  <c:v>300</c:v>
                </c:pt>
                <c:pt idx="1">
                  <c:v>300.5</c:v>
                </c:pt>
                <c:pt idx="2">
                  <c:v>301</c:v>
                </c:pt>
                <c:pt idx="3">
                  <c:v>301.5</c:v>
                </c:pt>
                <c:pt idx="4">
                  <c:v>302</c:v>
                </c:pt>
                <c:pt idx="5">
                  <c:v>302.5</c:v>
                </c:pt>
                <c:pt idx="6">
                  <c:v>303</c:v>
                </c:pt>
                <c:pt idx="7">
                  <c:v>303.5</c:v>
                </c:pt>
                <c:pt idx="8">
                  <c:v>304</c:v>
                </c:pt>
                <c:pt idx="9">
                  <c:v>304.5</c:v>
                </c:pt>
                <c:pt idx="10">
                  <c:v>305</c:v>
                </c:pt>
                <c:pt idx="11">
                  <c:v>305.5</c:v>
                </c:pt>
                <c:pt idx="12">
                  <c:v>306</c:v>
                </c:pt>
                <c:pt idx="13">
                  <c:v>306.5</c:v>
                </c:pt>
                <c:pt idx="14">
                  <c:v>307</c:v>
                </c:pt>
                <c:pt idx="15">
                  <c:v>307.5</c:v>
                </c:pt>
                <c:pt idx="16">
                  <c:v>308</c:v>
                </c:pt>
                <c:pt idx="17">
                  <c:v>308.5</c:v>
                </c:pt>
                <c:pt idx="18">
                  <c:v>309</c:v>
                </c:pt>
                <c:pt idx="19">
                  <c:v>309.5</c:v>
                </c:pt>
                <c:pt idx="20">
                  <c:v>310</c:v>
                </c:pt>
                <c:pt idx="21">
                  <c:v>310.5</c:v>
                </c:pt>
                <c:pt idx="22">
                  <c:v>311</c:v>
                </c:pt>
                <c:pt idx="23">
                  <c:v>311.5</c:v>
                </c:pt>
                <c:pt idx="24">
                  <c:v>312</c:v>
                </c:pt>
                <c:pt idx="25">
                  <c:v>312.5</c:v>
                </c:pt>
                <c:pt idx="26">
                  <c:v>313</c:v>
                </c:pt>
                <c:pt idx="27">
                  <c:v>313.5</c:v>
                </c:pt>
                <c:pt idx="28">
                  <c:v>314</c:v>
                </c:pt>
                <c:pt idx="29">
                  <c:v>314.5</c:v>
                </c:pt>
                <c:pt idx="30">
                  <c:v>315</c:v>
                </c:pt>
                <c:pt idx="31">
                  <c:v>315.5</c:v>
                </c:pt>
                <c:pt idx="32">
                  <c:v>316</c:v>
                </c:pt>
                <c:pt idx="33">
                  <c:v>316.5</c:v>
                </c:pt>
                <c:pt idx="34">
                  <c:v>317</c:v>
                </c:pt>
                <c:pt idx="35">
                  <c:v>317.5</c:v>
                </c:pt>
                <c:pt idx="36">
                  <c:v>318</c:v>
                </c:pt>
                <c:pt idx="37">
                  <c:v>318.5</c:v>
                </c:pt>
                <c:pt idx="38">
                  <c:v>319</c:v>
                </c:pt>
                <c:pt idx="39">
                  <c:v>319.5</c:v>
                </c:pt>
                <c:pt idx="40">
                  <c:v>320</c:v>
                </c:pt>
                <c:pt idx="41">
                  <c:v>320.5</c:v>
                </c:pt>
                <c:pt idx="42">
                  <c:v>321</c:v>
                </c:pt>
                <c:pt idx="43">
                  <c:v>321.5</c:v>
                </c:pt>
                <c:pt idx="44">
                  <c:v>322</c:v>
                </c:pt>
                <c:pt idx="45">
                  <c:v>322.5</c:v>
                </c:pt>
                <c:pt idx="46">
                  <c:v>323</c:v>
                </c:pt>
                <c:pt idx="47">
                  <c:v>323.5</c:v>
                </c:pt>
                <c:pt idx="48">
                  <c:v>324</c:v>
                </c:pt>
                <c:pt idx="49">
                  <c:v>324.5</c:v>
                </c:pt>
                <c:pt idx="50">
                  <c:v>325</c:v>
                </c:pt>
                <c:pt idx="51">
                  <c:v>325.5</c:v>
                </c:pt>
                <c:pt idx="52">
                  <c:v>326</c:v>
                </c:pt>
                <c:pt idx="53">
                  <c:v>326.5</c:v>
                </c:pt>
                <c:pt idx="54">
                  <c:v>327</c:v>
                </c:pt>
                <c:pt idx="55">
                  <c:v>327.5</c:v>
                </c:pt>
                <c:pt idx="56">
                  <c:v>328</c:v>
                </c:pt>
                <c:pt idx="57">
                  <c:v>328.5</c:v>
                </c:pt>
                <c:pt idx="58">
                  <c:v>329</c:v>
                </c:pt>
                <c:pt idx="59">
                  <c:v>329.5</c:v>
                </c:pt>
                <c:pt idx="60">
                  <c:v>330</c:v>
                </c:pt>
                <c:pt idx="61">
                  <c:v>330.5</c:v>
                </c:pt>
                <c:pt idx="62">
                  <c:v>331</c:v>
                </c:pt>
                <c:pt idx="63">
                  <c:v>331.5</c:v>
                </c:pt>
                <c:pt idx="64">
                  <c:v>332</c:v>
                </c:pt>
                <c:pt idx="65">
                  <c:v>332.5</c:v>
                </c:pt>
                <c:pt idx="66">
                  <c:v>333</c:v>
                </c:pt>
                <c:pt idx="67">
                  <c:v>333.5</c:v>
                </c:pt>
                <c:pt idx="68">
                  <c:v>334</c:v>
                </c:pt>
                <c:pt idx="69">
                  <c:v>334.5</c:v>
                </c:pt>
                <c:pt idx="70">
                  <c:v>335</c:v>
                </c:pt>
                <c:pt idx="71">
                  <c:v>335.5</c:v>
                </c:pt>
                <c:pt idx="72">
                  <c:v>336</c:v>
                </c:pt>
                <c:pt idx="73">
                  <c:v>336.5</c:v>
                </c:pt>
                <c:pt idx="74">
                  <c:v>337</c:v>
                </c:pt>
                <c:pt idx="75">
                  <c:v>337.5</c:v>
                </c:pt>
                <c:pt idx="76">
                  <c:v>338</c:v>
                </c:pt>
                <c:pt idx="77">
                  <c:v>338.5</c:v>
                </c:pt>
                <c:pt idx="78">
                  <c:v>339</c:v>
                </c:pt>
                <c:pt idx="79">
                  <c:v>339.5</c:v>
                </c:pt>
                <c:pt idx="80">
                  <c:v>340</c:v>
                </c:pt>
                <c:pt idx="81">
                  <c:v>340.5</c:v>
                </c:pt>
                <c:pt idx="82">
                  <c:v>341</c:v>
                </c:pt>
                <c:pt idx="83">
                  <c:v>341.5</c:v>
                </c:pt>
                <c:pt idx="84">
                  <c:v>342</c:v>
                </c:pt>
                <c:pt idx="85">
                  <c:v>342.5</c:v>
                </c:pt>
                <c:pt idx="86">
                  <c:v>343</c:v>
                </c:pt>
                <c:pt idx="87">
                  <c:v>343.5</c:v>
                </c:pt>
                <c:pt idx="88">
                  <c:v>344</c:v>
                </c:pt>
                <c:pt idx="89">
                  <c:v>344.5</c:v>
                </c:pt>
                <c:pt idx="90">
                  <c:v>345</c:v>
                </c:pt>
                <c:pt idx="91">
                  <c:v>345.5</c:v>
                </c:pt>
                <c:pt idx="92">
                  <c:v>346</c:v>
                </c:pt>
                <c:pt idx="93">
                  <c:v>346.5</c:v>
                </c:pt>
                <c:pt idx="94">
                  <c:v>347</c:v>
                </c:pt>
                <c:pt idx="95">
                  <c:v>347.5</c:v>
                </c:pt>
                <c:pt idx="96">
                  <c:v>348</c:v>
                </c:pt>
                <c:pt idx="97">
                  <c:v>348.5</c:v>
                </c:pt>
                <c:pt idx="98">
                  <c:v>349</c:v>
                </c:pt>
                <c:pt idx="99">
                  <c:v>349.5</c:v>
                </c:pt>
                <c:pt idx="100">
                  <c:v>350</c:v>
                </c:pt>
                <c:pt idx="101">
                  <c:v>350.5</c:v>
                </c:pt>
                <c:pt idx="102">
                  <c:v>351</c:v>
                </c:pt>
                <c:pt idx="103">
                  <c:v>351.5</c:v>
                </c:pt>
                <c:pt idx="104">
                  <c:v>352</c:v>
                </c:pt>
                <c:pt idx="105">
                  <c:v>352.5</c:v>
                </c:pt>
                <c:pt idx="106">
                  <c:v>353</c:v>
                </c:pt>
                <c:pt idx="107">
                  <c:v>353.5</c:v>
                </c:pt>
                <c:pt idx="108">
                  <c:v>354</c:v>
                </c:pt>
                <c:pt idx="109">
                  <c:v>354.5</c:v>
                </c:pt>
                <c:pt idx="110">
                  <c:v>355</c:v>
                </c:pt>
                <c:pt idx="111">
                  <c:v>355.5</c:v>
                </c:pt>
                <c:pt idx="112">
                  <c:v>356</c:v>
                </c:pt>
                <c:pt idx="113">
                  <c:v>356.5</c:v>
                </c:pt>
                <c:pt idx="114">
                  <c:v>357</c:v>
                </c:pt>
                <c:pt idx="115">
                  <c:v>357.5</c:v>
                </c:pt>
                <c:pt idx="116">
                  <c:v>358</c:v>
                </c:pt>
                <c:pt idx="117">
                  <c:v>358.5</c:v>
                </c:pt>
                <c:pt idx="118">
                  <c:v>359</c:v>
                </c:pt>
                <c:pt idx="119">
                  <c:v>359.5</c:v>
                </c:pt>
                <c:pt idx="120">
                  <c:v>360</c:v>
                </c:pt>
                <c:pt idx="121">
                  <c:v>360.5</c:v>
                </c:pt>
                <c:pt idx="122">
                  <c:v>361</c:v>
                </c:pt>
                <c:pt idx="123">
                  <c:v>361.5</c:v>
                </c:pt>
                <c:pt idx="124">
                  <c:v>362</c:v>
                </c:pt>
                <c:pt idx="125">
                  <c:v>362.5</c:v>
                </c:pt>
                <c:pt idx="126">
                  <c:v>363</c:v>
                </c:pt>
                <c:pt idx="127">
                  <c:v>363.5</c:v>
                </c:pt>
                <c:pt idx="128">
                  <c:v>364</c:v>
                </c:pt>
                <c:pt idx="129">
                  <c:v>364.5</c:v>
                </c:pt>
                <c:pt idx="130">
                  <c:v>365</c:v>
                </c:pt>
                <c:pt idx="131">
                  <c:v>365.5</c:v>
                </c:pt>
                <c:pt idx="132">
                  <c:v>366</c:v>
                </c:pt>
                <c:pt idx="133">
                  <c:v>366.5</c:v>
                </c:pt>
                <c:pt idx="134">
                  <c:v>367</c:v>
                </c:pt>
                <c:pt idx="135">
                  <c:v>367.5</c:v>
                </c:pt>
                <c:pt idx="136">
                  <c:v>368</c:v>
                </c:pt>
                <c:pt idx="137">
                  <c:v>368.5</c:v>
                </c:pt>
                <c:pt idx="138">
                  <c:v>369</c:v>
                </c:pt>
                <c:pt idx="139">
                  <c:v>369.5</c:v>
                </c:pt>
                <c:pt idx="140">
                  <c:v>370</c:v>
                </c:pt>
                <c:pt idx="141">
                  <c:v>370.5</c:v>
                </c:pt>
                <c:pt idx="142">
                  <c:v>371</c:v>
                </c:pt>
                <c:pt idx="143">
                  <c:v>371.5</c:v>
                </c:pt>
                <c:pt idx="144">
                  <c:v>372</c:v>
                </c:pt>
                <c:pt idx="145">
                  <c:v>372.5</c:v>
                </c:pt>
                <c:pt idx="146">
                  <c:v>373</c:v>
                </c:pt>
                <c:pt idx="147">
                  <c:v>373.5</c:v>
                </c:pt>
                <c:pt idx="148">
                  <c:v>374</c:v>
                </c:pt>
                <c:pt idx="149">
                  <c:v>374.5</c:v>
                </c:pt>
                <c:pt idx="150">
                  <c:v>375</c:v>
                </c:pt>
                <c:pt idx="151">
                  <c:v>375.5</c:v>
                </c:pt>
                <c:pt idx="152">
                  <c:v>376</c:v>
                </c:pt>
                <c:pt idx="153">
                  <c:v>376.5</c:v>
                </c:pt>
                <c:pt idx="154">
                  <c:v>377</c:v>
                </c:pt>
                <c:pt idx="155">
                  <c:v>377.5</c:v>
                </c:pt>
                <c:pt idx="156">
                  <c:v>378</c:v>
                </c:pt>
                <c:pt idx="157">
                  <c:v>378.5</c:v>
                </c:pt>
                <c:pt idx="158">
                  <c:v>379</c:v>
                </c:pt>
                <c:pt idx="159">
                  <c:v>379.5</c:v>
                </c:pt>
                <c:pt idx="160">
                  <c:v>380</c:v>
                </c:pt>
                <c:pt idx="161">
                  <c:v>380.5</c:v>
                </c:pt>
                <c:pt idx="162">
                  <c:v>381</c:v>
                </c:pt>
                <c:pt idx="163">
                  <c:v>381.5</c:v>
                </c:pt>
                <c:pt idx="164">
                  <c:v>382</c:v>
                </c:pt>
                <c:pt idx="165">
                  <c:v>382.5</c:v>
                </c:pt>
                <c:pt idx="166">
                  <c:v>383</c:v>
                </c:pt>
                <c:pt idx="167">
                  <c:v>383.5</c:v>
                </c:pt>
                <c:pt idx="168">
                  <c:v>384</c:v>
                </c:pt>
                <c:pt idx="169">
                  <c:v>384.5</c:v>
                </c:pt>
                <c:pt idx="170">
                  <c:v>385</c:v>
                </c:pt>
                <c:pt idx="171">
                  <c:v>385.5</c:v>
                </c:pt>
                <c:pt idx="172">
                  <c:v>386</c:v>
                </c:pt>
                <c:pt idx="173">
                  <c:v>386.5</c:v>
                </c:pt>
                <c:pt idx="174">
                  <c:v>387</c:v>
                </c:pt>
                <c:pt idx="175">
                  <c:v>387.5</c:v>
                </c:pt>
                <c:pt idx="176">
                  <c:v>388</c:v>
                </c:pt>
                <c:pt idx="177">
                  <c:v>388.5</c:v>
                </c:pt>
                <c:pt idx="178">
                  <c:v>389</c:v>
                </c:pt>
                <c:pt idx="179">
                  <c:v>389.5</c:v>
                </c:pt>
                <c:pt idx="180">
                  <c:v>390</c:v>
                </c:pt>
                <c:pt idx="181">
                  <c:v>390.5</c:v>
                </c:pt>
                <c:pt idx="182">
                  <c:v>391</c:v>
                </c:pt>
                <c:pt idx="183">
                  <c:v>391.5</c:v>
                </c:pt>
                <c:pt idx="184">
                  <c:v>392</c:v>
                </c:pt>
                <c:pt idx="185">
                  <c:v>392.5</c:v>
                </c:pt>
                <c:pt idx="186">
                  <c:v>393</c:v>
                </c:pt>
                <c:pt idx="187">
                  <c:v>393.5</c:v>
                </c:pt>
                <c:pt idx="188">
                  <c:v>394</c:v>
                </c:pt>
                <c:pt idx="189">
                  <c:v>394.5</c:v>
                </c:pt>
                <c:pt idx="190">
                  <c:v>395</c:v>
                </c:pt>
                <c:pt idx="191">
                  <c:v>395.5</c:v>
                </c:pt>
                <c:pt idx="192">
                  <c:v>396</c:v>
                </c:pt>
                <c:pt idx="193">
                  <c:v>396.5</c:v>
                </c:pt>
                <c:pt idx="194">
                  <c:v>397</c:v>
                </c:pt>
                <c:pt idx="195">
                  <c:v>397.5</c:v>
                </c:pt>
                <c:pt idx="196">
                  <c:v>398</c:v>
                </c:pt>
                <c:pt idx="197">
                  <c:v>398.5</c:v>
                </c:pt>
                <c:pt idx="198">
                  <c:v>399</c:v>
                </c:pt>
                <c:pt idx="199">
                  <c:v>399.5</c:v>
                </c:pt>
                <c:pt idx="200">
                  <c:v>400</c:v>
                </c:pt>
                <c:pt idx="201">
                  <c:v>400.5</c:v>
                </c:pt>
                <c:pt idx="202">
                  <c:v>401</c:v>
                </c:pt>
                <c:pt idx="203">
                  <c:v>401.5</c:v>
                </c:pt>
                <c:pt idx="204">
                  <c:v>402</c:v>
                </c:pt>
                <c:pt idx="205">
                  <c:v>402.5</c:v>
                </c:pt>
                <c:pt idx="206">
                  <c:v>403</c:v>
                </c:pt>
                <c:pt idx="207">
                  <c:v>403.5</c:v>
                </c:pt>
                <c:pt idx="208">
                  <c:v>404</c:v>
                </c:pt>
                <c:pt idx="209">
                  <c:v>404.5</c:v>
                </c:pt>
                <c:pt idx="210">
                  <c:v>405</c:v>
                </c:pt>
                <c:pt idx="211">
                  <c:v>405.5</c:v>
                </c:pt>
                <c:pt idx="212">
                  <c:v>406</c:v>
                </c:pt>
                <c:pt idx="213">
                  <c:v>406.5</c:v>
                </c:pt>
                <c:pt idx="214">
                  <c:v>407</c:v>
                </c:pt>
                <c:pt idx="215">
                  <c:v>407.5</c:v>
                </c:pt>
                <c:pt idx="216">
                  <c:v>408</c:v>
                </c:pt>
                <c:pt idx="217">
                  <c:v>408.5</c:v>
                </c:pt>
                <c:pt idx="218">
                  <c:v>409</c:v>
                </c:pt>
                <c:pt idx="219">
                  <c:v>409.5</c:v>
                </c:pt>
                <c:pt idx="220">
                  <c:v>410</c:v>
                </c:pt>
                <c:pt idx="221">
                  <c:v>410.5</c:v>
                </c:pt>
                <c:pt idx="222">
                  <c:v>411</c:v>
                </c:pt>
                <c:pt idx="223">
                  <c:v>411.5</c:v>
                </c:pt>
                <c:pt idx="224">
                  <c:v>412</c:v>
                </c:pt>
                <c:pt idx="225">
                  <c:v>412.5</c:v>
                </c:pt>
                <c:pt idx="226">
                  <c:v>413</c:v>
                </c:pt>
                <c:pt idx="227">
                  <c:v>413.5</c:v>
                </c:pt>
                <c:pt idx="228">
                  <c:v>414</c:v>
                </c:pt>
                <c:pt idx="229">
                  <c:v>414.5</c:v>
                </c:pt>
                <c:pt idx="230">
                  <c:v>415</c:v>
                </c:pt>
                <c:pt idx="231">
                  <c:v>415.5</c:v>
                </c:pt>
                <c:pt idx="232">
                  <c:v>416</c:v>
                </c:pt>
                <c:pt idx="233">
                  <c:v>416.5</c:v>
                </c:pt>
                <c:pt idx="234">
                  <c:v>417</c:v>
                </c:pt>
                <c:pt idx="235">
                  <c:v>417.5</c:v>
                </c:pt>
                <c:pt idx="236">
                  <c:v>418</c:v>
                </c:pt>
                <c:pt idx="237">
                  <c:v>418.5</c:v>
                </c:pt>
                <c:pt idx="238">
                  <c:v>419</c:v>
                </c:pt>
                <c:pt idx="239">
                  <c:v>419.5</c:v>
                </c:pt>
                <c:pt idx="240">
                  <c:v>420</c:v>
                </c:pt>
                <c:pt idx="241">
                  <c:v>420.5</c:v>
                </c:pt>
                <c:pt idx="242">
                  <c:v>421</c:v>
                </c:pt>
                <c:pt idx="243">
                  <c:v>421.5</c:v>
                </c:pt>
                <c:pt idx="244">
                  <c:v>422</c:v>
                </c:pt>
                <c:pt idx="245">
                  <c:v>422.5</c:v>
                </c:pt>
                <c:pt idx="246">
                  <c:v>423</c:v>
                </c:pt>
                <c:pt idx="247">
                  <c:v>423.5</c:v>
                </c:pt>
                <c:pt idx="248">
                  <c:v>424</c:v>
                </c:pt>
                <c:pt idx="249">
                  <c:v>424.5</c:v>
                </c:pt>
                <c:pt idx="250">
                  <c:v>425</c:v>
                </c:pt>
                <c:pt idx="251">
                  <c:v>425.5</c:v>
                </c:pt>
                <c:pt idx="252">
                  <c:v>426</c:v>
                </c:pt>
                <c:pt idx="253">
                  <c:v>426.5</c:v>
                </c:pt>
                <c:pt idx="254">
                  <c:v>427</c:v>
                </c:pt>
                <c:pt idx="255">
                  <c:v>427.5</c:v>
                </c:pt>
                <c:pt idx="256">
                  <c:v>428</c:v>
                </c:pt>
                <c:pt idx="257">
                  <c:v>428.5</c:v>
                </c:pt>
                <c:pt idx="258">
                  <c:v>429</c:v>
                </c:pt>
                <c:pt idx="259">
                  <c:v>429.5</c:v>
                </c:pt>
                <c:pt idx="260">
                  <c:v>430</c:v>
                </c:pt>
                <c:pt idx="261">
                  <c:v>430.5</c:v>
                </c:pt>
                <c:pt idx="262">
                  <c:v>431</c:v>
                </c:pt>
                <c:pt idx="263">
                  <c:v>431.5</c:v>
                </c:pt>
                <c:pt idx="264">
                  <c:v>432</c:v>
                </c:pt>
                <c:pt idx="265">
                  <c:v>432.5</c:v>
                </c:pt>
                <c:pt idx="266">
                  <c:v>433</c:v>
                </c:pt>
                <c:pt idx="267">
                  <c:v>433.5</c:v>
                </c:pt>
                <c:pt idx="268">
                  <c:v>434</c:v>
                </c:pt>
                <c:pt idx="269">
                  <c:v>434.5</c:v>
                </c:pt>
                <c:pt idx="270">
                  <c:v>435</c:v>
                </c:pt>
                <c:pt idx="271">
                  <c:v>435.5</c:v>
                </c:pt>
                <c:pt idx="272">
                  <c:v>436</c:v>
                </c:pt>
                <c:pt idx="273">
                  <c:v>436.5</c:v>
                </c:pt>
                <c:pt idx="274">
                  <c:v>437</c:v>
                </c:pt>
                <c:pt idx="275">
                  <c:v>437.5</c:v>
                </c:pt>
                <c:pt idx="276">
                  <c:v>438</c:v>
                </c:pt>
                <c:pt idx="277">
                  <c:v>438.5</c:v>
                </c:pt>
                <c:pt idx="278">
                  <c:v>439</c:v>
                </c:pt>
                <c:pt idx="279">
                  <c:v>439.5</c:v>
                </c:pt>
                <c:pt idx="280">
                  <c:v>440</c:v>
                </c:pt>
                <c:pt idx="281">
                  <c:v>440.5</c:v>
                </c:pt>
                <c:pt idx="282">
                  <c:v>441</c:v>
                </c:pt>
                <c:pt idx="283">
                  <c:v>441.5</c:v>
                </c:pt>
                <c:pt idx="284">
                  <c:v>442</c:v>
                </c:pt>
                <c:pt idx="285">
                  <c:v>442.5</c:v>
                </c:pt>
                <c:pt idx="286">
                  <c:v>443</c:v>
                </c:pt>
                <c:pt idx="287">
                  <c:v>443.5</c:v>
                </c:pt>
                <c:pt idx="288">
                  <c:v>444</c:v>
                </c:pt>
                <c:pt idx="289">
                  <c:v>444.5</c:v>
                </c:pt>
                <c:pt idx="290">
                  <c:v>445</c:v>
                </c:pt>
                <c:pt idx="291">
                  <c:v>445.5</c:v>
                </c:pt>
                <c:pt idx="292">
                  <c:v>446</c:v>
                </c:pt>
                <c:pt idx="293">
                  <c:v>446.5</c:v>
                </c:pt>
                <c:pt idx="294">
                  <c:v>447</c:v>
                </c:pt>
                <c:pt idx="295">
                  <c:v>447.5</c:v>
                </c:pt>
                <c:pt idx="296">
                  <c:v>448</c:v>
                </c:pt>
                <c:pt idx="297">
                  <c:v>448.5</c:v>
                </c:pt>
                <c:pt idx="298">
                  <c:v>449</c:v>
                </c:pt>
                <c:pt idx="299">
                  <c:v>449.5</c:v>
                </c:pt>
                <c:pt idx="300">
                  <c:v>450</c:v>
                </c:pt>
                <c:pt idx="301">
                  <c:v>450.5</c:v>
                </c:pt>
                <c:pt idx="302">
                  <c:v>451</c:v>
                </c:pt>
                <c:pt idx="303">
                  <c:v>451.5</c:v>
                </c:pt>
                <c:pt idx="304">
                  <c:v>452</c:v>
                </c:pt>
                <c:pt idx="305">
                  <c:v>452.5</c:v>
                </c:pt>
                <c:pt idx="306">
                  <c:v>453</c:v>
                </c:pt>
                <c:pt idx="307">
                  <c:v>453.5</c:v>
                </c:pt>
                <c:pt idx="308">
                  <c:v>454</c:v>
                </c:pt>
                <c:pt idx="309">
                  <c:v>454.5</c:v>
                </c:pt>
                <c:pt idx="310">
                  <c:v>455</c:v>
                </c:pt>
                <c:pt idx="311">
                  <c:v>455.5</c:v>
                </c:pt>
                <c:pt idx="312">
                  <c:v>456</c:v>
                </c:pt>
                <c:pt idx="313">
                  <c:v>456.5</c:v>
                </c:pt>
                <c:pt idx="314">
                  <c:v>457</c:v>
                </c:pt>
                <c:pt idx="315">
                  <c:v>457.5</c:v>
                </c:pt>
                <c:pt idx="316">
                  <c:v>458</c:v>
                </c:pt>
                <c:pt idx="317">
                  <c:v>458.5</c:v>
                </c:pt>
                <c:pt idx="318">
                  <c:v>459</c:v>
                </c:pt>
                <c:pt idx="319">
                  <c:v>459.5</c:v>
                </c:pt>
                <c:pt idx="320">
                  <c:v>460</c:v>
                </c:pt>
                <c:pt idx="321">
                  <c:v>460.5</c:v>
                </c:pt>
                <c:pt idx="322">
                  <c:v>461</c:v>
                </c:pt>
                <c:pt idx="323">
                  <c:v>461.5</c:v>
                </c:pt>
                <c:pt idx="324">
                  <c:v>462</c:v>
                </c:pt>
                <c:pt idx="325">
                  <c:v>462.5</c:v>
                </c:pt>
                <c:pt idx="326">
                  <c:v>463</c:v>
                </c:pt>
                <c:pt idx="327">
                  <c:v>463.5</c:v>
                </c:pt>
                <c:pt idx="328">
                  <c:v>464</c:v>
                </c:pt>
                <c:pt idx="329">
                  <c:v>464.5</c:v>
                </c:pt>
                <c:pt idx="330">
                  <c:v>465</c:v>
                </c:pt>
                <c:pt idx="331">
                  <c:v>465.5</c:v>
                </c:pt>
                <c:pt idx="332">
                  <c:v>466</c:v>
                </c:pt>
                <c:pt idx="333">
                  <c:v>466.5</c:v>
                </c:pt>
                <c:pt idx="334">
                  <c:v>467</c:v>
                </c:pt>
                <c:pt idx="335">
                  <c:v>467.5</c:v>
                </c:pt>
                <c:pt idx="336">
                  <c:v>468</c:v>
                </c:pt>
                <c:pt idx="337">
                  <c:v>468.5</c:v>
                </c:pt>
                <c:pt idx="338">
                  <c:v>469</c:v>
                </c:pt>
                <c:pt idx="339">
                  <c:v>469.5</c:v>
                </c:pt>
                <c:pt idx="340">
                  <c:v>470</c:v>
                </c:pt>
                <c:pt idx="341">
                  <c:v>470.5</c:v>
                </c:pt>
                <c:pt idx="342">
                  <c:v>471</c:v>
                </c:pt>
                <c:pt idx="343">
                  <c:v>471.5</c:v>
                </c:pt>
                <c:pt idx="344">
                  <c:v>472</c:v>
                </c:pt>
                <c:pt idx="345">
                  <c:v>472.5</c:v>
                </c:pt>
                <c:pt idx="346">
                  <c:v>473</c:v>
                </c:pt>
                <c:pt idx="347">
                  <c:v>473.5</c:v>
                </c:pt>
                <c:pt idx="348">
                  <c:v>474</c:v>
                </c:pt>
                <c:pt idx="349">
                  <c:v>474.5</c:v>
                </c:pt>
                <c:pt idx="350">
                  <c:v>475</c:v>
                </c:pt>
                <c:pt idx="351">
                  <c:v>475.5</c:v>
                </c:pt>
                <c:pt idx="352">
                  <c:v>476</c:v>
                </c:pt>
                <c:pt idx="353">
                  <c:v>476.5</c:v>
                </c:pt>
                <c:pt idx="354">
                  <c:v>477</c:v>
                </c:pt>
                <c:pt idx="355">
                  <c:v>477.5</c:v>
                </c:pt>
                <c:pt idx="356">
                  <c:v>478</c:v>
                </c:pt>
                <c:pt idx="357">
                  <c:v>478.5</c:v>
                </c:pt>
                <c:pt idx="358">
                  <c:v>479</c:v>
                </c:pt>
                <c:pt idx="359">
                  <c:v>479.5</c:v>
                </c:pt>
                <c:pt idx="360">
                  <c:v>480</c:v>
                </c:pt>
                <c:pt idx="361">
                  <c:v>480.5</c:v>
                </c:pt>
                <c:pt idx="362">
                  <c:v>481</c:v>
                </c:pt>
                <c:pt idx="363">
                  <c:v>481.5</c:v>
                </c:pt>
                <c:pt idx="364">
                  <c:v>482</c:v>
                </c:pt>
                <c:pt idx="365">
                  <c:v>482.5</c:v>
                </c:pt>
                <c:pt idx="366">
                  <c:v>483</c:v>
                </c:pt>
                <c:pt idx="367">
                  <c:v>483.5</c:v>
                </c:pt>
                <c:pt idx="368">
                  <c:v>484</c:v>
                </c:pt>
                <c:pt idx="369">
                  <c:v>484.5</c:v>
                </c:pt>
                <c:pt idx="370">
                  <c:v>485</c:v>
                </c:pt>
                <c:pt idx="371">
                  <c:v>485.5</c:v>
                </c:pt>
                <c:pt idx="372">
                  <c:v>486</c:v>
                </c:pt>
                <c:pt idx="373">
                  <c:v>486.5</c:v>
                </c:pt>
                <c:pt idx="374">
                  <c:v>487</c:v>
                </c:pt>
                <c:pt idx="375">
                  <c:v>487.5</c:v>
                </c:pt>
                <c:pt idx="376">
                  <c:v>488</c:v>
                </c:pt>
                <c:pt idx="377">
                  <c:v>488.5</c:v>
                </c:pt>
                <c:pt idx="378">
                  <c:v>489</c:v>
                </c:pt>
                <c:pt idx="379">
                  <c:v>489.5</c:v>
                </c:pt>
                <c:pt idx="380">
                  <c:v>490</c:v>
                </c:pt>
                <c:pt idx="381">
                  <c:v>490.5</c:v>
                </c:pt>
                <c:pt idx="382">
                  <c:v>491</c:v>
                </c:pt>
                <c:pt idx="383">
                  <c:v>491.5</c:v>
                </c:pt>
                <c:pt idx="384">
                  <c:v>492</c:v>
                </c:pt>
                <c:pt idx="385">
                  <c:v>492.5</c:v>
                </c:pt>
                <c:pt idx="386">
                  <c:v>493</c:v>
                </c:pt>
                <c:pt idx="387">
                  <c:v>493.5</c:v>
                </c:pt>
                <c:pt idx="388">
                  <c:v>494</c:v>
                </c:pt>
                <c:pt idx="389">
                  <c:v>494.5</c:v>
                </c:pt>
                <c:pt idx="390">
                  <c:v>495</c:v>
                </c:pt>
                <c:pt idx="391">
                  <c:v>495.5</c:v>
                </c:pt>
                <c:pt idx="392">
                  <c:v>496</c:v>
                </c:pt>
                <c:pt idx="393">
                  <c:v>496.5</c:v>
                </c:pt>
                <c:pt idx="394">
                  <c:v>497</c:v>
                </c:pt>
                <c:pt idx="395">
                  <c:v>497.5</c:v>
                </c:pt>
                <c:pt idx="396">
                  <c:v>498</c:v>
                </c:pt>
                <c:pt idx="397">
                  <c:v>498.5</c:v>
                </c:pt>
                <c:pt idx="398">
                  <c:v>499</c:v>
                </c:pt>
                <c:pt idx="399">
                  <c:v>499.5</c:v>
                </c:pt>
                <c:pt idx="400">
                  <c:v>500</c:v>
                </c:pt>
                <c:pt idx="401">
                  <c:v>500.5</c:v>
                </c:pt>
                <c:pt idx="402">
                  <c:v>501</c:v>
                </c:pt>
                <c:pt idx="403">
                  <c:v>501.5</c:v>
                </c:pt>
                <c:pt idx="404">
                  <c:v>502</c:v>
                </c:pt>
                <c:pt idx="405">
                  <c:v>502.5</c:v>
                </c:pt>
                <c:pt idx="406">
                  <c:v>503</c:v>
                </c:pt>
                <c:pt idx="407">
                  <c:v>503.5</c:v>
                </c:pt>
                <c:pt idx="408">
                  <c:v>504</c:v>
                </c:pt>
                <c:pt idx="409">
                  <c:v>504.5</c:v>
                </c:pt>
                <c:pt idx="410">
                  <c:v>505</c:v>
                </c:pt>
                <c:pt idx="411">
                  <c:v>505.5</c:v>
                </c:pt>
                <c:pt idx="412">
                  <c:v>506</c:v>
                </c:pt>
                <c:pt idx="413">
                  <c:v>506.5</c:v>
                </c:pt>
                <c:pt idx="414">
                  <c:v>507</c:v>
                </c:pt>
                <c:pt idx="415">
                  <c:v>507.5</c:v>
                </c:pt>
                <c:pt idx="416">
                  <c:v>508</c:v>
                </c:pt>
                <c:pt idx="417">
                  <c:v>508.5</c:v>
                </c:pt>
                <c:pt idx="418">
                  <c:v>509</c:v>
                </c:pt>
                <c:pt idx="419">
                  <c:v>509.5</c:v>
                </c:pt>
                <c:pt idx="420">
                  <c:v>510</c:v>
                </c:pt>
                <c:pt idx="421">
                  <c:v>510.5</c:v>
                </c:pt>
                <c:pt idx="422">
                  <c:v>511</c:v>
                </c:pt>
                <c:pt idx="423">
                  <c:v>511.5</c:v>
                </c:pt>
                <c:pt idx="424">
                  <c:v>512</c:v>
                </c:pt>
                <c:pt idx="425">
                  <c:v>512.5</c:v>
                </c:pt>
                <c:pt idx="426">
                  <c:v>513</c:v>
                </c:pt>
                <c:pt idx="427">
                  <c:v>513.5</c:v>
                </c:pt>
                <c:pt idx="428">
                  <c:v>514</c:v>
                </c:pt>
                <c:pt idx="429">
                  <c:v>514.5</c:v>
                </c:pt>
                <c:pt idx="430">
                  <c:v>515</c:v>
                </c:pt>
                <c:pt idx="431">
                  <c:v>515.5</c:v>
                </c:pt>
                <c:pt idx="432">
                  <c:v>516</c:v>
                </c:pt>
                <c:pt idx="433">
                  <c:v>516.5</c:v>
                </c:pt>
                <c:pt idx="434">
                  <c:v>517</c:v>
                </c:pt>
                <c:pt idx="435">
                  <c:v>517.5</c:v>
                </c:pt>
                <c:pt idx="436">
                  <c:v>518</c:v>
                </c:pt>
                <c:pt idx="437">
                  <c:v>518.5</c:v>
                </c:pt>
                <c:pt idx="438">
                  <c:v>519</c:v>
                </c:pt>
                <c:pt idx="439">
                  <c:v>519.5</c:v>
                </c:pt>
                <c:pt idx="440">
                  <c:v>520</c:v>
                </c:pt>
                <c:pt idx="441">
                  <c:v>520.5</c:v>
                </c:pt>
                <c:pt idx="442">
                  <c:v>521</c:v>
                </c:pt>
                <c:pt idx="443">
                  <c:v>521.5</c:v>
                </c:pt>
                <c:pt idx="444">
                  <c:v>522</c:v>
                </c:pt>
                <c:pt idx="445">
                  <c:v>522.5</c:v>
                </c:pt>
                <c:pt idx="446">
                  <c:v>523</c:v>
                </c:pt>
                <c:pt idx="447">
                  <c:v>523.5</c:v>
                </c:pt>
                <c:pt idx="448">
                  <c:v>524</c:v>
                </c:pt>
                <c:pt idx="449">
                  <c:v>524.5</c:v>
                </c:pt>
                <c:pt idx="450">
                  <c:v>525</c:v>
                </c:pt>
                <c:pt idx="451">
                  <c:v>525.5</c:v>
                </c:pt>
                <c:pt idx="452">
                  <c:v>526</c:v>
                </c:pt>
                <c:pt idx="453">
                  <c:v>526.5</c:v>
                </c:pt>
                <c:pt idx="454">
                  <c:v>527</c:v>
                </c:pt>
                <c:pt idx="455">
                  <c:v>527.5</c:v>
                </c:pt>
                <c:pt idx="456">
                  <c:v>528</c:v>
                </c:pt>
                <c:pt idx="457">
                  <c:v>528.5</c:v>
                </c:pt>
                <c:pt idx="458">
                  <c:v>529</c:v>
                </c:pt>
                <c:pt idx="459">
                  <c:v>529.5</c:v>
                </c:pt>
                <c:pt idx="460">
                  <c:v>530</c:v>
                </c:pt>
                <c:pt idx="461">
                  <c:v>530.5</c:v>
                </c:pt>
                <c:pt idx="462">
                  <c:v>531</c:v>
                </c:pt>
                <c:pt idx="463">
                  <c:v>531.5</c:v>
                </c:pt>
                <c:pt idx="464">
                  <c:v>532</c:v>
                </c:pt>
                <c:pt idx="465">
                  <c:v>532.5</c:v>
                </c:pt>
                <c:pt idx="466">
                  <c:v>533</c:v>
                </c:pt>
                <c:pt idx="467">
                  <c:v>533.5</c:v>
                </c:pt>
                <c:pt idx="468">
                  <c:v>534</c:v>
                </c:pt>
                <c:pt idx="469">
                  <c:v>534.5</c:v>
                </c:pt>
                <c:pt idx="470">
                  <c:v>535</c:v>
                </c:pt>
                <c:pt idx="471">
                  <c:v>535.5</c:v>
                </c:pt>
                <c:pt idx="472">
                  <c:v>536</c:v>
                </c:pt>
                <c:pt idx="473">
                  <c:v>536.5</c:v>
                </c:pt>
                <c:pt idx="474">
                  <c:v>537</c:v>
                </c:pt>
                <c:pt idx="475">
                  <c:v>537.5</c:v>
                </c:pt>
                <c:pt idx="476">
                  <c:v>538</c:v>
                </c:pt>
                <c:pt idx="477">
                  <c:v>538.5</c:v>
                </c:pt>
                <c:pt idx="478">
                  <c:v>539</c:v>
                </c:pt>
                <c:pt idx="479">
                  <c:v>539.5</c:v>
                </c:pt>
                <c:pt idx="480">
                  <c:v>540</c:v>
                </c:pt>
                <c:pt idx="481">
                  <c:v>540.5</c:v>
                </c:pt>
                <c:pt idx="482">
                  <c:v>541</c:v>
                </c:pt>
                <c:pt idx="483">
                  <c:v>541.5</c:v>
                </c:pt>
                <c:pt idx="484">
                  <c:v>542</c:v>
                </c:pt>
                <c:pt idx="485">
                  <c:v>542.5</c:v>
                </c:pt>
                <c:pt idx="486">
                  <c:v>543</c:v>
                </c:pt>
                <c:pt idx="487">
                  <c:v>543.5</c:v>
                </c:pt>
                <c:pt idx="488">
                  <c:v>544</c:v>
                </c:pt>
                <c:pt idx="489">
                  <c:v>544.5</c:v>
                </c:pt>
                <c:pt idx="490">
                  <c:v>545</c:v>
                </c:pt>
                <c:pt idx="491">
                  <c:v>545.5</c:v>
                </c:pt>
                <c:pt idx="492">
                  <c:v>546</c:v>
                </c:pt>
                <c:pt idx="493">
                  <c:v>546.5</c:v>
                </c:pt>
                <c:pt idx="494">
                  <c:v>547</c:v>
                </c:pt>
                <c:pt idx="495">
                  <c:v>547.5</c:v>
                </c:pt>
                <c:pt idx="496">
                  <c:v>548</c:v>
                </c:pt>
                <c:pt idx="497">
                  <c:v>548.5</c:v>
                </c:pt>
                <c:pt idx="498">
                  <c:v>549</c:v>
                </c:pt>
                <c:pt idx="499">
                  <c:v>549.5</c:v>
                </c:pt>
                <c:pt idx="500">
                  <c:v>550</c:v>
                </c:pt>
                <c:pt idx="501">
                  <c:v>550.5</c:v>
                </c:pt>
                <c:pt idx="502">
                  <c:v>551</c:v>
                </c:pt>
                <c:pt idx="503">
                  <c:v>551.5</c:v>
                </c:pt>
                <c:pt idx="504">
                  <c:v>552</c:v>
                </c:pt>
                <c:pt idx="505">
                  <c:v>552.5</c:v>
                </c:pt>
                <c:pt idx="506">
                  <c:v>553</c:v>
                </c:pt>
                <c:pt idx="507">
                  <c:v>553.5</c:v>
                </c:pt>
                <c:pt idx="508">
                  <c:v>554</c:v>
                </c:pt>
                <c:pt idx="509">
                  <c:v>554.5</c:v>
                </c:pt>
                <c:pt idx="510">
                  <c:v>555</c:v>
                </c:pt>
                <c:pt idx="511">
                  <c:v>555.5</c:v>
                </c:pt>
                <c:pt idx="512">
                  <c:v>556</c:v>
                </c:pt>
                <c:pt idx="513">
                  <c:v>556.5</c:v>
                </c:pt>
                <c:pt idx="514">
                  <c:v>557</c:v>
                </c:pt>
                <c:pt idx="515">
                  <c:v>557.5</c:v>
                </c:pt>
                <c:pt idx="516">
                  <c:v>558</c:v>
                </c:pt>
                <c:pt idx="517">
                  <c:v>558.5</c:v>
                </c:pt>
                <c:pt idx="518">
                  <c:v>559</c:v>
                </c:pt>
                <c:pt idx="519">
                  <c:v>559.5</c:v>
                </c:pt>
                <c:pt idx="520">
                  <c:v>560</c:v>
                </c:pt>
                <c:pt idx="521">
                  <c:v>560.5</c:v>
                </c:pt>
                <c:pt idx="522">
                  <c:v>561</c:v>
                </c:pt>
                <c:pt idx="523">
                  <c:v>561.5</c:v>
                </c:pt>
                <c:pt idx="524">
                  <c:v>562</c:v>
                </c:pt>
                <c:pt idx="525">
                  <c:v>562.5</c:v>
                </c:pt>
                <c:pt idx="526">
                  <c:v>563</c:v>
                </c:pt>
                <c:pt idx="527">
                  <c:v>563.5</c:v>
                </c:pt>
                <c:pt idx="528">
                  <c:v>564</c:v>
                </c:pt>
                <c:pt idx="529">
                  <c:v>564.5</c:v>
                </c:pt>
                <c:pt idx="530">
                  <c:v>565</c:v>
                </c:pt>
                <c:pt idx="531">
                  <c:v>565.5</c:v>
                </c:pt>
                <c:pt idx="532">
                  <c:v>566</c:v>
                </c:pt>
                <c:pt idx="533">
                  <c:v>566.5</c:v>
                </c:pt>
                <c:pt idx="534">
                  <c:v>567</c:v>
                </c:pt>
                <c:pt idx="535">
                  <c:v>567.5</c:v>
                </c:pt>
                <c:pt idx="536">
                  <c:v>568</c:v>
                </c:pt>
                <c:pt idx="537">
                  <c:v>568.5</c:v>
                </c:pt>
                <c:pt idx="538">
                  <c:v>569</c:v>
                </c:pt>
                <c:pt idx="539">
                  <c:v>569.5</c:v>
                </c:pt>
                <c:pt idx="540">
                  <c:v>570</c:v>
                </c:pt>
                <c:pt idx="541">
                  <c:v>570.5</c:v>
                </c:pt>
                <c:pt idx="542">
                  <c:v>571</c:v>
                </c:pt>
                <c:pt idx="543">
                  <c:v>571.5</c:v>
                </c:pt>
                <c:pt idx="544">
                  <c:v>572</c:v>
                </c:pt>
                <c:pt idx="545">
                  <c:v>572.5</c:v>
                </c:pt>
                <c:pt idx="546">
                  <c:v>573</c:v>
                </c:pt>
                <c:pt idx="547">
                  <c:v>573.5</c:v>
                </c:pt>
                <c:pt idx="548">
                  <c:v>574</c:v>
                </c:pt>
                <c:pt idx="549">
                  <c:v>574.5</c:v>
                </c:pt>
                <c:pt idx="550">
                  <c:v>575</c:v>
                </c:pt>
                <c:pt idx="551">
                  <c:v>575.5</c:v>
                </c:pt>
                <c:pt idx="552">
                  <c:v>576</c:v>
                </c:pt>
                <c:pt idx="553">
                  <c:v>576.5</c:v>
                </c:pt>
                <c:pt idx="554">
                  <c:v>577</c:v>
                </c:pt>
                <c:pt idx="555">
                  <c:v>577.5</c:v>
                </c:pt>
                <c:pt idx="556">
                  <c:v>578</c:v>
                </c:pt>
                <c:pt idx="557">
                  <c:v>578.5</c:v>
                </c:pt>
                <c:pt idx="558">
                  <c:v>579</c:v>
                </c:pt>
                <c:pt idx="559">
                  <c:v>579.5</c:v>
                </c:pt>
                <c:pt idx="560">
                  <c:v>580</c:v>
                </c:pt>
                <c:pt idx="561">
                  <c:v>580.5</c:v>
                </c:pt>
                <c:pt idx="562">
                  <c:v>581</c:v>
                </c:pt>
                <c:pt idx="563">
                  <c:v>581.5</c:v>
                </c:pt>
                <c:pt idx="564">
                  <c:v>582</c:v>
                </c:pt>
                <c:pt idx="565">
                  <c:v>582.5</c:v>
                </c:pt>
                <c:pt idx="566">
                  <c:v>583</c:v>
                </c:pt>
                <c:pt idx="567">
                  <c:v>583.5</c:v>
                </c:pt>
                <c:pt idx="568">
                  <c:v>584</c:v>
                </c:pt>
                <c:pt idx="569">
                  <c:v>584.5</c:v>
                </c:pt>
                <c:pt idx="570">
                  <c:v>585</c:v>
                </c:pt>
                <c:pt idx="571">
                  <c:v>585.5</c:v>
                </c:pt>
                <c:pt idx="572">
                  <c:v>586</c:v>
                </c:pt>
                <c:pt idx="573">
                  <c:v>586.5</c:v>
                </c:pt>
                <c:pt idx="574">
                  <c:v>587</c:v>
                </c:pt>
                <c:pt idx="575">
                  <c:v>587.5</c:v>
                </c:pt>
                <c:pt idx="576">
                  <c:v>588</c:v>
                </c:pt>
                <c:pt idx="577">
                  <c:v>588.5</c:v>
                </c:pt>
                <c:pt idx="578">
                  <c:v>589</c:v>
                </c:pt>
                <c:pt idx="579">
                  <c:v>589.5</c:v>
                </c:pt>
                <c:pt idx="580">
                  <c:v>590</c:v>
                </c:pt>
                <c:pt idx="581">
                  <c:v>590.5</c:v>
                </c:pt>
                <c:pt idx="582">
                  <c:v>591</c:v>
                </c:pt>
                <c:pt idx="583">
                  <c:v>591.5</c:v>
                </c:pt>
                <c:pt idx="584">
                  <c:v>592</c:v>
                </c:pt>
                <c:pt idx="585">
                  <c:v>592.5</c:v>
                </c:pt>
                <c:pt idx="586">
                  <c:v>593</c:v>
                </c:pt>
                <c:pt idx="587">
                  <c:v>593.5</c:v>
                </c:pt>
                <c:pt idx="588">
                  <c:v>594</c:v>
                </c:pt>
                <c:pt idx="589">
                  <c:v>594.5</c:v>
                </c:pt>
                <c:pt idx="590">
                  <c:v>595</c:v>
                </c:pt>
                <c:pt idx="591">
                  <c:v>595.5</c:v>
                </c:pt>
                <c:pt idx="592">
                  <c:v>596</c:v>
                </c:pt>
                <c:pt idx="593">
                  <c:v>596.5</c:v>
                </c:pt>
                <c:pt idx="594">
                  <c:v>597</c:v>
                </c:pt>
                <c:pt idx="595">
                  <c:v>597.5</c:v>
                </c:pt>
                <c:pt idx="596">
                  <c:v>598</c:v>
                </c:pt>
                <c:pt idx="597">
                  <c:v>598.5</c:v>
                </c:pt>
                <c:pt idx="598">
                  <c:v>599</c:v>
                </c:pt>
                <c:pt idx="599">
                  <c:v>599.5</c:v>
                </c:pt>
                <c:pt idx="600">
                  <c:v>600</c:v>
                </c:pt>
                <c:pt idx="601">
                  <c:v>600.5</c:v>
                </c:pt>
                <c:pt idx="602">
                  <c:v>601</c:v>
                </c:pt>
                <c:pt idx="603">
                  <c:v>601.5</c:v>
                </c:pt>
                <c:pt idx="604">
                  <c:v>602</c:v>
                </c:pt>
                <c:pt idx="605">
                  <c:v>602.5</c:v>
                </c:pt>
                <c:pt idx="606">
                  <c:v>603</c:v>
                </c:pt>
                <c:pt idx="607">
                  <c:v>603.5</c:v>
                </c:pt>
                <c:pt idx="608">
                  <c:v>604</c:v>
                </c:pt>
                <c:pt idx="609">
                  <c:v>604.5</c:v>
                </c:pt>
                <c:pt idx="610">
                  <c:v>605</c:v>
                </c:pt>
                <c:pt idx="611">
                  <c:v>605.5</c:v>
                </c:pt>
                <c:pt idx="612">
                  <c:v>606</c:v>
                </c:pt>
                <c:pt idx="613">
                  <c:v>606.5</c:v>
                </c:pt>
                <c:pt idx="614">
                  <c:v>607</c:v>
                </c:pt>
                <c:pt idx="615">
                  <c:v>607.5</c:v>
                </c:pt>
                <c:pt idx="616">
                  <c:v>608</c:v>
                </c:pt>
                <c:pt idx="617">
                  <c:v>608.5</c:v>
                </c:pt>
                <c:pt idx="618">
                  <c:v>609</c:v>
                </c:pt>
                <c:pt idx="619">
                  <c:v>609.5</c:v>
                </c:pt>
                <c:pt idx="620">
                  <c:v>610</c:v>
                </c:pt>
                <c:pt idx="621">
                  <c:v>610.5</c:v>
                </c:pt>
                <c:pt idx="622">
                  <c:v>611</c:v>
                </c:pt>
                <c:pt idx="623">
                  <c:v>611.5</c:v>
                </c:pt>
                <c:pt idx="624">
                  <c:v>612</c:v>
                </c:pt>
                <c:pt idx="625">
                  <c:v>612.5</c:v>
                </c:pt>
                <c:pt idx="626">
                  <c:v>613</c:v>
                </c:pt>
                <c:pt idx="627">
                  <c:v>613.5</c:v>
                </c:pt>
                <c:pt idx="628">
                  <c:v>614</c:v>
                </c:pt>
                <c:pt idx="629">
                  <c:v>614.5</c:v>
                </c:pt>
                <c:pt idx="630">
                  <c:v>615</c:v>
                </c:pt>
                <c:pt idx="631">
                  <c:v>615.5</c:v>
                </c:pt>
                <c:pt idx="632">
                  <c:v>616</c:v>
                </c:pt>
                <c:pt idx="633">
                  <c:v>616.5</c:v>
                </c:pt>
                <c:pt idx="634">
                  <c:v>617</c:v>
                </c:pt>
                <c:pt idx="635">
                  <c:v>617.5</c:v>
                </c:pt>
                <c:pt idx="636">
                  <c:v>618</c:v>
                </c:pt>
                <c:pt idx="637">
                  <c:v>618.5</c:v>
                </c:pt>
                <c:pt idx="638">
                  <c:v>619</c:v>
                </c:pt>
                <c:pt idx="639">
                  <c:v>619.5</c:v>
                </c:pt>
                <c:pt idx="640">
                  <c:v>620</c:v>
                </c:pt>
                <c:pt idx="641">
                  <c:v>620.5</c:v>
                </c:pt>
                <c:pt idx="642">
                  <c:v>621</c:v>
                </c:pt>
                <c:pt idx="643">
                  <c:v>621.5</c:v>
                </c:pt>
                <c:pt idx="644">
                  <c:v>622</c:v>
                </c:pt>
                <c:pt idx="645">
                  <c:v>622.5</c:v>
                </c:pt>
                <c:pt idx="646">
                  <c:v>623</c:v>
                </c:pt>
                <c:pt idx="647">
                  <c:v>623.5</c:v>
                </c:pt>
                <c:pt idx="648">
                  <c:v>624</c:v>
                </c:pt>
                <c:pt idx="649">
                  <c:v>624.5</c:v>
                </c:pt>
                <c:pt idx="650">
                  <c:v>625</c:v>
                </c:pt>
                <c:pt idx="651">
                  <c:v>625.5</c:v>
                </c:pt>
                <c:pt idx="652">
                  <c:v>626</c:v>
                </c:pt>
                <c:pt idx="653">
                  <c:v>626.5</c:v>
                </c:pt>
                <c:pt idx="654">
                  <c:v>627</c:v>
                </c:pt>
                <c:pt idx="655">
                  <c:v>627.5</c:v>
                </c:pt>
                <c:pt idx="656">
                  <c:v>628</c:v>
                </c:pt>
                <c:pt idx="657">
                  <c:v>628.5</c:v>
                </c:pt>
                <c:pt idx="658">
                  <c:v>629</c:v>
                </c:pt>
                <c:pt idx="659">
                  <c:v>629.5</c:v>
                </c:pt>
                <c:pt idx="660">
                  <c:v>630</c:v>
                </c:pt>
                <c:pt idx="661">
                  <c:v>630.5</c:v>
                </c:pt>
                <c:pt idx="662">
                  <c:v>631</c:v>
                </c:pt>
                <c:pt idx="663">
                  <c:v>631.5</c:v>
                </c:pt>
                <c:pt idx="664">
                  <c:v>632</c:v>
                </c:pt>
                <c:pt idx="665">
                  <c:v>632.5</c:v>
                </c:pt>
                <c:pt idx="666">
                  <c:v>633</c:v>
                </c:pt>
                <c:pt idx="667">
                  <c:v>633.5</c:v>
                </c:pt>
                <c:pt idx="668">
                  <c:v>634</c:v>
                </c:pt>
                <c:pt idx="669">
                  <c:v>634.5</c:v>
                </c:pt>
                <c:pt idx="670">
                  <c:v>635</c:v>
                </c:pt>
                <c:pt idx="671">
                  <c:v>635.5</c:v>
                </c:pt>
                <c:pt idx="672">
                  <c:v>636</c:v>
                </c:pt>
                <c:pt idx="673">
                  <c:v>636.5</c:v>
                </c:pt>
                <c:pt idx="674">
                  <c:v>637</c:v>
                </c:pt>
                <c:pt idx="675">
                  <c:v>637.5</c:v>
                </c:pt>
                <c:pt idx="676">
                  <c:v>638</c:v>
                </c:pt>
                <c:pt idx="677">
                  <c:v>638.5</c:v>
                </c:pt>
                <c:pt idx="678">
                  <c:v>639</c:v>
                </c:pt>
                <c:pt idx="679">
                  <c:v>639.5</c:v>
                </c:pt>
                <c:pt idx="680">
                  <c:v>640</c:v>
                </c:pt>
                <c:pt idx="681">
                  <c:v>640.5</c:v>
                </c:pt>
                <c:pt idx="682">
                  <c:v>641</c:v>
                </c:pt>
                <c:pt idx="683">
                  <c:v>641.5</c:v>
                </c:pt>
                <c:pt idx="684">
                  <c:v>642</c:v>
                </c:pt>
                <c:pt idx="685">
                  <c:v>642.5</c:v>
                </c:pt>
                <c:pt idx="686">
                  <c:v>643</c:v>
                </c:pt>
                <c:pt idx="687">
                  <c:v>643.5</c:v>
                </c:pt>
                <c:pt idx="688">
                  <c:v>644</c:v>
                </c:pt>
                <c:pt idx="689">
                  <c:v>644.5</c:v>
                </c:pt>
                <c:pt idx="690">
                  <c:v>645</c:v>
                </c:pt>
                <c:pt idx="691">
                  <c:v>645.5</c:v>
                </c:pt>
                <c:pt idx="692">
                  <c:v>646</c:v>
                </c:pt>
                <c:pt idx="693">
                  <c:v>646.5</c:v>
                </c:pt>
                <c:pt idx="694">
                  <c:v>647</c:v>
                </c:pt>
                <c:pt idx="695">
                  <c:v>647.5</c:v>
                </c:pt>
                <c:pt idx="696">
                  <c:v>648</c:v>
                </c:pt>
                <c:pt idx="697">
                  <c:v>648.5</c:v>
                </c:pt>
                <c:pt idx="698">
                  <c:v>649</c:v>
                </c:pt>
                <c:pt idx="699">
                  <c:v>649.5</c:v>
                </c:pt>
                <c:pt idx="700">
                  <c:v>650</c:v>
                </c:pt>
                <c:pt idx="701">
                  <c:v>650.5</c:v>
                </c:pt>
                <c:pt idx="702">
                  <c:v>651</c:v>
                </c:pt>
                <c:pt idx="703">
                  <c:v>651.5</c:v>
                </c:pt>
                <c:pt idx="704">
                  <c:v>652</c:v>
                </c:pt>
                <c:pt idx="705">
                  <c:v>652.5</c:v>
                </c:pt>
                <c:pt idx="706">
                  <c:v>653</c:v>
                </c:pt>
                <c:pt idx="707">
                  <c:v>653.5</c:v>
                </c:pt>
                <c:pt idx="708">
                  <c:v>654</c:v>
                </c:pt>
                <c:pt idx="709">
                  <c:v>654.5</c:v>
                </c:pt>
                <c:pt idx="710">
                  <c:v>655</c:v>
                </c:pt>
                <c:pt idx="711">
                  <c:v>655.5</c:v>
                </c:pt>
                <c:pt idx="712">
                  <c:v>656</c:v>
                </c:pt>
                <c:pt idx="713">
                  <c:v>656.5</c:v>
                </c:pt>
                <c:pt idx="714">
                  <c:v>657</c:v>
                </c:pt>
                <c:pt idx="715">
                  <c:v>657.5</c:v>
                </c:pt>
                <c:pt idx="716">
                  <c:v>658</c:v>
                </c:pt>
                <c:pt idx="717">
                  <c:v>658.5</c:v>
                </c:pt>
                <c:pt idx="718">
                  <c:v>659</c:v>
                </c:pt>
                <c:pt idx="719">
                  <c:v>659.5</c:v>
                </c:pt>
                <c:pt idx="720">
                  <c:v>660</c:v>
                </c:pt>
                <c:pt idx="721">
                  <c:v>660.5</c:v>
                </c:pt>
                <c:pt idx="722">
                  <c:v>661</c:v>
                </c:pt>
                <c:pt idx="723">
                  <c:v>661.5</c:v>
                </c:pt>
                <c:pt idx="724">
                  <c:v>662</c:v>
                </c:pt>
                <c:pt idx="725">
                  <c:v>662.5</c:v>
                </c:pt>
                <c:pt idx="726">
                  <c:v>663</c:v>
                </c:pt>
                <c:pt idx="727">
                  <c:v>663.5</c:v>
                </c:pt>
                <c:pt idx="728">
                  <c:v>664</c:v>
                </c:pt>
                <c:pt idx="729">
                  <c:v>664.5</c:v>
                </c:pt>
                <c:pt idx="730">
                  <c:v>665</c:v>
                </c:pt>
                <c:pt idx="731">
                  <c:v>665.5</c:v>
                </c:pt>
                <c:pt idx="732">
                  <c:v>666</c:v>
                </c:pt>
                <c:pt idx="733">
                  <c:v>666.5</c:v>
                </c:pt>
                <c:pt idx="734">
                  <c:v>667</c:v>
                </c:pt>
                <c:pt idx="735">
                  <c:v>667.5</c:v>
                </c:pt>
                <c:pt idx="736">
                  <c:v>668</c:v>
                </c:pt>
                <c:pt idx="737">
                  <c:v>668.5</c:v>
                </c:pt>
                <c:pt idx="738">
                  <c:v>669</c:v>
                </c:pt>
                <c:pt idx="739">
                  <c:v>669.5</c:v>
                </c:pt>
                <c:pt idx="740">
                  <c:v>670</c:v>
                </c:pt>
                <c:pt idx="741">
                  <c:v>670.5</c:v>
                </c:pt>
                <c:pt idx="742">
                  <c:v>671</c:v>
                </c:pt>
                <c:pt idx="743">
                  <c:v>671.5</c:v>
                </c:pt>
                <c:pt idx="744">
                  <c:v>672</c:v>
                </c:pt>
                <c:pt idx="745">
                  <c:v>672.5</c:v>
                </c:pt>
                <c:pt idx="746">
                  <c:v>673</c:v>
                </c:pt>
                <c:pt idx="747">
                  <c:v>673.5</c:v>
                </c:pt>
                <c:pt idx="748">
                  <c:v>674</c:v>
                </c:pt>
                <c:pt idx="749">
                  <c:v>674.5</c:v>
                </c:pt>
                <c:pt idx="750">
                  <c:v>675</c:v>
                </c:pt>
                <c:pt idx="751">
                  <c:v>675.5</c:v>
                </c:pt>
                <c:pt idx="752">
                  <c:v>676</c:v>
                </c:pt>
                <c:pt idx="753">
                  <c:v>676.5</c:v>
                </c:pt>
                <c:pt idx="754">
                  <c:v>677</c:v>
                </c:pt>
                <c:pt idx="755">
                  <c:v>677.5</c:v>
                </c:pt>
                <c:pt idx="756">
                  <c:v>678</c:v>
                </c:pt>
                <c:pt idx="757">
                  <c:v>678.5</c:v>
                </c:pt>
                <c:pt idx="758">
                  <c:v>679</c:v>
                </c:pt>
                <c:pt idx="759">
                  <c:v>679.5</c:v>
                </c:pt>
                <c:pt idx="760">
                  <c:v>680</c:v>
                </c:pt>
                <c:pt idx="761">
                  <c:v>680.5</c:v>
                </c:pt>
                <c:pt idx="762">
                  <c:v>681</c:v>
                </c:pt>
                <c:pt idx="763">
                  <c:v>681.5</c:v>
                </c:pt>
                <c:pt idx="764">
                  <c:v>682</c:v>
                </c:pt>
                <c:pt idx="765">
                  <c:v>682.5</c:v>
                </c:pt>
                <c:pt idx="766">
                  <c:v>683</c:v>
                </c:pt>
                <c:pt idx="767">
                  <c:v>683.5</c:v>
                </c:pt>
                <c:pt idx="768">
                  <c:v>684</c:v>
                </c:pt>
                <c:pt idx="769">
                  <c:v>684.5</c:v>
                </c:pt>
                <c:pt idx="770">
                  <c:v>685</c:v>
                </c:pt>
                <c:pt idx="771">
                  <c:v>685.5</c:v>
                </c:pt>
                <c:pt idx="772">
                  <c:v>686</c:v>
                </c:pt>
                <c:pt idx="773">
                  <c:v>686.5</c:v>
                </c:pt>
                <c:pt idx="774">
                  <c:v>687</c:v>
                </c:pt>
                <c:pt idx="775">
                  <c:v>687.5</c:v>
                </c:pt>
                <c:pt idx="776">
                  <c:v>688</c:v>
                </c:pt>
                <c:pt idx="777">
                  <c:v>688.5</c:v>
                </c:pt>
                <c:pt idx="778">
                  <c:v>689</c:v>
                </c:pt>
                <c:pt idx="779">
                  <c:v>689.5</c:v>
                </c:pt>
                <c:pt idx="780">
                  <c:v>690</c:v>
                </c:pt>
                <c:pt idx="781">
                  <c:v>690.5</c:v>
                </c:pt>
                <c:pt idx="782">
                  <c:v>691</c:v>
                </c:pt>
                <c:pt idx="783">
                  <c:v>691.5</c:v>
                </c:pt>
                <c:pt idx="784">
                  <c:v>692</c:v>
                </c:pt>
                <c:pt idx="785">
                  <c:v>692.5</c:v>
                </c:pt>
                <c:pt idx="786">
                  <c:v>693</c:v>
                </c:pt>
                <c:pt idx="787">
                  <c:v>693.5</c:v>
                </c:pt>
                <c:pt idx="788">
                  <c:v>694</c:v>
                </c:pt>
                <c:pt idx="789">
                  <c:v>694.5</c:v>
                </c:pt>
                <c:pt idx="790">
                  <c:v>695</c:v>
                </c:pt>
                <c:pt idx="791">
                  <c:v>695.5</c:v>
                </c:pt>
                <c:pt idx="792">
                  <c:v>696</c:v>
                </c:pt>
                <c:pt idx="793">
                  <c:v>696.5</c:v>
                </c:pt>
                <c:pt idx="794">
                  <c:v>697</c:v>
                </c:pt>
                <c:pt idx="795">
                  <c:v>697.5</c:v>
                </c:pt>
                <c:pt idx="796">
                  <c:v>698</c:v>
                </c:pt>
                <c:pt idx="797">
                  <c:v>698.5</c:v>
                </c:pt>
                <c:pt idx="798">
                  <c:v>699</c:v>
                </c:pt>
                <c:pt idx="799">
                  <c:v>699.5</c:v>
                </c:pt>
                <c:pt idx="800">
                  <c:v>700</c:v>
                </c:pt>
                <c:pt idx="801">
                  <c:v>700.5</c:v>
                </c:pt>
                <c:pt idx="802">
                  <c:v>701</c:v>
                </c:pt>
                <c:pt idx="803">
                  <c:v>701.5</c:v>
                </c:pt>
                <c:pt idx="804">
                  <c:v>702</c:v>
                </c:pt>
                <c:pt idx="805">
                  <c:v>702.5</c:v>
                </c:pt>
                <c:pt idx="806">
                  <c:v>703</c:v>
                </c:pt>
                <c:pt idx="807">
                  <c:v>703.5</c:v>
                </c:pt>
                <c:pt idx="808">
                  <c:v>704</c:v>
                </c:pt>
                <c:pt idx="809">
                  <c:v>704.5</c:v>
                </c:pt>
                <c:pt idx="810">
                  <c:v>705</c:v>
                </c:pt>
                <c:pt idx="811">
                  <c:v>705.5</c:v>
                </c:pt>
                <c:pt idx="812">
                  <c:v>706</c:v>
                </c:pt>
                <c:pt idx="813">
                  <c:v>706.5</c:v>
                </c:pt>
                <c:pt idx="814">
                  <c:v>707</c:v>
                </c:pt>
                <c:pt idx="815">
                  <c:v>707.5</c:v>
                </c:pt>
                <c:pt idx="816">
                  <c:v>708</c:v>
                </c:pt>
                <c:pt idx="817">
                  <c:v>708.5</c:v>
                </c:pt>
                <c:pt idx="818">
                  <c:v>709</c:v>
                </c:pt>
                <c:pt idx="819">
                  <c:v>709.5</c:v>
                </c:pt>
                <c:pt idx="820">
                  <c:v>710</c:v>
                </c:pt>
                <c:pt idx="821">
                  <c:v>710.5</c:v>
                </c:pt>
                <c:pt idx="822">
                  <c:v>711</c:v>
                </c:pt>
                <c:pt idx="823">
                  <c:v>711.5</c:v>
                </c:pt>
                <c:pt idx="824">
                  <c:v>712</c:v>
                </c:pt>
                <c:pt idx="825">
                  <c:v>712.5</c:v>
                </c:pt>
                <c:pt idx="826">
                  <c:v>713</c:v>
                </c:pt>
                <c:pt idx="827">
                  <c:v>713.5</c:v>
                </c:pt>
                <c:pt idx="828">
                  <c:v>714</c:v>
                </c:pt>
                <c:pt idx="829">
                  <c:v>714.5</c:v>
                </c:pt>
                <c:pt idx="830">
                  <c:v>715</c:v>
                </c:pt>
                <c:pt idx="831">
                  <c:v>715.5</c:v>
                </c:pt>
                <c:pt idx="832">
                  <c:v>716</c:v>
                </c:pt>
                <c:pt idx="833">
                  <c:v>716.5</c:v>
                </c:pt>
                <c:pt idx="834">
                  <c:v>717</c:v>
                </c:pt>
                <c:pt idx="835">
                  <c:v>717.5</c:v>
                </c:pt>
                <c:pt idx="836">
                  <c:v>718</c:v>
                </c:pt>
                <c:pt idx="837">
                  <c:v>718.5</c:v>
                </c:pt>
                <c:pt idx="838">
                  <c:v>719</c:v>
                </c:pt>
                <c:pt idx="839">
                  <c:v>719.5</c:v>
                </c:pt>
                <c:pt idx="840">
                  <c:v>720</c:v>
                </c:pt>
                <c:pt idx="841">
                  <c:v>720.5</c:v>
                </c:pt>
                <c:pt idx="842">
                  <c:v>721</c:v>
                </c:pt>
                <c:pt idx="843">
                  <c:v>721.5</c:v>
                </c:pt>
                <c:pt idx="844">
                  <c:v>722</c:v>
                </c:pt>
                <c:pt idx="845">
                  <c:v>722.5</c:v>
                </c:pt>
                <c:pt idx="846">
                  <c:v>723</c:v>
                </c:pt>
                <c:pt idx="847">
                  <c:v>723.5</c:v>
                </c:pt>
                <c:pt idx="848">
                  <c:v>724</c:v>
                </c:pt>
                <c:pt idx="849">
                  <c:v>724.5</c:v>
                </c:pt>
                <c:pt idx="850">
                  <c:v>725</c:v>
                </c:pt>
                <c:pt idx="851">
                  <c:v>725.5</c:v>
                </c:pt>
                <c:pt idx="852">
                  <c:v>726</c:v>
                </c:pt>
                <c:pt idx="853">
                  <c:v>726.5</c:v>
                </c:pt>
                <c:pt idx="854">
                  <c:v>727</c:v>
                </c:pt>
                <c:pt idx="855">
                  <c:v>727.5</c:v>
                </c:pt>
                <c:pt idx="856">
                  <c:v>728</c:v>
                </c:pt>
                <c:pt idx="857">
                  <c:v>728.5</c:v>
                </c:pt>
                <c:pt idx="858">
                  <c:v>729</c:v>
                </c:pt>
                <c:pt idx="859">
                  <c:v>729.5</c:v>
                </c:pt>
                <c:pt idx="860">
                  <c:v>730</c:v>
                </c:pt>
                <c:pt idx="861">
                  <c:v>730.5</c:v>
                </c:pt>
                <c:pt idx="862">
                  <c:v>731</c:v>
                </c:pt>
                <c:pt idx="863">
                  <c:v>731.5</c:v>
                </c:pt>
                <c:pt idx="864">
                  <c:v>732</c:v>
                </c:pt>
                <c:pt idx="865">
                  <c:v>732.5</c:v>
                </c:pt>
                <c:pt idx="866">
                  <c:v>733</c:v>
                </c:pt>
                <c:pt idx="867">
                  <c:v>733.5</c:v>
                </c:pt>
                <c:pt idx="868">
                  <c:v>734</c:v>
                </c:pt>
                <c:pt idx="869">
                  <c:v>734.5</c:v>
                </c:pt>
                <c:pt idx="870">
                  <c:v>735</c:v>
                </c:pt>
                <c:pt idx="871">
                  <c:v>735.5</c:v>
                </c:pt>
                <c:pt idx="872">
                  <c:v>736</c:v>
                </c:pt>
                <c:pt idx="873">
                  <c:v>736.5</c:v>
                </c:pt>
                <c:pt idx="874">
                  <c:v>737</c:v>
                </c:pt>
                <c:pt idx="875">
                  <c:v>737.5</c:v>
                </c:pt>
                <c:pt idx="876">
                  <c:v>738</c:v>
                </c:pt>
                <c:pt idx="877">
                  <c:v>738.5</c:v>
                </c:pt>
                <c:pt idx="878">
                  <c:v>739</c:v>
                </c:pt>
                <c:pt idx="879">
                  <c:v>739.5</c:v>
                </c:pt>
                <c:pt idx="880">
                  <c:v>740</c:v>
                </c:pt>
                <c:pt idx="881">
                  <c:v>740.5</c:v>
                </c:pt>
                <c:pt idx="882">
                  <c:v>741</c:v>
                </c:pt>
                <c:pt idx="883">
                  <c:v>741.5</c:v>
                </c:pt>
                <c:pt idx="884">
                  <c:v>742</c:v>
                </c:pt>
                <c:pt idx="885">
                  <c:v>742.5</c:v>
                </c:pt>
                <c:pt idx="886">
                  <c:v>743</c:v>
                </c:pt>
                <c:pt idx="887">
                  <c:v>743.5</c:v>
                </c:pt>
                <c:pt idx="888">
                  <c:v>744</c:v>
                </c:pt>
                <c:pt idx="889">
                  <c:v>744.5</c:v>
                </c:pt>
                <c:pt idx="890">
                  <c:v>745</c:v>
                </c:pt>
                <c:pt idx="891">
                  <c:v>745.5</c:v>
                </c:pt>
                <c:pt idx="892">
                  <c:v>746</c:v>
                </c:pt>
                <c:pt idx="893">
                  <c:v>746.5</c:v>
                </c:pt>
                <c:pt idx="894">
                  <c:v>747</c:v>
                </c:pt>
                <c:pt idx="895">
                  <c:v>747.5</c:v>
                </c:pt>
                <c:pt idx="896">
                  <c:v>748</c:v>
                </c:pt>
                <c:pt idx="897">
                  <c:v>748.5</c:v>
                </c:pt>
                <c:pt idx="898">
                  <c:v>749</c:v>
                </c:pt>
                <c:pt idx="899">
                  <c:v>749.5</c:v>
                </c:pt>
                <c:pt idx="900">
                  <c:v>750</c:v>
                </c:pt>
              </c:numCache>
            </c:numRef>
          </c:cat>
          <c:val>
            <c:numRef>
              <c:f>'T1'!$B$113:$B$1013</c:f>
              <c:numCache>
                <c:formatCode>0.00E+00</c:formatCode>
                <c:ptCount val="901"/>
                <c:pt idx="0">
                  <c:v>0</c:v>
                </c:pt>
                <c:pt idx="1">
                  <c:v>0</c:v>
                </c:pt>
                <c:pt idx="2">
                  <c:v>0</c:v>
                </c:pt>
                <c:pt idx="3">
                  <c:v>0</c:v>
                </c:pt>
                <c:pt idx="4">
                  <c:v>0</c:v>
                </c:pt>
                <c:pt idx="5">
                  <c:v>0</c:v>
                </c:pt>
                <c:pt idx="6">
                  <c:v>0</c:v>
                </c:pt>
                <c:pt idx="7">
                  <c:v>0</c:v>
                </c:pt>
                <c:pt idx="8">
                  <c:v>0</c:v>
                </c:pt>
                <c:pt idx="9">
                  <c:v>0</c:v>
                </c:pt>
                <c:pt idx="10">
                  <c:v>0</c:v>
                </c:pt>
                <c:pt idx="11">
                  <c:v>0</c:v>
                </c:pt>
                <c:pt idx="12">
                  <c:v>0</c:v>
                </c:pt>
                <c:pt idx="13">
                  <c:v>0</c:v>
                </c:pt>
                <c:pt idx="14">
                  <c:v>0</c:v>
                </c:pt>
                <c:pt idx="15">
                  <c:v>0</c:v>
                </c:pt>
                <c:pt idx="16">
                  <c:v>0</c:v>
                </c:pt>
                <c:pt idx="17">
                  <c:v>0</c:v>
                </c:pt>
                <c:pt idx="18">
                  <c:v>0</c:v>
                </c:pt>
                <c:pt idx="19">
                  <c:v>0</c:v>
                </c:pt>
                <c:pt idx="20">
                  <c:v>0</c:v>
                </c:pt>
                <c:pt idx="21">
                  <c:v>0</c:v>
                </c:pt>
                <c:pt idx="22">
                  <c:v>0</c:v>
                </c:pt>
                <c:pt idx="23">
                  <c:v>0</c:v>
                </c:pt>
                <c:pt idx="24">
                  <c:v>0</c:v>
                </c:pt>
                <c:pt idx="25">
                  <c:v>0</c:v>
                </c:pt>
                <c:pt idx="26">
                  <c:v>0</c:v>
                </c:pt>
                <c:pt idx="27">
                  <c:v>0</c:v>
                </c:pt>
                <c:pt idx="28">
                  <c:v>0</c:v>
                </c:pt>
                <c:pt idx="29">
                  <c:v>0</c:v>
                </c:pt>
                <c:pt idx="30">
                  <c:v>0</c:v>
                </c:pt>
                <c:pt idx="31">
                  <c:v>0</c:v>
                </c:pt>
                <c:pt idx="32">
                  <c:v>0</c:v>
                </c:pt>
                <c:pt idx="33">
                  <c:v>0</c:v>
                </c:pt>
                <c:pt idx="34">
                  <c:v>0</c:v>
                </c:pt>
                <c:pt idx="35">
                  <c:v>0</c:v>
                </c:pt>
                <c:pt idx="36">
                  <c:v>0</c:v>
                </c:pt>
                <c:pt idx="37">
                  <c:v>0</c:v>
                </c:pt>
                <c:pt idx="38">
                  <c:v>0</c:v>
                </c:pt>
                <c:pt idx="39">
                  <c:v>0</c:v>
                </c:pt>
                <c:pt idx="40">
                  <c:v>0</c:v>
                </c:pt>
                <c:pt idx="41">
                  <c:v>0</c:v>
                </c:pt>
                <c:pt idx="42">
                  <c:v>0</c:v>
                </c:pt>
                <c:pt idx="43">
                  <c:v>0</c:v>
                </c:pt>
                <c:pt idx="44">
                  <c:v>0</c:v>
                </c:pt>
                <c:pt idx="45">
                  <c:v>0</c:v>
                </c:pt>
                <c:pt idx="46">
                  <c:v>0</c:v>
                </c:pt>
                <c:pt idx="47">
                  <c:v>0</c:v>
                </c:pt>
                <c:pt idx="48">
                  <c:v>0</c:v>
                </c:pt>
                <c:pt idx="49">
                  <c:v>0</c:v>
                </c:pt>
                <c:pt idx="50">
                  <c:v>0</c:v>
                </c:pt>
                <c:pt idx="51">
                  <c:v>0</c:v>
                </c:pt>
                <c:pt idx="52">
                  <c:v>0</c:v>
                </c:pt>
                <c:pt idx="53">
                  <c:v>0</c:v>
                </c:pt>
                <c:pt idx="54">
                  <c:v>0</c:v>
                </c:pt>
                <c:pt idx="55">
                  <c:v>0</c:v>
                </c:pt>
                <c:pt idx="56">
                  <c:v>0</c:v>
                </c:pt>
                <c:pt idx="57">
                  <c:v>0</c:v>
                </c:pt>
                <c:pt idx="58">
                  <c:v>0</c:v>
                </c:pt>
                <c:pt idx="59">
                  <c:v>0</c:v>
                </c:pt>
                <c:pt idx="60">
                  <c:v>0</c:v>
                </c:pt>
                <c:pt idx="61">
                  <c:v>0</c:v>
                </c:pt>
                <c:pt idx="62">
                  <c:v>0</c:v>
                </c:pt>
                <c:pt idx="63">
                  <c:v>0</c:v>
                </c:pt>
                <c:pt idx="64">
                  <c:v>0</c:v>
                </c:pt>
                <c:pt idx="65">
                  <c:v>0</c:v>
                </c:pt>
                <c:pt idx="66">
                  <c:v>0</c:v>
                </c:pt>
                <c:pt idx="67">
                  <c:v>0</c:v>
                </c:pt>
                <c:pt idx="68">
                  <c:v>0</c:v>
                </c:pt>
                <c:pt idx="69">
                  <c:v>0</c:v>
                </c:pt>
                <c:pt idx="70">
                  <c:v>0</c:v>
                </c:pt>
                <c:pt idx="71">
                  <c:v>0</c:v>
                </c:pt>
                <c:pt idx="72">
                  <c:v>0</c:v>
                </c:pt>
                <c:pt idx="73">
                  <c:v>0</c:v>
                </c:pt>
                <c:pt idx="74">
                  <c:v>0</c:v>
                </c:pt>
                <c:pt idx="75">
                  <c:v>0</c:v>
                </c:pt>
                <c:pt idx="76">
                  <c:v>0</c:v>
                </c:pt>
                <c:pt idx="77">
                  <c:v>0</c:v>
                </c:pt>
                <c:pt idx="78">
                  <c:v>0</c:v>
                </c:pt>
                <c:pt idx="79">
                  <c:v>0</c:v>
                </c:pt>
                <c:pt idx="80">
                  <c:v>0</c:v>
                </c:pt>
                <c:pt idx="81">
                  <c:v>0</c:v>
                </c:pt>
                <c:pt idx="82">
                  <c:v>0</c:v>
                </c:pt>
                <c:pt idx="83">
                  <c:v>0</c:v>
                </c:pt>
                <c:pt idx="84">
                  <c:v>0</c:v>
                </c:pt>
                <c:pt idx="85">
                  <c:v>0</c:v>
                </c:pt>
                <c:pt idx="86">
                  <c:v>0</c:v>
                </c:pt>
                <c:pt idx="87">
                  <c:v>0</c:v>
                </c:pt>
                <c:pt idx="88">
                  <c:v>0</c:v>
                </c:pt>
                <c:pt idx="89">
                  <c:v>0</c:v>
                </c:pt>
                <c:pt idx="90">
                  <c:v>0</c:v>
                </c:pt>
                <c:pt idx="91">
                  <c:v>0</c:v>
                </c:pt>
                <c:pt idx="92">
                  <c:v>0</c:v>
                </c:pt>
                <c:pt idx="93">
                  <c:v>0</c:v>
                </c:pt>
                <c:pt idx="94">
                  <c:v>0</c:v>
                </c:pt>
                <c:pt idx="95">
                  <c:v>0</c:v>
                </c:pt>
                <c:pt idx="96">
                  <c:v>0</c:v>
                </c:pt>
                <c:pt idx="97">
                  <c:v>0</c:v>
                </c:pt>
                <c:pt idx="98">
                  <c:v>0</c:v>
                </c:pt>
                <c:pt idx="99">
                  <c:v>0</c:v>
                </c:pt>
                <c:pt idx="100">
                  <c:v>0</c:v>
                </c:pt>
                <c:pt idx="101">
                  <c:v>0</c:v>
                </c:pt>
                <c:pt idx="102">
                  <c:v>0</c:v>
                </c:pt>
                <c:pt idx="103">
                  <c:v>0</c:v>
                </c:pt>
                <c:pt idx="104">
                  <c:v>0</c:v>
                </c:pt>
                <c:pt idx="105">
                  <c:v>0</c:v>
                </c:pt>
                <c:pt idx="106">
                  <c:v>0</c:v>
                </c:pt>
                <c:pt idx="107">
                  <c:v>0</c:v>
                </c:pt>
                <c:pt idx="108">
                  <c:v>0</c:v>
                </c:pt>
                <c:pt idx="109">
                  <c:v>0</c:v>
                </c:pt>
                <c:pt idx="110">
                  <c:v>0</c:v>
                </c:pt>
                <c:pt idx="111">
                  <c:v>0</c:v>
                </c:pt>
                <c:pt idx="112">
                  <c:v>3.2440199999999999E-6</c:v>
                </c:pt>
                <c:pt idx="113">
                  <c:v>1.6983200000000002E-4</c:v>
                </c:pt>
                <c:pt idx="114">
                  <c:v>1.0665590000000001E-4</c:v>
                </c:pt>
                <c:pt idx="115">
                  <c:v>4.1230799999999998E-5</c:v>
                </c:pt>
                <c:pt idx="116">
                  <c:v>0</c:v>
                </c:pt>
                <c:pt idx="117">
                  <c:v>0</c:v>
                </c:pt>
                <c:pt idx="118">
                  <c:v>3.0589000000000001E-5</c:v>
                </c:pt>
                <c:pt idx="119">
                  <c:v>7.4787699999999995E-5</c:v>
                </c:pt>
                <c:pt idx="120">
                  <c:v>1.1560120000000001E-4</c:v>
                </c:pt>
                <c:pt idx="121">
                  <c:v>3.4148400000000003E-4</c:v>
                </c:pt>
                <c:pt idx="122">
                  <c:v>6.2454600000000002E-4</c:v>
                </c:pt>
                <c:pt idx="123">
                  <c:v>9.1201500000000007E-4</c:v>
                </c:pt>
                <c:pt idx="124">
                  <c:v>1.1285819999999999E-3</c:v>
                </c:pt>
                <c:pt idx="125">
                  <c:v>1.3256099999999999E-3</c:v>
                </c:pt>
                <c:pt idx="126">
                  <c:v>1.5165800000000002E-3</c:v>
                </c:pt>
                <c:pt idx="127">
                  <c:v>1.7340700000000001E-3</c:v>
                </c:pt>
                <c:pt idx="128">
                  <c:v>1.82351E-3</c:v>
                </c:pt>
                <c:pt idx="129">
                  <c:v>1.9307600000000001E-3</c:v>
                </c:pt>
                <c:pt idx="130">
                  <c:v>2.1871199999999999E-3</c:v>
                </c:pt>
                <c:pt idx="131">
                  <c:v>2.6253500000000003E-3</c:v>
                </c:pt>
                <c:pt idx="132">
                  <c:v>3.1835700000000001E-3</c:v>
                </c:pt>
                <c:pt idx="133">
                  <c:v>3.679E-3</c:v>
                </c:pt>
                <c:pt idx="134">
                  <c:v>4.0379300000000003E-3</c:v>
                </c:pt>
                <c:pt idx="135">
                  <c:v>4.41012E-3</c:v>
                </c:pt>
                <c:pt idx="136">
                  <c:v>4.7478600000000004E-3</c:v>
                </c:pt>
                <c:pt idx="137">
                  <c:v>5.2289900000000011E-3</c:v>
                </c:pt>
                <c:pt idx="138">
                  <c:v>5.8120400000000001E-3</c:v>
                </c:pt>
                <c:pt idx="139">
                  <c:v>6.45905E-3</c:v>
                </c:pt>
                <c:pt idx="140">
                  <c:v>7.19121E-3</c:v>
                </c:pt>
                <c:pt idx="141">
                  <c:v>7.9951300000000013E-3</c:v>
                </c:pt>
                <c:pt idx="142">
                  <c:v>8.9018799999999992E-3</c:v>
                </c:pt>
                <c:pt idx="143">
                  <c:v>9.8961199999999996E-3</c:v>
                </c:pt>
                <c:pt idx="144">
                  <c:v>1.1035440000000001E-2</c:v>
                </c:pt>
                <c:pt idx="145">
                  <c:v>1.2085839999999999E-2</c:v>
                </c:pt>
                <c:pt idx="146">
                  <c:v>1.3045500000000002E-2</c:v>
                </c:pt>
                <c:pt idx="147">
                  <c:v>1.4123200000000001E-2</c:v>
                </c:pt>
                <c:pt idx="148">
                  <c:v>1.52789E-2</c:v>
                </c:pt>
                <c:pt idx="149">
                  <c:v>1.6574999999999999E-2</c:v>
                </c:pt>
                <c:pt idx="150">
                  <c:v>1.8032300000000001E-2</c:v>
                </c:pt>
                <c:pt idx="151">
                  <c:v>1.9544200000000001E-2</c:v>
                </c:pt>
                <c:pt idx="152">
                  <c:v>2.1348599999999999E-2</c:v>
                </c:pt>
                <c:pt idx="153">
                  <c:v>2.3322000000000002E-2</c:v>
                </c:pt>
                <c:pt idx="154">
                  <c:v>2.5387700000000003E-2</c:v>
                </c:pt>
                <c:pt idx="155">
                  <c:v>2.7582100000000002E-2</c:v>
                </c:pt>
                <c:pt idx="156">
                  <c:v>2.9868800000000001E-2</c:v>
                </c:pt>
                <c:pt idx="157">
                  <c:v>3.2102200000000004E-2</c:v>
                </c:pt>
                <c:pt idx="158">
                  <c:v>3.4642400000000004E-2</c:v>
                </c:pt>
                <c:pt idx="159">
                  <c:v>3.7200799999999999E-2</c:v>
                </c:pt>
                <c:pt idx="160">
                  <c:v>3.99295E-2</c:v>
                </c:pt>
                <c:pt idx="161">
                  <c:v>4.2903900000000002E-2</c:v>
                </c:pt>
                <c:pt idx="162">
                  <c:v>4.6187699999999998E-2</c:v>
                </c:pt>
                <c:pt idx="163">
                  <c:v>4.9871900000000004E-2</c:v>
                </c:pt>
                <c:pt idx="164">
                  <c:v>5.3691299999999997E-2</c:v>
                </c:pt>
                <c:pt idx="165">
                  <c:v>5.75991E-2</c:v>
                </c:pt>
                <c:pt idx="166">
                  <c:v>6.1695400000000004E-2</c:v>
                </c:pt>
                <c:pt idx="167">
                  <c:v>6.5833299999999997E-2</c:v>
                </c:pt>
                <c:pt idx="168">
                  <c:v>7.0235099999999995E-2</c:v>
                </c:pt>
                <c:pt idx="169">
                  <c:v>7.4864399999999998E-2</c:v>
                </c:pt>
                <c:pt idx="170">
                  <c:v>7.9774500000000012E-2</c:v>
                </c:pt>
                <c:pt idx="171">
                  <c:v>8.4775600000000007E-2</c:v>
                </c:pt>
                <c:pt idx="172">
                  <c:v>8.9957399999999993E-2</c:v>
                </c:pt>
                <c:pt idx="173">
                  <c:v>9.5143100000000008E-2</c:v>
                </c:pt>
                <c:pt idx="174">
                  <c:v>0.1005212</c:v>
                </c:pt>
                <c:pt idx="175">
                  <c:v>0.10630099999999999</c:v>
                </c:pt>
                <c:pt idx="176">
                  <c:v>0.1123135</c:v>
                </c:pt>
                <c:pt idx="177">
                  <c:v>0.1186627</c:v>
                </c:pt>
                <c:pt idx="178">
                  <c:v>0.12478310000000001</c:v>
                </c:pt>
                <c:pt idx="179">
                  <c:v>0.13104000000000002</c:v>
                </c:pt>
                <c:pt idx="180">
                  <c:v>0.13735800000000001</c:v>
                </c:pt>
                <c:pt idx="181">
                  <c:v>0.143871</c:v>
                </c:pt>
                <c:pt idx="182">
                  <c:v>0.15024100000000001</c:v>
                </c:pt>
                <c:pt idx="183">
                  <c:v>0.15642900000000001</c:v>
                </c:pt>
                <c:pt idx="184">
                  <c:v>0.16287700000000002</c:v>
                </c:pt>
                <c:pt idx="185">
                  <c:v>0.16954600000000003</c:v>
                </c:pt>
                <c:pt idx="186">
                  <c:v>0.17576</c:v>
                </c:pt>
                <c:pt idx="187">
                  <c:v>0.18162300000000001</c:v>
                </c:pt>
                <c:pt idx="188">
                  <c:v>0.187057</c:v>
                </c:pt>
                <c:pt idx="189">
                  <c:v>0.192192</c:v>
                </c:pt>
                <c:pt idx="190">
                  <c:v>0.19661200000000004</c:v>
                </c:pt>
                <c:pt idx="191">
                  <c:v>0.20104500000000003</c:v>
                </c:pt>
                <c:pt idx="192">
                  <c:v>0.20513999999999999</c:v>
                </c:pt>
                <c:pt idx="193">
                  <c:v>0.20857200000000001</c:v>
                </c:pt>
                <c:pt idx="194">
                  <c:v>0.21132800000000002</c:v>
                </c:pt>
                <c:pt idx="195">
                  <c:v>0.21359</c:v>
                </c:pt>
                <c:pt idx="196">
                  <c:v>0.21500700000000003</c:v>
                </c:pt>
                <c:pt idx="197">
                  <c:v>0.21607300000000002</c:v>
                </c:pt>
                <c:pt idx="198">
                  <c:v>0.21703499999999998</c:v>
                </c:pt>
                <c:pt idx="199">
                  <c:v>0.216944</c:v>
                </c:pt>
                <c:pt idx="200">
                  <c:v>0.215748</c:v>
                </c:pt>
                <c:pt idx="201">
                  <c:v>0.21398</c:v>
                </c:pt>
                <c:pt idx="202">
                  <c:v>0.21175700000000003</c:v>
                </c:pt>
                <c:pt idx="203">
                  <c:v>0.20868900000000001</c:v>
                </c:pt>
                <c:pt idx="204">
                  <c:v>0.20477599999999999</c:v>
                </c:pt>
                <c:pt idx="205">
                  <c:v>0.200512</c:v>
                </c:pt>
                <c:pt idx="206">
                  <c:v>0.19605300000000001</c:v>
                </c:pt>
                <c:pt idx="207">
                  <c:v>0.19078800000000001</c:v>
                </c:pt>
                <c:pt idx="208">
                  <c:v>0.18505500000000003</c:v>
                </c:pt>
                <c:pt idx="209">
                  <c:v>0.17868499999999998</c:v>
                </c:pt>
                <c:pt idx="210">
                  <c:v>0.17202900000000002</c:v>
                </c:pt>
                <c:pt idx="211">
                  <c:v>0.16508699999999998</c:v>
                </c:pt>
                <c:pt idx="212">
                  <c:v>0.15836600000000001</c:v>
                </c:pt>
                <c:pt idx="213">
                  <c:v>0.152035</c:v>
                </c:pt>
                <c:pt idx="214">
                  <c:v>0.145314</c:v>
                </c:pt>
                <c:pt idx="215">
                  <c:v>0.13832</c:v>
                </c:pt>
                <c:pt idx="216">
                  <c:v>0.13201499999999999</c:v>
                </c:pt>
                <c:pt idx="217">
                  <c:v>0.12599470000000002</c:v>
                </c:pt>
                <c:pt idx="218">
                  <c:v>0.120172</c:v>
                </c:pt>
                <c:pt idx="219">
                  <c:v>0.1142726</c:v>
                </c:pt>
                <c:pt idx="220">
                  <c:v>0.10865140000000001</c:v>
                </c:pt>
                <c:pt idx="221">
                  <c:v>0.1034553</c:v>
                </c:pt>
                <c:pt idx="222">
                  <c:v>9.8763600000000007E-2</c:v>
                </c:pt>
                <c:pt idx="223">
                  <c:v>9.418760000000001E-2</c:v>
                </c:pt>
                <c:pt idx="224">
                  <c:v>8.9636300000000002E-2</c:v>
                </c:pt>
                <c:pt idx="225">
                  <c:v>8.5588100000000014E-2</c:v>
                </c:pt>
                <c:pt idx="226">
                  <c:v>8.2069000000000017E-2</c:v>
                </c:pt>
                <c:pt idx="227">
                  <c:v>7.8535599999999997E-2</c:v>
                </c:pt>
                <c:pt idx="228">
                  <c:v>7.4978799999999998E-2</c:v>
                </c:pt>
                <c:pt idx="229">
                  <c:v>7.1490899999999996E-2</c:v>
                </c:pt>
                <c:pt idx="230">
                  <c:v>6.8208400000000002E-2</c:v>
                </c:pt>
                <c:pt idx="231">
                  <c:v>6.5496600000000002E-2</c:v>
                </c:pt>
                <c:pt idx="232">
                  <c:v>6.3025300000000006E-2</c:v>
                </c:pt>
                <c:pt idx="233">
                  <c:v>6.0690500000000001E-2</c:v>
                </c:pt>
                <c:pt idx="234">
                  <c:v>5.7986500000000003E-2</c:v>
                </c:pt>
                <c:pt idx="235">
                  <c:v>5.5151200000000004E-2</c:v>
                </c:pt>
                <c:pt idx="236">
                  <c:v>5.2161200000000005E-2</c:v>
                </c:pt>
                <c:pt idx="237">
                  <c:v>4.92024E-2</c:v>
                </c:pt>
                <c:pt idx="238">
                  <c:v>4.6426900000000007E-2</c:v>
                </c:pt>
                <c:pt idx="239">
                  <c:v>4.3949099999999998E-2</c:v>
                </c:pt>
                <c:pt idx="240">
                  <c:v>4.1598700000000002E-2</c:v>
                </c:pt>
                <c:pt idx="241">
                  <c:v>3.9573299999999999E-2</c:v>
                </c:pt>
                <c:pt idx="242">
                  <c:v>3.7588200000000002E-2</c:v>
                </c:pt>
                <c:pt idx="243">
                  <c:v>3.5659000000000003E-2</c:v>
                </c:pt>
                <c:pt idx="244">
                  <c:v>3.3663500000000006E-2</c:v>
                </c:pt>
                <c:pt idx="245">
                  <c:v>3.1762900000000004E-2</c:v>
                </c:pt>
                <c:pt idx="246">
                  <c:v>2.9897400000000001E-2</c:v>
                </c:pt>
                <c:pt idx="247">
                  <c:v>2.8206100000000001E-2</c:v>
                </c:pt>
                <c:pt idx="248">
                  <c:v>2.6735800000000001E-2</c:v>
                </c:pt>
                <c:pt idx="249">
                  <c:v>2.5479999999999999E-2</c:v>
                </c:pt>
                <c:pt idx="250">
                  <c:v>2.43126E-2</c:v>
                </c:pt>
                <c:pt idx="251">
                  <c:v>2.3060700000000003E-2</c:v>
                </c:pt>
                <c:pt idx="252">
                  <c:v>2.1685300000000001E-2</c:v>
                </c:pt>
                <c:pt idx="253">
                  <c:v>2.03021E-2</c:v>
                </c:pt>
                <c:pt idx="254">
                  <c:v>1.9093100000000002E-2</c:v>
                </c:pt>
                <c:pt idx="255">
                  <c:v>1.8019300000000002E-2</c:v>
                </c:pt>
                <c:pt idx="256">
                  <c:v>1.69949E-2</c:v>
                </c:pt>
                <c:pt idx="257">
                  <c:v>1.60199E-2</c:v>
                </c:pt>
                <c:pt idx="258">
                  <c:v>1.51944E-2</c:v>
                </c:pt>
                <c:pt idx="259">
                  <c:v>1.45509E-2</c:v>
                </c:pt>
                <c:pt idx="260">
                  <c:v>1.4003600000000001E-2</c:v>
                </c:pt>
                <c:pt idx="261">
                  <c:v>1.3384800000000001E-2</c:v>
                </c:pt>
                <c:pt idx="262">
                  <c:v>1.269814E-2</c:v>
                </c:pt>
                <c:pt idx="263">
                  <c:v>1.204385E-2</c:v>
                </c:pt>
                <c:pt idx="264">
                  <c:v>1.141322E-2</c:v>
                </c:pt>
                <c:pt idx="265">
                  <c:v>1.085851E-2</c:v>
                </c:pt>
                <c:pt idx="266">
                  <c:v>1.011803E-2</c:v>
                </c:pt>
                <c:pt idx="267">
                  <c:v>9.4729700000000007E-3</c:v>
                </c:pt>
                <c:pt idx="268">
                  <c:v>8.7854000000000005E-3</c:v>
                </c:pt>
                <c:pt idx="269">
                  <c:v>8.1928599999999997E-3</c:v>
                </c:pt>
                <c:pt idx="270">
                  <c:v>7.7659399999999998E-3</c:v>
                </c:pt>
                <c:pt idx="271">
                  <c:v>7.4015499999999998E-3</c:v>
                </c:pt>
                <c:pt idx="272">
                  <c:v>7.2403499999999996E-3</c:v>
                </c:pt>
                <c:pt idx="273">
                  <c:v>7.0099900000000007E-3</c:v>
                </c:pt>
                <c:pt idx="274">
                  <c:v>6.6579500000000002E-3</c:v>
                </c:pt>
                <c:pt idx="275">
                  <c:v>6.2072400000000002E-3</c:v>
                </c:pt>
                <c:pt idx="276">
                  <c:v>5.8454499999999994E-3</c:v>
                </c:pt>
                <c:pt idx="277">
                  <c:v>5.6097600000000001E-3</c:v>
                </c:pt>
                <c:pt idx="278">
                  <c:v>5.3665300000000004E-3</c:v>
                </c:pt>
                <c:pt idx="279">
                  <c:v>5.1417600000000004E-3</c:v>
                </c:pt>
                <c:pt idx="280">
                  <c:v>4.8713599999999999E-3</c:v>
                </c:pt>
                <c:pt idx="281">
                  <c:v>4.6751900000000001E-3</c:v>
                </c:pt>
                <c:pt idx="282">
                  <c:v>4.4695300000000002E-3</c:v>
                </c:pt>
                <c:pt idx="283">
                  <c:v>4.21135E-3</c:v>
                </c:pt>
                <c:pt idx="284">
                  <c:v>4.0613300000000001E-3</c:v>
                </c:pt>
                <c:pt idx="285">
                  <c:v>3.8543700000000002E-3</c:v>
                </c:pt>
                <c:pt idx="286">
                  <c:v>3.62102E-3</c:v>
                </c:pt>
                <c:pt idx="287" formatCode="General">
                  <c:v>3.4414900000000002E-3</c:v>
                </c:pt>
                <c:pt idx="288" formatCode="General">
                  <c:v>3.2337500000000001E-3</c:v>
                </c:pt>
                <c:pt idx="289" formatCode="General">
                  <c:v>3.1218200000000004E-3</c:v>
                </c:pt>
                <c:pt idx="290" formatCode="General">
                  <c:v>2.9399500000000002E-3</c:v>
                </c:pt>
                <c:pt idx="291" formatCode="General">
                  <c:v>2.8689700000000002E-3</c:v>
                </c:pt>
                <c:pt idx="292" formatCode="General">
                  <c:v>2.8689700000000002E-3</c:v>
                </c:pt>
                <c:pt idx="293" formatCode="General">
                  <c:v>2E-3</c:v>
                </c:pt>
                <c:pt idx="294" formatCode="General">
                  <c:v>1.5E-3</c:v>
                </c:pt>
                <c:pt idx="295" formatCode="General">
                  <c:v>1E-3</c:v>
                </c:pt>
                <c:pt idx="296" formatCode="General">
                  <c:v>5.0000000000000001E-4</c:v>
                </c:pt>
                <c:pt idx="297" formatCode="General">
                  <c:v>0</c:v>
                </c:pt>
                <c:pt idx="298" formatCode="General">
                  <c:v>0</c:v>
                </c:pt>
                <c:pt idx="299" formatCode="General">
                  <c:v>0</c:v>
                </c:pt>
                <c:pt idx="300">
                  <c:v>0</c:v>
                </c:pt>
                <c:pt idx="301">
                  <c:v>0</c:v>
                </c:pt>
                <c:pt idx="302">
                  <c:v>0</c:v>
                </c:pt>
                <c:pt idx="303">
                  <c:v>0</c:v>
                </c:pt>
                <c:pt idx="304">
                  <c:v>0</c:v>
                </c:pt>
                <c:pt idx="305">
                  <c:v>0</c:v>
                </c:pt>
                <c:pt idx="306">
                  <c:v>0</c:v>
                </c:pt>
                <c:pt idx="307">
                  <c:v>0</c:v>
                </c:pt>
                <c:pt idx="308">
                  <c:v>0</c:v>
                </c:pt>
                <c:pt idx="309">
                  <c:v>0</c:v>
                </c:pt>
                <c:pt idx="310">
                  <c:v>0</c:v>
                </c:pt>
                <c:pt idx="311">
                  <c:v>0</c:v>
                </c:pt>
                <c:pt idx="312">
                  <c:v>0</c:v>
                </c:pt>
                <c:pt idx="313">
                  <c:v>0</c:v>
                </c:pt>
                <c:pt idx="314">
                  <c:v>0</c:v>
                </c:pt>
                <c:pt idx="315">
                  <c:v>0</c:v>
                </c:pt>
                <c:pt idx="316">
                  <c:v>0</c:v>
                </c:pt>
                <c:pt idx="317">
                  <c:v>0</c:v>
                </c:pt>
                <c:pt idx="318">
                  <c:v>0</c:v>
                </c:pt>
                <c:pt idx="319">
                  <c:v>0</c:v>
                </c:pt>
                <c:pt idx="320">
                  <c:v>0</c:v>
                </c:pt>
                <c:pt idx="321">
                  <c:v>0</c:v>
                </c:pt>
                <c:pt idx="322">
                  <c:v>0</c:v>
                </c:pt>
                <c:pt idx="323">
                  <c:v>0</c:v>
                </c:pt>
                <c:pt idx="324">
                  <c:v>0</c:v>
                </c:pt>
                <c:pt idx="325">
                  <c:v>0</c:v>
                </c:pt>
                <c:pt idx="326">
                  <c:v>0</c:v>
                </c:pt>
                <c:pt idx="327">
                  <c:v>0</c:v>
                </c:pt>
                <c:pt idx="328">
                  <c:v>0</c:v>
                </c:pt>
                <c:pt idx="329">
                  <c:v>0</c:v>
                </c:pt>
                <c:pt idx="330">
                  <c:v>0</c:v>
                </c:pt>
                <c:pt idx="331">
                  <c:v>0</c:v>
                </c:pt>
                <c:pt idx="332">
                  <c:v>0</c:v>
                </c:pt>
                <c:pt idx="333">
                  <c:v>0</c:v>
                </c:pt>
                <c:pt idx="334">
                  <c:v>0</c:v>
                </c:pt>
                <c:pt idx="335">
                  <c:v>0</c:v>
                </c:pt>
                <c:pt idx="336">
                  <c:v>0</c:v>
                </c:pt>
                <c:pt idx="337">
                  <c:v>0</c:v>
                </c:pt>
                <c:pt idx="338">
                  <c:v>0</c:v>
                </c:pt>
                <c:pt idx="339">
                  <c:v>0</c:v>
                </c:pt>
                <c:pt idx="340">
                  <c:v>0</c:v>
                </c:pt>
                <c:pt idx="341">
                  <c:v>0</c:v>
                </c:pt>
                <c:pt idx="342">
                  <c:v>0</c:v>
                </c:pt>
                <c:pt idx="343">
                  <c:v>0</c:v>
                </c:pt>
                <c:pt idx="344">
                  <c:v>0</c:v>
                </c:pt>
                <c:pt idx="345">
                  <c:v>0</c:v>
                </c:pt>
                <c:pt idx="346">
                  <c:v>0</c:v>
                </c:pt>
                <c:pt idx="347">
                  <c:v>0</c:v>
                </c:pt>
                <c:pt idx="348">
                  <c:v>0</c:v>
                </c:pt>
                <c:pt idx="349">
                  <c:v>0</c:v>
                </c:pt>
                <c:pt idx="350">
                  <c:v>0</c:v>
                </c:pt>
                <c:pt idx="351">
                  <c:v>0</c:v>
                </c:pt>
                <c:pt idx="352">
                  <c:v>0</c:v>
                </c:pt>
                <c:pt idx="353">
                  <c:v>0</c:v>
                </c:pt>
                <c:pt idx="354">
                  <c:v>0</c:v>
                </c:pt>
                <c:pt idx="355">
                  <c:v>0</c:v>
                </c:pt>
                <c:pt idx="356">
                  <c:v>0</c:v>
                </c:pt>
                <c:pt idx="357">
                  <c:v>0</c:v>
                </c:pt>
                <c:pt idx="358">
                  <c:v>0</c:v>
                </c:pt>
                <c:pt idx="359">
                  <c:v>0</c:v>
                </c:pt>
                <c:pt idx="360">
                  <c:v>0</c:v>
                </c:pt>
                <c:pt idx="361">
                  <c:v>0</c:v>
                </c:pt>
                <c:pt idx="362">
                  <c:v>0</c:v>
                </c:pt>
                <c:pt idx="363">
                  <c:v>0</c:v>
                </c:pt>
                <c:pt idx="364">
                  <c:v>0</c:v>
                </c:pt>
                <c:pt idx="365">
                  <c:v>0</c:v>
                </c:pt>
                <c:pt idx="366">
                  <c:v>0</c:v>
                </c:pt>
                <c:pt idx="367">
                  <c:v>0</c:v>
                </c:pt>
                <c:pt idx="368">
                  <c:v>0</c:v>
                </c:pt>
                <c:pt idx="369">
                  <c:v>0</c:v>
                </c:pt>
                <c:pt idx="370">
                  <c:v>0</c:v>
                </c:pt>
                <c:pt idx="371">
                  <c:v>0</c:v>
                </c:pt>
                <c:pt idx="372">
                  <c:v>0</c:v>
                </c:pt>
                <c:pt idx="373">
                  <c:v>0</c:v>
                </c:pt>
                <c:pt idx="374">
                  <c:v>0</c:v>
                </c:pt>
                <c:pt idx="375">
                  <c:v>0</c:v>
                </c:pt>
                <c:pt idx="376">
                  <c:v>0</c:v>
                </c:pt>
                <c:pt idx="377">
                  <c:v>0</c:v>
                </c:pt>
                <c:pt idx="378">
                  <c:v>0</c:v>
                </c:pt>
                <c:pt idx="379">
                  <c:v>0</c:v>
                </c:pt>
                <c:pt idx="380">
                  <c:v>0</c:v>
                </c:pt>
                <c:pt idx="381">
                  <c:v>0</c:v>
                </c:pt>
                <c:pt idx="382">
                  <c:v>0</c:v>
                </c:pt>
                <c:pt idx="383">
                  <c:v>0</c:v>
                </c:pt>
                <c:pt idx="384">
                  <c:v>0</c:v>
                </c:pt>
                <c:pt idx="385">
                  <c:v>0</c:v>
                </c:pt>
                <c:pt idx="386">
                  <c:v>0</c:v>
                </c:pt>
                <c:pt idx="387">
                  <c:v>0</c:v>
                </c:pt>
                <c:pt idx="388">
                  <c:v>0</c:v>
                </c:pt>
                <c:pt idx="389">
                  <c:v>0</c:v>
                </c:pt>
                <c:pt idx="390">
                  <c:v>0</c:v>
                </c:pt>
                <c:pt idx="391">
                  <c:v>0</c:v>
                </c:pt>
                <c:pt idx="392">
                  <c:v>0</c:v>
                </c:pt>
                <c:pt idx="393">
                  <c:v>0</c:v>
                </c:pt>
                <c:pt idx="394">
                  <c:v>0</c:v>
                </c:pt>
                <c:pt idx="395">
                  <c:v>0</c:v>
                </c:pt>
                <c:pt idx="396">
                  <c:v>0</c:v>
                </c:pt>
                <c:pt idx="397">
                  <c:v>0</c:v>
                </c:pt>
                <c:pt idx="398">
                  <c:v>0</c:v>
                </c:pt>
                <c:pt idx="399">
                  <c:v>0</c:v>
                </c:pt>
                <c:pt idx="400">
                  <c:v>0</c:v>
                </c:pt>
                <c:pt idx="401">
                  <c:v>0</c:v>
                </c:pt>
                <c:pt idx="402">
                  <c:v>0</c:v>
                </c:pt>
                <c:pt idx="403">
                  <c:v>0</c:v>
                </c:pt>
                <c:pt idx="404">
                  <c:v>0</c:v>
                </c:pt>
                <c:pt idx="405">
                  <c:v>0</c:v>
                </c:pt>
                <c:pt idx="406">
                  <c:v>0</c:v>
                </c:pt>
                <c:pt idx="407">
                  <c:v>0</c:v>
                </c:pt>
                <c:pt idx="408">
                  <c:v>0</c:v>
                </c:pt>
                <c:pt idx="409">
                  <c:v>0</c:v>
                </c:pt>
                <c:pt idx="410">
                  <c:v>0</c:v>
                </c:pt>
                <c:pt idx="411">
                  <c:v>0</c:v>
                </c:pt>
                <c:pt idx="412">
                  <c:v>0</c:v>
                </c:pt>
                <c:pt idx="413">
                  <c:v>0</c:v>
                </c:pt>
                <c:pt idx="414">
                  <c:v>0</c:v>
                </c:pt>
                <c:pt idx="415">
                  <c:v>0</c:v>
                </c:pt>
                <c:pt idx="416">
                  <c:v>0</c:v>
                </c:pt>
                <c:pt idx="417">
                  <c:v>0</c:v>
                </c:pt>
                <c:pt idx="418">
                  <c:v>0</c:v>
                </c:pt>
                <c:pt idx="419">
                  <c:v>0</c:v>
                </c:pt>
                <c:pt idx="420">
                  <c:v>0</c:v>
                </c:pt>
                <c:pt idx="421">
                  <c:v>0</c:v>
                </c:pt>
                <c:pt idx="422">
                  <c:v>0</c:v>
                </c:pt>
                <c:pt idx="423">
                  <c:v>0</c:v>
                </c:pt>
                <c:pt idx="424">
                  <c:v>0</c:v>
                </c:pt>
                <c:pt idx="425">
                  <c:v>0</c:v>
                </c:pt>
                <c:pt idx="426">
                  <c:v>0</c:v>
                </c:pt>
                <c:pt idx="427">
                  <c:v>0</c:v>
                </c:pt>
                <c:pt idx="428">
                  <c:v>0</c:v>
                </c:pt>
                <c:pt idx="429">
                  <c:v>0</c:v>
                </c:pt>
                <c:pt idx="430">
                  <c:v>0</c:v>
                </c:pt>
                <c:pt idx="431">
                  <c:v>0</c:v>
                </c:pt>
                <c:pt idx="432">
                  <c:v>0</c:v>
                </c:pt>
                <c:pt idx="433">
                  <c:v>0</c:v>
                </c:pt>
                <c:pt idx="434">
                  <c:v>0</c:v>
                </c:pt>
                <c:pt idx="435">
                  <c:v>0</c:v>
                </c:pt>
                <c:pt idx="436">
                  <c:v>0</c:v>
                </c:pt>
                <c:pt idx="437">
                  <c:v>0</c:v>
                </c:pt>
                <c:pt idx="438">
                  <c:v>0</c:v>
                </c:pt>
                <c:pt idx="439">
                  <c:v>0</c:v>
                </c:pt>
                <c:pt idx="440">
                  <c:v>0</c:v>
                </c:pt>
                <c:pt idx="441">
                  <c:v>0</c:v>
                </c:pt>
                <c:pt idx="442">
                  <c:v>0</c:v>
                </c:pt>
                <c:pt idx="443">
                  <c:v>0</c:v>
                </c:pt>
                <c:pt idx="444">
                  <c:v>0</c:v>
                </c:pt>
                <c:pt idx="445">
                  <c:v>0</c:v>
                </c:pt>
                <c:pt idx="446">
                  <c:v>0</c:v>
                </c:pt>
                <c:pt idx="447">
                  <c:v>0</c:v>
                </c:pt>
                <c:pt idx="448">
                  <c:v>0</c:v>
                </c:pt>
                <c:pt idx="449">
                  <c:v>0</c:v>
                </c:pt>
                <c:pt idx="450">
                  <c:v>0</c:v>
                </c:pt>
                <c:pt idx="451">
                  <c:v>0</c:v>
                </c:pt>
                <c:pt idx="452">
                  <c:v>0</c:v>
                </c:pt>
                <c:pt idx="453">
                  <c:v>0</c:v>
                </c:pt>
                <c:pt idx="454">
                  <c:v>0</c:v>
                </c:pt>
                <c:pt idx="455">
                  <c:v>0</c:v>
                </c:pt>
                <c:pt idx="456">
                  <c:v>0</c:v>
                </c:pt>
                <c:pt idx="457">
                  <c:v>0</c:v>
                </c:pt>
                <c:pt idx="458">
                  <c:v>0</c:v>
                </c:pt>
                <c:pt idx="459">
                  <c:v>0</c:v>
                </c:pt>
                <c:pt idx="460">
                  <c:v>0</c:v>
                </c:pt>
                <c:pt idx="461">
                  <c:v>0</c:v>
                </c:pt>
                <c:pt idx="462">
                  <c:v>0</c:v>
                </c:pt>
                <c:pt idx="463">
                  <c:v>0</c:v>
                </c:pt>
                <c:pt idx="464">
                  <c:v>0</c:v>
                </c:pt>
                <c:pt idx="465">
                  <c:v>0</c:v>
                </c:pt>
                <c:pt idx="466">
                  <c:v>0</c:v>
                </c:pt>
                <c:pt idx="467">
                  <c:v>0</c:v>
                </c:pt>
                <c:pt idx="468">
                  <c:v>0</c:v>
                </c:pt>
                <c:pt idx="469">
                  <c:v>0</c:v>
                </c:pt>
                <c:pt idx="470">
                  <c:v>0</c:v>
                </c:pt>
                <c:pt idx="471">
                  <c:v>0</c:v>
                </c:pt>
                <c:pt idx="472">
                  <c:v>0</c:v>
                </c:pt>
                <c:pt idx="473">
                  <c:v>0</c:v>
                </c:pt>
                <c:pt idx="474">
                  <c:v>0</c:v>
                </c:pt>
                <c:pt idx="475">
                  <c:v>0</c:v>
                </c:pt>
                <c:pt idx="476">
                  <c:v>0</c:v>
                </c:pt>
                <c:pt idx="477">
                  <c:v>0</c:v>
                </c:pt>
                <c:pt idx="478">
                  <c:v>0</c:v>
                </c:pt>
                <c:pt idx="479">
                  <c:v>0</c:v>
                </c:pt>
                <c:pt idx="480">
                  <c:v>0</c:v>
                </c:pt>
                <c:pt idx="481">
                  <c:v>0</c:v>
                </c:pt>
                <c:pt idx="482">
                  <c:v>0</c:v>
                </c:pt>
                <c:pt idx="483">
                  <c:v>0</c:v>
                </c:pt>
                <c:pt idx="484">
                  <c:v>0</c:v>
                </c:pt>
                <c:pt idx="485">
                  <c:v>0</c:v>
                </c:pt>
                <c:pt idx="486">
                  <c:v>0</c:v>
                </c:pt>
                <c:pt idx="487">
                  <c:v>0</c:v>
                </c:pt>
                <c:pt idx="488">
                  <c:v>0</c:v>
                </c:pt>
                <c:pt idx="489">
                  <c:v>0</c:v>
                </c:pt>
                <c:pt idx="490">
                  <c:v>0</c:v>
                </c:pt>
                <c:pt idx="491">
                  <c:v>0</c:v>
                </c:pt>
                <c:pt idx="492">
                  <c:v>0</c:v>
                </c:pt>
                <c:pt idx="493">
                  <c:v>0</c:v>
                </c:pt>
                <c:pt idx="494">
                  <c:v>0</c:v>
                </c:pt>
                <c:pt idx="495">
                  <c:v>0</c:v>
                </c:pt>
                <c:pt idx="496">
                  <c:v>0</c:v>
                </c:pt>
                <c:pt idx="497">
                  <c:v>0</c:v>
                </c:pt>
                <c:pt idx="498">
                  <c:v>0</c:v>
                </c:pt>
                <c:pt idx="499">
                  <c:v>0</c:v>
                </c:pt>
                <c:pt idx="500">
                  <c:v>0</c:v>
                </c:pt>
                <c:pt idx="501">
                  <c:v>0</c:v>
                </c:pt>
                <c:pt idx="502">
                  <c:v>0</c:v>
                </c:pt>
                <c:pt idx="503">
                  <c:v>0</c:v>
                </c:pt>
                <c:pt idx="504">
                  <c:v>0</c:v>
                </c:pt>
                <c:pt idx="505">
                  <c:v>0</c:v>
                </c:pt>
                <c:pt idx="506">
                  <c:v>0</c:v>
                </c:pt>
                <c:pt idx="507">
                  <c:v>0</c:v>
                </c:pt>
                <c:pt idx="508">
                  <c:v>0</c:v>
                </c:pt>
                <c:pt idx="509">
                  <c:v>0</c:v>
                </c:pt>
                <c:pt idx="510">
                  <c:v>0</c:v>
                </c:pt>
                <c:pt idx="511">
                  <c:v>0</c:v>
                </c:pt>
                <c:pt idx="512">
                  <c:v>0</c:v>
                </c:pt>
                <c:pt idx="513">
                  <c:v>0</c:v>
                </c:pt>
                <c:pt idx="514">
                  <c:v>0</c:v>
                </c:pt>
                <c:pt idx="515">
                  <c:v>0</c:v>
                </c:pt>
                <c:pt idx="516">
                  <c:v>0</c:v>
                </c:pt>
                <c:pt idx="517">
                  <c:v>0</c:v>
                </c:pt>
                <c:pt idx="518">
                  <c:v>0</c:v>
                </c:pt>
                <c:pt idx="519">
                  <c:v>0</c:v>
                </c:pt>
                <c:pt idx="520">
                  <c:v>0</c:v>
                </c:pt>
                <c:pt idx="521">
                  <c:v>0</c:v>
                </c:pt>
                <c:pt idx="522">
                  <c:v>0</c:v>
                </c:pt>
                <c:pt idx="523">
                  <c:v>0</c:v>
                </c:pt>
                <c:pt idx="524">
                  <c:v>0</c:v>
                </c:pt>
                <c:pt idx="525">
                  <c:v>0</c:v>
                </c:pt>
                <c:pt idx="526">
                  <c:v>0</c:v>
                </c:pt>
                <c:pt idx="527">
                  <c:v>0</c:v>
                </c:pt>
                <c:pt idx="528">
                  <c:v>0</c:v>
                </c:pt>
                <c:pt idx="529">
                  <c:v>0</c:v>
                </c:pt>
                <c:pt idx="530">
                  <c:v>0</c:v>
                </c:pt>
                <c:pt idx="531">
                  <c:v>0</c:v>
                </c:pt>
                <c:pt idx="532">
                  <c:v>0</c:v>
                </c:pt>
                <c:pt idx="533">
                  <c:v>0</c:v>
                </c:pt>
                <c:pt idx="534">
                  <c:v>0</c:v>
                </c:pt>
                <c:pt idx="535">
                  <c:v>0</c:v>
                </c:pt>
                <c:pt idx="536">
                  <c:v>0</c:v>
                </c:pt>
                <c:pt idx="537">
                  <c:v>0</c:v>
                </c:pt>
                <c:pt idx="538">
                  <c:v>0</c:v>
                </c:pt>
                <c:pt idx="539">
                  <c:v>0</c:v>
                </c:pt>
                <c:pt idx="540">
                  <c:v>0</c:v>
                </c:pt>
                <c:pt idx="541">
                  <c:v>0</c:v>
                </c:pt>
                <c:pt idx="542">
                  <c:v>0</c:v>
                </c:pt>
                <c:pt idx="543">
                  <c:v>0</c:v>
                </c:pt>
                <c:pt idx="544">
                  <c:v>0</c:v>
                </c:pt>
                <c:pt idx="545">
                  <c:v>0</c:v>
                </c:pt>
                <c:pt idx="546">
                  <c:v>0</c:v>
                </c:pt>
                <c:pt idx="547">
                  <c:v>0</c:v>
                </c:pt>
                <c:pt idx="548">
                  <c:v>0</c:v>
                </c:pt>
                <c:pt idx="549">
                  <c:v>0</c:v>
                </c:pt>
                <c:pt idx="550">
                  <c:v>0</c:v>
                </c:pt>
                <c:pt idx="551">
                  <c:v>0</c:v>
                </c:pt>
                <c:pt idx="552">
                  <c:v>0</c:v>
                </c:pt>
                <c:pt idx="553">
                  <c:v>0</c:v>
                </c:pt>
                <c:pt idx="554">
                  <c:v>0</c:v>
                </c:pt>
                <c:pt idx="555">
                  <c:v>0</c:v>
                </c:pt>
                <c:pt idx="556">
                  <c:v>0</c:v>
                </c:pt>
                <c:pt idx="557">
                  <c:v>0</c:v>
                </c:pt>
                <c:pt idx="558">
                  <c:v>0</c:v>
                </c:pt>
                <c:pt idx="559">
                  <c:v>0</c:v>
                </c:pt>
                <c:pt idx="560">
                  <c:v>0</c:v>
                </c:pt>
                <c:pt idx="561">
                  <c:v>0</c:v>
                </c:pt>
                <c:pt idx="562">
                  <c:v>0</c:v>
                </c:pt>
                <c:pt idx="563">
                  <c:v>0</c:v>
                </c:pt>
                <c:pt idx="564">
                  <c:v>0</c:v>
                </c:pt>
                <c:pt idx="565">
                  <c:v>0</c:v>
                </c:pt>
                <c:pt idx="566">
                  <c:v>0</c:v>
                </c:pt>
                <c:pt idx="567">
                  <c:v>0</c:v>
                </c:pt>
                <c:pt idx="568">
                  <c:v>0</c:v>
                </c:pt>
                <c:pt idx="569">
                  <c:v>7.6783E-5</c:v>
                </c:pt>
                <c:pt idx="570" formatCode="General">
                  <c:v>7.6400000000000003E-4</c:v>
                </c:pt>
                <c:pt idx="571" formatCode="General">
                  <c:v>6.96544E-4</c:v>
                </c:pt>
                <c:pt idx="572" formatCode="General">
                  <c:v>6.7674399999999996E-4</c:v>
                </c:pt>
                <c:pt idx="573" formatCode="General">
                  <c:v>6.5701600000000007E-4</c:v>
                </c:pt>
                <c:pt idx="574" formatCode="General">
                  <c:v>6.3479200000000002E-4</c:v>
                </c:pt>
                <c:pt idx="575" formatCode="General">
                  <c:v>6.0234399999999999E-4</c:v>
                </c:pt>
                <c:pt idx="576" formatCode="General">
                  <c:v>5.9816800000000005E-4</c:v>
                </c:pt>
                <c:pt idx="577" formatCode="General">
                  <c:v>6.0512000000000001E-4</c:v>
                </c:pt>
                <c:pt idx="578" formatCode="General">
                  <c:v>6.3880800000000004E-4</c:v>
                </c:pt>
                <c:pt idx="579" formatCode="General">
                  <c:v>6.7445600000000004E-4</c:v>
                </c:pt>
                <c:pt idx="580" formatCode="General">
                  <c:v>7.2449600000000004E-4</c:v>
                </c:pt>
                <c:pt idx="581" formatCode="General">
                  <c:v>7.668000000000001E-4</c:v>
                </c:pt>
                <c:pt idx="582" formatCode="General">
                  <c:v>7.0636800000000008E-4</c:v>
                </c:pt>
                <c:pt idx="583" formatCode="General">
                  <c:v>6.9295200000000004E-4</c:v>
                </c:pt>
                <c:pt idx="584" formatCode="General">
                  <c:v>6.7260799999999999E-4</c:v>
                </c:pt>
                <c:pt idx="585" formatCode="General">
                  <c:v>7.5828800000000008E-4</c:v>
                </c:pt>
                <c:pt idx="586" formatCode="General">
                  <c:v>8.193600000000001E-4</c:v>
                </c:pt>
                <c:pt idx="587" formatCode="General">
                  <c:v>8.8120000000000006E-4</c:v>
                </c:pt>
                <c:pt idx="588" formatCode="General">
                  <c:v>8.9992000000000013E-4</c:v>
                </c:pt>
                <c:pt idx="589" formatCode="General">
                  <c:v>9.1471999999999994E-4</c:v>
                </c:pt>
                <c:pt idx="590" formatCode="General">
                  <c:v>9.0072000000000004E-4</c:v>
                </c:pt>
                <c:pt idx="591" formatCode="General">
                  <c:v>9.5440000000000011E-4</c:v>
                </c:pt>
                <c:pt idx="592" formatCode="General">
                  <c:v>9.9480000000000011E-4</c:v>
                </c:pt>
                <c:pt idx="593" formatCode="General">
                  <c:v>1.07496E-3</c:v>
                </c:pt>
                <c:pt idx="594" formatCode="General">
                  <c:v>1.0882400000000001E-3</c:v>
                </c:pt>
                <c:pt idx="595" formatCode="General">
                  <c:v>1.1229599999999999E-3</c:v>
                </c:pt>
                <c:pt idx="596" formatCode="General">
                  <c:v>1.08504E-3</c:v>
                </c:pt>
                <c:pt idx="597" formatCode="General">
                  <c:v>1.10472E-3</c:v>
                </c:pt>
                <c:pt idx="598" formatCode="General">
                  <c:v>1.1623200000000001E-3</c:v>
                </c:pt>
                <c:pt idx="599" formatCode="General">
                  <c:v>1.2324800000000002E-3</c:v>
                </c:pt>
                <c:pt idx="600" formatCode="General">
                  <c:v>1.28264E-3</c:v>
                </c:pt>
                <c:pt idx="601" formatCode="General">
                  <c:v>1.3290400000000001E-3</c:v>
                </c:pt>
                <c:pt idx="602" formatCode="General">
                  <c:v>1.43392E-3</c:v>
                </c:pt>
                <c:pt idx="603" formatCode="General">
                  <c:v>1.5152000000000002E-3</c:v>
                </c:pt>
                <c:pt idx="604" formatCode="General">
                  <c:v>1.5524800000000002E-3</c:v>
                </c:pt>
                <c:pt idx="605" formatCode="General">
                  <c:v>1.7046400000000001E-3</c:v>
                </c:pt>
                <c:pt idx="606" formatCode="General">
                  <c:v>1.9492800000000003E-3</c:v>
                </c:pt>
                <c:pt idx="607" formatCode="General">
                  <c:v>2.2160000000000001E-3</c:v>
                </c:pt>
                <c:pt idx="608" formatCode="General">
                  <c:v>2.3165600000000001E-3</c:v>
                </c:pt>
                <c:pt idx="609" formatCode="General">
                  <c:v>2.23624E-3</c:v>
                </c:pt>
                <c:pt idx="610" formatCode="General">
                  <c:v>2.1241599999999999E-3</c:v>
                </c:pt>
                <c:pt idx="611" formatCode="General">
                  <c:v>2.0650400000000002E-3</c:v>
                </c:pt>
                <c:pt idx="612" formatCode="General">
                  <c:v>2.0492000000000002E-3</c:v>
                </c:pt>
                <c:pt idx="613" formatCode="General">
                  <c:v>2.1056E-3</c:v>
                </c:pt>
                <c:pt idx="614" formatCode="General">
                  <c:v>2.19776E-3</c:v>
                </c:pt>
                <c:pt idx="615" formatCode="General">
                  <c:v>2.3995200000000005E-3</c:v>
                </c:pt>
                <c:pt idx="616" formatCode="General">
                  <c:v>2.54696E-3</c:v>
                </c:pt>
                <c:pt idx="617" formatCode="General">
                  <c:v>2.6411200000000003E-3</c:v>
                </c:pt>
                <c:pt idx="618" formatCode="General">
                  <c:v>2.6356800000000001E-3</c:v>
                </c:pt>
                <c:pt idx="619" formatCode="General">
                  <c:v>2.7172800000000003E-3</c:v>
                </c:pt>
                <c:pt idx="620" formatCode="General">
                  <c:v>2.9052800000000001E-3</c:v>
                </c:pt>
                <c:pt idx="621" formatCode="General">
                  <c:v>3.0121599999999998E-3</c:v>
                </c:pt>
                <c:pt idx="622" formatCode="General">
                  <c:v>3.1928E-3</c:v>
                </c:pt>
                <c:pt idx="623" formatCode="General">
                  <c:v>3.3212800000000002E-3</c:v>
                </c:pt>
                <c:pt idx="624" formatCode="General">
                  <c:v>3.57296E-3</c:v>
                </c:pt>
                <c:pt idx="625" formatCode="General">
                  <c:v>3.7537600000000001E-3</c:v>
                </c:pt>
                <c:pt idx="626" formatCode="General">
                  <c:v>3.872E-3</c:v>
                </c:pt>
                <c:pt idx="627" formatCode="General">
                  <c:v>3.9776799999999999E-3</c:v>
                </c:pt>
                <c:pt idx="628" formatCode="General">
                  <c:v>4.1072000000000001E-3</c:v>
                </c:pt>
                <c:pt idx="629" formatCode="General">
                  <c:v>4.3681600000000003E-3</c:v>
                </c:pt>
                <c:pt idx="630" formatCode="General">
                  <c:v>4.6367999999999999E-3</c:v>
                </c:pt>
                <c:pt idx="631" formatCode="General">
                  <c:v>4.9006400000000004E-3</c:v>
                </c:pt>
                <c:pt idx="632" formatCode="General">
                  <c:v>5.1245600000000002E-3</c:v>
                </c:pt>
                <c:pt idx="633" formatCode="General">
                  <c:v>5.3522400000000003E-3</c:v>
                </c:pt>
                <c:pt idx="634" formatCode="General">
                  <c:v>5.6070400000000006E-3</c:v>
                </c:pt>
                <c:pt idx="635" formatCode="General">
                  <c:v>5.91224E-3</c:v>
                </c:pt>
                <c:pt idx="636" formatCode="General">
                  <c:v>6.2261600000000005E-3</c:v>
                </c:pt>
                <c:pt idx="637" formatCode="General">
                  <c:v>6.6052000000000003E-3</c:v>
                </c:pt>
                <c:pt idx="638" formatCode="General">
                  <c:v>6.9701600000000004E-3</c:v>
                </c:pt>
                <c:pt idx="639" formatCode="General">
                  <c:v>7.3983199999999999E-3</c:v>
                </c:pt>
                <c:pt idx="640" formatCode="General">
                  <c:v>7.8897600000000009E-3</c:v>
                </c:pt>
                <c:pt idx="641" formatCode="General">
                  <c:v>8.4016000000000004E-3</c:v>
                </c:pt>
                <c:pt idx="642" formatCode="General">
                  <c:v>8.8088000000000003E-3</c:v>
                </c:pt>
                <c:pt idx="643" formatCode="General">
                  <c:v>9.0880000000000006E-3</c:v>
                </c:pt>
                <c:pt idx="644" formatCode="General">
                  <c:v>9.3360000000000005E-3</c:v>
                </c:pt>
                <c:pt idx="645" formatCode="General">
                  <c:v>9.7152000000000002E-3</c:v>
                </c:pt>
                <c:pt idx="646" formatCode="General">
                  <c:v>1.02752E-2</c:v>
                </c:pt>
                <c:pt idx="647" formatCode="General">
                  <c:v>1.0933600000000002E-2</c:v>
                </c:pt>
                <c:pt idx="648" formatCode="General">
                  <c:v>1.15104E-2</c:v>
                </c:pt>
                <c:pt idx="649" formatCode="General">
                  <c:v>1.2004000000000001E-2</c:v>
                </c:pt>
                <c:pt idx="650" formatCode="General">
                  <c:v>1.2584000000000001E-2</c:v>
                </c:pt>
                <c:pt idx="651" formatCode="General">
                  <c:v>1.3408000000000002E-2</c:v>
                </c:pt>
                <c:pt idx="652" formatCode="General">
                  <c:v>1.4238400000000002E-2</c:v>
                </c:pt>
                <c:pt idx="653" formatCode="General">
                  <c:v>1.5072E-2</c:v>
                </c:pt>
                <c:pt idx="654" formatCode="General">
                  <c:v>1.5860800000000001E-2</c:v>
                </c:pt>
                <c:pt idx="655" formatCode="General">
                  <c:v>1.6688000000000001E-2</c:v>
                </c:pt>
                <c:pt idx="656" formatCode="General">
                  <c:v>1.7496000000000001E-2</c:v>
                </c:pt>
                <c:pt idx="657" formatCode="General">
                  <c:v>1.8404799999999999E-2</c:v>
                </c:pt>
                <c:pt idx="658" formatCode="General">
                  <c:v>1.9396800000000002E-2</c:v>
                </c:pt>
                <c:pt idx="659" formatCode="General">
                  <c:v>2.0474400000000004E-2</c:v>
                </c:pt>
                <c:pt idx="660" formatCode="General">
                  <c:v>2.1587200000000001E-2</c:v>
                </c:pt>
                <c:pt idx="661" formatCode="General">
                  <c:v>2.2748000000000001E-2</c:v>
                </c:pt>
                <c:pt idx="662" formatCode="General">
                  <c:v>2.3966399999999999E-2</c:v>
                </c:pt>
                <c:pt idx="663" formatCode="General">
                  <c:v>2.5273600000000004E-2</c:v>
                </c:pt>
                <c:pt idx="664" formatCode="General">
                  <c:v>2.66536E-2</c:v>
                </c:pt>
                <c:pt idx="665" formatCode="General">
                  <c:v>2.7993600000000004E-2</c:v>
                </c:pt>
                <c:pt idx="666" formatCode="General">
                  <c:v>2.9353600000000004E-2</c:v>
                </c:pt>
                <c:pt idx="667" formatCode="General">
                  <c:v>3.0940800000000004E-2</c:v>
                </c:pt>
                <c:pt idx="668" formatCode="General">
                  <c:v>3.2721600000000003E-2</c:v>
                </c:pt>
                <c:pt idx="669" formatCode="General">
                  <c:v>3.4563200000000002E-2</c:v>
                </c:pt>
                <c:pt idx="670" formatCode="General">
                  <c:v>3.6376800000000001E-2</c:v>
                </c:pt>
                <c:pt idx="671" formatCode="General">
                  <c:v>3.8176000000000002E-2</c:v>
                </c:pt>
                <c:pt idx="672" formatCode="General">
                  <c:v>4.0100799999999999E-2</c:v>
                </c:pt>
                <c:pt idx="673" formatCode="General">
                  <c:v>4.2108800000000002E-2</c:v>
                </c:pt>
                <c:pt idx="674" formatCode="General">
                  <c:v>4.4395200000000003E-2</c:v>
                </c:pt>
                <c:pt idx="675" formatCode="General">
                  <c:v>4.6811199999999997E-2</c:v>
                </c:pt>
                <c:pt idx="676" formatCode="General">
                  <c:v>4.93824E-2</c:v>
                </c:pt>
                <c:pt idx="677" formatCode="General">
                  <c:v>5.1933600000000003E-2</c:v>
                </c:pt>
                <c:pt idx="678" formatCode="General">
                  <c:v>5.4536000000000001E-2</c:v>
                </c:pt>
                <c:pt idx="679" formatCode="General">
                  <c:v>5.7363200000000003E-2</c:v>
                </c:pt>
                <c:pt idx="680" formatCode="General">
                  <c:v>6.0448800000000004E-2</c:v>
                </c:pt>
                <c:pt idx="681" formatCode="General">
                  <c:v>6.37432E-2</c:v>
                </c:pt>
                <c:pt idx="682" formatCode="General">
                  <c:v>6.7238400000000004E-2</c:v>
                </c:pt>
                <c:pt idx="683" formatCode="General">
                  <c:v>7.0873600000000009E-2</c:v>
                </c:pt>
                <c:pt idx="684" formatCode="General">
                  <c:v>7.4633600000000008E-2</c:v>
                </c:pt>
                <c:pt idx="685" formatCode="General">
                  <c:v>7.8644000000000006E-2</c:v>
                </c:pt>
                <c:pt idx="686" formatCode="General">
                  <c:v>8.2928000000000002E-2</c:v>
                </c:pt>
                <c:pt idx="687" formatCode="General">
                  <c:v>8.7368000000000001E-2</c:v>
                </c:pt>
                <c:pt idx="688" formatCode="General">
                  <c:v>9.198400000000001E-2</c:v>
                </c:pt>
                <c:pt idx="689" formatCode="General">
                  <c:v>9.6864000000000006E-2</c:v>
                </c:pt>
                <c:pt idx="690" formatCode="General">
                  <c:v>0.10216799999999999</c:v>
                </c:pt>
                <c:pt idx="691" formatCode="General">
                  <c:v>0.10759200000000001</c:v>
                </c:pt>
                <c:pt idx="692" formatCode="General">
                  <c:v>0.11332</c:v>
                </c:pt>
                <c:pt idx="693" formatCode="General">
                  <c:v>0.119528</c:v>
                </c:pt>
                <c:pt idx="694" formatCode="General">
                  <c:v>0.12625600000000001</c:v>
                </c:pt>
                <c:pt idx="695" formatCode="General">
                  <c:v>0.13331999999999999</c:v>
                </c:pt>
                <c:pt idx="696" formatCode="General">
                  <c:v>0.140344</c:v>
                </c:pt>
                <c:pt idx="697" formatCode="General">
                  <c:v>0.14774400000000001</c:v>
                </c:pt>
                <c:pt idx="698" formatCode="General">
                  <c:v>0.15548000000000001</c:v>
                </c:pt>
                <c:pt idx="699" formatCode="General">
                  <c:v>0.16356000000000001</c:v>
                </c:pt>
                <c:pt idx="700" formatCode="General">
                  <c:v>0.17249600000000001</c:v>
                </c:pt>
                <c:pt idx="701" formatCode="General">
                  <c:v>0.18192</c:v>
                </c:pt>
                <c:pt idx="702" formatCode="General">
                  <c:v>0.19200800000000001</c:v>
                </c:pt>
                <c:pt idx="703" formatCode="General">
                  <c:v>0.20238400000000001</c:v>
                </c:pt>
                <c:pt idx="704" formatCode="General">
                  <c:v>0.21307999999999999</c:v>
                </c:pt>
                <c:pt idx="705" formatCode="General">
                  <c:v>0.22430400000000003</c:v>
                </c:pt>
                <c:pt idx="706" formatCode="General">
                  <c:v>0.23656000000000002</c:v>
                </c:pt>
                <c:pt idx="707" formatCode="General">
                  <c:v>0.249136</c:v>
                </c:pt>
                <c:pt idx="708" formatCode="General">
                  <c:v>0.262712</c:v>
                </c:pt>
                <c:pt idx="709" formatCode="General">
                  <c:v>0.27693600000000002</c:v>
                </c:pt>
                <c:pt idx="710" formatCode="General">
                  <c:v>0.29196</c:v>
                </c:pt>
                <c:pt idx="711" formatCode="General">
                  <c:v>0.30760000000000004</c:v>
                </c:pt>
                <c:pt idx="712" formatCode="General">
                  <c:v>0.32375200000000004</c:v>
                </c:pt>
                <c:pt idx="713" formatCode="General">
                  <c:v>0.34047200000000005</c:v>
                </c:pt>
                <c:pt idx="714" formatCode="General">
                  <c:v>0.35780800000000001</c:v>
                </c:pt>
                <c:pt idx="715" formatCode="General">
                  <c:v>0.37620800000000004</c:v>
                </c:pt>
                <c:pt idx="716" formatCode="General">
                  <c:v>0.39508800000000005</c:v>
                </c:pt>
                <c:pt idx="717" formatCode="General">
                  <c:v>0.414352</c:v>
                </c:pt>
                <c:pt idx="718" formatCode="General">
                  <c:v>0.43470399999999998</c:v>
                </c:pt>
                <c:pt idx="719" formatCode="General">
                  <c:v>0.45638400000000001</c:v>
                </c:pt>
                <c:pt idx="720" formatCode="General">
                  <c:v>0.47871200000000003</c:v>
                </c:pt>
                <c:pt idx="721" formatCode="General">
                  <c:v>0.5013200000000001</c:v>
                </c:pt>
                <c:pt idx="722" formatCode="General">
                  <c:v>0.52465600000000001</c:v>
                </c:pt>
                <c:pt idx="723" formatCode="General">
                  <c:v>0.54810400000000004</c:v>
                </c:pt>
                <c:pt idx="724" formatCode="General">
                  <c:v>0.57209600000000005</c:v>
                </c:pt>
                <c:pt idx="725" formatCode="General">
                  <c:v>0.595688</c:v>
                </c:pt>
                <c:pt idx="726" formatCode="General">
                  <c:v>0.61917600000000006</c:v>
                </c:pt>
                <c:pt idx="727" formatCode="General">
                  <c:v>0.64298400000000011</c:v>
                </c:pt>
                <c:pt idx="728" formatCode="General">
                  <c:v>0.66791200000000006</c:v>
                </c:pt>
                <c:pt idx="729" formatCode="General">
                  <c:v>0.69432800000000006</c:v>
                </c:pt>
                <c:pt idx="730" formatCode="General">
                  <c:v>0.72010400000000008</c:v>
                </c:pt>
                <c:pt idx="731" formatCode="General">
                  <c:v>0.74545600000000001</c:v>
                </c:pt>
                <c:pt idx="732" formatCode="General">
                  <c:v>0.77136800000000005</c:v>
                </c:pt>
                <c:pt idx="733" formatCode="General">
                  <c:v>0.79836000000000007</c:v>
                </c:pt>
                <c:pt idx="734" formatCode="General">
                  <c:v>0.82384000000000013</c:v>
                </c:pt>
                <c:pt idx="735" formatCode="General">
                  <c:v>0.84928000000000015</c:v>
                </c:pt>
                <c:pt idx="736" formatCode="General">
                  <c:v>0.87287999999999999</c:v>
                </c:pt>
                <c:pt idx="737" formatCode="General">
                  <c:v>0.89400000000000002</c:v>
                </c:pt>
                <c:pt idx="738" formatCode="General">
                  <c:v>0.91183999999999998</c:v>
                </c:pt>
                <c:pt idx="739" formatCode="General">
                  <c:v>0.92632000000000003</c:v>
                </c:pt>
                <c:pt idx="740" formatCode="General">
                  <c:v>0.93728</c:v>
                </c:pt>
                <c:pt idx="741" formatCode="General">
                  <c:v>0.94520000000000004</c:v>
                </c:pt>
                <c:pt idx="742" formatCode="General">
                  <c:v>0.94879999999999998</c:v>
                </c:pt>
                <c:pt idx="743" formatCode="General">
                  <c:v>0.94984000000000002</c:v>
                </c:pt>
                <c:pt idx="744" formatCode="General">
                  <c:v>0.9464800000000001</c:v>
                </c:pt>
                <c:pt idx="745" formatCode="General">
                  <c:v>0.93696000000000002</c:v>
                </c:pt>
                <c:pt idx="746" formatCode="General">
                  <c:v>0.92392000000000007</c:v>
                </c:pt>
                <c:pt idx="747" formatCode="General">
                  <c:v>0.90640000000000009</c:v>
                </c:pt>
                <c:pt idx="748" formatCode="General">
                  <c:v>0.87888000000000011</c:v>
                </c:pt>
                <c:pt idx="749" formatCode="General">
                  <c:v>0.84336000000000011</c:v>
                </c:pt>
                <c:pt idx="750" formatCode="General">
                  <c:v>0.80191999999999997</c:v>
                </c:pt>
                <c:pt idx="751" formatCode="General">
                  <c:v>0.76141600000000009</c:v>
                </c:pt>
                <c:pt idx="752" formatCode="General">
                  <c:v>0.72169600000000012</c:v>
                </c:pt>
                <c:pt idx="753" formatCode="General">
                  <c:v>0.68155200000000005</c:v>
                </c:pt>
                <c:pt idx="754" formatCode="General">
                  <c:v>0.63839200000000007</c:v>
                </c:pt>
                <c:pt idx="755" formatCode="General">
                  <c:v>0.59284000000000003</c:v>
                </c:pt>
                <c:pt idx="756" formatCode="General">
                  <c:v>0.54633600000000004</c:v>
                </c:pt>
                <c:pt idx="757" formatCode="General">
                  <c:v>0.50127200000000005</c:v>
                </c:pt>
                <c:pt idx="758" formatCode="General">
                  <c:v>0.46013599999999999</c:v>
                </c:pt>
                <c:pt idx="759" formatCode="General">
                  <c:v>0.42265600000000003</c:v>
                </c:pt>
                <c:pt idx="760" formatCode="General">
                  <c:v>0.38759199999999999</c:v>
                </c:pt>
                <c:pt idx="761" formatCode="General">
                  <c:v>0.35477599999999998</c:v>
                </c:pt>
                <c:pt idx="762" formatCode="General">
                  <c:v>0.32568000000000003</c:v>
                </c:pt>
                <c:pt idx="763" formatCode="General">
                  <c:v>0.29909599999999997</c:v>
                </c:pt>
                <c:pt idx="764" formatCode="General">
                  <c:v>0.27502399999999999</c:v>
                </c:pt>
                <c:pt idx="765" formatCode="General">
                  <c:v>0.25293599999999999</c:v>
                </c:pt>
                <c:pt idx="766" formatCode="General">
                  <c:v>0.23272000000000001</c:v>
                </c:pt>
                <c:pt idx="767" formatCode="General">
                  <c:v>0.21443200000000001</c:v>
                </c:pt>
                <c:pt idx="768" formatCode="General">
                  <c:v>0.19774400000000003</c:v>
                </c:pt>
                <c:pt idx="769" formatCode="General">
                  <c:v>0.18240000000000001</c:v>
                </c:pt>
                <c:pt idx="770" formatCode="General">
                  <c:v>0.16856800000000002</c:v>
                </c:pt>
                <c:pt idx="771" formatCode="General">
                  <c:v>0.15567200000000003</c:v>
                </c:pt>
                <c:pt idx="772" formatCode="General">
                  <c:v>0.143624</c:v>
                </c:pt>
                <c:pt idx="773" formatCode="General">
                  <c:v>0.13261600000000001</c:v>
                </c:pt>
                <c:pt idx="774" formatCode="General">
                  <c:v>0.12256800000000001</c:v>
                </c:pt>
                <c:pt idx="775" formatCode="General">
                  <c:v>0.113232</c:v>
                </c:pt>
                <c:pt idx="776" formatCode="General">
                  <c:v>0.104768</c:v>
                </c:pt>
                <c:pt idx="777" formatCode="General">
                  <c:v>9.7056000000000003E-2</c:v>
                </c:pt>
                <c:pt idx="778" formatCode="General">
                  <c:v>8.9856000000000005E-2</c:v>
                </c:pt>
                <c:pt idx="779" formatCode="General">
                  <c:v>8.3360000000000004E-2</c:v>
                </c:pt>
                <c:pt idx="780" formatCode="General">
                  <c:v>7.7371200000000001E-2</c:v>
                </c:pt>
                <c:pt idx="781" formatCode="General">
                  <c:v>7.1856799999999998E-2</c:v>
                </c:pt>
                <c:pt idx="782" formatCode="General">
                  <c:v>6.6856800000000008E-2</c:v>
                </c:pt>
                <c:pt idx="783" formatCode="General">
                  <c:v>6.22184E-2</c:v>
                </c:pt>
                <c:pt idx="784" formatCode="General">
                  <c:v>5.8126400000000002E-2</c:v>
                </c:pt>
                <c:pt idx="785" formatCode="General">
                  <c:v>5.4327199999999999E-2</c:v>
                </c:pt>
                <c:pt idx="786" formatCode="General">
                  <c:v>5.0867200000000001E-2</c:v>
                </c:pt>
                <c:pt idx="787" formatCode="General">
                  <c:v>4.7472800000000002E-2</c:v>
                </c:pt>
                <c:pt idx="788" formatCode="General">
                  <c:v>4.4261600000000005E-2</c:v>
                </c:pt>
                <c:pt idx="789" formatCode="General">
                  <c:v>4.1394399999999998E-2</c:v>
                </c:pt>
                <c:pt idx="790" formatCode="General">
                  <c:v>3.8798400000000004E-2</c:v>
                </c:pt>
                <c:pt idx="791" formatCode="General">
                  <c:v>3.6404800000000001E-2</c:v>
                </c:pt>
                <c:pt idx="792" formatCode="General">
                  <c:v>3.4364800000000001E-2</c:v>
                </c:pt>
                <c:pt idx="793" formatCode="General">
                  <c:v>3.24464E-2</c:v>
                </c:pt>
                <c:pt idx="794" formatCode="General">
                  <c:v>3.06424E-2</c:v>
                </c:pt>
                <c:pt idx="795" formatCode="General">
                  <c:v>2.8775200000000001E-2</c:v>
                </c:pt>
                <c:pt idx="796" formatCode="General">
                  <c:v>2.7179200000000001E-2</c:v>
                </c:pt>
                <c:pt idx="797" formatCode="General">
                  <c:v>2.5792800000000001E-2</c:v>
                </c:pt>
                <c:pt idx="798" formatCode="General">
                  <c:v>2.4447200000000002E-2</c:v>
                </c:pt>
                <c:pt idx="799" formatCode="General">
                  <c:v>2.3148000000000002E-2</c:v>
                </c:pt>
                <c:pt idx="800" formatCode="General">
                  <c:v>2.1809600000000002E-2</c:v>
                </c:pt>
                <c:pt idx="801" formatCode="General">
                  <c:v>2.0508000000000002E-2</c:v>
                </c:pt>
                <c:pt idx="802" formatCode="General">
                  <c:v>1.9155200000000001E-2</c:v>
                </c:pt>
                <c:pt idx="803" formatCode="General">
                  <c:v>1.79968E-2</c:v>
                </c:pt>
                <c:pt idx="804" formatCode="General">
                  <c:v>1.7085600000000003E-2</c:v>
                </c:pt>
                <c:pt idx="805" formatCode="General">
                  <c:v>1.6223999999999999E-2</c:v>
                </c:pt>
                <c:pt idx="806" formatCode="General">
                  <c:v>1.5323999999999999E-2</c:v>
                </c:pt>
                <c:pt idx="807" formatCode="General">
                  <c:v>1.4446400000000002E-2</c:v>
                </c:pt>
                <c:pt idx="808" formatCode="General">
                  <c:v>1.37736E-2</c:v>
                </c:pt>
                <c:pt idx="809" formatCode="General">
                  <c:v>1.3299200000000001E-2</c:v>
                </c:pt>
                <c:pt idx="810" formatCode="General">
                  <c:v>1.27928E-2</c:v>
                </c:pt>
                <c:pt idx="811" formatCode="General">
                  <c:v>1.2059200000000001E-2</c:v>
                </c:pt>
                <c:pt idx="812" formatCode="General">
                  <c:v>1.1253600000000001E-2</c:v>
                </c:pt>
                <c:pt idx="813" formatCode="General">
                  <c:v>1.05848E-2</c:v>
                </c:pt>
                <c:pt idx="814" formatCode="General">
                  <c:v>1.0059999999999999E-2</c:v>
                </c:pt>
                <c:pt idx="815" formatCode="General">
                  <c:v>9.6560000000000014E-3</c:v>
                </c:pt>
                <c:pt idx="816" formatCode="General">
                  <c:v>9.1415999999999997E-3</c:v>
                </c:pt>
                <c:pt idx="817" formatCode="General">
                  <c:v>8.5967999999999999E-3</c:v>
                </c:pt>
                <c:pt idx="818" formatCode="General">
                  <c:v>8.0032000000000002E-3</c:v>
                </c:pt>
                <c:pt idx="819" formatCode="General">
                  <c:v>7.7355999999999996E-3</c:v>
                </c:pt>
                <c:pt idx="820" formatCode="General">
                  <c:v>7.577920000000001E-3</c:v>
                </c:pt>
                <c:pt idx="821" formatCode="General">
                  <c:v>7.3213600000000007E-3</c:v>
                </c:pt>
                <c:pt idx="822" formatCode="General">
                  <c:v>6.8015999999999997E-3</c:v>
                </c:pt>
                <c:pt idx="823" formatCode="General">
                  <c:v>6.5501599999999993E-3</c:v>
                </c:pt>
                <c:pt idx="824" formatCode="General">
                  <c:v>6.4225599999999999E-3</c:v>
                </c:pt>
                <c:pt idx="825" formatCode="General">
                  <c:v>6.5515199999999999E-3</c:v>
                </c:pt>
                <c:pt idx="826" formatCode="General">
                  <c:v>6.4067200000000012E-3</c:v>
                </c:pt>
                <c:pt idx="827" formatCode="General">
                  <c:v>6.1402400000000008E-3</c:v>
                </c:pt>
                <c:pt idx="828" formatCode="General">
                  <c:v>5.7408800000000003E-3</c:v>
                </c:pt>
                <c:pt idx="829" formatCode="General">
                  <c:v>5.2684000000000003E-3</c:v>
                </c:pt>
                <c:pt idx="830" formatCode="General">
                  <c:v>4.9408800000000008E-3</c:v>
                </c:pt>
                <c:pt idx="831" formatCode="General">
                  <c:v>4.7180800000000004E-3</c:v>
                </c:pt>
                <c:pt idx="832" formatCode="General">
                  <c:v>4.6329600000000002E-3</c:v>
                </c:pt>
                <c:pt idx="833" formatCode="General">
                  <c:v>4.4054400000000001E-3</c:v>
                </c:pt>
                <c:pt idx="834" formatCode="General">
                  <c:v>4.1602399999999999E-3</c:v>
                </c:pt>
                <c:pt idx="835" formatCode="General">
                  <c:v>4.08224E-3</c:v>
                </c:pt>
                <c:pt idx="836" formatCode="General">
                  <c:v>4.0535200000000006E-3</c:v>
                </c:pt>
                <c:pt idx="837" formatCode="General">
                  <c:v>4.0586400000000005E-3</c:v>
                </c:pt>
                <c:pt idx="838" formatCode="General">
                  <c:v>3.92232E-3</c:v>
                </c:pt>
                <c:pt idx="839" formatCode="General">
                  <c:v>3.9446400000000001E-3</c:v>
                </c:pt>
                <c:pt idx="840" formatCode="General">
                  <c:v>3.7464799999999999E-3</c:v>
                </c:pt>
                <c:pt idx="841" formatCode="General">
                  <c:v>3.4819200000000003E-3</c:v>
                </c:pt>
                <c:pt idx="842" formatCode="General">
                  <c:v>3.2847200000000001E-3</c:v>
                </c:pt>
                <c:pt idx="843" formatCode="General">
                  <c:v>3.3952000000000006E-3</c:v>
                </c:pt>
                <c:pt idx="844" formatCode="General">
                  <c:v>3.4011200000000001E-3</c:v>
                </c:pt>
                <c:pt idx="845" formatCode="General">
                  <c:v>3.2770400000000002E-3</c:v>
                </c:pt>
                <c:pt idx="846" formatCode="General">
                  <c:v>2.9412800000000001E-3</c:v>
                </c:pt>
                <c:pt idx="847" formatCode="General">
                  <c:v>2.7830400000000005E-3</c:v>
                </c:pt>
                <c:pt idx="848" formatCode="General">
                  <c:v>2.5917600000000002E-3</c:v>
                </c:pt>
                <c:pt idx="849" formatCode="General">
                  <c:v>2.6179200000000001E-3</c:v>
                </c:pt>
                <c:pt idx="850" formatCode="General">
                  <c:v>2.7947200000000001E-3</c:v>
                </c:pt>
                <c:pt idx="851" formatCode="General">
                  <c:v>2.78488E-3</c:v>
                </c:pt>
                <c:pt idx="852" formatCode="General">
                  <c:v>2.53696E-3</c:v>
                </c:pt>
                <c:pt idx="853" formatCode="General">
                  <c:v>2.2292000000000002E-3</c:v>
                </c:pt>
                <c:pt idx="854" formatCode="General">
                  <c:v>2.1805600000000002E-3</c:v>
                </c:pt>
                <c:pt idx="855" formatCode="General">
                  <c:v>2.0852000000000002E-3</c:v>
                </c:pt>
                <c:pt idx="856" formatCode="General">
                  <c:v>2.1753600000000003E-3</c:v>
                </c:pt>
                <c:pt idx="857" formatCode="General">
                  <c:v>2.1889599999999998E-3</c:v>
                </c:pt>
                <c:pt idx="858" formatCode="General">
                  <c:v>2.1459999999999999E-3</c:v>
                </c:pt>
                <c:pt idx="859" formatCode="General">
                  <c:v>2.0507999999999998E-3</c:v>
                </c:pt>
                <c:pt idx="860" formatCode="General">
                  <c:v>1.88872E-3</c:v>
                </c:pt>
                <c:pt idx="861" formatCode="General">
                  <c:v>1.9223199999999999E-3</c:v>
                </c:pt>
                <c:pt idx="862" formatCode="General">
                  <c:v>1.9796800000000002E-3</c:v>
                </c:pt>
                <c:pt idx="863" formatCode="General">
                  <c:v>2.1277600000000002E-3</c:v>
                </c:pt>
                <c:pt idx="864" formatCode="General">
                  <c:v>2.1204000000000001E-3</c:v>
                </c:pt>
                <c:pt idx="865" formatCode="General">
                  <c:v>1.8402399999999999E-3</c:v>
                </c:pt>
                <c:pt idx="866" formatCode="General">
                  <c:v>1.5920000000000001E-3</c:v>
                </c:pt>
                <c:pt idx="867" formatCode="General">
                  <c:v>1.4607999999999999E-3</c:v>
                </c:pt>
                <c:pt idx="868" formatCode="General">
                  <c:v>1.60136E-3</c:v>
                </c:pt>
                <c:pt idx="869" formatCode="General">
                  <c:v>1.8428799999999999E-3</c:v>
                </c:pt>
                <c:pt idx="870" formatCode="General">
                  <c:v>1.8915200000000001E-3</c:v>
                </c:pt>
                <c:pt idx="871" formatCode="General">
                  <c:v>1.7527200000000001E-3</c:v>
                </c:pt>
                <c:pt idx="872" formatCode="General">
                  <c:v>1.7432000000000001E-3</c:v>
                </c:pt>
                <c:pt idx="873" formatCode="General">
                  <c:v>1.6572000000000002E-3</c:v>
                </c:pt>
                <c:pt idx="874" formatCode="General">
                  <c:v>1.7128000000000002E-3</c:v>
                </c:pt>
                <c:pt idx="875" formatCode="General">
                  <c:v>1.5553600000000002E-3</c:v>
                </c:pt>
                <c:pt idx="876" formatCode="General">
                  <c:v>1.6207200000000002E-3</c:v>
                </c:pt>
                <c:pt idx="877" formatCode="General">
                  <c:v>1.53736E-3</c:v>
                </c:pt>
                <c:pt idx="878" formatCode="General">
                  <c:v>1.3268800000000001E-3</c:v>
                </c:pt>
                <c:pt idx="879" formatCode="General">
                  <c:v>1.2496E-3</c:v>
                </c:pt>
                <c:pt idx="880" formatCode="General">
                  <c:v>1.50672E-3</c:v>
                </c:pt>
                <c:pt idx="881" formatCode="General">
                  <c:v>1.8223199999999999E-3</c:v>
                </c:pt>
                <c:pt idx="882" formatCode="General">
                  <c:v>1.8590400000000002E-3</c:v>
                </c:pt>
                <c:pt idx="883" formatCode="General">
                  <c:v>1.64536E-3</c:v>
                </c:pt>
                <c:pt idx="884" formatCode="General">
                  <c:v>1.68384E-3</c:v>
                </c:pt>
                <c:pt idx="885" formatCode="General">
                  <c:v>1.6856800000000002E-3</c:v>
                </c:pt>
                <c:pt idx="886" formatCode="General">
                  <c:v>1.50928E-3</c:v>
                </c:pt>
                <c:pt idx="887" formatCode="General">
                  <c:v>1.3148000000000001E-3</c:v>
                </c:pt>
                <c:pt idx="888" formatCode="General">
                  <c:v>1.4336800000000001E-3</c:v>
                </c:pt>
                <c:pt idx="889" formatCode="General">
                  <c:v>1.7881600000000002E-3</c:v>
                </c:pt>
                <c:pt idx="890" formatCode="General">
                  <c:v>1.7836000000000002E-3</c:v>
                </c:pt>
                <c:pt idx="891" formatCode="General">
                  <c:v>1.3327200000000001E-3</c:v>
                </c:pt>
                <c:pt idx="892" formatCode="General">
                  <c:v>9.3968000000000003E-4</c:v>
                </c:pt>
                <c:pt idx="893" formatCode="General">
                  <c:v>9.5624000000000013E-4</c:v>
                </c:pt>
                <c:pt idx="894" formatCode="General">
                  <c:v>1.0433599999999999E-3</c:v>
                </c:pt>
                <c:pt idx="895" formatCode="General">
                  <c:v>9.9799999999999997E-4</c:v>
                </c:pt>
                <c:pt idx="896" formatCode="General">
                  <c:v>8.5015999999999998E-4</c:v>
                </c:pt>
                <c:pt idx="897" formatCode="General">
                  <c:v>9.8440000000000008E-4</c:v>
                </c:pt>
                <c:pt idx="898" formatCode="General">
                  <c:v>1.1547999999999999E-3</c:v>
                </c:pt>
                <c:pt idx="899" formatCode="General">
                  <c:v>1.2968000000000001E-3</c:v>
                </c:pt>
                <c:pt idx="900" formatCode="General">
                  <c:v>1.3880000000000001E-3</c:v>
                </c:pt>
              </c:numCache>
            </c:numRef>
          </c:val>
          <c:smooth val="0"/>
          <c:extLst>
            <c:ext xmlns:c16="http://schemas.microsoft.com/office/drawing/2014/chart" uri="{C3380CC4-5D6E-409C-BE32-E72D297353CC}">
              <c16:uniqueId val="{00000000-584B-C64E-87D3-455217E22BC3}"/>
            </c:ext>
          </c:extLst>
        </c:ser>
        <c:dLbls>
          <c:showLegendKey val="0"/>
          <c:showVal val="0"/>
          <c:showCatName val="0"/>
          <c:showSerName val="0"/>
          <c:showPercent val="0"/>
          <c:showBubbleSize val="0"/>
        </c:dLbls>
        <c:smooth val="0"/>
        <c:axId val="1101955759"/>
        <c:axId val="1182404623"/>
      </c:lineChart>
      <c:catAx>
        <c:axId val="1101955759"/>
        <c:scaling>
          <c:orientation val="minMax"/>
        </c:scaling>
        <c:delete val="0"/>
        <c:axPos val="b"/>
        <c:numFmt formatCode="General" sourceLinked="1"/>
        <c:majorTickMark val="none"/>
        <c:minorTickMark val="none"/>
        <c:tickLblPos val="nextTo"/>
        <c:spPr>
          <a:noFill/>
          <a:ln w="9525" cap="flat" cmpd="sng" algn="ctr">
            <a:solidFill>
              <a:schemeClr val="tx1"/>
            </a:solidFill>
            <a:round/>
          </a:ln>
          <a:effectLst/>
        </c:spPr>
        <c:txPr>
          <a:bodyPr rot="-60000000" spcFirstLastPara="1" vertOverflow="ellipsis" vert="horz" wrap="square" anchor="ctr" anchorCtr="1"/>
          <a:lstStyle/>
          <a:p>
            <a:pPr>
              <a:defRPr sz="900" b="1" i="0" u="none" strike="noStrike" kern="1200" baseline="0">
                <a:solidFill>
                  <a:schemeClr val="tx1"/>
                </a:solidFill>
                <a:latin typeface="Arial" panose="020B0604020202020204" pitchFamily="34" charset="0"/>
                <a:ea typeface="+mn-ea"/>
                <a:cs typeface="Arial" panose="020B0604020202020204" pitchFamily="34" charset="0"/>
              </a:defRPr>
            </a:pPr>
            <a:endParaRPr lang="en-US"/>
          </a:p>
        </c:txPr>
        <c:crossAx val="1182404623"/>
        <c:crosses val="autoZero"/>
        <c:auto val="0"/>
        <c:lblAlgn val="ctr"/>
        <c:lblOffset val="100"/>
        <c:tickLblSkip val="100"/>
        <c:tickMarkSkip val="1"/>
        <c:noMultiLvlLbl val="0"/>
      </c:catAx>
      <c:valAx>
        <c:axId val="1182404623"/>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000" b="1" i="0" u="none" strike="noStrike" kern="1200" baseline="0">
                    <a:solidFill>
                      <a:schemeClr val="tx1"/>
                    </a:solidFill>
                    <a:latin typeface="Arial" panose="020B0604020202020204" pitchFamily="34" charset="0"/>
                    <a:ea typeface="+mn-ea"/>
                    <a:cs typeface="Arial" panose="020B0604020202020204" pitchFamily="34" charset="0"/>
                  </a:defRPr>
                </a:pPr>
                <a:r>
                  <a:rPr lang="en-US" b="1"/>
                  <a:t>Intensity (µmols</a:t>
                </a:r>
                <a:r>
                  <a:rPr lang="en-US" b="1" baseline="0"/>
                  <a:t> </a:t>
                </a:r>
                <a:r>
                  <a:rPr lang="en-US" b="1" baseline="30000"/>
                  <a:t>.</a:t>
                </a:r>
                <a:r>
                  <a:rPr lang="en-US" b="1" baseline="0"/>
                  <a:t> </a:t>
                </a:r>
                <a:r>
                  <a:rPr lang="en-US" b="1"/>
                  <a:t>m-</a:t>
                </a:r>
                <a:r>
                  <a:rPr lang="en-US" b="1" baseline="30000"/>
                  <a:t>2</a:t>
                </a:r>
                <a:r>
                  <a:rPr lang="en-US" sz="1000" b="1" i="0" u="none" strike="noStrike" baseline="30000">
                    <a:effectLst/>
                  </a:rPr>
                  <a:t> .</a:t>
                </a:r>
                <a:r>
                  <a:rPr lang="en-US" sz="1000" b="1" i="0" u="none" strike="noStrike" baseline="0">
                    <a:effectLst/>
                  </a:rPr>
                  <a:t> </a:t>
                </a:r>
                <a:r>
                  <a:rPr lang="en-US" b="1"/>
                  <a:t>sec</a:t>
                </a:r>
                <a:r>
                  <a:rPr lang="en-US" b="1" baseline="30000"/>
                  <a:t>-1</a:t>
                </a:r>
                <a:r>
                  <a:rPr lang="en-US" b="1"/>
                  <a:t>)</a:t>
                </a:r>
              </a:p>
            </c:rich>
          </c:tx>
          <c:overlay val="0"/>
          <c:spPr>
            <a:noFill/>
            <a:ln>
              <a:noFill/>
            </a:ln>
            <a:effectLst/>
          </c:spPr>
          <c:txPr>
            <a:bodyPr rot="-5400000" spcFirstLastPara="1" vertOverflow="ellipsis" vert="horz" wrap="square" anchor="ctr" anchorCtr="1"/>
            <a:lstStyle/>
            <a:p>
              <a:pPr>
                <a:defRPr sz="1000" b="1" i="0" u="none" strike="noStrike" kern="1200" baseline="0">
                  <a:solidFill>
                    <a:schemeClr val="tx1"/>
                  </a:solidFill>
                  <a:latin typeface="Arial" panose="020B0604020202020204" pitchFamily="34" charset="0"/>
                  <a:ea typeface="+mn-ea"/>
                  <a:cs typeface="Arial" panose="020B0604020202020204" pitchFamily="34" charset="0"/>
                </a:defRPr>
              </a:pPr>
              <a:endParaRPr lang="en-US"/>
            </a:p>
          </c:txPr>
        </c:title>
        <c:numFmt formatCode="General" sourceLinked="0"/>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solidFill>
                <a:latin typeface="Arial" panose="020B0604020202020204" pitchFamily="34" charset="0"/>
                <a:ea typeface="+mn-ea"/>
                <a:cs typeface="Arial" panose="020B0604020202020204" pitchFamily="34" charset="0"/>
              </a:defRPr>
            </a:pPr>
            <a:endParaRPr lang="en-US"/>
          </a:p>
        </c:txPr>
        <c:crossAx val="1101955759"/>
        <c:crosses val="autoZero"/>
        <c:crossBetween val="between"/>
      </c:valAx>
      <c:spPr>
        <a:noFill/>
        <a:ln>
          <a:noFill/>
        </a:ln>
        <a:effectLst/>
      </c:spPr>
    </c:plotArea>
    <c:legend>
      <c:legendPos val="b"/>
      <c:legendEntry>
        <c:idx val="0"/>
        <c:txPr>
          <a:bodyPr rot="0" spcFirstLastPara="1" vertOverflow="ellipsis" vert="horz" wrap="square" anchor="ctr" anchorCtr="1"/>
          <a:lstStyle/>
          <a:p>
            <a:pPr>
              <a:defRPr sz="1000" b="0" i="0" u="none" strike="noStrike" kern="1200" baseline="0">
                <a:solidFill>
                  <a:schemeClr val="tx1"/>
                </a:solidFill>
                <a:latin typeface="Arial" panose="020B0604020202020204" pitchFamily="34" charset="0"/>
                <a:ea typeface="+mn-ea"/>
                <a:cs typeface="Arial" panose="020B0604020202020204" pitchFamily="34" charset="0"/>
              </a:defRPr>
            </a:pPr>
            <a:endParaRPr lang="en-US"/>
          </a:p>
        </c:txPr>
      </c:legendEntry>
      <c:layout>
        <c:manualLayout>
          <c:xMode val="edge"/>
          <c:yMode val="edge"/>
          <c:x val="0.78042735042735045"/>
          <c:y val="0.93157628051959462"/>
          <c:w val="0.20410256410256411"/>
          <c:h val="5.2917439436987727E-2"/>
        </c:manualLayout>
      </c:layout>
      <c:overlay val="0"/>
      <c:spPr>
        <a:noFill/>
        <a:ln>
          <a:solidFill>
            <a:schemeClr val="tx1"/>
          </a:solidFill>
        </a:ln>
        <a:effectLst/>
      </c:spPr>
      <c:txPr>
        <a:bodyPr rot="0" spcFirstLastPara="1" vertOverflow="ellipsis" vert="horz" wrap="square" anchor="ctr" anchorCtr="1"/>
        <a:lstStyle/>
        <a:p>
          <a:pPr>
            <a:defRPr sz="1000" b="0" i="0" u="none" strike="noStrike" kern="1200" baseline="0">
              <a:solidFill>
                <a:schemeClr val="tx1"/>
              </a:solidFill>
              <a:latin typeface="Arial" panose="020B0604020202020204" pitchFamily="34" charset="0"/>
              <a:ea typeface="+mn-ea"/>
              <a:cs typeface="Arial" panose="020B0604020202020204" pitchFamily="34" charset="0"/>
            </a:defRPr>
          </a:pPr>
          <a:endParaRPr lang="en-US"/>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solidFill>
      <a:round/>
    </a:ln>
    <a:effectLst/>
  </c:spPr>
  <c:txPr>
    <a:bodyPr/>
    <a:lstStyle/>
    <a:p>
      <a:pPr>
        <a:defRPr>
          <a:solidFill>
            <a:schemeClr val="tx1"/>
          </a:solidFill>
          <a:latin typeface="Arial" panose="020B0604020202020204" pitchFamily="34" charset="0"/>
          <a:cs typeface="Arial" panose="020B0604020202020204" pitchFamily="34" charset="0"/>
        </a:defRPr>
      </a:pPr>
      <a:endParaRPr lang="en-US"/>
    </a:p>
  </c:txPr>
  <c:externalData r:id="rId3">
    <c:autoUpdate val="0"/>
  </c:externalData>
  <c:userShapes r:id="rId4"/>
</c:chartSpace>
</file>

<file path=word/charts/chart7.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lineChart>
        <c:grouping val="standard"/>
        <c:varyColors val="0"/>
        <c:ser>
          <c:idx val="1"/>
          <c:order val="0"/>
          <c:tx>
            <c:strRef>
              <c:f>'T2'!$B$2</c:f>
              <c:strCache>
                <c:ptCount val="1"/>
                <c:pt idx="0">
                  <c:v>660/420/660</c:v>
                </c:pt>
              </c:strCache>
            </c:strRef>
          </c:tx>
          <c:spPr>
            <a:ln w="28575" cap="rnd">
              <a:solidFill>
                <a:schemeClr val="tx1"/>
              </a:solidFill>
              <a:round/>
            </a:ln>
            <a:effectLst/>
          </c:spPr>
          <c:marker>
            <c:symbol val="none"/>
          </c:marker>
          <c:cat>
            <c:numRef>
              <c:f>'T2'!$A$113:$A$1013</c:f>
              <c:numCache>
                <c:formatCode>General</c:formatCode>
                <c:ptCount val="901"/>
                <c:pt idx="0">
                  <c:v>300</c:v>
                </c:pt>
                <c:pt idx="1">
                  <c:v>300.5</c:v>
                </c:pt>
                <c:pt idx="2">
                  <c:v>301</c:v>
                </c:pt>
                <c:pt idx="3">
                  <c:v>301.5</c:v>
                </c:pt>
                <c:pt idx="4">
                  <c:v>302</c:v>
                </c:pt>
                <c:pt idx="5">
                  <c:v>302.5</c:v>
                </c:pt>
                <c:pt idx="6">
                  <c:v>303</c:v>
                </c:pt>
                <c:pt idx="7">
                  <c:v>303.5</c:v>
                </c:pt>
                <c:pt idx="8">
                  <c:v>304</c:v>
                </c:pt>
                <c:pt idx="9">
                  <c:v>304.5</c:v>
                </c:pt>
                <c:pt idx="10">
                  <c:v>305</c:v>
                </c:pt>
                <c:pt idx="11">
                  <c:v>305.5</c:v>
                </c:pt>
                <c:pt idx="12">
                  <c:v>306</c:v>
                </c:pt>
                <c:pt idx="13">
                  <c:v>306.5</c:v>
                </c:pt>
                <c:pt idx="14">
                  <c:v>307</c:v>
                </c:pt>
                <c:pt idx="15">
                  <c:v>307.5</c:v>
                </c:pt>
                <c:pt idx="16">
                  <c:v>308</c:v>
                </c:pt>
                <c:pt idx="17">
                  <c:v>308.5</c:v>
                </c:pt>
                <c:pt idx="18">
                  <c:v>309</c:v>
                </c:pt>
                <c:pt idx="19">
                  <c:v>309.5</c:v>
                </c:pt>
                <c:pt idx="20">
                  <c:v>310</c:v>
                </c:pt>
                <c:pt idx="21">
                  <c:v>310.5</c:v>
                </c:pt>
                <c:pt idx="22">
                  <c:v>311</c:v>
                </c:pt>
                <c:pt idx="23">
                  <c:v>311.5</c:v>
                </c:pt>
                <c:pt idx="24">
                  <c:v>312</c:v>
                </c:pt>
                <c:pt idx="25">
                  <c:v>312.5</c:v>
                </c:pt>
                <c:pt idx="26">
                  <c:v>313</c:v>
                </c:pt>
                <c:pt idx="27">
                  <c:v>313.5</c:v>
                </c:pt>
                <c:pt idx="28">
                  <c:v>314</c:v>
                </c:pt>
                <c:pt idx="29">
                  <c:v>314.5</c:v>
                </c:pt>
                <c:pt idx="30">
                  <c:v>315</c:v>
                </c:pt>
                <c:pt idx="31">
                  <c:v>315.5</c:v>
                </c:pt>
                <c:pt idx="32">
                  <c:v>316</c:v>
                </c:pt>
                <c:pt idx="33">
                  <c:v>316.5</c:v>
                </c:pt>
                <c:pt idx="34">
                  <c:v>317</c:v>
                </c:pt>
                <c:pt idx="35">
                  <c:v>317.5</c:v>
                </c:pt>
                <c:pt idx="36">
                  <c:v>318</c:v>
                </c:pt>
                <c:pt idx="37">
                  <c:v>318.5</c:v>
                </c:pt>
                <c:pt idx="38">
                  <c:v>319</c:v>
                </c:pt>
                <c:pt idx="39">
                  <c:v>319.5</c:v>
                </c:pt>
                <c:pt idx="40">
                  <c:v>320</c:v>
                </c:pt>
                <c:pt idx="41">
                  <c:v>320.5</c:v>
                </c:pt>
                <c:pt idx="42">
                  <c:v>321</c:v>
                </c:pt>
                <c:pt idx="43">
                  <c:v>321.5</c:v>
                </c:pt>
                <c:pt idx="44">
                  <c:v>322</c:v>
                </c:pt>
                <c:pt idx="45">
                  <c:v>322.5</c:v>
                </c:pt>
                <c:pt idx="46">
                  <c:v>323</c:v>
                </c:pt>
                <c:pt idx="47">
                  <c:v>323.5</c:v>
                </c:pt>
                <c:pt idx="48">
                  <c:v>324</c:v>
                </c:pt>
                <c:pt idx="49">
                  <c:v>324.5</c:v>
                </c:pt>
                <c:pt idx="50">
                  <c:v>325</c:v>
                </c:pt>
                <c:pt idx="51">
                  <c:v>325.5</c:v>
                </c:pt>
                <c:pt idx="52">
                  <c:v>326</c:v>
                </c:pt>
                <c:pt idx="53">
                  <c:v>326.5</c:v>
                </c:pt>
                <c:pt idx="54">
                  <c:v>327</c:v>
                </c:pt>
                <c:pt idx="55">
                  <c:v>327.5</c:v>
                </c:pt>
                <c:pt idx="56">
                  <c:v>328</c:v>
                </c:pt>
                <c:pt idx="57">
                  <c:v>328.5</c:v>
                </c:pt>
                <c:pt idx="58">
                  <c:v>329</c:v>
                </c:pt>
                <c:pt idx="59">
                  <c:v>329.5</c:v>
                </c:pt>
                <c:pt idx="60">
                  <c:v>330</c:v>
                </c:pt>
                <c:pt idx="61">
                  <c:v>330.5</c:v>
                </c:pt>
                <c:pt idx="62">
                  <c:v>331</c:v>
                </c:pt>
                <c:pt idx="63">
                  <c:v>331.5</c:v>
                </c:pt>
                <c:pt idx="64">
                  <c:v>332</c:v>
                </c:pt>
                <c:pt idx="65">
                  <c:v>332.5</c:v>
                </c:pt>
                <c:pt idx="66">
                  <c:v>333</c:v>
                </c:pt>
                <c:pt idx="67">
                  <c:v>333.5</c:v>
                </c:pt>
                <c:pt idx="68">
                  <c:v>334</c:v>
                </c:pt>
                <c:pt idx="69">
                  <c:v>334.5</c:v>
                </c:pt>
                <c:pt idx="70">
                  <c:v>335</c:v>
                </c:pt>
                <c:pt idx="71">
                  <c:v>335.5</c:v>
                </c:pt>
                <c:pt idx="72">
                  <c:v>336</c:v>
                </c:pt>
                <c:pt idx="73">
                  <c:v>336.5</c:v>
                </c:pt>
                <c:pt idx="74">
                  <c:v>337</c:v>
                </c:pt>
                <c:pt idx="75">
                  <c:v>337.5</c:v>
                </c:pt>
                <c:pt idx="76">
                  <c:v>338</c:v>
                </c:pt>
                <c:pt idx="77">
                  <c:v>338.5</c:v>
                </c:pt>
                <c:pt idx="78">
                  <c:v>339</c:v>
                </c:pt>
                <c:pt idx="79">
                  <c:v>339.5</c:v>
                </c:pt>
                <c:pt idx="80">
                  <c:v>340</c:v>
                </c:pt>
                <c:pt idx="81">
                  <c:v>340.5</c:v>
                </c:pt>
                <c:pt idx="82">
                  <c:v>341</c:v>
                </c:pt>
                <c:pt idx="83">
                  <c:v>341.5</c:v>
                </c:pt>
                <c:pt idx="84">
                  <c:v>342</c:v>
                </c:pt>
                <c:pt idx="85">
                  <c:v>342.5</c:v>
                </c:pt>
                <c:pt idx="86">
                  <c:v>343</c:v>
                </c:pt>
                <c:pt idx="87">
                  <c:v>343.5</c:v>
                </c:pt>
                <c:pt idx="88">
                  <c:v>344</c:v>
                </c:pt>
                <c:pt idx="89">
                  <c:v>344.5</c:v>
                </c:pt>
                <c:pt idx="90">
                  <c:v>345</c:v>
                </c:pt>
                <c:pt idx="91">
                  <c:v>345.5</c:v>
                </c:pt>
                <c:pt idx="92">
                  <c:v>346</c:v>
                </c:pt>
                <c:pt idx="93">
                  <c:v>346.5</c:v>
                </c:pt>
                <c:pt idx="94">
                  <c:v>347</c:v>
                </c:pt>
                <c:pt idx="95">
                  <c:v>347.5</c:v>
                </c:pt>
                <c:pt idx="96">
                  <c:v>348</c:v>
                </c:pt>
                <c:pt idx="97">
                  <c:v>348.5</c:v>
                </c:pt>
                <c:pt idx="98">
                  <c:v>349</c:v>
                </c:pt>
                <c:pt idx="99">
                  <c:v>349.5</c:v>
                </c:pt>
                <c:pt idx="100">
                  <c:v>350</c:v>
                </c:pt>
                <c:pt idx="101">
                  <c:v>350.5</c:v>
                </c:pt>
                <c:pt idx="102">
                  <c:v>351</c:v>
                </c:pt>
                <c:pt idx="103">
                  <c:v>351.5</c:v>
                </c:pt>
                <c:pt idx="104">
                  <c:v>352</c:v>
                </c:pt>
                <c:pt idx="105">
                  <c:v>352.5</c:v>
                </c:pt>
                <c:pt idx="106">
                  <c:v>353</c:v>
                </c:pt>
                <c:pt idx="107">
                  <c:v>353.5</c:v>
                </c:pt>
                <c:pt idx="108">
                  <c:v>354</c:v>
                </c:pt>
                <c:pt idx="109">
                  <c:v>354.5</c:v>
                </c:pt>
                <c:pt idx="110">
                  <c:v>355</c:v>
                </c:pt>
                <c:pt idx="111">
                  <c:v>355.5</c:v>
                </c:pt>
                <c:pt idx="112">
                  <c:v>356</c:v>
                </c:pt>
                <c:pt idx="113">
                  <c:v>356.5</c:v>
                </c:pt>
                <c:pt idx="114">
                  <c:v>357</c:v>
                </c:pt>
                <c:pt idx="115">
                  <c:v>357.5</c:v>
                </c:pt>
                <c:pt idx="116">
                  <c:v>358</c:v>
                </c:pt>
                <c:pt idx="117">
                  <c:v>358.5</c:v>
                </c:pt>
                <c:pt idx="118">
                  <c:v>359</c:v>
                </c:pt>
                <c:pt idx="119">
                  <c:v>359.5</c:v>
                </c:pt>
                <c:pt idx="120">
                  <c:v>360</c:v>
                </c:pt>
                <c:pt idx="121">
                  <c:v>360.5</c:v>
                </c:pt>
                <c:pt idx="122">
                  <c:v>361</c:v>
                </c:pt>
                <c:pt idx="123">
                  <c:v>361.5</c:v>
                </c:pt>
                <c:pt idx="124">
                  <c:v>362</c:v>
                </c:pt>
                <c:pt idx="125">
                  <c:v>362.5</c:v>
                </c:pt>
                <c:pt idx="126">
                  <c:v>363</c:v>
                </c:pt>
                <c:pt idx="127">
                  <c:v>363.5</c:v>
                </c:pt>
                <c:pt idx="128">
                  <c:v>364</c:v>
                </c:pt>
                <c:pt idx="129">
                  <c:v>364.5</c:v>
                </c:pt>
                <c:pt idx="130">
                  <c:v>365</c:v>
                </c:pt>
                <c:pt idx="131">
                  <c:v>365.5</c:v>
                </c:pt>
                <c:pt idx="132">
                  <c:v>366</c:v>
                </c:pt>
                <c:pt idx="133">
                  <c:v>366.5</c:v>
                </c:pt>
                <c:pt idx="134">
                  <c:v>367</c:v>
                </c:pt>
                <c:pt idx="135">
                  <c:v>367.5</c:v>
                </c:pt>
                <c:pt idx="136">
                  <c:v>368</c:v>
                </c:pt>
                <c:pt idx="137">
                  <c:v>368.5</c:v>
                </c:pt>
                <c:pt idx="138">
                  <c:v>369</c:v>
                </c:pt>
                <c:pt idx="139">
                  <c:v>369.5</c:v>
                </c:pt>
                <c:pt idx="140">
                  <c:v>370</c:v>
                </c:pt>
                <c:pt idx="141">
                  <c:v>370.5</c:v>
                </c:pt>
                <c:pt idx="142">
                  <c:v>371</c:v>
                </c:pt>
                <c:pt idx="143">
                  <c:v>371.5</c:v>
                </c:pt>
                <c:pt idx="144">
                  <c:v>372</c:v>
                </c:pt>
                <c:pt idx="145">
                  <c:v>372.5</c:v>
                </c:pt>
                <c:pt idx="146">
                  <c:v>373</c:v>
                </c:pt>
                <c:pt idx="147">
                  <c:v>373.5</c:v>
                </c:pt>
                <c:pt idx="148">
                  <c:v>374</c:v>
                </c:pt>
                <c:pt idx="149">
                  <c:v>374.5</c:v>
                </c:pt>
                <c:pt idx="150">
                  <c:v>375</c:v>
                </c:pt>
                <c:pt idx="151">
                  <c:v>375.5</c:v>
                </c:pt>
                <c:pt idx="152">
                  <c:v>376</c:v>
                </c:pt>
                <c:pt idx="153">
                  <c:v>376.5</c:v>
                </c:pt>
                <c:pt idx="154">
                  <c:v>377</c:v>
                </c:pt>
                <c:pt idx="155">
                  <c:v>377.5</c:v>
                </c:pt>
                <c:pt idx="156">
                  <c:v>378</c:v>
                </c:pt>
                <c:pt idx="157">
                  <c:v>378.5</c:v>
                </c:pt>
                <c:pt idx="158">
                  <c:v>379</c:v>
                </c:pt>
                <c:pt idx="159">
                  <c:v>379.5</c:v>
                </c:pt>
                <c:pt idx="160">
                  <c:v>380</c:v>
                </c:pt>
                <c:pt idx="161">
                  <c:v>380.5</c:v>
                </c:pt>
                <c:pt idx="162">
                  <c:v>381</c:v>
                </c:pt>
                <c:pt idx="163">
                  <c:v>381.5</c:v>
                </c:pt>
                <c:pt idx="164">
                  <c:v>382</c:v>
                </c:pt>
                <c:pt idx="165">
                  <c:v>382.5</c:v>
                </c:pt>
                <c:pt idx="166">
                  <c:v>383</c:v>
                </c:pt>
                <c:pt idx="167">
                  <c:v>383.5</c:v>
                </c:pt>
                <c:pt idx="168">
                  <c:v>384</c:v>
                </c:pt>
                <c:pt idx="169">
                  <c:v>384.5</c:v>
                </c:pt>
                <c:pt idx="170">
                  <c:v>385</c:v>
                </c:pt>
                <c:pt idx="171">
                  <c:v>385.5</c:v>
                </c:pt>
                <c:pt idx="172">
                  <c:v>386</c:v>
                </c:pt>
                <c:pt idx="173">
                  <c:v>386.5</c:v>
                </c:pt>
                <c:pt idx="174">
                  <c:v>387</c:v>
                </c:pt>
                <c:pt idx="175">
                  <c:v>387.5</c:v>
                </c:pt>
                <c:pt idx="176">
                  <c:v>388</c:v>
                </c:pt>
                <c:pt idx="177">
                  <c:v>388.5</c:v>
                </c:pt>
                <c:pt idx="178">
                  <c:v>389</c:v>
                </c:pt>
                <c:pt idx="179">
                  <c:v>389.5</c:v>
                </c:pt>
                <c:pt idx="180">
                  <c:v>390</c:v>
                </c:pt>
                <c:pt idx="181">
                  <c:v>390.5</c:v>
                </c:pt>
                <c:pt idx="182">
                  <c:v>391</c:v>
                </c:pt>
                <c:pt idx="183">
                  <c:v>391.5</c:v>
                </c:pt>
                <c:pt idx="184">
                  <c:v>392</c:v>
                </c:pt>
                <c:pt idx="185">
                  <c:v>392.5</c:v>
                </c:pt>
                <c:pt idx="186">
                  <c:v>393</c:v>
                </c:pt>
                <c:pt idx="187">
                  <c:v>393.5</c:v>
                </c:pt>
                <c:pt idx="188">
                  <c:v>394</c:v>
                </c:pt>
                <c:pt idx="189">
                  <c:v>394.5</c:v>
                </c:pt>
                <c:pt idx="190">
                  <c:v>395</c:v>
                </c:pt>
                <c:pt idx="191">
                  <c:v>395.5</c:v>
                </c:pt>
                <c:pt idx="192">
                  <c:v>396</c:v>
                </c:pt>
                <c:pt idx="193">
                  <c:v>396.5</c:v>
                </c:pt>
                <c:pt idx="194">
                  <c:v>397</c:v>
                </c:pt>
                <c:pt idx="195">
                  <c:v>397.5</c:v>
                </c:pt>
                <c:pt idx="196">
                  <c:v>398</c:v>
                </c:pt>
                <c:pt idx="197">
                  <c:v>398.5</c:v>
                </c:pt>
                <c:pt idx="198">
                  <c:v>399</c:v>
                </c:pt>
                <c:pt idx="199">
                  <c:v>399.5</c:v>
                </c:pt>
                <c:pt idx="200">
                  <c:v>400</c:v>
                </c:pt>
                <c:pt idx="201">
                  <c:v>400.5</c:v>
                </c:pt>
                <c:pt idx="202">
                  <c:v>401</c:v>
                </c:pt>
                <c:pt idx="203">
                  <c:v>401.5</c:v>
                </c:pt>
                <c:pt idx="204">
                  <c:v>402</c:v>
                </c:pt>
                <c:pt idx="205">
                  <c:v>402.5</c:v>
                </c:pt>
                <c:pt idx="206">
                  <c:v>403</c:v>
                </c:pt>
                <c:pt idx="207">
                  <c:v>403.5</c:v>
                </c:pt>
                <c:pt idx="208">
                  <c:v>404</c:v>
                </c:pt>
                <c:pt idx="209">
                  <c:v>404.5</c:v>
                </c:pt>
                <c:pt idx="210">
                  <c:v>405</c:v>
                </c:pt>
                <c:pt idx="211">
                  <c:v>405.5</c:v>
                </c:pt>
                <c:pt idx="212">
                  <c:v>406</c:v>
                </c:pt>
                <c:pt idx="213">
                  <c:v>406.5</c:v>
                </c:pt>
                <c:pt idx="214">
                  <c:v>407</c:v>
                </c:pt>
                <c:pt idx="215">
                  <c:v>407.5</c:v>
                </c:pt>
                <c:pt idx="216">
                  <c:v>408</c:v>
                </c:pt>
                <c:pt idx="217">
                  <c:v>408.5</c:v>
                </c:pt>
                <c:pt idx="218">
                  <c:v>409</c:v>
                </c:pt>
                <c:pt idx="219">
                  <c:v>409.5</c:v>
                </c:pt>
                <c:pt idx="220">
                  <c:v>410</c:v>
                </c:pt>
                <c:pt idx="221">
                  <c:v>410.5</c:v>
                </c:pt>
                <c:pt idx="222">
                  <c:v>411</c:v>
                </c:pt>
                <c:pt idx="223">
                  <c:v>411.5</c:v>
                </c:pt>
                <c:pt idx="224">
                  <c:v>412</c:v>
                </c:pt>
                <c:pt idx="225">
                  <c:v>412.5</c:v>
                </c:pt>
                <c:pt idx="226">
                  <c:v>413</c:v>
                </c:pt>
                <c:pt idx="227">
                  <c:v>413.5</c:v>
                </c:pt>
                <c:pt idx="228">
                  <c:v>414</c:v>
                </c:pt>
                <c:pt idx="229">
                  <c:v>414.5</c:v>
                </c:pt>
                <c:pt idx="230">
                  <c:v>415</c:v>
                </c:pt>
                <c:pt idx="231">
                  <c:v>415.5</c:v>
                </c:pt>
                <c:pt idx="232">
                  <c:v>416</c:v>
                </c:pt>
                <c:pt idx="233">
                  <c:v>416.5</c:v>
                </c:pt>
                <c:pt idx="234">
                  <c:v>417</c:v>
                </c:pt>
                <c:pt idx="235">
                  <c:v>417.5</c:v>
                </c:pt>
                <c:pt idx="236">
                  <c:v>418</c:v>
                </c:pt>
                <c:pt idx="237">
                  <c:v>418.5</c:v>
                </c:pt>
                <c:pt idx="238">
                  <c:v>419</c:v>
                </c:pt>
                <c:pt idx="239">
                  <c:v>419.5</c:v>
                </c:pt>
                <c:pt idx="240">
                  <c:v>420</c:v>
                </c:pt>
                <c:pt idx="241">
                  <c:v>420.5</c:v>
                </c:pt>
                <c:pt idx="242">
                  <c:v>421</c:v>
                </c:pt>
                <c:pt idx="243">
                  <c:v>421.5</c:v>
                </c:pt>
                <c:pt idx="244">
                  <c:v>422</c:v>
                </c:pt>
                <c:pt idx="245">
                  <c:v>422.5</c:v>
                </c:pt>
                <c:pt idx="246">
                  <c:v>423</c:v>
                </c:pt>
                <c:pt idx="247">
                  <c:v>423.5</c:v>
                </c:pt>
                <c:pt idx="248">
                  <c:v>424</c:v>
                </c:pt>
                <c:pt idx="249">
                  <c:v>424.5</c:v>
                </c:pt>
                <c:pt idx="250">
                  <c:v>425</c:v>
                </c:pt>
                <c:pt idx="251">
                  <c:v>425.5</c:v>
                </c:pt>
                <c:pt idx="252">
                  <c:v>426</c:v>
                </c:pt>
                <c:pt idx="253">
                  <c:v>426.5</c:v>
                </c:pt>
                <c:pt idx="254">
                  <c:v>427</c:v>
                </c:pt>
                <c:pt idx="255">
                  <c:v>427.5</c:v>
                </c:pt>
                <c:pt idx="256">
                  <c:v>428</c:v>
                </c:pt>
                <c:pt idx="257">
                  <c:v>428.5</c:v>
                </c:pt>
                <c:pt idx="258">
                  <c:v>429</c:v>
                </c:pt>
                <c:pt idx="259">
                  <c:v>429.5</c:v>
                </c:pt>
                <c:pt idx="260">
                  <c:v>430</c:v>
                </c:pt>
                <c:pt idx="261">
                  <c:v>430.5</c:v>
                </c:pt>
                <c:pt idx="262">
                  <c:v>431</c:v>
                </c:pt>
                <c:pt idx="263">
                  <c:v>431.5</c:v>
                </c:pt>
                <c:pt idx="264">
                  <c:v>432</c:v>
                </c:pt>
                <c:pt idx="265">
                  <c:v>432.5</c:v>
                </c:pt>
                <c:pt idx="266">
                  <c:v>433</c:v>
                </c:pt>
                <c:pt idx="267">
                  <c:v>433.5</c:v>
                </c:pt>
                <c:pt idx="268">
                  <c:v>434</c:v>
                </c:pt>
                <c:pt idx="269">
                  <c:v>434.5</c:v>
                </c:pt>
                <c:pt idx="270">
                  <c:v>435</c:v>
                </c:pt>
                <c:pt idx="271">
                  <c:v>435.5</c:v>
                </c:pt>
                <c:pt idx="272">
                  <c:v>436</c:v>
                </c:pt>
                <c:pt idx="273">
                  <c:v>436.5</c:v>
                </c:pt>
                <c:pt idx="274">
                  <c:v>437</c:v>
                </c:pt>
                <c:pt idx="275">
                  <c:v>437.5</c:v>
                </c:pt>
                <c:pt idx="276">
                  <c:v>438</c:v>
                </c:pt>
                <c:pt idx="277">
                  <c:v>438.5</c:v>
                </c:pt>
                <c:pt idx="278">
                  <c:v>439</c:v>
                </c:pt>
                <c:pt idx="279">
                  <c:v>439.5</c:v>
                </c:pt>
                <c:pt idx="280">
                  <c:v>440</c:v>
                </c:pt>
                <c:pt idx="281">
                  <c:v>440.5</c:v>
                </c:pt>
                <c:pt idx="282">
                  <c:v>441</c:v>
                </c:pt>
                <c:pt idx="283">
                  <c:v>441.5</c:v>
                </c:pt>
                <c:pt idx="284">
                  <c:v>442</c:v>
                </c:pt>
                <c:pt idx="285">
                  <c:v>442.5</c:v>
                </c:pt>
                <c:pt idx="286">
                  <c:v>443</c:v>
                </c:pt>
                <c:pt idx="287">
                  <c:v>443.5</c:v>
                </c:pt>
                <c:pt idx="288">
                  <c:v>444</c:v>
                </c:pt>
                <c:pt idx="289">
                  <c:v>444.5</c:v>
                </c:pt>
                <c:pt idx="290">
                  <c:v>445</c:v>
                </c:pt>
                <c:pt idx="291">
                  <c:v>445.5</c:v>
                </c:pt>
                <c:pt idx="292">
                  <c:v>446</c:v>
                </c:pt>
                <c:pt idx="293">
                  <c:v>446.5</c:v>
                </c:pt>
                <c:pt idx="294">
                  <c:v>447</c:v>
                </c:pt>
                <c:pt idx="295">
                  <c:v>447.5</c:v>
                </c:pt>
                <c:pt idx="296">
                  <c:v>448</c:v>
                </c:pt>
                <c:pt idx="297">
                  <c:v>448.5</c:v>
                </c:pt>
                <c:pt idx="298">
                  <c:v>449</c:v>
                </c:pt>
                <c:pt idx="299">
                  <c:v>449.5</c:v>
                </c:pt>
                <c:pt idx="300">
                  <c:v>450</c:v>
                </c:pt>
                <c:pt idx="301">
                  <c:v>450.5</c:v>
                </c:pt>
                <c:pt idx="302">
                  <c:v>451</c:v>
                </c:pt>
                <c:pt idx="303">
                  <c:v>451.5</c:v>
                </c:pt>
                <c:pt idx="304">
                  <c:v>452</c:v>
                </c:pt>
                <c:pt idx="305">
                  <c:v>452.5</c:v>
                </c:pt>
                <c:pt idx="306">
                  <c:v>453</c:v>
                </c:pt>
                <c:pt idx="307">
                  <c:v>453.5</c:v>
                </c:pt>
                <c:pt idx="308">
                  <c:v>454</c:v>
                </c:pt>
                <c:pt idx="309">
                  <c:v>454.5</c:v>
                </c:pt>
                <c:pt idx="310">
                  <c:v>455</c:v>
                </c:pt>
                <c:pt idx="311">
                  <c:v>455.5</c:v>
                </c:pt>
                <c:pt idx="312">
                  <c:v>456</c:v>
                </c:pt>
                <c:pt idx="313">
                  <c:v>456.5</c:v>
                </c:pt>
                <c:pt idx="314">
                  <c:v>457</c:v>
                </c:pt>
                <c:pt idx="315">
                  <c:v>457.5</c:v>
                </c:pt>
                <c:pt idx="316">
                  <c:v>458</c:v>
                </c:pt>
                <c:pt idx="317">
                  <c:v>458.5</c:v>
                </c:pt>
                <c:pt idx="318">
                  <c:v>459</c:v>
                </c:pt>
                <c:pt idx="319">
                  <c:v>459.5</c:v>
                </c:pt>
                <c:pt idx="320">
                  <c:v>460</c:v>
                </c:pt>
                <c:pt idx="321">
                  <c:v>460.5</c:v>
                </c:pt>
                <c:pt idx="322">
                  <c:v>461</c:v>
                </c:pt>
                <c:pt idx="323">
                  <c:v>461.5</c:v>
                </c:pt>
                <c:pt idx="324">
                  <c:v>462</c:v>
                </c:pt>
                <c:pt idx="325">
                  <c:v>462.5</c:v>
                </c:pt>
                <c:pt idx="326">
                  <c:v>463</c:v>
                </c:pt>
                <c:pt idx="327">
                  <c:v>463.5</c:v>
                </c:pt>
                <c:pt idx="328">
                  <c:v>464</c:v>
                </c:pt>
                <c:pt idx="329">
                  <c:v>464.5</c:v>
                </c:pt>
                <c:pt idx="330">
                  <c:v>465</c:v>
                </c:pt>
                <c:pt idx="331">
                  <c:v>465.5</c:v>
                </c:pt>
                <c:pt idx="332">
                  <c:v>466</c:v>
                </c:pt>
                <c:pt idx="333">
                  <c:v>466.5</c:v>
                </c:pt>
                <c:pt idx="334">
                  <c:v>467</c:v>
                </c:pt>
                <c:pt idx="335">
                  <c:v>467.5</c:v>
                </c:pt>
                <c:pt idx="336">
                  <c:v>468</c:v>
                </c:pt>
                <c:pt idx="337">
                  <c:v>468.5</c:v>
                </c:pt>
                <c:pt idx="338">
                  <c:v>469</c:v>
                </c:pt>
                <c:pt idx="339">
                  <c:v>469.5</c:v>
                </c:pt>
                <c:pt idx="340">
                  <c:v>470</c:v>
                </c:pt>
                <c:pt idx="341">
                  <c:v>470.5</c:v>
                </c:pt>
                <c:pt idx="342">
                  <c:v>471</c:v>
                </c:pt>
                <c:pt idx="343">
                  <c:v>471.5</c:v>
                </c:pt>
                <c:pt idx="344">
                  <c:v>472</c:v>
                </c:pt>
                <c:pt idx="345">
                  <c:v>472.5</c:v>
                </c:pt>
                <c:pt idx="346">
                  <c:v>473</c:v>
                </c:pt>
                <c:pt idx="347">
                  <c:v>473.5</c:v>
                </c:pt>
                <c:pt idx="348">
                  <c:v>474</c:v>
                </c:pt>
                <c:pt idx="349">
                  <c:v>474.5</c:v>
                </c:pt>
                <c:pt idx="350">
                  <c:v>475</c:v>
                </c:pt>
                <c:pt idx="351">
                  <c:v>475.5</c:v>
                </c:pt>
                <c:pt idx="352">
                  <c:v>476</c:v>
                </c:pt>
                <c:pt idx="353">
                  <c:v>476.5</c:v>
                </c:pt>
                <c:pt idx="354">
                  <c:v>477</c:v>
                </c:pt>
                <c:pt idx="355">
                  <c:v>477.5</c:v>
                </c:pt>
                <c:pt idx="356">
                  <c:v>478</c:v>
                </c:pt>
                <c:pt idx="357">
                  <c:v>478.5</c:v>
                </c:pt>
                <c:pt idx="358">
                  <c:v>479</c:v>
                </c:pt>
                <c:pt idx="359">
                  <c:v>479.5</c:v>
                </c:pt>
                <c:pt idx="360">
                  <c:v>480</c:v>
                </c:pt>
                <c:pt idx="361">
                  <c:v>480.5</c:v>
                </c:pt>
                <c:pt idx="362">
                  <c:v>481</c:v>
                </c:pt>
                <c:pt idx="363">
                  <c:v>481.5</c:v>
                </c:pt>
                <c:pt idx="364">
                  <c:v>482</c:v>
                </c:pt>
                <c:pt idx="365">
                  <c:v>482.5</c:v>
                </c:pt>
                <c:pt idx="366">
                  <c:v>483</c:v>
                </c:pt>
                <c:pt idx="367">
                  <c:v>483.5</c:v>
                </c:pt>
                <c:pt idx="368">
                  <c:v>484</c:v>
                </c:pt>
                <c:pt idx="369">
                  <c:v>484.5</c:v>
                </c:pt>
                <c:pt idx="370">
                  <c:v>485</c:v>
                </c:pt>
                <c:pt idx="371">
                  <c:v>485.5</c:v>
                </c:pt>
                <c:pt idx="372">
                  <c:v>486</c:v>
                </c:pt>
                <c:pt idx="373">
                  <c:v>486.5</c:v>
                </c:pt>
                <c:pt idx="374">
                  <c:v>487</c:v>
                </c:pt>
                <c:pt idx="375">
                  <c:v>487.5</c:v>
                </c:pt>
                <c:pt idx="376">
                  <c:v>488</c:v>
                </c:pt>
                <c:pt idx="377">
                  <c:v>488.5</c:v>
                </c:pt>
                <c:pt idx="378">
                  <c:v>489</c:v>
                </c:pt>
                <c:pt idx="379">
                  <c:v>489.5</c:v>
                </c:pt>
                <c:pt idx="380">
                  <c:v>490</c:v>
                </c:pt>
                <c:pt idx="381">
                  <c:v>490.5</c:v>
                </c:pt>
                <c:pt idx="382">
                  <c:v>491</c:v>
                </c:pt>
                <c:pt idx="383">
                  <c:v>491.5</c:v>
                </c:pt>
                <c:pt idx="384">
                  <c:v>492</c:v>
                </c:pt>
                <c:pt idx="385">
                  <c:v>492.5</c:v>
                </c:pt>
                <c:pt idx="386">
                  <c:v>493</c:v>
                </c:pt>
                <c:pt idx="387">
                  <c:v>493.5</c:v>
                </c:pt>
                <c:pt idx="388">
                  <c:v>494</c:v>
                </c:pt>
                <c:pt idx="389">
                  <c:v>494.5</c:v>
                </c:pt>
                <c:pt idx="390">
                  <c:v>495</c:v>
                </c:pt>
                <c:pt idx="391">
                  <c:v>495.5</c:v>
                </c:pt>
                <c:pt idx="392">
                  <c:v>496</c:v>
                </c:pt>
                <c:pt idx="393">
                  <c:v>496.5</c:v>
                </c:pt>
                <c:pt idx="394">
                  <c:v>497</c:v>
                </c:pt>
                <c:pt idx="395">
                  <c:v>497.5</c:v>
                </c:pt>
                <c:pt idx="396">
                  <c:v>498</c:v>
                </c:pt>
                <c:pt idx="397">
                  <c:v>498.5</c:v>
                </c:pt>
                <c:pt idx="398">
                  <c:v>499</c:v>
                </c:pt>
                <c:pt idx="399">
                  <c:v>499.5</c:v>
                </c:pt>
                <c:pt idx="400">
                  <c:v>500</c:v>
                </c:pt>
                <c:pt idx="401">
                  <c:v>500.5</c:v>
                </c:pt>
                <c:pt idx="402">
                  <c:v>501</c:v>
                </c:pt>
                <c:pt idx="403">
                  <c:v>501.5</c:v>
                </c:pt>
                <c:pt idx="404">
                  <c:v>502</c:v>
                </c:pt>
                <c:pt idx="405">
                  <c:v>502.5</c:v>
                </c:pt>
                <c:pt idx="406">
                  <c:v>503</c:v>
                </c:pt>
                <c:pt idx="407">
                  <c:v>503.5</c:v>
                </c:pt>
                <c:pt idx="408">
                  <c:v>504</c:v>
                </c:pt>
                <c:pt idx="409">
                  <c:v>504.5</c:v>
                </c:pt>
                <c:pt idx="410">
                  <c:v>505</c:v>
                </c:pt>
                <c:pt idx="411">
                  <c:v>505.5</c:v>
                </c:pt>
                <c:pt idx="412">
                  <c:v>506</c:v>
                </c:pt>
                <c:pt idx="413">
                  <c:v>506.5</c:v>
                </c:pt>
                <c:pt idx="414">
                  <c:v>507</c:v>
                </c:pt>
                <c:pt idx="415">
                  <c:v>507.5</c:v>
                </c:pt>
                <c:pt idx="416">
                  <c:v>508</c:v>
                </c:pt>
                <c:pt idx="417">
                  <c:v>508.5</c:v>
                </c:pt>
                <c:pt idx="418">
                  <c:v>509</c:v>
                </c:pt>
                <c:pt idx="419">
                  <c:v>509.5</c:v>
                </c:pt>
                <c:pt idx="420">
                  <c:v>510</c:v>
                </c:pt>
                <c:pt idx="421">
                  <c:v>510.5</c:v>
                </c:pt>
                <c:pt idx="422">
                  <c:v>511</c:v>
                </c:pt>
                <c:pt idx="423">
                  <c:v>511.5</c:v>
                </c:pt>
                <c:pt idx="424">
                  <c:v>512</c:v>
                </c:pt>
                <c:pt idx="425">
                  <c:v>512.5</c:v>
                </c:pt>
                <c:pt idx="426">
                  <c:v>513</c:v>
                </c:pt>
                <c:pt idx="427">
                  <c:v>513.5</c:v>
                </c:pt>
                <c:pt idx="428">
                  <c:v>514</c:v>
                </c:pt>
                <c:pt idx="429">
                  <c:v>514.5</c:v>
                </c:pt>
                <c:pt idx="430">
                  <c:v>515</c:v>
                </c:pt>
                <c:pt idx="431">
                  <c:v>515.5</c:v>
                </c:pt>
                <c:pt idx="432">
                  <c:v>516</c:v>
                </c:pt>
                <c:pt idx="433">
                  <c:v>516.5</c:v>
                </c:pt>
                <c:pt idx="434">
                  <c:v>517</c:v>
                </c:pt>
                <c:pt idx="435">
                  <c:v>517.5</c:v>
                </c:pt>
                <c:pt idx="436">
                  <c:v>518</c:v>
                </c:pt>
                <c:pt idx="437">
                  <c:v>518.5</c:v>
                </c:pt>
                <c:pt idx="438">
                  <c:v>519</c:v>
                </c:pt>
                <c:pt idx="439">
                  <c:v>519.5</c:v>
                </c:pt>
                <c:pt idx="440">
                  <c:v>520</c:v>
                </c:pt>
                <c:pt idx="441">
                  <c:v>520.5</c:v>
                </c:pt>
                <c:pt idx="442">
                  <c:v>521</c:v>
                </c:pt>
                <c:pt idx="443">
                  <c:v>521.5</c:v>
                </c:pt>
                <c:pt idx="444">
                  <c:v>522</c:v>
                </c:pt>
                <c:pt idx="445">
                  <c:v>522.5</c:v>
                </c:pt>
                <c:pt idx="446">
                  <c:v>523</c:v>
                </c:pt>
                <c:pt idx="447">
                  <c:v>523.5</c:v>
                </c:pt>
                <c:pt idx="448">
                  <c:v>524</c:v>
                </c:pt>
                <c:pt idx="449">
                  <c:v>524.5</c:v>
                </c:pt>
                <c:pt idx="450">
                  <c:v>525</c:v>
                </c:pt>
                <c:pt idx="451">
                  <c:v>525.5</c:v>
                </c:pt>
                <c:pt idx="452">
                  <c:v>526</c:v>
                </c:pt>
                <c:pt idx="453">
                  <c:v>526.5</c:v>
                </c:pt>
                <c:pt idx="454">
                  <c:v>527</c:v>
                </c:pt>
                <c:pt idx="455">
                  <c:v>527.5</c:v>
                </c:pt>
                <c:pt idx="456">
                  <c:v>528</c:v>
                </c:pt>
                <c:pt idx="457">
                  <c:v>528.5</c:v>
                </c:pt>
                <c:pt idx="458">
                  <c:v>529</c:v>
                </c:pt>
                <c:pt idx="459">
                  <c:v>529.5</c:v>
                </c:pt>
                <c:pt idx="460">
                  <c:v>530</c:v>
                </c:pt>
                <c:pt idx="461">
                  <c:v>530.5</c:v>
                </c:pt>
                <c:pt idx="462">
                  <c:v>531</c:v>
                </c:pt>
                <c:pt idx="463">
                  <c:v>531.5</c:v>
                </c:pt>
                <c:pt idx="464">
                  <c:v>532</c:v>
                </c:pt>
                <c:pt idx="465">
                  <c:v>532.5</c:v>
                </c:pt>
                <c:pt idx="466">
                  <c:v>533</c:v>
                </c:pt>
                <c:pt idx="467">
                  <c:v>533.5</c:v>
                </c:pt>
                <c:pt idx="468">
                  <c:v>534</c:v>
                </c:pt>
                <c:pt idx="469">
                  <c:v>534.5</c:v>
                </c:pt>
                <c:pt idx="470">
                  <c:v>535</c:v>
                </c:pt>
                <c:pt idx="471">
                  <c:v>535.5</c:v>
                </c:pt>
                <c:pt idx="472">
                  <c:v>536</c:v>
                </c:pt>
                <c:pt idx="473">
                  <c:v>536.5</c:v>
                </c:pt>
                <c:pt idx="474">
                  <c:v>537</c:v>
                </c:pt>
                <c:pt idx="475">
                  <c:v>537.5</c:v>
                </c:pt>
                <c:pt idx="476">
                  <c:v>538</c:v>
                </c:pt>
                <c:pt idx="477">
                  <c:v>538.5</c:v>
                </c:pt>
                <c:pt idx="478">
                  <c:v>539</c:v>
                </c:pt>
                <c:pt idx="479">
                  <c:v>539.5</c:v>
                </c:pt>
                <c:pt idx="480">
                  <c:v>540</c:v>
                </c:pt>
                <c:pt idx="481">
                  <c:v>540.5</c:v>
                </c:pt>
                <c:pt idx="482">
                  <c:v>541</c:v>
                </c:pt>
                <c:pt idx="483">
                  <c:v>541.5</c:v>
                </c:pt>
                <c:pt idx="484">
                  <c:v>542</c:v>
                </c:pt>
                <c:pt idx="485">
                  <c:v>542.5</c:v>
                </c:pt>
                <c:pt idx="486">
                  <c:v>543</c:v>
                </c:pt>
                <c:pt idx="487">
                  <c:v>543.5</c:v>
                </c:pt>
                <c:pt idx="488">
                  <c:v>544</c:v>
                </c:pt>
                <c:pt idx="489">
                  <c:v>544.5</c:v>
                </c:pt>
                <c:pt idx="490">
                  <c:v>545</c:v>
                </c:pt>
                <c:pt idx="491">
                  <c:v>545.5</c:v>
                </c:pt>
                <c:pt idx="492">
                  <c:v>546</c:v>
                </c:pt>
                <c:pt idx="493">
                  <c:v>546.5</c:v>
                </c:pt>
                <c:pt idx="494">
                  <c:v>547</c:v>
                </c:pt>
                <c:pt idx="495">
                  <c:v>547.5</c:v>
                </c:pt>
                <c:pt idx="496">
                  <c:v>548</c:v>
                </c:pt>
                <c:pt idx="497">
                  <c:v>548.5</c:v>
                </c:pt>
                <c:pt idx="498">
                  <c:v>549</c:v>
                </c:pt>
                <c:pt idx="499">
                  <c:v>549.5</c:v>
                </c:pt>
                <c:pt idx="500">
                  <c:v>550</c:v>
                </c:pt>
                <c:pt idx="501">
                  <c:v>550.5</c:v>
                </c:pt>
                <c:pt idx="502">
                  <c:v>551</c:v>
                </c:pt>
                <c:pt idx="503">
                  <c:v>551.5</c:v>
                </c:pt>
                <c:pt idx="504">
                  <c:v>552</c:v>
                </c:pt>
                <c:pt idx="505">
                  <c:v>552.5</c:v>
                </c:pt>
                <c:pt idx="506">
                  <c:v>553</c:v>
                </c:pt>
                <c:pt idx="507">
                  <c:v>553.5</c:v>
                </c:pt>
                <c:pt idx="508">
                  <c:v>554</c:v>
                </c:pt>
                <c:pt idx="509">
                  <c:v>554.5</c:v>
                </c:pt>
                <c:pt idx="510">
                  <c:v>555</c:v>
                </c:pt>
                <c:pt idx="511">
                  <c:v>555.5</c:v>
                </c:pt>
                <c:pt idx="512">
                  <c:v>556</c:v>
                </c:pt>
                <c:pt idx="513">
                  <c:v>556.5</c:v>
                </c:pt>
                <c:pt idx="514">
                  <c:v>557</c:v>
                </c:pt>
                <c:pt idx="515">
                  <c:v>557.5</c:v>
                </c:pt>
                <c:pt idx="516">
                  <c:v>558</c:v>
                </c:pt>
                <c:pt idx="517">
                  <c:v>558.5</c:v>
                </c:pt>
                <c:pt idx="518">
                  <c:v>559</c:v>
                </c:pt>
                <c:pt idx="519">
                  <c:v>559.5</c:v>
                </c:pt>
                <c:pt idx="520">
                  <c:v>560</c:v>
                </c:pt>
                <c:pt idx="521">
                  <c:v>560.5</c:v>
                </c:pt>
                <c:pt idx="522">
                  <c:v>561</c:v>
                </c:pt>
                <c:pt idx="523">
                  <c:v>561.5</c:v>
                </c:pt>
                <c:pt idx="524">
                  <c:v>562</c:v>
                </c:pt>
                <c:pt idx="525">
                  <c:v>562.5</c:v>
                </c:pt>
                <c:pt idx="526">
                  <c:v>563</c:v>
                </c:pt>
                <c:pt idx="527">
                  <c:v>563.5</c:v>
                </c:pt>
                <c:pt idx="528">
                  <c:v>564</c:v>
                </c:pt>
                <c:pt idx="529">
                  <c:v>564.5</c:v>
                </c:pt>
                <c:pt idx="530">
                  <c:v>565</c:v>
                </c:pt>
                <c:pt idx="531">
                  <c:v>565.5</c:v>
                </c:pt>
                <c:pt idx="532">
                  <c:v>566</c:v>
                </c:pt>
                <c:pt idx="533">
                  <c:v>566.5</c:v>
                </c:pt>
                <c:pt idx="534">
                  <c:v>567</c:v>
                </c:pt>
                <c:pt idx="535">
                  <c:v>567.5</c:v>
                </c:pt>
                <c:pt idx="536">
                  <c:v>568</c:v>
                </c:pt>
                <c:pt idx="537">
                  <c:v>568.5</c:v>
                </c:pt>
                <c:pt idx="538">
                  <c:v>569</c:v>
                </c:pt>
                <c:pt idx="539">
                  <c:v>569.5</c:v>
                </c:pt>
                <c:pt idx="540">
                  <c:v>570</c:v>
                </c:pt>
                <c:pt idx="541">
                  <c:v>570.5</c:v>
                </c:pt>
                <c:pt idx="542">
                  <c:v>571</c:v>
                </c:pt>
                <c:pt idx="543">
                  <c:v>571.5</c:v>
                </c:pt>
                <c:pt idx="544">
                  <c:v>572</c:v>
                </c:pt>
                <c:pt idx="545">
                  <c:v>572.5</c:v>
                </c:pt>
                <c:pt idx="546">
                  <c:v>573</c:v>
                </c:pt>
                <c:pt idx="547">
                  <c:v>573.5</c:v>
                </c:pt>
                <c:pt idx="548">
                  <c:v>574</c:v>
                </c:pt>
                <c:pt idx="549">
                  <c:v>574.5</c:v>
                </c:pt>
                <c:pt idx="550">
                  <c:v>575</c:v>
                </c:pt>
                <c:pt idx="551">
                  <c:v>575.5</c:v>
                </c:pt>
                <c:pt idx="552">
                  <c:v>576</c:v>
                </c:pt>
                <c:pt idx="553">
                  <c:v>576.5</c:v>
                </c:pt>
                <c:pt idx="554">
                  <c:v>577</c:v>
                </c:pt>
                <c:pt idx="555">
                  <c:v>577.5</c:v>
                </c:pt>
                <c:pt idx="556">
                  <c:v>578</c:v>
                </c:pt>
                <c:pt idx="557">
                  <c:v>578.5</c:v>
                </c:pt>
                <c:pt idx="558">
                  <c:v>579</c:v>
                </c:pt>
                <c:pt idx="559">
                  <c:v>579.5</c:v>
                </c:pt>
                <c:pt idx="560">
                  <c:v>580</c:v>
                </c:pt>
                <c:pt idx="561">
                  <c:v>580.5</c:v>
                </c:pt>
                <c:pt idx="562">
                  <c:v>581</c:v>
                </c:pt>
                <c:pt idx="563">
                  <c:v>581.5</c:v>
                </c:pt>
                <c:pt idx="564">
                  <c:v>582</c:v>
                </c:pt>
                <c:pt idx="565">
                  <c:v>582.5</c:v>
                </c:pt>
                <c:pt idx="566">
                  <c:v>583</c:v>
                </c:pt>
                <c:pt idx="567">
                  <c:v>583.5</c:v>
                </c:pt>
                <c:pt idx="568">
                  <c:v>584</c:v>
                </c:pt>
                <c:pt idx="569">
                  <c:v>584.5</c:v>
                </c:pt>
                <c:pt idx="570">
                  <c:v>585</c:v>
                </c:pt>
                <c:pt idx="571">
                  <c:v>585.5</c:v>
                </c:pt>
                <c:pt idx="572">
                  <c:v>586</c:v>
                </c:pt>
                <c:pt idx="573">
                  <c:v>586.5</c:v>
                </c:pt>
                <c:pt idx="574">
                  <c:v>587</c:v>
                </c:pt>
                <c:pt idx="575">
                  <c:v>587.5</c:v>
                </c:pt>
                <c:pt idx="576">
                  <c:v>588</c:v>
                </c:pt>
                <c:pt idx="577">
                  <c:v>588.5</c:v>
                </c:pt>
                <c:pt idx="578">
                  <c:v>589</c:v>
                </c:pt>
                <c:pt idx="579">
                  <c:v>589.5</c:v>
                </c:pt>
                <c:pt idx="580">
                  <c:v>590</c:v>
                </c:pt>
                <c:pt idx="581">
                  <c:v>590.5</c:v>
                </c:pt>
                <c:pt idx="582">
                  <c:v>591</c:v>
                </c:pt>
                <c:pt idx="583">
                  <c:v>591.5</c:v>
                </c:pt>
                <c:pt idx="584">
                  <c:v>592</c:v>
                </c:pt>
                <c:pt idx="585">
                  <c:v>592.5</c:v>
                </c:pt>
                <c:pt idx="586">
                  <c:v>593</c:v>
                </c:pt>
                <c:pt idx="587">
                  <c:v>593.5</c:v>
                </c:pt>
                <c:pt idx="588">
                  <c:v>594</c:v>
                </c:pt>
                <c:pt idx="589">
                  <c:v>594.5</c:v>
                </c:pt>
                <c:pt idx="590">
                  <c:v>595</c:v>
                </c:pt>
                <c:pt idx="591">
                  <c:v>595.5</c:v>
                </c:pt>
                <c:pt idx="592">
                  <c:v>596</c:v>
                </c:pt>
                <c:pt idx="593">
                  <c:v>596.5</c:v>
                </c:pt>
                <c:pt idx="594">
                  <c:v>597</c:v>
                </c:pt>
                <c:pt idx="595">
                  <c:v>597.5</c:v>
                </c:pt>
                <c:pt idx="596">
                  <c:v>598</c:v>
                </c:pt>
                <c:pt idx="597">
                  <c:v>598.5</c:v>
                </c:pt>
                <c:pt idx="598">
                  <c:v>599</c:v>
                </c:pt>
                <c:pt idx="599">
                  <c:v>599.5</c:v>
                </c:pt>
                <c:pt idx="600">
                  <c:v>600</c:v>
                </c:pt>
                <c:pt idx="601">
                  <c:v>600.5</c:v>
                </c:pt>
                <c:pt idx="602">
                  <c:v>601</c:v>
                </c:pt>
                <c:pt idx="603">
                  <c:v>601.5</c:v>
                </c:pt>
                <c:pt idx="604">
                  <c:v>602</c:v>
                </c:pt>
                <c:pt idx="605">
                  <c:v>602.5</c:v>
                </c:pt>
                <c:pt idx="606">
                  <c:v>603</c:v>
                </c:pt>
                <c:pt idx="607">
                  <c:v>603.5</c:v>
                </c:pt>
                <c:pt idx="608">
                  <c:v>604</c:v>
                </c:pt>
                <c:pt idx="609">
                  <c:v>604.5</c:v>
                </c:pt>
                <c:pt idx="610">
                  <c:v>605</c:v>
                </c:pt>
                <c:pt idx="611">
                  <c:v>605.5</c:v>
                </c:pt>
                <c:pt idx="612">
                  <c:v>606</c:v>
                </c:pt>
                <c:pt idx="613">
                  <c:v>606.5</c:v>
                </c:pt>
                <c:pt idx="614">
                  <c:v>607</c:v>
                </c:pt>
                <c:pt idx="615">
                  <c:v>607.5</c:v>
                </c:pt>
                <c:pt idx="616">
                  <c:v>608</c:v>
                </c:pt>
                <c:pt idx="617">
                  <c:v>608.5</c:v>
                </c:pt>
                <c:pt idx="618">
                  <c:v>609</c:v>
                </c:pt>
                <c:pt idx="619">
                  <c:v>609.5</c:v>
                </c:pt>
                <c:pt idx="620">
                  <c:v>610</c:v>
                </c:pt>
                <c:pt idx="621">
                  <c:v>610.5</c:v>
                </c:pt>
                <c:pt idx="622">
                  <c:v>611</c:v>
                </c:pt>
                <c:pt idx="623">
                  <c:v>611.5</c:v>
                </c:pt>
                <c:pt idx="624">
                  <c:v>612</c:v>
                </c:pt>
                <c:pt idx="625">
                  <c:v>612.5</c:v>
                </c:pt>
                <c:pt idx="626">
                  <c:v>613</c:v>
                </c:pt>
                <c:pt idx="627">
                  <c:v>613.5</c:v>
                </c:pt>
                <c:pt idx="628">
                  <c:v>614</c:v>
                </c:pt>
                <c:pt idx="629">
                  <c:v>614.5</c:v>
                </c:pt>
                <c:pt idx="630">
                  <c:v>615</c:v>
                </c:pt>
                <c:pt idx="631">
                  <c:v>615.5</c:v>
                </c:pt>
                <c:pt idx="632">
                  <c:v>616</c:v>
                </c:pt>
                <c:pt idx="633">
                  <c:v>616.5</c:v>
                </c:pt>
                <c:pt idx="634">
                  <c:v>617</c:v>
                </c:pt>
                <c:pt idx="635">
                  <c:v>617.5</c:v>
                </c:pt>
                <c:pt idx="636">
                  <c:v>618</c:v>
                </c:pt>
                <c:pt idx="637">
                  <c:v>618.5</c:v>
                </c:pt>
                <c:pt idx="638">
                  <c:v>619</c:v>
                </c:pt>
                <c:pt idx="639">
                  <c:v>619.5</c:v>
                </c:pt>
                <c:pt idx="640">
                  <c:v>620</c:v>
                </c:pt>
                <c:pt idx="641">
                  <c:v>620.5</c:v>
                </c:pt>
                <c:pt idx="642">
                  <c:v>621</c:v>
                </c:pt>
                <c:pt idx="643">
                  <c:v>621.5</c:v>
                </c:pt>
                <c:pt idx="644">
                  <c:v>622</c:v>
                </c:pt>
                <c:pt idx="645">
                  <c:v>622.5</c:v>
                </c:pt>
                <c:pt idx="646">
                  <c:v>623</c:v>
                </c:pt>
                <c:pt idx="647">
                  <c:v>623.5</c:v>
                </c:pt>
                <c:pt idx="648">
                  <c:v>624</c:v>
                </c:pt>
                <c:pt idx="649">
                  <c:v>624.5</c:v>
                </c:pt>
                <c:pt idx="650">
                  <c:v>625</c:v>
                </c:pt>
                <c:pt idx="651">
                  <c:v>625.5</c:v>
                </c:pt>
                <c:pt idx="652">
                  <c:v>626</c:v>
                </c:pt>
                <c:pt idx="653">
                  <c:v>626.5</c:v>
                </c:pt>
                <c:pt idx="654">
                  <c:v>627</c:v>
                </c:pt>
                <c:pt idx="655">
                  <c:v>627.5</c:v>
                </c:pt>
                <c:pt idx="656">
                  <c:v>628</c:v>
                </c:pt>
                <c:pt idx="657">
                  <c:v>628.5</c:v>
                </c:pt>
                <c:pt idx="658">
                  <c:v>629</c:v>
                </c:pt>
                <c:pt idx="659">
                  <c:v>629.5</c:v>
                </c:pt>
                <c:pt idx="660">
                  <c:v>630</c:v>
                </c:pt>
                <c:pt idx="661">
                  <c:v>630.5</c:v>
                </c:pt>
                <c:pt idx="662">
                  <c:v>631</c:v>
                </c:pt>
                <c:pt idx="663">
                  <c:v>631.5</c:v>
                </c:pt>
                <c:pt idx="664">
                  <c:v>632</c:v>
                </c:pt>
                <c:pt idx="665">
                  <c:v>632.5</c:v>
                </c:pt>
                <c:pt idx="666">
                  <c:v>633</c:v>
                </c:pt>
                <c:pt idx="667">
                  <c:v>633.5</c:v>
                </c:pt>
                <c:pt idx="668">
                  <c:v>634</c:v>
                </c:pt>
                <c:pt idx="669">
                  <c:v>634.5</c:v>
                </c:pt>
                <c:pt idx="670">
                  <c:v>635</c:v>
                </c:pt>
                <c:pt idx="671">
                  <c:v>635.5</c:v>
                </c:pt>
                <c:pt idx="672">
                  <c:v>636</c:v>
                </c:pt>
                <c:pt idx="673">
                  <c:v>636.5</c:v>
                </c:pt>
                <c:pt idx="674">
                  <c:v>637</c:v>
                </c:pt>
                <c:pt idx="675">
                  <c:v>637.5</c:v>
                </c:pt>
                <c:pt idx="676">
                  <c:v>638</c:v>
                </c:pt>
                <c:pt idx="677">
                  <c:v>638.5</c:v>
                </c:pt>
                <c:pt idx="678">
                  <c:v>639</c:v>
                </c:pt>
                <c:pt idx="679">
                  <c:v>639.5</c:v>
                </c:pt>
                <c:pt idx="680">
                  <c:v>640</c:v>
                </c:pt>
                <c:pt idx="681">
                  <c:v>640.5</c:v>
                </c:pt>
                <c:pt idx="682">
                  <c:v>641</c:v>
                </c:pt>
                <c:pt idx="683">
                  <c:v>641.5</c:v>
                </c:pt>
                <c:pt idx="684">
                  <c:v>642</c:v>
                </c:pt>
                <c:pt idx="685">
                  <c:v>642.5</c:v>
                </c:pt>
                <c:pt idx="686">
                  <c:v>643</c:v>
                </c:pt>
                <c:pt idx="687">
                  <c:v>643.5</c:v>
                </c:pt>
                <c:pt idx="688">
                  <c:v>644</c:v>
                </c:pt>
                <c:pt idx="689">
                  <c:v>644.5</c:v>
                </c:pt>
                <c:pt idx="690">
                  <c:v>645</c:v>
                </c:pt>
                <c:pt idx="691">
                  <c:v>645.5</c:v>
                </c:pt>
                <c:pt idx="692">
                  <c:v>646</c:v>
                </c:pt>
                <c:pt idx="693">
                  <c:v>646.5</c:v>
                </c:pt>
                <c:pt idx="694">
                  <c:v>647</c:v>
                </c:pt>
                <c:pt idx="695">
                  <c:v>647.5</c:v>
                </c:pt>
                <c:pt idx="696">
                  <c:v>648</c:v>
                </c:pt>
                <c:pt idx="697">
                  <c:v>648.5</c:v>
                </c:pt>
                <c:pt idx="698">
                  <c:v>649</c:v>
                </c:pt>
                <c:pt idx="699">
                  <c:v>649.5</c:v>
                </c:pt>
                <c:pt idx="700">
                  <c:v>650</c:v>
                </c:pt>
                <c:pt idx="701">
                  <c:v>650.5</c:v>
                </c:pt>
                <c:pt idx="702">
                  <c:v>651</c:v>
                </c:pt>
                <c:pt idx="703">
                  <c:v>651.5</c:v>
                </c:pt>
                <c:pt idx="704">
                  <c:v>652</c:v>
                </c:pt>
                <c:pt idx="705">
                  <c:v>652.5</c:v>
                </c:pt>
                <c:pt idx="706">
                  <c:v>653</c:v>
                </c:pt>
                <c:pt idx="707">
                  <c:v>653.5</c:v>
                </c:pt>
                <c:pt idx="708">
                  <c:v>654</c:v>
                </c:pt>
                <c:pt idx="709">
                  <c:v>654.5</c:v>
                </c:pt>
                <c:pt idx="710">
                  <c:v>655</c:v>
                </c:pt>
                <c:pt idx="711">
                  <c:v>655.5</c:v>
                </c:pt>
                <c:pt idx="712">
                  <c:v>656</c:v>
                </c:pt>
                <c:pt idx="713">
                  <c:v>656.5</c:v>
                </c:pt>
                <c:pt idx="714">
                  <c:v>657</c:v>
                </c:pt>
                <c:pt idx="715">
                  <c:v>657.5</c:v>
                </c:pt>
                <c:pt idx="716">
                  <c:v>658</c:v>
                </c:pt>
                <c:pt idx="717">
                  <c:v>658.5</c:v>
                </c:pt>
                <c:pt idx="718">
                  <c:v>659</c:v>
                </c:pt>
                <c:pt idx="719">
                  <c:v>659.5</c:v>
                </c:pt>
                <c:pt idx="720">
                  <c:v>660</c:v>
                </c:pt>
                <c:pt idx="721">
                  <c:v>660.5</c:v>
                </c:pt>
                <c:pt idx="722">
                  <c:v>661</c:v>
                </c:pt>
                <c:pt idx="723">
                  <c:v>661.5</c:v>
                </c:pt>
                <c:pt idx="724">
                  <c:v>662</c:v>
                </c:pt>
                <c:pt idx="725">
                  <c:v>662.5</c:v>
                </c:pt>
                <c:pt idx="726">
                  <c:v>663</c:v>
                </c:pt>
                <c:pt idx="727">
                  <c:v>663.5</c:v>
                </c:pt>
                <c:pt idx="728">
                  <c:v>664</c:v>
                </c:pt>
                <c:pt idx="729">
                  <c:v>664.5</c:v>
                </c:pt>
                <c:pt idx="730">
                  <c:v>665</c:v>
                </c:pt>
                <c:pt idx="731">
                  <c:v>665.5</c:v>
                </c:pt>
                <c:pt idx="732">
                  <c:v>666</c:v>
                </c:pt>
                <c:pt idx="733">
                  <c:v>666.5</c:v>
                </c:pt>
                <c:pt idx="734">
                  <c:v>667</c:v>
                </c:pt>
                <c:pt idx="735">
                  <c:v>667.5</c:v>
                </c:pt>
                <c:pt idx="736">
                  <c:v>668</c:v>
                </c:pt>
                <c:pt idx="737">
                  <c:v>668.5</c:v>
                </c:pt>
                <c:pt idx="738">
                  <c:v>669</c:v>
                </c:pt>
                <c:pt idx="739">
                  <c:v>669.5</c:v>
                </c:pt>
                <c:pt idx="740">
                  <c:v>670</c:v>
                </c:pt>
                <c:pt idx="741">
                  <c:v>670.5</c:v>
                </c:pt>
                <c:pt idx="742">
                  <c:v>671</c:v>
                </c:pt>
                <c:pt idx="743">
                  <c:v>671.5</c:v>
                </c:pt>
                <c:pt idx="744">
                  <c:v>672</c:v>
                </c:pt>
                <c:pt idx="745">
                  <c:v>672.5</c:v>
                </c:pt>
                <c:pt idx="746">
                  <c:v>673</c:v>
                </c:pt>
                <c:pt idx="747">
                  <c:v>673.5</c:v>
                </c:pt>
                <c:pt idx="748">
                  <c:v>674</c:v>
                </c:pt>
                <c:pt idx="749">
                  <c:v>674.5</c:v>
                </c:pt>
                <c:pt idx="750">
                  <c:v>675</c:v>
                </c:pt>
                <c:pt idx="751">
                  <c:v>675.5</c:v>
                </c:pt>
                <c:pt idx="752">
                  <c:v>676</c:v>
                </c:pt>
                <c:pt idx="753">
                  <c:v>676.5</c:v>
                </c:pt>
                <c:pt idx="754">
                  <c:v>677</c:v>
                </c:pt>
                <c:pt idx="755">
                  <c:v>677.5</c:v>
                </c:pt>
                <c:pt idx="756">
                  <c:v>678</c:v>
                </c:pt>
                <c:pt idx="757">
                  <c:v>678.5</c:v>
                </c:pt>
                <c:pt idx="758">
                  <c:v>679</c:v>
                </c:pt>
                <c:pt idx="759">
                  <c:v>679.5</c:v>
                </c:pt>
                <c:pt idx="760">
                  <c:v>680</c:v>
                </c:pt>
                <c:pt idx="761">
                  <c:v>680.5</c:v>
                </c:pt>
                <c:pt idx="762">
                  <c:v>681</c:v>
                </c:pt>
                <c:pt idx="763">
                  <c:v>681.5</c:v>
                </c:pt>
                <c:pt idx="764">
                  <c:v>682</c:v>
                </c:pt>
                <c:pt idx="765">
                  <c:v>682.5</c:v>
                </c:pt>
                <c:pt idx="766">
                  <c:v>683</c:v>
                </c:pt>
                <c:pt idx="767">
                  <c:v>683.5</c:v>
                </c:pt>
                <c:pt idx="768">
                  <c:v>684</c:v>
                </c:pt>
                <c:pt idx="769">
                  <c:v>684.5</c:v>
                </c:pt>
                <c:pt idx="770">
                  <c:v>685</c:v>
                </c:pt>
                <c:pt idx="771">
                  <c:v>685.5</c:v>
                </c:pt>
                <c:pt idx="772">
                  <c:v>686</c:v>
                </c:pt>
                <c:pt idx="773">
                  <c:v>686.5</c:v>
                </c:pt>
                <c:pt idx="774">
                  <c:v>687</c:v>
                </c:pt>
                <c:pt idx="775">
                  <c:v>687.5</c:v>
                </c:pt>
                <c:pt idx="776">
                  <c:v>688</c:v>
                </c:pt>
                <c:pt idx="777">
                  <c:v>688.5</c:v>
                </c:pt>
                <c:pt idx="778">
                  <c:v>689</c:v>
                </c:pt>
                <c:pt idx="779">
                  <c:v>689.5</c:v>
                </c:pt>
                <c:pt idx="780">
                  <c:v>690</c:v>
                </c:pt>
                <c:pt idx="781">
                  <c:v>690.5</c:v>
                </c:pt>
                <c:pt idx="782">
                  <c:v>691</c:v>
                </c:pt>
                <c:pt idx="783">
                  <c:v>691.5</c:v>
                </c:pt>
                <c:pt idx="784">
                  <c:v>692</c:v>
                </c:pt>
                <c:pt idx="785">
                  <c:v>692.5</c:v>
                </c:pt>
                <c:pt idx="786">
                  <c:v>693</c:v>
                </c:pt>
                <c:pt idx="787">
                  <c:v>693.5</c:v>
                </c:pt>
                <c:pt idx="788">
                  <c:v>694</c:v>
                </c:pt>
                <c:pt idx="789">
                  <c:v>694.5</c:v>
                </c:pt>
                <c:pt idx="790">
                  <c:v>695</c:v>
                </c:pt>
                <c:pt idx="791">
                  <c:v>695.5</c:v>
                </c:pt>
                <c:pt idx="792">
                  <c:v>696</c:v>
                </c:pt>
                <c:pt idx="793">
                  <c:v>696.5</c:v>
                </c:pt>
                <c:pt idx="794">
                  <c:v>697</c:v>
                </c:pt>
                <c:pt idx="795">
                  <c:v>697.5</c:v>
                </c:pt>
                <c:pt idx="796">
                  <c:v>698</c:v>
                </c:pt>
                <c:pt idx="797">
                  <c:v>698.5</c:v>
                </c:pt>
                <c:pt idx="798">
                  <c:v>699</c:v>
                </c:pt>
                <c:pt idx="799">
                  <c:v>699.5</c:v>
                </c:pt>
                <c:pt idx="800">
                  <c:v>700</c:v>
                </c:pt>
                <c:pt idx="801">
                  <c:v>700.5</c:v>
                </c:pt>
                <c:pt idx="802">
                  <c:v>701</c:v>
                </c:pt>
                <c:pt idx="803">
                  <c:v>701.5</c:v>
                </c:pt>
                <c:pt idx="804">
                  <c:v>702</c:v>
                </c:pt>
                <c:pt idx="805">
                  <c:v>702.5</c:v>
                </c:pt>
                <c:pt idx="806">
                  <c:v>703</c:v>
                </c:pt>
                <c:pt idx="807">
                  <c:v>703.5</c:v>
                </c:pt>
                <c:pt idx="808">
                  <c:v>704</c:v>
                </c:pt>
                <c:pt idx="809">
                  <c:v>704.5</c:v>
                </c:pt>
                <c:pt idx="810">
                  <c:v>705</c:v>
                </c:pt>
                <c:pt idx="811">
                  <c:v>705.5</c:v>
                </c:pt>
                <c:pt idx="812">
                  <c:v>706</c:v>
                </c:pt>
                <c:pt idx="813">
                  <c:v>706.5</c:v>
                </c:pt>
                <c:pt idx="814">
                  <c:v>707</c:v>
                </c:pt>
                <c:pt idx="815">
                  <c:v>707.5</c:v>
                </c:pt>
                <c:pt idx="816">
                  <c:v>708</c:v>
                </c:pt>
                <c:pt idx="817">
                  <c:v>708.5</c:v>
                </c:pt>
                <c:pt idx="818">
                  <c:v>709</c:v>
                </c:pt>
                <c:pt idx="819">
                  <c:v>709.5</c:v>
                </c:pt>
                <c:pt idx="820">
                  <c:v>710</c:v>
                </c:pt>
                <c:pt idx="821">
                  <c:v>710.5</c:v>
                </c:pt>
                <c:pt idx="822">
                  <c:v>711</c:v>
                </c:pt>
                <c:pt idx="823">
                  <c:v>711.5</c:v>
                </c:pt>
                <c:pt idx="824">
                  <c:v>712</c:v>
                </c:pt>
                <c:pt idx="825">
                  <c:v>712.5</c:v>
                </c:pt>
                <c:pt idx="826">
                  <c:v>713</c:v>
                </c:pt>
                <c:pt idx="827">
                  <c:v>713.5</c:v>
                </c:pt>
                <c:pt idx="828">
                  <c:v>714</c:v>
                </c:pt>
                <c:pt idx="829">
                  <c:v>714.5</c:v>
                </c:pt>
                <c:pt idx="830">
                  <c:v>715</c:v>
                </c:pt>
                <c:pt idx="831">
                  <c:v>715.5</c:v>
                </c:pt>
                <c:pt idx="832">
                  <c:v>716</c:v>
                </c:pt>
                <c:pt idx="833">
                  <c:v>716.5</c:v>
                </c:pt>
                <c:pt idx="834">
                  <c:v>717</c:v>
                </c:pt>
                <c:pt idx="835">
                  <c:v>717.5</c:v>
                </c:pt>
                <c:pt idx="836">
                  <c:v>718</c:v>
                </c:pt>
                <c:pt idx="837">
                  <c:v>718.5</c:v>
                </c:pt>
                <c:pt idx="838">
                  <c:v>719</c:v>
                </c:pt>
                <c:pt idx="839">
                  <c:v>719.5</c:v>
                </c:pt>
                <c:pt idx="840">
                  <c:v>720</c:v>
                </c:pt>
                <c:pt idx="841">
                  <c:v>720.5</c:v>
                </c:pt>
                <c:pt idx="842">
                  <c:v>721</c:v>
                </c:pt>
                <c:pt idx="843">
                  <c:v>721.5</c:v>
                </c:pt>
                <c:pt idx="844">
                  <c:v>722</c:v>
                </c:pt>
                <c:pt idx="845">
                  <c:v>722.5</c:v>
                </c:pt>
                <c:pt idx="846">
                  <c:v>723</c:v>
                </c:pt>
                <c:pt idx="847">
                  <c:v>723.5</c:v>
                </c:pt>
                <c:pt idx="848">
                  <c:v>724</c:v>
                </c:pt>
                <c:pt idx="849">
                  <c:v>724.5</c:v>
                </c:pt>
                <c:pt idx="850">
                  <c:v>725</c:v>
                </c:pt>
                <c:pt idx="851">
                  <c:v>725.5</c:v>
                </c:pt>
                <c:pt idx="852">
                  <c:v>726</c:v>
                </c:pt>
                <c:pt idx="853">
                  <c:v>726.5</c:v>
                </c:pt>
                <c:pt idx="854">
                  <c:v>727</c:v>
                </c:pt>
                <c:pt idx="855">
                  <c:v>727.5</c:v>
                </c:pt>
                <c:pt idx="856">
                  <c:v>728</c:v>
                </c:pt>
                <c:pt idx="857">
                  <c:v>728.5</c:v>
                </c:pt>
                <c:pt idx="858">
                  <c:v>729</c:v>
                </c:pt>
                <c:pt idx="859">
                  <c:v>729.5</c:v>
                </c:pt>
                <c:pt idx="860">
                  <c:v>730</c:v>
                </c:pt>
                <c:pt idx="861">
                  <c:v>730.5</c:v>
                </c:pt>
                <c:pt idx="862">
                  <c:v>731</c:v>
                </c:pt>
                <c:pt idx="863">
                  <c:v>731.5</c:v>
                </c:pt>
                <c:pt idx="864">
                  <c:v>732</c:v>
                </c:pt>
                <c:pt idx="865">
                  <c:v>732.5</c:v>
                </c:pt>
                <c:pt idx="866">
                  <c:v>733</c:v>
                </c:pt>
                <c:pt idx="867">
                  <c:v>733.5</c:v>
                </c:pt>
                <c:pt idx="868">
                  <c:v>734</c:v>
                </c:pt>
                <c:pt idx="869">
                  <c:v>734.5</c:v>
                </c:pt>
                <c:pt idx="870">
                  <c:v>735</c:v>
                </c:pt>
                <c:pt idx="871">
                  <c:v>735.5</c:v>
                </c:pt>
                <c:pt idx="872">
                  <c:v>736</c:v>
                </c:pt>
                <c:pt idx="873">
                  <c:v>736.5</c:v>
                </c:pt>
                <c:pt idx="874">
                  <c:v>737</c:v>
                </c:pt>
                <c:pt idx="875">
                  <c:v>737.5</c:v>
                </c:pt>
                <c:pt idx="876">
                  <c:v>738</c:v>
                </c:pt>
                <c:pt idx="877">
                  <c:v>738.5</c:v>
                </c:pt>
                <c:pt idx="878">
                  <c:v>739</c:v>
                </c:pt>
                <c:pt idx="879">
                  <c:v>739.5</c:v>
                </c:pt>
                <c:pt idx="880">
                  <c:v>740</c:v>
                </c:pt>
                <c:pt idx="881">
                  <c:v>740.5</c:v>
                </c:pt>
                <c:pt idx="882">
                  <c:v>741</c:v>
                </c:pt>
                <c:pt idx="883">
                  <c:v>741.5</c:v>
                </c:pt>
                <c:pt idx="884">
                  <c:v>742</c:v>
                </c:pt>
                <c:pt idx="885">
                  <c:v>742.5</c:v>
                </c:pt>
                <c:pt idx="886">
                  <c:v>743</c:v>
                </c:pt>
                <c:pt idx="887">
                  <c:v>743.5</c:v>
                </c:pt>
                <c:pt idx="888">
                  <c:v>744</c:v>
                </c:pt>
                <c:pt idx="889">
                  <c:v>744.5</c:v>
                </c:pt>
                <c:pt idx="890">
                  <c:v>745</c:v>
                </c:pt>
                <c:pt idx="891">
                  <c:v>745.5</c:v>
                </c:pt>
                <c:pt idx="892">
                  <c:v>746</c:v>
                </c:pt>
                <c:pt idx="893">
                  <c:v>746.5</c:v>
                </c:pt>
                <c:pt idx="894">
                  <c:v>747</c:v>
                </c:pt>
                <c:pt idx="895">
                  <c:v>747.5</c:v>
                </c:pt>
                <c:pt idx="896">
                  <c:v>748</c:v>
                </c:pt>
                <c:pt idx="897">
                  <c:v>748.5</c:v>
                </c:pt>
                <c:pt idx="898">
                  <c:v>749</c:v>
                </c:pt>
                <c:pt idx="899">
                  <c:v>749.5</c:v>
                </c:pt>
                <c:pt idx="900">
                  <c:v>750</c:v>
                </c:pt>
              </c:numCache>
            </c:numRef>
          </c:cat>
          <c:val>
            <c:numRef>
              <c:f>'T2'!$B$113:$B$1013</c:f>
              <c:numCache>
                <c:formatCode>0.00E+00</c:formatCode>
                <c:ptCount val="901"/>
                <c:pt idx="0">
                  <c:v>0</c:v>
                </c:pt>
                <c:pt idx="1">
                  <c:v>0</c:v>
                </c:pt>
                <c:pt idx="2">
                  <c:v>0</c:v>
                </c:pt>
                <c:pt idx="3">
                  <c:v>0</c:v>
                </c:pt>
                <c:pt idx="4">
                  <c:v>0</c:v>
                </c:pt>
                <c:pt idx="5">
                  <c:v>0</c:v>
                </c:pt>
                <c:pt idx="6">
                  <c:v>0</c:v>
                </c:pt>
                <c:pt idx="7">
                  <c:v>0</c:v>
                </c:pt>
                <c:pt idx="8">
                  <c:v>0</c:v>
                </c:pt>
                <c:pt idx="9">
                  <c:v>0</c:v>
                </c:pt>
                <c:pt idx="10">
                  <c:v>0</c:v>
                </c:pt>
                <c:pt idx="11">
                  <c:v>0</c:v>
                </c:pt>
                <c:pt idx="12">
                  <c:v>0</c:v>
                </c:pt>
                <c:pt idx="13">
                  <c:v>0</c:v>
                </c:pt>
                <c:pt idx="14">
                  <c:v>0</c:v>
                </c:pt>
                <c:pt idx="15">
                  <c:v>0</c:v>
                </c:pt>
                <c:pt idx="16">
                  <c:v>0</c:v>
                </c:pt>
                <c:pt idx="17">
                  <c:v>0</c:v>
                </c:pt>
                <c:pt idx="18">
                  <c:v>0</c:v>
                </c:pt>
                <c:pt idx="19">
                  <c:v>0</c:v>
                </c:pt>
                <c:pt idx="20">
                  <c:v>0</c:v>
                </c:pt>
                <c:pt idx="21">
                  <c:v>0</c:v>
                </c:pt>
                <c:pt idx="22">
                  <c:v>0</c:v>
                </c:pt>
                <c:pt idx="23">
                  <c:v>0</c:v>
                </c:pt>
                <c:pt idx="24">
                  <c:v>0</c:v>
                </c:pt>
                <c:pt idx="25">
                  <c:v>0</c:v>
                </c:pt>
                <c:pt idx="26">
                  <c:v>0</c:v>
                </c:pt>
                <c:pt idx="27">
                  <c:v>0</c:v>
                </c:pt>
                <c:pt idx="28">
                  <c:v>0</c:v>
                </c:pt>
                <c:pt idx="29">
                  <c:v>0</c:v>
                </c:pt>
                <c:pt idx="30">
                  <c:v>0</c:v>
                </c:pt>
                <c:pt idx="31">
                  <c:v>0</c:v>
                </c:pt>
                <c:pt idx="32">
                  <c:v>0</c:v>
                </c:pt>
                <c:pt idx="33">
                  <c:v>0</c:v>
                </c:pt>
                <c:pt idx="34">
                  <c:v>0</c:v>
                </c:pt>
                <c:pt idx="35">
                  <c:v>0</c:v>
                </c:pt>
                <c:pt idx="36">
                  <c:v>0</c:v>
                </c:pt>
                <c:pt idx="37">
                  <c:v>0</c:v>
                </c:pt>
                <c:pt idx="38">
                  <c:v>0</c:v>
                </c:pt>
                <c:pt idx="39">
                  <c:v>0</c:v>
                </c:pt>
                <c:pt idx="40">
                  <c:v>0</c:v>
                </c:pt>
                <c:pt idx="41">
                  <c:v>0</c:v>
                </c:pt>
                <c:pt idx="42">
                  <c:v>0</c:v>
                </c:pt>
                <c:pt idx="43">
                  <c:v>0</c:v>
                </c:pt>
                <c:pt idx="44">
                  <c:v>0</c:v>
                </c:pt>
                <c:pt idx="45">
                  <c:v>0</c:v>
                </c:pt>
                <c:pt idx="46">
                  <c:v>0</c:v>
                </c:pt>
                <c:pt idx="47">
                  <c:v>0</c:v>
                </c:pt>
                <c:pt idx="48">
                  <c:v>0</c:v>
                </c:pt>
                <c:pt idx="49">
                  <c:v>0</c:v>
                </c:pt>
                <c:pt idx="50">
                  <c:v>0</c:v>
                </c:pt>
                <c:pt idx="51">
                  <c:v>0</c:v>
                </c:pt>
                <c:pt idx="52">
                  <c:v>0</c:v>
                </c:pt>
                <c:pt idx="53">
                  <c:v>0</c:v>
                </c:pt>
                <c:pt idx="54">
                  <c:v>0</c:v>
                </c:pt>
                <c:pt idx="55">
                  <c:v>0</c:v>
                </c:pt>
                <c:pt idx="56">
                  <c:v>0</c:v>
                </c:pt>
                <c:pt idx="57">
                  <c:v>0</c:v>
                </c:pt>
                <c:pt idx="58">
                  <c:v>0</c:v>
                </c:pt>
                <c:pt idx="59">
                  <c:v>0</c:v>
                </c:pt>
                <c:pt idx="60">
                  <c:v>0</c:v>
                </c:pt>
                <c:pt idx="61">
                  <c:v>0</c:v>
                </c:pt>
                <c:pt idx="62">
                  <c:v>0</c:v>
                </c:pt>
                <c:pt idx="63">
                  <c:v>0</c:v>
                </c:pt>
                <c:pt idx="64">
                  <c:v>0</c:v>
                </c:pt>
                <c:pt idx="65">
                  <c:v>0</c:v>
                </c:pt>
                <c:pt idx="66">
                  <c:v>0</c:v>
                </c:pt>
                <c:pt idx="67">
                  <c:v>0</c:v>
                </c:pt>
                <c:pt idx="68">
                  <c:v>0</c:v>
                </c:pt>
                <c:pt idx="69">
                  <c:v>0</c:v>
                </c:pt>
                <c:pt idx="70">
                  <c:v>0</c:v>
                </c:pt>
                <c:pt idx="71">
                  <c:v>0</c:v>
                </c:pt>
                <c:pt idx="72">
                  <c:v>0</c:v>
                </c:pt>
                <c:pt idx="73">
                  <c:v>0</c:v>
                </c:pt>
                <c:pt idx="74">
                  <c:v>0</c:v>
                </c:pt>
                <c:pt idx="75">
                  <c:v>0</c:v>
                </c:pt>
                <c:pt idx="76">
                  <c:v>0</c:v>
                </c:pt>
                <c:pt idx="77">
                  <c:v>0</c:v>
                </c:pt>
                <c:pt idx="78">
                  <c:v>0</c:v>
                </c:pt>
                <c:pt idx="79">
                  <c:v>0</c:v>
                </c:pt>
                <c:pt idx="80">
                  <c:v>0</c:v>
                </c:pt>
                <c:pt idx="81">
                  <c:v>0</c:v>
                </c:pt>
                <c:pt idx="82">
                  <c:v>0</c:v>
                </c:pt>
                <c:pt idx="83">
                  <c:v>0</c:v>
                </c:pt>
                <c:pt idx="84">
                  <c:v>0</c:v>
                </c:pt>
                <c:pt idx="85">
                  <c:v>0</c:v>
                </c:pt>
                <c:pt idx="86">
                  <c:v>0</c:v>
                </c:pt>
                <c:pt idx="87">
                  <c:v>0</c:v>
                </c:pt>
                <c:pt idx="88">
                  <c:v>0</c:v>
                </c:pt>
                <c:pt idx="89">
                  <c:v>0</c:v>
                </c:pt>
                <c:pt idx="90">
                  <c:v>0</c:v>
                </c:pt>
                <c:pt idx="91">
                  <c:v>0</c:v>
                </c:pt>
                <c:pt idx="92">
                  <c:v>0</c:v>
                </c:pt>
                <c:pt idx="93">
                  <c:v>0</c:v>
                </c:pt>
                <c:pt idx="94">
                  <c:v>0</c:v>
                </c:pt>
                <c:pt idx="95">
                  <c:v>0</c:v>
                </c:pt>
                <c:pt idx="96">
                  <c:v>0</c:v>
                </c:pt>
                <c:pt idx="97">
                  <c:v>0</c:v>
                </c:pt>
                <c:pt idx="98">
                  <c:v>0</c:v>
                </c:pt>
                <c:pt idx="99">
                  <c:v>0</c:v>
                </c:pt>
                <c:pt idx="100">
                  <c:v>0</c:v>
                </c:pt>
                <c:pt idx="101">
                  <c:v>0</c:v>
                </c:pt>
                <c:pt idx="102">
                  <c:v>0</c:v>
                </c:pt>
                <c:pt idx="103">
                  <c:v>0</c:v>
                </c:pt>
                <c:pt idx="104">
                  <c:v>0</c:v>
                </c:pt>
                <c:pt idx="105">
                  <c:v>0</c:v>
                </c:pt>
                <c:pt idx="106">
                  <c:v>0</c:v>
                </c:pt>
                <c:pt idx="107">
                  <c:v>0</c:v>
                </c:pt>
                <c:pt idx="108">
                  <c:v>0</c:v>
                </c:pt>
                <c:pt idx="109">
                  <c:v>0</c:v>
                </c:pt>
                <c:pt idx="110">
                  <c:v>0</c:v>
                </c:pt>
                <c:pt idx="111">
                  <c:v>0</c:v>
                </c:pt>
                <c:pt idx="112">
                  <c:v>0</c:v>
                </c:pt>
                <c:pt idx="113">
                  <c:v>0</c:v>
                </c:pt>
                <c:pt idx="114">
                  <c:v>0</c:v>
                </c:pt>
                <c:pt idx="115">
                  <c:v>0</c:v>
                </c:pt>
                <c:pt idx="116">
                  <c:v>0</c:v>
                </c:pt>
                <c:pt idx="117">
                  <c:v>0</c:v>
                </c:pt>
                <c:pt idx="118">
                  <c:v>0</c:v>
                </c:pt>
                <c:pt idx="119">
                  <c:v>0</c:v>
                </c:pt>
                <c:pt idx="120">
                  <c:v>0</c:v>
                </c:pt>
                <c:pt idx="121">
                  <c:v>0</c:v>
                </c:pt>
                <c:pt idx="122">
                  <c:v>0</c:v>
                </c:pt>
                <c:pt idx="123">
                  <c:v>0</c:v>
                </c:pt>
                <c:pt idx="124">
                  <c:v>0</c:v>
                </c:pt>
                <c:pt idx="125">
                  <c:v>0</c:v>
                </c:pt>
                <c:pt idx="126">
                  <c:v>0</c:v>
                </c:pt>
                <c:pt idx="127">
                  <c:v>0</c:v>
                </c:pt>
                <c:pt idx="128">
                  <c:v>0</c:v>
                </c:pt>
                <c:pt idx="129">
                  <c:v>0</c:v>
                </c:pt>
                <c:pt idx="130">
                  <c:v>0</c:v>
                </c:pt>
                <c:pt idx="131">
                  <c:v>0</c:v>
                </c:pt>
                <c:pt idx="132">
                  <c:v>0</c:v>
                </c:pt>
                <c:pt idx="133">
                  <c:v>0</c:v>
                </c:pt>
                <c:pt idx="134">
                  <c:v>0</c:v>
                </c:pt>
                <c:pt idx="135">
                  <c:v>0</c:v>
                </c:pt>
                <c:pt idx="136">
                  <c:v>0</c:v>
                </c:pt>
                <c:pt idx="137">
                  <c:v>0</c:v>
                </c:pt>
                <c:pt idx="138">
                  <c:v>0</c:v>
                </c:pt>
                <c:pt idx="139">
                  <c:v>0</c:v>
                </c:pt>
                <c:pt idx="140">
                  <c:v>0</c:v>
                </c:pt>
                <c:pt idx="141">
                  <c:v>0</c:v>
                </c:pt>
                <c:pt idx="142">
                  <c:v>0</c:v>
                </c:pt>
                <c:pt idx="143">
                  <c:v>0</c:v>
                </c:pt>
                <c:pt idx="144">
                  <c:v>0</c:v>
                </c:pt>
                <c:pt idx="145">
                  <c:v>0</c:v>
                </c:pt>
                <c:pt idx="146">
                  <c:v>0</c:v>
                </c:pt>
                <c:pt idx="147">
                  <c:v>0</c:v>
                </c:pt>
                <c:pt idx="148">
                  <c:v>0</c:v>
                </c:pt>
                <c:pt idx="149">
                  <c:v>0</c:v>
                </c:pt>
                <c:pt idx="150">
                  <c:v>0</c:v>
                </c:pt>
                <c:pt idx="151">
                  <c:v>0</c:v>
                </c:pt>
                <c:pt idx="152">
                  <c:v>3.2440199999999999E-6</c:v>
                </c:pt>
                <c:pt idx="153">
                  <c:v>1.6983200000000002E-4</c:v>
                </c:pt>
                <c:pt idx="154">
                  <c:v>1.0665590000000001E-4</c:v>
                </c:pt>
                <c:pt idx="155">
                  <c:v>4.1230799999999998E-5</c:v>
                </c:pt>
                <c:pt idx="156">
                  <c:v>0</c:v>
                </c:pt>
                <c:pt idx="157">
                  <c:v>0</c:v>
                </c:pt>
                <c:pt idx="158">
                  <c:v>3.0589000000000001E-5</c:v>
                </c:pt>
                <c:pt idx="159">
                  <c:v>7.4787699999999995E-5</c:v>
                </c:pt>
                <c:pt idx="160">
                  <c:v>1.1560120000000001E-4</c:v>
                </c:pt>
                <c:pt idx="161">
                  <c:v>3.4148400000000003E-4</c:v>
                </c:pt>
                <c:pt idx="162">
                  <c:v>6.2454600000000002E-4</c:v>
                </c:pt>
                <c:pt idx="163">
                  <c:v>9.1201500000000007E-4</c:v>
                </c:pt>
                <c:pt idx="164">
                  <c:v>1.1285819999999999E-3</c:v>
                </c:pt>
                <c:pt idx="165">
                  <c:v>1.3256099999999999E-3</c:v>
                </c:pt>
                <c:pt idx="166">
                  <c:v>1.5165800000000002E-3</c:v>
                </c:pt>
                <c:pt idx="167">
                  <c:v>1.7340700000000001E-3</c:v>
                </c:pt>
                <c:pt idx="168">
                  <c:v>1.82351E-3</c:v>
                </c:pt>
                <c:pt idx="169">
                  <c:v>1.9307600000000001E-3</c:v>
                </c:pt>
                <c:pt idx="170">
                  <c:v>2.1871199999999999E-3</c:v>
                </c:pt>
                <c:pt idx="171">
                  <c:v>2.6253500000000003E-3</c:v>
                </c:pt>
                <c:pt idx="172">
                  <c:v>3.1835700000000001E-3</c:v>
                </c:pt>
                <c:pt idx="173">
                  <c:v>3.679E-3</c:v>
                </c:pt>
                <c:pt idx="174">
                  <c:v>4.0379300000000003E-3</c:v>
                </c:pt>
                <c:pt idx="175">
                  <c:v>4.41012E-3</c:v>
                </c:pt>
                <c:pt idx="176">
                  <c:v>4.7478600000000004E-3</c:v>
                </c:pt>
                <c:pt idx="177">
                  <c:v>5.2289900000000011E-3</c:v>
                </c:pt>
                <c:pt idx="178">
                  <c:v>5.8120400000000001E-3</c:v>
                </c:pt>
                <c:pt idx="179">
                  <c:v>6.45905E-3</c:v>
                </c:pt>
                <c:pt idx="180">
                  <c:v>7.19121E-3</c:v>
                </c:pt>
                <c:pt idx="181">
                  <c:v>7.9951300000000013E-3</c:v>
                </c:pt>
                <c:pt idx="182">
                  <c:v>8.9018799999999992E-3</c:v>
                </c:pt>
                <c:pt idx="183">
                  <c:v>9.8961199999999996E-3</c:v>
                </c:pt>
                <c:pt idx="184">
                  <c:v>1.1035440000000001E-2</c:v>
                </c:pt>
                <c:pt idx="185">
                  <c:v>1.2085839999999999E-2</c:v>
                </c:pt>
                <c:pt idx="186">
                  <c:v>1.3045500000000002E-2</c:v>
                </c:pt>
                <c:pt idx="187">
                  <c:v>1.4123200000000001E-2</c:v>
                </c:pt>
                <c:pt idx="188">
                  <c:v>1.52789E-2</c:v>
                </c:pt>
                <c:pt idx="189">
                  <c:v>1.6574999999999999E-2</c:v>
                </c:pt>
                <c:pt idx="190">
                  <c:v>1.8032300000000001E-2</c:v>
                </c:pt>
                <c:pt idx="191">
                  <c:v>1.9544200000000001E-2</c:v>
                </c:pt>
                <c:pt idx="192">
                  <c:v>2.1348599999999999E-2</c:v>
                </c:pt>
                <c:pt idx="193">
                  <c:v>2.3322000000000002E-2</c:v>
                </c:pt>
                <c:pt idx="194">
                  <c:v>2.5387700000000003E-2</c:v>
                </c:pt>
                <c:pt idx="195">
                  <c:v>2.7582100000000002E-2</c:v>
                </c:pt>
                <c:pt idx="196">
                  <c:v>2.9868800000000001E-2</c:v>
                </c:pt>
                <c:pt idx="197">
                  <c:v>3.2102200000000004E-2</c:v>
                </c:pt>
                <c:pt idx="198">
                  <c:v>3.4642400000000004E-2</c:v>
                </c:pt>
                <c:pt idx="199">
                  <c:v>3.7200799999999999E-2</c:v>
                </c:pt>
                <c:pt idx="200">
                  <c:v>3.99295E-2</c:v>
                </c:pt>
                <c:pt idx="201">
                  <c:v>4.2903900000000002E-2</c:v>
                </c:pt>
                <c:pt idx="202">
                  <c:v>4.6187699999999998E-2</c:v>
                </c:pt>
                <c:pt idx="203">
                  <c:v>4.9871900000000004E-2</c:v>
                </c:pt>
                <c:pt idx="204">
                  <c:v>5.3691299999999997E-2</c:v>
                </c:pt>
                <c:pt idx="205">
                  <c:v>5.75991E-2</c:v>
                </c:pt>
                <c:pt idx="206">
                  <c:v>6.1695400000000004E-2</c:v>
                </c:pt>
                <c:pt idx="207">
                  <c:v>6.5833299999999997E-2</c:v>
                </c:pt>
                <c:pt idx="208">
                  <c:v>7.0235099999999995E-2</c:v>
                </c:pt>
                <c:pt idx="209">
                  <c:v>7.4864399999999998E-2</c:v>
                </c:pt>
                <c:pt idx="210">
                  <c:v>7.9774500000000012E-2</c:v>
                </c:pt>
                <c:pt idx="211">
                  <c:v>8.4775600000000007E-2</c:v>
                </c:pt>
                <c:pt idx="212">
                  <c:v>8.9957399999999993E-2</c:v>
                </c:pt>
                <c:pt idx="213">
                  <c:v>9.5143100000000008E-2</c:v>
                </c:pt>
                <c:pt idx="214">
                  <c:v>0.1005212</c:v>
                </c:pt>
                <c:pt idx="215">
                  <c:v>0.10630099999999999</c:v>
                </c:pt>
                <c:pt idx="216">
                  <c:v>0.1123135</c:v>
                </c:pt>
                <c:pt idx="217">
                  <c:v>0.1186627</c:v>
                </c:pt>
                <c:pt idx="218">
                  <c:v>0.12478310000000001</c:v>
                </c:pt>
                <c:pt idx="219">
                  <c:v>0.13104000000000002</c:v>
                </c:pt>
                <c:pt idx="220">
                  <c:v>0.13735800000000001</c:v>
                </c:pt>
                <c:pt idx="221">
                  <c:v>0.143871</c:v>
                </c:pt>
                <c:pt idx="222">
                  <c:v>0.15024100000000001</c:v>
                </c:pt>
                <c:pt idx="223">
                  <c:v>0.15642900000000001</c:v>
                </c:pt>
                <c:pt idx="224">
                  <c:v>0.16287700000000002</c:v>
                </c:pt>
                <c:pt idx="225">
                  <c:v>0.16954600000000003</c:v>
                </c:pt>
                <c:pt idx="226">
                  <c:v>0.17576</c:v>
                </c:pt>
                <c:pt idx="227">
                  <c:v>0.18162300000000001</c:v>
                </c:pt>
                <c:pt idx="228">
                  <c:v>0.187057</c:v>
                </c:pt>
                <c:pt idx="229">
                  <c:v>0.192192</c:v>
                </c:pt>
                <c:pt idx="230">
                  <c:v>0.19661200000000004</c:v>
                </c:pt>
                <c:pt idx="231">
                  <c:v>0.20104500000000003</c:v>
                </c:pt>
                <c:pt idx="232">
                  <c:v>0.20513999999999999</c:v>
                </c:pt>
                <c:pt idx="233">
                  <c:v>0.20857200000000001</c:v>
                </c:pt>
                <c:pt idx="234">
                  <c:v>0.21132800000000002</c:v>
                </c:pt>
                <c:pt idx="235">
                  <c:v>0.21359</c:v>
                </c:pt>
                <c:pt idx="236">
                  <c:v>0.21500700000000003</c:v>
                </c:pt>
                <c:pt idx="237">
                  <c:v>0.21607300000000002</c:v>
                </c:pt>
                <c:pt idx="238">
                  <c:v>0.21703499999999998</c:v>
                </c:pt>
                <c:pt idx="239">
                  <c:v>0.216944</c:v>
                </c:pt>
                <c:pt idx="240">
                  <c:v>0.215748</c:v>
                </c:pt>
                <c:pt idx="241">
                  <c:v>0.21398</c:v>
                </c:pt>
                <c:pt idx="242">
                  <c:v>0.21175700000000003</c:v>
                </c:pt>
                <c:pt idx="243">
                  <c:v>0.20868900000000001</c:v>
                </c:pt>
                <c:pt idx="244">
                  <c:v>0.20477599999999999</c:v>
                </c:pt>
                <c:pt idx="245">
                  <c:v>0.200512</c:v>
                </c:pt>
                <c:pt idx="246">
                  <c:v>0.19605300000000001</c:v>
                </c:pt>
                <c:pt idx="247">
                  <c:v>0.19078800000000001</c:v>
                </c:pt>
                <c:pt idx="248">
                  <c:v>0.18505500000000003</c:v>
                </c:pt>
                <c:pt idx="249">
                  <c:v>0.17868499999999998</c:v>
                </c:pt>
                <c:pt idx="250">
                  <c:v>0.17202900000000002</c:v>
                </c:pt>
                <c:pt idx="251">
                  <c:v>0.16508699999999998</c:v>
                </c:pt>
                <c:pt idx="252">
                  <c:v>0.15836600000000001</c:v>
                </c:pt>
                <c:pt idx="253">
                  <c:v>0.152035</c:v>
                </c:pt>
                <c:pt idx="254">
                  <c:v>0.145314</c:v>
                </c:pt>
                <c:pt idx="255">
                  <c:v>0.13832</c:v>
                </c:pt>
                <c:pt idx="256">
                  <c:v>0.13201499999999999</c:v>
                </c:pt>
                <c:pt idx="257">
                  <c:v>0.12599470000000002</c:v>
                </c:pt>
                <c:pt idx="258">
                  <c:v>0.120172</c:v>
                </c:pt>
                <c:pt idx="259">
                  <c:v>0.1142726</c:v>
                </c:pt>
                <c:pt idx="260">
                  <c:v>0.10865140000000001</c:v>
                </c:pt>
                <c:pt idx="261">
                  <c:v>0.1034553</c:v>
                </c:pt>
                <c:pt idx="262">
                  <c:v>9.8763600000000007E-2</c:v>
                </c:pt>
                <c:pt idx="263">
                  <c:v>9.418760000000001E-2</c:v>
                </c:pt>
                <c:pt idx="264">
                  <c:v>8.9636300000000002E-2</c:v>
                </c:pt>
                <c:pt idx="265">
                  <c:v>8.5588100000000014E-2</c:v>
                </c:pt>
                <c:pt idx="266">
                  <c:v>8.2069000000000017E-2</c:v>
                </c:pt>
                <c:pt idx="267">
                  <c:v>7.8535599999999997E-2</c:v>
                </c:pt>
                <c:pt idx="268">
                  <c:v>7.4978799999999998E-2</c:v>
                </c:pt>
                <c:pt idx="269">
                  <c:v>7.1490899999999996E-2</c:v>
                </c:pt>
                <c:pt idx="270">
                  <c:v>6.8208400000000002E-2</c:v>
                </c:pt>
                <c:pt idx="271">
                  <c:v>6.5496600000000002E-2</c:v>
                </c:pt>
                <c:pt idx="272">
                  <c:v>6.3025300000000006E-2</c:v>
                </c:pt>
                <c:pt idx="273">
                  <c:v>6.0690500000000001E-2</c:v>
                </c:pt>
                <c:pt idx="274">
                  <c:v>5.7986500000000003E-2</c:v>
                </c:pt>
                <c:pt idx="275">
                  <c:v>5.5151200000000004E-2</c:v>
                </c:pt>
                <c:pt idx="276">
                  <c:v>5.2161200000000005E-2</c:v>
                </c:pt>
                <c:pt idx="277">
                  <c:v>4.92024E-2</c:v>
                </c:pt>
                <c:pt idx="278">
                  <c:v>4.6426900000000007E-2</c:v>
                </c:pt>
                <c:pt idx="279">
                  <c:v>4.3949099999999998E-2</c:v>
                </c:pt>
                <c:pt idx="280">
                  <c:v>4.1598700000000002E-2</c:v>
                </c:pt>
                <c:pt idx="281">
                  <c:v>3.9573299999999999E-2</c:v>
                </c:pt>
                <c:pt idx="282">
                  <c:v>3.7588200000000002E-2</c:v>
                </c:pt>
                <c:pt idx="283">
                  <c:v>3.5659000000000003E-2</c:v>
                </c:pt>
                <c:pt idx="284">
                  <c:v>3.3663500000000006E-2</c:v>
                </c:pt>
                <c:pt idx="285">
                  <c:v>3.1762900000000004E-2</c:v>
                </c:pt>
                <c:pt idx="286">
                  <c:v>2.9897400000000001E-2</c:v>
                </c:pt>
                <c:pt idx="287">
                  <c:v>2.8206100000000001E-2</c:v>
                </c:pt>
                <c:pt idx="288">
                  <c:v>2.6735800000000001E-2</c:v>
                </c:pt>
                <c:pt idx="289">
                  <c:v>2.5479999999999999E-2</c:v>
                </c:pt>
                <c:pt idx="290">
                  <c:v>2.43126E-2</c:v>
                </c:pt>
                <c:pt idx="291">
                  <c:v>2.3060700000000003E-2</c:v>
                </c:pt>
                <c:pt idx="292">
                  <c:v>2.1685300000000001E-2</c:v>
                </c:pt>
                <c:pt idx="293">
                  <c:v>2.03021E-2</c:v>
                </c:pt>
                <c:pt idx="294">
                  <c:v>1.9093100000000002E-2</c:v>
                </c:pt>
                <c:pt idx="295">
                  <c:v>1.8019300000000002E-2</c:v>
                </c:pt>
                <c:pt idx="296">
                  <c:v>1.69949E-2</c:v>
                </c:pt>
                <c:pt idx="297">
                  <c:v>1.60199E-2</c:v>
                </c:pt>
                <c:pt idx="298">
                  <c:v>1.51944E-2</c:v>
                </c:pt>
                <c:pt idx="299">
                  <c:v>1.45509E-2</c:v>
                </c:pt>
                <c:pt idx="300">
                  <c:v>1.4003600000000001E-2</c:v>
                </c:pt>
                <c:pt idx="301">
                  <c:v>1.3384800000000001E-2</c:v>
                </c:pt>
                <c:pt idx="302">
                  <c:v>1.269814E-2</c:v>
                </c:pt>
                <c:pt idx="303">
                  <c:v>1.204385E-2</c:v>
                </c:pt>
                <c:pt idx="304">
                  <c:v>1.141322E-2</c:v>
                </c:pt>
                <c:pt idx="305">
                  <c:v>1.085851E-2</c:v>
                </c:pt>
                <c:pt idx="306">
                  <c:v>1.011803E-2</c:v>
                </c:pt>
                <c:pt idx="307">
                  <c:v>9.4729700000000007E-3</c:v>
                </c:pt>
                <c:pt idx="308">
                  <c:v>8.7854000000000005E-3</c:v>
                </c:pt>
                <c:pt idx="309">
                  <c:v>8.1928599999999997E-3</c:v>
                </c:pt>
                <c:pt idx="310">
                  <c:v>7.7659399999999998E-3</c:v>
                </c:pt>
                <c:pt idx="311">
                  <c:v>7.4015499999999998E-3</c:v>
                </c:pt>
                <c:pt idx="312">
                  <c:v>7.2403499999999996E-3</c:v>
                </c:pt>
                <c:pt idx="313">
                  <c:v>7.0099900000000007E-3</c:v>
                </c:pt>
                <c:pt idx="314">
                  <c:v>6.6579500000000002E-3</c:v>
                </c:pt>
                <c:pt idx="315">
                  <c:v>6.2072400000000002E-3</c:v>
                </c:pt>
                <c:pt idx="316">
                  <c:v>5.8454499999999994E-3</c:v>
                </c:pt>
                <c:pt idx="317">
                  <c:v>5.6097600000000001E-3</c:v>
                </c:pt>
                <c:pt idx="318">
                  <c:v>5.3665300000000004E-3</c:v>
                </c:pt>
                <c:pt idx="319">
                  <c:v>5.1417600000000004E-3</c:v>
                </c:pt>
                <c:pt idx="320">
                  <c:v>4.8713599999999999E-3</c:v>
                </c:pt>
                <c:pt idx="321">
                  <c:v>4.6751900000000001E-3</c:v>
                </c:pt>
                <c:pt idx="322">
                  <c:v>4.4695300000000002E-3</c:v>
                </c:pt>
                <c:pt idx="323">
                  <c:v>4.21135E-3</c:v>
                </c:pt>
                <c:pt idx="324">
                  <c:v>4.0613300000000001E-3</c:v>
                </c:pt>
                <c:pt idx="325">
                  <c:v>3.8543700000000002E-3</c:v>
                </c:pt>
                <c:pt idx="326">
                  <c:v>3.62102E-3</c:v>
                </c:pt>
                <c:pt idx="327" formatCode="General">
                  <c:v>3.4414900000000002E-3</c:v>
                </c:pt>
                <c:pt idx="328" formatCode="General">
                  <c:v>3.2337500000000001E-3</c:v>
                </c:pt>
                <c:pt idx="329" formatCode="General">
                  <c:v>3.1218200000000004E-3</c:v>
                </c:pt>
                <c:pt idx="330" formatCode="General">
                  <c:v>2.9399500000000002E-3</c:v>
                </c:pt>
                <c:pt idx="331" formatCode="General">
                  <c:v>2.8689700000000002E-3</c:v>
                </c:pt>
                <c:pt idx="332" formatCode="General">
                  <c:v>2.8689700000000002E-3</c:v>
                </c:pt>
                <c:pt idx="333" formatCode="General">
                  <c:v>2E-3</c:v>
                </c:pt>
                <c:pt idx="334" formatCode="General">
                  <c:v>1.5E-3</c:v>
                </c:pt>
                <c:pt idx="335" formatCode="General">
                  <c:v>1E-3</c:v>
                </c:pt>
                <c:pt idx="336" formatCode="General">
                  <c:v>5.0000000000000001E-4</c:v>
                </c:pt>
                <c:pt idx="337" formatCode="General">
                  <c:v>0</c:v>
                </c:pt>
                <c:pt idx="338" formatCode="General">
                  <c:v>0</c:v>
                </c:pt>
                <c:pt idx="339" formatCode="General">
                  <c:v>0</c:v>
                </c:pt>
                <c:pt idx="340">
                  <c:v>0</c:v>
                </c:pt>
                <c:pt idx="341">
                  <c:v>0</c:v>
                </c:pt>
                <c:pt idx="342">
                  <c:v>0</c:v>
                </c:pt>
                <c:pt idx="343">
                  <c:v>0</c:v>
                </c:pt>
                <c:pt idx="344">
                  <c:v>0</c:v>
                </c:pt>
                <c:pt idx="345">
                  <c:v>0</c:v>
                </c:pt>
                <c:pt idx="346">
                  <c:v>0</c:v>
                </c:pt>
                <c:pt idx="347">
                  <c:v>0</c:v>
                </c:pt>
                <c:pt idx="348">
                  <c:v>0</c:v>
                </c:pt>
                <c:pt idx="349">
                  <c:v>0</c:v>
                </c:pt>
                <c:pt idx="350">
                  <c:v>0</c:v>
                </c:pt>
                <c:pt idx="351">
                  <c:v>0</c:v>
                </c:pt>
                <c:pt idx="352">
                  <c:v>0</c:v>
                </c:pt>
                <c:pt idx="353">
                  <c:v>0</c:v>
                </c:pt>
                <c:pt idx="354">
                  <c:v>0</c:v>
                </c:pt>
                <c:pt idx="355">
                  <c:v>0</c:v>
                </c:pt>
                <c:pt idx="356">
                  <c:v>0</c:v>
                </c:pt>
                <c:pt idx="357">
                  <c:v>0</c:v>
                </c:pt>
                <c:pt idx="358">
                  <c:v>0</c:v>
                </c:pt>
                <c:pt idx="359">
                  <c:v>0</c:v>
                </c:pt>
                <c:pt idx="360">
                  <c:v>0</c:v>
                </c:pt>
                <c:pt idx="361">
                  <c:v>0</c:v>
                </c:pt>
                <c:pt idx="362">
                  <c:v>0</c:v>
                </c:pt>
                <c:pt idx="363">
                  <c:v>0</c:v>
                </c:pt>
                <c:pt idx="364">
                  <c:v>0</c:v>
                </c:pt>
                <c:pt idx="365">
                  <c:v>0</c:v>
                </c:pt>
                <c:pt idx="366">
                  <c:v>0</c:v>
                </c:pt>
                <c:pt idx="367">
                  <c:v>0</c:v>
                </c:pt>
                <c:pt idx="368">
                  <c:v>0</c:v>
                </c:pt>
                <c:pt idx="369">
                  <c:v>0</c:v>
                </c:pt>
                <c:pt idx="370">
                  <c:v>0</c:v>
                </c:pt>
                <c:pt idx="371">
                  <c:v>0</c:v>
                </c:pt>
                <c:pt idx="372">
                  <c:v>0</c:v>
                </c:pt>
                <c:pt idx="373">
                  <c:v>0</c:v>
                </c:pt>
                <c:pt idx="374">
                  <c:v>0</c:v>
                </c:pt>
                <c:pt idx="375">
                  <c:v>0</c:v>
                </c:pt>
                <c:pt idx="376">
                  <c:v>0</c:v>
                </c:pt>
                <c:pt idx="377">
                  <c:v>0</c:v>
                </c:pt>
                <c:pt idx="378">
                  <c:v>0</c:v>
                </c:pt>
                <c:pt idx="379">
                  <c:v>0</c:v>
                </c:pt>
                <c:pt idx="380">
                  <c:v>0</c:v>
                </c:pt>
                <c:pt idx="381">
                  <c:v>0</c:v>
                </c:pt>
                <c:pt idx="382">
                  <c:v>0</c:v>
                </c:pt>
                <c:pt idx="383">
                  <c:v>0</c:v>
                </c:pt>
                <c:pt idx="384">
                  <c:v>0</c:v>
                </c:pt>
                <c:pt idx="385">
                  <c:v>0</c:v>
                </c:pt>
                <c:pt idx="386">
                  <c:v>0</c:v>
                </c:pt>
                <c:pt idx="387">
                  <c:v>0</c:v>
                </c:pt>
                <c:pt idx="388">
                  <c:v>0</c:v>
                </c:pt>
                <c:pt idx="389">
                  <c:v>0</c:v>
                </c:pt>
                <c:pt idx="390">
                  <c:v>0</c:v>
                </c:pt>
                <c:pt idx="391">
                  <c:v>0</c:v>
                </c:pt>
                <c:pt idx="392">
                  <c:v>0</c:v>
                </c:pt>
                <c:pt idx="393">
                  <c:v>0</c:v>
                </c:pt>
                <c:pt idx="394">
                  <c:v>0</c:v>
                </c:pt>
                <c:pt idx="395">
                  <c:v>0</c:v>
                </c:pt>
                <c:pt idx="396">
                  <c:v>0</c:v>
                </c:pt>
                <c:pt idx="397">
                  <c:v>0</c:v>
                </c:pt>
                <c:pt idx="398">
                  <c:v>0</c:v>
                </c:pt>
                <c:pt idx="399">
                  <c:v>0</c:v>
                </c:pt>
                <c:pt idx="400">
                  <c:v>0</c:v>
                </c:pt>
                <c:pt idx="401">
                  <c:v>0</c:v>
                </c:pt>
                <c:pt idx="402">
                  <c:v>0</c:v>
                </c:pt>
                <c:pt idx="403">
                  <c:v>0</c:v>
                </c:pt>
                <c:pt idx="404">
                  <c:v>0</c:v>
                </c:pt>
                <c:pt idx="405">
                  <c:v>0</c:v>
                </c:pt>
                <c:pt idx="406">
                  <c:v>0</c:v>
                </c:pt>
                <c:pt idx="407">
                  <c:v>0</c:v>
                </c:pt>
                <c:pt idx="408">
                  <c:v>0</c:v>
                </c:pt>
                <c:pt idx="409">
                  <c:v>0</c:v>
                </c:pt>
                <c:pt idx="410">
                  <c:v>0</c:v>
                </c:pt>
                <c:pt idx="411">
                  <c:v>0</c:v>
                </c:pt>
                <c:pt idx="412">
                  <c:v>0</c:v>
                </c:pt>
                <c:pt idx="413">
                  <c:v>0</c:v>
                </c:pt>
                <c:pt idx="414">
                  <c:v>0</c:v>
                </c:pt>
                <c:pt idx="415">
                  <c:v>0</c:v>
                </c:pt>
                <c:pt idx="416">
                  <c:v>0</c:v>
                </c:pt>
                <c:pt idx="417">
                  <c:v>0</c:v>
                </c:pt>
                <c:pt idx="418">
                  <c:v>0</c:v>
                </c:pt>
                <c:pt idx="419">
                  <c:v>0</c:v>
                </c:pt>
                <c:pt idx="420">
                  <c:v>0</c:v>
                </c:pt>
                <c:pt idx="421">
                  <c:v>0</c:v>
                </c:pt>
                <c:pt idx="422">
                  <c:v>0</c:v>
                </c:pt>
                <c:pt idx="423">
                  <c:v>0</c:v>
                </c:pt>
                <c:pt idx="424">
                  <c:v>0</c:v>
                </c:pt>
                <c:pt idx="425">
                  <c:v>0</c:v>
                </c:pt>
                <c:pt idx="426">
                  <c:v>0</c:v>
                </c:pt>
                <c:pt idx="427">
                  <c:v>0</c:v>
                </c:pt>
                <c:pt idx="428">
                  <c:v>0</c:v>
                </c:pt>
                <c:pt idx="429">
                  <c:v>0</c:v>
                </c:pt>
                <c:pt idx="430">
                  <c:v>0</c:v>
                </c:pt>
                <c:pt idx="431">
                  <c:v>0</c:v>
                </c:pt>
                <c:pt idx="432">
                  <c:v>0</c:v>
                </c:pt>
                <c:pt idx="433">
                  <c:v>0</c:v>
                </c:pt>
                <c:pt idx="434">
                  <c:v>0</c:v>
                </c:pt>
                <c:pt idx="435">
                  <c:v>0</c:v>
                </c:pt>
                <c:pt idx="436">
                  <c:v>0</c:v>
                </c:pt>
                <c:pt idx="437">
                  <c:v>0</c:v>
                </c:pt>
                <c:pt idx="438">
                  <c:v>0</c:v>
                </c:pt>
                <c:pt idx="439">
                  <c:v>0</c:v>
                </c:pt>
                <c:pt idx="440">
                  <c:v>0</c:v>
                </c:pt>
                <c:pt idx="441">
                  <c:v>0</c:v>
                </c:pt>
                <c:pt idx="442">
                  <c:v>0</c:v>
                </c:pt>
                <c:pt idx="443">
                  <c:v>0</c:v>
                </c:pt>
                <c:pt idx="444">
                  <c:v>0</c:v>
                </c:pt>
                <c:pt idx="445">
                  <c:v>0</c:v>
                </c:pt>
                <c:pt idx="446">
                  <c:v>0</c:v>
                </c:pt>
                <c:pt idx="447">
                  <c:v>0</c:v>
                </c:pt>
                <c:pt idx="448">
                  <c:v>0</c:v>
                </c:pt>
                <c:pt idx="449">
                  <c:v>0</c:v>
                </c:pt>
                <c:pt idx="450">
                  <c:v>0</c:v>
                </c:pt>
                <c:pt idx="451">
                  <c:v>0</c:v>
                </c:pt>
                <c:pt idx="452">
                  <c:v>0</c:v>
                </c:pt>
                <c:pt idx="453">
                  <c:v>0</c:v>
                </c:pt>
                <c:pt idx="454">
                  <c:v>0</c:v>
                </c:pt>
                <c:pt idx="455">
                  <c:v>0</c:v>
                </c:pt>
                <c:pt idx="456">
                  <c:v>0</c:v>
                </c:pt>
                <c:pt idx="457">
                  <c:v>0</c:v>
                </c:pt>
                <c:pt idx="458">
                  <c:v>0</c:v>
                </c:pt>
                <c:pt idx="459">
                  <c:v>0</c:v>
                </c:pt>
                <c:pt idx="460">
                  <c:v>0</c:v>
                </c:pt>
                <c:pt idx="461">
                  <c:v>0</c:v>
                </c:pt>
                <c:pt idx="462">
                  <c:v>0</c:v>
                </c:pt>
                <c:pt idx="463">
                  <c:v>0</c:v>
                </c:pt>
                <c:pt idx="464">
                  <c:v>0</c:v>
                </c:pt>
                <c:pt idx="465">
                  <c:v>0</c:v>
                </c:pt>
                <c:pt idx="466">
                  <c:v>0</c:v>
                </c:pt>
                <c:pt idx="467">
                  <c:v>0</c:v>
                </c:pt>
                <c:pt idx="468">
                  <c:v>0</c:v>
                </c:pt>
                <c:pt idx="469">
                  <c:v>0</c:v>
                </c:pt>
                <c:pt idx="470">
                  <c:v>0</c:v>
                </c:pt>
                <c:pt idx="471">
                  <c:v>0</c:v>
                </c:pt>
                <c:pt idx="472">
                  <c:v>0</c:v>
                </c:pt>
                <c:pt idx="473">
                  <c:v>0</c:v>
                </c:pt>
                <c:pt idx="474">
                  <c:v>0</c:v>
                </c:pt>
                <c:pt idx="475">
                  <c:v>0</c:v>
                </c:pt>
                <c:pt idx="476">
                  <c:v>0</c:v>
                </c:pt>
                <c:pt idx="477">
                  <c:v>0</c:v>
                </c:pt>
                <c:pt idx="478">
                  <c:v>0</c:v>
                </c:pt>
                <c:pt idx="479">
                  <c:v>0</c:v>
                </c:pt>
                <c:pt idx="480">
                  <c:v>0</c:v>
                </c:pt>
                <c:pt idx="481">
                  <c:v>0</c:v>
                </c:pt>
                <c:pt idx="482">
                  <c:v>0</c:v>
                </c:pt>
                <c:pt idx="483">
                  <c:v>0</c:v>
                </c:pt>
                <c:pt idx="484">
                  <c:v>0</c:v>
                </c:pt>
                <c:pt idx="485">
                  <c:v>0</c:v>
                </c:pt>
                <c:pt idx="486">
                  <c:v>0</c:v>
                </c:pt>
                <c:pt idx="487">
                  <c:v>0</c:v>
                </c:pt>
                <c:pt idx="488">
                  <c:v>0</c:v>
                </c:pt>
                <c:pt idx="489">
                  <c:v>0</c:v>
                </c:pt>
                <c:pt idx="490">
                  <c:v>0</c:v>
                </c:pt>
                <c:pt idx="491">
                  <c:v>0</c:v>
                </c:pt>
                <c:pt idx="492">
                  <c:v>0</c:v>
                </c:pt>
                <c:pt idx="493">
                  <c:v>0</c:v>
                </c:pt>
                <c:pt idx="494">
                  <c:v>0</c:v>
                </c:pt>
                <c:pt idx="495">
                  <c:v>0</c:v>
                </c:pt>
                <c:pt idx="496">
                  <c:v>0</c:v>
                </c:pt>
                <c:pt idx="497">
                  <c:v>0</c:v>
                </c:pt>
                <c:pt idx="498">
                  <c:v>0</c:v>
                </c:pt>
                <c:pt idx="499">
                  <c:v>0</c:v>
                </c:pt>
                <c:pt idx="500">
                  <c:v>0</c:v>
                </c:pt>
                <c:pt idx="501">
                  <c:v>0</c:v>
                </c:pt>
                <c:pt idx="502">
                  <c:v>0</c:v>
                </c:pt>
                <c:pt idx="503">
                  <c:v>0</c:v>
                </c:pt>
                <c:pt idx="504">
                  <c:v>0</c:v>
                </c:pt>
                <c:pt idx="505">
                  <c:v>0</c:v>
                </c:pt>
                <c:pt idx="506">
                  <c:v>0</c:v>
                </c:pt>
                <c:pt idx="507">
                  <c:v>0</c:v>
                </c:pt>
                <c:pt idx="508">
                  <c:v>0</c:v>
                </c:pt>
                <c:pt idx="509">
                  <c:v>0</c:v>
                </c:pt>
                <c:pt idx="510">
                  <c:v>0</c:v>
                </c:pt>
                <c:pt idx="511">
                  <c:v>0</c:v>
                </c:pt>
                <c:pt idx="512">
                  <c:v>0</c:v>
                </c:pt>
                <c:pt idx="513">
                  <c:v>0</c:v>
                </c:pt>
                <c:pt idx="514">
                  <c:v>0</c:v>
                </c:pt>
                <c:pt idx="515">
                  <c:v>0</c:v>
                </c:pt>
                <c:pt idx="516">
                  <c:v>0</c:v>
                </c:pt>
                <c:pt idx="517">
                  <c:v>0</c:v>
                </c:pt>
                <c:pt idx="518">
                  <c:v>0</c:v>
                </c:pt>
                <c:pt idx="519">
                  <c:v>0</c:v>
                </c:pt>
                <c:pt idx="520">
                  <c:v>0</c:v>
                </c:pt>
                <c:pt idx="521">
                  <c:v>0</c:v>
                </c:pt>
                <c:pt idx="522">
                  <c:v>0</c:v>
                </c:pt>
                <c:pt idx="523">
                  <c:v>0</c:v>
                </c:pt>
                <c:pt idx="524">
                  <c:v>0</c:v>
                </c:pt>
                <c:pt idx="525">
                  <c:v>0</c:v>
                </c:pt>
                <c:pt idx="526">
                  <c:v>0</c:v>
                </c:pt>
                <c:pt idx="527">
                  <c:v>0</c:v>
                </c:pt>
                <c:pt idx="528">
                  <c:v>0</c:v>
                </c:pt>
                <c:pt idx="529">
                  <c:v>0</c:v>
                </c:pt>
                <c:pt idx="530">
                  <c:v>0</c:v>
                </c:pt>
                <c:pt idx="531">
                  <c:v>0</c:v>
                </c:pt>
                <c:pt idx="532">
                  <c:v>0</c:v>
                </c:pt>
                <c:pt idx="533">
                  <c:v>0</c:v>
                </c:pt>
                <c:pt idx="534">
                  <c:v>0</c:v>
                </c:pt>
                <c:pt idx="535">
                  <c:v>0</c:v>
                </c:pt>
                <c:pt idx="536">
                  <c:v>0</c:v>
                </c:pt>
                <c:pt idx="537">
                  <c:v>0</c:v>
                </c:pt>
                <c:pt idx="538">
                  <c:v>0</c:v>
                </c:pt>
                <c:pt idx="539">
                  <c:v>0</c:v>
                </c:pt>
                <c:pt idx="540">
                  <c:v>0</c:v>
                </c:pt>
                <c:pt idx="541">
                  <c:v>0</c:v>
                </c:pt>
                <c:pt idx="542">
                  <c:v>0</c:v>
                </c:pt>
                <c:pt idx="543">
                  <c:v>0</c:v>
                </c:pt>
                <c:pt idx="544">
                  <c:v>0</c:v>
                </c:pt>
                <c:pt idx="545">
                  <c:v>0</c:v>
                </c:pt>
                <c:pt idx="546">
                  <c:v>0</c:v>
                </c:pt>
                <c:pt idx="547">
                  <c:v>0</c:v>
                </c:pt>
                <c:pt idx="548">
                  <c:v>0</c:v>
                </c:pt>
                <c:pt idx="549">
                  <c:v>0</c:v>
                </c:pt>
                <c:pt idx="550">
                  <c:v>0</c:v>
                </c:pt>
                <c:pt idx="551">
                  <c:v>0</c:v>
                </c:pt>
                <c:pt idx="552">
                  <c:v>0</c:v>
                </c:pt>
                <c:pt idx="553">
                  <c:v>0</c:v>
                </c:pt>
                <c:pt idx="554">
                  <c:v>0</c:v>
                </c:pt>
                <c:pt idx="555">
                  <c:v>0</c:v>
                </c:pt>
                <c:pt idx="556">
                  <c:v>0</c:v>
                </c:pt>
                <c:pt idx="557">
                  <c:v>0</c:v>
                </c:pt>
                <c:pt idx="558">
                  <c:v>0</c:v>
                </c:pt>
                <c:pt idx="559">
                  <c:v>0</c:v>
                </c:pt>
                <c:pt idx="560">
                  <c:v>0</c:v>
                </c:pt>
                <c:pt idx="561">
                  <c:v>0</c:v>
                </c:pt>
                <c:pt idx="562">
                  <c:v>0</c:v>
                </c:pt>
                <c:pt idx="563">
                  <c:v>0</c:v>
                </c:pt>
                <c:pt idx="564">
                  <c:v>0</c:v>
                </c:pt>
                <c:pt idx="565">
                  <c:v>0</c:v>
                </c:pt>
                <c:pt idx="566">
                  <c:v>0</c:v>
                </c:pt>
                <c:pt idx="567">
                  <c:v>0</c:v>
                </c:pt>
                <c:pt idx="568">
                  <c:v>0</c:v>
                </c:pt>
                <c:pt idx="569">
                  <c:v>7.6783E-5</c:v>
                </c:pt>
                <c:pt idx="570" formatCode="General">
                  <c:v>7.6400000000000003E-4</c:v>
                </c:pt>
                <c:pt idx="571" formatCode="General">
                  <c:v>6.96544E-4</c:v>
                </c:pt>
                <c:pt idx="572" formatCode="General">
                  <c:v>6.7674399999999996E-4</c:v>
                </c:pt>
                <c:pt idx="573" formatCode="General">
                  <c:v>6.5701600000000007E-4</c:v>
                </c:pt>
                <c:pt idx="574" formatCode="General">
                  <c:v>6.3479200000000002E-4</c:v>
                </c:pt>
                <c:pt idx="575" formatCode="General">
                  <c:v>6.0234399999999999E-4</c:v>
                </c:pt>
                <c:pt idx="576" formatCode="General">
                  <c:v>5.9816800000000005E-4</c:v>
                </c:pt>
                <c:pt idx="577" formatCode="General">
                  <c:v>6.0512000000000001E-4</c:v>
                </c:pt>
                <c:pt idx="578" formatCode="General">
                  <c:v>6.3880800000000004E-4</c:v>
                </c:pt>
                <c:pt idx="579" formatCode="General">
                  <c:v>6.7445600000000004E-4</c:v>
                </c:pt>
                <c:pt idx="580" formatCode="General">
                  <c:v>7.2449600000000004E-4</c:v>
                </c:pt>
                <c:pt idx="581" formatCode="General">
                  <c:v>7.668000000000001E-4</c:v>
                </c:pt>
                <c:pt idx="582" formatCode="General">
                  <c:v>7.0636800000000008E-4</c:v>
                </c:pt>
                <c:pt idx="583" formatCode="General">
                  <c:v>6.9295200000000004E-4</c:v>
                </c:pt>
                <c:pt idx="584" formatCode="General">
                  <c:v>6.7260799999999999E-4</c:v>
                </c:pt>
                <c:pt idx="585" formatCode="General">
                  <c:v>7.5828800000000008E-4</c:v>
                </c:pt>
                <c:pt idx="586" formatCode="General">
                  <c:v>8.193600000000001E-4</c:v>
                </c:pt>
                <c:pt idx="587" formatCode="General">
                  <c:v>8.8120000000000006E-4</c:v>
                </c:pt>
                <c:pt idx="588" formatCode="General">
                  <c:v>8.9992000000000013E-4</c:v>
                </c:pt>
                <c:pt idx="589" formatCode="General">
                  <c:v>9.1471999999999994E-4</c:v>
                </c:pt>
                <c:pt idx="590" formatCode="General">
                  <c:v>9.0072000000000004E-4</c:v>
                </c:pt>
                <c:pt idx="591" formatCode="General">
                  <c:v>9.5440000000000011E-4</c:v>
                </c:pt>
                <c:pt idx="592" formatCode="General">
                  <c:v>9.9480000000000011E-4</c:v>
                </c:pt>
                <c:pt idx="593" formatCode="General">
                  <c:v>1.07496E-3</c:v>
                </c:pt>
                <c:pt idx="594" formatCode="General">
                  <c:v>1.0882400000000001E-3</c:v>
                </c:pt>
                <c:pt idx="595" formatCode="General">
                  <c:v>1.1229599999999999E-3</c:v>
                </c:pt>
                <c:pt idx="596" formatCode="General">
                  <c:v>1.08504E-3</c:v>
                </c:pt>
                <c:pt idx="597" formatCode="General">
                  <c:v>1.10472E-3</c:v>
                </c:pt>
                <c:pt idx="598" formatCode="General">
                  <c:v>1.1623200000000001E-3</c:v>
                </c:pt>
                <c:pt idx="599" formatCode="General">
                  <c:v>1.2324800000000002E-3</c:v>
                </c:pt>
                <c:pt idx="600" formatCode="General">
                  <c:v>1.28264E-3</c:v>
                </c:pt>
                <c:pt idx="601" formatCode="General">
                  <c:v>1.3290400000000001E-3</c:v>
                </c:pt>
                <c:pt idx="602" formatCode="General">
                  <c:v>1.43392E-3</c:v>
                </c:pt>
                <c:pt idx="603" formatCode="General">
                  <c:v>1.5152000000000002E-3</c:v>
                </c:pt>
                <c:pt idx="604" formatCode="General">
                  <c:v>1.5524800000000002E-3</c:v>
                </c:pt>
                <c:pt idx="605" formatCode="General">
                  <c:v>1.7046400000000001E-3</c:v>
                </c:pt>
                <c:pt idx="606" formatCode="General">
                  <c:v>1.9492800000000003E-3</c:v>
                </c:pt>
                <c:pt idx="607" formatCode="General">
                  <c:v>2.2160000000000001E-3</c:v>
                </c:pt>
                <c:pt idx="608" formatCode="General">
                  <c:v>2.3165600000000001E-3</c:v>
                </c:pt>
                <c:pt idx="609" formatCode="General">
                  <c:v>2.23624E-3</c:v>
                </c:pt>
                <c:pt idx="610" formatCode="General">
                  <c:v>2.1241599999999999E-3</c:v>
                </c:pt>
                <c:pt idx="611" formatCode="General">
                  <c:v>2.0650400000000002E-3</c:v>
                </c:pt>
                <c:pt idx="612" formatCode="General">
                  <c:v>2.0492000000000002E-3</c:v>
                </c:pt>
                <c:pt idx="613" formatCode="General">
                  <c:v>2.1056E-3</c:v>
                </c:pt>
                <c:pt idx="614" formatCode="General">
                  <c:v>2.19776E-3</c:v>
                </c:pt>
                <c:pt idx="615" formatCode="General">
                  <c:v>2.3995200000000005E-3</c:v>
                </c:pt>
                <c:pt idx="616" formatCode="General">
                  <c:v>2.54696E-3</c:v>
                </c:pt>
                <c:pt idx="617" formatCode="General">
                  <c:v>2.6411200000000003E-3</c:v>
                </c:pt>
                <c:pt idx="618" formatCode="General">
                  <c:v>2.6356800000000001E-3</c:v>
                </c:pt>
                <c:pt idx="619" formatCode="General">
                  <c:v>2.7172800000000003E-3</c:v>
                </c:pt>
                <c:pt idx="620" formatCode="General">
                  <c:v>2.9052800000000001E-3</c:v>
                </c:pt>
                <c:pt idx="621" formatCode="General">
                  <c:v>3.0121599999999998E-3</c:v>
                </c:pt>
                <c:pt idx="622" formatCode="General">
                  <c:v>3.1928E-3</c:v>
                </c:pt>
                <c:pt idx="623" formatCode="General">
                  <c:v>3.3212800000000002E-3</c:v>
                </c:pt>
                <c:pt idx="624" formatCode="General">
                  <c:v>3.57296E-3</c:v>
                </c:pt>
                <c:pt idx="625" formatCode="General">
                  <c:v>3.7537600000000001E-3</c:v>
                </c:pt>
                <c:pt idx="626" formatCode="General">
                  <c:v>3.872E-3</c:v>
                </c:pt>
                <c:pt idx="627" formatCode="General">
                  <c:v>3.9776799999999999E-3</c:v>
                </c:pt>
                <c:pt idx="628" formatCode="General">
                  <c:v>4.1072000000000001E-3</c:v>
                </c:pt>
                <c:pt idx="629" formatCode="General">
                  <c:v>4.3681600000000003E-3</c:v>
                </c:pt>
                <c:pt idx="630" formatCode="General">
                  <c:v>4.6367999999999999E-3</c:v>
                </c:pt>
                <c:pt idx="631" formatCode="General">
                  <c:v>4.9006400000000004E-3</c:v>
                </c:pt>
                <c:pt idx="632" formatCode="General">
                  <c:v>5.1245600000000002E-3</c:v>
                </c:pt>
                <c:pt idx="633" formatCode="General">
                  <c:v>5.3522400000000003E-3</c:v>
                </c:pt>
                <c:pt idx="634" formatCode="General">
                  <c:v>5.6070400000000006E-3</c:v>
                </c:pt>
                <c:pt idx="635" formatCode="General">
                  <c:v>5.91224E-3</c:v>
                </c:pt>
                <c:pt idx="636" formatCode="General">
                  <c:v>6.2261600000000005E-3</c:v>
                </c:pt>
                <c:pt idx="637" formatCode="General">
                  <c:v>6.6052000000000003E-3</c:v>
                </c:pt>
                <c:pt idx="638" formatCode="General">
                  <c:v>6.9701600000000004E-3</c:v>
                </c:pt>
                <c:pt idx="639" formatCode="General">
                  <c:v>7.3983199999999999E-3</c:v>
                </c:pt>
                <c:pt idx="640" formatCode="General">
                  <c:v>7.8897600000000009E-3</c:v>
                </c:pt>
                <c:pt idx="641" formatCode="General">
                  <c:v>8.4016000000000004E-3</c:v>
                </c:pt>
                <c:pt idx="642" formatCode="General">
                  <c:v>8.8088000000000003E-3</c:v>
                </c:pt>
                <c:pt idx="643" formatCode="General">
                  <c:v>9.0880000000000006E-3</c:v>
                </c:pt>
                <c:pt idx="644" formatCode="General">
                  <c:v>9.3360000000000005E-3</c:v>
                </c:pt>
                <c:pt idx="645" formatCode="General">
                  <c:v>9.7152000000000002E-3</c:v>
                </c:pt>
                <c:pt idx="646" formatCode="General">
                  <c:v>1.02752E-2</c:v>
                </c:pt>
                <c:pt idx="647" formatCode="General">
                  <c:v>1.0933600000000002E-2</c:v>
                </c:pt>
                <c:pt idx="648" formatCode="General">
                  <c:v>1.15104E-2</c:v>
                </c:pt>
                <c:pt idx="649" formatCode="General">
                  <c:v>1.2004000000000001E-2</c:v>
                </c:pt>
                <c:pt idx="650" formatCode="General">
                  <c:v>1.2584000000000001E-2</c:v>
                </c:pt>
                <c:pt idx="651" formatCode="General">
                  <c:v>1.3408000000000002E-2</c:v>
                </c:pt>
                <c:pt idx="652" formatCode="General">
                  <c:v>1.4238400000000002E-2</c:v>
                </c:pt>
                <c:pt idx="653" formatCode="General">
                  <c:v>1.5072E-2</c:v>
                </c:pt>
                <c:pt idx="654" formatCode="General">
                  <c:v>1.5860800000000001E-2</c:v>
                </c:pt>
                <c:pt idx="655" formatCode="General">
                  <c:v>1.6688000000000001E-2</c:v>
                </c:pt>
                <c:pt idx="656" formatCode="General">
                  <c:v>1.7496000000000001E-2</c:v>
                </c:pt>
                <c:pt idx="657" formatCode="General">
                  <c:v>1.8404799999999999E-2</c:v>
                </c:pt>
                <c:pt idx="658" formatCode="General">
                  <c:v>1.9396800000000002E-2</c:v>
                </c:pt>
                <c:pt idx="659" formatCode="General">
                  <c:v>2.0474400000000004E-2</c:v>
                </c:pt>
                <c:pt idx="660" formatCode="General">
                  <c:v>2.1587200000000001E-2</c:v>
                </c:pt>
                <c:pt idx="661" formatCode="General">
                  <c:v>2.2748000000000001E-2</c:v>
                </c:pt>
                <c:pt idx="662" formatCode="General">
                  <c:v>2.3966399999999999E-2</c:v>
                </c:pt>
                <c:pt idx="663" formatCode="General">
                  <c:v>2.5273600000000004E-2</c:v>
                </c:pt>
                <c:pt idx="664" formatCode="General">
                  <c:v>2.66536E-2</c:v>
                </c:pt>
                <c:pt idx="665" formatCode="General">
                  <c:v>2.7993600000000004E-2</c:v>
                </c:pt>
                <c:pt idx="666" formatCode="General">
                  <c:v>2.9353600000000004E-2</c:v>
                </c:pt>
                <c:pt idx="667" formatCode="General">
                  <c:v>3.0940800000000004E-2</c:v>
                </c:pt>
                <c:pt idx="668" formatCode="General">
                  <c:v>3.2721600000000003E-2</c:v>
                </c:pt>
                <c:pt idx="669" formatCode="General">
                  <c:v>3.4563200000000002E-2</c:v>
                </c:pt>
                <c:pt idx="670" formatCode="General">
                  <c:v>3.6376800000000001E-2</c:v>
                </c:pt>
                <c:pt idx="671" formatCode="General">
                  <c:v>3.8176000000000002E-2</c:v>
                </c:pt>
                <c:pt idx="672" formatCode="General">
                  <c:v>4.0100799999999999E-2</c:v>
                </c:pt>
                <c:pt idx="673" formatCode="General">
                  <c:v>4.2108800000000002E-2</c:v>
                </c:pt>
                <c:pt idx="674" formatCode="General">
                  <c:v>4.4395200000000003E-2</c:v>
                </c:pt>
                <c:pt idx="675" formatCode="General">
                  <c:v>4.6811199999999997E-2</c:v>
                </c:pt>
                <c:pt idx="676" formatCode="General">
                  <c:v>4.93824E-2</c:v>
                </c:pt>
                <c:pt idx="677" formatCode="General">
                  <c:v>5.1933600000000003E-2</c:v>
                </c:pt>
                <c:pt idx="678" formatCode="General">
                  <c:v>5.4536000000000001E-2</c:v>
                </c:pt>
                <c:pt idx="679" formatCode="General">
                  <c:v>5.7363200000000003E-2</c:v>
                </c:pt>
                <c:pt idx="680" formatCode="General">
                  <c:v>6.0448800000000004E-2</c:v>
                </c:pt>
                <c:pt idx="681" formatCode="General">
                  <c:v>6.37432E-2</c:v>
                </c:pt>
                <c:pt idx="682" formatCode="General">
                  <c:v>6.7238400000000004E-2</c:v>
                </c:pt>
                <c:pt idx="683" formatCode="General">
                  <c:v>7.0873600000000009E-2</c:v>
                </c:pt>
                <c:pt idx="684" formatCode="General">
                  <c:v>7.4633600000000008E-2</c:v>
                </c:pt>
                <c:pt idx="685" formatCode="General">
                  <c:v>7.8644000000000006E-2</c:v>
                </c:pt>
                <c:pt idx="686" formatCode="General">
                  <c:v>8.2928000000000002E-2</c:v>
                </c:pt>
                <c:pt idx="687" formatCode="General">
                  <c:v>8.7368000000000001E-2</c:v>
                </c:pt>
                <c:pt idx="688" formatCode="General">
                  <c:v>9.198400000000001E-2</c:v>
                </c:pt>
                <c:pt idx="689" formatCode="General">
                  <c:v>9.6864000000000006E-2</c:v>
                </c:pt>
                <c:pt idx="690" formatCode="General">
                  <c:v>0.10216799999999999</c:v>
                </c:pt>
                <c:pt idx="691" formatCode="General">
                  <c:v>0.10759200000000001</c:v>
                </c:pt>
                <c:pt idx="692" formatCode="General">
                  <c:v>0.11332</c:v>
                </c:pt>
                <c:pt idx="693" formatCode="General">
                  <c:v>0.119528</c:v>
                </c:pt>
                <c:pt idx="694" formatCode="General">
                  <c:v>0.12625600000000001</c:v>
                </c:pt>
                <c:pt idx="695" formatCode="General">
                  <c:v>0.13331999999999999</c:v>
                </c:pt>
                <c:pt idx="696" formatCode="General">
                  <c:v>0.140344</c:v>
                </c:pt>
                <c:pt idx="697" formatCode="General">
                  <c:v>0.14774400000000001</c:v>
                </c:pt>
                <c:pt idx="698" formatCode="General">
                  <c:v>0.15548000000000001</c:v>
                </c:pt>
                <c:pt idx="699" formatCode="General">
                  <c:v>0.16356000000000001</c:v>
                </c:pt>
                <c:pt idx="700" formatCode="General">
                  <c:v>0.17249600000000001</c:v>
                </c:pt>
                <c:pt idx="701" formatCode="General">
                  <c:v>0.18192</c:v>
                </c:pt>
                <c:pt idx="702" formatCode="General">
                  <c:v>0.19200800000000001</c:v>
                </c:pt>
                <c:pt idx="703" formatCode="General">
                  <c:v>0.20238400000000001</c:v>
                </c:pt>
                <c:pt idx="704" formatCode="General">
                  <c:v>0.21307999999999999</c:v>
                </c:pt>
                <c:pt idx="705" formatCode="General">
                  <c:v>0.22430400000000003</c:v>
                </c:pt>
                <c:pt idx="706" formatCode="General">
                  <c:v>0.23656000000000002</c:v>
                </c:pt>
                <c:pt idx="707" formatCode="General">
                  <c:v>0.249136</c:v>
                </c:pt>
                <c:pt idx="708" formatCode="General">
                  <c:v>0.262712</c:v>
                </c:pt>
                <c:pt idx="709" formatCode="General">
                  <c:v>0.27693600000000002</c:v>
                </c:pt>
                <c:pt idx="710" formatCode="General">
                  <c:v>0.29196</c:v>
                </c:pt>
                <c:pt idx="711" formatCode="General">
                  <c:v>0.30760000000000004</c:v>
                </c:pt>
                <c:pt idx="712" formatCode="General">
                  <c:v>0.32375200000000004</c:v>
                </c:pt>
                <c:pt idx="713" formatCode="General">
                  <c:v>0.34047200000000005</c:v>
                </c:pt>
                <c:pt idx="714" formatCode="General">
                  <c:v>0.35780800000000001</c:v>
                </c:pt>
                <c:pt idx="715" formatCode="General">
                  <c:v>0.37620800000000004</c:v>
                </c:pt>
                <c:pt idx="716" formatCode="General">
                  <c:v>0.39508800000000005</c:v>
                </c:pt>
                <c:pt idx="717" formatCode="General">
                  <c:v>0.414352</c:v>
                </c:pt>
                <c:pt idx="718" formatCode="General">
                  <c:v>0.43470399999999998</c:v>
                </c:pt>
                <c:pt idx="719" formatCode="General">
                  <c:v>0.45638400000000001</c:v>
                </c:pt>
                <c:pt idx="720" formatCode="General">
                  <c:v>0.47871200000000003</c:v>
                </c:pt>
                <c:pt idx="721" formatCode="General">
                  <c:v>0.5013200000000001</c:v>
                </c:pt>
                <c:pt idx="722" formatCode="General">
                  <c:v>0.52465600000000001</c:v>
                </c:pt>
                <c:pt idx="723" formatCode="General">
                  <c:v>0.54810400000000004</c:v>
                </c:pt>
                <c:pt idx="724" formatCode="General">
                  <c:v>0.57209600000000005</c:v>
                </c:pt>
                <c:pt idx="725" formatCode="General">
                  <c:v>0.595688</c:v>
                </c:pt>
                <c:pt idx="726" formatCode="General">
                  <c:v>0.61917600000000006</c:v>
                </c:pt>
                <c:pt idx="727" formatCode="General">
                  <c:v>0.64298400000000011</c:v>
                </c:pt>
                <c:pt idx="728" formatCode="General">
                  <c:v>0.66791200000000006</c:v>
                </c:pt>
                <c:pt idx="729" formatCode="General">
                  <c:v>0.69432800000000006</c:v>
                </c:pt>
                <c:pt idx="730" formatCode="General">
                  <c:v>0.72010400000000008</c:v>
                </c:pt>
                <c:pt idx="731" formatCode="General">
                  <c:v>0.74545600000000001</c:v>
                </c:pt>
                <c:pt idx="732" formatCode="General">
                  <c:v>0.77136800000000005</c:v>
                </c:pt>
                <c:pt idx="733" formatCode="General">
                  <c:v>0.79836000000000007</c:v>
                </c:pt>
                <c:pt idx="734" formatCode="General">
                  <c:v>0.82384000000000013</c:v>
                </c:pt>
                <c:pt idx="735" formatCode="General">
                  <c:v>0.84928000000000015</c:v>
                </c:pt>
                <c:pt idx="736" formatCode="General">
                  <c:v>0.87287999999999999</c:v>
                </c:pt>
                <c:pt idx="737" formatCode="General">
                  <c:v>0.89400000000000002</c:v>
                </c:pt>
                <c:pt idx="738" formatCode="General">
                  <c:v>0.91183999999999998</c:v>
                </c:pt>
                <c:pt idx="739" formatCode="General">
                  <c:v>0.92632000000000003</c:v>
                </c:pt>
                <c:pt idx="740" formatCode="General">
                  <c:v>0.93728</c:v>
                </c:pt>
                <c:pt idx="741" formatCode="General">
                  <c:v>0.94520000000000004</c:v>
                </c:pt>
                <c:pt idx="742" formatCode="General">
                  <c:v>0.94879999999999998</c:v>
                </c:pt>
                <c:pt idx="743" formatCode="General">
                  <c:v>0.94984000000000002</c:v>
                </c:pt>
                <c:pt idx="744" formatCode="General">
                  <c:v>0.9464800000000001</c:v>
                </c:pt>
                <c:pt idx="745" formatCode="General">
                  <c:v>0.93696000000000002</c:v>
                </c:pt>
                <c:pt idx="746" formatCode="General">
                  <c:v>0.92392000000000007</c:v>
                </c:pt>
                <c:pt idx="747" formatCode="General">
                  <c:v>0.90640000000000009</c:v>
                </c:pt>
                <c:pt idx="748" formatCode="General">
                  <c:v>0.87888000000000011</c:v>
                </c:pt>
                <c:pt idx="749" formatCode="General">
                  <c:v>0.84336000000000011</c:v>
                </c:pt>
                <c:pt idx="750" formatCode="General">
                  <c:v>0.80191999999999997</c:v>
                </c:pt>
                <c:pt idx="751" formatCode="General">
                  <c:v>0.76141600000000009</c:v>
                </c:pt>
                <c:pt idx="752" formatCode="General">
                  <c:v>0.72169600000000012</c:v>
                </c:pt>
                <c:pt idx="753" formatCode="General">
                  <c:v>0.68155200000000005</c:v>
                </c:pt>
                <c:pt idx="754" formatCode="General">
                  <c:v>0.63839200000000007</c:v>
                </c:pt>
                <c:pt idx="755" formatCode="General">
                  <c:v>0.59284000000000003</c:v>
                </c:pt>
                <c:pt idx="756" formatCode="General">
                  <c:v>0.54633600000000004</c:v>
                </c:pt>
                <c:pt idx="757" formatCode="General">
                  <c:v>0.50127200000000005</c:v>
                </c:pt>
                <c:pt idx="758" formatCode="General">
                  <c:v>0.46013599999999999</c:v>
                </c:pt>
                <c:pt idx="759" formatCode="General">
                  <c:v>0.42265600000000003</c:v>
                </c:pt>
                <c:pt idx="760" formatCode="General">
                  <c:v>0.38759199999999999</c:v>
                </c:pt>
                <c:pt idx="761" formatCode="General">
                  <c:v>0.35477599999999998</c:v>
                </c:pt>
                <c:pt idx="762" formatCode="General">
                  <c:v>0.32568000000000003</c:v>
                </c:pt>
                <c:pt idx="763" formatCode="General">
                  <c:v>0.29909599999999997</c:v>
                </c:pt>
                <c:pt idx="764" formatCode="General">
                  <c:v>0.27502399999999999</c:v>
                </c:pt>
                <c:pt idx="765" formatCode="General">
                  <c:v>0.25293599999999999</c:v>
                </c:pt>
                <c:pt idx="766" formatCode="General">
                  <c:v>0.23272000000000001</c:v>
                </c:pt>
                <c:pt idx="767" formatCode="General">
                  <c:v>0.21443200000000001</c:v>
                </c:pt>
                <c:pt idx="768" formatCode="General">
                  <c:v>0.19774400000000003</c:v>
                </c:pt>
                <c:pt idx="769" formatCode="General">
                  <c:v>0.18240000000000001</c:v>
                </c:pt>
                <c:pt idx="770" formatCode="General">
                  <c:v>0.16856800000000002</c:v>
                </c:pt>
                <c:pt idx="771" formatCode="General">
                  <c:v>0.15567200000000003</c:v>
                </c:pt>
                <c:pt idx="772" formatCode="General">
                  <c:v>0.143624</c:v>
                </c:pt>
                <c:pt idx="773" formatCode="General">
                  <c:v>0.13261600000000001</c:v>
                </c:pt>
                <c:pt idx="774" formatCode="General">
                  <c:v>0.12256800000000001</c:v>
                </c:pt>
                <c:pt idx="775" formatCode="General">
                  <c:v>0.113232</c:v>
                </c:pt>
                <c:pt idx="776" formatCode="General">
                  <c:v>0.104768</c:v>
                </c:pt>
                <c:pt idx="777" formatCode="General">
                  <c:v>9.7056000000000003E-2</c:v>
                </c:pt>
                <c:pt idx="778" formatCode="General">
                  <c:v>8.9856000000000005E-2</c:v>
                </c:pt>
                <c:pt idx="779" formatCode="General">
                  <c:v>8.3360000000000004E-2</c:v>
                </c:pt>
                <c:pt idx="780" formatCode="General">
                  <c:v>7.7371200000000001E-2</c:v>
                </c:pt>
                <c:pt idx="781" formatCode="General">
                  <c:v>7.1856799999999998E-2</c:v>
                </c:pt>
                <c:pt idx="782" formatCode="General">
                  <c:v>6.6856800000000008E-2</c:v>
                </c:pt>
                <c:pt idx="783" formatCode="General">
                  <c:v>6.22184E-2</c:v>
                </c:pt>
                <c:pt idx="784" formatCode="General">
                  <c:v>5.8126400000000002E-2</c:v>
                </c:pt>
                <c:pt idx="785" formatCode="General">
                  <c:v>5.4327199999999999E-2</c:v>
                </c:pt>
                <c:pt idx="786" formatCode="General">
                  <c:v>5.0867200000000001E-2</c:v>
                </c:pt>
                <c:pt idx="787" formatCode="General">
                  <c:v>4.7472800000000002E-2</c:v>
                </c:pt>
                <c:pt idx="788" formatCode="General">
                  <c:v>4.4261600000000005E-2</c:v>
                </c:pt>
                <c:pt idx="789" formatCode="General">
                  <c:v>4.1394399999999998E-2</c:v>
                </c:pt>
                <c:pt idx="790" formatCode="General">
                  <c:v>3.8798400000000004E-2</c:v>
                </c:pt>
                <c:pt idx="791" formatCode="General">
                  <c:v>3.6404800000000001E-2</c:v>
                </c:pt>
                <c:pt idx="792" formatCode="General">
                  <c:v>3.4364800000000001E-2</c:v>
                </c:pt>
                <c:pt idx="793" formatCode="General">
                  <c:v>3.24464E-2</c:v>
                </c:pt>
                <c:pt idx="794" formatCode="General">
                  <c:v>3.06424E-2</c:v>
                </c:pt>
                <c:pt idx="795" formatCode="General">
                  <c:v>2.8775200000000001E-2</c:v>
                </c:pt>
                <c:pt idx="796" formatCode="General">
                  <c:v>2.7179200000000001E-2</c:v>
                </c:pt>
                <c:pt idx="797" formatCode="General">
                  <c:v>2.5792800000000001E-2</c:v>
                </c:pt>
                <c:pt idx="798" formatCode="General">
                  <c:v>2.4447200000000002E-2</c:v>
                </c:pt>
                <c:pt idx="799" formatCode="General">
                  <c:v>2.3148000000000002E-2</c:v>
                </c:pt>
                <c:pt idx="800" formatCode="General">
                  <c:v>2.1809600000000002E-2</c:v>
                </c:pt>
                <c:pt idx="801" formatCode="General">
                  <c:v>2.0508000000000002E-2</c:v>
                </c:pt>
                <c:pt idx="802" formatCode="General">
                  <c:v>1.9155200000000001E-2</c:v>
                </c:pt>
                <c:pt idx="803" formatCode="General">
                  <c:v>1.79968E-2</c:v>
                </c:pt>
                <c:pt idx="804" formatCode="General">
                  <c:v>1.7085600000000003E-2</c:v>
                </c:pt>
                <c:pt idx="805" formatCode="General">
                  <c:v>1.6223999999999999E-2</c:v>
                </c:pt>
                <c:pt idx="806" formatCode="General">
                  <c:v>1.5323999999999999E-2</c:v>
                </c:pt>
                <c:pt idx="807" formatCode="General">
                  <c:v>1.4446400000000002E-2</c:v>
                </c:pt>
                <c:pt idx="808" formatCode="General">
                  <c:v>1.37736E-2</c:v>
                </c:pt>
                <c:pt idx="809" formatCode="General">
                  <c:v>1.3299200000000001E-2</c:v>
                </c:pt>
                <c:pt idx="810" formatCode="General">
                  <c:v>1.27928E-2</c:v>
                </c:pt>
                <c:pt idx="811" formatCode="General">
                  <c:v>1.2059200000000001E-2</c:v>
                </c:pt>
                <c:pt idx="812" formatCode="General">
                  <c:v>1.1253600000000001E-2</c:v>
                </c:pt>
                <c:pt idx="813" formatCode="General">
                  <c:v>1.05848E-2</c:v>
                </c:pt>
                <c:pt idx="814" formatCode="General">
                  <c:v>1.0059999999999999E-2</c:v>
                </c:pt>
                <c:pt idx="815" formatCode="General">
                  <c:v>9.6560000000000014E-3</c:v>
                </c:pt>
                <c:pt idx="816" formatCode="General">
                  <c:v>9.1415999999999997E-3</c:v>
                </c:pt>
                <c:pt idx="817" formatCode="General">
                  <c:v>8.5967999999999999E-3</c:v>
                </c:pt>
                <c:pt idx="818" formatCode="General">
                  <c:v>8.0032000000000002E-3</c:v>
                </c:pt>
                <c:pt idx="819" formatCode="General">
                  <c:v>7.7355999999999996E-3</c:v>
                </c:pt>
                <c:pt idx="820" formatCode="General">
                  <c:v>7.577920000000001E-3</c:v>
                </c:pt>
                <c:pt idx="821" formatCode="General">
                  <c:v>7.3213600000000007E-3</c:v>
                </c:pt>
                <c:pt idx="822" formatCode="General">
                  <c:v>6.8015999999999997E-3</c:v>
                </c:pt>
                <c:pt idx="823" formatCode="General">
                  <c:v>6.5501599999999993E-3</c:v>
                </c:pt>
                <c:pt idx="824" formatCode="General">
                  <c:v>6.4225599999999999E-3</c:v>
                </c:pt>
                <c:pt idx="825" formatCode="General">
                  <c:v>6.5515199999999999E-3</c:v>
                </c:pt>
                <c:pt idx="826" formatCode="General">
                  <c:v>6.4067200000000012E-3</c:v>
                </c:pt>
                <c:pt idx="827" formatCode="General">
                  <c:v>6.1402400000000008E-3</c:v>
                </c:pt>
                <c:pt idx="828" formatCode="General">
                  <c:v>5.7408800000000003E-3</c:v>
                </c:pt>
                <c:pt idx="829" formatCode="General">
                  <c:v>5.2684000000000003E-3</c:v>
                </c:pt>
                <c:pt idx="830" formatCode="General">
                  <c:v>4.9408800000000008E-3</c:v>
                </c:pt>
                <c:pt idx="831" formatCode="General">
                  <c:v>4.7180800000000004E-3</c:v>
                </c:pt>
                <c:pt idx="832" formatCode="General">
                  <c:v>4.6329600000000002E-3</c:v>
                </c:pt>
                <c:pt idx="833" formatCode="General">
                  <c:v>4.4054400000000001E-3</c:v>
                </c:pt>
                <c:pt idx="834" formatCode="General">
                  <c:v>4.1602399999999999E-3</c:v>
                </c:pt>
                <c:pt idx="835" formatCode="General">
                  <c:v>4.08224E-3</c:v>
                </c:pt>
                <c:pt idx="836" formatCode="General">
                  <c:v>4.0535200000000006E-3</c:v>
                </c:pt>
                <c:pt idx="837" formatCode="General">
                  <c:v>4.0586400000000005E-3</c:v>
                </c:pt>
                <c:pt idx="838" formatCode="General">
                  <c:v>3.92232E-3</c:v>
                </c:pt>
                <c:pt idx="839" formatCode="General">
                  <c:v>3.9446400000000001E-3</c:v>
                </c:pt>
                <c:pt idx="840" formatCode="General">
                  <c:v>3.7464799999999999E-3</c:v>
                </c:pt>
                <c:pt idx="841" formatCode="General">
                  <c:v>3.4819200000000003E-3</c:v>
                </c:pt>
                <c:pt idx="842" formatCode="General">
                  <c:v>3.2847200000000001E-3</c:v>
                </c:pt>
                <c:pt idx="843" formatCode="General">
                  <c:v>3.3952000000000006E-3</c:v>
                </c:pt>
                <c:pt idx="844" formatCode="General">
                  <c:v>3.4011200000000001E-3</c:v>
                </c:pt>
                <c:pt idx="845" formatCode="General">
                  <c:v>3.2770400000000002E-3</c:v>
                </c:pt>
                <c:pt idx="846" formatCode="General">
                  <c:v>2.9412800000000001E-3</c:v>
                </c:pt>
                <c:pt idx="847" formatCode="General">
                  <c:v>2.7830400000000005E-3</c:v>
                </c:pt>
                <c:pt idx="848" formatCode="General">
                  <c:v>2.5917600000000002E-3</c:v>
                </c:pt>
                <c:pt idx="849" formatCode="General">
                  <c:v>2.6179200000000001E-3</c:v>
                </c:pt>
                <c:pt idx="850" formatCode="General">
                  <c:v>2.7947200000000001E-3</c:v>
                </c:pt>
                <c:pt idx="851" formatCode="General">
                  <c:v>2.78488E-3</c:v>
                </c:pt>
                <c:pt idx="852" formatCode="General">
                  <c:v>2.53696E-3</c:v>
                </c:pt>
                <c:pt idx="853" formatCode="General">
                  <c:v>2.2292000000000002E-3</c:v>
                </c:pt>
                <c:pt idx="854" formatCode="General">
                  <c:v>2.1805600000000002E-3</c:v>
                </c:pt>
                <c:pt idx="855" formatCode="General">
                  <c:v>2.0852000000000002E-3</c:v>
                </c:pt>
                <c:pt idx="856" formatCode="General">
                  <c:v>2.1753600000000003E-3</c:v>
                </c:pt>
                <c:pt idx="857" formatCode="General">
                  <c:v>2.1889599999999998E-3</c:v>
                </c:pt>
                <c:pt idx="858" formatCode="General">
                  <c:v>2.1459999999999999E-3</c:v>
                </c:pt>
                <c:pt idx="859" formatCode="General">
                  <c:v>2.0507999999999998E-3</c:v>
                </c:pt>
                <c:pt idx="860" formatCode="General">
                  <c:v>1.88872E-3</c:v>
                </c:pt>
                <c:pt idx="861" formatCode="General">
                  <c:v>1.9223199999999999E-3</c:v>
                </c:pt>
                <c:pt idx="862" formatCode="General">
                  <c:v>1.9796800000000002E-3</c:v>
                </c:pt>
                <c:pt idx="863" formatCode="General">
                  <c:v>2.1277600000000002E-3</c:v>
                </c:pt>
                <c:pt idx="864" formatCode="General">
                  <c:v>2.1204000000000001E-3</c:v>
                </c:pt>
                <c:pt idx="865" formatCode="General">
                  <c:v>1.8402399999999999E-3</c:v>
                </c:pt>
                <c:pt idx="866" formatCode="General">
                  <c:v>1.5920000000000001E-3</c:v>
                </c:pt>
                <c:pt idx="867" formatCode="General">
                  <c:v>1.4607999999999999E-3</c:v>
                </c:pt>
                <c:pt idx="868" formatCode="General">
                  <c:v>1.60136E-3</c:v>
                </c:pt>
                <c:pt idx="869" formatCode="General">
                  <c:v>1.8428799999999999E-3</c:v>
                </c:pt>
                <c:pt idx="870" formatCode="General">
                  <c:v>1.8915200000000001E-3</c:v>
                </c:pt>
                <c:pt idx="871" formatCode="General">
                  <c:v>1.7527200000000001E-3</c:v>
                </c:pt>
                <c:pt idx="872" formatCode="General">
                  <c:v>1.7432000000000001E-3</c:v>
                </c:pt>
                <c:pt idx="873" formatCode="General">
                  <c:v>1.6572000000000002E-3</c:v>
                </c:pt>
                <c:pt idx="874" formatCode="General">
                  <c:v>1.7128000000000002E-3</c:v>
                </c:pt>
                <c:pt idx="875" formatCode="General">
                  <c:v>1.5553600000000002E-3</c:v>
                </c:pt>
                <c:pt idx="876" formatCode="General">
                  <c:v>1.6207200000000002E-3</c:v>
                </c:pt>
                <c:pt idx="877" formatCode="General">
                  <c:v>1.53736E-3</c:v>
                </c:pt>
                <c:pt idx="878" formatCode="General">
                  <c:v>1.3268800000000001E-3</c:v>
                </c:pt>
                <c:pt idx="879" formatCode="General">
                  <c:v>1.2496E-3</c:v>
                </c:pt>
                <c:pt idx="880" formatCode="General">
                  <c:v>1.50672E-3</c:v>
                </c:pt>
                <c:pt idx="881" formatCode="General">
                  <c:v>1.8223199999999999E-3</c:v>
                </c:pt>
                <c:pt idx="882" formatCode="General">
                  <c:v>1.8590400000000002E-3</c:v>
                </c:pt>
                <c:pt idx="883" formatCode="General">
                  <c:v>1.64536E-3</c:v>
                </c:pt>
                <c:pt idx="884" formatCode="General">
                  <c:v>1.68384E-3</c:v>
                </c:pt>
                <c:pt idx="885" formatCode="General">
                  <c:v>1.6856800000000002E-3</c:v>
                </c:pt>
                <c:pt idx="886" formatCode="General">
                  <c:v>1.50928E-3</c:v>
                </c:pt>
                <c:pt idx="887" formatCode="General">
                  <c:v>1.3148000000000001E-3</c:v>
                </c:pt>
                <c:pt idx="888" formatCode="General">
                  <c:v>1.4336800000000001E-3</c:v>
                </c:pt>
                <c:pt idx="889" formatCode="General">
                  <c:v>1.7881600000000002E-3</c:v>
                </c:pt>
                <c:pt idx="890" formatCode="General">
                  <c:v>1.7836000000000002E-3</c:v>
                </c:pt>
                <c:pt idx="891" formatCode="General">
                  <c:v>1.3327200000000001E-3</c:v>
                </c:pt>
                <c:pt idx="892" formatCode="General">
                  <c:v>9.3968000000000003E-4</c:v>
                </c:pt>
                <c:pt idx="893" formatCode="General">
                  <c:v>9.5624000000000013E-4</c:v>
                </c:pt>
                <c:pt idx="894" formatCode="General">
                  <c:v>1.0433599999999999E-3</c:v>
                </c:pt>
                <c:pt idx="895" formatCode="General">
                  <c:v>9.9799999999999997E-4</c:v>
                </c:pt>
                <c:pt idx="896" formatCode="General">
                  <c:v>8.5015999999999998E-4</c:v>
                </c:pt>
                <c:pt idx="897" formatCode="General">
                  <c:v>9.8440000000000008E-4</c:v>
                </c:pt>
                <c:pt idx="898" formatCode="General">
                  <c:v>1.1547999999999999E-3</c:v>
                </c:pt>
                <c:pt idx="899" formatCode="General">
                  <c:v>1.2968000000000001E-3</c:v>
                </c:pt>
                <c:pt idx="900" formatCode="General">
                  <c:v>1.3880000000000001E-3</c:v>
                </c:pt>
              </c:numCache>
            </c:numRef>
          </c:val>
          <c:smooth val="0"/>
          <c:extLst>
            <c:ext xmlns:c16="http://schemas.microsoft.com/office/drawing/2014/chart" uri="{C3380CC4-5D6E-409C-BE32-E72D297353CC}">
              <c16:uniqueId val="{00000000-DBA7-7440-9286-7594C71599A9}"/>
            </c:ext>
          </c:extLst>
        </c:ser>
        <c:dLbls>
          <c:showLegendKey val="0"/>
          <c:showVal val="0"/>
          <c:showCatName val="0"/>
          <c:showSerName val="0"/>
          <c:showPercent val="0"/>
          <c:showBubbleSize val="0"/>
        </c:dLbls>
        <c:smooth val="0"/>
        <c:axId val="1101955759"/>
        <c:axId val="1182404623"/>
      </c:lineChart>
      <c:catAx>
        <c:axId val="1101955759"/>
        <c:scaling>
          <c:orientation val="minMax"/>
        </c:scaling>
        <c:delete val="0"/>
        <c:axPos val="b"/>
        <c:numFmt formatCode="General" sourceLinked="1"/>
        <c:majorTickMark val="none"/>
        <c:minorTickMark val="none"/>
        <c:tickLblPos val="nextTo"/>
        <c:spPr>
          <a:noFill/>
          <a:ln w="9525" cap="flat" cmpd="sng" algn="ctr">
            <a:solidFill>
              <a:schemeClr val="tx1"/>
            </a:solidFill>
            <a:round/>
          </a:ln>
          <a:effectLst/>
        </c:spPr>
        <c:txPr>
          <a:bodyPr rot="-60000000" spcFirstLastPara="1" vertOverflow="ellipsis" vert="horz" wrap="square" anchor="ctr" anchorCtr="1"/>
          <a:lstStyle/>
          <a:p>
            <a:pPr>
              <a:defRPr sz="900" b="1" i="0" u="none" strike="noStrike" kern="1200" baseline="0">
                <a:solidFill>
                  <a:schemeClr val="tx1"/>
                </a:solidFill>
                <a:latin typeface="Arial" panose="020B0604020202020204" pitchFamily="34" charset="0"/>
                <a:ea typeface="+mn-ea"/>
                <a:cs typeface="Arial" panose="020B0604020202020204" pitchFamily="34" charset="0"/>
              </a:defRPr>
            </a:pPr>
            <a:endParaRPr lang="en-US"/>
          </a:p>
        </c:txPr>
        <c:crossAx val="1182404623"/>
        <c:crosses val="autoZero"/>
        <c:auto val="0"/>
        <c:lblAlgn val="ctr"/>
        <c:lblOffset val="100"/>
        <c:tickLblSkip val="100"/>
        <c:tickMarkSkip val="1"/>
        <c:noMultiLvlLbl val="0"/>
      </c:catAx>
      <c:valAx>
        <c:axId val="1182404623"/>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000" b="1" i="0" u="none" strike="noStrike" kern="1200" baseline="0">
                    <a:solidFill>
                      <a:schemeClr val="tx1"/>
                    </a:solidFill>
                    <a:latin typeface="Arial" panose="020B0604020202020204" pitchFamily="34" charset="0"/>
                    <a:ea typeface="+mn-ea"/>
                    <a:cs typeface="Arial" panose="020B0604020202020204" pitchFamily="34" charset="0"/>
                  </a:defRPr>
                </a:pPr>
                <a:r>
                  <a:rPr lang="en-US" b="1"/>
                  <a:t>Intensity (µmols</a:t>
                </a:r>
                <a:r>
                  <a:rPr lang="en-US" b="1" baseline="0"/>
                  <a:t> </a:t>
                </a:r>
                <a:r>
                  <a:rPr lang="en-US" b="1" baseline="30000"/>
                  <a:t>.</a:t>
                </a:r>
                <a:r>
                  <a:rPr lang="en-US" b="1" baseline="0"/>
                  <a:t> </a:t>
                </a:r>
                <a:r>
                  <a:rPr lang="en-US" b="1"/>
                  <a:t>m-</a:t>
                </a:r>
                <a:r>
                  <a:rPr lang="en-US" b="1" baseline="30000"/>
                  <a:t>2</a:t>
                </a:r>
                <a:r>
                  <a:rPr lang="en-US" sz="1000" b="1" i="0" u="none" strike="noStrike" baseline="30000">
                    <a:effectLst/>
                  </a:rPr>
                  <a:t> .</a:t>
                </a:r>
                <a:r>
                  <a:rPr lang="en-US" sz="1000" b="1" i="0" u="none" strike="noStrike" baseline="0">
                    <a:effectLst/>
                  </a:rPr>
                  <a:t> </a:t>
                </a:r>
                <a:r>
                  <a:rPr lang="en-US" b="1"/>
                  <a:t>sec</a:t>
                </a:r>
                <a:r>
                  <a:rPr lang="en-US" b="1" baseline="30000"/>
                  <a:t>-1</a:t>
                </a:r>
                <a:r>
                  <a:rPr lang="en-US" b="1"/>
                  <a:t>)</a:t>
                </a:r>
              </a:p>
            </c:rich>
          </c:tx>
          <c:overlay val="0"/>
          <c:spPr>
            <a:noFill/>
            <a:ln>
              <a:noFill/>
            </a:ln>
            <a:effectLst/>
          </c:spPr>
          <c:txPr>
            <a:bodyPr rot="-5400000" spcFirstLastPara="1" vertOverflow="ellipsis" vert="horz" wrap="square" anchor="ctr" anchorCtr="1"/>
            <a:lstStyle/>
            <a:p>
              <a:pPr>
                <a:defRPr sz="1000" b="1" i="0" u="none" strike="noStrike" kern="1200" baseline="0">
                  <a:solidFill>
                    <a:schemeClr val="tx1"/>
                  </a:solidFill>
                  <a:latin typeface="Arial" panose="020B0604020202020204" pitchFamily="34" charset="0"/>
                  <a:ea typeface="+mn-ea"/>
                  <a:cs typeface="Arial" panose="020B0604020202020204" pitchFamily="34" charset="0"/>
                </a:defRPr>
              </a:pPr>
              <a:endParaRPr lang="en-US"/>
            </a:p>
          </c:txPr>
        </c:title>
        <c:numFmt formatCode="General" sourceLinked="0"/>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solidFill>
                <a:latin typeface="Arial" panose="020B0604020202020204" pitchFamily="34" charset="0"/>
                <a:ea typeface="+mn-ea"/>
                <a:cs typeface="Arial" panose="020B0604020202020204" pitchFamily="34" charset="0"/>
              </a:defRPr>
            </a:pPr>
            <a:endParaRPr lang="en-US"/>
          </a:p>
        </c:txPr>
        <c:crossAx val="1101955759"/>
        <c:crosses val="autoZero"/>
        <c:crossBetween val="between"/>
      </c:valAx>
      <c:spPr>
        <a:noFill/>
        <a:ln>
          <a:noFill/>
        </a:ln>
        <a:effectLst/>
      </c:spPr>
    </c:plotArea>
    <c:legend>
      <c:legendPos val="b"/>
      <c:legendEntry>
        <c:idx val="0"/>
        <c:txPr>
          <a:bodyPr rot="0" spcFirstLastPara="1" vertOverflow="ellipsis" vert="horz" wrap="square" anchor="ctr" anchorCtr="1"/>
          <a:lstStyle/>
          <a:p>
            <a:pPr>
              <a:defRPr sz="1000" b="0" i="0" u="none" strike="noStrike" kern="1200" baseline="0">
                <a:solidFill>
                  <a:schemeClr val="tx1"/>
                </a:solidFill>
                <a:latin typeface="Arial" panose="020B0604020202020204" pitchFamily="34" charset="0"/>
                <a:ea typeface="+mn-ea"/>
                <a:cs typeface="Arial" panose="020B0604020202020204" pitchFamily="34" charset="0"/>
              </a:defRPr>
            </a:pPr>
            <a:endParaRPr lang="en-US"/>
          </a:p>
        </c:txPr>
      </c:legendEntry>
      <c:layout>
        <c:manualLayout>
          <c:xMode val="edge"/>
          <c:yMode val="edge"/>
          <c:x val="0.78470085470085471"/>
          <c:y val="0.93157628051959462"/>
          <c:w val="0.20410256410256411"/>
          <c:h val="5.2917439436987727E-2"/>
        </c:manualLayout>
      </c:layout>
      <c:overlay val="0"/>
      <c:spPr>
        <a:noFill/>
        <a:ln>
          <a:solidFill>
            <a:schemeClr val="tx1"/>
          </a:solidFill>
        </a:ln>
        <a:effectLst/>
      </c:spPr>
      <c:txPr>
        <a:bodyPr rot="0" spcFirstLastPara="1" vertOverflow="ellipsis" vert="horz" wrap="square" anchor="ctr" anchorCtr="1"/>
        <a:lstStyle/>
        <a:p>
          <a:pPr>
            <a:defRPr sz="1000" b="0" i="0" u="none" strike="noStrike" kern="1200" baseline="0">
              <a:solidFill>
                <a:schemeClr val="tx1"/>
              </a:solidFill>
              <a:latin typeface="Arial" panose="020B0604020202020204" pitchFamily="34" charset="0"/>
              <a:ea typeface="+mn-ea"/>
              <a:cs typeface="Arial" panose="020B0604020202020204" pitchFamily="34" charset="0"/>
            </a:defRPr>
          </a:pPr>
          <a:endParaRPr lang="en-US"/>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solidFill>
      <a:round/>
    </a:ln>
    <a:effectLst/>
  </c:spPr>
  <c:txPr>
    <a:bodyPr/>
    <a:lstStyle/>
    <a:p>
      <a:pPr>
        <a:defRPr>
          <a:solidFill>
            <a:schemeClr val="tx1"/>
          </a:solidFill>
          <a:latin typeface="Arial" panose="020B0604020202020204" pitchFamily="34" charset="0"/>
          <a:cs typeface="Arial" panose="020B0604020202020204" pitchFamily="34" charset="0"/>
        </a:defRPr>
      </a:pPr>
      <a:endParaRPr lang="en-US"/>
    </a:p>
  </c:txPr>
  <c:externalData r:id="rId3">
    <c:autoUpdate val="0"/>
  </c:externalData>
  <c:userShapes r:id="rId4"/>
</c:chartSpace>
</file>

<file path=word/charts/chart8.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lineChart>
        <c:grouping val="standard"/>
        <c:varyColors val="0"/>
        <c:ser>
          <c:idx val="1"/>
          <c:order val="0"/>
          <c:tx>
            <c:strRef>
              <c:f>'T2 (2)'!$B$2</c:f>
              <c:strCache>
                <c:ptCount val="1"/>
                <c:pt idx="0">
                  <c:v>660/450/660</c:v>
                </c:pt>
              </c:strCache>
            </c:strRef>
          </c:tx>
          <c:spPr>
            <a:ln w="28575" cap="rnd">
              <a:solidFill>
                <a:schemeClr val="tx1"/>
              </a:solidFill>
              <a:round/>
            </a:ln>
            <a:effectLst/>
          </c:spPr>
          <c:marker>
            <c:symbol val="none"/>
          </c:marker>
          <c:cat>
            <c:numRef>
              <c:f>'T2 (2)'!$A$113:$A$1013</c:f>
              <c:numCache>
                <c:formatCode>General</c:formatCode>
                <c:ptCount val="901"/>
                <c:pt idx="0">
                  <c:v>300</c:v>
                </c:pt>
                <c:pt idx="1">
                  <c:v>300.5</c:v>
                </c:pt>
                <c:pt idx="2">
                  <c:v>301</c:v>
                </c:pt>
                <c:pt idx="3">
                  <c:v>301.5</c:v>
                </c:pt>
                <c:pt idx="4">
                  <c:v>302</c:v>
                </c:pt>
                <c:pt idx="5">
                  <c:v>302.5</c:v>
                </c:pt>
                <c:pt idx="6">
                  <c:v>303</c:v>
                </c:pt>
                <c:pt idx="7">
                  <c:v>303.5</c:v>
                </c:pt>
                <c:pt idx="8">
                  <c:v>304</c:v>
                </c:pt>
                <c:pt idx="9">
                  <c:v>304.5</c:v>
                </c:pt>
                <c:pt idx="10">
                  <c:v>305</c:v>
                </c:pt>
                <c:pt idx="11">
                  <c:v>305.5</c:v>
                </c:pt>
                <c:pt idx="12">
                  <c:v>306</c:v>
                </c:pt>
                <c:pt idx="13">
                  <c:v>306.5</c:v>
                </c:pt>
                <c:pt idx="14">
                  <c:v>307</c:v>
                </c:pt>
                <c:pt idx="15">
                  <c:v>307.5</c:v>
                </c:pt>
                <c:pt idx="16">
                  <c:v>308</c:v>
                </c:pt>
                <c:pt idx="17">
                  <c:v>308.5</c:v>
                </c:pt>
                <c:pt idx="18">
                  <c:v>309</c:v>
                </c:pt>
                <c:pt idx="19">
                  <c:v>309.5</c:v>
                </c:pt>
                <c:pt idx="20">
                  <c:v>310</c:v>
                </c:pt>
                <c:pt idx="21">
                  <c:v>310.5</c:v>
                </c:pt>
                <c:pt idx="22">
                  <c:v>311</c:v>
                </c:pt>
                <c:pt idx="23">
                  <c:v>311.5</c:v>
                </c:pt>
                <c:pt idx="24">
                  <c:v>312</c:v>
                </c:pt>
                <c:pt idx="25">
                  <c:v>312.5</c:v>
                </c:pt>
                <c:pt idx="26">
                  <c:v>313</c:v>
                </c:pt>
                <c:pt idx="27">
                  <c:v>313.5</c:v>
                </c:pt>
                <c:pt idx="28">
                  <c:v>314</c:v>
                </c:pt>
                <c:pt idx="29">
                  <c:v>314.5</c:v>
                </c:pt>
                <c:pt idx="30">
                  <c:v>315</c:v>
                </c:pt>
                <c:pt idx="31">
                  <c:v>315.5</c:v>
                </c:pt>
                <c:pt idx="32">
                  <c:v>316</c:v>
                </c:pt>
                <c:pt idx="33">
                  <c:v>316.5</c:v>
                </c:pt>
                <c:pt idx="34">
                  <c:v>317</c:v>
                </c:pt>
                <c:pt idx="35">
                  <c:v>317.5</c:v>
                </c:pt>
                <c:pt idx="36">
                  <c:v>318</c:v>
                </c:pt>
                <c:pt idx="37">
                  <c:v>318.5</c:v>
                </c:pt>
                <c:pt idx="38">
                  <c:v>319</c:v>
                </c:pt>
                <c:pt idx="39">
                  <c:v>319.5</c:v>
                </c:pt>
                <c:pt idx="40">
                  <c:v>320</c:v>
                </c:pt>
                <c:pt idx="41">
                  <c:v>320.5</c:v>
                </c:pt>
                <c:pt idx="42">
                  <c:v>321</c:v>
                </c:pt>
                <c:pt idx="43">
                  <c:v>321.5</c:v>
                </c:pt>
                <c:pt idx="44">
                  <c:v>322</c:v>
                </c:pt>
                <c:pt idx="45">
                  <c:v>322.5</c:v>
                </c:pt>
                <c:pt idx="46">
                  <c:v>323</c:v>
                </c:pt>
                <c:pt idx="47">
                  <c:v>323.5</c:v>
                </c:pt>
                <c:pt idx="48">
                  <c:v>324</c:v>
                </c:pt>
                <c:pt idx="49">
                  <c:v>324.5</c:v>
                </c:pt>
                <c:pt idx="50">
                  <c:v>325</c:v>
                </c:pt>
                <c:pt idx="51">
                  <c:v>325.5</c:v>
                </c:pt>
                <c:pt idx="52">
                  <c:v>326</c:v>
                </c:pt>
                <c:pt idx="53">
                  <c:v>326.5</c:v>
                </c:pt>
                <c:pt idx="54">
                  <c:v>327</c:v>
                </c:pt>
                <c:pt idx="55">
                  <c:v>327.5</c:v>
                </c:pt>
                <c:pt idx="56">
                  <c:v>328</c:v>
                </c:pt>
                <c:pt idx="57">
                  <c:v>328.5</c:v>
                </c:pt>
                <c:pt idx="58">
                  <c:v>329</c:v>
                </c:pt>
                <c:pt idx="59">
                  <c:v>329.5</c:v>
                </c:pt>
                <c:pt idx="60">
                  <c:v>330</c:v>
                </c:pt>
                <c:pt idx="61">
                  <c:v>330.5</c:v>
                </c:pt>
                <c:pt idx="62">
                  <c:v>331</c:v>
                </c:pt>
                <c:pt idx="63">
                  <c:v>331.5</c:v>
                </c:pt>
                <c:pt idx="64">
                  <c:v>332</c:v>
                </c:pt>
                <c:pt idx="65">
                  <c:v>332.5</c:v>
                </c:pt>
                <c:pt idx="66">
                  <c:v>333</c:v>
                </c:pt>
                <c:pt idx="67">
                  <c:v>333.5</c:v>
                </c:pt>
                <c:pt idx="68">
                  <c:v>334</c:v>
                </c:pt>
                <c:pt idx="69">
                  <c:v>334.5</c:v>
                </c:pt>
                <c:pt idx="70">
                  <c:v>335</c:v>
                </c:pt>
                <c:pt idx="71">
                  <c:v>335.5</c:v>
                </c:pt>
                <c:pt idx="72">
                  <c:v>336</c:v>
                </c:pt>
                <c:pt idx="73">
                  <c:v>336.5</c:v>
                </c:pt>
                <c:pt idx="74">
                  <c:v>337</c:v>
                </c:pt>
                <c:pt idx="75">
                  <c:v>337.5</c:v>
                </c:pt>
                <c:pt idx="76">
                  <c:v>338</c:v>
                </c:pt>
                <c:pt idx="77">
                  <c:v>338.5</c:v>
                </c:pt>
                <c:pt idx="78">
                  <c:v>339</c:v>
                </c:pt>
                <c:pt idx="79">
                  <c:v>339.5</c:v>
                </c:pt>
                <c:pt idx="80">
                  <c:v>340</c:v>
                </c:pt>
                <c:pt idx="81">
                  <c:v>340.5</c:v>
                </c:pt>
                <c:pt idx="82">
                  <c:v>341</c:v>
                </c:pt>
                <c:pt idx="83">
                  <c:v>341.5</c:v>
                </c:pt>
                <c:pt idx="84">
                  <c:v>342</c:v>
                </c:pt>
                <c:pt idx="85">
                  <c:v>342.5</c:v>
                </c:pt>
                <c:pt idx="86">
                  <c:v>343</c:v>
                </c:pt>
                <c:pt idx="87">
                  <c:v>343.5</c:v>
                </c:pt>
                <c:pt idx="88">
                  <c:v>344</c:v>
                </c:pt>
                <c:pt idx="89">
                  <c:v>344.5</c:v>
                </c:pt>
                <c:pt idx="90">
                  <c:v>345</c:v>
                </c:pt>
                <c:pt idx="91">
                  <c:v>345.5</c:v>
                </c:pt>
                <c:pt idx="92">
                  <c:v>346</c:v>
                </c:pt>
                <c:pt idx="93">
                  <c:v>346.5</c:v>
                </c:pt>
                <c:pt idx="94">
                  <c:v>347</c:v>
                </c:pt>
                <c:pt idx="95">
                  <c:v>347.5</c:v>
                </c:pt>
                <c:pt idx="96">
                  <c:v>348</c:v>
                </c:pt>
                <c:pt idx="97">
                  <c:v>348.5</c:v>
                </c:pt>
                <c:pt idx="98">
                  <c:v>349</c:v>
                </c:pt>
                <c:pt idx="99">
                  <c:v>349.5</c:v>
                </c:pt>
                <c:pt idx="100">
                  <c:v>350</c:v>
                </c:pt>
                <c:pt idx="101">
                  <c:v>350.5</c:v>
                </c:pt>
                <c:pt idx="102">
                  <c:v>351</c:v>
                </c:pt>
                <c:pt idx="103">
                  <c:v>351.5</c:v>
                </c:pt>
                <c:pt idx="104">
                  <c:v>352</c:v>
                </c:pt>
                <c:pt idx="105">
                  <c:v>352.5</c:v>
                </c:pt>
                <c:pt idx="106">
                  <c:v>353</c:v>
                </c:pt>
                <c:pt idx="107">
                  <c:v>353.5</c:v>
                </c:pt>
                <c:pt idx="108">
                  <c:v>354</c:v>
                </c:pt>
                <c:pt idx="109">
                  <c:v>354.5</c:v>
                </c:pt>
                <c:pt idx="110">
                  <c:v>355</c:v>
                </c:pt>
                <c:pt idx="111">
                  <c:v>355.5</c:v>
                </c:pt>
                <c:pt idx="112">
                  <c:v>356</c:v>
                </c:pt>
                <c:pt idx="113">
                  <c:v>356.5</c:v>
                </c:pt>
                <c:pt idx="114">
                  <c:v>357</c:v>
                </c:pt>
                <c:pt idx="115">
                  <c:v>357.5</c:v>
                </c:pt>
                <c:pt idx="116">
                  <c:v>358</c:v>
                </c:pt>
                <c:pt idx="117">
                  <c:v>358.5</c:v>
                </c:pt>
                <c:pt idx="118">
                  <c:v>359</c:v>
                </c:pt>
                <c:pt idx="119">
                  <c:v>359.5</c:v>
                </c:pt>
                <c:pt idx="120">
                  <c:v>360</c:v>
                </c:pt>
                <c:pt idx="121">
                  <c:v>360.5</c:v>
                </c:pt>
                <c:pt idx="122">
                  <c:v>361</c:v>
                </c:pt>
                <c:pt idx="123">
                  <c:v>361.5</c:v>
                </c:pt>
                <c:pt idx="124">
                  <c:v>362</c:v>
                </c:pt>
                <c:pt idx="125">
                  <c:v>362.5</c:v>
                </c:pt>
                <c:pt idx="126">
                  <c:v>363</c:v>
                </c:pt>
                <c:pt idx="127">
                  <c:v>363.5</c:v>
                </c:pt>
                <c:pt idx="128">
                  <c:v>364</c:v>
                </c:pt>
                <c:pt idx="129">
                  <c:v>364.5</c:v>
                </c:pt>
                <c:pt idx="130">
                  <c:v>365</c:v>
                </c:pt>
                <c:pt idx="131">
                  <c:v>365.5</c:v>
                </c:pt>
                <c:pt idx="132">
                  <c:v>366</c:v>
                </c:pt>
                <c:pt idx="133">
                  <c:v>366.5</c:v>
                </c:pt>
                <c:pt idx="134">
                  <c:v>367</c:v>
                </c:pt>
                <c:pt idx="135">
                  <c:v>367.5</c:v>
                </c:pt>
                <c:pt idx="136">
                  <c:v>368</c:v>
                </c:pt>
                <c:pt idx="137">
                  <c:v>368.5</c:v>
                </c:pt>
                <c:pt idx="138">
                  <c:v>369</c:v>
                </c:pt>
                <c:pt idx="139">
                  <c:v>369.5</c:v>
                </c:pt>
                <c:pt idx="140">
                  <c:v>370</c:v>
                </c:pt>
                <c:pt idx="141">
                  <c:v>370.5</c:v>
                </c:pt>
                <c:pt idx="142">
                  <c:v>371</c:v>
                </c:pt>
                <c:pt idx="143">
                  <c:v>371.5</c:v>
                </c:pt>
                <c:pt idx="144">
                  <c:v>372</c:v>
                </c:pt>
                <c:pt idx="145">
                  <c:v>372.5</c:v>
                </c:pt>
                <c:pt idx="146">
                  <c:v>373</c:v>
                </c:pt>
                <c:pt idx="147">
                  <c:v>373.5</c:v>
                </c:pt>
                <c:pt idx="148">
                  <c:v>374</c:v>
                </c:pt>
                <c:pt idx="149">
                  <c:v>374.5</c:v>
                </c:pt>
                <c:pt idx="150">
                  <c:v>375</c:v>
                </c:pt>
                <c:pt idx="151">
                  <c:v>375.5</c:v>
                </c:pt>
                <c:pt idx="152">
                  <c:v>376</c:v>
                </c:pt>
                <c:pt idx="153">
                  <c:v>376.5</c:v>
                </c:pt>
                <c:pt idx="154">
                  <c:v>377</c:v>
                </c:pt>
                <c:pt idx="155">
                  <c:v>377.5</c:v>
                </c:pt>
                <c:pt idx="156">
                  <c:v>378</c:v>
                </c:pt>
                <c:pt idx="157">
                  <c:v>378.5</c:v>
                </c:pt>
                <c:pt idx="158">
                  <c:v>379</c:v>
                </c:pt>
                <c:pt idx="159">
                  <c:v>379.5</c:v>
                </c:pt>
                <c:pt idx="160">
                  <c:v>380</c:v>
                </c:pt>
                <c:pt idx="161">
                  <c:v>380.5</c:v>
                </c:pt>
                <c:pt idx="162">
                  <c:v>381</c:v>
                </c:pt>
                <c:pt idx="163">
                  <c:v>381.5</c:v>
                </c:pt>
                <c:pt idx="164">
                  <c:v>382</c:v>
                </c:pt>
                <c:pt idx="165">
                  <c:v>382.5</c:v>
                </c:pt>
                <c:pt idx="166">
                  <c:v>383</c:v>
                </c:pt>
                <c:pt idx="167">
                  <c:v>383.5</c:v>
                </c:pt>
                <c:pt idx="168">
                  <c:v>384</c:v>
                </c:pt>
                <c:pt idx="169">
                  <c:v>384.5</c:v>
                </c:pt>
                <c:pt idx="170">
                  <c:v>385</c:v>
                </c:pt>
                <c:pt idx="171">
                  <c:v>385.5</c:v>
                </c:pt>
                <c:pt idx="172">
                  <c:v>386</c:v>
                </c:pt>
                <c:pt idx="173">
                  <c:v>386.5</c:v>
                </c:pt>
                <c:pt idx="174">
                  <c:v>387</c:v>
                </c:pt>
                <c:pt idx="175">
                  <c:v>387.5</c:v>
                </c:pt>
                <c:pt idx="176">
                  <c:v>388</c:v>
                </c:pt>
                <c:pt idx="177">
                  <c:v>388.5</c:v>
                </c:pt>
                <c:pt idx="178">
                  <c:v>389</c:v>
                </c:pt>
                <c:pt idx="179">
                  <c:v>389.5</c:v>
                </c:pt>
                <c:pt idx="180">
                  <c:v>390</c:v>
                </c:pt>
                <c:pt idx="181">
                  <c:v>390.5</c:v>
                </c:pt>
                <c:pt idx="182">
                  <c:v>391</c:v>
                </c:pt>
                <c:pt idx="183">
                  <c:v>391.5</c:v>
                </c:pt>
                <c:pt idx="184">
                  <c:v>392</c:v>
                </c:pt>
                <c:pt idx="185">
                  <c:v>392.5</c:v>
                </c:pt>
                <c:pt idx="186">
                  <c:v>393</c:v>
                </c:pt>
                <c:pt idx="187">
                  <c:v>393.5</c:v>
                </c:pt>
                <c:pt idx="188">
                  <c:v>394</c:v>
                </c:pt>
                <c:pt idx="189">
                  <c:v>394.5</c:v>
                </c:pt>
                <c:pt idx="190">
                  <c:v>395</c:v>
                </c:pt>
                <c:pt idx="191">
                  <c:v>395.5</c:v>
                </c:pt>
                <c:pt idx="192">
                  <c:v>396</c:v>
                </c:pt>
                <c:pt idx="193">
                  <c:v>396.5</c:v>
                </c:pt>
                <c:pt idx="194">
                  <c:v>397</c:v>
                </c:pt>
                <c:pt idx="195">
                  <c:v>397.5</c:v>
                </c:pt>
                <c:pt idx="196">
                  <c:v>398</c:v>
                </c:pt>
                <c:pt idx="197">
                  <c:v>398.5</c:v>
                </c:pt>
                <c:pt idx="198">
                  <c:v>399</c:v>
                </c:pt>
                <c:pt idx="199">
                  <c:v>399.5</c:v>
                </c:pt>
                <c:pt idx="200">
                  <c:v>400</c:v>
                </c:pt>
                <c:pt idx="201">
                  <c:v>400.5</c:v>
                </c:pt>
                <c:pt idx="202">
                  <c:v>401</c:v>
                </c:pt>
                <c:pt idx="203">
                  <c:v>401.5</c:v>
                </c:pt>
                <c:pt idx="204">
                  <c:v>402</c:v>
                </c:pt>
                <c:pt idx="205">
                  <c:v>402.5</c:v>
                </c:pt>
                <c:pt idx="206">
                  <c:v>403</c:v>
                </c:pt>
                <c:pt idx="207">
                  <c:v>403.5</c:v>
                </c:pt>
                <c:pt idx="208">
                  <c:v>404</c:v>
                </c:pt>
                <c:pt idx="209">
                  <c:v>404.5</c:v>
                </c:pt>
                <c:pt idx="210">
                  <c:v>405</c:v>
                </c:pt>
                <c:pt idx="211">
                  <c:v>405.5</c:v>
                </c:pt>
                <c:pt idx="212">
                  <c:v>406</c:v>
                </c:pt>
                <c:pt idx="213">
                  <c:v>406.5</c:v>
                </c:pt>
                <c:pt idx="214">
                  <c:v>407</c:v>
                </c:pt>
                <c:pt idx="215">
                  <c:v>407.5</c:v>
                </c:pt>
                <c:pt idx="216">
                  <c:v>408</c:v>
                </c:pt>
                <c:pt idx="217">
                  <c:v>408.5</c:v>
                </c:pt>
                <c:pt idx="218">
                  <c:v>409</c:v>
                </c:pt>
                <c:pt idx="219">
                  <c:v>409.5</c:v>
                </c:pt>
                <c:pt idx="220">
                  <c:v>410</c:v>
                </c:pt>
                <c:pt idx="221">
                  <c:v>410.5</c:v>
                </c:pt>
                <c:pt idx="222">
                  <c:v>411</c:v>
                </c:pt>
                <c:pt idx="223">
                  <c:v>411.5</c:v>
                </c:pt>
                <c:pt idx="224">
                  <c:v>412</c:v>
                </c:pt>
                <c:pt idx="225">
                  <c:v>412.5</c:v>
                </c:pt>
                <c:pt idx="226">
                  <c:v>413</c:v>
                </c:pt>
                <c:pt idx="227">
                  <c:v>413.5</c:v>
                </c:pt>
                <c:pt idx="228">
                  <c:v>414</c:v>
                </c:pt>
                <c:pt idx="229">
                  <c:v>414.5</c:v>
                </c:pt>
                <c:pt idx="230">
                  <c:v>415</c:v>
                </c:pt>
                <c:pt idx="231">
                  <c:v>415.5</c:v>
                </c:pt>
                <c:pt idx="232">
                  <c:v>416</c:v>
                </c:pt>
                <c:pt idx="233">
                  <c:v>416.5</c:v>
                </c:pt>
                <c:pt idx="234">
                  <c:v>417</c:v>
                </c:pt>
                <c:pt idx="235">
                  <c:v>417.5</c:v>
                </c:pt>
                <c:pt idx="236">
                  <c:v>418</c:v>
                </c:pt>
                <c:pt idx="237">
                  <c:v>418.5</c:v>
                </c:pt>
                <c:pt idx="238">
                  <c:v>419</c:v>
                </c:pt>
                <c:pt idx="239">
                  <c:v>419.5</c:v>
                </c:pt>
                <c:pt idx="240">
                  <c:v>420</c:v>
                </c:pt>
                <c:pt idx="241">
                  <c:v>420.5</c:v>
                </c:pt>
                <c:pt idx="242">
                  <c:v>421</c:v>
                </c:pt>
                <c:pt idx="243">
                  <c:v>421.5</c:v>
                </c:pt>
                <c:pt idx="244">
                  <c:v>422</c:v>
                </c:pt>
                <c:pt idx="245">
                  <c:v>422.5</c:v>
                </c:pt>
                <c:pt idx="246">
                  <c:v>423</c:v>
                </c:pt>
                <c:pt idx="247">
                  <c:v>423.5</c:v>
                </c:pt>
                <c:pt idx="248">
                  <c:v>424</c:v>
                </c:pt>
                <c:pt idx="249">
                  <c:v>424.5</c:v>
                </c:pt>
                <c:pt idx="250">
                  <c:v>425</c:v>
                </c:pt>
                <c:pt idx="251">
                  <c:v>425.5</c:v>
                </c:pt>
                <c:pt idx="252">
                  <c:v>426</c:v>
                </c:pt>
                <c:pt idx="253">
                  <c:v>426.5</c:v>
                </c:pt>
                <c:pt idx="254">
                  <c:v>427</c:v>
                </c:pt>
                <c:pt idx="255">
                  <c:v>427.5</c:v>
                </c:pt>
                <c:pt idx="256">
                  <c:v>428</c:v>
                </c:pt>
                <c:pt idx="257">
                  <c:v>428.5</c:v>
                </c:pt>
                <c:pt idx="258">
                  <c:v>429</c:v>
                </c:pt>
                <c:pt idx="259">
                  <c:v>429.5</c:v>
                </c:pt>
                <c:pt idx="260">
                  <c:v>430</c:v>
                </c:pt>
                <c:pt idx="261">
                  <c:v>430.5</c:v>
                </c:pt>
                <c:pt idx="262">
                  <c:v>431</c:v>
                </c:pt>
                <c:pt idx="263">
                  <c:v>431.5</c:v>
                </c:pt>
                <c:pt idx="264">
                  <c:v>432</c:v>
                </c:pt>
                <c:pt idx="265">
                  <c:v>432.5</c:v>
                </c:pt>
                <c:pt idx="266">
                  <c:v>433</c:v>
                </c:pt>
                <c:pt idx="267">
                  <c:v>433.5</c:v>
                </c:pt>
                <c:pt idx="268">
                  <c:v>434</c:v>
                </c:pt>
                <c:pt idx="269">
                  <c:v>434.5</c:v>
                </c:pt>
                <c:pt idx="270">
                  <c:v>435</c:v>
                </c:pt>
                <c:pt idx="271">
                  <c:v>435.5</c:v>
                </c:pt>
                <c:pt idx="272">
                  <c:v>436</c:v>
                </c:pt>
                <c:pt idx="273">
                  <c:v>436.5</c:v>
                </c:pt>
                <c:pt idx="274">
                  <c:v>437</c:v>
                </c:pt>
                <c:pt idx="275">
                  <c:v>437.5</c:v>
                </c:pt>
                <c:pt idx="276">
                  <c:v>438</c:v>
                </c:pt>
                <c:pt idx="277">
                  <c:v>438.5</c:v>
                </c:pt>
                <c:pt idx="278">
                  <c:v>439</c:v>
                </c:pt>
                <c:pt idx="279">
                  <c:v>439.5</c:v>
                </c:pt>
                <c:pt idx="280">
                  <c:v>440</c:v>
                </c:pt>
                <c:pt idx="281">
                  <c:v>440.5</c:v>
                </c:pt>
                <c:pt idx="282">
                  <c:v>441</c:v>
                </c:pt>
                <c:pt idx="283">
                  <c:v>441.5</c:v>
                </c:pt>
                <c:pt idx="284">
                  <c:v>442</c:v>
                </c:pt>
                <c:pt idx="285">
                  <c:v>442.5</c:v>
                </c:pt>
                <c:pt idx="286">
                  <c:v>443</c:v>
                </c:pt>
                <c:pt idx="287">
                  <c:v>443.5</c:v>
                </c:pt>
                <c:pt idx="288">
                  <c:v>444</c:v>
                </c:pt>
                <c:pt idx="289">
                  <c:v>444.5</c:v>
                </c:pt>
                <c:pt idx="290">
                  <c:v>445</c:v>
                </c:pt>
                <c:pt idx="291">
                  <c:v>445.5</c:v>
                </c:pt>
                <c:pt idx="292">
                  <c:v>446</c:v>
                </c:pt>
                <c:pt idx="293">
                  <c:v>446.5</c:v>
                </c:pt>
                <c:pt idx="294">
                  <c:v>447</c:v>
                </c:pt>
                <c:pt idx="295">
                  <c:v>447.5</c:v>
                </c:pt>
                <c:pt idx="296">
                  <c:v>448</c:v>
                </c:pt>
                <c:pt idx="297">
                  <c:v>448.5</c:v>
                </c:pt>
                <c:pt idx="298">
                  <c:v>449</c:v>
                </c:pt>
                <c:pt idx="299">
                  <c:v>449.5</c:v>
                </c:pt>
                <c:pt idx="300">
                  <c:v>450</c:v>
                </c:pt>
                <c:pt idx="301">
                  <c:v>450.5</c:v>
                </c:pt>
                <c:pt idx="302">
                  <c:v>451</c:v>
                </c:pt>
                <c:pt idx="303">
                  <c:v>451.5</c:v>
                </c:pt>
                <c:pt idx="304">
                  <c:v>452</c:v>
                </c:pt>
                <c:pt idx="305">
                  <c:v>452.5</c:v>
                </c:pt>
                <c:pt idx="306">
                  <c:v>453</c:v>
                </c:pt>
                <c:pt idx="307">
                  <c:v>453.5</c:v>
                </c:pt>
                <c:pt idx="308">
                  <c:v>454</c:v>
                </c:pt>
                <c:pt idx="309">
                  <c:v>454.5</c:v>
                </c:pt>
                <c:pt idx="310">
                  <c:v>455</c:v>
                </c:pt>
                <c:pt idx="311">
                  <c:v>455.5</c:v>
                </c:pt>
                <c:pt idx="312">
                  <c:v>456</c:v>
                </c:pt>
                <c:pt idx="313">
                  <c:v>456.5</c:v>
                </c:pt>
                <c:pt idx="314">
                  <c:v>457</c:v>
                </c:pt>
                <c:pt idx="315">
                  <c:v>457.5</c:v>
                </c:pt>
                <c:pt idx="316">
                  <c:v>458</c:v>
                </c:pt>
                <c:pt idx="317">
                  <c:v>458.5</c:v>
                </c:pt>
                <c:pt idx="318">
                  <c:v>459</c:v>
                </c:pt>
                <c:pt idx="319">
                  <c:v>459.5</c:v>
                </c:pt>
                <c:pt idx="320">
                  <c:v>460</c:v>
                </c:pt>
                <c:pt idx="321">
                  <c:v>460.5</c:v>
                </c:pt>
                <c:pt idx="322">
                  <c:v>461</c:v>
                </c:pt>
                <c:pt idx="323">
                  <c:v>461.5</c:v>
                </c:pt>
                <c:pt idx="324">
                  <c:v>462</c:v>
                </c:pt>
                <c:pt idx="325">
                  <c:v>462.5</c:v>
                </c:pt>
                <c:pt idx="326">
                  <c:v>463</c:v>
                </c:pt>
                <c:pt idx="327">
                  <c:v>463.5</c:v>
                </c:pt>
                <c:pt idx="328">
                  <c:v>464</c:v>
                </c:pt>
                <c:pt idx="329">
                  <c:v>464.5</c:v>
                </c:pt>
                <c:pt idx="330">
                  <c:v>465</c:v>
                </c:pt>
                <c:pt idx="331">
                  <c:v>465.5</c:v>
                </c:pt>
                <c:pt idx="332">
                  <c:v>466</c:v>
                </c:pt>
                <c:pt idx="333">
                  <c:v>466.5</c:v>
                </c:pt>
                <c:pt idx="334">
                  <c:v>467</c:v>
                </c:pt>
                <c:pt idx="335">
                  <c:v>467.5</c:v>
                </c:pt>
                <c:pt idx="336">
                  <c:v>468</c:v>
                </c:pt>
                <c:pt idx="337">
                  <c:v>468.5</c:v>
                </c:pt>
                <c:pt idx="338">
                  <c:v>469</c:v>
                </c:pt>
                <c:pt idx="339">
                  <c:v>469.5</c:v>
                </c:pt>
                <c:pt idx="340">
                  <c:v>470</c:v>
                </c:pt>
                <c:pt idx="341">
                  <c:v>470.5</c:v>
                </c:pt>
                <c:pt idx="342">
                  <c:v>471</c:v>
                </c:pt>
                <c:pt idx="343">
                  <c:v>471.5</c:v>
                </c:pt>
                <c:pt idx="344">
                  <c:v>472</c:v>
                </c:pt>
                <c:pt idx="345">
                  <c:v>472.5</c:v>
                </c:pt>
                <c:pt idx="346">
                  <c:v>473</c:v>
                </c:pt>
                <c:pt idx="347">
                  <c:v>473.5</c:v>
                </c:pt>
                <c:pt idx="348">
                  <c:v>474</c:v>
                </c:pt>
                <c:pt idx="349">
                  <c:v>474.5</c:v>
                </c:pt>
                <c:pt idx="350">
                  <c:v>475</c:v>
                </c:pt>
                <c:pt idx="351">
                  <c:v>475.5</c:v>
                </c:pt>
                <c:pt idx="352">
                  <c:v>476</c:v>
                </c:pt>
                <c:pt idx="353">
                  <c:v>476.5</c:v>
                </c:pt>
                <c:pt idx="354">
                  <c:v>477</c:v>
                </c:pt>
                <c:pt idx="355">
                  <c:v>477.5</c:v>
                </c:pt>
                <c:pt idx="356">
                  <c:v>478</c:v>
                </c:pt>
                <c:pt idx="357">
                  <c:v>478.5</c:v>
                </c:pt>
                <c:pt idx="358">
                  <c:v>479</c:v>
                </c:pt>
                <c:pt idx="359">
                  <c:v>479.5</c:v>
                </c:pt>
                <c:pt idx="360">
                  <c:v>480</c:v>
                </c:pt>
                <c:pt idx="361">
                  <c:v>480.5</c:v>
                </c:pt>
                <c:pt idx="362">
                  <c:v>481</c:v>
                </c:pt>
                <c:pt idx="363">
                  <c:v>481.5</c:v>
                </c:pt>
                <c:pt idx="364">
                  <c:v>482</c:v>
                </c:pt>
                <c:pt idx="365">
                  <c:v>482.5</c:v>
                </c:pt>
                <c:pt idx="366">
                  <c:v>483</c:v>
                </c:pt>
                <c:pt idx="367">
                  <c:v>483.5</c:v>
                </c:pt>
                <c:pt idx="368">
                  <c:v>484</c:v>
                </c:pt>
                <c:pt idx="369">
                  <c:v>484.5</c:v>
                </c:pt>
                <c:pt idx="370">
                  <c:v>485</c:v>
                </c:pt>
                <c:pt idx="371">
                  <c:v>485.5</c:v>
                </c:pt>
                <c:pt idx="372">
                  <c:v>486</c:v>
                </c:pt>
                <c:pt idx="373">
                  <c:v>486.5</c:v>
                </c:pt>
                <c:pt idx="374">
                  <c:v>487</c:v>
                </c:pt>
                <c:pt idx="375">
                  <c:v>487.5</c:v>
                </c:pt>
                <c:pt idx="376">
                  <c:v>488</c:v>
                </c:pt>
                <c:pt idx="377">
                  <c:v>488.5</c:v>
                </c:pt>
                <c:pt idx="378">
                  <c:v>489</c:v>
                </c:pt>
                <c:pt idx="379">
                  <c:v>489.5</c:v>
                </c:pt>
                <c:pt idx="380">
                  <c:v>490</c:v>
                </c:pt>
                <c:pt idx="381">
                  <c:v>490.5</c:v>
                </c:pt>
                <c:pt idx="382">
                  <c:v>491</c:v>
                </c:pt>
                <c:pt idx="383">
                  <c:v>491.5</c:v>
                </c:pt>
                <c:pt idx="384">
                  <c:v>492</c:v>
                </c:pt>
                <c:pt idx="385">
                  <c:v>492.5</c:v>
                </c:pt>
                <c:pt idx="386">
                  <c:v>493</c:v>
                </c:pt>
                <c:pt idx="387">
                  <c:v>493.5</c:v>
                </c:pt>
                <c:pt idx="388">
                  <c:v>494</c:v>
                </c:pt>
                <c:pt idx="389">
                  <c:v>494.5</c:v>
                </c:pt>
                <c:pt idx="390">
                  <c:v>495</c:v>
                </c:pt>
                <c:pt idx="391">
                  <c:v>495.5</c:v>
                </c:pt>
                <c:pt idx="392">
                  <c:v>496</c:v>
                </c:pt>
                <c:pt idx="393">
                  <c:v>496.5</c:v>
                </c:pt>
                <c:pt idx="394">
                  <c:v>497</c:v>
                </c:pt>
                <c:pt idx="395">
                  <c:v>497.5</c:v>
                </c:pt>
                <c:pt idx="396">
                  <c:v>498</c:v>
                </c:pt>
                <c:pt idx="397">
                  <c:v>498.5</c:v>
                </c:pt>
                <c:pt idx="398">
                  <c:v>499</c:v>
                </c:pt>
                <c:pt idx="399">
                  <c:v>499.5</c:v>
                </c:pt>
                <c:pt idx="400">
                  <c:v>500</c:v>
                </c:pt>
                <c:pt idx="401">
                  <c:v>500.5</c:v>
                </c:pt>
                <c:pt idx="402">
                  <c:v>501</c:v>
                </c:pt>
                <c:pt idx="403">
                  <c:v>501.5</c:v>
                </c:pt>
                <c:pt idx="404">
                  <c:v>502</c:v>
                </c:pt>
                <c:pt idx="405">
                  <c:v>502.5</c:v>
                </c:pt>
                <c:pt idx="406">
                  <c:v>503</c:v>
                </c:pt>
                <c:pt idx="407">
                  <c:v>503.5</c:v>
                </c:pt>
                <c:pt idx="408">
                  <c:v>504</c:v>
                </c:pt>
                <c:pt idx="409">
                  <c:v>504.5</c:v>
                </c:pt>
                <c:pt idx="410">
                  <c:v>505</c:v>
                </c:pt>
                <c:pt idx="411">
                  <c:v>505.5</c:v>
                </c:pt>
                <c:pt idx="412">
                  <c:v>506</c:v>
                </c:pt>
                <c:pt idx="413">
                  <c:v>506.5</c:v>
                </c:pt>
                <c:pt idx="414">
                  <c:v>507</c:v>
                </c:pt>
                <c:pt idx="415">
                  <c:v>507.5</c:v>
                </c:pt>
                <c:pt idx="416">
                  <c:v>508</c:v>
                </c:pt>
                <c:pt idx="417">
                  <c:v>508.5</c:v>
                </c:pt>
                <c:pt idx="418">
                  <c:v>509</c:v>
                </c:pt>
                <c:pt idx="419">
                  <c:v>509.5</c:v>
                </c:pt>
                <c:pt idx="420">
                  <c:v>510</c:v>
                </c:pt>
                <c:pt idx="421">
                  <c:v>510.5</c:v>
                </c:pt>
                <c:pt idx="422">
                  <c:v>511</c:v>
                </c:pt>
                <c:pt idx="423">
                  <c:v>511.5</c:v>
                </c:pt>
                <c:pt idx="424">
                  <c:v>512</c:v>
                </c:pt>
                <c:pt idx="425">
                  <c:v>512.5</c:v>
                </c:pt>
                <c:pt idx="426">
                  <c:v>513</c:v>
                </c:pt>
                <c:pt idx="427">
                  <c:v>513.5</c:v>
                </c:pt>
                <c:pt idx="428">
                  <c:v>514</c:v>
                </c:pt>
                <c:pt idx="429">
                  <c:v>514.5</c:v>
                </c:pt>
                <c:pt idx="430">
                  <c:v>515</c:v>
                </c:pt>
                <c:pt idx="431">
                  <c:v>515.5</c:v>
                </c:pt>
                <c:pt idx="432">
                  <c:v>516</c:v>
                </c:pt>
                <c:pt idx="433">
                  <c:v>516.5</c:v>
                </c:pt>
                <c:pt idx="434">
                  <c:v>517</c:v>
                </c:pt>
                <c:pt idx="435">
                  <c:v>517.5</c:v>
                </c:pt>
                <c:pt idx="436">
                  <c:v>518</c:v>
                </c:pt>
                <c:pt idx="437">
                  <c:v>518.5</c:v>
                </c:pt>
                <c:pt idx="438">
                  <c:v>519</c:v>
                </c:pt>
                <c:pt idx="439">
                  <c:v>519.5</c:v>
                </c:pt>
                <c:pt idx="440">
                  <c:v>520</c:v>
                </c:pt>
                <c:pt idx="441">
                  <c:v>520.5</c:v>
                </c:pt>
                <c:pt idx="442">
                  <c:v>521</c:v>
                </c:pt>
                <c:pt idx="443">
                  <c:v>521.5</c:v>
                </c:pt>
                <c:pt idx="444">
                  <c:v>522</c:v>
                </c:pt>
                <c:pt idx="445">
                  <c:v>522.5</c:v>
                </c:pt>
                <c:pt idx="446">
                  <c:v>523</c:v>
                </c:pt>
                <c:pt idx="447">
                  <c:v>523.5</c:v>
                </c:pt>
                <c:pt idx="448">
                  <c:v>524</c:v>
                </c:pt>
                <c:pt idx="449">
                  <c:v>524.5</c:v>
                </c:pt>
                <c:pt idx="450">
                  <c:v>525</c:v>
                </c:pt>
                <c:pt idx="451">
                  <c:v>525.5</c:v>
                </c:pt>
                <c:pt idx="452">
                  <c:v>526</c:v>
                </c:pt>
                <c:pt idx="453">
                  <c:v>526.5</c:v>
                </c:pt>
                <c:pt idx="454">
                  <c:v>527</c:v>
                </c:pt>
                <c:pt idx="455">
                  <c:v>527.5</c:v>
                </c:pt>
                <c:pt idx="456">
                  <c:v>528</c:v>
                </c:pt>
                <c:pt idx="457">
                  <c:v>528.5</c:v>
                </c:pt>
                <c:pt idx="458">
                  <c:v>529</c:v>
                </c:pt>
                <c:pt idx="459">
                  <c:v>529.5</c:v>
                </c:pt>
                <c:pt idx="460">
                  <c:v>530</c:v>
                </c:pt>
                <c:pt idx="461">
                  <c:v>530.5</c:v>
                </c:pt>
                <c:pt idx="462">
                  <c:v>531</c:v>
                </c:pt>
                <c:pt idx="463">
                  <c:v>531.5</c:v>
                </c:pt>
                <c:pt idx="464">
                  <c:v>532</c:v>
                </c:pt>
                <c:pt idx="465">
                  <c:v>532.5</c:v>
                </c:pt>
                <c:pt idx="466">
                  <c:v>533</c:v>
                </c:pt>
                <c:pt idx="467">
                  <c:v>533.5</c:v>
                </c:pt>
                <c:pt idx="468">
                  <c:v>534</c:v>
                </c:pt>
                <c:pt idx="469">
                  <c:v>534.5</c:v>
                </c:pt>
                <c:pt idx="470">
                  <c:v>535</c:v>
                </c:pt>
                <c:pt idx="471">
                  <c:v>535.5</c:v>
                </c:pt>
                <c:pt idx="472">
                  <c:v>536</c:v>
                </c:pt>
                <c:pt idx="473">
                  <c:v>536.5</c:v>
                </c:pt>
                <c:pt idx="474">
                  <c:v>537</c:v>
                </c:pt>
                <c:pt idx="475">
                  <c:v>537.5</c:v>
                </c:pt>
                <c:pt idx="476">
                  <c:v>538</c:v>
                </c:pt>
                <c:pt idx="477">
                  <c:v>538.5</c:v>
                </c:pt>
                <c:pt idx="478">
                  <c:v>539</c:v>
                </c:pt>
                <c:pt idx="479">
                  <c:v>539.5</c:v>
                </c:pt>
                <c:pt idx="480">
                  <c:v>540</c:v>
                </c:pt>
                <c:pt idx="481">
                  <c:v>540.5</c:v>
                </c:pt>
                <c:pt idx="482">
                  <c:v>541</c:v>
                </c:pt>
                <c:pt idx="483">
                  <c:v>541.5</c:v>
                </c:pt>
                <c:pt idx="484">
                  <c:v>542</c:v>
                </c:pt>
                <c:pt idx="485">
                  <c:v>542.5</c:v>
                </c:pt>
                <c:pt idx="486">
                  <c:v>543</c:v>
                </c:pt>
                <c:pt idx="487">
                  <c:v>543.5</c:v>
                </c:pt>
                <c:pt idx="488">
                  <c:v>544</c:v>
                </c:pt>
                <c:pt idx="489">
                  <c:v>544.5</c:v>
                </c:pt>
                <c:pt idx="490">
                  <c:v>545</c:v>
                </c:pt>
                <c:pt idx="491">
                  <c:v>545.5</c:v>
                </c:pt>
                <c:pt idx="492">
                  <c:v>546</c:v>
                </c:pt>
                <c:pt idx="493">
                  <c:v>546.5</c:v>
                </c:pt>
                <c:pt idx="494">
                  <c:v>547</c:v>
                </c:pt>
                <c:pt idx="495">
                  <c:v>547.5</c:v>
                </c:pt>
                <c:pt idx="496">
                  <c:v>548</c:v>
                </c:pt>
                <c:pt idx="497">
                  <c:v>548.5</c:v>
                </c:pt>
                <c:pt idx="498">
                  <c:v>549</c:v>
                </c:pt>
                <c:pt idx="499">
                  <c:v>549.5</c:v>
                </c:pt>
                <c:pt idx="500">
                  <c:v>550</c:v>
                </c:pt>
                <c:pt idx="501">
                  <c:v>550.5</c:v>
                </c:pt>
                <c:pt idx="502">
                  <c:v>551</c:v>
                </c:pt>
                <c:pt idx="503">
                  <c:v>551.5</c:v>
                </c:pt>
                <c:pt idx="504">
                  <c:v>552</c:v>
                </c:pt>
                <c:pt idx="505">
                  <c:v>552.5</c:v>
                </c:pt>
                <c:pt idx="506">
                  <c:v>553</c:v>
                </c:pt>
                <c:pt idx="507">
                  <c:v>553.5</c:v>
                </c:pt>
                <c:pt idx="508">
                  <c:v>554</c:v>
                </c:pt>
                <c:pt idx="509">
                  <c:v>554.5</c:v>
                </c:pt>
                <c:pt idx="510">
                  <c:v>555</c:v>
                </c:pt>
                <c:pt idx="511">
                  <c:v>555.5</c:v>
                </c:pt>
                <c:pt idx="512">
                  <c:v>556</c:v>
                </c:pt>
                <c:pt idx="513">
                  <c:v>556.5</c:v>
                </c:pt>
                <c:pt idx="514">
                  <c:v>557</c:v>
                </c:pt>
                <c:pt idx="515">
                  <c:v>557.5</c:v>
                </c:pt>
                <c:pt idx="516">
                  <c:v>558</c:v>
                </c:pt>
                <c:pt idx="517">
                  <c:v>558.5</c:v>
                </c:pt>
                <c:pt idx="518">
                  <c:v>559</c:v>
                </c:pt>
                <c:pt idx="519">
                  <c:v>559.5</c:v>
                </c:pt>
                <c:pt idx="520">
                  <c:v>560</c:v>
                </c:pt>
                <c:pt idx="521">
                  <c:v>560.5</c:v>
                </c:pt>
                <c:pt idx="522">
                  <c:v>561</c:v>
                </c:pt>
                <c:pt idx="523">
                  <c:v>561.5</c:v>
                </c:pt>
                <c:pt idx="524">
                  <c:v>562</c:v>
                </c:pt>
                <c:pt idx="525">
                  <c:v>562.5</c:v>
                </c:pt>
                <c:pt idx="526">
                  <c:v>563</c:v>
                </c:pt>
                <c:pt idx="527">
                  <c:v>563.5</c:v>
                </c:pt>
                <c:pt idx="528">
                  <c:v>564</c:v>
                </c:pt>
                <c:pt idx="529">
                  <c:v>564.5</c:v>
                </c:pt>
                <c:pt idx="530">
                  <c:v>565</c:v>
                </c:pt>
                <c:pt idx="531">
                  <c:v>565.5</c:v>
                </c:pt>
                <c:pt idx="532">
                  <c:v>566</c:v>
                </c:pt>
                <c:pt idx="533">
                  <c:v>566.5</c:v>
                </c:pt>
                <c:pt idx="534">
                  <c:v>567</c:v>
                </c:pt>
                <c:pt idx="535">
                  <c:v>567.5</c:v>
                </c:pt>
                <c:pt idx="536">
                  <c:v>568</c:v>
                </c:pt>
                <c:pt idx="537">
                  <c:v>568.5</c:v>
                </c:pt>
                <c:pt idx="538">
                  <c:v>569</c:v>
                </c:pt>
                <c:pt idx="539">
                  <c:v>569.5</c:v>
                </c:pt>
                <c:pt idx="540">
                  <c:v>570</c:v>
                </c:pt>
                <c:pt idx="541">
                  <c:v>570.5</c:v>
                </c:pt>
                <c:pt idx="542">
                  <c:v>571</c:v>
                </c:pt>
                <c:pt idx="543">
                  <c:v>571.5</c:v>
                </c:pt>
                <c:pt idx="544">
                  <c:v>572</c:v>
                </c:pt>
                <c:pt idx="545">
                  <c:v>572.5</c:v>
                </c:pt>
                <c:pt idx="546">
                  <c:v>573</c:v>
                </c:pt>
                <c:pt idx="547">
                  <c:v>573.5</c:v>
                </c:pt>
                <c:pt idx="548">
                  <c:v>574</c:v>
                </c:pt>
                <c:pt idx="549">
                  <c:v>574.5</c:v>
                </c:pt>
                <c:pt idx="550">
                  <c:v>575</c:v>
                </c:pt>
                <c:pt idx="551">
                  <c:v>575.5</c:v>
                </c:pt>
                <c:pt idx="552">
                  <c:v>576</c:v>
                </c:pt>
                <c:pt idx="553">
                  <c:v>576.5</c:v>
                </c:pt>
                <c:pt idx="554">
                  <c:v>577</c:v>
                </c:pt>
                <c:pt idx="555">
                  <c:v>577.5</c:v>
                </c:pt>
                <c:pt idx="556">
                  <c:v>578</c:v>
                </c:pt>
                <c:pt idx="557">
                  <c:v>578.5</c:v>
                </c:pt>
                <c:pt idx="558">
                  <c:v>579</c:v>
                </c:pt>
                <c:pt idx="559">
                  <c:v>579.5</c:v>
                </c:pt>
                <c:pt idx="560">
                  <c:v>580</c:v>
                </c:pt>
                <c:pt idx="561">
                  <c:v>580.5</c:v>
                </c:pt>
                <c:pt idx="562">
                  <c:v>581</c:v>
                </c:pt>
                <c:pt idx="563">
                  <c:v>581.5</c:v>
                </c:pt>
                <c:pt idx="564">
                  <c:v>582</c:v>
                </c:pt>
                <c:pt idx="565">
                  <c:v>582.5</c:v>
                </c:pt>
                <c:pt idx="566">
                  <c:v>583</c:v>
                </c:pt>
                <c:pt idx="567">
                  <c:v>583.5</c:v>
                </c:pt>
                <c:pt idx="568">
                  <c:v>584</c:v>
                </c:pt>
                <c:pt idx="569">
                  <c:v>584.5</c:v>
                </c:pt>
                <c:pt idx="570">
                  <c:v>585</c:v>
                </c:pt>
                <c:pt idx="571">
                  <c:v>585.5</c:v>
                </c:pt>
                <c:pt idx="572">
                  <c:v>586</c:v>
                </c:pt>
                <c:pt idx="573">
                  <c:v>586.5</c:v>
                </c:pt>
                <c:pt idx="574">
                  <c:v>587</c:v>
                </c:pt>
                <c:pt idx="575">
                  <c:v>587.5</c:v>
                </c:pt>
                <c:pt idx="576">
                  <c:v>588</c:v>
                </c:pt>
                <c:pt idx="577">
                  <c:v>588.5</c:v>
                </c:pt>
                <c:pt idx="578">
                  <c:v>589</c:v>
                </c:pt>
                <c:pt idx="579">
                  <c:v>589.5</c:v>
                </c:pt>
                <c:pt idx="580">
                  <c:v>590</c:v>
                </c:pt>
                <c:pt idx="581">
                  <c:v>590.5</c:v>
                </c:pt>
                <c:pt idx="582">
                  <c:v>591</c:v>
                </c:pt>
                <c:pt idx="583">
                  <c:v>591.5</c:v>
                </c:pt>
                <c:pt idx="584">
                  <c:v>592</c:v>
                </c:pt>
                <c:pt idx="585">
                  <c:v>592.5</c:v>
                </c:pt>
                <c:pt idx="586">
                  <c:v>593</c:v>
                </c:pt>
                <c:pt idx="587">
                  <c:v>593.5</c:v>
                </c:pt>
                <c:pt idx="588">
                  <c:v>594</c:v>
                </c:pt>
                <c:pt idx="589">
                  <c:v>594.5</c:v>
                </c:pt>
                <c:pt idx="590">
                  <c:v>595</c:v>
                </c:pt>
                <c:pt idx="591">
                  <c:v>595.5</c:v>
                </c:pt>
                <c:pt idx="592">
                  <c:v>596</c:v>
                </c:pt>
                <c:pt idx="593">
                  <c:v>596.5</c:v>
                </c:pt>
                <c:pt idx="594">
                  <c:v>597</c:v>
                </c:pt>
                <c:pt idx="595">
                  <c:v>597.5</c:v>
                </c:pt>
                <c:pt idx="596">
                  <c:v>598</c:v>
                </c:pt>
                <c:pt idx="597">
                  <c:v>598.5</c:v>
                </c:pt>
                <c:pt idx="598">
                  <c:v>599</c:v>
                </c:pt>
                <c:pt idx="599">
                  <c:v>599.5</c:v>
                </c:pt>
                <c:pt idx="600">
                  <c:v>600</c:v>
                </c:pt>
                <c:pt idx="601">
                  <c:v>600.5</c:v>
                </c:pt>
                <c:pt idx="602">
                  <c:v>601</c:v>
                </c:pt>
                <c:pt idx="603">
                  <c:v>601.5</c:v>
                </c:pt>
                <c:pt idx="604">
                  <c:v>602</c:v>
                </c:pt>
                <c:pt idx="605">
                  <c:v>602.5</c:v>
                </c:pt>
                <c:pt idx="606">
                  <c:v>603</c:v>
                </c:pt>
                <c:pt idx="607">
                  <c:v>603.5</c:v>
                </c:pt>
                <c:pt idx="608">
                  <c:v>604</c:v>
                </c:pt>
                <c:pt idx="609">
                  <c:v>604.5</c:v>
                </c:pt>
                <c:pt idx="610">
                  <c:v>605</c:v>
                </c:pt>
                <c:pt idx="611">
                  <c:v>605.5</c:v>
                </c:pt>
                <c:pt idx="612">
                  <c:v>606</c:v>
                </c:pt>
                <c:pt idx="613">
                  <c:v>606.5</c:v>
                </c:pt>
                <c:pt idx="614">
                  <c:v>607</c:v>
                </c:pt>
                <c:pt idx="615">
                  <c:v>607.5</c:v>
                </c:pt>
                <c:pt idx="616">
                  <c:v>608</c:v>
                </c:pt>
                <c:pt idx="617">
                  <c:v>608.5</c:v>
                </c:pt>
                <c:pt idx="618">
                  <c:v>609</c:v>
                </c:pt>
                <c:pt idx="619">
                  <c:v>609.5</c:v>
                </c:pt>
                <c:pt idx="620">
                  <c:v>610</c:v>
                </c:pt>
                <c:pt idx="621">
                  <c:v>610.5</c:v>
                </c:pt>
                <c:pt idx="622">
                  <c:v>611</c:v>
                </c:pt>
                <c:pt idx="623">
                  <c:v>611.5</c:v>
                </c:pt>
                <c:pt idx="624">
                  <c:v>612</c:v>
                </c:pt>
                <c:pt idx="625">
                  <c:v>612.5</c:v>
                </c:pt>
                <c:pt idx="626">
                  <c:v>613</c:v>
                </c:pt>
                <c:pt idx="627">
                  <c:v>613.5</c:v>
                </c:pt>
                <c:pt idx="628">
                  <c:v>614</c:v>
                </c:pt>
                <c:pt idx="629">
                  <c:v>614.5</c:v>
                </c:pt>
                <c:pt idx="630">
                  <c:v>615</c:v>
                </c:pt>
                <c:pt idx="631">
                  <c:v>615.5</c:v>
                </c:pt>
                <c:pt idx="632">
                  <c:v>616</c:v>
                </c:pt>
                <c:pt idx="633">
                  <c:v>616.5</c:v>
                </c:pt>
                <c:pt idx="634">
                  <c:v>617</c:v>
                </c:pt>
                <c:pt idx="635">
                  <c:v>617.5</c:v>
                </c:pt>
                <c:pt idx="636">
                  <c:v>618</c:v>
                </c:pt>
                <c:pt idx="637">
                  <c:v>618.5</c:v>
                </c:pt>
                <c:pt idx="638">
                  <c:v>619</c:v>
                </c:pt>
                <c:pt idx="639">
                  <c:v>619.5</c:v>
                </c:pt>
                <c:pt idx="640">
                  <c:v>620</c:v>
                </c:pt>
                <c:pt idx="641">
                  <c:v>620.5</c:v>
                </c:pt>
                <c:pt idx="642">
                  <c:v>621</c:v>
                </c:pt>
                <c:pt idx="643">
                  <c:v>621.5</c:v>
                </c:pt>
                <c:pt idx="644">
                  <c:v>622</c:v>
                </c:pt>
                <c:pt idx="645">
                  <c:v>622.5</c:v>
                </c:pt>
                <c:pt idx="646">
                  <c:v>623</c:v>
                </c:pt>
                <c:pt idx="647">
                  <c:v>623.5</c:v>
                </c:pt>
                <c:pt idx="648">
                  <c:v>624</c:v>
                </c:pt>
                <c:pt idx="649">
                  <c:v>624.5</c:v>
                </c:pt>
                <c:pt idx="650">
                  <c:v>625</c:v>
                </c:pt>
                <c:pt idx="651">
                  <c:v>625.5</c:v>
                </c:pt>
                <c:pt idx="652">
                  <c:v>626</c:v>
                </c:pt>
                <c:pt idx="653">
                  <c:v>626.5</c:v>
                </c:pt>
                <c:pt idx="654">
                  <c:v>627</c:v>
                </c:pt>
                <c:pt idx="655">
                  <c:v>627.5</c:v>
                </c:pt>
                <c:pt idx="656">
                  <c:v>628</c:v>
                </c:pt>
                <c:pt idx="657">
                  <c:v>628.5</c:v>
                </c:pt>
                <c:pt idx="658">
                  <c:v>629</c:v>
                </c:pt>
                <c:pt idx="659">
                  <c:v>629.5</c:v>
                </c:pt>
                <c:pt idx="660">
                  <c:v>630</c:v>
                </c:pt>
                <c:pt idx="661">
                  <c:v>630.5</c:v>
                </c:pt>
                <c:pt idx="662">
                  <c:v>631</c:v>
                </c:pt>
                <c:pt idx="663">
                  <c:v>631.5</c:v>
                </c:pt>
                <c:pt idx="664">
                  <c:v>632</c:v>
                </c:pt>
                <c:pt idx="665">
                  <c:v>632.5</c:v>
                </c:pt>
                <c:pt idx="666">
                  <c:v>633</c:v>
                </c:pt>
                <c:pt idx="667">
                  <c:v>633.5</c:v>
                </c:pt>
                <c:pt idx="668">
                  <c:v>634</c:v>
                </c:pt>
                <c:pt idx="669">
                  <c:v>634.5</c:v>
                </c:pt>
                <c:pt idx="670">
                  <c:v>635</c:v>
                </c:pt>
                <c:pt idx="671">
                  <c:v>635.5</c:v>
                </c:pt>
                <c:pt idx="672">
                  <c:v>636</c:v>
                </c:pt>
                <c:pt idx="673">
                  <c:v>636.5</c:v>
                </c:pt>
                <c:pt idx="674">
                  <c:v>637</c:v>
                </c:pt>
                <c:pt idx="675">
                  <c:v>637.5</c:v>
                </c:pt>
                <c:pt idx="676">
                  <c:v>638</c:v>
                </c:pt>
                <c:pt idx="677">
                  <c:v>638.5</c:v>
                </c:pt>
                <c:pt idx="678">
                  <c:v>639</c:v>
                </c:pt>
                <c:pt idx="679">
                  <c:v>639.5</c:v>
                </c:pt>
                <c:pt idx="680">
                  <c:v>640</c:v>
                </c:pt>
                <c:pt idx="681">
                  <c:v>640.5</c:v>
                </c:pt>
                <c:pt idx="682">
                  <c:v>641</c:v>
                </c:pt>
                <c:pt idx="683">
                  <c:v>641.5</c:v>
                </c:pt>
                <c:pt idx="684">
                  <c:v>642</c:v>
                </c:pt>
                <c:pt idx="685">
                  <c:v>642.5</c:v>
                </c:pt>
                <c:pt idx="686">
                  <c:v>643</c:v>
                </c:pt>
                <c:pt idx="687">
                  <c:v>643.5</c:v>
                </c:pt>
                <c:pt idx="688">
                  <c:v>644</c:v>
                </c:pt>
                <c:pt idx="689">
                  <c:v>644.5</c:v>
                </c:pt>
                <c:pt idx="690">
                  <c:v>645</c:v>
                </c:pt>
                <c:pt idx="691">
                  <c:v>645.5</c:v>
                </c:pt>
                <c:pt idx="692">
                  <c:v>646</c:v>
                </c:pt>
                <c:pt idx="693">
                  <c:v>646.5</c:v>
                </c:pt>
                <c:pt idx="694">
                  <c:v>647</c:v>
                </c:pt>
                <c:pt idx="695">
                  <c:v>647.5</c:v>
                </c:pt>
                <c:pt idx="696">
                  <c:v>648</c:v>
                </c:pt>
                <c:pt idx="697">
                  <c:v>648.5</c:v>
                </c:pt>
                <c:pt idx="698">
                  <c:v>649</c:v>
                </c:pt>
                <c:pt idx="699">
                  <c:v>649.5</c:v>
                </c:pt>
                <c:pt idx="700">
                  <c:v>650</c:v>
                </c:pt>
                <c:pt idx="701">
                  <c:v>650.5</c:v>
                </c:pt>
                <c:pt idx="702">
                  <c:v>651</c:v>
                </c:pt>
                <c:pt idx="703">
                  <c:v>651.5</c:v>
                </c:pt>
                <c:pt idx="704">
                  <c:v>652</c:v>
                </c:pt>
                <c:pt idx="705">
                  <c:v>652.5</c:v>
                </c:pt>
                <c:pt idx="706">
                  <c:v>653</c:v>
                </c:pt>
                <c:pt idx="707">
                  <c:v>653.5</c:v>
                </c:pt>
                <c:pt idx="708">
                  <c:v>654</c:v>
                </c:pt>
                <c:pt idx="709">
                  <c:v>654.5</c:v>
                </c:pt>
                <c:pt idx="710">
                  <c:v>655</c:v>
                </c:pt>
                <c:pt idx="711">
                  <c:v>655.5</c:v>
                </c:pt>
                <c:pt idx="712">
                  <c:v>656</c:v>
                </c:pt>
                <c:pt idx="713">
                  <c:v>656.5</c:v>
                </c:pt>
                <c:pt idx="714">
                  <c:v>657</c:v>
                </c:pt>
                <c:pt idx="715">
                  <c:v>657.5</c:v>
                </c:pt>
                <c:pt idx="716">
                  <c:v>658</c:v>
                </c:pt>
                <c:pt idx="717">
                  <c:v>658.5</c:v>
                </c:pt>
                <c:pt idx="718">
                  <c:v>659</c:v>
                </c:pt>
                <c:pt idx="719">
                  <c:v>659.5</c:v>
                </c:pt>
                <c:pt idx="720">
                  <c:v>660</c:v>
                </c:pt>
                <c:pt idx="721">
                  <c:v>660.5</c:v>
                </c:pt>
                <c:pt idx="722">
                  <c:v>661</c:v>
                </c:pt>
                <c:pt idx="723">
                  <c:v>661.5</c:v>
                </c:pt>
                <c:pt idx="724">
                  <c:v>662</c:v>
                </c:pt>
                <c:pt idx="725">
                  <c:v>662.5</c:v>
                </c:pt>
                <c:pt idx="726">
                  <c:v>663</c:v>
                </c:pt>
                <c:pt idx="727">
                  <c:v>663.5</c:v>
                </c:pt>
                <c:pt idx="728">
                  <c:v>664</c:v>
                </c:pt>
                <c:pt idx="729">
                  <c:v>664.5</c:v>
                </c:pt>
                <c:pt idx="730">
                  <c:v>665</c:v>
                </c:pt>
                <c:pt idx="731">
                  <c:v>665.5</c:v>
                </c:pt>
                <c:pt idx="732">
                  <c:v>666</c:v>
                </c:pt>
                <c:pt idx="733">
                  <c:v>666.5</c:v>
                </c:pt>
                <c:pt idx="734">
                  <c:v>667</c:v>
                </c:pt>
                <c:pt idx="735">
                  <c:v>667.5</c:v>
                </c:pt>
                <c:pt idx="736">
                  <c:v>668</c:v>
                </c:pt>
                <c:pt idx="737">
                  <c:v>668.5</c:v>
                </c:pt>
                <c:pt idx="738">
                  <c:v>669</c:v>
                </c:pt>
                <c:pt idx="739">
                  <c:v>669.5</c:v>
                </c:pt>
                <c:pt idx="740">
                  <c:v>670</c:v>
                </c:pt>
                <c:pt idx="741">
                  <c:v>670.5</c:v>
                </c:pt>
                <c:pt idx="742">
                  <c:v>671</c:v>
                </c:pt>
                <c:pt idx="743">
                  <c:v>671.5</c:v>
                </c:pt>
                <c:pt idx="744">
                  <c:v>672</c:v>
                </c:pt>
                <c:pt idx="745">
                  <c:v>672.5</c:v>
                </c:pt>
                <c:pt idx="746">
                  <c:v>673</c:v>
                </c:pt>
                <c:pt idx="747">
                  <c:v>673.5</c:v>
                </c:pt>
                <c:pt idx="748">
                  <c:v>674</c:v>
                </c:pt>
                <c:pt idx="749">
                  <c:v>674.5</c:v>
                </c:pt>
                <c:pt idx="750">
                  <c:v>675</c:v>
                </c:pt>
                <c:pt idx="751">
                  <c:v>675.5</c:v>
                </c:pt>
                <c:pt idx="752">
                  <c:v>676</c:v>
                </c:pt>
                <c:pt idx="753">
                  <c:v>676.5</c:v>
                </c:pt>
                <c:pt idx="754">
                  <c:v>677</c:v>
                </c:pt>
                <c:pt idx="755">
                  <c:v>677.5</c:v>
                </c:pt>
                <c:pt idx="756">
                  <c:v>678</c:v>
                </c:pt>
                <c:pt idx="757">
                  <c:v>678.5</c:v>
                </c:pt>
                <c:pt idx="758">
                  <c:v>679</c:v>
                </c:pt>
                <c:pt idx="759">
                  <c:v>679.5</c:v>
                </c:pt>
                <c:pt idx="760">
                  <c:v>680</c:v>
                </c:pt>
                <c:pt idx="761">
                  <c:v>680.5</c:v>
                </c:pt>
                <c:pt idx="762">
                  <c:v>681</c:v>
                </c:pt>
                <c:pt idx="763">
                  <c:v>681.5</c:v>
                </c:pt>
                <c:pt idx="764">
                  <c:v>682</c:v>
                </c:pt>
                <c:pt idx="765">
                  <c:v>682.5</c:v>
                </c:pt>
                <c:pt idx="766">
                  <c:v>683</c:v>
                </c:pt>
                <c:pt idx="767">
                  <c:v>683.5</c:v>
                </c:pt>
                <c:pt idx="768">
                  <c:v>684</c:v>
                </c:pt>
                <c:pt idx="769">
                  <c:v>684.5</c:v>
                </c:pt>
                <c:pt idx="770">
                  <c:v>685</c:v>
                </c:pt>
                <c:pt idx="771">
                  <c:v>685.5</c:v>
                </c:pt>
                <c:pt idx="772">
                  <c:v>686</c:v>
                </c:pt>
                <c:pt idx="773">
                  <c:v>686.5</c:v>
                </c:pt>
                <c:pt idx="774">
                  <c:v>687</c:v>
                </c:pt>
                <c:pt idx="775">
                  <c:v>687.5</c:v>
                </c:pt>
                <c:pt idx="776">
                  <c:v>688</c:v>
                </c:pt>
                <c:pt idx="777">
                  <c:v>688.5</c:v>
                </c:pt>
                <c:pt idx="778">
                  <c:v>689</c:v>
                </c:pt>
                <c:pt idx="779">
                  <c:v>689.5</c:v>
                </c:pt>
                <c:pt idx="780">
                  <c:v>690</c:v>
                </c:pt>
                <c:pt idx="781">
                  <c:v>690.5</c:v>
                </c:pt>
                <c:pt idx="782">
                  <c:v>691</c:v>
                </c:pt>
                <c:pt idx="783">
                  <c:v>691.5</c:v>
                </c:pt>
                <c:pt idx="784">
                  <c:v>692</c:v>
                </c:pt>
                <c:pt idx="785">
                  <c:v>692.5</c:v>
                </c:pt>
                <c:pt idx="786">
                  <c:v>693</c:v>
                </c:pt>
                <c:pt idx="787">
                  <c:v>693.5</c:v>
                </c:pt>
                <c:pt idx="788">
                  <c:v>694</c:v>
                </c:pt>
                <c:pt idx="789">
                  <c:v>694.5</c:v>
                </c:pt>
                <c:pt idx="790">
                  <c:v>695</c:v>
                </c:pt>
                <c:pt idx="791">
                  <c:v>695.5</c:v>
                </c:pt>
                <c:pt idx="792">
                  <c:v>696</c:v>
                </c:pt>
                <c:pt idx="793">
                  <c:v>696.5</c:v>
                </c:pt>
                <c:pt idx="794">
                  <c:v>697</c:v>
                </c:pt>
                <c:pt idx="795">
                  <c:v>697.5</c:v>
                </c:pt>
                <c:pt idx="796">
                  <c:v>698</c:v>
                </c:pt>
                <c:pt idx="797">
                  <c:v>698.5</c:v>
                </c:pt>
                <c:pt idx="798">
                  <c:v>699</c:v>
                </c:pt>
                <c:pt idx="799">
                  <c:v>699.5</c:v>
                </c:pt>
                <c:pt idx="800">
                  <c:v>700</c:v>
                </c:pt>
                <c:pt idx="801">
                  <c:v>700.5</c:v>
                </c:pt>
                <c:pt idx="802">
                  <c:v>701</c:v>
                </c:pt>
                <c:pt idx="803">
                  <c:v>701.5</c:v>
                </c:pt>
                <c:pt idx="804">
                  <c:v>702</c:v>
                </c:pt>
                <c:pt idx="805">
                  <c:v>702.5</c:v>
                </c:pt>
                <c:pt idx="806">
                  <c:v>703</c:v>
                </c:pt>
                <c:pt idx="807">
                  <c:v>703.5</c:v>
                </c:pt>
                <c:pt idx="808">
                  <c:v>704</c:v>
                </c:pt>
                <c:pt idx="809">
                  <c:v>704.5</c:v>
                </c:pt>
                <c:pt idx="810">
                  <c:v>705</c:v>
                </c:pt>
                <c:pt idx="811">
                  <c:v>705.5</c:v>
                </c:pt>
                <c:pt idx="812">
                  <c:v>706</c:v>
                </c:pt>
                <c:pt idx="813">
                  <c:v>706.5</c:v>
                </c:pt>
                <c:pt idx="814">
                  <c:v>707</c:v>
                </c:pt>
                <c:pt idx="815">
                  <c:v>707.5</c:v>
                </c:pt>
                <c:pt idx="816">
                  <c:v>708</c:v>
                </c:pt>
                <c:pt idx="817">
                  <c:v>708.5</c:v>
                </c:pt>
                <c:pt idx="818">
                  <c:v>709</c:v>
                </c:pt>
                <c:pt idx="819">
                  <c:v>709.5</c:v>
                </c:pt>
                <c:pt idx="820">
                  <c:v>710</c:v>
                </c:pt>
                <c:pt idx="821">
                  <c:v>710.5</c:v>
                </c:pt>
                <c:pt idx="822">
                  <c:v>711</c:v>
                </c:pt>
                <c:pt idx="823">
                  <c:v>711.5</c:v>
                </c:pt>
                <c:pt idx="824">
                  <c:v>712</c:v>
                </c:pt>
                <c:pt idx="825">
                  <c:v>712.5</c:v>
                </c:pt>
                <c:pt idx="826">
                  <c:v>713</c:v>
                </c:pt>
                <c:pt idx="827">
                  <c:v>713.5</c:v>
                </c:pt>
                <c:pt idx="828">
                  <c:v>714</c:v>
                </c:pt>
                <c:pt idx="829">
                  <c:v>714.5</c:v>
                </c:pt>
                <c:pt idx="830">
                  <c:v>715</c:v>
                </c:pt>
                <c:pt idx="831">
                  <c:v>715.5</c:v>
                </c:pt>
                <c:pt idx="832">
                  <c:v>716</c:v>
                </c:pt>
                <c:pt idx="833">
                  <c:v>716.5</c:v>
                </c:pt>
                <c:pt idx="834">
                  <c:v>717</c:v>
                </c:pt>
                <c:pt idx="835">
                  <c:v>717.5</c:v>
                </c:pt>
                <c:pt idx="836">
                  <c:v>718</c:v>
                </c:pt>
                <c:pt idx="837">
                  <c:v>718.5</c:v>
                </c:pt>
                <c:pt idx="838">
                  <c:v>719</c:v>
                </c:pt>
                <c:pt idx="839">
                  <c:v>719.5</c:v>
                </c:pt>
                <c:pt idx="840">
                  <c:v>720</c:v>
                </c:pt>
                <c:pt idx="841">
                  <c:v>720.5</c:v>
                </c:pt>
                <c:pt idx="842">
                  <c:v>721</c:v>
                </c:pt>
                <c:pt idx="843">
                  <c:v>721.5</c:v>
                </c:pt>
                <c:pt idx="844">
                  <c:v>722</c:v>
                </c:pt>
                <c:pt idx="845">
                  <c:v>722.5</c:v>
                </c:pt>
                <c:pt idx="846">
                  <c:v>723</c:v>
                </c:pt>
                <c:pt idx="847">
                  <c:v>723.5</c:v>
                </c:pt>
                <c:pt idx="848">
                  <c:v>724</c:v>
                </c:pt>
                <c:pt idx="849">
                  <c:v>724.5</c:v>
                </c:pt>
                <c:pt idx="850">
                  <c:v>725</c:v>
                </c:pt>
                <c:pt idx="851">
                  <c:v>725.5</c:v>
                </c:pt>
                <c:pt idx="852">
                  <c:v>726</c:v>
                </c:pt>
                <c:pt idx="853">
                  <c:v>726.5</c:v>
                </c:pt>
                <c:pt idx="854">
                  <c:v>727</c:v>
                </c:pt>
                <c:pt idx="855">
                  <c:v>727.5</c:v>
                </c:pt>
                <c:pt idx="856">
                  <c:v>728</c:v>
                </c:pt>
                <c:pt idx="857">
                  <c:v>728.5</c:v>
                </c:pt>
                <c:pt idx="858">
                  <c:v>729</c:v>
                </c:pt>
                <c:pt idx="859">
                  <c:v>729.5</c:v>
                </c:pt>
                <c:pt idx="860">
                  <c:v>730</c:v>
                </c:pt>
                <c:pt idx="861">
                  <c:v>730.5</c:v>
                </c:pt>
                <c:pt idx="862">
                  <c:v>731</c:v>
                </c:pt>
                <c:pt idx="863">
                  <c:v>731.5</c:v>
                </c:pt>
                <c:pt idx="864">
                  <c:v>732</c:v>
                </c:pt>
                <c:pt idx="865">
                  <c:v>732.5</c:v>
                </c:pt>
                <c:pt idx="866">
                  <c:v>733</c:v>
                </c:pt>
                <c:pt idx="867">
                  <c:v>733.5</c:v>
                </c:pt>
                <c:pt idx="868">
                  <c:v>734</c:v>
                </c:pt>
                <c:pt idx="869">
                  <c:v>734.5</c:v>
                </c:pt>
                <c:pt idx="870">
                  <c:v>735</c:v>
                </c:pt>
                <c:pt idx="871">
                  <c:v>735.5</c:v>
                </c:pt>
                <c:pt idx="872">
                  <c:v>736</c:v>
                </c:pt>
                <c:pt idx="873">
                  <c:v>736.5</c:v>
                </c:pt>
                <c:pt idx="874">
                  <c:v>737</c:v>
                </c:pt>
                <c:pt idx="875">
                  <c:v>737.5</c:v>
                </c:pt>
                <c:pt idx="876">
                  <c:v>738</c:v>
                </c:pt>
                <c:pt idx="877">
                  <c:v>738.5</c:v>
                </c:pt>
                <c:pt idx="878">
                  <c:v>739</c:v>
                </c:pt>
                <c:pt idx="879">
                  <c:v>739.5</c:v>
                </c:pt>
                <c:pt idx="880">
                  <c:v>740</c:v>
                </c:pt>
                <c:pt idx="881">
                  <c:v>740.5</c:v>
                </c:pt>
                <c:pt idx="882">
                  <c:v>741</c:v>
                </c:pt>
                <c:pt idx="883">
                  <c:v>741.5</c:v>
                </c:pt>
                <c:pt idx="884">
                  <c:v>742</c:v>
                </c:pt>
                <c:pt idx="885">
                  <c:v>742.5</c:v>
                </c:pt>
                <c:pt idx="886">
                  <c:v>743</c:v>
                </c:pt>
                <c:pt idx="887">
                  <c:v>743.5</c:v>
                </c:pt>
                <c:pt idx="888">
                  <c:v>744</c:v>
                </c:pt>
                <c:pt idx="889">
                  <c:v>744.5</c:v>
                </c:pt>
                <c:pt idx="890">
                  <c:v>745</c:v>
                </c:pt>
                <c:pt idx="891">
                  <c:v>745.5</c:v>
                </c:pt>
                <c:pt idx="892">
                  <c:v>746</c:v>
                </c:pt>
                <c:pt idx="893">
                  <c:v>746.5</c:v>
                </c:pt>
                <c:pt idx="894">
                  <c:v>747</c:v>
                </c:pt>
                <c:pt idx="895">
                  <c:v>747.5</c:v>
                </c:pt>
                <c:pt idx="896">
                  <c:v>748</c:v>
                </c:pt>
                <c:pt idx="897">
                  <c:v>748.5</c:v>
                </c:pt>
                <c:pt idx="898">
                  <c:v>749</c:v>
                </c:pt>
                <c:pt idx="899">
                  <c:v>749.5</c:v>
                </c:pt>
                <c:pt idx="900">
                  <c:v>750</c:v>
                </c:pt>
              </c:numCache>
            </c:numRef>
          </c:cat>
          <c:val>
            <c:numRef>
              <c:f>'T2 (2)'!$B$113:$B$1013</c:f>
              <c:numCache>
                <c:formatCode>0.00E+00</c:formatCode>
                <c:ptCount val="901"/>
                <c:pt idx="0">
                  <c:v>0</c:v>
                </c:pt>
                <c:pt idx="1">
                  <c:v>0</c:v>
                </c:pt>
                <c:pt idx="2">
                  <c:v>0</c:v>
                </c:pt>
                <c:pt idx="3">
                  <c:v>0</c:v>
                </c:pt>
                <c:pt idx="4">
                  <c:v>0</c:v>
                </c:pt>
                <c:pt idx="5">
                  <c:v>0</c:v>
                </c:pt>
                <c:pt idx="6">
                  <c:v>0</c:v>
                </c:pt>
                <c:pt idx="7">
                  <c:v>0</c:v>
                </c:pt>
                <c:pt idx="8">
                  <c:v>0</c:v>
                </c:pt>
                <c:pt idx="9">
                  <c:v>0</c:v>
                </c:pt>
                <c:pt idx="10">
                  <c:v>0</c:v>
                </c:pt>
                <c:pt idx="11">
                  <c:v>0</c:v>
                </c:pt>
                <c:pt idx="12">
                  <c:v>0</c:v>
                </c:pt>
                <c:pt idx="13">
                  <c:v>0</c:v>
                </c:pt>
                <c:pt idx="14">
                  <c:v>0</c:v>
                </c:pt>
                <c:pt idx="15">
                  <c:v>0</c:v>
                </c:pt>
                <c:pt idx="16">
                  <c:v>0</c:v>
                </c:pt>
                <c:pt idx="17">
                  <c:v>0</c:v>
                </c:pt>
                <c:pt idx="18">
                  <c:v>0</c:v>
                </c:pt>
                <c:pt idx="19">
                  <c:v>0</c:v>
                </c:pt>
                <c:pt idx="20">
                  <c:v>0</c:v>
                </c:pt>
                <c:pt idx="21">
                  <c:v>0</c:v>
                </c:pt>
                <c:pt idx="22">
                  <c:v>0</c:v>
                </c:pt>
                <c:pt idx="23">
                  <c:v>0</c:v>
                </c:pt>
                <c:pt idx="24">
                  <c:v>0</c:v>
                </c:pt>
                <c:pt idx="25">
                  <c:v>0</c:v>
                </c:pt>
                <c:pt idx="26">
                  <c:v>0</c:v>
                </c:pt>
                <c:pt idx="27">
                  <c:v>0</c:v>
                </c:pt>
                <c:pt idx="28">
                  <c:v>0</c:v>
                </c:pt>
                <c:pt idx="29">
                  <c:v>0</c:v>
                </c:pt>
                <c:pt idx="30">
                  <c:v>0</c:v>
                </c:pt>
                <c:pt idx="31">
                  <c:v>0</c:v>
                </c:pt>
                <c:pt idx="32">
                  <c:v>0</c:v>
                </c:pt>
                <c:pt idx="33">
                  <c:v>0</c:v>
                </c:pt>
                <c:pt idx="34">
                  <c:v>0</c:v>
                </c:pt>
                <c:pt idx="35">
                  <c:v>0</c:v>
                </c:pt>
                <c:pt idx="36">
                  <c:v>0</c:v>
                </c:pt>
                <c:pt idx="37">
                  <c:v>0</c:v>
                </c:pt>
                <c:pt idx="38">
                  <c:v>0</c:v>
                </c:pt>
                <c:pt idx="39">
                  <c:v>0</c:v>
                </c:pt>
                <c:pt idx="40">
                  <c:v>0</c:v>
                </c:pt>
                <c:pt idx="41">
                  <c:v>0</c:v>
                </c:pt>
                <c:pt idx="42">
                  <c:v>0</c:v>
                </c:pt>
                <c:pt idx="43">
                  <c:v>0</c:v>
                </c:pt>
                <c:pt idx="44">
                  <c:v>0</c:v>
                </c:pt>
                <c:pt idx="45">
                  <c:v>0</c:v>
                </c:pt>
                <c:pt idx="46">
                  <c:v>0</c:v>
                </c:pt>
                <c:pt idx="47">
                  <c:v>0</c:v>
                </c:pt>
                <c:pt idx="48">
                  <c:v>0</c:v>
                </c:pt>
                <c:pt idx="49">
                  <c:v>0</c:v>
                </c:pt>
                <c:pt idx="50">
                  <c:v>0</c:v>
                </c:pt>
                <c:pt idx="51">
                  <c:v>0</c:v>
                </c:pt>
                <c:pt idx="52">
                  <c:v>0</c:v>
                </c:pt>
                <c:pt idx="53">
                  <c:v>0</c:v>
                </c:pt>
                <c:pt idx="54">
                  <c:v>0</c:v>
                </c:pt>
                <c:pt idx="55">
                  <c:v>0</c:v>
                </c:pt>
                <c:pt idx="56">
                  <c:v>0</c:v>
                </c:pt>
                <c:pt idx="57">
                  <c:v>0</c:v>
                </c:pt>
                <c:pt idx="58">
                  <c:v>0</c:v>
                </c:pt>
                <c:pt idx="59">
                  <c:v>0</c:v>
                </c:pt>
                <c:pt idx="60">
                  <c:v>0</c:v>
                </c:pt>
                <c:pt idx="61">
                  <c:v>0</c:v>
                </c:pt>
                <c:pt idx="62">
                  <c:v>0</c:v>
                </c:pt>
                <c:pt idx="63">
                  <c:v>0</c:v>
                </c:pt>
                <c:pt idx="64">
                  <c:v>0</c:v>
                </c:pt>
                <c:pt idx="65">
                  <c:v>0</c:v>
                </c:pt>
                <c:pt idx="66">
                  <c:v>0</c:v>
                </c:pt>
                <c:pt idx="67">
                  <c:v>0</c:v>
                </c:pt>
                <c:pt idx="68">
                  <c:v>0</c:v>
                </c:pt>
                <c:pt idx="69">
                  <c:v>0</c:v>
                </c:pt>
                <c:pt idx="70">
                  <c:v>0</c:v>
                </c:pt>
                <c:pt idx="71">
                  <c:v>0</c:v>
                </c:pt>
                <c:pt idx="72">
                  <c:v>0</c:v>
                </c:pt>
                <c:pt idx="73">
                  <c:v>0</c:v>
                </c:pt>
                <c:pt idx="74">
                  <c:v>0</c:v>
                </c:pt>
                <c:pt idx="75">
                  <c:v>0</c:v>
                </c:pt>
                <c:pt idx="76">
                  <c:v>0</c:v>
                </c:pt>
                <c:pt idx="77">
                  <c:v>0</c:v>
                </c:pt>
                <c:pt idx="78">
                  <c:v>0</c:v>
                </c:pt>
                <c:pt idx="79">
                  <c:v>0</c:v>
                </c:pt>
                <c:pt idx="80">
                  <c:v>0</c:v>
                </c:pt>
                <c:pt idx="81">
                  <c:v>0</c:v>
                </c:pt>
                <c:pt idx="82">
                  <c:v>0</c:v>
                </c:pt>
                <c:pt idx="83">
                  <c:v>0</c:v>
                </c:pt>
                <c:pt idx="84">
                  <c:v>0</c:v>
                </c:pt>
                <c:pt idx="85">
                  <c:v>0</c:v>
                </c:pt>
                <c:pt idx="86">
                  <c:v>0</c:v>
                </c:pt>
                <c:pt idx="87">
                  <c:v>0</c:v>
                </c:pt>
                <c:pt idx="88">
                  <c:v>0</c:v>
                </c:pt>
                <c:pt idx="89">
                  <c:v>0</c:v>
                </c:pt>
                <c:pt idx="90">
                  <c:v>0</c:v>
                </c:pt>
                <c:pt idx="91">
                  <c:v>0</c:v>
                </c:pt>
                <c:pt idx="92">
                  <c:v>0</c:v>
                </c:pt>
                <c:pt idx="93">
                  <c:v>0</c:v>
                </c:pt>
                <c:pt idx="94">
                  <c:v>0</c:v>
                </c:pt>
                <c:pt idx="95">
                  <c:v>0</c:v>
                </c:pt>
                <c:pt idx="96">
                  <c:v>0</c:v>
                </c:pt>
                <c:pt idx="97">
                  <c:v>0</c:v>
                </c:pt>
                <c:pt idx="98">
                  <c:v>0</c:v>
                </c:pt>
                <c:pt idx="99">
                  <c:v>0</c:v>
                </c:pt>
                <c:pt idx="100">
                  <c:v>0</c:v>
                </c:pt>
                <c:pt idx="101">
                  <c:v>0</c:v>
                </c:pt>
                <c:pt idx="102">
                  <c:v>0</c:v>
                </c:pt>
                <c:pt idx="103">
                  <c:v>0</c:v>
                </c:pt>
                <c:pt idx="104">
                  <c:v>0</c:v>
                </c:pt>
                <c:pt idx="105">
                  <c:v>0</c:v>
                </c:pt>
                <c:pt idx="106">
                  <c:v>0</c:v>
                </c:pt>
                <c:pt idx="107">
                  <c:v>0</c:v>
                </c:pt>
                <c:pt idx="108">
                  <c:v>0</c:v>
                </c:pt>
                <c:pt idx="109">
                  <c:v>0</c:v>
                </c:pt>
                <c:pt idx="110">
                  <c:v>0</c:v>
                </c:pt>
                <c:pt idx="111">
                  <c:v>0</c:v>
                </c:pt>
                <c:pt idx="112">
                  <c:v>0</c:v>
                </c:pt>
                <c:pt idx="113">
                  <c:v>0</c:v>
                </c:pt>
                <c:pt idx="114">
                  <c:v>0</c:v>
                </c:pt>
                <c:pt idx="115">
                  <c:v>0</c:v>
                </c:pt>
                <c:pt idx="116">
                  <c:v>0</c:v>
                </c:pt>
                <c:pt idx="117">
                  <c:v>0</c:v>
                </c:pt>
                <c:pt idx="118">
                  <c:v>0</c:v>
                </c:pt>
                <c:pt idx="119">
                  <c:v>0</c:v>
                </c:pt>
                <c:pt idx="120">
                  <c:v>0</c:v>
                </c:pt>
                <c:pt idx="121">
                  <c:v>0</c:v>
                </c:pt>
                <c:pt idx="122">
                  <c:v>0</c:v>
                </c:pt>
                <c:pt idx="123">
                  <c:v>0</c:v>
                </c:pt>
                <c:pt idx="124">
                  <c:v>0</c:v>
                </c:pt>
                <c:pt idx="125">
                  <c:v>0</c:v>
                </c:pt>
                <c:pt idx="126">
                  <c:v>0</c:v>
                </c:pt>
                <c:pt idx="127">
                  <c:v>0</c:v>
                </c:pt>
                <c:pt idx="128">
                  <c:v>0</c:v>
                </c:pt>
                <c:pt idx="129">
                  <c:v>0</c:v>
                </c:pt>
                <c:pt idx="130">
                  <c:v>0</c:v>
                </c:pt>
                <c:pt idx="131">
                  <c:v>0</c:v>
                </c:pt>
                <c:pt idx="132">
                  <c:v>0</c:v>
                </c:pt>
                <c:pt idx="133">
                  <c:v>0</c:v>
                </c:pt>
                <c:pt idx="134">
                  <c:v>0</c:v>
                </c:pt>
                <c:pt idx="135">
                  <c:v>0</c:v>
                </c:pt>
                <c:pt idx="136">
                  <c:v>0</c:v>
                </c:pt>
                <c:pt idx="137">
                  <c:v>0</c:v>
                </c:pt>
                <c:pt idx="138">
                  <c:v>0</c:v>
                </c:pt>
                <c:pt idx="139">
                  <c:v>0</c:v>
                </c:pt>
                <c:pt idx="140">
                  <c:v>0</c:v>
                </c:pt>
                <c:pt idx="141">
                  <c:v>0</c:v>
                </c:pt>
                <c:pt idx="142">
                  <c:v>0</c:v>
                </c:pt>
                <c:pt idx="143">
                  <c:v>0</c:v>
                </c:pt>
                <c:pt idx="144">
                  <c:v>0</c:v>
                </c:pt>
                <c:pt idx="145">
                  <c:v>0</c:v>
                </c:pt>
                <c:pt idx="146">
                  <c:v>0</c:v>
                </c:pt>
                <c:pt idx="147">
                  <c:v>0</c:v>
                </c:pt>
                <c:pt idx="148">
                  <c:v>0</c:v>
                </c:pt>
                <c:pt idx="149">
                  <c:v>0</c:v>
                </c:pt>
                <c:pt idx="150">
                  <c:v>0</c:v>
                </c:pt>
                <c:pt idx="151">
                  <c:v>0</c:v>
                </c:pt>
                <c:pt idx="152">
                  <c:v>0</c:v>
                </c:pt>
                <c:pt idx="153">
                  <c:v>0</c:v>
                </c:pt>
                <c:pt idx="154">
                  <c:v>0</c:v>
                </c:pt>
                <c:pt idx="155">
                  <c:v>0</c:v>
                </c:pt>
                <c:pt idx="156">
                  <c:v>0</c:v>
                </c:pt>
                <c:pt idx="157">
                  <c:v>0</c:v>
                </c:pt>
                <c:pt idx="158">
                  <c:v>0</c:v>
                </c:pt>
                <c:pt idx="159">
                  <c:v>0</c:v>
                </c:pt>
                <c:pt idx="160">
                  <c:v>0</c:v>
                </c:pt>
                <c:pt idx="161">
                  <c:v>0</c:v>
                </c:pt>
                <c:pt idx="162">
                  <c:v>0</c:v>
                </c:pt>
                <c:pt idx="163">
                  <c:v>0</c:v>
                </c:pt>
                <c:pt idx="164">
                  <c:v>0</c:v>
                </c:pt>
                <c:pt idx="165">
                  <c:v>0</c:v>
                </c:pt>
                <c:pt idx="166">
                  <c:v>0</c:v>
                </c:pt>
                <c:pt idx="167">
                  <c:v>0</c:v>
                </c:pt>
                <c:pt idx="168">
                  <c:v>0</c:v>
                </c:pt>
                <c:pt idx="169">
                  <c:v>0</c:v>
                </c:pt>
                <c:pt idx="170">
                  <c:v>0</c:v>
                </c:pt>
                <c:pt idx="171">
                  <c:v>0</c:v>
                </c:pt>
                <c:pt idx="172">
                  <c:v>0</c:v>
                </c:pt>
                <c:pt idx="173">
                  <c:v>0</c:v>
                </c:pt>
                <c:pt idx="174">
                  <c:v>0</c:v>
                </c:pt>
                <c:pt idx="175">
                  <c:v>0</c:v>
                </c:pt>
                <c:pt idx="176">
                  <c:v>0</c:v>
                </c:pt>
                <c:pt idx="177">
                  <c:v>0</c:v>
                </c:pt>
                <c:pt idx="178">
                  <c:v>0</c:v>
                </c:pt>
                <c:pt idx="179">
                  <c:v>0</c:v>
                </c:pt>
                <c:pt idx="180">
                  <c:v>0</c:v>
                </c:pt>
                <c:pt idx="181">
                  <c:v>0</c:v>
                </c:pt>
                <c:pt idx="182">
                  <c:v>0</c:v>
                </c:pt>
                <c:pt idx="183">
                  <c:v>0</c:v>
                </c:pt>
                <c:pt idx="184">
                  <c:v>0</c:v>
                </c:pt>
                <c:pt idx="185">
                  <c:v>0</c:v>
                </c:pt>
                <c:pt idx="186">
                  <c:v>0</c:v>
                </c:pt>
                <c:pt idx="187">
                  <c:v>0</c:v>
                </c:pt>
                <c:pt idx="188">
                  <c:v>0</c:v>
                </c:pt>
                <c:pt idx="189">
                  <c:v>0</c:v>
                </c:pt>
                <c:pt idx="190">
                  <c:v>0</c:v>
                </c:pt>
                <c:pt idx="191">
                  <c:v>0</c:v>
                </c:pt>
                <c:pt idx="192">
                  <c:v>0</c:v>
                </c:pt>
                <c:pt idx="193">
                  <c:v>0</c:v>
                </c:pt>
                <c:pt idx="194">
                  <c:v>0</c:v>
                </c:pt>
                <c:pt idx="195">
                  <c:v>0</c:v>
                </c:pt>
                <c:pt idx="196">
                  <c:v>0</c:v>
                </c:pt>
                <c:pt idx="197">
                  <c:v>0</c:v>
                </c:pt>
                <c:pt idx="198">
                  <c:v>0</c:v>
                </c:pt>
                <c:pt idx="199">
                  <c:v>0</c:v>
                </c:pt>
                <c:pt idx="200">
                  <c:v>0</c:v>
                </c:pt>
                <c:pt idx="201">
                  <c:v>0</c:v>
                </c:pt>
                <c:pt idx="202">
                  <c:v>0</c:v>
                </c:pt>
                <c:pt idx="203">
                  <c:v>0</c:v>
                </c:pt>
                <c:pt idx="204">
                  <c:v>0</c:v>
                </c:pt>
                <c:pt idx="205">
                  <c:v>0</c:v>
                </c:pt>
                <c:pt idx="206">
                  <c:v>0</c:v>
                </c:pt>
                <c:pt idx="207">
                  <c:v>0</c:v>
                </c:pt>
                <c:pt idx="208">
                  <c:v>0</c:v>
                </c:pt>
                <c:pt idx="209">
                  <c:v>0</c:v>
                </c:pt>
                <c:pt idx="210">
                  <c:v>0</c:v>
                </c:pt>
                <c:pt idx="211">
                  <c:v>0</c:v>
                </c:pt>
                <c:pt idx="212">
                  <c:v>3.2440199999999999E-6</c:v>
                </c:pt>
                <c:pt idx="213">
                  <c:v>1.6983200000000002E-4</c:v>
                </c:pt>
                <c:pt idx="214">
                  <c:v>1.0665590000000001E-4</c:v>
                </c:pt>
                <c:pt idx="215">
                  <c:v>4.1230799999999998E-5</c:v>
                </c:pt>
                <c:pt idx="216">
                  <c:v>0</c:v>
                </c:pt>
                <c:pt idx="217">
                  <c:v>0</c:v>
                </c:pt>
                <c:pt idx="218">
                  <c:v>3.0589000000000001E-5</c:v>
                </c:pt>
                <c:pt idx="219">
                  <c:v>7.4787699999999995E-5</c:v>
                </c:pt>
                <c:pt idx="220">
                  <c:v>1.1560120000000001E-4</c:v>
                </c:pt>
                <c:pt idx="221">
                  <c:v>3.4148400000000003E-4</c:v>
                </c:pt>
                <c:pt idx="222">
                  <c:v>6.2454600000000002E-4</c:v>
                </c:pt>
                <c:pt idx="223">
                  <c:v>9.1201500000000007E-4</c:v>
                </c:pt>
                <c:pt idx="224">
                  <c:v>1.1285819999999999E-3</c:v>
                </c:pt>
                <c:pt idx="225">
                  <c:v>1.3256099999999999E-3</c:v>
                </c:pt>
                <c:pt idx="226">
                  <c:v>1.5165800000000002E-3</c:v>
                </c:pt>
                <c:pt idx="227">
                  <c:v>1.7340700000000001E-3</c:v>
                </c:pt>
                <c:pt idx="228">
                  <c:v>1.82351E-3</c:v>
                </c:pt>
                <c:pt idx="229">
                  <c:v>1.9307600000000001E-3</c:v>
                </c:pt>
                <c:pt idx="230">
                  <c:v>2.1871199999999999E-3</c:v>
                </c:pt>
                <c:pt idx="231">
                  <c:v>2.6253500000000003E-3</c:v>
                </c:pt>
                <c:pt idx="232">
                  <c:v>3.1835700000000001E-3</c:v>
                </c:pt>
                <c:pt idx="233">
                  <c:v>3.679E-3</c:v>
                </c:pt>
                <c:pt idx="234">
                  <c:v>4.0379300000000003E-3</c:v>
                </c:pt>
                <c:pt idx="235">
                  <c:v>4.41012E-3</c:v>
                </c:pt>
                <c:pt idx="236">
                  <c:v>4.7478600000000004E-3</c:v>
                </c:pt>
                <c:pt idx="237">
                  <c:v>5.2289900000000011E-3</c:v>
                </c:pt>
                <c:pt idx="238">
                  <c:v>5.8120400000000001E-3</c:v>
                </c:pt>
                <c:pt idx="239">
                  <c:v>6.45905E-3</c:v>
                </c:pt>
                <c:pt idx="240">
                  <c:v>7.19121E-3</c:v>
                </c:pt>
                <c:pt idx="241">
                  <c:v>7.9951300000000013E-3</c:v>
                </c:pt>
                <c:pt idx="242">
                  <c:v>8.9018799999999992E-3</c:v>
                </c:pt>
                <c:pt idx="243">
                  <c:v>9.8961199999999996E-3</c:v>
                </c:pt>
                <c:pt idx="244">
                  <c:v>1.1035440000000001E-2</c:v>
                </c:pt>
                <c:pt idx="245">
                  <c:v>1.2085839999999999E-2</c:v>
                </c:pt>
                <c:pt idx="246">
                  <c:v>1.3045500000000002E-2</c:v>
                </c:pt>
                <c:pt idx="247">
                  <c:v>1.4123200000000001E-2</c:v>
                </c:pt>
                <c:pt idx="248">
                  <c:v>1.52789E-2</c:v>
                </c:pt>
                <c:pt idx="249">
                  <c:v>1.6574999999999999E-2</c:v>
                </c:pt>
                <c:pt idx="250">
                  <c:v>1.8032300000000001E-2</c:v>
                </c:pt>
                <c:pt idx="251">
                  <c:v>1.9544200000000001E-2</c:v>
                </c:pt>
                <c:pt idx="252">
                  <c:v>2.1348599999999999E-2</c:v>
                </c:pt>
                <c:pt idx="253">
                  <c:v>2.3322000000000002E-2</c:v>
                </c:pt>
                <c:pt idx="254">
                  <c:v>2.5387700000000003E-2</c:v>
                </c:pt>
                <c:pt idx="255">
                  <c:v>2.7582100000000002E-2</c:v>
                </c:pt>
                <c:pt idx="256">
                  <c:v>2.9868800000000001E-2</c:v>
                </c:pt>
                <c:pt idx="257">
                  <c:v>3.2102200000000004E-2</c:v>
                </c:pt>
                <c:pt idx="258">
                  <c:v>3.4642400000000004E-2</c:v>
                </c:pt>
                <c:pt idx="259">
                  <c:v>3.7200799999999999E-2</c:v>
                </c:pt>
                <c:pt idx="260">
                  <c:v>3.99295E-2</c:v>
                </c:pt>
                <c:pt idx="261">
                  <c:v>4.2903900000000002E-2</c:v>
                </c:pt>
                <c:pt idx="262">
                  <c:v>4.6187699999999998E-2</c:v>
                </c:pt>
                <c:pt idx="263">
                  <c:v>4.9871900000000004E-2</c:v>
                </c:pt>
                <c:pt idx="264">
                  <c:v>5.3691299999999997E-2</c:v>
                </c:pt>
                <c:pt idx="265">
                  <c:v>5.75991E-2</c:v>
                </c:pt>
                <c:pt idx="266">
                  <c:v>6.1695400000000004E-2</c:v>
                </c:pt>
                <c:pt idx="267">
                  <c:v>6.5833299999999997E-2</c:v>
                </c:pt>
                <c:pt idx="268">
                  <c:v>7.0235099999999995E-2</c:v>
                </c:pt>
                <c:pt idx="269">
                  <c:v>7.4864399999999998E-2</c:v>
                </c:pt>
                <c:pt idx="270">
                  <c:v>7.9774500000000012E-2</c:v>
                </c:pt>
                <c:pt idx="271">
                  <c:v>8.4775600000000007E-2</c:v>
                </c:pt>
                <c:pt idx="272">
                  <c:v>8.9957399999999993E-2</c:v>
                </c:pt>
                <c:pt idx="273">
                  <c:v>9.5143100000000008E-2</c:v>
                </c:pt>
                <c:pt idx="274">
                  <c:v>0.1005212</c:v>
                </c:pt>
                <c:pt idx="275">
                  <c:v>0.10630099999999999</c:v>
                </c:pt>
                <c:pt idx="276">
                  <c:v>0.1123135</c:v>
                </c:pt>
                <c:pt idx="277">
                  <c:v>0.1186627</c:v>
                </c:pt>
                <c:pt idx="278">
                  <c:v>0.12478310000000001</c:v>
                </c:pt>
                <c:pt idx="279">
                  <c:v>0.13104000000000002</c:v>
                </c:pt>
                <c:pt idx="280">
                  <c:v>0.13735800000000001</c:v>
                </c:pt>
                <c:pt idx="281">
                  <c:v>0.143871</c:v>
                </c:pt>
                <c:pt idx="282">
                  <c:v>0.15024100000000001</c:v>
                </c:pt>
                <c:pt idx="283">
                  <c:v>0.15642900000000001</c:v>
                </c:pt>
                <c:pt idx="284">
                  <c:v>0.16287700000000002</c:v>
                </c:pt>
                <c:pt idx="285">
                  <c:v>0.16954600000000003</c:v>
                </c:pt>
                <c:pt idx="286">
                  <c:v>0.17576</c:v>
                </c:pt>
                <c:pt idx="287">
                  <c:v>0.18162300000000001</c:v>
                </c:pt>
                <c:pt idx="288">
                  <c:v>0.187057</c:v>
                </c:pt>
                <c:pt idx="289">
                  <c:v>0.192192</c:v>
                </c:pt>
                <c:pt idx="290">
                  <c:v>0.19661200000000004</c:v>
                </c:pt>
                <c:pt idx="291">
                  <c:v>0.20104500000000003</c:v>
                </c:pt>
                <c:pt idx="292">
                  <c:v>0.20513999999999999</c:v>
                </c:pt>
                <c:pt idx="293">
                  <c:v>0.20857200000000001</c:v>
                </c:pt>
                <c:pt idx="294">
                  <c:v>0.21132800000000002</c:v>
                </c:pt>
                <c:pt idx="295">
                  <c:v>0.21359</c:v>
                </c:pt>
                <c:pt idx="296">
                  <c:v>0.21500700000000003</c:v>
                </c:pt>
                <c:pt idx="297">
                  <c:v>0.21607300000000002</c:v>
                </c:pt>
                <c:pt idx="298">
                  <c:v>0.21703499999999998</c:v>
                </c:pt>
                <c:pt idx="299">
                  <c:v>0.216944</c:v>
                </c:pt>
                <c:pt idx="300">
                  <c:v>0.215748</c:v>
                </c:pt>
                <c:pt idx="301">
                  <c:v>0.21398</c:v>
                </c:pt>
                <c:pt idx="302">
                  <c:v>0.21175700000000003</c:v>
                </c:pt>
                <c:pt idx="303">
                  <c:v>0.20868900000000001</c:v>
                </c:pt>
                <c:pt idx="304">
                  <c:v>0.20477599999999999</c:v>
                </c:pt>
                <c:pt idx="305">
                  <c:v>0.200512</c:v>
                </c:pt>
                <c:pt idx="306">
                  <c:v>0.19605300000000001</c:v>
                </c:pt>
                <c:pt idx="307">
                  <c:v>0.19078800000000001</c:v>
                </c:pt>
                <c:pt idx="308">
                  <c:v>0.18505500000000003</c:v>
                </c:pt>
                <c:pt idx="309">
                  <c:v>0.17868499999999998</c:v>
                </c:pt>
                <c:pt idx="310">
                  <c:v>0.17202900000000002</c:v>
                </c:pt>
                <c:pt idx="311">
                  <c:v>0.16508699999999998</c:v>
                </c:pt>
                <c:pt idx="312">
                  <c:v>0.15836600000000001</c:v>
                </c:pt>
                <c:pt idx="313">
                  <c:v>0.152035</c:v>
                </c:pt>
                <c:pt idx="314">
                  <c:v>0.145314</c:v>
                </c:pt>
                <c:pt idx="315">
                  <c:v>0.13832</c:v>
                </c:pt>
                <c:pt idx="316">
                  <c:v>0.13201499999999999</c:v>
                </c:pt>
                <c:pt idx="317">
                  <c:v>0.12599470000000002</c:v>
                </c:pt>
                <c:pt idx="318">
                  <c:v>0.120172</c:v>
                </c:pt>
                <c:pt idx="319">
                  <c:v>0.1142726</c:v>
                </c:pt>
                <c:pt idx="320">
                  <c:v>0.10865140000000001</c:v>
                </c:pt>
                <c:pt idx="321">
                  <c:v>0.1034553</c:v>
                </c:pt>
                <c:pt idx="322">
                  <c:v>9.8763600000000007E-2</c:v>
                </c:pt>
                <c:pt idx="323">
                  <c:v>9.418760000000001E-2</c:v>
                </c:pt>
                <c:pt idx="324">
                  <c:v>8.9636300000000002E-2</c:v>
                </c:pt>
                <c:pt idx="325">
                  <c:v>8.5588100000000014E-2</c:v>
                </c:pt>
                <c:pt idx="326">
                  <c:v>8.2069000000000017E-2</c:v>
                </c:pt>
                <c:pt idx="327">
                  <c:v>7.8535599999999997E-2</c:v>
                </c:pt>
                <c:pt idx="328">
                  <c:v>7.4978799999999998E-2</c:v>
                </c:pt>
                <c:pt idx="329">
                  <c:v>7.1490899999999996E-2</c:v>
                </c:pt>
                <c:pt idx="330">
                  <c:v>6.8208400000000002E-2</c:v>
                </c:pt>
                <c:pt idx="331">
                  <c:v>6.5496600000000002E-2</c:v>
                </c:pt>
                <c:pt idx="332">
                  <c:v>6.3025300000000006E-2</c:v>
                </c:pt>
                <c:pt idx="333">
                  <c:v>6.0690500000000001E-2</c:v>
                </c:pt>
                <c:pt idx="334">
                  <c:v>5.7986500000000003E-2</c:v>
                </c:pt>
                <c:pt idx="335">
                  <c:v>5.5151200000000004E-2</c:v>
                </c:pt>
                <c:pt idx="336">
                  <c:v>5.2161200000000005E-2</c:v>
                </c:pt>
                <c:pt idx="337">
                  <c:v>4.92024E-2</c:v>
                </c:pt>
                <c:pt idx="338">
                  <c:v>4.6426900000000007E-2</c:v>
                </c:pt>
                <c:pt idx="339">
                  <c:v>4.3949099999999998E-2</c:v>
                </c:pt>
                <c:pt idx="340">
                  <c:v>4.1598700000000002E-2</c:v>
                </c:pt>
                <c:pt idx="341">
                  <c:v>3.9573299999999999E-2</c:v>
                </c:pt>
                <c:pt idx="342">
                  <c:v>3.7588200000000002E-2</c:v>
                </c:pt>
                <c:pt idx="343">
                  <c:v>3.5659000000000003E-2</c:v>
                </c:pt>
                <c:pt idx="344">
                  <c:v>3.3663500000000006E-2</c:v>
                </c:pt>
                <c:pt idx="345">
                  <c:v>3.1762900000000004E-2</c:v>
                </c:pt>
                <c:pt idx="346">
                  <c:v>2.9897400000000001E-2</c:v>
                </c:pt>
                <c:pt idx="347">
                  <c:v>2.8206100000000001E-2</c:v>
                </c:pt>
                <c:pt idx="348">
                  <c:v>2.6735800000000001E-2</c:v>
                </c:pt>
                <c:pt idx="349">
                  <c:v>2.5479999999999999E-2</c:v>
                </c:pt>
                <c:pt idx="350">
                  <c:v>2.43126E-2</c:v>
                </c:pt>
                <c:pt idx="351">
                  <c:v>2.3060700000000003E-2</c:v>
                </c:pt>
                <c:pt idx="352">
                  <c:v>2.1685300000000001E-2</c:v>
                </c:pt>
                <c:pt idx="353">
                  <c:v>2.03021E-2</c:v>
                </c:pt>
                <c:pt idx="354">
                  <c:v>1.9093100000000002E-2</c:v>
                </c:pt>
                <c:pt idx="355">
                  <c:v>1.8019300000000002E-2</c:v>
                </c:pt>
                <c:pt idx="356">
                  <c:v>1.69949E-2</c:v>
                </c:pt>
                <c:pt idx="357">
                  <c:v>1.60199E-2</c:v>
                </c:pt>
                <c:pt idx="358">
                  <c:v>1.51944E-2</c:v>
                </c:pt>
                <c:pt idx="359">
                  <c:v>1.45509E-2</c:v>
                </c:pt>
                <c:pt idx="360">
                  <c:v>1.4003600000000001E-2</c:v>
                </c:pt>
                <c:pt idx="361">
                  <c:v>1.3384800000000001E-2</c:v>
                </c:pt>
                <c:pt idx="362">
                  <c:v>1.269814E-2</c:v>
                </c:pt>
                <c:pt idx="363">
                  <c:v>1.204385E-2</c:v>
                </c:pt>
                <c:pt idx="364">
                  <c:v>1.141322E-2</c:v>
                </c:pt>
                <c:pt idx="365">
                  <c:v>1.085851E-2</c:v>
                </c:pt>
                <c:pt idx="366">
                  <c:v>1.011803E-2</c:v>
                </c:pt>
                <c:pt idx="367">
                  <c:v>9.4729700000000007E-3</c:v>
                </c:pt>
                <c:pt idx="368">
                  <c:v>8.7854000000000005E-3</c:v>
                </c:pt>
                <c:pt idx="369">
                  <c:v>8.1928599999999997E-3</c:v>
                </c:pt>
                <c:pt idx="370">
                  <c:v>7.7659399999999998E-3</c:v>
                </c:pt>
                <c:pt idx="371">
                  <c:v>7.4015499999999998E-3</c:v>
                </c:pt>
                <c:pt idx="372">
                  <c:v>7.2403499999999996E-3</c:v>
                </c:pt>
                <c:pt idx="373">
                  <c:v>7.0099900000000007E-3</c:v>
                </c:pt>
                <c:pt idx="374">
                  <c:v>6.6579500000000002E-3</c:v>
                </c:pt>
                <c:pt idx="375">
                  <c:v>6.2072400000000002E-3</c:v>
                </c:pt>
                <c:pt idx="376">
                  <c:v>5.8454499999999994E-3</c:v>
                </c:pt>
                <c:pt idx="377">
                  <c:v>5.6097600000000001E-3</c:v>
                </c:pt>
                <c:pt idx="378">
                  <c:v>5.3665300000000004E-3</c:v>
                </c:pt>
                <c:pt idx="379">
                  <c:v>5.1417600000000004E-3</c:v>
                </c:pt>
                <c:pt idx="380">
                  <c:v>4.8713599999999999E-3</c:v>
                </c:pt>
                <c:pt idx="381">
                  <c:v>4.6751900000000001E-3</c:v>
                </c:pt>
                <c:pt idx="382">
                  <c:v>4.4695300000000002E-3</c:v>
                </c:pt>
                <c:pt idx="383">
                  <c:v>4.21135E-3</c:v>
                </c:pt>
                <c:pt idx="384">
                  <c:v>4.0613300000000001E-3</c:v>
                </c:pt>
                <c:pt idx="385">
                  <c:v>3.8543700000000002E-3</c:v>
                </c:pt>
                <c:pt idx="386">
                  <c:v>3.62102E-3</c:v>
                </c:pt>
                <c:pt idx="387" formatCode="General">
                  <c:v>3.4414900000000002E-3</c:v>
                </c:pt>
                <c:pt idx="388" formatCode="General">
                  <c:v>3.2337500000000001E-3</c:v>
                </c:pt>
                <c:pt idx="389" formatCode="General">
                  <c:v>3.1218200000000004E-3</c:v>
                </c:pt>
                <c:pt idx="390" formatCode="General">
                  <c:v>2.9399500000000002E-3</c:v>
                </c:pt>
                <c:pt idx="391" formatCode="General">
                  <c:v>2.8689700000000002E-3</c:v>
                </c:pt>
                <c:pt idx="392" formatCode="General">
                  <c:v>2.8689700000000002E-3</c:v>
                </c:pt>
                <c:pt idx="393" formatCode="General">
                  <c:v>2E-3</c:v>
                </c:pt>
                <c:pt idx="394" formatCode="General">
                  <c:v>1.5E-3</c:v>
                </c:pt>
                <c:pt idx="395" formatCode="General">
                  <c:v>1E-3</c:v>
                </c:pt>
                <c:pt idx="396" formatCode="General">
                  <c:v>5.0000000000000001E-4</c:v>
                </c:pt>
                <c:pt idx="397" formatCode="General">
                  <c:v>0</c:v>
                </c:pt>
                <c:pt idx="398" formatCode="General">
                  <c:v>0</c:v>
                </c:pt>
                <c:pt idx="399" formatCode="General">
                  <c:v>0</c:v>
                </c:pt>
                <c:pt idx="400">
                  <c:v>0</c:v>
                </c:pt>
                <c:pt idx="401">
                  <c:v>0</c:v>
                </c:pt>
                <c:pt idx="402">
                  <c:v>0</c:v>
                </c:pt>
                <c:pt idx="403">
                  <c:v>0</c:v>
                </c:pt>
                <c:pt idx="404">
                  <c:v>0</c:v>
                </c:pt>
                <c:pt idx="405">
                  <c:v>0</c:v>
                </c:pt>
                <c:pt idx="406">
                  <c:v>0</c:v>
                </c:pt>
                <c:pt idx="407">
                  <c:v>0</c:v>
                </c:pt>
                <c:pt idx="408">
                  <c:v>0</c:v>
                </c:pt>
                <c:pt idx="409">
                  <c:v>0</c:v>
                </c:pt>
                <c:pt idx="410">
                  <c:v>0</c:v>
                </c:pt>
                <c:pt idx="411">
                  <c:v>0</c:v>
                </c:pt>
                <c:pt idx="412">
                  <c:v>0</c:v>
                </c:pt>
                <c:pt idx="413">
                  <c:v>0</c:v>
                </c:pt>
                <c:pt idx="414">
                  <c:v>0</c:v>
                </c:pt>
                <c:pt idx="415">
                  <c:v>0</c:v>
                </c:pt>
                <c:pt idx="416">
                  <c:v>0</c:v>
                </c:pt>
                <c:pt idx="417">
                  <c:v>0</c:v>
                </c:pt>
                <c:pt idx="418">
                  <c:v>0</c:v>
                </c:pt>
                <c:pt idx="419">
                  <c:v>0</c:v>
                </c:pt>
                <c:pt idx="420">
                  <c:v>0</c:v>
                </c:pt>
                <c:pt idx="421">
                  <c:v>0</c:v>
                </c:pt>
                <c:pt idx="422">
                  <c:v>0</c:v>
                </c:pt>
                <c:pt idx="423">
                  <c:v>0</c:v>
                </c:pt>
                <c:pt idx="424">
                  <c:v>0</c:v>
                </c:pt>
                <c:pt idx="425">
                  <c:v>0</c:v>
                </c:pt>
                <c:pt idx="426">
                  <c:v>0</c:v>
                </c:pt>
                <c:pt idx="427">
                  <c:v>0</c:v>
                </c:pt>
                <c:pt idx="428">
                  <c:v>0</c:v>
                </c:pt>
                <c:pt idx="429">
                  <c:v>0</c:v>
                </c:pt>
                <c:pt idx="430">
                  <c:v>0</c:v>
                </c:pt>
                <c:pt idx="431">
                  <c:v>0</c:v>
                </c:pt>
                <c:pt idx="432">
                  <c:v>0</c:v>
                </c:pt>
                <c:pt idx="433">
                  <c:v>0</c:v>
                </c:pt>
                <c:pt idx="434">
                  <c:v>0</c:v>
                </c:pt>
                <c:pt idx="435">
                  <c:v>0</c:v>
                </c:pt>
                <c:pt idx="436">
                  <c:v>0</c:v>
                </c:pt>
                <c:pt idx="437">
                  <c:v>0</c:v>
                </c:pt>
                <c:pt idx="438">
                  <c:v>0</c:v>
                </c:pt>
                <c:pt idx="439">
                  <c:v>0</c:v>
                </c:pt>
                <c:pt idx="440">
                  <c:v>0</c:v>
                </c:pt>
                <c:pt idx="441">
                  <c:v>0</c:v>
                </c:pt>
                <c:pt idx="442">
                  <c:v>0</c:v>
                </c:pt>
                <c:pt idx="443">
                  <c:v>0</c:v>
                </c:pt>
                <c:pt idx="444">
                  <c:v>0</c:v>
                </c:pt>
                <c:pt idx="445">
                  <c:v>0</c:v>
                </c:pt>
                <c:pt idx="446">
                  <c:v>0</c:v>
                </c:pt>
                <c:pt idx="447">
                  <c:v>0</c:v>
                </c:pt>
                <c:pt idx="448">
                  <c:v>0</c:v>
                </c:pt>
                <c:pt idx="449">
                  <c:v>0</c:v>
                </c:pt>
                <c:pt idx="450">
                  <c:v>0</c:v>
                </c:pt>
                <c:pt idx="451">
                  <c:v>0</c:v>
                </c:pt>
                <c:pt idx="452">
                  <c:v>0</c:v>
                </c:pt>
                <c:pt idx="453">
                  <c:v>0</c:v>
                </c:pt>
                <c:pt idx="454">
                  <c:v>0</c:v>
                </c:pt>
                <c:pt idx="455">
                  <c:v>0</c:v>
                </c:pt>
                <c:pt idx="456">
                  <c:v>0</c:v>
                </c:pt>
                <c:pt idx="457">
                  <c:v>0</c:v>
                </c:pt>
                <c:pt idx="458">
                  <c:v>0</c:v>
                </c:pt>
                <c:pt idx="459">
                  <c:v>0</c:v>
                </c:pt>
                <c:pt idx="460">
                  <c:v>0</c:v>
                </c:pt>
                <c:pt idx="461">
                  <c:v>0</c:v>
                </c:pt>
                <c:pt idx="462">
                  <c:v>0</c:v>
                </c:pt>
                <c:pt idx="463">
                  <c:v>0</c:v>
                </c:pt>
                <c:pt idx="464">
                  <c:v>0</c:v>
                </c:pt>
                <c:pt idx="465">
                  <c:v>0</c:v>
                </c:pt>
                <c:pt idx="466">
                  <c:v>0</c:v>
                </c:pt>
                <c:pt idx="467">
                  <c:v>0</c:v>
                </c:pt>
                <c:pt idx="468">
                  <c:v>0</c:v>
                </c:pt>
                <c:pt idx="469">
                  <c:v>0</c:v>
                </c:pt>
                <c:pt idx="470">
                  <c:v>0</c:v>
                </c:pt>
                <c:pt idx="471">
                  <c:v>0</c:v>
                </c:pt>
                <c:pt idx="472">
                  <c:v>0</c:v>
                </c:pt>
                <c:pt idx="473">
                  <c:v>0</c:v>
                </c:pt>
                <c:pt idx="474">
                  <c:v>0</c:v>
                </c:pt>
                <c:pt idx="475">
                  <c:v>0</c:v>
                </c:pt>
                <c:pt idx="476">
                  <c:v>0</c:v>
                </c:pt>
                <c:pt idx="477">
                  <c:v>0</c:v>
                </c:pt>
                <c:pt idx="478">
                  <c:v>0</c:v>
                </c:pt>
                <c:pt idx="479">
                  <c:v>0</c:v>
                </c:pt>
                <c:pt idx="480">
                  <c:v>0</c:v>
                </c:pt>
                <c:pt idx="481">
                  <c:v>0</c:v>
                </c:pt>
                <c:pt idx="482">
                  <c:v>0</c:v>
                </c:pt>
                <c:pt idx="483">
                  <c:v>0</c:v>
                </c:pt>
                <c:pt idx="484">
                  <c:v>0</c:v>
                </c:pt>
                <c:pt idx="485">
                  <c:v>0</c:v>
                </c:pt>
                <c:pt idx="486">
                  <c:v>0</c:v>
                </c:pt>
                <c:pt idx="487">
                  <c:v>0</c:v>
                </c:pt>
                <c:pt idx="488">
                  <c:v>0</c:v>
                </c:pt>
                <c:pt idx="489">
                  <c:v>0</c:v>
                </c:pt>
                <c:pt idx="490">
                  <c:v>0</c:v>
                </c:pt>
                <c:pt idx="491">
                  <c:v>0</c:v>
                </c:pt>
                <c:pt idx="492">
                  <c:v>0</c:v>
                </c:pt>
                <c:pt idx="493">
                  <c:v>0</c:v>
                </c:pt>
                <c:pt idx="494">
                  <c:v>0</c:v>
                </c:pt>
                <c:pt idx="495">
                  <c:v>0</c:v>
                </c:pt>
                <c:pt idx="496">
                  <c:v>0</c:v>
                </c:pt>
                <c:pt idx="497">
                  <c:v>0</c:v>
                </c:pt>
                <c:pt idx="498">
                  <c:v>0</c:v>
                </c:pt>
                <c:pt idx="499">
                  <c:v>0</c:v>
                </c:pt>
                <c:pt idx="500">
                  <c:v>0</c:v>
                </c:pt>
                <c:pt idx="501">
                  <c:v>0</c:v>
                </c:pt>
                <c:pt idx="502">
                  <c:v>0</c:v>
                </c:pt>
                <c:pt idx="503">
                  <c:v>0</c:v>
                </c:pt>
                <c:pt idx="504">
                  <c:v>0</c:v>
                </c:pt>
                <c:pt idx="505">
                  <c:v>0</c:v>
                </c:pt>
                <c:pt idx="506">
                  <c:v>0</c:v>
                </c:pt>
                <c:pt idx="507">
                  <c:v>0</c:v>
                </c:pt>
                <c:pt idx="508">
                  <c:v>0</c:v>
                </c:pt>
                <c:pt idx="509">
                  <c:v>0</c:v>
                </c:pt>
                <c:pt idx="510">
                  <c:v>0</c:v>
                </c:pt>
                <c:pt idx="511">
                  <c:v>0</c:v>
                </c:pt>
                <c:pt idx="512">
                  <c:v>0</c:v>
                </c:pt>
                <c:pt idx="513">
                  <c:v>0</c:v>
                </c:pt>
                <c:pt idx="514">
                  <c:v>0</c:v>
                </c:pt>
                <c:pt idx="515">
                  <c:v>0</c:v>
                </c:pt>
                <c:pt idx="516">
                  <c:v>0</c:v>
                </c:pt>
                <c:pt idx="517">
                  <c:v>0</c:v>
                </c:pt>
                <c:pt idx="518">
                  <c:v>0</c:v>
                </c:pt>
                <c:pt idx="519">
                  <c:v>0</c:v>
                </c:pt>
                <c:pt idx="520">
                  <c:v>0</c:v>
                </c:pt>
                <c:pt idx="521">
                  <c:v>0</c:v>
                </c:pt>
                <c:pt idx="522">
                  <c:v>0</c:v>
                </c:pt>
                <c:pt idx="523">
                  <c:v>0</c:v>
                </c:pt>
                <c:pt idx="524">
                  <c:v>0</c:v>
                </c:pt>
                <c:pt idx="525">
                  <c:v>0</c:v>
                </c:pt>
                <c:pt idx="526">
                  <c:v>0</c:v>
                </c:pt>
                <c:pt idx="527">
                  <c:v>0</c:v>
                </c:pt>
                <c:pt idx="528">
                  <c:v>0</c:v>
                </c:pt>
                <c:pt idx="529">
                  <c:v>0</c:v>
                </c:pt>
                <c:pt idx="530">
                  <c:v>0</c:v>
                </c:pt>
                <c:pt idx="531">
                  <c:v>0</c:v>
                </c:pt>
                <c:pt idx="532">
                  <c:v>0</c:v>
                </c:pt>
                <c:pt idx="533">
                  <c:v>0</c:v>
                </c:pt>
                <c:pt idx="534">
                  <c:v>0</c:v>
                </c:pt>
                <c:pt idx="535">
                  <c:v>0</c:v>
                </c:pt>
                <c:pt idx="536">
                  <c:v>0</c:v>
                </c:pt>
                <c:pt idx="537">
                  <c:v>0</c:v>
                </c:pt>
                <c:pt idx="538">
                  <c:v>0</c:v>
                </c:pt>
                <c:pt idx="539">
                  <c:v>0</c:v>
                </c:pt>
                <c:pt idx="540">
                  <c:v>0</c:v>
                </c:pt>
                <c:pt idx="541">
                  <c:v>0</c:v>
                </c:pt>
                <c:pt idx="542">
                  <c:v>0</c:v>
                </c:pt>
                <c:pt idx="543">
                  <c:v>0</c:v>
                </c:pt>
                <c:pt idx="544">
                  <c:v>0</c:v>
                </c:pt>
                <c:pt idx="545">
                  <c:v>0</c:v>
                </c:pt>
                <c:pt idx="546">
                  <c:v>0</c:v>
                </c:pt>
                <c:pt idx="547">
                  <c:v>0</c:v>
                </c:pt>
                <c:pt idx="548">
                  <c:v>0</c:v>
                </c:pt>
                <c:pt idx="549">
                  <c:v>0</c:v>
                </c:pt>
                <c:pt idx="550">
                  <c:v>0</c:v>
                </c:pt>
                <c:pt idx="551">
                  <c:v>0</c:v>
                </c:pt>
                <c:pt idx="552">
                  <c:v>0</c:v>
                </c:pt>
                <c:pt idx="553">
                  <c:v>0</c:v>
                </c:pt>
                <c:pt idx="554">
                  <c:v>0</c:v>
                </c:pt>
                <c:pt idx="555">
                  <c:v>0</c:v>
                </c:pt>
                <c:pt idx="556">
                  <c:v>0</c:v>
                </c:pt>
                <c:pt idx="557">
                  <c:v>0</c:v>
                </c:pt>
                <c:pt idx="558">
                  <c:v>0</c:v>
                </c:pt>
                <c:pt idx="559">
                  <c:v>0</c:v>
                </c:pt>
                <c:pt idx="560">
                  <c:v>0</c:v>
                </c:pt>
                <c:pt idx="561">
                  <c:v>0</c:v>
                </c:pt>
                <c:pt idx="562">
                  <c:v>0</c:v>
                </c:pt>
                <c:pt idx="563">
                  <c:v>0</c:v>
                </c:pt>
                <c:pt idx="564">
                  <c:v>0</c:v>
                </c:pt>
                <c:pt idx="565">
                  <c:v>0</c:v>
                </c:pt>
                <c:pt idx="566">
                  <c:v>0</c:v>
                </c:pt>
                <c:pt idx="567">
                  <c:v>0</c:v>
                </c:pt>
                <c:pt idx="568">
                  <c:v>0</c:v>
                </c:pt>
                <c:pt idx="569">
                  <c:v>7.6783E-5</c:v>
                </c:pt>
                <c:pt idx="570" formatCode="General">
                  <c:v>7.6400000000000003E-4</c:v>
                </c:pt>
                <c:pt idx="571" formatCode="General">
                  <c:v>6.96544E-4</c:v>
                </c:pt>
                <c:pt idx="572" formatCode="General">
                  <c:v>6.7674399999999996E-4</c:v>
                </c:pt>
                <c:pt idx="573" formatCode="General">
                  <c:v>6.5701600000000007E-4</c:v>
                </c:pt>
                <c:pt idx="574" formatCode="General">
                  <c:v>6.3479200000000002E-4</c:v>
                </c:pt>
                <c:pt idx="575" formatCode="General">
                  <c:v>6.0234399999999999E-4</c:v>
                </c:pt>
                <c:pt idx="576" formatCode="General">
                  <c:v>5.9816800000000005E-4</c:v>
                </c:pt>
                <c:pt idx="577" formatCode="General">
                  <c:v>6.0512000000000001E-4</c:v>
                </c:pt>
                <c:pt idx="578" formatCode="General">
                  <c:v>6.3880800000000004E-4</c:v>
                </c:pt>
                <c:pt idx="579" formatCode="General">
                  <c:v>6.7445600000000004E-4</c:v>
                </c:pt>
                <c:pt idx="580" formatCode="General">
                  <c:v>7.2449600000000004E-4</c:v>
                </c:pt>
                <c:pt idx="581" formatCode="General">
                  <c:v>7.668000000000001E-4</c:v>
                </c:pt>
                <c:pt idx="582" formatCode="General">
                  <c:v>7.0636800000000008E-4</c:v>
                </c:pt>
                <c:pt idx="583" formatCode="General">
                  <c:v>6.9295200000000004E-4</c:v>
                </c:pt>
                <c:pt idx="584" formatCode="General">
                  <c:v>6.7260799999999999E-4</c:v>
                </c:pt>
                <c:pt idx="585" formatCode="General">
                  <c:v>7.5828800000000008E-4</c:v>
                </c:pt>
                <c:pt idx="586" formatCode="General">
                  <c:v>8.193600000000001E-4</c:v>
                </c:pt>
                <c:pt idx="587" formatCode="General">
                  <c:v>8.8120000000000006E-4</c:v>
                </c:pt>
                <c:pt idx="588" formatCode="General">
                  <c:v>8.9992000000000013E-4</c:v>
                </c:pt>
                <c:pt idx="589" formatCode="General">
                  <c:v>9.1471999999999994E-4</c:v>
                </c:pt>
                <c:pt idx="590" formatCode="General">
                  <c:v>9.0072000000000004E-4</c:v>
                </c:pt>
                <c:pt idx="591" formatCode="General">
                  <c:v>9.5440000000000011E-4</c:v>
                </c:pt>
                <c:pt idx="592" formatCode="General">
                  <c:v>9.9480000000000011E-4</c:v>
                </c:pt>
                <c:pt idx="593" formatCode="General">
                  <c:v>1.07496E-3</c:v>
                </c:pt>
                <c:pt idx="594" formatCode="General">
                  <c:v>1.0882400000000001E-3</c:v>
                </c:pt>
                <c:pt idx="595" formatCode="General">
                  <c:v>1.1229599999999999E-3</c:v>
                </c:pt>
                <c:pt idx="596" formatCode="General">
                  <c:v>1.08504E-3</c:v>
                </c:pt>
                <c:pt idx="597" formatCode="General">
                  <c:v>1.10472E-3</c:v>
                </c:pt>
                <c:pt idx="598" formatCode="General">
                  <c:v>1.1623200000000001E-3</c:v>
                </c:pt>
                <c:pt idx="599" formatCode="General">
                  <c:v>1.2324800000000002E-3</c:v>
                </c:pt>
                <c:pt idx="600" formatCode="General">
                  <c:v>1.28264E-3</c:v>
                </c:pt>
                <c:pt idx="601" formatCode="General">
                  <c:v>1.3290400000000001E-3</c:v>
                </c:pt>
                <c:pt idx="602" formatCode="General">
                  <c:v>1.43392E-3</c:v>
                </c:pt>
                <c:pt idx="603" formatCode="General">
                  <c:v>1.5152000000000002E-3</c:v>
                </c:pt>
                <c:pt idx="604" formatCode="General">
                  <c:v>1.5524800000000002E-3</c:v>
                </c:pt>
                <c:pt idx="605" formatCode="General">
                  <c:v>1.7046400000000001E-3</c:v>
                </c:pt>
                <c:pt idx="606" formatCode="General">
                  <c:v>1.9492800000000003E-3</c:v>
                </c:pt>
                <c:pt idx="607" formatCode="General">
                  <c:v>2.2160000000000001E-3</c:v>
                </c:pt>
                <c:pt idx="608" formatCode="General">
                  <c:v>2.3165600000000001E-3</c:v>
                </c:pt>
                <c:pt idx="609" formatCode="General">
                  <c:v>2.23624E-3</c:v>
                </c:pt>
                <c:pt idx="610" formatCode="General">
                  <c:v>2.1241599999999999E-3</c:v>
                </c:pt>
                <c:pt idx="611" formatCode="General">
                  <c:v>2.0650400000000002E-3</c:v>
                </c:pt>
                <c:pt idx="612" formatCode="General">
                  <c:v>2.0492000000000002E-3</c:v>
                </c:pt>
                <c:pt idx="613" formatCode="General">
                  <c:v>2.1056E-3</c:v>
                </c:pt>
                <c:pt idx="614" formatCode="General">
                  <c:v>2.19776E-3</c:v>
                </c:pt>
                <c:pt idx="615" formatCode="General">
                  <c:v>2.3995200000000005E-3</c:v>
                </c:pt>
                <c:pt idx="616" formatCode="General">
                  <c:v>2.54696E-3</c:v>
                </c:pt>
                <c:pt idx="617" formatCode="General">
                  <c:v>2.6411200000000003E-3</c:v>
                </c:pt>
                <c:pt idx="618" formatCode="General">
                  <c:v>2.6356800000000001E-3</c:v>
                </c:pt>
                <c:pt idx="619" formatCode="General">
                  <c:v>2.7172800000000003E-3</c:v>
                </c:pt>
                <c:pt idx="620" formatCode="General">
                  <c:v>2.9052800000000001E-3</c:v>
                </c:pt>
                <c:pt idx="621" formatCode="General">
                  <c:v>3.0121599999999998E-3</c:v>
                </c:pt>
                <c:pt idx="622" formatCode="General">
                  <c:v>3.1928E-3</c:v>
                </c:pt>
                <c:pt idx="623" formatCode="General">
                  <c:v>3.3212800000000002E-3</c:v>
                </c:pt>
                <c:pt idx="624" formatCode="General">
                  <c:v>3.57296E-3</c:v>
                </c:pt>
                <c:pt idx="625" formatCode="General">
                  <c:v>3.7537600000000001E-3</c:v>
                </c:pt>
                <c:pt idx="626" formatCode="General">
                  <c:v>3.872E-3</c:v>
                </c:pt>
                <c:pt idx="627" formatCode="General">
                  <c:v>3.9776799999999999E-3</c:v>
                </c:pt>
                <c:pt idx="628" formatCode="General">
                  <c:v>4.1072000000000001E-3</c:v>
                </c:pt>
                <c:pt idx="629" formatCode="General">
                  <c:v>4.3681600000000003E-3</c:v>
                </c:pt>
                <c:pt idx="630" formatCode="General">
                  <c:v>4.6367999999999999E-3</c:v>
                </c:pt>
                <c:pt idx="631" formatCode="General">
                  <c:v>4.9006400000000004E-3</c:v>
                </c:pt>
                <c:pt idx="632" formatCode="General">
                  <c:v>5.1245600000000002E-3</c:v>
                </c:pt>
                <c:pt idx="633" formatCode="General">
                  <c:v>5.3522400000000003E-3</c:v>
                </c:pt>
                <c:pt idx="634" formatCode="General">
                  <c:v>5.6070400000000006E-3</c:v>
                </c:pt>
                <c:pt idx="635" formatCode="General">
                  <c:v>5.91224E-3</c:v>
                </c:pt>
                <c:pt idx="636" formatCode="General">
                  <c:v>6.2261600000000005E-3</c:v>
                </c:pt>
                <c:pt idx="637" formatCode="General">
                  <c:v>6.6052000000000003E-3</c:v>
                </c:pt>
                <c:pt idx="638" formatCode="General">
                  <c:v>6.9701600000000004E-3</c:v>
                </c:pt>
                <c:pt idx="639" formatCode="General">
                  <c:v>7.3983199999999999E-3</c:v>
                </c:pt>
                <c:pt idx="640" formatCode="General">
                  <c:v>7.8897600000000009E-3</c:v>
                </c:pt>
                <c:pt idx="641" formatCode="General">
                  <c:v>8.4016000000000004E-3</c:v>
                </c:pt>
                <c:pt idx="642" formatCode="General">
                  <c:v>8.8088000000000003E-3</c:v>
                </c:pt>
                <c:pt idx="643" formatCode="General">
                  <c:v>9.0880000000000006E-3</c:v>
                </c:pt>
                <c:pt idx="644" formatCode="General">
                  <c:v>9.3360000000000005E-3</c:v>
                </c:pt>
                <c:pt idx="645" formatCode="General">
                  <c:v>9.7152000000000002E-3</c:v>
                </c:pt>
                <c:pt idx="646" formatCode="General">
                  <c:v>1.02752E-2</c:v>
                </c:pt>
                <c:pt idx="647" formatCode="General">
                  <c:v>1.0933600000000002E-2</c:v>
                </c:pt>
                <c:pt idx="648" formatCode="General">
                  <c:v>1.15104E-2</c:v>
                </c:pt>
                <c:pt idx="649" formatCode="General">
                  <c:v>1.2004000000000001E-2</c:v>
                </c:pt>
                <c:pt idx="650" formatCode="General">
                  <c:v>1.2584000000000001E-2</c:v>
                </c:pt>
                <c:pt idx="651" formatCode="General">
                  <c:v>1.3408000000000002E-2</c:v>
                </c:pt>
                <c:pt idx="652" formatCode="General">
                  <c:v>1.4238400000000002E-2</c:v>
                </c:pt>
                <c:pt idx="653" formatCode="General">
                  <c:v>1.5072E-2</c:v>
                </c:pt>
                <c:pt idx="654" formatCode="General">
                  <c:v>1.5860800000000001E-2</c:v>
                </c:pt>
                <c:pt idx="655" formatCode="General">
                  <c:v>1.6688000000000001E-2</c:v>
                </c:pt>
                <c:pt idx="656" formatCode="General">
                  <c:v>1.7496000000000001E-2</c:v>
                </c:pt>
                <c:pt idx="657" formatCode="General">
                  <c:v>1.8404799999999999E-2</c:v>
                </c:pt>
                <c:pt idx="658" formatCode="General">
                  <c:v>1.9396800000000002E-2</c:v>
                </c:pt>
                <c:pt idx="659" formatCode="General">
                  <c:v>2.0474400000000004E-2</c:v>
                </c:pt>
                <c:pt idx="660" formatCode="General">
                  <c:v>2.1587200000000001E-2</c:v>
                </c:pt>
                <c:pt idx="661" formatCode="General">
                  <c:v>2.2748000000000001E-2</c:v>
                </c:pt>
                <c:pt idx="662" formatCode="General">
                  <c:v>2.3966399999999999E-2</c:v>
                </c:pt>
                <c:pt idx="663" formatCode="General">
                  <c:v>2.5273600000000004E-2</c:v>
                </c:pt>
                <c:pt idx="664" formatCode="General">
                  <c:v>2.66536E-2</c:v>
                </c:pt>
                <c:pt idx="665" formatCode="General">
                  <c:v>2.7993600000000004E-2</c:v>
                </c:pt>
                <c:pt idx="666" formatCode="General">
                  <c:v>2.9353600000000004E-2</c:v>
                </c:pt>
                <c:pt idx="667" formatCode="General">
                  <c:v>3.0940800000000004E-2</c:v>
                </c:pt>
                <c:pt idx="668" formatCode="General">
                  <c:v>3.2721600000000003E-2</c:v>
                </c:pt>
                <c:pt idx="669" formatCode="General">
                  <c:v>3.4563200000000002E-2</c:v>
                </c:pt>
                <c:pt idx="670" formatCode="General">
                  <c:v>3.6376800000000001E-2</c:v>
                </c:pt>
                <c:pt idx="671" formatCode="General">
                  <c:v>3.8176000000000002E-2</c:v>
                </c:pt>
                <c:pt idx="672" formatCode="General">
                  <c:v>4.0100799999999999E-2</c:v>
                </c:pt>
                <c:pt idx="673" formatCode="General">
                  <c:v>4.2108800000000002E-2</c:v>
                </c:pt>
                <c:pt idx="674" formatCode="General">
                  <c:v>4.4395200000000003E-2</c:v>
                </c:pt>
                <c:pt idx="675" formatCode="General">
                  <c:v>4.6811199999999997E-2</c:v>
                </c:pt>
                <c:pt idx="676" formatCode="General">
                  <c:v>4.93824E-2</c:v>
                </c:pt>
                <c:pt idx="677" formatCode="General">
                  <c:v>5.1933600000000003E-2</c:v>
                </c:pt>
                <c:pt idx="678" formatCode="General">
                  <c:v>5.4536000000000001E-2</c:v>
                </c:pt>
                <c:pt idx="679" formatCode="General">
                  <c:v>5.7363200000000003E-2</c:v>
                </c:pt>
                <c:pt idx="680" formatCode="General">
                  <c:v>6.0448800000000004E-2</c:v>
                </c:pt>
                <c:pt idx="681" formatCode="General">
                  <c:v>6.37432E-2</c:v>
                </c:pt>
                <c:pt idx="682" formatCode="General">
                  <c:v>6.7238400000000004E-2</c:v>
                </c:pt>
                <c:pt idx="683" formatCode="General">
                  <c:v>7.0873600000000009E-2</c:v>
                </c:pt>
                <c:pt idx="684" formatCode="General">
                  <c:v>7.4633600000000008E-2</c:v>
                </c:pt>
                <c:pt idx="685" formatCode="General">
                  <c:v>7.8644000000000006E-2</c:v>
                </c:pt>
                <c:pt idx="686" formatCode="General">
                  <c:v>8.2928000000000002E-2</c:v>
                </c:pt>
                <c:pt idx="687" formatCode="General">
                  <c:v>8.7368000000000001E-2</c:v>
                </c:pt>
                <c:pt idx="688" formatCode="General">
                  <c:v>9.198400000000001E-2</c:v>
                </c:pt>
                <c:pt idx="689" formatCode="General">
                  <c:v>9.6864000000000006E-2</c:v>
                </c:pt>
                <c:pt idx="690" formatCode="General">
                  <c:v>0.10216799999999999</c:v>
                </c:pt>
                <c:pt idx="691" formatCode="General">
                  <c:v>0.10759200000000001</c:v>
                </c:pt>
                <c:pt idx="692" formatCode="General">
                  <c:v>0.11332</c:v>
                </c:pt>
                <c:pt idx="693" formatCode="General">
                  <c:v>0.119528</c:v>
                </c:pt>
                <c:pt idx="694" formatCode="General">
                  <c:v>0.12625600000000001</c:v>
                </c:pt>
                <c:pt idx="695" formatCode="General">
                  <c:v>0.13331999999999999</c:v>
                </c:pt>
                <c:pt idx="696" formatCode="General">
                  <c:v>0.140344</c:v>
                </c:pt>
                <c:pt idx="697" formatCode="General">
                  <c:v>0.14774400000000001</c:v>
                </c:pt>
                <c:pt idx="698" formatCode="General">
                  <c:v>0.15548000000000001</c:v>
                </c:pt>
                <c:pt idx="699" formatCode="General">
                  <c:v>0.16356000000000001</c:v>
                </c:pt>
                <c:pt idx="700" formatCode="General">
                  <c:v>0.17249600000000001</c:v>
                </c:pt>
                <c:pt idx="701" formatCode="General">
                  <c:v>0.18192</c:v>
                </c:pt>
                <c:pt idx="702" formatCode="General">
                  <c:v>0.19200800000000001</c:v>
                </c:pt>
                <c:pt idx="703" formatCode="General">
                  <c:v>0.20238400000000001</c:v>
                </c:pt>
                <c:pt idx="704" formatCode="General">
                  <c:v>0.21307999999999999</c:v>
                </c:pt>
                <c:pt idx="705" formatCode="General">
                  <c:v>0.22430400000000003</c:v>
                </c:pt>
                <c:pt idx="706" formatCode="General">
                  <c:v>0.23656000000000002</c:v>
                </c:pt>
                <c:pt idx="707" formatCode="General">
                  <c:v>0.249136</c:v>
                </c:pt>
                <c:pt idx="708" formatCode="General">
                  <c:v>0.262712</c:v>
                </c:pt>
                <c:pt idx="709" formatCode="General">
                  <c:v>0.27693600000000002</c:v>
                </c:pt>
                <c:pt idx="710" formatCode="General">
                  <c:v>0.29196</c:v>
                </c:pt>
                <c:pt idx="711" formatCode="General">
                  <c:v>0.30760000000000004</c:v>
                </c:pt>
                <c:pt idx="712" formatCode="General">
                  <c:v>0.32375200000000004</c:v>
                </c:pt>
                <c:pt idx="713" formatCode="General">
                  <c:v>0.34047200000000005</c:v>
                </c:pt>
                <c:pt idx="714" formatCode="General">
                  <c:v>0.35780800000000001</c:v>
                </c:pt>
                <c:pt idx="715" formatCode="General">
                  <c:v>0.37620800000000004</c:v>
                </c:pt>
                <c:pt idx="716" formatCode="General">
                  <c:v>0.39508800000000005</c:v>
                </c:pt>
                <c:pt idx="717" formatCode="General">
                  <c:v>0.414352</c:v>
                </c:pt>
                <c:pt idx="718" formatCode="General">
                  <c:v>0.43470399999999998</c:v>
                </c:pt>
                <c:pt idx="719" formatCode="General">
                  <c:v>0.45638400000000001</c:v>
                </c:pt>
                <c:pt idx="720" formatCode="General">
                  <c:v>0.47871200000000003</c:v>
                </c:pt>
                <c:pt idx="721" formatCode="General">
                  <c:v>0.5013200000000001</c:v>
                </c:pt>
                <c:pt idx="722" formatCode="General">
                  <c:v>0.52465600000000001</c:v>
                </c:pt>
                <c:pt idx="723" formatCode="General">
                  <c:v>0.54810400000000004</c:v>
                </c:pt>
                <c:pt idx="724" formatCode="General">
                  <c:v>0.57209600000000005</c:v>
                </c:pt>
                <c:pt idx="725" formatCode="General">
                  <c:v>0.595688</c:v>
                </c:pt>
                <c:pt idx="726" formatCode="General">
                  <c:v>0.61917600000000006</c:v>
                </c:pt>
                <c:pt idx="727" formatCode="General">
                  <c:v>0.64298400000000011</c:v>
                </c:pt>
                <c:pt idx="728" formatCode="General">
                  <c:v>0.66791200000000006</c:v>
                </c:pt>
                <c:pt idx="729" formatCode="General">
                  <c:v>0.69432800000000006</c:v>
                </c:pt>
                <c:pt idx="730" formatCode="General">
                  <c:v>0.72010400000000008</c:v>
                </c:pt>
                <c:pt idx="731" formatCode="General">
                  <c:v>0.74545600000000001</c:v>
                </c:pt>
                <c:pt idx="732" formatCode="General">
                  <c:v>0.77136800000000005</c:v>
                </c:pt>
                <c:pt idx="733" formatCode="General">
                  <c:v>0.79836000000000007</c:v>
                </c:pt>
                <c:pt idx="734" formatCode="General">
                  <c:v>0.82384000000000013</c:v>
                </c:pt>
                <c:pt idx="735" formatCode="General">
                  <c:v>0.84928000000000015</c:v>
                </c:pt>
                <c:pt idx="736" formatCode="General">
                  <c:v>0.87287999999999999</c:v>
                </c:pt>
                <c:pt idx="737" formatCode="General">
                  <c:v>0.89400000000000002</c:v>
                </c:pt>
                <c:pt idx="738" formatCode="General">
                  <c:v>0.91183999999999998</c:v>
                </c:pt>
                <c:pt idx="739" formatCode="General">
                  <c:v>0.92632000000000003</c:v>
                </c:pt>
                <c:pt idx="740" formatCode="General">
                  <c:v>0.93728</c:v>
                </c:pt>
                <c:pt idx="741" formatCode="General">
                  <c:v>0.94520000000000004</c:v>
                </c:pt>
                <c:pt idx="742" formatCode="General">
                  <c:v>0.94879999999999998</c:v>
                </c:pt>
                <c:pt idx="743" formatCode="General">
                  <c:v>0.94984000000000002</c:v>
                </c:pt>
                <c:pt idx="744" formatCode="General">
                  <c:v>0.9464800000000001</c:v>
                </c:pt>
                <c:pt idx="745" formatCode="General">
                  <c:v>0.93696000000000002</c:v>
                </c:pt>
                <c:pt idx="746" formatCode="General">
                  <c:v>0.92392000000000007</c:v>
                </c:pt>
                <c:pt idx="747" formatCode="General">
                  <c:v>0.90640000000000009</c:v>
                </c:pt>
                <c:pt idx="748" formatCode="General">
                  <c:v>0.87888000000000011</c:v>
                </c:pt>
                <c:pt idx="749" formatCode="General">
                  <c:v>0.84336000000000011</c:v>
                </c:pt>
                <c:pt idx="750" formatCode="General">
                  <c:v>0.80191999999999997</c:v>
                </c:pt>
                <c:pt idx="751" formatCode="General">
                  <c:v>0.76141600000000009</c:v>
                </c:pt>
                <c:pt idx="752" formatCode="General">
                  <c:v>0.72169600000000012</c:v>
                </c:pt>
                <c:pt idx="753" formatCode="General">
                  <c:v>0.68155200000000005</c:v>
                </c:pt>
                <c:pt idx="754" formatCode="General">
                  <c:v>0.63839200000000007</c:v>
                </c:pt>
                <c:pt idx="755" formatCode="General">
                  <c:v>0.59284000000000003</c:v>
                </c:pt>
                <c:pt idx="756" formatCode="General">
                  <c:v>0.54633600000000004</c:v>
                </c:pt>
                <c:pt idx="757" formatCode="General">
                  <c:v>0.50127200000000005</c:v>
                </c:pt>
                <c:pt idx="758" formatCode="General">
                  <c:v>0.46013599999999999</c:v>
                </c:pt>
                <c:pt idx="759" formatCode="General">
                  <c:v>0.42265600000000003</c:v>
                </c:pt>
                <c:pt idx="760" formatCode="General">
                  <c:v>0.38759199999999999</c:v>
                </c:pt>
                <c:pt idx="761" formatCode="General">
                  <c:v>0.35477599999999998</c:v>
                </c:pt>
                <c:pt idx="762" formatCode="General">
                  <c:v>0.32568000000000003</c:v>
                </c:pt>
                <c:pt idx="763" formatCode="General">
                  <c:v>0.29909599999999997</c:v>
                </c:pt>
                <c:pt idx="764" formatCode="General">
                  <c:v>0.27502399999999999</c:v>
                </c:pt>
                <c:pt idx="765" formatCode="General">
                  <c:v>0.25293599999999999</c:v>
                </c:pt>
                <c:pt idx="766" formatCode="General">
                  <c:v>0.23272000000000001</c:v>
                </c:pt>
                <c:pt idx="767" formatCode="General">
                  <c:v>0.21443200000000001</c:v>
                </c:pt>
                <c:pt idx="768" formatCode="General">
                  <c:v>0.19774400000000003</c:v>
                </c:pt>
                <c:pt idx="769" formatCode="General">
                  <c:v>0.18240000000000001</c:v>
                </c:pt>
                <c:pt idx="770" formatCode="General">
                  <c:v>0.16856800000000002</c:v>
                </c:pt>
                <c:pt idx="771" formatCode="General">
                  <c:v>0.15567200000000003</c:v>
                </c:pt>
                <c:pt idx="772" formatCode="General">
                  <c:v>0.143624</c:v>
                </c:pt>
                <c:pt idx="773" formatCode="General">
                  <c:v>0.13261600000000001</c:v>
                </c:pt>
                <c:pt idx="774" formatCode="General">
                  <c:v>0.12256800000000001</c:v>
                </c:pt>
                <c:pt idx="775" formatCode="General">
                  <c:v>0.113232</c:v>
                </c:pt>
                <c:pt idx="776" formatCode="General">
                  <c:v>0.104768</c:v>
                </c:pt>
                <c:pt idx="777" formatCode="General">
                  <c:v>9.7056000000000003E-2</c:v>
                </c:pt>
                <c:pt idx="778" formatCode="General">
                  <c:v>8.9856000000000005E-2</c:v>
                </c:pt>
                <c:pt idx="779" formatCode="General">
                  <c:v>8.3360000000000004E-2</c:v>
                </c:pt>
                <c:pt idx="780" formatCode="General">
                  <c:v>7.7371200000000001E-2</c:v>
                </c:pt>
                <c:pt idx="781" formatCode="General">
                  <c:v>7.1856799999999998E-2</c:v>
                </c:pt>
                <c:pt idx="782" formatCode="General">
                  <c:v>6.6856800000000008E-2</c:v>
                </c:pt>
                <c:pt idx="783" formatCode="General">
                  <c:v>6.22184E-2</c:v>
                </c:pt>
                <c:pt idx="784" formatCode="General">
                  <c:v>5.8126400000000002E-2</c:v>
                </c:pt>
                <c:pt idx="785" formatCode="General">
                  <c:v>5.4327199999999999E-2</c:v>
                </c:pt>
                <c:pt idx="786" formatCode="General">
                  <c:v>5.0867200000000001E-2</c:v>
                </c:pt>
                <c:pt idx="787" formatCode="General">
                  <c:v>4.7472800000000002E-2</c:v>
                </c:pt>
                <c:pt idx="788" formatCode="General">
                  <c:v>4.4261600000000005E-2</c:v>
                </c:pt>
                <c:pt idx="789" formatCode="General">
                  <c:v>4.1394399999999998E-2</c:v>
                </c:pt>
                <c:pt idx="790" formatCode="General">
                  <c:v>3.8798400000000004E-2</c:v>
                </c:pt>
                <c:pt idx="791" formatCode="General">
                  <c:v>3.6404800000000001E-2</c:v>
                </c:pt>
                <c:pt idx="792" formatCode="General">
                  <c:v>3.4364800000000001E-2</c:v>
                </c:pt>
                <c:pt idx="793" formatCode="General">
                  <c:v>3.24464E-2</c:v>
                </c:pt>
                <c:pt idx="794" formatCode="General">
                  <c:v>3.06424E-2</c:v>
                </c:pt>
                <c:pt idx="795" formatCode="General">
                  <c:v>2.8775200000000001E-2</c:v>
                </c:pt>
                <c:pt idx="796" formatCode="General">
                  <c:v>2.7179200000000001E-2</c:v>
                </c:pt>
                <c:pt idx="797" formatCode="General">
                  <c:v>2.5792800000000001E-2</c:v>
                </c:pt>
                <c:pt idx="798" formatCode="General">
                  <c:v>2.4447200000000002E-2</c:v>
                </c:pt>
                <c:pt idx="799" formatCode="General">
                  <c:v>2.3148000000000002E-2</c:v>
                </c:pt>
                <c:pt idx="800" formatCode="General">
                  <c:v>2.1809600000000002E-2</c:v>
                </c:pt>
                <c:pt idx="801" formatCode="General">
                  <c:v>2.0508000000000002E-2</c:v>
                </c:pt>
                <c:pt idx="802" formatCode="General">
                  <c:v>1.9155200000000001E-2</c:v>
                </c:pt>
                <c:pt idx="803" formatCode="General">
                  <c:v>1.79968E-2</c:v>
                </c:pt>
                <c:pt idx="804" formatCode="General">
                  <c:v>1.7085600000000003E-2</c:v>
                </c:pt>
                <c:pt idx="805" formatCode="General">
                  <c:v>1.6223999999999999E-2</c:v>
                </c:pt>
                <c:pt idx="806" formatCode="General">
                  <c:v>1.5323999999999999E-2</c:v>
                </c:pt>
                <c:pt idx="807" formatCode="General">
                  <c:v>1.4446400000000002E-2</c:v>
                </c:pt>
                <c:pt idx="808" formatCode="General">
                  <c:v>1.37736E-2</c:v>
                </c:pt>
                <c:pt idx="809" formatCode="General">
                  <c:v>1.3299200000000001E-2</c:v>
                </c:pt>
                <c:pt idx="810" formatCode="General">
                  <c:v>1.27928E-2</c:v>
                </c:pt>
                <c:pt idx="811" formatCode="General">
                  <c:v>1.2059200000000001E-2</c:v>
                </c:pt>
                <c:pt idx="812" formatCode="General">
                  <c:v>1.1253600000000001E-2</c:v>
                </c:pt>
                <c:pt idx="813" formatCode="General">
                  <c:v>1.05848E-2</c:v>
                </c:pt>
                <c:pt idx="814" formatCode="General">
                  <c:v>1.0059999999999999E-2</c:v>
                </c:pt>
                <c:pt idx="815" formatCode="General">
                  <c:v>9.6560000000000014E-3</c:v>
                </c:pt>
                <c:pt idx="816" formatCode="General">
                  <c:v>9.1415999999999997E-3</c:v>
                </c:pt>
                <c:pt idx="817" formatCode="General">
                  <c:v>8.5967999999999999E-3</c:v>
                </c:pt>
                <c:pt idx="818" formatCode="General">
                  <c:v>8.0032000000000002E-3</c:v>
                </c:pt>
                <c:pt idx="819" formatCode="General">
                  <c:v>7.7355999999999996E-3</c:v>
                </c:pt>
                <c:pt idx="820" formatCode="General">
                  <c:v>7.577920000000001E-3</c:v>
                </c:pt>
                <c:pt idx="821" formatCode="General">
                  <c:v>7.3213600000000007E-3</c:v>
                </c:pt>
                <c:pt idx="822" formatCode="General">
                  <c:v>6.8015999999999997E-3</c:v>
                </c:pt>
                <c:pt idx="823" formatCode="General">
                  <c:v>6.5501599999999993E-3</c:v>
                </c:pt>
                <c:pt idx="824" formatCode="General">
                  <c:v>6.4225599999999999E-3</c:v>
                </c:pt>
                <c:pt idx="825" formatCode="General">
                  <c:v>6.5515199999999999E-3</c:v>
                </c:pt>
                <c:pt idx="826" formatCode="General">
                  <c:v>6.4067200000000012E-3</c:v>
                </c:pt>
                <c:pt idx="827" formatCode="General">
                  <c:v>6.1402400000000008E-3</c:v>
                </c:pt>
                <c:pt idx="828" formatCode="General">
                  <c:v>5.7408800000000003E-3</c:v>
                </c:pt>
                <c:pt idx="829" formatCode="General">
                  <c:v>5.2684000000000003E-3</c:v>
                </c:pt>
                <c:pt idx="830" formatCode="General">
                  <c:v>4.9408800000000008E-3</c:v>
                </c:pt>
                <c:pt idx="831" formatCode="General">
                  <c:v>4.7180800000000004E-3</c:v>
                </c:pt>
                <c:pt idx="832" formatCode="General">
                  <c:v>4.6329600000000002E-3</c:v>
                </c:pt>
                <c:pt idx="833" formatCode="General">
                  <c:v>4.4054400000000001E-3</c:v>
                </c:pt>
                <c:pt idx="834" formatCode="General">
                  <c:v>4.1602399999999999E-3</c:v>
                </c:pt>
                <c:pt idx="835" formatCode="General">
                  <c:v>4.08224E-3</c:v>
                </c:pt>
                <c:pt idx="836" formatCode="General">
                  <c:v>4.0535200000000006E-3</c:v>
                </c:pt>
                <c:pt idx="837" formatCode="General">
                  <c:v>4.0586400000000005E-3</c:v>
                </c:pt>
                <c:pt idx="838" formatCode="General">
                  <c:v>3.92232E-3</c:v>
                </c:pt>
                <c:pt idx="839" formatCode="General">
                  <c:v>3.9446400000000001E-3</c:v>
                </c:pt>
                <c:pt idx="840" formatCode="General">
                  <c:v>3.7464799999999999E-3</c:v>
                </c:pt>
                <c:pt idx="841" formatCode="General">
                  <c:v>3.4819200000000003E-3</c:v>
                </c:pt>
                <c:pt idx="842" formatCode="General">
                  <c:v>3.2847200000000001E-3</c:v>
                </c:pt>
                <c:pt idx="843" formatCode="General">
                  <c:v>3.3952000000000006E-3</c:v>
                </c:pt>
                <c:pt idx="844" formatCode="General">
                  <c:v>3.4011200000000001E-3</c:v>
                </c:pt>
                <c:pt idx="845" formatCode="General">
                  <c:v>3.2770400000000002E-3</c:v>
                </c:pt>
                <c:pt idx="846" formatCode="General">
                  <c:v>2.9412800000000001E-3</c:v>
                </c:pt>
                <c:pt idx="847" formatCode="General">
                  <c:v>2.7830400000000005E-3</c:v>
                </c:pt>
                <c:pt idx="848" formatCode="General">
                  <c:v>2.5917600000000002E-3</c:v>
                </c:pt>
                <c:pt idx="849" formatCode="General">
                  <c:v>2.6179200000000001E-3</c:v>
                </c:pt>
                <c:pt idx="850" formatCode="General">
                  <c:v>2.7947200000000001E-3</c:v>
                </c:pt>
                <c:pt idx="851" formatCode="General">
                  <c:v>2.78488E-3</c:v>
                </c:pt>
                <c:pt idx="852" formatCode="General">
                  <c:v>2.53696E-3</c:v>
                </c:pt>
                <c:pt idx="853" formatCode="General">
                  <c:v>2.2292000000000002E-3</c:v>
                </c:pt>
                <c:pt idx="854" formatCode="General">
                  <c:v>2.1805600000000002E-3</c:v>
                </c:pt>
                <c:pt idx="855" formatCode="General">
                  <c:v>2.0852000000000002E-3</c:v>
                </c:pt>
                <c:pt idx="856" formatCode="General">
                  <c:v>2.1753600000000003E-3</c:v>
                </c:pt>
                <c:pt idx="857" formatCode="General">
                  <c:v>2.1889599999999998E-3</c:v>
                </c:pt>
                <c:pt idx="858" formatCode="General">
                  <c:v>2.1459999999999999E-3</c:v>
                </c:pt>
                <c:pt idx="859" formatCode="General">
                  <c:v>2.0507999999999998E-3</c:v>
                </c:pt>
                <c:pt idx="860" formatCode="General">
                  <c:v>1.88872E-3</c:v>
                </c:pt>
                <c:pt idx="861" formatCode="General">
                  <c:v>1.9223199999999999E-3</c:v>
                </c:pt>
                <c:pt idx="862" formatCode="General">
                  <c:v>1.9796800000000002E-3</c:v>
                </c:pt>
                <c:pt idx="863" formatCode="General">
                  <c:v>2.1277600000000002E-3</c:v>
                </c:pt>
                <c:pt idx="864" formatCode="General">
                  <c:v>2.1204000000000001E-3</c:v>
                </c:pt>
                <c:pt idx="865" formatCode="General">
                  <c:v>1.8402399999999999E-3</c:v>
                </c:pt>
                <c:pt idx="866" formatCode="General">
                  <c:v>1.5920000000000001E-3</c:v>
                </c:pt>
                <c:pt idx="867" formatCode="General">
                  <c:v>1.4607999999999999E-3</c:v>
                </c:pt>
                <c:pt idx="868" formatCode="General">
                  <c:v>1.60136E-3</c:v>
                </c:pt>
                <c:pt idx="869" formatCode="General">
                  <c:v>1.8428799999999999E-3</c:v>
                </c:pt>
                <c:pt idx="870" formatCode="General">
                  <c:v>1.8915200000000001E-3</c:v>
                </c:pt>
                <c:pt idx="871" formatCode="General">
                  <c:v>1.7527200000000001E-3</c:v>
                </c:pt>
                <c:pt idx="872" formatCode="General">
                  <c:v>1.7432000000000001E-3</c:v>
                </c:pt>
                <c:pt idx="873" formatCode="General">
                  <c:v>1.6572000000000002E-3</c:v>
                </c:pt>
                <c:pt idx="874" formatCode="General">
                  <c:v>1.7128000000000002E-3</c:v>
                </c:pt>
                <c:pt idx="875" formatCode="General">
                  <c:v>1.5553600000000002E-3</c:v>
                </c:pt>
                <c:pt idx="876" formatCode="General">
                  <c:v>1.6207200000000002E-3</c:v>
                </c:pt>
                <c:pt idx="877" formatCode="General">
                  <c:v>1.53736E-3</c:v>
                </c:pt>
                <c:pt idx="878" formatCode="General">
                  <c:v>1.3268800000000001E-3</c:v>
                </c:pt>
                <c:pt idx="879" formatCode="General">
                  <c:v>1.2496E-3</c:v>
                </c:pt>
                <c:pt idx="880" formatCode="General">
                  <c:v>1.50672E-3</c:v>
                </c:pt>
                <c:pt idx="881" formatCode="General">
                  <c:v>1.8223199999999999E-3</c:v>
                </c:pt>
                <c:pt idx="882" formatCode="General">
                  <c:v>1.8590400000000002E-3</c:v>
                </c:pt>
                <c:pt idx="883" formatCode="General">
                  <c:v>1.64536E-3</c:v>
                </c:pt>
                <c:pt idx="884" formatCode="General">
                  <c:v>1.68384E-3</c:v>
                </c:pt>
                <c:pt idx="885" formatCode="General">
                  <c:v>1.6856800000000002E-3</c:v>
                </c:pt>
                <c:pt idx="886" formatCode="General">
                  <c:v>1.50928E-3</c:v>
                </c:pt>
                <c:pt idx="887" formatCode="General">
                  <c:v>1.3148000000000001E-3</c:v>
                </c:pt>
                <c:pt idx="888" formatCode="General">
                  <c:v>1.4336800000000001E-3</c:v>
                </c:pt>
                <c:pt idx="889" formatCode="General">
                  <c:v>1.7881600000000002E-3</c:v>
                </c:pt>
                <c:pt idx="890" formatCode="General">
                  <c:v>1.7836000000000002E-3</c:v>
                </c:pt>
                <c:pt idx="891" formatCode="General">
                  <c:v>1.3327200000000001E-3</c:v>
                </c:pt>
                <c:pt idx="892" formatCode="General">
                  <c:v>9.3968000000000003E-4</c:v>
                </c:pt>
                <c:pt idx="893" formatCode="General">
                  <c:v>9.5624000000000013E-4</c:v>
                </c:pt>
                <c:pt idx="894" formatCode="General">
                  <c:v>1.0433599999999999E-3</c:v>
                </c:pt>
                <c:pt idx="895" formatCode="General">
                  <c:v>9.9799999999999997E-4</c:v>
                </c:pt>
                <c:pt idx="896" formatCode="General">
                  <c:v>8.5015999999999998E-4</c:v>
                </c:pt>
                <c:pt idx="897" formatCode="General">
                  <c:v>9.8440000000000008E-4</c:v>
                </c:pt>
                <c:pt idx="898" formatCode="General">
                  <c:v>1.1547999999999999E-3</c:v>
                </c:pt>
                <c:pt idx="899" formatCode="General">
                  <c:v>1.2968000000000001E-3</c:v>
                </c:pt>
                <c:pt idx="900" formatCode="General">
                  <c:v>1.3880000000000001E-3</c:v>
                </c:pt>
              </c:numCache>
            </c:numRef>
          </c:val>
          <c:smooth val="0"/>
          <c:extLst>
            <c:ext xmlns:c16="http://schemas.microsoft.com/office/drawing/2014/chart" uri="{C3380CC4-5D6E-409C-BE32-E72D297353CC}">
              <c16:uniqueId val="{00000000-4904-7D43-BCCD-44F4ADB77005}"/>
            </c:ext>
          </c:extLst>
        </c:ser>
        <c:dLbls>
          <c:showLegendKey val="0"/>
          <c:showVal val="0"/>
          <c:showCatName val="0"/>
          <c:showSerName val="0"/>
          <c:showPercent val="0"/>
          <c:showBubbleSize val="0"/>
        </c:dLbls>
        <c:smooth val="0"/>
        <c:axId val="1101955759"/>
        <c:axId val="1182404623"/>
      </c:lineChart>
      <c:catAx>
        <c:axId val="1101955759"/>
        <c:scaling>
          <c:orientation val="minMax"/>
        </c:scaling>
        <c:delete val="0"/>
        <c:axPos val="b"/>
        <c:numFmt formatCode="General" sourceLinked="1"/>
        <c:majorTickMark val="none"/>
        <c:minorTickMark val="none"/>
        <c:tickLblPos val="nextTo"/>
        <c:spPr>
          <a:noFill/>
          <a:ln w="9525" cap="flat" cmpd="sng" algn="ctr">
            <a:solidFill>
              <a:schemeClr val="tx1"/>
            </a:solidFill>
            <a:round/>
          </a:ln>
          <a:effectLst/>
        </c:spPr>
        <c:txPr>
          <a:bodyPr rot="-60000000" spcFirstLastPara="1" vertOverflow="ellipsis" vert="horz" wrap="square" anchor="ctr" anchorCtr="1"/>
          <a:lstStyle/>
          <a:p>
            <a:pPr>
              <a:defRPr sz="900" b="1" i="0" u="none" strike="noStrike" kern="1200" baseline="0">
                <a:solidFill>
                  <a:schemeClr val="tx1"/>
                </a:solidFill>
                <a:latin typeface="Arial" panose="020B0604020202020204" pitchFamily="34" charset="0"/>
                <a:ea typeface="+mn-ea"/>
                <a:cs typeface="Arial" panose="020B0604020202020204" pitchFamily="34" charset="0"/>
              </a:defRPr>
            </a:pPr>
            <a:endParaRPr lang="en-US"/>
          </a:p>
        </c:txPr>
        <c:crossAx val="1182404623"/>
        <c:crosses val="autoZero"/>
        <c:auto val="0"/>
        <c:lblAlgn val="ctr"/>
        <c:lblOffset val="100"/>
        <c:tickLblSkip val="100"/>
        <c:tickMarkSkip val="1"/>
        <c:noMultiLvlLbl val="0"/>
      </c:catAx>
      <c:valAx>
        <c:axId val="1182404623"/>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000" b="0" i="0" u="none" strike="noStrike" kern="1200" baseline="0">
                    <a:solidFill>
                      <a:schemeClr val="tx1"/>
                    </a:solidFill>
                    <a:latin typeface="Arial" panose="020B0604020202020204" pitchFamily="34" charset="0"/>
                    <a:ea typeface="+mn-ea"/>
                    <a:cs typeface="Arial" panose="020B0604020202020204" pitchFamily="34" charset="0"/>
                  </a:defRPr>
                </a:pPr>
                <a:r>
                  <a:rPr lang="en-US" b="1"/>
                  <a:t>Intensity (µmols</a:t>
                </a:r>
                <a:r>
                  <a:rPr lang="en-US" b="1" baseline="0"/>
                  <a:t> </a:t>
                </a:r>
                <a:r>
                  <a:rPr lang="en-US" b="1" baseline="30000"/>
                  <a:t>.</a:t>
                </a:r>
                <a:r>
                  <a:rPr lang="en-US" b="1" baseline="0"/>
                  <a:t> </a:t>
                </a:r>
                <a:r>
                  <a:rPr lang="en-US" b="1"/>
                  <a:t>m-</a:t>
                </a:r>
                <a:r>
                  <a:rPr lang="en-US" b="1" baseline="30000"/>
                  <a:t>2</a:t>
                </a:r>
                <a:r>
                  <a:rPr lang="en-US" sz="1000" b="1" i="0" u="none" strike="noStrike" baseline="30000">
                    <a:effectLst/>
                  </a:rPr>
                  <a:t> .</a:t>
                </a:r>
                <a:r>
                  <a:rPr lang="en-US" sz="1000" b="1" i="0" u="none" strike="noStrike" baseline="0">
                    <a:effectLst/>
                  </a:rPr>
                  <a:t> </a:t>
                </a:r>
                <a:r>
                  <a:rPr lang="en-US" b="1"/>
                  <a:t>sec</a:t>
                </a:r>
                <a:r>
                  <a:rPr lang="en-US" b="1" baseline="30000"/>
                  <a:t>-1</a:t>
                </a:r>
                <a:r>
                  <a:rPr lang="en-US" b="1"/>
                  <a:t>)</a:t>
                </a:r>
              </a:p>
            </c:rich>
          </c:tx>
          <c:overlay val="0"/>
          <c:spPr>
            <a:noFill/>
            <a:ln>
              <a:noFill/>
            </a:ln>
            <a:effectLst/>
          </c:spPr>
          <c:txPr>
            <a:bodyPr rot="-5400000" spcFirstLastPara="1" vertOverflow="ellipsis" vert="horz" wrap="square" anchor="ctr" anchorCtr="1"/>
            <a:lstStyle/>
            <a:p>
              <a:pPr>
                <a:defRPr sz="1000" b="0" i="0" u="none" strike="noStrike" kern="1200" baseline="0">
                  <a:solidFill>
                    <a:schemeClr val="tx1"/>
                  </a:solidFill>
                  <a:latin typeface="Arial" panose="020B0604020202020204" pitchFamily="34" charset="0"/>
                  <a:ea typeface="+mn-ea"/>
                  <a:cs typeface="Arial" panose="020B0604020202020204" pitchFamily="34" charset="0"/>
                </a:defRPr>
              </a:pPr>
              <a:endParaRPr lang="en-US"/>
            </a:p>
          </c:txPr>
        </c:title>
        <c:numFmt formatCode="General" sourceLinked="0"/>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solidFill>
                <a:latin typeface="Arial" panose="020B0604020202020204" pitchFamily="34" charset="0"/>
                <a:ea typeface="+mn-ea"/>
                <a:cs typeface="Arial" panose="020B0604020202020204" pitchFamily="34" charset="0"/>
              </a:defRPr>
            </a:pPr>
            <a:endParaRPr lang="en-US"/>
          </a:p>
        </c:txPr>
        <c:crossAx val="1101955759"/>
        <c:crosses val="autoZero"/>
        <c:crossBetween val="between"/>
      </c:valAx>
      <c:spPr>
        <a:noFill/>
        <a:ln>
          <a:noFill/>
        </a:ln>
        <a:effectLst/>
      </c:spPr>
    </c:plotArea>
    <c:legend>
      <c:legendPos val="b"/>
      <c:legendEntry>
        <c:idx val="0"/>
        <c:txPr>
          <a:bodyPr rot="0" spcFirstLastPara="1" vertOverflow="ellipsis" vert="horz" wrap="square" anchor="ctr" anchorCtr="1"/>
          <a:lstStyle/>
          <a:p>
            <a:pPr>
              <a:defRPr sz="1000" b="0" i="0" u="none" strike="noStrike" kern="1200" baseline="0">
                <a:solidFill>
                  <a:schemeClr val="tx1"/>
                </a:solidFill>
                <a:latin typeface="Arial" panose="020B0604020202020204" pitchFamily="34" charset="0"/>
                <a:ea typeface="+mn-ea"/>
                <a:cs typeface="Arial" panose="020B0604020202020204" pitchFamily="34" charset="0"/>
              </a:defRPr>
            </a:pPr>
            <a:endParaRPr lang="en-US"/>
          </a:p>
        </c:txPr>
      </c:legendEntry>
      <c:layout>
        <c:manualLayout>
          <c:xMode val="edge"/>
          <c:yMode val="edge"/>
          <c:x val="0.78256410256410258"/>
          <c:y val="0.93157628051959462"/>
          <c:w val="0.20410256410256411"/>
          <c:h val="5.2917439436987727E-2"/>
        </c:manualLayout>
      </c:layout>
      <c:overlay val="0"/>
      <c:spPr>
        <a:noFill/>
        <a:ln>
          <a:solidFill>
            <a:schemeClr val="tx1"/>
          </a:solidFill>
        </a:ln>
        <a:effectLst/>
      </c:spPr>
      <c:txPr>
        <a:bodyPr rot="0" spcFirstLastPara="1" vertOverflow="ellipsis" vert="horz" wrap="square" anchor="ctr" anchorCtr="1"/>
        <a:lstStyle/>
        <a:p>
          <a:pPr>
            <a:defRPr sz="1000" b="0" i="0" u="none" strike="noStrike" kern="1200" baseline="0">
              <a:solidFill>
                <a:schemeClr val="tx1"/>
              </a:solidFill>
              <a:latin typeface="Arial" panose="020B0604020202020204" pitchFamily="34" charset="0"/>
              <a:ea typeface="+mn-ea"/>
              <a:cs typeface="Arial" panose="020B0604020202020204" pitchFamily="34" charset="0"/>
            </a:defRPr>
          </a:pPr>
          <a:endParaRPr lang="en-US"/>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solidFill>
      <a:round/>
    </a:ln>
    <a:effectLst/>
  </c:spPr>
  <c:txPr>
    <a:bodyPr/>
    <a:lstStyle/>
    <a:p>
      <a:pPr>
        <a:defRPr>
          <a:solidFill>
            <a:schemeClr val="tx1"/>
          </a:solidFill>
          <a:latin typeface="Arial" panose="020B0604020202020204" pitchFamily="34" charset="0"/>
          <a:cs typeface="Arial" panose="020B0604020202020204" pitchFamily="34" charset="0"/>
        </a:defRPr>
      </a:pPr>
      <a:endParaRPr lang="en-US"/>
    </a:p>
  </c:txPr>
  <c:externalData r:id="rId3">
    <c:autoUpdate val="0"/>
  </c:externalData>
  <c:userShapes r:id="rId4"/>
</c:chartSpace>
</file>

<file path=word/charts/chart9.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lineChart>
        <c:grouping val="standard"/>
        <c:varyColors val="0"/>
        <c:ser>
          <c:idx val="1"/>
          <c:order val="0"/>
          <c:tx>
            <c:strRef>
              <c:f>'T2 (3)'!$B$2</c:f>
              <c:strCache>
                <c:ptCount val="1"/>
                <c:pt idx="0">
                  <c:v>660/470/660</c:v>
                </c:pt>
              </c:strCache>
            </c:strRef>
          </c:tx>
          <c:spPr>
            <a:ln w="28575" cap="rnd">
              <a:solidFill>
                <a:schemeClr val="tx1"/>
              </a:solidFill>
              <a:round/>
            </a:ln>
            <a:effectLst/>
          </c:spPr>
          <c:marker>
            <c:symbol val="none"/>
          </c:marker>
          <c:cat>
            <c:numRef>
              <c:f>'T2 (3)'!$A$113:$A$1013</c:f>
              <c:numCache>
                <c:formatCode>General</c:formatCode>
                <c:ptCount val="901"/>
                <c:pt idx="0">
                  <c:v>300</c:v>
                </c:pt>
                <c:pt idx="1">
                  <c:v>300.5</c:v>
                </c:pt>
                <c:pt idx="2">
                  <c:v>301</c:v>
                </c:pt>
                <c:pt idx="3">
                  <c:v>301.5</c:v>
                </c:pt>
                <c:pt idx="4">
                  <c:v>302</c:v>
                </c:pt>
                <c:pt idx="5">
                  <c:v>302.5</c:v>
                </c:pt>
                <c:pt idx="6">
                  <c:v>303</c:v>
                </c:pt>
                <c:pt idx="7">
                  <c:v>303.5</c:v>
                </c:pt>
                <c:pt idx="8">
                  <c:v>304</c:v>
                </c:pt>
                <c:pt idx="9">
                  <c:v>304.5</c:v>
                </c:pt>
                <c:pt idx="10">
                  <c:v>305</c:v>
                </c:pt>
                <c:pt idx="11">
                  <c:v>305.5</c:v>
                </c:pt>
                <c:pt idx="12">
                  <c:v>306</c:v>
                </c:pt>
                <c:pt idx="13">
                  <c:v>306.5</c:v>
                </c:pt>
                <c:pt idx="14">
                  <c:v>307</c:v>
                </c:pt>
                <c:pt idx="15">
                  <c:v>307.5</c:v>
                </c:pt>
                <c:pt idx="16">
                  <c:v>308</c:v>
                </c:pt>
                <c:pt idx="17">
                  <c:v>308.5</c:v>
                </c:pt>
                <c:pt idx="18">
                  <c:v>309</c:v>
                </c:pt>
                <c:pt idx="19">
                  <c:v>309.5</c:v>
                </c:pt>
                <c:pt idx="20">
                  <c:v>310</c:v>
                </c:pt>
                <c:pt idx="21">
                  <c:v>310.5</c:v>
                </c:pt>
                <c:pt idx="22">
                  <c:v>311</c:v>
                </c:pt>
                <c:pt idx="23">
                  <c:v>311.5</c:v>
                </c:pt>
                <c:pt idx="24">
                  <c:v>312</c:v>
                </c:pt>
                <c:pt idx="25">
                  <c:v>312.5</c:v>
                </c:pt>
                <c:pt idx="26">
                  <c:v>313</c:v>
                </c:pt>
                <c:pt idx="27">
                  <c:v>313.5</c:v>
                </c:pt>
                <c:pt idx="28">
                  <c:v>314</c:v>
                </c:pt>
                <c:pt idx="29">
                  <c:v>314.5</c:v>
                </c:pt>
                <c:pt idx="30">
                  <c:v>315</c:v>
                </c:pt>
                <c:pt idx="31">
                  <c:v>315.5</c:v>
                </c:pt>
                <c:pt idx="32">
                  <c:v>316</c:v>
                </c:pt>
                <c:pt idx="33">
                  <c:v>316.5</c:v>
                </c:pt>
                <c:pt idx="34">
                  <c:v>317</c:v>
                </c:pt>
                <c:pt idx="35">
                  <c:v>317.5</c:v>
                </c:pt>
                <c:pt idx="36">
                  <c:v>318</c:v>
                </c:pt>
                <c:pt idx="37">
                  <c:v>318.5</c:v>
                </c:pt>
                <c:pt idx="38">
                  <c:v>319</c:v>
                </c:pt>
                <c:pt idx="39">
                  <c:v>319.5</c:v>
                </c:pt>
                <c:pt idx="40">
                  <c:v>320</c:v>
                </c:pt>
                <c:pt idx="41">
                  <c:v>320.5</c:v>
                </c:pt>
                <c:pt idx="42">
                  <c:v>321</c:v>
                </c:pt>
                <c:pt idx="43">
                  <c:v>321.5</c:v>
                </c:pt>
                <c:pt idx="44">
                  <c:v>322</c:v>
                </c:pt>
                <c:pt idx="45">
                  <c:v>322.5</c:v>
                </c:pt>
                <c:pt idx="46">
                  <c:v>323</c:v>
                </c:pt>
                <c:pt idx="47">
                  <c:v>323.5</c:v>
                </c:pt>
                <c:pt idx="48">
                  <c:v>324</c:v>
                </c:pt>
                <c:pt idx="49">
                  <c:v>324.5</c:v>
                </c:pt>
                <c:pt idx="50">
                  <c:v>325</c:v>
                </c:pt>
                <c:pt idx="51">
                  <c:v>325.5</c:v>
                </c:pt>
                <c:pt idx="52">
                  <c:v>326</c:v>
                </c:pt>
                <c:pt idx="53">
                  <c:v>326.5</c:v>
                </c:pt>
                <c:pt idx="54">
                  <c:v>327</c:v>
                </c:pt>
                <c:pt idx="55">
                  <c:v>327.5</c:v>
                </c:pt>
                <c:pt idx="56">
                  <c:v>328</c:v>
                </c:pt>
                <c:pt idx="57">
                  <c:v>328.5</c:v>
                </c:pt>
                <c:pt idx="58">
                  <c:v>329</c:v>
                </c:pt>
                <c:pt idx="59">
                  <c:v>329.5</c:v>
                </c:pt>
                <c:pt idx="60">
                  <c:v>330</c:v>
                </c:pt>
                <c:pt idx="61">
                  <c:v>330.5</c:v>
                </c:pt>
                <c:pt idx="62">
                  <c:v>331</c:v>
                </c:pt>
                <c:pt idx="63">
                  <c:v>331.5</c:v>
                </c:pt>
                <c:pt idx="64">
                  <c:v>332</c:v>
                </c:pt>
                <c:pt idx="65">
                  <c:v>332.5</c:v>
                </c:pt>
                <c:pt idx="66">
                  <c:v>333</c:v>
                </c:pt>
                <c:pt idx="67">
                  <c:v>333.5</c:v>
                </c:pt>
                <c:pt idx="68">
                  <c:v>334</c:v>
                </c:pt>
                <c:pt idx="69">
                  <c:v>334.5</c:v>
                </c:pt>
                <c:pt idx="70">
                  <c:v>335</c:v>
                </c:pt>
                <c:pt idx="71">
                  <c:v>335.5</c:v>
                </c:pt>
                <c:pt idx="72">
                  <c:v>336</c:v>
                </c:pt>
                <c:pt idx="73">
                  <c:v>336.5</c:v>
                </c:pt>
                <c:pt idx="74">
                  <c:v>337</c:v>
                </c:pt>
                <c:pt idx="75">
                  <c:v>337.5</c:v>
                </c:pt>
                <c:pt idx="76">
                  <c:v>338</c:v>
                </c:pt>
                <c:pt idx="77">
                  <c:v>338.5</c:v>
                </c:pt>
                <c:pt idx="78">
                  <c:v>339</c:v>
                </c:pt>
                <c:pt idx="79">
                  <c:v>339.5</c:v>
                </c:pt>
                <c:pt idx="80">
                  <c:v>340</c:v>
                </c:pt>
                <c:pt idx="81">
                  <c:v>340.5</c:v>
                </c:pt>
                <c:pt idx="82">
                  <c:v>341</c:v>
                </c:pt>
                <c:pt idx="83">
                  <c:v>341.5</c:v>
                </c:pt>
                <c:pt idx="84">
                  <c:v>342</c:v>
                </c:pt>
                <c:pt idx="85">
                  <c:v>342.5</c:v>
                </c:pt>
                <c:pt idx="86">
                  <c:v>343</c:v>
                </c:pt>
                <c:pt idx="87">
                  <c:v>343.5</c:v>
                </c:pt>
                <c:pt idx="88">
                  <c:v>344</c:v>
                </c:pt>
                <c:pt idx="89">
                  <c:v>344.5</c:v>
                </c:pt>
                <c:pt idx="90">
                  <c:v>345</c:v>
                </c:pt>
                <c:pt idx="91">
                  <c:v>345.5</c:v>
                </c:pt>
                <c:pt idx="92">
                  <c:v>346</c:v>
                </c:pt>
                <c:pt idx="93">
                  <c:v>346.5</c:v>
                </c:pt>
                <c:pt idx="94">
                  <c:v>347</c:v>
                </c:pt>
                <c:pt idx="95">
                  <c:v>347.5</c:v>
                </c:pt>
                <c:pt idx="96">
                  <c:v>348</c:v>
                </c:pt>
                <c:pt idx="97">
                  <c:v>348.5</c:v>
                </c:pt>
                <c:pt idx="98">
                  <c:v>349</c:v>
                </c:pt>
                <c:pt idx="99">
                  <c:v>349.5</c:v>
                </c:pt>
                <c:pt idx="100">
                  <c:v>350</c:v>
                </c:pt>
                <c:pt idx="101">
                  <c:v>350.5</c:v>
                </c:pt>
                <c:pt idx="102">
                  <c:v>351</c:v>
                </c:pt>
                <c:pt idx="103">
                  <c:v>351.5</c:v>
                </c:pt>
                <c:pt idx="104">
                  <c:v>352</c:v>
                </c:pt>
                <c:pt idx="105">
                  <c:v>352.5</c:v>
                </c:pt>
                <c:pt idx="106">
                  <c:v>353</c:v>
                </c:pt>
                <c:pt idx="107">
                  <c:v>353.5</c:v>
                </c:pt>
                <c:pt idx="108">
                  <c:v>354</c:v>
                </c:pt>
                <c:pt idx="109">
                  <c:v>354.5</c:v>
                </c:pt>
                <c:pt idx="110">
                  <c:v>355</c:v>
                </c:pt>
                <c:pt idx="111">
                  <c:v>355.5</c:v>
                </c:pt>
                <c:pt idx="112">
                  <c:v>356</c:v>
                </c:pt>
                <c:pt idx="113">
                  <c:v>356.5</c:v>
                </c:pt>
                <c:pt idx="114">
                  <c:v>357</c:v>
                </c:pt>
                <c:pt idx="115">
                  <c:v>357.5</c:v>
                </c:pt>
                <c:pt idx="116">
                  <c:v>358</c:v>
                </c:pt>
                <c:pt idx="117">
                  <c:v>358.5</c:v>
                </c:pt>
                <c:pt idx="118">
                  <c:v>359</c:v>
                </c:pt>
                <c:pt idx="119">
                  <c:v>359.5</c:v>
                </c:pt>
                <c:pt idx="120">
                  <c:v>360</c:v>
                </c:pt>
                <c:pt idx="121">
                  <c:v>360.5</c:v>
                </c:pt>
                <c:pt idx="122">
                  <c:v>361</c:v>
                </c:pt>
                <c:pt idx="123">
                  <c:v>361.5</c:v>
                </c:pt>
                <c:pt idx="124">
                  <c:v>362</c:v>
                </c:pt>
                <c:pt idx="125">
                  <c:v>362.5</c:v>
                </c:pt>
                <c:pt idx="126">
                  <c:v>363</c:v>
                </c:pt>
                <c:pt idx="127">
                  <c:v>363.5</c:v>
                </c:pt>
                <c:pt idx="128">
                  <c:v>364</c:v>
                </c:pt>
                <c:pt idx="129">
                  <c:v>364.5</c:v>
                </c:pt>
                <c:pt idx="130">
                  <c:v>365</c:v>
                </c:pt>
                <c:pt idx="131">
                  <c:v>365.5</c:v>
                </c:pt>
                <c:pt idx="132">
                  <c:v>366</c:v>
                </c:pt>
                <c:pt idx="133">
                  <c:v>366.5</c:v>
                </c:pt>
                <c:pt idx="134">
                  <c:v>367</c:v>
                </c:pt>
                <c:pt idx="135">
                  <c:v>367.5</c:v>
                </c:pt>
                <c:pt idx="136">
                  <c:v>368</c:v>
                </c:pt>
                <c:pt idx="137">
                  <c:v>368.5</c:v>
                </c:pt>
                <c:pt idx="138">
                  <c:v>369</c:v>
                </c:pt>
                <c:pt idx="139">
                  <c:v>369.5</c:v>
                </c:pt>
                <c:pt idx="140">
                  <c:v>370</c:v>
                </c:pt>
                <c:pt idx="141">
                  <c:v>370.5</c:v>
                </c:pt>
                <c:pt idx="142">
                  <c:v>371</c:v>
                </c:pt>
                <c:pt idx="143">
                  <c:v>371.5</c:v>
                </c:pt>
                <c:pt idx="144">
                  <c:v>372</c:v>
                </c:pt>
                <c:pt idx="145">
                  <c:v>372.5</c:v>
                </c:pt>
                <c:pt idx="146">
                  <c:v>373</c:v>
                </c:pt>
                <c:pt idx="147">
                  <c:v>373.5</c:v>
                </c:pt>
                <c:pt idx="148">
                  <c:v>374</c:v>
                </c:pt>
                <c:pt idx="149">
                  <c:v>374.5</c:v>
                </c:pt>
                <c:pt idx="150">
                  <c:v>375</c:v>
                </c:pt>
                <c:pt idx="151">
                  <c:v>375.5</c:v>
                </c:pt>
                <c:pt idx="152">
                  <c:v>376</c:v>
                </c:pt>
                <c:pt idx="153">
                  <c:v>376.5</c:v>
                </c:pt>
                <c:pt idx="154">
                  <c:v>377</c:v>
                </c:pt>
                <c:pt idx="155">
                  <c:v>377.5</c:v>
                </c:pt>
                <c:pt idx="156">
                  <c:v>378</c:v>
                </c:pt>
                <c:pt idx="157">
                  <c:v>378.5</c:v>
                </c:pt>
                <c:pt idx="158">
                  <c:v>379</c:v>
                </c:pt>
                <c:pt idx="159">
                  <c:v>379.5</c:v>
                </c:pt>
                <c:pt idx="160">
                  <c:v>380</c:v>
                </c:pt>
                <c:pt idx="161">
                  <c:v>380.5</c:v>
                </c:pt>
                <c:pt idx="162">
                  <c:v>381</c:v>
                </c:pt>
                <c:pt idx="163">
                  <c:v>381.5</c:v>
                </c:pt>
                <c:pt idx="164">
                  <c:v>382</c:v>
                </c:pt>
                <c:pt idx="165">
                  <c:v>382.5</c:v>
                </c:pt>
                <c:pt idx="166">
                  <c:v>383</c:v>
                </c:pt>
                <c:pt idx="167">
                  <c:v>383.5</c:v>
                </c:pt>
                <c:pt idx="168">
                  <c:v>384</c:v>
                </c:pt>
                <c:pt idx="169">
                  <c:v>384.5</c:v>
                </c:pt>
                <c:pt idx="170">
                  <c:v>385</c:v>
                </c:pt>
                <c:pt idx="171">
                  <c:v>385.5</c:v>
                </c:pt>
                <c:pt idx="172">
                  <c:v>386</c:v>
                </c:pt>
                <c:pt idx="173">
                  <c:v>386.5</c:v>
                </c:pt>
                <c:pt idx="174">
                  <c:v>387</c:v>
                </c:pt>
                <c:pt idx="175">
                  <c:v>387.5</c:v>
                </c:pt>
                <c:pt idx="176">
                  <c:v>388</c:v>
                </c:pt>
                <c:pt idx="177">
                  <c:v>388.5</c:v>
                </c:pt>
                <c:pt idx="178">
                  <c:v>389</c:v>
                </c:pt>
                <c:pt idx="179">
                  <c:v>389.5</c:v>
                </c:pt>
                <c:pt idx="180">
                  <c:v>390</c:v>
                </c:pt>
                <c:pt idx="181">
                  <c:v>390.5</c:v>
                </c:pt>
                <c:pt idx="182">
                  <c:v>391</c:v>
                </c:pt>
                <c:pt idx="183">
                  <c:v>391.5</c:v>
                </c:pt>
                <c:pt idx="184">
                  <c:v>392</c:v>
                </c:pt>
                <c:pt idx="185">
                  <c:v>392.5</c:v>
                </c:pt>
                <c:pt idx="186">
                  <c:v>393</c:v>
                </c:pt>
                <c:pt idx="187">
                  <c:v>393.5</c:v>
                </c:pt>
                <c:pt idx="188">
                  <c:v>394</c:v>
                </c:pt>
                <c:pt idx="189">
                  <c:v>394.5</c:v>
                </c:pt>
                <c:pt idx="190">
                  <c:v>395</c:v>
                </c:pt>
                <c:pt idx="191">
                  <c:v>395.5</c:v>
                </c:pt>
                <c:pt idx="192">
                  <c:v>396</c:v>
                </c:pt>
                <c:pt idx="193">
                  <c:v>396.5</c:v>
                </c:pt>
                <c:pt idx="194">
                  <c:v>397</c:v>
                </c:pt>
                <c:pt idx="195">
                  <c:v>397.5</c:v>
                </c:pt>
                <c:pt idx="196">
                  <c:v>398</c:v>
                </c:pt>
                <c:pt idx="197">
                  <c:v>398.5</c:v>
                </c:pt>
                <c:pt idx="198">
                  <c:v>399</c:v>
                </c:pt>
                <c:pt idx="199">
                  <c:v>399.5</c:v>
                </c:pt>
                <c:pt idx="200">
                  <c:v>400</c:v>
                </c:pt>
                <c:pt idx="201">
                  <c:v>400.5</c:v>
                </c:pt>
                <c:pt idx="202">
                  <c:v>401</c:v>
                </c:pt>
                <c:pt idx="203">
                  <c:v>401.5</c:v>
                </c:pt>
                <c:pt idx="204">
                  <c:v>402</c:v>
                </c:pt>
                <c:pt idx="205">
                  <c:v>402.5</c:v>
                </c:pt>
                <c:pt idx="206">
                  <c:v>403</c:v>
                </c:pt>
                <c:pt idx="207">
                  <c:v>403.5</c:v>
                </c:pt>
                <c:pt idx="208">
                  <c:v>404</c:v>
                </c:pt>
                <c:pt idx="209">
                  <c:v>404.5</c:v>
                </c:pt>
                <c:pt idx="210">
                  <c:v>405</c:v>
                </c:pt>
                <c:pt idx="211">
                  <c:v>405.5</c:v>
                </c:pt>
                <c:pt idx="212">
                  <c:v>406</c:v>
                </c:pt>
                <c:pt idx="213">
                  <c:v>406.5</c:v>
                </c:pt>
                <c:pt idx="214">
                  <c:v>407</c:v>
                </c:pt>
                <c:pt idx="215">
                  <c:v>407.5</c:v>
                </c:pt>
                <c:pt idx="216">
                  <c:v>408</c:v>
                </c:pt>
                <c:pt idx="217">
                  <c:v>408.5</c:v>
                </c:pt>
                <c:pt idx="218">
                  <c:v>409</c:v>
                </c:pt>
                <c:pt idx="219">
                  <c:v>409.5</c:v>
                </c:pt>
                <c:pt idx="220">
                  <c:v>410</c:v>
                </c:pt>
                <c:pt idx="221">
                  <c:v>410.5</c:v>
                </c:pt>
                <c:pt idx="222">
                  <c:v>411</c:v>
                </c:pt>
                <c:pt idx="223">
                  <c:v>411.5</c:v>
                </c:pt>
                <c:pt idx="224">
                  <c:v>412</c:v>
                </c:pt>
                <c:pt idx="225">
                  <c:v>412.5</c:v>
                </c:pt>
                <c:pt idx="226">
                  <c:v>413</c:v>
                </c:pt>
                <c:pt idx="227">
                  <c:v>413.5</c:v>
                </c:pt>
                <c:pt idx="228">
                  <c:v>414</c:v>
                </c:pt>
                <c:pt idx="229">
                  <c:v>414.5</c:v>
                </c:pt>
                <c:pt idx="230">
                  <c:v>415</c:v>
                </c:pt>
                <c:pt idx="231">
                  <c:v>415.5</c:v>
                </c:pt>
                <c:pt idx="232">
                  <c:v>416</c:v>
                </c:pt>
                <c:pt idx="233">
                  <c:v>416.5</c:v>
                </c:pt>
                <c:pt idx="234">
                  <c:v>417</c:v>
                </c:pt>
                <c:pt idx="235">
                  <c:v>417.5</c:v>
                </c:pt>
                <c:pt idx="236">
                  <c:v>418</c:v>
                </c:pt>
                <c:pt idx="237">
                  <c:v>418.5</c:v>
                </c:pt>
                <c:pt idx="238">
                  <c:v>419</c:v>
                </c:pt>
                <c:pt idx="239">
                  <c:v>419.5</c:v>
                </c:pt>
                <c:pt idx="240">
                  <c:v>420</c:v>
                </c:pt>
                <c:pt idx="241">
                  <c:v>420.5</c:v>
                </c:pt>
                <c:pt idx="242">
                  <c:v>421</c:v>
                </c:pt>
                <c:pt idx="243">
                  <c:v>421.5</c:v>
                </c:pt>
                <c:pt idx="244">
                  <c:v>422</c:v>
                </c:pt>
                <c:pt idx="245">
                  <c:v>422.5</c:v>
                </c:pt>
                <c:pt idx="246">
                  <c:v>423</c:v>
                </c:pt>
                <c:pt idx="247">
                  <c:v>423.5</c:v>
                </c:pt>
                <c:pt idx="248">
                  <c:v>424</c:v>
                </c:pt>
                <c:pt idx="249">
                  <c:v>424.5</c:v>
                </c:pt>
                <c:pt idx="250">
                  <c:v>425</c:v>
                </c:pt>
                <c:pt idx="251">
                  <c:v>425.5</c:v>
                </c:pt>
                <c:pt idx="252">
                  <c:v>426</c:v>
                </c:pt>
                <c:pt idx="253">
                  <c:v>426.5</c:v>
                </c:pt>
                <c:pt idx="254">
                  <c:v>427</c:v>
                </c:pt>
                <c:pt idx="255">
                  <c:v>427.5</c:v>
                </c:pt>
                <c:pt idx="256">
                  <c:v>428</c:v>
                </c:pt>
                <c:pt idx="257">
                  <c:v>428.5</c:v>
                </c:pt>
                <c:pt idx="258">
                  <c:v>429</c:v>
                </c:pt>
                <c:pt idx="259">
                  <c:v>429.5</c:v>
                </c:pt>
                <c:pt idx="260">
                  <c:v>430</c:v>
                </c:pt>
                <c:pt idx="261">
                  <c:v>430.5</c:v>
                </c:pt>
                <c:pt idx="262">
                  <c:v>431</c:v>
                </c:pt>
                <c:pt idx="263">
                  <c:v>431.5</c:v>
                </c:pt>
                <c:pt idx="264">
                  <c:v>432</c:v>
                </c:pt>
                <c:pt idx="265">
                  <c:v>432.5</c:v>
                </c:pt>
                <c:pt idx="266">
                  <c:v>433</c:v>
                </c:pt>
                <c:pt idx="267">
                  <c:v>433.5</c:v>
                </c:pt>
                <c:pt idx="268">
                  <c:v>434</c:v>
                </c:pt>
                <c:pt idx="269">
                  <c:v>434.5</c:v>
                </c:pt>
                <c:pt idx="270">
                  <c:v>435</c:v>
                </c:pt>
                <c:pt idx="271">
                  <c:v>435.5</c:v>
                </c:pt>
                <c:pt idx="272">
                  <c:v>436</c:v>
                </c:pt>
                <c:pt idx="273">
                  <c:v>436.5</c:v>
                </c:pt>
                <c:pt idx="274">
                  <c:v>437</c:v>
                </c:pt>
                <c:pt idx="275">
                  <c:v>437.5</c:v>
                </c:pt>
                <c:pt idx="276">
                  <c:v>438</c:v>
                </c:pt>
                <c:pt idx="277">
                  <c:v>438.5</c:v>
                </c:pt>
                <c:pt idx="278">
                  <c:v>439</c:v>
                </c:pt>
                <c:pt idx="279">
                  <c:v>439.5</c:v>
                </c:pt>
                <c:pt idx="280">
                  <c:v>440</c:v>
                </c:pt>
                <c:pt idx="281">
                  <c:v>440.5</c:v>
                </c:pt>
                <c:pt idx="282">
                  <c:v>441</c:v>
                </c:pt>
                <c:pt idx="283">
                  <c:v>441.5</c:v>
                </c:pt>
                <c:pt idx="284">
                  <c:v>442</c:v>
                </c:pt>
                <c:pt idx="285">
                  <c:v>442.5</c:v>
                </c:pt>
                <c:pt idx="286">
                  <c:v>443</c:v>
                </c:pt>
                <c:pt idx="287">
                  <c:v>443.5</c:v>
                </c:pt>
                <c:pt idx="288">
                  <c:v>444</c:v>
                </c:pt>
                <c:pt idx="289">
                  <c:v>444.5</c:v>
                </c:pt>
                <c:pt idx="290">
                  <c:v>445</c:v>
                </c:pt>
                <c:pt idx="291">
                  <c:v>445.5</c:v>
                </c:pt>
                <c:pt idx="292">
                  <c:v>446</c:v>
                </c:pt>
                <c:pt idx="293">
                  <c:v>446.5</c:v>
                </c:pt>
                <c:pt idx="294">
                  <c:v>447</c:v>
                </c:pt>
                <c:pt idx="295">
                  <c:v>447.5</c:v>
                </c:pt>
                <c:pt idx="296">
                  <c:v>448</c:v>
                </c:pt>
                <c:pt idx="297">
                  <c:v>448.5</c:v>
                </c:pt>
                <c:pt idx="298">
                  <c:v>449</c:v>
                </c:pt>
                <c:pt idx="299">
                  <c:v>449.5</c:v>
                </c:pt>
                <c:pt idx="300">
                  <c:v>450</c:v>
                </c:pt>
                <c:pt idx="301">
                  <c:v>450.5</c:v>
                </c:pt>
                <c:pt idx="302">
                  <c:v>451</c:v>
                </c:pt>
                <c:pt idx="303">
                  <c:v>451.5</c:v>
                </c:pt>
                <c:pt idx="304">
                  <c:v>452</c:v>
                </c:pt>
                <c:pt idx="305">
                  <c:v>452.5</c:v>
                </c:pt>
                <c:pt idx="306">
                  <c:v>453</c:v>
                </c:pt>
                <c:pt idx="307">
                  <c:v>453.5</c:v>
                </c:pt>
                <c:pt idx="308">
                  <c:v>454</c:v>
                </c:pt>
                <c:pt idx="309">
                  <c:v>454.5</c:v>
                </c:pt>
                <c:pt idx="310">
                  <c:v>455</c:v>
                </c:pt>
                <c:pt idx="311">
                  <c:v>455.5</c:v>
                </c:pt>
                <c:pt idx="312">
                  <c:v>456</c:v>
                </c:pt>
                <c:pt idx="313">
                  <c:v>456.5</c:v>
                </c:pt>
                <c:pt idx="314">
                  <c:v>457</c:v>
                </c:pt>
                <c:pt idx="315">
                  <c:v>457.5</c:v>
                </c:pt>
                <c:pt idx="316">
                  <c:v>458</c:v>
                </c:pt>
                <c:pt idx="317">
                  <c:v>458.5</c:v>
                </c:pt>
                <c:pt idx="318">
                  <c:v>459</c:v>
                </c:pt>
                <c:pt idx="319">
                  <c:v>459.5</c:v>
                </c:pt>
                <c:pt idx="320">
                  <c:v>460</c:v>
                </c:pt>
                <c:pt idx="321">
                  <c:v>460.5</c:v>
                </c:pt>
                <c:pt idx="322">
                  <c:v>461</c:v>
                </c:pt>
                <c:pt idx="323">
                  <c:v>461.5</c:v>
                </c:pt>
                <c:pt idx="324">
                  <c:v>462</c:v>
                </c:pt>
                <c:pt idx="325">
                  <c:v>462.5</c:v>
                </c:pt>
                <c:pt idx="326">
                  <c:v>463</c:v>
                </c:pt>
                <c:pt idx="327">
                  <c:v>463.5</c:v>
                </c:pt>
                <c:pt idx="328">
                  <c:v>464</c:v>
                </c:pt>
                <c:pt idx="329">
                  <c:v>464.5</c:v>
                </c:pt>
                <c:pt idx="330">
                  <c:v>465</c:v>
                </c:pt>
                <c:pt idx="331">
                  <c:v>465.5</c:v>
                </c:pt>
                <c:pt idx="332">
                  <c:v>466</c:v>
                </c:pt>
                <c:pt idx="333">
                  <c:v>466.5</c:v>
                </c:pt>
                <c:pt idx="334">
                  <c:v>467</c:v>
                </c:pt>
                <c:pt idx="335">
                  <c:v>467.5</c:v>
                </c:pt>
                <c:pt idx="336">
                  <c:v>468</c:v>
                </c:pt>
                <c:pt idx="337">
                  <c:v>468.5</c:v>
                </c:pt>
                <c:pt idx="338">
                  <c:v>469</c:v>
                </c:pt>
                <c:pt idx="339">
                  <c:v>469.5</c:v>
                </c:pt>
                <c:pt idx="340">
                  <c:v>470</c:v>
                </c:pt>
                <c:pt idx="341">
                  <c:v>470.5</c:v>
                </c:pt>
                <c:pt idx="342">
                  <c:v>471</c:v>
                </c:pt>
                <c:pt idx="343">
                  <c:v>471.5</c:v>
                </c:pt>
                <c:pt idx="344">
                  <c:v>472</c:v>
                </c:pt>
                <c:pt idx="345">
                  <c:v>472.5</c:v>
                </c:pt>
                <c:pt idx="346">
                  <c:v>473</c:v>
                </c:pt>
                <c:pt idx="347">
                  <c:v>473.5</c:v>
                </c:pt>
                <c:pt idx="348">
                  <c:v>474</c:v>
                </c:pt>
                <c:pt idx="349">
                  <c:v>474.5</c:v>
                </c:pt>
                <c:pt idx="350">
                  <c:v>475</c:v>
                </c:pt>
                <c:pt idx="351">
                  <c:v>475.5</c:v>
                </c:pt>
                <c:pt idx="352">
                  <c:v>476</c:v>
                </c:pt>
                <c:pt idx="353">
                  <c:v>476.5</c:v>
                </c:pt>
                <c:pt idx="354">
                  <c:v>477</c:v>
                </c:pt>
                <c:pt idx="355">
                  <c:v>477.5</c:v>
                </c:pt>
                <c:pt idx="356">
                  <c:v>478</c:v>
                </c:pt>
                <c:pt idx="357">
                  <c:v>478.5</c:v>
                </c:pt>
                <c:pt idx="358">
                  <c:v>479</c:v>
                </c:pt>
                <c:pt idx="359">
                  <c:v>479.5</c:v>
                </c:pt>
                <c:pt idx="360">
                  <c:v>480</c:v>
                </c:pt>
                <c:pt idx="361">
                  <c:v>480.5</c:v>
                </c:pt>
                <c:pt idx="362">
                  <c:v>481</c:v>
                </c:pt>
                <c:pt idx="363">
                  <c:v>481.5</c:v>
                </c:pt>
                <c:pt idx="364">
                  <c:v>482</c:v>
                </c:pt>
                <c:pt idx="365">
                  <c:v>482.5</c:v>
                </c:pt>
                <c:pt idx="366">
                  <c:v>483</c:v>
                </c:pt>
                <c:pt idx="367">
                  <c:v>483.5</c:v>
                </c:pt>
                <c:pt idx="368">
                  <c:v>484</c:v>
                </c:pt>
                <c:pt idx="369">
                  <c:v>484.5</c:v>
                </c:pt>
                <c:pt idx="370">
                  <c:v>485</c:v>
                </c:pt>
                <c:pt idx="371">
                  <c:v>485.5</c:v>
                </c:pt>
                <c:pt idx="372">
                  <c:v>486</c:v>
                </c:pt>
                <c:pt idx="373">
                  <c:v>486.5</c:v>
                </c:pt>
                <c:pt idx="374">
                  <c:v>487</c:v>
                </c:pt>
                <c:pt idx="375">
                  <c:v>487.5</c:v>
                </c:pt>
                <c:pt idx="376">
                  <c:v>488</c:v>
                </c:pt>
                <c:pt idx="377">
                  <c:v>488.5</c:v>
                </c:pt>
                <c:pt idx="378">
                  <c:v>489</c:v>
                </c:pt>
                <c:pt idx="379">
                  <c:v>489.5</c:v>
                </c:pt>
                <c:pt idx="380">
                  <c:v>490</c:v>
                </c:pt>
                <c:pt idx="381">
                  <c:v>490.5</c:v>
                </c:pt>
                <c:pt idx="382">
                  <c:v>491</c:v>
                </c:pt>
                <c:pt idx="383">
                  <c:v>491.5</c:v>
                </c:pt>
                <c:pt idx="384">
                  <c:v>492</c:v>
                </c:pt>
                <c:pt idx="385">
                  <c:v>492.5</c:v>
                </c:pt>
                <c:pt idx="386">
                  <c:v>493</c:v>
                </c:pt>
                <c:pt idx="387">
                  <c:v>493.5</c:v>
                </c:pt>
                <c:pt idx="388">
                  <c:v>494</c:v>
                </c:pt>
                <c:pt idx="389">
                  <c:v>494.5</c:v>
                </c:pt>
                <c:pt idx="390">
                  <c:v>495</c:v>
                </c:pt>
                <c:pt idx="391">
                  <c:v>495.5</c:v>
                </c:pt>
                <c:pt idx="392">
                  <c:v>496</c:v>
                </c:pt>
                <c:pt idx="393">
                  <c:v>496.5</c:v>
                </c:pt>
                <c:pt idx="394">
                  <c:v>497</c:v>
                </c:pt>
                <c:pt idx="395">
                  <c:v>497.5</c:v>
                </c:pt>
                <c:pt idx="396">
                  <c:v>498</c:v>
                </c:pt>
                <c:pt idx="397">
                  <c:v>498.5</c:v>
                </c:pt>
                <c:pt idx="398">
                  <c:v>499</c:v>
                </c:pt>
                <c:pt idx="399">
                  <c:v>499.5</c:v>
                </c:pt>
                <c:pt idx="400">
                  <c:v>500</c:v>
                </c:pt>
                <c:pt idx="401">
                  <c:v>500.5</c:v>
                </c:pt>
                <c:pt idx="402">
                  <c:v>501</c:v>
                </c:pt>
                <c:pt idx="403">
                  <c:v>501.5</c:v>
                </c:pt>
                <c:pt idx="404">
                  <c:v>502</c:v>
                </c:pt>
                <c:pt idx="405">
                  <c:v>502.5</c:v>
                </c:pt>
                <c:pt idx="406">
                  <c:v>503</c:v>
                </c:pt>
                <c:pt idx="407">
                  <c:v>503.5</c:v>
                </c:pt>
                <c:pt idx="408">
                  <c:v>504</c:v>
                </c:pt>
                <c:pt idx="409">
                  <c:v>504.5</c:v>
                </c:pt>
                <c:pt idx="410">
                  <c:v>505</c:v>
                </c:pt>
                <c:pt idx="411">
                  <c:v>505.5</c:v>
                </c:pt>
                <c:pt idx="412">
                  <c:v>506</c:v>
                </c:pt>
                <c:pt idx="413">
                  <c:v>506.5</c:v>
                </c:pt>
                <c:pt idx="414">
                  <c:v>507</c:v>
                </c:pt>
                <c:pt idx="415">
                  <c:v>507.5</c:v>
                </c:pt>
                <c:pt idx="416">
                  <c:v>508</c:v>
                </c:pt>
                <c:pt idx="417">
                  <c:v>508.5</c:v>
                </c:pt>
                <c:pt idx="418">
                  <c:v>509</c:v>
                </c:pt>
                <c:pt idx="419">
                  <c:v>509.5</c:v>
                </c:pt>
                <c:pt idx="420">
                  <c:v>510</c:v>
                </c:pt>
                <c:pt idx="421">
                  <c:v>510.5</c:v>
                </c:pt>
                <c:pt idx="422">
                  <c:v>511</c:v>
                </c:pt>
                <c:pt idx="423">
                  <c:v>511.5</c:v>
                </c:pt>
                <c:pt idx="424">
                  <c:v>512</c:v>
                </c:pt>
                <c:pt idx="425">
                  <c:v>512.5</c:v>
                </c:pt>
                <c:pt idx="426">
                  <c:v>513</c:v>
                </c:pt>
                <c:pt idx="427">
                  <c:v>513.5</c:v>
                </c:pt>
                <c:pt idx="428">
                  <c:v>514</c:v>
                </c:pt>
                <c:pt idx="429">
                  <c:v>514.5</c:v>
                </c:pt>
                <c:pt idx="430">
                  <c:v>515</c:v>
                </c:pt>
                <c:pt idx="431">
                  <c:v>515.5</c:v>
                </c:pt>
                <c:pt idx="432">
                  <c:v>516</c:v>
                </c:pt>
                <c:pt idx="433">
                  <c:v>516.5</c:v>
                </c:pt>
                <c:pt idx="434">
                  <c:v>517</c:v>
                </c:pt>
                <c:pt idx="435">
                  <c:v>517.5</c:v>
                </c:pt>
                <c:pt idx="436">
                  <c:v>518</c:v>
                </c:pt>
                <c:pt idx="437">
                  <c:v>518.5</c:v>
                </c:pt>
                <c:pt idx="438">
                  <c:v>519</c:v>
                </c:pt>
                <c:pt idx="439">
                  <c:v>519.5</c:v>
                </c:pt>
                <c:pt idx="440">
                  <c:v>520</c:v>
                </c:pt>
                <c:pt idx="441">
                  <c:v>520.5</c:v>
                </c:pt>
                <c:pt idx="442">
                  <c:v>521</c:v>
                </c:pt>
                <c:pt idx="443">
                  <c:v>521.5</c:v>
                </c:pt>
                <c:pt idx="444">
                  <c:v>522</c:v>
                </c:pt>
                <c:pt idx="445">
                  <c:v>522.5</c:v>
                </c:pt>
                <c:pt idx="446">
                  <c:v>523</c:v>
                </c:pt>
                <c:pt idx="447">
                  <c:v>523.5</c:v>
                </c:pt>
                <c:pt idx="448">
                  <c:v>524</c:v>
                </c:pt>
                <c:pt idx="449">
                  <c:v>524.5</c:v>
                </c:pt>
                <c:pt idx="450">
                  <c:v>525</c:v>
                </c:pt>
                <c:pt idx="451">
                  <c:v>525.5</c:v>
                </c:pt>
                <c:pt idx="452">
                  <c:v>526</c:v>
                </c:pt>
                <c:pt idx="453">
                  <c:v>526.5</c:v>
                </c:pt>
                <c:pt idx="454">
                  <c:v>527</c:v>
                </c:pt>
                <c:pt idx="455">
                  <c:v>527.5</c:v>
                </c:pt>
                <c:pt idx="456">
                  <c:v>528</c:v>
                </c:pt>
                <c:pt idx="457">
                  <c:v>528.5</c:v>
                </c:pt>
                <c:pt idx="458">
                  <c:v>529</c:v>
                </c:pt>
                <c:pt idx="459">
                  <c:v>529.5</c:v>
                </c:pt>
                <c:pt idx="460">
                  <c:v>530</c:v>
                </c:pt>
                <c:pt idx="461">
                  <c:v>530.5</c:v>
                </c:pt>
                <c:pt idx="462">
                  <c:v>531</c:v>
                </c:pt>
                <c:pt idx="463">
                  <c:v>531.5</c:v>
                </c:pt>
                <c:pt idx="464">
                  <c:v>532</c:v>
                </c:pt>
                <c:pt idx="465">
                  <c:v>532.5</c:v>
                </c:pt>
                <c:pt idx="466">
                  <c:v>533</c:v>
                </c:pt>
                <c:pt idx="467">
                  <c:v>533.5</c:v>
                </c:pt>
                <c:pt idx="468">
                  <c:v>534</c:v>
                </c:pt>
                <c:pt idx="469">
                  <c:v>534.5</c:v>
                </c:pt>
                <c:pt idx="470">
                  <c:v>535</c:v>
                </c:pt>
                <c:pt idx="471">
                  <c:v>535.5</c:v>
                </c:pt>
                <c:pt idx="472">
                  <c:v>536</c:v>
                </c:pt>
                <c:pt idx="473">
                  <c:v>536.5</c:v>
                </c:pt>
                <c:pt idx="474">
                  <c:v>537</c:v>
                </c:pt>
                <c:pt idx="475">
                  <c:v>537.5</c:v>
                </c:pt>
                <c:pt idx="476">
                  <c:v>538</c:v>
                </c:pt>
                <c:pt idx="477">
                  <c:v>538.5</c:v>
                </c:pt>
                <c:pt idx="478">
                  <c:v>539</c:v>
                </c:pt>
                <c:pt idx="479">
                  <c:v>539.5</c:v>
                </c:pt>
                <c:pt idx="480">
                  <c:v>540</c:v>
                </c:pt>
                <c:pt idx="481">
                  <c:v>540.5</c:v>
                </c:pt>
                <c:pt idx="482">
                  <c:v>541</c:v>
                </c:pt>
                <c:pt idx="483">
                  <c:v>541.5</c:v>
                </c:pt>
                <c:pt idx="484">
                  <c:v>542</c:v>
                </c:pt>
                <c:pt idx="485">
                  <c:v>542.5</c:v>
                </c:pt>
                <c:pt idx="486">
                  <c:v>543</c:v>
                </c:pt>
                <c:pt idx="487">
                  <c:v>543.5</c:v>
                </c:pt>
                <c:pt idx="488">
                  <c:v>544</c:v>
                </c:pt>
                <c:pt idx="489">
                  <c:v>544.5</c:v>
                </c:pt>
                <c:pt idx="490">
                  <c:v>545</c:v>
                </c:pt>
                <c:pt idx="491">
                  <c:v>545.5</c:v>
                </c:pt>
                <c:pt idx="492">
                  <c:v>546</c:v>
                </c:pt>
                <c:pt idx="493">
                  <c:v>546.5</c:v>
                </c:pt>
                <c:pt idx="494">
                  <c:v>547</c:v>
                </c:pt>
                <c:pt idx="495">
                  <c:v>547.5</c:v>
                </c:pt>
                <c:pt idx="496">
                  <c:v>548</c:v>
                </c:pt>
                <c:pt idx="497">
                  <c:v>548.5</c:v>
                </c:pt>
                <c:pt idx="498">
                  <c:v>549</c:v>
                </c:pt>
                <c:pt idx="499">
                  <c:v>549.5</c:v>
                </c:pt>
                <c:pt idx="500">
                  <c:v>550</c:v>
                </c:pt>
                <c:pt idx="501">
                  <c:v>550.5</c:v>
                </c:pt>
                <c:pt idx="502">
                  <c:v>551</c:v>
                </c:pt>
                <c:pt idx="503">
                  <c:v>551.5</c:v>
                </c:pt>
                <c:pt idx="504">
                  <c:v>552</c:v>
                </c:pt>
                <c:pt idx="505">
                  <c:v>552.5</c:v>
                </c:pt>
                <c:pt idx="506">
                  <c:v>553</c:v>
                </c:pt>
                <c:pt idx="507">
                  <c:v>553.5</c:v>
                </c:pt>
                <c:pt idx="508">
                  <c:v>554</c:v>
                </c:pt>
                <c:pt idx="509">
                  <c:v>554.5</c:v>
                </c:pt>
                <c:pt idx="510">
                  <c:v>555</c:v>
                </c:pt>
                <c:pt idx="511">
                  <c:v>555.5</c:v>
                </c:pt>
                <c:pt idx="512">
                  <c:v>556</c:v>
                </c:pt>
                <c:pt idx="513">
                  <c:v>556.5</c:v>
                </c:pt>
                <c:pt idx="514">
                  <c:v>557</c:v>
                </c:pt>
                <c:pt idx="515">
                  <c:v>557.5</c:v>
                </c:pt>
                <c:pt idx="516">
                  <c:v>558</c:v>
                </c:pt>
                <c:pt idx="517">
                  <c:v>558.5</c:v>
                </c:pt>
                <c:pt idx="518">
                  <c:v>559</c:v>
                </c:pt>
                <c:pt idx="519">
                  <c:v>559.5</c:v>
                </c:pt>
                <c:pt idx="520">
                  <c:v>560</c:v>
                </c:pt>
                <c:pt idx="521">
                  <c:v>560.5</c:v>
                </c:pt>
                <c:pt idx="522">
                  <c:v>561</c:v>
                </c:pt>
                <c:pt idx="523">
                  <c:v>561.5</c:v>
                </c:pt>
                <c:pt idx="524">
                  <c:v>562</c:v>
                </c:pt>
                <c:pt idx="525">
                  <c:v>562.5</c:v>
                </c:pt>
                <c:pt idx="526">
                  <c:v>563</c:v>
                </c:pt>
                <c:pt idx="527">
                  <c:v>563.5</c:v>
                </c:pt>
                <c:pt idx="528">
                  <c:v>564</c:v>
                </c:pt>
                <c:pt idx="529">
                  <c:v>564.5</c:v>
                </c:pt>
                <c:pt idx="530">
                  <c:v>565</c:v>
                </c:pt>
                <c:pt idx="531">
                  <c:v>565.5</c:v>
                </c:pt>
                <c:pt idx="532">
                  <c:v>566</c:v>
                </c:pt>
                <c:pt idx="533">
                  <c:v>566.5</c:v>
                </c:pt>
                <c:pt idx="534">
                  <c:v>567</c:v>
                </c:pt>
                <c:pt idx="535">
                  <c:v>567.5</c:v>
                </c:pt>
                <c:pt idx="536">
                  <c:v>568</c:v>
                </c:pt>
                <c:pt idx="537">
                  <c:v>568.5</c:v>
                </c:pt>
                <c:pt idx="538">
                  <c:v>569</c:v>
                </c:pt>
                <c:pt idx="539">
                  <c:v>569.5</c:v>
                </c:pt>
                <c:pt idx="540">
                  <c:v>570</c:v>
                </c:pt>
                <c:pt idx="541">
                  <c:v>570.5</c:v>
                </c:pt>
                <c:pt idx="542">
                  <c:v>571</c:v>
                </c:pt>
                <c:pt idx="543">
                  <c:v>571.5</c:v>
                </c:pt>
                <c:pt idx="544">
                  <c:v>572</c:v>
                </c:pt>
                <c:pt idx="545">
                  <c:v>572.5</c:v>
                </c:pt>
                <c:pt idx="546">
                  <c:v>573</c:v>
                </c:pt>
                <c:pt idx="547">
                  <c:v>573.5</c:v>
                </c:pt>
                <c:pt idx="548">
                  <c:v>574</c:v>
                </c:pt>
                <c:pt idx="549">
                  <c:v>574.5</c:v>
                </c:pt>
                <c:pt idx="550">
                  <c:v>575</c:v>
                </c:pt>
                <c:pt idx="551">
                  <c:v>575.5</c:v>
                </c:pt>
                <c:pt idx="552">
                  <c:v>576</c:v>
                </c:pt>
                <c:pt idx="553">
                  <c:v>576.5</c:v>
                </c:pt>
                <c:pt idx="554">
                  <c:v>577</c:v>
                </c:pt>
                <c:pt idx="555">
                  <c:v>577.5</c:v>
                </c:pt>
                <c:pt idx="556">
                  <c:v>578</c:v>
                </c:pt>
                <c:pt idx="557">
                  <c:v>578.5</c:v>
                </c:pt>
                <c:pt idx="558">
                  <c:v>579</c:v>
                </c:pt>
                <c:pt idx="559">
                  <c:v>579.5</c:v>
                </c:pt>
                <c:pt idx="560">
                  <c:v>580</c:v>
                </c:pt>
                <c:pt idx="561">
                  <c:v>580.5</c:v>
                </c:pt>
                <c:pt idx="562">
                  <c:v>581</c:v>
                </c:pt>
                <c:pt idx="563">
                  <c:v>581.5</c:v>
                </c:pt>
                <c:pt idx="564">
                  <c:v>582</c:v>
                </c:pt>
                <c:pt idx="565">
                  <c:v>582.5</c:v>
                </c:pt>
                <c:pt idx="566">
                  <c:v>583</c:v>
                </c:pt>
                <c:pt idx="567">
                  <c:v>583.5</c:v>
                </c:pt>
                <c:pt idx="568">
                  <c:v>584</c:v>
                </c:pt>
                <c:pt idx="569">
                  <c:v>584.5</c:v>
                </c:pt>
                <c:pt idx="570">
                  <c:v>585</c:v>
                </c:pt>
                <c:pt idx="571">
                  <c:v>585.5</c:v>
                </c:pt>
                <c:pt idx="572">
                  <c:v>586</c:v>
                </c:pt>
                <c:pt idx="573">
                  <c:v>586.5</c:v>
                </c:pt>
                <c:pt idx="574">
                  <c:v>587</c:v>
                </c:pt>
                <c:pt idx="575">
                  <c:v>587.5</c:v>
                </c:pt>
                <c:pt idx="576">
                  <c:v>588</c:v>
                </c:pt>
                <c:pt idx="577">
                  <c:v>588.5</c:v>
                </c:pt>
                <c:pt idx="578">
                  <c:v>589</c:v>
                </c:pt>
                <c:pt idx="579">
                  <c:v>589.5</c:v>
                </c:pt>
                <c:pt idx="580">
                  <c:v>590</c:v>
                </c:pt>
                <c:pt idx="581">
                  <c:v>590.5</c:v>
                </c:pt>
                <c:pt idx="582">
                  <c:v>591</c:v>
                </c:pt>
                <c:pt idx="583">
                  <c:v>591.5</c:v>
                </c:pt>
                <c:pt idx="584">
                  <c:v>592</c:v>
                </c:pt>
                <c:pt idx="585">
                  <c:v>592.5</c:v>
                </c:pt>
                <c:pt idx="586">
                  <c:v>593</c:v>
                </c:pt>
                <c:pt idx="587">
                  <c:v>593.5</c:v>
                </c:pt>
                <c:pt idx="588">
                  <c:v>594</c:v>
                </c:pt>
                <c:pt idx="589">
                  <c:v>594.5</c:v>
                </c:pt>
                <c:pt idx="590">
                  <c:v>595</c:v>
                </c:pt>
                <c:pt idx="591">
                  <c:v>595.5</c:v>
                </c:pt>
                <c:pt idx="592">
                  <c:v>596</c:v>
                </c:pt>
                <c:pt idx="593">
                  <c:v>596.5</c:v>
                </c:pt>
                <c:pt idx="594">
                  <c:v>597</c:v>
                </c:pt>
                <c:pt idx="595">
                  <c:v>597.5</c:v>
                </c:pt>
                <c:pt idx="596">
                  <c:v>598</c:v>
                </c:pt>
                <c:pt idx="597">
                  <c:v>598.5</c:v>
                </c:pt>
                <c:pt idx="598">
                  <c:v>599</c:v>
                </c:pt>
                <c:pt idx="599">
                  <c:v>599.5</c:v>
                </c:pt>
                <c:pt idx="600">
                  <c:v>600</c:v>
                </c:pt>
                <c:pt idx="601">
                  <c:v>600.5</c:v>
                </c:pt>
                <c:pt idx="602">
                  <c:v>601</c:v>
                </c:pt>
                <c:pt idx="603">
                  <c:v>601.5</c:v>
                </c:pt>
                <c:pt idx="604">
                  <c:v>602</c:v>
                </c:pt>
                <c:pt idx="605">
                  <c:v>602.5</c:v>
                </c:pt>
                <c:pt idx="606">
                  <c:v>603</c:v>
                </c:pt>
                <c:pt idx="607">
                  <c:v>603.5</c:v>
                </c:pt>
                <c:pt idx="608">
                  <c:v>604</c:v>
                </c:pt>
                <c:pt idx="609">
                  <c:v>604.5</c:v>
                </c:pt>
                <c:pt idx="610">
                  <c:v>605</c:v>
                </c:pt>
                <c:pt idx="611">
                  <c:v>605.5</c:v>
                </c:pt>
                <c:pt idx="612">
                  <c:v>606</c:v>
                </c:pt>
                <c:pt idx="613">
                  <c:v>606.5</c:v>
                </c:pt>
                <c:pt idx="614">
                  <c:v>607</c:v>
                </c:pt>
                <c:pt idx="615">
                  <c:v>607.5</c:v>
                </c:pt>
                <c:pt idx="616">
                  <c:v>608</c:v>
                </c:pt>
                <c:pt idx="617">
                  <c:v>608.5</c:v>
                </c:pt>
                <c:pt idx="618">
                  <c:v>609</c:v>
                </c:pt>
                <c:pt idx="619">
                  <c:v>609.5</c:v>
                </c:pt>
                <c:pt idx="620">
                  <c:v>610</c:v>
                </c:pt>
                <c:pt idx="621">
                  <c:v>610.5</c:v>
                </c:pt>
                <c:pt idx="622">
                  <c:v>611</c:v>
                </c:pt>
                <c:pt idx="623">
                  <c:v>611.5</c:v>
                </c:pt>
                <c:pt idx="624">
                  <c:v>612</c:v>
                </c:pt>
                <c:pt idx="625">
                  <c:v>612.5</c:v>
                </c:pt>
                <c:pt idx="626">
                  <c:v>613</c:v>
                </c:pt>
                <c:pt idx="627">
                  <c:v>613.5</c:v>
                </c:pt>
                <c:pt idx="628">
                  <c:v>614</c:v>
                </c:pt>
                <c:pt idx="629">
                  <c:v>614.5</c:v>
                </c:pt>
                <c:pt idx="630">
                  <c:v>615</c:v>
                </c:pt>
                <c:pt idx="631">
                  <c:v>615.5</c:v>
                </c:pt>
                <c:pt idx="632">
                  <c:v>616</c:v>
                </c:pt>
                <c:pt idx="633">
                  <c:v>616.5</c:v>
                </c:pt>
                <c:pt idx="634">
                  <c:v>617</c:v>
                </c:pt>
                <c:pt idx="635">
                  <c:v>617.5</c:v>
                </c:pt>
                <c:pt idx="636">
                  <c:v>618</c:v>
                </c:pt>
                <c:pt idx="637">
                  <c:v>618.5</c:v>
                </c:pt>
                <c:pt idx="638">
                  <c:v>619</c:v>
                </c:pt>
                <c:pt idx="639">
                  <c:v>619.5</c:v>
                </c:pt>
                <c:pt idx="640">
                  <c:v>620</c:v>
                </c:pt>
                <c:pt idx="641">
                  <c:v>620.5</c:v>
                </c:pt>
                <c:pt idx="642">
                  <c:v>621</c:v>
                </c:pt>
                <c:pt idx="643">
                  <c:v>621.5</c:v>
                </c:pt>
                <c:pt idx="644">
                  <c:v>622</c:v>
                </c:pt>
                <c:pt idx="645">
                  <c:v>622.5</c:v>
                </c:pt>
                <c:pt idx="646">
                  <c:v>623</c:v>
                </c:pt>
                <c:pt idx="647">
                  <c:v>623.5</c:v>
                </c:pt>
                <c:pt idx="648">
                  <c:v>624</c:v>
                </c:pt>
                <c:pt idx="649">
                  <c:v>624.5</c:v>
                </c:pt>
                <c:pt idx="650">
                  <c:v>625</c:v>
                </c:pt>
                <c:pt idx="651">
                  <c:v>625.5</c:v>
                </c:pt>
                <c:pt idx="652">
                  <c:v>626</c:v>
                </c:pt>
                <c:pt idx="653">
                  <c:v>626.5</c:v>
                </c:pt>
                <c:pt idx="654">
                  <c:v>627</c:v>
                </c:pt>
                <c:pt idx="655">
                  <c:v>627.5</c:v>
                </c:pt>
                <c:pt idx="656">
                  <c:v>628</c:v>
                </c:pt>
                <c:pt idx="657">
                  <c:v>628.5</c:v>
                </c:pt>
                <c:pt idx="658">
                  <c:v>629</c:v>
                </c:pt>
                <c:pt idx="659">
                  <c:v>629.5</c:v>
                </c:pt>
                <c:pt idx="660">
                  <c:v>630</c:v>
                </c:pt>
                <c:pt idx="661">
                  <c:v>630.5</c:v>
                </c:pt>
                <c:pt idx="662">
                  <c:v>631</c:v>
                </c:pt>
                <c:pt idx="663">
                  <c:v>631.5</c:v>
                </c:pt>
                <c:pt idx="664">
                  <c:v>632</c:v>
                </c:pt>
                <c:pt idx="665">
                  <c:v>632.5</c:v>
                </c:pt>
                <c:pt idx="666">
                  <c:v>633</c:v>
                </c:pt>
                <c:pt idx="667">
                  <c:v>633.5</c:v>
                </c:pt>
                <c:pt idx="668">
                  <c:v>634</c:v>
                </c:pt>
                <c:pt idx="669">
                  <c:v>634.5</c:v>
                </c:pt>
                <c:pt idx="670">
                  <c:v>635</c:v>
                </c:pt>
                <c:pt idx="671">
                  <c:v>635.5</c:v>
                </c:pt>
                <c:pt idx="672">
                  <c:v>636</c:v>
                </c:pt>
                <c:pt idx="673">
                  <c:v>636.5</c:v>
                </c:pt>
                <c:pt idx="674">
                  <c:v>637</c:v>
                </c:pt>
                <c:pt idx="675">
                  <c:v>637.5</c:v>
                </c:pt>
                <c:pt idx="676">
                  <c:v>638</c:v>
                </c:pt>
                <c:pt idx="677">
                  <c:v>638.5</c:v>
                </c:pt>
                <c:pt idx="678">
                  <c:v>639</c:v>
                </c:pt>
                <c:pt idx="679">
                  <c:v>639.5</c:v>
                </c:pt>
                <c:pt idx="680">
                  <c:v>640</c:v>
                </c:pt>
                <c:pt idx="681">
                  <c:v>640.5</c:v>
                </c:pt>
                <c:pt idx="682">
                  <c:v>641</c:v>
                </c:pt>
                <c:pt idx="683">
                  <c:v>641.5</c:v>
                </c:pt>
                <c:pt idx="684">
                  <c:v>642</c:v>
                </c:pt>
                <c:pt idx="685">
                  <c:v>642.5</c:v>
                </c:pt>
                <c:pt idx="686">
                  <c:v>643</c:v>
                </c:pt>
                <c:pt idx="687">
                  <c:v>643.5</c:v>
                </c:pt>
                <c:pt idx="688">
                  <c:v>644</c:v>
                </c:pt>
                <c:pt idx="689">
                  <c:v>644.5</c:v>
                </c:pt>
                <c:pt idx="690">
                  <c:v>645</c:v>
                </c:pt>
                <c:pt idx="691">
                  <c:v>645.5</c:v>
                </c:pt>
                <c:pt idx="692">
                  <c:v>646</c:v>
                </c:pt>
                <c:pt idx="693">
                  <c:v>646.5</c:v>
                </c:pt>
                <c:pt idx="694">
                  <c:v>647</c:v>
                </c:pt>
                <c:pt idx="695">
                  <c:v>647.5</c:v>
                </c:pt>
                <c:pt idx="696">
                  <c:v>648</c:v>
                </c:pt>
                <c:pt idx="697">
                  <c:v>648.5</c:v>
                </c:pt>
                <c:pt idx="698">
                  <c:v>649</c:v>
                </c:pt>
                <c:pt idx="699">
                  <c:v>649.5</c:v>
                </c:pt>
                <c:pt idx="700">
                  <c:v>650</c:v>
                </c:pt>
                <c:pt idx="701">
                  <c:v>650.5</c:v>
                </c:pt>
                <c:pt idx="702">
                  <c:v>651</c:v>
                </c:pt>
                <c:pt idx="703">
                  <c:v>651.5</c:v>
                </c:pt>
                <c:pt idx="704">
                  <c:v>652</c:v>
                </c:pt>
                <c:pt idx="705">
                  <c:v>652.5</c:v>
                </c:pt>
                <c:pt idx="706">
                  <c:v>653</c:v>
                </c:pt>
                <c:pt idx="707">
                  <c:v>653.5</c:v>
                </c:pt>
                <c:pt idx="708">
                  <c:v>654</c:v>
                </c:pt>
                <c:pt idx="709">
                  <c:v>654.5</c:v>
                </c:pt>
                <c:pt idx="710">
                  <c:v>655</c:v>
                </c:pt>
                <c:pt idx="711">
                  <c:v>655.5</c:v>
                </c:pt>
                <c:pt idx="712">
                  <c:v>656</c:v>
                </c:pt>
                <c:pt idx="713">
                  <c:v>656.5</c:v>
                </c:pt>
                <c:pt idx="714">
                  <c:v>657</c:v>
                </c:pt>
                <c:pt idx="715">
                  <c:v>657.5</c:v>
                </c:pt>
                <c:pt idx="716">
                  <c:v>658</c:v>
                </c:pt>
                <c:pt idx="717">
                  <c:v>658.5</c:v>
                </c:pt>
                <c:pt idx="718">
                  <c:v>659</c:v>
                </c:pt>
                <c:pt idx="719">
                  <c:v>659.5</c:v>
                </c:pt>
                <c:pt idx="720">
                  <c:v>660</c:v>
                </c:pt>
                <c:pt idx="721">
                  <c:v>660.5</c:v>
                </c:pt>
                <c:pt idx="722">
                  <c:v>661</c:v>
                </c:pt>
                <c:pt idx="723">
                  <c:v>661.5</c:v>
                </c:pt>
                <c:pt idx="724">
                  <c:v>662</c:v>
                </c:pt>
                <c:pt idx="725">
                  <c:v>662.5</c:v>
                </c:pt>
                <c:pt idx="726">
                  <c:v>663</c:v>
                </c:pt>
                <c:pt idx="727">
                  <c:v>663.5</c:v>
                </c:pt>
                <c:pt idx="728">
                  <c:v>664</c:v>
                </c:pt>
                <c:pt idx="729">
                  <c:v>664.5</c:v>
                </c:pt>
                <c:pt idx="730">
                  <c:v>665</c:v>
                </c:pt>
                <c:pt idx="731">
                  <c:v>665.5</c:v>
                </c:pt>
                <c:pt idx="732">
                  <c:v>666</c:v>
                </c:pt>
                <c:pt idx="733">
                  <c:v>666.5</c:v>
                </c:pt>
                <c:pt idx="734">
                  <c:v>667</c:v>
                </c:pt>
                <c:pt idx="735">
                  <c:v>667.5</c:v>
                </c:pt>
                <c:pt idx="736">
                  <c:v>668</c:v>
                </c:pt>
                <c:pt idx="737">
                  <c:v>668.5</c:v>
                </c:pt>
                <c:pt idx="738">
                  <c:v>669</c:v>
                </c:pt>
                <c:pt idx="739">
                  <c:v>669.5</c:v>
                </c:pt>
                <c:pt idx="740">
                  <c:v>670</c:v>
                </c:pt>
                <c:pt idx="741">
                  <c:v>670.5</c:v>
                </c:pt>
                <c:pt idx="742">
                  <c:v>671</c:v>
                </c:pt>
                <c:pt idx="743">
                  <c:v>671.5</c:v>
                </c:pt>
                <c:pt idx="744">
                  <c:v>672</c:v>
                </c:pt>
                <c:pt idx="745">
                  <c:v>672.5</c:v>
                </c:pt>
                <c:pt idx="746">
                  <c:v>673</c:v>
                </c:pt>
                <c:pt idx="747">
                  <c:v>673.5</c:v>
                </c:pt>
                <c:pt idx="748">
                  <c:v>674</c:v>
                </c:pt>
                <c:pt idx="749">
                  <c:v>674.5</c:v>
                </c:pt>
                <c:pt idx="750">
                  <c:v>675</c:v>
                </c:pt>
                <c:pt idx="751">
                  <c:v>675.5</c:v>
                </c:pt>
                <c:pt idx="752">
                  <c:v>676</c:v>
                </c:pt>
                <c:pt idx="753">
                  <c:v>676.5</c:v>
                </c:pt>
                <c:pt idx="754">
                  <c:v>677</c:v>
                </c:pt>
                <c:pt idx="755">
                  <c:v>677.5</c:v>
                </c:pt>
                <c:pt idx="756">
                  <c:v>678</c:v>
                </c:pt>
                <c:pt idx="757">
                  <c:v>678.5</c:v>
                </c:pt>
                <c:pt idx="758">
                  <c:v>679</c:v>
                </c:pt>
                <c:pt idx="759">
                  <c:v>679.5</c:v>
                </c:pt>
                <c:pt idx="760">
                  <c:v>680</c:v>
                </c:pt>
                <c:pt idx="761">
                  <c:v>680.5</c:v>
                </c:pt>
                <c:pt idx="762">
                  <c:v>681</c:v>
                </c:pt>
                <c:pt idx="763">
                  <c:v>681.5</c:v>
                </c:pt>
                <c:pt idx="764">
                  <c:v>682</c:v>
                </c:pt>
                <c:pt idx="765">
                  <c:v>682.5</c:v>
                </c:pt>
                <c:pt idx="766">
                  <c:v>683</c:v>
                </c:pt>
                <c:pt idx="767">
                  <c:v>683.5</c:v>
                </c:pt>
                <c:pt idx="768">
                  <c:v>684</c:v>
                </c:pt>
                <c:pt idx="769">
                  <c:v>684.5</c:v>
                </c:pt>
                <c:pt idx="770">
                  <c:v>685</c:v>
                </c:pt>
                <c:pt idx="771">
                  <c:v>685.5</c:v>
                </c:pt>
                <c:pt idx="772">
                  <c:v>686</c:v>
                </c:pt>
                <c:pt idx="773">
                  <c:v>686.5</c:v>
                </c:pt>
                <c:pt idx="774">
                  <c:v>687</c:v>
                </c:pt>
                <c:pt idx="775">
                  <c:v>687.5</c:v>
                </c:pt>
                <c:pt idx="776">
                  <c:v>688</c:v>
                </c:pt>
                <c:pt idx="777">
                  <c:v>688.5</c:v>
                </c:pt>
                <c:pt idx="778">
                  <c:v>689</c:v>
                </c:pt>
                <c:pt idx="779">
                  <c:v>689.5</c:v>
                </c:pt>
                <c:pt idx="780">
                  <c:v>690</c:v>
                </c:pt>
                <c:pt idx="781">
                  <c:v>690.5</c:v>
                </c:pt>
                <c:pt idx="782">
                  <c:v>691</c:v>
                </c:pt>
                <c:pt idx="783">
                  <c:v>691.5</c:v>
                </c:pt>
                <c:pt idx="784">
                  <c:v>692</c:v>
                </c:pt>
                <c:pt idx="785">
                  <c:v>692.5</c:v>
                </c:pt>
                <c:pt idx="786">
                  <c:v>693</c:v>
                </c:pt>
                <c:pt idx="787">
                  <c:v>693.5</c:v>
                </c:pt>
                <c:pt idx="788">
                  <c:v>694</c:v>
                </c:pt>
                <c:pt idx="789">
                  <c:v>694.5</c:v>
                </c:pt>
                <c:pt idx="790">
                  <c:v>695</c:v>
                </c:pt>
                <c:pt idx="791">
                  <c:v>695.5</c:v>
                </c:pt>
                <c:pt idx="792">
                  <c:v>696</c:v>
                </c:pt>
                <c:pt idx="793">
                  <c:v>696.5</c:v>
                </c:pt>
                <c:pt idx="794">
                  <c:v>697</c:v>
                </c:pt>
                <c:pt idx="795">
                  <c:v>697.5</c:v>
                </c:pt>
                <c:pt idx="796">
                  <c:v>698</c:v>
                </c:pt>
                <c:pt idx="797">
                  <c:v>698.5</c:v>
                </c:pt>
                <c:pt idx="798">
                  <c:v>699</c:v>
                </c:pt>
                <c:pt idx="799">
                  <c:v>699.5</c:v>
                </c:pt>
                <c:pt idx="800">
                  <c:v>700</c:v>
                </c:pt>
                <c:pt idx="801">
                  <c:v>700.5</c:v>
                </c:pt>
                <c:pt idx="802">
                  <c:v>701</c:v>
                </c:pt>
                <c:pt idx="803">
                  <c:v>701.5</c:v>
                </c:pt>
                <c:pt idx="804">
                  <c:v>702</c:v>
                </c:pt>
                <c:pt idx="805">
                  <c:v>702.5</c:v>
                </c:pt>
                <c:pt idx="806">
                  <c:v>703</c:v>
                </c:pt>
                <c:pt idx="807">
                  <c:v>703.5</c:v>
                </c:pt>
                <c:pt idx="808">
                  <c:v>704</c:v>
                </c:pt>
                <c:pt idx="809">
                  <c:v>704.5</c:v>
                </c:pt>
                <c:pt idx="810">
                  <c:v>705</c:v>
                </c:pt>
                <c:pt idx="811">
                  <c:v>705.5</c:v>
                </c:pt>
                <c:pt idx="812">
                  <c:v>706</c:v>
                </c:pt>
                <c:pt idx="813">
                  <c:v>706.5</c:v>
                </c:pt>
                <c:pt idx="814">
                  <c:v>707</c:v>
                </c:pt>
                <c:pt idx="815">
                  <c:v>707.5</c:v>
                </c:pt>
                <c:pt idx="816">
                  <c:v>708</c:v>
                </c:pt>
                <c:pt idx="817">
                  <c:v>708.5</c:v>
                </c:pt>
                <c:pt idx="818">
                  <c:v>709</c:v>
                </c:pt>
                <c:pt idx="819">
                  <c:v>709.5</c:v>
                </c:pt>
                <c:pt idx="820">
                  <c:v>710</c:v>
                </c:pt>
                <c:pt idx="821">
                  <c:v>710.5</c:v>
                </c:pt>
                <c:pt idx="822">
                  <c:v>711</c:v>
                </c:pt>
                <c:pt idx="823">
                  <c:v>711.5</c:v>
                </c:pt>
                <c:pt idx="824">
                  <c:v>712</c:v>
                </c:pt>
                <c:pt idx="825">
                  <c:v>712.5</c:v>
                </c:pt>
                <c:pt idx="826">
                  <c:v>713</c:v>
                </c:pt>
                <c:pt idx="827">
                  <c:v>713.5</c:v>
                </c:pt>
                <c:pt idx="828">
                  <c:v>714</c:v>
                </c:pt>
                <c:pt idx="829">
                  <c:v>714.5</c:v>
                </c:pt>
                <c:pt idx="830">
                  <c:v>715</c:v>
                </c:pt>
                <c:pt idx="831">
                  <c:v>715.5</c:v>
                </c:pt>
                <c:pt idx="832">
                  <c:v>716</c:v>
                </c:pt>
                <c:pt idx="833">
                  <c:v>716.5</c:v>
                </c:pt>
                <c:pt idx="834">
                  <c:v>717</c:v>
                </c:pt>
                <c:pt idx="835">
                  <c:v>717.5</c:v>
                </c:pt>
                <c:pt idx="836">
                  <c:v>718</c:v>
                </c:pt>
                <c:pt idx="837">
                  <c:v>718.5</c:v>
                </c:pt>
                <c:pt idx="838">
                  <c:v>719</c:v>
                </c:pt>
                <c:pt idx="839">
                  <c:v>719.5</c:v>
                </c:pt>
                <c:pt idx="840">
                  <c:v>720</c:v>
                </c:pt>
                <c:pt idx="841">
                  <c:v>720.5</c:v>
                </c:pt>
                <c:pt idx="842">
                  <c:v>721</c:v>
                </c:pt>
                <c:pt idx="843">
                  <c:v>721.5</c:v>
                </c:pt>
                <c:pt idx="844">
                  <c:v>722</c:v>
                </c:pt>
                <c:pt idx="845">
                  <c:v>722.5</c:v>
                </c:pt>
                <c:pt idx="846">
                  <c:v>723</c:v>
                </c:pt>
                <c:pt idx="847">
                  <c:v>723.5</c:v>
                </c:pt>
                <c:pt idx="848">
                  <c:v>724</c:v>
                </c:pt>
                <c:pt idx="849">
                  <c:v>724.5</c:v>
                </c:pt>
                <c:pt idx="850">
                  <c:v>725</c:v>
                </c:pt>
                <c:pt idx="851">
                  <c:v>725.5</c:v>
                </c:pt>
                <c:pt idx="852">
                  <c:v>726</c:v>
                </c:pt>
                <c:pt idx="853">
                  <c:v>726.5</c:v>
                </c:pt>
                <c:pt idx="854">
                  <c:v>727</c:v>
                </c:pt>
                <c:pt idx="855">
                  <c:v>727.5</c:v>
                </c:pt>
                <c:pt idx="856">
                  <c:v>728</c:v>
                </c:pt>
                <c:pt idx="857">
                  <c:v>728.5</c:v>
                </c:pt>
                <c:pt idx="858">
                  <c:v>729</c:v>
                </c:pt>
                <c:pt idx="859">
                  <c:v>729.5</c:v>
                </c:pt>
                <c:pt idx="860">
                  <c:v>730</c:v>
                </c:pt>
                <c:pt idx="861">
                  <c:v>730.5</c:v>
                </c:pt>
                <c:pt idx="862">
                  <c:v>731</c:v>
                </c:pt>
                <c:pt idx="863">
                  <c:v>731.5</c:v>
                </c:pt>
                <c:pt idx="864">
                  <c:v>732</c:v>
                </c:pt>
                <c:pt idx="865">
                  <c:v>732.5</c:v>
                </c:pt>
                <c:pt idx="866">
                  <c:v>733</c:v>
                </c:pt>
                <c:pt idx="867">
                  <c:v>733.5</c:v>
                </c:pt>
                <c:pt idx="868">
                  <c:v>734</c:v>
                </c:pt>
                <c:pt idx="869">
                  <c:v>734.5</c:v>
                </c:pt>
                <c:pt idx="870">
                  <c:v>735</c:v>
                </c:pt>
                <c:pt idx="871">
                  <c:v>735.5</c:v>
                </c:pt>
                <c:pt idx="872">
                  <c:v>736</c:v>
                </c:pt>
                <c:pt idx="873">
                  <c:v>736.5</c:v>
                </c:pt>
                <c:pt idx="874">
                  <c:v>737</c:v>
                </c:pt>
                <c:pt idx="875">
                  <c:v>737.5</c:v>
                </c:pt>
                <c:pt idx="876">
                  <c:v>738</c:v>
                </c:pt>
                <c:pt idx="877">
                  <c:v>738.5</c:v>
                </c:pt>
                <c:pt idx="878">
                  <c:v>739</c:v>
                </c:pt>
                <c:pt idx="879">
                  <c:v>739.5</c:v>
                </c:pt>
                <c:pt idx="880">
                  <c:v>740</c:v>
                </c:pt>
                <c:pt idx="881">
                  <c:v>740.5</c:v>
                </c:pt>
                <c:pt idx="882">
                  <c:v>741</c:v>
                </c:pt>
                <c:pt idx="883">
                  <c:v>741.5</c:v>
                </c:pt>
                <c:pt idx="884">
                  <c:v>742</c:v>
                </c:pt>
                <c:pt idx="885">
                  <c:v>742.5</c:v>
                </c:pt>
                <c:pt idx="886">
                  <c:v>743</c:v>
                </c:pt>
                <c:pt idx="887">
                  <c:v>743.5</c:v>
                </c:pt>
                <c:pt idx="888">
                  <c:v>744</c:v>
                </c:pt>
                <c:pt idx="889">
                  <c:v>744.5</c:v>
                </c:pt>
                <c:pt idx="890">
                  <c:v>745</c:v>
                </c:pt>
                <c:pt idx="891">
                  <c:v>745.5</c:v>
                </c:pt>
                <c:pt idx="892">
                  <c:v>746</c:v>
                </c:pt>
                <c:pt idx="893">
                  <c:v>746.5</c:v>
                </c:pt>
                <c:pt idx="894">
                  <c:v>747</c:v>
                </c:pt>
                <c:pt idx="895">
                  <c:v>747.5</c:v>
                </c:pt>
                <c:pt idx="896">
                  <c:v>748</c:v>
                </c:pt>
                <c:pt idx="897">
                  <c:v>748.5</c:v>
                </c:pt>
                <c:pt idx="898">
                  <c:v>749</c:v>
                </c:pt>
                <c:pt idx="899">
                  <c:v>749.5</c:v>
                </c:pt>
                <c:pt idx="900">
                  <c:v>750</c:v>
                </c:pt>
              </c:numCache>
            </c:numRef>
          </c:cat>
          <c:val>
            <c:numRef>
              <c:f>'T2 (3)'!$B$113:$B$1013</c:f>
              <c:numCache>
                <c:formatCode>0.00E+00</c:formatCode>
                <c:ptCount val="901"/>
                <c:pt idx="0">
                  <c:v>0</c:v>
                </c:pt>
                <c:pt idx="1">
                  <c:v>0</c:v>
                </c:pt>
                <c:pt idx="2">
                  <c:v>0</c:v>
                </c:pt>
                <c:pt idx="3">
                  <c:v>0</c:v>
                </c:pt>
                <c:pt idx="4">
                  <c:v>0</c:v>
                </c:pt>
                <c:pt idx="5">
                  <c:v>0</c:v>
                </c:pt>
                <c:pt idx="6">
                  <c:v>0</c:v>
                </c:pt>
                <c:pt idx="7">
                  <c:v>0</c:v>
                </c:pt>
                <c:pt idx="8">
                  <c:v>0</c:v>
                </c:pt>
                <c:pt idx="9">
                  <c:v>0</c:v>
                </c:pt>
                <c:pt idx="10">
                  <c:v>0</c:v>
                </c:pt>
                <c:pt idx="11">
                  <c:v>0</c:v>
                </c:pt>
                <c:pt idx="12">
                  <c:v>0</c:v>
                </c:pt>
                <c:pt idx="13">
                  <c:v>0</c:v>
                </c:pt>
                <c:pt idx="14">
                  <c:v>0</c:v>
                </c:pt>
                <c:pt idx="15">
                  <c:v>0</c:v>
                </c:pt>
                <c:pt idx="16">
                  <c:v>0</c:v>
                </c:pt>
                <c:pt idx="17">
                  <c:v>0</c:v>
                </c:pt>
                <c:pt idx="18">
                  <c:v>0</c:v>
                </c:pt>
                <c:pt idx="19">
                  <c:v>0</c:v>
                </c:pt>
                <c:pt idx="20">
                  <c:v>0</c:v>
                </c:pt>
                <c:pt idx="21">
                  <c:v>0</c:v>
                </c:pt>
                <c:pt idx="22">
                  <c:v>0</c:v>
                </c:pt>
                <c:pt idx="23">
                  <c:v>0</c:v>
                </c:pt>
                <c:pt idx="24">
                  <c:v>0</c:v>
                </c:pt>
                <c:pt idx="25">
                  <c:v>0</c:v>
                </c:pt>
                <c:pt idx="26">
                  <c:v>0</c:v>
                </c:pt>
                <c:pt idx="27">
                  <c:v>0</c:v>
                </c:pt>
                <c:pt idx="28">
                  <c:v>0</c:v>
                </c:pt>
                <c:pt idx="29">
                  <c:v>0</c:v>
                </c:pt>
                <c:pt idx="30">
                  <c:v>0</c:v>
                </c:pt>
                <c:pt idx="31">
                  <c:v>0</c:v>
                </c:pt>
                <c:pt idx="32">
                  <c:v>0</c:v>
                </c:pt>
                <c:pt idx="33">
                  <c:v>0</c:v>
                </c:pt>
                <c:pt idx="34">
                  <c:v>0</c:v>
                </c:pt>
                <c:pt idx="35">
                  <c:v>0</c:v>
                </c:pt>
                <c:pt idx="36">
                  <c:v>0</c:v>
                </c:pt>
                <c:pt idx="37">
                  <c:v>0</c:v>
                </c:pt>
                <c:pt idx="38">
                  <c:v>0</c:v>
                </c:pt>
                <c:pt idx="39">
                  <c:v>0</c:v>
                </c:pt>
                <c:pt idx="40">
                  <c:v>0</c:v>
                </c:pt>
                <c:pt idx="41">
                  <c:v>0</c:v>
                </c:pt>
                <c:pt idx="42">
                  <c:v>0</c:v>
                </c:pt>
                <c:pt idx="43">
                  <c:v>0</c:v>
                </c:pt>
                <c:pt idx="44">
                  <c:v>0</c:v>
                </c:pt>
                <c:pt idx="45">
                  <c:v>0</c:v>
                </c:pt>
                <c:pt idx="46">
                  <c:v>0</c:v>
                </c:pt>
                <c:pt idx="47">
                  <c:v>0</c:v>
                </c:pt>
                <c:pt idx="48">
                  <c:v>0</c:v>
                </c:pt>
                <c:pt idx="49">
                  <c:v>0</c:v>
                </c:pt>
                <c:pt idx="50">
                  <c:v>0</c:v>
                </c:pt>
                <c:pt idx="51">
                  <c:v>0</c:v>
                </c:pt>
                <c:pt idx="52">
                  <c:v>0</c:v>
                </c:pt>
                <c:pt idx="53">
                  <c:v>0</c:v>
                </c:pt>
                <c:pt idx="54">
                  <c:v>0</c:v>
                </c:pt>
                <c:pt idx="55">
                  <c:v>0</c:v>
                </c:pt>
                <c:pt idx="56">
                  <c:v>0</c:v>
                </c:pt>
                <c:pt idx="57">
                  <c:v>0</c:v>
                </c:pt>
                <c:pt idx="58">
                  <c:v>0</c:v>
                </c:pt>
                <c:pt idx="59">
                  <c:v>0</c:v>
                </c:pt>
                <c:pt idx="60">
                  <c:v>0</c:v>
                </c:pt>
                <c:pt idx="61">
                  <c:v>0</c:v>
                </c:pt>
                <c:pt idx="62">
                  <c:v>0</c:v>
                </c:pt>
                <c:pt idx="63">
                  <c:v>0</c:v>
                </c:pt>
                <c:pt idx="64">
                  <c:v>0</c:v>
                </c:pt>
                <c:pt idx="65">
                  <c:v>0</c:v>
                </c:pt>
                <c:pt idx="66">
                  <c:v>0</c:v>
                </c:pt>
                <c:pt idx="67">
                  <c:v>0</c:v>
                </c:pt>
                <c:pt idx="68">
                  <c:v>0</c:v>
                </c:pt>
                <c:pt idx="69">
                  <c:v>0</c:v>
                </c:pt>
                <c:pt idx="70">
                  <c:v>0</c:v>
                </c:pt>
                <c:pt idx="71">
                  <c:v>0</c:v>
                </c:pt>
                <c:pt idx="72">
                  <c:v>0</c:v>
                </c:pt>
                <c:pt idx="73">
                  <c:v>0</c:v>
                </c:pt>
                <c:pt idx="74">
                  <c:v>0</c:v>
                </c:pt>
                <c:pt idx="75">
                  <c:v>0</c:v>
                </c:pt>
                <c:pt idx="76">
                  <c:v>0</c:v>
                </c:pt>
                <c:pt idx="77">
                  <c:v>0</c:v>
                </c:pt>
                <c:pt idx="78">
                  <c:v>0</c:v>
                </c:pt>
                <c:pt idx="79">
                  <c:v>0</c:v>
                </c:pt>
                <c:pt idx="80">
                  <c:v>0</c:v>
                </c:pt>
                <c:pt idx="81">
                  <c:v>0</c:v>
                </c:pt>
                <c:pt idx="82">
                  <c:v>0</c:v>
                </c:pt>
                <c:pt idx="83">
                  <c:v>0</c:v>
                </c:pt>
                <c:pt idx="84">
                  <c:v>0</c:v>
                </c:pt>
                <c:pt idx="85">
                  <c:v>0</c:v>
                </c:pt>
                <c:pt idx="86">
                  <c:v>0</c:v>
                </c:pt>
                <c:pt idx="87">
                  <c:v>0</c:v>
                </c:pt>
                <c:pt idx="88">
                  <c:v>0</c:v>
                </c:pt>
                <c:pt idx="89">
                  <c:v>0</c:v>
                </c:pt>
                <c:pt idx="90">
                  <c:v>0</c:v>
                </c:pt>
                <c:pt idx="91">
                  <c:v>0</c:v>
                </c:pt>
                <c:pt idx="92">
                  <c:v>0</c:v>
                </c:pt>
                <c:pt idx="93">
                  <c:v>0</c:v>
                </c:pt>
                <c:pt idx="94">
                  <c:v>0</c:v>
                </c:pt>
                <c:pt idx="95">
                  <c:v>0</c:v>
                </c:pt>
                <c:pt idx="96">
                  <c:v>0</c:v>
                </c:pt>
                <c:pt idx="97">
                  <c:v>0</c:v>
                </c:pt>
                <c:pt idx="98">
                  <c:v>0</c:v>
                </c:pt>
                <c:pt idx="99">
                  <c:v>0</c:v>
                </c:pt>
                <c:pt idx="100">
                  <c:v>0</c:v>
                </c:pt>
                <c:pt idx="101">
                  <c:v>0</c:v>
                </c:pt>
                <c:pt idx="102">
                  <c:v>0</c:v>
                </c:pt>
                <c:pt idx="103">
                  <c:v>0</c:v>
                </c:pt>
                <c:pt idx="104">
                  <c:v>0</c:v>
                </c:pt>
                <c:pt idx="105">
                  <c:v>0</c:v>
                </c:pt>
                <c:pt idx="106">
                  <c:v>0</c:v>
                </c:pt>
                <c:pt idx="107">
                  <c:v>0</c:v>
                </c:pt>
                <c:pt idx="108">
                  <c:v>0</c:v>
                </c:pt>
                <c:pt idx="109">
                  <c:v>0</c:v>
                </c:pt>
                <c:pt idx="110">
                  <c:v>0</c:v>
                </c:pt>
                <c:pt idx="111">
                  <c:v>0</c:v>
                </c:pt>
                <c:pt idx="112">
                  <c:v>0</c:v>
                </c:pt>
                <c:pt idx="113">
                  <c:v>0</c:v>
                </c:pt>
                <c:pt idx="114">
                  <c:v>0</c:v>
                </c:pt>
                <c:pt idx="115">
                  <c:v>0</c:v>
                </c:pt>
                <c:pt idx="116">
                  <c:v>0</c:v>
                </c:pt>
                <c:pt idx="117">
                  <c:v>0</c:v>
                </c:pt>
                <c:pt idx="118">
                  <c:v>0</c:v>
                </c:pt>
                <c:pt idx="119">
                  <c:v>0</c:v>
                </c:pt>
                <c:pt idx="120">
                  <c:v>0</c:v>
                </c:pt>
                <c:pt idx="121">
                  <c:v>0</c:v>
                </c:pt>
                <c:pt idx="122">
                  <c:v>0</c:v>
                </c:pt>
                <c:pt idx="123">
                  <c:v>0</c:v>
                </c:pt>
                <c:pt idx="124">
                  <c:v>0</c:v>
                </c:pt>
                <c:pt idx="125">
                  <c:v>0</c:v>
                </c:pt>
                <c:pt idx="126">
                  <c:v>0</c:v>
                </c:pt>
                <c:pt idx="127">
                  <c:v>0</c:v>
                </c:pt>
                <c:pt idx="128">
                  <c:v>0</c:v>
                </c:pt>
                <c:pt idx="129">
                  <c:v>0</c:v>
                </c:pt>
                <c:pt idx="130">
                  <c:v>0</c:v>
                </c:pt>
                <c:pt idx="131">
                  <c:v>0</c:v>
                </c:pt>
                <c:pt idx="132">
                  <c:v>0</c:v>
                </c:pt>
                <c:pt idx="133">
                  <c:v>0</c:v>
                </c:pt>
                <c:pt idx="134">
                  <c:v>0</c:v>
                </c:pt>
                <c:pt idx="135">
                  <c:v>0</c:v>
                </c:pt>
                <c:pt idx="136">
                  <c:v>0</c:v>
                </c:pt>
                <c:pt idx="137">
                  <c:v>0</c:v>
                </c:pt>
                <c:pt idx="138">
                  <c:v>0</c:v>
                </c:pt>
                <c:pt idx="139">
                  <c:v>0</c:v>
                </c:pt>
                <c:pt idx="140">
                  <c:v>0</c:v>
                </c:pt>
                <c:pt idx="141">
                  <c:v>0</c:v>
                </c:pt>
                <c:pt idx="142">
                  <c:v>0</c:v>
                </c:pt>
                <c:pt idx="143">
                  <c:v>0</c:v>
                </c:pt>
                <c:pt idx="144">
                  <c:v>0</c:v>
                </c:pt>
                <c:pt idx="145">
                  <c:v>0</c:v>
                </c:pt>
                <c:pt idx="146">
                  <c:v>0</c:v>
                </c:pt>
                <c:pt idx="147">
                  <c:v>0</c:v>
                </c:pt>
                <c:pt idx="148">
                  <c:v>0</c:v>
                </c:pt>
                <c:pt idx="149">
                  <c:v>0</c:v>
                </c:pt>
                <c:pt idx="150">
                  <c:v>0</c:v>
                </c:pt>
                <c:pt idx="151">
                  <c:v>0</c:v>
                </c:pt>
                <c:pt idx="152">
                  <c:v>0</c:v>
                </c:pt>
                <c:pt idx="153">
                  <c:v>0</c:v>
                </c:pt>
                <c:pt idx="154">
                  <c:v>0</c:v>
                </c:pt>
                <c:pt idx="155">
                  <c:v>0</c:v>
                </c:pt>
                <c:pt idx="156">
                  <c:v>0</c:v>
                </c:pt>
                <c:pt idx="157">
                  <c:v>0</c:v>
                </c:pt>
                <c:pt idx="158">
                  <c:v>0</c:v>
                </c:pt>
                <c:pt idx="159">
                  <c:v>0</c:v>
                </c:pt>
                <c:pt idx="160">
                  <c:v>0</c:v>
                </c:pt>
                <c:pt idx="161">
                  <c:v>0</c:v>
                </c:pt>
                <c:pt idx="162">
                  <c:v>0</c:v>
                </c:pt>
                <c:pt idx="163">
                  <c:v>0</c:v>
                </c:pt>
                <c:pt idx="164">
                  <c:v>0</c:v>
                </c:pt>
                <c:pt idx="165">
                  <c:v>0</c:v>
                </c:pt>
                <c:pt idx="166">
                  <c:v>0</c:v>
                </c:pt>
                <c:pt idx="167">
                  <c:v>0</c:v>
                </c:pt>
                <c:pt idx="168">
                  <c:v>0</c:v>
                </c:pt>
                <c:pt idx="169">
                  <c:v>0</c:v>
                </c:pt>
                <c:pt idx="170">
                  <c:v>0</c:v>
                </c:pt>
                <c:pt idx="171">
                  <c:v>0</c:v>
                </c:pt>
                <c:pt idx="172">
                  <c:v>0</c:v>
                </c:pt>
                <c:pt idx="173">
                  <c:v>0</c:v>
                </c:pt>
                <c:pt idx="174">
                  <c:v>0</c:v>
                </c:pt>
                <c:pt idx="175">
                  <c:v>0</c:v>
                </c:pt>
                <c:pt idx="176">
                  <c:v>0</c:v>
                </c:pt>
                <c:pt idx="177">
                  <c:v>0</c:v>
                </c:pt>
                <c:pt idx="178">
                  <c:v>0</c:v>
                </c:pt>
                <c:pt idx="179">
                  <c:v>0</c:v>
                </c:pt>
                <c:pt idx="180">
                  <c:v>0</c:v>
                </c:pt>
                <c:pt idx="181">
                  <c:v>0</c:v>
                </c:pt>
                <c:pt idx="182">
                  <c:v>0</c:v>
                </c:pt>
                <c:pt idx="183">
                  <c:v>0</c:v>
                </c:pt>
                <c:pt idx="184">
                  <c:v>0</c:v>
                </c:pt>
                <c:pt idx="185">
                  <c:v>0</c:v>
                </c:pt>
                <c:pt idx="186">
                  <c:v>0</c:v>
                </c:pt>
                <c:pt idx="187">
                  <c:v>0</c:v>
                </c:pt>
                <c:pt idx="188">
                  <c:v>0</c:v>
                </c:pt>
                <c:pt idx="189">
                  <c:v>0</c:v>
                </c:pt>
                <c:pt idx="190">
                  <c:v>0</c:v>
                </c:pt>
                <c:pt idx="191">
                  <c:v>0</c:v>
                </c:pt>
                <c:pt idx="192">
                  <c:v>0</c:v>
                </c:pt>
                <c:pt idx="193">
                  <c:v>0</c:v>
                </c:pt>
                <c:pt idx="194">
                  <c:v>0</c:v>
                </c:pt>
                <c:pt idx="195">
                  <c:v>0</c:v>
                </c:pt>
                <c:pt idx="196">
                  <c:v>0</c:v>
                </c:pt>
                <c:pt idx="197">
                  <c:v>0</c:v>
                </c:pt>
                <c:pt idx="198">
                  <c:v>0</c:v>
                </c:pt>
                <c:pt idx="199">
                  <c:v>0</c:v>
                </c:pt>
                <c:pt idx="200">
                  <c:v>0</c:v>
                </c:pt>
                <c:pt idx="201">
                  <c:v>0</c:v>
                </c:pt>
                <c:pt idx="202">
                  <c:v>0</c:v>
                </c:pt>
                <c:pt idx="203">
                  <c:v>0</c:v>
                </c:pt>
                <c:pt idx="204">
                  <c:v>0</c:v>
                </c:pt>
                <c:pt idx="205">
                  <c:v>0</c:v>
                </c:pt>
                <c:pt idx="206">
                  <c:v>0</c:v>
                </c:pt>
                <c:pt idx="207">
                  <c:v>0</c:v>
                </c:pt>
                <c:pt idx="208">
                  <c:v>0</c:v>
                </c:pt>
                <c:pt idx="209">
                  <c:v>0</c:v>
                </c:pt>
                <c:pt idx="210">
                  <c:v>0</c:v>
                </c:pt>
                <c:pt idx="211">
                  <c:v>0</c:v>
                </c:pt>
                <c:pt idx="212">
                  <c:v>0</c:v>
                </c:pt>
                <c:pt idx="213">
                  <c:v>0</c:v>
                </c:pt>
                <c:pt idx="214">
                  <c:v>0</c:v>
                </c:pt>
                <c:pt idx="215">
                  <c:v>0</c:v>
                </c:pt>
                <c:pt idx="216">
                  <c:v>0</c:v>
                </c:pt>
                <c:pt idx="217">
                  <c:v>0</c:v>
                </c:pt>
                <c:pt idx="218">
                  <c:v>0</c:v>
                </c:pt>
                <c:pt idx="219">
                  <c:v>0</c:v>
                </c:pt>
                <c:pt idx="220">
                  <c:v>0</c:v>
                </c:pt>
                <c:pt idx="221">
                  <c:v>0</c:v>
                </c:pt>
                <c:pt idx="222">
                  <c:v>0</c:v>
                </c:pt>
                <c:pt idx="223">
                  <c:v>0</c:v>
                </c:pt>
                <c:pt idx="224">
                  <c:v>0</c:v>
                </c:pt>
                <c:pt idx="225">
                  <c:v>0</c:v>
                </c:pt>
                <c:pt idx="226">
                  <c:v>0</c:v>
                </c:pt>
                <c:pt idx="227">
                  <c:v>0</c:v>
                </c:pt>
                <c:pt idx="228">
                  <c:v>0</c:v>
                </c:pt>
                <c:pt idx="229">
                  <c:v>0</c:v>
                </c:pt>
                <c:pt idx="230">
                  <c:v>0</c:v>
                </c:pt>
                <c:pt idx="231">
                  <c:v>0</c:v>
                </c:pt>
                <c:pt idx="232">
                  <c:v>0</c:v>
                </c:pt>
                <c:pt idx="233">
                  <c:v>0</c:v>
                </c:pt>
                <c:pt idx="234">
                  <c:v>0</c:v>
                </c:pt>
                <c:pt idx="235">
                  <c:v>0</c:v>
                </c:pt>
                <c:pt idx="236">
                  <c:v>0</c:v>
                </c:pt>
                <c:pt idx="237">
                  <c:v>0</c:v>
                </c:pt>
                <c:pt idx="238">
                  <c:v>0</c:v>
                </c:pt>
                <c:pt idx="239">
                  <c:v>0</c:v>
                </c:pt>
                <c:pt idx="240">
                  <c:v>0</c:v>
                </c:pt>
                <c:pt idx="241">
                  <c:v>0</c:v>
                </c:pt>
                <c:pt idx="242">
                  <c:v>0</c:v>
                </c:pt>
                <c:pt idx="243">
                  <c:v>0</c:v>
                </c:pt>
                <c:pt idx="244">
                  <c:v>0</c:v>
                </c:pt>
                <c:pt idx="245">
                  <c:v>0</c:v>
                </c:pt>
                <c:pt idx="246">
                  <c:v>0</c:v>
                </c:pt>
                <c:pt idx="247">
                  <c:v>0</c:v>
                </c:pt>
                <c:pt idx="248">
                  <c:v>0</c:v>
                </c:pt>
                <c:pt idx="249">
                  <c:v>0</c:v>
                </c:pt>
                <c:pt idx="250">
                  <c:v>0</c:v>
                </c:pt>
                <c:pt idx="251">
                  <c:v>0</c:v>
                </c:pt>
                <c:pt idx="252">
                  <c:v>0</c:v>
                </c:pt>
                <c:pt idx="253">
                  <c:v>0</c:v>
                </c:pt>
                <c:pt idx="254">
                  <c:v>0</c:v>
                </c:pt>
                <c:pt idx="255">
                  <c:v>0</c:v>
                </c:pt>
                <c:pt idx="256">
                  <c:v>0</c:v>
                </c:pt>
                <c:pt idx="257">
                  <c:v>0</c:v>
                </c:pt>
                <c:pt idx="258">
                  <c:v>0</c:v>
                </c:pt>
                <c:pt idx="259">
                  <c:v>0</c:v>
                </c:pt>
                <c:pt idx="260">
                  <c:v>0</c:v>
                </c:pt>
                <c:pt idx="261">
                  <c:v>0</c:v>
                </c:pt>
                <c:pt idx="262">
                  <c:v>0</c:v>
                </c:pt>
                <c:pt idx="263">
                  <c:v>3.2440199999999999E-6</c:v>
                </c:pt>
                <c:pt idx="264">
                  <c:v>1.6983200000000002E-4</c:v>
                </c:pt>
                <c:pt idx="265">
                  <c:v>1.0665590000000001E-4</c:v>
                </c:pt>
                <c:pt idx="266">
                  <c:v>4.1230799999999998E-5</c:v>
                </c:pt>
                <c:pt idx="267">
                  <c:v>0</c:v>
                </c:pt>
                <c:pt idx="268">
                  <c:v>0</c:v>
                </c:pt>
                <c:pt idx="269">
                  <c:v>3.0589000000000001E-5</c:v>
                </c:pt>
                <c:pt idx="270">
                  <c:v>7.4787699999999995E-5</c:v>
                </c:pt>
                <c:pt idx="271">
                  <c:v>1.1560120000000001E-4</c:v>
                </c:pt>
                <c:pt idx="272">
                  <c:v>3.4148400000000003E-4</c:v>
                </c:pt>
                <c:pt idx="273">
                  <c:v>6.2454600000000002E-4</c:v>
                </c:pt>
                <c:pt idx="274">
                  <c:v>9.1201500000000007E-4</c:v>
                </c:pt>
                <c:pt idx="275">
                  <c:v>1.1285819999999999E-3</c:v>
                </c:pt>
                <c:pt idx="276">
                  <c:v>1.3256099999999999E-3</c:v>
                </c:pt>
                <c:pt idx="277">
                  <c:v>1.5165800000000002E-3</c:v>
                </c:pt>
                <c:pt idx="278">
                  <c:v>1.7340700000000001E-3</c:v>
                </c:pt>
                <c:pt idx="279">
                  <c:v>1.82351E-3</c:v>
                </c:pt>
                <c:pt idx="280">
                  <c:v>1.9307600000000001E-3</c:v>
                </c:pt>
                <c:pt idx="281">
                  <c:v>2.1871199999999999E-3</c:v>
                </c:pt>
                <c:pt idx="282">
                  <c:v>2.6253500000000003E-3</c:v>
                </c:pt>
                <c:pt idx="283">
                  <c:v>3.1835700000000001E-3</c:v>
                </c:pt>
                <c:pt idx="284">
                  <c:v>3.679E-3</c:v>
                </c:pt>
                <c:pt idx="285">
                  <c:v>4.0379300000000003E-3</c:v>
                </c:pt>
                <c:pt idx="286">
                  <c:v>4.41012E-3</c:v>
                </c:pt>
                <c:pt idx="287">
                  <c:v>4.7478600000000004E-3</c:v>
                </c:pt>
                <c:pt idx="288">
                  <c:v>5.2289900000000011E-3</c:v>
                </c:pt>
                <c:pt idx="289">
                  <c:v>5.8120400000000001E-3</c:v>
                </c:pt>
                <c:pt idx="290">
                  <c:v>6.45905E-3</c:v>
                </c:pt>
                <c:pt idx="291">
                  <c:v>7.19121E-3</c:v>
                </c:pt>
                <c:pt idx="292">
                  <c:v>7.9951300000000013E-3</c:v>
                </c:pt>
                <c:pt idx="293">
                  <c:v>8.9018799999999992E-3</c:v>
                </c:pt>
                <c:pt idx="294">
                  <c:v>9.8961199999999996E-3</c:v>
                </c:pt>
                <c:pt idx="295">
                  <c:v>1.1035440000000001E-2</c:v>
                </c:pt>
                <c:pt idx="296">
                  <c:v>1.2085839999999999E-2</c:v>
                </c:pt>
                <c:pt idx="297">
                  <c:v>1.3045500000000002E-2</c:v>
                </c:pt>
                <c:pt idx="298">
                  <c:v>1.4123200000000001E-2</c:v>
                </c:pt>
                <c:pt idx="299">
                  <c:v>1.52789E-2</c:v>
                </c:pt>
                <c:pt idx="300">
                  <c:v>1.6574999999999999E-2</c:v>
                </c:pt>
                <c:pt idx="301">
                  <c:v>1.8032300000000001E-2</c:v>
                </c:pt>
                <c:pt idx="302">
                  <c:v>1.9544200000000001E-2</c:v>
                </c:pt>
                <c:pt idx="303">
                  <c:v>2.1348599999999999E-2</c:v>
                </c:pt>
                <c:pt idx="304">
                  <c:v>2.3322000000000002E-2</c:v>
                </c:pt>
                <c:pt idx="305">
                  <c:v>2.5387700000000003E-2</c:v>
                </c:pt>
                <c:pt idx="306">
                  <c:v>2.7582100000000002E-2</c:v>
                </c:pt>
                <c:pt idx="307">
                  <c:v>2.9868800000000001E-2</c:v>
                </c:pt>
                <c:pt idx="308">
                  <c:v>3.2102200000000004E-2</c:v>
                </c:pt>
                <c:pt idx="309">
                  <c:v>3.4642400000000004E-2</c:v>
                </c:pt>
                <c:pt idx="310">
                  <c:v>3.7200799999999999E-2</c:v>
                </c:pt>
                <c:pt idx="311">
                  <c:v>3.99295E-2</c:v>
                </c:pt>
                <c:pt idx="312">
                  <c:v>4.2903900000000002E-2</c:v>
                </c:pt>
                <c:pt idx="313">
                  <c:v>4.6187699999999998E-2</c:v>
                </c:pt>
                <c:pt idx="314">
                  <c:v>4.9871900000000004E-2</c:v>
                </c:pt>
                <c:pt idx="315">
                  <c:v>5.3691299999999997E-2</c:v>
                </c:pt>
                <c:pt idx="316">
                  <c:v>5.75991E-2</c:v>
                </c:pt>
                <c:pt idx="317">
                  <c:v>6.1695400000000004E-2</c:v>
                </c:pt>
                <c:pt idx="318">
                  <c:v>6.5833299999999997E-2</c:v>
                </c:pt>
                <c:pt idx="319">
                  <c:v>7.0235099999999995E-2</c:v>
                </c:pt>
                <c:pt idx="320">
                  <c:v>7.4864399999999998E-2</c:v>
                </c:pt>
                <c:pt idx="321">
                  <c:v>7.9774500000000012E-2</c:v>
                </c:pt>
                <c:pt idx="322">
                  <c:v>8.4775600000000007E-2</c:v>
                </c:pt>
                <c:pt idx="323">
                  <c:v>8.9957399999999993E-2</c:v>
                </c:pt>
                <c:pt idx="324">
                  <c:v>9.5143100000000008E-2</c:v>
                </c:pt>
                <c:pt idx="325">
                  <c:v>0.1005212</c:v>
                </c:pt>
                <c:pt idx="326">
                  <c:v>0.10630099999999999</c:v>
                </c:pt>
                <c:pt idx="327">
                  <c:v>0.1123135</c:v>
                </c:pt>
                <c:pt idx="328">
                  <c:v>0.1186627</c:v>
                </c:pt>
                <c:pt idx="329">
                  <c:v>0.12478310000000001</c:v>
                </c:pt>
                <c:pt idx="330">
                  <c:v>0.13104000000000002</c:v>
                </c:pt>
                <c:pt idx="331">
                  <c:v>0.13735800000000001</c:v>
                </c:pt>
                <c:pt idx="332">
                  <c:v>0.143871</c:v>
                </c:pt>
                <c:pt idx="333">
                  <c:v>0.15024100000000001</c:v>
                </c:pt>
                <c:pt idx="334">
                  <c:v>0.15642900000000001</c:v>
                </c:pt>
                <c:pt idx="335">
                  <c:v>0.16287700000000002</c:v>
                </c:pt>
                <c:pt idx="336">
                  <c:v>0.16954600000000003</c:v>
                </c:pt>
                <c:pt idx="337">
                  <c:v>0.17576</c:v>
                </c:pt>
                <c:pt idx="338">
                  <c:v>0.18162300000000001</c:v>
                </c:pt>
                <c:pt idx="339">
                  <c:v>0.187057</c:v>
                </c:pt>
                <c:pt idx="340">
                  <c:v>0.192192</c:v>
                </c:pt>
                <c:pt idx="341">
                  <c:v>0.19661200000000004</c:v>
                </c:pt>
                <c:pt idx="342">
                  <c:v>0.20104500000000003</c:v>
                </c:pt>
                <c:pt idx="343">
                  <c:v>0.20513999999999999</c:v>
                </c:pt>
                <c:pt idx="344">
                  <c:v>0.20857200000000001</c:v>
                </c:pt>
                <c:pt idx="345">
                  <c:v>0.21132800000000002</c:v>
                </c:pt>
                <c:pt idx="346">
                  <c:v>0.21359</c:v>
                </c:pt>
                <c:pt idx="347">
                  <c:v>0.21500700000000003</c:v>
                </c:pt>
                <c:pt idx="348">
                  <c:v>0.21607300000000002</c:v>
                </c:pt>
                <c:pt idx="349">
                  <c:v>0.21703499999999998</c:v>
                </c:pt>
                <c:pt idx="350">
                  <c:v>0.216944</c:v>
                </c:pt>
                <c:pt idx="351">
                  <c:v>0.215748</c:v>
                </c:pt>
                <c:pt idx="352">
                  <c:v>0.21398</c:v>
                </c:pt>
                <c:pt idx="353">
                  <c:v>0.21175700000000003</c:v>
                </c:pt>
                <c:pt idx="354">
                  <c:v>0.20868900000000001</c:v>
                </c:pt>
                <c:pt idx="355">
                  <c:v>0.20477599999999999</c:v>
                </c:pt>
                <c:pt idx="356">
                  <c:v>0.200512</c:v>
                </c:pt>
                <c:pt idx="357">
                  <c:v>0.19605300000000001</c:v>
                </c:pt>
                <c:pt idx="358">
                  <c:v>0.19078800000000001</c:v>
                </c:pt>
                <c:pt idx="359">
                  <c:v>0.18505500000000003</c:v>
                </c:pt>
                <c:pt idx="360">
                  <c:v>0.17868499999999998</c:v>
                </c:pt>
                <c:pt idx="361">
                  <c:v>0.17202900000000002</c:v>
                </c:pt>
                <c:pt idx="362">
                  <c:v>0.16508699999999998</c:v>
                </c:pt>
                <c:pt idx="363">
                  <c:v>0.15836600000000001</c:v>
                </c:pt>
                <c:pt idx="364">
                  <c:v>0.152035</c:v>
                </c:pt>
                <c:pt idx="365">
                  <c:v>0.145314</c:v>
                </c:pt>
                <c:pt idx="366">
                  <c:v>0.13832</c:v>
                </c:pt>
                <c:pt idx="367">
                  <c:v>0.13201499999999999</c:v>
                </c:pt>
                <c:pt idx="368">
                  <c:v>0.12599470000000002</c:v>
                </c:pt>
                <c:pt idx="369">
                  <c:v>0.120172</c:v>
                </c:pt>
                <c:pt idx="370">
                  <c:v>0.1142726</c:v>
                </c:pt>
                <c:pt idx="371">
                  <c:v>0.10865140000000001</c:v>
                </c:pt>
                <c:pt idx="372">
                  <c:v>0.1034553</c:v>
                </c:pt>
                <c:pt idx="373">
                  <c:v>9.8763600000000007E-2</c:v>
                </c:pt>
                <c:pt idx="374">
                  <c:v>9.418760000000001E-2</c:v>
                </c:pt>
                <c:pt idx="375">
                  <c:v>8.9636300000000002E-2</c:v>
                </c:pt>
                <c:pt idx="376">
                  <c:v>8.5588100000000014E-2</c:v>
                </c:pt>
                <c:pt idx="377">
                  <c:v>8.2069000000000017E-2</c:v>
                </c:pt>
                <c:pt idx="378">
                  <c:v>7.8535599999999997E-2</c:v>
                </c:pt>
                <c:pt idx="379">
                  <c:v>7.4978799999999998E-2</c:v>
                </c:pt>
                <c:pt idx="380">
                  <c:v>7.1490899999999996E-2</c:v>
                </c:pt>
                <c:pt idx="381">
                  <c:v>6.8208400000000002E-2</c:v>
                </c:pt>
                <c:pt idx="382">
                  <c:v>6.5496600000000002E-2</c:v>
                </c:pt>
                <c:pt idx="383">
                  <c:v>6.3025300000000006E-2</c:v>
                </c:pt>
                <c:pt idx="384">
                  <c:v>6.0690500000000001E-2</c:v>
                </c:pt>
                <c:pt idx="385">
                  <c:v>5.7986500000000003E-2</c:v>
                </c:pt>
                <c:pt idx="386">
                  <c:v>5.5151200000000004E-2</c:v>
                </c:pt>
                <c:pt idx="387">
                  <c:v>5.2161200000000005E-2</c:v>
                </c:pt>
                <c:pt idx="388">
                  <c:v>4.92024E-2</c:v>
                </c:pt>
                <c:pt idx="389">
                  <c:v>4.6426900000000007E-2</c:v>
                </c:pt>
                <c:pt idx="390">
                  <c:v>4.3949099999999998E-2</c:v>
                </c:pt>
                <c:pt idx="391">
                  <c:v>4.1598700000000002E-2</c:v>
                </c:pt>
                <c:pt idx="392">
                  <c:v>3.9573299999999999E-2</c:v>
                </c:pt>
                <c:pt idx="393">
                  <c:v>3.7588200000000002E-2</c:v>
                </c:pt>
                <c:pt idx="394">
                  <c:v>3.5659000000000003E-2</c:v>
                </c:pt>
                <c:pt idx="395">
                  <c:v>3.3663500000000006E-2</c:v>
                </c:pt>
                <c:pt idx="396">
                  <c:v>3.1762900000000004E-2</c:v>
                </c:pt>
                <c:pt idx="397">
                  <c:v>2.9897400000000001E-2</c:v>
                </c:pt>
                <c:pt idx="398">
                  <c:v>2.8206100000000001E-2</c:v>
                </c:pt>
                <c:pt idx="399">
                  <c:v>2.6735800000000001E-2</c:v>
                </c:pt>
                <c:pt idx="400">
                  <c:v>2.5479999999999999E-2</c:v>
                </c:pt>
                <c:pt idx="401">
                  <c:v>2.43126E-2</c:v>
                </c:pt>
                <c:pt idx="402">
                  <c:v>2.3060700000000003E-2</c:v>
                </c:pt>
                <c:pt idx="403">
                  <c:v>2.1685300000000001E-2</c:v>
                </c:pt>
                <c:pt idx="404">
                  <c:v>2.03021E-2</c:v>
                </c:pt>
                <c:pt idx="405">
                  <c:v>1.9093100000000002E-2</c:v>
                </c:pt>
                <c:pt idx="406">
                  <c:v>1.8019300000000002E-2</c:v>
                </c:pt>
                <c:pt idx="407">
                  <c:v>1.69949E-2</c:v>
                </c:pt>
                <c:pt idx="408">
                  <c:v>1.60199E-2</c:v>
                </c:pt>
                <c:pt idx="409">
                  <c:v>1.51944E-2</c:v>
                </c:pt>
                <c:pt idx="410">
                  <c:v>1.45509E-2</c:v>
                </c:pt>
                <c:pt idx="411">
                  <c:v>1.4003600000000001E-2</c:v>
                </c:pt>
                <c:pt idx="412">
                  <c:v>1.3384800000000001E-2</c:v>
                </c:pt>
                <c:pt idx="413">
                  <c:v>1.269814E-2</c:v>
                </c:pt>
                <c:pt idx="414">
                  <c:v>1.204385E-2</c:v>
                </c:pt>
                <c:pt idx="415">
                  <c:v>1.141322E-2</c:v>
                </c:pt>
                <c:pt idx="416">
                  <c:v>1.085851E-2</c:v>
                </c:pt>
                <c:pt idx="417">
                  <c:v>1.011803E-2</c:v>
                </c:pt>
                <c:pt idx="418">
                  <c:v>9.4729700000000007E-3</c:v>
                </c:pt>
                <c:pt idx="419">
                  <c:v>8.7854000000000005E-3</c:v>
                </c:pt>
                <c:pt idx="420">
                  <c:v>8.1928599999999997E-3</c:v>
                </c:pt>
                <c:pt idx="421">
                  <c:v>7.7659399999999998E-3</c:v>
                </c:pt>
                <c:pt idx="422">
                  <c:v>7.4015499999999998E-3</c:v>
                </c:pt>
                <c:pt idx="423">
                  <c:v>7.2403499999999996E-3</c:v>
                </c:pt>
                <c:pt idx="424">
                  <c:v>7.0099900000000007E-3</c:v>
                </c:pt>
                <c:pt idx="425">
                  <c:v>6.6579500000000002E-3</c:v>
                </c:pt>
                <c:pt idx="426">
                  <c:v>6.2072400000000002E-3</c:v>
                </c:pt>
                <c:pt idx="427">
                  <c:v>5.8454499999999994E-3</c:v>
                </c:pt>
                <c:pt idx="428">
                  <c:v>5.6097600000000001E-3</c:v>
                </c:pt>
                <c:pt idx="429">
                  <c:v>5.3665300000000004E-3</c:v>
                </c:pt>
                <c:pt idx="430">
                  <c:v>5.1417600000000004E-3</c:v>
                </c:pt>
                <c:pt idx="431">
                  <c:v>4.8713599999999999E-3</c:v>
                </c:pt>
                <c:pt idx="432">
                  <c:v>4.6751900000000001E-3</c:v>
                </c:pt>
                <c:pt idx="433">
                  <c:v>4.4695300000000002E-3</c:v>
                </c:pt>
                <c:pt idx="434">
                  <c:v>4.21135E-3</c:v>
                </c:pt>
                <c:pt idx="435">
                  <c:v>4.0613300000000001E-3</c:v>
                </c:pt>
                <c:pt idx="436">
                  <c:v>3.8543700000000002E-3</c:v>
                </c:pt>
                <c:pt idx="437">
                  <c:v>3.62102E-3</c:v>
                </c:pt>
                <c:pt idx="438" formatCode="General">
                  <c:v>3.4414900000000002E-3</c:v>
                </c:pt>
                <c:pt idx="439" formatCode="General">
                  <c:v>3.2337500000000001E-3</c:v>
                </c:pt>
                <c:pt idx="440" formatCode="General">
                  <c:v>3.1218200000000004E-3</c:v>
                </c:pt>
                <c:pt idx="441" formatCode="General">
                  <c:v>2.9399500000000002E-3</c:v>
                </c:pt>
                <c:pt idx="442" formatCode="General">
                  <c:v>2.8689700000000002E-3</c:v>
                </c:pt>
                <c:pt idx="443" formatCode="General">
                  <c:v>2.8689700000000002E-3</c:v>
                </c:pt>
                <c:pt idx="444" formatCode="General">
                  <c:v>2E-3</c:v>
                </c:pt>
                <c:pt idx="445" formatCode="General">
                  <c:v>1.5E-3</c:v>
                </c:pt>
                <c:pt idx="446" formatCode="General">
                  <c:v>1E-3</c:v>
                </c:pt>
                <c:pt idx="447" formatCode="General">
                  <c:v>5.0000000000000001E-4</c:v>
                </c:pt>
                <c:pt idx="448" formatCode="General">
                  <c:v>0</c:v>
                </c:pt>
                <c:pt idx="449" formatCode="General">
                  <c:v>0</c:v>
                </c:pt>
                <c:pt idx="450" formatCode="General">
                  <c:v>0</c:v>
                </c:pt>
                <c:pt idx="451">
                  <c:v>0</c:v>
                </c:pt>
                <c:pt idx="452">
                  <c:v>0</c:v>
                </c:pt>
                <c:pt idx="453">
                  <c:v>0</c:v>
                </c:pt>
                <c:pt idx="454">
                  <c:v>0</c:v>
                </c:pt>
                <c:pt idx="455">
                  <c:v>0</c:v>
                </c:pt>
                <c:pt idx="456">
                  <c:v>0</c:v>
                </c:pt>
                <c:pt idx="457">
                  <c:v>0</c:v>
                </c:pt>
                <c:pt idx="458">
                  <c:v>0</c:v>
                </c:pt>
                <c:pt idx="459">
                  <c:v>0</c:v>
                </c:pt>
                <c:pt idx="460">
                  <c:v>0</c:v>
                </c:pt>
                <c:pt idx="461">
                  <c:v>0</c:v>
                </c:pt>
                <c:pt idx="462">
                  <c:v>0</c:v>
                </c:pt>
                <c:pt idx="463">
                  <c:v>0</c:v>
                </c:pt>
                <c:pt idx="464">
                  <c:v>0</c:v>
                </c:pt>
                <c:pt idx="465">
                  <c:v>0</c:v>
                </c:pt>
                <c:pt idx="466">
                  <c:v>0</c:v>
                </c:pt>
                <c:pt idx="467">
                  <c:v>0</c:v>
                </c:pt>
                <c:pt idx="468">
                  <c:v>0</c:v>
                </c:pt>
                <c:pt idx="469">
                  <c:v>0</c:v>
                </c:pt>
                <c:pt idx="470">
                  <c:v>0</c:v>
                </c:pt>
                <c:pt idx="471">
                  <c:v>0</c:v>
                </c:pt>
                <c:pt idx="472">
                  <c:v>0</c:v>
                </c:pt>
                <c:pt idx="473">
                  <c:v>0</c:v>
                </c:pt>
                <c:pt idx="474">
                  <c:v>0</c:v>
                </c:pt>
                <c:pt idx="475">
                  <c:v>0</c:v>
                </c:pt>
                <c:pt idx="476">
                  <c:v>0</c:v>
                </c:pt>
                <c:pt idx="477">
                  <c:v>0</c:v>
                </c:pt>
                <c:pt idx="478">
                  <c:v>0</c:v>
                </c:pt>
                <c:pt idx="479">
                  <c:v>0</c:v>
                </c:pt>
                <c:pt idx="480">
                  <c:v>0</c:v>
                </c:pt>
                <c:pt idx="481">
                  <c:v>0</c:v>
                </c:pt>
                <c:pt idx="482">
                  <c:v>0</c:v>
                </c:pt>
                <c:pt idx="483">
                  <c:v>0</c:v>
                </c:pt>
                <c:pt idx="484">
                  <c:v>0</c:v>
                </c:pt>
                <c:pt idx="485">
                  <c:v>0</c:v>
                </c:pt>
                <c:pt idx="486">
                  <c:v>0</c:v>
                </c:pt>
                <c:pt idx="487">
                  <c:v>0</c:v>
                </c:pt>
                <c:pt idx="488">
                  <c:v>0</c:v>
                </c:pt>
                <c:pt idx="489">
                  <c:v>0</c:v>
                </c:pt>
                <c:pt idx="490">
                  <c:v>0</c:v>
                </c:pt>
                <c:pt idx="491">
                  <c:v>0</c:v>
                </c:pt>
                <c:pt idx="492">
                  <c:v>0</c:v>
                </c:pt>
                <c:pt idx="493">
                  <c:v>0</c:v>
                </c:pt>
                <c:pt idx="494">
                  <c:v>0</c:v>
                </c:pt>
                <c:pt idx="495">
                  <c:v>0</c:v>
                </c:pt>
                <c:pt idx="496">
                  <c:v>0</c:v>
                </c:pt>
                <c:pt idx="497">
                  <c:v>0</c:v>
                </c:pt>
                <c:pt idx="498">
                  <c:v>0</c:v>
                </c:pt>
                <c:pt idx="499">
                  <c:v>0</c:v>
                </c:pt>
                <c:pt idx="500">
                  <c:v>0</c:v>
                </c:pt>
                <c:pt idx="501">
                  <c:v>0</c:v>
                </c:pt>
                <c:pt idx="502">
                  <c:v>0</c:v>
                </c:pt>
                <c:pt idx="503">
                  <c:v>0</c:v>
                </c:pt>
                <c:pt idx="504">
                  <c:v>0</c:v>
                </c:pt>
                <c:pt idx="505">
                  <c:v>0</c:v>
                </c:pt>
                <c:pt idx="506">
                  <c:v>0</c:v>
                </c:pt>
                <c:pt idx="507">
                  <c:v>0</c:v>
                </c:pt>
                <c:pt idx="508">
                  <c:v>0</c:v>
                </c:pt>
                <c:pt idx="509">
                  <c:v>0</c:v>
                </c:pt>
                <c:pt idx="510">
                  <c:v>0</c:v>
                </c:pt>
                <c:pt idx="511">
                  <c:v>0</c:v>
                </c:pt>
                <c:pt idx="512">
                  <c:v>0</c:v>
                </c:pt>
                <c:pt idx="513">
                  <c:v>0</c:v>
                </c:pt>
                <c:pt idx="514">
                  <c:v>0</c:v>
                </c:pt>
                <c:pt idx="515">
                  <c:v>0</c:v>
                </c:pt>
                <c:pt idx="516">
                  <c:v>0</c:v>
                </c:pt>
                <c:pt idx="517">
                  <c:v>0</c:v>
                </c:pt>
                <c:pt idx="518">
                  <c:v>0</c:v>
                </c:pt>
                <c:pt idx="519">
                  <c:v>0</c:v>
                </c:pt>
                <c:pt idx="520">
                  <c:v>0</c:v>
                </c:pt>
                <c:pt idx="521">
                  <c:v>0</c:v>
                </c:pt>
                <c:pt idx="522">
                  <c:v>0</c:v>
                </c:pt>
                <c:pt idx="523">
                  <c:v>0</c:v>
                </c:pt>
                <c:pt idx="524">
                  <c:v>0</c:v>
                </c:pt>
                <c:pt idx="525">
                  <c:v>0</c:v>
                </c:pt>
                <c:pt idx="526">
                  <c:v>0</c:v>
                </c:pt>
                <c:pt idx="527">
                  <c:v>0</c:v>
                </c:pt>
                <c:pt idx="528">
                  <c:v>0</c:v>
                </c:pt>
                <c:pt idx="529">
                  <c:v>0</c:v>
                </c:pt>
                <c:pt idx="530">
                  <c:v>0</c:v>
                </c:pt>
                <c:pt idx="531">
                  <c:v>0</c:v>
                </c:pt>
                <c:pt idx="532">
                  <c:v>0</c:v>
                </c:pt>
                <c:pt idx="533">
                  <c:v>0</c:v>
                </c:pt>
                <c:pt idx="534">
                  <c:v>0</c:v>
                </c:pt>
                <c:pt idx="535">
                  <c:v>0</c:v>
                </c:pt>
                <c:pt idx="536">
                  <c:v>0</c:v>
                </c:pt>
                <c:pt idx="537">
                  <c:v>0</c:v>
                </c:pt>
                <c:pt idx="538">
                  <c:v>0</c:v>
                </c:pt>
                <c:pt idx="539">
                  <c:v>0</c:v>
                </c:pt>
                <c:pt idx="540">
                  <c:v>0</c:v>
                </c:pt>
                <c:pt idx="541">
                  <c:v>0</c:v>
                </c:pt>
                <c:pt idx="542">
                  <c:v>0</c:v>
                </c:pt>
                <c:pt idx="543">
                  <c:v>0</c:v>
                </c:pt>
                <c:pt idx="544">
                  <c:v>0</c:v>
                </c:pt>
                <c:pt idx="545">
                  <c:v>0</c:v>
                </c:pt>
                <c:pt idx="546">
                  <c:v>0</c:v>
                </c:pt>
                <c:pt idx="547">
                  <c:v>0</c:v>
                </c:pt>
                <c:pt idx="548">
                  <c:v>0</c:v>
                </c:pt>
                <c:pt idx="549">
                  <c:v>0</c:v>
                </c:pt>
                <c:pt idx="550">
                  <c:v>0</c:v>
                </c:pt>
                <c:pt idx="551">
                  <c:v>0</c:v>
                </c:pt>
                <c:pt idx="552">
                  <c:v>0</c:v>
                </c:pt>
                <c:pt idx="553">
                  <c:v>0</c:v>
                </c:pt>
                <c:pt idx="554">
                  <c:v>0</c:v>
                </c:pt>
                <c:pt idx="555">
                  <c:v>0</c:v>
                </c:pt>
                <c:pt idx="556">
                  <c:v>0</c:v>
                </c:pt>
                <c:pt idx="557">
                  <c:v>0</c:v>
                </c:pt>
                <c:pt idx="558">
                  <c:v>0</c:v>
                </c:pt>
                <c:pt idx="559">
                  <c:v>0</c:v>
                </c:pt>
                <c:pt idx="560">
                  <c:v>0</c:v>
                </c:pt>
                <c:pt idx="561">
                  <c:v>0</c:v>
                </c:pt>
                <c:pt idx="562">
                  <c:v>0</c:v>
                </c:pt>
                <c:pt idx="563">
                  <c:v>0</c:v>
                </c:pt>
                <c:pt idx="564">
                  <c:v>0</c:v>
                </c:pt>
                <c:pt idx="565">
                  <c:v>0</c:v>
                </c:pt>
                <c:pt idx="566">
                  <c:v>0</c:v>
                </c:pt>
                <c:pt idx="567">
                  <c:v>0</c:v>
                </c:pt>
                <c:pt idx="568">
                  <c:v>0</c:v>
                </c:pt>
                <c:pt idx="569">
                  <c:v>7.6783E-5</c:v>
                </c:pt>
                <c:pt idx="570" formatCode="General">
                  <c:v>7.6400000000000003E-4</c:v>
                </c:pt>
                <c:pt idx="571" formatCode="General">
                  <c:v>6.96544E-4</c:v>
                </c:pt>
                <c:pt idx="572" formatCode="General">
                  <c:v>6.7674399999999996E-4</c:v>
                </c:pt>
                <c:pt idx="573" formatCode="General">
                  <c:v>6.5701600000000007E-4</c:v>
                </c:pt>
                <c:pt idx="574" formatCode="General">
                  <c:v>6.3479200000000002E-4</c:v>
                </c:pt>
                <c:pt idx="575" formatCode="General">
                  <c:v>6.0234399999999999E-4</c:v>
                </c:pt>
                <c:pt idx="576" formatCode="General">
                  <c:v>5.9816800000000005E-4</c:v>
                </c:pt>
                <c:pt idx="577" formatCode="General">
                  <c:v>6.0512000000000001E-4</c:v>
                </c:pt>
                <c:pt idx="578" formatCode="General">
                  <c:v>6.3880800000000004E-4</c:v>
                </c:pt>
                <c:pt idx="579" formatCode="General">
                  <c:v>6.7445600000000004E-4</c:v>
                </c:pt>
                <c:pt idx="580" formatCode="General">
                  <c:v>7.2449600000000004E-4</c:v>
                </c:pt>
                <c:pt idx="581" formatCode="General">
                  <c:v>7.668000000000001E-4</c:v>
                </c:pt>
                <c:pt idx="582" formatCode="General">
                  <c:v>7.0636800000000008E-4</c:v>
                </c:pt>
                <c:pt idx="583" formatCode="General">
                  <c:v>6.9295200000000004E-4</c:v>
                </c:pt>
                <c:pt idx="584" formatCode="General">
                  <c:v>6.7260799999999999E-4</c:v>
                </c:pt>
                <c:pt idx="585" formatCode="General">
                  <c:v>7.5828800000000008E-4</c:v>
                </c:pt>
                <c:pt idx="586" formatCode="General">
                  <c:v>8.193600000000001E-4</c:v>
                </c:pt>
                <c:pt idx="587" formatCode="General">
                  <c:v>8.8120000000000006E-4</c:v>
                </c:pt>
                <c:pt idx="588" formatCode="General">
                  <c:v>8.9992000000000013E-4</c:v>
                </c:pt>
                <c:pt idx="589" formatCode="General">
                  <c:v>9.1471999999999994E-4</c:v>
                </c:pt>
                <c:pt idx="590" formatCode="General">
                  <c:v>9.0072000000000004E-4</c:v>
                </c:pt>
                <c:pt idx="591" formatCode="General">
                  <c:v>9.5440000000000011E-4</c:v>
                </c:pt>
                <c:pt idx="592" formatCode="General">
                  <c:v>9.9480000000000011E-4</c:v>
                </c:pt>
                <c:pt idx="593" formatCode="General">
                  <c:v>1.07496E-3</c:v>
                </c:pt>
                <c:pt idx="594" formatCode="General">
                  <c:v>1.0882400000000001E-3</c:v>
                </c:pt>
                <c:pt idx="595" formatCode="General">
                  <c:v>1.1229599999999999E-3</c:v>
                </c:pt>
                <c:pt idx="596" formatCode="General">
                  <c:v>1.08504E-3</c:v>
                </c:pt>
                <c:pt idx="597" formatCode="General">
                  <c:v>1.10472E-3</c:v>
                </c:pt>
                <c:pt idx="598" formatCode="General">
                  <c:v>1.1623200000000001E-3</c:v>
                </c:pt>
                <c:pt idx="599" formatCode="General">
                  <c:v>1.2324800000000002E-3</c:v>
                </c:pt>
                <c:pt idx="600" formatCode="General">
                  <c:v>1.28264E-3</c:v>
                </c:pt>
                <c:pt idx="601" formatCode="General">
                  <c:v>1.3290400000000001E-3</c:v>
                </c:pt>
                <c:pt idx="602" formatCode="General">
                  <c:v>1.43392E-3</c:v>
                </c:pt>
                <c:pt idx="603" formatCode="General">
                  <c:v>1.5152000000000002E-3</c:v>
                </c:pt>
                <c:pt idx="604" formatCode="General">
                  <c:v>1.5524800000000002E-3</c:v>
                </c:pt>
                <c:pt idx="605" formatCode="General">
                  <c:v>1.7046400000000001E-3</c:v>
                </c:pt>
                <c:pt idx="606" formatCode="General">
                  <c:v>1.9492800000000003E-3</c:v>
                </c:pt>
                <c:pt idx="607" formatCode="General">
                  <c:v>2.2160000000000001E-3</c:v>
                </c:pt>
                <c:pt idx="608" formatCode="General">
                  <c:v>2.3165600000000001E-3</c:v>
                </c:pt>
                <c:pt idx="609" formatCode="General">
                  <c:v>2.23624E-3</c:v>
                </c:pt>
                <c:pt idx="610" formatCode="General">
                  <c:v>2.1241599999999999E-3</c:v>
                </c:pt>
                <c:pt idx="611" formatCode="General">
                  <c:v>2.0650400000000002E-3</c:v>
                </c:pt>
                <c:pt idx="612" formatCode="General">
                  <c:v>2.0492000000000002E-3</c:v>
                </c:pt>
                <c:pt idx="613" formatCode="General">
                  <c:v>2.1056E-3</c:v>
                </c:pt>
                <c:pt idx="614" formatCode="General">
                  <c:v>2.19776E-3</c:v>
                </c:pt>
                <c:pt idx="615" formatCode="General">
                  <c:v>2.3995200000000005E-3</c:v>
                </c:pt>
                <c:pt idx="616" formatCode="General">
                  <c:v>2.54696E-3</c:v>
                </c:pt>
                <c:pt idx="617" formatCode="General">
                  <c:v>2.6411200000000003E-3</c:v>
                </c:pt>
                <c:pt idx="618" formatCode="General">
                  <c:v>2.6356800000000001E-3</c:v>
                </c:pt>
                <c:pt idx="619" formatCode="General">
                  <c:v>2.7172800000000003E-3</c:v>
                </c:pt>
                <c:pt idx="620" formatCode="General">
                  <c:v>2.9052800000000001E-3</c:v>
                </c:pt>
                <c:pt idx="621" formatCode="General">
                  <c:v>3.0121599999999998E-3</c:v>
                </c:pt>
                <c:pt idx="622" formatCode="General">
                  <c:v>3.1928E-3</c:v>
                </c:pt>
                <c:pt idx="623" formatCode="General">
                  <c:v>3.3212800000000002E-3</c:v>
                </c:pt>
                <c:pt idx="624" formatCode="General">
                  <c:v>3.57296E-3</c:v>
                </c:pt>
                <c:pt idx="625" formatCode="General">
                  <c:v>3.7537600000000001E-3</c:v>
                </c:pt>
                <c:pt idx="626" formatCode="General">
                  <c:v>3.872E-3</c:v>
                </c:pt>
                <c:pt idx="627" formatCode="General">
                  <c:v>3.9776799999999999E-3</c:v>
                </c:pt>
                <c:pt idx="628" formatCode="General">
                  <c:v>4.1072000000000001E-3</c:v>
                </c:pt>
                <c:pt idx="629" formatCode="General">
                  <c:v>4.3681600000000003E-3</c:v>
                </c:pt>
                <c:pt idx="630" formatCode="General">
                  <c:v>4.6367999999999999E-3</c:v>
                </c:pt>
                <c:pt idx="631" formatCode="General">
                  <c:v>4.9006400000000004E-3</c:v>
                </c:pt>
                <c:pt idx="632" formatCode="General">
                  <c:v>5.1245600000000002E-3</c:v>
                </c:pt>
                <c:pt idx="633" formatCode="General">
                  <c:v>5.3522400000000003E-3</c:v>
                </c:pt>
                <c:pt idx="634" formatCode="General">
                  <c:v>5.6070400000000006E-3</c:v>
                </c:pt>
                <c:pt idx="635" formatCode="General">
                  <c:v>5.91224E-3</c:v>
                </c:pt>
                <c:pt idx="636" formatCode="General">
                  <c:v>6.2261600000000005E-3</c:v>
                </c:pt>
                <c:pt idx="637" formatCode="General">
                  <c:v>6.6052000000000003E-3</c:v>
                </c:pt>
                <c:pt idx="638" formatCode="General">
                  <c:v>6.9701600000000004E-3</c:v>
                </c:pt>
                <c:pt idx="639" formatCode="General">
                  <c:v>7.3983199999999999E-3</c:v>
                </c:pt>
                <c:pt idx="640" formatCode="General">
                  <c:v>7.8897600000000009E-3</c:v>
                </c:pt>
                <c:pt idx="641" formatCode="General">
                  <c:v>8.4016000000000004E-3</c:v>
                </c:pt>
                <c:pt idx="642" formatCode="General">
                  <c:v>8.8088000000000003E-3</c:v>
                </c:pt>
                <c:pt idx="643" formatCode="General">
                  <c:v>9.0880000000000006E-3</c:v>
                </c:pt>
                <c:pt idx="644" formatCode="General">
                  <c:v>9.3360000000000005E-3</c:v>
                </c:pt>
                <c:pt idx="645" formatCode="General">
                  <c:v>9.7152000000000002E-3</c:v>
                </c:pt>
                <c:pt idx="646" formatCode="General">
                  <c:v>1.02752E-2</c:v>
                </c:pt>
                <c:pt idx="647" formatCode="General">
                  <c:v>1.0933600000000002E-2</c:v>
                </c:pt>
                <c:pt idx="648" formatCode="General">
                  <c:v>1.15104E-2</c:v>
                </c:pt>
                <c:pt idx="649" formatCode="General">
                  <c:v>1.2004000000000001E-2</c:v>
                </c:pt>
                <c:pt idx="650" formatCode="General">
                  <c:v>1.2584000000000001E-2</c:v>
                </c:pt>
                <c:pt idx="651" formatCode="General">
                  <c:v>1.3408000000000002E-2</c:v>
                </c:pt>
                <c:pt idx="652" formatCode="General">
                  <c:v>1.4238400000000002E-2</c:v>
                </c:pt>
                <c:pt idx="653" formatCode="General">
                  <c:v>1.5072E-2</c:v>
                </c:pt>
                <c:pt idx="654" formatCode="General">
                  <c:v>1.5860800000000001E-2</c:v>
                </c:pt>
                <c:pt idx="655" formatCode="General">
                  <c:v>1.6688000000000001E-2</c:v>
                </c:pt>
                <c:pt idx="656" formatCode="General">
                  <c:v>1.7496000000000001E-2</c:v>
                </c:pt>
                <c:pt idx="657" formatCode="General">
                  <c:v>1.8404799999999999E-2</c:v>
                </c:pt>
                <c:pt idx="658" formatCode="General">
                  <c:v>1.9396800000000002E-2</c:v>
                </c:pt>
                <c:pt idx="659" formatCode="General">
                  <c:v>2.0474400000000004E-2</c:v>
                </c:pt>
                <c:pt idx="660" formatCode="General">
                  <c:v>2.1587200000000001E-2</c:v>
                </c:pt>
                <c:pt idx="661" formatCode="General">
                  <c:v>2.2748000000000001E-2</c:v>
                </c:pt>
                <c:pt idx="662" formatCode="General">
                  <c:v>2.3966399999999999E-2</c:v>
                </c:pt>
                <c:pt idx="663" formatCode="General">
                  <c:v>2.5273600000000004E-2</c:v>
                </c:pt>
                <c:pt idx="664" formatCode="General">
                  <c:v>2.66536E-2</c:v>
                </c:pt>
                <c:pt idx="665" formatCode="General">
                  <c:v>2.7993600000000004E-2</c:v>
                </c:pt>
                <c:pt idx="666" formatCode="General">
                  <c:v>2.9353600000000004E-2</c:v>
                </c:pt>
                <c:pt idx="667" formatCode="General">
                  <c:v>3.0940800000000004E-2</c:v>
                </c:pt>
                <c:pt idx="668" formatCode="General">
                  <c:v>3.2721600000000003E-2</c:v>
                </c:pt>
                <c:pt idx="669" formatCode="General">
                  <c:v>3.4563200000000002E-2</c:v>
                </c:pt>
                <c:pt idx="670" formatCode="General">
                  <c:v>3.6376800000000001E-2</c:v>
                </c:pt>
                <c:pt idx="671" formatCode="General">
                  <c:v>3.8176000000000002E-2</c:v>
                </c:pt>
                <c:pt idx="672" formatCode="General">
                  <c:v>4.0100799999999999E-2</c:v>
                </c:pt>
                <c:pt idx="673" formatCode="General">
                  <c:v>4.2108800000000002E-2</c:v>
                </c:pt>
                <c:pt idx="674" formatCode="General">
                  <c:v>4.4395200000000003E-2</c:v>
                </c:pt>
                <c:pt idx="675" formatCode="General">
                  <c:v>4.6811199999999997E-2</c:v>
                </c:pt>
                <c:pt idx="676" formatCode="General">
                  <c:v>4.93824E-2</c:v>
                </c:pt>
                <c:pt idx="677" formatCode="General">
                  <c:v>5.1933600000000003E-2</c:v>
                </c:pt>
                <c:pt idx="678" formatCode="General">
                  <c:v>5.4536000000000001E-2</c:v>
                </c:pt>
                <c:pt idx="679" formatCode="General">
                  <c:v>5.7363200000000003E-2</c:v>
                </c:pt>
                <c:pt idx="680" formatCode="General">
                  <c:v>6.0448800000000004E-2</c:v>
                </c:pt>
                <c:pt idx="681" formatCode="General">
                  <c:v>6.37432E-2</c:v>
                </c:pt>
                <c:pt idx="682" formatCode="General">
                  <c:v>6.7238400000000004E-2</c:v>
                </c:pt>
                <c:pt idx="683" formatCode="General">
                  <c:v>7.0873600000000009E-2</c:v>
                </c:pt>
                <c:pt idx="684" formatCode="General">
                  <c:v>7.4633600000000008E-2</c:v>
                </c:pt>
                <c:pt idx="685" formatCode="General">
                  <c:v>7.8644000000000006E-2</c:v>
                </c:pt>
                <c:pt idx="686" formatCode="General">
                  <c:v>8.2928000000000002E-2</c:v>
                </c:pt>
                <c:pt idx="687" formatCode="General">
                  <c:v>8.7368000000000001E-2</c:v>
                </c:pt>
                <c:pt idx="688" formatCode="General">
                  <c:v>9.198400000000001E-2</c:v>
                </c:pt>
                <c:pt idx="689" formatCode="General">
                  <c:v>9.6864000000000006E-2</c:v>
                </c:pt>
                <c:pt idx="690" formatCode="General">
                  <c:v>0.10216799999999999</c:v>
                </c:pt>
                <c:pt idx="691" formatCode="General">
                  <c:v>0.10759200000000001</c:v>
                </c:pt>
                <c:pt idx="692" formatCode="General">
                  <c:v>0.11332</c:v>
                </c:pt>
                <c:pt idx="693" formatCode="General">
                  <c:v>0.119528</c:v>
                </c:pt>
                <c:pt idx="694" formatCode="General">
                  <c:v>0.12625600000000001</c:v>
                </c:pt>
                <c:pt idx="695" formatCode="General">
                  <c:v>0.13331999999999999</c:v>
                </c:pt>
                <c:pt idx="696" formatCode="General">
                  <c:v>0.140344</c:v>
                </c:pt>
                <c:pt idx="697" formatCode="General">
                  <c:v>0.14774400000000001</c:v>
                </c:pt>
                <c:pt idx="698" formatCode="General">
                  <c:v>0.15548000000000001</c:v>
                </c:pt>
                <c:pt idx="699" formatCode="General">
                  <c:v>0.16356000000000001</c:v>
                </c:pt>
                <c:pt idx="700" formatCode="General">
                  <c:v>0.17249600000000001</c:v>
                </c:pt>
                <c:pt idx="701" formatCode="General">
                  <c:v>0.18192</c:v>
                </c:pt>
                <c:pt idx="702" formatCode="General">
                  <c:v>0.19200800000000001</c:v>
                </c:pt>
                <c:pt idx="703" formatCode="General">
                  <c:v>0.20238400000000001</c:v>
                </c:pt>
                <c:pt idx="704" formatCode="General">
                  <c:v>0.21307999999999999</c:v>
                </c:pt>
                <c:pt idx="705" formatCode="General">
                  <c:v>0.22430400000000003</c:v>
                </c:pt>
                <c:pt idx="706" formatCode="General">
                  <c:v>0.23656000000000002</c:v>
                </c:pt>
                <c:pt idx="707" formatCode="General">
                  <c:v>0.249136</c:v>
                </c:pt>
                <c:pt idx="708" formatCode="General">
                  <c:v>0.262712</c:v>
                </c:pt>
                <c:pt idx="709" formatCode="General">
                  <c:v>0.27693600000000002</c:v>
                </c:pt>
                <c:pt idx="710" formatCode="General">
                  <c:v>0.29196</c:v>
                </c:pt>
                <c:pt idx="711" formatCode="General">
                  <c:v>0.30760000000000004</c:v>
                </c:pt>
                <c:pt idx="712" formatCode="General">
                  <c:v>0.32375200000000004</c:v>
                </c:pt>
                <c:pt idx="713" formatCode="General">
                  <c:v>0.34047200000000005</c:v>
                </c:pt>
                <c:pt idx="714" formatCode="General">
                  <c:v>0.35780800000000001</c:v>
                </c:pt>
                <c:pt idx="715" formatCode="General">
                  <c:v>0.37620800000000004</c:v>
                </c:pt>
                <c:pt idx="716" formatCode="General">
                  <c:v>0.39508800000000005</c:v>
                </c:pt>
                <c:pt idx="717" formatCode="General">
                  <c:v>0.414352</c:v>
                </c:pt>
                <c:pt idx="718" formatCode="General">
                  <c:v>0.43470399999999998</c:v>
                </c:pt>
                <c:pt idx="719" formatCode="General">
                  <c:v>0.45638400000000001</c:v>
                </c:pt>
                <c:pt idx="720" formatCode="General">
                  <c:v>0.47871200000000003</c:v>
                </c:pt>
                <c:pt idx="721" formatCode="General">
                  <c:v>0.5013200000000001</c:v>
                </c:pt>
                <c:pt idx="722" formatCode="General">
                  <c:v>0.52465600000000001</c:v>
                </c:pt>
                <c:pt idx="723" formatCode="General">
                  <c:v>0.54810400000000004</c:v>
                </c:pt>
                <c:pt idx="724" formatCode="General">
                  <c:v>0.57209600000000005</c:v>
                </c:pt>
                <c:pt idx="725" formatCode="General">
                  <c:v>0.595688</c:v>
                </c:pt>
                <c:pt idx="726" formatCode="General">
                  <c:v>0.61917600000000006</c:v>
                </c:pt>
                <c:pt idx="727" formatCode="General">
                  <c:v>0.64298400000000011</c:v>
                </c:pt>
                <c:pt idx="728" formatCode="General">
                  <c:v>0.66791200000000006</c:v>
                </c:pt>
                <c:pt idx="729" formatCode="General">
                  <c:v>0.69432800000000006</c:v>
                </c:pt>
                <c:pt idx="730" formatCode="General">
                  <c:v>0.72010400000000008</c:v>
                </c:pt>
                <c:pt idx="731" formatCode="General">
                  <c:v>0.74545600000000001</c:v>
                </c:pt>
                <c:pt idx="732" formatCode="General">
                  <c:v>0.77136800000000005</c:v>
                </c:pt>
                <c:pt idx="733" formatCode="General">
                  <c:v>0.79836000000000007</c:v>
                </c:pt>
                <c:pt idx="734" formatCode="General">
                  <c:v>0.82384000000000013</c:v>
                </c:pt>
                <c:pt idx="735" formatCode="General">
                  <c:v>0.84928000000000015</c:v>
                </c:pt>
                <c:pt idx="736" formatCode="General">
                  <c:v>0.87287999999999999</c:v>
                </c:pt>
                <c:pt idx="737" formatCode="General">
                  <c:v>0.89400000000000002</c:v>
                </c:pt>
                <c:pt idx="738" formatCode="General">
                  <c:v>0.91183999999999998</c:v>
                </c:pt>
                <c:pt idx="739" formatCode="General">
                  <c:v>0.92632000000000003</c:v>
                </c:pt>
                <c:pt idx="740" formatCode="General">
                  <c:v>0.93728</c:v>
                </c:pt>
                <c:pt idx="741" formatCode="General">
                  <c:v>0.94520000000000004</c:v>
                </c:pt>
                <c:pt idx="742" formatCode="General">
                  <c:v>0.94879999999999998</c:v>
                </c:pt>
                <c:pt idx="743" formatCode="General">
                  <c:v>0.94984000000000002</c:v>
                </c:pt>
                <c:pt idx="744" formatCode="General">
                  <c:v>0.9464800000000001</c:v>
                </c:pt>
                <c:pt idx="745" formatCode="General">
                  <c:v>0.93696000000000002</c:v>
                </c:pt>
                <c:pt idx="746" formatCode="General">
                  <c:v>0.92392000000000007</c:v>
                </c:pt>
                <c:pt idx="747" formatCode="General">
                  <c:v>0.90640000000000009</c:v>
                </c:pt>
                <c:pt idx="748" formatCode="General">
                  <c:v>0.87888000000000011</c:v>
                </c:pt>
                <c:pt idx="749" formatCode="General">
                  <c:v>0.84336000000000011</c:v>
                </c:pt>
                <c:pt idx="750" formatCode="General">
                  <c:v>0.80191999999999997</c:v>
                </c:pt>
                <c:pt idx="751" formatCode="General">
                  <c:v>0.76141600000000009</c:v>
                </c:pt>
                <c:pt idx="752" formatCode="General">
                  <c:v>0.72169600000000012</c:v>
                </c:pt>
                <c:pt idx="753" formatCode="General">
                  <c:v>0.68155200000000005</c:v>
                </c:pt>
                <c:pt idx="754" formatCode="General">
                  <c:v>0.63839200000000007</c:v>
                </c:pt>
                <c:pt idx="755" formatCode="General">
                  <c:v>0.59284000000000003</c:v>
                </c:pt>
                <c:pt idx="756" formatCode="General">
                  <c:v>0.54633600000000004</c:v>
                </c:pt>
                <c:pt idx="757" formatCode="General">
                  <c:v>0.50127200000000005</c:v>
                </c:pt>
                <c:pt idx="758" formatCode="General">
                  <c:v>0.46013599999999999</c:v>
                </c:pt>
                <c:pt idx="759" formatCode="General">
                  <c:v>0.42265600000000003</c:v>
                </c:pt>
                <c:pt idx="760" formatCode="General">
                  <c:v>0.38759199999999999</c:v>
                </c:pt>
                <c:pt idx="761" formatCode="General">
                  <c:v>0.35477599999999998</c:v>
                </c:pt>
                <c:pt idx="762" formatCode="General">
                  <c:v>0.32568000000000003</c:v>
                </c:pt>
                <c:pt idx="763" formatCode="General">
                  <c:v>0.29909599999999997</c:v>
                </c:pt>
                <c:pt idx="764" formatCode="General">
                  <c:v>0.27502399999999999</c:v>
                </c:pt>
                <c:pt idx="765" formatCode="General">
                  <c:v>0.25293599999999999</c:v>
                </c:pt>
                <c:pt idx="766" formatCode="General">
                  <c:v>0.23272000000000001</c:v>
                </c:pt>
                <c:pt idx="767" formatCode="General">
                  <c:v>0.21443200000000001</c:v>
                </c:pt>
                <c:pt idx="768" formatCode="General">
                  <c:v>0.19774400000000003</c:v>
                </c:pt>
                <c:pt idx="769" formatCode="General">
                  <c:v>0.18240000000000001</c:v>
                </c:pt>
                <c:pt idx="770" formatCode="General">
                  <c:v>0.16856800000000002</c:v>
                </c:pt>
                <c:pt idx="771" formatCode="General">
                  <c:v>0.15567200000000003</c:v>
                </c:pt>
                <c:pt idx="772" formatCode="General">
                  <c:v>0.143624</c:v>
                </c:pt>
                <c:pt idx="773" formatCode="General">
                  <c:v>0.13261600000000001</c:v>
                </c:pt>
                <c:pt idx="774" formatCode="General">
                  <c:v>0.12256800000000001</c:v>
                </c:pt>
                <c:pt idx="775" formatCode="General">
                  <c:v>0.113232</c:v>
                </c:pt>
                <c:pt idx="776" formatCode="General">
                  <c:v>0.104768</c:v>
                </c:pt>
                <c:pt idx="777" formatCode="General">
                  <c:v>9.7056000000000003E-2</c:v>
                </c:pt>
                <c:pt idx="778" formatCode="General">
                  <c:v>8.9856000000000005E-2</c:v>
                </c:pt>
                <c:pt idx="779" formatCode="General">
                  <c:v>8.3360000000000004E-2</c:v>
                </c:pt>
                <c:pt idx="780" formatCode="General">
                  <c:v>7.7371200000000001E-2</c:v>
                </c:pt>
                <c:pt idx="781" formatCode="General">
                  <c:v>7.1856799999999998E-2</c:v>
                </c:pt>
                <c:pt idx="782" formatCode="General">
                  <c:v>6.6856800000000008E-2</c:v>
                </c:pt>
                <c:pt idx="783" formatCode="General">
                  <c:v>6.22184E-2</c:v>
                </c:pt>
                <c:pt idx="784" formatCode="General">
                  <c:v>5.8126400000000002E-2</c:v>
                </c:pt>
                <c:pt idx="785" formatCode="General">
                  <c:v>5.4327199999999999E-2</c:v>
                </c:pt>
                <c:pt idx="786" formatCode="General">
                  <c:v>5.0867200000000001E-2</c:v>
                </c:pt>
                <c:pt idx="787" formatCode="General">
                  <c:v>4.7472800000000002E-2</c:v>
                </c:pt>
                <c:pt idx="788" formatCode="General">
                  <c:v>4.4261600000000005E-2</c:v>
                </c:pt>
                <c:pt idx="789" formatCode="General">
                  <c:v>4.1394399999999998E-2</c:v>
                </c:pt>
                <c:pt idx="790" formatCode="General">
                  <c:v>3.8798400000000004E-2</c:v>
                </c:pt>
                <c:pt idx="791" formatCode="General">
                  <c:v>3.6404800000000001E-2</c:v>
                </c:pt>
                <c:pt idx="792" formatCode="General">
                  <c:v>3.4364800000000001E-2</c:v>
                </c:pt>
                <c:pt idx="793" formatCode="General">
                  <c:v>3.24464E-2</c:v>
                </c:pt>
                <c:pt idx="794" formatCode="General">
                  <c:v>3.06424E-2</c:v>
                </c:pt>
                <c:pt idx="795" formatCode="General">
                  <c:v>2.8775200000000001E-2</c:v>
                </c:pt>
                <c:pt idx="796" formatCode="General">
                  <c:v>2.7179200000000001E-2</c:v>
                </c:pt>
                <c:pt idx="797" formatCode="General">
                  <c:v>2.5792800000000001E-2</c:v>
                </c:pt>
                <c:pt idx="798" formatCode="General">
                  <c:v>2.4447200000000002E-2</c:v>
                </c:pt>
                <c:pt idx="799" formatCode="General">
                  <c:v>2.3148000000000002E-2</c:v>
                </c:pt>
                <c:pt idx="800" formatCode="General">
                  <c:v>2.1809600000000002E-2</c:v>
                </c:pt>
                <c:pt idx="801" formatCode="General">
                  <c:v>2.0508000000000002E-2</c:v>
                </c:pt>
                <c:pt idx="802" formatCode="General">
                  <c:v>1.9155200000000001E-2</c:v>
                </c:pt>
                <c:pt idx="803" formatCode="General">
                  <c:v>1.79968E-2</c:v>
                </c:pt>
                <c:pt idx="804" formatCode="General">
                  <c:v>1.7085600000000003E-2</c:v>
                </c:pt>
                <c:pt idx="805" formatCode="General">
                  <c:v>1.6223999999999999E-2</c:v>
                </c:pt>
                <c:pt idx="806" formatCode="General">
                  <c:v>1.5323999999999999E-2</c:v>
                </c:pt>
                <c:pt idx="807" formatCode="General">
                  <c:v>1.4446400000000002E-2</c:v>
                </c:pt>
                <c:pt idx="808" formatCode="General">
                  <c:v>1.37736E-2</c:v>
                </c:pt>
                <c:pt idx="809" formatCode="General">
                  <c:v>1.3299200000000001E-2</c:v>
                </c:pt>
                <c:pt idx="810" formatCode="General">
                  <c:v>1.27928E-2</c:v>
                </c:pt>
                <c:pt idx="811" formatCode="General">
                  <c:v>1.2059200000000001E-2</c:v>
                </c:pt>
                <c:pt idx="812" formatCode="General">
                  <c:v>1.1253600000000001E-2</c:v>
                </c:pt>
                <c:pt idx="813" formatCode="General">
                  <c:v>1.05848E-2</c:v>
                </c:pt>
                <c:pt idx="814" formatCode="General">
                  <c:v>1.0059999999999999E-2</c:v>
                </c:pt>
                <c:pt idx="815" formatCode="General">
                  <c:v>9.6560000000000014E-3</c:v>
                </c:pt>
                <c:pt idx="816" formatCode="General">
                  <c:v>9.1415999999999997E-3</c:v>
                </c:pt>
                <c:pt idx="817" formatCode="General">
                  <c:v>8.5967999999999999E-3</c:v>
                </c:pt>
                <c:pt idx="818" formatCode="General">
                  <c:v>8.0032000000000002E-3</c:v>
                </c:pt>
                <c:pt idx="819" formatCode="General">
                  <c:v>7.7355999999999996E-3</c:v>
                </c:pt>
                <c:pt idx="820" formatCode="General">
                  <c:v>7.577920000000001E-3</c:v>
                </c:pt>
                <c:pt idx="821" formatCode="General">
                  <c:v>7.3213600000000007E-3</c:v>
                </c:pt>
                <c:pt idx="822" formatCode="General">
                  <c:v>6.8015999999999997E-3</c:v>
                </c:pt>
                <c:pt idx="823" formatCode="General">
                  <c:v>6.5501599999999993E-3</c:v>
                </c:pt>
                <c:pt idx="824" formatCode="General">
                  <c:v>6.4225599999999999E-3</c:v>
                </c:pt>
                <c:pt idx="825" formatCode="General">
                  <c:v>6.5515199999999999E-3</c:v>
                </c:pt>
                <c:pt idx="826" formatCode="General">
                  <c:v>6.4067200000000012E-3</c:v>
                </c:pt>
                <c:pt idx="827" formatCode="General">
                  <c:v>6.1402400000000008E-3</c:v>
                </c:pt>
                <c:pt idx="828" formatCode="General">
                  <c:v>5.7408800000000003E-3</c:v>
                </c:pt>
                <c:pt idx="829" formatCode="General">
                  <c:v>5.2684000000000003E-3</c:v>
                </c:pt>
                <c:pt idx="830" formatCode="General">
                  <c:v>4.9408800000000008E-3</c:v>
                </c:pt>
                <c:pt idx="831" formatCode="General">
                  <c:v>4.7180800000000004E-3</c:v>
                </c:pt>
                <c:pt idx="832" formatCode="General">
                  <c:v>4.6329600000000002E-3</c:v>
                </c:pt>
                <c:pt idx="833" formatCode="General">
                  <c:v>4.4054400000000001E-3</c:v>
                </c:pt>
                <c:pt idx="834" formatCode="General">
                  <c:v>4.1602399999999999E-3</c:v>
                </c:pt>
                <c:pt idx="835" formatCode="General">
                  <c:v>4.08224E-3</c:v>
                </c:pt>
                <c:pt idx="836" formatCode="General">
                  <c:v>4.0535200000000006E-3</c:v>
                </c:pt>
                <c:pt idx="837" formatCode="General">
                  <c:v>4.0586400000000005E-3</c:v>
                </c:pt>
                <c:pt idx="838" formatCode="General">
                  <c:v>3.92232E-3</c:v>
                </c:pt>
                <c:pt idx="839" formatCode="General">
                  <c:v>3.9446400000000001E-3</c:v>
                </c:pt>
                <c:pt idx="840" formatCode="General">
                  <c:v>3.7464799999999999E-3</c:v>
                </c:pt>
                <c:pt idx="841" formatCode="General">
                  <c:v>3.4819200000000003E-3</c:v>
                </c:pt>
                <c:pt idx="842" formatCode="General">
                  <c:v>3.2847200000000001E-3</c:v>
                </c:pt>
                <c:pt idx="843" formatCode="General">
                  <c:v>3.3952000000000006E-3</c:v>
                </c:pt>
                <c:pt idx="844" formatCode="General">
                  <c:v>3.4011200000000001E-3</c:v>
                </c:pt>
                <c:pt idx="845" formatCode="General">
                  <c:v>3.2770400000000002E-3</c:v>
                </c:pt>
                <c:pt idx="846" formatCode="General">
                  <c:v>2.9412800000000001E-3</c:v>
                </c:pt>
                <c:pt idx="847" formatCode="General">
                  <c:v>2.7830400000000005E-3</c:v>
                </c:pt>
                <c:pt idx="848" formatCode="General">
                  <c:v>2.5917600000000002E-3</c:v>
                </c:pt>
                <c:pt idx="849" formatCode="General">
                  <c:v>2.6179200000000001E-3</c:v>
                </c:pt>
                <c:pt idx="850" formatCode="General">
                  <c:v>2.7947200000000001E-3</c:v>
                </c:pt>
                <c:pt idx="851" formatCode="General">
                  <c:v>2.78488E-3</c:v>
                </c:pt>
                <c:pt idx="852" formatCode="General">
                  <c:v>2.53696E-3</c:v>
                </c:pt>
                <c:pt idx="853" formatCode="General">
                  <c:v>2.2292000000000002E-3</c:v>
                </c:pt>
                <c:pt idx="854" formatCode="General">
                  <c:v>2.1805600000000002E-3</c:v>
                </c:pt>
                <c:pt idx="855" formatCode="General">
                  <c:v>2.0852000000000002E-3</c:v>
                </c:pt>
                <c:pt idx="856" formatCode="General">
                  <c:v>2.1753600000000003E-3</c:v>
                </c:pt>
                <c:pt idx="857" formatCode="General">
                  <c:v>2.1889599999999998E-3</c:v>
                </c:pt>
                <c:pt idx="858" formatCode="General">
                  <c:v>2.1459999999999999E-3</c:v>
                </c:pt>
                <c:pt idx="859" formatCode="General">
                  <c:v>2.0507999999999998E-3</c:v>
                </c:pt>
                <c:pt idx="860" formatCode="General">
                  <c:v>1.88872E-3</c:v>
                </c:pt>
                <c:pt idx="861" formatCode="General">
                  <c:v>1.9223199999999999E-3</c:v>
                </c:pt>
                <c:pt idx="862" formatCode="General">
                  <c:v>1.9796800000000002E-3</c:v>
                </c:pt>
                <c:pt idx="863" formatCode="General">
                  <c:v>2.1277600000000002E-3</c:v>
                </c:pt>
                <c:pt idx="864" formatCode="General">
                  <c:v>2.1204000000000001E-3</c:v>
                </c:pt>
                <c:pt idx="865" formatCode="General">
                  <c:v>1.8402399999999999E-3</c:v>
                </c:pt>
                <c:pt idx="866" formatCode="General">
                  <c:v>1.5920000000000001E-3</c:v>
                </c:pt>
                <c:pt idx="867" formatCode="General">
                  <c:v>1.4607999999999999E-3</c:v>
                </c:pt>
                <c:pt idx="868" formatCode="General">
                  <c:v>1.60136E-3</c:v>
                </c:pt>
                <c:pt idx="869" formatCode="General">
                  <c:v>1.8428799999999999E-3</c:v>
                </c:pt>
                <c:pt idx="870" formatCode="General">
                  <c:v>1.8915200000000001E-3</c:v>
                </c:pt>
                <c:pt idx="871" formatCode="General">
                  <c:v>1.7527200000000001E-3</c:v>
                </c:pt>
                <c:pt idx="872" formatCode="General">
                  <c:v>1.7432000000000001E-3</c:v>
                </c:pt>
                <c:pt idx="873" formatCode="General">
                  <c:v>1.6572000000000002E-3</c:v>
                </c:pt>
                <c:pt idx="874" formatCode="General">
                  <c:v>1.7128000000000002E-3</c:v>
                </c:pt>
                <c:pt idx="875" formatCode="General">
                  <c:v>1.5553600000000002E-3</c:v>
                </c:pt>
                <c:pt idx="876" formatCode="General">
                  <c:v>1.6207200000000002E-3</c:v>
                </c:pt>
                <c:pt idx="877" formatCode="General">
                  <c:v>1.53736E-3</c:v>
                </c:pt>
                <c:pt idx="878" formatCode="General">
                  <c:v>1.3268800000000001E-3</c:v>
                </c:pt>
                <c:pt idx="879" formatCode="General">
                  <c:v>1.2496E-3</c:v>
                </c:pt>
                <c:pt idx="880" formatCode="General">
                  <c:v>1.50672E-3</c:v>
                </c:pt>
                <c:pt idx="881" formatCode="General">
                  <c:v>1.8223199999999999E-3</c:v>
                </c:pt>
                <c:pt idx="882" formatCode="General">
                  <c:v>1.8590400000000002E-3</c:v>
                </c:pt>
                <c:pt idx="883" formatCode="General">
                  <c:v>1.64536E-3</c:v>
                </c:pt>
                <c:pt idx="884" formatCode="General">
                  <c:v>1.68384E-3</c:v>
                </c:pt>
                <c:pt idx="885" formatCode="General">
                  <c:v>1.6856800000000002E-3</c:v>
                </c:pt>
                <c:pt idx="886" formatCode="General">
                  <c:v>1.50928E-3</c:v>
                </c:pt>
                <c:pt idx="887" formatCode="General">
                  <c:v>1.3148000000000001E-3</c:v>
                </c:pt>
                <c:pt idx="888" formatCode="General">
                  <c:v>1.4336800000000001E-3</c:v>
                </c:pt>
                <c:pt idx="889" formatCode="General">
                  <c:v>1.7881600000000002E-3</c:v>
                </c:pt>
                <c:pt idx="890" formatCode="General">
                  <c:v>1.7836000000000002E-3</c:v>
                </c:pt>
                <c:pt idx="891" formatCode="General">
                  <c:v>1.3327200000000001E-3</c:v>
                </c:pt>
                <c:pt idx="892" formatCode="General">
                  <c:v>9.3968000000000003E-4</c:v>
                </c:pt>
                <c:pt idx="893" formatCode="General">
                  <c:v>9.5624000000000013E-4</c:v>
                </c:pt>
                <c:pt idx="894" formatCode="General">
                  <c:v>1.0433599999999999E-3</c:v>
                </c:pt>
                <c:pt idx="895" formatCode="General">
                  <c:v>9.9799999999999997E-4</c:v>
                </c:pt>
                <c:pt idx="896" formatCode="General">
                  <c:v>8.5015999999999998E-4</c:v>
                </c:pt>
                <c:pt idx="897" formatCode="General">
                  <c:v>9.8440000000000008E-4</c:v>
                </c:pt>
                <c:pt idx="898" formatCode="General">
                  <c:v>1.1547999999999999E-3</c:v>
                </c:pt>
                <c:pt idx="899" formatCode="General">
                  <c:v>1.2968000000000001E-3</c:v>
                </c:pt>
                <c:pt idx="900" formatCode="General">
                  <c:v>1.3880000000000001E-3</c:v>
                </c:pt>
              </c:numCache>
            </c:numRef>
          </c:val>
          <c:smooth val="0"/>
          <c:extLst>
            <c:ext xmlns:c16="http://schemas.microsoft.com/office/drawing/2014/chart" uri="{C3380CC4-5D6E-409C-BE32-E72D297353CC}">
              <c16:uniqueId val="{00000000-A944-C847-8F08-59DF3515EB41}"/>
            </c:ext>
          </c:extLst>
        </c:ser>
        <c:dLbls>
          <c:showLegendKey val="0"/>
          <c:showVal val="0"/>
          <c:showCatName val="0"/>
          <c:showSerName val="0"/>
          <c:showPercent val="0"/>
          <c:showBubbleSize val="0"/>
        </c:dLbls>
        <c:smooth val="0"/>
        <c:axId val="1101955759"/>
        <c:axId val="1182404623"/>
      </c:lineChart>
      <c:catAx>
        <c:axId val="1101955759"/>
        <c:scaling>
          <c:orientation val="minMax"/>
        </c:scaling>
        <c:delete val="0"/>
        <c:axPos val="b"/>
        <c:numFmt formatCode="General" sourceLinked="1"/>
        <c:majorTickMark val="none"/>
        <c:minorTickMark val="none"/>
        <c:tickLblPos val="nextTo"/>
        <c:spPr>
          <a:noFill/>
          <a:ln w="9525" cap="flat" cmpd="sng" algn="ctr">
            <a:solidFill>
              <a:schemeClr val="tx1"/>
            </a:solidFill>
            <a:round/>
          </a:ln>
          <a:effectLst/>
        </c:spPr>
        <c:txPr>
          <a:bodyPr rot="-60000000" spcFirstLastPara="1" vertOverflow="ellipsis" vert="horz" wrap="square" anchor="ctr" anchorCtr="1"/>
          <a:lstStyle/>
          <a:p>
            <a:pPr>
              <a:defRPr sz="900" b="1" i="0" u="none" strike="noStrike" kern="1200" baseline="0">
                <a:solidFill>
                  <a:schemeClr val="tx1"/>
                </a:solidFill>
                <a:latin typeface="Arial" panose="020B0604020202020204" pitchFamily="34" charset="0"/>
                <a:ea typeface="+mn-ea"/>
                <a:cs typeface="Arial" panose="020B0604020202020204" pitchFamily="34" charset="0"/>
              </a:defRPr>
            </a:pPr>
            <a:endParaRPr lang="en-US"/>
          </a:p>
        </c:txPr>
        <c:crossAx val="1182404623"/>
        <c:crosses val="autoZero"/>
        <c:auto val="0"/>
        <c:lblAlgn val="ctr"/>
        <c:lblOffset val="100"/>
        <c:tickLblSkip val="100"/>
        <c:tickMarkSkip val="1"/>
        <c:noMultiLvlLbl val="0"/>
      </c:catAx>
      <c:valAx>
        <c:axId val="1182404623"/>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000" b="1" i="0" u="none" strike="noStrike" kern="1200" baseline="0">
                    <a:solidFill>
                      <a:schemeClr val="tx1"/>
                    </a:solidFill>
                    <a:latin typeface="Arial" panose="020B0604020202020204" pitchFamily="34" charset="0"/>
                    <a:ea typeface="+mn-ea"/>
                    <a:cs typeface="Arial" panose="020B0604020202020204" pitchFamily="34" charset="0"/>
                  </a:defRPr>
                </a:pPr>
                <a:r>
                  <a:rPr lang="en-US" b="1"/>
                  <a:t>Intensity (µmols</a:t>
                </a:r>
                <a:r>
                  <a:rPr lang="en-US" b="1" baseline="0"/>
                  <a:t> </a:t>
                </a:r>
                <a:r>
                  <a:rPr lang="en-US" b="1" baseline="30000"/>
                  <a:t>.</a:t>
                </a:r>
                <a:r>
                  <a:rPr lang="en-US" b="1" baseline="0"/>
                  <a:t> </a:t>
                </a:r>
                <a:r>
                  <a:rPr lang="en-US" b="1"/>
                  <a:t>m-</a:t>
                </a:r>
                <a:r>
                  <a:rPr lang="en-US" b="1" baseline="30000"/>
                  <a:t>2</a:t>
                </a:r>
                <a:r>
                  <a:rPr lang="en-US" sz="1000" b="1" i="0" u="none" strike="noStrike" baseline="30000">
                    <a:effectLst/>
                  </a:rPr>
                  <a:t> .</a:t>
                </a:r>
                <a:r>
                  <a:rPr lang="en-US" sz="1000" b="1" i="0" u="none" strike="noStrike" baseline="0">
                    <a:effectLst/>
                  </a:rPr>
                  <a:t> </a:t>
                </a:r>
                <a:r>
                  <a:rPr lang="en-US" b="1"/>
                  <a:t>sec</a:t>
                </a:r>
                <a:r>
                  <a:rPr lang="en-US" b="1" baseline="30000"/>
                  <a:t>-1</a:t>
                </a:r>
                <a:r>
                  <a:rPr lang="en-US" b="1"/>
                  <a:t>)</a:t>
                </a:r>
              </a:p>
            </c:rich>
          </c:tx>
          <c:overlay val="0"/>
          <c:spPr>
            <a:noFill/>
            <a:ln>
              <a:noFill/>
            </a:ln>
            <a:effectLst/>
          </c:spPr>
          <c:txPr>
            <a:bodyPr rot="-5400000" spcFirstLastPara="1" vertOverflow="ellipsis" vert="horz" wrap="square" anchor="ctr" anchorCtr="1"/>
            <a:lstStyle/>
            <a:p>
              <a:pPr>
                <a:defRPr sz="1000" b="1" i="0" u="none" strike="noStrike" kern="1200" baseline="0">
                  <a:solidFill>
                    <a:schemeClr val="tx1"/>
                  </a:solidFill>
                  <a:latin typeface="Arial" panose="020B0604020202020204" pitchFamily="34" charset="0"/>
                  <a:ea typeface="+mn-ea"/>
                  <a:cs typeface="Arial" panose="020B0604020202020204" pitchFamily="34" charset="0"/>
                </a:defRPr>
              </a:pPr>
              <a:endParaRPr lang="en-US"/>
            </a:p>
          </c:txPr>
        </c:title>
        <c:numFmt formatCode="General" sourceLinked="0"/>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solidFill>
                <a:latin typeface="Arial" panose="020B0604020202020204" pitchFamily="34" charset="0"/>
                <a:ea typeface="+mn-ea"/>
                <a:cs typeface="Arial" panose="020B0604020202020204" pitchFamily="34" charset="0"/>
              </a:defRPr>
            </a:pPr>
            <a:endParaRPr lang="en-US"/>
          </a:p>
        </c:txPr>
        <c:crossAx val="1101955759"/>
        <c:crosses val="autoZero"/>
        <c:crossBetween val="between"/>
      </c:valAx>
      <c:spPr>
        <a:noFill/>
        <a:ln>
          <a:noFill/>
        </a:ln>
        <a:effectLst/>
      </c:spPr>
    </c:plotArea>
    <c:legend>
      <c:legendPos val="b"/>
      <c:legendEntry>
        <c:idx val="0"/>
        <c:txPr>
          <a:bodyPr rot="0" spcFirstLastPara="1" vertOverflow="ellipsis" vert="horz" wrap="square" anchor="ctr" anchorCtr="1"/>
          <a:lstStyle/>
          <a:p>
            <a:pPr>
              <a:defRPr sz="1000" b="0" i="0" u="none" strike="noStrike" kern="1200" baseline="0">
                <a:solidFill>
                  <a:schemeClr val="tx1"/>
                </a:solidFill>
                <a:latin typeface="Arial" panose="020B0604020202020204" pitchFamily="34" charset="0"/>
                <a:ea typeface="+mn-ea"/>
                <a:cs typeface="Arial" panose="020B0604020202020204" pitchFamily="34" charset="0"/>
              </a:defRPr>
            </a:pPr>
            <a:endParaRPr lang="en-US"/>
          </a:p>
        </c:txPr>
      </c:legendEntry>
      <c:layout>
        <c:manualLayout>
          <c:xMode val="edge"/>
          <c:yMode val="edge"/>
          <c:x val="0.78683760683760684"/>
          <c:y val="0.93467753652827823"/>
          <c:w val="0.20410256410256411"/>
          <c:h val="5.2917439436987727E-2"/>
        </c:manualLayout>
      </c:layout>
      <c:overlay val="0"/>
      <c:spPr>
        <a:noFill/>
        <a:ln>
          <a:solidFill>
            <a:schemeClr val="tx1"/>
          </a:solidFill>
        </a:ln>
        <a:effectLst/>
      </c:spPr>
      <c:txPr>
        <a:bodyPr rot="0" spcFirstLastPara="1" vertOverflow="ellipsis" vert="horz" wrap="square" anchor="ctr" anchorCtr="1"/>
        <a:lstStyle/>
        <a:p>
          <a:pPr>
            <a:defRPr sz="1000" b="0" i="0" u="none" strike="noStrike" kern="1200" baseline="0">
              <a:solidFill>
                <a:schemeClr val="tx1"/>
              </a:solidFill>
              <a:latin typeface="Arial" panose="020B0604020202020204" pitchFamily="34" charset="0"/>
              <a:ea typeface="+mn-ea"/>
              <a:cs typeface="Arial" panose="020B0604020202020204" pitchFamily="34" charset="0"/>
            </a:defRPr>
          </a:pPr>
          <a:endParaRPr lang="en-US"/>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solidFill>
      <a:round/>
    </a:ln>
    <a:effectLst/>
  </c:spPr>
  <c:txPr>
    <a:bodyPr/>
    <a:lstStyle/>
    <a:p>
      <a:pPr>
        <a:defRPr>
          <a:solidFill>
            <a:schemeClr val="tx1"/>
          </a:solidFill>
          <a:latin typeface="Arial" panose="020B0604020202020204" pitchFamily="34" charset="0"/>
          <a:cs typeface="Arial" panose="020B0604020202020204" pitchFamily="34" charset="0"/>
        </a:defRPr>
      </a:pPr>
      <a:endParaRPr lang="en-US"/>
    </a:p>
  </c:txPr>
  <c:externalData r:id="rId3">
    <c:autoUpdate val="0"/>
  </c:externalData>
  <c:userShapes r:id="rId4"/>
</c:chartSpace>
</file>

<file path=word/charts/chart10.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lineChart>
        <c:grouping val="standard"/>
        <c:varyColors val="0"/>
        <c:ser>
          <c:idx val="1"/>
          <c:order val="0"/>
          <c:tx>
            <c:strRef>
              <c:f>'T2 (4)'!$B$2</c:f>
              <c:strCache>
                <c:ptCount val="1"/>
                <c:pt idx="0">
                  <c:v>470/450/420</c:v>
                </c:pt>
              </c:strCache>
            </c:strRef>
          </c:tx>
          <c:spPr>
            <a:ln w="28575" cap="rnd">
              <a:solidFill>
                <a:schemeClr val="tx1"/>
              </a:solidFill>
              <a:round/>
            </a:ln>
            <a:effectLst/>
          </c:spPr>
          <c:marker>
            <c:symbol val="none"/>
          </c:marker>
          <c:cat>
            <c:numRef>
              <c:f>'T2 (4)'!$A$113:$A$1013</c:f>
              <c:numCache>
                <c:formatCode>General</c:formatCode>
                <c:ptCount val="901"/>
                <c:pt idx="0">
                  <c:v>300</c:v>
                </c:pt>
                <c:pt idx="1">
                  <c:v>300.5</c:v>
                </c:pt>
                <c:pt idx="2">
                  <c:v>301</c:v>
                </c:pt>
                <c:pt idx="3">
                  <c:v>301.5</c:v>
                </c:pt>
                <c:pt idx="4">
                  <c:v>302</c:v>
                </c:pt>
                <c:pt idx="5">
                  <c:v>302.5</c:v>
                </c:pt>
                <c:pt idx="6">
                  <c:v>303</c:v>
                </c:pt>
                <c:pt idx="7">
                  <c:v>303.5</c:v>
                </c:pt>
                <c:pt idx="8">
                  <c:v>304</c:v>
                </c:pt>
                <c:pt idx="9">
                  <c:v>304.5</c:v>
                </c:pt>
                <c:pt idx="10">
                  <c:v>305</c:v>
                </c:pt>
                <c:pt idx="11">
                  <c:v>305.5</c:v>
                </c:pt>
                <c:pt idx="12">
                  <c:v>306</c:v>
                </c:pt>
                <c:pt idx="13">
                  <c:v>306.5</c:v>
                </c:pt>
                <c:pt idx="14">
                  <c:v>307</c:v>
                </c:pt>
                <c:pt idx="15">
                  <c:v>307.5</c:v>
                </c:pt>
                <c:pt idx="16">
                  <c:v>308</c:v>
                </c:pt>
                <c:pt idx="17">
                  <c:v>308.5</c:v>
                </c:pt>
                <c:pt idx="18">
                  <c:v>309</c:v>
                </c:pt>
                <c:pt idx="19">
                  <c:v>309.5</c:v>
                </c:pt>
                <c:pt idx="20">
                  <c:v>310</c:v>
                </c:pt>
                <c:pt idx="21">
                  <c:v>310.5</c:v>
                </c:pt>
                <c:pt idx="22">
                  <c:v>311</c:v>
                </c:pt>
                <c:pt idx="23">
                  <c:v>311.5</c:v>
                </c:pt>
                <c:pt idx="24">
                  <c:v>312</c:v>
                </c:pt>
                <c:pt idx="25">
                  <c:v>312.5</c:v>
                </c:pt>
                <c:pt idx="26">
                  <c:v>313</c:v>
                </c:pt>
                <c:pt idx="27">
                  <c:v>313.5</c:v>
                </c:pt>
                <c:pt idx="28">
                  <c:v>314</c:v>
                </c:pt>
                <c:pt idx="29">
                  <c:v>314.5</c:v>
                </c:pt>
                <c:pt idx="30">
                  <c:v>315</c:v>
                </c:pt>
                <c:pt idx="31">
                  <c:v>315.5</c:v>
                </c:pt>
                <c:pt idx="32">
                  <c:v>316</c:v>
                </c:pt>
                <c:pt idx="33">
                  <c:v>316.5</c:v>
                </c:pt>
                <c:pt idx="34">
                  <c:v>317</c:v>
                </c:pt>
                <c:pt idx="35">
                  <c:v>317.5</c:v>
                </c:pt>
                <c:pt idx="36">
                  <c:v>318</c:v>
                </c:pt>
                <c:pt idx="37">
                  <c:v>318.5</c:v>
                </c:pt>
                <c:pt idx="38">
                  <c:v>319</c:v>
                </c:pt>
                <c:pt idx="39">
                  <c:v>319.5</c:v>
                </c:pt>
                <c:pt idx="40">
                  <c:v>320</c:v>
                </c:pt>
                <c:pt idx="41">
                  <c:v>320.5</c:v>
                </c:pt>
                <c:pt idx="42">
                  <c:v>321</c:v>
                </c:pt>
                <c:pt idx="43">
                  <c:v>321.5</c:v>
                </c:pt>
                <c:pt idx="44">
                  <c:v>322</c:v>
                </c:pt>
                <c:pt idx="45">
                  <c:v>322.5</c:v>
                </c:pt>
                <c:pt idx="46">
                  <c:v>323</c:v>
                </c:pt>
                <c:pt idx="47">
                  <c:v>323.5</c:v>
                </c:pt>
                <c:pt idx="48">
                  <c:v>324</c:v>
                </c:pt>
                <c:pt idx="49">
                  <c:v>324.5</c:v>
                </c:pt>
                <c:pt idx="50">
                  <c:v>325</c:v>
                </c:pt>
                <c:pt idx="51">
                  <c:v>325.5</c:v>
                </c:pt>
                <c:pt idx="52">
                  <c:v>326</c:v>
                </c:pt>
                <c:pt idx="53">
                  <c:v>326.5</c:v>
                </c:pt>
                <c:pt idx="54">
                  <c:v>327</c:v>
                </c:pt>
                <c:pt idx="55">
                  <c:v>327.5</c:v>
                </c:pt>
                <c:pt idx="56">
                  <c:v>328</c:v>
                </c:pt>
                <c:pt idx="57">
                  <c:v>328.5</c:v>
                </c:pt>
                <c:pt idx="58">
                  <c:v>329</c:v>
                </c:pt>
                <c:pt idx="59">
                  <c:v>329.5</c:v>
                </c:pt>
                <c:pt idx="60">
                  <c:v>330</c:v>
                </c:pt>
                <c:pt idx="61">
                  <c:v>330.5</c:v>
                </c:pt>
                <c:pt idx="62">
                  <c:v>331</c:v>
                </c:pt>
                <c:pt idx="63">
                  <c:v>331.5</c:v>
                </c:pt>
                <c:pt idx="64">
                  <c:v>332</c:v>
                </c:pt>
                <c:pt idx="65">
                  <c:v>332.5</c:v>
                </c:pt>
                <c:pt idx="66">
                  <c:v>333</c:v>
                </c:pt>
                <c:pt idx="67">
                  <c:v>333.5</c:v>
                </c:pt>
                <c:pt idx="68">
                  <c:v>334</c:v>
                </c:pt>
                <c:pt idx="69">
                  <c:v>334.5</c:v>
                </c:pt>
                <c:pt idx="70">
                  <c:v>335</c:v>
                </c:pt>
                <c:pt idx="71">
                  <c:v>335.5</c:v>
                </c:pt>
                <c:pt idx="72">
                  <c:v>336</c:v>
                </c:pt>
                <c:pt idx="73">
                  <c:v>336.5</c:v>
                </c:pt>
                <c:pt idx="74">
                  <c:v>337</c:v>
                </c:pt>
                <c:pt idx="75">
                  <c:v>337.5</c:v>
                </c:pt>
                <c:pt idx="76">
                  <c:v>338</c:v>
                </c:pt>
                <c:pt idx="77">
                  <c:v>338.5</c:v>
                </c:pt>
                <c:pt idx="78">
                  <c:v>339</c:v>
                </c:pt>
                <c:pt idx="79">
                  <c:v>339.5</c:v>
                </c:pt>
                <c:pt idx="80">
                  <c:v>340</c:v>
                </c:pt>
                <c:pt idx="81">
                  <c:v>340.5</c:v>
                </c:pt>
                <c:pt idx="82">
                  <c:v>341</c:v>
                </c:pt>
                <c:pt idx="83">
                  <c:v>341.5</c:v>
                </c:pt>
                <c:pt idx="84">
                  <c:v>342</c:v>
                </c:pt>
                <c:pt idx="85">
                  <c:v>342.5</c:v>
                </c:pt>
                <c:pt idx="86">
                  <c:v>343</c:v>
                </c:pt>
                <c:pt idx="87">
                  <c:v>343.5</c:v>
                </c:pt>
                <c:pt idx="88">
                  <c:v>344</c:v>
                </c:pt>
                <c:pt idx="89">
                  <c:v>344.5</c:v>
                </c:pt>
                <c:pt idx="90">
                  <c:v>345</c:v>
                </c:pt>
                <c:pt idx="91">
                  <c:v>345.5</c:v>
                </c:pt>
                <c:pt idx="92">
                  <c:v>346</c:v>
                </c:pt>
                <c:pt idx="93">
                  <c:v>346.5</c:v>
                </c:pt>
                <c:pt idx="94">
                  <c:v>347</c:v>
                </c:pt>
                <c:pt idx="95">
                  <c:v>347.5</c:v>
                </c:pt>
                <c:pt idx="96">
                  <c:v>348</c:v>
                </c:pt>
                <c:pt idx="97">
                  <c:v>348.5</c:v>
                </c:pt>
                <c:pt idx="98">
                  <c:v>349</c:v>
                </c:pt>
                <c:pt idx="99">
                  <c:v>349.5</c:v>
                </c:pt>
                <c:pt idx="100">
                  <c:v>350</c:v>
                </c:pt>
                <c:pt idx="101">
                  <c:v>350.5</c:v>
                </c:pt>
                <c:pt idx="102">
                  <c:v>351</c:v>
                </c:pt>
                <c:pt idx="103">
                  <c:v>351.5</c:v>
                </c:pt>
                <c:pt idx="104">
                  <c:v>352</c:v>
                </c:pt>
                <c:pt idx="105">
                  <c:v>352.5</c:v>
                </c:pt>
                <c:pt idx="106">
                  <c:v>353</c:v>
                </c:pt>
                <c:pt idx="107">
                  <c:v>353.5</c:v>
                </c:pt>
                <c:pt idx="108">
                  <c:v>354</c:v>
                </c:pt>
                <c:pt idx="109">
                  <c:v>354.5</c:v>
                </c:pt>
                <c:pt idx="110">
                  <c:v>355</c:v>
                </c:pt>
                <c:pt idx="111">
                  <c:v>355.5</c:v>
                </c:pt>
                <c:pt idx="112">
                  <c:v>356</c:v>
                </c:pt>
                <c:pt idx="113">
                  <c:v>356.5</c:v>
                </c:pt>
                <c:pt idx="114">
                  <c:v>357</c:v>
                </c:pt>
                <c:pt idx="115">
                  <c:v>357.5</c:v>
                </c:pt>
                <c:pt idx="116">
                  <c:v>358</c:v>
                </c:pt>
                <c:pt idx="117">
                  <c:v>358.5</c:v>
                </c:pt>
                <c:pt idx="118">
                  <c:v>359</c:v>
                </c:pt>
                <c:pt idx="119">
                  <c:v>359.5</c:v>
                </c:pt>
                <c:pt idx="120">
                  <c:v>360</c:v>
                </c:pt>
                <c:pt idx="121">
                  <c:v>360.5</c:v>
                </c:pt>
                <c:pt idx="122">
                  <c:v>361</c:v>
                </c:pt>
                <c:pt idx="123">
                  <c:v>361.5</c:v>
                </c:pt>
                <c:pt idx="124">
                  <c:v>362</c:v>
                </c:pt>
                <c:pt idx="125">
                  <c:v>362.5</c:v>
                </c:pt>
                <c:pt idx="126">
                  <c:v>363</c:v>
                </c:pt>
                <c:pt idx="127">
                  <c:v>363.5</c:v>
                </c:pt>
                <c:pt idx="128">
                  <c:v>364</c:v>
                </c:pt>
                <c:pt idx="129">
                  <c:v>364.5</c:v>
                </c:pt>
                <c:pt idx="130">
                  <c:v>365</c:v>
                </c:pt>
                <c:pt idx="131">
                  <c:v>365.5</c:v>
                </c:pt>
                <c:pt idx="132">
                  <c:v>366</c:v>
                </c:pt>
                <c:pt idx="133">
                  <c:v>366.5</c:v>
                </c:pt>
                <c:pt idx="134">
                  <c:v>367</c:v>
                </c:pt>
                <c:pt idx="135">
                  <c:v>367.5</c:v>
                </c:pt>
                <c:pt idx="136">
                  <c:v>368</c:v>
                </c:pt>
                <c:pt idx="137">
                  <c:v>368.5</c:v>
                </c:pt>
                <c:pt idx="138">
                  <c:v>369</c:v>
                </c:pt>
                <c:pt idx="139">
                  <c:v>369.5</c:v>
                </c:pt>
                <c:pt idx="140">
                  <c:v>370</c:v>
                </c:pt>
                <c:pt idx="141">
                  <c:v>370.5</c:v>
                </c:pt>
                <c:pt idx="142">
                  <c:v>371</c:v>
                </c:pt>
                <c:pt idx="143">
                  <c:v>371.5</c:v>
                </c:pt>
                <c:pt idx="144">
                  <c:v>372</c:v>
                </c:pt>
                <c:pt idx="145">
                  <c:v>372.5</c:v>
                </c:pt>
                <c:pt idx="146">
                  <c:v>373</c:v>
                </c:pt>
                <c:pt idx="147">
                  <c:v>373.5</c:v>
                </c:pt>
                <c:pt idx="148">
                  <c:v>374</c:v>
                </c:pt>
                <c:pt idx="149">
                  <c:v>374.5</c:v>
                </c:pt>
                <c:pt idx="150">
                  <c:v>375</c:v>
                </c:pt>
                <c:pt idx="151">
                  <c:v>375.5</c:v>
                </c:pt>
                <c:pt idx="152">
                  <c:v>376</c:v>
                </c:pt>
                <c:pt idx="153">
                  <c:v>376.5</c:v>
                </c:pt>
                <c:pt idx="154">
                  <c:v>377</c:v>
                </c:pt>
                <c:pt idx="155">
                  <c:v>377.5</c:v>
                </c:pt>
                <c:pt idx="156">
                  <c:v>378</c:v>
                </c:pt>
                <c:pt idx="157">
                  <c:v>378.5</c:v>
                </c:pt>
                <c:pt idx="158">
                  <c:v>379</c:v>
                </c:pt>
                <c:pt idx="159">
                  <c:v>379.5</c:v>
                </c:pt>
                <c:pt idx="160">
                  <c:v>380</c:v>
                </c:pt>
                <c:pt idx="161">
                  <c:v>380.5</c:v>
                </c:pt>
                <c:pt idx="162">
                  <c:v>381</c:v>
                </c:pt>
                <c:pt idx="163">
                  <c:v>381.5</c:v>
                </c:pt>
                <c:pt idx="164">
                  <c:v>382</c:v>
                </c:pt>
                <c:pt idx="165">
                  <c:v>382.5</c:v>
                </c:pt>
                <c:pt idx="166">
                  <c:v>383</c:v>
                </c:pt>
                <c:pt idx="167">
                  <c:v>383.5</c:v>
                </c:pt>
                <c:pt idx="168">
                  <c:v>384</c:v>
                </c:pt>
                <c:pt idx="169">
                  <c:v>384.5</c:v>
                </c:pt>
                <c:pt idx="170">
                  <c:v>385</c:v>
                </c:pt>
                <c:pt idx="171">
                  <c:v>385.5</c:v>
                </c:pt>
                <c:pt idx="172">
                  <c:v>386</c:v>
                </c:pt>
                <c:pt idx="173">
                  <c:v>386.5</c:v>
                </c:pt>
                <c:pt idx="174">
                  <c:v>387</c:v>
                </c:pt>
                <c:pt idx="175">
                  <c:v>387.5</c:v>
                </c:pt>
                <c:pt idx="176">
                  <c:v>388</c:v>
                </c:pt>
                <c:pt idx="177">
                  <c:v>388.5</c:v>
                </c:pt>
                <c:pt idx="178">
                  <c:v>389</c:v>
                </c:pt>
                <c:pt idx="179">
                  <c:v>389.5</c:v>
                </c:pt>
                <c:pt idx="180">
                  <c:v>390</c:v>
                </c:pt>
                <c:pt idx="181">
                  <c:v>390.5</c:v>
                </c:pt>
                <c:pt idx="182">
                  <c:v>391</c:v>
                </c:pt>
                <c:pt idx="183">
                  <c:v>391.5</c:v>
                </c:pt>
                <c:pt idx="184">
                  <c:v>392</c:v>
                </c:pt>
                <c:pt idx="185">
                  <c:v>392.5</c:v>
                </c:pt>
                <c:pt idx="186">
                  <c:v>393</c:v>
                </c:pt>
                <c:pt idx="187">
                  <c:v>393.5</c:v>
                </c:pt>
                <c:pt idx="188">
                  <c:v>394</c:v>
                </c:pt>
                <c:pt idx="189">
                  <c:v>394.5</c:v>
                </c:pt>
                <c:pt idx="190">
                  <c:v>395</c:v>
                </c:pt>
                <c:pt idx="191">
                  <c:v>395.5</c:v>
                </c:pt>
                <c:pt idx="192">
                  <c:v>396</c:v>
                </c:pt>
                <c:pt idx="193">
                  <c:v>396.5</c:v>
                </c:pt>
                <c:pt idx="194">
                  <c:v>397</c:v>
                </c:pt>
                <c:pt idx="195">
                  <c:v>397.5</c:v>
                </c:pt>
                <c:pt idx="196">
                  <c:v>398</c:v>
                </c:pt>
                <c:pt idx="197">
                  <c:v>398.5</c:v>
                </c:pt>
                <c:pt idx="198">
                  <c:v>399</c:v>
                </c:pt>
                <c:pt idx="199">
                  <c:v>399.5</c:v>
                </c:pt>
                <c:pt idx="200">
                  <c:v>400</c:v>
                </c:pt>
                <c:pt idx="201">
                  <c:v>400.5</c:v>
                </c:pt>
                <c:pt idx="202">
                  <c:v>401</c:v>
                </c:pt>
                <c:pt idx="203">
                  <c:v>401.5</c:v>
                </c:pt>
                <c:pt idx="204">
                  <c:v>402</c:v>
                </c:pt>
                <c:pt idx="205">
                  <c:v>402.5</c:v>
                </c:pt>
                <c:pt idx="206">
                  <c:v>403</c:v>
                </c:pt>
                <c:pt idx="207">
                  <c:v>403.5</c:v>
                </c:pt>
                <c:pt idx="208">
                  <c:v>404</c:v>
                </c:pt>
                <c:pt idx="209">
                  <c:v>404.5</c:v>
                </c:pt>
                <c:pt idx="210">
                  <c:v>405</c:v>
                </c:pt>
                <c:pt idx="211">
                  <c:v>405.5</c:v>
                </c:pt>
                <c:pt idx="212">
                  <c:v>406</c:v>
                </c:pt>
                <c:pt idx="213">
                  <c:v>406.5</c:v>
                </c:pt>
                <c:pt idx="214">
                  <c:v>407</c:v>
                </c:pt>
                <c:pt idx="215">
                  <c:v>407.5</c:v>
                </c:pt>
                <c:pt idx="216">
                  <c:v>408</c:v>
                </c:pt>
                <c:pt idx="217">
                  <c:v>408.5</c:v>
                </c:pt>
                <c:pt idx="218">
                  <c:v>409</c:v>
                </c:pt>
                <c:pt idx="219">
                  <c:v>409.5</c:v>
                </c:pt>
                <c:pt idx="220">
                  <c:v>410</c:v>
                </c:pt>
                <c:pt idx="221">
                  <c:v>410.5</c:v>
                </c:pt>
                <c:pt idx="222">
                  <c:v>411</c:v>
                </c:pt>
                <c:pt idx="223">
                  <c:v>411.5</c:v>
                </c:pt>
                <c:pt idx="224">
                  <c:v>412</c:v>
                </c:pt>
                <c:pt idx="225">
                  <c:v>412.5</c:v>
                </c:pt>
                <c:pt idx="226">
                  <c:v>413</c:v>
                </c:pt>
                <c:pt idx="227">
                  <c:v>413.5</c:v>
                </c:pt>
                <c:pt idx="228">
                  <c:v>414</c:v>
                </c:pt>
                <c:pt idx="229">
                  <c:v>414.5</c:v>
                </c:pt>
                <c:pt idx="230">
                  <c:v>415</c:v>
                </c:pt>
                <c:pt idx="231">
                  <c:v>415.5</c:v>
                </c:pt>
                <c:pt idx="232">
                  <c:v>416</c:v>
                </c:pt>
                <c:pt idx="233">
                  <c:v>416.5</c:v>
                </c:pt>
                <c:pt idx="234">
                  <c:v>417</c:v>
                </c:pt>
                <c:pt idx="235">
                  <c:v>417.5</c:v>
                </c:pt>
                <c:pt idx="236">
                  <c:v>418</c:v>
                </c:pt>
                <c:pt idx="237">
                  <c:v>418.5</c:v>
                </c:pt>
                <c:pt idx="238">
                  <c:v>419</c:v>
                </c:pt>
                <c:pt idx="239">
                  <c:v>419.5</c:v>
                </c:pt>
                <c:pt idx="240">
                  <c:v>420</c:v>
                </c:pt>
                <c:pt idx="241">
                  <c:v>420.5</c:v>
                </c:pt>
                <c:pt idx="242">
                  <c:v>421</c:v>
                </c:pt>
                <c:pt idx="243">
                  <c:v>421.5</c:v>
                </c:pt>
                <c:pt idx="244">
                  <c:v>422</c:v>
                </c:pt>
                <c:pt idx="245">
                  <c:v>422.5</c:v>
                </c:pt>
                <c:pt idx="246">
                  <c:v>423</c:v>
                </c:pt>
                <c:pt idx="247">
                  <c:v>423.5</c:v>
                </c:pt>
                <c:pt idx="248">
                  <c:v>424</c:v>
                </c:pt>
                <c:pt idx="249">
                  <c:v>424.5</c:v>
                </c:pt>
                <c:pt idx="250">
                  <c:v>425</c:v>
                </c:pt>
                <c:pt idx="251">
                  <c:v>425.5</c:v>
                </c:pt>
                <c:pt idx="252">
                  <c:v>426</c:v>
                </c:pt>
                <c:pt idx="253">
                  <c:v>426.5</c:v>
                </c:pt>
                <c:pt idx="254">
                  <c:v>427</c:v>
                </c:pt>
                <c:pt idx="255">
                  <c:v>427.5</c:v>
                </c:pt>
                <c:pt idx="256">
                  <c:v>428</c:v>
                </c:pt>
                <c:pt idx="257">
                  <c:v>428.5</c:v>
                </c:pt>
                <c:pt idx="258">
                  <c:v>429</c:v>
                </c:pt>
                <c:pt idx="259">
                  <c:v>429.5</c:v>
                </c:pt>
                <c:pt idx="260">
                  <c:v>430</c:v>
                </c:pt>
                <c:pt idx="261">
                  <c:v>430.5</c:v>
                </c:pt>
                <c:pt idx="262">
                  <c:v>431</c:v>
                </c:pt>
                <c:pt idx="263">
                  <c:v>431.5</c:v>
                </c:pt>
                <c:pt idx="264">
                  <c:v>432</c:v>
                </c:pt>
                <c:pt idx="265">
                  <c:v>432.5</c:v>
                </c:pt>
                <c:pt idx="266">
                  <c:v>433</c:v>
                </c:pt>
                <c:pt idx="267">
                  <c:v>433.5</c:v>
                </c:pt>
                <c:pt idx="268">
                  <c:v>434</c:v>
                </c:pt>
                <c:pt idx="269">
                  <c:v>434.5</c:v>
                </c:pt>
                <c:pt idx="270">
                  <c:v>435</c:v>
                </c:pt>
                <c:pt idx="271">
                  <c:v>435.5</c:v>
                </c:pt>
                <c:pt idx="272">
                  <c:v>436</c:v>
                </c:pt>
                <c:pt idx="273">
                  <c:v>436.5</c:v>
                </c:pt>
                <c:pt idx="274">
                  <c:v>437</c:v>
                </c:pt>
                <c:pt idx="275">
                  <c:v>437.5</c:v>
                </c:pt>
                <c:pt idx="276">
                  <c:v>438</c:v>
                </c:pt>
                <c:pt idx="277">
                  <c:v>438.5</c:v>
                </c:pt>
                <c:pt idx="278">
                  <c:v>439</c:v>
                </c:pt>
                <c:pt idx="279">
                  <c:v>439.5</c:v>
                </c:pt>
                <c:pt idx="280">
                  <c:v>440</c:v>
                </c:pt>
                <c:pt idx="281">
                  <c:v>440.5</c:v>
                </c:pt>
                <c:pt idx="282">
                  <c:v>441</c:v>
                </c:pt>
                <c:pt idx="283">
                  <c:v>441.5</c:v>
                </c:pt>
                <c:pt idx="284">
                  <c:v>442</c:v>
                </c:pt>
                <c:pt idx="285">
                  <c:v>442.5</c:v>
                </c:pt>
                <c:pt idx="286">
                  <c:v>443</c:v>
                </c:pt>
                <c:pt idx="287">
                  <c:v>443.5</c:v>
                </c:pt>
                <c:pt idx="288">
                  <c:v>444</c:v>
                </c:pt>
                <c:pt idx="289">
                  <c:v>444.5</c:v>
                </c:pt>
                <c:pt idx="290">
                  <c:v>445</c:v>
                </c:pt>
                <c:pt idx="291">
                  <c:v>445.5</c:v>
                </c:pt>
                <c:pt idx="292">
                  <c:v>446</c:v>
                </c:pt>
                <c:pt idx="293">
                  <c:v>446.5</c:v>
                </c:pt>
                <c:pt idx="294">
                  <c:v>447</c:v>
                </c:pt>
                <c:pt idx="295">
                  <c:v>447.5</c:v>
                </c:pt>
                <c:pt idx="296">
                  <c:v>448</c:v>
                </c:pt>
                <c:pt idx="297">
                  <c:v>448.5</c:v>
                </c:pt>
                <c:pt idx="298">
                  <c:v>449</c:v>
                </c:pt>
                <c:pt idx="299">
                  <c:v>449.5</c:v>
                </c:pt>
                <c:pt idx="300">
                  <c:v>450</c:v>
                </c:pt>
                <c:pt idx="301">
                  <c:v>450.5</c:v>
                </c:pt>
                <c:pt idx="302">
                  <c:v>451</c:v>
                </c:pt>
                <c:pt idx="303">
                  <c:v>451.5</c:v>
                </c:pt>
                <c:pt idx="304">
                  <c:v>452</c:v>
                </c:pt>
                <c:pt idx="305">
                  <c:v>452.5</c:v>
                </c:pt>
                <c:pt idx="306">
                  <c:v>453</c:v>
                </c:pt>
                <c:pt idx="307">
                  <c:v>453.5</c:v>
                </c:pt>
                <c:pt idx="308">
                  <c:v>454</c:v>
                </c:pt>
                <c:pt idx="309">
                  <c:v>454.5</c:v>
                </c:pt>
                <c:pt idx="310">
                  <c:v>455</c:v>
                </c:pt>
                <c:pt idx="311">
                  <c:v>455.5</c:v>
                </c:pt>
                <c:pt idx="312">
                  <c:v>456</c:v>
                </c:pt>
                <c:pt idx="313">
                  <c:v>456.5</c:v>
                </c:pt>
                <c:pt idx="314">
                  <c:v>457</c:v>
                </c:pt>
                <c:pt idx="315">
                  <c:v>457.5</c:v>
                </c:pt>
                <c:pt idx="316">
                  <c:v>458</c:v>
                </c:pt>
                <c:pt idx="317">
                  <c:v>458.5</c:v>
                </c:pt>
                <c:pt idx="318">
                  <c:v>459</c:v>
                </c:pt>
                <c:pt idx="319">
                  <c:v>459.5</c:v>
                </c:pt>
                <c:pt idx="320">
                  <c:v>460</c:v>
                </c:pt>
                <c:pt idx="321">
                  <c:v>460.5</c:v>
                </c:pt>
                <c:pt idx="322">
                  <c:v>461</c:v>
                </c:pt>
                <c:pt idx="323">
                  <c:v>461.5</c:v>
                </c:pt>
                <c:pt idx="324">
                  <c:v>462</c:v>
                </c:pt>
                <c:pt idx="325">
                  <c:v>462.5</c:v>
                </c:pt>
                <c:pt idx="326">
                  <c:v>463</c:v>
                </c:pt>
                <c:pt idx="327">
                  <c:v>463.5</c:v>
                </c:pt>
                <c:pt idx="328">
                  <c:v>464</c:v>
                </c:pt>
                <c:pt idx="329">
                  <c:v>464.5</c:v>
                </c:pt>
                <c:pt idx="330">
                  <c:v>465</c:v>
                </c:pt>
                <c:pt idx="331">
                  <c:v>465.5</c:v>
                </c:pt>
                <c:pt idx="332">
                  <c:v>466</c:v>
                </c:pt>
                <c:pt idx="333">
                  <c:v>466.5</c:v>
                </c:pt>
                <c:pt idx="334">
                  <c:v>467</c:v>
                </c:pt>
                <c:pt idx="335">
                  <c:v>467.5</c:v>
                </c:pt>
                <c:pt idx="336">
                  <c:v>468</c:v>
                </c:pt>
                <c:pt idx="337">
                  <c:v>468.5</c:v>
                </c:pt>
                <c:pt idx="338">
                  <c:v>469</c:v>
                </c:pt>
                <c:pt idx="339">
                  <c:v>469.5</c:v>
                </c:pt>
                <c:pt idx="340">
                  <c:v>470</c:v>
                </c:pt>
                <c:pt idx="341">
                  <c:v>470.5</c:v>
                </c:pt>
                <c:pt idx="342">
                  <c:v>471</c:v>
                </c:pt>
                <c:pt idx="343">
                  <c:v>471.5</c:v>
                </c:pt>
                <c:pt idx="344">
                  <c:v>472</c:v>
                </c:pt>
                <c:pt idx="345">
                  <c:v>472.5</c:v>
                </c:pt>
                <c:pt idx="346">
                  <c:v>473</c:v>
                </c:pt>
                <c:pt idx="347">
                  <c:v>473.5</c:v>
                </c:pt>
                <c:pt idx="348">
                  <c:v>474</c:v>
                </c:pt>
                <c:pt idx="349">
                  <c:v>474.5</c:v>
                </c:pt>
                <c:pt idx="350">
                  <c:v>475</c:v>
                </c:pt>
                <c:pt idx="351">
                  <c:v>475.5</c:v>
                </c:pt>
                <c:pt idx="352">
                  <c:v>476</c:v>
                </c:pt>
                <c:pt idx="353">
                  <c:v>476.5</c:v>
                </c:pt>
                <c:pt idx="354">
                  <c:v>477</c:v>
                </c:pt>
                <c:pt idx="355">
                  <c:v>477.5</c:v>
                </c:pt>
                <c:pt idx="356">
                  <c:v>478</c:v>
                </c:pt>
                <c:pt idx="357">
                  <c:v>478.5</c:v>
                </c:pt>
                <c:pt idx="358">
                  <c:v>479</c:v>
                </c:pt>
                <c:pt idx="359">
                  <c:v>479.5</c:v>
                </c:pt>
                <c:pt idx="360">
                  <c:v>480</c:v>
                </c:pt>
                <c:pt idx="361">
                  <c:v>480.5</c:v>
                </c:pt>
                <c:pt idx="362">
                  <c:v>481</c:v>
                </c:pt>
                <c:pt idx="363">
                  <c:v>481.5</c:v>
                </c:pt>
                <c:pt idx="364">
                  <c:v>482</c:v>
                </c:pt>
                <c:pt idx="365">
                  <c:v>482.5</c:v>
                </c:pt>
                <c:pt idx="366">
                  <c:v>483</c:v>
                </c:pt>
                <c:pt idx="367">
                  <c:v>483.5</c:v>
                </c:pt>
                <c:pt idx="368">
                  <c:v>484</c:v>
                </c:pt>
                <c:pt idx="369">
                  <c:v>484.5</c:v>
                </c:pt>
                <c:pt idx="370">
                  <c:v>485</c:v>
                </c:pt>
                <c:pt idx="371">
                  <c:v>485.5</c:v>
                </c:pt>
                <c:pt idx="372">
                  <c:v>486</c:v>
                </c:pt>
                <c:pt idx="373">
                  <c:v>486.5</c:v>
                </c:pt>
                <c:pt idx="374">
                  <c:v>487</c:v>
                </c:pt>
                <c:pt idx="375">
                  <c:v>487.5</c:v>
                </c:pt>
                <c:pt idx="376">
                  <c:v>488</c:v>
                </c:pt>
                <c:pt idx="377">
                  <c:v>488.5</c:v>
                </c:pt>
                <c:pt idx="378">
                  <c:v>489</c:v>
                </c:pt>
                <c:pt idx="379">
                  <c:v>489.5</c:v>
                </c:pt>
                <c:pt idx="380">
                  <c:v>490</c:v>
                </c:pt>
                <c:pt idx="381">
                  <c:v>490.5</c:v>
                </c:pt>
                <c:pt idx="382">
                  <c:v>491</c:v>
                </c:pt>
                <c:pt idx="383">
                  <c:v>491.5</c:v>
                </c:pt>
                <c:pt idx="384">
                  <c:v>492</c:v>
                </c:pt>
                <c:pt idx="385">
                  <c:v>492.5</c:v>
                </c:pt>
                <c:pt idx="386">
                  <c:v>493</c:v>
                </c:pt>
                <c:pt idx="387">
                  <c:v>493.5</c:v>
                </c:pt>
                <c:pt idx="388">
                  <c:v>494</c:v>
                </c:pt>
                <c:pt idx="389">
                  <c:v>494.5</c:v>
                </c:pt>
                <c:pt idx="390">
                  <c:v>495</c:v>
                </c:pt>
                <c:pt idx="391">
                  <c:v>495.5</c:v>
                </c:pt>
                <c:pt idx="392">
                  <c:v>496</c:v>
                </c:pt>
                <c:pt idx="393">
                  <c:v>496.5</c:v>
                </c:pt>
                <c:pt idx="394">
                  <c:v>497</c:v>
                </c:pt>
                <c:pt idx="395">
                  <c:v>497.5</c:v>
                </c:pt>
                <c:pt idx="396">
                  <c:v>498</c:v>
                </c:pt>
                <c:pt idx="397">
                  <c:v>498.5</c:v>
                </c:pt>
                <c:pt idx="398">
                  <c:v>499</c:v>
                </c:pt>
                <c:pt idx="399">
                  <c:v>499.5</c:v>
                </c:pt>
                <c:pt idx="400">
                  <c:v>500</c:v>
                </c:pt>
                <c:pt idx="401">
                  <c:v>500.5</c:v>
                </c:pt>
                <c:pt idx="402">
                  <c:v>501</c:v>
                </c:pt>
                <c:pt idx="403">
                  <c:v>501.5</c:v>
                </c:pt>
                <c:pt idx="404">
                  <c:v>502</c:v>
                </c:pt>
                <c:pt idx="405">
                  <c:v>502.5</c:v>
                </c:pt>
                <c:pt idx="406">
                  <c:v>503</c:v>
                </c:pt>
                <c:pt idx="407">
                  <c:v>503.5</c:v>
                </c:pt>
                <c:pt idx="408">
                  <c:v>504</c:v>
                </c:pt>
                <c:pt idx="409">
                  <c:v>504.5</c:v>
                </c:pt>
                <c:pt idx="410">
                  <c:v>505</c:v>
                </c:pt>
                <c:pt idx="411">
                  <c:v>505.5</c:v>
                </c:pt>
                <c:pt idx="412">
                  <c:v>506</c:v>
                </c:pt>
                <c:pt idx="413">
                  <c:v>506.5</c:v>
                </c:pt>
                <c:pt idx="414">
                  <c:v>507</c:v>
                </c:pt>
                <c:pt idx="415">
                  <c:v>507.5</c:v>
                </c:pt>
                <c:pt idx="416">
                  <c:v>508</c:v>
                </c:pt>
                <c:pt idx="417">
                  <c:v>508.5</c:v>
                </c:pt>
                <c:pt idx="418">
                  <c:v>509</c:v>
                </c:pt>
                <c:pt idx="419">
                  <c:v>509.5</c:v>
                </c:pt>
                <c:pt idx="420">
                  <c:v>510</c:v>
                </c:pt>
                <c:pt idx="421">
                  <c:v>510.5</c:v>
                </c:pt>
                <c:pt idx="422">
                  <c:v>511</c:v>
                </c:pt>
                <c:pt idx="423">
                  <c:v>511.5</c:v>
                </c:pt>
                <c:pt idx="424">
                  <c:v>512</c:v>
                </c:pt>
                <c:pt idx="425">
                  <c:v>512.5</c:v>
                </c:pt>
                <c:pt idx="426">
                  <c:v>513</c:v>
                </c:pt>
                <c:pt idx="427">
                  <c:v>513.5</c:v>
                </c:pt>
                <c:pt idx="428">
                  <c:v>514</c:v>
                </c:pt>
                <c:pt idx="429">
                  <c:v>514.5</c:v>
                </c:pt>
                <c:pt idx="430">
                  <c:v>515</c:v>
                </c:pt>
                <c:pt idx="431">
                  <c:v>515.5</c:v>
                </c:pt>
                <c:pt idx="432">
                  <c:v>516</c:v>
                </c:pt>
                <c:pt idx="433">
                  <c:v>516.5</c:v>
                </c:pt>
                <c:pt idx="434">
                  <c:v>517</c:v>
                </c:pt>
                <c:pt idx="435">
                  <c:v>517.5</c:v>
                </c:pt>
                <c:pt idx="436">
                  <c:v>518</c:v>
                </c:pt>
                <c:pt idx="437">
                  <c:v>518.5</c:v>
                </c:pt>
                <c:pt idx="438">
                  <c:v>519</c:v>
                </c:pt>
                <c:pt idx="439">
                  <c:v>519.5</c:v>
                </c:pt>
                <c:pt idx="440">
                  <c:v>520</c:v>
                </c:pt>
                <c:pt idx="441">
                  <c:v>520.5</c:v>
                </c:pt>
                <c:pt idx="442">
                  <c:v>521</c:v>
                </c:pt>
                <c:pt idx="443">
                  <c:v>521.5</c:v>
                </c:pt>
                <c:pt idx="444">
                  <c:v>522</c:v>
                </c:pt>
                <c:pt idx="445">
                  <c:v>522.5</c:v>
                </c:pt>
                <c:pt idx="446">
                  <c:v>523</c:v>
                </c:pt>
                <c:pt idx="447">
                  <c:v>523.5</c:v>
                </c:pt>
                <c:pt idx="448">
                  <c:v>524</c:v>
                </c:pt>
                <c:pt idx="449">
                  <c:v>524.5</c:v>
                </c:pt>
                <c:pt idx="450">
                  <c:v>525</c:v>
                </c:pt>
                <c:pt idx="451">
                  <c:v>525.5</c:v>
                </c:pt>
                <c:pt idx="452">
                  <c:v>526</c:v>
                </c:pt>
                <c:pt idx="453">
                  <c:v>526.5</c:v>
                </c:pt>
                <c:pt idx="454">
                  <c:v>527</c:v>
                </c:pt>
                <c:pt idx="455">
                  <c:v>527.5</c:v>
                </c:pt>
                <c:pt idx="456">
                  <c:v>528</c:v>
                </c:pt>
                <c:pt idx="457">
                  <c:v>528.5</c:v>
                </c:pt>
                <c:pt idx="458">
                  <c:v>529</c:v>
                </c:pt>
                <c:pt idx="459">
                  <c:v>529.5</c:v>
                </c:pt>
                <c:pt idx="460">
                  <c:v>530</c:v>
                </c:pt>
                <c:pt idx="461">
                  <c:v>530.5</c:v>
                </c:pt>
                <c:pt idx="462">
                  <c:v>531</c:v>
                </c:pt>
                <c:pt idx="463">
                  <c:v>531.5</c:v>
                </c:pt>
                <c:pt idx="464">
                  <c:v>532</c:v>
                </c:pt>
                <c:pt idx="465">
                  <c:v>532.5</c:v>
                </c:pt>
                <c:pt idx="466">
                  <c:v>533</c:v>
                </c:pt>
                <c:pt idx="467">
                  <c:v>533.5</c:v>
                </c:pt>
                <c:pt idx="468">
                  <c:v>534</c:v>
                </c:pt>
                <c:pt idx="469">
                  <c:v>534.5</c:v>
                </c:pt>
                <c:pt idx="470">
                  <c:v>535</c:v>
                </c:pt>
                <c:pt idx="471">
                  <c:v>535.5</c:v>
                </c:pt>
                <c:pt idx="472">
                  <c:v>536</c:v>
                </c:pt>
                <c:pt idx="473">
                  <c:v>536.5</c:v>
                </c:pt>
                <c:pt idx="474">
                  <c:v>537</c:v>
                </c:pt>
                <c:pt idx="475">
                  <c:v>537.5</c:v>
                </c:pt>
                <c:pt idx="476">
                  <c:v>538</c:v>
                </c:pt>
                <c:pt idx="477">
                  <c:v>538.5</c:v>
                </c:pt>
                <c:pt idx="478">
                  <c:v>539</c:v>
                </c:pt>
                <c:pt idx="479">
                  <c:v>539.5</c:v>
                </c:pt>
                <c:pt idx="480">
                  <c:v>540</c:v>
                </c:pt>
                <c:pt idx="481">
                  <c:v>540.5</c:v>
                </c:pt>
                <c:pt idx="482">
                  <c:v>541</c:v>
                </c:pt>
                <c:pt idx="483">
                  <c:v>541.5</c:v>
                </c:pt>
                <c:pt idx="484">
                  <c:v>542</c:v>
                </c:pt>
                <c:pt idx="485">
                  <c:v>542.5</c:v>
                </c:pt>
                <c:pt idx="486">
                  <c:v>543</c:v>
                </c:pt>
                <c:pt idx="487">
                  <c:v>543.5</c:v>
                </c:pt>
                <c:pt idx="488">
                  <c:v>544</c:v>
                </c:pt>
                <c:pt idx="489">
                  <c:v>544.5</c:v>
                </c:pt>
                <c:pt idx="490">
                  <c:v>545</c:v>
                </c:pt>
                <c:pt idx="491">
                  <c:v>545.5</c:v>
                </c:pt>
                <c:pt idx="492">
                  <c:v>546</c:v>
                </c:pt>
                <c:pt idx="493">
                  <c:v>546.5</c:v>
                </c:pt>
                <c:pt idx="494">
                  <c:v>547</c:v>
                </c:pt>
                <c:pt idx="495">
                  <c:v>547.5</c:v>
                </c:pt>
                <c:pt idx="496">
                  <c:v>548</c:v>
                </c:pt>
                <c:pt idx="497">
                  <c:v>548.5</c:v>
                </c:pt>
                <c:pt idx="498">
                  <c:v>549</c:v>
                </c:pt>
                <c:pt idx="499">
                  <c:v>549.5</c:v>
                </c:pt>
                <c:pt idx="500">
                  <c:v>550</c:v>
                </c:pt>
                <c:pt idx="501">
                  <c:v>550.5</c:v>
                </c:pt>
                <c:pt idx="502">
                  <c:v>551</c:v>
                </c:pt>
                <c:pt idx="503">
                  <c:v>551.5</c:v>
                </c:pt>
                <c:pt idx="504">
                  <c:v>552</c:v>
                </c:pt>
                <c:pt idx="505">
                  <c:v>552.5</c:v>
                </c:pt>
                <c:pt idx="506">
                  <c:v>553</c:v>
                </c:pt>
                <c:pt idx="507">
                  <c:v>553.5</c:v>
                </c:pt>
                <c:pt idx="508">
                  <c:v>554</c:v>
                </c:pt>
                <c:pt idx="509">
                  <c:v>554.5</c:v>
                </c:pt>
                <c:pt idx="510">
                  <c:v>555</c:v>
                </c:pt>
                <c:pt idx="511">
                  <c:v>555.5</c:v>
                </c:pt>
                <c:pt idx="512">
                  <c:v>556</c:v>
                </c:pt>
                <c:pt idx="513">
                  <c:v>556.5</c:v>
                </c:pt>
                <c:pt idx="514">
                  <c:v>557</c:v>
                </c:pt>
                <c:pt idx="515">
                  <c:v>557.5</c:v>
                </c:pt>
                <c:pt idx="516">
                  <c:v>558</c:v>
                </c:pt>
                <c:pt idx="517">
                  <c:v>558.5</c:v>
                </c:pt>
                <c:pt idx="518">
                  <c:v>559</c:v>
                </c:pt>
                <c:pt idx="519">
                  <c:v>559.5</c:v>
                </c:pt>
                <c:pt idx="520">
                  <c:v>560</c:v>
                </c:pt>
                <c:pt idx="521">
                  <c:v>560.5</c:v>
                </c:pt>
                <c:pt idx="522">
                  <c:v>561</c:v>
                </c:pt>
                <c:pt idx="523">
                  <c:v>561.5</c:v>
                </c:pt>
                <c:pt idx="524">
                  <c:v>562</c:v>
                </c:pt>
                <c:pt idx="525">
                  <c:v>562.5</c:v>
                </c:pt>
                <c:pt idx="526">
                  <c:v>563</c:v>
                </c:pt>
                <c:pt idx="527">
                  <c:v>563.5</c:v>
                </c:pt>
                <c:pt idx="528">
                  <c:v>564</c:v>
                </c:pt>
                <c:pt idx="529">
                  <c:v>564.5</c:v>
                </c:pt>
                <c:pt idx="530">
                  <c:v>565</c:v>
                </c:pt>
                <c:pt idx="531">
                  <c:v>565.5</c:v>
                </c:pt>
                <c:pt idx="532">
                  <c:v>566</c:v>
                </c:pt>
                <c:pt idx="533">
                  <c:v>566.5</c:v>
                </c:pt>
                <c:pt idx="534">
                  <c:v>567</c:v>
                </c:pt>
                <c:pt idx="535">
                  <c:v>567.5</c:v>
                </c:pt>
                <c:pt idx="536">
                  <c:v>568</c:v>
                </c:pt>
                <c:pt idx="537">
                  <c:v>568.5</c:v>
                </c:pt>
                <c:pt idx="538">
                  <c:v>569</c:v>
                </c:pt>
                <c:pt idx="539">
                  <c:v>569.5</c:v>
                </c:pt>
                <c:pt idx="540">
                  <c:v>570</c:v>
                </c:pt>
                <c:pt idx="541">
                  <c:v>570.5</c:v>
                </c:pt>
                <c:pt idx="542">
                  <c:v>571</c:v>
                </c:pt>
                <c:pt idx="543">
                  <c:v>571.5</c:v>
                </c:pt>
                <c:pt idx="544">
                  <c:v>572</c:v>
                </c:pt>
                <c:pt idx="545">
                  <c:v>572.5</c:v>
                </c:pt>
                <c:pt idx="546">
                  <c:v>573</c:v>
                </c:pt>
                <c:pt idx="547">
                  <c:v>573.5</c:v>
                </c:pt>
                <c:pt idx="548">
                  <c:v>574</c:v>
                </c:pt>
                <c:pt idx="549">
                  <c:v>574.5</c:v>
                </c:pt>
                <c:pt idx="550">
                  <c:v>575</c:v>
                </c:pt>
                <c:pt idx="551">
                  <c:v>575.5</c:v>
                </c:pt>
                <c:pt idx="552">
                  <c:v>576</c:v>
                </c:pt>
                <c:pt idx="553">
                  <c:v>576.5</c:v>
                </c:pt>
                <c:pt idx="554">
                  <c:v>577</c:v>
                </c:pt>
                <c:pt idx="555">
                  <c:v>577.5</c:v>
                </c:pt>
                <c:pt idx="556">
                  <c:v>578</c:v>
                </c:pt>
                <c:pt idx="557">
                  <c:v>578.5</c:v>
                </c:pt>
                <c:pt idx="558">
                  <c:v>579</c:v>
                </c:pt>
                <c:pt idx="559">
                  <c:v>579.5</c:v>
                </c:pt>
                <c:pt idx="560">
                  <c:v>580</c:v>
                </c:pt>
                <c:pt idx="561">
                  <c:v>580.5</c:v>
                </c:pt>
                <c:pt idx="562">
                  <c:v>581</c:v>
                </c:pt>
                <c:pt idx="563">
                  <c:v>581.5</c:v>
                </c:pt>
                <c:pt idx="564">
                  <c:v>582</c:v>
                </c:pt>
                <c:pt idx="565">
                  <c:v>582.5</c:v>
                </c:pt>
                <c:pt idx="566">
                  <c:v>583</c:v>
                </c:pt>
                <c:pt idx="567">
                  <c:v>583.5</c:v>
                </c:pt>
                <c:pt idx="568">
                  <c:v>584</c:v>
                </c:pt>
                <c:pt idx="569">
                  <c:v>584.5</c:v>
                </c:pt>
                <c:pt idx="570">
                  <c:v>585</c:v>
                </c:pt>
                <c:pt idx="571">
                  <c:v>585.5</c:v>
                </c:pt>
                <c:pt idx="572">
                  <c:v>586</c:v>
                </c:pt>
                <c:pt idx="573">
                  <c:v>586.5</c:v>
                </c:pt>
                <c:pt idx="574">
                  <c:v>587</c:v>
                </c:pt>
                <c:pt idx="575">
                  <c:v>587.5</c:v>
                </c:pt>
                <c:pt idx="576">
                  <c:v>588</c:v>
                </c:pt>
                <c:pt idx="577">
                  <c:v>588.5</c:v>
                </c:pt>
                <c:pt idx="578">
                  <c:v>589</c:v>
                </c:pt>
                <c:pt idx="579">
                  <c:v>589.5</c:v>
                </c:pt>
                <c:pt idx="580">
                  <c:v>590</c:v>
                </c:pt>
                <c:pt idx="581">
                  <c:v>590.5</c:v>
                </c:pt>
                <c:pt idx="582">
                  <c:v>591</c:v>
                </c:pt>
                <c:pt idx="583">
                  <c:v>591.5</c:v>
                </c:pt>
                <c:pt idx="584">
                  <c:v>592</c:v>
                </c:pt>
                <c:pt idx="585">
                  <c:v>592.5</c:v>
                </c:pt>
                <c:pt idx="586">
                  <c:v>593</c:v>
                </c:pt>
                <c:pt idx="587">
                  <c:v>593.5</c:v>
                </c:pt>
                <c:pt idx="588">
                  <c:v>594</c:v>
                </c:pt>
                <c:pt idx="589">
                  <c:v>594.5</c:v>
                </c:pt>
                <c:pt idx="590">
                  <c:v>595</c:v>
                </c:pt>
                <c:pt idx="591">
                  <c:v>595.5</c:v>
                </c:pt>
                <c:pt idx="592">
                  <c:v>596</c:v>
                </c:pt>
                <c:pt idx="593">
                  <c:v>596.5</c:v>
                </c:pt>
                <c:pt idx="594">
                  <c:v>597</c:v>
                </c:pt>
                <c:pt idx="595">
                  <c:v>597.5</c:v>
                </c:pt>
                <c:pt idx="596">
                  <c:v>598</c:v>
                </c:pt>
                <c:pt idx="597">
                  <c:v>598.5</c:v>
                </c:pt>
                <c:pt idx="598">
                  <c:v>599</c:v>
                </c:pt>
                <c:pt idx="599">
                  <c:v>599.5</c:v>
                </c:pt>
                <c:pt idx="600">
                  <c:v>600</c:v>
                </c:pt>
                <c:pt idx="601">
                  <c:v>600.5</c:v>
                </c:pt>
                <c:pt idx="602">
                  <c:v>601</c:v>
                </c:pt>
                <c:pt idx="603">
                  <c:v>601.5</c:v>
                </c:pt>
                <c:pt idx="604">
                  <c:v>602</c:v>
                </c:pt>
                <c:pt idx="605">
                  <c:v>602.5</c:v>
                </c:pt>
                <c:pt idx="606">
                  <c:v>603</c:v>
                </c:pt>
                <c:pt idx="607">
                  <c:v>603.5</c:v>
                </c:pt>
                <c:pt idx="608">
                  <c:v>604</c:v>
                </c:pt>
                <c:pt idx="609">
                  <c:v>604.5</c:v>
                </c:pt>
                <c:pt idx="610">
                  <c:v>605</c:v>
                </c:pt>
                <c:pt idx="611">
                  <c:v>605.5</c:v>
                </c:pt>
                <c:pt idx="612">
                  <c:v>606</c:v>
                </c:pt>
                <c:pt idx="613">
                  <c:v>606.5</c:v>
                </c:pt>
                <c:pt idx="614">
                  <c:v>607</c:v>
                </c:pt>
                <c:pt idx="615">
                  <c:v>607.5</c:v>
                </c:pt>
                <c:pt idx="616">
                  <c:v>608</c:v>
                </c:pt>
                <c:pt idx="617">
                  <c:v>608.5</c:v>
                </c:pt>
                <c:pt idx="618">
                  <c:v>609</c:v>
                </c:pt>
                <c:pt idx="619">
                  <c:v>609.5</c:v>
                </c:pt>
                <c:pt idx="620">
                  <c:v>610</c:v>
                </c:pt>
                <c:pt idx="621">
                  <c:v>610.5</c:v>
                </c:pt>
                <c:pt idx="622">
                  <c:v>611</c:v>
                </c:pt>
                <c:pt idx="623">
                  <c:v>611.5</c:v>
                </c:pt>
                <c:pt idx="624">
                  <c:v>612</c:v>
                </c:pt>
                <c:pt idx="625">
                  <c:v>612.5</c:v>
                </c:pt>
                <c:pt idx="626">
                  <c:v>613</c:v>
                </c:pt>
                <c:pt idx="627">
                  <c:v>613.5</c:v>
                </c:pt>
                <c:pt idx="628">
                  <c:v>614</c:v>
                </c:pt>
                <c:pt idx="629">
                  <c:v>614.5</c:v>
                </c:pt>
                <c:pt idx="630">
                  <c:v>615</c:v>
                </c:pt>
                <c:pt idx="631">
                  <c:v>615.5</c:v>
                </c:pt>
                <c:pt idx="632">
                  <c:v>616</c:v>
                </c:pt>
                <c:pt idx="633">
                  <c:v>616.5</c:v>
                </c:pt>
                <c:pt idx="634">
                  <c:v>617</c:v>
                </c:pt>
                <c:pt idx="635">
                  <c:v>617.5</c:v>
                </c:pt>
                <c:pt idx="636">
                  <c:v>618</c:v>
                </c:pt>
                <c:pt idx="637">
                  <c:v>618.5</c:v>
                </c:pt>
                <c:pt idx="638">
                  <c:v>619</c:v>
                </c:pt>
                <c:pt idx="639">
                  <c:v>619.5</c:v>
                </c:pt>
                <c:pt idx="640">
                  <c:v>620</c:v>
                </c:pt>
                <c:pt idx="641">
                  <c:v>620.5</c:v>
                </c:pt>
                <c:pt idx="642">
                  <c:v>621</c:v>
                </c:pt>
                <c:pt idx="643">
                  <c:v>621.5</c:v>
                </c:pt>
                <c:pt idx="644">
                  <c:v>622</c:v>
                </c:pt>
                <c:pt idx="645">
                  <c:v>622.5</c:v>
                </c:pt>
                <c:pt idx="646">
                  <c:v>623</c:v>
                </c:pt>
                <c:pt idx="647">
                  <c:v>623.5</c:v>
                </c:pt>
                <c:pt idx="648">
                  <c:v>624</c:v>
                </c:pt>
                <c:pt idx="649">
                  <c:v>624.5</c:v>
                </c:pt>
                <c:pt idx="650">
                  <c:v>625</c:v>
                </c:pt>
                <c:pt idx="651">
                  <c:v>625.5</c:v>
                </c:pt>
                <c:pt idx="652">
                  <c:v>626</c:v>
                </c:pt>
                <c:pt idx="653">
                  <c:v>626.5</c:v>
                </c:pt>
                <c:pt idx="654">
                  <c:v>627</c:v>
                </c:pt>
                <c:pt idx="655">
                  <c:v>627.5</c:v>
                </c:pt>
                <c:pt idx="656">
                  <c:v>628</c:v>
                </c:pt>
                <c:pt idx="657">
                  <c:v>628.5</c:v>
                </c:pt>
                <c:pt idx="658">
                  <c:v>629</c:v>
                </c:pt>
                <c:pt idx="659">
                  <c:v>629.5</c:v>
                </c:pt>
                <c:pt idx="660">
                  <c:v>630</c:v>
                </c:pt>
                <c:pt idx="661">
                  <c:v>630.5</c:v>
                </c:pt>
                <c:pt idx="662">
                  <c:v>631</c:v>
                </c:pt>
                <c:pt idx="663">
                  <c:v>631.5</c:v>
                </c:pt>
                <c:pt idx="664">
                  <c:v>632</c:v>
                </c:pt>
                <c:pt idx="665">
                  <c:v>632.5</c:v>
                </c:pt>
                <c:pt idx="666">
                  <c:v>633</c:v>
                </c:pt>
                <c:pt idx="667">
                  <c:v>633.5</c:v>
                </c:pt>
                <c:pt idx="668">
                  <c:v>634</c:v>
                </c:pt>
                <c:pt idx="669">
                  <c:v>634.5</c:v>
                </c:pt>
                <c:pt idx="670">
                  <c:v>635</c:v>
                </c:pt>
                <c:pt idx="671">
                  <c:v>635.5</c:v>
                </c:pt>
                <c:pt idx="672">
                  <c:v>636</c:v>
                </c:pt>
                <c:pt idx="673">
                  <c:v>636.5</c:v>
                </c:pt>
                <c:pt idx="674">
                  <c:v>637</c:v>
                </c:pt>
                <c:pt idx="675">
                  <c:v>637.5</c:v>
                </c:pt>
                <c:pt idx="676">
                  <c:v>638</c:v>
                </c:pt>
                <c:pt idx="677">
                  <c:v>638.5</c:v>
                </c:pt>
                <c:pt idx="678">
                  <c:v>639</c:v>
                </c:pt>
                <c:pt idx="679">
                  <c:v>639.5</c:v>
                </c:pt>
                <c:pt idx="680">
                  <c:v>640</c:v>
                </c:pt>
                <c:pt idx="681">
                  <c:v>640.5</c:v>
                </c:pt>
                <c:pt idx="682">
                  <c:v>641</c:v>
                </c:pt>
                <c:pt idx="683">
                  <c:v>641.5</c:v>
                </c:pt>
                <c:pt idx="684">
                  <c:v>642</c:v>
                </c:pt>
                <c:pt idx="685">
                  <c:v>642.5</c:v>
                </c:pt>
                <c:pt idx="686">
                  <c:v>643</c:v>
                </c:pt>
                <c:pt idx="687">
                  <c:v>643.5</c:v>
                </c:pt>
                <c:pt idx="688">
                  <c:v>644</c:v>
                </c:pt>
                <c:pt idx="689">
                  <c:v>644.5</c:v>
                </c:pt>
                <c:pt idx="690">
                  <c:v>645</c:v>
                </c:pt>
                <c:pt idx="691">
                  <c:v>645.5</c:v>
                </c:pt>
                <c:pt idx="692">
                  <c:v>646</c:v>
                </c:pt>
                <c:pt idx="693">
                  <c:v>646.5</c:v>
                </c:pt>
                <c:pt idx="694">
                  <c:v>647</c:v>
                </c:pt>
                <c:pt idx="695">
                  <c:v>647.5</c:v>
                </c:pt>
                <c:pt idx="696">
                  <c:v>648</c:v>
                </c:pt>
                <c:pt idx="697">
                  <c:v>648.5</c:v>
                </c:pt>
                <c:pt idx="698">
                  <c:v>649</c:v>
                </c:pt>
                <c:pt idx="699">
                  <c:v>649.5</c:v>
                </c:pt>
                <c:pt idx="700">
                  <c:v>650</c:v>
                </c:pt>
                <c:pt idx="701">
                  <c:v>650.5</c:v>
                </c:pt>
                <c:pt idx="702">
                  <c:v>651</c:v>
                </c:pt>
                <c:pt idx="703">
                  <c:v>651.5</c:v>
                </c:pt>
                <c:pt idx="704">
                  <c:v>652</c:v>
                </c:pt>
                <c:pt idx="705">
                  <c:v>652.5</c:v>
                </c:pt>
                <c:pt idx="706">
                  <c:v>653</c:v>
                </c:pt>
                <c:pt idx="707">
                  <c:v>653.5</c:v>
                </c:pt>
                <c:pt idx="708">
                  <c:v>654</c:v>
                </c:pt>
                <c:pt idx="709">
                  <c:v>654.5</c:v>
                </c:pt>
                <c:pt idx="710">
                  <c:v>655</c:v>
                </c:pt>
                <c:pt idx="711">
                  <c:v>655.5</c:v>
                </c:pt>
                <c:pt idx="712">
                  <c:v>656</c:v>
                </c:pt>
                <c:pt idx="713">
                  <c:v>656.5</c:v>
                </c:pt>
                <c:pt idx="714">
                  <c:v>657</c:v>
                </c:pt>
                <c:pt idx="715">
                  <c:v>657.5</c:v>
                </c:pt>
                <c:pt idx="716">
                  <c:v>658</c:v>
                </c:pt>
                <c:pt idx="717">
                  <c:v>658.5</c:v>
                </c:pt>
                <c:pt idx="718">
                  <c:v>659</c:v>
                </c:pt>
                <c:pt idx="719">
                  <c:v>659.5</c:v>
                </c:pt>
                <c:pt idx="720">
                  <c:v>660</c:v>
                </c:pt>
                <c:pt idx="721">
                  <c:v>660.5</c:v>
                </c:pt>
                <c:pt idx="722">
                  <c:v>661</c:v>
                </c:pt>
                <c:pt idx="723">
                  <c:v>661.5</c:v>
                </c:pt>
                <c:pt idx="724">
                  <c:v>662</c:v>
                </c:pt>
                <c:pt idx="725">
                  <c:v>662.5</c:v>
                </c:pt>
                <c:pt idx="726">
                  <c:v>663</c:v>
                </c:pt>
                <c:pt idx="727">
                  <c:v>663.5</c:v>
                </c:pt>
                <c:pt idx="728">
                  <c:v>664</c:v>
                </c:pt>
                <c:pt idx="729">
                  <c:v>664.5</c:v>
                </c:pt>
                <c:pt idx="730">
                  <c:v>665</c:v>
                </c:pt>
                <c:pt idx="731">
                  <c:v>665.5</c:v>
                </c:pt>
                <c:pt idx="732">
                  <c:v>666</c:v>
                </c:pt>
                <c:pt idx="733">
                  <c:v>666.5</c:v>
                </c:pt>
                <c:pt idx="734">
                  <c:v>667</c:v>
                </c:pt>
                <c:pt idx="735">
                  <c:v>667.5</c:v>
                </c:pt>
                <c:pt idx="736">
                  <c:v>668</c:v>
                </c:pt>
                <c:pt idx="737">
                  <c:v>668.5</c:v>
                </c:pt>
                <c:pt idx="738">
                  <c:v>669</c:v>
                </c:pt>
                <c:pt idx="739">
                  <c:v>669.5</c:v>
                </c:pt>
                <c:pt idx="740">
                  <c:v>670</c:v>
                </c:pt>
                <c:pt idx="741">
                  <c:v>670.5</c:v>
                </c:pt>
                <c:pt idx="742">
                  <c:v>671</c:v>
                </c:pt>
                <c:pt idx="743">
                  <c:v>671.5</c:v>
                </c:pt>
                <c:pt idx="744">
                  <c:v>672</c:v>
                </c:pt>
                <c:pt idx="745">
                  <c:v>672.5</c:v>
                </c:pt>
                <c:pt idx="746">
                  <c:v>673</c:v>
                </c:pt>
                <c:pt idx="747">
                  <c:v>673.5</c:v>
                </c:pt>
                <c:pt idx="748">
                  <c:v>674</c:v>
                </c:pt>
                <c:pt idx="749">
                  <c:v>674.5</c:v>
                </c:pt>
                <c:pt idx="750">
                  <c:v>675</c:v>
                </c:pt>
                <c:pt idx="751">
                  <c:v>675.5</c:v>
                </c:pt>
                <c:pt idx="752">
                  <c:v>676</c:v>
                </c:pt>
                <c:pt idx="753">
                  <c:v>676.5</c:v>
                </c:pt>
                <c:pt idx="754">
                  <c:v>677</c:v>
                </c:pt>
                <c:pt idx="755">
                  <c:v>677.5</c:v>
                </c:pt>
                <c:pt idx="756">
                  <c:v>678</c:v>
                </c:pt>
                <c:pt idx="757">
                  <c:v>678.5</c:v>
                </c:pt>
                <c:pt idx="758">
                  <c:v>679</c:v>
                </c:pt>
                <c:pt idx="759">
                  <c:v>679.5</c:v>
                </c:pt>
                <c:pt idx="760">
                  <c:v>680</c:v>
                </c:pt>
                <c:pt idx="761">
                  <c:v>680.5</c:v>
                </c:pt>
                <c:pt idx="762">
                  <c:v>681</c:v>
                </c:pt>
                <c:pt idx="763">
                  <c:v>681.5</c:v>
                </c:pt>
                <c:pt idx="764">
                  <c:v>682</c:v>
                </c:pt>
                <c:pt idx="765">
                  <c:v>682.5</c:v>
                </c:pt>
                <c:pt idx="766">
                  <c:v>683</c:v>
                </c:pt>
                <c:pt idx="767">
                  <c:v>683.5</c:v>
                </c:pt>
                <c:pt idx="768">
                  <c:v>684</c:v>
                </c:pt>
                <c:pt idx="769">
                  <c:v>684.5</c:v>
                </c:pt>
                <c:pt idx="770">
                  <c:v>685</c:v>
                </c:pt>
                <c:pt idx="771">
                  <c:v>685.5</c:v>
                </c:pt>
                <c:pt idx="772">
                  <c:v>686</c:v>
                </c:pt>
                <c:pt idx="773">
                  <c:v>686.5</c:v>
                </c:pt>
                <c:pt idx="774">
                  <c:v>687</c:v>
                </c:pt>
                <c:pt idx="775">
                  <c:v>687.5</c:v>
                </c:pt>
                <c:pt idx="776">
                  <c:v>688</c:v>
                </c:pt>
                <c:pt idx="777">
                  <c:v>688.5</c:v>
                </c:pt>
                <c:pt idx="778">
                  <c:v>689</c:v>
                </c:pt>
                <c:pt idx="779">
                  <c:v>689.5</c:v>
                </c:pt>
                <c:pt idx="780">
                  <c:v>690</c:v>
                </c:pt>
                <c:pt idx="781">
                  <c:v>690.5</c:v>
                </c:pt>
                <c:pt idx="782">
                  <c:v>691</c:v>
                </c:pt>
                <c:pt idx="783">
                  <c:v>691.5</c:v>
                </c:pt>
                <c:pt idx="784">
                  <c:v>692</c:v>
                </c:pt>
                <c:pt idx="785">
                  <c:v>692.5</c:v>
                </c:pt>
                <c:pt idx="786">
                  <c:v>693</c:v>
                </c:pt>
                <c:pt idx="787">
                  <c:v>693.5</c:v>
                </c:pt>
                <c:pt idx="788">
                  <c:v>694</c:v>
                </c:pt>
                <c:pt idx="789">
                  <c:v>694.5</c:v>
                </c:pt>
                <c:pt idx="790">
                  <c:v>695</c:v>
                </c:pt>
                <c:pt idx="791">
                  <c:v>695.5</c:v>
                </c:pt>
                <c:pt idx="792">
                  <c:v>696</c:v>
                </c:pt>
                <c:pt idx="793">
                  <c:v>696.5</c:v>
                </c:pt>
                <c:pt idx="794">
                  <c:v>697</c:v>
                </c:pt>
                <c:pt idx="795">
                  <c:v>697.5</c:v>
                </c:pt>
                <c:pt idx="796">
                  <c:v>698</c:v>
                </c:pt>
                <c:pt idx="797">
                  <c:v>698.5</c:v>
                </c:pt>
                <c:pt idx="798">
                  <c:v>699</c:v>
                </c:pt>
                <c:pt idx="799">
                  <c:v>699.5</c:v>
                </c:pt>
                <c:pt idx="800">
                  <c:v>700</c:v>
                </c:pt>
                <c:pt idx="801">
                  <c:v>700.5</c:v>
                </c:pt>
                <c:pt idx="802">
                  <c:v>701</c:v>
                </c:pt>
                <c:pt idx="803">
                  <c:v>701.5</c:v>
                </c:pt>
                <c:pt idx="804">
                  <c:v>702</c:v>
                </c:pt>
                <c:pt idx="805">
                  <c:v>702.5</c:v>
                </c:pt>
                <c:pt idx="806">
                  <c:v>703</c:v>
                </c:pt>
                <c:pt idx="807">
                  <c:v>703.5</c:v>
                </c:pt>
                <c:pt idx="808">
                  <c:v>704</c:v>
                </c:pt>
                <c:pt idx="809">
                  <c:v>704.5</c:v>
                </c:pt>
                <c:pt idx="810">
                  <c:v>705</c:v>
                </c:pt>
                <c:pt idx="811">
                  <c:v>705.5</c:v>
                </c:pt>
                <c:pt idx="812">
                  <c:v>706</c:v>
                </c:pt>
                <c:pt idx="813">
                  <c:v>706.5</c:v>
                </c:pt>
                <c:pt idx="814">
                  <c:v>707</c:v>
                </c:pt>
                <c:pt idx="815">
                  <c:v>707.5</c:v>
                </c:pt>
                <c:pt idx="816">
                  <c:v>708</c:v>
                </c:pt>
                <c:pt idx="817">
                  <c:v>708.5</c:v>
                </c:pt>
                <c:pt idx="818">
                  <c:v>709</c:v>
                </c:pt>
                <c:pt idx="819">
                  <c:v>709.5</c:v>
                </c:pt>
                <c:pt idx="820">
                  <c:v>710</c:v>
                </c:pt>
                <c:pt idx="821">
                  <c:v>710.5</c:v>
                </c:pt>
                <c:pt idx="822">
                  <c:v>711</c:v>
                </c:pt>
                <c:pt idx="823">
                  <c:v>711.5</c:v>
                </c:pt>
                <c:pt idx="824">
                  <c:v>712</c:v>
                </c:pt>
                <c:pt idx="825">
                  <c:v>712.5</c:v>
                </c:pt>
                <c:pt idx="826">
                  <c:v>713</c:v>
                </c:pt>
                <c:pt idx="827">
                  <c:v>713.5</c:v>
                </c:pt>
                <c:pt idx="828">
                  <c:v>714</c:v>
                </c:pt>
                <c:pt idx="829">
                  <c:v>714.5</c:v>
                </c:pt>
                <c:pt idx="830">
                  <c:v>715</c:v>
                </c:pt>
                <c:pt idx="831">
                  <c:v>715.5</c:v>
                </c:pt>
                <c:pt idx="832">
                  <c:v>716</c:v>
                </c:pt>
                <c:pt idx="833">
                  <c:v>716.5</c:v>
                </c:pt>
                <c:pt idx="834">
                  <c:v>717</c:v>
                </c:pt>
                <c:pt idx="835">
                  <c:v>717.5</c:v>
                </c:pt>
                <c:pt idx="836">
                  <c:v>718</c:v>
                </c:pt>
                <c:pt idx="837">
                  <c:v>718.5</c:v>
                </c:pt>
                <c:pt idx="838">
                  <c:v>719</c:v>
                </c:pt>
                <c:pt idx="839">
                  <c:v>719.5</c:v>
                </c:pt>
                <c:pt idx="840">
                  <c:v>720</c:v>
                </c:pt>
                <c:pt idx="841">
                  <c:v>720.5</c:v>
                </c:pt>
                <c:pt idx="842">
                  <c:v>721</c:v>
                </c:pt>
                <c:pt idx="843">
                  <c:v>721.5</c:v>
                </c:pt>
                <c:pt idx="844">
                  <c:v>722</c:v>
                </c:pt>
                <c:pt idx="845">
                  <c:v>722.5</c:v>
                </c:pt>
                <c:pt idx="846">
                  <c:v>723</c:v>
                </c:pt>
                <c:pt idx="847">
                  <c:v>723.5</c:v>
                </c:pt>
                <c:pt idx="848">
                  <c:v>724</c:v>
                </c:pt>
                <c:pt idx="849">
                  <c:v>724.5</c:v>
                </c:pt>
                <c:pt idx="850">
                  <c:v>725</c:v>
                </c:pt>
                <c:pt idx="851">
                  <c:v>725.5</c:v>
                </c:pt>
                <c:pt idx="852">
                  <c:v>726</c:v>
                </c:pt>
                <c:pt idx="853">
                  <c:v>726.5</c:v>
                </c:pt>
                <c:pt idx="854">
                  <c:v>727</c:v>
                </c:pt>
                <c:pt idx="855">
                  <c:v>727.5</c:v>
                </c:pt>
                <c:pt idx="856">
                  <c:v>728</c:v>
                </c:pt>
                <c:pt idx="857">
                  <c:v>728.5</c:v>
                </c:pt>
                <c:pt idx="858">
                  <c:v>729</c:v>
                </c:pt>
                <c:pt idx="859">
                  <c:v>729.5</c:v>
                </c:pt>
                <c:pt idx="860">
                  <c:v>730</c:v>
                </c:pt>
                <c:pt idx="861">
                  <c:v>730.5</c:v>
                </c:pt>
                <c:pt idx="862">
                  <c:v>731</c:v>
                </c:pt>
                <c:pt idx="863">
                  <c:v>731.5</c:v>
                </c:pt>
                <c:pt idx="864">
                  <c:v>732</c:v>
                </c:pt>
                <c:pt idx="865">
                  <c:v>732.5</c:v>
                </c:pt>
                <c:pt idx="866">
                  <c:v>733</c:v>
                </c:pt>
                <c:pt idx="867">
                  <c:v>733.5</c:v>
                </c:pt>
                <c:pt idx="868">
                  <c:v>734</c:v>
                </c:pt>
                <c:pt idx="869">
                  <c:v>734.5</c:v>
                </c:pt>
                <c:pt idx="870">
                  <c:v>735</c:v>
                </c:pt>
                <c:pt idx="871">
                  <c:v>735.5</c:v>
                </c:pt>
                <c:pt idx="872">
                  <c:v>736</c:v>
                </c:pt>
                <c:pt idx="873">
                  <c:v>736.5</c:v>
                </c:pt>
                <c:pt idx="874">
                  <c:v>737</c:v>
                </c:pt>
                <c:pt idx="875">
                  <c:v>737.5</c:v>
                </c:pt>
                <c:pt idx="876">
                  <c:v>738</c:v>
                </c:pt>
                <c:pt idx="877">
                  <c:v>738.5</c:v>
                </c:pt>
                <c:pt idx="878">
                  <c:v>739</c:v>
                </c:pt>
                <c:pt idx="879">
                  <c:v>739.5</c:v>
                </c:pt>
                <c:pt idx="880">
                  <c:v>740</c:v>
                </c:pt>
                <c:pt idx="881">
                  <c:v>740.5</c:v>
                </c:pt>
                <c:pt idx="882">
                  <c:v>741</c:v>
                </c:pt>
                <c:pt idx="883">
                  <c:v>741.5</c:v>
                </c:pt>
                <c:pt idx="884">
                  <c:v>742</c:v>
                </c:pt>
                <c:pt idx="885">
                  <c:v>742.5</c:v>
                </c:pt>
                <c:pt idx="886">
                  <c:v>743</c:v>
                </c:pt>
                <c:pt idx="887">
                  <c:v>743.5</c:v>
                </c:pt>
                <c:pt idx="888">
                  <c:v>744</c:v>
                </c:pt>
                <c:pt idx="889">
                  <c:v>744.5</c:v>
                </c:pt>
                <c:pt idx="890">
                  <c:v>745</c:v>
                </c:pt>
                <c:pt idx="891">
                  <c:v>745.5</c:v>
                </c:pt>
                <c:pt idx="892">
                  <c:v>746</c:v>
                </c:pt>
                <c:pt idx="893">
                  <c:v>746.5</c:v>
                </c:pt>
                <c:pt idx="894">
                  <c:v>747</c:v>
                </c:pt>
                <c:pt idx="895">
                  <c:v>747.5</c:v>
                </c:pt>
                <c:pt idx="896">
                  <c:v>748</c:v>
                </c:pt>
                <c:pt idx="897">
                  <c:v>748.5</c:v>
                </c:pt>
                <c:pt idx="898">
                  <c:v>749</c:v>
                </c:pt>
                <c:pt idx="899">
                  <c:v>749.5</c:v>
                </c:pt>
                <c:pt idx="900">
                  <c:v>750</c:v>
                </c:pt>
              </c:numCache>
            </c:numRef>
          </c:cat>
          <c:val>
            <c:numRef>
              <c:f>'T2 (4)'!$B$113:$B$1013</c:f>
              <c:numCache>
                <c:formatCode>0.00E+00</c:formatCode>
                <c:ptCount val="901"/>
                <c:pt idx="0">
                  <c:v>0</c:v>
                </c:pt>
                <c:pt idx="1">
                  <c:v>0</c:v>
                </c:pt>
                <c:pt idx="2">
                  <c:v>0</c:v>
                </c:pt>
                <c:pt idx="3">
                  <c:v>0</c:v>
                </c:pt>
                <c:pt idx="4">
                  <c:v>0</c:v>
                </c:pt>
                <c:pt idx="5">
                  <c:v>0</c:v>
                </c:pt>
                <c:pt idx="6">
                  <c:v>0</c:v>
                </c:pt>
                <c:pt idx="7">
                  <c:v>0</c:v>
                </c:pt>
                <c:pt idx="8">
                  <c:v>0</c:v>
                </c:pt>
                <c:pt idx="9">
                  <c:v>0</c:v>
                </c:pt>
                <c:pt idx="10">
                  <c:v>0</c:v>
                </c:pt>
                <c:pt idx="11">
                  <c:v>0</c:v>
                </c:pt>
                <c:pt idx="12">
                  <c:v>0</c:v>
                </c:pt>
                <c:pt idx="13">
                  <c:v>0</c:v>
                </c:pt>
                <c:pt idx="14">
                  <c:v>0</c:v>
                </c:pt>
                <c:pt idx="15">
                  <c:v>0</c:v>
                </c:pt>
                <c:pt idx="16">
                  <c:v>0</c:v>
                </c:pt>
                <c:pt idx="17">
                  <c:v>0</c:v>
                </c:pt>
                <c:pt idx="18">
                  <c:v>0</c:v>
                </c:pt>
                <c:pt idx="19">
                  <c:v>0</c:v>
                </c:pt>
                <c:pt idx="20">
                  <c:v>0</c:v>
                </c:pt>
                <c:pt idx="21">
                  <c:v>0</c:v>
                </c:pt>
                <c:pt idx="22">
                  <c:v>0</c:v>
                </c:pt>
                <c:pt idx="23">
                  <c:v>0</c:v>
                </c:pt>
                <c:pt idx="24">
                  <c:v>0</c:v>
                </c:pt>
                <c:pt idx="25">
                  <c:v>0</c:v>
                </c:pt>
                <c:pt idx="26">
                  <c:v>0</c:v>
                </c:pt>
                <c:pt idx="27">
                  <c:v>0</c:v>
                </c:pt>
                <c:pt idx="28">
                  <c:v>0</c:v>
                </c:pt>
                <c:pt idx="29">
                  <c:v>0</c:v>
                </c:pt>
                <c:pt idx="30">
                  <c:v>0</c:v>
                </c:pt>
                <c:pt idx="31">
                  <c:v>0</c:v>
                </c:pt>
                <c:pt idx="32">
                  <c:v>0</c:v>
                </c:pt>
                <c:pt idx="33">
                  <c:v>0</c:v>
                </c:pt>
                <c:pt idx="34">
                  <c:v>0</c:v>
                </c:pt>
                <c:pt idx="35">
                  <c:v>0</c:v>
                </c:pt>
                <c:pt idx="36">
                  <c:v>0</c:v>
                </c:pt>
                <c:pt idx="37">
                  <c:v>0</c:v>
                </c:pt>
                <c:pt idx="38">
                  <c:v>0</c:v>
                </c:pt>
                <c:pt idx="39">
                  <c:v>0</c:v>
                </c:pt>
                <c:pt idx="40">
                  <c:v>0</c:v>
                </c:pt>
                <c:pt idx="41">
                  <c:v>0</c:v>
                </c:pt>
                <c:pt idx="42">
                  <c:v>0</c:v>
                </c:pt>
                <c:pt idx="43">
                  <c:v>0</c:v>
                </c:pt>
                <c:pt idx="44">
                  <c:v>0</c:v>
                </c:pt>
                <c:pt idx="45">
                  <c:v>0</c:v>
                </c:pt>
                <c:pt idx="46">
                  <c:v>0</c:v>
                </c:pt>
                <c:pt idx="47">
                  <c:v>0</c:v>
                </c:pt>
                <c:pt idx="48">
                  <c:v>0</c:v>
                </c:pt>
                <c:pt idx="49">
                  <c:v>0</c:v>
                </c:pt>
                <c:pt idx="50">
                  <c:v>0</c:v>
                </c:pt>
                <c:pt idx="51">
                  <c:v>0</c:v>
                </c:pt>
                <c:pt idx="52">
                  <c:v>0</c:v>
                </c:pt>
                <c:pt idx="53">
                  <c:v>0</c:v>
                </c:pt>
                <c:pt idx="54">
                  <c:v>0</c:v>
                </c:pt>
                <c:pt idx="55">
                  <c:v>0</c:v>
                </c:pt>
                <c:pt idx="56">
                  <c:v>0</c:v>
                </c:pt>
                <c:pt idx="57">
                  <c:v>0</c:v>
                </c:pt>
                <c:pt idx="58">
                  <c:v>0</c:v>
                </c:pt>
                <c:pt idx="59">
                  <c:v>0</c:v>
                </c:pt>
                <c:pt idx="60">
                  <c:v>0</c:v>
                </c:pt>
                <c:pt idx="61">
                  <c:v>0</c:v>
                </c:pt>
                <c:pt idx="62">
                  <c:v>0</c:v>
                </c:pt>
                <c:pt idx="63">
                  <c:v>0</c:v>
                </c:pt>
                <c:pt idx="64">
                  <c:v>0</c:v>
                </c:pt>
                <c:pt idx="65">
                  <c:v>0</c:v>
                </c:pt>
                <c:pt idx="66">
                  <c:v>0</c:v>
                </c:pt>
                <c:pt idx="67">
                  <c:v>0</c:v>
                </c:pt>
                <c:pt idx="68">
                  <c:v>0</c:v>
                </c:pt>
                <c:pt idx="69">
                  <c:v>0</c:v>
                </c:pt>
                <c:pt idx="70">
                  <c:v>0</c:v>
                </c:pt>
                <c:pt idx="71">
                  <c:v>0</c:v>
                </c:pt>
                <c:pt idx="72">
                  <c:v>0</c:v>
                </c:pt>
                <c:pt idx="73">
                  <c:v>0</c:v>
                </c:pt>
                <c:pt idx="74">
                  <c:v>0</c:v>
                </c:pt>
                <c:pt idx="75">
                  <c:v>0</c:v>
                </c:pt>
                <c:pt idx="76">
                  <c:v>0</c:v>
                </c:pt>
                <c:pt idx="77">
                  <c:v>0</c:v>
                </c:pt>
                <c:pt idx="78">
                  <c:v>0</c:v>
                </c:pt>
                <c:pt idx="79">
                  <c:v>0</c:v>
                </c:pt>
                <c:pt idx="80">
                  <c:v>0</c:v>
                </c:pt>
                <c:pt idx="81">
                  <c:v>0</c:v>
                </c:pt>
                <c:pt idx="82">
                  <c:v>0</c:v>
                </c:pt>
                <c:pt idx="83">
                  <c:v>0</c:v>
                </c:pt>
                <c:pt idx="84">
                  <c:v>0</c:v>
                </c:pt>
                <c:pt idx="85">
                  <c:v>0</c:v>
                </c:pt>
                <c:pt idx="86">
                  <c:v>0</c:v>
                </c:pt>
                <c:pt idx="87">
                  <c:v>0</c:v>
                </c:pt>
                <c:pt idx="88">
                  <c:v>0</c:v>
                </c:pt>
                <c:pt idx="89">
                  <c:v>0</c:v>
                </c:pt>
                <c:pt idx="90">
                  <c:v>0</c:v>
                </c:pt>
                <c:pt idx="91">
                  <c:v>0</c:v>
                </c:pt>
                <c:pt idx="92">
                  <c:v>0</c:v>
                </c:pt>
                <c:pt idx="93">
                  <c:v>0</c:v>
                </c:pt>
                <c:pt idx="94">
                  <c:v>0</c:v>
                </c:pt>
                <c:pt idx="95">
                  <c:v>0</c:v>
                </c:pt>
                <c:pt idx="96">
                  <c:v>0</c:v>
                </c:pt>
                <c:pt idx="97">
                  <c:v>0</c:v>
                </c:pt>
                <c:pt idx="98">
                  <c:v>0</c:v>
                </c:pt>
                <c:pt idx="99">
                  <c:v>0</c:v>
                </c:pt>
                <c:pt idx="100">
                  <c:v>0</c:v>
                </c:pt>
                <c:pt idx="101">
                  <c:v>0</c:v>
                </c:pt>
                <c:pt idx="102">
                  <c:v>0</c:v>
                </c:pt>
                <c:pt idx="103">
                  <c:v>0</c:v>
                </c:pt>
                <c:pt idx="104">
                  <c:v>0</c:v>
                </c:pt>
                <c:pt idx="105">
                  <c:v>0</c:v>
                </c:pt>
                <c:pt idx="106">
                  <c:v>0</c:v>
                </c:pt>
                <c:pt idx="107">
                  <c:v>0</c:v>
                </c:pt>
                <c:pt idx="108">
                  <c:v>0</c:v>
                </c:pt>
                <c:pt idx="109">
                  <c:v>0</c:v>
                </c:pt>
                <c:pt idx="110">
                  <c:v>0</c:v>
                </c:pt>
                <c:pt idx="111">
                  <c:v>0</c:v>
                </c:pt>
                <c:pt idx="112">
                  <c:v>0</c:v>
                </c:pt>
                <c:pt idx="113">
                  <c:v>0</c:v>
                </c:pt>
                <c:pt idx="114">
                  <c:v>0</c:v>
                </c:pt>
                <c:pt idx="115">
                  <c:v>0</c:v>
                </c:pt>
                <c:pt idx="116">
                  <c:v>0</c:v>
                </c:pt>
                <c:pt idx="117">
                  <c:v>0</c:v>
                </c:pt>
                <c:pt idx="118">
                  <c:v>0</c:v>
                </c:pt>
                <c:pt idx="119">
                  <c:v>0</c:v>
                </c:pt>
                <c:pt idx="120">
                  <c:v>0</c:v>
                </c:pt>
                <c:pt idx="121">
                  <c:v>0</c:v>
                </c:pt>
                <c:pt idx="122">
                  <c:v>0</c:v>
                </c:pt>
                <c:pt idx="123">
                  <c:v>0</c:v>
                </c:pt>
                <c:pt idx="124">
                  <c:v>0</c:v>
                </c:pt>
                <c:pt idx="125">
                  <c:v>0</c:v>
                </c:pt>
                <c:pt idx="126">
                  <c:v>0</c:v>
                </c:pt>
                <c:pt idx="127">
                  <c:v>0</c:v>
                </c:pt>
                <c:pt idx="128">
                  <c:v>0</c:v>
                </c:pt>
                <c:pt idx="129">
                  <c:v>0</c:v>
                </c:pt>
                <c:pt idx="130">
                  <c:v>0</c:v>
                </c:pt>
                <c:pt idx="131">
                  <c:v>0</c:v>
                </c:pt>
                <c:pt idx="132">
                  <c:v>0</c:v>
                </c:pt>
                <c:pt idx="133">
                  <c:v>0</c:v>
                </c:pt>
                <c:pt idx="134">
                  <c:v>0</c:v>
                </c:pt>
                <c:pt idx="135">
                  <c:v>0</c:v>
                </c:pt>
                <c:pt idx="136">
                  <c:v>0</c:v>
                </c:pt>
                <c:pt idx="137">
                  <c:v>0</c:v>
                </c:pt>
                <c:pt idx="138">
                  <c:v>0</c:v>
                </c:pt>
                <c:pt idx="139">
                  <c:v>0</c:v>
                </c:pt>
                <c:pt idx="140">
                  <c:v>0</c:v>
                </c:pt>
                <c:pt idx="141">
                  <c:v>3.2440199999999999E-6</c:v>
                </c:pt>
                <c:pt idx="142">
                  <c:v>1.6983200000000002E-4</c:v>
                </c:pt>
                <c:pt idx="143">
                  <c:v>1.0665590000000001E-4</c:v>
                </c:pt>
                <c:pt idx="144">
                  <c:v>4.1230799999999998E-5</c:v>
                </c:pt>
                <c:pt idx="145">
                  <c:v>0</c:v>
                </c:pt>
                <c:pt idx="146">
                  <c:v>0</c:v>
                </c:pt>
                <c:pt idx="147">
                  <c:v>3.0589000000000001E-5</c:v>
                </c:pt>
                <c:pt idx="148">
                  <c:v>7.4787699999999995E-5</c:v>
                </c:pt>
                <c:pt idx="149">
                  <c:v>1.1560120000000001E-4</c:v>
                </c:pt>
                <c:pt idx="150">
                  <c:v>3.4148400000000003E-4</c:v>
                </c:pt>
                <c:pt idx="151">
                  <c:v>6.2454600000000002E-4</c:v>
                </c:pt>
                <c:pt idx="152">
                  <c:v>9.1201500000000007E-4</c:v>
                </c:pt>
                <c:pt idx="153">
                  <c:v>1.1285819999999999E-3</c:v>
                </c:pt>
                <c:pt idx="154">
                  <c:v>1.3256099999999999E-3</c:v>
                </c:pt>
                <c:pt idx="155">
                  <c:v>1.5165800000000002E-3</c:v>
                </c:pt>
                <c:pt idx="156">
                  <c:v>1.7340700000000001E-3</c:v>
                </c:pt>
                <c:pt idx="157">
                  <c:v>1.82351E-3</c:v>
                </c:pt>
                <c:pt idx="158">
                  <c:v>1.9307600000000001E-3</c:v>
                </c:pt>
                <c:pt idx="159">
                  <c:v>2.1871199999999999E-3</c:v>
                </c:pt>
                <c:pt idx="160">
                  <c:v>2.6253500000000003E-3</c:v>
                </c:pt>
                <c:pt idx="161">
                  <c:v>3.1835700000000001E-3</c:v>
                </c:pt>
                <c:pt idx="162">
                  <c:v>3.679E-3</c:v>
                </c:pt>
                <c:pt idx="163">
                  <c:v>4.0379300000000003E-3</c:v>
                </c:pt>
                <c:pt idx="164">
                  <c:v>4.41012E-3</c:v>
                </c:pt>
                <c:pt idx="165">
                  <c:v>4.7478600000000004E-3</c:v>
                </c:pt>
                <c:pt idx="166">
                  <c:v>5.2289900000000011E-3</c:v>
                </c:pt>
                <c:pt idx="167">
                  <c:v>5.8120400000000001E-3</c:v>
                </c:pt>
                <c:pt idx="168">
                  <c:v>6.45905E-3</c:v>
                </c:pt>
                <c:pt idx="169">
                  <c:v>7.19121E-3</c:v>
                </c:pt>
                <c:pt idx="170">
                  <c:v>7.9951300000000013E-3</c:v>
                </c:pt>
                <c:pt idx="171">
                  <c:v>8.9018799999999992E-3</c:v>
                </c:pt>
                <c:pt idx="172">
                  <c:v>9.8961199999999996E-3</c:v>
                </c:pt>
                <c:pt idx="173">
                  <c:v>1.1035440000000001E-2</c:v>
                </c:pt>
                <c:pt idx="174">
                  <c:v>1.2085839999999999E-2</c:v>
                </c:pt>
                <c:pt idx="175">
                  <c:v>1.3045500000000002E-2</c:v>
                </c:pt>
                <c:pt idx="176">
                  <c:v>1.4123200000000001E-2</c:v>
                </c:pt>
                <c:pt idx="177">
                  <c:v>1.52789E-2</c:v>
                </c:pt>
                <c:pt idx="178">
                  <c:v>1.6574999999999999E-2</c:v>
                </c:pt>
                <c:pt idx="179">
                  <c:v>1.8032300000000001E-2</c:v>
                </c:pt>
                <c:pt idx="180">
                  <c:v>1.9544200000000001E-2</c:v>
                </c:pt>
                <c:pt idx="181">
                  <c:v>2.1348599999999999E-2</c:v>
                </c:pt>
                <c:pt idx="182">
                  <c:v>2.3322000000000002E-2</c:v>
                </c:pt>
                <c:pt idx="183">
                  <c:v>2.5387700000000003E-2</c:v>
                </c:pt>
                <c:pt idx="184">
                  <c:v>2.7582100000000002E-2</c:v>
                </c:pt>
                <c:pt idx="185">
                  <c:v>2.9868800000000001E-2</c:v>
                </c:pt>
                <c:pt idx="186">
                  <c:v>3.2102200000000004E-2</c:v>
                </c:pt>
                <c:pt idx="187">
                  <c:v>3.4642400000000004E-2</c:v>
                </c:pt>
                <c:pt idx="188">
                  <c:v>3.7200799999999999E-2</c:v>
                </c:pt>
                <c:pt idx="189">
                  <c:v>3.99295E-2</c:v>
                </c:pt>
                <c:pt idx="190">
                  <c:v>4.2903900000000002E-2</c:v>
                </c:pt>
                <c:pt idx="191">
                  <c:v>4.6187699999999998E-2</c:v>
                </c:pt>
                <c:pt idx="192">
                  <c:v>4.9871900000000004E-2</c:v>
                </c:pt>
                <c:pt idx="193">
                  <c:v>5.3691299999999997E-2</c:v>
                </c:pt>
                <c:pt idx="194">
                  <c:v>5.75991E-2</c:v>
                </c:pt>
                <c:pt idx="195">
                  <c:v>6.1695400000000004E-2</c:v>
                </c:pt>
                <c:pt idx="196">
                  <c:v>6.5833299999999997E-2</c:v>
                </c:pt>
                <c:pt idx="197">
                  <c:v>7.0235099999999995E-2</c:v>
                </c:pt>
                <c:pt idx="198">
                  <c:v>7.4864399999999998E-2</c:v>
                </c:pt>
                <c:pt idx="199">
                  <c:v>7.9774500000000012E-2</c:v>
                </c:pt>
                <c:pt idx="200">
                  <c:v>8.4775600000000007E-2</c:v>
                </c:pt>
                <c:pt idx="201">
                  <c:v>8.9960644019999994E-2</c:v>
                </c:pt>
                <c:pt idx="202">
                  <c:v>9.5312932000000003E-2</c:v>
                </c:pt>
                <c:pt idx="203">
                  <c:v>0.10062785590000001</c:v>
                </c:pt>
                <c:pt idx="204">
                  <c:v>0.10634223079999999</c:v>
                </c:pt>
                <c:pt idx="205">
                  <c:v>0.1123135</c:v>
                </c:pt>
                <c:pt idx="206">
                  <c:v>0.1186627</c:v>
                </c:pt>
                <c:pt idx="207">
                  <c:v>0.12481368900000001</c:v>
                </c:pt>
                <c:pt idx="208">
                  <c:v>0.13111478770000001</c:v>
                </c:pt>
                <c:pt idx="209">
                  <c:v>0.13747360120000002</c:v>
                </c:pt>
                <c:pt idx="210">
                  <c:v>0.144212484</c:v>
                </c:pt>
                <c:pt idx="211">
                  <c:v>0.15086554600000002</c:v>
                </c:pt>
                <c:pt idx="212">
                  <c:v>0.157341015</c:v>
                </c:pt>
                <c:pt idx="213">
                  <c:v>0.16400558200000001</c:v>
                </c:pt>
                <c:pt idx="214">
                  <c:v>0.17087161000000003</c:v>
                </c:pt>
                <c:pt idx="215">
                  <c:v>0.17727657999999999</c:v>
                </c:pt>
                <c:pt idx="216">
                  <c:v>0.18335707000000001</c:v>
                </c:pt>
                <c:pt idx="217">
                  <c:v>0.18888051</c:v>
                </c:pt>
                <c:pt idx="218">
                  <c:v>0.19412276000000001</c:v>
                </c:pt>
                <c:pt idx="219">
                  <c:v>0.19879912000000002</c:v>
                </c:pt>
                <c:pt idx="220">
                  <c:v>0.20367035000000003</c:v>
                </c:pt>
                <c:pt idx="221">
                  <c:v>0.20832356999999999</c:v>
                </c:pt>
                <c:pt idx="222">
                  <c:v>0.212251</c:v>
                </c:pt>
                <c:pt idx="223">
                  <c:v>0.21536593000000001</c:v>
                </c:pt>
                <c:pt idx="224">
                  <c:v>0.21800011999999999</c:v>
                </c:pt>
                <c:pt idx="225">
                  <c:v>0.21975486000000002</c:v>
                </c:pt>
                <c:pt idx="226">
                  <c:v>0.22130199</c:v>
                </c:pt>
                <c:pt idx="227">
                  <c:v>0.22284703999999997</c:v>
                </c:pt>
                <c:pt idx="228">
                  <c:v>0.22340304999999999</c:v>
                </c:pt>
                <c:pt idx="229">
                  <c:v>0.22293921</c:v>
                </c:pt>
                <c:pt idx="230">
                  <c:v>0.22197512999999999</c:v>
                </c:pt>
                <c:pt idx="231">
                  <c:v>0.22065888000000003</c:v>
                </c:pt>
                <c:pt idx="232">
                  <c:v>0.21858512000000002</c:v>
                </c:pt>
                <c:pt idx="233">
                  <c:v>0.21581143999999999</c:v>
                </c:pt>
                <c:pt idx="234">
                  <c:v>0.21259783999999998</c:v>
                </c:pt>
                <c:pt idx="235">
                  <c:v>0.20909850000000002</c:v>
                </c:pt>
                <c:pt idx="236">
                  <c:v>0.20491120000000002</c:v>
                </c:pt>
                <c:pt idx="237">
                  <c:v>0.20033390000000004</c:v>
                </c:pt>
                <c:pt idx="238">
                  <c:v>0.19525999999999999</c:v>
                </c:pt>
                <c:pt idx="239">
                  <c:v>0.19006130000000002</c:v>
                </c:pt>
                <c:pt idx="240">
                  <c:v>0.1846312</c:v>
                </c:pt>
                <c:pt idx="241">
                  <c:v>0.17971784401999999</c:v>
                </c:pt>
                <c:pt idx="242">
                  <c:v>0.17552683200000002</c:v>
                </c:pt>
                <c:pt idx="243">
                  <c:v>0.17080835590000001</c:v>
                </c:pt>
                <c:pt idx="244">
                  <c:v>0.16594333079999998</c:v>
                </c:pt>
                <c:pt idx="245">
                  <c:v>0.16188379999999999</c:v>
                </c:pt>
                <c:pt idx="246">
                  <c:v>0.15809690000000001</c:v>
                </c:pt>
                <c:pt idx="247">
                  <c:v>0.15484498900000002</c:v>
                </c:pt>
                <c:pt idx="248">
                  <c:v>0.1515481877</c:v>
                </c:pt>
                <c:pt idx="249">
                  <c:v>0.14869650120000003</c:v>
                </c:pt>
                <c:pt idx="250">
                  <c:v>0.146700684</c:v>
                </c:pt>
                <c:pt idx="251">
                  <c:v>0.14557584600000001</c:v>
                </c:pt>
                <c:pt idx="252">
                  <c:v>0.144971515</c:v>
                </c:pt>
                <c:pt idx="253">
                  <c:v>0.14445618199999999</c:v>
                </c:pt>
                <c:pt idx="254">
                  <c:v>0.14451281000000002</c:v>
                </c:pt>
                <c:pt idx="255">
                  <c:v>0.14528098</c:v>
                </c:pt>
                <c:pt idx="256">
                  <c:v>0.14610297</c:v>
                </c:pt>
                <c:pt idx="257">
                  <c:v>0.14703741000000001</c:v>
                </c:pt>
                <c:pt idx="258">
                  <c:v>0.14828606</c:v>
                </c:pt>
                <c:pt idx="259">
                  <c:v>0.15017002000000002</c:v>
                </c:pt>
                <c:pt idx="260">
                  <c:v>0.15289755000000002</c:v>
                </c:pt>
                <c:pt idx="261">
                  <c:v>0.15616627</c:v>
                </c:pt>
                <c:pt idx="262">
                  <c:v>0.1595126</c:v>
                </c:pt>
                <c:pt idx="263">
                  <c:v>0.16254563</c:v>
                </c:pt>
                <c:pt idx="264">
                  <c:v>0.16586231999999998</c:v>
                </c:pt>
                <c:pt idx="265">
                  <c:v>0.16922255999999999</c:v>
                </c:pt>
                <c:pt idx="266">
                  <c:v>0.17309408999999998</c:v>
                </c:pt>
                <c:pt idx="267">
                  <c:v>0.17702204000000002</c:v>
                </c:pt>
                <c:pt idx="268">
                  <c:v>0.18144815</c:v>
                </c:pt>
                <c:pt idx="269">
                  <c:v>0.18614791000000003</c:v>
                </c:pt>
                <c:pt idx="270">
                  <c:v>0.19143942999999999</c:v>
                </c:pt>
                <c:pt idx="271">
                  <c:v>0.19673108000000003</c:v>
                </c:pt>
                <c:pt idx="272">
                  <c:v>0.20198412000000002</c:v>
                </c:pt>
                <c:pt idx="273">
                  <c:v>0.20757594000000004</c:v>
                </c:pt>
                <c:pt idx="274">
                  <c:v>0.21339474000000003</c:v>
                </c:pt>
                <c:pt idx="275">
                  <c:v>0.21870289999999998</c:v>
                </c:pt>
                <c:pt idx="276">
                  <c:v>0.22395230000000002</c:v>
                </c:pt>
                <c:pt idx="277">
                  <c:v>0.22907170000000002</c:v>
                </c:pt>
                <c:pt idx="278">
                  <c:v>0.23424700000000001</c:v>
                </c:pt>
                <c:pt idx="279">
                  <c:v>0.23895690000000003</c:v>
                </c:pt>
                <c:pt idx="280">
                  <c:v>0.24364990000000003</c:v>
                </c:pt>
                <c:pt idx="281">
                  <c:v>0.24817389999999998</c:v>
                </c:pt>
                <c:pt idx="282">
                  <c:v>0.25219609999999998</c:v>
                </c:pt>
                <c:pt idx="283">
                  <c:v>0.2558088</c:v>
                </c:pt>
                <c:pt idx="284">
                  <c:v>0.25919140000000002</c:v>
                </c:pt>
                <c:pt idx="285">
                  <c:v>0.26187070000000001</c:v>
                </c:pt>
                <c:pt idx="286">
                  <c:v>0.26419510000000002</c:v>
                </c:pt>
                <c:pt idx="287">
                  <c:v>0.26687179999999999</c:v>
                </c:pt>
                <c:pt idx="288">
                  <c:v>0.26869569999999998</c:v>
                </c:pt>
                <c:pt idx="289">
                  <c:v>0.26968110000000001</c:v>
                </c:pt>
                <c:pt idx="290">
                  <c:v>0.27026870000000003</c:v>
                </c:pt>
                <c:pt idx="291">
                  <c:v>0.27064284000000005</c:v>
                </c:pt>
                <c:pt idx="292">
                  <c:v>0.27060475000000001</c:v>
                </c:pt>
                <c:pt idx="293">
                  <c:v>0.26988051999999996</c:v>
                </c:pt>
                <c:pt idx="294">
                  <c:v>0.26896960999999997</c:v>
                </c:pt>
                <c:pt idx="295">
                  <c:v>0.26786642999999999</c:v>
                </c:pt>
                <c:pt idx="296">
                  <c:v>0.26609427000000002</c:v>
                </c:pt>
                <c:pt idx="297">
                  <c:v>0.26407550000000002</c:v>
                </c:pt>
                <c:pt idx="298">
                  <c:v>0.26174226</c:v>
                </c:pt>
                <c:pt idx="299">
                  <c:v>0.25956944000000004</c:v>
                </c:pt>
                <c:pt idx="300">
                  <c:v>0.25726415000000002</c:v>
                </c:pt>
                <c:pt idx="301">
                  <c:v>0.25556374999999998</c:v>
                </c:pt>
                <c:pt idx="302">
                  <c:v>0.25418808999999998</c:v>
                </c:pt>
                <c:pt idx="303">
                  <c:v>0.25249315</c:v>
                </c:pt>
                <c:pt idx="304">
                  <c:v>0.25082823999999998</c:v>
                </c:pt>
                <c:pt idx="305">
                  <c:v>0.25017394999999998</c:v>
                </c:pt>
                <c:pt idx="306">
                  <c:v>0.25026715999999999</c:v>
                </c:pt>
                <c:pt idx="307">
                  <c:v>0.25032163000000002</c:v>
                </c:pt>
                <c:pt idx="308">
                  <c:v>0.25045435999999999</c:v>
                </c:pt>
                <c:pt idx="309">
                  <c:v>0.25088076000000004</c:v>
                </c:pt>
                <c:pt idx="310">
                  <c:v>0.25200148999999999</c:v>
                </c:pt>
                <c:pt idx="311">
                  <c:v>0.25347413000000002</c:v>
                </c:pt>
                <c:pt idx="312">
                  <c:v>0.25482795000000003</c:v>
                </c:pt>
                <c:pt idx="313">
                  <c:v>0.25657463000000003</c:v>
                </c:pt>
                <c:pt idx="314">
                  <c:v>0.25898847000000003</c:v>
                </c:pt>
                <c:pt idx="315">
                  <c:v>0.26145002000000001</c:v>
                </c:pt>
                <c:pt idx="316">
                  <c:v>0.26360009000000001</c:v>
                </c:pt>
                <c:pt idx="317">
                  <c:v>0.26526954999999997</c:v>
                </c:pt>
                <c:pt idx="318">
                  <c:v>0.26680472</c:v>
                </c:pt>
                <c:pt idx="319">
                  <c:v>0.26776035000000004</c:v>
                </c:pt>
                <c:pt idx="320">
                  <c:v>0.26941057000000002</c:v>
                </c:pt>
                <c:pt idx="321">
                  <c:v>0.27103427000000002</c:v>
                </c:pt>
                <c:pt idx="322">
                  <c:v>0.27126250000000002</c:v>
                </c:pt>
                <c:pt idx="323">
                  <c:v>0.27081450000000001</c:v>
                </c:pt>
                <c:pt idx="324">
                  <c:v>0.26974120000000001</c:v>
                </c:pt>
                <c:pt idx="325">
                  <c:v>0.26766820000000002</c:v>
                </c:pt>
                <c:pt idx="326">
                  <c:v>0.26527539999999999</c:v>
                </c:pt>
                <c:pt idx="327">
                  <c:v>0.26346189999999997</c:v>
                </c:pt>
                <c:pt idx="328">
                  <c:v>0.26089309999999999</c:v>
                </c:pt>
                <c:pt idx="329">
                  <c:v>0.25734669999999998</c:v>
                </c:pt>
                <c:pt idx="330">
                  <c:v>0.25355329999999998</c:v>
                </c:pt>
                <c:pt idx="331">
                  <c:v>0.24934520000000004</c:v>
                </c:pt>
                <c:pt idx="332">
                  <c:v>0.24434800000000001</c:v>
                </c:pt>
                <c:pt idx="333">
                  <c:v>0.2384395</c:v>
                </c:pt>
                <c:pt idx="334">
                  <c:v>0.23227490000000001</c:v>
                </c:pt>
                <c:pt idx="335">
                  <c:v>0.2259504</c:v>
                </c:pt>
                <c:pt idx="336">
                  <c:v>0.21899410000000002</c:v>
                </c:pt>
                <c:pt idx="337">
                  <c:v>0.21179080000000003</c:v>
                </c:pt>
                <c:pt idx="338">
                  <c:v>0.20416499999999999</c:v>
                </c:pt>
                <c:pt idx="339">
                  <c:v>0.19634160000000001</c:v>
                </c:pt>
                <c:pt idx="340">
                  <c:v>0.18814769999999997</c:v>
                </c:pt>
                <c:pt idx="341">
                  <c:v>0.1800513</c:v>
                </c:pt>
                <c:pt idx="342">
                  <c:v>0.17233709999999999</c:v>
                </c:pt>
                <c:pt idx="343">
                  <c:v>0.1644071</c:v>
                </c:pt>
                <c:pt idx="344">
                  <c:v>0.15633930000000001</c:v>
                </c:pt>
                <c:pt idx="345">
                  <c:v>0.1490099</c:v>
                </c:pt>
                <c:pt idx="346">
                  <c:v>0.14201460000000002</c:v>
                </c:pt>
                <c:pt idx="347">
                  <c:v>0.1353664</c:v>
                </c:pt>
                <c:pt idx="348">
                  <c:v>0.12882350000000001</c:v>
                </c:pt>
                <c:pt idx="349">
                  <c:v>0.12265500000000001</c:v>
                </c:pt>
                <c:pt idx="350">
                  <c:v>0.1168401</c:v>
                </c:pt>
                <c:pt idx="351">
                  <c:v>0.11146174</c:v>
                </c:pt>
                <c:pt idx="352">
                  <c:v>0.10623145000000001</c:v>
                </c:pt>
                <c:pt idx="353">
                  <c:v>0.10104952</c:v>
                </c:pt>
                <c:pt idx="354">
                  <c:v>9.6446610000000016E-2</c:v>
                </c:pt>
                <c:pt idx="355">
                  <c:v>9.2187030000000017E-2</c:v>
                </c:pt>
                <c:pt idx="356">
                  <c:v>8.8008569999999994E-2</c:v>
                </c:pt>
                <c:pt idx="357">
                  <c:v>8.3764199999999997E-2</c:v>
                </c:pt>
                <c:pt idx="358">
                  <c:v>7.9683759999999992E-2</c:v>
                </c:pt>
                <c:pt idx="359">
                  <c:v>7.5974340000000001E-2</c:v>
                </c:pt>
                <c:pt idx="360">
                  <c:v>7.2898149999999995E-2</c:v>
                </c:pt>
                <c:pt idx="361">
                  <c:v>7.0265650000000013E-2</c:v>
                </c:pt>
                <c:pt idx="362">
                  <c:v>6.7700490000000002E-2</c:v>
                </c:pt>
                <c:pt idx="363">
                  <c:v>6.4644450000000006E-2</c:v>
                </c:pt>
                <c:pt idx="364">
                  <c:v>6.1358440000000007E-2</c:v>
                </c:pt>
                <c:pt idx="365">
                  <c:v>5.8006650000000007E-2</c:v>
                </c:pt>
                <c:pt idx="366">
                  <c:v>5.4812159999999999E-2</c:v>
                </c:pt>
                <c:pt idx="367">
                  <c:v>5.1793430000000008E-2</c:v>
                </c:pt>
                <c:pt idx="368">
                  <c:v>4.909086E-2</c:v>
                </c:pt>
                <c:pt idx="369">
                  <c:v>4.6470060000000001E-2</c:v>
                </c:pt>
                <c:pt idx="370">
                  <c:v>4.4248490000000001E-2</c:v>
                </c:pt>
                <c:pt idx="371">
                  <c:v>4.2057730000000002E-2</c:v>
                </c:pt>
                <c:pt idx="372">
                  <c:v>3.9870350000000006E-2</c:v>
                </c:pt>
                <c:pt idx="373">
                  <c:v>3.7724830000000008E-2</c:v>
                </c:pt>
                <c:pt idx="374">
                  <c:v>3.5617270000000006E-2</c:v>
                </c:pt>
                <c:pt idx="375">
                  <c:v>3.351842E-2</c:v>
                </c:pt>
                <c:pt idx="376">
                  <c:v>3.1647590000000003E-2</c:v>
                </c:pt>
                <c:pt idx="377">
                  <c:v>2.9969550000000001E-2</c:v>
                </c:pt>
                <c:pt idx="378">
                  <c:v>2.860182E-2</c:v>
                </c:pt>
                <c:pt idx="379">
                  <c:v>2.725255E-2</c:v>
                </c:pt>
                <c:pt idx="380">
                  <c:v>2.5929670000000002E-2</c:v>
                </c:pt>
                <c:pt idx="381">
                  <c:v>2.4554270000000003E-2</c:v>
                </c:pt>
                <c:pt idx="382">
                  <c:v>2.2302099999999998E-2</c:v>
                </c:pt>
                <c:pt idx="383">
                  <c:v>2.0593100000000003E-2</c:v>
                </c:pt>
                <c:pt idx="384">
                  <c:v>1.9019300000000003E-2</c:v>
                </c:pt>
                <c:pt idx="385">
                  <c:v>1.7494900000000001E-2</c:v>
                </c:pt>
                <c:pt idx="386">
                  <c:v>1.60199E-2</c:v>
                </c:pt>
                <c:pt idx="387">
                  <c:v>1.51944E-2</c:v>
                </c:pt>
                <c:pt idx="388">
                  <c:v>1.45509E-2</c:v>
                </c:pt>
                <c:pt idx="389">
                  <c:v>1.4003600000000001E-2</c:v>
                </c:pt>
                <c:pt idx="390">
                  <c:v>1.3384800000000001E-2</c:v>
                </c:pt>
                <c:pt idx="391">
                  <c:v>1.269814E-2</c:v>
                </c:pt>
                <c:pt idx="392">
                  <c:v>1.204385E-2</c:v>
                </c:pt>
                <c:pt idx="393">
                  <c:v>1.141322E-2</c:v>
                </c:pt>
                <c:pt idx="394">
                  <c:v>1.085851E-2</c:v>
                </c:pt>
                <c:pt idx="395">
                  <c:v>1.011803E-2</c:v>
                </c:pt>
                <c:pt idx="396">
                  <c:v>9.4729700000000007E-3</c:v>
                </c:pt>
                <c:pt idx="397">
                  <c:v>8.7854000000000005E-3</c:v>
                </c:pt>
                <c:pt idx="398">
                  <c:v>8.1928599999999997E-3</c:v>
                </c:pt>
                <c:pt idx="399">
                  <c:v>7.7659399999999998E-3</c:v>
                </c:pt>
                <c:pt idx="400">
                  <c:v>7.4015499999999998E-3</c:v>
                </c:pt>
                <c:pt idx="401">
                  <c:v>7.2403499999999996E-3</c:v>
                </c:pt>
                <c:pt idx="402">
                  <c:v>7.0099900000000007E-3</c:v>
                </c:pt>
                <c:pt idx="403">
                  <c:v>6.6579500000000002E-3</c:v>
                </c:pt>
                <c:pt idx="404">
                  <c:v>6.2072400000000002E-3</c:v>
                </c:pt>
                <c:pt idx="405">
                  <c:v>5.8454499999999994E-3</c:v>
                </c:pt>
                <c:pt idx="406">
                  <c:v>5.6097600000000001E-3</c:v>
                </c:pt>
                <c:pt idx="407">
                  <c:v>5.3665300000000004E-3</c:v>
                </c:pt>
                <c:pt idx="408">
                  <c:v>5.1417600000000004E-3</c:v>
                </c:pt>
                <c:pt idx="409">
                  <c:v>4.8713599999999999E-3</c:v>
                </c:pt>
                <c:pt idx="410">
                  <c:v>4.6751900000000001E-3</c:v>
                </c:pt>
                <c:pt idx="411">
                  <c:v>4.4695300000000002E-3</c:v>
                </c:pt>
                <c:pt idx="412">
                  <c:v>4.21135E-3</c:v>
                </c:pt>
                <c:pt idx="413">
                  <c:v>4.0613300000000001E-3</c:v>
                </c:pt>
                <c:pt idx="414">
                  <c:v>3.8543700000000002E-3</c:v>
                </c:pt>
                <c:pt idx="415">
                  <c:v>3.62102E-3</c:v>
                </c:pt>
                <c:pt idx="416">
                  <c:v>3.4414900000000002E-3</c:v>
                </c:pt>
                <c:pt idx="417">
                  <c:v>3.2337500000000001E-3</c:v>
                </c:pt>
                <c:pt idx="418">
                  <c:v>3.1218200000000004E-3</c:v>
                </c:pt>
                <c:pt idx="419">
                  <c:v>2.9399500000000002E-3</c:v>
                </c:pt>
                <c:pt idx="420">
                  <c:v>2.8689700000000002E-3</c:v>
                </c:pt>
                <c:pt idx="421">
                  <c:v>2.8689700000000002E-3</c:v>
                </c:pt>
                <c:pt idx="422">
                  <c:v>2E-3</c:v>
                </c:pt>
                <c:pt idx="423">
                  <c:v>1.5E-3</c:v>
                </c:pt>
                <c:pt idx="424">
                  <c:v>1E-3</c:v>
                </c:pt>
                <c:pt idx="425">
                  <c:v>5.0000000000000001E-4</c:v>
                </c:pt>
                <c:pt idx="426">
                  <c:v>0</c:v>
                </c:pt>
                <c:pt idx="427">
                  <c:v>0</c:v>
                </c:pt>
                <c:pt idx="428">
                  <c:v>0</c:v>
                </c:pt>
                <c:pt idx="429">
                  <c:v>0</c:v>
                </c:pt>
                <c:pt idx="430">
                  <c:v>0</c:v>
                </c:pt>
                <c:pt idx="431">
                  <c:v>0</c:v>
                </c:pt>
                <c:pt idx="432">
                  <c:v>0</c:v>
                </c:pt>
                <c:pt idx="433">
                  <c:v>0</c:v>
                </c:pt>
                <c:pt idx="434">
                  <c:v>0</c:v>
                </c:pt>
                <c:pt idx="435">
                  <c:v>0</c:v>
                </c:pt>
                <c:pt idx="436">
                  <c:v>0</c:v>
                </c:pt>
                <c:pt idx="437">
                  <c:v>0</c:v>
                </c:pt>
                <c:pt idx="438">
                  <c:v>0</c:v>
                </c:pt>
                <c:pt idx="439">
                  <c:v>0</c:v>
                </c:pt>
                <c:pt idx="440">
                  <c:v>0</c:v>
                </c:pt>
                <c:pt idx="441">
                  <c:v>0</c:v>
                </c:pt>
                <c:pt idx="442">
                  <c:v>0</c:v>
                </c:pt>
                <c:pt idx="443">
                  <c:v>0</c:v>
                </c:pt>
                <c:pt idx="444">
                  <c:v>0</c:v>
                </c:pt>
                <c:pt idx="445">
                  <c:v>0</c:v>
                </c:pt>
                <c:pt idx="446">
                  <c:v>0</c:v>
                </c:pt>
                <c:pt idx="447">
                  <c:v>0</c:v>
                </c:pt>
                <c:pt idx="448">
                  <c:v>0</c:v>
                </c:pt>
                <c:pt idx="449">
                  <c:v>0</c:v>
                </c:pt>
                <c:pt idx="450">
                  <c:v>0</c:v>
                </c:pt>
                <c:pt idx="451">
                  <c:v>0</c:v>
                </c:pt>
                <c:pt idx="452">
                  <c:v>0</c:v>
                </c:pt>
                <c:pt idx="453">
                  <c:v>0</c:v>
                </c:pt>
                <c:pt idx="454">
                  <c:v>0</c:v>
                </c:pt>
                <c:pt idx="455">
                  <c:v>0</c:v>
                </c:pt>
                <c:pt idx="456">
                  <c:v>0</c:v>
                </c:pt>
                <c:pt idx="457">
                  <c:v>0</c:v>
                </c:pt>
                <c:pt idx="458">
                  <c:v>0</c:v>
                </c:pt>
                <c:pt idx="459">
                  <c:v>0</c:v>
                </c:pt>
                <c:pt idx="460">
                  <c:v>0</c:v>
                </c:pt>
                <c:pt idx="461">
                  <c:v>0</c:v>
                </c:pt>
                <c:pt idx="462">
                  <c:v>0</c:v>
                </c:pt>
                <c:pt idx="463">
                  <c:v>0</c:v>
                </c:pt>
                <c:pt idx="464">
                  <c:v>0</c:v>
                </c:pt>
                <c:pt idx="465">
                  <c:v>0</c:v>
                </c:pt>
                <c:pt idx="466">
                  <c:v>0</c:v>
                </c:pt>
                <c:pt idx="467">
                  <c:v>0</c:v>
                </c:pt>
                <c:pt idx="468">
                  <c:v>0</c:v>
                </c:pt>
                <c:pt idx="469">
                  <c:v>0</c:v>
                </c:pt>
                <c:pt idx="470">
                  <c:v>0</c:v>
                </c:pt>
                <c:pt idx="471">
                  <c:v>0</c:v>
                </c:pt>
                <c:pt idx="472">
                  <c:v>0</c:v>
                </c:pt>
                <c:pt idx="473">
                  <c:v>0</c:v>
                </c:pt>
                <c:pt idx="474">
                  <c:v>0</c:v>
                </c:pt>
                <c:pt idx="475">
                  <c:v>0</c:v>
                </c:pt>
                <c:pt idx="476">
                  <c:v>0</c:v>
                </c:pt>
                <c:pt idx="477">
                  <c:v>0</c:v>
                </c:pt>
                <c:pt idx="478">
                  <c:v>0</c:v>
                </c:pt>
                <c:pt idx="479">
                  <c:v>0</c:v>
                </c:pt>
                <c:pt idx="480">
                  <c:v>0</c:v>
                </c:pt>
                <c:pt idx="481">
                  <c:v>0</c:v>
                </c:pt>
                <c:pt idx="482">
                  <c:v>0</c:v>
                </c:pt>
                <c:pt idx="483">
                  <c:v>0</c:v>
                </c:pt>
                <c:pt idx="484">
                  <c:v>0</c:v>
                </c:pt>
                <c:pt idx="485">
                  <c:v>0</c:v>
                </c:pt>
                <c:pt idx="486">
                  <c:v>0</c:v>
                </c:pt>
                <c:pt idx="487">
                  <c:v>0</c:v>
                </c:pt>
                <c:pt idx="488">
                  <c:v>0</c:v>
                </c:pt>
                <c:pt idx="489">
                  <c:v>0</c:v>
                </c:pt>
                <c:pt idx="490">
                  <c:v>0</c:v>
                </c:pt>
                <c:pt idx="491">
                  <c:v>0</c:v>
                </c:pt>
                <c:pt idx="492">
                  <c:v>0</c:v>
                </c:pt>
                <c:pt idx="493">
                  <c:v>0</c:v>
                </c:pt>
                <c:pt idx="494">
                  <c:v>0</c:v>
                </c:pt>
                <c:pt idx="495">
                  <c:v>0</c:v>
                </c:pt>
                <c:pt idx="496">
                  <c:v>0</c:v>
                </c:pt>
                <c:pt idx="497">
                  <c:v>0</c:v>
                </c:pt>
                <c:pt idx="498">
                  <c:v>0</c:v>
                </c:pt>
                <c:pt idx="499">
                  <c:v>0</c:v>
                </c:pt>
                <c:pt idx="500">
                  <c:v>0</c:v>
                </c:pt>
                <c:pt idx="501">
                  <c:v>0</c:v>
                </c:pt>
                <c:pt idx="502">
                  <c:v>0</c:v>
                </c:pt>
                <c:pt idx="503">
                  <c:v>0</c:v>
                </c:pt>
                <c:pt idx="504">
                  <c:v>0</c:v>
                </c:pt>
                <c:pt idx="505">
                  <c:v>0</c:v>
                </c:pt>
                <c:pt idx="506">
                  <c:v>0</c:v>
                </c:pt>
                <c:pt idx="507">
                  <c:v>0</c:v>
                </c:pt>
                <c:pt idx="508">
                  <c:v>0</c:v>
                </c:pt>
                <c:pt idx="509">
                  <c:v>0</c:v>
                </c:pt>
                <c:pt idx="510">
                  <c:v>0</c:v>
                </c:pt>
                <c:pt idx="511">
                  <c:v>0</c:v>
                </c:pt>
                <c:pt idx="512">
                  <c:v>0</c:v>
                </c:pt>
                <c:pt idx="513">
                  <c:v>0</c:v>
                </c:pt>
                <c:pt idx="514">
                  <c:v>0</c:v>
                </c:pt>
                <c:pt idx="515">
                  <c:v>0</c:v>
                </c:pt>
                <c:pt idx="516">
                  <c:v>0</c:v>
                </c:pt>
                <c:pt idx="517">
                  <c:v>0</c:v>
                </c:pt>
                <c:pt idx="518">
                  <c:v>0</c:v>
                </c:pt>
                <c:pt idx="519">
                  <c:v>0</c:v>
                </c:pt>
                <c:pt idx="520">
                  <c:v>0</c:v>
                </c:pt>
                <c:pt idx="521">
                  <c:v>0</c:v>
                </c:pt>
                <c:pt idx="522">
                  <c:v>0</c:v>
                </c:pt>
                <c:pt idx="523">
                  <c:v>0</c:v>
                </c:pt>
                <c:pt idx="524">
                  <c:v>0</c:v>
                </c:pt>
                <c:pt idx="525">
                  <c:v>0</c:v>
                </c:pt>
                <c:pt idx="526">
                  <c:v>0</c:v>
                </c:pt>
                <c:pt idx="527">
                  <c:v>0</c:v>
                </c:pt>
                <c:pt idx="528">
                  <c:v>0</c:v>
                </c:pt>
                <c:pt idx="529">
                  <c:v>0</c:v>
                </c:pt>
                <c:pt idx="530">
                  <c:v>0</c:v>
                </c:pt>
                <c:pt idx="531">
                  <c:v>0</c:v>
                </c:pt>
                <c:pt idx="532">
                  <c:v>0</c:v>
                </c:pt>
                <c:pt idx="533">
                  <c:v>0</c:v>
                </c:pt>
                <c:pt idx="534">
                  <c:v>0</c:v>
                </c:pt>
                <c:pt idx="535">
                  <c:v>0</c:v>
                </c:pt>
                <c:pt idx="536">
                  <c:v>0</c:v>
                </c:pt>
                <c:pt idx="537">
                  <c:v>0</c:v>
                </c:pt>
                <c:pt idx="538">
                  <c:v>0</c:v>
                </c:pt>
                <c:pt idx="539">
                  <c:v>0</c:v>
                </c:pt>
                <c:pt idx="540">
                  <c:v>0</c:v>
                </c:pt>
                <c:pt idx="541">
                  <c:v>0</c:v>
                </c:pt>
                <c:pt idx="542">
                  <c:v>0</c:v>
                </c:pt>
                <c:pt idx="543">
                  <c:v>0</c:v>
                </c:pt>
                <c:pt idx="544">
                  <c:v>0</c:v>
                </c:pt>
                <c:pt idx="545">
                  <c:v>0</c:v>
                </c:pt>
                <c:pt idx="546">
                  <c:v>0</c:v>
                </c:pt>
                <c:pt idx="547">
                  <c:v>0</c:v>
                </c:pt>
                <c:pt idx="548">
                  <c:v>0</c:v>
                </c:pt>
                <c:pt idx="549">
                  <c:v>0</c:v>
                </c:pt>
                <c:pt idx="550">
                  <c:v>0</c:v>
                </c:pt>
                <c:pt idx="551">
                  <c:v>0</c:v>
                </c:pt>
                <c:pt idx="552">
                  <c:v>0</c:v>
                </c:pt>
                <c:pt idx="553">
                  <c:v>0</c:v>
                </c:pt>
                <c:pt idx="554">
                  <c:v>0</c:v>
                </c:pt>
                <c:pt idx="555">
                  <c:v>0</c:v>
                </c:pt>
                <c:pt idx="556">
                  <c:v>0</c:v>
                </c:pt>
                <c:pt idx="557">
                  <c:v>0</c:v>
                </c:pt>
                <c:pt idx="558">
                  <c:v>0</c:v>
                </c:pt>
                <c:pt idx="559">
                  <c:v>0</c:v>
                </c:pt>
                <c:pt idx="560">
                  <c:v>0</c:v>
                </c:pt>
                <c:pt idx="561">
                  <c:v>0</c:v>
                </c:pt>
                <c:pt idx="562">
                  <c:v>0</c:v>
                </c:pt>
                <c:pt idx="563">
                  <c:v>0</c:v>
                </c:pt>
                <c:pt idx="564">
                  <c:v>0</c:v>
                </c:pt>
                <c:pt idx="565">
                  <c:v>0</c:v>
                </c:pt>
                <c:pt idx="566">
                  <c:v>0</c:v>
                </c:pt>
                <c:pt idx="567">
                  <c:v>0</c:v>
                </c:pt>
                <c:pt idx="568">
                  <c:v>0</c:v>
                </c:pt>
                <c:pt idx="569">
                  <c:v>0</c:v>
                </c:pt>
                <c:pt idx="570">
                  <c:v>0</c:v>
                </c:pt>
                <c:pt idx="571">
                  <c:v>0</c:v>
                </c:pt>
                <c:pt idx="572">
                  <c:v>0</c:v>
                </c:pt>
                <c:pt idx="573">
                  <c:v>0</c:v>
                </c:pt>
                <c:pt idx="574">
                  <c:v>0</c:v>
                </c:pt>
                <c:pt idx="575">
                  <c:v>0</c:v>
                </c:pt>
                <c:pt idx="576">
                  <c:v>0</c:v>
                </c:pt>
                <c:pt idx="577">
                  <c:v>0</c:v>
                </c:pt>
                <c:pt idx="578">
                  <c:v>0</c:v>
                </c:pt>
                <c:pt idx="579">
                  <c:v>0</c:v>
                </c:pt>
                <c:pt idx="580">
                  <c:v>0</c:v>
                </c:pt>
                <c:pt idx="581">
                  <c:v>0</c:v>
                </c:pt>
                <c:pt idx="582">
                  <c:v>0</c:v>
                </c:pt>
                <c:pt idx="583">
                  <c:v>0</c:v>
                </c:pt>
                <c:pt idx="584">
                  <c:v>0</c:v>
                </c:pt>
                <c:pt idx="585">
                  <c:v>0</c:v>
                </c:pt>
                <c:pt idx="586">
                  <c:v>0</c:v>
                </c:pt>
                <c:pt idx="587">
                  <c:v>0</c:v>
                </c:pt>
                <c:pt idx="588">
                  <c:v>0</c:v>
                </c:pt>
                <c:pt idx="589">
                  <c:v>0</c:v>
                </c:pt>
                <c:pt idx="590">
                  <c:v>0</c:v>
                </c:pt>
                <c:pt idx="591">
                  <c:v>0</c:v>
                </c:pt>
                <c:pt idx="592">
                  <c:v>0</c:v>
                </c:pt>
                <c:pt idx="593">
                  <c:v>0</c:v>
                </c:pt>
                <c:pt idx="594">
                  <c:v>0</c:v>
                </c:pt>
                <c:pt idx="595">
                  <c:v>0</c:v>
                </c:pt>
                <c:pt idx="596">
                  <c:v>0</c:v>
                </c:pt>
                <c:pt idx="597">
                  <c:v>0</c:v>
                </c:pt>
                <c:pt idx="598">
                  <c:v>0</c:v>
                </c:pt>
                <c:pt idx="599">
                  <c:v>0</c:v>
                </c:pt>
                <c:pt idx="600">
                  <c:v>0</c:v>
                </c:pt>
                <c:pt idx="601">
                  <c:v>0</c:v>
                </c:pt>
                <c:pt idx="602">
                  <c:v>0</c:v>
                </c:pt>
                <c:pt idx="603">
                  <c:v>0</c:v>
                </c:pt>
                <c:pt idx="604">
                  <c:v>0</c:v>
                </c:pt>
                <c:pt idx="605">
                  <c:v>0</c:v>
                </c:pt>
                <c:pt idx="606">
                  <c:v>0</c:v>
                </c:pt>
                <c:pt idx="607">
                  <c:v>0</c:v>
                </c:pt>
                <c:pt idx="608">
                  <c:v>0</c:v>
                </c:pt>
                <c:pt idx="609">
                  <c:v>0</c:v>
                </c:pt>
                <c:pt idx="610">
                  <c:v>0</c:v>
                </c:pt>
                <c:pt idx="611">
                  <c:v>0</c:v>
                </c:pt>
                <c:pt idx="612">
                  <c:v>0</c:v>
                </c:pt>
                <c:pt idx="613">
                  <c:v>0</c:v>
                </c:pt>
                <c:pt idx="614">
                  <c:v>0</c:v>
                </c:pt>
                <c:pt idx="615">
                  <c:v>0</c:v>
                </c:pt>
                <c:pt idx="616">
                  <c:v>0</c:v>
                </c:pt>
                <c:pt idx="617">
                  <c:v>0</c:v>
                </c:pt>
                <c:pt idx="618">
                  <c:v>0</c:v>
                </c:pt>
                <c:pt idx="619">
                  <c:v>0</c:v>
                </c:pt>
                <c:pt idx="620">
                  <c:v>0</c:v>
                </c:pt>
                <c:pt idx="621">
                  <c:v>0</c:v>
                </c:pt>
                <c:pt idx="622">
                  <c:v>0</c:v>
                </c:pt>
                <c:pt idx="623">
                  <c:v>0</c:v>
                </c:pt>
                <c:pt idx="624">
                  <c:v>0</c:v>
                </c:pt>
                <c:pt idx="625">
                  <c:v>0</c:v>
                </c:pt>
                <c:pt idx="626">
                  <c:v>0</c:v>
                </c:pt>
                <c:pt idx="627">
                  <c:v>0</c:v>
                </c:pt>
                <c:pt idx="628">
                  <c:v>0</c:v>
                </c:pt>
                <c:pt idx="629">
                  <c:v>0</c:v>
                </c:pt>
                <c:pt idx="630">
                  <c:v>0</c:v>
                </c:pt>
                <c:pt idx="631">
                  <c:v>0</c:v>
                </c:pt>
                <c:pt idx="632">
                  <c:v>0</c:v>
                </c:pt>
                <c:pt idx="633">
                  <c:v>0</c:v>
                </c:pt>
                <c:pt idx="634">
                  <c:v>0</c:v>
                </c:pt>
                <c:pt idx="635">
                  <c:v>0</c:v>
                </c:pt>
                <c:pt idx="636">
                  <c:v>0</c:v>
                </c:pt>
                <c:pt idx="637">
                  <c:v>0</c:v>
                </c:pt>
                <c:pt idx="638">
                  <c:v>0</c:v>
                </c:pt>
                <c:pt idx="639">
                  <c:v>0</c:v>
                </c:pt>
                <c:pt idx="640">
                  <c:v>0</c:v>
                </c:pt>
                <c:pt idx="641">
                  <c:v>0</c:v>
                </c:pt>
                <c:pt idx="642">
                  <c:v>0</c:v>
                </c:pt>
                <c:pt idx="643">
                  <c:v>0</c:v>
                </c:pt>
                <c:pt idx="644">
                  <c:v>0</c:v>
                </c:pt>
                <c:pt idx="645">
                  <c:v>0</c:v>
                </c:pt>
                <c:pt idx="646">
                  <c:v>0</c:v>
                </c:pt>
                <c:pt idx="647">
                  <c:v>0</c:v>
                </c:pt>
                <c:pt idx="648">
                  <c:v>0</c:v>
                </c:pt>
                <c:pt idx="649">
                  <c:v>0</c:v>
                </c:pt>
                <c:pt idx="650">
                  <c:v>0</c:v>
                </c:pt>
                <c:pt idx="651">
                  <c:v>0</c:v>
                </c:pt>
                <c:pt idx="652">
                  <c:v>0</c:v>
                </c:pt>
                <c:pt idx="653">
                  <c:v>0</c:v>
                </c:pt>
                <c:pt idx="654">
                  <c:v>0</c:v>
                </c:pt>
                <c:pt idx="655">
                  <c:v>0</c:v>
                </c:pt>
                <c:pt idx="656">
                  <c:v>0</c:v>
                </c:pt>
                <c:pt idx="657">
                  <c:v>0</c:v>
                </c:pt>
                <c:pt idx="658">
                  <c:v>0</c:v>
                </c:pt>
                <c:pt idx="659">
                  <c:v>0</c:v>
                </c:pt>
                <c:pt idx="660">
                  <c:v>0</c:v>
                </c:pt>
                <c:pt idx="661">
                  <c:v>0</c:v>
                </c:pt>
                <c:pt idx="662">
                  <c:v>0</c:v>
                </c:pt>
                <c:pt idx="663">
                  <c:v>0</c:v>
                </c:pt>
                <c:pt idx="664">
                  <c:v>0</c:v>
                </c:pt>
                <c:pt idx="665">
                  <c:v>0</c:v>
                </c:pt>
                <c:pt idx="666">
                  <c:v>0</c:v>
                </c:pt>
                <c:pt idx="667">
                  <c:v>0</c:v>
                </c:pt>
                <c:pt idx="668">
                  <c:v>0</c:v>
                </c:pt>
                <c:pt idx="669">
                  <c:v>0</c:v>
                </c:pt>
                <c:pt idx="670">
                  <c:v>0</c:v>
                </c:pt>
                <c:pt idx="671">
                  <c:v>0</c:v>
                </c:pt>
                <c:pt idx="672">
                  <c:v>0</c:v>
                </c:pt>
                <c:pt idx="673">
                  <c:v>0</c:v>
                </c:pt>
                <c:pt idx="674">
                  <c:v>0</c:v>
                </c:pt>
                <c:pt idx="675">
                  <c:v>0</c:v>
                </c:pt>
                <c:pt idx="676">
                  <c:v>0</c:v>
                </c:pt>
                <c:pt idx="677">
                  <c:v>0</c:v>
                </c:pt>
                <c:pt idx="678">
                  <c:v>0</c:v>
                </c:pt>
                <c:pt idx="679">
                  <c:v>0</c:v>
                </c:pt>
                <c:pt idx="680">
                  <c:v>0</c:v>
                </c:pt>
                <c:pt idx="681">
                  <c:v>0</c:v>
                </c:pt>
                <c:pt idx="682">
                  <c:v>0</c:v>
                </c:pt>
                <c:pt idx="683">
                  <c:v>0</c:v>
                </c:pt>
                <c:pt idx="684">
                  <c:v>0</c:v>
                </c:pt>
                <c:pt idx="685">
                  <c:v>0</c:v>
                </c:pt>
                <c:pt idx="686">
                  <c:v>0</c:v>
                </c:pt>
                <c:pt idx="687">
                  <c:v>0</c:v>
                </c:pt>
                <c:pt idx="688">
                  <c:v>0</c:v>
                </c:pt>
                <c:pt idx="689">
                  <c:v>0</c:v>
                </c:pt>
                <c:pt idx="690">
                  <c:v>0</c:v>
                </c:pt>
                <c:pt idx="691">
                  <c:v>0</c:v>
                </c:pt>
                <c:pt idx="692">
                  <c:v>0</c:v>
                </c:pt>
                <c:pt idx="693">
                  <c:v>0</c:v>
                </c:pt>
                <c:pt idx="694">
                  <c:v>0</c:v>
                </c:pt>
                <c:pt idx="695">
                  <c:v>0</c:v>
                </c:pt>
                <c:pt idx="696">
                  <c:v>0</c:v>
                </c:pt>
                <c:pt idx="697">
                  <c:v>0</c:v>
                </c:pt>
                <c:pt idx="698">
                  <c:v>0</c:v>
                </c:pt>
                <c:pt idx="699">
                  <c:v>0</c:v>
                </c:pt>
                <c:pt idx="700">
                  <c:v>0</c:v>
                </c:pt>
                <c:pt idx="701">
                  <c:v>0</c:v>
                </c:pt>
                <c:pt idx="702">
                  <c:v>0</c:v>
                </c:pt>
                <c:pt idx="703">
                  <c:v>0</c:v>
                </c:pt>
                <c:pt idx="704">
                  <c:v>0</c:v>
                </c:pt>
                <c:pt idx="705">
                  <c:v>0</c:v>
                </c:pt>
                <c:pt idx="706">
                  <c:v>0</c:v>
                </c:pt>
                <c:pt idx="707">
                  <c:v>0</c:v>
                </c:pt>
                <c:pt idx="708">
                  <c:v>0</c:v>
                </c:pt>
                <c:pt idx="709">
                  <c:v>0</c:v>
                </c:pt>
                <c:pt idx="710">
                  <c:v>0</c:v>
                </c:pt>
                <c:pt idx="711">
                  <c:v>0</c:v>
                </c:pt>
                <c:pt idx="712">
                  <c:v>0</c:v>
                </c:pt>
                <c:pt idx="713">
                  <c:v>0</c:v>
                </c:pt>
                <c:pt idx="714">
                  <c:v>0</c:v>
                </c:pt>
                <c:pt idx="715">
                  <c:v>0</c:v>
                </c:pt>
                <c:pt idx="716">
                  <c:v>0</c:v>
                </c:pt>
                <c:pt idx="717">
                  <c:v>0</c:v>
                </c:pt>
                <c:pt idx="718">
                  <c:v>0</c:v>
                </c:pt>
                <c:pt idx="719">
                  <c:v>0</c:v>
                </c:pt>
                <c:pt idx="720">
                  <c:v>0</c:v>
                </c:pt>
                <c:pt idx="721">
                  <c:v>0</c:v>
                </c:pt>
                <c:pt idx="722">
                  <c:v>0</c:v>
                </c:pt>
                <c:pt idx="723">
                  <c:v>0</c:v>
                </c:pt>
                <c:pt idx="724">
                  <c:v>0</c:v>
                </c:pt>
                <c:pt idx="725">
                  <c:v>0</c:v>
                </c:pt>
                <c:pt idx="726">
                  <c:v>0</c:v>
                </c:pt>
                <c:pt idx="727">
                  <c:v>0</c:v>
                </c:pt>
                <c:pt idx="728">
                  <c:v>0</c:v>
                </c:pt>
                <c:pt idx="729">
                  <c:v>0</c:v>
                </c:pt>
                <c:pt idx="730">
                  <c:v>0</c:v>
                </c:pt>
                <c:pt idx="731">
                  <c:v>0</c:v>
                </c:pt>
                <c:pt idx="732">
                  <c:v>0</c:v>
                </c:pt>
                <c:pt idx="733">
                  <c:v>0</c:v>
                </c:pt>
                <c:pt idx="734">
                  <c:v>0</c:v>
                </c:pt>
                <c:pt idx="735">
                  <c:v>0</c:v>
                </c:pt>
                <c:pt idx="736">
                  <c:v>0</c:v>
                </c:pt>
                <c:pt idx="737">
                  <c:v>0</c:v>
                </c:pt>
                <c:pt idx="738">
                  <c:v>0</c:v>
                </c:pt>
                <c:pt idx="739">
                  <c:v>0</c:v>
                </c:pt>
                <c:pt idx="740">
                  <c:v>0</c:v>
                </c:pt>
                <c:pt idx="741">
                  <c:v>0</c:v>
                </c:pt>
                <c:pt idx="742">
                  <c:v>0</c:v>
                </c:pt>
                <c:pt idx="743">
                  <c:v>0</c:v>
                </c:pt>
                <c:pt idx="744">
                  <c:v>0</c:v>
                </c:pt>
                <c:pt idx="745">
                  <c:v>0</c:v>
                </c:pt>
                <c:pt idx="746">
                  <c:v>0</c:v>
                </c:pt>
                <c:pt idx="747">
                  <c:v>0</c:v>
                </c:pt>
                <c:pt idx="748">
                  <c:v>0</c:v>
                </c:pt>
                <c:pt idx="749">
                  <c:v>0</c:v>
                </c:pt>
                <c:pt idx="750">
                  <c:v>0</c:v>
                </c:pt>
                <c:pt idx="751">
                  <c:v>0</c:v>
                </c:pt>
                <c:pt idx="752">
                  <c:v>0</c:v>
                </c:pt>
                <c:pt idx="753">
                  <c:v>0</c:v>
                </c:pt>
                <c:pt idx="754">
                  <c:v>0</c:v>
                </c:pt>
                <c:pt idx="755">
                  <c:v>0</c:v>
                </c:pt>
                <c:pt idx="756">
                  <c:v>0</c:v>
                </c:pt>
                <c:pt idx="757">
                  <c:v>0</c:v>
                </c:pt>
                <c:pt idx="758">
                  <c:v>0</c:v>
                </c:pt>
                <c:pt idx="759">
                  <c:v>0</c:v>
                </c:pt>
                <c:pt idx="760">
                  <c:v>0</c:v>
                </c:pt>
                <c:pt idx="761">
                  <c:v>0</c:v>
                </c:pt>
                <c:pt idx="762">
                  <c:v>0</c:v>
                </c:pt>
                <c:pt idx="763">
                  <c:v>0</c:v>
                </c:pt>
                <c:pt idx="764">
                  <c:v>0</c:v>
                </c:pt>
                <c:pt idx="765">
                  <c:v>0</c:v>
                </c:pt>
                <c:pt idx="766">
                  <c:v>0</c:v>
                </c:pt>
                <c:pt idx="767">
                  <c:v>0</c:v>
                </c:pt>
                <c:pt idx="768">
                  <c:v>0</c:v>
                </c:pt>
                <c:pt idx="769">
                  <c:v>0</c:v>
                </c:pt>
                <c:pt idx="770">
                  <c:v>0</c:v>
                </c:pt>
                <c:pt idx="771">
                  <c:v>0</c:v>
                </c:pt>
                <c:pt idx="772">
                  <c:v>0</c:v>
                </c:pt>
                <c:pt idx="773">
                  <c:v>0</c:v>
                </c:pt>
                <c:pt idx="774">
                  <c:v>0</c:v>
                </c:pt>
                <c:pt idx="775">
                  <c:v>0</c:v>
                </c:pt>
                <c:pt idx="776">
                  <c:v>0</c:v>
                </c:pt>
                <c:pt idx="777">
                  <c:v>0</c:v>
                </c:pt>
                <c:pt idx="778">
                  <c:v>0</c:v>
                </c:pt>
                <c:pt idx="779">
                  <c:v>0</c:v>
                </c:pt>
                <c:pt idx="780">
                  <c:v>0</c:v>
                </c:pt>
                <c:pt idx="781">
                  <c:v>0</c:v>
                </c:pt>
                <c:pt idx="782">
                  <c:v>0</c:v>
                </c:pt>
                <c:pt idx="783">
                  <c:v>0</c:v>
                </c:pt>
                <c:pt idx="784">
                  <c:v>0</c:v>
                </c:pt>
                <c:pt idx="785">
                  <c:v>0</c:v>
                </c:pt>
                <c:pt idx="786">
                  <c:v>0</c:v>
                </c:pt>
                <c:pt idx="787">
                  <c:v>0</c:v>
                </c:pt>
                <c:pt idx="788">
                  <c:v>0</c:v>
                </c:pt>
                <c:pt idx="789">
                  <c:v>0</c:v>
                </c:pt>
                <c:pt idx="790">
                  <c:v>0</c:v>
                </c:pt>
                <c:pt idx="791">
                  <c:v>0</c:v>
                </c:pt>
                <c:pt idx="792">
                  <c:v>0</c:v>
                </c:pt>
                <c:pt idx="793">
                  <c:v>0</c:v>
                </c:pt>
                <c:pt idx="794">
                  <c:v>0</c:v>
                </c:pt>
                <c:pt idx="795">
                  <c:v>0</c:v>
                </c:pt>
                <c:pt idx="796">
                  <c:v>0</c:v>
                </c:pt>
                <c:pt idx="797">
                  <c:v>0</c:v>
                </c:pt>
                <c:pt idx="798">
                  <c:v>0</c:v>
                </c:pt>
                <c:pt idx="799">
                  <c:v>0</c:v>
                </c:pt>
                <c:pt idx="800">
                  <c:v>0</c:v>
                </c:pt>
                <c:pt idx="801">
                  <c:v>0</c:v>
                </c:pt>
                <c:pt idx="802">
                  <c:v>0</c:v>
                </c:pt>
                <c:pt idx="803">
                  <c:v>0</c:v>
                </c:pt>
                <c:pt idx="804">
                  <c:v>0</c:v>
                </c:pt>
                <c:pt idx="805">
                  <c:v>0</c:v>
                </c:pt>
                <c:pt idx="806">
                  <c:v>0</c:v>
                </c:pt>
                <c:pt idx="807">
                  <c:v>0</c:v>
                </c:pt>
                <c:pt idx="808">
                  <c:v>0</c:v>
                </c:pt>
                <c:pt idx="809">
                  <c:v>0</c:v>
                </c:pt>
                <c:pt idx="810">
                  <c:v>0</c:v>
                </c:pt>
                <c:pt idx="811">
                  <c:v>0</c:v>
                </c:pt>
                <c:pt idx="812">
                  <c:v>0</c:v>
                </c:pt>
                <c:pt idx="813">
                  <c:v>0</c:v>
                </c:pt>
                <c:pt idx="814">
                  <c:v>0</c:v>
                </c:pt>
                <c:pt idx="815">
                  <c:v>0</c:v>
                </c:pt>
                <c:pt idx="816">
                  <c:v>0</c:v>
                </c:pt>
                <c:pt idx="817">
                  <c:v>0</c:v>
                </c:pt>
                <c:pt idx="818">
                  <c:v>0</c:v>
                </c:pt>
                <c:pt idx="819">
                  <c:v>0</c:v>
                </c:pt>
                <c:pt idx="820">
                  <c:v>0</c:v>
                </c:pt>
                <c:pt idx="821">
                  <c:v>0</c:v>
                </c:pt>
                <c:pt idx="822">
                  <c:v>0</c:v>
                </c:pt>
                <c:pt idx="823">
                  <c:v>0</c:v>
                </c:pt>
                <c:pt idx="824">
                  <c:v>0</c:v>
                </c:pt>
                <c:pt idx="825">
                  <c:v>0</c:v>
                </c:pt>
                <c:pt idx="826">
                  <c:v>0</c:v>
                </c:pt>
                <c:pt idx="827">
                  <c:v>0</c:v>
                </c:pt>
                <c:pt idx="828">
                  <c:v>0</c:v>
                </c:pt>
                <c:pt idx="829">
                  <c:v>0</c:v>
                </c:pt>
                <c:pt idx="830">
                  <c:v>0</c:v>
                </c:pt>
                <c:pt idx="831">
                  <c:v>0</c:v>
                </c:pt>
                <c:pt idx="832">
                  <c:v>0</c:v>
                </c:pt>
                <c:pt idx="833">
                  <c:v>0</c:v>
                </c:pt>
                <c:pt idx="834">
                  <c:v>0</c:v>
                </c:pt>
                <c:pt idx="835">
                  <c:v>0</c:v>
                </c:pt>
                <c:pt idx="836">
                  <c:v>0</c:v>
                </c:pt>
                <c:pt idx="837">
                  <c:v>0</c:v>
                </c:pt>
                <c:pt idx="838">
                  <c:v>0</c:v>
                </c:pt>
                <c:pt idx="839">
                  <c:v>0</c:v>
                </c:pt>
                <c:pt idx="840">
                  <c:v>0</c:v>
                </c:pt>
                <c:pt idx="841">
                  <c:v>0</c:v>
                </c:pt>
                <c:pt idx="842">
                  <c:v>0</c:v>
                </c:pt>
                <c:pt idx="843">
                  <c:v>0</c:v>
                </c:pt>
                <c:pt idx="844">
                  <c:v>0</c:v>
                </c:pt>
                <c:pt idx="845">
                  <c:v>0</c:v>
                </c:pt>
                <c:pt idx="846">
                  <c:v>0</c:v>
                </c:pt>
                <c:pt idx="847">
                  <c:v>0</c:v>
                </c:pt>
                <c:pt idx="848">
                  <c:v>0</c:v>
                </c:pt>
                <c:pt idx="849">
                  <c:v>0</c:v>
                </c:pt>
                <c:pt idx="850">
                  <c:v>0</c:v>
                </c:pt>
                <c:pt idx="851">
                  <c:v>0</c:v>
                </c:pt>
                <c:pt idx="852">
                  <c:v>0</c:v>
                </c:pt>
                <c:pt idx="853">
                  <c:v>0</c:v>
                </c:pt>
                <c:pt idx="854">
                  <c:v>0</c:v>
                </c:pt>
                <c:pt idx="855">
                  <c:v>0</c:v>
                </c:pt>
                <c:pt idx="856">
                  <c:v>0</c:v>
                </c:pt>
                <c:pt idx="857">
                  <c:v>0</c:v>
                </c:pt>
                <c:pt idx="858">
                  <c:v>0</c:v>
                </c:pt>
                <c:pt idx="859">
                  <c:v>0</c:v>
                </c:pt>
                <c:pt idx="860">
                  <c:v>0</c:v>
                </c:pt>
                <c:pt idx="861">
                  <c:v>0</c:v>
                </c:pt>
                <c:pt idx="862">
                  <c:v>0</c:v>
                </c:pt>
                <c:pt idx="863">
                  <c:v>0</c:v>
                </c:pt>
                <c:pt idx="864">
                  <c:v>0</c:v>
                </c:pt>
                <c:pt idx="865">
                  <c:v>0</c:v>
                </c:pt>
                <c:pt idx="866">
                  <c:v>0</c:v>
                </c:pt>
                <c:pt idx="867">
                  <c:v>0</c:v>
                </c:pt>
                <c:pt idx="868">
                  <c:v>0</c:v>
                </c:pt>
                <c:pt idx="869">
                  <c:v>0</c:v>
                </c:pt>
                <c:pt idx="870">
                  <c:v>0</c:v>
                </c:pt>
                <c:pt idx="871">
                  <c:v>0</c:v>
                </c:pt>
                <c:pt idx="872">
                  <c:v>0</c:v>
                </c:pt>
                <c:pt idx="873">
                  <c:v>0</c:v>
                </c:pt>
                <c:pt idx="874">
                  <c:v>0</c:v>
                </c:pt>
                <c:pt idx="875">
                  <c:v>0</c:v>
                </c:pt>
                <c:pt idx="876">
                  <c:v>0</c:v>
                </c:pt>
                <c:pt idx="877">
                  <c:v>0</c:v>
                </c:pt>
                <c:pt idx="878">
                  <c:v>0</c:v>
                </c:pt>
                <c:pt idx="879">
                  <c:v>0</c:v>
                </c:pt>
                <c:pt idx="880">
                  <c:v>0</c:v>
                </c:pt>
                <c:pt idx="881">
                  <c:v>0</c:v>
                </c:pt>
                <c:pt idx="882">
                  <c:v>0</c:v>
                </c:pt>
                <c:pt idx="883">
                  <c:v>0</c:v>
                </c:pt>
                <c:pt idx="884">
                  <c:v>0</c:v>
                </c:pt>
                <c:pt idx="885">
                  <c:v>0</c:v>
                </c:pt>
                <c:pt idx="886">
                  <c:v>0</c:v>
                </c:pt>
                <c:pt idx="887">
                  <c:v>0</c:v>
                </c:pt>
                <c:pt idx="888">
                  <c:v>0</c:v>
                </c:pt>
                <c:pt idx="889">
                  <c:v>0</c:v>
                </c:pt>
                <c:pt idx="890">
                  <c:v>0</c:v>
                </c:pt>
                <c:pt idx="891">
                  <c:v>0</c:v>
                </c:pt>
                <c:pt idx="892">
                  <c:v>0</c:v>
                </c:pt>
                <c:pt idx="893">
                  <c:v>0</c:v>
                </c:pt>
                <c:pt idx="894">
                  <c:v>0</c:v>
                </c:pt>
                <c:pt idx="895">
                  <c:v>0</c:v>
                </c:pt>
                <c:pt idx="896">
                  <c:v>0</c:v>
                </c:pt>
                <c:pt idx="897">
                  <c:v>0</c:v>
                </c:pt>
                <c:pt idx="898">
                  <c:v>0</c:v>
                </c:pt>
                <c:pt idx="899">
                  <c:v>0</c:v>
                </c:pt>
                <c:pt idx="900">
                  <c:v>0</c:v>
                </c:pt>
              </c:numCache>
            </c:numRef>
          </c:val>
          <c:smooth val="0"/>
          <c:extLst>
            <c:ext xmlns:c16="http://schemas.microsoft.com/office/drawing/2014/chart" uri="{C3380CC4-5D6E-409C-BE32-E72D297353CC}">
              <c16:uniqueId val="{00000000-409B-DD46-A9C2-79E045DC7475}"/>
            </c:ext>
          </c:extLst>
        </c:ser>
        <c:dLbls>
          <c:showLegendKey val="0"/>
          <c:showVal val="0"/>
          <c:showCatName val="0"/>
          <c:showSerName val="0"/>
          <c:showPercent val="0"/>
          <c:showBubbleSize val="0"/>
        </c:dLbls>
        <c:smooth val="0"/>
        <c:axId val="1101955759"/>
        <c:axId val="1182404623"/>
      </c:lineChart>
      <c:catAx>
        <c:axId val="1101955759"/>
        <c:scaling>
          <c:orientation val="minMax"/>
        </c:scaling>
        <c:delete val="0"/>
        <c:axPos val="b"/>
        <c:numFmt formatCode="General" sourceLinked="1"/>
        <c:majorTickMark val="none"/>
        <c:minorTickMark val="none"/>
        <c:tickLblPos val="nextTo"/>
        <c:spPr>
          <a:noFill/>
          <a:ln w="9525" cap="flat" cmpd="sng" algn="ctr">
            <a:solidFill>
              <a:schemeClr val="tx1"/>
            </a:solidFill>
            <a:round/>
          </a:ln>
          <a:effectLst/>
        </c:spPr>
        <c:txPr>
          <a:bodyPr rot="-60000000" spcFirstLastPara="1" vertOverflow="ellipsis" vert="horz" wrap="square" anchor="ctr" anchorCtr="1"/>
          <a:lstStyle/>
          <a:p>
            <a:pPr>
              <a:defRPr sz="900" b="1" i="0" u="none" strike="noStrike" kern="1200" baseline="0">
                <a:solidFill>
                  <a:schemeClr val="tx1"/>
                </a:solidFill>
                <a:latin typeface="Arial" panose="020B0604020202020204" pitchFamily="34" charset="0"/>
                <a:ea typeface="+mn-ea"/>
                <a:cs typeface="Arial" panose="020B0604020202020204" pitchFamily="34" charset="0"/>
              </a:defRPr>
            </a:pPr>
            <a:endParaRPr lang="en-US"/>
          </a:p>
        </c:txPr>
        <c:crossAx val="1182404623"/>
        <c:crosses val="autoZero"/>
        <c:auto val="0"/>
        <c:lblAlgn val="ctr"/>
        <c:lblOffset val="100"/>
        <c:tickLblSkip val="100"/>
        <c:tickMarkSkip val="1"/>
        <c:noMultiLvlLbl val="0"/>
      </c:catAx>
      <c:valAx>
        <c:axId val="1182404623"/>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000" b="1" i="0" u="none" strike="noStrike" kern="1200" baseline="0">
                    <a:solidFill>
                      <a:schemeClr val="tx1"/>
                    </a:solidFill>
                    <a:latin typeface="Arial" panose="020B0604020202020204" pitchFamily="34" charset="0"/>
                    <a:ea typeface="+mn-ea"/>
                    <a:cs typeface="Arial" panose="020B0604020202020204" pitchFamily="34" charset="0"/>
                  </a:defRPr>
                </a:pPr>
                <a:r>
                  <a:rPr lang="en-US" b="1"/>
                  <a:t>Intensity (µmols</a:t>
                </a:r>
                <a:r>
                  <a:rPr lang="en-US" b="1" baseline="0"/>
                  <a:t> </a:t>
                </a:r>
                <a:r>
                  <a:rPr lang="en-US" b="1" baseline="30000"/>
                  <a:t>.</a:t>
                </a:r>
                <a:r>
                  <a:rPr lang="en-US" b="1" baseline="0"/>
                  <a:t> </a:t>
                </a:r>
                <a:r>
                  <a:rPr lang="en-US" b="1"/>
                  <a:t>m-</a:t>
                </a:r>
                <a:r>
                  <a:rPr lang="en-US" b="1" baseline="30000"/>
                  <a:t>2</a:t>
                </a:r>
                <a:r>
                  <a:rPr lang="en-US" sz="1000" b="1" i="0" u="none" strike="noStrike" baseline="30000">
                    <a:effectLst/>
                  </a:rPr>
                  <a:t> .</a:t>
                </a:r>
                <a:r>
                  <a:rPr lang="en-US" sz="1000" b="1" i="0" u="none" strike="noStrike" baseline="0">
                    <a:effectLst/>
                  </a:rPr>
                  <a:t> </a:t>
                </a:r>
                <a:r>
                  <a:rPr lang="en-US" b="1"/>
                  <a:t>sec</a:t>
                </a:r>
                <a:r>
                  <a:rPr lang="en-US" b="1" baseline="30000"/>
                  <a:t>-1</a:t>
                </a:r>
                <a:r>
                  <a:rPr lang="en-US" b="1"/>
                  <a:t>)</a:t>
                </a:r>
              </a:p>
            </c:rich>
          </c:tx>
          <c:overlay val="0"/>
          <c:spPr>
            <a:noFill/>
            <a:ln>
              <a:noFill/>
            </a:ln>
            <a:effectLst/>
          </c:spPr>
          <c:txPr>
            <a:bodyPr rot="-5400000" spcFirstLastPara="1" vertOverflow="ellipsis" vert="horz" wrap="square" anchor="ctr" anchorCtr="1"/>
            <a:lstStyle/>
            <a:p>
              <a:pPr>
                <a:defRPr sz="1000" b="1" i="0" u="none" strike="noStrike" kern="1200" baseline="0">
                  <a:solidFill>
                    <a:schemeClr val="tx1"/>
                  </a:solidFill>
                  <a:latin typeface="Arial" panose="020B0604020202020204" pitchFamily="34" charset="0"/>
                  <a:ea typeface="+mn-ea"/>
                  <a:cs typeface="Arial" panose="020B0604020202020204" pitchFamily="34" charset="0"/>
                </a:defRPr>
              </a:pPr>
              <a:endParaRPr lang="en-US"/>
            </a:p>
          </c:txPr>
        </c:title>
        <c:numFmt formatCode="General" sourceLinked="0"/>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solidFill>
                <a:latin typeface="Arial" panose="020B0604020202020204" pitchFamily="34" charset="0"/>
                <a:ea typeface="+mn-ea"/>
                <a:cs typeface="Arial" panose="020B0604020202020204" pitchFamily="34" charset="0"/>
              </a:defRPr>
            </a:pPr>
            <a:endParaRPr lang="en-US"/>
          </a:p>
        </c:txPr>
        <c:crossAx val="1101955759"/>
        <c:crosses val="autoZero"/>
        <c:crossBetween val="between"/>
      </c:valAx>
      <c:spPr>
        <a:noFill/>
        <a:ln>
          <a:noFill/>
        </a:ln>
        <a:effectLst/>
      </c:spPr>
    </c:plotArea>
    <c:legend>
      <c:legendPos val="b"/>
      <c:legendEntry>
        <c:idx val="0"/>
        <c:txPr>
          <a:bodyPr rot="0" spcFirstLastPara="1" vertOverflow="ellipsis" vert="horz" wrap="square" anchor="ctr" anchorCtr="1"/>
          <a:lstStyle/>
          <a:p>
            <a:pPr>
              <a:defRPr sz="1000" b="0" i="0" u="none" strike="noStrike" kern="1200" baseline="0">
                <a:solidFill>
                  <a:schemeClr val="tx1"/>
                </a:solidFill>
                <a:latin typeface="Arial" panose="020B0604020202020204" pitchFamily="34" charset="0"/>
                <a:ea typeface="+mn-ea"/>
                <a:cs typeface="Arial" panose="020B0604020202020204" pitchFamily="34" charset="0"/>
              </a:defRPr>
            </a:pPr>
            <a:endParaRPr lang="en-US"/>
          </a:p>
        </c:txPr>
      </c:legendEntry>
      <c:layout>
        <c:manualLayout>
          <c:xMode val="edge"/>
          <c:yMode val="edge"/>
          <c:x val="0.78683760683760684"/>
          <c:y val="0.93467753652827823"/>
          <c:w val="0.20410256410256411"/>
          <c:h val="5.2917439436987727E-2"/>
        </c:manualLayout>
      </c:layout>
      <c:overlay val="0"/>
      <c:spPr>
        <a:noFill/>
        <a:ln>
          <a:solidFill>
            <a:schemeClr val="tx1"/>
          </a:solidFill>
        </a:ln>
        <a:effectLst/>
      </c:spPr>
      <c:txPr>
        <a:bodyPr rot="0" spcFirstLastPara="1" vertOverflow="ellipsis" vert="horz" wrap="square" anchor="ctr" anchorCtr="1"/>
        <a:lstStyle/>
        <a:p>
          <a:pPr>
            <a:defRPr sz="1000" b="0" i="0" u="none" strike="noStrike" kern="1200" baseline="0">
              <a:solidFill>
                <a:schemeClr val="tx1"/>
              </a:solidFill>
              <a:latin typeface="Arial" panose="020B0604020202020204" pitchFamily="34" charset="0"/>
              <a:ea typeface="+mn-ea"/>
              <a:cs typeface="Arial" panose="020B0604020202020204" pitchFamily="34" charset="0"/>
            </a:defRPr>
          </a:pPr>
          <a:endParaRPr lang="en-US"/>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solidFill>
      <a:round/>
    </a:ln>
    <a:effectLst/>
  </c:spPr>
  <c:txPr>
    <a:bodyPr/>
    <a:lstStyle/>
    <a:p>
      <a:pPr>
        <a:defRPr>
          <a:solidFill>
            <a:schemeClr val="tx1"/>
          </a:solidFill>
          <a:latin typeface="Arial" panose="020B0604020202020204" pitchFamily="34" charset="0"/>
          <a:cs typeface="Arial" panose="020B0604020202020204" pitchFamily="34" charset="0"/>
        </a:defRPr>
      </a:pPr>
      <a:endParaRPr lang="en-US"/>
    </a:p>
  </c:txPr>
  <c:externalData r:id="rId3">
    <c:autoUpdate val="0"/>
  </c:externalData>
  <c:userShapes r:id="rId4"/>
</c:chartSpace>
</file>

<file path=word/charts/chart1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lineChart>
        <c:grouping val="standard"/>
        <c:varyColors val="0"/>
        <c:ser>
          <c:idx val="1"/>
          <c:order val="0"/>
          <c:tx>
            <c:strRef>
              <c:f>'T2 (5)'!$B$2</c:f>
              <c:strCache>
                <c:ptCount val="1"/>
                <c:pt idx="0">
                  <c:v>450/660/470</c:v>
                </c:pt>
              </c:strCache>
            </c:strRef>
          </c:tx>
          <c:spPr>
            <a:ln w="28575" cap="rnd">
              <a:solidFill>
                <a:schemeClr val="tx1"/>
              </a:solidFill>
              <a:round/>
            </a:ln>
            <a:effectLst/>
          </c:spPr>
          <c:marker>
            <c:symbol val="none"/>
          </c:marker>
          <c:cat>
            <c:numRef>
              <c:f>'T2 (5)'!$A$113:$A$1013</c:f>
              <c:numCache>
                <c:formatCode>General</c:formatCode>
                <c:ptCount val="901"/>
                <c:pt idx="0">
                  <c:v>300</c:v>
                </c:pt>
                <c:pt idx="1">
                  <c:v>300.5</c:v>
                </c:pt>
                <c:pt idx="2">
                  <c:v>301</c:v>
                </c:pt>
                <c:pt idx="3">
                  <c:v>301.5</c:v>
                </c:pt>
                <c:pt idx="4">
                  <c:v>302</c:v>
                </c:pt>
                <c:pt idx="5">
                  <c:v>302.5</c:v>
                </c:pt>
                <c:pt idx="6">
                  <c:v>303</c:v>
                </c:pt>
                <c:pt idx="7">
                  <c:v>303.5</c:v>
                </c:pt>
                <c:pt idx="8">
                  <c:v>304</c:v>
                </c:pt>
                <c:pt idx="9">
                  <c:v>304.5</c:v>
                </c:pt>
                <c:pt idx="10">
                  <c:v>305</c:v>
                </c:pt>
                <c:pt idx="11">
                  <c:v>305.5</c:v>
                </c:pt>
                <c:pt idx="12">
                  <c:v>306</c:v>
                </c:pt>
                <c:pt idx="13">
                  <c:v>306.5</c:v>
                </c:pt>
                <c:pt idx="14">
                  <c:v>307</c:v>
                </c:pt>
                <c:pt idx="15">
                  <c:v>307.5</c:v>
                </c:pt>
                <c:pt idx="16">
                  <c:v>308</c:v>
                </c:pt>
                <c:pt idx="17">
                  <c:v>308.5</c:v>
                </c:pt>
                <c:pt idx="18">
                  <c:v>309</c:v>
                </c:pt>
                <c:pt idx="19">
                  <c:v>309.5</c:v>
                </c:pt>
                <c:pt idx="20">
                  <c:v>310</c:v>
                </c:pt>
                <c:pt idx="21">
                  <c:v>310.5</c:v>
                </c:pt>
                <c:pt idx="22">
                  <c:v>311</c:v>
                </c:pt>
                <c:pt idx="23">
                  <c:v>311.5</c:v>
                </c:pt>
                <c:pt idx="24">
                  <c:v>312</c:v>
                </c:pt>
                <c:pt idx="25">
                  <c:v>312.5</c:v>
                </c:pt>
                <c:pt idx="26">
                  <c:v>313</c:v>
                </c:pt>
                <c:pt idx="27">
                  <c:v>313.5</c:v>
                </c:pt>
                <c:pt idx="28">
                  <c:v>314</c:v>
                </c:pt>
                <c:pt idx="29">
                  <c:v>314.5</c:v>
                </c:pt>
                <c:pt idx="30">
                  <c:v>315</c:v>
                </c:pt>
                <c:pt idx="31">
                  <c:v>315.5</c:v>
                </c:pt>
                <c:pt idx="32">
                  <c:v>316</c:v>
                </c:pt>
                <c:pt idx="33">
                  <c:v>316.5</c:v>
                </c:pt>
                <c:pt idx="34">
                  <c:v>317</c:v>
                </c:pt>
                <c:pt idx="35">
                  <c:v>317.5</c:v>
                </c:pt>
                <c:pt idx="36">
                  <c:v>318</c:v>
                </c:pt>
                <c:pt idx="37">
                  <c:v>318.5</c:v>
                </c:pt>
                <c:pt idx="38">
                  <c:v>319</c:v>
                </c:pt>
                <c:pt idx="39">
                  <c:v>319.5</c:v>
                </c:pt>
                <c:pt idx="40">
                  <c:v>320</c:v>
                </c:pt>
                <c:pt idx="41">
                  <c:v>320.5</c:v>
                </c:pt>
                <c:pt idx="42">
                  <c:v>321</c:v>
                </c:pt>
                <c:pt idx="43">
                  <c:v>321.5</c:v>
                </c:pt>
                <c:pt idx="44">
                  <c:v>322</c:v>
                </c:pt>
                <c:pt idx="45">
                  <c:v>322.5</c:v>
                </c:pt>
                <c:pt idx="46">
                  <c:v>323</c:v>
                </c:pt>
                <c:pt idx="47">
                  <c:v>323.5</c:v>
                </c:pt>
                <c:pt idx="48">
                  <c:v>324</c:v>
                </c:pt>
                <c:pt idx="49">
                  <c:v>324.5</c:v>
                </c:pt>
                <c:pt idx="50">
                  <c:v>325</c:v>
                </c:pt>
                <c:pt idx="51">
                  <c:v>325.5</c:v>
                </c:pt>
                <c:pt idx="52">
                  <c:v>326</c:v>
                </c:pt>
                <c:pt idx="53">
                  <c:v>326.5</c:v>
                </c:pt>
                <c:pt idx="54">
                  <c:v>327</c:v>
                </c:pt>
                <c:pt idx="55">
                  <c:v>327.5</c:v>
                </c:pt>
                <c:pt idx="56">
                  <c:v>328</c:v>
                </c:pt>
                <c:pt idx="57">
                  <c:v>328.5</c:v>
                </c:pt>
                <c:pt idx="58">
                  <c:v>329</c:v>
                </c:pt>
                <c:pt idx="59">
                  <c:v>329.5</c:v>
                </c:pt>
                <c:pt idx="60">
                  <c:v>330</c:v>
                </c:pt>
                <c:pt idx="61">
                  <c:v>330.5</c:v>
                </c:pt>
                <c:pt idx="62">
                  <c:v>331</c:v>
                </c:pt>
                <c:pt idx="63">
                  <c:v>331.5</c:v>
                </c:pt>
                <c:pt idx="64">
                  <c:v>332</c:v>
                </c:pt>
                <c:pt idx="65">
                  <c:v>332.5</c:v>
                </c:pt>
                <c:pt idx="66">
                  <c:v>333</c:v>
                </c:pt>
                <c:pt idx="67">
                  <c:v>333.5</c:v>
                </c:pt>
                <c:pt idx="68">
                  <c:v>334</c:v>
                </c:pt>
                <c:pt idx="69">
                  <c:v>334.5</c:v>
                </c:pt>
                <c:pt idx="70">
                  <c:v>335</c:v>
                </c:pt>
                <c:pt idx="71">
                  <c:v>335.5</c:v>
                </c:pt>
                <c:pt idx="72">
                  <c:v>336</c:v>
                </c:pt>
                <c:pt idx="73">
                  <c:v>336.5</c:v>
                </c:pt>
                <c:pt idx="74">
                  <c:v>337</c:v>
                </c:pt>
                <c:pt idx="75">
                  <c:v>337.5</c:v>
                </c:pt>
                <c:pt idx="76">
                  <c:v>338</c:v>
                </c:pt>
                <c:pt idx="77">
                  <c:v>338.5</c:v>
                </c:pt>
                <c:pt idx="78">
                  <c:v>339</c:v>
                </c:pt>
                <c:pt idx="79">
                  <c:v>339.5</c:v>
                </c:pt>
                <c:pt idx="80">
                  <c:v>340</c:v>
                </c:pt>
                <c:pt idx="81">
                  <c:v>340.5</c:v>
                </c:pt>
                <c:pt idx="82">
                  <c:v>341</c:v>
                </c:pt>
                <c:pt idx="83">
                  <c:v>341.5</c:v>
                </c:pt>
                <c:pt idx="84">
                  <c:v>342</c:v>
                </c:pt>
                <c:pt idx="85">
                  <c:v>342.5</c:v>
                </c:pt>
                <c:pt idx="86">
                  <c:v>343</c:v>
                </c:pt>
                <c:pt idx="87">
                  <c:v>343.5</c:v>
                </c:pt>
                <c:pt idx="88">
                  <c:v>344</c:v>
                </c:pt>
                <c:pt idx="89">
                  <c:v>344.5</c:v>
                </c:pt>
                <c:pt idx="90">
                  <c:v>345</c:v>
                </c:pt>
                <c:pt idx="91">
                  <c:v>345.5</c:v>
                </c:pt>
                <c:pt idx="92">
                  <c:v>346</c:v>
                </c:pt>
                <c:pt idx="93">
                  <c:v>346.5</c:v>
                </c:pt>
                <c:pt idx="94">
                  <c:v>347</c:v>
                </c:pt>
                <c:pt idx="95">
                  <c:v>347.5</c:v>
                </c:pt>
                <c:pt idx="96">
                  <c:v>348</c:v>
                </c:pt>
                <c:pt idx="97">
                  <c:v>348.5</c:v>
                </c:pt>
                <c:pt idx="98">
                  <c:v>349</c:v>
                </c:pt>
                <c:pt idx="99">
                  <c:v>349.5</c:v>
                </c:pt>
                <c:pt idx="100">
                  <c:v>350</c:v>
                </c:pt>
                <c:pt idx="101">
                  <c:v>350.5</c:v>
                </c:pt>
                <c:pt idx="102">
                  <c:v>351</c:v>
                </c:pt>
                <c:pt idx="103">
                  <c:v>351.5</c:v>
                </c:pt>
                <c:pt idx="104">
                  <c:v>352</c:v>
                </c:pt>
                <c:pt idx="105">
                  <c:v>352.5</c:v>
                </c:pt>
                <c:pt idx="106">
                  <c:v>353</c:v>
                </c:pt>
                <c:pt idx="107">
                  <c:v>353.5</c:v>
                </c:pt>
                <c:pt idx="108">
                  <c:v>354</c:v>
                </c:pt>
                <c:pt idx="109">
                  <c:v>354.5</c:v>
                </c:pt>
                <c:pt idx="110">
                  <c:v>355</c:v>
                </c:pt>
                <c:pt idx="111">
                  <c:v>355.5</c:v>
                </c:pt>
                <c:pt idx="112">
                  <c:v>356</c:v>
                </c:pt>
                <c:pt idx="113">
                  <c:v>356.5</c:v>
                </c:pt>
                <c:pt idx="114">
                  <c:v>357</c:v>
                </c:pt>
                <c:pt idx="115">
                  <c:v>357.5</c:v>
                </c:pt>
                <c:pt idx="116">
                  <c:v>358</c:v>
                </c:pt>
                <c:pt idx="117">
                  <c:v>358.5</c:v>
                </c:pt>
                <c:pt idx="118">
                  <c:v>359</c:v>
                </c:pt>
                <c:pt idx="119">
                  <c:v>359.5</c:v>
                </c:pt>
                <c:pt idx="120">
                  <c:v>360</c:v>
                </c:pt>
                <c:pt idx="121">
                  <c:v>360.5</c:v>
                </c:pt>
                <c:pt idx="122">
                  <c:v>361</c:v>
                </c:pt>
                <c:pt idx="123">
                  <c:v>361.5</c:v>
                </c:pt>
                <c:pt idx="124">
                  <c:v>362</c:v>
                </c:pt>
                <c:pt idx="125">
                  <c:v>362.5</c:v>
                </c:pt>
                <c:pt idx="126">
                  <c:v>363</c:v>
                </c:pt>
                <c:pt idx="127">
                  <c:v>363.5</c:v>
                </c:pt>
                <c:pt idx="128">
                  <c:v>364</c:v>
                </c:pt>
                <c:pt idx="129">
                  <c:v>364.5</c:v>
                </c:pt>
                <c:pt idx="130">
                  <c:v>365</c:v>
                </c:pt>
                <c:pt idx="131">
                  <c:v>365.5</c:v>
                </c:pt>
                <c:pt idx="132">
                  <c:v>366</c:v>
                </c:pt>
                <c:pt idx="133">
                  <c:v>366.5</c:v>
                </c:pt>
                <c:pt idx="134">
                  <c:v>367</c:v>
                </c:pt>
                <c:pt idx="135">
                  <c:v>367.5</c:v>
                </c:pt>
                <c:pt idx="136">
                  <c:v>368</c:v>
                </c:pt>
                <c:pt idx="137">
                  <c:v>368.5</c:v>
                </c:pt>
                <c:pt idx="138">
                  <c:v>369</c:v>
                </c:pt>
                <c:pt idx="139">
                  <c:v>369.5</c:v>
                </c:pt>
                <c:pt idx="140">
                  <c:v>370</c:v>
                </c:pt>
                <c:pt idx="141">
                  <c:v>370.5</c:v>
                </c:pt>
                <c:pt idx="142">
                  <c:v>371</c:v>
                </c:pt>
                <c:pt idx="143">
                  <c:v>371.5</c:v>
                </c:pt>
                <c:pt idx="144">
                  <c:v>372</c:v>
                </c:pt>
                <c:pt idx="145">
                  <c:v>372.5</c:v>
                </c:pt>
                <c:pt idx="146">
                  <c:v>373</c:v>
                </c:pt>
                <c:pt idx="147">
                  <c:v>373.5</c:v>
                </c:pt>
                <c:pt idx="148">
                  <c:v>374</c:v>
                </c:pt>
                <c:pt idx="149">
                  <c:v>374.5</c:v>
                </c:pt>
                <c:pt idx="150">
                  <c:v>375</c:v>
                </c:pt>
                <c:pt idx="151">
                  <c:v>375.5</c:v>
                </c:pt>
                <c:pt idx="152">
                  <c:v>376</c:v>
                </c:pt>
                <c:pt idx="153">
                  <c:v>376.5</c:v>
                </c:pt>
                <c:pt idx="154">
                  <c:v>377</c:v>
                </c:pt>
                <c:pt idx="155">
                  <c:v>377.5</c:v>
                </c:pt>
                <c:pt idx="156">
                  <c:v>378</c:v>
                </c:pt>
                <c:pt idx="157">
                  <c:v>378.5</c:v>
                </c:pt>
                <c:pt idx="158">
                  <c:v>379</c:v>
                </c:pt>
                <c:pt idx="159">
                  <c:v>379.5</c:v>
                </c:pt>
                <c:pt idx="160">
                  <c:v>380</c:v>
                </c:pt>
                <c:pt idx="161">
                  <c:v>380.5</c:v>
                </c:pt>
                <c:pt idx="162">
                  <c:v>381</c:v>
                </c:pt>
                <c:pt idx="163">
                  <c:v>381.5</c:v>
                </c:pt>
                <c:pt idx="164">
                  <c:v>382</c:v>
                </c:pt>
                <c:pt idx="165">
                  <c:v>382.5</c:v>
                </c:pt>
                <c:pt idx="166">
                  <c:v>383</c:v>
                </c:pt>
                <c:pt idx="167">
                  <c:v>383.5</c:v>
                </c:pt>
                <c:pt idx="168">
                  <c:v>384</c:v>
                </c:pt>
                <c:pt idx="169">
                  <c:v>384.5</c:v>
                </c:pt>
                <c:pt idx="170">
                  <c:v>385</c:v>
                </c:pt>
                <c:pt idx="171">
                  <c:v>385.5</c:v>
                </c:pt>
                <c:pt idx="172">
                  <c:v>386</c:v>
                </c:pt>
                <c:pt idx="173">
                  <c:v>386.5</c:v>
                </c:pt>
                <c:pt idx="174">
                  <c:v>387</c:v>
                </c:pt>
                <c:pt idx="175">
                  <c:v>387.5</c:v>
                </c:pt>
                <c:pt idx="176">
                  <c:v>388</c:v>
                </c:pt>
                <c:pt idx="177">
                  <c:v>388.5</c:v>
                </c:pt>
                <c:pt idx="178">
                  <c:v>389</c:v>
                </c:pt>
                <c:pt idx="179">
                  <c:v>389.5</c:v>
                </c:pt>
                <c:pt idx="180">
                  <c:v>390</c:v>
                </c:pt>
                <c:pt idx="181">
                  <c:v>390.5</c:v>
                </c:pt>
                <c:pt idx="182">
                  <c:v>391</c:v>
                </c:pt>
                <c:pt idx="183">
                  <c:v>391.5</c:v>
                </c:pt>
                <c:pt idx="184">
                  <c:v>392</c:v>
                </c:pt>
                <c:pt idx="185">
                  <c:v>392.5</c:v>
                </c:pt>
                <c:pt idx="186">
                  <c:v>393</c:v>
                </c:pt>
                <c:pt idx="187">
                  <c:v>393.5</c:v>
                </c:pt>
                <c:pt idx="188">
                  <c:v>394</c:v>
                </c:pt>
                <c:pt idx="189">
                  <c:v>394.5</c:v>
                </c:pt>
                <c:pt idx="190">
                  <c:v>395</c:v>
                </c:pt>
                <c:pt idx="191">
                  <c:v>395.5</c:v>
                </c:pt>
                <c:pt idx="192">
                  <c:v>396</c:v>
                </c:pt>
                <c:pt idx="193">
                  <c:v>396.5</c:v>
                </c:pt>
                <c:pt idx="194">
                  <c:v>397</c:v>
                </c:pt>
                <c:pt idx="195">
                  <c:v>397.5</c:v>
                </c:pt>
                <c:pt idx="196">
                  <c:v>398</c:v>
                </c:pt>
                <c:pt idx="197">
                  <c:v>398.5</c:v>
                </c:pt>
                <c:pt idx="198">
                  <c:v>399</c:v>
                </c:pt>
                <c:pt idx="199">
                  <c:v>399.5</c:v>
                </c:pt>
                <c:pt idx="200">
                  <c:v>400</c:v>
                </c:pt>
                <c:pt idx="201">
                  <c:v>400.5</c:v>
                </c:pt>
                <c:pt idx="202">
                  <c:v>401</c:v>
                </c:pt>
                <c:pt idx="203">
                  <c:v>401.5</c:v>
                </c:pt>
                <c:pt idx="204">
                  <c:v>402</c:v>
                </c:pt>
                <c:pt idx="205">
                  <c:v>402.5</c:v>
                </c:pt>
                <c:pt idx="206">
                  <c:v>403</c:v>
                </c:pt>
                <c:pt idx="207">
                  <c:v>403.5</c:v>
                </c:pt>
                <c:pt idx="208">
                  <c:v>404</c:v>
                </c:pt>
                <c:pt idx="209">
                  <c:v>404.5</c:v>
                </c:pt>
                <c:pt idx="210">
                  <c:v>405</c:v>
                </c:pt>
                <c:pt idx="211">
                  <c:v>405.5</c:v>
                </c:pt>
                <c:pt idx="212">
                  <c:v>406</c:v>
                </c:pt>
                <c:pt idx="213">
                  <c:v>406.5</c:v>
                </c:pt>
                <c:pt idx="214">
                  <c:v>407</c:v>
                </c:pt>
                <c:pt idx="215">
                  <c:v>407.5</c:v>
                </c:pt>
                <c:pt idx="216">
                  <c:v>408</c:v>
                </c:pt>
                <c:pt idx="217">
                  <c:v>408.5</c:v>
                </c:pt>
                <c:pt idx="218">
                  <c:v>409</c:v>
                </c:pt>
                <c:pt idx="219">
                  <c:v>409.5</c:v>
                </c:pt>
                <c:pt idx="220">
                  <c:v>410</c:v>
                </c:pt>
                <c:pt idx="221">
                  <c:v>410.5</c:v>
                </c:pt>
                <c:pt idx="222">
                  <c:v>411</c:v>
                </c:pt>
                <c:pt idx="223">
                  <c:v>411.5</c:v>
                </c:pt>
                <c:pt idx="224">
                  <c:v>412</c:v>
                </c:pt>
                <c:pt idx="225">
                  <c:v>412.5</c:v>
                </c:pt>
                <c:pt idx="226">
                  <c:v>413</c:v>
                </c:pt>
                <c:pt idx="227">
                  <c:v>413.5</c:v>
                </c:pt>
                <c:pt idx="228">
                  <c:v>414</c:v>
                </c:pt>
                <c:pt idx="229">
                  <c:v>414.5</c:v>
                </c:pt>
                <c:pt idx="230">
                  <c:v>415</c:v>
                </c:pt>
                <c:pt idx="231">
                  <c:v>415.5</c:v>
                </c:pt>
                <c:pt idx="232">
                  <c:v>416</c:v>
                </c:pt>
                <c:pt idx="233">
                  <c:v>416.5</c:v>
                </c:pt>
                <c:pt idx="234">
                  <c:v>417</c:v>
                </c:pt>
                <c:pt idx="235">
                  <c:v>417.5</c:v>
                </c:pt>
                <c:pt idx="236">
                  <c:v>418</c:v>
                </c:pt>
                <c:pt idx="237">
                  <c:v>418.5</c:v>
                </c:pt>
                <c:pt idx="238">
                  <c:v>419</c:v>
                </c:pt>
                <c:pt idx="239">
                  <c:v>419.5</c:v>
                </c:pt>
                <c:pt idx="240">
                  <c:v>420</c:v>
                </c:pt>
                <c:pt idx="241">
                  <c:v>420.5</c:v>
                </c:pt>
                <c:pt idx="242">
                  <c:v>421</c:v>
                </c:pt>
                <c:pt idx="243">
                  <c:v>421.5</c:v>
                </c:pt>
                <c:pt idx="244">
                  <c:v>422</c:v>
                </c:pt>
                <c:pt idx="245">
                  <c:v>422.5</c:v>
                </c:pt>
                <c:pt idx="246">
                  <c:v>423</c:v>
                </c:pt>
                <c:pt idx="247">
                  <c:v>423.5</c:v>
                </c:pt>
                <c:pt idx="248">
                  <c:v>424</c:v>
                </c:pt>
                <c:pt idx="249">
                  <c:v>424.5</c:v>
                </c:pt>
                <c:pt idx="250">
                  <c:v>425</c:v>
                </c:pt>
                <c:pt idx="251">
                  <c:v>425.5</c:v>
                </c:pt>
                <c:pt idx="252">
                  <c:v>426</c:v>
                </c:pt>
                <c:pt idx="253">
                  <c:v>426.5</c:v>
                </c:pt>
                <c:pt idx="254">
                  <c:v>427</c:v>
                </c:pt>
                <c:pt idx="255">
                  <c:v>427.5</c:v>
                </c:pt>
                <c:pt idx="256">
                  <c:v>428</c:v>
                </c:pt>
                <c:pt idx="257">
                  <c:v>428.5</c:v>
                </c:pt>
                <c:pt idx="258">
                  <c:v>429</c:v>
                </c:pt>
                <c:pt idx="259">
                  <c:v>429.5</c:v>
                </c:pt>
                <c:pt idx="260">
                  <c:v>430</c:v>
                </c:pt>
                <c:pt idx="261">
                  <c:v>430.5</c:v>
                </c:pt>
                <c:pt idx="262">
                  <c:v>431</c:v>
                </c:pt>
                <c:pt idx="263">
                  <c:v>431.5</c:v>
                </c:pt>
                <c:pt idx="264">
                  <c:v>432</c:v>
                </c:pt>
                <c:pt idx="265">
                  <c:v>432.5</c:v>
                </c:pt>
                <c:pt idx="266">
                  <c:v>433</c:v>
                </c:pt>
                <c:pt idx="267">
                  <c:v>433.5</c:v>
                </c:pt>
                <c:pt idx="268">
                  <c:v>434</c:v>
                </c:pt>
                <c:pt idx="269">
                  <c:v>434.5</c:v>
                </c:pt>
                <c:pt idx="270">
                  <c:v>435</c:v>
                </c:pt>
                <c:pt idx="271">
                  <c:v>435.5</c:v>
                </c:pt>
                <c:pt idx="272">
                  <c:v>436</c:v>
                </c:pt>
                <c:pt idx="273">
                  <c:v>436.5</c:v>
                </c:pt>
                <c:pt idx="274">
                  <c:v>437</c:v>
                </c:pt>
                <c:pt idx="275">
                  <c:v>437.5</c:v>
                </c:pt>
                <c:pt idx="276">
                  <c:v>438</c:v>
                </c:pt>
                <c:pt idx="277">
                  <c:v>438.5</c:v>
                </c:pt>
                <c:pt idx="278">
                  <c:v>439</c:v>
                </c:pt>
                <c:pt idx="279">
                  <c:v>439.5</c:v>
                </c:pt>
                <c:pt idx="280">
                  <c:v>440</c:v>
                </c:pt>
                <c:pt idx="281">
                  <c:v>440.5</c:v>
                </c:pt>
                <c:pt idx="282">
                  <c:v>441</c:v>
                </c:pt>
                <c:pt idx="283">
                  <c:v>441.5</c:v>
                </c:pt>
                <c:pt idx="284">
                  <c:v>442</c:v>
                </c:pt>
                <c:pt idx="285">
                  <c:v>442.5</c:v>
                </c:pt>
                <c:pt idx="286">
                  <c:v>443</c:v>
                </c:pt>
                <c:pt idx="287">
                  <c:v>443.5</c:v>
                </c:pt>
                <c:pt idx="288">
                  <c:v>444</c:v>
                </c:pt>
                <c:pt idx="289">
                  <c:v>444.5</c:v>
                </c:pt>
                <c:pt idx="290">
                  <c:v>445</c:v>
                </c:pt>
                <c:pt idx="291">
                  <c:v>445.5</c:v>
                </c:pt>
                <c:pt idx="292">
                  <c:v>446</c:v>
                </c:pt>
                <c:pt idx="293">
                  <c:v>446.5</c:v>
                </c:pt>
                <c:pt idx="294">
                  <c:v>447</c:v>
                </c:pt>
                <c:pt idx="295">
                  <c:v>447.5</c:v>
                </c:pt>
                <c:pt idx="296">
                  <c:v>448</c:v>
                </c:pt>
                <c:pt idx="297">
                  <c:v>448.5</c:v>
                </c:pt>
                <c:pt idx="298">
                  <c:v>449</c:v>
                </c:pt>
                <c:pt idx="299">
                  <c:v>449.5</c:v>
                </c:pt>
                <c:pt idx="300">
                  <c:v>450</c:v>
                </c:pt>
                <c:pt idx="301">
                  <c:v>450.5</c:v>
                </c:pt>
                <c:pt idx="302">
                  <c:v>451</c:v>
                </c:pt>
                <c:pt idx="303">
                  <c:v>451.5</c:v>
                </c:pt>
                <c:pt idx="304">
                  <c:v>452</c:v>
                </c:pt>
                <c:pt idx="305">
                  <c:v>452.5</c:v>
                </c:pt>
                <c:pt idx="306">
                  <c:v>453</c:v>
                </c:pt>
                <c:pt idx="307">
                  <c:v>453.5</c:v>
                </c:pt>
                <c:pt idx="308">
                  <c:v>454</c:v>
                </c:pt>
                <c:pt idx="309">
                  <c:v>454.5</c:v>
                </c:pt>
                <c:pt idx="310">
                  <c:v>455</c:v>
                </c:pt>
                <c:pt idx="311">
                  <c:v>455.5</c:v>
                </c:pt>
                <c:pt idx="312">
                  <c:v>456</c:v>
                </c:pt>
                <c:pt idx="313">
                  <c:v>456.5</c:v>
                </c:pt>
                <c:pt idx="314">
                  <c:v>457</c:v>
                </c:pt>
                <c:pt idx="315">
                  <c:v>457.5</c:v>
                </c:pt>
                <c:pt idx="316">
                  <c:v>458</c:v>
                </c:pt>
                <c:pt idx="317">
                  <c:v>458.5</c:v>
                </c:pt>
                <c:pt idx="318">
                  <c:v>459</c:v>
                </c:pt>
                <c:pt idx="319">
                  <c:v>459.5</c:v>
                </c:pt>
                <c:pt idx="320">
                  <c:v>460</c:v>
                </c:pt>
                <c:pt idx="321">
                  <c:v>460.5</c:v>
                </c:pt>
                <c:pt idx="322">
                  <c:v>461</c:v>
                </c:pt>
                <c:pt idx="323">
                  <c:v>461.5</c:v>
                </c:pt>
                <c:pt idx="324">
                  <c:v>462</c:v>
                </c:pt>
                <c:pt idx="325">
                  <c:v>462.5</c:v>
                </c:pt>
                <c:pt idx="326">
                  <c:v>463</c:v>
                </c:pt>
                <c:pt idx="327">
                  <c:v>463.5</c:v>
                </c:pt>
                <c:pt idx="328">
                  <c:v>464</c:v>
                </c:pt>
                <c:pt idx="329">
                  <c:v>464.5</c:v>
                </c:pt>
                <c:pt idx="330">
                  <c:v>465</c:v>
                </c:pt>
                <c:pt idx="331">
                  <c:v>465.5</c:v>
                </c:pt>
                <c:pt idx="332">
                  <c:v>466</c:v>
                </c:pt>
                <c:pt idx="333">
                  <c:v>466.5</c:v>
                </c:pt>
                <c:pt idx="334">
                  <c:v>467</c:v>
                </c:pt>
                <c:pt idx="335">
                  <c:v>467.5</c:v>
                </c:pt>
                <c:pt idx="336">
                  <c:v>468</c:v>
                </c:pt>
                <c:pt idx="337">
                  <c:v>468.5</c:v>
                </c:pt>
                <c:pt idx="338">
                  <c:v>469</c:v>
                </c:pt>
                <c:pt idx="339">
                  <c:v>469.5</c:v>
                </c:pt>
                <c:pt idx="340">
                  <c:v>470</c:v>
                </c:pt>
                <c:pt idx="341">
                  <c:v>470.5</c:v>
                </c:pt>
                <c:pt idx="342">
                  <c:v>471</c:v>
                </c:pt>
                <c:pt idx="343">
                  <c:v>471.5</c:v>
                </c:pt>
                <c:pt idx="344">
                  <c:v>472</c:v>
                </c:pt>
                <c:pt idx="345">
                  <c:v>472.5</c:v>
                </c:pt>
                <c:pt idx="346">
                  <c:v>473</c:v>
                </c:pt>
                <c:pt idx="347">
                  <c:v>473.5</c:v>
                </c:pt>
                <c:pt idx="348">
                  <c:v>474</c:v>
                </c:pt>
                <c:pt idx="349">
                  <c:v>474.5</c:v>
                </c:pt>
                <c:pt idx="350">
                  <c:v>475</c:v>
                </c:pt>
                <c:pt idx="351">
                  <c:v>475.5</c:v>
                </c:pt>
                <c:pt idx="352">
                  <c:v>476</c:v>
                </c:pt>
                <c:pt idx="353">
                  <c:v>476.5</c:v>
                </c:pt>
                <c:pt idx="354">
                  <c:v>477</c:v>
                </c:pt>
                <c:pt idx="355">
                  <c:v>477.5</c:v>
                </c:pt>
                <c:pt idx="356">
                  <c:v>478</c:v>
                </c:pt>
                <c:pt idx="357">
                  <c:v>478.5</c:v>
                </c:pt>
                <c:pt idx="358">
                  <c:v>479</c:v>
                </c:pt>
                <c:pt idx="359">
                  <c:v>479.5</c:v>
                </c:pt>
                <c:pt idx="360">
                  <c:v>480</c:v>
                </c:pt>
                <c:pt idx="361">
                  <c:v>480.5</c:v>
                </c:pt>
                <c:pt idx="362">
                  <c:v>481</c:v>
                </c:pt>
                <c:pt idx="363">
                  <c:v>481.5</c:v>
                </c:pt>
                <c:pt idx="364">
                  <c:v>482</c:v>
                </c:pt>
                <c:pt idx="365">
                  <c:v>482.5</c:v>
                </c:pt>
                <c:pt idx="366">
                  <c:v>483</c:v>
                </c:pt>
                <c:pt idx="367">
                  <c:v>483.5</c:v>
                </c:pt>
                <c:pt idx="368">
                  <c:v>484</c:v>
                </c:pt>
                <c:pt idx="369">
                  <c:v>484.5</c:v>
                </c:pt>
                <c:pt idx="370">
                  <c:v>485</c:v>
                </c:pt>
                <c:pt idx="371">
                  <c:v>485.5</c:v>
                </c:pt>
                <c:pt idx="372">
                  <c:v>486</c:v>
                </c:pt>
                <c:pt idx="373">
                  <c:v>486.5</c:v>
                </c:pt>
                <c:pt idx="374">
                  <c:v>487</c:v>
                </c:pt>
                <c:pt idx="375">
                  <c:v>487.5</c:v>
                </c:pt>
                <c:pt idx="376">
                  <c:v>488</c:v>
                </c:pt>
                <c:pt idx="377">
                  <c:v>488.5</c:v>
                </c:pt>
                <c:pt idx="378">
                  <c:v>489</c:v>
                </c:pt>
                <c:pt idx="379">
                  <c:v>489.5</c:v>
                </c:pt>
                <c:pt idx="380">
                  <c:v>490</c:v>
                </c:pt>
                <c:pt idx="381">
                  <c:v>490.5</c:v>
                </c:pt>
                <c:pt idx="382">
                  <c:v>491</c:v>
                </c:pt>
                <c:pt idx="383">
                  <c:v>491.5</c:v>
                </c:pt>
                <c:pt idx="384">
                  <c:v>492</c:v>
                </c:pt>
                <c:pt idx="385">
                  <c:v>492.5</c:v>
                </c:pt>
                <c:pt idx="386">
                  <c:v>493</c:v>
                </c:pt>
                <c:pt idx="387">
                  <c:v>493.5</c:v>
                </c:pt>
                <c:pt idx="388">
                  <c:v>494</c:v>
                </c:pt>
                <c:pt idx="389">
                  <c:v>494.5</c:v>
                </c:pt>
                <c:pt idx="390">
                  <c:v>495</c:v>
                </c:pt>
                <c:pt idx="391">
                  <c:v>495.5</c:v>
                </c:pt>
                <c:pt idx="392">
                  <c:v>496</c:v>
                </c:pt>
                <c:pt idx="393">
                  <c:v>496.5</c:v>
                </c:pt>
                <c:pt idx="394">
                  <c:v>497</c:v>
                </c:pt>
                <c:pt idx="395">
                  <c:v>497.5</c:v>
                </c:pt>
                <c:pt idx="396">
                  <c:v>498</c:v>
                </c:pt>
                <c:pt idx="397">
                  <c:v>498.5</c:v>
                </c:pt>
                <c:pt idx="398">
                  <c:v>499</c:v>
                </c:pt>
                <c:pt idx="399">
                  <c:v>499.5</c:v>
                </c:pt>
                <c:pt idx="400">
                  <c:v>500</c:v>
                </c:pt>
                <c:pt idx="401">
                  <c:v>500.5</c:v>
                </c:pt>
                <c:pt idx="402">
                  <c:v>501</c:v>
                </c:pt>
                <c:pt idx="403">
                  <c:v>501.5</c:v>
                </c:pt>
                <c:pt idx="404">
                  <c:v>502</c:v>
                </c:pt>
                <c:pt idx="405">
                  <c:v>502.5</c:v>
                </c:pt>
                <c:pt idx="406">
                  <c:v>503</c:v>
                </c:pt>
                <c:pt idx="407">
                  <c:v>503.5</c:v>
                </c:pt>
                <c:pt idx="408">
                  <c:v>504</c:v>
                </c:pt>
                <c:pt idx="409">
                  <c:v>504.5</c:v>
                </c:pt>
                <c:pt idx="410">
                  <c:v>505</c:v>
                </c:pt>
                <c:pt idx="411">
                  <c:v>505.5</c:v>
                </c:pt>
                <c:pt idx="412">
                  <c:v>506</c:v>
                </c:pt>
                <c:pt idx="413">
                  <c:v>506.5</c:v>
                </c:pt>
                <c:pt idx="414">
                  <c:v>507</c:v>
                </c:pt>
                <c:pt idx="415">
                  <c:v>507.5</c:v>
                </c:pt>
                <c:pt idx="416">
                  <c:v>508</c:v>
                </c:pt>
                <c:pt idx="417">
                  <c:v>508.5</c:v>
                </c:pt>
                <c:pt idx="418">
                  <c:v>509</c:v>
                </c:pt>
                <c:pt idx="419">
                  <c:v>509.5</c:v>
                </c:pt>
                <c:pt idx="420">
                  <c:v>510</c:v>
                </c:pt>
                <c:pt idx="421">
                  <c:v>510.5</c:v>
                </c:pt>
                <c:pt idx="422">
                  <c:v>511</c:v>
                </c:pt>
                <c:pt idx="423">
                  <c:v>511.5</c:v>
                </c:pt>
                <c:pt idx="424">
                  <c:v>512</c:v>
                </c:pt>
                <c:pt idx="425">
                  <c:v>512.5</c:v>
                </c:pt>
                <c:pt idx="426">
                  <c:v>513</c:v>
                </c:pt>
                <c:pt idx="427">
                  <c:v>513.5</c:v>
                </c:pt>
                <c:pt idx="428">
                  <c:v>514</c:v>
                </c:pt>
                <c:pt idx="429">
                  <c:v>514.5</c:v>
                </c:pt>
                <c:pt idx="430">
                  <c:v>515</c:v>
                </c:pt>
                <c:pt idx="431">
                  <c:v>515.5</c:v>
                </c:pt>
                <c:pt idx="432">
                  <c:v>516</c:v>
                </c:pt>
                <c:pt idx="433">
                  <c:v>516.5</c:v>
                </c:pt>
                <c:pt idx="434">
                  <c:v>517</c:v>
                </c:pt>
                <c:pt idx="435">
                  <c:v>517.5</c:v>
                </c:pt>
                <c:pt idx="436">
                  <c:v>518</c:v>
                </c:pt>
                <c:pt idx="437">
                  <c:v>518.5</c:v>
                </c:pt>
                <c:pt idx="438">
                  <c:v>519</c:v>
                </c:pt>
                <c:pt idx="439">
                  <c:v>519.5</c:v>
                </c:pt>
                <c:pt idx="440">
                  <c:v>520</c:v>
                </c:pt>
                <c:pt idx="441">
                  <c:v>520.5</c:v>
                </c:pt>
                <c:pt idx="442">
                  <c:v>521</c:v>
                </c:pt>
                <c:pt idx="443">
                  <c:v>521.5</c:v>
                </c:pt>
                <c:pt idx="444">
                  <c:v>522</c:v>
                </c:pt>
                <c:pt idx="445">
                  <c:v>522.5</c:v>
                </c:pt>
                <c:pt idx="446">
                  <c:v>523</c:v>
                </c:pt>
                <c:pt idx="447">
                  <c:v>523.5</c:v>
                </c:pt>
                <c:pt idx="448">
                  <c:v>524</c:v>
                </c:pt>
                <c:pt idx="449">
                  <c:v>524.5</c:v>
                </c:pt>
                <c:pt idx="450">
                  <c:v>525</c:v>
                </c:pt>
                <c:pt idx="451">
                  <c:v>525.5</c:v>
                </c:pt>
                <c:pt idx="452">
                  <c:v>526</c:v>
                </c:pt>
                <c:pt idx="453">
                  <c:v>526.5</c:v>
                </c:pt>
                <c:pt idx="454">
                  <c:v>527</c:v>
                </c:pt>
                <c:pt idx="455">
                  <c:v>527.5</c:v>
                </c:pt>
                <c:pt idx="456">
                  <c:v>528</c:v>
                </c:pt>
                <c:pt idx="457">
                  <c:v>528.5</c:v>
                </c:pt>
                <c:pt idx="458">
                  <c:v>529</c:v>
                </c:pt>
                <c:pt idx="459">
                  <c:v>529.5</c:v>
                </c:pt>
                <c:pt idx="460">
                  <c:v>530</c:v>
                </c:pt>
                <c:pt idx="461">
                  <c:v>530.5</c:v>
                </c:pt>
                <c:pt idx="462">
                  <c:v>531</c:v>
                </c:pt>
                <c:pt idx="463">
                  <c:v>531.5</c:v>
                </c:pt>
                <c:pt idx="464">
                  <c:v>532</c:v>
                </c:pt>
                <c:pt idx="465">
                  <c:v>532.5</c:v>
                </c:pt>
                <c:pt idx="466">
                  <c:v>533</c:v>
                </c:pt>
                <c:pt idx="467">
                  <c:v>533.5</c:v>
                </c:pt>
                <c:pt idx="468">
                  <c:v>534</c:v>
                </c:pt>
                <c:pt idx="469">
                  <c:v>534.5</c:v>
                </c:pt>
                <c:pt idx="470">
                  <c:v>535</c:v>
                </c:pt>
                <c:pt idx="471">
                  <c:v>535.5</c:v>
                </c:pt>
                <c:pt idx="472">
                  <c:v>536</c:v>
                </c:pt>
                <c:pt idx="473">
                  <c:v>536.5</c:v>
                </c:pt>
                <c:pt idx="474">
                  <c:v>537</c:v>
                </c:pt>
                <c:pt idx="475">
                  <c:v>537.5</c:v>
                </c:pt>
                <c:pt idx="476">
                  <c:v>538</c:v>
                </c:pt>
                <c:pt idx="477">
                  <c:v>538.5</c:v>
                </c:pt>
                <c:pt idx="478">
                  <c:v>539</c:v>
                </c:pt>
                <c:pt idx="479">
                  <c:v>539.5</c:v>
                </c:pt>
                <c:pt idx="480">
                  <c:v>540</c:v>
                </c:pt>
                <c:pt idx="481">
                  <c:v>540.5</c:v>
                </c:pt>
                <c:pt idx="482">
                  <c:v>541</c:v>
                </c:pt>
                <c:pt idx="483">
                  <c:v>541.5</c:v>
                </c:pt>
                <c:pt idx="484">
                  <c:v>542</c:v>
                </c:pt>
                <c:pt idx="485">
                  <c:v>542.5</c:v>
                </c:pt>
                <c:pt idx="486">
                  <c:v>543</c:v>
                </c:pt>
                <c:pt idx="487">
                  <c:v>543.5</c:v>
                </c:pt>
                <c:pt idx="488">
                  <c:v>544</c:v>
                </c:pt>
                <c:pt idx="489">
                  <c:v>544.5</c:v>
                </c:pt>
                <c:pt idx="490">
                  <c:v>545</c:v>
                </c:pt>
                <c:pt idx="491">
                  <c:v>545.5</c:v>
                </c:pt>
                <c:pt idx="492">
                  <c:v>546</c:v>
                </c:pt>
                <c:pt idx="493">
                  <c:v>546.5</c:v>
                </c:pt>
                <c:pt idx="494">
                  <c:v>547</c:v>
                </c:pt>
                <c:pt idx="495">
                  <c:v>547.5</c:v>
                </c:pt>
                <c:pt idx="496">
                  <c:v>548</c:v>
                </c:pt>
                <c:pt idx="497">
                  <c:v>548.5</c:v>
                </c:pt>
                <c:pt idx="498">
                  <c:v>549</c:v>
                </c:pt>
                <c:pt idx="499">
                  <c:v>549.5</c:v>
                </c:pt>
                <c:pt idx="500">
                  <c:v>550</c:v>
                </c:pt>
                <c:pt idx="501">
                  <c:v>550.5</c:v>
                </c:pt>
                <c:pt idx="502">
                  <c:v>551</c:v>
                </c:pt>
                <c:pt idx="503">
                  <c:v>551.5</c:v>
                </c:pt>
                <c:pt idx="504">
                  <c:v>552</c:v>
                </c:pt>
                <c:pt idx="505">
                  <c:v>552.5</c:v>
                </c:pt>
                <c:pt idx="506">
                  <c:v>553</c:v>
                </c:pt>
                <c:pt idx="507">
                  <c:v>553.5</c:v>
                </c:pt>
                <c:pt idx="508">
                  <c:v>554</c:v>
                </c:pt>
                <c:pt idx="509">
                  <c:v>554.5</c:v>
                </c:pt>
                <c:pt idx="510">
                  <c:v>555</c:v>
                </c:pt>
                <c:pt idx="511">
                  <c:v>555.5</c:v>
                </c:pt>
                <c:pt idx="512">
                  <c:v>556</c:v>
                </c:pt>
                <c:pt idx="513">
                  <c:v>556.5</c:v>
                </c:pt>
                <c:pt idx="514">
                  <c:v>557</c:v>
                </c:pt>
                <c:pt idx="515">
                  <c:v>557.5</c:v>
                </c:pt>
                <c:pt idx="516">
                  <c:v>558</c:v>
                </c:pt>
                <c:pt idx="517">
                  <c:v>558.5</c:v>
                </c:pt>
                <c:pt idx="518">
                  <c:v>559</c:v>
                </c:pt>
                <c:pt idx="519">
                  <c:v>559.5</c:v>
                </c:pt>
                <c:pt idx="520">
                  <c:v>560</c:v>
                </c:pt>
                <c:pt idx="521">
                  <c:v>560.5</c:v>
                </c:pt>
                <c:pt idx="522">
                  <c:v>561</c:v>
                </c:pt>
                <c:pt idx="523">
                  <c:v>561.5</c:v>
                </c:pt>
                <c:pt idx="524">
                  <c:v>562</c:v>
                </c:pt>
                <c:pt idx="525">
                  <c:v>562.5</c:v>
                </c:pt>
                <c:pt idx="526">
                  <c:v>563</c:v>
                </c:pt>
                <c:pt idx="527">
                  <c:v>563.5</c:v>
                </c:pt>
                <c:pt idx="528">
                  <c:v>564</c:v>
                </c:pt>
                <c:pt idx="529">
                  <c:v>564.5</c:v>
                </c:pt>
                <c:pt idx="530">
                  <c:v>565</c:v>
                </c:pt>
                <c:pt idx="531">
                  <c:v>565.5</c:v>
                </c:pt>
                <c:pt idx="532">
                  <c:v>566</c:v>
                </c:pt>
                <c:pt idx="533">
                  <c:v>566.5</c:v>
                </c:pt>
                <c:pt idx="534">
                  <c:v>567</c:v>
                </c:pt>
                <c:pt idx="535">
                  <c:v>567.5</c:v>
                </c:pt>
                <c:pt idx="536">
                  <c:v>568</c:v>
                </c:pt>
                <c:pt idx="537">
                  <c:v>568.5</c:v>
                </c:pt>
                <c:pt idx="538">
                  <c:v>569</c:v>
                </c:pt>
                <c:pt idx="539">
                  <c:v>569.5</c:v>
                </c:pt>
                <c:pt idx="540">
                  <c:v>570</c:v>
                </c:pt>
                <c:pt idx="541">
                  <c:v>570.5</c:v>
                </c:pt>
                <c:pt idx="542">
                  <c:v>571</c:v>
                </c:pt>
                <c:pt idx="543">
                  <c:v>571.5</c:v>
                </c:pt>
                <c:pt idx="544">
                  <c:v>572</c:v>
                </c:pt>
                <c:pt idx="545">
                  <c:v>572.5</c:v>
                </c:pt>
                <c:pt idx="546">
                  <c:v>573</c:v>
                </c:pt>
                <c:pt idx="547">
                  <c:v>573.5</c:v>
                </c:pt>
                <c:pt idx="548">
                  <c:v>574</c:v>
                </c:pt>
                <c:pt idx="549">
                  <c:v>574.5</c:v>
                </c:pt>
                <c:pt idx="550">
                  <c:v>575</c:v>
                </c:pt>
                <c:pt idx="551">
                  <c:v>575.5</c:v>
                </c:pt>
                <c:pt idx="552">
                  <c:v>576</c:v>
                </c:pt>
                <c:pt idx="553">
                  <c:v>576.5</c:v>
                </c:pt>
                <c:pt idx="554">
                  <c:v>577</c:v>
                </c:pt>
                <c:pt idx="555">
                  <c:v>577.5</c:v>
                </c:pt>
                <c:pt idx="556">
                  <c:v>578</c:v>
                </c:pt>
                <c:pt idx="557">
                  <c:v>578.5</c:v>
                </c:pt>
                <c:pt idx="558">
                  <c:v>579</c:v>
                </c:pt>
                <c:pt idx="559">
                  <c:v>579.5</c:v>
                </c:pt>
                <c:pt idx="560">
                  <c:v>580</c:v>
                </c:pt>
                <c:pt idx="561">
                  <c:v>580.5</c:v>
                </c:pt>
                <c:pt idx="562">
                  <c:v>581</c:v>
                </c:pt>
                <c:pt idx="563">
                  <c:v>581.5</c:v>
                </c:pt>
                <c:pt idx="564">
                  <c:v>582</c:v>
                </c:pt>
                <c:pt idx="565">
                  <c:v>582.5</c:v>
                </c:pt>
                <c:pt idx="566">
                  <c:v>583</c:v>
                </c:pt>
                <c:pt idx="567">
                  <c:v>583.5</c:v>
                </c:pt>
                <c:pt idx="568">
                  <c:v>584</c:v>
                </c:pt>
                <c:pt idx="569">
                  <c:v>584.5</c:v>
                </c:pt>
                <c:pt idx="570">
                  <c:v>585</c:v>
                </c:pt>
                <c:pt idx="571">
                  <c:v>585.5</c:v>
                </c:pt>
                <c:pt idx="572">
                  <c:v>586</c:v>
                </c:pt>
                <c:pt idx="573">
                  <c:v>586.5</c:v>
                </c:pt>
                <c:pt idx="574">
                  <c:v>587</c:v>
                </c:pt>
                <c:pt idx="575">
                  <c:v>587.5</c:v>
                </c:pt>
                <c:pt idx="576">
                  <c:v>588</c:v>
                </c:pt>
                <c:pt idx="577">
                  <c:v>588.5</c:v>
                </c:pt>
                <c:pt idx="578">
                  <c:v>589</c:v>
                </c:pt>
                <c:pt idx="579">
                  <c:v>589.5</c:v>
                </c:pt>
                <c:pt idx="580">
                  <c:v>590</c:v>
                </c:pt>
                <c:pt idx="581">
                  <c:v>590.5</c:v>
                </c:pt>
                <c:pt idx="582">
                  <c:v>591</c:v>
                </c:pt>
                <c:pt idx="583">
                  <c:v>591.5</c:v>
                </c:pt>
                <c:pt idx="584">
                  <c:v>592</c:v>
                </c:pt>
                <c:pt idx="585">
                  <c:v>592.5</c:v>
                </c:pt>
                <c:pt idx="586">
                  <c:v>593</c:v>
                </c:pt>
                <c:pt idx="587">
                  <c:v>593.5</c:v>
                </c:pt>
                <c:pt idx="588">
                  <c:v>594</c:v>
                </c:pt>
                <c:pt idx="589">
                  <c:v>594.5</c:v>
                </c:pt>
                <c:pt idx="590">
                  <c:v>595</c:v>
                </c:pt>
                <c:pt idx="591">
                  <c:v>595.5</c:v>
                </c:pt>
                <c:pt idx="592">
                  <c:v>596</c:v>
                </c:pt>
                <c:pt idx="593">
                  <c:v>596.5</c:v>
                </c:pt>
                <c:pt idx="594">
                  <c:v>597</c:v>
                </c:pt>
                <c:pt idx="595">
                  <c:v>597.5</c:v>
                </c:pt>
                <c:pt idx="596">
                  <c:v>598</c:v>
                </c:pt>
                <c:pt idx="597">
                  <c:v>598.5</c:v>
                </c:pt>
                <c:pt idx="598">
                  <c:v>599</c:v>
                </c:pt>
                <c:pt idx="599">
                  <c:v>599.5</c:v>
                </c:pt>
                <c:pt idx="600">
                  <c:v>600</c:v>
                </c:pt>
                <c:pt idx="601">
                  <c:v>600.5</c:v>
                </c:pt>
                <c:pt idx="602">
                  <c:v>601</c:v>
                </c:pt>
                <c:pt idx="603">
                  <c:v>601.5</c:v>
                </c:pt>
                <c:pt idx="604">
                  <c:v>602</c:v>
                </c:pt>
                <c:pt idx="605">
                  <c:v>602.5</c:v>
                </c:pt>
                <c:pt idx="606">
                  <c:v>603</c:v>
                </c:pt>
                <c:pt idx="607">
                  <c:v>603.5</c:v>
                </c:pt>
                <c:pt idx="608">
                  <c:v>604</c:v>
                </c:pt>
                <c:pt idx="609">
                  <c:v>604.5</c:v>
                </c:pt>
                <c:pt idx="610">
                  <c:v>605</c:v>
                </c:pt>
                <c:pt idx="611">
                  <c:v>605.5</c:v>
                </c:pt>
                <c:pt idx="612">
                  <c:v>606</c:v>
                </c:pt>
                <c:pt idx="613">
                  <c:v>606.5</c:v>
                </c:pt>
                <c:pt idx="614">
                  <c:v>607</c:v>
                </c:pt>
                <c:pt idx="615">
                  <c:v>607.5</c:v>
                </c:pt>
                <c:pt idx="616">
                  <c:v>608</c:v>
                </c:pt>
                <c:pt idx="617">
                  <c:v>608.5</c:v>
                </c:pt>
                <c:pt idx="618">
                  <c:v>609</c:v>
                </c:pt>
                <c:pt idx="619">
                  <c:v>609.5</c:v>
                </c:pt>
                <c:pt idx="620">
                  <c:v>610</c:v>
                </c:pt>
                <c:pt idx="621">
                  <c:v>610.5</c:v>
                </c:pt>
                <c:pt idx="622">
                  <c:v>611</c:v>
                </c:pt>
                <c:pt idx="623">
                  <c:v>611.5</c:v>
                </c:pt>
                <c:pt idx="624">
                  <c:v>612</c:v>
                </c:pt>
                <c:pt idx="625">
                  <c:v>612.5</c:v>
                </c:pt>
                <c:pt idx="626">
                  <c:v>613</c:v>
                </c:pt>
                <c:pt idx="627">
                  <c:v>613.5</c:v>
                </c:pt>
                <c:pt idx="628">
                  <c:v>614</c:v>
                </c:pt>
                <c:pt idx="629">
                  <c:v>614.5</c:v>
                </c:pt>
                <c:pt idx="630">
                  <c:v>615</c:v>
                </c:pt>
                <c:pt idx="631">
                  <c:v>615.5</c:v>
                </c:pt>
                <c:pt idx="632">
                  <c:v>616</c:v>
                </c:pt>
                <c:pt idx="633">
                  <c:v>616.5</c:v>
                </c:pt>
                <c:pt idx="634">
                  <c:v>617</c:v>
                </c:pt>
                <c:pt idx="635">
                  <c:v>617.5</c:v>
                </c:pt>
                <c:pt idx="636">
                  <c:v>618</c:v>
                </c:pt>
                <c:pt idx="637">
                  <c:v>618.5</c:v>
                </c:pt>
                <c:pt idx="638">
                  <c:v>619</c:v>
                </c:pt>
                <c:pt idx="639">
                  <c:v>619.5</c:v>
                </c:pt>
                <c:pt idx="640">
                  <c:v>620</c:v>
                </c:pt>
                <c:pt idx="641">
                  <c:v>620.5</c:v>
                </c:pt>
                <c:pt idx="642">
                  <c:v>621</c:v>
                </c:pt>
                <c:pt idx="643">
                  <c:v>621.5</c:v>
                </c:pt>
                <c:pt idx="644">
                  <c:v>622</c:v>
                </c:pt>
                <c:pt idx="645">
                  <c:v>622.5</c:v>
                </c:pt>
                <c:pt idx="646">
                  <c:v>623</c:v>
                </c:pt>
                <c:pt idx="647">
                  <c:v>623.5</c:v>
                </c:pt>
                <c:pt idx="648">
                  <c:v>624</c:v>
                </c:pt>
                <c:pt idx="649">
                  <c:v>624.5</c:v>
                </c:pt>
                <c:pt idx="650">
                  <c:v>625</c:v>
                </c:pt>
                <c:pt idx="651">
                  <c:v>625.5</c:v>
                </c:pt>
                <c:pt idx="652">
                  <c:v>626</c:v>
                </c:pt>
                <c:pt idx="653">
                  <c:v>626.5</c:v>
                </c:pt>
                <c:pt idx="654">
                  <c:v>627</c:v>
                </c:pt>
                <c:pt idx="655">
                  <c:v>627.5</c:v>
                </c:pt>
                <c:pt idx="656">
                  <c:v>628</c:v>
                </c:pt>
                <c:pt idx="657">
                  <c:v>628.5</c:v>
                </c:pt>
                <c:pt idx="658">
                  <c:v>629</c:v>
                </c:pt>
                <c:pt idx="659">
                  <c:v>629.5</c:v>
                </c:pt>
                <c:pt idx="660">
                  <c:v>630</c:v>
                </c:pt>
                <c:pt idx="661">
                  <c:v>630.5</c:v>
                </c:pt>
                <c:pt idx="662">
                  <c:v>631</c:v>
                </c:pt>
                <c:pt idx="663">
                  <c:v>631.5</c:v>
                </c:pt>
                <c:pt idx="664">
                  <c:v>632</c:v>
                </c:pt>
                <c:pt idx="665">
                  <c:v>632.5</c:v>
                </c:pt>
                <c:pt idx="666">
                  <c:v>633</c:v>
                </c:pt>
                <c:pt idx="667">
                  <c:v>633.5</c:v>
                </c:pt>
                <c:pt idx="668">
                  <c:v>634</c:v>
                </c:pt>
                <c:pt idx="669">
                  <c:v>634.5</c:v>
                </c:pt>
                <c:pt idx="670">
                  <c:v>635</c:v>
                </c:pt>
                <c:pt idx="671">
                  <c:v>635.5</c:v>
                </c:pt>
                <c:pt idx="672">
                  <c:v>636</c:v>
                </c:pt>
                <c:pt idx="673">
                  <c:v>636.5</c:v>
                </c:pt>
                <c:pt idx="674">
                  <c:v>637</c:v>
                </c:pt>
                <c:pt idx="675">
                  <c:v>637.5</c:v>
                </c:pt>
                <c:pt idx="676">
                  <c:v>638</c:v>
                </c:pt>
                <c:pt idx="677">
                  <c:v>638.5</c:v>
                </c:pt>
                <c:pt idx="678">
                  <c:v>639</c:v>
                </c:pt>
                <c:pt idx="679">
                  <c:v>639.5</c:v>
                </c:pt>
                <c:pt idx="680">
                  <c:v>640</c:v>
                </c:pt>
                <c:pt idx="681">
                  <c:v>640.5</c:v>
                </c:pt>
                <c:pt idx="682">
                  <c:v>641</c:v>
                </c:pt>
                <c:pt idx="683">
                  <c:v>641.5</c:v>
                </c:pt>
                <c:pt idx="684">
                  <c:v>642</c:v>
                </c:pt>
                <c:pt idx="685">
                  <c:v>642.5</c:v>
                </c:pt>
                <c:pt idx="686">
                  <c:v>643</c:v>
                </c:pt>
                <c:pt idx="687">
                  <c:v>643.5</c:v>
                </c:pt>
                <c:pt idx="688">
                  <c:v>644</c:v>
                </c:pt>
                <c:pt idx="689">
                  <c:v>644.5</c:v>
                </c:pt>
                <c:pt idx="690">
                  <c:v>645</c:v>
                </c:pt>
                <c:pt idx="691">
                  <c:v>645.5</c:v>
                </c:pt>
                <c:pt idx="692">
                  <c:v>646</c:v>
                </c:pt>
                <c:pt idx="693">
                  <c:v>646.5</c:v>
                </c:pt>
                <c:pt idx="694">
                  <c:v>647</c:v>
                </c:pt>
                <c:pt idx="695">
                  <c:v>647.5</c:v>
                </c:pt>
                <c:pt idx="696">
                  <c:v>648</c:v>
                </c:pt>
                <c:pt idx="697">
                  <c:v>648.5</c:v>
                </c:pt>
                <c:pt idx="698">
                  <c:v>649</c:v>
                </c:pt>
                <c:pt idx="699">
                  <c:v>649.5</c:v>
                </c:pt>
                <c:pt idx="700">
                  <c:v>650</c:v>
                </c:pt>
                <c:pt idx="701">
                  <c:v>650.5</c:v>
                </c:pt>
                <c:pt idx="702">
                  <c:v>651</c:v>
                </c:pt>
                <c:pt idx="703">
                  <c:v>651.5</c:v>
                </c:pt>
                <c:pt idx="704">
                  <c:v>652</c:v>
                </c:pt>
                <c:pt idx="705">
                  <c:v>652.5</c:v>
                </c:pt>
                <c:pt idx="706">
                  <c:v>653</c:v>
                </c:pt>
                <c:pt idx="707">
                  <c:v>653.5</c:v>
                </c:pt>
                <c:pt idx="708">
                  <c:v>654</c:v>
                </c:pt>
                <c:pt idx="709">
                  <c:v>654.5</c:v>
                </c:pt>
                <c:pt idx="710">
                  <c:v>655</c:v>
                </c:pt>
                <c:pt idx="711">
                  <c:v>655.5</c:v>
                </c:pt>
                <c:pt idx="712">
                  <c:v>656</c:v>
                </c:pt>
                <c:pt idx="713">
                  <c:v>656.5</c:v>
                </c:pt>
                <c:pt idx="714">
                  <c:v>657</c:v>
                </c:pt>
                <c:pt idx="715">
                  <c:v>657.5</c:v>
                </c:pt>
                <c:pt idx="716">
                  <c:v>658</c:v>
                </c:pt>
                <c:pt idx="717">
                  <c:v>658.5</c:v>
                </c:pt>
                <c:pt idx="718">
                  <c:v>659</c:v>
                </c:pt>
                <c:pt idx="719">
                  <c:v>659.5</c:v>
                </c:pt>
                <c:pt idx="720">
                  <c:v>660</c:v>
                </c:pt>
                <c:pt idx="721">
                  <c:v>660.5</c:v>
                </c:pt>
                <c:pt idx="722">
                  <c:v>661</c:v>
                </c:pt>
                <c:pt idx="723">
                  <c:v>661.5</c:v>
                </c:pt>
                <c:pt idx="724">
                  <c:v>662</c:v>
                </c:pt>
                <c:pt idx="725">
                  <c:v>662.5</c:v>
                </c:pt>
                <c:pt idx="726">
                  <c:v>663</c:v>
                </c:pt>
                <c:pt idx="727">
                  <c:v>663.5</c:v>
                </c:pt>
                <c:pt idx="728">
                  <c:v>664</c:v>
                </c:pt>
                <c:pt idx="729">
                  <c:v>664.5</c:v>
                </c:pt>
                <c:pt idx="730">
                  <c:v>665</c:v>
                </c:pt>
                <c:pt idx="731">
                  <c:v>665.5</c:v>
                </c:pt>
                <c:pt idx="732">
                  <c:v>666</c:v>
                </c:pt>
                <c:pt idx="733">
                  <c:v>666.5</c:v>
                </c:pt>
                <c:pt idx="734">
                  <c:v>667</c:v>
                </c:pt>
                <c:pt idx="735">
                  <c:v>667.5</c:v>
                </c:pt>
                <c:pt idx="736">
                  <c:v>668</c:v>
                </c:pt>
                <c:pt idx="737">
                  <c:v>668.5</c:v>
                </c:pt>
                <c:pt idx="738">
                  <c:v>669</c:v>
                </c:pt>
                <c:pt idx="739">
                  <c:v>669.5</c:v>
                </c:pt>
                <c:pt idx="740">
                  <c:v>670</c:v>
                </c:pt>
                <c:pt idx="741">
                  <c:v>670.5</c:v>
                </c:pt>
                <c:pt idx="742">
                  <c:v>671</c:v>
                </c:pt>
                <c:pt idx="743">
                  <c:v>671.5</c:v>
                </c:pt>
                <c:pt idx="744">
                  <c:v>672</c:v>
                </c:pt>
                <c:pt idx="745">
                  <c:v>672.5</c:v>
                </c:pt>
                <c:pt idx="746">
                  <c:v>673</c:v>
                </c:pt>
                <c:pt idx="747">
                  <c:v>673.5</c:v>
                </c:pt>
                <c:pt idx="748">
                  <c:v>674</c:v>
                </c:pt>
                <c:pt idx="749">
                  <c:v>674.5</c:v>
                </c:pt>
                <c:pt idx="750">
                  <c:v>675</c:v>
                </c:pt>
                <c:pt idx="751">
                  <c:v>675.5</c:v>
                </c:pt>
                <c:pt idx="752">
                  <c:v>676</c:v>
                </c:pt>
                <c:pt idx="753">
                  <c:v>676.5</c:v>
                </c:pt>
                <c:pt idx="754">
                  <c:v>677</c:v>
                </c:pt>
                <c:pt idx="755">
                  <c:v>677.5</c:v>
                </c:pt>
                <c:pt idx="756">
                  <c:v>678</c:v>
                </c:pt>
                <c:pt idx="757">
                  <c:v>678.5</c:v>
                </c:pt>
                <c:pt idx="758">
                  <c:v>679</c:v>
                </c:pt>
                <c:pt idx="759">
                  <c:v>679.5</c:v>
                </c:pt>
                <c:pt idx="760">
                  <c:v>680</c:v>
                </c:pt>
                <c:pt idx="761">
                  <c:v>680.5</c:v>
                </c:pt>
                <c:pt idx="762">
                  <c:v>681</c:v>
                </c:pt>
                <c:pt idx="763">
                  <c:v>681.5</c:v>
                </c:pt>
                <c:pt idx="764">
                  <c:v>682</c:v>
                </c:pt>
                <c:pt idx="765">
                  <c:v>682.5</c:v>
                </c:pt>
                <c:pt idx="766">
                  <c:v>683</c:v>
                </c:pt>
                <c:pt idx="767">
                  <c:v>683.5</c:v>
                </c:pt>
                <c:pt idx="768">
                  <c:v>684</c:v>
                </c:pt>
                <c:pt idx="769">
                  <c:v>684.5</c:v>
                </c:pt>
                <c:pt idx="770">
                  <c:v>685</c:v>
                </c:pt>
                <c:pt idx="771">
                  <c:v>685.5</c:v>
                </c:pt>
                <c:pt idx="772">
                  <c:v>686</c:v>
                </c:pt>
                <c:pt idx="773">
                  <c:v>686.5</c:v>
                </c:pt>
                <c:pt idx="774">
                  <c:v>687</c:v>
                </c:pt>
                <c:pt idx="775">
                  <c:v>687.5</c:v>
                </c:pt>
                <c:pt idx="776">
                  <c:v>688</c:v>
                </c:pt>
                <c:pt idx="777">
                  <c:v>688.5</c:v>
                </c:pt>
                <c:pt idx="778">
                  <c:v>689</c:v>
                </c:pt>
                <c:pt idx="779">
                  <c:v>689.5</c:v>
                </c:pt>
                <c:pt idx="780">
                  <c:v>690</c:v>
                </c:pt>
                <c:pt idx="781">
                  <c:v>690.5</c:v>
                </c:pt>
                <c:pt idx="782">
                  <c:v>691</c:v>
                </c:pt>
                <c:pt idx="783">
                  <c:v>691.5</c:v>
                </c:pt>
                <c:pt idx="784">
                  <c:v>692</c:v>
                </c:pt>
                <c:pt idx="785">
                  <c:v>692.5</c:v>
                </c:pt>
                <c:pt idx="786">
                  <c:v>693</c:v>
                </c:pt>
                <c:pt idx="787">
                  <c:v>693.5</c:v>
                </c:pt>
                <c:pt idx="788">
                  <c:v>694</c:v>
                </c:pt>
                <c:pt idx="789">
                  <c:v>694.5</c:v>
                </c:pt>
                <c:pt idx="790">
                  <c:v>695</c:v>
                </c:pt>
                <c:pt idx="791">
                  <c:v>695.5</c:v>
                </c:pt>
                <c:pt idx="792">
                  <c:v>696</c:v>
                </c:pt>
                <c:pt idx="793">
                  <c:v>696.5</c:v>
                </c:pt>
                <c:pt idx="794">
                  <c:v>697</c:v>
                </c:pt>
                <c:pt idx="795">
                  <c:v>697.5</c:v>
                </c:pt>
                <c:pt idx="796">
                  <c:v>698</c:v>
                </c:pt>
                <c:pt idx="797">
                  <c:v>698.5</c:v>
                </c:pt>
                <c:pt idx="798">
                  <c:v>699</c:v>
                </c:pt>
                <c:pt idx="799">
                  <c:v>699.5</c:v>
                </c:pt>
                <c:pt idx="800">
                  <c:v>700</c:v>
                </c:pt>
                <c:pt idx="801">
                  <c:v>700.5</c:v>
                </c:pt>
                <c:pt idx="802">
                  <c:v>701</c:v>
                </c:pt>
                <c:pt idx="803">
                  <c:v>701.5</c:v>
                </c:pt>
                <c:pt idx="804">
                  <c:v>702</c:v>
                </c:pt>
                <c:pt idx="805">
                  <c:v>702.5</c:v>
                </c:pt>
                <c:pt idx="806">
                  <c:v>703</c:v>
                </c:pt>
                <c:pt idx="807">
                  <c:v>703.5</c:v>
                </c:pt>
                <c:pt idx="808">
                  <c:v>704</c:v>
                </c:pt>
                <c:pt idx="809">
                  <c:v>704.5</c:v>
                </c:pt>
                <c:pt idx="810">
                  <c:v>705</c:v>
                </c:pt>
                <c:pt idx="811">
                  <c:v>705.5</c:v>
                </c:pt>
                <c:pt idx="812">
                  <c:v>706</c:v>
                </c:pt>
                <c:pt idx="813">
                  <c:v>706.5</c:v>
                </c:pt>
                <c:pt idx="814">
                  <c:v>707</c:v>
                </c:pt>
                <c:pt idx="815">
                  <c:v>707.5</c:v>
                </c:pt>
                <c:pt idx="816">
                  <c:v>708</c:v>
                </c:pt>
                <c:pt idx="817">
                  <c:v>708.5</c:v>
                </c:pt>
                <c:pt idx="818">
                  <c:v>709</c:v>
                </c:pt>
                <c:pt idx="819">
                  <c:v>709.5</c:v>
                </c:pt>
                <c:pt idx="820">
                  <c:v>710</c:v>
                </c:pt>
                <c:pt idx="821">
                  <c:v>710.5</c:v>
                </c:pt>
                <c:pt idx="822">
                  <c:v>711</c:v>
                </c:pt>
                <c:pt idx="823">
                  <c:v>711.5</c:v>
                </c:pt>
                <c:pt idx="824">
                  <c:v>712</c:v>
                </c:pt>
                <c:pt idx="825">
                  <c:v>712.5</c:v>
                </c:pt>
                <c:pt idx="826">
                  <c:v>713</c:v>
                </c:pt>
                <c:pt idx="827">
                  <c:v>713.5</c:v>
                </c:pt>
                <c:pt idx="828">
                  <c:v>714</c:v>
                </c:pt>
                <c:pt idx="829">
                  <c:v>714.5</c:v>
                </c:pt>
                <c:pt idx="830">
                  <c:v>715</c:v>
                </c:pt>
                <c:pt idx="831">
                  <c:v>715.5</c:v>
                </c:pt>
                <c:pt idx="832">
                  <c:v>716</c:v>
                </c:pt>
                <c:pt idx="833">
                  <c:v>716.5</c:v>
                </c:pt>
                <c:pt idx="834">
                  <c:v>717</c:v>
                </c:pt>
                <c:pt idx="835">
                  <c:v>717.5</c:v>
                </c:pt>
                <c:pt idx="836">
                  <c:v>718</c:v>
                </c:pt>
                <c:pt idx="837">
                  <c:v>718.5</c:v>
                </c:pt>
                <c:pt idx="838">
                  <c:v>719</c:v>
                </c:pt>
                <c:pt idx="839">
                  <c:v>719.5</c:v>
                </c:pt>
                <c:pt idx="840">
                  <c:v>720</c:v>
                </c:pt>
                <c:pt idx="841">
                  <c:v>720.5</c:v>
                </c:pt>
                <c:pt idx="842">
                  <c:v>721</c:v>
                </c:pt>
                <c:pt idx="843">
                  <c:v>721.5</c:v>
                </c:pt>
                <c:pt idx="844">
                  <c:v>722</c:v>
                </c:pt>
                <c:pt idx="845">
                  <c:v>722.5</c:v>
                </c:pt>
                <c:pt idx="846">
                  <c:v>723</c:v>
                </c:pt>
                <c:pt idx="847">
                  <c:v>723.5</c:v>
                </c:pt>
                <c:pt idx="848">
                  <c:v>724</c:v>
                </c:pt>
                <c:pt idx="849">
                  <c:v>724.5</c:v>
                </c:pt>
                <c:pt idx="850">
                  <c:v>725</c:v>
                </c:pt>
                <c:pt idx="851">
                  <c:v>725.5</c:v>
                </c:pt>
                <c:pt idx="852">
                  <c:v>726</c:v>
                </c:pt>
                <c:pt idx="853">
                  <c:v>726.5</c:v>
                </c:pt>
                <c:pt idx="854">
                  <c:v>727</c:v>
                </c:pt>
                <c:pt idx="855">
                  <c:v>727.5</c:v>
                </c:pt>
                <c:pt idx="856">
                  <c:v>728</c:v>
                </c:pt>
                <c:pt idx="857">
                  <c:v>728.5</c:v>
                </c:pt>
                <c:pt idx="858">
                  <c:v>729</c:v>
                </c:pt>
                <c:pt idx="859">
                  <c:v>729.5</c:v>
                </c:pt>
                <c:pt idx="860">
                  <c:v>730</c:v>
                </c:pt>
                <c:pt idx="861">
                  <c:v>730.5</c:v>
                </c:pt>
                <c:pt idx="862">
                  <c:v>731</c:v>
                </c:pt>
                <c:pt idx="863">
                  <c:v>731.5</c:v>
                </c:pt>
                <c:pt idx="864">
                  <c:v>732</c:v>
                </c:pt>
                <c:pt idx="865">
                  <c:v>732.5</c:v>
                </c:pt>
                <c:pt idx="866">
                  <c:v>733</c:v>
                </c:pt>
                <c:pt idx="867">
                  <c:v>733.5</c:v>
                </c:pt>
                <c:pt idx="868">
                  <c:v>734</c:v>
                </c:pt>
                <c:pt idx="869">
                  <c:v>734.5</c:v>
                </c:pt>
                <c:pt idx="870">
                  <c:v>735</c:v>
                </c:pt>
                <c:pt idx="871">
                  <c:v>735.5</c:v>
                </c:pt>
                <c:pt idx="872">
                  <c:v>736</c:v>
                </c:pt>
                <c:pt idx="873">
                  <c:v>736.5</c:v>
                </c:pt>
                <c:pt idx="874">
                  <c:v>737</c:v>
                </c:pt>
                <c:pt idx="875">
                  <c:v>737.5</c:v>
                </c:pt>
                <c:pt idx="876">
                  <c:v>738</c:v>
                </c:pt>
                <c:pt idx="877">
                  <c:v>738.5</c:v>
                </c:pt>
                <c:pt idx="878">
                  <c:v>739</c:v>
                </c:pt>
                <c:pt idx="879">
                  <c:v>739.5</c:v>
                </c:pt>
                <c:pt idx="880">
                  <c:v>740</c:v>
                </c:pt>
                <c:pt idx="881">
                  <c:v>740.5</c:v>
                </c:pt>
                <c:pt idx="882">
                  <c:v>741</c:v>
                </c:pt>
                <c:pt idx="883">
                  <c:v>741.5</c:v>
                </c:pt>
                <c:pt idx="884">
                  <c:v>742</c:v>
                </c:pt>
                <c:pt idx="885">
                  <c:v>742.5</c:v>
                </c:pt>
                <c:pt idx="886">
                  <c:v>743</c:v>
                </c:pt>
                <c:pt idx="887">
                  <c:v>743.5</c:v>
                </c:pt>
                <c:pt idx="888">
                  <c:v>744</c:v>
                </c:pt>
                <c:pt idx="889">
                  <c:v>744.5</c:v>
                </c:pt>
                <c:pt idx="890">
                  <c:v>745</c:v>
                </c:pt>
                <c:pt idx="891">
                  <c:v>745.5</c:v>
                </c:pt>
                <c:pt idx="892">
                  <c:v>746</c:v>
                </c:pt>
                <c:pt idx="893">
                  <c:v>746.5</c:v>
                </c:pt>
                <c:pt idx="894">
                  <c:v>747</c:v>
                </c:pt>
                <c:pt idx="895">
                  <c:v>747.5</c:v>
                </c:pt>
                <c:pt idx="896">
                  <c:v>748</c:v>
                </c:pt>
                <c:pt idx="897">
                  <c:v>748.5</c:v>
                </c:pt>
                <c:pt idx="898">
                  <c:v>749</c:v>
                </c:pt>
                <c:pt idx="899">
                  <c:v>749.5</c:v>
                </c:pt>
                <c:pt idx="900">
                  <c:v>750</c:v>
                </c:pt>
              </c:numCache>
            </c:numRef>
          </c:cat>
          <c:val>
            <c:numRef>
              <c:f>'T2 (5)'!$B$113:$B$1013</c:f>
              <c:numCache>
                <c:formatCode>0.00E+00</c:formatCode>
                <c:ptCount val="901"/>
                <c:pt idx="0">
                  <c:v>0</c:v>
                </c:pt>
                <c:pt idx="1">
                  <c:v>0</c:v>
                </c:pt>
                <c:pt idx="2">
                  <c:v>0</c:v>
                </c:pt>
                <c:pt idx="3">
                  <c:v>0</c:v>
                </c:pt>
                <c:pt idx="4">
                  <c:v>0</c:v>
                </c:pt>
                <c:pt idx="5">
                  <c:v>0</c:v>
                </c:pt>
                <c:pt idx="6">
                  <c:v>0</c:v>
                </c:pt>
                <c:pt idx="7">
                  <c:v>0</c:v>
                </c:pt>
                <c:pt idx="8">
                  <c:v>0</c:v>
                </c:pt>
                <c:pt idx="9">
                  <c:v>0</c:v>
                </c:pt>
                <c:pt idx="10">
                  <c:v>0</c:v>
                </c:pt>
                <c:pt idx="11">
                  <c:v>0</c:v>
                </c:pt>
                <c:pt idx="12">
                  <c:v>0</c:v>
                </c:pt>
                <c:pt idx="13">
                  <c:v>0</c:v>
                </c:pt>
                <c:pt idx="14">
                  <c:v>0</c:v>
                </c:pt>
                <c:pt idx="15">
                  <c:v>0</c:v>
                </c:pt>
                <c:pt idx="16">
                  <c:v>0</c:v>
                </c:pt>
                <c:pt idx="17">
                  <c:v>0</c:v>
                </c:pt>
                <c:pt idx="18">
                  <c:v>0</c:v>
                </c:pt>
                <c:pt idx="19">
                  <c:v>0</c:v>
                </c:pt>
                <c:pt idx="20">
                  <c:v>0</c:v>
                </c:pt>
                <c:pt idx="21">
                  <c:v>0</c:v>
                </c:pt>
                <c:pt idx="22">
                  <c:v>0</c:v>
                </c:pt>
                <c:pt idx="23">
                  <c:v>0</c:v>
                </c:pt>
                <c:pt idx="24">
                  <c:v>0</c:v>
                </c:pt>
                <c:pt idx="25">
                  <c:v>0</c:v>
                </c:pt>
                <c:pt idx="26">
                  <c:v>0</c:v>
                </c:pt>
                <c:pt idx="27">
                  <c:v>0</c:v>
                </c:pt>
                <c:pt idx="28">
                  <c:v>0</c:v>
                </c:pt>
                <c:pt idx="29">
                  <c:v>0</c:v>
                </c:pt>
                <c:pt idx="30">
                  <c:v>0</c:v>
                </c:pt>
                <c:pt idx="31">
                  <c:v>0</c:v>
                </c:pt>
                <c:pt idx="32">
                  <c:v>0</c:v>
                </c:pt>
                <c:pt idx="33">
                  <c:v>0</c:v>
                </c:pt>
                <c:pt idx="34">
                  <c:v>0</c:v>
                </c:pt>
                <c:pt idx="35">
                  <c:v>0</c:v>
                </c:pt>
                <c:pt idx="36">
                  <c:v>0</c:v>
                </c:pt>
                <c:pt idx="37">
                  <c:v>0</c:v>
                </c:pt>
                <c:pt idx="38">
                  <c:v>0</c:v>
                </c:pt>
                <c:pt idx="39">
                  <c:v>0</c:v>
                </c:pt>
                <c:pt idx="40">
                  <c:v>0</c:v>
                </c:pt>
                <c:pt idx="41">
                  <c:v>0</c:v>
                </c:pt>
                <c:pt idx="42">
                  <c:v>0</c:v>
                </c:pt>
                <c:pt idx="43">
                  <c:v>0</c:v>
                </c:pt>
                <c:pt idx="44">
                  <c:v>0</c:v>
                </c:pt>
                <c:pt idx="45">
                  <c:v>0</c:v>
                </c:pt>
                <c:pt idx="46">
                  <c:v>0</c:v>
                </c:pt>
                <c:pt idx="47">
                  <c:v>0</c:v>
                </c:pt>
                <c:pt idx="48">
                  <c:v>0</c:v>
                </c:pt>
                <c:pt idx="49">
                  <c:v>0</c:v>
                </c:pt>
                <c:pt idx="50">
                  <c:v>0</c:v>
                </c:pt>
                <c:pt idx="51">
                  <c:v>0</c:v>
                </c:pt>
                <c:pt idx="52">
                  <c:v>0</c:v>
                </c:pt>
                <c:pt idx="53">
                  <c:v>0</c:v>
                </c:pt>
                <c:pt idx="54">
                  <c:v>0</c:v>
                </c:pt>
                <c:pt idx="55">
                  <c:v>0</c:v>
                </c:pt>
                <c:pt idx="56">
                  <c:v>0</c:v>
                </c:pt>
                <c:pt idx="57">
                  <c:v>0</c:v>
                </c:pt>
                <c:pt idx="58">
                  <c:v>0</c:v>
                </c:pt>
                <c:pt idx="59">
                  <c:v>0</c:v>
                </c:pt>
                <c:pt idx="60">
                  <c:v>0</c:v>
                </c:pt>
                <c:pt idx="61">
                  <c:v>0</c:v>
                </c:pt>
                <c:pt idx="62">
                  <c:v>0</c:v>
                </c:pt>
                <c:pt idx="63">
                  <c:v>0</c:v>
                </c:pt>
                <c:pt idx="64">
                  <c:v>0</c:v>
                </c:pt>
                <c:pt idx="65">
                  <c:v>0</c:v>
                </c:pt>
                <c:pt idx="66">
                  <c:v>0</c:v>
                </c:pt>
                <c:pt idx="67">
                  <c:v>0</c:v>
                </c:pt>
                <c:pt idx="68">
                  <c:v>0</c:v>
                </c:pt>
                <c:pt idx="69">
                  <c:v>0</c:v>
                </c:pt>
                <c:pt idx="70">
                  <c:v>0</c:v>
                </c:pt>
                <c:pt idx="71">
                  <c:v>0</c:v>
                </c:pt>
                <c:pt idx="72">
                  <c:v>0</c:v>
                </c:pt>
                <c:pt idx="73">
                  <c:v>0</c:v>
                </c:pt>
                <c:pt idx="74">
                  <c:v>0</c:v>
                </c:pt>
                <c:pt idx="75">
                  <c:v>0</c:v>
                </c:pt>
                <c:pt idx="76">
                  <c:v>0</c:v>
                </c:pt>
                <c:pt idx="77">
                  <c:v>0</c:v>
                </c:pt>
                <c:pt idx="78">
                  <c:v>0</c:v>
                </c:pt>
                <c:pt idx="79">
                  <c:v>0</c:v>
                </c:pt>
                <c:pt idx="80">
                  <c:v>0</c:v>
                </c:pt>
                <c:pt idx="81">
                  <c:v>0</c:v>
                </c:pt>
                <c:pt idx="82">
                  <c:v>0</c:v>
                </c:pt>
                <c:pt idx="83">
                  <c:v>0</c:v>
                </c:pt>
                <c:pt idx="84">
                  <c:v>0</c:v>
                </c:pt>
                <c:pt idx="85">
                  <c:v>0</c:v>
                </c:pt>
                <c:pt idx="86">
                  <c:v>0</c:v>
                </c:pt>
                <c:pt idx="87">
                  <c:v>0</c:v>
                </c:pt>
                <c:pt idx="88">
                  <c:v>0</c:v>
                </c:pt>
                <c:pt idx="89">
                  <c:v>0</c:v>
                </c:pt>
                <c:pt idx="90">
                  <c:v>0</c:v>
                </c:pt>
                <c:pt idx="91">
                  <c:v>0</c:v>
                </c:pt>
                <c:pt idx="92">
                  <c:v>0</c:v>
                </c:pt>
                <c:pt idx="93">
                  <c:v>0</c:v>
                </c:pt>
                <c:pt idx="94">
                  <c:v>0</c:v>
                </c:pt>
                <c:pt idx="95">
                  <c:v>0</c:v>
                </c:pt>
                <c:pt idx="96">
                  <c:v>0</c:v>
                </c:pt>
                <c:pt idx="97">
                  <c:v>0</c:v>
                </c:pt>
                <c:pt idx="98">
                  <c:v>0</c:v>
                </c:pt>
                <c:pt idx="99">
                  <c:v>0</c:v>
                </c:pt>
                <c:pt idx="100">
                  <c:v>0</c:v>
                </c:pt>
                <c:pt idx="101">
                  <c:v>0</c:v>
                </c:pt>
                <c:pt idx="102">
                  <c:v>0</c:v>
                </c:pt>
                <c:pt idx="103">
                  <c:v>0</c:v>
                </c:pt>
                <c:pt idx="104">
                  <c:v>0</c:v>
                </c:pt>
                <c:pt idx="105">
                  <c:v>0</c:v>
                </c:pt>
                <c:pt idx="106">
                  <c:v>0</c:v>
                </c:pt>
                <c:pt idx="107">
                  <c:v>0</c:v>
                </c:pt>
                <c:pt idx="108">
                  <c:v>0</c:v>
                </c:pt>
                <c:pt idx="109">
                  <c:v>0</c:v>
                </c:pt>
                <c:pt idx="110">
                  <c:v>0</c:v>
                </c:pt>
                <c:pt idx="111">
                  <c:v>0</c:v>
                </c:pt>
                <c:pt idx="112">
                  <c:v>0</c:v>
                </c:pt>
                <c:pt idx="113">
                  <c:v>0</c:v>
                </c:pt>
                <c:pt idx="114">
                  <c:v>0</c:v>
                </c:pt>
                <c:pt idx="115">
                  <c:v>0</c:v>
                </c:pt>
                <c:pt idx="116">
                  <c:v>0</c:v>
                </c:pt>
                <c:pt idx="117">
                  <c:v>0</c:v>
                </c:pt>
                <c:pt idx="118">
                  <c:v>0</c:v>
                </c:pt>
                <c:pt idx="119">
                  <c:v>0</c:v>
                </c:pt>
                <c:pt idx="120">
                  <c:v>0</c:v>
                </c:pt>
                <c:pt idx="121">
                  <c:v>0</c:v>
                </c:pt>
                <c:pt idx="122">
                  <c:v>0</c:v>
                </c:pt>
                <c:pt idx="123">
                  <c:v>0</c:v>
                </c:pt>
                <c:pt idx="124">
                  <c:v>0</c:v>
                </c:pt>
                <c:pt idx="125">
                  <c:v>0</c:v>
                </c:pt>
                <c:pt idx="126">
                  <c:v>0</c:v>
                </c:pt>
                <c:pt idx="127">
                  <c:v>0</c:v>
                </c:pt>
                <c:pt idx="128">
                  <c:v>0</c:v>
                </c:pt>
                <c:pt idx="129">
                  <c:v>0</c:v>
                </c:pt>
                <c:pt idx="130">
                  <c:v>0</c:v>
                </c:pt>
                <c:pt idx="131">
                  <c:v>0</c:v>
                </c:pt>
                <c:pt idx="132">
                  <c:v>0</c:v>
                </c:pt>
                <c:pt idx="133">
                  <c:v>0</c:v>
                </c:pt>
                <c:pt idx="134">
                  <c:v>0</c:v>
                </c:pt>
                <c:pt idx="135">
                  <c:v>0</c:v>
                </c:pt>
                <c:pt idx="136">
                  <c:v>0</c:v>
                </c:pt>
                <c:pt idx="137">
                  <c:v>0</c:v>
                </c:pt>
                <c:pt idx="138">
                  <c:v>0</c:v>
                </c:pt>
                <c:pt idx="139">
                  <c:v>0</c:v>
                </c:pt>
                <c:pt idx="140">
                  <c:v>0</c:v>
                </c:pt>
                <c:pt idx="141">
                  <c:v>0</c:v>
                </c:pt>
                <c:pt idx="142">
                  <c:v>0</c:v>
                </c:pt>
                <c:pt idx="143">
                  <c:v>0</c:v>
                </c:pt>
                <c:pt idx="144">
                  <c:v>0</c:v>
                </c:pt>
                <c:pt idx="145">
                  <c:v>0</c:v>
                </c:pt>
                <c:pt idx="146">
                  <c:v>0</c:v>
                </c:pt>
                <c:pt idx="147">
                  <c:v>0</c:v>
                </c:pt>
                <c:pt idx="148">
                  <c:v>0</c:v>
                </c:pt>
                <c:pt idx="149">
                  <c:v>0</c:v>
                </c:pt>
                <c:pt idx="150">
                  <c:v>0</c:v>
                </c:pt>
                <c:pt idx="151">
                  <c:v>0</c:v>
                </c:pt>
                <c:pt idx="152">
                  <c:v>0</c:v>
                </c:pt>
                <c:pt idx="153">
                  <c:v>0</c:v>
                </c:pt>
                <c:pt idx="154">
                  <c:v>0</c:v>
                </c:pt>
                <c:pt idx="155">
                  <c:v>0</c:v>
                </c:pt>
                <c:pt idx="156">
                  <c:v>0</c:v>
                </c:pt>
                <c:pt idx="157">
                  <c:v>0</c:v>
                </c:pt>
                <c:pt idx="158">
                  <c:v>0</c:v>
                </c:pt>
                <c:pt idx="159">
                  <c:v>0</c:v>
                </c:pt>
                <c:pt idx="160">
                  <c:v>0</c:v>
                </c:pt>
                <c:pt idx="161">
                  <c:v>0</c:v>
                </c:pt>
                <c:pt idx="162">
                  <c:v>0</c:v>
                </c:pt>
                <c:pt idx="163">
                  <c:v>0</c:v>
                </c:pt>
                <c:pt idx="164">
                  <c:v>0</c:v>
                </c:pt>
                <c:pt idx="165">
                  <c:v>0</c:v>
                </c:pt>
                <c:pt idx="166">
                  <c:v>0</c:v>
                </c:pt>
                <c:pt idx="167">
                  <c:v>0</c:v>
                </c:pt>
                <c:pt idx="168">
                  <c:v>0</c:v>
                </c:pt>
                <c:pt idx="169">
                  <c:v>0</c:v>
                </c:pt>
                <c:pt idx="170">
                  <c:v>0</c:v>
                </c:pt>
                <c:pt idx="171">
                  <c:v>0</c:v>
                </c:pt>
                <c:pt idx="172">
                  <c:v>0</c:v>
                </c:pt>
                <c:pt idx="173">
                  <c:v>0</c:v>
                </c:pt>
                <c:pt idx="174">
                  <c:v>0</c:v>
                </c:pt>
                <c:pt idx="175">
                  <c:v>0</c:v>
                </c:pt>
                <c:pt idx="176">
                  <c:v>0</c:v>
                </c:pt>
                <c:pt idx="177">
                  <c:v>0</c:v>
                </c:pt>
                <c:pt idx="178">
                  <c:v>0</c:v>
                </c:pt>
                <c:pt idx="179">
                  <c:v>0</c:v>
                </c:pt>
                <c:pt idx="180">
                  <c:v>0</c:v>
                </c:pt>
                <c:pt idx="181">
                  <c:v>0</c:v>
                </c:pt>
                <c:pt idx="182">
                  <c:v>0</c:v>
                </c:pt>
                <c:pt idx="183">
                  <c:v>0</c:v>
                </c:pt>
                <c:pt idx="184">
                  <c:v>0</c:v>
                </c:pt>
                <c:pt idx="185">
                  <c:v>0</c:v>
                </c:pt>
                <c:pt idx="186">
                  <c:v>0</c:v>
                </c:pt>
                <c:pt idx="187">
                  <c:v>0</c:v>
                </c:pt>
                <c:pt idx="188">
                  <c:v>0</c:v>
                </c:pt>
                <c:pt idx="189">
                  <c:v>0</c:v>
                </c:pt>
                <c:pt idx="190">
                  <c:v>0</c:v>
                </c:pt>
                <c:pt idx="191">
                  <c:v>0</c:v>
                </c:pt>
                <c:pt idx="192">
                  <c:v>0</c:v>
                </c:pt>
                <c:pt idx="193">
                  <c:v>0</c:v>
                </c:pt>
                <c:pt idx="194">
                  <c:v>0</c:v>
                </c:pt>
                <c:pt idx="195">
                  <c:v>0</c:v>
                </c:pt>
                <c:pt idx="196">
                  <c:v>0</c:v>
                </c:pt>
                <c:pt idx="197">
                  <c:v>0</c:v>
                </c:pt>
                <c:pt idx="198">
                  <c:v>0</c:v>
                </c:pt>
                <c:pt idx="199">
                  <c:v>0</c:v>
                </c:pt>
                <c:pt idx="200">
                  <c:v>0</c:v>
                </c:pt>
                <c:pt idx="201">
                  <c:v>0</c:v>
                </c:pt>
                <c:pt idx="202">
                  <c:v>0</c:v>
                </c:pt>
                <c:pt idx="203">
                  <c:v>0</c:v>
                </c:pt>
                <c:pt idx="204">
                  <c:v>0</c:v>
                </c:pt>
                <c:pt idx="205">
                  <c:v>0</c:v>
                </c:pt>
                <c:pt idx="206">
                  <c:v>0</c:v>
                </c:pt>
                <c:pt idx="207">
                  <c:v>0</c:v>
                </c:pt>
                <c:pt idx="208">
                  <c:v>0</c:v>
                </c:pt>
                <c:pt idx="209">
                  <c:v>0</c:v>
                </c:pt>
                <c:pt idx="210">
                  <c:v>0</c:v>
                </c:pt>
                <c:pt idx="211">
                  <c:v>0</c:v>
                </c:pt>
                <c:pt idx="212">
                  <c:v>3.2440199999999999E-6</c:v>
                </c:pt>
                <c:pt idx="213">
                  <c:v>1.6983200000000002E-4</c:v>
                </c:pt>
                <c:pt idx="214">
                  <c:v>1.0665590000000001E-4</c:v>
                </c:pt>
                <c:pt idx="215">
                  <c:v>4.1230799999999998E-5</c:v>
                </c:pt>
                <c:pt idx="216">
                  <c:v>0</c:v>
                </c:pt>
                <c:pt idx="217">
                  <c:v>0</c:v>
                </c:pt>
                <c:pt idx="218">
                  <c:v>3.0589000000000001E-5</c:v>
                </c:pt>
                <c:pt idx="219">
                  <c:v>7.4787699999999995E-5</c:v>
                </c:pt>
                <c:pt idx="220">
                  <c:v>1.1560120000000001E-4</c:v>
                </c:pt>
                <c:pt idx="221">
                  <c:v>3.4148400000000003E-4</c:v>
                </c:pt>
                <c:pt idx="222">
                  <c:v>6.2454600000000002E-4</c:v>
                </c:pt>
                <c:pt idx="223">
                  <c:v>9.1201500000000007E-4</c:v>
                </c:pt>
                <c:pt idx="224">
                  <c:v>1.1285819999999999E-3</c:v>
                </c:pt>
                <c:pt idx="225">
                  <c:v>1.3256099999999999E-3</c:v>
                </c:pt>
                <c:pt idx="226">
                  <c:v>1.5165800000000002E-3</c:v>
                </c:pt>
                <c:pt idx="227">
                  <c:v>1.7340700000000001E-3</c:v>
                </c:pt>
                <c:pt idx="228">
                  <c:v>1.82351E-3</c:v>
                </c:pt>
                <c:pt idx="229">
                  <c:v>1.9307600000000001E-3</c:v>
                </c:pt>
                <c:pt idx="230">
                  <c:v>2.1871199999999999E-3</c:v>
                </c:pt>
                <c:pt idx="231">
                  <c:v>2.6253500000000003E-3</c:v>
                </c:pt>
                <c:pt idx="232">
                  <c:v>3.1835700000000001E-3</c:v>
                </c:pt>
                <c:pt idx="233">
                  <c:v>3.679E-3</c:v>
                </c:pt>
                <c:pt idx="234">
                  <c:v>4.0379300000000003E-3</c:v>
                </c:pt>
                <c:pt idx="235">
                  <c:v>4.41012E-3</c:v>
                </c:pt>
                <c:pt idx="236">
                  <c:v>4.7478600000000004E-3</c:v>
                </c:pt>
                <c:pt idx="237">
                  <c:v>5.2289900000000011E-3</c:v>
                </c:pt>
                <c:pt idx="238">
                  <c:v>5.8120400000000001E-3</c:v>
                </c:pt>
                <c:pt idx="239">
                  <c:v>6.45905E-3</c:v>
                </c:pt>
                <c:pt idx="240">
                  <c:v>7.19121E-3</c:v>
                </c:pt>
                <c:pt idx="241">
                  <c:v>7.9951300000000013E-3</c:v>
                </c:pt>
                <c:pt idx="242">
                  <c:v>8.9018799999999992E-3</c:v>
                </c:pt>
                <c:pt idx="243">
                  <c:v>9.8961199999999996E-3</c:v>
                </c:pt>
                <c:pt idx="244">
                  <c:v>1.1035440000000001E-2</c:v>
                </c:pt>
                <c:pt idx="245">
                  <c:v>1.2085839999999999E-2</c:v>
                </c:pt>
                <c:pt idx="246">
                  <c:v>1.3045500000000002E-2</c:v>
                </c:pt>
                <c:pt idx="247">
                  <c:v>1.4123200000000001E-2</c:v>
                </c:pt>
                <c:pt idx="248">
                  <c:v>1.52789E-2</c:v>
                </c:pt>
                <c:pt idx="249">
                  <c:v>1.6574999999999999E-2</c:v>
                </c:pt>
                <c:pt idx="250">
                  <c:v>1.8032300000000001E-2</c:v>
                </c:pt>
                <c:pt idx="251">
                  <c:v>1.9544200000000001E-2</c:v>
                </c:pt>
                <c:pt idx="252">
                  <c:v>2.135184402E-2</c:v>
                </c:pt>
                <c:pt idx="253">
                  <c:v>2.3491832000000004E-2</c:v>
                </c:pt>
                <c:pt idx="254">
                  <c:v>2.5494355900000001E-2</c:v>
                </c:pt>
                <c:pt idx="255">
                  <c:v>2.7623330800000002E-2</c:v>
                </c:pt>
                <c:pt idx="256">
                  <c:v>2.9868800000000001E-2</c:v>
                </c:pt>
                <c:pt idx="257">
                  <c:v>3.2102200000000004E-2</c:v>
                </c:pt>
                <c:pt idx="258">
                  <c:v>3.4672989000000001E-2</c:v>
                </c:pt>
                <c:pt idx="259">
                  <c:v>3.7275587700000001E-2</c:v>
                </c:pt>
                <c:pt idx="260">
                  <c:v>4.0045101200000002E-2</c:v>
                </c:pt>
                <c:pt idx="261">
                  <c:v>4.3245384000000005E-2</c:v>
                </c:pt>
                <c:pt idx="262">
                  <c:v>4.6812245999999995E-2</c:v>
                </c:pt>
                <c:pt idx="263">
                  <c:v>5.0783915000000006E-2</c:v>
                </c:pt>
                <c:pt idx="264">
                  <c:v>5.4819882E-2</c:v>
                </c:pt>
                <c:pt idx="265">
                  <c:v>5.8924709999999998E-2</c:v>
                </c:pt>
                <c:pt idx="266">
                  <c:v>6.3211980000000001E-2</c:v>
                </c:pt>
                <c:pt idx="267">
                  <c:v>6.7567370000000002E-2</c:v>
                </c:pt>
                <c:pt idx="268">
                  <c:v>7.2058609999999995E-2</c:v>
                </c:pt>
                <c:pt idx="269">
                  <c:v>7.6795160000000001E-2</c:v>
                </c:pt>
                <c:pt idx="270">
                  <c:v>8.1961620000000013E-2</c:v>
                </c:pt>
                <c:pt idx="271">
                  <c:v>8.7400950000000005E-2</c:v>
                </c:pt>
                <c:pt idx="272">
                  <c:v>9.314096999999999E-2</c:v>
                </c:pt>
                <c:pt idx="273">
                  <c:v>9.882210000000001E-2</c:v>
                </c:pt>
                <c:pt idx="274">
                  <c:v>0.10455913</c:v>
                </c:pt>
                <c:pt idx="275">
                  <c:v>0.11071112</c:v>
                </c:pt>
                <c:pt idx="276">
                  <c:v>0.11706136</c:v>
                </c:pt>
                <c:pt idx="277">
                  <c:v>0.12389169</c:v>
                </c:pt>
                <c:pt idx="278">
                  <c:v>0.13059514</c:v>
                </c:pt>
                <c:pt idx="279">
                  <c:v>0.13749905000000001</c:v>
                </c:pt>
                <c:pt idx="280">
                  <c:v>0.14454921000000001</c:v>
                </c:pt>
                <c:pt idx="281">
                  <c:v>0.15186612999999999</c:v>
                </c:pt>
                <c:pt idx="282">
                  <c:v>0.15914288000000001</c:v>
                </c:pt>
                <c:pt idx="283">
                  <c:v>0.16632512000000002</c:v>
                </c:pt>
                <c:pt idx="284">
                  <c:v>0.17391244000000003</c:v>
                </c:pt>
                <c:pt idx="285">
                  <c:v>0.18163184000000002</c:v>
                </c:pt>
                <c:pt idx="286">
                  <c:v>0.18880550000000001</c:v>
                </c:pt>
                <c:pt idx="287">
                  <c:v>0.19574620000000001</c:v>
                </c:pt>
                <c:pt idx="288">
                  <c:v>0.20233590000000001</c:v>
                </c:pt>
                <c:pt idx="289">
                  <c:v>0.20876700000000001</c:v>
                </c:pt>
                <c:pt idx="290">
                  <c:v>0.21464430000000004</c:v>
                </c:pt>
                <c:pt idx="291">
                  <c:v>0.22058920000000004</c:v>
                </c:pt>
                <c:pt idx="292">
                  <c:v>0.22648859999999998</c:v>
                </c:pt>
                <c:pt idx="293">
                  <c:v>0.23189400000000002</c:v>
                </c:pt>
                <c:pt idx="294">
                  <c:v>0.23671570000000003</c:v>
                </c:pt>
                <c:pt idx="295">
                  <c:v>0.2411721</c:v>
                </c:pt>
                <c:pt idx="296">
                  <c:v>0.24487580000000003</c:v>
                </c:pt>
                <c:pt idx="297">
                  <c:v>0.24817520000000001</c:v>
                </c:pt>
                <c:pt idx="298">
                  <c:v>0.2516774</c:v>
                </c:pt>
                <c:pt idx="299">
                  <c:v>0.2541448</c:v>
                </c:pt>
                <c:pt idx="300">
                  <c:v>0.2556775</c:v>
                </c:pt>
                <c:pt idx="301">
                  <c:v>0.2568839</c:v>
                </c:pt>
                <c:pt idx="302">
                  <c:v>0.25794470000000003</c:v>
                </c:pt>
                <c:pt idx="303">
                  <c:v>0.25856090000000004</c:v>
                </c:pt>
                <c:pt idx="304">
                  <c:v>0.25846729999999996</c:v>
                </c:pt>
                <c:pt idx="305">
                  <c:v>0.25811109999999998</c:v>
                </c:pt>
                <c:pt idx="306">
                  <c:v>0.25774839999999999</c:v>
                </c:pt>
                <c:pt idx="307">
                  <c:v>0.2566213</c:v>
                </c:pt>
                <c:pt idx="308">
                  <c:v>0.25529010000000002</c:v>
                </c:pt>
                <c:pt idx="309">
                  <c:v>0.25354939999999998</c:v>
                </c:pt>
                <c:pt idx="310">
                  <c:v>0.25180350000000001</c:v>
                </c:pt>
                <c:pt idx="311">
                  <c:v>0.24986259999999999</c:v>
                </c:pt>
                <c:pt idx="312">
                  <c:v>0.2483234</c:v>
                </c:pt>
                <c:pt idx="313">
                  <c:v>0.24717810000000001</c:v>
                </c:pt>
                <c:pt idx="314">
                  <c:v>0.2458352</c:v>
                </c:pt>
                <c:pt idx="315">
                  <c:v>0.24462099999999998</c:v>
                </c:pt>
                <c:pt idx="316">
                  <c:v>0.2443285</c:v>
                </c:pt>
                <c:pt idx="317">
                  <c:v>0.24465740000000002</c:v>
                </c:pt>
                <c:pt idx="318">
                  <c:v>0.24495510000000001</c:v>
                </c:pt>
                <c:pt idx="319">
                  <c:v>0.24531260000000002</c:v>
                </c:pt>
                <c:pt idx="320">
                  <c:v>0.24600940000000002</c:v>
                </c:pt>
                <c:pt idx="321">
                  <c:v>0.2473263</c:v>
                </c:pt>
                <c:pt idx="322">
                  <c:v>0.24900460000000002</c:v>
                </c:pt>
                <c:pt idx="323">
                  <c:v>0.25061660000000002</c:v>
                </c:pt>
                <c:pt idx="324">
                  <c:v>0.25251330000000005</c:v>
                </c:pt>
                <c:pt idx="325">
                  <c:v>0.25513410000000003</c:v>
                </c:pt>
                <c:pt idx="326">
                  <c:v>0.25782900000000003</c:v>
                </c:pt>
                <c:pt idx="327">
                  <c:v>0.26015860000000002</c:v>
                </c:pt>
                <c:pt idx="328">
                  <c:v>0.26203579999999999</c:v>
                </c:pt>
                <c:pt idx="329">
                  <c:v>0.2636829</c:v>
                </c:pt>
                <c:pt idx="330">
                  <c:v>0.26482040000000007</c:v>
                </c:pt>
                <c:pt idx="331">
                  <c:v>0.26654160000000005</c:v>
                </c:pt>
                <c:pt idx="332">
                  <c:v>0.2681653</c:v>
                </c:pt>
                <c:pt idx="333">
                  <c:v>0.26926250000000002</c:v>
                </c:pt>
                <c:pt idx="334">
                  <c:v>0.26931450000000001</c:v>
                </c:pt>
                <c:pt idx="335">
                  <c:v>0.26874120000000001</c:v>
                </c:pt>
                <c:pt idx="336">
                  <c:v>0.26716820000000002</c:v>
                </c:pt>
                <c:pt idx="337">
                  <c:v>0.26527539999999999</c:v>
                </c:pt>
                <c:pt idx="338">
                  <c:v>0.26346189999999997</c:v>
                </c:pt>
                <c:pt idx="339">
                  <c:v>0.26089309999999999</c:v>
                </c:pt>
                <c:pt idx="340">
                  <c:v>0.25734669999999998</c:v>
                </c:pt>
                <c:pt idx="341">
                  <c:v>0.25355329999999998</c:v>
                </c:pt>
                <c:pt idx="342">
                  <c:v>0.24934520000000004</c:v>
                </c:pt>
                <c:pt idx="343">
                  <c:v>0.24434800000000001</c:v>
                </c:pt>
                <c:pt idx="344">
                  <c:v>0.2384395</c:v>
                </c:pt>
                <c:pt idx="345">
                  <c:v>0.23227490000000001</c:v>
                </c:pt>
                <c:pt idx="346">
                  <c:v>0.2259504</c:v>
                </c:pt>
                <c:pt idx="347">
                  <c:v>0.21899410000000002</c:v>
                </c:pt>
                <c:pt idx="348">
                  <c:v>0.21179080000000003</c:v>
                </c:pt>
                <c:pt idx="349">
                  <c:v>0.20416499999999999</c:v>
                </c:pt>
                <c:pt idx="350">
                  <c:v>0.19634160000000001</c:v>
                </c:pt>
                <c:pt idx="351">
                  <c:v>0.18814769999999997</c:v>
                </c:pt>
                <c:pt idx="352">
                  <c:v>0.1800513</c:v>
                </c:pt>
                <c:pt idx="353">
                  <c:v>0.17233709999999999</c:v>
                </c:pt>
                <c:pt idx="354">
                  <c:v>0.1644071</c:v>
                </c:pt>
                <c:pt idx="355">
                  <c:v>0.15633930000000001</c:v>
                </c:pt>
                <c:pt idx="356">
                  <c:v>0.1490099</c:v>
                </c:pt>
                <c:pt idx="357">
                  <c:v>0.14201460000000002</c:v>
                </c:pt>
                <c:pt idx="358">
                  <c:v>0.1353664</c:v>
                </c:pt>
                <c:pt idx="359">
                  <c:v>0.12882350000000001</c:v>
                </c:pt>
                <c:pt idx="360">
                  <c:v>0.12265500000000001</c:v>
                </c:pt>
                <c:pt idx="361">
                  <c:v>0.1168401</c:v>
                </c:pt>
                <c:pt idx="362">
                  <c:v>0.11146174</c:v>
                </c:pt>
                <c:pt idx="363">
                  <c:v>0.10623145000000001</c:v>
                </c:pt>
                <c:pt idx="364">
                  <c:v>0.10104952</c:v>
                </c:pt>
                <c:pt idx="365">
                  <c:v>9.6446610000000016E-2</c:v>
                </c:pt>
                <c:pt idx="366">
                  <c:v>9.2187030000000017E-2</c:v>
                </c:pt>
                <c:pt idx="367">
                  <c:v>8.8008569999999994E-2</c:v>
                </c:pt>
                <c:pt idx="368">
                  <c:v>8.3764199999999997E-2</c:v>
                </c:pt>
                <c:pt idx="369">
                  <c:v>7.9683759999999992E-2</c:v>
                </c:pt>
                <c:pt idx="370">
                  <c:v>7.5974340000000001E-2</c:v>
                </c:pt>
                <c:pt idx="371">
                  <c:v>7.2898149999999995E-2</c:v>
                </c:pt>
                <c:pt idx="372">
                  <c:v>7.0265650000000013E-2</c:v>
                </c:pt>
                <c:pt idx="373">
                  <c:v>6.7700490000000002E-2</c:v>
                </c:pt>
                <c:pt idx="374">
                  <c:v>6.4644450000000006E-2</c:v>
                </c:pt>
                <c:pt idx="375">
                  <c:v>6.1358440000000007E-2</c:v>
                </c:pt>
                <c:pt idx="376">
                  <c:v>5.8006650000000007E-2</c:v>
                </c:pt>
                <c:pt idx="377">
                  <c:v>5.4812159999999999E-2</c:v>
                </c:pt>
                <c:pt idx="378">
                  <c:v>5.1793430000000008E-2</c:v>
                </c:pt>
                <c:pt idx="379">
                  <c:v>4.909086E-2</c:v>
                </c:pt>
                <c:pt idx="380">
                  <c:v>4.6470060000000001E-2</c:v>
                </c:pt>
                <c:pt idx="381">
                  <c:v>4.4248490000000001E-2</c:v>
                </c:pt>
                <c:pt idx="382">
                  <c:v>4.2057730000000002E-2</c:v>
                </c:pt>
                <c:pt idx="383">
                  <c:v>3.9870350000000006E-2</c:v>
                </c:pt>
                <c:pt idx="384">
                  <c:v>3.7724830000000008E-2</c:v>
                </c:pt>
                <c:pt idx="385">
                  <c:v>3.5617270000000006E-2</c:v>
                </c:pt>
                <c:pt idx="386">
                  <c:v>3.351842E-2</c:v>
                </c:pt>
                <c:pt idx="387">
                  <c:v>3.1647590000000003E-2</c:v>
                </c:pt>
                <c:pt idx="388">
                  <c:v>2.9969550000000001E-2</c:v>
                </c:pt>
                <c:pt idx="389">
                  <c:v>2.860182E-2</c:v>
                </c:pt>
                <c:pt idx="390">
                  <c:v>2.725255E-2</c:v>
                </c:pt>
                <c:pt idx="391">
                  <c:v>2.5929670000000002E-2</c:v>
                </c:pt>
                <c:pt idx="392">
                  <c:v>2.4554270000000003E-2</c:v>
                </c:pt>
                <c:pt idx="393">
                  <c:v>2.2302099999999998E-2</c:v>
                </c:pt>
                <c:pt idx="394">
                  <c:v>2.0593100000000003E-2</c:v>
                </c:pt>
                <c:pt idx="395">
                  <c:v>1.9019300000000003E-2</c:v>
                </c:pt>
                <c:pt idx="396">
                  <c:v>1.7494900000000001E-2</c:v>
                </c:pt>
                <c:pt idx="397">
                  <c:v>1.60199E-2</c:v>
                </c:pt>
                <c:pt idx="398">
                  <c:v>1.51944E-2</c:v>
                </c:pt>
                <c:pt idx="399">
                  <c:v>1.45509E-2</c:v>
                </c:pt>
                <c:pt idx="400">
                  <c:v>1.4003600000000001E-2</c:v>
                </c:pt>
                <c:pt idx="401">
                  <c:v>1.3384800000000001E-2</c:v>
                </c:pt>
                <c:pt idx="402">
                  <c:v>1.269814E-2</c:v>
                </c:pt>
                <c:pt idx="403">
                  <c:v>1.204385E-2</c:v>
                </c:pt>
                <c:pt idx="404">
                  <c:v>1.141322E-2</c:v>
                </c:pt>
                <c:pt idx="405">
                  <c:v>1.085851E-2</c:v>
                </c:pt>
                <c:pt idx="406">
                  <c:v>1.011803E-2</c:v>
                </c:pt>
                <c:pt idx="407">
                  <c:v>9.4729700000000007E-3</c:v>
                </c:pt>
                <c:pt idx="408">
                  <c:v>8.7854000000000005E-3</c:v>
                </c:pt>
                <c:pt idx="409">
                  <c:v>8.1928599999999997E-3</c:v>
                </c:pt>
                <c:pt idx="410">
                  <c:v>7.7659399999999998E-3</c:v>
                </c:pt>
                <c:pt idx="411">
                  <c:v>7.4015499999999998E-3</c:v>
                </c:pt>
                <c:pt idx="412">
                  <c:v>7.2403499999999996E-3</c:v>
                </c:pt>
                <c:pt idx="413">
                  <c:v>7.0099900000000007E-3</c:v>
                </c:pt>
                <c:pt idx="414">
                  <c:v>6.6579500000000002E-3</c:v>
                </c:pt>
                <c:pt idx="415">
                  <c:v>6.2072400000000002E-3</c:v>
                </c:pt>
                <c:pt idx="416">
                  <c:v>5.8454499999999994E-3</c:v>
                </c:pt>
                <c:pt idx="417">
                  <c:v>5.6097600000000001E-3</c:v>
                </c:pt>
                <c:pt idx="418">
                  <c:v>5.3665300000000004E-3</c:v>
                </c:pt>
                <c:pt idx="419">
                  <c:v>5.1417600000000004E-3</c:v>
                </c:pt>
                <c:pt idx="420">
                  <c:v>4.8713599999999999E-3</c:v>
                </c:pt>
                <c:pt idx="421">
                  <c:v>4.6751900000000001E-3</c:v>
                </c:pt>
                <c:pt idx="422">
                  <c:v>4.4695300000000002E-3</c:v>
                </c:pt>
                <c:pt idx="423">
                  <c:v>4.21135E-3</c:v>
                </c:pt>
                <c:pt idx="424">
                  <c:v>4.0613300000000001E-3</c:v>
                </c:pt>
                <c:pt idx="425">
                  <c:v>3.8543700000000002E-3</c:v>
                </c:pt>
                <c:pt idx="426">
                  <c:v>3.62102E-3</c:v>
                </c:pt>
                <c:pt idx="427" formatCode="General">
                  <c:v>3.4414900000000002E-3</c:v>
                </c:pt>
                <c:pt idx="428" formatCode="General">
                  <c:v>3.2337500000000001E-3</c:v>
                </c:pt>
                <c:pt idx="429" formatCode="General">
                  <c:v>3.1218200000000004E-3</c:v>
                </c:pt>
                <c:pt idx="430" formatCode="General">
                  <c:v>2.9399500000000002E-3</c:v>
                </c:pt>
                <c:pt idx="431" formatCode="General">
                  <c:v>2.8689700000000002E-3</c:v>
                </c:pt>
                <c:pt idx="432" formatCode="General">
                  <c:v>2.3E-3</c:v>
                </c:pt>
                <c:pt idx="433" formatCode="General">
                  <c:v>2E-3</c:v>
                </c:pt>
                <c:pt idx="434" formatCode="General">
                  <c:v>1.5E-3</c:v>
                </c:pt>
                <c:pt idx="435" formatCode="General">
                  <c:v>1.5E-3</c:v>
                </c:pt>
                <c:pt idx="436" formatCode="General">
                  <c:v>1E-3</c:v>
                </c:pt>
                <c:pt idx="437" formatCode="General">
                  <c:v>1E-3</c:v>
                </c:pt>
                <c:pt idx="438" formatCode="General">
                  <c:v>5.0000000000000001E-4</c:v>
                </c:pt>
                <c:pt idx="439" formatCode="General">
                  <c:v>0</c:v>
                </c:pt>
                <c:pt idx="440" formatCode="General">
                  <c:v>0</c:v>
                </c:pt>
                <c:pt idx="441" formatCode="General">
                  <c:v>0</c:v>
                </c:pt>
                <c:pt idx="442" formatCode="General">
                  <c:v>0</c:v>
                </c:pt>
                <c:pt idx="443" formatCode="General">
                  <c:v>0</c:v>
                </c:pt>
                <c:pt idx="444" formatCode="General">
                  <c:v>0</c:v>
                </c:pt>
                <c:pt idx="445" formatCode="General">
                  <c:v>0</c:v>
                </c:pt>
                <c:pt idx="446" formatCode="General">
                  <c:v>0</c:v>
                </c:pt>
                <c:pt idx="447" formatCode="General">
                  <c:v>0</c:v>
                </c:pt>
                <c:pt idx="448" formatCode="General">
                  <c:v>0</c:v>
                </c:pt>
                <c:pt idx="449">
                  <c:v>0</c:v>
                </c:pt>
                <c:pt idx="450">
                  <c:v>0</c:v>
                </c:pt>
                <c:pt idx="451">
                  <c:v>0</c:v>
                </c:pt>
                <c:pt idx="452">
                  <c:v>0</c:v>
                </c:pt>
                <c:pt idx="453">
                  <c:v>0</c:v>
                </c:pt>
                <c:pt idx="454">
                  <c:v>0</c:v>
                </c:pt>
                <c:pt idx="455">
                  <c:v>0</c:v>
                </c:pt>
                <c:pt idx="456">
                  <c:v>0</c:v>
                </c:pt>
                <c:pt idx="457">
                  <c:v>0</c:v>
                </c:pt>
                <c:pt idx="458">
                  <c:v>0</c:v>
                </c:pt>
                <c:pt idx="459">
                  <c:v>0</c:v>
                </c:pt>
                <c:pt idx="460">
                  <c:v>0</c:v>
                </c:pt>
                <c:pt idx="461">
                  <c:v>0</c:v>
                </c:pt>
                <c:pt idx="462">
                  <c:v>0</c:v>
                </c:pt>
                <c:pt idx="463">
                  <c:v>0</c:v>
                </c:pt>
                <c:pt idx="464">
                  <c:v>0</c:v>
                </c:pt>
                <c:pt idx="465">
                  <c:v>0</c:v>
                </c:pt>
                <c:pt idx="466">
                  <c:v>0</c:v>
                </c:pt>
                <c:pt idx="467">
                  <c:v>0</c:v>
                </c:pt>
                <c:pt idx="468">
                  <c:v>0</c:v>
                </c:pt>
                <c:pt idx="469">
                  <c:v>0</c:v>
                </c:pt>
                <c:pt idx="470">
                  <c:v>0</c:v>
                </c:pt>
                <c:pt idx="471">
                  <c:v>0</c:v>
                </c:pt>
                <c:pt idx="472">
                  <c:v>0</c:v>
                </c:pt>
                <c:pt idx="473">
                  <c:v>0</c:v>
                </c:pt>
                <c:pt idx="474">
                  <c:v>0</c:v>
                </c:pt>
                <c:pt idx="475">
                  <c:v>0</c:v>
                </c:pt>
                <c:pt idx="476">
                  <c:v>0</c:v>
                </c:pt>
                <c:pt idx="477">
                  <c:v>0</c:v>
                </c:pt>
                <c:pt idx="478">
                  <c:v>0</c:v>
                </c:pt>
                <c:pt idx="479">
                  <c:v>0</c:v>
                </c:pt>
                <c:pt idx="480">
                  <c:v>0</c:v>
                </c:pt>
                <c:pt idx="481">
                  <c:v>0</c:v>
                </c:pt>
                <c:pt idx="482">
                  <c:v>0</c:v>
                </c:pt>
                <c:pt idx="483">
                  <c:v>0</c:v>
                </c:pt>
                <c:pt idx="484">
                  <c:v>0</c:v>
                </c:pt>
                <c:pt idx="485">
                  <c:v>0</c:v>
                </c:pt>
                <c:pt idx="486">
                  <c:v>0</c:v>
                </c:pt>
                <c:pt idx="487">
                  <c:v>0</c:v>
                </c:pt>
                <c:pt idx="488">
                  <c:v>0</c:v>
                </c:pt>
                <c:pt idx="489">
                  <c:v>0</c:v>
                </c:pt>
                <c:pt idx="490">
                  <c:v>0</c:v>
                </c:pt>
                <c:pt idx="491">
                  <c:v>0</c:v>
                </c:pt>
                <c:pt idx="492">
                  <c:v>0</c:v>
                </c:pt>
                <c:pt idx="493">
                  <c:v>0</c:v>
                </c:pt>
                <c:pt idx="494">
                  <c:v>0</c:v>
                </c:pt>
                <c:pt idx="495">
                  <c:v>0</c:v>
                </c:pt>
                <c:pt idx="496">
                  <c:v>0</c:v>
                </c:pt>
                <c:pt idx="497">
                  <c:v>0</c:v>
                </c:pt>
                <c:pt idx="498">
                  <c:v>0</c:v>
                </c:pt>
                <c:pt idx="499">
                  <c:v>0</c:v>
                </c:pt>
                <c:pt idx="500">
                  <c:v>0</c:v>
                </c:pt>
                <c:pt idx="501">
                  <c:v>0</c:v>
                </c:pt>
                <c:pt idx="502">
                  <c:v>0</c:v>
                </c:pt>
                <c:pt idx="503">
                  <c:v>0</c:v>
                </c:pt>
                <c:pt idx="504">
                  <c:v>0</c:v>
                </c:pt>
                <c:pt idx="505">
                  <c:v>0</c:v>
                </c:pt>
                <c:pt idx="506">
                  <c:v>0</c:v>
                </c:pt>
                <c:pt idx="507">
                  <c:v>0</c:v>
                </c:pt>
                <c:pt idx="508">
                  <c:v>0</c:v>
                </c:pt>
                <c:pt idx="509">
                  <c:v>0</c:v>
                </c:pt>
                <c:pt idx="510">
                  <c:v>0</c:v>
                </c:pt>
                <c:pt idx="511">
                  <c:v>0</c:v>
                </c:pt>
                <c:pt idx="512">
                  <c:v>0</c:v>
                </c:pt>
                <c:pt idx="513">
                  <c:v>0</c:v>
                </c:pt>
                <c:pt idx="514">
                  <c:v>0</c:v>
                </c:pt>
                <c:pt idx="515">
                  <c:v>0</c:v>
                </c:pt>
                <c:pt idx="516">
                  <c:v>0</c:v>
                </c:pt>
                <c:pt idx="517">
                  <c:v>0</c:v>
                </c:pt>
                <c:pt idx="518">
                  <c:v>0</c:v>
                </c:pt>
                <c:pt idx="519">
                  <c:v>0</c:v>
                </c:pt>
                <c:pt idx="520">
                  <c:v>0</c:v>
                </c:pt>
                <c:pt idx="521">
                  <c:v>0</c:v>
                </c:pt>
                <c:pt idx="522">
                  <c:v>0</c:v>
                </c:pt>
                <c:pt idx="523">
                  <c:v>0</c:v>
                </c:pt>
                <c:pt idx="524">
                  <c:v>0</c:v>
                </c:pt>
                <c:pt idx="525">
                  <c:v>0</c:v>
                </c:pt>
                <c:pt idx="526">
                  <c:v>0</c:v>
                </c:pt>
                <c:pt idx="527">
                  <c:v>0</c:v>
                </c:pt>
                <c:pt idx="528">
                  <c:v>0</c:v>
                </c:pt>
                <c:pt idx="529">
                  <c:v>0</c:v>
                </c:pt>
                <c:pt idx="530">
                  <c:v>0</c:v>
                </c:pt>
                <c:pt idx="531">
                  <c:v>0</c:v>
                </c:pt>
                <c:pt idx="532">
                  <c:v>0</c:v>
                </c:pt>
                <c:pt idx="533">
                  <c:v>0</c:v>
                </c:pt>
                <c:pt idx="534">
                  <c:v>0</c:v>
                </c:pt>
                <c:pt idx="535">
                  <c:v>0</c:v>
                </c:pt>
                <c:pt idx="536">
                  <c:v>0</c:v>
                </c:pt>
                <c:pt idx="537">
                  <c:v>0</c:v>
                </c:pt>
                <c:pt idx="538">
                  <c:v>0</c:v>
                </c:pt>
                <c:pt idx="539">
                  <c:v>0</c:v>
                </c:pt>
                <c:pt idx="540">
                  <c:v>0</c:v>
                </c:pt>
                <c:pt idx="541">
                  <c:v>0</c:v>
                </c:pt>
                <c:pt idx="542">
                  <c:v>0</c:v>
                </c:pt>
                <c:pt idx="543">
                  <c:v>0</c:v>
                </c:pt>
                <c:pt idx="544">
                  <c:v>0</c:v>
                </c:pt>
                <c:pt idx="545">
                  <c:v>0</c:v>
                </c:pt>
                <c:pt idx="546">
                  <c:v>0</c:v>
                </c:pt>
                <c:pt idx="547">
                  <c:v>0</c:v>
                </c:pt>
                <c:pt idx="548">
                  <c:v>0</c:v>
                </c:pt>
                <c:pt idx="549">
                  <c:v>0</c:v>
                </c:pt>
                <c:pt idx="550">
                  <c:v>0</c:v>
                </c:pt>
                <c:pt idx="551">
                  <c:v>0</c:v>
                </c:pt>
                <c:pt idx="552">
                  <c:v>0</c:v>
                </c:pt>
                <c:pt idx="553">
                  <c:v>0</c:v>
                </c:pt>
                <c:pt idx="554">
                  <c:v>0</c:v>
                </c:pt>
                <c:pt idx="555">
                  <c:v>0</c:v>
                </c:pt>
                <c:pt idx="556">
                  <c:v>0</c:v>
                </c:pt>
                <c:pt idx="557">
                  <c:v>0</c:v>
                </c:pt>
                <c:pt idx="558">
                  <c:v>0</c:v>
                </c:pt>
                <c:pt idx="559">
                  <c:v>0</c:v>
                </c:pt>
                <c:pt idx="560">
                  <c:v>0</c:v>
                </c:pt>
                <c:pt idx="561">
                  <c:v>0</c:v>
                </c:pt>
                <c:pt idx="562">
                  <c:v>0</c:v>
                </c:pt>
                <c:pt idx="563">
                  <c:v>0</c:v>
                </c:pt>
                <c:pt idx="564">
                  <c:v>0</c:v>
                </c:pt>
                <c:pt idx="565">
                  <c:v>0</c:v>
                </c:pt>
                <c:pt idx="566">
                  <c:v>0</c:v>
                </c:pt>
                <c:pt idx="567">
                  <c:v>0</c:v>
                </c:pt>
                <c:pt idx="568">
                  <c:v>0</c:v>
                </c:pt>
                <c:pt idx="569">
                  <c:v>0</c:v>
                </c:pt>
                <c:pt idx="570">
                  <c:v>0</c:v>
                </c:pt>
                <c:pt idx="571">
                  <c:v>0</c:v>
                </c:pt>
                <c:pt idx="572">
                  <c:v>0</c:v>
                </c:pt>
                <c:pt idx="573">
                  <c:v>0</c:v>
                </c:pt>
                <c:pt idx="574">
                  <c:v>0</c:v>
                </c:pt>
                <c:pt idx="575">
                  <c:v>0</c:v>
                </c:pt>
                <c:pt idx="576">
                  <c:v>0</c:v>
                </c:pt>
                <c:pt idx="577">
                  <c:v>0</c:v>
                </c:pt>
                <c:pt idx="578">
                  <c:v>0</c:v>
                </c:pt>
                <c:pt idx="579">
                  <c:v>0</c:v>
                </c:pt>
                <c:pt idx="580">
                  <c:v>0</c:v>
                </c:pt>
                <c:pt idx="581">
                  <c:v>0</c:v>
                </c:pt>
                <c:pt idx="582">
                  <c:v>0</c:v>
                </c:pt>
                <c:pt idx="583">
                  <c:v>0</c:v>
                </c:pt>
                <c:pt idx="584">
                  <c:v>0</c:v>
                </c:pt>
                <c:pt idx="585">
                  <c:v>0</c:v>
                </c:pt>
                <c:pt idx="586">
                  <c:v>0</c:v>
                </c:pt>
                <c:pt idx="587">
                  <c:v>0</c:v>
                </c:pt>
                <c:pt idx="588">
                  <c:v>0</c:v>
                </c:pt>
                <c:pt idx="589">
                  <c:v>0</c:v>
                </c:pt>
                <c:pt idx="590">
                  <c:v>0</c:v>
                </c:pt>
                <c:pt idx="591">
                  <c:v>0</c:v>
                </c:pt>
                <c:pt idx="592">
                  <c:v>0</c:v>
                </c:pt>
                <c:pt idx="593">
                  <c:v>0</c:v>
                </c:pt>
                <c:pt idx="594">
                  <c:v>0</c:v>
                </c:pt>
                <c:pt idx="595">
                  <c:v>0</c:v>
                </c:pt>
                <c:pt idx="596">
                  <c:v>0</c:v>
                </c:pt>
                <c:pt idx="597">
                  <c:v>0</c:v>
                </c:pt>
                <c:pt idx="598">
                  <c:v>0</c:v>
                </c:pt>
                <c:pt idx="599">
                  <c:v>0</c:v>
                </c:pt>
                <c:pt idx="600">
                  <c:v>0</c:v>
                </c:pt>
                <c:pt idx="601">
                  <c:v>0</c:v>
                </c:pt>
                <c:pt idx="602">
                  <c:v>0</c:v>
                </c:pt>
                <c:pt idx="603">
                  <c:v>0</c:v>
                </c:pt>
                <c:pt idx="604">
                  <c:v>0</c:v>
                </c:pt>
                <c:pt idx="605">
                  <c:v>0</c:v>
                </c:pt>
                <c:pt idx="606">
                  <c:v>0</c:v>
                </c:pt>
                <c:pt idx="607">
                  <c:v>0</c:v>
                </c:pt>
                <c:pt idx="608">
                  <c:v>0</c:v>
                </c:pt>
                <c:pt idx="609">
                  <c:v>0</c:v>
                </c:pt>
                <c:pt idx="610">
                  <c:v>0</c:v>
                </c:pt>
                <c:pt idx="611">
                  <c:v>0</c:v>
                </c:pt>
                <c:pt idx="612">
                  <c:v>0</c:v>
                </c:pt>
                <c:pt idx="613">
                  <c:v>0</c:v>
                </c:pt>
                <c:pt idx="614">
                  <c:v>0</c:v>
                </c:pt>
                <c:pt idx="615">
                  <c:v>0</c:v>
                </c:pt>
                <c:pt idx="616">
                  <c:v>0</c:v>
                </c:pt>
                <c:pt idx="617">
                  <c:v>0</c:v>
                </c:pt>
                <c:pt idx="618">
                  <c:v>0</c:v>
                </c:pt>
                <c:pt idx="619">
                  <c:v>0</c:v>
                </c:pt>
                <c:pt idx="620">
                  <c:v>0</c:v>
                </c:pt>
                <c:pt idx="621">
                  <c:v>0</c:v>
                </c:pt>
                <c:pt idx="622">
                  <c:v>0</c:v>
                </c:pt>
                <c:pt idx="623">
                  <c:v>0</c:v>
                </c:pt>
                <c:pt idx="624">
                  <c:v>0</c:v>
                </c:pt>
                <c:pt idx="625">
                  <c:v>0</c:v>
                </c:pt>
                <c:pt idx="626">
                  <c:v>0</c:v>
                </c:pt>
                <c:pt idx="627">
                  <c:v>0</c:v>
                </c:pt>
                <c:pt idx="628">
                  <c:v>0</c:v>
                </c:pt>
                <c:pt idx="629">
                  <c:v>0</c:v>
                </c:pt>
                <c:pt idx="630">
                  <c:v>0</c:v>
                </c:pt>
                <c:pt idx="631">
                  <c:v>0</c:v>
                </c:pt>
                <c:pt idx="632">
                  <c:v>3.2440199999999999E-6</c:v>
                </c:pt>
                <c:pt idx="633">
                  <c:v>1.6983200000000002E-4</c:v>
                </c:pt>
                <c:pt idx="634">
                  <c:v>1.0665590000000001E-4</c:v>
                </c:pt>
                <c:pt idx="635">
                  <c:v>4.1230799999999998E-5</c:v>
                </c:pt>
                <c:pt idx="636">
                  <c:v>0</c:v>
                </c:pt>
                <c:pt idx="637">
                  <c:v>0</c:v>
                </c:pt>
                <c:pt idx="638">
                  <c:v>3.0589000000000001E-5</c:v>
                </c:pt>
                <c:pt idx="639">
                  <c:v>7.4787699999999995E-5</c:v>
                </c:pt>
                <c:pt idx="640">
                  <c:v>1.1560120000000001E-4</c:v>
                </c:pt>
                <c:pt idx="641">
                  <c:v>3.4148400000000003E-4</c:v>
                </c:pt>
                <c:pt idx="642">
                  <c:v>6.2454600000000002E-4</c:v>
                </c:pt>
                <c:pt idx="643">
                  <c:v>9.1201500000000007E-4</c:v>
                </c:pt>
                <c:pt idx="644">
                  <c:v>1.1285819999999999E-3</c:v>
                </c:pt>
                <c:pt idx="645">
                  <c:v>1.3256099999999999E-3</c:v>
                </c:pt>
                <c:pt idx="646">
                  <c:v>1.5165800000000002E-3</c:v>
                </c:pt>
                <c:pt idx="647">
                  <c:v>1.7340700000000001E-3</c:v>
                </c:pt>
                <c:pt idx="648">
                  <c:v>1.82351E-3</c:v>
                </c:pt>
                <c:pt idx="649">
                  <c:v>1.9307600000000001E-3</c:v>
                </c:pt>
                <c:pt idx="650">
                  <c:v>2.1871199999999999E-3</c:v>
                </c:pt>
                <c:pt idx="651">
                  <c:v>2.6253500000000003E-3</c:v>
                </c:pt>
                <c:pt idx="652">
                  <c:v>3.1835700000000001E-3</c:v>
                </c:pt>
                <c:pt idx="653">
                  <c:v>3.679E-3</c:v>
                </c:pt>
                <c:pt idx="654">
                  <c:v>4.0379300000000003E-3</c:v>
                </c:pt>
                <c:pt idx="655">
                  <c:v>4.41012E-3</c:v>
                </c:pt>
                <c:pt idx="656">
                  <c:v>4.7478600000000004E-3</c:v>
                </c:pt>
                <c:pt idx="657">
                  <c:v>5.2289900000000011E-3</c:v>
                </c:pt>
                <c:pt idx="658">
                  <c:v>5.8120400000000001E-3</c:v>
                </c:pt>
                <c:pt idx="659">
                  <c:v>6.45905E-3</c:v>
                </c:pt>
                <c:pt idx="660">
                  <c:v>7.19121E-3</c:v>
                </c:pt>
                <c:pt idx="661">
                  <c:v>7.9951300000000013E-3</c:v>
                </c:pt>
                <c:pt idx="662">
                  <c:v>8.9018799999999992E-3</c:v>
                </c:pt>
                <c:pt idx="663">
                  <c:v>9.8961199999999996E-3</c:v>
                </c:pt>
                <c:pt idx="664">
                  <c:v>1.1035440000000001E-2</c:v>
                </c:pt>
                <c:pt idx="665">
                  <c:v>1.2085839999999999E-2</c:v>
                </c:pt>
                <c:pt idx="666">
                  <c:v>1.3045500000000002E-2</c:v>
                </c:pt>
                <c:pt idx="667">
                  <c:v>1.4123200000000001E-2</c:v>
                </c:pt>
                <c:pt idx="668">
                  <c:v>1.52789E-2</c:v>
                </c:pt>
                <c:pt idx="669">
                  <c:v>1.6574999999999999E-2</c:v>
                </c:pt>
                <c:pt idx="670">
                  <c:v>1.8032300000000001E-2</c:v>
                </c:pt>
                <c:pt idx="671">
                  <c:v>1.9544200000000001E-2</c:v>
                </c:pt>
                <c:pt idx="672">
                  <c:v>2.1348599999999999E-2</c:v>
                </c:pt>
                <c:pt idx="673">
                  <c:v>2.3322000000000002E-2</c:v>
                </c:pt>
                <c:pt idx="674">
                  <c:v>2.5387700000000003E-2</c:v>
                </c:pt>
                <c:pt idx="675">
                  <c:v>2.7582100000000002E-2</c:v>
                </c:pt>
                <c:pt idx="676">
                  <c:v>2.9868800000000001E-2</c:v>
                </c:pt>
                <c:pt idx="677">
                  <c:v>3.2102200000000004E-2</c:v>
                </c:pt>
                <c:pt idx="678">
                  <c:v>3.4642400000000004E-2</c:v>
                </c:pt>
                <c:pt idx="679">
                  <c:v>3.7200799999999999E-2</c:v>
                </c:pt>
                <c:pt idx="680">
                  <c:v>3.99295E-2</c:v>
                </c:pt>
                <c:pt idx="681">
                  <c:v>4.2903900000000002E-2</c:v>
                </c:pt>
                <c:pt idx="682">
                  <c:v>4.6187699999999998E-2</c:v>
                </c:pt>
                <c:pt idx="683">
                  <c:v>4.9871900000000004E-2</c:v>
                </c:pt>
                <c:pt idx="684">
                  <c:v>5.3691299999999997E-2</c:v>
                </c:pt>
                <c:pt idx="685">
                  <c:v>5.75991E-2</c:v>
                </c:pt>
                <c:pt idx="686">
                  <c:v>6.1695400000000004E-2</c:v>
                </c:pt>
                <c:pt idx="687">
                  <c:v>6.5833299999999997E-2</c:v>
                </c:pt>
                <c:pt idx="688">
                  <c:v>7.0235099999999995E-2</c:v>
                </c:pt>
                <c:pt idx="689">
                  <c:v>7.4864399999999998E-2</c:v>
                </c:pt>
                <c:pt idx="690">
                  <c:v>7.9774500000000012E-2</c:v>
                </c:pt>
                <c:pt idx="691">
                  <c:v>8.4775600000000007E-2</c:v>
                </c:pt>
                <c:pt idx="692">
                  <c:v>8.9957399999999993E-2</c:v>
                </c:pt>
                <c:pt idx="693">
                  <c:v>9.5143100000000008E-2</c:v>
                </c:pt>
                <c:pt idx="694">
                  <c:v>0.1005212</c:v>
                </c:pt>
                <c:pt idx="695">
                  <c:v>0.10630099999999999</c:v>
                </c:pt>
                <c:pt idx="696">
                  <c:v>0.1123135</c:v>
                </c:pt>
                <c:pt idx="697">
                  <c:v>0.1186627</c:v>
                </c:pt>
                <c:pt idx="698">
                  <c:v>0.12478310000000001</c:v>
                </c:pt>
                <c:pt idx="699">
                  <c:v>0.13104000000000002</c:v>
                </c:pt>
                <c:pt idx="700">
                  <c:v>0.13735800000000001</c:v>
                </c:pt>
                <c:pt idx="701">
                  <c:v>0.143871</c:v>
                </c:pt>
                <c:pt idx="702">
                  <c:v>0.15024100000000001</c:v>
                </c:pt>
                <c:pt idx="703">
                  <c:v>0.15642900000000001</c:v>
                </c:pt>
                <c:pt idx="704">
                  <c:v>0.16287700000000002</c:v>
                </c:pt>
                <c:pt idx="705">
                  <c:v>0.16954600000000003</c:v>
                </c:pt>
                <c:pt idx="706">
                  <c:v>0.17576</c:v>
                </c:pt>
                <c:pt idx="707">
                  <c:v>0.18162300000000001</c:v>
                </c:pt>
                <c:pt idx="708">
                  <c:v>0.187057</c:v>
                </c:pt>
                <c:pt idx="709">
                  <c:v>0.192192</c:v>
                </c:pt>
                <c:pt idx="710">
                  <c:v>0.19661200000000004</c:v>
                </c:pt>
                <c:pt idx="711">
                  <c:v>0.20104500000000003</c:v>
                </c:pt>
                <c:pt idx="712">
                  <c:v>0.20513999999999999</c:v>
                </c:pt>
                <c:pt idx="713">
                  <c:v>0.20857200000000001</c:v>
                </c:pt>
                <c:pt idx="714">
                  <c:v>0.21132800000000002</c:v>
                </c:pt>
                <c:pt idx="715">
                  <c:v>0.21359</c:v>
                </c:pt>
                <c:pt idx="716">
                  <c:v>0.21500700000000003</c:v>
                </c:pt>
                <c:pt idx="717">
                  <c:v>0.21607300000000002</c:v>
                </c:pt>
                <c:pt idx="718">
                  <c:v>0.21703499999999998</c:v>
                </c:pt>
                <c:pt idx="719">
                  <c:v>0.216944</c:v>
                </c:pt>
                <c:pt idx="720">
                  <c:v>0.215748</c:v>
                </c:pt>
                <c:pt idx="721">
                  <c:v>0.21398</c:v>
                </c:pt>
                <c:pt idx="722">
                  <c:v>0.21175700000000003</c:v>
                </c:pt>
                <c:pt idx="723">
                  <c:v>0.20868900000000001</c:v>
                </c:pt>
                <c:pt idx="724">
                  <c:v>0.20477599999999999</c:v>
                </c:pt>
                <c:pt idx="725">
                  <c:v>0.200512</c:v>
                </c:pt>
                <c:pt idx="726">
                  <c:v>0.19605300000000001</c:v>
                </c:pt>
                <c:pt idx="727">
                  <c:v>0.19078800000000001</c:v>
                </c:pt>
                <c:pt idx="728">
                  <c:v>0.18505500000000003</c:v>
                </c:pt>
                <c:pt idx="729">
                  <c:v>0.17868499999999998</c:v>
                </c:pt>
                <c:pt idx="730">
                  <c:v>0.17202900000000002</c:v>
                </c:pt>
                <c:pt idx="731">
                  <c:v>0.16508699999999998</c:v>
                </c:pt>
                <c:pt idx="732">
                  <c:v>0.15836600000000001</c:v>
                </c:pt>
                <c:pt idx="733">
                  <c:v>0.152035</c:v>
                </c:pt>
                <c:pt idx="734">
                  <c:v>0.145314</c:v>
                </c:pt>
                <c:pt idx="735">
                  <c:v>0.13832</c:v>
                </c:pt>
                <c:pt idx="736">
                  <c:v>0.13201499999999999</c:v>
                </c:pt>
                <c:pt idx="737">
                  <c:v>0.12599470000000002</c:v>
                </c:pt>
                <c:pt idx="738">
                  <c:v>0.120172</c:v>
                </c:pt>
                <c:pt idx="739">
                  <c:v>0.1142726</c:v>
                </c:pt>
                <c:pt idx="740">
                  <c:v>0.10865140000000001</c:v>
                </c:pt>
                <c:pt idx="741">
                  <c:v>0.1034553</c:v>
                </c:pt>
                <c:pt idx="742">
                  <c:v>9.8763600000000007E-2</c:v>
                </c:pt>
                <c:pt idx="743">
                  <c:v>9.418760000000001E-2</c:v>
                </c:pt>
                <c:pt idx="744">
                  <c:v>8.9636300000000002E-2</c:v>
                </c:pt>
                <c:pt idx="745">
                  <c:v>8.5588100000000014E-2</c:v>
                </c:pt>
                <c:pt idx="746">
                  <c:v>8.2069000000000017E-2</c:v>
                </c:pt>
                <c:pt idx="747">
                  <c:v>7.8535599999999997E-2</c:v>
                </c:pt>
                <c:pt idx="748">
                  <c:v>7.4978799999999998E-2</c:v>
                </c:pt>
                <c:pt idx="749">
                  <c:v>7.1490899999999996E-2</c:v>
                </c:pt>
                <c:pt idx="750">
                  <c:v>6.8208400000000002E-2</c:v>
                </c:pt>
                <c:pt idx="751">
                  <c:v>6.5496600000000002E-2</c:v>
                </c:pt>
                <c:pt idx="752">
                  <c:v>6.3025300000000006E-2</c:v>
                </c:pt>
                <c:pt idx="753">
                  <c:v>6.0690500000000001E-2</c:v>
                </c:pt>
                <c:pt idx="754">
                  <c:v>5.7986500000000003E-2</c:v>
                </c:pt>
                <c:pt idx="755">
                  <c:v>5.5151200000000004E-2</c:v>
                </c:pt>
                <c:pt idx="756">
                  <c:v>5.2161200000000005E-2</c:v>
                </c:pt>
                <c:pt idx="757">
                  <c:v>4.92024E-2</c:v>
                </c:pt>
                <c:pt idx="758">
                  <c:v>4.6426900000000007E-2</c:v>
                </c:pt>
                <c:pt idx="759">
                  <c:v>4.3949099999999998E-2</c:v>
                </c:pt>
                <c:pt idx="760">
                  <c:v>4.1598700000000002E-2</c:v>
                </c:pt>
                <c:pt idx="761">
                  <c:v>3.9573299999999999E-2</c:v>
                </c:pt>
                <c:pt idx="762">
                  <c:v>3.7588200000000002E-2</c:v>
                </c:pt>
                <c:pt idx="763">
                  <c:v>3.5659000000000003E-2</c:v>
                </c:pt>
                <c:pt idx="764">
                  <c:v>3.3663500000000006E-2</c:v>
                </c:pt>
                <c:pt idx="765">
                  <c:v>3.1762900000000004E-2</c:v>
                </c:pt>
                <c:pt idx="766">
                  <c:v>2.9897400000000001E-2</c:v>
                </c:pt>
                <c:pt idx="767">
                  <c:v>2.8206100000000001E-2</c:v>
                </c:pt>
                <c:pt idx="768">
                  <c:v>2.6735800000000001E-2</c:v>
                </c:pt>
                <c:pt idx="769">
                  <c:v>2.5479999999999999E-2</c:v>
                </c:pt>
                <c:pt idx="770">
                  <c:v>2.43126E-2</c:v>
                </c:pt>
                <c:pt idx="771">
                  <c:v>2.3060700000000003E-2</c:v>
                </c:pt>
                <c:pt idx="772">
                  <c:v>2.1685300000000001E-2</c:v>
                </c:pt>
                <c:pt idx="773">
                  <c:v>2.03021E-2</c:v>
                </c:pt>
                <c:pt idx="774">
                  <c:v>1.9093100000000002E-2</c:v>
                </c:pt>
                <c:pt idx="775">
                  <c:v>1.8019300000000002E-2</c:v>
                </c:pt>
                <c:pt idx="776">
                  <c:v>1.69949E-2</c:v>
                </c:pt>
                <c:pt idx="777">
                  <c:v>1.60199E-2</c:v>
                </c:pt>
                <c:pt idx="778">
                  <c:v>1.51944E-2</c:v>
                </c:pt>
                <c:pt idx="779">
                  <c:v>1.45509E-2</c:v>
                </c:pt>
                <c:pt idx="780">
                  <c:v>1.4003600000000001E-2</c:v>
                </c:pt>
                <c:pt idx="781">
                  <c:v>1.3384800000000001E-2</c:v>
                </c:pt>
                <c:pt idx="782">
                  <c:v>1.269814E-2</c:v>
                </c:pt>
                <c:pt idx="783">
                  <c:v>1.204385E-2</c:v>
                </c:pt>
                <c:pt idx="784">
                  <c:v>1.141322E-2</c:v>
                </c:pt>
                <c:pt idx="785">
                  <c:v>1.085851E-2</c:v>
                </c:pt>
                <c:pt idx="786">
                  <c:v>1.011803E-2</c:v>
                </c:pt>
                <c:pt idx="787">
                  <c:v>9.4729700000000007E-3</c:v>
                </c:pt>
                <c:pt idx="788">
                  <c:v>8.7854000000000005E-3</c:v>
                </c:pt>
                <c:pt idx="789">
                  <c:v>8.1928599999999997E-3</c:v>
                </c:pt>
                <c:pt idx="790">
                  <c:v>7.7659399999999998E-3</c:v>
                </c:pt>
                <c:pt idx="791">
                  <c:v>7.4015499999999998E-3</c:v>
                </c:pt>
                <c:pt idx="792">
                  <c:v>7.2403499999999996E-3</c:v>
                </c:pt>
                <c:pt idx="793">
                  <c:v>7.0099900000000007E-3</c:v>
                </c:pt>
                <c:pt idx="794">
                  <c:v>6.6579500000000002E-3</c:v>
                </c:pt>
                <c:pt idx="795">
                  <c:v>6.2072400000000002E-3</c:v>
                </c:pt>
                <c:pt idx="796">
                  <c:v>5.8454499999999994E-3</c:v>
                </c:pt>
                <c:pt idx="797">
                  <c:v>5.6097600000000001E-3</c:v>
                </c:pt>
                <c:pt idx="798">
                  <c:v>5.3665300000000004E-3</c:v>
                </c:pt>
                <c:pt idx="799">
                  <c:v>5.1417600000000004E-3</c:v>
                </c:pt>
                <c:pt idx="800">
                  <c:v>4.8713599999999999E-3</c:v>
                </c:pt>
                <c:pt idx="801">
                  <c:v>4.6751900000000001E-3</c:v>
                </c:pt>
                <c:pt idx="802">
                  <c:v>4.4695300000000002E-3</c:v>
                </c:pt>
                <c:pt idx="803">
                  <c:v>4.21135E-3</c:v>
                </c:pt>
                <c:pt idx="804">
                  <c:v>4.0613300000000001E-3</c:v>
                </c:pt>
                <c:pt idx="805">
                  <c:v>3.8543700000000002E-3</c:v>
                </c:pt>
                <c:pt idx="806">
                  <c:v>3.62102E-3</c:v>
                </c:pt>
                <c:pt idx="807" formatCode="General">
                  <c:v>3.4414900000000002E-3</c:v>
                </c:pt>
                <c:pt idx="808" formatCode="General">
                  <c:v>3.2337500000000001E-3</c:v>
                </c:pt>
                <c:pt idx="809" formatCode="General">
                  <c:v>3.1218200000000004E-3</c:v>
                </c:pt>
                <c:pt idx="810" formatCode="General">
                  <c:v>2.9399500000000002E-3</c:v>
                </c:pt>
                <c:pt idx="811" formatCode="General">
                  <c:v>2.8689700000000002E-3</c:v>
                </c:pt>
                <c:pt idx="812" formatCode="General">
                  <c:v>2.3E-3</c:v>
                </c:pt>
                <c:pt idx="813" formatCode="General">
                  <c:v>2E-3</c:v>
                </c:pt>
                <c:pt idx="814" formatCode="General">
                  <c:v>1.5E-3</c:v>
                </c:pt>
                <c:pt idx="815" formatCode="General">
                  <c:v>1.5E-3</c:v>
                </c:pt>
                <c:pt idx="816" formatCode="General">
                  <c:v>1E-3</c:v>
                </c:pt>
                <c:pt idx="817" formatCode="General">
                  <c:v>1E-3</c:v>
                </c:pt>
                <c:pt idx="818" formatCode="General">
                  <c:v>5.0000000000000001E-4</c:v>
                </c:pt>
                <c:pt idx="819" formatCode="General">
                  <c:v>0</c:v>
                </c:pt>
                <c:pt idx="820">
                  <c:v>0</c:v>
                </c:pt>
                <c:pt idx="821">
                  <c:v>0</c:v>
                </c:pt>
                <c:pt idx="822">
                  <c:v>0</c:v>
                </c:pt>
                <c:pt idx="823">
                  <c:v>0</c:v>
                </c:pt>
                <c:pt idx="824">
                  <c:v>0</c:v>
                </c:pt>
                <c:pt idx="825">
                  <c:v>0</c:v>
                </c:pt>
                <c:pt idx="826">
                  <c:v>0</c:v>
                </c:pt>
                <c:pt idx="827">
                  <c:v>0</c:v>
                </c:pt>
                <c:pt idx="828">
                  <c:v>0</c:v>
                </c:pt>
                <c:pt idx="829">
                  <c:v>0</c:v>
                </c:pt>
                <c:pt idx="830">
                  <c:v>0</c:v>
                </c:pt>
                <c:pt idx="831">
                  <c:v>0</c:v>
                </c:pt>
                <c:pt idx="832">
                  <c:v>0</c:v>
                </c:pt>
                <c:pt idx="833">
                  <c:v>0</c:v>
                </c:pt>
                <c:pt idx="834">
                  <c:v>0</c:v>
                </c:pt>
                <c:pt idx="835">
                  <c:v>0</c:v>
                </c:pt>
                <c:pt idx="836">
                  <c:v>0</c:v>
                </c:pt>
                <c:pt idx="837">
                  <c:v>0</c:v>
                </c:pt>
                <c:pt idx="838">
                  <c:v>0</c:v>
                </c:pt>
                <c:pt idx="839">
                  <c:v>0</c:v>
                </c:pt>
                <c:pt idx="840">
                  <c:v>0</c:v>
                </c:pt>
                <c:pt idx="841">
                  <c:v>0</c:v>
                </c:pt>
                <c:pt idx="842">
                  <c:v>0</c:v>
                </c:pt>
                <c:pt idx="843">
                  <c:v>0</c:v>
                </c:pt>
                <c:pt idx="844">
                  <c:v>0</c:v>
                </c:pt>
                <c:pt idx="845">
                  <c:v>0</c:v>
                </c:pt>
                <c:pt idx="846">
                  <c:v>0</c:v>
                </c:pt>
                <c:pt idx="847">
                  <c:v>0</c:v>
                </c:pt>
                <c:pt idx="848">
                  <c:v>0</c:v>
                </c:pt>
                <c:pt idx="849">
                  <c:v>0</c:v>
                </c:pt>
                <c:pt idx="850">
                  <c:v>0</c:v>
                </c:pt>
                <c:pt idx="851">
                  <c:v>0</c:v>
                </c:pt>
                <c:pt idx="852">
                  <c:v>0</c:v>
                </c:pt>
                <c:pt idx="853">
                  <c:v>0</c:v>
                </c:pt>
                <c:pt idx="854">
                  <c:v>0</c:v>
                </c:pt>
                <c:pt idx="855">
                  <c:v>0</c:v>
                </c:pt>
                <c:pt idx="856">
                  <c:v>0</c:v>
                </c:pt>
                <c:pt idx="857">
                  <c:v>0</c:v>
                </c:pt>
                <c:pt idx="858">
                  <c:v>0</c:v>
                </c:pt>
                <c:pt idx="859">
                  <c:v>0</c:v>
                </c:pt>
                <c:pt idx="860">
                  <c:v>0</c:v>
                </c:pt>
                <c:pt idx="861">
                  <c:v>0</c:v>
                </c:pt>
                <c:pt idx="862">
                  <c:v>0</c:v>
                </c:pt>
                <c:pt idx="863">
                  <c:v>0</c:v>
                </c:pt>
                <c:pt idx="864">
                  <c:v>0</c:v>
                </c:pt>
                <c:pt idx="865">
                  <c:v>0</c:v>
                </c:pt>
                <c:pt idx="866">
                  <c:v>0</c:v>
                </c:pt>
                <c:pt idx="867">
                  <c:v>0</c:v>
                </c:pt>
                <c:pt idx="868">
                  <c:v>0</c:v>
                </c:pt>
                <c:pt idx="869">
                  <c:v>0</c:v>
                </c:pt>
                <c:pt idx="870">
                  <c:v>0</c:v>
                </c:pt>
                <c:pt idx="871">
                  <c:v>0</c:v>
                </c:pt>
                <c:pt idx="872">
                  <c:v>0</c:v>
                </c:pt>
                <c:pt idx="873">
                  <c:v>0</c:v>
                </c:pt>
                <c:pt idx="874">
                  <c:v>0</c:v>
                </c:pt>
                <c:pt idx="875">
                  <c:v>0</c:v>
                </c:pt>
                <c:pt idx="876">
                  <c:v>0</c:v>
                </c:pt>
                <c:pt idx="877">
                  <c:v>0</c:v>
                </c:pt>
                <c:pt idx="878">
                  <c:v>0</c:v>
                </c:pt>
                <c:pt idx="879">
                  <c:v>0</c:v>
                </c:pt>
                <c:pt idx="880">
                  <c:v>0</c:v>
                </c:pt>
                <c:pt idx="881">
                  <c:v>0</c:v>
                </c:pt>
                <c:pt idx="882">
                  <c:v>0</c:v>
                </c:pt>
                <c:pt idx="883">
                  <c:v>0</c:v>
                </c:pt>
                <c:pt idx="884">
                  <c:v>0</c:v>
                </c:pt>
                <c:pt idx="885">
                  <c:v>0</c:v>
                </c:pt>
                <c:pt idx="886">
                  <c:v>0</c:v>
                </c:pt>
                <c:pt idx="887">
                  <c:v>0</c:v>
                </c:pt>
                <c:pt idx="888">
                  <c:v>0</c:v>
                </c:pt>
                <c:pt idx="889">
                  <c:v>0</c:v>
                </c:pt>
                <c:pt idx="890">
                  <c:v>0</c:v>
                </c:pt>
                <c:pt idx="891">
                  <c:v>0</c:v>
                </c:pt>
                <c:pt idx="892">
                  <c:v>0</c:v>
                </c:pt>
                <c:pt idx="893">
                  <c:v>0</c:v>
                </c:pt>
                <c:pt idx="894">
                  <c:v>0</c:v>
                </c:pt>
                <c:pt idx="895">
                  <c:v>0</c:v>
                </c:pt>
                <c:pt idx="896">
                  <c:v>0</c:v>
                </c:pt>
                <c:pt idx="897">
                  <c:v>0</c:v>
                </c:pt>
                <c:pt idx="898">
                  <c:v>0</c:v>
                </c:pt>
                <c:pt idx="899">
                  <c:v>0</c:v>
                </c:pt>
                <c:pt idx="900">
                  <c:v>0</c:v>
                </c:pt>
              </c:numCache>
            </c:numRef>
          </c:val>
          <c:smooth val="0"/>
          <c:extLst>
            <c:ext xmlns:c16="http://schemas.microsoft.com/office/drawing/2014/chart" uri="{C3380CC4-5D6E-409C-BE32-E72D297353CC}">
              <c16:uniqueId val="{00000000-D479-314A-B101-39891AB6D9F0}"/>
            </c:ext>
          </c:extLst>
        </c:ser>
        <c:dLbls>
          <c:showLegendKey val="0"/>
          <c:showVal val="0"/>
          <c:showCatName val="0"/>
          <c:showSerName val="0"/>
          <c:showPercent val="0"/>
          <c:showBubbleSize val="0"/>
        </c:dLbls>
        <c:smooth val="0"/>
        <c:axId val="1101955759"/>
        <c:axId val="1182404623"/>
      </c:lineChart>
      <c:catAx>
        <c:axId val="1101955759"/>
        <c:scaling>
          <c:orientation val="minMax"/>
        </c:scaling>
        <c:delete val="0"/>
        <c:axPos val="b"/>
        <c:numFmt formatCode="General" sourceLinked="1"/>
        <c:majorTickMark val="none"/>
        <c:minorTickMark val="none"/>
        <c:tickLblPos val="nextTo"/>
        <c:spPr>
          <a:noFill/>
          <a:ln w="9525" cap="flat" cmpd="sng" algn="ctr">
            <a:solidFill>
              <a:schemeClr val="tx1"/>
            </a:solidFill>
            <a:round/>
          </a:ln>
          <a:effectLst/>
        </c:spPr>
        <c:txPr>
          <a:bodyPr rot="-60000000" spcFirstLastPara="1" vertOverflow="ellipsis" vert="horz" wrap="square" anchor="ctr" anchorCtr="1"/>
          <a:lstStyle/>
          <a:p>
            <a:pPr>
              <a:defRPr sz="900" b="1" i="0" u="none" strike="noStrike" kern="1200" baseline="0">
                <a:solidFill>
                  <a:schemeClr val="tx1"/>
                </a:solidFill>
                <a:latin typeface="Arial" panose="020B0604020202020204" pitchFamily="34" charset="0"/>
                <a:ea typeface="+mn-ea"/>
                <a:cs typeface="Arial" panose="020B0604020202020204" pitchFamily="34" charset="0"/>
              </a:defRPr>
            </a:pPr>
            <a:endParaRPr lang="en-US"/>
          </a:p>
        </c:txPr>
        <c:crossAx val="1182404623"/>
        <c:crosses val="autoZero"/>
        <c:auto val="0"/>
        <c:lblAlgn val="ctr"/>
        <c:lblOffset val="100"/>
        <c:tickLblSkip val="100"/>
        <c:tickMarkSkip val="1"/>
        <c:noMultiLvlLbl val="0"/>
      </c:catAx>
      <c:valAx>
        <c:axId val="1182404623"/>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000" b="1" i="0" u="none" strike="noStrike" kern="1200" baseline="0">
                    <a:solidFill>
                      <a:schemeClr val="tx1"/>
                    </a:solidFill>
                    <a:latin typeface="Arial" panose="020B0604020202020204" pitchFamily="34" charset="0"/>
                    <a:ea typeface="+mn-ea"/>
                    <a:cs typeface="Arial" panose="020B0604020202020204" pitchFamily="34" charset="0"/>
                  </a:defRPr>
                </a:pPr>
                <a:r>
                  <a:rPr lang="en-US" b="1"/>
                  <a:t>Intensity (µmols</a:t>
                </a:r>
                <a:r>
                  <a:rPr lang="en-US" b="1" baseline="0"/>
                  <a:t> </a:t>
                </a:r>
                <a:r>
                  <a:rPr lang="en-US" b="1" baseline="30000"/>
                  <a:t>.</a:t>
                </a:r>
                <a:r>
                  <a:rPr lang="en-US" b="1" baseline="0"/>
                  <a:t> </a:t>
                </a:r>
                <a:r>
                  <a:rPr lang="en-US" b="1"/>
                  <a:t>m-</a:t>
                </a:r>
                <a:r>
                  <a:rPr lang="en-US" b="1" baseline="30000"/>
                  <a:t>2</a:t>
                </a:r>
                <a:r>
                  <a:rPr lang="en-US" sz="1000" b="1" i="0" u="none" strike="noStrike" baseline="30000">
                    <a:effectLst/>
                  </a:rPr>
                  <a:t> .</a:t>
                </a:r>
                <a:r>
                  <a:rPr lang="en-US" sz="1000" b="1" i="0" u="none" strike="noStrike" baseline="0">
                    <a:effectLst/>
                  </a:rPr>
                  <a:t> </a:t>
                </a:r>
                <a:r>
                  <a:rPr lang="en-US" b="1"/>
                  <a:t>sec</a:t>
                </a:r>
                <a:r>
                  <a:rPr lang="en-US" b="1" baseline="30000"/>
                  <a:t>-1</a:t>
                </a:r>
                <a:r>
                  <a:rPr lang="en-US" b="1"/>
                  <a:t>)</a:t>
                </a:r>
              </a:p>
            </c:rich>
          </c:tx>
          <c:overlay val="0"/>
          <c:spPr>
            <a:noFill/>
            <a:ln>
              <a:noFill/>
            </a:ln>
            <a:effectLst/>
          </c:spPr>
          <c:txPr>
            <a:bodyPr rot="-5400000" spcFirstLastPara="1" vertOverflow="ellipsis" vert="horz" wrap="square" anchor="ctr" anchorCtr="1"/>
            <a:lstStyle/>
            <a:p>
              <a:pPr>
                <a:defRPr sz="1000" b="1" i="0" u="none" strike="noStrike" kern="1200" baseline="0">
                  <a:solidFill>
                    <a:schemeClr val="tx1"/>
                  </a:solidFill>
                  <a:latin typeface="Arial" panose="020B0604020202020204" pitchFamily="34" charset="0"/>
                  <a:ea typeface="+mn-ea"/>
                  <a:cs typeface="Arial" panose="020B0604020202020204" pitchFamily="34" charset="0"/>
                </a:defRPr>
              </a:pPr>
              <a:endParaRPr lang="en-US"/>
            </a:p>
          </c:txPr>
        </c:title>
        <c:numFmt formatCode="General" sourceLinked="0"/>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solidFill>
                <a:latin typeface="Arial" panose="020B0604020202020204" pitchFamily="34" charset="0"/>
                <a:ea typeface="+mn-ea"/>
                <a:cs typeface="Arial" panose="020B0604020202020204" pitchFamily="34" charset="0"/>
              </a:defRPr>
            </a:pPr>
            <a:endParaRPr lang="en-US"/>
          </a:p>
        </c:txPr>
        <c:crossAx val="1101955759"/>
        <c:crosses val="autoZero"/>
        <c:crossBetween val="between"/>
      </c:valAx>
      <c:spPr>
        <a:noFill/>
        <a:ln>
          <a:noFill/>
        </a:ln>
        <a:effectLst/>
      </c:spPr>
    </c:plotArea>
    <c:legend>
      <c:legendPos val="b"/>
      <c:legendEntry>
        <c:idx val="0"/>
        <c:txPr>
          <a:bodyPr rot="0" spcFirstLastPara="1" vertOverflow="ellipsis" vert="horz" wrap="square" anchor="ctr" anchorCtr="1"/>
          <a:lstStyle/>
          <a:p>
            <a:pPr>
              <a:defRPr sz="1000" b="0" i="0" u="none" strike="noStrike" kern="1200" baseline="0">
                <a:solidFill>
                  <a:schemeClr val="tx1"/>
                </a:solidFill>
                <a:latin typeface="Arial" panose="020B0604020202020204" pitchFamily="34" charset="0"/>
                <a:ea typeface="+mn-ea"/>
                <a:cs typeface="Arial" panose="020B0604020202020204" pitchFamily="34" charset="0"/>
              </a:defRPr>
            </a:pPr>
            <a:endParaRPr lang="en-US"/>
          </a:p>
        </c:txPr>
      </c:legendEntry>
      <c:layout>
        <c:manualLayout>
          <c:xMode val="edge"/>
          <c:yMode val="edge"/>
          <c:x val="0.78470085470085471"/>
          <c:y val="0.93467753652827823"/>
          <c:w val="0.20410256410256411"/>
          <c:h val="5.2917439436987727E-2"/>
        </c:manualLayout>
      </c:layout>
      <c:overlay val="0"/>
      <c:spPr>
        <a:noFill/>
        <a:ln>
          <a:solidFill>
            <a:schemeClr val="tx1"/>
          </a:solidFill>
        </a:ln>
        <a:effectLst/>
      </c:spPr>
      <c:txPr>
        <a:bodyPr rot="0" spcFirstLastPara="1" vertOverflow="ellipsis" vert="horz" wrap="square" anchor="ctr" anchorCtr="1"/>
        <a:lstStyle/>
        <a:p>
          <a:pPr>
            <a:defRPr sz="1000" b="0" i="0" u="none" strike="noStrike" kern="1200" baseline="0">
              <a:solidFill>
                <a:schemeClr val="tx1"/>
              </a:solidFill>
              <a:latin typeface="Arial" panose="020B0604020202020204" pitchFamily="34" charset="0"/>
              <a:ea typeface="+mn-ea"/>
              <a:cs typeface="Arial" panose="020B0604020202020204" pitchFamily="34" charset="0"/>
            </a:defRPr>
          </a:pPr>
          <a:endParaRPr lang="en-US"/>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solidFill>
      <a:round/>
    </a:ln>
    <a:effectLst/>
  </c:spPr>
  <c:txPr>
    <a:bodyPr/>
    <a:lstStyle/>
    <a:p>
      <a:pPr>
        <a:defRPr>
          <a:solidFill>
            <a:schemeClr val="tx1"/>
          </a:solidFill>
          <a:latin typeface="Arial" panose="020B0604020202020204" pitchFamily="34" charset="0"/>
          <a:cs typeface="Arial" panose="020B0604020202020204" pitchFamily="34" charset="0"/>
        </a:defRPr>
      </a:pPr>
      <a:endParaRPr lang="en-US"/>
    </a:p>
  </c:txPr>
  <c:externalData r:id="rId3">
    <c:autoUpdate val="0"/>
  </c:externalData>
  <c:userShapes r:id="rId4"/>
</c:chartSpace>
</file>

<file path=word/charts/chart1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lineChart>
        <c:grouping val="standard"/>
        <c:varyColors val="0"/>
        <c:ser>
          <c:idx val="1"/>
          <c:order val="0"/>
          <c:tx>
            <c:strRef>
              <c:f>'T2 (6)'!$B$2</c:f>
              <c:strCache>
                <c:ptCount val="1"/>
                <c:pt idx="0">
                  <c:v>450/W/470</c:v>
                </c:pt>
              </c:strCache>
            </c:strRef>
          </c:tx>
          <c:spPr>
            <a:ln w="28575" cap="rnd">
              <a:solidFill>
                <a:schemeClr val="tx1"/>
              </a:solidFill>
              <a:round/>
            </a:ln>
            <a:effectLst/>
          </c:spPr>
          <c:marker>
            <c:symbol val="none"/>
          </c:marker>
          <c:cat>
            <c:numRef>
              <c:f>'T2 (6)'!$A$113:$A$1013</c:f>
              <c:numCache>
                <c:formatCode>General</c:formatCode>
                <c:ptCount val="901"/>
                <c:pt idx="0">
                  <c:v>300</c:v>
                </c:pt>
                <c:pt idx="1">
                  <c:v>300.5</c:v>
                </c:pt>
                <c:pt idx="2">
                  <c:v>301</c:v>
                </c:pt>
                <c:pt idx="3">
                  <c:v>301.5</c:v>
                </c:pt>
                <c:pt idx="4">
                  <c:v>302</c:v>
                </c:pt>
                <c:pt idx="5">
                  <c:v>302.5</c:v>
                </c:pt>
                <c:pt idx="6">
                  <c:v>303</c:v>
                </c:pt>
                <c:pt idx="7">
                  <c:v>303.5</c:v>
                </c:pt>
                <c:pt idx="8">
                  <c:v>304</c:v>
                </c:pt>
                <c:pt idx="9">
                  <c:v>304.5</c:v>
                </c:pt>
                <c:pt idx="10">
                  <c:v>305</c:v>
                </c:pt>
                <c:pt idx="11">
                  <c:v>305.5</c:v>
                </c:pt>
                <c:pt idx="12">
                  <c:v>306</c:v>
                </c:pt>
                <c:pt idx="13">
                  <c:v>306.5</c:v>
                </c:pt>
                <c:pt idx="14">
                  <c:v>307</c:v>
                </c:pt>
                <c:pt idx="15">
                  <c:v>307.5</c:v>
                </c:pt>
                <c:pt idx="16">
                  <c:v>308</c:v>
                </c:pt>
                <c:pt idx="17">
                  <c:v>308.5</c:v>
                </c:pt>
                <c:pt idx="18">
                  <c:v>309</c:v>
                </c:pt>
                <c:pt idx="19">
                  <c:v>309.5</c:v>
                </c:pt>
                <c:pt idx="20">
                  <c:v>310</c:v>
                </c:pt>
                <c:pt idx="21">
                  <c:v>310.5</c:v>
                </c:pt>
                <c:pt idx="22">
                  <c:v>311</c:v>
                </c:pt>
                <c:pt idx="23">
                  <c:v>311.5</c:v>
                </c:pt>
                <c:pt idx="24">
                  <c:v>312</c:v>
                </c:pt>
                <c:pt idx="25">
                  <c:v>312.5</c:v>
                </c:pt>
                <c:pt idx="26">
                  <c:v>313</c:v>
                </c:pt>
                <c:pt idx="27">
                  <c:v>313.5</c:v>
                </c:pt>
                <c:pt idx="28">
                  <c:v>314</c:v>
                </c:pt>
                <c:pt idx="29">
                  <c:v>314.5</c:v>
                </c:pt>
                <c:pt idx="30">
                  <c:v>315</c:v>
                </c:pt>
                <c:pt idx="31">
                  <c:v>315.5</c:v>
                </c:pt>
                <c:pt idx="32">
                  <c:v>316</c:v>
                </c:pt>
                <c:pt idx="33">
                  <c:v>316.5</c:v>
                </c:pt>
                <c:pt idx="34">
                  <c:v>317</c:v>
                </c:pt>
                <c:pt idx="35">
                  <c:v>317.5</c:v>
                </c:pt>
                <c:pt idx="36">
                  <c:v>318</c:v>
                </c:pt>
                <c:pt idx="37">
                  <c:v>318.5</c:v>
                </c:pt>
                <c:pt idx="38">
                  <c:v>319</c:v>
                </c:pt>
                <c:pt idx="39">
                  <c:v>319.5</c:v>
                </c:pt>
                <c:pt idx="40">
                  <c:v>320</c:v>
                </c:pt>
                <c:pt idx="41">
                  <c:v>320.5</c:v>
                </c:pt>
                <c:pt idx="42">
                  <c:v>321</c:v>
                </c:pt>
                <c:pt idx="43">
                  <c:v>321.5</c:v>
                </c:pt>
                <c:pt idx="44">
                  <c:v>322</c:v>
                </c:pt>
                <c:pt idx="45">
                  <c:v>322.5</c:v>
                </c:pt>
                <c:pt idx="46">
                  <c:v>323</c:v>
                </c:pt>
                <c:pt idx="47">
                  <c:v>323.5</c:v>
                </c:pt>
                <c:pt idx="48">
                  <c:v>324</c:v>
                </c:pt>
                <c:pt idx="49">
                  <c:v>324.5</c:v>
                </c:pt>
                <c:pt idx="50">
                  <c:v>325</c:v>
                </c:pt>
                <c:pt idx="51">
                  <c:v>325.5</c:v>
                </c:pt>
                <c:pt idx="52">
                  <c:v>326</c:v>
                </c:pt>
                <c:pt idx="53">
                  <c:v>326.5</c:v>
                </c:pt>
                <c:pt idx="54">
                  <c:v>327</c:v>
                </c:pt>
                <c:pt idx="55">
                  <c:v>327.5</c:v>
                </c:pt>
                <c:pt idx="56">
                  <c:v>328</c:v>
                </c:pt>
                <c:pt idx="57">
                  <c:v>328.5</c:v>
                </c:pt>
                <c:pt idx="58">
                  <c:v>329</c:v>
                </c:pt>
                <c:pt idx="59">
                  <c:v>329.5</c:v>
                </c:pt>
                <c:pt idx="60">
                  <c:v>330</c:v>
                </c:pt>
                <c:pt idx="61">
                  <c:v>330.5</c:v>
                </c:pt>
                <c:pt idx="62">
                  <c:v>331</c:v>
                </c:pt>
                <c:pt idx="63">
                  <c:v>331.5</c:v>
                </c:pt>
                <c:pt idx="64">
                  <c:v>332</c:v>
                </c:pt>
                <c:pt idx="65">
                  <c:v>332.5</c:v>
                </c:pt>
                <c:pt idx="66">
                  <c:v>333</c:v>
                </c:pt>
                <c:pt idx="67">
                  <c:v>333.5</c:v>
                </c:pt>
                <c:pt idx="68">
                  <c:v>334</c:v>
                </c:pt>
                <c:pt idx="69">
                  <c:v>334.5</c:v>
                </c:pt>
                <c:pt idx="70">
                  <c:v>335</c:v>
                </c:pt>
                <c:pt idx="71">
                  <c:v>335.5</c:v>
                </c:pt>
                <c:pt idx="72">
                  <c:v>336</c:v>
                </c:pt>
                <c:pt idx="73">
                  <c:v>336.5</c:v>
                </c:pt>
                <c:pt idx="74">
                  <c:v>337</c:v>
                </c:pt>
                <c:pt idx="75">
                  <c:v>337.5</c:v>
                </c:pt>
                <c:pt idx="76">
                  <c:v>338</c:v>
                </c:pt>
                <c:pt idx="77">
                  <c:v>338.5</c:v>
                </c:pt>
                <c:pt idx="78">
                  <c:v>339</c:v>
                </c:pt>
                <c:pt idx="79">
                  <c:v>339.5</c:v>
                </c:pt>
                <c:pt idx="80">
                  <c:v>340</c:v>
                </c:pt>
                <c:pt idx="81">
                  <c:v>340.5</c:v>
                </c:pt>
                <c:pt idx="82">
                  <c:v>341</c:v>
                </c:pt>
                <c:pt idx="83">
                  <c:v>341.5</c:v>
                </c:pt>
                <c:pt idx="84">
                  <c:v>342</c:v>
                </c:pt>
                <c:pt idx="85">
                  <c:v>342.5</c:v>
                </c:pt>
                <c:pt idx="86">
                  <c:v>343</c:v>
                </c:pt>
                <c:pt idx="87">
                  <c:v>343.5</c:v>
                </c:pt>
                <c:pt idx="88">
                  <c:v>344</c:v>
                </c:pt>
                <c:pt idx="89">
                  <c:v>344.5</c:v>
                </c:pt>
                <c:pt idx="90">
                  <c:v>345</c:v>
                </c:pt>
                <c:pt idx="91">
                  <c:v>345.5</c:v>
                </c:pt>
                <c:pt idx="92">
                  <c:v>346</c:v>
                </c:pt>
                <c:pt idx="93">
                  <c:v>346.5</c:v>
                </c:pt>
                <c:pt idx="94">
                  <c:v>347</c:v>
                </c:pt>
                <c:pt idx="95">
                  <c:v>347.5</c:v>
                </c:pt>
                <c:pt idx="96">
                  <c:v>348</c:v>
                </c:pt>
                <c:pt idx="97">
                  <c:v>348.5</c:v>
                </c:pt>
                <c:pt idx="98">
                  <c:v>349</c:v>
                </c:pt>
                <c:pt idx="99">
                  <c:v>349.5</c:v>
                </c:pt>
                <c:pt idx="100">
                  <c:v>350</c:v>
                </c:pt>
                <c:pt idx="101">
                  <c:v>350.5</c:v>
                </c:pt>
                <c:pt idx="102">
                  <c:v>351</c:v>
                </c:pt>
                <c:pt idx="103">
                  <c:v>351.5</c:v>
                </c:pt>
                <c:pt idx="104">
                  <c:v>352</c:v>
                </c:pt>
                <c:pt idx="105">
                  <c:v>352.5</c:v>
                </c:pt>
                <c:pt idx="106">
                  <c:v>353</c:v>
                </c:pt>
                <c:pt idx="107">
                  <c:v>353.5</c:v>
                </c:pt>
                <c:pt idx="108">
                  <c:v>354</c:v>
                </c:pt>
                <c:pt idx="109">
                  <c:v>354.5</c:v>
                </c:pt>
                <c:pt idx="110">
                  <c:v>355</c:v>
                </c:pt>
                <c:pt idx="111">
                  <c:v>355.5</c:v>
                </c:pt>
                <c:pt idx="112">
                  <c:v>356</c:v>
                </c:pt>
                <c:pt idx="113">
                  <c:v>356.5</c:v>
                </c:pt>
                <c:pt idx="114">
                  <c:v>357</c:v>
                </c:pt>
                <c:pt idx="115">
                  <c:v>357.5</c:v>
                </c:pt>
                <c:pt idx="116">
                  <c:v>358</c:v>
                </c:pt>
                <c:pt idx="117">
                  <c:v>358.5</c:v>
                </c:pt>
                <c:pt idx="118">
                  <c:v>359</c:v>
                </c:pt>
                <c:pt idx="119">
                  <c:v>359.5</c:v>
                </c:pt>
                <c:pt idx="120">
                  <c:v>360</c:v>
                </c:pt>
                <c:pt idx="121">
                  <c:v>360.5</c:v>
                </c:pt>
                <c:pt idx="122">
                  <c:v>361</c:v>
                </c:pt>
                <c:pt idx="123">
                  <c:v>361.5</c:v>
                </c:pt>
                <c:pt idx="124">
                  <c:v>362</c:v>
                </c:pt>
                <c:pt idx="125">
                  <c:v>362.5</c:v>
                </c:pt>
                <c:pt idx="126">
                  <c:v>363</c:v>
                </c:pt>
                <c:pt idx="127">
                  <c:v>363.5</c:v>
                </c:pt>
                <c:pt idx="128">
                  <c:v>364</c:v>
                </c:pt>
                <c:pt idx="129">
                  <c:v>364.5</c:v>
                </c:pt>
                <c:pt idx="130">
                  <c:v>365</c:v>
                </c:pt>
                <c:pt idx="131">
                  <c:v>365.5</c:v>
                </c:pt>
                <c:pt idx="132">
                  <c:v>366</c:v>
                </c:pt>
                <c:pt idx="133">
                  <c:v>366.5</c:v>
                </c:pt>
                <c:pt idx="134">
                  <c:v>367</c:v>
                </c:pt>
                <c:pt idx="135">
                  <c:v>367.5</c:v>
                </c:pt>
                <c:pt idx="136">
                  <c:v>368</c:v>
                </c:pt>
                <c:pt idx="137">
                  <c:v>368.5</c:v>
                </c:pt>
                <c:pt idx="138">
                  <c:v>369</c:v>
                </c:pt>
                <c:pt idx="139">
                  <c:v>369.5</c:v>
                </c:pt>
                <c:pt idx="140">
                  <c:v>370</c:v>
                </c:pt>
                <c:pt idx="141">
                  <c:v>370.5</c:v>
                </c:pt>
                <c:pt idx="142">
                  <c:v>371</c:v>
                </c:pt>
                <c:pt idx="143">
                  <c:v>371.5</c:v>
                </c:pt>
                <c:pt idx="144">
                  <c:v>372</c:v>
                </c:pt>
                <c:pt idx="145">
                  <c:v>372.5</c:v>
                </c:pt>
                <c:pt idx="146">
                  <c:v>373</c:v>
                </c:pt>
                <c:pt idx="147">
                  <c:v>373.5</c:v>
                </c:pt>
                <c:pt idx="148">
                  <c:v>374</c:v>
                </c:pt>
                <c:pt idx="149">
                  <c:v>374.5</c:v>
                </c:pt>
                <c:pt idx="150">
                  <c:v>375</c:v>
                </c:pt>
                <c:pt idx="151">
                  <c:v>375.5</c:v>
                </c:pt>
                <c:pt idx="152">
                  <c:v>376</c:v>
                </c:pt>
                <c:pt idx="153">
                  <c:v>376.5</c:v>
                </c:pt>
                <c:pt idx="154">
                  <c:v>377</c:v>
                </c:pt>
                <c:pt idx="155">
                  <c:v>377.5</c:v>
                </c:pt>
                <c:pt idx="156">
                  <c:v>378</c:v>
                </c:pt>
                <c:pt idx="157">
                  <c:v>378.5</c:v>
                </c:pt>
                <c:pt idx="158">
                  <c:v>379</c:v>
                </c:pt>
                <c:pt idx="159">
                  <c:v>379.5</c:v>
                </c:pt>
                <c:pt idx="160">
                  <c:v>380</c:v>
                </c:pt>
                <c:pt idx="161">
                  <c:v>380.5</c:v>
                </c:pt>
                <c:pt idx="162">
                  <c:v>381</c:v>
                </c:pt>
                <c:pt idx="163">
                  <c:v>381.5</c:v>
                </c:pt>
                <c:pt idx="164">
                  <c:v>382</c:v>
                </c:pt>
                <c:pt idx="165">
                  <c:v>382.5</c:v>
                </c:pt>
                <c:pt idx="166">
                  <c:v>383</c:v>
                </c:pt>
                <c:pt idx="167">
                  <c:v>383.5</c:v>
                </c:pt>
                <c:pt idx="168">
                  <c:v>384</c:v>
                </c:pt>
                <c:pt idx="169">
                  <c:v>384.5</c:v>
                </c:pt>
                <c:pt idx="170">
                  <c:v>385</c:v>
                </c:pt>
                <c:pt idx="171">
                  <c:v>385.5</c:v>
                </c:pt>
                <c:pt idx="172">
                  <c:v>386</c:v>
                </c:pt>
                <c:pt idx="173">
                  <c:v>386.5</c:v>
                </c:pt>
                <c:pt idx="174">
                  <c:v>387</c:v>
                </c:pt>
                <c:pt idx="175">
                  <c:v>387.5</c:v>
                </c:pt>
                <c:pt idx="176">
                  <c:v>388</c:v>
                </c:pt>
                <c:pt idx="177">
                  <c:v>388.5</c:v>
                </c:pt>
                <c:pt idx="178">
                  <c:v>389</c:v>
                </c:pt>
                <c:pt idx="179">
                  <c:v>389.5</c:v>
                </c:pt>
                <c:pt idx="180">
                  <c:v>390</c:v>
                </c:pt>
                <c:pt idx="181">
                  <c:v>390.5</c:v>
                </c:pt>
                <c:pt idx="182">
                  <c:v>391</c:v>
                </c:pt>
                <c:pt idx="183">
                  <c:v>391.5</c:v>
                </c:pt>
                <c:pt idx="184">
                  <c:v>392</c:v>
                </c:pt>
                <c:pt idx="185">
                  <c:v>392.5</c:v>
                </c:pt>
                <c:pt idx="186">
                  <c:v>393</c:v>
                </c:pt>
                <c:pt idx="187">
                  <c:v>393.5</c:v>
                </c:pt>
                <c:pt idx="188">
                  <c:v>394</c:v>
                </c:pt>
                <c:pt idx="189">
                  <c:v>394.5</c:v>
                </c:pt>
                <c:pt idx="190">
                  <c:v>395</c:v>
                </c:pt>
                <c:pt idx="191">
                  <c:v>395.5</c:v>
                </c:pt>
                <c:pt idx="192">
                  <c:v>396</c:v>
                </c:pt>
                <c:pt idx="193">
                  <c:v>396.5</c:v>
                </c:pt>
                <c:pt idx="194">
                  <c:v>397</c:v>
                </c:pt>
                <c:pt idx="195">
                  <c:v>397.5</c:v>
                </c:pt>
                <c:pt idx="196">
                  <c:v>398</c:v>
                </c:pt>
                <c:pt idx="197">
                  <c:v>398.5</c:v>
                </c:pt>
                <c:pt idx="198">
                  <c:v>399</c:v>
                </c:pt>
                <c:pt idx="199">
                  <c:v>399.5</c:v>
                </c:pt>
                <c:pt idx="200">
                  <c:v>400</c:v>
                </c:pt>
                <c:pt idx="201">
                  <c:v>400.5</c:v>
                </c:pt>
                <c:pt idx="202">
                  <c:v>401</c:v>
                </c:pt>
                <c:pt idx="203">
                  <c:v>401.5</c:v>
                </c:pt>
                <c:pt idx="204">
                  <c:v>402</c:v>
                </c:pt>
                <c:pt idx="205">
                  <c:v>402.5</c:v>
                </c:pt>
                <c:pt idx="206">
                  <c:v>403</c:v>
                </c:pt>
                <c:pt idx="207">
                  <c:v>403.5</c:v>
                </c:pt>
                <c:pt idx="208">
                  <c:v>404</c:v>
                </c:pt>
                <c:pt idx="209">
                  <c:v>404.5</c:v>
                </c:pt>
                <c:pt idx="210">
                  <c:v>405</c:v>
                </c:pt>
                <c:pt idx="211">
                  <c:v>405.5</c:v>
                </c:pt>
                <c:pt idx="212">
                  <c:v>406</c:v>
                </c:pt>
                <c:pt idx="213">
                  <c:v>406.5</c:v>
                </c:pt>
                <c:pt idx="214">
                  <c:v>407</c:v>
                </c:pt>
                <c:pt idx="215">
                  <c:v>407.5</c:v>
                </c:pt>
                <c:pt idx="216">
                  <c:v>408</c:v>
                </c:pt>
                <c:pt idx="217">
                  <c:v>408.5</c:v>
                </c:pt>
                <c:pt idx="218">
                  <c:v>409</c:v>
                </c:pt>
                <c:pt idx="219">
                  <c:v>409.5</c:v>
                </c:pt>
                <c:pt idx="220">
                  <c:v>410</c:v>
                </c:pt>
                <c:pt idx="221">
                  <c:v>410.5</c:v>
                </c:pt>
                <c:pt idx="222">
                  <c:v>411</c:v>
                </c:pt>
                <c:pt idx="223">
                  <c:v>411.5</c:v>
                </c:pt>
                <c:pt idx="224">
                  <c:v>412</c:v>
                </c:pt>
                <c:pt idx="225">
                  <c:v>412.5</c:v>
                </c:pt>
                <c:pt idx="226">
                  <c:v>413</c:v>
                </c:pt>
                <c:pt idx="227">
                  <c:v>413.5</c:v>
                </c:pt>
                <c:pt idx="228">
                  <c:v>414</c:v>
                </c:pt>
                <c:pt idx="229">
                  <c:v>414.5</c:v>
                </c:pt>
                <c:pt idx="230">
                  <c:v>415</c:v>
                </c:pt>
                <c:pt idx="231">
                  <c:v>415.5</c:v>
                </c:pt>
                <c:pt idx="232">
                  <c:v>416</c:v>
                </c:pt>
                <c:pt idx="233">
                  <c:v>416.5</c:v>
                </c:pt>
                <c:pt idx="234">
                  <c:v>417</c:v>
                </c:pt>
                <c:pt idx="235">
                  <c:v>417.5</c:v>
                </c:pt>
                <c:pt idx="236">
                  <c:v>418</c:v>
                </c:pt>
                <c:pt idx="237">
                  <c:v>418.5</c:v>
                </c:pt>
                <c:pt idx="238">
                  <c:v>419</c:v>
                </c:pt>
                <c:pt idx="239">
                  <c:v>419.5</c:v>
                </c:pt>
                <c:pt idx="240">
                  <c:v>420</c:v>
                </c:pt>
                <c:pt idx="241">
                  <c:v>420.5</c:v>
                </c:pt>
                <c:pt idx="242">
                  <c:v>421</c:v>
                </c:pt>
                <c:pt idx="243">
                  <c:v>421.5</c:v>
                </c:pt>
                <c:pt idx="244">
                  <c:v>422</c:v>
                </c:pt>
                <c:pt idx="245">
                  <c:v>422.5</c:v>
                </c:pt>
                <c:pt idx="246">
                  <c:v>423</c:v>
                </c:pt>
                <c:pt idx="247">
                  <c:v>423.5</c:v>
                </c:pt>
                <c:pt idx="248">
                  <c:v>424</c:v>
                </c:pt>
                <c:pt idx="249">
                  <c:v>424.5</c:v>
                </c:pt>
                <c:pt idx="250">
                  <c:v>425</c:v>
                </c:pt>
                <c:pt idx="251">
                  <c:v>425.5</c:v>
                </c:pt>
                <c:pt idx="252">
                  <c:v>426</c:v>
                </c:pt>
                <c:pt idx="253">
                  <c:v>426.5</c:v>
                </c:pt>
                <c:pt idx="254">
                  <c:v>427</c:v>
                </c:pt>
                <c:pt idx="255">
                  <c:v>427.5</c:v>
                </c:pt>
                <c:pt idx="256">
                  <c:v>428</c:v>
                </c:pt>
                <c:pt idx="257">
                  <c:v>428.5</c:v>
                </c:pt>
                <c:pt idx="258">
                  <c:v>429</c:v>
                </c:pt>
                <c:pt idx="259">
                  <c:v>429.5</c:v>
                </c:pt>
                <c:pt idx="260">
                  <c:v>430</c:v>
                </c:pt>
                <c:pt idx="261">
                  <c:v>430.5</c:v>
                </c:pt>
                <c:pt idx="262">
                  <c:v>431</c:v>
                </c:pt>
                <c:pt idx="263">
                  <c:v>431.5</c:v>
                </c:pt>
                <c:pt idx="264">
                  <c:v>432</c:v>
                </c:pt>
                <c:pt idx="265">
                  <c:v>432.5</c:v>
                </c:pt>
                <c:pt idx="266">
                  <c:v>433</c:v>
                </c:pt>
                <c:pt idx="267">
                  <c:v>433.5</c:v>
                </c:pt>
                <c:pt idx="268">
                  <c:v>434</c:v>
                </c:pt>
                <c:pt idx="269">
                  <c:v>434.5</c:v>
                </c:pt>
                <c:pt idx="270">
                  <c:v>435</c:v>
                </c:pt>
                <c:pt idx="271">
                  <c:v>435.5</c:v>
                </c:pt>
                <c:pt idx="272">
                  <c:v>436</c:v>
                </c:pt>
                <c:pt idx="273">
                  <c:v>436.5</c:v>
                </c:pt>
                <c:pt idx="274">
                  <c:v>437</c:v>
                </c:pt>
                <c:pt idx="275">
                  <c:v>437.5</c:v>
                </c:pt>
                <c:pt idx="276">
                  <c:v>438</c:v>
                </c:pt>
                <c:pt idx="277">
                  <c:v>438.5</c:v>
                </c:pt>
                <c:pt idx="278">
                  <c:v>439</c:v>
                </c:pt>
                <c:pt idx="279">
                  <c:v>439.5</c:v>
                </c:pt>
                <c:pt idx="280">
                  <c:v>440</c:v>
                </c:pt>
                <c:pt idx="281">
                  <c:v>440.5</c:v>
                </c:pt>
                <c:pt idx="282">
                  <c:v>441</c:v>
                </c:pt>
                <c:pt idx="283">
                  <c:v>441.5</c:v>
                </c:pt>
                <c:pt idx="284">
                  <c:v>442</c:v>
                </c:pt>
                <c:pt idx="285">
                  <c:v>442.5</c:v>
                </c:pt>
                <c:pt idx="286">
                  <c:v>443</c:v>
                </c:pt>
                <c:pt idx="287">
                  <c:v>443.5</c:v>
                </c:pt>
                <c:pt idx="288">
                  <c:v>444</c:v>
                </c:pt>
                <c:pt idx="289">
                  <c:v>444.5</c:v>
                </c:pt>
                <c:pt idx="290">
                  <c:v>445</c:v>
                </c:pt>
                <c:pt idx="291">
                  <c:v>445.5</c:v>
                </c:pt>
                <c:pt idx="292">
                  <c:v>446</c:v>
                </c:pt>
                <c:pt idx="293">
                  <c:v>446.5</c:v>
                </c:pt>
                <c:pt idx="294">
                  <c:v>447</c:v>
                </c:pt>
                <c:pt idx="295">
                  <c:v>447.5</c:v>
                </c:pt>
                <c:pt idx="296">
                  <c:v>448</c:v>
                </c:pt>
                <c:pt idx="297">
                  <c:v>448.5</c:v>
                </c:pt>
                <c:pt idx="298">
                  <c:v>449</c:v>
                </c:pt>
                <c:pt idx="299">
                  <c:v>449.5</c:v>
                </c:pt>
                <c:pt idx="300">
                  <c:v>450</c:v>
                </c:pt>
                <c:pt idx="301">
                  <c:v>450.5</c:v>
                </c:pt>
                <c:pt idx="302">
                  <c:v>451</c:v>
                </c:pt>
                <c:pt idx="303">
                  <c:v>451.5</c:v>
                </c:pt>
                <c:pt idx="304">
                  <c:v>452</c:v>
                </c:pt>
                <c:pt idx="305">
                  <c:v>452.5</c:v>
                </c:pt>
                <c:pt idx="306">
                  <c:v>453</c:v>
                </c:pt>
                <c:pt idx="307">
                  <c:v>453.5</c:v>
                </c:pt>
                <c:pt idx="308">
                  <c:v>454</c:v>
                </c:pt>
                <c:pt idx="309">
                  <c:v>454.5</c:v>
                </c:pt>
                <c:pt idx="310">
                  <c:v>455</c:v>
                </c:pt>
                <c:pt idx="311">
                  <c:v>455.5</c:v>
                </c:pt>
                <c:pt idx="312">
                  <c:v>456</c:v>
                </c:pt>
                <c:pt idx="313">
                  <c:v>456.5</c:v>
                </c:pt>
                <c:pt idx="314">
                  <c:v>457</c:v>
                </c:pt>
                <c:pt idx="315">
                  <c:v>457.5</c:v>
                </c:pt>
                <c:pt idx="316">
                  <c:v>458</c:v>
                </c:pt>
                <c:pt idx="317">
                  <c:v>458.5</c:v>
                </c:pt>
                <c:pt idx="318">
                  <c:v>459</c:v>
                </c:pt>
                <c:pt idx="319">
                  <c:v>459.5</c:v>
                </c:pt>
                <c:pt idx="320">
                  <c:v>460</c:v>
                </c:pt>
                <c:pt idx="321">
                  <c:v>460.5</c:v>
                </c:pt>
                <c:pt idx="322">
                  <c:v>461</c:v>
                </c:pt>
                <c:pt idx="323">
                  <c:v>461.5</c:v>
                </c:pt>
                <c:pt idx="324">
                  <c:v>462</c:v>
                </c:pt>
                <c:pt idx="325">
                  <c:v>462.5</c:v>
                </c:pt>
                <c:pt idx="326">
                  <c:v>463</c:v>
                </c:pt>
                <c:pt idx="327">
                  <c:v>463.5</c:v>
                </c:pt>
                <c:pt idx="328">
                  <c:v>464</c:v>
                </c:pt>
                <c:pt idx="329">
                  <c:v>464.5</c:v>
                </c:pt>
                <c:pt idx="330">
                  <c:v>465</c:v>
                </c:pt>
                <c:pt idx="331">
                  <c:v>465.5</c:v>
                </c:pt>
                <c:pt idx="332">
                  <c:v>466</c:v>
                </c:pt>
                <c:pt idx="333">
                  <c:v>466.5</c:v>
                </c:pt>
                <c:pt idx="334">
                  <c:v>467</c:v>
                </c:pt>
                <c:pt idx="335">
                  <c:v>467.5</c:v>
                </c:pt>
                <c:pt idx="336">
                  <c:v>468</c:v>
                </c:pt>
                <c:pt idx="337">
                  <c:v>468.5</c:v>
                </c:pt>
                <c:pt idx="338">
                  <c:v>469</c:v>
                </c:pt>
                <c:pt idx="339">
                  <c:v>469.5</c:v>
                </c:pt>
                <c:pt idx="340">
                  <c:v>470</c:v>
                </c:pt>
                <c:pt idx="341">
                  <c:v>470.5</c:v>
                </c:pt>
                <c:pt idx="342">
                  <c:v>471</c:v>
                </c:pt>
                <c:pt idx="343">
                  <c:v>471.5</c:v>
                </c:pt>
                <c:pt idx="344">
                  <c:v>472</c:v>
                </c:pt>
                <c:pt idx="345">
                  <c:v>472.5</c:v>
                </c:pt>
                <c:pt idx="346">
                  <c:v>473</c:v>
                </c:pt>
                <c:pt idx="347">
                  <c:v>473.5</c:v>
                </c:pt>
                <c:pt idx="348">
                  <c:v>474</c:v>
                </c:pt>
                <c:pt idx="349">
                  <c:v>474.5</c:v>
                </c:pt>
                <c:pt idx="350">
                  <c:v>475</c:v>
                </c:pt>
                <c:pt idx="351">
                  <c:v>475.5</c:v>
                </c:pt>
                <c:pt idx="352">
                  <c:v>476</c:v>
                </c:pt>
                <c:pt idx="353">
                  <c:v>476.5</c:v>
                </c:pt>
                <c:pt idx="354">
                  <c:v>477</c:v>
                </c:pt>
                <c:pt idx="355">
                  <c:v>477.5</c:v>
                </c:pt>
                <c:pt idx="356">
                  <c:v>478</c:v>
                </c:pt>
                <c:pt idx="357">
                  <c:v>478.5</c:v>
                </c:pt>
                <c:pt idx="358">
                  <c:v>479</c:v>
                </c:pt>
                <c:pt idx="359">
                  <c:v>479.5</c:v>
                </c:pt>
                <c:pt idx="360">
                  <c:v>480</c:v>
                </c:pt>
                <c:pt idx="361">
                  <c:v>480.5</c:v>
                </c:pt>
                <c:pt idx="362">
                  <c:v>481</c:v>
                </c:pt>
                <c:pt idx="363">
                  <c:v>481.5</c:v>
                </c:pt>
                <c:pt idx="364">
                  <c:v>482</c:v>
                </c:pt>
                <c:pt idx="365">
                  <c:v>482.5</c:v>
                </c:pt>
                <c:pt idx="366">
                  <c:v>483</c:v>
                </c:pt>
                <c:pt idx="367">
                  <c:v>483.5</c:v>
                </c:pt>
                <c:pt idx="368">
                  <c:v>484</c:v>
                </c:pt>
                <c:pt idx="369">
                  <c:v>484.5</c:v>
                </c:pt>
                <c:pt idx="370">
                  <c:v>485</c:v>
                </c:pt>
                <c:pt idx="371">
                  <c:v>485.5</c:v>
                </c:pt>
                <c:pt idx="372">
                  <c:v>486</c:v>
                </c:pt>
                <c:pt idx="373">
                  <c:v>486.5</c:v>
                </c:pt>
                <c:pt idx="374">
                  <c:v>487</c:v>
                </c:pt>
                <c:pt idx="375">
                  <c:v>487.5</c:v>
                </c:pt>
                <c:pt idx="376">
                  <c:v>488</c:v>
                </c:pt>
                <c:pt idx="377">
                  <c:v>488.5</c:v>
                </c:pt>
                <c:pt idx="378">
                  <c:v>489</c:v>
                </c:pt>
                <c:pt idx="379">
                  <c:v>489.5</c:v>
                </c:pt>
                <c:pt idx="380">
                  <c:v>490</c:v>
                </c:pt>
                <c:pt idx="381">
                  <c:v>490.5</c:v>
                </c:pt>
                <c:pt idx="382">
                  <c:v>491</c:v>
                </c:pt>
                <c:pt idx="383">
                  <c:v>491.5</c:v>
                </c:pt>
                <c:pt idx="384">
                  <c:v>492</c:v>
                </c:pt>
                <c:pt idx="385">
                  <c:v>492.5</c:v>
                </c:pt>
                <c:pt idx="386">
                  <c:v>493</c:v>
                </c:pt>
                <c:pt idx="387">
                  <c:v>493.5</c:v>
                </c:pt>
                <c:pt idx="388">
                  <c:v>494</c:v>
                </c:pt>
                <c:pt idx="389">
                  <c:v>494.5</c:v>
                </c:pt>
                <c:pt idx="390">
                  <c:v>495</c:v>
                </c:pt>
                <c:pt idx="391">
                  <c:v>495.5</c:v>
                </c:pt>
                <c:pt idx="392">
                  <c:v>496</c:v>
                </c:pt>
                <c:pt idx="393">
                  <c:v>496.5</c:v>
                </c:pt>
                <c:pt idx="394">
                  <c:v>497</c:v>
                </c:pt>
                <c:pt idx="395">
                  <c:v>497.5</c:v>
                </c:pt>
                <c:pt idx="396">
                  <c:v>498</c:v>
                </c:pt>
                <c:pt idx="397">
                  <c:v>498.5</c:v>
                </c:pt>
                <c:pt idx="398">
                  <c:v>499</c:v>
                </c:pt>
                <c:pt idx="399">
                  <c:v>499.5</c:v>
                </c:pt>
                <c:pt idx="400">
                  <c:v>500</c:v>
                </c:pt>
                <c:pt idx="401">
                  <c:v>500.5</c:v>
                </c:pt>
                <c:pt idx="402">
                  <c:v>501</c:v>
                </c:pt>
                <c:pt idx="403">
                  <c:v>501.5</c:v>
                </c:pt>
                <c:pt idx="404">
                  <c:v>502</c:v>
                </c:pt>
                <c:pt idx="405">
                  <c:v>502.5</c:v>
                </c:pt>
                <c:pt idx="406">
                  <c:v>503</c:v>
                </c:pt>
                <c:pt idx="407">
                  <c:v>503.5</c:v>
                </c:pt>
                <c:pt idx="408">
                  <c:v>504</c:v>
                </c:pt>
                <c:pt idx="409">
                  <c:v>504.5</c:v>
                </c:pt>
                <c:pt idx="410">
                  <c:v>505</c:v>
                </c:pt>
                <c:pt idx="411">
                  <c:v>505.5</c:v>
                </c:pt>
                <c:pt idx="412">
                  <c:v>506</c:v>
                </c:pt>
                <c:pt idx="413">
                  <c:v>506.5</c:v>
                </c:pt>
                <c:pt idx="414">
                  <c:v>507</c:v>
                </c:pt>
                <c:pt idx="415">
                  <c:v>507.5</c:v>
                </c:pt>
                <c:pt idx="416">
                  <c:v>508</c:v>
                </c:pt>
                <c:pt idx="417">
                  <c:v>508.5</c:v>
                </c:pt>
                <c:pt idx="418">
                  <c:v>509</c:v>
                </c:pt>
                <c:pt idx="419">
                  <c:v>509.5</c:v>
                </c:pt>
                <c:pt idx="420">
                  <c:v>510</c:v>
                </c:pt>
                <c:pt idx="421">
                  <c:v>510.5</c:v>
                </c:pt>
                <c:pt idx="422">
                  <c:v>511</c:v>
                </c:pt>
                <c:pt idx="423">
                  <c:v>511.5</c:v>
                </c:pt>
                <c:pt idx="424">
                  <c:v>512</c:v>
                </c:pt>
                <c:pt idx="425">
                  <c:v>512.5</c:v>
                </c:pt>
                <c:pt idx="426">
                  <c:v>513</c:v>
                </c:pt>
                <c:pt idx="427">
                  <c:v>513.5</c:v>
                </c:pt>
                <c:pt idx="428">
                  <c:v>514</c:v>
                </c:pt>
                <c:pt idx="429">
                  <c:v>514.5</c:v>
                </c:pt>
                <c:pt idx="430">
                  <c:v>515</c:v>
                </c:pt>
                <c:pt idx="431">
                  <c:v>515.5</c:v>
                </c:pt>
                <c:pt idx="432">
                  <c:v>516</c:v>
                </c:pt>
                <c:pt idx="433">
                  <c:v>516.5</c:v>
                </c:pt>
                <c:pt idx="434">
                  <c:v>517</c:v>
                </c:pt>
                <c:pt idx="435">
                  <c:v>517.5</c:v>
                </c:pt>
                <c:pt idx="436">
                  <c:v>518</c:v>
                </c:pt>
                <c:pt idx="437">
                  <c:v>518.5</c:v>
                </c:pt>
                <c:pt idx="438">
                  <c:v>519</c:v>
                </c:pt>
                <c:pt idx="439">
                  <c:v>519.5</c:v>
                </c:pt>
                <c:pt idx="440">
                  <c:v>520</c:v>
                </c:pt>
                <c:pt idx="441">
                  <c:v>520.5</c:v>
                </c:pt>
                <c:pt idx="442">
                  <c:v>521</c:v>
                </c:pt>
                <c:pt idx="443">
                  <c:v>521.5</c:v>
                </c:pt>
                <c:pt idx="444">
                  <c:v>522</c:v>
                </c:pt>
                <c:pt idx="445">
                  <c:v>522.5</c:v>
                </c:pt>
                <c:pt idx="446">
                  <c:v>523</c:v>
                </c:pt>
                <c:pt idx="447">
                  <c:v>523.5</c:v>
                </c:pt>
                <c:pt idx="448">
                  <c:v>524</c:v>
                </c:pt>
                <c:pt idx="449">
                  <c:v>524.5</c:v>
                </c:pt>
                <c:pt idx="450">
                  <c:v>525</c:v>
                </c:pt>
                <c:pt idx="451">
                  <c:v>525.5</c:v>
                </c:pt>
                <c:pt idx="452">
                  <c:v>526</c:v>
                </c:pt>
                <c:pt idx="453">
                  <c:v>526.5</c:v>
                </c:pt>
                <c:pt idx="454">
                  <c:v>527</c:v>
                </c:pt>
                <c:pt idx="455">
                  <c:v>527.5</c:v>
                </c:pt>
                <c:pt idx="456">
                  <c:v>528</c:v>
                </c:pt>
                <c:pt idx="457">
                  <c:v>528.5</c:v>
                </c:pt>
                <c:pt idx="458">
                  <c:v>529</c:v>
                </c:pt>
                <c:pt idx="459">
                  <c:v>529.5</c:v>
                </c:pt>
                <c:pt idx="460">
                  <c:v>530</c:v>
                </c:pt>
                <c:pt idx="461">
                  <c:v>530.5</c:v>
                </c:pt>
                <c:pt idx="462">
                  <c:v>531</c:v>
                </c:pt>
                <c:pt idx="463">
                  <c:v>531.5</c:v>
                </c:pt>
                <c:pt idx="464">
                  <c:v>532</c:v>
                </c:pt>
                <c:pt idx="465">
                  <c:v>532.5</c:v>
                </c:pt>
                <c:pt idx="466">
                  <c:v>533</c:v>
                </c:pt>
                <c:pt idx="467">
                  <c:v>533.5</c:v>
                </c:pt>
                <c:pt idx="468">
                  <c:v>534</c:v>
                </c:pt>
                <c:pt idx="469">
                  <c:v>534.5</c:v>
                </c:pt>
                <c:pt idx="470">
                  <c:v>535</c:v>
                </c:pt>
                <c:pt idx="471">
                  <c:v>535.5</c:v>
                </c:pt>
                <c:pt idx="472">
                  <c:v>536</c:v>
                </c:pt>
                <c:pt idx="473">
                  <c:v>536.5</c:v>
                </c:pt>
                <c:pt idx="474">
                  <c:v>537</c:v>
                </c:pt>
                <c:pt idx="475">
                  <c:v>537.5</c:v>
                </c:pt>
                <c:pt idx="476">
                  <c:v>538</c:v>
                </c:pt>
                <c:pt idx="477">
                  <c:v>538.5</c:v>
                </c:pt>
                <c:pt idx="478">
                  <c:v>539</c:v>
                </c:pt>
                <c:pt idx="479">
                  <c:v>539.5</c:v>
                </c:pt>
                <c:pt idx="480">
                  <c:v>540</c:v>
                </c:pt>
                <c:pt idx="481">
                  <c:v>540.5</c:v>
                </c:pt>
                <c:pt idx="482">
                  <c:v>541</c:v>
                </c:pt>
                <c:pt idx="483">
                  <c:v>541.5</c:v>
                </c:pt>
                <c:pt idx="484">
                  <c:v>542</c:v>
                </c:pt>
                <c:pt idx="485">
                  <c:v>542.5</c:v>
                </c:pt>
                <c:pt idx="486">
                  <c:v>543</c:v>
                </c:pt>
                <c:pt idx="487">
                  <c:v>543.5</c:v>
                </c:pt>
                <c:pt idx="488">
                  <c:v>544</c:v>
                </c:pt>
                <c:pt idx="489">
                  <c:v>544.5</c:v>
                </c:pt>
                <c:pt idx="490">
                  <c:v>545</c:v>
                </c:pt>
                <c:pt idx="491">
                  <c:v>545.5</c:v>
                </c:pt>
                <c:pt idx="492">
                  <c:v>546</c:v>
                </c:pt>
                <c:pt idx="493">
                  <c:v>546.5</c:v>
                </c:pt>
                <c:pt idx="494">
                  <c:v>547</c:v>
                </c:pt>
                <c:pt idx="495">
                  <c:v>547.5</c:v>
                </c:pt>
                <c:pt idx="496">
                  <c:v>548</c:v>
                </c:pt>
                <c:pt idx="497">
                  <c:v>548.5</c:v>
                </c:pt>
                <c:pt idx="498">
                  <c:v>549</c:v>
                </c:pt>
                <c:pt idx="499">
                  <c:v>549.5</c:v>
                </c:pt>
                <c:pt idx="500">
                  <c:v>550</c:v>
                </c:pt>
                <c:pt idx="501">
                  <c:v>550.5</c:v>
                </c:pt>
                <c:pt idx="502">
                  <c:v>551</c:v>
                </c:pt>
                <c:pt idx="503">
                  <c:v>551.5</c:v>
                </c:pt>
                <c:pt idx="504">
                  <c:v>552</c:v>
                </c:pt>
                <c:pt idx="505">
                  <c:v>552.5</c:v>
                </c:pt>
                <c:pt idx="506">
                  <c:v>553</c:v>
                </c:pt>
                <c:pt idx="507">
                  <c:v>553.5</c:v>
                </c:pt>
                <c:pt idx="508">
                  <c:v>554</c:v>
                </c:pt>
                <c:pt idx="509">
                  <c:v>554.5</c:v>
                </c:pt>
                <c:pt idx="510">
                  <c:v>555</c:v>
                </c:pt>
                <c:pt idx="511">
                  <c:v>555.5</c:v>
                </c:pt>
                <c:pt idx="512">
                  <c:v>556</c:v>
                </c:pt>
                <c:pt idx="513">
                  <c:v>556.5</c:v>
                </c:pt>
                <c:pt idx="514">
                  <c:v>557</c:v>
                </c:pt>
                <c:pt idx="515">
                  <c:v>557.5</c:v>
                </c:pt>
                <c:pt idx="516">
                  <c:v>558</c:v>
                </c:pt>
                <c:pt idx="517">
                  <c:v>558.5</c:v>
                </c:pt>
                <c:pt idx="518">
                  <c:v>559</c:v>
                </c:pt>
                <c:pt idx="519">
                  <c:v>559.5</c:v>
                </c:pt>
                <c:pt idx="520">
                  <c:v>560</c:v>
                </c:pt>
                <c:pt idx="521">
                  <c:v>560.5</c:v>
                </c:pt>
                <c:pt idx="522">
                  <c:v>561</c:v>
                </c:pt>
                <c:pt idx="523">
                  <c:v>561.5</c:v>
                </c:pt>
                <c:pt idx="524">
                  <c:v>562</c:v>
                </c:pt>
                <c:pt idx="525">
                  <c:v>562.5</c:v>
                </c:pt>
                <c:pt idx="526">
                  <c:v>563</c:v>
                </c:pt>
                <c:pt idx="527">
                  <c:v>563.5</c:v>
                </c:pt>
                <c:pt idx="528">
                  <c:v>564</c:v>
                </c:pt>
                <c:pt idx="529">
                  <c:v>564.5</c:v>
                </c:pt>
                <c:pt idx="530">
                  <c:v>565</c:v>
                </c:pt>
                <c:pt idx="531">
                  <c:v>565.5</c:v>
                </c:pt>
                <c:pt idx="532">
                  <c:v>566</c:v>
                </c:pt>
                <c:pt idx="533">
                  <c:v>566.5</c:v>
                </c:pt>
                <c:pt idx="534">
                  <c:v>567</c:v>
                </c:pt>
                <c:pt idx="535">
                  <c:v>567.5</c:v>
                </c:pt>
                <c:pt idx="536">
                  <c:v>568</c:v>
                </c:pt>
                <c:pt idx="537">
                  <c:v>568.5</c:v>
                </c:pt>
                <c:pt idx="538">
                  <c:v>569</c:v>
                </c:pt>
                <c:pt idx="539">
                  <c:v>569.5</c:v>
                </c:pt>
                <c:pt idx="540">
                  <c:v>570</c:v>
                </c:pt>
                <c:pt idx="541">
                  <c:v>570.5</c:v>
                </c:pt>
                <c:pt idx="542">
                  <c:v>571</c:v>
                </c:pt>
                <c:pt idx="543">
                  <c:v>571.5</c:v>
                </c:pt>
                <c:pt idx="544">
                  <c:v>572</c:v>
                </c:pt>
                <c:pt idx="545">
                  <c:v>572.5</c:v>
                </c:pt>
                <c:pt idx="546">
                  <c:v>573</c:v>
                </c:pt>
                <c:pt idx="547">
                  <c:v>573.5</c:v>
                </c:pt>
                <c:pt idx="548">
                  <c:v>574</c:v>
                </c:pt>
                <c:pt idx="549">
                  <c:v>574.5</c:v>
                </c:pt>
                <c:pt idx="550">
                  <c:v>575</c:v>
                </c:pt>
                <c:pt idx="551">
                  <c:v>575.5</c:v>
                </c:pt>
                <c:pt idx="552">
                  <c:v>576</c:v>
                </c:pt>
                <c:pt idx="553">
                  <c:v>576.5</c:v>
                </c:pt>
                <c:pt idx="554">
                  <c:v>577</c:v>
                </c:pt>
                <c:pt idx="555">
                  <c:v>577.5</c:v>
                </c:pt>
                <c:pt idx="556">
                  <c:v>578</c:v>
                </c:pt>
                <c:pt idx="557">
                  <c:v>578.5</c:v>
                </c:pt>
                <c:pt idx="558">
                  <c:v>579</c:v>
                </c:pt>
                <c:pt idx="559">
                  <c:v>579.5</c:v>
                </c:pt>
                <c:pt idx="560">
                  <c:v>580</c:v>
                </c:pt>
                <c:pt idx="561">
                  <c:v>580.5</c:v>
                </c:pt>
                <c:pt idx="562">
                  <c:v>581</c:v>
                </c:pt>
                <c:pt idx="563">
                  <c:v>581.5</c:v>
                </c:pt>
                <c:pt idx="564">
                  <c:v>582</c:v>
                </c:pt>
                <c:pt idx="565">
                  <c:v>582.5</c:v>
                </c:pt>
                <c:pt idx="566">
                  <c:v>583</c:v>
                </c:pt>
                <c:pt idx="567">
                  <c:v>583.5</c:v>
                </c:pt>
                <c:pt idx="568">
                  <c:v>584</c:v>
                </c:pt>
                <c:pt idx="569">
                  <c:v>584.5</c:v>
                </c:pt>
                <c:pt idx="570">
                  <c:v>585</c:v>
                </c:pt>
                <c:pt idx="571">
                  <c:v>585.5</c:v>
                </c:pt>
                <c:pt idx="572">
                  <c:v>586</c:v>
                </c:pt>
                <c:pt idx="573">
                  <c:v>586.5</c:v>
                </c:pt>
                <c:pt idx="574">
                  <c:v>587</c:v>
                </c:pt>
                <c:pt idx="575">
                  <c:v>587.5</c:v>
                </c:pt>
                <c:pt idx="576">
                  <c:v>588</c:v>
                </c:pt>
                <c:pt idx="577">
                  <c:v>588.5</c:v>
                </c:pt>
                <c:pt idx="578">
                  <c:v>589</c:v>
                </c:pt>
                <c:pt idx="579">
                  <c:v>589.5</c:v>
                </c:pt>
                <c:pt idx="580">
                  <c:v>590</c:v>
                </c:pt>
                <c:pt idx="581">
                  <c:v>590.5</c:v>
                </c:pt>
                <c:pt idx="582">
                  <c:v>591</c:v>
                </c:pt>
                <c:pt idx="583">
                  <c:v>591.5</c:v>
                </c:pt>
                <c:pt idx="584">
                  <c:v>592</c:v>
                </c:pt>
                <c:pt idx="585">
                  <c:v>592.5</c:v>
                </c:pt>
                <c:pt idx="586">
                  <c:v>593</c:v>
                </c:pt>
                <c:pt idx="587">
                  <c:v>593.5</c:v>
                </c:pt>
                <c:pt idx="588">
                  <c:v>594</c:v>
                </c:pt>
                <c:pt idx="589">
                  <c:v>594.5</c:v>
                </c:pt>
                <c:pt idx="590">
                  <c:v>595</c:v>
                </c:pt>
                <c:pt idx="591">
                  <c:v>595.5</c:v>
                </c:pt>
                <c:pt idx="592">
                  <c:v>596</c:v>
                </c:pt>
                <c:pt idx="593">
                  <c:v>596.5</c:v>
                </c:pt>
                <c:pt idx="594">
                  <c:v>597</c:v>
                </c:pt>
                <c:pt idx="595">
                  <c:v>597.5</c:v>
                </c:pt>
                <c:pt idx="596">
                  <c:v>598</c:v>
                </c:pt>
                <c:pt idx="597">
                  <c:v>598.5</c:v>
                </c:pt>
                <c:pt idx="598">
                  <c:v>599</c:v>
                </c:pt>
                <c:pt idx="599">
                  <c:v>599.5</c:v>
                </c:pt>
                <c:pt idx="600">
                  <c:v>600</c:v>
                </c:pt>
                <c:pt idx="601">
                  <c:v>600.5</c:v>
                </c:pt>
                <c:pt idx="602">
                  <c:v>601</c:v>
                </c:pt>
                <c:pt idx="603">
                  <c:v>601.5</c:v>
                </c:pt>
                <c:pt idx="604">
                  <c:v>602</c:v>
                </c:pt>
                <c:pt idx="605">
                  <c:v>602.5</c:v>
                </c:pt>
                <c:pt idx="606">
                  <c:v>603</c:v>
                </c:pt>
                <c:pt idx="607">
                  <c:v>603.5</c:v>
                </c:pt>
                <c:pt idx="608">
                  <c:v>604</c:v>
                </c:pt>
                <c:pt idx="609">
                  <c:v>604.5</c:v>
                </c:pt>
                <c:pt idx="610">
                  <c:v>605</c:v>
                </c:pt>
                <c:pt idx="611">
                  <c:v>605.5</c:v>
                </c:pt>
                <c:pt idx="612">
                  <c:v>606</c:v>
                </c:pt>
                <c:pt idx="613">
                  <c:v>606.5</c:v>
                </c:pt>
                <c:pt idx="614">
                  <c:v>607</c:v>
                </c:pt>
                <c:pt idx="615">
                  <c:v>607.5</c:v>
                </c:pt>
                <c:pt idx="616">
                  <c:v>608</c:v>
                </c:pt>
                <c:pt idx="617">
                  <c:v>608.5</c:v>
                </c:pt>
                <c:pt idx="618">
                  <c:v>609</c:v>
                </c:pt>
                <c:pt idx="619">
                  <c:v>609.5</c:v>
                </c:pt>
                <c:pt idx="620">
                  <c:v>610</c:v>
                </c:pt>
                <c:pt idx="621">
                  <c:v>610.5</c:v>
                </c:pt>
                <c:pt idx="622">
                  <c:v>611</c:v>
                </c:pt>
                <c:pt idx="623">
                  <c:v>611.5</c:v>
                </c:pt>
                <c:pt idx="624">
                  <c:v>612</c:v>
                </c:pt>
                <c:pt idx="625">
                  <c:v>612.5</c:v>
                </c:pt>
                <c:pt idx="626">
                  <c:v>613</c:v>
                </c:pt>
                <c:pt idx="627">
                  <c:v>613.5</c:v>
                </c:pt>
                <c:pt idx="628">
                  <c:v>614</c:v>
                </c:pt>
                <c:pt idx="629">
                  <c:v>614.5</c:v>
                </c:pt>
                <c:pt idx="630">
                  <c:v>615</c:v>
                </c:pt>
                <c:pt idx="631">
                  <c:v>615.5</c:v>
                </c:pt>
                <c:pt idx="632">
                  <c:v>616</c:v>
                </c:pt>
                <c:pt idx="633">
                  <c:v>616.5</c:v>
                </c:pt>
                <c:pt idx="634">
                  <c:v>617</c:v>
                </c:pt>
                <c:pt idx="635">
                  <c:v>617.5</c:v>
                </c:pt>
                <c:pt idx="636">
                  <c:v>618</c:v>
                </c:pt>
                <c:pt idx="637">
                  <c:v>618.5</c:v>
                </c:pt>
                <c:pt idx="638">
                  <c:v>619</c:v>
                </c:pt>
                <c:pt idx="639">
                  <c:v>619.5</c:v>
                </c:pt>
                <c:pt idx="640">
                  <c:v>620</c:v>
                </c:pt>
                <c:pt idx="641">
                  <c:v>620.5</c:v>
                </c:pt>
                <c:pt idx="642">
                  <c:v>621</c:v>
                </c:pt>
                <c:pt idx="643">
                  <c:v>621.5</c:v>
                </c:pt>
                <c:pt idx="644">
                  <c:v>622</c:v>
                </c:pt>
                <c:pt idx="645">
                  <c:v>622.5</c:v>
                </c:pt>
                <c:pt idx="646">
                  <c:v>623</c:v>
                </c:pt>
                <c:pt idx="647">
                  <c:v>623.5</c:v>
                </c:pt>
                <c:pt idx="648">
                  <c:v>624</c:v>
                </c:pt>
                <c:pt idx="649">
                  <c:v>624.5</c:v>
                </c:pt>
                <c:pt idx="650">
                  <c:v>625</c:v>
                </c:pt>
                <c:pt idx="651">
                  <c:v>625.5</c:v>
                </c:pt>
                <c:pt idx="652">
                  <c:v>626</c:v>
                </c:pt>
                <c:pt idx="653">
                  <c:v>626.5</c:v>
                </c:pt>
                <c:pt idx="654">
                  <c:v>627</c:v>
                </c:pt>
                <c:pt idx="655">
                  <c:v>627.5</c:v>
                </c:pt>
                <c:pt idx="656">
                  <c:v>628</c:v>
                </c:pt>
                <c:pt idx="657">
                  <c:v>628.5</c:v>
                </c:pt>
                <c:pt idx="658">
                  <c:v>629</c:v>
                </c:pt>
                <c:pt idx="659">
                  <c:v>629.5</c:v>
                </c:pt>
                <c:pt idx="660">
                  <c:v>630</c:v>
                </c:pt>
                <c:pt idx="661">
                  <c:v>630.5</c:v>
                </c:pt>
                <c:pt idx="662">
                  <c:v>631</c:v>
                </c:pt>
                <c:pt idx="663">
                  <c:v>631.5</c:v>
                </c:pt>
                <c:pt idx="664">
                  <c:v>632</c:v>
                </c:pt>
                <c:pt idx="665">
                  <c:v>632.5</c:v>
                </c:pt>
                <c:pt idx="666">
                  <c:v>633</c:v>
                </c:pt>
                <c:pt idx="667">
                  <c:v>633.5</c:v>
                </c:pt>
                <c:pt idx="668">
                  <c:v>634</c:v>
                </c:pt>
                <c:pt idx="669">
                  <c:v>634.5</c:v>
                </c:pt>
                <c:pt idx="670">
                  <c:v>635</c:v>
                </c:pt>
                <c:pt idx="671">
                  <c:v>635.5</c:v>
                </c:pt>
                <c:pt idx="672">
                  <c:v>636</c:v>
                </c:pt>
                <c:pt idx="673">
                  <c:v>636.5</c:v>
                </c:pt>
                <c:pt idx="674">
                  <c:v>637</c:v>
                </c:pt>
                <c:pt idx="675">
                  <c:v>637.5</c:v>
                </c:pt>
                <c:pt idx="676">
                  <c:v>638</c:v>
                </c:pt>
                <c:pt idx="677">
                  <c:v>638.5</c:v>
                </c:pt>
                <c:pt idx="678">
                  <c:v>639</c:v>
                </c:pt>
                <c:pt idx="679">
                  <c:v>639.5</c:v>
                </c:pt>
                <c:pt idx="680">
                  <c:v>640</c:v>
                </c:pt>
                <c:pt idx="681">
                  <c:v>640.5</c:v>
                </c:pt>
                <c:pt idx="682">
                  <c:v>641</c:v>
                </c:pt>
                <c:pt idx="683">
                  <c:v>641.5</c:v>
                </c:pt>
                <c:pt idx="684">
                  <c:v>642</c:v>
                </c:pt>
                <c:pt idx="685">
                  <c:v>642.5</c:v>
                </c:pt>
                <c:pt idx="686">
                  <c:v>643</c:v>
                </c:pt>
                <c:pt idx="687">
                  <c:v>643.5</c:v>
                </c:pt>
                <c:pt idx="688">
                  <c:v>644</c:v>
                </c:pt>
                <c:pt idx="689">
                  <c:v>644.5</c:v>
                </c:pt>
                <c:pt idx="690">
                  <c:v>645</c:v>
                </c:pt>
                <c:pt idx="691">
                  <c:v>645.5</c:v>
                </c:pt>
                <c:pt idx="692">
                  <c:v>646</c:v>
                </c:pt>
                <c:pt idx="693">
                  <c:v>646.5</c:v>
                </c:pt>
                <c:pt idx="694">
                  <c:v>647</c:v>
                </c:pt>
                <c:pt idx="695">
                  <c:v>647.5</c:v>
                </c:pt>
                <c:pt idx="696">
                  <c:v>648</c:v>
                </c:pt>
                <c:pt idx="697">
                  <c:v>648.5</c:v>
                </c:pt>
                <c:pt idx="698">
                  <c:v>649</c:v>
                </c:pt>
                <c:pt idx="699">
                  <c:v>649.5</c:v>
                </c:pt>
                <c:pt idx="700">
                  <c:v>650</c:v>
                </c:pt>
                <c:pt idx="701">
                  <c:v>650.5</c:v>
                </c:pt>
                <c:pt idx="702">
                  <c:v>651</c:v>
                </c:pt>
                <c:pt idx="703">
                  <c:v>651.5</c:v>
                </c:pt>
                <c:pt idx="704">
                  <c:v>652</c:v>
                </c:pt>
                <c:pt idx="705">
                  <c:v>652.5</c:v>
                </c:pt>
                <c:pt idx="706">
                  <c:v>653</c:v>
                </c:pt>
                <c:pt idx="707">
                  <c:v>653.5</c:v>
                </c:pt>
                <c:pt idx="708">
                  <c:v>654</c:v>
                </c:pt>
                <c:pt idx="709">
                  <c:v>654.5</c:v>
                </c:pt>
                <c:pt idx="710">
                  <c:v>655</c:v>
                </c:pt>
                <c:pt idx="711">
                  <c:v>655.5</c:v>
                </c:pt>
                <c:pt idx="712">
                  <c:v>656</c:v>
                </c:pt>
                <c:pt idx="713">
                  <c:v>656.5</c:v>
                </c:pt>
                <c:pt idx="714">
                  <c:v>657</c:v>
                </c:pt>
                <c:pt idx="715">
                  <c:v>657.5</c:v>
                </c:pt>
                <c:pt idx="716">
                  <c:v>658</c:v>
                </c:pt>
                <c:pt idx="717">
                  <c:v>658.5</c:v>
                </c:pt>
                <c:pt idx="718">
                  <c:v>659</c:v>
                </c:pt>
                <c:pt idx="719">
                  <c:v>659.5</c:v>
                </c:pt>
                <c:pt idx="720">
                  <c:v>660</c:v>
                </c:pt>
                <c:pt idx="721">
                  <c:v>660.5</c:v>
                </c:pt>
                <c:pt idx="722">
                  <c:v>661</c:v>
                </c:pt>
                <c:pt idx="723">
                  <c:v>661.5</c:v>
                </c:pt>
                <c:pt idx="724">
                  <c:v>662</c:v>
                </c:pt>
                <c:pt idx="725">
                  <c:v>662.5</c:v>
                </c:pt>
                <c:pt idx="726">
                  <c:v>663</c:v>
                </c:pt>
                <c:pt idx="727">
                  <c:v>663.5</c:v>
                </c:pt>
                <c:pt idx="728">
                  <c:v>664</c:v>
                </c:pt>
                <c:pt idx="729">
                  <c:v>664.5</c:v>
                </c:pt>
                <c:pt idx="730">
                  <c:v>665</c:v>
                </c:pt>
                <c:pt idx="731">
                  <c:v>665.5</c:v>
                </c:pt>
                <c:pt idx="732">
                  <c:v>666</c:v>
                </c:pt>
                <c:pt idx="733">
                  <c:v>666.5</c:v>
                </c:pt>
                <c:pt idx="734">
                  <c:v>667</c:v>
                </c:pt>
                <c:pt idx="735">
                  <c:v>667.5</c:v>
                </c:pt>
                <c:pt idx="736">
                  <c:v>668</c:v>
                </c:pt>
                <c:pt idx="737">
                  <c:v>668.5</c:v>
                </c:pt>
                <c:pt idx="738">
                  <c:v>669</c:v>
                </c:pt>
                <c:pt idx="739">
                  <c:v>669.5</c:v>
                </c:pt>
                <c:pt idx="740">
                  <c:v>670</c:v>
                </c:pt>
                <c:pt idx="741">
                  <c:v>670.5</c:v>
                </c:pt>
                <c:pt idx="742">
                  <c:v>671</c:v>
                </c:pt>
                <c:pt idx="743">
                  <c:v>671.5</c:v>
                </c:pt>
                <c:pt idx="744">
                  <c:v>672</c:v>
                </c:pt>
                <c:pt idx="745">
                  <c:v>672.5</c:v>
                </c:pt>
                <c:pt idx="746">
                  <c:v>673</c:v>
                </c:pt>
                <c:pt idx="747">
                  <c:v>673.5</c:v>
                </c:pt>
                <c:pt idx="748">
                  <c:v>674</c:v>
                </c:pt>
                <c:pt idx="749">
                  <c:v>674.5</c:v>
                </c:pt>
                <c:pt idx="750">
                  <c:v>675</c:v>
                </c:pt>
                <c:pt idx="751">
                  <c:v>675.5</c:v>
                </c:pt>
                <c:pt idx="752">
                  <c:v>676</c:v>
                </c:pt>
                <c:pt idx="753">
                  <c:v>676.5</c:v>
                </c:pt>
                <c:pt idx="754">
                  <c:v>677</c:v>
                </c:pt>
                <c:pt idx="755">
                  <c:v>677.5</c:v>
                </c:pt>
                <c:pt idx="756">
                  <c:v>678</c:v>
                </c:pt>
                <c:pt idx="757">
                  <c:v>678.5</c:v>
                </c:pt>
                <c:pt idx="758">
                  <c:v>679</c:v>
                </c:pt>
                <c:pt idx="759">
                  <c:v>679.5</c:v>
                </c:pt>
                <c:pt idx="760">
                  <c:v>680</c:v>
                </c:pt>
                <c:pt idx="761">
                  <c:v>680.5</c:v>
                </c:pt>
                <c:pt idx="762">
                  <c:v>681</c:v>
                </c:pt>
                <c:pt idx="763">
                  <c:v>681.5</c:v>
                </c:pt>
                <c:pt idx="764">
                  <c:v>682</c:v>
                </c:pt>
                <c:pt idx="765">
                  <c:v>682.5</c:v>
                </c:pt>
                <c:pt idx="766">
                  <c:v>683</c:v>
                </c:pt>
                <c:pt idx="767">
                  <c:v>683.5</c:v>
                </c:pt>
                <c:pt idx="768">
                  <c:v>684</c:v>
                </c:pt>
                <c:pt idx="769">
                  <c:v>684.5</c:v>
                </c:pt>
                <c:pt idx="770">
                  <c:v>685</c:v>
                </c:pt>
                <c:pt idx="771">
                  <c:v>685.5</c:v>
                </c:pt>
                <c:pt idx="772">
                  <c:v>686</c:v>
                </c:pt>
                <c:pt idx="773">
                  <c:v>686.5</c:v>
                </c:pt>
                <c:pt idx="774">
                  <c:v>687</c:v>
                </c:pt>
                <c:pt idx="775">
                  <c:v>687.5</c:v>
                </c:pt>
                <c:pt idx="776">
                  <c:v>688</c:v>
                </c:pt>
                <c:pt idx="777">
                  <c:v>688.5</c:v>
                </c:pt>
                <c:pt idx="778">
                  <c:v>689</c:v>
                </c:pt>
                <c:pt idx="779">
                  <c:v>689.5</c:v>
                </c:pt>
                <c:pt idx="780">
                  <c:v>690</c:v>
                </c:pt>
                <c:pt idx="781">
                  <c:v>690.5</c:v>
                </c:pt>
                <c:pt idx="782">
                  <c:v>691</c:v>
                </c:pt>
                <c:pt idx="783">
                  <c:v>691.5</c:v>
                </c:pt>
                <c:pt idx="784">
                  <c:v>692</c:v>
                </c:pt>
                <c:pt idx="785">
                  <c:v>692.5</c:v>
                </c:pt>
                <c:pt idx="786">
                  <c:v>693</c:v>
                </c:pt>
                <c:pt idx="787">
                  <c:v>693.5</c:v>
                </c:pt>
                <c:pt idx="788">
                  <c:v>694</c:v>
                </c:pt>
                <c:pt idx="789">
                  <c:v>694.5</c:v>
                </c:pt>
                <c:pt idx="790">
                  <c:v>695</c:v>
                </c:pt>
                <c:pt idx="791">
                  <c:v>695.5</c:v>
                </c:pt>
                <c:pt idx="792">
                  <c:v>696</c:v>
                </c:pt>
                <c:pt idx="793">
                  <c:v>696.5</c:v>
                </c:pt>
                <c:pt idx="794">
                  <c:v>697</c:v>
                </c:pt>
                <c:pt idx="795">
                  <c:v>697.5</c:v>
                </c:pt>
                <c:pt idx="796">
                  <c:v>698</c:v>
                </c:pt>
                <c:pt idx="797">
                  <c:v>698.5</c:v>
                </c:pt>
                <c:pt idx="798">
                  <c:v>699</c:v>
                </c:pt>
                <c:pt idx="799">
                  <c:v>699.5</c:v>
                </c:pt>
                <c:pt idx="800">
                  <c:v>700</c:v>
                </c:pt>
                <c:pt idx="801">
                  <c:v>700.5</c:v>
                </c:pt>
                <c:pt idx="802">
                  <c:v>701</c:v>
                </c:pt>
                <c:pt idx="803">
                  <c:v>701.5</c:v>
                </c:pt>
                <c:pt idx="804">
                  <c:v>702</c:v>
                </c:pt>
                <c:pt idx="805">
                  <c:v>702.5</c:v>
                </c:pt>
                <c:pt idx="806">
                  <c:v>703</c:v>
                </c:pt>
                <c:pt idx="807">
                  <c:v>703.5</c:v>
                </c:pt>
                <c:pt idx="808">
                  <c:v>704</c:v>
                </c:pt>
                <c:pt idx="809">
                  <c:v>704.5</c:v>
                </c:pt>
                <c:pt idx="810">
                  <c:v>705</c:v>
                </c:pt>
                <c:pt idx="811">
                  <c:v>705.5</c:v>
                </c:pt>
                <c:pt idx="812">
                  <c:v>706</c:v>
                </c:pt>
                <c:pt idx="813">
                  <c:v>706.5</c:v>
                </c:pt>
                <c:pt idx="814">
                  <c:v>707</c:v>
                </c:pt>
                <c:pt idx="815">
                  <c:v>707.5</c:v>
                </c:pt>
                <c:pt idx="816">
                  <c:v>708</c:v>
                </c:pt>
                <c:pt idx="817">
                  <c:v>708.5</c:v>
                </c:pt>
                <c:pt idx="818">
                  <c:v>709</c:v>
                </c:pt>
                <c:pt idx="819">
                  <c:v>709.5</c:v>
                </c:pt>
                <c:pt idx="820">
                  <c:v>710</c:v>
                </c:pt>
                <c:pt idx="821">
                  <c:v>710.5</c:v>
                </c:pt>
                <c:pt idx="822">
                  <c:v>711</c:v>
                </c:pt>
                <c:pt idx="823">
                  <c:v>711.5</c:v>
                </c:pt>
                <c:pt idx="824">
                  <c:v>712</c:v>
                </c:pt>
                <c:pt idx="825">
                  <c:v>712.5</c:v>
                </c:pt>
                <c:pt idx="826">
                  <c:v>713</c:v>
                </c:pt>
                <c:pt idx="827">
                  <c:v>713.5</c:v>
                </c:pt>
                <c:pt idx="828">
                  <c:v>714</c:v>
                </c:pt>
                <c:pt idx="829">
                  <c:v>714.5</c:v>
                </c:pt>
                <c:pt idx="830">
                  <c:v>715</c:v>
                </c:pt>
                <c:pt idx="831">
                  <c:v>715.5</c:v>
                </c:pt>
                <c:pt idx="832">
                  <c:v>716</c:v>
                </c:pt>
                <c:pt idx="833">
                  <c:v>716.5</c:v>
                </c:pt>
                <c:pt idx="834">
                  <c:v>717</c:v>
                </c:pt>
                <c:pt idx="835">
                  <c:v>717.5</c:v>
                </c:pt>
                <c:pt idx="836">
                  <c:v>718</c:v>
                </c:pt>
                <c:pt idx="837">
                  <c:v>718.5</c:v>
                </c:pt>
                <c:pt idx="838">
                  <c:v>719</c:v>
                </c:pt>
                <c:pt idx="839">
                  <c:v>719.5</c:v>
                </c:pt>
                <c:pt idx="840">
                  <c:v>720</c:v>
                </c:pt>
                <c:pt idx="841">
                  <c:v>720.5</c:v>
                </c:pt>
                <c:pt idx="842">
                  <c:v>721</c:v>
                </c:pt>
                <c:pt idx="843">
                  <c:v>721.5</c:v>
                </c:pt>
                <c:pt idx="844">
                  <c:v>722</c:v>
                </c:pt>
                <c:pt idx="845">
                  <c:v>722.5</c:v>
                </c:pt>
                <c:pt idx="846">
                  <c:v>723</c:v>
                </c:pt>
                <c:pt idx="847">
                  <c:v>723.5</c:v>
                </c:pt>
                <c:pt idx="848">
                  <c:v>724</c:v>
                </c:pt>
                <c:pt idx="849">
                  <c:v>724.5</c:v>
                </c:pt>
                <c:pt idx="850">
                  <c:v>725</c:v>
                </c:pt>
                <c:pt idx="851">
                  <c:v>725.5</c:v>
                </c:pt>
                <c:pt idx="852">
                  <c:v>726</c:v>
                </c:pt>
                <c:pt idx="853">
                  <c:v>726.5</c:v>
                </c:pt>
                <c:pt idx="854">
                  <c:v>727</c:v>
                </c:pt>
                <c:pt idx="855">
                  <c:v>727.5</c:v>
                </c:pt>
                <c:pt idx="856">
                  <c:v>728</c:v>
                </c:pt>
                <c:pt idx="857">
                  <c:v>728.5</c:v>
                </c:pt>
                <c:pt idx="858">
                  <c:v>729</c:v>
                </c:pt>
                <c:pt idx="859">
                  <c:v>729.5</c:v>
                </c:pt>
                <c:pt idx="860">
                  <c:v>730</c:v>
                </c:pt>
                <c:pt idx="861">
                  <c:v>730.5</c:v>
                </c:pt>
                <c:pt idx="862">
                  <c:v>731</c:v>
                </c:pt>
                <c:pt idx="863">
                  <c:v>731.5</c:v>
                </c:pt>
                <c:pt idx="864">
                  <c:v>732</c:v>
                </c:pt>
                <c:pt idx="865">
                  <c:v>732.5</c:v>
                </c:pt>
                <c:pt idx="866">
                  <c:v>733</c:v>
                </c:pt>
                <c:pt idx="867">
                  <c:v>733.5</c:v>
                </c:pt>
                <c:pt idx="868">
                  <c:v>734</c:v>
                </c:pt>
                <c:pt idx="869">
                  <c:v>734.5</c:v>
                </c:pt>
                <c:pt idx="870">
                  <c:v>735</c:v>
                </c:pt>
                <c:pt idx="871">
                  <c:v>735.5</c:v>
                </c:pt>
                <c:pt idx="872">
                  <c:v>736</c:v>
                </c:pt>
                <c:pt idx="873">
                  <c:v>736.5</c:v>
                </c:pt>
                <c:pt idx="874">
                  <c:v>737</c:v>
                </c:pt>
                <c:pt idx="875">
                  <c:v>737.5</c:v>
                </c:pt>
                <c:pt idx="876">
                  <c:v>738</c:v>
                </c:pt>
                <c:pt idx="877">
                  <c:v>738.5</c:v>
                </c:pt>
                <c:pt idx="878">
                  <c:v>739</c:v>
                </c:pt>
                <c:pt idx="879">
                  <c:v>739.5</c:v>
                </c:pt>
                <c:pt idx="880">
                  <c:v>740</c:v>
                </c:pt>
                <c:pt idx="881">
                  <c:v>740.5</c:v>
                </c:pt>
                <c:pt idx="882">
                  <c:v>741</c:v>
                </c:pt>
                <c:pt idx="883">
                  <c:v>741.5</c:v>
                </c:pt>
                <c:pt idx="884">
                  <c:v>742</c:v>
                </c:pt>
                <c:pt idx="885">
                  <c:v>742.5</c:v>
                </c:pt>
                <c:pt idx="886">
                  <c:v>743</c:v>
                </c:pt>
                <c:pt idx="887">
                  <c:v>743.5</c:v>
                </c:pt>
                <c:pt idx="888">
                  <c:v>744</c:v>
                </c:pt>
                <c:pt idx="889">
                  <c:v>744.5</c:v>
                </c:pt>
                <c:pt idx="890">
                  <c:v>745</c:v>
                </c:pt>
                <c:pt idx="891">
                  <c:v>745.5</c:v>
                </c:pt>
                <c:pt idx="892">
                  <c:v>746</c:v>
                </c:pt>
                <c:pt idx="893">
                  <c:v>746.5</c:v>
                </c:pt>
                <c:pt idx="894">
                  <c:v>747</c:v>
                </c:pt>
                <c:pt idx="895">
                  <c:v>747.5</c:v>
                </c:pt>
                <c:pt idx="896">
                  <c:v>748</c:v>
                </c:pt>
                <c:pt idx="897">
                  <c:v>748.5</c:v>
                </c:pt>
                <c:pt idx="898">
                  <c:v>749</c:v>
                </c:pt>
                <c:pt idx="899">
                  <c:v>749.5</c:v>
                </c:pt>
                <c:pt idx="900">
                  <c:v>750</c:v>
                </c:pt>
              </c:numCache>
            </c:numRef>
          </c:cat>
          <c:val>
            <c:numRef>
              <c:f>'T2 (6)'!$B$113:$B$1013</c:f>
              <c:numCache>
                <c:formatCode>0.00E+00</c:formatCode>
                <c:ptCount val="901"/>
                <c:pt idx="0">
                  <c:v>0</c:v>
                </c:pt>
                <c:pt idx="1">
                  <c:v>0</c:v>
                </c:pt>
                <c:pt idx="2">
                  <c:v>0</c:v>
                </c:pt>
                <c:pt idx="3">
                  <c:v>0</c:v>
                </c:pt>
                <c:pt idx="4">
                  <c:v>0</c:v>
                </c:pt>
                <c:pt idx="5">
                  <c:v>0</c:v>
                </c:pt>
                <c:pt idx="6">
                  <c:v>0</c:v>
                </c:pt>
                <c:pt idx="7">
                  <c:v>0</c:v>
                </c:pt>
                <c:pt idx="8">
                  <c:v>0</c:v>
                </c:pt>
                <c:pt idx="9">
                  <c:v>0</c:v>
                </c:pt>
                <c:pt idx="10">
                  <c:v>0</c:v>
                </c:pt>
                <c:pt idx="11">
                  <c:v>0</c:v>
                </c:pt>
                <c:pt idx="12">
                  <c:v>0</c:v>
                </c:pt>
                <c:pt idx="13">
                  <c:v>0</c:v>
                </c:pt>
                <c:pt idx="14">
                  <c:v>0</c:v>
                </c:pt>
                <c:pt idx="15">
                  <c:v>0</c:v>
                </c:pt>
                <c:pt idx="16">
                  <c:v>0</c:v>
                </c:pt>
                <c:pt idx="17">
                  <c:v>0</c:v>
                </c:pt>
                <c:pt idx="18">
                  <c:v>0</c:v>
                </c:pt>
                <c:pt idx="19">
                  <c:v>0</c:v>
                </c:pt>
                <c:pt idx="20">
                  <c:v>0</c:v>
                </c:pt>
                <c:pt idx="21">
                  <c:v>0</c:v>
                </c:pt>
                <c:pt idx="22">
                  <c:v>0</c:v>
                </c:pt>
                <c:pt idx="23">
                  <c:v>0</c:v>
                </c:pt>
                <c:pt idx="24">
                  <c:v>0</c:v>
                </c:pt>
                <c:pt idx="25">
                  <c:v>0</c:v>
                </c:pt>
                <c:pt idx="26">
                  <c:v>0</c:v>
                </c:pt>
                <c:pt idx="27">
                  <c:v>0</c:v>
                </c:pt>
                <c:pt idx="28">
                  <c:v>0</c:v>
                </c:pt>
                <c:pt idx="29">
                  <c:v>0</c:v>
                </c:pt>
                <c:pt idx="30">
                  <c:v>0</c:v>
                </c:pt>
                <c:pt idx="31">
                  <c:v>0</c:v>
                </c:pt>
                <c:pt idx="32">
                  <c:v>0</c:v>
                </c:pt>
                <c:pt idx="33">
                  <c:v>0</c:v>
                </c:pt>
                <c:pt idx="34">
                  <c:v>0</c:v>
                </c:pt>
                <c:pt idx="35">
                  <c:v>0</c:v>
                </c:pt>
                <c:pt idx="36">
                  <c:v>0</c:v>
                </c:pt>
                <c:pt idx="37">
                  <c:v>0</c:v>
                </c:pt>
                <c:pt idx="38">
                  <c:v>0</c:v>
                </c:pt>
                <c:pt idx="39">
                  <c:v>0</c:v>
                </c:pt>
                <c:pt idx="40">
                  <c:v>0</c:v>
                </c:pt>
                <c:pt idx="41">
                  <c:v>0</c:v>
                </c:pt>
                <c:pt idx="42">
                  <c:v>0</c:v>
                </c:pt>
                <c:pt idx="43">
                  <c:v>0</c:v>
                </c:pt>
                <c:pt idx="44">
                  <c:v>0</c:v>
                </c:pt>
                <c:pt idx="45">
                  <c:v>0</c:v>
                </c:pt>
                <c:pt idx="46">
                  <c:v>0</c:v>
                </c:pt>
                <c:pt idx="47">
                  <c:v>0</c:v>
                </c:pt>
                <c:pt idx="48">
                  <c:v>0</c:v>
                </c:pt>
                <c:pt idx="49">
                  <c:v>0</c:v>
                </c:pt>
                <c:pt idx="50">
                  <c:v>0</c:v>
                </c:pt>
                <c:pt idx="51">
                  <c:v>0</c:v>
                </c:pt>
                <c:pt idx="52">
                  <c:v>0</c:v>
                </c:pt>
                <c:pt idx="53">
                  <c:v>0</c:v>
                </c:pt>
                <c:pt idx="54">
                  <c:v>0</c:v>
                </c:pt>
                <c:pt idx="55">
                  <c:v>0</c:v>
                </c:pt>
                <c:pt idx="56">
                  <c:v>0</c:v>
                </c:pt>
                <c:pt idx="57">
                  <c:v>0</c:v>
                </c:pt>
                <c:pt idx="58">
                  <c:v>0</c:v>
                </c:pt>
                <c:pt idx="59">
                  <c:v>0</c:v>
                </c:pt>
                <c:pt idx="60">
                  <c:v>0</c:v>
                </c:pt>
                <c:pt idx="61">
                  <c:v>0</c:v>
                </c:pt>
                <c:pt idx="62">
                  <c:v>0</c:v>
                </c:pt>
                <c:pt idx="63">
                  <c:v>0</c:v>
                </c:pt>
                <c:pt idx="64">
                  <c:v>0</c:v>
                </c:pt>
                <c:pt idx="65">
                  <c:v>0</c:v>
                </c:pt>
                <c:pt idx="66">
                  <c:v>0</c:v>
                </c:pt>
                <c:pt idx="67">
                  <c:v>0</c:v>
                </c:pt>
                <c:pt idx="68">
                  <c:v>0</c:v>
                </c:pt>
                <c:pt idx="69">
                  <c:v>0</c:v>
                </c:pt>
                <c:pt idx="70">
                  <c:v>0</c:v>
                </c:pt>
                <c:pt idx="71">
                  <c:v>0</c:v>
                </c:pt>
                <c:pt idx="72">
                  <c:v>0</c:v>
                </c:pt>
                <c:pt idx="73">
                  <c:v>0</c:v>
                </c:pt>
                <c:pt idx="74">
                  <c:v>0</c:v>
                </c:pt>
                <c:pt idx="75">
                  <c:v>0</c:v>
                </c:pt>
                <c:pt idx="76">
                  <c:v>0</c:v>
                </c:pt>
                <c:pt idx="77">
                  <c:v>0</c:v>
                </c:pt>
                <c:pt idx="78">
                  <c:v>0</c:v>
                </c:pt>
                <c:pt idx="79">
                  <c:v>0</c:v>
                </c:pt>
                <c:pt idx="80">
                  <c:v>0</c:v>
                </c:pt>
                <c:pt idx="81">
                  <c:v>0</c:v>
                </c:pt>
                <c:pt idx="82">
                  <c:v>0</c:v>
                </c:pt>
                <c:pt idx="83">
                  <c:v>0</c:v>
                </c:pt>
                <c:pt idx="84">
                  <c:v>0</c:v>
                </c:pt>
                <c:pt idx="85">
                  <c:v>0</c:v>
                </c:pt>
                <c:pt idx="86">
                  <c:v>0</c:v>
                </c:pt>
                <c:pt idx="87">
                  <c:v>0</c:v>
                </c:pt>
                <c:pt idx="88">
                  <c:v>0</c:v>
                </c:pt>
                <c:pt idx="89">
                  <c:v>0</c:v>
                </c:pt>
                <c:pt idx="90">
                  <c:v>0</c:v>
                </c:pt>
                <c:pt idx="91">
                  <c:v>0</c:v>
                </c:pt>
                <c:pt idx="92">
                  <c:v>0</c:v>
                </c:pt>
                <c:pt idx="93">
                  <c:v>0</c:v>
                </c:pt>
                <c:pt idx="94">
                  <c:v>0</c:v>
                </c:pt>
                <c:pt idx="95">
                  <c:v>0</c:v>
                </c:pt>
                <c:pt idx="96">
                  <c:v>0</c:v>
                </c:pt>
                <c:pt idx="97">
                  <c:v>0</c:v>
                </c:pt>
                <c:pt idx="98">
                  <c:v>0</c:v>
                </c:pt>
                <c:pt idx="99">
                  <c:v>0</c:v>
                </c:pt>
                <c:pt idx="100">
                  <c:v>0</c:v>
                </c:pt>
                <c:pt idx="101">
                  <c:v>0</c:v>
                </c:pt>
                <c:pt idx="102">
                  <c:v>0</c:v>
                </c:pt>
                <c:pt idx="103">
                  <c:v>0</c:v>
                </c:pt>
                <c:pt idx="104">
                  <c:v>0</c:v>
                </c:pt>
                <c:pt idx="105">
                  <c:v>0</c:v>
                </c:pt>
                <c:pt idx="106">
                  <c:v>0</c:v>
                </c:pt>
                <c:pt idx="107">
                  <c:v>0</c:v>
                </c:pt>
                <c:pt idx="108">
                  <c:v>0</c:v>
                </c:pt>
                <c:pt idx="109">
                  <c:v>0</c:v>
                </c:pt>
                <c:pt idx="110">
                  <c:v>0</c:v>
                </c:pt>
                <c:pt idx="111">
                  <c:v>0</c:v>
                </c:pt>
                <c:pt idx="112">
                  <c:v>0</c:v>
                </c:pt>
                <c:pt idx="113">
                  <c:v>0</c:v>
                </c:pt>
                <c:pt idx="114">
                  <c:v>0</c:v>
                </c:pt>
                <c:pt idx="115">
                  <c:v>0</c:v>
                </c:pt>
                <c:pt idx="116">
                  <c:v>0</c:v>
                </c:pt>
                <c:pt idx="117">
                  <c:v>0</c:v>
                </c:pt>
                <c:pt idx="118">
                  <c:v>0</c:v>
                </c:pt>
                <c:pt idx="119">
                  <c:v>0</c:v>
                </c:pt>
                <c:pt idx="120">
                  <c:v>0</c:v>
                </c:pt>
                <c:pt idx="121">
                  <c:v>0</c:v>
                </c:pt>
                <c:pt idx="122">
                  <c:v>0</c:v>
                </c:pt>
                <c:pt idx="123">
                  <c:v>0</c:v>
                </c:pt>
                <c:pt idx="124">
                  <c:v>0</c:v>
                </c:pt>
                <c:pt idx="125">
                  <c:v>0</c:v>
                </c:pt>
                <c:pt idx="126">
                  <c:v>0</c:v>
                </c:pt>
                <c:pt idx="127">
                  <c:v>0</c:v>
                </c:pt>
                <c:pt idx="128">
                  <c:v>0</c:v>
                </c:pt>
                <c:pt idx="129">
                  <c:v>0</c:v>
                </c:pt>
                <c:pt idx="130">
                  <c:v>0</c:v>
                </c:pt>
                <c:pt idx="131">
                  <c:v>0</c:v>
                </c:pt>
                <c:pt idx="132">
                  <c:v>0</c:v>
                </c:pt>
                <c:pt idx="133">
                  <c:v>0</c:v>
                </c:pt>
                <c:pt idx="134">
                  <c:v>0</c:v>
                </c:pt>
                <c:pt idx="135">
                  <c:v>0</c:v>
                </c:pt>
                <c:pt idx="136">
                  <c:v>0</c:v>
                </c:pt>
                <c:pt idx="137">
                  <c:v>0</c:v>
                </c:pt>
                <c:pt idx="138">
                  <c:v>0</c:v>
                </c:pt>
                <c:pt idx="139">
                  <c:v>0</c:v>
                </c:pt>
                <c:pt idx="140">
                  <c:v>0</c:v>
                </c:pt>
                <c:pt idx="141">
                  <c:v>0</c:v>
                </c:pt>
                <c:pt idx="142">
                  <c:v>0</c:v>
                </c:pt>
                <c:pt idx="143">
                  <c:v>0</c:v>
                </c:pt>
                <c:pt idx="144">
                  <c:v>0</c:v>
                </c:pt>
                <c:pt idx="145">
                  <c:v>0</c:v>
                </c:pt>
                <c:pt idx="146">
                  <c:v>0</c:v>
                </c:pt>
                <c:pt idx="147">
                  <c:v>0</c:v>
                </c:pt>
                <c:pt idx="148">
                  <c:v>0</c:v>
                </c:pt>
                <c:pt idx="149">
                  <c:v>0</c:v>
                </c:pt>
                <c:pt idx="150" formatCode="General">
                  <c:v>4.3792499999999998E-4</c:v>
                </c:pt>
                <c:pt idx="151" formatCode="General">
                  <c:v>4.3497000000000002E-4</c:v>
                </c:pt>
                <c:pt idx="152" formatCode="General">
                  <c:v>4.4292000000000002E-4</c:v>
                </c:pt>
                <c:pt idx="153" formatCode="General">
                  <c:v>4.41345E-4</c:v>
                </c:pt>
                <c:pt idx="154" formatCode="General">
                  <c:v>4.51905E-4</c:v>
                </c:pt>
                <c:pt idx="155" formatCode="General">
                  <c:v>4.4947499999999996E-4</c:v>
                </c:pt>
                <c:pt idx="156" formatCode="General">
                  <c:v>4.4615999999999997E-4</c:v>
                </c:pt>
                <c:pt idx="157" formatCode="General">
                  <c:v>4.4463E-4</c:v>
                </c:pt>
                <c:pt idx="158" formatCode="General">
                  <c:v>4.4724000000000001E-4</c:v>
                </c:pt>
                <c:pt idx="159" formatCode="General">
                  <c:v>4.5109499999999999E-4</c:v>
                </c:pt>
                <c:pt idx="160" formatCode="General">
                  <c:v>4.5914999999999997E-4</c:v>
                </c:pt>
                <c:pt idx="161" formatCode="General">
                  <c:v>4.6601999999999993E-4</c:v>
                </c:pt>
                <c:pt idx="162" formatCode="General">
                  <c:v>4.8038999999999997E-4</c:v>
                </c:pt>
                <c:pt idx="163" formatCode="General">
                  <c:v>4.9837500000000001E-4</c:v>
                </c:pt>
                <c:pt idx="164" formatCode="General">
                  <c:v>5.1415499999999997E-4</c:v>
                </c:pt>
                <c:pt idx="165" formatCode="General">
                  <c:v>5.1962999999999998E-4</c:v>
                </c:pt>
                <c:pt idx="166" formatCode="General">
                  <c:v>5.2348499999999997E-4</c:v>
                </c:pt>
                <c:pt idx="167" formatCode="General">
                  <c:v>5.1949499999999992E-4</c:v>
                </c:pt>
                <c:pt idx="168" formatCode="General">
                  <c:v>5.1628500000000001E-4</c:v>
                </c:pt>
                <c:pt idx="169" formatCode="General">
                  <c:v>5.1860999999999997E-4</c:v>
                </c:pt>
                <c:pt idx="170" formatCode="General">
                  <c:v>5.1127499999999995E-4</c:v>
                </c:pt>
                <c:pt idx="171" formatCode="General">
                  <c:v>5.1404999999999995E-4</c:v>
                </c:pt>
                <c:pt idx="172" formatCode="General">
                  <c:v>5.1296999999999996E-4</c:v>
                </c:pt>
                <c:pt idx="173" formatCode="General">
                  <c:v>5.1142500000000003E-4</c:v>
                </c:pt>
                <c:pt idx="174" formatCode="General">
                  <c:v>5.2428000000000002E-4</c:v>
                </c:pt>
                <c:pt idx="175" formatCode="General">
                  <c:v>5.4500999999999996E-4</c:v>
                </c:pt>
                <c:pt idx="176" formatCode="General">
                  <c:v>5.6864999999999997E-4</c:v>
                </c:pt>
                <c:pt idx="177" formatCode="General">
                  <c:v>5.8537499999999996E-4</c:v>
                </c:pt>
                <c:pt idx="178" formatCode="General">
                  <c:v>5.8983000000000006E-4</c:v>
                </c:pt>
                <c:pt idx="179" formatCode="General">
                  <c:v>5.8803000000000002E-4</c:v>
                </c:pt>
                <c:pt idx="180" formatCode="General">
                  <c:v>5.8482E-4</c:v>
                </c:pt>
                <c:pt idx="181" formatCode="General">
                  <c:v>5.83725E-4</c:v>
                </c:pt>
                <c:pt idx="182" formatCode="General">
                  <c:v>5.8993499999999987E-4</c:v>
                </c:pt>
                <c:pt idx="183" formatCode="General">
                  <c:v>6.0703500000000002E-4</c:v>
                </c:pt>
                <c:pt idx="184" formatCode="General">
                  <c:v>6.2111999999999996E-4</c:v>
                </c:pt>
                <c:pt idx="185" formatCode="General">
                  <c:v>6.3098999999999989E-4</c:v>
                </c:pt>
                <c:pt idx="186" formatCode="General">
                  <c:v>6.4791000000000002E-4</c:v>
                </c:pt>
                <c:pt idx="187" formatCode="General">
                  <c:v>6.5393999999999999E-4</c:v>
                </c:pt>
                <c:pt idx="188" formatCode="General">
                  <c:v>6.5506499999999992E-4</c:v>
                </c:pt>
                <c:pt idx="189" formatCode="General">
                  <c:v>6.4764E-4</c:v>
                </c:pt>
                <c:pt idx="190" formatCode="General">
                  <c:v>6.3701999999999997E-4</c:v>
                </c:pt>
                <c:pt idx="191" formatCode="General">
                  <c:v>6.5404500000000002E-4</c:v>
                </c:pt>
                <c:pt idx="192" formatCode="General">
                  <c:v>6.8461499999999996E-4</c:v>
                </c:pt>
                <c:pt idx="193" formatCode="General">
                  <c:v>6.9866999999999998E-4</c:v>
                </c:pt>
                <c:pt idx="194" formatCode="General">
                  <c:v>7.0417499999999992E-4</c:v>
                </c:pt>
                <c:pt idx="195" formatCode="General">
                  <c:v>6.9787500000000004E-4</c:v>
                </c:pt>
                <c:pt idx="196" formatCode="General">
                  <c:v>6.9874499999999997E-4</c:v>
                </c:pt>
                <c:pt idx="197" formatCode="General">
                  <c:v>7.2216000000000001E-4</c:v>
                </c:pt>
                <c:pt idx="198" formatCode="General">
                  <c:v>7.3634999999999998E-4</c:v>
                </c:pt>
                <c:pt idx="199" formatCode="General">
                  <c:v>7.5869999999999996E-4</c:v>
                </c:pt>
                <c:pt idx="200" formatCode="General">
                  <c:v>7.7578499999999997E-4</c:v>
                </c:pt>
                <c:pt idx="201" formatCode="General">
                  <c:v>7.9430999999999989E-4</c:v>
                </c:pt>
                <c:pt idx="202" formatCode="General">
                  <c:v>8.2227000000000005E-4</c:v>
                </c:pt>
                <c:pt idx="203" formatCode="General">
                  <c:v>8.5231499999999997E-4</c:v>
                </c:pt>
                <c:pt idx="204" formatCode="General">
                  <c:v>8.7498000000000003E-4</c:v>
                </c:pt>
                <c:pt idx="205" formatCode="General">
                  <c:v>9.1909499999999987E-4</c:v>
                </c:pt>
                <c:pt idx="206" formatCode="General">
                  <c:v>9.4792499999999985E-4</c:v>
                </c:pt>
                <c:pt idx="207" formatCode="General">
                  <c:v>9.7411500000000001E-4</c:v>
                </c:pt>
                <c:pt idx="208" formatCode="General">
                  <c:v>9.8955000000000006E-4</c:v>
                </c:pt>
                <c:pt idx="209" formatCode="General">
                  <c:v>1.005195E-3</c:v>
                </c:pt>
                <c:pt idx="210" formatCode="General">
                  <c:v>1.0415400000000001E-3</c:v>
                </c:pt>
                <c:pt idx="211" formatCode="General">
                  <c:v>1.0923899999999999E-3</c:v>
                </c:pt>
                <c:pt idx="212" formatCode="General">
                  <c:v>1.1472340199999999E-3</c:v>
                </c:pt>
                <c:pt idx="213" formatCode="General">
                  <c:v>1.353782E-3</c:v>
                </c:pt>
                <c:pt idx="214" formatCode="General">
                  <c:v>1.3221509000000001E-3</c:v>
                </c:pt>
                <c:pt idx="215" formatCode="General">
                  <c:v>1.3042157999999999E-3</c:v>
                </c:pt>
                <c:pt idx="216" formatCode="General">
                  <c:v>1.3267050000000001E-3</c:v>
                </c:pt>
                <c:pt idx="217" formatCode="General">
                  <c:v>1.404495E-3</c:v>
                </c:pt>
                <c:pt idx="218" formatCode="General">
                  <c:v>1.522219E-3</c:v>
                </c:pt>
                <c:pt idx="219" formatCode="General">
                  <c:v>1.6677876999999998E-3</c:v>
                </c:pt>
                <c:pt idx="220" formatCode="General">
                  <c:v>1.8008511999999999E-3</c:v>
                </c:pt>
                <c:pt idx="221" formatCode="General">
                  <c:v>2.126934E-3</c:v>
                </c:pt>
                <c:pt idx="222" formatCode="General">
                  <c:v>2.5197959999999999E-3</c:v>
                </c:pt>
                <c:pt idx="223" formatCode="General">
                  <c:v>2.9092649999999999E-3</c:v>
                </c:pt>
                <c:pt idx="224" formatCode="General">
                  <c:v>3.2402819999999997E-3</c:v>
                </c:pt>
                <c:pt idx="225" formatCode="General">
                  <c:v>3.5687100000000001E-3</c:v>
                </c:pt>
                <c:pt idx="226" formatCode="General">
                  <c:v>3.9209300000000004E-3</c:v>
                </c:pt>
                <c:pt idx="227" formatCode="General">
                  <c:v>4.3254699999999997E-3</c:v>
                </c:pt>
                <c:pt idx="228" formatCode="General">
                  <c:v>4.6144100000000002E-3</c:v>
                </c:pt>
                <c:pt idx="229" formatCode="General">
                  <c:v>4.9268599999999999E-3</c:v>
                </c:pt>
                <c:pt idx="230" formatCode="General">
                  <c:v>5.3812199999999999E-3</c:v>
                </c:pt>
                <c:pt idx="231" formatCode="General">
                  <c:v>6.0502999999999998E-3</c:v>
                </c:pt>
                <c:pt idx="232" formatCode="General">
                  <c:v>6.8876700000000003E-3</c:v>
                </c:pt>
                <c:pt idx="233" formatCode="General">
                  <c:v>7.6857999999999996E-3</c:v>
                </c:pt>
                <c:pt idx="234" formatCode="General">
                  <c:v>8.3565800000000006E-3</c:v>
                </c:pt>
                <c:pt idx="235" formatCode="General">
                  <c:v>9.0352200000000001E-3</c:v>
                </c:pt>
                <c:pt idx="236" formatCode="General">
                  <c:v>9.7178100000000003E-3</c:v>
                </c:pt>
                <c:pt idx="237" formatCode="General">
                  <c:v>1.0599890000000001E-2</c:v>
                </c:pt>
                <c:pt idx="238" formatCode="General">
                  <c:v>1.164104E-2</c:v>
                </c:pt>
                <c:pt idx="239" formatCode="General">
                  <c:v>1.2767899999999999E-2</c:v>
                </c:pt>
                <c:pt idx="240" formatCode="General">
                  <c:v>1.400361E-2</c:v>
                </c:pt>
                <c:pt idx="241" formatCode="General">
                  <c:v>1.5356080000000001E-2</c:v>
                </c:pt>
                <c:pt idx="242" formatCode="General">
                  <c:v>1.688038E-2</c:v>
                </c:pt>
                <c:pt idx="243" formatCode="General">
                  <c:v>1.8529669999999998E-2</c:v>
                </c:pt>
                <c:pt idx="244" formatCode="General">
                  <c:v>2.0367389999999999E-2</c:v>
                </c:pt>
                <c:pt idx="245" formatCode="General">
                  <c:v>2.2130739999999996E-2</c:v>
                </c:pt>
                <c:pt idx="246" formatCode="General">
                  <c:v>2.3857950000000003E-2</c:v>
                </c:pt>
                <c:pt idx="247" formatCode="General">
                  <c:v>2.5785249999999999E-2</c:v>
                </c:pt>
                <c:pt idx="248" formatCode="General">
                  <c:v>2.78366E-2</c:v>
                </c:pt>
                <c:pt idx="249" formatCode="General">
                  <c:v>3.0079950000000001E-2</c:v>
                </c:pt>
                <c:pt idx="250" formatCode="General">
                  <c:v>3.2498449999999998E-2</c:v>
                </c:pt>
                <c:pt idx="251" formatCode="General">
                  <c:v>3.5048200000000002E-2</c:v>
                </c:pt>
                <c:pt idx="252" formatCode="General">
                  <c:v>3.8045344019999996E-2</c:v>
                </c:pt>
                <c:pt idx="253" formatCode="General">
                  <c:v>4.1383832000000002E-2</c:v>
                </c:pt>
                <c:pt idx="254" formatCode="General">
                  <c:v>4.4653855899999997E-2</c:v>
                </c:pt>
                <c:pt idx="255" formatCode="General">
                  <c:v>4.8171830800000003E-2</c:v>
                </c:pt>
                <c:pt idx="256" formatCode="General">
                  <c:v>5.1843799999999995E-2</c:v>
                </c:pt>
                <c:pt idx="257" formatCode="General">
                  <c:v>5.5535200000000007E-2</c:v>
                </c:pt>
                <c:pt idx="258" formatCode="General">
                  <c:v>5.9646488999999997E-2</c:v>
                </c:pt>
                <c:pt idx="259" formatCode="General">
                  <c:v>6.3858587699999997E-2</c:v>
                </c:pt>
                <c:pt idx="260" formatCode="General">
                  <c:v>6.8302101199999993E-2</c:v>
                </c:pt>
                <c:pt idx="261" formatCode="General">
                  <c:v>7.3300884000000011E-2</c:v>
                </c:pt>
                <c:pt idx="262" formatCode="General">
                  <c:v>7.8772746000000005E-2</c:v>
                </c:pt>
                <c:pt idx="263" formatCode="General">
                  <c:v>8.4842915000000005E-2</c:v>
                </c:pt>
                <c:pt idx="264" formatCode="General">
                  <c:v>9.1026882000000003E-2</c:v>
                </c:pt>
                <c:pt idx="265" formatCode="General">
                  <c:v>9.7269209999999995E-2</c:v>
                </c:pt>
                <c:pt idx="266" formatCode="General">
                  <c:v>0.10371948</c:v>
                </c:pt>
                <c:pt idx="267" formatCode="General">
                  <c:v>0.11029187000000001</c:v>
                </c:pt>
                <c:pt idx="268" formatCode="General">
                  <c:v>0.11715761</c:v>
                </c:pt>
                <c:pt idx="269" formatCode="General">
                  <c:v>0.12442016</c:v>
                </c:pt>
                <c:pt idx="270" formatCode="General">
                  <c:v>0.13223412000000001</c:v>
                </c:pt>
                <c:pt idx="271" formatCode="General">
                  <c:v>0.14049495000000001</c:v>
                </c:pt>
                <c:pt idx="272" formatCode="General">
                  <c:v>0.14917647000000001</c:v>
                </c:pt>
                <c:pt idx="273" formatCode="General">
                  <c:v>0.15783510000000001</c:v>
                </c:pt>
                <c:pt idx="274" formatCode="General">
                  <c:v>0.16663813</c:v>
                </c:pt>
                <c:pt idx="275" formatCode="General">
                  <c:v>0.17603461999999998</c:v>
                </c:pt>
                <c:pt idx="276" formatCode="General">
                  <c:v>0.18584686</c:v>
                </c:pt>
                <c:pt idx="277" formatCode="General">
                  <c:v>0.19627418999999999</c:v>
                </c:pt>
                <c:pt idx="278" formatCode="General">
                  <c:v>0.20620864</c:v>
                </c:pt>
                <c:pt idx="279" formatCode="General">
                  <c:v>0.21595655000000002</c:v>
                </c:pt>
                <c:pt idx="280" formatCode="General">
                  <c:v>0.22544871</c:v>
                </c:pt>
                <c:pt idx="281" formatCode="General">
                  <c:v>0.23475912999999998</c:v>
                </c:pt>
                <c:pt idx="282" formatCode="General">
                  <c:v>0.24364688000000001</c:v>
                </c:pt>
                <c:pt idx="283" formatCode="General">
                  <c:v>0.25214912</c:v>
                </c:pt>
                <c:pt idx="284" formatCode="General">
                  <c:v>0.26122894000000002</c:v>
                </c:pt>
                <c:pt idx="285" formatCode="General">
                  <c:v>0.27051734000000005</c:v>
                </c:pt>
                <c:pt idx="286" formatCode="General">
                  <c:v>0.27914300000000003</c:v>
                </c:pt>
                <c:pt idx="287" formatCode="General">
                  <c:v>0.28752220000000001</c:v>
                </c:pt>
                <c:pt idx="288" formatCode="General">
                  <c:v>0.29568690000000003</c:v>
                </c:pt>
                <c:pt idx="289" formatCode="General">
                  <c:v>0.30363600000000002</c:v>
                </c:pt>
                <c:pt idx="290" formatCode="General">
                  <c:v>0.31095030000000001</c:v>
                </c:pt>
                <c:pt idx="291" formatCode="General">
                  <c:v>0.31829770000000002</c:v>
                </c:pt>
                <c:pt idx="292" formatCode="General">
                  <c:v>0.32565060000000001</c:v>
                </c:pt>
                <c:pt idx="293" formatCode="General">
                  <c:v>0.3324165</c:v>
                </c:pt>
                <c:pt idx="294" formatCode="General">
                  <c:v>0.33841120000000002</c:v>
                </c:pt>
                <c:pt idx="295" formatCode="General">
                  <c:v>0.34395359999999997</c:v>
                </c:pt>
                <c:pt idx="296" formatCode="General">
                  <c:v>0.34841330000000004</c:v>
                </c:pt>
                <c:pt idx="297" formatCode="General">
                  <c:v>0.35244320000000001</c:v>
                </c:pt>
                <c:pt idx="298" formatCode="General">
                  <c:v>0.35668640000000001</c:v>
                </c:pt>
                <c:pt idx="299" formatCode="General">
                  <c:v>0.35955729999999997</c:v>
                </c:pt>
                <c:pt idx="300" formatCode="General">
                  <c:v>0.36111850000000001</c:v>
                </c:pt>
                <c:pt idx="301" formatCode="General">
                  <c:v>0.36219439999999997</c:v>
                </c:pt>
                <c:pt idx="302" formatCode="General">
                  <c:v>0.3631742</c:v>
                </c:pt>
                <c:pt idx="303" formatCode="General">
                  <c:v>0.36329540000000005</c:v>
                </c:pt>
                <c:pt idx="304" formatCode="General">
                  <c:v>0.36234229999999995</c:v>
                </c:pt>
                <c:pt idx="305" formatCode="General">
                  <c:v>0.36121509999999996</c:v>
                </c:pt>
                <c:pt idx="306" formatCode="General">
                  <c:v>0.36002139999999999</c:v>
                </c:pt>
                <c:pt idx="307" formatCode="General">
                  <c:v>0.35794779999999998</c:v>
                </c:pt>
                <c:pt idx="308" formatCode="General">
                  <c:v>0.35537610000000003</c:v>
                </c:pt>
                <c:pt idx="309" formatCode="General">
                  <c:v>0.35212189999999999</c:v>
                </c:pt>
                <c:pt idx="310" formatCode="General">
                  <c:v>0.34900049999999999</c:v>
                </c:pt>
                <c:pt idx="311" formatCode="General">
                  <c:v>0.34552359999999999</c:v>
                </c:pt>
                <c:pt idx="312" formatCode="General">
                  <c:v>0.34257139999999997</c:v>
                </c:pt>
                <c:pt idx="313" formatCode="General">
                  <c:v>0.3401901</c:v>
                </c:pt>
                <c:pt idx="314" formatCode="General">
                  <c:v>0.3373292</c:v>
                </c:pt>
                <c:pt idx="315" formatCode="General">
                  <c:v>0.334507</c:v>
                </c:pt>
                <c:pt idx="316" formatCode="General">
                  <c:v>0.33279999999999998</c:v>
                </c:pt>
                <c:pt idx="317" formatCode="General">
                  <c:v>0.33185240000000005</c:v>
                </c:pt>
                <c:pt idx="318" formatCode="General">
                  <c:v>0.33090809999999998</c:v>
                </c:pt>
                <c:pt idx="319" formatCode="General">
                  <c:v>0.32993060000000002</c:v>
                </c:pt>
                <c:pt idx="320" formatCode="General">
                  <c:v>0.32929240000000004</c:v>
                </c:pt>
                <c:pt idx="321" formatCode="General">
                  <c:v>0.32932230000000001</c:v>
                </c:pt>
                <c:pt idx="322" formatCode="General">
                  <c:v>0.33002710000000002</c:v>
                </c:pt>
                <c:pt idx="323" formatCode="General">
                  <c:v>0.3306386</c:v>
                </c:pt>
                <c:pt idx="324" formatCode="General">
                  <c:v>0.33093180000000005</c:v>
                </c:pt>
                <c:pt idx="325" formatCode="General">
                  <c:v>0.33163410000000004</c:v>
                </c:pt>
                <c:pt idx="326" formatCode="General">
                  <c:v>0.33282900000000004</c:v>
                </c:pt>
                <c:pt idx="327" formatCode="General">
                  <c:v>0.33365860000000003</c:v>
                </c:pt>
                <c:pt idx="328" formatCode="General">
                  <c:v>0.33478579999999997</c:v>
                </c:pt>
                <c:pt idx="329" formatCode="General">
                  <c:v>0.33568290000000001</c:v>
                </c:pt>
                <c:pt idx="330" formatCode="General">
                  <c:v>0.33607040000000005</c:v>
                </c:pt>
                <c:pt idx="331" formatCode="General">
                  <c:v>0.33711510000000006</c:v>
                </c:pt>
                <c:pt idx="332" formatCode="General">
                  <c:v>0.33820479999999997</c:v>
                </c:pt>
                <c:pt idx="333" formatCode="General">
                  <c:v>0.33879500000000001</c:v>
                </c:pt>
                <c:pt idx="334" formatCode="General">
                  <c:v>0.33836100000000002</c:v>
                </c:pt>
                <c:pt idx="335" formatCode="General">
                  <c:v>0.33733619999999997</c:v>
                </c:pt>
                <c:pt idx="336" formatCode="General">
                  <c:v>0.33533570000000001</c:v>
                </c:pt>
                <c:pt idx="337" formatCode="General">
                  <c:v>0.33301539999999996</c:v>
                </c:pt>
                <c:pt idx="338" formatCode="General">
                  <c:v>0.33077829999999997</c:v>
                </c:pt>
                <c:pt idx="339" formatCode="General">
                  <c:v>0.32781919999999998</c:v>
                </c:pt>
                <c:pt idx="340" formatCode="General">
                  <c:v>0.32391429999999999</c:v>
                </c:pt>
                <c:pt idx="341" formatCode="General">
                  <c:v>0.31978204999999998</c:v>
                </c:pt>
                <c:pt idx="342" formatCode="General">
                  <c:v>0.31523300000000004</c:v>
                </c:pt>
                <c:pt idx="343" formatCode="General">
                  <c:v>0.30989679999999997</c:v>
                </c:pt>
                <c:pt idx="344" formatCode="General">
                  <c:v>0.30366625000000003</c:v>
                </c:pt>
                <c:pt idx="345" formatCode="General">
                  <c:v>0.29721724999999999</c:v>
                </c:pt>
                <c:pt idx="346" formatCode="General">
                  <c:v>0.29065035</c:v>
                </c:pt>
                <c:pt idx="347" formatCode="General">
                  <c:v>0.28347565000000002</c:v>
                </c:pt>
                <c:pt idx="348" formatCode="General">
                  <c:v>0.27608395000000002</c:v>
                </c:pt>
                <c:pt idx="349" formatCode="General">
                  <c:v>0.26829854999999997</c:v>
                </c:pt>
                <c:pt idx="350" formatCode="General">
                  <c:v>0.26030969999999998</c:v>
                </c:pt>
                <c:pt idx="351" formatCode="General">
                  <c:v>0.25197375</c:v>
                </c:pt>
                <c:pt idx="352" formatCode="General">
                  <c:v>0.2437521</c:v>
                </c:pt>
                <c:pt idx="353" formatCode="General">
                  <c:v>0.23594264999999998</c:v>
                </c:pt>
                <c:pt idx="354" formatCode="General">
                  <c:v>0.22793734999999998</c:v>
                </c:pt>
                <c:pt idx="355" formatCode="General">
                  <c:v>0.21982410000000002</c:v>
                </c:pt>
                <c:pt idx="356" formatCode="General">
                  <c:v>0.21247624999999998</c:v>
                </c:pt>
                <c:pt idx="357" formatCode="General">
                  <c:v>0.20547135</c:v>
                </c:pt>
                <c:pt idx="358" formatCode="General">
                  <c:v>0.19882689999999997</c:v>
                </c:pt>
                <c:pt idx="359" formatCode="General">
                  <c:v>0.19229225</c:v>
                </c:pt>
                <c:pt idx="360" formatCode="General">
                  <c:v>0.18614865000000003</c:v>
                </c:pt>
                <c:pt idx="361" formatCode="General">
                  <c:v>0.18039105</c:v>
                </c:pt>
                <c:pt idx="362" formatCode="General">
                  <c:v>0.17508333999999998</c:v>
                </c:pt>
                <c:pt idx="363" formatCode="General">
                  <c:v>0.16990644999999999</c:v>
                </c:pt>
                <c:pt idx="364" formatCode="General">
                  <c:v>0.16479952</c:v>
                </c:pt>
                <c:pt idx="365" formatCode="General">
                  <c:v>0.16034661</c:v>
                </c:pt>
                <c:pt idx="366" formatCode="General">
                  <c:v>0.15623703</c:v>
                </c:pt>
                <c:pt idx="367" formatCode="General">
                  <c:v>0.15220856999999999</c:v>
                </c:pt>
                <c:pt idx="368" formatCode="General">
                  <c:v>0.14811419999999997</c:v>
                </c:pt>
                <c:pt idx="369" formatCode="General">
                  <c:v>0.14418375999999999</c:v>
                </c:pt>
                <c:pt idx="370" formatCode="General">
                  <c:v>0.14062434000000001</c:v>
                </c:pt>
                <c:pt idx="371" formatCode="General">
                  <c:v>0.13769814999999999</c:v>
                </c:pt>
                <c:pt idx="372" formatCode="General">
                  <c:v>0.13521565000000002</c:v>
                </c:pt>
                <c:pt idx="373" formatCode="General">
                  <c:v>0.13280048999999999</c:v>
                </c:pt>
                <c:pt idx="374" formatCode="General">
                  <c:v>0.12989444999999999</c:v>
                </c:pt>
                <c:pt idx="375" formatCode="General">
                  <c:v>0.12675844</c:v>
                </c:pt>
                <c:pt idx="376" formatCode="General">
                  <c:v>0.12359595</c:v>
                </c:pt>
                <c:pt idx="377" formatCode="General">
                  <c:v>0.12060380999999999</c:v>
                </c:pt>
                <c:pt idx="378" formatCode="General">
                  <c:v>0.11778802999999999</c:v>
                </c:pt>
                <c:pt idx="379" formatCode="General">
                  <c:v>0.11528751</c:v>
                </c:pt>
                <c:pt idx="380" formatCode="General">
                  <c:v>0.11289156</c:v>
                </c:pt>
                <c:pt idx="381" formatCode="General">
                  <c:v>0.11091313999999999</c:v>
                </c:pt>
                <c:pt idx="382" formatCode="General">
                  <c:v>0.10895772999999999</c:v>
                </c:pt>
                <c:pt idx="383" formatCode="General">
                  <c:v>0.10700195000000001</c:v>
                </c:pt>
                <c:pt idx="384" formatCode="General">
                  <c:v>0.10511413</c:v>
                </c:pt>
                <c:pt idx="385" formatCode="General">
                  <c:v>0.10324777</c:v>
                </c:pt>
                <c:pt idx="386" formatCode="General">
                  <c:v>0.10139792</c:v>
                </c:pt>
                <c:pt idx="387" formatCode="General">
                  <c:v>9.9779090000000001E-2</c:v>
                </c:pt>
                <c:pt idx="388" formatCode="General">
                  <c:v>9.8342550000000001E-2</c:v>
                </c:pt>
                <c:pt idx="389" formatCode="General">
                  <c:v>9.7235819999999987E-2</c:v>
                </c:pt>
                <c:pt idx="390" formatCode="General">
                  <c:v>9.618054999999999E-2</c:v>
                </c:pt>
                <c:pt idx="391" formatCode="General">
                  <c:v>9.5145669999999988E-2</c:v>
                </c:pt>
                <c:pt idx="392" formatCode="General">
                  <c:v>9.4053769999999995E-2</c:v>
                </c:pt>
                <c:pt idx="393" formatCode="General">
                  <c:v>9.1968099999999997E-2</c:v>
                </c:pt>
                <c:pt idx="394" formatCode="General">
                  <c:v>9.0259099999999995E-2</c:v>
                </c:pt>
                <c:pt idx="395" formatCode="General">
                  <c:v>8.8685299999999995E-2</c:v>
                </c:pt>
                <c:pt idx="396" formatCode="General">
                  <c:v>8.7160899999999986E-2</c:v>
                </c:pt>
                <c:pt idx="397" formatCode="General">
                  <c:v>8.5685899999999995E-2</c:v>
                </c:pt>
                <c:pt idx="398" formatCode="General">
                  <c:v>8.4860399999999989E-2</c:v>
                </c:pt>
                <c:pt idx="399" formatCode="General">
                  <c:v>8.4216899999999997E-2</c:v>
                </c:pt>
                <c:pt idx="400" formatCode="General">
                  <c:v>8.3669599999999997E-2</c:v>
                </c:pt>
                <c:pt idx="401" formatCode="General">
                  <c:v>8.3050799999999994E-2</c:v>
                </c:pt>
                <c:pt idx="402" formatCode="General">
                  <c:v>8.2364139999999988E-2</c:v>
                </c:pt>
                <c:pt idx="403" formatCode="General">
                  <c:v>8.1709849999999987E-2</c:v>
                </c:pt>
                <c:pt idx="404" formatCode="General">
                  <c:v>8.1079219999999994E-2</c:v>
                </c:pt>
                <c:pt idx="405" formatCode="General">
                  <c:v>8.0524509999999994E-2</c:v>
                </c:pt>
                <c:pt idx="406" formatCode="General">
                  <c:v>7.9784029999999992E-2</c:v>
                </c:pt>
                <c:pt idx="407" formatCode="General">
                  <c:v>7.9138969999999989E-2</c:v>
                </c:pt>
                <c:pt idx="408" formatCode="General">
                  <c:v>7.8451399999999991E-2</c:v>
                </c:pt>
                <c:pt idx="409" formatCode="General">
                  <c:v>7.7858859999999988E-2</c:v>
                </c:pt>
                <c:pt idx="410" formatCode="General">
                  <c:v>7.7431939999999991E-2</c:v>
                </c:pt>
                <c:pt idx="411" formatCode="General">
                  <c:v>7.7067549999999985E-2</c:v>
                </c:pt>
                <c:pt idx="412" formatCode="General">
                  <c:v>7.6906349999999984E-2</c:v>
                </c:pt>
                <c:pt idx="413" formatCode="General">
                  <c:v>7.6675989999999999E-2</c:v>
                </c:pt>
                <c:pt idx="414" formatCode="General">
                  <c:v>7.6323949999999988E-2</c:v>
                </c:pt>
                <c:pt idx="415" formatCode="General">
                  <c:v>7.5873239999999995E-2</c:v>
                </c:pt>
                <c:pt idx="416" formatCode="General">
                  <c:v>7.5511449999999994E-2</c:v>
                </c:pt>
                <c:pt idx="417" formatCode="General">
                  <c:v>7.5275759999999997E-2</c:v>
                </c:pt>
                <c:pt idx="418" formatCode="General">
                  <c:v>7.5032529999999986E-2</c:v>
                </c:pt>
                <c:pt idx="419" formatCode="General">
                  <c:v>7.4807759999999987E-2</c:v>
                </c:pt>
                <c:pt idx="420" formatCode="General">
                  <c:v>7.4537359999999997E-2</c:v>
                </c:pt>
                <c:pt idx="421" formatCode="General">
                  <c:v>7.4341189999999988E-2</c:v>
                </c:pt>
                <c:pt idx="422" formatCode="General">
                  <c:v>7.4135529999999991E-2</c:v>
                </c:pt>
                <c:pt idx="423" formatCode="General">
                  <c:v>7.3877349999999994E-2</c:v>
                </c:pt>
                <c:pt idx="424" formatCode="General">
                  <c:v>7.3710829999999991E-2</c:v>
                </c:pt>
                <c:pt idx="425" formatCode="General">
                  <c:v>7.3470869999999994E-2</c:v>
                </c:pt>
                <c:pt idx="426" formatCode="General">
                  <c:v>7.318501999999999E-2</c:v>
                </c:pt>
                <c:pt idx="427" formatCode="General">
                  <c:v>7.2972490000000001E-2</c:v>
                </c:pt>
                <c:pt idx="428" formatCode="General">
                  <c:v>7.2736250000000002E-2</c:v>
                </c:pt>
                <c:pt idx="429" formatCode="General">
                  <c:v>7.2634820000000003E-2</c:v>
                </c:pt>
                <c:pt idx="430" formatCode="General">
                  <c:v>7.2449949999999999E-2</c:v>
                </c:pt>
                <c:pt idx="431" formatCode="General">
                  <c:v>7.2377469999999999E-2</c:v>
                </c:pt>
                <c:pt idx="432" formatCode="General">
                  <c:v>7.1813000000000002E-2</c:v>
                </c:pt>
                <c:pt idx="433" formatCode="General">
                  <c:v>7.1532499999999999E-2</c:v>
                </c:pt>
                <c:pt idx="434" formatCode="General">
                  <c:v>7.1038500000000004E-2</c:v>
                </c:pt>
                <c:pt idx="435" formatCode="General">
                  <c:v>7.1060999999999999E-2</c:v>
                </c:pt>
                <c:pt idx="436" formatCode="General">
                  <c:v>7.0559499999999997E-2</c:v>
                </c:pt>
                <c:pt idx="437" formatCode="General">
                  <c:v>7.0565500000000003E-2</c:v>
                </c:pt>
                <c:pt idx="438" formatCode="General">
                  <c:v>7.0080500000000004E-2</c:v>
                </c:pt>
                <c:pt idx="439" formatCode="General">
                  <c:v>6.9562499999999999E-2</c:v>
                </c:pt>
                <c:pt idx="440" formatCode="General">
                  <c:v>6.9545999999999997E-2</c:v>
                </c:pt>
                <c:pt idx="441" formatCode="General">
                  <c:v>6.9523500000000002E-2</c:v>
                </c:pt>
                <c:pt idx="442" formatCode="General">
                  <c:v>6.9505499999999998E-2</c:v>
                </c:pt>
                <c:pt idx="443" formatCode="General">
                  <c:v>6.9503999999999996E-2</c:v>
                </c:pt>
                <c:pt idx="444" formatCode="General">
                  <c:v>6.9551999999999989E-2</c:v>
                </c:pt>
                <c:pt idx="445" formatCode="General">
                  <c:v>6.9592499999999988E-2</c:v>
                </c:pt>
                <c:pt idx="446" formatCode="General">
                  <c:v>6.9591E-2</c:v>
                </c:pt>
                <c:pt idx="447" formatCode="General">
                  <c:v>6.9610499999999992E-2</c:v>
                </c:pt>
                <c:pt idx="448" formatCode="General">
                  <c:v>6.96465E-2</c:v>
                </c:pt>
                <c:pt idx="449" formatCode="General">
                  <c:v>6.9680999999999993E-2</c:v>
                </c:pt>
                <c:pt idx="450" formatCode="General">
                  <c:v>6.9667500000000007E-2</c:v>
                </c:pt>
                <c:pt idx="451" formatCode="General">
                  <c:v>6.9626999999999994E-2</c:v>
                </c:pt>
                <c:pt idx="452" formatCode="General">
                  <c:v>6.9628499999999996E-2</c:v>
                </c:pt>
                <c:pt idx="453" formatCode="General">
                  <c:v>6.9641999999999996E-2</c:v>
                </c:pt>
                <c:pt idx="454" formatCode="General">
                  <c:v>6.9680999999999993E-2</c:v>
                </c:pt>
                <c:pt idx="455" formatCode="General">
                  <c:v>6.9707999999999992E-2</c:v>
                </c:pt>
                <c:pt idx="456" formatCode="General">
                  <c:v>6.9724499999999995E-2</c:v>
                </c:pt>
                <c:pt idx="457" formatCode="General">
                  <c:v>6.9725999999999996E-2</c:v>
                </c:pt>
                <c:pt idx="458" formatCode="General">
                  <c:v>6.9690000000000002E-2</c:v>
                </c:pt>
                <c:pt idx="459" formatCode="General">
                  <c:v>6.9669000000000009E-2</c:v>
                </c:pt>
                <c:pt idx="460" formatCode="General">
                  <c:v>6.9685499999999997E-2</c:v>
                </c:pt>
                <c:pt idx="461" formatCode="General">
                  <c:v>6.9740999999999997E-2</c:v>
                </c:pt>
                <c:pt idx="462" formatCode="General">
                  <c:v>6.9780000000000009E-2</c:v>
                </c:pt>
                <c:pt idx="463" formatCode="General">
                  <c:v>6.9853499999999999E-2</c:v>
                </c:pt>
                <c:pt idx="464" formatCode="General">
                  <c:v>6.9886500000000004E-2</c:v>
                </c:pt>
                <c:pt idx="465" formatCode="General">
                  <c:v>6.9917999999999994E-2</c:v>
                </c:pt>
                <c:pt idx="466" formatCode="General">
                  <c:v>6.9907499999999997E-2</c:v>
                </c:pt>
                <c:pt idx="467" formatCode="General">
                  <c:v>6.9893999999999998E-2</c:v>
                </c:pt>
                <c:pt idx="468" formatCode="General">
                  <c:v>6.9919500000000009E-2</c:v>
                </c:pt>
                <c:pt idx="469" formatCode="General">
                  <c:v>6.9935999999999998E-2</c:v>
                </c:pt>
                <c:pt idx="470" formatCode="General">
                  <c:v>7.0004999999999998E-2</c:v>
                </c:pt>
                <c:pt idx="471" formatCode="General">
                  <c:v>7.0063500000000001E-2</c:v>
                </c:pt>
                <c:pt idx="472" formatCode="General">
                  <c:v>7.0139999999999994E-2</c:v>
                </c:pt>
                <c:pt idx="473" formatCode="General">
                  <c:v>7.0186499999999999E-2</c:v>
                </c:pt>
                <c:pt idx="474" formatCode="General">
                  <c:v>7.0240499999999997E-2</c:v>
                </c:pt>
                <c:pt idx="475" formatCode="General">
                  <c:v>7.0295999999999997E-2</c:v>
                </c:pt>
                <c:pt idx="476" formatCode="General">
                  <c:v>7.03815E-2</c:v>
                </c:pt>
                <c:pt idx="477" formatCode="General">
                  <c:v>7.0462499999999997E-2</c:v>
                </c:pt>
                <c:pt idx="478" formatCode="General">
                  <c:v>7.0526999999999992E-2</c:v>
                </c:pt>
                <c:pt idx="479" formatCode="General">
                  <c:v>7.0601999999999998E-2</c:v>
                </c:pt>
                <c:pt idx="480" formatCode="General">
                  <c:v>7.0685999999999999E-2</c:v>
                </c:pt>
                <c:pt idx="481" formatCode="General">
                  <c:v>7.0795499999999997E-2</c:v>
                </c:pt>
                <c:pt idx="482" formatCode="General">
                  <c:v>7.0869000000000001E-2</c:v>
                </c:pt>
                <c:pt idx="483" formatCode="General">
                  <c:v>7.0949999999999999E-2</c:v>
                </c:pt>
                <c:pt idx="484" formatCode="General">
                  <c:v>7.1062500000000001E-2</c:v>
                </c:pt>
                <c:pt idx="485" formatCode="General">
                  <c:v>7.1173500000000001E-2</c:v>
                </c:pt>
                <c:pt idx="486" formatCode="General">
                  <c:v>7.1279999999999996E-2</c:v>
                </c:pt>
                <c:pt idx="487" formatCode="General">
                  <c:v>7.1457000000000007E-2</c:v>
                </c:pt>
                <c:pt idx="488" formatCode="General">
                  <c:v>7.1635500000000005E-2</c:v>
                </c:pt>
                <c:pt idx="489" formatCode="General">
                  <c:v>7.1833500000000008E-2</c:v>
                </c:pt>
                <c:pt idx="490" formatCode="General">
                  <c:v>7.1978999999999987E-2</c:v>
                </c:pt>
                <c:pt idx="491" formatCode="General">
                  <c:v>7.2136499999999992E-2</c:v>
                </c:pt>
                <c:pt idx="492" formatCode="General">
                  <c:v>7.23105E-2</c:v>
                </c:pt>
                <c:pt idx="493" formatCode="General">
                  <c:v>7.2522000000000003E-2</c:v>
                </c:pt>
                <c:pt idx="494" formatCode="General">
                  <c:v>7.2656999999999999E-2</c:v>
                </c:pt>
                <c:pt idx="495" formatCode="General">
                  <c:v>7.2859499999999994E-2</c:v>
                </c:pt>
                <c:pt idx="496" formatCode="General">
                  <c:v>7.3087499999999986E-2</c:v>
                </c:pt>
                <c:pt idx="497" formatCode="General">
                  <c:v>7.3372499999999993E-2</c:v>
                </c:pt>
                <c:pt idx="498" formatCode="General">
                  <c:v>7.3624499999999996E-2</c:v>
                </c:pt>
                <c:pt idx="499" formatCode="General">
                  <c:v>7.3856999999999992E-2</c:v>
                </c:pt>
                <c:pt idx="500" formatCode="General">
                  <c:v>7.4131499999999989E-2</c:v>
                </c:pt>
                <c:pt idx="501" formatCode="General">
                  <c:v>7.43505E-2</c:v>
                </c:pt>
                <c:pt idx="502" formatCode="General">
                  <c:v>7.4563500000000005E-2</c:v>
                </c:pt>
                <c:pt idx="503" formatCode="General">
                  <c:v>7.4842499999999992E-2</c:v>
                </c:pt>
                <c:pt idx="504" formatCode="General">
                  <c:v>7.5136499999999995E-2</c:v>
                </c:pt>
                <c:pt idx="505" formatCode="General">
                  <c:v>7.5469500000000009E-2</c:v>
                </c:pt>
                <c:pt idx="506" formatCode="General">
                  <c:v>7.5787499999999994E-2</c:v>
                </c:pt>
                <c:pt idx="507" formatCode="General">
                  <c:v>7.610249999999999E-2</c:v>
                </c:pt>
                <c:pt idx="508" formatCode="General">
                  <c:v>7.6429499999999997E-2</c:v>
                </c:pt>
                <c:pt idx="509" formatCode="General">
                  <c:v>7.6762499999999984E-2</c:v>
                </c:pt>
                <c:pt idx="510" formatCode="General">
                  <c:v>7.7122499999999997E-2</c:v>
                </c:pt>
                <c:pt idx="511" formatCode="General">
                  <c:v>7.7515499999999987E-2</c:v>
                </c:pt>
                <c:pt idx="512" formatCode="General">
                  <c:v>7.7995500000000009E-2</c:v>
                </c:pt>
                <c:pt idx="513" formatCode="General">
                  <c:v>7.8425999999999996E-2</c:v>
                </c:pt>
                <c:pt idx="514" formatCode="General">
                  <c:v>7.8908999999999993E-2</c:v>
                </c:pt>
                <c:pt idx="515" formatCode="General">
                  <c:v>7.9438499999999995E-2</c:v>
                </c:pt>
                <c:pt idx="516" formatCode="General">
                  <c:v>7.9906500000000005E-2</c:v>
                </c:pt>
                <c:pt idx="517" formatCode="General">
                  <c:v>8.0353499999999994E-2</c:v>
                </c:pt>
                <c:pt idx="518" formatCode="General">
                  <c:v>8.0813999999999997E-2</c:v>
                </c:pt>
                <c:pt idx="519" formatCode="General">
                  <c:v>8.1283499999999995E-2</c:v>
                </c:pt>
                <c:pt idx="520" formatCode="General">
                  <c:v>8.1800999999999999E-2</c:v>
                </c:pt>
                <c:pt idx="521" formatCode="General">
                  <c:v>8.2263000000000003E-2</c:v>
                </c:pt>
                <c:pt idx="522" formatCode="General">
                  <c:v>8.2734000000000002E-2</c:v>
                </c:pt>
                <c:pt idx="523" formatCode="General">
                  <c:v>8.3170499999999994E-2</c:v>
                </c:pt>
                <c:pt idx="524" formatCode="General">
                  <c:v>8.3608499999999988E-2</c:v>
                </c:pt>
                <c:pt idx="525" formatCode="General">
                  <c:v>8.4035999999999986E-2</c:v>
                </c:pt>
                <c:pt idx="526" formatCode="General">
                  <c:v>8.4455999999999989E-2</c:v>
                </c:pt>
                <c:pt idx="527" formatCode="General">
                  <c:v>8.4727499999999997E-2</c:v>
                </c:pt>
                <c:pt idx="528" formatCode="General">
                  <c:v>8.4916499999999992E-2</c:v>
                </c:pt>
                <c:pt idx="529" formatCode="General">
                  <c:v>8.4996000000000002E-2</c:v>
                </c:pt>
                <c:pt idx="530" formatCode="General">
                  <c:v>8.5127999999999995E-2</c:v>
                </c:pt>
                <c:pt idx="531" formatCode="General">
                  <c:v>8.5287000000000016E-2</c:v>
                </c:pt>
                <c:pt idx="532" formatCode="General">
                  <c:v>8.5440000000000002E-2</c:v>
                </c:pt>
                <c:pt idx="533" formatCode="General">
                  <c:v>8.5622999999999991E-2</c:v>
                </c:pt>
                <c:pt idx="534" formatCode="General">
                  <c:v>8.5753499999999996E-2</c:v>
                </c:pt>
                <c:pt idx="535" formatCode="General">
                  <c:v>8.5894499999999999E-2</c:v>
                </c:pt>
                <c:pt idx="536" formatCode="General">
                  <c:v>8.6034000000000013E-2</c:v>
                </c:pt>
                <c:pt idx="537" formatCode="General">
                  <c:v>8.6182499999999995E-2</c:v>
                </c:pt>
                <c:pt idx="538" formatCode="General">
                  <c:v>8.6336999999999997E-2</c:v>
                </c:pt>
                <c:pt idx="539" formatCode="General">
                  <c:v>8.6435999999999999E-2</c:v>
                </c:pt>
                <c:pt idx="540" formatCode="General">
                  <c:v>8.6517000000000011E-2</c:v>
                </c:pt>
                <c:pt idx="541" formatCode="General">
                  <c:v>8.6669999999999997E-2</c:v>
                </c:pt>
                <c:pt idx="542" formatCode="General">
                  <c:v>8.687099999999999E-2</c:v>
                </c:pt>
                <c:pt idx="543" formatCode="General">
                  <c:v>8.7106500000000003E-2</c:v>
                </c:pt>
                <c:pt idx="544" formatCode="General">
                  <c:v>8.7277499999999994E-2</c:v>
                </c:pt>
                <c:pt idx="545" formatCode="General">
                  <c:v>8.7460499999999997E-2</c:v>
                </c:pt>
                <c:pt idx="546" formatCode="General">
                  <c:v>8.7655500000000011E-2</c:v>
                </c:pt>
                <c:pt idx="547" formatCode="General">
                  <c:v>8.7861000000000009E-2</c:v>
                </c:pt>
                <c:pt idx="548" formatCode="General">
                  <c:v>8.8047E-2</c:v>
                </c:pt>
                <c:pt idx="549" formatCode="General">
                  <c:v>8.8230000000000003E-2</c:v>
                </c:pt>
                <c:pt idx="550" formatCode="General">
                  <c:v>8.8491E-2</c:v>
                </c:pt>
                <c:pt idx="551" formatCode="General">
                  <c:v>8.8682999999999998E-2</c:v>
                </c:pt>
                <c:pt idx="552" formatCode="General">
                  <c:v>8.8810500000000001E-2</c:v>
                </c:pt>
                <c:pt idx="553" formatCode="General">
                  <c:v>8.8988999999999999E-2</c:v>
                </c:pt>
                <c:pt idx="554" formatCode="General">
                  <c:v>8.9204999999999993E-2</c:v>
                </c:pt>
                <c:pt idx="555" formatCode="General">
                  <c:v>8.9488499999999985E-2</c:v>
                </c:pt>
                <c:pt idx="556" formatCode="General">
                  <c:v>8.9795999999999987E-2</c:v>
                </c:pt>
                <c:pt idx="557" formatCode="General">
                  <c:v>9.0014999999999998E-2</c:v>
                </c:pt>
                <c:pt idx="558" formatCode="General">
                  <c:v>9.0247499999999994E-2</c:v>
                </c:pt>
                <c:pt idx="559" formatCode="General">
                  <c:v>9.044099999999998E-2</c:v>
                </c:pt>
                <c:pt idx="560" formatCode="General">
                  <c:v>9.0614999999999987E-2</c:v>
                </c:pt>
                <c:pt idx="561" formatCode="General">
                  <c:v>9.0812999999999991E-2</c:v>
                </c:pt>
                <c:pt idx="562" formatCode="General">
                  <c:v>9.1002E-2</c:v>
                </c:pt>
                <c:pt idx="563" formatCode="General">
                  <c:v>9.1192499999999996E-2</c:v>
                </c:pt>
                <c:pt idx="564" formatCode="General">
                  <c:v>9.1441499999999995E-2</c:v>
                </c:pt>
                <c:pt idx="565" formatCode="General">
                  <c:v>9.1739999999999988E-2</c:v>
                </c:pt>
                <c:pt idx="566" formatCode="General">
                  <c:v>9.2009999999999995E-2</c:v>
                </c:pt>
                <c:pt idx="567" formatCode="General">
                  <c:v>9.2155500000000015E-2</c:v>
                </c:pt>
                <c:pt idx="568" formatCode="General">
                  <c:v>9.2343000000000008E-2</c:v>
                </c:pt>
                <c:pt idx="569" formatCode="General">
                  <c:v>9.2621999999999996E-2</c:v>
                </c:pt>
                <c:pt idx="570" formatCode="General">
                  <c:v>9.2909999999999993E-2</c:v>
                </c:pt>
                <c:pt idx="571" formatCode="General">
                  <c:v>9.317700000000001E-2</c:v>
                </c:pt>
                <c:pt idx="572" formatCode="General">
                  <c:v>9.3352500000000005E-2</c:v>
                </c:pt>
                <c:pt idx="573" formatCode="General">
                  <c:v>9.357E-2</c:v>
                </c:pt>
                <c:pt idx="574" formatCode="General">
                  <c:v>9.3781500000000004E-2</c:v>
                </c:pt>
                <c:pt idx="575" formatCode="General">
                  <c:v>9.4020000000000006E-2</c:v>
                </c:pt>
                <c:pt idx="576" formatCode="General">
                  <c:v>9.4242000000000006E-2</c:v>
                </c:pt>
                <c:pt idx="577" formatCode="General">
                  <c:v>9.4450500000000007E-2</c:v>
                </c:pt>
                <c:pt idx="578" formatCode="General">
                  <c:v>9.4744499999999995E-2</c:v>
                </c:pt>
                <c:pt idx="579" formatCode="General">
                  <c:v>9.4984500000000013E-2</c:v>
                </c:pt>
                <c:pt idx="580" formatCode="General">
                  <c:v>9.5251500000000003E-2</c:v>
                </c:pt>
                <c:pt idx="581" formatCode="General">
                  <c:v>9.5537999999999998E-2</c:v>
                </c:pt>
                <c:pt idx="582" formatCode="General">
                  <c:v>9.5737499999999989E-2</c:v>
                </c:pt>
                <c:pt idx="583" formatCode="General">
                  <c:v>9.5890500000000004E-2</c:v>
                </c:pt>
                <c:pt idx="584" formatCode="General">
                  <c:v>9.6197999999999992E-2</c:v>
                </c:pt>
                <c:pt idx="585" formatCode="General">
                  <c:v>9.64425E-2</c:v>
                </c:pt>
                <c:pt idx="586" formatCode="General">
                  <c:v>9.6585000000000004E-2</c:v>
                </c:pt>
                <c:pt idx="587" formatCode="General">
                  <c:v>9.6753000000000006E-2</c:v>
                </c:pt>
                <c:pt idx="588" formatCode="General">
                  <c:v>9.6957000000000002E-2</c:v>
                </c:pt>
                <c:pt idx="589" formatCode="General">
                  <c:v>9.7089000000000009E-2</c:v>
                </c:pt>
                <c:pt idx="590" formatCode="General">
                  <c:v>9.7269000000000008E-2</c:v>
                </c:pt>
                <c:pt idx="591" formatCode="General">
                  <c:v>9.7519499999999995E-2</c:v>
                </c:pt>
                <c:pt idx="592" formatCode="General">
                  <c:v>9.7669499999999992E-2</c:v>
                </c:pt>
                <c:pt idx="593" formatCode="General">
                  <c:v>9.7873500000000002E-2</c:v>
                </c:pt>
                <c:pt idx="594" formatCode="General">
                  <c:v>9.8101499999999994E-2</c:v>
                </c:pt>
                <c:pt idx="595" formatCode="General">
                  <c:v>9.8281499999999994E-2</c:v>
                </c:pt>
                <c:pt idx="596" formatCode="General">
                  <c:v>9.8410499999999998E-2</c:v>
                </c:pt>
                <c:pt idx="597" formatCode="General">
                  <c:v>9.8653499999999991E-2</c:v>
                </c:pt>
                <c:pt idx="598" formatCode="General">
                  <c:v>9.8795999999999995E-2</c:v>
                </c:pt>
                <c:pt idx="599" formatCode="General">
                  <c:v>9.8887500000000003E-2</c:v>
                </c:pt>
                <c:pt idx="600" formatCode="General">
                  <c:v>9.9234000000000003E-2</c:v>
                </c:pt>
                <c:pt idx="601" formatCode="General">
                  <c:v>9.9673499999999998E-2</c:v>
                </c:pt>
                <c:pt idx="602" formatCode="General">
                  <c:v>0.100215</c:v>
                </c:pt>
                <c:pt idx="603" formatCode="General">
                  <c:v>0.10068000000000001</c:v>
                </c:pt>
                <c:pt idx="604" formatCode="General">
                  <c:v>0.101118</c:v>
                </c:pt>
                <c:pt idx="605" formatCode="General">
                  <c:v>0.10144499999999999</c:v>
                </c:pt>
                <c:pt idx="606" formatCode="General">
                  <c:v>0.101928</c:v>
                </c:pt>
                <c:pt idx="607" formatCode="General">
                  <c:v>0.10233149999999999</c:v>
                </c:pt>
                <c:pt idx="608" formatCode="General">
                  <c:v>0.10277399999999999</c:v>
                </c:pt>
                <c:pt idx="609" formatCode="General">
                  <c:v>0.1031955</c:v>
                </c:pt>
                <c:pt idx="610" formatCode="General">
                  <c:v>0.1035855</c:v>
                </c:pt>
                <c:pt idx="611" formatCode="General">
                  <c:v>0.10405650000000001</c:v>
                </c:pt>
                <c:pt idx="612" formatCode="General">
                  <c:v>0.10445099999999999</c:v>
                </c:pt>
                <c:pt idx="613" formatCode="General">
                  <c:v>0.104919</c:v>
                </c:pt>
                <c:pt idx="614" formatCode="General">
                  <c:v>0.105252</c:v>
                </c:pt>
                <c:pt idx="615" formatCode="General">
                  <c:v>0.1056105</c:v>
                </c:pt>
                <c:pt idx="616" formatCode="General">
                  <c:v>0.1060185</c:v>
                </c:pt>
                <c:pt idx="617" formatCode="General">
                  <c:v>0.106419</c:v>
                </c:pt>
                <c:pt idx="618" formatCode="General">
                  <c:v>0.10680749999999999</c:v>
                </c:pt>
                <c:pt idx="619" formatCode="General">
                  <c:v>0.10716000000000001</c:v>
                </c:pt>
                <c:pt idx="620" formatCode="General">
                  <c:v>0.107502</c:v>
                </c:pt>
                <c:pt idx="621" formatCode="General">
                  <c:v>0.10779</c:v>
                </c:pt>
                <c:pt idx="622" formatCode="General">
                  <c:v>0.1081245</c:v>
                </c:pt>
                <c:pt idx="623" formatCode="General">
                  <c:v>0.10851599999999999</c:v>
                </c:pt>
                <c:pt idx="624" formatCode="General">
                  <c:v>0.1089435</c:v>
                </c:pt>
                <c:pt idx="625" formatCode="General">
                  <c:v>0.109377</c:v>
                </c:pt>
                <c:pt idx="626" formatCode="General">
                  <c:v>0.109722</c:v>
                </c:pt>
                <c:pt idx="627" formatCode="General">
                  <c:v>0.11004599999999999</c:v>
                </c:pt>
                <c:pt idx="628" formatCode="General">
                  <c:v>0.11035199999999999</c:v>
                </c:pt>
                <c:pt idx="629" formatCode="General">
                  <c:v>0.1106145</c:v>
                </c:pt>
                <c:pt idx="630" formatCode="General">
                  <c:v>0.11105849999999999</c:v>
                </c:pt>
                <c:pt idx="631" formatCode="General">
                  <c:v>0.11132400000000001</c:v>
                </c:pt>
                <c:pt idx="632" formatCode="General">
                  <c:v>0.111636</c:v>
                </c:pt>
                <c:pt idx="633" formatCode="General">
                  <c:v>0.11193599999999999</c:v>
                </c:pt>
                <c:pt idx="634" formatCode="General">
                  <c:v>0.1122585</c:v>
                </c:pt>
                <c:pt idx="635" formatCode="General">
                  <c:v>0.11250449999999999</c:v>
                </c:pt>
                <c:pt idx="636" formatCode="General">
                  <c:v>0.1128465</c:v>
                </c:pt>
                <c:pt idx="637" formatCode="General">
                  <c:v>0.11306849999999999</c:v>
                </c:pt>
                <c:pt idx="638" formatCode="General">
                  <c:v>0.1134315</c:v>
                </c:pt>
                <c:pt idx="639" formatCode="General">
                  <c:v>0.11365349999999999</c:v>
                </c:pt>
                <c:pt idx="640" formatCode="General">
                  <c:v>0.11380049999999999</c:v>
                </c:pt>
                <c:pt idx="641" formatCode="General">
                  <c:v>0.11400449999999999</c:v>
                </c:pt>
                <c:pt idx="642" formatCode="General">
                  <c:v>0.11427599999999999</c:v>
                </c:pt>
                <c:pt idx="643" formatCode="General">
                  <c:v>0.11458499999999999</c:v>
                </c:pt>
                <c:pt idx="644" formatCode="General">
                  <c:v>0.11479349999999999</c:v>
                </c:pt>
                <c:pt idx="645" formatCode="General">
                  <c:v>0.115047</c:v>
                </c:pt>
                <c:pt idx="646" formatCode="General">
                  <c:v>0.11523449999999999</c:v>
                </c:pt>
                <c:pt idx="647" formatCode="General">
                  <c:v>0.1153545</c:v>
                </c:pt>
                <c:pt idx="648" formatCode="General">
                  <c:v>0.11554349999999999</c:v>
                </c:pt>
                <c:pt idx="649" formatCode="General">
                  <c:v>0.11578649999999999</c:v>
                </c:pt>
                <c:pt idx="650" formatCode="General">
                  <c:v>0.116052</c:v>
                </c:pt>
                <c:pt idx="651" formatCode="General">
                  <c:v>0.1161885</c:v>
                </c:pt>
                <c:pt idx="652" formatCode="General">
                  <c:v>0.11635499999999999</c:v>
                </c:pt>
                <c:pt idx="653" formatCode="General">
                  <c:v>0.11635799999999999</c:v>
                </c:pt>
                <c:pt idx="654" formatCode="General">
                  <c:v>0.11654399999999999</c:v>
                </c:pt>
                <c:pt idx="655" formatCode="General">
                  <c:v>0.11671349999999998</c:v>
                </c:pt>
                <c:pt idx="656" formatCode="General">
                  <c:v>0.11682000000000001</c:v>
                </c:pt>
                <c:pt idx="657" formatCode="General">
                  <c:v>0.116883</c:v>
                </c:pt>
                <c:pt idx="658" formatCode="General">
                  <c:v>0.11698649999999999</c:v>
                </c:pt>
                <c:pt idx="659" formatCode="General">
                  <c:v>0.11729249999999999</c:v>
                </c:pt>
                <c:pt idx="660" formatCode="General">
                  <c:v>0.11742599999999999</c:v>
                </c:pt>
                <c:pt idx="661" formatCode="General">
                  <c:v>0.11740799999999998</c:v>
                </c:pt>
                <c:pt idx="662" formatCode="General">
                  <c:v>0.11738249999999999</c:v>
                </c:pt>
                <c:pt idx="663" formatCode="General">
                  <c:v>0.1175445</c:v>
                </c:pt>
                <c:pt idx="664" formatCode="General">
                  <c:v>0.1176435</c:v>
                </c:pt>
                <c:pt idx="665" formatCode="General">
                  <c:v>0.1178505</c:v>
                </c:pt>
                <c:pt idx="666" formatCode="General">
                  <c:v>0.117951</c:v>
                </c:pt>
                <c:pt idx="667" formatCode="General">
                  <c:v>0.118059</c:v>
                </c:pt>
                <c:pt idx="668" formatCode="General">
                  <c:v>0.118212</c:v>
                </c:pt>
                <c:pt idx="669" formatCode="General">
                  <c:v>0.1183935</c:v>
                </c:pt>
                <c:pt idx="670" formatCode="General">
                  <c:v>0.11853149999999998</c:v>
                </c:pt>
                <c:pt idx="671" formatCode="General">
                  <c:v>0.11866199999999999</c:v>
                </c:pt>
                <c:pt idx="672" formatCode="General">
                  <c:v>0.11866349999999999</c:v>
                </c:pt>
                <c:pt idx="673" formatCode="General">
                  <c:v>0.1187595</c:v>
                </c:pt>
                <c:pt idx="674" formatCode="General">
                  <c:v>0.11880149999999999</c:v>
                </c:pt>
                <c:pt idx="675" formatCode="General">
                  <c:v>0.1187535</c:v>
                </c:pt>
                <c:pt idx="676" formatCode="General">
                  <c:v>0.11883899999999999</c:v>
                </c:pt>
                <c:pt idx="677" formatCode="General">
                  <c:v>0.11890200000000001</c:v>
                </c:pt>
                <c:pt idx="678" formatCode="General">
                  <c:v>0.11888849999999999</c:v>
                </c:pt>
                <c:pt idx="679" formatCode="General">
                  <c:v>0.11882699999999999</c:v>
                </c:pt>
                <c:pt idx="680" formatCode="General">
                  <c:v>0.11882699999999999</c:v>
                </c:pt>
                <c:pt idx="681" formatCode="General">
                  <c:v>0.1188915</c:v>
                </c:pt>
                <c:pt idx="682" formatCode="General">
                  <c:v>0.11903549999999999</c:v>
                </c:pt>
                <c:pt idx="683" formatCode="General">
                  <c:v>0.11915249999999999</c:v>
                </c:pt>
                <c:pt idx="684" formatCode="General">
                  <c:v>0.11912399999999999</c:v>
                </c:pt>
                <c:pt idx="685" formatCode="General">
                  <c:v>0.11904749999999999</c:v>
                </c:pt>
                <c:pt idx="686" formatCode="General">
                  <c:v>0.1190235</c:v>
                </c:pt>
                <c:pt idx="687" formatCode="General">
                  <c:v>0.11891549999999999</c:v>
                </c:pt>
                <c:pt idx="688" formatCode="General">
                  <c:v>0.11885850000000001</c:v>
                </c:pt>
                <c:pt idx="689" formatCode="General">
                  <c:v>0.1187685</c:v>
                </c:pt>
                <c:pt idx="690" formatCode="General">
                  <c:v>0.11877299999999999</c:v>
                </c:pt>
                <c:pt idx="691" formatCode="General">
                  <c:v>0.11877750000000001</c:v>
                </c:pt>
                <c:pt idx="692" formatCode="General">
                  <c:v>0.11892048660299998</c:v>
                </c:pt>
                <c:pt idx="693" formatCode="General">
                  <c:v>0.11894847479999998</c:v>
                </c:pt>
                <c:pt idx="694" formatCode="General">
                  <c:v>0.118926998385</c:v>
                </c:pt>
                <c:pt idx="695" formatCode="General">
                  <c:v>0.11897568461999999</c:v>
                </c:pt>
                <c:pt idx="696" formatCode="General">
                  <c:v>0.1190205</c:v>
                </c:pt>
                <c:pt idx="697" formatCode="General">
                  <c:v>0.11913449999999999</c:v>
                </c:pt>
                <c:pt idx="698" formatCode="General">
                  <c:v>0.11906408835</c:v>
                </c:pt>
                <c:pt idx="699" formatCode="General">
                  <c:v>0.11906921815499999</c:v>
                </c:pt>
                <c:pt idx="700" formatCode="General">
                  <c:v>0.11916984017999999</c:v>
                </c:pt>
                <c:pt idx="701" formatCode="General">
                  <c:v>0.11932822259999999</c:v>
                </c:pt>
                <c:pt idx="702" formatCode="General">
                  <c:v>0.11934218189999998</c:v>
                </c:pt>
                <c:pt idx="703" formatCode="General">
                  <c:v>0.11921580225</c:v>
                </c:pt>
                <c:pt idx="704" formatCode="General">
                  <c:v>0.11917628729999999</c:v>
                </c:pt>
                <c:pt idx="705" formatCode="General">
                  <c:v>0.1188</c:v>
                </c:pt>
                <c:pt idx="706" formatCode="General">
                  <c:v>0.11865000000000001</c:v>
                </c:pt>
                <c:pt idx="707" formatCode="General">
                  <c:v>0.11849999999999999</c:v>
                </c:pt>
                <c:pt idx="708" formatCode="General">
                  <c:v>0.11835</c:v>
                </c:pt>
                <c:pt idx="709" formatCode="General">
                  <c:v>0.1182</c:v>
                </c:pt>
                <c:pt idx="710" formatCode="General">
                  <c:v>0.11805</c:v>
                </c:pt>
                <c:pt idx="711" formatCode="General">
                  <c:v>0.1179</c:v>
                </c:pt>
                <c:pt idx="712" formatCode="General">
                  <c:v>0.11774999999999999</c:v>
                </c:pt>
                <c:pt idx="713" formatCode="General">
                  <c:v>0.11831985</c:v>
                </c:pt>
                <c:pt idx="714" formatCode="General">
                  <c:v>0.11644468949999998</c:v>
                </c:pt>
                <c:pt idx="715" formatCode="General">
                  <c:v>0.11446351799999999</c:v>
                </c:pt>
                <c:pt idx="716" formatCode="General">
                  <c:v>0.113216679</c:v>
                </c:pt>
                <c:pt idx="717" formatCode="General">
                  <c:v>0.1123063485</c:v>
                </c:pt>
                <c:pt idx="718" formatCode="General">
                  <c:v>0.11141580599999999</c:v>
                </c:pt>
                <c:pt idx="719" formatCode="General">
                  <c:v>0.11061135749999999</c:v>
                </c:pt>
                <c:pt idx="720" formatCode="General">
                  <c:v>0.1096621815</c:v>
                </c:pt>
                <c:pt idx="721" formatCode="General">
                  <c:v>0.1097827695</c:v>
                </c:pt>
                <c:pt idx="722" formatCode="General">
                  <c:v>0.108057282</c:v>
                </c:pt>
                <c:pt idx="723" formatCode="General">
                  <c:v>0.10725541799999999</c:v>
                </c:pt>
                <c:pt idx="724" formatCode="General">
                  <c:v>0.10649331599999999</c:v>
                </c:pt>
                <c:pt idx="725" formatCode="General">
                  <c:v>0.10562637599999999</c:v>
                </c:pt>
                <c:pt idx="726" formatCode="General">
                  <c:v>0.10471132500000001</c:v>
                </c:pt>
                <c:pt idx="727" formatCode="General">
                  <c:v>0.10378097999999999</c:v>
                </c:pt>
                <c:pt idx="728" formatCode="General">
                  <c:v>0.10295083499999999</c:v>
                </c:pt>
                <c:pt idx="729" formatCode="General">
                  <c:v>0.10217625</c:v>
                </c:pt>
                <c:pt idx="730" formatCode="General">
                  <c:v>0.10140634499999999</c:v>
                </c:pt>
                <c:pt idx="731" formatCode="General">
                  <c:v>0.10073463000000001</c:v>
                </c:pt>
                <c:pt idx="732" formatCode="General">
                  <c:v>0.10003179000000001</c:v>
                </c:pt>
                <c:pt idx="733" formatCode="General">
                  <c:v>9.9384299999999995E-2</c:v>
                </c:pt>
                <c:pt idx="734" formatCode="General">
                  <c:v>9.875365500000001E-2</c:v>
                </c:pt>
                <c:pt idx="735" formatCode="General">
                  <c:v>9.8187315000000011E-2</c:v>
                </c:pt>
                <c:pt idx="736" formatCode="General">
                  <c:v>9.766182000000001E-2</c:v>
                </c:pt>
                <c:pt idx="737" formatCode="General">
                  <c:v>9.710133E-2</c:v>
                </c:pt>
                <c:pt idx="738" formatCode="General">
                  <c:v>9.6519359999999998E-2</c:v>
                </c:pt>
                <c:pt idx="739" formatCode="General">
                  <c:v>9.6015119999999995E-2</c:v>
                </c:pt>
                <c:pt idx="740" formatCode="General">
                  <c:v>9.5479424999999993E-2</c:v>
                </c:pt>
                <c:pt idx="741" formatCode="General">
                  <c:v>9.4980585000000006E-2</c:v>
                </c:pt>
                <c:pt idx="742" formatCode="General">
                  <c:v>9.4403654999999989E-2</c:v>
                </c:pt>
                <c:pt idx="743" formatCode="General">
                  <c:v>9.3961785000000006E-2</c:v>
                </c:pt>
                <c:pt idx="744" formatCode="General">
                  <c:v>9.362719500000001E-2</c:v>
                </c:pt>
                <c:pt idx="745" formatCode="General">
                  <c:v>9.332836500000001E-2</c:v>
                </c:pt>
                <c:pt idx="746" formatCode="General">
                  <c:v>9.310881E-2</c:v>
                </c:pt>
                <c:pt idx="747" formatCode="General">
                  <c:v>9.2745494999999997E-2</c:v>
                </c:pt>
                <c:pt idx="748" formatCode="General">
                  <c:v>9.2306264999999985E-2</c:v>
                </c:pt>
                <c:pt idx="749" formatCode="General">
                  <c:v>9.2097660000000012E-2</c:v>
                </c:pt>
                <c:pt idx="750" formatCode="General">
                  <c:v>9.1982174999999999E-2</c:v>
                </c:pt>
                <c:pt idx="751" formatCode="General">
                  <c:v>9.1898340000000009E-2</c:v>
                </c:pt>
                <c:pt idx="752" formatCode="General">
                  <c:v>9.1945109999999983E-2</c:v>
                </c:pt>
                <c:pt idx="753" formatCode="General">
                  <c:v>9.1869464999999997E-2</c:v>
                </c:pt>
                <c:pt idx="754" formatCode="General">
                  <c:v>9.1690679999999997E-2</c:v>
                </c:pt>
                <c:pt idx="755" formatCode="General">
                  <c:v>9.1554149999999987E-2</c:v>
                </c:pt>
                <c:pt idx="756" formatCode="General">
                  <c:v>9.1649024999999995E-2</c:v>
                </c:pt>
                <c:pt idx="757" formatCode="General">
                  <c:v>9.1726904999999997E-2</c:v>
                </c:pt>
                <c:pt idx="758" formatCode="General">
                  <c:v>9.181996499999999E-2</c:v>
                </c:pt>
                <c:pt idx="759" formatCode="General">
                  <c:v>9.1898999999999995E-2</c:v>
                </c:pt>
                <c:pt idx="760" formatCode="General">
                  <c:v>9.2059200000000008E-2</c:v>
                </c:pt>
                <c:pt idx="761" formatCode="General">
                  <c:v>9.2272649999999998E-2</c:v>
                </c:pt>
                <c:pt idx="762" formatCode="General">
                  <c:v>9.2278650000000004E-2</c:v>
                </c:pt>
                <c:pt idx="763" formatCode="General">
                  <c:v>9.2290350000000007E-2</c:v>
                </c:pt>
                <c:pt idx="764" formatCode="General">
                  <c:v>9.2368049999999993E-2</c:v>
                </c:pt>
                <c:pt idx="765" formatCode="General">
                  <c:v>9.2654399999999998E-2</c:v>
                </c:pt>
                <c:pt idx="766" formatCode="General">
                  <c:v>9.2823000000000003E-2</c:v>
                </c:pt>
                <c:pt idx="767" formatCode="General">
                  <c:v>9.2883449999999992E-2</c:v>
                </c:pt>
                <c:pt idx="768" formatCode="General">
                  <c:v>9.2891549999999989E-2</c:v>
                </c:pt>
                <c:pt idx="769" formatCode="General">
                  <c:v>9.2820299999999994E-2</c:v>
                </c:pt>
                <c:pt idx="770" formatCode="General">
                  <c:v>9.26598E-2</c:v>
                </c:pt>
                <c:pt idx="771" formatCode="General">
                  <c:v>9.2618250000000013E-2</c:v>
                </c:pt>
                <c:pt idx="772" formatCode="General">
                  <c:v>9.2520000000000005E-2</c:v>
                </c:pt>
                <c:pt idx="773" formatCode="General">
                  <c:v>9.2296799999999998E-2</c:v>
                </c:pt>
                <c:pt idx="774" formatCode="General">
                  <c:v>9.2041200000000004E-2</c:v>
                </c:pt>
                <c:pt idx="775" formatCode="General">
                  <c:v>9.1602000000000003E-2</c:v>
                </c:pt>
                <c:pt idx="776" formatCode="General">
                  <c:v>9.1114050000000002E-2</c:v>
                </c:pt>
                <c:pt idx="777" formatCode="General">
                  <c:v>9.0411450000000004E-2</c:v>
                </c:pt>
                <c:pt idx="778" formatCode="General">
                  <c:v>8.9769749999999995E-2</c:v>
                </c:pt>
                <c:pt idx="779" formatCode="General">
                  <c:v>8.8953599999999994E-2</c:v>
                </c:pt>
                <c:pt idx="780" formatCode="General">
                  <c:v>8.8081199999999985E-2</c:v>
                </c:pt>
                <c:pt idx="781" formatCode="General">
                  <c:v>8.7086999999999998E-2</c:v>
                </c:pt>
                <c:pt idx="782" formatCode="General">
                  <c:v>8.5931550000000009E-2</c:v>
                </c:pt>
                <c:pt idx="783" formatCode="General">
                  <c:v>8.4829349999999984E-2</c:v>
                </c:pt>
                <c:pt idx="784" formatCode="General">
                  <c:v>8.3615399999999993E-2</c:v>
                </c:pt>
                <c:pt idx="785" formatCode="General">
                  <c:v>8.2263299999999998E-2</c:v>
                </c:pt>
                <c:pt idx="786" formatCode="General">
                  <c:v>8.0937450000000008E-2</c:v>
                </c:pt>
                <c:pt idx="787" formatCode="General">
                  <c:v>7.9466700000000015E-2</c:v>
                </c:pt>
                <c:pt idx="788" formatCode="General">
                  <c:v>7.8050250000000002E-2</c:v>
                </c:pt>
                <c:pt idx="789" formatCode="General">
                  <c:v>7.6542749999999993E-2</c:v>
                </c:pt>
                <c:pt idx="790" formatCode="General">
                  <c:v>7.4860349999999992E-2</c:v>
                </c:pt>
                <c:pt idx="791" formatCode="General">
                  <c:v>7.3079549999999993E-2</c:v>
                </c:pt>
                <c:pt idx="792" formatCode="General">
                  <c:v>7.1339399999999997E-2</c:v>
                </c:pt>
                <c:pt idx="793" formatCode="General">
                  <c:v>6.9737249999999987E-2</c:v>
                </c:pt>
                <c:pt idx="794" formatCode="General">
                  <c:v>6.8064600000000003E-2</c:v>
                </c:pt>
                <c:pt idx="795" formatCode="General">
                  <c:v>6.6383999999999999E-2</c:v>
                </c:pt>
                <c:pt idx="796" formatCode="General">
                  <c:v>6.483825E-2</c:v>
                </c:pt>
                <c:pt idx="797" formatCode="General">
                  <c:v>6.3333705000000004E-2</c:v>
                </c:pt>
                <c:pt idx="798" formatCode="General">
                  <c:v>6.1887299999999999E-2</c:v>
                </c:pt>
                <c:pt idx="799" formatCode="General">
                  <c:v>6.0387389999999999E-2</c:v>
                </c:pt>
                <c:pt idx="800" formatCode="General">
                  <c:v>5.8953209999999999E-2</c:v>
                </c:pt>
                <c:pt idx="801" formatCode="General">
                  <c:v>5.7630794999999992E-2</c:v>
                </c:pt>
                <c:pt idx="802" formatCode="General">
                  <c:v>5.6276039999999999E-2</c:v>
                </c:pt>
                <c:pt idx="803" formatCode="General">
                  <c:v>5.4941639999999993E-2</c:v>
                </c:pt>
                <c:pt idx="804" formatCode="General">
                  <c:v>5.3603445E-2</c:v>
                </c:pt>
                <c:pt idx="805" formatCode="General">
                  <c:v>5.2471215000000002E-2</c:v>
                </c:pt>
                <c:pt idx="806" formatCode="General">
                  <c:v>5.1472349999999993E-2</c:v>
                </c:pt>
                <c:pt idx="807" formatCode="General">
                  <c:v>5.0535839999999992E-2</c:v>
                </c:pt>
                <c:pt idx="808" formatCode="General">
                  <c:v>4.9403820000000001E-2</c:v>
                </c:pt>
                <c:pt idx="809" formatCode="General">
                  <c:v>4.8289635000000004E-2</c:v>
                </c:pt>
                <c:pt idx="810" formatCode="General">
                  <c:v>4.724076E-2</c:v>
                </c:pt>
                <c:pt idx="811" formatCode="General">
                  <c:v>4.6311989999999997E-2</c:v>
                </c:pt>
                <c:pt idx="812" formatCode="General">
                  <c:v>4.5443295000000002E-2</c:v>
                </c:pt>
                <c:pt idx="813" formatCode="General">
                  <c:v>4.4599574999999995E-2</c:v>
                </c:pt>
                <c:pt idx="814" formatCode="General">
                  <c:v>4.3784474999999996E-2</c:v>
                </c:pt>
                <c:pt idx="815" formatCode="General">
                  <c:v>4.2921179999999996E-2</c:v>
                </c:pt>
                <c:pt idx="816" formatCode="General">
                  <c:v>4.195368E-2</c:v>
                </c:pt>
                <c:pt idx="817" formatCode="General">
                  <c:v>4.0918859999999994E-2</c:v>
                </c:pt>
                <c:pt idx="818" formatCode="General">
                  <c:v>4.0012035000000001E-2</c:v>
                </c:pt>
                <c:pt idx="819" formatCode="General">
                  <c:v>3.9142364999999998E-2</c:v>
                </c:pt>
                <c:pt idx="820" formatCode="General">
                  <c:v>3.8404305E-2</c:v>
                </c:pt>
                <c:pt idx="821" formatCode="General">
                  <c:v>3.7651995000000001E-2</c:v>
                </c:pt>
                <c:pt idx="822" formatCode="General">
                  <c:v>3.6929729999999994E-2</c:v>
                </c:pt>
                <c:pt idx="823" formatCode="General">
                  <c:v>3.6106350000000002E-2</c:v>
                </c:pt>
                <c:pt idx="824" formatCode="General">
                  <c:v>3.5387025000000003E-2</c:v>
                </c:pt>
                <c:pt idx="825" formatCode="General">
                  <c:v>3.4650435E-2</c:v>
                </c:pt>
                <c:pt idx="826" formatCode="General">
                  <c:v>3.3956609999999998E-2</c:v>
                </c:pt>
                <c:pt idx="827" formatCode="General">
                  <c:v>3.3273915000000001E-2</c:v>
                </c:pt>
                <c:pt idx="828" formatCode="General">
                  <c:v>3.2579369999999996E-2</c:v>
                </c:pt>
                <c:pt idx="829" formatCode="General">
                  <c:v>3.1959000000000001E-2</c:v>
                </c:pt>
                <c:pt idx="830" formatCode="General">
                  <c:v>3.1333889999999996E-2</c:v>
                </c:pt>
                <c:pt idx="831" formatCode="General">
                  <c:v>3.0843104999999996E-2</c:v>
                </c:pt>
                <c:pt idx="832" formatCode="General">
                  <c:v>3.0338294999999998E-2</c:v>
                </c:pt>
                <c:pt idx="833" formatCode="General">
                  <c:v>2.9790314999999994E-2</c:v>
                </c:pt>
                <c:pt idx="834" formatCode="General">
                  <c:v>2.9227964999999998E-2</c:v>
                </c:pt>
                <c:pt idx="835" formatCode="General">
                  <c:v>2.8630395000000003E-2</c:v>
                </c:pt>
                <c:pt idx="836" formatCode="General">
                  <c:v>2.8037234999999997E-2</c:v>
                </c:pt>
                <c:pt idx="837" formatCode="General">
                  <c:v>2.7469485000000002E-2</c:v>
                </c:pt>
                <c:pt idx="838" formatCode="General">
                  <c:v>2.6957159999999997E-2</c:v>
                </c:pt>
                <c:pt idx="839" formatCode="General">
                  <c:v>2.6553135000000002E-2</c:v>
                </c:pt>
                <c:pt idx="840" formatCode="General">
                  <c:v>2.6123039999999997E-2</c:v>
                </c:pt>
                <c:pt idx="841" formatCode="General">
                  <c:v>2.5595219999999998E-2</c:v>
                </c:pt>
                <c:pt idx="842" formatCode="General">
                  <c:v>2.5138220999999999E-2</c:v>
                </c:pt>
                <c:pt idx="843" formatCode="General">
                  <c:v>2.4737077499999999E-2</c:v>
                </c:pt>
                <c:pt idx="844" formatCode="General">
                  <c:v>2.4349982999999999E-2</c:v>
                </c:pt>
                <c:pt idx="845" formatCode="General">
                  <c:v>2.3933776499999997E-2</c:v>
                </c:pt>
                <c:pt idx="846" formatCode="General">
                  <c:v>2.3464204499999999E-2</c:v>
                </c:pt>
                <c:pt idx="847" formatCode="General">
                  <c:v>2.3004445499999998E-2</c:v>
                </c:pt>
                <c:pt idx="848" formatCode="General">
                  <c:v>2.2557810000000001E-2</c:v>
                </c:pt>
                <c:pt idx="849" formatCode="General">
                  <c:v>2.2155428999999997E-2</c:v>
                </c:pt>
                <c:pt idx="850" formatCode="General">
                  <c:v>2.1740390999999998E-2</c:v>
                </c:pt>
                <c:pt idx="851" formatCode="General">
                  <c:v>2.1331732500000002E-2</c:v>
                </c:pt>
                <c:pt idx="852" formatCode="General">
                  <c:v>2.0992552500000001E-2</c:v>
                </c:pt>
                <c:pt idx="853" formatCode="General">
                  <c:v>2.0651998500000001E-2</c:v>
                </c:pt>
                <c:pt idx="854" formatCode="General">
                  <c:v>2.0297692499999999E-2</c:v>
                </c:pt>
                <c:pt idx="855" formatCode="General">
                  <c:v>2.0014086E-2</c:v>
                </c:pt>
                <c:pt idx="856" formatCode="General">
                  <c:v>1.9736317499999999E-2</c:v>
                </c:pt>
                <c:pt idx="857" formatCode="General">
                  <c:v>1.9384464000000001E-2</c:v>
                </c:pt>
                <c:pt idx="858" formatCode="General">
                  <c:v>1.9037479499999999E-2</c:v>
                </c:pt>
                <c:pt idx="859" formatCode="General">
                  <c:v>1.8735263999999998E-2</c:v>
                </c:pt>
                <c:pt idx="860" formatCode="General">
                  <c:v>1.8447204000000002E-2</c:v>
                </c:pt>
                <c:pt idx="861" formatCode="General">
                  <c:v>1.8227278499999999E-2</c:v>
                </c:pt>
                <c:pt idx="862" formatCode="General">
                  <c:v>1.7975929499999998E-2</c:v>
                </c:pt>
                <c:pt idx="863" formatCode="General">
                  <c:v>1.76297025E-2</c:v>
                </c:pt>
                <c:pt idx="864" formatCode="General">
                  <c:v>1.73116995E-2</c:v>
                </c:pt>
                <c:pt idx="865" formatCode="General">
                  <c:v>1.69386555E-2</c:v>
                </c:pt>
                <c:pt idx="866" formatCode="General">
                  <c:v>1.6567652999999998E-2</c:v>
                </c:pt>
                <c:pt idx="867" formatCode="General">
                  <c:v>1.62047235E-2</c:v>
                </c:pt>
                <c:pt idx="868" formatCode="General">
                  <c:v>1.5917062499999999E-2</c:v>
                </c:pt>
                <c:pt idx="869" formatCode="General">
                  <c:v>1.5715772999999999E-2</c:v>
                </c:pt>
                <c:pt idx="870" formatCode="General">
                  <c:v>1.5512992499999999E-2</c:v>
                </c:pt>
                <c:pt idx="871" formatCode="General">
                  <c:v>1.5243145499999999E-2</c:v>
                </c:pt>
                <c:pt idx="872" formatCode="General">
                  <c:v>1.4999545499999999E-2</c:v>
                </c:pt>
                <c:pt idx="873" formatCode="General">
                  <c:v>1.4634299999999999E-2</c:v>
                </c:pt>
                <c:pt idx="874" formatCode="General">
                  <c:v>1.4293199999999999E-2</c:v>
                </c:pt>
                <c:pt idx="875" formatCode="General">
                  <c:v>1.3903799999999999E-2</c:v>
                </c:pt>
                <c:pt idx="876" formatCode="General">
                  <c:v>1.3592399999999999E-2</c:v>
                </c:pt>
                <c:pt idx="877" formatCode="General">
                  <c:v>1.3270499999999999E-2</c:v>
                </c:pt>
                <c:pt idx="878" formatCode="General">
                  <c:v>1.3106249999999998E-2</c:v>
                </c:pt>
                <c:pt idx="879" formatCode="General">
                  <c:v>1.290705E-2</c:v>
                </c:pt>
                <c:pt idx="880" formatCode="General">
                  <c:v>1.274745E-2</c:v>
                </c:pt>
                <c:pt idx="881" formatCode="General">
                  <c:v>1.25121E-2</c:v>
                </c:pt>
                <c:pt idx="882" formatCode="General">
                  <c:v>1.229775E-2</c:v>
                </c:pt>
                <c:pt idx="883" formatCode="General">
                  <c:v>1.2005699999999999E-2</c:v>
                </c:pt>
                <c:pt idx="884" formatCode="General">
                  <c:v>1.1766449999999999E-2</c:v>
                </c:pt>
                <c:pt idx="885" formatCode="General">
                  <c:v>1.1630100000000001E-2</c:v>
                </c:pt>
                <c:pt idx="886" formatCode="General">
                  <c:v>1.15278E-2</c:v>
                </c:pt>
                <c:pt idx="887" formatCode="General">
                  <c:v>1.140945E-2</c:v>
                </c:pt>
                <c:pt idx="888" formatCode="General">
                  <c:v>1.1233199999999999E-2</c:v>
                </c:pt>
                <c:pt idx="889" formatCode="General">
                  <c:v>1.10613E-2</c:v>
                </c:pt>
                <c:pt idx="890" formatCode="General">
                  <c:v>1.0842299999999999E-2</c:v>
                </c:pt>
                <c:pt idx="891" formatCode="General">
                  <c:v>1.0719299999999999E-2</c:v>
                </c:pt>
                <c:pt idx="892" formatCode="General">
                  <c:v>1.0596E-2</c:v>
                </c:pt>
                <c:pt idx="893" formatCode="General">
                  <c:v>1.0580249999999999E-2</c:v>
                </c:pt>
                <c:pt idx="894" formatCode="General">
                  <c:v>1.0549650000000001E-2</c:v>
                </c:pt>
                <c:pt idx="895" formatCode="General">
                  <c:v>1.0441799999999999E-2</c:v>
                </c:pt>
                <c:pt idx="896" formatCode="General">
                  <c:v>1.0250250000000001E-2</c:v>
                </c:pt>
                <c:pt idx="897" formatCode="General">
                  <c:v>1.011015E-2</c:v>
                </c:pt>
                <c:pt idx="898" formatCode="General">
                  <c:v>9.9698999999999986E-3</c:v>
                </c:pt>
                <c:pt idx="899" formatCode="General">
                  <c:v>9.8738999999999997E-3</c:v>
                </c:pt>
                <c:pt idx="900" formatCode="General">
                  <c:v>9.6985500000000002E-3</c:v>
                </c:pt>
              </c:numCache>
            </c:numRef>
          </c:val>
          <c:smooth val="0"/>
          <c:extLst>
            <c:ext xmlns:c16="http://schemas.microsoft.com/office/drawing/2014/chart" uri="{C3380CC4-5D6E-409C-BE32-E72D297353CC}">
              <c16:uniqueId val="{00000000-54C9-7644-A53A-F1245976A9BC}"/>
            </c:ext>
          </c:extLst>
        </c:ser>
        <c:dLbls>
          <c:showLegendKey val="0"/>
          <c:showVal val="0"/>
          <c:showCatName val="0"/>
          <c:showSerName val="0"/>
          <c:showPercent val="0"/>
          <c:showBubbleSize val="0"/>
        </c:dLbls>
        <c:smooth val="0"/>
        <c:axId val="1101955759"/>
        <c:axId val="1182404623"/>
      </c:lineChart>
      <c:catAx>
        <c:axId val="1101955759"/>
        <c:scaling>
          <c:orientation val="minMax"/>
        </c:scaling>
        <c:delete val="0"/>
        <c:axPos val="b"/>
        <c:numFmt formatCode="General" sourceLinked="1"/>
        <c:majorTickMark val="none"/>
        <c:minorTickMark val="none"/>
        <c:tickLblPos val="nextTo"/>
        <c:spPr>
          <a:noFill/>
          <a:ln w="9525" cap="flat" cmpd="sng" algn="ctr">
            <a:solidFill>
              <a:schemeClr val="tx1"/>
            </a:solidFill>
            <a:round/>
          </a:ln>
          <a:effectLst/>
        </c:spPr>
        <c:txPr>
          <a:bodyPr rot="-60000000" spcFirstLastPara="1" vertOverflow="ellipsis" vert="horz" wrap="square" anchor="ctr" anchorCtr="1"/>
          <a:lstStyle/>
          <a:p>
            <a:pPr>
              <a:defRPr sz="900" b="1" i="0" u="none" strike="noStrike" kern="1200" baseline="0">
                <a:solidFill>
                  <a:schemeClr val="tx1"/>
                </a:solidFill>
                <a:latin typeface="Arial" panose="020B0604020202020204" pitchFamily="34" charset="0"/>
                <a:ea typeface="+mn-ea"/>
                <a:cs typeface="Arial" panose="020B0604020202020204" pitchFamily="34" charset="0"/>
              </a:defRPr>
            </a:pPr>
            <a:endParaRPr lang="en-US"/>
          </a:p>
        </c:txPr>
        <c:crossAx val="1182404623"/>
        <c:crosses val="autoZero"/>
        <c:auto val="0"/>
        <c:lblAlgn val="ctr"/>
        <c:lblOffset val="100"/>
        <c:tickLblSkip val="100"/>
        <c:tickMarkSkip val="1"/>
        <c:noMultiLvlLbl val="0"/>
      </c:catAx>
      <c:valAx>
        <c:axId val="1182404623"/>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000" b="1" i="0" u="none" strike="noStrike" kern="1200" baseline="0">
                    <a:solidFill>
                      <a:schemeClr val="tx1"/>
                    </a:solidFill>
                    <a:latin typeface="Arial" panose="020B0604020202020204" pitchFamily="34" charset="0"/>
                    <a:ea typeface="+mn-ea"/>
                    <a:cs typeface="Arial" panose="020B0604020202020204" pitchFamily="34" charset="0"/>
                  </a:defRPr>
                </a:pPr>
                <a:r>
                  <a:rPr lang="en-US" b="1"/>
                  <a:t>Intensity (µmols</a:t>
                </a:r>
                <a:r>
                  <a:rPr lang="en-US" b="1" baseline="0"/>
                  <a:t> </a:t>
                </a:r>
                <a:r>
                  <a:rPr lang="en-US" b="1" baseline="30000"/>
                  <a:t>.</a:t>
                </a:r>
                <a:r>
                  <a:rPr lang="en-US" b="1" baseline="0"/>
                  <a:t> </a:t>
                </a:r>
                <a:r>
                  <a:rPr lang="en-US" b="1"/>
                  <a:t>m-</a:t>
                </a:r>
                <a:r>
                  <a:rPr lang="en-US" b="1" baseline="30000"/>
                  <a:t>2</a:t>
                </a:r>
                <a:r>
                  <a:rPr lang="en-US" sz="1000" b="1" i="0" u="none" strike="noStrike" baseline="30000">
                    <a:effectLst/>
                  </a:rPr>
                  <a:t> .</a:t>
                </a:r>
                <a:r>
                  <a:rPr lang="en-US" sz="1000" b="1" i="0" u="none" strike="noStrike" baseline="0">
                    <a:effectLst/>
                  </a:rPr>
                  <a:t> </a:t>
                </a:r>
                <a:r>
                  <a:rPr lang="en-US" b="1"/>
                  <a:t>sec</a:t>
                </a:r>
                <a:r>
                  <a:rPr lang="en-US" b="1" baseline="30000"/>
                  <a:t>-1</a:t>
                </a:r>
                <a:r>
                  <a:rPr lang="en-US" b="1"/>
                  <a:t>)</a:t>
                </a:r>
              </a:p>
            </c:rich>
          </c:tx>
          <c:overlay val="0"/>
          <c:spPr>
            <a:noFill/>
            <a:ln>
              <a:noFill/>
            </a:ln>
            <a:effectLst/>
          </c:spPr>
          <c:txPr>
            <a:bodyPr rot="-5400000" spcFirstLastPara="1" vertOverflow="ellipsis" vert="horz" wrap="square" anchor="ctr" anchorCtr="1"/>
            <a:lstStyle/>
            <a:p>
              <a:pPr>
                <a:defRPr sz="1000" b="1" i="0" u="none" strike="noStrike" kern="1200" baseline="0">
                  <a:solidFill>
                    <a:schemeClr val="tx1"/>
                  </a:solidFill>
                  <a:latin typeface="Arial" panose="020B0604020202020204" pitchFamily="34" charset="0"/>
                  <a:ea typeface="+mn-ea"/>
                  <a:cs typeface="Arial" panose="020B0604020202020204" pitchFamily="34" charset="0"/>
                </a:defRPr>
              </a:pPr>
              <a:endParaRPr lang="en-US"/>
            </a:p>
          </c:txPr>
        </c:title>
        <c:numFmt formatCode="General" sourceLinked="0"/>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solidFill>
                <a:latin typeface="Arial" panose="020B0604020202020204" pitchFamily="34" charset="0"/>
                <a:ea typeface="+mn-ea"/>
                <a:cs typeface="Arial" panose="020B0604020202020204" pitchFamily="34" charset="0"/>
              </a:defRPr>
            </a:pPr>
            <a:endParaRPr lang="en-US"/>
          </a:p>
        </c:txPr>
        <c:crossAx val="1101955759"/>
        <c:crosses val="autoZero"/>
        <c:crossBetween val="between"/>
      </c:valAx>
      <c:spPr>
        <a:noFill/>
        <a:ln>
          <a:noFill/>
        </a:ln>
        <a:effectLst/>
      </c:spPr>
    </c:plotArea>
    <c:legend>
      <c:legendPos val="b"/>
      <c:legendEntry>
        <c:idx val="0"/>
        <c:txPr>
          <a:bodyPr rot="0" spcFirstLastPara="1" vertOverflow="ellipsis" vert="horz" wrap="square" anchor="ctr" anchorCtr="1"/>
          <a:lstStyle/>
          <a:p>
            <a:pPr>
              <a:defRPr sz="1000" b="0" i="0" u="none" strike="noStrike" kern="1200" baseline="0">
                <a:solidFill>
                  <a:schemeClr val="tx1"/>
                </a:solidFill>
                <a:latin typeface="Arial" panose="020B0604020202020204" pitchFamily="34" charset="0"/>
                <a:ea typeface="+mn-ea"/>
                <a:cs typeface="Arial" panose="020B0604020202020204" pitchFamily="34" charset="0"/>
              </a:defRPr>
            </a:pPr>
            <a:endParaRPr lang="en-US"/>
          </a:p>
        </c:txPr>
      </c:legendEntry>
      <c:layout>
        <c:manualLayout>
          <c:xMode val="edge"/>
          <c:yMode val="edge"/>
          <c:x val="0.8046667003163066"/>
          <c:y val="0.93467753652827823"/>
          <c:w val="0.18553839423918164"/>
          <c:h val="5.2917439436987727E-2"/>
        </c:manualLayout>
      </c:layout>
      <c:overlay val="0"/>
      <c:spPr>
        <a:noFill/>
        <a:ln>
          <a:solidFill>
            <a:schemeClr val="tx1"/>
          </a:solidFill>
        </a:ln>
        <a:effectLst/>
      </c:spPr>
      <c:txPr>
        <a:bodyPr rot="0" spcFirstLastPara="1" vertOverflow="ellipsis" vert="horz" wrap="square" anchor="ctr" anchorCtr="1"/>
        <a:lstStyle/>
        <a:p>
          <a:pPr>
            <a:defRPr sz="1000" b="0" i="0" u="none" strike="noStrike" kern="1200" baseline="0">
              <a:solidFill>
                <a:schemeClr val="tx1"/>
              </a:solidFill>
              <a:latin typeface="Arial" panose="020B0604020202020204" pitchFamily="34" charset="0"/>
              <a:ea typeface="+mn-ea"/>
              <a:cs typeface="Arial" panose="020B0604020202020204" pitchFamily="34" charset="0"/>
            </a:defRPr>
          </a:pPr>
          <a:endParaRPr lang="en-US"/>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solidFill>
      <a:round/>
    </a:ln>
    <a:effectLst/>
  </c:spPr>
  <c:txPr>
    <a:bodyPr/>
    <a:lstStyle/>
    <a:p>
      <a:pPr>
        <a:defRPr>
          <a:solidFill>
            <a:schemeClr val="tx1"/>
          </a:solidFill>
          <a:latin typeface="Arial" panose="020B0604020202020204" pitchFamily="34" charset="0"/>
          <a:cs typeface="Arial" panose="020B0604020202020204" pitchFamily="34" charset="0"/>
        </a:defRPr>
      </a:pPr>
      <a:endParaRPr lang="en-US"/>
    </a:p>
  </c:txPr>
  <c:externalData r:id="rId3">
    <c:autoUpdate val="0"/>
  </c:externalData>
  <c:userShapes r:id="rId4"/>
</c:chartSpace>
</file>

<file path=word/charts/chart1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lineChart>
        <c:grouping val="standard"/>
        <c:varyColors val="0"/>
        <c:ser>
          <c:idx val="1"/>
          <c:order val="0"/>
          <c:tx>
            <c:strRef>
              <c:f>'T2 (7)'!$B$2</c:f>
              <c:strCache>
                <c:ptCount val="1"/>
                <c:pt idx="0">
                  <c:v>6B/94R (Physiospec)</c:v>
                </c:pt>
              </c:strCache>
            </c:strRef>
          </c:tx>
          <c:spPr>
            <a:ln w="28575" cap="rnd">
              <a:solidFill>
                <a:schemeClr val="tx1"/>
              </a:solidFill>
              <a:round/>
            </a:ln>
            <a:effectLst/>
          </c:spPr>
          <c:marker>
            <c:symbol val="none"/>
          </c:marker>
          <c:cat>
            <c:numRef>
              <c:f>'T2 (7)'!$A$113:$A$1013</c:f>
              <c:numCache>
                <c:formatCode>General</c:formatCode>
                <c:ptCount val="901"/>
                <c:pt idx="0">
                  <c:v>300</c:v>
                </c:pt>
                <c:pt idx="1">
                  <c:v>300.5</c:v>
                </c:pt>
                <c:pt idx="2">
                  <c:v>301</c:v>
                </c:pt>
                <c:pt idx="3">
                  <c:v>301.5</c:v>
                </c:pt>
                <c:pt idx="4">
                  <c:v>302</c:v>
                </c:pt>
                <c:pt idx="5">
                  <c:v>302.5</c:v>
                </c:pt>
                <c:pt idx="6">
                  <c:v>303</c:v>
                </c:pt>
                <c:pt idx="7">
                  <c:v>303.5</c:v>
                </c:pt>
                <c:pt idx="8">
                  <c:v>304</c:v>
                </c:pt>
                <c:pt idx="9">
                  <c:v>304.5</c:v>
                </c:pt>
                <c:pt idx="10">
                  <c:v>305</c:v>
                </c:pt>
                <c:pt idx="11">
                  <c:v>305.5</c:v>
                </c:pt>
                <c:pt idx="12">
                  <c:v>306</c:v>
                </c:pt>
                <c:pt idx="13">
                  <c:v>306.5</c:v>
                </c:pt>
                <c:pt idx="14">
                  <c:v>307</c:v>
                </c:pt>
                <c:pt idx="15">
                  <c:v>307.5</c:v>
                </c:pt>
                <c:pt idx="16">
                  <c:v>308</c:v>
                </c:pt>
                <c:pt idx="17">
                  <c:v>308.5</c:v>
                </c:pt>
                <c:pt idx="18">
                  <c:v>309</c:v>
                </c:pt>
                <c:pt idx="19">
                  <c:v>309.5</c:v>
                </c:pt>
                <c:pt idx="20">
                  <c:v>310</c:v>
                </c:pt>
                <c:pt idx="21">
                  <c:v>310.5</c:v>
                </c:pt>
                <c:pt idx="22">
                  <c:v>311</c:v>
                </c:pt>
                <c:pt idx="23">
                  <c:v>311.5</c:v>
                </c:pt>
                <c:pt idx="24">
                  <c:v>312</c:v>
                </c:pt>
                <c:pt idx="25">
                  <c:v>312.5</c:v>
                </c:pt>
                <c:pt idx="26">
                  <c:v>313</c:v>
                </c:pt>
                <c:pt idx="27">
                  <c:v>313.5</c:v>
                </c:pt>
                <c:pt idx="28">
                  <c:v>314</c:v>
                </c:pt>
                <c:pt idx="29">
                  <c:v>314.5</c:v>
                </c:pt>
                <c:pt idx="30">
                  <c:v>315</c:v>
                </c:pt>
                <c:pt idx="31">
                  <c:v>315.5</c:v>
                </c:pt>
                <c:pt idx="32">
                  <c:v>316</c:v>
                </c:pt>
                <c:pt idx="33">
                  <c:v>316.5</c:v>
                </c:pt>
                <c:pt idx="34">
                  <c:v>317</c:v>
                </c:pt>
                <c:pt idx="35">
                  <c:v>317.5</c:v>
                </c:pt>
                <c:pt idx="36">
                  <c:v>318</c:v>
                </c:pt>
                <c:pt idx="37">
                  <c:v>318.5</c:v>
                </c:pt>
                <c:pt idx="38">
                  <c:v>319</c:v>
                </c:pt>
                <c:pt idx="39">
                  <c:v>319.5</c:v>
                </c:pt>
                <c:pt idx="40">
                  <c:v>320</c:v>
                </c:pt>
                <c:pt idx="41">
                  <c:v>320.5</c:v>
                </c:pt>
                <c:pt idx="42">
                  <c:v>321</c:v>
                </c:pt>
                <c:pt idx="43">
                  <c:v>321.5</c:v>
                </c:pt>
                <c:pt idx="44">
                  <c:v>322</c:v>
                </c:pt>
                <c:pt idx="45">
                  <c:v>322.5</c:v>
                </c:pt>
                <c:pt idx="46">
                  <c:v>323</c:v>
                </c:pt>
                <c:pt idx="47">
                  <c:v>323.5</c:v>
                </c:pt>
                <c:pt idx="48">
                  <c:v>324</c:v>
                </c:pt>
                <c:pt idx="49">
                  <c:v>324.5</c:v>
                </c:pt>
                <c:pt idx="50">
                  <c:v>325</c:v>
                </c:pt>
                <c:pt idx="51">
                  <c:v>325.5</c:v>
                </c:pt>
                <c:pt idx="52">
                  <c:v>326</c:v>
                </c:pt>
                <c:pt idx="53">
                  <c:v>326.5</c:v>
                </c:pt>
                <c:pt idx="54">
                  <c:v>327</c:v>
                </c:pt>
                <c:pt idx="55">
                  <c:v>327.5</c:v>
                </c:pt>
                <c:pt idx="56">
                  <c:v>328</c:v>
                </c:pt>
                <c:pt idx="57">
                  <c:v>328.5</c:v>
                </c:pt>
                <c:pt idx="58">
                  <c:v>329</c:v>
                </c:pt>
                <c:pt idx="59">
                  <c:v>329.5</c:v>
                </c:pt>
                <c:pt idx="60">
                  <c:v>330</c:v>
                </c:pt>
                <c:pt idx="61">
                  <c:v>330.5</c:v>
                </c:pt>
                <c:pt idx="62">
                  <c:v>331</c:v>
                </c:pt>
                <c:pt idx="63">
                  <c:v>331.5</c:v>
                </c:pt>
                <c:pt idx="64">
                  <c:v>332</c:v>
                </c:pt>
                <c:pt idx="65">
                  <c:v>332.5</c:v>
                </c:pt>
                <c:pt idx="66">
                  <c:v>333</c:v>
                </c:pt>
                <c:pt idx="67">
                  <c:v>333.5</c:v>
                </c:pt>
                <c:pt idx="68">
                  <c:v>334</c:v>
                </c:pt>
                <c:pt idx="69">
                  <c:v>334.5</c:v>
                </c:pt>
                <c:pt idx="70">
                  <c:v>335</c:v>
                </c:pt>
                <c:pt idx="71">
                  <c:v>335.5</c:v>
                </c:pt>
                <c:pt idx="72">
                  <c:v>336</c:v>
                </c:pt>
                <c:pt idx="73">
                  <c:v>336.5</c:v>
                </c:pt>
                <c:pt idx="74">
                  <c:v>337</c:v>
                </c:pt>
                <c:pt idx="75">
                  <c:v>337.5</c:v>
                </c:pt>
                <c:pt idx="76">
                  <c:v>338</c:v>
                </c:pt>
                <c:pt idx="77">
                  <c:v>338.5</c:v>
                </c:pt>
                <c:pt idx="78">
                  <c:v>339</c:v>
                </c:pt>
                <c:pt idx="79">
                  <c:v>339.5</c:v>
                </c:pt>
                <c:pt idx="80">
                  <c:v>340</c:v>
                </c:pt>
                <c:pt idx="81">
                  <c:v>340.5</c:v>
                </c:pt>
                <c:pt idx="82">
                  <c:v>341</c:v>
                </c:pt>
                <c:pt idx="83">
                  <c:v>341.5</c:v>
                </c:pt>
                <c:pt idx="84">
                  <c:v>342</c:v>
                </c:pt>
                <c:pt idx="85">
                  <c:v>342.5</c:v>
                </c:pt>
                <c:pt idx="86">
                  <c:v>343</c:v>
                </c:pt>
                <c:pt idx="87">
                  <c:v>343.5</c:v>
                </c:pt>
                <c:pt idx="88">
                  <c:v>344</c:v>
                </c:pt>
                <c:pt idx="89">
                  <c:v>344.5</c:v>
                </c:pt>
                <c:pt idx="90">
                  <c:v>345</c:v>
                </c:pt>
                <c:pt idx="91">
                  <c:v>345.5</c:v>
                </c:pt>
                <c:pt idx="92">
                  <c:v>346</c:v>
                </c:pt>
                <c:pt idx="93">
                  <c:v>346.5</c:v>
                </c:pt>
                <c:pt idx="94">
                  <c:v>347</c:v>
                </c:pt>
                <c:pt idx="95">
                  <c:v>347.5</c:v>
                </c:pt>
                <c:pt idx="96">
                  <c:v>348</c:v>
                </c:pt>
                <c:pt idx="97">
                  <c:v>348.5</c:v>
                </c:pt>
                <c:pt idx="98">
                  <c:v>349</c:v>
                </c:pt>
                <c:pt idx="99">
                  <c:v>349.5</c:v>
                </c:pt>
                <c:pt idx="100">
                  <c:v>350</c:v>
                </c:pt>
                <c:pt idx="101">
                  <c:v>350.5</c:v>
                </c:pt>
                <c:pt idx="102">
                  <c:v>351</c:v>
                </c:pt>
                <c:pt idx="103">
                  <c:v>351.5</c:v>
                </c:pt>
                <c:pt idx="104">
                  <c:v>352</c:v>
                </c:pt>
                <c:pt idx="105">
                  <c:v>352.5</c:v>
                </c:pt>
                <c:pt idx="106">
                  <c:v>353</c:v>
                </c:pt>
                <c:pt idx="107">
                  <c:v>353.5</c:v>
                </c:pt>
                <c:pt idx="108">
                  <c:v>354</c:v>
                </c:pt>
                <c:pt idx="109">
                  <c:v>354.5</c:v>
                </c:pt>
                <c:pt idx="110">
                  <c:v>355</c:v>
                </c:pt>
                <c:pt idx="111">
                  <c:v>355.5</c:v>
                </c:pt>
                <c:pt idx="112">
                  <c:v>356</c:v>
                </c:pt>
                <c:pt idx="113">
                  <c:v>356.5</c:v>
                </c:pt>
                <c:pt idx="114">
                  <c:v>357</c:v>
                </c:pt>
                <c:pt idx="115">
                  <c:v>357.5</c:v>
                </c:pt>
                <c:pt idx="116">
                  <c:v>358</c:v>
                </c:pt>
                <c:pt idx="117">
                  <c:v>358.5</c:v>
                </c:pt>
                <c:pt idx="118">
                  <c:v>359</c:v>
                </c:pt>
                <c:pt idx="119">
                  <c:v>359.5</c:v>
                </c:pt>
                <c:pt idx="120">
                  <c:v>360</c:v>
                </c:pt>
                <c:pt idx="121">
                  <c:v>360.5</c:v>
                </c:pt>
                <c:pt idx="122">
                  <c:v>361</c:v>
                </c:pt>
                <c:pt idx="123">
                  <c:v>361.5</c:v>
                </c:pt>
                <c:pt idx="124">
                  <c:v>362</c:v>
                </c:pt>
                <c:pt idx="125">
                  <c:v>362.5</c:v>
                </c:pt>
                <c:pt idx="126">
                  <c:v>363</c:v>
                </c:pt>
                <c:pt idx="127">
                  <c:v>363.5</c:v>
                </c:pt>
                <c:pt idx="128">
                  <c:v>364</c:v>
                </c:pt>
                <c:pt idx="129">
                  <c:v>364.5</c:v>
                </c:pt>
                <c:pt idx="130">
                  <c:v>365</c:v>
                </c:pt>
                <c:pt idx="131">
                  <c:v>365.5</c:v>
                </c:pt>
                <c:pt idx="132">
                  <c:v>366</c:v>
                </c:pt>
                <c:pt idx="133">
                  <c:v>366.5</c:v>
                </c:pt>
                <c:pt idx="134">
                  <c:v>367</c:v>
                </c:pt>
                <c:pt idx="135">
                  <c:v>367.5</c:v>
                </c:pt>
                <c:pt idx="136">
                  <c:v>368</c:v>
                </c:pt>
                <c:pt idx="137">
                  <c:v>368.5</c:v>
                </c:pt>
                <c:pt idx="138">
                  <c:v>369</c:v>
                </c:pt>
                <c:pt idx="139">
                  <c:v>369.5</c:v>
                </c:pt>
                <c:pt idx="140">
                  <c:v>370</c:v>
                </c:pt>
                <c:pt idx="141">
                  <c:v>370.5</c:v>
                </c:pt>
                <c:pt idx="142">
                  <c:v>371</c:v>
                </c:pt>
                <c:pt idx="143">
                  <c:v>371.5</c:v>
                </c:pt>
                <c:pt idx="144">
                  <c:v>372</c:v>
                </c:pt>
                <c:pt idx="145">
                  <c:v>372.5</c:v>
                </c:pt>
                <c:pt idx="146">
                  <c:v>373</c:v>
                </c:pt>
                <c:pt idx="147">
                  <c:v>373.5</c:v>
                </c:pt>
                <c:pt idx="148">
                  <c:v>374</c:v>
                </c:pt>
                <c:pt idx="149">
                  <c:v>374.5</c:v>
                </c:pt>
                <c:pt idx="150">
                  <c:v>375</c:v>
                </c:pt>
                <c:pt idx="151">
                  <c:v>375.5</c:v>
                </c:pt>
                <c:pt idx="152">
                  <c:v>376</c:v>
                </c:pt>
                <c:pt idx="153">
                  <c:v>376.5</c:v>
                </c:pt>
                <c:pt idx="154">
                  <c:v>377</c:v>
                </c:pt>
                <c:pt idx="155">
                  <c:v>377.5</c:v>
                </c:pt>
                <c:pt idx="156">
                  <c:v>378</c:v>
                </c:pt>
                <c:pt idx="157">
                  <c:v>378.5</c:v>
                </c:pt>
                <c:pt idx="158">
                  <c:v>379</c:v>
                </c:pt>
                <c:pt idx="159">
                  <c:v>379.5</c:v>
                </c:pt>
                <c:pt idx="160">
                  <c:v>380</c:v>
                </c:pt>
                <c:pt idx="161">
                  <c:v>380.5</c:v>
                </c:pt>
                <c:pt idx="162">
                  <c:v>381</c:v>
                </c:pt>
                <c:pt idx="163">
                  <c:v>381.5</c:v>
                </c:pt>
                <c:pt idx="164">
                  <c:v>382</c:v>
                </c:pt>
                <c:pt idx="165">
                  <c:v>382.5</c:v>
                </c:pt>
                <c:pt idx="166">
                  <c:v>383</c:v>
                </c:pt>
                <c:pt idx="167">
                  <c:v>383.5</c:v>
                </c:pt>
                <c:pt idx="168">
                  <c:v>384</c:v>
                </c:pt>
                <c:pt idx="169">
                  <c:v>384.5</c:v>
                </c:pt>
                <c:pt idx="170">
                  <c:v>385</c:v>
                </c:pt>
                <c:pt idx="171">
                  <c:v>385.5</c:v>
                </c:pt>
                <c:pt idx="172">
                  <c:v>386</c:v>
                </c:pt>
                <c:pt idx="173">
                  <c:v>386.5</c:v>
                </c:pt>
                <c:pt idx="174">
                  <c:v>387</c:v>
                </c:pt>
                <c:pt idx="175">
                  <c:v>387.5</c:v>
                </c:pt>
                <c:pt idx="176">
                  <c:v>388</c:v>
                </c:pt>
                <c:pt idx="177">
                  <c:v>388.5</c:v>
                </c:pt>
                <c:pt idx="178">
                  <c:v>389</c:v>
                </c:pt>
                <c:pt idx="179">
                  <c:v>389.5</c:v>
                </c:pt>
                <c:pt idx="180">
                  <c:v>390</c:v>
                </c:pt>
                <c:pt idx="181">
                  <c:v>390.5</c:v>
                </c:pt>
                <c:pt idx="182">
                  <c:v>391</c:v>
                </c:pt>
                <c:pt idx="183">
                  <c:v>391.5</c:v>
                </c:pt>
                <c:pt idx="184">
                  <c:v>392</c:v>
                </c:pt>
                <c:pt idx="185">
                  <c:v>392.5</c:v>
                </c:pt>
                <c:pt idx="186">
                  <c:v>393</c:v>
                </c:pt>
                <c:pt idx="187">
                  <c:v>393.5</c:v>
                </c:pt>
                <c:pt idx="188">
                  <c:v>394</c:v>
                </c:pt>
                <c:pt idx="189">
                  <c:v>394.5</c:v>
                </c:pt>
                <c:pt idx="190">
                  <c:v>395</c:v>
                </c:pt>
                <c:pt idx="191">
                  <c:v>395.5</c:v>
                </c:pt>
                <c:pt idx="192">
                  <c:v>396</c:v>
                </c:pt>
                <c:pt idx="193">
                  <c:v>396.5</c:v>
                </c:pt>
                <c:pt idx="194">
                  <c:v>397</c:v>
                </c:pt>
                <c:pt idx="195">
                  <c:v>397.5</c:v>
                </c:pt>
                <c:pt idx="196">
                  <c:v>398</c:v>
                </c:pt>
                <c:pt idx="197">
                  <c:v>398.5</c:v>
                </c:pt>
                <c:pt idx="198">
                  <c:v>399</c:v>
                </c:pt>
                <c:pt idx="199">
                  <c:v>399.5</c:v>
                </c:pt>
                <c:pt idx="200">
                  <c:v>400</c:v>
                </c:pt>
                <c:pt idx="201">
                  <c:v>400.5</c:v>
                </c:pt>
                <c:pt idx="202">
                  <c:v>401</c:v>
                </c:pt>
                <c:pt idx="203">
                  <c:v>401.5</c:v>
                </c:pt>
                <c:pt idx="204">
                  <c:v>402</c:v>
                </c:pt>
                <c:pt idx="205">
                  <c:v>402.5</c:v>
                </c:pt>
                <c:pt idx="206">
                  <c:v>403</c:v>
                </c:pt>
                <c:pt idx="207">
                  <c:v>403.5</c:v>
                </c:pt>
                <c:pt idx="208">
                  <c:v>404</c:v>
                </c:pt>
                <c:pt idx="209">
                  <c:v>404.5</c:v>
                </c:pt>
                <c:pt idx="210">
                  <c:v>405</c:v>
                </c:pt>
                <c:pt idx="211">
                  <c:v>405.5</c:v>
                </c:pt>
                <c:pt idx="212">
                  <c:v>406</c:v>
                </c:pt>
                <c:pt idx="213">
                  <c:v>406.5</c:v>
                </c:pt>
                <c:pt idx="214">
                  <c:v>407</c:v>
                </c:pt>
                <c:pt idx="215">
                  <c:v>407.5</c:v>
                </c:pt>
                <c:pt idx="216">
                  <c:v>408</c:v>
                </c:pt>
                <c:pt idx="217">
                  <c:v>408.5</c:v>
                </c:pt>
                <c:pt idx="218">
                  <c:v>409</c:v>
                </c:pt>
                <c:pt idx="219">
                  <c:v>409.5</c:v>
                </c:pt>
                <c:pt idx="220">
                  <c:v>410</c:v>
                </c:pt>
                <c:pt idx="221">
                  <c:v>410.5</c:v>
                </c:pt>
                <c:pt idx="222">
                  <c:v>411</c:v>
                </c:pt>
                <c:pt idx="223">
                  <c:v>411.5</c:v>
                </c:pt>
                <c:pt idx="224">
                  <c:v>412</c:v>
                </c:pt>
                <c:pt idx="225">
                  <c:v>412.5</c:v>
                </c:pt>
                <c:pt idx="226">
                  <c:v>413</c:v>
                </c:pt>
                <c:pt idx="227">
                  <c:v>413.5</c:v>
                </c:pt>
                <c:pt idx="228">
                  <c:v>414</c:v>
                </c:pt>
                <c:pt idx="229">
                  <c:v>414.5</c:v>
                </c:pt>
                <c:pt idx="230">
                  <c:v>415</c:v>
                </c:pt>
                <c:pt idx="231">
                  <c:v>415.5</c:v>
                </c:pt>
                <c:pt idx="232">
                  <c:v>416</c:v>
                </c:pt>
                <c:pt idx="233">
                  <c:v>416.5</c:v>
                </c:pt>
                <c:pt idx="234">
                  <c:v>417</c:v>
                </c:pt>
                <c:pt idx="235">
                  <c:v>417.5</c:v>
                </c:pt>
                <c:pt idx="236">
                  <c:v>418</c:v>
                </c:pt>
                <c:pt idx="237">
                  <c:v>418.5</c:v>
                </c:pt>
                <c:pt idx="238">
                  <c:v>419</c:v>
                </c:pt>
                <c:pt idx="239">
                  <c:v>419.5</c:v>
                </c:pt>
                <c:pt idx="240">
                  <c:v>420</c:v>
                </c:pt>
                <c:pt idx="241">
                  <c:v>420.5</c:v>
                </c:pt>
                <c:pt idx="242">
                  <c:v>421</c:v>
                </c:pt>
                <c:pt idx="243">
                  <c:v>421.5</c:v>
                </c:pt>
                <c:pt idx="244">
                  <c:v>422</c:v>
                </c:pt>
                <c:pt idx="245">
                  <c:v>422.5</c:v>
                </c:pt>
                <c:pt idx="246">
                  <c:v>423</c:v>
                </c:pt>
                <c:pt idx="247">
                  <c:v>423.5</c:v>
                </c:pt>
                <c:pt idx="248">
                  <c:v>424</c:v>
                </c:pt>
                <c:pt idx="249">
                  <c:v>424.5</c:v>
                </c:pt>
                <c:pt idx="250">
                  <c:v>425</c:v>
                </c:pt>
                <c:pt idx="251">
                  <c:v>425.5</c:v>
                </c:pt>
                <c:pt idx="252">
                  <c:v>426</c:v>
                </c:pt>
                <c:pt idx="253">
                  <c:v>426.5</c:v>
                </c:pt>
                <c:pt idx="254">
                  <c:v>427</c:v>
                </c:pt>
                <c:pt idx="255">
                  <c:v>427.5</c:v>
                </c:pt>
                <c:pt idx="256">
                  <c:v>428</c:v>
                </c:pt>
                <c:pt idx="257">
                  <c:v>428.5</c:v>
                </c:pt>
                <c:pt idx="258">
                  <c:v>429</c:v>
                </c:pt>
                <c:pt idx="259">
                  <c:v>429.5</c:v>
                </c:pt>
                <c:pt idx="260">
                  <c:v>430</c:v>
                </c:pt>
                <c:pt idx="261">
                  <c:v>430.5</c:v>
                </c:pt>
                <c:pt idx="262">
                  <c:v>431</c:v>
                </c:pt>
                <c:pt idx="263">
                  <c:v>431.5</c:v>
                </c:pt>
                <c:pt idx="264">
                  <c:v>432</c:v>
                </c:pt>
                <c:pt idx="265">
                  <c:v>432.5</c:v>
                </c:pt>
                <c:pt idx="266">
                  <c:v>433</c:v>
                </c:pt>
                <c:pt idx="267">
                  <c:v>433.5</c:v>
                </c:pt>
                <c:pt idx="268">
                  <c:v>434</c:v>
                </c:pt>
                <c:pt idx="269">
                  <c:v>434.5</c:v>
                </c:pt>
                <c:pt idx="270">
                  <c:v>435</c:v>
                </c:pt>
                <c:pt idx="271">
                  <c:v>435.5</c:v>
                </c:pt>
                <c:pt idx="272">
                  <c:v>436</c:v>
                </c:pt>
                <c:pt idx="273">
                  <c:v>436.5</c:v>
                </c:pt>
                <c:pt idx="274">
                  <c:v>437</c:v>
                </c:pt>
                <c:pt idx="275">
                  <c:v>437.5</c:v>
                </c:pt>
                <c:pt idx="276">
                  <c:v>438</c:v>
                </c:pt>
                <c:pt idx="277">
                  <c:v>438.5</c:v>
                </c:pt>
                <c:pt idx="278">
                  <c:v>439</c:v>
                </c:pt>
                <c:pt idx="279">
                  <c:v>439.5</c:v>
                </c:pt>
                <c:pt idx="280">
                  <c:v>440</c:v>
                </c:pt>
                <c:pt idx="281">
                  <c:v>440.5</c:v>
                </c:pt>
                <c:pt idx="282">
                  <c:v>441</c:v>
                </c:pt>
                <c:pt idx="283">
                  <c:v>441.5</c:v>
                </c:pt>
                <c:pt idx="284">
                  <c:v>442</c:v>
                </c:pt>
                <c:pt idx="285">
                  <c:v>442.5</c:v>
                </c:pt>
                <c:pt idx="286">
                  <c:v>443</c:v>
                </c:pt>
                <c:pt idx="287">
                  <c:v>443.5</c:v>
                </c:pt>
                <c:pt idx="288">
                  <c:v>444</c:v>
                </c:pt>
                <c:pt idx="289">
                  <c:v>444.5</c:v>
                </c:pt>
                <c:pt idx="290">
                  <c:v>445</c:v>
                </c:pt>
                <c:pt idx="291">
                  <c:v>445.5</c:v>
                </c:pt>
                <c:pt idx="292">
                  <c:v>446</c:v>
                </c:pt>
                <c:pt idx="293">
                  <c:v>446.5</c:v>
                </c:pt>
                <c:pt idx="294">
                  <c:v>447</c:v>
                </c:pt>
                <c:pt idx="295">
                  <c:v>447.5</c:v>
                </c:pt>
                <c:pt idx="296">
                  <c:v>448</c:v>
                </c:pt>
                <c:pt idx="297">
                  <c:v>448.5</c:v>
                </c:pt>
                <c:pt idx="298">
                  <c:v>449</c:v>
                </c:pt>
                <c:pt idx="299">
                  <c:v>449.5</c:v>
                </c:pt>
                <c:pt idx="300">
                  <c:v>450</c:v>
                </c:pt>
                <c:pt idx="301">
                  <c:v>450.5</c:v>
                </c:pt>
                <c:pt idx="302">
                  <c:v>451</c:v>
                </c:pt>
                <c:pt idx="303">
                  <c:v>451.5</c:v>
                </c:pt>
                <c:pt idx="304">
                  <c:v>452</c:v>
                </c:pt>
                <c:pt idx="305">
                  <c:v>452.5</c:v>
                </c:pt>
                <c:pt idx="306">
                  <c:v>453</c:v>
                </c:pt>
                <c:pt idx="307">
                  <c:v>453.5</c:v>
                </c:pt>
                <c:pt idx="308">
                  <c:v>454</c:v>
                </c:pt>
                <c:pt idx="309">
                  <c:v>454.5</c:v>
                </c:pt>
                <c:pt idx="310">
                  <c:v>455</c:v>
                </c:pt>
                <c:pt idx="311">
                  <c:v>455.5</c:v>
                </c:pt>
                <c:pt idx="312">
                  <c:v>456</c:v>
                </c:pt>
                <c:pt idx="313">
                  <c:v>456.5</c:v>
                </c:pt>
                <c:pt idx="314">
                  <c:v>457</c:v>
                </c:pt>
                <c:pt idx="315">
                  <c:v>457.5</c:v>
                </c:pt>
                <c:pt idx="316">
                  <c:v>458</c:v>
                </c:pt>
                <c:pt idx="317">
                  <c:v>458.5</c:v>
                </c:pt>
                <c:pt idx="318">
                  <c:v>459</c:v>
                </c:pt>
                <c:pt idx="319">
                  <c:v>459.5</c:v>
                </c:pt>
                <c:pt idx="320">
                  <c:v>460</c:v>
                </c:pt>
                <c:pt idx="321">
                  <c:v>460.5</c:v>
                </c:pt>
                <c:pt idx="322">
                  <c:v>461</c:v>
                </c:pt>
                <c:pt idx="323">
                  <c:v>461.5</c:v>
                </c:pt>
                <c:pt idx="324">
                  <c:v>462</c:v>
                </c:pt>
                <c:pt idx="325">
                  <c:v>462.5</c:v>
                </c:pt>
                <c:pt idx="326">
                  <c:v>463</c:v>
                </c:pt>
                <c:pt idx="327">
                  <c:v>463.5</c:v>
                </c:pt>
                <c:pt idx="328">
                  <c:v>464</c:v>
                </c:pt>
                <c:pt idx="329">
                  <c:v>464.5</c:v>
                </c:pt>
                <c:pt idx="330">
                  <c:v>465</c:v>
                </c:pt>
                <c:pt idx="331">
                  <c:v>465.5</c:v>
                </c:pt>
                <c:pt idx="332">
                  <c:v>466</c:v>
                </c:pt>
                <c:pt idx="333">
                  <c:v>466.5</c:v>
                </c:pt>
                <c:pt idx="334">
                  <c:v>467</c:v>
                </c:pt>
                <c:pt idx="335">
                  <c:v>467.5</c:v>
                </c:pt>
                <c:pt idx="336">
                  <c:v>468</c:v>
                </c:pt>
                <c:pt idx="337">
                  <c:v>468.5</c:v>
                </c:pt>
                <c:pt idx="338">
                  <c:v>469</c:v>
                </c:pt>
                <c:pt idx="339">
                  <c:v>469.5</c:v>
                </c:pt>
                <c:pt idx="340">
                  <c:v>470</c:v>
                </c:pt>
                <c:pt idx="341">
                  <c:v>470.5</c:v>
                </c:pt>
                <c:pt idx="342">
                  <c:v>471</c:v>
                </c:pt>
                <c:pt idx="343">
                  <c:v>471.5</c:v>
                </c:pt>
                <c:pt idx="344">
                  <c:v>472</c:v>
                </c:pt>
                <c:pt idx="345">
                  <c:v>472.5</c:v>
                </c:pt>
                <c:pt idx="346">
                  <c:v>473</c:v>
                </c:pt>
                <c:pt idx="347">
                  <c:v>473.5</c:v>
                </c:pt>
                <c:pt idx="348">
                  <c:v>474</c:v>
                </c:pt>
                <c:pt idx="349">
                  <c:v>474.5</c:v>
                </c:pt>
                <c:pt idx="350">
                  <c:v>475</c:v>
                </c:pt>
                <c:pt idx="351">
                  <c:v>475.5</c:v>
                </c:pt>
                <c:pt idx="352">
                  <c:v>476</c:v>
                </c:pt>
                <c:pt idx="353">
                  <c:v>476.5</c:v>
                </c:pt>
                <c:pt idx="354">
                  <c:v>477</c:v>
                </c:pt>
                <c:pt idx="355">
                  <c:v>477.5</c:v>
                </c:pt>
                <c:pt idx="356">
                  <c:v>478</c:v>
                </c:pt>
                <c:pt idx="357">
                  <c:v>478.5</c:v>
                </c:pt>
                <c:pt idx="358">
                  <c:v>479</c:v>
                </c:pt>
                <c:pt idx="359">
                  <c:v>479.5</c:v>
                </c:pt>
                <c:pt idx="360">
                  <c:v>480</c:v>
                </c:pt>
                <c:pt idx="361">
                  <c:v>480.5</c:v>
                </c:pt>
                <c:pt idx="362">
                  <c:v>481</c:v>
                </c:pt>
                <c:pt idx="363">
                  <c:v>481.5</c:v>
                </c:pt>
                <c:pt idx="364">
                  <c:v>482</c:v>
                </c:pt>
                <c:pt idx="365">
                  <c:v>482.5</c:v>
                </c:pt>
                <c:pt idx="366">
                  <c:v>483</c:v>
                </c:pt>
                <c:pt idx="367">
                  <c:v>483.5</c:v>
                </c:pt>
                <c:pt idx="368">
                  <c:v>484</c:v>
                </c:pt>
                <c:pt idx="369">
                  <c:v>484.5</c:v>
                </c:pt>
                <c:pt idx="370">
                  <c:v>485</c:v>
                </c:pt>
                <c:pt idx="371">
                  <c:v>485.5</c:v>
                </c:pt>
                <c:pt idx="372">
                  <c:v>486</c:v>
                </c:pt>
                <c:pt idx="373">
                  <c:v>486.5</c:v>
                </c:pt>
                <c:pt idx="374">
                  <c:v>487</c:v>
                </c:pt>
                <c:pt idx="375">
                  <c:v>487.5</c:v>
                </c:pt>
                <c:pt idx="376">
                  <c:v>488</c:v>
                </c:pt>
                <c:pt idx="377">
                  <c:v>488.5</c:v>
                </c:pt>
                <c:pt idx="378">
                  <c:v>489</c:v>
                </c:pt>
                <c:pt idx="379">
                  <c:v>489.5</c:v>
                </c:pt>
                <c:pt idx="380">
                  <c:v>490</c:v>
                </c:pt>
                <c:pt idx="381">
                  <c:v>490.5</c:v>
                </c:pt>
                <c:pt idx="382">
                  <c:v>491</c:v>
                </c:pt>
                <c:pt idx="383">
                  <c:v>491.5</c:v>
                </c:pt>
                <c:pt idx="384">
                  <c:v>492</c:v>
                </c:pt>
                <c:pt idx="385">
                  <c:v>492.5</c:v>
                </c:pt>
                <c:pt idx="386">
                  <c:v>493</c:v>
                </c:pt>
                <c:pt idx="387">
                  <c:v>493.5</c:v>
                </c:pt>
                <c:pt idx="388">
                  <c:v>494</c:v>
                </c:pt>
                <c:pt idx="389">
                  <c:v>494.5</c:v>
                </c:pt>
                <c:pt idx="390">
                  <c:v>495</c:v>
                </c:pt>
                <c:pt idx="391">
                  <c:v>495.5</c:v>
                </c:pt>
                <c:pt idx="392">
                  <c:v>496</c:v>
                </c:pt>
                <c:pt idx="393">
                  <c:v>496.5</c:v>
                </c:pt>
                <c:pt idx="394">
                  <c:v>497</c:v>
                </c:pt>
                <c:pt idx="395">
                  <c:v>497.5</c:v>
                </c:pt>
                <c:pt idx="396">
                  <c:v>498</c:v>
                </c:pt>
                <c:pt idx="397">
                  <c:v>498.5</c:v>
                </c:pt>
                <c:pt idx="398">
                  <c:v>499</c:v>
                </c:pt>
                <c:pt idx="399">
                  <c:v>499.5</c:v>
                </c:pt>
                <c:pt idx="400">
                  <c:v>500</c:v>
                </c:pt>
                <c:pt idx="401">
                  <c:v>500.5</c:v>
                </c:pt>
                <c:pt idx="402">
                  <c:v>501</c:v>
                </c:pt>
                <c:pt idx="403">
                  <c:v>501.5</c:v>
                </c:pt>
                <c:pt idx="404">
                  <c:v>502</c:v>
                </c:pt>
                <c:pt idx="405">
                  <c:v>502.5</c:v>
                </c:pt>
                <c:pt idx="406">
                  <c:v>503</c:v>
                </c:pt>
                <c:pt idx="407">
                  <c:v>503.5</c:v>
                </c:pt>
                <c:pt idx="408">
                  <c:v>504</c:v>
                </c:pt>
                <c:pt idx="409">
                  <c:v>504.5</c:v>
                </c:pt>
                <c:pt idx="410">
                  <c:v>505</c:v>
                </c:pt>
                <c:pt idx="411">
                  <c:v>505.5</c:v>
                </c:pt>
                <c:pt idx="412">
                  <c:v>506</c:v>
                </c:pt>
                <c:pt idx="413">
                  <c:v>506.5</c:v>
                </c:pt>
                <c:pt idx="414">
                  <c:v>507</c:v>
                </c:pt>
                <c:pt idx="415">
                  <c:v>507.5</c:v>
                </c:pt>
                <c:pt idx="416">
                  <c:v>508</c:v>
                </c:pt>
                <c:pt idx="417">
                  <c:v>508.5</c:v>
                </c:pt>
                <c:pt idx="418">
                  <c:v>509</c:v>
                </c:pt>
                <c:pt idx="419">
                  <c:v>509.5</c:v>
                </c:pt>
                <c:pt idx="420">
                  <c:v>510</c:v>
                </c:pt>
                <c:pt idx="421">
                  <c:v>510.5</c:v>
                </c:pt>
                <c:pt idx="422">
                  <c:v>511</c:v>
                </c:pt>
                <c:pt idx="423">
                  <c:v>511.5</c:v>
                </c:pt>
                <c:pt idx="424">
                  <c:v>512</c:v>
                </c:pt>
                <c:pt idx="425">
                  <c:v>512.5</c:v>
                </c:pt>
                <c:pt idx="426">
                  <c:v>513</c:v>
                </c:pt>
                <c:pt idx="427">
                  <c:v>513.5</c:v>
                </c:pt>
                <c:pt idx="428">
                  <c:v>514</c:v>
                </c:pt>
                <c:pt idx="429">
                  <c:v>514.5</c:v>
                </c:pt>
                <c:pt idx="430">
                  <c:v>515</c:v>
                </c:pt>
                <c:pt idx="431">
                  <c:v>515.5</c:v>
                </c:pt>
                <c:pt idx="432">
                  <c:v>516</c:v>
                </c:pt>
                <c:pt idx="433">
                  <c:v>516.5</c:v>
                </c:pt>
                <c:pt idx="434">
                  <c:v>517</c:v>
                </c:pt>
                <c:pt idx="435">
                  <c:v>517.5</c:v>
                </c:pt>
                <c:pt idx="436">
                  <c:v>518</c:v>
                </c:pt>
                <c:pt idx="437">
                  <c:v>518.5</c:v>
                </c:pt>
                <c:pt idx="438">
                  <c:v>519</c:v>
                </c:pt>
                <c:pt idx="439">
                  <c:v>519.5</c:v>
                </c:pt>
                <c:pt idx="440">
                  <c:v>520</c:v>
                </c:pt>
                <c:pt idx="441">
                  <c:v>520.5</c:v>
                </c:pt>
                <c:pt idx="442">
                  <c:v>521</c:v>
                </c:pt>
                <c:pt idx="443">
                  <c:v>521.5</c:v>
                </c:pt>
                <c:pt idx="444">
                  <c:v>522</c:v>
                </c:pt>
                <c:pt idx="445">
                  <c:v>522.5</c:v>
                </c:pt>
                <c:pt idx="446">
                  <c:v>523</c:v>
                </c:pt>
                <c:pt idx="447">
                  <c:v>523.5</c:v>
                </c:pt>
                <c:pt idx="448">
                  <c:v>524</c:v>
                </c:pt>
                <c:pt idx="449">
                  <c:v>524.5</c:v>
                </c:pt>
                <c:pt idx="450">
                  <c:v>525</c:v>
                </c:pt>
                <c:pt idx="451">
                  <c:v>525.5</c:v>
                </c:pt>
                <c:pt idx="452">
                  <c:v>526</c:v>
                </c:pt>
                <c:pt idx="453">
                  <c:v>526.5</c:v>
                </c:pt>
                <c:pt idx="454">
                  <c:v>527</c:v>
                </c:pt>
                <c:pt idx="455">
                  <c:v>527.5</c:v>
                </c:pt>
                <c:pt idx="456">
                  <c:v>528</c:v>
                </c:pt>
                <c:pt idx="457">
                  <c:v>528.5</c:v>
                </c:pt>
                <c:pt idx="458">
                  <c:v>529</c:v>
                </c:pt>
                <c:pt idx="459">
                  <c:v>529.5</c:v>
                </c:pt>
                <c:pt idx="460">
                  <c:v>530</c:v>
                </c:pt>
                <c:pt idx="461">
                  <c:v>530.5</c:v>
                </c:pt>
                <c:pt idx="462">
                  <c:v>531</c:v>
                </c:pt>
                <c:pt idx="463">
                  <c:v>531.5</c:v>
                </c:pt>
                <c:pt idx="464">
                  <c:v>532</c:v>
                </c:pt>
                <c:pt idx="465">
                  <c:v>532.5</c:v>
                </c:pt>
                <c:pt idx="466">
                  <c:v>533</c:v>
                </c:pt>
                <c:pt idx="467">
                  <c:v>533.5</c:v>
                </c:pt>
                <c:pt idx="468">
                  <c:v>534</c:v>
                </c:pt>
                <c:pt idx="469">
                  <c:v>534.5</c:v>
                </c:pt>
                <c:pt idx="470">
                  <c:v>535</c:v>
                </c:pt>
                <c:pt idx="471">
                  <c:v>535.5</c:v>
                </c:pt>
                <c:pt idx="472">
                  <c:v>536</c:v>
                </c:pt>
                <c:pt idx="473">
                  <c:v>536.5</c:v>
                </c:pt>
                <c:pt idx="474">
                  <c:v>537</c:v>
                </c:pt>
                <c:pt idx="475">
                  <c:v>537.5</c:v>
                </c:pt>
                <c:pt idx="476">
                  <c:v>538</c:v>
                </c:pt>
                <c:pt idx="477">
                  <c:v>538.5</c:v>
                </c:pt>
                <c:pt idx="478">
                  <c:v>539</c:v>
                </c:pt>
                <c:pt idx="479">
                  <c:v>539.5</c:v>
                </c:pt>
                <c:pt idx="480">
                  <c:v>540</c:v>
                </c:pt>
                <c:pt idx="481">
                  <c:v>540.5</c:v>
                </c:pt>
                <c:pt idx="482">
                  <c:v>541</c:v>
                </c:pt>
                <c:pt idx="483">
                  <c:v>541.5</c:v>
                </c:pt>
                <c:pt idx="484">
                  <c:v>542</c:v>
                </c:pt>
                <c:pt idx="485">
                  <c:v>542.5</c:v>
                </c:pt>
                <c:pt idx="486">
                  <c:v>543</c:v>
                </c:pt>
                <c:pt idx="487">
                  <c:v>543.5</c:v>
                </c:pt>
                <c:pt idx="488">
                  <c:v>544</c:v>
                </c:pt>
                <c:pt idx="489">
                  <c:v>544.5</c:v>
                </c:pt>
                <c:pt idx="490">
                  <c:v>545</c:v>
                </c:pt>
                <c:pt idx="491">
                  <c:v>545.5</c:v>
                </c:pt>
                <c:pt idx="492">
                  <c:v>546</c:v>
                </c:pt>
                <c:pt idx="493">
                  <c:v>546.5</c:v>
                </c:pt>
                <c:pt idx="494">
                  <c:v>547</c:v>
                </c:pt>
                <c:pt idx="495">
                  <c:v>547.5</c:v>
                </c:pt>
                <c:pt idx="496">
                  <c:v>548</c:v>
                </c:pt>
                <c:pt idx="497">
                  <c:v>548.5</c:v>
                </c:pt>
                <c:pt idx="498">
                  <c:v>549</c:v>
                </c:pt>
                <c:pt idx="499">
                  <c:v>549.5</c:v>
                </c:pt>
                <c:pt idx="500">
                  <c:v>550</c:v>
                </c:pt>
                <c:pt idx="501">
                  <c:v>550.5</c:v>
                </c:pt>
                <c:pt idx="502">
                  <c:v>551</c:v>
                </c:pt>
                <c:pt idx="503">
                  <c:v>551.5</c:v>
                </c:pt>
                <c:pt idx="504">
                  <c:v>552</c:v>
                </c:pt>
                <c:pt idx="505">
                  <c:v>552.5</c:v>
                </c:pt>
                <c:pt idx="506">
                  <c:v>553</c:v>
                </c:pt>
                <c:pt idx="507">
                  <c:v>553.5</c:v>
                </c:pt>
                <c:pt idx="508">
                  <c:v>554</c:v>
                </c:pt>
                <c:pt idx="509">
                  <c:v>554.5</c:v>
                </c:pt>
                <c:pt idx="510">
                  <c:v>555</c:v>
                </c:pt>
                <c:pt idx="511">
                  <c:v>555.5</c:v>
                </c:pt>
                <c:pt idx="512">
                  <c:v>556</c:v>
                </c:pt>
                <c:pt idx="513">
                  <c:v>556.5</c:v>
                </c:pt>
                <c:pt idx="514">
                  <c:v>557</c:v>
                </c:pt>
                <c:pt idx="515">
                  <c:v>557.5</c:v>
                </c:pt>
                <c:pt idx="516">
                  <c:v>558</c:v>
                </c:pt>
                <c:pt idx="517">
                  <c:v>558.5</c:v>
                </c:pt>
                <c:pt idx="518">
                  <c:v>559</c:v>
                </c:pt>
                <c:pt idx="519">
                  <c:v>559.5</c:v>
                </c:pt>
                <c:pt idx="520">
                  <c:v>560</c:v>
                </c:pt>
                <c:pt idx="521">
                  <c:v>560.5</c:v>
                </c:pt>
                <c:pt idx="522">
                  <c:v>561</c:v>
                </c:pt>
                <c:pt idx="523">
                  <c:v>561.5</c:v>
                </c:pt>
                <c:pt idx="524">
                  <c:v>562</c:v>
                </c:pt>
                <c:pt idx="525">
                  <c:v>562.5</c:v>
                </c:pt>
                <c:pt idx="526">
                  <c:v>563</c:v>
                </c:pt>
                <c:pt idx="527">
                  <c:v>563.5</c:v>
                </c:pt>
                <c:pt idx="528">
                  <c:v>564</c:v>
                </c:pt>
                <c:pt idx="529">
                  <c:v>564.5</c:v>
                </c:pt>
                <c:pt idx="530">
                  <c:v>565</c:v>
                </c:pt>
                <c:pt idx="531">
                  <c:v>565.5</c:v>
                </c:pt>
                <c:pt idx="532">
                  <c:v>566</c:v>
                </c:pt>
                <c:pt idx="533">
                  <c:v>566.5</c:v>
                </c:pt>
                <c:pt idx="534">
                  <c:v>567</c:v>
                </c:pt>
                <c:pt idx="535">
                  <c:v>567.5</c:v>
                </c:pt>
                <c:pt idx="536">
                  <c:v>568</c:v>
                </c:pt>
                <c:pt idx="537">
                  <c:v>568.5</c:v>
                </c:pt>
                <c:pt idx="538">
                  <c:v>569</c:v>
                </c:pt>
                <c:pt idx="539">
                  <c:v>569.5</c:v>
                </c:pt>
                <c:pt idx="540">
                  <c:v>570</c:v>
                </c:pt>
                <c:pt idx="541">
                  <c:v>570.5</c:v>
                </c:pt>
                <c:pt idx="542">
                  <c:v>571</c:v>
                </c:pt>
                <c:pt idx="543">
                  <c:v>571.5</c:v>
                </c:pt>
                <c:pt idx="544">
                  <c:v>572</c:v>
                </c:pt>
                <c:pt idx="545">
                  <c:v>572.5</c:v>
                </c:pt>
                <c:pt idx="546">
                  <c:v>573</c:v>
                </c:pt>
                <c:pt idx="547">
                  <c:v>573.5</c:v>
                </c:pt>
                <c:pt idx="548">
                  <c:v>574</c:v>
                </c:pt>
                <c:pt idx="549">
                  <c:v>574.5</c:v>
                </c:pt>
                <c:pt idx="550">
                  <c:v>575</c:v>
                </c:pt>
                <c:pt idx="551">
                  <c:v>575.5</c:v>
                </c:pt>
                <c:pt idx="552">
                  <c:v>576</c:v>
                </c:pt>
                <c:pt idx="553">
                  <c:v>576.5</c:v>
                </c:pt>
                <c:pt idx="554">
                  <c:v>577</c:v>
                </c:pt>
                <c:pt idx="555">
                  <c:v>577.5</c:v>
                </c:pt>
                <c:pt idx="556">
                  <c:v>578</c:v>
                </c:pt>
                <c:pt idx="557">
                  <c:v>578.5</c:v>
                </c:pt>
                <c:pt idx="558">
                  <c:v>579</c:v>
                </c:pt>
                <c:pt idx="559">
                  <c:v>579.5</c:v>
                </c:pt>
                <c:pt idx="560">
                  <c:v>580</c:v>
                </c:pt>
                <c:pt idx="561">
                  <c:v>580.5</c:v>
                </c:pt>
                <c:pt idx="562">
                  <c:v>581</c:v>
                </c:pt>
                <c:pt idx="563">
                  <c:v>581.5</c:v>
                </c:pt>
                <c:pt idx="564">
                  <c:v>582</c:v>
                </c:pt>
                <c:pt idx="565">
                  <c:v>582.5</c:v>
                </c:pt>
                <c:pt idx="566">
                  <c:v>583</c:v>
                </c:pt>
                <c:pt idx="567">
                  <c:v>583.5</c:v>
                </c:pt>
                <c:pt idx="568">
                  <c:v>584</c:v>
                </c:pt>
                <c:pt idx="569">
                  <c:v>584.5</c:v>
                </c:pt>
                <c:pt idx="570">
                  <c:v>585</c:v>
                </c:pt>
                <c:pt idx="571">
                  <c:v>585.5</c:v>
                </c:pt>
                <c:pt idx="572">
                  <c:v>586</c:v>
                </c:pt>
                <c:pt idx="573">
                  <c:v>586.5</c:v>
                </c:pt>
                <c:pt idx="574">
                  <c:v>587</c:v>
                </c:pt>
                <c:pt idx="575">
                  <c:v>587.5</c:v>
                </c:pt>
                <c:pt idx="576">
                  <c:v>588</c:v>
                </c:pt>
                <c:pt idx="577">
                  <c:v>588.5</c:v>
                </c:pt>
                <c:pt idx="578">
                  <c:v>589</c:v>
                </c:pt>
                <c:pt idx="579">
                  <c:v>589.5</c:v>
                </c:pt>
                <c:pt idx="580">
                  <c:v>590</c:v>
                </c:pt>
                <c:pt idx="581">
                  <c:v>590.5</c:v>
                </c:pt>
                <c:pt idx="582">
                  <c:v>591</c:v>
                </c:pt>
                <c:pt idx="583">
                  <c:v>591.5</c:v>
                </c:pt>
                <c:pt idx="584">
                  <c:v>592</c:v>
                </c:pt>
                <c:pt idx="585">
                  <c:v>592.5</c:v>
                </c:pt>
                <c:pt idx="586">
                  <c:v>593</c:v>
                </c:pt>
                <c:pt idx="587">
                  <c:v>593.5</c:v>
                </c:pt>
                <c:pt idx="588">
                  <c:v>594</c:v>
                </c:pt>
                <c:pt idx="589">
                  <c:v>594.5</c:v>
                </c:pt>
                <c:pt idx="590">
                  <c:v>595</c:v>
                </c:pt>
                <c:pt idx="591">
                  <c:v>595.5</c:v>
                </c:pt>
                <c:pt idx="592">
                  <c:v>596</c:v>
                </c:pt>
                <c:pt idx="593">
                  <c:v>596.5</c:v>
                </c:pt>
                <c:pt idx="594">
                  <c:v>597</c:v>
                </c:pt>
                <c:pt idx="595">
                  <c:v>597.5</c:v>
                </c:pt>
                <c:pt idx="596">
                  <c:v>598</c:v>
                </c:pt>
                <c:pt idx="597">
                  <c:v>598.5</c:v>
                </c:pt>
                <c:pt idx="598">
                  <c:v>599</c:v>
                </c:pt>
                <c:pt idx="599">
                  <c:v>599.5</c:v>
                </c:pt>
                <c:pt idx="600">
                  <c:v>600</c:v>
                </c:pt>
                <c:pt idx="601">
                  <c:v>600.5</c:v>
                </c:pt>
                <c:pt idx="602">
                  <c:v>601</c:v>
                </c:pt>
                <c:pt idx="603">
                  <c:v>601.5</c:v>
                </c:pt>
                <c:pt idx="604">
                  <c:v>602</c:v>
                </c:pt>
                <c:pt idx="605">
                  <c:v>602.5</c:v>
                </c:pt>
                <c:pt idx="606">
                  <c:v>603</c:v>
                </c:pt>
                <c:pt idx="607">
                  <c:v>603.5</c:v>
                </c:pt>
                <c:pt idx="608">
                  <c:v>604</c:v>
                </c:pt>
                <c:pt idx="609">
                  <c:v>604.5</c:v>
                </c:pt>
                <c:pt idx="610">
                  <c:v>605</c:v>
                </c:pt>
                <c:pt idx="611">
                  <c:v>605.5</c:v>
                </c:pt>
                <c:pt idx="612">
                  <c:v>606</c:v>
                </c:pt>
                <c:pt idx="613">
                  <c:v>606.5</c:v>
                </c:pt>
                <c:pt idx="614">
                  <c:v>607</c:v>
                </c:pt>
                <c:pt idx="615">
                  <c:v>607.5</c:v>
                </c:pt>
                <c:pt idx="616">
                  <c:v>608</c:v>
                </c:pt>
                <c:pt idx="617">
                  <c:v>608.5</c:v>
                </c:pt>
                <c:pt idx="618">
                  <c:v>609</c:v>
                </c:pt>
                <c:pt idx="619">
                  <c:v>609.5</c:v>
                </c:pt>
                <c:pt idx="620">
                  <c:v>610</c:v>
                </c:pt>
                <c:pt idx="621">
                  <c:v>610.5</c:v>
                </c:pt>
                <c:pt idx="622">
                  <c:v>611</c:v>
                </c:pt>
                <c:pt idx="623">
                  <c:v>611.5</c:v>
                </c:pt>
                <c:pt idx="624">
                  <c:v>612</c:v>
                </c:pt>
                <c:pt idx="625">
                  <c:v>612.5</c:v>
                </c:pt>
                <c:pt idx="626">
                  <c:v>613</c:v>
                </c:pt>
                <c:pt idx="627">
                  <c:v>613.5</c:v>
                </c:pt>
                <c:pt idx="628">
                  <c:v>614</c:v>
                </c:pt>
                <c:pt idx="629">
                  <c:v>614.5</c:v>
                </c:pt>
                <c:pt idx="630">
                  <c:v>615</c:v>
                </c:pt>
                <c:pt idx="631">
                  <c:v>615.5</c:v>
                </c:pt>
                <c:pt idx="632">
                  <c:v>616</c:v>
                </c:pt>
                <c:pt idx="633">
                  <c:v>616.5</c:v>
                </c:pt>
                <c:pt idx="634">
                  <c:v>617</c:v>
                </c:pt>
                <c:pt idx="635">
                  <c:v>617.5</c:v>
                </c:pt>
                <c:pt idx="636">
                  <c:v>618</c:v>
                </c:pt>
                <c:pt idx="637">
                  <c:v>618.5</c:v>
                </c:pt>
                <c:pt idx="638">
                  <c:v>619</c:v>
                </c:pt>
                <c:pt idx="639">
                  <c:v>619.5</c:v>
                </c:pt>
                <c:pt idx="640">
                  <c:v>620</c:v>
                </c:pt>
                <c:pt idx="641">
                  <c:v>620.5</c:v>
                </c:pt>
                <c:pt idx="642">
                  <c:v>621</c:v>
                </c:pt>
                <c:pt idx="643">
                  <c:v>621.5</c:v>
                </c:pt>
                <c:pt idx="644">
                  <c:v>622</c:v>
                </c:pt>
                <c:pt idx="645">
                  <c:v>622.5</c:v>
                </c:pt>
                <c:pt idx="646">
                  <c:v>623</c:v>
                </c:pt>
                <c:pt idx="647">
                  <c:v>623.5</c:v>
                </c:pt>
                <c:pt idx="648">
                  <c:v>624</c:v>
                </c:pt>
                <c:pt idx="649">
                  <c:v>624.5</c:v>
                </c:pt>
                <c:pt idx="650">
                  <c:v>625</c:v>
                </c:pt>
                <c:pt idx="651">
                  <c:v>625.5</c:v>
                </c:pt>
                <c:pt idx="652">
                  <c:v>626</c:v>
                </c:pt>
                <c:pt idx="653">
                  <c:v>626.5</c:v>
                </c:pt>
                <c:pt idx="654">
                  <c:v>627</c:v>
                </c:pt>
                <c:pt idx="655">
                  <c:v>627.5</c:v>
                </c:pt>
                <c:pt idx="656">
                  <c:v>628</c:v>
                </c:pt>
                <c:pt idx="657">
                  <c:v>628.5</c:v>
                </c:pt>
                <c:pt idx="658">
                  <c:v>629</c:v>
                </c:pt>
                <c:pt idx="659">
                  <c:v>629.5</c:v>
                </c:pt>
                <c:pt idx="660">
                  <c:v>630</c:v>
                </c:pt>
                <c:pt idx="661">
                  <c:v>630.5</c:v>
                </c:pt>
                <c:pt idx="662">
                  <c:v>631</c:v>
                </c:pt>
                <c:pt idx="663">
                  <c:v>631.5</c:v>
                </c:pt>
                <c:pt idx="664">
                  <c:v>632</c:v>
                </c:pt>
                <c:pt idx="665">
                  <c:v>632.5</c:v>
                </c:pt>
                <c:pt idx="666">
                  <c:v>633</c:v>
                </c:pt>
                <c:pt idx="667">
                  <c:v>633.5</c:v>
                </c:pt>
                <c:pt idx="668">
                  <c:v>634</c:v>
                </c:pt>
                <c:pt idx="669">
                  <c:v>634.5</c:v>
                </c:pt>
                <c:pt idx="670">
                  <c:v>635</c:v>
                </c:pt>
                <c:pt idx="671">
                  <c:v>635.5</c:v>
                </c:pt>
                <c:pt idx="672">
                  <c:v>636</c:v>
                </c:pt>
                <c:pt idx="673">
                  <c:v>636.5</c:v>
                </c:pt>
                <c:pt idx="674">
                  <c:v>637</c:v>
                </c:pt>
                <c:pt idx="675">
                  <c:v>637.5</c:v>
                </c:pt>
                <c:pt idx="676">
                  <c:v>638</c:v>
                </c:pt>
                <c:pt idx="677">
                  <c:v>638.5</c:v>
                </c:pt>
                <c:pt idx="678">
                  <c:v>639</c:v>
                </c:pt>
                <c:pt idx="679">
                  <c:v>639.5</c:v>
                </c:pt>
                <c:pt idx="680">
                  <c:v>640</c:v>
                </c:pt>
                <c:pt idx="681">
                  <c:v>640.5</c:v>
                </c:pt>
                <c:pt idx="682">
                  <c:v>641</c:v>
                </c:pt>
                <c:pt idx="683">
                  <c:v>641.5</c:v>
                </c:pt>
                <c:pt idx="684">
                  <c:v>642</c:v>
                </c:pt>
                <c:pt idx="685">
                  <c:v>642.5</c:v>
                </c:pt>
                <c:pt idx="686">
                  <c:v>643</c:v>
                </c:pt>
                <c:pt idx="687">
                  <c:v>643.5</c:v>
                </c:pt>
                <c:pt idx="688">
                  <c:v>644</c:v>
                </c:pt>
                <c:pt idx="689">
                  <c:v>644.5</c:v>
                </c:pt>
                <c:pt idx="690">
                  <c:v>645</c:v>
                </c:pt>
                <c:pt idx="691">
                  <c:v>645.5</c:v>
                </c:pt>
                <c:pt idx="692">
                  <c:v>646</c:v>
                </c:pt>
                <c:pt idx="693">
                  <c:v>646.5</c:v>
                </c:pt>
                <c:pt idx="694">
                  <c:v>647</c:v>
                </c:pt>
                <c:pt idx="695">
                  <c:v>647.5</c:v>
                </c:pt>
                <c:pt idx="696">
                  <c:v>648</c:v>
                </c:pt>
                <c:pt idx="697">
                  <c:v>648.5</c:v>
                </c:pt>
                <c:pt idx="698">
                  <c:v>649</c:v>
                </c:pt>
                <c:pt idx="699">
                  <c:v>649.5</c:v>
                </c:pt>
                <c:pt idx="700">
                  <c:v>650</c:v>
                </c:pt>
                <c:pt idx="701">
                  <c:v>650.5</c:v>
                </c:pt>
                <c:pt idx="702">
                  <c:v>651</c:v>
                </c:pt>
                <c:pt idx="703">
                  <c:v>651.5</c:v>
                </c:pt>
                <c:pt idx="704">
                  <c:v>652</c:v>
                </c:pt>
                <c:pt idx="705">
                  <c:v>652.5</c:v>
                </c:pt>
                <c:pt idx="706">
                  <c:v>653</c:v>
                </c:pt>
                <c:pt idx="707">
                  <c:v>653.5</c:v>
                </c:pt>
                <c:pt idx="708">
                  <c:v>654</c:v>
                </c:pt>
                <c:pt idx="709">
                  <c:v>654.5</c:v>
                </c:pt>
                <c:pt idx="710">
                  <c:v>655</c:v>
                </c:pt>
                <c:pt idx="711">
                  <c:v>655.5</c:v>
                </c:pt>
                <c:pt idx="712">
                  <c:v>656</c:v>
                </c:pt>
                <c:pt idx="713">
                  <c:v>656.5</c:v>
                </c:pt>
                <c:pt idx="714">
                  <c:v>657</c:v>
                </c:pt>
                <c:pt idx="715">
                  <c:v>657.5</c:v>
                </c:pt>
                <c:pt idx="716">
                  <c:v>658</c:v>
                </c:pt>
                <c:pt idx="717">
                  <c:v>658.5</c:v>
                </c:pt>
                <c:pt idx="718">
                  <c:v>659</c:v>
                </c:pt>
                <c:pt idx="719">
                  <c:v>659.5</c:v>
                </c:pt>
                <c:pt idx="720">
                  <c:v>660</c:v>
                </c:pt>
                <c:pt idx="721">
                  <c:v>660.5</c:v>
                </c:pt>
                <c:pt idx="722">
                  <c:v>661</c:v>
                </c:pt>
                <c:pt idx="723">
                  <c:v>661.5</c:v>
                </c:pt>
                <c:pt idx="724">
                  <c:v>662</c:v>
                </c:pt>
                <c:pt idx="725">
                  <c:v>662.5</c:v>
                </c:pt>
                <c:pt idx="726">
                  <c:v>663</c:v>
                </c:pt>
                <c:pt idx="727">
                  <c:v>663.5</c:v>
                </c:pt>
                <c:pt idx="728">
                  <c:v>664</c:v>
                </c:pt>
                <c:pt idx="729">
                  <c:v>664.5</c:v>
                </c:pt>
                <c:pt idx="730">
                  <c:v>665</c:v>
                </c:pt>
                <c:pt idx="731">
                  <c:v>665.5</c:v>
                </c:pt>
                <c:pt idx="732">
                  <c:v>666</c:v>
                </c:pt>
                <c:pt idx="733">
                  <c:v>666.5</c:v>
                </c:pt>
                <c:pt idx="734">
                  <c:v>667</c:v>
                </c:pt>
                <c:pt idx="735">
                  <c:v>667.5</c:v>
                </c:pt>
                <c:pt idx="736">
                  <c:v>668</c:v>
                </c:pt>
                <c:pt idx="737">
                  <c:v>668.5</c:v>
                </c:pt>
                <c:pt idx="738">
                  <c:v>669</c:v>
                </c:pt>
                <c:pt idx="739">
                  <c:v>669.5</c:v>
                </c:pt>
                <c:pt idx="740">
                  <c:v>670</c:v>
                </c:pt>
                <c:pt idx="741">
                  <c:v>670.5</c:v>
                </c:pt>
                <c:pt idx="742">
                  <c:v>671</c:v>
                </c:pt>
                <c:pt idx="743">
                  <c:v>671.5</c:v>
                </c:pt>
                <c:pt idx="744">
                  <c:v>672</c:v>
                </c:pt>
                <c:pt idx="745">
                  <c:v>672.5</c:v>
                </c:pt>
                <c:pt idx="746">
                  <c:v>673</c:v>
                </c:pt>
                <c:pt idx="747">
                  <c:v>673.5</c:v>
                </c:pt>
                <c:pt idx="748">
                  <c:v>674</c:v>
                </c:pt>
                <c:pt idx="749">
                  <c:v>674.5</c:v>
                </c:pt>
                <c:pt idx="750">
                  <c:v>675</c:v>
                </c:pt>
                <c:pt idx="751">
                  <c:v>675.5</c:v>
                </c:pt>
                <c:pt idx="752">
                  <c:v>676</c:v>
                </c:pt>
                <c:pt idx="753">
                  <c:v>676.5</c:v>
                </c:pt>
                <c:pt idx="754">
                  <c:v>677</c:v>
                </c:pt>
                <c:pt idx="755">
                  <c:v>677.5</c:v>
                </c:pt>
                <c:pt idx="756">
                  <c:v>678</c:v>
                </c:pt>
                <c:pt idx="757">
                  <c:v>678.5</c:v>
                </c:pt>
                <c:pt idx="758">
                  <c:v>679</c:v>
                </c:pt>
                <c:pt idx="759">
                  <c:v>679.5</c:v>
                </c:pt>
                <c:pt idx="760">
                  <c:v>680</c:v>
                </c:pt>
                <c:pt idx="761">
                  <c:v>680.5</c:v>
                </c:pt>
                <c:pt idx="762">
                  <c:v>681</c:v>
                </c:pt>
                <c:pt idx="763">
                  <c:v>681.5</c:v>
                </c:pt>
                <c:pt idx="764">
                  <c:v>682</c:v>
                </c:pt>
                <c:pt idx="765">
                  <c:v>682.5</c:v>
                </c:pt>
                <c:pt idx="766">
                  <c:v>683</c:v>
                </c:pt>
                <c:pt idx="767">
                  <c:v>683.5</c:v>
                </c:pt>
                <c:pt idx="768">
                  <c:v>684</c:v>
                </c:pt>
                <c:pt idx="769">
                  <c:v>684.5</c:v>
                </c:pt>
                <c:pt idx="770">
                  <c:v>685</c:v>
                </c:pt>
                <c:pt idx="771">
                  <c:v>685.5</c:v>
                </c:pt>
                <c:pt idx="772">
                  <c:v>686</c:v>
                </c:pt>
                <c:pt idx="773">
                  <c:v>686.5</c:v>
                </c:pt>
                <c:pt idx="774">
                  <c:v>687</c:v>
                </c:pt>
                <c:pt idx="775">
                  <c:v>687.5</c:v>
                </c:pt>
                <c:pt idx="776">
                  <c:v>688</c:v>
                </c:pt>
                <c:pt idx="777">
                  <c:v>688.5</c:v>
                </c:pt>
                <c:pt idx="778">
                  <c:v>689</c:v>
                </c:pt>
                <c:pt idx="779">
                  <c:v>689.5</c:v>
                </c:pt>
                <c:pt idx="780">
                  <c:v>690</c:v>
                </c:pt>
                <c:pt idx="781">
                  <c:v>690.5</c:v>
                </c:pt>
                <c:pt idx="782">
                  <c:v>691</c:v>
                </c:pt>
                <c:pt idx="783">
                  <c:v>691.5</c:v>
                </c:pt>
                <c:pt idx="784">
                  <c:v>692</c:v>
                </c:pt>
                <c:pt idx="785">
                  <c:v>692.5</c:v>
                </c:pt>
                <c:pt idx="786">
                  <c:v>693</c:v>
                </c:pt>
                <c:pt idx="787">
                  <c:v>693.5</c:v>
                </c:pt>
                <c:pt idx="788">
                  <c:v>694</c:v>
                </c:pt>
                <c:pt idx="789">
                  <c:v>694.5</c:v>
                </c:pt>
                <c:pt idx="790">
                  <c:v>695</c:v>
                </c:pt>
                <c:pt idx="791">
                  <c:v>695.5</c:v>
                </c:pt>
                <c:pt idx="792">
                  <c:v>696</c:v>
                </c:pt>
                <c:pt idx="793">
                  <c:v>696.5</c:v>
                </c:pt>
                <c:pt idx="794">
                  <c:v>697</c:v>
                </c:pt>
                <c:pt idx="795">
                  <c:v>697.5</c:v>
                </c:pt>
                <c:pt idx="796">
                  <c:v>698</c:v>
                </c:pt>
                <c:pt idx="797">
                  <c:v>698.5</c:v>
                </c:pt>
                <c:pt idx="798">
                  <c:v>699</c:v>
                </c:pt>
                <c:pt idx="799">
                  <c:v>699.5</c:v>
                </c:pt>
                <c:pt idx="800">
                  <c:v>700</c:v>
                </c:pt>
                <c:pt idx="801">
                  <c:v>700.5</c:v>
                </c:pt>
                <c:pt idx="802">
                  <c:v>701</c:v>
                </c:pt>
                <c:pt idx="803">
                  <c:v>701.5</c:v>
                </c:pt>
                <c:pt idx="804">
                  <c:v>702</c:v>
                </c:pt>
                <c:pt idx="805">
                  <c:v>702.5</c:v>
                </c:pt>
                <c:pt idx="806">
                  <c:v>703</c:v>
                </c:pt>
                <c:pt idx="807">
                  <c:v>703.5</c:v>
                </c:pt>
                <c:pt idx="808">
                  <c:v>704</c:v>
                </c:pt>
                <c:pt idx="809">
                  <c:v>704.5</c:v>
                </c:pt>
                <c:pt idx="810">
                  <c:v>705</c:v>
                </c:pt>
                <c:pt idx="811">
                  <c:v>705.5</c:v>
                </c:pt>
                <c:pt idx="812">
                  <c:v>706</c:v>
                </c:pt>
                <c:pt idx="813">
                  <c:v>706.5</c:v>
                </c:pt>
                <c:pt idx="814">
                  <c:v>707</c:v>
                </c:pt>
                <c:pt idx="815">
                  <c:v>707.5</c:v>
                </c:pt>
                <c:pt idx="816">
                  <c:v>708</c:v>
                </c:pt>
                <c:pt idx="817">
                  <c:v>708.5</c:v>
                </c:pt>
                <c:pt idx="818">
                  <c:v>709</c:v>
                </c:pt>
                <c:pt idx="819">
                  <c:v>709.5</c:v>
                </c:pt>
                <c:pt idx="820">
                  <c:v>710</c:v>
                </c:pt>
                <c:pt idx="821">
                  <c:v>710.5</c:v>
                </c:pt>
                <c:pt idx="822">
                  <c:v>711</c:v>
                </c:pt>
                <c:pt idx="823">
                  <c:v>711.5</c:v>
                </c:pt>
                <c:pt idx="824">
                  <c:v>712</c:v>
                </c:pt>
                <c:pt idx="825">
                  <c:v>712.5</c:v>
                </c:pt>
                <c:pt idx="826">
                  <c:v>713</c:v>
                </c:pt>
                <c:pt idx="827">
                  <c:v>713.5</c:v>
                </c:pt>
                <c:pt idx="828">
                  <c:v>714</c:v>
                </c:pt>
                <c:pt idx="829">
                  <c:v>714.5</c:v>
                </c:pt>
                <c:pt idx="830">
                  <c:v>715</c:v>
                </c:pt>
                <c:pt idx="831">
                  <c:v>715.5</c:v>
                </c:pt>
                <c:pt idx="832">
                  <c:v>716</c:v>
                </c:pt>
                <c:pt idx="833">
                  <c:v>716.5</c:v>
                </c:pt>
                <c:pt idx="834">
                  <c:v>717</c:v>
                </c:pt>
                <c:pt idx="835">
                  <c:v>717.5</c:v>
                </c:pt>
                <c:pt idx="836">
                  <c:v>718</c:v>
                </c:pt>
                <c:pt idx="837">
                  <c:v>718.5</c:v>
                </c:pt>
                <c:pt idx="838">
                  <c:v>719</c:v>
                </c:pt>
                <c:pt idx="839">
                  <c:v>719.5</c:v>
                </c:pt>
                <c:pt idx="840">
                  <c:v>720</c:v>
                </c:pt>
                <c:pt idx="841">
                  <c:v>720.5</c:v>
                </c:pt>
                <c:pt idx="842">
                  <c:v>721</c:v>
                </c:pt>
                <c:pt idx="843">
                  <c:v>721.5</c:v>
                </c:pt>
                <c:pt idx="844">
                  <c:v>722</c:v>
                </c:pt>
                <c:pt idx="845">
                  <c:v>722.5</c:v>
                </c:pt>
                <c:pt idx="846">
                  <c:v>723</c:v>
                </c:pt>
                <c:pt idx="847">
                  <c:v>723.5</c:v>
                </c:pt>
                <c:pt idx="848">
                  <c:v>724</c:v>
                </c:pt>
                <c:pt idx="849">
                  <c:v>724.5</c:v>
                </c:pt>
                <c:pt idx="850">
                  <c:v>725</c:v>
                </c:pt>
                <c:pt idx="851">
                  <c:v>725.5</c:v>
                </c:pt>
                <c:pt idx="852">
                  <c:v>726</c:v>
                </c:pt>
                <c:pt idx="853">
                  <c:v>726.5</c:v>
                </c:pt>
                <c:pt idx="854">
                  <c:v>727</c:v>
                </c:pt>
                <c:pt idx="855">
                  <c:v>727.5</c:v>
                </c:pt>
                <c:pt idx="856">
                  <c:v>728</c:v>
                </c:pt>
                <c:pt idx="857">
                  <c:v>728.5</c:v>
                </c:pt>
                <c:pt idx="858">
                  <c:v>729</c:v>
                </c:pt>
                <c:pt idx="859">
                  <c:v>729.5</c:v>
                </c:pt>
                <c:pt idx="860">
                  <c:v>730</c:v>
                </c:pt>
                <c:pt idx="861">
                  <c:v>730.5</c:v>
                </c:pt>
                <c:pt idx="862">
                  <c:v>731</c:v>
                </c:pt>
                <c:pt idx="863">
                  <c:v>731.5</c:v>
                </c:pt>
                <c:pt idx="864">
                  <c:v>732</c:v>
                </c:pt>
                <c:pt idx="865">
                  <c:v>732.5</c:v>
                </c:pt>
                <c:pt idx="866">
                  <c:v>733</c:v>
                </c:pt>
                <c:pt idx="867">
                  <c:v>733.5</c:v>
                </c:pt>
                <c:pt idx="868">
                  <c:v>734</c:v>
                </c:pt>
                <c:pt idx="869">
                  <c:v>734.5</c:v>
                </c:pt>
                <c:pt idx="870">
                  <c:v>735</c:v>
                </c:pt>
                <c:pt idx="871">
                  <c:v>735.5</c:v>
                </c:pt>
                <c:pt idx="872">
                  <c:v>736</c:v>
                </c:pt>
                <c:pt idx="873">
                  <c:v>736.5</c:v>
                </c:pt>
                <c:pt idx="874">
                  <c:v>737</c:v>
                </c:pt>
                <c:pt idx="875">
                  <c:v>737.5</c:v>
                </c:pt>
                <c:pt idx="876">
                  <c:v>738</c:v>
                </c:pt>
                <c:pt idx="877">
                  <c:v>738.5</c:v>
                </c:pt>
                <c:pt idx="878">
                  <c:v>739</c:v>
                </c:pt>
                <c:pt idx="879">
                  <c:v>739.5</c:v>
                </c:pt>
                <c:pt idx="880">
                  <c:v>740</c:v>
                </c:pt>
                <c:pt idx="881">
                  <c:v>740.5</c:v>
                </c:pt>
                <c:pt idx="882">
                  <c:v>741</c:v>
                </c:pt>
                <c:pt idx="883">
                  <c:v>741.5</c:v>
                </c:pt>
                <c:pt idx="884">
                  <c:v>742</c:v>
                </c:pt>
                <c:pt idx="885">
                  <c:v>742.5</c:v>
                </c:pt>
                <c:pt idx="886">
                  <c:v>743</c:v>
                </c:pt>
                <c:pt idx="887">
                  <c:v>743.5</c:v>
                </c:pt>
                <c:pt idx="888">
                  <c:v>744</c:v>
                </c:pt>
                <c:pt idx="889">
                  <c:v>744.5</c:v>
                </c:pt>
                <c:pt idx="890">
                  <c:v>745</c:v>
                </c:pt>
                <c:pt idx="891">
                  <c:v>745.5</c:v>
                </c:pt>
                <c:pt idx="892">
                  <c:v>746</c:v>
                </c:pt>
                <c:pt idx="893">
                  <c:v>746.5</c:v>
                </c:pt>
                <c:pt idx="894">
                  <c:v>747</c:v>
                </c:pt>
                <c:pt idx="895">
                  <c:v>747.5</c:v>
                </c:pt>
                <c:pt idx="896">
                  <c:v>748</c:v>
                </c:pt>
                <c:pt idx="897">
                  <c:v>748.5</c:v>
                </c:pt>
                <c:pt idx="898">
                  <c:v>749</c:v>
                </c:pt>
                <c:pt idx="899">
                  <c:v>749.5</c:v>
                </c:pt>
                <c:pt idx="900">
                  <c:v>750</c:v>
                </c:pt>
              </c:numCache>
            </c:numRef>
          </c:cat>
          <c:val>
            <c:numRef>
              <c:f>'T2 (7)'!$B$113:$B$1013</c:f>
              <c:numCache>
                <c:formatCode>0.00E+00</c:formatCode>
                <c:ptCount val="901"/>
                <c:pt idx="0">
                  <c:v>0</c:v>
                </c:pt>
                <c:pt idx="1">
                  <c:v>0</c:v>
                </c:pt>
                <c:pt idx="2">
                  <c:v>0</c:v>
                </c:pt>
                <c:pt idx="3">
                  <c:v>0</c:v>
                </c:pt>
                <c:pt idx="4">
                  <c:v>0</c:v>
                </c:pt>
                <c:pt idx="5">
                  <c:v>0</c:v>
                </c:pt>
                <c:pt idx="6">
                  <c:v>0</c:v>
                </c:pt>
                <c:pt idx="7">
                  <c:v>0</c:v>
                </c:pt>
                <c:pt idx="8">
                  <c:v>0</c:v>
                </c:pt>
                <c:pt idx="9">
                  <c:v>0</c:v>
                </c:pt>
                <c:pt idx="10">
                  <c:v>0</c:v>
                </c:pt>
                <c:pt idx="11">
                  <c:v>0</c:v>
                </c:pt>
                <c:pt idx="12">
                  <c:v>0</c:v>
                </c:pt>
                <c:pt idx="13">
                  <c:v>0</c:v>
                </c:pt>
                <c:pt idx="14">
                  <c:v>0</c:v>
                </c:pt>
                <c:pt idx="15">
                  <c:v>0</c:v>
                </c:pt>
                <c:pt idx="16">
                  <c:v>0</c:v>
                </c:pt>
                <c:pt idx="17">
                  <c:v>0</c:v>
                </c:pt>
                <c:pt idx="18">
                  <c:v>0</c:v>
                </c:pt>
                <c:pt idx="19">
                  <c:v>0</c:v>
                </c:pt>
                <c:pt idx="20">
                  <c:v>0</c:v>
                </c:pt>
                <c:pt idx="21">
                  <c:v>0</c:v>
                </c:pt>
                <c:pt idx="22">
                  <c:v>0</c:v>
                </c:pt>
                <c:pt idx="23">
                  <c:v>0</c:v>
                </c:pt>
                <c:pt idx="24">
                  <c:v>0</c:v>
                </c:pt>
                <c:pt idx="25">
                  <c:v>0</c:v>
                </c:pt>
                <c:pt idx="26">
                  <c:v>0</c:v>
                </c:pt>
                <c:pt idx="27">
                  <c:v>0</c:v>
                </c:pt>
                <c:pt idx="28">
                  <c:v>0</c:v>
                </c:pt>
                <c:pt idx="29">
                  <c:v>0</c:v>
                </c:pt>
                <c:pt idx="30">
                  <c:v>0</c:v>
                </c:pt>
                <c:pt idx="31">
                  <c:v>0</c:v>
                </c:pt>
                <c:pt idx="32">
                  <c:v>0</c:v>
                </c:pt>
                <c:pt idx="33">
                  <c:v>0</c:v>
                </c:pt>
                <c:pt idx="34">
                  <c:v>0</c:v>
                </c:pt>
                <c:pt idx="35">
                  <c:v>0</c:v>
                </c:pt>
                <c:pt idx="36">
                  <c:v>0</c:v>
                </c:pt>
                <c:pt idx="37">
                  <c:v>0</c:v>
                </c:pt>
                <c:pt idx="38">
                  <c:v>0</c:v>
                </c:pt>
                <c:pt idx="39">
                  <c:v>0</c:v>
                </c:pt>
                <c:pt idx="40">
                  <c:v>0</c:v>
                </c:pt>
                <c:pt idx="41">
                  <c:v>0</c:v>
                </c:pt>
                <c:pt idx="42">
                  <c:v>0</c:v>
                </c:pt>
                <c:pt idx="43">
                  <c:v>0</c:v>
                </c:pt>
                <c:pt idx="44">
                  <c:v>0</c:v>
                </c:pt>
                <c:pt idx="45">
                  <c:v>0</c:v>
                </c:pt>
                <c:pt idx="46">
                  <c:v>0</c:v>
                </c:pt>
                <c:pt idx="47">
                  <c:v>0</c:v>
                </c:pt>
                <c:pt idx="48">
                  <c:v>0</c:v>
                </c:pt>
                <c:pt idx="49">
                  <c:v>0</c:v>
                </c:pt>
                <c:pt idx="50">
                  <c:v>0</c:v>
                </c:pt>
                <c:pt idx="51">
                  <c:v>0</c:v>
                </c:pt>
                <c:pt idx="52">
                  <c:v>0</c:v>
                </c:pt>
                <c:pt idx="53">
                  <c:v>0</c:v>
                </c:pt>
                <c:pt idx="54">
                  <c:v>0</c:v>
                </c:pt>
                <c:pt idx="55">
                  <c:v>0</c:v>
                </c:pt>
                <c:pt idx="56">
                  <c:v>0</c:v>
                </c:pt>
                <c:pt idx="57">
                  <c:v>0</c:v>
                </c:pt>
                <c:pt idx="58">
                  <c:v>0</c:v>
                </c:pt>
                <c:pt idx="59">
                  <c:v>0</c:v>
                </c:pt>
                <c:pt idx="60">
                  <c:v>0</c:v>
                </c:pt>
                <c:pt idx="61">
                  <c:v>0</c:v>
                </c:pt>
                <c:pt idx="62">
                  <c:v>0</c:v>
                </c:pt>
                <c:pt idx="63">
                  <c:v>0</c:v>
                </c:pt>
                <c:pt idx="64">
                  <c:v>0</c:v>
                </c:pt>
                <c:pt idx="65">
                  <c:v>0</c:v>
                </c:pt>
                <c:pt idx="66">
                  <c:v>0</c:v>
                </c:pt>
                <c:pt idx="67">
                  <c:v>0</c:v>
                </c:pt>
                <c:pt idx="68">
                  <c:v>0</c:v>
                </c:pt>
                <c:pt idx="69">
                  <c:v>0</c:v>
                </c:pt>
                <c:pt idx="70">
                  <c:v>0</c:v>
                </c:pt>
                <c:pt idx="71">
                  <c:v>0</c:v>
                </c:pt>
                <c:pt idx="72">
                  <c:v>0</c:v>
                </c:pt>
                <c:pt idx="73">
                  <c:v>0</c:v>
                </c:pt>
                <c:pt idx="74">
                  <c:v>0</c:v>
                </c:pt>
                <c:pt idx="75">
                  <c:v>0</c:v>
                </c:pt>
                <c:pt idx="76">
                  <c:v>0</c:v>
                </c:pt>
                <c:pt idx="77">
                  <c:v>0</c:v>
                </c:pt>
                <c:pt idx="78">
                  <c:v>0</c:v>
                </c:pt>
                <c:pt idx="79">
                  <c:v>0</c:v>
                </c:pt>
                <c:pt idx="80">
                  <c:v>0</c:v>
                </c:pt>
                <c:pt idx="81">
                  <c:v>0</c:v>
                </c:pt>
                <c:pt idx="82">
                  <c:v>0</c:v>
                </c:pt>
                <c:pt idx="83">
                  <c:v>0</c:v>
                </c:pt>
                <c:pt idx="84">
                  <c:v>0</c:v>
                </c:pt>
                <c:pt idx="85">
                  <c:v>0</c:v>
                </c:pt>
                <c:pt idx="86">
                  <c:v>0</c:v>
                </c:pt>
                <c:pt idx="87">
                  <c:v>0</c:v>
                </c:pt>
                <c:pt idx="88">
                  <c:v>0</c:v>
                </c:pt>
                <c:pt idx="89">
                  <c:v>0</c:v>
                </c:pt>
                <c:pt idx="90">
                  <c:v>0</c:v>
                </c:pt>
                <c:pt idx="91">
                  <c:v>0</c:v>
                </c:pt>
                <c:pt idx="92">
                  <c:v>0</c:v>
                </c:pt>
                <c:pt idx="93">
                  <c:v>0</c:v>
                </c:pt>
                <c:pt idx="94">
                  <c:v>0</c:v>
                </c:pt>
                <c:pt idx="95">
                  <c:v>0</c:v>
                </c:pt>
                <c:pt idx="96">
                  <c:v>0</c:v>
                </c:pt>
                <c:pt idx="97">
                  <c:v>0</c:v>
                </c:pt>
                <c:pt idx="98">
                  <c:v>0</c:v>
                </c:pt>
                <c:pt idx="99">
                  <c:v>0</c:v>
                </c:pt>
                <c:pt idx="100">
                  <c:v>0</c:v>
                </c:pt>
                <c:pt idx="101">
                  <c:v>0</c:v>
                </c:pt>
                <c:pt idx="102">
                  <c:v>0</c:v>
                </c:pt>
                <c:pt idx="103">
                  <c:v>0</c:v>
                </c:pt>
                <c:pt idx="104">
                  <c:v>0</c:v>
                </c:pt>
                <c:pt idx="105">
                  <c:v>0</c:v>
                </c:pt>
                <c:pt idx="106">
                  <c:v>0</c:v>
                </c:pt>
                <c:pt idx="107">
                  <c:v>0</c:v>
                </c:pt>
                <c:pt idx="108">
                  <c:v>0</c:v>
                </c:pt>
                <c:pt idx="109">
                  <c:v>0</c:v>
                </c:pt>
                <c:pt idx="110">
                  <c:v>0</c:v>
                </c:pt>
                <c:pt idx="111">
                  <c:v>0</c:v>
                </c:pt>
                <c:pt idx="112">
                  <c:v>0</c:v>
                </c:pt>
                <c:pt idx="113">
                  <c:v>0</c:v>
                </c:pt>
                <c:pt idx="114">
                  <c:v>0</c:v>
                </c:pt>
                <c:pt idx="115">
                  <c:v>0</c:v>
                </c:pt>
                <c:pt idx="116">
                  <c:v>0</c:v>
                </c:pt>
                <c:pt idx="117">
                  <c:v>0</c:v>
                </c:pt>
                <c:pt idx="118">
                  <c:v>0</c:v>
                </c:pt>
                <c:pt idx="119">
                  <c:v>0</c:v>
                </c:pt>
                <c:pt idx="120">
                  <c:v>0</c:v>
                </c:pt>
                <c:pt idx="121">
                  <c:v>0</c:v>
                </c:pt>
                <c:pt idx="122">
                  <c:v>0</c:v>
                </c:pt>
                <c:pt idx="123">
                  <c:v>0</c:v>
                </c:pt>
                <c:pt idx="124">
                  <c:v>0</c:v>
                </c:pt>
                <c:pt idx="125">
                  <c:v>0</c:v>
                </c:pt>
                <c:pt idx="126">
                  <c:v>0</c:v>
                </c:pt>
                <c:pt idx="127">
                  <c:v>0</c:v>
                </c:pt>
                <c:pt idx="128">
                  <c:v>0</c:v>
                </c:pt>
                <c:pt idx="129">
                  <c:v>0</c:v>
                </c:pt>
                <c:pt idx="130">
                  <c:v>0</c:v>
                </c:pt>
                <c:pt idx="131">
                  <c:v>0</c:v>
                </c:pt>
                <c:pt idx="132">
                  <c:v>0</c:v>
                </c:pt>
                <c:pt idx="133">
                  <c:v>0</c:v>
                </c:pt>
                <c:pt idx="134">
                  <c:v>0</c:v>
                </c:pt>
                <c:pt idx="135">
                  <c:v>0</c:v>
                </c:pt>
                <c:pt idx="136">
                  <c:v>0</c:v>
                </c:pt>
                <c:pt idx="137">
                  <c:v>0</c:v>
                </c:pt>
                <c:pt idx="138">
                  <c:v>0</c:v>
                </c:pt>
                <c:pt idx="139">
                  <c:v>0</c:v>
                </c:pt>
                <c:pt idx="140">
                  <c:v>0</c:v>
                </c:pt>
                <c:pt idx="141">
                  <c:v>0</c:v>
                </c:pt>
                <c:pt idx="142">
                  <c:v>0</c:v>
                </c:pt>
                <c:pt idx="143">
                  <c:v>0</c:v>
                </c:pt>
                <c:pt idx="144">
                  <c:v>0</c:v>
                </c:pt>
                <c:pt idx="145">
                  <c:v>0</c:v>
                </c:pt>
                <c:pt idx="146">
                  <c:v>0</c:v>
                </c:pt>
                <c:pt idx="147">
                  <c:v>0</c:v>
                </c:pt>
                <c:pt idx="148">
                  <c:v>0</c:v>
                </c:pt>
                <c:pt idx="149">
                  <c:v>0</c:v>
                </c:pt>
                <c:pt idx="150">
                  <c:v>0</c:v>
                </c:pt>
                <c:pt idx="151">
                  <c:v>0</c:v>
                </c:pt>
                <c:pt idx="152">
                  <c:v>0</c:v>
                </c:pt>
                <c:pt idx="153">
                  <c:v>0</c:v>
                </c:pt>
                <c:pt idx="154">
                  <c:v>0</c:v>
                </c:pt>
                <c:pt idx="155">
                  <c:v>0</c:v>
                </c:pt>
                <c:pt idx="156">
                  <c:v>0</c:v>
                </c:pt>
                <c:pt idx="157">
                  <c:v>0</c:v>
                </c:pt>
                <c:pt idx="158">
                  <c:v>0</c:v>
                </c:pt>
                <c:pt idx="159">
                  <c:v>0</c:v>
                </c:pt>
                <c:pt idx="160">
                  <c:v>0</c:v>
                </c:pt>
                <c:pt idx="161">
                  <c:v>0</c:v>
                </c:pt>
                <c:pt idx="162">
                  <c:v>0</c:v>
                </c:pt>
                <c:pt idx="163">
                  <c:v>0</c:v>
                </c:pt>
                <c:pt idx="164">
                  <c:v>0</c:v>
                </c:pt>
                <c:pt idx="165">
                  <c:v>0</c:v>
                </c:pt>
                <c:pt idx="166">
                  <c:v>0</c:v>
                </c:pt>
                <c:pt idx="167">
                  <c:v>0</c:v>
                </c:pt>
                <c:pt idx="168">
                  <c:v>0</c:v>
                </c:pt>
                <c:pt idx="169">
                  <c:v>0</c:v>
                </c:pt>
                <c:pt idx="170">
                  <c:v>0</c:v>
                </c:pt>
                <c:pt idx="171">
                  <c:v>0</c:v>
                </c:pt>
                <c:pt idx="172">
                  <c:v>0</c:v>
                </c:pt>
                <c:pt idx="173">
                  <c:v>0</c:v>
                </c:pt>
                <c:pt idx="174">
                  <c:v>0</c:v>
                </c:pt>
                <c:pt idx="175">
                  <c:v>0</c:v>
                </c:pt>
                <c:pt idx="176">
                  <c:v>0</c:v>
                </c:pt>
                <c:pt idx="177">
                  <c:v>0</c:v>
                </c:pt>
                <c:pt idx="178">
                  <c:v>0</c:v>
                </c:pt>
                <c:pt idx="179">
                  <c:v>0</c:v>
                </c:pt>
                <c:pt idx="180">
                  <c:v>0</c:v>
                </c:pt>
                <c:pt idx="181">
                  <c:v>0</c:v>
                </c:pt>
                <c:pt idx="182">
                  <c:v>0</c:v>
                </c:pt>
                <c:pt idx="183">
                  <c:v>0</c:v>
                </c:pt>
                <c:pt idx="184">
                  <c:v>0</c:v>
                </c:pt>
                <c:pt idx="185">
                  <c:v>0</c:v>
                </c:pt>
                <c:pt idx="186">
                  <c:v>0</c:v>
                </c:pt>
                <c:pt idx="187">
                  <c:v>0</c:v>
                </c:pt>
                <c:pt idx="188">
                  <c:v>0</c:v>
                </c:pt>
                <c:pt idx="189">
                  <c:v>0</c:v>
                </c:pt>
                <c:pt idx="190">
                  <c:v>0</c:v>
                </c:pt>
                <c:pt idx="191">
                  <c:v>0</c:v>
                </c:pt>
                <c:pt idx="192">
                  <c:v>0</c:v>
                </c:pt>
                <c:pt idx="193">
                  <c:v>0</c:v>
                </c:pt>
                <c:pt idx="194">
                  <c:v>0</c:v>
                </c:pt>
                <c:pt idx="195">
                  <c:v>0</c:v>
                </c:pt>
                <c:pt idx="196">
                  <c:v>0</c:v>
                </c:pt>
                <c:pt idx="197">
                  <c:v>0</c:v>
                </c:pt>
                <c:pt idx="198">
                  <c:v>0</c:v>
                </c:pt>
                <c:pt idx="199">
                  <c:v>0</c:v>
                </c:pt>
                <c:pt idx="200">
                  <c:v>0</c:v>
                </c:pt>
                <c:pt idx="201">
                  <c:v>0</c:v>
                </c:pt>
                <c:pt idx="202">
                  <c:v>0</c:v>
                </c:pt>
                <c:pt idx="203">
                  <c:v>0</c:v>
                </c:pt>
                <c:pt idx="204">
                  <c:v>0</c:v>
                </c:pt>
                <c:pt idx="205">
                  <c:v>0</c:v>
                </c:pt>
                <c:pt idx="206">
                  <c:v>0</c:v>
                </c:pt>
                <c:pt idx="207">
                  <c:v>0</c:v>
                </c:pt>
                <c:pt idx="208">
                  <c:v>0</c:v>
                </c:pt>
                <c:pt idx="209">
                  <c:v>0</c:v>
                </c:pt>
                <c:pt idx="210">
                  <c:v>0</c:v>
                </c:pt>
                <c:pt idx="211">
                  <c:v>0</c:v>
                </c:pt>
                <c:pt idx="212">
                  <c:v>0</c:v>
                </c:pt>
                <c:pt idx="213">
                  <c:v>5.8392359999999999E-7</c:v>
                </c:pt>
                <c:pt idx="214">
                  <c:v>3.0569760000000004E-5</c:v>
                </c:pt>
                <c:pt idx="215">
                  <c:v>1.9198062000000001E-5</c:v>
                </c:pt>
                <c:pt idx="216">
                  <c:v>7.4215439999999987E-6</c:v>
                </c:pt>
                <c:pt idx="217">
                  <c:v>0</c:v>
                </c:pt>
                <c:pt idx="218">
                  <c:v>0</c:v>
                </c:pt>
                <c:pt idx="219">
                  <c:v>5.50602E-6</c:v>
                </c:pt>
                <c:pt idx="220">
                  <c:v>1.3461785999999997E-5</c:v>
                </c:pt>
                <c:pt idx="221">
                  <c:v>2.0808215999999999E-5</c:v>
                </c:pt>
                <c:pt idx="222">
                  <c:v>6.1467120000000008E-5</c:v>
                </c:pt>
                <c:pt idx="223">
                  <c:v>1.1241828E-4</c:v>
                </c:pt>
                <c:pt idx="224">
                  <c:v>1.641627E-4</c:v>
                </c:pt>
                <c:pt idx="225">
                  <c:v>2.0314475999999999E-4</c:v>
                </c:pt>
                <c:pt idx="226">
                  <c:v>2.3860979999999998E-4</c:v>
                </c:pt>
                <c:pt idx="227">
                  <c:v>2.7298440000000007E-4</c:v>
                </c:pt>
                <c:pt idx="228">
                  <c:v>3.121326E-4</c:v>
                </c:pt>
                <c:pt idx="229">
                  <c:v>3.2823179999999996E-4</c:v>
                </c:pt>
                <c:pt idx="230">
                  <c:v>3.4753680000000002E-4</c:v>
                </c:pt>
                <c:pt idx="231">
                  <c:v>3.9368159999999993E-4</c:v>
                </c:pt>
                <c:pt idx="232">
                  <c:v>4.7256300000000001E-4</c:v>
                </c:pt>
                <c:pt idx="233">
                  <c:v>5.7304260000000005E-4</c:v>
                </c:pt>
                <c:pt idx="234">
                  <c:v>6.6221999999999993E-4</c:v>
                </c:pt>
                <c:pt idx="235">
                  <c:v>7.2682740000000001E-4</c:v>
                </c:pt>
                <c:pt idx="236">
                  <c:v>7.9382159999999999E-4</c:v>
                </c:pt>
                <c:pt idx="237">
                  <c:v>8.5461480000000012E-4</c:v>
                </c:pt>
                <c:pt idx="238">
                  <c:v>9.4121820000000003E-4</c:v>
                </c:pt>
                <c:pt idx="239">
                  <c:v>1.0461671999999998E-3</c:v>
                </c:pt>
                <c:pt idx="240">
                  <c:v>1.1626289999999999E-3</c:v>
                </c:pt>
                <c:pt idx="241">
                  <c:v>1.2944178E-3</c:v>
                </c:pt>
                <c:pt idx="242">
                  <c:v>1.4391234000000002E-3</c:v>
                </c:pt>
                <c:pt idx="243">
                  <c:v>1.6023383999999997E-3</c:v>
                </c:pt>
                <c:pt idx="244">
                  <c:v>1.7813015999999997E-3</c:v>
                </c:pt>
                <c:pt idx="245">
                  <c:v>1.9863792E-3</c:v>
                </c:pt>
                <c:pt idx="246">
                  <c:v>2.1754511999999998E-3</c:v>
                </c:pt>
                <c:pt idx="247">
                  <c:v>2.34819E-3</c:v>
                </c:pt>
                <c:pt idx="248">
                  <c:v>2.5421759999999997E-3</c:v>
                </c:pt>
                <c:pt idx="249">
                  <c:v>2.7502019999999998E-3</c:v>
                </c:pt>
                <c:pt idx="250">
                  <c:v>2.9834999999999996E-3</c:v>
                </c:pt>
                <c:pt idx="251">
                  <c:v>3.2458140000000001E-3</c:v>
                </c:pt>
                <c:pt idx="252">
                  <c:v>3.5179560000000005E-3</c:v>
                </c:pt>
                <c:pt idx="253">
                  <c:v>3.842748E-3</c:v>
                </c:pt>
                <c:pt idx="254">
                  <c:v>4.1979599999999997E-3</c:v>
                </c:pt>
                <c:pt idx="255">
                  <c:v>4.5697860000000002E-3</c:v>
                </c:pt>
                <c:pt idx="256">
                  <c:v>4.9647780000000004E-3</c:v>
                </c:pt>
                <c:pt idx="257">
                  <c:v>5.3763839999999997E-3</c:v>
                </c:pt>
                <c:pt idx="258">
                  <c:v>5.7783960000000007E-3</c:v>
                </c:pt>
                <c:pt idx="259">
                  <c:v>6.2356320000000005E-3</c:v>
                </c:pt>
                <c:pt idx="260">
                  <c:v>6.6961439999999994E-3</c:v>
                </c:pt>
                <c:pt idx="261">
                  <c:v>7.1873099999999988E-3</c:v>
                </c:pt>
                <c:pt idx="262">
                  <c:v>7.7227020000000006E-3</c:v>
                </c:pt>
                <c:pt idx="263">
                  <c:v>8.3137860000000001E-3</c:v>
                </c:pt>
                <c:pt idx="264">
                  <c:v>8.9769419999999999E-3</c:v>
                </c:pt>
                <c:pt idx="265">
                  <c:v>9.6644339999999995E-3</c:v>
                </c:pt>
                <c:pt idx="266">
                  <c:v>1.0367837999999999E-2</c:v>
                </c:pt>
                <c:pt idx="267">
                  <c:v>1.1105172E-2</c:v>
                </c:pt>
                <c:pt idx="268">
                  <c:v>1.1849993999999999E-2</c:v>
                </c:pt>
                <c:pt idx="269">
                  <c:v>1.2642317999999998E-2</c:v>
                </c:pt>
                <c:pt idx="270">
                  <c:v>1.3475592E-2</c:v>
                </c:pt>
                <c:pt idx="271">
                  <c:v>1.4359410000000001E-2</c:v>
                </c:pt>
                <c:pt idx="272">
                  <c:v>1.5259608000000001E-2</c:v>
                </c:pt>
                <c:pt idx="273">
                  <c:v>1.6192332E-2</c:v>
                </c:pt>
                <c:pt idx="274">
                  <c:v>1.7125757999999998E-2</c:v>
                </c:pt>
                <c:pt idx="275">
                  <c:v>1.8093816000000002E-2</c:v>
                </c:pt>
                <c:pt idx="276">
                  <c:v>1.9134179999999997E-2</c:v>
                </c:pt>
                <c:pt idx="277">
                  <c:v>2.0216429999999997E-2</c:v>
                </c:pt>
                <c:pt idx="278">
                  <c:v>2.1359285999999998E-2</c:v>
                </c:pt>
                <c:pt idx="279">
                  <c:v>2.2460958E-2</c:v>
                </c:pt>
                <c:pt idx="280">
                  <c:v>2.3587199999999999E-2</c:v>
                </c:pt>
                <c:pt idx="281">
                  <c:v>2.4724440000000004E-2</c:v>
                </c:pt>
                <c:pt idx="282">
                  <c:v>2.5896780000000001E-2</c:v>
                </c:pt>
                <c:pt idx="283">
                  <c:v>2.7043380000000002E-2</c:v>
                </c:pt>
                <c:pt idx="284">
                  <c:v>2.815722E-2</c:v>
                </c:pt>
                <c:pt idx="285">
                  <c:v>2.9317860000000001E-2</c:v>
                </c:pt>
                <c:pt idx="286">
                  <c:v>3.0518280000000009E-2</c:v>
                </c:pt>
                <c:pt idx="287">
                  <c:v>3.16368E-2</c:v>
                </c:pt>
                <c:pt idx="288">
                  <c:v>3.2692140000000001E-2</c:v>
                </c:pt>
                <c:pt idx="289">
                  <c:v>3.367026E-2</c:v>
                </c:pt>
                <c:pt idx="290">
                  <c:v>3.4594559999999996E-2</c:v>
                </c:pt>
                <c:pt idx="291">
                  <c:v>3.5390160000000004E-2</c:v>
                </c:pt>
                <c:pt idx="292">
                  <c:v>3.6188100000000001E-2</c:v>
                </c:pt>
                <c:pt idx="293">
                  <c:v>3.6925199999999998E-2</c:v>
                </c:pt>
                <c:pt idx="294">
                  <c:v>3.754296E-2</c:v>
                </c:pt>
                <c:pt idx="295">
                  <c:v>3.8039040000000003E-2</c:v>
                </c:pt>
                <c:pt idx="296">
                  <c:v>3.84462E-2</c:v>
                </c:pt>
                <c:pt idx="297">
                  <c:v>3.8701260000000001E-2</c:v>
                </c:pt>
                <c:pt idx="298">
                  <c:v>3.8893140000000007E-2</c:v>
                </c:pt>
                <c:pt idx="299">
                  <c:v>3.9066299999999991E-2</c:v>
                </c:pt>
                <c:pt idx="300">
                  <c:v>3.9049919999999995E-2</c:v>
                </c:pt>
                <c:pt idx="301">
                  <c:v>3.8834639999999997E-2</c:v>
                </c:pt>
                <c:pt idx="302">
                  <c:v>3.8516399999999999E-2</c:v>
                </c:pt>
                <c:pt idx="303">
                  <c:v>3.8116260000000006E-2</c:v>
                </c:pt>
                <c:pt idx="304">
                  <c:v>3.7564020000000004E-2</c:v>
                </c:pt>
                <c:pt idx="305">
                  <c:v>3.6859679999999999E-2</c:v>
                </c:pt>
                <c:pt idx="306">
                  <c:v>3.6092159999999998E-2</c:v>
                </c:pt>
                <c:pt idx="307">
                  <c:v>3.5289540000000001E-2</c:v>
                </c:pt>
                <c:pt idx="308">
                  <c:v>3.4341840000000005E-2</c:v>
                </c:pt>
                <c:pt idx="309">
                  <c:v>3.3309900000000003E-2</c:v>
                </c:pt>
                <c:pt idx="310">
                  <c:v>3.2163299999999999E-2</c:v>
                </c:pt>
                <c:pt idx="311">
                  <c:v>3.0965220000000002E-2</c:v>
                </c:pt>
                <c:pt idx="312">
                  <c:v>2.9715659999999994E-2</c:v>
                </c:pt>
                <c:pt idx="313">
                  <c:v>2.8505880000000001E-2</c:v>
                </c:pt>
                <c:pt idx="314">
                  <c:v>2.73663E-2</c:v>
                </c:pt>
                <c:pt idx="315">
                  <c:v>2.6156519999999999E-2</c:v>
                </c:pt>
                <c:pt idx="316">
                  <c:v>2.4897599999999999E-2</c:v>
                </c:pt>
                <c:pt idx="317">
                  <c:v>2.3762699999999998E-2</c:v>
                </c:pt>
                <c:pt idx="318">
                  <c:v>2.2679046000000001E-2</c:v>
                </c:pt>
                <c:pt idx="319">
                  <c:v>2.1630959999999998E-2</c:v>
                </c:pt>
                <c:pt idx="320">
                  <c:v>2.0569067999999999E-2</c:v>
                </c:pt>
                <c:pt idx="321">
                  <c:v>1.9557252000000001E-2</c:v>
                </c:pt>
                <c:pt idx="322">
                  <c:v>1.8621953999999996E-2</c:v>
                </c:pt>
                <c:pt idx="323">
                  <c:v>1.7777448000000001E-2</c:v>
                </c:pt>
                <c:pt idx="324">
                  <c:v>1.6953768000000001E-2</c:v>
                </c:pt>
                <c:pt idx="325">
                  <c:v>1.6134533999999999E-2</c:v>
                </c:pt>
                <c:pt idx="326">
                  <c:v>1.5405858000000003E-2</c:v>
                </c:pt>
                <c:pt idx="327">
                  <c:v>1.4772420000000003E-2</c:v>
                </c:pt>
                <c:pt idx="328">
                  <c:v>1.4136408E-2</c:v>
                </c:pt>
                <c:pt idx="329">
                  <c:v>1.3496183999999998E-2</c:v>
                </c:pt>
                <c:pt idx="330">
                  <c:v>1.2868362E-2</c:v>
                </c:pt>
                <c:pt idx="331">
                  <c:v>1.2277511999999999E-2</c:v>
                </c:pt>
                <c:pt idx="332">
                  <c:v>1.1789388E-2</c:v>
                </c:pt>
                <c:pt idx="333">
                  <c:v>1.1344554000000001E-2</c:v>
                </c:pt>
                <c:pt idx="334">
                  <c:v>1.092429E-2</c:v>
                </c:pt>
                <c:pt idx="335">
                  <c:v>1.043757E-2</c:v>
                </c:pt>
                <c:pt idx="336">
                  <c:v>9.9272160000000009E-3</c:v>
                </c:pt>
                <c:pt idx="337">
                  <c:v>9.389016E-3</c:v>
                </c:pt>
                <c:pt idx="338">
                  <c:v>8.8564319999999992E-3</c:v>
                </c:pt>
                <c:pt idx="339">
                  <c:v>8.3568420000000015E-3</c:v>
                </c:pt>
                <c:pt idx="340">
                  <c:v>7.9108379999999999E-3</c:v>
                </c:pt>
                <c:pt idx="341">
                  <c:v>7.4877659999999999E-3</c:v>
                </c:pt>
                <c:pt idx="342">
                  <c:v>7.1231939999999994E-3</c:v>
                </c:pt>
                <c:pt idx="343">
                  <c:v>6.7658760000000005E-3</c:v>
                </c:pt>
                <c:pt idx="344">
                  <c:v>6.4186200000000007E-3</c:v>
                </c:pt>
                <c:pt idx="345">
                  <c:v>6.0594300000000002E-3</c:v>
                </c:pt>
                <c:pt idx="346">
                  <c:v>5.7173220000000004E-3</c:v>
                </c:pt>
                <c:pt idx="347">
                  <c:v>5.3815319999999996E-3</c:v>
                </c:pt>
                <c:pt idx="348">
                  <c:v>5.0770980000000004E-3</c:v>
                </c:pt>
                <c:pt idx="349">
                  <c:v>4.8124439999999999E-3</c:v>
                </c:pt>
                <c:pt idx="350">
                  <c:v>4.5863999999999992E-3</c:v>
                </c:pt>
                <c:pt idx="351">
                  <c:v>4.376268E-3</c:v>
                </c:pt>
                <c:pt idx="352">
                  <c:v>4.1509260000000001E-3</c:v>
                </c:pt>
                <c:pt idx="353">
                  <c:v>3.9033539999999999E-3</c:v>
                </c:pt>
                <c:pt idx="354">
                  <c:v>3.6543779999999998E-3</c:v>
                </c:pt>
                <c:pt idx="355">
                  <c:v>3.4367580000000003E-3</c:v>
                </c:pt>
                <c:pt idx="356">
                  <c:v>3.2434740000000001E-3</c:v>
                </c:pt>
                <c:pt idx="357">
                  <c:v>3.0590819999999999E-3</c:v>
                </c:pt>
                <c:pt idx="358">
                  <c:v>2.8835819999999996E-3</c:v>
                </c:pt>
                <c:pt idx="359">
                  <c:v>2.7349920000000003E-3</c:v>
                </c:pt>
                <c:pt idx="360">
                  <c:v>2.619162E-3</c:v>
                </c:pt>
                <c:pt idx="361">
                  <c:v>2.5206479999999999E-3</c:v>
                </c:pt>
                <c:pt idx="362">
                  <c:v>2.4092639999999999E-3</c:v>
                </c:pt>
                <c:pt idx="363">
                  <c:v>2.2856652000000002E-3</c:v>
                </c:pt>
                <c:pt idx="364">
                  <c:v>2.1678929999999997E-3</c:v>
                </c:pt>
                <c:pt idx="365">
                  <c:v>2.0543795999999996E-3</c:v>
                </c:pt>
                <c:pt idx="366">
                  <c:v>1.9545317999999996E-3</c:v>
                </c:pt>
                <c:pt idx="367">
                  <c:v>1.8212453999999999E-3</c:v>
                </c:pt>
                <c:pt idx="368">
                  <c:v>1.7051346000000001E-3</c:v>
                </c:pt>
                <c:pt idx="369">
                  <c:v>1.5813720000000002E-3</c:v>
                </c:pt>
                <c:pt idx="370">
                  <c:v>1.4747147999999999E-3</c:v>
                </c:pt>
                <c:pt idx="371">
                  <c:v>1.3978692E-3</c:v>
                </c:pt>
                <c:pt idx="372">
                  <c:v>1.332279E-3</c:v>
                </c:pt>
                <c:pt idx="373">
                  <c:v>1.3032629999999998E-3</c:v>
                </c:pt>
                <c:pt idx="374">
                  <c:v>1.2617982E-3</c:v>
                </c:pt>
                <c:pt idx="375">
                  <c:v>1.198431E-3</c:v>
                </c:pt>
                <c:pt idx="376">
                  <c:v>1.1173032000000001E-3</c:v>
                </c:pt>
                <c:pt idx="377">
                  <c:v>1.0521809999999999E-3</c:v>
                </c:pt>
                <c:pt idx="378">
                  <c:v>1.0097568000000002E-3</c:v>
                </c:pt>
                <c:pt idx="379">
                  <c:v>9.6597540000000002E-4</c:v>
                </c:pt>
                <c:pt idx="380">
                  <c:v>9.2551680000000009E-4</c:v>
                </c:pt>
                <c:pt idx="381">
                  <c:v>8.7684479999999994E-4</c:v>
                </c:pt>
                <c:pt idx="382">
                  <c:v>8.4153420000000008E-4</c:v>
                </c:pt>
                <c:pt idx="383">
                  <c:v>8.0451540000000003E-4</c:v>
                </c:pt>
                <c:pt idx="384">
                  <c:v>7.5804300000000002E-4</c:v>
                </c:pt>
                <c:pt idx="385">
                  <c:v>7.3103939999999998E-4</c:v>
                </c:pt>
                <c:pt idx="386">
                  <c:v>6.9378660000000004E-4</c:v>
                </c:pt>
                <c:pt idx="387">
                  <c:v>6.5178360000000006E-4</c:v>
                </c:pt>
                <c:pt idx="388">
                  <c:v>6.1946820000000004E-4</c:v>
                </c:pt>
                <c:pt idx="389">
                  <c:v>5.8207499999999993E-4</c:v>
                </c:pt>
                <c:pt idx="390">
                  <c:v>5.6192760000000003E-4</c:v>
                </c:pt>
                <c:pt idx="391">
                  <c:v>5.2919100000000004E-4</c:v>
                </c:pt>
                <c:pt idx="392">
                  <c:v>5.1641459999999997E-4</c:v>
                </c:pt>
                <c:pt idx="393">
                  <c:v>5.1641459999999997E-4</c:v>
                </c:pt>
                <c:pt idx="394">
                  <c:v>3.5999999999999997E-4</c:v>
                </c:pt>
                <c:pt idx="395">
                  <c:v>2.7E-4</c:v>
                </c:pt>
                <c:pt idx="396">
                  <c:v>1.7999999999999998E-4</c:v>
                </c:pt>
                <c:pt idx="397">
                  <c:v>8.9999999999999992E-5</c:v>
                </c:pt>
                <c:pt idx="398">
                  <c:v>0</c:v>
                </c:pt>
                <c:pt idx="399">
                  <c:v>0</c:v>
                </c:pt>
                <c:pt idx="400">
                  <c:v>0</c:v>
                </c:pt>
                <c:pt idx="401">
                  <c:v>0</c:v>
                </c:pt>
                <c:pt idx="402">
                  <c:v>0</c:v>
                </c:pt>
                <c:pt idx="403">
                  <c:v>0</c:v>
                </c:pt>
                <c:pt idx="404">
                  <c:v>0</c:v>
                </c:pt>
                <c:pt idx="405">
                  <c:v>0</c:v>
                </c:pt>
                <c:pt idx="406">
                  <c:v>0</c:v>
                </c:pt>
                <c:pt idx="407">
                  <c:v>0</c:v>
                </c:pt>
                <c:pt idx="408">
                  <c:v>0</c:v>
                </c:pt>
                <c:pt idx="409">
                  <c:v>0</c:v>
                </c:pt>
                <c:pt idx="410">
                  <c:v>0</c:v>
                </c:pt>
                <c:pt idx="411">
                  <c:v>0</c:v>
                </c:pt>
                <c:pt idx="412">
                  <c:v>0</c:v>
                </c:pt>
                <c:pt idx="413">
                  <c:v>0</c:v>
                </c:pt>
                <c:pt idx="414">
                  <c:v>0</c:v>
                </c:pt>
                <c:pt idx="415">
                  <c:v>0</c:v>
                </c:pt>
                <c:pt idx="416">
                  <c:v>0</c:v>
                </c:pt>
                <c:pt idx="417">
                  <c:v>0</c:v>
                </c:pt>
                <c:pt idx="418">
                  <c:v>0</c:v>
                </c:pt>
                <c:pt idx="419">
                  <c:v>0</c:v>
                </c:pt>
                <c:pt idx="420">
                  <c:v>0</c:v>
                </c:pt>
                <c:pt idx="421">
                  <c:v>0</c:v>
                </c:pt>
                <c:pt idx="422">
                  <c:v>0</c:v>
                </c:pt>
                <c:pt idx="423">
                  <c:v>0</c:v>
                </c:pt>
                <c:pt idx="424">
                  <c:v>0</c:v>
                </c:pt>
                <c:pt idx="425">
                  <c:v>0</c:v>
                </c:pt>
                <c:pt idx="426">
                  <c:v>0</c:v>
                </c:pt>
                <c:pt idx="427">
                  <c:v>0</c:v>
                </c:pt>
                <c:pt idx="428">
                  <c:v>0</c:v>
                </c:pt>
                <c:pt idx="429">
                  <c:v>0</c:v>
                </c:pt>
                <c:pt idx="430">
                  <c:v>0</c:v>
                </c:pt>
                <c:pt idx="431">
                  <c:v>0</c:v>
                </c:pt>
                <c:pt idx="432">
                  <c:v>0</c:v>
                </c:pt>
                <c:pt idx="433">
                  <c:v>0</c:v>
                </c:pt>
                <c:pt idx="434">
                  <c:v>0</c:v>
                </c:pt>
                <c:pt idx="435">
                  <c:v>0</c:v>
                </c:pt>
                <c:pt idx="436">
                  <c:v>0</c:v>
                </c:pt>
                <c:pt idx="437">
                  <c:v>0</c:v>
                </c:pt>
                <c:pt idx="438">
                  <c:v>0</c:v>
                </c:pt>
                <c:pt idx="439">
                  <c:v>0</c:v>
                </c:pt>
                <c:pt idx="440">
                  <c:v>0</c:v>
                </c:pt>
                <c:pt idx="441">
                  <c:v>0</c:v>
                </c:pt>
                <c:pt idx="442">
                  <c:v>0</c:v>
                </c:pt>
                <c:pt idx="443">
                  <c:v>0</c:v>
                </c:pt>
                <c:pt idx="444">
                  <c:v>0</c:v>
                </c:pt>
                <c:pt idx="445">
                  <c:v>0</c:v>
                </c:pt>
                <c:pt idx="446">
                  <c:v>0</c:v>
                </c:pt>
                <c:pt idx="447">
                  <c:v>0</c:v>
                </c:pt>
                <c:pt idx="448">
                  <c:v>0</c:v>
                </c:pt>
                <c:pt idx="449">
                  <c:v>0</c:v>
                </c:pt>
                <c:pt idx="450">
                  <c:v>0</c:v>
                </c:pt>
                <c:pt idx="451">
                  <c:v>0</c:v>
                </c:pt>
                <c:pt idx="452">
                  <c:v>0</c:v>
                </c:pt>
                <c:pt idx="453">
                  <c:v>0</c:v>
                </c:pt>
                <c:pt idx="454">
                  <c:v>0</c:v>
                </c:pt>
                <c:pt idx="455">
                  <c:v>0</c:v>
                </c:pt>
                <c:pt idx="456">
                  <c:v>0</c:v>
                </c:pt>
                <c:pt idx="457">
                  <c:v>0</c:v>
                </c:pt>
                <c:pt idx="458">
                  <c:v>0</c:v>
                </c:pt>
                <c:pt idx="459">
                  <c:v>0</c:v>
                </c:pt>
                <c:pt idx="460">
                  <c:v>0</c:v>
                </c:pt>
                <c:pt idx="461">
                  <c:v>0</c:v>
                </c:pt>
                <c:pt idx="462">
                  <c:v>0</c:v>
                </c:pt>
                <c:pt idx="463">
                  <c:v>0</c:v>
                </c:pt>
                <c:pt idx="464">
                  <c:v>0</c:v>
                </c:pt>
                <c:pt idx="465">
                  <c:v>0</c:v>
                </c:pt>
                <c:pt idx="466">
                  <c:v>0</c:v>
                </c:pt>
                <c:pt idx="467">
                  <c:v>0</c:v>
                </c:pt>
                <c:pt idx="468">
                  <c:v>0</c:v>
                </c:pt>
                <c:pt idx="469">
                  <c:v>0</c:v>
                </c:pt>
                <c:pt idx="470">
                  <c:v>0</c:v>
                </c:pt>
                <c:pt idx="471">
                  <c:v>0</c:v>
                </c:pt>
                <c:pt idx="472">
                  <c:v>0</c:v>
                </c:pt>
                <c:pt idx="473">
                  <c:v>0</c:v>
                </c:pt>
                <c:pt idx="474">
                  <c:v>0</c:v>
                </c:pt>
                <c:pt idx="475">
                  <c:v>0</c:v>
                </c:pt>
                <c:pt idx="476">
                  <c:v>0</c:v>
                </c:pt>
                <c:pt idx="477">
                  <c:v>0</c:v>
                </c:pt>
                <c:pt idx="478">
                  <c:v>0</c:v>
                </c:pt>
                <c:pt idx="479">
                  <c:v>0</c:v>
                </c:pt>
                <c:pt idx="480">
                  <c:v>0</c:v>
                </c:pt>
                <c:pt idx="481">
                  <c:v>0</c:v>
                </c:pt>
                <c:pt idx="482">
                  <c:v>0</c:v>
                </c:pt>
                <c:pt idx="483">
                  <c:v>0</c:v>
                </c:pt>
                <c:pt idx="484">
                  <c:v>0</c:v>
                </c:pt>
                <c:pt idx="485">
                  <c:v>0</c:v>
                </c:pt>
                <c:pt idx="486">
                  <c:v>0</c:v>
                </c:pt>
                <c:pt idx="487">
                  <c:v>0</c:v>
                </c:pt>
                <c:pt idx="488">
                  <c:v>0</c:v>
                </c:pt>
                <c:pt idx="489">
                  <c:v>0</c:v>
                </c:pt>
                <c:pt idx="490">
                  <c:v>0</c:v>
                </c:pt>
                <c:pt idx="491">
                  <c:v>0</c:v>
                </c:pt>
                <c:pt idx="492">
                  <c:v>0</c:v>
                </c:pt>
                <c:pt idx="493">
                  <c:v>0</c:v>
                </c:pt>
                <c:pt idx="494">
                  <c:v>0</c:v>
                </c:pt>
                <c:pt idx="495">
                  <c:v>0</c:v>
                </c:pt>
                <c:pt idx="496">
                  <c:v>0</c:v>
                </c:pt>
                <c:pt idx="497">
                  <c:v>0</c:v>
                </c:pt>
                <c:pt idx="498">
                  <c:v>0</c:v>
                </c:pt>
                <c:pt idx="499">
                  <c:v>0</c:v>
                </c:pt>
                <c:pt idx="500">
                  <c:v>0</c:v>
                </c:pt>
                <c:pt idx="501">
                  <c:v>0</c:v>
                </c:pt>
                <c:pt idx="502">
                  <c:v>0</c:v>
                </c:pt>
                <c:pt idx="503">
                  <c:v>0</c:v>
                </c:pt>
                <c:pt idx="504">
                  <c:v>0</c:v>
                </c:pt>
                <c:pt idx="505">
                  <c:v>0</c:v>
                </c:pt>
                <c:pt idx="506">
                  <c:v>0</c:v>
                </c:pt>
                <c:pt idx="507">
                  <c:v>0</c:v>
                </c:pt>
                <c:pt idx="508">
                  <c:v>0</c:v>
                </c:pt>
                <c:pt idx="509">
                  <c:v>0</c:v>
                </c:pt>
                <c:pt idx="510">
                  <c:v>0</c:v>
                </c:pt>
                <c:pt idx="511">
                  <c:v>0</c:v>
                </c:pt>
                <c:pt idx="512">
                  <c:v>0</c:v>
                </c:pt>
                <c:pt idx="513">
                  <c:v>0</c:v>
                </c:pt>
                <c:pt idx="514">
                  <c:v>0</c:v>
                </c:pt>
                <c:pt idx="515">
                  <c:v>0</c:v>
                </c:pt>
                <c:pt idx="516">
                  <c:v>0</c:v>
                </c:pt>
                <c:pt idx="517">
                  <c:v>0</c:v>
                </c:pt>
                <c:pt idx="518">
                  <c:v>0</c:v>
                </c:pt>
                <c:pt idx="519">
                  <c:v>0</c:v>
                </c:pt>
                <c:pt idx="520">
                  <c:v>0</c:v>
                </c:pt>
                <c:pt idx="521">
                  <c:v>0</c:v>
                </c:pt>
                <c:pt idx="522">
                  <c:v>0</c:v>
                </c:pt>
                <c:pt idx="523">
                  <c:v>0</c:v>
                </c:pt>
                <c:pt idx="524">
                  <c:v>0</c:v>
                </c:pt>
                <c:pt idx="525">
                  <c:v>0</c:v>
                </c:pt>
                <c:pt idx="526">
                  <c:v>0</c:v>
                </c:pt>
                <c:pt idx="527">
                  <c:v>0</c:v>
                </c:pt>
                <c:pt idx="528">
                  <c:v>0</c:v>
                </c:pt>
                <c:pt idx="529">
                  <c:v>0</c:v>
                </c:pt>
                <c:pt idx="530">
                  <c:v>0</c:v>
                </c:pt>
                <c:pt idx="531">
                  <c:v>0</c:v>
                </c:pt>
                <c:pt idx="532">
                  <c:v>0</c:v>
                </c:pt>
                <c:pt idx="533">
                  <c:v>0</c:v>
                </c:pt>
                <c:pt idx="534">
                  <c:v>0</c:v>
                </c:pt>
                <c:pt idx="535">
                  <c:v>0</c:v>
                </c:pt>
                <c:pt idx="536">
                  <c:v>0</c:v>
                </c:pt>
                <c:pt idx="537">
                  <c:v>0</c:v>
                </c:pt>
                <c:pt idx="538">
                  <c:v>0</c:v>
                </c:pt>
                <c:pt idx="539">
                  <c:v>0</c:v>
                </c:pt>
                <c:pt idx="540">
                  <c:v>0</c:v>
                </c:pt>
                <c:pt idx="541">
                  <c:v>0</c:v>
                </c:pt>
                <c:pt idx="542">
                  <c:v>0</c:v>
                </c:pt>
                <c:pt idx="543">
                  <c:v>0</c:v>
                </c:pt>
                <c:pt idx="544">
                  <c:v>0</c:v>
                </c:pt>
                <c:pt idx="545">
                  <c:v>0</c:v>
                </c:pt>
                <c:pt idx="546">
                  <c:v>0</c:v>
                </c:pt>
                <c:pt idx="547">
                  <c:v>0</c:v>
                </c:pt>
                <c:pt idx="548">
                  <c:v>0</c:v>
                </c:pt>
                <c:pt idx="549">
                  <c:v>0</c:v>
                </c:pt>
                <c:pt idx="550">
                  <c:v>0</c:v>
                </c:pt>
                <c:pt idx="551">
                  <c:v>0</c:v>
                </c:pt>
                <c:pt idx="552">
                  <c:v>0</c:v>
                </c:pt>
                <c:pt idx="553">
                  <c:v>0</c:v>
                </c:pt>
                <c:pt idx="554">
                  <c:v>0</c:v>
                </c:pt>
                <c:pt idx="555">
                  <c:v>0</c:v>
                </c:pt>
                <c:pt idx="556">
                  <c:v>0</c:v>
                </c:pt>
                <c:pt idx="557">
                  <c:v>0</c:v>
                </c:pt>
                <c:pt idx="558">
                  <c:v>0</c:v>
                </c:pt>
                <c:pt idx="559">
                  <c:v>0</c:v>
                </c:pt>
                <c:pt idx="560">
                  <c:v>0</c:v>
                </c:pt>
                <c:pt idx="561">
                  <c:v>0</c:v>
                </c:pt>
                <c:pt idx="562">
                  <c:v>0</c:v>
                </c:pt>
                <c:pt idx="563">
                  <c:v>0</c:v>
                </c:pt>
                <c:pt idx="564">
                  <c:v>0</c:v>
                </c:pt>
                <c:pt idx="565">
                  <c:v>0</c:v>
                </c:pt>
                <c:pt idx="566">
                  <c:v>0</c:v>
                </c:pt>
                <c:pt idx="567">
                  <c:v>0</c:v>
                </c:pt>
                <c:pt idx="568">
                  <c:v>0</c:v>
                </c:pt>
                <c:pt idx="569">
                  <c:v>0</c:v>
                </c:pt>
                <c:pt idx="570">
                  <c:v>0</c:v>
                </c:pt>
                <c:pt idx="571">
                  <c:v>0</c:v>
                </c:pt>
                <c:pt idx="572">
                  <c:v>0</c:v>
                </c:pt>
                <c:pt idx="573">
                  <c:v>0</c:v>
                </c:pt>
                <c:pt idx="574">
                  <c:v>0</c:v>
                </c:pt>
                <c:pt idx="575">
                  <c:v>0</c:v>
                </c:pt>
                <c:pt idx="576">
                  <c:v>0</c:v>
                </c:pt>
                <c:pt idx="577">
                  <c:v>0</c:v>
                </c:pt>
                <c:pt idx="578">
                  <c:v>0</c:v>
                </c:pt>
                <c:pt idx="579">
                  <c:v>0</c:v>
                </c:pt>
                <c:pt idx="580">
                  <c:v>0</c:v>
                </c:pt>
                <c:pt idx="581">
                  <c:v>0</c:v>
                </c:pt>
                <c:pt idx="582">
                  <c:v>0</c:v>
                </c:pt>
                <c:pt idx="583">
                  <c:v>0</c:v>
                </c:pt>
                <c:pt idx="584">
                  <c:v>0</c:v>
                </c:pt>
                <c:pt idx="585">
                  <c:v>0</c:v>
                </c:pt>
                <c:pt idx="586">
                  <c:v>0</c:v>
                </c:pt>
                <c:pt idx="587">
                  <c:v>0</c:v>
                </c:pt>
                <c:pt idx="588">
                  <c:v>0</c:v>
                </c:pt>
                <c:pt idx="589">
                  <c:v>0</c:v>
                </c:pt>
                <c:pt idx="590">
                  <c:v>0</c:v>
                </c:pt>
                <c:pt idx="591">
                  <c:v>0</c:v>
                </c:pt>
                <c:pt idx="592">
                  <c:v>0</c:v>
                </c:pt>
                <c:pt idx="593">
                  <c:v>0</c:v>
                </c:pt>
                <c:pt idx="594">
                  <c:v>0</c:v>
                </c:pt>
                <c:pt idx="595">
                  <c:v>0</c:v>
                </c:pt>
                <c:pt idx="596">
                  <c:v>0</c:v>
                </c:pt>
                <c:pt idx="597">
                  <c:v>0</c:v>
                </c:pt>
                <c:pt idx="598">
                  <c:v>0</c:v>
                </c:pt>
                <c:pt idx="599">
                  <c:v>0</c:v>
                </c:pt>
                <c:pt idx="600">
                  <c:v>0</c:v>
                </c:pt>
                <c:pt idx="601">
                  <c:v>0</c:v>
                </c:pt>
                <c:pt idx="602">
                  <c:v>0</c:v>
                </c:pt>
                <c:pt idx="603">
                  <c:v>0</c:v>
                </c:pt>
                <c:pt idx="604">
                  <c:v>0</c:v>
                </c:pt>
                <c:pt idx="605">
                  <c:v>0</c:v>
                </c:pt>
                <c:pt idx="606">
                  <c:v>0</c:v>
                </c:pt>
                <c:pt idx="607">
                  <c:v>0</c:v>
                </c:pt>
                <c:pt idx="608">
                  <c:v>0</c:v>
                </c:pt>
                <c:pt idx="609">
                  <c:v>0</c:v>
                </c:pt>
                <c:pt idx="610">
                  <c:v>0</c:v>
                </c:pt>
                <c:pt idx="611">
                  <c:v>0</c:v>
                </c:pt>
                <c:pt idx="612">
                  <c:v>0</c:v>
                </c:pt>
                <c:pt idx="613">
                  <c:v>0</c:v>
                </c:pt>
                <c:pt idx="614">
                  <c:v>0</c:v>
                </c:pt>
                <c:pt idx="615">
                  <c:v>0</c:v>
                </c:pt>
                <c:pt idx="616">
                  <c:v>0</c:v>
                </c:pt>
                <c:pt idx="617">
                  <c:v>0</c:v>
                </c:pt>
                <c:pt idx="618">
                  <c:v>0</c:v>
                </c:pt>
                <c:pt idx="619">
                  <c:v>0</c:v>
                </c:pt>
                <c:pt idx="620">
                  <c:v>0</c:v>
                </c:pt>
                <c:pt idx="621">
                  <c:v>0</c:v>
                </c:pt>
                <c:pt idx="622">
                  <c:v>0</c:v>
                </c:pt>
                <c:pt idx="623">
                  <c:v>0</c:v>
                </c:pt>
                <c:pt idx="624">
                  <c:v>0</c:v>
                </c:pt>
                <c:pt idx="625">
                  <c:v>0</c:v>
                </c:pt>
                <c:pt idx="626">
                  <c:v>0</c:v>
                </c:pt>
                <c:pt idx="627">
                  <c:v>0</c:v>
                </c:pt>
                <c:pt idx="628">
                  <c:v>0</c:v>
                </c:pt>
                <c:pt idx="629">
                  <c:v>0</c:v>
                </c:pt>
                <c:pt idx="630">
                  <c:v>0</c:v>
                </c:pt>
                <c:pt idx="631">
                  <c:v>0</c:v>
                </c:pt>
                <c:pt idx="632">
                  <c:v>0</c:v>
                </c:pt>
                <c:pt idx="633">
                  <c:v>0</c:v>
                </c:pt>
                <c:pt idx="634">
                  <c:v>0</c:v>
                </c:pt>
                <c:pt idx="635">
                  <c:v>0</c:v>
                </c:pt>
                <c:pt idx="636">
                  <c:v>0</c:v>
                </c:pt>
                <c:pt idx="637">
                  <c:v>0</c:v>
                </c:pt>
                <c:pt idx="638">
                  <c:v>0</c:v>
                </c:pt>
                <c:pt idx="639">
                  <c:v>0</c:v>
                </c:pt>
                <c:pt idx="640">
                  <c:v>0</c:v>
                </c:pt>
                <c:pt idx="641">
                  <c:v>0</c:v>
                </c:pt>
                <c:pt idx="642">
                  <c:v>0</c:v>
                </c:pt>
                <c:pt idx="643">
                  <c:v>0</c:v>
                </c:pt>
                <c:pt idx="644">
                  <c:v>0</c:v>
                </c:pt>
                <c:pt idx="645">
                  <c:v>0</c:v>
                </c:pt>
                <c:pt idx="646">
                  <c:v>0</c:v>
                </c:pt>
                <c:pt idx="647">
                  <c:v>0</c:v>
                </c:pt>
                <c:pt idx="648">
                  <c:v>0</c:v>
                </c:pt>
                <c:pt idx="649">
                  <c:v>0</c:v>
                </c:pt>
                <c:pt idx="650">
                  <c:v>0</c:v>
                </c:pt>
                <c:pt idx="651">
                  <c:v>0</c:v>
                </c:pt>
                <c:pt idx="652">
                  <c:v>0</c:v>
                </c:pt>
                <c:pt idx="653">
                  <c:v>0</c:v>
                </c:pt>
                <c:pt idx="654">
                  <c:v>0</c:v>
                </c:pt>
                <c:pt idx="655">
                  <c:v>0</c:v>
                </c:pt>
                <c:pt idx="656">
                  <c:v>0</c:v>
                </c:pt>
                <c:pt idx="657">
                  <c:v>0</c:v>
                </c:pt>
                <c:pt idx="658">
                  <c:v>0</c:v>
                </c:pt>
                <c:pt idx="659">
                  <c:v>0</c:v>
                </c:pt>
                <c:pt idx="660">
                  <c:v>0</c:v>
                </c:pt>
                <c:pt idx="661">
                  <c:v>0</c:v>
                </c:pt>
                <c:pt idx="662">
                  <c:v>0</c:v>
                </c:pt>
                <c:pt idx="663">
                  <c:v>0</c:v>
                </c:pt>
                <c:pt idx="664">
                  <c:v>0</c:v>
                </c:pt>
                <c:pt idx="665">
                  <c:v>0</c:v>
                </c:pt>
                <c:pt idx="666">
                  <c:v>0</c:v>
                </c:pt>
                <c:pt idx="667">
                  <c:v>0</c:v>
                </c:pt>
                <c:pt idx="668">
                  <c:v>9.1481363999999996E-6</c:v>
                </c:pt>
                <c:pt idx="669">
                  <c:v>4.7892624000000009E-4</c:v>
                </c:pt>
                <c:pt idx="670">
                  <c:v>3.0076963799999999E-4</c:v>
                </c:pt>
                <c:pt idx="671">
                  <c:v>1.1627085599999998E-4</c:v>
                </c:pt>
                <c:pt idx="672">
                  <c:v>0</c:v>
                </c:pt>
                <c:pt idx="673">
                  <c:v>0</c:v>
                </c:pt>
                <c:pt idx="674">
                  <c:v>8.6260980000000005E-5</c:v>
                </c:pt>
                <c:pt idx="675">
                  <c:v>2.1090131399999996E-4</c:v>
                </c:pt>
                <c:pt idx="676">
                  <c:v>3.2599538399999997E-4</c:v>
                </c:pt>
                <c:pt idx="677">
                  <c:v>9.6298488000000002E-4</c:v>
                </c:pt>
                <c:pt idx="678">
                  <c:v>1.7612197199999998E-3</c:v>
                </c:pt>
                <c:pt idx="679">
                  <c:v>2.5718823000000003E-3</c:v>
                </c:pt>
                <c:pt idx="680">
                  <c:v>3.1826012399999997E-3</c:v>
                </c:pt>
                <c:pt idx="681">
                  <c:v>3.7382201999999996E-3</c:v>
                </c:pt>
                <c:pt idx="682">
                  <c:v>4.2767556000000003E-3</c:v>
                </c:pt>
                <c:pt idx="683">
                  <c:v>4.8900774000000006E-3</c:v>
                </c:pt>
                <c:pt idx="684">
                  <c:v>5.1422981999999992E-3</c:v>
                </c:pt>
                <c:pt idx="685">
                  <c:v>5.4447432000000002E-3</c:v>
                </c:pt>
                <c:pt idx="686">
                  <c:v>6.1676783999999995E-3</c:v>
                </c:pt>
                <c:pt idx="687">
                  <c:v>7.4034870000000003E-3</c:v>
                </c:pt>
                <c:pt idx="688">
                  <c:v>8.9776674000000001E-3</c:v>
                </c:pt>
                <c:pt idx="689">
                  <c:v>1.037478E-2</c:v>
                </c:pt>
                <c:pt idx="690">
                  <c:v>1.13869626E-2</c:v>
                </c:pt>
                <c:pt idx="691">
                  <c:v>1.2436538399999999E-2</c:v>
                </c:pt>
                <c:pt idx="692">
                  <c:v>1.3388965200000002E-2</c:v>
                </c:pt>
                <c:pt idx="693">
                  <c:v>1.47457518E-2</c:v>
                </c:pt>
                <c:pt idx="694">
                  <c:v>1.63899528E-2</c:v>
                </c:pt>
                <c:pt idx="695">
                  <c:v>1.8214520999999997E-2</c:v>
                </c:pt>
                <c:pt idx="696">
                  <c:v>2.0279212199999997E-2</c:v>
                </c:pt>
                <c:pt idx="697">
                  <c:v>2.25462666E-2</c:v>
                </c:pt>
                <c:pt idx="698">
                  <c:v>2.5103301599999996E-2</c:v>
                </c:pt>
                <c:pt idx="699">
                  <c:v>2.7907058399999997E-2</c:v>
                </c:pt>
                <c:pt idx="700">
                  <c:v>3.1119940799999999E-2</c:v>
                </c:pt>
                <c:pt idx="701">
                  <c:v>3.408206879999999E-2</c:v>
                </c:pt>
                <c:pt idx="702">
                  <c:v>3.6788310000000005E-2</c:v>
                </c:pt>
                <c:pt idx="703">
                  <c:v>3.9827424E-2</c:v>
                </c:pt>
                <c:pt idx="704">
                  <c:v>4.3086498000000001E-2</c:v>
                </c:pt>
                <c:pt idx="705">
                  <c:v>4.6741499999999998E-2</c:v>
                </c:pt>
                <c:pt idx="706">
                  <c:v>5.0851086000000004E-2</c:v>
                </c:pt>
                <c:pt idx="707">
                  <c:v>5.5114644000000004E-2</c:v>
                </c:pt>
                <c:pt idx="708">
                  <c:v>6.0203052E-2</c:v>
                </c:pt>
                <c:pt idx="709">
                  <c:v>6.576804E-2</c:v>
                </c:pt>
                <c:pt idx="710">
                  <c:v>7.1593314000000005E-2</c:v>
                </c:pt>
                <c:pt idx="711">
                  <c:v>7.7781522000000006E-2</c:v>
                </c:pt>
                <c:pt idx="712">
                  <c:v>8.4230015999999991E-2</c:v>
                </c:pt>
                <c:pt idx="713">
                  <c:v>9.0528204000000015E-2</c:v>
                </c:pt>
                <c:pt idx="714">
                  <c:v>9.7691568000000006E-2</c:v>
                </c:pt>
                <c:pt idx="715">
                  <c:v>0.10490625599999999</c:v>
                </c:pt>
                <c:pt idx="716">
                  <c:v>0.11260118999999999</c:v>
                </c:pt>
                <c:pt idx="717">
                  <c:v>0.120988998</c:v>
                </c:pt>
                <c:pt idx="718">
                  <c:v>0.13024931399999998</c:v>
                </c:pt>
                <c:pt idx="719">
                  <c:v>0.140638758</c:v>
                </c:pt>
                <c:pt idx="720">
                  <c:v>0.15140946599999999</c:v>
                </c:pt>
                <c:pt idx="721">
                  <c:v>0.16242946199999997</c:v>
                </c:pt>
                <c:pt idx="722">
                  <c:v>0.17398102800000001</c:v>
                </c:pt>
                <c:pt idx="723">
                  <c:v>0.185649906</c:v>
                </c:pt>
                <c:pt idx="724">
                  <c:v>0.19806298199999997</c:v>
                </c:pt>
                <c:pt idx="725">
                  <c:v>0.21111760799999998</c:v>
                </c:pt>
                <c:pt idx="726">
                  <c:v>0.22496409000000001</c:v>
                </c:pt>
                <c:pt idx="727">
                  <c:v>0.23906719200000001</c:v>
                </c:pt>
                <c:pt idx="728">
                  <c:v>0.25367986799999998</c:v>
                </c:pt>
                <c:pt idx="729">
                  <c:v>0.26830354200000001</c:v>
                </c:pt>
                <c:pt idx="730">
                  <c:v>0.283469784</c:v>
                </c:pt>
                <c:pt idx="731">
                  <c:v>0.29976881999999999</c:v>
                </c:pt>
                <c:pt idx="732">
                  <c:v>0.31672406999999997</c:v>
                </c:pt>
                <c:pt idx="733">
                  <c:v>0.33462881399999994</c:v>
                </c:pt>
                <c:pt idx="734">
                  <c:v>0.35188834199999997</c:v>
                </c:pt>
                <c:pt idx="735">
                  <c:v>0.36953279999999999</c:v>
                </c:pt>
                <c:pt idx="736">
                  <c:v>0.38734956000000004</c:v>
                </c:pt>
                <c:pt idx="737">
                  <c:v>0.40571622000000002</c:v>
                </c:pt>
                <c:pt idx="738">
                  <c:v>0.42367962000000003</c:v>
                </c:pt>
                <c:pt idx="739">
                  <c:v>0.44112977999999997</c:v>
                </c:pt>
                <c:pt idx="740">
                  <c:v>0.45931314000000001</c:v>
                </c:pt>
                <c:pt idx="741">
                  <c:v>0.47811972000000014</c:v>
                </c:pt>
                <c:pt idx="742">
                  <c:v>0.49564319999999995</c:v>
                </c:pt>
                <c:pt idx="743">
                  <c:v>0.51217686000000007</c:v>
                </c:pt>
                <c:pt idx="744">
                  <c:v>0.52750073999999991</c:v>
                </c:pt>
                <c:pt idx="745">
                  <c:v>0.54198143999999993</c:v>
                </c:pt>
                <c:pt idx="746">
                  <c:v>0.55444584000000008</c:v>
                </c:pt>
                <c:pt idx="747">
                  <c:v>0.56694690000000003</c:v>
                </c:pt>
                <c:pt idx="748">
                  <c:v>0.57849479999999998</c:v>
                </c:pt>
                <c:pt idx="749">
                  <c:v>0.58817304000000004</c:v>
                </c:pt>
                <c:pt idx="750">
                  <c:v>0.59594496000000008</c:v>
                </c:pt>
                <c:pt idx="751">
                  <c:v>0.60232380000000008</c:v>
                </c:pt>
                <c:pt idx="752">
                  <c:v>0.60631974</c:v>
                </c:pt>
                <c:pt idx="753">
                  <c:v>0.60932586000000011</c:v>
                </c:pt>
                <c:pt idx="754">
                  <c:v>0.61203869999999994</c:v>
                </c:pt>
                <c:pt idx="755">
                  <c:v>0.61178207999999989</c:v>
                </c:pt>
                <c:pt idx="756">
                  <c:v>0.6084093599999999</c:v>
                </c:pt>
                <c:pt idx="757">
                  <c:v>0.60342359999999995</c:v>
                </c:pt>
                <c:pt idx="758">
                  <c:v>0.59715474000000013</c:v>
                </c:pt>
                <c:pt idx="759">
                  <c:v>0.58850298000000001</c:v>
                </c:pt>
                <c:pt idx="760">
                  <c:v>0.57746831999999992</c:v>
                </c:pt>
                <c:pt idx="761">
                  <c:v>0.56544383999999992</c:v>
                </c:pt>
                <c:pt idx="762">
                  <c:v>0.55286945999999992</c:v>
                </c:pt>
                <c:pt idx="763">
                  <c:v>0.53802216000000003</c:v>
                </c:pt>
                <c:pt idx="764">
                  <c:v>0.52185510000000013</c:v>
                </c:pt>
                <c:pt idx="765">
                  <c:v>0.50389169999999994</c:v>
                </c:pt>
                <c:pt idx="766">
                  <c:v>0.48512178000000006</c:v>
                </c:pt>
                <c:pt idx="767">
                  <c:v>0.46554533999999992</c:v>
                </c:pt>
                <c:pt idx="768">
                  <c:v>0.44659211999999998</c:v>
                </c:pt>
                <c:pt idx="769">
                  <c:v>0.42873869999999997</c:v>
                </c:pt>
                <c:pt idx="770">
                  <c:v>0.40978547999999998</c:v>
                </c:pt>
                <c:pt idx="771">
                  <c:v>0.39006239999999998</c:v>
                </c:pt>
                <c:pt idx="772">
                  <c:v>0.37228229999999995</c:v>
                </c:pt>
                <c:pt idx="773">
                  <c:v>0.35530505400000001</c:v>
                </c:pt>
                <c:pt idx="774">
                  <c:v>0.33888503999999997</c:v>
                </c:pt>
                <c:pt idx="775">
                  <c:v>0.32224873199999998</c:v>
                </c:pt>
                <c:pt idx="776">
                  <c:v>0.306396948</c:v>
                </c:pt>
                <c:pt idx="777">
                  <c:v>0.29174394599999998</c:v>
                </c:pt>
                <c:pt idx="778">
                  <c:v>0.27851335199999999</c:v>
                </c:pt>
                <c:pt idx="779">
                  <c:v>0.26560903199999997</c:v>
                </c:pt>
                <c:pt idx="780">
                  <c:v>0.25277436599999997</c:v>
                </c:pt>
                <c:pt idx="781">
                  <c:v>0.24135844200000003</c:v>
                </c:pt>
                <c:pt idx="782">
                  <c:v>0.23143458000000006</c:v>
                </c:pt>
                <c:pt idx="783">
                  <c:v>0.22147039199999999</c:v>
                </c:pt>
                <c:pt idx="784">
                  <c:v>0.21144021599999996</c:v>
                </c:pt>
                <c:pt idx="785">
                  <c:v>0.20160433799999997</c:v>
                </c:pt>
                <c:pt idx="786">
                  <c:v>0.19234768799999999</c:v>
                </c:pt>
                <c:pt idx="787">
                  <c:v>0.18470041199999998</c:v>
                </c:pt>
                <c:pt idx="788">
                  <c:v>0.17773134600000001</c:v>
                </c:pt>
                <c:pt idx="789">
                  <c:v>0.17114720999999999</c:v>
                </c:pt>
                <c:pt idx="790">
                  <c:v>0.16352193000000001</c:v>
                </c:pt>
                <c:pt idx="791">
                  <c:v>0.15552638399999999</c:v>
                </c:pt>
                <c:pt idx="792">
                  <c:v>0.147094584</c:v>
                </c:pt>
                <c:pt idx="793">
                  <c:v>0.138750768</c:v>
                </c:pt>
                <c:pt idx="794">
                  <c:v>0.13092385800000003</c:v>
                </c:pt>
                <c:pt idx="795">
                  <c:v>0.123936462</c:v>
                </c:pt>
                <c:pt idx="796">
                  <c:v>0.117308334</c:v>
                </c:pt>
                <c:pt idx="797">
                  <c:v>0.11159670599999999</c:v>
                </c:pt>
                <c:pt idx="798">
                  <c:v>0.105998724</c:v>
                </c:pt>
                <c:pt idx="799">
                  <c:v>0.10055838000000002</c:v>
                </c:pt>
                <c:pt idx="800">
                  <c:v>9.4931070000000006E-2</c:v>
                </c:pt>
                <c:pt idx="801">
                  <c:v>8.9571377999999993E-2</c:v>
                </c:pt>
                <c:pt idx="802">
                  <c:v>8.4310667999999991E-2</c:v>
                </c:pt>
                <c:pt idx="803">
                  <c:v>7.9541202000000005E-2</c:v>
                </c:pt>
                <c:pt idx="804">
                  <c:v>7.5394955999999999E-2</c:v>
                </c:pt>
                <c:pt idx="805">
                  <c:v>7.185359999999999E-2</c:v>
                </c:pt>
                <c:pt idx="806">
                  <c:v>6.8561531999999994E-2</c:v>
                </c:pt>
                <c:pt idx="807">
                  <c:v>6.5031174000000011E-2</c:v>
                </c:pt>
                <c:pt idx="808">
                  <c:v>6.1152545999999995E-2</c:v>
                </c:pt>
                <c:pt idx="809">
                  <c:v>5.7251921999999997E-2</c:v>
                </c:pt>
                <c:pt idx="810">
                  <c:v>5.3842542E-2</c:v>
                </c:pt>
                <c:pt idx="811">
                  <c:v>5.0814426000000003E-2</c:v>
                </c:pt>
                <c:pt idx="812">
                  <c:v>4.7925617999999996E-2</c:v>
                </c:pt>
                <c:pt idx="813">
                  <c:v>4.5176117999999994E-2</c:v>
                </c:pt>
                <c:pt idx="814">
                  <c:v>4.2848207999999999E-2</c:v>
                </c:pt>
                <c:pt idx="815">
                  <c:v>4.1033538000000001E-2</c:v>
                </c:pt>
                <c:pt idx="816">
                  <c:v>3.9490152000000001E-2</c:v>
                </c:pt>
                <c:pt idx="817">
                  <c:v>3.7745135999999999E-2</c:v>
                </c:pt>
                <c:pt idx="818">
                  <c:v>3.5808754800000002E-2</c:v>
                </c:pt>
                <c:pt idx="819">
                  <c:v>3.3963656999999994E-2</c:v>
                </c:pt>
                <c:pt idx="820">
                  <c:v>3.2185280399999995E-2</c:v>
                </c:pt>
                <c:pt idx="821">
                  <c:v>3.0620998199999996E-2</c:v>
                </c:pt>
                <c:pt idx="822">
                  <c:v>2.8532844599999999E-2</c:v>
                </c:pt>
                <c:pt idx="823">
                  <c:v>2.6713775400000001E-2</c:v>
                </c:pt>
                <c:pt idx="824">
                  <c:v>2.4774828000000002E-2</c:v>
                </c:pt>
                <c:pt idx="825">
                  <c:v>2.3103865199999997E-2</c:v>
                </c:pt>
                <c:pt idx="826">
                  <c:v>2.1899950799999998E-2</c:v>
                </c:pt>
                <c:pt idx="827">
                  <c:v>2.0872370999999997E-2</c:v>
                </c:pt>
                <c:pt idx="828">
                  <c:v>2.0417786999999996E-2</c:v>
                </c:pt>
                <c:pt idx="829">
                  <c:v>1.9768171800000001E-2</c:v>
                </c:pt>
                <c:pt idx="830">
                  <c:v>1.8775419000000002E-2</c:v>
                </c:pt>
                <c:pt idx="831">
                  <c:v>1.7504416799999999E-2</c:v>
                </c:pt>
                <c:pt idx="832">
                  <c:v>1.6484169E-2</c:v>
                </c:pt>
                <c:pt idx="833">
                  <c:v>1.5819523200000001E-2</c:v>
                </c:pt>
                <c:pt idx="834">
                  <c:v>1.5133614599999999E-2</c:v>
                </c:pt>
                <c:pt idx="835">
                  <c:v>1.44997632E-2</c:v>
                </c:pt>
                <c:pt idx="836">
                  <c:v>1.37372352E-2</c:v>
                </c:pt>
                <c:pt idx="837">
                  <c:v>1.31840358E-2</c:v>
                </c:pt>
                <c:pt idx="838">
                  <c:v>1.2604074600000001E-2</c:v>
                </c:pt>
                <c:pt idx="839">
                  <c:v>1.1876007000000001E-2</c:v>
                </c:pt>
                <c:pt idx="840">
                  <c:v>1.1452950599999999E-2</c:v>
                </c:pt>
                <c:pt idx="841">
                  <c:v>1.08693234E-2</c:v>
                </c:pt>
                <c:pt idx="842">
                  <c:v>1.02112764E-2</c:v>
                </c:pt>
                <c:pt idx="843">
                  <c:v>9.7050017999999998E-3</c:v>
                </c:pt>
                <c:pt idx="844">
                  <c:v>9.1191749999999985E-3</c:v>
                </c:pt>
                <c:pt idx="845">
                  <c:v>8.8035323999999995E-3</c:v>
                </c:pt>
                <c:pt idx="846">
                  <c:v>8.2906590000000006E-3</c:v>
                </c:pt>
                <c:pt idx="847">
                  <c:v>8.0904953999999998E-3</c:v>
                </c:pt>
                <c:pt idx="848">
                  <c:v>8.0904953999999998E-3</c:v>
                </c:pt>
                <c:pt idx="849">
                  <c:v>5.64E-3</c:v>
                </c:pt>
                <c:pt idx="850">
                  <c:v>4.2300000000000003E-3</c:v>
                </c:pt>
                <c:pt idx="851">
                  <c:v>2.82E-3</c:v>
                </c:pt>
                <c:pt idx="852">
                  <c:v>1.41E-3</c:v>
                </c:pt>
                <c:pt idx="853">
                  <c:v>0</c:v>
                </c:pt>
                <c:pt idx="854">
                  <c:v>0</c:v>
                </c:pt>
                <c:pt idx="855">
                  <c:v>0</c:v>
                </c:pt>
                <c:pt idx="856">
                  <c:v>0</c:v>
                </c:pt>
                <c:pt idx="857">
                  <c:v>0</c:v>
                </c:pt>
                <c:pt idx="858">
                  <c:v>0</c:v>
                </c:pt>
                <c:pt idx="859">
                  <c:v>0</c:v>
                </c:pt>
                <c:pt idx="860">
                  <c:v>0</c:v>
                </c:pt>
                <c:pt idx="861">
                  <c:v>0</c:v>
                </c:pt>
                <c:pt idx="862">
                  <c:v>0</c:v>
                </c:pt>
                <c:pt idx="863">
                  <c:v>0</c:v>
                </c:pt>
                <c:pt idx="864">
                  <c:v>0</c:v>
                </c:pt>
                <c:pt idx="865">
                  <c:v>0</c:v>
                </c:pt>
                <c:pt idx="866">
                  <c:v>0</c:v>
                </c:pt>
                <c:pt idx="867">
                  <c:v>0</c:v>
                </c:pt>
                <c:pt idx="868">
                  <c:v>0</c:v>
                </c:pt>
                <c:pt idx="869">
                  <c:v>0</c:v>
                </c:pt>
                <c:pt idx="870">
                  <c:v>0</c:v>
                </c:pt>
                <c:pt idx="871">
                  <c:v>0</c:v>
                </c:pt>
                <c:pt idx="872">
                  <c:v>0</c:v>
                </c:pt>
                <c:pt idx="873">
                  <c:v>0</c:v>
                </c:pt>
                <c:pt idx="874">
                  <c:v>0</c:v>
                </c:pt>
                <c:pt idx="875">
                  <c:v>0</c:v>
                </c:pt>
                <c:pt idx="876">
                  <c:v>0</c:v>
                </c:pt>
                <c:pt idx="877">
                  <c:v>0</c:v>
                </c:pt>
                <c:pt idx="878">
                  <c:v>0</c:v>
                </c:pt>
                <c:pt idx="879">
                  <c:v>0</c:v>
                </c:pt>
                <c:pt idx="880">
                  <c:v>0</c:v>
                </c:pt>
                <c:pt idx="881">
                  <c:v>0</c:v>
                </c:pt>
                <c:pt idx="882">
                  <c:v>0</c:v>
                </c:pt>
                <c:pt idx="883">
                  <c:v>0</c:v>
                </c:pt>
                <c:pt idx="884">
                  <c:v>0</c:v>
                </c:pt>
                <c:pt idx="885">
                  <c:v>0</c:v>
                </c:pt>
                <c:pt idx="886">
                  <c:v>0</c:v>
                </c:pt>
                <c:pt idx="887">
                  <c:v>0</c:v>
                </c:pt>
                <c:pt idx="888">
                  <c:v>0</c:v>
                </c:pt>
                <c:pt idx="889">
                  <c:v>0</c:v>
                </c:pt>
                <c:pt idx="890">
                  <c:v>0</c:v>
                </c:pt>
                <c:pt idx="891">
                  <c:v>0</c:v>
                </c:pt>
                <c:pt idx="892">
                  <c:v>0</c:v>
                </c:pt>
                <c:pt idx="893">
                  <c:v>0</c:v>
                </c:pt>
                <c:pt idx="894">
                  <c:v>0</c:v>
                </c:pt>
                <c:pt idx="895">
                  <c:v>0</c:v>
                </c:pt>
                <c:pt idx="896">
                  <c:v>0</c:v>
                </c:pt>
                <c:pt idx="897">
                  <c:v>0</c:v>
                </c:pt>
                <c:pt idx="898">
                  <c:v>0</c:v>
                </c:pt>
                <c:pt idx="899">
                  <c:v>0</c:v>
                </c:pt>
                <c:pt idx="900">
                  <c:v>0</c:v>
                </c:pt>
              </c:numCache>
            </c:numRef>
          </c:val>
          <c:smooth val="0"/>
          <c:extLst>
            <c:ext xmlns:c16="http://schemas.microsoft.com/office/drawing/2014/chart" uri="{C3380CC4-5D6E-409C-BE32-E72D297353CC}">
              <c16:uniqueId val="{00000000-E4EB-2941-9528-8E8AB49986CB}"/>
            </c:ext>
          </c:extLst>
        </c:ser>
        <c:dLbls>
          <c:showLegendKey val="0"/>
          <c:showVal val="0"/>
          <c:showCatName val="0"/>
          <c:showSerName val="0"/>
          <c:showPercent val="0"/>
          <c:showBubbleSize val="0"/>
        </c:dLbls>
        <c:smooth val="0"/>
        <c:axId val="1101955759"/>
        <c:axId val="1182404623"/>
      </c:lineChart>
      <c:catAx>
        <c:axId val="1101955759"/>
        <c:scaling>
          <c:orientation val="minMax"/>
        </c:scaling>
        <c:delete val="0"/>
        <c:axPos val="b"/>
        <c:numFmt formatCode="General" sourceLinked="1"/>
        <c:majorTickMark val="none"/>
        <c:minorTickMark val="none"/>
        <c:tickLblPos val="nextTo"/>
        <c:spPr>
          <a:noFill/>
          <a:ln w="9525" cap="flat" cmpd="sng" algn="ctr">
            <a:solidFill>
              <a:schemeClr val="tx1"/>
            </a:solidFill>
            <a:round/>
          </a:ln>
          <a:effectLst/>
        </c:spPr>
        <c:txPr>
          <a:bodyPr rot="-60000000" spcFirstLastPara="1" vertOverflow="ellipsis" vert="horz" wrap="square" anchor="ctr" anchorCtr="1"/>
          <a:lstStyle/>
          <a:p>
            <a:pPr>
              <a:defRPr sz="900" b="1" i="0" u="none" strike="noStrike" kern="1200" baseline="0">
                <a:solidFill>
                  <a:schemeClr val="tx1"/>
                </a:solidFill>
                <a:latin typeface="Arial" panose="020B0604020202020204" pitchFamily="34" charset="0"/>
                <a:ea typeface="+mn-ea"/>
                <a:cs typeface="Arial" panose="020B0604020202020204" pitchFamily="34" charset="0"/>
              </a:defRPr>
            </a:pPr>
            <a:endParaRPr lang="en-US"/>
          </a:p>
        </c:txPr>
        <c:crossAx val="1182404623"/>
        <c:crosses val="autoZero"/>
        <c:auto val="0"/>
        <c:lblAlgn val="ctr"/>
        <c:lblOffset val="100"/>
        <c:tickLblSkip val="100"/>
        <c:tickMarkSkip val="1"/>
        <c:noMultiLvlLbl val="0"/>
      </c:catAx>
      <c:valAx>
        <c:axId val="1182404623"/>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000" b="1" i="0" u="none" strike="noStrike" kern="1200" baseline="0">
                    <a:solidFill>
                      <a:schemeClr val="tx1"/>
                    </a:solidFill>
                    <a:latin typeface="Arial" panose="020B0604020202020204" pitchFamily="34" charset="0"/>
                    <a:ea typeface="+mn-ea"/>
                    <a:cs typeface="Arial" panose="020B0604020202020204" pitchFamily="34" charset="0"/>
                  </a:defRPr>
                </a:pPr>
                <a:r>
                  <a:rPr lang="en-US" b="1"/>
                  <a:t>Intensity (µmols</a:t>
                </a:r>
                <a:r>
                  <a:rPr lang="en-US" b="1" baseline="0"/>
                  <a:t> </a:t>
                </a:r>
                <a:r>
                  <a:rPr lang="en-US" b="1" baseline="30000"/>
                  <a:t>.</a:t>
                </a:r>
                <a:r>
                  <a:rPr lang="en-US" b="1" baseline="0"/>
                  <a:t> </a:t>
                </a:r>
                <a:r>
                  <a:rPr lang="en-US" b="1"/>
                  <a:t>m-</a:t>
                </a:r>
                <a:r>
                  <a:rPr lang="en-US" b="1" baseline="30000"/>
                  <a:t>2</a:t>
                </a:r>
                <a:r>
                  <a:rPr lang="en-US" sz="1000" b="1" i="0" u="none" strike="noStrike" baseline="30000">
                    <a:effectLst/>
                  </a:rPr>
                  <a:t> .</a:t>
                </a:r>
                <a:r>
                  <a:rPr lang="en-US" sz="1000" b="1" i="0" u="none" strike="noStrike" baseline="0">
                    <a:effectLst/>
                  </a:rPr>
                  <a:t> </a:t>
                </a:r>
                <a:r>
                  <a:rPr lang="en-US" b="1"/>
                  <a:t>sec</a:t>
                </a:r>
                <a:r>
                  <a:rPr lang="en-US" b="1" baseline="30000"/>
                  <a:t>-1</a:t>
                </a:r>
                <a:r>
                  <a:rPr lang="en-US" b="1"/>
                  <a:t>)</a:t>
                </a:r>
              </a:p>
            </c:rich>
          </c:tx>
          <c:overlay val="0"/>
          <c:spPr>
            <a:noFill/>
            <a:ln>
              <a:noFill/>
            </a:ln>
            <a:effectLst/>
          </c:spPr>
          <c:txPr>
            <a:bodyPr rot="-5400000" spcFirstLastPara="1" vertOverflow="ellipsis" vert="horz" wrap="square" anchor="ctr" anchorCtr="1"/>
            <a:lstStyle/>
            <a:p>
              <a:pPr>
                <a:defRPr sz="1000" b="1" i="0" u="none" strike="noStrike" kern="1200" baseline="0">
                  <a:solidFill>
                    <a:schemeClr val="tx1"/>
                  </a:solidFill>
                  <a:latin typeface="Arial" panose="020B0604020202020204" pitchFamily="34" charset="0"/>
                  <a:ea typeface="+mn-ea"/>
                  <a:cs typeface="Arial" panose="020B0604020202020204" pitchFamily="34" charset="0"/>
                </a:defRPr>
              </a:pPr>
              <a:endParaRPr lang="en-US"/>
            </a:p>
          </c:txPr>
        </c:title>
        <c:numFmt formatCode="General" sourceLinked="0"/>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solidFill>
                <a:latin typeface="Arial" panose="020B0604020202020204" pitchFamily="34" charset="0"/>
                <a:ea typeface="+mn-ea"/>
                <a:cs typeface="Arial" panose="020B0604020202020204" pitchFamily="34" charset="0"/>
              </a:defRPr>
            </a:pPr>
            <a:endParaRPr lang="en-US"/>
          </a:p>
        </c:txPr>
        <c:crossAx val="1101955759"/>
        <c:crosses val="autoZero"/>
        <c:crossBetween val="between"/>
      </c:valAx>
      <c:spPr>
        <a:noFill/>
        <a:ln>
          <a:noFill/>
        </a:ln>
        <a:effectLst/>
      </c:spPr>
    </c:plotArea>
    <c:legend>
      <c:legendPos val="b"/>
      <c:legendEntry>
        <c:idx val="0"/>
        <c:txPr>
          <a:bodyPr rot="0" spcFirstLastPara="1" vertOverflow="ellipsis" vert="horz" wrap="square" anchor="ctr" anchorCtr="1"/>
          <a:lstStyle/>
          <a:p>
            <a:pPr>
              <a:defRPr sz="1000" b="0" i="0" u="none" strike="noStrike" kern="1200" baseline="0">
                <a:solidFill>
                  <a:schemeClr val="tx1"/>
                </a:solidFill>
                <a:latin typeface="Arial" panose="020B0604020202020204" pitchFamily="34" charset="0"/>
                <a:ea typeface="+mn-ea"/>
                <a:cs typeface="Arial" panose="020B0604020202020204" pitchFamily="34" charset="0"/>
              </a:defRPr>
            </a:pPr>
            <a:endParaRPr lang="en-US"/>
          </a:p>
        </c:txPr>
      </c:legendEntry>
      <c:layout>
        <c:manualLayout>
          <c:xMode val="edge"/>
          <c:yMode val="edge"/>
          <c:x val="0.68856416986338242"/>
          <c:y val="0.93467753652827823"/>
          <c:w val="0.30235883976041456"/>
          <c:h val="5.2917439436987727E-2"/>
        </c:manualLayout>
      </c:layout>
      <c:overlay val="0"/>
      <c:spPr>
        <a:noFill/>
        <a:ln>
          <a:solidFill>
            <a:schemeClr val="tx1"/>
          </a:solidFill>
        </a:ln>
        <a:effectLst/>
      </c:spPr>
      <c:txPr>
        <a:bodyPr rot="0" spcFirstLastPara="1" vertOverflow="ellipsis" vert="horz" wrap="square" anchor="ctr" anchorCtr="1"/>
        <a:lstStyle/>
        <a:p>
          <a:pPr>
            <a:defRPr sz="1000" b="0" i="0" u="none" strike="noStrike" kern="1200" baseline="0">
              <a:solidFill>
                <a:schemeClr val="tx1"/>
              </a:solidFill>
              <a:latin typeface="Arial" panose="020B0604020202020204" pitchFamily="34" charset="0"/>
              <a:ea typeface="+mn-ea"/>
              <a:cs typeface="Arial" panose="020B0604020202020204" pitchFamily="34" charset="0"/>
            </a:defRPr>
          </a:pPr>
          <a:endParaRPr lang="en-US"/>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solidFill>
      <a:round/>
    </a:ln>
    <a:effectLst/>
  </c:spPr>
  <c:txPr>
    <a:bodyPr/>
    <a:lstStyle/>
    <a:p>
      <a:pPr>
        <a:defRPr>
          <a:solidFill>
            <a:schemeClr val="tx1"/>
          </a:solidFill>
          <a:latin typeface="Arial" panose="020B0604020202020204" pitchFamily="34" charset="0"/>
          <a:cs typeface="Arial" panose="020B0604020202020204" pitchFamily="34" charset="0"/>
        </a:defRPr>
      </a:pPr>
      <a:endParaRPr lang="en-US"/>
    </a:p>
  </c:txPr>
  <c:externalData r:id="rId3">
    <c:autoUpdate val="0"/>
  </c:externalData>
  <c:userShapes r:id="rId4"/>
</c:chartSpace>
</file>

<file path=word/charts/chart1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lineChart>
        <c:grouping val="standard"/>
        <c:varyColors val="0"/>
        <c:ser>
          <c:idx val="1"/>
          <c:order val="0"/>
          <c:tx>
            <c:strRef>
              <c:f>'T2 (8)'!$B$2</c:f>
              <c:strCache>
                <c:ptCount val="1"/>
                <c:pt idx="0">
                  <c:v>12B/88R</c:v>
                </c:pt>
              </c:strCache>
            </c:strRef>
          </c:tx>
          <c:spPr>
            <a:ln w="28575" cap="rnd">
              <a:solidFill>
                <a:schemeClr val="tx1"/>
              </a:solidFill>
              <a:round/>
            </a:ln>
            <a:effectLst/>
          </c:spPr>
          <c:marker>
            <c:symbol val="none"/>
          </c:marker>
          <c:cat>
            <c:numRef>
              <c:f>'T2 (8)'!$A$113:$A$1013</c:f>
              <c:numCache>
                <c:formatCode>General</c:formatCode>
                <c:ptCount val="901"/>
                <c:pt idx="0">
                  <c:v>300</c:v>
                </c:pt>
                <c:pt idx="1">
                  <c:v>300.5</c:v>
                </c:pt>
                <c:pt idx="2">
                  <c:v>301</c:v>
                </c:pt>
                <c:pt idx="3">
                  <c:v>301.5</c:v>
                </c:pt>
                <c:pt idx="4">
                  <c:v>302</c:v>
                </c:pt>
                <c:pt idx="5">
                  <c:v>302.5</c:v>
                </c:pt>
                <c:pt idx="6">
                  <c:v>303</c:v>
                </c:pt>
                <c:pt idx="7">
                  <c:v>303.5</c:v>
                </c:pt>
                <c:pt idx="8">
                  <c:v>304</c:v>
                </c:pt>
                <c:pt idx="9">
                  <c:v>304.5</c:v>
                </c:pt>
                <c:pt idx="10">
                  <c:v>305</c:v>
                </c:pt>
                <c:pt idx="11">
                  <c:v>305.5</c:v>
                </c:pt>
                <c:pt idx="12">
                  <c:v>306</c:v>
                </c:pt>
                <c:pt idx="13">
                  <c:v>306.5</c:v>
                </c:pt>
                <c:pt idx="14">
                  <c:v>307</c:v>
                </c:pt>
                <c:pt idx="15">
                  <c:v>307.5</c:v>
                </c:pt>
                <c:pt idx="16">
                  <c:v>308</c:v>
                </c:pt>
                <c:pt idx="17">
                  <c:v>308.5</c:v>
                </c:pt>
                <c:pt idx="18">
                  <c:v>309</c:v>
                </c:pt>
                <c:pt idx="19">
                  <c:v>309.5</c:v>
                </c:pt>
                <c:pt idx="20">
                  <c:v>310</c:v>
                </c:pt>
                <c:pt idx="21">
                  <c:v>310.5</c:v>
                </c:pt>
                <c:pt idx="22">
                  <c:v>311</c:v>
                </c:pt>
                <c:pt idx="23">
                  <c:v>311.5</c:v>
                </c:pt>
                <c:pt idx="24">
                  <c:v>312</c:v>
                </c:pt>
                <c:pt idx="25">
                  <c:v>312.5</c:v>
                </c:pt>
                <c:pt idx="26">
                  <c:v>313</c:v>
                </c:pt>
                <c:pt idx="27">
                  <c:v>313.5</c:v>
                </c:pt>
                <c:pt idx="28">
                  <c:v>314</c:v>
                </c:pt>
                <c:pt idx="29">
                  <c:v>314.5</c:v>
                </c:pt>
                <c:pt idx="30">
                  <c:v>315</c:v>
                </c:pt>
                <c:pt idx="31">
                  <c:v>315.5</c:v>
                </c:pt>
                <c:pt idx="32">
                  <c:v>316</c:v>
                </c:pt>
                <c:pt idx="33">
                  <c:v>316.5</c:v>
                </c:pt>
                <c:pt idx="34">
                  <c:v>317</c:v>
                </c:pt>
                <c:pt idx="35">
                  <c:v>317.5</c:v>
                </c:pt>
                <c:pt idx="36">
                  <c:v>318</c:v>
                </c:pt>
                <c:pt idx="37">
                  <c:v>318.5</c:v>
                </c:pt>
                <c:pt idx="38">
                  <c:v>319</c:v>
                </c:pt>
                <c:pt idx="39">
                  <c:v>319.5</c:v>
                </c:pt>
                <c:pt idx="40">
                  <c:v>320</c:v>
                </c:pt>
                <c:pt idx="41">
                  <c:v>320.5</c:v>
                </c:pt>
                <c:pt idx="42">
                  <c:v>321</c:v>
                </c:pt>
                <c:pt idx="43">
                  <c:v>321.5</c:v>
                </c:pt>
                <c:pt idx="44">
                  <c:v>322</c:v>
                </c:pt>
                <c:pt idx="45">
                  <c:v>322.5</c:v>
                </c:pt>
                <c:pt idx="46">
                  <c:v>323</c:v>
                </c:pt>
                <c:pt idx="47">
                  <c:v>323.5</c:v>
                </c:pt>
                <c:pt idx="48">
                  <c:v>324</c:v>
                </c:pt>
                <c:pt idx="49">
                  <c:v>324.5</c:v>
                </c:pt>
                <c:pt idx="50">
                  <c:v>325</c:v>
                </c:pt>
                <c:pt idx="51">
                  <c:v>325.5</c:v>
                </c:pt>
                <c:pt idx="52">
                  <c:v>326</c:v>
                </c:pt>
                <c:pt idx="53">
                  <c:v>326.5</c:v>
                </c:pt>
                <c:pt idx="54">
                  <c:v>327</c:v>
                </c:pt>
                <c:pt idx="55">
                  <c:v>327.5</c:v>
                </c:pt>
                <c:pt idx="56">
                  <c:v>328</c:v>
                </c:pt>
                <c:pt idx="57">
                  <c:v>328.5</c:v>
                </c:pt>
                <c:pt idx="58">
                  <c:v>329</c:v>
                </c:pt>
                <c:pt idx="59">
                  <c:v>329.5</c:v>
                </c:pt>
                <c:pt idx="60">
                  <c:v>330</c:v>
                </c:pt>
                <c:pt idx="61">
                  <c:v>330.5</c:v>
                </c:pt>
                <c:pt idx="62">
                  <c:v>331</c:v>
                </c:pt>
                <c:pt idx="63">
                  <c:v>331.5</c:v>
                </c:pt>
                <c:pt idx="64">
                  <c:v>332</c:v>
                </c:pt>
                <c:pt idx="65">
                  <c:v>332.5</c:v>
                </c:pt>
                <c:pt idx="66">
                  <c:v>333</c:v>
                </c:pt>
                <c:pt idx="67">
                  <c:v>333.5</c:v>
                </c:pt>
                <c:pt idx="68">
                  <c:v>334</c:v>
                </c:pt>
                <c:pt idx="69">
                  <c:v>334.5</c:v>
                </c:pt>
                <c:pt idx="70">
                  <c:v>335</c:v>
                </c:pt>
                <c:pt idx="71">
                  <c:v>335.5</c:v>
                </c:pt>
                <c:pt idx="72">
                  <c:v>336</c:v>
                </c:pt>
                <c:pt idx="73">
                  <c:v>336.5</c:v>
                </c:pt>
                <c:pt idx="74">
                  <c:v>337</c:v>
                </c:pt>
                <c:pt idx="75">
                  <c:v>337.5</c:v>
                </c:pt>
                <c:pt idx="76">
                  <c:v>338</c:v>
                </c:pt>
                <c:pt idx="77">
                  <c:v>338.5</c:v>
                </c:pt>
                <c:pt idx="78">
                  <c:v>339</c:v>
                </c:pt>
                <c:pt idx="79">
                  <c:v>339.5</c:v>
                </c:pt>
                <c:pt idx="80">
                  <c:v>340</c:v>
                </c:pt>
                <c:pt idx="81">
                  <c:v>340.5</c:v>
                </c:pt>
                <c:pt idx="82">
                  <c:v>341</c:v>
                </c:pt>
                <c:pt idx="83">
                  <c:v>341.5</c:v>
                </c:pt>
                <c:pt idx="84">
                  <c:v>342</c:v>
                </c:pt>
                <c:pt idx="85">
                  <c:v>342.5</c:v>
                </c:pt>
                <c:pt idx="86">
                  <c:v>343</c:v>
                </c:pt>
                <c:pt idx="87">
                  <c:v>343.5</c:v>
                </c:pt>
                <c:pt idx="88">
                  <c:v>344</c:v>
                </c:pt>
                <c:pt idx="89">
                  <c:v>344.5</c:v>
                </c:pt>
                <c:pt idx="90">
                  <c:v>345</c:v>
                </c:pt>
                <c:pt idx="91">
                  <c:v>345.5</c:v>
                </c:pt>
                <c:pt idx="92">
                  <c:v>346</c:v>
                </c:pt>
                <c:pt idx="93">
                  <c:v>346.5</c:v>
                </c:pt>
                <c:pt idx="94">
                  <c:v>347</c:v>
                </c:pt>
                <c:pt idx="95">
                  <c:v>347.5</c:v>
                </c:pt>
                <c:pt idx="96">
                  <c:v>348</c:v>
                </c:pt>
                <c:pt idx="97">
                  <c:v>348.5</c:v>
                </c:pt>
                <c:pt idx="98">
                  <c:v>349</c:v>
                </c:pt>
                <c:pt idx="99">
                  <c:v>349.5</c:v>
                </c:pt>
                <c:pt idx="100">
                  <c:v>350</c:v>
                </c:pt>
                <c:pt idx="101">
                  <c:v>350.5</c:v>
                </c:pt>
                <c:pt idx="102">
                  <c:v>351</c:v>
                </c:pt>
                <c:pt idx="103">
                  <c:v>351.5</c:v>
                </c:pt>
                <c:pt idx="104">
                  <c:v>352</c:v>
                </c:pt>
                <c:pt idx="105">
                  <c:v>352.5</c:v>
                </c:pt>
                <c:pt idx="106">
                  <c:v>353</c:v>
                </c:pt>
                <c:pt idx="107">
                  <c:v>353.5</c:v>
                </c:pt>
                <c:pt idx="108">
                  <c:v>354</c:v>
                </c:pt>
                <c:pt idx="109">
                  <c:v>354.5</c:v>
                </c:pt>
                <c:pt idx="110">
                  <c:v>355</c:v>
                </c:pt>
                <c:pt idx="111">
                  <c:v>355.5</c:v>
                </c:pt>
                <c:pt idx="112">
                  <c:v>356</c:v>
                </c:pt>
                <c:pt idx="113">
                  <c:v>356.5</c:v>
                </c:pt>
                <c:pt idx="114">
                  <c:v>357</c:v>
                </c:pt>
                <c:pt idx="115">
                  <c:v>357.5</c:v>
                </c:pt>
                <c:pt idx="116">
                  <c:v>358</c:v>
                </c:pt>
                <c:pt idx="117">
                  <c:v>358.5</c:v>
                </c:pt>
                <c:pt idx="118">
                  <c:v>359</c:v>
                </c:pt>
                <c:pt idx="119">
                  <c:v>359.5</c:v>
                </c:pt>
                <c:pt idx="120">
                  <c:v>360</c:v>
                </c:pt>
                <c:pt idx="121">
                  <c:v>360.5</c:v>
                </c:pt>
                <c:pt idx="122">
                  <c:v>361</c:v>
                </c:pt>
                <c:pt idx="123">
                  <c:v>361.5</c:v>
                </c:pt>
                <c:pt idx="124">
                  <c:v>362</c:v>
                </c:pt>
                <c:pt idx="125">
                  <c:v>362.5</c:v>
                </c:pt>
                <c:pt idx="126">
                  <c:v>363</c:v>
                </c:pt>
                <c:pt idx="127">
                  <c:v>363.5</c:v>
                </c:pt>
                <c:pt idx="128">
                  <c:v>364</c:v>
                </c:pt>
                <c:pt idx="129">
                  <c:v>364.5</c:v>
                </c:pt>
                <c:pt idx="130">
                  <c:v>365</c:v>
                </c:pt>
                <c:pt idx="131">
                  <c:v>365.5</c:v>
                </c:pt>
                <c:pt idx="132">
                  <c:v>366</c:v>
                </c:pt>
                <c:pt idx="133">
                  <c:v>366.5</c:v>
                </c:pt>
                <c:pt idx="134">
                  <c:v>367</c:v>
                </c:pt>
                <c:pt idx="135">
                  <c:v>367.5</c:v>
                </c:pt>
                <c:pt idx="136">
                  <c:v>368</c:v>
                </c:pt>
                <c:pt idx="137">
                  <c:v>368.5</c:v>
                </c:pt>
                <c:pt idx="138">
                  <c:v>369</c:v>
                </c:pt>
                <c:pt idx="139">
                  <c:v>369.5</c:v>
                </c:pt>
                <c:pt idx="140">
                  <c:v>370</c:v>
                </c:pt>
                <c:pt idx="141">
                  <c:v>370.5</c:v>
                </c:pt>
                <c:pt idx="142">
                  <c:v>371</c:v>
                </c:pt>
                <c:pt idx="143">
                  <c:v>371.5</c:v>
                </c:pt>
                <c:pt idx="144">
                  <c:v>372</c:v>
                </c:pt>
                <c:pt idx="145">
                  <c:v>372.5</c:v>
                </c:pt>
                <c:pt idx="146">
                  <c:v>373</c:v>
                </c:pt>
                <c:pt idx="147">
                  <c:v>373.5</c:v>
                </c:pt>
                <c:pt idx="148">
                  <c:v>374</c:v>
                </c:pt>
                <c:pt idx="149">
                  <c:v>374.5</c:v>
                </c:pt>
                <c:pt idx="150">
                  <c:v>375</c:v>
                </c:pt>
                <c:pt idx="151">
                  <c:v>375.5</c:v>
                </c:pt>
                <c:pt idx="152">
                  <c:v>376</c:v>
                </c:pt>
                <c:pt idx="153">
                  <c:v>376.5</c:v>
                </c:pt>
                <c:pt idx="154">
                  <c:v>377</c:v>
                </c:pt>
                <c:pt idx="155">
                  <c:v>377.5</c:v>
                </c:pt>
                <c:pt idx="156">
                  <c:v>378</c:v>
                </c:pt>
                <c:pt idx="157">
                  <c:v>378.5</c:v>
                </c:pt>
                <c:pt idx="158">
                  <c:v>379</c:v>
                </c:pt>
                <c:pt idx="159">
                  <c:v>379.5</c:v>
                </c:pt>
                <c:pt idx="160">
                  <c:v>380</c:v>
                </c:pt>
                <c:pt idx="161">
                  <c:v>380.5</c:v>
                </c:pt>
                <c:pt idx="162">
                  <c:v>381</c:v>
                </c:pt>
                <c:pt idx="163">
                  <c:v>381.5</c:v>
                </c:pt>
                <c:pt idx="164">
                  <c:v>382</c:v>
                </c:pt>
                <c:pt idx="165">
                  <c:v>382.5</c:v>
                </c:pt>
                <c:pt idx="166">
                  <c:v>383</c:v>
                </c:pt>
                <c:pt idx="167">
                  <c:v>383.5</c:v>
                </c:pt>
                <c:pt idx="168">
                  <c:v>384</c:v>
                </c:pt>
                <c:pt idx="169">
                  <c:v>384.5</c:v>
                </c:pt>
                <c:pt idx="170">
                  <c:v>385</c:v>
                </c:pt>
                <c:pt idx="171">
                  <c:v>385.5</c:v>
                </c:pt>
                <c:pt idx="172">
                  <c:v>386</c:v>
                </c:pt>
                <c:pt idx="173">
                  <c:v>386.5</c:v>
                </c:pt>
                <c:pt idx="174">
                  <c:v>387</c:v>
                </c:pt>
                <c:pt idx="175">
                  <c:v>387.5</c:v>
                </c:pt>
                <c:pt idx="176">
                  <c:v>388</c:v>
                </c:pt>
                <c:pt idx="177">
                  <c:v>388.5</c:v>
                </c:pt>
                <c:pt idx="178">
                  <c:v>389</c:v>
                </c:pt>
                <c:pt idx="179">
                  <c:v>389.5</c:v>
                </c:pt>
                <c:pt idx="180">
                  <c:v>390</c:v>
                </c:pt>
                <c:pt idx="181">
                  <c:v>390.5</c:v>
                </c:pt>
                <c:pt idx="182">
                  <c:v>391</c:v>
                </c:pt>
                <c:pt idx="183">
                  <c:v>391.5</c:v>
                </c:pt>
                <c:pt idx="184">
                  <c:v>392</c:v>
                </c:pt>
                <c:pt idx="185">
                  <c:v>392.5</c:v>
                </c:pt>
                <c:pt idx="186">
                  <c:v>393</c:v>
                </c:pt>
                <c:pt idx="187">
                  <c:v>393.5</c:v>
                </c:pt>
                <c:pt idx="188">
                  <c:v>394</c:v>
                </c:pt>
                <c:pt idx="189">
                  <c:v>394.5</c:v>
                </c:pt>
                <c:pt idx="190">
                  <c:v>395</c:v>
                </c:pt>
                <c:pt idx="191">
                  <c:v>395.5</c:v>
                </c:pt>
                <c:pt idx="192">
                  <c:v>396</c:v>
                </c:pt>
                <c:pt idx="193">
                  <c:v>396.5</c:v>
                </c:pt>
                <c:pt idx="194">
                  <c:v>397</c:v>
                </c:pt>
                <c:pt idx="195">
                  <c:v>397.5</c:v>
                </c:pt>
                <c:pt idx="196">
                  <c:v>398</c:v>
                </c:pt>
                <c:pt idx="197">
                  <c:v>398.5</c:v>
                </c:pt>
                <c:pt idx="198">
                  <c:v>399</c:v>
                </c:pt>
                <c:pt idx="199">
                  <c:v>399.5</c:v>
                </c:pt>
                <c:pt idx="200">
                  <c:v>400</c:v>
                </c:pt>
                <c:pt idx="201">
                  <c:v>400.5</c:v>
                </c:pt>
                <c:pt idx="202">
                  <c:v>401</c:v>
                </c:pt>
                <c:pt idx="203">
                  <c:v>401.5</c:v>
                </c:pt>
                <c:pt idx="204">
                  <c:v>402</c:v>
                </c:pt>
                <c:pt idx="205">
                  <c:v>402.5</c:v>
                </c:pt>
                <c:pt idx="206">
                  <c:v>403</c:v>
                </c:pt>
                <c:pt idx="207">
                  <c:v>403.5</c:v>
                </c:pt>
                <c:pt idx="208">
                  <c:v>404</c:v>
                </c:pt>
                <c:pt idx="209">
                  <c:v>404.5</c:v>
                </c:pt>
                <c:pt idx="210">
                  <c:v>405</c:v>
                </c:pt>
                <c:pt idx="211">
                  <c:v>405.5</c:v>
                </c:pt>
                <c:pt idx="212">
                  <c:v>406</c:v>
                </c:pt>
                <c:pt idx="213">
                  <c:v>406.5</c:v>
                </c:pt>
                <c:pt idx="214">
                  <c:v>407</c:v>
                </c:pt>
                <c:pt idx="215">
                  <c:v>407.5</c:v>
                </c:pt>
                <c:pt idx="216">
                  <c:v>408</c:v>
                </c:pt>
                <c:pt idx="217">
                  <c:v>408.5</c:v>
                </c:pt>
                <c:pt idx="218">
                  <c:v>409</c:v>
                </c:pt>
                <c:pt idx="219">
                  <c:v>409.5</c:v>
                </c:pt>
                <c:pt idx="220">
                  <c:v>410</c:v>
                </c:pt>
                <c:pt idx="221">
                  <c:v>410.5</c:v>
                </c:pt>
                <c:pt idx="222">
                  <c:v>411</c:v>
                </c:pt>
                <c:pt idx="223">
                  <c:v>411.5</c:v>
                </c:pt>
                <c:pt idx="224">
                  <c:v>412</c:v>
                </c:pt>
                <c:pt idx="225">
                  <c:v>412.5</c:v>
                </c:pt>
                <c:pt idx="226">
                  <c:v>413</c:v>
                </c:pt>
                <c:pt idx="227">
                  <c:v>413.5</c:v>
                </c:pt>
                <c:pt idx="228">
                  <c:v>414</c:v>
                </c:pt>
                <c:pt idx="229">
                  <c:v>414.5</c:v>
                </c:pt>
                <c:pt idx="230">
                  <c:v>415</c:v>
                </c:pt>
                <c:pt idx="231">
                  <c:v>415.5</c:v>
                </c:pt>
                <c:pt idx="232">
                  <c:v>416</c:v>
                </c:pt>
                <c:pt idx="233">
                  <c:v>416.5</c:v>
                </c:pt>
                <c:pt idx="234">
                  <c:v>417</c:v>
                </c:pt>
                <c:pt idx="235">
                  <c:v>417.5</c:v>
                </c:pt>
                <c:pt idx="236">
                  <c:v>418</c:v>
                </c:pt>
                <c:pt idx="237">
                  <c:v>418.5</c:v>
                </c:pt>
                <c:pt idx="238">
                  <c:v>419</c:v>
                </c:pt>
                <c:pt idx="239">
                  <c:v>419.5</c:v>
                </c:pt>
                <c:pt idx="240">
                  <c:v>420</c:v>
                </c:pt>
                <c:pt idx="241">
                  <c:v>420.5</c:v>
                </c:pt>
                <c:pt idx="242">
                  <c:v>421</c:v>
                </c:pt>
                <c:pt idx="243">
                  <c:v>421.5</c:v>
                </c:pt>
                <c:pt idx="244">
                  <c:v>422</c:v>
                </c:pt>
                <c:pt idx="245">
                  <c:v>422.5</c:v>
                </c:pt>
                <c:pt idx="246">
                  <c:v>423</c:v>
                </c:pt>
                <c:pt idx="247">
                  <c:v>423.5</c:v>
                </c:pt>
                <c:pt idx="248">
                  <c:v>424</c:v>
                </c:pt>
                <c:pt idx="249">
                  <c:v>424.5</c:v>
                </c:pt>
                <c:pt idx="250">
                  <c:v>425</c:v>
                </c:pt>
                <c:pt idx="251">
                  <c:v>425.5</c:v>
                </c:pt>
                <c:pt idx="252">
                  <c:v>426</c:v>
                </c:pt>
                <c:pt idx="253">
                  <c:v>426.5</c:v>
                </c:pt>
                <c:pt idx="254">
                  <c:v>427</c:v>
                </c:pt>
                <c:pt idx="255">
                  <c:v>427.5</c:v>
                </c:pt>
                <c:pt idx="256">
                  <c:v>428</c:v>
                </c:pt>
                <c:pt idx="257">
                  <c:v>428.5</c:v>
                </c:pt>
                <c:pt idx="258">
                  <c:v>429</c:v>
                </c:pt>
                <c:pt idx="259">
                  <c:v>429.5</c:v>
                </c:pt>
                <c:pt idx="260">
                  <c:v>430</c:v>
                </c:pt>
                <c:pt idx="261">
                  <c:v>430.5</c:v>
                </c:pt>
                <c:pt idx="262">
                  <c:v>431</c:v>
                </c:pt>
                <c:pt idx="263">
                  <c:v>431.5</c:v>
                </c:pt>
                <c:pt idx="264">
                  <c:v>432</c:v>
                </c:pt>
                <c:pt idx="265">
                  <c:v>432.5</c:v>
                </c:pt>
                <c:pt idx="266">
                  <c:v>433</c:v>
                </c:pt>
                <c:pt idx="267">
                  <c:v>433.5</c:v>
                </c:pt>
                <c:pt idx="268">
                  <c:v>434</c:v>
                </c:pt>
                <c:pt idx="269">
                  <c:v>434.5</c:v>
                </c:pt>
                <c:pt idx="270">
                  <c:v>435</c:v>
                </c:pt>
                <c:pt idx="271">
                  <c:v>435.5</c:v>
                </c:pt>
                <c:pt idx="272">
                  <c:v>436</c:v>
                </c:pt>
                <c:pt idx="273">
                  <c:v>436.5</c:v>
                </c:pt>
                <c:pt idx="274">
                  <c:v>437</c:v>
                </c:pt>
                <c:pt idx="275">
                  <c:v>437.5</c:v>
                </c:pt>
                <c:pt idx="276">
                  <c:v>438</c:v>
                </c:pt>
                <c:pt idx="277">
                  <c:v>438.5</c:v>
                </c:pt>
                <c:pt idx="278">
                  <c:v>439</c:v>
                </c:pt>
                <c:pt idx="279">
                  <c:v>439.5</c:v>
                </c:pt>
                <c:pt idx="280">
                  <c:v>440</c:v>
                </c:pt>
                <c:pt idx="281">
                  <c:v>440.5</c:v>
                </c:pt>
                <c:pt idx="282">
                  <c:v>441</c:v>
                </c:pt>
                <c:pt idx="283">
                  <c:v>441.5</c:v>
                </c:pt>
                <c:pt idx="284">
                  <c:v>442</c:v>
                </c:pt>
                <c:pt idx="285">
                  <c:v>442.5</c:v>
                </c:pt>
                <c:pt idx="286">
                  <c:v>443</c:v>
                </c:pt>
                <c:pt idx="287">
                  <c:v>443.5</c:v>
                </c:pt>
                <c:pt idx="288">
                  <c:v>444</c:v>
                </c:pt>
                <c:pt idx="289">
                  <c:v>444.5</c:v>
                </c:pt>
                <c:pt idx="290">
                  <c:v>445</c:v>
                </c:pt>
                <c:pt idx="291">
                  <c:v>445.5</c:v>
                </c:pt>
                <c:pt idx="292">
                  <c:v>446</c:v>
                </c:pt>
                <c:pt idx="293">
                  <c:v>446.5</c:v>
                </c:pt>
                <c:pt idx="294">
                  <c:v>447</c:v>
                </c:pt>
                <c:pt idx="295">
                  <c:v>447.5</c:v>
                </c:pt>
                <c:pt idx="296">
                  <c:v>448</c:v>
                </c:pt>
                <c:pt idx="297">
                  <c:v>448.5</c:v>
                </c:pt>
                <c:pt idx="298">
                  <c:v>449</c:v>
                </c:pt>
                <c:pt idx="299">
                  <c:v>449.5</c:v>
                </c:pt>
                <c:pt idx="300">
                  <c:v>450</c:v>
                </c:pt>
                <c:pt idx="301">
                  <c:v>450.5</c:v>
                </c:pt>
                <c:pt idx="302">
                  <c:v>451</c:v>
                </c:pt>
                <c:pt idx="303">
                  <c:v>451.5</c:v>
                </c:pt>
                <c:pt idx="304">
                  <c:v>452</c:v>
                </c:pt>
                <c:pt idx="305">
                  <c:v>452.5</c:v>
                </c:pt>
                <c:pt idx="306">
                  <c:v>453</c:v>
                </c:pt>
                <c:pt idx="307">
                  <c:v>453.5</c:v>
                </c:pt>
                <c:pt idx="308">
                  <c:v>454</c:v>
                </c:pt>
                <c:pt idx="309">
                  <c:v>454.5</c:v>
                </c:pt>
                <c:pt idx="310">
                  <c:v>455</c:v>
                </c:pt>
                <c:pt idx="311">
                  <c:v>455.5</c:v>
                </c:pt>
                <c:pt idx="312">
                  <c:v>456</c:v>
                </c:pt>
                <c:pt idx="313">
                  <c:v>456.5</c:v>
                </c:pt>
                <c:pt idx="314">
                  <c:v>457</c:v>
                </c:pt>
                <c:pt idx="315">
                  <c:v>457.5</c:v>
                </c:pt>
                <c:pt idx="316">
                  <c:v>458</c:v>
                </c:pt>
                <c:pt idx="317">
                  <c:v>458.5</c:v>
                </c:pt>
                <c:pt idx="318">
                  <c:v>459</c:v>
                </c:pt>
                <c:pt idx="319">
                  <c:v>459.5</c:v>
                </c:pt>
                <c:pt idx="320">
                  <c:v>460</c:v>
                </c:pt>
                <c:pt idx="321">
                  <c:v>460.5</c:v>
                </c:pt>
                <c:pt idx="322">
                  <c:v>461</c:v>
                </c:pt>
                <c:pt idx="323">
                  <c:v>461.5</c:v>
                </c:pt>
                <c:pt idx="324">
                  <c:v>462</c:v>
                </c:pt>
                <c:pt idx="325">
                  <c:v>462.5</c:v>
                </c:pt>
                <c:pt idx="326">
                  <c:v>463</c:v>
                </c:pt>
                <c:pt idx="327">
                  <c:v>463.5</c:v>
                </c:pt>
                <c:pt idx="328">
                  <c:v>464</c:v>
                </c:pt>
                <c:pt idx="329">
                  <c:v>464.5</c:v>
                </c:pt>
                <c:pt idx="330">
                  <c:v>465</c:v>
                </c:pt>
                <c:pt idx="331">
                  <c:v>465.5</c:v>
                </c:pt>
                <c:pt idx="332">
                  <c:v>466</c:v>
                </c:pt>
                <c:pt idx="333">
                  <c:v>466.5</c:v>
                </c:pt>
                <c:pt idx="334">
                  <c:v>467</c:v>
                </c:pt>
                <c:pt idx="335">
                  <c:v>467.5</c:v>
                </c:pt>
                <c:pt idx="336">
                  <c:v>468</c:v>
                </c:pt>
                <c:pt idx="337">
                  <c:v>468.5</c:v>
                </c:pt>
                <c:pt idx="338">
                  <c:v>469</c:v>
                </c:pt>
                <c:pt idx="339">
                  <c:v>469.5</c:v>
                </c:pt>
                <c:pt idx="340">
                  <c:v>470</c:v>
                </c:pt>
                <c:pt idx="341">
                  <c:v>470.5</c:v>
                </c:pt>
                <c:pt idx="342">
                  <c:v>471</c:v>
                </c:pt>
                <c:pt idx="343">
                  <c:v>471.5</c:v>
                </c:pt>
                <c:pt idx="344">
                  <c:v>472</c:v>
                </c:pt>
                <c:pt idx="345">
                  <c:v>472.5</c:v>
                </c:pt>
                <c:pt idx="346">
                  <c:v>473</c:v>
                </c:pt>
                <c:pt idx="347">
                  <c:v>473.5</c:v>
                </c:pt>
                <c:pt idx="348">
                  <c:v>474</c:v>
                </c:pt>
                <c:pt idx="349">
                  <c:v>474.5</c:v>
                </c:pt>
                <c:pt idx="350">
                  <c:v>475</c:v>
                </c:pt>
                <c:pt idx="351">
                  <c:v>475.5</c:v>
                </c:pt>
                <c:pt idx="352">
                  <c:v>476</c:v>
                </c:pt>
                <c:pt idx="353">
                  <c:v>476.5</c:v>
                </c:pt>
                <c:pt idx="354">
                  <c:v>477</c:v>
                </c:pt>
                <c:pt idx="355">
                  <c:v>477.5</c:v>
                </c:pt>
                <c:pt idx="356">
                  <c:v>478</c:v>
                </c:pt>
                <c:pt idx="357">
                  <c:v>478.5</c:v>
                </c:pt>
                <c:pt idx="358">
                  <c:v>479</c:v>
                </c:pt>
                <c:pt idx="359">
                  <c:v>479.5</c:v>
                </c:pt>
                <c:pt idx="360">
                  <c:v>480</c:v>
                </c:pt>
                <c:pt idx="361">
                  <c:v>480.5</c:v>
                </c:pt>
                <c:pt idx="362">
                  <c:v>481</c:v>
                </c:pt>
                <c:pt idx="363">
                  <c:v>481.5</c:v>
                </c:pt>
                <c:pt idx="364">
                  <c:v>482</c:v>
                </c:pt>
                <c:pt idx="365">
                  <c:v>482.5</c:v>
                </c:pt>
                <c:pt idx="366">
                  <c:v>483</c:v>
                </c:pt>
                <c:pt idx="367">
                  <c:v>483.5</c:v>
                </c:pt>
                <c:pt idx="368">
                  <c:v>484</c:v>
                </c:pt>
                <c:pt idx="369">
                  <c:v>484.5</c:v>
                </c:pt>
                <c:pt idx="370">
                  <c:v>485</c:v>
                </c:pt>
                <c:pt idx="371">
                  <c:v>485.5</c:v>
                </c:pt>
                <c:pt idx="372">
                  <c:v>486</c:v>
                </c:pt>
                <c:pt idx="373">
                  <c:v>486.5</c:v>
                </c:pt>
                <c:pt idx="374">
                  <c:v>487</c:v>
                </c:pt>
                <c:pt idx="375">
                  <c:v>487.5</c:v>
                </c:pt>
                <c:pt idx="376">
                  <c:v>488</c:v>
                </c:pt>
                <c:pt idx="377">
                  <c:v>488.5</c:v>
                </c:pt>
                <c:pt idx="378">
                  <c:v>489</c:v>
                </c:pt>
                <c:pt idx="379">
                  <c:v>489.5</c:v>
                </c:pt>
                <c:pt idx="380">
                  <c:v>490</c:v>
                </c:pt>
                <c:pt idx="381">
                  <c:v>490.5</c:v>
                </c:pt>
                <c:pt idx="382">
                  <c:v>491</c:v>
                </c:pt>
                <c:pt idx="383">
                  <c:v>491.5</c:v>
                </c:pt>
                <c:pt idx="384">
                  <c:v>492</c:v>
                </c:pt>
                <c:pt idx="385">
                  <c:v>492.5</c:v>
                </c:pt>
                <c:pt idx="386">
                  <c:v>493</c:v>
                </c:pt>
                <c:pt idx="387">
                  <c:v>493.5</c:v>
                </c:pt>
                <c:pt idx="388">
                  <c:v>494</c:v>
                </c:pt>
                <c:pt idx="389">
                  <c:v>494.5</c:v>
                </c:pt>
                <c:pt idx="390">
                  <c:v>495</c:v>
                </c:pt>
                <c:pt idx="391">
                  <c:v>495.5</c:v>
                </c:pt>
                <c:pt idx="392">
                  <c:v>496</c:v>
                </c:pt>
                <c:pt idx="393">
                  <c:v>496.5</c:v>
                </c:pt>
                <c:pt idx="394">
                  <c:v>497</c:v>
                </c:pt>
                <c:pt idx="395">
                  <c:v>497.5</c:v>
                </c:pt>
                <c:pt idx="396">
                  <c:v>498</c:v>
                </c:pt>
                <c:pt idx="397">
                  <c:v>498.5</c:v>
                </c:pt>
                <c:pt idx="398">
                  <c:v>499</c:v>
                </c:pt>
                <c:pt idx="399">
                  <c:v>499.5</c:v>
                </c:pt>
                <c:pt idx="400">
                  <c:v>500</c:v>
                </c:pt>
                <c:pt idx="401">
                  <c:v>500.5</c:v>
                </c:pt>
                <c:pt idx="402">
                  <c:v>501</c:v>
                </c:pt>
                <c:pt idx="403">
                  <c:v>501.5</c:v>
                </c:pt>
                <c:pt idx="404">
                  <c:v>502</c:v>
                </c:pt>
                <c:pt idx="405">
                  <c:v>502.5</c:v>
                </c:pt>
                <c:pt idx="406">
                  <c:v>503</c:v>
                </c:pt>
                <c:pt idx="407">
                  <c:v>503.5</c:v>
                </c:pt>
                <c:pt idx="408">
                  <c:v>504</c:v>
                </c:pt>
                <c:pt idx="409">
                  <c:v>504.5</c:v>
                </c:pt>
                <c:pt idx="410">
                  <c:v>505</c:v>
                </c:pt>
                <c:pt idx="411">
                  <c:v>505.5</c:v>
                </c:pt>
                <c:pt idx="412">
                  <c:v>506</c:v>
                </c:pt>
                <c:pt idx="413">
                  <c:v>506.5</c:v>
                </c:pt>
                <c:pt idx="414">
                  <c:v>507</c:v>
                </c:pt>
                <c:pt idx="415">
                  <c:v>507.5</c:v>
                </c:pt>
                <c:pt idx="416">
                  <c:v>508</c:v>
                </c:pt>
                <c:pt idx="417">
                  <c:v>508.5</c:v>
                </c:pt>
                <c:pt idx="418">
                  <c:v>509</c:v>
                </c:pt>
                <c:pt idx="419">
                  <c:v>509.5</c:v>
                </c:pt>
                <c:pt idx="420">
                  <c:v>510</c:v>
                </c:pt>
                <c:pt idx="421">
                  <c:v>510.5</c:v>
                </c:pt>
                <c:pt idx="422">
                  <c:v>511</c:v>
                </c:pt>
                <c:pt idx="423">
                  <c:v>511.5</c:v>
                </c:pt>
                <c:pt idx="424">
                  <c:v>512</c:v>
                </c:pt>
                <c:pt idx="425">
                  <c:v>512.5</c:v>
                </c:pt>
                <c:pt idx="426">
                  <c:v>513</c:v>
                </c:pt>
                <c:pt idx="427">
                  <c:v>513.5</c:v>
                </c:pt>
                <c:pt idx="428">
                  <c:v>514</c:v>
                </c:pt>
                <c:pt idx="429">
                  <c:v>514.5</c:v>
                </c:pt>
                <c:pt idx="430">
                  <c:v>515</c:v>
                </c:pt>
                <c:pt idx="431">
                  <c:v>515.5</c:v>
                </c:pt>
                <c:pt idx="432">
                  <c:v>516</c:v>
                </c:pt>
                <c:pt idx="433">
                  <c:v>516.5</c:v>
                </c:pt>
                <c:pt idx="434">
                  <c:v>517</c:v>
                </c:pt>
                <c:pt idx="435">
                  <c:v>517.5</c:v>
                </c:pt>
                <c:pt idx="436">
                  <c:v>518</c:v>
                </c:pt>
                <c:pt idx="437">
                  <c:v>518.5</c:v>
                </c:pt>
                <c:pt idx="438">
                  <c:v>519</c:v>
                </c:pt>
                <c:pt idx="439">
                  <c:v>519.5</c:v>
                </c:pt>
                <c:pt idx="440">
                  <c:v>520</c:v>
                </c:pt>
                <c:pt idx="441">
                  <c:v>520.5</c:v>
                </c:pt>
                <c:pt idx="442">
                  <c:v>521</c:v>
                </c:pt>
                <c:pt idx="443">
                  <c:v>521.5</c:v>
                </c:pt>
                <c:pt idx="444">
                  <c:v>522</c:v>
                </c:pt>
                <c:pt idx="445">
                  <c:v>522.5</c:v>
                </c:pt>
                <c:pt idx="446">
                  <c:v>523</c:v>
                </c:pt>
                <c:pt idx="447">
                  <c:v>523.5</c:v>
                </c:pt>
                <c:pt idx="448">
                  <c:v>524</c:v>
                </c:pt>
                <c:pt idx="449">
                  <c:v>524.5</c:v>
                </c:pt>
                <c:pt idx="450">
                  <c:v>525</c:v>
                </c:pt>
                <c:pt idx="451">
                  <c:v>525.5</c:v>
                </c:pt>
                <c:pt idx="452">
                  <c:v>526</c:v>
                </c:pt>
                <c:pt idx="453">
                  <c:v>526.5</c:v>
                </c:pt>
                <c:pt idx="454">
                  <c:v>527</c:v>
                </c:pt>
                <c:pt idx="455">
                  <c:v>527.5</c:v>
                </c:pt>
                <c:pt idx="456">
                  <c:v>528</c:v>
                </c:pt>
                <c:pt idx="457">
                  <c:v>528.5</c:v>
                </c:pt>
                <c:pt idx="458">
                  <c:v>529</c:v>
                </c:pt>
                <c:pt idx="459">
                  <c:v>529.5</c:v>
                </c:pt>
                <c:pt idx="460">
                  <c:v>530</c:v>
                </c:pt>
                <c:pt idx="461">
                  <c:v>530.5</c:v>
                </c:pt>
                <c:pt idx="462">
                  <c:v>531</c:v>
                </c:pt>
                <c:pt idx="463">
                  <c:v>531.5</c:v>
                </c:pt>
                <c:pt idx="464">
                  <c:v>532</c:v>
                </c:pt>
                <c:pt idx="465">
                  <c:v>532.5</c:v>
                </c:pt>
                <c:pt idx="466">
                  <c:v>533</c:v>
                </c:pt>
                <c:pt idx="467">
                  <c:v>533.5</c:v>
                </c:pt>
                <c:pt idx="468">
                  <c:v>534</c:v>
                </c:pt>
                <c:pt idx="469">
                  <c:v>534.5</c:v>
                </c:pt>
                <c:pt idx="470">
                  <c:v>535</c:v>
                </c:pt>
                <c:pt idx="471">
                  <c:v>535.5</c:v>
                </c:pt>
                <c:pt idx="472">
                  <c:v>536</c:v>
                </c:pt>
                <c:pt idx="473">
                  <c:v>536.5</c:v>
                </c:pt>
                <c:pt idx="474">
                  <c:v>537</c:v>
                </c:pt>
                <c:pt idx="475">
                  <c:v>537.5</c:v>
                </c:pt>
                <c:pt idx="476">
                  <c:v>538</c:v>
                </c:pt>
                <c:pt idx="477">
                  <c:v>538.5</c:v>
                </c:pt>
                <c:pt idx="478">
                  <c:v>539</c:v>
                </c:pt>
                <c:pt idx="479">
                  <c:v>539.5</c:v>
                </c:pt>
                <c:pt idx="480">
                  <c:v>540</c:v>
                </c:pt>
                <c:pt idx="481">
                  <c:v>540.5</c:v>
                </c:pt>
                <c:pt idx="482">
                  <c:v>541</c:v>
                </c:pt>
                <c:pt idx="483">
                  <c:v>541.5</c:v>
                </c:pt>
                <c:pt idx="484">
                  <c:v>542</c:v>
                </c:pt>
                <c:pt idx="485">
                  <c:v>542.5</c:v>
                </c:pt>
                <c:pt idx="486">
                  <c:v>543</c:v>
                </c:pt>
                <c:pt idx="487">
                  <c:v>543.5</c:v>
                </c:pt>
                <c:pt idx="488">
                  <c:v>544</c:v>
                </c:pt>
                <c:pt idx="489">
                  <c:v>544.5</c:v>
                </c:pt>
                <c:pt idx="490">
                  <c:v>545</c:v>
                </c:pt>
                <c:pt idx="491">
                  <c:v>545.5</c:v>
                </c:pt>
                <c:pt idx="492">
                  <c:v>546</c:v>
                </c:pt>
                <c:pt idx="493">
                  <c:v>546.5</c:v>
                </c:pt>
                <c:pt idx="494">
                  <c:v>547</c:v>
                </c:pt>
                <c:pt idx="495">
                  <c:v>547.5</c:v>
                </c:pt>
                <c:pt idx="496">
                  <c:v>548</c:v>
                </c:pt>
                <c:pt idx="497">
                  <c:v>548.5</c:v>
                </c:pt>
                <c:pt idx="498">
                  <c:v>549</c:v>
                </c:pt>
                <c:pt idx="499">
                  <c:v>549.5</c:v>
                </c:pt>
                <c:pt idx="500">
                  <c:v>550</c:v>
                </c:pt>
                <c:pt idx="501">
                  <c:v>550.5</c:v>
                </c:pt>
                <c:pt idx="502">
                  <c:v>551</c:v>
                </c:pt>
                <c:pt idx="503">
                  <c:v>551.5</c:v>
                </c:pt>
                <c:pt idx="504">
                  <c:v>552</c:v>
                </c:pt>
                <c:pt idx="505">
                  <c:v>552.5</c:v>
                </c:pt>
                <c:pt idx="506">
                  <c:v>553</c:v>
                </c:pt>
                <c:pt idx="507">
                  <c:v>553.5</c:v>
                </c:pt>
                <c:pt idx="508">
                  <c:v>554</c:v>
                </c:pt>
                <c:pt idx="509">
                  <c:v>554.5</c:v>
                </c:pt>
                <c:pt idx="510">
                  <c:v>555</c:v>
                </c:pt>
                <c:pt idx="511">
                  <c:v>555.5</c:v>
                </c:pt>
                <c:pt idx="512">
                  <c:v>556</c:v>
                </c:pt>
                <c:pt idx="513">
                  <c:v>556.5</c:v>
                </c:pt>
                <c:pt idx="514">
                  <c:v>557</c:v>
                </c:pt>
                <c:pt idx="515">
                  <c:v>557.5</c:v>
                </c:pt>
                <c:pt idx="516">
                  <c:v>558</c:v>
                </c:pt>
                <c:pt idx="517">
                  <c:v>558.5</c:v>
                </c:pt>
                <c:pt idx="518">
                  <c:v>559</c:v>
                </c:pt>
                <c:pt idx="519">
                  <c:v>559.5</c:v>
                </c:pt>
                <c:pt idx="520">
                  <c:v>560</c:v>
                </c:pt>
                <c:pt idx="521">
                  <c:v>560.5</c:v>
                </c:pt>
                <c:pt idx="522">
                  <c:v>561</c:v>
                </c:pt>
                <c:pt idx="523">
                  <c:v>561.5</c:v>
                </c:pt>
                <c:pt idx="524">
                  <c:v>562</c:v>
                </c:pt>
                <c:pt idx="525">
                  <c:v>562.5</c:v>
                </c:pt>
                <c:pt idx="526">
                  <c:v>563</c:v>
                </c:pt>
                <c:pt idx="527">
                  <c:v>563.5</c:v>
                </c:pt>
                <c:pt idx="528">
                  <c:v>564</c:v>
                </c:pt>
                <c:pt idx="529">
                  <c:v>564.5</c:v>
                </c:pt>
                <c:pt idx="530">
                  <c:v>565</c:v>
                </c:pt>
                <c:pt idx="531">
                  <c:v>565.5</c:v>
                </c:pt>
                <c:pt idx="532">
                  <c:v>566</c:v>
                </c:pt>
                <c:pt idx="533">
                  <c:v>566.5</c:v>
                </c:pt>
                <c:pt idx="534">
                  <c:v>567</c:v>
                </c:pt>
                <c:pt idx="535">
                  <c:v>567.5</c:v>
                </c:pt>
                <c:pt idx="536">
                  <c:v>568</c:v>
                </c:pt>
                <c:pt idx="537">
                  <c:v>568.5</c:v>
                </c:pt>
                <c:pt idx="538">
                  <c:v>569</c:v>
                </c:pt>
                <c:pt idx="539">
                  <c:v>569.5</c:v>
                </c:pt>
                <c:pt idx="540">
                  <c:v>570</c:v>
                </c:pt>
                <c:pt idx="541">
                  <c:v>570.5</c:v>
                </c:pt>
                <c:pt idx="542">
                  <c:v>571</c:v>
                </c:pt>
                <c:pt idx="543">
                  <c:v>571.5</c:v>
                </c:pt>
                <c:pt idx="544">
                  <c:v>572</c:v>
                </c:pt>
                <c:pt idx="545">
                  <c:v>572.5</c:v>
                </c:pt>
                <c:pt idx="546">
                  <c:v>573</c:v>
                </c:pt>
                <c:pt idx="547">
                  <c:v>573.5</c:v>
                </c:pt>
                <c:pt idx="548">
                  <c:v>574</c:v>
                </c:pt>
                <c:pt idx="549">
                  <c:v>574.5</c:v>
                </c:pt>
                <c:pt idx="550">
                  <c:v>575</c:v>
                </c:pt>
                <c:pt idx="551">
                  <c:v>575.5</c:v>
                </c:pt>
                <c:pt idx="552">
                  <c:v>576</c:v>
                </c:pt>
                <c:pt idx="553">
                  <c:v>576.5</c:v>
                </c:pt>
                <c:pt idx="554">
                  <c:v>577</c:v>
                </c:pt>
                <c:pt idx="555">
                  <c:v>577.5</c:v>
                </c:pt>
                <c:pt idx="556">
                  <c:v>578</c:v>
                </c:pt>
                <c:pt idx="557">
                  <c:v>578.5</c:v>
                </c:pt>
                <c:pt idx="558">
                  <c:v>579</c:v>
                </c:pt>
                <c:pt idx="559">
                  <c:v>579.5</c:v>
                </c:pt>
                <c:pt idx="560">
                  <c:v>580</c:v>
                </c:pt>
                <c:pt idx="561">
                  <c:v>580.5</c:v>
                </c:pt>
                <c:pt idx="562">
                  <c:v>581</c:v>
                </c:pt>
                <c:pt idx="563">
                  <c:v>581.5</c:v>
                </c:pt>
                <c:pt idx="564">
                  <c:v>582</c:v>
                </c:pt>
                <c:pt idx="565">
                  <c:v>582.5</c:v>
                </c:pt>
                <c:pt idx="566">
                  <c:v>583</c:v>
                </c:pt>
                <c:pt idx="567">
                  <c:v>583.5</c:v>
                </c:pt>
                <c:pt idx="568">
                  <c:v>584</c:v>
                </c:pt>
                <c:pt idx="569">
                  <c:v>584.5</c:v>
                </c:pt>
                <c:pt idx="570">
                  <c:v>585</c:v>
                </c:pt>
                <c:pt idx="571">
                  <c:v>585.5</c:v>
                </c:pt>
                <c:pt idx="572">
                  <c:v>586</c:v>
                </c:pt>
                <c:pt idx="573">
                  <c:v>586.5</c:v>
                </c:pt>
                <c:pt idx="574">
                  <c:v>587</c:v>
                </c:pt>
                <c:pt idx="575">
                  <c:v>587.5</c:v>
                </c:pt>
                <c:pt idx="576">
                  <c:v>588</c:v>
                </c:pt>
                <c:pt idx="577">
                  <c:v>588.5</c:v>
                </c:pt>
                <c:pt idx="578">
                  <c:v>589</c:v>
                </c:pt>
                <c:pt idx="579">
                  <c:v>589.5</c:v>
                </c:pt>
                <c:pt idx="580">
                  <c:v>590</c:v>
                </c:pt>
                <c:pt idx="581">
                  <c:v>590.5</c:v>
                </c:pt>
                <c:pt idx="582">
                  <c:v>591</c:v>
                </c:pt>
                <c:pt idx="583">
                  <c:v>591.5</c:v>
                </c:pt>
                <c:pt idx="584">
                  <c:v>592</c:v>
                </c:pt>
                <c:pt idx="585">
                  <c:v>592.5</c:v>
                </c:pt>
                <c:pt idx="586">
                  <c:v>593</c:v>
                </c:pt>
                <c:pt idx="587">
                  <c:v>593.5</c:v>
                </c:pt>
                <c:pt idx="588">
                  <c:v>594</c:v>
                </c:pt>
                <c:pt idx="589">
                  <c:v>594.5</c:v>
                </c:pt>
                <c:pt idx="590">
                  <c:v>595</c:v>
                </c:pt>
                <c:pt idx="591">
                  <c:v>595.5</c:v>
                </c:pt>
                <c:pt idx="592">
                  <c:v>596</c:v>
                </c:pt>
                <c:pt idx="593">
                  <c:v>596.5</c:v>
                </c:pt>
                <c:pt idx="594">
                  <c:v>597</c:v>
                </c:pt>
                <c:pt idx="595">
                  <c:v>597.5</c:v>
                </c:pt>
                <c:pt idx="596">
                  <c:v>598</c:v>
                </c:pt>
                <c:pt idx="597">
                  <c:v>598.5</c:v>
                </c:pt>
                <c:pt idx="598">
                  <c:v>599</c:v>
                </c:pt>
                <c:pt idx="599">
                  <c:v>599.5</c:v>
                </c:pt>
                <c:pt idx="600">
                  <c:v>600</c:v>
                </c:pt>
                <c:pt idx="601">
                  <c:v>600.5</c:v>
                </c:pt>
                <c:pt idx="602">
                  <c:v>601</c:v>
                </c:pt>
                <c:pt idx="603">
                  <c:v>601.5</c:v>
                </c:pt>
                <c:pt idx="604">
                  <c:v>602</c:v>
                </c:pt>
                <c:pt idx="605">
                  <c:v>602.5</c:v>
                </c:pt>
                <c:pt idx="606">
                  <c:v>603</c:v>
                </c:pt>
                <c:pt idx="607">
                  <c:v>603.5</c:v>
                </c:pt>
                <c:pt idx="608">
                  <c:v>604</c:v>
                </c:pt>
                <c:pt idx="609">
                  <c:v>604.5</c:v>
                </c:pt>
                <c:pt idx="610">
                  <c:v>605</c:v>
                </c:pt>
                <c:pt idx="611">
                  <c:v>605.5</c:v>
                </c:pt>
                <c:pt idx="612">
                  <c:v>606</c:v>
                </c:pt>
                <c:pt idx="613">
                  <c:v>606.5</c:v>
                </c:pt>
                <c:pt idx="614">
                  <c:v>607</c:v>
                </c:pt>
                <c:pt idx="615">
                  <c:v>607.5</c:v>
                </c:pt>
                <c:pt idx="616">
                  <c:v>608</c:v>
                </c:pt>
                <c:pt idx="617">
                  <c:v>608.5</c:v>
                </c:pt>
                <c:pt idx="618">
                  <c:v>609</c:v>
                </c:pt>
                <c:pt idx="619">
                  <c:v>609.5</c:v>
                </c:pt>
                <c:pt idx="620">
                  <c:v>610</c:v>
                </c:pt>
                <c:pt idx="621">
                  <c:v>610.5</c:v>
                </c:pt>
                <c:pt idx="622">
                  <c:v>611</c:v>
                </c:pt>
                <c:pt idx="623">
                  <c:v>611.5</c:v>
                </c:pt>
                <c:pt idx="624">
                  <c:v>612</c:v>
                </c:pt>
                <c:pt idx="625">
                  <c:v>612.5</c:v>
                </c:pt>
                <c:pt idx="626">
                  <c:v>613</c:v>
                </c:pt>
                <c:pt idx="627">
                  <c:v>613.5</c:v>
                </c:pt>
                <c:pt idx="628">
                  <c:v>614</c:v>
                </c:pt>
                <c:pt idx="629">
                  <c:v>614.5</c:v>
                </c:pt>
                <c:pt idx="630">
                  <c:v>615</c:v>
                </c:pt>
                <c:pt idx="631">
                  <c:v>615.5</c:v>
                </c:pt>
                <c:pt idx="632">
                  <c:v>616</c:v>
                </c:pt>
                <c:pt idx="633">
                  <c:v>616.5</c:v>
                </c:pt>
                <c:pt idx="634">
                  <c:v>617</c:v>
                </c:pt>
                <c:pt idx="635">
                  <c:v>617.5</c:v>
                </c:pt>
                <c:pt idx="636">
                  <c:v>618</c:v>
                </c:pt>
                <c:pt idx="637">
                  <c:v>618.5</c:v>
                </c:pt>
                <c:pt idx="638">
                  <c:v>619</c:v>
                </c:pt>
                <c:pt idx="639">
                  <c:v>619.5</c:v>
                </c:pt>
                <c:pt idx="640">
                  <c:v>620</c:v>
                </c:pt>
                <c:pt idx="641">
                  <c:v>620.5</c:v>
                </c:pt>
                <c:pt idx="642">
                  <c:v>621</c:v>
                </c:pt>
                <c:pt idx="643">
                  <c:v>621.5</c:v>
                </c:pt>
                <c:pt idx="644">
                  <c:v>622</c:v>
                </c:pt>
                <c:pt idx="645">
                  <c:v>622.5</c:v>
                </c:pt>
                <c:pt idx="646">
                  <c:v>623</c:v>
                </c:pt>
                <c:pt idx="647">
                  <c:v>623.5</c:v>
                </c:pt>
                <c:pt idx="648">
                  <c:v>624</c:v>
                </c:pt>
                <c:pt idx="649">
                  <c:v>624.5</c:v>
                </c:pt>
                <c:pt idx="650">
                  <c:v>625</c:v>
                </c:pt>
                <c:pt idx="651">
                  <c:v>625.5</c:v>
                </c:pt>
                <c:pt idx="652">
                  <c:v>626</c:v>
                </c:pt>
                <c:pt idx="653">
                  <c:v>626.5</c:v>
                </c:pt>
                <c:pt idx="654">
                  <c:v>627</c:v>
                </c:pt>
                <c:pt idx="655">
                  <c:v>627.5</c:v>
                </c:pt>
                <c:pt idx="656">
                  <c:v>628</c:v>
                </c:pt>
                <c:pt idx="657">
                  <c:v>628.5</c:v>
                </c:pt>
                <c:pt idx="658">
                  <c:v>629</c:v>
                </c:pt>
                <c:pt idx="659">
                  <c:v>629.5</c:v>
                </c:pt>
                <c:pt idx="660">
                  <c:v>630</c:v>
                </c:pt>
                <c:pt idx="661">
                  <c:v>630.5</c:v>
                </c:pt>
                <c:pt idx="662">
                  <c:v>631</c:v>
                </c:pt>
                <c:pt idx="663">
                  <c:v>631.5</c:v>
                </c:pt>
                <c:pt idx="664">
                  <c:v>632</c:v>
                </c:pt>
                <c:pt idx="665">
                  <c:v>632.5</c:v>
                </c:pt>
                <c:pt idx="666">
                  <c:v>633</c:v>
                </c:pt>
                <c:pt idx="667">
                  <c:v>633.5</c:v>
                </c:pt>
                <c:pt idx="668">
                  <c:v>634</c:v>
                </c:pt>
                <c:pt idx="669">
                  <c:v>634.5</c:v>
                </c:pt>
                <c:pt idx="670">
                  <c:v>635</c:v>
                </c:pt>
                <c:pt idx="671">
                  <c:v>635.5</c:v>
                </c:pt>
                <c:pt idx="672">
                  <c:v>636</c:v>
                </c:pt>
                <c:pt idx="673">
                  <c:v>636.5</c:v>
                </c:pt>
                <c:pt idx="674">
                  <c:v>637</c:v>
                </c:pt>
                <c:pt idx="675">
                  <c:v>637.5</c:v>
                </c:pt>
                <c:pt idx="676">
                  <c:v>638</c:v>
                </c:pt>
                <c:pt idx="677">
                  <c:v>638.5</c:v>
                </c:pt>
                <c:pt idx="678">
                  <c:v>639</c:v>
                </c:pt>
                <c:pt idx="679">
                  <c:v>639.5</c:v>
                </c:pt>
                <c:pt idx="680">
                  <c:v>640</c:v>
                </c:pt>
                <c:pt idx="681">
                  <c:v>640.5</c:v>
                </c:pt>
                <c:pt idx="682">
                  <c:v>641</c:v>
                </c:pt>
                <c:pt idx="683">
                  <c:v>641.5</c:v>
                </c:pt>
                <c:pt idx="684">
                  <c:v>642</c:v>
                </c:pt>
                <c:pt idx="685">
                  <c:v>642.5</c:v>
                </c:pt>
                <c:pt idx="686">
                  <c:v>643</c:v>
                </c:pt>
                <c:pt idx="687">
                  <c:v>643.5</c:v>
                </c:pt>
                <c:pt idx="688">
                  <c:v>644</c:v>
                </c:pt>
                <c:pt idx="689">
                  <c:v>644.5</c:v>
                </c:pt>
                <c:pt idx="690">
                  <c:v>645</c:v>
                </c:pt>
                <c:pt idx="691">
                  <c:v>645.5</c:v>
                </c:pt>
                <c:pt idx="692">
                  <c:v>646</c:v>
                </c:pt>
                <c:pt idx="693">
                  <c:v>646.5</c:v>
                </c:pt>
                <c:pt idx="694">
                  <c:v>647</c:v>
                </c:pt>
                <c:pt idx="695">
                  <c:v>647.5</c:v>
                </c:pt>
                <c:pt idx="696">
                  <c:v>648</c:v>
                </c:pt>
                <c:pt idx="697">
                  <c:v>648.5</c:v>
                </c:pt>
                <c:pt idx="698">
                  <c:v>649</c:v>
                </c:pt>
                <c:pt idx="699">
                  <c:v>649.5</c:v>
                </c:pt>
                <c:pt idx="700">
                  <c:v>650</c:v>
                </c:pt>
                <c:pt idx="701">
                  <c:v>650.5</c:v>
                </c:pt>
                <c:pt idx="702">
                  <c:v>651</c:v>
                </c:pt>
                <c:pt idx="703">
                  <c:v>651.5</c:v>
                </c:pt>
                <c:pt idx="704">
                  <c:v>652</c:v>
                </c:pt>
                <c:pt idx="705">
                  <c:v>652.5</c:v>
                </c:pt>
                <c:pt idx="706">
                  <c:v>653</c:v>
                </c:pt>
                <c:pt idx="707">
                  <c:v>653.5</c:v>
                </c:pt>
                <c:pt idx="708">
                  <c:v>654</c:v>
                </c:pt>
                <c:pt idx="709">
                  <c:v>654.5</c:v>
                </c:pt>
                <c:pt idx="710">
                  <c:v>655</c:v>
                </c:pt>
                <c:pt idx="711">
                  <c:v>655.5</c:v>
                </c:pt>
                <c:pt idx="712">
                  <c:v>656</c:v>
                </c:pt>
                <c:pt idx="713">
                  <c:v>656.5</c:v>
                </c:pt>
                <c:pt idx="714">
                  <c:v>657</c:v>
                </c:pt>
                <c:pt idx="715">
                  <c:v>657.5</c:v>
                </c:pt>
                <c:pt idx="716">
                  <c:v>658</c:v>
                </c:pt>
                <c:pt idx="717">
                  <c:v>658.5</c:v>
                </c:pt>
                <c:pt idx="718">
                  <c:v>659</c:v>
                </c:pt>
                <c:pt idx="719">
                  <c:v>659.5</c:v>
                </c:pt>
                <c:pt idx="720">
                  <c:v>660</c:v>
                </c:pt>
                <c:pt idx="721">
                  <c:v>660.5</c:v>
                </c:pt>
                <c:pt idx="722">
                  <c:v>661</c:v>
                </c:pt>
                <c:pt idx="723">
                  <c:v>661.5</c:v>
                </c:pt>
                <c:pt idx="724">
                  <c:v>662</c:v>
                </c:pt>
                <c:pt idx="725">
                  <c:v>662.5</c:v>
                </c:pt>
                <c:pt idx="726">
                  <c:v>663</c:v>
                </c:pt>
                <c:pt idx="727">
                  <c:v>663.5</c:v>
                </c:pt>
                <c:pt idx="728">
                  <c:v>664</c:v>
                </c:pt>
                <c:pt idx="729">
                  <c:v>664.5</c:v>
                </c:pt>
                <c:pt idx="730">
                  <c:v>665</c:v>
                </c:pt>
                <c:pt idx="731">
                  <c:v>665.5</c:v>
                </c:pt>
                <c:pt idx="732">
                  <c:v>666</c:v>
                </c:pt>
                <c:pt idx="733">
                  <c:v>666.5</c:v>
                </c:pt>
                <c:pt idx="734">
                  <c:v>667</c:v>
                </c:pt>
                <c:pt idx="735">
                  <c:v>667.5</c:v>
                </c:pt>
                <c:pt idx="736">
                  <c:v>668</c:v>
                </c:pt>
                <c:pt idx="737">
                  <c:v>668.5</c:v>
                </c:pt>
                <c:pt idx="738">
                  <c:v>669</c:v>
                </c:pt>
                <c:pt idx="739">
                  <c:v>669.5</c:v>
                </c:pt>
                <c:pt idx="740">
                  <c:v>670</c:v>
                </c:pt>
                <c:pt idx="741">
                  <c:v>670.5</c:v>
                </c:pt>
                <c:pt idx="742">
                  <c:v>671</c:v>
                </c:pt>
                <c:pt idx="743">
                  <c:v>671.5</c:v>
                </c:pt>
                <c:pt idx="744">
                  <c:v>672</c:v>
                </c:pt>
                <c:pt idx="745">
                  <c:v>672.5</c:v>
                </c:pt>
                <c:pt idx="746">
                  <c:v>673</c:v>
                </c:pt>
                <c:pt idx="747">
                  <c:v>673.5</c:v>
                </c:pt>
                <c:pt idx="748">
                  <c:v>674</c:v>
                </c:pt>
                <c:pt idx="749">
                  <c:v>674.5</c:v>
                </c:pt>
                <c:pt idx="750">
                  <c:v>675</c:v>
                </c:pt>
                <c:pt idx="751">
                  <c:v>675.5</c:v>
                </c:pt>
                <c:pt idx="752">
                  <c:v>676</c:v>
                </c:pt>
                <c:pt idx="753">
                  <c:v>676.5</c:v>
                </c:pt>
                <c:pt idx="754">
                  <c:v>677</c:v>
                </c:pt>
                <c:pt idx="755">
                  <c:v>677.5</c:v>
                </c:pt>
                <c:pt idx="756">
                  <c:v>678</c:v>
                </c:pt>
                <c:pt idx="757">
                  <c:v>678.5</c:v>
                </c:pt>
                <c:pt idx="758">
                  <c:v>679</c:v>
                </c:pt>
                <c:pt idx="759">
                  <c:v>679.5</c:v>
                </c:pt>
                <c:pt idx="760">
                  <c:v>680</c:v>
                </c:pt>
                <c:pt idx="761">
                  <c:v>680.5</c:v>
                </c:pt>
                <c:pt idx="762">
                  <c:v>681</c:v>
                </c:pt>
                <c:pt idx="763">
                  <c:v>681.5</c:v>
                </c:pt>
                <c:pt idx="764">
                  <c:v>682</c:v>
                </c:pt>
                <c:pt idx="765">
                  <c:v>682.5</c:v>
                </c:pt>
                <c:pt idx="766">
                  <c:v>683</c:v>
                </c:pt>
                <c:pt idx="767">
                  <c:v>683.5</c:v>
                </c:pt>
                <c:pt idx="768">
                  <c:v>684</c:v>
                </c:pt>
                <c:pt idx="769">
                  <c:v>684.5</c:v>
                </c:pt>
                <c:pt idx="770">
                  <c:v>685</c:v>
                </c:pt>
                <c:pt idx="771">
                  <c:v>685.5</c:v>
                </c:pt>
                <c:pt idx="772">
                  <c:v>686</c:v>
                </c:pt>
                <c:pt idx="773">
                  <c:v>686.5</c:v>
                </c:pt>
                <c:pt idx="774">
                  <c:v>687</c:v>
                </c:pt>
                <c:pt idx="775">
                  <c:v>687.5</c:v>
                </c:pt>
                <c:pt idx="776">
                  <c:v>688</c:v>
                </c:pt>
                <c:pt idx="777">
                  <c:v>688.5</c:v>
                </c:pt>
                <c:pt idx="778">
                  <c:v>689</c:v>
                </c:pt>
                <c:pt idx="779">
                  <c:v>689.5</c:v>
                </c:pt>
                <c:pt idx="780">
                  <c:v>690</c:v>
                </c:pt>
                <c:pt idx="781">
                  <c:v>690.5</c:v>
                </c:pt>
                <c:pt idx="782">
                  <c:v>691</c:v>
                </c:pt>
                <c:pt idx="783">
                  <c:v>691.5</c:v>
                </c:pt>
                <c:pt idx="784">
                  <c:v>692</c:v>
                </c:pt>
                <c:pt idx="785">
                  <c:v>692.5</c:v>
                </c:pt>
                <c:pt idx="786">
                  <c:v>693</c:v>
                </c:pt>
                <c:pt idx="787">
                  <c:v>693.5</c:v>
                </c:pt>
                <c:pt idx="788">
                  <c:v>694</c:v>
                </c:pt>
                <c:pt idx="789">
                  <c:v>694.5</c:v>
                </c:pt>
                <c:pt idx="790">
                  <c:v>695</c:v>
                </c:pt>
                <c:pt idx="791">
                  <c:v>695.5</c:v>
                </c:pt>
                <c:pt idx="792">
                  <c:v>696</c:v>
                </c:pt>
                <c:pt idx="793">
                  <c:v>696.5</c:v>
                </c:pt>
                <c:pt idx="794">
                  <c:v>697</c:v>
                </c:pt>
                <c:pt idx="795">
                  <c:v>697.5</c:v>
                </c:pt>
                <c:pt idx="796">
                  <c:v>698</c:v>
                </c:pt>
                <c:pt idx="797">
                  <c:v>698.5</c:v>
                </c:pt>
                <c:pt idx="798">
                  <c:v>699</c:v>
                </c:pt>
                <c:pt idx="799">
                  <c:v>699.5</c:v>
                </c:pt>
                <c:pt idx="800">
                  <c:v>700</c:v>
                </c:pt>
                <c:pt idx="801">
                  <c:v>700.5</c:v>
                </c:pt>
                <c:pt idx="802">
                  <c:v>701</c:v>
                </c:pt>
                <c:pt idx="803">
                  <c:v>701.5</c:v>
                </c:pt>
                <c:pt idx="804">
                  <c:v>702</c:v>
                </c:pt>
                <c:pt idx="805">
                  <c:v>702.5</c:v>
                </c:pt>
                <c:pt idx="806">
                  <c:v>703</c:v>
                </c:pt>
                <c:pt idx="807">
                  <c:v>703.5</c:v>
                </c:pt>
                <c:pt idx="808">
                  <c:v>704</c:v>
                </c:pt>
                <c:pt idx="809">
                  <c:v>704.5</c:v>
                </c:pt>
                <c:pt idx="810">
                  <c:v>705</c:v>
                </c:pt>
                <c:pt idx="811">
                  <c:v>705.5</c:v>
                </c:pt>
                <c:pt idx="812">
                  <c:v>706</c:v>
                </c:pt>
                <c:pt idx="813">
                  <c:v>706.5</c:v>
                </c:pt>
                <c:pt idx="814">
                  <c:v>707</c:v>
                </c:pt>
                <c:pt idx="815">
                  <c:v>707.5</c:v>
                </c:pt>
                <c:pt idx="816">
                  <c:v>708</c:v>
                </c:pt>
                <c:pt idx="817">
                  <c:v>708.5</c:v>
                </c:pt>
                <c:pt idx="818">
                  <c:v>709</c:v>
                </c:pt>
                <c:pt idx="819">
                  <c:v>709.5</c:v>
                </c:pt>
                <c:pt idx="820">
                  <c:v>710</c:v>
                </c:pt>
                <c:pt idx="821">
                  <c:v>710.5</c:v>
                </c:pt>
                <c:pt idx="822">
                  <c:v>711</c:v>
                </c:pt>
                <c:pt idx="823">
                  <c:v>711.5</c:v>
                </c:pt>
                <c:pt idx="824">
                  <c:v>712</c:v>
                </c:pt>
                <c:pt idx="825">
                  <c:v>712.5</c:v>
                </c:pt>
                <c:pt idx="826">
                  <c:v>713</c:v>
                </c:pt>
                <c:pt idx="827">
                  <c:v>713.5</c:v>
                </c:pt>
                <c:pt idx="828">
                  <c:v>714</c:v>
                </c:pt>
                <c:pt idx="829">
                  <c:v>714.5</c:v>
                </c:pt>
                <c:pt idx="830">
                  <c:v>715</c:v>
                </c:pt>
                <c:pt idx="831">
                  <c:v>715.5</c:v>
                </c:pt>
                <c:pt idx="832">
                  <c:v>716</c:v>
                </c:pt>
                <c:pt idx="833">
                  <c:v>716.5</c:v>
                </c:pt>
                <c:pt idx="834">
                  <c:v>717</c:v>
                </c:pt>
                <c:pt idx="835">
                  <c:v>717.5</c:v>
                </c:pt>
                <c:pt idx="836">
                  <c:v>718</c:v>
                </c:pt>
                <c:pt idx="837">
                  <c:v>718.5</c:v>
                </c:pt>
                <c:pt idx="838">
                  <c:v>719</c:v>
                </c:pt>
                <c:pt idx="839">
                  <c:v>719.5</c:v>
                </c:pt>
                <c:pt idx="840">
                  <c:v>720</c:v>
                </c:pt>
                <c:pt idx="841">
                  <c:v>720.5</c:v>
                </c:pt>
                <c:pt idx="842">
                  <c:v>721</c:v>
                </c:pt>
                <c:pt idx="843">
                  <c:v>721.5</c:v>
                </c:pt>
                <c:pt idx="844">
                  <c:v>722</c:v>
                </c:pt>
                <c:pt idx="845">
                  <c:v>722.5</c:v>
                </c:pt>
                <c:pt idx="846">
                  <c:v>723</c:v>
                </c:pt>
                <c:pt idx="847">
                  <c:v>723.5</c:v>
                </c:pt>
                <c:pt idx="848">
                  <c:v>724</c:v>
                </c:pt>
                <c:pt idx="849">
                  <c:v>724.5</c:v>
                </c:pt>
                <c:pt idx="850">
                  <c:v>725</c:v>
                </c:pt>
                <c:pt idx="851">
                  <c:v>725.5</c:v>
                </c:pt>
                <c:pt idx="852">
                  <c:v>726</c:v>
                </c:pt>
                <c:pt idx="853">
                  <c:v>726.5</c:v>
                </c:pt>
                <c:pt idx="854">
                  <c:v>727</c:v>
                </c:pt>
                <c:pt idx="855">
                  <c:v>727.5</c:v>
                </c:pt>
                <c:pt idx="856">
                  <c:v>728</c:v>
                </c:pt>
                <c:pt idx="857">
                  <c:v>728.5</c:v>
                </c:pt>
                <c:pt idx="858">
                  <c:v>729</c:v>
                </c:pt>
                <c:pt idx="859">
                  <c:v>729.5</c:v>
                </c:pt>
                <c:pt idx="860">
                  <c:v>730</c:v>
                </c:pt>
                <c:pt idx="861">
                  <c:v>730.5</c:v>
                </c:pt>
                <c:pt idx="862">
                  <c:v>731</c:v>
                </c:pt>
                <c:pt idx="863">
                  <c:v>731.5</c:v>
                </c:pt>
                <c:pt idx="864">
                  <c:v>732</c:v>
                </c:pt>
                <c:pt idx="865">
                  <c:v>732.5</c:v>
                </c:pt>
                <c:pt idx="866">
                  <c:v>733</c:v>
                </c:pt>
                <c:pt idx="867">
                  <c:v>733.5</c:v>
                </c:pt>
                <c:pt idx="868">
                  <c:v>734</c:v>
                </c:pt>
                <c:pt idx="869">
                  <c:v>734.5</c:v>
                </c:pt>
                <c:pt idx="870">
                  <c:v>735</c:v>
                </c:pt>
                <c:pt idx="871">
                  <c:v>735.5</c:v>
                </c:pt>
                <c:pt idx="872">
                  <c:v>736</c:v>
                </c:pt>
                <c:pt idx="873">
                  <c:v>736.5</c:v>
                </c:pt>
                <c:pt idx="874">
                  <c:v>737</c:v>
                </c:pt>
                <c:pt idx="875">
                  <c:v>737.5</c:v>
                </c:pt>
                <c:pt idx="876">
                  <c:v>738</c:v>
                </c:pt>
                <c:pt idx="877">
                  <c:v>738.5</c:v>
                </c:pt>
                <c:pt idx="878">
                  <c:v>739</c:v>
                </c:pt>
                <c:pt idx="879">
                  <c:v>739.5</c:v>
                </c:pt>
                <c:pt idx="880">
                  <c:v>740</c:v>
                </c:pt>
                <c:pt idx="881">
                  <c:v>740.5</c:v>
                </c:pt>
                <c:pt idx="882">
                  <c:v>741</c:v>
                </c:pt>
                <c:pt idx="883">
                  <c:v>741.5</c:v>
                </c:pt>
                <c:pt idx="884">
                  <c:v>742</c:v>
                </c:pt>
                <c:pt idx="885">
                  <c:v>742.5</c:v>
                </c:pt>
                <c:pt idx="886">
                  <c:v>743</c:v>
                </c:pt>
                <c:pt idx="887">
                  <c:v>743.5</c:v>
                </c:pt>
                <c:pt idx="888">
                  <c:v>744</c:v>
                </c:pt>
                <c:pt idx="889">
                  <c:v>744.5</c:v>
                </c:pt>
                <c:pt idx="890">
                  <c:v>745</c:v>
                </c:pt>
                <c:pt idx="891">
                  <c:v>745.5</c:v>
                </c:pt>
                <c:pt idx="892">
                  <c:v>746</c:v>
                </c:pt>
                <c:pt idx="893">
                  <c:v>746.5</c:v>
                </c:pt>
                <c:pt idx="894">
                  <c:v>747</c:v>
                </c:pt>
                <c:pt idx="895">
                  <c:v>747.5</c:v>
                </c:pt>
                <c:pt idx="896">
                  <c:v>748</c:v>
                </c:pt>
                <c:pt idx="897">
                  <c:v>748.5</c:v>
                </c:pt>
                <c:pt idx="898">
                  <c:v>749</c:v>
                </c:pt>
                <c:pt idx="899">
                  <c:v>749.5</c:v>
                </c:pt>
                <c:pt idx="900">
                  <c:v>750</c:v>
                </c:pt>
              </c:numCache>
            </c:numRef>
          </c:cat>
          <c:val>
            <c:numRef>
              <c:f>'T2 (8)'!$B$113:$B$1013</c:f>
              <c:numCache>
                <c:formatCode>0.00E+00</c:formatCode>
                <c:ptCount val="901"/>
                <c:pt idx="0">
                  <c:v>0</c:v>
                </c:pt>
                <c:pt idx="1">
                  <c:v>0</c:v>
                </c:pt>
                <c:pt idx="2">
                  <c:v>0</c:v>
                </c:pt>
                <c:pt idx="3">
                  <c:v>0</c:v>
                </c:pt>
                <c:pt idx="4">
                  <c:v>0</c:v>
                </c:pt>
                <c:pt idx="5">
                  <c:v>0</c:v>
                </c:pt>
                <c:pt idx="6">
                  <c:v>0</c:v>
                </c:pt>
                <c:pt idx="7">
                  <c:v>0</c:v>
                </c:pt>
                <c:pt idx="8">
                  <c:v>0</c:v>
                </c:pt>
                <c:pt idx="9">
                  <c:v>0</c:v>
                </c:pt>
                <c:pt idx="10">
                  <c:v>0</c:v>
                </c:pt>
                <c:pt idx="11">
                  <c:v>0</c:v>
                </c:pt>
                <c:pt idx="12">
                  <c:v>0</c:v>
                </c:pt>
                <c:pt idx="13">
                  <c:v>0</c:v>
                </c:pt>
                <c:pt idx="14">
                  <c:v>0</c:v>
                </c:pt>
                <c:pt idx="15">
                  <c:v>0</c:v>
                </c:pt>
                <c:pt idx="16">
                  <c:v>0</c:v>
                </c:pt>
                <c:pt idx="17">
                  <c:v>0</c:v>
                </c:pt>
                <c:pt idx="18">
                  <c:v>0</c:v>
                </c:pt>
                <c:pt idx="19">
                  <c:v>0</c:v>
                </c:pt>
                <c:pt idx="20">
                  <c:v>0</c:v>
                </c:pt>
                <c:pt idx="21">
                  <c:v>0</c:v>
                </c:pt>
                <c:pt idx="22">
                  <c:v>0</c:v>
                </c:pt>
                <c:pt idx="23">
                  <c:v>0</c:v>
                </c:pt>
                <c:pt idx="24">
                  <c:v>0</c:v>
                </c:pt>
                <c:pt idx="25">
                  <c:v>0</c:v>
                </c:pt>
                <c:pt idx="26">
                  <c:v>0</c:v>
                </c:pt>
                <c:pt idx="27">
                  <c:v>0</c:v>
                </c:pt>
                <c:pt idx="28">
                  <c:v>0</c:v>
                </c:pt>
                <c:pt idx="29">
                  <c:v>0</c:v>
                </c:pt>
                <c:pt idx="30">
                  <c:v>0</c:v>
                </c:pt>
                <c:pt idx="31">
                  <c:v>0</c:v>
                </c:pt>
                <c:pt idx="32">
                  <c:v>0</c:v>
                </c:pt>
                <c:pt idx="33">
                  <c:v>0</c:v>
                </c:pt>
                <c:pt idx="34">
                  <c:v>0</c:v>
                </c:pt>
                <c:pt idx="35">
                  <c:v>0</c:v>
                </c:pt>
                <c:pt idx="36">
                  <c:v>0</c:v>
                </c:pt>
                <c:pt idx="37">
                  <c:v>0</c:v>
                </c:pt>
                <c:pt idx="38">
                  <c:v>0</c:v>
                </c:pt>
                <c:pt idx="39">
                  <c:v>0</c:v>
                </c:pt>
                <c:pt idx="40">
                  <c:v>0</c:v>
                </c:pt>
                <c:pt idx="41">
                  <c:v>0</c:v>
                </c:pt>
                <c:pt idx="42">
                  <c:v>0</c:v>
                </c:pt>
                <c:pt idx="43">
                  <c:v>0</c:v>
                </c:pt>
                <c:pt idx="44">
                  <c:v>0</c:v>
                </c:pt>
                <c:pt idx="45">
                  <c:v>0</c:v>
                </c:pt>
                <c:pt idx="46">
                  <c:v>0</c:v>
                </c:pt>
                <c:pt idx="47">
                  <c:v>0</c:v>
                </c:pt>
                <c:pt idx="48">
                  <c:v>0</c:v>
                </c:pt>
                <c:pt idx="49">
                  <c:v>0</c:v>
                </c:pt>
                <c:pt idx="50">
                  <c:v>0</c:v>
                </c:pt>
                <c:pt idx="51">
                  <c:v>0</c:v>
                </c:pt>
                <c:pt idx="52">
                  <c:v>0</c:v>
                </c:pt>
                <c:pt idx="53">
                  <c:v>0</c:v>
                </c:pt>
                <c:pt idx="54">
                  <c:v>0</c:v>
                </c:pt>
                <c:pt idx="55">
                  <c:v>0</c:v>
                </c:pt>
                <c:pt idx="56">
                  <c:v>0</c:v>
                </c:pt>
                <c:pt idx="57">
                  <c:v>0</c:v>
                </c:pt>
                <c:pt idx="58">
                  <c:v>0</c:v>
                </c:pt>
                <c:pt idx="59">
                  <c:v>0</c:v>
                </c:pt>
                <c:pt idx="60">
                  <c:v>0</c:v>
                </c:pt>
                <c:pt idx="61">
                  <c:v>0</c:v>
                </c:pt>
                <c:pt idx="62">
                  <c:v>0</c:v>
                </c:pt>
                <c:pt idx="63">
                  <c:v>0</c:v>
                </c:pt>
                <c:pt idx="64">
                  <c:v>0</c:v>
                </c:pt>
                <c:pt idx="65">
                  <c:v>0</c:v>
                </c:pt>
                <c:pt idx="66">
                  <c:v>0</c:v>
                </c:pt>
                <c:pt idx="67">
                  <c:v>0</c:v>
                </c:pt>
                <c:pt idx="68">
                  <c:v>0</c:v>
                </c:pt>
                <c:pt idx="69">
                  <c:v>0</c:v>
                </c:pt>
                <c:pt idx="70">
                  <c:v>0</c:v>
                </c:pt>
                <c:pt idx="71">
                  <c:v>0</c:v>
                </c:pt>
                <c:pt idx="72">
                  <c:v>0</c:v>
                </c:pt>
                <c:pt idx="73">
                  <c:v>0</c:v>
                </c:pt>
                <c:pt idx="74">
                  <c:v>0</c:v>
                </c:pt>
                <c:pt idx="75">
                  <c:v>0</c:v>
                </c:pt>
                <c:pt idx="76">
                  <c:v>0</c:v>
                </c:pt>
                <c:pt idx="77">
                  <c:v>0</c:v>
                </c:pt>
                <c:pt idx="78">
                  <c:v>0</c:v>
                </c:pt>
                <c:pt idx="79">
                  <c:v>0</c:v>
                </c:pt>
                <c:pt idx="80">
                  <c:v>0</c:v>
                </c:pt>
                <c:pt idx="81">
                  <c:v>0</c:v>
                </c:pt>
                <c:pt idx="82">
                  <c:v>0</c:v>
                </c:pt>
                <c:pt idx="83">
                  <c:v>0</c:v>
                </c:pt>
                <c:pt idx="84">
                  <c:v>0</c:v>
                </c:pt>
                <c:pt idx="85">
                  <c:v>0</c:v>
                </c:pt>
                <c:pt idx="86">
                  <c:v>0</c:v>
                </c:pt>
                <c:pt idx="87">
                  <c:v>0</c:v>
                </c:pt>
                <c:pt idx="88">
                  <c:v>0</c:v>
                </c:pt>
                <c:pt idx="89">
                  <c:v>0</c:v>
                </c:pt>
                <c:pt idx="90">
                  <c:v>0</c:v>
                </c:pt>
                <c:pt idx="91">
                  <c:v>0</c:v>
                </c:pt>
                <c:pt idx="92">
                  <c:v>0</c:v>
                </c:pt>
                <c:pt idx="93">
                  <c:v>0</c:v>
                </c:pt>
                <c:pt idx="94">
                  <c:v>0</c:v>
                </c:pt>
                <c:pt idx="95">
                  <c:v>0</c:v>
                </c:pt>
                <c:pt idx="96">
                  <c:v>0</c:v>
                </c:pt>
                <c:pt idx="97">
                  <c:v>0</c:v>
                </c:pt>
                <c:pt idx="98">
                  <c:v>0</c:v>
                </c:pt>
                <c:pt idx="99">
                  <c:v>0</c:v>
                </c:pt>
                <c:pt idx="100">
                  <c:v>0</c:v>
                </c:pt>
                <c:pt idx="101">
                  <c:v>0</c:v>
                </c:pt>
                <c:pt idx="102">
                  <c:v>0</c:v>
                </c:pt>
                <c:pt idx="103">
                  <c:v>0</c:v>
                </c:pt>
                <c:pt idx="104">
                  <c:v>0</c:v>
                </c:pt>
                <c:pt idx="105">
                  <c:v>0</c:v>
                </c:pt>
                <c:pt idx="106">
                  <c:v>0</c:v>
                </c:pt>
                <c:pt idx="107">
                  <c:v>0</c:v>
                </c:pt>
                <c:pt idx="108">
                  <c:v>0</c:v>
                </c:pt>
                <c:pt idx="109">
                  <c:v>0</c:v>
                </c:pt>
                <c:pt idx="110">
                  <c:v>0</c:v>
                </c:pt>
                <c:pt idx="111">
                  <c:v>0</c:v>
                </c:pt>
                <c:pt idx="112">
                  <c:v>0</c:v>
                </c:pt>
                <c:pt idx="113">
                  <c:v>0</c:v>
                </c:pt>
                <c:pt idx="114">
                  <c:v>0</c:v>
                </c:pt>
                <c:pt idx="115">
                  <c:v>0</c:v>
                </c:pt>
                <c:pt idx="116">
                  <c:v>0</c:v>
                </c:pt>
                <c:pt idx="117">
                  <c:v>0</c:v>
                </c:pt>
                <c:pt idx="118">
                  <c:v>0</c:v>
                </c:pt>
                <c:pt idx="119">
                  <c:v>0</c:v>
                </c:pt>
                <c:pt idx="120">
                  <c:v>0</c:v>
                </c:pt>
                <c:pt idx="121">
                  <c:v>0</c:v>
                </c:pt>
                <c:pt idx="122">
                  <c:v>0</c:v>
                </c:pt>
                <c:pt idx="123">
                  <c:v>0</c:v>
                </c:pt>
                <c:pt idx="124">
                  <c:v>0</c:v>
                </c:pt>
                <c:pt idx="125">
                  <c:v>0</c:v>
                </c:pt>
                <c:pt idx="126">
                  <c:v>0</c:v>
                </c:pt>
                <c:pt idx="127">
                  <c:v>0</c:v>
                </c:pt>
                <c:pt idx="128">
                  <c:v>0</c:v>
                </c:pt>
                <c:pt idx="129">
                  <c:v>0</c:v>
                </c:pt>
                <c:pt idx="130">
                  <c:v>0</c:v>
                </c:pt>
                <c:pt idx="131">
                  <c:v>0</c:v>
                </c:pt>
                <c:pt idx="132">
                  <c:v>0</c:v>
                </c:pt>
                <c:pt idx="133">
                  <c:v>0</c:v>
                </c:pt>
                <c:pt idx="134">
                  <c:v>0</c:v>
                </c:pt>
                <c:pt idx="135">
                  <c:v>0</c:v>
                </c:pt>
                <c:pt idx="136">
                  <c:v>0</c:v>
                </c:pt>
                <c:pt idx="137">
                  <c:v>0</c:v>
                </c:pt>
                <c:pt idx="138">
                  <c:v>0</c:v>
                </c:pt>
                <c:pt idx="139">
                  <c:v>0</c:v>
                </c:pt>
                <c:pt idx="140">
                  <c:v>0</c:v>
                </c:pt>
                <c:pt idx="141">
                  <c:v>0</c:v>
                </c:pt>
                <c:pt idx="142">
                  <c:v>0</c:v>
                </c:pt>
                <c:pt idx="143">
                  <c:v>0</c:v>
                </c:pt>
                <c:pt idx="144">
                  <c:v>0</c:v>
                </c:pt>
                <c:pt idx="145">
                  <c:v>0</c:v>
                </c:pt>
                <c:pt idx="146">
                  <c:v>0</c:v>
                </c:pt>
                <c:pt idx="147">
                  <c:v>0</c:v>
                </c:pt>
                <c:pt idx="148">
                  <c:v>0</c:v>
                </c:pt>
                <c:pt idx="149">
                  <c:v>0</c:v>
                </c:pt>
                <c:pt idx="150">
                  <c:v>0</c:v>
                </c:pt>
                <c:pt idx="151">
                  <c:v>0</c:v>
                </c:pt>
                <c:pt idx="152">
                  <c:v>0</c:v>
                </c:pt>
                <c:pt idx="153">
                  <c:v>0</c:v>
                </c:pt>
                <c:pt idx="154">
                  <c:v>0</c:v>
                </c:pt>
                <c:pt idx="155">
                  <c:v>0</c:v>
                </c:pt>
                <c:pt idx="156">
                  <c:v>0</c:v>
                </c:pt>
                <c:pt idx="157">
                  <c:v>0</c:v>
                </c:pt>
                <c:pt idx="158">
                  <c:v>0</c:v>
                </c:pt>
                <c:pt idx="159">
                  <c:v>0</c:v>
                </c:pt>
                <c:pt idx="160">
                  <c:v>0</c:v>
                </c:pt>
                <c:pt idx="161">
                  <c:v>0</c:v>
                </c:pt>
                <c:pt idx="162">
                  <c:v>0</c:v>
                </c:pt>
                <c:pt idx="163">
                  <c:v>0</c:v>
                </c:pt>
                <c:pt idx="164">
                  <c:v>0</c:v>
                </c:pt>
                <c:pt idx="165">
                  <c:v>0</c:v>
                </c:pt>
                <c:pt idx="166">
                  <c:v>0</c:v>
                </c:pt>
                <c:pt idx="167">
                  <c:v>0</c:v>
                </c:pt>
                <c:pt idx="168">
                  <c:v>0</c:v>
                </c:pt>
                <c:pt idx="169">
                  <c:v>0</c:v>
                </c:pt>
                <c:pt idx="170">
                  <c:v>0</c:v>
                </c:pt>
                <c:pt idx="171">
                  <c:v>0</c:v>
                </c:pt>
                <c:pt idx="172">
                  <c:v>0</c:v>
                </c:pt>
                <c:pt idx="173">
                  <c:v>0</c:v>
                </c:pt>
                <c:pt idx="174">
                  <c:v>0</c:v>
                </c:pt>
                <c:pt idx="175">
                  <c:v>0</c:v>
                </c:pt>
                <c:pt idx="176">
                  <c:v>0</c:v>
                </c:pt>
                <c:pt idx="177">
                  <c:v>0</c:v>
                </c:pt>
                <c:pt idx="178">
                  <c:v>0</c:v>
                </c:pt>
                <c:pt idx="179">
                  <c:v>0</c:v>
                </c:pt>
                <c:pt idx="180">
                  <c:v>0</c:v>
                </c:pt>
                <c:pt idx="181">
                  <c:v>0</c:v>
                </c:pt>
                <c:pt idx="182">
                  <c:v>0</c:v>
                </c:pt>
                <c:pt idx="183">
                  <c:v>0</c:v>
                </c:pt>
                <c:pt idx="184">
                  <c:v>0</c:v>
                </c:pt>
                <c:pt idx="185">
                  <c:v>0</c:v>
                </c:pt>
                <c:pt idx="186">
                  <c:v>0</c:v>
                </c:pt>
                <c:pt idx="187">
                  <c:v>0</c:v>
                </c:pt>
                <c:pt idx="188">
                  <c:v>0</c:v>
                </c:pt>
                <c:pt idx="189">
                  <c:v>0</c:v>
                </c:pt>
                <c:pt idx="190">
                  <c:v>0</c:v>
                </c:pt>
                <c:pt idx="191">
                  <c:v>0</c:v>
                </c:pt>
                <c:pt idx="192">
                  <c:v>0</c:v>
                </c:pt>
                <c:pt idx="193">
                  <c:v>0</c:v>
                </c:pt>
                <c:pt idx="194">
                  <c:v>0</c:v>
                </c:pt>
                <c:pt idx="195">
                  <c:v>0</c:v>
                </c:pt>
                <c:pt idx="196">
                  <c:v>0</c:v>
                </c:pt>
                <c:pt idx="197">
                  <c:v>0</c:v>
                </c:pt>
                <c:pt idx="198">
                  <c:v>0</c:v>
                </c:pt>
                <c:pt idx="199">
                  <c:v>0</c:v>
                </c:pt>
                <c:pt idx="200">
                  <c:v>0</c:v>
                </c:pt>
                <c:pt idx="201">
                  <c:v>0</c:v>
                </c:pt>
                <c:pt idx="202">
                  <c:v>0</c:v>
                </c:pt>
                <c:pt idx="203">
                  <c:v>0</c:v>
                </c:pt>
                <c:pt idx="204">
                  <c:v>0</c:v>
                </c:pt>
                <c:pt idx="205">
                  <c:v>0</c:v>
                </c:pt>
                <c:pt idx="206">
                  <c:v>0</c:v>
                </c:pt>
                <c:pt idx="207">
                  <c:v>0</c:v>
                </c:pt>
                <c:pt idx="208">
                  <c:v>0</c:v>
                </c:pt>
                <c:pt idx="209">
                  <c:v>0</c:v>
                </c:pt>
                <c:pt idx="210">
                  <c:v>0</c:v>
                </c:pt>
                <c:pt idx="211">
                  <c:v>0</c:v>
                </c:pt>
                <c:pt idx="212">
                  <c:v>1.1678472E-6</c:v>
                </c:pt>
                <c:pt idx="213">
                  <c:v>6.1139520000000008E-5</c:v>
                </c:pt>
                <c:pt idx="214">
                  <c:v>3.8396124000000002E-5</c:v>
                </c:pt>
                <c:pt idx="215">
                  <c:v>1.4843087999999997E-5</c:v>
                </c:pt>
                <c:pt idx="216">
                  <c:v>0</c:v>
                </c:pt>
                <c:pt idx="217">
                  <c:v>0</c:v>
                </c:pt>
                <c:pt idx="218">
                  <c:v>1.101204E-5</c:v>
                </c:pt>
                <c:pt idx="219">
                  <c:v>2.6923571999999994E-5</c:v>
                </c:pt>
                <c:pt idx="220">
                  <c:v>4.1616431999999998E-5</c:v>
                </c:pt>
                <c:pt idx="221">
                  <c:v>1.2293424000000002E-4</c:v>
                </c:pt>
                <c:pt idx="222">
                  <c:v>2.2483656E-4</c:v>
                </c:pt>
                <c:pt idx="223">
                  <c:v>3.283254E-4</c:v>
                </c:pt>
                <c:pt idx="224">
                  <c:v>4.0628951999999998E-4</c:v>
                </c:pt>
                <c:pt idx="225">
                  <c:v>4.7721959999999996E-4</c:v>
                </c:pt>
                <c:pt idx="226">
                  <c:v>5.4596880000000014E-4</c:v>
                </c:pt>
                <c:pt idx="227">
                  <c:v>6.242652E-4</c:v>
                </c:pt>
                <c:pt idx="228">
                  <c:v>6.5646359999999991E-4</c:v>
                </c:pt>
                <c:pt idx="229">
                  <c:v>6.9507360000000003E-4</c:v>
                </c:pt>
                <c:pt idx="230">
                  <c:v>7.8736319999999987E-4</c:v>
                </c:pt>
                <c:pt idx="231">
                  <c:v>9.4512600000000002E-4</c:v>
                </c:pt>
                <c:pt idx="232">
                  <c:v>1.1460852000000001E-3</c:v>
                </c:pt>
                <c:pt idx="233">
                  <c:v>1.3244399999999999E-3</c:v>
                </c:pt>
                <c:pt idx="234">
                  <c:v>1.4536548E-3</c:v>
                </c:pt>
                <c:pt idx="235">
                  <c:v>1.5876432E-3</c:v>
                </c:pt>
                <c:pt idx="236">
                  <c:v>1.7092296000000002E-3</c:v>
                </c:pt>
                <c:pt idx="237">
                  <c:v>1.8824364000000001E-3</c:v>
                </c:pt>
                <c:pt idx="238">
                  <c:v>2.0923343999999997E-3</c:v>
                </c:pt>
                <c:pt idx="239">
                  <c:v>2.3252579999999998E-3</c:v>
                </c:pt>
                <c:pt idx="240">
                  <c:v>2.5888356E-3</c:v>
                </c:pt>
                <c:pt idx="241">
                  <c:v>2.8782468000000004E-3</c:v>
                </c:pt>
                <c:pt idx="242">
                  <c:v>3.2046767999999995E-3</c:v>
                </c:pt>
                <c:pt idx="243">
                  <c:v>3.5626031999999993E-3</c:v>
                </c:pt>
                <c:pt idx="244">
                  <c:v>3.9727584E-3</c:v>
                </c:pt>
                <c:pt idx="245">
                  <c:v>4.3509023999999995E-3</c:v>
                </c:pt>
                <c:pt idx="246">
                  <c:v>4.69638E-3</c:v>
                </c:pt>
                <c:pt idx="247">
                  <c:v>5.0843519999999994E-3</c:v>
                </c:pt>
                <c:pt idx="248">
                  <c:v>5.5004039999999995E-3</c:v>
                </c:pt>
                <c:pt idx="249">
                  <c:v>5.9669999999999992E-3</c:v>
                </c:pt>
                <c:pt idx="250">
                  <c:v>6.4916280000000002E-3</c:v>
                </c:pt>
                <c:pt idx="251">
                  <c:v>7.0359120000000009E-3</c:v>
                </c:pt>
                <c:pt idx="252">
                  <c:v>7.685496E-3</c:v>
                </c:pt>
                <c:pt idx="253">
                  <c:v>8.3959199999999994E-3</c:v>
                </c:pt>
                <c:pt idx="254">
                  <c:v>9.1395720000000003E-3</c:v>
                </c:pt>
                <c:pt idx="255">
                  <c:v>9.9295560000000008E-3</c:v>
                </c:pt>
                <c:pt idx="256">
                  <c:v>1.0752767999999999E-2</c:v>
                </c:pt>
                <c:pt idx="257">
                  <c:v>1.1556792000000001E-2</c:v>
                </c:pt>
                <c:pt idx="258">
                  <c:v>1.2471264000000001E-2</c:v>
                </c:pt>
                <c:pt idx="259">
                  <c:v>1.3392287999999999E-2</c:v>
                </c:pt>
                <c:pt idx="260">
                  <c:v>1.4374619999999998E-2</c:v>
                </c:pt>
                <c:pt idx="261">
                  <c:v>1.5445404000000001E-2</c:v>
                </c:pt>
                <c:pt idx="262">
                  <c:v>1.6627572E-2</c:v>
                </c:pt>
                <c:pt idx="263">
                  <c:v>1.7953884E-2</c:v>
                </c:pt>
                <c:pt idx="264">
                  <c:v>1.9328867999999999E-2</c:v>
                </c:pt>
                <c:pt idx="265">
                  <c:v>2.0735675999999998E-2</c:v>
                </c:pt>
                <c:pt idx="266">
                  <c:v>2.2210344E-2</c:v>
                </c:pt>
                <c:pt idx="267">
                  <c:v>2.3699987999999998E-2</c:v>
                </c:pt>
                <c:pt idx="268">
                  <c:v>2.5284635999999996E-2</c:v>
                </c:pt>
                <c:pt idx="269">
                  <c:v>2.6951184E-2</c:v>
                </c:pt>
                <c:pt idx="270">
                  <c:v>2.8718820000000003E-2</c:v>
                </c:pt>
                <c:pt idx="271">
                  <c:v>3.0519216000000002E-2</c:v>
                </c:pt>
                <c:pt idx="272">
                  <c:v>3.2384664000000001E-2</c:v>
                </c:pt>
                <c:pt idx="273">
                  <c:v>3.4251515999999996E-2</c:v>
                </c:pt>
                <c:pt idx="274">
                  <c:v>3.6187632000000004E-2</c:v>
                </c:pt>
                <c:pt idx="275">
                  <c:v>3.8268359999999994E-2</c:v>
                </c:pt>
                <c:pt idx="276">
                  <c:v>4.0432859999999994E-2</c:v>
                </c:pt>
                <c:pt idx="277">
                  <c:v>4.2718571999999996E-2</c:v>
                </c:pt>
                <c:pt idx="278">
                  <c:v>4.4921915999999999E-2</c:v>
                </c:pt>
                <c:pt idx="279">
                  <c:v>4.7174399999999998E-2</c:v>
                </c:pt>
                <c:pt idx="280">
                  <c:v>4.9448880000000008E-2</c:v>
                </c:pt>
                <c:pt idx="281">
                  <c:v>5.1793560000000002E-2</c:v>
                </c:pt>
                <c:pt idx="282">
                  <c:v>5.4086760000000005E-2</c:v>
                </c:pt>
                <c:pt idx="283">
                  <c:v>5.631444E-2</c:v>
                </c:pt>
                <c:pt idx="284">
                  <c:v>5.8635720000000002E-2</c:v>
                </c:pt>
                <c:pt idx="285">
                  <c:v>6.1036560000000017E-2</c:v>
                </c:pt>
                <c:pt idx="286">
                  <c:v>6.3273599999999999E-2</c:v>
                </c:pt>
                <c:pt idx="287">
                  <c:v>6.5384280000000003E-2</c:v>
                </c:pt>
                <c:pt idx="288">
                  <c:v>6.7340520000000001E-2</c:v>
                </c:pt>
                <c:pt idx="289">
                  <c:v>6.9189119999999993E-2</c:v>
                </c:pt>
                <c:pt idx="290">
                  <c:v>7.0780320000000008E-2</c:v>
                </c:pt>
                <c:pt idx="291">
                  <c:v>7.2376200000000002E-2</c:v>
                </c:pt>
                <c:pt idx="292">
                  <c:v>7.3850399999999997E-2</c:v>
                </c:pt>
                <c:pt idx="293">
                  <c:v>7.508592E-2</c:v>
                </c:pt>
                <c:pt idx="294">
                  <c:v>7.6078080000000006E-2</c:v>
                </c:pt>
                <c:pt idx="295">
                  <c:v>7.68924E-2</c:v>
                </c:pt>
                <c:pt idx="296">
                  <c:v>7.7402520000000002E-2</c:v>
                </c:pt>
                <c:pt idx="297">
                  <c:v>7.7786280000000013E-2</c:v>
                </c:pt>
                <c:pt idx="298">
                  <c:v>7.8132599999999983E-2</c:v>
                </c:pt>
                <c:pt idx="299">
                  <c:v>7.809983999999999E-2</c:v>
                </c:pt>
                <c:pt idx="300">
                  <c:v>7.7669279999999993E-2</c:v>
                </c:pt>
                <c:pt idx="301">
                  <c:v>7.7032799999999998E-2</c:v>
                </c:pt>
                <c:pt idx="302">
                  <c:v>7.6232520000000012E-2</c:v>
                </c:pt>
                <c:pt idx="303">
                  <c:v>7.5128040000000007E-2</c:v>
                </c:pt>
                <c:pt idx="304">
                  <c:v>7.3719359999999998E-2</c:v>
                </c:pt>
                <c:pt idx="305">
                  <c:v>7.2184319999999996E-2</c:v>
                </c:pt>
                <c:pt idx="306">
                  <c:v>7.0579080000000002E-2</c:v>
                </c:pt>
                <c:pt idx="307">
                  <c:v>6.8683680000000011E-2</c:v>
                </c:pt>
                <c:pt idx="308">
                  <c:v>6.6619800000000007E-2</c:v>
                </c:pt>
                <c:pt idx="309">
                  <c:v>6.4326599999999998E-2</c:v>
                </c:pt>
                <c:pt idx="310">
                  <c:v>6.1930440000000003E-2</c:v>
                </c:pt>
                <c:pt idx="311">
                  <c:v>5.9431319999999989E-2</c:v>
                </c:pt>
                <c:pt idx="312">
                  <c:v>5.7011760000000002E-2</c:v>
                </c:pt>
                <c:pt idx="313">
                  <c:v>5.4732599999999999E-2</c:v>
                </c:pt>
                <c:pt idx="314">
                  <c:v>5.2313039999999998E-2</c:v>
                </c:pt>
                <c:pt idx="315">
                  <c:v>4.9795199999999998E-2</c:v>
                </c:pt>
                <c:pt idx="316">
                  <c:v>4.7525399999999995E-2</c:v>
                </c:pt>
                <c:pt idx="317">
                  <c:v>4.5358092000000003E-2</c:v>
                </c:pt>
                <c:pt idx="318">
                  <c:v>4.3261919999999995E-2</c:v>
                </c:pt>
                <c:pt idx="319">
                  <c:v>4.1138135999999999E-2</c:v>
                </c:pt>
                <c:pt idx="320">
                  <c:v>3.9114504000000001E-2</c:v>
                </c:pt>
                <c:pt idx="321">
                  <c:v>3.7243907999999992E-2</c:v>
                </c:pt>
                <c:pt idx="322">
                  <c:v>3.5554896000000002E-2</c:v>
                </c:pt>
                <c:pt idx="323">
                  <c:v>3.3907536000000002E-2</c:v>
                </c:pt>
                <c:pt idx="324">
                  <c:v>3.2269067999999998E-2</c:v>
                </c:pt>
                <c:pt idx="325">
                  <c:v>3.0811716000000006E-2</c:v>
                </c:pt>
                <c:pt idx="326">
                  <c:v>2.9544840000000006E-2</c:v>
                </c:pt>
                <c:pt idx="327">
                  <c:v>2.8272815999999999E-2</c:v>
                </c:pt>
                <c:pt idx="328">
                  <c:v>2.6992367999999996E-2</c:v>
                </c:pt>
                <c:pt idx="329">
                  <c:v>2.5736723999999999E-2</c:v>
                </c:pt>
                <c:pt idx="330">
                  <c:v>2.4555023999999998E-2</c:v>
                </c:pt>
                <c:pt idx="331">
                  <c:v>2.3578775999999999E-2</c:v>
                </c:pt>
                <c:pt idx="332">
                  <c:v>2.2689108000000003E-2</c:v>
                </c:pt>
                <c:pt idx="333">
                  <c:v>2.1848579999999999E-2</c:v>
                </c:pt>
                <c:pt idx="334">
                  <c:v>2.087514E-2</c:v>
                </c:pt>
                <c:pt idx="335">
                  <c:v>1.9854432000000002E-2</c:v>
                </c:pt>
                <c:pt idx="336">
                  <c:v>1.8778032E-2</c:v>
                </c:pt>
                <c:pt idx="337">
                  <c:v>1.7712863999999998E-2</c:v>
                </c:pt>
                <c:pt idx="338">
                  <c:v>1.6713684000000003E-2</c:v>
                </c:pt>
                <c:pt idx="339">
                  <c:v>1.5821676E-2</c:v>
                </c:pt>
                <c:pt idx="340">
                  <c:v>1.4975532E-2</c:v>
                </c:pt>
                <c:pt idx="341">
                  <c:v>1.4246387999999999E-2</c:v>
                </c:pt>
                <c:pt idx="342">
                  <c:v>1.3531752000000001E-2</c:v>
                </c:pt>
                <c:pt idx="343">
                  <c:v>1.2837240000000001E-2</c:v>
                </c:pt>
                <c:pt idx="344">
                  <c:v>1.211886E-2</c:v>
                </c:pt>
                <c:pt idx="345">
                  <c:v>1.1434644000000001E-2</c:v>
                </c:pt>
                <c:pt idx="346">
                  <c:v>1.0763063999999999E-2</c:v>
                </c:pt>
                <c:pt idx="347">
                  <c:v>1.0154196000000001E-2</c:v>
                </c:pt>
                <c:pt idx="348">
                  <c:v>9.6248879999999998E-3</c:v>
                </c:pt>
                <c:pt idx="349">
                  <c:v>9.1727999999999983E-3</c:v>
                </c:pt>
                <c:pt idx="350">
                  <c:v>8.752536E-3</c:v>
                </c:pt>
                <c:pt idx="351">
                  <c:v>8.3018520000000002E-3</c:v>
                </c:pt>
                <c:pt idx="352">
                  <c:v>7.8067079999999999E-3</c:v>
                </c:pt>
                <c:pt idx="353">
                  <c:v>7.3087559999999996E-3</c:v>
                </c:pt>
                <c:pt idx="354">
                  <c:v>6.8735160000000005E-3</c:v>
                </c:pt>
                <c:pt idx="355">
                  <c:v>6.4869480000000002E-3</c:v>
                </c:pt>
                <c:pt idx="356">
                  <c:v>6.1181639999999997E-3</c:v>
                </c:pt>
                <c:pt idx="357">
                  <c:v>5.7671639999999991E-3</c:v>
                </c:pt>
                <c:pt idx="358">
                  <c:v>5.4699840000000007E-3</c:v>
                </c:pt>
                <c:pt idx="359">
                  <c:v>5.2383239999999999E-3</c:v>
                </c:pt>
                <c:pt idx="360">
                  <c:v>5.0412959999999998E-3</c:v>
                </c:pt>
                <c:pt idx="361">
                  <c:v>4.8185279999999999E-3</c:v>
                </c:pt>
                <c:pt idx="362">
                  <c:v>4.5713304000000003E-3</c:v>
                </c:pt>
                <c:pt idx="363">
                  <c:v>4.3357859999999995E-3</c:v>
                </c:pt>
                <c:pt idx="364">
                  <c:v>4.1087591999999992E-3</c:v>
                </c:pt>
                <c:pt idx="365">
                  <c:v>3.9090635999999993E-3</c:v>
                </c:pt>
                <c:pt idx="366">
                  <c:v>3.6424907999999998E-3</c:v>
                </c:pt>
                <c:pt idx="367">
                  <c:v>3.4102692000000001E-3</c:v>
                </c:pt>
                <c:pt idx="368">
                  <c:v>3.1627440000000003E-3</c:v>
                </c:pt>
                <c:pt idx="369">
                  <c:v>2.9494295999999997E-3</c:v>
                </c:pt>
                <c:pt idx="370">
                  <c:v>2.7957384E-3</c:v>
                </c:pt>
                <c:pt idx="371">
                  <c:v>2.664558E-3</c:v>
                </c:pt>
                <c:pt idx="372">
                  <c:v>2.6065259999999996E-3</c:v>
                </c:pt>
                <c:pt idx="373">
                  <c:v>2.5235964E-3</c:v>
                </c:pt>
                <c:pt idx="374">
                  <c:v>2.396862E-3</c:v>
                </c:pt>
                <c:pt idx="375">
                  <c:v>2.2346064000000002E-3</c:v>
                </c:pt>
                <c:pt idx="376">
                  <c:v>2.1043619999999998E-3</c:v>
                </c:pt>
                <c:pt idx="377">
                  <c:v>2.0195136000000003E-3</c:v>
                </c:pt>
                <c:pt idx="378">
                  <c:v>1.9319508E-3</c:v>
                </c:pt>
                <c:pt idx="379">
                  <c:v>1.8510336000000002E-3</c:v>
                </c:pt>
                <c:pt idx="380">
                  <c:v>1.7536895999999999E-3</c:v>
                </c:pt>
                <c:pt idx="381">
                  <c:v>1.6830684000000002E-3</c:v>
                </c:pt>
                <c:pt idx="382">
                  <c:v>1.6090308000000001E-3</c:v>
                </c:pt>
                <c:pt idx="383">
                  <c:v>1.516086E-3</c:v>
                </c:pt>
                <c:pt idx="384">
                  <c:v>1.4620788E-3</c:v>
                </c:pt>
                <c:pt idx="385">
                  <c:v>1.3875732000000001E-3</c:v>
                </c:pt>
                <c:pt idx="386">
                  <c:v>1.3035672000000001E-3</c:v>
                </c:pt>
                <c:pt idx="387">
                  <c:v>1.2389364000000001E-3</c:v>
                </c:pt>
                <c:pt idx="388">
                  <c:v>1.1641499999999999E-3</c:v>
                </c:pt>
                <c:pt idx="389">
                  <c:v>1.1238552000000001E-3</c:v>
                </c:pt>
                <c:pt idx="390">
                  <c:v>1.0583820000000001E-3</c:v>
                </c:pt>
                <c:pt idx="391">
                  <c:v>1.0328291999999999E-3</c:v>
                </c:pt>
                <c:pt idx="392">
                  <c:v>1.0328291999999999E-3</c:v>
                </c:pt>
                <c:pt idx="393">
                  <c:v>7.1999999999999994E-4</c:v>
                </c:pt>
                <c:pt idx="394">
                  <c:v>5.4000000000000001E-4</c:v>
                </c:pt>
                <c:pt idx="395">
                  <c:v>3.5999999999999997E-4</c:v>
                </c:pt>
                <c:pt idx="396">
                  <c:v>1.7999999999999998E-4</c:v>
                </c:pt>
                <c:pt idx="397">
                  <c:v>0</c:v>
                </c:pt>
                <c:pt idx="398">
                  <c:v>0</c:v>
                </c:pt>
                <c:pt idx="399">
                  <c:v>0</c:v>
                </c:pt>
                <c:pt idx="400">
                  <c:v>0</c:v>
                </c:pt>
                <c:pt idx="401">
                  <c:v>0</c:v>
                </c:pt>
                <c:pt idx="402">
                  <c:v>0</c:v>
                </c:pt>
                <c:pt idx="403">
                  <c:v>0</c:v>
                </c:pt>
                <c:pt idx="404">
                  <c:v>0</c:v>
                </c:pt>
                <c:pt idx="405">
                  <c:v>0</c:v>
                </c:pt>
                <c:pt idx="406">
                  <c:v>0</c:v>
                </c:pt>
                <c:pt idx="407">
                  <c:v>0</c:v>
                </c:pt>
                <c:pt idx="408">
                  <c:v>0</c:v>
                </c:pt>
                <c:pt idx="409">
                  <c:v>0</c:v>
                </c:pt>
                <c:pt idx="410">
                  <c:v>0</c:v>
                </c:pt>
                <c:pt idx="411">
                  <c:v>0</c:v>
                </c:pt>
                <c:pt idx="412">
                  <c:v>0</c:v>
                </c:pt>
                <c:pt idx="413">
                  <c:v>0</c:v>
                </c:pt>
                <c:pt idx="414">
                  <c:v>0</c:v>
                </c:pt>
                <c:pt idx="415">
                  <c:v>0</c:v>
                </c:pt>
                <c:pt idx="416">
                  <c:v>0</c:v>
                </c:pt>
                <c:pt idx="417">
                  <c:v>0</c:v>
                </c:pt>
                <c:pt idx="418">
                  <c:v>0</c:v>
                </c:pt>
                <c:pt idx="419">
                  <c:v>0</c:v>
                </c:pt>
                <c:pt idx="420">
                  <c:v>0</c:v>
                </c:pt>
                <c:pt idx="421">
                  <c:v>0</c:v>
                </c:pt>
                <c:pt idx="422">
                  <c:v>0</c:v>
                </c:pt>
                <c:pt idx="423">
                  <c:v>0</c:v>
                </c:pt>
                <c:pt idx="424">
                  <c:v>0</c:v>
                </c:pt>
                <c:pt idx="425">
                  <c:v>0</c:v>
                </c:pt>
                <c:pt idx="426">
                  <c:v>0</c:v>
                </c:pt>
                <c:pt idx="427">
                  <c:v>0</c:v>
                </c:pt>
                <c:pt idx="428">
                  <c:v>0</c:v>
                </c:pt>
                <c:pt idx="429">
                  <c:v>0</c:v>
                </c:pt>
                <c:pt idx="430">
                  <c:v>0</c:v>
                </c:pt>
                <c:pt idx="431">
                  <c:v>0</c:v>
                </c:pt>
                <c:pt idx="432">
                  <c:v>0</c:v>
                </c:pt>
                <c:pt idx="433">
                  <c:v>0</c:v>
                </c:pt>
                <c:pt idx="434">
                  <c:v>0</c:v>
                </c:pt>
                <c:pt idx="435">
                  <c:v>0</c:v>
                </c:pt>
                <c:pt idx="436">
                  <c:v>0</c:v>
                </c:pt>
                <c:pt idx="437">
                  <c:v>0</c:v>
                </c:pt>
                <c:pt idx="438">
                  <c:v>0</c:v>
                </c:pt>
                <c:pt idx="439">
                  <c:v>0</c:v>
                </c:pt>
                <c:pt idx="440">
                  <c:v>0</c:v>
                </c:pt>
                <c:pt idx="441">
                  <c:v>0</c:v>
                </c:pt>
                <c:pt idx="442">
                  <c:v>0</c:v>
                </c:pt>
                <c:pt idx="443">
                  <c:v>0</c:v>
                </c:pt>
                <c:pt idx="444">
                  <c:v>0</c:v>
                </c:pt>
                <c:pt idx="445">
                  <c:v>0</c:v>
                </c:pt>
                <c:pt idx="446">
                  <c:v>0</c:v>
                </c:pt>
                <c:pt idx="447">
                  <c:v>0</c:v>
                </c:pt>
                <c:pt idx="448">
                  <c:v>0</c:v>
                </c:pt>
                <c:pt idx="449">
                  <c:v>0</c:v>
                </c:pt>
                <c:pt idx="450">
                  <c:v>0</c:v>
                </c:pt>
                <c:pt idx="451">
                  <c:v>0</c:v>
                </c:pt>
                <c:pt idx="452">
                  <c:v>0</c:v>
                </c:pt>
                <c:pt idx="453">
                  <c:v>0</c:v>
                </c:pt>
                <c:pt idx="454">
                  <c:v>0</c:v>
                </c:pt>
                <c:pt idx="455">
                  <c:v>0</c:v>
                </c:pt>
                <c:pt idx="456">
                  <c:v>0</c:v>
                </c:pt>
                <c:pt idx="457">
                  <c:v>0</c:v>
                </c:pt>
                <c:pt idx="458">
                  <c:v>0</c:v>
                </c:pt>
                <c:pt idx="459">
                  <c:v>0</c:v>
                </c:pt>
                <c:pt idx="460">
                  <c:v>0</c:v>
                </c:pt>
                <c:pt idx="461">
                  <c:v>0</c:v>
                </c:pt>
                <c:pt idx="462">
                  <c:v>0</c:v>
                </c:pt>
                <c:pt idx="463">
                  <c:v>0</c:v>
                </c:pt>
                <c:pt idx="464">
                  <c:v>0</c:v>
                </c:pt>
                <c:pt idx="465">
                  <c:v>0</c:v>
                </c:pt>
                <c:pt idx="466">
                  <c:v>0</c:v>
                </c:pt>
                <c:pt idx="467">
                  <c:v>0</c:v>
                </c:pt>
                <c:pt idx="468">
                  <c:v>0</c:v>
                </c:pt>
                <c:pt idx="469">
                  <c:v>0</c:v>
                </c:pt>
                <c:pt idx="470">
                  <c:v>0</c:v>
                </c:pt>
                <c:pt idx="471">
                  <c:v>0</c:v>
                </c:pt>
                <c:pt idx="472">
                  <c:v>0</c:v>
                </c:pt>
                <c:pt idx="473">
                  <c:v>0</c:v>
                </c:pt>
                <c:pt idx="474">
                  <c:v>0</c:v>
                </c:pt>
                <c:pt idx="475">
                  <c:v>0</c:v>
                </c:pt>
                <c:pt idx="476">
                  <c:v>0</c:v>
                </c:pt>
                <c:pt idx="477">
                  <c:v>0</c:v>
                </c:pt>
                <c:pt idx="478">
                  <c:v>0</c:v>
                </c:pt>
                <c:pt idx="479">
                  <c:v>0</c:v>
                </c:pt>
                <c:pt idx="480">
                  <c:v>0</c:v>
                </c:pt>
                <c:pt idx="481">
                  <c:v>0</c:v>
                </c:pt>
                <c:pt idx="482">
                  <c:v>0</c:v>
                </c:pt>
                <c:pt idx="483">
                  <c:v>0</c:v>
                </c:pt>
                <c:pt idx="484">
                  <c:v>0</c:v>
                </c:pt>
                <c:pt idx="485">
                  <c:v>0</c:v>
                </c:pt>
                <c:pt idx="486">
                  <c:v>0</c:v>
                </c:pt>
                <c:pt idx="487">
                  <c:v>0</c:v>
                </c:pt>
                <c:pt idx="488">
                  <c:v>0</c:v>
                </c:pt>
                <c:pt idx="489">
                  <c:v>0</c:v>
                </c:pt>
                <c:pt idx="490">
                  <c:v>0</c:v>
                </c:pt>
                <c:pt idx="491">
                  <c:v>0</c:v>
                </c:pt>
                <c:pt idx="492">
                  <c:v>0</c:v>
                </c:pt>
                <c:pt idx="493">
                  <c:v>0</c:v>
                </c:pt>
                <c:pt idx="494">
                  <c:v>0</c:v>
                </c:pt>
                <c:pt idx="495">
                  <c:v>0</c:v>
                </c:pt>
                <c:pt idx="496">
                  <c:v>0</c:v>
                </c:pt>
                <c:pt idx="497">
                  <c:v>0</c:v>
                </c:pt>
                <c:pt idx="498">
                  <c:v>0</c:v>
                </c:pt>
                <c:pt idx="499">
                  <c:v>0</c:v>
                </c:pt>
                <c:pt idx="500">
                  <c:v>0</c:v>
                </c:pt>
                <c:pt idx="501">
                  <c:v>0</c:v>
                </c:pt>
                <c:pt idx="502">
                  <c:v>0</c:v>
                </c:pt>
                <c:pt idx="503">
                  <c:v>0</c:v>
                </c:pt>
                <c:pt idx="504">
                  <c:v>0</c:v>
                </c:pt>
                <c:pt idx="505">
                  <c:v>0</c:v>
                </c:pt>
                <c:pt idx="506">
                  <c:v>0</c:v>
                </c:pt>
                <c:pt idx="507">
                  <c:v>0</c:v>
                </c:pt>
                <c:pt idx="508">
                  <c:v>0</c:v>
                </c:pt>
                <c:pt idx="509">
                  <c:v>0</c:v>
                </c:pt>
                <c:pt idx="510">
                  <c:v>0</c:v>
                </c:pt>
                <c:pt idx="511">
                  <c:v>0</c:v>
                </c:pt>
                <c:pt idx="512">
                  <c:v>0</c:v>
                </c:pt>
                <c:pt idx="513">
                  <c:v>0</c:v>
                </c:pt>
                <c:pt idx="514">
                  <c:v>0</c:v>
                </c:pt>
                <c:pt idx="515">
                  <c:v>0</c:v>
                </c:pt>
                <c:pt idx="516">
                  <c:v>0</c:v>
                </c:pt>
                <c:pt idx="517">
                  <c:v>0</c:v>
                </c:pt>
                <c:pt idx="518">
                  <c:v>0</c:v>
                </c:pt>
                <c:pt idx="519">
                  <c:v>0</c:v>
                </c:pt>
                <c:pt idx="520">
                  <c:v>0</c:v>
                </c:pt>
                <c:pt idx="521">
                  <c:v>0</c:v>
                </c:pt>
                <c:pt idx="522">
                  <c:v>0</c:v>
                </c:pt>
                <c:pt idx="523">
                  <c:v>0</c:v>
                </c:pt>
                <c:pt idx="524">
                  <c:v>0</c:v>
                </c:pt>
                <c:pt idx="525">
                  <c:v>0</c:v>
                </c:pt>
                <c:pt idx="526">
                  <c:v>0</c:v>
                </c:pt>
                <c:pt idx="527">
                  <c:v>0</c:v>
                </c:pt>
                <c:pt idx="528">
                  <c:v>0</c:v>
                </c:pt>
                <c:pt idx="529">
                  <c:v>0</c:v>
                </c:pt>
                <c:pt idx="530">
                  <c:v>0</c:v>
                </c:pt>
                <c:pt idx="531">
                  <c:v>0</c:v>
                </c:pt>
                <c:pt idx="532">
                  <c:v>0</c:v>
                </c:pt>
                <c:pt idx="533">
                  <c:v>0</c:v>
                </c:pt>
                <c:pt idx="534">
                  <c:v>0</c:v>
                </c:pt>
                <c:pt idx="535">
                  <c:v>0</c:v>
                </c:pt>
                <c:pt idx="536">
                  <c:v>0</c:v>
                </c:pt>
                <c:pt idx="537">
                  <c:v>0</c:v>
                </c:pt>
                <c:pt idx="538">
                  <c:v>0</c:v>
                </c:pt>
                <c:pt idx="539">
                  <c:v>0</c:v>
                </c:pt>
                <c:pt idx="540">
                  <c:v>0</c:v>
                </c:pt>
                <c:pt idx="541">
                  <c:v>0</c:v>
                </c:pt>
                <c:pt idx="542">
                  <c:v>0</c:v>
                </c:pt>
                <c:pt idx="543">
                  <c:v>0</c:v>
                </c:pt>
                <c:pt idx="544">
                  <c:v>0</c:v>
                </c:pt>
                <c:pt idx="545">
                  <c:v>0</c:v>
                </c:pt>
                <c:pt idx="546">
                  <c:v>0</c:v>
                </c:pt>
                <c:pt idx="547">
                  <c:v>0</c:v>
                </c:pt>
                <c:pt idx="548">
                  <c:v>0</c:v>
                </c:pt>
                <c:pt idx="549">
                  <c:v>0</c:v>
                </c:pt>
                <c:pt idx="550">
                  <c:v>0</c:v>
                </c:pt>
                <c:pt idx="551">
                  <c:v>0</c:v>
                </c:pt>
                <c:pt idx="552">
                  <c:v>0</c:v>
                </c:pt>
                <c:pt idx="553">
                  <c:v>0</c:v>
                </c:pt>
                <c:pt idx="554">
                  <c:v>0</c:v>
                </c:pt>
                <c:pt idx="555">
                  <c:v>0</c:v>
                </c:pt>
                <c:pt idx="556">
                  <c:v>0</c:v>
                </c:pt>
                <c:pt idx="557">
                  <c:v>0</c:v>
                </c:pt>
                <c:pt idx="558">
                  <c:v>0</c:v>
                </c:pt>
                <c:pt idx="559">
                  <c:v>0</c:v>
                </c:pt>
                <c:pt idx="560">
                  <c:v>0</c:v>
                </c:pt>
                <c:pt idx="561">
                  <c:v>0</c:v>
                </c:pt>
                <c:pt idx="562">
                  <c:v>0</c:v>
                </c:pt>
                <c:pt idx="563">
                  <c:v>0</c:v>
                </c:pt>
                <c:pt idx="564">
                  <c:v>0</c:v>
                </c:pt>
                <c:pt idx="565">
                  <c:v>0</c:v>
                </c:pt>
                <c:pt idx="566">
                  <c:v>0</c:v>
                </c:pt>
                <c:pt idx="567">
                  <c:v>0</c:v>
                </c:pt>
                <c:pt idx="568">
                  <c:v>0</c:v>
                </c:pt>
                <c:pt idx="569">
                  <c:v>0</c:v>
                </c:pt>
                <c:pt idx="570">
                  <c:v>0</c:v>
                </c:pt>
                <c:pt idx="571">
                  <c:v>0</c:v>
                </c:pt>
                <c:pt idx="572">
                  <c:v>0</c:v>
                </c:pt>
                <c:pt idx="573">
                  <c:v>0</c:v>
                </c:pt>
                <c:pt idx="574">
                  <c:v>0</c:v>
                </c:pt>
                <c:pt idx="575">
                  <c:v>0</c:v>
                </c:pt>
                <c:pt idx="576">
                  <c:v>0</c:v>
                </c:pt>
                <c:pt idx="577">
                  <c:v>0</c:v>
                </c:pt>
                <c:pt idx="578">
                  <c:v>0</c:v>
                </c:pt>
                <c:pt idx="579">
                  <c:v>0</c:v>
                </c:pt>
                <c:pt idx="580">
                  <c:v>0</c:v>
                </c:pt>
                <c:pt idx="581">
                  <c:v>0</c:v>
                </c:pt>
                <c:pt idx="582">
                  <c:v>0</c:v>
                </c:pt>
                <c:pt idx="583">
                  <c:v>0</c:v>
                </c:pt>
                <c:pt idx="584">
                  <c:v>0</c:v>
                </c:pt>
                <c:pt idx="585">
                  <c:v>0</c:v>
                </c:pt>
                <c:pt idx="586">
                  <c:v>0</c:v>
                </c:pt>
                <c:pt idx="587">
                  <c:v>0</c:v>
                </c:pt>
                <c:pt idx="588">
                  <c:v>0</c:v>
                </c:pt>
                <c:pt idx="589">
                  <c:v>0</c:v>
                </c:pt>
                <c:pt idx="590">
                  <c:v>0</c:v>
                </c:pt>
                <c:pt idx="591">
                  <c:v>0</c:v>
                </c:pt>
                <c:pt idx="592">
                  <c:v>0</c:v>
                </c:pt>
                <c:pt idx="593">
                  <c:v>0</c:v>
                </c:pt>
                <c:pt idx="594">
                  <c:v>0</c:v>
                </c:pt>
                <c:pt idx="595">
                  <c:v>0</c:v>
                </c:pt>
                <c:pt idx="596">
                  <c:v>0</c:v>
                </c:pt>
                <c:pt idx="597">
                  <c:v>0</c:v>
                </c:pt>
                <c:pt idx="598">
                  <c:v>0</c:v>
                </c:pt>
                <c:pt idx="599">
                  <c:v>0</c:v>
                </c:pt>
                <c:pt idx="600">
                  <c:v>0</c:v>
                </c:pt>
                <c:pt idx="601">
                  <c:v>0</c:v>
                </c:pt>
                <c:pt idx="602">
                  <c:v>0</c:v>
                </c:pt>
                <c:pt idx="603">
                  <c:v>0</c:v>
                </c:pt>
                <c:pt idx="604">
                  <c:v>0</c:v>
                </c:pt>
                <c:pt idx="605">
                  <c:v>0</c:v>
                </c:pt>
                <c:pt idx="606">
                  <c:v>0</c:v>
                </c:pt>
                <c:pt idx="607">
                  <c:v>0</c:v>
                </c:pt>
                <c:pt idx="608">
                  <c:v>0</c:v>
                </c:pt>
                <c:pt idx="609">
                  <c:v>0</c:v>
                </c:pt>
                <c:pt idx="610">
                  <c:v>0</c:v>
                </c:pt>
                <c:pt idx="611">
                  <c:v>0</c:v>
                </c:pt>
                <c:pt idx="612">
                  <c:v>0</c:v>
                </c:pt>
                <c:pt idx="613">
                  <c:v>0</c:v>
                </c:pt>
                <c:pt idx="614">
                  <c:v>0</c:v>
                </c:pt>
                <c:pt idx="615">
                  <c:v>0</c:v>
                </c:pt>
                <c:pt idx="616">
                  <c:v>0</c:v>
                </c:pt>
                <c:pt idx="617">
                  <c:v>0</c:v>
                </c:pt>
                <c:pt idx="618">
                  <c:v>0</c:v>
                </c:pt>
                <c:pt idx="619">
                  <c:v>0</c:v>
                </c:pt>
                <c:pt idx="620">
                  <c:v>0</c:v>
                </c:pt>
                <c:pt idx="621">
                  <c:v>0</c:v>
                </c:pt>
                <c:pt idx="622">
                  <c:v>0</c:v>
                </c:pt>
                <c:pt idx="623">
                  <c:v>0</c:v>
                </c:pt>
                <c:pt idx="624">
                  <c:v>0</c:v>
                </c:pt>
                <c:pt idx="625">
                  <c:v>0</c:v>
                </c:pt>
                <c:pt idx="626">
                  <c:v>0</c:v>
                </c:pt>
                <c:pt idx="627">
                  <c:v>0</c:v>
                </c:pt>
                <c:pt idx="628">
                  <c:v>0</c:v>
                </c:pt>
                <c:pt idx="629">
                  <c:v>0</c:v>
                </c:pt>
                <c:pt idx="630">
                  <c:v>0</c:v>
                </c:pt>
                <c:pt idx="631">
                  <c:v>0</c:v>
                </c:pt>
                <c:pt idx="632">
                  <c:v>0</c:v>
                </c:pt>
                <c:pt idx="633">
                  <c:v>0</c:v>
                </c:pt>
                <c:pt idx="634">
                  <c:v>0</c:v>
                </c:pt>
                <c:pt idx="635">
                  <c:v>0</c:v>
                </c:pt>
                <c:pt idx="636">
                  <c:v>0</c:v>
                </c:pt>
                <c:pt idx="637">
                  <c:v>0</c:v>
                </c:pt>
                <c:pt idx="638">
                  <c:v>0</c:v>
                </c:pt>
                <c:pt idx="639">
                  <c:v>0</c:v>
                </c:pt>
                <c:pt idx="640">
                  <c:v>0</c:v>
                </c:pt>
                <c:pt idx="641">
                  <c:v>0</c:v>
                </c:pt>
                <c:pt idx="642">
                  <c:v>0</c:v>
                </c:pt>
                <c:pt idx="643">
                  <c:v>0</c:v>
                </c:pt>
                <c:pt idx="644">
                  <c:v>0</c:v>
                </c:pt>
                <c:pt idx="645">
                  <c:v>0</c:v>
                </c:pt>
                <c:pt idx="646">
                  <c:v>0</c:v>
                </c:pt>
                <c:pt idx="647">
                  <c:v>0</c:v>
                </c:pt>
                <c:pt idx="648">
                  <c:v>0</c:v>
                </c:pt>
                <c:pt idx="649">
                  <c:v>0</c:v>
                </c:pt>
                <c:pt idx="650">
                  <c:v>0</c:v>
                </c:pt>
                <c:pt idx="651">
                  <c:v>0</c:v>
                </c:pt>
                <c:pt idx="652">
                  <c:v>0</c:v>
                </c:pt>
                <c:pt idx="653">
                  <c:v>0</c:v>
                </c:pt>
                <c:pt idx="654">
                  <c:v>0</c:v>
                </c:pt>
                <c:pt idx="655">
                  <c:v>0</c:v>
                </c:pt>
                <c:pt idx="656">
                  <c:v>0</c:v>
                </c:pt>
                <c:pt idx="657">
                  <c:v>0</c:v>
                </c:pt>
                <c:pt idx="658">
                  <c:v>0</c:v>
                </c:pt>
                <c:pt idx="659">
                  <c:v>0</c:v>
                </c:pt>
                <c:pt idx="660">
                  <c:v>0</c:v>
                </c:pt>
                <c:pt idx="661">
                  <c:v>0</c:v>
                </c:pt>
                <c:pt idx="662">
                  <c:v>0</c:v>
                </c:pt>
                <c:pt idx="663">
                  <c:v>0</c:v>
                </c:pt>
                <c:pt idx="664">
                  <c:v>0</c:v>
                </c:pt>
                <c:pt idx="665">
                  <c:v>0</c:v>
                </c:pt>
                <c:pt idx="666">
                  <c:v>0</c:v>
                </c:pt>
                <c:pt idx="667">
                  <c:v>0</c:v>
                </c:pt>
                <c:pt idx="668">
                  <c:v>8.5642128000000008E-6</c:v>
                </c:pt>
                <c:pt idx="669">
                  <c:v>4.483564800000001E-4</c:v>
                </c:pt>
                <c:pt idx="670">
                  <c:v>2.8157157600000002E-4</c:v>
                </c:pt>
                <c:pt idx="671">
                  <c:v>1.0884931199999999E-4</c:v>
                </c:pt>
                <c:pt idx="672">
                  <c:v>0</c:v>
                </c:pt>
                <c:pt idx="673">
                  <c:v>0</c:v>
                </c:pt>
                <c:pt idx="674">
                  <c:v>8.0754960000000006E-5</c:v>
                </c:pt>
                <c:pt idx="675">
                  <c:v>1.9743952799999997E-4</c:v>
                </c:pt>
                <c:pt idx="676">
                  <c:v>3.0518716799999998E-4</c:v>
                </c:pt>
                <c:pt idx="677">
                  <c:v>9.0151776000000012E-4</c:v>
                </c:pt>
                <c:pt idx="678">
                  <c:v>1.6488014400000001E-3</c:v>
                </c:pt>
                <c:pt idx="679">
                  <c:v>2.4077196000000002E-3</c:v>
                </c:pt>
                <c:pt idx="680">
                  <c:v>2.9794564799999999E-3</c:v>
                </c:pt>
                <c:pt idx="681">
                  <c:v>3.4996103999999999E-3</c:v>
                </c:pt>
                <c:pt idx="682">
                  <c:v>4.0037712000000007E-3</c:v>
                </c:pt>
                <c:pt idx="683">
                  <c:v>4.5779448000000007E-3</c:v>
                </c:pt>
                <c:pt idx="684">
                  <c:v>4.8140663999999998E-3</c:v>
                </c:pt>
                <c:pt idx="685">
                  <c:v>5.0972064000000001E-3</c:v>
                </c:pt>
                <c:pt idx="686">
                  <c:v>5.7739967999999994E-3</c:v>
                </c:pt>
                <c:pt idx="687">
                  <c:v>6.9309240000000006E-3</c:v>
                </c:pt>
                <c:pt idx="688">
                  <c:v>8.4046247999999997E-3</c:v>
                </c:pt>
                <c:pt idx="689">
                  <c:v>9.7125600000000003E-3</c:v>
                </c:pt>
                <c:pt idx="690">
                  <c:v>1.06601352E-2</c:v>
                </c:pt>
                <c:pt idx="691">
                  <c:v>1.1642716799999999E-2</c:v>
                </c:pt>
                <c:pt idx="692">
                  <c:v>1.2534350400000002E-2</c:v>
                </c:pt>
                <c:pt idx="693">
                  <c:v>1.3804533600000002E-2</c:v>
                </c:pt>
                <c:pt idx="694">
                  <c:v>1.53437856E-2</c:v>
                </c:pt>
                <c:pt idx="695">
                  <c:v>1.7051891999999999E-2</c:v>
                </c:pt>
                <c:pt idx="696">
                  <c:v>1.8984794400000001E-2</c:v>
                </c:pt>
                <c:pt idx="697">
                  <c:v>2.1107143200000001E-2</c:v>
                </c:pt>
                <c:pt idx="698">
                  <c:v>2.3500963199999995E-2</c:v>
                </c:pt>
                <c:pt idx="699">
                  <c:v>2.6125756799999997E-2</c:v>
                </c:pt>
                <c:pt idx="700">
                  <c:v>2.91335616E-2</c:v>
                </c:pt>
                <c:pt idx="701">
                  <c:v>3.1906617599999992E-2</c:v>
                </c:pt>
                <c:pt idx="702">
                  <c:v>3.4440120000000005E-2</c:v>
                </c:pt>
                <c:pt idx="703">
                  <c:v>3.7285248E-2</c:v>
                </c:pt>
                <c:pt idx="704">
                  <c:v>4.0336296000000001E-2</c:v>
                </c:pt>
                <c:pt idx="705">
                  <c:v>4.3757999999999998E-2</c:v>
                </c:pt>
                <c:pt idx="706">
                  <c:v>4.7605272000000004E-2</c:v>
                </c:pt>
                <c:pt idx="707">
                  <c:v>5.1596688000000009E-2</c:v>
                </c:pt>
                <c:pt idx="708">
                  <c:v>5.6360304E-2</c:v>
                </c:pt>
                <c:pt idx="709">
                  <c:v>6.1570079999999999E-2</c:v>
                </c:pt>
                <c:pt idx="710">
                  <c:v>6.7023528000000013E-2</c:v>
                </c:pt>
                <c:pt idx="711">
                  <c:v>7.2816744000000003E-2</c:v>
                </c:pt>
                <c:pt idx="712">
                  <c:v>7.8853632000000007E-2</c:v>
                </c:pt>
                <c:pt idx="713">
                  <c:v>8.4749808000000024E-2</c:v>
                </c:pt>
                <c:pt idx="714">
                  <c:v>9.1455936000000015E-2</c:v>
                </c:pt>
                <c:pt idx="715">
                  <c:v>9.8210111999999988E-2</c:v>
                </c:pt>
                <c:pt idx="716">
                  <c:v>0.10541387999999999</c:v>
                </c:pt>
                <c:pt idx="717">
                  <c:v>0.11326629600000002</c:v>
                </c:pt>
                <c:pt idx="718">
                  <c:v>0.121935528</c:v>
                </c:pt>
                <c:pt idx="719">
                  <c:v>0.13166181600000001</c:v>
                </c:pt>
                <c:pt idx="720">
                  <c:v>0.14174503199999999</c:v>
                </c:pt>
                <c:pt idx="721">
                  <c:v>0.15206162399999998</c:v>
                </c:pt>
                <c:pt idx="722">
                  <c:v>0.16287585600000001</c:v>
                </c:pt>
                <c:pt idx="723">
                  <c:v>0.173799912</c:v>
                </c:pt>
                <c:pt idx="724">
                  <c:v>0.18542066399999999</c:v>
                </c:pt>
                <c:pt idx="725">
                  <c:v>0.197642016</c:v>
                </c:pt>
                <c:pt idx="726">
                  <c:v>0.21060468000000002</c:v>
                </c:pt>
                <c:pt idx="727">
                  <c:v>0.22380758400000003</c:v>
                </c:pt>
                <c:pt idx="728">
                  <c:v>0.237487536</c:v>
                </c:pt>
                <c:pt idx="729">
                  <c:v>0.25117778400000002</c:v>
                </c:pt>
                <c:pt idx="730">
                  <c:v>0.26537596800000002</c:v>
                </c:pt>
                <c:pt idx="731">
                  <c:v>0.28063463999999999</c:v>
                </c:pt>
                <c:pt idx="732">
                  <c:v>0.29650763999999996</c:v>
                </c:pt>
                <c:pt idx="733">
                  <c:v>0.31326952799999996</c:v>
                </c:pt>
                <c:pt idx="734">
                  <c:v>0.32942738399999999</c:v>
                </c:pt>
                <c:pt idx="735">
                  <c:v>0.34594560000000002</c:v>
                </c:pt>
                <c:pt idx="736">
                  <c:v>0.36262512000000002</c:v>
                </c:pt>
                <c:pt idx="737">
                  <c:v>0.37981944000000001</c:v>
                </c:pt>
                <c:pt idx="738">
                  <c:v>0.39663624000000003</c:v>
                </c:pt>
                <c:pt idx="739">
                  <c:v>0.41297255999999999</c:v>
                </c:pt>
                <c:pt idx="740">
                  <c:v>0.42999528000000004</c:v>
                </c:pt>
                <c:pt idx="741">
                  <c:v>0.44760144000000013</c:v>
                </c:pt>
                <c:pt idx="742">
                  <c:v>0.46400639999999999</c:v>
                </c:pt>
                <c:pt idx="743">
                  <c:v>0.47948472000000003</c:v>
                </c:pt>
                <c:pt idx="744">
                  <c:v>0.49383047999999996</c:v>
                </c:pt>
                <c:pt idx="745">
                  <c:v>0.50738687999999998</c:v>
                </c:pt>
                <c:pt idx="746">
                  <c:v>0.51905568000000013</c:v>
                </c:pt>
                <c:pt idx="747">
                  <c:v>0.53075880000000009</c:v>
                </c:pt>
                <c:pt idx="748">
                  <c:v>0.54156959999999998</c:v>
                </c:pt>
                <c:pt idx="749">
                  <c:v>0.55063008000000002</c:v>
                </c:pt>
                <c:pt idx="750">
                  <c:v>0.55790592000000006</c:v>
                </c:pt>
                <c:pt idx="751">
                  <c:v>0.56387760000000009</c:v>
                </c:pt>
                <c:pt idx="752">
                  <c:v>0.56761848000000004</c:v>
                </c:pt>
                <c:pt idx="753">
                  <c:v>0.57043272000000012</c:v>
                </c:pt>
                <c:pt idx="754">
                  <c:v>0.57297239999999994</c:v>
                </c:pt>
                <c:pt idx="755">
                  <c:v>0.57273215999999993</c:v>
                </c:pt>
                <c:pt idx="756">
                  <c:v>0.56957471999999998</c:v>
                </c:pt>
                <c:pt idx="757">
                  <c:v>0.56490719999999994</c:v>
                </c:pt>
                <c:pt idx="758">
                  <c:v>0.55903848000000012</c:v>
                </c:pt>
                <c:pt idx="759">
                  <c:v>0.55093896000000009</c:v>
                </c:pt>
                <c:pt idx="760">
                  <c:v>0.54060863999999997</c:v>
                </c:pt>
                <c:pt idx="761">
                  <c:v>0.52935167999999999</c:v>
                </c:pt>
                <c:pt idx="762">
                  <c:v>0.51757991999999997</c:v>
                </c:pt>
                <c:pt idx="763">
                  <c:v>0.50368032000000007</c:v>
                </c:pt>
                <c:pt idx="764">
                  <c:v>0.48854520000000012</c:v>
                </c:pt>
                <c:pt idx="765">
                  <c:v>0.47172839999999994</c:v>
                </c:pt>
                <c:pt idx="766">
                  <c:v>0.45415656000000004</c:v>
                </c:pt>
                <c:pt idx="767">
                  <c:v>0.43582967999999994</c:v>
                </c:pt>
                <c:pt idx="768">
                  <c:v>0.41808624</c:v>
                </c:pt>
                <c:pt idx="769">
                  <c:v>0.40137239999999996</c:v>
                </c:pt>
                <c:pt idx="770">
                  <c:v>0.38362896000000002</c:v>
                </c:pt>
                <c:pt idx="771">
                  <c:v>0.36516480000000001</c:v>
                </c:pt>
                <c:pt idx="772">
                  <c:v>0.34851959999999998</c:v>
                </c:pt>
                <c:pt idx="773">
                  <c:v>0.33262600800000003</c:v>
                </c:pt>
                <c:pt idx="774">
                  <c:v>0.31725407999999999</c:v>
                </c:pt>
                <c:pt idx="775">
                  <c:v>0.30167966400000001</c:v>
                </c:pt>
                <c:pt idx="776">
                  <c:v>0.28683969600000003</c:v>
                </c:pt>
                <c:pt idx="777">
                  <c:v>0.27312199199999998</c:v>
                </c:pt>
                <c:pt idx="778">
                  <c:v>0.26073590400000002</c:v>
                </c:pt>
                <c:pt idx="779">
                  <c:v>0.24865526400000001</c:v>
                </c:pt>
                <c:pt idx="780">
                  <c:v>0.23663983199999999</c:v>
                </c:pt>
                <c:pt idx="781">
                  <c:v>0.22595258400000004</c:v>
                </c:pt>
                <c:pt idx="782">
                  <c:v>0.21666216000000005</c:v>
                </c:pt>
                <c:pt idx="783">
                  <c:v>0.207333984</c:v>
                </c:pt>
                <c:pt idx="784">
                  <c:v>0.19794403199999999</c:v>
                </c:pt>
                <c:pt idx="785">
                  <c:v>0.188735976</c:v>
                </c:pt>
                <c:pt idx="786">
                  <c:v>0.180070176</c:v>
                </c:pt>
                <c:pt idx="787">
                  <c:v>0.172911024</c:v>
                </c:pt>
                <c:pt idx="788">
                  <c:v>0.16638679200000001</c:v>
                </c:pt>
                <c:pt idx="789">
                  <c:v>0.16022291999999999</c:v>
                </c:pt>
                <c:pt idx="790">
                  <c:v>0.15308436</c:v>
                </c:pt>
                <c:pt idx="791">
                  <c:v>0.145599168</c:v>
                </c:pt>
                <c:pt idx="792">
                  <c:v>0.137705568</c:v>
                </c:pt>
                <c:pt idx="793">
                  <c:v>0.129894336</c:v>
                </c:pt>
                <c:pt idx="794">
                  <c:v>0.12256701600000003</c:v>
                </c:pt>
                <c:pt idx="795">
                  <c:v>0.11602562400000001</c:v>
                </c:pt>
                <c:pt idx="796">
                  <c:v>0.10982056800000001</c:v>
                </c:pt>
                <c:pt idx="797">
                  <c:v>0.10447351199999999</c:v>
                </c:pt>
                <c:pt idx="798">
                  <c:v>9.9232848000000012E-2</c:v>
                </c:pt>
                <c:pt idx="799">
                  <c:v>9.4139760000000017E-2</c:v>
                </c:pt>
                <c:pt idx="800">
                  <c:v>8.8871640000000016E-2</c:v>
                </c:pt>
                <c:pt idx="801">
                  <c:v>8.385405600000001E-2</c:v>
                </c:pt>
                <c:pt idx="802">
                  <c:v>7.8929135999999997E-2</c:v>
                </c:pt>
                <c:pt idx="803">
                  <c:v>7.4464104000000003E-2</c:v>
                </c:pt>
                <c:pt idx="804">
                  <c:v>7.0582512E-2</c:v>
                </c:pt>
                <c:pt idx="805">
                  <c:v>6.7267199999999999E-2</c:v>
                </c:pt>
                <c:pt idx="806">
                  <c:v>6.4185263999999992E-2</c:v>
                </c:pt>
                <c:pt idx="807">
                  <c:v>6.0880248000000012E-2</c:v>
                </c:pt>
                <c:pt idx="808">
                  <c:v>5.7249191999999997E-2</c:v>
                </c:pt>
                <c:pt idx="809">
                  <c:v>5.3597543999999997E-2</c:v>
                </c:pt>
                <c:pt idx="810">
                  <c:v>5.0405784000000002E-2</c:v>
                </c:pt>
                <c:pt idx="811">
                  <c:v>4.7570952000000007E-2</c:v>
                </c:pt>
                <c:pt idx="812">
                  <c:v>4.4866535999999999E-2</c:v>
                </c:pt>
                <c:pt idx="813">
                  <c:v>4.2292535999999999E-2</c:v>
                </c:pt>
                <c:pt idx="814">
                  <c:v>4.0113216000000007E-2</c:v>
                </c:pt>
                <c:pt idx="815">
                  <c:v>3.8414376E-2</c:v>
                </c:pt>
                <c:pt idx="816">
                  <c:v>3.6969504E-2</c:v>
                </c:pt>
                <c:pt idx="817">
                  <c:v>3.5335871999999997E-2</c:v>
                </c:pt>
                <c:pt idx="818">
                  <c:v>3.3523089600000007E-2</c:v>
                </c:pt>
                <c:pt idx="819">
                  <c:v>3.1795763999999997E-2</c:v>
                </c:pt>
                <c:pt idx="820">
                  <c:v>3.0130900799999999E-2</c:v>
                </c:pt>
                <c:pt idx="821">
                  <c:v>2.86664664E-2</c:v>
                </c:pt>
                <c:pt idx="822">
                  <c:v>2.6711599200000002E-2</c:v>
                </c:pt>
                <c:pt idx="823">
                  <c:v>2.5008640800000002E-2</c:v>
                </c:pt>
                <c:pt idx="824">
                  <c:v>2.3193456000000005E-2</c:v>
                </c:pt>
                <c:pt idx="825">
                  <c:v>2.1629150399999998E-2</c:v>
                </c:pt>
                <c:pt idx="826">
                  <c:v>2.0502081599999999E-2</c:v>
                </c:pt>
                <c:pt idx="827">
                  <c:v>1.9540091999999998E-2</c:v>
                </c:pt>
                <c:pt idx="828">
                  <c:v>1.9114523999999997E-2</c:v>
                </c:pt>
                <c:pt idx="829">
                  <c:v>1.8506373600000001E-2</c:v>
                </c:pt>
                <c:pt idx="830">
                  <c:v>1.7576988000000002E-2</c:v>
                </c:pt>
                <c:pt idx="831">
                  <c:v>1.6387113600000003E-2</c:v>
                </c:pt>
                <c:pt idx="832">
                  <c:v>1.5431987999999999E-2</c:v>
                </c:pt>
                <c:pt idx="833">
                  <c:v>1.4809766400000002E-2</c:v>
                </c:pt>
                <c:pt idx="834">
                  <c:v>1.41676392E-2</c:v>
                </c:pt>
                <c:pt idx="835">
                  <c:v>1.3574246400000002E-2</c:v>
                </c:pt>
                <c:pt idx="836">
                  <c:v>1.2860390399999999E-2</c:v>
                </c:pt>
                <c:pt idx="837">
                  <c:v>1.2342501600000002E-2</c:v>
                </c:pt>
                <c:pt idx="838">
                  <c:v>1.1799559200000002E-2</c:v>
                </c:pt>
                <c:pt idx="839">
                  <c:v>1.1117964000000001E-2</c:v>
                </c:pt>
                <c:pt idx="840">
                  <c:v>1.07219112E-2</c:v>
                </c:pt>
                <c:pt idx="841">
                  <c:v>1.0175536800000001E-2</c:v>
                </c:pt>
                <c:pt idx="842">
                  <c:v>9.5594928000000013E-3</c:v>
                </c:pt>
                <c:pt idx="843">
                  <c:v>9.0855336000000009E-3</c:v>
                </c:pt>
                <c:pt idx="844">
                  <c:v>8.5371000000000006E-3</c:v>
                </c:pt>
                <c:pt idx="845">
                  <c:v>8.2416048000000016E-3</c:v>
                </c:pt>
                <c:pt idx="846">
                  <c:v>7.7614680000000005E-3</c:v>
                </c:pt>
                <c:pt idx="847">
                  <c:v>7.5740808000000007E-3</c:v>
                </c:pt>
                <c:pt idx="848">
                  <c:v>7.5740808000000007E-3</c:v>
                </c:pt>
                <c:pt idx="849">
                  <c:v>5.28E-3</c:v>
                </c:pt>
                <c:pt idx="850">
                  <c:v>3.9600000000000008E-3</c:v>
                </c:pt>
                <c:pt idx="851">
                  <c:v>2.64E-3</c:v>
                </c:pt>
                <c:pt idx="852">
                  <c:v>1.32E-3</c:v>
                </c:pt>
                <c:pt idx="853">
                  <c:v>0</c:v>
                </c:pt>
                <c:pt idx="854">
                  <c:v>0</c:v>
                </c:pt>
                <c:pt idx="855">
                  <c:v>0</c:v>
                </c:pt>
                <c:pt idx="856">
                  <c:v>0</c:v>
                </c:pt>
                <c:pt idx="857">
                  <c:v>0</c:v>
                </c:pt>
                <c:pt idx="858">
                  <c:v>0</c:v>
                </c:pt>
                <c:pt idx="859">
                  <c:v>0</c:v>
                </c:pt>
                <c:pt idx="860">
                  <c:v>0</c:v>
                </c:pt>
                <c:pt idx="861">
                  <c:v>0</c:v>
                </c:pt>
                <c:pt idx="862">
                  <c:v>0</c:v>
                </c:pt>
                <c:pt idx="863">
                  <c:v>0</c:v>
                </c:pt>
                <c:pt idx="864">
                  <c:v>0</c:v>
                </c:pt>
                <c:pt idx="865">
                  <c:v>0</c:v>
                </c:pt>
                <c:pt idx="866">
                  <c:v>0</c:v>
                </c:pt>
                <c:pt idx="867">
                  <c:v>0</c:v>
                </c:pt>
                <c:pt idx="868">
                  <c:v>0</c:v>
                </c:pt>
                <c:pt idx="869">
                  <c:v>0</c:v>
                </c:pt>
                <c:pt idx="870">
                  <c:v>0</c:v>
                </c:pt>
                <c:pt idx="871">
                  <c:v>0</c:v>
                </c:pt>
                <c:pt idx="872">
                  <c:v>0</c:v>
                </c:pt>
                <c:pt idx="873">
                  <c:v>0</c:v>
                </c:pt>
                <c:pt idx="874">
                  <c:v>0</c:v>
                </c:pt>
                <c:pt idx="875">
                  <c:v>0</c:v>
                </c:pt>
                <c:pt idx="876">
                  <c:v>0</c:v>
                </c:pt>
                <c:pt idx="877">
                  <c:v>0</c:v>
                </c:pt>
                <c:pt idx="878">
                  <c:v>0</c:v>
                </c:pt>
                <c:pt idx="879">
                  <c:v>0</c:v>
                </c:pt>
                <c:pt idx="880">
                  <c:v>0</c:v>
                </c:pt>
                <c:pt idx="881">
                  <c:v>0</c:v>
                </c:pt>
                <c:pt idx="882">
                  <c:v>0</c:v>
                </c:pt>
                <c:pt idx="883">
                  <c:v>0</c:v>
                </c:pt>
                <c:pt idx="884">
                  <c:v>0</c:v>
                </c:pt>
                <c:pt idx="885">
                  <c:v>0</c:v>
                </c:pt>
                <c:pt idx="886">
                  <c:v>0</c:v>
                </c:pt>
                <c:pt idx="887">
                  <c:v>0</c:v>
                </c:pt>
                <c:pt idx="888">
                  <c:v>0</c:v>
                </c:pt>
                <c:pt idx="889">
                  <c:v>0</c:v>
                </c:pt>
                <c:pt idx="890">
                  <c:v>0</c:v>
                </c:pt>
                <c:pt idx="891">
                  <c:v>0</c:v>
                </c:pt>
                <c:pt idx="892">
                  <c:v>0</c:v>
                </c:pt>
                <c:pt idx="893">
                  <c:v>0</c:v>
                </c:pt>
                <c:pt idx="894">
                  <c:v>0</c:v>
                </c:pt>
                <c:pt idx="895">
                  <c:v>0</c:v>
                </c:pt>
                <c:pt idx="896">
                  <c:v>0</c:v>
                </c:pt>
                <c:pt idx="897">
                  <c:v>0</c:v>
                </c:pt>
                <c:pt idx="898">
                  <c:v>0</c:v>
                </c:pt>
                <c:pt idx="899">
                  <c:v>0</c:v>
                </c:pt>
                <c:pt idx="900">
                  <c:v>0</c:v>
                </c:pt>
              </c:numCache>
            </c:numRef>
          </c:val>
          <c:smooth val="0"/>
          <c:extLst>
            <c:ext xmlns:c16="http://schemas.microsoft.com/office/drawing/2014/chart" uri="{C3380CC4-5D6E-409C-BE32-E72D297353CC}">
              <c16:uniqueId val="{00000000-A48E-6F43-A882-E3148C46F779}"/>
            </c:ext>
          </c:extLst>
        </c:ser>
        <c:dLbls>
          <c:showLegendKey val="0"/>
          <c:showVal val="0"/>
          <c:showCatName val="0"/>
          <c:showSerName val="0"/>
          <c:showPercent val="0"/>
          <c:showBubbleSize val="0"/>
        </c:dLbls>
        <c:smooth val="0"/>
        <c:axId val="1101955759"/>
        <c:axId val="1182404623"/>
      </c:lineChart>
      <c:catAx>
        <c:axId val="1101955759"/>
        <c:scaling>
          <c:orientation val="minMax"/>
        </c:scaling>
        <c:delete val="0"/>
        <c:axPos val="b"/>
        <c:numFmt formatCode="General" sourceLinked="1"/>
        <c:majorTickMark val="none"/>
        <c:minorTickMark val="none"/>
        <c:tickLblPos val="nextTo"/>
        <c:spPr>
          <a:noFill/>
          <a:ln w="9525" cap="flat" cmpd="sng" algn="ctr">
            <a:solidFill>
              <a:schemeClr val="tx1"/>
            </a:solidFill>
            <a:round/>
          </a:ln>
          <a:effectLst/>
        </c:spPr>
        <c:txPr>
          <a:bodyPr rot="-60000000" spcFirstLastPara="1" vertOverflow="ellipsis" vert="horz" wrap="square" anchor="ctr" anchorCtr="1"/>
          <a:lstStyle/>
          <a:p>
            <a:pPr>
              <a:defRPr sz="900" b="1" i="0" u="none" strike="noStrike" kern="1200" baseline="0">
                <a:solidFill>
                  <a:schemeClr val="tx1"/>
                </a:solidFill>
                <a:latin typeface="Arial" panose="020B0604020202020204" pitchFamily="34" charset="0"/>
                <a:ea typeface="+mn-ea"/>
                <a:cs typeface="Arial" panose="020B0604020202020204" pitchFamily="34" charset="0"/>
              </a:defRPr>
            </a:pPr>
            <a:endParaRPr lang="en-US"/>
          </a:p>
        </c:txPr>
        <c:crossAx val="1182404623"/>
        <c:crosses val="autoZero"/>
        <c:auto val="0"/>
        <c:lblAlgn val="ctr"/>
        <c:lblOffset val="100"/>
        <c:tickLblSkip val="100"/>
        <c:tickMarkSkip val="1"/>
        <c:noMultiLvlLbl val="0"/>
      </c:catAx>
      <c:valAx>
        <c:axId val="1182404623"/>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000" b="1" i="0" u="none" strike="noStrike" kern="1200" baseline="0">
                    <a:solidFill>
                      <a:schemeClr val="tx1"/>
                    </a:solidFill>
                    <a:latin typeface="Arial" panose="020B0604020202020204" pitchFamily="34" charset="0"/>
                    <a:ea typeface="+mn-ea"/>
                    <a:cs typeface="Arial" panose="020B0604020202020204" pitchFamily="34" charset="0"/>
                  </a:defRPr>
                </a:pPr>
                <a:r>
                  <a:rPr lang="en-US" b="1"/>
                  <a:t>Intensity (µmols</a:t>
                </a:r>
                <a:r>
                  <a:rPr lang="en-US" b="1" baseline="0"/>
                  <a:t> </a:t>
                </a:r>
                <a:r>
                  <a:rPr lang="en-US" b="1" baseline="30000"/>
                  <a:t>.</a:t>
                </a:r>
                <a:r>
                  <a:rPr lang="en-US" b="1" baseline="0"/>
                  <a:t> </a:t>
                </a:r>
                <a:r>
                  <a:rPr lang="en-US" b="1"/>
                  <a:t>m-</a:t>
                </a:r>
                <a:r>
                  <a:rPr lang="en-US" b="1" baseline="30000"/>
                  <a:t>2</a:t>
                </a:r>
                <a:r>
                  <a:rPr lang="en-US" sz="1000" b="1" i="0" u="none" strike="noStrike" baseline="30000">
                    <a:effectLst/>
                  </a:rPr>
                  <a:t> .</a:t>
                </a:r>
                <a:r>
                  <a:rPr lang="en-US" sz="1000" b="1" i="0" u="none" strike="noStrike" baseline="0">
                    <a:effectLst/>
                  </a:rPr>
                  <a:t> </a:t>
                </a:r>
                <a:r>
                  <a:rPr lang="en-US" b="1"/>
                  <a:t>sec</a:t>
                </a:r>
                <a:r>
                  <a:rPr lang="en-US" b="1" baseline="30000"/>
                  <a:t>-1</a:t>
                </a:r>
                <a:r>
                  <a:rPr lang="en-US" b="1"/>
                  <a:t>)</a:t>
                </a:r>
              </a:p>
            </c:rich>
          </c:tx>
          <c:overlay val="0"/>
          <c:spPr>
            <a:noFill/>
            <a:ln>
              <a:noFill/>
            </a:ln>
            <a:effectLst/>
          </c:spPr>
          <c:txPr>
            <a:bodyPr rot="-5400000" spcFirstLastPara="1" vertOverflow="ellipsis" vert="horz" wrap="square" anchor="ctr" anchorCtr="1"/>
            <a:lstStyle/>
            <a:p>
              <a:pPr>
                <a:defRPr sz="1000" b="1" i="0" u="none" strike="noStrike" kern="1200" baseline="0">
                  <a:solidFill>
                    <a:schemeClr val="tx1"/>
                  </a:solidFill>
                  <a:latin typeface="Arial" panose="020B0604020202020204" pitchFamily="34" charset="0"/>
                  <a:ea typeface="+mn-ea"/>
                  <a:cs typeface="Arial" panose="020B0604020202020204" pitchFamily="34" charset="0"/>
                </a:defRPr>
              </a:pPr>
              <a:endParaRPr lang="en-US"/>
            </a:p>
          </c:txPr>
        </c:title>
        <c:numFmt formatCode="General" sourceLinked="0"/>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solidFill>
                <a:latin typeface="Arial" panose="020B0604020202020204" pitchFamily="34" charset="0"/>
                <a:ea typeface="+mn-ea"/>
                <a:cs typeface="Arial" panose="020B0604020202020204" pitchFamily="34" charset="0"/>
              </a:defRPr>
            </a:pPr>
            <a:endParaRPr lang="en-US"/>
          </a:p>
        </c:txPr>
        <c:crossAx val="1101955759"/>
        <c:crosses val="autoZero"/>
        <c:crossBetween val="between"/>
      </c:valAx>
      <c:spPr>
        <a:noFill/>
        <a:ln>
          <a:noFill/>
        </a:ln>
        <a:effectLst/>
      </c:spPr>
    </c:plotArea>
    <c:legend>
      <c:legendPos val="b"/>
      <c:legendEntry>
        <c:idx val="0"/>
        <c:txPr>
          <a:bodyPr rot="0" spcFirstLastPara="1" vertOverflow="ellipsis" vert="horz" wrap="square" anchor="ctr" anchorCtr="1"/>
          <a:lstStyle/>
          <a:p>
            <a:pPr>
              <a:defRPr sz="1000" b="0" i="0" u="none" strike="noStrike" kern="1200" baseline="0">
                <a:solidFill>
                  <a:schemeClr val="tx1"/>
                </a:solidFill>
                <a:latin typeface="Arial" panose="020B0604020202020204" pitchFamily="34" charset="0"/>
                <a:ea typeface="+mn-ea"/>
                <a:cs typeface="Arial" panose="020B0604020202020204" pitchFamily="34" charset="0"/>
              </a:defRPr>
            </a:pPr>
            <a:endParaRPr lang="en-US"/>
          </a:p>
        </c:txPr>
      </c:legendEntry>
      <c:layout>
        <c:manualLayout>
          <c:xMode val="edge"/>
          <c:yMode val="edge"/>
          <c:x val="0.82960259775220424"/>
          <c:y val="0.93157628051959462"/>
          <c:w val="0.16130762500841242"/>
          <c:h val="5.2917439436987727E-2"/>
        </c:manualLayout>
      </c:layout>
      <c:overlay val="0"/>
      <c:spPr>
        <a:noFill/>
        <a:ln>
          <a:solidFill>
            <a:schemeClr val="tx1"/>
          </a:solidFill>
        </a:ln>
        <a:effectLst/>
      </c:spPr>
      <c:txPr>
        <a:bodyPr rot="0" spcFirstLastPara="1" vertOverflow="ellipsis" vert="horz" wrap="square" anchor="ctr" anchorCtr="1"/>
        <a:lstStyle/>
        <a:p>
          <a:pPr>
            <a:defRPr sz="1000" b="0" i="0" u="none" strike="noStrike" kern="1200" baseline="0">
              <a:solidFill>
                <a:schemeClr val="tx1"/>
              </a:solidFill>
              <a:latin typeface="Arial" panose="020B0604020202020204" pitchFamily="34" charset="0"/>
              <a:ea typeface="+mn-ea"/>
              <a:cs typeface="Arial" panose="020B0604020202020204" pitchFamily="34" charset="0"/>
            </a:defRPr>
          </a:pPr>
          <a:endParaRPr lang="en-US"/>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solidFill>
      <a:round/>
    </a:ln>
    <a:effectLst/>
  </c:spPr>
  <c:txPr>
    <a:bodyPr/>
    <a:lstStyle/>
    <a:p>
      <a:pPr>
        <a:defRPr>
          <a:solidFill>
            <a:schemeClr val="tx1"/>
          </a:solidFill>
          <a:latin typeface="Arial" panose="020B0604020202020204" pitchFamily="34" charset="0"/>
          <a:cs typeface="Arial" panose="020B0604020202020204" pitchFamily="34" charset="0"/>
        </a:defRPr>
      </a:pPr>
      <a:endParaRPr lang="en-US"/>
    </a:p>
  </c:txPr>
  <c:externalData r:id="rId3">
    <c:autoUpdate val="0"/>
  </c:externalData>
  <c:userShapes r:id="rId4"/>
</c:chartSpace>
</file>

<file path=word/charts/chart15.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lineChart>
        <c:grouping val="standard"/>
        <c:varyColors val="0"/>
        <c:ser>
          <c:idx val="1"/>
          <c:order val="0"/>
          <c:tx>
            <c:strRef>
              <c:f>'T2 (10)'!$B$2</c:f>
              <c:strCache>
                <c:ptCount val="1"/>
                <c:pt idx="0">
                  <c:v>HPS</c:v>
                </c:pt>
              </c:strCache>
            </c:strRef>
          </c:tx>
          <c:spPr>
            <a:ln w="28575" cap="rnd">
              <a:solidFill>
                <a:schemeClr val="tx1"/>
              </a:solidFill>
              <a:round/>
            </a:ln>
            <a:effectLst/>
          </c:spPr>
          <c:marker>
            <c:symbol val="none"/>
          </c:marker>
          <c:cat>
            <c:numRef>
              <c:f>'T2 (10)'!$A$113:$A$1013</c:f>
              <c:numCache>
                <c:formatCode>General</c:formatCode>
                <c:ptCount val="901"/>
                <c:pt idx="0">
                  <c:v>300</c:v>
                </c:pt>
                <c:pt idx="1">
                  <c:v>300.5</c:v>
                </c:pt>
                <c:pt idx="2">
                  <c:v>301</c:v>
                </c:pt>
                <c:pt idx="3">
                  <c:v>301.5</c:v>
                </c:pt>
                <c:pt idx="4">
                  <c:v>302</c:v>
                </c:pt>
                <c:pt idx="5">
                  <c:v>302.5</c:v>
                </c:pt>
                <c:pt idx="6">
                  <c:v>303</c:v>
                </c:pt>
                <c:pt idx="7">
                  <c:v>303.5</c:v>
                </c:pt>
                <c:pt idx="8">
                  <c:v>304</c:v>
                </c:pt>
                <c:pt idx="9">
                  <c:v>304.5</c:v>
                </c:pt>
                <c:pt idx="10">
                  <c:v>305</c:v>
                </c:pt>
                <c:pt idx="11">
                  <c:v>305.5</c:v>
                </c:pt>
                <c:pt idx="12">
                  <c:v>306</c:v>
                </c:pt>
                <c:pt idx="13">
                  <c:v>306.5</c:v>
                </c:pt>
                <c:pt idx="14">
                  <c:v>307</c:v>
                </c:pt>
                <c:pt idx="15">
                  <c:v>307.5</c:v>
                </c:pt>
                <c:pt idx="16">
                  <c:v>308</c:v>
                </c:pt>
                <c:pt idx="17">
                  <c:v>308.5</c:v>
                </c:pt>
                <c:pt idx="18">
                  <c:v>309</c:v>
                </c:pt>
                <c:pt idx="19">
                  <c:v>309.5</c:v>
                </c:pt>
                <c:pt idx="20">
                  <c:v>310</c:v>
                </c:pt>
                <c:pt idx="21">
                  <c:v>310.5</c:v>
                </c:pt>
                <c:pt idx="22">
                  <c:v>311</c:v>
                </c:pt>
                <c:pt idx="23">
                  <c:v>311.5</c:v>
                </c:pt>
                <c:pt idx="24">
                  <c:v>312</c:v>
                </c:pt>
                <c:pt idx="25">
                  <c:v>312.5</c:v>
                </c:pt>
                <c:pt idx="26">
                  <c:v>313</c:v>
                </c:pt>
                <c:pt idx="27">
                  <c:v>313.5</c:v>
                </c:pt>
                <c:pt idx="28">
                  <c:v>314</c:v>
                </c:pt>
                <c:pt idx="29">
                  <c:v>314.5</c:v>
                </c:pt>
                <c:pt idx="30">
                  <c:v>315</c:v>
                </c:pt>
                <c:pt idx="31">
                  <c:v>315.5</c:v>
                </c:pt>
                <c:pt idx="32">
                  <c:v>316</c:v>
                </c:pt>
                <c:pt idx="33">
                  <c:v>316.5</c:v>
                </c:pt>
                <c:pt idx="34">
                  <c:v>317</c:v>
                </c:pt>
                <c:pt idx="35">
                  <c:v>317.5</c:v>
                </c:pt>
                <c:pt idx="36">
                  <c:v>318</c:v>
                </c:pt>
                <c:pt idx="37">
                  <c:v>318.5</c:v>
                </c:pt>
                <c:pt idx="38">
                  <c:v>319</c:v>
                </c:pt>
                <c:pt idx="39">
                  <c:v>319.5</c:v>
                </c:pt>
                <c:pt idx="40">
                  <c:v>320</c:v>
                </c:pt>
                <c:pt idx="41">
                  <c:v>320.5</c:v>
                </c:pt>
                <c:pt idx="42">
                  <c:v>321</c:v>
                </c:pt>
                <c:pt idx="43">
                  <c:v>321.5</c:v>
                </c:pt>
                <c:pt idx="44">
                  <c:v>322</c:v>
                </c:pt>
                <c:pt idx="45">
                  <c:v>322.5</c:v>
                </c:pt>
                <c:pt idx="46">
                  <c:v>323</c:v>
                </c:pt>
                <c:pt idx="47">
                  <c:v>323.5</c:v>
                </c:pt>
                <c:pt idx="48">
                  <c:v>324</c:v>
                </c:pt>
                <c:pt idx="49">
                  <c:v>324.5</c:v>
                </c:pt>
                <c:pt idx="50">
                  <c:v>325</c:v>
                </c:pt>
                <c:pt idx="51">
                  <c:v>325.5</c:v>
                </c:pt>
                <c:pt idx="52">
                  <c:v>326</c:v>
                </c:pt>
                <c:pt idx="53">
                  <c:v>326.5</c:v>
                </c:pt>
                <c:pt idx="54">
                  <c:v>327</c:v>
                </c:pt>
                <c:pt idx="55">
                  <c:v>327.5</c:v>
                </c:pt>
                <c:pt idx="56">
                  <c:v>328</c:v>
                </c:pt>
                <c:pt idx="57">
                  <c:v>328.5</c:v>
                </c:pt>
                <c:pt idx="58">
                  <c:v>329</c:v>
                </c:pt>
                <c:pt idx="59">
                  <c:v>329.5</c:v>
                </c:pt>
                <c:pt idx="60">
                  <c:v>330</c:v>
                </c:pt>
                <c:pt idx="61">
                  <c:v>330.5</c:v>
                </c:pt>
                <c:pt idx="62">
                  <c:v>331</c:v>
                </c:pt>
                <c:pt idx="63">
                  <c:v>331.5</c:v>
                </c:pt>
                <c:pt idx="64">
                  <c:v>332</c:v>
                </c:pt>
                <c:pt idx="65">
                  <c:v>332.5</c:v>
                </c:pt>
                <c:pt idx="66">
                  <c:v>333</c:v>
                </c:pt>
                <c:pt idx="67">
                  <c:v>333.5</c:v>
                </c:pt>
                <c:pt idx="68">
                  <c:v>334</c:v>
                </c:pt>
                <c:pt idx="69">
                  <c:v>334.5</c:v>
                </c:pt>
                <c:pt idx="70">
                  <c:v>335</c:v>
                </c:pt>
                <c:pt idx="71">
                  <c:v>335.5</c:v>
                </c:pt>
                <c:pt idx="72">
                  <c:v>336</c:v>
                </c:pt>
                <c:pt idx="73">
                  <c:v>336.5</c:v>
                </c:pt>
                <c:pt idx="74">
                  <c:v>337</c:v>
                </c:pt>
                <c:pt idx="75">
                  <c:v>337.5</c:v>
                </c:pt>
                <c:pt idx="76">
                  <c:v>338</c:v>
                </c:pt>
                <c:pt idx="77">
                  <c:v>338.5</c:v>
                </c:pt>
                <c:pt idx="78">
                  <c:v>339</c:v>
                </c:pt>
                <c:pt idx="79">
                  <c:v>339.5</c:v>
                </c:pt>
                <c:pt idx="80">
                  <c:v>340</c:v>
                </c:pt>
                <c:pt idx="81">
                  <c:v>340.5</c:v>
                </c:pt>
                <c:pt idx="82">
                  <c:v>341</c:v>
                </c:pt>
                <c:pt idx="83">
                  <c:v>341.5</c:v>
                </c:pt>
                <c:pt idx="84">
                  <c:v>342</c:v>
                </c:pt>
                <c:pt idx="85">
                  <c:v>342.5</c:v>
                </c:pt>
                <c:pt idx="86">
                  <c:v>343</c:v>
                </c:pt>
                <c:pt idx="87">
                  <c:v>343.5</c:v>
                </c:pt>
                <c:pt idx="88">
                  <c:v>344</c:v>
                </c:pt>
                <c:pt idx="89">
                  <c:v>344.5</c:v>
                </c:pt>
                <c:pt idx="90">
                  <c:v>345</c:v>
                </c:pt>
                <c:pt idx="91">
                  <c:v>345.5</c:v>
                </c:pt>
                <c:pt idx="92">
                  <c:v>346</c:v>
                </c:pt>
                <c:pt idx="93">
                  <c:v>346.5</c:v>
                </c:pt>
                <c:pt idx="94">
                  <c:v>347</c:v>
                </c:pt>
                <c:pt idx="95">
                  <c:v>347.5</c:v>
                </c:pt>
                <c:pt idx="96">
                  <c:v>348</c:v>
                </c:pt>
                <c:pt idx="97">
                  <c:v>348.5</c:v>
                </c:pt>
                <c:pt idx="98">
                  <c:v>349</c:v>
                </c:pt>
                <c:pt idx="99">
                  <c:v>349.5</c:v>
                </c:pt>
                <c:pt idx="100">
                  <c:v>350</c:v>
                </c:pt>
                <c:pt idx="101">
                  <c:v>350.5</c:v>
                </c:pt>
                <c:pt idx="102">
                  <c:v>351</c:v>
                </c:pt>
                <c:pt idx="103">
                  <c:v>351.5</c:v>
                </c:pt>
                <c:pt idx="104">
                  <c:v>352</c:v>
                </c:pt>
                <c:pt idx="105">
                  <c:v>352.5</c:v>
                </c:pt>
                <c:pt idx="106">
                  <c:v>353</c:v>
                </c:pt>
                <c:pt idx="107">
                  <c:v>353.5</c:v>
                </c:pt>
                <c:pt idx="108">
                  <c:v>354</c:v>
                </c:pt>
                <c:pt idx="109">
                  <c:v>354.5</c:v>
                </c:pt>
                <c:pt idx="110">
                  <c:v>355</c:v>
                </c:pt>
                <c:pt idx="111">
                  <c:v>355.5</c:v>
                </c:pt>
                <c:pt idx="112">
                  <c:v>356</c:v>
                </c:pt>
                <c:pt idx="113">
                  <c:v>356.5</c:v>
                </c:pt>
                <c:pt idx="114">
                  <c:v>357</c:v>
                </c:pt>
                <c:pt idx="115">
                  <c:v>357.5</c:v>
                </c:pt>
                <c:pt idx="116">
                  <c:v>358</c:v>
                </c:pt>
                <c:pt idx="117">
                  <c:v>358.5</c:v>
                </c:pt>
                <c:pt idx="118">
                  <c:v>359</c:v>
                </c:pt>
                <c:pt idx="119">
                  <c:v>359.5</c:v>
                </c:pt>
                <c:pt idx="120">
                  <c:v>360</c:v>
                </c:pt>
                <c:pt idx="121">
                  <c:v>360.5</c:v>
                </c:pt>
                <c:pt idx="122">
                  <c:v>361</c:v>
                </c:pt>
                <c:pt idx="123">
                  <c:v>361.5</c:v>
                </c:pt>
                <c:pt idx="124">
                  <c:v>362</c:v>
                </c:pt>
                <c:pt idx="125">
                  <c:v>362.5</c:v>
                </c:pt>
                <c:pt idx="126">
                  <c:v>363</c:v>
                </c:pt>
                <c:pt idx="127">
                  <c:v>363.5</c:v>
                </c:pt>
                <c:pt idx="128">
                  <c:v>364</c:v>
                </c:pt>
                <c:pt idx="129">
                  <c:v>364.5</c:v>
                </c:pt>
                <c:pt idx="130">
                  <c:v>365</c:v>
                </c:pt>
                <c:pt idx="131">
                  <c:v>365.5</c:v>
                </c:pt>
                <c:pt idx="132">
                  <c:v>366</c:v>
                </c:pt>
                <c:pt idx="133">
                  <c:v>366.5</c:v>
                </c:pt>
                <c:pt idx="134">
                  <c:v>367</c:v>
                </c:pt>
                <c:pt idx="135">
                  <c:v>367.5</c:v>
                </c:pt>
                <c:pt idx="136">
                  <c:v>368</c:v>
                </c:pt>
                <c:pt idx="137">
                  <c:v>368.5</c:v>
                </c:pt>
                <c:pt idx="138">
                  <c:v>369</c:v>
                </c:pt>
                <c:pt idx="139">
                  <c:v>369.5</c:v>
                </c:pt>
                <c:pt idx="140">
                  <c:v>370</c:v>
                </c:pt>
                <c:pt idx="141">
                  <c:v>370.5</c:v>
                </c:pt>
                <c:pt idx="142">
                  <c:v>371</c:v>
                </c:pt>
                <c:pt idx="143">
                  <c:v>371.5</c:v>
                </c:pt>
                <c:pt idx="144">
                  <c:v>372</c:v>
                </c:pt>
                <c:pt idx="145">
                  <c:v>372.5</c:v>
                </c:pt>
                <c:pt idx="146">
                  <c:v>373</c:v>
                </c:pt>
                <c:pt idx="147">
                  <c:v>373.5</c:v>
                </c:pt>
                <c:pt idx="148">
                  <c:v>374</c:v>
                </c:pt>
                <c:pt idx="149">
                  <c:v>374.5</c:v>
                </c:pt>
                <c:pt idx="150">
                  <c:v>375</c:v>
                </c:pt>
                <c:pt idx="151">
                  <c:v>375.5</c:v>
                </c:pt>
                <c:pt idx="152">
                  <c:v>376</c:v>
                </c:pt>
                <c:pt idx="153">
                  <c:v>376.5</c:v>
                </c:pt>
                <c:pt idx="154">
                  <c:v>377</c:v>
                </c:pt>
                <c:pt idx="155">
                  <c:v>377.5</c:v>
                </c:pt>
                <c:pt idx="156">
                  <c:v>378</c:v>
                </c:pt>
                <c:pt idx="157">
                  <c:v>378.5</c:v>
                </c:pt>
                <c:pt idx="158">
                  <c:v>379</c:v>
                </c:pt>
                <c:pt idx="159">
                  <c:v>379.5</c:v>
                </c:pt>
                <c:pt idx="160">
                  <c:v>380</c:v>
                </c:pt>
                <c:pt idx="161">
                  <c:v>380.5</c:v>
                </c:pt>
                <c:pt idx="162">
                  <c:v>381</c:v>
                </c:pt>
                <c:pt idx="163">
                  <c:v>381.5</c:v>
                </c:pt>
                <c:pt idx="164">
                  <c:v>382</c:v>
                </c:pt>
                <c:pt idx="165">
                  <c:v>382.5</c:v>
                </c:pt>
                <c:pt idx="166">
                  <c:v>383</c:v>
                </c:pt>
                <c:pt idx="167">
                  <c:v>383.5</c:v>
                </c:pt>
                <c:pt idx="168">
                  <c:v>384</c:v>
                </c:pt>
                <c:pt idx="169">
                  <c:v>384.5</c:v>
                </c:pt>
                <c:pt idx="170">
                  <c:v>385</c:v>
                </c:pt>
                <c:pt idx="171">
                  <c:v>385.5</c:v>
                </c:pt>
                <c:pt idx="172">
                  <c:v>386</c:v>
                </c:pt>
                <c:pt idx="173">
                  <c:v>386.5</c:v>
                </c:pt>
                <c:pt idx="174">
                  <c:v>387</c:v>
                </c:pt>
                <c:pt idx="175">
                  <c:v>387.5</c:v>
                </c:pt>
                <c:pt idx="176">
                  <c:v>388</c:v>
                </c:pt>
                <c:pt idx="177">
                  <c:v>388.5</c:v>
                </c:pt>
                <c:pt idx="178">
                  <c:v>389</c:v>
                </c:pt>
                <c:pt idx="179">
                  <c:v>389.5</c:v>
                </c:pt>
                <c:pt idx="180">
                  <c:v>390</c:v>
                </c:pt>
                <c:pt idx="181">
                  <c:v>390.5</c:v>
                </c:pt>
                <c:pt idx="182">
                  <c:v>391</c:v>
                </c:pt>
                <c:pt idx="183">
                  <c:v>391.5</c:v>
                </c:pt>
                <c:pt idx="184">
                  <c:v>392</c:v>
                </c:pt>
                <c:pt idx="185">
                  <c:v>392.5</c:v>
                </c:pt>
                <c:pt idx="186">
                  <c:v>393</c:v>
                </c:pt>
                <c:pt idx="187">
                  <c:v>393.5</c:v>
                </c:pt>
                <c:pt idx="188">
                  <c:v>394</c:v>
                </c:pt>
                <c:pt idx="189">
                  <c:v>394.5</c:v>
                </c:pt>
                <c:pt idx="190">
                  <c:v>395</c:v>
                </c:pt>
                <c:pt idx="191">
                  <c:v>395.5</c:v>
                </c:pt>
                <c:pt idx="192">
                  <c:v>396</c:v>
                </c:pt>
                <c:pt idx="193">
                  <c:v>396.5</c:v>
                </c:pt>
                <c:pt idx="194">
                  <c:v>397</c:v>
                </c:pt>
                <c:pt idx="195">
                  <c:v>397.5</c:v>
                </c:pt>
                <c:pt idx="196">
                  <c:v>398</c:v>
                </c:pt>
                <c:pt idx="197">
                  <c:v>398.5</c:v>
                </c:pt>
                <c:pt idx="198">
                  <c:v>399</c:v>
                </c:pt>
                <c:pt idx="199">
                  <c:v>399.5</c:v>
                </c:pt>
                <c:pt idx="200">
                  <c:v>400</c:v>
                </c:pt>
                <c:pt idx="201">
                  <c:v>400.5</c:v>
                </c:pt>
                <c:pt idx="202">
                  <c:v>401</c:v>
                </c:pt>
                <c:pt idx="203">
                  <c:v>401.5</c:v>
                </c:pt>
                <c:pt idx="204">
                  <c:v>402</c:v>
                </c:pt>
                <c:pt idx="205">
                  <c:v>402.5</c:v>
                </c:pt>
                <c:pt idx="206">
                  <c:v>403</c:v>
                </c:pt>
                <c:pt idx="207">
                  <c:v>403.5</c:v>
                </c:pt>
                <c:pt idx="208">
                  <c:v>404</c:v>
                </c:pt>
                <c:pt idx="209">
                  <c:v>404.5</c:v>
                </c:pt>
                <c:pt idx="210">
                  <c:v>405</c:v>
                </c:pt>
                <c:pt idx="211">
                  <c:v>405.5</c:v>
                </c:pt>
                <c:pt idx="212">
                  <c:v>406</c:v>
                </c:pt>
                <c:pt idx="213">
                  <c:v>406.5</c:v>
                </c:pt>
                <c:pt idx="214">
                  <c:v>407</c:v>
                </c:pt>
                <c:pt idx="215">
                  <c:v>407.5</c:v>
                </c:pt>
                <c:pt idx="216">
                  <c:v>408</c:v>
                </c:pt>
                <c:pt idx="217">
                  <c:v>408.5</c:v>
                </c:pt>
                <c:pt idx="218">
                  <c:v>409</c:v>
                </c:pt>
                <c:pt idx="219">
                  <c:v>409.5</c:v>
                </c:pt>
                <c:pt idx="220">
                  <c:v>410</c:v>
                </c:pt>
                <c:pt idx="221">
                  <c:v>410.5</c:v>
                </c:pt>
                <c:pt idx="222">
                  <c:v>411</c:v>
                </c:pt>
                <c:pt idx="223">
                  <c:v>411.5</c:v>
                </c:pt>
                <c:pt idx="224">
                  <c:v>412</c:v>
                </c:pt>
                <c:pt idx="225">
                  <c:v>412.5</c:v>
                </c:pt>
                <c:pt idx="226">
                  <c:v>413</c:v>
                </c:pt>
                <c:pt idx="227">
                  <c:v>413.5</c:v>
                </c:pt>
                <c:pt idx="228">
                  <c:v>414</c:v>
                </c:pt>
                <c:pt idx="229">
                  <c:v>414.5</c:v>
                </c:pt>
                <c:pt idx="230">
                  <c:v>415</c:v>
                </c:pt>
                <c:pt idx="231">
                  <c:v>415.5</c:v>
                </c:pt>
                <c:pt idx="232">
                  <c:v>416</c:v>
                </c:pt>
                <c:pt idx="233">
                  <c:v>416.5</c:v>
                </c:pt>
                <c:pt idx="234">
                  <c:v>417</c:v>
                </c:pt>
                <c:pt idx="235">
                  <c:v>417.5</c:v>
                </c:pt>
                <c:pt idx="236">
                  <c:v>418</c:v>
                </c:pt>
                <c:pt idx="237">
                  <c:v>418.5</c:v>
                </c:pt>
                <c:pt idx="238">
                  <c:v>419</c:v>
                </c:pt>
                <c:pt idx="239">
                  <c:v>419.5</c:v>
                </c:pt>
                <c:pt idx="240">
                  <c:v>420</c:v>
                </c:pt>
                <c:pt idx="241">
                  <c:v>420.5</c:v>
                </c:pt>
                <c:pt idx="242">
                  <c:v>421</c:v>
                </c:pt>
                <c:pt idx="243">
                  <c:v>421.5</c:v>
                </c:pt>
                <c:pt idx="244">
                  <c:v>422</c:v>
                </c:pt>
                <c:pt idx="245">
                  <c:v>422.5</c:v>
                </c:pt>
                <c:pt idx="246">
                  <c:v>423</c:v>
                </c:pt>
                <c:pt idx="247">
                  <c:v>423.5</c:v>
                </c:pt>
                <c:pt idx="248">
                  <c:v>424</c:v>
                </c:pt>
                <c:pt idx="249">
                  <c:v>424.5</c:v>
                </c:pt>
                <c:pt idx="250">
                  <c:v>425</c:v>
                </c:pt>
                <c:pt idx="251">
                  <c:v>425.5</c:v>
                </c:pt>
                <c:pt idx="252">
                  <c:v>426</c:v>
                </c:pt>
                <c:pt idx="253">
                  <c:v>426.5</c:v>
                </c:pt>
                <c:pt idx="254">
                  <c:v>427</c:v>
                </c:pt>
                <c:pt idx="255">
                  <c:v>427.5</c:v>
                </c:pt>
                <c:pt idx="256">
                  <c:v>428</c:v>
                </c:pt>
                <c:pt idx="257">
                  <c:v>428.5</c:v>
                </c:pt>
                <c:pt idx="258">
                  <c:v>429</c:v>
                </c:pt>
                <c:pt idx="259">
                  <c:v>429.5</c:v>
                </c:pt>
                <c:pt idx="260">
                  <c:v>430</c:v>
                </c:pt>
                <c:pt idx="261">
                  <c:v>430.5</c:v>
                </c:pt>
                <c:pt idx="262">
                  <c:v>431</c:v>
                </c:pt>
                <c:pt idx="263">
                  <c:v>431.5</c:v>
                </c:pt>
                <c:pt idx="264">
                  <c:v>432</c:v>
                </c:pt>
                <c:pt idx="265">
                  <c:v>432.5</c:v>
                </c:pt>
                <c:pt idx="266">
                  <c:v>433</c:v>
                </c:pt>
                <c:pt idx="267">
                  <c:v>433.5</c:v>
                </c:pt>
                <c:pt idx="268">
                  <c:v>434</c:v>
                </c:pt>
                <c:pt idx="269">
                  <c:v>434.5</c:v>
                </c:pt>
                <c:pt idx="270">
                  <c:v>435</c:v>
                </c:pt>
                <c:pt idx="271">
                  <c:v>435.5</c:v>
                </c:pt>
                <c:pt idx="272">
                  <c:v>436</c:v>
                </c:pt>
                <c:pt idx="273">
                  <c:v>436.5</c:v>
                </c:pt>
                <c:pt idx="274">
                  <c:v>437</c:v>
                </c:pt>
                <c:pt idx="275">
                  <c:v>437.5</c:v>
                </c:pt>
                <c:pt idx="276">
                  <c:v>438</c:v>
                </c:pt>
                <c:pt idx="277">
                  <c:v>438.5</c:v>
                </c:pt>
                <c:pt idx="278">
                  <c:v>439</c:v>
                </c:pt>
                <c:pt idx="279">
                  <c:v>439.5</c:v>
                </c:pt>
                <c:pt idx="280">
                  <c:v>440</c:v>
                </c:pt>
                <c:pt idx="281">
                  <c:v>440.5</c:v>
                </c:pt>
                <c:pt idx="282">
                  <c:v>441</c:v>
                </c:pt>
                <c:pt idx="283">
                  <c:v>441.5</c:v>
                </c:pt>
                <c:pt idx="284">
                  <c:v>442</c:v>
                </c:pt>
                <c:pt idx="285">
                  <c:v>442.5</c:v>
                </c:pt>
                <c:pt idx="286">
                  <c:v>443</c:v>
                </c:pt>
                <c:pt idx="287">
                  <c:v>443.5</c:v>
                </c:pt>
                <c:pt idx="288">
                  <c:v>444</c:v>
                </c:pt>
                <c:pt idx="289">
                  <c:v>444.5</c:v>
                </c:pt>
                <c:pt idx="290">
                  <c:v>445</c:v>
                </c:pt>
                <c:pt idx="291">
                  <c:v>445.5</c:v>
                </c:pt>
                <c:pt idx="292">
                  <c:v>446</c:v>
                </c:pt>
                <c:pt idx="293">
                  <c:v>446.5</c:v>
                </c:pt>
                <c:pt idx="294">
                  <c:v>447</c:v>
                </c:pt>
                <c:pt idx="295">
                  <c:v>447.5</c:v>
                </c:pt>
                <c:pt idx="296">
                  <c:v>448</c:v>
                </c:pt>
                <c:pt idx="297">
                  <c:v>448.5</c:v>
                </c:pt>
                <c:pt idx="298">
                  <c:v>449</c:v>
                </c:pt>
                <c:pt idx="299">
                  <c:v>449.5</c:v>
                </c:pt>
                <c:pt idx="300">
                  <c:v>450</c:v>
                </c:pt>
                <c:pt idx="301">
                  <c:v>450.5</c:v>
                </c:pt>
                <c:pt idx="302">
                  <c:v>451</c:v>
                </c:pt>
                <c:pt idx="303">
                  <c:v>451.5</c:v>
                </c:pt>
                <c:pt idx="304">
                  <c:v>452</c:v>
                </c:pt>
                <c:pt idx="305">
                  <c:v>452.5</c:v>
                </c:pt>
                <c:pt idx="306">
                  <c:v>453</c:v>
                </c:pt>
                <c:pt idx="307">
                  <c:v>453.5</c:v>
                </c:pt>
                <c:pt idx="308">
                  <c:v>454</c:v>
                </c:pt>
                <c:pt idx="309">
                  <c:v>454.5</c:v>
                </c:pt>
                <c:pt idx="310">
                  <c:v>455</c:v>
                </c:pt>
                <c:pt idx="311">
                  <c:v>455.5</c:v>
                </c:pt>
                <c:pt idx="312">
                  <c:v>456</c:v>
                </c:pt>
                <c:pt idx="313">
                  <c:v>456.5</c:v>
                </c:pt>
                <c:pt idx="314">
                  <c:v>457</c:v>
                </c:pt>
                <c:pt idx="315">
                  <c:v>457.5</c:v>
                </c:pt>
                <c:pt idx="316">
                  <c:v>458</c:v>
                </c:pt>
                <c:pt idx="317">
                  <c:v>458.5</c:v>
                </c:pt>
                <c:pt idx="318">
                  <c:v>459</c:v>
                </c:pt>
                <c:pt idx="319">
                  <c:v>459.5</c:v>
                </c:pt>
                <c:pt idx="320">
                  <c:v>460</c:v>
                </c:pt>
                <c:pt idx="321">
                  <c:v>460.5</c:v>
                </c:pt>
                <c:pt idx="322">
                  <c:v>461</c:v>
                </c:pt>
                <c:pt idx="323">
                  <c:v>461.5</c:v>
                </c:pt>
                <c:pt idx="324">
                  <c:v>462</c:v>
                </c:pt>
                <c:pt idx="325">
                  <c:v>462.5</c:v>
                </c:pt>
                <c:pt idx="326">
                  <c:v>463</c:v>
                </c:pt>
                <c:pt idx="327">
                  <c:v>463.5</c:v>
                </c:pt>
                <c:pt idx="328">
                  <c:v>464</c:v>
                </c:pt>
                <c:pt idx="329">
                  <c:v>464.5</c:v>
                </c:pt>
                <c:pt idx="330">
                  <c:v>465</c:v>
                </c:pt>
                <c:pt idx="331">
                  <c:v>465.5</c:v>
                </c:pt>
                <c:pt idx="332">
                  <c:v>466</c:v>
                </c:pt>
                <c:pt idx="333">
                  <c:v>466.5</c:v>
                </c:pt>
                <c:pt idx="334">
                  <c:v>467</c:v>
                </c:pt>
                <c:pt idx="335">
                  <c:v>467.5</c:v>
                </c:pt>
                <c:pt idx="336">
                  <c:v>468</c:v>
                </c:pt>
                <c:pt idx="337">
                  <c:v>468.5</c:v>
                </c:pt>
                <c:pt idx="338">
                  <c:v>469</c:v>
                </c:pt>
                <c:pt idx="339">
                  <c:v>469.5</c:v>
                </c:pt>
                <c:pt idx="340">
                  <c:v>470</c:v>
                </c:pt>
                <c:pt idx="341">
                  <c:v>470.5</c:v>
                </c:pt>
                <c:pt idx="342">
                  <c:v>471</c:v>
                </c:pt>
                <c:pt idx="343">
                  <c:v>471.5</c:v>
                </c:pt>
                <c:pt idx="344">
                  <c:v>472</c:v>
                </c:pt>
                <c:pt idx="345">
                  <c:v>472.5</c:v>
                </c:pt>
                <c:pt idx="346">
                  <c:v>473</c:v>
                </c:pt>
                <c:pt idx="347">
                  <c:v>473.5</c:v>
                </c:pt>
                <c:pt idx="348">
                  <c:v>474</c:v>
                </c:pt>
                <c:pt idx="349">
                  <c:v>474.5</c:v>
                </c:pt>
                <c:pt idx="350">
                  <c:v>475</c:v>
                </c:pt>
                <c:pt idx="351">
                  <c:v>475.5</c:v>
                </c:pt>
                <c:pt idx="352">
                  <c:v>476</c:v>
                </c:pt>
                <c:pt idx="353">
                  <c:v>476.5</c:v>
                </c:pt>
                <c:pt idx="354">
                  <c:v>477</c:v>
                </c:pt>
                <c:pt idx="355">
                  <c:v>477.5</c:v>
                </c:pt>
                <c:pt idx="356">
                  <c:v>478</c:v>
                </c:pt>
                <c:pt idx="357">
                  <c:v>478.5</c:v>
                </c:pt>
                <c:pt idx="358">
                  <c:v>479</c:v>
                </c:pt>
                <c:pt idx="359">
                  <c:v>479.5</c:v>
                </c:pt>
                <c:pt idx="360">
                  <c:v>480</c:v>
                </c:pt>
                <c:pt idx="361">
                  <c:v>480.5</c:v>
                </c:pt>
                <c:pt idx="362">
                  <c:v>481</c:v>
                </c:pt>
                <c:pt idx="363">
                  <c:v>481.5</c:v>
                </c:pt>
                <c:pt idx="364">
                  <c:v>482</c:v>
                </c:pt>
                <c:pt idx="365">
                  <c:v>482.5</c:v>
                </c:pt>
                <c:pt idx="366">
                  <c:v>483</c:v>
                </c:pt>
                <c:pt idx="367">
                  <c:v>483.5</c:v>
                </c:pt>
                <c:pt idx="368">
                  <c:v>484</c:v>
                </c:pt>
                <c:pt idx="369">
                  <c:v>484.5</c:v>
                </c:pt>
                <c:pt idx="370">
                  <c:v>485</c:v>
                </c:pt>
                <c:pt idx="371">
                  <c:v>485.5</c:v>
                </c:pt>
                <c:pt idx="372">
                  <c:v>486</c:v>
                </c:pt>
                <c:pt idx="373">
                  <c:v>486.5</c:v>
                </c:pt>
                <c:pt idx="374">
                  <c:v>487</c:v>
                </c:pt>
                <c:pt idx="375">
                  <c:v>487.5</c:v>
                </c:pt>
                <c:pt idx="376">
                  <c:v>488</c:v>
                </c:pt>
                <c:pt idx="377">
                  <c:v>488.5</c:v>
                </c:pt>
                <c:pt idx="378">
                  <c:v>489</c:v>
                </c:pt>
                <c:pt idx="379">
                  <c:v>489.5</c:v>
                </c:pt>
                <c:pt idx="380">
                  <c:v>490</c:v>
                </c:pt>
                <c:pt idx="381">
                  <c:v>490.5</c:v>
                </c:pt>
                <c:pt idx="382">
                  <c:v>491</c:v>
                </c:pt>
                <c:pt idx="383">
                  <c:v>491.5</c:v>
                </c:pt>
                <c:pt idx="384">
                  <c:v>492</c:v>
                </c:pt>
                <c:pt idx="385">
                  <c:v>492.5</c:v>
                </c:pt>
                <c:pt idx="386">
                  <c:v>493</c:v>
                </c:pt>
                <c:pt idx="387">
                  <c:v>493.5</c:v>
                </c:pt>
                <c:pt idx="388">
                  <c:v>494</c:v>
                </c:pt>
                <c:pt idx="389">
                  <c:v>494.5</c:v>
                </c:pt>
                <c:pt idx="390">
                  <c:v>495</c:v>
                </c:pt>
                <c:pt idx="391">
                  <c:v>495.5</c:v>
                </c:pt>
                <c:pt idx="392">
                  <c:v>496</c:v>
                </c:pt>
                <c:pt idx="393">
                  <c:v>496.5</c:v>
                </c:pt>
                <c:pt idx="394">
                  <c:v>497</c:v>
                </c:pt>
                <c:pt idx="395">
                  <c:v>497.5</c:v>
                </c:pt>
                <c:pt idx="396">
                  <c:v>498</c:v>
                </c:pt>
                <c:pt idx="397">
                  <c:v>498.5</c:v>
                </c:pt>
                <c:pt idx="398">
                  <c:v>499</c:v>
                </c:pt>
                <c:pt idx="399">
                  <c:v>499.5</c:v>
                </c:pt>
                <c:pt idx="400">
                  <c:v>500</c:v>
                </c:pt>
                <c:pt idx="401">
                  <c:v>500.5</c:v>
                </c:pt>
                <c:pt idx="402">
                  <c:v>501</c:v>
                </c:pt>
                <c:pt idx="403">
                  <c:v>501.5</c:v>
                </c:pt>
                <c:pt idx="404">
                  <c:v>502</c:v>
                </c:pt>
                <c:pt idx="405">
                  <c:v>502.5</c:v>
                </c:pt>
                <c:pt idx="406">
                  <c:v>503</c:v>
                </c:pt>
                <c:pt idx="407">
                  <c:v>503.5</c:v>
                </c:pt>
                <c:pt idx="408">
                  <c:v>504</c:v>
                </c:pt>
                <c:pt idx="409">
                  <c:v>504.5</c:v>
                </c:pt>
                <c:pt idx="410">
                  <c:v>505</c:v>
                </c:pt>
                <c:pt idx="411">
                  <c:v>505.5</c:v>
                </c:pt>
                <c:pt idx="412">
                  <c:v>506</c:v>
                </c:pt>
                <c:pt idx="413">
                  <c:v>506.5</c:v>
                </c:pt>
                <c:pt idx="414">
                  <c:v>507</c:v>
                </c:pt>
                <c:pt idx="415">
                  <c:v>507.5</c:v>
                </c:pt>
                <c:pt idx="416">
                  <c:v>508</c:v>
                </c:pt>
                <c:pt idx="417">
                  <c:v>508.5</c:v>
                </c:pt>
                <c:pt idx="418">
                  <c:v>509</c:v>
                </c:pt>
                <c:pt idx="419">
                  <c:v>509.5</c:v>
                </c:pt>
                <c:pt idx="420">
                  <c:v>510</c:v>
                </c:pt>
                <c:pt idx="421">
                  <c:v>510.5</c:v>
                </c:pt>
                <c:pt idx="422">
                  <c:v>511</c:v>
                </c:pt>
                <c:pt idx="423">
                  <c:v>511.5</c:v>
                </c:pt>
                <c:pt idx="424">
                  <c:v>512</c:v>
                </c:pt>
                <c:pt idx="425">
                  <c:v>512.5</c:v>
                </c:pt>
                <c:pt idx="426">
                  <c:v>513</c:v>
                </c:pt>
                <c:pt idx="427">
                  <c:v>513.5</c:v>
                </c:pt>
                <c:pt idx="428">
                  <c:v>514</c:v>
                </c:pt>
                <c:pt idx="429">
                  <c:v>514.5</c:v>
                </c:pt>
                <c:pt idx="430">
                  <c:v>515</c:v>
                </c:pt>
                <c:pt idx="431">
                  <c:v>515.5</c:v>
                </c:pt>
                <c:pt idx="432">
                  <c:v>516</c:v>
                </c:pt>
                <c:pt idx="433">
                  <c:v>516.5</c:v>
                </c:pt>
                <c:pt idx="434">
                  <c:v>517</c:v>
                </c:pt>
                <c:pt idx="435">
                  <c:v>517.5</c:v>
                </c:pt>
                <c:pt idx="436">
                  <c:v>518</c:v>
                </c:pt>
                <c:pt idx="437">
                  <c:v>518.5</c:v>
                </c:pt>
                <c:pt idx="438">
                  <c:v>519</c:v>
                </c:pt>
                <c:pt idx="439">
                  <c:v>519.5</c:v>
                </c:pt>
                <c:pt idx="440">
                  <c:v>520</c:v>
                </c:pt>
                <c:pt idx="441">
                  <c:v>520.5</c:v>
                </c:pt>
                <c:pt idx="442">
                  <c:v>521</c:v>
                </c:pt>
                <c:pt idx="443">
                  <c:v>521.5</c:v>
                </c:pt>
                <c:pt idx="444">
                  <c:v>522</c:v>
                </c:pt>
                <c:pt idx="445">
                  <c:v>522.5</c:v>
                </c:pt>
                <c:pt idx="446">
                  <c:v>523</c:v>
                </c:pt>
                <c:pt idx="447">
                  <c:v>523.5</c:v>
                </c:pt>
                <c:pt idx="448">
                  <c:v>524</c:v>
                </c:pt>
                <c:pt idx="449">
                  <c:v>524.5</c:v>
                </c:pt>
                <c:pt idx="450">
                  <c:v>525</c:v>
                </c:pt>
                <c:pt idx="451">
                  <c:v>525.5</c:v>
                </c:pt>
                <c:pt idx="452">
                  <c:v>526</c:v>
                </c:pt>
                <c:pt idx="453">
                  <c:v>526.5</c:v>
                </c:pt>
                <c:pt idx="454">
                  <c:v>527</c:v>
                </c:pt>
                <c:pt idx="455">
                  <c:v>527.5</c:v>
                </c:pt>
                <c:pt idx="456">
                  <c:v>528</c:v>
                </c:pt>
                <c:pt idx="457">
                  <c:v>528.5</c:v>
                </c:pt>
                <c:pt idx="458">
                  <c:v>529</c:v>
                </c:pt>
                <c:pt idx="459">
                  <c:v>529.5</c:v>
                </c:pt>
                <c:pt idx="460">
                  <c:v>530</c:v>
                </c:pt>
                <c:pt idx="461">
                  <c:v>530.5</c:v>
                </c:pt>
                <c:pt idx="462">
                  <c:v>531</c:v>
                </c:pt>
                <c:pt idx="463">
                  <c:v>531.5</c:v>
                </c:pt>
                <c:pt idx="464">
                  <c:v>532</c:v>
                </c:pt>
                <c:pt idx="465">
                  <c:v>532.5</c:v>
                </c:pt>
                <c:pt idx="466">
                  <c:v>533</c:v>
                </c:pt>
                <c:pt idx="467">
                  <c:v>533.5</c:v>
                </c:pt>
                <c:pt idx="468">
                  <c:v>534</c:v>
                </c:pt>
                <c:pt idx="469">
                  <c:v>534.5</c:v>
                </c:pt>
                <c:pt idx="470">
                  <c:v>535</c:v>
                </c:pt>
                <c:pt idx="471">
                  <c:v>535.5</c:v>
                </c:pt>
                <c:pt idx="472">
                  <c:v>536</c:v>
                </c:pt>
                <c:pt idx="473">
                  <c:v>536.5</c:v>
                </c:pt>
                <c:pt idx="474">
                  <c:v>537</c:v>
                </c:pt>
                <c:pt idx="475">
                  <c:v>537.5</c:v>
                </c:pt>
                <c:pt idx="476">
                  <c:v>538</c:v>
                </c:pt>
                <c:pt idx="477">
                  <c:v>538.5</c:v>
                </c:pt>
                <c:pt idx="478">
                  <c:v>539</c:v>
                </c:pt>
                <c:pt idx="479">
                  <c:v>539.5</c:v>
                </c:pt>
                <c:pt idx="480">
                  <c:v>540</c:v>
                </c:pt>
                <c:pt idx="481">
                  <c:v>540.5</c:v>
                </c:pt>
                <c:pt idx="482">
                  <c:v>541</c:v>
                </c:pt>
                <c:pt idx="483">
                  <c:v>541.5</c:v>
                </c:pt>
                <c:pt idx="484">
                  <c:v>542</c:v>
                </c:pt>
                <c:pt idx="485">
                  <c:v>542.5</c:v>
                </c:pt>
                <c:pt idx="486">
                  <c:v>543</c:v>
                </c:pt>
                <c:pt idx="487">
                  <c:v>543.5</c:v>
                </c:pt>
                <c:pt idx="488">
                  <c:v>544</c:v>
                </c:pt>
                <c:pt idx="489">
                  <c:v>544.5</c:v>
                </c:pt>
                <c:pt idx="490">
                  <c:v>545</c:v>
                </c:pt>
                <c:pt idx="491">
                  <c:v>545.5</c:v>
                </c:pt>
                <c:pt idx="492">
                  <c:v>546</c:v>
                </c:pt>
                <c:pt idx="493">
                  <c:v>546.5</c:v>
                </c:pt>
                <c:pt idx="494">
                  <c:v>547</c:v>
                </c:pt>
                <c:pt idx="495">
                  <c:v>547.5</c:v>
                </c:pt>
                <c:pt idx="496">
                  <c:v>548</c:v>
                </c:pt>
                <c:pt idx="497">
                  <c:v>548.5</c:v>
                </c:pt>
                <c:pt idx="498">
                  <c:v>549</c:v>
                </c:pt>
                <c:pt idx="499">
                  <c:v>549.5</c:v>
                </c:pt>
                <c:pt idx="500">
                  <c:v>550</c:v>
                </c:pt>
                <c:pt idx="501">
                  <c:v>550.5</c:v>
                </c:pt>
                <c:pt idx="502">
                  <c:v>551</c:v>
                </c:pt>
                <c:pt idx="503">
                  <c:v>551.5</c:v>
                </c:pt>
                <c:pt idx="504">
                  <c:v>552</c:v>
                </c:pt>
                <c:pt idx="505">
                  <c:v>552.5</c:v>
                </c:pt>
                <c:pt idx="506">
                  <c:v>553</c:v>
                </c:pt>
                <c:pt idx="507">
                  <c:v>553.5</c:v>
                </c:pt>
                <c:pt idx="508">
                  <c:v>554</c:v>
                </c:pt>
                <c:pt idx="509">
                  <c:v>554.5</c:v>
                </c:pt>
                <c:pt idx="510">
                  <c:v>555</c:v>
                </c:pt>
                <c:pt idx="511">
                  <c:v>555.5</c:v>
                </c:pt>
                <c:pt idx="512">
                  <c:v>556</c:v>
                </c:pt>
                <c:pt idx="513">
                  <c:v>556.5</c:v>
                </c:pt>
                <c:pt idx="514">
                  <c:v>557</c:v>
                </c:pt>
                <c:pt idx="515">
                  <c:v>557.5</c:v>
                </c:pt>
                <c:pt idx="516">
                  <c:v>558</c:v>
                </c:pt>
                <c:pt idx="517">
                  <c:v>558.5</c:v>
                </c:pt>
                <c:pt idx="518">
                  <c:v>559</c:v>
                </c:pt>
                <c:pt idx="519">
                  <c:v>559.5</c:v>
                </c:pt>
                <c:pt idx="520">
                  <c:v>560</c:v>
                </c:pt>
                <c:pt idx="521">
                  <c:v>560.5</c:v>
                </c:pt>
                <c:pt idx="522">
                  <c:v>561</c:v>
                </c:pt>
                <c:pt idx="523">
                  <c:v>561.5</c:v>
                </c:pt>
                <c:pt idx="524">
                  <c:v>562</c:v>
                </c:pt>
                <c:pt idx="525">
                  <c:v>562.5</c:v>
                </c:pt>
                <c:pt idx="526">
                  <c:v>563</c:v>
                </c:pt>
                <c:pt idx="527">
                  <c:v>563.5</c:v>
                </c:pt>
                <c:pt idx="528">
                  <c:v>564</c:v>
                </c:pt>
                <c:pt idx="529">
                  <c:v>564.5</c:v>
                </c:pt>
                <c:pt idx="530">
                  <c:v>565</c:v>
                </c:pt>
                <c:pt idx="531">
                  <c:v>565.5</c:v>
                </c:pt>
                <c:pt idx="532">
                  <c:v>566</c:v>
                </c:pt>
                <c:pt idx="533">
                  <c:v>566.5</c:v>
                </c:pt>
                <c:pt idx="534">
                  <c:v>567</c:v>
                </c:pt>
                <c:pt idx="535">
                  <c:v>567.5</c:v>
                </c:pt>
                <c:pt idx="536">
                  <c:v>568</c:v>
                </c:pt>
                <c:pt idx="537">
                  <c:v>568.5</c:v>
                </c:pt>
                <c:pt idx="538">
                  <c:v>569</c:v>
                </c:pt>
                <c:pt idx="539">
                  <c:v>569.5</c:v>
                </c:pt>
                <c:pt idx="540">
                  <c:v>570</c:v>
                </c:pt>
                <c:pt idx="541">
                  <c:v>570.5</c:v>
                </c:pt>
                <c:pt idx="542">
                  <c:v>571</c:v>
                </c:pt>
                <c:pt idx="543">
                  <c:v>571.5</c:v>
                </c:pt>
                <c:pt idx="544">
                  <c:v>572</c:v>
                </c:pt>
                <c:pt idx="545">
                  <c:v>572.5</c:v>
                </c:pt>
                <c:pt idx="546">
                  <c:v>573</c:v>
                </c:pt>
                <c:pt idx="547">
                  <c:v>573.5</c:v>
                </c:pt>
                <c:pt idx="548">
                  <c:v>574</c:v>
                </c:pt>
                <c:pt idx="549">
                  <c:v>574.5</c:v>
                </c:pt>
                <c:pt idx="550">
                  <c:v>575</c:v>
                </c:pt>
                <c:pt idx="551">
                  <c:v>575.5</c:v>
                </c:pt>
                <c:pt idx="552">
                  <c:v>576</c:v>
                </c:pt>
                <c:pt idx="553">
                  <c:v>576.5</c:v>
                </c:pt>
                <c:pt idx="554">
                  <c:v>577</c:v>
                </c:pt>
                <c:pt idx="555">
                  <c:v>577.5</c:v>
                </c:pt>
                <c:pt idx="556">
                  <c:v>578</c:v>
                </c:pt>
                <c:pt idx="557">
                  <c:v>578.5</c:v>
                </c:pt>
                <c:pt idx="558">
                  <c:v>579</c:v>
                </c:pt>
                <c:pt idx="559">
                  <c:v>579.5</c:v>
                </c:pt>
                <c:pt idx="560">
                  <c:v>580</c:v>
                </c:pt>
                <c:pt idx="561">
                  <c:v>580.5</c:v>
                </c:pt>
                <c:pt idx="562">
                  <c:v>581</c:v>
                </c:pt>
                <c:pt idx="563">
                  <c:v>581.5</c:v>
                </c:pt>
                <c:pt idx="564">
                  <c:v>582</c:v>
                </c:pt>
                <c:pt idx="565">
                  <c:v>582.5</c:v>
                </c:pt>
                <c:pt idx="566">
                  <c:v>583</c:v>
                </c:pt>
                <c:pt idx="567">
                  <c:v>583.5</c:v>
                </c:pt>
                <c:pt idx="568">
                  <c:v>584</c:v>
                </c:pt>
                <c:pt idx="569">
                  <c:v>584.5</c:v>
                </c:pt>
                <c:pt idx="570">
                  <c:v>585</c:v>
                </c:pt>
                <c:pt idx="571">
                  <c:v>585.5</c:v>
                </c:pt>
                <c:pt idx="572">
                  <c:v>586</c:v>
                </c:pt>
                <c:pt idx="573">
                  <c:v>586.5</c:v>
                </c:pt>
                <c:pt idx="574">
                  <c:v>587</c:v>
                </c:pt>
                <c:pt idx="575">
                  <c:v>587.5</c:v>
                </c:pt>
                <c:pt idx="576">
                  <c:v>588</c:v>
                </c:pt>
                <c:pt idx="577">
                  <c:v>588.5</c:v>
                </c:pt>
                <c:pt idx="578">
                  <c:v>589</c:v>
                </c:pt>
                <c:pt idx="579">
                  <c:v>589.5</c:v>
                </c:pt>
                <c:pt idx="580">
                  <c:v>590</c:v>
                </c:pt>
                <c:pt idx="581">
                  <c:v>590.5</c:v>
                </c:pt>
                <c:pt idx="582">
                  <c:v>591</c:v>
                </c:pt>
                <c:pt idx="583">
                  <c:v>591.5</c:v>
                </c:pt>
                <c:pt idx="584">
                  <c:v>592</c:v>
                </c:pt>
                <c:pt idx="585">
                  <c:v>592.5</c:v>
                </c:pt>
                <c:pt idx="586">
                  <c:v>593</c:v>
                </c:pt>
                <c:pt idx="587">
                  <c:v>593.5</c:v>
                </c:pt>
                <c:pt idx="588">
                  <c:v>594</c:v>
                </c:pt>
                <c:pt idx="589">
                  <c:v>594.5</c:v>
                </c:pt>
                <c:pt idx="590">
                  <c:v>595</c:v>
                </c:pt>
                <c:pt idx="591">
                  <c:v>595.5</c:v>
                </c:pt>
                <c:pt idx="592">
                  <c:v>596</c:v>
                </c:pt>
                <c:pt idx="593">
                  <c:v>596.5</c:v>
                </c:pt>
                <c:pt idx="594">
                  <c:v>597</c:v>
                </c:pt>
                <c:pt idx="595">
                  <c:v>597.5</c:v>
                </c:pt>
                <c:pt idx="596">
                  <c:v>598</c:v>
                </c:pt>
                <c:pt idx="597">
                  <c:v>598.5</c:v>
                </c:pt>
                <c:pt idx="598">
                  <c:v>599</c:v>
                </c:pt>
                <c:pt idx="599">
                  <c:v>599.5</c:v>
                </c:pt>
                <c:pt idx="600">
                  <c:v>600</c:v>
                </c:pt>
                <c:pt idx="601">
                  <c:v>600.5</c:v>
                </c:pt>
                <c:pt idx="602">
                  <c:v>601</c:v>
                </c:pt>
                <c:pt idx="603">
                  <c:v>601.5</c:v>
                </c:pt>
                <c:pt idx="604">
                  <c:v>602</c:v>
                </c:pt>
                <c:pt idx="605">
                  <c:v>602.5</c:v>
                </c:pt>
                <c:pt idx="606">
                  <c:v>603</c:v>
                </c:pt>
                <c:pt idx="607">
                  <c:v>603.5</c:v>
                </c:pt>
                <c:pt idx="608">
                  <c:v>604</c:v>
                </c:pt>
                <c:pt idx="609">
                  <c:v>604.5</c:v>
                </c:pt>
                <c:pt idx="610">
                  <c:v>605</c:v>
                </c:pt>
                <c:pt idx="611">
                  <c:v>605.5</c:v>
                </c:pt>
                <c:pt idx="612">
                  <c:v>606</c:v>
                </c:pt>
                <c:pt idx="613">
                  <c:v>606.5</c:v>
                </c:pt>
                <c:pt idx="614">
                  <c:v>607</c:v>
                </c:pt>
                <c:pt idx="615">
                  <c:v>607.5</c:v>
                </c:pt>
                <c:pt idx="616">
                  <c:v>608</c:v>
                </c:pt>
                <c:pt idx="617">
                  <c:v>608.5</c:v>
                </c:pt>
                <c:pt idx="618">
                  <c:v>609</c:v>
                </c:pt>
                <c:pt idx="619">
                  <c:v>609.5</c:v>
                </c:pt>
                <c:pt idx="620">
                  <c:v>610</c:v>
                </c:pt>
                <c:pt idx="621">
                  <c:v>610.5</c:v>
                </c:pt>
                <c:pt idx="622">
                  <c:v>611</c:v>
                </c:pt>
                <c:pt idx="623">
                  <c:v>611.5</c:v>
                </c:pt>
                <c:pt idx="624">
                  <c:v>612</c:v>
                </c:pt>
                <c:pt idx="625">
                  <c:v>612.5</c:v>
                </c:pt>
                <c:pt idx="626">
                  <c:v>613</c:v>
                </c:pt>
                <c:pt idx="627">
                  <c:v>613.5</c:v>
                </c:pt>
                <c:pt idx="628">
                  <c:v>614</c:v>
                </c:pt>
                <c:pt idx="629">
                  <c:v>614.5</c:v>
                </c:pt>
                <c:pt idx="630">
                  <c:v>615</c:v>
                </c:pt>
                <c:pt idx="631">
                  <c:v>615.5</c:v>
                </c:pt>
                <c:pt idx="632">
                  <c:v>616</c:v>
                </c:pt>
                <c:pt idx="633">
                  <c:v>616.5</c:v>
                </c:pt>
                <c:pt idx="634">
                  <c:v>617</c:v>
                </c:pt>
                <c:pt idx="635">
                  <c:v>617.5</c:v>
                </c:pt>
                <c:pt idx="636">
                  <c:v>618</c:v>
                </c:pt>
                <c:pt idx="637">
                  <c:v>618.5</c:v>
                </c:pt>
                <c:pt idx="638">
                  <c:v>619</c:v>
                </c:pt>
                <c:pt idx="639">
                  <c:v>619.5</c:v>
                </c:pt>
                <c:pt idx="640">
                  <c:v>620</c:v>
                </c:pt>
                <c:pt idx="641">
                  <c:v>620.5</c:v>
                </c:pt>
                <c:pt idx="642">
                  <c:v>621</c:v>
                </c:pt>
                <c:pt idx="643">
                  <c:v>621.5</c:v>
                </c:pt>
                <c:pt idx="644">
                  <c:v>622</c:v>
                </c:pt>
                <c:pt idx="645">
                  <c:v>622.5</c:v>
                </c:pt>
                <c:pt idx="646">
                  <c:v>623</c:v>
                </c:pt>
                <c:pt idx="647">
                  <c:v>623.5</c:v>
                </c:pt>
                <c:pt idx="648">
                  <c:v>624</c:v>
                </c:pt>
                <c:pt idx="649">
                  <c:v>624.5</c:v>
                </c:pt>
                <c:pt idx="650">
                  <c:v>625</c:v>
                </c:pt>
                <c:pt idx="651">
                  <c:v>625.5</c:v>
                </c:pt>
                <c:pt idx="652">
                  <c:v>626</c:v>
                </c:pt>
                <c:pt idx="653">
                  <c:v>626.5</c:v>
                </c:pt>
                <c:pt idx="654">
                  <c:v>627</c:v>
                </c:pt>
                <c:pt idx="655">
                  <c:v>627.5</c:v>
                </c:pt>
                <c:pt idx="656">
                  <c:v>628</c:v>
                </c:pt>
                <c:pt idx="657">
                  <c:v>628.5</c:v>
                </c:pt>
                <c:pt idx="658">
                  <c:v>629</c:v>
                </c:pt>
                <c:pt idx="659">
                  <c:v>629.5</c:v>
                </c:pt>
                <c:pt idx="660">
                  <c:v>630</c:v>
                </c:pt>
                <c:pt idx="661">
                  <c:v>630.5</c:v>
                </c:pt>
                <c:pt idx="662">
                  <c:v>631</c:v>
                </c:pt>
                <c:pt idx="663">
                  <c:v>631.5</c:v>
                </c:pt>
                <c:pt idx="664">
                  <c:v>632</c:v>
                </c:pt>
                <c:pt idx="665">
                  <c:v>632.5</c:v>
                </c:pt>
                <c:pt idx="666">
                  <c:v>633</c:v>
                </c:pt>
                <c:pt idx="667">
                  <c:v>633.5</c:v>
                </c:pt>
                <c:pt idx="668">
                  <c:v>634</c:v>
                </c:pt>
                <c:pt idx="669">
                  <c:v>634.5</c:v>
                </c:pt>
                <c:pt idx="670">
                  <c:v>635</c:v>
                </c:pt>
                <c:pt idx="671">
                  <c:v>635.5</c:v>
                </c:pt>
                <c:pt idx="672">
                  <c:v>636</c:v>
                </c:pt>
                <c:pt idx="673">
                  <c:v>636.5</c:v>
                </c:pt>
                <c:pt idx="674">
                  <c:v>637</c:v>
                </c:pt>
                <c:pt idx="675">
                  <c:v>637.5</c:v>
                </c:pt>
                <c:pt idx="676">
                  <c:v>638</c:v>
                </c:pt>
                <c:pt idx="677">
                  <c:v>638.5</c:v>
                </c:pt>
                <c:pt idx="678">
                  <c:v>639</c:v>
                </c:pt>
                <c:pt idx="679">
                  <c:v>639.5</c:v>
                </c:pt>
                <c:pt idx="680">
                  <c:v>640</c:v>
                </c:pt>
                <c:pt idx="681">
                  <c:v>640.5</c:v>
                </c:pt>
                <c:pt idx="682">
                  <c:v>641</c:v>
                </c:pt>
                <c:pt idx="683">
                  <c:v>641.5</c:v>
                </c:pt>
                <c:pt idx="684">
                  <c:v>642</c:v>
                </c:pt>
                <c:pt idx="685">
                  <c:v>642.5</c:v>
                </c:pt>
                <c:pt idx="686">
                  <c:v>643</c:v>
                </c:pt>
                <c:pt idx="687">
                  <c:v>643.5</c:v>
                </c:pt>
                <c:pt idx="688">
                  <c:v>644</c:v>
                </c:pt>
                <c:pt idx="689">
                  <c:v>644.5</c:v>
                </c:pt>
                <c:pt idx="690">
                  <c:v>645</c:v>
                </c:pt>
                <c:pt idx="691">
                  <c:v>645.5</c:v>
                </c:pt>
                <c:pt idx="692">
                  <c:v>646</c:v>
                </c:pt>
                <c:pt idx="693">
                  <c:v>646.5</c:v>
                </c:pt>
                <c:pt idx="694">
                  <c:v>647</c:v>
                </c:pt>
                <c:pt idx="695">
                  <c:v>647.5</c:v>
                </c:pt>
                <c:pt idx="696">
                  <c:v>648</c:v>
                </c:pt>
                <c:pt idx="697">
                  <c:v>648.5</c:v>
                </c:pt>
                <c:pt idx="698">
                  <c:v>649</c:v>
                </c:pt>
                <c:pt idx="699">
                  <c:v>649.5</c:v>
                </c:pt>
                <c:pt idx="700">
                  <c:v>650</c:v>
                </c:pt>
                <c:pt idx="701">
                  <c:v>650.5</c:v>
                </c:pt>
                <c:pt idx="702">
                  <c:v>651</c:v>
                </c:pt>
                <c:pt idx="703">
                  <c:v>651.5</c:v>
                </c:pt>
                <c:pt idx="704">
                  <c:v>652</c:v>
                </c:pt>
                <c:pt idx="705">
                  <c:v>652.5</c:v>
                </c:pt>
                <c:pt idx="706">
                  <c:v>653</c:v>
                </c:pt>
                <c:pt idx="707">
                  <c:v>653.5</c:v>
                </c:pt>
                <c:pt idx="708">
                  <c:v>654</c:v>
                </c:pt>
                <c:pt idx="709">
                  <c:v>654.5</c:v>
                </c:pt>
                <c:pt idx="710">
                  <c:v>655</c:v>
                </c:pt>
                <c:pt idx="711">
                  <c:v>655.5</c:v>
                </c:pt>
                <c:pt idx="712">
                  <c:v>656</c:v>
                </c:pt>
                <c:pt idx="713">
                  <c:v>656.5</c:v>
                </c:pt>
                <c:pt idx="714">
                  <c:v>657</c:v>
                </c:pt>
                <c:pt idx="715">
                  <c:v>657.5</c:v>
                </c:pt>
                <c:pt idx="716">
                  <c:v>658</c:v>
                </c:pt>
                <c:pt idx="717">
                  <c:v>658.5</c:v>
                </c:pt>
                <c:pt idx="718">
                  <c:v>659</c:v>
                </c:pt>
                <c:pt idx="719">
                  <c:v>659.5</c:v>
                </c:pt>
                <c:pt idx="720">
                  <c:v>660</c:v>
                </c:pt>
                <c:pt idx="721">
                  <c:v>660.5</c:v>
                </c:pt>
                <c:pt idx="722">
                  <c:v>661</c:v>
                </c:pt>
                <c:pt idx="723">
                  <c:v>661.5</c:v>
                </c:pt>
                <c:pt idx="724">
                  <c:v>662</c:v>
                </c:pt>
                <c:pt idx="725">
                  <c:v>662.5</c:v>
                </c:pt>
                <c:pt idx="726">
                  <c:v>663</c:v>
                </c:pt>
                <c:pt idx="727">
                  <c:v>663.5</c:v>
                </c:pt>
                <c:pt idx="728">
                  <c:v>664</c:v>
                </c:pt>
                <c:pt idx="729">
                  <c:v>664.5</c:v>
                </c:pt>
                <c:pt idx="730">
                  <c:v>665</c:v>
                </c:pt>
                <c:pt idx="731">
                  <c:v>665.5</c:v>
                </c:pt>
                <c:pt idx="732">
                  <c:v>666</c:v>
                </c:pt>
                <c:pt idx="733">
                  <c:v>666.5</c:v>
                </c:pt>
                <c:pt idx="734">
                  <c:v>667</c:v>
                </c:pt>
                <c:pt idx="735">
                  <c:v>667.5</c:v>
                </c:pt>
                <c:pt idx="736">
                  <c:v>668</c:v>
                </c:pt>
                <c:pt idx="737">
                  <c:v>668.5</c:v>
                </c:pt>
                <c:pt idx="738">
                  <c:v>669</c:v>
                </c:pt>
                <c:pt idx="739">
                  <c:v>669.5</c:v>
                </c:pt>
                <c:pt idx="740">
                  <c:v>670</c:v>
                </c:pt>
                <c:pt idx="741">
                  <c:v>670.5</c:v>
                </c:pt>
                <c:pt idx="742">
                  <c:v>671</c:v>
                </c:pt>
                <c:pt idx="743">
                  <c:v>671.5</c:v>
                </c:pt>
                <c:pt idx="744">
                  <c:v>672</c:v>
                </c:pt>
                <c:pt idx="745">
                  <c:v>672.5</c:v>
                </c:pt>
                <c:pt idx="746">
                  <c:v>673</c:v>
                </c:pt>
                <c:pt idx="747">
                  <c:v>673.5</c:v>
                </c:pt>
                <c:pt idx="748">
                  <c:v>674</c:v>
                </c:pt>
                <c:pt idx="749">
                  <c:v>674.5</c:v>
                </c:pt>
                <c:pt idx="750">
                  <c:v>675</c:v>
                </c:pt>
                <c:pt idx="751">
                  <c:v>675.5</c:v>
                </c:pt>
                <c:pt idx="752">
                  <c:v>676</c:v>
                </c:pt>
                <c:pt idx="753">
                  <c:v>676.5</c:v>
                </c:pt>
                <c:pt idx="754">
                  <c:v>677</c:v>
                </c:pt>
                <c:pt idx="755">
                  <c:v>677.5</c:v>
                </c:pt>
                <c:pt idx="756">
                  <c:v>678</c:v>
                </c:pt>
                <c:pt idx="757">
                  <c:v>678.5</c:v>
                </c:pt>
                <c:pt idx="758">
                  <c:v>679</c:v>
                </c:pt>
                <c:pt idx="759">
                  <c:v>679.5</c:v>
                </c:pt>
                <c:pt idx="760">
                  <c:v>680</c:v>
                </c:pt>
                <c:pt idx="761">
                  <c:v>680.5</c:v>
                </c:pt>
                <c:pt idx="762">
                  <c:v>681</c:v>
                </c:pt>
                <c:pt idx="763">
                  <c:v>681.5</c:v>
                </c:pt>
                <c:pt idx="764">
                  <c:v>682</c:v>
                </c:pt>
                <c:pt idx="765">
                  <c:v>682.5</c:v>
                </c:pt>
                <c:pt idx="766">
                  <c:v>683</c:v>
                </c:pt>
                <c:pt idx="767">
                  <c:v>683.5</c:v>
                </c:pt>
                <c:pt idx="768">
                  <c:v>684</c:v>
                </c:pt>
                <c:pt idx="769">
                  <c:v>684.5</c:v>
                </c:pt>
                <c:pt idx="770">
                  <c:v>685</c:v>
                </c:pt>
                <c:pt idx="771">
                  <c:v>685.5</c:v>
                </c:pt>
                <c:pt idx="772">
                  <c:v>686</c:v>
                </c:pt>
                <c:pt idx="773">
                  <c:v>686.5</c:v>
                </c:pt>
                <c:pt idx="774">
                  <c:v>687</c:v>
                </c:pt>
                <c:pt idx="775">
                  <c:v>687.5</c:v>
                </c:pt>
                <c:pt idx="776">
                  <c:v>688</c:v>
                </c:pt>
                <c:pt idx="777">
                  <c:v>688.5</c:v>
                </c:pt>
                <c:pt idx="778">
                  <c:v>689</c:v>
                </c:pt>
                <c:pt idx="779">
                  <c:v>689.5</c:v>
                </c:pt>
                <c:pt idx="780">
                  <c:v>690</c:v>
                </c:pt>
                <c:pt idx="781">
                  <c:v>690.5</c:v>
                </c:pt>
                <c:pt idx="782">
                  <c:v>691</c:v>
                </c:pt>
                <c:pt idx="783">
                  <c:v>691.5</c:v>
                </c:pt>
                <c:pt idx="784">
                  <c:v>692</c:v>
                </c:pt>
                <c:pt idx="785">
                  <c:v>692.5</c:v>
                </c:pt>
                <c:pt idx="786">
                  <c:v>693</c:v>
                </c:pt>
                <c:pt idx="787">
                  <c:v>693.5</c:v>
                </c:pt>
                <c:pt idx="788">
                  <c:v>694</c:v>
                </c:pt>
                <c:pt idx="789">
                  <c:v>694.5</c:v>
                </c:pt>
                <c:pt idx="790">
                  <c:v>695</c:v>
                </c:pt>
                <c:pt idx="791">
                  <c:v>695.5</c:v>
                </c:pt>
                <c:pt idx="792">
                  <c:v>696</c:v>
                </c:pt>
                <c:pt idx="793">
                  <c:v>696.5</c:v>
                </c:pt>
                <c:pt idx="794">
                  <c:v>697</c:v>
                </c:pt>
                <c:pt idx="795">
                  <c:v>697.5</c:v>
                </c:pt>
                <c:pt idx="796">
                  <c:v>698</c:v>
                </c:pt>
                <c:pt idx="797">
                  <c:v>698.5</c:v>
                </c:pt>
                <c:pt idx="798">
                  <c:v>699</c:v>
                </c:pt>
                <c:pt idx="799">
                  <c:v>699.5</c:v>
                </c:pt>
                <c:pt idx="800">
                  <c:v>700</c:v>
                </c:pt>
                <c:pt idx="801">
                  <c:v>700.5</c:v>
                </c:pt>
                <c:pt idx="802">
                  <c:v>701</c:v>
                </c:pt>
                <c:pt idx="803">
                  <c:v>701.5</c:v>
                </c:pt>
                <c:pt idx="804">
                  <c:v>702</c:v>
                </c:pt>
                <c:pt idx="805">
                  <c:v>702.5</c:v>
                </c:pt>
                <c:pt idx="806">
                  <c:v>703</c:v>
                </c:pt>
                <c:pt idx="807">
                  <c:v>703.5</c:v>
                </c:pt>
                <c:pt idx="808">
                  <c:v>704</c:v>
                </c:pt>
                <c:pt idx="809">
                  <c:v>704.5</c:v>
                </c:pt>
                <c:pt idx="810">
                  <c:v>705</c:v>
                </c:pt>
                <c:pt idx="811">
                  <c:v>705.5</c:v>
                </c:pt>
                <c:pt idx="812">
                  <c:v>706</c:v>
                </c:pt>
                <c:pt idx="813">
                  <c:v>706.5</c:v>
                </c:pt>
                <c:pt idx="814">
                  <c:v>707</c:v>
                </c:pt>
                <c:pt idx="815">
                  <c:v>707.5</c:v>
                </c:pt>
                <c:pt idx="816">
                  <c:v>708</c:v>
                </c:pt>
                <c:pt idx="817">
                  <c:v>708.5</c:v>
                </c:pt>
                <c:pt idx="818">
                  <c:v>709</c:v>
                </c:pt>
                <c:pt idx="819">
                  <c:v>709.5</c:v>
                </c:pt>
                <c:pt idx="820">
                  <c:v>710</c:v>
                </c:pt>
                <c:pt idx="821">
                  <c:v>710.5</c:v>
                </c:pt>
                <c:pt idx="822">
                  <c:v>711</c:v>
                </c:pt>
                <c:pt idx="823">
                  <c:v>711.5</c:v>
                </c:pt>
                <c:pt idx="824">
                  <c:v>712</c:v>
                </c:pt>
                <c:pt idx="825">
                  <c:v>712.5</c:v>
                </c:pt>
                <c:pt idx="826">
                  <c:v>713</c:v>
                </c:pt>
                <c:pt idx="827">
                  <c:v>713.5</c:v>
                </c:pt>
                <c:pt idx="828">
                  <c:v>714</c:v>
                </c:pt>
                <c:pt idx="829">
                  <c:v>714.5</c:v>
                </c:pt>
                <c:pt idx="830">
                  <c:v>715</c:v>
                </c:pt>
                <c:pt idx="831">
                  <c:v>715.5</c:v>
                </c:pt>
                <c:pt idx="832">
                  <c:v>716</c:v>
                </c:pt>
                <c:pt idx="833">
                  <c:v>716.5</c:v>
                </c:pt>
                <c:pt idx="834">
                  <c:v>717</c:v>
                </c:pt>
                <c:pt idx="835">
                  <c:v>717.5</c:v>
                </c:pt>
                <c:pt idx="836">
                  <c:v>718</c:v>
                </c:pt>
                <c:pt idx="837">
                  <c:v>718.5</c:v>
                </c:pt>
                <c:pt idx="838">
                  <c:v>719</c:v>
                </c:pt>
                <c:pt idx="839">
                  <c:v>719.5</c:v>
                </c:pt>
                <c:pt idx="840">
                  <c:v>720</c:v>
                </c:pt>
                <c:pt idx="841">
                  <c:v>720.5</c:v>
                </c:pt>
                <c:pt idx="842">
                  <c:v>721</c:v>
                </c:pt>
                <c:pt idx="843">
                  <c:v>721.5</c:v>
                </c:pt>
                <c:pt idx="844">
                  <c:v>722</c:v>
                </c:pt>
                <c:pt idx="845">
                  <c:v>722.5</c:v>
                </c:pt>
                <c:pt idx="846">
                  <c:v>723</c:v>
                </c:pt>
                <c:pt idx="847">
                  <c:v>723.5</c:v>
                </c:pt>
                <c:pt idx="848">
                  <c:v>724</c:v>
                </c:pt>
                <c:pt idx="849">
                  <c:v>724.5</c:v>
                </c:pt>
                <c:pt idx="850">
                  <c:v>725</c:v>
                </c:pt>
                <c:pt idx="851">
                  <c:v>725.5</c:v>
                </c:pt>
                <c:pt idx="852">
                  <c:v>726</c:v>
                </c:pt>
                <c:pt idx="853">
                  <c:v>726.5</c:v>
                </c:pt>
                <c:pt idx="854">
                  <c:v>727</c:v>
                </c:pt>
                <c:pt idx="855">
                  <c:v>727.5</c:v>
                </c:pt>
                <c:pt idx="856">
                  <c:v>728</c:v>
                </c:pt>
                <c:pt idx="857">
                  <c:v>728.5</c:v>
                </c:pt>
                <c:pt idx="858">
                  <c:v>729</c:v>
                </c:pt>
                <c:pt idx="859">
                  <c:v>729.5</c:v>
                </c:pt>
                <c:pt idx="860">
                  <c:v>730</c:v>
                </c:pt>
                <c:pt idx="861">
                  <c:v>730.5</c:v>
                </c:pt>
                <c:pt idx="862">
                  <c:v>731</c:v>
                </c:pt>
                <c:pt idx="863">
                  <c:v>731.5</c:v>
                </c:pt>
                <c:pt idx="864">
                  <c:v>732</c:v>
                </c:pt>
                <c:pt idx="865">
                  <c:v>732.5</c:v>
                </c:pt>
                <c:pt idx="866">
                  <c:v>733</c:v>
                </c:pt>
                <c:pt idx="867">
                  <c:v>733.5</c:v>
                </c:pt>
                <c:pt idx="868">
                  <c:v>734</c:v>
                </c:pt>
                <c:pt idx="869">
                  <c:v>734.5</c:v>
                </c:pt>
                <c:pt idx="870">
                  <c:v>735</c:v>
                </c:pt>
                <c:pt idx="871">
                  <c:v>735.5</c:v>
                </c:pt>
                <c:pt idx="872">
                  <c:v>736</c:v>
                </c:pt>
                <c:pt idx="873">
                  <c:v>736.5</c:v>
                </c:pt>
                <c:pt idx="874">
                  <c:v>737</c:v>
                </c:pt>
                <c:pt idx="875">
                  <c:v>737.5</c:v>
                </c:pt>
                <c:pt idx="876">
                  <c:v>738</c:v>
                </c:pt>
                <c:pt idx="877">
                  <c:v>738.5</c:v>
                </c:pt>
                <c:pt idx="878">
                  <c:v>739</c:v>
                </c:pt>
                <c:pt idx="879">
                  <c:v>739.5</c:v>
                </c:pt>
                <c:pt idx="880">
                  <c:v>740</c:v>
                </c:pt>
                <c:pt idx="881">
                  <c:v>740.5</c:v>
                </c:pt>
                <c:pt idx="882">
                  <c:v>741</c:v>
                </c:pt>
                <c:pt idx="883">
                  <c:v>741.5</c:v>
                </c:pt>
                <c:pt idx="884">
                  <c:v>742</c:v>
                </c:pt>
                <c:pt idx="885">
                  <c:v>742.5</c:v>
                </c:pt>
                <c:pt idx="886">
                  <c:v>743</c:v>
                </c:pt>
                <c:pt idx="887">
                  <c:v>743.5</c:v>
                </c:pt>
                <c:pt idx="888">
                  <c:v>744</c:v>
                </c:pt>
                <c:pt idx="889">
                  <c:v>744.5</c:v>
                </c:pt>
                <c:pt idx="890">
                  <c:v>745</c:v>
                </c:pt>
                <c:pt idx="891">
                  <c:v>745.5</c:v>
                </c:pt>
                <c:pt idx="892">
                  <c:v>746</c:v>
                </c:pt>
                <c:pt idx="893">
                  <c:v>746.5</c:v>
                </c:pt>
                <c:pt idx="894">
                  <c:v>747</c:v>
                </c:pt>
                <c:pt idx="895">
                  <c:v>747.5</c:v>
                </c:pt>
                <c:pt idx="896">
                  <c:v>748</c:v>
                </c:pt>
                <c:pt idx="897">
                  <c:v>748.5</c:v>
                </c:pt>
                <c:pt idx="898">
                  <c:v>749</c:v>
                </c:pt>
                <c:pt idx="899">
                  <c:v>749.5</c:v>
                </c:pt>
                <c:pt idx="900">
                  <c:v>750</c:v>
                </c:pt>
              </c:numCache>
            </c:numRef>
          </c:cat>
          <c:val>
            <c:numRef>
              <c:f>'T2 (10)'!$B$113:$B$1013</c:f>
              <c:numCache>
                <c:formatCode>0.00E+00</c:formatCode>
                <c:ptCount val="901"/>
                <c:pt idx="0">
                  <c:v>0</c:v>
                </c:pt>
                <c:pt idx="1">
                  <c:v>0</c:v>
                </c:pt>
                <c:pt idx="2">
                  <c:v>2.7224999999999998E-4</c:v>
                </c:pt>
                <c:pt idx="3">
                  <c:v>3.7218999999999997E-5</c:v>
                </c:pt>
                <c:pt idx="4">
                  <c:v>6.5616999999999997E-4</c:v>
                </c:pt>
                <c:pt idx="5">
                  <c:v>0</c:v>
                </c:pt>
                <c:pt idx="6">
                  <c:v>0</c:v>
                </c:pt>
                <c:pt idx="7">
                  <c:v>4.6559999999999999E-7</c:v>
                </c:pt>
                <c:pt idx="8">
                  <c:v>4.2022000000000001E-4</c:v>
                </c:pt>
                <c:pt idx="9">
                  <c:v>9.8342999999999998E-4</c:v>
                </c:pt>
                <c:pt idx="10">
                  <c:v>1.0235999999999999E-3</c:v>
                </c:pt>
                <c:pt idx="11">
                  <c:v>1.5211999999999999E-3</c:v>
                </c:pt>
                <c:pt idx="12">
                  <c:v>1.8208E-3</c:v>
                </c:pt>
                <c:pt idx="13">
                  <c:v>1.3027E-3</c:v>
                </c:pt>
                <c:pt idx="14">
                  <c:v>1.2769999999999999E-3</c:v>
                </c:pt>
                <c:pt idx="15">
                  <c:v>1.2260000000000001E-3</c:v>
                </c:pt>
                <c:pt idx="16">
                  <c:v>1.3055E-3</c:v>
                </c:pt>
                <c:pt idx="17">
                  <c:v>1.276E-3</c:v>
                </c:pt>
                <c:pt idx="18">
                  <c:v>8.1337E-4</c:v>
                </c:pt>
                <c:pt idx="19">
                  <c:v>4.4202E-4</c:v>
                </c:pt>
                <c:pt idx="20">
                  <c:v>0</c:v>
                </c:pt>
                <c:pt idx="21">
                  <c:v>0</c:v>
                </c:pt>
                <c:pt idx="22">
                  <c:v>0</c:v>
                </c:pt>
                <c:pt idx="23">
                  <c:v>2.6311999999999999E-4</c:v>
                </c:pt>
                <c:pt idx="24">
                  <c:v>4.1309000000000002E-4</c:v>
                </c:pt>
                <c:pt idx="25">
                  <c:v>4.2733000000000002E-4</c:v>
                </c:pt>
                <c:pt idx="26">
                  <c:v>5.2988000000000004E-4</c:v>
                </c:pt>
                <c:pt idx="27">
                  <c:v>6.9003999999999995E-4</c:v>
                </c:pt>
                <c:pt idx="28">
                  <c:v>9.4671000000000002E-4</c:v>
                </c:pt>
                <c:pt idx="29">
                  <c:v>1.1513999999999999E-3</c:v>
                </c:pt>
                <c:pt idx="30">
                  <c:v>1.0543E-3</c:v>
                </c:pt>
                <c:pt idx="31">
                  <c:v>6.3053000000000002E-4</c:v>
                </c:pt>
                <c:pt idx="32">
                  <c:v>1.8374999999999999E-4</c:v>
                </c:pt>
                <c:pt idx="33">
                  <c:v>8.3397000000000001E-5</c:v>
                </c:pt>
                <c:pt idx="34">
                  <c:v>2.3502000000000001E-4</c:v>
                </c:pt>
                <c:pt idx="35">
                  <c:v>5.3229000000000004E-4</c:v>
                </c:pt>
                <c:pt idx="36">
                  <c:v>6.8152000000000002E-4</c:v>
                </c:pt>
                <c:pt idx="37">
                  <c:v>5.2455999999999998E-4</c:v>
                </c:pt>
                <c:pt idx="38">
                  <c:v>2.8959E-4</c:v>
                </c:pt>
                <c:pt idx="39">
                  <c:v>4.1736999999999997E-5</c:v>
                </c:pt>
                <c:pt idx="40">
                  <c:v>0</c:v>
                </c:pt>
                <c:pt idx="41">
                  <c:v>6.5401000000000006E-5</c:v>
                </c:pt>
                <c:pt idx="42">
                  <c:v>2.705E-5</c:v>
                </c:pt>
                <c:pt idx="43">
                  <c:v>1.4392E-5</c:v>
                </c:pt>
                <c:pt idx="44">
                  <c:v>1.0764000000000001E-4</c:v>
                </c:pt>
                <c:pt idx="45">
                  <c:v>1.5595999999999999E-4</c:v>
                </c:pt>
                <c:pt idx="46">
                  <c:v>4.5571000000000001E-4</c:v>
                </c:pt>
                <c:pt idx="47">
                  <c:v>5.8701000000000001E-4</c:v>
                </c:pt>
                <c:pt idx="48">
                  <c:v>5.9922000000000003E-4</c:v>
                </c:pt>
                <c:pt idx="49">
                  <c:v>7.8635E-4</c:v>
                </c:pt>
                <c:pt idx="50">
                  <c:v>7.2267999999999996E-4</c:v>
                </c:pt>
                <c:pt idx="51">
                  <c:v>6.2825999999999995E-4</c:v>
                </c:pt>
                <c:pt idx="52">
                  <c:v>4.0855999999999998E-4</c:v>
                </c:pt>
                <c:pt idx="53">
                  <c:v>1.2823000000000001E-4</c:v>
                </c:pt>
                <c:pt idx="54">
                  <c:v>5.0420000000000002E-5</c:v>
                </c:pt>
                <c:pt idx="55">
                  <c:v>1.4122000000000001E-4</c:v>
                </c:pt>
                <c:pt idx="56">
                  <c:v>3.1838E-4</c:v>
                </c:pt>
                <c:pt idx="57">
                  <c:v>4.238E-4</c:v>
                </c:pt>
                <c:pt idx="58">
                  <c:v>4.9693999999999997E-4</c:v>
                </c:pt>
                <c:pt idx="59">
                  <c:v>3.2984000000000003E-4</c:v>
                </c:pt>
                <c:pt idx="60">
                  <c:v>9.0807E-5</c:v>
                </c:pt>
                <c:pt idx="61">
                  <c:v>0</c:v>
                </c:pt>
                <c:pt idx="62">
                  <c:v>0</c:v>
                </c:pt>
                <c:pt idx="63">
                  <c:v>0</c:v>
                </c:pt>
                <c:pt idx="64">
                  <c:v>5.3211000000000003E-5</c:v>
                </c:pt>
                <c:pt idx="65">
                  <c:v>1.5957999999999999E-4</c:v>
                </c:pt>
                <c:pt idx="66">
                  <c:v>2.8657999999999998E-4</c:v>
                </c:pt>
                <c:pt idx="67">
                  <c:v>3.3956999999999998E-4</c:v>
                </c:pt>
                <c:pt idx="68">
                  <c:v>2.7465999999999998E-4</c:v>
                </c:pt>
                <c:pt idx="69">
                  <c:v>3.1487000000000003E-4</c:v>
                </c:pt>
                <c:pt idx="70">
                  <c:v>2.9831999999999998E-4</c:v>
                </c:pt>
                <c:pt idx="71">
                  <c:v>3.2723000000000002E-4</c:v>
                </c:pt>
                <c:pt idx="72">
                  <c:v>4.0032000000000002E-4</c:v>
                </c:pt>
                <c:pt idx="73">
                  <c:v>3.6347000000000001E-4</c:v>
                </c:pt>
                <c:pt idx="74">
                  <c:v>3.8636999999999998E-4</c:v>
                </c:pt>
                <c:pt idx="75">
                  <c:v>3.8141999999999999E-4</c:v>
                </c:pt>
                <c:pt idx="76">
                  <c:v>4.2028999999999998E-4</c:v>
                </c:pt>
                <c:pt idx="77">
                  <c:v>4.6690000000000002E-4</c:v>
                </c:pt>
                <c:pt idx="78">
                  <c:v>4.3078000000000002E-4</c:v>
                </c:pt>
                <c:pt idx="79">
                  <c:v>3.2464000000000001E-4</c:v>
                </c:pt>
                <c:pt idx="80">
                  <c:v>1.6496999999999999E-4</c:v>
                </c:pt>
                <c:pt idx="81">
                  <c:v>1.9771E-4</c:v>
                </c:pt>
                <c:pt idx="82">
                  <c:v>2.5183999999999997E-4</c:v>
                </c:pt>
                <c:pt idx="83">
                  <c:v>3.0070999999999999E-4</c:v>
                </c:pt>
                <c:pt idx="84">
                  <c:v>3.1104E-4</c:v>
                </c:pt>
                <c:pt idx="85">
                  <c:v>1.639E-4</c:v>
                </c:pt>
                <c:pt idx="86">
                  <c:v>9.3593999999999999E-5</c:v>
                </c:pt>
                <c:pt idx="87">
                  <c:v>7.6307E-5</c:v>
                </c:pt>
                <c:pt idx="88">
                  <c:v>8.4651999999999999E-6</c:v>
                </c:pt>
                <c:pt idx="89">
                  <c:v>0</c:v>
                </c:pt>
                <c:pt idx="90">
                  <c:v>0</c:v>
                </c:pt>
                <c:pt idx="91">
                  <c:v>0</c:v>
                </c:pt>
                <c:pt idx="92">
                  <c:v>6.4311000000000001E-5</c:v>
                </c:pt>
                <c:pt idx="93">
                  <c:v>1.6275999999999999E-4</c:v>
                </c:pt>
                <c:pt idx="94">
                  <c:v>2.2656999999999999E-4</c:v>
                </c:pt>
                <c:pt idx="95">
                  <c:v>2.9359999999999998E-4</c:v>
                </c:pt>
                <c:pt idx="96">
                  <c:v>2.9280000000000002E-4</c:v>
                </c:pt>
                <c:pt idx="97">
                  <c:v>2.7303000000000001E-4</c:v>
                </c:pt>
                <c:pt idx="98">
                  <c:v>2.4803999999999999E-4</c:v>
                </c:pt>
                <c:pt idx="99">
                  <c:v>3.0995000000000003E-4</c:v>
                </c:pt>
                <c:pt idx="100">
                  <c:v>3.7216000000000001E-4</c:v>
                </c:pt>
                <c:pt idx="101">
                  <c:v>4.3941E-4</c:v>
                </c:pt>
                <c:pt idx="102">
                  <c:v>3.9641999999999998E-4</c:v>
                </c:pt>
                <c:pt idx="103">
                  <c:v>2.5620999999999999E-4</c:v>
                </c:pt>
                <c:pt idx="104">
                  <c:v>1.3904999999999999E-4</c:v>
                </c:pt>
                <c:pt idx="105">
                  <c:v>6.8022999999999996E-5</c:v>
                </c:pt>
                <c:pt idx="106">
                  <c:v>1.3823000000000001E-4</c:v>
                </c:pt>
                <c:pt idx="107">
                  <c:v>2.1555000000000001E-4</c:v>
                </c:pt>
                <c:pt idx="108">
                  <c:v>3.3019000000000001E-4</c:v>
                </c:pt>
                <c:pt idx="109">
                  <c:v>4.9149999999999997E-4</c:v>
                </c:pt>
                <c:pt idx="110">
                  <c:v>5.2400000000000005E-4</c:v>
                </c:pt>
                <c:pt idx="111">
                  <c:v>5.2055999999999999E-4</c:v>
                </c:pt>
                <c:pt idx="112">
                  <c:v>5.4243E-4</c:v>
                </c:pt>
                <c:pt idx="113">
                  <c:v>4.7809000000000003E-4</c:v>
                </c:pt>
                <c:pt idx="114">
                  <c:v>4.5717000000000002E-4</c:v>
                </c:pt>
                <c:pt idx="115">
                  <c:v>4.0947999999999999E-4</c:v>
                </c:pt>
                <c:pt idx="116">
                  <c:v>2.989E-4</c:v>
                </c:pt>
                <c:pt idx="117">
                  <c:v>3.5621999999999997E-4</c:v>
                </c:pt>
                <c:pt idx="118">
                  <c:v>4.2807000000000001E-4</c:v>
                </c:pt>
                <c:pt idx="119">
                  <c:v>4.3735999999999997E-4</c:v>
                </c:pt>
                <c:pt idx="120">
                  <c:v>4.9552999999999999E-4</c:v>
                </c:pt>
                <c:pt idx="121">
                  <c:v>5.7295000000000002E-4</c:v>
                </c:pt>
                <c:pt idx="122">
                  <c:v>6.7350999999999999E-4</c:v>
                </c:pt>
                <c:pt idx="123">
                  <c:v>7.5885999999999998E-4</c:v>
                </c:pt>
                <c:pt idx="124">
                  <c:v>6.9687999999999998E-4</c:v>
                </c:pt>
                <c:pt idx="125">
                  <c:v>5.8516000000000004E-4</c:v>
                </c:pt>
                <c:pt idx="126">
                  <c:v>5.3364999999999999E-4</c:v>
                </c:pt>
                <c:pt idx="127">
                  <c:v>6.4159000000000004E-4</c:v>
                </c:pt>
                <c:pt idx="128">
                  <c:v>8.4785000000000004E-4</c:v>
                </c:pt>
                <c:pt idx="129">
                  <c:v>9.6013999999999995E-4</c:v>
                </c:pt>
                <c:pt idx="130">
                  <c:v>9.8945999999999995E-4</c:v>
                </c:pt>
                <c:pt idx="131">
                  <c:v>9.0277E-4</c:v>
                </c:pt>
                <c:pt idx="132">
                  <c:v>7.8624000000000001E-4</c:v>
                </c:pt>
                <c:pt idx="133">
                  <c:v>7.7985000000000001E-4</c:v>
                </c:pt>
                <c:pt idx="134">
                  <c:v>8.0714999999999997E-4</c:v>
                </c:pt>
                <c:pt idx="135">
                  <c:v>8.2583999999999999E-4</c:v>
                </c:pt>
                <c:pt idx="136">
                  <c:v>7.8943999999999998E-4</c:v>
                </c:pt>
                <c:pt idx="137">
                  <c:v>7.1445000000000005E-4</c:v>
                </c:pt>
                <c:pt idx="138">
                  <c:v>6.5636000000000004E-4</c:v>
                </c:pt>
                <c:pt idx="139">
                  <c:v>6.4776999999999999E-4</c:v>
                </c:pt>
                <c:pt idx="140">
                  <c:v>6.7307000000000001E-4</c:v>
                </c:pt>
                <c:pt idx="141">
                  <c:v>7.3167999999999996E-4</c:v>
                </c:pt>
                <c:pt idx="142">
                  <c:v>8.1437999999999997E-4</c:v>
                </c:pt>
                <c:pt idx="143">
                  <c:v>9.6259999999999998E-4</c:v>
                </c:pt>
                <c:pt idx="144">
                  <c:v>1.1344E-3</c:v>
                </c:pt>
                <c:pt idx="145">
                  <c:v>1.1984999999999999E-3</c:v>
                </c:pt>
                <c:pt idx="146">
                  <c:v>1.1864E-3</c:v>
                </c:pt>
                <c:pt idx="147">
                  <c:v>1.2145000000000001E-3</c:v>
                </c:pt>
                <c:pt idx="148">
                  <c:v>1.1900000000000001E-3</c:v>
                </c:pt>
                <c:pt idx="149">
                  <c:v>1.268E-3</c:v>
                </c:pt>
                <c:pt idx="150">
                  <c:v>1.2489999999999999E-3</c:v>
                </c:pt>
                <c:pt idx="151">
                  <c:v>1.1743000000000001E-3</c:v>
                </c:pt>
                <c:pt idx="152">
                  <c:v>1.1475000000000001E-3</c:v>
                </c:pt>
                <c:pt idx="153">
                  <c:v>1.1054999999999999E-3</c:v>
                </c:pt>
                <c:pt idx="154">
                  <c:v>1.1881999999999999E-3</c:v>
                </c:pt>
                <c:pt idx="155">
                  <c:v>1.2532999999999999E-3</c:v>
                </c:pt>
                <c:pt idx="156">
                  <c:v>1.3146E-3</c:v>
                </c:pt>
                <c:pt idx="157">
                  <c:v>1.3286999999999999E-3</c:v>
                </c:pt>
                <c:pt idx="158">
                  <c:v>1.3641E-3</c:v>
                </c:pt>
                <c:pt idx="159">
                  <c:v>1.3569000000000001E-3</c:v>
                </c:pt>
                <c:pt idx="160">
                  <c:v>1.3437E-3</c:v>
                </c:pt>
                <c:pt idx="161">
                  <c:v>1.3779E-3</c:v>
                </c:pt>
                <c:pt idx="162">
                  <c:v>1.4005999999999999E-3</c:v>
                </c:pt>
                <c:pt idx="163">
                  <c:v>1.4630999999999999E-3</c:v>
                </c:pt>
                <c:pt idx="164">
                  <c:v>1.5754E-3</c:v>
                </c:pt>
                <c:pt idx="165">
                  <c:v>1.6318999999999999E-3</c:v>
                </c:pt>
                <c:pt idx="166">
                  <c:v>1.6953000000000001E-3</c:v>
                </c:pt>
                <c:pt idx="167">
                  <c:v>1.7212E-3</c:v>
                </c:pt>
                <c:pt idx="168">
                  <c:v>1.6540000000000001E-3</c:v>
                </c:pt>
                <c:pt idx="169">
                  <c:v>1.6605000000000001E-3</c:v>
                </c:pt>
                <c:pt idx="170">
                  <c:v>1.6697000000000001E-3</c:v>
                </c:pt>
                <c:pt idx="171">
                  <c:v>1.7415E-3</c:v>
                </c:pt>
                <c:pt idx="172">
                  <c:v>1.7828E-3</c:v>
                </c:pt>
                <c:pt idx="173">
                  <c:v>1.8443000000000001E-3</c:v>
                </c:pt>
                <c:pt idx="174">
                  <c:v>1.9530999999999999E-3</c:v>
                </c:pt>
                <c:pt idx="175">
                  <c:v>2.0200999999999999E-3</c:v>
                </c:pt>
                <c:pt idx="176">
                  <c:v>2.1614E-3</c:v>
                </c:pt>
                <c:pt idx="177">
                  <c:v>2.1112000000000001E-3</c:v>
                </c:pt>
                <c:pt idx="178">
                  <c:v>2.0260999999999999E-3</c:v>
                </c:pt>
                <c:pt idx="179">
                  <c:v>2.0022E-3</c:v>
                </c:pt>
                <c:pt idx="180">
                  <c:v>1.9832000000000001E-3</c:v>
                </c:pt>
                <c:pt idx="181">
                  <c:v>2.0563999999999999E-3</c:v>
                </c:pt>
                <c:pt idx="182">
                  <c:v>2.1300999999999998E-3</c:v>
                </c:pt>
                <c:pt idx="183">
                  <c:v>2.2504999999999999E-3</c:v>
                </c:pt>
                <c:pt idx="184">
                  <c:v>2.4158999999999999E-3</c:v>
                </c:pt>
                <c:pt idx="185">
                  <c:v>2.5663999999999999E-3</c:v>
                </c:pt>
                <c:pt idx="186">
                  <c:v>2.6925E-3</c:v>
                </c:pt>
                <c:pt idx="187">
                  <c:v>2.6957000000000001E-3</c:v>
                </c:pt>
                <c:pt idx="188">
                  <c:v>2.6258000000000002E-3</c:v>
                </c:pt>
                <c:pt idx="189">
                  <c:v>2.5971000000000002E-3</c:v>
                </c:pt>
                <c:pt idx="190">
                  <c:v>2.5487999999999999E-3</c:v>
                </c:pt>
                <c:pt idx="191">
                  <c:v>2.6694000000000002E-3</c:v>
                </c:pt>
                <c:pt idx="192">
                  <c:v>2.8410000000000002E-3</c:v>
                </c:pt>
                <c:pt idx="193">
                  <c:v>2.9223000000000001E-3</c:v>
                </c:pt>
                <c:pt idx="194">
                  <c:v>3.0051000000000001E-3</c:v>
                </c:pt>
                <c:pt idx="195">
                  <c:v>2.9397999999999998E-3</c:v>
                </c:pt>
                <c:pt idx="196">
                  <c:v>2.9919999999999999E-3</c:v>
                </c:pt>
                <c:pt idx="197">
                  <c:v>3.0750999999999999E-3</c:v>
                </c:pt>
                <c:pt idx="198">
                  <c:v>3.1407000000000002E-3</c:v>
                </c:pt>
                <c:pt idx="199">
                  <c:v>3.2715000000000001E-3</c:v>
                </c:pt>
                <c:pt idx="200">
                  <c:v>3.3324000000000001E-3</c:v>
                </c:pt>
                <c:pt idx="201">
                  <c:v>3.3728999999999999E-3</c:v>
                </c:pt>
                <c:pt idx="202">
                  <c:v>3.4372999999999999E-3</c:v>
                </c:pt>
                <c:pt idx="203">
                  <c:v>3.5336999999999999E-3</c:v>
                </c:pt>
                <c:pt idx="204">
                  <c:v>3.6697000000000001E-3</c:v>
                </c:pt>
                <c:pt idx="205">
                  <c:v>3.934E-3</c:v>
                </c:pt>
                <c:pt idx="206">
                  <c:v>4.3940999999999997E-3</c:v>
                </c:pt>
                <c:pt idx="207">
                  <c:v>4.9848000000000002E-3</c:v>
                </c:pt>
                <c:pt idx="208">
                  <c:v>5.45E-3</c:v>
                </c:pt>
                <c:pt idx="209">
                  <c:v>5.4729000000000002E-3</c:v>
                </c:pt>
                <c:pt idx="210">
                  <c:v>5.0745E-3</c:v>
                </c:pt>
                <c:pt idx="211">
                  <c:v>4.5469999999999998E-3</c:v>
                </c:pt>
                <c:pt idx="212">
                  <c:v>4.2252000000000001E-3</c:v>
                </c:pt>
                <c:pt idx="213">
                  <c:v>4.0832999999999998E-3</c:v>
                </c:pt>
                <c:pt idx="214">
                  <c:v>4.1159999999999999E-3</c:v>
                </c:pt>
                <c:pt idx="215">
                  <c:v>4.1450000000000002E-3</c:v>
                </c:pt>
                <c:pt idx="216">
                  <c:v>4.1757000000000001E-3</c:v>
                </c:pt>
                <c:pt idx="217">
                  <c:v>4.2525999999999996E-3</c:v>
                </c:pt>
                <c:pt idx="218">
                  <c:v>4.3926E-3</c:v>
                </c:pt>
                <c:pt idx="219">
                  <c:v>4.6918000000000003E-3</c:v>
                </c:pt>
                <c:pt idx="220">
                  <c:v>4.9477000000000002E-3</c:v>
                </c:pt>
                <c:pt idx="221">
                  <c:v>5.1189E-3</c:v>
                </c:pt>
                <c:pt idx="222">
                  <c:v>5.1637000000000002E-3</c:v>
                </c:pt>
                <c:pt idx="223">
                  <c:v>5.143E-3</c:v>
                </c:pt>
                <c:pt idx="224">
                  <c:v>5.1395E-3</c:v>
                </c:pt>
                <c:pt idx="225">
                  <c:v>5.2655000000000002E-3</c:v>
                </c:pt>
                <c:pt idx="226">
                  <c:v>5.4495000000000004E-3</c:v>
                </c:pt>
                <c:pt idx="227">
                  <c:v>5.5545000000000004E-3</c:v>
                </c:pt>
                <c:pt idx="228">
                  <c:v>5.6176999999999998E-3</c:v>
                </c:pt>
                <c:pt idx="229">
                  <c:v>5.6971000000000001E-3</c:v>
                </c:pt>
                <c:pt idx="230">
                  <c:v>5.7993999999999997E-3</c:v>
                </c:pt>
                <c:pt idx="231">
                  <c:v>6.0410999999999998E-3</c:v>
                </c:pt>
                <c:pt idx="232">
                  <c:v>6.2443000000000004E-3</c:v>
                </c:pt>
                <c:pt idx="233">
                  <c:v>6.3499000000000003E-3</c:v>
                </c:pt>
                <c:pt idx="234">
                  <c:v>6.3924000000000003E-3</c:v>
                </c:pt>
                <c:pt idx="235">
                  <c:v>6.3214999999999999E-3</c:v>
                </c:pt>
                <c:pt idx="236">
                  <c:v>6.3864999999999998E-3</c:v>
                </c:pt>
                <c:pt idx="237">
                  <c:v>6.4923000000000003E-3</c:v>
                </c:pt>
                <c:pt idx="238">
                  <c:v>6.6370999999999999E-3</c:v>
                </c:pt>
                <c:pt idx="239">
                  <c:v>6.7930999999999998E-3</c:v>
                </c:pt>
                <c:pt idx="240">
                  <c:v>6.8839000000000001E-3</c:v>
                </c:pt>
                <c:pt idx="241">
                  <c:v>6.9858999999999997E-3</c:v>
                </c:pt>
                <c:pt idx="242">
                  <c:v>7.0850000000000002E-3</c:v>
                </c:pt>
                <c:pt idx="243">
                  <c:v>7.1237999999999996E-3</c:v>
                </c:pt>
                <c:pt idx="244">
                  <c:v>7.2239000000000001E-3</c:v>
                </c:pt>
                <c:pt idx="245">
                  <c:v>7.3768999999999996E-3</c:v>
                </c:pt>
                <c:pt idx="246">
                  <c:v>7.5484000000000002E-3</c:v>
                </c:pt>
                <c:pt idx="247">
                  <c:v>7.6965999999999996E-3</c:v>
                </c:pt>
                <c:pt idx="248">
                  <c:v>7.7396000000000001E-3</c:v>
                </c:pt>
                <c:pt idx="249">
                  <c:v>7.7225000000000002E-3</c:v>
                </c:pt>
                <c:pt idx="250">
                  <c:v>7.7745000000000002E-3</c:v>
                </c:pt>
                <c:pt idx="251">
                  <c:v>7.8344E-3</c:v>
                </c:pt>
                <c:pt idx="252">
                  <c:v>8.0718000000000005E-3</c:v>
                </c:pt>
                <c:pt idx="253">
                  <c:v>8.2839999999999997E-3</c:v>
                </c:pt>
                <c:pt idx="254">
                  <c:v>8.4420999999999993E-3</c:v>
                </c:pt>
                <c:pt idx="255">
                  <c:v>8.6131999999999997E-3</c:v>
                </c:pt>
                <c:pt idx="256">
                  <c:v>8.7352999999999997E-3</c:v>
                </c:pt>
                <c:pt idx="257">
                  <c:v>8.8240000000000002E-3</c:v>
                </c:pt>
                <c:pt idx="258">
                  <c:v>8.9330999999999994E-3</c:v>
                </c:pt>
                <c:pt idx="259">
                  <c:v>9.1284999999999995E-3</c:v>
                </c:pt>
                <c:pt idx="260">
                  <c:v>9.3862000000000008E-3</c:v>
                </c:pt>
                <c:pt idx="261">
                  <c:v>9.8476999999999992E-3</c:v>
                </c:pt>
                <c:pt idx="262">
                  <c:v>1.0363000000000001E-2</c:v>
                </c:pt>
                <c:pt idx="263">
                  <c:v>1.0888999999999999E-2</c:v>
                </c:pt>
                <c:pt idx="264">
                  <c:v>1.1124E-2</c:v>
                </c:pt>
                <c:pt idx="265">
                  <c:v>1.1200999999999999E-2</c:v>
                </c:pt>
                <c:pt idx="266">
                  <c:v>1.1095000000000001E-2</c:v>
                </c:pt>
                <c:pt idx="267">
                  <c:v>1.0878000000000001E-2</c:v>
                </c:pt>
                <c:pt idx="268">
                  <c:v>1.0807000000000001E-2</c:v>
                </c:pt>
                <c:pt idx="269">
                  <c:v>1.1188999999999999E-2</c:v>
                </c:pt>
                <c:pt idx="270">
                  <c:v>1.1932999999999999E-2</c:v>
                </c:pt>
                <c:pt idx="271">
                  <c:v>1.2567E-2</c:v>
                </c:pt>
                <c:pt idx="272">
                  <c:v>1.2819000000000001E-2</c:v>
                </c:pt>
                <c:pt idx="273">
                  <c:v>1.2796E-2</c:v>
                </c:pt>
                <c:pt idx="274">
                  <c:v>1.2791E-2</c:v>
                </c:pt>
                <c:pt idx="275">
                  <c:v>1.3232000000000001E-2</c:v>
                </c:pt>
                <c:pt idx="276">
                  <c:v>1.4056000000000001E-2</c:v>
                </c:pt>
                <c:pt idx="277">
                  <c:v>1.4883E-2</c:v>
                </c:pt>
                <c:pt idx="278">
                  <c:v>1.5502999999999999E-2</c:v>
                </c:pt>
                <c:pt idx="279">
                  <c:v>1.5511E-2</c:v>
                </c:pt>
                <c:pt idx="280">
                  <c:v>1.5077999999999999E-2</c:v>
                </c:pt>
                <c:pt idx="281">
                  <c:v>1.4256E-2</c:v>
                </c:pt>
                <c:pt idx="282">
                  <c:v>1.3426E-2</c:v>
                </c:pt>
                <c:pt idx="283">
                  <c:v>1.2689000000000001E-2</c:v>
                </c:pt>
                <c:pt idx="284">
                  <c:v>1.2093E-2</c:v>
                </c:pt>
                <c:pt idx="285">
                  <c:v>1.1497E-2</c:v>
                </c:pt>
                <c:pt idx="286">
                  <c:v>1.0899000000000001E-2</c:v>
                </c:pt>
                <c:pt idx="287">
                  <c:v>1.0377000000000001E-2</c:v>
                </c:pt>
                <c:pt idx="288">
                  <c:v>1.0161999999999999E-2</c:v>
                </c:pt>
                <c:pt idx="289">
                  <c:v>1.0302E-2</c:v>
                </c:pt>
                <c:pt idx="290">
                  <c:v>1.0779E-2</c:v>
                </c:pt>
                <c:pt idx="291">
                  <c:v>1.1611E-2</c:v>
                </c:pt>
                <c:pt idx="292">
                  <c:v>1.2735E-2</c:v>
                </c:pt>
                <c:pt idx="293">
                  <c:v>1.3896E-2</c:v>
                </c:pt>
                <c:pt idx="294">
                  <c:v>1.5049E-2</c:v>
                </c:pt>
                <c:pt idx="295">
                  <c:v>1.6490000000000001E-2</c:v>
                </c:pt>
                <c:pt idx="296">
                  <c:v>1.8579999999999999E-2</c:v>
                </c:pt>
                <c:pt idx="297">
                  <c:v>2.1704999999999999E-2</c:v>
                </c:pt>
                <c:pt idx="298">
                  <c:v>2.5333000000000001E-2</c:v>
                </c:pt>
                <c:pt idx="299">
                  <c:v>2.7983000000000001E-2</c:v>
                </c:pt>
                <c:pt idx="300">
                  <c:v>2.8246E-2</c:v>
                </c:pt>
                <c:pt idx="301">
                  <c:v>2.6356000000000001E-2</c:v>
                </c:pt>
                <c:pt idx="302">
                  <c:v>2.3087E-2</c:v>
                </c:pt>
                <c:pt idx="303">
                  <c:v>1.9816E-2</c:v>
                </c:pt>
                <c:pt idx="304">
                  <c:v>1.737E-2</c:v>
                </c:pt>
                <c:pt idx="305">
                  <c:v>1.5851000000000001E-2</c:v>
                </c:pt>
                <c:pt idx="306">
                  <c:v>1.5382E-2</c:v>
                </c:pt>
                <c:pt idx="307">
                  <c:v>1.6021000000000001E-2</c:v>
                </c:pt>
                <c:pt idx="308">
                  <c:v>1.6822E-2</c:v>
                </c:pt>
                <c:pt idx="309">
                  <c:v>1.6698999999999999E-2</c:v>
                </c:pt>
                <c:pt idx="310">
                  <c:v>1.5521999999999999E-2</c:v>
                </c:pt>
                <c:pt idx="311">
                  <c:v>1.3573E-2</c:v>
                </c:pt>
                <c:pt idx="312">
                  <c:v>1.1832000000000001E-2</c:v>
                </c:pt>
                <c:pt idx="313">
                  <c:v>1.0633E-2</c:v>
                </c:pt>
                <c:pt idx="314">
                  <c:v>9.9135000000000004E-3</c:v>
                </c:pt>
                <c:pt idx="315">
                  <c:v>9.4158999999999996E-3</c:v>
                </c:pt>
                <c:pt idx="316">
                  <c:v>9.2855999999999998E-3</c:v>
                </c:pt>
                <c:pt idx="317">
                  <c:v>9.2729000000000006E-3</c:v>
                </c:pt>
                <c:pt idx="318">
                  <c:v>9.3804000000000005E-3</c:v>
                </c:pt>
                <c:pt idx="319">
                  <c:v>9.5260999999999992E-3</c:v>
                </c:pt>
                <c:pt idx="320">
                  <c:v>9.8233000000000001E-3</c:v>
                </c:pt>
                <c:pt idx="321">
                  <c:v>1.027E-2</c:v>
                </c:pt>
                <c:pt idx="322">
                  <c:v>1.0938E-2</c:v>
                </c:pt>
                <c:pt idx="323">
                  <c:v>1.192E-2</c:v>
                </c:pt>
                <c:pt idx="324">
                  <c:v>1.3084999999999999E-2</c:v>
                </c:pt>
                <c:pt idx="325">
                  <c:v>1.4312999999999999E-2</c:v>
                </c:pt>
                <c:pt idx="326">
                  <c:v>1.5554999999999999E-2</c:v>
                </c:pt>
                <c:pt idx="327">
                  <c:v>1.6705999999999999E-2</c:v>
                </c:pt>
                <c:pt idx="328">
                  <c:v>1.8433999999999999E-2</c:v>
                </c:pt>
                <c:pt idx="329">
                  <c:v>2.2093999999999999E-2</c:v>
                </c:pt>
                <c:pt idx="330">
                  <c:v>2.9707000000000001E-2</c:v>
                </c:pt>
                <c:pt idx="331">
                  <c:v>4.1681999999999997E-2</c:v>
                </c:pt>
                <c:pt idx="332">
                  <c:v>5.6078999999999997E-2</c:v>
                </c:pt>
                <c:pt idx="333">
                  <c:v>6.7067000000000002E-2</c:v>
                </c:pt>
                <c:pt idx="334">
                  <c:v>6.8168000000000006E-2</c:v>
                </c:pt>
                <c:pt idx="335">
                  <c:v>6.0315000000000001E-2</c:v>
                </c:pt>
                <c:pt idx="336">
                  <c:v>4.7608999999999999E-2</c:v>
                </c:pt>
                <c:pt idx="337">
                  <c:v>3.5878E-2</c:v>
                </c:pt>
                <c:pt idx="338">
                  <c:v>2.7838000000000002E-2</c:v>
                </c:pt>
                <c:pt idx="339">
                  <c:v>2.3148999999999999E-2</c:v>
                </c:pt>
                <c:pt idx="340">
                  <c:v>2.0247000000000001E-2</c:v>
                </c:pt>
                <c:pt idx="341">
                  <c:v>1.8329000000000002E-2</c:v>
                </c:pt>
                <c:pt idx="342">
                  <c:v>1.6709000000000002E-2</c:v>
                </c:pt>
                <c:pt idx="343">
                  <c:v>1.5197E-2</c:v>
                </c:pt>
                <c:pt idx="344">
                  <c:v>1.3731999999999999E-2</c:v>
                </c:pt>
                <c:pt idx="345">
                  <c:v>1.2579999999999999E-2</c:v>
                </c:pt>
                <c:pt idx="346">
                  <c:v>1.1873999999999999E-2</c:v>
                </c:pt>
                <c:pt idx="347">
                  <c:v>1.2766E-2</c:v>
                </c:pt>
                <c:pt idx="348">
                  <c:v>1.6372000000000001E-2</c:v>
                </c:pt>
                <c:pt idx="349">
                  <c:v>2.0742E-2</c:v>
                </c:pt>
                <c:pt idx="350">
                  <c:v>2.2412999999999999E-2</c:v>
                </c:pt>
                <c:pt idx="351">
                  <c:v>2.0053000000000001E-2</c:v>
                </c:pt>
                <c:pt idx="352">
                  <c:v>1.4682000000000001E-2</c:v>
                </c:pt>
                <c:pt idx="353">
                  <c:v>9.8933000000000007E-3</c:v>
                </c:pt>
                <c:pt idx="354">
                  <c:v>7.4635999999999999E-3</c:v>
                </c:pt>
                <c:pt idx="355">
                  <c:v>6.5192999999999996E-3</c:v>
                </c:pt>
                <c:pt idx="356">
                  <c:v>6.1265E-3</c:v>
                </c:pt>
                <c:pt idx="357">
                  <c:v>5.9360999999999997E-3</c:v>
                </c:pt>
                <c:pt idx="358">
                  <c:v>5.7182999999999999E-3</c:v>
                </c:pt>
                <c:pt idx="359">
                  <c:v>5.6240999999999999E-3</c:v>
                </c:pt>
                <c:pt idx="360">
                  <c:v>5.5433000000000001E-3</c:v>
                </c:pt>
                <c:pt idx="361">
                  <c:v>5.5043000000000002E-3</c:v>
                </c:pt>
                <c:pt idx="362">
                  <c:v>5.4723000000000003E-3</c:v>
                </c:pt>
                <c:pt idx="363">
                  <c:v>5.4098999999999996E-3</c:v>
                </c:pt>
                <c:pt idx="364">
                  <c:v>5.4070000000000003E-3</c:v>
                </c:pt>
                <c:pt idx="365">
                  <c:v>5.4380000000000001E-3</c:v>
                </c:pt>
                <c:pt idx="366">
                  <c:v>5.5468000000000002E-3</c:v>
                </c:pt>
                <c:pt idx="367">
                  <c:v>5.7107E-3</c:v>
                </c:pt>
                <c:pt idx="368">
                  <c:v>5.8523999999999998E-3</c:v>
                </c:pt>
                <c:pt idx="369">
                  <c:v>5.9500000000000004E-3</c:v>
                </c:pt>
                <c:pt idx="370">
                  <c:v>5.9804999999999997E-3</c:v>
                </c:pt>
                <c:pt idx="371">
                  <c:v>6.1272999999999996E-3</c:v>
                </c:pt>
                <c:pt idx="372">
                  <c:v>6.3584000000000002E-3</c:v>
                </c:pt>
                <c:pt idx="373">
                  <c:v>6.5853999999999999E-3</c:v>
                </c:pt>
                <c:pt idx="374">
                  <c:v>6.7305999999999998E-3</c:v>
                </c:pt>
                <c:pt idx="375">
                  <c:v>6.8637000000000004E-3</c:v>
                </c:pt>
                <c:pt idx="376">
                  <c:v>7.0967000000000001E-3</c:v>
                </c:pt>
                <c:pt idx="377">
                  <c:v>7.4596999999999997E-3</c:v>
                </c:pt>
                <c:pt idx="378">
                  <c:v>7.9567000000000006E-3</c:v>
                </c:pt>
                <c:pt idx="379">
                  <c:v>8.6222E-3</c:v>
                </c:pt>
                <c:pt idx="380">
                  <c:v>9.5960000000000004E-3</c:v>
                </c:pt>
                <c:pt idx="381">
                  <c:v>1.0779E-2</c:v>
                </c:pt>
                <c:pt idx="382">
                  <c:v>1.1641E-2</c:v>
                </c:pt>
                <c:pt idx="383">
                  <c:v>1.1837E-2</c:v>
                </c:pt>
                <c:pt idx="384">
                  <c:v>1.1474E-2</c:v>
                </c:pt>
                <c:pt idx="385">
                  <c:v>1.1063E-2</c:v>
                </c:pt>
                <c:pt idx="386">
                  <c:v>1.1044999999999999E-2</c:v>
                </c:pt>
                <c:pt idx="387">
                  <c:v>1.1686E-2</c:v>
                </c:pt>
                <c:pt idx="388">
                  <c:v>1.3039E-2</c:v>
                </c:pt>
                <c:pt idx="389">
                  <c:v>1.5589E-2</c:v>
                </c:pt>
                <c:pt idx="390">
                  <c:v>2.0007E-2</c:v>
                </c:pt>
                <c:pt idx="391">
                  <c:v>2.9127E-2</c:v>
                </c:pt>
                <c:pt idx="392">
                  <c:v>4.6586000000000002E-2</c:v>
                </c:pt>
                <c:pt idx="393">
                  <c:v>8.2992999999999997E-2</c:v>
                </c:pt>
                <c:pt idx="394">
                  <c:v>0.13877999999999999</c:v>
                </c:pt>
                <c:pt idx="395">
                  <c:v>0.19650999999999999</c:v>
                </c:pt>
                <c:pt idx="396">
                  <c:v>0.22644</c:v>
                </c:pt>
                <c:pt idx="397">
                  <c:v>0.20841999999999999</c:v>
                </c:pt>
                <c:pt idx="398">
                  <c:v>0.15540999999999999</c:v>
                </c:pt>
                <c:pt idx="399">
                  <c:v>9.8368999999999998E-2</c:v>
                </c:pt>
                <c:pt idx="400">
                  <c:v>5.8624000000000002E-2</c:v>
                </c:pt>
                <c:pt idx="401">
                  <c:v>3.6590999999999999E-2</c:v>
                </c:pt>
                <c:pt idx="402">
                  <c:v>2.5603999999999998E-2</c:v>
                </c:pt>
                <c:pt idx="403">
                  <c:v>1.9446000000000001E-2</c:v>
                </c:pt>
                <c:pt idx="404">
                  <c:v>1.5970000000000002E-2</c:v>
                </c:pt>
                <c:pt idx="405">
                  <c:v>1.3689E-2</c:v>
                </c:pt>
                <c:pt idx="406">
                  <c:v>1.2179000000000001E-2</c:v>
                </c:pt>
                <c:pt idx="407">
                  <c:v>1.107E-2</c:v>
                </c:pt>
                <c:pt idx="408">
                  <c:v>1.0307E-2</c:v>
                </c:pt>
                <c:pt idx="409">
                  <c:v>9.7376000000000008E-3</c:v>
                </c:pt>
                <c:pt idx="410">
                  <c:v>9.3355999999999995E-3</c:v>
                </c:pt>
                <c:pt idx="411">
                  <c:v>9.0042999999999998E-3</c:v>
                </c:pt>
                <c:pt idx="412">
                  <c:v>8.7668999999999993E-3</c:v>
                </c:pt>
                <c:pt idx="413">
                  <c:v>8.5793999999999992E-3</c:v>
                </c:pt>
                <c:pt idx="414">
                  <c:v>8.4706E-3</c:v>
                </c:pt>
                <c:pt idx="415">
                  <c:v>8.4212000000000002E-3</c:v>
                </c:pt>
                <c:pt idx="416">
                  <c:v>8.3715000000000005E-3</c:v>
                </c:pt>
                <c:pt idx="417">
                  <c:v>8.2932000000000006E-3</c:v>
                </c:pt>
                <c:pt idx="418">
                  <c:v>8.2015999999999999E-3</c:v>
                </c:pt>
                <c:pt idx="419">
                  <c:v>8.0888000000000002E-3</c:v>
                </c:pt>
                <c:pt idx="420">
                  <c:v>7.9693999999999997E-3</c:v>
                </c:pt>
                <c:pt idx="421">
                  <c:v>7.8816000000000008E-3</c:v>
                </c:pt>
                <c:pt idx="422">
                  <c:v>7.8373000000000002E-3</c:v>
                </c:pt>
                <c:pt idx="423">
                  <c:v>7.8730999999999992E-3</c:v>
                </c:pt>
                <c:pt idx="424">
                  <c:v>7.9774000000000008E-3</c:v>
                </c:pt>
                <c:pt idx="425">
                  <c:v>8.2597999999999994E-3</c:v>
                </c:pt>
                <c:pt idx="426">
                  <c:v>9.8800999999999993E-3</c:v>
                </c:pt>
                <c:pt idx="427">
                  <c:v>1.7940999999999999E-2</c:v>
                </c:pt>
                <c:pt idx="428">
                  <c:v>3.5907000000000001E-2</c:v>
                </c:pt>
                <c:pt idx="429">
                  <c:v>5.6349000000000003E-2</c:v>
                </c:pt>
                <c:pt idx="430">
                  <c:v>6.5231999999999998E-2</c:v>
                </c:pt>
                <c:pt idx="431">
                  <c:v>5.5010000000000003E-2</c:v>
                </c:pt>
                <c:pt idx="432">
                  <c:v>3.5314999999999999E-2</c:v>
                </c:pt>
                <c:pt idx="433">
                  <c:v>1.8953999999999999E-2</c:v>
                </c:pt>
                <c:pt idx="434">
                  <c:v>1.1486E-2</c:v>
                </c:pt>
                <c:pt idx="435">
                  <c:v>9.3308999999999996E-3</c:v>
                </c:pt>
                <c:pt idx="436">
                  <c:v>8.5377000000000005E-3</c:v>
                </c:pt>
                <c:pt idx="437">
                  <c:v>8.1899E-3</c:v>
                </c:pt>
                <c:pt idx="438">
                  <c:v>7.9141999999999997E-3</c:v>
                </c:pt>
                <c:pt idx="439">
                  <c:v>7.6372999999999996E-3</c:v>
                </c:pt>
                <c:pt idx="440">
                  <c:v>7.4197999999999998E-3</c:v>
                </c:pt>
                <c:pt idx="441">
                  <c:v>7.2864999999999996E-3</c:v>
                </c:pt>
                <c:pt idx="442">
                  <c:v>7.2011999999999996E-3</c:v>
                </c:pt>
                <c:pt idx="443">
                  <c:v>7.1739999999999998E-3</c:v>
                </c:pt>
                <c:pt idx="444">
                  <c:v>7.1755999999999999E-3</c:v>
                </c:pt>
                <c:pt idx="445">
                  <c:v>7.2953999999999996E-3</c:v>
                </c:pt>
                <c:pt idx="446">
                  <c:v>7.3778000000000003E-3</c:v>
                </c:pt>
                <c:pt idx="447">
                  <c:v>7.4428999999999997E-3</c:v>
                </c:pt>
                <c:pt idx="448">
                  <c:v>7.4875999999999996E-3</c:v>
                </c:pt>
                <c:pt idx="449">
                  <c:v>7.4688000000000003E-3</c:v>
                </c:pt>
                <c:pt idx="450">
                  <c:v>7.4327999999999998E-3</c:v>
                </c:pt>
                <c:pt idx="451">
                  <c:v>7.3934999999999999E-3</c:v>
                </c:pt>
                <c:pt idx="452">
                  <c:v>7.3837E-3</c:v>
                </c:pt>
                <c:pt idx="453">
                  <c:v>7.4685999999999997E-3</c:v>
                </c:pt>
                <c:pt idx="454">
                  <c:v>7.5431999999999999E-3</c:v>
                </c:pt>
                <c:pt idx="455">
                  <c:v>7.6007000000000002E-3</c:v>
                </c:pt>
                <c:pt idx="456">
                  <c:v>7.6503999999999999E-3</c:v>
                </c:pt>
                <c:pt idx="457">
                  <c:v>7.7412999999999996E-3</c:v>
                </c:pt>
                <c:pt idx="458">
                  <c:v>7.8189999999999996E-3</c:v>
                </c:pt>
                <c:pt idx="459">
                  <c:v>7.9136999999999992E-3</c:v>
                </c:pt>
                <c:pt idx="460">
                  <c:v>8.0024999999999992E-3</c:v>
                </c:pt>
                <c:pt idx="461">
                  <c:v>8.1296000000000007E-3</c:v>
                </c:pt>
                <c:pt idx="462">
                  <c:v>8.2395999999999997E-3</c:v>
                </c:pt>
                <c:pt idx="463">
                  <c:v>8.2944999999999998E-3</c:v>
                </c:pt>
                <c:pt idx="464">
                  <c:v>8.2748000000000006E-3</c:v>
                </c:pt>
                <c:pt idx="465">
                  <c:v>8.2512000000000002E-3</c:v>
                </c:pt>
                <c:pt idx="466">
                  <c:v>8.2401999999999996E-3</c:v>
                </c:pt>
                <c:pt idx="467">
                  <c:v>8.2903999999999999E-3</c:v>
                </c:pt>
                <c:pt idx="468">
                  <c:v>8.4539999999999997E-3</c:v>
                </c:pt>
                <c:pt idx="469">
                  <c:v>8.6843000000000007E-3</c:v>
                </c:pt>
                <c:pt idx="470">
                  <c:v>8.9561999999999992E-3</c:v>
                </c:pt>
                <c:pt idx="471">
                  <c:v>9.1374999999999998E-3</c:v>
                </c:pt>
                <c:pt idx="472">
                  <c:v>9.2808999999999999E-3</c:v>
                </c:pt>
                <c:pt idx="473">
                  <c:v>9.4188999999999991E-3</c:v>
                </c:pt>
                <c:pt idx="474">
                  <c:v>9.5843000000000005E-3</c:v>
                </c:pt>
                <c:pt idx="475">
                  <c:v>9.7868999999999994E-3</c:v>
                </c:pt>
                <c:pt idx="476">
                  <c:v>9.9021000000000005E-3</c:v>
                </c:pt>
                <c:pt idx="477">
                  <c:v>9.9991999999999998E-3</c:v>
                </c:pt>
                <c:pt idx="478">
                  <c:v>1.0063000000000001E-2</c:v>
                </c:pt>
                <c:pt idx="479">
                  <c:v>1.0240000000000001E-2</c:v>
                </c:pt>
                <c:pt idx="480">
                  <c:v>1.0544E-2</c:v>
                </c:pt>
                <c:pt idx="481">
                  <c:v>1.0916E-2</c:v>
                </c:pt>
                <c:pt idx="482">
                  <c:v>1.1246000000000001E-2</c:v>
                </c:pt>
                <c:pt idx="483">
                  <c:v>1.1577E-2</c:v>
                </c:pt>
                <c:pt idx="484">
                  <c:v>1.1983000000000001E-2</c:v>
                </c:pt>
                <c:pt idx="485">
                  <c:v>1.2426E-2</c:v>
                </c:pt>
                <c:pt idx="486">
                  <c:v>1.2836E-2</c:v>
                </c:pt>
                <c:pt idx="487">
                  <c:v>1.3246000000000001E-2</c:v>
                </c:pt>
                <c:pt idx="488">
                  <c:v>1.3868E-2</c:v>
                </c:pt>
                <c:pt idx="489">
                  <c:v>1.5479E-2</c:v>
                </c:pt>
                <c:pt idx="490">
                  <c:v>1.8065999999999999E-2</c:v>
                </c:pt>
                <c:pt idx="491">
                  <c:v>2.0458E-2</c:v>
                </c:pt>
                <c:pt idx="492">
                  <c:v>2.1488E-2</c:v>
                </c:pt>
                <c:pt idx="493">
                  <c:v>2.1509E-2</c:v>
                </c:pt>
                <c:pt idx="494">
                  <c:v>2.1791000000000001E-2</c:v>
                </c:pt>
                <c:pt idx="495">
                  <c:v>2.3439000000000002E-2</c:v>
                </c:pt>
                <c:pt idx="496">
                  <c:v>2.6311000000000001E-2</c:v>
                </c:pt>
                <c:pt idx="497">
                  <c:v>3.0012E-2</c:v>
                </c:pt>
                <c:pt idx="498">
                  <c:v>3.4217999999999998E-2</c:v>
                </c:pt>
                <c:pt idx="499">
                  <c:v>3.8605E-2</c:v>
                </c:pt>
                <c:pt idx="500">
                  <c:v>4.2750000000000003E-2</c:v>
                </c:pt>
                <c:pt idx="501">
                  <c:v>4.6037000000000002E-2</c:v>
                </c:pt>
                <c:pt idx="502">
                  <c:v>4.8466000000000002E-2</c:v>
                </c:pt>
                <c:pt idx="503">
                  <c:v>5.0388000000000002E-2</c:v>
                </c:pt>
                <c:pt idx="504">
                  <c:v>5.1900000000000002E-2</c:v>
                </c:pt>
                <c:pt idx="505">
                  <c:v>5.2595999999999997E-2</c:v>
                </c:pt>
                <c:pt idx="506">
                  <c:v>5.2360999999999998E-2</c:v>
                </c:pt>
                <c:pt idx="507">
                  <c:v>5.1366000000000002E-2</c:v>
                </c:pt>
                <c:pt idx="508">
                  <c:v>5.0700000000000002E-2</c:v>
                </c:pt>
                <c:pt idx="509">
                  <c:v>5.0734000000000001E-2</c:v>
                </c:pt>
                <c:pt idx="510">
                  <c:v>5.1272999999999999E-2</c:v>
                </c:pt>
                <c:pt idx="511">
                  <c:v>5.2205000000000001E-2</c:v>
                </c:pt>
                <c:pt idx="512">
                  <c:v>5.3508E-2</c:v>
                </c:pt>
                <c:pt idx="513">
                  <c:v>5.5029000000000002E-2</c:v>
                </c:pt>
                <c:pt idx="514">
                  <c:v>5.6745999999999998E-2</c:v>
                </c:pt>
                <c:pt idx="515">
                  <c:v>5.8617000000000002E-2</c:v>
                </c:pt>
                <c:pt idx="516">
                  <c:v>6.0464999999999998E-2</c:v>
                </c:pt>
                <c:pt idx="517">
                  <c:v>6.2503000000000003E-2</c:v>
                </c:pt>
                <c:pt idx="518">
                  <c:v>6.4526E-2</c:v>
                </c:pt>
                <c:pt idx="519">
                  <c:v>6.6563999999999998E-2</c:v>
                </c:pt>
                <c:pt idx="520">
                  <c:v>6.8545999999999996E-2</c:v>
                </c:pt>
                <c:pt idx="521">
                  <c:v>7.0566000000000004E-2</c:v>
                </c:pt>
                <c:pt idx="522">
                  <c:v>7.2778999999999996E-2</c:v>
                </c:pt>
                <c:pt idx="523">
                  <c:v>7.5155E-2</c:v>
                </c:pt>
                <c:pt idx="524">
                  <c:v>7.7712000000000003E-2</c:v>
                </c:pt>
                <c:pt idx="525">
                  <c:v>8.0652000000000001E-2</c:v>
                </c:pt>
                <c:pt idx="526">
                  <c:v>8.4478999999999999E-2</c:v>
                </c:pt>
                <c:pt idx="527">
                  <c:v>8.9566999999999994E-2</c:v>
                </c:pt>
                <c:pt idx="528">
                  <c:v>9.6651000000000001E-2</c:v>
                </c:pt>
                <c:pt idx="529">
                  <c:v>0.10793</c:v>
                </c:pt>
                <c:pt idx="530">
                  <c:v>0.12687999999999999</c:v>
                </c:pt>
                <c:pt idx="531">
                  <c:v>0.16217999999999999</c:v>
                </c:pt>
                <c:pt idx="532">
                  <c:v>0.21412999999999999</c:v>
                </c:pt>
                <c:pt idx="533">
                  <c:v>0.29753000000000002</c:v>
                </c:pt>
                <c:pt idx="534">
                  <c:v>0.40406999999999998</c:v>
                </c:pt>
                <c:pt idx="535">
                  <c:v>0.50726000000000004</c:v>
                </c:pt>
                <c:pt idx="536">
                  <c:v>0.57916999999999996</c:v>
                </c:pt>
                <c:pt idx="537">
                  <c:v>0.60219999999999996</c:v>
                </c:pt>
                <c:pt idx="538">
                  <c:v>0.56552000000000002</c:v>
                </c:pt>
                <c:pt idx="539">
                  <c:v>0.47141</c:v>
                </c:pt>
                <c:pt idx="540">
                  <c:v>0.35196</c:v>
                </c:pt>
                <c:pt idx="541">
                  <c:v>0.24548</c:v>
                </c:pt>
                <c:pt idx="542">
                  <c:v>0.19381999999999999</c:v>
                </c:pt>
                <c:pt idx="543">
                  <c:v>0.17097999999999999</c:v>
                </c:pt>
                <c:pt idx="544">
                  <c:v>0.16189000000000001</c:v>
                </c:pt>
                <c:pt idx="545">
                  <c:v>0.15908</c:v>
                </c:pt>
                <c:pt idx="546">
                  <c:v>0.16011</c:v>
                </c:pt>
                <c:pt idx="547">
                  <c:v>0.16364999999999999</c:v>
                </c:pt>
                <c:pt idx="548">
                  <c:v>0.16880000000000001</c:v>
                </c:pt>
                <c:pt idx="549">
                  <c:v>0.17554</c:v>
                </c:pt>
                <c:pt idx="550">
                  <c:v>0.18348999999999999</c:v>
                </c:pt>
                <c:pt idx="551">
                  <c:v>0.19252</c:v>
                </c:pt>
                <c:pt idx="552">
                  <c:v>0.20243</c:v>
                </c:pt>
                <c:pt idx="553">
                  <c:v>0.21365000000000001</c:v>
                </c:pt>
                <c:pt idx="554">
                  <c:v>0.22597999999999999</c:v>
                </c:pt>
                <c:pt idx="555">
                  <c:v>0.23988000000000001</c:v>
                </c:pt>
                <c:pt idx="556">
                  <c:v>0.25583</c:v>
                </c:pt>
                <c:pt idx="557">
                  <c:v>0.27332000000000001</c:v>
                </c:pt>
                <c:pt idx="558">
                  <c:v>0.29285</c:v>
                </c:pt>
                <c:pt idx="559">
                  <c:v>0.31402999999999998</c:v>
                </c:pt>
                <c:pt idx="560">
                  <c:v>0.33798</c:v>
                </c:pt>
                <c:pt idx="561">
                  <c:v>0.36481999999999998</c:v>
                </c:pt>
                <c:pt idx="562">
                  <c:v>0.39466000000000001</c:v>
                </c:pt>
                <c:pt idx="563">
                  <c:v>0.42746000000000001</c:v>
                </c:pt>
                <c:pt idx="564">
                  <c:v>0.46344000000000002</c:v>
                </c:pt>
                <c:pt idx="565">
                  <c:v>0.50214000000000003</c:v>
                </c:pt>
                <c:pt idx="566">
                  <c:v>0.54166000000000003</c:v>
                </c:pt>
                <c:pt idx="567">
                  <c:v>0.57848999999999995</c:v>
                </c:pt>
                <c:pt idx="568">
                  <c:v>0.60938999999999999</c:v>
                </c:pt>
                <c:pt idx="569">
                  <c:v>0.63097999999999999</c:v>
                </c:pt>
                <c:pt idx="570">
                  <c:v>0.64205999999999996</c:v>
                </c:pt>
                <c:pt idx="571">
                  <c:v>0.64249000000000001</c:v>
                </c:pt>
                <c:pt idx="572">
                  <c:v>0.60055999999999998</c:v>
                </c:pt>
                <c:pt idx="573">
                  <c:v>0.50158000000000003</c:v>
                </c:pt>
                <c:pt idx="574">
                  <c:v>0.35400999999999999</c:v>
                </c:pt>
                <c:pt idx="575">
                  <c:v>0.21192</c:v>
                </c:pt>
                <c:pt idx="576">
                  <c:v>0.12148</c:v>
                </c:pt>
                <c:pt idx="577">
                  <c:v>7.9912999999999998E-2</c:v>
                </c:pt>
                <c:pt idx="578">
                  <c:v>6.9889999999999994E-2</c:v>
                </c:pt>
                <c:pt idx="579">
                  <c:v>8.5014999999999993E-2</c:v>
                </c:pt>
                <c:pt idx="580">
                  <c:v>0.12784000000000001</c:v>
                </c:pt>
                <c:pt idx="581">
                  <c:v>0.21290000000000001</c:v>
                </c:pt>
                <c:pt idx="582">
                  <c:v>0.33019999999999999</c:v>
                </c:pt>
                <c:pt idx="583">
                  <c:v>0.45824999999999999</c:v>
                </c:pt>
                <c:pt idx="584">
                  <c:v>0.56572</c:v>
                </c:pt>
                <c:pt idx="585">
                  <c:v>0.63622000000000001</c:v>
                </c:pt>
                <c:pt idx="586">
                  <c:v>0.66861000000000004</c:v>
                </c:pt>
                <c:pt idx="587">
                  <c:v>0.68157000000000001</c:v>
                </c:pt>
                <c:pt idx="588">
                  <c:v>0.68567999999999996</c:v>
                </c:pt>
                <c:pt idx="589">
                  <c:v>0.68700000000000006</c:v>
                </c:pt>
                <c:pt idx="590">
                  <c:v>0.68754999999999999</c:v>
                </c:pt>
                <c:pt idx="591">
                  <c:v>0.68511</c:v>
                </c:pt>
                <c:pt idx="592">
                  <c:v>0.67254000000000003</c:v>
                </c:pt>
                <c:pt idx="593">
                  <c:v>0.64871000000000001</c:v>
                </c:pt>
                <c:pt idx="594">
                  <c:v>0.62031000000000003</c:v>
                </c:pt>
                <c:pt idx="595">
                  <c:v>0.59369000000000005</c:v>
                </c:pt>
                <c:pt idx="596">
                  <c:v>0.57018999999999997</c:v>
                </c:pt>
                <c:pt idx="597">
                  <c:v>0.54769999999999996</c:v>
                </c:pt>
                <c:pt idx="598">
                  <c:v>0.52470000000000006</c:v>
                </c:pt>
                <c:pt idx="599">
                  <c:v>0.50307999999999997</c:v>
                </c:pt>
                <c:pt idx="600">
                  <c:v>0.48376999999999998</c:v>
                </c:pt>
                <c:pt idx="601">
                  <c:v>0.46516999999999997</c:v>
                </c:pt>
                <c:pt idx="602">
                  <c:v>0.44782</c:v>
                </c:pt>
                <c:pt idx="603">
                  <c:v>0.43106</c:v>
                </c:pt>
                <c:pt idx="604">
                  <c:v>0.41531000000000001</c:v>
                </c:pt>
                <c:pt idx="605">
                  <c:v>0.39945999999999998</c:v>
                </c:pt>
                <c:pt idx="606">
                  <c:v>0.38474000000000003</c:v>
                </c:pt>
                <c:pt idx="607">
                  <c:v>0.37023</c:v>
                </c:pt>
                <c:pt idx="608">
                  <c:v>0.35699999999999998</c:v>
                </c:pt>
                <c:pt idx="609">
                  <c:v>0.34471000000000002</c:v>
                </c:pt>
                <c:pt idx="610">
                  <c:v>0.33285999999999999</c:v>
                </c:pt>
                <c:pt idx="611">
                  <c:v>0.32151000000000002</c:v>
                </c:pt>
                <c:pt idx="612">
                  <c:v>0.31045</c:v>
                </c:pt>
                <c:pt idx="613">
                  <c:v>0.30031000000000002</c:v>
                </c:pt>
                <c:pt idx="614">
                  <c:v>0.29054000000000002</c:v>
                </c:pt>
                <c:pt idx="615">
                  <c:v>0.28123999999999999</c:v>
                </c:pt>
                <c:pt idx="616">
                  <c:v>0.27216000000000001</c:v>
                </c:pt>
                <c:pt idx="617">
                  <c:v>0.26350000000000001</c:v>
                </c:pt>
                <c:pt idx="618">
                  <c:v>0.25558999999999998</c:v>
                </c:pt>
                <c:pt idx="619">
                  <c:v>0.24834999999999999</c:v>
                </c:pt>
                <c:pt idx="620">
                  <c:v>0.24141000000000001</c:v>
                </c:pt>
                <c:pt idx="621">
                  <c:v>0.23466000000000001</c:v>
                </c:pt>
                <c:pt idx="622">
                  <c:v>0.22836000000000001</c:v>
                </c:pt>
                <c:pt idx="623">
                  <c:v>0.22237999999999999</c:v>
                </c:pt>
                <c:pt idx="624">
                  <c:v>0.21662000000000001</c:v>
                </c:pt>
                <c:pt idx="625">
                  <c:v>0.21137</c:v>
                </c:pt>
                <c:pt idx="626">
                  <c:v>0.20705999999999999</c:v>
                </c:pt>
                <c:pt idx="627">
                  <c:v>0.21068000000000001</c:v>
                </c:pt>
                <c:pt idx="628">
                  <c:v>0.24514</c:v>
                </c:pt>
                <c:pt idx="629">
                  <c:v>0.32196999999999998</c:v>
                </c:pt>
                <c:pt idx="630">
                  <c:v>0.41288000000000002</c:v>
                </c:pt>
                <c:pt idx="631">
                  <c:v>0.44908999999999999</c:v>
                </c:pt>
                <c:pt idx="632">
                  <c:v>0.39684000000000003</c:v>
                </c:pt>
                <c:pt idx="633">
                  <c:v>0.29913000000000001</c:v>
                </c:pt>
                <c:pt idx="634">
                  <c:v>0.21776000000000001</c:v>
                </c:pt>
                <c:pt idx="635">
                  <c:v>0.18206</c:v>
                </c:pt>
                <c:pt idx="636">
                  <c:v>0.16877</c:v>
                </c:pt>
                <c:pt idx="637">
                  <c:v>0.16199</c:v>
                </c:pt>
                <c:pt idx="638">
                  <c:v>0.15762999999999999</c:v>
                </c:pt>
                <c:pt idx="639">
                  <c:v>0.1542</c:v>
                </c:pt>
                <c:pt idx="640">
                  <c:v>0.15093999999999999</c:v>
                </c:pt>
                <c:pt idx="641">
                  <c:v>0.14792</c:v>
                </c:pt>
                <c:pt idx="642">
                  <c:v>0.1449</c:v>
                </c:pt>
                <c:pt idx="643">
                  <c:v>0.14213000000000001</c:v>
                </c:pt>
                <c:pt idx="644">
                  <c:v>0.13941000000000001</c:v>
                </c:pt>
                <c:pt idx="645">
                  <c:v>0.13699</c:v>
                </c:pt>
                <c:pt idx="646">
                  <c:v>0.13458999999999999</c:v>
                </c:pt>
                <c:pt idx="647">
                  <c:v>0.1323</c:v>
                </c:pt>
                <c:pt idx="648">
                  <c:v>0.13006999999999999</c:v>
                </c:pt>
                <c:pt idx="649">
                  <c:v>0.12806000000000001</c:v>
                </c:pt>
                <c:pt idx="650">
                  <c:v>0.12601999999999999</c:v>
                </c:pt>
                <c:pt idx="651">
                  <c:v>0.12413</c:v>
                </c:pt>
                <c:pt idx="652">
                  <c:v>0.12242</c:v>
                </c:pt>
                <c:pt idx="653">
                  <c:v>0.12064</c:v>
                </c:pt>
                <c:pt idx="654">
                  <c:v>0.11908000000000001</c:v>
                </c:pt>
                <c:pt idx="655">
                  <c:v>0.1176</c:v>
                </c:pt>
                <c:pt idx="656">
                  <c:v>0.11609999999999999</c:v>
                </c:pt>
                <c:pt idx="657">
                  <c:v>0.11453000000000001</c:v>
                </c:pt>
                <c:pt idx="658">
                  <c:v>0.11287</c:v>
                </c:pt>
                <c:pt idx="659">
                  <c:v>0.11147</c:v>
                </c:pt>
                <c:pt idx="660">
                  <c:v>0.11004</c:v>
                </c:pt>
                <c:pt idx="661">
                  <c:v>0.10876</c:v>
                </c:pt>
                <c:pt idx="662">
                  <c:v>0.10748000000000001</c:v>
                </c:pt>
                <c:pt idx="663">
                  <c:v>0.10623</c:v>
                </c:pt>
                <c:pt idx="664">
                  <c:v>0.10485</c:v>
                </c:pt>
                <c:pt idx="665">
                  <c:v>0.10360999999999999</c:v>
                </c:pt>
                <c:pt idx="666">
                  <c:v>0.10253</c:v>
                </c:pt>
                <c:pt idx="667">
                  <c:v>0.10161000000000001</c:v>
                </c:pt>
                <c:pt idx="668">
                  <c:v>0.10085</c:v>
                </c:pt>
                <c:pt idx="669">
                  <c:v>0.10009999999999999</c:v>
                </c:pt>
                <c:pt idx="670">
                  <c:v>9.8936999999999997E-2</c:v>
                </c:pt>
                <c:pt idx="671">
                  <c:v>9.7558000000000006E-2</c:v>
                </c:pt>
                <c:pt idx="672">
                  <c:v>9.5961000000000005E-2</c:v>
                </c:pt>
                <c:pt idx="673">
                  <c:v>9.4698000000000004E-2</c:v>
                </c:pt>
                <c:pt idx="674">
                  <c:v>9.3443999999999999E-2</c:v>
                </c:pt>
                <c:pt idx="675">
                  <c:v>9.2082999999999998E-2</c:v>
                </c:pt>
                <c:pt idx="676">
                  <c:v>9.0907000000000002E-2</c:v>
                </c:pt>
                <c:pt idx="677">
                  <c:v>8.9843999999999993E-2</c:v>
                </c:pt>
                <c:pt idx="678">
                  <c:v>8.8812000000000002E-2</c:v>
                </c:pt>
                <c:pt idx="679">
                  <c:v>8.7800000000000003E-2</c:v>
                </c:pt>
                <c:pt idx="680">
                  <c:v>8.6756E-2</c:v>
                </c:pt>
                <c:pt idx="681">
                  <c:v>8.5555000000000006E-2</c:v>
                </c:pt>
                <c:pt idx="682">
                  <c:v>8.4408999999999998E-2</c:v>
                </c:pt>
                <c:pt idx="683">
                  <c:v>8.3264000000000005E-2</c:v>
                </c:pt>
                <c:pt idx="684">
                  <c:v>8.2184999999999994E-2</c:v>
                </c:pt>
                <c:pt idx="685">
                  <c:v>8.1104999999999997E-2</c:v>
                </c:pt>
                <c:pt idx="686">
                  <c:v>7.9853999999999994E-2</c:v>
                </c:pt>
                <c:pt idx="687">
                  <c:v>7.8833E-2</c:v>
                </c:pt>
                <c:pt idx="688">
                  <c:v>7.8064999999999996E-2</c:v>
                </c:pt>
                <c:pt idx="689">
                  <c:v>7.7343999999999996E-2</c:v>
                </c:pt>
                <c:pt idx="690">
                  <c:v>7.6696E-2</c:v>
                </c:pt>
                <c:pt idx="691">
                  <c:v>7.5886999999999996E-2</c:v>
                </c:pt>
                <c:pt idx="692">
                  <c:v>7.5429999999999997E-2</c:v>
                </c:pt>
                <c:pt idx="693">
                  <c:v>7.4841000000000005E-2</c:v>
                </c:pt>
                <c:pt idx="694">
                  <c:v>7.4228000000000002E-2</c:v>
                </c:pt>
                <c:pt idx="695">
                  <c:v>7.3390999999999998E-2</c:v>
                </c:pt>
                <c:pt idx="696">
                  <c:v>7.2292999999999996E-2</c:v>
                </c:pt>
                <c:pt idx="697">
                  <c:v>7.0816000000000004E-2</c:v>
                </c:pt>
                <c:pt idx="698">
                  <c:v>6.9250000000000006E-2</c:v>
                </c:pt>
                <c:pt idx="699">
                  <c:v>6.7643999999999996E-2</c:v>
                </c:pt>
                <c:pt idx="700">
                  <c:v>6.6636000000000001E-2</c:v>
                </c:pt>
                <c:pt idx="701">
                  <c:v>6.5959000000000004E-2</c:v>
                </c:pt>
                <c:pt idx="702">
                  <c:v>6.5397999999999998E-2</c:v>
                </c:pt>
                <c:pt idx="703">
                  <c:v>6.4940999999999999E-2</c:v>
                </c:pt>
                <c:pt idx="704">
                  <c:v>6.4548999999999995E-2</c:v>
                </c:pt>
                <c:pt idx="705">
                  <c:v>6.4480999999999997E-2</c:v>
                </c:pt>
                <c:pt idx="706">
                  <c:v>6.4640000000000003E-2</c:v>
                </c:pt>
                <c:pt idx="707">
                  <c:v>6.5141000000000004E-2</c:v>
                </c:pt>
                <c:pt idx="708">
                  <c:v>6.5713999999999995E-2</c:v>
                </c:pt>
                <c:pt idx="709">
                  <c:v>6.6056000000000004E-2</c:v>
                </c:pt>
                <c:pt idx="710">
                  <c:v>6.6137000000000001E-2</c:v>
                </c:pt>
                <c:pt idx="711">
                  <c:v>6.6026000000000001E-2</c:v>
                </c:pt>
                <c:pt idx="712">
                  <c:v>6.5642000000000006E-2</c:v>
                </c:pt>
                <c:pt idx="713">
                  <c:v>6.5054000000000001E-2</c:v>
                </c:pt>
                <c:pt idx="714">
                  <c:v>6.4084000000000002E-2</c:v>
                </c:pt>
                <c:pt idx="715">
                  <c:v>6.3122999999999999E-2</c:v>
                </c:pt>
                <c:pt idx="716">
                  <c:v>6.2168000000000001E-2</c:v>
                </c:pt>
                <c:pt idx="717">
                  <c:v>6.1152999999999999E-2</c:v>
                </c:pt>
                <c:pt idx="718">
                  <c:v>6.0005000000000003E-2</c:v>
                </c:pt>
                <c:pt idx="719">
                  <c:v>5.8728000000000002E-2</c:v>
                </c:pt>
                <c:pt idx="720">
                  <c:v>5.7339000000000001E-2</c:v>
                </c:pt>
                <c:pt idx="721">
                  <c:v>5.6336999999999998E-2</c:v>
                </c:pt>
                <c:pt idx="722">
                  <c:v>5.552E-2</c:v>
                </c:pt>
                <c:pt idx="723">
                  <c:v>5.5049000000000001E-2</c:v>
                </c:pt>
                <c:pt idx="724">
                  <c:v>5.4413000000000003E-2</c:v>
                </c:pt>
                <c:pt idx="725">
                  <c:v>5.3992999999999999E-2</c:v>
                </c:pt>
                <c:pt idx="726">
                  <c:v>5.3709E-2</c:v>
                </c:pt>
                <c:pt idx="727">
                  <c:v>5.3842000000000001E-2</c:v>
                </c:pt>
                <c:pt idx="728">
                  <c:v>5.4198000000000003E-2</c:v>
                </c:pt>
                <c:pt idx="729">
                  <c:v>5.4767999999999997E-2</c:v>
                </c:pt>
                <c:pt idx="730">
                  <c:v>5.5378999999999998E-2</c:v>
                </c:pt>
                <c:pt idx="731">
                  <c:v>5.6115999999999999E-2</c:v>
                </c:pt>
                <c:pt idx="732">
                  <c:v>5.6797E-2</c:v>
                </c:pt>
                <c:pt idx="733">
                  <c:v>5.7474999999999998E-2</c:v>
                </c:pt>
                <c:pt idx="734">
                  <c:v>5.8481999999999999E-2</c:v>
                </c:pt>
                <c:pt idx="735">
                  <c:v>5.9442000000000002E-2</c:v>
                </c:pt>
                <c:pt idx="736">
                  <c:v>6.0151999999999997E-2</c:v>
                </c:pt>
                <c:pt idx="737">
                  <c:v>6.0595999999999997E-2</c:v>
                </c:pt>
                <c:pt idx="738">
                  <c:v>6.1330000000000003E-2</c:v>
                </c:pt>
                <c:pt idx="739">
                  <c:v>6.2670000000000003E-2</c:v>
                </c:pt>
                <c:pt idx="740">
                  <c:v>6.3779000000000002E-2</c:v>
                </c:pt>
                <c:pt idx="741">
                  <c:v>6.4202999999999996E-2</c:v>
                </c:pt>
                <c:pt idx="742">
                  <c:v>6.3603999999999994E-2</c:v>
                </c:pt>
                <c:pt idx="743">
                  <c:v>6.2727000000000005E-2</c:v>
                </c:pt>
                <c:pt idx="744">
                  <c:v>6.1772000000000001E-2</c:v>
                </c:pt>
                <c:pt idx="745">
                  <c:v>6.114E-2</c:v>
                </c:pt>
                <c:pt idx="746">
                  <c:v>6.0655000000000001E-2</c:v>
                </c:pt>
                <c:pt idx="747">
                  <c:v>6.0040999999999997E-2</c:v>
                </c:pt>
                <c:pt idx="748">
                  <c:v>5.9131000000000003E-2</c:v>
                </c:pt>
                <c:pt idx="749">
                  <c:v>5.8442000000000001E-2</c:v>
                </c:pt>
                <c:pt idx="750">
                  <c:v>5.7723999999999998E-2</c:v>
                </c:pt>
                <c:pt idx="751">
                  <c:v>5.6882000000000002E-2</c:v>
                </c:pt>
                <c:pt idx="752">
                  <c:v>5.5598000000000002E-2</c:v>
                </c:pt>
                <c:pt idx="753">
                  <c:v>5.4163000000000003E-2</c:v>
                </c:pt>
                <c:pt idx="754">
                  <c:v>5.2559000000000002E-2</c:v>
                </c:pt>
                <c:pt idx="755">
                  <c:v>5.1062999999999997E-2</c:v>
                </c:pt>
                <c:pt idx="756">
                  <c:v>4.9993000000000003E-2</c:v>
                </c:pt>
                <c:pt idx="757">
                  <c:v>4.8780999999999998E-2</c:v>
                </c:pt>
                <c:pt idx="758">
                  <c:v>4.7656999999999998E-2</c:v>
                </c:pt>
                <c:pt idx="759">
                  <c:v>4.6539999999999998E-2</c:v>
                </c:pt>
                <c:pt idx="760">
                  <c:v>4.5605E-2</c:v>
                </c:pt>
                <c:pt idx="761">
                  <c:v>4.4266E-2</c:v>
                </c:pt>
                <c:pt idx="762">
                  <c:v>4.2672000000000002E-2</c:v>
                </c:pt>
                <c:pt idx="763">
                  <c:v>4.1167000000000002E-2</c:v>
                </c:pt>
                <c:pt idx="764">
                  <c:v>3.9946000000000002E-2</c:v>
                </c:pt>
                <c:pt idx="765">
                  <c:v>3.8873999999999999E-2</c:v>
                </c:pt>
                <c:pt idx="766">
                  <c:v>3.7970999999999998E-2</c:v>
                </c:pt>
                <c:pt idx="767">
                  <c:v>3.7025000000000002E-2</c:v>
                </c:pt>
                <c:pt idx="768">
                  <c:v>3.6171000000000002E-2</c:v>
                </c:pt>
                <c:pt idx="769">
                  <c:v>3.5265999999999999E-2</c:v>
                </c:pt>
                <c:pt idx="770">
                  <c:v>3.4497E-2</c:v>
                </c:pt>
                <c:pt idx="771">
                  <c:v>3.3723000000000003E-2</c:v>
                </c:pt>
                <c:pt idx="772">
                  <c:v>3.3057999999999997E-2</c:v>
                </c:pt>
                <c:pt idx="773">
                  <c:v>3.2509000000000003E-2</c:v>
                </c:pt>
                <c:pt idx="774">
                  <c:v>3.1916E-2</c:v>
                </c:pt>
                <c:pt idx="775">
                  <c:v>3.1510999999999997E-2</c:v>
                </c:pt>
                <c:pt idx="776">
                  <c:v>3.0942999999999998E-2</c:v>
                </c:pt>
                <c:pt idx="777">
                  <c:v>3.0164E-2</c:v>
                </c:pt>
                <c:pt idx="778">
                  <c:v>2.9371000000000001E-2</c:v>
                </c:pt>
                <c:pt idx="779">
                  <c:v>2.8881E-2</c:v>
                </c:pt>
                <c:pt idx="780">
                  <c:v>2.8797E-2</c:v>
                </c:pt>
                <c:pt idx="781">
                  <c:v>2.8857000000000001E-2</c:v>
                </c:pt>
                <c:pt idx="782">
                  <c:v>2.8812000000000001E-2</c:v>
                </c:pt>
                <c:pt idx="783">
                  <c:v>2.8677999999999999E-2</c:v>
                </c:pt>
                <c:pt idx="784">
                  <c:v>2.8539999999999999E-2</c:v>
                </c:pt>
                <c:pt idx="785">
                  <c:v>2.8469999999999999E-2</c:v>
                </c:pt>
                <c:pt idx="786">
                  <c:v>2.8740000000000002E-2</c:v>
                </c:pt>
                <c:pt idx="787">
                  <c:v>2.8677000000000001E-2</c:v>
                </c:pt>
                <c:pt idx="788">
                  <c:v>2.8455999999999999E-2</c:v>
                </c:pt>
                <c:pt idx="789">
                  <c:v>2.8048E-2</c:v>
                </c:pt>
                <c:pt idx="790">
                  <c:v>2.7494000000000001E-2</c:v>
                </c:pt>
                <c:pt idx="791">
                  <c:v>2.7116999999999999E-2</c:v>
                </c:pt>
                <c:pt idx="792">
                  <c:v>2.6936000000000002E-2</c:v>
                </c:pt>
                <c:pt idx="793">
                  <c:v>2.6991000000000001E-2</c:v>
                </c:pt>
                <c:pt idx="794">
                  <c:v>2.6801999999999999E-2</c:v>
                </c:pt>
                <c:pt idx="795">
                  <c:v>2.6473E-2</c:v>
                </c:pt>
                <c:pt idx="796">
                  <c:v>2.6265E-2</c:v>
                </c:pt>
                <c:pt idx="797">
                  <c:v>2.6463E-2</c:v>
                </c:pt>
                <c:pt idx="798">
                  <c:v>2.6699000000000001E-2</c:v>
                </c:pt>
                <c:pt idx="799">
                  <c:v>2.6655999999999999E-2</c:v>
                </c:pt>
                <c:pt idx="800">
                  <c:v>2.6449E-2</c:v>
                </c:pt>
                <c:pt idx="801">
                  <c:v>2.6249999999999999E-2</c:v>
                </c:pt>
                <c:pt idx="802">
                  <c:v>2.6159999999999999E-2</c:v>
                </c:pt>
                <c:pt idx="803">
                  <c:v>2.5815999999999999E-2</c:v>
                </c:pt>
                <c:pt idx="804">
                  <c:v>2.5326999999999999E-2</c:v>
                </c:pt>
                <c:pt idx="805">
                  <c:v>2.5309000000000002E-2</c:v>
                </c:pt>
                <c:pt idx="806">
                  <c:v>2.5736999999999999E-2</c:v>
                </c:pt>
                <c:pt idx="807">
                  <c:v>2.6141999999999999E-2</c:v>
                </c:pt>
                <c:pt idx="808">
                  <c:v>2.5957000000000001E-2</c:v>
                </c:pt>
                <c:pt idx="809">
                  <c:v>2.5815000000000001E-2</c:v>
                </c:pt>
                <c:pt idx="810">
                  <c:v>2.5599E-2</c:v>
                </c:pt>
                <c:pt idx="811">
                  <c:v>2.5416000000000001E-2</c:v>
                </c:pt>
                <c:pt idx="812">
                  <c:v>2.5166000000000001E-2</c:v>
                </c:pt>
                <c:pt idx="813">
                  <c:v>2.5079000000000001E-2</c:v>
                </c:pt>
                <c:pt idx="814">
                  <c:v>2.5149999999999999E-2</c:v>
                </c:pt>
                <c:pt idx="815">
                  <c:v>2.513E-2</c:v>
                </c:pt>
                <c:pt idx="816">
                  <c:v>2.4989999999999998E-2</c:v>
                </c:pt>
                <c:pt idx="817">
                  <c:v>2.4648E-2</c:v>
                </c:pt>
                <c:pt idx="818">
                  <c:v>2.4544E-2</c:v>
                </c:pt>
                <c:pt idx="819">
                  <c:v>2.4368999999999998E-2</c:v>
                </c:pt>
                <c:pt idx="820">
                  <c:v>2.4684999999999999E-2</c:v>
                </c:pt>
                <c:pt idx="821">
                  <c:v>2.4736000000000001E-2</c:v>
                </c:pt>
                <c:pt idx="822">
                  <c:v>2.4726000000000001E-2</c:v>
                </c:pt>
                <c:pt idx="823">
                  <c:v>2.4327999999999999E-2</c:v>
                </c:pt>
                <c:pt idx="824">
                  <c:v>2.4239E-2</c:v>
                </c:pt>
                <c:pt idx="825">
                  <c:v>2.3972E-2</c:v>
                </c:pt>
                <c:pt idx="826">
                  <c:v>2.3982E-2</c:v>
                </c:pt>
                <c:pt idx="827">
                  <c:v>2.4133000000000002E-2</c:v>
                </c:pt>
                <c:pt idx="828">
                  <c:v>2.4358000000000001E-2</c:v>
                </c:pt>
                <c:pt idx="829">
                  <c:v>2.4268000000000001E-2</c:v>
                </c:pt>
                <c:pt idx="830">
                  <c:v>2.3643000000000001E-2</c:v>
                </c:pt>
                <c:pt idx="831">
                  <c:v>2.3536000000000001E-2</c:v>
                </c:pt>
                <c:pt idx="832">
                  <c:v>2.3519999999999999E-2</c:v>
                </c:pt>
                <c:pt idx="833">
                  <c:v>2.368E-2</c:v>
                </c:pt>
                <c:pt idx="834">
                  <c:v>2.3602000000000001E-2</c:v>
                </c:pt>
                <c:pt idx="835">
                  <c:v>2.3546000000000001E-2</c:v>
                </c:pt>
                <c:pt idx="836">
                  <c:v>2.3501999999999999E-2</c:v>
                </c:pt>
                <c:pt idx="837">
                  <c:v>2.3203999999999999E-2</c:v>
                </c:pt>
                <c:pt idx="838">
                  <c:v>2.3168000000000001E-2</c:v>
                </c:pt>
                <c:pt idx="839">
                  <c:v>2.3092999999999999E-2</c:v>
                </c:pt>
                <c:pt idx="840">
                  <c:v>2.2872E-2</c:v>
                </c:pt>
                <c:pt idx="841">
                  <c:v>2.2478000000000001E-2</c:v>
                </c:pt>
                <c:pt idx="842">
                  <c:v>2.2579999999999999E-2</c:v>
                </c:pt>
                <c:pt idx="843">
                  <c:v>2.3098E-2</c:v>
                </c:pt>
                <c:pt idx="844">
                  <c:v>2.3258000000000001E-2</c:v>
                </c:pt>
                <c:pt idx="845">
                  <c:v>2.3161000000000001E-2</c:v>
                </c:pt>
                <c:pt idx="846">
                  <c:v>2.2758E-2</c:v>
                </c:pt>
                <c:pt idx="847">
                  <c:v>2.2463E-2</c:v>
                </c:pt>
                <c:pt idx="848">
                  <c:v>2.2422000000000001E-2</c:v>
                </c:pt>
                <c:pt idx="849">
                  <c:v>2.2879E-2</c:v>
                </c:pt>
                <c:pt idx="850">
                  <c:v>2.3073E-2</c:v>
                </c:pt>
                <c:pt idx="851">
                  <c:v>2.2872E-2</c:v>
                </c:pt>
                <c:pt idx="852">
                  <c:v>2.2561000000000001E-2</c:v>
                </c:pt>
                <c:pt idx="853">
                  <c:v>2.2255E-2</c:v>
                </c:pt>
                <c:pt idx="854">
                  <c:v>2.2017999999999999E-2</c:v>
                </c:pt>
                <c:pt idx="855">
                  <c:v>2.206E-2</c:v>
                </c:pt>
                <c:pt idx="856">
                  <c:v>2.2190000000000001E-2</c:v>
                </c:pt>
                <c:pt idx="857">
                  <c:v>2.2107000000000002E-2</c:v>
                </c:pt>
                <c:pt idx="858">
                  <c:v>2.2478000000000001E-2</c:v>
                </c:pt>
                <c:pt idx="859">
                  <c:v>2.2925000000000001E-2</c:v>
                </c:pt>
                <c:pt idx="860">
                  <c:v>2.2897000000000001E-2</c:v>
                </c:pt>
                <c:pt idx="861">
                  <c:v>2.1488E-2</c:v>
                </c:pt>
                <c:pt idx="862">
                  <c:v>2.0872000000000002E-2</c:v>
                </c:pt>
                <c:pt idx="863">
                  <c:v>2.1538000000000002E-2</c:v>
                </c:pt>
                <c:pt idx="864">
                  <c:v>2.2879E-2</c:v>
                </c:pt>
                <c:pt idx="865">
                  <c:v>2.2973E-2</c:v>
                </c:pt>
                <c:pt idx="866">
                  <c:v>2.2527999999999999E-2</c:v>
                </c:pt>
                <c:pt idx="867">
                  <c:v>2.2157E-2</c:v>
                </c:pt>
                <c:pt idx="868">
                  <c:v>2.2128999999999999E-2</c:v>
                </c:pt>
                <c:pt idx="869">
                  <c:v>2.2242999999999999E-2</c:v>
                </c:pt>
                <c:pt idx="870">
                  <c:v>2.2589000000000001E-2</c:v>
                </c:pt>
                <c:pt idx="871">
                  <c:v>2.2554999999999999E-2</c:v>
                </c:pt>
                <c:pt idx="872">
                  <c:v>2.2610999999999999E-2</c:v>
                </c:pt>
                <c:pt idx="873">
                  <c:v>2.2630000000000001E-2</c:v>
                </c:pt>
                <c:pt idx="874">
                  <c:v>2.2727000000000001E-2</c:v>
                </c:pt>
                <c:pt idx="875">
                  <c:v>2.2592000000000001E-2</c:v>
                </c:pt>
                <c:pt idx="876">
                  <c:v>2.2773000000000002E-2</c:v>
                </c:pt>
                <c:pt idx="877">
                  <c:v>2.2766000000000002E-2</c:v>
                </c:pt>
                <c:pt idx="878">
                  <c:v>2.2797999999999999E-2</c:v>
                </c:pt>
                <c:pt idx="879">
                  <c:v>2.2662000000000002E-2</c:v>
                </c:pt>
                <c:pt idx="880">
                  <c:v>2.2946999999999999E-2</c:v>
                </c:pt>
                <c:pt idx="881">
                  <c:v>2.3137000000000001E-2</c:v>
                </c:pt>
                <c:pt idx="882">
                  <c:v>2.3053000000000001E-2</c:v>
                </c:pt>
                <c:pt idx="883">
                  <c:v>2.2128999999999999E-2</c:v>
                </c:pt>
                <c:pt idx="884">
                  <c:v>2.1167999999999999E-2</c:v>
                </c:pt>
                <c:pt idx="885">
                  <c:v>2.1207E-2</c:v>
                </c:pt>
                <c:pt idx="886">
                  <c:v>2.1760999999999999E-2</c:v>
                </c:pt>
                <c:pt idx="887">
                  <c:v>2.2436000000000001E-2</c:v>
                </c:pt>
                <c:pt idx="888">
                  <c:v>2.2346999999999999E-2</c:v>
                </c:pt>
                <c:pt idx="889">
                  <c:v>2.2513999999999999E-2</c:v>
                </c:pt>
                <c:pt idx="890">
                  <c:v>2.2585000000000001E-2</c:v>
                </c:pt>
                <c:pt idx="891">
                  <c:v>2.2866999999999998E-2</c:v>
                </c:pt>
                <c:pt idx="892">
                  <c:v>2.3151999999999999E-2</c:v>
                </c:pt>
                <c:pt idx="893">
                  <c:v>2.3251000000000001E-2</c:v>
                </c:pt>
                <c:pt idx="894">
                  <c:v>2.3494000000000001E-2</c:v>
                </c:pt>
                <c:pt idx="895">
                  <c:v>2.3265000000000001E-2</c:v>
                </c:pt>
                <c:pt idx="896">
                  <c:v>2.2712E-2</c:v>
                </c:pt>
                <c:pt idx="897">
                  <c:v>2.2450999999999999E-2</c:v>
                </c:pt>
                <c:pt idx="898">
                  <c:v>2.2776999999999999E-2</c:v>
                </c:pt>
                <c:pt idx="899">
                  <c:v>2.3675999999999999E-2</c:v>
                </c:pt>
                <c:pt idx="900">
                  <c:v>2.4597999999999998E-2</c:v>
                </c:pt>
              </c:numCache>
            </c:numRef>
          </c:val>
          <c:smooth val="0"/>
          <c:extLst>
            <c:ext xmlns:c16="http://schemas.microsoft.com/office/drawing/2014/chart" uri="{C3380CC4-5D6E-409C-BE32-E72D297353CC}">
              <c16:uniqueId val="{00000000-F9AB-0548-B976-71C22E39B9EE}"/>
            </c:ext>
          </c:extLst>
        </c:ser>
        <c:dLbls>
          <c:showLegendKey val="0"/>
          <c:showVal val="0"/>
          <c:showCatName val="0"/>
          <c:showSerName val="0"/>
          <c:showPercent val="0"/>
          <c:showBubbleSize val="0"/>
        </c:dLbls>
        <c:smooth val="0"/>
        <c:axId val="1101955759"/>
        <c:axId val="1182404623"/>
      </c:lineChart>
      <c:catAx>
        <c:axId val="1101955759"/>
        <c:scaling>
          <c:orientation val="minMax"/>
        </c:scaling>
        <c:delete val="0"/>
        <c:axPos val="b"/>
        <c:numFmt formatCode="General" sourceLinked="1"/>
        <c:majorTickMark val="none"/>
        <c:minorTickMark val="none"/>
        <c:tickLblPos val="nextTo"/>
        <c:spPr>
          <a:noFill/>
          <a:ln w="9525" cap="flat" cmpd="sng" algn="ctr">
            <a:solidFill>
              <a:schemeClr val="tx1"/>
            </a:solidFill>
            <a:round/>
          </a:ln>
          <a:effectLst/>
        </c:spPr>
        <c:txPr>
          <a:bodyPr rot="-60000000" spcFirstLastPara="1" vertOverflow="ellipsis" vert="horz" wrap="square" anchor="ctr" anchorCtr="1"/>
          <a:lstStyle/>
          <a:p>
            <a:pPr>
              <a:defRPr sz="900" b="1" i="0" u="none" strike="noStrike" kern="1200" baseline="0">
                <a:solidFill>
                  <a:schemeClr val="tx1"/>
                </a:solidFill>
                <a:latin typeface="Arial" panose="020B0604020202020204" pitchFamily="34" charset="0"/>
                <a:ea typeface="+mn-ea"/>
                <a:cs typeface="Arial" panose="020B0604020202020204" pitchFamily="34" charset="0"/>
              </a:defRPr>
            </a:pPr>
            <a:endParaRPr lang="en-US"/>
          </a:p>
        </c:txPr>
        <c:crossAx val="1182404623"/>
        <c:crosses val="autoZero"/>
        <c:auto val="0"/>
        <c:lblAlgn val="ctr"/>
        <c:lblOffset val="100"/>
        <c:tickLblSkip val="100"/>
        <c:tickMarkSkip val="1"/>
        <c:noMultiLvlLbl val="0"/>
      </c:catAx>
      <c:valAx>
        <c:axId val="1182404623"/>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000" b="1" i="0" u="none" strike="noStrike" kern="1200" baseline="0">
                    <a:solidFill>
                      <a:schemeClr val="tx1"/>
                    </a:solidFill>
                    <a:latin typeface="Arial" panose="020B0604020202020204" pitchFamily="34" charset="0"/>
                    <a:ea typeface="+mn-ea"/>
                    <a:cs typeface="Arial" panose="020B0604020202020204" pitchFamily="34" charset="0"/>
                  </a:defRPr>
                </a:pPr>
                <a:r>
                  <a:rPr lang="en-US" b="1"/>
                  <a:t>Intensity (µmols</a:t>
                </a:r>
                <a:r>
                  <a:rPr lang="en-US" b="1" baseline="0"/>
                  <a:t> </a:t>
                </a:r>
                <a:r>
                  <a:rPr lang="en-US" b="1" baseline="30000"/>
                  <a:t>.</a:t>
                </a:r>
                <a:r>
                  <a:rPr lang="en-US" b="1" baseline="0"/>
                  <a:t> </a:t>
                </a:r>
                <a:r>
                  <a:rPr lang="en-US" b="1"/>
                  <a:t>m-</a:t>
                </a:r>
                <a:r>
                  <a:rPr lang="en-US" b="1" baseline="30000"/>
                  <a:t>2</a:t>
                </a:r>
                <a:r>
                  <a:rPr lang="en-US" sz="1000" b="1" i="0" u="none" strike="noStrike" baseline="30000">
                    <a:effectLst/>
                  </a:rPr>
                  <a:t> .</a:t>
                </a:r>
                <a:r>
                  <a:rPr lang="en-US" sz="1000" b="1" i="0" u="none" strike="noStrike" baseline="0">
                    <a:effectLst/>
                  </a:rPr>
                  <a:t> </a:t>
                </a:r>
                <a:r>
                  <a:rPr lang="en-US" b="1"/>
                  <a:t>sec</a:t>
                </a:r>
                <a:r>
                  <a:rPr lang="en-US" b="1" baseline="30000"/>
                  <a:t>-1</a:t>
                </a:r>
                <a:r>
                  <a:rPr lang="en-US" b="1"/>
                  <a:t>)</a:t>
                </a:r>
              </a:p>
            </c:rich>
          </c:tx>
          <c:overlay val="0"/>
          <c:spPr>
            <a:noFill/>
            <a:ln>
              <a:noFill/>
            </a:ln>
            <a:effectLst/>
          </c:spPr>
          <c:txPr>
            <a:bodyPr rot="-5400000" spcFirstLastPara="1" vertOverflow="ellipsis" vert="horz" wrap="square" anchor="ctr" anchorCtr="1"/>
            <a:lstStyle/>
            <a:p>
              <a:pPr>
                <a:defRPr sz="1000" b="1" i="0" u="none" strike="noStrike" kern="1200" baseline="0">
                  <a:solidFill>
                    <a:schemeClr val="tx1"/>
                  </a:solidFill>
                  <a:latin typeface="Arial" panose="020B0604020202020204" pitchFamily="34" charset="0"/>
                  <a:ea typeface="+mn-ea"/>
                  <a:cs typeface="Arial" panose="020B0604020202020204" pitchFamily="34" charset="0"/>
                </a:defRPr>
              </a:pPr>
              <a:endParaRPr lang="en-US"/>
            </a:p>
          </c:txPr>
        </c:title>
        <c:numFmt formatCode="General" sourceLinked="0"/>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solidFill>
                <a:latin typeface="Arial" panose="020B0604020202020204" pitchFamily="34" charset="0"/>
                <a:ea typeface="+mn-ea"/>
                <a:cs typeface="Arial" panose="020B0604020202020204" pitchFamily="34" charset="0"/>
              </a:defRPr>
            </a:pPr>
            <a:endParaRPr lang="en-US"/>
          </a:p>
        </c:txPr>
        <c:crossAx val="1101955759"/>
        <c:crosses val="autoZero"/>
        <c:crossBetween val="between"/>
      </c:valAx>
      <c:spPr>
        <a:noFill/>
        <a:ln>
          <a:noFill/>
        </a:ln>
        <a:effectLst/>
      </c:spPr>
    </c:plotArea>
    <c:legend>
      <c:legendPos val="b"/>
      <c:legendEntry>
        <c:idx val="0"/>
        <c:txPr>
          <a:bodyPr rot="0" spcFirstLastPara="1" vertOverflow="ellipsis" vert="horz" wrap="square" anchor="ctr" anchorCtr="1"/>
          <a:lstStyle/>
          <a:p>
            <a:pPr>
              <a:defRPr sz="1000" b="0" i="0" u="none" strike="noStrike" kern="1200" baseline="0">
                <a:solidFill>
                  <a:schemeClr val="tx1"/>
                </a:solidFill>
                <a:latin typeface="Arial" panose="020B0604020202020204" pitchFamily="34" charset="0"/>
                <a:ea typeface="+mn-ea"/>
                <a:cs typeface="Arial" panose="020B0604020202020204" pitchFamily="34" charset="0"/>
              </a:defRPr>
            </a:pPr>
            <a:endParaRPr lang="en-US"/>
          </a:p>
        </c:txPr>
      </c:legendEntry>
      <c:layout>
        <c:manualLayout>
          <c:xMode val="edge"/>
          <c:yMode val="edge"/>
          <c:x val="0.87453569051811697"/>
          <c:y val="0.93467753652827823"/>
          <c:w val="0.1142685511356705"/>
          <c:h val="5.2917439436987727E-2"/>
        </c:manualLayout>
      </c:layout>
      <c:overlay val="0"/>
      <c:spPr>
        <a:noFill/>
        <a:ln>
          <a:solidFill>
            <a:schemeClr val="tx1"/>
          </a:solidFill>
        </a:ln>
        <a:effectLst/>
      </c:spPr>
      <c:txPr>
        <a:bodyPr rot="0" spcFirstLastPara="1" vertOverflow="ellipsis" vert="horz" wrap="square" anchor="ctr" anchorCtr="1"/>
        <a:lstStyle/>
        <a:p>
          <a:pPr>
            <a:defRPr sz="1000" b="0" i="0" u="none" strike="noStrike" kern="1200" baseline="0">
              <a:solidFill>
                <a:schemeClr val="tx1"/>
              </a:solidFill>
              <a:latin typeface="Arial" panose="020B0604020202020204" pitchFamily="34" charset="0"/>
              <a:ea typeface="+mn-ea"/>
              <a:cs typeface="Arial" panose="020B0604020202020204" pitchFamily="34" charset="0"/>
            </a:defRPr>
          </a:pPr>
          <a:endParaRPr lang="en-US"/>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solidFill>
      <a:round/>
    </a:ln>
    <a:effectLst/>
  </c:spPr>
  <c:txPr>
    <a:bodyPr/>
    <a:lstStyle/>
    <a:p>
      <a:pPr>
        <a:defRPr>
          <a:solidFill>
            <a:schemeClr val="tx1"/>
          </a:solidFill>
          <a:latin typeface="Arial" panose="020B0604020202020204" pitchFamily="34" charset="0"/>
          <a:cs typeface="Arial" panose="020B0604020202020204" pitchFamily="34" charset="0"/>
        </a:defRPr>
      </a:pPr>
      <a:endParaRPr lang="en-US"/>
    </a:p>
  </c:txPr>
  <c:externalData r:id="rId3">
    <c:autoUpdate val="0"/>
  </c:externalData>
  <c:userShapes r:id="rId4"/>
</c:chartSpace>
</file>

<file path=word/charts/chart16.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lineChart>
        <c:grouping val="standard"/>
        <c:varyColors val="0"/>
        <c:ser>
          <c:idx val="1"/>
          <c:order val="0"/>
          <c:tx>
            <c:strRef>
              <c:f>'T2 (9)'!$B$2</c:f>
              <c:strCache>
                <c:ptCount val="1"/>
                <c:pt idx="0">
                  <c:v>W/W/W</c:v>
                </c:pt>
              </c:strCache>
            </c:strRef>
          </c:tx>
          <c:spPr>
            <a:ln w="28575" cap="rnd">
              <a:solidFill>
                <a:schemeClr val="tx1"/>
              </a:solidFill>
              <a:round/>
            </a:ln>
            <a:effectLst/>
          </c:spPr>
          <c:marker>
            <c:symbol val="none"/>
          </c:marker>
          <c:cat>
            <c:numRef>
              <c:f>'T2 (9)'!$A$113:$A$1013</c:f>
              <c:numCache>
                <c:formatCode>General</c:formatCode>
                <c:ptCount val="901"/>
                <c:pt idx="0">
                  <c:v>300</c:v>
                </c:pt>
                <c:pt idx="1">
                  <c:v>300.5</c:v>
                </c:pt>
                <c:pt idx="2">
                  <c:v>301</c:v>
                </c:pt>
                <c:pt idx="3">
                  <c:v>301.5</c:v>
                </c:pt>
                <c:pt idx="4">
                  <c:v>302</c:v>
                </c:pt>
                <c:pt idx="5">
                  <c:v>302.5</c:v>
                </c:pt>
                <c:pt idx="6">
                  <c:v>303</c:v>
                </c:pt>
                <c:pt idx="7">
                  <c:v>303.5</c:v>
                </c:pt>
                <c:pt idx="8">
                  <c:v>304</c:v>
                </c:pt>
                <c:pt idx="9">
                  <c:v>304.5</c:v>
                </c:pt>
                <c:pt idx="10">
                  <c:v>305</c:v>
                </c:pt>
                <c:pt idx="11">
                  <c:v>305.5</c:v>
                </c:pt>
                <c:pt idx="12">
                  <c:v>306</c:v>
                </c:pt>
                <c:pt idx="13">
                  <c:v>306.5</c:v>
                </c:pt>
                <c:pt idx="14">
                  <c:v>307</c:v>
                </c:pt>
                <c:pt idx="15">
                  <c:v>307.5</c:v>
                </c:pt>
                <c:pt idx="16">
                  <c:v>308</c:v>
                </c:pt>
                <c:pt idx="17">
                  <c:v>308.5</c:v>
                </c:pt>
                <c:pt idx="18">
                  <c:v>309</c:v>
                </c:pt>
                <c:pt idx="19">
                  <c:v>309.5</c:v>
                </c:pt>
                <c:pt idx="20">
                  <c:v>310</c:v>
                </c:pt>
                <c:pt idx="21">
                  <c:v>310.5</c:v>
                </c:pt>
                <c:pt idx="22">
                  <c:v>311</c:v>
                </c:pt>
                <c:pt idx="23">
                  <c:v>311.5</c:v>
                </c:pt>
                <c:pt idx="24">
                  <c:v>312</c:v>
                </c:pt>
                <c:pt idx="25">
                  <c:v>312.5</c:v>
                </c:pt>
                <c:pt idx="26">
                  <c:v>313</c:v>
                </c:pt>
                <c:pt idx="27">
                  <c:v>313.5</c:v>
                </c:pt>
                <c:pt idx="28">
                  <c:v>314</c:v>
                </c:pt>
                <c:pt idx="29">
                  <c:v>314.5</c:v>
                </c:pt>
                <c:pt idx="30">
                  <c:v>315</c:v>
                </c:pt>
                <c:pt idx="31">
                  <c:v>315.5</c:v>
                </c:pt>
                <c:pt idx="32">
                  <c:v>316</c:v>
                </c:pt>
                <c:pt idx="33">
                  <c:v>316.5</c:v>
                </c:pt>
                <c:pt idx="34">
                  <c:v>317</c:v>
                </c:pt>
                <c:pt idx="35">
                  <c:v>317.5</c:v>
                </c:pt>
                <c:pt idx="36">
                  <c:v>318</c:v>
                </c:pt>
                <c:pt idx="37">
                  <c:v>318.5</c:v>
                </c:pt>
                <c:pt idx="38">
                  <c:v>319</c:v>
                </c:pt>
                <c:pt idx="39">
                  <c:v>319.5</c:v>
                </c:pt>
                <c:pt idx="40">
                  <c:v>320</c:v>
                </c:pt>
                <c:pt idx="41">
                  <c:v>320.5</c:v>
                </c:pt>
                <c:pt idx="42">
                  <c:v>321</c:v>
                </c:pt>
                <c:pt idx="43">
                  <c:v>321.5</c:v>
                </c:pt>
                <c:pt idx="44">
                  <c:v>322</c:v>
                </c:pt>
                <c:pt idx="45">
                  <c:v>322.5</c:v>
                </c:pt>
                <c:pt idx="46">
                  <c:v>323</c:v>
                </c:pt>
                <c:pt idx="47">
                  <c:v>323.5</c:v>
                </c:pt>
                <c:pt idx="48">
                  <c:v>324</c:v>
                </c:pt>
                <c:pt idx="49">
                  <c:v>324.5</c:v>
                </c:pt>
                <c:pt idx="50">
                  <c:v>325</c:v>
                </c:pt>
                <c:pt idx="51">
                  <c:v>325.5</c:v>
                </c:pt>
                <c:pt idx="52">
                  <c:v>326</c:v>
                </c:pt>
                <c:pt idx="53">
                  <c:v>326.5</c:v>
                </c:pt>
                <c:pt idx="54">
                  <c:v>327</c:v>
                </c:pt>
                <c:pt idx="55">
                  <c:v>327.5</c:v>
                </c:pt>
                <c:pt idx="56">
                  <c:v>328</c:v>
                </c:pt>
                <c:pt idx="57">
                  <c:v>328.5</c:v>
                </c:pt>
                <c:pt idx="58">
                  <c:v>329</c:v>
                </c:pt>
                <c:pt idx="59">
                  <c:v>329.5</c:v>
                </c:pt>
                <c:pt idx="60">
                  <c:v>330</c:v>
                </c:pt>
                <c:pt idx="61">
                  <c:v>330.5</c:v>
                </c:pt>
                <c:pt idx="62">
                  <c:v>331</c:v>
                </c:pt>
                <c:pt idx="63">
                  <c:v>331.5</c:v>
                </c:pt>
                <c:pt idx="64">
                  <c:v>332</c:v>
                </c:pt>
                <c:pt idx="65">
                  <c:v>332.5</c:v>
                </c:pt>
                <c:pt idx="66">
                  <c:v>333</c:v>
                </c:pt>
                <c:pt idx="67">
                  <c:v>333.5</c:v>
                </c:pt>
                <c:pt idx="68">
                  <c:v>334</c:v>
                </c:pt>
                <c:pt idx="69">
                  <c:v>334.5</c:v>
                </c:pt>
                <c:pt idx="70">
                  <c:v>335</c:v>
                </c:pt>
                <c:pt idx="71">
                  <c:v>335.5</c:v>
                </c:pt>
                <c:pt idx="72">
                  <c:v>336</c:v>
                </c:pt>
                <c:pt idx="73">
                  <c:v>336.5</c:v>
                </c:pt>
                <c:pt idx="74">
                  <c:v>337</c:v>
                </c:pt>
                <c:pt idx="75">
                  <c:v>337.5</c:v>
                </c:pt>
                <c:pt idx="76">
                  <c:v>338</c:v>
                </c:pt>
                <c:pt idx="77">
                  <c:v>338.5</c:v>
                </c:pt>
                <c:pt idx="78">
                  <c:v>339</c:v>
                </c:pt>
                <c:pt idx="79">
                  <c:v>339.5</c:v>
                </c:pt>
                <c:pt idx="80">
                  <c:v>340</c:v>
                </c:pt>
                <c:pt idx="81">
                  <c:v>340.5</c:v>
                </c:pt>
                <c:pt idx="82">
                  <c:v>341</c:v>
                </c:pt>
                <c:pt idx="83">
                  <c:v>341.5</c:v>
                </c:pt>
                <c:pt idx="84">
                  <c:v>342</c:v>
                </c:pt>
                <c:pt idx="85">
                  <c:v>342.5</c:v>
                </c:pt>
                <c:pt idx="86">
                  <c:v>343</c:v>
                </c:pt>
                <c:pt idx="87">
                  <c:v>343.5</c:v>
                </c:pt>
                <c:pt idx="88">
                  <c:v>344</c:v>
                </c:pt>
                <c:pt idx="89">
                  <c:v>344.5</c:v>
                </c:pt>
                <c:pt idx="90">
                  <c:v>345</c:v>
                </c:pt>
                <c:pt idx="91">
                  <c:v>345.5</c:v>
                </c:pt>
                <c:pt idx="92">
                  <c:v>346</c:v>
                </c:pt>
                <c:pt idx="93">
                  <c:v>346.5</c:v>
                </c:pt>
                <c:pt idx="94">
                  <c:v>347</c:v>
                </c:pt>
                <c:pt idx="95">
                  <c:v>347.5</c:v>
                </c:pt>
                <c:pt idx="96">
                  <c:v>348</c:v>
                </c:pt>
                <c:pt idx="97">
                  <c:v>348.5</c:v>
                </c:pt>
                <c:pt idx="98">
                  <c:v>349</c:v>
                </c:pt>
                <c:pt idx="99">
                  <c:v>349.5</c:v>
                </c:pt>
                <c:pt idx="100">
                  <c:v>350</c:v>
                </c:pt>
                <c:pt idx="101">
                  <c:v>350.5</c:v>
                </c:pt>
                <c:pt idx="102">
                  <c:v>351</c:v>
                </c:pt>
                <c:pt idx="103">
                  <c:v>351.5</c:v>
                </c:pt>
                <c:pt idx="104">
                  <c:v>352</c:v>
                </c:pt>
                <c:pt idx="105">
                  <c:v>352.5</c:v>
                </c:pt>
                <c:pt idx="106">
                  <c:v>353</c:v>
                </c:pt>
                <c:pt idx="107">
                  <c:v>353.5</c:v>
                </c:pt>
                <c:pt idx="108">
                  <c:v>354</c:v>
                </c:pt>
                <c:pt idx="109">
                  <c:v>354.5</c:v>
                </c:pt>
                <c:pt idx="110">
                  <c:v>355</c:v>
                </c:pt>
                <c:pt idx="111">
                  <c:v>355.5</c:v>
                </c:pt>
                <c:pt idx="112">
                  <c:v>356</c:v>
                </c:pt>
                <c:pt idx="113">
                  <c:v>356.5</c:v>
                </c:pt>
                <c:pt idx="114">
                  <c:v>357</c:v>
                </c:pt>
                <c:pt idx="115">
                  <c:v>357.5</c:v>
                </c:pt>
                <c:pt idx="116">
                  <c:v>358</c:v>
                </c:pt>
                <c:pt idx="117">
                  <c:v>358.5</c:v>
                </c:pt>
                <c:pt idx="118">
                  <c:v>359</c:v>
                </c:pt>
                <c:pt idx="119">
                  <c:v>359.5</c:v>
                </c:pt>
                <c:pt idx="120">
                  <c:v>360</c:v>
                </c:pt>
                <c:pt idx="121">
                  <c:v>360.5</c:v>
                </c:pt>
                <c:pt idx="122">
                  <c:v>361</c:v>
                </c:pt>
                <c:pt idx="123">
                  <c:v>361.5</c:v>
                </c:pt>
                <c:pt idx="124">
                  <c:v>362</c:v>
                </c:pt>
                <c:pt idx="125">
                  <c:v>362.5</c:v>
                </c:pt>
                <c:pt idx="126">
                  <c:v>363</c:v>
                </c:pt>
                <c:pt idx="127">
                  <c:v>363.5</c:v>
                </c:pt>
                <c:pt idx="128">
                  <c:v>364</c:v>
                </c:pt>
                <c:pt idx="129">
                  <c:v>364.5</c:v>
                </c:pt>
                <c:pt idx="130">
                  <c:v>365</c:v>
                </c:pt>
                <c:pt idx="131">
                  <c:v>365.5</c:v>
                </c:pt>
                <c:pt idx="132">
                  <c:v>366</c:v>
                </c:pt>
                <c:pt idx="133">
                  <c:v>366.5</c:v>
                </c:pt>
                <c:pt idx="134">
                  <c:v>367</c:v>
                </c:pt>
                <c:pt idx="135">
                  <c:v>367.5</c:v>
                </c:pt>
                <c:pt idx="136">
                  <c:v>368</c:v>
                </c:pt>
                <c:pt idx="137">
                  <c:v>368.5</c:v>
                </c:pt>
                <c:pt idx="138">
                  <c:v>369</c:v>
                </c:pt>
                <c:pt idx="139">
                  <c:v>369.5</c:v>
                </c:pt>
                <c:pt idx="140">
                  <c:v>370</c:v>
                </c:pt>
                <c:pt idx="141">
                  <c:v>370.5</c:v>
                </c:pt>
                <c:pt idx="142">
                  <c:v>371</c:v>
                </c:pt>
                <c:pt idx="143">
                  <c:v>371.5</c:v>
                </c:pt>
                <c:pt idx="144">
                  <c:v>372</c:v>
                </c:pt>
                <c:pt idx="145">
                  <c:v>372.5</c:v>
                </c:pt>
                <c:pt idx="146">
                  <c:v>373</c:v>
                </c:pt>
                <c:pt idx="147">
                  <c:v>373.5</c:v>
                </c:pt>
                <c:pt idx="148">
                  <c:v>374</c:v>
                </c:pt>
                <c:pt idx="149">
                  <c:v>374.5</c:v>
                </c:pt>
                <c:pt idx="150">
                  <c:v>375</c:v>
                </c:pt>
                <c:pt idx="151">
                  <c:v>375.5</c:v>
                </c:pt>
                <c:pt idx="152">
                  <c:v>376</c:v>
                </c:pt>
                <c:pt idx="153">
                  <c:v>376.5</c:v>
                </c:pt>
                <c:pt idx="154">
                  <c:v>377</c:v>
                </c:pt>
                <c:pt idx="155">
                  <c:v>377.5</c:v>
                </c:pt>
                <c:pt idx="156">
                  <c:v>378</c:v>
                </c:pt>
                <c:pt idx="157">
                  <c:v>378.5</c:v>
                </c:pt>
                <c:pt idx="158">
                  <c:v>379</c:v>
                </c:pt>
                <c:pt idx="159">
                  <c:v>379.5</c:v>
                </c:pt>
                <c:pt idx="160">
                  <c:v>380</c:v>
                </c:pt>
                <c:pt idx="161">
                  <c:v>380.5</c:v>
                </c:pt>
                <c:pt idx="162">
                  <c:v>381</c:v>
                </c:pt>
                <c:pt idx="163">
                  <c:v>381.5</c:v>
                </c:pt>
                <c:pt idx="164">
                  <c:v>382</c:v>
                </c:pt>
                <c:pt idx="165">
                  <c:v>382.5</c:v>
                </c:pt>
                <c:pt idx="166">
                  <c:v>383</c:v>
                </c:pt>
                <c:pt idx="167">
                  <c:v>383.5</c:v>
                </c:pt>
                <c:pt idx="168">
                  <c:v>384</c:v>
                </c:pt>
                <c:pt idx="169">
                  <c:v>384.5</c:v>
                </c:pt>
                <c:pt idx="170">
                  <c:v>385</c:v>
                </c:pt>
                <c:pt idx="171">
                  <c:v>385.5</c:v>
                </c:pt>
                <c:pt idx="172">
                  <c:v>386</c:v>
                </c:pt>
                <c:pt idx="173">
                  <c:v>386.5</c:v>
                </c:pt>
                <c:pt idx="174">
                  <c:v>387</c:v>
                </c:pt>
                <c:pt idx="175">
                  <c:v>387.5</c:v>
                </c:pt>
                <c:pt idx="176">
                  <c:v>388</c:v>
                </c:pt>
                <c:pt idx="177">
                  <c:v>388.5</c:v>
                </c:pt>
                <c:pt idx="178">
                  <c:v>389</c:v>
                </c:pt>
                <c:pt idx="179">
                  <c:v>389.5</c:v>
                </c:pt>
                <c:pt idx="180">
                  <c:v>390</c:v>
                </c:pt>
                <c:pt idx="181">
                  <c:v>390.5</c:v>
                </c:pt>
                <c:pt idx="182">
                  <c:v>391</c:v>
                </c:pt>
                <c:pt idx="183">
                  <c:v>391.5</c:v>
                </c:pt>
                <c:pt idx="184">
                  <c:v>392</c:v>
                </c:pt>
                <c:pt idx="185">
                  <c:v>392.5</c:v>
                </c:pt>
                <c:pt idx="186">
                  <c:v>393</c:v>
                </c:pt>
                <c:pt idx="187">
                  <c:v>393.5</c:v>
                </c:pt>
                <c:pt idx="188">
                  <c:v>394</c:v>
                </c:pt>
                <c:pt idx="189">
                  <c:v>394.5</c:v>
                </c:pt>
                <c:pt idx="190">
                  <c:v>395</c:v>
                </c:pt>
                <c:pt idx="191">
                  <c:v>395.5</c:v>
                </c:pt>
                <c:pt idx="192">
                  <c:v>396</c:v>
                </c:pt>
                <c:pt idx="193">
                  <c:v>396.5</c:v>
                </c:pt>
                <c:pt idx="194">
                  <c:v>397</c:v>
                </c:pt>
                <c:pt idx="195">
                  <c:v>397.5</c:v>
                </c:pt>
                <c:pt idx="196">
                  <c:v>398</c:v>
                </c:pt>
                <c:pt idx="197">
                  <c:v>398.5</c:v>
                </c:pt>
                <c:pt idx="198">
                  <c:v>399</c:v>
                </c:pt>
                <c:pt idx="199">
                  <c:v>399.5</c:v>
                </c:pt>
                <c:pt idx="200">
                  <c:v>400</c:v>
                </c:pt>
                <c:pt idx="201">
                  <c:v>400.5</c:v>
                </c:pt>
                <c:pt idx="202">
                  <c:v>401</c:v>
                </c:pt>
                <c:pt idx="203">
                  <c:v>401.5</c:v>
                </c:pt>
                <c:pt idx="204">
                  <c:v>402</c:v>
                </c:pt>
                <c:pt idx="205">
                  <c:v>402.5</c:v>
                </c:pt>
                <c:pt idx="206">
                  <c:v>403</c:v>
                </c:pt>
                <c:pt idx="207">
                  <c:v>403.5</c:v>
                </c:pt>
                <c:pt idx="208">
                  <c:v>404</c:v>
                </c:pt>
                <c:pt idx="209">
                  <c:v>404.5</c:v>
                </c:pt>
                <c:pt idx="210">
                  <c:v>405</c:v>
                </c:pt>
                <c:pt idx="211">
                  <c:v>405.5</c:v>
                </c:pt>
                <c:pt idx="212">
                  <c:v>406</c:v>
                </c:pt>
                <c:pt idx="213">
                  <c:v>406.5</c:v>
                </c:pt>
                <c:pt idx="214">
                  <c:v>407</c:v>
                </c:pt>
                <c:pt idx="215">
                  <c:v>407.5</c:v>
                </c:pt>
                <c:pt idx="216">
                  <c:v>408</c:v>
                </c:pt>
                <c:pt idx="217">
                  <c:v>408.5</c:v>
                </c:pt>
                <c:pt idx="218">
                  <c:v>409</c:v>
                </c:pt>
                <c:pt idx="219">
                  <c:v>409.5</c:v>
                </c:pt>
                <c:pt idx="220">
                  <c:v>410</c:v>
                </c:pt>
                <c:pt idx="221">
                  <c:v>410.5</c:v>
                </c:pt>
                <c:pt idx="222">
                  <c:v>411</c:v>
                </c:pt>
                <c:pt idx="223">
                  <c:v>411.5</c:v>
                </c:pt>
                <c:pt idx="224">
                  <c:v>412</c:v>
                </c:pt>
                <c:pt idx="225">
                  <c:v>412.5</c:v>
                </c:pt>
                <c:pt idx="226">
                  <c:v>413</c:v>
                </c:pt>
                <c:pt idx="227">
                  <c:v>413.5</c:v>
                </c:pt>
                <c:pt idx="228">
                  <c:v>414</c:v>
                </c:pt>
                <c:pt idx="229">
                  <c:v>414.5</c:v>
                </c:pt>
                <c:pt idx="230">
                  <c:v>415</c:v>
                </c:pt>
                <c:pt idx="231">
                  <c:v>415.5</c:v>
                </c:pt>
                <c:pt idx="232">
                  <c:v>416</c:v>
                </c:pt>
                <c:pt idx="233">
                  <c:v>416.5</c:v>
                </c:pt>
                <c:pt idx="234">
                  <c:v>417</c:v>
                </c:pt>
                <c:pt idx="235">
                  <c:v>417.5</c:v>
                </c:pt>
                <c:pt idx="236">
                  <c:v>418</c:v>
                </c:pt>
                <c:pt idx="237">
                  <c:v>418.5</c:v>
                </c:pt>
                <c:pt idx="238">
                  <c:v>419</c:v>
                </c:pt>
                <c:pt idx="239">
                  <c:v>419.5</c:v>
                </c:pt>
                <c:pt idx="240">
                  <c:v>420</c:v>
                </c:pt>
                <c:pt idx="241">
                  <c:v>420.5</c:v>
                </c:pt>
                <c:pt idx="242">
                  <c:v>421</c:v>
                </c:pt>
                <c:pt idx="243">
                  <c:v>421.5</c:v>
                </c:pt>
                <c:pt idx="244">
                  <c:v>422</c:v>
                </c:pt>
                <c:pt idx="245">
                  <c:v>422.5</c:v>
                </c:pt>
                <c:pt idx="246">
                  <c:v>423</c:v>
                </c:pt>
                <c:pt idx="247">
                  <c:v>423.5</c:v>
                </c:pt>
                <c:pt idx="248">
                  <c:v>424</c:v>
                </c:pt>
                <c:pt idx="249">
                  <c:v>424.5</c:v>
                </c:pt>
                <c:pt idx="250">
                  <c:v>425</c:v>
                </c:pt>
                <c:pt idx="251">
                  <c:v>425.5</c:v>
                </c:pt>
                <c:pt idx="252">
                  <c:v>426</c:v>
                </c:pt>
                <c:pt idx="253">
                  <c:v>426.5</c:v>
                </c:pt>
                <c:pt idx="254">
                  <c:v>427</c:v>
                </c:pt>
                <c:pt idx="255">
                  <c:v>427.5</c:v>
                </c:pt>
                <c:pt idx="256">
                  <c:v>428</c:v>
                </c:pt>
                <c:pt idx="257">
                  <c:v>428.5</c:v>
                </c:pt>
                <c:pt idx="258">
                  <c:v>429</c:v>
                </c:pt>
                <c:pt idx="259">
                  <c:v>429.5</c:v>
                </c:pt>
                <c:pt idx="260">
                  <c:v>430</c:v>
                </c:pt>
                <c:pt idx="261">
                  <c:v>430.5</c:v>
                </c:pt>
                <c:pt idx="262">
                  <c:v>431</c:v>
                </c:pt>
                <c:pt idx="263">
                  <c:v>431.5</c:v>
                </c:pt>
                <c:pt idx="264">
                  <c:v>432</c:v>
                </c:pt>
                <c:pt idx="265">
                  <c:v>432.5</c:v>
                </c:pt>
                <c:pt idx="266">
                  <c:v>433</c:v>
                </c:pt>
                <c:pt idx="267">
                  <c:v>433.5</c:v>
                </c:pt>
                <c:pt idx="268">
                  <c:v>434</c:v>
                </c:pt>
                <c:pt idx="269">
                  <c:v>434.5</c:v>
                </c:pt>
                <c:pt idx="270">
                  <c:v>435</c:v>
                </c:pt>
                <c:pt idx="271">
                  <c:v>435.5</c:v>
                </c:pt>
                <c:pt idx="272">
                  <c:v>436</c:v>
                </c:pt>
                <c:pt idx="273">
                  <c:v>436.5</c:v>
                </c:pt>
                <c:pt idx="274">
                  <c:v>437</c:v>
                </c:pt>
                <c:pt idx="275">
                  <c:v>437.5</c:v>
                </c:pt>
                <c:pt idx="276">
                  <c:v>438</c:v>
                </c:pt>
                <c:pt idx="277">
                  <c:v>438.5</c:v>
                </c:pt>
                <c:pt idx="278">
                  <c:v>439</c:v>
                </c:pt>
                <c:pt idx="279">
                  <c:v>439.5</c:v>
                </c:pt>
                <c:pt idx="280">
                  <c:v>440</c:v>
                </c:pt>
                <c:pt idx="281">
                  <c:v>440.5</c:v>
                </c:pt>
                <c:pt idx="282">
                  <c:v>441</c:v>
                </c:pt>
                <c:pt idx="283">
                  <c:v>441.5</c:v>
                </c:pt>
                <c:pt idx="284">
                  <c:v>442</c:v>
                </c:pt>
                <c:pt idx="285">
                  <c:v>442.5</c:v>
                </c:pt>
                <c:pt idx="286">
                  <c:v>443</c:v>
                </c:pt>
                <c:pt idx="287">
                  <c:v>443.5</c:v>
                </c:pt>
                <c:pt idx="288">
                  <c:v>444</c:v>
                </c:pt>
                <c:pt idx="289">
                  <c:v>444.5</c:v>
                </c:pt>
                <c:pt idx="290">
                  <c:v>445</c:v>
                </c:pt>
                <c:pt idx="291">
                  <c:v>445.5</c:v>
                </c:pt>
                <c:pt idx="292">
                  <c:v>446</c:v>
                </c:pt>
                <c:pt idx="293">
                  <c:v>446.5</c:v>
                </c:pt>
                <c:pt idx="294">
                  <c:v>447</c:v>
                </c:pt>
                <c:pt idx="295">
                  <c:v>447.5</c:v>
                </c:pt>
                <c:pt idx="296">
                  <c:v>448</c:v>
                </c:pt>
                <c:pt idx="297">
                  <c:v>448.5</c:v>
                </c:pt>
                <c:pt idx="298">
                  <c:v>449</c:v>
                </c:pt>
                <c:pt idx="299">
                  <c:v>449.5</c:v>
                </c:pt>
                <c:pt idx="300">
                  <c:v>450</c:v>
                </c:pt>
                <c:pt idx="301">
                  <c:v>450.5</c:v>
                </c:pt>
                <c:pt idx="302">
                  <c:v>451</c:v>
                </c:pt>
                <c:pt idx="303">
                  <c:v>451.5</c:v>
                </c:pt>
                <c:pt idx="304">
                  <c:v>452</c:v>
                </c:pt>
                <c:pt idx="305">
                  <c:v>452.5</c:v>
                </c:pt>
                <c:pt idx="306">
                  <c:v>453</c:v>
                </c:pt>
                <c:pt idx="307">
                  <c:v>453.5</c:v>
                </c:pt>
                <c:pt idx="308">
                  <c:v>454</c:v>
                </c:pt>
                <c:pt idx="309">
                  <c:v>454.5</c:v>
                </c:pt>
                <c:pt idx="310">
                  <c:v>455</c:v>
                </c:pt>
                <c:pt idx="311">
                  <c:v>455.5</c:v>
                </c:pt>
                <c:pt idx="312">
                  <c:v>456</c:v>
                </c:pt>
                <c:pt idx="313">
                  <c:v>456.5</c:v>
                </c:pt>
                <c:pt idx="314">
                  <c:v>457</c:v>
                </c:pt>
                <c:pt idx="315">
                  <c:v>457.5</c:v>
                </c:pt>
                <c:pt idx="316">
                  <c:v>458</c:v>
                </c:pt>
                <c:pt idx="317">
                  <c:v>458.5</c:v>
                </c:pt>
                <c:pt idx="318">
                  <c:v>459</c:v>
                </c:pt>
                <c:pt idx="319">
                  <c:v>459.5</c:v>
                </c:pt>
                <c:pt idx="320">
                  <c:v>460</c:v>
                </c:pt>
                <c:pt idx="321">
                  <c:v>460.5</c:v>
                </c:pt>
                <c:pt idx="322">
                  <c:v>461</c:v>
                </c:pt>
                <c:pt idx="323">
                  <c:v>461.5</c:v>
                </c:pt>
                <c:pt idx="324">
                  <c:v>462</c:v>
                </c:pt>
                <c:pt idx="325">
                  <c:v>462.5</c:v>
                </c:pt>
                <c:pt idx="326">
                  <c:v>463</c:v>
                </c:pt>
                <c:pt idx="327">
                  <c:v>463.5</c:v>
                </c:pt>
                <c:pt idx="328">
                  <c:v>464</c:v>
                </c:pt>
                <c:pt idx="329">
                  <c:v>464.5</c:v>
                </c:pt>
                <c:pt idx="330">
                  <c:v>465</c:v>
                </c:pt>
                <c:pt idx="331">
                  <c:v>465.5</c:v>
                </c:pt>
                <c:pt idx="332">
                  <c:v>466</c:v>
                </c:pt>
                <c:pt idx="333">
                  <c:v>466.5</c:v>
                </c:pt>
                <c:pt idx="334">
                  <c:v>467</c:v>
                </c:pt>
                <c:pt idx="335">
                  <c:v>467.5</c:v>
                </c:pt>
                <c:pt idx="336">
                  <c:v>468</c:v>
                </c:pt>
                <c:pt idx="337">
                  <c:v>468.5</c:v>
                </c:pt>
                <c:pt idx="338">
                  <c:v>469</c:v>
                </c:pt>
                <c:pt idx="339">
                  <c:v>469.5</c:v>
                </c:pt>
                <c:pt idx="340">
                  <c:v>470</c:v>
                </c:pt>
                <c:pt idx="341">
                  <c:v>470.5</c:v>
                </c:pt>
                <c:pt idx="342">
                  <c:v>471</c:v>
                </c:pt>
                <c:pt idx="343">
                  <c:v>471.5</c:v>
                </c:pt>
                <c:pt idx="344">
                  <c:v>472</c:v>
                </c:pt>
                <c:pt idx="345">
                  <c:v>472.5</c:v>
                </c:pt>
                <c:pt idx="346">
                  <c:v>473</c:v>
                </c:pt>
                <c:pt idx="347">
                  <c:v>473.5</c:v>
                </c:pt>
                <c:pt idx="348">
                  <c:v>474</c:v>
                </c:pt>
                <c:pt idx="349">
                  <c:v>474.5</c:v>
                </c:pt>
                <c:pt idx="350">
                  <c:v>475</c:v>
                </c:pt>
                <c:pt idx="351">
                  <c:v>475.5</c:v>
                </c:pt>
                <c:pt idx="352">
                  <c:v>476</c:v>
                </c:pt>
                <c:pt idx="353">
                  <c:v>476.5</c:v>
                </c:pt>
                <c:pt idx="354">
                  <c:v>477</c:v>
                </c:pt>
                <c:pt idx="355">
                  <c:v>477.5</c:v>
                </c:pt>
                <c:pt idx="356">
                  <c:v>478</c:v>
                </c:pt>
                <c:pt idx="357">
                  <c:v>478.5</c:v>
                </c:pt>
                <c:pt idx="358">
                  <c:v>479</c:v>
                </c:pt>
                <c:pt idx="359">
                  <c:v>479.5</c:v>
                </c:pt>
                <c:pt idx="360">
                  <c:v>480</c:v>
                </c:pt>
                <c:pt idx="361">
                  <c:v>480.5</c:v>
                </c:pt>
                <c:pt idx="362">
                  <c:v>481</c:v>
                </c:pt>
                <c:pt idx="363">
                  <c:v>481.5</c:v>
                </c:pt>
                <c:pt idx="364">
                  <c:v>482</c:v>
                </c:pt>
                <c:pt idx="365">
                  <c:v>482.5</c:v>
                </c:pt>
                <c:pt idx="366">
                  <c:v>483</c:v>
                </c:pt>
                <c:pt idx="367">
                  <c:v>483.5</c:v>
                </c:pt>
                <c:pt idx="368">
                  <c:v>484</c:v>
                </c:pt>
                <c:pt idx="369">
                  <c:v>484.5</c:v>
                </c:pt>
                <c:pt idx="370">
                  <c:v>485</c:v>
                </c:pt>
                <c:pt idx="371">
                  <c:v>485.5</c:v>
                </c:pt>
                <c:pt idx="372">
                  <c:v>486</c:v>
                </c:pt>
                <c:pt idx="373">
                  <c:v>486.5</c:v>
                </c:pt>
                <c:pt idx="374">
                  <c:v>487</c:v>
                </c:pt>
                <c:pt idx="375">
                  <c:v>487.5</c:v>
                </c:pt>
                <c:pt idx="376">
                  <c:v>488</c:v>
                </c:pt>
                <c:pt idx="377">
                  <c:v>488.5</c:v>
                </c:pt>
                <c:pt idx="378">
                  <c:v>489</c:v>
                </c:pt>
                <c:pt idx="379">
                  <c:v>489.5</c:v>
                </c:pt>
                <c:pt idx="380">
                  <c:v>490</c:v>
                </c:pt>
                <c:pt idx="381">
                  <c:v>490.5</c:v>
                </c:pt>
                <c:pt idx="382">
                  <c:v>491</c:v>
                </c:pt>
                <c:pt idx="383">
                  <c:v>491.5</c:v>
                </c:pt>
                <c:pt idx="384">
                  <c:v>492</c:v>
                </c:pt>
                <c:pt idx="385">
                  <c:v>492.5</c:v>
                </c:pt>
                <c:pt idx="386">
                  <c:v>493</c:v>
                </c:pt>
                <c:pt idx="387">
                  <c:v>493.5</c:v>
                </c:pt>
                <c:pt idx="388">
                  <c:v>494</c:v>
                </c:pt>
                <c:pt idx="389">
                  <c:v>494.5</c:v>
                </c:pt>
                <c:pt idx="390">
                  <c:v>495</c:v>
                </c:pt>
                <c:pt idx="391">
                  <c:v>495.5</c:v>
                </c:pt>
                <c:pt idx="392">
                  <c:v>496</c:v>
                </c:pt>
                <c:pt idx="393">
                  <c:v>496.5</c:v>
                </c:pt>
                <c:pt idx="394">
                  <c:v>497</c:v>
                </c:pt>
                <c:pt idx="395">
                  <c:v>497.5</c:v>
                </c:pt>
                <c:pt idx="396">
                  <c:v>498</c:v>
                </c:pt>
                <c:pt idx="397">
                  <c:v>498.5</c:v>
                </c:pt>
                <c:pt idx="398">
                  <c:v>499</c:v>
                </c:pt>
                <c:pt idx="399">
                  <c:v>499.5</c:v>
                </c:pt>
                <c:pt idx="400">
                  <c:v>500</c:v>
                </c:pt>
                <c:pt idx="401">
                  <c:v>500.5</c:v>
                </c:pt>
                <c:pt idx="402">
                  <c:v>501</c:v>
                </c:pt>
                <c:pt idx="403">
                  <c:v>501.5</c:v>
                </c:pt>
                <c:pt idx="404">
                  <c:v>502</c:v>
                </c:pt>
                <c:pt idx="405">
                  <c:v>502.5</c:v>
                </c:pt>
                <c:pt idx="406">
                  <c:v>503</c:v>
                </c:pt>
                <c:pt idx="407">
                  <c:v>503.5</c:v>
                </c:pt>
                <c:pt idx="408">
                  <c:v>504</c:v>
                </c:pt>
                <c:pt idx="409">
                  <c:v>504.5</c:v>
                </c:pt>
                <c:pt idx="410">
                  <c:v>505</c:v>
                </c:pt>
                <c:pt idx="411">
                  <c:v>505.5</c:v>
                </c:pt>
                <c:pt idx="412">
                  <c:v>506</c:v>
                </c:pt>
                <c:pt idx="413">
                  <c:v>506.5</c:v>
                </c:pt>
                <c:pt idx="414">
                  <c:v>507</c:v>
                </c:pt>
                <c:pt idx="415">
                  <c:v>507.5</c:v>
                </c:pt>
                <c:pt idx="416">
                  <c:v>508</c:v>
                </c:pt>
                <c:pt idx="417">
                  <c:v>508.5</c:v>
                </c:pt>
                <c:pt idx="418">
                  <c:v>509</c:v>
                </c:pt>
                <c:pt idx="419">
                  <c:v>509.5</c:v>
                </c:pt>
                <c:pt idx="420">
                  <c:v>510</c:v>
                </c:pt>
                <c:pt idx="421">
                  <c:v>510.5</c:v>
                </c:pt>
                <c:pt idx="422">
                  <c:v>511</c:v>
                </c:pt>
                <c:pt idx="423">
                  <c:v>511.5</c:v>
                </c:pt>
                <c:pt idx="424">
                  <c:v>512</c:v>
                </c:pt>
                <c:pt idx="425">
                  <c:v>512.5</c:v>
                </c:pt>
                <c:pt idx="426">
                  <c:v>513</c:v>
                </c:pt>
                <c:pt idx="427">
                  <c:v>513.5</c:v>
                </c:pt>
                <c:pt idx="428">
                  <c:v>514</c:v>
                </c:pt>
                <c:pt idx="429">
                  <c:v>514.5</c:v>
                </c:pt>
                <c:pt idx="430">
                  <c:v>515</c:v>
                </c:pt>
                <c:pt idx="431">
                  <c:v>515.5</c:v>
                </c:pt>
                <c:pt idx="432">
                  <c:v>516</c:v>
                </c:pt>
                <c:pt idx="433">
                  <c:v>516.5</c:v>
                </c:pt>
                <c:pt idx="434">
                  <c:v>517</c:v>
                </c:pt>
                <c:pt idx="435">
                  <c:v>517.5</c:v>
                </c:pt>
                <c:pt idx="436">
                  <c:v>518</c:v>
                </c:pt>
                <c:pt idx="437">
                  <c:v>518.5</c:v>
                </c:pt>
                <c:pt idx="438">
                  <c:v>519</c:v>
                </c:pt>
                <c:pt idx="439">
                  <c:v>519.5</c:v>
                </c:pt>
                <c:pt idx="440">
                  <c:v>520</c:v>
                </c:pt>
                <c:pt idx="441">
                  <c:v>520.5</c:v>
                </c:pt>
                <c:pt idx="442">
                  <c:v>521</c:v>
                </c:pt>
                <c:pt idx="443">
                  <c:v>521.5</c:v>
                </c:pt>
                <c:pt idx="444">
                  <c:v>522</c:v>
                </c:pt>
                <c:pt idx="445">
                  <c:v>522.5</c:v>
                </c:pt>
                <c:pt idx="446">
                  <c:v>523</c:v>
                </c:pt>
                <c:pt idx="447">
                  <c:v>523.5</c:v>
                </c:pt>
                <c:pt idx="448">
                  <c:v>524</c:v>
                </c:pt>
                <c:pt idx="449">
                  <c:v>524.5</c:v>
                </c:pt>
                <c:pt idx="450">
                  <c:v>525</c:v>
                </c:pt>
                <c:pt idx="451">
                  <c:v>525.5</c:v>
                </c:pt>
                <c:pt idx="452">
                  <c:v>526</c:v>
                </c:pt>
                <c:pt idx="453">
                  <c:v>526.5</c:v>
                </c:pt>
                <c:pt idx="454">
                  <c:v>527</c:v>
                </c:pt>
                <c:pt idx="455">
                  <c:v>527.5</c:v>
                </c:pt>
                <c:pt idx="456">
                  <c:v>528</c:v>
                </c:pt>
                <c:pt idx="457">
                  <c:v>528.5</c:v>
                </c:pt>
                <c:pt idx="458">
                  <c:v>529</c:v>
                </c:pt>
                <c:pt idx="459">
                  <c:v>529.5</c:v>
                </c:pt>
                <c:pt idx="460">
                  <c:v>530</c:v>
                </c:pt>
                <c:pt idx="461">
                  <c:v>530.5</c:v>
                </c:pt>
                <c:pt idx="462">
                  <c:v>531</c:v>
                </c:pt>
                <c:pt idx="463">
                  <c:v>531.5</c:v>
                </c:pt>
                <c:pt idx="464">
                  <c:v>532</c:v>
                </c:pt>
                <c:pt idx="465">
                  <c:v>532.5</c:v>
                </c:pt>
                <c:pt idx="466">
                  <c:v>533</c:v>
                </c:pt>
                <c:pt idx="467">
                  <c:v>533.5</c:v>
                </c:pt>
                <c:pt idx="468">
                  <c:v>534</c:v>
                </c:pt>
                <c:pt idx="469">
                  <c:v>534.5</c:v>
                </c:pt>
                <c:pt idx="470">
                  <c:v>535</c:v>
                </c:pt>
                <c:pt idx="471">
                  <c:v>535.5</c:v>
                </c:pt>
                <c:pt idx="472">
                  <c:v>536</c:v>
                </c:pt>
                <c:pt idx="473">
                  <c:v>536.5</c:v>
                </c:pt>
                <c:pt idx="474">
                  <c:v>537</c:v>
                </c:pt>
                <c:pt idx="475">
                  <c:v>537.5</c:v>
                </c:pt>
                <c:pt idx="476">
                  <c:v>538</c:v>
                </c:pt>
                <c:pt idx="477">
                  <c:v>538.5</c:v>
                </c:pt>
                <c:pt idx="478">
                  <c:v>539</c:v>
                </c:pt>
                <c:pt idx="479">
                  <c:v>539.5</c:v>
                </c:pt>
                <c:pt idx="480">
                  <c:v>540</c:v>
                </c:pt>
                <c:pt idx="481">
                  <c:v>540.5</c:v>
                </c:pt>
                <c:pt idx="482">
                  <c:v>541</c:v>
                </c:pt>
                <c:pt idx="483">
                  <c:v>541.5</c:v>
                </c:pt>
                <c:pt idx="484">
                  <c:v>542</c:v>
                </c:pt>
                <c:pt idx="485">
                  <c:v>542.5</c:v>
                </c:pt>
                <c:pt idx="486">
                  <c:v>543</c:v>
                </c:pt>
                <c:pt idx="487">
                  <c:v>543.5</c:v>
                </c:pt>
                <c:pt idx="488">
                  <c:v>544</c:v>
                </c:pt>
                <c:pt idx="489">
                  <c:v>544.5</c:v>
                </c:pt>
                <c:pt idx="490">
                  <c:v>545</c:v>
                </c:pt>
                <c:pt idx="491">
                  <c:v>545.5</c:v>
                </c:pt>
                <c:pt idx="492">
                  <c:v>546</c:v>
                </c:pt>
                <c:pt idx="493">
                  <c:v>546.5</c:v>
                </c:pt>
                <c:pt idx="494">
                  <c:v>547</c:v>
                </c:pt>
                <c:pt idx="495">
                  <c:v>547.5</c:v>
                </c:pt>
                <c:pt idx="496">
                  <c:v>548</c:v>
                </c:pt>
                <c:pt idx="497">
                  <c:v>548.5</c:v>
                </c:pt>
                <c:pt idx="498">
                  <c:v>549</c:v>
                </c:pt>
                <c:pt idx="499">
                  <c:v>549.5</c:v>
                </c:pt>
                <c:pt idx="500">
                  <c:v>550</c:v>
                </c:pt>
                <c:pt idx="501">
                  <c:v>550.5</c:v>
                </c:pt>
                <c:pt idx="502">
                  <c:v>551</c:v>
                </c:pt>
                <c:pt idx="503">
                  <c:v>551.5</c:v>
                </c:pt>
                <c:pt idx="504">
                  <c:v>552</c:v>
                </c:pt>
                <c:pt idx="505">
                  <c:v>552.5</c:v>
                </c:pt>
                <c:pt idx="506">
                  <c:v>553</c:v>
                </c:pt>
                <c:pt idx="507">
                  <c:v>553.5</c:v>
                </c:pt>
                <c:pt idx="508">
                  <c:v>554</c:v>
                </c:pt>
                <c:pt idx="509">
                  <c:v>554.5</c:v>
                </c:pt>
                <c:pt idx="510">
                  <c:v>555</c:v>
                </c:pt>
                <c:pt idx="511">
                  <c:v>555.5</c:v>
                </c:pt>
                <c:pt idx="512">
                  <c:v>556</c:v>
                </c:pt>
                <c:pt idx="513">
                  <c:v>556.5</c:v>
                </c:pt>
                <c:pt idx="514">
                  <c:v>557</c:v>
                </c:pt>
                <c:pt idx="515">
                  <c:v>557.5</c:v>
                </c:pt>
                <c:pt idx="516">
                  <c:v>558</c:v>
                </c:pt>
                <c:pt idx="517">
                  <c:v>558.5</c:v>
                </c:pt>
                <c:pt idx="518">
                  <c:v>559</c:v>
                </c:pt>
                <c:pt idx="519">
                  <c:v>559.5</c:v>
                </c:pt>
                <c:pt idx="520">
                  <c:v>560</c:v>
                </c:pt>
                <c:pt idx="521">
                  <c:v>560.5</c:v>
                </c:pt>
                <c:pt idx="522">
                  <c:v>561</c:v>
                </c:pt>
                <c:pt idx="523">
                  <c:v>561.5</c:v>
                </c:pt>
                <c:pt idx="524">
                  <c:v>562</c:v>
                </c:pt>
                <c:pt idx="525">
                  <c:v>562.5</c:v>
                </c:pt>
                <c:pt idx="526">
                  <c:v>563</c:v>
                </c:pt>
                <c:pt idx="527">
                  <c:v>563.5</c:v>
                </c:pt>
                <c:pt idx="528">
                  <c:v>564</c:v>
                </c:pt>
                <c:pt idx="529">
                  <c:v>564.5</c:v>
                </c:pt>
                <c:pt idx="530">
                  <c:v>565</c:v>
                </c:pt>
                <c:pt idx="531">
                  <c:v>565.5</c:v>
                </c:pt>
                <c:pt idx="532">
                  <c:v>566</c:v>
                </c:pt>
                <c:pt idx="533">
                  <c:v>566.5</c:v>
                </c:pt>
                <c:pt idx="534">
                  <c:v>567</c:v>
                </c:pt>
                <c:pt idx="535">
                  <c:v>567.5</c:v>
                </c:pt>
                <c:pt idx="536">
                  <c:v>568</c:v>
                </c:pt>
                <c:pt idx="537">
                  <c:v>568.5</c:v>
                </c:pt>
                <c:pt idx="538">
                  <c:v>569</c:v>
                </c:pt>
                <c:pt idx="539">
                  <c:v>569.5</c:v>
                </c:pt>
                <c:pt idx="540">
                  <c:v>570</c:v>
                </c:pt>
                <c:pt idx="541">
                  <c:v>570.5</c:v>
                </c:pt>
                <c:pt idx="542">
                  <c:v>571</c:v>
                </c:pt>
                <c:pt idx="543">
                  <c:v>571.5</c:v>
                </c:pt>
                <c:pt idx="544">
                  <c:v>572</c:v>
                </c:pt>
                <c:pt idx="545">
                  <c:v>572.5</c:v>
                </c:pt>
                <c:pt idx="546">
                  <c:v>573</c:v>
                </c:pt>
                <c:pt idx="547">
                  <c:v>573.5</c:v>
                </c:pt>
                <c:pt idx="548">
                  <c:v>574</c:v>
                </c:pt>
                <c:pt idx="549">
                  <c:v>574.5</c:v>
                </c:pt>
                <c:pt idx="550">
                  <c:v>575</c:v>
                </c:pt>
                <c:pt idx="551">
                  <c:v>575.5</c:v>
                </c:pt>
                <c:pt idx="552">
                  <c:v>576</c:v>
                </c:pt>
                <c:pt idx="553">
                  <c:v>576.5</c:v>
                </c:pt>
                <c:pt idx="554">
                  <c:v>577</c:v>
                </c:pt>
                <c:pt idx="555">
                  <c:v>577.5</c:v>
                </c:pt>
                <c:pt idx="556">
                  <c:v>578</c:v>
                </c:pt>
                <c:pt idx="557">
                  <c:v>578.5</c:v>
                </c:pt>
                <c:pt idx="558">
                  <c:v>579</c:v>
                </c:pt>
                <c:pt idx="559">
                  <c:v>579.5</c:v>
                </c:pt>
                <c:pt idx="560">
                  <c:v>580</c:v>
                </c:pt>
                <c:pt idx="561">
                  <c:v>580.5</c:v>
                </c:pt>
                <c:pt idx="562">
                  <c:v>581</c:v>
                </c:pt>
                <c:pt idx="563">
                  <c:v>581.5</c:v>
                </c:pt>
                <c:pt idx="564">
                  <c:v>582</c:v>
                </c:pt>
                <c:pt idx="565">
                  <c:v>582.5</c:v>
                </c:pt>
                <c:pt idx="566">
                  <c:v>583</c:v>
                </c:pt>
                <c:pt idx="567">
                  <c:v>583.5</c:v>
                </c:pt>
                <c:pt idx="568">
                  <c:v>584</c:v>
                </c:pt>
                <c:pt idx="569">
                  <c:v>584.5</c:v>
                </c:pt>
                <c:pt idx="570">
                  <c:v>585</c:v>
                </c:pt>
                <c:pt idx="571">
                  <c:v>585.5</c:v>
                </c:pt>
                <c:pt idx="572">
                  <c:v>586</c:v>
                </c:pt>
                <c:pt idx="573">
                  <c:v>586.5</c:v>
                </c:pt>
                <c:pt idx="574">
                  <c:v>587</c:v>
                </c:pt>
                <c:pt idx="575">
                  <c:v>587.5</c:v>
                </c:pt>
                <c:pt idx="576">
                  <c:v>588</c:v>
                </c:pt>
                <c:pt idx="577">
                  <c:v>588.5</c:v>
                </c:pt>
                <c:pt idx="578">
                  <c:v>589</c:v>
                </c:pt>
                <c:pt idx="579">
                  <c:v>589.5</c:v>
                </c:pt>
                <c:pt idx="580">
                  <c:v>590</c:v>
                </c:pt>
                <c:pt idx="581">
                  <c:v>590.5</c:v>
                </c:pt>
                <c:pt idx="582">
                  <c:v>591</c:v>
                </c:pt>
                <c:pt idx="583">
                  <c:v>591.5</c:v>
                </c:pt>
                <c:pt idx="584">
                  <c:v>592</c:v>
                </c:pt>
                <c:pt idx="585">
                  <c:v>592.5</c:v>
                </c:pt>
                <c:pt idx="586">
                  <c:v>593</c:v>
                </c:pt>
                <c:pt idx="587">
                  <c:v>593.5</c:v>
                </c:pt>
                <c:pt idx="588">
                  <c:v>594</c:v>
                </c:pt>
                <c:pt idx="589">
                  <c:v>594.5</c:v>
                </c:pt>
                <c:pt idx="590">
                  <c:v>595</c:v>
                </c:pt>
                <c:pt idx="591">
                  <c:v>595.5</c:v>
                </c:pt>
                <c:pt idx="592">
                  <c:v>596</c:v>
                </c:pt>
                <c:pt idx="593">
                  <c:v>596.5</c:v>
                </c:pt>
                <c:pt idx="594">
                  <c:v>597</c:v>
                </c:pt>
                <c:pt idx="595">
                  <c:v>597.5</c:v>
                </c:pt>
                <c:pt idx="596">
                  <c:v>598</c:v>
                </c:pt>
                <c:pt idx="597">
                  <c:v>598.5</c:v>
                </c:pt>
                <c:pt idx="598">
                  <c:v>599</c:v>
                </c:pt>
                <c:pt idx="599">
                  <c:v>599.5</c:v>
                </c:pt>
                <c:pt idx="600">
                  <c:v>600</c:v>
                </c:pt>
                <c:pt idx="601">
                  <c:v>600.5</c:v>
                </c:pt>
                <c:pt idx="602">
                  <c:v>601</c:v>
                </c:pt>
                <c:pt idx="603">
                  <c:v>601.5</c:v>
                </c:pt>
                <c:pt idx="604">
                  <c:v>602</c:v>
                </c:pt>
                <c:pt idx="605">
                  <c:v>602.5</c:v>
                </c:pt>
                <c:pt idx="606">
                  <c:v>603</c:v>
                </c:pt>
                <c:pt idx="607">
                  <c:v>603.5</c:v>
                </c:pt>
                <c:pt idx="608">
                  <c:v>604</c:v>
                </c:pt>
                <c:pt idx="609">
                  <c:v>604.5</c:v>
                </c:pt>
                <c:pt idx="610">
                  <c:v>605</c:v>
                </c:pt>
                <c:pt idx="611">
                  <c:v>605.5</c:v>
                </c:pt>
                <c:pt idx="612">
                  <c:v>606</c:v>
                </c:pt>
                <c:pt idx="613">
                  <c:v>606.5</c:v>
                </c:pt>
                <c:pt idx="614">
                  <c:v>607</c:v>
                </c:pt>
                <c:pt idx="615">
                  <c:v>607.5</c:v>
                </c:pt>
                <c:pt idx="616">
                  <c:v>608</c:v>
                </c:pt>
                <c:pt idx="617">
                  <c:v>608.5</c:v>
                </c:pt>
                <c:pt idx="618">
                  <c:v>609</c:v>
                </c:pt>
                <c:pt idx="619">
                  <c:v>609.5</c:v>
                </c:pt>
                <c:pt idx="620">
                  <c:v>610</c:v>
                </c:pt>
                <c:pt idx="621">
                  <c:v>610.5</c:v>
                </c:pt>
                <c:pt idx="622">
                  <c:v>611</c:v>
                </c:pt>
                <c:pt idx="623">
                  <c:v>611.5</c:v>
                </c:pt>
                <c:pt idx="624">
                  <c:v>612</c:v>
                </c:pt>
                <c:pt idx="625">
                  <c:v>612.5</c:v>
                </c:pt>
                <c:pt idx="626">
                  <c:v>613</c:v>
                </c:pt>
                <c:pt idx="627">
                  <c:v>613.5</c:v>
                </c:pt>
                <c:pt idx="628">
                  <c:v>614</c:v>
                </c:pt>
                <c:pt idx="629">
                  <c:v>614.5</c:v>
                </c:pt>
                <c:pt idx="630">
                  <c:v>615</c:v>
                </c:pt>
                <c:pt idx="631">
                  <c:v>615.5</c:v>
                </c:pt>
                <c:pt idx="632">
                  <c:v>616</c:v>
                </c:pt>
                <c:pt idx="633">
                  <c:v>616.5</c:v>
                </c:pt>
                <c:pt idx="634">
                  <c:v>617</c:v>
                </c:pt>
                <c:pt idx="635">
                  <c:v>617.5</c:v>
                </c:pt>
                <c:pt idx="636">
                  <c:v>618</c:v>
                </c:pt>
                <c:pt idx="637">
                  <c:v>618.5</c:v>
                </c:pt>
                <c:pt idx="638">
                  <c:v>619</c:v>
                </c:pt>
                <c:pt idx="639">
                  <c:v>619.5</c:v>
                </c:pt>
                <c:pt idx="640">
                  <c:v>620</c:v>
                </c:pt>
                <c:pt idx="641">
                  <c:v>620.5</c:v>
                </c:pt>
                <c:pt idx="642">
                  <c:v>621</c:v>
                </c:pt>
                <c:pt idx="643">
                  <c:v>621.5</c:v>
                </c:pt>
                <c:pt idx="644">
                  <c:v>622</c:v>
                </c:pt>
                <c:pt idx="645">
                  <c:v>622.5</c:v>
                </c:pt>
                <c:pt idx="646">
                  <c:v>623</c:v>
                </c:pt>
                <c:pt idx="647">
                  <c:v>623.5</c:v>
                </c:pt>
                <c:pt idx="648">
                  <c:v>624</c:v>
                </c:pt>
                <c:pt idx="649">
                  <c:v>624.5</c:v>
                </c:pt>
                <c:pt idx="650">
                  <c:v>625</c:v>
                </c:pt>
                <c:pt idx="651">
                  <c:v>625.5</c:v>
                </c:pt>
                <c:pt idx="652">
                  <c:v>626</c:v>
                </c:pt>
                <c:pt idx="653">
                  <c:v>626.5</c:v>
                </c:pt>
                <c:pt idx="654">
                  <c:v>627</c:v>
                </c:pt>
                <c:pt idx="655">
                  <c:v>627.5</c:v>
                </c:pt>
                <c:pt idx="656">
                  <c:v>628</c:v>
                </c:pt>
                <c:pt idx="657">
                  <c:v>628.5</c:v>
                </c:pt>
                <c:pt idx="658">
                  <c:v>629</c:v>
                </c:pt>
                <c:pt idx="659">
                  <c:v>629.5</c:v>
                </c:pt>
                <c:pt idx="660">
                  <c:v>630</c:v>
                </c:pt>
                <c:pt idx="661">
                  <c:v>630.5</c:v>
                </c:pt>
                <c:pt idx="662">
                  <c:v>631</c:v>
                </c:pt>
                <c:pt idx="663">
                  <c:v>631.5</c:v>
                </c:pt>
                <c:pt idx="664">
                  <c:v>632</c:v>
                </c:pt>
                <c:pt idx="665">
                  <c:v>632.5</c:v>
                </c:pt>
                <c:pt idx="666">
                  <c:v>633</c:v>
                </c:pt>
                <c:pt idx="667">
                  <c:v>633.5</c:v>
                </c:pt>
                <c:pt idx="668">
                  <c:v>634</c:v>
                </c:pt>
                <c:pt idx="669">
                  <c:v>634.5</c:v>
                </c:pt>
                <c:pt idx="670">
                  <c:v>635</c:v>
                </c:pt>
                <c:pt idx="671">
                  <c:v>635.5</c:v>
                </c:pt>
                <c:pt idx="672">
                  <c:v>636</c:v>
                </c:pt>
                <c:pt idx="673">
                  <c:v>636.5</c:v>
                </c:pt>
                <c:pt idx="674">
                  <c:v>637</c:v>
                </c:pt>
                <c:pt idx="675">
                  <c:v>637.5</c:v>
                </c:pt>
                <c:pt idx="676">
                  <c:v>638</c:v>
                </c:pt>
                <c:pt idx="677">
                  <c:v>638.5</c:v>
                </c:pt>
                <c:pt idx="678">
                  <c:v>639</c:v>
                </c:pt>
                <c:pt idx="679">
                  <c:v>639.5</c:v>
                </c:pt>
                <c:pt idx="680">
                  <c:v>640</c:v>
                </c:pt>
                <c:pt idx="681">
                  <c:v>640.5</c:v>
                </c:pt>
                <c:pt idx="682">
                  <c:v>641</c:v>
                </c:pt>
                <c:pt idx="683">
                  <c:v>641.5</c:v>
                </c:pt>
                <c:pt idx="684">
                  <c:v>642</c:v>
                </c:pt>
                <c:pt idx="685">
                  <c:v>642.5</c:v>
                </c:pt>
                <c:pt idx="686">
                  <c:v>643</c:v>
                </c:pt>
                <c:pt idx="687">
                  <c:v>643.5</c:v>
                </c:pt>
                <c:pt idx="688">
                  <c:v>644</c:v>
                </c:pt>
                <c:pt idx="689">
                  <c:v>644.5</c:v>
                </c:pt>
                <c:pt idx="690">
                  <c:v>645</c:v>
                </c:pt>
                <c:pt idx="691">
                  <c:v>645.5</c:v>
                </c:pt>
                <c:pt idx="692">
                  <c:v>646</c:v>
                </c:pt>
                <c:pt idx="693">
                  <c:v>646.5</c:v>
                </c:pt>
                <c:pt idx="694">
                  <c:v>647</c:v>
                </c:pt>
                <c:pt idx="695">
                  <c:v>647.5</c:v>
                </c:pt>
                <c:pt idx="696">
                  <c:v>648</c:v>
                </c:pt>
                <c:pt idx="697">
                  <c:v>648.5</c:v>
                </c:pt>
                <c:pt idx="698">
                  <c:v>649</c:v>
                </c:pt>
                <c:pt idx="699">
                  <c:v>649.5</c:v>
                </c:pt>
                <c:pt idx="700">
                  <c:v>650</c:v>
                </c:pt>
                <c:pt idx="701">
                  <c:v>650.5</c:v>
                </c:pt>
                <c:pt idx="702">
                  <c:v>651</c:v>
                </c:pt>
                <c:pt idx="703">
                  <c:v>651.5</c:v>
                </c:pt>
                <c:pt idx="704">
                  <c:v>652</c:v>
                </c:pt>
                <c:pt idx="705">
                  <c:v>652.5</c:v>
                </c:pt>
                <c:pt idx="706">
                  <c:v>653</c:v>
                </c:pt>
                <c:pt idx="707">
                  <c:v>653.5</c:v>
                </c:pt>
                <c:pt idx="708">
                  <c:v>654</c:v>
                </c:pt>
                <c:pt idx="709">
                  <c:v>654.5</c:v>
                </c:pt>
                <c:pt idx="710">
                  <c:v>655</c:v>
                </c:pt>
                <c:pt idx="711">
                  <c:v>655.5</c:v>
                </c:pt>
                <c:pt idx="712">
                  <c:v>656</c:v>
                </c:pt>
                <c:pt idx="713">
                  <c:v>656.5</c:v>
                </c:pt>
                <c:pt idx="714">
                  <c:v>657</c:v>
                </c:pt>
                <c:pt idx="715">
                  <c:v>657.5</c:v>
                </c:pt>
                <c:pt idx="716">
                  <c:v>658</c:v>
                </c:pt>
                <c:pt idx="717">
                  <c:v>658.5</c:v>
                </c:pt>
                <c:pt idx="718">
                  <c:v>659</c:v>
                </c:pt>
                <c:pt idx="719">
                  <c:v>659.5</c:v>
                </c:pt>
                <c:pt idx="720">
                  <c:v>660</c:v>
                </c:pt>
                <c:pt idx="721">
                  <c:v>660.5</c:v>
                </c:pt>
                <c:pt idx="722">
                  <c:v>661</c:v>
                </c:pt>
                <c:pt idx="723">
                  <c:v>661.5</c:v>
                </c:pt>
                <c:pt idx="724">
                  <c:v>662</c:v>
                </c:pt>
                <c:pt idx="725">
                  <c:v>662.5</c:v>
                </c:pt>
                <c:pt idx="726">
                  <c:v>663</c:v>
                </c:pt>
                <c:pt idx="727">
                  <c:v>663.5</c:v>
                </c:pt>
                <c:pt idx="728">
                  <c:v>664</c:v>
                </c:pt>
                <c:pt idx="729">
                  <c:v>664.5</c:v>
                </c:pt>
                <c:pt idx="730">
                  <c:v>665</c:v>
                </c:pt>
                <c:pt idx="731">
                  <c:v>665.5</c:v>
                </c:pt>
                <c:pt idx="732">
                  <c:v>666</c:v>
                </c:pt>
                <c:pt idx="733">
                  <c:v>666.5</c:v>
                </c:pt>
                <c:pt idx="734">
                  <c:v>667</c:v>
                </c:pt>
                <c:pt idx="735">
                  <c:v>667.5</c:v>
                </c:pt>
                <c:pt idx="736">
                  <c:v>668</c:v>
                </c:pt>
                <c:pt idx="737">
                  <c:v>668.5</c:v>
                </c:pt>
                <c:pt idx="738">
                  <c:v>669</c:v>
                </c:pt>
                <c:pt idx="739">
                  <c:v>669.5</c:v>
                </c:pt>
                <c:pt idx="740">
                  <c:v>670</c:v>
                </c:pt>
                <c:pt idx="741">
                  <c:v>670.5</c:v>
                </c:pt>
                <c:pt idx="742">
                  <c:v>671</c:v>
                </c:pt>
                <c:pt idx="743">
                  <c:v>671.5</c:v>
                </c:pt>
                <c:pt idx="744">
                  <c:v>672</c:v>
                </c:pt>
                <c:pt idx="745">
                  <c:v>672.5</c:v>
                </c:pt>
                <c:pt idx="746">
                  <c:v>673</c:v>
                </c:pt>
                <c:pt idx="747">
                  <c:v>673.5</c:v>
                </c:pt>
                <c:pt idx="748">
                  <c:v>674</c:v>
                </c:pt>
                <c:pt idx="749">
                  <c:v>674.5</c:v>
                </c:pt>
                <c:pt idx="750">
                  <c:v>675</c:v>
                </c:pt>
                <c:pt idx="751">
                  <c:v>675.5</c:v>
                </c:pt>
                <c:pt idx="752">
                  <c:v>676</c:v>
                </c:pt>
                <c:pt idx="753">
                  <c:v>676.5</c:v>
                </c:pt>
                <c:pt idx="754">
                  <c:v>677</c:v>
                </c:pt>
                <c:pt idx="755">
                  <c:v>677.5</c:v>
                </c:pt>
                <c:pt idx="756">
                  <c:v>678</c:v>
                </c:pt>
                <c:pt idx="757">
                  <c:v>678.5</c:v>
                </c:pt>
                <c:pt idx="758">
                  <c:v>679</c:v>
                </c:pt>
                <c:pt idx="759">
                  <c:v>679.5</c:v>
                </c:pt>
                <c:pt idx="760">
                  <c:v>680</c:v>
                </c:pt>
                <c:pt idx="761">
                  <c:v>680.5</c:v>
                </c:pt>
                <c:pt idx="762">
                  <c:v>681</c:v>
                </c:pt>
                <c:pt idx="763">
                  <c:v>681.5</c:v>
                </c:pt>
                <c:pt idx="764">
                  <c:v>682</c:v>
                </c:pt>
                <c:pt idx="765">
                  <c:v>682.5</c:v>
                </c:pt>
                <c:pt idx="766">
                  <c:v>683</c:v>
                </c:pt>
                <c:pt idx="767">
                  <c:v>683.5</c:v>
                </c:pt>
                <c:pt idx="768">
                  <c:v>684</c:v>
                </c:pt>
                <c:pt idx="769">
                  <c:v>684.5</c:v>
                </c:pt>
                <c:pt idx="770">
                  <c:v>685</c:v>
                </c:pt>
                <c:pt idx="771">
                  <c:v>685.5</c:v>
                </c:pt>
                <c:pt idx="772">
                  <c:v>686</c:v>
                </c:pt>
                <c:pt idx="773">
                  <c:v>686.5</c:v>
                </c:pt>
                <c:pt idx="774">
                  <c:v>687</c:v>
                </c:pt>
                <c:pt idx="775">
                  <c:v>687.5</c:v>
                </c:pt>
                <c:pt idx="776">
                  <c:v>688</c:v>
                </c:pt>
                <c:pt idx="777">
                  <c:v>688.5</c:v>
                </c:pt>
                <c:pt idx="778">
                  <c:v>689</c:v>
                </c:pt>
                <c:pt idx="779">
                  <c:v>689.5</c:v>
                </c:pt>
                <c:pt idx="780">
                  <c:v>690</c:v>
                </c:pt>
                <c:pt idx="781">
                  <c:v>690.5</c:v>
                </c:pt>
                <c:pt idx="782">
                  <c:v>691</c:v>
                </c:pt>
                <c:pt idx="783">
                  <c:v>691.5</c:v>
                </c:pt>
                <c:pt idx="784">
                  <c:v>692</c:v>
                </c:pt>
                <c:pt idx="785">
                  <c:v>692.5</c:v>
                </c:pt>
                <c:pt idx="786">
                  <c:v>693</c:v>
                </c:pt>
                <c:pt idx="787">
                  <c:v>693.5</c:v>
                </c:pt>
                <c:pt idx="788">
                  <c:v>694</c:v>
                </c:pt>
                <c:pt idx="789">
                  <c:v>694.5</c:v>
                </c:pt>
                <c:pt idx="790">
                  <c:v>695</c:v>
                </c:pt>
                <c:pt idx="791">
                  <c:v>695.5</c:v>
                </c:pt>
                <c:pt idx="792">
                  <c:v>696</c:v>
                </c:pt>
                <c:pt idx="793">
                  <c:v>696.5</c:v>
                </c:pt>
                <c:pt idx="794">
                  <c:v>697</c:v>
                </c:pt>
                <c:pt idx="795">
                  <c:v>697.5</c:v>
                </c:pt>
                <c:pt idx="796">
                  <c:v>698</c:v>
                </c:pt>
                <c:pt idx="797">
                  <c:v>698.5</c:v>
                </c:pt>
                <c:pt idx="798">
                  <c:v>699</c:v>
                </c:pt>
                <c:pt idx="799">
                  <c:v>699.5</c:v>
                </c:pt>
                <c:pt idx="800">
                  <c:v>700</c:v>
                </c:pt>
                <c:pt idx="801">
                  <c:v>700.5</c:v>
                </c:pt>
                <c:pt idx="802">
                  <c:v>701</c:v>
                </c:pt>
                <c:pt idx="803">
                  <c:v>701.5</c:v>
                </c:pt>
                <c:pt idx="804">
                  <c:v>702</c:v>
                </c:pt>
                <c:pt idx="805">
                  <c:v>702.5</c:v>
                </c:pt>
                <c:pt idx="806">
                  <c:v>703</c:v>
                </c:pt>
                <c:pt idx="807">
                  <c:v>703.5</c:v>
                </c:pt>
                <c:pt idx="808">
                  <c:v>704</c:v>
                </c:pt>
                <c:pt idx="809">
                  <c:v>704.5</c:v>
                </c:pt>
                <c:pt idx="810">
                  <c:v>705</c:v>
                </c:pt>
                <c:pt idx="811">
                  <c:v>705.5</c:v>
                </c:pt>
                <c:pt idx="812">
                  <c:v>706</c:v>
                </c:pt>
                <c:pt idx="813">
                  <c:v>706.5</c:v>
                </c:pt>
                <c:pt idx="814">
                  <c:v>707</c:v>
                </c:pt>
                <c:pt idx="815">
                  <c:v>707.5</c:v>
                </c:pt>
                <c:pt idx="816">
                  <c:v>708</c:v>
                </c:pt>
                <c:pt idx="817">
                  <c:v>708.5</c:v>
                </c:pt>
                <c:pt idx="818">
                  <c:v>709</c:v>
                </c:pt>
                <c:pt idx="819">
                  <c:v>709.5</c:v>
                </c:pt>
                <c:pt idx="820">
                  <c:v>710</c:v>
                </c:pt>
                <c:pt idx="821">
                  <c:v>710.5</c:v>
                </c:pt>
                <c:pt idx="822">
                  <c:v>711</c:v>
                </c:pt>
                <c:pt idx="823">
                  <c:v>711.5</c:v>
                </c:pt>
                <c:pt idx="824">
                  <c:v>712</c:v>
                </c:pt>
                <c:pt idx="825">
                  <c:v>712.5</c:v>
                </c:pt>
                <c:pt idx="826">
                  <c:v>713</c:v>
                </c:pt>
                <c:pt idx="827">
                  <c:v>713.5</c:v>
                </c:pt>
                <c:pt idx="828">
                  <c:v>714</c:v>
                </c:pt>
                <c:pt idx="829">
                  <c:v>714.5</c:v>
                </c:pt>
                <c:pt idx="830">
                  <c:v>715</c:v>
                </c:pt>
                <c:pt idx="831">
                  <c:v>715.5</c:v>
                </c:pt>
                <c:pt idx="832">
                  <c:v>716</c:v>
                </c:pt>
                <c:pt idx="833">
                  <c:v>716.5</c:v>
                </c:pt>
                <c:pt idx="834">
                  <c:v>717</c:v>
                </c:pt>
                <c:pt idx="835">
                  <c:v>717.5</c:v>
                </c:pt>
                <c:pt idx="836">
                  <c:v>718</c:v>
                </c:pt>
                <c:pt idx="837">
                  <c:v>718.5</c:v>
                </c:pt>
                <c:pt idx="838">
                  <c:v>719</c:v>
                </c:pt>
                <c:pt idx="839">
                  <c:v>719.5</c:v>
                </c:pt>
                <c:pt idx="840">
                  <c:v>720</c:v>
                </c:pt>
                <c:pt idx="841">
                  <c:v>720.5</c:v>
                </c:pt>
                <c:pt idx="842">
                  <c:v>721</c:v>
                </c:pt>
                <c:pt idx="843">
                  <c:v>721.5</c:v>
                </c:pt>
                <c:pt idx="844">
                  <c:v>722</c:v>
                </c:pt>
                <c:pt idx="845">
                  <c:v>722.5</c:v>
                </c:pt>
                <c:pt idx="846">
                  <c:v>723</c:v>
                </c:pt>
                <c:pt idx="847">
                  <c:v>723.5</c:v>
                </c:pt>
                <c:pt idx="848">
                  <c:v>724</c:v>
                </c:pt>
                <c:pt idx="849">
                  <c:v>724.5</c:v>
                </c:pt>
                <c:pt idx="850">
                  <c:v>725</c:v>
                </c:pt>
                <c:pt idx="851">
                  <c:v>725.5</c:v>
                </c:pt>
                <c:pt idx="852">
                  <c:v>726</c:v>
                </c:pt>
                <c:pt idx="853">
                  <c:v>726.5</c:v>
                </c:pt>
                <c:pt idx="854">
                  <c:v>727</c:v>
                </c:pt>
                <c:pt idx="855">
                  <c:v>727.5</c:v>
                </c:pt>
                <c:pt idx="856">
                  <c:v>728</c:v>
                </c:pt>
                <c:pt idx="857">
                  <c:v>728.5</c:v>
                </c:pt>
                <c:pt idx="858">
                  <c:v>729</c:v>
                </c:pt>
                <c:pt idx="859">
                  <c:v>729.5</c:v>
                </c:pt>
                <c:pt idx="860">
                  <c:v>730</c:v>
                </c:pt>
                <c:pt idx="861">
                  <c:v>730.5</c:v>
                </c:pt>
                <c:pt idx="862">
                  <c:v>731</c:v>
                </c:pt>
                <c:pt idx="863">
                  <c:v>731.5</c:v>
                </c:pt>
                <c:pt idx="864">
                  <c:v>732</c:v>
                </c:pt>
                <c:pt idx="865">
                  <c:v>732.5</c:v>
                </c:pt>
                <c:pt idx="866">
                  <c:v>733</c:v>
                </c:pt>
                <c:pt idx="867">
                  <c:v>733.5</c:v>
                </c:pt>
                <c:pt idx="868">
                  <c:v>734</c:v>
                </c:pt>
                <c:pt idx="869">
                  <c:v>734.5</c:v>
                </c:pt>
                <c:pt idx="870">
                  <c:v>735</c:v>
                </c:pt>
                <c:pt idx="871">
                  <c:v>735.5</c:v>
                </c:pt>
                <c:pt idx="872">
                  <c:v>736</c:v>
                </c:pt>
                <c:pt idx="873">
                  <c:v>736.5</c:v>
                </c:pt>
                <c:pt idx="874">
                  <c:v>737</c:v>
                </c:pt>
                <c:pt idx="875">
                  <c:v>737.5</c:v>
                </c:pt>
                <c:pt idx="876">
                  <c:v>738</c:v>
                </c:pt>
                <c:pt idx="877">
                  <c:v>738.5</c:v>
                </c:pt>
                <c:pt idx="878">
                  <c:v>739</c:v>
                </c:pt>
                <c:pt idx="879">
                  <c:v>739.5</c:v>
                </c:pt>
                <c:pt idx="880">
                  <c:v>740</c:v>
                </c:pt>
                <c:pt idx="881">
                  <c:v>740.5</c:v>
                </c:pt>
                <c:pt idx="882">
                  <c:v>741</c:v>
                </c:pt>
                <c:pt idx="883">
                  <c:v>741.5</c:v>
                </c:pt>
                <c:pt idx="884">
                  <c:v>742</c:v>
                </c:pt>
                <c:pt idx="885">
                  <c:v>742.5</c:v>
                </c:pt>
                <c:pt idx="886">
                  <c:v>743</c:v>
                </c:pt>
                <c:pt idx="887">
                  <c:v>743.5</c:v>
                </c:pt>
                <c:pt idx="888">
                  <c:v>744</c:v>
                </c:pt>
                <c:pt idx="889">
                  <c:v>744.5</c:v>
                </c:pt>
                <c:pt idx="890">
                  <c:v>745</c:v>
                </c:pt>
                <c:pt idx="891">
                  <c:v>745.5</c:v>
                </c:pt>
                <c:pt idx="892">
                  <c:v>746</c:v>
                </c:pt>
                <c:pt idx="893">
                  <c:v>746.5</c:v>
                </c:pt>
                <c:pt idx="894">
                  <c:v>747</c:v>
                </c:pt>
                <c:pt idx="895">
                  <c:v>747.5</c:v>
                </c:pt>
                <c:pt idx="896">
                  <c:v>748</c:v>
                </c:pt>
                <c:pt idx="897">
                  <c:v>748.5</c:v>
                </c:pt>
                <c:pt idx="898">
                  <c:v>749</c:v>
                </c:pt>
                <c:pt idx="899">
                  <c:v>749.5</c:v>
                </c:pt>
                <c:pt idx="900">
                  <c:v>750</c:v>
                </c:pt>
              </c:numCache>
            </c:numRef>
          </c:cat>
          <c:val>
            <c:numRef>
              <c:f>'T2 (9)'!$B$113:$B$1013</c:f>
              <c:numCache>
                <c:formatCode>0.00E+00</c:formatCode>
                <c:ptCount val="901"/>
                <c:pt idx="0">
                  <c:v>0</c:v>
                </c:pt>
                <c:pt idx="1">
                  <c:v>0</c:v>
                </c:pt>
                <c:pt idx="2">
                  <c:v>0</c:v>
                </c:pt>
                <c:pt idx="3">
                  <c:v>0</c:v>
                </c:pt>
                <c:pt idx="4">
                  <c:v>0</c:v>
                </c:pt>
                <c:pt idx="5">
                  <c:v>0</c:v>
                </c:pt>
                <c:pt idx="6">
                  <c:v>0</c:v>
                </c:pt>
                <c:pt idx="7">
                  <c:v>0</c:v>
                </c:pt>
                <c:pt idx="8">
                  <c:v>0</c:v>
                </c:pt>
                <c:pt idx="9">
                  <c:v>0</c:v>
                </c:pt>
                <c:pt idx="10">
                  <c:v>0</c:v>
                </c:pt>
                <c:pt idx="11">
                  <c:v>0</c:v>
                </c:pt>
                <c:pt idx="12">
                  <c:v>0</c:v>
                </c:pt>
                <c:pt idx="13">
                  <c:v>0</c:v>
                </c:pt>
                <c:pt idx="14">
                  <c:v>0</c:v>
                </c:pt>
                <c:pt idx="15">
                  <c:v>0</c:v>
                </c:pt>
                <c:pt idx="16">
                  <c:v>0</c:v>
                </c:pt>
                <c:pt idx="17">
                  <c:v>0</c:v>
                </c:pt>
                <c:pt idx="18">
                  <c:v>0</c:v>
                </c:pt>
                <c:pt idx="19">
                  <c:v>0</c:v>
                </c:pt>
                <c:pt idx="20">
                  <c:v>0</c:v>
                </c:pt>
                <c:pt idx="21">
                  <c:v>0</c:v>
                </c:pt>
                <c:pt idx="22">
                  <c:v>0</c:v>
                </c:pt>
                <c:pt idx="23">
                  <c:v>0</c:v>
                </c:pt>
                <c:pt idx="24">
                  <c:v>0</c:v>
                </c:pt>
                <c:pt idx="25">
                  <c:v>0</c:v>
                </c:pt>
                <c:pt idx="26">
                  <c:v>0</c:v>
                </c:pt>
                <c:pt idx="27">
                  <c:v>0</c:v>
                </c:pt>
                <c:pt idx="28">
                  <c:v>0</c:v>
                </c:pt>
                <c:pt idx="29">
                  <c:v>0</c:v>
                </c:pt>
                <c:pt idx="30">
                  <c:v>0</c:v>
                </c:pt>
                <c:pt idx="31">
                  <c:v>0</c:v>
                </c:pt>
                <c:pt idx="32">
                  <c:v>0</c:v>
                </c:pt>
                <c:pt idx="33">
                  <c:v>0</c:v>
                </c:pt>
                <c:pt idx="34">
                  <c:v>0</c:v>
                </c:pt>
                <c:pt idx="35">
                  <c:v>0</c:v>
                </c:pt>
                <c:pt idx="36">
                  <c:v>0</c:v>
                </c:pt>
                <c:pt idx="37">
                  <c:v>0</c:v>
                </c:pt>
                <c:pt idx="38">
                  <c:v>0</c:v>
                </c:pt>
                <c:pt idx="39">
                  <c:v>0</c:v>
                </c:pt>
                <c:pt idx="40">
                  <c:v>0</c:v>
                </c:pt>
                <c:pt idx="41">
                  <c:v>0</c:v>
                </c:pt>
                <c:pt idx="42">
                  <c:v>0</c:v>
                </c:pt>
                <c:pt idx="43">
                  <c:v>0</c:v>
                </c:pt>
                <c:pt idx="44">
                  <c:v>0</c:v>
                </c:pt>
                <c:pt idx="45">
                  <c:v>0</c:v>
                </c:pt>
                <c:pt idx="46">
                  <c:v>0</c:v>
                </c:pt>
                <c:pt idx="47">
                  <c:v>0</c:v>
                </c:pt>
                <c:pt idx="48">
                  <c:v>0</c:v>
                </c:pt>
                <c:pt idx="49">
                  <c:v>0</c:v>
                </c:pt>
                <c:pt idx="50">
                  <c:v>0</c:v>
                </c:pt>
                <c:pt idx="51">
                  <c:v>0</c:v>
                </c:pt>
                <c:pt idx="52">
                  <c:v>0</c:v>
                </c:pt>
                <c:pt idx="53">
                  <c:v>0</c:v>
                </c:pt>
                <c:pt idx="54">
                  <c:v>0</c:v>
                </c:pt>
                <c:pt idx="55">
                  <c:v>0</c:v>
                </c:pt>
                <c:pt idx="56">
                  <c:v>0</c:v>
                </c:pt>
                <c:pt idx="57">
                  <c:v>0</c:v>
                </c:pt>
                <c:pt idx="58">
                  <c:v>0</c:v>
                </c:pt>
                <c:pt idx="59">
                  <c:v>0</c:v>
                </c:pt>
                <c:pt idx="60">
                  <c:v>0</c:v>
                </c:pt>
                <c:pt idx="61">
                  <c:v>0</c:v>
                </c:pt>
                <c:pt idx="62">
                  <c:v>0</c:v>
                </c:pt>
                <c:pt idx="63">
                  <c:v>0</c:v>
                </c:pt>
                <c:pt idx="64">
                  <c:v>0</c:v>
                </c:pt>
                <c:pt idx="65">
                  <c:v>0</c:v>
                </c:pt>
                <c:pt idx="66">
                  <c:v>0</c:v>
                </c:pt>
                <c:pt idx="67">
                  <c:v>0</c:v>
                </c:pt>
                <c:pt idx="68">
                  <c:v>0</c:v>
                </c:pt>
                <c:pt idx="69">
                  <c:v>0</c:v>
                </c:pt>
                <c:pt idx="70">
                  <c:v>0</c:v>
                </c:pt>
                <c:pt idx="71">
                  <c:v>0</c:v>
                </c:pt>
                <c:pt idx="72">
                  <c:v>0</c:v>
                </c:pt>
                <c:pt idx="73">
                  <c:v>0</c:v>
                </c:pt>
                <c:pt idx="74">
                  <c:v>0</c:v>
                </c:pt>
                <c:pt idx="75">
                  <c:v>0</c:v>
                </c:pt>
                <c:pt idx="76">
                  <c:v>0</c:v>
                </c:pt>
                <c:pt idx="77">
                  <c:v>0</c:v>
                </c:pt>
                <c:pt idx="78">
                  <c:v>0</c:v>
                </c:pt>
                <c:pt idx="79">
                  <c:v>0</c:v>
                </c:pt>
                <c:pt idx="80">
                  <c:v>0</c:v>
                </c:pt>
                <c:pt idx="81">
                  <c:v>0</c:v>
                </c:pt>
                <c:pt idx="82">
                  <c:v>0</c:v>
                </c:pt>
                <c:pt idx="83">
                  <c:v>0</c:v>
                </c:pt>
                <c:pt idx="84">
                  <c:v>0</c:v>
                </c:pt>
                <c:pt idx="85">
                  <c:v>0</c:v>
                </c:pt>
                <c:pt idx="86">
                  <c:v>0</c:v>
                </c:pt>
                <c:pt idx="87">
                  <c:v>0</c:v>
                </c:pt>
                <c:pt idx="88">
                  <c:v>0</c:v>
                </c:pt>
                <c:pt idx="89">
                  <c:v>0</c:v>
                </c:pt>
                <c:pt idx="90">
                  <c:v>0</c:v>
                </c:pt>
                <c:pt idx="91">
                  <c:v>0</c:v>
                </c:pt>
                <c:pt idx="92">
                  <c:v>0</c:v>
                </c:pt>
                <c:pt idx="93">
                  <c:v>0</c:v>
                </c:pt>
                <c:pt idx="94">
                  <c:v>0</c:v>
                </c:pt>
                <c:pt idx="95">
                  <c:v>0</c:v>
                </c:pt>
                <c:pt idx="96">
                  <c:v>0</c:v>
                </c:pt>
                <c:pt idx="97">
                  <c:v>0</c:v>
                </c:pt>
                <c:pt idx="98">
                  <c:v>0</c:v>
                </c:pt>
                <c:pt idx="99">
                  <c:v>0</c:v>
                </c:pt>
                <c:pt idx="100">
                  <c:v>0</c:v>
                </c:pt>
                <c:pt idx="101">
                  <c:v>0</c:v>
                </c:pt>
                <c:pt idx="102">
                  <c:v>0</c:v>
                </c:pt>
                <c:pt idx="103">
                  <c:v>0</c:v>
                </c:pt>
                <c:pt idx="104">
                  <c:v>0</c:v>
                </c:pt>
                <c:pt idx="105">
                  <c:v>0</c:v>
                </c:pt>
                <c:pt idx="106">
                  <c:v>0</c:v>
                </c:pt>
                <c:pt idx="107">
                  <c:v>0</c:v>
                </c:pt>
                <c:pt idx="108">
                  <c:v>0</c:v>
                </c:pt>
                <c:pt idx="109">
                  <c:v>0</c:v>
                </c:pt>
                <c:pt idx="110">
                  <c:v>0</c:v>
                </c:pt>
                <c:pt idx="111">
                  <c:v>0</c:v>
                </c:pt>
                <c:pt idx="112">
                  <c:v>0</c:v>
                </c:pt>
                <c:pt idx="113">
                  <c:v>0</c:v>
                </c:pt>
                <c:pt idx="114">
                  <c:v>0</c:v>
                </c:pt>
                <c:pt idx="115">
                  <c:v>0</c:v>
                </c:pt>
                <c:pt idx="116">
                  <c:v>0</c:v>
                </c:pt>
                <c:pt idx="117">
                  <c:v>0</c:v>
                </c:pt>
                <c:pt idx="118">
                  <c:v>0</c:v>
                </c:pt>
                <c:pt idx="119">
                  <c:v>0</c:v>
                </c:pt>
                <c:pt idx="120">
                  <c:v>0</c:v>
                </c:pt>
                <c:pt idx="121">
                  <c:v>0</c:v>
                </c:pt>
                <c:pt idx="122">
                  <c:v>0</c:v>
                </c:pt>
                <c:pt idx="123">
                  <c:v>0</c:v>
                </c:pt>
                <c:pt idx="124">
                  <c:v>0</c:v>
                </c:pt>
                <c:pt idx="125">
                  <c:v>0</c:v>
                </c:pt>
                <c:pt idx="126">
                  <c:v>0</c:v>
                </c:pt>
                <c:pt idx="127">
                  <c:v>0</c:v>
                </c:pt>
                <c:pt idx="128">
                  <c:v>0</c:v>
                </c:pt>
                <c:pt idx="129">
                  <c:v>0</c:v>
                </c:pt>
                <c:pt idx="130">
                  <c:v>0</c:v>
                </c:pt>
                <c:pt idx="131">
                  <c:v>0</c:v>
                </c:pt>
                <c:pt idx="132">
                  <c:v>0</c:v>
                </c:pt>
                <c:pt idx="133">
                  <c:v>0</c:v>
                </c:pt>
                <c:pt idx="134">
                  <c:v>0</c:v>
                </c:pt>
                <c:pt idx="135">
                  <c:v>0</c:v>
                </c:pt>
                <c:pt idx="136">
                  <c:v>0</c:v>
                </c:pt>
                <c:pt idx="137">
                  <c:v>0</c:v>
                </c:pt>
                <c:pt idx="138">
                  <c:v>0</c:v>
                </c:pt>
                <c:pt idx="139">
                  <c:v>0</c:v>
                </c:pt>
                <c:pt idx="140">
                  <c:v>0</c:v>
                </c:pt>
                <c:pt idx="141">
                  <c:v>0</c:v>
                </c:pt>
                <c:pt idx="142">
                  <c:v>0</c:v>
                </c:pt>
                <c:pt idx="143">
                  <c:v>0</c:v>
                </c:pt>
                <c:pt idx="144">
                  <c:v>0</c:v>
                </c:pt>
                <c:pt idx="145">
                  <c:v>0</c:v>
                </c:pt>
                <c:pt idx="146">
                  <c:v>0</c:v>
                </c:pt>
                <c:pt idx="147">
                  <c:v>0</c:v>
                </c:pt>
                <c:pt idx="148">
                  <c:v>0</c:v>
                </c:pt>
                <c:pt idx="149">
                  <c:v>0</c:v>
                </c:pt>
                <c:pt idx="150">
                  <c:v>8.7584999999999996E-4</c:v>
                </c:pt>
                <c:pt idx="151">
                  <c:v>8.6994000000000004E-4</c:v>
                </c:pt>
                <c:pt idx="152">
                  <c:v>8.8584000000000004E-4</c:v>
                </c:pt>
                <c:pt idx="153">
                  <c:v>8.8268999999999999E-4</c:v>
                </c:pt>
                <c:pt idx="154">
                  <c:v>9.0381000000000001E-4</c:v>
                </c:pt>
                <c:pt idx="155">
                  <c:v>8.9894999999999992E-4</c:v>
                </c:pt>
                <c:pt idx="156">
                  <c:v>8.9231999999999994E-4</c:v>
                </c:pt>
                <c:pt idx="157">
                  <c:v>8.8926000000000001E-4</c:v>
                </c:pt>
                <c:pt idx="158">
                  <c:v>8.9448000000000001E-4</c:v>
                </c:pt>
                <c:pt idx="159">
                  <c:v>9.0218999999999998E-4</c:v>
                </c:pt>
                <c:pt idx="160">
                  <c:v>9.1829999999999993E-4</c:v>
                </c:pt>
                <c:pt idx="161">
                  <c:v>9.3203999999999987E-4</c:v>
                </c:pt>
                <c:pt idx="162">
                  <c:v>9.6077999999999995E-4</c:v>
                </c:pt>
                <c:pt idx="163">
                  <c:v>9.9675000000000002E-4</c:v>
                </c:pt>
                <c:pt idx="164">
                  <c:v>1.0283099999999999E-3</c:v>
                </c:pt>
                <c:pt idx="165">
                  <c:v>1.03926E-3</c:v>
                </c:pt>
                <c:pt idx="166">
                  <c:v>1.0469699999999999E-3</c:v>
                </c:pt>
                <c:pt idx="167">
                  <c:v>1.0389899999999998E-3</c:v>
                </c:pt>
                <c:pt idx="168">
                  <c:v>1.03257E-3</c:v>
                </c:pt>
                <c:pt idx="169">
                  <c:v>1.0372199999999999E-3</c:v>
                </c:pt>
                <c:pt idx="170">
                  <c:v>1.0225499999999999E-3</c:v>
                </c:pt>
                <c:pt idx="171">
                  <c:v>1.0280999999999999E-3</c:v>
                </c:pt>
                <c:pt idx="172">
                  <c:v>1.0259399999999999E-3</c:v>
                </c:pt>
                <c:pt idx="173">
                  <c:v>1.0228500000000001E-3</c:v>
                </c:pt>
                <c:pt idx="174">
                  <c:v>1.04856E-3</c:v>
                </c:pt>
                <c:pt idx="175">
                  <c:v>1.0900199999999999E-3</c:v>
                </c:pt>
                <c:pt idx="176">
                  <c:v>1.1372999999999999E-3</c:v>
                </c:pt>
                <c:pt idx="177">
                  <c:v>1.1707499999999999E-3</c:v>
                </c:pt>
                <c:pt idx="178">
                  <c:v>1.1796600000000001E-3</c:v>
                </c:pt>
                <c:pt idx="179">
                  <c:v>1.17606E-3</c:v>
                </c:pt>
                <c:pt idx="180">
                  <c:v>1.16964E-3</c:v>
                </c:pt>
                <c:pt idx="181">
                  <c:v>1.16745E-3</c:v>
                </c:pt>
                <c:pt idx="182">
                  <c:v>1.1798699999999997E-3</c:v>
                </c:pt>
                <c:pt idx="183">
                  <c:v>1.21407E-3</c:v>
                </c:pt>
                <c:pt idx="184">
                  <c:v>1.2422399999999999E-3</c:v>
                </c:pt>
                <c:pt idx="185">
                  <c:v>1.2619799999999998E-3</c:v>
                </c:pt>
                <c:pt idx="186">
                  <c:v>1.29582E-3</c:v>
                </c:pt>
                <c:pt idx="187">
                  <c:v>1.30788E-3</c:v>
                </c:pt>
                <c:pt idx="188">
                  <c:v>1.3101299999999998E-3</c:v>
                </c:pt>
                <c:pt idx="189">
                  <c:v>1.29528E-3</c:v>
                </c:pt>
                <c:pt idx="190">
                  <c:v>1.2740399999999999E-3</c:v>
                </c:pt>
                <c:pt idx="191">
                  <c:v>1.30809E-3</c:v>
                </c:pt>
                <c:pt idx="192">
                  <c:v>1.3692299999999999E-3</c:v>
                </c:pt>
                <c:pt idx="193">
                  <c:v>1.39734E-3</c:v>
                </c:pt>
                <c:pt idx="194">
                  <c:v>1.4083499999999998E-3</c:v>
                </c:pt>
                <c:pt idx="195">
                  <c:v>1.3957500000000001E-3</c:v>
                </c:pt>
                <c:pt idx="196">
                  <c:v>1.3974899999999999E-3</c:v>
                </c:pt>
                <c:pt idx="197">
                  <c:v>1.44432E-3</c:v>
                </c:pt>
                <c:pt idx="198">
                  <c:v>1.4727E-3</c:v>
                </c:pt>
                <c:pt idx="199">
                  <c:v>1.5173999999999999E-3</c:v>
                </c:pt>
                <c:pt idx="200">
                  <c:v>1.5515699999999999E-3</c:v>
                </c:pt>
                <c:pt idx="201">
                  <c:v>1.5886199999999998E-3</c:v>
                </c:pt>
                <c:pt idx="202">
                  <c:v>1.6445400000000001E-3</c:v>
                </c:pt>
                <c:pt idx="203">
                  <c:v>1.7046299999999999E-3</c:v>
                </c:pt>
                <c:pt idx="204">
                  <c:v>1.7499600000000001E-3</c:v>
                </c:pt>
                <c:pt idx="205">
                  <c:v>1.8381899999999997E-3</c:v>
                </c:pt>
                <c:pt idx="206">
                  <c:v>1.8958499999999997E-3</c:v>
                </c:pt>
                <c:pt idx="207">
                  <c:v>1.94823E-3</c:v>
                </c:pt>
                <c:pt idx="208">
                  <c:v>1.9791000000000001E-3</c:v>
                </c:pt>
                <c:pt idx="209">
                  <c:v>2.0103899999999999E-3</c:v>
                </c:pt>
                <c:pt idx="210">
                  <c:v>2.0830800000000002E-3</c:v>
                </c:pt>
                <c:pt idx="211">
                  <c:v>2.1847799999999999E-3</c:v>
                </c:pt>
                <c:pt idx="212">
                  <c:v>2.2879799999999998E-3</c:v>
                </c:pt>
                <c:pt idx="213">
                  <c:v>2.3679E-3</c:v>
                </c:pt>
                <c:pt idx="214">
                  <c:v>2.4309900000000001E-3</c:v>
                </c:pt>
                <c:pt idx="215">
                  <c:v>2.5259699999999998E-3</c:v>
                </c:pt>
                <c:pt idx="216">
                  <c:v>2.6534100000000001E-3</c:v>
                </c:pt>
                <c:pt idx="217">
                  <c:v>2.8089899999999999E-3</c:v>
                </c:pt>
                <c:pt idx="218">
                  <c:v>2.9832600000000002E-3</c:v>
                </c:pt>
                <c:pt idx="219">
                  <c:v>3.1859999999999996E-3</c:v>
                </c:pt>
                <c:pt idx="220">
                  <c:v>3.3704999999999998E-3</c:v>
                </c:pt>
                <c:pt idx="221">
                  <c:v>3.5709000000000001E-3</c:v>
                </c:pt>
                <c:pt idx="222">
                  <c:v>3.7905E-3</c:v>
                </c:pt>
                <c:pt idx="223">
                  <c:v>3.9944999999999998E-3</c:v>
                </c:pt>
                <c:pt idx="224">
                  <c:v>4.2233999999999996E-3</c:v>
                </c:pt>
                <c:pt idx="225">
                  <c:v>4.4862000000000001E-3</c:v>
                </c:pt>
                <c:pt idx="226">
                  <c:v>4.8087E-3</c:v>
                </c:pt>
                <c:pt idx="227">
                  <c:v>5.1827999999999996E-3</c:v>
                </c:pt>
                <c:pt idx="228">
                  <c:v>5.5818000000000005E-3</c:v>
                </c:pt>
                <c:pt idx="229">
                  <c:v>5.9921999999999996E-3</c:v>
                </c:pt>
                <c:pt idx="230">
                  <c:v>6.3882000000000001E-3</c:v>
                </c:pt>
                <c:pt idx="231">
                  <c:v>6.8498999999999999E-3</c:v>
                </c:pt>
                <c:pt idx="232">
                  <c:v>7.4082000000000002E-3</c:v>
                </c:pt>
                <c:pt idx="233">
                  <c:v>8.0135999999999992E-3</c:v>
                </c:pt>
                <c:pt idx="234">
                  <c:v>8.6373000000000005E-3</c:v>
                </c:pt>
                <c:pt idx="235">
                  <c:v>9.2502000000000001E-3</c:v>
                </c:pt>
                <c:pt idx="236">
                  <c:v>9.9398999999999998E-3</c:v>
                </c:pt>
                <c:pt idx="237">
                  <c:v>1.0741799999999999E-2</c:v>
                </c:pt>
                <c:pt idx="238">
                  <c:v>1.1658E-2</c:v>
                </c:pt>
                <c:pt idx="239">
                  <c:v>1.2617699999999999E-2</c:v>
                </c:pt>
                <c:pt idx="240">
                  <c:v>1.3624799999999999E-2</c:v>
                </c:pt>
                <c:pt idx="241">
                  <c:v>1.47219E-2</c:v>
                </c:pt>
                <c:pt idx="242">
                  <c:v>1.5956999999999999E-2</c:v>
                </c:pt>
                <c:pt idx="243">
                  <c:v>1.7267099999999997E-2</c:v>
                </c:pt>
                <c:pt idx="244">
                  <c:v>1.8663899999999997E-2</c:v>
                </c:pt>
                <c:pt idx="245">
                  <c:v>2.0089799999999998E-2</c:v>
                </c:pt>
                <c:pt idx="246">
                  <c:v>2.1624899999999999E-2</c:v>
                </c:pt>
                <c:pt idx="247">
                  <c:v>2.3324099999999997E-2</c:v>
                </c:pt>
                <c:pt idx="248">
                  <c:v>2.51154E-2</c:v>
                </c:pt>
                <c:pt idx="249">
                  <c:v>2.70099E-2</c:v>
                </c:pt>
                <c:pt idx="250">
                  <c:v>2.8932299999999998E-2</c:v>
                </c:pt>
                <c:pt idx="251">
                  <c:v>3.1007999999999997E-2</c:v>
                </c:pt>
                <c:pt idx="252">
                  <c:v>3.3387E-2</c:v>
                </c:pt>
                <c:pt idx="253">
                  <c:v>3.5783999999999996E-2</c:v>
                </c:pt>
                <c:pt idx="254">
                  <c:v>3.8318999999999999E-2</c:v>
                </c:pt>
                <c:pt idx="255">
                  <c:v>4.1097000000000002E-2</c:v>
                </c:pt>
                <c:pt idx="256">
                  <c:v>4.3949999999999996E-2</c:v>
                </c:pt>
                <c:pt idx="257">
                  <c:v>4.6865999999999998E-2</c:v>
                </c:pt>
                <c:pt idx="258">
                  <c:v>4.9946999999999998E-2</c:v>
                </c:pt>
                <c:pt idx="259">
                  <c:v>5.3165999999999998E-2</c:v>
                </c:pt>
                <c:pt idx="260">
                  <c:v>5.6513999999999995E-2</c:v>
                </c:pt>
                <c:pt idx="261">
                  <c:v>6.0110999999999998E-2</c:v>
                </c:pt>
                <c:pt idx="262">
                  <c:v>6.3921000000000006E-2</c:v>
                </c:pt>
                <c:pt idx="263">
                  <c:v>6.8117999999999998E-2</c:v>
                </c:pt>
                <c:pt idx="264">
                  <c:v>7.2414000000000006E-2</c:v>
                </c:pt>
                <c:pt idx="265">
                  <c:v>7.6689000000000007E-2</c:v>
                </c:pt>
                <c:pt idx="266">
                  <c:v>8.1015000000000004E-2</c:v>
                </c:pt>
                <c:pt idx="267">
                  <c:v>8.5449000000000011E-2</c:v>
                </c:pt>
                <c:pt idx="268">
                  <c:v>9.0197999999999987E-2</c:v>
                </c:pt>
                <c:pt idx="269">
                  <c:v>9.5250000000000001E-2</c:v>
                </c:pt>
                <c:pt idx="270">
                  <c:v>0.100545</c:v>
                </c:pt>
                <c:pt idx="271">
                  <c:v>0.10618799999999999</c:v>
                </c:pt>
                <c:pt idx="272">
                  <c:v>0.112071</c:v>
                </c:pt>
                <c:pt idx="273">
                  <c:v>0.11802599999999999</c:v>
                </c:pt>
                <c:pt idx="274">
                  <c:v>0.12415799999999999</c:v>
                </c:pt>
                <c:pt idx="275">
                  <c:v>0.13064699999999999</c:v>
                </c:pt>
                <c:pt idx="276">
                  <c:v>0.137571</c:v>
                </c:pt>
                <c:pt idx="277">
                  <c:v>0.14476499999999998</c:v>
                </c:pt>
                <c:pt idx="278">
                  <c:v>0.151227</c:v>
                </c:pt>
                <c:pt idx="279">
                  <c:v>0.156915</c:v>
                </c:pt>
                <c:pt idx="280">
                  <c:v>0.161799</c:v>
                </c:pt>
                <c:pt idx="281">
                  <c:v>0.16578599999999999</c:v>
                </c:pt>
                <c:pt idx="282">
                  <c:v>0.16900799999999999</c:v>
                </c:pt>
                <c:pt idx="283">
                  <c:v>0.171648</c:v>
                </c:pt>
                <c:pt idx="284">
                  <c:v>0.17463300000000001</c:v>
                </c:pt>
                <c:pt idx="285">
                  <c:v>0.17777100000000001</c:v>
                </c:pt>
                <c:pt idx="286">
                  <c:v>0.18067499999999997</c:v>
                </c:pt>
                <c:pt idx="287">
                  <c:v>0.18355200000000002</c:v>
                </c:pt>
                <c:pt idx="288">
                  <c:v>0.18670200000000001</c:v>
                </c:pt>
                <c:pt idx="289">
                  <c:v>0.18973799999999999</c:v>
                </c:pt>
                <c:pt idx="290">
                  <c:v>0.19261200000000001</c:v>
                </c:pt>
                <c:pt idx="291">
                  <c:v>0.19541700000000001</c:v>
                </c:pt>
                <c:pt idx="292">
                  <c:v>0.198324</c:v>
                </c:pt>
                <c:pt idx="293">
                  <c:v>0.201045</c:v>
                </c:pt>
                <c:pt idx="294">
                  <c:v>0.20339099999999999</c:v>
                </c:pt>
                <c:pt idx="295">
                  <c:v>0.205563</c:v>
                </c:pt>
                <c:pt idx="296">
                  <c:v>0.20707500000000001</c:v>
                </c:pt>
                <c:pt idx="297">
                  <c:v>0.20853599999999997</c:v>
                </c:pt>
                <c:pt idx="298">
                  <c:v>0.21001800000000001</c:v>
                </c:pt>
                <c:pt idx="299">
                  <c:v>0.21082499999999998</c:v>
                </c:pt>
                <c:pt idx="300">
                  <c:v>0.21088199999999999</c:v>
                </c:pt>
                <c:pt idx="301">
                  <c:v>0.21062099999999997</c:v>
                </c:pt>
                <c:pt idx="302">
                  <c:v>0.21045899999999998</c:v>
                </c:pt>
                <c:pt idx="303">
                  <c:v>0.20946899999999999</c:v>
                </c:pt>
                <c:pt idx="304">
                  <c:v>0.20774999999999999</c:v>
                </c:pt>
                <c:pt idx="305">
                  <c:v>0.20620799999999997</c:v>
                </c:pt>
                <c:pt idx="306">
                  <c:v>0.20454599999999998</c:v>
                </c:pt>
                <c:pt idx="307">
                  <c:v>0.202653</c:v>
                </c:pt>
                <c:pt idx="308">
                  <c:v>0.20017200000000002</c:v>
                </c:pt>
                <c:pt idx="309">
                  <c:v>0.19714499999999999</c:v>
                </c:pt>
                <c:pt idx="310">
                  <c:v>0.19439399999999998</c:v>
                </c:pt>
                <c:pt idx="311">
                  <c:v>0.19132199999999999</c:v>
                </c:pt>
                <c:pt idx="312">
                  <c:v>0.188496</c:v>
                </c:pt>
                <c:pt idx="313">
                  <c:v>0.18602399999999999</c:v>
                </c:pt>
                <c:pt idx="314">
                  <c:v>0.18298799999999998</c:v>
                </c:pt>
                <c:pt idx="315">
                  <c:v>0.17977199999999999</c:v>
                </c:pt>
                <c:pt idx="316">
                  <c:v>0.17694299999999999</c:v>
                </c:pt>
                <c:pt idx="317">
                  <c:v>0.17439000000000002</c:v>
                </c:pt>
                <c:pt idx="318">
                  <c:v>0.17190599999999998</c:v>
                </c:pt>
                <c:pt idx="319">
                  <c:v>0.16923599999999997</c:v>
                </c:pt>
                <c:pt idx="320">
                  <c:v>0.16656600000000002</c:v>
                </c:pt>
                <c:pt idx="321">
                  <c:v>0.163992</c:v>
                </c:pt>
                <c:pt idx="322">
                  <c:v>0.16204499999999999</c:v>
                </c:pt>
                <c:pt idx="323">
                  <c:v>0.16004399999999999</c:v>
                </c:pt>
                <c:pt idx="324">
                  <c:v>0.15683699999999998</c:v>
                </c:pt>
                <c:pt idx="325">
                  <c:v>0.153</c:v>
                </c:pt>
                <c:pt idx="326">
                  <c:v>0.15</c:v>
                </c:pt>
                <c:pt idx="327">
                  <c:v>0.14699999999999999</c:v>
                </c:pt>
                <c:pt idx="328">
                  <c:v>0.14549999999999999</c:v>
                </c:pt>
                <c:pt idx="329">
                  <c:v>0.14399999999999999</c:v>
                </c:pt>
                <c:pt idx="330">
                  <c:v>0.14249999999999999</c:v>
                </c:pt>
                <c:pt idx="331">
                  <c:v>0.14114699999999999</c:v>
                </c:pt>
                <c:pt idx="332">
                  <c:v>0.14007899999999998</c:v>
                </c:pt>
                <c:pt idx="333">
                  <c:v>0.13906499999999999</c:v>
                </c:pt>
                <c:pt idx="334">
                  <c:v>0.13809299999999999</c:v>
                </c:pt>
                <c:pt idx="335">
                  <c:v>0.13718999999999998</c:v>
                </c:pt>
                <c:pt idx="336">
                  <c:v>0.13633499999999998</c:v>
                </c:pt>
                <c:pt idx="337">
                  <c:v>0.13547999999999999</c:v>
                </c:pt>
                <c:pt idx="338">
                  <c:v>0.13463279999999997</c:v>
                </c:pt>
                <c:pt idx="339">
                  <c:v>0.13385219999999998</c:v>
                </c:pt>
                <c:pt idx="340">
                  <c:v>0.13313519999999998</c:v>
                </c:pt>
                <c:pt idx="341">
                  <c:v>0.13245749999999998</c:v>
                </c:pt>
                <c:pt idx="342">
                  <c:v>0.13177559999999999</c:v>
                </c:pt>
                <c:pt idx="343">
                  <c:v>0.13109759999999998</c:v>
                </c:pt>
                <c:pt idx="344">
                  <c:v>0.1304535</c:v>
                </c:pt>
                <c:pt idx="345">
                  <c:v>0.12988469999999999</c:v>
                </c:pt>
                <c:pt idx="346">
                  <c:v>0.12939989999999998</c:v>
                </c:pt>
                <c:pt idx="347">
                  <c:v>0.12896309999999997</c:v>
                </c:pt>
                <c:pt idx="348">
                  <c:v>0.12858629999999999</c:v>
                </c:pt>
                <c:pt idx="349">
                  <c:v>0.1282671</c:v>
                </c:pt>
                <c:pt idx="350">
                  <c:v>0.1279362</c:v>
                </c:pt>
                <c:pt idx="351">
                  <c:v>0.12765209999999999</c:v>
                </c:pt>
                <c:pt idx="352">
                  <c:v>0.1274016</c:v>
                </c:pt>
                <c:pt idx="353">
                  <c:v>0.12721109999999999</c:v>
                </c:pt>
                <c:pt idx="354">
                  <c:v>0.12706049999999999</c:v>
                </c:pt>
                <c:pt idx="355">
                  <c:v>0.12696959999999999</c:v>
                </c:pt>
                <c:pt idx="356">
                  <c:v>0.12693269999999998</c:v>
                </c:pt>
                <c:pt idx="357">
                  <c:v>0.12691349999999998</c:v>
                </c:pt>
                <c:pt idx="358">
                  <c:v>0.12692099999999998</c:v>
                </c:pt>
                <c:pt idx="359">
                  <c:v>0.12693749999999998</c:v>
                </c:pt>
                <c:pt idx="360">
                  <c:v>0.1269873</c:v>
                </c:pt>
                <c:pt idx="361">
                  <c:v>0.12710189999999999</c:v>
                </c:pt>
                <c:pt idx="362">
                  <c:v>0.12724319999999997</c:v>
                </c:pt>
                <c:pt idx="363">
                  <c:v>0.12734999999999999</c:v>
                </c:pt>
                <c:pt idx="364">
                  <c:v>0.1275</c:v>
                </c:pt>
                <c:pt idx="365">
                  <c:v>0.1278</c:v>
                </c:pt>
                <c:pt idx="366">
                  <c:v>0.12809999999999999</c:v>
                </c:pt>
                <c:pt idx="367">
                  <c:v>0.12839999999999999</c:v>
                </c:pt>
                <c:pt idx="368">
                  <c:v>0.12869999999999998</c:v>
                </c:pt>
                <c:pt idx="369">
                  <c:v>0.129</c:v>
                </c:pt>
                <c:pt idx="370">
                  <c:v>0.1293</c:v>
                </c:pt>
                <c:pt idx="371">
                  <c:v>0.12959999999999999</c:v>
                </c:pt>
                <c:pt idx="372">
                  <c:v>0.12989999999999999</c:v>
                </c:pt>
                <c:pt idx="373">
                  <c:v>0.13019999999999998</c:v>
                </c:pt>
                <c:pt idx="374">
                  <c:v>0.1305</c:v>
                </c:pt>
                <c:pt idx="375">
                  <c:v>0.1308</c:v>
                </c:pt>
                <c:pt idx="376">
                  <c:v>0.13117859999999998</c:v>
                </c:pt>
                <c:pt idx="377">
                  <c:v>0.13158329999999999</c:v>
                </c:pt>
                <c:pt idx="378">
                  <c:v>0.13198919999999997</c:v>
                </c:pt>
                <c:pt idx="379">
                  <c:v>0.13239329999999999</c:v>
                </c:pt>
                <c:pt idx="380">
                  <c:v>0.13284299999999999</c:v>
                </c:pt>
                <c:pt idx="381">
                  <c:v>0.13332929999999998</c:v>
                </c:pt>
                <c:pt idx="382">
                  <c:v>0.13379999999999997</c:v>
                </c:pt>
                <c:pt idx="383">
                  <c:v>0.1342632</c:v>
                </c:pt>
                <c:pt idx="384">
                  <c:v>0.1347786</c:v>
                </c:pt>
                <c:pt idx="385">
                  <c:v>0.13526099999999999</c:v>
                </c:pt>
                <c:pt idx="386">
                  <c:v>0.13575899999999999</c:v>
                </c:pt>
                <c:pt idx="387">
                  <c:v>0.136263</c:v>
                </c:pt>
                <c:pt idx="388">
                  <c:v>0.13674600000000001</c:v>
                </c:pt>
                <c:pt idx="389">
                  <c:v>0.13726799999999997</c:v>
                </c:pt>
                <c:pt idx="390">
                  <c:v>0.13785599999999998</c:v>
                </c:pt>
                <c:pt idx="391">
                  <c:v>0.13843199999999997</c:v>
                </c:pt>
                <c:pt idx="392">
                  <c:v>0.13899899999999998</c:v>
                </c:pt>
                <c:pt idx="393">
                  <c:v>0.13933199999999998</c:v>
                </c:pt>
                <c:pt idx="394">
                  <c:v>0.13933199999999998</c:v>
                </c:pt>
                <c:pt idx="395">
                  <c:v>0.13933199999999998</c:v>
                </c:pt>
                <c:pt idx="396">
                  <c:v>0.13933199999999998</c:v>
                </c:pt>
                <c:pt idx="397">
                  <c:v>0.13933199999999998</c:v>
                </c:pt>
                <c:pt idx="398">
                  <c:v>0.13933199999999998</c:v>
                </c:pt>
                <c:pt idx="399">
                  <c:v>0.13933199999999998</c:v>
                </c:pt>
                <c:pt idx="400">
                  <c:v>0.13933199999999998</c:v>
                </c:pt>
                <c:pt idx="401">
                  <c:v>0.13933199999999998</c:v>
                </c:pt>
                <c:pt idx="402">
                  <c:v>0.13933199999999998</c:v>
                </c:pt>
                <c:pt idx="403">
                  <c:v>0.13933199999999998</c:v>
                </c:pt>
                <c:pt idx="404">
                  <c:v>0.13933199999999998</c:v>
                </c:pt>
                <c:pt idx="405">
                  <c:v>0.13933199999999998</c:v>
                </c:pt>
                <c:pt idx="406">
                  <c:v>0.13933199999999998</c:v>
                </c:pt>
                <c:pt idx="407">
                  <c:v>0.13933199999999998</c:v>
                </c:pt>
                <c:pt idx="408">
                  <c:v>0.13933199999999998</c:v>
                </c:pt>
                <c:pt idx="409">
                  <c:v>0.13933199999999998</c:v>
                </c:pt>
                <c:pt idx="410">
                  <c:v>0.13933199999999998</c:v>
                </c:pt>
                <c:pt idx="411">
                  <c:v>0.13933199999999998</c:v>
                </c:pt>
                <c:pt idx="412">
                  <c:v>0.13933199999999998</c:v>
                </c:pt>
                <c:pt idx="413">
                  <c:v>0.13933199999999998</c:v>
                </c:pt>
                <c:pt idx="414">
                  <c:v>0.13933199999999998</c:v>
                </c:pt>
                <c:pt idx="415">
                  <c:v>0.13933199999999998</c:v>
                </c:pt>
                <c:pt idx="416">
                  <c:v>0.13933199999999998</c:v>
                </c:pt>
                <c:pt idx="417">
                  <c:v>0.13933199999999998</c:v>
                </c:pt>
                <c:pt idx="418">
                  <c:v>0.13933199999999998</c:v>
                </c:pt>
                <c:pt idx="419">
                  <c:v>0.13933199999999998</c:v>
                </c:pt>
                <c:pt idx="420">
                  <c:v>0.13933199999999998</c:v>
                </c:pt>
                <c:pt idx="421">
                  <c:v>0.13933199999999998</c:v>
                </c:pt>
                <c:pt idx="422">
                  <c:v>0.13933199999999998</c:v>
                </c:pt>
                <c:pt idx="423">
                  <c:v>0.13933199999999998</c:v>
                </c:pt>
                <c:pt idx="424">
                  <c:v>0.13929899999999998</c:v>
                </c:pt>
                <c:pt idx="425">
                  <c:v>0.139233</c:v>
                </c:pt>
                <c:pt idx="426">
                  <c:v>0.13912799999999997</c:v>
                </c:pt>
                <c:pt idx="427">
                  <c:v>0.13906199999999999</c:v>
                </c:pt>
                <c:pt idx="428">
                  <c:v>0.13900500000000002</c:v>
                </c:pt>
                <c:pt idx="429">
                  <c:v>0.13902600000000001</c:v>
                </c:pt>
                <c:pt idx="430">
                  <c:v>0.13902</c:v>
                </c:pt>
                <c:pt idx="431">
                  <c:v>0.139017</c:v>
                </c:pt>
                <c:pt idx="432">
                  <c:v>0.13902600000000001</c:v>
                </c:pt>
                <c:pt idx="433">
                  <c:v>0.13906499999999999</c:v>
                </c:pt>
                <c:pt idx="434">
                  <c:v>0.13907700000000001</c:v>
                </c:pt>
                <c:pt idx="435">
                  <c:v>0.139122</c:v>
                </c:pt>
                <c:pt idx="436">
                  <c:v>0.13911899999999999</c:v>
                </c:pt>
                <c:pt idx="437">
                  <c:v>0.139131</c:v>
                </c:pt>
                <c:pt idx="438">
                  <c:v>0.13916100000000001</c:v>
                </c:pt>
                <c:pt idx="439">
                  <c:v>0.139125</c:v>
                </c:pt>
                <c:pt idx="440">
                  <c:v>0.13909199999999999</c:v>
                </c:pt>
                <c:pt idx="441">
                  <c:v>0.139047</c:v>
                </c:pt>
                <c:pt idx="442">
                  <c:v>0.139011</c:v>
                </c:pt>
                <c:pt idx="443">
                  <c:v>0.13900799999999999</c:v>
                </c:pt>
                <c:pt idx="444">
                  <c:v>0.13910399999999998</c:v>
                </c:pt>
                <c:pt idx="445">
                  <c:v>0.13918499999999998</c:v>
                </c:pt>
                <c:pt idx="446">
                  <c:v>0.139182</c:v>
                </c:pt>
                <c:pt idx="447">
                  <c:v>0.13922099999999998</c:v>
                </c:pt>
                <c:pt idx="448">
                  <c:v>0.139293</c:v>
                </c:pt>
                <c:pt idx="449">
                  <c:v>0.13936199999999999</c:v>
                </c:pt>
                <c:pt idx="450">
                  <c:v>0.13933500000000001</c:v>
                </c:pt>
                <c:pt idx="451">
                  <c:v>0.13925399999999999</c:v>
                </c:pt>
                <c:pt idx="452">
                  <c:v>0.13925699999999999</c:v>
                </c:pt>
                <c:pt idx="453">
                  <c:v>0.13928399999999999</c:v>
                </c:pt>
                <c:pt idx="454">
                  <c:v>0.13936199999999999</c:v>
                </c:pt>
                <c:pt idx="455">
                  <c:v>0.13941599999999998</c:v>
                </c:pt>
                <c:pt idx="456">
                  <c:v>0.13944899999999999</c:v>
                </c:pt>
                <c:pt idx="457">
                  <c:v>0.13945199999999999</c:v>
                </c:pt>
                <c:pt idx="458">
                  <c:v>0.13938</c:v>
                </c:pt>
                <c:pt idx="459">
                  <c:v>0.13933800000000002</c:v>
                </c:pt>
                <c:pt idx="460">
                  <c:v>0.13937099999999999</c:v>
                </c:pt>
                <c:pt idx="461">
                  <c:v>0.13948199999999999</c:v>
                </c:pt>
                <c:pt idx="462">
                  <c:v>0.13956000000000002</c:v>
                </c:pt>
                <c:pt idx="463">
                  <c:v>0.139707</c:v>
                </c:pt>
                <c:pt idx="464">
                  <c:v>0.13977300000000001</c:v>
                </c:pt>
                <c:pt idx="465">
                  <c:v>0.13983599999999999</c:v>
                </c:pt>
                <c:pt idx="466">
                  <c:v>0.13981499999999999</c:v>
                </c:pt>
                <c:pt idx="467">
                  <c:v>0.139788</c:v>
                </c:pt>
                <c:pt idx="468">
                  <c:v>0.13983900000000002</c:v>
                </c:pt>
                <c:pt idx="469">
                  <c:v>0.139872</c:v>
                </c:pt>
                <c:pt idx="470">
                  <c:v>0.14001</c:v>
                </c:pt>
                <c:pt idx="471">
                  <c:v>0.140127</c:v>
                </c:pt>
                <c:pt idx="472">
                  <c:v>0.14027999999999999</c:v>
                </c:pt>
                <c:pt idx="473">
                  <c:v>0.140373</c:v>
                </c:pt>
                <c:pt idx="474">
                  <c:v>0.14048099999999999</c:v>
                </c:pt>
                <c:pt idx="475">
                  <c:v>0.14059199999999999</c:v>
                </c:pt>
                <c:pt idx="476">
                  <c:v>0.140763</c:v>
                </c:pt>
                <c:pt idx="477">
                  <c:v>0.14092499999999999</c:v>
                </c:pt>
                <c:pt idx="478">
                  <c:v>0.14105399999999998</c:v>
                </c:pt>
                <c:pt idx="479">
                  <c:v>0.141204</c:v>
                </c:pt>
                <c:pt idx="480">
                  <c:v>0.141372</c:v>
                </c:pt>
                <c:pt idx="481">
                  <c:v>0.14159099999999999</c:v>
                </c:pt>
                <c:pt idx="482">
                  <c:v>0.141738</c:v>
                </c:pt>
                <c:pt idx="483">
                  <c:v>0.1419</c:v>
                </c:pt>
                <c:pt idx="484">
                  <c:v>0.142125</c:v>
                </c:pt>
                <c:pt idx="485">
                  <c:v>0.142347</c:v>
                </c:pt>
                <c:pt idx="486">
                  <c:v>0.14255999999999999</c:v>
                </c:pt>
                <c:pt idx="487">
                  <c:v>0.14291400000000001</c:v>
                </c:pt>
                <c:pt idx="488">
                  <c:v>0.14327100000000001</c:v>
                </c:pt>
                <c:pt idx="489">
                  <c:v>0.14366700000000002</c:v>
                </c:pt>
                <c:pt idx="490">
                  <c:v>0.14395799999999997</c:v>
                </c:pt>
                <c:pt idx="491">
                  <c:v>0.14427299999999998</c:v>
                </c:pt>
                <c:pt idx="492">
                  <c:v>0.144621</c:v>
                </c:pt>
                <c:pt idx="493">
                  <c:v>0.14504400000000001</c:v>
                </c:pt>
                <c:pt idx="494">
                  <c:v>0.145314</c:v>
                </c:pt>
                <c:pt idx="495">
                  <c:v>0.14571899999999999</c:v>
                </c:pt>
                <c:pt idx="496">
                  <c:v>0.14617499999999997</c:v>
                </c:pt>
                <c:pt idx="497">
                  <c:v>0.14674499999999999</c:v>
                </c:pt>
                <c:pt idx="498">
                  <c:v>0.14724899999999999</c:v>
                </c:pt>
                <c:pt idx="499">
                  <c:v>0.14771399999999998</c:v>
                </c:pt>
                <c:pt idx="500">
                  <c:v>0.14826299999999998</c:v>
                </c:pt>
                <c:pt idx="501">
                  <c:v>0.148701</c:v>
                </c:pt>
                <c:pt idx="502">
                  <c:v>0.14912700000000001</c:v>
                </c:pt>
                <c:pt idx="503">
                  <c:v>0.14968499999999998</c:v>
                </c:pt>
                <c:pt idx="504">
                  <c:v>0.15027299999999999</c:v>
                </c:pt>
                <c:pt idx="505">
                  <c:v>0.15093900000000002</c:v>
                </c:pt>
                <c:pt idx="506">
                  <c:v>0.15157499999999999</c:v>
                </c:pt>
                <c:pt idx="507">
                  <c:v>0.15220499999999998</c:v>
                </c:pt>
                <c:pt idx="508">
                  <c:v>0.15285899999999999</c:v>
                </c:pt>
                <c:pt idx="509">
                  <c:v>0.15352499999999997</c:v>
                </c:pt>
                <c:pt idx="510">
                  <c:v>0.15424499999999999</c:v>
                </c:pt>
                <c:pt idx="511">
                  <c:v>0.15503099999999997</c:v>
                </c:pt>
                <c:pt idx="512">
                  <c:v>0.15599100000000002</c:v>
                </c:pt>
                <c:pt idx="513">
                  <c:v>0.15685199999999999</c:v>
                </c:pt>
                <c:pt idx="514">
                  <c:v>0.15781799999999999</c:v>
                </c:pt>
                <c:pt idx="515">
                  <c:v>0.15887699999999999</c:v>
                </c:pt>
                <c:pt idx="516">
                  <c:v>0.15981300000000001</c:v>
                </c:pt>
                <c:pt idx="517">
                  <c:v>0.16070699999999999</c:v>
                </c:pt>
                <c:pt idx="518">
                  <c:v>0.16162799999999999</c:v>
                </c:pt>
                <c:pt idx="519">
                  <c:v>0.16256699999999999</c:v>
                </c:pt>
                <c:pt idx="520">
                  <c:v>0.163602</c:v>
                </c:pt>
                <c:pt idx="521">
                  <c:v>0.16452600000000001</c:v>
                </c:pt>
                <c:pt idx="522">
                  <c:v>0.165468</c:v>
                </c:pt>
                <c:pt idx="523">
                  <c:v>0.16634099999999999</c:v>
                </c:pt>
                <c:pt idx="524">
                  <c:v>0.16721699999999998</c:v>
                </c:pt>
                <c:pt idx="525">
                  <c:v>0.16807199999999997</c:v>
                </c:pt>
                <c:pt idx="526">
                  <c:v>0.16891199999999998</c:v>
                </c:pt>
                <c:pt idx="527">
                  <c:v>0.16945499999999999</c:v>
                </c:pt>
                <c:pt idx="528">
                  <c:v>0.16983299999999998</c:v>
                </c:pt>
                <c:pt idx="529">
                  <c:v>0.169992</c:v>
                </c:pt>
                <c:pt idx="530">
                  <c:v>0.17025599999999999</c:v>
                </c:pt>
                <c:pt idx="531">
                  <c:v>0.17057400000000003</c:v>
                </c:pt>
                <c:pt idx="532">
                  <c:v>0.17088</c:v>
                </c:pt>
                <c:pt idx="533">
                  <c:v>0.17124599999999998</c:v>
                </c:pt>
                <c:pt idx="534">
                  <c:v>0.17150699999999999</c:v>
                </c:pt>
                <c:pt idx="535">
                  <c:v>0.171789</c:v>
                </c:pt>
                <c:pt idx="536">
                  <c:v>0.17206800000000003</c:v>
                </c:pt>
                <c:pt idx="537">
                  <c:v>0.17236499999999999</c:v>
                </c:pt>
                <c:pt idx="538">
                  <c:v>0.17267399999999999</c:v>
                </c:pt>
                <c:pt idx="539">
                  <c:v>0.172872</c:v>
                </c:pt>
                <c:pt idx="540">
                  <c:v>0.17303400000000002</c:v>
                </c:pt>
                <c:pt idx="541">
                  <c:v>0.17333999999999999</c:v>
                </c:pt>
                <c:pt idx="542">
                  <c:v>0.17374199999999998</c:v>
                </c:pt>
                <c:pt idx="543">
                  <c:v>0.17421300000000001</c:v>
                </c:pt>
                <c:pt idx="544">
                  <c:v>0.17455499999999999</c:v>
                </c:pt>
                <c:pt idx="545">
                  <c:v>0.17492099999999999</c:v>
                </c:pt>
                <c:pt idx="546">
                  <c:v>0.17531100000000002</c:v>
                </c:pt>
                <c:pt idx="547">
                  <c:v>0.17572200000000002</c:v>
                </c:pt>
                <c:pt idx="548">
                  <c:v>0.176094</c:v>
                </c:pt>
                <c:pt idx="549">
                  <c:v>0.17646000000000001</c:v>
                </c:pt>
                <c:pt idx="550">
                  <c:v>0.176982</c:v>
                </c:pt>
                <c:pt idx="551">
                  <c:v>0.177366</c:v>
                </c:pt>
                <c:pt idx="552">
                  <c:v>0.177621</c:v>
                </c:pt>
                <c:pt idx="553">
                  <c:v>0.177978</c:v>
                </c:pt>
                <c:pt idx="554">
                  <c:v>0.17840999999999999</c:v>
                </c:pt>
                <c:pt idx="555">
                  <c:v>0.17897699999999997</c:v>
                </c:pt>
                <c:pt idx="556">
                  <c:v>0.17959199999999997</c:v>
                </c:pt>
                <c:pt idx="557">
                  <c:v>0.18003</c:v>
                </c:pt>
                <c:pt idx="558">
                  <c:v>0.18049499999999999</c:v>
                </c:pt>
                <c:pt idx="559">
                  <c:v>0.18088199999999996</c:v>
                </c:pt>
                <c:pt idx="560">
                  <c:v>0.18122999999999997</c:v>
                </c:pt>
                <c:pt idx="561">
                  <c:v>0.18162599999999998</c:v>
                </c:pt>
                <c:pt idx="562">
                  <c:v>0.182004</c:v>
                </c:pt>
                <c:pt idx="563">
                  <c:v>0.18238499999999999</c:v>
                </c:pt>
                <c:pt idx="564">
                  <c:v>0.18288299999999999</c:v>
                </c:pt>
                <c:pt idx="565">
                  <c:v>0.18347999999999998</c:v>
                </c:pt>
                <c:pt idx="566">
                  <c:v>0.18401999999999999</c:v>
                </c:pt>
                <c:pt idx="567">
                  <c:v>0.18431100000000003</c:v>
                </c:pt>
                <c:pt idx="568">
                  <c:v>0.18468600000000002</c:v>
                </c:pt>
                <c:pt idx="569">
                  <c:v>0.18524399999999999</c:v>
                </c:pt>
                <c:pt idx="570">
                  <c:v>0.18581999999999999</c:v>
                </c:pt>
                <c:pt idx="571">
                  <c:v>0.18635400000000002</c:v>
                </c:pt>
                <c:pt idx="572">
                  <c:v>0.18670500000000001</c:v>
                </c:pt>
                <c:pt idx="573">
                  <c:v>0.18714</c:v>
                </c:pt>
                <c:pt idx="574">
                  <c:v>0.18756300000000001</c:v>
                </c:pt>
                <c:pt idx="575">
                  <c:v>0.18804000000000001</c:v>
                </c:pt>
                <c:pt idx="576">
                  <c:v>0.18848400000000001</c:v>
                </c:pt>
                <c:pt idx="577">
                  <c:v>0.18890100000000001</c:v>
                </c:pt>
                <c:pt idx="578">
                  <c:v>0.18948899999999999</c:v>
                </c:pt>
                <c:pt idx="579">
                  <c:v>0.18996900000000003</c:v>
                </c:pt>
                <c:pt idx="580">
                  <c:v>0.19050300000000001</c:v>
                </c:pt>
                <c:pt idx="581">
                  <c:v>0.191076</c:v>
                </c:pt>
                <c:pt idx="582">
                  <c:v>0.19147499999999998</c:v>
                </c:pt>
                <c:pt idx="583">
                  <c:v>0.19178100000000001</c:v>
                </c:pt>
                <c:pt idx="584">
                  <c:v>0.19239599999999998</c:v>
                </c:pt>
                <c:pt idx="585">
                  <c:v>0.192885</c:v>
                </c:pt>
                <c:pt idx="586">
                  <c:v>0.19317000000000001</c:v>
                </c:pt>
                <c:pt idx="587">
                  <c:v>0.19350600000000001</c:v>
                </c:pt>
                <c:pt idx="588">
                  <c:v>0.193914</c:v>
                </c:pt>
                <c:pt idx="589">
                  <c:v>0.19417800000000002</c:v>
                </c:pt>
                <c:pt idx="590">
                  <c:v>0.19453800000000002</c:v>
                </c:pt>
                <c:pt idx="591">
                  <c:v>0.19503899999999999</c:v>
                </c:pt>
                <c:pt idx="592">
                  <c:v>0.19533899999999998</c:v>
                </c:pt>
                <c:pt idx="593">
                  <c:v>0.195747</c:v>
                </c:pt>
                <c:pt idx="594">
                  <c:v>0.19620299999999999</c:v>
                </c:pt>
                <c:pt idx="595">
                  <c:v>0.19656299999999999</c:v>
                </c:pt>
                <c:pt idx="596">
                  <c:v>0.196821</c:v>
                </c:pt>
                <c:pt idx="597">
                  <c:v>0.19730699999999998</c:v>
                </c:pt>
                <c:pt idx="598">
                  <c:v>0.19759199999999999</c:v>
                </c:pt>
                <c:pt idx="599">
                  <c:v>0.19777500000000001</c:v>
                </c:pt>
                <c:pt idx="600">
                  <c:v>0.19846800000000001</c:v>
                </c:pt>
                <c:pt idx="601">
                  <c:v>0.199347</c:v>
                </c:pt>
                <c:pt idx="602">
                  <c:v>0.20043</c:v>
                </c:pt>
                <c:pt idx="603">
                  <c:v>0.20136000000000001</c:v>
                </c:pt>
                <c:pt idx="604">
                  <c:v>0.202236</c:v>
                </c:pt>
                <c:pt idx="605">
                  <c:v>0.20288999999999999</c:v>
                </c:pt>
                <c:pt idx="606">
                  <c:v>0.20385600000000001</c:v>
                </c:pt>
                <c:pt idx="607">
                  <c:v>0.20466299999999998</c:v>
                </c:pt>
                <c:pt idx="608">
                  <c:v>0.20554799999999998</c:v>
                </c:pt>
                <c:pt idx="609">
                  <c:v>0.20639099999999999</c:v>
                </c:pt>
                <c:pt idx="610">
                  <c:v>0.20717099999999999</c:v>
                </c:pt>
                <c:pt idx="611">
                  <c:v>0.20811300000000002</c:v>
                </c:pt>
                <c:pt idx="612">
                  <c:v>0.20890199999999998</c:v>
                </c:pt>
                <c:pt idx="613">
                  <c:v>0.209838</c:v>
                </c:pt>
                <c:pt idx="614">
                  <c:v>0.210504</c:v>
                </c:pt>
                <c:pt idx="615">
                  <c:v>0.21122099999999999</c:v>
                </c:pt>
                <c:pt idx="616">
                  <c:v>0.212037</c:v>
                </c:pt>
                <c:pt idx="617">
                  <c:v>0.212838</c:v>
                </c:pt>
                <c:pt idx="618">
                  <c:v>0.21361499999999997</c:v>
                </c:pt>
                <c:pt idx="619">
                  <c:v>0.21432000000000001</c:v>
                </c:pt>
                <c:pt idx="620">
                  <c:v>0.215004</c:v>
                </c:pt>
                <c:pt idx="621">
                  <c:v>0.21557999999999999</c:v>
                </c:pt>
                <c:pt idx="622">
                  <c:v>0.216249</c:v>
                </c:pt>
                <c:pt idx="623">
                  <c:v>0.21703199999999997</c:v>
                </c:pt>
                <c:pt idx="624">
                  <c:v>0.217887</c:v>
                </c:pt>
                <c:pt idx="625">
                  <c:v>0.218754</c:v>
                </c:pt>
                <c:pt idx="626">
                  <c:v>0.219444</c:v>
                </c:pt>
                <c:pt idx="627">
                  <c:v>0.22009199999999998</c:v>
                </c:pt>
                <c:pt idx="628">
                  <c:v>0.22070399999999998</c:v>
                </c:pt>
                <c:pt idx="629">
                  <c:v>0.22122900000000001</c:v>
                </c:pt>
                <c:pt idx="630">
                  <c:v>0.22211699999999998</c:v>
                </c:pt>
                <c:pt idx="631">
                  <c:v>0.22264800000000001</c:v>
                </c:pt>
                <c:pt idx="632">
                  <c:v>0.223272</c:v>
                </c:pt>
                <c:pt idx="633">
                  <c:v>0.22387199999999999</c:v>
                </c:pt>
                <c:pt idx="634">
                  <c:v>0.22451699999999999</c:v>
                </c:pt>
                <c:pt idx="635">
                  <c:v>0.22500899999999999</c:v>
                </c:pt>
                <c:pt idx="636">
                  <c:v>0.225693</c:v>
                </c:pt>
                <c:pt idx="637">
                  <c:v>0.22613699999999998</c:v>
                </c:pt>
                <c:pt idx="638">
                  <c:v>0.22686300000000001</c:v>
                </c:pt>
                <c:pt idx="639">
                  <c:v>0.22730699999999998</c:v>
                </c:pt>
                <c:pt idx="640">
                  <c:v>0.22760099999999997</c:v>
                </c:pt>
                <c:pt idx="641">
                  <c:v>0.22800899999999999</c:v>
                </c:pt>
                <c:pt idx="642">
                  <c:v>0.22855199999999998</c:v>
                </c:pt>
                <c:pt idx="643">
                  <c:v>0.22916999999999998</c:v>
                </c:pt>
                <c:pt idx="644">
                  <c:v>0.22958699999999999</c:v>
                </c:pt>
                <c:pt idx="645">
                  <c:v>0.23009399999999999</c:v>
                </c:pt>
                <c:pt idx="646">
                  <c:v>0.23046899999999998</c:v>
                </c:pt>
                <c:pt idx="647">
                  <c:v>0.230709</c:v>
                </c:pt>
                <c:pt idx="648">
                  <c:v>0.23108699999999999</c:v>
                </c:pt>
                <c:pt idx="649">
                  <c:v>0.23157299999999997</c:v>
                </c:pt>
                <c:pt idx="650">
                  <c:v>0.232104</c:v>
                </c:pt>
                <c:pt idx="651">
                  <c:v>0.232377</c:v>
                </c:pt>
                <c:pt idx="652">
                  <c:v>0.23270999999999997</c:v>
                </c:pt>
                <c:pt idx="653">
                  <c:v>0.23271599999999998</c:v>
                </c:pt>
                <c:pt idx="654">
                  <c:v>0.23308799999999999</c:v>
                </c:pt>
                <c:pt idx="655">
                  <c:v>0.23342699999999997</c:v>
                </c:pt>
                <c:pt idx="656">
                  <c:v>0.23364000000000001</c:v>
                </c:pt>
                <c:pt idx="657">
                  <c:v>0.233766</c:v>
                </c:pt>
                <c:pt idx="658">
                  <c:v>0.23397299999999999</c:v>
                </c:pt>
                <c:pt idx="659">
                  <c:v>0.23458499999999999</c:v>
                </c:pt>
                <c:pt idx="660">
                  <c:v>0.23485199999999998</c:v>
                </c:pt>
                <c:pt idx="661">
                  <c:v>0.23481599999999997</c:v>
                </c:pt>
                <c:pt idx="662">
                  <c:v>0.23476499999999997</c:v>
                </c:pt>
                <c:pt idx="663">
                  <c:v>0.23508899999999999</c:v>
                </c:pt>
                <c:pt idx="664">
                  <c:v>0.235287</c:v>
                </c:pt>
                <c:pt idx="665">
                  <c:v>0.23570099999999999</c:v>
                </c:pt>
                <c:pt idx="666">
                  <c:v>0.235902</c:v>
                </c:pt>
                <c:pt idx="667">
                  <c:v>0.23611799999999999</c:v>
                </c:pt>
                <c:pt idx="668">
                  <c:v>0.236424</c:v>
                </c:pt>
                <c:pt idx="669">
                  <c:v>0.236787</c:v>
                </c:pt>
                <c:pt idx="670">
                  <c:v>0.23706299999999997</c:v>
                </c:pt>
                <c:pt idx="671">
                  <c:v>0.23732399999999998</c:v>
                </c:pt>
                <c:pt idx="672">
                  <c:v>0.23732699999999998</c:v>
                </c:pt>
                <c:pt idx="673">
                  <c:v>0.23751900000000001</c:v>
                </c:pt>
                <c:pt idx="674">
                  <c:v>0.23760299999999998</c:v>
                </c:pt>
                <c:pt idx="675">
                  <c:v>0.237507</c:v>
                </c:pt>
                <c:pt idx="676">
                  <c:v>0.23767799999999997</c:v>
                </c:pt>
                <c:pt idx="677">
                  <c:v>0.23780400000000002</c:v>
                </c:pt>
                <c:pt idx="678">
                  <c:v>0.23777699999999999</c:v>
                </c:pt>
                <c:pt idx="679">
                  <c:v>0.23765399999999998</c:v>
                </c:pt>
                <c:pt idx="680">
                  <c:v>0.23765399999999998</c:v>
                </c:pt>
                <c:pt idx="681">
                  <c:v>0.23778299999999999</c:v>
                </c:pt>
                <c:pt idx="682">
                  <c:v>0.23807099999999998</c:v>
                </c:pt>
                <c:pt idx="683">
                  <c:v>0.23830499999999999</c:v>
                </c:pt>
                <c:pt idx="684">
                  <c:v>0.23824799999999999</c:v>
                </c:pt>
                <c:pt idx="685">
                  <c:v>0.23809499999999997</c:v>
                </c:pt>
                <c:pt idx="686">
                  <c:v>0.23804700000000001</c:v>
                </c:pt>
                <c:pt idx="687">
                  <c:v>0.23783099999999999</c:v>
                </c:pt>
                <c:pt idx="688">
                  <c:v>0.23771700000000001</c:v>
                </c:pt>
                <c:pt idx="689">
                  <c:v>0.237537</c:v>
                </c:pt>
                <c:pt idx="690">
                  <c:v>0.23754599999999998</c:v>
                </c:pt>
                <c:pt idx="691">
                  <c:v>0.23755500000000002</c:v>
                </c:pt>
                <c:pt idx="692">
                  <c:v>0.23784097320599995</c:v>
                </c:pt>
                <c:pt idx="693">
                  <c:v>0.23789694959999996</c:v>
                </c:pt>
                <c:pt idx="694">
                  <c:v>0.23785399676999999</c:v>
                </c:pt>
                <c:pt idx="695">
                  <c:v>0.23795136923999999</c:v>
                </c:pt>
                <c:pt idx="696">
                  <c:v>0.238041</c:v>
                </c:pt>
                <c:pt idx="697">
                  <c:v>0.23826899999999998</c:v>
                </c:pt>
                <c:pt idx="698">
                  <c:v>0.2381281767</c:v>
                </c:pt>
                <c:pt idx="699">
                  <c:v>0.23813843630999998</c:v>
                </c:pt>
                <c:pt idx="700">
                  <c:v>0.23833968035999997</c:v>
                </c:pt>
                <c:pt idx="701">
                  <c:v>0.23865644519999998</c:v>
                </c:pt>
                <c:pt idx="702">
                  <c:v>0.23868436379999997</c:v>
                </c:pt>
                <c:pt idx="703">
                  <c:v>0.23843160450000001</c:v>
                </c:pt>
                <c:pt idx="704">
                  <c:v>0.23835257459999998</c:v>
                </c:pt>
                <c:pt idx="705">
                  <c:v>0.23760000000000001</c:v>
                </c:pt>
                <c:pt idx="706">
                  <c:v>0.23730000000000001</c:v>
                </c:pt>
                <c:pt idx="707">
                  <c:v>0.23699999999999999</c:v>
                </c:pt>
                <c:pt idx="708">
                  <c:v>0.23669999999999999</c:v>
                </c:pt>
                <c:pt idx="709">
                  <c:v>0.2364</c:v>
                </c:pt>
                <c:pt idx="710">
                  <c:v>0.2361</c:v>
                </c:pt>
                <c:pt idx="711">
                  <c:v>0.23580000000000001</c:v>
                </c:pt>
                <c:pt idx="712">
                  <c:v>0.23549999999999999</c:v>
                </c:pt>
                <c:pt idx="713">
                  <c:v>0.23663970000000001</c:v>
                </c:pt>
                <c:pt idx="714">
                  <c:v>0.23288937899999995</c:v>
                </c:pt>
                <c:pt idx="715">
                  <c:v>0.22892703599999997</c:v>
                </c:pt>
                <c:pt idx="716">
                  <c:v>0.226433358</c:v>
                </c:pt>
                <c:pt idx="717">
                  <c:v>0.224612697</c:v>
                </c:pt>
                <c:pt idx="718">
                  <c:v>0.22283161199999998</c:v>
                </c:pt>
                <c:pt idx="719">
                  <c:v>0.22122271499999999</c:v>
                </c:pt>
                <c:pt idx="720">
                  <c:v>0.21932436299999999</c:v>
                </c:pt>
                <c:pt idx="721">
                  <c:v>0.219565539</c:v>
                </c:pt>
                <c:pt idx="722">
                  <c:v>0.21611456400000001</c:v>
                </c:pt>
                <c:pt idx="723">
                  <c:v>0.21451083599999998</c:v>
                </c:pt>
                <c:pt idx="724">
                  <c:v>0.21298663199999998</c:v>
                </c:pt>
                <c:pt idx="725">
                  <c:v>0.21125275199999999</c:v>
                </c:pt>
                <c:pt idx="726">
                  <c:v>0.20942265000000002</c:v>
                </c:pt>
                <c:pt idx="727">
                  <c:v>0.20756195999999999</c:v>
                </c:pt>
                <c:pt idx="728">
                  <c:v>0.20590166999999998</c:v>
                </c:pt>
                <c:pt idx="729">
                  <c:v>0.20435249999999999</c:v>
                </c:pt>
                <c:pt idx="730">
                  <c:v>0.20281268999999999</c:v>
                </c:pt>
                <c:pt idx="731">
                  <c:v>0.20146926000000001</c:v>
                </c:pt>
                <c:pt idx="732">
                  <c:v>0.20006358000000002</c:v>
                </c:pt>
                <c:pt idx="733">
                  <c:v>0.19876859999999999</c:v>
                </c:pt>
                <c:pt idx="734">
                  <c:v>0.19750731000000002</c:v>
                </c:pt>
                <c:pt idx="735">
                  <c:v>0.19637463000000002</c:v>
                </c:pt>
                <c:pt idx="736">
                  <c:v>0.19532364000000002</c:v>
                </c:pt>
                <c:pt idx="737">
                  <c:v>0.19420266</c:v>
                </c:pt>
                <c:pt idx="738">
                  <c:v>0.19303872</c:v>
                </c:pt>
                <c:pt idx="739">
                  <c:v>0.19203023999999999</c:v>
                </c:pt>
                <c:pt idx="740">
                  <c:v>0.19095884999999999</c:v>
                </c:pt>
                <c:pt idx="741">
                  <c:v>0.18996117000000001</c:v>
                </c:pt>
                <c:pt idx="742">
                  <c:v>0.18880730999999998</c:v>
                </c:pt>
                <c:pt idx="743">
                  <c:v>0.18792357000000001</c:v>
                </c:pt>
                <c:pt idx="744">
                  <c:v>0.18725439000000002</c:v>
                </c:pt>
                <c:pt idx="745">
                  <c:v>0.18665673000000002</c:v>
                </c:pt>
                <c:pt idx="746">
                  <c:v>0.18621762</c:v>
                </c:pt>
                <c:pt idx="747">
                  <c:v>0.18549098999999999</c:v>
                </c:pt>
                <c:pt idx="748">
                  <c:v>0.18461252999999997</c:v>
                </c:pt>
                <c:pt idx="749">
                  <c:v>0.18419532000000002</c:v>
                </c:pt>
                <c:pt idx="750">
                  <c:v>0.18396435</c:v>
                </c:pt>
                <c:pt idx="751">
                  <c:v>0.18379668000000002</c:v>
                </c:pt>
                <c:pt idx="752">
                  <c:v>0.18389021999999997</c:v>
                </c:pt>
                <c:pt idx="753">
                  <c:v>0.18373892999999999</c:v>
                </c:pt>
                <c:pt idx="754">
                  <c:v>0.18338135999999999</c:v>
                </c:pt>
                <c:pt idx="755">
                  <c:v>0.18310829999999997</c:v>
                </c:pt>
                <c:pt idx="756">
                  <c:v>0.18329804999999999</c:v>
                </c:pt>
                <c:pt idx="757">
                  <c:v>0.18345380999999999</c:v>
                </c:pt>
                <c:pt idx="758">
                  <c:v>0.18363992999999998</c:v>
                </c:pt>
                <c:pt idx="759">
                  <c:v>0.18379799999999999</c:v>
                </c:pt>
                <c:pt idx="760">
                  <c:v>0.18411840000000002</c:v>
                </c:pt>
                <c:pt idx="761">
                  <c:v>0.1845453</c:v>
                </c:pt>
                <c:pt idx="762">
                  <c:v>0.18455730000000001</c:v>
                </c:pt>
                <c:pt idx="763">
                  <c:v>0.18458070000000001</c:v>
                </c:pt>
                <c:pt idx="764">
                  <c:v>0.18473609999999999</c:v>
                </c:pt>
                <c:pt idx="765">
                  <c:v>0.1853088</c:v>
                </c:pt>
                <c:pt idx="766">
                  <c:v>0.18564600000000001</c:v>
                </c:pt>
                <c:pt idx="767">
                  <c:v>0.18576689999999998</c:v>
                </c:pt>
                <c:pt idx="768">
                  <c:v>0.18578309999999998</c:v>
                </c:pt>
                <c:pt idx="769">
                  <c:v>0.18564059999999999</c:v>
                </c:pt>
                <c:pt idx="770">
                  <c:v>0.1853196</c:v>
                </c:pt>
                <c:pt idx="771">
                  <c:v>0.18523650000000003</c:v>
                </c:pt>
                <c:pt idx="772">
                  <c:v>0.18504000000000001</c:v>
                </c:pt>
                <c:pt idx="773">
                  <c:v>0.1845936</c:v>
                </c:pt>
                <c:pt idx="774">
                  <c:v>0.18408240000000001</c:v>
                </c:pt>
                <c:pt idx="775">
                  <c:v>0.18320400000000001</c:v>
                </c:pt>
                <c:pt idx="776">
                  <c:v>0.1822281</c:v>
                </c:pt>
                <c:pt idx="777">
                  <c:v>0.18082290000000001</c:v>
                </c:pt>
                <c:pt idx="778">
                  <c:v>0.17953949999999999</c:v>
                </c:pt>
                <c:pt idx="779">
                  <c:v>0.17790719999999999</c:v>
                </c:pt>
                <c:pt idx="780">
                  <c:v>0.17616239999999997</c:v>
                </c:pt>
                <c:pt idx="781">
                  <c:v>0.174174</c:v>
                </c:pt>
                <c:pt idx="782">
                  <c:v>0.17186310000000002</c:v>
                </c:pt>
                <c:pt idx="783">
                  <c:v>0.16965869999999997</c:v>
                </c:pt>
                <c:pt idx="784">
                  <c:v>0.16723079999999999</c:v>
                </c:pt>
                <c:pt idx="785">
                  <c:v>0.1645266</c:v>
                </c:pt>
                <c:pt idx="786">
                  <c:v>0.16187490000000002</c:v>
                </c:pt>
                <c:pt idx="787">
                  <c:v>0.15893340000000003</c:v>
                </c:pt>
                <c:pt idx="788">
                  <c:v>0.1561005</c:v>
                </c:pt>
                <c:pt idx="789">
                  <c:v>0.15308549999999999</c:v>
                </c:pt>
                <c:pt idx="790">
                  <c:v>0.14972069999999998</c:v>
                </c:pt>
                <c:pt idx="791">
                  <c:v>0.14615909999999999</c:v>
                </c:pt>
                <c:pt idx="792">
                  <c:v>0.14267879999999999</c:v>
                </c:pt>
                <c:pt idx="793">
                  <c:v>0.13947449999999997</c:v>
                </c:pt>
                <c:pt idx="794">
                  <c:v>0.13612920000000001</c:v>
                </c:pt>
                <c:pt idx="795">
                  <c:v>0.132768</c:v>
                </c:pt>
                <c:pt idx="796">
                  <c:v>0.1296765</c:v>
                </c:pt>
                <c:pt idx="797">
                  <c:v>0.12666741000000001</c:v>
                </c:pt>
                <c:pt idx="798">
                  <c:v>0.1237746</c:v>
                </c:pt>
                <c:pt idx="799">
                  <c:v>0.12077478</c:v>
                </c:pt>
                <c:pt idx="800">
                  <c:v>0.11790642</c:v>
                </c:pt>
                <c:pt idx="801">
                  <c:v>0.11526158999999998</c:v>
                </c:pt>
                <c:pt idx="802">
                  <c:v>0.11255208</c:v>
                </c:pt>
                <c:pt idx="803">
                  <c:v>0.10988327999999999</c:v>
                </c:pt>
                <c:pt idx="804">
                  <c:v>0.10720689</c:v>
                </c:pt>
                <c:pt idx="805">
                  <c:v>0.10494243</c:v>
                </c:pt>
                <c:pt idx="806">
                  <c:v>0.10294469999999999</c:v>
                </c:pt>
                <c:pt idx="807">
                  <c:v>0.10107167999999998</c:v>
                </c:pt>
                <c:pt idx="808">
                  <c:v>9.8807640000000002E-2</c:v>
                </c:pt>
                <c:pt idx="809">
                  <c:v>9.6579270000000009E-2</c:v>
                </c:pt>
                <c:pt idx="810">
                  <c:v>9.4481519999999999E-2</c:v>
                </c:pt>
                <c:pt idx="811">
                  <c:v>9.2623979999999995E-2</c:v>
                </c:pt>
                <c:pt idx="812">
                  <c:v>9.0886590000000003E-2</c:v>
                </c:pt>
                <c:pt idx="813">
                  <c:v>8.9199149999999991E-2</c:v>
                </c:pt>
                <c:pt idx="814">
                  <c:v>8.7568949999999993E-2</c:v>
                </c:pt>
                <c:pt idx="815">
                  <c:v>8.5842359999999993E-2</c:v>
                </c:pt>
                <c:pt idx="816">
                  <c:v>8.390736E-2</c:v>
                </c:pt>
                <c:pt idx="817">
                  <c:v>8.1837719999999989E-2</c:v>
                </c:pt>
                <c:pt idx="818">
                  <c:v>8.0024070000000003E-2</c:v>
                </c:pt>
                <c:pt idx="819">
                  <c:v>7.8284729999999997E-2</c:v>
                </c:pt>
                <c:pt idx="820">
                  <c:v>7.6808609999999999E-2</c:v>
                </c:pt>
                <c:pt idx="821">
                  <c:v>7.5303990000000001E-2</c:v>
                </c:pt>
                <c:pt idx="822">
                  <c:v>7.3859459999999988E-2</c:v>
                </c:pt>
                <c:pt idx="823">
                  <c:v>7.2212700000000005E-2</c:v>
                </c:pt>
                <c:pt idx="824">
                  <c:v>7.0774050000000005E-2</c:v>
                </c:pt>
                <c:pt idx="825">
                  <c:v>6.9300870000000001E-2</c:v>
                </c:pt>
                <c:pt idx="826">
                  <c:v>6.7913219999999996E-2</c:v>
                </c:pt>
                <c:pt idx="827">
                  <c:v>6.6547830000000002E-2</c:v>
                </c:pt>
                <c:pt idx="828">
                  <c:v>6.5158739999999993E-2</c:v>
                </c:pt>
                <c:pt idx="829">
                  <c:v>6.3918000000000003E-2</c:v>
                </c:pt>
                <c:pt idx="830">
                  <c:v>6.2667779999999992E-2</c:v>
                </c:pt>
                <c:pt idx="831">
                  <c:v>6.1686209999999991E-2</c:v>
                </c:pt>
                <c:pt idx="832">
                  <c:v>6.0676589999999996E-2</c:v>
                </c:pt>
                <c:pt idx="833">
                  <c:v>5.9580629999999989E-2</c:v>
                </c:pt>
                <c:pt idx="834">
                  <c:v>5.8455929999999996E-2</c:v>
                </c:pt>
                <c:pt idx="835">
                  <c:v>5.7260790000000006E-2</c:v>
                </c:pt>
                <c:pt idx="836">
                  <c:v>5.6074469999999994E-2</c:v>
                </c:pt>
                <c:pt idx="837">
                  <c:v>5.4938970000000004E-2</c:v>
                </c:pt>
                <c:pt idx="838">
                  <c:v>5.3914319999999995E-2</c:v>
                </c:pt>
                <c:pt idx="839">
                  <c:v>5.3106270000000004E-2</c:v>
                </c:pt>
                <c:pt idx="840">
                  <c:v>5.2246079999999993E-2</c:v>
                </c:pt>
                <c:pt idx="841">
                  <c:v>5.1190439999999997E-2</c:v>
                </c:pt>
                <c:pt idx="842">
                  <c:v>5.0276441999999998E-2</c:v>
                </c:pt>
                <c:pt idx="843">
                  <c:v>4.9474154999999999E-2</c:v>
                </c:pt>
                <c:pt idx="844">
                  <c:v>4.8699965999999997E-2</c:v>
                </c:pt>
                <c:pt idx="845">
                  <c:v>4.7867552999999993E-2</c:v>
                </c:pt>
                <c:pt idx="846">
                  <c:v>4.6928408999999997E-2</c:v>
                </c:pt>
                <c:pt idx="847">
                  <c:v>4.6008890999999996E-2</c:v>
                </c:pt>
                <c:pt idx="848">
                  <c:v>4.5115620000000002E-2</c:v>
                </c:pt>
                <c:pt idx="849">
                  <c:v>4.4310857999999995E-2</c:v>
                </c:pt>
                <c:pt idx="850">
                  <c:v>4.3480781999999996E-2</c:v>
                </c:pt>
                <c:pt idx="851">
                  <c:v>4.2663465000000005E-2</c:v>
                </c:pt>
                <c:pt idx="852">
                  <c:v>4.1985105000000002E-2</c:v>
                </c:pt>
                <c:pt idx="853">
                  <c:v>4.1303997000000002E-2</c:v>
                </c:pt>
                <c:pt idx="854">
                  <c:v>4.0595384999999998E-2</c:v>
                </c:pt>
                <c:pt idx="855">
                  <c:v>4.0028172000000001E-2</c:v>
                </c:pt>
                <c:pt idx="856">
                  <c:v>3.9472634999999999E-2</c:v>
                </c:pt>
                <c:pt idx="857">
                  <c:v>3.8768928000000001E-2</c:v>
                </c:pt>
                <c:pt idx="858">
                  <c:v>3.8074958999999998E-2</c:v>
                </c:pt>
                <c:pt idx="859">
                  <c:v>3.7470527999999996E-2</c:v>
                </c:pt>
                <c:pt idx="860">
                  <c:v>3.6894408000000004E-2</c:v>
                </c:pt>
                <c:pt idx="861">
                  <c:v>3.6454556999999999E-2</c:v>
                </c:pt>
                <c:pt idx="862">
                  <c:v>3.5951858999999996E-2</c:v>
                </c:pt>
                <c:pt idx="863">
                  <c:v>3.5259405000000001E-2</c:v>
                </c:pt>
                <c:pt idx="864">
                  <c:v>3.4623398999999999E-2</c:v>
                </c:pt>
                <c:pt idx="865">
                  <c:v>3.3877311E-2</c:v>
                </c:pt>
                <c:pt idx="866">
                  <c:v>3.3135305999999996E-2</c:v>
                </c:pt>
                <c:pt idx="867">
                  <c:v>3.2409447000000001E-2</c:v>
                </c:pt>
                <c:pt idx="868">
                  <c:v>3.1834124999999998E-2</c:v>
                </c:pt>
                <c:pt idx="869">
                  <c:v>3.1431545999999998E-2</c:v>
                </c:pt>
                <c:pt idx="870">
                  <c:v>3.1025984999999999E-2</c:v>
                </c:pt>
                <c:pt idx="871">
                  <c:v>3.0486290999999999E-2</c:v>
                </c:pt>
                <c:pt idx="872">
                  <c:v>2.9999090999999999E-2</c:v>
                </c:pt>
                <c:pt idx="873">
                  <c:v>2.9268599999999999E-2</c:v>
                </c:pt>
                <c:pt idx="874">
                  <c:v>2.8586399999999998E-2</c:v>
                </c:pt>
                <c:pt idx="875">
                  <c:v>2.7807599999999998E-2</c:v>
                </c:pt>
                <c:pt idx="876">
                  <c:v>2.7184799999999999E-2</c:v>
                </c:pt>
                <c:pt idx="877">
                  <c:v>2.6540999999999999E-2</c:v>
                </c:pt>
                <c:pt idx="878">
                  <c:v>2.6212499999999996E-2</c:v>
                </c:pt>
                <c:pt idx="879">
                  <c:v>2.58141E-2</c:v>
                </c:pt>
                <c:pt idx="880">
                  <c:v>2.5494900000000001E-2</c:v>
                </c:pt>
                <c:pt idx="881">
                  <c:v>2.50242E-2</c:v>
                </c:pt>
                <c:pt idx="882">
                  <c:v>2.4595499999999999E-2</c:v>
                </c:pt>
                <c:pt idx="883">
                  <c:v>2.4011399999999999E-2</c:v>
                </c:pt>
                <c:pt idx="884">
                  <c:v>2.3532899999999999E-2</c:v>
                </c:pt>
                <c:pt idx="885">
                  <c:v>2.3260200000000002E-2</c:v>
                </c:pt>
                <c:pt idx="886">
                  <c:v>2.3055599999999999E-2</c:v>
                </c:pt>
                <c:pt idx="887">
                  <c:v>2.28189E-2</c:v>
                </c:pt>
                <c:pt idx="888">
                  <c:v>2.2466399999999997E-2</c:v>
                </c:pt>
                <c:pt idx="889">
                  <c:v>2.2122599999999999E-2</c:v>
                </c:pt>
                <c:pt idx="890">
                  <c:v>2.1684599999999998E-2</c:v>
                </c:pt>
                <c:pt idx="891">
                  <c:v>2.1438599999999999E-2</c:v>
                </c:pt>
                <c:pt idx="892">
                  <c:v>2.1191999999999999E-2</c:v>
                </c:pt>
                <c:pt idx="893">
                  <c:v>2.1160499999999999E-2</c:v>
                </c:pt>
                <c:pt idx="894">
                  <c:v>2.1099300000000001E-2</c:v>
                </c:pt>
                <c:pt idx="895">
                  <c:v>2.0883599999999999E-2</c:v>
                </c:pt>
                <c:pt idx="896">
                  <c:v>2.0500500000000001E-2</c:v>
                </c:pt>
                <c:pt idx="897">
                  <c:v>2.02203E-2</c:v>
                </c:pt>
                <c:pt idx="898">
                  <c:v>1.9939799999999997E-2</c:v>
                </c:pt>
                <c:pt idx="899">
                  <c:v>1.9747799999999999E-2</c:v>
                </c:pt>
                <c:pt idx="900">
                  <c:v>1.93971E-2</c:v>
                </c:pt>
              </c:numCache>
            </c:numRef>
          </c:val>
          <c:smooth val="0"/>
          <c:extLst>
            <c:ext xmlns:c16="http://schemas.microsoft.com/office/drawing/2014/chart" uri="{C3380CC4-5D6E-409C-BE32-E72D297353CC}">
              <c16:uniqueId val="{00000000-EBB6-3144-A8B7-92174386E747}"/>
            </c:ext>
          </c:extLst>
        </c:ser>
        <c:dLbls>
          <c:showLegendKey val="0"/>
          <c:showVal val="0"/>
          <c:showCatName val="0"/>
          <c:showSerName val="0"/>
          <c:showPercent val="0"/>
          <c:showBubbleSize val="0"/>
        </c:dLbls>
        <c:smooth val="0"/>
        <c:axId val="1101955759"/>
        <c:axId val="1182404623"/>
      </c:lineChart>
      <c:catAx>
        <c:axId val="1101955759"/>
        <c:scaling>
          <c:orientation val="minMax"/>
        </c:scaling>
        <c:delete val="0"/>
        <c:axPos val="b"/>
        <c:numFmt formatCode="General" sourceLinked="1"/>
        <c:majorTickMark val="none"/>
        <c:minorTickMark val="none"/>
        <c:tickLblPos val="nextTo"/>
        <c:spPr>
          <a:noFill/>
          <a:ln w="9525" cap="flat" cmpd="sng" algn="ctr">
            <a:solidFill>
              <a:schemeClr val="tx1"/>
            </a:solidFill>
            <a:round/>
          </a:ln>
          <a:effectLst/>
        </c:spPr>
        <c:txPr>
          <a:bodyPr rot="-60000000" spcFirstLastPara="1" vertOverflow="ellipsis" vert="horz" wrap="square" anchor="ctr" anchorCtr="1"/>
          <a:lstStyle/>
          <a:p>
            <a:pPr>
              <a:defRPr sz="900" b="1" i="0" u="none" strike="noStrike" kern="1200" baseline="0">
                <a:solidFill>
                  <a:schemeClr val="tx1"/>
                </a:solidFill>
                <a:latin typeface="Arial" panose="020B0604020202020204" pitchFamily="34" charset="0"/>
                <a:ea typeface="+mn-ea"/>
                <a:cs typeface="Arial" panose="020B0604020202020204" pitchFamily="34" charset="0"/>
              </a:defRPr>
            </a:pPr>
            <a:endParaRPr lang="en-US"/>
          </a:p>
        </c:txPr>
        <c:crossAx val="1182404623"/>
        <c:crosses val="autoZero"/>
        <c:auto val="0"/>
        <c:lblAlgn val="ctr"/>
        <c:lblOffset val="100"/>
        <c:tickLblSkip val="100"/>
        <c:tickMarkSkip val="1"/>
        <c:noMultiLvlLbl val="0"/>
      </c:catAx>
      <c:valAx>
        <c:axId val="1182404623"/>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000" b="1" i="0" u="none" strike="noStrike" kern="1200" baseline="0">
                    <a:solidFill>
                      <a:schemeClr val="tx1"/>
                    </a:solidFill>
                    <a:latin typeface="Arial" panose="020B0604020202020204" pitchFamily="34" charset="0"/>
                    <a:ea typeface="+mn-ea"/>
                    <a:cs typeface="Arial" panose="020B0604020202020204" pitchFamily="34" charset="0"/>
                  </a:defRPr>
                </a:pPr>
                <a:r>
                  <a:rPr lang="en-US" b="1"/>
                  <a:t>Intensity (µmols</a:t>
                </a:r>
                <a:r>
                  <a:rPr lang="en-US" b="1" baseline="0"/>
                  <a:t> </a:t>
                </a:r>
                <a:r>
                  <a:rPr lang="en-US" b="1" baseline="30000"/>
                  <a:t>.</a:t>
                </a:r>
                <a:r>
                  <a:rPr lang="en-US" b="1" baseline="0"/>
                  <a:t> </a:t>
                </a:r>
                <a:r>
                  <a:rPr lang="en-US" b="1"/>
                  <a:t>m-</a:t>
                </a:r>
                <a:r>
                  <a:rPr lang="en-US" b="1" baseline="30000"/>
                  <a:t>2</a:t>
                </a:r>
                <a:r>
                  <a:rPr lang="en-US" sz="1000" b="1" i="0" u="none" strike="noStrike" baseline="30000">
                    <a:effectLst/>
                  </a:rPr>
                  <a:t> .</a:t>
                </a:r>
                <a:r>
                  <a:rPr lang="en-US" sz="1000" b="1" i="0" u="none" strike="noStrike" baseline="0">
                    <a:effectLst/>
                  </a:rPr>
                  <a:t> </a:t>
                </a:r>
                <a:r>
                  <a:rPr lang="en-US" b="1"/>
                  <a:t>sec</a:t>
                </a:r>
                <a:r>
                  <a:rPr lang="en-US" b="1" baseline="30000"/>
                  <a:t>-1</a:t>
                </a:r>
                <a:r>
                  <a:rPr lang="en-US" b="1"/>
                  <a:t>)</a:t>
                </a:r>
              </a:p>
            </c:rich>
          </c:tx>
          <c:overlay val="0"/>
          <c:spPr>
            <a:noFill/>
            <a:ln>
              <a:noFill/>
            </a:ln>
            <a:effectLst/>
          </c:spPr>
          <c:txPr>
            <a:bodyPr rot="-5400000" spcFirstLastPara="1" vertOverflow="ellipsis" vert="horz" wrap="square" anchor="ctr" anchorCtr="1"/>
            <a:lstStyle/>
            <a:p>
              <a:pPr>
                <a:defRPr sz="1000" b="1" i="0" u="none" strike="noStrike" kern="1200" baseline="0">
                  <a:solidFill>
                    <a:schemeClr val="tx1"/>
                  </a:solidFill>
                  <a:latin typeface="Arial" panose="020B0604020202020204" pitchFamily="34" charset="0"/>
                  <a:ea typeface="+mn-ea"/>
                  <a:cs typeface="Arial" panose="020B0604020202020204" pitchFamily="34" charset="0"/>
                </a:defRPr>
              </a:pPr>
              <a:endParaRPr lang="en-US"/>
            </a:p>
          </c:txPr>
        </c:title>
        <c:numFmt formatCode="General" sourceLinked="0"/>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solidFill>
                <a:latin typeface="Arial" panose="020B0604020202020204" pitchFamily="34" charset="0"/>
                <a:ea typeface="+mn-ea"/>
                <a:cs typeface="Arial" panose="020B0604020202020204" pitchFamily="34" charset="0"/>
              </a:defRPr>
            </a:pPr>
            <a:endParaRPr lang="en-US"/>
          </a:p>
        </c:txPr>
        <c:crossAx val="1101955759"/>
        <c:crosses val="autoZero"/>
        <c:crossBetween val="between"/>
      </c:valAx>
      <c:spPr>
        <a:noFill/>
        <a:ln>
          <a:noFill/>
        </a:ln>
        <a:effectLst/>
      </c:spPr>
    </c:plotArea>
    <c:legend>
      <c:legendPos val="b"/>
      <c:legendEntry>
        <c:idx val="0"/>
        <c:txPr>
          <a:bodyPr rot="0" spcFirstLastPara="1" vertOverflow="ellipsis" vert="horz" wrap="square" anchor="ctr" anchorCtr="1"/>
          <a:lstStyle/>
          <a:p>
            <a:pPr>
              <a:defRPr sz="1000" b="0" i="0" u="none" strike="noStrike" kern="1200" baseline="0">
                <a:solidFill>
                  <a:schemeClr val="tx1"/>
                </a:solidFill>
                <a:latin typeface="Arial" panose="020B0604020202020204" pitchFamily="34" charset="0"/>
                <a:ea typeface="+mn-ea"/>
                <a:cs typeface="Arial" panose="020B0604020202020204" pitchFamily="34" charset="0"/>
              </a:defRPr>
            </a:pPr>
            <a:endParaRPr lang="en-US"/>
          </a:p>
        </c:txPr>
      </c:legendEntry>
      <c:layout>
        <c:manualLayout>
          <c:xMode val="edge"/>
          <c:yMode val="edge"/>
          <c:x val="0.84032471902550654"/>
          <c:y val="0.93467753652827823"/>
          <c:w val="0.14841022276061647"/>
          <c:h val="5.2917439436987727E-2"/>
        </c:manualLayout>
      </c:layout>
      <c:overlay val="0"/>
      <c:spPr>
        <a:noFill/>
        <a:ln>
          <a:solidFill>
            <a:schemeClr val="tx1"/>
          </a:solidFill>
        </a:ln>
        <a:effectLst/>
      </c:spPr>
      <c:txPr>
        <a:bodyPr rot="0" spcFirstLastPara="1" vertOverflow="ellipsis" vert="horz" wrap="square" anchor="ctr" anchorCtr="1"/>
        <a:lstStyle/>
        <a:p>
          <a:pPr>
            <a:defRPr sz="1000" b="0" i="0" u="none" strike="noStrike" kern="1200" baseline="0">
              <a:solidFill>
                <a:schemeClr val="tx1"/>
              </a:solidFill>
              <a:latin typeface="Arial" panose="020B0604020202020204" pitchFamily="34" charset="0"/>
              <a:ea typeface="+mn-ea"/>
              <a:cs typeface="Arial" panose="020B0604020202020204" pitchFamily="34" charset="0"/>
            </a:defRPr>
          </a:pPr>
          <a:endParaRPr lang="en-US"/>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solidFill>
      <a:round/>
    </a:ln>
    <a:effectLst/>
  </c:spPr>
  <c:txPr>
    <a:bodyPr/>
    <a:lstStyle/>
    <a:p>
      <a:pPr>
        <a:defRPr>
          <a:solidFill>
            <a:schemeClr val="tx1"/>
          </a:solidFill>
          <a:latin typeface="Arial" panose="020B0604020202020204" pitchFamily="34" charset="0"/>
          <a:cs typeface="Arial" panose="020B0604020202020204" pitchFamily="34" charset="0"/>
        </a:defRPr>
      </a:pPr>
      <a:endParaRPr lang="en-US"/>
    </a:p>
  </c:txPr>
  <c:externalData r:id="rId3">
    <c:autoUpdate val="0"/>
  </c:externalData>
  <c:userShapes r:id="rId4"/>
</c:chartSpace>
</file>

<file path=word/charts/chart17.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13427182179150682"/>
          <c:y val="2.152842255436941E-2"/>
          <c:w val="0.83342048590080087"/>
          <c:h val="0.82738130134246701"/>
        </c:manualLayout>
      </c:layout>
      <c:barChart>
        <c:barDir val="bar"/>
        <c:grouping val="stacked"/>
        <c:varyColors val="0"/>
        <c:ser>
          <c:idx val="0"/>
          <c:order val="0"/>
          <c:tx>
            <c:strRef>
              <c:f>Graphs!$O$4</c:f>
              <c:strCache>
                <c:ptCount val="1"/>
                <c:pt idx="0">
                  <c:v>Alcohols</c:v>
                </c:pt>
              </c:strCache>
            </c:strRef>
          </c:tx>
          <c:spPr>
            <a:solidFill>
              <a:schemeClr val="accent2"/>
            </a:solidFill>
            <a:ln>
              <a:noFill/>
            </a:ln>
            <a:effectLst/>
          </c:spPr>
          <c:invertIfNegative val="0"/>
          <c:cat>
            <c:strRef>
              <c:f>Graphs!$P$3:$AA$3</c:f>
              <c:strCache>
                <c:ptCount val="12"/>
                <c:pt idx="0">
                  <c:v>660/400/660</c:v>
                </c:pt>
                <c:pt idx="1">
                  <c:v>660/420/660</c:v>
                </c:pt>
                <c:pt idx="2">
                  <c:v>660/450/660</c:v>
                </c:pt>
                <c:pt idx="3">
                  <c:v>660/470/660</c:v>
                </c:pt>
                <c:pt idx="4">
                  <c:v>470/450/420</c:v>
                </c:pt>
                <c:pt idx="5">
                  <c:v>450/660/470</c:v>
                </c:pt>
                <c:pt idx="6">
                  <c:v>450/W/470</c:v>
                </c:pt>
                <c:pt idx="7">
                  <c:v>6B/94R</c:v>
                </c:pt>
                <c:pt idx="8">
                  <c:v>12B/88R </c:v>
                </c:pt>
                <c:pt idx="9">
                  <c:v>HPS</c:v>
                </c:pt>
                <c:pt idx="10">
                  <c:v>W/W/W</c:v>
                </c:pt>
                <c:pt idx="11">
                  <c:v>NL Control</c:v>
                </c:pt>
              </c:strCache>
            </c:strRef>
          </c:cat>
          <c:val>
            <c:numRef>
              <c:f>Graphs!$P$4:$AA$4</c:f>
              <c:numCache>
                <c:formatCode>General</c:formatCode>
                <c:ptCount val="12"/>
                <c:pt idx="0">
                  <c:v>54.572700000000005</c:v>
                </c:pt>
                <c:pt idx="1">
                  <c:v>34.010199999999998</c:v>
                </c:pt>
                <c:pt idx="2">
                  <c:v>49.298400000000001</c:v>
                </c:pt>
                <c:pt idx="3">
                  <c:v>81.692099999999996</c:v>
                </c:pt>
                <c:pt idx="4">
                  <c:v>80.886499999999998</c:v>
                </c:pt>
                <c:pt idx="5">
                  <c:v>62.747500000000002</c:v>
                </c:pt>
                <c:pt idx="6">
                  <c:v>77.687600000000003</c:v>
                </c:pt>
                <c:pt idx="7">
                  <c:v>109.04830000000001</c:v>
                </c:pt>
                <c:pt idx="8">
                  <c:v>71.389700000000005</c:v>
                </c:pt>
                <c:pt idx="9">
                  <c:v>42.516199999999998</c:v>
                </c:pt>
                <c:pt idx="10">
                  <c:v>50.086399999999998</c:v>
                </c:pt>
                <c:pt idx="11">
                  <c:v>382.47109999999998</c:v>
                </c:pt>
              </c:numCache>
            </c:numRef>
          </c:val>
          <c:extLst>
            <c:ext xmlns:c16="http://schemas.microsoft.com/office/drawing/2014/chart" uri="{C3380CC4-5D6E-409C-BE32-E72D297353CC}">
              <c16:uniqueId val="{00000000-A747-5B4F-98DE-0D0AB96E8218}"/>
            </c:ext>
          </c:extLst>
        </c:ser>
        <c:ser>
          <c:idx val="1"/>
          <c:order val="1"/>
          <c:tx>
            <c:strRef>
              <c:f>Graphs!$O$5</c:f>
              <c:strCache>
                <c:ptCount val="1"/>
                <c:pt idx="0">
                  <c:v>Aldehydes</c:v>
                </c:pt>
              </c:strCache>
            </c:strRef>
          </c:tx>
          <c:spPr>
            <a:solidFill>
              <a:schemeClr val="accent4"/>
            </a:solidFill>
            <a:ln>
              <a:noFill/>
            </a:ln>
            <a:effectLst/>
          </c:spPr>
          <c:invertIfNegative val="0"/>
          <c:cat>
            <c:strRef>
              <c:f>Graphs!$P$3:$AA$3</c:f>
              <c:strCache>
                <c:ptCount val="12"/>
                <c:pt idx="0">
                  <c:v>660/400/660</c:v>
                </c:pt>
                <c:pt idx="1">
                  <c:v>660/420/660</c:v>
                </c:pt>
                <c:pt idx="2">
                  <c:v>660/450/660</c:v>
                </c:pt>
                <c:pt idx="3">
                  <c:v>660/470/660</c:v>
                </c:pt>
                <c:pt idx="4">
                  <c:v>470/450/420</c:v>
                </c:pt>
                <c:pt idx="5">
                  <c:v>450/660/470</c:v>
                </c:pt>
                <c:pt idx="6">
                  <c:v>450/W/470</c:v>
                </c:pt>
                <c:pt idx="7">
                  <c:v>6B/94R</c:v>
                </c:pt>
                <c:pt idx="8">
                  <c:v>12B/88R </c:v>
                </c:pt>
                <c:pt idx="9">
                  <c:v>HPS</c:v>
                </c:pt>
                <c:pt idx="10">
                  <c:v>W/W/W</c:v>
                </c:pt>
                <c:pt idx="11">
                  <c:v>NL Control</c:v>
                </c:pt>
              </c:strCache>
            </c:strRef>
          </c:cat>
          <c:val>
            <c:numRef>
              <c:f>Graphs!$P$5:$AA$5</c:f>
              <c:numCache>
                <c:formatCode>General</c:formatCode>
                <c:ptCount val="12"/>
                <c:pt idx="0">
                  <c:v>159.13290000000001</c:v>
                </c:pt>
                <c:pt idx="1">
                  <c:v>151.9693</c:v>
                </c:pt>
                <c:pt idx="2">
                  <c:v>152.53720000000001</c:v>
                </c:pt>
                <c:pt idx="3">
                  <c:v>161.84620000000001</c:v>
                </c:pt>
                <c:pt idx="4">
                  <c:v>156.18639999999999</c:v>
                </c:pt>
                <c:pt idx="5">
                  <c:v>157.57590000000002</c:v>
                </c:pt>
                <c:pt idx="6">
                  <c:v>161.59870000000001</c:v>
                </c:pt>
                <c:pt idx="7">
                  <c:v>161.36869999999999</c:v>
                </c:pt>
                <c:pt idx="8">
                  <c:v>155.5992</c:v>
                </c:pt>
                <c:pt idx="9">
                  <c:v>152.6337</c:v>
                </c:pt>
                <c:pt idx="10">
                  <c:v>150.11789999999999</c:v>
                </c:pt>
                <c:pt idx="11">
                  <c:v>154.01929999999999</c:v>
                </c:pt>
              </c:numCache>
            </c:numRef>
          </c:val>
          <c:extLst>
            <c:ext xmlns:c16="http://schemas.microsoft.com/office/drawing/2014/chart" uri="{C3380CC4-5D6E-409C-BE32-E72D297353CC}">
              <c16:uniqueId val="{00000001-A747-5B4F-98DE-0D0AB96E8218}"/>
            </c:ext>
          </c:extLst>
        </c:ser>
        <c:ser>
          <c:idx val="2"/>
          <c:order val="2"/>
          <c:tx>
            <c:strRef>
              <c:f>Graphs!$O$6</c:f>
              <c:strCache>
                <c:ptCount val="1"/>
                <c:pt idx="0">
                  <c:v>Benzyl Aldehydes</c:v>
                </c:pt>
              </c:strCache>
            </c:strRef>
          </c:tx>
          <c:spPr>
            <a:solidFill>
              <a:schemeClr val="accent6"/>
            </a:solidFill>
            <a:ln>
              <a:noFill/>
            </a:ln>
            <a:effectLst/>
          </c:spPr>
          <c:invertIfNegative val="0"/>
          <c:cat>
            <c:strRef>
              <c:f>Graphs!$P$3:$AA$3</c:f>
              <c:strCache>
                <c:ptCount val="12"/>
                <c:pt idx="0">
                  <c:v>660/400/660</c:v>
                </c:pt>
                <c:pt idx="1">
                  <c:v>660/420/660</c:v>
                </c:pt>
                <c:pt idx="2">
                  <c:v>660/450/660</c:v>
                </c:pt>
                <c:pt idx="3">
                  <c:v>660/470/660</c:v>
                </c:pt>
                <c:pt idx="4">
                  <c:v>470/450/420</c:v>
                </c:pt>
                <c:pt idx="5">
                  <c:v>450/660/470</c:v>
                </c:pt>
                <c:pt idx="6">
                  <c:v>450/W/470</c:v>
                </c:pt>
                <c:pt idx="7">
                  <c:v>6B/94R</c:v>
                </c:pt>
                <c:pt idx="8">
                  <c:v>12B/88R </c:v>
                </c:pt>
                <c:pt idx="9">
                  <c:v>HPS</c:v>
                </c:pt>
                <c:pt idx="10">
                  <c:v>W/W/W</c:v>
                </c:pt>
                <c:pt idx="11">
                  <c:v>NL Control</c:v>
                </c:pt>
              </c:strCache>
            </c:strRef>
          </c:cat>
          <c:val>
            <c:numRef>
              <c:f>Graphs!$P$6:$AA$6</c:f>
              <c:numCache>
                <c:formatCode>General</c:formatCode>
                <c:ptCount val="12"/>
                <c:pt idx="0">
                  <c:v>123.1649</c:v>
                </c:pt>
                <c:pt idx="1">
                  <c:v>79.093800000000002</c:v>
                </c:pt>
                <c:pt idx="2">
                  <c:v>106.6836</c:v>
                </c:pt>
                <c:pt idx="3">
                  <c:v>139.99289999999999</c:v>
                </c:pt>
                <c:pt idx="4">
                  <c:v>171.70409999999998</c:v>
                </c:pt>
                <c:pt idx="5">
                  <c:v>146.70319999999998</c:v>
                </c:pt>
                <c:pt idx="6">
                  <c:v>172.11709999999999</c:v>
                </c:pt>
                <c:pt idx="7">
                  <c:v>293.80400000000003</c:v>
                </c:pt>
                <c:pt idx="8">
                  <c:v>185.97050000000002</c:v>
                </c:pt>
                <c:pt idx="9">
                  <c:v>93.638000000000005</c:v>
                </c:pt>
                <c:pt idx="10">
                  <c:v>96.816200000000009</c:v>
                </c:pt>
                <c:pt idx="11">
                  <c:v>77.928799999999995</c:v>
                </c:pt>
              </c:numCache>
            </c:numRef>
          </c:val>
          <c:extLst>
            <c:ext xmlns:c16="http://schemas.microsoft.com/office/drawing/2014/chart" uri="{C3380CC4-5D6E-409C-BE32-E72D297353CC}">
              <c16:uniqueId val="{00000002-A747-5B4F-98DE-0D0AB96E8218}"/>
            </c:ext>
          </c:extLst>
        </c:ser>
        <c:ser>
          <c:idx val="3"/>
          <c:order val="3"/>
          <c:tx>
            <c:strRef>
              <c:f>Graphs!$O$7</c:f>
              <c:strCache>
                <c:ptCount val="1"/>
                <c:pt idx="0">
                  <c:v>Amides and Furans</c:v>
                </c:pt>
              </c:strCache>
            </c:strRef>
          </c:tx>
          <c:spPr>
            <a:solidFill>
              <a:schemeClr val="accent2">
                <a:lumMod val="60000"/>
              </a:schemeClr>
            </a:solidFill>
            <a:ln>
              <a:noFill/>
            </a:ln>
            <a:effectLst/>
          </c:spPr>
          <c:invertIfNegative val="0"/>
          <c:cat>
            <c:strRef>
              <c:f>Graphs!$P$3:$AA$3</c:f>
              <c:strCache>
                <c:ptCount val="12"/>
                <c:pt idx="0">
                  <c:v>660/400/660</c:v>
                </c:pt>
                <c:pt idx="1">
                  <c:v>660/420/660</c:v>
                </c:pt>
                <c:pt idx="2">
                  <c:v>660/450/660</c:v>
                </c:pt>
                <c:pt idx="3">
                  <c:v>660/470/660</c:v>
                </c:pt>
                <c:pt idx="4">
                  <c:v>470/450/420</c:v>
                </c:pt>
                <c:pt idx="5">
                  <c:v>450/660/470</c:v>
                </c:pt>
                <c:pt idx="6">
                  <c:v>450/W/470</c:v>
                </c:pt>
                <c:pt idx="7">
                  <c:v>6B/94R</c:v>
                </c:pt>
                <c:pt idx="8">
                  <c:v>12B/88R </c:v>
                </c:pt>
                <c:pt idx="9">
                  <c:v>HPS</c:v>
                </c:pt>
                <c:pt idx="10">
                  <c:v>W/W/W</c:v>
                </c:pt>
                <c:pt idx="11">
                  <c:v>NL Control</c:v>
                </c:pt>
              </c:strCache>
            </c:strRef>
          </c:cat>
          <c:val>
            <c:numRef>
              <c:f>Graphs!$P$7:$AA$7</c:f>
              <c:numCache>
                <c:formatCode>General</c:formatCode>
                <c:ptCount val="12"/>
                <c:pt idx="0">
                  <c:v>57.605000000000004</c:v>
                </c:pt>
                <c:pt idx="1">
                  <c:v>59.200600000000001</c:v>
                </c:pt>
                <c:pt idx="2">
                  <c:v>59.050699999999999</c:v>
                </c:pt>
                <c:pt idx="3">
                  <c:v>62.2363</c:v>
                </c:pt>
                <c:pt idx="4">
                  <c:v>61.26420000000001</c:v>
                </c:pt>
                <c:pt idx="5">
                  <c:v>70.849299999999999</c:v>
                </c:pt>
                <c:pt idx="6">
                  <c:v>65.442300000000003</c:v>
                </c:pt>
                <c:pt idx="7">
                  <c:v>65.428700000000006</c:v>
                </c:pt>
                <c:pt idx="8">
                  <c:v>62.439150000000005</c:v>
                </c:pt>
                <c:pt idx="9">
                  <c:v>60.835300000000004</c:v>
                </c:pt>
                <c:pt idx="10">
                  <c:v>60.697299999999998</c:v>
                </c:pt>
                <c:pt idx="11">
                  <c:v>63.5107</c:v>
                </c:pt>
              </c:numCache>
            </c:numRef>
          </c:val>
          <c:extLst>
            <c:ext xmlns:c16="http://schemas.microsoft.com/office/drawing/2014/chart" uri="{C3380CC4-5D6E-409C-BE32-E72D297353CC}">
              <c16:uniqueId val="{00000003-A747-5B4F-98DE-0D0AB96E8218}"/>
            </c:ext>
          </c:extLst>
        </c:ser>
        <c:ser>
          <c:idx val="4"/>
          <c:order val="4"/>
          <c:tx>
            <c:strRef>
              <c:f>Graphs!$O$8</c:f>
              <c:strCache>
                <c:ptCount val="1"/>
                <c:pt idx="0">
                  <c:v>Hydrocarbons</c:v>
                </c:pt>
              </c:strCache>
            </c:strRef>
          </c:tx>
          <c:spPr>
            <a:solidFill>
              <a:schemeClr val="accent4">
                <a:lumMod val="60000"/>
              </a:schemeClr>
            </a:solidFill>
            <a:ln>
              <a:noFill/>
            </a:ln>
            <a:effectLst/>
          </c:spPr>
          <c:invertIfNegative val="0"/>
          <c:cat>
            <c:strRef>
              <c:f>Graphs!$P$3:$AA$3</c:f>
              <c:strCache>
                <c:ptCount val="12"/>
                <c:pt idx="0">
                  <c:v>660/400/660</c:v>
                </c:pt>
                <c:pt idx="1">
                  <c:v>660/420/660</c:v>
                </c:pt>
                <c:pt idx="2">
                  <c:v>660/450/660</c:v>
                </c:pt>
                <c:pt idx="3">
                  <c:v>660/470/660</c:v>
                </c:pt>
                <c:pt idx="4">
                  <c:v>470/450/420</c:v>
                </c:pt>
                <c:pt idx="5">
                  <c:v>450/660/470</c:v>
                </c:pt>
                <c:pt idx="6">
                  <c:v>450/W/470</c:v>
                </c:pt>
                <c:pt idx="7">
                  <c:v>6B/94R</c:v>
                </c:pt>
                <c:pt idx="8">
                  <c:v>12B/88R </c:v>
                </c:pt>
                <c:pt idx="9">
                  <c:v>HPS</c:v>
                </c:pt>
                <c:pt idx="10">
                  <c:v>W/W/W</c:v>
                </c:pt>
                <c:pt idx="11">
                  <c:v>NL Control</c:v>
                </c:pt>
              </c:strCache>
            </c:strRef>
          </c:cat>
          <c:val>
            <c:numRef>
              <c:f>Graphs!$P$8:$AA$8</c:f>
              <c:numCache>
                <c:formatCode>General</c:formatCode>
                <c:ptCount val="12"/>
                <c:pt idx="0">
                  <c:v>288.52570000000003</c:v>
                </c:pt>
                <c:pt idx="1">
                  <c:v>212.35210000000001</c:v>
                </c:pt>
                <c:pt idx="2">
                  <c:v>265.74469999999997</c:v>
                </c:pt>
                <c:pt idx="3">
                  <c:v>309.94320000000005</c:v>
                </c:pt>
                <c:pt idx="4">
                  <c:v>291.43950000000001</c:v>
                </c:pt>
                <c:pt idx="5">
                  <c:v>275.69169999999997</c:v>
                </c:pt>
                <c:pt idx="6">
                  <c:v>359.53060000000005</c:v>
                </c:pt>
                <c:pt idx="7">
                  <c:v>362.09029999999996</c:v>
                </c:pt>
                <c:pt idx="8">
                  <c:v>308.83089999999999</c:v>
                </c:pt>
                <c:pt idx="9">
                  <c:v>257.1506</c:v>
                </c:pt>
                <c:pt idx="10">
                  <c:v>246.673</c:v>
                </c:pt>
                <c:pt idx="11">
                  <c:v>258.43560000000002</c:v>
                </c:pt>
              </c:numCache>
            </c:numRef>
          </c:val>
          <c:extLst>
            <c:ext xmlns:c16="http://schemas.microsoft.com/office/drawing/2014/chart" uri="{C3380CC4-5D6E-409C-BE32-E72D297353CC}">
              <c16:uniqueId val="{00000004-A747-5B4F-98DE-0D0AB96E8218}"/>
            </c:ext>
          </c:extLst>
        </c:ser>
        <c:ser>
          <c:idx val="5"/>
          <c:order val="5"/>
          <c:tx>
            <c:strRef>
              <c:f>Graphs!$O$9</c:f>
              <c:strCache>
                <c:ptCount val="1"/>
                <c:pt idx="0">
                  <c:v>Acyclic Monoterpenes</c:v>
                </c:pt>
              </c:strCache>
            </c:strRef>
          </c:tx>
          <c:spPr>
            <a:solidFill>
              <a:schemeClr val="accent6">
                <a:lumMod val="60000"/>
              </a:schemeClr>
            </a:solidFill>
            <a:ln>
              <a:noFill/>
            </a:ln>
            <a:effectLst/>
          </c:spPr>
          <c:invertIfNegative val="0"/>
          <c:cat>
            <c:strRef>
              <c:f>Graphs!$P$3:$AA$3</c:f>
              <c:strCache>
                <c:ptCount val="12"/>
                <c:pt idx="0">
                  <c:v>660/400/660</c:v>
                </c:pt>
                <c:pt idx="1">
                  <c:v>660/420/660</c:v>
                </c:pt>
                <c:pt idx="2">
                  <c:v>660/450/660</c:v>
                </c:pt>
                <c:pt idx="3">
                  <c:v>660/470/660</c:v>
                </c:pt>
                <c:pt idx="4">
                  <c:v>470/450/420</c:v>
                </c:pt>
                <c:pt idx="5">
                  <c:v>450/660/470</c:v>
                </c:pt>
                <c:pt idx="6">
                  <c:v>450/W/470</c:v>
                </c:pt>
                <c:pt idx="7">
                  <c:v>6B/94R</c:v>
                </c:pt>
                <c:pt idx="8">
                  <c:v>12B/88R </c:v>
                </c:pt>
                <c:pt idx="9">
                  <c:v>HPS</c:v>
                </c:pt>
                <c:pt idx="10">
                  <c:v>W/W/W</c:v>
                </c:pt>
                <c:pt idx="11">
                  <c:v>NL Control</c:v>
                </c:pt>
              </c:strCache>
            </c:strRef>
          </c:cat>
          <c:val>
            <c:numRef>
              <c:f>Graphs!$P$9:$AA$9</c:f>
              <c:numCache>
                <c:formatCode>General</c:formatCode>
                <c:ptCount val="12"/>
                <c:pt idx="0">
                  <c:v>2019.5577000000003</c:v>
                </c:pt>
                <c:pt idx="1">
                  <c:v>1599.9951999999998</c:v>
                </c:pt>
                <c:pt idx="2">
                  <c:v>1812.9807000000001</c:v>
                </c:pt>
                <c:pt idx="3">
                  <c:v>2242.1469999999999</c:v>
                </c:pt>
                <c:pt idx="4">
                  <c:v>2024.67</c:v>
                </c:pt>
                <c:pt idx="5">
                  <c:v>2153.4465</c:v>
                </c:pt>
                <c:pt idx="6">
                  <c:v>2160.4641000000001</c:v>
                </c:pt>
                <c:pt idx="7">
                  <c:v>2694.7305000000001</c:v>
                </c:pt>
                <c:pt idx="8">
                  <c:v>2146.7549999999997</c:v>
                </c:pt>
                <c:pt idx="9">
                  <c:v>1755.0801999999999</c:v>
                </c:pt>
                <c:pt idx="10">
                  <c:v>1862.0675999999999</c:v>
                </c:pt>
                <c:pt idx="11">
                  <c:v>1556.037</c:v>
                </c:pt>
              </c:numCache>
            </c:numRef>
          </c:val>
          <c:extLst>
            <c:ext xmlns:c16="http://schemas.microsoft.com/office/drawing/2014/chart" uri="{C3380CC4-5D6E-409C-BE32-E72D297353CC}">
              <c16:uniqueId val="{00000005-A747-5B4F-98DE-0D0AB96E8218}"/>
            </c:ext>
          </c:extLst>
        </c:ser>
        <c:ser>
          <c:idx val="6"/>
          <c:order val="6"/>
          <c:tx>
            <c:strRef>
              <c:f>Graphs!$O$10</c:f>
              <c:strCache>
                <c:ptCount val="1"/>
                <c:pt idx="0">
                  <c:v>Bicyclic Monoterpenes</c:v>
                </c:pt>
              </c:strCache>
            </c:strRef>
          </c:tx>
          <c:spPr>
            <a:solidFill>
              <a:schemeClr val="accent2">
                <a:lumMod val="80000"/>
                <a:lumOff val="20000"/>
              </a:schemeClr>
            </a:solidFill>
            <a:ln>
              <a:noFill/>
            </a:ln>
            <a:effectLst/>
          </c:spPr>
          <c:invertIfNegative val="0"/>
          <c:cat>
            <c:strRef>
              <c:f>Graphs!$P$3:$AA$3</c:f>
              <c:strCache>
                <c:ptCount val="12"/>
                <c:pt idx="0">
                  <c:v>660/400/660</c:v>
                </c:pt>
                <c:pt idx="1">
                  <c:v>660/420/660</c:v>
                </c:pt>
                <c:pt idx="2">
                  <c:v>660/450/660</c:v>
                </c:pt>
                <c:pt idx="3">
                  <c:v>660/470/660</c:v>
                </c:pt>
                <c:pt idx="4">
                  <c:v>470/450/420</c:v>
                </c:pt>
                <c:pt idx="5">
                  <c:v>450/660/470</c:v>
                </c:pt>
                <c:pt idx="6">
                  <c:v>450/W/470</c:v>
                </c:pt>
                <c:pt idx="7">
                  <c:v>6B/94R</c:v>
                </c:pt>
                <c:pt idx="8">
                  <c:v>12B/88R </c:v>
                </c:pt>
                <c:pt idx="9">
                  <c:v>HPS</c:v>
                </c:pt>
                <c:pt idx="10">
                  <c:v>W/W/W</c:v>
                </c:pt>
                <c:pt idx="11">
                  <c:v>NL Control</c:v>
                </c:pt>
              </c:strCache>
            </c:strRef>
          </c:cat>
          <c:val>
            <c:numRef>
              <c:f>Graphs!$P$10:$AA$10</c:f>
              <c:numCache>
                <c:formatCode>General</c:formatCode>
                <c:ptCount val="12"/>
                <c:pt idx="0">
                  <c:v>302.10000000000002</c:v>
                </c:pt>
                <c:pt idx="1">
                  <c:v>212.0754</c:v>
                </c:pt>
                <c:pt idx="2">
                  <c:v>537.26300000000003</c:v>
                </c:pt>
                <c:pt idx="3">
                  <c:v>345.60400000000004</c:v>
                </c:pt>
                <c:pt idx="4">
                  <c:v>321.66449999999998</c:v>
                </c:pt>
                <c:pt idx="5">
                  <c:v>298.9085</c:v>
                </c:pt>
                <c:pt idx="6">
                  <c:v>806.41660000000002</c:v>
                </c:pt>
                <c:pt idx="7">
                  <c:v>408.92130000000003</c:v>
                </c:pt>
                <c:pt idx="8">
                  <c:v>720.95080000000007</c:v>
                </c:pt>
                <c:pt idx="9">
                  <c:v>256.92290000000003</c:v>
                </c:pt>
                <c:pt idx="10">
                  <c:v>260.6148</c:v>
                </c:pt>
                <c:pt idx="11">
                  <c:v>232.89690000000002</c:v>
                </c:pt>
              </c:numCache>
            </c:numRef>
          </c:val>
          <c:extLst>
            <c:ext xmlns:c16="http://schemas.microsoft.com/office/drawing/2014/chart" uri="{C3380CC4-5D6E-409C-BE32-E72D297353CC}">
              <c16:uniqueId val="{00000006-A747-5B4F-98DE-0D0AB96E8218}"/>
            </c:ext>
          </c:extLst>
        </c:ser>
        <c:ser>
          <c:idx val="7"/>
          <c:order val="7"/>
          <c:tx>
            <c:strRef>
              <c:f>Graphs!$O$11</c:f>
              <c:strCache>
                <c:ptCount val="1"/>
                <c:pt idx="0">
                  <c:v>Cyclic Monoterpenes</c:v>
                </c:pt>
              </c:strCache>
            </c:strRef>
          </c:tx>
          <c:spPr>
            <a:solidFill>
              <a:schemeClr val="accent4">
                <a:lumMod val="80000"/>
                <a:lumOff val="20000"/>
              </a:schemeClr>
            </a:solidFill>
            <a:ln>
              <a:noFill/>
            </a:ln>
            <a:effectLst/>
          </c:spPr>
          <c:invertIfNegative val="0"/>
          <c:cat>
            <c:strRef>
              <c:f>Graphs!$P$3:$AA$3</c:f>
              <c:strCache>
                <c:ptCount val="12"/>
                <c:pt idx="0">
                  <c:v>660/400/660</c:v>
                </c:pt>
                <c:pt idx="1">
                  <c:v>660/420/660</c:v>
                </c:pt>
                <c:pt idx="2">
                  <c:v>660/450/660</c:v>
                </c:pt>
                <c:pt idx="3">
                  <c:v>660/470/660</c:v>
                </c:pt>
                <c:pt idx="4">
                  <c:v>470/450/420</c:v>
                </c:pt>
                <c:pt idx="5">
                  <c:v>450/660/470</c:v>
                </c:pt>
                <c:pt idx="6">
                  <c:v>450/W/470</c:v>
                </c:pt>
                <c:pt idx="7">
                  <c:v>6B/94R</c:v>
                </c:pt>
                <c:pt idx="8">
                  <c:v>12B/88R </c:v>
                </c:pt>
                <c:pt idx="9">
                  <c:v>HPS</c:v>
                </c:pt>
                <c:pt idx="10">
                  <c:v>W/W/W</c:v>
                </c:pt>
                <c:pt idx="11">
                  <c:v>NL Control</c:v>
                </c:pt>
              </c:strCache>
            </c:strRef>
          </c:cat>
          <c:val>
            <c:numRef>
              <c:f>Graphs!$P$11:$AA$11</c:f>
              <c:numCache>
                <c:formatCode>General</c:formatCode>
                <c:ptCount val="12"/>
                <c:pt idx="0">
                  <c:v>502.46899999999999</c:v>
                </c:pt>
                <c:pt idx="1">
                  <c:v>390.39429999999999</c:v>
                </c:pt>
                <c:pt idx="2">
                  <c:v>460.18599999999998</c:v>
                </c:pt>
                <c:pt idx="3">
                  <c:v>556.19730000000004</c:v>
                </c:pt>
                <c:pt idx="4">
                  <c:v>540.42819999999995</c:v>
                </c:pt>
                <c:pt idx="5">
                  <c:v>526.65099999999995</c:v>
                </c:pt>
                <c:pt idx="6">
                  <c:v>599.90210000000013</c:v>
                </c:pt>
                <c:pt idx="7">
                  <c:v>636.23779999999999</c:v>
                </c:pt>
                <c:pt idx="8">
                  <c:v>464.98229999999995</c:v>
                </c:pt>
                <c:pt idx="9">
                  <c:v>464.77879999999999</c:v>
                </c:pt>
                <c:pt idx="10">
                  <c:v>475.93489999999997</c:v>
                </c:pt>
                <c:pt idx="11">
                  <c:v>371.98149999999998</c:v>
                </c:pt>
              </c:numCache>
            </c:numRef>
          </c:val>
          <c:extLst>
            <c:ext xmlns:c16="http://schemas.microsoft.com/office/drawing/2014/chart" uri="{C3380CC4-5D6E-409C-BE32-E72D297353CC}">
              <c16:uniqueId val="{00000007-A747-5B4F-98DE-0D0AB96E8218}"/>
            </c:ext>
          </c:extLst>
        </c:ser>
        <c:ser>
          <c:idx val="8"/>
          <c:order val="8"/>
          <c:tx>
            <c:strRef>
              <c:f>Graphs!$O$12</c:f>
              <c:strCache>
                <c:ptCount val="1"/>
                <c:pt idx="0">
                  <c:v>Organosulfur</c:v>
                </c:pt>
              </c:strCache>
            </c:strRef>
          </c:tx>
          <c:spPr>
            <a:solidFill>
              <a:schemeClr val="accent6">
                <a:lumMod val="80000"/>
                <a:lumOff val="20000"/>
              </a:schemeClr>
            </a:solidFill>
            <a:ln>
              <a:noFill/>
            </a:ln>
            <a:effectLst/>
          </c:spPr>
          <c:invertIfNegative val="0"/>
          <c:cat>
            <c:strRef>
              <c:f>Graphs!$P$3:$AA$3</c:f>
              <c:strCache>
                <c:ptCount val="12"/>
                <c:pt idx="0">
                  <c:v>660/400/660</c:v>
                </c:pt>
                <c:pt idx="1">
                  <c:v>660/420/660</c:v>
                </c:pt>
                <c:pt idx="2">
                  <c:v>660/450/660</c:v>
                </c:pt>
                <c:pt idx="3">
                  <c:v>660/470/660</c:v>
                </c:pt>
                <c:pt idx="4">
                  <c:v>470/450/420</c:v>
                </c:pt>
                <c:pt idx="5">
                  <c:v>450/660/470</c:v>
                </c:pt>
                <c:pt idx="6">
                  <c:v>450/W/470</c:v>
                </c:pt>
                <c:pt idx="7">
                  <c:v>6B/94R</c:v>
                </c:pt>
                <c:pt idx="8">
                  <c:v>12B/88R </c:v>
                </c:pt>
                <c:pt idx="9">
                  <c:v>HPS</c:v>
                </c:pt>
                <c:pt idx="10">
                  <c:v>W/W/W</c:v>
                </c:pt>
                <c:pt idx="11">
                  <c:v>NL Control</c:v>
                </c:pt>
              </c:strCache>
            </c:strRef>
          </c:cat>
          <c:val>
            <c:numRef>
              <c:f>Graphs!$P$12:$AA$12</c:f>
              <c:numCache>
                <c:formatCode>General</c:formatCode>
                <c:ptCount val="12"/>
                <c:pt idx="0">
                  <c:v>66.9833</c:v>
                </c:pt>
                <c:pt idx="1">
                  <c:v>106.6001</c:v>
                </c:pt>
                <c:pt idx="2">
                  <c:v>91.646699999999996</c:v>
                </c:pt>
                <c:pt idx="3">
                  <c:v>115.13419999999999</c:v>
                </c:pt>
                <c:pt idx="4">
                  <c:v>96.244799999999998</c:v>
                </c:pt>
                <c:pt idx="5">
                  <c:v>62.502000000000002</c:v>
                </c:pt>
                <c:pt idx="6">
                  <c:v>98.060100000000006</c:v>
                </c:pt>
                <c:pt idx="7">
                  <c:v>89.951299999999989</c:v>
                </c:pt>
                <c:pt idx="8">
                  <c:v>79.430300000000003</c:v>
                </c:pt>
                <c:pt idx="9">
                  <c:v>72.73</c:v>
                </c:pt>
                <c:pt idx="10">
                  <c:v>49.149799999999999</c:v>
                </c:pt>
                <c:pt idx="11">
                  <c:v>34.433900000000001</c:v>
                </c:pt>
              </c:numCache>
            </c:numRef>
          </c:val>
          <c:extLst>
            <c:ext xmlns:c16="http://schemas.microsoft.com/office/drawing/2014/chart" uri="{C3380CC4-5D6E-409C-BE32-E72D297353CC}">
              <c16:uniqueId val="{00000008-A747-5B4F-98DE-0D0AB96E8218}"/>
            </c:ext>
          </c:extLst>
        </c:ser>
        <c:ser>
          <c:idx val="9"/>
          <c:order val="9"/>
          <c:tx>
            <c:strRef>
              <c:f>Graphs!$O$13</c:f>
              <c:strCache>
                <c:ptCount val="1"/>
                <c:pt idx="0">
                  <c:v>Phenylpropanoids</c:v>
                </c:pt>
              </c:strCache>
            </c:strRef>
          </c:tx>
          <c:spPr>
            <a:solidFill>
              <a:schemeClr val="accent2">
                <a:lumMod val="80000"/>
              </a:schemeClr>
            </a:solidFill>
            <a:ln>
              <a:noFill/>
            </a:ln>
            <a:effectLst/>
          </c:spPr>
          <c:invertIfNegative val="0"/>
          <c:cat>
            <c:strRef>
              <c:f>Graphs!$P$3:$AA$3</c:f>
              <c:strCache>
                <c:ptCount val="12"/>
                <c:pt idx="0">
                  <c:v>660/400/660</c:v>
                </c:pt>
                <c:pt idx="1">
                  <c:v>660/420/660</c:v>
                </c:pt>
                <c:pt idx="2">
                  <c:v>660/450/660</c:v>
                </c:pt>
                <c:pt idx="3">
                  <c:v>660/470/660</c:v>
                </c:pt>
                <c:pt idx="4">
                  <c:v>470/450/420</c:v>
                </c:pt>
                <c:pt idx="5">
                  <c:v>450/660/470</c:v>
                </c:pt>
                <c:pt idx="6">
                  <c:v>450/W/470</c:v>
                </c:pt>
                <c:pt idx="7">
                  <c:v>6B/94R</c:v>
                </c:pt>
                <c:pt idx="8">
                  <c:v>12B/88R </c:v>
                </c:pt>
                <c:pt idx="9">
                  <c:v>HPS</c:v>
                </c:pt>
                <c:pt idx="10">
                  <c:v>W/W/W</c:v>
                </c:pt>
                <c:pt idx="11">
                  <c:v>NL Control</c:v>
                </c:pt>
              </c:strCache>
            </c:strRef>
          </c:cat>
          <c:val>
            <c:numRef>
              <c:f>Graphs!$P$13:$AA$13</c:f>
              <c:numCache>
                <c:formatCode>General</c:formatCode>
                <c:ptCount val="12"/>
                <c:pt idx="0">
                  <c:v>146.53</c:v>
                </c:pt>
                <c:pt idx="1">
                  <c:v>337.59000000000003</c:v>
                </c:pt>
                <c:pt idx="2">
                  <c:v>166.69</c:v>
                </c:pt>
                <c:pt idx="3">
                  <c:v>326.73</c:v>
                </c:pt>
                <c:pt idx="4">
                  <c:v>151.49</c:v>
                </c:pt>
                <c:pt idx="5">
                  <c:v>168.3201</c:v>
                </c:pt>
                <c:pt idx="6">
                  <c:v>208.47</c:v>
                </c:pt>
                <c:pt idx="7">
                  <c:v>333.61240000000004</c:v>
                </c:pt>
                <c:pt idx="8">
                  <c:v>416.26099999999997</c:v>
                </c:pt>
                <c:pt idx="9">
                  <c:v>151.32</c:v>
                </c:pt>
                <c:pt idx="10">
                  <c:v>214.64699999999999</c:v>
                </c:pt>
                <c:pt idx="11">
                  <c:v>90.088499999999996</c:v>
                </c:pt>
              </c:numCache>
            </c:numRef>
          </c:val>
          <c:extLst>
            <c:ext xmlns:c16="http://schemas.microsoft.com/office/drawing/2014/chart" uri="{C3380CC4-5D6E-409C-BE32-E72D297353CC}">
              <c16:uniqueId val="{00000009-A747-5B4F-98DE-0D0AB96E8218}"/>
            </c:ext>
          </c:extLst>
        </c:ser>
        <c:ser>
          <c:idx val="10"/>
          <c:order val="10"/>
          <c:tx>
            <c:strRef>
              <c:f>Graphs!$O$14</c:f>
              <c:strCache>
                <c:ptCount val="1"/>
                <c:pt idx="0">
                  <c:v>Organosulfur</c:v>
                </c:pt>
              </c:strCache>
            </c:strRef>
          </c:tx>
          <c:spPr>
            <a:solidFill>
              <a:schemeClr val="accent4">
                <a:lumMod val="80000"/>
              </a:schemeClr>
            </a:solidFill>
            <a:ln>
              <a:noFill/>
            </a:ln>
            <a:effectLst/>
          </c:spPr>
          <c:invertIfNegative val="0"/>
          <c:cat>
            <c:strRef>
              <c:f>Graphs!$P$3:$AA$3</c:f>
              <c:strCache>
                <c:ptCount val="12"/>
                <c:pt idx="0">
                  <c:v>660/400/660</c:v>
                </c:pt>
                <c:pt idx="1">
                  <c:v>660/420/660</c:v>
                </c:pt>
                <c:pt idx="2">
                  <c:v>660/450/660</c:v>
                </c:pt>
                <c:pt idx="3">
                  <c:v>660/470/660</c:v>
                </c:pt>
                <c:pt idx="4">
                  <c:v>470/450/420</c:v>
                </c:pt>
                <c:pt idx="5">
                  <c:v>450/660/470</c:v>
                </c:pt>
                <c:pt idx="6">
                  <c:v>450/W/470</c:v>
                </c:pt>
                <c:pt idx="7">
                  <c:v>6B/94R</c:v>
                </c:pt>
                <c:pt idx="8">
                  <c:v>12B/88R </c:v>
                </c:pt>
                <c:pt idx="9">
                  <c:v>HPS</c:v>
                </c:pt>
                <c:pt idx="10">
                  <c:v>W/W/W</c:v>
                </c:pt>
                <c:pt idx="11">
                  <c:v>NL Control</c:v>
                </c:pt>
              </c:strCache>
            </c:strRef>
          </c:cat>
          <c:val>
            <c:numRef>
              <c:f>Graphs!$P$14:$AA$14</c:f>
              <c:numCache>
                <c:formatCode>General</c:formatCode>
                <c:ptCount val="12"/>
                <c:pt idx="0">
                  <c:v>66.9833</c:v>
                </c:pt>
                <c:pt idx="1">
                  <c:v>106.6001</c:v>
                </c:pt>
                <c:pt idx="2">
                  <c:v>91.646699999999996</c:v>
                </c:pt>
                <c:pt idx="3">
                  <c:v>115.13419999999999</c:v>
                </c:pt>
                <c:pt idx="4">
                  <c:v>96.244799999999998</c:v>
                </c:pt>
                <c:pt idx="5">
                  <c:v>62.502000000000002</c:v>
                </c:pt>
                <c:pt idx="6">
                  <c:v>98.060100000000006</c:v>
                </c:pt>
                <c:pt idx="7">
                  <c:v>89.951299999999989</c:v>
                </c:pt>
                <c:pt idx="8">
                  <c:v>79.430300000000003</c:v>
                </c:pt>
                <c:pt idx="9">
                  <c:v>72.73</c:v>
                </c:pt>
                <c:pt idx="10">
                  <c:v>49.149799999999999</c:v>
                </c:pt>
                <c:pt idx="11">
                  <c:v>34.433900000000001</c:v>
                </c:pt>
              </c:numCache>
            </c:numRef>
          </c:val>
          <c:extLst>
            <c:ext xmlns:c16="http://schemas.microsoft.com/office/drawing/2014/chart" uri="{C3380CC4-5D6E-409C-BE32-E72D297353CC}">
              <c16:uniqueId val="{0000000A-A747-5B4F-98DE-0D0AB96E8218}"/>
            </c:ext>
          </c:extLst>
        </c:ser>
        <c:ser>
          <c:idx val="11"/>
          <c:order val="11"/>
          <c:tx>
            <c:strRef>
              <c:f>Graphs!$O$15</c:f>
              <c:strCache>
                <c:ptCount val="1"/>
                <c:pt idx="0">
                  <c:v>Phenylpropanoids</c:v>
                </c:pt>
              </c:strCache>
            </c:strRef>
          </c:tx>
          <c:spPr>
            <a:solidFill>
              <a:schemeClr val="accent6">
                <a:lumMod val="80000"/>
              </a:schemeClr>
            </a:solidFill>
            <a:ln>
              <a:noFill/>
            </a:ln>
            <a:effectLst/>
          </c:spPr>
          <c:invertIfNegative val="0"/>
          <c:cat>
            <c:strRef>
              <c:f>Graphs!$P$3:$AA$3</c:f>
              <c:strCache>
                <c:ptCount val="12"/>
                <c:pt idx="0">
                  <c:v>660/400/660</c:v>
                </c:pt>
                <c:pt idx="1">
                  <c:v>660/420/660</c:v>
                </c:pt>
                <c:pt idx="2">
                  <c:v>660/450/660</c:v>
                </c:pt>
                <c:pt idx="3">
                  <c:v>660/470/660</c:v>
                </c:pt>
                <c:pt idx="4">
                  <c:v>470/450/420</c:v>
                </c:pt>
                <c:pt idx="5">
                  <c:v>450/660/470</c:v>
                </c:pt>
                <c:pt idx="6">
                  <c:v>450/W/470</c:v>
                </c:pt>
                <c:pt idx="7">
                  <c:v>6B/94R</c:v>
                </c:pt>
                <c:pt idx="8">
                  <c:v>12B/88R </c:v>
                </c:pt>
                <c:pt idx="9">
                  <c:v>HPS</c:v>
                </c:pt>
                <c:pt idx="10">
                  <c:v>W/W/W</c:v>
                </c:pt>
                <c:pt idx="11">
                  <c:v>NL Control</c:v>
                </c:pt>
              </c:strCache>
            </c:strRef>
          </c:cat>
          <c:val>
            <c:numRef>
              <c:f>Graphs!$P$15:$AA$15</c:f>
              <c:numCache>
                <c:formatCode>General</c:formatCode>
                <c:ptCount val="12"/>
                <c:pt idx="0">
                  <c:v>146.53</c:v>
                </c:pt>
                <c:pt idx="1">
                  <c:v>337.59000000000003</c:v>
                </c:pt>
                <c:pt idx="2">
                  <c:v>166.69</c:v>
                </c:pt>
                <c:pt idx="3">
                  <c:v>326.73</c:v>
                </c:pt>
                <c:pt idx="4">
                  <c:v>151.49</c:v>
                </c:pt>
                <c:pt idx="5">
                  <c:v>168.3201</c:v>
                </c:pt>
                <c:pt idx="6">
                  <c:v>208.47</c:v>
                </c:pt>
                <c:pt idx="7">
                  <c:v>333.61240000000004</c:v>
                </c:pt>
                <c:pt idx="8">
                  <c:v>416.26099999999997</c:v>
                </c:pt>
                <c:pt idx="9">
                  <c:v>151.32</c:v>
                </c:pt>
                <c:pt idx="10">
                  <c:v>214.64699999999999</c:v>
                </c:pt>
                <c:pt idx="11">
                  <c:v>90.088499999999996</c:v>
                </c:pt>
              </c:numCache>
            </c:numRef>
          </c:val>
          <c:extLst>
            <c:ext xmlns:c16="http://schemas.microsoft.com/office/drawing/2014/chart" uri="{C3380CC4-5D6E-409C-BE32-E72D297353CC}">
              <c16:uniqueId val="{0000000B-A747-5B4F-98DE-0D0AB96E8218}"/>
            </c:ext>
          </c:extLst>
        </c:ser>
        <c:dLbls>
          <c:showLegendKey val="0"/>
          <c:showVal val="0"/>
          <c:showCatName val="0"/>
          <c:showSerName val="0"/>
          <c:showPercent val="0"/>
          <c:showBubbleSize val="0"/>
        </c:dLbls>
        <c:gapWidth val="219"/>
        <c:overlap val="100"/>
        <c:axId val="2033045951"/>
        <c:axId val="2033047599"/>
      </c:barChart>
      <c:catAx>
        <c:axId val="2033045951"/>
        <c:scaling>
          <c:orientation val="minMax"/>
        </c:scaling>
        <c:delete val="0"/>
        <c:axPos val="l"/>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1" i="0" u="none" strike="noStrike" kern="1200" baseline="0">
                <a:solidFill>
                  <a:schemeClr val="tx1"/>
                </a:solidFill>
                <a:latin typeface="Arial" panose="020B0604020202020204" pitchFamily="34" charset="0"/>
                <a:ea typeface="+mn-ea"/>
                <a:cs typeface="Arial" panose="020B0604020202020204" pitchFamily="34" charset="0"/>
              </a:defRPr>
            </a:pPr>
            <a:endParaRPr lang="en-US"/>
          </a:p>
        </c:txPr>
        <c:crossAx val="2033047599"/>
        <c:crosses val="autoZero"/>
        <c:auto val="1"/>
        <c:lblAlgn val="ctr"/>
        <c:lblOffset val="100"/>
        <c:noMultiLvlLbl val="0"/>
      </c:catAx>
      <c:valAx>
        <c:axId val="2033047599"/>
        <c:scaling>
          <c:orientation val="minMax"/>
        </c:scaling>
        <c:delete val="0"/>
        <c:axPos val="b"/>
        <c:majorGridlines>
          <c:spPr>
            <a:ln w="9525" cap="flat" cmpd="sng" algn="ctr">
              <a:solidFill>
                <a:schemeClr val="tx1">
                  <a:lumMod val="15000"/>
                  <a:lumOff val="85000"/>
                </a:schemeClr>
              </a:solidFill>
              <a:round/>
            </a:ln>
            <a:effectLst/>
          </c:spPr>
        </c:majorGridlines>
        <c:title>
          <c:tx>
            <c:rich>
              <a:bodyPr rot="0" spcFirstLastPara="1" vertOverflow="ellipsis" vert="horz" wrap="square" anchor="ctr" anchorCtr="1"/>
              <a:lstStyle/>
              <a:p>
                <a:pPr algn="ctr" rtl="0">
                  <a:defRPr sz="1000" b="1" i="0" u="none" strike="noStrike" kern="1200" baseline="0">
                    <a:solidFill>
                      <a:schemeClr val="tx1"/>
                    </a:solidFill>
                    <a:latin typeface="Arial" panose="020B0604020202020204" pitchFamily="34" charset="0"/>
                    <a:ea typeface="+mn-ea"/>
                    <a:cs typeface="Arial" panose="020B0604020202020204" pitchFamily="34" charset="0"/>
                  </a:defRPr>
                </a:pPr>
                <a:r>
                  <a:rPr lang="en-US" sz="1000" b="1" i="0" baseline="0">
                    <a:effectLst/>
                  </a:rPr>
                  <a:t>Analyte Concentration (µM </a:t>
                </a:r>
                <a:r>
                  <a:rPr lang="en-US" sz="1000" b="1" i="0" baseline="30000">
                    <a:effectLst/>
                  </a:rPr>
                  <a:t>.</a:t>
                </a:r>
                <a:r>
                  <a:rPr lang="en-US" sz="1000" b="1" i="0" baseline="0">
                    <a:effectLst/>
                  </a:rPr>
                  <a:t> g</a:t>
                </a:r>
                <a:r>
                  <a:rPr lang="en-US" sz="1000" b="1" i="0" baseline="30000">
                    <a:effectLst/>
                  </a:rPr>
                  <a:t>-1 </a:t>
                </a:r>
                <a:r>
                  <a:rPr lang="en-US" sz="1000" b="1" i="0" baseline="0">
                    <a:effectLst/>
                  </a:rPr>
                  <a:t>FM)</a:t>
                </a:r>
              </a:p>
            </c:rich>
          </c:tx>
          <c:layout>
            <c:manualLayout>
              <c:xMode val="edge"/>
              <c:yMode val="edge"/>
              <c:x val="0.34855676694259369"/>
              <c:y val="0.88010802824597223"/>
            </c:manualLayout>
          </c:layout>
          <c:overlay val="0"/>
          <c:spPr>
            <a:noFill/>
            <a:ln>
              <a:noFill/>
            </a:ln>
            <a:effectLst/>
          </c:spPr>
          <c:txPr>
            <a:bodyPr rot="0" spcFirstLastPara="1" vertOverflow="ellipsis" vert="horz" wrap="square" anchor="ctr" anchorCtr="1"/>
            <a:lstStyle/>
            <a:p>
              <a:pPr algn="ctr" rtl="0">
                <a:defRPr sz="1000" b="1" i="0" u="none" strike="noStrike" kern="1200" baseline="0">
                  <a:solidFill>
                    <a:schemeClr val="tx1"/>
                  </a:solidFill>
                  <a:latin typeface="Arial" panose="020B0604020202020204" pitchFamily="34" charset="0"/>
                  <a:ea typeface="+mn-ea"/>
                  <a:cs typeface="Arial" panose="020B0604020202020204" pitchFamily="34" charset="0"/>
                </a:defRPr>
              </a:pPr>
              <a:endParaRPr lang="en-US"/>
            </a:p>
          </c:txPr>
        </c:title>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solidFill>
                <a:latin typeface="Arial" panose="020B0604020202020204" pitchFamily="34" charset="0"/>
                <a:ea typeface="+mn-ea"/>
                <a:cs typeface="Arial" panose="020B0604020202020204" pitchFamily="34" charset="0"/>
              </a:defRPr>
            </a:pPr>
            <a:endParaRPr lang="en-US"/>
          </a:p>
        </c:txPr>
        <c:crossAx val="2033045951"/>
        <c:crosses val="autoZero"/>
        <c:crossBetween val="between"/>
      </c:valAx>
      <c:spPr>
        <a:noFill/>
        <a:ln>
          <a:noFill/>
        </a:ln>
        <a:effectLst/>
      </c:spPr>
    </c:plotArea>
    <c:legend>
      <c:legendPos val="b"/>
      <c:legendEntry>
        <c:idx val="10"/>
        <c:delete val="1"/>
      </c:legendEntry>
      <c:legendEntry>
        <c:idx val="11"/>
        <c:delete val="1"/>
      </c:legendEntry>
      <c:layout>
        <c:manualLayout>
          <c:xMode val="edge"/>
          <c:yMode val="edge"/>
          <c:x val="1.5089844538663431E-2"/>
          <c:y val="0.91304995829622138"/>
          <c:w val="0.97409381519617744"/>
          <c:h val="7.6917435734378189E-2"/>
        </c:manualLayout>
      </c:layout>
      <c:overlay val="0"/>
      <c:spPr>
        <a:noFill/>
        <a:ln>
          <a:noFill/>
        </a:ln>
        <a:effectLst/>
      </c:spPr>
      <c:txPr>
        <a:bodyPr rot="0" spcFirstLastPara="1" vertOverflow="ellipsis" vert="horz" wrap="square" anchor="ctr" anchorCtr="1"/>
        <a:lstStyle/>
        <a:p>
          <a:pPr>
            <a:defRPr sz="900" b="0" i="0" u="none" strike="noStrike" kern="1200" baseline="0">
              <a:solidFill>
                <a:schemeClr val="tx1"/>
              </a:solidFill>
              <a:latin typeface="Arial" panose="020B0604020202020204" pitchFamily="34" charset="0"/>
              <a:ea typeface="+mn-ea"/>
              <a:cs typeface="Arial" panose="020B0604020202020204" pitchFamily="34" charset="0"/>
            </a:defRPr>
          </a:pPr>
          <a:endParaRPr lang="en-US"/>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solidFill>
            <a:schemeClr val="tx1"/>
          </a:solidFill>
          <a:latin typeface="Arial" panose="020B0604020202020204" pitchFamily="34" charset="0"/>
          <a:cs typeface="Arial" panose="020B0604020202020204" pitchFamily="34" charset="0"/>
        </a:defRPr>
      </a:pPr>
      <a:endParaRPr lang="en-US"/>
    </a:p>
  </c:txPr>
  <c:externalData r:id="rId3">
    <c:autoUpdate val="0"/>
  </c:externalData>
  <c:userShapes r:id="rId4"/>
</c:chartSpace>
</file>

<file path=word/charts/chart18.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10916481593646948"/>
          <c:y val="1.9145418153337396E-2"/>
          <c:w val="0.86733091055925704"/>
          <c:h val="0.84126927132977058"/>
        </c:manualLayout>
      </c:layout>
      <c:barChart>
        <c:barDir val="col"/>
        <c:grouping val="stacked"/>
        <c:varyColors val="0"/>
        <c:ser>
          <c:idx val="0"/>
          <c:order val="0"/>
          <c:tx>
            <c:strRef>
              <c:f>'Graphs experiment'!$L$2</c:f>
              <c:strCache>
                <c:ptCount val="1"/>
                <c:pt idx="0">
                  <c:v>Alcohols</c:v>
                </c:pt>
              </c:strCache>
            </c:strRef>
          </c:tx>
          <c:spPr>
            <a:solidFill>
              <a:schemeClr val="accent2"/>
            </a:solidFill>
            <a:ln>
              <a:noFill/>
            </a:ln>
            <a:effectLst/>
          </c:spPr>
          <c:invertIfNegative val="0"/>
          <c:cat>
            <c:strRef>
              <c:f>'Graphs experiment'!$M$1:$P$1</c:f>
              <c:strCache>
                <c:ptCount val="4"/>
                <c:pt idx="0">
                  <c:v>January</c:v>
                </c:pt>
                <c:pt idx="1">
                  <c:v>April</c:v>
                </c:pt>
                <c:pt idx="2">
                  <c:v>June</c:v>
                </c:pt>
                <c:pt idx="3">
                  <c:v>September</c:v>
                </c:pt>
              </c:strCache>
            </c:strRef>
          </c:cat>
          <c:val>
            <c:numRef>
              <c:f>'Graphs experiment'!$M$2:$P$2</c:f>
              <c:numCache>
                <c:formatCode>General</c:formatCode>
                <c:ptCount val="4"/>
                <c:pt idx="0">
                  <c:v>446.47430000000003</c:v>
                </c:pt>
                <c:pt idx="1">
                  <c:v>608.70630000000006</c:v>
                </c:pt>
                <c:pt idx="2">
                  <c:v>758.28390000000002</c:v>
                </c:pt>
                <c:pt idx="3">
                  <c:v>39.460300000000004</c:v>
                </c:pt>
              </c:numCache>
            </c:numRef>
          </c:val>
          <c:extLst>
            <c:ext xmlns:c16="http://schemas.microsoft.com/office/drawing/2014/chart" uri="{C3380CC4-5D6E-409C-BE32-E72D297353CC}">
              <c16:uniqueId val="{00000000-667A-DF49-AB40-281AA1FD28EB}"/>
            </c:ext>
          </c:extLst>
        </c:ser>
        <c:ser>
          <c:idx val="1"/>
          <c:order val="1"/>
          <c:tx>
            <c:strRef>
              <c:f>'Graphs experiment'!$L$3</c:f>
              <c:strCache>
                <c:ptCount val="1"/>
                <c:pt idx="0">
                  <c:v>Aldehydes</c:v>
                </c:pt>
              </c:strCache>
            </c:strRef>
          </c:tx>
          <c:spPr>
            <a:solidFill>
              <a:schemeClr val="accent4"/>
            </a:solidFill>
            <a:ln>
              <a:noFill/>
            </a:ln>
            <a:effectLst/>
          </c:spPr>
          <c:invertIfNegative val="0"/>
          <c:cat>
            <c:strRef>
              <c:f>'Graphs experiment'!$M$1:$P$1</c:f>
              <c:strCache>
                <c:ptCount val="4"/>
                <c:pt idx="0">
                  <c:v>January</c:v>
                </c:pt>
                <c:pt idx="1">
                  <c:v>April</c:v>
                </c:pt>
                <c:pt idx="2">
                  <c:v>June</c:v>
                </c:pt>
                <c:pt idx="3">
                  <c:v>September</c:v>
                </c:pt>
              </c:strCache>
            </c:strRef>
          </c:cat>
          <c:val>
            <c:numRef>
              <c:f>'Graphs experiment'!$M$3:$P$3</c:f>
              <c:numCache>
                <c:formatCode>General</c:formatCode>
                <c:ptCount val="4"/>
                <c:pt idx="0">
                  <c:v>143.28650000000002</c:v>
                </c:pt>
                <c:pt idx="1">
                  <c:v>156.5814</c:v>
                </c:pt>
                <c:pt idx="2">
                  <c:v>175.59879999999998</c:v>
                </c:pt>
                <c:pt idx="3">
                  <c:v>149.38210000000001</c:v>
                </c:pt>
              </c:numCache>
            </c:numRef>
          </c:val>
          <c:extLst>
            <c:ext xmlns:c16="http://schemas.microsoft.com/office/drawing/2014/chart" uri="{C3380CC4-5D6E-409C-BE32-E72D297353CC}">
              <c16:uniqueId val="{00000001-667A-DF49-AB40-281AA1FD28EB}"/>
            </c:ext>
          </c:extLst>
        </c:ser>
        <c:ser>
          <c:idx val="2"/>
          <c:order val="2"/>
          <c:tx>
            <c:strRef>
              <c:f>'Graphs experiment'!$L$4</c:f>
              <c:strCache>
                <c:ptCount val="1"/>
                <c:pt idx="0">
                  <c:v>Benzyl Aldehydes</c:v>
                </c:pt>
              </c:strCache>
            </c:strRef>
          </c:tx>
          <c:spPr>
            <a:solidFill>
              <a:schemeClr val="accent6"/>
            </a:solidFill>
            <a:ln>
              <a:noFill/>
            </a:ln>
            <a:effectLst/>
          </c:spPr>
          <c:invertIfNegative val="0"/>
          <c:cat>
            <c:strRef>
              <c:f>'Graphs experiment'!$M$1:$P$1</c:f>
              <c:strCache>
                <c:ptCount val="4"/>
                <c:pt idx="0">
                  <c:v>January</c:v>
                </c:pt>
                <c:pt idx="1">
                  <c:v>April</c:v>
                </c:pt>
                <c:pt idx="2">
                  <c:v>June</c:v>
                </c:pt>
                <c:pt idx="3">
                  <c:v>September</c:v>
                </c:pt>
              </c:strCache>
            </c:strRef>
          </c:cat>
          <c:val>
            <c:numRef>
              <c:f>'Graphs experiment'!$M$4:$P$4</c:f>
              <c:numCache>
                <c:formatCode>General</c:formatCode>
                <c:ptCount val="4"/>
                <c:pt idx="0">
                  <c:v>83.735199999999992</c:v>
                </c:pt>
                <c:pt idx="1">
                  <c:v>192.5489</c:v>
                </c:pt>
                <c:pt idx="2">
                  <c:v>269.53210000000001</c:v>
                </c:pt>
                <c:pt idx="3">
                  <c:v>16.723100000000002</c:v>
                </c:pt>
              </c:numCache>
            </c:numRef>
          </c:val>
          <c:extLst>
            <c:ext xmlns:c16="http://schemas.microsoft.com/office/drawing/2014/chart" uri="{C3380CC4-5D6E-409C-BE32-E72D297353CC}">
              <c16:uniqueId val="{00000002-667A-DF49-AB40-281AA1FD28EB}"/>
            </c:ext>
          </c:extLst>
        </c:ser>
        <c:ser>
          <c:idx val="3"/>
          <c:order val="3"/>
          <c:tx>
            <c:strRef>
              <c:f>'Graphs experiment'!$L$5</c:f>
              <c:strCache>
                <c:ptCount val="1"/>
                <c:pt idx="0">
                  <c:v>Amides and Furans</c:v>
                </c:pt>
              </c:strCache>
            </c:strRef>
          </c:tx>
          <c:spPr>
            <a:solidFill>
              <a:schemeClr val="accent2">
                <a:lumMod val="60000"/>
              </a:schemeClr>
            </a:solidFill>
            <a:ln>
              <a:noFill/>
            </a:ln>
            <a:effectLst/>
          </c:spPr>
          <c:invertIfNegative val="0"/>
          <c:cat>
            <c:strRef>
              <c:f>'Graphs experiment'!$M$1:$P$1</c:f>
              <c:strCache>
                <c:ptCount val="4"/>
                <c:pt idx="0">
                  <c:v>January</c:v>
                </c:pt>
                <c:pt idx="1">
                  <c:v>April</c:v>
                </c:pt>
                <c:pt idx="2">
                  <c:v>June</c:v>
                </c:pt>
                <c:pt idx="3">
                  <c:v>September</c:v>
                </c:pt>
              </c:strCache>
            </c:strRef>
          </c:cat>
          <c:val>
            <c:numRef>
              <c:f>'Graphs experiment'!$M$5:$P$5</c:f>
              <c:numCache>
                <c:formatCode>General</c:formatCode>
                <c:ptCount val="4"/>
                <c:pt idx="0">
                  <c:v>42.212399999999995</c:v>
                </c:pt>
                <c:pt idx="1">
                  <c:v>45.436800000000005</c:v>
                </c:pt>
                <c:pt idx="2">
                  <c:v>48.482699999999994</c:v>
                </c:pt>
                <c:pt idx="3">
                  <c:v>113.3339</c:v>
                </c:pt>
              </c:numCache>
            </c:numRef>
          </c:val>
          <c:extLst>
            <c:ext xmlns:c16="http://schemas.microsoft.com/office/drawing/2014/chart" uri="{C3380CC4-5D6E-409C-BE32-E72D297353CC}">
              <c16:uniqueId val="{00000003-667A-DF49-AB40-281AA1FD28EB}"/>
            </c:ext>
          </c:extLst>
        </c:ser>
        <c:ser>
          <c:idx val="4"/>
          <c:order val="4"/>
          <c:tx>
            <c:strRef>
              <c:f>'Graphs experiment'!$L$6</c:f>
              <c:strCache>
                <c:ptCount val="1"/>
                <c:pt idx="0">
                  <c:v>Hydrocarbons</c:v>
                </c:pt>
              </c:strCache>
            </c:strRef>
          </c:tx>
          <c:spPr>
            <a:solidFill>
              <a:schemeClr val="accent4">
                <a:lumMod val="60000"/>
              </a:schemeClr>
            </a:solidFill>
            <a:ln>
              <a:noFill/>
            </a:ln>
            <a:effectLst/>
          </c:spPr>
          <c:invertIfNegative val="0"/>
          <c:cat>
            <c:strRef>
              <c:f>'Graphs experiment'!$M$1:$P$1</c:f>
              <c:strCache>
                <c:ptCount val="4"/>
                <c:pt idx="0">
                  <c:v>January</c:v>
                </c:pt>
                <c:pt idx="1">
                  <c:v>April</c:v>
                </c:pt>
                <c:pt idx="2">
                  <c:v>June</c:v>
                </c:pt>
                <c:pt idx="3">
                  <c:v>September</c:v>
                </c:pt>
              </c:strCache>
            </c:strRef>
          </c:cat>
          <c:val>
            <c:numRef>
              <c:f>'Graphs experiment'!$M$6:$P$6</c:f>
              <c:numCache>
                <c:formatCode>General</c:formatCode>
                <c:ptCount val="4"/>
                <c:pt idx="0">
                  <c:v>82.102599999999995</c:v>
                </c:pt>
                <c:pt idx="1">
                  <c:v>120.7565</c:v>
                </c:pt>
                <c:pt idx="2">
                  <c:v>170.9435</c:v>
                </c:pt>
                <c:pt idx="3">
                  <c:v>180.3604</c:v>
                </c:pt>
              </c:numCache>
            </c:numRef>
          </c:val>
          <c:extLst>
            <c:ext xmlns:c16="http://schemas.microsoft.com/office/drawing/2014/chart" uri="{C3380CC4-5D6E-409C-BE32-E72D297353CC}">
              <c16:uniqueId val="{00000004-667A-DF49-AB40-281AA1FD28EB}"/>
            </c:ext>
          </c:extLst>
        </c:ser>
        <c:ser>
          <c:idx val="5"/>
          <c:order val="5"/>
          <c:tx>
            <c:strRef>
              <c:f>'Graphs experiment'!$L$7</c:f>
              <c:strCache>
                <c:ptCount val="1"/>
                <c:pt idx="0">
                  <c:v>Acyclic Monoterpenes</c:v>
                </c:pt>
              </c:strCache>
            </c:strRef>
          </c:tx>
          <c:spPr>
            <a:solidFill>
              <a:schemeClr val="accent6">
                <a:lumMod val="60000"/>
              </a:schemeClr>
            </a:solidFill>
            <a:ln>
              <a:noFill/>
            </a:ln>
            <a:effectLst/>
          </c:spPr>
          <c:invertIfNegative val="0"/>
          <c:cat>
            <c:strRef>
              <c:f>'Graphs experiment'!$M$1:$P$1</c:f>
              <c:strCache>
                <c:ptCount val="4"/>
                <c:pt idx="0">
                  <c:v>January</c:v>
                </c:pt>
                <c:pt idx="1">
                  <c:v>April</c:v>
                </c:pt>
                <c:pt idx="2">
                  <c:v>June</c:v>
                </c:pt>
                <c:pt idx="3">
                  <c:v>September</c:v>
                </c:pt>
              </c:strCache>
            </c:strRef>
          </c:cat>
          <c:val>
            <c:numRef>
              <c:f>'Graphs experiment'!$M$7:$P$7</c:f>
              <c:numCache>
                <c:formatCode>General</c:formatCode>
                <c:ptCount val="4"/>
                <c:pt idx="0">
                  <c:v>1920.0678000000003</c:v>
                </c:pt>
                <c:pt idx="1">
                  <c:v>2288.2833000000001</c:v>
                </c:pt>
                <c:pt idx="2">
                  <c:v>2658.4195</c:v>
                </c:pt>
                <c:pt idx="3">
                  <c:v>1142.5682000000002</c:v>
                </c:pt>
              </c:numCache>
            </c:numRef>
          </c:val>
          <c:extLst>
            <c:ext xmlns:c16="http://schemas.microsoft.com/office/drawing/2014/chart" uri="{C3380CC4-5D6E-409C-BE32-E72D297353CC}">
              <c16:uniqueId val="{00000005-667A-DF49-AB40-281AA1FD28EB}"/>
            </c:ext>
          </c:extLst>
        </c:ser>
        <c:ser>
          <c:idx val="6"/>
          <c:order val="6"/>
          <c:tx>
            <c:strRef>
              <c:f>'Graphs experiment'!$L$8</c:f>
              <c:strCache>
                <c:ptCount val="1"/>
                <c:pt idx="0">
                  <c:v>Bicyclic Monoterpenes</c:v>
                </c:pt>
              </c:strCache>
            </c:strRef>
          </c:tx>
          <c:spPr>
            <a:solidFill>
              <a:schemeClr val="accent2">
                <a:lumMod val="80000"/>
                <a:lumOff val="20000"/>
              </a:schemeClr>
            </a:solidFill>
            <a:ln>
              <a:noFill/>
            </a:ln>
            <a:effectLst/>
          </c:spPr>
          <c:invertIfNegative val="0"/>
          <c:cat>
            <c:strRef>
              <c:f>'Graphs experiment'!$M$1:$P$1</c:f>
              <c:strCache>
                <c:ptCount val="4"/>
                <c:pt idx="0">
                  <c:v>January</c:v>
                </c:pt>
                <c:pt idx="1">
                  <c:v>April</c:v>
                </c:pt>
                <c:pt idx="2">
                  <c:v>June</c:v>
                </c:pt>
                <c:pt idx="3">
                  <c:v>September</c:v>
                </c:pt>
              </c:strCache>
            </c:strRef>
          </c:cat>
          <c:val>
            <c:numRef>
              <c:f>'Graphs experiment'!$M$8:$P$8</c:f>
              <c:numCache>
                <c:formatCode>General</c:formatCode>
                <c:ptCount val="4"/>
                <c:pt idx="0">
                  <c:v>578.77149999999995</c:v>
                </c:pt>
                <c:pt idx="1">
                  <c:v>772.56590000000006</c:v>
                </c:pt>
                <c:pt idx="2">
                  <c:v>907.70410000000004</c:v>
                </c:pt>
                <c:pt idx="3">
                  <c:v>417.40139999999997</c:v>
                </c:pt>
              </c:numCache>
            </c:numRef>
          </c:val>
          <c:extLst>
            <c:ext xmlns:c16="http://schemas.microsoft.com/office/drawing/2014/chart" uri="{C3380CC4-5D6E-409C-BE32-E72D297353CC}">
              <c16:uniqueId val="{00000006-667A-DF49-AB40-281AA1FD28EB}"/>
            </c:ext>
          </c:extLst>
        </c:ser>
        <c:ser>
          <c:idx val="7"/>
          <c:order val="7"/>
          <c:tx>
            <c:strRef>
              <c:f>'Graphs experiment'!$L$9</c:f>
              <c:strCache>
                <c:ptCount val="1"/>
                <c:pt idx="0">
                  <c:v>Cyclic Monoterpenes</c:v>
                </c:pt>
              </c:strCache>
            </c:strRef>
          </c:tx>
          <c:spPr>
            <a:solidFill>
              <a:schemeClr val="accent4">
                <a:lumMod val="80000"/>
                <a:lumOff val="20000"/>
              </a:schemeClr>
            </a:solidFill>
            <a:ln>
              <a:noFill/>
            </a:ln>
            <a:effectLst/>
          </c:spPr>
          <c:invertIfNegative val="0"/>
          <c:cat>
            <c:strRef>
              <c:f>'Graphs experiment'!$M$1:$P$1</c:f>
              <c:strCache>
                <c:ptCount val="4"/>
                <c:pt idx="0">
                  <c:v>January</c:v>
                </c:pt>
                <c:pt idx="1">
                  <c:v>April</c:v>
                </c:pt>
                <c:pt idx="2">
                  <c:v>June</c:v>
                </c:pt>
                <c:pt idx="3">
                  <c:v>September</c:v>
                </c:pt>
              </c:strCache>
            </c:strRef>
          </c:cat>
          <c:val>
            <c:numRef>
              <c:f>'Graphs experiment'!$M$9:$P$9</c:f>
              <c:numCache>
                <c:formatCode>General</c:formatCode>
                <c:ptCount val="4"/>
                <c:pt idx="0">
                  <c:v>450.7774</c:v>
                </c:pt>
                <c:pt idx="1">
                  <c:v>561.84569999999997</c:v>
                </c:pt>
                <c:pt idx="2">
                  <c:v>630.6099999999999</c:v>
                </c:pt>
                <c:pt idx="3">
                  <c:v>427.755</c:v>
                </c:pt>
              </c:numCache>
            </c:numRef>
          </c:val>
          <c:extLst>
            <c:ext xmlns:c16="http://schemas.microsoft.com/office/drawing/2014/chart" uri="{C3380CC4-5D6E-409C-BE32-E72D297353CC}">
              <c16:uniqueId val="{00000007-667A-DF49-AB40-281AA1FD28EB}"/>
            </c:ext>
          </c:extLst>
        </c:ser>
        <c:ser>
          <c:idx val="8"/>
          <c:order val="8"/>
          <c:tx>
            <c:strRef>
              <c:f>'Graphs experiment'!$L$10</c:f>
              <c:strCache>
                <c:ptCount val="1"/>
                <c:pt idx="0">
                  <c:v>Organosulfur</c:v>
                </c:pt>
              </c:strCache>
            </c:strRef>
          </c:tx>
          <c:spPr>
            <a:solidFill>
              <a:schemeClr val="accent6">
                <a:lumMod val="80000"/>
                <a:lumOff val="20000"/>
              </a:schemeClr>
            </a:solidFill>
            <a:ln>
              <a:noFill/>
            </a:ln>
            <a:effectLst/>
          </c:spPr>
          <c:invertIfNegative val="0"/>
          <c:cat>
            <c:strRef>
              <c:f>'Graphs experiment'!$M$1:$P$1</c:f>
              <c:strCache>
                <c:ptCount val="4"/>
                <c:pt idx="0">
                  <c:v>January</c:v>
                </c:pt>
                <c:pt idx="1">
                  <c:v>April</c:v>
                </c:pt>
                <c:pt idx="2">
                  <c:v>June</c:v>
                </c:pt>
                <c:pt idx="3">
                  <c:v>September</c:v>
                </c:pt>
              </c:strCache>
            </c:strRef>
          </c:cat>
          <c:val>
            <c:numRef>
              <c:f>'Graphs experiment'!$M$10:$P$10</c:f>
              <c:numCache>
                <c:formatCode>General</c:formatCode>
                <c:ptCount val="4"/>
                <c:pt idx="0">
                  <c:v>50.968500000000006</c:v>
                </c:pt>
                <c:pt idx="1">
                  <c:v>130.804</c:v>
                </c:pt>
                <c:pt idx="2">
                  <c:v>80.581599999999995</c:v>
                </c:pt>
                <c:pt idx="3">
                  <c:v>73.653999999999996</c:v>
                </c:pt>
              </c:numCache>
            </c:numRef>
          </c:val>
          <c:extLst>
            <c:ext xmlns:c16="http://schemas.microsoft.com/office/drawing/2014/chart" uri="{C3380CC4-5D6E-409C-BE32-E72D297353CC}">
              <c16:uniqueId val="{00000008-667A-DF49-AB40-281AA1FD28EB}"/>
            </c:ext>
          </c:extLst>
        </c:ser>
        <c:ser>
          <c:idx val="9"/>
          <c:order val="9"/>
          <c:tx>
            <c:strRef>
              <c:f>'Graphs experiment'!$L$11</c:f>
              <c:strCache>
                <c:ptCount val="1"/>
                <c:pt idx="0">
                  <c:v>Phenylpropanoids</c:v>
                </c:pt>
              </c:strCache>
            </c:strRef>
          </c:tx>
          <c:spPr>
            <a:solidFill>
              <a:schemeClr val="accent2">
                <a:lumMod val="80000"/>
              </a:schemeClr>
            </a:solidFill>
            <a:ln>
              <a:noFill/>
            </a:ln>
            <a:effectLst/>
          </c:spPr>
          <c:invertIfNegative val="0"/>
          <c:cat>
            <c:strRef>
              <c:f>'Graphs experiment'!$M$1:$P$1</c:f>
              <c:strCache>
                <c:ptCount val="4"/>
                <c:pt idx="0">
                  <c:v>January</c:v>
                </c:pt>
                <c:pt idx="1">
                  <c:v>April</c:v>
                </c:pt>
                <c:pt idx="2">
                  <c:v>June</c:v>
                </c:pt>
                <c:pt idx="3">
                  <c:v>September</c:v>
                </c:pt>
              </c:strCache>
            </c:strRef>
          </c:cat>
          <c:val>
            <c:numRef>
              <c:f>'Graphs experiment'!$M$11:$P$11</c:f>
              <c:numCache>
                <c:formatCode>General</c:formatCode>
                <c:ptCount val="4"/>
                <c:pt idx="0">
                  <c:v>43.169600000000003</c:v>
                </c:pt>
                <c:pt idx="1">
                  <c:v>139.69999999999999</c:v>
                </c:pt>
                <c:pt idx="2">
                  <c:v>440.18999999999994</c:v>
                </c:pt>
                <c:pt idx="3">
                  <c:v>212.33</c:v>
                </c:pt>
              </c:numCache>
            </c:numRef>
          </c:val>
          <c:extLst>
            <c:ext xmlns:c16="http://schemas.microsoft.com/office/drawing/2014/chart" uri="{C3380CC4-5D6E-409C-BE32-E72D297353CC}">
              <c16:uniqueId val="{00000009-667A-DF49-AB40-281AA1FD28EB}"/>
            </c:ext>
          </c:extLst>
        </c:ser>
        <c:ser>
          <c:idx val="10"/>
          <c:order val="10"/>
          <c:tx>
            <c:strRef>
              <c:f>'Graphs experiment'!$L$12</c:f>
              <c:strCache>
                <c:ptCount val="1"/>
              </c:strCache>
            </c:strRef>
          </c:tx>
          <c:spPr>
            <a:solidFill>
              <a:schemeClr val="accent4">
                <a:lumMod val="80000"/>
              </a:schemeClr>
            </a:solidFill>
            <a:ln>
              <a:noFill/>
            </a:ln>
            <a:effectLst/>
          </c:spPr>
          <c:invertIfNegative val="0"/>
          <c:cat>
            <c:strRef>
              <c:f>'Graphs experiment'!$M$1:$P$1</c:f>
              <c:strCache>
                <c:ptCount val="4"/>
                <c:pt idx="0">
                  <c:v>January</c:v>
                </c:pt>
                <c:pt idx="1">
                  <c:v>April</c:v>
                </c:pt>
                <c:pt idx="2">
                  <c:v>June</c:v>
                </c:pt>
                <c:pt idx="3">
                  <c:v>September</c:v>
                </c:pt>
              </c:strCache>
            </c:strRef>
          </c:cat>
          <c:val>
            <c:numRef>
              <c:f>'Graphs experiment'!$M$12:$P$12</c:f>
              <c:numCache>
                <c:formatCode>General</c:formatCode>
                <c:ptCount val="4"/>
              </c:numCache>
            </c:numRef>
          </c:val>
          <c:extLst>
            <c:ext xmlns:c16="http://schemas.microsoft.com/office/drawing/2014/chart" uri="{C3380CC4-5D6E-409C-BE32-E72D297353CC}">
              <c16:uniqueId val="{0000000A-667A-DF49-AB40-281AA1FD28EB}"/>
            </c:ext>
          </c:extLst>
        </c:ser>
        <c:ser>
          <c:idx val="11"/>
          <c:order val="11"/>
          <c:tx>
            <c:strRef>
              <c:f>'Graphs experiment'!$L$13</c:f>
              <c:strCache>
                <c:ptCount val="1"/>
              </c:strCache>
            </c:strRef>
          </c:tx>
          <c:spPr>
            <a:solidFill>
              <a:schemeClr val="accent6">
                <a:lumMod val="80000"/>
              </a:schemeClr>
            </a:solidFill>
            <a:ln>
              <a:noFill/>
            </a:ln>
            <a:effectLst/>
          </c:spPr>
          <c:invertIfNegative val="0"/>
          <c:cat>
            <c:strRef>
              <c:f>'Graphs experiment'!$M$1:$P$1</c:f>
              <c:strCache>
                <c:ptCount val="4"/>
                <c:pt idx="0">
                  <c:v>January</c:v>
                </c:pt>
                <c:pt idx="1">
                  <c:v>April</c:v>
                </c:pt>
                <c:pt idx="2">
                  <c:v>June</c:v>
                </c:pt>
                <c:pt idx="3">
                  <c:v>September</c:v>
                </c:pt>
              </c:strCache>
            </c:strRef>
          </c:cat>
          <c:val>
            <c:numRef>
              <c:f>'Graphs experiment'!$M$13:$P$13</c:f>
              <c:numCache>
                <c:formatCode>General</c:formatCode>
                <c:ptCount val="4"/>
              </c:numCache>
            </c:numRef>
          </c:val>
          <c:extLst>
            <c:ext xmlns:c16="http://schemas.microsoft.com/office/drawing/2014/chart" uri="{C3380CC4-5D6E-409C-BE32-E72D297353CC}">
              <c16:uniqueId val="{0000000B-667A-DF49-AB40-281AA1FD28EB}"/>
            </c:ext>
          </c:extLst>
        </c:ser>
        <c:dLbls>
          <c:showLegendKey val="0"/>
          <c:showVal val="0"/>
          <c:showCatName val="0"/>
          <c:showSerName val="0"/>
          <c:showPercent val="0"/>
          <c:showBubbleSize val="0"/>
        </c:dLbls>
        <c:gapWidth val="219"/>
        <c:overlap val="100"/>
        <c:axId val="2033130831"/>
        <c:axId val="2032724735"/>
      </c:barChart>
      <c:catAx>
        <c:axId val="2033130831"/>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1" i="0" u="none" strike="noStrike" kern="1200" baseline="0">
                <a:solidFill>
                  <a:schemeClr val="tx1"/>
                </a:solidFill>
                <a:latin typeface="Arial" panose="020B0604020202020204" pitchFamily="34" charset="0"/>
                <a:ea typeface="+mn-ea"/>
                <a:cs typeface="Arial" panose="020B0604020202020204" pitchFamily="34" charset="0"/>
              </a:defRPr>
            </a:pPr>
            <a:endParaRPr lang="en-US"/>
          </a:p>
        </c:txPr>
        <c:crossAx val="2032724735"/>
        <c:crosses val="autoZero"/>
        <c:auto val="1"/>
        <c:lblAlgn val="ctr"/>
        <c:lblOffset val="100"/>
        <c:noMultiLvlLbl val="0"/>
      </c:catAx>
      <c:valAx>
        <c:axId val="2032724735"/>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lgn="ctr" rtl="0">
                  <a:defRPr sz="1000" b="1" i="0" u="none" strike="noStrike" kern="1200" baseline="0">
                    <a:solidFill>
                      <a:schemeClr val="tx1"/>
                    </a:solidFill>
                    <a:latin typeface="Arial" panose="020B0604020202020204" pitchFamily="34" charset="0"/>
                    <a:ea typeface="+mn-ea"/>
                    <a:cs typeface="Arial" panose="020B0604020202020204" pitchFamily="34" charset="0"/>
                  </a:defRPr>
                </a:pPr>
                <a:r>
                  <a:rPr lang="en-US" sz="1000" b="1" i="0" baseline="0">
                    <a:effectLst/>
                  </a:rPr>
                  <a:t>Analyte Concentration (µM </a:t>
                </a:r>
                <a:r>
                  <a:rPr lang="en-US" sz="1000" b="1" i="0" baseline="30000">
                    <a:effectLst/>
                  </a:rPr>
                  <a:t>.</a:t>
                </a:r>
                <a:r>
                  <a:rPr lang="en-US" sz="1000" b="1" i="0" baseline="0">
                    <a:effectLst/>
                  </a:rPr>
                  <a:t> g</a:t>
                </a:r>
                <a:r>
                  <a:rPr lang="en-US" sz="1000" b="1" i="0" baseline="30000">
                    <a:effectLst/>
                  </a:rPr>
                  <a:t>-1 </a:t>
                </a:r>
                <a:r>
                  <a:rPr lang="en-US" sz="1000" b="1" i="0" baseline="0">
                    <a:effectLst/>
                  </a:rPr>
                  <a:t>FM)</a:t>
                </a:r>
              </a:p>
            </c:rich>
          </c:tx>
          <c:layout>
            <c:manualLayout>
              <c:xMode val="edge"/>
              <c:yMode val="edge"/>
              <c:x val="1.1752136752136752E-2"/>
              <c:y val="0.32135687155370479"/>
            </c:manualLayout>
          </c:layout>
          <c:overlay val="0"/>
          <c:spPr>
            <a:noFill/>
            <a:ln>
              <a:noFill/>
            </a:ln>
            <a:effectLst/>
          </c:spPr>
          <c:txPr>
            <a:bodyPr rot="-5400000" spcFirstLastPara="1" vertOverflow="ellipsis" vert="horz" wrap="square" anchor="ctr" anchorCtr="1"/>
            <a:lstStyle/>
            <a:p>
              <a:pPr algn="ctr" rtl="0">
                <a:defRPr sz="1000" b="1" i="0" u="none" strike="noStrike" kern="1200" baseline="0">
                  <a:solidFill>
                    <a:schemeClr val="tx1"/>
                  </a:solidFill>
                  <a:latin typeface="Arial" panose="020B0604020202020204" pitchFamily="34" charset="0"/>
                  <a:ea typeface="+mn-ea"/>
                  <a:cs typeface="Arial" panose="020B0604020202020204" pitchFamily="34" charset="0"/>
                </a:defRPr>
              </a:pPr>
              <a:endParaRPr lang="en-US"/>
            </a:p>
          </c:txPr>
        </c:title>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solidFill>
                <a:latin typeface="Arial" panose="020B0604020202020204" pitchFamily="34" charset="0"/>
                <a:ea typeface="+mn-ea"/>
                <a:cs typeface="Arial" panose="020B0604020202020204" pitchFamily="34" charset="0"/>
              </a:defRPr>
            </a:pPr>
            <a:endParaRPr lang="en-US"/>
          </a:p>
        </c:txPr>
        <c:crossAx val="2033130831"/>
        <c:crosses val="autoZero"/>
        <c:crossBetween val="between"/>
      </c:valAx>
      <c:spPr>
        <a:noFill/>
        <a:ln>
          <a:noFill/>
        </a:ln>
        <a:effectLst/>
      </c:spPr>
    </c:plotArea>
    <c:legend>
      <c:legendPos val="b"/>
      <c:legendEntry>
        <c:idx val="10"/>
        <c:delete val="1"/>
      </c:legendEntry>
      <c:legendEntry>
        <c:idx val="11"/>
        <c:delete val="1"/>
      </c:legendEntry>
      <c:layout>
        <c:manualLayout>
          <c:xMode val="edge"/>
          <c:yMode val="edge"/>
          <c:x val="2.3636853085671979E-2"/>
          <c:y val="0.89034814647820915"/>
          <c:w val="0.96127330237566455"/>
          <c:h val="9.92088981654249E-2"/>
        </c:manualLayout>
      </c:layout>
      <c:overlay val="0"/>
      <c:spPr>
        <a:noFill/>
        <a:ln>
          <a:noFill/>
        </a:ln>
        <a:effectLst/>
      </c:spPr>
      <c:txPr>
        <a:bodyPr rot="0" spcFirstLastPara="1" vertOverflow="ellipsis" vert="horz" wrap="square" anchor="ctr" anchorCtr="1"/>
        <a:lstStyle/>
        <a:p>
          <a:pPr>
            <a:defRPr sz="900" b="0" i="0" u="none" strike="noStrike" kern="1200" baseline="0">
              <a:solidFill>
                <a:schemeClr val="tx1"/>
              </a:solidFill>
              <a:latin typeface="Arial" panose="020B0604020202020204" pitchFamily="34" charset="0"/>
              <a:ea typeface="+mn-ea"/>
              <a:cs typeface="Arial" panose="020B0604020202020204" pitchFamily="34" charset="0"/>
            </a:defRPr>
          </a:pPr>
          <a:endParaRPr lang="en-US"/>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solidFill>
            <a:schemeClr val="tx1"/>
          </a:solidFill>
          <a:latin typeface="Arial" panose="020B0604020202020204" pitchFamily="34" charset="0"/>
          <a:cs typeface="Arial" panose="020B0604020202020204" pitchFamily="34" charset="0"/>
        </a:defRPr>
      </a:pPr>
      <a:endParaRPr lang="en-US"/>
    </a:p>
  </c:txPr>
  <c:externalData r:id="rId3">
    <c:autoUpdate val="0"/>
  </c:externalData>
  <c:userShapes r:id="rId4"/>
</c:chartSpace>
</file>

<file path=word/charts/chart19.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1215895689186489"/>
          <c:y val="5.1717833464037841E-2"/>
          <c:w val="0.84103195587422108"/>
          <c:h val="0.82773859255348792"/>
        </c:manualLayout>
      </c:layout>
      <c:lineChart>
        <c:grouping val="standard"/>
        <c:varyColors val="0"/>
        <c:ser>
          <c:idx val="0"/>
          <c:order val="0"/>
          <c:tx>
            <c:strRef>
              <c:f>Sheet1!$B$1</c:f>
              <c:strCache>
                <c:ptCount val="1"/>
                <c:pt idx="0">
                  <c:v>B20/R80</c:v>
                </c:pt>
              </c:strCache>
            </c:strRef>
          </c:tx>
          <c:spPr>
            <a:ln w="25400" cap="rnd">
              <a:solidFill>
                <a:srgbClr val="911682"/>
              </a:solidFill>
              <a:round/>
            </a:ln>
            <a:effectLst/>
          </c:spPr>
          <c:marker>
            <c:symbol val="none"/>
          </c:marker>
          <c:cat>
            <c:numRef>
              <c:f>Sheet1!$A$212:$A$1212</c:f>
              <c:numCache>
                <c:formatCode>General</c:formatCode>
                <c:ptCount val="1001"/>
                <c:pt idx="0">
                  <c:v>350</c:v>
                </c:pt>
                <c:pt idx="1">
                  <c:v>350.5</c:v>
                </c:pt>
                <c:pt idx="2">
                  <c:v>351</c:v>
                </c:pt>
                <c:pt idx="3">
                  <c:v>351.5</c:v>
                </c:pt>
                <c:pt idx="4">
                  <c:v>352</c:v>
                </c:pt>
                <c:pt idx="5">
                  <c:v>352.5</c:v>
                </c:pt>
                <c:pt idx="6">
                  <c:v>353</c:v>
                </c:pt>
                <c:pt idx="7">
                  <c:v>353.5</c:v>
                </c:pt>
                <c:pt idx="8">
                  <c:v>354</c:v>
                </c:pt>
                <c:pt idx="9">
                  <c:v>354.5</c:v>
                </c:pt>
                <c:pt idx="10">
                  <c:v>355</c:v>
                </c:pt>
                <c:pt idx="11">
                  <c:v>355.5</c:v>
                </c:pt>
                <c:pt idx="12">
                  <c:v>356</c:v>
                </c:pt>
                <c:pt idx="13">
                  <c:v>356.5</c:v>
                </c:pt>
                <c:pt idx="14">
                  <c:v>357</c:v>
                </c:pt>
                <c:pt idx="15">
                  <c:v>357.5</c:v>
                </c:pt>
                <c:pt idx="16">
                  <c:v>358</c:v>
                </c:pt>
                <c:pt idx="17">
                  <c:v>358.5</c:v>
                </c:pt>
                <c:pt idx="18">
                  <c:v>359</c:v>
                </c:pt>
                <c:pt idx="19">
                  <c:v>359.5</c:v>
                </c:pt>
                <c:pt idx="20">
                  <c:v>360</c:v>
                </c:pt>
                <c:pt idx="21">
                  <c:v>360.5</c:v>
                </c:pt>
                <c:pt idx="22">
                  <c:v>361</c:v>
                </c:pt>
                <c:pt idx="23">
                  <c:v>361.5</c:v>
                </c:pt>
                <c:pt idx="24">
                  <c:v>362</c:v>
                </c:pt>
                <c:pt idx="25">
                  <c:v>362.5</c:v>
                </c:pt>
                <c:pt idx="26">
                  <c:v>363</c:v>
                </c:pt>
                <c:pt idx="27">
                  <c:v>363.5</c:v>
                </c:pt>
                <c:pt idx="28">
                  <c:v>364</c:v>
                </c:pt>
                <c:pt idx="29">
                  <c:v>364.5</c:v>
                </c:pt>
                <c:pt idx="30">
                  <c:v>365</c:v>
                </c:pt>
                <c:pt idx="31">
                  <c:v>365.5</c:v>
                </c:pt>
                <c:pt idx="32">
                  <c:v>366</c:v>
                </c:pt>
                <c:pt idx="33">
                  <c:v>366.5</c:v>
                </c:pt>
                <c:pt idx="34">
                  <c:v>367</c:v>
                </c:pt>
                <c:pt idx="35">
                  <c:v>367.5</c:v>
                </c:pt>
                <c:pt idx="36">
                  <c:v>368</c:v>
                </c:pt>
                <c:pt idx="37">
                  <c:v>368.5</c:v>
                </c:pt>
                <c:pt idx="38">
                  <c:v>369</c:v>
                </c:pt>
                <c:pt idx="39">
                  <c:v>369.5</c:v>
                </c:pt>
                <c:pt idx="40">
                  <c:v>370</c:v>
                </c:pt>
                <c:pt idx="41">
                  <c:v>370.5</c:v>
                </c:pt>
                <c:pt idx="42">
                  <c:v>371</c:v>
                </c:pt>
                <c:pt idx="43">
                  <c:v>371.5</c:v>
                </c:pt>
                <c:pt idx="44">
                  <c:v>372</c:v>
                </c:pt>
                <c:pt idx="45">
                  <c:v>372.5</c:v>
                </c:pt>
                <c:pt idx="46">
                  <c:v>373</c:v>
                </c:pt>
                <c:pt idx="47">
                  <c:v>373.5</c:v>
                </c:pt>
                <c:pt idx="48">
                  <c:v>374</c:v>
                </c:pt>
                <c:pt idx="49">
                  <c:v>374.5</c:v>
                </c:pt>
                <c:pt idx="50">
                  <c:v>375</c:v>
                </c:pt>
                <c:pt idx="51">
                  <c:v>375.5</c:v>
                </c:pt>
                <c:pt idx="52">
                  <c:v>376</c:v>
                </c:pt>
                <c:pt idx="53">
                  <c:v>376.5</c:v>
                </c:pt>
                <c:pt idx="54">
                  <c:v>377</c:v>
                </c:pt>
                <c:pt idx="55">
                  <c:v>377.5</c:v>
                </c:pt>
                <c:pt idx="56">
                  <c:v>378</c:v>
                </c:pt>
                <c:pt idx="57">
                  <c:v>378.5</c:v>
                </c:pt>
                <c:pt idx="58">
                  <c:v>379</c:v>
                </c:pt>
                <c:pt idx="59">
                  <c:v>379.5</c:v>
                </c:pt>
                <c:pt idx="60">
                  <c:v>380</c:v>
                </c:pt>
                <c:pt idx="61">
                  <c:v>380.5</c:v>
                </c:pt>
                <c:pt idx="62">
                  <c:v>381</c:v>
                </c:pt>
                <c:pt idx="63">
                  <c:v>381.5</c:v>
                </c:pt>
                <c:pt idx="64">
                  <c:v>382</c:v>
                </c:pt>
                <c:pt idx="65">
                  <c:v>382.5</c:v>
                </c:pt>
                <c:pt idx="66">
                  <c:v>383</c:v>
                </c:pt>
                <c:pt idx="67">
                  <c:v>383.5</c:v>
                </c:pt>
                <c:pt idx="68">
                  <c:v>384</c:v>
                </c:pt>
                <c:pt idx="69">
                  <c:v>384.5</c:v>
                </c:pt>
                <c:pt idx="70">
                  <c:v>385</c:v>
                </c:pt>
                <c:pt idx="71">
                  <c:v>385.5</c:v>
                </c:pt>
                <c:pt idx="72">
                  <c:v>386</c:v>
                </c:pt>
                <c:pt idx="73">
                  <c:v>386.5</c:v>
                </c:pt>
                <c:pt idx="74">
                  <c:v>387</c:v>
                </c:pt>
                <c:pt idx="75">
                  <c:v>387.5</c:v>
                </c:pt>
                <c:pt idx="76">
                  <c:v>388</c:v>
                </c:pt>
                <c:pt idx="77">
                  <c:v>388.5</c:v>
                </c:pt>
                <c:pt idx="78">
                  <c:v>389</c:v>
                </c:pt>
                <c:pt idx="79">
                  <c:v>389.5</c:v>
                </c:pt>
                <c:pt idx="80">
                  <c:v>390</c:v>
                </c:pt>
                <c:pt idx="81">
                  <c:v>390.5</c:v>
                </c:pt>
                <c:pt idx="82">
                  <c:v>391</c:v>
                </c:pt>
                <c:pt idx="83">
                  <c:v>391.5</c:v>
                </c:pt>
                <c:pt idx="84">
                  <c:v>392</c:v>
                </c:pt>
                <c:pt idx="85">
                  <c:v>392.5</c:v>
                </c:pt>
                <c:pt idx="86">
                  <c:v>393</c:v>
                </c:pt>
                <c:pt idx="87">
                  <c:v>393.5</c:v>
                </c:pt>
                <c:pt idx="88">
                  <c:v>394</c:v>
                </c:pt>
                <c:pt idx="89">
                  <c:v>394.5</c:v>
                </c:pt>
                <c:pt idx="90">
                  <c:v>395</c:v>
                </c:pt>
                <c:pt idx="91">
                  <c:v>395.5</c:v>
                </c:pt>
                <c:pt idx="92">
                  <c:v>396</c:v>
                </c:pt>
                <c:pt idx="93">
                  <c:v>396.5</c:v>
                </c:pt>
                <c:pt idx="94">
                  <c:v>397</c:v>
                </c:pt>
                <c:pt idx="95">
                  <c:v>397.5</c:v>
                </c:pt>
                <c:pt idx="96">
                  <c:v>398</c:v>
                </c:pt>
                <c:pt idx="97">
                  <c:v>398.5</c:v>
                </c:pt>
                <c:pt idx="98">
                  <c:v>399</c:v>
                </c:pt>
                <c:pt idx="99">
                  <c:v>399.5</c:v>
                </c:pt>
                <c:pt idx="100">
                  <c:v>400</c:v>
                </c:pt>
                <c:pt idx="101">
                  <c:v>400.5</c:v>
                </c:pt>
                <c:pt idx="102">
                  <c:v>401</c:v>
                </c:pt>
                <c:pt idx="103">
                  <c:v>401.5</c:v>
                </c:pt>
                <c:pt idx="104">
                  <c:v>402</c:v>
                </c:pt>
                <c:pt idx="105">
                  <c:v>402.5</c:v>
                </c:pt>
                <c:pt idx="106">
                  <c:v>403</c:v>
                </c:pt>
                <c:pt idx="107">
                  <c:v>403.5</c:v>
                </c:pt>
                <c:pt idx="108">
                  <c:v>404</c:v>
                </c:pt>
                <c:pt idx="109">
                  <c:v>404.5</c:v>
                </c:pt>
                <c:pt idx="110">
                  <c:v>405</c:v>
                </c:pt>
                <c:pt idx="111">
                  <c:v>405.5</c:v>
                </c:pt>
                <c:pt idx="112">
                  <c:v>406</c:v>
                </c:pt>
                <c:pt idx="113">
                  <c:v>406.5</c:v>
                </c:pt>
                <c:pt idx="114">
                  <c:v>407</c:v>
                </c:pt>
                <c:pt idx="115">
                  <c:v>407.5</c:v>
                </c:pt>
                <c:pt idx="116">
                  <c:v>408</c:v>
                </c:pt>
                <c:pt idx="117">
                  <c:v>408.5</c:v>
                </c:pt>
                <c:pt idx="118">
                  <c:v>409</c:v>
                </c:pt>
                <c:pt idx="119">
                  <c:v>409.5</c:v>
                </c:pt>
                <c:pt idx="120">
                  <c:v>410</c:v>
                </c:pt>
                <c:pt idx="121">
                  <c:v>410.5</c:v>
                </c:pt>
                <c:pt idx="122">
                  <c:v>411</c:v>
                </c:pt>
                <c:pt idx="123">
                  <c:v>411.5</c:v>
                </c:pt>
                <c:pt idx="124">
                  <c:v>412</c:v>
                </c:pt>
                <c:pt idx="125">
                  <c:v>412.5</c:v>
                </c:pt>
                <c:pt idx="126">
                  <c:v>413</c:v>
                </c:pt>
                <c:pt idx="127">
                  <c:v>413.5</c:v>
                </c:pt>
                <c:pt idx="128">
                  <c:v>414</c:v>
                </c:pt>
                <c:pt idx="129">
                  <c:v>414.5</c:v>
                </c:pt>
                <c:pt idx="130">
                  <c:v>415</c:v>
                </c:pt>
                <c:pt idx="131">
                  <c:v>415.5</c:v>
                </c:pt>
                <c:pt idx="132">
                  <c:v>416</c:v>
                </c:pt>
                <c:pt idx="133">
                  <c:v>416.5</c:v>
                </c:pt>
                <c:pt idx="134">
                  <c:v>417</c:v>
                </c:pt>
                <c:pt idx="135">
                  <c:v>417.5</c:v>
                </c:pt>
                <c:pt idx="136">
                  <c:v>418</c:v>
                </c:pt>
                <c:pt idx="137">
                  <c:v>418.5</c:v>
                </c:pt>
                <c:pt idx="138">
                  <c:v>419</c:v>
                </c:pt>
                <c:pt idx="139">
                  <c:v>419.5</c:v>
                </c:pt>
                <c:pt idx="140">
                  <c:v>420</c:v>
                </c:pt>
                <c:pt idx="141">
                  <c:v>420.5</c:v>
                </c:pt>
                <c:pt idx="142">
                  <c:v>421</c:v>
                </c:pt>
                <c:pt idx="143">
                  <c:v>421.5</c:v>
                </c:pt>
                <c:pt idx="144">
                  <c:v>422</c:v>
                </c:pt>
                <c:pt idx="145">
                  <c:v>422.5</c:v>
                </c:pt>
                <c:pt idx="146">
                  <c:v>423</c:v>
                </c:pt>
                <c:pt idx="147">
                  <c:v>423.5</c:v>
                </c:pt>
                <c:pt idx="148">
                  <c:v>424</c:v>
                </c:pt>
                <c:pt idx="149">
                  <c:v>424.5</c:v>
                </c:pt>
                <c:pt idx="150">
                  <c:v>425</c:v>
                </c:pt>
                <c:pt idx="151">
                  <c:v>425.5</c:v>
                </c:pt>
                <c:pt idx="152">
                  <c:v>426</c:v>
                </c:pt>
                <c:pt idx="153">
                  <c:v>426.5</c:v>
                </c:pt>
                <c:pt idx="154">
                  <c:v>427</c:v>
                </c:pt>
                <c:pt idx="155">
                  <c:v>427.5</c:v>
                </c:pt>
                <c:pt idx="156">
                  <c:v>428</c:v>
                </c:pt>
                <c:pt idx="157">
                  <c:v>428.5</c:v>
                </c:pt>
                <c:pt idx="158">
                  <c:v>429</c:v>
                </c:pt>
                <c:pt idx="159">
                  <c:v>429.5</c:v>
                </c:pt>
                <c:pt idx="160">
                  <c:v>430</c:v>
                </c:pt>
                <c:pt idx="161">
                  <c:v>430.5</c:v>
                </c:pt>
                <c:pt idx="162">
                  <c:v>431</c:v>
                </c:pt>
                <c:pt idx="163">
                  <c:v>431.5</c:v>
                </c:pt>
                <c:pt idx="164">
                  <c:v>432</c:v>
                </c:pt>
                <c:pt idx="165">
                  <c:v>432.5</c:v>
                </c:pt>
                <c:pt idx="166">
                  <c:v>433</c:v>
                </c:pt>
                <c:pt idx="167">
                  <c:v>433.5</c:v>
                </c:pt>
                <c:pt idx="168">
                  <c:v>434</c:v>
                </c:pt>
                <c:pt idx="169">
                  <c:v>434.5</c:v>
                </c:pt>
                <c:pt idx="170">
                  <c:v>435</c:v>
                </c:pt>
                <c:pt idx="171">
                  <c:v>435.5</c:v>
                </c:pt>
                <c:pt idx="172">
                  <c:v>436</c:v>
                </c:pt>
                <c:pt idx="173">
                  <c:v>436.5</c:v>
                </c:pt>
                <c:pt idx="174">
                  <c:v>437</c:v>
                </c:pt>
                <c:pt idx="175">
                  <c:v>437.5</c:v>
                </c:pt>
                <c:pt idx="176">
                  <c:v>438</c:v>
                </c:pt>
                <c:pt idx="177">
                  <c:v>438.5</c:v>
                </c:pt>
                <c:pt idx="178">
                  <c:v>439</c:v>
                </c:pt>
                <c:pt idx="179">
                  <c:v>439.5</c:v>
                </c:pt>
                <c:pt idx="180">
                  <c:v>440</c:v>
                </c:pt>
                <c:pt idx="181">
                  <c:v>440.5</c:v>
                </c:pt>
                <c:pt idx="182">
                  <c:v>441</c:v>
                </c:pt>
                <c:pt idx="183">
                  <c:v>441.5</c:v>
                </c:pt>
                <c:pt idx="184">
                  <c:v>442</c:v>
                </c:pt>
                <c:pt idx="185">
                  <c:v>442.5</c:v>
                </c:pt>
                <c:pt idx="186">
                  <c:v>443</c:v>
                </c:pt>
                <c:pt idx="187">
                  <c:v>443.5</c:v>
                </c:pt>
                <c:pt idx="188">
                  <c:v>444</c:v>
                </c:pt>
                <c:pt idx="189">
                  <c:v>444.5</c:v>
                </c:pt>
                <c:pt idx="190">
                  <c:v>445</c:v>
                </c:pt>
                <c:pt idx="191">
                  <c:v>445.5</c:v>
                </c:pt>
                <c:pt idx="192">
                  <c:v>446</c:v>
                </c:pt>
                <c:pt idx="193">
                  <c:v>446.5</c:v>
                </c:pt>
                <c:pt idx="194">
                  <c:v>447</c:v>
                </c:pt>
                <c:pt idx="195">
                  <c:v>447.5</c:v>
                </c:pt>
                <c:pt idx="196">
                  <c:v>448</c:v>
                </c:pt>
                <c:pt idx="197">
                  <c:v>448.5</c:v>
                </c:pt>
                <c:pt idx="198">
                  <c:v>449</c:v>
                </c:pt>
                <c:pt idx="199">
                  <c:v>449.5</c:v>
                </c:pt>
                <c:pt idx="200">
                  <c:v>450</c:v>
                </c:pt>
                <c:pt idx="201">
                  <c:v>450.5</c:v>
                </c:pt>
                <c:pt idx="202">
                  <c:v>451</c:v>
                </c:pt>
                <c:pt idx="203">
                  <c:v>451.5</c:v>
                </c:pt>
                <c:pt idx="204">
                  <c:v>452</c:v>
                </c:pt>
                <c:pt idx="205">
                  <c:v>452.5</c:v>
                </c:pt>
                <c:pt idx="206">
                  <c:v>453</c:v>
                </c:pt>
                <c:pt idx="207">
                  <c:v>453.5</c:v>
                </c:pt>
                <c:pt idx="208">
                  <c:v>454</c:v>
                </c:pt>
                <c:pt idx="209">
                  <c:v>454.5</c:v>
                </c:pt>
                <c:pt idx="210">
                  <c:v>455</c:v>
                </c:pt>
                <c:pt idx="211">
                  <c:v>455.5</c:v>
                </c:pt>
                <c:pt idx="212">
                  <c:v>456</c:v>
                </c:pt>
                <c:pt idx="213">
                  <c:v>456.5</c:v>
                </c:pt>
                <c:pt idx="214">
                  <c:v>457</c:v>
                </c:pt>
                <c:pt idx="215">
                  <c:v>457.5</c:v>
                </c:pt>
                <c:pt idx="216">
                  <c:v>458</c:v>
                </c:pt>
                <c:pt idx="217">
                  <c:v>458.5</c:v>
                </c:pt>
                <c:pt idx="218">
                  <c:v>459</c:v>
                </c:pt>
                <c:pt idx="219">
                  <c:v>459.5</c:v>
                </c:pt>
                <c:pt idx="220">
                  <c:v>460</c:v>
                </c:pt>
                <c:pt idx="221">
                  <c:v>460.5</c:v>
                </c:pt>
                <c:pt idx="222">
                  <c:v>461</c:v>
                </c:pt>
                <c:pt idx="223">
                  <c:v>461.5</c:v>
                </c:pt>
                <c:pt idx="224">
                  <c:v>462</c:v>
                </c:pt>
                <c:pt idx="225">
                  <c:v>462.5</c:v>
                </c:pt>
                <c:pt idx="226">
                  <c:v>463</c:v>
                </c:pt>
                <c:pt idx="227">
                  <c:v>463.5</c:v>
                </c:pt>
                <c:pt idx="228">
                  <c:v>464</c:v>
                </c:pt>
                <c:pt idx="229">
                  <c:v>464.5</c:v>
                </c:pt>
                <c:pt idx="230">
                  <c:v>465</c:v>
                </c:pt>
                <c:pt idx="231">
                  <c:v>465.5</c:v>
                </c:pt>
                <c:pt idx="232">
                  <c:v>466</c:v>
                </c:pt>
                <c:pt idx="233">
                  <c:v>466.5</c:v>
                </c:pt>
                <c:pt idx="234">
                  <c:v>467</c:v>
                </c:pt>
                <c:pt idx="235">
                  <c:v>467.5</c:v>
                </c:pt>
                <c:pt idx="236">
                  <c:v>468</c:v>
                </c:pt>
                <c:pt idx="237">
                  <c:v>468.5</c:v>
                </c:pt>
                <c:pt idx="238">
                  <c:v>469</c:v>
                </c:pt>
                <c:pt idx="239">
                  <c:v>469.5</c:v>
                </c:pt>
                <c:pt idx="240">
                  <c:v>470</c:v>
                </c:pt>
                <c:pt idx="241">
                  <c:v>470.5</c:v>
                </c:pt>
                <c:pt idx="242">
                  <c:v>471</c:v>
                </c:pt>
                <c:pt idx="243">
                  <c:v>471.5</c:v>
                </c:pt>
                <c:pt idx="244">
                  <c:v>472</c:v>
                </c:pt>
                <c:pt idx="245">
                  <c:v>472.5</c:v>
                </c:pt>
                <c:pt idx="246">
                  <c:v>473</c:v>
                </c:pt>
                <c:pt idx="247">
                  <c:v>473.5</c:v>
                </c:pt>
                <c:pt idx="248">
                  <c:v>474</c:v>
                </c:pt>
                <c:pt idx="249">
                  <c:v>474.5</c:v>
                </c:pt>
                <c:pt idx="250">
                  <c:v>475</c:v>
                </c:pt>
                <c:pt idx="251">
                  <c:v>475.5</c:v>
                </c:pt>
                <c:pt idx="252">
                  <c:v>476</c:v>
                </c:pt>
                <c:pt idx="253">
                  <c:v>476.5</c:v>
                </c:pt>
                <c:pt idx="254">
                  <c:v>477</c:v>
                </c:pt>
                <c:pt idx="255">
                  <c:v>477.5</c:v>
                </c:pt>
                <c:pt idx="256">
                  <c:v>478</c:v>
                </c:pt>
                <c:pt idx="257">
                  <c:v>478.5</c:v>
                </c:pt>
                <c:pt idx="258">
                  <c:v>479</c:v>
                </c:pt>
                <c:pt idx="259">
                  <c:v>479.5</c:v>
                </c:pt>
                <c:pt idx="260">
                  <c:v>480</c:v>
                </c:pt>
                <c:pt idx="261">
                  <c:v>480.5</c:v>
                </c:pt>
                <c:pt idx="262">
                  <c:v>481</c:v>
                </c:pt>
                <c:pt idx="263">
                  <c:v>481.5</c:v>
                </c:pt>
                <c:pt idx="264">
                  <c:v>482</c:v>
                </c:pt>
                <c:pt idx="265">
                  <c:v>482.5</c:v>
                </c:pt>
                <c:pt idx="266">
                  <c:v>483</c:v>
                </c:pt>
                <c:pt idx="267">
                  <c:v>483.5</c:v>
                </c:pt>
                <c:pt idx="268">
                  <c:v>484</c:v>
                </c:pt>
                <c:pt idx="269">
                  <c:v>484.5</c:v>
                </c:pt>
                <c:pt idx="270">
                  <c:v>485</c:v>
                </c:pt>
                <c:pt idx="271">
                  <c:v>485.5</c:v>
                </c:pt>
                <c:pt idx="272">
                  <c:v>486</c:v>
                </c:pt>
                <c:pt idx="273">
                  <c:v>486.5</c:v>
                </c:pt>
                <c:pt idx="274">
                  <c:v>487</c:v>
                </c:pt>
                <c:pt idx="275">
                  <c:v>487.5</c:v>
                </c:pt>
                <c:pt idx="276">
                  <c:v>488</c:v>
                </c:pt>
                <c:pt idx="277">
                  <c:v>488.5</c:v>
                </c:pt>
                <c:pt idx="278">
                  <c:v>489</c:v>
                </c:pt>
                <c:pt idx="279">
                  <c:v>489.5</c:v>
                </c:pt>
                <c:pt idx="280">
                  <c:v>490</c:v>
                </c:pt>
                <c:pt idx="281">
                  <c:v>490.5</c:v>
                </c:pt>
                <c:pt idx="282">
                  <c:v>491</c:v>
                </c:pt>
                <c:pt idx="283">
                  <c:v>491.5</c:v>
                </c:pt>
                <c:pt idx="284">
                  <c:v>492</c:v>
                </c:pt>
                <c:pt idx="285">
                  <c:v>492.5</c:v>
                </c:pt>
                <c:pt idx="286">
                  <c:v>493</c:v>
                </c:pt>
                <c:pt idx="287">
                  <c:v>493.5</c:v>
                </c:pt>
                <c:pt idx="288">
                  <c:v>494</c:v>
                </c:pt>
                <c:pt idx="289">
                  <c:v>494.5</c:v>
                </c:pt>
                <c:pt idx="290">
                  <c:v>495</c:v>
                </c:pt>
                <c:pt idx="291">
                  <c:v>495.5</c:v>
                </c:pt>
                <c:pt idx="292">
                  <c:v>496</c:v>
                </c:pt>
                <c:pt idx="293">
                  <c:v>496.5</c:v>
                </c:pt>
                <c:pt idx="294">
                  <c:v>497</c:v>
                </c:pt>
                <c:pt idx="295">
                  <c:v>497.5</c:v>
                </c:pt>
                <c:pt idx="296">
                  <c:v>498</c:v>
                </c:pt>
                <c:pt idx="297">
                  <c:v>498.5</c:v>
                </c:pt>
                <c:pt idx="298">
                  <c:v>499</c:v>
                </c:pt>
                <c:pt idx="299">
                  <c:v>499.5</c:v>
                </c:pt>
                <c:pt idx="300">
                  <c:v>500</c:v>
                </c:pt>
                <c:pt idx="301">
                  <c:v>500.5</c:v>
                </c:pt>
                <c:pt idx="302">
                  <c:v>501</c:v>
                </c:pt>
                <c:pt idx="303">
                  <c:v>501.5</c:v>
                </c:pt>
                <c:pt idx="304">
                  <c:v>502</c:v>
                </c:pt>
                <c:pt idx="305">
                  <c:v>502.5</c:v>
                </c:pt>
                <c:pt idx="306">
                  <c:v>503</c:v>
                </c:pt>
                <c:pt idx="307">
                  <c:v>503.5</c:v>
                </c:pt>
                <c:pt idx="308">
                  <c:v>504</c:v>
                </c:pt>
                <c:pt idx="309">
                  <c:v>504.5</c:v>
                </c:pt>
                <c:pt idx="310">
                  <c:v>505</c:v>
                </c:pt>
                <c:pt idx="311">
                  <c:v>505.5</c:v>
                </c:pt>
                <c:pt idx="312">
                  <c:v>506</c:v>
                </c:pt>
                <c:pt idx="313">
                  <c:v>506.5</c:v>
                </c:pt>
                <c:pt idx="314">
                  <c:v>507</c:v>
                </c:pt>
                <c:pt idx="315">
                  <c:v>507.5</c:v>
                </c:pt>
                <c:pt idx="316">
                  <c:v>508</c:v>
                </c:pt>
                <c:pt idx="317">
                  <c:v>508.5</c:v>
                </c:pt>
                <c:pt idx="318">
                  <c:v>509</c:v>
                </c:pt>
                <c:pt idx="319">
                  <c:v>509.5</c:v>
                </c:pt>
                <c:pt idx="320">
                  <c:v>510</c:v>
                </c:pt>
                <c:pt idx="321">
                  <c:v>510.5</c:v>
                </c:pt>
                <c:pt idx="322">
                  <c:v>511</c:v>
                </c:pt>
                <c:pt idx="323">
                  <c:v>511.5</c:v>
                </c:pt>
                <c:pt idx="324">
                  <c:v>512</c:v>
                </c:pt>
                <c:pt idx="325">
                  <c:v>512.5</c:v>
                </c:pt>
                <c:pt idx="326">
                  <c:v>513</c:v>
                </c:pt>
                <c:pt idx="327">
                  <c:v>513.5</c:v>
                </c:pt>
                <c:pt idx="328">
                  <c:v>514</c:v>
                </c:pt>
                <c:pt idx="329">
                  <c:v>514.5</c:v>
                </c:pt>
                <c:pt idx="330">
                  <c:v>515</c:v>
                </c:pt>
                <c:pt idx="331">
                  <c:v>515.5</c:v>
                </c:pt>
                <c:pt idx="332">
                  <c:v>516</c:v>
                </c:pt>
                <c:pt idx="333">
                  <c:v>516.5</c:v>
                </c:pt>
                <c:pt idx="334">
                  <c:v>517</c:v>
                </c:pt>
                <c:pt idx="335">
                  <c:v>517.5</c:v>
                </c:pt>
                <c:pt idx="336">
                  <c:v>518</c:v>
                </c:pt>
                <c:pt idx="337">
                  <c:v>518.5</c:v>
                </c:pt>
                <c:pt idx="338">
                  <c:v>519</c:v>
                </c:pt>
                <c:pt idx="339">
                  <c:v>519.5</c:v>
                </c:pt>
                <c:pt idx="340">
                  <c:v>520</c:v>
                </c:pt>
                <c:pt idx="341">
                  <c:v>520.5</c:v>
                </c:pt>
                <c:pt idx="342">
                  <c:v>521</c:v>
                </c:pt>
                <c:pt idx="343">
                  <c:v>521.5</c:v>
                </c:pt>
                <c:pt idx="344">
                  <c:v>522</c:v>
                </c:pt>
                <c:pt idx="345">
                  <c:v>522.5</c:v>
                </c:pt>
                <c:pt idx="346">
                  <c:v>523</c:v>
                </c:pt>
                <c:pt idx="347">
                  <c:v>523.5</c:v>
                </c:pt>
                <c:pt idx="348">
                  <c:v>524</c:v>
                </c:pt>
                <c:pt idx="349">
                  <c:v>524.5</c:v>
                </c:pt>
                <c:pt idx="350">
                  <c:v>525</c:v>
                </c:pt>
                <c:pt idx="351">
                  <c:v>525.5</c:v>
                </c:pt>
                <c:pt idx="352">
                  <c:v>526</c:v>
                </c:pt>
                <c:pt idx="353">
                  <c:v>526.5</c:v>
                </c:pt>
                <c:pt idx="354">
                  <c:v>527</c:v>
                </c:pt>
                <c:pt idx="355">
                  <c:v>527.5</c:v>
                </c:pt>
                <c:pt idx="356">
                  <c:v>528</c:v>
                </c:pt>
                <c:pt idx="357">
                  <c:v>528.5</c:v>
                </c:pt>
                <c:pt idx="358">
                  <c:v>529</c:v>
                </c:pt>
                <c:pt idx="359">
                  <c:v>529.5</c:v>
                </c:pt>
                <c:pt idx="360">
                  <c:v>530</c:v>
                </c:pt>
                <c:pt idx="361">
                  <c:v>530.5</c:v>
                </c:pt>
                <c:pt idx="362">
                  <c:v>531</c:v>
                </c:pt>
                <c:pt idx="363">
                  <c:v>531.5</c:v>
                </c:pt>
                <c:pt idx="364">
                  <c:v>532</c:v>
                </c:pt>
                <c:pt idx="365">
                  <c:v>532.5</c:v>
                </c:pt>
                <c:pt idx="366">
                  <c:v>533</c:v>
                </c:pt>
                <c:pt idx="367">
                  <c:v>533.5</c:v>
                </c:pt>
                <c:pt idx="368">
                  <c:v>534</c:v>
                </c:pt>
                <c:pt idx="369">
                  <c:v>534.5</c:v>
                </c:pt>
                <c:pt idx="370">
                  <c:v>535</c:v>
                </c:pt>
                <c:pt idx="371">
                  <c:v>535.5</c:v>
                </c:pt>
                <c:pt idx="372">
                  <c:v>536</c:v>
                </c:pt>
                <c:pt idx="373">
                  <c:v>536.5</c:v>
                </c:pt>
                <c:pt idx="374">
                  <c:v>537</c:v>
                </c:pt>
                <c:pt idx="375">
                  <c:v>537.5</c:v>
                </c:pt>
                <c:pt idx="376">
                  <c:v>538</c:v>
                </c:pt>
                <c:pt idx="377">
                  <c:v>538.5</c:v>
                </c:pt>
                <c:pt idx="378">
                  <c:v>539</c:v>
                </c:pt>
                <c:pt idx="379">
                  <c:v>539.5</c:v>
                </c:pt>
                <c:pt idx="380">
                  <c:v>540</c:v>
                </c:pt>
                <c:pt idx="381">
                  <c:v>540.5</c:v>
                </c:pt>
                <c:pt idx="382">
                  <c:v>541</c:v>
                </c:pt>
                <c:pt idx="383">
                  <c:v>541.5</c:v>
                </c:pt>
                <c:pt idx="384">
                  <c:v>542</c:v>
                </c:pt>
                <c:pt idx="385">
                  <c:v>542.5</c:v>
                </c:pt>
                <c:pt idx="386">
                  <c:v>543</c:v>
                </c:pt>
                <c:pt idx="387">
                  <c:v>543.5</c:v>
                </c:pt>
                <c:pt idx="388">
                  <c:v>544</c:v>
                </c:pt>
                <c:pt idx="389">
                  <c:v>544.5</c:v>
                </c:pt>
                <c:pt idx="390">
                  <c:v>545</c:v>
                </c:pt>
                <c:pt idx="391">
                  <c:v>545.5</c:v>
                </c:pt>
                <c:pt idx="392">
                  <c:v>546</c:v>
                </c:pt>
                <c:pt idx="393">
                  <c:v>546.5</c:v>
                </c:pt>
                <c:pt idx="394">
                  <c:v>547</c:v>
                </c:pt>
                <c:pt idx="395">
                  <c:v>547.5</c:v>
                </c:pt>
                <c:pt idx="396">
                  <c:v>548</c:v>
                </c:pt>
                <c:pt idx="397">
                  <c:v>548.5</c:v>
                </c:pt>
                <c:pt idx="398">
                  <c:v>549</c:v>
                </c:pt>
                <c:pt idx="399">
                  <c:v>549.5</c:v>
                </c:pt>
                <c:pt idx="400">
                  <c:v>550</c:v>
                </c:pt>
                <c:pt idx="401">
                  <c:v>550.5</c:v>
                </c:pt>
                <c:pt idx="402">
                  <c:v>551</c:v>
                </c:pt>
                <c:pt idx="403">
                  <c:v>551.5</c:v>
                </c:pt>
                <c:pt idx="404">
                  <c:v>552</c:v>
                </c:pt>
                <c:pt idx="405">
                  <c:v>552.5</c:v>
                </c:pt>
                <c:pt idx="406">
                  <c:v>553</c:v>
                </c:pt>
                <c:pt idx="407">
                  <c:v>553.5</c:v>
                </c:pt>
                <c:pt idx="408">
                  <c:v>554</c:v>
                </c:pt>
                <c:pt idx="409">
                  <c:v>554.5</c:v>
                </c:pt>
                <c:pt idx="410">
                  <c:v>555</c:v>
                </c:pt>
                <c:pt idx="411">
                  <c:v>555.5</c:v>
                </c:pt>
                <c:pt idx="412">
                  <c:v>556</c:v>
                </c:pt>
                <c:pt idx="413">
                  <c:v>556.5</c:v>
                </c:pt>
                <c:pt idx="414">
                  <c:v>557</c:v>
                </c:pt>
                <c:pt idx="415">
                  <c:v>557.5</c:v>
                </c:pt>
                <c:pt idx="416">
                  <c:v>558</c:v>
                </c:pt>
                <c:pt idx="417">
                  <c:v>558.5</c:v>
                </c:pt>
                <c:pt idx="418">
                  <c:v>559</c:v>
                </c:pt>
                <c:pt idx="419">
                  <c:v>559.5</c:v>
                </c:pt>
                <c:pt idx="420">
                  <c:v>560</c:v>
                </c:pt>
                <c:pt idx="421">
                  <c:v>560.5</c:v>
                </c:pt>
                <c:pt idx="422">
                  <c:v>561</c:v>
                </c:pt>
                <c:pt idx="423">
                  <c:v>561.5</c:v>
                </c:pt>
                <c:pt idx="424">
                  <c:v>562</c:v>
                </c:pt>
                <c:pt idx="425">
                  <c:v>562.5</c:v>
                </c:pt>
                <c:pt idx="426">
                  <c:v>563</c:v>
                </c:pt>
                <c:pt idx="427">
                  <c:v>563.5</c:v>
                </c:pt>
                <c:pt idx="428">
                  <c:v>564</c:v>
                </c:pt>
                <c:pt idx="429">
                  <c:v>564.5</c:v>
                </c:pt>
                <c:pt idx="430">
                  <c:v>565</c:v>
                </c:pt>
                <c:pt idx="431">
                  <c:v>565.5</c:v>
                </c:pt>
                <c:pt idx="432">
                  <c:v>566</c:v>
                </c:pt>
                <c:pt idx="433">
                  <c:v>566.5</c:v>
                </c:pt>
                <c:pt idx="434">
                  <c:v>567</c:v>
                </c:pt>
                <c:pt idx="435">
                  <c:v>567.5</c:v>
                </c:pt>
                <c:pt idx="436">
                  <c:v>568</c:v>
                </c:pt>
                <c:pt idx="437">
                  <c:v>568.5</c:v>
                </c:pt>
                <c:pt idx="438">
                  <c:v>569</c:v>
                </c:pt>
                <c:pt idx="439">
                  <c:v>569.5</c:v>
                </c:pt>
                <c:pt idx="440">
                  <c:v>570</c:v>
                </c:pt>
                <c:pt idx="441">
                  <c:v>570.5</c:v>
                </c:pt>
                <c:pt idx="442">
                  <c:v>571</c:v>
                </c:pt>
                <c:pt idx="443">
                  <c:v>571.5</c:v>
                </c:pt>
                <c:pt idx="444">
                  <c:v>572</c:v>
                </c:pt>
                <c:pt idx="445">
                  <c:v>572.5</c:v>
                </c:pt>
                <c:pt idx="446">
                  <c:v>573</c:v>
                </c:pt>
                <c:pt idx="447">
                  <c:v>573.5</c:v>
                </c:pt>
                <c:pt idx="448">
                  <c:v>574</c:v>
                </c:pt>
                <c:pt idx="449">
                  <c:v>574.5</c:v>
                </c:pt>
                <c:pt idx="450">
                  <c:v>575</c:v>
                </c:pt>
                <c:pt idx="451">
                  <c:v>575.5</c:v>
                </c:pt>
                <c:pt idx="452">
                  <c:v>576</c:v>
                </c:pt>
                <c:pt idx="453">
                  <c:v>576.5</c:v>
                </c:pt>
                <c:pt idx="454">
                  <c:v>577</c:v>
                </c:pt>
                <c:pt idx="455">
                  <c:v>577.5</c:v>
                </c:pt>
                <c:pt idx="456">
                  <c:v>578</c:v>
                </c:pt>
                <c:pt idx="457">
                  <c:v>578.5</c:v>
                </c:pt>
                <c:pt idx="458">
                  <c:v>579</c:v>
                </c:pt>
                <c:pt idx="459">
                  <c:v>579.5</c:v>
                </c:pt>
                <c:pt idx="460">
                  <c:v>580</c:v>
                </c:pt>
                <c:pt idx="461">
                  <c:v>580.5</c:v>
                </c:pt>
                <c:pt idx="462">
                  <c:v>581</c:v>
                </c:pt>
                <c:pt idx="463">
                  <c:v>581.5</c:v>
                </c:pt>
                <c:pt idx="464">
                  <c:v>582</c:v>
                </c:pt>
                <c:pt idx="465">
                  <c:v>582.5</c:v>
                </c:pt>
                <c:pt idx="466">
                  <c:v>583</c:v>
                </c:pt>
                <c:pt idx="467">
                  <c:v>583.5</c:v>
                </c:pt>
                <c:pt idx="468">
                  <c:v>584</c:v>
                </c:pt>
                <c:pt idx="469">
                  <c:v>584.5</c:v>
                </c:pt>
                <c:pt idx="470">
                  <c:v>585</c:v>
                </c:pt>
                <c:pt idx="471">
                  <c:v>585.5</c:v>
                </c:pt>
                <c:pt idx="472">
                  <c:v>586</c:v>
                </c:pt>
                <c:pt idx="473">
                  <c:v>586.5</c:v>
                </c:pt>
                <c:pt idx="474">
                  <c:v>587</c:v>
                </c:pt>
                <c:pt idx="475">
                  <c:v>587.5</c:v>
                </c:pt>
                <c:pt idx="476">
                  <c:v>588</c:v>
                </c:pt>
                <c:pt idx="477">
                  <c:v>588.5</c:v>
                </c:pt>
                <c:pt idx="478">
                  <c:v>589</c:v>
                </c:pt>
                <c:pt idx="479">
                  <c:v>589.5</c:v>
                </c:pt>
                <c:pt idx="480">
                  <c:v>590</c:v>
                </c:pt>
                <c:pt idx="481">
                  <c:v>590.5</c:v>
                </c:pt>
                <c:pt idx="482">
                  <c:v>591</c:v>
                </c:pt>
                <c:pt idx="483">
                  <c:v>591.5</c:v>
                </c:pt>
                <c:pt idx="484">
                  <c:v>592</c:v>
                </c:pt>
                <c:pt idx="485">
                  <c:v>592.5</c:v>
                </c:pt>
                <c:pt idx="486">
                  <c:v>593</c:v>
                </c:pt>
                <c:pt idx="487">
                  <c:v>593.5</c:v>
                </c:pt>
                <c:pt idx="488">
                  <c:v>594</c:v>
                </c:pt>
                <c:pt idx="489">
                  <c:v>594.5</c:v>
                </c:pt>
                <c:pt idx="490">
                  <c:v>595</c:v>
                </c:pt>
                <c:pt idx="491">
                  <c:v>595.5</c:v>
                </c:pt>
                <c:pt idx="492">
                  <c:v>596</c:v>
                </c:pt>
                <c:pt idx="493">
                  <c:v>596.5</c:v>
                </c:pt>
                <c:pt idx="494">
                  <c:v>597</c:v>
                </c:pt>
                <c:pt idx="495">
                  <c:v>597.5</c:v>
                </c:pt>
                <c:pt idx="496">
                  <c:v>598</c:v>
                </c:pt>
                <c:pt idx="497">
                  <c:v>598.5</c:v>
                </c:pt>
                <c:pt idx="498">
                  <c:v>599</c:v>
                </c:pt>
                <c:pt idx="499">
                  <c:v>599.5</c:v>
                </c:pt>
                <c:pt idx="500">
                  <c:v>600</c:v>
                </c:pt>
                <c:pt idx="501">
                  <c:v>600.5</c:v>
                </c:pt>
                <c:pt idx="502">
                  <c:v>601</c:v>
                </c:pt>
                <c:pt idx="503">
                  <c:v>601.5</c:v>
                </c:pt>
                <c:pt idx="504">
                  <c:v>602</c:v>
                </c:pt>
                <c:pt idx="505">
                  <c:v>602.5</c:v>
                </c:pt>
                <c:pt idx="506">
                  <c:v>603</c:v>
                </c:pt>
                <c:pt idx="507">
                  <c:v>603.5</c:v>
                </c:pt>
                <c:pt idx="508">
                  <c:v>604</c:v>
                </c:pt>
                <c:pt idx="509">
                  <c:v>604.5</c:v>
                </c:pt>
                <c:pt idx="510">
                  <c:v>605</c:v>
                </c:pt>
                <c:pt idx="511">
                  <c:v>605.5</c:v>
                </c:pt>
                <c:pt idx="512">
                  <c:v>606</c:v>
                </c:pt>
                <c:pt idx="513">
                  <c:v>606.5</c:v>
                </c:pt>
                <c:pt idx="514">
                  <c:v>607</c:v>
                </c:pt>
                <c:pt idx="515">
                  <c:v>607.5</c:v>
                </c:pt>
                <c:pt idx="516">
                  <c:v>608</c:v>
                </c:pt>
                <c:pt idx="517">
                  <c:v>608.5</c:v>
                </c:pt>
                <c:pt idx="518">
                  <c:v>609</c:v>
                </c:pt>
                <c:pt idx="519">
                  <c:v>609.5</c:v>
                </c:pt>
                <c:pt idx="520">
                  <c:v>610</c:v>
                </c:pt>
                <c:pt idx="521">
                  <c:v>610.5</c:v>
                </c:pt>
                <c:pt idx="522">
                  <c:v>611</c:v>
                </c:pt>
                <c:pt idx="523">
                  <c:v>611.5</c:v>
                </c:pt>
                <c:pt idx="524">
                  <c:v>612</c:v>
                </c:pt>
                <c:pt idx="525">
                  <c:v>612.5</c:v>
                </c:pt>
                <c:pt idx="526">
                  <c:v>613</c:v>
                </c:pt>
                <c:pt idx="527">
                  <c:v>613.5</c:v>
                </c:pt>
                <c:pt idx="528">
                  <c:v>614</c:v>
                </c:pt>
                <c:pt idx="529">
                  <c:v>614.5</c:v>
                </c:pt>
                <c:pt idx="530">
                  <c:v>615</c:v>
                </c:pt>
                <c:pt idx="531">
                  <c:v>615.5</c:v>
                </c:pt>
                <c:pt idx="532">
                  <c:v>616</c:v>
                </c:pt>
                <c:pt idx="533">
                  <c:v>616.5</c:v>
                </c:pt>
                <c:pt idx="534">
                  <c:v>617</c:v>
                </c:pt>
                <c:pt idx="535">
                  <c:v>617.5</c:v>
                </c:pt>
                <c:pt idx="536">
                  <c:v>618</c:v>
                </c:pt>
                <c:pt idx="537">
                  <c:v>618.5</c:v>
                </c:pt>
                <c:pt idx="538">
                  <c:v>619</c:v>
                </c:pt>
                <c:pt idx="539">
                  <c:v>619.5</c:v>
                </c:pt>
                <c:pt idx="540">
                  <c:v>620</c:v>
                </c:pt>
                <c:pt idx="541">
                  <c:v>620.5</c:v>
                </c:pt>
                <c:pt idx="542">
                  <c:v>621</c:v>
                </c:pt>
                <c:pt idx="543">
                  <c:v>621.5</c:v>
                </c:pt>
                <c:pt idx="544">
                  <c:v>622</c:v>
                </c:pt>
                <c:pt idx="545">
                  <c:v>622.5</c:v>
                </c:pt>
                <c:pt idx="546">
                  <c:v>623</c:v>
                </c:pt>
                <c:pt idx="547">
                  <c:v>623.5</c:v>
                </c:pt>
                <c:pt idx="548">
                  <c:v>624</c:v>
                </c:pt>
                <c:pt idx="549">
                  <c:v>624.5</c:v>
                </c:pt>
                <c:pt idx="550">
                  <c:v>625</c:v>
                </c:pt>
                <c:pt idx="551">
                  <c:v>625.5</c:v>
                </c:pt>
                <c:pt idx="552">
                  <c:v>626</c:v>
                </c:pt>
                <c:pt idx="553">
                  <c:v>626.5</c:v>
                </c:pt>
                <c:pt idx="554">
                  <c:v>627</c:v>
                </c:pt>
                <c:pt idx="555">
                  <c:v>627.5</c:v>
                </c:pt>
                <c:pt idx="556">
                  <c:v>628</c:v>
                </c:pt>
                <c:pt idx="557">
                  <c:v>628.5</c:v>
                </c:pt>
                <c:pt idx="558">
                  <c:v>629</c:v>
                </c:pt>
                <c:pt idx="559">
                  <c:v>629.5</c:v>
                </c:pt>
                <c:pt idx="560">
                  <c:v>630</c:v>
                </c:pt>
                <c:pt idx="561">
                  <c:v>630.5</c:v>
                </c:pt>
                <c:pt idx="562">
                  <c:v>631</c:v>
                </c:pt>
                <c:pt idx="563">
                  <c:v>631.5</c:v>
                </c:pt>
                <c:pt idx="564">
                  <c:v>632</c:v>
                </c:pt>
                <c:pt idx="565">
                  <c:v>632.5</c:v>
                </c:pt>
                <c:pt idx="566">
                  <c:v>633</c:v>
                </c:pt>
                <c:pt idx="567">
                  <c:v>633.5</c:v>
                </c:pt>
                <c:pt idx="568">
                  <c:v>634</c:v>
                </c:pt>
                <c:pt idx="569">
                  <c:v>634.5</c:v>
                </c:pt>
                <c:pt idx="570">
                  <c:v>635</c:v>
                </c:pt>
                <c:pt idx="571">
                  <c:v>635.5</c:v>
                </c:pt>
                <c:pt idx="572">
                  <c:v>636</c:v>
                </c:pt>
                <c:pt idx="573">
                  <c:v>636.5</c:v>
                </c:pt>
                <c:pt idx="574">
                  <c:v>637</c:v>
                </c:pt>
                <c:pt idx="575">
                  <c:v>637.5</c:v>
                </c:pt>
                <c:pt idx="576">
                  <c:v>638</c:v>
                </c:pt>
                <c:pt idx="577">
                  <c:v>638.5</c:v>
                </c:pt>
                <c:pt idx="578">
                  <c:v>639</c:v>
                </c:pt>
                <c:pt idx="579">
                  <c:v>639.5</c:v>
                </c:pt>
                <c:pt idx="580">
                  <c:v>640</c:v>
                </c:pt>
                <c:pt idx="581">
                  <c:v>640.5</c:v>
                </c:pt>
                <c:pt idx="582">
                  <c:v>641</c:v>
                </c:pt>
                <c:pt idx="583">
                  <c:v>641.5</c:v>
                </c:pt>
                <c:pt idx="584">
                  <c:v>642</c:v>
                </c:pt>
                <c:pt idx="585">
                  <c:v>642.5</c:v>
                </c:pt>
                <c:pt idx="586">
                  <c:v>643</c:v>
                </c:pt>
                <c:pt idx="587">
                  <c:v>643.5</c:v>
                </c:pt>
                <c:pt idx="588">
                  <c:v>644</c:v>
                </c:pt>
                <c:pt idx="589">
                  <c:v>644.5</c:v>
                </c:pt>
                <c:pt idx="590">
                  <c:v>645</c:v>
                </c:pt>
                <c:pt idx="591">
                  <c:v>645.5</c:v>
                </c:pt>
                <c:pt idx="592">
                  <c:v>646</c:v>
                </c:pt>
                <c:pt idx="593">
                  <c:v>646.5</c:v>
                </c:pt>
                <c:pt idx="594">
                  <c:v>647</c:v>
                </c:pt>
                <c:pt idx="595">
                  <c:v>647.5</c:v>
                </c:pt>
                <c:pt idx="596">
                  <c:v>648</c:v>
                </c:pt>
                <c:pt idx="597">
                  <c:v>648.5</c:v>
                </c:pt>
                <c:pt idx="598">
                  <c:v>649</c:v>
                </c:pt>
                <c:pt idx="599">
                  <c:v>649.5</c:v>
                </c:pt>
                <c:pt idx="600">
                  <c:v>650</c:v>
                </c:pt>
                <c:pt idx="601">
                  <c:v>650.5</c:v>
                </c:pt>
                <c:pt idx="602">
                  <c:v>651</c:v>
                </c:pt>
                <c:pt idx="603">
                  <c:v>651.5</c:v>
                </c:pt>
                <c:pt idx="604">
                  <c:v>652</c:v>
                </c:pt>
                <c:pt idx="605">
                  <c:v>652.5</c:v>
                </c:pt>
                <c:pt idx="606">
                  <c:v>653</c:v>
                </c:pt>
                <c:pt idx="607">
                  <c:v>653.5</c:v>
                </c:pt>
                <c:pt idx="608">
                  <c:v>654</c:v>
                </c:pt>
                <c:pt idx="609">
                  <c:v>654.5</c:v>
                </c:pt>
                <c:pt idx="610">
                  <c:v>655</c:v>
                </c:pt>
                <c:pt idx="611">
                  <c:v>655.5</c:v>
                </c:pt>
                <c:pt idx="612">
                  <c:v>656</c:v>
                </c:pt>
                <c:pt idx="613">
                  <c:v>656.5</c:v>
                </c:pt>
                <c:pt idx="614">
                  <c:v>657</c:v>
                </c:pt>
                <c:pt idx="615">
                  <c:v>657.5</c:v>
                </c:pt>
                <c:pt idx="616">
                  <c:v>658</c:v>
                </c:pt>
                <c:pt idx="617">
                  <c:v>658.5</c:v>
                </c:pt>
                <c:pt idx="618">
                  <c:v>659</c:v>
                </c:pt>
                <c:pt idx="619">
                  <c:v>659.5</c:v>
                </c:pt>
                <c:pt idx="620">
                  <c:v>660</c:v>
                </c:pt>
                <c:pt idx="621">
                  <c:v>660.5</c:v>
                </c:pt>
                <c:pt idx="622">
                  <c:v>661</c:v>
                </c:pt>
                <c:pt idx="623">
                  <c:v>661.5</c:v>
                </c:pt>
                <c:pt idx="624">
                  <c:v>662</c:v>
                </c:pt>
                <c:pt idx="625">
                  <c:v>662.5</c:v>
                </c:pt>
                <c:pt idx="626">
                  <c:v>663</c:v>
                </c:pt>
                <c:pt idx="627">
                  <c:v>663.5</c:v>
                </c:pt>
                <c:pt idx="628">
                  <c:v>664</c:v>
                </c:pt>
                <c:pt idx="629">
                  <c:v>664.5</c:v>
                </c:pt>
                <c:pt idx="630">
                  <c:v>665</c:v>
                </c:pt>
                <c:pt idx="631">
                  <c:v>665.5</c:v>
                </c:pt>
                <c:pt idx="632">
                  <c:v>666</c:v>
                </c:pt>
                <c:pt idx="633">
                  <c:v>666.5</c:v>
                </c:pt>
                <c:pt idx="634">
                  <c:v>667</c:v>
                </c:pt>
                <c:pt idx="635">
                  <c:v>667.5</c:v>
                </c:pt>
                <c:pt idx="636">
                  <c:v>668</c:v>
                </c:pt>
                <c:pt idx="637">
                  <c:v>668.5</c:v>
                </c:pt>
                <c:pt idx="638">
                  <c:v>669</c:v>
                </c:pt>
                <c:pt idx="639">
                  <c:v>669.5</c:v>
                </c:pt>
                <c:pt idx="640">
                  <c:v>670</c:v>
                </c:pt>
                <c:pt idx="641">
                  <c:v>670.5</c:v>
                </c:pt>
                <c:pt idx="642">
                  <c:v>671</c:v>
                </c:pt>
                <c:pt idx="643">
                  <c:v>671.5</c:v>
                </c:pt>
                <c:pt idx="644">
                  <c:v>672</c:v>
                </c:pt>
                <c:pt idx="645">
                  <c:v>672.5</c:v>
                </c:pt>
                <c:pt idx="646">
                  <c:v>673</c:v>
                </c:pt>
                <c:pt idx="647">
                  <c:v>673.5</c:v>
                </c:pt>
                <c:pt idx="648">
                  <c:v>674</c:v>
                </c:pt>
                <c:pt idx="649">
                  <c:v>674.5</c:v>
                </c:pt>
                <c:pt idx="650">
                  <c:v>675</c:v>
                </c:pt>
                <c:pt idx="651">
                  <c:v>675.5</c:v>
                </c:pt>
                <c:pt idx="652">
                  <c:v>676</c:v>
                </c:pt>
                <c:pt idx="653">
                  <c:v>676.5</c:v>
                </c:pt>
                <c:pt idx="654">
                  <c:v>677</c:v>
                </c:pt>
                <c:pt idx="655">
                  <c:v>677.5</c:v>
                </c:pt>
                <c:pt idx="656">
                  <c:v>678</c:v>
                </c:pt>
                <c:pt idx="657">
                  <c:v>678.5</c:v>
                </c:pt>
                <c:pt idx="658">
                  <c:v>679</c:v>
                </c:pt>
                <c:pt idx="659">
                  <c:v>679.5</c:v>
                </c:pt>
                <c:pt idx="660">
                  <c:v>680</c:v>
                </c:pt>
                <c:pt idx="661">
                  <c:v>680.5</c:v>
                </c:pt>
                <c:pt idx="662">
                  <c:v>681</c:v>
                </c:pt>
                <c:pt idx="663">
                  <c:v>681.5</c:v>
                </c:pt>
                <c:pt idx="664">
                  <c:v>682</c:v>
                </c:pt>
                <c:pt idx="665">
                  <c:v>682.5</c:v>
                </c:pt>
                <c:pt idx="666">
                  <c:v>683</c:v>
                </c:pt>
                <c:pt idx="667">
                  <c:v>683.5</c:v>
                </c:pt>
                <c:pt idx="668">
                  <c:v>684</c:v>
                </c:pt>
                <c:pt idx="669">
                  <c:v>684.5</c:v>
                </c:pt>
                <c:pt idx="670">
                  <c:v>685</c:v>
                </c:pt>
                <c:pt idx="671">
                  <c:v>685.5</c:v>
                </c:pt>
                <c:pt idx="672">
                  <c:v>686</c:v>
                </c:pt>
                <c:pt idx="673">
                  <c:v>686.5</c:v>
                </c:pt>
                <c:pt idx="674">
                  <c:v>687</c:v>
                </c:pt>
                <c:pt idx="675">
                  <c:v>687.5</c:v>
                </c:pt>
                <c:pt idx="676">
                  <c:v>688</c:v>
                </c:pt>
                <c:pt idx="677">
                  <c:v>688.5</c:v>
                </c:pt>
                <c:pt idx="678">
                  <c:v>689</c:v>
                </c:pt>
                <c:pt idx="679">
                  <c:v>689.5</c:v>
                </c:pt>
                <c:pt idx="680">
                  <c:v>690</c:v>
                </c:pt>
                <c:pt idx="681">
                  <c:v>690.5</c:v>
                </c:pt>
                <c:pt idx="682">
                  <c:v>691</c:v>
                </c:pt>
                <c:pt idx="683">
                  <c:v>691.5</c:v>
                </c:pt>
                <c:pt idx="684">
                  <c:v>692</c:v>
                </c:pt>
                <c:pt idx="685">
                  <c:v>692.5</c:v>
                </c:pt>
                <c:pt idx="686">
                  <c:v>693</c:v>
                </c:pt>
                <c:pt idx="687">
                  <c:v>693.5</c:v>
                </c:pt>
                <c:pt idx="688">
                  <c:v>694</c:v>
                </c:pt>
                <c:pt idx="689">
                  <c:v>694.5</c:v>
                </c:pt>
                <c:pt idx="690">
                  <c:v>695</c:v>
                </c:pt>
                <c:pt idx="691">
                  <c:v>695.5</c:v>
                </c:pt>
                <c:pt idx="692">
                  <c:v>696</c:v>
                </c:pt>
                <c:pt idx="693">
                  <c:v>696.5</c:v>
                </c:pt>
                <c:pt idx="694">
                  <c:v>697</c:v>
                </c:pt>
                <c:pt idx="695">
                  <c:v>697.5</c:v>
                </c:pt>
                <c:pt idx="696">
                  <c:v>698</c:v>
                </c:pt>
                <c:pt idx="697">
                  <c:v>698.5</c:v>
                </c:pt>
                <c:pt idx="698">
                  <c:v>699</c:v>
                </c:pt>
                <c:pt idx="699">
                  <c:v>699.5</c:v>
                </c:pt>
                <c:pt idx="700">
                  <c:v>700</c:v>
                </c:pt>
                <c:pt idx="701">
                  <c:v>700.5</c:v>
                </c:pt>
                <c:pt idx="702">
                  <c:v>701</c:v>
                </c:pt>
                <c:pt idx="703">
                  <c:v>701.5</c:v>
                </c:pt>
                <c:pt idx="704">
                  <c:v>702</c:v>
                </c:pt>
                <c:pt idx="705">
                  <c:v>702.5</c:v>
                </c:pt>
                <c:pt idx="706">
                  <c:v>703</c:v>
                </c:pt>
                <c:pt idx="707">
                  <c:v>703.5</c:v>
                </c:pt>
                <c:pt idx="708">
                  <c:v>704</c:v>
                </c:pt>
                <c:pt idx="709">
                  <c:v>704.5</c:v>
                </c:pt>
                <c:pt idx="710">
                  <c:v>705</c:v>
                </c:pt>
                <c:pt idx="711">
                  <c:v>705.5</c:v>
                </c:pt>
                <c:pt idx="712">
                  <c:v>706</c:v>
                </c:pt>
                <c:pt idx="713">
                  <c:v>706.5</c:v>
                </c:pt>
                <c:pt idx="714">
                  <c:v>707</c:v>
                </c:pt>
                <c:pt idx="715">
                  <c:v>707.5</c:v>
                </c:pt>
                <c:pt idx="716">
                  <c:v>708</c:v>
                </c:pt>
                <c:pt idx="717">
                  <c:v>708.5</c:v>
                </c:pt>
                <c:pt idx="718">
                  <c:v>709</c:v>
                </c:pt>
                <c:pt idx="719">
                  <c:v>709.5</c:v>
                </c:pt>
                <c:pt idx="720">
                  <c:v>710</c:v>
                </c:pt>
                <c:pt idx="721">
                  <c:v>710.5</c:v>
                </c:pt>
                <c:pt idx="722">
                  <c:v>711</c:v>
                </c:pt>
                <c:pt idx="723">
                  <c:v>711.5</c:v>
                </c:pt>
                <c:pt idx="724">
                  <c:v>712</c:v>
                </c:pt>
                <c:pt idx="725">
                  <c:v>712.5</c:v>
                </c:pt>
                <c:pt idx="726">
                  <c:v>713</c:v>
                </c:pt>
                <c:pt idx="727">
                  <c:v>713.5</c:v>
                </c:pt>
                <c:pt idx="728">
                  <c:v>714</c:v>
                </c:pt>
                <c:pt idx="729">
                  <c:v>714.5</c:v>
                </c:pt>
                <c:pt idx="730">
                  <c:v>715</c:v>
                </c:pt>
                <c:pt idx="731">
                  <c:v>715.5</c:v>
                </c:pt>
                <c:pt idx="732">
                  <c:v>716</c:v>
                </c:pt>
                <c:pt idx="733">
                  <c:v>716.5</c:v>
                </c:pt>
                <c:pt idx="734">
                  <c:v>717</c:v>
                </c:pt>
                <c:pt idx="735">
                  <c:v>717.5</c:v>
                </c:pt>
                <c:pt idx="736">
                  <c:v>718</c:v>
                </c:pt>
                <c:pt idx="737">
                  <c:v>718.5</c:v>
                </c:pt>
                <c:pt idx="738">
                  <c:v>719</c:v>
                </c:pt>
                <c:pt idx="739">
                  <c:v>719.5</c:v>
                </c:pt>
                <c:pt idx="740">
                  <c:v>720</c:v>
                </c:pt>
                <c:pt idx="741">
                  <c:v>720.5</c:v>
                </c:pt>
                <c:pt idx="742">
                  <c:v>721</c:v>
                </c:pt>
                <c:pt idx="743">
                  <c:v>721.5</c:v>
                </c:pt>
                <c:pt idx="744">
                  <c:v>722</c:v>
                </c:pt>
                <c:pt idx="745">
                  <c:v>722.5</c:v>
                </c:pt>
                <c:pt idx="746">
                  <c:v>723</c:v>
                </c:pt>
                <c:pt idx="747">
                  <c:v>723.5</c:v>
                </c:pt>
                <c:pt idx="748">
                  <c:v>724</c:v>
                </c:pt>
                <c:pt idx="749">
                  <c:v>724.5</c:v>
                </c:pt>
                <c:pt idx="750">
                  <c:v>725</c:v>
                </c:pt>
                <c:pt idx="751">
                  <c:v>725.5</c:v>
                </c:pt>
                <c:pt idx="752">
                  <c:v>726</c:v>
                </c:pt>
                <c:pt idx="753">
                  <c:v>726.5</c:v>
                </c:pt>
                <c:pt idx="754">
                  <c:v>727</c:v>
                </c:pt>
                <c:pt idx="755">
                  <c:v>727.5</c:v>
                </c:pt>
                <c:pt idx="756">
                  <c:v>728</c:v>
                </c:pt>
                <c:pt idx="757">
                  <c:v>728.5</c:v>
                </c:pt>
                <c:pt idx="758">
                  <c:v>729</c:v>
                </c:pt>
                <c:pt idx="759">
                  <c:v>729.5</c:v>
                </c:pt>
                <c:pt idx="760">
                  <c:v>730</c:v>
                </c:pt>
                <c:pt idx="761">
                  <c:v>730.5</c:v>
                </c:pt>
                <c:pt idx="762">
                  <c:v>731</c:v>
                </c:pt>
                <c:pt idx="763">
                  <c:v>731.5</c:v>
                </c:pt>
                <c:pt idx="764">
                  <c:v>732</c:v>
                </c:pt>
                <c:pt idx="765">
                  <c:v>732.5</c:v>
                </c:pt>
                <c:pt idx="766">
                  <c:v>733</c:v>
                </c:pt>
                <c:pt idx="767">
                  <c:v>733.5</c:v>
                </c:pt>
                <c:pt idx="768">
                  <c:v>734</c:v>
                </c:pt>
                <c:pt idx="769">
                  <c:v>734.5</c:v>
                </c:pt>
                <c:pt idx="770">
                  <c:v>735</c:v>
                </c:pt>
                <c:pt idx="771">
                  <c:v>735.5</c:v>
                </c:pt>
                <c:pt idx="772">
                  <c:v>736</c:v>
                </c:pt>
                <c:pt idx="773">
                  <c:v>736.5</c:v>
                </c:pt>
                <c:pt idx="774">
                  <c:v>737</c:v>
                </c:pt>
                <c:pt idx="775">
                  <c:v>737.5</c:v>
                </c:pt>
                <c:pt idx="776">
                  <c:v>738</c:v>
                </c:pt>
                <c:pt idx="777">
                  <c:v>738.5</c:v>
                </c:pt>
                <c:pt idx="778">
                  <c:v>739</c:v>
                </c:pt>
                <c:pt idx="779">
                  <c:v>739.5</c:v>
                </c:pt>
                <c:pt idx="780">
                  <c:v>740</c:v>
                </c:pt>
                <c:pt idx="781">
                  <c:v>740.5</c:v>
                </c:pt>
                <c:pt idx="782">
                  <c:v>741</c:v>
                </c:pt>
                <c:pt idx="783">
                  <c:v>741.5</c:v>
                </c:pt>
                <c:pt idx="784">
                  <c:v>742</c:v>
                </c:pt>
                <c:pt idx="785">
                  <c:v>742.5</c:v>
                </c:pt>
                <c:pt idx="786">
                  <c:v>743</c:v>
                </c:pt>
                <c:pt idx="787">
                  <c:v>743.5</c:v>
                </c:pt>
                <c:pt idx="788">
                  <c:v>744</c:v>
                </c:pt>
                <c:pt idx="789">
                  <c:v>744.5</c:v>
                </c:pt>
                <c:pt idx="790">
                  <c:v>745</c:v>
                </c:pt>
                <c:pt idx="791">
                  <c:v>745.5</c:v>
                </c:pt>
                <c:pt idx="792">
                  <c:v>746</c:v>
                </c:pt>
                <c:pt idx="793">
                  <c:v>746.5</c:v>
                </c:pt>
                <c:pt idx="794">
                  <c:v>747</c:v>
                </c:pt>
                <c:pt idx="795">
                  <c:v>747.5</c:v>
                </c:pt>
                <c:pt idx="796">
                  <c:v>748</c:v>
                </c:pt>
                <c:pt idx="797">
                  <c:v>748.5</c:v>
                </c:pt>
                <c:pt idx="798">
                  <c:v>749</c:v>
                </c:pt>
                <c:pt idx="799">
                  <c:v>749.5</c:v>
                </c:pt>
                <c:pt idx="800">
                  <c:v>750</c:v>
                </c:pt>
                <c:pt idx="801">
                  <c:v>750.5</c:v>
                </c:pt>
                <c:pt idx="802">
                  <c:v>751</c:v>
                </c:pt>
                <c:pt idx="803">
                  <c:v>751.5</c:v>
                </c:pt>
                <c:pt idx="804">
                  <c:v>752</c:v>
                </c:pt>
                <c:pt idx="805">
                  <c:v>752.5</c:v>
                </c:pt>
                <c:pt idx="806">
                  <c:v>753</c:v>
                </c:pt>
                <c:pt idx="807">
                  <c:v>753.5</c:v>
                </c:pt>
                <c:pt idx="808">
                  <c:v>754</c:v>
                </c:pt>
                <c:pt idx="809">
                  <c:v>754.5</c:v>
                </c:pt>
                <c:pt idx="810">
                  <c:v>755</c:v>
                </c:pt>
                <c:pt idx="811">
                  <c:v>755.5</c:v>
                </c:pt>
                <c:pt idx="812">
                  <c:v>756</c:v>
                </c:pt>
                <c:pt idx="813">
                  <c:v>756.5</c:v>
                </c:pt>
                <c:pt idx="814">
                  <c:v>757</c:v>
                </c:pt>
                <c:pt idx="815">
                  <c:v>757.5</c:v>
                </c:pt>
                <c:pt idx="816">
                  <c:v>758</c:v>
                </c:pt>
                <c:pt idx="817">
                  <c:v>758.5</c:v>
                </c:pt>
                <c:pt idx="818">
                  <c:v>759</c:v>
                </c:pt>
                <c:pt idx="819">
                  <c:v>759.5</c:v>
                </c:pt>
                <c:pt idx="820">
                  <c:v>760</c:v>
                </c:pt>
                <c:pt idx="821">
                  <c:v>760.5</c:v>
                </c:pt>
                <c:pt idx="822">
                  <c:v>761</c:v>
                </c:pt>
                <c:pt idx="823">
                  <c:v>761.5</c:v>
                </c:pt>
                <c:pt idx="824">
                  <c:v>762</c:v>
                </c:pt>
                <c:pt idx="825">
                  <c:v>762.5</c:v>
                </c:pt>
                <c:pt idx="826">
                  <c:v>763</c:v>
                </c:pt>
                <c:pt idx="827">
                  <c:v>763.5</c:v>
                </c:pt>
                <c:pt idx="828">
                  <c:v>764</c:v>
                </c:pt>
                <c:pt idx="829">
                  <c:v>764.5</c:v>
                </c:pt>
                <c:pt idx="830">
                  <c:v>765</c:v>
                </c:pt>
                <c:pt idx="831">
                  <c:v>765.5</c:v>
                </c:pt>
                <c:pt idx="832">
                  <c:v>766</c:v>
                </c:pt>
                <c:pt idx="833">
                  <c:v>766.5</c:v>
                </c:pt>
                <c:pt idx="834">
                  <c:v>767</c:v>
                </c:pt>
                <c:pt idx="835">
                  <c:v>767.5</c:v>
                </c:pt>
                <c:pt idx="836">
                  <c:v>768</c:v>
                </c:pt>
                <c:pt idx="837">
                  <c:v>768.5</c:v>
                </c:pt>
                <c:pt idx="838">
                  <c:v>769</c:v>
                </c:pt>
                <c:pt idx="839">
                  <c:v>769.5</c:v>
                </c:pt>
                <c:pt idx="840">
                  <c:v>770</c:v>
                </c:pt>
                <c:pt idx="841">
                  <c:v>770.5</c:v>
                </c:pt>
                <c:pt idx="842">
                  <c:v>771</c:v>
                </c:pt>
                <c:pt idx="843">
                  <c:v>771.5</c:v>
                </c:pt>
                <c:pt idx="844">
                  <c:v>772</c:v>
                </c:pt>
                <c:pt idx="845">
                  <c:v>772.5</c:v>
                </c:pt>
                <c:pt idx="846">
                  <c:v>773</c:v>
                </c:pt>
                <c:pt idx="847">
                  <c:v>773.5</c:v>
                </c:pt>
                <c:pt idx="848">
                  <c:v>774</c:v>
                </c:pt>
                <c:pt idx="849">
                  <c:v>774.5</c:v>
                </c:pt>
                <c:pt idx="850">
                  <c:v>775</c:v>
                </c:pt>
                <c:pt idx="851">
                  <c:v>775.5</c:v>
                </c:pt>
                <c:pt idx="852">
                  <c:v>776</c:v>
                </c:pt>
                <c:pt idx="853">
                  <c:v>776.5</c:v>
                </c:pt>
                <c:pt idx="854">
                  <c:v>777</c:v>
                </c:pt>
                <c:pt idx="855">
                  <c:v>777.5</c:v>
                </c:pt>
                <c:pt idx="856">
                  <c:v>778</c:v>
                </c:pt>
                <c:pt idx="857">
                  <c:v>778.5</c:v>
                </c:pt>
                <c:pt idx="858">
                  <c:v>779</c:v>
                </c:pt>
                <c:pt idx="859">
                  <c:v>779.5</c:v>
                </c:pt>
                <c:pt idx="860">
                  <c:v>780</c:v>
                </c:pt>
                <c:pt idx="861">
                  <c:v>780.5</c:v>
                </c:pt>
                <c:pt idx="862">
                  <c:v>781</c:v>
                </c:pt>
                <c:pt idx="863">
                  <c:v>781.5</c:v>
                </c:pt>
                <c:pt idx="864">
                  <c:v>782</c:v>
                </c:pt>
                <c:pt idx="865">
                  <c:v>782.5</c:v>
                </c:pt>
                <c:pt idx="866">
                  <c:v>783</c:v>
                </c:pt>
                <c:pt idx="867">
                  <c:v>783.5</c:v>
                </c:pt>
                <c:pt idx="868">
                  <c:v>784</c:v>
                </c:pt>
                <c:pt idx="869">
                  <c:v>784.5</c:v>
                </c:pt>
                <c:pt idx="870">
                  <c:v>785</c:v>
                </c:pt>
                <c:pt idx="871">
                  <c:v>785.5</c:v>
                </c:pt>
                <c:pt idx="872">
                  <c:v>786</c:v>
                </c:pt>
                <c:pt idx="873">
                  <c:v>786.5</c:v>
                </c:pt>
                <c:pt idx="874">
                  <c:v>787</c:v>
                </c:pt>
                <c:pt idx="875">
                  <c:v>787.5</c:v>
                </c:pt>
                <c:pt idx="876">
                  <c:v>788</c:v>
                </c:pt>
                <c:pt idx="877">
                  <c:v>788.5</c:v>
                </c:pt>
                <c:pt idx="878">
                  <c:v>789</c:v>
                </c:pt>
                <c:pt idx="879">
                  <c:v>789.5</c:v>
                </c:pt>
                <c:pt idx="880">
                  <c:v>790</c:v>
                </c:pt>
                <c:pt idx="881">
                  <c:v>790.5</c:v>
                </c:pt>
                <c:pt idx="882">
                  <c:v>791</c:v>
                </c:pt>
                <c:pt idx="883">
                  <c:v>791.5</c:v>
                </c:pt>
                <c:pt idx="884">
                  <c:v>792</c:v>
                </c:pt>
                <c:pt idx="885">
                  <c:v>792.5</c:v>
                </c:pt>
                <c:pt idx="886">
                  <c:v>793</c:v>
                </c:pt>
                <c:pt idx="887">
                  <c:v>793.5</c:v>
                </c:pt>
                <c:pt idx="888">
                  <c:v>794</c:v>
                </c:pt>
                <c:pt idx="889">
                  <c:v>794.5</c:v>
                </c:pt>
                <c:pt idx="890">
                  <c:v>795</c:v>
                </c:pt>
                <c:pt idx="891">
                  <c:v>795.5</c:v>
                </c:pt>
                <c:pt idx="892">
                  <c:v>796</c:v>
                </c:pt>
                <c:pt idx="893">
                  <c:v>796.5</c:v>
                </c:pt>
                <c:pt idx="894">
                  <c:v>797</c:v>
                </c:pt>
                <c:pt idx="895">
                  <c:v>797.5</c:v>
                </c:pt>
                <c:pt idx="896">
                  <c:v>798</c:v>
                </c:pt>
                <c:pt idx="897">
                  <c:v>798.5</c:v>
                </c:pt>
                <c:pt idx="898">
                  <c:v>799</c:v>
                </c:pt>
                <c:pt idx="899">
                  <c:v>799.5</c:v>
                </c:pt>
                <c:pt idx="900">
                  <c:v>800</c:v>
                </c:pt>
                <c:pt idx="901">
                  <c:v>800.5</c:v>
                </c:pt>
                <c:pt idx="902">
                  <c:v>801</c:v>
                </c:pt>
                <c:pt idx="903">
                  <c:v>801.5</c:v>
                </c:pt>
                <c:pt idx="904">
                  <c:v>802</c:v>
                </c:pt>
                <c:pt idx="905">
                  <c:v>802.5</c:v>
                </c:pt>
                <c:pt idx="906">
                  <c:v>803</c:v>
                </c:pt>
                <c:pt idx="907">
                  <c:v>803.5</c:v>
                </c:pt>
                <c:pt idx="908">
                  <c:v>804</c:v>
                </c:pt>
                <c:pt idx="909">
                  <c:v>804.5</c:v>
                </c:pt>
                <c:pt idx="910">
                  <c:v>805</c:v>
                </c:pt>
                <c:pt idx="911">
                  <c:v>805.5</c:v>
                </c:pt>
                <c:pt idx="912">
                  <c:v>806</c:v>
                </c:pt>
                <c:pt idx="913">
                  <c:v>806.5</c:v>
                </c:pt>
                <c:pt idx="914">
                  <c:v>807</c:v>
                </c:pt>
                <c:pt idx="915">
                  <c:v>807.5</c:v>
                </c:pt>
                <c:pt idx="916">
                  <c:v>808</c:v>
                </c:pt>
                <c:pt idx="917">
                  <c:v>808.5</c:v>
                </c:pt>
                <c:pt idx="918">
                  <c:v>809</c:v>
                </c:pt>
                <c:pt idx="919">
                  <c:v>809.5</c:v>
                </c:pt>
                <c:pt idx="920">
                  <c:v>810</c:v>
                </c:pt>
                <c:pt idx="921">
                  <c:v>810.5</c:v>
                </c:pt>
                <c:pt idx="922">
                  <c:v>811</c:v>
                </c:pt>
                <c:pt idx="923">
                  <c:v>811.5</c:v>
                </c:pt>
                <c:pt idx="924">
                  <c:v>812</c:v>
                </c:pt>
                <c:pt idx="925">
                  <c:v>812.5</c:v>
                </c:pt>
                <c:pt idx="926">
                  <c:v>813</c:v>
                </c:pt>
                <c:pt idx="927">
                  <c:v>813.5</c:v>
                </c:pt>
                <c:pt idx="928">
                  <c:v>814</c:v>
                </c:pt>
                <c:pt idx="929">
                  <c:v>814.5</c:v>
                </c:pt>
                <c:pt idx="930">
                  <c:v>815</c:v>
                </c:pt>
                <c:pt idx="931">
                  <c:v>815.5</c:v>
                </c:pt>
                <c:pt idx="932">
                  <c:v>816</c:v>
                </c:pt>
                <c:pt idx="933">
                  <c:v>816.5</c:v>
                </c:pt>
                <c:pt idx="934">
                  <c:v>817</c:v>
                </c:pt>
                <c:pt idx="935">
                  <c:v>817.5</c:v>
                </c:pt>
                <c:pt idx="936">
                  <c:v>818</c:v>
                </c:pt>
                <c:pt idx="937">
                  <c:v>818.5</c:v>
                </c:pt>
                <c:pt idx="938">
                  <c:v>819</c:v>
                </c:pt>
                <c:pt idx="939">
                  <c:v>819.5</c:v>
                </c:pt>
                <c:pt idx="940">
                  <c:v>820</c:v>
                </c:pt>
                <c:pt idx="941">
                  <c:v>820.5</c:v>
                </c:pt>
                <c:pt idx="942">
                  <c:v>821</c:v>
                </c:pt>
                <c:pt idx="943">
                  <c:v>821.5</c:v>
                </c:pt>
                <c:pt idx="944">
                  <c:v>822</c:v>
                </c:pt>
                <c:pt idx="945">
                  <c:v>822.5</c:v>
                </c:pt>
                <c:pt idx="946">
                  <c:v>823</c:v>
                </c:pt>
                <c:pt idx="947">
                  <c:v>823.5</c:v>
                </c:pt>
                <c:pt idx="948">
                  <c:v>824</c:v>
                </c:pt>
                <c:pt idx="949">
                  <c:v>824.5</c:v>
                </c:pt>
                <c:pt idx="950">
                  <c:v>825</c:v>
                </c:pt>
                <c:pt idx="951">
                  <c:v>825.5</c:v>
                </c:pt>
                <c:pt idx="952">
                  <c:v>826</c:v>
                </c:pt>
                <c:pt idx="953">
                  <c:v>826.5</c:v>
                </c:pt>
                <c:pt idx="954">
                  <c:v>827</c:v>
                </c:pt>
                <c:pt idx="955">
                  <c:v>827.5</c:v>
                </c:pt>
                <c:pt idx="956">
                  <c:v>828</c:v>
                </c:pt>
                <c:pt idx="957">
                  <c:v>828.5</c:v>
                </c:pt>
                <c:pt idx="958">
                  <c:v>829</c:v>
                </c:pt>
                <c:pt idx="959">
                  <c:v>829.5</c:v>
                </c:pt>
                <c:pt idx="960">
                  <c:v>830</c:v>
                </c:pt>
                <c:pt idx="961">
                  <c:v>830.5</c:v>
                </c:pt>
                <c:pt idx="962">
                  <c:v>831</c:v>
                </c:pt>
                <c:pt idx="963">
                  <c:v>831.5</c:v>
                </c:pt>
                <c:pt idx="964">
                  <c:v>832</c:v>
                </c:pt>
                <c:pt idx="965">
                  <c:v>832.5</c:v>
                </c:pt>
                <c:pt idx="966">
                  <c:v>833</c:v>
                </c:pt>
                <c:pt idx="967">
                  <c:v>833.5</c:v>
                </c:pt>
                <c:pt idx="968">
                  <c:v>834</c:v>
                </c:pt>
                <c:pt idx="969">
                  <c:v>834.5</c:v>
                </c:pt>
                <c:pt idx="970">
                  <c:v>835</c:v>
                </c:pt>
                <c:pt idx="971">
                  <c:v>835.5</c:v>
                </c:pt>
                <c:pt idx="972">
                  <c:v>836</c:v>
                </c:pt>
                <c:pt idx="973">
                  <c:v>836.5</c:v>
                </c:pt>
                <c:pt idx="974">
                  <c:v>837</c:v>
                </c:pt>
                <c:pt idx="975">
                  <c:v>837.5</c:v>
                </c:pt>
                <c:pt idx="976">
                  <c:v>838</c:v>
                </c:pt>
                <c:pt idx="977">
                  <c:v>838.5</c:v>
                </c:pt>
                <c:pt idx="978">
                  <c:v>839</c:v>
                </c:pt>
                <c:pt idx="979">
                  <c:v>839.5</c:v>
                </c:pt>
                <c:pt idx="980">
                  <c:v>840</c:v>
                </c:pt>
                <c:pt idx="981">
                  <c:v>840.5</c:v>
                </c:pt>
                <c:pt idx="982">
                  <c:v>841</c:v>
                </c:pt>
                <c:pt idx="983">
                  <c:v>841.5</c:v>
                </c:pt>
                <c:pt idx="984">
                  <c:v>842</c:v>
                </c:pt>
                <c:pt idx="985">
                  <c:v>842.5</c:v>
                </c:pt>
                <c:pt idx="986">
                  <c:v>843</c:v>
                </c:pt>
                <c:pt idx="987">
                  <c:v>843.5</c:v>
                </c:pt>
                <c:pt idx="988">
                  <c:v>844</c:v>
                </c:pt>
                <c:pt idx="989">
                  <c:v>844.5</c:v>
                </c:pt>
                <c:pt idx="990">
                  <c:v>845</c:v>
                </c:pt>
                <c:pt idx="991">
                  <c:v>845.5</c:v>
                </c:pt>
                <c:pt idx="992">
                  <c:v>846</c:v>
                </c:pt>
                <c:pt idx="993">
                  <c:v>846.5</c:v>
                </c:pt>
                <c:pt idx="994">
                  <c:v>847</c:v>
                </c:pt>
                <c:pt idx="995">
                  <c:v>847.5</c:v>
                </c:pt>
                <c:pt idx="996">
                  <c:v>848</c:v>
                </c:pt>
                <c:pt idx="997">
                  <c:v>848.5</c:v>
                </c:pt>
                <c:pt idx="998">
                  <c:v>849</c:v>
                </c:pt>
                <c:pt idx="999">
                  <c:v>849.5</c:v>
                </c:pt>
                <c:pt idx="1000">
                  <c:v>850</c:v>
                </c:pt>
              </c:numCache>
            </c:numRef>
          </c:cat>
          <c:val>
            <c:numRef>
              <c:f>Sheet1!$B$212:$B$1212</c:f>
              <c:numCache>
                <c:formatCode>0.00E+00</c:formatCode>
                <c:ptCount val="1001"/>
                <c:pt idx="0">
                  <c:v>0</c:v>
                </c:pt>
                <c:pt idx="1">
                  <c:v>0</c:v>
                </c:pt>
                <c:pt idx="2">
                  <c:v>0</c:v>
                </c:pt>
                <c:pt idx="3">
                  <c:v>0</c:v>
                </c:pt>
                <c:pt idx="4">
                  <c:v>0</c:v>
                </c:pt>
                <c:pt idx="5">
                  <c:v>0</c:v>
                </c:pt>
                <c:pt idx="6">
                  <c:v>0</c:v>
                </c:pt>
                <c:pt idx="7">
                  <c:v>0</c:v>
                </c:pt>
                <c:pt idx="8">
                  <c:v>0</c:v>
                </c:pt>
                <c:pt idx="9">
                  <c:v>0</c:v>
                </c:pt>
                <c:pt idx="10">
                  <c:v>0</c:v>
                </c:pt>
                <c:pt idx="11">
                  <c:v>0</c:v>
                </c:pt>
                <c:pt idx="12">
                  <c:v>0</c:v>
                </c:pt>
                <c:pt idx="13">
                  <c:v>0</c:v>
                </c:pt>
                <c:pt idx="14">
                  <c:v>0</c:v>
                </c:pt>
                <c:pt idx="15">
                  <c:v>0</c:v>
                </c:pt>
                <c:pt idx="16">
                  <c:v>0</c:v>
                </c:pt>
                <c:pt idx="17">
                  <c:v>0</c:v>
                </c:pt>
                <c:pt idx="18">
                  <c:v>0</c:v>
                </c:pt>
                <c:pt idx="19">
                  <c:v>0</c:v>
                </c:pt>
                <c:pt idx="20">
                  <c:v>0</c:v>
                </c:pt>
                <c:pt idx="21">
                  <c:v>0</c:v>
                </c:pt>
                <c:pt idx="22">
                  <c:v>0</c:v>
                </c:pt>
                <c:pt idx="23">
                  <c:v>0</c:v>
                </c:pt>
                <c:pt idx="24">
                  <c:v>0</c:v>
                </c:pt>
                <c:pt idx="25">
                  <c:v>0</c:v>
                </c:pt>
                <c:pt idx="26">
                  <c:v>0</c:v>
                </c:pt>
                <c:pt idx="27">
                  <c:v>0</c:v>
                </c:pt>
                <c:pt idx="28">
                  <c:v>0</c:v>
                </c:pt>
                <c:pt idx="29">
                  <c:v>0</c:v>
                </c:pt>
                <c:pt idx="30">
                  <c:v>0</c:v>
                </c:pt>
                <c:pt idx="31">
                  <c:v>0</c:v>
                </c:pt>
                <c:pt idx="32">
                  <c:v>0</c:v>
                </c:pt>
                <c:pt idx="33">
                  <c:v>0</c:v>
                </c:pt>
                <c:pt idx="34">
                  <c:v>0</c:v>
                </c:pt>
                <c:pt idx="35">
                  <c:v>0</c:v>
                </c:pt>
                <c:pt idx="36">
                  <c:v>0</c:v>
                </c:pt>
                <c:pt idx="37">
                  <c:v>0</c:v>
                </c:pt>
                <c:pt idx="38">
                  <c:v>0</c:v>
                </c:pt>
                <c:pt idx="39">
                  <c:v>0</c:v>
                </c:pt>
                <c:pt idx="40">
                  <c:v>0</c:v>
                </c:pt>
                <c:pt idx="41">
                  <c:v>0</c:v>
                </c:pt>
                <c:pt idx="42">
                  <c:v>0</c:v>
                </c:pt>
                <c:pt idx="43">
                  <c:v>0</c:v>
                </c:pt>
                <c:pt idx="44">
                  <c:v>0</c:v>
                </c:pt>
                <c:pt idx="45">
                  <c:v>0</c:v>
                </c:pt>
                <c:pt idx="46">
                  <c:v>0</c:v>
                </c:pt>
                <c:pt idx="47">
                  <c:v>0</c:v>
                </c:pt>
                <c:pt idx="48">
                  <c:v>0</c:v>
                </c:pt>
                <c:pt idx="49">
                  <c:v>0</c:v>
                </c:pt>
                <c:pt idx="50">
                  <c:v>0</c:v>
                </c:pt>
                <c:pt idx="51">
                  <c:v>0</c:v>
                </c:pt>
                <c:pt idx="52">
                  <c:v>0</c:v>
                </c:pt>
                <c:pt idx="53">
                  <c:v>0</c:v>
                </c:pt>
                <c:pt idx="54">
                  <c:v>0</c:v>
                </c:pt>
                <c:pt idx="55">
                  <c:v>0</c:v>
                </c:pt>
                <c:pt idx="56">
                  <c:v>0</c:v>
                </c:pt>
                <c:pt idx="57">
                  <c:v>0</c:v>
                </c:pt>
                <c:pt idx="58">
                  <c:v>0</c:v>
                </c:pt>
                <c:pt idx="59">
                  <c:v>0</c:v>
                </c:pt>
                <c:pt idx="60">
                  <c:v>0</c:v>
                </c:pt>
                <c:pt idx="61">
                  <c:v>0</c:v>
                </c:pt>
                <c:pt idx="62">
                  <c:v>0</c:v>
                </c:pt>
                <c:pt idx="63">
                  <c:v>0</c:v>
                </c:pt>
                <c:pt idx="64">
                  <c:v>0</c:v>
                </c:pt>
                <c:pt idx="65">
                  <c:v>0</c:v>
                </c:pt>
                <c:pt idx="66">
                  <c:v>0</c:v>
                </c:pt>
                <c:pt idx="67">
                  <c:v>0</c:v>
                </c:pt>
                <c:pt idx="68">
                  <c:v>0</c:v>
                </c:pt>
                <c:pt idx="69">
                  <c:v>0</c:v>
                </c:pt>
                <c:pt idx="70">
                  <c:v>0</c:v>
                </c:pt>
                <c:pt idx="71">
                  <c:v>0</c:v>
                </c:pt>
                <c:pt idx="72">
                  <c:v>0</c:v>
                </c:pt>
                <c:pt idx="73">
                  <c:v>0</c:v>
                </c:pt>
                <c:pt idx="74">
                  <c:v>0</c:v>
                </c:pt>
                <c:pt idx="75">
                  <c:v>0</c:v>
                </c:pt>
                <c:pt idx="76">
                  <c:v>0</c:v>
                </c:pt>
                <c:pt idx="77">
                  <c:v>0</c:v>
                </c:pt>
                <c:pt idx="78">
                  <c:v>0</c:v>
                </c:pt>
                <c:pt idx="79">
                  <c:v>0</c:v>
                </c:pt>
                <c:pt idx="80">
                  <c:v>0</c:v>
                </c:pt>
                <c:pt idx="81">
                  <c:v>0</c:v>
                </c:pt>
                <c:pt idx="82">
                  <c:v>0</c:v>
                </c:pt>
                <c:pt idx="83">
                  <c:v>0</c:v>
                </c:pt>
                <c:pt idx="84">
                  <c:v>0</c:v>
                </c:pt>
                <c:pt idx="85">
                  <c:v>0</c:v>
                </c:pt>
                <c:pt idx="86">
                  <c:v>0</c:v>
                </c:pt>
                <c:pt idx="87">
                  <c:v>0</c:v>
                </c:pt>
                <c:pt idx="88">
                  <c:v>0</c:v>
                </c:pt>
                <c:pt idx="89">
                  <c:v>0</c:v>
                </c:pt>
                <c:pt idx="90">
                  <c:v>0</c:v>
                </c:pt>
                <c:pt idx="91">
                  <c:v>0</c:v>
                </c:pt>
                <c:pt idx="92">
                  <c:v>0</c:v>
                </c:pt>
                <c:pt idx="93">
                  <c:v>0</c:v>
                </c:pt>
                <c:pt idx="94">
                  <c:v>0</c:v>
                </c:pt>
                <c:pt idx="95">
                  <c:v>0</c:v>
                </c:pt>
                <c:pt idx="96">
                  <c:v>0</c:v>
                </c:pt>
                <c:pt idx="97">
                  <c:v>0</c:v>
                </c:pt>
                <c:pt idx="98">
                  <c:v>0</c:v>
                </c:pt>
                <c:pt idx="99">
                  <c:v>0</c:v>
                </c:pt>
                <c:pt idx="100">
                  <c:v>0</c:v>
                </c:pt>
                <c:pt idx="101">
                  <c:v>0</c:v>
                </c:pt>
                <c:pt idx="102">
                  <c:v>0</c:v>
                </c:pt>
                <c:pt idx="103">
                  <c:v>0</c:v>
                </c:pt>
                <c:pt idx="104">
                  <c:v>0</c:v>
                </c:pt>
                <c:pt idx="105">
                  <c:v>0</c:v>
                </c:pt>
                <c:pt idx="106">
                  <c:v>0</c:v>
                </c:pt>
                <c:pt idx="107">
                  <c:v>0</c:v>
                </c:pt>
                <c:pt idx="108">
                  <c:v>0</c:v>
                </c:pt>
                <c:pt idx="109">
                  <c:v>0</c:v>
                </c:pt>
                <c:pt idx="110">
                  <c:v>0</c:v>
                </c:pt>
                <c:pt idx="111">
                  <c:v>0</c:v>
                </c:pt>
                <c:pt idx="112">
                  <c:v>2.0000000000000003E-6</c:v>
                </c:pt>
                <c:pt idx="113">
                  <c:v>1.0480000000000001E-4</c:v>
                </c:pt>
                <c:pt idx="114">
                  <c:v>6.5600000000000009E-5</c:v>
                </c:pt>
                <c:pt idx="115">
                  <c:v>2.5360000000000001E-5</c:v>
                </c:pt>
                <c:pt idx="116">
                  <c:v>0</c:v>
                </c:pt>
                <c:pt idx="117">
                  <c:v>0</c:v>
                </c:pt>
                <c:pt idx="118">
                  <c:v>1.88E-5</c:v>
                </c:pt>
                <c:pt idx="119">
                  <c:v>4.6000000000000007E-5</c:v>
                </c:pt>
                <c:pt idx="120">
                  <c:v>7.112000000000001E-5</c:v>
                </c:pt>
                <c:pt idx="121">
                  <c:v>2.1040000000000002E-4</c:v>
                </c:pt>
                <c:pt idx="122">
                  <c:v>3.8400000000000001E-4</c:v>
                </c:pt>
                <c:pt idx="123">
                  <c:v>5.616000000000001E-4</c:v>
                </c:pt>
                <c:pt idx="124">
                  <c:v>6.9439999999999997E-4</c:v>
                </c:pt>
                <c:pt idx="125">
                  <c:v>8.160000000000001E-4</c:v>
                </c:pt>
                <c:pt idx="126">
                  <c:v>9.3600000000000009E-4</c:v>
                </c:pt>
                <c:pt idx="127">
                  <c:v>1.0640000000000001E-3</c:v>
                </c:pt>
                <c:pt idx="128">
                  <c:v>1.1200000000000001E-3</c:v>
                </c:pt>
                <c:pt idx="129">
                  <c:v>1.1920000000000001E-3</c:v>
                </c:pt>
                <c:pt idx="130">
                  <c:v>1.3440000000000001E-3</c:v>
                </c:pt>
                <c:pt idx="131">
                  <c:v>1.6160000000000002E-3</c:v>
                </c:pt>
                <c:pt idx="132">
                  <c:v>1.9599999999999999E-3</c:v>
                </c:pt>
                <c:pt idx="133">
                  <c:v>2.264E-3</c:v>
                </c:pt>
                <c:pt idx="134">
                  <c:v>2.4880000000000002E-3</c:v>
                </c:pt>
                <c:pt idx="135">
                  <c:v>2.712E-3</c:v>
                </c:pt>
                <c:pt idx="136">
                  <c:v>2.9200000000000003E-3</c:v>
                </c:pt>
                <c:pt idx="137">
                  <c:v>3.2160000000000001E-3</c:v>
                </c:pt>
                <c:pt idx="138">
                  <c:v>3.5760000000000002E-3</c:v>
                </c:pt>
                <c:pt idx="139">
                  <c:v>3.9759999999999995E-3</c:v>
                </c:pt>
                <c:pt idx="140">
                  <c:v>4.424E-3</c:v>
                </c:pt>
                <c:pt idx="141">
                  <c:v>4.9200000000000008E-3</c:v>
                </c:pt>
                <c:pt idx="142">
                  <c:v>5.4800000000000005E-3</c:v>
                </c:pt>
                <c:pt idx="143">
                  <c:v>6.0879999999999997E-3</c:v>
                </c:pt>
                <c:pt idx="144">
                  <c:v>6.7919999999999994E-3</c:v>
                </c:pt>
                <c:pt idx="145">
                  <c:v>7.4399999999999996E-3</c:v>
                </c:pt>
                <c:pt idx="146">
                  <c:v>8.0000000000000002E-3</c:v>
                </c:pt>
                <c:pt idx="147">
                  <c:v>8.7200000000000003E-3</c:v>
                </c:pt>
                <c:pt idx="148">
                  <c:v>9.4400000000000005E-3</c:v>
                </c:pt>
                <c:pt idx="149">
                  <c:v>1.0240000000000001E-2</c:v>
                </c:pt>
                <c:pt idx="150">
                  <c:v>1.112E-2</c:v>
                </c:pt>
                <c:pt idx="151">
                  <c:v>1.2E-2</c:v>
                </c:pt>
                <c:pt idx="152">
                  <c:v>1.3120000000000001E-2</c:v>
                </c:pt>
                <c:pt idx="153">
                  <c:v>1.4319999999999999E-2</c:v>
                </c:pt>
                <c:pt idx="154">
                  <c:v>1.5600000000000001E-2</c:v>
                </c:pt>
                <c:pt idx="155">
                  <c:v>1.6959999999999999E-2</c:v>
                </c:pt>
                <c:pt idx="156">
                  <c:v>1.84E-2</c:v>
                </c:pt>
                <c:pt idx="157">
                  <c:v>1.976E-2</c:v>
                </c:pt>
                <c:pt idx="158">
                  <c:v>2.128E-2</c:v>
                </c:pt>
                <c:pt idx="159">
                  <c:v>2.2880000000000001E-2</c:v>
                </c:pt>
                <c:pt idx="160">
                  <c:v>2.4560000000000002E-2</c:v>
                </c:pt>
                <c:pt idx="161">
                  <c:v>2.6400000000000003E-2</c:v>
                </c:pt>
                <c:pt idx="162">
                  <c:v>2.8399999999999998E-2</c:v>
                </c:pt>
                <c:pt idx="163">
                  <c:v>3.0719999999999997E-2</c:v>
                </c:pt>
                <c:pt idx="164">
                  <c:v>3.3040000000000007E-2</c:v>
                </c:pt>
                <c:pt idx="165">
                  <c:v>3.5439999999999999E-2</c:v>
                </c:pt>
                <c:pt idx="166">
                  <c:v>3.8000000000000006E-2</c:v>
                </c:pt>
                <c:pt idx="167">
                  <c:v>4.0480000000000002E-2</c:v>
                </c:pt>
                <c:pt idx="168">
                  <c:v>4.3200000000000002E-2</c:v>
                </c:pt>
                <c:pt idx="169">
                  <c:v>4.6080000000000003E-2</c:v>
                </c:pt>
                <c:pt idx="170">
                  <c:v>4.9120000000000004E-2</c:v>
                </c:pt>
                <c:pt idx="171">
                  <c:v>5.2159999999999998E-2</c:v>
                </c:pt>
                <c:pt idx="172">
                  <c:v>5.5359999999999999E-2</c:v>
                </c:pt>
                <c:pt idx="173">
                  <c:v>5.8560000000000001E-2</c:v>
                </c:pt>
                <c:pt idx="174">
                  <c:v>6.1839999999999999E-2</c:v>
                </c:pt>
                <c:pt idx="175">
                  <c:v>6.5439999999999998E-2</c:v>
                </c:pt>
                <c:pt idx="176">
                  <c:v>6.9120000000000001E-2</c:v>
                </c:pt>
                <c:pt idx="177">
                  <c:v>7.3040000000000008E-2</c:v>
                </c:pt>
                <c:pt idx="178">
                  <c:v>7.6800000000000007E-2</c:v>
                </c:pt>
                <c:pt idx="179">
                  <c:v>8.0800000000000011E-2</c:v>
                </c:pt>
                <c:pt idx="180">
                  <c:v>8.48E-2</c:v>
                </c:pt>
                <c:pt idx="181">
                  <c:v>8.8800000000000004E-2</c:v>
                </c:pt>
                <c:pt idx="182">
                  <c:v>9.2800000000000007E-2</c:v>
                </c:pt>
                <c:pt idx="183">
                  <c:v>9.6000000000000002E-2</c:v>
                </c:pt>
                <c:pt idx="184">
                  <c:v>0.1</c:v>
                </c:pt>
                <c:pt idx="185">
                  <c:v>0.10400000000000001</c:v>
                </c:pt>
                <c:pt idx="186">
                  <c:v>0.10800000000000001</c:v>
                </c:pt>
                <c:pt idx="187">
                  <c:v>0.11200000000000002</c:v>
                </c:pt>
                <c:pt idx="188">
                  <c:v>0.1152</c:v>
                </c:pt>
                <c:pt idx="189">
                  <c:v>0.11840000000000001</c:v>
                </c:pt>
                <c:pt idx="190">
                  <c:v>0.1208</c:v>
                </c:pt>
                <c:pt idx="191">
                  <c:v>0.124</c:v>
                </c:pt>
                <c:pt idx="192">
                  <c:v>0.12640000000000001</c:v>
                </c:pt>
                <c:pt idx="193">
                  <c:v>0.128</c:v>
                </c:pt>
                <c:pt idx="194">
                  <c:v>0.13040000000000002</c:v>
                </c:pt>
                <c:pt idx="195">
                  <c:v>0.13120000000000001</c:v>
                </c:pt>
                <c:pt idx="196">
                  <c:v>0.13200000000000001</c:v>
                </c:pt>
                <c:pt idx="197">
                  <c:v>0.1328</c:v>
                </c:pt>
                <c:pt idx="198">
                  <c:v>0.13360000000000002</c:v>
                </c:pt>
                <c:pt idx="199">
                  <c:v>0.13360000000000002</c:v>
                </c:pt>
                <c:pt idx="200">
                  <c:v>0.1328</c:v>
                </c:pt>
                <c:pt idx="201">
                  <c:v>0.13200000000000001</c:v>
                </c:pt>
                <c:pt idx="202">
                  <c:v>0.13040000000000002</c:v>
                </c:pt>
                <c:pt idx="203">
                  <c:v>0.1288</c:v>
                </c:pt>
                <c:pt idx="204">
                  <c:v>0.12640000000000001</c:v>
                </c:pt>
                <c:pt idx="205">
                  <c:v>0.1232</c:v>
                </c:pt>
                <c:pt idx="206">
                  <c:v>0.1208</c:v>
                </c:pt>
                <c:pt idx="207">
                  <c:v>0.1176</c:v>
                </c:pt>
                <c:pt idx="208">
                  <c:v>0.11359999999999999</c:v>
                </c:pt>
                <c:pt idx="209">
                  <c:v>0.10960000000000002</c:v>
                </c:pt>
                <c:pt idx="210">
                  <c:v>0.10560000000000001</c:v>
                </c:pt>
                <c:pt idx="211">
                  <c:v>0.10160000000000001</c:v>
                </c:pt>
                <c:pt idx="212">
                  <c:v>9.7600000000000006E-2</c:v>
                </c:pt>
                <c:pt idx="213">
                  <c:v>9.3600000000000017E-2</c:v>
                </c:pt>
                <c:pt idx="214">
                  <c:v>8.9600000000000013E-2</c:v>
                </c:pt>
                <c:pt idx="215">
                  <c:v>8.48E-2</c:v>
                </c:pt>
                <c:pt idx="216">
                  <c:v>8.1600000000000006E-2</c:v>
                </c:pt>
                <c:pt idx="217">
                  <c:v>7.7520000000000006E-2</c:v>
                </c:pt>
                <c:pt idx="218">
                  <c:v>7.392E-2</c:v>
                </c:pt>
                <c:pt idx="219">
                  <c:v>7.0320000000000008E-2</c:v>
                </c:pt>
                <c:pt idx="220">
                  <c:v>6.6879999999999995E-2</c:v>
                </c:pt>
                <c:pt idx="221">
                  <c:v>6.368E-2</c:v>
                </c:pt>
                <c:pt idx="222">
                  <c:v>6.08E-2</c:v>
                </c:pt>
                <c:pt idx="223">
                  <c:v>5.7999999999999996E-2</c:v>
                </c:pt>
                <c:pt idx="224">
                  <c:v>5.5200000000000006E-2</c:v>
                </c:pt>
                <c:pt idx="225">
                  <c:v>5.2639999999999999E-2</c:v>
                </c:pt>
                <c:pt idx="226">
                  <c:v>5.0480000000000004E-2</c:v>
                </c:pt>
                <c:pt idx="227">
                  <c:v>4.8320000000000002E-2</c:v>
                </c:pt>
                <c:pt idx="228">
                  <c:v>4.6160000000000007E-2</c:v>
                </c:pt>
                <c:pt idx="229">
                  <c:v>4.4000000000000004E-2</c:v>
                </c:pt>
                <c:pt idx="230">
                  <c:v>4.2000000000000003E-2</c:v>
                </c:pt>
                <c:pt idx="231">
                  <c:v>4.0320000000000002E-2</c:v>
                </c:pt>
                <c:pt idx="232">
                  <c:v>3.8800000000000001E-2</c:v>
                </c:pt>
                <c:pt idx="233">
                  <c:v>3.7359999999999997E-2</c:v>
                </c:pt>
                <c:pt idx="234">
                  <c:v>3.5680000000000003E-2</c:v>
                </c:pt>
                <c:pt idx="235">
                  <c:v>3.3919999999999999E-2</c:v>
                </c:pt>
                <c:pt idx="236">
                  <c:v>3.2079999999999997E-2</c:v>
                </c:pt>
                <c:pt idx="237">
                  <c:v>3.0240000000000003E-2</c:v>
                </c:pt>
                <c:pt idx="238">
                  <c:v>2.8560000000000002E-2</c:v>
                </c:pt>
                <c:pt idx="239">
                  <c:v>2.7039999999999998E-2</c:v>
                </c:pt>
                <c:pt idx="240">
                  <c:v>2.5600000000000001E-2</c:v>
                </c:pt>
                <c:pt idx="241">
                  <c:v>2.4320000000000001E-2</c:v>
                </c:pt>
                <c:pt idx="242">
                  <c:v>2.3120000000000002E-2</c:v>
                </c:pt>
                <c:pt idx="243">
                  <c:v>2.1920000000000002E-2</c:v>
                </c:pt>
                <c:pt idx="244">
                  <c:v>2.0720000000000002E-2</c:v>
                </c:pt>
                <c:pt idx="245">
                  <c:v>1.9520000000000003E-2</c:v>
                </c:pt>
                <c:pt idx="246">
                  <c:v>1.84E-2</c:v>
                </c:pt>
                <c:pt idx="247">
                  <c:v>1.736E-2</c:v>
                </c:pt>
                <c:pt idx="248">
                  <c:v>1.6480000000000002E-2</c:v>
                </c:pt>
                <c:pt idx="249">
                  <c:v>1.5679999999999999E-2</c:v>
                </c:pt>
                <c:pt idx="250">
                  <c:v>1.4960000000000001E-2</c:v>
                </c:pt>
                <c:pt idx="251">
                  <c:v>1.4160000000000001E-2</c:v>
                </c:pt>
                <c:pt idx="252">
                  <c:v>1.336E-2</c:v>
                </c:pt>
                <c:pt idx="253">
                  <c:v>1.248E-2</c:v>
                </c:pt>
                <c:pt idx="254">
                  <c:v>1.176E-2</c:v>
                </c:pt>
                <c:pt idx="255">
                  <c:v>1.112E-2</c:v>
                </c:pt>
                <c:pt idx="256">
                  <c:v>1.0480000000000001E-2</c:v>
                </c:pt>
                <c:pt idx="257">
                  <c:v>9.8400000000000015E-3</c:v>
                </c:pt>
                <c:pt idx="258">
                  <c:v>9.3600000000000003E-3</c:v>
                </c:pt>
                <c:pt idx="259">
                  <c:v>8.9600000000000009E-3</c:v>
                </c:pt>
                <c:pt idx="260">
                  <c:v>8.6400000000000001E-3</c:v>
                </c:pt>
                <c:pt idx="261">
                  <c:v>8.2400000000000008E-3</c:v>
                </c:pt>
                <c:pt idx="262">
                  <c:v>7.816E-3</c:v>
                </c:pt>
                <c:pt idx="263">
                  <c:v>7.4079999999999997E-3</c:v>
                </c:pt>
                <c:pt idx="264">
                  <c:v>7.0239999999999999E-3</c:v>
                </c:pt>
                <c:pt idx="265">
                  <c:v>6.6800000000000002E-3</c:v>
                </c:pt>
                <c:pt idx="266">
                  <c:v>6.2240000000000004E-3</c:v>
                </c:pt>
                <c:pt idx="267">
                  <c:v>5.8320000000000004E-3</c:v>
                </c:pt>
                <c:pt idx="268">
                  <c:v>5.4080000000000005E-3</c:v>
                </c:pt>
                <c:pt idx="269">
                  <c:v>5.0400000000000002E-3</c:v>
                </c:pt>
                <c:pt idx="270">
                  <c:v>4.7759999999999999E-3</c:v>
                </c:pt>
                <c:pt idx="271">
                  <c:v>4.5519999999999996E-3</c:v>
                </c:pt>
                <c:pt idx="272">
                  <c:v>4.4560000000000008E-3</c:v>
                </c:pt>
                <c:pt idx="273">
                  <c:v>4.3119999999999999E-3</c:v>
                </c:pt>
                <c:pt idx="274">
                  <c:v>4.0960000000000007E-3</c:v>
                </c:pt>
                <c:pt idx="275">
                  <c:v>3.8159999999999999E-3</c:v>
                </c:pt>
                <c:pt idx="276">
                  <c:v>3.5999999999999999E-3</c:v>
                </c:pt>
                <c:pt idx="277">
                  <c:v>3.4560000000000003E-3</c:v>
                </c:pt>
                <c:pt idx="278">
                  <c:v>3.3040000000000001E-3</c:v>
                </c:pt>
                <c:pt idx="279">
                  <c:v>3.1680000000000002E-3</c:v>
                </c:pt>
                <c:pt idx="280">
                  <c:v>3.0000000000000001E-3</c:v>
                </c:pt>
                <c:pt idx="281">
                  <c:v>2.8800000000000002E-3</c:v>
                </c:pt>
                <c:pt idx="282">
                  <c:v>2.7520000000000001E-3</c:v>
                </c:pt>
                <c:pt idx="283">
                  <c:v>2.5920000000000001E-3</c:v>
                </c:pt>
                <c:pt idx="284">
                  <c:v>2.496E-3</c:v>
                </c:pt>
                <c:pt idx="285">
                  <c:v>2.3680000000000003E-3</c:v>
                </c:pt>
                <c:pt idx="286">
                  <c:v>2.232E-3</c:v>
                </c:pt>
                <c:pt idx="287">
                  <c:v>2.1199999999999999E-3</c:v>
                </c:pt>
                <c:pt idx="288">
                  <c:v>1.9920000000000003E-3</c:v>
                </c:pt>
                <c:pt idx="289">
                  <c:v>1.9199999999999998E-3</c:v>
                </c:pt>
                <c:pt idx="290">
                  <c:v>1.8079999999999999E-3</c:v>
                </c:pt>
                <c:pt idx="291">
                  <c:v>1.7680000000000003E-3</c:v>
                </c:pt>
                <c:pt idx="292">
                  <c:v>1.8960000000000001E-3</c:v>
                </c:pt>
                <c:pt idx="293">
                  <c:v>2.4000000000000002E-3</c:v>
                </c:pt>
                <c:pt idx="294">
                  <c:v>3.2640000000000004E-3</c:v>
                </c:pt>
                <c:pt idx="295">
                  <c:v>4.1599999999999996E-3</c:v>
                </c:pt>
                <c:pt idx="296">
                  <c:v>4.5600000000000007E-3</c:v>
                </c:pt>
                <c:pt idx="297">
                  <c:v>4.176E-3</c:v>
                </c:pt>
                <c:pt idx="298">
                  <c:v>3.2000000000000002E-3</c:v>
                </c:pt>
                <c:pt idx="299">
                  <c:v>2.1760000000000004E-3</c:v>
                </c:pt>
                <c:pt idx="300">
                  <c:v>1.4720000000000002E-3</c:v>
                </c:pt>
                <c:pt idx="301">
                  <c:v>1.0880000000000002E-3</c:v>
                </c:pt>
                <c:pt idx="302">
                  <c:v>9.4400000000000007E-4</c:v>
                </c:pt>
                <c:pt idx="303">
                  <c:v>8.7200000000000005E-4</c:v>
                </c:pt>
                <c:pt idx="304">
                  <c:v>8.0000000000000004E-4</c:v>
                </c:pt>
                <c:pt idx="305">
                  <c:v>7.1199999999999996E-4</c:v>
                </c:pt>
                <c:pt idx="306">
                  <c:v>6.7840000000000001E-4</c:v>
                </c:pt>
                <c:pt idx="307">
                  <c:v>6.4960000000000007E-4</c:v>
                </c:pt>
                <c:pt idx="308">
                  <c:v>5.8719999999999996E-4</c:v>
                </c:pt>
                <c:pt idx="309">
                  <c:v>4.7760000000000001E-4</c:v>
                </c:pt>
                <c:pt idx="310">
                  <c:v>3.7360000000000003E-4</c:v>
                </c:pt>
                <c:pt idx="311">
                  <c:v>2.9840000000000004E-4</c:v>
                </c:pt>
                <c:pt idx="312">
                  <c:v>2.0799999999999999E-4</c:v>
                </c:pt>
                <c:pt idx="313">
                  <c:v>1.5680000000000002E-4</c:v>
                </c:pt>
                <c:pt idx="314">
                  <c:v>1.472E-4</c:v>
                </c:pt>
                <c:pt idx="315">
                  <c:v>1.816E-4</c:v>
                </c:pt>
                <c:pt idx="316">
                  <c:v>1.7359999999999999E-4</c:v>
                </c:pt>
                <c:pt idx="317">
                  <c:v>1.696E-4</c:v>
                </c:pt>
                <c:pt idx="318">
                  <c:v>1.304E-4</c:v>
                </c:pt>
                <c:pt idx="319">
                  <c:v>1.1680000000000001E-4</c:v>
                </c:pt>
                <c:pt idx="320">
                  <c:v>5.4320000000000002E-5</c:v>
                </c:pt>
                <c:pt idx="321">
                  <c:v>1.7840000000000002E-5</c:v>
                </c:pt>
                <c:pt idx="322">
                  <c:v>1.1040000000000001E-5</c:v>
                </c:pt>
                <c:pt idx="323">
                  <c:v>2.6160000000000004E-5</c:v>
                </c:pt>
                <c:pt idx="324">
                  <c:v>1.1760000000000001E-5</c:v>
                </c:pt>
                <c:pt idx="325">
                  <c:v>0</c:v>
                </c:pt>
                <c:pt idx="326">
                  <c:v>0</c:v>
                </c:pt>
                <c:pt idx="327">
                  <c:v>2.8560000000000001E-5</c:v>
                </c:pt>
                <c:pt idx="328">
                  <c:v>2.6800000000000001E-4</c:v>
                </c:pt>
                <c:pt idx="329">
                  <c:v>6.0000000000000006E-4</c:v>
                </c:pt>
                <c:pt idx="330">
                  <c:v>7.5600000000000005E-4</c:v>
                </c:pt>
                <c:pt idx="331">
                  <c:v>5.9680000000000009E-4</c:v>
                </c:pt>
                <c:pt idx="332">
                  <c:v>2.3600000000000002E-4</c:v>
                </c:pt>
                <c:pt idx="333">
                  <c:v>2.3200000000000002E-6</c:v>
                </c:pt>
                <c:pt idx="334">
                  <c:v>0</c:v>
                </c:pt>
                <c:pt idx="335">
                  <c:v>0</c:v>
                </c:pt>
                <c:pt idx="336">
                  <c:v>0</c:v>
                </c:pt>
                <c:pt idx="337">
                  <c:v>0</c:v>
                </c:pt>
                <c:pt idx="338">
                  <c:v>0</c:v>
                </c:pt>
                <c:pt idx="339">
                  <c:v>0</c:v>
                </c:pt>
                <c:pt idx="340">
                  <c:v>0</c:v>
                </c:pt>
                <c:pt idx="341">
                  <c:v>0</c:v>
                </c:pt>
                <c:pt idx="342">
                  <c:v>0</c:v>
                </c:pt>
                <c:pt idx="343">
                  <c:v>0</c:v>
                </c:pt>
                <c:pt idx="344">
                  <c:v>0</c:v>
                </c:pt>
                <c:pt idx="345">
                  <c:v>0</c:v>
                </c:pt>
                <c:pt idx="346">
                  <c:v>0</c:v>
                </c:pt>
                <c:pt idx="347">
                  <c:v>0</c:v>
                </c:pt>
                <c:pt idx="348">
                  <c:v>0</c:v>
                </c:pt>
                <c:pt idx="349">
                  <c:v>0</c:v>
                </c:pt>
                <c:pt idx="350">
                  <c:v>0</c:v>
                </c:pt>
                <c:pt idx="351">
                  <c:v>0</c:v>
                </c:pt>
                <c:pt idx="352">
                  <c:v>0</c:v>
                </c:pt>
                <c:pt idx="353">
                  <c:v>0</c:v>
                </c:pt>
                <c:pt idx="354">
                  <c:v>0</c:v>
                </c:pt>
                <c:pt idx="355">
                  <c:v>0</c:v>
                </c:pt>
                <c:pt idx="356">
                  <c:v>0</c:v>
                </c:pt>
                <c:pt idx="357">
                  <c:v>0</c:v>
                </c:pt>
                <c:pt idx="358">
                  <c:v>0</c:v>
                </c:pt>
                <c:pt idx="359">
                  <c:v>0</c:v>
                </c:pt>
                <c:pt idx="360">
                  <c:v>0</c:v>
                </c:pt>
                <c:pt idx="361">
                  <c:v>0</c:v>
                </c:pt>
                <c:pt idx="362">
                  <c:v>0</c:v>
                </c:pt>
                <c:pt idx="363">
                  <c:v>0</c:v>
                </c:pt>
                <c:pt idx="364">
                  <c:v>0</c:v>
                </c:pt>
                <c:pt idx="365">
                  <c:v>0</c:v>
                </c:pt>
                <c:pt idx="366">
                  <c:v>0</c:v>
                </c:pt>
                <c:pt idx="367">
                  <c:v>0</c:v>
                </c:pt>
                <c:pt idx="368">
                  <c:v>0</c:v>
                </c:pt>
                <c:pt idx="369">
                  <c:v>0</c:v>
                </c:pt>
                <c:pt idx="370">
                  <c:v>0</c:v>
                </c:pt>
                <c:pt idx="371">
                  <c:v>0</c:v>
                </c:pt>
                <c:pt idx="372">
                  <c:v>0</c:v>
                </c:pt>
                <c:pt idx="373">
                  <c:v>0</c:v>
                </c:pt>
                <c:pt idx="374">
                  <c:v>0</c:v>
                </c:pt>
                <c:pt idx="375">
                  <c:v>0</c:v>
                </c:pt>
                <c:pt idx="376">
                  <c:v>0</c:v>
                </c:pt>
                <c:pt idx="377">
                  <c:v>0</c:v>
                </c:pt>
                <c:pt idx="378">
                  <c:v>0</c:v>
                </c:pt>
                <c:pt idx="379">
                  <c:v>0</c:v>
                </c:pt>
                <c:pt idx="380">
                  <c:v>0</c:v>
                </c:pt>
                <c:pt idx="381">
                  <c:v>0</c:v>
                </c:pt>
                <c:pt idx="382">
                  <c:v>0</c:v>
                </c:pt>
                <c:pt idx="383">
                  <c:v>0</c:v>
                </c:pt>
                <c:pt idx="384">
                  <c:v>0</c:v>
                </c:pt>
                <c:pt idx="385">
                  <c:v>0</c:v>
                </c:pt>
                <c:pt idx="386">
                  <c:v>0</c:v>
                </c:pt>
                <c:pt idx="387">
                  <c:v>0</c:v>
                </c:pt>
                <c:pt idx="388">
                  <c:v>0</c:v>
                </c:pt>
                <c:pt idx="389">
                  <c:v>0</c:v>
                </c:pt>
                <c:pt idx="390">
                  <c:v>0</c:v>
                </c:pt>
                <c:pt idx="391">
                  <c:v>0</c:v>
                </c:pt>
                <c:pt idx="392">
                  <c:v>0</c:v>
                </c:pt>
                <c:pt idx="393">
                  <c:v>0</c:v>
                </c:pt>
                <c:pt idx="394">
                  <c:v>0</c:v>
                </c:pt>
                <c:pt idx="395">
                  <c:v>0</c:v>
                </c:pt>
                <c:pt idx="396">
                  <c:v>0</c:v>
                </c:pt>
                <c:pt idx="397">
                  <c:v>0</c:v>
                </c:pt>
                <c:pt idx="398">
                  <c:v>0</c:v>
                </c:pt>
                <c:pt idx="399">
                  <c:v>6.1439999999999995E-5</c:v>
                </c:pt>
                <c:pt idx="400">
                  <c:v>7.6400000000000003E-4</c:v>
                </c:pt>
                <c:pt idx="401">
                  <c:v>6.9680000000000002E-4</c:v>
                </c:pt>
                <c:pt idx="402">
                  <c:v>6.7679999999999997E-4</c:v>
                </c:pt>
                <c:pt idx="403">
                  <c:v>6.5680000000000003E-4</c:v>
                </c:pt>
                <c:pt idx="404">
                  <c:v>6.3440000000000002E-4</c:v>
                </c:pt>
                <c:pt idx="405">
                  <c:v>6.0240000000000001E-4</c:v>
                </c:pt>
                <c:pt idx="406">
                  <c:v>5.9840000000000002E-4</c:v>
                </c:pt>
                <c:pt idx="407">
                  <c:v>6.0480000000000006E-4</c:v>
                </c:pt>
                <c:pt idx="408">
                  <c:v>6.3920000000000003E-4</c:v>
                </c:pt>
                <c:pt idx="409">
                  <c:v>6.7440000000000002E-4</c:v>
                </c:pt>
                <c:pt idx="410">
                  <c:v>7.2480000000000005E-4</c:v>
                </c:pt>
                <c:pt idx="411">
                  <c:v>7.672E-4</c:v>
                </c:pt>
                <c:pt idx="412">
                  <c:v>7.0640000000000004E-4</c:v>
                </c:pt>
                <c:pt idx="413">
                  <c:v>6.9280000000000003E-4</c:v>
                </c:pt>
                <c:pt idx="414">
                  <c:v>6.7279999999999998E-4</c:v>
                </c:pt>
                <c:pt idx="415">
                  <c:v>7.584E-4</c:v>
                </c:pt>
                <c:pt idx="416">
                  <c:v>8.160000000000001E-4</c:v>
                </c:pt>
                <c:pt idx="417">
                  <c:v>8.8000000000000014E-4</c:v>
                </c:pt>
                <c:pt idx="418">
                  <c:v>8.9599999999999999E-4</c:v>
                </c:pt>
                <c:pt idx="419">
                  <c:v>9.1200000000000005E-4</c:v>
                </c:pt>
                <c:pt idx="420">
                  <c:v>9.0399999999999996E-4</c:v>
                </c:pt>
                <c:pt idx="421">
                  <c:v>9.5200000000000016E-4</c:v>
                </c:pt>
                <c:pt idx="422">
                  <c:v>9.9200000000000004E-4</c:v>
                </c:pt>
                <c:pt idx="423">
                  <c:v>1.072E-3</c:v>
                </c:pt>
                <c:pt idx="424">
                  <c:v>1.0880000000000002E-3</c:v>
                </c:pt>
                <c:pt idx="425">
                  <c:v>1.1200000000000001E-3</c:v>
                </c:pt>
                <c:pt idx="426">
                  <c:v>1.0880000000000002E-3</c:v>
                </c:pt>
                <c:pt idx="427">
                  <c:v>1.1039999999999999E-3</c:v>
                </c:pt>
                <c:pt idx="428">
                  <c:v>1.16E-3</c:v>
                </c:pt>
                <c:pt idx="429">
                  <c:v>1.232E-3</c:v>
                </c:pt>
                <c:pt idx="430">
                  <c:v>1.2800000000000001E-3</c:v>
                </c:pt>
                <c:pt idx="431">
                  <c:v>1.3280000000000002E-3</c:v>
                </c:pt>
                <c:pt idx="432">
                  <c:v>1.4320000000000001E-3</c:v>
                </c:pt>
                <c:pt idx="433">
                  <c:v>1.5120000000000001E-3</c:v>
                </c:pt>
                <c:pt idx="434">
                  <c:v>1.5520000000000002E-3</c:v>
                </c:pt>
                <c:pt idx="435">
                  <c:v>1.704E-3</c:v>
                </c:pt>
                <c:pt idx="436">
                  <c:v>1.952E-3</c:v>
                </c:pt>
                <c:pt idx="437">
                  <c:v>2.2160000000000001E-3</c:v>
                </c:pt>
                <c:pt idx="438">
                  <c:v>2.32E-3</c:v>
                </c:pt>
                <c:pt idx="439">
                  <c:v>2.2400000000000002E-3</c:v>
                </c:pt>
                <c:pt idx="440">
                  <c:v>2.1280000000000001E-3</c:v>
                </c:pt>
                <c:pt idx="441">
                  <c:v>2.0639999999999999E-3</c:v>
                </c:pt>
                <c:pt idx="442">
                  <c:v>2.0480000000000003E-3</c:v>
                </c:pt>
                <c:pt idx="443">
                  <c:v>2.104E-3</c:v>
                </c:pt>
                <c:pt idx="444">
                  <c:v>2.2000000000000001E-3</c:v>
                </c:pt>
                <c:pt idx="445">
                  <c:v>2.4000000000000002E-3</c:v>
                </c:pt>
                <c:pt idx="446">
                  <c:v>2.5440000000000003E-3</c:v>
                </c:pt>
                <c:pt idx="447">
                  <c:v>2.64E-3</c:v>
                </c:pt>
                <c:pt idx="448">
                  <c:v>2.6320000000000002E-3</c:v>
                </c:pt>
                <c:pt idx="449">
                  <c:v>2.7200000000000002E-3</c:v>
                </c:pt>
                <c:pt idx="450">
                  <c:v>2.9040000000000003E-3</c:v>
                </c:pt>
                <c:pt idx="451">
                  <c:v>3.016E-3</c:v>
                </c:pt>
                <c:pt idx="452">
                  <c:v>3.192E-3</c:v>
                </c:pt>
                <c:pt idx="453">
                  <c:v>3.32E-3</c:v>
                </c:pt>
                <c:pt idx="454">
                  <c:v>3.5760000000000002E-3</c:v>
                </c:pt>
                <c:pt idx="455">
                  <c:v>3.7520000000000001E-3</c:v>
                </c:pt>
                <c:pt idx="456">
                  <c:v>3.872E-3</c:v>
                </c:pt>
                <c:pt idx="457">
                  <c:v>3.9759999999999995E-3</c:v>
                </c:pt>
                <c:pt idx="458">
                  <c:v>4.104E-3</c:v>
                </c:pt>
                <c:pt idx="459">
                  <c:v>4.3679999999999995E-3</c:v>
                </c:pt>
                <c:pt idx="460">
                  <c:v>4.64E-3</c:v>
                </c:pt>
                <c:pt idx="461">
                  <c:v>4.9040000000000004E-3</c:v>
                </c:pt>
                <c:pt idx="462">
                  <c:v>5.1280000000000006E-3</c:v>
                </c:pt>
                <c:pt idx="463">
                  <c:v>5.352E-3</c:v>
                </c:pt>
                <c:pt idx="464">
                  <c:v>5.6080000000000001E-3</c:v>
                </c:pt>
                <c:pt idx="465">
                  <c:v>5.9120000000000006E-3</c:v>
                </c:pt>
                <c:pt idx="466">
                  <c:v>6.2240000000000004E-3</c:v>
                </c:pt>
                <c:pt idx="467">
                  <c:v>6.6080000000000002E-3</c:v>
                </c:pt>
                <c:pt idx="468">
                  <c:v>6.9680000000000011E-3</c:v>
                </c:pt>
                <c:pt idx="469">
                  <c:v>7.4000000000000003E-3</c:v>
                </c:pt>
                <c:pt idx="470">
                  <c:v>7.8880000000000009E-3</c:v>
                </c:pt>
                <c:pt idx="471">
                  <c:v>8.4000000000000012E-3</c:v>
                </c:pt>
                <c:pt idx="472">
                  <c:v>8.8000000000000005E-3</c:v>
                </c:pt>
                <c:pt idx="473">
                  <c:v>9.1200000000000014E-3</c:v>
                </c:pt>
                <c:pt idx="474">
                  <c:v>9.3600000000000003E-3</c:v>
                </c:pt>
                <c:pt idx="475">
                  <c:v>9.6800000000000011E-3</c:v>
                </c:pt>
                <c:pt idx="476">
                  <c:v>1.0240000000000001E-2</c:v>
                </c:pt>
                <c:pt idx="477">
                  <c:v>1.0960000000000001E-2</c:v>
                </c:pt>
                <c:pt idx="478">
                  <c:v>1.1520000000000001E-2</c:v>
                </c:pt>
                <c:pt idx="479">
                  <c:v>1.2E-2</c:v>
                </c:pt>
                <c:pt idx="480">
                  <c:v>1.256E-2</c:v>
                </c:pt>
                <c:pt idx="481">
                  <c:v>1.3440000000000001E-2</c:v>
                </c:pt>
                <c:pt idx="482">
                  <c:v>1.4240000000000001E-2</c:v>
                </c:pt>
                <c:pt idx="483">
                  <c:v>1.5040000000000001E-2</c:v>
                </c:pt>
                <c:pt idx="484">
                  <c:v>1.5840000000000003E-2</c:v>
                </c:pt>
                <c:pt idx="485">
                  <c:v>1.6719999999999999E-2</c:v>
                </c:pt>
                <c:pt idx="486">
                  <c:v>1.7520000000000001E-2</c:v>
                </c:pt>
                <c:pt idx="487">
                  <c:v>1.84E-2</c:v>
                </c:pt>
                <c:pt idx="488">
                  <c:v>1.9360000000000002E-2</c:v>
                </c:pt>
                <c:pt idx="489">
                  <c:v>2.0480000000000002E-2</c:v>
                </c:pt>
                <c:pt idx="490">
                  <c:v>2.1600000000000001E-2</c:v>
                </c:pt>
                <c:pt idx="491">
                  <c:v>2.2720000000000004E-2</c:v>
                </c:pt>
                <c:pt idx="492">
                  <c:v>2.4E-2</c:v>
                </c:pt>
                <c:pt idx="493">
                  <c:v>2.5280000000000004E-2</c:v>
                </c:pt>
                <c:pt idx="494">
                  <c:v>2.6640000000000004E-2</c:v>
                </c:pt>
                <c:pt idx="495">
                  <c:v>2.8000000000000004E-2</c:v>
                </c:pt>
                <c:pt idx="496">
                  <c:v>2.9360000000000004E-2</c:v>
                </c:pt>
                <c:pt idx="497">
                  <c:v>3.0960000000000001E-2</c:v>
                </c:pt>
                <c:pt idx="498">
                  <c:v>3.2719999999999999E-2</c:v>
                </c:pt>
                <c:pt idx="499">
                  <c:v>3.456E-2</c:v>
                </c:pt>
                <c:pt idx="500">
                  <c:v>3.6400000000000002E-2</c:v>
                </c:pt>
                <c:pt idx="501">
                  <c:v>3.8159999999999999E-2</c:v>
                </c:pt>
                <c:pt idx="502">
                  <c:v>4.0080000000000005E-2</c:v>
                </c:pt>
                <c:pt idx="503">
                  <c:v>4.2080000000000006E-2</c:v>
                </c:pt>
                <c:pt idx="504">
                  <c:v>4.4400000000000002E-2</c:v>
                </c:pt>
                <c:pt idx="505">
                  <c:v>4.6800000000000008E-2</c:v>
                </c:pt>
                <c:pt idx="506">
                  <c:v>4.9360000000000001E-2</c:v>
                </c:pt>
                <c:pt idx="507">
                  <c:v>5.1920000000000001E-2</c:v>
                </c:pt>
                <c:pt idx="508">
                  <c:v>5.4559999999999997E-2</c:v>
                </c:pt>
                <c:pt idx="509">
                  <c:v>5.7360000000000001E-2</c:v>
                </c:pt>
                <c:pt idx="510">
                  <c:v>6.0480000000000006E-2</c:v>
                </c:pt>
                <c:pt idx="511">
                  <c:v>6.3759999999999997E-2</c:v>
                </c:pt>
                <c:pt idx="512">
                  <c:v>6.720000000000001E-2</c:v>
                </c:pt>
                <c:pt idx="513">
                  <c:v>7.0879999999999999E-2</c:v>
                </c:pt>
                <c:pt idx="514">
                  <c:v>7.4639999999999998E-2</c:v>
                </c:pt>
                <c:pt idx="515">
                  <c:v>7.8640000000000002E-2</c:v>
                </c:pt>
                <c:pt idx="516">
                  <c:v>8.3199999999999996E-2</c:v>
                </c:pt>
                <c:pt idx="517">
                  <c:v>8.72E-2</c:v>
                </c:pt>
                <c:pt idx="518">
                  <c:v>9.2000000000000012E-2</c:v>
                </c:pt>
                <c:pt idx="519">
                  <c:v>9.6799999999999997E-2</c:v>
                </c:pt>
                <c:pt idx="520">
                  <c:v>0.1024</c:v>
                </c:pt>
                <c:pt idx="521">
                  <c:v>0.10720000000000002</c:v>
                </c:pt>
                <c:pt idx="522">
                  <c:v>0.11359999999999999</c:v>
                </c:pt>
                <c:pt idx="523">
                  <c:v>0.1192</c:v>
                </c:pt>
                <c:pt idx="524">
                  <c:v>0.12640000000000001</c:v>
                </c:pt>
                <c:pt idx="525">
                  <c:v>0.13360000000000002</c:v>
                </c:pt>
                <c:pt idx="526">
                  <c:v>0.13999999999999999</c:v>
                </c:pt>
                <c:pt idx="527">
                  <c:v>0.14799999999999999</c:v>
                </c:pt>
                <c:pt idx="528">
                  <c:v>0.1552</c:v>
                </c:pt>
                <c:pt idx="529">
                  <c:v>0.16320000000000001</c:v>
                </c:pt>
                <c:pt idx="530">
                  <c:v>0.17280000000000001</c:v>
                </c:pt>
                <c:pt idx="531">
                  <c:v>0.18160000000000001</c:v>
                </c:pt>
                <c:pt idx="532">
                  <c:v>0.192</c:v>
                </c:pt>
                <c:pt idx="533">
                  <c:v>0.20240000000000002</c:v>
                </c:pt>
                <c:pt idx="534">
                  <c:v>0.21280000000000002</c:v>
                </c:pt>
                <c:pt idx="535">
                  <c:v>0.22400000000000003</c:v>
                </c:pt>
                <c:pt idx="536">
                  <c:v>0.23680000000000001</c:v>
                </c:pt>
                <c:pt idx="537">
                  <c:v>0.24880000000000002</c:v>
                </c:pt>
                <c:pt idx="538">
                  <c:v>0.26240000000000002</c:v>
                </c:pt>
                <c:pt idx="539">
                  <c:v>0.27679999999999999</c:v>
                </c:pt>
                <c:pt idx="540">
                  <c:v>0.29199999999999998</c:v>
                </c:pt>
                <c:pt idx="541">
                  <c:v>0.30800000000000005</c:v>
                </c:pt>
                <c:pt idx="542">
                  <c:v>0.32400000000000007</c:v>
                </c:pt>
                <c:pt idx="543">
                  <c:v>0.34079999999999999</c:v>
                </c:pt>
                <c:pt idx="544">
                  <c:v>0.35760000000000003</c:v>
                </c:pt>
                <c:pt idx="545">
                  <c:v>0.376</c:v>
                </c:pt>
                <c:pt idx="546">
                  <c:v>0.3952</c:v>
                </c:pt>
                <c:pt idx="547">
                  <c:v>0.41440000000000005</c:v>
                </c:pt>
                <c:pt idx="548">
                  <c:v>0.43440000000000006</c:v>
                </c:pt>
                <c:pt idx="549">
                  <c:v>0.45599999999999996</c:v>
                </c:pt>
                <c:pt idx="550">
                  <c:v>0.47839999999999999</c:v>
                </c:pt>
                <c:pt idx="551">
                  <c:v>0.50160000000000005</c:v>
                </c:pt>
                <c:pt idx="552">
                  <c:v>0.52480000000000004</c:v>
                </c:pt>
                <c:pt idx="553">
                  <c:v>0.54800000000000004</c:v>
                </c:pt>
                <c:pt idx="554">
                  <c:v>0.57199999999999995</c:v>
                </c:pt>
                <c:pt idx="555">
                  <c:v>0.59599999999999997</c:v>
                </c:pt>
                <c:pt idx="556">
                  <c:v>0.61920000000000008</c:v>
                </c:pt>
                <c:pt idx="557">
                  <c:v>0.6432000000000001</c:v>
                </c:pt>
                <c:pt idx="558">
                  <c:v>0.66800000000000004</c:v>
                </c:pt>
                <c:pt idx="559">
                  <c:v>0.69440000000000002</c:v>
                </c:pt>
                <c:pt idx="560">
                  <c:v>0.72000000000000008</c:v>
                </c:pt>
                <c:pt idx="561">
                  <c:v>0.74560000000000004</c:v>
                </c:pt>
                <c:pt idx="562">
                  <c:v>0.7712</c:v>
                </c:pt>
                <c:pt idx="563">
                  <c:v>0.7984</c:v>
                </c:pt>
                <c:pt idx="564">
                  <c:v>0.82400000000000007</c:v>
                </c:pt>
                <c:pt idx="565">
                  <c:v>0.84800000000000009</c:v>
                </c:pt>
                <c:pt idx="566">
                  <c:v>0.87200000000000011</c:v>
                </c:pt>
                <c:pt idx="567">
                  <c:v>0.89600000000000013</c:v>
                </c:pt>
                <c:pt idx="568">
                  <c:v>0.91199999999999992</c:v>
                </c:pt>
                <c:pt idx="569">
                  <c:v>0.92799999999999994</c:v>
                </c:pt>
                <c:pt idx="570">
                  <c:v>0.93599999999999994</c:v>
                </c:pt>
                <c:pt idx="571">
                  <c:v>0.94399999999999995</c:v>
                </c:pt>
                <c:pt idx="572">
                  <c:v>0.95199999999999996</c:v>
                </c:pt>
                <c:pt idx="573">
                  <c:v>0.95199999999999996</c:v>
                </c:pt>
                <c:pt idx="574">
                  <c:v>0.94399999999999995</c:v>
                </c:pt>
                <c:pt idx="575">
                  <c:v>0.93599999999999994</c:v>
                </c:pt>
                <c:pt idx="576">
                  <c:v>0.91999999999999993</c:v>
                </c:pt>
                <c:pt idx="577">
                  <c:v>0.90399999999999991</c:v>
                </c:pt>
                <c:pt idx="578">
                  <c:v>0.88000000000000012</c:v>
                </c:pt>
                <c:pt idx="579">
                  <c:v>0.84000000000000008</c:v>
                </c:pt>
                <c:pt idx="580">
                  <c:v>0.8</c:v>
                </c:pt>
                <c:pt idx="581">
                  <c:v>0.76160000000000005</c:v>
                </c:pt>
                <c:pt idx="582">
                  <c:v>0.72160000000000002</c:v>
                </c:pt>
                <c:pt idx="583">
                  <c:v>0.68159999999999998</c:v>
                </c:pt>
                <c:pt idx="584">
                  <c:v>0.63840000000000008</c:v>
                </c:pt>
                <c:pt idx="585">
                  <c:v>0.59279999999999999</c:v>
                </c:pt>
                <c:pt idx="586">
                  <c:v>0.54640000000000011</c:v>
                </c:pt>
                <c:pt idx="587">
                  <c:v>0.50160000000000005</c:v>
                </c:pt>
                <c:pt idx="588">
                  <c:v>0.45999999999999996</c:v>
                </c:pt>
                <c:pt idx="589">
                  <c:v>0.42240000000000005</c:v>
                </c:pt>
                <c:pt idx="590">
                  <c:v>0.38719999999999999</c:v>
                </c:pt>
                <c:pt idx="591">
                  <c:v>0.35440000000000005</c:v>
                </c:pt>
                <c:pt idx="592">
                  <c:v>0.3256</c:v>
                </c:pt>
                <c:pt idx="593">
                  <c:v>0.29920000000000002</c:v>
                </c:pt>
                <c:pt idx="594">
                  <c:v>0.2752</c:v>
                </c:pt>
                <c:pt idx="595">
                  <c:v>0.25280000000000002</c:v>
                </c:pt>
                <c:pt idx="596">
                  <c:v>0.23280000000000001</c:v>
                </c:pt>
                <c:pt idx="597">
                  <c:v>0.21440000000000003</c:v>
                </c:pt>
                <c:pt idx="598">
                  <c:v>0.1976</c:v>
                </c:pt>
                <c:pt idx="599">
                  <c:v>0.18240000000000001</c:v>
                </c:pt>
                <c:pt idx="600">
                  <c:v>0.16880000000000001</c:v>
                </c:pt>
                <c:pt idx="601">
                  <c:v>0.15600000000000003</c:v>
                </c:pt>
                <c:pt idx="602">
                  <c:v>0.14399999999999999</c:v>
                </c:pt>
                <c:pt idx="603">
                  <c:v>0.1328</c:v>
                </c:pt>
                <c:pt idx="604">
                  <c:v>0.12240000000000001</c:v>
                </c:pt>
                <c:pt idx="605">
                  <c:v>0.11359999999999999</c:v>
                </c:pt>
                <c:pt idx="606">
                  <c:v>0.1048</c:v>
                </c:pt>
                <c:pt idx="607">
                  <c:v>9.6799999999999997E-2</c:v>
                </c:pt>
                <c:pt idx="608">
                  <c:v>8.9600000000000013E-2</c:v>
                </c:pt>
                <c:pt idx="609">
                  <c:v>8.3199999999999996E-2</c:v>
                </c:pt>
                <c:pt idx="610">
                  <c:v>7.7359999999999998E-2</c:v>
                </c:pt>
                <c:pt idx="611">
                  <c:v>7.1840000000000001E-2</c:v>
                </c:pt>
                <c:pt idx="612">
                  <c:v>6.6879999999999995E-2</c:v>
                </c:pt>
                <c:pt idx="613">
                  <c:v>6.2239999999999997E-2</c:v>
                </c:pt>
                <c:pt idx="614">
                  <c:v>5.8160000000000003E-2</c:v>
                </c:pt>
                <c:pt idx="615">
                  <c:v>5.4320000000000007E-2</c:v>
                </c:pt>
                <c:pt idx="616">
                  <c:v>5.0880000000000009E-2</c:v>
                </c:pt>
                <c:pt idx="617">
                  <c:v>4.7440000000000003E-2</c:v>
                </c:pt>
                <c:pt idx="618">
                  <c:v>4.4240000000000002E-2</c:v>
                </c:pt>
                <c:pt idx="619">
                  <c:v>4.1360000000000008E-2</c:v>
                </c:pt>
                <c:pt idx="620">
                  <c:v>3.8800000000000001E-2</c:v>
                </c:pt>
                <c:pt idx="621">
                  <c:v>3.6400000000000002E-2</c:v>
                </c:pt>
                <c:pt idx="622">
                  <c:v>3.44E-2</c:v>
                </c:pt>
                <c:pt idx="623">
                  <c:v>3.2480000000000002E-2</c:v>
                </c:pt>
                <c:pt idx="624">
                  <c:v>3.0640000000000001E-2</c:v>
                </c:pt>
                <c:pt idx="625">
                  <c:v>2.8799999999999999E-2</c:v>
                </c:pt>
                <c:pt idx="626">
                  <c:v>2.7200000000000002E-2</c:v>
                </c:pt>
                <c:pt idx="627">
                  <c:v>2.5760000000000002E-2</c:v>
                </c:pt>
                <c:pt idx="628">
                  <c:v>2.4480000000000002E-2</c:v>
                </c:pt>
                <c:pt idx="629">
                  <c:v>2.3120000000000002E-2</c:v>
                </c:pt>
                <c:pt idx="630">
                  <c:v>2.1840000000000002E-2</c:v>
                </c:pt>
                <c:pt idx="631">
                  <c:v>2.0480000000000002E-2</c:v>
                </c:pt>
                <c:pt idx="632">
                  <c:v>1.9120000000000002E-2</c:v>
                </c:pt>
                <c:pt idx="633">
                  <c:v>1.7999999999999999E-2</c:v>
                </c:pt>
                <c:pt idx="634">
                  <c:v>1.712E-2</c:v>
                </c:pt>
                <c:pt idx="635">
                  <c:v>1.6240000000000001E-2</c:v>
                </c:pt>
                <c:pt idx="636">
                  <c:v>1.5359999999999999E-2</c:v>
                </c:pt>
                <c:pt idx="637">
                  <c:v>1.4480000000000002E-2</c:v>
                </c:pt>
                <c:pt idx="638">
                  <c:v>1.3760000000000001E-2</c:v>
                </c:pt>
                <c:pt idx="639">
                  <c:v>1.328E-2</c:v>
                </c:pt>
                <c:pt idx="640">
                  <c:v>1.2800000000000001E-2</c:v>
                </c:pt>
                <c:pt idx="641">
                  <c:v>1.208E-2</c:v>
                </c:pt>
                <c:pt idx="642">
                  <c:v>1.128E-2</c:v>
                </c:pt>
                <c:pt idx="643">
                  <c:v>1.056E-2</c:v>
                </c:pt>
                <c:pt idx="644">
                  <c:v>1.008E-2</c:v>
                </c:pt>
                <c:pt idx="645">
                  <c:v>9.6800000000000011E-3</c:v>
                </c:pt>
                <c:pt idx="646">
                  <c:v>9.1200000000000014E-3</c:v>
                </c:pt>
                <c:pt idx="647">
                  <c:v>8.5599999999999999E-3</c:v>
                </c:pt>
                <c:pt idx="648">
                  <c:v>8.0000000000000002E-3</c:v>
                </c:pt>
                <c:pt idx="649">
                  <c:v>7.7359999999999998E-3</c:v>
                </c:pt>
                <c:pt idx="650">
                  <c:v>7.5759999999999994E-3</c:v>
                </c:pt>
                <c:pt idx="651">
                  <c:v>7.3200000000000001E-3</c:v>
                </c:pt>
                <c:pt idx="652">
                  <c:v>6.8000000000000005E-3</c:v>
                </c:pt>
                <c:pt idx="653">
                  <c:v>6.5519999999999997E-3</c:v>
                </c:pt>
                <c:pt idx="654">
                  <c:v>6.4240000000000009E-3</c:v>
                </c:pt>
                <c:pt idx="655">
                  <c:v>6.5519999999999997E-3</c:v>
                </c:pt>
                <c:pt idx="656">
                  <c:v>6.4080000000000005E-3</c:v>
                </c:pt>
                <c:pt idx="657">
                  <c:v>6.1440000000000002E-3</c:v>
                </c:pt>
                <c:pt idx="658">
                  <c:v>5.744E-3</c:v>
                </c:pt>
                <c:pt idx="659">
                  <c:v>5.2720000000000006E-3</c:v>
                </c:pt>
                <c:pt idx="660">
                  <c:v>4.9440000000000005E-3</c:v>
                </c:pt>
                <c:pt idx="661">
                  <c:v>4.7200000000000002E-3</c:v>
                </c:pt>
                <c:pt idx="662">
                  <c:v>4.6319999999999998E-3</c:v>
                </c:pt>
                <c:pt idx="663">
                  <c:v>4.4080000000000005E-3</c:v>
                </c:pt>
                <c:pt idx="664">
                  <c:v>4.1599999999999996E-3</c:v>
                </c:pt>
                <c:pt idx="665">
                  <c:v>4.0800000000000003E-3</c:v>
                </c:pt>
                <c:pt idx="666">
                  <c:v>4.0559999999999997E-3</c:v>
                </c:pt>
                <c:pt idx="667">
                  <c:v>4.0559999999999997E-3</c:v>
                </c:pt>
                <c:pt idx="668">
                  <c:v>3.9199999999999999E-3</c:v>
                </c:pt>
                <c:pt idx="669">
                  <c:v>3.9440000000000005E-3</c:v>
                </c:pt>
                <c:pt idx="670">
                  <c:v>3.7440000000000004E-3</c:v>
                </c:pt>
                <c:pt idx="671">
                  <c:v>3.48E-3</c:v>
                </c:pt>
                <c:pt idx="672">
                  <c:v>3.2880000000000001E-3</c:v>
                </c:pt>
                <c:pt idx="673">
                  <c:v>3.392E-3</c:v>
                </c:pt>
                <c:pt idx="674">
                  <c:v>3.4000000000000002E-3</c:v>
                </c:pt>
                <c:pt idx="675">
                  <c:v>3.2800000000000004E-3</c:v>
                </c:pt>
                <c:pt idx="676">
                  <c:v>2.9440000000000004E-3</c:v>
                </c:pt>
                <c:pt idx="677">
                  <c:v>2.784E-3</c:v>
                </c:pt>
                <c:pt idx="678">
                  <c:v>2.5920000000000001E-3</c:v>
                </c:pt>
                <c:pt idx="679">
                  <c:v>2.6160000000000003E-3</c:v>
                </c:pt>
                <c:pt idx="680">
                  <c:v>2.7920000000000002E-3</c:v>
                </c:pt>
                <c:pt idx="681">
                  <c:v>2.784E-3</c:v>
                </c:pt>
                <c:pt idx="682">
                  <c:v>2.5360000000000001E-3</c:v>
                </c:pt>
                <c:pt idx="683">
                  <c:v>2.232E-3</c:v>
                </c:pt>
                <c:pt idx="684">
                  <c:v>2.1839999999999997E-3</c:v>
                </c:pt>
                <c:pt idx="685">
                  <c:v>2.088E-3</c:v>
                </c:pt>
                <c:pt idx="686">
                  <c:v>2.1760000000000004E-3</c:v>
                </c:pt>
                <c:pt idx="687">
                  <c:v>2.1919999999999999E-3</c:v>
                </c:pt>
                <c:pt idx="688">
                  <c:v>2.1440000000000001E-3</c:v>
                </c:pt>
                <c:pt idx="689">
                  <c:v>2.0480000000000003E-3</c:v>
                </c:pt>
                <c:pt idx="690">
                  <c:v>1.8880000000000001E-3</c:v>
                </c:pt>
                <c:pt idx="691">
                  <c:v>1.9199999999999998E-3</c:v>
                </c:pt>
                <c:pt idx="692">
                  <c:v>1.9759999999999999E-3</c:v>
                </c:pt>
                <c:pt idx="693">
                  <c:v>2.1280000000000001E-3</c:v>
                </c:pt>
                <c:pt idx="694">
                  <c:v>2.1199999999999999E-3</c:v>
                </c:pt>
                <c:pt idx="695">
                  <c:v>1.8400000000000001E-3</c:v>
                </c:pt>
                <c:pt idx="696">
                  <c:v>1.5920000000000001E-3</c:v>
                </c:pt>
                <c:pt idx="697">
                  <c:v>1.464E-3</c:v>
                </c:pt>
                <c:pt idx="698">
                  <c:v>1.6000000000000001E-3</c:v>
                </c:pt>
                <c:pt idx="699">
                  <c:v>1.8400000000000001E-3</c:v>
                </c:pt>
                <c:pt idx="700">
                  <c:v>1.8880000000000001E-3</c:v>
                </c:pt>
                <c:pt idx="701">
                  <c:v>1.7520000000000001E-3</c:v>
                </c:pt>
                <c:pt idx="702">
                  <c:v>1.7440000000000001E-3</c:v>
                </c:pt>
                <c:pt idx="703">
                  <c:v>1.6559999999999999E-3</c:v>
                </c:pt>
                <c:pt idx="704">
                  <c:v>1.712E-3</c:v>
                </c:pt>
                <c:pt idx="705">
                  <c:v>1.5520000000000002E-3</c:v>
                </c:pt>
                <c:pt idx="706">
                  <c:v>1.6240000000000002E-3</c:v>
                </c:pt>
                <c:pt idx="707">
                  <c:v>1.536E-3</c:v>
                </c:pt>
                <c:pt idx="708">
                  <c:v>1.3280000000000002E-3</c:v>
                </c:pt>
                <c:pt idx="709">
                  <c:v>1.248E-3</c:v>
                </c:pt>
                <c:pt idx="710">
                  <c:v>1.5040000000000001E-3</c:v>
                </c:pt>
                <c:pt idx="711">
                  <c:v>1.8240000000000001E-3</c:v>
                </c:pt>
                <c:pt idx="712">
                  <c:v>1.856E-3</c:v>
                </c:pt>
                <c:pt idx="713">
                  <c:v>1.6480000000000002E-3</c:v>
                </c:pt>
                <c:pt idx="714">
                  <c:v>1.6800000000000001E-3</c:v>
                </c:pt>
                <c:pt idx="715">
                  <c:v>1.688E-3</c:v>
                </c:pt>
                <c:pt idx="716">
                  <c:v>1.5120000000000001E-3</c:v>
                </c:pt>
                <c:pt idx="717">
                  <c:v>1.312E-3</c:v>
                </c:pt>
                <c:pt idx="718">
                  <c:v>1.4320000000000001E-3</c:v>
                </c:pt>
                <c:pt idx="719">
                  <c:v>1.792E-3</c:v>
                </c:pt>
                <c:pt idx="720">
                  <c:v>1.7840000000000002E-3</c:v>
                </c:pt>
                <c:pt idx="721">
                  <c:v>1.3360000000000002E-3</c:v>
                </c:pt>
                <c:pt idx="722">
                  <c:v>9.3600000000000009E-4</c:v>
                </c:pt>
                <c:pt idx="723">
                  <c:v>9.5999999999999992E-4</c:v>
                </c:pt>
                <c:pt idx="724">
                  <c:v>1.0399999999999999E-3</c:v>
                </c:pt>
                <c:pt idx="725">
                  <c:v>1E-3</c:v>
                </c:pt>
                <c:pt idx="726">
                  <c:v>8.4800000000000001E-4</c:v>
                </c:pt>
                <c:pt idx="727">
                  <c:v>9.8400000000000007E-4</c:v>
                </c:pt>
                <c:pt idx="728">
                  <c:v>1.152E-3</c:v>
                </c:pt>
                <c:pt idx="729">
                  <c:v>1.2960000000000001E-3</c:v>
                </c:pt>
                <c:pt idx="730">
                  <c:v>1.392E-3</c:v>
                </c:pt>
                <c:pt idx="731">
                  <c:v>1.4080000000000002E-3</c:v>
                </c:pt>
                <c:pt idx="732">
                  <c:v>1.4720000000000002E-3</c:v>
                </c:pt>
                <c:pt idx="733">
                  <c:v>1.3280000000000002E-3</c:v>
                </c:pt>
                <c:pt idx="734">
                  <c:v>1.304E-3</c:v>
                </c:pt>
                <c:pt idx="735">
                  <c:v>1.096E-3</c:v>
                </c:pt>
                <c:pt idx="736">
                  <c:v>8.0800000000000012E-4</c:v>
                </c:pt>
                <c:pt idx="737">
                  <c:v>5.3200000000000003E-4</c:v>
                </c:pt>
                <c:pt idx="738">
                  <c:v>8.3199999999999995E-4</c:v>
                </c:pt>
                <c:pt idx="739">
                  <c:v>1.0399999999999999E-3</c:v>
                </c:pt>
                <c:pt idx="740">
                  <c:v>8.4800000000000001E-4</c:v>
                </c:pt>
                <c:pt idx="741">
                  <c:v>3.5760000000000002E-4</c:v>
                </c:pt>
                <c:pt idx="742">
                  <c:v>4.2240000000000008E-4</c:v>
                </c:pt>
                <c:pt idx="743">
                  <c:v>8.0800000000000012E-4</c:v>
                </c:pt>
                <c:pt idx="744">
                  <c:v>1.24E-3</c:v>
                </c:pt>
                <c:pt idx="745">
                  <c:v>1.4239999999999999E-3</c:v>
                </c:pt>
                <c:pt idx="746">
                  <c:v>1.2640000000000001E-3</c:v>
                </c:pt>
                <c:pt idx="747">
                  <c:v>8.2400000000000008E-4</c:v>
                </c:pt>
                <c:pt idx="748">
                  <c:v>5.3200000000000003E-4</c:v>
                </c:pt>
                <c:pt idx="749">
                  <c:v>6.6560000000000002E-4</c:v>
                </c:pt>
                <c:pt idx="750">
                  <c:v>7.6480000000000005E-4</c:v>
                </c:pt>
                <c:pt idx="751">
                  <c:v>1.1360000000000001E-3</c:v>
                </c:pt>
                <c:pt idx="752">
                  <c:v>1.1280000000000001E-3</c:v>
                </c:pt>
                <c:pt idx="753">
                  <c:v>1.1039999999999999E-3</c:v>
                </c:pt>
                <c:pt idx="754">
                  <c:v>8.3199999999999995E-4</c:v>
                </c:pt>
                <c:pt idx="755">
                  <c:v>6.3440000000000002E-4</c:v>
                </c:pt>
                <c:pt idx="756">
                  <c:v>5.3919999999999999E-4</c:v>
                </c:pt>
                <c:pt idx="757">
                  <c:v>5.8719999999999996E-4</c:v>
                </c:pt>
                <c:pt idx="758">
                  <c:v>6.8240000000000011E-4</c:v>
                </c:pt>
                <c:pt idx="759">
                  <c:v>6.0320000000000003E-4</c:v>
                </c:pt>
                <c:pt idx="760">
                  <c:v>1.4480000000000001E-3</c:v>
                </c:pt>
                <c:pt idx="761">
                  <c:v>4.6480000000000002E-3</c:v>
                </c:pt>
                <c:pt idx="762">
                  <c:v>5.5520000000000005E-3</c:v>
                </c:pt>
                <c:pt idx="763">
                  <c:v>4.2639999999999996E-3</c:v>
                </c:pt>
                <c:pt idx="764">
                  <c:v>1.4400000000000001E-3</c:v>
                </c:pt>
                <c:pt idx="765">
                  <c:v>9.1200000000000005E-4</c:v>
                </c:pt>
                <c:pt idx="766">
                  <c:v>9.5200000000000016E-4</c:v>
                </c:pt>
                <c:pt idx="767">
                  <c:v>1.4000000000000002E-3</c:v>
                </c:pt>
                <c:pt idx="768">
                  <c:v>1.3680000000000001E-3</c:v>
                </c:pt>
                <c:pt idx="769">
                  <c:v>1.24E-3</c:v>
                </c:pt>
                <c:pt idx="770">
                  <c:v>1.0160000000000002E-3</c:v>
                </c:pt>
                <c:pt idx="771">
                  <c:v>8.2400000000000008E-4</c:v>
                </c:pt>
                <c:pt idx="772">
                  <c:v>7.9760000000000009E-4</c:v>
                </c:pt>
                <c:pt idx="773">
                  <c:v>9.0399999999999996E-4</c:v>
                </c:pt>
                <c:pt idx="774">
                  <c:v>1.2160000000000001E-3</c:v>
                </c:pt>
                <c:pt idx="775">
                  <c:v>1.2640000000000001E-3</c:v>
                </c:pt>
                <c:pt idx="776">
                  <c:v>9.7599999999999998E-4</c:v>
                </c:pt>
                <c:pt idx="777">
                  <c:v>6.4320000000000002E-4</c:v>
                </c:pt>
                <c:pt idx="778">
                  <c:v>3.9280000000000001E-4</c:v>
                </c:pt>
                <c:pt idx="779">
                  <c:v>2.7040000000000001E-4</c:v>
                </c:pt>
                <c:pt idx="780">
                  <c:v>3.9839999999999998E-4</c:v>
                </c:pt>
                <c:pt idx="781">
                  <c:v>9.7599999999999998E-4</c:v>
                </c:pt>
                <c:pt idx="782">
                  <c:v>1.072E-3</c:v>
                </c:pt>
                <c:pt idx="783">
                  <c:v>1.1440000000000001E-3</c:v>
                </c:pt>
                <c:pt idx="784">
                  <c:v>1.1039999999999999E-3</c:v>
                </c:pt>
                <c:pt idx="785">
                  <c:v>1.4239999999999999E-3</c:v>
                </c:pt>
                <c:pt idx="786">
                  <c:v>1.1200000000000001E-3</c:v>
                </c:pt>
                <c:pt idx="787">
                  <c:v>6.96E-4</c:v>
                </c:pt>
                <c:pt idx="788">
                  <c:v>2.3040000000000002E-4</c:v>
                </c:pt>
                <c:pt idx="789">
                  <c:v>2.296E-4</c:v>
                </c:pt>
                <c:pt idx="790">
                  <c:v>9.4400000000000004E-5</c:v>
                </c:pt>
                <c:pt idx="791">
                  <c:v>0</c:v>
                </c:pt>
                <c:pt idx="792">
                  <c:v>0</c:v>
                </c:pt>
                <c:pt idx="793">
                  <c:v>2.1920000000000002E-4</c:v>
                </c:pt>
                <c:pt idx="794">
                  <c:v>8.8800000000000012E-4</c:v>
                </c:pt>
                <c:pt idx="795">
                  <c:v>1.4000000000000002E-3</c:v>
                </c:pt>
                <c:pt idx="796">
                  <c:v>1.1920000000000001E-3</c:v>
                </c:pt>
                <c:pt idx="797">
                  <c:v>7.7680000000000002E-4</c:v>
                </c:pt>
                <c:pt idx="798">
                  <c:v>6.5040000000000009E-4</c:v>
                </c:pt>
                <c:pt idx="799">
                  <c:v>6.864000000000001E-4</c:v>
                </c:pt>
                <c:pt idx="800">
                  <c:v>7.3760000000000004E-4</c:v>
                </c:pt>
                <c:pt idx="801">
                  <c:v>5.7760000000000005E-4</c:v>
                </c:pt>
                <c:pt idx="802">
                  <c:v>2.6800000000000001E-4</c:v>
                </c:pt>
                <c:pt idx="803">
                  <c:v>7.8960000000000003E-5</c:v>
                </c:pt>
                <c:pt idx="804">
                  <c:v>1.4480000000000002E-4</c:v>
                </c:pt>
                <c:pt idx="805">
                  <c:v>5.0560000000000004E-4</c:v>
                </c:pt>
                <c:pt idx="806">
                  <c:v>8.8000000000000014E-4</c:v>
                </c:pt>
                <c:pt idx="807">
                  <c:v>1.248E-3</c:v>
                </c:pt>
                <c:pt idx="808">
                  <c:v>1.3360000000000002E-3</c:v>
                </c:pt>
                <c:pt idx="809">
                  <c:v>9.2800000000000001E-4</c:v>
                </c:pt>
                <c:pt idx="810">
                  <c:v>2.7599999999999999E-4</c:v>
                </c:pt>
                <c:pt idx="811">
                  <c:v>1.6800000000000002E-4</c:v>
                </c:pt>
                <c:pt idx="812">
                  <c:v>2.3680000000000001E-4</c:v>
                </c:pt>
                <c:pt idx="813">
                  <c:v>2.8400000000000002E-4</c:v>
                </c:pt>
                <c:pt idx="814">
                  <c:v>1.1360000000000001E-4</c:v>
                </c:pt>
                <c:pt idx="815">
                  <c:v>2.7920000000000001E-4</c:v>
                </c:pt>
                <c:pt idx="816">
                  <c:v>2.6480000000000004E-4</c:v>
                </c:pt>
                <c:pt idx="817">
                  <c:v>2.4000000000000001E-5</c:v>
                </c:pt>
                <c:pt idx="818">
                  <c:v>0</c:v>
                </c:pt>
                <c:pt idx="819">
                  <c:v>0</c:v>
                </c:pt>
                <c:pt idx="820">
                  <c:v>0</c:v>
                </c:pt>
                <c:pt idx="821">
                  <c:v>3.9839999999999998E-5</c:v>
                </c:pt>
                <c:pt idx="822">
                  <c:v>1.9120000000000001E-4</c:v>
                </c:pt>
                <c:pt idx="823">
                  <c:v>4.0640000000000001E-4</c:v>
                </c:pt>
                <c:pt idx="824">
                  <c:v>5.5920000000000004E-4</c:v>
                </c:pt>
                <c:pt idx="825">
                  <c:v>1.232E-3</c:v>
                </c:pt>
                <c:pt idx="826">
                  <c:v>1.9040000000000003E-3</c:v>
                </c:pt>
                <c:pt idx="827">
                  <c:v>2.2880000000000001E-3</c:v>
                </c:pt>
                <c:pt idx="828">
                  <c:v>1.392E-3</c:v>
                </c:pt>
                <c:pt idx="829">
                  <c:v>6.2319999999999997E-4</c:v>
                </c:pt>
                <c:pt idx="830">
                  <c:v>8.8800000000000004E-5</c:v>
                </c:pt>
                <c:pt idx="831">
                  <c:v>4.1440000000000003E-5</c:v>
                </c:pt>
                <c:pt idx="832">
                  <c:v>2.5999999999999998E-4</c:v>
                </c:pt>
                <c:pt idx="833">
                  <c:v>5.3600000000000002E-4</c:v>
                </c:pt>
                <c:pt idx="834">
                  <c:v>8.4000000000000003E-4</c:v>
                </c:pt>
                <c:pt idx="835">
                  <c:v>9.2800000000000001E-4</c:v>
                </c:pt>
                <c:pt idx="836">
                  <c:v>1.304E-3</c:v>
                </c:pt>
                <c:pt idx="837">
                  <c:v>1.464E-3</c:v>
                </c:pt>
                <c:pt idx="838">
                  <c:v>1.3760000000000001E-3</c:v>
                </c:pt>
                <c:pt idx="839">
                  <c:v>1.0640000000000001E-3</c:v>
                </c:pt>
                <c:pt idx="840">
                  <c:v>6.5040000000000009E-4</c:v>
                </c:pt>
                <c:pt idx="841">
                  <c:v>4.4480000000000008E-5</c:v>
                </c:pt>
                <c:pt idx="842">
                  <c:v>7.3520000000000001E-6</c:v>
                </c:pt>
                <c:pt idx="843">
                  <c:v>8.1600000000000005E-5</c:v>
                </c:pt>
                <c:pt idx="844">
                  <c:v>4.1360000000000002E-4</c:v>
                </c:pt>
                <c:pt idx="845">
                  <c:v>4.0480000000000008E-4</c:v>
                </c:pt>
                <c:pt idx="846">
                  <c:v>1.1520000000000001E-4</c:v>
                </c:pt>
                <c:pt idx="847">
                  <c:v>0</c:v>
                </c:pt>
                <c:pt idx="848">
                  <c:v>0</c:v>
                </c:pt>
                <c:pt idx="849">
                  <c:v>0</c:v>
                </c:pt>
                <c:pt idx="850">
                  <c:v>0</c:v>
                </c:pt>
                <c:pt idx="851">
                  <c:v>0</c:v>
                </c:pt>
                <c:pt idx="852">
                  <c:v>0</c:v>
                </c:pt>
                <c:pt idx="853">
                  <c:v>0</c:v>
                </c:pt>
                <c:pt idx="854">
                  <c:v>0</c:v>
                </c:pt>
                <c:pt idx="855">
                  <c:v>0</c:v>
                </c:pt>
                <c:pt idx="856">
                  <c:v>0</c:v>
                </c:pt>
                <c:pt idx="857">
                  <c:v>0</c:v>
                </c:pt>
                <c:pt idx="858">
                  <c:v>0</c:v>
                </c:pt>
                <c:pt idx="859">
                  <c:v>0</c:v>
                </c:pt>
                <c:pt idx="860">
                  <c:v>0</c:v>
                </c:pt>
                <c:pt idx="861">
                  <c:v>2.8719999999999999E-4</c:v>
                </c:pt>
                <c:pt idx="862">
                  <c:v>7.7200000000000012E-4</c:v>
                </c:pt>
                <c:pt idx="863">
                  <c:v>1.1920000000000001E-3</c:v>
                </c:pt>
                <c:pt idx="864">
                  <c:v>1.176E-3</c:v>
                </c:pt>
                <c:pt idx="865">
                  <c:v>9.3600000000000009E-4</c:v>
                </c:pt>
                <c:pt idx="866">
                  <c:v>4.528E-4</c:v>
                </c:pt>
                <c:pt idx="867">
                  <c:v>6.5199999999999999E-5</c:v>
                </c:pt>
                <c:pt idx="868">
                  <c:v>0</c:v>
                </c:pt>
                <c:pt idx="869">
                  <c:v>0</c:v>
                </c:pt>
                <c:pt idx="870">
                  <c:v>5.8240000000000006E-4</c:v>
                </c:pt>
                <c:pt idx="871">
                  <c:v>8.6400000000000008E-4</c:v>
                </c:pt>
                <c:pt idx="872">
                  <c:v>1.08E-3</c:v>
                </c:pt>
                <c:pt idx="873">
                  <c:v>7.984E-4</c:v>
                </c:pt>
                <c:pt idx="874">
                  <c:v>8.160000000000001E-4</c:v>
                </c:pt>
                <c:pt idx="875">
                  <c:v>7.000000000000001E-4</c:v>
                </c:pt>
                <c:pt idx="876">
                  <c:v>4.5199999999999998E-4</c:v>
                </c:pt>
                <c:pt idx="877">
                  <c:v>5.5679999999999998E-4</c:v>
                </c:pt>
                <c:pt idx="878">
                  <c:v>2.408E-4</c:v>
                </c:pt>
                <c:pt idx="879">
                  <c:v>1.9440000000000001E-4</c:v>
                </c:pt>
                <c:pt idx="880">
                  <c:v>2.3680000000000001E-4</c:v>
                </c:pt>
                <c:pt idx="881">
                  <c:v>4.1840000000000003E-4</c:v>
                </c:pt>
                <c:pt idx="882">
                  <c:v>2.1440000000000001E-4</c:v>
                </c:pt>
                <c:pt idx="883">
                  <c:v>4.7440000000000004E-4</c:v>
                </c:pt>
                <c:pt idx="884">
                  <c:v>7.1520000000000004E-4</c:v>
                </c:pt>
                <c:pt idx="885">
                  <c:v>5.4799999999999998E-4</c:v>
                </c:pt>
                <c:pt idx="886">
                  <c:v>2.6719999999999999E-4</c:v>
                </c:pt>
                <c:pt idx="887">
                  <c:v>5.9760000000000011E-4</c:v>
                </c:pt>
                <c:pt idx="888">
                  <c:v>1.008E-3</c:v>
                </c:pt>
                <c:pt idx="889">
                  <c:v>7.7760000000000004E-4</c:v>
                </c:pt>
                <c:pt idx="890">
                  <c:v>3.4640000000000002E-4</c:v>
                </c:pt>
                <c:pt idx="891">
                  <c:v>1E-4</c:v>
                </c:pt>
                <c:pt idx="892">
                  <c:v>0</c:v>
                </c:pt>
                <c:pt idx="893">
                  <c:v>0</c:v>
                </c:pt>
                <c:pt idx="894">
                  <c:v>0</c:v>
                </c:pt>
                <c:pt idx="895">
                  <c:v>3.5280000000000001E-4</c:v>
                </c:pt>
                <c:pt idx="896">
                  <c:v>8.0800000000000012E-4</c:v>
                </c:pt>
                <c:pt idx="897">
                  <c:v>1.6320000000000002E-3</c:v>
                </c:pt>
                <c:pt idx="898">
                  <c:v>1.792E-3</c:v>
                </c:pt>
                <c:pt idx="899">
                  <c:v>1.7520000000000001E-3</c:v>
                </c:pt>
                <c:pt idx="900">
                  <c:v>8.5599999999999999E-4</c:v>
                </c:pt>
                <c:pt idx="901">
                  <c:v>1.3760000000000001E-4</c:v>
                </c:pt>
                <c:pt idx="902">
                  <c:v>0</c:v>
                </c:pt>
                <c:pt idx="903">
                  <c:v>6.7840000000000001E-5</c:v>
                </c:pt>
                <c:pt idx="904">
                  <c:v>4.1599999999999997E-4</c:v>
                </c:pt>
                <c:pt idx="905">
                  <c:v>2.2480000000000002E-4</c:v>
                </c:pt>
                <c:pt idx="906">
                  <c:v>0</c:v>
                </c:pt>
                <c:pt idx="907">
                  <c:v>0</c:v>
                </c:pt>
                <c:pt idx="908">
                  <c:v>3.4480000000000003E-4</c:v>
                </c:pt>
                <c:pt idx="909">
                  <c:v>1.1440000000000001E-3</c:v>
                </c:pt>
                <c:pt idx="910">
                  <c:v>9.1200000000000005E-4</c:v>
                </c:pt>
                <c:pt idx="911">
                  <c:v>8.5599999999999999E-4</c:v>
                </c:pt>
                <c:pt idx="912">
                  <c:v>4.4479999999999997E-4</c:v>
                </c:pt>
                <c:pt idx="913">
                  <c:v>8.160000000000001E-4</c:v>
                </c:pt>
                <c:pt idx="914">
                  <c:v>9.7599999999999998E-4</c:v>
                </c:pt>
                <c:pt idx="915">
                  <c:v>1.08E-3</c:v>
                </c:pt>
                <c:pt idx="916">
                  <c:v>6.9760000000000004E-4</c:v>
                </c:pt>
                <c:pt idx="917">
                  <c:v>7.000000000000001E-4</c:v>
                </c:pt>
                <c:pt idx="918">
                  <c:v>4.3600000000000003E-4</c:v>
                </c:pt>
                <c:pt idx="919">
                  <c:v>4.5040000000000005E-4</c:v>
                </c:pt>
                <c:pt idx="920">
                  <c:v>5.2400000000000005E-4</c:v>
                </c:pt>
                <c:pt idx="921">
                  <c:v>1.3439999999999999E-4</c:v>
                </c:pt>
                <c:pt idx="922">
                  <c:v>0</c:v>
                </c:pt>
                <c:pt idx="923">
                  <c:v>2.3999999999999998E-4</c:v>
                </c:pt>
                <c:pt idx="924">
                  <c:v>1.0399999999999999E-3</c:v>
                </c:pt>
                <c:pt idx="925">
                  <c:v>1.0160000000000002E-3</c:v>
                </c:pt>
                <c:pt idx="926">
                  <c:v>4.1920000000000005E-4</c:v>
                </c:pt>
                <c:pt idx="927">
                  <c:v>0</c:v>
                </c:pt>
                <c:pt idx="928">
                  <c:v>7.7760000000000004E-4</c:v>
                </c:pt>
                <c:pt idx="929">
                  <c:v>2.1120000000000002E-3</c:v>
                </c:pt>
                <c:pt idx="930">
                  <c:v>2.088E-3</c:v>
                </c:pt>
                <c:pt idx="931">
                  <c:v>1.312E-3</c:v>
                </c:pt>
                <c:pt idx="932">
                  <c:v>8.3200000000000003E-5</c:v>
                </c:pt>
                <c:pt idx="933">
                  <c:v>8.4000000000000009E-5</c:v>
                </c:pt>
                <c:pt idx="934">
                  <c:v>4.7200000000000003E-4</c:v>
                </c:pt>
                <c:pt idx="935">
                  <c:v>7.8720000000000005E-4</c:v>
                </c:pt>
                <c:pt idx="936">
                  <c:v>1.08E-3</c:v>
                </c:pt>
                <c:pt idx="937">
                  <c:v>9.9200000000000004E-4</c:v>
                </c:pt>
                <c:pt idx="938">
                  <c:v>5.2400000000000005E-4</c:v>
                </c:pt>
                <c:pt idx="939">
                  <c:v>1.896E-4</c:v>
                </c:pt>
                <c:pt idx="940">
                  <c:v>5.9040000000000004E-4</c:v>
                </c:pt>
                <c:pt idx="941">
                  <c:v>1.1360000000000001E-3</c:v>
                </c:pt>
                <c:pt idx="942">
                  <c:v>1.3600000000000001E-3</c:v>
                </c:pt>
                <c:pt idx="943">
                  <c:v>1.1039999999999999E-3</c:v>
                </c:pt>
                <c:pt idx="944">
                  <c:v>6.5120000000000011E-4</c:v>
                </c:pt>
                <c:pt idx="945">
                  <c:v>2.1679999999999998E-4</c:v>
                </c:pt>
                <c:pt idx="946">
                  <c:v>2.0880000000000001E-4</c:v>
                </c:pt>
                <c:pt idx="947">
                  <c:v>0</c:v>
                </c:pt>
                <c:pt idx="948">
                  <c:v>0</c:v>
                </c:pt>
                <c:pt idx="949">
                  <c:v>0</c:v>
                </c:pt>
                <c:pt idx="950">
                  <c:v>1.1840000000000002E-3</c:v>
                </c:pt>
                <c:pt idx="951">
                  <c:v>2.4240000000000004E-3</c:v>
                </c:pt>
                <c:pt idx="952">
                  <c:v>2.5920000000000001E-3</c:v>
                </c:pt>
                <c:pt idx="953">
                  <c:v>1.2720000000000001E-3</c:v>
                </c:pt>
                <c:pt idx="954">
                  <c:v>8.4800000000000001E-4</c:v>
                </c:pt>
                <c:pt idx="955">
                  <c:v>1.2720000000000001E-3</c:v>
                </c:pt>
                <c:pt idx="956">
                  <c:v>1.5520000000000002E-3</c:v>
                </c:pt>
                <c:pt idx="957">
                  <c:v>6.1680000000000003E-4</c:v>
                </c:pt>
                <c:pt idx="958">
                  <c:v>1.6080000000000001E-4</c:v>
                </c:pt>
                <c:pt idx="959">
                  <c:v>2.304E-5</c:v>
                </c:pt>
                <c:pt idx="960">
                  <c:v>2.0000000000000001E-4</c:v>
                </c:pt>
                <c:pt idx="961">
                  <c:v>1.04E-5</c:v>
                </c:pt>
                <c:pt idx="962">
                  <c:v>0</c:v>
                </c:pt>
                <c:pt idx="963">
                  <c:v>0</c:v>
                </c:pt>
                <c:pt idx="964">
                  <c:v>0</c:v>
                </c:pt>
                <c:pt idx="965">
                  <c:v>0</c:v>
                </c:pt>
                <c:pt idx="966">
                  <c:v>4.7679999999999999E-4</c:v>
                </c:pt>
                <c:pt idx="967">
                  <c:v>4.7999999999999996E-4</c:v>
                </c:pt>
                <c:pt idx="968">
                  <c:v>6.1600000000000001E-4</c:v>
                </c:pt>
                <c:pt idx="969">
                  <c:v>6.1440000000000008E-4</c:v>
                </c:pt>
                <c:pt idx="970">
                  <c:v>8.4800000000000001E-4</c:v>
                </c:pt>
                <c:pt idx="971">
                  <c:v>1.3760000000000001E-3</c:v>
                </c:pt>
                <c:pt idx="972">
                  <c:v>1.6559999999999999E-3</c:v>
                </c:pt>
                <c:pt idx="973">
                  <c:v>4.4799999999999999E-4</c:v>
                </c:pt>
                <c:pt idx="974">
                  <c:v>0</c:v>
                </c:pt>
                <c:pt idx="975">
                  <c:v>0</c:v>
                </c:pt>
                <c:pt idx="976">
                  <c:v>4.7200000000000003E-4</c:v>
                </c:pt>
                <c:pt idx="977">
                  <c:v>1.7680000000000003E-3</c:v>
                </c:pt>
                <c:pt idx="978">
                  <c:v>2.0720000000000001E-3</c:v>
                </c:pt>
                <c:pt idx="979">
                  <c:v>1.6480000000000002E-3</c:v>
                </c:pt>
                <c:pt idx="980">
                  <c:v>1.1039999999999999E-3</c:v>
                </c:pt>
                <c:pt idx="981">
                  <c:v>9.0399999999999996E-4</c:v>
                </c:pt>
                <c:pt idx="982">
                  <c:v>2.0080000000000002E-3</c:v>
                </c:pt>
                <c:pt idx="983">
                  <c:v>2.5200000000000001E-3</c:v>
                </c:pt>
                <c:pt idx="984">
                  <c:v>2.248E-3</c:v>
                </c:pt>
                <c:pt idx="985">
                  <c:v>1.2880000000000001E-3</c:v>
                </c:pt>
                <c:pt idx="986">
                  <c:v>3.8240000000000003E-4</c:v>
                </c:pt>
                <c:pt idx="987">
                  <c:v>9.3600000000000009E-4</c:v>
                </c:pt>
                <c:pt idx="988">
                  <c:v>1.176E-3</c:v>
                </c:pt>
                <c:pt idx="989">
                  <c:v>1.4080000000000002E-3</c:v>
                </c:pt>
                <c:pt idx="990">
                  <c:v>1.9840000000000001E-3</c:v>
                </c:pt>
                <c:pt idx="991">
                  <c:v>3.2320000000000005E-3</c:v>
                </c:pt>
                <c:pt idx="992">
                  <c:v>2.8800000000000002E-3</c:v>
                </c:pt>
                <c:pt idx="993">
                  <c:v>2.1919999999999999E-3</c:v>
                </c:pt>
                <c:pt idx="994">
                  <c:v>2.784E-3</c:v>
                </c:pt>
                <c:pt idx="995">
                  <c:v>2.8160000000000004E-3</c:v>
                </c:pt>
                <c:pt idx="996">
                  <c:v>2.232E-3</c:v>
                </c:pt>
                <c:pt idx="997">
                  <c:v>2.1280000000000001E-3</c:v>
                </c:pt>
                <c:pt idx="998">
                  <c:v>1.8720000000000002E-3</c:v>
                </c:pt>
                <c:pt idx="999">
                  <c:v>2.9120000000000001E-3</c:v>
                </c:pt>
                <c:pt idx="1000">
                  <c:v>4.248E-3</c:v>
                </c:pt>
              </c:numCache>
            </c:numRef>
          </c:val>
          <c:smooth val="1"/>
          <c:extLst>
            <c:ext xmlns:c16="http://schemas.microsoft.com/office/drawing/2014/chart" uri="{C3380CC4-5D6E-409C-BE32-E72D297353CC}">
              <c16:uniqueId val="{00000000-FC11-D746-9186-74179ECCA493}"/>
            </c:ext>
          </c:extLst>
        </c:ser>
        <c:ser>
          <c:idx val="2"/>
          <c:order val="1"/>
          <c:tx>
            <c:strRef>
              <c:f>Sheet1!$C$1</c:f>
              <c:strCache>
                <c:ptCount val="1"/>
                <c:pt idx="0">
                  <c:v>HPS</c:v>
                </c:pt>
              </c:strCache>
            </c:strRef>
          </c:tx>
          <c:spPr>
            <a:ln w="25400" cap="rnd">
              <a:solidFill>
                <a:srgbClr val="FFB300"/>
              </a:solidFill>
              <a:round/>
            </a:ln>
            <a:effectLst/>
          </c:spPr>
          <c:marker>
            <c:symbol val="none"/>
          </c:marker>
          <c:cat>
            <c:numRef>
              <c:f>Sheet1!$A$212:$A$1212</c:f>
              <c:numCache>
                <c:formatCode>General</c:formatCode>
                <c:ptCount val="1001"/>
                <c:pt idx="0">
                  <c:v>350</c:v>
                </c:pt>
                <c:pt idx="1">
                  <c:v>350.5</c:v>
                </c:pt>
                <c:pt idx="2">
                  <c:v>351</c:v>
                </c:pt>
                <c:pt idx="3">
                  <c:v>351.5</c:v>
                </c:pt>
                <c:pt idx="4">
                  <c:v>352</c:v>
                </c:pt>
                <c:pt idx="5">
                  <c:v>352.5</c:v>
                </c:pt>
                <c:pt idx="6">
                  <c:v>353</c:v>
                </c:pt>
                <c:pt idx="7">
                  <c:v>353.5</c:v>
                </c:pt>
                <c:pt idx="8">
                  <c:v>354</c:v>
                </c:pt>
                <c:pt idx="9">
                  <c:v>354.5</c:v>
                </c:pt>
                <c:pt idx="10">
                  <c:v>355</c:v>
                </c:pt>
                <c:pt idx="11">
                  <c:v>355.5</c:v>
                </c:pt>
                <c:pt idx="12">
                  <c:v>356</c:v>
                </c:pt>
                <c:pt idx="13">
                  <c:v>356.5</c:v>
                </c:pt>
                <c:pt idx="14">
                  <c:v>357</c:v>
                </c:pt>
                <c:pt idx="15">
                  <c:v>357.5</c:v>
                </c:pt>
                <c:pt idx="16">
                  <c:v>358</c:v>
                </c:pt>
                <c:pt idx="17">
                  <c:v>358.5</c:v>
                </c:pt>
                <c:pt idx="18">
                  <c:v>359</c:v>
                </c:pt>
                <c:pt idx="19">
                  <c:v>359.5</c:v>
                </c:pt>
                <c:pt idx="20">
                  <c:v>360</c:v>
                </c:pt>
                <c:pt idx="21">
                  <c:v>360.5</c:v>
                </c:pt>
                <c:pt idx="22">
                  <c:v>361</c:v>
                </c:pt>
                <c:pt idx="23">
                  <c:v>361.5</c:v>
                </c:pt>
                <c:pt idx="24">
                  <c:v>362</c:v>
                </c:pt>
                <c:pt idx="25">
                  <c:v>362.5</c:v>
                </c:pt>
                <c:pt idx="26">
                  <c:v>363</c:v>
                </c:pt>
                <c:pt idx="27">
                  <c:v>363.5</c:v>
                </c:pt>
                <c:pt idx="28">
                  <c:v>364</c:v>
                </c:pt>
                <c:pt idx="29">
                  <c:v>364.5</c:v>
                </c:pt>
                <c:pt idx="30">
                  <c:v>365</c:v>
                </c:pt>
                <c:pt idx="31">
                  <c:v>365.5</c:v>
                </c:pt>
                <c:pt idx="32">
                  <c:v>366</c:v>
                </c:pt>
                <c:pt idx="33">
                  <c:v>366.5</c:v>
                </c:pt>
                <c:pt idx="34">
                  <c:v>367</c:v>
                </c:pt>
                <c:pt idx="35">
                  <c:v>367.5</c:v>
                </c:pt>
                <c:pt idx="36">
                  <c:v>368</c:v>
                </c:pt>
                <c:pt idx="37">
                  <c:v>368.5</c:v>
                </c:pt>
                <c:pt idx="38">
                  <c:v>369</c:v>
                </c:pt>
                <c:pt idx="39">
                  <c:v>369.5</c:v>
                </c:pt>
                <c:pt idx="40">
                  <c:v>370</c:v>
                </c:pt>
                <c:pt idx="41">
                  <c:v>370.5</c:v>
                </c:pt>
                <c:pt idx="42">
                  <c:v>371</c:v>
                </c:pt>
                <c:pt idx="43">
                  <c:v>371.5</c:v>
                </c:pt>
                <c:pt idx="44">
                  <c:v>372</c:v>
                </c:pt>
                <c:pt idx="45">
                  <c:v>372.5</c:v>
                </c:pt>
                <c:pt idx="46">
                  <c:v>373</c:v>
                </c:pt>
                <c:pt idx="47">
                  <c:v>373.5</c:v>
                </c:pt>
                <c:pt idx="48">
                  <c:v>374</c:v>
                </c:pt>
                <c:pt idx="49">
                  <c:v>374.5</c:v>
                </c:pt>
                <c:pt idx="50">
                  <c:v>375</c:v>
                </c:pt>
                <c:pt idx="51">
                  <c:v>375.5</c:v>
                </c:pt>
                <c:pt idx="52">
                  <c:v>376</c:v>
                </c:pt>
                <c:pt idx="53">
                  <c:v>376.5</c:v>
                </c:pt>
                <c:pt idx="54">
                  <c:v>377</c:v>
                </c:pt>
                <c:pt idx="55">
                  <c:v>377.5</c:v>
                </c:pt>
                <c:pt idx="56">
                  <c:v>378</c:v>
                </c:pt>
                <c:pt idx="57">
                  <c:v>378.5</c:v>
                </c:pt>
                <c:pt idx="58">
                  <c:v>379</c:v>
                </c:pt>
                <c:pt idx="59">
                  <c:v>379.5</c:v>
                </c:pt>
                <c:pt idx="60">
                  <c:v>380</c:v>
                </c:pt>
                <c:pt idx="61">
                  <c:v>380.5</c:v>
                </c:pt>
                <c:pt idx="62">
                  <c:v>381</c:v>
                </c:pt>
                <c:pt idx="63">
                  <c:v>381.5</c:v>
                </c:pt>
                <c:pt idx="64">
                  <c:v>382</c:v>
                </c:pt>
                <c:pt idx="65">
                  <c:v>382.5</c:v>
                </c:pt>
                <c:pt idx="66">
                  <c:v>383</c:v>
                </c:pt>
                <c:pt idx="67">
                  <c:v>383.5</c:v>
                </c:pt>
                <c:pt idx="68">
                  <c:v>384</c:v>
                </c:pt>
                <c:pt idx="69">
                  <c:v>384.5</c:v>
                </c:pt>
                <c:pt idx="70">
                  <c:v>385</c:v>
                </c:pt>
                <c:pt idx="71">
                  <c:v>385.5</c:v>
                </c:pt>
                <c:pt idx="72">
                  <c:v>386</c:v>
                </c:pt>
                <c:pt idx="73">
                  <c:v>386.5</c:v>
                </c:pt>
                <c:pt idx="74">
                  <c:v>387</c:v>
                </c:pt>
                <c:pt idx="75">
                  <c:v>387.5</c:v>
                </c:pt>
                <c:pt idx="76">
                  <c:v>388</c:v>
                </c:pt>
                <c:pt idx="77">
                  <c:v>388.5</c:v>
                </c:pt>
                <c:pt idx="78">
                  <c:v>389</c:v>
                </c:pt>
                <c:pt idx="79">
                  <c:v>389.5</c:v>
                </c:pt>
                <c:pt idx="80">
                  <c:v>390</c:v>
                </c:pt>
                <c:pt idx="81">
                  <c:v>390.5</c:v>
                </c:pt>
                <c:pt idx="82">
                  <c:v>391</c:v>
                </c:pt>
                <c:pt idx="83">
                  <c:v>391.5</c:v>
                </c:pt>
                <c:pt idx="84">
                  <c:v>392</c:v>
                </c:pt>
                <c:pt idx="85">
                  <c:v>392.5</c:v>
                </c:pt>
                <c:pt idx="86">
                  <c:v>393</c:v>
                </c:pt>
                <c:pt idx="87">
                  <c:v>393.5</c:v>
                </c:pt>
                <c:pt idx="88">
                  <c:v>394</c:v>
                </c:pt>
                <c:pt idx="89">
                  <c:v>394.5</c:v>
                </c:pt>
                <c:pt idx="90">
                  <c:v>395</c:v>
                </c:pt>
                <c:pt idx="91">
                  <c:v>395.5</c:v>
                </c:pt>
                <c:pt idx="92">
                  <c:v>396</c:v>
                </c:pt>
                <c:pt idx="93">
                  <c:v>396.5</c:v>
                </c:pt>
                <c:pt idx="94">
                  <c:v>397</c:v>
                </c:pt>
                <c:pt idx="95">
                  <c:v>397.5</c:v>
                </c:pt>
                <c:pt idx="96">
                  <c:v>398</c:v>
                </c:pt>
                <c:pt idx="97">
                  <c:v>398.5</c:v>
                </c:pt>
                <c:pt idx="98">
                  <c:v>399</c:v>
                </c:pt>
                <c:pt idx="99">
                  <c:v>399.5</c:v>
                </c:pt>
                <c:pt idx="100">
                  <c:v>400</c:v>
                </c:pt>
                <c:pt idx="101">
                  <c:v>400.5</c:v>
                </c:pt>
                <c:pt idx="102">
                  <c:v>401</c:v>
                </c:pt>
                <c:pt idx="103">
                  <c:v>401.5</c:v>
                </c:pt>
                <c:pt idx="104">
                  <c:v>402</c:v>
                </c:pt>
                <c:pt idx="105">
                  <c:v>402.5</c:v>
                </c:pt>
                <c:pt idx="106">
                  <c:v>403</c:v>
                </c:pt>
                <c:pt idx="107">
                  <c:v>403.5</c:v>
                </c:pt>
                <c:pt idx="108">
                  <c:v>404</c:v>
                </c:pt>
                <c:pt idx="109">
                  <c:v>404.5</c:v>
                </c:pt>
                <c:pt idx="110">
                  <c:v>405</c:v>
                </c:pt>
                <c:pt idx="111">
                  <c:v>405.5</c:v>
                </c:pt>
                <c:pt idx="112">
                  <c:v>406</c:v>
                </c:pt>
                <c:pt idx="113">
                  <c:v>406.5</c:v>
                </c:pt>
                <c:pt idx="114">
                  <c:v>407</c:v>
                </c:pt>
                <c:pt idx="115">
                  <c:v>407.5</c:v>
                </c:pt>
                <c:pt idx="116">
                  <c:v>408</c:v>
                </c:pt>
                <c:pt idx="117">
                  <c:v>408.5</c:v>
                </c:pt>
                <c:pt idx="118">
                  <c:v>409</c:v>
                </c:pt>
                <c:pt idx="119">
                  <c:v>409.5</c:v>
                </c:pt>
                <c:pt idx="120">
                  <c:v>410</c:v>
                </c:pt>
                <c:pt idx="121">
                  <c:v>410.5</c:v>
                </c:pt>
                <c:pt idx="122">
                  <c:v>411</c:v>
                </c:pt>
                <c:pt idx="123">
                  <c:v>411.5</c:v>
                </c:pt>
                <c:pt idx="124">
                  <c:v>412</c:v>
                </c:pt>
                <c:pt idx="125">
                  <c:v>412.5</c:v>
                </c:pt>
                <c:pt idx="126">
                  <c:v>413</c:v>
                </c:pt>
                <c:pt idx="127">
                  <c:v>413.5</c:v>
                </c:pt>
                <c:pt idx="128">
                  <c:v>414</c:v>
                </c:pt>
                <c:pt idx="129">
                  <c:v>414.5</c:v>
                </c:pt>
                <c:pt idx="130">
                  <c:v>415</c:v>
                </c:pt>
                <c:pt idx="131">
                  <c:v>415.5</c:v>
                </c:pt>
                <c:pt idx="132">
                  <c:v>416</c:v>
                </c:pt>
                <c:pt idx="133">
                  <c:v>416.5</c:v>
                </c:pt>
                <c:pt idx="134">
                  <c:v>417</c:v>
                </c:pt>
                <c:pt idx="135">
                  <c:v>417.5</c:v>
                </c:pt>
                <c:pt idx="136">
                  <c:v>418</c:v>
                </c:pt>
                <c:pt idx="137">
                  <c:v>418.5</c:v>
                </c:pt>
                <c:pt idx="138">
                  <c:v>419</c:v>
                </c:pt>
                <c:pt idx="139">
                  <c:v>419.5</c:v>
                </c:pt>
                <c:pt idx="140">
                  <c:v>420</c:v>
                </c:pt>
                <c:pt idx="141">
                  <c:v>420.5</c:v>
                </c:pt>
                <c:pt idx="142">
                  <c:v>421</c:v>
                </c:pt>
                <c:pt idx="143">
                  <c:v>421.5</c:v>
                </c:pt>
                <c:pt idx="144">
                  <c:v>422</c:v>
                </c:pt>
                <c:pt idx="145">
                  <c:v>422.5</c:v>
                </c:pt>
                <c:pt idx="146">
                  <c:v>423</c:v>
                </c:pt>
                <c:pt idx="147">
                  <c:v>423.5</c:v>
                </c:pt>
                <c:pt idx="148">
                  <c:v>424</c:v>
                </c:pt>
                <c:pt idx="149">
                  <c:v>424.5</c:v>
                </c:pt>
                <c:pt idx="150">
                  <c:v>425</c:v>
                </c:pt>
                <c:pt idx="151">
                  <c:v>425.5</c:v>
                </c:pt>
                <c:pt idx="152">
                  <c:v>426</c:v>
                </c:pt>
                <c:pt idx="153">
                  <c:v>426.5</c:v>
                </c:pt>
                <c:pt idx="154">
                  <c:v>427</c:v>
                </c:pt>
                <c:pt idx="155">
                  <c:v>427.5</c:v>
                </c:pt>
                <c:pt idx="156">
                  <c:v>428</c:v>
                </c:pt>
                <c:pt idx="157">
                  <c:v>428.5</c:v>
                </c:pt>
                <c:pt idx="158">
                  <c:v>429</c:v>
                </c:pt>
                <c:pt idx="159">
                  <c:v>429.5</c:v>
                </c:pt>
                <c:pt idx="160">
                  <c:v>430</c:v>
                </c:pt>
                <c:pt idx="161">
                  <c:v>430.5</c:v>
                </c:pt>
                <c:pt idx="162">
                  <c:v>431</c:v>
                </c:pt>
                <c:pt idx="163">
                  <c:v>431.5</c:v>
                </c:pt>
                <c:pt idx="164">
                  <c:v>432</c:v>
                </c:pt>
                <c:pt idx="165">
                  <c:v>432.5</c:v>
                </c:pt>
                <c:pt idx="166">
                  <c:v>433</c:v>
                </c:pt>
                <c:pt idx="167">
                  <c:v>433.5</c:v>
                </c:pt>
                <c:pt idx="168">
                  <c:v>434</c:v>
                </c:pt>
                <c:pt idx="169">
                  <c:v>434.5</c:v>
                </c:pt>
                <c:pt idx="170">
                  <c:v>435</c:v>
                </c:pt>
                <c:pt idx="171">
                  <c:v>435.5</c:v>
                </c:pt>
                <c:pt idx="172">
                  <c:v>436</c:v>
                </c:pt>
                <c:pt idx="173">
                  <c:v>436.5</c:v>
                </c:pt>
                <c:pt idx="174">
                  <c:v>437</c:v>
                </c:pt>
                <c:pt idx="175">
                  <c:v>437.5</c:v>
                </c:pt>
                <c:pt idx="176">
                  <c:v>438</c:v>
                </c:pt>
                <c:pt idx="177">
                  <c:v>438.5</c:v>
                </c:pt>
                <c:pt idx="178">
                  <c:v>439</c:v>
                </c:pt>
                <c:pt idx="179">
                  <c:v>439.5</c:v>
                </c:pt>
                <c:pt idx="180">
                  <c:v>440</c:v>
                </c:pt>
                <c:pt idx="181">
                  <c:v>440.5</c:v>
                </c:pt>
                <c:pt idx="182">
                  <c:v>441</c:v>
                </c:pt>
                <c:pt idx="183">
                  <c:v>441.5</c:v>
                </c:pt>
                <c:pt idx="184">
                  <c:v>442</c:v>
                </c:pt>
                <c:pt idx="185">
                  <c:v>442.5</c:v>
                </c:pt>
                <c:pt idx="186">
                  <c:v>443</c:v>
                </c:pt>
                <c:pt idx="187">
                  <c:v>443.5</c:v>
                </c:pt>
                <c:pt idx="188">
                  <c:v>444</c:v>
                </c:pt>
                <c:pt idx="189">
                  <c:v>444.5</c:v>
                </c:pt>
                <c:pt idx="190">
                  <c:v>445</c:v>
                </c:pt>
                <c:pt idx="191">
                  <c:v>445.5</c:v>
                </c:pt>
                <c:pt idx="192">
                  <c:v>446</c:v>
                </c:pt>
                <c:pt idx="193">
                  <c:v>446.5</c:v>
                </c:pt>
                <c:pt idx="194">
                  <c:v>447</c:v>
                </c:pt>
                <c:pt idx="195">
                  <c:v>447.5</c:v>
                </c:pt>
                <c:pt idx="196">
                  <c:v>448</c:v>
                </c:pt>
                <c:pt idx="197">
                  <c:v>448.5</c:v>
                </c:pt>
                <c:pt idx="198">
                  <c:v>449</c:v>
                </c:pt>
                <c:pt idx="199">
                  <c:v>449.5</c:v>
                </c:pt>
                <c:pt idx="200">
                  <c:v>450</c:v>
                </c:pt>
                <c:pt idx="201">
                  <c:v>450.5</c:v>
                </c:pt>
                <c:pt idx="202">
                  <c:v>451</c:v>
                </c:pt>
                <c:pt idx="203">
                  <c:v>451.5</c:v>
                </c:pt>
                <c:pt idx="204">
                  <c:v>452</c:v>
                </c:pt>
                <c:pt idx="205">
                  <c:v>452.5</c:v>
                </c:pt>
                <c:pt idx="206">
                  <c:v>453</c:v>
                </c:pt>
                <c:pt idx="207">
                  <c:v>453.5</c:v>
                </c:pt>
                <c:pt idx="208">
                  <c:v>454</c:v>
                </c:pt>
                <c:pt idx="209">
                  <c:v>454.5</c:v>
                </c:pt>
                <c:pt idx="210">
                  <c:v>455</c:v>
                </c:pt>
                <c:pt idx="211">
                  <c:v>455.5</c:v>
                </c:pt>
                <c:pt idx="212">
                  <c:v>456</c:v>
                </c:pt>
                <c:pt idx="213">
                  <c:v>456.5</c:v>
                </c:pt>
                <c:pt idx="214">
                  <c:v>457</c:v>
                </c:pt>
                <c:pt idx="215">
                  <c:v>457.5</c:v>
                </c:pt>
                <c:pt idx="216">
                  <c:v>458</c:v>
                </c:pt>
                <c:pt idx="217">
                  <c:v>458.5</c:v>
                </c:pt>
                <c:pt idx="218">
                  <c:v>459</c:v>
                </c:pt>
                <c:pt idx="219">
                  <c:v>459.5</c:v>
                </c:pt>
                <c:pt idx="220">
                  <c:v>460</c:v>
                </c:pt>
                <c:pt idx="221">
                  <c:v>460.5</c:v>
                </c:pt>
                <c:pt idx="222">
                  <c:v>461</c:v>
                </c:pt>
                <c:pt idx="223">
                  <c:v>461.5</c:v>
                </c:pt>
                <c:pt idx="224">
                  <c:v>462</c:v>
                </c:pt>
                <c:pt idx="225">
                  <c:v>462.5</c:v>
                </c:pt>
                <c:pt idx="226">
                  <c:v>463</c:v>
                </c:pt>
                <c:pt idx="227">
                  <c:v>463.5</c:v>
                </c:pt>
                <c:pt idx="228">
                  <c:v>464</c:v>
                </c:pt>
                <c:pt idx="229">
                  <c:v>464.5</c:v>
                </c:pt>
                <c:pt idx="230">
                  <c:v>465</c:v>
                </c:pt>
                <c:pt idx="231">
                  <c:v>465.5</c:v>
                </c:pt>
                <c:pt idx="232">
                  <c:v>466</c:v>
                </c:pt>
                <c:pt idx="233">
                  <c:v>466.5</c:v>
                </c:pt>
                <c:pt idx="234">
                  <c:v>467</c:v>
                </c:pt>
                <c:pt idx="235">
                  <c:v>467.5</c:v>
                </c:pt>
                <c:pt idx="236">
                  <c:v>468</c:v>
                </c:pt>
                <c:pt idx="237">
                  <c:v>468.5</c:v>
                </c:pt>
                <c:pt idx="238">
                  <c:v>469</c:v>
                </c:pt>
                <c:pt idx="239">
                  <c:v>469.5</c:v>
                </c:pt>
                <c:pt idx="240">
                  <c:v>470</c:v>
                </c:pt>
                <c:pt idx="241">
                  <c:v>470.5</c:v>
                </c:pt>
                <c:pt idx="242">
                  <c:v>471</c:v>
                </c:pt>
                <c:pt idx="243">
                  <c:v>471.5</c:v>
                </c:pt>
                <c:pt idx="244">
                  <c:v>472</c:v>
                </c:pt>
                <c:pt idx="245">
                  <c:v>472.5</c:v>
                </c:pt>
                <c:pt idx="246">
                  <c:v>473</c:v>
                </c:pt>
                <c:pt idx="247">
                  <c:v>473.5</c:v>
                </c:pt>
                <c:pt idx="248">
                  <c:v>474</c:v>
                </c:pt>
                <c:pt idx="249">
                  <c:v>474.5</c:v>
                </c:pt>
                <c:pt idx="250">
                  <c:v>475</c:v>
                </c:pt>
                <c:pt idx="251">
                  <c:v>475.5</c:v>
                </c:pt>
                <c:pt idx="252">
                  <c:v>476</c:v>
                </c:pt>
                <c:pt idx="253">
                  <c:v>476.5</c:v>
                </c:pt>
                <c:pt idx="254">
                  <c:v>477</c:v>
                </c:pt>
                <c:pt idx="255">
                  <c:v>477.5</c:v>
                </c:pt>
                <c:pt idx="256">
                  <c:v>478</c:v>
                </c:pt>
                <c:pt idx="257">
                  <c:v>478.5</c:v>
                </c:pt>
                <c:pt idx="258">
                  <c:v>479</c:v>
                </c:pt>
                <c:pt idx="259">
                  <c:v>479.5</c:v>
                </c:pt>
                <c:pt idx="260">
                  <c:v>480</c:v>
                </c:pt>
                <c:pt idx="261">
                  <c:v>480.5</c:v>
                </c:pt>
                <c:pt idx="262">
                  <c:v>481</c:v>
                </c:pt>
                <c:pt idx="263">
                  <c:v>481.5</c:v>
                </c:pt>
                <c:pt idx="264">
                  <c:v>482</c:v>
                </c:pt>
                <c:pt idx="265">
                  <c:v>482.5</c:v>
                </c:pt>
                <c:pt idx="266">
                  <c:v>483</c:v>
                </c:pt>
                <c:pt idx="267">
                  <c:v>483.5</c:v>
                </c:pt>
                <c:pt idx="268">
                  <c:v>484</c:v>
                </c:pt>
                <c:pt idx="269">
                  <c:v>484.5</c:v>
                </c:pt>
                <c:pt idx="270">
                  <c:v>485</c:v>
                </c:pt>
                <c:pt idx="271">
                  <c:v>485.5</c:v>
                </c:pt>
                <c:pt idx="272">
                  <c:v>486</c:v>
                </c:pt>
                <c:pt idx="273">
                  <c:v>486.5</c:v>
                </c:pt>
                <c:pt idx="274">
                  <c:v>487</c:v>
                </c:pt>
                <c:pt idx="275">
                  <c:v>487.5</c:v>
                </c:pt>
                <c:pt idx="276">
                  <c:v>488</c:v>
                </c:pt>
                <c:pt idx="277">
                  <c:v>488.5</c:v>
                </c:pt>
                <c:pt idx="278">
                  <c:v>489</c:v>
                </c:pt>
                <c:pt idx="279">
                  <c:v>489.5</c:v>
                </c:pt>
                <c:pt idx="280">
                  <c:v>490</c:v>
                </c:pt>
                <c:pt idx="281">
                  <c:v>490.5</c:v>
                </c:pt>
                <c:pt idx="282">
                  <c:v>491</c:v>
                </c:pt>
                <c:pt idx="283">
                  <c:v>491.5</c:v>
                </c:pt>
                <c:pt idx="284">
                  <c:v>492</c:v>
                </c:pt>
                <c:pt idx="285">
                  <c:v>492.5</c:v>
                </c:pt>
                <c:pt idx="286">
                  <c:v>493</c:v>
                </c:pt>
                <c:pt idx="287">
                  <c:v>493.5</c:v>
                </c:pt>
                <c:pt idx="288">
                  <c:v>494</c:v>
                </c:pt>
                <c:pt idx="289">
                  <c:v>494.5</c:v>
                </c:pt>
                <c:pt idx="290">
                  <c:v>495</c:v>
                </c:pt>
                <c:pt idx="291">
                  <c:v>495.5</c:v>
                </c:pt>
                <c:pt idx="292">
                  <c:v>496</c:v>
                </c:pt>
                <c:pt idx="293">
                  <c:v>496.5</c:v>
                </c:pt>
                <c:pt idx="294">
                  <c:v>497</c:v>
                </c:pt>
                <c:pt idx="295">
                  <c:v>497.5</c:v>
                </c:pt>
                <c:pt idx="296">
                  <c:v>498</c:v>
                </c:pt>
                <c:pt idx="297">
                  <c:v>498.5</c:v>
                </c:pt>
                <c:pt idx="298">
                  <c:v>499</c:v>
                </c:pt>
                <c:pt idx="299">
                  <c:v>499.5</c:v>
                </c:pt>
                <c:pt idx="300">
                  <c:v>500</c:v>
                </c:pt>
                <c:pt idx="301">
                  <c:v>500.5</c:v>
                </c:pt>
                <c:pt idx="302">
                  <c:v>501</c:v>
                </c:pt>
                <c:pt idx="303">
                  <c:v>501.5</c:v>
                </c:pt>
                <c:pt idx="304">
                  <c:v>502</c:v>
                </c:pt>
                <c:pt idx="305">
                  <c:v>502.5</c:v>
                </c:pt>
                <c:pt idx="306">
                  <c:v>503</c:v>
                </c:pt>
                <c:pt idx="307">
                  <c:v>503.5</c:v>
                </c:pt>
                <c:pt idx="308">
                  <c:v>504</c:v>
                </c:pt>
                <c:pt idx="309">
                  <c:v>504.5</c:v>
                </c:pt>
                <c:pt idx="310">
                  <c:v>505</c:v>
                </c:pt>
                <c:pt idx="311">
                  <c:v>505.5</c:v>
                </c:pt>
                <c:pt idx="312">
                  <c:v>506</c:v>
                </c:pt>
                <c:pt idx="313">
                  <c:v>506.5</c:v>
                </c:pt>
                <c:pt idx="314">
                  <c:v>507</c:v>
                </c:pt>
                <c:pt idx="315">
                  <c:v>507.5</c:v>
                </c:pt>
                <c:pt idx="316">
                  <c:v>508</c:v>
                </c:pt>
                <c:pt idx="317">
                  <c:v>508.5</c:v>
                </c:pt>
                <c:pt idx="318">
                  <c:v>509</c:v>
                </c:pt>
                <c:pt idx="319">
                  <c:v>509.5</c:v>
                </c:pt>
                <c:pt idx="320">
                  <c:v>510</c:v>
                </c:pt>
                <c:pt idx="321">
                  <c:v>510.5</c:v>
                </c:pt>
                <c:pt idx="322">
                  <c:v>511</c:v>
                </c:pt>
                <c:pt idx="323">
                  <c:v>511.5</c:v>
                </c:pt>
                <c:pt idx="324">
                  <c:v>512</c:v>
                </c:pt>
                <c:pt idx="325">
                  <c:v>512.5</c:v>
                </c:pt>
                <c:pt idx="326">
                  <c:v>513</c:v>
                </c:pt>
                <c:pt idx="327">
                  <c:v>513.5</c:v>
                </c:pt>
                <c:pt idx="328">
                  <c:v>514</c:v>
                </c:pt>
                <c:pt idx="329">
                  <c:v>514.5</c:v>
                </c:pt>
                <c:pt idx="330">
                  <c:v>515</c:v>
                </c:pt>
                <c:pt idx="331">
                  <c:v>515.5</c:v>
                </c:pt>
                <c:pt idx="332">
                  <c:v>516</c:v>
                </c:pt>
                <c:pt idx="333">
                  <c:v>516.5</c:v>
                </c:pt>
                <c:pt idx="334">
                  <c:v>517</c:v>
                </c:pt>
                <c:pt idx="335">
                  <c:v>517.5</c:v>
                </c:pt>
                <c:pt idx="336">
                  <c:v>518</c:v>
                </c:pt>
                <c:pt idx="337">
                  <c:v>518.5</c:v>
                </c:pt>
                <c:pt idx="338">
                  <c:v>519</c:v>
                </c:pt>
                <c:pt idx="339">
                  <c:v>519.5</c:v>
                </c:pt>
                <c:pt idx="340">
                  <c:v>520</c:v>
                </c:pt>
                <c:pt idx="341">
                  <c:v>520.5</c:v>
                </c:pt>
                <c:pt idx="342">
                  <c:v>521</c:v>
                </c:pt>
                <c:pt idx="343">
                  <c:v>521.5</c:v>
                </c:pt>
                <c:pt idx="344">
                  <c:v>522</c:v>
                </c:pt>
                <c:pt idx="345">
                  <c:v>522.5</c:v>
                </c:pt>
                <c:pt idx="346">
                  <c:v>523</c:v>
                </c:pt>
                <c:pt idx="347">
                  <c:v>523.5</c:v>
                </c:pt>
                <c:pt idx="348">
                  <c:v>524</c:v>
                </c:pt>
                <c:pt idx="349">
                  <c:v>524.5</c:v>
                </c:pt>
                <c:pt idx="350">
                  <c:v>525</c:v>
                </c:pt>
                <c:pt idx="351">
                  <c:v>525.5</c:v>
                </c:pt>
                <c:pt idx="352">
                  <c:v>526</c:v>
                </c:pt>
                <c:pt idx="353">
                  <c:v>526.5</c:v>
                </c:pt>
                <c:pt idx="354">
                  <c:v>527</c:v>
                </c:pt>
                <c:pt idx="355">
                  <c:v>527.5</c:v>
                </c:pt>
                <c:pt idx="356">
                  <c:v>528</c:v>
                </c:pt>
                <c:pt idx="357">
                  <c:v>528.5</c:v>
                </c:pt>
                <c:pt idx="358">
                  <c:v>529</c:v>
                </c:pt>
                <c:pt idx="359">
                  <c:v>529.5</c:v>
                </c:pt>
                <c:pt idx="360">
                  <c:v>530</c:v>
                </c:pt>
                <c:pt idx="361">
                  <c:v>530.5</c:v>
                </c:pt>
                <c:pt idx="362">
                  <c:v>531</c:v>
                </c:pt>
                <c:pt idx="363">
                  <c:v>531.5</c:v>
                </c:pt>
                <c:pt idx="364">
                  <c:v>532</c:v>
                </c:pt>
                <c:pt idx="365">
                  <c:v>532.5</c:v>
                </c:pt>
                <c:pt idx="366">
                  <c:v>533</c:v>
                </c:pt>
                <c:pt idx="367">
                  <c:v>533.5</c:v>
                </c:pt>
                <c:pt idx="368">
                  <c:v>534</c:v>
                </c:pt>
                <c:pt idx="369">
                  <c:v>534.5</c:v>
                </c:pt>
                <c:pt idx="370">
                  <c:v>535</c:v>
                </c:pt>
                <c:pt idx="371">
                  <c:v>535.5</c:v>
                </c:pt>
                <c:pt idx="372">
                  <c:v>536</c:v>
                </c:pt>
                <c:pt idx="373">
                  <c:v>536.5</c:v>
                </c:pt>
                <c:pt idx="374">
                  <c:v>537</c:v>
                </c:pt>
                <c:pt idx="375">
                  <c:v>537.5</c:v>
                </c:pt>
                <c:pt idx="376">
                  <c:v>538</c:v>
                </c:pt>
                <c:pt idx="377">
                  <c:v>538.5</c:v>
                </c:pt>
                <c:pt idx="378">
                  <c:v>539</c:v>
                </c:pt>
                <c:pt idx="379">
                  <c:v>539.5</c:v>
                </c:pt>
                <c:pt idx="380">
                  <c:v>540</c:v>
                </c:pt>
                <c:pt idx="381">
                  <c:v>540.5</c:v>
                </c:pt>
                <c:pt idx="382">
                  <c:v>541</c:v>
                </c:pt>
                <c:pt idx="383">
                  <c:v>541.5</c:v>
                </c:pt>
                <c:pt idx="384">
                  <c:v>542</c:v>
                </c:pt>
                <c:pt idx="385">
                  <c:v>542.5</c:v>
                </c:pt>
                <c:pt idx="386">
                  <c:v>543</c:v>
                </c:pt>
                <c:pt idx="387">
                  <c:v>543.5</c:v>
                </c:pt>
                <c:pt idx="388">
                  <c:v>544</c:v>
                </c:pt>
                <c:pt idx="389">
                  <c:v>544.5</c:v>
                </c:pt>
                <c:pt idx="390">
                  <c:v>545</c:v>
                </c:pt>
                <c:pt idx="391">
                  <c:v>545.5</c:v>
                </c:pt>
                <c:pt idx="392">
                  <c:v>546</c:v>
                </c:pt>
                <c:pt idx="393">
                  <c:v>546.5</c:v>
                </c:pt>
                <c:pt idx="394">
                  <c:v>547</c:v>
                </c:pt>
                <c:pt idx="395">
                  <c:v>547.5</c:v>
                </c:pt>
                <c:pt idx="396">
                  <c:v>548</c:v>
                </c:pt>
                <c:pt idx="397">
                  <c:v>548.5</c:v>
                </c:pt>
                <c:pt idx="398">
                  <c:v>549</c:v>
                </c:pt>
                <c:pt idx="399">
                  <c:v>549.5</c:v>
                </c:pt>
                <c:pt idx="400">
                  <c:v>550</c:v>
                </c:pt>
                <c:pt idx="401">
                  <c:v>550.5</c:v>
                </c:pt>
                <c:pt idx="402">
                  <c:v>551</c:v>
                </c:pt>
                <c:pt idx="403">
                  <c:v>551.5</c:v>
                </c:pt>
                <c:pt idx="404">
                  <c:v>552</c:v>
                </c:pt>
                <c:pt idx="405">
                  <c:v>552.5</c:v>
                </c:pt>
                <c:pt idx="406">
                  <c:v>553</c:v>
                </c:pt>
                <c:pt idx="407">
                  <c:v>553.5</c:v>
                </c:pt>
                <c:pt idx="408">
                  <c:v>554</c:v>
                </c:pt>
                <c:pt idx="409">
                  <c:v>554.5</c:v>
                </c:pt>
                <c:pt idx="410">
                  <c:v>555</c:v>
                </c:pt>
                <c:pt idx="411">
                  <c:v>555.5</c:v>
                </c:pt>
                <c:pt idx="412">
                  <c:v>556</c:v>
                </c:pt>
                <c:pt idx="413">
                  <c:v>556.5</c:v>
                </c:pt>
                <c:pt idx="414">
                  <c:v>557</c:v>
                </c:pt>
                <c:pt idx="415">
                  <c:v>557.5</c:v>
                </c:pt>
                <c:pt idx="416">
                  <c:v>558</c:v>
                </c:pt>
                <c:pt idx="417">
                  <c:v>558.5</c:v>
                </c:pt>
                <c:pt idx="418">
                  <c:v>559</c:v>
                </c:pt>
                <c:pt idx="419">
                  <c:v>559.5</c:v>
                </c:pt>
                <c:pt idx="420">
                  <c:v>560</c:v>
                </c:pt>
                <c:pt idx="421">
                  <c:v>560.5</c:v>
                </c:pt>
                <c:pt idx="422">
                  <c:v>561</c:v>
                </c:pt>
                <c:pt idx="423">
                  <c:v>561.5</c:v>
                </c:pt>
                <c:pt idx="424">
                  <c:v>562</c:v>
                </c:pt>
                <c:pt idx="425">
                  <c:v>562.5</c:v>
                </c:pt>
                <c:pt idx="426">
                  <c:v>563</c:v>
                </c:pt>
                <c:pt idx="427">
                  <c:v>563.5</c:v>
                </c:pt>
                <c:pt idx="428">
                  <c:v>564</c:v>
                </c:pt>
                <c:pt idx="429">
                  <c:v>564.5</c:v>
                </c:pt>
                <c:pt idx="430">
                  <c:v>565</c:v>
                </c:pt>
                <c:pt idx="431">
                  <c:v>565.5</c:v>
                </c:pt>
                <c:pt idx="432">
                  <c:v>566</c:v>
                </c:pt>
                <c:pt idx="433">
                  <c:v>566.5</c:v>
                </c:pt>
                <c:pt idx="434">
                  <c:v>567</c:v>
                </c:pt>
                <c:pt idx="435">
                  <c:v>567.5</c:v>
                </c:pt>
                <c:pt idx="436">
                  <c:v>568</c:v>
                </c:pt>
                <c:pt idx="437">
                  <c:v>568.5</c:v>
                </c:pt>
                <c:pt idx="438">
                  <c:v>569</c:v>
                </c:pt>
                <c:pt idx="439">
                  <c:v>569.5</c:v>
                </c:pt>
                <c:pt idx="440">
                  <c:v>570</c:v>
                </c:pt>
                <c:pt idx="441">
                  <c:v>570.5</c:v>
                </c:pt>
                <c:pt idx="442">
                  <c:v>571</c:v>
                </c:pt>
                <c:pt idx="443">
                  <c:v>571.5</c:v>
                </c:pt>
                <c:pt idx="444">
                  <c:v>572</c:v>
                </c:pt>
                <c:pt idx="445">
                  <c:v>572.5</c:v>
                </c:pt>
                <c:pt idx="446">
                  <c:v>573</c:v>
                </c:pt>
                <c:pt idx="447">
                  <c:v>573.5</c:v>
                </c:pt>
                <c:pt idx="448">
                  <c:v>574</c:v>
                </c:pt>
                <c:pt idx="449">
                  <c:v>574.5</c:v>
                </c:pt>
                <c:pt idx="450">
                  <c:v>575</c:v>
                </c:pt>
                <c:pt idx="451">
                  <c:v>575.5</c:v>
                </c:pt>
                <c:pt idx="452">
                  <c:v>576</c:v>
                </c:pt>
                <c:pt idx="453">
                  <c:v>576.5</c:v>
                </c:pt>
                <c:pt idx="454">
                  <c:v>577</c:v>
                </c:pt>
                <c:pt idx="455">
                  <c:v>577.5</c:v>
                </c:pt>
                <c:pt idx="456">
                  <c:v>578</c:v>
                </c:pt>
                <c:pt idx="457">
                  <c:v>578.5</c:v>
                </c:pt>
                <c:pt idx="458">
                  <c:v>579</c:v>
                </c:pt>
                <c:pt idx="459">
                  <c:v>579.5</c:v>
                </c:pt>
                <c:pt idx="460">
                  <c:v>580</c:v>
                </c:pt>
                <c:pt idx="461">
                  <c:v>580.5</c:v>
                </c:pt>
                <c:pt idx="462">
                  <c:v>581</c:v>
                </c:pt>
                <c:pt idx="463">
                  <c:v>581.5</c:v>
                </c:pt>
                <c:pt idx="464">
                  <c:v>582</c:v>
                </c:pt>
                <c:pt idx="465">
                  <c:v>582.5</c:v>
                </c:pt>
                <c:pt idx="466">
                  <c:v>583</c:v>
                </c:pt>
                <c:pt idx="467">
                  <c:v>583.5</c:v>
                </c:pt>
                <c:pt idx="468">
                  <c:v>584</c:v>
                </c:pt>
                <c:pt idx="469">
                  <c:v>584.5</c:v>
                </c:pt>
                <c:pt idx="470">
                  <c:v>585</c:v>
                </c:pt>
                <c:pt idx="471">
                  <c:v>585.5</c:v>
                </c:pt>
                <c:pt idx="472">
                  <c:v>586</c:v>
                </c:pt>
                <c:pt idx="473">
                  <c:v>586.5</c:v>
                </c:pt>
                <c:pt idx="474">
                  <c:v>587</c:v>
                </c:pt>
                <c:pt idx="475">
                  <c:v>587.5</c:v>
                </c:pt>
                <c:pt idx="476">
                  <c:v>588</c:v>
                </c:pt>
                <c:pt idx="477">
                  <c:v>588.5</c:v>
                </c:pt>
                <c:pt idx="478">
                  <c:v>589</c:v>
                </c:pt>
                <c:pt idx="479">
                  <c:v>589.5</c:v>
                </c:pt>
                <c:pt idx="480">
                  <c:v>590</c:v>
                </c:pt>
                <c:pt idx="481">
                  <c:v>590.5</c:v>
                </c:pt>
                <c:pt idx="482">
                  <c:v>591</c:v>
                </c:pt>
                <c:pt idx="483">
                  <c:v>591.5</c:v>
                </c:pt>
                <c:pt idx="484">
                  <c:v>592</c:v>
                </c:pt>
                <c:pt idx="485">
                  <c:v>592.5</c:v>
                </c:pt>
                <c:pt idx="486">
                  <c:v>593</c:v>
                </c:pt>
                <c:pt idx="487">
                  <c:v>593.5</c:v>
                </c:pt>
                <c:pt idx="488">
                  <c:v>594</c:v>
                </c:pt>
                <c:pt idx="489">
                  <c:v>594.5</c:v>
                </c:pt>
                <c:pt idx="490">
                  <c:v>595</c:v>
                </c:pt>
                <c:pt idx="491">
                  <c:v>595.5</c:v>
                </c:pt>
                <c:pt idx="492">
                  <c:v>596</c:v>
                </c:pt>
                <c:pt idx="493">
                  <c:v>596.5</c:v>
                </c:pt>
                <c:pt idx="494">
                  <c:v>597</c:v>
                </c:pt>
                <c:pt idx="495">
                  <c:v>597.5</c:v>
                </c:pt>
                <c:pt idx="496">
                  <c:v>598</c:v>
                </c:pt>
                <c:pt idx="497">
                  <c:v>598.5</c:v>
                </c:pt>
                <c:pt idx="498">
                  <c:v>599</c:v>
                </c:pt>
                <c:pt idx="499">
                  <c:v>599.5</c:v>
                </c:pt>
                <c:pt idx="500">
                  <c:v>600</c:v>
                </c:pt>
                <c:pt idx="501">
                  <c:v>600.5</c:v>
                </c:pt>
                <c:pt idx="502">
                  <c:v>601</c:v>
                </c:pt>
                <c:pt idx="503">
                  <c:v>601.5</c:v>
                </c:pt>
                <c:pt idx="504">
                  <c:v>602</c:v>
                </c:pt>
                <c:pt idx="505">
                  <c:v>602.5</c:v>
                </c:pt>
                <c:pt idx="506">
                  <c:v>603</c:v>
                </c:pt>
                <c:pt idx="507">
                  <c:v>603.5</c:v>
                </c:pt>
                <c:pt idx="508">
                  <c:v>604</c:v>
                </c:pt>
                <c:pt idx="509">
                  <c:v>604.5</c:v>
                </c:pt>
                <c:pt idx="510">
                  <c:v>605</c:v>
                </c:pt>
                <c:pt idx="511">
                  <c:v>605.5</c:v>
                </c:pt>
                <c:pt idx="512">
                  <c:v>606</c:v>
                </c:pt>
                <c:pt idx="513">
                  <c:v>606.5</c:v>
                </c:pt>
                <c:pt idx="514">
                  <c:v>607</c:v>
                </c:pt>
                <c:pt idx="515">
                  <c:v>607.5</c:v>
                </c:pt>
                <c:pt idx="516">
                  <c:v>608</c:v>
                </c:pt>
                <c:pt idx="517">
                  <c:v>608.5</c:v>
                </c:pt>
                <c:pt idx="518">
                  <c:v>609</c:v>
                </c:pt>
                <c:pt idx="519">
                  <c:v>609.5</c:v>
                </c:pt>
                <c:pt idx="520">
                  <c:v>610</c:v>
                </c:pt>
                <c:pt idx="521">
                  <c:v>610.5</c:v>
                </c:pt>
                <c:pt idx="522">
                  <c:v>611</c:v>
                </c:pt>
                <c:pt idx="523">
                  <c:v>611.5</c:v>
                </c:pt>
                <c:pt idx="524">
                  <c:v>612</c:v>
                </c:pt>
                <c:pt idx="525">
                  <c:v>612.5</c:v>
                </c:pt>
                <c:pt idx="526">
                  <c:v>613</c:v>
                </c:pt>
                <c:pt idx="527">
                  <c:v>613.5</c:v>
                </c:pt>
                <c:pt idx="528">
                  <c:v>614</c:v>
                </c:pt>
                <c:pt idx="529">
                  <c:v>614.5</c:v>
                </c:pt>
                <c:pt idx="530">
                  <c:v>615</c:v>
                </c:pt>
                <c:pt idx="531">
                  <c:v>615.5</c:v>
                </c:pt>
                <c:pt idx="532">
                  <c:v>616</c:v>
                </c:pt>
                <c:pt idx="533">
                  <c:v>616.5</c:v>
                </c:pt>
                <c:pt idx="534">
                  <c:v>617</c:v>
                </c:pt>
                <c:pt idx="535">
                  <c:v>617.5</c:v>
                </c:pt>
                <c:pt idx="536">
                  <c:v>618</c:v>
                </c:pt>
                <c:pt idx="537">
                  <c:v>618.5</c:v>
                </c:pt>
                <c:pt idx="538">
                  <c:v>619</c:v>
                </c:pt>
                <c:pt idx="539">
                  <c:v>619.5</c:v>
                </c:pt>
                <c:pt idx="540">
                  <c:v>620</c:v>
                </c:pt>
                <c:pt idx="541">
                  <c:v>620.5</c:v>
                </c:pt>
                <c:pt idx="542">
                  <c:v>621</c:v>
                </c:pt>
                <c:pt idx="543">
                  <c:v>621.5</c:v>
                </c:pt>
                <c:pt idx="544">
                  <c:v>622</c:v>
                </c:pt>
                <c:pt idx="545">
                  <c:v>622.5</c:v>
                </c:pt>
                <c:pt idx="546">
                  <c:v>623</c:v>
                </c:pt>
                <c:pt idx="547">
                  <c:v>623.5</c:v>
                </c:pt>
                <c:pt idx="548">
                  <c:v>624</c:v>
                </c:pt>
                <c:pt idx="549">
                  <c:v>624.5</c:v>
                </c:pt>
                <c:pt idx="550">
                  <c:v>625</c:v>
                </c:pt>
                <c:pt idx="551">
                  <c:v>625.5</c:v>
                </c:pt>
                <c:pt idx="552">
                  <c:v>626</c:v>
                </c:pt>
                <c:pt idx="553">
                  <c:v>626.5</c:v>
                </c:pt>
                <c:pt idx="554">
                  <c:v>627</c:v>
                </c:pt>
                <c:pt idx="555">
                  <c:v>627.5</c:v>
                </c:pt>
                <c:pt idx="556">
                  <c:v>628</c:v>
                </c:pt>
                <c:pt idx="557">
                  <c:v>628.5</c:v>
                </c:pt>
                <c:pt idx="558">
                  <c:v>629</c:v>
                </c:pt>
                <c:pt idx="559">
                  <c:v>629.5</c:v>
                </c:pt>
                <c:pt idx="560">
                  <c:v>630</c:v>
                </c:pt>
                <c:pt idx="561">
                  <c:v>630.5</c:v>
                </c:pt>
                <c:pt idx="562">
                  <c:v>631</c:v>
                </c:pt>
                <c:pt idx="563">
                  <c:v>631.5</c:v>
                </c:pt>
                <c:pt idx="564">
                  <c:v>632</c:v>
                </c:pt>
                <c:pt idx="565">
                  <c:v>632.5</c:v>
                </c:pt>
                <c:pt idx="566">
                  <c:v>633</c:v>
                </c:pt>
                <c:pt idx="567">
                  <c:v>633.5</c:v>
                </c:pt>
                <c:pt idx="568">
                  <c:v>634</c:v>
                </c:pt>
                <c:pt idx="569">
                  <c:v>634.5</c:v>
                </c:pt>
                <c:pt idx="570">
                  <c:v>635</c:v>
                </c:pt>
                <c:pt idx="571">
                  <c:v>635.5</c:v>
                </c:pt>
                <c:pt idx="572">
                  <c:v>636</c:v>
                </c:pt>
                <c:pt idx="573">
                  <c:v>636.5</c:v>
                </c:pt>
                <c:pt idx="574">
                  <c:v>637</c:v>
                </c:pt>
                <c:pt idx="575">
                  <c:v>637.5</c:v>
                </c:pt>
                <c:pt idx="576">
                  <c:v>638</c:v>
                </c:pt>
                <c:pt idx="577">
                  <c:v>638.5</c:v>
                </c:pt>
                <c:pt idx="578">
                  <c:v>639</c:v>
                </c:pt>
                <c:pt idx="579">
                  <c:v>639.5</c:v>
                </c:pt>
                <c:pt idx="580">
                  <c:v>640</c:v>
                </c:pt>
                <c:pt idx="581">
                  <c:v>640.5</c:v>
                </c:pt>
                <c:pt idx="582">
                  <c:v>641</c:v>
                </c:pt>
                <c:pt idx="583">
                  <c:v>641.5</c:v>
                </c:pt>
                <c:pt idx="584">
                  <c:v>642</c:v>
                </c:pt>
                <c:pt idx="585">
                  <c:v>642.5</c:v>
                </c:pt>
                <c:pt idx="586">
                  <c:v>643</c:v>
                </c:pt>
                <c:pt idx="587">
                  <c:v>643.5</c:v>
                </c:pt>
                <c:pt idx="588">
                  <c:v>644</c:v>
                </c:pt>
                <c:pt idx="589">
                  <c:v>644.5</c:v>
                </c:pt>
                <c:pt idx="590">
                  <c:v>645</c:v>
                </c:pt>
                <c:pt idx="591">
                  <c:v>645.5</c:v>
                </c:pt>
                <c:pt idx="592">
                  <c:v>646</c:v>
                </c:pt>
                <c:pt idx="593">
                  <c:v>646.5</c:v>
                </c:pt>
                <c:pt idx="594">
                  <c:v>647</c:v>
                </c:pt>
                <c:pt idx="595">
                  <c:v>647.5</c:v>
                </c:pt>
                <c:pt idx="596">
                  <c:v>648</c:v>
                </c:pt>
                <c:pt idx="597">
                  <c:v>648.5</c:v>
                </c:pt>
                <c:pt idx="598">
                  <c:v>649</c:v>
                </c:pt>
                <c:pt idx="599">
                  <c:v>649.5</c:v>
                </c:pt>
                <c:pt idx="600">
                  <c:v>650</c:v>
                </c:pt>
                <c:pt idx="601">
                  <c:v>650.5</c:v>
                </c:pt>
                <c:pt idx="602">
                  <c:v>651</c:v>
                </c:pt>
                <c:pt idx="603">
                  <c:v>651.5</c:v>
                </c:pt>
                <c:pt idx="604">
                  <c:v>652</c:v>
                </c:pt>
                <c:pt idx="605">
                  <c:v>652.5</c:v>
                </c:pt>
                <c:pt idx="606">
                  <c:v>653</c:v>
                </c:pt>
                <c:pt idx="607">
                  <c:v>653.5</c:v>
                </c:pt>
                <c:pt idx="608">
                  <c:v>654</c:v>
                </c:pt>
                <c:pt idx="609">
                  <c:v>654.5</c:v>
                </c:pt>
                <c:pt idx="610">
                  <c:v>655</c:v>
                </c:pt>
                <c:pt idx="611">
                  <c:v>655.5</c:v>
                </c:pt>
                <c:pt idx="612">
                  <c:v>656</c:v>
                </c:pt>
                <c:pt idx="613">
                  <c:v>656.5</c:v>
                </c:pt>
                <c:pt idx="614">
                  <c:v>657</c:v>
                </c:pt>
                <c:pt idx="615">
                  <c:v>657.5</c:v>
                </c:pt>
                <c:pt idx="616">
                  <c:v>658</c:v>
                </c:pt>
                <c:pt idx="617">
                  <c:v>658.5</c:v>
                </c:pt>
                <c:pt idx="618">
                  <c:v>659</c:v>
                </c:pt>
                <c:pt idx="619">
                  <c:v>659.5</c:v>
                </c:pt>
                <c:pt idx="620">
                  <c:v>660</c:v>
                </c:pt>
                <c:pt idx="621">
                  <c:v>660.5</c:v>
                </c:pt>
                <c:pt idx="622">
                  <c:v>661</c:v>
                </c:pt>
                <c:pt idx="623">
                  <c:v>661.5</c:v>
                </c:pt>
                <c:pt idx="624">
                  <c:v>662</c:v>
                </c:pt>
                <c:pt idx="625">
                  <c:v>662.5</c:v>
                </c:pt>
                <c:pt idx="626">
                  <c:v>663</c:v>
                </c:pt>
                <c:pt idx="627">
                  <c:v>663.5</c:v>
                </c:pt>
                <c:pt idx="628">
                  <c:v>664</c:v>
                </c:pt>
                <c:pt idx="629">
                  <c:v>664.5</c:v>
                </c:pt>
                <c:pt idx="630">
                  <c:v>665</c:v>
                </c:pt>
                <c:pt idx="631">
                  <c:v>665.5</c:v>
                </c:pt>
                <c:pt idx="632">
                  <c:v>666</c:v>
                </c:pt>
                <c:pt idx="633">
                  <c:v>666.5</c:v>
                </c:pt>
                <c:pt idx="634">
                  <c:v>667</c:v>
                </c:pt>
                <c:pt idx="635">
                  <c:v>667.5</c:v>
                </c:pt>
                <c:pt idx="636">
                  <c:v>668</c:v>
                </c:pt>
                <c:pt idx="637">
                  <c:v>668.5</c:v>
                </c:pt>
                <c:pt idx="638">
                  <c:v>669</c:v>
                </c:pt>
                <c:pt idx="639">
                  <c:v>669.5</c:v>
                </c:pt>
                <c:pt idx="640">
                  <c:v>670</c:v>
                </c:pt>
                <c:pt idx="641">
                  <c:v>670.5</c:v>
                </c:pt>
                <c:pt idx="642">
                  <c:v>671</c:v>
                </c:pt>
                <c:pt idx="643">
                  <c:v>671.5</c:v>
                </c:pt>
                <c:pt idx="644">
                  <c:v>672</c:v>
                </c:pt>
                <c:pt idx="645">
                  <c:v>672.5</c:v>
                </c:pt>
                <c:pt idx="646">
                  <c:v>673</c:v>
                </c:pt>
                <c:pt idx="647">
                  <c:v>673.5</c:v>
                </c:pt>
                <c:pt idx="648">
                  <c:v>674</c:v>
                </c:pt>
                <c:pt idx="649">
                  <c:v>674.5</c:v>
                </c:pt>
                <c:pt idx="650">
                  <c:v>675</c:v>
                </c:pt>
                <c:pt idx="651">
                  <c:v>675.5</c:v>
                </c:pt>
                <c:pt idx="652">
                  <c:v>676</c:v>
                </c:pt>
                <c:pt idx="653">
                  <c:v>676.5</c:v>
                </c:pt>
                <c:pt idx="654">
                  <c:v>677</c:v>
                </c:pt>
                <c:pt idx="655">
                  <c:v>677.5</c:v>
                </c:pt>
                <c:pt idx="656">
                  <c:v>678</c:v>
                </c:pt>
                <c:pt idx="657">
                  <c:v>678.5</c:v>
                </c:pt>
                <c:pt idx="658">
                  <c:v>679</c:v>
                </c:pt>
                <c:pt idx="659">
                  <c:v>679.5</c:v>
                </c:pt>
                <c:pt idx="660">
                  <c:v>680</c:v>
                </c:pt>
                <c:pt idx="661">
                  <c:v>680.5</c:v>
                </c:pt>
                <c:pt idx="662">
                  <c:v>681</c:v>
                </c:pt>
                <c:pt idx="663">
                  <c:v>681.5</c:v>
                </c:pt>
                <c:pt idx="664">
                  <c:v>682</c:v>
                </c:pt>
                <c:pt idx="665">
                  <c:v>682.5</c:v>
                </c:pt>
                <c:pt idx="666">
                  <c:v>683</c:v>
                </c:pt>
                <c:pt idx="667">
                  <c:v>683.5</c:v>
                </c:pt>
                <c:pt idx="668">
                  <c:v>684</c:v>
                </c:pt>
                <c:pt idx="669">
                  <c:v>684.5</c:v>
                </c:pt>
                <c:pt idx="670">
                  <c:v>685</c:v>
                </c:pt>
                <c:pt idx="671">
                  <c:v>685.5</c:v>
                </c:pt>
                <c:pt idx="672">
                  <c:v>686</c:v>
                </c:pt>
                <c:pt idx="673">
                  <c:v>686.5</c:v>
                </c:pt>
                <c:pt idx="674">
                  <c:v>687</c:v>
                </c:pt>
                <c:pt idx="675">
                  <c:v>687.5</c:v>
                </c:pt>
                <c:pt idx="676">
                  <c:v>688</c:v>
                </c:pt>
                <c:pt idx="677">
                  <c:v>688.5</c:v>
                </c:pt>
                <c:pt idx="678">
                  <c:v>689</c:v>
                </c:pt>
                <c:pt idx="679">
                  <c:v>689.5</c:v>
                </c:pt>
                <c:pt idx="680">
                  <c:v>690</c:v>
                </c:pt>
                <c:pt idx="681">
                  <c:v>690.5</c:v>
                </c:pt>
                <c:pt idx="682">
                  <c:v>691</c:v>
                </c:pt>
                <c:pt idx="683">
                  <c:v>691.5</c:v>
                </c:pt>
                <c:pt idx="684">
                  <c:v>692</c:v>
                </c:pt>
                <c:pt idx="685">
                  <c:v>692.5</c:v>
                </c:pt>
                <c:pt idx="686">
                  <c:v>693</c:v>
                </c:pt>
                <c:pt idx="687">
                  <c:v>693.5</c:v>
                </c:pt>
                <c:pt idx="688">
                  <c:v>694</c:v>
                </c:pt>
                <c:pt idx="689">
                  <c:v>694.5</c:v>
                </c:pt>
                <c:pt idx="690">
                  <c:v>695</c:v>
                </c:pt>
                <c:pt idx="691">
                  <c:v>695.5</c:v>
                </c:pt>
                <c:pt idx="692">
                  <c:v>696</c:v>
                </c:pt>
                <c:pt idx="693">
                  <c:v>696.5</c:v>
                </c:pt>
                <c:pt idx="694">
                  <c:v>697</c:v>
                </c:pt>
                <c:pt idx="695">
                  <c:v>697.5</c:v>
                </c:pt>
                <c:pt idx="696">
                  <c:v>698</c:v>
                </c:pt>
                <c:pt idx="697">
                  <c:v>698.5</c:v>
                </c:pt>
                <c:pt idx="698">
                  <c:v>699</c:v>
                </c:pt>
                <c:pt idx="699">
                  <c:v>699.5</c:v>
                </c:pt>
                <c:pt idx="700">
                  <c:v>700</c:v>
                </c:pt>
                <c:pt idx="701">
                  <c:v>700.5</c:v>
                </c:pt>
                <c:pt idx="702">
                  <c:v>701</c:v>
                </c:pt>
                <c:pt idx="703">
                  <c:v>701.5</c:v>
                </c:pt>
                <c:pt idx="704">
                  <c:v>702</c:v>
                </c:pt>
                <c:pt idx="705">
                  <c:v>702.5</c:v>
                </c:pt>
                <c:pt idx="706">
                  <c:v>703</c:v>
                </c:pt>
                <c:pt idx="707">
                  <c:v>703.5</c:v>
                </c:pt>
                <c:pt idx="708">
                  <c:v>704</c:v>
                </c:pt>
                <c:pt idx="709">
                  <c:v>704.5</c:v>
                </c:pt>
                <c:pt idx="710">
                  <c:v>705</c:v>
                </c:pt>
                <c:pt idx="711">
                  <c:v>705.5</c:v>
                </c:pt>
                <c:pt idx="712">
                  <c:v>706</c:v>
                </c:pt>
                <c:pt idx="713">
                  <c:v>706.5</c:v>
                </c:pt>
                <c:pt idx="714">
                  <c:v>707</c:v>
                </c:pt>
                <c:pt idx="715">
                  <c:v>707.5</c:v>
                </c:pt>
                <c:pt idx="716">
                  <c:v>708</c:v>
                </c:pt>
                <c:pt idx="717">
                  <c:v>708.5</c:v>
                </c:pt>
                <c:pt idx="718">
                  <c:v>709</c:v>
                </c:pt>
                <c:pt idx="719">
                  <c:v>709.5</c:v>
                </c:pt>
                <c:pt idx="720">
                  <c:v>710</c:v>
                </c:pt>
                <c:pt idx="721">
                  <c:v>710.5</c:v>
                </c:pt>
                <c:pt idx="722">
                  <c:v>711</c:v>
                </c:pt>
                <c:pt idx="723">
                  <c:v>711.5</c:v>
                </c:pt>
                <c:pt idx="724">
                  <c:v>712</c:v>
                </c:pt>
                <c:pt idx="725">
                  <c:v>712.5</c:v>
                </c:pt>
                <c:pt idx="726">
                  <c:v>713</c:v>
                </c:pt>
                <c:pt idx="727">
                  <c:v>713.5</c:v>
                </c:pt>
                <c:pt idx="728">
                  <c:v>714</c:v>
                </c:pt>
                <c:pt idx="729">
                  <c:v>714.5</c:v>
                </c:pt>
                <c:pt idx="730">
                  <c:v>715</c:v>
                </c:pt>
                <c:pt idx="731">
                  <c:v>715.5</c:v>
                </c:pt>
                <c:pt idx="732">
                  <c:v>716</c:v>
                </c:pt>
                <c:pt idx="733">
                  <c:v>716.5</c:v>
                </c:pt>
                <c:pt idx="734">
                  <c:v>717</c:v>
                </c:pt>
                <c:pt idx="735">
                  <c:v>717.5</c:v>
                </c:pt>
                <c:pt idx="736">
                  <c:v>718</c:v>
                </c:pt>
                <c:pt idx="737">
                  <c:v>718.5</c:v>
                </c:pt>
                <c:pt idx="738">
                  <c:v>719</c:v>
                </c:pt>
                <c:pt idx="739">
                  <c:v>719.5</c:v>
                </c:pt>
                <c:pt idx="740">
                  <c:v>720</c:v>
                </c:pt>
                <c:pt idx="741">
                  <c:v>720.5</c:v>
                </c:pt>
                <c:pt idx="742">
                  <c:v>721</c:v>
                </c:pt>
                <c:pt idx="743">
                  <c:v>721.5</c:v>
                </c:pt>
                <c:pt idx="744">
                  <c:v>722</c:v>
                </c:pt>
                <c:pt idx="745">
                  <c:v>722.5</c:v>
                </c:pt>
                <c:pt idx="746">
                  <c:v>723</c:v>
                </c:pt>
                <c:pt idx="747">
                  <c:v>723.5</c:v>
                </c:pt>
                <c:pt idx="748">
                  <c:v>724</c:v>
                </c:pt>
                <c:pt idx="749">
                  <c:v>724.5</c:v>
                </c:pt>
                <c:pt idx="750">
                  <c:v>725</c:v>
                </c:pt>
                <c:pt idx="751">
                  <c:v>725.5</c:v>
                </c:pt>
                <c:pt idx="752">
                  <c:v>726</c:v>
                </c:pt>
                <c:pt idx="753">
                  <c:v>726.5</c:v>
                </c:pt>
                <c:pt idx="754">
                  <c:v>727</c:v>
                </c:pt>
                <c:pt idx="755">
                  <c:v>727.5</c:v>
                </c:pt>
                <c:pt idx="756">
                  <c:v>728</c:v>
                </c:pt>
                <c:pt idx="757">
                  <c:v>728.5</c:v>
                </c:pt>
                <c:pt idx="758">
                  <c:v>729</c:v>
                </c:pt>
                <c:pt idx="759">
                  <c:v>729.5</c:v>
                </c:pt>
                <c:pt idx="760">
                  <c:v>730</c:v>
                </c:pt>
                <c:pt idx="761">
                  <c:v>730.5</c:v>
                </c:pt>
                <c:pt idx="762">
                  <c:v>731</c:v>
                </c:pt>
                <c:pt idx="763">
                  <c:v>731.5</c:v>
                </c:pt>
                <c:pt idx="764">
                  <c:v>732</c:v>
                </c:pt>
                <c:pt idx="765">
                  <c:v>732.5</c:v>
                </c:pt>
                <c:pt idx="766">
                  <c:v>733</c:v>
                </c:pt>
                <c:pt idx="767">
                  <c:v>733.5</c:v>
                </c:pt>
                <c:pt idx="768">
                  <c:v>734</c:v>
                </c:pt>
                <c:pt idx="769">
                  <c:v>734.5</c:v>
                </c:pt>
                <c:pt idx="770">
                  <c:v>735</c:v>
                </c:pt>
                <c:pt idx="771">
                  <c:v>735.5</c:v>
                </c:pt>
                <c:pt idx="772">
                  <c:v>736</c:v>
                </c:pt>
                <c:pt idx="773">
                  <c:v>736.5</c:v>
                </c:pt>
                <c:pt idx="774">
                  <c:v>737</c:v>
                </c:pt>
                <c:pt idx="775">
                  <c:v>737.5</c:v>
                </c:pt>
                <c:pt idx="776">
                  <c:v>738</c:v>
                </c:pt>
                <c:pt idx="777">
                  <c:v>738.5</c:v>
                </c:pt>
                <c:pt idx="778">
                  <c:v>739</c:v>
                </c:pt>
                <c:pt idx="779">
                  <c:v>739.5</c:v>
                </c:pt>
                <c:pt idx="780">
                  <c:v>740</c:v>
                </c:pt>
                <c:pt idx="781">
                  <c:v>740.5</c:v>
                </c:pt>
                <c:pt idx="782">
                  <c:v>741</c:v>
                </c:pt>
                <c:pt idx="783">
                  <c:v>741.5</c:v>
                </c:pt>
                <c:pt idx="784">
                  <c:v>742</c:v>
                </c:pt>
                <c:pt idx="785">
                  <c:v>742.5</c:v>
                </c:pt>
                <c:pt idx="786">
                  <c:v>743</c:v>
                </c:pt>
                <c:pt idx="787">
                  <c:v>743.5</c:v>
                </c:pt>
                <c:pt idx="788">
                  <c:v>744</c:v>
                </c:pt>
                <c:pt idx="789">
                  <c:v>744.5</c:v>
                </c:pt>
                <c:pt idx="790">
                  <c:v>745</c:v>
                </c:pt>
                <c:pt idx="791">
                  <c:v>745.5</c:v>
                </c:pt>
                <c:pt idx="792">
                  <c:v>746</c:v>
                </c:pt>
                <c:pt idx="793">
                  <c:v>746.5</c:v>
                </c:pt>
                <c:pt idx="794">
                  <c:v>747</c:v>
                </c:pt>
                <c:pt idx="795">
                  <c:v>747.5</c:v>
                </c:pt>
                <c:pt idx="796">
                  <c:v>748</c:v>
                </c:pt>
                <c:pt idx="797">
                  <c:v>748.5</c:v>
                </c:pt>
                <c:pt idx="798">
                  <c:v>749</c:v>
                </c:pt>
                <c:pt idx="799">
                  <c:v>749.5</c:v>
                </c:pt>
                <c:pt idx="800">
                  <c:v>750</c:v>
                </c:pt>
                <c:pt idx="801">
                  <c:v>750.5</c:v>
                </c:pt>
                <c:pt idx="802">
                  <c:v>751</c:v>
                </c:pt>
                <c:pt idx="803">
                  <c:v>751.5</c:v>
                </c:pt>
                <c:pt idx="804">
                  <c:v>752</c:v>
                </c:pt>
                <c:pt idx="805">
                  <c:v>752.5</c:v>
                </c:pt>
                <c:pt idx="806">
                  <c:v>753</c:v>
                </c:pt>
                <c:pt idx="807">
                  <c:v>753.5</c:v>
                </c:pt>
                <c:pt idx="808">
                  <c:v>754</c:v>
                </c:pt>
                <c:pt idx="809">
                  <c:v>754.5</c:v>
                </c:pt>
                <c:pt idx="810">
                  <c:v>755</c:v>
                </c:pt>
                <c:pt idx="811">
                  <c:v>755.5</c:v>
                </c:pt>
                <c:pt idx="812">
                  <c:v>756</c:v>
                </c:pt>
                <c:pt idx="813">
                  <c:v>756.5</c:v>
                </c:pt>
                <c:pt idx="814">
                  <c:v>757</c:v>
                </c:pt>
                <c:pt idx="815">
                  <c:v>757.5</c:v>
                </c:pt>
                <c:pt idx="816">
                  <c:v>758</c:v>
                </c:pt>
                <c:pt idx="817">
                  <c:v>758.5</c:v>
                </c:pt>
                <c:pt idx="818">
                  <c:v>759</c:v>
                </c:pt>
                <c:pt idx="819">
                  <c:v>759.5</c:v>
                </c:pt>
                <c:pt idx="820">
                  <c:v>760</c:v>
                </c:pt>
                <c:pt idx="821">
                  <c:v>760.5</c:v>
                </c:pt>
                <c:pt idx="822">
                  <c:v>761</c:v>
                </c:pt>
                <c:pt idx="823">
                  <c:v>761.5</c:v>
                </c:pt>
                <c:pt idx="824">
                  <c:v>762</c:v>
                </c:pt>
                <c:pt idx="825">
                  <c:v>762.5</c:v>
                </c:pt>
                <c:pt idx="826">
                  <c:v>763</c:v>
                </c:pt>
                <c:pt idx="827">
                  <c:v>763.5</c:v>
                </c:pt>
                <c:pt idx="828">
                  <c:v>764</c:v>
                </c:pt>
                <c:pt idx="829">
                  <c:v>764.5</c:v>
                </c:pt>
                <c:pt idx="830">
                  <c:v>765</c:v>
                </c:pt>
                <c:pt idx="831">
                  <c:v>765.5</c:v>
                </c:pt>
                <c:pt idx="832">
                  <c:v>766</c:v>
                </c:pt>
                <c:pt idx="833">
                  <c:v>766.5</c:v>
                </c:pt>
                <c:pt idx="834">
                  <c:v>767</c:v>
                </c:pt>
                <c:pt idx="835">
                  <c:v>767.5</c:v>
                </c:pt>
                <c:pt idx="836">
                  <c:v>768</c:v>
                </c:pt>
                <c:pt idx="837">
                  <c:v>768.5</c:v>
                </c:pt>
                <c:pt idx="838">
                  <c:v>769</c:v>
                </c:pt>
                <c:pt idx="839">
                  <c:v>769.5</c:v>
                </c:pt>
                <c:pt idx="840">
                  <c:v>770</c:v>
                </c:pt>
                <c:pt idx="841">
                  <c:v>770.5</c:v>
                </c:pt>
                <c:pt idx="842">
                  <c:v>771</c:v>
                </c:pt>
                <c:pt idx="843">
                  <c:v>771.5</c:v>
                </c:pt>
                <c:pt idx="844">
                  <c:v>772</c:v>
                </c:pt>
                <c:pt idx="845">
                  <c:v>772.5</c:v>
                </c:pt>
                <c:pt idx="846">
                  <c:v>773</c:v>
                </c:pt>
                <c:pt idx="847">
                  <c:v>773.5</c:v>
                </c:pt>
                <c:pt idx="848">
                  <c:v>774</c:v>
                </c:pt>
                <c:pt idx="849">
                  <c:v>774.5</c:v>
                </c:pt>
                <c:pt idx="850">
                  <c:v>775</c:v>
                </c:pt>
                <c:pt idx="851">
                  <c:v>775.5</c:v>
                </c:pt>
                <c:pt idx="852">
                  <c:v>776</c:v>
                </c:pt>
                <c:pt idx="853">
                  <c:v>776.5</c:v>
                </c:pt>
                <c:pt idx="854">
                  <c:v>777</c:v>
                </c:pt>
                <c:pt idx="855">
                  <c:v>777.5</c:v>
                </c:pt>
                <c:pt idx="856">
                  <c:v>778</c:v>
                </c:pt>
                <c:pt idx="857">
                  <c:v>778.5</c:v>
                </c:pt>
                <c:pt idx="858">
                  <c:v>779</c:v>
                </c:pt>
                <c:pt idx="859">
                  <c:v>779.5</c:v>
                </c:pt>
                <c:pt idx="860">
                  <c:v>780</c:v>
                </c:pt>
                <c:pt idx="861">
                  <c:v>780.5</c:v>
                </c:pt>
                <c:pt idx="862">
                  <c:v>781</c:v>
                </c:pt>
                <c:pt idx="863">
                  <c:v>781.5</c:v>
                </c:pt>
                <c:pt idx="864">
                  <c:v>782</c:v>
                </c:pt>
                <c:pt idx="865">
                  <c:v>782.5</c:v>
                </c:pt>
                <c:pt idx="866">
                  <c:v>783</c:v>
                </c:pt>
                <c:pt idx="867">
                  <c:v>783.5</c:v>
                </c:pt>
                <c:pt idx="868">
                  <c:v>784</c:v>
                </c:pt>
                <c:pt idx="869">
                  <c:v>784.5</c:v>
                </c:pt>
                <c:pt idx="870">
                  <c:v>785</c:v>
                </c:pt>
                <c:pt idx="871">
                  <c:v>785.5</c:v>
                </c:pt>
                <c:pt idx="872">
                  <c:v>786</c:v>
                </c:pt>
                <c:pt idx="873">
                  <c:v>786.5</c:v>
                </c:pt>
                <c:pt idx="874">
                  <c:v>787</c:v>
                </c:pt>
                <c:pt idx="875">
                  <c:v>787.5</c:v>
                </c:pt>
                <c:pt idx="876">
                  <c:v>788</c:v>
                </c:pt>
                <c:pt idx="877">
                  <c:v>788.5</c:v>
                </c:pt>
                <c:pt idx="878">
                  <c:v>789</c:v>
                </c:pt>
                <c:pt idx="879">
                  <c:v>789.5</c:v>
                </c:pt>
                <c:pt idx="880">
                  <c:v>790</c:v>
                </c:pt>
                <c:pt idx="881">
                  <c:v>790.5</c:v>
                </c:pt>
                <c:pt idx="882">
                  <c:v>791</c:v>
                </c:pt>
                <c:pt idx="883">
                  <c:v>791.5</c:v>
                </c:pt>
                <c:pt idx="884">
                  <c:v>792</c:v>
                </c:pt>
                <c:pt idx="885">
                  <c:v>792.5</c:v>
                </c:pt>
                <c:pt idx="886">
                  <c:v>793</c:v>
                </c:pt>
                <c:pt idx="887">
                  <c:v>793.5</c:v>
                </c:pt>
                <c:pt idx="888">
                  <c:v>794</c:v>
                </c:pt>
                <c:pt idx="889">
                  <c:v>794.5</c:v>
                </c:pt>
                <c:pt idx="890">
                  <c:v>795</c:v>
                </c:pt>
                <c:pt idx="891">
                  <c:v>795.5</c:v>
                </c:pt>
                <c:pt idx="892">
                  <c:v>796</c:v>
                </c:pt>
                <c:pt idx="893">
                  <c:v>796.5</c:v>
                </c:pt>
                <c:pt idx="894">
                  <c:v>797</c:v>
                </c:pt>
                <c:pt idx="895">
                  <c:v>797.5</c:v>
                </c:pt>
                <c:pt idx="896">
                  <c:v>798</c:v>
                </c:pt>
                <c:pt idx="897">
                  <c:v>798.5</c:v>
                </c:pt>
                <c:pt idx="898">
                  <c:v>799</c:v>
                </c:pt>
                <c:pt idx="899">
                  <c:v>799.5</c:v>
                </c:pt>
                <c:pt idx="900">
                  <c:v>800</c:v>
                </c:pt>
                <c:pt idx="901">
                  <c:v>800.5</c:v>
                </c:pt>
                <c:pt idx="902">
                  <c:v>801</c:v>
                </c:pt>
                <c:pt idx="903">
                  <c:v>801.5</c:v>
                </c:pt>
                <c:pt idx="904">
                  <c:v>802</c:v>
                </c:pt>
                <c:pt idx="905">
                  <c:v>802.5</c:v>
                </c:pt>
                <c:pt idx="906">
                  <c:v>803</c:v>
                </c:pt>
                <c:pt idx="907">
                  <c:v>803.5</c:v>
                </c:pt>
                <c:pt idx="908">
                  <c:v>804</c:v>
                </c:pt>
                <c:pt idx="909">
                  <c:v>804.5</c:v>
                </c:pt>
                <c:pt idx="910">
                  <c:v>805</c:v>
                </c:pt>
                <c:pt idx="911">
                  <c:v>805.5</c:v>
                </c:pt>
                <c:pt idx="912">
                  <c:v>806</c:v>
                </c:pt>
                <c:pt idx="913">
                  <c:v>806.5</c:v>
                </c:pt>
                <c:pt idx="914">
                  <c:v>807</c:v>
                </c:pt>
                <c:pt idx="915">
                  <c:v>807.5</c:v>
                </c:pt>
                <c:pt idx="916">
                  <c:v>808</c:v>
                </c:pt>
                <c:pt idx="917">
                  <c:v>808.5</c:v>
                </c:pt>
                <c:pt idx="918">
                  <c:v>809</c:v>
                </c:pt>
                <c:pt idx="919">
                  <c:v>809.5</c:v>
                </c:pt>
                <c:pt idx="920">
                  <c:v>810</c:v>
                </c:pt>
                <c:pt idx="921">
                  <c:v>810.5</c:v>
                </c:pt>
                <c:pt idx="922">
                  <c:v>811</c:v>
                </c:pt>
                <c:pt idx="923">
                  <c:v>811.5</c:v>
                </c:pt>
                <c:pt idx="924">
                  <c:v>812</c:v>
                </c:pt>
                <c:pt idx="925">
                  <c:v>812.5</c:v>
                </c:pt>
                <c:pt idx="926">
                  <c:v>813</c:v>
                </c:pt>
                <c:pt idx="927">
                  <c:v>813.5</c:v>
                </c:pt>
                <c:pt idx="928">
                  <c:v>814</c:v>
                </c:pt>
                <c:pt idx="929">
                  <c:v>814.5</c:v>
                </c:pt>
                <c:pt idx="930">
                  <c:v>815</c:v>
                </c:pt>
                <c:pt idx="931">
                  <c:v>815.5</c:v>
                </c:pt>
                <c:pt idx="932">
                  <c:v>816</c:v>
                </c:pt>
                <c:pt idx="933">
                  <c:v>816.5</c:v>
                </c:pt>
                <c:pt idx="934">
                  <c:v>817</c:v>
                </c:pt>
                <c:pt idx="935">
                  <c:v>817.5</c:v>
                </c:pt>
                <c:pt idx="936">
                  <c:v>818</c:v>
                </c:pt>
                <c:pt idx="937">
                  <c:v>818.5</c:v>
                </c:pt>
                <c:pt idx="938">
                  <c:v>819</c:v>
                </c:pt>
                <c:pt idx="939">
                  <c:v>819.5</c:v>
                </c:pt>
                <c:pt idx="940">
                  <c:v>820</c:v>
                </c:pt>
                <c:pt idx="941">
                  <c:v>820.5</c:v>
                </c:pt>
                <c:pt idx="942">
                  <c:v>821</c:v>
                </c:pt>
                <c:pt idx="943">
                  <c:v>821.5</c:v>
                </c:pt>
                <c:pt idx="944">
                  <c:v>822</c:v>
                </c:pt>
                <c:pt idx="945">
                  <c:v>822.5</c:v>
                </c:pt>
                <c:pt idx="946">
                  <c:v>823</c:v>
                </c:pt>
                <c:pt idx="947">
                  <c:v>823.5</c:v>
                </c:pt>
                <c:pt idx="948">
                  <c:v>824</c:v>
                </c:pt>
                <c:pt idx="949">
                  <c:v>824.5</c:v>
                </c:pt>
                <c:pt idx="950">
                  <c:v>825</c:v>
                </c:pt>
                <c:pt idx="951">
                  <c:v>825.5</c:v>
                </c:pt>
                <c:pt idx="952">
                  <c:v>826</c:v>
                </c:pt>
                <c:pt idx="953">
                  <c:v>826.5</c:v>
                </c:pt>
                <c:pt idx="954">
                  <c:v>827</c:v>
                </c:pt>
                <c:pt idx="955">
                  <c:v>827.5</c:v>
                </c:pt>
                <c:pt idx="956">
                  <c:v>828</c:v>
                </c:pt>
                <c:pt idx="957">
                  <c:v>828.5</c:v>
                </c:pt>
                <c:pt idx="958">
                  <c:v>829</c:v>
                </c:pt>
                <c:pt idx="959">
                  <c:v>829.5</c:v>
                </c:pt>
                <c:pt idx="960">
                  <c:v>830</c:v>
                </c:pt>
                <c:pt idx="961">
                  <c:v>830.5</c:v>
                </c:pt>
                <c:pt idx="962">
                  <c:v>831</c:v>
                </c:pt>
                <c:pt idx="963">
                  <c:v>831.5</c:v>
                </c:pt>
                <c:pt idx="964">
                  <c:v>832</c:v>
                </c:pt>
                <c:pt idx="965">
                  <c:v>832.5</c:v>
                </c:pt>
                <c:pt idx="966">
                  <c:v>833</c:v>
                </c:pt>
                <c:pt idx="967">
                  <c:v>833.5</c:v>
                </c:pt>
                <c:pt idx="968">
                  <c:v>834</c:v>
                </c:pt>
                <c:pt idx="969">
                  <c:v>834.5</c:v>
                </c:pt>
                <c:pt idx="970">
                  <c:v>835</c:v>
                </c:pt>
                <c:pt idx="971">
                  <c:v>835.5</c:v>
                </c:pt>
                <c:pt idx="972">
                  <c:v>836</c:v>
                </c:pt>
                <c:pt idx="973">
                  <c:v>836.5</c:v>
                </c:pt>
                <c:pt idx="974">
                  <c:v>837</c:v>
                </c:pt>
                <c:pt idx="975">
                  <c:v>837.5</c:v>
                </c:pt>
                <c:pt idx="976">
                  <c:v>838</c:v>
                </c:pt>
                <c:pt idx="977">
                  <c:v>838.5</c:v>
                </c:pt>
                <c:pt idx="978">
                  <c:v>839</c:v>
                </c:pt>
                <c:pt idx="979">
                  <c:v>839.5</c:v>
                </c:pt>
                <c:pt idx="980">
                  <c:v>840</c:v>
                </c:pt>
                <c:pt idx="981">
                  <c:v>840.5</c:v>
                </c:pt>
                <c:pt idx="982">
                  <c:v>841</c:v>
                </c:pt>
                <c:pt idx="983">
                  <c:v>841.5</c:v>
                </c:pt>
                <c:pt idx="984">
                  <c:v>842</c:v>
                </c:pt>
                <c:pt idx="985">
                  <c:v>842.5</c:v>
                </c:pt>
                <c:pt idx="986">
                  <c:v>843</c:v>
                </c:pt>
                <c:pt idx="987">
                  <c:v>843.5</c:v>
                </c:pt>
                <c:pt idx="988">
                  <c:v>844</c:v>
                </c:pt>
                <c:pt idx="989">
                  <c:v>844.5</c:v>
                </c:pt>
                <c:pt idx="990">
                  <c:v>845</c:v>
                </c:pt>
                <c:pt idx="991">
                  <c:v>845.5</c:v>
                </c:pt>
                <c:pt idx="992">
                  <c:v>846</c:v>
                </c:pt>
                <c:pt idx="993">
                  <c:v>846.5</c:v>
                </c:pt>
                <c:pt idx="994">
                  <c:v>847</c:v>
                </c:pt>
                <c:pt idx="995">
                  <c:v>847.5</c:v>
                </c:pt>
                <c:pt idx="996">
                  <c:v>848</c:v>
                </c:pt>
                <c:pt idx="997">
                  <c:v>848.5</c:v>
                </c:pt>
                <c:pt idx="998">
                  <c:v>849</c:v>
                </c:pt>
                <c:pt idx="999">
                  <c:v>849.5</c:v>
                </c:pt>
                <c:pt idx="1000">
                  <c:v>850</c:v>
                </c:pt>
              </c:numCache>
            </c:numRef>
          </c:cat>
          <c:val>
            <c:numRef>
              <c:f>Sheet1!$C$212:$C$1212</c:f>
              <c:numCache>
                <c:formatCode>0.00E+00</c:formatCode>
                <c:ptCount val="1001"/>
                <c:pt idx="0">
                  <c:v>4.4639999999999995E-4</c:v>
                </c:pt>
                <c:pt idx="1">
                  <c:v>5.2680000000000001E-4</c:v>
                </c:pt>
                <c:pt idx="2">
                  <c:v>4.7519999999999995E-4</c:v>
                </c:pt>
                <c:pt idx="3">
                  <c:v>3.0719999999999999E-4</c:v>
                </c:pt>
                <c:pt idx="4">
                  <c:v>1.6679999999999999E-4</c:v>
                </c:pt>
                <c:pt idx="5">
                  <c:v>8.1599999999999991E-5</c:v>
                </c:pt>
                <c:pt idx="6">
                  <c:v>1.6559999999999999E-4</c:v>
                </c:pt>
                <c:pt idx="7">
                  <c:v>2.5919999999999996E-4</c:v>
                </c:pt>
                <c:pt idx="8">
                  <c:v>3.9599999999999998E-4</c:v>
                </c:pt>
                <c:pt idx="9">
                  <c:v>5.9040000000000004E-4</c:v>
                </c:pt>
                <c:pt idx="10">
                  <c:v>6.288E-4</c:v>
                </c:pt>
                <c:pt idx="11">
                  <c:v>6.2519999999999991E-4</c:v>
                </c:pt>
                <c:pt idx="12">
                  <c:v>6.5039999999999987E-4</c:v>
                </c:pt>
                <c:pt idx="13">
                  <c:v>5.7359999999999996E-4</c:v>
                </c:pt>
                <c:pt idx="14">
                  <c:v>5.4839999999999999E-4</c:v>
                </c:pt>
                <c:pt idx="15">
                  <c:v>4.908E-4</c:v>
                </c:pt>
                <c:pt idx="16">
                  <c:v>3.5879999999999999E-4</c:v>
                </c:pt>
                <c:pt idx="17">
                  <c:v>4.2719999999999998E-4</c:v>
                </c:pt>
                <c:pt idx="18">
                  <c:v>5.1360000000000002E-4</c:v>
                </c:pt>
                <c:pt idx="19">
                  <c:v>5.2439999999999995E-4</c:v>
                </c:pt>
                <c:pt idx="20">
                  <c:v>5.9520000000000005E-4</c:v>
                </c:pt>
                <c:pt idx="21">
                  <c:v>6.8760000000000002E-4</c:v>
                </c:pt>
                <c:pt idx="22">
                  <c:v>8.0880000000000004E-4</c:v>
                </c:pt>
                <c:pt idx="23">
                  <c:v>9.1080000000000002E-4</c:v>
                </c:pt>
                <c:pt idx="24">
                  <c:v>8.3640000000000006E-4</c:v>
                </c:pt>
                <c:pt idx="25">
                  <c:v>7.0200000000000004E-4</c:v>
                </c:pt>
                <c:pt idx="26">
                  <c:v>6.4079999999999996E-4</c:v>
                </c:pt>
                <c:pt idx="27">
                  <c:v>7.7039999999999997E-4</c:v>
                </c:pt>
                <c:pt idx="28">
                  <c:v>1.0176E-3</c:v>
                </c:pt>
                <c:pt idx="29">
                  <c:v>1.152E-3</c:v>
                </c:pt>
                <c:pt idx="30">
                  <c:v>1.1868E-3</c:v>
                </c:pt>
                <c:pt idx="31">
                  <c:v>1.0836000000000001E-3</c:v>
                </c:pt>
                <c:pt idx="32">
                  <c:v>9.4319999999999994E-4</c:v>
                </c:pt>
                <c:pt idx="33">
                  <c:v>9.3599999999999998E-4</c:v>
                </c:pt>
                <c:pt idx="34">
                  <c:v>9.683999999999999E-4</c:v>
                </c:pt>
                <c:pt idx="35">
                  <c:v>9.9120000000000002E-4</c:v>
                </c:pt>
                <c:pt idx="36">
                  <c:v>9.4679999999999992E-4</c:v>
                </c:pt>
                <c:pt idx="37">
                  <c:v>8.5680000000000001E-4</c:v>
                </c:pt>
                <c:pt idx="38">
                  <c:v>7.8719999999999994E-4</c:v>
                </c:pt>
                <c:pt idx="39">
                  <c:v>7.7760000000000004E-4</c:v>
                </c:pt>
                <c:pt idx="40">
                  <c:v>8.0760000000000001E-4</c:v>
                </c:pt>
                <c:pt idx="41">
                  <c:v>8.7839999999999999E-4</c:v>
                </c:pt>
                <c:pt idx="42">
                  <c:v>9.7680000000000011E-4</c:v>
                </c:pt>
                <c:pt idx="43">
                  <c:v>1.1555999999999999E-3</c:v>
                </c:pt>
                <c:pt idx="44">
                  <c:v>1.3559999999999998E-3</c:v>
                </c:pt>
                <c:pt idx="45">
                  <c:v>1.4399999999999999E-3</c:v>
                </c:pt>
                <c:pt idx="46">
                  <c:v>1.428E-3</c:v>
                </c:pt>
                <c:pt idx="47">
                  <c:v>1.4519999999999999E-3</c:v>
                </c:pt>
                <c:pt idx="48">
                  <c:v>1.428E-3</c:v>
                </c:pt>
                <c:pt idx="49">
                  <c:v>1.524E-3</c:v>
                </c:pt>
                <c:pt idx="50">
                  <c:v>1.5E-3</c:v>
                </c:pt>
                <c:pt idx="51">
                  <c:v>1.4040000000000001E-3</c:v>
                </c:pt>
                <c:pt idx="52">
                  <c:v>1.3799999999999999E-3</c:v>
                </c:pt>
                <c:pt idx="53">
                  <c:v>1.3320000000000001E-3</c:v>
                </c:pt>
                <c:pt idx="54">
                  <c:v>1.428E-3</c:v>
                </c:pt>
                <c:pt idx="55">
                  <c:v>1.5E-3</c:v>
                </c:pt>
                <c:pt idx="56">
                  <c:v>1.5719999999999998E-3</c:v>
                </c:pt>
                <c:pt idx="57">
                  <c:v>1.596E-3</c:v>
                </c:pt>
                <c:pt idx="58">
                  <c:v>1.632E-3</c:v>
                </c:pt>
                <c:pt idx="59">
                  <c:v>1.632E-3</c:v>
                </c:pt>
                <c:pt idx="60">
                  <c:v>1.6080000000000001E-3</c:v>
                </c:pt>
                <c:pt idx="61">
                  <c:v>1.6559999999999999E-3</c:v>
                </c:pt>
                <c:pt idx="62">
                  <c:v>1.6799999999999999E-3</c:v>
                </c:pt>
                <c:pt idx="63">
                  <c:v>1.7519999999999999E-3</c:v>
                </c:pt>
                <c:pt idx="64">
                  <c:v>1.8959999999999999E-3</c:v>
                </c:pt>
                <c:pt idx="65">
                  <c:v>1.9559999999999998E-3</c:v>
                </c:pt>
                <c:pt idx="66">
                  <c:v>2.0399999999999997E-3</c:v>
                </c:pt>
                <c:pt idx="67">
                  <c:v>2.0639999999999999E-3</c:v>
                </c:pt>
                <c:pt idx="68">
                  <c:v>1.98E-3</c:v>
                </c:pt>
                <c:pt idx="69">
                  <c:v>1.9919999999999998E-3</c:v>
                </c:pt>
                <c:pt idx="70">
                  <c:v>2.0040000000000001E-3</c:v>
                </c:pt>
                <c:pt idx="71">
                  <c:v>2.088E-3</c:v>
                </c:pt>
                <c:pt idx="72">
                  <c:v>2.1359999999999999E-3</c:v>
                </c:pt>
                <c:pt idx="73">
                  <c:v>2.2079999999999999E-3</c:v>
                </c:pt>
                <c:pt idx="74">
                  <c:v>2.3399999999999996E-3</c:v>
                </c:pt>
                <c:pt idx="75">
                  <c:v>2.4239999999999999E-3</c:v>
                </c:pt>
                <c:pt idx="76">
                  <c:v>2.5920000000000001E-3</c:v>
                </c:pt>
                <c:pt idx="77">
                  <c:v>2.532E-3</c:v>
                </c:pt>
                <c:pt idx="78">
                  <c:v>2.4360000000000002E-3</c:v>
                </c:pt>
                <c:pt idx="79">
                  <c:v>2.3999999999999998E-3</c:v>
                </c:pt>
                <c:pt idx="80">
                  <c:v>2.3760000000000001E-3</c:v>
                </c:pt>
                <c:pt idx="81">
                  <c:v>2.4720000000000002E-3</c:v>
                </c:pt>
                <c:pt idx="82">
                  <c:v>2.5559999999999997E-3</c:v>
                </c:pt>
                <c:pt idx="83">
                  <c:v>2.6999999999999997E-3</c:v>
                </c:pt>
                <c:pt idx="84">
                  <c:v>2.9039999999999999E-3</c:v>
                </c:pt>
                <c:pt idx="85">
                  <c:v>3.0839999999999995E-3</c:v>
                </c:pt>
                <c:pt idx="86">
                  <c:v>3.228E-3</c:v>
                </c:pt>
                <c:pt idx="87">
                  <c:v>3.2400000000000003E-3</c:v>
                </c:pt>
                <c:pt idx="88">
                  <c:v>3.156E-3</c:v>
                </c:pt>
                <c:pt idx="89">
                  <c:v>3.1199999999999999E-3</c:v>
                </c:pt>
                <c:pt idx="90">
                  <c:v>3.0600000000000002E-3</c:v>
                </c:pt>
                <c:pt idx="91">
                  <c:v>3.2039999999999998E-3</c:v>
                </c:pt>
                <c:pt idx="92">
                  <c:v>3.408E-3</c:v>
                </c:pt>
                <c:pt idx="93">
                  <c:v>3.5039999999999997E-3</c:v>
                </c:pt>
                <c:pt idx="94">
                  <c:v>3.6119999999999998E-3</c:v>
                </c:pt>
                <c:pt idx="95">
                  <c:v>3.5279999999999999E-3</c:v>
                </c:pt>
                <c:pt idx="96">
                  <c:v>3.588E-3</c:v>
                </c:pt>
                <c:pt idx="97">
                  <c:v>3.6959999999999996E-3</c:v>
                </c:pt>
                <c:pt idx="98">
                  <c:v>3.7679999999999996E-3</c:v>
                </c:pt>
                <c:pt idx="99">
                  <c:v>3.9239999999999995E-3</c:v>
                </c:pt>
                <c:pt idx="100">
                  <c:v>3.9959999999999996E-3</c:v>
                </c:pt>
                <c:pt idx="101">
                  <c:v>4.0439999999999999E-3</c:v>
                </c:pt>
                <c:pt idx="102">
                  <c:v>4.1279999999999997E-3</c:v>
                </c:pt>
                <c:pt idx="103">
                  <c:v>4.2360000000000002E-3</c:v>
                </c:pt>
                <c:pt idx="104">
                  <c:v>4.4039999999999999E-3</c:v>
                </c:pt>
                <c:pt idx="105">
                  <c:v>4.7160000000000006E-3</c:v>
                </c:pt>
                <c:pt idx="106">
                  <c:v>5.2679999999999992E-3</c:v>
                </c:pt>
                <c:pt idx="107">
                  <c:v>5.9759999999999995E-3</c:v>
                </c:pt>
                <c:pt idx="108">
                  <c:v>6.5399999999999998E-3</c:v>
                </c:pt>
                <c:pt idx="109">
                  <c:v>6.5639999999999995E-3</c:v>
                </c:pt>
                <c:pt idx="110">
                  <c:v>6.084E-3</c:v>
                </c:pt>
                <c:pt idx="111">
                  <c:v>5.4600000000000004E-3</c:v>
                </c:pt>
                <c:pt idx="112">
                  <c:v>5.0759999999999998E-3</c:v>
                </c:pt>
                <c:pt idx="113">
                  <c:v>4.8960000000000002E-3</c:v>
                </c:pt>
                <c:pt idx="114">
                  <c:v>4.9440000000000005E-3</c:v>
                </c:pt>
                <c:pt idx="115">
                  <c:v>4.9800000000000001E-3</c:v>
                </c:pt>
                <c:pt idx="116">
                  <c:v>5.0159999999999996E-3</c:v>
                </c:pt>
                <c:pt idx="117">
                  <c:v>5.1000000000000004E-3</c:v>
                </c:pt>
                <c:pt idx="118">
                  <c:v>5.2679999999999992E-3</c:v>
                </c:pt>
                <c:pt idx="119">
                  <c:v>5.6279999999999993E-3</c:v>
                </c:pt>
                <c:pt idx="120">
                  <c:v>5.94E-3</c:v>
                </c:pt>
                <c:pt idx="121">
                  <c:v>6.1440000000000002E-3</c:v>
                </c:pt>
                <c:pt idx="122">
                  <c:v>6.1919999999999996E-3</c:v>
                </c:pt>
                <c:pt idx="123">
                  <c:v>6.167999999999999E-3</c:v>
                </c:pt>
                <c:pt idx="124">
                  <c:v>6.167999999999999E-3</c:v>
                </c:pt>
                <c:pt idx="125">
                  <c:v>6.3240000000000006E-3</c:v>
                </c:pt>
                <c:pt idx="126">
                  <c:v>6.5399999999999998E-3</c:v>
                </c:pt>
                <c:pt idx="127">
                  <c:v>6.6600000000000001E-3</c:v>
                </c:pt>
                <c:pt idx="128">
                  <c:v>6.744E-3</c:v>
                </c:pt>
                <c:pt idx="129">
                  <c:v>6.8399999999999997E-3</c:v>
                </c:pt>
                <c:pt idx="130">
                  <c:v>6.9599999999999992E-3</c:v>
                </c:pt>
                <c:pt idx="131">
                  <c:v>7.2480000000000001E-3</c:v>
                </c:pt>
                <c:pt idx="132">
                  <c:v>7.4879999999999999E-3</c:v>
                </c:pt>
                <c:pt idx="133">
                  <c:v>7.6199999999999992E-3</c:v>
                </c:pt>
                <c:pt idx="134">
                  <c:v>7.6679999999999995E-3</c:v>
                </c:pt>
                <c:pt idx="135">
                  <c:v>7.5839999999999996E-3</c:v>
                </c:pt>
                <c:pt idx="136">
                  <c:v>7.6679999999999995E-3</c:v>
                </c:pt>
                <c:pt idx="137">
                  <c:v>7.7879999999999998E-3</c:v>
                </c:pt>
                <c:pt idx="138">
                  <c:v>7.9679999999999994E-3</c:v>
                </c:pt>
                <c:pt idx="139">
                  <c:v>8.147999999999999E-3</c:v>
                </c:pt>
                <c:pt idx="140">
                  <c:v>8.2559999999999995E-3</c:v>
                </c:pt>
                <c:pt idx="141">
                  <c:v>8.3879999999999996E-3</c:v>
                </c:pt>
                <c:pt idx="142">
                  <c:v>8.5079999999999999E-3</c:v>
                </c:pt>
                <c:pt idx="143">
                  <c:v>8.5439999999999995E-3</c:v>
                </c:pt>
                <c:pt idx="144">
                  <c:v>8.6639999999999998E-3</c:v>
                </c:pt>
                <c:pt idx="145">
                  <c:v>8.8559999999999993E-3</c:v>
                </c:pt>
                <c:pt idx="146">
                  <c:v>9.0600000000000003E-3</c:v>
                </c:pt>
                <c:pt idx="147">
                  <c:v>9.2399999999999999E-3</c:v>
                </c:pt>
                <c:pt idx="148">
                  <c:v>9.2879999999999994E-3</c:v>
                </c:pt>
                <c:pt idx="149">
                  <c:v>9.2639999999999997E-3</c:v>
                </c:pt>
                <c:pt idx="150">
                  <c:v>9.323999999999999E-3</c:v>
                </c:pt>
                <c:pt idx="151">
                  <c:v>9.3959999999999998E-3</c:v>
                </c:pt>
                <c:pt idx="152">
                  <c:v>9.6839999999999999E-3</c:v>
                </c:pt>
                <c:pt idx="153">
                  <c:v>9.9359999999999987E-3</c:v>
                </c:pt>
                <c:pt idx="154">
                  <c:v>1.0128E-2</c:v>
                </c:pt>
                <c:pt idx="155">
                  <c:v>1.0331999999999999E-2</c:v>
                </c:pt>
                <c:pt idx="156">
                  <c:v>1.0487999999999999E-2</c:v>
                </c:pt>
                <c:pt idx="157">
                  <c:v>1.0584E-2</c:v>
                </c:pt>
                <c:pt idx="158">
                  <c:v>1.0716E-2</c:v>
                </c:pt>
                <c:pt idx="159">
                  <c:v>1.0955999999999999E-2</c:v>
                </c:pt>
                <c:pt idx="160">
                  <c:v>1.1268E-2</c:v>
                </c:pt>
                <c:pt idx="161">
                  <c:v>1.1819999999999999E-2</c:v>
                </c:pt>
                <c:pt idx="162">
                  <c:v>1.248E-2</c:v>
                </c:pt>
                <c:pt idx="163">
                  <c:v>1.308E-2</c:v>
                </c:pt>
                <c:pt idx="164">
                  <c:v>1.332E-2</c:v>
                </c:pt>
                <c:pt idx="165">
                  <c:v>1.3439999999999999E-2</c:v>
                </c:pt>
                <c:pt idx="166">
                  <c:v>1.332E-2</c:v>
                </c:pt>
                <c:pt idx="167">
                  <c:v>1.308E-2</c:v>
                </c:pt>
                <c:pt idx="168">
                  <c:v>1.2960000000000001E-2</c:v>
                </c:pt>
                <c:pt idx="169">
                  <c:v>1.3439999999999999E-2</c:v>
                </c:pt>
                <c:pt idx="170">
                  <c:v>1.4280000000000001E-2</c:v>
                </c:pt>
                <c:pt idx="171">
                  <c:v>1.512E-2</c:v>
                </c:pt>
                <c:pt idx="172">
                  <c:v>1.536E-2</c:v>
                </c:pt>
                <c:pt idx="173">
                  <c:v>1.536E-2</c:v>
                </c:pt>
                <c:pt idx="174">
                  <c:v>1.536E-2</c:v>
                </c:pt>
                <c:pt idx="175">
                  <c:v>1.584E-2</c:v>
                </c:pt>
                <c:pt idx="176">
                  <c:v>1.6919999999999998E-2</c:v>
                </c:pt>
                <c:pt idx="177">
                  <c:v>1.788E-2</c:v>
                </c:pt>
                <c:pt idx="178">
                  <c:v>1.8599999999999998E-2</c:v>
                </c:pt>
                <c:pt idx="179">
                  <c:v>1.8599999999999998E-2</c:v>
                </c:pt>
                <c:pt idx="180">
                  <c:v>1.8120000000000001E-2</c:v>
                </c:pt>
                <c:pt idx="181">
                  <c:v>1.7159999999999998E-2</c:v>
                </c:pt>
                <c:pt idx="182">
                  <c:v>1.6080000000000001E-2</c:v>
                </c:pt>
                <c:pt idx="183">
                  <c:v>1.5239999999999998E-2</c:v>
                </c:pt>
                <c:pt idx="184">
                  <c:v>1.4519999999999998E-2</c:v>
                </c:pt>
                <c:pt idx="185">
                  <c:v>1.38E-2</c:v>
                </c:pt>
                <c:pt idx="186">
                  <c:v>1.308E-2</c:v>
                </c:pt>
                <c:pt idx="187">
                  <c:v>1.248E-2</c:v>
                </c:pt>
                <c:pt idx="188">
                  <c:v>1.2240000000000001E-2</c:v>
                </c:pt>
                <c:pt idx="189">
                  <c:v>1.2359999999999999E-2</c:v>
                </c:pt>
                <c:pt idx="190">
                  <c:v>1.2960000000000001E-2</c:v>
                </c:pt>
                <c:pt idx="191">
                  <c:v>1.3919999999999998E-2</c:v>
                </c:pt>
                <c:pt idx="192">
                  <c:v>1.5239999999999998E-2</c:v>
                </c:pt>
                <c:pt idx="193">
                  <c:v>1.6679999999999997E-2</c:v>
                </c:pt>
                <c:pt idx="194">
                  <c:v>1.7999999999999999E-2</c:v>
                </c:pt>
                <c:pt idx="195">
                  <c:v>1.9800000000000002E-2</c:v>
                </c:pt>
                <c:pt idx="196">
                  <c:v>2.2319999999999996E-2</c:v>
                </c:pt>
                <c:pt idx="197">
                  <c:v>2.6040000000000001E-2</c:v>
                </c:pt>
                <c:pt idx="198">
                  <c:v>3.0359999999999998E-2</c:v>
                </c:pt>
                <c:pt idx="199">
                  <c:v>3.3599999999999998E-2</c:v>
                </c:pt>
                <c:pt idx="200">
                  <c:v>3.3839999999999995E-2</c:v>
                </c:pt>
                <c:pt idx="201">
                  <c:v>3.168E-2</c:v>
                </c:pt>
                <c:pt idx="202">
                  <c:v>2.7719999999999998E-2</c:v>
                </c:pt>
                <c:pt idx="203">
                  <c:v>2.376E-2</c:v>
                </c:pt>
                <c:pt idx="204">
                  <c:v>2.0879999999999999E-2</c:v>
                </c:pt>
                <c:pt idx="205">
                  <c:v>1.908E-2</c:v>
                </c:pt>
                <c:pt idx="206">
                  <c:v>1.848E-2</c:v>
                </c:pt>
                <c:pt idx="207">
                  <c:v>1.9199999999999998E-2</c:v>
                </c:pt>
                <c:pt idx="208">
                  <c:v>2.0159999999999997E-2</c:v>
                </c:pt>
                <c:pt idx="209">
                  <c:v>2.0039999999999999E-2</c:v>
                </c:pt>
                <c:pt idx="210">
                  <c:v>1.8599999999999998E-2</c:v>
                </c:pt>
                <c:pt idx="211">
                  <c:v>1.6319999999999998E-2</c:v>
                </c:pt>
                <c:pt idx="212">
                  <c:v>1.4159999999999999E-2</c:v>
                </c:pt>
                <c:pt idx="213">
                  <c:v>1.272E-2</c:v>
                </c:pt>
                <c:pt idx="214">
                  <c:v>1.1892E-2</c:v>
                </c:pt>
                <c:pt idx="215">
                  <c:v>1.1304E-2</c:v>
                </c:pt>
                <c:pt idx="216">
                  <c:v>1.1148E-2</c:v>
                </c:pt>
                <c:pt idx="217">
                  <c:v>1.1124E-2</c:v>
                </c:pt>
                <c:pt idx="218">
                  <c:v>1.1255999999999999E-2</c:v>
                </c:pt>
                <c:pt idx="219">
                  <c:v>1.1436E-2</c:v>
                </c:pt>
                <c:pt idx="220">
                  <c:v>1.1784000000000001E-2</c:v>
                </c:pt>
                <c:pt idx="221">
                  <c:v>1.2359999999999999E-2</c:v>
                </c:pt>
                <c:pt idx="222">
                  <c:v>1.308E-2</c:v>
                </c:pt>
                <c:pt idx="223">
                  <c:v>1.4280000000000001E-2</c:v>
                </c:pt>
                <c:pt idx="224">
                  <c:v>1.5720000000000001E-2</c:v>
                </c:pt>
                <c:pt idx="225">
                  <c:v>1.7159999999999998E-2</c:v>
                </c:pt>
                <c:pt idx="226">
                  <c:v>1.8719999999999997E-2</c:v>
                </c:pt>
                <c:pt idx="227">
                  <c:v>2.0039999999999999E-2</c:v>
                </c:pt>
                <c:pt idx="228">
                  <c:v>2.2079999999999999E-2</c:v>
                </c:pt>
                <c:pt idx="229">
                  <c:v>2.6520000000000002E-2</c:v>
                </c:pt>
                <c:pt idx="230">
                  <c:v>3.5639999999999998E-2</c:v>
                </c:pt>
                <c:pt idx="231">
                  <c:v>5.0040000000000001E-2</c:v>
                </c:pt>
                <c:pt idx="232">
                  <c:v>6.7319999999999991E-2</c:v>
                </c:pt>
                <c:pt idx="233">
                  <c:v>8.0520000000000008E-2</c:v>
                </c:pt>
                <c:pt idx="234">
                  <c:v>8.1839999999999996E-2</c:v>
                </c:pt>
                <c:pt idx="235">
                  <c:v>7.2359999999999994E-2</c:v>
                </c:pt>
                <c:pt idx="236">
                  <c:v>5.7120000000000004E-2</c:v>
                </c:pt>
                <c:pt idx="237">
                  <c:v>4.308E-2</c:v>
                </c:pt>
                <c:pt idx="238">
                  <c:v>3.3359999999999994E-2</c:v>
                </c:pt>
                <c:pt idx="239">
                  <c:v>2.7719999999999998E-2</c:v>
                </c:pt>
                <c:pt idx="240">
                  <c:v>2.4239999999999998E-2</c:v>
                </c:pt>
                <c:pt idx="241">
                  <c:v>2.196E-2</c:v>
                </c:pt>
                <c:pt idx="242">
                  <c:v>2.0039999999999999E-2</c:v>
                </c:pt>
                <c:pt idx="243">
                  <c:v>1.8239999999999999E-2</c:v>
                </c:pt>
                <c:pt idx="244">
                  <c:v>1.644E-2</c:v>
                </c:pt>
                <c:pt idx="245">
                  <c:v>1.512E-2</c:v>
                </c:pt>
                <c:pt idx="246">
                  <c:v>1.4280000000000001E-2</c:v>
                </c:pt>
                <c:pt idx="247">
                  <c:v>1.536E-2</c:v>
                </c:pt>
                <c:pt idx="248">
                  <c:v>1.968E-2</c:v>
                </c:pt>
                <c:pt idx="249">
                  <c:v>2.4839999999999997E-2</c:v>
                </c:pt>
                <c:pt idx="250">
                  <c:v>2.6879999999999998E-2</c:v>
                </c:pt>
                <c:pt idx="251">
                  <c:v>2.4119999999999999E-2</c:v>
                </c:pt>
                <c:pt idx="252">
                  <c:v>1.7639999999999999E-2</c:v>
                </c:pt>
                <c:pt idx="253">
                  <c:v>1.1867999999999998E-2</c:v>
                </c:pt>
                <c:pt idx="254">
                  <c:v>8.9519999999999999E-3</c:v>
                </c:pt>
                <c:pt idx="255">
                  <c:v>7.8239999999999994E-3</c:v>
                </c:pt>
                <c:pt idx="256">
                  <c:v>7.3559999999999997E-3</c:v>
                </c:pt>
                <c:pt idx="257">
                  <c:v>7.1279999999999998E-3</c:v>
                </c:pt>
                <c:pt idx="258">
                  <c:v>6.8640000000000003E-3</c:v>
                </c:pt>
                <c:pt idx="259">
                  <c:v>6.744E-3</c:v>
                </c:pt>
                <c:pt idx="260">
                  <c:v>6.6479999999999994E-3</c:v>
                </c:pt>
                <c:pt idx="261">
                  <c:v>6.5999999999999991E-3</c:v>
                </c:pt>
                <c:pt idx="262">
                  <c:v>6.5639999999999995E-3</c:v>
                </c:pt>
                <c:pt idx="263">
                  <c:v>6.4919999999999995E-3</c:v>
                </c:pt>
                <c:pt idx="264">
                  <c:v>6.4919999999999995E-3</c:v>
                </c:pt>
                <c:pt idx="265">
                  <c:v>6.5279999999999999E-3</c:v>
                </c:pt>
                <c:pt idx="266">
                  <c:v>6.6600000000000001E-3</c:v>
                </c:pt>
                <c:pt idx="267">
                  <c:v>6.8519999999999996E-3</c:v>
                </c:pt>
                <c:pt idx="268">
                  <c:v>7.0200000000000002E-3</c:v>
                </c:pt>
                <c:pt idx="269">
                  <c:v>7.1400000000000005E-3</c:v>
                </c:pt>
                <c:pt idx="270">
                  <c:v>7.1760000000000001E-3</c:v>
                </c:pt>
                <c:pt idx="271">
                  <c:v>7.3559999999999997E-3</c:v>
                </c:pt>
                <c:pt idx="272">
                  <c:v>7.6319999999999999E-3</c:v>
                </c:pt>
                <c:pt idx="273">
                  <c:v>7.9080000000000001E-3</c:v>
                </c:pt>
                <c:pt idx="274">
                  <c:v>8.0759999999999998E-3</c:v>
                </c:pt>
                <c:pt idx="275">
                  <c:v>8.2319999999999997E-3</c:v>
                </c:pt>
                <c:pt idx="276">
                  <c:v>8.5199999999999998E-3</c:v>
                </c:pt>
                <c:pt idx="277">
                  <c:v>8.9519999999999999E-3</c:v>
                </c:pt>
                <c:pt idx="278">
                  <c:v>9.5519999999999997E-3</c:v>
                </c:pt>
                <c:pt idx="279">
                  <c:v>1.0343999999999999E-2</c:v>
                </c:pt>
                <c:pt idx="280">
                  <c:v>1.1519999999999999E-2</c:v>
                </c:pt>
                <c:pt idx="281">
                  <c:v>1.2960000000000001E-2</c:v>
                </c:pt>
                <c:pt idx="282">
                  <c:v>1.3919999999999998E-2</c:v>
                </c:pt>
                <c:pt idx="283">
                  <c:v>1.4159999999999999E-2</c:v>
                </c:pt>
                <c:pt idx="284">
                  <c:v>1.38E-2</c:v>
                </c:pt>
                <c:pt idx="285">
                  <c:v>1.332E-2</c:v>
                </c:pt>
                <c:pt idx="286">
                  <c:v>1.3199999999999998E-2</c:v>
                </c:pt>
                <c:pt idx="287">
                  <c:v>1.404E-2</c:v>
                </c:pt>
                <c:pt idx="288">
                  <c:v>1.5599999999999999E-2</c:v>
                </c:pt>
                <c:pt idx="289">
                  <c:v>1.8719999999999997E-2</c:v>
                </c:pt>
                <c:pt idx="290">
                  <c:v>2.4E-2</c:v>
                </c:pt>
                <c:pt idx="291">
                  <c:v>3.492E-2</c:v>
                </c:pt>
                <c:pt idx="292">
                  <c:v>5.5920000000000004E-2</c:v>
                </c:pt>
                <c:pt idx="293">
                  <c:v>9.9600000000000008E-2</c:v>
                </c:pt>
                <c:pt idx="294">
                  <c:v>0.1668</c:v>
                </c:pt>
                <c:pt idx="295">
                  <c:v>0.2364</c:v>
                </c:pt>
                <c:pt idx="296">
                  <c:v>0.2712</c:v>
                </c:pt>
                <c:pt idx="297">
                  <c:v>0.24959999999999999</c:v>
                </c:pt>
                <c:pt idx="298">
                  <c:v>0.186</c:v>
                </c:pt>
                <c:pt idx="299">
                  <c:v>0.11807999999999999</c:v>
                </c:pt>
                <c:pt idx="300">
                  <c:v>7.0319999999999994E-2</c:v>
                </c:pt>
                <c:pt idx="301">
                  <c:v>4.3920000000000001E-2</c:v>
                </c:pt>
                <c:pt idx="302">
                  <c:v>3.0720000000000001E-2</c:v>
                </c:pt>
                <c:pt idx="303">
                  <c:v>2.3279999999999999E-2</c:v>
                </c:pt>
                <c:pt idx="304">
                  <c:v>1.9199999999999998E-2</c:v>
                </c:pt>
                <c:pt idx="305">
                  <c:v>1.644E-2</c:v>
                </c:pt>
                <c:pt idx="306">
                  <c:v>1.464E-2</c:v>
                </c:pt>
                <c:pt idx="307">
                  <c:v>1.332E-2</c:v>
                </c:pt>
                <c:pt idx="308">
                  <c:v>1.2359999999999999E-2</c:v>
                </c:pt>
                <c:pt idx="309">
                  <c:v>1.1688E-2</c:v>
                </c:pt>
                <c:pt idx="310">
                  <c:v>1.1207999999999999E-2</c:v>
                </c:pt>
                <c:pt idx="311">
                  <c:v>1.0799999999999999E-2</c:v>
                </c:pt>
                <c:pt idx="312">
                  <c:v>1.0524E-2</c:v>
                </c:pt>
                <c:pt idx="313">
                  <c:v>1.0296000000000001E-2</c:v>
                </c:pt>
                <c:pt idx="314">
                  <c:v>1.0163999999999999E-2</c:v>
                </c:pt>
                <c:pt idx="315">
                  <c:v>1.0104E-2</c:v>
                </c:pt>
                <c:pt idx="316">
                  <c:v>1.0044000000000001E-2</c:v>
                </c:pt>
                <c:pt idx="317">
                  <c:v>9.9480000000000002E-3</c:v>
                </c:pt>
                <c:pt idx="318">
                  <c:v>9.8399999999999998E-3</c:v>
                </c:pt>
                <c:pt idx="319">
                  <c:v>9.7079999999999996E-3</c:v>
                </c:pt>
                <c:pt idx="320">
                  <c:v>9.5639999999999996E-3</c:v>
                </c:pt>
                <c:pt idx="321">
                  <c:v>9.4559999999999991E-3</c:v>
                </c:pt>
                <c:pt idx="322">
                  <c:v>9.4079999999999997E-3</c:v>
                </c:pt>
                <c:pt idx="323">
                  <c:v>9.4439999999999993E-3</c:v>
                </c:pt>
                <c:pt idx="324">
                  <c:v>9.5759999999999994E-3</c:v>
                </c:pt>
                <c:pt idx="325">
                  <c:v>9.9119999999999989E-3</c:v>
                </c:pt>
                <c:pt idx="326">
                  <c:v>1.1856E-2</c:v>
                </c:pt>
                <c:pt idx="327">
                  <c:v>2.1479999999999999E-2</c:v>
                </c:pt>
                <c:pt idx="328">
                  <c:v>4.308E-2</c:v>
                </c:pt>
                <c:pt idx="329">
                  <c:v>6.7559999999999995E-2</c:v>
                </c:pt>
                <c:pt idx="330">
                  <c:v>7.823999999999999E-2</c:v>
                </c:pt>
                <c:pt idx="331">
                  <c:v>6.6000000000000003E-2</c:v>
                </c:pt>
                <c:pt idx="332">
                  <c:v>4.2359999999999995E-2</c:v>
                </c:pt>
                <c:pt idx="333">
                  <c:v>2.2799999999999997E-2</c:v>
                </c:pt>
                <c:pt idx="334">
                  <c:v>1.38E-2</c:v>
                </c:pt>
                <c:pt idx="335">
                  <c:v>1.1195999999999999E-2</c:v>
                </c:pt>
                <c:pt idx="336">
                  <c:v>1.0248E-2</c:v>
                </c:pt>
                <c:pt idx="337">
                  <c:v>9.8279999999999982E-3</c:v>
                </c:pt>
                <c:pt idx="338">
                  <c:v>9.4920000000000004E-3</c:v>
                </c:pt>
                <c:pt idx="339">
                  <c:v>9.1679999999999991E-3</c:v>
                </c:pt>
                <c:pt idx="340">
                  <c:v>8.9040000000000005E-3</c:v>
                </c:pt>
                <c:pt idx="341">
                  <c:v>8.7479999999999988E-3</c:v>
                </c:pt>
                <c:pt idx="342">
                  <c:v>8.6400000000000001E-3</c:v>
                </c:pt>
                <c:pt idx="343">
                  <c:v>8.6040000000000005E-3</c:v>
                </c:pt>
                <c:pt idx="344">
                  <c:v>8.6159999999999987E-3</c:v>
                </c:pt>
                <c:pt idx="345">
                  <c:v>8.7600000000000004E-3</c:v>
                </c:pt>
                <c:pt idx="346">
                  <c:v>8.8559999999999993E-3</c:v>
                </c:pt>
                <c:pt idx="347">
                  <c:v>8.9280000000000002E-3</c:v>
                </c:pt>
                <c:pt idx="348">
                  <c:v>8.9879999999999995E-3</c:v>
                </c:pt>
                <c:pt idx="349">
                  <c:v>8.9639999999999997E-3</c:v>
                </c:pt>
                <c:pt idx="350">
                  <c:v>8.9160000000000003E-3</c:v>
                </c:pt>
                <c:pt idx="351">
                  <c:v>8.8679999999999991E-3</c:v>
                </c:pt>
                <c:pt idx="352">
                  <c:v>8.8559999999999993E-3</c:v>
                </c:pt>
                <c:pt idx="353">
                  <c:v>8.9639999999999997E-3</c:v>
                </c:pt>
                <c:pt idx="354">
                  <c:v>9.0479999999999988E-3</c:v>
                </c:pt>
                <c:pt idx="355">
                  <c:v>9.1199999999999996E-3</c:v>
                </c:pt>
                <c:pt idx="356">
                  <c:v>9.1799999999999989E-3</c:v>
                </c:pt>
                <c:pt idx="357">
                  <c:v>9.2879999999999994E-3</c:v>
                </c:pt>
                <c:pt idx="358">
                  <c:v>9.384E-3</c:v>
                </c:pt>
                <c:pt idx="359">
                  <c:v>9.4920000000000004E-3</c:v>
                </c:pt>
                <c:pt idx="360">
                  <c:v>9.5999999999999992E-3</c:v>
                </c:pt>
                <c:pt idx="361">
                  <c:v>9.755999999999999E-3</c:v>
                </c:pt>
                <c:pt idx="362">
                  <c:v>9.888000000000001E-3</c:v>
                </c:pt>
                <c:pt idx="363">
                  <c:v>9.9480000000000002E-3</c:v>
                </c:pt>
                <c:pt idx="364">
                  <c:v>9.9239999999999988E-3</c:v>
                </c:pt>
                <c:pt idx="365">
                  <c:v>9.9000000000000008E-3</c:v>
                </c:pt>
                <c:pt idx="366">
                  <c:v>9.888000000000001E-3</c:v>
                </c:pt>
                <c:pt idx="367">
                  <c:v>9.9480000000000002E-3</c:v>
                </c:pt>
                <c:pt idx="368">
                  <c:v>1.0139999999999998E-2</c:v>
                </c:pt>
                <c:pt idx="369">
                  <c:v>1.0416E-2</c:v>
                </c:pt>
                <c:pt idx="370">
                  <c:v>1.0751999999999999E-2</c:v>
                </c:pt>
                <c:pt idx="371">
                  <c:v>1.0968E-2</c:v>
                </c:pt>
                <c:pt idx="372">
                  <c:v>1.1136E-2</c:v>
                </c:pt>
                <c:pt idx="373">
                  <c:v>1.1304E-2</c:v>
                </c:pt>
                <c:pt idx="374">
                  <c:v>1.1495999999999999E-2</c:v>
                </c:pt>
                <c:pt idx="375">
                  <c:v>1.1748E-2</c:v>
                </c:pt>
                <c:pt idx="376">
                  <c:v>1.188E-2</c:v>
                </c:pt>
                <c:pt idx="377">
                  <c:v>1.2E-2</c:v>
                </c:pt>
                <c:pt idx="378">
                  <c:v>1.2119999999999999E-2</c:v>
                </c:pt>
                <c:pt idx="379">
                  <c:v>1.2240000000000001E-2</c:v>
                </c:pt>
                <c:pt idx="380">
                  <c:v>1.26E-2</c:v>
                </c:pt>
                <c:pt idx="381">
                  <c:v>1.308E-2</c:v>
                </c:pt>
                <c:pt idx="382">
                  <c:v>1.3439999999999999E-2</c:v>
                </c:pt>
                <c:pt idx="383">
                  <c:v>1.3919999999999998E-2</c:v>
                </c:pt>
                <c:pt idx="384">
                  <c:v>1.44E-2</c:v>
                </c:pt>
                <c:pt idx="385">
                  <c:v>1.4879999999999999E-2</c:v>
                </c:pt>
                <c:pt idx="386">
                  <c:v>1.536E-2</c:v>
                </c:pt>
                <c:pt idx="387">
                  <c:v>1.584E-2</c:v>
                </c:pt>
                <c:pt idx="388">
                  <c:v>1.6679999999999997E-2</c:v>
                </c:pt>
                <c:pt idx="389">
                  <c:v>1.8599999999999998E-2</c:v>
                </c:pt>
                <c:pt idx="390">
                  <c:v>2.172E-2</c:v>
                </c:pt>
                <c:pt idx="391">
                  <c:v>2.46E-2</c:v>
                </c:pt>
                <c:pt idx="392">
                  <c:v>2.5799999999999997E-2</c:v>
                </c:pt>
                <c:pt idx="393">
                  <c:v>2.5799999999999997E-2</c:v>
                </c:pt>
                <c:pt idx="394">
                  <c:v>2.6159999999999999E-2</c:v>
                </c:pt>
                <c:pt idx="395">
                  <c:v>2.8080000000000001E-2</c:v>
                </c:pt>
                <c:pt idx="396">
                  <c:v>3.1559999999999998E-2</c:v>
                </c:pt>
                <c:pt idx="397">
                  <c:v>3.5999999999999997E-2</c:v>
                </c:pt>
                <c:pt idx="398">
                  <c:v>4.104E-2</c:v>
                </c:pt>
                <c:pt idx="399">
                  <c:v>4.632E-2</c:v>
                </c:pt>
                <c:pt idx="400">
                  <c:v>5.1359999999999996E-2</c:v>
                </c:pt>
                <c:pt idx="401">
                  <c:v>5.5199999999999999E-2</c:v>
                </c:pt>
                <c:pt idx="402">
                  <c:v>5.8200000000000002E-2</c:v>
                </c:pt>
                <c:pt idx="403">
                  <c:v>6.0479999999999999E-2</c:v>
                </c:pt>
                <c:pt idx="404">
                  <c:v>6.2280000000000002E-2</c:v>
                </c:pt>
                <c:pt idx="405">
                  <c:v>6.3119999999999996E-2</c:v>
                </c:pt>
                <c:pt idx="406">
                  <c:v>6.2880000000000005E-2</c:v>
                </c:pt>
                <c:pt idx="407">
                  <c:v>6.1679999999999999E-2</c:v>
                </c:pt>
                <c:pt idx="408">
                  <c:v>6.0839999999999998E-2</c:v>
                </c:pt>
                <c:pt idx="409">
                  <c:v>6.0839999999999998E-2</c:v>
                </c:pt>
                <c:pt idx="410">
                  <c:v>6.1559999999999997E-2</c:v>
                </c:pt>
                <c:pt idx="411">
                  <c:v>6.2640000000000001E-2</c:v>
                </c:pt>
                <c:pt idx="412">
                  <c:v>6.4199999999999993E-2</c:v>
                </c:pt>
                <c:pt idx="413">
                  <c:v>6.6000000000000003E-2</c:v>
                </c:pt>
                <c:pt idx="414">
                  <c:v>6.8040000000000003E-2</c:v>
                </c:pt>
                <c:pt idx="415">
                  <c:v>7.0319999999999994E-2</c:v>
                </c:pt>
                <c:pt idx="416">
                  <c:v>7.2599999999999998E-2</c:v>
                </c:pt>
                <c:pt idx="417">
                  <c:v>7.4999999999999997E-2</c:v>
                </c:pt>
                <c:pt idx="418">
                  <c:v>7.7399999999999997E-2</c:v>
                </c:pt>
                <c:pt idx="419">
                  <c:v>7.9920000000000005E-2</c:v>
                </c:pt>
                <c:pt idx="420">
                  <c:v>8.2200000000000009E-2</c:v>
                </c:pt>
                <c:pt idx="421">
                  <c:v>8.471999999999999E-2</c:v>
                </c:pt>
                <c:pt idx="422">
                  <c:v>8.7360000000000007E-2</c:v>
                </c:pt>
                <c:pt idx="423">
                  <c:v>9.0240000000000001E-2</c:v>
                </c:pt>
                <c:pt idx="424">
                  <c:v>9.3240000000000003E-2</c:v>
                </c:pt>
                <c:pt idx="425">
                  <c:v>9.6839999999999996E-2</c:v>
                </c:pt>
                <c:pt idx="426">
                  <c:v>0.1014</c:v>
                </c:pt>
                <c:pt idx="427">
                  <c:v>0.10751999999999999</c:v>
                </c:pt>
                <c:pt idx="428">
                  <c:v>0.11603999999999999</c:v>
                </c:pt>
                <c:pt idx="429">
                  <c:v>0.12959999999999999</c:v>
                </c:pt>
                <c:pt idx="430">
                  <c:v>0.15240000000000001</c:v>
                </c:pt>
                <c:pt idx="431">
                  <c:v>0.19439999999999999</c:v>
                </c:pt>
                <c:pt idx="432">
                  <c:v>0.25679999999999997</c:v>
                </c:pt>
                <c:pt idx="433">
                  <c:v>0.35759999999999997</c:v>
                </c:pt>
                <c:pt idx="434">
                  <c:v>0.48480000000000001</c:v>
                </c:pt>
                <c:pt idx="435">
                  <c:v>0.60839999999999994</c:v>
                </c:pt>
                <c:pt idx="436">
                  <c:v>0.69479999999999997</c:v>
                </c:pt>
                <c:pt idx="437">
                  <c:v>0.72239999999999993</c:v>
                </c:pt>
                <c:pt idx="438">
                  <c:v>0.67919999999999991</c:v>
                </c:pt>
                <c:pt idx="439">
                  <c:v>0.56519999999999992</c:v>
                </c:pt>
                <c:pt idx="440">
                  <c:v>0.42239999999999994</c:v>
                </c:pt>
                <c:pt idx="441">
                  <c:v>0.29399999999999998</c:v>
                </c:pt>
                <c:pt idx="442">
                  <c:v>0.23280000000000001</c:v>
                </c:pt>
                <c:pt idx="443">
                  <c:v>0.20520000000000002</c:v>
                </c:pt>
                <c:pt idx="444">
                  <c:v>0.19439999999999999</c:v>
                </c:pt>
                <c:pt idx="445">
                  <c:v>0.1908</c:v>
                </c:pt>
                <c:pt idx="446">
                  <c:v>0.192</c:v>
                </c:pt>
                <c:pt idx="447">
                  <c:v>0.1968</c:v>
                </c:pt>
                <c:pt idx="448">
                  <c:v>0.20280000000000001</c:v>
                </c:pt>
                <c:pt idx="449">
                  <c:v>0.21119999999999997</c:v>
                </c:pt>
                <c:pt idx="450">
                  <c:v>0.21959999999999999</c:v>
                </c:pt>
                <c:pt idx="451">
                  <c:v>0.2316</c:v>
                </c:pt>
                <c:pt idx="452">
                  <c:v>0.2424</c:v>
                </c:pt>
                <c:pt idx="453">
                  <c:v>0.25679999999999997</c:v>
                </c:pt>
                <c:pt idx="454">
                  <c:v>0.2712</c:v>
                </c:pt>
                <c:pt idx="455">
                  <c:v>0.28799999999999998</c:v>
                </c:pt>
                <c:pt idx="456">
                  <c:v>0.30719999999999997</c:v>
                </c:pt>
                <c:pt idx="457">
                  <c:v>0.3276</c:v>
                </c:pt>
                <c:pt idx="458">
                  <c:v>0.35159999999999997</c:v>
                </c:pt>
                <c:pt idx="459">
                  <c:v>0.37679999999999997</c:v>
                </c:pt>
                <c:pt idx="460">
                  <c:v>0.40560000000000002</c:v>
                </c:pt>
                <c:pt idx="461">
                  <c:v>0.438</c:v>
                </c:pt>
                <c:pt idx="462">
                  <c:v>0.47399999999999998</c:v>
                </c:pt>
                <c:pt idx="463">
                  <c:v>0.51239999999999997</c:v>
                </c:pt>
                <c:pt idx="464">
                  <c:v>0.55559999999999998</c:v>
                </c:pt>
                <c:pt idx="465">
                  <c:v>0.60239999999999994</c:v>
                </c:pt>
                <c:pt idx="466">
                  <c:v>0.65039999999999998</c:v>
                </c:pt>
                <c:pt idx="467">
                  <c:v>0.69359999999999988</c:v>
                </c:pt>
                <c:pt idx="468">
                  <c:v>0.73080000000000001</c:v>
                </c:pt>
                <c:pt idx="469">
                  <c:v>0.75719999999999998</c:v>
                </c:pt>
                <c:pt idx="470">
                  <c:v>0.77039999999999997</c:v>
                </c:pt>
                <c:pt idx="471">
                  <c:v>0.77039999999999997</c:v>
                </c:pt>
                <c:pt idx="472">
                  <c:v>0.72119999999999995</c:v>
                </c:pt>
                <c:pt idx="473">
                  <c:v>0.60239999999999994</c:v>
                </c:pt>
                <c:pt idx="474">
                  <c:v>0.42479999999999996</c:v>
                </c:pt>
                <c:pt idx="475">
                  <c:v>0.25439999999999996</c:v>
                </c:pt>
                <c:pt idx="476">
                  <c:v>0.1452</c:v>
                </c:pt>
                <c:pt idx="477">
                  <c:v>9.5879999999999993E-2</c:v>
                </c:pt>
                <c:pt idx="478">
                  <c:v>8.3879999999999996E-2</c:v>
                </c:pt>
                <c:pt idx="479">
                  <c:v>0.10200000000000001</c:v>
                </c:pt>
                <c:pt idx="480">
                  <c:v>0.15359999999999999</c:v>
                </c:pt>
                <c:pt idx="481">
                  <c:v>0.25559999999999999</c:v>
                </c:pt>
                <c:pt idx="482">
                  <c:v>0.39600000000000002</c:v>
                </c:pt>
                <c:pt idx="483">
                  <c:v>0.54959999999999998</c:v>
                </c:pt>
                <c:pt idx="484">
                  <c:v>0.67919999999999991</c:v>
                </c:pt>
                <c:pt idx="485">
                  <c:v>0.76319999999999999</c:v>
                </c:pt>
                <c:pt idx="486">
                  <c:v>0.80280000000000007</c:v>
                </c:pt>
                <c:pt idx="487">
                  <c:v>0.81840000000000002</c:v>
                </c:pt>
                <c:pt idx="488">
                  <c:v>0.82320000000000004</c:v>
                </c:pt>
                <c:pt idx="489">
                  <c:v>0.82440000000000002</c:v>
                </c:pt>
                <c:pt idx="490">
                  <c:v>0.82559999999999989</c:v>
                </c:pt>
                <c:pt idx="491">
                  <c:v>0.82200000000000006</c:v>
                </c:pt>
                <c:pt idx="492">
                  <c:v>0.80759999999999998</c:v>
                </c:pt>
                <c:pt idx="493">
                  <c:v>0.77880000000000005</c:v>
                </c:pt>
                <c:pt idx="494">
                  <c:v>0.74399999999999999</c:v>
                </c:pt>
                <c:pt idx="495">
                  <c:v>0.71279999999999999</c:v>
                </c:pt>
                <c:pt idx="496">
                  <c:v>0.68399999999999994</c:v>
                </c:pt>
                <c:pt idx="497">
                  <c:v>0.65760000000000007</c:v>
                </c:pt>
                <c:pt idx="498">
                  <c:v>0.63</c:v>
                </c:pt>
                <c:pt idx="499">
                  <c:v>0.60360000000000003</c:v>
                </c:pt>
                <c:pt idx="500">
                  <c:v>0.58079999999999998</c:v>
                </c:pt>
                <c:pt idx="501">
                  <c:v>0.55800000000000005</c:v>
                </c:pt>
                <c:pt idx="502">
                  <c:v>0.53759999999999997</c:v>
                </c:pt>
                <c:pt idx="503">
                  <c:v>0.51719999999999999</c:v>
                </c:pt>
                <c:pt idx="504">
                  <c:v>0.49799999999999994</c:v>
                </c:pt>
                <c:pt idx="505">
                  <c:v>0.4788</c:v>
                </c:pt>
                <c:pt idx="506">
                  <c:v>0.46199999999999997</c:v>
                </c:pt>
                <c:pt idx="507">
                  <c:v>0.44400000000000001</c:v>
                </c:pt>
                <c:pt idx="508">
                  <c:v>0.42839999999999995</c:v>
                </c:pt>
                <c:pt idx="509">
                  <c:v>0.41399999999999998</c:v>
                </c:pt>
                <c:pt idx="510">
                  <c:v>0.39960000000000001</c:v>
                </c:pt>
                <c:pt idx="511">
                  <c:v>0.38640000000000002</c:v>
                </c:pt>
                <c:pt idx="512">
                  <c:v>0.372</c:v>
                </c:pt>
                <c:pt idx="513">
                  <c:v>0.36</c:v>
                </c:pt>
                <c:pt idx="514">
                  <c:v>0.34919999999999995</c:v>
                </c:pt>
                <c:pt idx="515">
                  <c:v>0.3372</c:v>
                </c:pt>
                <c:pt idx="516">
                  <c:v>0.32640000000000002</c:v>
                </c:pt>
                <c:pt idx="517">
                  <c:v>0.31680000000000003</c:v>
                </c:pt>
                <c:pt idx="518">
                  <c:v>0.30719999999999997</c:v>
                </c:pt>
                <c:pt idx="519">
                  <c:v>0.29759999999999998</c:v>
                </c:pt>
                <c:pt idx="520">
                  <c:v>0.28919999999999996</c:v>
                </c:pt>
                <c:pt idx="521">
                  <c:v>0.28199999999999997</c:v>
                </c:pt>
                <c:pt idx="522">
                  <c:v>0.27360000000000001</c:v>
                </c:pt>
                <c:pt idx="523">
                  <c:v>0.26639999999999997</c:v>
                </c:pt>
                <c:pt idx="524">
                  <c:v>0.26039999999999996</c:v>
                </c:pt>
                <c:pt idx="525">
                  <c:v>0.25319999999999998</c:v>
                </c:pt>
                <c:pt idx="526">
                  <c:v>0.24839999999999998</c:v>
                </c:pt>
                <c:pt idx="527">
                  <c:v>0.25319999999999998</c:v>
                </c:pt>
                <c:pt idx="528">
                  <c:v>0.29399999999999998</c:v>
                </c:pt>
                <c:pt idx="529">
                  <c:v>0.38640000000000002</c:v>
                </c:pt>
                <c:pt idx="530">
                  <c:v>0.49559999999999993</c:v>
                </c:pt>
                <c:pt idx="531">
                  <c:v>0.53879999999999995</c:v>
                </c:pt>
                <c:pt idx="532">
                  <c:v>0.47639999999999999</c:v>
                </c:pt>
                <c:pt idx="533">
                  <c:v>0.35879999999999995</c:v>
                </c:pt>
                <c:pt idx="534">
                  <c:v>0.2616</c:v>
                </c:pt>
                <c:pt idx="535">
                  <c:v>0.21839999999999998</c:v>
                </c:pt>
                <c:pt idx="536">
                  <c:v>0.20280000000000001</c:v>
                </c:pt>
                <c:pt idx="537">
                  <c:v>0.19439999999999999</c:v>
                </c:pt>
                <c:pt idx="538">
                  <c:v>0.18959999999999999</c:v>
                </c:pt>
                <c:pt idx="539">
                  <c:v>0.18479999999999999</c:v>
                </c:pt>
                <c:pt idx="540">
                  <c:v>0.1812</c:v>
                </c:pt>
                <c:pt idx="541">
                  <c:v>0.17759999999999998</c:v>
                </c:pt>
                <c:pt idx="542">
                  <c:v>0.17399999999999999</c:v>
                </c:pt>
                <c:pt idx="543">
                  <c:v>0.17039999999999997</c:v>
                </c:pt>
                <c:pt idx="544">
                  <c:v>0.1668</c:v>
                </c:pt>
                <c:pt idx="545">
                  <c:v>0.16440000000000002</c:v>
                </c:pt>
                <c:pt idx="546">
                  <c:v>0.16200000000000001</c:v>
                </c:pt>
                <c:pt idx="547">
                  <c:v>0.15840000000000001</c:v>
                </c:pt>
                <c:pt idx="548">
                  <c:v>0.156</c:v>
                </c:pt>
                <c:pt idx="549">
                  <c:v>0.15359999999999999</c:v>
                </c:pt>
                <c:pt idx="550">
                  <c:v>0.1512</c:v>
                </c:pt>
                <c:pt idx="551">
                  <c:v>0.14879999999999999</c:v>
                </c:pt>
                <c:pt idx="552">
                  <c:v>0.1464</c:v>
                </c:pt>
                <c:pt idx="553">
                  <c:v>0.1452</c:v>
                </c:pt>
                <c:pt idx="554">
                  <c:v>0.14279999999999998</c:v>
                </c:pt>
                <c:pt idx="555">
                  <c:v>0.14159999999999998</c:v>
                </c:pt>
                <c:pt idx="556">
                  <c:v>0.13919999999999999</c:v>
                </c:pt>
                <c:pt idx="557">
                  <c:v>0.13800000000000001</c:v>
                </c:pt>
                <c:pt idx="558">
                  <c:v>0.1356</c:v>
                </c:pt>
                <c:pt idx="559">
                  <c:v>0.13319999999999999</c:v>
                </c:pt>
                <c:pt idx="560">
                  <c:v>0.13200000000000001</c:v>
                </c:pt>
                <c:pt idx="561">
                  <c:v>0.1308</c:v>
                </c:pt>
                <c:pt idx="562">
                  <c:v>0.12839999999999999</c:v>
                </c:pt>
                <c:pt idx="563">
                  <c:v>0.12719999999999998</c:v>
                </c:pt>
                <c:pt idx="564">
                  <c:v>0.126</c:v>
                </c:pt>
                <c:pt idx="565">
                  <c:v>0.12479999999999999</c:v>
                </c:pt>
                <c:pt idx="566">
                  <c:v>0.12359999999999999</c:v>
                </c:pt>
                <c:pt idx="567">
                  <c:v>0.12239999999999998</c:v>
                </c:pt>
                <c:pt idx="568">
                  <c:v>0.1212</c:v>
                </c:pt>
                <c:pt idx="569">
                  <c:v>0.12</c:v>
                </c:pt>
                <c:pt idx="570">
                  <c:v>0.11867999999999999</c:v>
                </c:pt>
                <c:pt idx="571">
                  <c:v>0.11712</c:v>
                </c:pt>
                <c:pt idx="572">
                  <c:v>0.1152</c:v>
                </c:pt>
                <c:pt idx="573">
                  <c:v>0.11364</c:v>
                </c:pt>
                <c:pt idx="574">
                  <c:v>0.11208</c:v>
                </c:pt>
                <c:pt idx="575">
                  <c:v>0.11051999999999999</c:v>
                </c:pt>
                <c:pt idx="576">
                  <c:v>0.10908</c:v>
                </c:pt>
                <c:pt idx="577">
                  <c:v>0.10776000000000001</c:v>
                </c:pt>
                <c:pt idx="578">
                  <c:v>0.10656</c:v>
                </c:pt>
                <c:pt idx="579">
                  <c:v>0.10536</c:v>
                </c:pt>
                <c:pt idx="580">
                  <c:v>0.10416</c:v>
                </c:pt>
                <c:pt idx="581">
                  <c:v>0.10271999999999999</c:v>
                </c:pt>
                <c:pt idx="582">
                  <c:v>0.10128</c:v>
                </c:pt>
                <c:pt idx="583">
                  <c:v>9.9959999999999993E-2</c:v>
                </c:pt>
                <c:pt idx="584">
                  <c:v>9.8639999999999992E-2</c:v>
                </c:pt>
                <c:pt idx="585">
                  <c:v>9.7320000000000004E-2</c:v>
                </c:pt>
                <c:pt idx="586">
                  <c:v>9.5879999999999993E-2</c:v>
                </c:pt>
                <c:pt idx="587">
                  <c:v>9.4559999999999991E-2</c:v>
                </c:pt>
                <c:pt idx="588">
                  <c:v>9.3719999999999998E-2</c:v>
                </c:pt>
                <c:pt idx="589">
                  <c:v>9.2759999999999995E-2</c:v>
                </c:pt>
                <c:pt idx="590">
                  <c:v>9.2039999999999997E-2</c:v>
                </c:pt>
                <c:pt idx="591">
                  <c:v>9.1079999999999994E-2</c:v>
                </c:pt>
                <c:pt idx="592">
                  <c:v>9.0479999999999991E-2</c:v>
                </c:pt>
                <c:pt idx="593">
                  <c:v>8.9760000000000006E-2</c:v>
                </c:pt>
                <c:pt idx="594">
                  <c:v>8.9039999999999994E-2</c:v>
                </c:pt>
                <c:pt idx="595">
                  <c:v>8.8080000000000006E-2</c:v>
                </c:pt>
                <c:pt idx="596">
                  <c:v>8.6760000000000004E-2</c:v>
                </c:pt>
                <c:pt idx="597">
                  <c:v>8.4959999999999994E-2</c:v>
                </c:pt>
                <c:pt idx="598">
                  <c:v>8.3159999999999998E-2</c:v>
                </c:pt>
                <c:pt idx="599">
                  <c:v>8.1119999999999984E-2</c:v>
                </c:pt>
                <c:pt idx="600">
                  <c:v>7.9920000000000005E-2</c:v>
                </c:pt>
                <c:pt idx="601">
                  <c:v>7.9200000000000007E-2</c:v>
                </c:pt>
                <c:pt idx="602">
                  <c:v>7.8479999999999994E-2</c:v>
                </c:pt>
                <c:pt idx="603">
                  <c:v>7.7879999999999991E-2</c:v>
                </c:pt>
                <c:pt idx="604">
                  <c:v>7.7399999999999997E-2</c:v>
                </c:pt>
                <c:pt idx="605">
                  <c:v>7.7399999999999997E-2</c:v>
                </c:pt>
                <c:pt idx="606">
                  <c:v>7.7520000000000006E-2</c:v>
                </c:pt>
                <c:pt idx="607">
                  <c:v>7.8120000000000009E-2</c:v>
                </c:pt>
                <c:pt idx="608">
                  <c:v>7.8839999999999993E-2</c:v>
                </c:pt>
                <c:pt idx="609">
                  <c:v>7.9320000000000002E-2</c:v>
                </c:pt>
                <c:pt idx="610">
                  <c:v>7.9320000000000002E-2</c:v>
                </c:pt>
                <c:pt idx="611">
                  <c:v>7.9200000000000007E-2</c:v>
                </c:pt>
                <c:pt idx="612">
                  <c:v>7.8719999999999998E-2</c:v>
                </c:pt>
                <c:pt idx="613">
                  <c:v>7.8120000000000009E-2</c:v>
                </c:pt>
                <c:pt idx="614">
                  <c:v>7.6920000000000002E-2</c:v>
                </c:pt>
                <c:pt idx="615">
                  <c:v>7.5719999999999996E-2</c:v>
                </c:pt>
                <c:pt idx="616">
                  <c:v>7.4639999999999998E-2</c:v>
                </c:pt>
                <c:pt idx="617">
                  <c:v>7.3439999999999991E-2</c:v>
                </c:pt>
                <c:pt idx="618">
                  <c:v>7.1999999999999995E-2</c:v>
                </c:pt>
                <c:pt idx="619">
                  <c:v>7.0440000000000003E-2</c:v>
                </c:pt>
                <c:pt idx="620">
                  <c:v>6.8759999999999988E-2</c:v>
                </c:pt>
                <c:pt idx="621">
                  <c:v>6.7559999999999995E-2</c:v>
                </c:pt>
                <c:pt idx="622">
                  <c:v>6.6599999999999993E-2</c:v>
                </c:pt>
                <c:pt idx="623">
                  <c:v>6.6000000000000003E-2</c:v>
                </c:pt>
                <c:pt idx="624">
                  <c:v>6.5279999999999991E-2</c:v>
                </c:pt>
                <c:pt idx="625">
                  <c:v>6.4799999999999996E-2</c:v>
                </c:pt>
                <c:pt idx="626">
                  <c:v>6.4439999999999997E-2</c:v>
                </c:pt>
                <c:pt idx="627">
                  <c:v>6.4559999999999992E-2</c:v>
                </c:pt>
                <c:pt idx="628">
                  <c:v>6.5040000000000001E-2</c:v>
                </c:pt>
                <c:pt idx="629">
                  <c:v>6.5759999999999999E-2</c:v>
                </c:pt>
                <c:pt idx="630">
                  <c:v>6.6479999999999997E-2</c:v>
                </c:pt>
                <c:pt idx="631">
                  <c:v>6.7319999999999991E-2</c:v>
                </c:pt>
                <c:pt idx="632">
                  <c:v>6.8159999999999998E-2</c:v>
                </c:pt>
                <c:pt idx="633">
                  <c:v>6.9000000000000006E-2</c:v>
                </c:pt>
                <c:pt idx="634">
                  <c:v>7.0199999999999999E-2</c:v>
                </c:pt>
                <c:pt idx="635">
                  <c:v>7.1279999999999996E-2</c:v>
                </c:pt>
                <c:pt idx="636">
                  <c:v>7.2239999999999999E-2</c:v>
                </c:pt>
                <c:pt idx="637">
                  <c:v>7.2719999999999993E-2</c:v>
                </c:pt>
                <c:pt idx="638">
                  <c:v>7.356E-2</c:v>
                </c:pt>
                <c:pt idx="639">
                  <c:v>7.5240000000000001E-2</c:v>
                </c:pt>
                <c:pt idx="640">
                  <c:v>7.6559999999999989E-2</c:v>
                </c:pt>
                <c:pt idx="641">
                  <c:v>7.7039999999999983E-2</c:v>
                </c:pt>
                <c:pt idx="642">
                  <c:v>7.6319999999999999E-2</c:v>
                </c:pt>
                <c:pt idx="643">
                  <c:v>7.5240000000000001E-2</c:v>
                </c:pt>
                <c:pt idx="644">
                  <c:v>7.4160000000000004E-2</c:v>
                </c:pt>
                <c:pt idx="645">
                  <c:v>7.3319999999999996E-2</c:v>
                </c:pt>
                <c:pt idx="646">
                  <c:v>7.2839999999999988E-2</c:v>
                </c:pt>
                <c:pt idx="647">
                  <c:v>7.1999999999999995E-2</c:v>
                </c:pt>
                <c:pt idx="648">
                  <c:v>7.0919999999999997E-2</c:v>
                </c:pt>
                <c:pt idx="649">
                  <c:v>7.0080000000000003E-2</c:v>
                </c:pt>
                <c:pt idx="650">
                  <c:v>6.9239999999999996E-2</c:v>
                </c:pt>
                <c:pt idx="651">
                  <c:v>6.8279999999999993E-2</c:v>
                </c:pt>
                <c:pt idx="652">
                  <c:v>6.6719999999999988E-2</c:v>
                </c:pt>
                <c:pt idx="653">
                  <c:v>6.5040000000000001E-2</c:v>
                </c:pt>
                <c:pt idx="654">
                  <c:v>6.3119999999999996E-2</c:v>
                </c:pt>
                <c:pt idx="655">
                  <c:v>6.132E-2</c:v>
                </c:pt>
                <c:pt idx="656">
                  <c:v>0.06</c:v>
                </c:pt>
                <c:pt idx="657">
                  <c:v>5.8560000000000001E-2</c:v>
                </c:pt>
                <c:pt idx="658">
                  <c:v>5.7239999999999999E-2</c:v>
                </c:pt>
                <c:pt idx="659">
                  <c:v>5.5799999999999995E-2</c:v>
                </c:pt>
                <c:pt idx="660">
                  <c:v>5.4719999999999998E-2</c:v>
                </c:pt>
                <c:pt idx="661">
                  <c:v>5.3159999999999999E-2</c:v>
                </c:pt>
                <c:pt idx="662">
                  <c:v>5.1240000000000001E-2</c:v>
                </c:pt>
                <c:pt idx="663">
                  <c:v>4.9439999999999998E-2</c:v>
                </c:pt>
                <c:pt idx="664">
                  <c:v>4.7879999999999999E-2</c:v>
                </c:pt>
                <c:pt idx="665">
                  <c:v>4.6679999999999992E-2</c:v>
                </c:pt>
                <c:pt idx="666">
                  <c:v>4.5599999999999995E-2</c:v>
                </c:pt>
                <c:pt idx="667">
                  <c:v>4.4399999999999995E-2</c:v>
                </c:pt>
                <c:pt idx="668">
                  <c:v>4.3439999999999999E-2</c:v>
                </c:pt>
                <c:pt idx="669">
                  <c:v>4.2359999999999995E-2</c:v>
                </c:pt>
                <c:pt idx="670">
                  <c:v>4.1399999999999999E-2</c:v>
                </c:pt>
                <c:pt idx="671">
                  <c:v>4.0439999999999997E-2</c:v>
                </c:pt>
                <c:pt idx="672">
                  <c:v>3.9719999999999998E-2</c:v>
                </c:pt>
                <c:pt idx="673">
                  <c:v>3.9E-2</c:v>
                </c:pt>
                <c:pt idx="674">
                  <c:v>3.8279999999999995E-2</c:v>
                </c:pt>
                <c:pt idx="675">
                  <c:v>3.78E-2</c:v>
                </c:pt>
                <c:pt idx="676">
                  <c:v>3.7080000000000002E-2</c:v>
                </c:pt>
                <c:pt idx="677">
                  <c:v>3.6240000000000001E-2</c:v>
                </c:pt>
                <c:pt idx="678">
                  <c:v>3.5279999999999999E-2</c:v>
                </c:pt>
                <c:pt idx="679">
                  <c:v>3.4679999999999996E-2</c:v>
                </c:pt>
                <c:pt idx="680">
                  <c:v>3.456E-2</c:v>
                </c:pt>
                <c:pt idx="681">
                  <c:v>3.4679999999999996E-2</c:v>
                </c:pt>
                <c:pt idx="682">
                  <c:v>3.456E-2</c:v>
                </c:pt>
                <c:pt idx="683">
                  <c:v>3.4439999999999998E-2</c:v>
                </c:pt>
                <c:pt idx="684">
                  <c:v>3.4200000000000001E-2</c:v>
                </c:pt>
                <c:pt idx="685">
                  <c:v>3.4200000000000001E-2</c:v>
                </c:pt>
                <c:pt idx="686">
                  <c:v>3.4439999999999998E-2</c:v>
                </c:pt>
                <c:pt idx="687">
                  <c:v>3.4439999999999998E-2</c:v>
                </c:pt>
                <c:pt idx="688">
                  <c:v>3.4200000000000001E-2</c:v>
                </c:pt>
                <c:pt idx="689">
                  <c:v>3.3599999999999998E-2</c:v>
                </c:pt>
                <c:pt idx="690">
                  <c:v>3.3000000000000002E-2</c:v>
                </c:pt>
                <c:pt idx="691">
                  <c:v>3.252E-2</c:v>
                </c:pt>
                <c:pt idx="692">
                  <c:v>3.2279999999999996E-2</c:v>
                </c:pt>
                <c:pt idx="693">
                  <c:v>3.2399999999999998E-2</c:v>
                </c:pt>
                <c:pt idx="694">
                  <c:v>3.2160000000000001E-2</c:v>
                </c:pt>
                <c:pt idx="695">
                  <c:v>3.1799999999999995E-2</c:v>
                </c:pt>
                <c:pt idx="696">
                  <c:v>3.1559999999999998E-2</c:v>
                </c:pt>
                <c:pt idx="697">
                  <c:v>3.1799999999999995E-2</c:v>
                </c:pt>
                <c:pt idx="698">
                  <c:v>3.2039999999999999E-2</c:v>
                </c:pt>
                <c:pt idx="699">
                  <c:v>3.2039999999999999E-2</c:v>
                </c:pt>
                <c:pt idx="700">
                  <c:v>3.168E-2</c:v>
                </c:pt>
                <c:pt idx="701">
                  <c:v>3.1559999999999998E-2</c:v>
                </c:pt>
                <c:pt idx="702">
                  <c:v>3.1440000000000003E-2</c:v>
                </c:pt>
                <c:pt idx="703">
                  <c:v>3.0959999999999998E-2</c:v>
                </c:pt>
                <c:pt idx="704">
                  <c:v>3.0359999999999998E-2</c:v>
                </c:pt>
                <c:pt idx="705">
                  <c:v>3.0359999999999998E-2</c:v>
                </c:pt>
                <c:pt idx="706">
                  <c:v>3.0839999999999999E-2</c:v>
                </c:pt>
                <c:pt idx="707">
                  <c:v>3.1320000000000001E-2</c:v>
                </c:pt>
                <c:pt idx="708">
                  <c:v>3.1199999999999999E-2</c:v>
                </c:pt>
                <c:pt idx="709">
                  <c:v>3.0959999999999998E-2</c:v>
                </c:pt>
                <c:pt idx="710">
                  <c:v>3.0720000000000001E-2</c:v>
                </c:pt>
                <c:pt idx="711">
                  <c:v>3.0479999999999997E-2</c:v>
                </c:pt>
                <c:pt idx="712">
                  <c:v>3.024E-2</c:v>
                </c:pt>
                <c:pt idx="713">
                  <c:v>3.0120000000000001E-2</c:v>
                </c:pt>
                <c:pt idx="714">
                  <c:v>3.024E-2</c:v>
                </c:pt>
                <c:pt idx="715">
                  <c:v>3.0120000000000001E-2</c:v>
                </c:pt>
                <c:pt idx="716">
                  <c:v>0.03</c:v>
                </c:pt>
                <c:pt idx="717">
                  <c:v>2.9519999999999998E-2</c:v>
                </c:pt>
                <c:pt idx="718">
                  <c:v>2.9399999999999999E-2</c:v>
                </c:pt>
                <c:pt idx="719">
                  <c:v>2.928E-2</c:v>
                </c:pt>
                <c:pt idx="720">
                  <c:v>2.964E-2</c:v>
                </c:pt>
                <c:pt idx="721">
                  <c:v>2.964E-2</c:v>
                </c:pt>
                <c:pt idx="722">
                  <c:v>2.964E-2</c:v>
                </c:pt>
                <c:pt idx="723">
                  <c:v>2.9159999999999998E-2</c:v>
                </c:pt>
                <c:pt idx="724">
                  <c:v>2.9039999999999996E-2</c:v>
                </c:pt>
                <c:pt idx="725">
                  <c:v>2.8799999999999999E-2</c:v>
                </c:pt>
                <c:pt idx="726">
                  <c:v>2.8799999999999999E-2</c:v>
                </c:pt>
                <c:pt idx="727">
                  <c:v>2.8919999999999998E-2</c:v>
                </c:pt>
                <c:pt idx="728">
                  <c:v>2.928E-2</c:v>
                </c:pt>
                <c:pt idx="729">
                  <c:v>2.9159999999999998E-2</c:v>
                </c:pt>
                <c:pt idx="730">
                  <c:v>2.8319999999999998E-2</c:v>
                </c:pt>
                <c:pt idx="731">
                  <c:v>2.8199999999999999E-2</c:v>
                </c:pt>
                <c:pt idx="732">
                  <c:v>2.8199999999999999E-2</c:v>
                </c:pt>
                <c:pt idx="733">
                  <c:v>2.8439999999999997E-2</c:v>
                </c:pt>
                <c:pt idx="734">
                  <c:v>2.8319999999999998E-2</c:v>
                </c:pt>
                <c:pt idx="735">
                  <c:v>2.8199999999999999E-2</c:v>
                </c:pt>
                <c:pt idx="736">
                  <c:v>2.8199999999999999E-2</c:v>
                </c:pt>
                <c:pt idx="737">
                  <c:v>2.7839999999999997E-2</c:v>
                </c:pt>
                <c:pt idx="738">
                  <c:v>2.7839999999999997E-2</c:v>
                </c:pt>
                <c:pt idx="739">
                  <c:v>2.7719999999999998E-2</c:v>
                </c:pt>
                <c:pt idx="740">
                  <c:v>2.7480000000000001E-2</c:v>
                </c:pt>
                <c:pt idx="741">
                  <c:v>2.7E-2</c:v>
                </c:pt>
                <c:pt idx="742">
                  <c:v>2.7119999999999998E-2</c:v>
                </c:pt>
                <c:pt idx="743">
                  <c:v>2.7719999999999998E-2</c:v>
                </c:pt>
                <c:pt idx="744">
                  <c:v>2.7960000000000002E-2</c:v>
                </c:pt>
                <c:pt idx="745">
                  <c:v>2.7839999999999997E-2</c:v>
                </c:pt>
                <c:pt idx="746">
                  <c:v>2.7359999999999999E-2</c:v>
                </c:pt>
                <c:pt idx="747">
                  <c:v>2.7E-2</c:v>
                </c:pt>
                <c:pt idx="748">
                  <c:v>2.6879999999999998E-2</c:v>
                </c:pt>
                <c:pt idx="749">
                  <c:v>2.7480000000000001E-2</c:v>
                </c:pt>
                <c:pt idx="750">
                  <c:v>2.7719999999999998E-2</c:v>
                </c:pt>
                <c:pt idx="751">
                  <c:v>2.7480000000000001E-2</c:v>
                </c:pt>
                <c:pt idx="752">
                  <c:v>2.7119999999999998E-2</c:v>
                </c:pt>
                <c:pt idx="753">
                  <c:v>2.6759999999999999E-2</c:v>
                </c:pt>
                <c:pt idx="754">
                  <c:v>2.6399999999999996E-2</c:v>
                </c:pt>
                <c:pt idx="755">
                  <c:v>2.6520000000000002E-2</c:v>
                </c:pt>
                <c:pt idx="756">
                  <c:v>2.664E-2</c:v>
                </c:pt>
                <c:pt idx="757">
                  <c:v>2.6520000000000002E-2</c:v>
                </c:pt>
                <c:pt idx="758">
                  <c:v>2.7E-2</c:v>
                </c:pt>
                <c:pt idx="759">
                  <c:v>2.7480000000000001E-2</c:v>
                </c:pt>
                <c:pt idx="760">
                  <c:v>2.7480000000000001E-2</c:v>
                </c:pt>
                <c:pt idx="761">
                  <c:v>2.5799999999999997E-2</c:v>
                </c:pt>
                <c:pt idx="762">
                  <c:v>2.5079999999999998E-2</c:v>
                </c:pt>
                <c:pt idx="763">
                  <c:v>2.5799999999999997E-2</c:v>
                </c:pt>
                <c:pt idx="764">
                  <c:v>2.7480000000000001E-2</c:v>
                </c:pt>
                <c:pt idx="765">
                  <c:v>2.76E-2</c:v>
                </c:pt>
                <c:pt idx="766">
                  <c:v>2.7E-2</c:v>
                </c:pt>
                <c:pt idx="767">
                  <c:v>2.664E-2</c:v>
                </c:pt>
                <c:pt idx="768">
                  <c:v>2.6520000000000002E-2</c:v>
                </c:pt>
                <c:pt idx="769">
                  <c:v>2.664E-2</c:v>
                </c:pt>
                <c:pt idx="770">
                  <c:v>2.7119999999999998E-2</c:v>
                </c:pt>
                <c:pt idx="771">
                  <c:v>2.7119999999999998E-2</c:v>
                </c:pt>
                <c:pt idx="772">
                  <c:v>2.7119999999999998E-2</c:v>
                </c:pt>
                <c:pt idx="773">
                  <c:v>2.7119999999999998E-2</c:v>
                </c:pt>
                <c:pt idx="774">
                  <c:v>2.724E-2</c:v>
                </c:pt>
                <c:pt idx="775">
                  <c:v>2.7119999999999998E-2</c:v>
                </c:pt>
                <c:pt idx="776">
                  <c:v>2.7359999999999999E-2</c:v>
                </c:pt>
                <c:pt idx="777">
                  <c:v>2.7359999999999999E-2</c:v>
                </c:pt>
                <c:pt idx="778">
                  <c:v>2.7359999999999999E-2</c:v>
                </c:pt>
                <c:pt idx="779">
                  <c:v>2.724E-2</c:v>
                </c:pt>
                <c:pt idx="780">
                  <c:v>2.7480000000000001E-2</c:v>
                </c:pt>
                <c:pt idx="781">
                  <c:v>2.7719999999999998E-2</c:v>
                </c:pt>
                <c:pt idx="782">
                  <c:v>2.7719999999999998E-2</c:v>
                </c:pt>
                <c:pt idx="783">
                  <c:v>2.6520000000000002E-2</c:v>
                </c:pt>
                <c:pt idx="784">
                  <c:v>2.5440000000000001E-2</c:v>
                </c:pt>
                <c:pt idx="785">
                  <c:v>2.5440000000000001E-2</c:v>
                </c:pt>
                <c:pt idx="786">
                  <c:v>2.6159999999999999E-2</c:v>
                </c:pt>
                <c:pt idx="787">
                  <c:v>2.6879999999999998E-2</c:v>
                </c:pt>
                <c:pt idx="788">
                  <c:v>2.6759999999999999E-2</c:v>
                </c:pt>
                <c:pt idx="789">
                  <c:v>2.7E-2</c:v>
                </c:pt>
                <c:pt idx="790">
                  <c:v>2.7119999999999998E-2</c:v>
                </c:pt>
                <c:pt idx="791">
                  <c:v>2.7480000000000001E-2</c:v>
                </c:pt>
                <c:pt idx="792">
                  <c:v>2.7839999999999997E-2</c:v>
                </c:pt>
                <c:pt idx="793">
                  <c:v>2.7960000000000002E-2</c:v>
                </c:pt>
                <c:pt idx="794">
                  <c:v>2.8199999999999999E-2</c:v>
                </c:pt>
                <c:pt idx="795">
                  <c:v>2.7960000000000002E-2</c:v>
                </c:pt>
                <c:pt idx="796">
                  <c:v>2.724E-2</c:v>
                </c:pt>
                <c:pt idx="797">
                  <c:v>2.7E-2</c:v>
                </c:pt>
                <c:pt idx="798">
                  <c:v>2.7359999999999999E-2</c:v>
                </c:pt>
                <c:pt idx="799">
                  <c:v>2.8439999999999997E-2</c:v>
                </c:pt>
                <c:pt idx="800">
                  <c:v>2.9519999999999998E-2</c:v>
                </c:pt>
                <c:pt idx="801">
                  <c:v>3.1199999999999999E-2</c:v>
                </c:pt>
                <c:pt idx="802">
                  <c:v>3.2279999999999996E-2</c:v>
                </c:pt>
                <c:pt idx="803">
                  <c:v>3.2039999999999999E-2</c:v>
                </c:pt>
                <c:pt idx="804">
                  <c:v>3.1199999999999999E-2</c:v>
                </c:pt>
                <c:pt idx="805">
                  <c:v>3.0120000000000001E-2</c:v>
                </c:pt>
                <c:pt idx="806">
                  <c:v>2.928E-2</c:v>
                </c:pt>
                <c:pt idx="807">
                  <c:v>2.8560000000000002E-2</c:v>
                </c:pt>
                <c:pt idx="808">
                  <c:v>2.8319999999999998E-2</c:v>
                </c:pt>
                <c:pt idx="809">
                  <c:v>2.8439999999999997E-2</c:v>
                </c:pt>
                <c:pt idx="810">
                  <c:v>2.7839999999999997E-2</c:v>
                </c:pt>
                <c:pt idx="811">
                  <c:v>2.7E-2</c:v>
                </c:pt>
                <c:pt idx="812">
                  <c:v>2.7359999999999999E-2</c:v>
                </c:pt>
                <c:pt idx="813">
                  <c:v>2.7839999999999997E-2</c:v>
                </c:pt>
                <c:pt idx="814">
                  <c:v>2.76E-2</c:v>
                </c:pt>
                <c:pt idx="815">
                  <c:v>2.664E-2</c:v>
                </c:pt>
                <c:pt idx="816">
                  <c:v>2.6040000000000001E-2</c:v>
                </c:pt>
                <c:pt idx="817">
                  <c:v>2.5920000000000002E-2</c:v>
                </c:pt>
                <c:pt idx="818">
                  <c:v>2.6759999999999999E-2</c:v>
                </c:pt>
                <c:pt idx="819">
                  <c:v>2.76E-2</c:v>
                </c:pt>
                <c:pt idx="820">
                  <c:v>2.7839999999999997E-2</c:v>
                </c:pt>
                <c:pt idx="821">
                  <c:v>2.7480000000000001E-2</c:v>
                </c:pt>
                <c:pt idx="822">
                  <c:v>2.6759999999999999E-2</c:v>
                </c:pt>
                <c:pt idx="823">
                  <c:v>2.7E-2</c:v>
                </c:pt>
                <c:pt idx="824">
                  <c:v>2.7480000000000001E-2</c:v>
                </c:pt>
                <c:pt idx="825">
                  <c:v>2.7480000000000001E-2</c:v>
                </c:pt>
                <c:pt idx="826">
                  <c:v>2.7E-2</c:v>
                </c:pt>
                <c:pt idx="827">
                  <c:v>2.7480000000000001E-2</c:v>
                </c:pt>
                <c:pt idx="828">
                  <c:v>2.9519999999999998E-2</c:v>
                </c:pt>
                <c:pt idx="829">
                  <c:v>3.7560000000000003E-2</c:v>
                </c:pt>
                <c:pt idx="830">
                  <c:v>7.2239999999999999E-2</c:v>
                </c:pt>
                <c:pt idx="831">
                  <c:v>0.15240000000000001</c:v>
                </c:pt>
                <c:pt idx="832">
                  <c:v>0.23880000000000001</c:v>
                </c:pt>
                <c:pt idx="833">
                  <c:v>0.25919999999999999</c:v>
                </c:pt>
                <c:pt idx="834">
                  <c:v>0.19439999999999999</c:v>
                </c:pt>
                <c:pt idx="835">
                  <c:v>0.11208</c:v>
                </c:pt>
                <c:pt idx="836">
                  <c:v>6.8879999999999997E-2</c:v>
                </c:pt>
                <c:pt idx="837">
                  <c:v>8.0759999999999998E-2</c:v>
                </c:pt>
                <c:pt idx="838">
                  <c:v>0.1356</c:v>
                </c:pt>
                <c:pt idx="839">
                  <c:v>0.18959999999999999</c:v>
                </c:pt>
                <c:pt idx="840">
                  <c:v>0.18959999999999999</c:v>
                </c:pt>
                <c:pt idx="841">
                  <c:v>0.13439999999999999</c:v>
                </c:pt>
                <c:pt idx="842">
                  <c:v>7.7039999999999983E-2</c:v>
                </c:pt>
                <c:pt idx="843">
                  <c:v>4.7039999999999998E-2</c:v>
                </c:pt>
                <c:pt idx="844">
                  <c:v>3.6719999999999996E-2</c:v>
                </c:pt>
                <c:pt idx="845">
                  <c:v>3.3239999999999999E-2</c:v>
                </c:pt>
                <c:pt idx="846">
                  <c:v>3.1799999999999995E-2</c:v>
                </c:pt>
                <c:pt idx="847">
                  <c:v>3.1199999999999999E-2</c:v>
                </c:pt>
                <c:pt idx="848">
                  <c:v>3.0959999999999998E-2</c:v>
                </c:pt>
                <c:pt idx="849">
                  <c:v>3.0359999999999998E-2</c:v>
                </c:pt>
                <c:pt idx="850">
                  <c:v>2.9159999999999998E-2</c:v>
                </c:pt>
                <c:pt idx="851">
                  <c:v>2.8560000000000002E-2</c:v>
                </c:pt>
                <c:pt idx="852">
                  <c:v>2.8319999999999998E-2</c:v>
                </c:pt>
                <c:pt idx="853">
                  <c:v>2.7839999999999997E-2</c:v>
                </c:pt>
                <c:pt idx="854">
                  <c:v>2.7719999999999998E-2</c:v>
                </c:pt>
                <c:pt idx="855">
                  <c:v>2.7719999999999998E-2</c:v>
                </c:pt>
                <c:pt idx="856">
                  <c:v>2.7480000000000001E-2</c:v>
                </c:pt>
                <c:pt idx="857">
                  <c:v>2.8319999999999998E-2</c:v>
                </c:pt>
                <c:pt idx="858">
                  <c:v>3.0120000000000001E-2</c:v>
                </c:pt>
                <c:pt idx="859">
                  <c:v>3.1440000000000003E-2</c:v>
                </c:pt>
                <c:pt idx="860">
                  <c:v>3.1919999999999997E-2</c:v>
                </c:pt>
                <c:pt idx="861">
                  <c:v>3.1079999999999997E-2</c:v>
                </c:pt>
                <c:pt idx="862">
                  <c:v>2.9879999999999997E-2</c:v>
                </c:pt>
                <c:pt idx="863">
                  <c:v>2.8680000000000001E-2</c:v>
                </c:pt>
                <c:pt idx="864">
                  <c:v>2.8560000000000002E-2</c:v>
                </c:pt>
                <c:pt idx="865">
                  <c:v>2.8199999999999999E-2</c:v>
                </c:pt>
                <c:pt idx="866">
                  <c:v>2.724E-2</c:v>
                </c:pt>
                <c:pt idx="867">
                  <c:v>2.6879999999999998E-2</c:v>
                </c:pt>
                <c:pt idx="868">
                  <c:v>2.7719999999999998E-2</c:v>
                </c:pt>
                <c:pt idx="869">
                  <c:v>2.8439999999999997E-2</c:v>
                </c:pt>
                <c:pt idx="870">
                  <c:v>2.9159999999999998E-2</c:v>
                </c:pt>
                <c:pt idx="871">
                  <c:v>2.9759999999999998E-2</c:v>
                </c:pt>
                <c:pt idx="872">
                  <c:v>3.0120000000000001E-2</c:v>
                </c:pt>
                <c:pt idx="873">
                  <c:v>3.0599999999999995E-2</c:v>
                </c:pt>
                <c:pt idx="874">
                  <c:v>3.0959999999999998E-2</c:v>
                </c:pt>
                <c:pt idx="875">
                  <c:v>3.0959999999999998E-2</c:v>
                </c:pt>
                <c:pt idx="876">
                  <c:v>3.0120000000000001E-2</c:v>
                </c:pt>
                <c:pt idx="877">
                  <c:v>3.0120000000000001E-2</c:v>
                </c:pt>
                <c:pt idx="878">
                  <c:v>3.0479999999999997E-2</c:v>
                </c:pt>
                <c:pt idx="879">
                  <c:v>3.0839999999999999E-2</c:v>
                </c:pt>
                <c:pt idx="880">
                  <c:v>3.0959999999999998E-2</c:v>
                </c:pt>
                <c:pt idx="881">
                  <c:v>3.0720000000000001E-2</c:v>
                </c:pt>
                <c:pt idx="882">
                  <c:v>3.0839999999999999E-2</c:v>
                </c:pt>
                <c:pt idx="883">
                  <c:v>3.1440000000000003E-2</c:v>
                </c:pt>
                <c:pt idx="884">
                  <c:v>3.2039999999999999E-2</c:v>
                </c:pt>
                <c:pt idx="885">
                  <c:v>3.2039999999999999E-2</c:v>
                </c:pt>
                <c:pt idx="886">
                  <c:v>3.2639999999999995E-2</c:v>
                </c:pt>
                <c:pt idx="887">
                  <c:v>3.3959999999999997E-2</c:v>
                </c:pt>
                <c:pt idx="888">
                  <c:v>3.4079999999999999E-2</c:v>
                </c:pt>
                <c:pt idx="889">
                  <c:v>3.4079999999999999E-2</c:v>
                </c:pt>
                <c:pt idx="890">
                  <c:v>3.492E-2</c:v>
                </c:pt>
                <c:pt idx="891">
                  <c:v>3.5520000000000003E-2</c:v>
                </c:pt>
                <c:pt idx="892">
                  <c:v>3.5159999999999997E-2</c:v>
                </c:pt>
                <c:pt idx="893">
                  <c:v>3.5040000000000002E-2</c:v>
                </c:pt>
                <c:pt idx="894">
                  <c:v>3.6240000000000001E-2</c:v>
                </c:pt>
                <c:pt idx="895">
                  <c:v>3.7920000000000002E-2</c:v>
                </c:pt>
                <c:pt idx="896">
                  <c:v>3.9600000000000003E-2</c:v>
                </c:pt>
                <c:pt idx="897">
                  <c:v>4.02E-2</c:v>
                </c:pt>
                <c:pt idx="898">
                  <c:v>3.9960000000000002E-2</c:v>
                </c:pt>
                <c:pt idx="899">
                  <c:v>3.9E-2</c:v>
                </c:pt>
                <c:pt idx="900">
                  <c:v>3.9359999999999999E-2</c:v>
                </c:pt>
                <c:pt idx="901">
                  <c:v>4.0319999999999995E-2</c:v>
                </c:pt>
                <c:pt idx="902">
                  <c:v>4.0919999999999998E-2</c:v>
                </c:pt>
                <c:pt idx="903">
                  <c:v>4.0919999999999998E-2</c:v>
                </c:pt>
                <c:pt idx="904">
                  <c:v>4.1640000000000003E-2</c:v>
                </c:pt>
                <c:pt idx="905">
                  <c:v>4.1399999999999999E-2</c:v>
                </c:pt>
                <c:pt idx="906">
                  <c:v>4.1399999999999999E-2</c:v>
                </c:pt>
                <c:pt idx="907">
                  <c:v>4.1880000000000001E-2</c:v>
                </c:pt>
                <c:pt idx="908">
                  <c:v>4.224E-2</c:v>
                </c:pt>
                <c:pt idx="909">
                  <c:v>4.2599999999999992E-2</c:v>
                </c:pt>
                <c:pt idx="910">
                  <c:v>4.3920000000000001E-2</c:v>
                </c:pt>
                <c:pt idx="911">
                  <c:v>4.5239999999999995E-2</c:v>
                </c:pt>
                <c:pt idx="912">
                  <c:v>4.5839999999999999E-2</c:v>
                </c:pt>
                <c:pt idx="913">
                  <c:v>4.6079999999999996E-2</c:v>
                </c:pt>
                <c:pt idx="914">
                  <c:v>4.6679999999999992E-2</c:v>
                </c:pt>
                <c:pt idx="915">
                  <c:v>4.6679999999999992E-2</c:v>
                </c:pt>
                <c:pt idx="916">
                  <c:v>4.7160000000000001E-2</c:v>
                </c:pt>
                <c:pt idx="917">
                  <c:v>4.8000000000000001E-2</c:v>
                </c:pt>
                <c:pt idx="918">
                  <c:v>4.9200000000000001E-2</c:v>
                </c:pt>
                <c:pt idx="919">
                  <c:v>5.0040000000000001E-2</c:v>
                </c:pt>
                <c:pt idx="920">
                  <c:v>5.1599999999999993E-2</c:v>
                </c:pt>
                <c:pt idx="921">
                  <c:v>5.4359999999999999E-2</c:v>
                </c:pt>
                <c:pt idx="922">
                  <c:v>5.8679999999999996E-2</c:v>
                </c:pt>
                <c:pt idx="923">
                  <c:v>6.2519999999999992E-2</c:v>
                </c:pt>
                <c:pt idx="924">
                  <c:v>6.7559999999999995E-2</c:v>
                </c:pt>
                <c:pt idx="925">
                  <c:v>7.4879999999999988E-2</c:v>
                </c:pt>
                <c:pt idx="926">
                  <c:v>8.4839999999999999E-2</c:v>
                </c:pt>
                <c:pt idx="927">
                  <c:v>9.7680000000000003E-2</c:v>
                </c:pt>
                <c:pt idx="928">
                  <c:v>0.11435999999999999</c:v>
                </c:pt>
                <c:pt idx="929">
                  <c:v>0.13800000000000001</c:v>
                </c:pt>
                <c:pt idx="930">
                  <c:v>0.17279999999999998</c:v>
                </c:pt>
                <c:pt idx="931">
                  <c:v>0.23039999999999999</c:v>
                </c:pt>
                <c:pt idx="932">
                  <c:v>0.33600000000000002</c:v>
                </c:pt>
                <c:pt idx="933">
                  <c:v>0.54959999999999998</c:v>
                </c:pt>
                <c:pt idx="934">
                  <c:v>0.93120000000000003</c:v>
                </c:pt>
                <c:pt idx="942">
                  <c:v>0.9516</c:v>
                </c:pt>
                <c:pt idx="943">
                  <c:v>0.63</c:v>
                </c:pt>
                <c:pt idx="944">
                  <c:v>0.43559999999999999</c:v>
                </c:pt>
                <c:pt idx="945">
                  <c:v>0.3216</c:v>
                </c:pt>
                <c:pt idx="946">
                  <c:v>0.25079999999999997</c:v>
                </c:pt>
                <c:pt idx="947">
                  <c:v>0.20400000000000001</c:v>
                </c:pt>
                <c:pt idx="948">
                  <c:v>0.17159999999999997</c:v>
                </c:pt>
                <c:pt idx="949">
                  <c:v>0.1464</c:v>
                </c:pt>
                <c:pt idx="950">
                  <c:v>0.12839999999999999</c:v>
                </c:pt>
                <c:pt idx="951">
                  <c:v>0.11364</c:v>
                </c:pt>
                <c:pt idx="952">
                  <c:v>0.10260000000000001</c:v>
                </c:pt>
                <c:pt idx="953">
                  <c:v>9.3600000000000003E-2</c:v>
                </c:pt>
                <c:pt idx="954">
                  <c:v>8.6760000000000004E-2</c:v>
                </c:pt>
                <c:pt idx="955">
                  <c:v>8.1119999999999984E-2</c:v>
                </c:pt>
                <c:pt idx="956">
                  <c:v>7.4039999999999995E-2</c:v>
                </c:pt>
                <c:pt idx="957">
                  <c:v>6.7080000000000001E-2</c:v>
                </c:pt>
                <c:pt idx="958">
                  <c:v>6.132E-2</c:v>
                </c:pt>
                <c:pt idx="959">
                  <c:v>5.9279999999999999E-2</c:v>
                </c:pt>
                <c:pt idx="960">
                  <c:v>5.7719999999999994E-2</c:v>
                </c:pt>
                <c:pt idx="961">
                  <c:v>5.6759999999999998E-2</c:v>
                </c:pt>
                <c:pt idx="962">
                  <c:v>5.3519999999999998E-2</c:v>
                </c:pt>
                <c:pt idx="963">
                  <c:v>5.0639999999999998E-2</c:v>
                </c:pt>
                <c:pt idx="964">
                  <c:v>4.7399999999999998E-2</c:v>
                </c:pt>
                <c:pt idx="965">
                  <c:v>4.5720000000000004E-2</c:v>
                </c:pt>
                <c:pt idx="966">
                  <c:v>4.3319999999999997E-2</c:v>
                </c:pt>
                <c:pt idx="967">
                  <c:v>4.2599999999999992E-2</c:v>
                </c:pt>
                <c:pt idx="968">
                  <c:v>4.1159999999999995E-2</c:v>
                </c:pt>
                <c:pt idx="969">
                  <c:v>3.9719999999999998E-2</c:v>
                </c:pt>
                <c:pt idx="970">
                  <c:v>3.7560000000000003E-2</c:v>
                </c:pt>
                <c:pt idx="971">
                  <c:v>3.5520000000000003E-2</c:v>
                </c:pt>
                <c:pt idx="972">
                  <c:v>3.456E-2</c:v>
                </c:pt>
                <c:pt idx="973">
                  <c:v>3.5399999999999994E-2</c:v>
                </c:pt>
                <c:pt idx="974">
                  <c:v>3.5040000000000002E-2</c:v>
                </c:pt>
                <c:pt idx="975">
                  <c:v>3.3000000000000002E-2</c:v>
                </c:pt>
                <c:pt idx="976">
                  <c:v>3.0120000000000001E-2</c:v>
                </c:pt>
                <c:pt idx="977">
                  <c:v>2.7480000000000001E-2</c:v>
                </c:pt>
                <c:pt idx="978">
                  <c:v>2.6759999999999999E-2</c:v>
                </c:pt>
                <c:pt idx="979">
                  <c:v>2.7E-2</c:v>
                </c:pt>
                <c:pt idx="980">
                  <c:v>2.8439999999999997E-2</c:v>
                </c:pt>
                <c:pt idx="981">
                  <c:v>2.8080000000000001E-2</c:v>
                </c:pt>
                <c:pt idx="982">
                  <c:v>2.7839999999999997E-2</c:v>
                </c:pt>
                <c:pt idx="983">
                  <c:v>2.7359999999999999E-2</c:v>
                </c:pt>
                <c:pt idx="984">
                  <c:v>2.6399999999999996E-2</c:v>
                </c:pt>
                <c:pt idx="985">
                  <c:v>2.6879999999999998E-2</c:v>
                </c:pt>
                <c:pt idx="986">
                  <c:v>2.7839999999999997E-2</c:v>
                </c:pt>
                <c:pt idx="987">
                  <c:v>2.6759999999999999E-2</c:v>
                </c:pt>
                <c:pt idx="988">
                  <c:v>2.5559999999999999E-2</c:v>
                </c:pt>
                <c:pt idx="989">
                  <c:v>2.3519999999999999E-2</c:v>
                </c:pt>
                <c:pt idx="990">
                  <c:v>2.2199999999999998E-2</c:v>
                </c:pt>
                <c:pt idx="991">
                  <c:v>2.3279999999999999E-2</c:v>
                </c:pt>
                <c:pt idx="992">
                  <c:v>2.3880000000000002E-2</c:v>
                </c:pt>
                <c:pt idx="993">
                  <c:v>2.376E-2</c:v>
                </c:pt>
                <c:pt idx="994">
                  <c:v>2.376E-2</c:v>
                </c:pt>
                <c:pt idx="995">
                  <c:v>2.46E-2</c:v>
                </c:pt>
                <c:pt idx="996">
                  <c:v>2.52E-2</c:v>
                </c:pt>
                <c:pt idx="997">
                  <c:v>2.376E-2</c:v>
                </c:pt>
                <c:pt idx="998">
                  <c:v>2.2440000000000002E-2</c:v>
                </c:pt>
                <c:pt idx="999">
                  <c:v>2.0279999999999996E-2</c:v>
                </c:pt>
                <c:pt idx="1000">
                  <c:v>2.052E-2</c:v>
                </c:pt>
              </c:numCache>
            </c:numRef>
          </c:val>
          <c:smooth val="1"/>
          <c:extLst>
            <c:ext xmlns:c16="http://schemas.microsoft.com/office/drawing/2014/chart" uri="{C3380CC4-5D6E-409C-BE32-E72D297353CC}">
              <c16:uniqueId val="{00000001-FC11-D746-9186-74179ECCA493}"/>
            </c:ext>
          </c:extLst>
        </c:ser>
        <c:ser>
          <c:idx val="4"/>
          <c:order val="2"/>
          <c:spPr>
            <a:ln w="25400" cap="rnd">
              <a:solidFill>
                <a:schemeClr val="tx1">
                  <a:lumMod val="75000"/>
                  <a:lumOff val="25000"/>
                </a:schemeClr>
              </a:solidFill>
              <a:round/>
            </a:ln>
            <a:effectLst/>
          </c:spPr>
          <c:marker>
            <c:symbol val="none"/>
          </c:marker>
          <c:cat>
            <c:numRef>
              <c:f>Sheet1!$A$212:$A$1212</c:f>
              <c:numCache>
                <c:formatCode>General</c:formatCode>
                <c:ptCount val="1001"/>
                <c:pt idx="0">
                  <c:v>350</c:v>
                </c:pt>
                <c:pt idx="1">
                  <c:v>350.5</c:v>
                </c:pt>
                <c:pt idx="2">
                  <c:v>351</c:v>
                </c:pt>
                <c:pt idx="3">
                  <c:v>351.5</c:v>
                </c:pt>
                <c:pt idx="4">
                  <c:v>352</c:v>
                </c:pt>
                <c:pt idx="5">
                  <c:v>352.5</c:v>
                </c:pt>
                <c:pt idx="6">
                  <c:v>353</c:v>
                </c:pt>
                <c:pt idx="7">
                  <c:v>353.5</c:v>
                </c:pt>
                <c:pt idx="8">
                  <c:v>354</c:v>
                </c:pt>
                <c:pt idx="9">
                  <c:v>354.5</c:v>
                </c:pt>
                <c:pt idx="10">
                  <c:v>355</c:v>
                </c:pt>
                <c:pt idx="11">
                  <c:v>355.5</c:v>
                </c:pt>
                <c:pt idx="12">
                  <c:v>356</c:v>
                </c:pt>
                <c:pt idx="13">
                  <c:v>356.5</c:v>
                </c:pt>
                <c:pt idx="14">
                  <c:v>357</c:v>
                </c:pt>
                <c:pt idx="15">
                  <c:v>357.5</c:v>
                </c:pt>
                <c:pt idx="16">
                  <c:v>358</c:v>
                </c:pt>
                <c:pt idx="17">
                  <c:v>358.5</c:v>
                </c:pt>
                <c:pt idx="18">
                  <c:v>359</c:v>
                </c:pt>
                <c:pt idx="19">
                  <c:v>359.5</c:v>
                </c:pt>
                <c:pt idx="20">
                  <c:v>360</c:v>
                </c:pt>
                <c:pt idx="21">
                  <c:v>360.5</c:v>
                </c:pt>
                <c:pt idx="22">
                  <c:v>361</c:v>
                </c:pt>
                <c:pt idx="23">
                  <c:v>361.5</c:v>
                </c:pt>
                <c:pt idx="24">
                  <c:v>362</c:v>
                </c:pt>
                <c:pt idx="25">
                  <c:v>362.5</c:v>
                </c:pt>
                <c:pt idx="26">
                  <c:v>363</c:v>
                </c:pt>
                <c:pt idx="27">
                  <c:v>363.5</c:v>
                </c:pt>
                <c:pt idx="28">
                  <c:v>364</c:v>
                </c:pt>
                <c:pt idx="29">
                  <c:v>364.5</c:v>
                </c:pt>
                <c:pt idx="30">
                  <c:v>365</c:v>
                </c:pt>
                <c:pt idx="31">
                  <c:v>365.5</c:v>
                </c:pt>
                <c:pt idx="32">
                  <c:v>366</c:v>
                </c:pt>
                <c:pt idx="33">
                  <c:v>366.5</c:v>
                </c:pt>
                <c:pt idx="34">
                  <c:v>367</c:v>
                </c:pt>
                <c:pt idx="35">
                  <c:v>367.5</c:v>
                </c:pt>
                <c:pt idx="36">
                  <c:v>368</c:v>
                </c:pt>
                <c:pt idx="37">
                  <c:v>368.5</c:v>
                </c:pt>
                <c:pt idx="38">
                  <c:v>369</c:v>
                </c:pt>
                <c:pt idx="39">
                  <c:v>369.5</c:v>
                </c:pt>
                <c:pt idx="40">
                  <c:v>370</c:v>
                </c:pt>
                <c:pt idx="41">
                  <c:v>370.5</c:v>
                </c:pt>
                <c:pt idx="42">
                  <c:v>371</c:v>
                </c:pt>
                <c:pt idx="43">
                  <c:v>371.5</c:v>
                </c:pt>
                <c:pt idx="44">
                  <c:v>372</c:v>
                </c:pt>
                <c:pt idx="45">
                  <c:v>372.5</c:v>
                </c:pt>
                <c:pt idx="46">
                  <c:v>373</c:v>
                </c:pt>
                <c:pt idx="47">
                  <c:v>373.5</c:v>
                </c:pt>
                <c:pt idx="48">
                  <c:v>374</c:v>
                </c:pt>
                <c:pt idx="49">
                  <c:v>374.5</c:v>
                </c:pt>
                <c:pt idx="50">
                  <c:v>375</c:v>
                </c:pt>
                <c:pt idx="51">
                  <c:v>375.5</c:v>
                </c:pt>
                <c:pt idx="52">
                  <c:v>376</c:v>
                </c:pt>
                <c:pt idx="53">
                  <c:v>376.5</c:v>
                </c:pt>
                <c:pt idx="54">
                  <c:v>377</c:v>
                </c:pt>
                <c:pt idx="55">
                  <c:v>377.5</c:v>
                </c:pt>
                <c:pt idx="56">
                  <c:v>378</c:v>
                </c:pt>
                <c:pt idx="57">
                  <c:v>378.5</c:v>
                </c:pt>
                <c:pt idx="58">
                  <c:v>379</c:v>
                </c:pt>
                <c:pt idx="59">
                  <c:v>379.5</c:v>
                </c:pt>
                <c:pt idx="60">
                  <c:v>380</c:v>
                </c:pt>
                <c:pt idx="61">
                  <c:v>380.5</c:v>
                </c:pt>
                <c:pt idx="62">
                  <c:v>381</c:v>
                </c:pt>
                <c:pt idx="63">
                  <c:v>381.5</c:v>
                </c:pt>
                <c:pt idx="64">
                  <c:v>382</c:v>
                </c:pt>
                <c:pt idx="65">
                  <c:v>382.5</c:v>
                </c:pt>
                <c:pt idx="66">
                  <c:v>383</c:v>
                </c:pt>
                <c:pt idx="67">
                  <c:v>383.5</c:v>
                </c:pt>
                <c:pt idx="68">
                  <c:v>384</c:v>
                </c:pt>
                <c:pt idx="69">
                  <c:v>384.5</c:v>
                </c:pt>
                <c:pt idx="70">
                  <c:v>385</c:v>
                </c:pt>
                <c:pt idx="71">
                  <c:v>385.5</c:v>
                </c:pt>
                <c:pt idx="72">
                  <c:v>386</c:v>
                </c:pt>
                <c:pt idx="73">
                  <c:v>386.5</c:v>
                </c:pt>
                <c:pt idx="74">
                  <c:v>387</c:v>
                </c:pt>
                <c:pt idx="75">
                  <c:v>387.5</c:v>
                </c:pt>
                <c:pt idx="76">
                  <c:v>388</c:v>
                </c:pt>
                <c:pt idx="77">
                  <c:v>388.5</c:v>
                </c:pt>
                <c:pt idx="78">
                  <c:v>389</c:v>
                </c:pt>
                <c:pt idx="79">
                  <c:v>389.5</c:v>
                </c:pt>
                <c:pt idx="80">
                  <c:v>390</c:v>
                </c:pt>
                <c:pt idx="81">
                  <c:v>390.5</c:v>
                </c:pt>
                <c:pt idx="82">
                  <c:v>391</c:v>
                </c:pt>
                <c:pt idx="83">
                  <c:v>391.5</c:v>
                </c:pt>
                <c:pt idx="84">
                  <c:v>392</c:v>
                </c:pt>
                <c:pt idx="85">
                  <c:v>392.5</c:v>
                </c:pt>
                <c:pt idx="86">
                  <c:v>393</c:v>
                </c:pt>
                <c:pt idx="87">
                  <c:v>393.5</c:v>
                </c:pt>
                <c:pt idx="88">
                  <c:v>394</c:v>
                </c:pt>
                <c:pt idx="89">
                  <c:v>394.5</c:v>
                </c:pt>
                <c:pt idx="90">
                  <c:v>395</c:v>
                </c:pt>
                <c:pt idx="91">
                  <c:v>395.5</c:v>
                </c:pt>
                <c:pt idx="92">
                  <c:v>396</c:v>
                </c:pt>
                <c:pt idx="93">
                  <c:v>396.5</c:v>
                </c:pt>
                <c:pt idx="94">
                  <c:v>397</c:v>
                </c:pt>
                <c:pt idx="95">
                  <c:v>397.5</c:v>
                </c:pt>
                <c:pt idx="96">
                  <c:v>398</c:v>
                </c:pt>
                <c:pt idx="97">
                  <c:v>398.5</c:v>
                </c:pt>
                <c:pt idx="98">
                  <c:v>399</c:v>
                </c:pt>
                <c:pt idx="99">
                  <c:v>399.5</c:v>
                </c:pt>
                <c:pt idx="100">
                  <c:v>400</c:v>
                </c:pt>
                <c:pt idx="101">
                  <c:v>400.5</c:v>
                </c:pt>
                <c:pt idx="102">
                  <c:v>401</c:v>
                </c:pt>
                <c:pt idx="103">
                  <c:v>401.5</c:v>
                </c:pt>
                <c:pt idx="104">
                  <c:v>402</c:v>
                </c:pt>
                <c:pt idx="105">
                  <c:v>402.5</c:v>
                </c:pt>
                <c:pt idx="106">
                  <c:v>403</c:v>
                </c:pt>
                <c:pt idx="107">
                  <c:v>403.5</c:v>
                </c:pt>
                <c:pt idx="108">
                  <c:v>404</c:v>
                </c:pt>
                <c:pt idx="109">
                  <c:v>404.5</c:v>
                </c:pt>
                <c:pt idx="110">
                  <c:v>405</c:v>
                </c:pt>
                <c:pt idx="111">
                  <c:v>405.5</c:v>
                </c:pt>
                <c:pt idx="112">
                  <c:v>406</c:v>
                </c:pt>
                <c:pt idx="113">
                  <c:v>406.5</c:v>
                </c:pt>
                <c:pt idx="114">
                  <c:v>407</c:v>
                </c:pt>
                <c:pt idx="115">
                  <c:v>407.5</c:v>
                </c:pt>
                <c:pt idx="116">
                  <c:v>408</c:v>
                </c:pt>
                <c:pt idx="117">
                  <c:v>408.5</c:v>
                </c:pt>
                <c:pt idx="118">
                  <c:v>409</c:v>
                </c:pt>
                <c:pt idx="119">
                  <c:v>409.5</c:v>
                </c:pt>
                <c:pt idx="120">
                  <c:v>410</c:v>
                </c:pt>
                <c:pt idx="121">
                  <c:v>410.5</c:v>
                </c:pt>
                <c:pt idx="122">
                  <c:v>411</c:v>
                </c:pt>
                <c:pt idx="123">
                  <c:v>411.5</c:v>
                </c:pt>
                <c:pt idx="124">
                  <c:v>412</c:v>
                </c:pt>
                <c:pt idx="125">
                  <c:v>412.5</c:v>
                </c:pt>
                <c:pt idx="126">
                  <c:v>413</c:v>
                </c:pt>
                <c:pt idx="127">
                  <c:v>413.5</c:v>
                </c:pt>
                <c:pt idx="128">
                  <c:v>414</c:v>
                </c:pt>
                <c:pt idx="129">
                  <c:v>414.5</c:v>
                </c:pt>
                <c:pt idx="130">
                  <c:v>415</c:v>
                </c:pt>
                <c:pt idx="131">
                  <c:v>415.5</c:v>
                </c:pt>
                <c:pt idx="132">
                  <c:v>416</c:v>
                </c:pt>
                <c:pt idx="133">
                  <c:v>416.5</c:v>
                </c:pt>
                <c:pt idx="134">
                  <c:v>417</c:v>
                </c:pt>
                <c:pt idx="135">
                  <c:v>417.5</c:v>
                </c:pt>
                <c:pt idx="136">
                  <c:v>418</c:v>
                </c:pt>
                <c:pt idx="137">
                  <c:v>418.5</c:v>
                </c:pt>
                <c:pt idx="138">
                  <c:v>419</c:v>
                </c:pt>
                <c:pt idx="139">
                  <c:v>419.5</c:v>
                </c:pt>
                <c:pt idx="140">
                  <c:v>420</c:v>
                </c:pt>
                <c:pt idx="141">
                  <c:v>420.5</c:v>
                </c:pt>
                <c:pt idx="142">
                  <c:v>421</c:v>
                </c:pt>
                <c:pt idx="143">
                  <c:v>421.5</c:v>
                </c:pt>
                <c:pt idx="144">
                  <c:v>422</c:v>
                </c:pt>
                <c:pt idx="145">
                  <c:v>422.5</c:v>
                </c:pt>
                <c:pt idx="146">
                  <c:v>423</c:v>
                </c:pt>
                <c:pt idx="147">
                  <c:v>423.5</c:v>
                </c:pt>
                <c:pt idx="148">
                  <c:v>424</c:v>
                </c:pt>
                <c:pt idx="149">
                  <c:v>424.5</c:v>
                </c:pt>
                <c:pt idx="150">
                  <c:v>425</c:v>
                </c:pt>
                <c:pt idx="151">
                  <c:v>425.5</c:v>
                </c:pt>
                <c:pt idx="152">
                  <c:v>426</c:v>
                </c:pt>
                <c:pt idx="153">
                  <c:v>426.5</c:v>
                </c:pt>
                <c:pt idx="154">
                  <c:v>427</c:v>
                </c:pt>
                <c:pt idx="155">
                  <c:v>427.5</c:v>
                </c:pt>
                <c:pt idx="156">
                  <c:v>428</c:v>
                </c:pt>
                <c:pt idx="157">
                  <c:v>428.5</c:v>
                </c:pt>
                <c:pt idx="158">
                  <c:v>429</c:v>
                </c:pt>
                <c:pt idx="159">
                  <c:v>429.5</c:v>
                </c:pt>
                <c:pt idx="160">
                  <c:v>430</c:v>
                </c:pt>
                <c:pt idx="161">
                  <c:v>430.5</c:v>
                </c:pt>
                <c:pt idx="162">
                  <c:v>431</c:v>
                </c:pt>
                <c:pt idx="163">
                  <c:v>431.5</c:v>
                </c:pt>
                <c:pt idx="164">
                  <c:v>432</c:v>
                </c:pt>
                <c:pt idx="165">
                  <c:v>432.5</c:v>
                </c:pt>
                <c:pt idx="166">
                  <c:v>433</c:v>
                </c:pt>
                <c:pt idx="167">
                  <c:v>433.5</c:v>
                </c:pt>
                <c:pt idx="168">
                  <c:v>434</c:v>
                </c:pt>
                <c:pt idx="169">
                  <c:v>434.5</c:v>
                </c:pt>
                <c:pt idx="170">
                  <c:v>435</c:v>
                </c:pt>
                <c:pt idx="171">
                  <c:v>435.5</c:v>
                </c:pt>
                <c:pt idx="172">
                  <c:v>436</c:v>
                </c:pt>
                <c:pt idx="173">
                  <c:v>436.5</c:v>
                </c:pt>
                <c:pt idx="174">
                  <c:v>437</c:v>
                </c:pt>
                <c:pt idx="175">
                  <c:v>437.5</c:v>
                </c:pt>
                <c:pt idx="176">
                  <c:v>438</c:v>
                </c:pt>
                <c:pt idx="177">
                  <c:v>438.5</c:v>
                </c:pt>
                <c:pt idx="178">
                  <c:v>439</c:v>
                </c:pt>
                <c:pt idx="179">
                  <c:v>439.5</c:v>
                </c:pt>
                <c:pt idx="180">
                  <c:v>440</c:v>
                </c:pt>
                <c:pt idx="181">
                  <c:v>440.5</c:v>
                </c:pt>
                <c:pt idx="182">
                  <c:v>441</c:v>
                </c:pt>
                <c:pt idx="183">
                  <c:v>441.5</c:v>
                </c:pt>
                <c:pt idx="184">
                  <c:v>442</c:v>
                </c:pt>
                <c:pt idx="185">
                  <c:v>442.5</c:v>
                </c:pt>
                <c:pt idx="186">
                  <c:v>443</c:v>
                </c:pt>
                <c:pt idx="187">
                  <c:v>443.5</c:v>
                </c:pt>
                <c:pt idx="188">
                  <c:v>444</c:v>
                </c:pt>
                <c:pt idx="189">
                  <c:v>444.5</c:v>
                </c:pt>
                <c:pt idx="190">
                  <c:v>445</c:v>
                </c:pt>
                <c:pt idx="191">
                  <c:v>445.5</c:v>
                </c:pt>
                <c:pt idx="192">
                  <c:v>446</c:v>
                </c:pt>
                <c:pt idx="193">
                  <c:v>446.5</c:v>
                </c:pt>
                <c:pt idx="194">
                  <c:v>447</c:v>
                </c:pt>
                <c:pt idx="195">
                  <c:v>447.5</c:v>
                </c:pt>
                <c:pt idx="196">
                  <c:v>448</c:v>
                </c:pt>
                <c:pt idx="197">
                  <c:v>448.5</c:v>
                </c:pt>
                <c:pt idx="198">
                  <c:v>449</c:v>
                </c:pt>
                <c:pt idx="199">
                  <c:v>449.5</c:v>
                </c:pt>
                <c:pt idx="200">
                  <c:v>450</c:v>
                </c:pt>
                <c:pt idx="201">
                  <c:v>450.5</c:v>
                </c:pt>
                <c:pt idx="202">
                  <c:v>451</c:v>
                </c:pt>
                <c:pt idx="203">
                  <c:v>451.5</c:v>
                </c:pt>
                <c:pt idx="204">
                  <c:v>452</c:v>
                </c:pt>
                <c:pt idx="205">
                  <c:v>452.5</c:v>
                </c:pt>
                <c:pt idx="206">
                  <c:v>453</c:v>
                </c:pt>
                <c:pt idx="207">
                  <c:v>453.5</c:v>
                </c:pt>
                <c:pt idx="208">
                  <c:v>454</c:v>
                </c:pt>
                <c:pt idx="209">
                  <c:v>454.5</c:v>
                </c:pt>
                <c:pt idx="210">
                  <c:v>455</c:v>
                </c:pt>
                <c:pt idx="211">
                  <c:v>455.5</c:v>
                </c:pt>
                <c:pt idx="212">
                  <c:v>456</c:v>
                </c:pt>
                <c:pt idx="213">
                  <c:v>456.5</c:v>
                </c:pt>
                <c:pt idx="214">
                  <c:v>457</c:v>
                </c:pt>
                <c:pt idx="215">
                  <c:v>457.5</c:v>
                </c:pt>
                <c:pt idx="216">
                  <c:v>458</c:v>
                </c:pt>
                <c:pt idx="217">
                  <c:v>458.5</c:v>
                </c:pt>
                <c:pt idx="218">
                  <c:v>459</c:v>
                </c:pt>
                <c:pt idx="219">
                  <c:v>459.5</c:v>
                </c:pt>
                <c:pt idx="220">
                  <c:v>460</c:v>
                </c:pt>
                <c:pt idx="221">
                  <c:v>460.5</c:v>
                </c:pt>
                <c:pt idx="222">
                  <c:v>461</c:v>
                </c:pt>
                <c:pt idx="223">
                  <c:v>461.5</c:v>
                </c:pt>
                <c:pt idx="224">
                  <c:v>462</c:v>
                </c:pt>
                <c:pt idx="225">
                  <c:v>462.5</c:v>
                </c:pt>
                <c:pt idx="226">
                  <c:v>463</c:v>
                </c:pt>
                <c:pt idx="227">
                  <c:v>463.5</c:v>
                </c:pt>
                <c:pt idx="228">
                  <c:v>464</c:v>
                </c:pt>
                <c:pt idx="229">
                  <c:v>464.5</c:v>
                </c:pt>
                <c:pt idx="230">
                  <c:v>465</c:v>
                </c:pt>
                <c:pt idx="231">
                  <c:v>465.5</c:v>
                </c:pt>
                <c:pt idx="232">
                  <c:v>466</c:v>
                </c:pt>
                <c:pt idx="233">
                  <c:v>466.5</c:v>
                </c:pt>
                <c:pt idx="234">
                  <c:v>467</c:v>
                </c:pt>
                <c:pt idx="235">
                  <c:v>467.5</c:v>
                </c:pt>
                <c:pt idx="236">
                  <c:v>468</c:v>
                </c:pt>
                <c:pt idx="237">
                  <c:v>468.5</c:v>
                </c:pt>
                <c:pt idx="238">
                  <c:v>469</c:v>
                </c:pt>
                <c:pt idx="239">
                  <c:v>469.5</c:v>
                </c:pt>
                <c:pt idx="240">
                  <c:v>470</c:v>
                </c:pt>
                <c:pt idx="241">
                  <c:v>470.5</c:v>
                </c:pt>
                <c:pt idx="242">
                  <c:v>471</c:v>
                </c:pt>
                <c:pt idx="243">
                  <c:v>471.5</c:v>
                </c:pt>
                <c:pt idx="244">
                  <c:v>472</c:v>
                </c:pt>
                <c:pt idx="245">
                  <c:v>472.5</c:v>
                </c:pt>
                <c:pt idx="246">
                  <c:v>473</c:v>
                </c:pt>
                <c:pt idx="247">
                  <c:v>473.5</c:v>
                </c:pt>
                <c:pt idx="248">
                  <c:v>474</c:v>
                </c:pt>
                <c:pt idx="249">
                  <c:v>474.5</c:v>
                </c:pt>
                <c:pt idx="250">
                  <c:v>475</c:v>
                </c:pt>
                <c:pt idx="251">
                  <c:v>475.5</c:v>
                </c:pt>
                <c:pt idx="252">
                  <c:v>476</c:v>
                </c:pt>
                <c:pt idx="253">
                  <c:v>476.5</c:v>
                </c:pt>
                <c:pt idx="254">
                  <c:v>477</c:v>
                </c:pt>
                <c:pt idx="255">
                  <c:v>477.5</c:v>
                </c:pt>
                <c:pt idx="256">
                  <c:v>478</c:v>
                </c:pt>
                <c:pt idx="257">
                  <c:v>478.5</c:v>
                </c:pt>
                <c:pt idx="258">
                  <c:v>479</c:v>
                </c:pt>
                <c:pt idx="259">
                  <c:v>479.5</c:v>
                </c:pt>
                <c:pt idx="260">
                  <c:v>480</c:v>
                </c:pt>
                <c:pt idx="261">
                  <c:v>480.5</c:v>
                </c:pt>
                <c:pt idx="262">
                  <c:v>481</c:v>
                </c:pt>
                <c:pt idx="263">
                  <c:v>481.5</c:v>
                </c:pt>
                <c:pt idx="264">
                  <c:v>482</c:v>
                </c:pt>
                <c:pt idx="265">
                  <c:v>482.5</c:v>
                </c:pt>
                <c:pt idx="266">
                  <c:v>483</c:v>
                </c:pt>
                <c:pt idx="267">
                  <c:v>483.5</c:v>
                </c:pt>
                <c:pt idx="268">
                  <c:v>484</c:v>
                </c:pt>
                <c:pt idx="269">
                  <c:v>484.5</c:v>
                </c:pt>
                <c:pt idx="270">
                  <c:v>485</c:v>
                </c:pt>
                <c:pt idx="271">
                  <c:v>485.5</c:v>
                </c:pt>
                <c:pt idx="272">
                  <c:v>486</c:v>
                </c:pt>
                <c:pt idx="273">
                  <c:v>486.5</c:v>
                </c:pt>
                <c:pt idx="274">
                  <c:v>487</c:v>
                </c:pt>
                <c:pt idx="275">
                  <c:v>487.5</c:v>
                </c:pt>
                <c:pt idx="276">
                  <c:v>488</c:v>
                </c:pt>
                <c:pt idx="277">
                  <c:v>488.5</c:v>
                </c:pt>
                <c:pt idx="278">
                  <c:v>489</c:v>
                </c:pt>
                <c:pt idx="279">
                  <c:v>489.5</c:v>
                </c:pt>
                <c:pt idx="280">
                  <c:v>490</c:v>
                </c:pt>
                <c:pt idx="281">
                  <c:v>490.5</c:v>
                </c:pt>
                <c:pt idx="282">
                  <c:v>491</c:v>
                </c:pt>
                <c:pt idx="283">
                  <c:v>491.5</c:v>
                </c:pt>
                <c:pt idx="284">
                  <c:v>492</c:v>
                </c:pt>
                <c:pt idx="285">
                  <c:v>492.5</c:v>
                </c:pt>
                <c:pt idx="286">
                  <c:v>493</c:v>
                </c:pt>
                <c:pt idx="287">
                  <c:v>493.5</c:v>
                </c:pt>
                <c:pt idx="288">
                  <c:v>494</c:v>
                </c:pt>
                <c:pt idx="289">
                  <c:v>494.5</c:v>
                </c:pt>
                <c:pt idx="290">
                  <c:v>495</c:v>
                </c:pt>
                <c:pt idx="291">
                  <c:v>495.5</c:v>
                </c:pt>
                <c:pt idx="292">
                  <c:v>496</c:v>
                </c:pt>
                <c:pt idx="293">
                  <c:v>496.5</c:v>
                </c:pt>
                <c:pt idx="294">
                  <c:v>497</c:v>
                </c:pt>
                <c:pt idx="295">
                  <c:v>497.5</c:v>
                </c:pt>
                <c:pt idx="296">
                  <c:v>498</c:v>
                </c:pt>
                <c:pt idx="297">
                  <c:v>498.5</c:v>
                </c:pt>
                <c:pt idx="298">
                  <c:v>499</c:v>
                </c:pt>
                <c:pt idx="299">
                  <c:v>499.5</c:v>
                </c:pt>
                <c:pt idx="300">
                  <c:v>500</c:v>
                </c:pt>
                <c:pt idx="301">
                  <c:v>500.5</c:v>
                </c:pt>
                <c:pt idx="302">
                  <c:v>501</c:v>
                </c:pt>
                <c:pt idx="303">
                  <c:v>501.5</c:v>
                </c:pt>
                <c:pt idx="304">
                  <c:v>502</c:v>
                </c:pt>
                <c:pt idx="305">
                  <c:v>502.5</c:v>
                </c:pt>
                <c:pt idx="306">
                  <c:v>503</c:v>
                </c:pt>
                <c:pt idx="307">
                  <c:v>503.5</c:v>
                </c:pt>
                <c:pt idx="308">
                  <c:v>504</c:v>
                </c:pt>
                <c:pt idx="309">
                  <c:v>504.5</c:v>
                </c:pt>
                <c:pt idx="310">
                  <c:v>505</c:v>
                </c:pt>
                <c:pt idx="311">
                  <c:v>505.5</c:v>
                </c:pt>
                <c:pt idx="312">
                  <c:v>506</c:v>
                </c:pt>
                <c:pt idx="313">
                  <c:v>506.5</c:v>
                </c:pt>
                <c:pt idx="314">
                  <c:v>507</c:v>
                </c:pt>
                <c:pt idx="315">
                  <c:v>507.5</c:v>
                </c:pt>
                <c:pt idx="316">
                  <c:v>508</c:v>
                </c:pt>
                <c:pt idx="317">
                  <c:v>508.5</c:v>
                </c:pt>
                <c:pt idx="318">
                  <c:v>509</c:v>
                </c:pt>
                <c:pt idx="319">
                  <c:v>509.5</c:v>
                </c:pt>
                <c:pt idx="320">
                  <c:v>510</c:v>
                </c:pt>
                <c:pt idx="321">
                  <c:v>510.5</c:v>
                </c:pt>
                <c:pt idx="322">
                  <c:v>511</c:v>
                </c:pt>
                <c:pt idx="323">
                  <c:v>511.5</c:v>
                </c:pt>
                <c:pt idx="324">
                  <c:v>512</c:v>
                </c:pt>
                <c:pt idx="325">
                  <c:v>512.5</c:v>
                </c:pt>
                <c:pt idx="326">
                  <c:v>513</c:v>
                </c:pt>
                <c:pt idx="327">
                  <c:v>513.5</c:v>
                </c:pt>
                <c:pt idx="328">
                  <c:v>514</c:v>
                </c:pt>
                <c:pt idx="329">
                  <c:v>514.5</c:v>
                </c:pt>
                <c:pt idx="330">
                  <c:v>515</c:v>
                </c:pt>
                <c:pt idx="331">
                  <c:v>515.5</c:v>
                </c:pt>
                <c:pt idx="332">
                  <c:v>516</c:v>
                </c:pt>
                <c:pt idx="333">
                  <c:v>516.5</c:v>
                </c:pt>
                <c:pt idx="334">
                  <c:v>517</c:v>
                </c:pt>
                <c:pt idx="335">
                  <c:v>517.5</c:v>
                </c:pt>
                <c:pt idx="336">
                  <c:v>518</c:v>
                </c:pt>
                <c:pt idx="337">
                  <c:v>518.5</c:v>
                </c:pt>
                <c:pt idx="338">
                  <c:v>519</c:v>
                </c:pt>
                <c:pt idx="339">
                  <c:v>519.5</c:v>
                </c:pt>
                <c:pt idx="340">
                  <c:v>520</c:v>
                </c:pt>
                <c:pt idx="341">
                  <c:v>520.5</c:v>
                </c:pt>
                <c:pt idx="342">
                  <c:v>521</c:v>
                </c:pt>
                <c:pt idx="343">
                  <c:v>521.5</c:v>
                </c:pt>
                <c:pt idx="344">
                  <c:v>522</c:v>
                </c:pt>
                <c:pt idx="345">
                  <c:v>522.5</c:v>
                </c:pt>
                <c:pt idx="346">
                  <c:v>523</c:v>
                </c:pt>
                <c:pt idx="347">
                  <c:v>523.5</c:v>
                </c:pt>
                <c:pt idx="348">
                  <c:v>524</c:v>
                </c:pt>
                <c:pt idx="349">
                  <c:v>524.5</c:v>
                </c:pt>
                <c:pt idx="350">
                  <c:v>525</c:v>
                </c:pt>
                <c:pt idx="351">
                  <c:v>525.5</c:v>
                </c:pt>
                <c:pt idx="352">
                  <c:v>526</c:v>
                </c:pt>
                <c:pt idx="353">
                  <c:v>526.5</c:v>
                </c:pt>
                <c:pt idx="354">
                  <c:v>527</c:v>
                </c:pt>
                <c:pt idx="355">
                  <c:v>527.5</c:v>
                </c:pt>
                <c:pt idx="356">
                  <c:v>528</c:v>
                </c:pt>
                <c:pt idx="357">
                  <c:v>528.5</c:v>
                </c:pt>
                <c:pt idx="358">
                  <c:v>529</c:v>
                </c:pt>
                <c:pt idx="359">
                  <c:v>529.5</c:v>
                </c:pt>
                <c:pt idx="360">
                  <c:v>530</c:v>
                </c:pt>
                <c:pt idx="361">
                  <c:v>530.5</c:v>
                </c:pt>
                <c:pt idx="362">
                  <c:v>531</c:v>
                </c:pt>
                <c:pt idx="363">
                  <c:v>531.5</c:v>
                </c:pt>
                <c:pt idx="364">
                  <c:v>532</c:v>
                </c:pt>
                <c:pt idx="365">
                  <c:v>532.5</c:v>
                </c:pt>
                <c:pt idx="366">
                  <c:v>533</c:v>
                </c:pt>
                <c:pt idx="367">
                  <c:v>533.5</c:v>
                </c:pt>
                <c:pt idx="368">
                  <c:v>534</c:v>
                </c:pt>
                <c:pt idx="369">
                  <c:v>534.5</c:v>
                </c:pt>
                <c:pt idx="370">
                  <c:v>535</c:v>
                </c:pt>
                <c:pt idx="371">
                  <c:v>535.5</c:v>
                </c:pt>
                <c:pt idx="372">
                  <c:v>536</c:v>
                </c:pt>
                <c:pt idx="373">
                  <c:v>536.5</c:v>
                </c:pt>
                <c:pt idx="374">
                  <c:v>537</c:v>
                </c:pt>
                <c:pt idx="375">
                  <c:v>537.5</c:v>
                </c:pt>
                <c:pt idx="376">
                  <c:v>538</c:v>
                </c:pt>
                <c:pt idx="377">
                  <c:v>538.5</c:v>
                </c:pt>
                <c:pt idx="378">
                  <c:v>539</c:v>
                </c:pt>
                <c:pt idx="379">
                  <c:v>539.5</c:v>
                </c:pt>
                <c:pt idx="380">
                  <c:v>540</c:v>
                </c:pt>
                <c:pt idx="381">
                  <c:v>540.5</c:v>
                </c:pt>
                <c:pt idx="382">
                  <c:v>541</c:v>
                </c:pt>
                <c:pt idx="383">
                  <c:v>541.5</c:v>
                </c:pt>
                <c:pt idx="384">
                  <c:v>542</c:v>
                </c:pt>
                <c:pt idx="385">
                  <c:v>542.5</c:v>
                </c:pt>
                <c:pt idx="386">
                  <c:v>543</c:v>
                </c:pt>
                <c:pt idx="387">
                  <c:v>543.5</c:v>
                </c:pt>
                <c:pt idx="388">
                  <c:v>544</c:v>
                </c:pt>
                <c:pt idx="389">
                  <c:v>544.5</c:v>
                </c:pt>
                <c:pt idx="390">
                  <c:v>545</c:v>
                </c:pt>
                <c:pt idx="391">
                  <c:v>545.5</c:v>
                </c:pt>
                <c:pt idx="392">
                  <c:v>546</c:v>
                </c:pt>
                <c:pt idx="393">
                  <c:v>546.5</c:v>
                </c:pt>
                <c:pt idx="394">
                  <c:v>547</c:v>
                </c:pt>
                <c:pt idx="395">
                  <c:v>547.5</c:v>
                </c:pt>
                <c:pt idx="396">
                  <c:v>548</c:v>
                </c:pt>
                <c:pt idx="397">
                  <c:v>548.5</c:v>
                </c:pt>
                <c:pt idx="398">
                  <c:v>549</c:v>
                </c:pt>
                <c:pt idx="399">
                  <c:v>549.5</c:v>
                </c:pt>
                <c:pt idx="400">
                  <c:v>550</c:v>
                </c:pt>
                <c:pt idx="401">
                  <c:v>550.5</c:v>
                </c:pt>
                <c:pt idx="402">
                  <c:v>551</c:v>
                </c:pt>
                <c:pt idx="403">
                  <c:v>551.5</c:v>
                </c:pt>
                <c:pt idx="404">
                  <c:v>552</c:v>
                </c:pt>
                <c:pt idx="405">
                  <c:v>552.5</c:v>
                </c:pt>
                <c:pt idx="406">
                  <c:v>553</c:v>
                </c:pt>
                <c:pt idx="407">
                  <c:v>553.5</c:v>
                </c:pt>
                <c:pt idx="408">
                  <c:v>554</c:v>
                </c:pt>
                <c:pt idx="409">
                  <c:v>554.5</c:v>
                </c:pt>
                <c:pt idx="410">
                  <c:v>555</c:v>
                </c:pt>
                <c:pt idx="411">
                  <c:v>555.5</c:v>
                </c:pt>
                <c:pt idx="412">
                  <c:v>556</c:v>
                </c:pt>
                <c:pt idx="413">
                  <c:v>556.5</c:v>
                </c:pt>
                <c:pt idx="414">
                  <c:v>557</c:v>
                </c:pt>
                <c:pt idx="415">
                  <c:v>557.5</c:v>
                </c:pt>
                <c:pt idx="416">
                  <c:v>558</c:v>
                </c:pt>
                <c:pt idx="417">
                  <c:v>558.5</c:v>
                </c:pt>
                <c:pt idx="418">
                  <c:v>559</c:v>
                </c:pt>
                <c:pt idx="419">
                  <c:v>559.5</c:v>
                </c:pt>
                <c:pt idx="420">
                  <c:v>560</c:v>
                </c:pt>
                <c:pt idx="421">
                  <c:v>560.5</c:v>
                </c:pt>
                <c:pt idx="422">
                  <c:v>561</c:v>
                </c:pt>
                <c:pt idx="423">
                  <c:v>561.5</c:v>
                </c:pt>
                <c:pt idx="424">
                  <c:v>562</c:v>
                </c:pt>
                <c:pt idx="425">
                  <c:v>562.5</c:v>
                </c:pt>
                <c:pt idx="426">
                  <c:v>563</c:v>
                </c:pt>
                <c:pt idx="427">
                  <c:v>563.5</c:v>
                </c:pt>
                <c:pt idx="428">
                  <c:v>564</c:v>
                </c:pt>
                <c:pt idx="429">
                  <c:v>564.5</c:v>
                </c:pt>
                <c:pt idx="430">
                  <c:v>565</c:v>
                </c:pt>
                <c:pt idx="431">
                  <c:v>565.5</c:v>
                </c:pt>
                <c:pt idx="432">
                  <c:v>566</c:v>
                </c:pt>
                <c:pt idx="433">
                  <c:v>566.5</c:v>
                </c:pt>
                <c:pt idx="434">
                  <c:v>567</c:v>
                </c:pt>
                <c:pt idx="435">
                  <c:v>567.5</c:v>
                </c:pt>
                <c:pt idx="436">
                  <c:v>568</c:v>
                </c:pt>
                <c:pt idx="437">
                  <c:v>568.5</c:v>
                </c:pt>
                <c:pt idx="438">
                  <c:v>569</c:v>
                </c:pt>
                <c:pt idx="439">
                  <c:v>569.5</c:v>
                </c:pt>
                <c:pt idx="440">
                  <c:v>570</c:v>
                </c:pt>
                <c:pt idx="441">
                  <c:v>570.5</c:v>
                </c:pt>
                <c:pt idx="442">
                  <c:v>571</c:v>
                </c:pt>
                <c:pt idx="443">
                  <c:v>571.5</c:v>
                </c:pt>
                <c:pt idx="444">
                  <c:v>572</c:v>
                </c:pt>
                <c:pt idx="445">
                  <c:v>572.5</c:v>
                </c:pt>
                <c:pt idx="446">
                  <c:v>573</c:v>
                </c:pt>
                <c:pt idx="447">
                  <c:v>573.5</c:v>
                </c:pt>
                <c:pt idx="448">
                  <c:v>574</c:v>
                </c:pt>
                <c:pt idx="449">
                  <c:v>574.5</c:v>
                </c:pt>
                <c:pt idx="450">
                  <c:v>575</c:v>
                </c:pt>
                <c:pt idx="451">
                  <c:v>575.5</c:v>
                </c:pt>
                <c:pt idx="452">
                  <c:v>576</c:v>
                </c:pt>
                <c:pt idx="453">
                  <c:v>576.5</c:v>
                </c:pt>
                <c:pt idx="454">
                  <c:v>577</c:v>
                </c:pt>
                <c:pt idx="455">
                  <c:v>577.5</c:v>
                </c:pt>
                <c:pt idx="456">
                  <c:v>578</c:v>
                </c:pt>
                <c:pt idx="457">
                  <c:v>578.5</c:v>
                </c:pt>
                <c:pt idx="458">
                  <c:v>579</c:v>
                </c:pt>
                <c:pt idx="459">
                  <c:v>579.5</c:v>
                </c:pt>
                <c:pt idx="460">
                  <c:v>580</c:v>
                </c:pt>
                <c:pt idx="461">
                  <c:v>580.5</c:v>
                </c:pt>
                <c:pt idx="462">
                  <c:v>581</c:v>
                </c:pt>
                <c:pt idx="463">
                  <c:v>581.5</c:v>
                </c:pt>
                <c:pt idx="464">
                  <c:v>582</c:v>
                </c:pt>
                <c:pt idx="465">
                  <c:v>582.5</c:v>
                </c:pt>
                <c:pt idx="466">
                  <c:v>583</c:v>
                </c:pt>
                <c:pt idx="467">
                  <c:v>583.5</c:v>
                </c:pt>
                <c:pt idx="468">
                  <c:v>584</c:v>
                </c:pt>
                <c:pt idx="469">
                  <c:v>584.5</c:v>
                </c:pt>
                <c:pt idx="470">
                  <c:v>585</c:v>
                </c:pt>
                <c:pt idx="471">
                  <c:v>585.5</c:v>
                </c:pt>
                <c:pt idx="472">
                  <c:v>586</c:v>
                </c:pt>
                <c:pt idx="473">
                  <c:v>586.5</c:v>
                </c:pt>
                <c:pt idx="474">
                  <c:v>587</c:v>
                </c:pt>
                <c:pt idx="475">
                  <c:v>587.5</c:v>
                </c:pt>
                <c:pt idx="476">
                  <c:v>588</c:v>
                </c:pt>
                <c:pt idx="477">
                  <c:v>588.5</c:v>
                </c:pt>
                <c:pt idx="478">
                  <c:v>589</c:v>
                </c:pt>
                <c:pt idx="479">
                  <c:v>589.5</c:v>
                </c:pt>
                <c:pt idx="480">
                  <c:v>590</c:v>
                </c:pt>
                <c:pt idx="481">
                  <c:v>590.5</c:v>
                </c:pt>
                <c:pt idx="482">
                  <c:v>591</c:v>
                </c:pt>
                <c:pt idx="483">
                  <c:v>591.5</c:v>
                </c:pt>
                <c:pt idx="484">
                  <c:v>592</c:v>
                </c:pt>
                <c:pt idx="485">
                  <c:v>592.5</c:v>
                </c:pt>
                <c:pt idx="486">
                  <c:v>593</c:v>
                </c:pt>
                <c:pt idx="487">
                  <c:v>593.5</c:v>
                </c:pt>
                <c:pt idx="488">
                  <c:v>594</c:v>
                </c:pt>
                <c:pt idx="489">
                  <c:v>594.5</c:v>
                </c:pt>
                <c:pt idx="490">
                  <c:v>595</c:v>
                </c:pt>
                <c:pt idx="491">
                  <c:v>595.5</c:v>
                </c:pt>
                <c:pt idx="492">
                  <c:v>596</c:v>
                </c:pt>
                <c:pt idx="493">
                  <c:v>596.5</c:v>
                </c:pt>
                <c:pt idx="494">
                  <c:v>597</c:v>
                </c:pt>
                <c:pt idx="495">
                  <c:v>597.5</c:v>
                </c:pt>
                <c:pt idx="496">
                  <c:v>598</c:v>
                </c:pt>
                <c:pt idx="497">
                  <c:v>598.5</c:v>
                </c:pt>
                <c:pt idx="498">
                  <c:v>599</c:v>
                </c:pt>
                <c:pt idx="499">
                  <c:v>599.5</c:v>
                </c:pt>
                <c:pt idx="500">
                  <c:v>600</c:v>
                </c:pt>
                <c:pt idx="501">
                  <c:v>600.5</c:v>
                </c:pt>
                <c:pt idx="502">
                  <c:v>601</c:v>
                </c:pt>
                <c:pt idx="503">
                  <c:v>601.5</c:v>
                </c:pt>
                <c:pt idx="504">
                  <c:v>602</c:v>
                </c:pt>
                <c:pt idx="505">
                  <c:v>602.5</c:v>
                </c:pt>
                <c:pt idx="506">
                  <c:v>603</c:v>
                </c:pt>
                <c:pt idx="507">
                  <c:v>603.5</c:v>
                </c:pt>
                <c:pt idx="508">
                  <c:v>604</c:v>
                </c:pt>
                <c:pt idx="509">
                  <c:v>604.5</c:v>
                </c:pt>
                <c:pt idx="510">
                  <c:v>605</c:v>
                </c:pt>
                <c:pt idx="511">
                  <c:v>605.5</c:v>
                </c:pt>
                <c:pt idx="512">
                  <c:v>606</c:v>
                </c:pt>
                <c:pt idx="513">
                  <c:v>606.5</c:v>
                </c:pt>
                <c:pt idx="514">
                  <c:v>607</c:v>
                </c:pt>
                <c:pt idx="515">
                  <c:v>607.5</c:v>
                </c:pt>
                <c:pt idx="516">
                  <c:v>608</c:v>
                </c:pt>
                <c:pt idx="517">
                  <c:v>608.5</c:v>
                </c:pt>
                <c:pt idx="518">
                  <c:v>609</c:v>
                </c:pt>
                <c:pt idx="519">
                  <c:v>609.5</c:v>
                </c:pt>
                <c:pt idx="520">
                  <c:v>610</c:v>
                </c:pt>
                <c:pt idx="521">
                  <c:v>610.5</c:v>
                </c:pt>
                <c:pt idx="522">
                  <c:v>611</c:v>
                </c:pt>
                <c:pt idx="523">
                  <c:v>611.5</c:v>
                </c:pt>
                <c:pt idx="524">
                  <c:v>612</c:v>
                </c:pt>
                <c:pt idx="525">
                  <c:v>612.5</c:v>
                </c:pt>
                <c:pt idx="526">
                  <c:v>613</c:v>
                </c:pt>
                <c:pt idx="527">
                  <c:v>613.5</c:v>
                </c:pt>
                <c:pt idx="528">
                  <c:v>614</c:v>
                </c:pt>
                <c:pt idx="529">
                  <c:v>614.5</c:v>
                </c:pt>
                <c:pt idx="530">
                  <c:v>615</c:v>
                </c:pt>
                <c:pt idx="531">
                  <c:v>615.5</c:v>
                </c:pt>
                <c:pt idx="532">
                  <c:v>616</c:v>
                </c:pt>
                <c:pt idx="533">
                  <c:v>616.5</c:v>
                </c:pt>
                <c:pt idx="534">
                  <c:v>617</c:v>
                </c:pt>
                <c:pt idx="535">
                  <c:v>617.5</c:v>
                </c:pt>
                <c:pt idx="536">
                  <c:v>618</c:v>
                </c:pt>
                <c:pt idx="537">
                  <c:v>618.5</c:v>
                </c:pt>
                <c:pt idx="538">
                  <c:v>619</c:v>
                </c:pt>
                <c:pt idx="539">
                  <c:v>619.5</c:v>
                </c:pt>
                <c:pt idx="540">
                  <c:v>620</c:v>
                </c:pt>
                <c:pt idx="541">
                  <c:v>620.5</c:v>
                </c:pt>
                <c:pt idx="542">
                  <c:v>621</c:v>
                </c:pt>
                <c:pt idx="543">
                  <c:v>621.5</c:v>
                </c:pt>
                <c:pt idx="544">
                  <c:v>622</c:v>
                </c:pt>
                <c:pt idx="545">
                  <c:v>622.5</c:v>
                </c:pt>
                <c:pt idx="546">
                  <c:v>623</c:v>
                </c:pt>
                <c:pt idx="547">
                  <c:v>623.5</c:v>
                </c:pt>
                <c:pt idx="548">
                  <c:v>624</c:v>
                </c:pt>
                <c:pt idx="549">
                  <c:v>624.5</c:v>
                </c:pt>
                <c:pt idx="550">
                  <c:v>625</c:v>
                </c:pt>
                <c:pt idx="551">
                  <c:v>625.5</c:v>
                </c:pt>
                <c:pt idx="552">
                  <c:v>626</c:v>
                </c:pt>
                <c:pt idx="553">
                  <c:v>626.5</c:v>
                </c:pt>
                <c:pt idx="554">
                  <c:v>627</c:v>
                </c:pt>
                <c:pt idx="555">
                  <c:v>627.5</c:v>
                </c:pt>
                <c:pt idx="556">
                  <c:v>628</c:v>
                </c:pt>
                <c:pt idx="557">
                  <c:v>628.5</c:v>
                </c:pt>
                <c:pt idx="558">
                  <c:v>629</c:v>
                </c:pt>
                <c:pt idx="559">
                  <c:v>629.5</c:v>
                </c:pt>
                <c:pt idx="560">
                  <c:v>630</c:v>
                </c:pt>
                <c:pt idx="561">
                  <c:v>630.5</c:v>
                </c:pt>
                <c:pt idx="562">
                  <c:v>631</c:v>
                </c:pt>
                <c:pt idx="563">
                  <c:v>631.5</c:v>
                </c:pt>
                <c:pt idx="564">
                  <c:v>632</c:v>
                </c:pt>
                <c:pt idx="565">
                  <c:v>632.5</c:v>
                </c:pt>
                <c:pt idx="566">
                  <c:v>633</c:v>
                </c:pt>
                <c:pt idx="567">
                  <c:v>633.5</c:v>
                </c:pt>
                <c:pt idx="568">
                  <c:v>634</c:v>
                </c:pt>
                <c:pt idx="569">
                  <c:v>634.5</c:v>
                </c:pt>
                <c:pt idx="570">
                  <c:v>635</c:v>
                </c:pt>
                <c:pt idx="571">
                  <c:v>635.5</c:v>
                </c:pt>
                <c:pt idx="572">
                  <c:v>636</c:v>
                </c:pt>
                <c:pt idx="573">
                  <c:v>636.5</c:v>
                </c:pt>
                <c:pt idx="574">
                  <c:v>637</c:v>
                </c:pt>
                <c:pt idx="575">
                  <c:v>637.5</c:v>
                </c:pt>
                <c:pt idx="576">
                  <c:v>638</c:v>
                </c:pt>
                <c:pt idx="577">
                  <c:v>638.5</c:v>
                </c:pt>
                <c:pt idx="578">
                  <c:v>639</c:v>
                </c:pt>
                <c:pt idx="579">
                  <c:v>639.5</c:v>
                </c:pt>
                <c:pt idx="580">
                  <c:v>640</c:v>
                </c:pt>
                <c:pt idx="581">
                  <c:v>640.5</c:v>
                </c:pt>
                <c:pt idx="582">
                  <c:v>641</c:v>
                </c:pt>
                <c:pt idx="583">
                  <c:v>641.5</c:v>
                </c:pt>
                <c:pt idx="584">
                  <c:v>642</c:v>
                </c:pt>
                <c:pt idx="585">
                  <c:v>642.5</c:v>
                </c:pt>
                <c:pt idx="586">
                  <c:v>643</c:v>
                </c:pt>
                <c:pt idx="587">
                  <c:v>643.5</c:v>
                </c:pt>
                <c:pt idx="588">
                  <c:v>644</c:v>
                </c:pt>
                <c:pt idx="589">
                  <c:v>644.5</c:v>
                </c:pt>
                <c:pt idx="590">
                  <c:v>645</c:v>
                </c:pt>
                <c:pt idx="591">
                  <c:v>645.5</c:v>
                </c:pt>
                <c:pt idx="592">
                  <c:v>646</c:v>
                </c:pt>
                <c:pt idx="593">
                  <c:v>646.5</c:v>
                </c:pt>
                <c:pt idx="594">
                  <c:v>647</c:v>
                </c:pt>
                <c:pt idx="595">
                  <c:v>647.5</c:v>
                </c:pt>
                <c:pt idx="596">
                  <c:v>648</c:v>
                </c:pt>
                <c:pt idx="597">
                  <c:v>648.5</c:v>
                </c:pt>
                <c:pt idx="598">
                  <c:v>649</c:v>
                </c:pt>
                <c:pt idx="599">
                  <c:v>649.5</c:v>
                </c:pt>
                <c:pt idx="600">
                  <c:v>650</c:v>
                </c:pt>
                <c:pt idx="601">
                  <c:v>650.5</c:v>
                </c:pt>
                <c:pt idx="602">
                  <c:v>651</c:v>
                </c:pt>
                <c:pt idx="603">
                  <c:v>651.5</c:v>
                </c:pt>
                <c:pt idx="604">
                  <c:v>652</c:v>
                </c:pt>
                <c:pt idx="605">
                  <c:v>652.5</c:v>
                </c:pt>
                <c:pt idx="606">
                  <c:v>653</c:v>
                </c:pt>
                <c:pt idx="607">
                  <c:v>653.5</c:v>
                </c:pt>
                <c:pt idx="608">
                  <c:v>654</c:v>
                </c:pt>
                <c:pt idx="609">
                  <c:v>654.5</c:v>
                </c:pt>
                <c:pt idx="610">
                  <c:v>655</c:v>
                </c:pt>
                <c:pt idx="611">
                  <c:v>655.5</c:v>
                </c:pt>
                <c:pt idx="612">
                  <c:v>656</c:v>
                </c:pt>
                <c:pt idx="613">
                  <c:v>656.5</c:v>
                </c:pt>
                <c:pt idx="614">
                  <c:v>657</c:v>
                </c:pt>
                <c:pt idx="615">
                  <c:v>657.5</c:v>
                </c:pt>
                <c:pt idx="616">
                  <c:v>658</c:v>
                </c:pt>
                <c:pt idx="617">
                  <c:v>658.5</c:v>
                </c:pt>
                <c:pt idx="618">
                  <c:v>659</c:v>
                </c:pt>
                <c:pt idx="619">
                  <c:v>659.5</c:v>
                </c:pt>
                <c:pt idx="620">
                  <c:v>660</c:v>
                </c:pt>
                <c:pt idx="621">
                  <c:v>660.5</c:v>
                </c:pt>
                <c:pt idx="622">
                  <c:v>661</c:v>
                </c:pt>
                <c:pt idx="623">
                  <c:v>661.5</c:v>
                </c:pt>
                <c:pt idx="624">
                  <c:v>662</c:v>
                </c:pt>
                <c:pt idx="625">
                  <c:v>662.5</c:v>
                </c:pt>
                <c:pt idx="626">
                  <c:v>663</c:v>
                </c:pt>
                <c:pt idx="627">
                  <c:v>663.5</c:v>
                </c:pt>
                <c:pt idx="628">
                  <c:v>664</c:v>
                </c:pt>
                <c:pt idx="629">
                  <c:v>664.5</c:v>
                </c:pt>
                <c:pt idx="630">
                  <c:v>665</c:v>
                </c:pt>
                <c:pt idx="631">
                  <c:v>665.5</c:v>
                </c:pt>
                <c:pt idx="632">
                  <c:v>666</c:v>
                </c:pt>
                <c:pt idx="633">
                  <c:v>666.5</c:v>
                </c:pt>
                <c:pt idx="634">
                  <c:v>667</c:v>
                </c:pt>
                <c:pt idx="635">
                  <c:v>667.5</c:v>
                </c:pt>
                <c:pt idx="636">
                  <c:v>668</c:v>
                </c:pt>
                <c:pt idx="637">
                  <c:v>668.5</c:v>
                </c:pt>
                <c:pt idx="638">
                  <c:v>669</c:v>
                </c:pt>
                <c:pt idx="639">
                  <c:v>669.5</c:v>
                </c:pt>
                <c:pt idx="640">
                  <c:v>670</c:v>
                </c:pt>
                <c:pt idx="641">
                  <c:v>670.5</c:v>
                </c:pt>
                <c:pt idx="642">
                  <c:v>671</c:v>
                </c:pt>
                <c:pt idx="643">
                  <c:v>671.5</c:v>
                </c:pt>
                <c:pt idx="644">
                  <c:v>672</c:v>
                </c:pt>
                <c:pt idx="645">
                  <c:v>672.5</c:v>
                </c:pt>
                <c:pt idx="646">
                  <c:v>673</c:v>
                </c:pt>
                <c:pt idx="647">
                  <c:v>673.5</c:v>
                </c:pt>
                <c:pt idx="648">
                  <c:v>674</c:v>
                </c:pt>
                <c:pt idx="649">
                  <c:v>674.5</c:v>
                </c:pt>
                <c:pt idx="650">
                  <c:v>675</c:v>
                </c:pt>
                <c:pt idx="651">
                  <c:v>675.5</c:v>
                </c:pt>
                <c:pt idx="652">
                  <c:v>676</c:v>
                </c:pt>
                <c:pt idx="653">
                  <c:v>676.5</c:v>
                </c:pt>
                <c:pt idx="654">
                  <c:v>677</c:v>
                </c:pt>
                <c:pt idx="655">
                  <c:v>677.5</c:v>
                </c:pt>
                <c:pt idx="656">
                  <c:v>678</c:v>
                </c:pt>
                <c:pt idx="657">
                  <c:v>678.5</c:v>
                </c:pt>
                <c:pt idx="658">
                  <c:v>679</c:v>
                </c:pt>
                <c:pt idx="659">
                  <c:v>679.5</c:v>
                </c:pt>
                <c:pt idx="660">
                  <c:v>680</c:v>
                </c:pt>
                <c:pt idx="661">
                  <c:v>680.5</c:v>
                </c:pt>
                <c:pt idx="662">
                  <c:v>681</c:v>
                </c:pt>
                <c:pt idx="663">
                  <c:v>681.5</c:v>
                </c:pt>
                <c:pt idx="664">
                  <c:v>682</c:v>
                </c:pt>
                <c:pt idx="665">
                  <c:v>682.5</c:v>
                </c:pt>
                <c:pt idx="666">
                  <c:v>683</c:v>
                </c:pt>
                <c:pt idx="667">
                  <c:v>683.5</c:v>
                </c:pt>
                <c:pt idx="668">
                  <c:v>684</c:v>
                </c:pt>
                <c:pt idx="669">
                  <c:v>684.5</c:v>
                </c:pt>
                <c:pt idx="670">
                  <c:v>685</c:v>
                </c:pt>
                <c:pt idx="671">
                  <c:v>685.5</c:v>
                </c:pt>
                <c:pt idx="672">
                  <c:v>686</c:v>
                </c:pt>
                <c:pt idx="673">
                  <c:v>686.5</c:v>
                </c:pt>
                <c:pt idx="674">
                  <c:v>687</c:v>
                </c:pt>
                <c:pt idx="675">
                  <c:v>687.5</c:v>
                </c:pt>
                <c:pt idx="676">
                  <c:v>688</c:v>
                </c:pt>
                <c:pt idx="677">
                  <c:v>688.5</c:v>
                </c:pt>
                <c:pt idx="678">
                  <c:v>689</c:v>
                </c:pt>
                <c:pt idx="679">
                  <c:v>689.5</c:v>
                </c:pt>
                <c:pt idx="680">
                  <c:v>690</c:v>
                </c:pt>
                <c:pt idx="681">
                  <c:v>690.5</c:v>
                </c:pt>
                <c:pt idx="682">
                  <c:v>691</c:v>
                </c:pt>
                <c:pt idx="683">
                  <c:v>691.5</c:v>
                </c:pt>
                <c:pt idx="684">
                  <c:v>692</c:v>
                </c:pt>
                <c:pt idx="685">
                  <c:v>692.5</c:v>
                </c:pt>
                <c:pt idx="686">
                  <c:v>693</c:v>
                </c:pt>
                <c:pt idx="687">
                  <c:v>693.5</c:v>
                </c:pt>
                <c:pt idx="688">
                  <c:v>694</c:v>
                </c:pt>
                <c:pt idx="689">
                  <c:v>694.5</c:v>
                </c:pt>
                <c:pt idx="690">
                  <c:v>695</c:v>
                </c:pt>
                <c:pt idx="691">
                  <c:v>695.5</c:v>
                </c:pt>
                <c:pt idx="692">
                  <c:v>696</c:v>
                </c:pt>
                <c:pt idx="693">
                  <c:v>696.5</c:v>
                </c:pt>
                <c:pt idx="694">
                  <c:v>697</c:v>
                </c:pt>
                <c:pt idx="695">
                  <c:v>697.5</c:v>
                </c:pt>
                <c:pt idx="696">
                  <c:v>698</c:v>
                </c:pt>
                <c:pt idx="697">
                  <c:v>698.5</c:v>
                </c:pt>
                <c:pt idx="698">
                  <c:v>699</c:v>
                </c:pt>
                <c:pt idx="699">
                  <c:v>699.5</c:v>
                </c:pt>
                <c:pt idx="700">
                  <c:v>700</c:v>
                </c:pt>
                <c:pt idx="701">
                  <c:v>700.5</c:v>
                </c:pt>
                <c:pt idx="702">
                  <c:v>701</c:v>
                </c:pt>
                <c:pt idx="703">
                  <c:v>701.5</c:v>
                </c:pt>
                <c:pt idx="704">
                  <c:v>702</c:v>
                </c:pt>
                <c:pt idx="705">
                  <c:v>702.5</c:v>
                </c:pt>
                <c:pt idx="706">
                  <c:v>703</c:v>
                </c:pt>
                <c:pt idx="707">
                  <c:v>703.5</c:v>
                </c:pt>
                <c:pt idx="708">
                  <c:v>704</c:v>
                </c:pt>
                <c:pt idx="709">
                  <c:v>704.5</c:v>
                </c:pt>
                <c:pt idx="710">
                  <c:v>705</c:v>
                </c:pt>
                <c:pt idx="711">
                  <c:v>705.5</c:v>
                </c:pt>
                <c:pt idx="712">
                  <c:v>706</c:v>
                </c:pt>
                <c:pt idx="713">
                  <c:v>706.5</c:v>
                </c:pt>
                <c:pt idx="714">
                  <c:v>707</c:v>
                </c:pt>
                <c:pt idx="715">
                  <c:v>707.5</c:v>
                </c:pt>
                <c:pt idx="716">
                  <c:v>708</c:v>
                </c:pt>
                <c:pt idx="717">
                  <c:v>708.5</c:v>
                </c:pt>
                <c:pt idx="718">
                  <c:v>709</c:v>
                </c:pt>
                <c:pt idx="719">
                  <c:v>709.5</c:v>
                </c:pt>
                <c:pt idx="720">
                  <c:v>710</c:v>
                </c:pt>
                <c:pt idx="721">
                  <c:v>710.5</c:v>
                </c:pt>
                <c:pt idx="722">
                  <c:v>711</c:v>
                </c:pt>
                <c:pt idx="723">
                  <c:v>711.5</c:v>
                </c:pt>
                <c:pt idx="724">
                  <c:v>712</c:v>
                </c:pt>
                <c:pt idx="725">
                  <c:v>712.5</c:v>
                </c:pt>
                <c:pt idx="726">
                  <c:v>713</c:v>
                </c:pt>
                <c:pt idx="727">
                  <c:v>713.5</c:v>
                </c:pt>
                <c:pt idx="728">
                  <c:v>714</c:v>
                </c:pt>
                <c:pt idx="729">
                  <c:v>714.5</c:v>
                </c:pt>
                <c:pt idx="730">
                  <c:v>715</c:v>
                </c:pt>
                <c:pt idx="731">
                  <c:v>715.5</c:v>
                </c:pt>
                <c:pt idx="732">
                  <c:v>716</c:v>
                </c:pt>
                <c:pt idx="733">
                  <c:v>716.5</c:v>
                </c:pt>
                <c:pt idx="734">
                  <c:v>717</c:v>
                </c:pt>
                <c:pt idx="735">
                  <c:v>717.5</c:v>
                </c:pt>
                <c:pt idx="736">
                  <c:v>718</c:v>
                </c:pt>
                <c:pt idx="737">
                  <c:v>718.5</c:v>
                </c:pt>
                <c:pt idx="738">
                  <c:v>719</c:v>
                </c:pt>
                <c:pt idx="739">
                  <c:v>719.5</c:v>
                </c:pt>
                <c:pt idx="740">
                  <c:v>720</c:v>
                </c:pt>
                <c:pt idx="741">
                  <c:v>720.5</c:v>
                </c:pt>
                <c:pt idx="742">
                  <c:v>721</c:v>
                </c:pt>
                <c:pt idx="743">
                  <c:v>721.5</c:v>
                </c:pt>
                <c:pt idx="744">
                  <c:v>722</c:v>
                </c:pt>
                <c:pt idx="745">
                  <c:v>722.5</c:v>
                </c:pt>
                <c:pt idx="746">
                  <c:v>723</c:v>
                </c:pt>
                <c:pt idx="747">
                  <c:v>723.5</c:v>
                </c:pt>
                <c:pt idx="748">
                  <c:v>724</c:v>
                </c:pt>
                <c:pt idx="749">
                  <c:v>724.5</c:v>
                </c:pt>
                <c:pt idx="750">
                  <c:v>725</c:v>
                </c:pt>
                <c:pt idx="751">
                  <c:v>725.5</c:v>
                </c:pt>
                <c:pt idx="752">
                  <c:v>726</c:v>
                </c:pt>
                <c:pt idx="753">
                  <c:v>726.5</c:v>
                </c:pt>
                <c:pt idx="754">
                  <c:v>727</c:v>
                </c:pt>
                <c:pt idx="755">
                  <c:v>727.5</c:v>
                </c:pt>
                <c:pt idx="756">
                  <c:v>728</c:v>
                </c:pt>
                <c:pt idx="757">
                  <c:v>728.5</c:v>
                </c:pt>
                <c:pt idx="758">
                  <c:v>729</c:v>
                </c:pt>
                <c:pt idx="759">
                  <c:v>729.5</c:v>
                </c:pt>
                <c:pt idx="760">
                  <c:v>730</c:v>
                </c:pt>
                <c:pt idx="761">
                  <c:v>730.5</c:v>
                </c:pt>
                <c:pt idx="762">
                  <c:v>731</c:v>
                </c:pt>
                <c:pt idx="763">
                  <c:v>731.5</c:v>
                </c:pt>
                <c:pt idx="764">
                  <c:v>732</c:v>
                </c:pt>
                <c:pt idx="765">
                  <c:v>732.5</c:v>
                </c:pt>
                <c:pt idx="766">
                  <c:v>733</c:v>
                </c:pt>
                <c:pt idx="767">
                  <c:v>733.5</c:v>
                </c:pt>
                <c:pt idx="768">
                  <c:v>734</c:v>
                </c:pt>
                <c:pt idx="769">
                  <c:v>734.5</c:v>
                </c:pt>
                <c:pt idx="770">
                  <c:v>735</c:v>
                </c:pt>
                <c:pt idx="771">
                  <c:v>735.5</c:v>
                </c:pt>
                <c:pt idx="772">
                  <c:v>736</c:v>
                </c:pt>
                <c:pt idx="773">
                  <c:v>736.5</c:v>
                </c:pt>
                <c:pt idx="774">
                  <c:v>737</c:v>
                </c:pt>
                <c:pt idx="775">
                  <c:v>737.5</c:v>
                </c:pt>
                <c:pt idx="776">
                  <c:v>738</c:v>
                </c:pt>
                <c:pt idx="777">
                  <c:v>738.5</c:v>
                </c:pt>
                <c:pt idx="778">
                  <c:v>739</c:v>
                </c:pt>
                <c:pt idx="779">
                  <c:v>739.5</c:v>
                </c:pt>
                <c:pt idx="780">
                  <c:v>740</c:v>
                </c:pt>
                <c:pt idx="781">
                  <c:v>740.5</c:v>
                </c:pt>
                <c:pt idx="782">
                  <c:v>741</c:v>
                </c:pt>
                <c:pt idx="783">
                  <c:v>741.5</c:v>
                </c:pt>
                <c:pt idx="784">
                  <c:v>742</c:v>
                </c:pt>
                <c:pt idx="785">
                  <c:v>742.5</c:v>
                </c:pt>
                <c:pt idx="786">
                  <c:v>743</c:v>
                </c:pt>
                <c:pt idx="787">
                  <c:v>743.5</c:v>
                </c:pt>
                <c:pt idx="788">
                  <c:v>744</c:v>
                </c:pt>
                <c:pt idx="789">
                  <c:v>744.5</c:v>
                </c:pt>
                <c:pt idx="790">
                  <c:v>745</c:v>
                </c:pt>
                <c:pt idx="791">
                  <c:v>745.5</c:v>
                </c:pt>
                <c:pt idx="792">
                  <c:v>746</c:v>
                </c:pt>
                <c:pt idx="793">
                  <c:v>746.5</c:v>
                </c:pt>
                <c:pt idx="794">
                  <c:v>747</c:v>
                </c:pt>
                <c:pt idx="795">
                  <c:v>747.5</c:v>
                </c:pt>
                <c:pt idx="796">
                  <c:v>748</c:v>
                </c:pt>
                <c:pt idx="797">
                  <c:v>748.5</c:v>
                </c:pt>
                <c:pt idx="798">
                  <c:v>749</c:v>
                </c:pt>
                <c:pt idx="799">
                  <c:v>749.5</c:v>
                </c:pt>
                <c:pt idx="800">
                  <c:v>750</c:v>
                </c:pt>
                <c:pt idx="801">
                  <c:v>750.5</c:v>
                </c:pt>
                <c:pt idx="802">
                  <c:v>751</c:v>
                </c:pt>
                <c:pt idx="803">
                  <c:v>751.5</c:v>
                </c:pt>
                <c:pt idx="804">
                  <c:v>752</c:v>
                </c:pt>
                <c:pt idx="805">
                  <c:v>752.5</c:v>
                </c:pt>
                <c:pt idx="806">
                  <c:v>753</c:v>
                </c:pt>
                <c:pt idx="807">
                  <c:v>753.5</c:v>
                </c:pt>
                <c:pt idx="808">
                  <c:v>754</c:v>
                </c:pt>
                <c:pt idx="809">
                  <c:v>754.5</c:v>
                </c:pt>
                <c:pt idx="810">
                  <c:v>755</c:v>
                </c:pt>
                <c:pt idx="811">
                  <c:v>755.5</c:v>
                </c:pt>
                <c:pt idx="812">
                  <c:v>756</c:v>
                </c:pt>
                <c:pt idx="813">
                  <c:v>756.5</c:v>
                </c:pt>
                <c:pt idx="814">
                  <c:v>757</c:v>
                </c:pt>
                <c:pt idx="815">
                  <c:v>757.5</c:v>
                </c:pt>
                <c:pt idx="816">
                  <c:v>758</c:v>
                </c:pt>
                <c:pt idx="817">
                  <c:v>758.5</c:v>
                </c:pt>
                <c:pt idx="818">
                  <c:v>759</c:v>
                </c:pt>
                <c:pt idx="819">
                  <c:v>759.5</c:v>
                </c:pt>
                <c:pt idx="820">
                  <c:v>760</c:v>
                </c:pt>
                <c:pt idx="821">
                  <c:v>760.5</c:v>
                </c:pt>
                <c:pt idx="822">
                  <c:v>761</c:v>
                </c:pt>
                <c:pt idx="823">
                  <c:v>761.5</c:v>
                </c:pt>
                <c:pt idx="824">
                  <c:v>762</c:v>
                </c:pt>
                <c:pt idx="825">
                  <c:v>762.5</c:v>
                </c:pt>
                <c:pt idx="826">
                  <c:v>763</c:v>
                </c:pt>
                <c:pt idx="827">
                  <c:v>763.5</c:v>
                </c:pt>
                <c:pt idx="828">
                  <c:v>764</c:v>
                </c:pt>
                <c:pt idx="829">
                  <c:v>764.5</c:v>
                </c:pt>
                <c:pt idx="830">
                  <c:v>765</c:v>
                </c:pt>
                <c:pt idx="831">
                  <c:v>765.5</c:v>
                </c:pt>
                <c:pt idx="832">
                  <c:v>766</c:v>
                </c:pt>
                <c:pt idx="833">
                  <c:v>766.5</c:v>
                </c:pt>
                <c:pt idx="834">
                  <c:v>767</c:v>
                </c:pt>
                <c:pt idx="835">
                  <c:v>767.5</c:v>
                </c:pt>
                <c:pt idx="836">
                  <c:v>768</c:v>
                </c:pt>
                <c:pt idx="837">
                  <c:v>768.5</c:v>
                </c:pt>
                <c:pt idx="838">
                  <c:v>769</c:v>
                </c:pt>
                <c:pt idx="839">
                  <c:v>769.5</c:v>
                </c:pt>
                <c:pt idx="840">
                  <c:v>770</c:v>
                </c:pt>
                <c:pt idx="841">
                  <c:v>770.5</c:v>
                </c:pt>
                <c:pt idx="842">
                  <c:v>771</c:v>
                </c:pt>
                <c:pt idx="843">
                  <c:v>771.5</c:v>
                </c:pt>
                <c:pt idx="844">
                  <c:v>772</c:v>
                </c:pt>
                <c:pt idx="845">
                  <c:v>772.5</c:v>
                </c:pt>
                <c:pt idx="846">
                  <c:v>773</c:v>
                </c:pt>
                <c:pt idx="847">
                  <c:v>773.5</c:v>
                </c:pt>
                <c:pt idx="848">
                  <c:v>774</c:v>
                </c:pt>
                <c:pt idx="849">
                  <c:v>774.5</c:v>
                </c:pt>
                <c:pt idx="850">
                  <c:v>775</c:v>
                </c:pt>
                <c:pt idx="851">
                  <c:v>775.5</c:v>
                </c:pt>
                <c:pt idx="852">
                  <c:v>776</c:v>
                </c:pt>
                <c:pt idx="853">
                  <c:v>776.5</c:v>
                </c:pt>
                <c:pt idx="854">
                  <c:v>777</c:v>
                </c:pt>
                <c:pt idx="855">
                  <c:v>777.5</c:v>
                </c:pt>
                <c:pt idx="856">
                  <c:v>778</c:v>
                </c:pt>
                <c:pt idx="857">
                  <c:v>778.5</c:v>
                </c:pt>
                <c:pt idx="858">
                  <c:v>779</c:v>
                </c:pt>
                <c:pt idx="859">
                  <c:v>779.5</c:v>
                </c:pt>
                <c:pt idx="860">
                  <c:v>780</c:v>
                </c:pt>
                <c:pt idx="861">
                  <c:v>780.5</c:v>
                </c:pt>
                <c:pt idx="862">
                  <c:v>781</c:v>
                </c:pt>
                <c:pt idx="863">
                  <c:v>781.5</c:v>
                </c:pt>
                <c:pt idx="864">
                  <c:v>782</c:v>
                </c:pt>
                <c:pt idx="865">
                  <c:v>782.5</c:v>
                </c:pt>
                <c:pt idx="866">
                  <c:v>783</c:v>
                </c:pt>
                <c:pt idx="867">
                  <c:v>783.5</c:v>
                </c:pt>
                <c:pt idx="868">
                  <c:v>784</c:v>
                </c:pt>
                <c:pt idx="869">
                  <c:v>784.5</c:v>
                </c:pt>
                <c:pt idx="870">
                  <c:v>785</c:v>
                </c:pt>
                <c:pt idx="871">
                  <c:v>785.5</c:v>
                </c:pt>
                <c:pt idx="872">
                  <c:v>786</c:v>
                </c:pt>
                <c:pt idx="873">
                  <c:v>786.5</c:v>
                </c:pt>
                <c:pt idx="874">
                  <c:v>787</c:v>
                </c:pt>
                <c:pt idx="875">
                  <c:v>787.5</c:v>
                </c:pt>
                <c:pt idx="876">
                  <c:v>788</c:v>
                </c:pt>
                <c:pt idx="877">
                  <c:v>788.5</c:v>
                </c:pt>
                <c:pt idx="878">
                  <c:v>789</c:v>
                </c:pt>
                <c:pt idx="879">
                  <c:v>789.5</c:v>
                </c:pt>
                <c:pt idx="880">
                  <c:v>790</c:v>
                </c:pt>
                <c:pt idx="881">
                  <c:v>790.5</c:v>
                </c:pt>
                <c:pt idx="882">
                  <c:v>791</c:v>
                </c:pt>
                <c:pt idx="883">
                  <c:v>791.5</c:v>
                </c:pt>
                <c:pt idx="884">
                  <c:v>792</c:v>
                </c:pt>
                <c:pt idx="885">
                  <c:v>792.5</c:v>
                </c:pt>
                <c:pt idx="886">
                  <c:v>793</c:v>
                </c:pt>
                <c:pt idx="887">
                  <c:v>793.5</c:v>
                </c:pt>
                <c:pt idx="888">
                  <c:v>794</c:v>
                </c:pt>
                <c:pt idx="889">
                  <c:v>794.5</c:v>
                </c:pt>
                <c:pt idx="890">
                  <c:v>795</c:v>
                </c:pt>
                <c:pt idx="891">
                  <c:v>795.5</c:v>
                </c:pt>
                <c:pt idx="892">
                  <c:v>796</c:v>
                </c:pt>
                <c:pt idx="893">
                  <c:v>796.5</c:v>
                </c:pt>
                <c:pt idx="894">
                  <c:v>797</c:v>
                </c:pt>
                <c:pt idx="895">
                  <c:v>797.5</c:v>
                </c:pt>
                <c:pt idx="896">
                  <c:v>798</c:v>
                </c:pt>
                <c:pt idx="897">
                  <c:v>798.5</c:v>
                </c:pt>
                <c:pt idx="898">
                  <c:v>799</c:v>
                </c:pt>
                <c:pt idx="899">
                  <c:v>799.5</c:v>
                </c:pt>
                <c:pt idx="900">
                  <c:v>800</c:v>
                </c:pt>
                <c:pt idx="901">
                  <c:v>800.5</c:v>
                </c:pt>
                <c:pt idx="902">
                  <c:v>801</c:v>
                </c:pt>
                <c:pt idx="903">
                  <c:v>801.5</c:v>
                </c:pt>
                <c:pt idx="904">
                  <c:v>802</c:v>
                </c:pt>
                <c:pt idx="905">
                  <c:v>802.5</c:v>
                </c:pt>
                <c:pt idx="906">
                  <c:v>803</c:v>
                </c:pt>
                <c:pt idx="907">
                  <c:v>803.5</c:v>
                </c:pt>
                <c:pt idx="908">
                  <c:v>804</c:v>
                </c:pt>
                <c:pt idx="909">
                  <c:v>804.5</c:v>
                </c:pt>
                <c:pt idx="910">
                  <c:v>805</c:v>
                </c:pt>
                <c:pt idx="911">
                  <c:v>805.5</c:v>
                </c:pt>
                <c:pt idx="912">
                  <c:v>806</c:v>
                </c:pt>
                <c:pt idx="913">
                  <c:v>806.5</c:v>
                </c:pt>
                <c:pt idx="914">
                  <c:v>807</c:v>
                </c:pt>
                <c:pt idx="915">
                  <c:v>807.5</c:v>
                </c:pt>
                <c:pt idx="916">
                  <c:v>808</c:v>
                </c:pt>
                <c:pt idx="917">
                  <c:v>808.5</c:v>
                </c:pt>
                <c:pt idx="918">
                  <c:v>809</c:v>
                </c:pt>
                <c:pt idx="919">
                  <c:v>809.5</c:v>
                </c:pt>
                <c:pt idx="920">
                  <c:v>810</c:v>
                </c:pt>
                <c:pt idx="921">
                  <c:v>810.5</c:v>
                </c:pt>
                <c:pt idx="922">
                  <c:v>811</c:v>
                </c:pt>
                <c:pt idx="923">
                  <c:v>811.5</c:v>
                </c:pt>
                <c:pt idx="924">
                  <c:v>812</c:v>
                </c:pt>
                <c:pt idx="925">
                  <c:v>812.5</c:v>
                </c:pt>
                <c:pt idx="926">
                  <c:v>813</c:v>
                </c:pt>
                <c:pt idx="927">
                  <c:v>813.5</c:v>
                </c:pt>
                <c:pt idx="928">
                  <c:v>814</c:v>
                </c:pt>
                <c:pt idx="929">
                  <c:v>814.5</c:v>
                </c:pt>
                <c:pt idx="930">
                  <c:v>815</c:v>
                </c:pt>
                <c:pt idx="931">
                  <c:v>815.5</c:v>
                </c:pt>
                <c:pt idx="932">
                  <c:v>816</c:v>
                </c:pt>
                <c:pt idx="933">
                  <c:v>816.5</c:v>
                </c:pt>
                <c:pt idx="934">
                  <c:v>817</c:v>
                </c:pt>
                <c:pt idx="935">
                  <c:v>817.5</c:v>
                </c:pt>
                <c:pt idx="936">
                  <c:v>818</c:v>
                </c:pt>
                <c:pt idx="937">
                  <c:v>818.5</c:v>
                </c:pt>
                <c:pt idx="938">
                  <c:v>819</c:v>
                </c:pt>
                <c:pt idx="939">
                  <c:v>819.5</c:v>
                </c:pt>
                <c:pt idx="940">
                  <c:v>820</c:v>
                </c:pt>
                <c:pt idx="941">
                  <c:v>820.5</c:v>
                </c:pt>
                <c:pt idx="942">
                  <c:v>821</c:v>
                </c:pt>
                <c:pt idx="943">
                  <c:v>821.5</c:v>
                </c:pt>
                <c:pt idx="944">
                  <c:v>822</c:v>
                </c:pt>
                <c:pt idx="945">
                  <c:v>822.5</c:v>
                </c:pt>
                <c:pt idx="946">
                  <c:v>823</c:v>
                </c:pt>
                <c:pt idx="947">
                  <c:v>823.5</c:v>
                </c:pt>
                <c:pt idx="948">
                  <c:v>824</c:v>
                </c:pt>
                <c:pt idx="949">
                  <c:v>824.5</c:v>
                </c:pt>
                <c:pt idx="950">
                  <c:v>825</c:v>
                </c:pt>
                <c:pt idx="951">
                  <c:v>825.5</c:v>
                </c:pt>
                <c:pt idx="952">
                  <c:v>826</c:v>
                </c:pt>
                <c:pt idx="953">
                  <c:v>826.5</c:v>
                </c:pt>
                <c:pt idx="954">
                  <c:v>827</c:v>
                </c:pt>
                <c:pt idx="955">
                  <c:v>827.5</c:v>
                </c:pt>
                <c:pt idx="956">
                  <c:v>828</c:v>
                </c:pt>
                <c:pt idx="957">
                  <c:v>828.5</c:v>
                </c:pt>
                <c:pt idx="958">
                  <c:v>829</c:v>
                </c:pt>
                <c:pt idx="959">
                  <c:v>829.5</c:v>
                </c:pt>
                <c:pt idx="960">
                  <c:v>830</c:v>
                </c:pt>
                <c:pt idx="961">
                  <c:v>830.5</c:v>
                </c:pt>
                <c:pt idx="962">
                  <c:v>831</c:v>
                </c:pt>
                <c:pt idx="963">
                  <c:v>831.5</c:v>
                </c:pt>
                <c:pt idx="964">
                  <c:v>832</c:v>
                </c:pt>
                <c:pt idx="965">
                  <c:v>832.5</c:v>
                </c:pt>
                <c:pt idx="966">
                  <c:v>833</c:v>
                </c:pt>
                <c:pt idx="967">
                  <c:v>833.5</c:v>
                </c:pt>
                <c:pt idx="968">
                  <c:v>834</c:v>
                </c:pt>
                <c:pt idx="969">
                  <c:v>834.5</c:v>
                </c:pt>
                <c:pt idx="970">
                  <c:v>835</c:v>
                </c:pt>
                <c:pt idx="971">
                  <c:v>835.5</c:v>
                </c:pt>
                <c:pt idx="972">
                  <c:v>836</c:v>
                </c:pt>
                <c:pt idx="973">
                  <c:v>836.5</c:v>
                </c:pt>
                <c:pt idx="974">
                  <c:v>837</c:v>
                </c:pt>
                <c:pt idx="975">
                  <c:v>837.5</c:v>
                </c:pt>
                <c:pt idx="976">
                  <c:v>838</c:v>
                </c:pt>
                <c:pt idx="977">
                  <c:v>838.5</c:v>
                </c:pt>
                <c:pt idx="978">
                  <c:v>839</c:v>
                </c:pt>
                <c:pt idx="979">
                  <c:v>839.5</c:v>
                </c:pt>
                <c:pt idx="980">
                  <c:v>840</c:v>
                </c:pt>
                <c:pt idx="981">
                  <c:v>840.5</c:v>
                </c:pt>
                <c:pt idx="982">
                  <c:v>841</c:v>
                </c:pt>
                <c:pt idx="983">
                  <c:v>841.5</c:v>
                </c:pt>
                <c:pt idx="984">
                  <c:v>842</c:v>
                </c:pt>
                <c:pt idx="985">
                  <c:v>842.5</c:v>
                </c:pt>
                <c:pt idx="986">
                  <c:v>843</c:v>
                </c:pt>
                <c:pt idx="987">
                  <c:v>843.5</c:v>
                </c:pt>
                <c:pt idx="988">
                  <c:v>844</c:v>
                </c:pt>
                <c:pt idx="989">
                  <c:v>844.5</c:v>
                </c:pt>
                <c:pt idx="990">
                  <c:v>845</c:v>
                </c:pt>
                <c:pt idx="991">
                  <c:v>845.5</c:v>
                </c:pt>
                <c:pt idx="992">
                  <c:v>846</c:v>
                </c:pt>
                <c:pt idx="993">
                  <c:v>846.5</c:v>
                </c:pt>
                <c:pt idx="994">
                  <c:v>847</c:v>
                </c:pt>
                <c:pt idx="995">
                  <c:v>847.5</c:v>
                </c:pt>
                <c:pt idx="996">
                  <c:v>848</c:v>
                </c:pt>
                <c:pt idx="997">
                  <c:v>848.5</c:v>
                </c:pt>
                <c:pt idx="998">
                  <c:v>849</c:v>
                </c:pt>
                <c:pt idx="999">
                  <c:v>849.5</c:v>
                </c:pt>
                <c:pt idx="1000">
                  <c:v>850</c:v>
                </c:pt>
              </c:numCache>
            </c:numRef>
          </c:cat>
          <c:val>
            <c:numRef>
              <c:f>Sheet1!$F$212:$F$1212</c:f>
              <c:numCache>
                <c:formatCode>0.00E+00</c:formatCode>
                <c:ptCount val="1001"/>
                <c:pt idx="0">
                  <c:v>1.7200000000000001E-4</c:v>
                </c:pt>
                <c:pt idx="1">
                  <c:v>2.8000000000000003E-4</c:v>
                </c:pt>
                <c:pt idx="2">
                  <c:v>3.2000000000000003E-4</c:v>
                </c:pt>
                <c:pt idx="3">
                  <c:v>4.0480000000000008E-4</c:v>
                </c:pt>
                <c:pt idx="4">
                  <c:v>4.4320000000000004E-4</c:v>
                </c:pt>
                <c:pt idx="5">
                  <c:v>4.9200000000000003E-4</c:v>
                </c:pt>
                <c:pt idx="6">
                  <c:v>4.7120000000000002E-4</c:v>
                </c:pt>
                <c:pt idx="7">
                  <c:v>4.7840000000000003E-4</c:v>
                </c:pt>
                <c:pt idx="8">
                  <c:v>4.8719999999999997E-4</c:v>
                </c:pt>
                <c:pt idx="9">
                  <c:v>4.7280000000000005E-4</c:v>
                </c:pt>
                <c:pt idx="10">
                  <c:v>4.4400000000000006E-4</c:v>
                </c:pt>
                <c:pt idx="11">
                  <c:v>4.1440000000000004E-4</c:v>
                </c:pt>
                <c:pt idx="12">
                  <c:v>4.0800000000000005E-4</c:v>
                </c:pt>
                <c:pt idx="13">
                  <c:v>4.104E-4</c:v>
                </c:pt>
                <c:pt idx="14">
                  <c:v>3.7120000000000002E-4</c:v>
                </c:pt>
                <c:pt idx="15">
                  <c:v>3.3600000000000004E-4</c:v>
                </c:pt>
                <c:pt idx="16">
                  <c:v>4.0080000000000004E-4</c:v>
                </c:pt>
                <c:pt idx="17">
                  <c:v>5.2079999999999997E-4</c:v>
                </c:pt>
                <c:pt idx="18">
                  <c:v>5.7200000000000003E-4</c:v>
                </c:pt>
                <c:pt idx="19">
                  <c:v>5.8480000000000001E-4</c:v>
                </c:pt>
                <c:pt idx="20">
                  <c:v>5.0480000000000002E-4</c:v>
                </c:pt>
                <c:pt idx="21">
                  <c:v>4.5680000000000004E-4</c:v>
                </c:pt>
                <c:pt idx="22">
                  <c:v>4.8560000000000004E-4</c:v>
                </c:pt>
                <c:pt idx="23">
                  <c:v>5.0560000000000004E-4</c:v>
                </c:pt>
                <c:pt idx="24">
                  <c:v>5.6720000000000002E-4</c:v>
                </c:pt>
                <c:pt idx="25">
                  <c:v>6.6720000000000006E-4</c:v>
                </c:pt>
                <c:pt idx="26">
                  <c:v>7.7040000000000008E-4</c:v>
                </c:pt>
                <c:pt idx="27">
                  <c:v>8.9599999999999999E-4</c:v>
                </c:pt>
                <c:pt idx="28">
                  <c:v>1E-3</c:v>
                </c:pt>
                <c:pt idx="29">
                  <c:v>1.08E-3</c:v>
                </c:pt>
                <c:pt idx="30">
                  <c:v>1.0480000000000001E-3</c:v>
                </c:pt>
                <c:pt idx="31">
                  <c:v>1.0160000000000002E-3</c:v>
                </c:pt>
                <c:pt idx="32">
                  <c:v>9.4400000000000007E-4</c:v>
                </c:pt>
                <c:pt idx="33">
                  <c:v>8.9599999999999999E-4</c:v>
                </c:pt>
                <c:pt idx="34">
                  <c:v>9.4400000000000007E-4</c:v>
                </c:pt>
                <c:pt idx="35">
                  <c:v>1.0240000000000002E-3</c:v>
                </c:pt>
                <c:pt idx="36">
                  <c:v>1.08E-3</c:v>
                </c:pt>
                <c:pt idx="37">
                  <c:v>1.168E-3</c:v>
                </c:pt>
                <c:pt idx="38">
                  <c:v>1.24E-3</c:v>
                </c:pt>
                <c:pt idx="39">
                  <c:v>1.304E-3</c:v>
                </c:pt>
                <c:pt idx="40">
                  <c:v>1.2800000000000001E-3</c:v>
                </c:pt>
                <c:pt idx="41">
                  <c:v>1.2080000000000001E-3</c:v>
                </c:pt>
                <c:pt idx="42">
                  <c:v>1.16E-3</c:v>
                </c:pt>
                <c:pt idx="43">
                  <c:v>1.176E-3</c:v>
                </c:pt>
                <c:pt idx="44">
                  <c:v>1.24E-3</c:v>
                </c:pt>
                <c:pt idx="45">
                  <c:v>1.24E-3</c:v>
                </c:pt>
                <c:pt idx="46">
                  <c:v>1.2080000000000001E-3</c:v>
                </c:pt>
                <c:pt idx="47">
                  <c:v>1.2720000000000001E-3</c:v>
                </c:pt>
                <c:pt idx="48">
                  <c:v>1.4480000000000001E-3</c:v>
                </c:pt>
                <c:pt idx="49">
                  <c:v>1.5440000000000002E-3</c:v>
                </c:pt>
                <c:pt idx="50">
                  <c:v>1.6160000000000002E-3</c:v>
                </c:pt>
                <c:pt idx="51">
                  <c:v>1.6000000000000001E-3</c:v>
                </c:pt>
                <c:pt idx="52">
                  <c:v>1.5440000000000002E-3</c:v>
                </c:pt>
                <c:pt idx="53">
                  <c:v>1.56E-3</c:v>
                </c:pt>
                <c:pt idx="54">
                  <c:v>1.5840000000000001E-3</c:v>
                </c:pt>
                <c:pt idx="55">
                  <c:v>1.6639999999999999E-3</c:v>
                </c:pt>
                <c:pt idx="56">
                  <c:v>1.8079999999999999E-3</c:v>
                </c:pt>
                <c:pt idx="57">
                  <c:v>1.9040000000000003E-3</c:v>
                </c:pt>
                <c:pt idx="58">
                  <c:v>1.928E-3</c:v>
                </c:pt>
                <c:pt idx="59">
                  <c:v>1.936E-3</c:v>
                </c:pt>
                <c:pt idx="60">
                  <c:v>1.9840000000000001E-3</c:v>
                </c:pt>
                <c:pt idx="61">
                  <c:v>2.0560000000000001E-3</c:v>
                </c:pt>
                <c:pt idx="62">
                  <c:v>2.1120000000000002E-3</c:v>
                </c:pt>
                <c:pt idx="63">
                  <c:v>2.16E-3</c:v>
                </c:pt>
                <c:pt idx="64">
                  <c:v>2.1360000000000003E-3</c:v>
                </c:pt>
                <c:pt idx="65">
                  <c:v>2.1919999999999999E-3</c:v>
                </c:pt>
                <c:pt idx="66">
                  <c:v>2.248E-3</c:v>
                </c:pt>
                <c:pt idx="67">
                  <c:v>2.3440000000000002E-3</c:v>
                </c:pt>
                <c:pt idx="68">
                  <c:v>2.4559999999999998E-3</c:v>
                </c:pt>
                <c:pt idx="69">
                  <c:v>2.5360000000000001E-3</c:v>
                </c:pt>
                <c:pt idx="70">
                  <c:v>2.5440000000000003E-3</c:v>
                </c:pt>
                <c:pt idx="71">
                  <c:v>2.5280000000000003E-3</c:v>
                </c:pt>
                <c:pt idx="72">
                  <c:v>2.48E-3</c:v>
                </c:pt>
                <c:pt idx="73">
                  <c:v>4.64E-3</c:v>
                </c:pt>
                <c:pt idx="74">
                  <c:v>4.9040000000000004E-3</c:v>
                </c:pt>
                <c:pt idx="75">
                  <c:v>5.1280000000000006E-3</c:v>
                </c:pt>
                <c:pt idx="76">
                  <c:v>5.352E-3</c:v>
                </c:pt>
                <c:pt idx="77">
                  <c:v>5.6080000000000001E-3</c:v>
                </c:pt>
                <c:pt idx="78">
                  <c:v>5.9120000000000006E-3</c:v>
                </c:pt>
                <c:pt idx="79">
                  <c:v>6.2240000000000004E-3</c:v>
                </c:pt>
                <c:pt idx="80">
                  <c:v>6.6080000000000002E-3</c:v>
                </c:pt>
                <c:pt idx="81">
                  <c:v>6.9680000000000011E-3</c:v>
                </c:pt>
                <c:pt idx="82">
                  <c:v>7.4000000000000003E-3</c:v>
                </c:pt>
                <c:pt idx="83">
                  <c:v>7.8880000000000009E-3</c:v>
                </c:pt>
                <c:pt idx="84">
                  <c:v>8.4000000000000012E-3</c:v>
                </c:pt>
                <c:pt idx="85">
                  <c:v>8.8000000000000005E-3</c:v>
                </c:pt>
                <c:pt idx="86">
                  <c:v>9.1200000000000014E-3</c:v>
                </c:pt>
                <c:pt idx="87">
                  <c:v>9.3600000000000003E-3</c:v>
                </c:pt>
                <c:pt idx="88">
                  <c:v>9.6800000000000011E-3</c:v>
                </c:pt>
                <c:pt idx="89">
                  <c:v>1.0240000000000001E-2</c:v>
                </c:pt>
                <c:pt idx="90">
                  <c:v>1.0960000000000001E-2</c:v>
                </c:pt>
                <c:pt idx="91">
                  <c:v>1.1520000000000001E-2</c:v>
                </c:pt>
                <c:pt idx="92">
                  <c:v>1.2E-2</c:v>
                </c:pt>
                <c:pt idx="93">
                  <c:v>1.256E-2</c:v>
                </c:pt>
                <c:pt idx="94">
                  <c:v>1.3440000000000001E-2</c:v>
                </c:pt>
                <c:pt idx="95">
                  <c:v>1.4240000000000001E-2</c:v>
                </c:pt>
                <c:pt idx="96">
                  <c:v>1.5040000000000001E-2</c:v>
                </c:pt>
                <c:pt idx="97">
                  <c:v>1.5840000000000003E-2</c:v>
                </c:pt>
                <c:pt idx="98">
                  <c:v>1.6719999999999999E-2</c:v>
                </c:pt>
                <c:pt idx="99">
                  <c:v>1.7520000000000001E-2</c:v>
                </c:pt>
                <c:pt idx="100">
                  <c:v>1.84E-2</c:v>
                </c:pt>
                <c:pt idx="101">
                  <c:v>1.9360000000000002E-2</c:v>
                </c:pt>
                <c:pt idx="102">
                  <c:v>2.0480000000000002E-2</c:v>
                </c:pt>
                <c:pt idx="103">
                  <c:v>2.1600000000000001E-2</c:v>
                </c:pt>
                <c:pt idx="104">
                  <c:v>2.2720000000000004E-2</c:v>
                </c:pt>
                <c:pt idx="105">
                  <c:v>2.4E-2</c:v>
                </c:pt>
                <c:pt idx="106">
                  <c:v>2.5280000000000004E-2</c:v>
                </c:pt>
                <c:pt idx="107">
                  <c:v>2.6640000000000004E-2</c:v>
                </c:pt>
                <c:pt idx="108">
                  <c:v>2.8000000000000004E-2</c:v>
                </c:pt>
                <c:pt idx="109">
                  <c:v>2.9360000000000004E-2</c:v>
                </c:pt>
                <c:pt idx="110">
                  <c:v>3.0960000000000001E-2</c:v>
                </c:pt>
                <c:pt idx="111">
                  <c:v>3.2719999999999999E-2</c:v>
                </c:pt>
                <c:pt idx="112">
                  <c:v>3.456E-2</c:v>
                </c:pt>
                <c:pt idx="113">
                  <c:v>3.6400000000000002E-2</c:v>
                </c:pt>
                <c:pt idx="114">
                  <c:v>3.8159999999999999E-2</c:v>
                </c:pt>
                <c:pt idx="115">
                  <c:v>4.0080000000000005E-2</c:v>
                </c:pt>
                <c:pt idx="116">
                  <c:v>4.2080000000000006E-2</c:v>
                </c:pt>
                <c:pt idx="117">
                  <c:v>4.4400000000000002E-2</c:v>
                </c:pt>
                <c:pt idx="118">
                  <c:v>4.6800000000000008E-2</c:v>
                </c:pt>
                <c:pt idx="119">
                  <c:v>4.9360000000000001E-2</c:v>
                </c:pt>
                <c:pt idx="120">
                  <c:v>5.1920000000000001E-2</c:v>
                </c:pt>
                <c:pt idx="121">
                  <c:v>5.4559999999999997E-2</c:v>
                </c:pt>
                <c:pt idx="122">
                  <c:v>5.7360000000000001E-2</c:v>
                </c:pt>
                <c:pt idx="123">
                  <c:v>6.0480000000000006E-2</c:v>
                </c:pt>
                <c:pt idx="124">
                  <c:v>6.3759999999999997E-2</c:v>
                </c:pt>
                <c:pt idx="125">
                  <c:v>6.720000000000001E-2</c:v>
                </c:pt>
                <c:pt idx="126">
                  <c:v>7.0879999999999999E-2</c:v>
                </c:pt>
                <c:pt idx="127">
                  <c:v>7.4639999999999998E-2</c:v>
                </c:pt>
                <c:pt idx="128">
                  <c:v>7.8640000000000002E-2</c:v>
                </c:pt>
                <c:pt idx="129">
                  <c:v>8.3199999999999996E-2</c:v>
                </c:pt>
                <c:pt idx="130">
                  <c:v>8.72E-2</c:v>
                </c:pt>
                <c:pt idx="131">
                  <c:v>9.2000000000000012E-2</c:v>
                </c:pt>
                <c:pt idx="132">
                  <c:v>9.6799999999999997E-2</c:v>
                </c:pt>
                <c:pt idx="133">
                  <c:v>0.1024</c:v>
                </c:pt>
                <c:pt idx="134">
                  <c:v>0.10720000000000002</c:v>
                </c:pt>
                <c:pt idx="135">
                  <c:v>0.11359999999999999</c:v>
                </c:pt>
                <c:pt idx="136">
                  <c:v>0.1192</c:v>
                </c:pt>
                <c:pt idx="137">
                  <c:v>0.12640000000000001</c:v>
                </c:pt>
                <c:pt idx="138">
                  <c:v>0.13360000000000002</c:v>
                </c:pt>
                <c:pt idx="139">
                  <c:v>0.13999999999999999</c:v>
                </c:pt>
                <c:pt idx="140">
                  <c:v>0.14799999999999999</c:v>
                </c:pt>
                <c:pt idx="141">
                  <c:v>0.1552</c:v>
                </c:pt>
                <c:pt idx="142">
                  <c:v>0.16320000000000001</c:v>
                </c:pt>
                <c:pt idx="143">
                  <c:v>0.17280000000000001</c:v>
                </c:pt>
                <c:pt idx="144">
                  <c:v>0.18160000000000001</c:v>
                </c:pt>
                <c:pt idx="145">
                  <c:v>0.192</c:v>
                </c:pt>
                <c:pt idx="146">
                  <c:v>0.20240000000000002</c:v>
                </c:pt>
                <c:pt idx="147">
                  <c:v>0.21280000000000002</c:v>
                </c:pt>
                <c:pt idx="148">
                  <c:v>0.22400000000000003</c:v>
                </c:pt>
                <c:pt idx="149">
                  <c:v>0.23680000000000001</c:v>
                </c:pt>
                <c:pt idx="150">
                  <c:v>0.24880000000000002</c:v>
                </c:pt>
                <c:pt idx="151">
                  <c:v>0.26240000000000002</c:v>
                </c:pt>
                <c:pt idx="152">
                  <c:v>0.27679999999999999</c:v>
                </c:pt>
                <c:pt idx="153">
                  <c:v>0.29199999999999998</c:v>
                </c:pt>
                <c:pt idx="154">
                  <c:v>0.30800000000000005</c:v>
                </c:pt>
                <c:pt idx="155">
                  <c:v>0.32400000000000007</c:v>
                </c:pt>
                <c:pt idx="156">
                  <c:v>0.34079999999999999</c:v>
                </c:pt>
                <c:pt idx="157">
                  <c:v>0.35760000000000003</c:v>
                </c:pt>
                <c:pt idx="158">
                  <c:v>0.376</c:v>
                </c:pt>
                <c:pt idx="159">
                  <c:v>0.3952</c:v>
                </c:pt>
                <c:pt idx="160">
                  <c:v>0.41440000000000005</c:v>
                </c:pt>
                <c:pt idx="161">
                  <c:v>0.43440000000000006</c:v>
                </c:pt>
                <c:pt idx="162">
                  <c:v>0.45599999999999996</c:v>
                </c:pt>
                <c:pt idx="163">
                  <c:v>0.47839999999999999</c:v>
                </c:pt>
                <c:pt idx="164">
                  <c:v>0.50160000000000005</c:v>
                </c:pt>
                <c:pt idx="165">
                  <c:v>0.52480000000000004</c:v>
                </c:pt>
                <c:pt idx="166">
                  <c:v>0.54800000000000004</c:v>
                </c:pt>
                <c:pt idx="167">
                  <c:v>0.57199999999999995</c:v>
                </c:pt>
                <c:pt idx="168">
                  <c:v>0.59599999999999997</c:v>
                </c:pt>
                <c:pt idx="169">
                  <c:v>0.61920000000000008</c:v>
                </c:pt>
                <c:pt idx="170">
                  <c:v>0.6432000000000001</c:v>
                </c:pt>
                <c:pt idx="171">
                  <c:v>0.66800000000000004</c:v>
                </c:pt>
                <c:pt idx="172">
                  <c:v>0.69440000000000002</c:v>
                </c:pt>
                <c:pt idx="173">
                  <c:v>0.72000000000000008</c:v>
                </c:pt>
                <c:pt idx="174">
                  <c:v>0.74560000000000004</c:v>
                </c:pt>
                <c:pt idx="175">
                  <c:v>0.7712</c:v>
                </c:pt>
                <c:pt idx="176">
                  <c:v>0.7984</c:v>
                </c:pt>
                <c:pt idx="177">
                  <c:v>0.82400000000000007</c:v>
                </c:pt>
                <c:pt idx="178">
                  <c:v>0.84000000000000008</c:v>
                </c:pt>
                <c:pt idx="179">
                  <c:v>0.84800000000000009</c:v>
                </c:pt>
                <c:pt idx="180">
                  <c:v>0.87200000000000011</c:v>
                </c:pt>
                <c:pt idx="181">
                  <c:v>0.88000000000000012</c:v>
                </c:pt>
                <c:pt idx="182">
                  <c:v>0.89600000000000013</c:v>
                </c:pt>
                <c:pt idx="183">
                  <c:v>0.90399999999999991</c:v>
                </c:pt>
                <c:pt idx="184">
                  <c:v>0.91199999999999992</c:v>
                </c:pt>
                <c:pt idx="185">
                  <c:v>0.91999999999999993</c:v>
                </c:pt>
                <c:pt idx="186">
                  <c:v>0.92799999999999994</c:v>
                </c:pt>
                <c:pt idx="187">
                  <c:v>0.93599999999999994</c:v>
                </c:pt>
                <c:pt idx="188">
                  <c:v>0.93599999999999994</c:v>
                </c:pt>
                <c:pt idx="189">
                  <c:v>0.94399999999999995</c:v>
                </c:pt>
                <c:pt idx="190">
                  <c:v>0.94399999999999995</c:v>
                </c:pt>
                <c:pt idx="191">
                  <c:v>0.95199999999999996</c:v>
                </c:pt>
                <c:pt idx="192">
                  <c:v>0.95199999999999996</c:v>
                </c:pt>
                <c:pt idx="193">
                  <c:v>0.95199999999999996</c:v>
                </c:pt>
                <c:pt idx="194">
                  <c:v>0.95199999999999996</c:v>
                </c:pt>
                <c:pt idx="195">
                  <c:v>0.94399999999999995</c:v>
                </c:pt>
                <c:pt idx="196">
                  <c:v>0.94399999999999995</c:v>
                </c:pt>
                <c:pt idx="197">
                  <c:v>0.93599999999999994</c:v>
                </c:pt>
                <c:pt idx="198">
                  <c:v>0.93599999999999994</c:v>
                </c:pt>
                <c:pt idx="199">
                  <c:v>0.92799999999999994</c:v>
                </c:pt>
                <c:pt idx="200">
                  <c:v>0.91999999999999993</c:v>
                </c:pt>
                <c:pt idx="201">
                  <c:v>0.91199999999999992</c:v>
                </c:pt>
                <c:pt idx="202">
                  <c:v>0.90399999999999991</c:v>
                </c:pt>
                <c:pt idx="203">
                  <c:v>0.89600000000000013</c:v>
                </c:pt>
                <c:pt idx="204">
                  <c:v>0.88000000000000012</c:v>
                </c:pt>
                <c:pt idx="205">
                  <c:v>0.87200000000000011</c:v>
                </c:pt>
                <c:pt idx="206">
                  <c:v>0.84800000000000009</c:v>
                </c:pt>
                <c:pt idx="207">
                  <c:v>0.84000000000000008</c:v>
                </c:pt>
                <c:pt idx="208">
                  <c:v>0.82400000000000007</c:v>
                </c:pt>
                <c:pt idx="209">
                  <c:v>0.8</c:v>
                </c:pt>
                <c:pt idx="210">
                  <c:v>0.76160000000000005</c:v>
                </c:pt>
                <c:pt idx="211">
                  <c:v>0.72160000000000002</c:v>
                </c:pt>
                <c:pt idx="212">
                  <c:v>0.68159999999999998</c:v>
                </c:pt>
                <c:pt idx="213">
                  <c:v>0.63840000000000008</c:v>
                </c:pt>
                <c:pt idx="261">
                  <c:v>0.2</c:v>
                </c:pt>
                <c:pt idx="282">
                  <c:v>0.25</c:v>
                </c:pt>
                <c:pt idx="300">
                  <c:v>0.4</c:v>
                </c:pt>
                <c:pt idx="321">
                  <c:v>0.45</c:v>
                </c:pt>
                <c:pt idx="340">
                  <c:v>0.55000000000000004</c:v>
                </c:pt>
                <c:pt idx="458">
                  <c:v>0.72</c:v>
                </c:pt>
                <c:pt idx="496">
                  <c:v>0.75</c:v>
                </c:pt>
                <c:pt idx="562">
                  <c:v>0.7</c:v>
                </c:pt>
                <c:pt idx="599">
                  <c:v>0.6</c:v>
                </c:pt>
                <c:pt idx="638">
                  <c:v>0.82</c:v>
                </c:pt>
                <c:pt idx="659">
                  <c:v>0.4</c:v>
                </c:pt>
                <c:pt idx="681">
                  <c:v>0.2</c:v>
                </c:pt>
                <c:pt idx="701">
                  <c:v>0.17</c:v>
                </c:pt>
                <c:pt idx="759">
                  <c:v>0.1</c:v>
                </c:pt>
                <c:pt idx="840">
                  <c:v>0.05</c:v>
                </c:pt>
                <c:pt idx="856">
                  <c:v>2.5000000000000001E-2</c:v>
                </c:pt>
                <c:pt idx="882">
                  <c:v>5.0000000000000001E-3</c:v>
                </c:pt>
                <c:pt idx="922">
                  <c:v>2.5000000000000001E-3</c:v>
                </c:pt>
              </c:numCache>
            </c:numRef>
          </c:val>
          <c:smooth val="1"/>
          <c:extLst>
            <c:ext xmlns:c16="http://schemas.microsoft.com/office/drawing/2014/chart" uri="{C3380CC4-5D6E-409C-BE32-E72D297353CC}">
              <c16:uniqueId val="{00000002-FC11-D746-9186-74179ECCA493}"/>
            </c:ext>
          </c:extLst>
        </c:ser>
        <c:dLbls>
          <c:showLegendKey val="0"/>
          <c:showVal val="0"/>
          <c:showCatName val="0"/>
          <c:showSerName val="0"/>
          <c:showPercent val="0"/>
          <c:showBubbleSize val="0"/>
        </c:dLbls>
        <c:smooth val="0"/>
        <c:axId val="645895503"/>
        <c:axId val="645722223"/>
      </c:lineChart>
      <c:catAx>
        <c:axId val="645895503"/>
        <c:scaling>
          <c:orientation val="minMax"/>
        </c:scaling>
        <c:delete val="0"/>
        <c:axPos val="b"/>
        <c:numFmt formatCode="General" sourceLinked="1"/>
        <c:majorTickMark val="none"/>
        <c:minorTickMark val="none"/>
        <c:tickLblPos val="nextTo"/>
        <c:spPr>
          <a:noFill/>
          <a:ln w="9525" cap="flat" cmpd="sng" algn="ctr">
            <a:solidFill>
              <a:schemeClr val="tx1"/>
            </a:solidFill>
            <a:round/>
          </a:ln>
          <a:effectLst/>
        </c:spPr>
        <c:txPr>
          <a:bodyPr rot="-60000000" spcFirstLastPara="1" vertOverflow="ellipsis" vert="horz" wrap="square" anchor="ctr" anchorCtr="1"/>
          <a:lstStyle/>
          <a:p>
            <a:pPr>
              <a:defRPr sz="1050" b="0" i="0" u="none" strike="noStrike" kern="1200" baseline="0">
                <a:solidFill>
                  <a:schemeClr val="tx1"/>
                </a:solidFill>
                <a:latin typeface="Arial" panose="020B0604020202020204" pitchFamily="34" charset="0"/>
                <a:ea typeface="+mn-ea"/>
                <a:cs typeface="Arial" panose="020B0604020202020204" pitchFamily="34" charset="0"/>
              </a:defRPr>
            </a:pPr>
            <a:endParaRPr lang="en-US"/>
          </a:p>
        </c:txPr>
        <c:crossAx val="645722223"/>
        <c:crosses val="autoZero"/>
        <c:auto val="1"/>
        <c:lblAlgn val="ctr"/>
        <c:lblOffset val="100"/>
        <c:tickLblSkip val="100"/>
        <c:noMultiLvlLbl val="0"/>
      </c:catAx>
      <c:valAx>
        <c:axId val="645722223"/>
        <c:scaling>
          <c:orientation val="minMax"/>
          <c:min val="0"/>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100" b="1" i="0" u="none" strike="noStrike" kern="1200" baseline="0">
                    <a:solidFill>
                      <a:schemeClr val="tx1"/>
                    </a:solidFill>
                    <a:latin typeface="Arial" panose="020B0604020202020204" pitchFamily="34" charset="0"/>
                    <a:ea typeface="+mn-ea"/>
                    <a:cs typeface="Arial" panose="020B0604020202020204" pitchFamily="34" charset="0"/>
                  </a:defRPr>
                </a:pPr>
                <a:r>
                  <a:rPr lang="en-US" sz="1100" b="1"/>
                  <a:t>Intensity (</a:t>
                </a:r>
                <a:r>
                  <a:rPr lang="el-GR" sz="1100" b="1"/>
                  <a:t>μ</a:t>
                </a:r>
                <a:r>
                  <a:rPr lang="en-US" sz="1100" b="1"/>
                  <a:t>mol</a:t>
                </a:r>
                <a:r>
                  <a:rPr lang="en-US" sz="1100" b="1" baseline="30000"/>
                  <a:t> . </a:t>
                </a:r>
                <a:r>
                  <a:rPr lang="en-US" sz="1100" b="1"/>
                  <a:t>m</a:t>
                </a:r>
                <a:r>
                  <a:rPr lang="en-US" sz="1100" b="1" baseline="30000"/>
                  <a:t>-2 . </a:t>
                </a:r>
                <a:r>
                  <a:rPr lang="en-US" sz="1100" b="1"/>
                  <a:t>s</a:t>
                </a:r>
                <a:r>
                  <a:rPr lang="en-US" sz="1100" b="1" baseline="30000"/>
                  <a:t>-1</a:t>
                </a:r>
                <a:r>
                  <a:rPr lang="en-US" sz="1100" b="1"/>
                  <a:t>) </a:t>
                </a:r>
              </a:p>
            </c:rich>
          </c:tx>
          <c:layout>
            <c:manualLayout>
              <c:xMode val="edge"/>
              <c:yMode val="edge"/>
              <c:x val="1.970585829745786E-2"/>
              <c:y val="0.2765365617934461"/>
            </c:manualLayout>
          </c:layout>
          <c:overlay val="0"/>
          <c:spPr>
            <a:noFill/>
            <a:ln>
              <a:noFill/>
            </a:ln>
            <a:effectLst/>
          </c:spPr>
          <c:txPr>
            <a:bodyPr rot="-5400000" spcFirstLastPara="1" vertOverflow="ellipsis" vert="horz" wrap="square" anchor="ctr" anchorCtr="1"/>
            <a:lstStyle/>
            <a:p>
              <a:pPr>
                <a:defRPr sz="1100" b="1" i="0" u="none" strike="noStrike" kern="1200" baseline="0">
                  <a:solidFill>
                    <a:schemeClr val="tx1"/>
                  </a:solidFill>
                  <a:latin typeface="Arial" panose="020B0604020202020204" pitchFamily="34" charset="0"/>
                  <a:ea typeface="+mn-ea"/>
                  <a:cs typeface="Arial" panose="020B0604020202020204" pitchFamily="34" charset="0"/>
                </a:defRPr>
              </a:pPr>
              <a:endParaRPr lang="en-US"/>
            </a:p>
          </c:txPr>
        </c:title>
        <c:numFmt formatCode="General" sourceLinked="0"/>
        <c:majorTickMark val="none"/>
        <c:minorTickMark val="none"/>
        <c:tickLblPos val="nextTo"/>
        <c:spPr>
          <a:noFill/>
          <a:ln cap="rnd">
            <a:solidFill>
              <a:schemeClr val="tx1"/>
            </a:solidFill>
          </a:ln>
          <a:effectLst/>
        </c:spPr>
        <c:txPr>
          <a:bodyPr rot="-60000000" spcFirstLastPara="1" vertOverflow="ellipsis" vert="horz" wrap="square" anchor="ctr" anchorCtr="1"/>
          <a:lstStyle/>
          <a:p>
            <a:pPr>
              <a:defRPr sz="1000" b="0" i="0" u="none" strike="noStrike" kern="1200" baseline="0">
                <a:solidFill>
                  <a:schemeClr val="tx1"/>
                </a:solidFill>
                <a:latin typeface="Arial" panose="020B0604020202020204" pitchFamily="34" charset="0"/>
                <a:ea typeface="+mn-ea"/>
                <a:cs typeface="Arial" panose="020B0604020202020204" pitchFamily="34" charset="0"/>
              </a:defRPr>
            </a:pPr>
            <a:endParaRPr lang="en-US"/>
          </a:p>
        </c:txPr>
        <c:crossAx val="645895503"/>
        <c:crosses val="autoZero"/>
        <c:crossBetween val="between"/>
      </c:valAx>
      <c:spPr>
        <a:noFill/>
        <a:ln>
          <a:noFill/>
        </a:ln>
        <a:effectLst/>
      </c:spPr>
    </c:plotArea>
    <c:plotVisOnly val="1"/>
    <c:dispBlanksAs val="span"/>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bg1"/>
      </a:solidFill>
      <a:round/>
    </a:ln>
    <a:effectLst/>
  </c:spPr>
  <c:txPr>
    <a:bodyPr/>
    <a:lstStyle/>
    <a:p>
      <a:pPr>
        <a:defRPr>
          <a:solidFill>
            <a:schemeClr val="tx1"/>
          </a:solidFill>
          <a:latin typeface="Arial" panose="020B0604020202020204" pitchFamily="34" charset="0"/>
          <a:cs typeface="Arial" panose="020B0604020202020204" pitchFamily="34" charset="0"/>
        </a:defRPr>
      </a:pPr>
      <a:endParaRPr lang="en-US"/>
    </a:p>
  </c:txPr>
  <c:externalData r:id="rId3">
    <c:autoUpdate val="0"/>
  </c:externalData>
  <c:userShapes r:id="rId4"/>
</c:chartSpace>
</file>

<file path=word/charts/chart20.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vert="horz"/>
          <a:lstStyle/>
          <a:p>
            <a:pPr>
              <a:defRPr sz="1400"/>
            </a:pPr>
            <a:r>
              <a:rPr lang="en-US" sz="1400"/>
              <a:t>Total Fresh Mass (g) of Hydroponic Basil Across Growing Seasons</a:t>
            </a:r>
          </a:p>
        </c:rich>
      </c:tx>
      <c:overlay val="0"/>
      <c:spPr>
        <a:noFill/>
        <a:ln>
          <a:noFill/>
        </a:ln>
        <a:effectLst/>
      </c:spPr>
    </c:title>
    <c:autoTitleDeleted val="0"/>
    <c:plotArea>
      <c:layout>
        <c:manualLayout>
          <c:layoutTarget val="inner"/>
          <c:xMode val="edge"/>
          <c:yMode val="edge"/>
          <c:x val="9.7376337573187963E-2"/>
          <c:y val="0.12341963363428146"/>
          <c:w val="0.88564826031361465"/>
          <c:h val="0.82190089992916004"/>
        </c:manualLayout>
      </c:layout>
      <c:barChart>
        <c:barDir val="col"/>
        <c:grouping val="clustered"/>
        <c:varyColors val="0"/>
        <c:ser>
          <c:idx val="0"/>
          <c:order val="0"/>
          <c:tx>
            <c:strRef>
              <c:f>Sheet1!$B$1</c:f>
              <c:strCache>
                <c:ptCount val="1"/>
                <c:pt idx="0">
                  <c:v>Column1</c:v>
                </c:pt>
              </c:strCache>
            </c:strRef>
          </c:tx>
          <c:spPr>
            <a:solidFill>
              <a:schemeClr val="accent1"/>
            </a:solidFill>
            <a:ln>
              <a:noFill/>
            </a:ln>
            <a:effectLst/>
          </c:spPr>
          <c:invertIfNegative val="0"/>
          <c:dPt>
            <c:idx val="0"/>
            <c:invertIfNegative val="0"/>
            <c:bubble3D val="0"/>
            <c:spPr>
              <a:solidFill>
                <a:schemeClr val="accent2"/>
              </a:solidFill>
              <a:ln>
                <a:noFill/>
              </a:ln>
              <a:effectLst/>
            </c:spPr>
            <c:extLst>
              <c:ext xmlns:c16="http://schemas.microsoft.com/office/drawing/2014/chart" uri="{C3380CC4-5D6E-409C-BE32-E72D297353CC}">
                <c16:uniqueId val="{00000001-F4D2-1348-9F7E-7203DB3B4113}"/>
              </c:ext>
            </c:extLst>
          </c:dPt>
          <c:dPt>
            <c:idx val="1"/>
            <c:invertIfNegative val="0"/>
            <c:bubble3D val="0"/>
            <c:spPr>
              <a:solidFill>
                <a:srgbClr val="C00000"/>
              </a:solidFill>
              <a:ln>
                <a:noFill/>
              </a:ln>
              <a:effectLst/>
            </c:spPr>
            <c:extLst>
              <c:ext xmlns:c16="http://schemas.microsoft.com/office/drawing/2014/chart" uri="{C3380CC4-5D6E-409C-BE32-E72D297353CC}">
                <c16:uniqueId val="{00000003-F4D2-1348-9F7E-7203DB3B4113}"/>
              </c:ext>
            </c:extLst>
          </c:dPt>
          <c:dPt>
            <c:idx val="3"/>
            <c:invertIfNegative val="0"/>
            <c:bubble3D val="0"/>
            <c:spPr>
              <a:solidFill>
                <a:schemeClr val="accent6">
                  <a:lumMod val="75000"/>
                </a:schemeClr>
              </a:solidFill>
              <a:ln>
                <a:noFill/>
              </a:ln>
              <a:effectLst/>
            </c:spPr>
            <c:extLst>
              <c:ext xmlns:c16="http://schemas.microsoft.com/office/drawing/2014/chart" uri="{C3380CC4-5D6E-409C-BE32-E72D297353CC}">
                <c16:uniqueId val="{00000005-F4D2-1348-9F7E-7203DB3B4113}"/>
              </c:ext>
            </c:extLst>
          </c:dPt>
          <c:dLbls>
            <c:dLbl>
              <c:idx val="0"/>
              <c:tx>
                <c:rich>
                  <a:bodyPr/>
                  <a:lstStyle/>
                  <a:p>
                    <a:r>
                      <a:rPr lang="en-US"/>
                      <a:t>A</a:t>
                    </a:r>
                  </a:p>
                </c:rich>
              </c:tx>
              <c:dLblPos val="outEnd"/>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01-F4D2-1348-9F7E-7203DB3B4113}"/>
                </c:ext>
              </c:extLst>
            </c:dLbl>
            <c:dLbl>
              <c:idx val="1"/>
              <c:tx>
                <c:rich>
                  <a:bodyPr/>
                  <a:lstStyle/>
                  <a:p>
                    <a:r>
                      <a:rPr lang="en-US"/>
                      <a:t>B</a:t>
                    </a:r>
                  </a:p>
                </c:rich>
              </c:tx>
              <c:dLblPos val="outEnd"/>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03-F4D2-1348-9F7E-7203DB3B4113}"/>
                </c:ext>
              </c:extLst>
            </c:dLbl>
            <c:dLbl>
              <c:idx val="2"/>
              <c:tx>
                <c:rich>
                  <a:bodyPr/>
                  <a:lstStyle/>
                  <a:p>
                    <a:r>
                      <a:rPr lang="en-US"/>
                      <a:t>C</a:t>
                    </a:r>
                  </a:p>
                </c:rich>
              </c:tx>
              <c:dLblPos val="outEnd"/>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06-F4D2-1348-9F7E-7203DB3B4113}"/>
                </c:ext>
              </c:extLst>
            </c:dLbl>
            <c:dLbl>
              <c:idx val="3"/>
              <c:tx>
                <c:rich>
                  <a:bodyPr/>
                  <a:lstStyle/>
                  <a:p>
                    <a:r>
                      <a:rPr lang="en-US"/>
                      <a:t>B</a:t>
                    </a:r>
                  </a:p>
                </c:rich>
              </c:tx>
              <c:dLblPos val="outEnd"/>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05-F4D2-1348-9F7E-7203DB3B4113}"/>
                </c:ext>
              </c:extLst>
            </c:dLbl>
            <c:spPr>
              <a:noFill/>
              <a:ln>
                <a:noFill/>
              </a:ln>
              <a:effectLst/>
            </c:spPr>
            <c:txPr>
              <a:bodyPr rot="0" vert="horz"/>
              <a:lstStyle/>
              <a:p>
                <a:pPr>
                  <a:defRPr sz="1100" b="1"/>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Sheet1!$A$2:$A$3</c:f>
              <c:strCache>
                <c:ptCount val="2"/>
                <c:pt idx="0">
                  <c:v>Summer</c:v>
                </c:pt>
                <c:pt idx="1">
                  <c:v>Winter</c:v>
                </c:pt>
              </c:strCache>
            </c:strRef>
          </c:cat>
          <c:val>
            <c:numRef>
              <c:f>Sheet1!$B$2:$B$3</c:f>
              <c:numCache>
                <c:formatCode>General</c:formatCode>
                <c:ptCount val="2"/>
                <c:pt idx="0">
                  <c:v>56.5</c:v>
                </c:pt>
                <c:pt idx="1">
                  <c:v>30.8</c:v>
                </c:pt>
              </c:numCache>
            </c:numRef>
          </c:val>
          <c:extLst>
            <c:ext xmlns:c16="http://schemas.microsoft.com/office/drawing/2014/chart" uri="{C3380CC4-5D6E-409C-BE32-E72D297353CC}">
              <c16:uniqueId val="{00000007-F4D2-1348-9F7E-7203DB3B4113}"/>
            </c:ext>
          </c:extLst>
        </c:ser>
        <c:dLbls>
          <c:showLegendKey val="0"/>
          <c:showVal val="1"/>
          <c:showCatName val="0"/>
          <c:showSerName val="0"/>
          <c:showPercent val="0"/>
          <c:showBubbleSize val="0"/>
        </c:dLbls>
        <c:gapWidth val="100"/>
        <c:axId val="945788336"/>
        <c:axId val="551574256"/>
      </c:barChart>
      <c:catAx>
        <c:axId val="945788336"/>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vert="horz"/>
          <a:lstStyle/>
          <a:p>
            <a:pPr>
              <a:defRPr sz="1200" b="1"/>
            </a:pPr>
            <a:endParaRPr lang="en-US"/>
          </a:p>
        </c:txPr>
        <c:crossAx val="551574256"/>
        <c:crosses val="autoZero"/>
        <c:auto val="1"/>
        <c:lblAlgn val="ctr"/>
        <c:lblOffset val="100"/>
        <c:noMultiLvlLbl val="0"/>
      </c:catAx>
      <c:valAx>
        <c:axId val="551574256"/>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5400000" vert="horz"/>
              <a:lstStyle/>
              <a:p>
                <a:pPr algn="ctr" rtl="0">
                  <a:defRPr sz="1100"/>
                </a:pPr>
                <a:r>
                  <a:rPr lang="en-US" sz="1100"/>
                  <a:t>Total Fresh Mass (g)</a:t>
                </a:r>
              </a:p>
            </c:rich>
          </c:tx>
          <c:layout>
            <c:manualLayout>
              <c:xMode val="edge"/>
              <c:yMode val="edge"/>
              <c:x val="1.3878560318849032E-2"/>
              <c:y val="0.34763878946949811"/>
            </c:manualLayout>
          </c:layout>
          <c:overlay val="0"/>
          <c:spPr>
            <a:noFill/>
            <a:ln>
              <a:noFill/>
            </a:ln>
            <a:effectLst/>
          </c:spPr>
        </c:title>
        <c:numFmt formatCode="General" sourceLinked="0"/>
        <c:majorTickMark val="none"/>
        <c:minorTickMark val="none"/>
        <c:tickLblPos val="nextTo"/>
        <c:spPr>
          <a:noFill/>
          <a:ln>
            <a:noFill/>
          </a:ln>
          <a:effectLst/>
        </c:spPr>
        <c:txPr>
          <a:bodyPr rot="-60000000" vert="horz"/>
          <a:lstStyle/>
          <a:p>
            <a:pPr>
              <a:defRPr/>
            </a:pPr>
            <a:endParaRPr lang="en-US"/>
          </a:p>
        </c:txPr>
        <c:crossAx val="945788336"/>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latin typeface="Arial" panose="020B0604020202020204" pitchFamily="34" charset="0"/>
          <a:ea typeface="Times New Roman" charset="0"/>
          <a:cs typeface="Arial" panose="020B0604020202020204" pitchFamily="34" charset="0"/>
        </a:defRPr>
      </a:pPr>
      <a:endParaRPr lang="en-US"/>
    </a:p>
  </c:txPr>
  <c:externalData r:id="rId1">
    <c:autoUpdate val="0"/>
  </c:externalData>
</c:chartSpace>
</file>

<file path=word/charts/chart2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vert="horz"/>
          <a:lstStyle/>
          <a:p>
            <a:pPr>
              <a:defRPr sz="1400"/>
            </a:pPr>
            <a:r>
              <a:rPr lang="en-US" sz="1400"/>
              <a:t>Total Dry Mass (g) of Hydroponic Basil Across Growing Seasons</a:t>
            </a:r>
          </a:p>
        </c:rich>
      </c:tx>
      <c:overlay val="0"/>
      <c:spPr>
        <a:noFill/>
        <a:ln>
          <a:noFill/>
        </a:ln>
        <a:effectLst/>
      </c:spPr>
    </c:title>
    <c:autoTitleDeleted val="0"/>
    <c:plotArea>
      <c:layout/>
      <c:barChart>
        <c:barDir val="col"/>
        <c:grouping val="clustered"/>
        <c:varyColors val="0"/>
        <c:ser>
          <c:idx val="0"/>
          <c:order val="0"/>
          <c:tx>
            <c:strRef>
              <c:f>Sheet1!$B$1</c:f>
              <c:strCache>
                <c:ptCount val="1"/>
                <c:pt idx="0">
                  <c:v>Column1</c:v>
                </c:pt>
              </c:strCache>
            </c:strRef>
          </c:tx>
          <c:spPr>
            <a:solidFill>
              <a:schemeClr val="accent1"/>
            </a:solidFill>
            <a:ln>
              <a:noFill/>
            </a:ln>
            <a:effectLst/>
          </c:spPr>
          <c:invertIfNegative val="0"/>
          <c:dPt>
            <c:idx val="0"/>
            <c:invertIfNegative val="0"/>
            <c:bubble3D val="0"/>
            <c:spPr>
              <a:solidFill>
                <a:schemeClr val="accent2"/>
              </a:solidFill>
              <a:ln>
                <a:noFill/>
              </a:ln>
              <a:effectLst/>
            </c:spPr>
            <c:extLst>
              <c:ext xmlns:c16="http://schemas.microsoft.com/office/drawing/2014/chart" uri="{C3380CC4-5D6E-409C-BE32-E72D297353CC}">
                <c16:uniqueId val="{00000001-1153-A643-AFD3-F62E5F716555}"/>
              </c:ext>
            </c:extLst>
          </c:dPt>
          <c:dPt>
            <c:idx val="1"/>
            <c:invertIfNegative val="0"/>
            <c:bubble3D val="0"/>
            <c:spPr>
              <a:solidFill>
                <a:srgbClr val="C00000"/>
              </a:solidFill>
              <a:ln>
                <a:noFill/>
              </a:ln>
              <a:effectLst/>
            </c:spPr>
            <c:extLst>
              <c:ext xmlns:c16="http://schemas.microsoft.com/office/drawing/2014/chart" uri="{C3380CC4-5D6E-409C-BE32-E72D297353CC}">
                <c16:uniqueId val="{00000003-1153-A643-AFD3-F62E5F716555}"/>
              </c:ext>
            </c:extLst>
          </c:dPt>
          <c:dPt>
            <c:idx val="3"/>
            <c:invertIfNegative val="0"/>
            <c:bubble3D val="0"/>
            <c:spPr>
              <a:solidFill>
                <a:schemeClr val="accent6">
                  <a:lumMod val="75000"/>
                </a:schemeClr>
              </a:solidFill>
              <a:ln>
                <a:noFill/>
              </a:ln>
              <a:effectLst/>
            </c:spPr>
            <c:extLst>
              <c:ext xmlns:c16="http://schemas.microsoft.com/office/drawing/2014/chart" uri="{C3380CC4-5D6E-409C-BE32-E72D297353CC}">
                <c16:uniqueId val="{00000005-1153-A643-AFD3-F62E5F716555}"/>
              </c:ext>
            </c:extLst>
          </c:dPt>
          <c:dLbls>
            <c:dLbl>
              <c:idx val="0"/>
              <c:tx>
                <c:rich>
                  <a:bodyPr/>
                  <a:lstStyle/>
                  <a:p>
                    <a:r>
                      <a:rPr lang="en-US"/>
                      <a:t>A</a:t>
                    </a:r>
                  </a:p>
                </c:rich>
              </c:tx>
              <c:dLblPos val="outEnd"/>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01-1153-A643-AFD3-F62E5F716555}"/>
                </c:ext>
              </c:extLst>
            </c:dLbl>
            <c:dLbl>
              <c:idx val="1"/>
              <c:tx>
                <c:rich>
                  <a:bodyPr/>
                  <a:lstStyle/>
                  <a:p>
                    <a:r>
                      <a:rPr lang="en-US"/>
                      <a:t>B</a:t>
                    </a:r>
                  </a:p>
                </c:rich>
              </c:tx>
              <c:dLblPos val="outEnd"/>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03-1153-A643-AFD3-F62E5F716555}"/>
                </c:ext>
              </c:extLst>
            </c:dLbl>
            <c:dLbl>
              <c:idx val="2"/>
              <c:tx>
                <c:rich>
                  <a:bodyPr/>
                  <a:lstStyle/>
                  <a:p>
                    <a:r>
                      <a:rPr lang="en-US"/>
                      <a:t>C</a:t>
                    </a:r>
                  </a:p>
                </c:rich>
              </c:tx>
              <c:dLblPos val="outEnd"/>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06-1153-A643-AFD3-F62E5F716555}"/>
                </c:ext>
              </c:extLst>
            </c:dLbl>
            <c:dLbl>
              <c:idx val="3"/>
              <c:tx>
                <c:rich>
                  <a:bodyPr/>
                  <a:lstStyle/>
                  <a:p>
                    <a:r>
                      <a:rPr lang="en-US"/>
                      <a:t>B</a:t>
                    </a:r>
                  </a:p>
                </c:rich>
              </c:tx>
              <c:dLblPos val="outEnd"/>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05-1153-A643-AFD3-F62E5F716555}"/>
                </c:ext>
              </c:extLst>
            </c:dLbl>
            <c:spPr>
              <a:noFill/>
              <a:ln>
                <a:noFill/>
              </a:ln>
              <a:effectLst/>
            </c:spPr>
            <c:txPr>
              <a:bodyPr rot="0" vert="horz"/>
              <a:lstStyle/>
              <a:p>
                <a:pPr>
                  <a:defRPr sz="1100" b="1"/>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Sheet1!$A$2:$A$3</c:f>
              <c:strCache>
                <c:ptCount val="2"/>
                <c:pt idx="0">
                  <c:v>Summer</c:v>
                </c:pt>
                <c:pt idx="1">
                  <c:v>Winter</c:v>
                </c:pt>
              </c:strCache>
            </c:strRef>
          </c:cat>
          <c:val>
            <c:numRef>
              <c:f>Sheet1!$B$2:$B$3</c:f>
              <c:numCache>
                <c:formatCode>General</c:formatCode>
                <c:ptCount val="2"/>
                <c:pt idx="0">
                  <c:v>6.9</c:v>
                </c:pt>
                <c:pt idx="1">
                  <c:v>3.7</c:v>
                </c:pt>
              </c:numCache>
            </c:numRef>
          </c:val>
          <c:extLst>
            <c:ext xmlns:c16="http://schemas.microsoft.com/office/drawing/2014/chart" uri="{C3380CC4-5D6E-409C-BE32-E72D297353CC}">
              <c16:uniqueId val="{00000007-1153-A643-AFD3-F62E5F716555}"/>
            </c:ext>
          </c:extLst>
        </c:ser>
        <c:dLbls>
          <c:showLegendKey val="0"/>
          <c:showVal val="1"/>
          <c:showCatName val="0"/>
          <c:showSerName val="0"/>
          <c:showPercent val="0"/>
          <c:showBubbleSize val="0"/>
        </c:dLbls>
        <c:gapWidth val="100"/>
        <c:axId val="551558240"/>
        <c:axId val="926554288"/>
      </c:barChart>
      <c:catAx>
        <c:axId val="551558240"/>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vert="horz"/>
          <a:lstStyle/>
          <a:p>
            <a:pPr>
              <a:defRPr sz="1200" b="1"/>
            </a:pPr>
            <a:endParaRPr lang="en-US"/>
          </a:p>
        </c:txPr>
        <c:crossAx val="926554288"/>
        <c:crosses val="autoZero"/>
        <c:auto val="1"/>
        <c:lblAlgn val="ctr"/>
        <c:lblOffset val="100"/>
        <c:noMultiLvlLbl val="0"/>
      </c:catAx>
      <c:valAx>
        <c:axId val="926554288"/>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5400000" vert="horz"/>
              <a:lstStyle/>
              <a:p>
                <a:pPr algn="ctr" rtl="0">
                  <a:defRPr sz="1100"/>
                </a:pPr>
                <a:r>
                  <a:rPr lang="en-US" sz="1100"/>
                  <a:t>Total Dry Mass (g)</a:t>
                </a:r>
              </a:p>
            </c:rich>
          </c:tx>
          <c:layout>
            <c:manualLayout>
              <c:xMode val="edge"/>
              <c:yMode val="edge"/>
              <c:x val="1.2345679012345678E-2"/>
              <c:y val="0.38078481667064346"/>
            </c:manualLayout>
          </c:layout>
          <c:overlay val="0"/>
          <c:spPr>
            <a:noFill/>
            <a:ln>
              <a:noFill/>
            </a:ln>
            <a:effectLst/>
          </c:spPr>
        </c:title>
        <c:numFmt formatCode="General" sourceLinked="1"/>
        <c:majorTickMark val="none"/>
        <c:minorTickMark val="none"/>
        <c:tickLblPos val="nextTo"/>
        <c:spPr>
          <a:noFill/>
          <a:ln>
            <a:noFill/>
          </a:ln>
          <a:effectLst/>
        </c:spPr>
        <c:txPr>
          <a:bodyPr rot="-60000000" vert="horz"/>
          <a:lstStyle/>
          <a:p>
            <a:pPr>
              <a:defRPr/>
            </a:pPr>
            <a:endParaRPr lang="en-US"/>
          </a:p>
        </c:txPr>
        <c:crossAx val="551558240"/>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latin typeface="Arial" panose="020B0604020202020204" pitchFamily="34" charset="0"/>
          <a:ea typeface="Times New Roman" charset="0"/>
          <a:cs typeface="Arial" panose="020B0604020202020204" pitchFamily="34" charset="0"/>
        </a:defRPr>
      </a:pPr>
      <a:endParaRPr lang="en-US"/>
    </a:p>
  </c:txPr>
  <c:externalData r:id="rId1">
    <c:autoUpdate val="0"/>
  </c:externalData>
</c:chartSpace>
</file>

<file path=word/charts/chart2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vert="horz"/>
          <a:lstStyle/>
          <a:p>
            <a:pPr>
              <a:defRPr sz="1400"/>
            </a:pPr>
            <a:r>
              <a:rPr lang="en-US" sz="1400"/>
              <a:t>Total Fresh Mass (g) of Hydroponic Basil Across Supplementary Lighting Treatments</a:t>
            </a:r>
          </a:p>
        </c:rich>
      </c:tx>
      <c:overlay val="0"/>
      <c:spPr>
        <a:noFill/>
        <a:ln>
          <a:noFill/>
        </a:ln>
        <a:effectLst/>
      </c:spPr>
    </c:title>
    <c:autoTitleDeleted val="0"/>
    <c:plotArea>
      <c:layout/>
      <c:barChart>
        <c:barDir val="col"/>
        <c:grouping val="clustered"/>
        <c:varyColors val="0"/>
        <c:ser>
          <c:idx val="0"/>
          <c:order val="0"/>
          <c:tx>
            <c:strRef>
              <c:f>Sheet1!$B$1</c:f>
              <c:strCache>
                <c:ptCount val="1"/>
                <c:pt idx="0">
                  <c:v>Column1</c:v>
                </c:pt>
              </c:strCache>
            </c:strRef>
          </c:tx>
          <c:spPr>
            <a:solidFill>
              <a:schemeClr val="accent1"/>
            </a:solidFill>
            <a:ln>
              <a:noFill/>
            </a:ln>
            <a:effectLst/>
          </c:spPr>
          <c:invertIfNegative val="0"/>
          <c:dLbls>
            <c:dLbl>
              <c:idx val="0"/>
              <c:tx>
                <c:rich>
                  <a:bodyPr/>
                  <a:lstStyle/>
                  <a:p>
                    <a:r>
                      <a:rPr lang="en-US"/>
                      <a:t>B</a:t>
                    </a:r>
                  </a:p>
                </c:rich>
              </c:tx>
              <c:dLblPos val="outEnd"/>
              <c:showLegendKey val="0"/>
              <c:showVal val="1"/>
              <c:showCatName val="0"/>
              <c:showSerName val="0"/>
              <c:showPercent val="0"/>
              <c:showBubbleSize val="0"/>
              <c:extLst>
                <c:ext xmlns:c15="http://schemas.microsoft.com/office/drawing/2012/chart" uri="{CE6537A1-D6FC-4f65-9D91-7224C49458BB}">
                  <c15:layout>
                    <c:manualLayout>
                      <c:w val="2.1249915875900124E-2"/>
                      <c:h val="1.9976498237367801E-2"/>
                    </c:manualLayout>
                  </c15:layout>
                  <c15:showDataLabelsRange val="0"/>
                </c:ext>
                <c:ext xmlns:c16="http://schemas.microsoft.com/office/drawing/2014/chart" uri="{C3380CC4-5D6E-409C-BE32-E72D297353CC}">
                  <c16:uniqueId val="{00000000-7F3E-7841-AE21-26EE8D90B558}"/>
                </c:ext>
              </c:extLst>
            </c:dLbl>
            <c:dLbl>
              <c:idx val="1"/>
              <c:tx>
                <c:rich>
                  <a:bodyPr/>
                  <a:lstStyle/>
                  <a:p>
                    <a:r>
                      <a:rPr lang="en-US"/>
                      <a:t>A</a:t>
                    </a:r>
                  </a:p>
                </c:rich>
              </c:tx>
              <c:dLblPos val="outEnd"/>
              <c:showLegendKey val="0"/>
              <c:showVal val="1"/>
              <c:showCatName val="0"/>
              <c:showSerName val="0"/>
              <c:showPercent val="0"/>
              <c:showBubbleSize val="0"/>
              <c:extLst>
                <c:ext xmlns:c15="http://schemas.microsoft.com/office/drawing/2012/chart" uri="{CE6537A1-D6FC-4f65-9D91-7224C49458BB}">
                  <c15:layout>
                    <c:manualLayout>
                      <c:w val="3.0630426004441751E-2"/>
                      <c:h val="3.042172607389998E-2"/>
                    </c:manualLayout>
                  </c15:layout>
                  <c15:showDataLabelsRange val="0"/>
                </c:ext>
                <c:ext xmlns:c16="http://schemas.microsoft.com/office/drawing/2014/chart" uri="{C3380CC4-5D6E-409C-BE32-E72D297353CC}">
                  <c16:uniqueId val="{00000001-7F3E-7841-AE21-26EE8D90B558}"/>
                </c:ext>
              </c:extLst>
            </c:dLbl>
            <c:dLbl>
              <c:idx val="2"/>
              <c:tx>
                <c:rich>
                  <a:bodyPr/>
                  <a:lstStyle/>
                  <a:p>
                    <a:r>
                      <a:rPr lang="en-US"/>
                      <a:t>C</a:t>
                    </a:r>
                  </a:p>
                </c:rich>
              </c:tx>
              <c:dLblPos val="outEnd"/>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02-7F3E-7841-AE21-26EE8D90B558}"/>
                </c:ext>
              </c:extLst>
            </c:dLbl>
            <c:dLbl>
              <c:idx val="3"/>
              <c:tx>
                <c:rich>
                  <a:bodyPr/>
                  <a:lstStyle/>
                  <a:p>
                    <a:r>
                      <a:rPr lang="en-US"/>
                      <a:t>D</a:t>
                    </a:r>
                  </a:p>
                </c:rich>
              </c:tx>
              <c:dLblPos val="outEnd"/>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03-7F3E-7841-AE21-26EE8D90B558}"/>
                </c:ext>
              </c:extLst>
            </c:dLbl>
            <c:dLbl>
              <c:idx val="4"/>
              <c:tx>
                <c:rich>
                  <a:bodyPr/>
                  <a:lstStyle/>
                  <a:p>
                    <a:r>
                      <a:rPr lang="en-US"/>
                      <a:t>AB</a:t>
                    </a:r>
                  </a:p>
                </c:rich>
              </c:tx>
              <c:dLblPos val="outEnd"/>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04-7F3E-7841-AE21-26EE8D90B558}"/>
                </c:ext>
              </c:extLst>
            </c:dLbl>
            <c:dLbl>
              <c:idx val="5"/>
              <c:tx>
                <c:rich>
                  <a:bodyPr/>
                  <a:lstStyle/>
                  <a:p>
                    <a:r>
                      <a:rPr lang="en-US"/>
                      <a:t>BC</a:t>
                    </a:r>
                  </a:p>
                </c:rich>
              </c:tx>
              <c:dLblPos val="outEnd"/>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05-7F3E-7841-AE21-26EE8D90B558}"/>
                </c:ext>
              </c:extLst>
            </c:dLbl>
            <c:dLbl>
              <c:idx val="6"/>
              <c:tx>
                <c:rich>
                  <a:bodyPr/>
                  <a:lstStyle/>
                  <a:p>
                    <a:r>
                      <a:rPr lang="en-US"/>
                      <a:t>A</a:t>
                    </a:r>
                  </a:p>
                </c:rich>
              </c:tx>
              <c:dLblPos val="outEnd"/>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06-7F3E-7841-AE21-26EE8D90B558}"/>
                </c:ext>
              </c:extLst>
            </c:dLbl>
            <c:dLbl>
              <c:idx val="7"/>
              <c:tx>
                <c:rich>
                  <a:bodyPr/>
                  <a:lstStyle/>
                  <a:p>
                    <a:r>
                      <a:rPr lang="en-US"/>
                      <a:t>A</a:t>
                    </a:r>
                  </a:p>
                </c:rich>
              </c:tx>
              <c:dLblPos val="outEnd"/>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07-7F3E-7841-AE21-26EE8D90B558}"/>
                </c:ext>
              </c:extLst>
            </c:dLbl>
            <c:dLbl>
              <c:idx val="8"/>
              <c:tx>
                <c:rich>
                  <a:bodyPr/>
                  <a:lstStyle/>
                  <a:p>
                    <a:r>
                      <a:rPr lang="en-US"/>
                      <a:t>CD</a:t>
                    </a:r>
                  </a:p>
                </c:rich>
              </c:tx>
              <c:dLblPos val="outEnd"/>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08-7F3E-7841-AE21-26EE8D90B558}"/>
                </c:ext>
              </c:extLst>
            </c:dLbl>
            <c:spPr>
              <a:noFill/>
              <a:ln>
                <a:noFill/>
              </a:ln>
              <a:effectLst/>
            </c:spPr>
            <c:txPr>
              <a:bodyPr rot="0" vert="horz"/>
              <a:lstStyle/>
              <a:p>
                <a:pPr>
                  <a:defRPr sz="1100" b="1"/>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Sheet1!$A$2:$A$5</c:f>
              <c:strCache>
                <c:ptCount val="4"/>
                <c:pt idx="0">
                  <c:v>Narrowband B/R</c:v>
                </c:pt>
                <c:pt idx="1">
                  <c:v>Broadband White</c:v>
                </c:pt>
                <c:pt idx="2">
                  <c:v>High Pressure Sodium</c:v>
                </c:pt>
                <c:pt idx="3">
                  <c:v>NL Control</c:v>
                </c:pt>
              </c:strCache>
            </c:strRef>
          </c:cat>
          <c:val>
            <c:numRef>
              <c:f>Sheet1!$B$2:$B$5</c:f>
              <c:numCache>
                <c:formatCode>0.00</c:formatCode>
                <c:ptCount val="4"/>
                <c:pt idx="0">
                  <c:v>58.36</c:v>
                </c:pt>
                <c:pt idx="1">
                  <c:v>68.39</c:v>
                </c:pt>
                <c:pt idx="2">
                  <c:v>42.637099999999997</c:v>
                </c:pt>
                <c:pt idx="3">
                  <c:v>32.964599999999997</c:v>
                </c:pt>
              </c:numCache>
            </c:numRef>
          </c:val>
          <c:extLst>
            <c:ext xmlns:c16="http://schemas.microsoft.com/office/drawing/2014/chart" uri="{C3380CC4-5D6E-409C-BE32-E72D297353CC}">
              <c16:uniqueId val="{00000009-7F3E-7841-AE21-26EE8D90B558}"/>
            </c:ext>
          </c:extLst>
        </c:ser>
        <c:dLbls>
          <c:showLegendKey val="0"/>
          <c:showVal val="1"/>
          <c:showCatName val="0"/>
          <c:showSerName val="0"/>
          <c:showPercent val="0"/>
          <c:showBubbleSize val="0"/>
        </c:dLbls>
        <c:gapWidth val="100"/>
        <c:axId val="552408368"/>
        <c:axId val="552066784"/>
      </c:barChart>
      <c:catAx>
        <c:axId val="552408368"/>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vert="horz"/>
          <a:lstStyle/>
          <a:p>
            <a:pPr>
              <a:defRPr sz="1100" b="1"/>
            </a:pPr>
            <a:endParaRPr lang="en-US"/>
          </a:p>
        </c:txPr>
        <c:crossAx val="552066784"/>
        <c:crosses val="autoZero"/>
        <c:auto val="1"/>
        <c:lblAlgn val="ctr"/>
        <c:lblOffset val="100"/>
        <c:noMultiLvlLbl val="0"/>
      </c:catAx>
      <c:valAx>
        <c:axId val="552066784"/>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5400000" vert="horz"/>
              <a:lstStyle/>
              <a:p>
                <a:pPr algn="ctr" rtl="0">
                  <a:defRPr sz="1100"/>
                </a:pPr>
                <a:r>
                  <a:rPr lang="en-US" sz="1100"/>
                  <a:t>Total Fresh Mass (g)</a:t>
                </a:r>
              </a:p>
            </c:rich>
          </c:tx>
          <c:layout>
            <c:manualLayout>
              <c:xMode val="edge"/>
              <c:yMode val="edge"/>
              <c:x val="1.3888888888888888E-2"/>
              <c:y val="0.3889729976934701"/>
            </c:manualLayout>
          </c:layout>
          <c:overlay val="0"/>
          <c:spPr>
            <a:noFill/>
            <a:ln>
              <a:noFill/>
            </a:ln>
            <a:effectLst/>
          </c:spPr>
        </c:title>
        <c:numFmt formatCode="General" sourceLinked="0"/>
        <c:majorTickMark val="none"/>
        <c:minorTickMark val="none"/>
        <c:tickLblPos val="nextTo"/>
        <c:spPr>
          <a:noFill/>
          <a:ln>
            <a:noFill/>
          </a:ln>
          <a:effectLst/>
        </c:spPr>
        <c:txPr>
          <a:bodyPr rot="-60000000" vert="horz"/>
          <a:lstStyle/>
          <a:p>
            <a:pPr>
              <a:defRPr/>
            </a:pPr>
            <a:endParaRPr lang="en-US"/>
          </a:p>
        </c:txPr>
        <c:crossAx val="552408368"/>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latin typeface="Arial" panose="020B0604020202020204" pitchFamily="34" charset="0"/>
          <a:ea typeface="Times New Roman" charset="0"/>
          <a:cs typeface="Arial" panose="020B0604020202020204" pitchFamily="34" charset="0"/>
        </a:defRPr>
      </a:pPr>
      <a:endParaRPr lang="en-US"/>
    </a:p>
  </c:txPr>
  <c:externalData r:id="rId1">
    <c:autoUpdate val="0"/>
  </c:externalData>
</c:chartSpace>
</file>

<file path=word/charts/chart2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vert="horz"/>
          <a:lstStyle/>
          <a:p>
            <a:pPr>
              <a:defRPr sz="1400"/>
            </a:pPr>
            <a:r>
              <a:rPr lang="en-US" sz="1400"/>
              <a:t>Total Dry Mass (g) of Hydroponic Basil Across Supplementary Lighting Treatments</a:t>
            </a:r>
          </a:p>
        </c:rich>
      </c:tx>
      <c:overlay val="0"/>
      <c:spPr>
        <a:noFill/>
        <a:ln>
          <a:noFill/>
        </a:ln>
        <a:effectLst/>
      </c:spPr>
    </c:title>
    <c:autoTitleDeleted val="0"/>
    <c:plotArea>
      <c:layout/>
      <c:barChart>
        <c:barDir val="col"/>
        <c:grouping val="clustered"/>
        <c:varyColors val="0"/>
        <c:ser>
          <c:idx val="0"/>
          <c:order val="0"/>
          <c:tx>
            <c:strRef>
              <c:f>Sheet1!$B$1</c:f>
              <c:strCache>
                <c:ptCount val="1"/>
                <c:pt idx="0">
                  <c:v>Column1</c:v>
                </c:pt>
              </c:strCache>
            </c:strRef>
          </c:tx>
          <c:spPr>
            <a:solidFill>
              <a:schemeClr val="accent1"/>
            </a:solidFill>
            <a:ln>
              <a:noFill/>
            </a:ln>
            <a:effectLst/>
          </c:spPr>
          <c:invertIfNegative val="0"/>
          <c:dLbls>
            <c:dLbl>
              <c:idx val="0"/>
              <c:tx>
                <c:rich>
                  <a:bodyPr/>
                  <a:lstStyle/>
                  <a:p>
                    <a:r>
                      <a:rPr lang="en-US"/>
                      <a:t>B</a:t>
                    </a:r>
                  </a:p>
                </c:rich>
              </c:tx>
              <c:dLblPos val="outEnd"/>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00-28A6-3047-B85D-C508DBD74E40}"/>
                </c:ext>
              </c:extLst>
            </c:dLbl>
            <c:dLbl>
              <c:idx val="1"/>
              <c:tx>
                <c:rich>
                  <a:bodyPr/>
                  <a:lstStyle/>
                  <a:p>
                    <a:r>
                      <a:rPr lang="en-US"/>
                      <a:t>A</a:t>
                    </a:r>
                  </a:p>
                </c:rich>
              </c:tx>
              <c:dLblPos val="outEnd"/>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01-28A6-3047-B85D-C508DBD74E40}"/>
                </c:ext>
              </c:extLst>
            </c:dLbl>
            <c:dLbl>
              <c:idx val="2"/>
              <c:tx>
                <c:rich>
                  <a:bodyPr/>
                  <a:lstStyle/>
                  <a:p>
                    <a:r>
                      <a:rPr lang="en-US"/>
                      <a:t>C</a:t>
                    </a:r>
                  </a:p>
                </c:rich>
              </c:tx>
              <c:dLblPos val="outEnd"/>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02-28A6-3047-B85D-C508DBD74E40}"/>
                </c:ext>
              </c:extLst>
            </c:dLbl>
            <c:dLbl>
              <c:idx val="3"/>
              <c:tx>
                <c:rich>
                  <a:bodyPr/>
                  <a:lstStyle/>
                  <a:p>
                    <a:r>
                      <a:rPr lang="en-US"/>
                      <a:t>D</a:t>
                    </a:r>
                  </a:p>
                </c:rich>
              </c:tx>
              <c:dLblPos val="outEnd"/>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03-28A6-3047-B85D-C508DBD74E40}"/>
                </c:ext>
              </c:extLst>
            </c:dLbl>
            <c:dLbl>
              <c:idx val="4"/>
              <c:tx>
                <c:rich>
                  <a:bodyPr/>
                  <a:lstStyle/>
                  <a:p>
                    <a:r>
                      <a:rPr lang="en-US"/>
                      <a:t>AB</a:t>
                    </a:r>
                  </a:p>
                </c:rich>
              </c:tx>
              <c:dLblPos val="outEnd"/>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04-28A6-3047-B85D-C508DBD74E40}"/>
                </c:ext>
              </c:extLst>
            </c:dLbl>
            <c:dLbl>
              <c:idx val="5"/>
              <c:tx>
                <c:rich>
                  <a:bodyPr/>
                  <a:lstStyle/>
                  <a:p>
                    <a:r>
                      <a:rPr lang="en-US"/>
                      <a:t>BC</a:t>
                    </a:r>
                  </a:p>
                </c:rich>
              </c:tx>
              <c:dLblPos val="outEnd"/>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05-28A6-3047-B85D-C508DBD74E40}"/>
                </c:ext>
              </c:extLst>
            </c:dLbl>
            <c:dLbl>
              <c:idx val="6"/>
              <c:layout>
                <c:manualLayout>
                  <c:x val="2.0281918669504601E-3"/>
                  <c:y val="-7.9365079365079708E-3"/>
                </c:manualLayout>
              </c:layout>
              <c:tx>
                <c:rich>
                  <a:bodyPr/>
                  <a:lstStyle/>
                  <a:p>
                    <a:r>
                      <a:rPr lang="en-US"/>
                      <a:t>A</a:t>
                    </a:r>
                  </a:p>
                </c:rich>
              </c:tx>
              <c:dLblPos val="outEnd"/>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06-28A6-3047-B85D-C508DBD74E40}"/>
                </c:ext>
              </c:extLst>
            </c:dLbl>
            <c:dLbl>
              <c:idx val="7"/>
              <c:tx>
                <c:rich>
                  <a:bodyPr/>
                  <a:lstStyle/>
                  <a:p>
                    <a:r>
                      <a:rPr lang="en-US"/>
                      <a:t>AB</a:t>
                    </a:r>
                  </a:p>
                </c:rich>
              </c:tx>
              <c:dLblPos val="outEnd"/>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07-28A6-3047-B85D-C508DBD74E40}"/>
                </c:ext>
              </c:extLst>
            </c:dLbl>
            <c:dLbl>
              <c:idx val="8"/>
              <c:tx>
                <c:rich>
                  <a:bodyPr/>
                  <a:lstStyle/>
                  <a:p>
                    <a:r>
                      <a:rPr lang="en-US"/>
                      <a:t>CD</a:t>
                    </a:r>
                  </a:p>
                </c:rich>
              </c:tx>
              <c:dLblPos val="outEnd"/>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08-28A6-3047-B85D-C508DBD74E40}"/>
                </c:ext>
              </c:extLst>
            </c:dLbl>
            <c:spPr>
              <a:noFill/>
              <a:ln>
                <a:noFill/>
              </a:ln>
              <a:effectLst/>
            </c:spPr>
            <c:txPr>
              <a:bodyPr rot="0" vert="horz"/>
              <a:lstStyle/>
              <a:p>
                <a:pPr>
                  <a:defRPr sz="1100" b="1"/>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Sheet1!$A$2:$A$5</c:f>
              <c:strCache>
                <c:ptCount val="4"/>
                <c:pt idx="0">
                  <c:v>Narrowband B/R</c:v>
                </c:pt>
                <c:pt idx="1">
                  <c:v>Broadband White</c:v>
                </c:pt>
                <c:pt idx="2">
                  <c:v>High Pressure Sodium</c:v>
                </c:pt>
                <c:pt idx="3">
                  <c:v>NL Control</c:v>
                </c:pt>
              </c:strCache>
            </c:strRef>
          </c:cat>
          <c:val>
            <c:numRef>
              <c:f>Sheet1!$B$2:$B$5</c:f>
              <c:numCache>
                <c:formatCode>General</c:formatCode>
                <c:ptCount val="4"/>
                <c:pt idx="0">
                  <c:v>6.4196</c:v>
                </c:pt>
                <c:pt idx="1">
                  <c:v>7.5228999999999999</c:v>
                </c:pt>
                <c:pt idx="2">
                  <c:v>5.1164519999999998</c:v>
                </c:pt>
                <c:pt idx="3">
                  <c:v>4.2853979999999998</c:v>
                </c:pt>
              </c:numCache>
            </c:numRef>
          </c:val>
          <c:extLst>
            <c:ext xmlns:c16="http://schemas.microsoft.com/office/drawing/2014/chart" uri="{C3380CC4-5D6E-409C-BE32-E72D297353CC}">
              <c16:uniqueId val="{00000009-28A6-3047-B85D-C508DBD74E40}"/>
            </c:ext>
          </c:extLst>
        </c:ser>
        <c:dLbls>
          <c:showLegendKey val="0"/>
          <c:showVal val="1"/>
          <c:showCatName val="0"/>
          <c:showSerName val="0"/>
          <c:showPercent val="0"/>
          <c:showBubbleSize val="0"/>
        </c:dLbls>
        <c:gapWidth val="100"/>
        <c:axId val="944710016"/>
        <c:axId val="944713408"/>
      </c:barChart>
      <c:catAx>
        <c:axId val="944710016"/>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vert="horz"/>
          <a:lstStyle/>
          <a:p>
            <a:pPr>
              <a:defRPr sz="1000" b="1"/>
            </a:pPr>
            <a:endParaRPr lang="en-US"/>
          </a:p>
        </c:txPr>
        <c:crossAx val="944713408"/>
        <c:crosses val="autoZero"/>
        <c:auto val="1"/>
        <c:lblAlgn val="ctr"/>
        <c:lblOffset val="100"/>
        <c:noMultiLvlLbl val="0"/>
      </c:catAx>
      <c:valAx>
        <c:axId val="944713408"/>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5400000" vert="horz"/>
              <a:lstStyle/>
              <a:p>
                <a:pPr algn="ctr" rtl="0">
                  <a:defRPr sz="1100"/>
                </a:pPr>
                <a:r>
                  <a:rPr lang="en-US" sz="1100"/>
                  <a:t>Total Dry Mass (g)</a:t>
                </a:r>
              </a:p>
            </c:rich>
          </c:tx>
          <c:layout>
            <c:manualLayout>
              <c:xMode val="edge"/>
              <c:yMode val="edge"/>
              <c:x val="1.0802469135802469E-2"/>
              <c:y val="0.4036383520241788"/>
            </c:manualLayout>
          </c:layout>
          <c:overlay val="0"/>
          <c:spPr>
            <a:noFill/>
            <a:ln>
              <a:noFill/>
            </a:ln>
            <a:effectLst/>
          </c:spPr>
        </c:title>
        <c:numFmt formatCode="General" sourceLinked="1"/>
        <c:majorTickMark val="none"/>
        <c:minorTickMark val="none"/>
        <c:tickLblPos val="nextTo"/>
        <c:spPr>
          <a:noFill/>
          <a:ln>
            <a:noFill/>
          </a:ln>
          <a:effectLst/>
        </c:spPr>
        <c:txPr>
          <a:bodyPr rot="-60000000" vert="horz"/>
          <a:lstStyle/>
          <a:p>
            <a:pPr>
              <a:defRPr/>
            </a:pPr>
            <a:endParaRPr lang="en-US"/>
          </a:p>
        </c:txPr>
        <c:crossAx val="944710016"/>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latin typeface="Arial" panose="020B0604020202020204" pitchFamily="34" charset="0"/>
          <a:ea typeface="Times New Roman" charset="0"/>
          <a:cs typeface="Arial" panose="020B0604020202020204" pitchFamily="34" charset="0"/>
        </a:defRPr>
      </a:pPr>
      <a:endParaRPr lang="en-US"/>
    </a:p>
  </c:txPr>
  <c:externalData r:id="rId1">
    <c:autoUpdate val="0"/>
  </c:externalData>
</c:chartSpace>
</file>

<file path=word/charts/chart2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1215895689186489"/>
          <c:y val="5.1717833464037841E-2"/>
          <c:w val="0.84103195587422108"/>
          <c:h val="0.82773859255348792"/>
        </c:manualLayout>
      </c:layout>
      <c:lineChart>
        <c:grouping val="standard"/>
        <c:varyColors val="0"/>
        <c:ser>
          <c:idx val="0"/>
          <c:order val="0"/>
          <c:tx>
            <c:strRef>
              <c:f>Sheet1!$B$1</c:f>
              <c:strCache>
                <c:ptCount val="1"/>
                <c:pt idx="0">
                  <c:v>B20/R80</c:v>
                </c:pt>
              </c:strCache>
            </c:strRef>
          </c:tx>
          <c:spPr>
            <a:ln w="25400" cap="rnd">
              <a:solidFill>
                <a:srgbClr val="911682"/>
              </a:solidFill>
              <a:round/>
            </a:ln>
            <a:effectLst/>
          </c:spPr>
          <c:marker>
            <c:symbol val="none"/>
          </c:marker>
          <c:cat>
            <c:numRef>
              <c:f>Sheet1!$A$212:$A$1212</c:f>
              <c:numCache>
                <c:formatCode>General</c:formatCode>
                <c:ptCount val="1001"/>
                <c:pt idx="0">
                  <c:v>350</c:v>
                </c:pt>
                <c:pt idx="1">
                  <c:v>350.5</c:v>
                </c:pt>
                <c:pt idx="2">
                  <c:v>351</c:v>
                </c:pt>
                <c:pt idx="3">
                  <c:v>351.5</c:v>
                </c:pt>
                <c:pt idx="4">
                  <c:v>352</c:v>
                </c:pt>
                <c:pt idx="5">
                  <c:v>352.5</c:v>
                </c:pt>
                <c:pt idx="6">
                  <c:v>353</c:v>
                </c:pt>
                <c:pt idx="7">
                  <c:v>353.5</c:v>
                </c:pt>
                <c:pt idx="8">
                  <c:v>354</c:v>
                </c:pt>
                <c:pt idx="9">
                  <c:v>354.5</c:v>
                </c:pt>
                <c:pt idx="10">
                  <c:v>355</c:v>
                </c:pt>
                <c:pt idx="11">
                  <c:v>355.5</c:v>
                </c:pt>
                <c:pt idx="12">
                  <c:v>356</c:v>
                </c:pt>
                <c:pt idx="13">
                  <c:v>356.5</c:v>
                </c:pt>
                <c:pt idx="14">
                  <c:v>357</c:v>
                </c:pt>
                <c:pt idx="15">
                  <c:v>357.5</c:v>
                </c:pt>
                <c:pt idx="16">
                  <c:v>358</c:v>
                </c:pt>
                <c:pt idx="17">
                  <c:v>358.5</c:v>
                </c:pt>
                <c:pt idx="18">
                  <c:v>359</c:v>
                </c:pt>
                <c:pt idx="19">
                  <c:v>359.5</c:v>
                </c:pt>
                <c:pt idx="20">
                  <c:v>360</c:v>
                </c:pt>
                <c:pt idx="21">
                  <c:v>360.5</c:v>
                </c:pt>
                <c:pt idx="22">
                  <c:v>361</c:v>
                </c:pt>
                <c:pt idx="23">
                  <c:v>361.5</c:v>
                </c:pt>
                <c:pt idx="24">
                  <c:v>362</c:v>
                </c:pt>
                <c:pt idx="25">
                  <c:v>362.5</c:v>
                </c:pt>
                <c:pt idx="26">
                  <c:v>363</c:v>
                </c:pt>
                <c:pt idx="27">
                  <c:v>363.5</c:v>
                </c:pt>
                <c:pt idx="28">
                  <c:v>364</c:v>
                </c:pt>
                <c:pt idx="29">
                  <c:v>364.5</c:v>
                </c:pt>
                <c:pt idx="30">
                  <c:v>365</c:v>
                </c:pt>
                <c:pt idx="31">
                  <c:v>365.5</c:v>
                </c:pt>
                <c:pt idx="32">
                  <c:v>366</c:v>
                </c:pt>
                <c:pt idx="33">
                  <c:v>366.5</c:v>
                </c:pt>
                <c:pt idx="34">
                  <c:v>367</c:v>
                </c:pt>
                <c:pt idx="35">
                  <c:v>367.5</c:v>
                </c:pt>
                <c:pt idx="36">
                  <c:v>368</c:v>
                </c:pt>
                <c:pt idx="37">
                  <c:v>368.5</c:v>
                </c:pt>
                <c:pt idx="38">
                  <c:v>369</c:v>
                </c:pt>
                <c:pt idx="39">
                  <c:v>369.5</c:v>
                </c:pt>
                <c:pt idx="40">
                  <c:v>370</c:v>
                </c:pt>
                <c:pt idx="41">
                  <c:v>370.5</c:v>
                </c:pt>
                <c:pt idx="42">
                  <c:v>371</c:v>
                </c:pt>
                <c:pt idx="43">
                  <c:v>371.5</c:v>
                </c:pt>
                <c:pt idx="44">
                  <c:v>372</c:v>
                </c:pt>
                <c:pt idx="45">
                  <c:v>372.5</c:v>
                </c:pt>
                <c:pt idx="46">
                  <c:v>373</c:v>
                </c:pt>
                <c:pt idx="47">
                  <c:v>373.5</c:v>
                </c:pt>
                <c:pt idx="48">
                  <c:v>374</c:v>
                </c:pt>
                <c:pt idx="49">
                  <c:v>374.5</c:v>
                </c:pt>
                <c:pt idx="50">
                  <c:v>375</c:v>
                </c:pt>
                <c:pt idx="51">
                  <c:v>375.5</c:v>
                </c:pt>
                <c:pt idx="52">
                  <c:v>376</c:v>
                </c:pt>
                <c:pt idx="53">
                  <c:v>376.5</c:v>
                </c:pt>
                <c:pt idx="54">
                  <c:v>377</c:v>
                </c:pt>
                <c:pt idx="55">
                  <c:v>377.5</c:v>
                </c:pt>
                <c:pt idx="56">
                  <c:v>378</c:v>
                </c:pt>
                <c:pt idx="57">
                  <c:v>378.5</c:v>
                </c:pt>
                <c:pt idx="58">
                  <c:v>379</c:v>
                </c:pt>
                <c:pt idx="59">
                  <c:v>379.5</c:v>
                </c:pt>
                <c:pt idx="60">
                  <c:v>380</c:v>
                </c:pt>
                <c:pt idx="61">
                  <c:v>380.5</c:v>
                </c:pt>
                <c:pt idx="62">
                  <c:v>381</c:v>
                </c:pt>
                <c:pt idx="63">
                  <c:v>381.5</c:v>
                </c:pt>
                <c:pt idx="64">
                  <c:v>382</c:v>
                </c:pt>
                <c:pt idx="65">
                  <c:v>382.5</c:v>
                </c:pt>
                <c:pt idx="66">
                  <c:v>383</c:v>
                </c:pt>
                <c:pt idx="67">
                  <c:v>383.5</c:v>
                </c:pt>
                <c:pt idx="68">
                  <c:v>384</c:v>
                </c:pt>
                <c:pt idx="69">
                  <c:v>384.5</c:v>
                </c:pt>
                <c:pt idx="70">
                  <c:v>385</c:v>
                </c:pt>
                <c:pt idx="71">
                  <c:v>385.5</c:v>
                </c:pt>
                <c:pt idx="72">
                  <c:v>386</c:v>
                </c:pt>
                <c:pt idx="73">
                  <c:v>386.5</c:v>
                </c:pt>
                <c:pt idx="74">
                  <c:v>387</c:v>
                </c:pt>
                <c:pt idx="75">
                  <c:v>387.5</c:v>
                </c:pt>
                <c:pt idx="76">
                  <c:v>388</c:v>
                </c:pt>
                <c:pt idx="77">
                  <c:v>388.5</c:v>
                </c:pt>
                <c:pt idx="78">
                  <c:v>389</c:v>
                </c:pt>
                <c:pt idx="79">
                  <c:v>389.5</c:v>
                </c:pt>
                <c:pt idx="80">
                  <c:v>390</c:v>
                </c:pt>
                <c:pt idx="81">
                  <c:v>390.5</c:v>
                </c:pt>
                <c:pt idx="82">
                  <c:v>391</c:v>
                </c:pt>
                <c:pt idx="83">
                  <c:v>391.5</c:v>
                </c:pt>
                <c:pt idx="84">
                  <c:v>392</c:v>
                </c:pt>
                <c:pt idx="85">
                  <c:v>392.5</c:v>
                </c:pt>
                <c:pt idx="86">
                  <c:v>393</c:v>
                </c:pt>
                <c:pt idx="87">
                  <c:v>393.5</c:v>
                </c:pt>
                <c:pt idx="88">
                  <c:v>394</c:v>
                </c:pt>
                <c:pt idx="89">
                  <c:v>394.5</c:v>
                </c:pt>
                <c:pt idx="90">
                  <c:v>395</c:v>
                </c:pt>
                <c:pt idx="91">
                  <c:v>395.5</c:v>
                </c:pt>
                <c:pt idx="92">
                  <c:v>396</c:v>
                </c:pt>
                <c:pt idx="93">
                  <c:v>396.5</c:v>
                </c:pt>
                <c:pt idx="94">
                  <c:v>397</c:v>
                </c:pt>
                <c:pt idx="95">
                  <c:v>397.5</c:v>
                </c:pt>
                <c:pt idx="96">
                  <c:v>398</c:v>
                </c:pt>
                <c:pt idx="97">
                  <c:v>398.5</c:v>
                </c:pt>
                <c:pt idx="98">
                  <c:v>399</c:v>
                </c:pt>
                <c:pt idx="99">
                  <c:v>399.5</c:v>
                </c:pt>
                <c:pt idx="100">
                  <c:v>400</c:v>
                </c:pt>
                <c:pt idx="101">
                  <c:v>400.5</c:v>
                </c:pt>
                <c:pt idx="102">
                  <c:v>401</c:v>
                </c:pt>
                <c:pt idx="103">
                  <c:v>401.5</c:v>
                </c:pt>
                <c:pt idx="104">
                  <c:v>402</c:v>
                </c:pt>
                <c:pt idx="105">
                  <c:v>402.5</c:v>
                </c:pt>
                <c:pt idx="106">
                  <c:v>403</c:v>
                </c:pt>
                <c:pt idx="107">
                  <c:v>403.5</c:v>
                </c:pt>
                <c:pt idx="108">
                  <c:v>404</c:v>
                </c:pt>
                <c:pt idx="109">
                  <c:v>404.5</c:v>
                </c:pt>
                <c:pt idx="110">
                  <c:v>405</c:v>
                </c:pt>
                <c:pt idx="111">
                  <c:v>405.5</c:v>
                </c:pt>
                <c:pt idx="112">
                  <c:v>406</c:v>
                </c:pt>
                <c:pt idx="113">
                  <c:v>406.5</c:v>
                </c:pt>
                <c:pt idx="114">
                  <c:v>407</c:v>
                </c:pt>
                <c:pt idx="115">
                  <c:v>407.5</c:v>
                </c:pt>
                <c:pt idx="116">
                  <c:v>408</c:v>
                </c:pt>
                <c:pt idx="117">
                  <c:v>408.5</c:v>
                </c:pt>
                <c:pt idx="118">
                  <c:v>409</c:v>
                </c:pt>
                <c:pt idx="119">
                  <c:v>409.5</c:v>
                </c:pt>
                <c:pt idx="120">
                  <c:v>410</c:v>
                </c:pt>
                <c:pt idx="121">
                  <c:v>410.5</c:v>
                </c:pt>
                <c:pt idx="122">
                  <c:v>411</c:v>
                </c:pt>
                <c:pt idx="123">
                  <c:v>411.5</c:v>
                </c:pt>
                <c:pt idx="124">
                  <c:v>412</c:v>
                </c:pt>
                <c:pt idx="125">
                  <c:v>412.5</c:v>
                </c:pt>
                <c:pt idx="126">
                  <c:v>413</c:v>
                </c:pt>
                <c:pt idx="127">
                  <c:v>413.5</c:v>
                </c:pt>
                <c:pt idx="128">
                  <c:v>414</c:v>
                </c:pt>
                <c:pt idx="129">
                  <c:v>414.5</c:v>
                </c:pt>
                <c:pt idx="130">
                  <c:v>415</c:v>
                </c:pt>
                <c:pt idx="131">
                  <c:v>415.5</c:v>
                </c:pt>
                <c:pt idx="132">
                  <c:v>416</c:v>
                </c:pt>
                <c:pt idx="133">
                  <c:v>416.5</c:v>
                </c:pt>
                <c:pt idx="134">
                  <c:v>417</c:v>
                </c:pt>
                <c:pt idx="135">
                  <c:v>417.5</c:v>
                </c:pt>
                <c:pt idx="136">
                  <c:v>418</c:v>
                </c:pt>
                <c:pt idx="137">
                  <c:v>418.5</c:v>
                </c:pt>
                <c:pt idx="138">
                  <c:v>419</c:v>
                </c:pt>
                <c:pt idx="139">
                  <c:v>419.5</c:v>
                </c:pt>
                <c:pt idx="140">
                  <c:v>420</c:v>
                </c:pt>
                <c:pt idx="141">
                  <c:v>420.5</c:v>
                </c:pt>
                <c:pt idx="142">
                  <c:v>421</c:v>
                </c:pt>
                <c:pt idx="143">
                  <c:v>421.5</c:v>
                </c:pt>
                <c:pt idx="144">
                  <c:v>422</c:v>
                </c:pt>
                <c:pt idx="145">
                  <c:v>422.5</c:v>
                </c:pt>
                <c:pt idx="146">
                  <c:v>423</c:v>
                </c:pt>
                <c:pt idx="147">
                  <c:v>423.5</c:v>
                </c:pt>
                <c:pt idx="148">
                  <c:v>424</c:v>
                </c:pt>
                <c:pt idx="149">
                  <c:v>424.5</c:v>
                </c:pt>
                <c:pt idx="150">
                  <c:v>425</c:v>
                </c:pt>
                <c:pt idx="151">
                  <c:v>425.5</c:v>
                </c:pt>
                <c:pt idx="152">
                  <c:v>426</c:v>
                </c:pt>
                <c:pt idx="153">
                  <c:v>426.5</c:v>
                </c:pt>
                <c:pt idx="154">
                  <c:v>427</c:v>
                </c:pt>
                <c:pt idx="155">
                  <c:v>427.5</c:v>
                </c:pt>
                <c:pt idx="156">
                  <c:v>428</c:v>
                </c:pt>
                <c:pt idx="157">
                  <c:v>428.5</c:v>
                </c:pt>
                <c:pt idx="158">
                  <c:v>429</c:v>
                </c:pt>
                <c:pt idx="159">
                  <c:v>429.5</c:v>
                </c:pt>
                <c:pt idx="160">
                  <c:v>430</c:v>
                </c:pt>
                <c:pt idx="161">
                  <c:v>430.5</c:v>
                </c:pt>
                <c:pt idx="162">
                  <c:v>431</c:v>
                </c:pt>
                <c:pt idx="163">
                  <c:v>431.5</c:v>
                </c:pt>
                <c:pt idx="164">
                  <c:v>432</c:v>
                </c:pt>
                <c:pt idx="165">
                  <c:v>432.5</c:v>
                </c:pt>
                <c:pt idx="166">
                  <c:v>433</c:v>
                </c:pt>
                <c:pt idx="167">
                  <c:v>433.5</c:v>
                </c:pt>
                <c:pt idx="168">
                  <c:v>434</c:v>
                </c:pt>
                <c:pt idx="169">
                  <c:v>434.5</c:v>
                </c:pt>
                <c:pt idx="170">
                  <c:v>435</c:v>
                </c:pt>
                <c:pt idx="171">
                  <c:v>435.5</c:v>
                </c:pt>
                <c:pt idx="172">
                  <c:v>436</c:v>
                </c:pt>
                <c:pt idx="173">
                  <c:v>436.5</c:v>
                </c:pt>
                <c:pt idx="174">
                  <c:v>437</c:v>
                </c:pt>
                <c:pt idx="175">
                  <c:v>437.5</c:v>
                </c:pt>
                <c:pt idx="176">
                  <c:v>438</c:v>
                </c:pt>
                <c:pt idx="177">
                  <c:v>438.5</c:v>
                </c:pt>
                <c:pt idx="178">
                  <c:v>439</c:v>
                </c:pt>
                <c:pt idx="179">
                  <c:v>439.5</c:v>
                </c:pt>
                <c:pt idx="180">
                  <c:v>440</c:v>
                </c:pt>
                <c:pt idx="181">
                  <c:v>440.5</c:v>
                </c:pt>
                <c:pt idx="182">
                  <c:v>441</c:v>
                </c:pt>
                <c:pt idx="183">
                  <c:v>441.5</c:v>
                </c:pt>
                <c:pt idx="184">
                  <c:v>442</c:v>
                </c:pt>
                <c:pt idx="185">
                  <c:v>442.5</c:v>
                </c:pt>
                <c:pt idx="186">
                  <c:v>443</c:v>
                </c:pt>
                <c:pt idx="187">
                  <c:v>443.5</c:v>
                </c:pt>
                <c:pt idx="188">
                  <c:v>444</c:v>
                </c:pt>
                <c:pt idx="189">
                  <c:v>444.5</c:v>
                </c:pt>
                <c:pt idx="190">
                  <c:v>445</c:v>
                </c:pt>
                <c:pt idx="191">
                  <c:v>445.5</c:v>
                </c:pt>
                <c:pt idx="192">
                  <c:v>446</c:v>
                </c:pt>
                <c:pt idx="193">
                  <c:v>446.5</c:v>
                </c:pt>
                <c:pt idx="194">
                  <c:v>447</c:v>
                </c:pt>
                <c:pt idx="195">
                  <c:v>447.5</c:v>
                </c:pt>
                <c:pt idx="196">
                  <c:v>448</c:v>
                </c:pt>
                <c:pt idx="197">
                  <c:v>448.5</c:v>
                </c:pt>
                <c:pt idx="198">
                  <c:v>449</c:v>
                </c:pt>
                <c:pt idx="199">
                  <c:v>449.5</c:v>
                </c:pt>
                <c:pt idx="200">
                  <c:v>450</c:v>
                </c:pt>
                <c:pt idx="201">
                  <c:v>450.5</c:v>
                </c:pt>
                <c:pt idx="202">
                  <c:v>451</c:v>
                </c:pt>
                <c:pt idx="203">
                  <c:v>451.5</c:v>
                </c:pt>
                <c:pt idx="204">
                  <c:v>452</c:v>
                </c:pt>
                <c:pt idx="205">
                  <c:v>452.5</c:v>
                </c:pt>
                <c:pt idx="206">
                  <c:v>453</c:v>
                </c:pt>
                <c:pt idx="207">
                  <c:v>453.5</c:v>
                </c:pt>
                <c:pt idx="208">
                  <c:v>454</c:v>
                </c:pt>
                <c:pt idx="209">
                  <c:v>454.5</c:v>
                </c:pt>
                <c:pt idx="210">
                  <c:v>455</c:v>
                </c:pt>
                <c:pt idx="211">
                  <c:v>455.5</c:v>
                </c:pt>
                <c:pt idx="212">
                  <c:v>456</c:v>
                </c:pt>
                <c:pt idx="213">
                  <c:v>456.5</c:v>
                </c:pt>
                <c:pt idx="214">
                  <c:v>457</c:v>
                </c:pt>
                <c:pt idx="215">
                  <c:v>457.5</c:v>
                </c:pt>
                <c:pt idx="216">
                  <c:v>458</c:v>
                </c:pt>
                <c:pt idx="217">
                  <c:v>458.5</c:v>
                </c:pt>
                <c:pt idx="218">
                  <c:v>459</c:v>
                </c:pt>
                <c:pt idx="219">
                  <c:v>459.5</c:v>
                </c:pt>
                <c:pt idx="220">
                  <c:v>460</c:v>
                </c:pt>
                <c:pt idx="221">
                  <c:v>460.5</c:v>
                </c:pt>
                <c:pt idx="222">
                  <c:v>461</c:v>
                </c:pt>
                <c:pt idx="223">
                  <c:v>461.5</c:v>
                </c:pt>
                <c:pt idx="224">
                  <c:v>462</c:v>
                </c:pt>
                <c:pt idx="225">
                  <c:v>462.5</c:v>
                </c:pt>
                <c:pt idx="226">
                  <c:v>463</c:v>
                </c:pt>
                <c:pt idx="227">
                  <c:v>463.5</c:v>
                </c:pt>
                <c:pt idx="228">
                  <c:v>464</c:v>
                </c:pt>
                <c:pt idx="229">
                  <c:v>464.5</c:v>
                </c:pt>
                <c:pt idx="230">
                  <c:v>465</c:v>
                </c:pt>
                <c:pt idx="231">
                  <c:v>465.5</c:v>
                </c:pt>
                <c:pt idx="232">
                  <c:v>466</c:v>
                </c:pt>
                <c:pt idx="233">
                  <c:v>466.5</c:v>
                </c:pt>
                <c:pt idx="234">
                  <c:v>467</c:v>
                </c:pt>
                <c:pt idx="235">
                  <c:v>467.5</c:v>
                </c:pt>
                <c:pt idx="236">
                  <c:v>468</c:v>
                </c:pt>
                <c:pt idx="237">
                  <c:v>468.5</c:v>
                </c:pt>
                <c:pt idx="238">
                  <c:v>469</c:v>
                </c:pt>
                <c:pt idx="239">
                  <c:v>469.5</c:v>
                </c:pt>
                <c:pt idx="240">
                  <c:v>470</c:v>
                </c:pt>
                <c:pt idx="241">
                  <c:v>470.5</c:v>
                </c:pt>
                <c:pt idx="242">
                  <c:v>471</c:v>
                </c:pt>
                <c:pt idx="243">
                  <c:v>471.5</c:v>
                </c:pt>
                <c:pt idx="244">
                  <c:v>472</c:v>
                </c:pt>
                <c:pt idx="245">
                  <c:v>472.5</c:v>
                </c:pt>
                <c:pt idx="246">
                  <c:v>473</c:v>
                </c:pt>
                <c:pt idx="247">
                  <c:v>473.5</c:v>
                </c:pt>
                <c:pt idx="248">
                  <c:v>474</c:v>
                </c:pt>
                <c:pt idx="249">
                  <c:v>474.5</c:v>
                </c:pt>
                <c:pt idx="250">
                  <c:v>475</c:v>
                </c:pt>
                <c:pt idx="251">
                  <c:v>475.5</c:v>
                </c:pt>
                <c:pt idx="252">
                  <c:v>476</c:v>
                </c:pt>
                <c:pt idx="253">
                  <c:v>476.5</c:v>
                </c:pt>
                <c:pt idx="254">
                  <c:v>477</c:v>
                </c:pt>
                <c:pt idx="255">
                  <c:v>477.5</c:v>
                </c:pt>
                <c:pt idx="256">
                  <c:v>478</c:v>
                </c:pt>
                <c:pt idx="257">
                  <c:v>478.5</c:v>
                </c:pt>
                <c:pt idx="258">
                  <c:v>479</c:v>
                </c:pt>
                <c:pt idx="259">
                  <c:v>479.5</c:v>
                </c:pt>
                <c:pt idx="260">
                  <c:v>480</c:v>
                </c:pt>
                <c:pt idx="261">
                  <c:v>480.5</c:v>
                </c:pt>
                <c:pt idx="262">
                  <c:v>481</c:v>
                </c:pt>
                <c:pt idx="263">
                  <c:v>481.5</c:v>
                </c:pt>
                <c:pt idx="264">
                  <c:v>482</c:v>
                </c:pt>
                <c:pt idx="265">
                  <c:v>482.5</c:v>
                </c:pt>
                <c:pt idx="266">
                  <c:v>483</c:v>
                </c:pt>
                <c:pt idx="267">
                  <c:v>483.5</c:v>
                </c:pt>
                <c:pt idx="268">
                  <c:v>484</c:v>
                </c:pt>
                <c:pt idx="269">
                  <c:v>484.5</c:v>
                </c:pt>
                <c:pt idx="270">
                  <c:v>485</c:v>
                </c:pt>
                <c:pt idx="271">
                  <c:v>485.5</c:v>
                </c:pt>
                <c:pt idx="272">
                  <c:v>486</c:v>
                </c:pt>
                <c:pt idx="273">
                  <c:v>486.5</c:v>
                </c:pt>
                <c:pt idx="274">
                  <c:v>487</c:v>
                </c:pt>
                <c:pt idx="275">
                  <c:v>487.5</c:v>
                </c:pt>
                <c:pt idx="276">
                  <c:v>488</c:v>
                </c:pt>
                <c:pt idx="277">
                  <c:v>488.5</c:v>
                </c:pt>
                <c:pt idx="278">
                  <c:v>489</c:v>
                </c:pt>
                <c:pt idx="279">
                  <c:v>489.5</c:v>
                </c:pt>
                <c:pt idx="280">
                  <c:v>490</c:v>
                </c:pt>
                <c:pt idx="281">
                  <c:v>490.5</c:v>
                </c:pt>
                <c:pt idx="282">
                  <c:v>491</c:v>
                </c:pt>
                <c:pt idx="283">
                  <c:v>491.5</c:v>
                </c:pt>
                <c:pt idx="284">
                  <c:v>492</c:v>
                </c:pt>
                <c:pt idx="285">
                  <c:v>492.5</c:v>
                </c:pt>
                <c:pt idx="286">
                  <c:v>493</c:v>
                </c:pt>
                <c:pt idx="287">
                  <c:v>493.5</c:v>
                </c:pt>
                <c:pt idx="288">
                  <c:v>494</c:v>
                </c:pt>
                <c:pt idx="289">
                  <c:v>494.5</c:v>
                </c:pt>
                <c:pt idx="290">
                  <c:v>495</c:v>
                </c:pt>
                <c:pt idx="291">
                  <c:v>495.5</c:v>
                </c:pt>
                <c:pt idx="292">
                  <c:v>496</c:v>
                </c:pt>
                <c:pt idx="293">
                  <c:v>496.5</c:v>
                </c:pt>
                <c:pt idx="294">
                  <c:v>497</c:v>
                </c:pt>
                <c:pt idx="295">
                  <c:v>497.5</c:v>
                </c:pt>
                <c:pt idx="296">
                  <c:v>498</c:v>
                </c:pt>
                <c:pt idx="297">
                  <c:v>498.5</c:v>
                </c:pt>
                <c:pt idx="298">
                  <c:v>499</c:v>
                </c:pt>
                <c:pt idx="299">
                  <c:v>499.5</c:v>
                </c:pt>
                <c:pt idx="300">
                  <c:v>500</c:v>
                </c:pt>
                <c:pt idx="301">
                  <c:v>500.5</c:v>
                </c:pt>
                <c:pt idx="302">
                  <c:v>501</c:v>
                </c:pt>
                <c:pt idx="303">
                  <c:v>501.5</c:v>
                </c:pt>
                <c:pt idx="304">
                  <c:v>502</c:v>
                </c:pt>
                <c:pt idx="305">
                  <c:v>502.5</c:v>
                </c:pt>
                <c:pt idx="306">
                  <c:v>503</c:v>
                </c:pt>
                <c:pt idx="307">
                  <c:v>503.5</c:v>
                </c:pt>
                <c:pt idx="308">
                  <c:v>504</c:v>
                </c:pt>
                <c:pt idx="309">
                  <c:v>504.5</c:v>
                </c:pt>
                <c:pt idx="310">
                  <c:v>505</c:v>
                </c:pt>
                <c:pt idx="311">
                  <c:v>505.5</c:v>
                </c:pt>
                <c:pt idx="312">
                  <c:v>506</c:v>
                </c:pt>
                <c:pt idx="313">
                  <c:v>506.5</c:v>
                </c:pt>
                <c:pt idx="314">
                  <c:v>507</c:v>
                </c:pt>
                <c:pt idx="315">
                  <c:v>507.5</c:v>
                </c:pt>
                <c:pt idx="316">
                  <c:v>508</c:v>
                </c:pt>
                <c:pt idx="317">
                  <c:v>508.5</c:v>
                </c:pt>
                <c:pt idx="318">
                  <c:v>509</c:v>
                </c:pt>
                <c:pt idx="319">
                  <c:v>509.5</c:v>
                </c:pt>
                <c:pt idx="320">
                  <c:v>510</c:v>
                </c:pt>
                <c:pt idx="321">
                  <c:v>510.5</c:v>
                </c:pt>
                <c:pt idx="322">
                  <c:v>511</c:v>
                </c:pt>
                <c:pt idx="323">
                  <c:v>511.5</c:v>
                </c:pt>
                <c:pt idx="324">
                  <c:v>512</c:v>
                </c:pt>
                <c:pt idx="325">
                  <c:v>512.5</c:v>
                </c:pt>
                <c:pt idx="326">
                  <c:v>513</c:v>
                </c:pt>
                <c:pt idx="327">
                  <c:v>513.5</c:v>
                </c:pt>
                <c:pt idx="328">
                  <c:v>514</c:v>
                </c:pt>
                <c:pt idx="329">
                  <c:v>514.5</c:v>
                </c:pt>
                <c:pt idx="330">
                  <c:v>515</c:v>
                </c:pt>
                <c:pt idx="331">
                  <c:v>515.5</c:v>
                </c:pt>
                <c:pt idx="332">
                  <c:v>516</c:v>
                </c:pt>
                <c:pt idx="333">
                  <c:v>516.5</c:v>
                </c:pt>
                <c:pt idx="334">
                  <c:v>517</c:v>
                </c:pt>
                <c:pt idx="335">
                  <c:v>517.5</c:v>
                </c:pt>
                <c:pt idx="336">
                  <c:v>518</c:v>
                </c:pt>
                <c:pt idx="337">
                  <c:v>518.5</c:v>
                </c:pt>
                <c:pt idx="338">
                  <c:v>519</c:v>
                </c:pt>
                <c:pt idx="339">
                  <c:v>519.5</c:v>
                </c:pt>
                <c:pt idx="340">
                  <c:v>520</c:v>
                </c:pt>
                <c:pt idx="341">
                  <c:v>520.5</c:v>
                </c:pt>
                <c:pt idx="342">
                  <c:v>521</c:v>
                </c:pt>
                <c:pt idx="343">
                  <c:v>521.5</c:v>
                </c:pt>
                <c:pt idx="344">
                  <c:v>522</c:v>
                </c:pt>
                <c:pt idx="345">
                  <c:v>522.5</c:v>
                </c:pt>
                <c:pt idx="346">
                  <c:v>523</c:v>
                </c:pt>
                <c:pt idx="347">
                  <c:v>523.5</c:v>
                </c:pt>
                <c:pt idx="348">
                  <c:v>524</c:v>
                </c:pt>
                <c:pt idx="349">
                  <c:v>524.5</c:v>
                </c:pt>
                <c:pt idx="350">
                  <c:v>525</c:v>
                </c:pt>
                <c:pt idx="351">
                  <c:v>525.5</c:v>
                </c:pt>
                <c:pt idx="352">
                  <c:v>526</c:v>
                </c:pt>
                <c:pt idx="353">
                  <c:v>526.5</c:v>
                </c:pt>
                <c:pt idx="354">
                  <c:v>527</c:v>
                </c:pt>
                <c:pt idx="355">
                  <c:v>527.5</c:v>
                </c:pt>
                <c:pt idx="356">
                  <c:v>528</c:v>
                </c:pt>
                <c:pt idx="357">
                  <c:v>528.5</c:v>
                </c:pt>
                <c:pt idx="358">
                  <c:v>529</c:v>
                </c:pt>
                <c:pt idx="359">
                  <c:v>529.5</c:v>
                </c:pt>
                <c:pt idx="360">
                  <c:v>530</c:v>
                </c:pt>
                <c:pt idx="361">
                  <c:v>530.5</c:v>
                </c:pt>
                <c:pt idx="362">
                  <c:v>531</c:v>
                </c:pt>
                <c:pt idx="363">
                  <c:v>531.5</c:v>
                </c:pt>
                <c:pt idx="364">
                  <c:v>532</c:v>
                </c:pt>
                <c:pt idx="365">
                  <c:v>532.5</c:v>
                </c:pt>
                <c:pt idx="366">
                  <c:v>533</c:v>
                </c:pt>
                <c:pt idx="367">
                  <c:v>533.5</c:v>
                </c:pt>
                <c:pt idx="368">
                  <c:v>534</c:v>
                </c:pt>
                <c:pt idx="369">
                  <c:v>534.5</c:v>
                </c:pt>
                <c:pt idx="370">
                  <c:v>535</c:v>
                </c:pt>
                <c:pt idx="371">
                  <c:v>535.5</c:v>
                </c:pt>
                <c:pt idx="372">
                  <c:v>536</c:v>
                </c:pt>
                <c:pt idx="373">
                  <c:v>536.5</c:v>
                </c:pt>
                <c:pt idx="374">
                  <c:v>537</c:v>
                </c:pt>
                <c:pt idx="375">
                  <c:v>537.5</c:v>
                </c:pt>
                <c:pt idx="376">
                  <c:v>538</c:v>
                </c:pt>
                <c:pt idx="377">
                  <c:v>538.5</c:v>
                </c:pt>
                <c:pt idx="378">
                  <c:v>539</c:v>
                </c:pt>
                <c:pt idx="379">
                  <c:v>539.5</c:v>
                </c:pt>
                <c:pt idx="380">
                  <c:v>540</c:v>
                </c:pt>
                <c:pt idx="381">
                  <c:v>540.5</c:v>
                </c:pt>
                <c:pt idx="382">
                  <c:v>541</c:v>
                </c:pt>
                <c:pt idx="383">
                  <c:v>541.5</c:v>
                </c:pt>
                <c:pt idx="384">
                  <c:v>542</c:v>
                </c:pt>
                <c:pt idx="385">
                  <c:v>542.5</c:v>
                </c:pt>
                <c:pt idx="386">
                  <c:v>543</c:v>
                </c:pt>
                <c:pt idx="387">
                  <c:v>543.5</c:v>
                </c:pt>
                <c:pt idx="388">
                  <c:v>544</c:v>
                </c:pt>
                <c:pt idx="389">
                  <c:v>544.5</c:v>
                </c:pt>
                <c:pt idx="390">
                  <c:v>545</c:v>
                </c:pt>
                <c:pt idx="391">
                  <c:v>545.5</c:v>
                </c:pt>
                <c:pt idx="392">
                  <c:v>546</c:v>
                </c:pt>
                <c:pt idx="393">
                  <c:v>546.5</c:v>
                </c:pt>
                <c:pt idx="394">
                  <c:v>547</c:v>
                </c:pt>
                <c:pt idx="395">
                  <c:v>547.5</c:v>
                </c:pt>
                <c:pt idx="396">
                  <c:v>548</c:v>
                </c:pt>
                <c:pt idx="397">
                  <c:v>548.5</c:v>
                </c:pt>
                <c:pt idx="398">
                  <c:v>549</c:v>
                </c:pt>
                <c:pt idx="399">
                  <c:v>549.5</c:v>
                </c:pt>
                <c:pt idx="400">
                  <c:v>550</c:v>
                </c:pt>
                <c:pt idx="401">
                  <c:v>550.5</c:v>
                </c:pt>
                <c:pt idx="402">
                  <c:v>551</c:v>
                </c:pt>
                <c:pt idx="403">
                  <c:v>551.5</c:v>
                </c:pt>
                <c:pt idx="404">
                  <c:v>552</c:v>
                </c:pt>
                <c:pt idx="405">
                  <c:v>552.5</c:v>
                </c:pt>
                <c:pt idx="406">
                  <c:v>553</c:v>
                </c:pt>
                <c:pt idx="407">
                  <c:v>553.5</c:v>
                </c:pt>
                <c:pt idx="408">
                  <c:v>554</c:v>
                </c:pt>
                <c:pt idx="409">
                  <c:v>554.5</c:v>
                </c:pt>
                <c:pt idx="410">
                  <c:v>555</c:v>
                </c:pt>
                <c:pt idx="411">
                  <c:v>555.5</c:v>
                </c:pt>
                <c:pt idx="412">
                  <c:v>556</c:v>
                </c:pt>
                <c:pt idx="413">
                  <c:v>556.5</c:v>
                </c:pt>
                <c:pt idx="414">
                  <c:v>557</c:v>
                </c:pt>
                <c:pt idx="415">
                  <c:v>557.5</c:v>
                </c:pt>
                <c:pt idx="416">
                  <c:v>558</c:v>
                </c:pt>
                <c:pt idx="417">
                  <c:v>558.5</c:v>
                </c:pt>
                <c:pt idx="418">
                  <c:v>559</c:v>
                </c:pt>
                <c:pt idx="419">
                  <c:v>559.5</c:v>
                </c:pt>
                <c:pt idx="420">
                  <c:v>560</c:v>
                </c:pt>
                <c:pt idx="421">
                  <c:v>560.5</c:v>
                </c:pt>
                <c:pt idx="422">
                  <c:v>561</c:v>
                </c:pt>
                <c:pt idx="423">
                  <c:v>561.5</c:v>
                </c:pt>
                <c:pt idx="424">
                  <c:v>562</c:v>
                </c:pt>
                <c:pt idx="425">
                  <c:v>562.5</c:v>
                </c:pt>
                <c:pt idx="426">
                  <c:v>563</c:v>
                </c:pt>
                <c:pt idx="427">
                  <c:v>563.5</c:v>
                </c:pt>
                <c:pt idx="428">
                  <c:v>564</c:v>
                </c:pt>
                <c:pt idx="429">
                  <c:v>564.5</c:v>
                </c:pt>
                <c:pt idx="430">
                  <c:v>565</c:v>
                </c:pt>
                <c:pt idx="431">
                  <c:v>565.5</c:v>
                </c:pt>
                <c:pt idx="432">
                  <c:v>566</c:v>
                </c:pt>
                <c:pt idx="433">
                  <c:v>566.5</c:v>
                </c:pt>
                <c:pt idx="434">
                  <c:v>567</c:v>
                </c:pt>
                <c:pt idx="435">
                  <c:v>567.5</c:v>
                </c:pt>
                <c:pt idx="436">
                  <c:v>568</c:v>
                </c:pt>
                <c:pt idx="437">
                  <c:v>568.5</c:v>
                </c:pt>
                <c:pt idx="438">
                  <c:v>569</c:v>
                </c:pt>
                <c:pt idx="439">
                  <c:v>569.5</c:v>
                </c:pt>
                <c:pt idx="440">
                  <c:v>570</c:v>
                </c:pt>
                <c:pt idx="441">
                  <c:v>570.5</c:v>
                </c:pt>
                <c:pt idx="442">
                  <c:v>571</c:v>
                </c:pt>
                <c:pt idx="443">
                  <c:v>571.5</c:v>
                </c:pt>
                <c:pt idx="444">
                  <c:v>572</c:v>
                </c:pt>
                <c:pt idx="445">
                  <c:v>572.5</c:v>
                </c:pt>
                <c:pt idx="446">
                  <c:v>573</c:v>
                </c:pt>
                <c:pt idx="447">
                  <c:v>573.5</c:v>
                </c:pt>
                <c:pt idx="448">
                  <c:v>574</c:v>
                </c:pt>
                <c:pt idx="449">
                  <c:v>574.5</c:v>
                </c:pt>
                <c:pt idx="450">
                  <c:v>575</c:v>
                </c:pt>
                <c:pt idx="451">
                  <c:v>575.5</c:v>
                </c:pt>
                <c:pt idx="452">
                  <c:v>576</c:v>
                </c:pt>
                <c:pt idx="453">
                  <c:v>576.5</c:v>
                </c:pt>
                <c:pt idx="454">
                  <c:v>577</c:v>
                </c:pt>
                <c:pt idx="455">
                  <c:v>577.5</c:v>
                </c:pt>
                <c:pt idx="456">
                  <c:v>578</c:v>
                </c:pt>
                <c:pt idx="457">
                  <c:v>578.5</c:v>
                </c:pt>
                <c:pt idx="458">
                  <c:v>579</c:v>
                </c:pt>
                <c:pt idx="459">
                  <c:v>579.5</c:v>
                </c:pt>
                <c:pt idx="460">
                  <c:v>580</c:v>
                </c:pt>
                <c:pt idx="461">
                  <c:v>580.5</c:v>
                </c:pt>
                <c:pt idx="462">
                  <c:v>581</c:v>
                </c:pt>
                <c:pt idx="463">
                  <c:v>581.5</c:v>
                </c:pt>
                <c:pt idx="464">
                  <c:v>582</c:v>
                </c:pt>
                <c:pt idx="465">
                  <c:v>582.5</c:v>
                </c:pt>
                <c:pt idx="466">
                  <c:v>583</c:v>
                </c:pt>
                <c:pt idx="467">
                  <c:v>583.5</c:v>
                </c:pt>
                <c:pt idx="468">
                  <c:v>584</c:v>
                </c:pt>
                <c:pt idx="469">
                  <c:v>584.5</c:v>
                </c:pt>
                <c:pt idx="470">
                  <c:v>585</c:v>
                </c:pt>
                <c:pt idx="471">
                  <c:v>585.5</c:v>
                </c:pt>
                <c:pt idx="472">
                  <c:v>586</c:v>
                </c:pt>
                <c:pt idx="473">
                  <c:v>586.5</c:v>
                </c:pt>
                <c:pt idx="474">
                  <c:v>587</c:v>
                </c:pt>
                <c:pt idx="475">
                  <c:v>587.5</c:v>
                </c:pt>
                <c:pt idx="476">
                  <c:v>588</c:v>
                </c:pt>
                <c:pt idx="477">
                  <c:v>588.5</c:v>
                </c:pt>
                <c:pt idx="478">
                  <c:v>589</c:v>
                </c:pt>
                <c:pt idx="479">
                  <c:v>589.5</c:v>
                </c:pt>
                <c:pt idx="480">
                  <c:v>590</c:v>
                </c:pt>
                <c:pt idx="481">
                  <c:v>590.5</c:v>
                </c:pt>
                <c:pt idx="482">
                  <c:v>591</c:v>
                </c:pt>
                <c:pt idx="483">
                  <c:v>591.5</c:v>
                </c:pt>
                <c:pt idx="484">
                  <c:v>592</c:v>
                </c:pt>
                <c:pt idx="485">
                  <c:v>592.5</c:v>
                </c:pt>
                <c:pt idx="486">
                  <c:v>593</c:v>
                </c:pt>
                <c:pt idx="487">
                  <c:v>593.5</c:v>
                </c:pt>
                <c:pt idx="488">
                  <c:v>594</c:v>
                </c:pt>
                <c:pt idx="489">
                  <c:v>594.5</c:v>
                </c:pt>
                <c:pt idx="490">
                  <c:v>595</c:v>
                </c:pt>
                <c:pt idx="491">
                  <c:v>595.5</c:v>
                </c:pt>
                <c:pt idx="492">
                  <c:v>596</c:v>
                </c:pt>
                <c:pt idx="493">
                  <c:v>596.5</c:v>
                </c:pt>
                <c:pt idx="494">
                  <c:v>597</c:v>
                </c:pt>
                <c:pt idx="495">
                  <c:v>597.5</c:v>
                </c:pt>
                <c:pt idx="496">
                  <c:v>598</c:v>
                </c:pt>
                <c:pt idx="497">
                  <c:v>598.5</c:v>
                </c:pt>
                <c:pt idx="498">
                  <c:v>599</c:v>
                </c:pt>
                <c:pt idx="499">
                  <c:v>599.5</c:v>
                </c:pt>
                <c:pt idx="500">
                  <c:v>600</c:v>
                </c:pt>
                <c:pt idx="501">
                  <c:v>600.5</c:v>
                </c:pt>
                <c:pt idx="502">
                  <c:v>601</c:v>
                </c:pt>
                <c:pt idx="503">
                  <c:v>601.5</c:v>
                </c:pt>
                <c:pt idx="504">
                  <c:v>602</c:v>
                </c:pt>
                <c:pt idx="505">
                  <c:v>602.5</c:v>
                </c:pt>
                <c:pt idx="506">
                  <c:v>603</c:v>
                </c:pt>
                <c:pt idx="507">
                  <c:v>603.5</c:v>
                </c:pt>
                <c:pt idx="508">
                  <c:v>604</c:v>
                </c:pt>
                <c:pt idx="509">
                  <c:v>604.5</c:v>
                </c:pt>
                <c:pt idx="510">
                  <c:v>605</c:v>
                </c:pt>
                <c:pt idx="511">
                  <c:v>605.5</c:v>
                </c:pt>
                <c:pt idx="512">
                  <c:v>606</c:v>
                </c:pt>
                <c:pt idx="513">
                  <c:v>606.5</c:v>
                </c:pt>
                <c:pt idx="514">
                  <c:v>607</c:v>
                </c:pt>
                <c:pt idx="515">
                  <c:v>607.5</c:v>
                </c:pt>
                <c:pt idx="516">
                  <c:v>608</c:v>
                </c:pt>
                <c:pt idx="517">
                  <c:v>608.5</c:v>
                </c:pt>
                <c:pt idx="518">
                  <c:v>609</c:v>
                </c:pt>
                <c:pt idx="519">
                  <c:v>609.5</c:v>
                </c:pt>
                <c:pt idx="520">
                  <c:v>610</c:v>
                </c:pt>
                <c:pt idx="521">
                  <c:v>610.5</c:v>
                </c:pt>
                <c:pt idx="522">
                  <c:v>611</c:v>
                </c:pt>
                <c:pt idx="523">
                  <c:v>611.5</c:v>
                </c:pt>
                <c:pt idx="524">
                  <c:v>612</c:v>
                </c:pt>
                <c:pt idx="525">
                  <c:v>612.5</c:v>
                </c:pt>
                <c:pt idx="526">
                  <c:v>613</c:v>
                </c:pt>
                <c:pt idx="527">
                  <c:v>613.5</c:v>
                </c:pt>
                <c:pt idx="528">
                  <c:v>614</c:v>
                </c:pt>
                <c:pt idx="529">
                  <c:v>614.5</c:v>
                </c:pt>
                <c:pt idx="530">
                  <c:v>615</c:v>
                </c:pt>
                <c:pt idx="531">
                  <c:v>615.5</c:v>
                </c:pt>
                <c:pt idx="532">
                  <c:v>616</c:v>
                </c:pt>
                <c:pt idx="533">
                  <c:v>616.5</c:v>
                </c:pt>
                <c:pt idx="534">
                  <c:v>617</c:v>
                </c:pt>
                <c:pt idx="535">
                  <c:v>617.5</c:v>
                </c:pt>
                <c:pt idx="536">
                  <c:v>618</c:v>
                </c:pt>
                <c:pt idx="537">
                  <c:v>618.5</c:v>
                </c:pt>
                <c:pt idx="538">
                  <c:v>619</c:v>
                </c:pt>
                <c:pt idx="539">
                  <c:v>619.5</c:v>
                </c:pt>
                <c:pt idx="540">
                  <c:v>620</c:v>
                </c:pt>
                <c:pt idx="541">
                  <c:v>620.5</c:v>
                </c:pt>
                <c:pt idx="542">
                  <c:v>621</c:v>
                </c:pt>
                <c:pt idx="543">
                  <c:v>621.5</c:v>
                </c:pt>
                <c:pt idx="544">
                  <c:v>622</c:v>
                </c:pt>
                <c:pt idx="545">
                  <c:v>622.5</c:v>
                </c:pt>
                <c:pt idx="546">
                  <c:v>623</c:v>
                </c:pt>
                <c:pt idx="547">
                  <c:v>623.5</c:v>
                </c:pt>
                <c:pt idx="548">
                  <c:v>624</c:v>
                </c:pt>
                <c:pt idx="549">
                  <c:v>624.5</c:v>
                </c:pt>
                <c:pt idx="550">
                  <c:v>625</c:v>
                </c:pt>
                <c:pt idx="551">
                  <c:v>625.5</c:v>
                </c:pt>
                <c:pt idx="552">
                  <c:v>626</c:v>
                </c:pt>
                <c:pt idx="553">
                  <c:v>626.5</c:v>
                </c:pt>
                <c:pt idx="554">
                  <c:v>627</c:v>
                </c:pt>
                <c:pt idx="555">
                  <c:v>627.5</c:v>
                </c:pt>
                <c:pt idx="556">
                  <c:v>628</c:v>
                </c:pt>
                <c:pt idx="557">
                  <c:v>628.5</c:v>
                </c:pt>
                <c:pt idx="558">
                  <c:v>629</c:v>
                </c:pt>
                <c:pt idx="559">
                  <c:v>629.5</c:v>
                </c:pt>
                <c:pt idx="560">
                  <c:v>630</c:v>
                </c:pt>
                <c:pt idx="561">
                  <c:v>630.5</c:v>
                </c:pt>
                <c:pt idx="562">
                  <c:v>631</c:v>
                </c:pt>
                <c:pt idx="563">
                  <c:v>631.5</c:v>
                </c:pt>
                <c:pt idx="564">
                  <c:v>632</c:v>
                </c:pt>
                <c:pt idx="565">
                  <c:v>632.5</c:v>
                </c:pt>
                <c:pt idx="566">
                  <c:v>633</c:v>
                </c:pt>
                <c:pt idx="567">
                  <c:v>633.5</c:v>
                </c:pt>
                <c:pt idx="568">
                  <c:v>634</c:v>
                </c:pt>
                <c:pt idx="569">
                  <c:v>634.5</c:v>
                </c:pt>
                <c:pt idx="570">
                  <c:v>635</c:v>
                </c:pt>
                <c:pt idx="571">
                  <c:v>635.5</c:v>
                </c:pt>
                <c:pt idx="572">
                  <c:v>636</c:v>
                </c:pt>
                <c:pt idx="573">
                  <c:v>636.5</c:v>
                </c:pt>
                <c:pt idx="574">
                  <c:v>637</c:v>
                </c:pt>
                <c:pt idx="575">
                  <c:v>637.5</c:v>
                </c:pt>
                <c:pt idx="576">
                  <c:v>638</c:v>
                </c:pt>
                <c:pt idx="577">
                  <c:v>638.5</c:v>
                </c:pt>
                <c:pt idx="578">
                  <c:v>639</c:v>
                </c:pt>
                <c:pt idx="579">
                  <c:v>639.5</c:v>
                </c:pt>
                <c:pt idx="580">
                  <c:v>640</c:v>
                </c:pt>
                <c:pt idx="581">
                  <c:v>640.5</c:v>
                </c:pt>
                <c:pt idx="582">
                  <c:v>641</c:v>
                </c:pt>
                <c:pt idx="583">
                  <c:v>641.5</c:v>
                </c:pt>
                <c:pt idx="584">
                  <c:v>642</c:v>
                </c:pt>
                <c:pt idx="585">
                  <c:v>642.5</c:v>
                </c:pt>
                <c:pt idx="586">
                  <c:v>643</c:v>
                </c:pt>
                <c:pt idx="587">
                  <c:v>643.5</c:v>
                </c:pt>
                <c:pt idx="588">
                  <c:v>644</c:v>
                </c:pt>
                <c:pt idx="589">
                  <c:v>644.5</c:v>
                </c:pt>
                <c:pt idx="590">
                  <c:v>645</c:v>
                </c:pt>
                <c:pt idx="591">
                  <c:v>645.5</c:v>
                </c:pt>
                <c:pt idx="592">
                  <c:v>646</c:v>
                </c:pt>
                <c:pt idx="593">
                  <c:v>646.5</c:v>
                </c:pt>
                <c:pt idx="594">
                  <c:v>647</c:v>
                </c:pt>
                <c:pt idx="595">
                  <c:v>647.5</c:v>
                </c:pt>
                <c:pt idx="596">
                  <c:v>648</c:v>
                </c:pt>
                <c:pt idx="597">
                  <c:v>648.5</c:v>
                </c:pt>
                <c:pt idx="598">
                  <c:v>649</c:v>
                </c:pt>
                <c:pt idx="599">
                  <c:v>649.5</c:v>
                </c:pt>
                <c:pt idx="600">
                  <c:v>650</c:v>
                </c:pt>
                <c:pt idx="601">
                  <c:v>650.5</c:v>
                </c:pt>
                <c:pt idx="602">
                  <c:v>651</c:v>
                </c:pt>
                <c:pt idx="603">
                  <c:v>651.5</c:v>
                </c:pt>
                <c:pt idx="604">
                  <c:v>652</c:v>
                </c:pt>
                <c:pt idx="605">
                  <c:v>652.5</c:v>
                </c:pt>
                <c:pt idx="606">
                  <c:v>653</c:v>
                </c:pt>
                <c:pt idx="607">
                  <c:v>653.5</c:v>
                </c:pt>
                <c:pt idx="608">
                  <c:v>654</c:v>
                </c:pt>
                <c:pt idx="609">
                  <c:v>654.5</c:v>
                </c:pt>
                <c:pt idx="610">
                  <c:v>655</c:v>
                </c:pt>
                <c:pt idx="611">
                  <c:v>655.5</c:v>
                </c:pt>
                <c:pt idx="612">
                  <c:v>656</c:v>
                </c:pt>
                <c:pt idx="613">
                  <c:v>656.5</c:v>
                </c:pt>
                <c:pt idx="614">
                  <c:v>657</c:v>
                </c:pt>
                <c:pt idx="615">
                  <c:v>657.5</c:v>
                </c:pt>
                <c:pt idx="616">
                  <c:v>658</c:v>
                </c:pt>
                <c:pt idx="617">
                  <c:v>658.5</c:v>
                </c:pt>
                <c:pt idx="618">
                  <c:v>659</c:v>
                </c:pt>
                <c:pt idx="619">
                  <c:v>659.5</c:v>
                </c:pt>
                <c:pt idx="620">
                  <c:v>660</c:v>
                </c:pt>
                <c:pt idx="621">
                  <c:v>660.5</c:v>
                </c:pt>
                <c:pt idx="622">
                  <c:v>661</c:v>
                </c:pt>
                <c:pt idx="623">
                  <c:v>661.5</c:v>
                </c:pt>
                <c:pt idx="624">
                  <c:v>662</c:v>
                </c:pt>
                <c:pt idx="625">
                  <c:v>662.5</c:v>
                </c:pt>
                <c:pt idx="626">
                  <c:v>663</c:v>
                </c:pt>
                <c:pt idx="627">
                  <c:v>663.5</c:v>
                </c:pt>
                <c:pt idx="628">
                  <c:v>664</c:v>
                </c:pt>
                <c:pt idx="629">
                  <c:v>664.5</c:v>
                </c:pt>
                <c:pt idx="630">
                  <c:v>665</c:v>
                </c:pt>
                <c:pt idx="631">
                  <c:v>665.5</c:v>
                </c:pt>
                <c:pt idx="632">
                  <c:v>666</c:v>
                </c:pt>
                <c:pt idx="633">
                  <c:v>666.5</c:v>
                </c:pt>
                <c:pt idx="634">
                  <c:v>667</c:v>
                </c:pt>
                <c:pt idx="635">
                  <c:v>667.5</c:v>
                </c:pt>
                <c:pt idx="636">
                  <c:v>668</c:v>
                </c:pt>
                <c:pt idx="637">
                  <c:v>668.5</c:v>
                </c:pt>
                <c:pt idx="638">
                  <c:v>669</c:v>
                </c:pt>
                <c:pt idx="639">
                  <c:v>669.5</c:v>
                </c:pt>
                <c:pt idx="640">
                  <c:v>670</c:v>
                </c:pt>
                <c:pt idx="641">
                  <c:v>670.5</c:v>
                </c:pt>
                <c:pt idx="642">
                  <c:v>671</c:v>
                </c:pt>
                <c:pt idx="643">
                  <c:v>671.5</c:v>
                </c:pt>
                <c:pt idx="644">
                  <c:v>672</c:v>
                </c:pt>
                <c:pt idx="645">
                  <c:v>672.5</c:v>
                </c:pt>
                <c:pt idx="646">
                  <c:v>673</c:v>
                </c:pt>
                <c:pt idx="647">
                  <c:v>673.5</c:v>
                </c:pt>
                <c:pt idx="648">
                  <c:v>674</c:v>
                </c:pt>
                <c:pt idx="649">
                  <c:v>674.5</c:v>
                </c:pt>
                <c:pt idx="650">
                  <c:v>675</c:v>
                </c:pt>
                <c:pt idx="651">
                  <c:v>675.5</c:v>
                </c:pt>
                <c:pt idx="652">
                  <c:v>676</c:v>
                </c:pt>
                <c:pt idx="653">
                  <c:v>676.5</c:v>
                </c:pt>
                <c:pt idx="654">
                  <c:v>677</c:v>
                </c:pt>
                <c:pt idx="655">
                  <c:v>677.5</c:v>
                </c:pt>
                <c:pt idx="656">
                  <c:v>678</c:v>
                </c:pt>
                <c:pt idx="657">
                  <c:v>678.5</c:v>
                </c:pt>
                <c:pt idx="658">
                  <c:v>679</c:v>
                </c:pt>
                <c:pt idx="659">
                  <c:v>679.5</c:v>
                </c:pt>
                <c:pt idx="660">
                  <c:v>680</c:v>
                </c:pt>
                <c:pt idx="661">
                  <c:v>680.5</c:v>
                </c:pt>
                <c:pt idx="662">
                  <c:v>681</c:v>
                </c:pt>
                <c:pt idx="663">
                  <c:v>681.5</c:v>
                </c:pt>
                <c:pt idx="664">
                  <c:v>682</c:v>
                </c:pt>
                <c:pt idx="665">
                  <c:v>682.5</c:v>
                </c:pt>
                <c:pt idx="666">
                  <c:v>683</c:v>
                </c:pt>
                <c:pt idx="667">
                  <c:v>683.5</c:v>
                </c:pt>
                <c:pt idx="668">
                  <c:v>684</c:v>
                </c:pt>
                <c:pt idx="669">
                  <c:v>684.5</c:v>
                </c:pt>
                <c:pt idx="670">
                  <c:v>685</c:v>
                </c:pt>
                <c:pt idx="671">
                  <c:v>685.5</c:v>
                </c:pt>
                <c:pt idx="672">
                  <c:v>686</c:v>
                </c:pt>
                <c:pt idx="673">
                  <c:v>686.5</c:v>
                </c:pt>
                <c:pt idx="674">
                  <c:v>687</c:v>
                </c:pt>
                <c:pt idx="675">
                  <c:v>687.5</c:v>
                </c:pt>
                <c:pt idx="676">
                  <c:v>688</c:v>
                </c:pt>
                <c:pt idx="677">
                  <c:v>688.5</c:v>
                </c:pt>
                <c:pt idx="678">
                  <c:v>689</c:v>
                </c:pt>
                <c:pt idx="679">
                  <c:v>689.5</c:v>
                </c:pt>
                <c:pt idx="680">
                  <c:v>690</c:v>
                </c:pt>
                <c:pt idx="681">
                  <c:v>690.5</c:v>
                </c:pt>
                <c:pt idx="682">
                  <c:v>691</c:v>
                </c:pt>
                <c:pt idx="683">
                  <c:v>691.5</c:v>
                </c:pt>
                <c:pt idx="684">
                  <c:v>692</c:v>
                </c:pt>
                <c:pt idx="685">
                  <c:v>692.5</c:v>
                </c:pt>
                <c:pt idx="686">
                  <c:v>693</c:v>
                </c:pt>
                <c:pt idx="687">
                  <c:v>693.5</c:v>
                </c:pt>
                <c:pt idx="688">
                  <c:v>694</c:v>
                </c:pt>
                <c:pt idx="689">
                  <c:v>694.5</c:v>
                </c:pt>
                <c:pt idx="690">
                  <c:v>695</c:v>
                </c:pt>
                <c:pt idx="691">
                  <c:v>695.5</c:v>
                </c:pt>
                <c:pt idx="692">
                  <c:v>696</c:v>
                </c:pt>
                <c:pt idx="693">
                  <c:v>696.5</c:v>
                </c:pt>
                <c:pt idx="694">
                  <c:v>697</c:v>
                </c:pt>
                <c:pt idx="695">
                  <c:v>697.5</c:v>
                </c:pt>
                <c:pt idx="696">
                  <c:v>698</c:v>
                </c:pt>
                <c:pt idx="697">
                  <c:v>698.5</c:v>
                </c:pt>
                <c:pt idx="698">
                  <c:v>699</c:v>
                </c:pt>
                <c:pt idx="699">
                  <c:v>699.5</c:v>
                </c:pt>
                <c:pt idx="700">
                  <c:v>700</c:v>
                </c:pt>
                <c:pt idx="701">
                  <c:v>700.5</c:v>
                </c:pt>
                <c:pt idx="702">
                  <c:v>701</c:v>
                </c:pt>
                <c:pt idx="703">
                  <c:v>701.5</c:v>
                </c:pt>
                <c:pt idx="704">
                  <c:v>702</c:v>
                </c:pt>
                <c:pt idx="705">
                  <c:v>702.5</c:v>
                </c:pt>
                <c:pt idx="706">
                  <c:v>703</c:v>
                </c:pt>
                <c:pt idx="707">
                  <c:v>703.5</c:v>
                </c:pt>
                <c:pt idx="708">
                  <c:v>704</c:v>
                </c:pt>
                <c:pt idx="709">
                  <c:v>704.5</c:v>
                </c:pt>
                <c:pt idx="710">
                  <c:v>705</c:v>
                </c:pt>
                <c:pt idx="711">
                  <c:v>705.5</c:v>
                </c:pt>
                <c:pt idx="712">
                  <c:v>706</c:v>
                </c:pt>
                <c:pt idx="713">
                  <c:v>706.5</c:v>
                </c:pt>
                <c:pt idx="714">
                  <c:v>707</c:v>
                </c:pt>
                <c:pt idx="715">
                  <c:v>707.5</c:v>
                </c:pt>
                <c:pt idx="716">
                  <c:v>708</c:v>
                </c:pt>
                <c:pt idx="717">
                  <c:v>708.5</c:v>
                </c:pt>
                <c:pt idx="718">
                  <c:v>709</c:v>
                </c:pt>
                <c:pt idx="719">
                  <c:v>709.5</c:v>
                </c:pt>
                <c:pt idx="720">
                  <c:v>710</c:v>
                </c:pt>
                <c:pt idx="721">
                  <c:v>710.5</c:v>
                </c:pt>
                <c:pt idx="722">
                  <c:v>711</c:v>
                </c:pt>
                <c:pt idx="723">
                  <c:v>711.5</c:v>
                </c:pt>
                <c:pt idx="724">
                  <c:v>712</c:v>
                </c:pt>
                <c:pt idx="725">
                  <c:v>712.5</c:v>
                </c:pt>
                <c:pt idx="726">
                  <c:v>713</c:v>
                </c:pt>
                <c:pt idx="727">
                  <c:v>713.5</c:v>
                </c:pt>
                <c:pt idx="728">
                  <c:v>714</c:v>
                </c:pt>
                <c:pt idx="729">
                  <c:v>714.5</c:v>
                </c:pt>
                <c:pt idx="730">
                  <c:v>715</c:v>
                </c:pt>
                <c:pt idx="731">
                  <c:v>715.5</c:v>
                </c:pt>
                <c:pt idx="732">
                  <c:v>716</c:v>
                </c:pt>
                <c:pt idx="733">
                  <c:v>716.5</c:v>
                </c:pt>
                <c:pt idx="734">
                  <c:v>717</c:v>
                </c:pt>
                <c:pt idx="735">
                  <c:v>717.5</c:v>
                </c:pt>
                <c:pt idx="736">
                  <c:v>718</c:v>
                </c:pt>
                <c:pt idx="737">
                  <c:v>718.5</c:v>
                </c:pt>
                <c:pt idx="738">
                  <c:v>719</c:v>
                </c:pt>
                <c:pt idx="739">
                  <c:v>719.5</c:v>
                </c:pt>
                <c:pt idx="740">
                  <c:v>720</c:v>
                </c:pt>
                <c:pt idx="741">
                  <c:v>720.5</c:v>
                </c:pt>
                <c:pt idx="742">
                  <c:v>721</c:v>
                </c:pt>
                <c:pt idx="743">
                  <c:v>721.5</c:v>
                </c:pt>
                <c:pt idx="744">
                  <c:v>722</c:v>
                </c:pt>
                <c:pt idx="745">
                  <c:v>722.5</c:v>
                </c:pt>
                <c:pt idx="746">
                  <c:v>723</c:v>
                </c:pt>
                <c:pt idx="747">
                  <c:v>723.5</c:v>
                </c:pt>
                <c:pt idx="748">
                  <c:v>724</c:v>
                </c:pt>
                <c:pt idx="749">
                  <c:v>724.5</c:v>
                </c:pt>
                <c:pt idx="750">
                  <c:v>725</c:v>
                </c:pt>
                <c:pt idx="751">
                  <c:v>725.5</c:v>
                </c:pt>
                <c:pt idx="752">
                  <c:v>726</c:v>
                </c:pt>
                <c:pt idx="753">
                  <c:v>726.5</c:v>
                </c:pt>
                <c:pt idx="754">
                  <c:v>727</c:v>
                </c:pt>
                <c:pt idx="755">
                  <c:v>727.5</c:v>
                </c:pt>
                <c:pt idx="756">
                  <c:v>728</c:v>
                </c:pt>
                <c:pt idx="757">
                  <c:v>728.5</c:v>
                </c:pt>
                <c:pt idx="758">
                  <c:v>729</c:v>
                </c:pt>
                <c:pt idx="759">
                  <c:v>729.5</c:v>
                </c:pt>
                <c:pt idx="760">
                  <c:v>730</c:v>
                </c:pt>
                <c:pt idx="761">
                  <c:v>730.5</c:v>
                </c:pt>
                <c:pt idx="762">
                  <c:v>731</c:v>
                </c:pt>
                <c:pt idx="763">
                  <c:v>731.5</c:v>
                </c:pt>
                <c:pt idx="764">
                  <c:v>732</c:v>
                </c:pt>
                <c:pt idx="765">
                  <c:v>732.5</c:v>
                </c:pt>
                <c:pt idx="766">
                  <c:v>733</c:v>
                </c:pt>
                <c:pt idx="767">
                  <c:v>733.5</c:v>
                </c:pt>
                <c:pt idx="768">
                  <c:v>734</c:v>
                </c:pt>
                <c:pt idx="769">
                  <c:v>734.5</c:v>
                </c:pt>
                <c:pt idx="770">
                  <c:v>735</c:v>
                </c:pt>
                <c:pt idx="771">
                  <c:v>735.5</c:v>
                </c:pt>
                <c:pt idx="772">
                  <c:v>736</c:v>
                </c:pt>
                <c:pt idx="773">
                  <c:v>736.5</c:v>
                </c:pt>
                <c:pt idx="774">
                  <c:v>737</c:v>
                </c:pt>
                <c:pt idx="775">
                  <c:v>737.5</c:v>
                </c:pt>
                <c:pt idx="776">
                  <c:v>738</c:v>
                </c:pt>
                <c:pt idx="777">
                  <c:v>738.5</c:v>
                </c:pt>
                <c:pt idx="778">
                  <c:v>739</c:v>
                </c:pt>
                <c:pt idx="779">
                  <c:v>739.5</c:v>
                </c:pt>
                <c:pt idx="780">
                  <c:v>740</c:v>
                </c:pt>
                <c:pt idx="781">
                  <c:v>740.5</c:v>
                </c:pt>
                <c:pt idx="782">
                  <c:v>741</c:v>
                </c:pt>
                <c:pt idx="783">
                  <c:v>741.5</c:v>
                </c:pt>
                <c:pt idx="784">
                  <c:v>742</c:v>
                </c:pt>
                <c:pt idx="785">
                  <c:v>742.5</c:v>
                </c:pt>
                <c:pt idx="786">
                  <c:v>743</c:v>
                </c:pt>
                <c:pt idx="787">
                  <c:v>743.5</c:v>
                </c:pt>
                <c:pt idx="788">
                  <c:v>744</c:v>
                </c:pt>
                <c:pt idx="789">
                  <c:v>744.5</c:v>
                </c:pt>
                <c:pt idx="790">
                  <c:v>745</c:v>
                </c:pt>
                <c:pt idx="791">
                  <c:v>745.5</c:v>
                </c:pt>
                <c:pt idx="792">
                  <c:v>746</c:v>
                </c:pt>
                <c:pt idx="793">
                  <c:v>746.5</c:v>
                </c:pt>
                <c:pt idx="794">
                  <c:v>747</c:v>
                </c:pt>
                <c:pt idx="795">
                  <c:v>747.5</c:v>
                </c:pt>
                <c:pt idx="796">
                  <c:v>748</c:v>
                </c:pt>
                <c:pt idx="797">
                  <c:v>748.5</c:v>
                </c:pt>
                <c:pt idx="798">
                  <c:v>749</c:v>
                </c:pt>
                <c:pt idx="799">
                  <c:v>749.5</c:v>
                </c:pt>
                <c:pt idx="800">
                  <c:v>750</c:v>
                </c:pt>
                <c:pt idx="801">
                  <c:v>750.5</c:v>
                </c:pt>
                <c:pt idx="802">
                  <c:v>751</c:v>
                </c:pt>
                <c:pt idx="803">
                  <c:v>751.5</c:v>
                </c:pt>
                <c:pt idx="804">
                  <c:v>752</c:v>
                </c:pt>
                <c:pt idx="805">
                  <c:v>752.5</c:v>
                </c:pt>
                <c:pt idx="806">
                  <c:v>753</c:v>
                </c:pt>
                <c:pt idx="807">
                  <c:v>753.5</c:v>
                </c:pt>
                <c:pt idx="808">
                  <c:v>754</c:v>
                </c:pt>
                <c:pt idx="809">
                  <c:v>754.5</c:v>
                </c:pt>
                <c:pt idx="810">
                  <c:v>755</c:v>
                </c:pt>
                <c:pt idx="811">
                  <c:v>755.5</c:v>
                </c:pt>
                <c:pt idx="812">
                  <c:v>756</c:v>
                </c:pt>
                <c:pt idx="813">
                  <c:v>756.5</c:v>
                </c:pt>
                <c:pt idx="814">
                  <c:v>757</c:v>
                </c:pt>
                <c:pt idx="815">
                  <c:v>757.5</c:v>
                </c:pt>
                <c:pt idx="816">
                  <c:v>758</c:v>
                </c:pt>
                <c:pt idx="817">
                  <c:v>758.5</c:v>
                </c:pt>
                <c:pt idx="818">
                  <c:v>759</c:v>
                </c:pt>
                <c:pt idx="819">
                  <c:v>759.5</c:v>
                </c:pt>
                <c:pt idx="820">
                  <c:v>760</c:v>
                </c:pt>
                <c:pt idx="821">
                  <c:v>760.5</c:v>
                </c:pt>
                <c:pt idx="822">
                  <c:v>761</c:v>
                </c:pt>
                <c:pt idx="823">
                  <c:v>761.5</c:v>
                </c:pt>
                <c:pt idx="824">
                  <c:v>762</c:v>
                </c:pt>
                <c:pt idx="825">
                  <c:v>762.5</c:v>
                </c:pt>
                <c:pt idx="826">
                  <c:v>763</c:v>
                </c:pt>
                <c:pt idx="827">
                  <c:v>763.5</c:v>
                </c:pt>
                <c:pt idx="828">
                  <c:v>764</c:v>
                </c:pt>
                <c:pt idx="829">
                  <c:v>764.5</c:v>
                </c:pt>
                <c:pt idx="830">
                  <c:v>765</c:v>
                </c:pt>
                <c:pt idx="831">
                  <c:v>765.5</c:v>
                </c:pt>
                <c:pt idx="832">
                  <c:v>766</c:v>
                </c:pt>
                <c:pt idx="833">
                  <c:v>766.5</c:v>
                </c:pt>
                <c:pt idx="834">
                  <c:v>767</c:v>
                </c:pt>
                <c:pt idx="835">
                  <c:v>767.5</c:v>
                </c:pt>
                <c:pt idx="836">
                  <c:v>768</c:v>
                </c:pt>
                <c:pt idx="837">
                  <c:v>768.5</c:v>
                </c:pt>
                <c:pt idx="838">
                  <c:v>769</c:v>
                </c:pt>
                <c:pt idx="839">
                  <c:v>769.5</c:v>
                </c:pt>
                <c:pt idx="840">
                  <c:v>770</c:v>
                </c:pt>
                <c:pt idx="841">
                  <c:v>770.5</c:v>
                </c:pt>
                <c:pt idx="842">
                  <c:v>771</c:v>
                </c:pt>
                <c:pt idx="843">
                  <c:v>771.5</c:v>
                </c:pt>
                <c:pt idx="844">
                  <c:v>772</c:v>
                </c:pt>
                <c:pt idx="845">
                  <c:v>772.5</c:v>
                </c:pt>
                <c:pt idx="846">
                  <c:v>773</c:v>
                </c:pt>
                <c:pt idx="847">
                  <c:v>773.5</c:v>
                </c:pt>
                <c:pt idx="848">
                  <c:v>774</c:v>
                </c:pt>
                <c:pt idx="849">
                  <c:v>774.5</c:v>
                </c:pt>
                <c:pt idx="850">
                  <c:v>775</c:v>
                </c:pt>
                <c:pt idx="851">
                  <c:v>775.5</c:v>
                </c:pt>
                <c:pt idx="852">
                  <c:v>776</c:v>
                </c:pt>
                <c:pt idx="853">
                  <c:v>776.5</c:v>
                </c:pt>
                <c:pt idx="854">
                  <c:v>777</c:v>
                </c:pt>
                <c:pt idx="855">
                  <c:v>777.5</c:v>
                </c:pt>
                <c:pt idx="856">
                  <c:v>778</c:v>
                </c:pt>
                <c:pt idx="857">
                  <c:v>778.5</c:v>
                </c:pt>
                <c:pt idx="858">
                  <c:v>779</c:v>
                </c:pt>
                <c:pt idx="859">
                  <c:v>779.5</c:v>
                </c:pt>
                <c:pt idx="860">
                  <c:v>780</c:v>
                </c:pt>
                <c:pt idx="861">
                  <c:v>780.5</c:v>
                </c:pt>
                <c:pt idx="862">
                  <c:v>781</c:v>
                </c:pt>
                <c:pt idx="863">
                  <c:v>781.5</c:v>
                </c:pt>
                <c:pt idx="864">
                  <c:v>782</c:v>
                </c:pt>
                <c:pt idx="865">
                  <c:v>782.5</c:v>
                </c:pt>
                <c:pt idx="866">
                  <c:v>783</c:v>
                </c:pt>
                <c:pt idx="867">
                  <c:v>783.5</c:v>
                </c:pt>
                <c:pt idx="868">
                  <c:v>784</c:v>
                </c:pt>
                <c:pt idx="869">
                  <c:v>784.5</c:v>
                </c:pt>
                <c:pt idx="870">
                  <c:v>785</c:v>
                </c:pt>
                <c:pt idx="871">
                  <c:v>785.5</c:v>
                </c:pt>
                <c:pt idx="872">
                  <c:v>786</c:v>
                </c:pt>
                <c:pt idx="873">
                  <c:v>786.5</c:v>
                </c:pt>
                <c:pt idx="874">
                  <c:v>787</c:v>
                </c:pt>
                <c:pt idx="875">
                  <c:v>787.5</c:v>
                </c:pt>
                <c:pt idx="876">
                  <c:v>788</c:v>
                </c:pt>
                <c:pt idx="877">
                  <c:v>788.5</c:v>
                </c:pt>
                <c:pt idx="878">
                  <c:v>789</c:v>
                </c:pt>
                <c:pt idx="879">
                  <c:v>789.5</c:v>
                </c:pt>
                <c:pt idx="880">
                  <c:v>790</c:v>
                </c:pt>
                <c:pt idx="881">
                  <c:v>790.5</c:v>
                </c:pt>
                <c:pt idx="882">
                  <c:v>791</c:v>
                </c:pt>
                <c:pt idx="883">
                  <c:v>791.5</c:v>
                </c:pt>
                <c:pt idx="884">
                  <c:v>792</c:v>
                </c:pt>
                <c:pt idx="885">
                  <c:v>792.5</c:v>
                </c:pt>
                <c:pt idx="886">
                  <c:v>793</c:v>
                </c:pt>
                <c:pt idx="887">
                  <c:v>793.5</c:v>
                </c:pt>
                <c:pt idx="888">
                  <c:v>794</c:v>
                </c:pt>
                <c:pt idx="889">
                  <c:v>794.5</c:v>
                </c:pt>
                <c:pt idx="890">
                  <c:v>795</c:v>
                </c:pt>
                <c:pt idx="891">
                  <c:v>795.5</c:v>
                </c:pt>
                <c:pt idx="892">
                  <c:v>796</c:v>
                </c:pt>
                <c:pt idx="893">
                  <c:v>796.5</c:v>
                </c:pt>
                <c:pt idx="894">
                  <c:v>797</c:v>
                </c:pt>
                <c:pt idx="895">
                  <c:v>797.5</c:v>
                </c:pt>
                <c:pt idx="896">
                  <c:v>798</c:v>
                </c:pt>
                <c:pt idx="897">
                  <c:v>798.5</c:v>
                </c:pt>
                <c:pt idx="898">
                  <c:v>799</c:v>
                </c:pt>
                <c:pt idx="899">
                  <c:v>799.5</c:v>
                </c:pt>
                <c:pt idx="900">
                  <c:v>800</c:v>
                </c:pt>
                <c:pt idx="901">
                  <c:v>800.5</c:v>
                </c:pt>
                <c:pt idx="902">
                  <c:v>801</c:v>
                </c:pt>
                <c:pt idx="903">
                  <c:v>801.5</c:v>
                </c:pt>
                <c:pt idx="904">
                  <c:v>802</c:v>
                </c:pt>
                <c:pt idx="905">
                  <c:v>802.5</c:v>
                </c:pt>
                <c:pt idx="906">
                  <c:v>803</c:v>
                </c:pt>
                <c:pt idx="907">
                  <c:v>803.5</c:v>
                </c:pt>
                <c:pt idx="908">
                  <c:v>804</c:v>
                </c:pt>
                <c:pt idx="909">
                  <c:v>804.5</c:v>
                </c:pt>
                <c:pt idx="910">
                  <c:v>805</c:v>
                </c:pt>
                <c:pt idx="911">
                  <c:v>805.5</c:v>
                </c:pt>
                <c:pt idx="912">
                  <c:v>806</c:v>
                </c:pt>
                <c:pt idx="913">
                  <c:v>806.5</c:v>
                </c:pt>
                <c:pt idx="914">
                  <c:v>807</c:v>
                </c:pt>
                <c:pt idx="915">
                  <c:v>807.5</c:v>
                </c:pt>
                <c:pt idx="916">
                  <c:v>808</c:v>
                </c:pt>
                <c:pt idx="917">
                  <c:v>808.5</c:v>
                </c:pt>
                <c:pt idx="918">
                  <c:v>809</c:v>
                </c:pt>
                <c:pt idx="919">
                  <c:v>809.5</c:v>
                </c:pt>
                <c:pt idx="920">
                  <c:v>810</c:v>
                </c:pt>
                <c:pt idx="921">
                  <c:v>810.5</c:v>
                </c:pt>
                <c:pt idx="922">
                  <c:v>811</c:v>
                </c:pt>
                <c:pt idx="923">
                  <c:v>811.5</c:v>
                </c:pt>
                <c:pt idx="924">
                  <c:v>812</c:v>
                </c:pt>
                <c:pt idx="925">
                  <c:v>812.5</c:v>
                </c:pt>
                <c:pt idx="926">
                  <c:v>813</c:v>
                </c:pt>
                <c:pt idx="927">
                  <c:v>813.5</c:v>
                </c:pt>
                <c:pt idx="928">
                  <c:v>814</c:v>
                </c:pt>
                <c:pt idx="929">
                  <c:v>814.5</c:v>
                </c:pt>
                <c:pt idx="930">
                  <c:v>815</c:v>
                </c:pt>
                <c:pt idx="931">
                  <c:v>815.5</c:v>
                </c:pt>
                <c:pt idx="932">
                  <c:v>816</c:v>
                </c:pt>
                <c:pt idx="933">
                  <c:v>816.5</c:v>
                </c:pt>
                <c:pt idx="934">
                  <c:v>817</c:v>
                </c:pt>
                <c:pt idx="935">
                  <c:v>817.5</c:v>
                </c:pt>
                <c:pt idx="936">
                  <c:v>818</c:v>
                </c:pt>
                <c:pt idx="937">
                  <c:v>818.5</c:v>
                </c:pt>
                <c:pt idx="938">
                  <c:v>819</c:v>
                </c:pt>
                <c:pt idx="939">
                  <c:v>819.5</c:v>
                </c:pt>
                <c:pt idx="940">
                  <c:v>820</c:v>
                </c:pt>
                <c:pt idx="941">
                  <c:v>820.5</c:v>
                </c:pt>
                <c:pt idx="942">
                  <c:v>821</c:v>
                </c:pt>
                <c:pt idx="943">
                  <c:v>821.5</c:v>
                </c:pt>
                <c:pt idx="944">
                  <c:v>822</c:v>
                </c:pt>
                <c:pt idx="945">
                  <c:v>822.5</c:v>
                </c:pt>
                <c:pt idx="946">
                  <c:v>823</c:v>
                </c:pt>
                <c:pt idx="947">
                  <c:v>823.5</c:v>
                </c:pt>
                <c:pt idx="948">
                  <c:v>824</c:v>
                </c:pt>
                <c:pt idx="949">
                  <c:v>824.5</c:v>
                </c:pt>
                <c:pt idx="950">
                  <c:v>825</c:v>
                </c:pt>
                <c:pt idx="951">
                  <c:v>825.5</c:v>
                </c:pt>
                <c:pt idx="952">
                  <c:v>826</c:v>
                </c:pt>
                <c:pt idx="953">
                  <c:v>826.5</c:v>
                </c:pt>
                <c:pt idx="954">
                  <c:v>827</c:v>
                </c:pt>
                <c:pt idx="955">
                  <c:v>827.5</c:v>
                </c:pt>
                <c:pt idx="956">
                  <c:v>828</c:v>
                </c:pt>
                <c:pt idx="957">
                  <c:v>828.5</c:v>
                </c:pt>
                <c:pt idx="958">
                  <c:v>829</c:v>
                </c:pt>
                <c:pt idx="959">
                  <c:v>829.5</c:v>
                </c:pt>
                <c:pt idx="960">
                  <c:v>830</c:v>
                </c:pt>
                <c:pt idx="961">
                  <c:v>830.5</c:v>
                </c:pt>
                <c:pt idx="962">
                  <c:v>831</c:v>
                </c:pt>
                <c:pt idx="963">
                  <c:v>831.5</c:v>
                </c:pt>
                <c:pt idx="964">
                  <c:v>832</c:v>
                </c:pt>
                <c:pt idx="965">
                  <c:v>832.5</c:v>
                </c:pt>
                <c:pt idx="966">
                  <c:v>833</c:v>
                </c:pt>
                <c:pt idx="967">
                  <c:v>833.5</c:v>
                </c:pt>
                <c:pt idx="968">
                  <c:v>834</c:v>
                </c:pt>
                <c:pt idx="969">
                  <c:v>834.5</c:v>
                </c:pt>
                <c:pt idx="970">
                  <c:v>835</c:v>
                </c:pt>
                <c:pt idx="971">
                  <c:v>835.5</c:v>
                </c:pt>
                <c:pt idx="972">
                  <c:v>836</c:v>
                </c:pt>
                <c:pt idx="973">
                  <c:v>836.5</c:v>
                </c:pt>
                <c:pt idx="974">
                  <c:v>837</c:v>
                </c:pt>
                <c:pt idx="975">
                  <c:v>837.5</c:v>
                </c:pt>
                <c:pt idx="976">
                  <c:v>838</c:v>
                </c:pt>
                <c:pt idx="977">
                  <c:v>838.5</c:v>
                </c:pt>
                <c:pt idx="978">
                  <c:v>839</c:v>
                </c:pt>
                <c:pt idx="979">
                  <c:v>839.5</c:v>
                </c:pt>
                <c:pt idx="980">
                  <c:v>840</c:v>
                </c:pt>
                <c:pt idx="981">
                  <c:v>840.5</c:v>
                </c:pt>
                <c:pt idx="982">
                  <c:v>841</c:v>
                </c:pt>
                <c:pt idx="983">
                  <c:v>841.5</c:v>
                </c:pt>
                <c:pt idx="984">
                  <c:v>842</c:v>
                </c:pt>
                <c:pt idx="985">
                  <c:v>842.5</c:v>
                </c:pt>
                <c:pt idx="986">
                  <c:v>843</c:v>
                </c:pt>
                <c:pt idx="987">
                  <c:v>843.5</c:v>
                </c:pt>
                <c:pt idx="988">
                  <c:v>844</c:v>
                </c:pt>
                <c:pt idx="989">
                  <c:v>844.5</c:v>
                </c:pt>
                <c:pt idx="990">
                  <c:v>845</c:v>
                </c:pt>
                <c:pt idx="991">
                  <c:v>845.5</c:v>
                </c:pt>
                <c:pt idx="992">
                  <c:v>846</c:v>
                </c:pt>
                <c:pt idx="993">
                  <c:v>846.5</c:v>
                </c:pt>
                <c:pt idx="994">
                  <c:v>847</c:v>
                </c:pt>
                <c:pt idx="995">
                  <c:v>847.5</c:v>
                </c:pt>
                <c:pt idx="996">
                  <c:v>848</c:v>
                </c:pt>
                <c:pt idx="997">
                  <c:v>848.5</c:v>
                </c:pt>
                <c:pt idx="998">
                  <c:v>849</c:v>
                </c:pt>
                <c:pt idx="999">
                  <c:v>849.5</c:v>
                </c:pt>
                <c:pt idx="1000">
                  <c:v>850</c:v>
                </c:pt>
              </c:numCache>
            </c:numRef>
          </c:cat>
          <c:val>
            <c:numRef>
              <c:f>Sheet1!$B$212:$B$1212</c:f>
              <c:numCache>
                <c:formatCode>0.00E+00</c:formatCode>
                <c:ptCount val="1001"/>
                <c:pt idx="0">
                  <c:v>0</c:v>
                </c:pt>
                <c:pt idx="1">
                  <c:v>0</c:v>
                </c:pt>
                <c:pt idx="2">
                  <c:v>0</c:v>
                </c:pt>
                <c:pt idx="3">
                  <c:v>0</c:v>
                </c:pt>
                <c:pt idx="4">
                  <c:v>0</c:v>
                </c:pt>
                <c:pt idx="5">
                  <c:v>0</c:v>
                </c:pt>
                <c:pt idx="6">
                  <c:v>0</c:v>
                </c:pt>
                <c:pt idx="7">
                  <c:v>0</c:v>
                </c:pt>
                <c:pt idx="8">
                  <c:v>0</c:v>
                </c:pt>
                <c:pt idx="9">
                  <c:v>0</c:v>
                </c:pt>
                <c:pt idx="10">
                  <c:v>0</c:v>
                </c:pt>
                <c:pt idx="11">
                  <c:v>0</c:v>
                </c:pt>
                <c:pt idx="12">
                  <c:v>0</c:v>
                </c:pt>
                <c:pt idx="13">
                  <c:v>0</c:v>
                </c:pt>
                <c:pt idx="14">
                  <c:v>0</c:v>
                </c:pt>
                <c:pt idx="15">
                  <c:v>0</c:v>
                </c:pt>
                <c:pt idx="16">
                  <c:v>0</c:v>
                </c:pt>
                <c:pt idx="17">
                  <c:v>0</c:v>
                </c:pt>
                <c:pt idx="18">
                  <c:v>0</c:v>
                </c:pt>
                <c:pt idx="19">
                  <c:v>0</c:v>
                </c:pt>
                <c:pt idx="20">
                  <c:v>0</c:v>
                </c:pt>
                <c:pt idx="21">
                  <c:v>0</c:v>
                </c:pt>
                <c:pt idx="22">
                  <c:v>0</c:v>
                </c:pt>
                <c:pt idx="23">
                  <c:v>0</c:v>
                </c:pt>
                <c:pt idx="24">
                  <c:v>0</c:v>
                </c:pt>
                <c:pt idx="25">
                  <c:v>0</c:v>
                </c:pt>
                <c:pt idx="26">
                  <c:v>0</c:v>
                </c:pt>
                <c:pt idx="27">
                  <c:v>0</c:v>
                </c:pt>
                <c:pt idx="28">
                  <c:v>0</c:v>
                </c:pt>
                <c:pt idx="29">
                  <c:v>0</c:v>
                </c:pt>
                <c:pt idx="30">
                  <c:v>0</c:v>
                </c:pt>
                <c:pt idx="31">
                  <c:v>0</c:v>
                </c:pt>
                <c:pt idx="32">
                  <c:v>0</c:v>
                </c:pt>
                <c:pt idx="33">
                  <c:v>0</c:v>
                </c:pt>
                <c:pt idx="34">
                  <c:v>0</c:v>
                </c:pt>
                <c:pt idx="35">
                  <c:v>0</c:v>
                </c:pt>
                <c:pt idx="36">
                  <c:v>0</c:v>
                </c:pt>
                <c:pt idx="37">
                  <c:v>0</c:v>
                </c:pt>
                <c:pt idx="38">
                  <c:v>0</c:v>
                </c:pt>
                <c:pt idx="39">
                  <c:v>0</c:v>
                </c:pt>
                <c:pt idx="40">
                  <c:v>0</c:v>
                </c:pt>
                <c:pt idx="41">
                  <c:v>0</c:v>
                </c:pt>
                <c:pt idx="42">
                  <c:v>0</c:v>
                </c:pt>
                <c:pt idx="43">
                  <c:v>0</c:v>
                </c:pt>
                <c:pt idx="44">
                  <c:v>0</c:v>
                </c:pt>
                <c:pt idx="45">
                  <c:v>0</c:v>
                </c:pt>
                <c:pt idx="46">
                  <c:v>0</c:v>
                </c:pt>
                <c:pt idx="47">
                  <c:v>0</c:v>
                </c:pt>
                <c:pt idx="48">
                  <c:v>0</c:v>
                </c:pt>
                <c:pt idx="49">
                  <c:v>0</c:v>
                </c:pt>
                <c:pt idx="50">
                  <c:v>0</c:v>
                </c:pt>
                <c:pt idx="51">
                  <c:v>0</c:v>
                </c:pt>
                <c:pt idx="52">
                  <c:v>0</c:v>
                </c:pt>
                <c:pt idx="53">
                  <c:v>0</c:v>
                </c:pt>
                <c:pt idx="54">
                  <c:v>0</c:v>
                </c:pt>
                <c:pt idx="55">
                  <c:v>0</c:v>
                </c:pt>
                <c:pt idx="56">
                  <c:v>0</c:v>
                </c:pt>
                <c:pt idx="57">
                  <c:v>0</c:v>
                </c:pt>
                <c:pt idx="58">
                  <c:v>0</c:v>
                </c:pt>
                <c:pt idx="59">
                  <c:v>0</c:v>
                </c:pt>
                <c:pt idx="60">
                  <c:v>0</c:v>
                </c:pt>
                <c:pt idx="61">
                  <c:v>0</c:v>
                </c:pt>
                <c:pt idx="62">
                  <c:v>0</c:v>
                </c:pt>
                <c:pt idx="63">
                  <c:v>0</c:v>
                </c:pt>
                <c:pt idx="64">
                  <c:v>0</c:v>
                </c:pt>
                <c:pt idx="65">
                  <c:v>0</c:v>
                </c:pt>
                <c:pt idx="66">
                  <c:v>0</c:v>
                </c:pt>
                <c:pt idx="67">
                  <c:v>0</c:v>
                </c:pt>
                <c:pt idx="68">
                  <c:v>0</c:v>
                </c:pt>
                <c:pt idx="69">
                  <c:v>0</c:v>
                </c:pt>
                <c:pt idx="70">
                  <c:v>0</c:v>
                </c:pt>
                <c:pt idx="71">
                  <c:v>0</c:v>
                </c:pt>
                <c:pt idx="72">
                  <c:v>0</c:v>
                </c:pt>
                <c:pt idx="73">
                  <c:v>0</c:v>
                </c:pt>
                <c:pt idx="74">
                  <c:v>0</c:v>
                </c:pt>
                <c:pt idx="75">
                  <c:v>0</c:v>
                </c:pt>
                <c:pt idx="76">
                  <c:v>0</c:v>
                </c:pt>
                <c:pt idx="77">
                  <c:v>0</c:v>
                </c:pt>
                <c:pt idx="78">
                  <c:v>0</c:v>
                </c:pt>
                <c:pt idx="79">
                  <c:v>0</c:v>
                </c:pt>
                <c:pt idx="80">
                  <c:v>0</c:v>
                </c:pt>
                <c:pt idx="81">
                  <c:v>0</c:v>
                </c:pt>
                <c:pt idx="82">
                  <c:v>0</c:v>
                </c:pt>
                <c:pt idx="83">
                  <c:v>0</c:v>
                </c:pt>
                <c:pt idx="84">
                  <c:v>0</c:v>
                </c:pt>
                <c:pt idx="85">
                  <c:v>0</c:v>
                </c:pt>
                <c:pt idx="86">
                  <c:v>0</c:v>
                </c:pt>
                <c:pt idx="87">
                  <c:v>0</c:v>
                </c:pt>
                <c:pt idx="88">
                  <c:v>0</c:v>
                </c:pt>
                <c:pt idx="89">
                  <c:v>0</c:v>
                </c:pt>
                <c:pt idx="90">
                  <c:v>0</c:v>
                </c:pt>
                <c:pt idx="91">
                  <c:v>0</c:v>
                </c:pt>
                <c:pt idx="92">
                  <c:v>0</c:v>
                </c:pt>
                <c:pt idx="93">
                  <c:v>0</c:v>
                </c:pt>
                <c:pt idx="94">
                  <c:v>0</c:v>
                </c:pt>
                <c:pt idx="95">
                  <c:v>0</c:v>
                </c:pt>
                <c:pt idx="96">
                  <c:v>0</c:v>
                </c:pt>
                <c:pt idx="97">
                  <c:v>0</c:v>
                </c:pt>
                <c:pt idx="98">
                  <c:v>0</c:v>
                </c:pt>
                <c:pt idx="99">
                  <c:v>0</c:v>
                </c:pt>
                <c:pt idx="100">
                  <c:v>0</c:v>
                </c:pt>
                <c:pt idx="101">
                  <c:v>0</c:v>
                </c:pt>
                <c:pt idx="102">
                  <c:v>0</c:v>
                </c:pt>
                <c:pt idx="103">
                  <c:v>0</c:v>
                </c:pt>
                <c:pt idx="104">
                  <c:v>0</c:v>
                </c:pt>
                <c:pt idx="105">
                  <c:v>0</c:v>
                </c:pt>
                <c:pt idx="106">
                  <c:v>0</c:v>
                </c:pt>
                <c:pt idx="107">
                  <c:v>0</c:v>
                </c:pt>
                <c:pt idx="108">
                  <c:v>0</c:v>
                </c:pt>
                <c:pt idx="109">
                  <c:v>0</c:v>
                </c:pt>
                <c:pt idx="110">
                  <c:v>0</c:v>
                </c:pt>
                <c:pt idx="111">
                  <c:v>0</c:v>
                </c:pt>
                <c:pt idx="112">
                  <c:v>2.0000000000000003E-6</c:v>
                </c:pt>
                <c:pt idx="113">
                  <c:v>1.0480000000000001E-4</c:v>
                </c:pt>
                <c:pt idx="114">
                  <c:v>6.5600000000000009E-5</c:v>
                </c:pt>
                <c:pt idx="115">
                  <c:v>2.5360000000000001E-5</c:v>
                </c:pt>
                <c:pt idx="116">
                  <c:v>0</c:v>
                </c:pt>
                <c:pt idx="117">
                  <c:v>0</c:v>
                </c:pt>
                <c:pt idx="118">
                  <c:v>1.88E-5</c:v>
                </c:pt>
                <c:pt idx="119">
                  <c:v>4.6000000000000007E-5</c:v>
                </c:pt>
                <c:pt idx="120">
                  <c:v>7.112000000000001E-5</c:v>
                </c:pt>
                <c:pt idx="121">
                  <c:v>2.1040000000000002E-4</c:v>
                </c:pt>
                <c:pt idx="122">
                  <c:v>3.8400000000000001E-4</c:v>
                </c:pt>
                <c:pt idx="123">
                  <c:v>5.616000000000001E-4</c:v>
                </c:pt>
                <c:pt idx="124">
                  <c:v>6.9439999999999997E-4</c:v>
                </c:pt>
                <c:pt idx="125">
                  <c:v>8.160000000000001E-4</c:v>
                </c:pt>
                <c:pt idx="126">
                  <c:v>9.3600000000000009E-4</c:v>
                </c:pt>
                <c:pt idx="127">
                  <c:v>1.0640000000000001E-3</c:v>
                </c:pt>
                <c:pt idx="128">
                  <c:v>1.1200000000000001E-3</c:v>
                </c:pt>
                <c:pt idx="129">
                  <c:v>1.1920000000000001E-3</c:v>
                </c:pt>
                <c:pt idx="130">
                  <c:v>1.3440000000000001E-3</c:v>
                </c:pt>
                <c:pt idx="131">
                  <c:v>1.6160000000000002E-3</c:v>
                </c:pt>
                <c:pt idx="132">
                  <c:v>1.9599999999999999E-3</c:v>
                </c:pt>
                <c:pt idx="133">
                  <c:v>2.264E-3</c:v>
                </c:pt>
                <c:pt idx="134">
                  <c:v>2.4880000000000002E-3</c:v>
                </c:pt>
                <c:pt idx="135">
                  <c:v>2.712E-3</c:v>
                </c:pt>
                <c:pt idx="136">
                  <c:v>2.9200000000000003E-3</c:v>
                </c:pt>
                <c:pt idx="137">
                  <c:v>3.2160000000000001E-3</c:v>
                </c:pt>
                <c:pt idx="138">
                  <c:v>3.5760000000000002E-3</c:v>
                </c:pt>
                <c:pt idx="139">
                  <c:v>3.9759999999999995E-3</c:v>
                </c:pt>
                <c:pt idx="140">
                  <c:v>4.424E-3</c:v>
                </c:pt>
                <c:pt idx="141">
                  <c:v>4.9200000000000008E-3</c:v>
                </c:pt>
                <c:pt idx="142">
                  <c:v>5.4800000000000005E-3</c:v>
                </c:pt>
                <c:pt idx="143">
                  <c:v>6.0879999999999997E-3</c:v>
                </c:pt>
                <c:pt idx="144">
                  <c:v>6.7919999999999994E-3</c:v>
                </c:pt>
                <c:pt idx="145">
                  <c:v>7.4399999999999996E-3</c:v>
                </c:pt>
                <c:pt idx="146">
                  <c:v>8.0000000000000002E-3</c:v>
                </c:pt>
                <c:pt idx="147">
                  <c:v>8.7200000000000003E-3</c:v>
                </c:pt>
                <c:pt idx="148">
                  <c:v>9.4400000000000005E-3</c:v>
                </c:pt>
                <c:pt idx="149">
                  <c:v>1.0240000000000001E-2</c:v>
                </c:pt>
                <c:pt idx="150">
                  <c:v>1.112E-2</c:v>
                </c:pt>
                <c:pt idx="151">
                  <c:v>1.2E-2</c:v>
                </c:pt>
                <c:pt idx="152">
                  <c:v>1.3120000000000001E-2</c:v>
                </c:pt>
                <c:pt idx="153">
                  <c:v>1.4319999999999999E-2</c:v>
                </c:pt>
                <c:pt idx="154">
                  <c:v>1.5600000000000001E-2</c:v>
                </c:pt>
                <c:pt idx="155">
                  <c:v>1.6959999999999999E-2</c:v>
                </c:pt>
                <c:pt idx="156">
                  <c:v>1.84E-2</c:v>
                </c:pt>
                <c:pt idx="157">
                  <c:v>1.976E-2</c:v>
                </c:pt>
                <c:pt idx="158">
                  <c:v>2.128E-2</c:v>
                </c:pt>
                <c:pt idx="159">
                  <c:v>2.2880000000000001E-2</c:v>
                </c:pt>
                <c:pt idx="160">
                  <c:v>2.4560000000000002E-2</c:v>
                </c:pt>
                <c:pt idx="161">
                  <c:v>2.6400000000000003E-2</c:v>
                </c:pt>
                <c:pt idx="162">
                  <c:v>2.8399999999999998E-2</c:v>
                </c:pt>
                <c:pt idx="163">
                  <c:v>3.0719999999999997E-2</c:v>
                </c:pt>
                <c:pt idx="164">
                  <c:v>3.3040000000000007E-2</c:v>
                </c:pt>
                <c:pt idx="165">
                  <c:v>3.5439999999999999E-2</c:v>
                </c:pt>
                <c:pt idx="166">
                  <c:v>3.8000000000000006E-2</c:v>
                </c:pt>
                <c:pt idx="167">
                  <c:v>4.0480000000000002E-2</c:v>
                </c:pt>
                <c:pt idx="168">
                  <c:v>4.3200000000000002E-2</c:v>
                </c:pt>
                <c:pt idx="169">
                  <c:v>4.6080000000000003E-2</c:v>
                </c:pt>
                <c:pt idx="170">
                  <c:v>4.9120000000000004E-2</c:v>
                </c:pt>
                <c:pt idx="171">
                  <c:v>5.2159999999999998E-2</c:v>
                </c:pt>
                <c:pt idx="172">
                  <c:v>5.5359999999999999E-2</c:v>
                </c:pt>
                <c:pt idx="173">
                  <c:v>5.8560000000000001E-2</c:v>
                </c:pt>
                <c:pt idx="174">
                  <c:v>6.1839999999999999E-2</c:v>
                </c:pt>
                <c:pt idx="175">
                  <c:v>6.5439999999999998E-2</c:v>
                </c:pt>
                <c:pt idx="176">
                  <c:v>6.9120000000000001E-2</c:v>
                </c:pt>
                <c:pt idx="177">
                  <c:v>7.3040000000000008E-2</c:v>
                </c:pt>
                <c:pt idx="178">
                  <c:v>7.6800000000000007E-2</c:v>
                </c:pt>
                <c:pt idx="179">
                  <c:v>8.0800000000000011E-2</c:v>
                </c:pt>
                <c:pt idx="180">
                  <c:v>8.48E-2</c:v>
                </c:pt>
                <c:pt idx="181">
                  <c:v>8.8800000000000004E-2</c:v>
                </c:pt>
                <c:pt idx="182">
                  <c:v>9.2800000000000007E-2</c:v>
                </c:pt>
                <c:pt idx="183">
                  <c:v>9.6000000000000002E-2</c:v>
                </c:pt>
                <c:pt idx="184">
                  <c:v>0.1</c:v>
                </c:pt>
                <c:pt idx="185">
                  <c:v>0.10400000000000001</c:v>
                </c:pt>
                <c:pt idx="186">
                  <c:v>0.10800000000000001</c:v>
                </c:pt>
                <c:pt idx="187">
                  <c:v>0.11200000000000002</c:v>
                </c:pt>
                <c:pt idx="188">
                  <c:v>0.1152</c:v>
                </c:pt>
                <c:pt idx="189">
                  <c:v>0.11840000000000001</c:v>
                </c:pt>
                <c:pt idx="190">
                  <c:v>0.1208</c:v>
                </c:pt>
                <c:pt idx="191">
                  <c:v>0.124</c:v>
                </c:pt>
                <c:pt idx="192">
                  <c:v>0.12640000000000001</c:v>
                </c:pt>
                <c:pt idx="193">
                  <c:v>0.128</c:v>
                </c:pt>
                <c:pt idx="194">
                  <c:v>0.13040000000000002</c:v>
                </c:pt>
                <c:pt idx="195">
                  <c:v>0.13120000000000001</c:v>
                </c:pt>
                <c:pt idx="196">
                  <c:v>0.13200000000000001</c:v>
                </c:pt>
                <c:pt idx="197">
                  <c:v>0.1328</c:v>
                </c:pt>
                <c:pt idx="198">
                  <c:v>0.13360000000000002</c:v>
                </c:pt>
                <c:pt idx="199">
                  <c:v>0.13360000000000002</c:v>
                </c:pt>
                <c:pt idx="200">
                  <c:v>0.1328</c:v>
                </c:pt>
                <c:pt idx="201">
                  <c:v>0.13200000000000001</c:v>
                </c:pt>
                <c:pt idx="202">
                  <c:v>0.13040000000000002</c:v>
                </c:pt>
                <c:pt idx="203">
                  <c:v>0.1288</c:v>
                </c:pt>
                <c:pt idx="204">
                  <c:v>0.12640000000000001</c:v>
                </c:pt>
                <c:pt idx="205">
                  <c:v>0.1232</c:v>
                </c:pt>
                <c:pt idx="206">
                  <c:v>0.1208</c:v>
                </c:pt>
                <c:pt idx="207">
                  <c:v>0.1176</c:v>
                </c:pt>
                <c:pt idx="208">
                  <c:v>0.11359999999999999</c:v>
                </c:pt>
                <c:pt idx="209">
                  <c:v>0.10960000000000002</c:v>
                </c:pt>
                <c:pt idx="210">
                  <c:v>0.10560000000000001</c:v>
                </c:pt>
                <c:pt idx="211">
                  <c:v>0.10160000000000001</c:v>
                </c:pt>
                <c:pt idx="212">
                  <c:v>9.7600000000000006E-2</c:v>
                </c:pt>
                <c:pt idx="213">
                  <c:v>9.3600000000000017E-2</c:v>
                </c:pt>
                <c:pt idx="214">
                  <c:v>8.9600000000000013E-2</c:v>
                </c:pt>
                <c:pt idx="215">
                  <c:v>8.48E-2</c:v>
                </c:pt>
                <c:pt idx="216">
                  <c:v>8.1600000000000006E-2</c:v>
                </c:pt>
                <c:pt idx="217">
                  <c:v>7.7520000000000006E-2</c:v>
                </c:pt>
                <c:pt idx="218">
                  <c:v>7.392E-2</c:v>
                </c:pt>
                <c:pt idx="219">
                  <c:v>7.0320000000000008E-2</c:v>
                </c:pt>
                <c:pt idx="220">
                  <c:v>6.6879999999999995E-2</c:v>
                </c:pt>
                <c:pt idx="221">
                  <c:v>6.368E-2</c:v>
                </c:pt>
                <c:pt idx="222">
                  <c:v>6.08E-2</c:v>
                </c:pt>
                <c:pt idx="223">
                  <c:v>5.7999999999999996E-2</c:v>
                </c:pt>
                <c:pt idx="224">
                  <c:v>5.5200000000000006E-2</c:v>
                </c:pt>
                <c:pt idx="225">
                  <c:v>5.2639999999999999E-2</c:v>
                </c:pt>
                <c:pt idx="226">
                  <c:v>5.0480000000000004E-2</c:v>
                </c:pt>
                <c:pt idx="227">
                  <c:v>4.8320000000000002E-2</c:v>
                </c:pt>
                <c:pt idx="228">
                  <c:v>4.6160000000000007E-2</c:v>
                </c:pt>
                <c:pt idx="229">
                  <c:v>4.4000000000000004E-2</c:v>
                </c:pt>
                <c:pt idx="230">
                  <c:v>4.2000000000000003E-2</c:v>
                </c:pt>
                <c:pt idx="231">
                  <c:v>4.0320000000000002E-2</c:v>
                </c:pt>
                <c:pt idx="232">
                  <c:v>3.8800000000000001E-2</c:v>
                </c:pt>
                <c:pt idx="233">
                  <c:v>3.7359999999999997E-2</c:v>
                </c:pt>
                <c:pt idx="234">
                  <c:v>3.5680000000000003E-2</c:v>
                </c:pt>
                <c:pt idx="235">
                  <c:v>3.3919999999999999E-2</c:v>
                </c:pt>
                <c:pt idx="236">
                  <c:v>3.2079999999999997E-2</c:v>
                </c:pt>
                <c:pt idx="237">
                  <c:v>3.0240000000000003E-2</c:v>
                </c:pt>
                <c:pt idx="238">
                  <c:v>2.8560000000000002E-2</c:v>
                </c:pt>
                <c:pt idx="239">
                  <c:v>2.7039999999999998E-2</c:v>
                </c:pt>
                <c:pt idx="240">
                  <c:v>2.5600000000000001E-2</c:v>
                </c:pt>
                <c:pt idx="241">
                  <c:v>2.4320000000000001E-2</c:v>
                </c:pt>
                <c:pt idx="242">
                  <c:v>2.3120000000000002E-2</c:v>
                </c:pt>
                <c:pt idx="243">
                  <c:v>2.1920000000000002E-2</c:v>
                </c:pt>
                <c:pt idx="244">
                  <c:v>2.0720000000000002E-2</c:v>
                </c:pt>
                <c:pt idx="245">
                  <c:v>1.9520000000000003E-2</c:v>
                </c:pt>
                <c:pt idx="246">
                  <c:v>1.84E-2</c:v>
                </c:pt>
                <c:pt idx="247">
                  <c:v>1.736E-2</c:v>
                </c:pt>
                <c:pt idx="248">
                  <c:v>1.6480000000000002E-2</c:v>
                </c:pt>
                <c:pt idx="249">
                  <c:v>1.5679999999999999E-2</c:v>
                </c:pt>
                <c:pt idx="250">
                  <c:v>1.4960000000000001E-2</c:v>
                </c:pt>
                <c:pt idx="251">
                  <c:v>1.4160000000000001E-2</c:v>
                </c:pt>
                <c:pt idx="252">
                  <c:v>1.336E-2</c:v>
                </c:pt>
                <c:pt idx="253">
                  <c:v>1.248E-2</c:v>
                </c:pt>
                <c:pt idx="254">
                  <c:v>1.176E-2</c:v>
                </c:pt>
                <c:pt idx="255">
                  <c:v>1.112E-2</c:v>
                </c:pt>
                <c:pt idx="256">
                  <c:v>1.0480000000000001E-2</c:v>
                </c:pt>
                <c:pt idx="257">
                  <c:v>9.8400000000000015E-3</c:v>
                </c:pt>
                <c:pt idx="258">
                  <c:v>9.3600000000000003E-3</c:v>
                </c:pt>
                <c:pt idx="259">
                  <c:v>8.9600000000000009E-3</c:v>
                </c:pt>
                <c:pt idx="260">
                  <c:v>8.6400000000000001E-3</c:v>
                </c:pt>
                <c:pt idx="261">
                  <c:v>8.2400000000000008E-3</c:v>
                </c:pt>
                <c:pt idx="262">
                  <c:v>7.816E-3</c:v>
                </c:pt>
                <c:pt idx="263">
                  <c:v>7.4079999999999997E-3</c:v>
                </c:pt>
                <c:pt idx="264">
                  <c:v>7.0239999999999999E-3</c:v>
                </c:pt>
                <c:pt idx="265">
                  <c:v>6.6800000000000002E-3</c:v>
                </c:pt>
                <c:pt idx="266">
                  <c:v>6.2240000000000004E-3</c:v>
                </c:pt>
                <c:pt idx="267">
                  <c:v>5.8320000000000004E-3</c:v>
                </c:pt>
                <c:pt idx="268">
                  <c:v>5.4080000000000005E-3</c:v>
                </c:pt>
                <c:pt idx="269">
                  <c:v>5.0400000000000002E-3</c:v>
                </c:pt>
                <c:pt idx="270">
                  <c:v>4.7759999999999999E-3</c:v>
                </c:pt>
                <c:pt idx="271">
                  <c:v>4.5519999999999996E-3</c:v>
                </c:pt>
                <c:pt idx="272">
                  <c:v>4.4560000000000008E-3</c:v>
                </c:pt>
                <c:pt idx="273">
                  <c:v>4.3119999999999999E-3</c:v>
                </c:pt>
                <c:pt idx="274">
                  <c:v>4.0960000000000007E-3</c:v>
                </c:pt>
                <c:pt idx="275">
                  <c:v>3.8159999999999999E-3</c:v>
                </c:pt>
                <c:pt idx="276">
                  <c:v>3.5999999999999999E-3</c:v>
                </c:pt>
                <c:pt idx="277">
                  <c:v>3.4560000000000003E-3</c:v>
                </c:pt>
                <c:pt idx="278">
                  <c:v>3.3040000000000001E-3</c:v>
                </c:pt>
                <c:pt idx="279">
                  <c:v>3.1680000000000002E-3</c:v>
                </c:pt>
                <c:pt idx="280">
                  <c:v>3.0000000000000001E-3</c:v>
                </c:pt>
                <c:pt idx="281">
                  <c:v>2.8800000000000002E-3</c:v>
                </c:pt>
                <c:pt idx="282">
                  <c:v>2.7520000000000001E-3</c:v>
                </c:pt>
                <c:pt idx="283">
                  <c:v>2.5920000000000001E-3</c:v>
                </c:pt>
                <c:pt idx="284">
                  <c:v>2.496E-3</c:v>
                </c:pt>
                <c:pt idx="285">
                  <c:v>2.3680000000000003E-3</c:v>
                </c:pt>
                <c:pt idx="286">
                  <c:v>2.232E-3</c:v>
                </c:pt>
                <c:pt idx="287">
                  <c:v>2.1199999999999999E-3</c:v>
                </c:pt>
                <c:pt idx="288">
                  <c:v>1.9920000000000003E-3</c:v>
                </c:pt>
                <c:pt idx="289">
                  <c:v>1.9199999999999998E-3</c:v>
                </c:pt>
                <c:pt idx="290">
                  <c:v>1.8079999999999999E-3</c:v>
                </c:pt>
                <c:pt idx="291">
                  <c:v>1.7680000000000003E-3</c:v>
                </c:pt>
                <c:pt idx="292">
                  <c:v>1.8960000000000001E-3</c:v>
                </c:pt>
                <c:pt idx="293">
                  <c:v>2.4000000000000002E-3</c:v>
                </c:pt>
                <c:pt idx="294">
                  <c:v>3.2640000000000004E-3</c:v>
                </c:pt>
                <c:pt idx="295">
                  <c:v>4.1599999999999996E-3</c:v>
                </c:pt>
                <c:pt idx="296">
                  <c:v>4.5600000000000007E-3</c:v>
                </c:pt>
                <c:pt idx="297">
                  <c:v>4.176E-3</c:v>
                </c:pt>
                <c:pt idx="298">
                  <c:v>3.2000000000000002E-3</c:v>
                </c:pt>
                <c:pt idx="299">
                  <c:v>2.1760000000000004E-3</c:v>
                </c:pt>
                <c:pt idx="300">
                  <c:v>1.4720000000000002E-3</c:v>
                </c:pt>
                <c:pt idx="301">
                  <c:v>1.0880000000000002E-3</c:v>
                </c:pt>
                <c:pt idx="302">
                  <c:v>9.4400000000000007E-4</c:v>
                </c:pt>
                <c:pt idx="303">
                  <c:v>8.7200000000000005E-4</c:v>
                </c:pt>
                <c:pt idx="304">
                  <c:v>8.0000000000000004E-4</c:v>
                </c:pt>
                <c:pt idx="305">
                  <c:v>7.1199999999999996E-4</c:v>
                </c:pt>
                <c:pt idx="306">
                  <c:v>6.7840000000000001E-4</c:v>
                </c:pt>
                <c:pt idx="307">
                  <c:v>6.4960000000000007E-4</c:v>
                </c:pt>
                <c:pt idx="308">
                  <c:v>5.8719999999999996E-4</c:v>
                </c:pt>
                <c:pt idx="309">
                  <c:v>4.7760000000000001E-4</c:v>
                </c:pt>
                <c:pt idx="310">
                  <c:v>3.7360000000000003E-4</c:v>
                </c:pt>
                <c:pt idx="311">
                  <c:v>2.9840000000000004E-4</c:v>
                </c:pt>
                <c:pt idx="312">
                  <c:v>2.0799999999999999E-4</c:v>
                </c:pt>
                <c:pt idx="313">
                  <c:v>1.5680000000000002E-4</c:v>
                </c:pt>
                <c:pt idx="314">
                  <c:v>1.472E-4</c:v>
                </c:pt>
                <c:pt idx="315">
                  <c:v>1.816E-4</c:v>
                </c:pt>
                <c:pt idx="316">
                  <c:v>1.7359999999999999E-4</c:v>
                </c:pt>
                <c:pt idx="317">
                  <c:v>1.696E-4</c:v>
                </c:pt>
                <c:pt idx="318">
                  <c:v>1.304E-4</c:v>
                </c:pt>
                <c:pt idx="319">
                  <c:v>1.1680000000000001E-4</c:v>
                </c:pt>
                <c:pt idx="320">
                  <c:v>5.4320000000000002E-5</c:v>
                </c:pt>
                <c:pt idx="321">
                  <c:v>1.7840000000000002E-5</c:v>
                </c:pt>
                <c:pt idx="322">
                  <c:v>1.1040000000000001E-5</c:v>
                </c:pt>
                <c:pt idx="323">
                  <c:v>2.6160000000000004E-5</c:v>
                </c:pt>
                <c:pt idx="324">
                  <c:v>1.1760000000000001E-5</c:v>
                </c:pt>
                <c:pt idx="325">
                  <c:v>0</c:v>
                </c:pt>
                <c:pt idx="326">
                  <c:v>0</c:v>
                </c:pt>
                <c:pt idx="327">
                  <c:v>2.8560000000000001E-5</c:v>
                </c:pt>
                <c:pt idx="328">
                  <c:v>2.6800000000000001E-4</c:v>
                </c:pt>
                <c:pt idx="329">
                  <c:v>6.0000000000000006E-4</c:v>
                </c:pt>
                <c:pt idx="330">
                  <c:v>7.5600000000000005E-4</c:v>
                </c:pt>
                <c:pt idx="331">
                  <c:v>5.9680000000000009E-4</c:v>
                </c:pt>
                <c:pt idx="332">
                  <c:v>2.3600000000000002E-4</c:v>
                </c:pt>
                <c:pt idx="333">
                  <c:v>2.3200000000000002E-6</c:v>
                </c:pt>
                <c:pt idx="334">
                  <c:v>0</c:v>
                </c:pt>
                <c:pt idx="335">
                  <c:v>0</c:v>
                </c:pt>
                <c:pt idx="336">
                  <c:v>0</c:v>
                </c:pt>
                <c:pt idx="337">
                  <c:v>0</c:v>
                </c:pt>
                <c:pt idx="338">
                  <c:v>0</c:v>
                </c:pt>
                <c:pt idx="339">
                  <c:v>0</c:v>
                </c:pt>
                <c:pt idx="340">
                  <c:v>0</c:v>
                </c:pt>
                <c:pt idx="341">
                  <c:v>0</c:v>
                </c:pt>
                <c:pt idx="342">
                  <c:v>0</c:v>
                </c:pt>
                <c:pt idx="343">
                  <c:v>0</c:v>
                </c:pt>
                <c:pt idx="344">
                  <c:v>0</c:v>
                </c:pt>
                <c:pt idx="345">
                  <c:v>0</c:v>
                </c:pt>
                <c:pt idx="346">
                  <c:v>0</c:v>
                </c:pt>
                <c:pt idx="347">
                  <c:v>0</c:v>
                </c:pt>
                <c:pt idx="348">
                  <c:v>0</c:v>
                </c:pt>
                <c:pt idx="349">
                  <c:v>0</c:v>
                </c:pt>
                <c:pt idx="350">
                  <c:v>0</c:v>
                </c:pt>
                <c:pt idx="351">
                  <c:v>0</c:v>
                </c:pt>
                <c:pt idx="352">
                  <c:v>0</c:v>
                </c:pt>
                <c:pt idx="353">
                  <c:v>0</c:v>
                </c:pt>
                <c:pt idx="354">
                  <c:v>0</c:v>
                </c:pt>
                <c:pt idx="355">
                  <c:v>0</c:v>
                </c:pt>
                <c:pt idx="356">
                  <c:v>0</c:v>
                </c:pt>
                <c:pt idx="357">
                  <c:v>0</c:v>
                </c:pt>
                <c:pt idx="358">
                  <c:v>0</c:v>
                </c:pt>
                <c:pt idx="359">
                  <c:v>0</c:v>
                </c:pt>
                <c:pt idx="360">
                  <c:v>0</c:v>
                </c:pt>
                <c:pt idx="361">
                  <c:v>0</c:v>
                </c:pt>
                <c:pt idx="362">
                  <c:v>0</c:v>
                </c:pt>
                <c:pt idx="363">
                  <c:v>0</c:v>
                </c:pt>
                <c:pt idx="364">
                  <c:v>0</c:v>
                </c:pt>
                <c:pt idx="365">
                  <c:v>0</c:v>
                </c:pt>
                <c:pt idx="366">
                  <c:v>0</c:v>
                </c:pt>
                <c:pt idx="367">
                  <c:v>0</c:v>
                </c:pt>
                <c:pt idx="368">
                  <c:v>0</c:v>
                </c:pt>
                <c:pt idx="369">
                  <c:v>0</c:v>
                </c:pt>
                <c:pt idx="370">
                  <c:v>0</c:v>
                </c:pt>
                <c:pt idx="371">
                  <c:v>0</c:v>
                </c:pt>
                <c:pt idx="372">
                  <c:v>0</c:v>
                </c:pt>
                <c:pt idx="373">
                  <c:v>0</c:v>
                </c:pt>
                <c:pt idx="374">
                  <c:v>0</c:v>
                </c:pt>
                <c:pt idx="375">
                  <c:v>0</c:v>
                </c:pt>
                <c:pt idx="376">
                  <c:v>0</c:v>
                </c:pt>
                <c:pt idx="377">
                  <c:v>0</c:v>
                </c:pt>
                <c:pt idx="378">
                  <c:v>0</c:v>
                </c:pt>
                <c:pt idx="379">
                  <c:v>0</c:v>
                </c:pt>
                <c:pt idx="380">
                  <c:v>0</c:v>
                </c:pt>
                <c:pt idx="381">
                  <c:v>0</c:v>
                </c:pt>
                <c:pt idx="382">
                  <c:v>0</c:v>
                </c:pt>
                <c:pt idx="383">
                  <c:v>0</c:v>
                </c:pt>
                <c:pt idx="384">
                  <c:v>0</c:v>
                </c:pt>
                <c:pt idx="385">
                  <c:v>0</c:v>
                </c:pt>
                <c:pt idx="386">
                  <c:v>0</c:v>
                </c:pt>
                <c:pt idx="387">
                  <c:v>0</c:v>
                </c:pt>
                <c:pt idx="388">
                  <c:v>0</c:v>
                </c:pt>
                <c:pt idx="389">
                  <c:v>0</c:v>
                </c:pt>
                <c:pt idx="390">
                  <c:v>0</c:v>
                </c:pt>
                <c:pt idx="391">
                  <c:v>0</c:v>
                </c:pt>
                <c:pt idx="392">
                  <c:v>0</c:v>
                </c:pt>
                <c:pt idx="393">
                  <c:v>0</c:v>
                </c:pt>
                <c:pt idx="394">
                  <c:v>0</c:v>
                </c:pt>
                <c:pt idx="395">
                  <c:v>0</c:v>
                </c:pt>
                <c:pt idx="396">
                  <c:v>0</c:v>
                </c:pt>
                <c:pt idx="397">
                  <c:v>0</c:v>
                </c:pt>
                <c:pt idx="398">
                  <c:v>0</c:v>
                </c:pt>
                <c:pt idx="399">
                  <c:v>6.1439999999999995E-5</c:v>
                </c:pt>
                <c:pt idx="400">
                  <c:v>7.6400000000000003E-4</c:v>
                </c:pt>
                <c:pt idx="401">
                  <c:v>6.9680000000000002E-4</c:v>
                </c:pt>
                <c:pt idx="402">
                  <c:v>6.7679999999999997E-4</c:v>
                </c:pt>
                <c:pt idx="403">
                  <c:v>6.5680000000000003E-4</c:v>
                </c:pt>
                <c:pt idx="404">
                  <c:v>6.3440000000000002E-4</c:v>
                </c:pt>
                <c:pt idx="405">
                  <c:v>6.0240000000000001E-4</c:v>
                </c:pt>
                <c:pt idx="406">
                  <c:v>5.9840000000000002E-4</c:v>
                </c:pt>
                <c:pt idx="407">
                  <c:v>6.0480000000000006E-4</c:v>
                </c:pt>
                <c:pt idx="408">
                  <c:v>6.3920000000000003E-4</c:v>
                </c:pt>
                <c:pt idx="409">
                  <c:v>6.7440000000000002E-4</c:v>
                </c:pt>
                <c:pt idx="410">
                  <c:v>7.2480000000000005E-4</c:v>
                </c:pt>
                <c:pt idx="411">
                  <c:v>7.672E-4</c:v>
                </c:pt>
                <c:pt idx="412">
                  <c:v>7.0640000000000004E-4</c:v>
                </c:pt>
                <c:pt idx="413">
                  <c:v>6.9280000000000003E-4</c:v>
                </c:pt>
                <c:pt idx="414">
                  <c:v>6.7279999999999998E-4</c:v>
                </c:pt>
                <c:pt idx="415">
                  <c:v>7.584E-4</c:v>
                </c:pt>
                <c:pt idx="416">
                  <c:v>8.160000000000001E-4</c:v>
                </c:pt>
                <c:pt idx="417">
                  <c:v>8.8000000000000014E-4</c:v>
                </c:pt>
                <c:pt idx="418">
                  <c:v>8.9599999999999999E-4</c:v>
                </c:pt>
                <c:pt idx="419">
                  <c:v>9.1200000000000005E-4</c:v>
                </c:pt>
                <c:pt idx="420">
                  <c:v>9.0399999999999996E-4</c:v>
                </c:pt>
                <c:pt idx="421">
                  <c:v>9.5200000000000016E-4</c:v>
                </c:pt>
                <c:pt idx="422">
                  <c:v>9.9200000000000004E-4</c:v>
                </c:pt>
                <c:pt idx="423">
                  <c:v>1.072E-3</c:v>
                </c:pt>
                <c:pt idx="424">
                  <c:v>1.0880000000000002E-3</c:v>
                </c:pt>
                <c:pt idx="425">
                  <c:v>1.1200000000000001E-3</c:v>
                </c:pt>
                <c:pt idx="426">
                  <c:v>1.0880000000000002E-3</c:v>
                </c:pt>
                <c:pt idx="427">
                  <c:v>1.1039999999999999E-3</c:v>
                </c:pt>
                <c:pt idx="428">
                  <c:v>1.16E-3</c:v>
                </c:pt>
                <c:pt idx="429">
                  <c:v>1.232E-3</c:v>
                </c:pt>
                <c:pt idx="430">
                  <c:v>1.2800000000000001E-3</c:v>
                </c:pt>
                <c:pt idx="431">
                  <c:v>1.3280000000000002E-3</c:v>
                </c:pt>
                <c:pt idx="432">
                  <c:v>1.4320000000000001E-3</c:v>
                </c:pt>
                <c:pt idx="433">
                  <c:v>1.5120000000000001E-3</c:v>
                </c:pt>
                <c:pt idx="434">
                  <c:v>1.5520000000000002E-3</c:v>
                </c:pt>
                <c:pt idx="435">
                  <c:v>1.704E-3</c:v>
                </c:pt>
                <c:pt idx="436">
                  <c:v>1.952E-3</c:v>
                </c:pt>
                <c:pt idx="437">
                  <c:v>2.2160000000000001E-3</c:v>
                </c:pt>
                <c:pt idx="438">
                  <c:v>2.32E-3</c:v>
                </c:pt>
                <c:pt idx="439">
                  <c:v>2.2400000000000002E-3</c:v>
                </c:pt>
                <c:pt idx="440">
                  <c:v>2.1280000000000001E-3</c:v>
                </c:pt>
                <c:pt idx="441">
                  <c:v>2.0639999999999999E-3</c:v>
                </c:pt>
                <c:pt idx="442">
                  <c:v>2.0480000000000003E-3</c:v>
                </c:pt>
                <c:pt idx="443">
                  <c:v>2.104E-3</c:v>
                </c:pt>
                <c:pt idx="444">
                  <c:v>2.2000000000000001E-3</c:v>
                </c:pt>
                <c:pt idx="445">
                  <c:v>2.4000000000000002E-3</c:v>
                </c:pt>
                <c:pt idx="446">
                  <c:v>2.5440000000000003E-3</c:v>
                </c:pt>
                <c:pt idx="447">
                  <c:v>2.64E-3</c:v>
                </c:pt>
                <c:pt idx="448">
                  <c:v>2.6320000000000002E-3</c:v>
                </c:pt>
                <c:pt idx="449">
                  <c:v>2.7200000000000002E-3</c:v>
                </c:pt>
                <c:pt idx="450">
                  <c:v>2.9040000000000003E-3</c:v>
                </c:pt>
                <c:pt idx="451">
                  <c:v>3.016E-3</c:v>
                </c:pt>
                <c:pt idx="452">
                  <c:v>3.192E-3</c:v>
                </c:pt>
                <c:pt idx="453">
                  <c:v>3.32E-3</c:v>
                </c:pt>
                <c:pt idx="454">
                  <c:v>3.5760000000000002E-3</c:v>
                </c:pt>
                <c:pt idx="455">
                  <c:v>3.7520000000000001E-3</c:v>
                </c:pt>
                <c:pt idx="456">
                  <c:v>3.872E-3</c:v>
                </c:pt>
                <c:pt idx="457">
                  <c:v>3.9759999999999995E-3</c:v>
                </c:pt>
                <c:pt idx="458">
                  <c:v>4.104E-3</c:v>
                </c:pt>
                <c:pt idx="459">
                  <c:v>4.3679999999999995E-3</c:v>
                </c:pt>
                <c:pt idx="460">
                  <c:v>4.64E-3</c:v>
                </c:pt>
                <c:pt idx="461">
                  <c:v>4.9040000000000004E-3</c:v>
                </c:pt>
                <c:pt idx="462">
                  <c:v>5.1280000000000006E-3</c:v>
                </c:pt>
                <c:pt idx="463">
                  <c:v>5.352E-3</c:v>
                </c:pt>
                <c:pt idx="464">
                  <c:v>5.6080000000000001E-3</c:v>
                </c:pt>
                <c:pt idx="465">
                  <c:v>5.9120000000000006E-3</c:v>
                </c:pt>
                <c:pt idx="466">
                  <c:v>6.2240000000000004E-3</c:v>
                </c:pt>
                <c:pt idx="467">
                  <c:v>6.6080000000000002E-3</c:v>
                </c:pt>
                <c:pt idx="468">
                  <c:v>6.9680000000000011E-3</c:v>
                </c:pt>
                <c:pt idx="469">
                  <c:v>7.4000000000000003E-3</c:v>
                </c:pt>
                <c:pt idx="470">
                  <c:v>7.8880000000000009E-3</c:v>
                </c:pt>
                <c:pt idx="471">
                  <c:v>8.4000000000000012E-3</c:v>
                </c:pt>
                <c:pt idx="472">
                  <c:v>8.8000000000000005E-3</c:v>
                </c:pt>
                <c:pt idx="473">
                  <c:v>9.1200000000000014E-3</c:v>
                </c:pt>
                <c:pt idx="474">
                  <c:v>9.3600000000000003E-3</c:v>
                </c:pt>
                <c:pt idx="475">
                  <c:v>9.6800000000000011E-3</c:v>
                </c:pt>
                <c:pt idx="476">
                  <c:v>1.0240000000000001E-2</c:v>
                </c:pt>
                <c:pt idx="477">
                  <c:v>1.0960000000000001E-2</c:v>
                </c:pt>
                <c:pt idx="478">
                  <c:v>1.1520000000000001E-2</c:v>
                </c:pt>
                <c:pt idx="479">
                  <c:v>1.2E-2</c:v>
                </c:pt>
                <c:pt idx="480">
                  <c:v>1.256E-2</c:v>
                </c:pt>
                <c:pt idx="481">
                  <c:v>1.3440000000000001E-2</c:v>
                </c:pt>
                <c:pt idx="482">
                  <c:v>1.4240000000000001E-2</c:v>
                </c:pt>
                <c:pt idx="483">
                  <c:v>1.5040000000000001E-2</c:v>
                </c:pt>
                <c:pt idx="484">
                  <c:v>1.5840000000000003E-2</c:v>
                </c:pt>
                <c:pt idx="485">
                  <c:v>1.6719999999999999E-2</c:v>
                </c:pt>
                <c:pt idx="486">
                  <c:v>1.7520000000000001E-2</c:v>
                </c:pt>
                <c:pt idx="487">
                  <c:v>1.84E-2</c:v>
                </c:pt>
                <c:pt idx="488">
                  <c:v>1.9360000000000002E-2</c:v>
                </c:pt>
                <c:pt idx="489">
                  <c:v>2.0480000000000002E-2</c:v>
                </c:pt>
                <c:pt idx="490">
                  <c:v>2.1600000000000001E-2</c:v>
                </c:pt>
                <c:pt idx="491">
                  <c:v>2.2720000000000004E-2</c:v>
                </c:pt>
                <c:pt idx="492">
                  <c:v>2.4E-2</c:v>
                </c:pt>
                <c:pt idx="493">
                  <c:v>2.5280000000000004E-2</c:v>
                </c:pt>
                <c:pt idx="494">
                  <c:v>2.6640000000000004E-2</c:v>
                </c:pt>
                <c:pt idx="495">
                  <c:v>2.8000000000000004E-2</c:v>
                </c:pt>
                <c:pt idx="496">
                  <c:v>2.9360000000000004E-2</c:v>
                </c:pt>
                <c:pt idx="497">
                  <c:v>3.0960000000000001E-2</c:v>
                </c:pt>
                <c:pt idx="498">
                  <c:v>3.2719999999999999E-2</c:v>
                </c:pt>
                <c:pt idx="499">
                  <c:v>3.456E-2</c:v>
                </c:pt>
                <c:pt idx="500">
                  <c:v>3.6400000000000002E-2</c:v>
                </c:pt>
                <c:pt idx="501">
                  <c:v>3.8159999999999999E-2</c:v>
                </c:pt>
                <c:pt idx="502">
                  <c:v>4.0080000000000005E-2</c:v>
                </c:pt>
                <c:pt idx="503">
                  <c:v>4.2080000000000006E-2</c:v>
                </c:pt>
                <c:pt idx="504">
                  <c:v>4.4400000000000002E-2</c:v>
                </c:pt>
                <c:pt idx="505">
                  <c:v>4.6800000000000008E-2</c:v>
                </c:pt>
                <c:pt idx="506">
                  <c:v>4.9360000000000001E-2</c:v>
                </c:pt>
                <c:pt idx="507">
                  <c:v>5.1920000000000001E-2</c:v>
                </c:pt>
                <c:pt idx="508">
                  <c:v>5.4559999999999997E-2</c:v>
                </c:pt>
                <c:pt idx="509">
                  <c:v>5.7360000000000001E-2</c:v>
                </c:pt>
                <c:pt idx="510">
                  <c:v>6.0480000000000006E-2</c:v>
                </c:pt>
                <c:pt idx="511">
                  <c:v>6.3759999999999997E-2</c:v>
                </c:pt>
                <c:pt idx="512">
                  <c:v>6.720000000000001E-2</c:v>
                </c:pt>
                <c:pt idx="513">
                  <c:v>7.0879999999999999E-2</c:v>
                </c:pt>
                <c:pt idx="514">
                  <c:v>7.4639999999999998E-2</c:v>
                </c:pt>
                <c:pt idx="515">
                  <c:v>7.8640000000000002E-2</c:v>
                </c:pt>
                <c:pt idx="516">
                  <c:v>8.3199999999999996E-2</c:v>
                </c:pt>
                <c:pt idx="517">
                  <c:v>8.72E-2</c:v>
                </c:pt>
                <c:pt idx="518">
                  <c:v>9.2000000000000012E-2</c:v>
                </c:pt>
                <c:pt idx="519">
                  <c:v>9.6799999999999997E-2</c:v>
                </c:pt>
                <c:pt idx="520">
                  <c:v>0.1024</c:v>
                </c:pt>
                <c:pt idx="521">
                  <c:v>0.10720000000000002</c:v>
                </c:pt>
                <c:pt idx="522">
                  <c:v>0.11359999999999999</c:v>
                </c:pt>
                <c:pt idx="523">
                  <c:v>0.1192</c:v>
                </c:pt>
                <c:pt idx="524">
                  <c:v>0.12640000000000001</c:v>
                </c:pt>
                <c:pt idx="525">
                  <c:v>0.13360000000000002</c:v>
                </c:pt>
                <c:pt idx="526">
                  <c:v>0.13999999999999999</c:v>
                </c:pt>
                <c:pt idx="527">
                  <c:v>0.14799999999999999</c:v>
                </c:pt>
                <c:pt idx="528">
                  <c:v>0.1552</c:v>
                </c:pt>
                <c:pt idx="529">
                  <c:v>0.16320000000000001</c:v>
                </c:pt>
                <c:pt idx="530">
                  <c:v>0.17280000000000001</c:v>
                </c:pt>
                <c:pt idx="531">
                  <c:v>0.18160000000000001</c:v>
                </c:pt>
                <c:pt idx="532">
                  <c:v>0.192</c:v>
                </c:pt>
                <c:pt idx="533">
                  <c:v>0.20240000000000002</c:v>
                </c:pt>
                <c:pt idx="534">
                  <c:v>0.21280000000000002</c:v>
                </c:pt>
                <c:pt idx="535">
                  <c:v>0.22400000000000003</c:v>
                </c:pt>
                <c:pt idx="536">
                  <c:v>0.23680000000000001</c:v>
                </c:pt>
                <c:pt idx="537">
                  <c:v>0.24880000000000002</c:v>
                </c:pt>
                <c:pt idx="538">
                  <c:v>0.26240000000000002</c:v>
                </c:pt>
                <c:pt idx="539">
                  <c:v>0.27679999999999999</c:v>
                </c:pt>
                <c:pt idx="540">
                  <c:v>0.29199999999999998</c:v>
                </c:pt>
                <c:pt idx="541">
                  <c:v>0.30800000000000005</c:v>
                </c:pt>
                <c:pt idx="542">
                  <c:v>0.32400000000000007</c:v>
                </c:pt>
                <c:pt idx="543">
                  <c:v>0.34079999999999999</c:v>
                </c:pt>
                <c:pt idx="544">
                  <c:v>0.35760000000000003</c:v>
                </c:pt>
                <c:pt idx="545">
                  <c:v>0.376</c:v>
                </c:pt>
                <c:pt idx="546">
                  <c:v>0.3952</c:v>
                </c:pt>
                <c:pt idx="547">
                  <c:v>0.41440000000000005</c:v>
                </c:pt>
                <c:pt idx="548">
                  <c:v>0.43440000000000006</c:v>
                </c:pt>
                <c:pt idx="549">
                  <c:v>0.45599999999999996</c:v>
                </c:pt>
                <c:pt idx="550">
                  <c:v>0.47839999999999999</c:v>
                </c:pt>
                <c:pt idx="551">
                  <c:v>0.50160000000000005</c:v>
                </c:pt>
                <c:pt idx="552">
                  <c:v>0.52480000000000004</c:v>
                </c:pt>
                <c:pt idx="553">
                  <c:v>0.54800000000000004</c:v>
                </c:pt>
                <c:pt idx="554">
                  <c:v>0.57199999999999995</c:v>
                </c:pt>
                <c:pt idx="555">
                  <c:v>0.59599999999999997</c:v>
                </c:pt>
                <c:pt idx="556">
                  <c:v>0.61920000000000008</c:v>
                </c:pt>
                <c:pt idx="557">
                  <c:v>0.6432000000000001</c:v>
                </c:pt>
                <c:pt idx="558">
                  <c:v>0.66800000000000004</c:v>
                </c:pt>
                <c:pt idx="559">
                  <c:v>0.69440000000000002</c:v>
                </c:pt>
                <c:pt idx="560">
                  <c:v>0.72000000000000008</c:v>
                </c:pt>
                <c:pt idx="561">
                  <c:v>0.74560000000000004</c:v>
                </c:pt>
                <c:pt idx="562">
                  <c:v>0.7712</c:v>
                </c:pt>
                <c:pt idx="563">
                  <c:v>0.7984</c:v>
                </c:pt>
                <c:pt idx="564">
                  <c:v>0.82400000000000007</c:v>
                </c:pt>
                <c:pt idx="565">
                  <c:v>0.84800000000000009</c:v>
                </c:pt>
                <c:pt idx="566">
                  <c:v>0.87200000000000011</c:v>
                </c:pt>
                <c:pt idx="567">
                  <c:v>0.89600000000000013</c:v>
                </c:pt>
                <c:pt idx="568">
                  <c:v>0.91199999999999992</c:v>
                </c:pt>
                <c:pt idx="569">
                  <c:v>0.92799999999999994</c:v>
                </c:pt>
                <c:pt idx="570">
                  <c:v>0.93599999999999994</c:v>
                </c:pt>
                <c:pt idx="571">
                  <c:v>0.94399999999999995</c:v>
                </c:pt>
                <c:pt idx="572">
                  <c:v>0.95199999999999996</c:v>
                </c:pt>
                <c:pt idx="573">
                  <c:v>0.95199999999999996</c:v>
                </c:pt>
                <c:pt idx="574">
                  <c:v>0.94399999999999995</c:v>
                </c:pt>
                <c:pt idx="575">
                  <c:v>0.93599999999999994</c:v>
                </c:pt>
                <c:pt idx="576">
                  <c:v>0.91999999999999993</c:v>
                </c:pt>
                <c:pt idx="577">
                  <c:v>0.90399999999999991</c:v>
                </c:pt>
                <c:pt idx="578">
                  <c:v>0.88000000000000012</c:v>
                </c:pt>
                <c:pt idx="579">
                  <c:v>0.84000000000000008</c:v>
                </c:pt>
                <c:pt idx="580">
                  <c:v>0.8</c:v>
                </c:pt>
                <c:pt idx="581">
                  <c:v>0.76160000000000005</c:v>
                </c:pt>
                <c:pt idx="582">
                  <c:v>0.72160000000000002</c:v>
                </c:pt>
                <c:pt idx="583">
                  <c:v>0.68159999999999998</c:v>
                </c:pt>
                <c:pt idx="584">
                  <c:v>0.63840000000000008</c:v>
                </c:pt>
                <c:pt idx="585">
                  <c:v>0.59279999999999999</c:v>
                </c:pt>
                <c:pt idx="586">
                  <c:v>0.54640000000000011</c:v>
                </c:pt>
                <c:pt idx="587">
                  <c:v>0.50160000000000005</c:v>
                </c:pt>
                <c:pt idx="588">
                  <c:v>0.45999999999999996</c:v>
                </c:pt>
                <c:pt idx="589">
                  <c:v>0.42240000000000005</c:v>
                </c:pt>
                <c:pt idx="590">
                  <c:v>0.38719999999999999</c:v>
                </c:pt>
                <c:pt idx="591">
                  <c:v>0.35440000000000005</c:v>
                </c:pt>
                <c:pt idx="592">
                  <c:v>0.3256</c:v>
                </c:pt>
                <c:pt idx="593">
                  <c:v>0.29920000000000002</c:v>
                </c:pt>
                <c:pt idx="594">
                  <c:v>0.2752</c:v>
                </c:pt>
                <c:pt idx="595">
                  <c:v>0.25280000000000002</c:v>
                </c:pt>
                <c:pt idx="596">
                  <c:v>0.23280000000000001</c:v>
                </c:pt>
                <c:pt idx="597">
                  <c:v>0.21440000000000003</c:v>
                </c:pt>
                <c:pt idx="598">
                  <c:v>0.1976</c:v>
                </c:pt>
                <c:pt idx="599">
                  <c:v>0.18240000000000001</c:v>
                </c:pt>
                <c:pt idx="600">
                  <c:v>0.16880000000000001</c:v>
                </c:pt>
                <c:pt idx="601">
                  <c:v>0.15600000000000003</c:v>
                </c:pt>
                <c:pt idx="602">
                  <c:v>0.14399999999999999</c:v>
                </c:pt>
                <c:pt idx="603">
                  <c:v>0.1328</c:v>
                </c:pt>
                <c:pt idx="604">
                  <c:v>0.12240000000000001</c:v>
                </c:pt>
                <c:pt idx="605">
                  <c:v>0.11359999999999999</c:v>
                </c:pt>
                <c:pt idx="606">
                  <c:v>0.1048</c:v>
                </c:pt>
                <c:pt idx="607">
                  <c:v>9.6799999999999997E-2</c:v>
                </c:pt>
                <c:pt idx="608">
                  <c:v>8.9600000000000013E-2</c:v>
                </c:pt>
                <c:pt idx="609">
                  <c:v>8.3199999999999996E-2</c:v>
                </c:pt>
                <c:pt idx="610">
                  <c:v>7.7359999999999998E-2</c:v>
                </c:pt>
                <c:pt idx="611">
                  <c:v>7.1840000000000001E-2</c:v>
                </c:pt>
                <c:pt idx="612">
                  <c:v>6.6879999999999995E-2</c:v>
                </c:pt>
                <c:pt idx="613">
                  <c:v>6.2239999999999997E-2</c:v>
                </c:pt>
                <c:pt idx="614">
                  <c:v>5.8160000000000003E-2</c:v>
                </c:pt>
                <c:pt idx="615">
                  <c:v>5.4320000000000007E-2</c:v>
                </c:pt>
                <c:pt idx="616">
                  <c:v>5.0880000000000009E-2</c:v>
                </c:pt>
                <c:pt idx="617">
                  <c:v>4.7440000000000003E-2</c:v>
                </c:pt>
                <c:pt idx="618">
                  <c:v>4.4240000000000002E-2</c:v>
                </c:pt>
                <c:pt idx="619">
                  <c:v>4.1360000000000008E-2</c:v>
                </c:pt>
                <c:pt idx="620">
                  <c:v>3.8800000000000001E-2</c:v>
                </c:pt>
                <c:pt idx="621">
                  <c:v>3.6400000000000002E-2</c:v>
                </c:pt>
                <c:pt idx="622">
                  <c:v>3.44E-2</c:v>
                </c:pt>
                <c:pt idx="623">
                  <c:v>3.2480000000000002E-2</c:v>
                </c:pt>
                <c:pt idx="624">
                  <c:v>3.0640000000000001E-2</c:v>
                </c:pt>
                <c:pt idx="625">
                  <c:v>2.8799999999999999E-2</c:v>
                </c:pt>
                <c:pt idx="626">
                  <c:v>2.7200000000000002E-2</c:v>
                </c:pt>
                <c:pt idx="627">
                  <c:v>2.5760000000000002E-2</c:v>
                </c:pt>
                <c:pt idx="628">
                  <c:v>2.4480000000000002E-2</c:v>
                </c:pt>
                <c:pt idx="629">
                  <c:v>2.3120000000000002E-2</c:v>
                </c:pt>
                <c:pt idx="630">
                  <c:v>2.1840000000000002E-2</c:v>
                </c:pt>
                <c:pt idx="631">
                  <c:v>2.0480000000000002E-2</c:v>
                </c:pt>
                <c:pt idx="632">
                  <c:v>1.9120000000000002E-2</c:v>
                </c:pt>
                <c:pt idx="633">
                  <c:v>1.7999999999999999E-2</c:v>
                </c:pt>
                <c:pt idx="634">
                  <c:v>1.712E-2</c:v>
                </c:pt>
                <c:pt idx="635">
                  <c:v>1.6240000000000001E-2</c:v>
                </c:pt>
                <c:pt idx="636">
                  <c:v>1.5359999999999999E-2</c:v>
                </c:pt>
                <c:pt idx="637">
                  <c:v>1.4480000000000002E-2</c:v>
                </c:pt>
                <c:pt idx="638">
                  <c:v>1.3760000000000001E-2</c:v>
                </c:pt>
                <c:pt idx="639">
                  <c:v>1.328E-2</c:v>
                </c:pt>
                <c:pt idx="640">
                  <c:v>1.2800000000000001E-2</c:v>
                </c:pt>
                <c:pt idx="641">
                  <c:v>1.208E-2</c:v>
                </c:pt>
                <c:pt idx="642">
                  <c:v>1.128E-2</c:v>
                </c:pt>
                <c:pt idx="643">
                  <c:v>1.056E-2</c:v>
                </c:pt>
                <c:pt idx="644">
                  <c:v>1.008E-2</c:v>
                </c:pt>
                <c:pt idx="645">
                  <c:v>9.6800000000000011E-3</c:v>
                </c:pt>
                <c:pt idx="646">
                  <c:v>9.1200000000000014E-3</c:v>
                </c:pt>
                <c:pt idx="647">
                  <c:v>8.5599999999999999E-3</c:v>
                </c:pt>
                <c:pt idx="648">
                  <c:v>8.0000000000000002E-3</c:v>
                </c:pt>
                <c:pt idx="649">
                  <c:v>7.7359999999999998E-3</c:v>
                </c:pt>
                <c:pt idx="650">
                  <c:v>7.5759999999999994E-3</c:v>
                </c:pt>
                <c:pt idx="651">
                  <c:v>7.3200000000000001E-3</c:v>
                </c:pt>
                <c:pt idx="652">
                  <c:v>6.8000000000000005E-3</c:v>
                </c:pt>
                <c:pt idx="653">
                  <c:v>6.5519999999999997E-3</c:v>
                </c:pt>
                <c:pt idx="654">
                  <c:v>6.4240000000000009E-3</c:v>
                </c:pt>
                <c:pt idx="655">
                  <c:v>6.5519999999999997E-3</c:v>
                </c:pt>
                <c:pt idx="656">
                  <c:v>6.4080000000000005E-3</c:v>
                </c:pt>
                <c:pt idx="657">
                  <c:v>6.1440000000000002E-3</c:v>
                </c:pt>
                <c:pt idx="658">
                  <c:v>5.744E-3</c:v>
                </c:pt>
                <c:pt idx="659">
                  <c:v>5.2720000000000006E-3</c:v>
                </c:pt>
                <c:pt idx="660">
                  <c:v>4.9440000000000005E-3</c:v>
                </c:pt>
                <c:pt idx="661">
                  <c:v>4.7200000000000002E-3</c:v>
                </c:pt>
                <c:pt idx="662">
                  <c:v>4.6319999999999998E-3</c:v>
                </c:pt>
                <c:pt idx="663">
                  <c:v>4.4080000000000005E-3</c:v>
                </c:pt>
                <c:pt idx="664">
                  <c:v>4.1599999999999996E-3</c:v>
                </c:pt>
                <c:pt idx="665">
                  <c:v>4.0800000000000003E-3</c:v>
                </c:pt>
                <c:pt idx="666">
                  <c:v>4.0559999999999997E-3</c:v>
                </c:pt>
                <c:pt idx="667">
                  <c:v>4.0559999999999997E-3</c:v>
                </c:pt>
                <c:pt idx="668">
                  <c:v>3.9199999999999999E-3</c:v>
                </c:pt>
                <c:pt idx="669">
                  <c:v>3.9440000000000005E-3</c:v>
                </c:pt>
                <c:pt idx="670">
                  <c:v>3.7440000000000004E-3</c:v>
                </c:pt>
                <c:pt idx="671">
                  <c:v>3.48E-3</c:v>
                </c:pt>
                <c:pt idx="672">
                  <c:v>3.2880000000000001E-3</c:v>
                </c:pt>
                <c:pt idx="673">
                  <c:v>3.392E-3</c:v>
                </c:pt>
                <c:pt idx="674">
                  <c:v>3.4000000000000002E-3</c:v>
                </c:pt>
                <c:pt idx="675">
                  <c:v>3.2800000000000004E-3</c:v>
                </c:pt>
                <c:pt idx="676">
                  <c:v>2.9440000000000004E-3</c:v>
                </c:pt>
                <c:pt idx="677">
                  <c:v>2.784E-3</c:v>
                </c:pt>
                <c:pt idx="678">
                  <c:v>2.5920000000000001E-3</c:v>
                </c:pt>
                <c:pt idx="679">
                  <c:v>2.6160000000000003E-3</c:v>
                </c:pt>
                <c:pt idx="680">
                  <c:v>2.7920000000000002E-3</c:v>
                </c:pt>
                <c:pt idx="681">
                  <c:v>2.784E-3</c:v>
                </c:pt>
                <c:pt idx="682">
                  <c:v>2.5360000000000001E-3</c:v>
                </c:pt>
                <c:pt idx="683">
                  <c:v>2.232E-3</c:v>
                </c:pt>
                <c:pt idx="684">
                  <c:v>2.1839999999999997E-3</c:v>
                </c:pt>
                <c:pt idx="685">
                  <c:v>2.088E-3</c:v>
                </c:pt>
                <c:pt idx="686">
                  <c:v>2.1760000000000004E-3</c:v>
                </c:pt>
                <c:pt idx="687">
                  <c:v>2.1919999999999999E-3</c:v>
                </c:pt>
                <c:pt idx="688">
                  <c:v>2.1440000000000001E-3</c:v>
                </c:pt>
                <c:pt idx="689">
                  <c:v>2.0480000000000003E-3</c:v>
                </c:pt>
                <c:pt idx="690">
                  <c:v>1.8880000000000001E-3</c:v>
                </c:pt>
                <c:pt idx="691">
                  <c:v>1.9199999999999998E-3</c:v>
                </c:pt>
                <c:pt idx="692">
                  <c:v>1.9759999999999999E-3</c:v>
                </c:pt>
                <c:pt idx="693">
                  <c:v>2.1280000000000001E-3</c:v>
                </c:pt>
                <c:pt idx="694">
                  <c:v>2.1199999999999999E-3</c:v>
                </c:pt>
                <c:pt idx="695">
                  <c:v>1.8400000000000001E-3</c:v>
                </c:pt>
                <c:pt idx="696">
                  <c:v>1.5920000000000001E-3</c:v>
                </c:pt>
                <c:pt idx="697">
                  <c:v>1.464E-3</c:v>
                </c:pt>
                <c:pt idx="698">
                  <c:v>1.6000000000000001E-3</c:v>
                </c:pt>
                <c:pt idx="699">
                  <c:v>1.8400000000000001E-3</c:v>
                </c:pt>
                <c:pt idx="700">
                  <c:v>1.8880000000000001E-3</c:v>
                </c:pt>
                <c:pt idx="701">
                  <c:v>1.7520000000000001E-3</c:v>
                </c:pt>
                <c:pt idx="702">
                  <c:v>1.7440000000000001E-3</c:v>
                </c:pt>
                <c:pt idx="703">
                  <c:v>1.6559999999999999E-3</c:v>
                </c:pt>
                <c:pt idx="704">
                  <c:v>1.712E-3</c:v>
                </c:pt>
                <c:pt idx="705">
                  <c:v>1.5520000000000002E-3</c:v>
                </c:pt>
                <c:pt idx="706">
                  <c:v>1.6240000000000002E-3</c:v>
                </c:pt>
                <c:pt idx="707">
                  <c:v>1.536E-3</c:v>
                </c:pt>
                <c:pt idx="708">
                  <c:v>1.3280000000000002E-3</c:v>
                </c:pt>
                <c:pt idx="709">
                  <c:v>1.248E-3</c:v>
                </c:pt>
                <c:pt idx="710">
                  <c:v>1.5040000000000001E-3</c:v>
                </c:pt>
                <c:pt idx="711">
                  <c:v>1.8240000000000001E-3</c:v>
                </c:pt>
                <c:pt idx="712">
                  <c:v>1.856E-3</c:v>
                </c:pt>
                <c:pt idx="713">
                  <c:v>1.6480000000000002E-3</c:v>
                </c:pt>
                <c:pt idx="714">
                  <c:v>1.6800000000000001E-3</c:v>
                </c:pt>
                <c:pt idx="715">
                  <c:v>1.688E-3</c:v>
                </c:pt>
                <c:pt idx="716">
                  <c:v>1.5120000000000001E-3</c:v>
                </c:pt>
                <c:pt idx="717">
                  <c:v>1.312E-3</c:v>
                </c:pt>
                <c:pt idx="718">
                  <c:v>1.4320000000000001E-3</c:v>
                </c:pt>
                <c:pt idx="719">
                  <c:v>1.792E-3</c:v>
                </c:pt>
                <c:pt idx="720">
                  <c:v>1.7840000000000002E-3</c:v>
                </c:pt>
                <c:pt idx="721">
                  <c:v>1.3360000000000002E-3</c:v>
                </c:pt>
                <c:pt idx="722">
                  <c:v>9.3600000000000009E-4</c:v>
                </c:pt>
                <c:pt idx="723">
                  <c:v>9.5999999999999992E-4</c:v>
                </c:pt>
                <c:pt idx="724">
                  <c:v>1.0399999999999999E-3</c:v>
                </c:pt>
                <c:pt idx="725">
                  <c:v>1E-3</c:v>
                </c:pt>
                <c:pt idx="726">
                  <c:v>8.4800000000000001E-4</c:v>
                </c:pt>
                <c:pt idx="727">
                  <c:v>9.8400000000000007E-4</c:v>
                </c:pt>
                <c:pt idx="728">
                  <c:v>1.152E-3</c:v>
                </c:pt>
                <c:pt idx="729">
                  <c:v>1.2960000000000001E-3</c:v>
                </c:pt>
                <c:pt idx="730">
                  <c:v>1.392E-3</c:v>
                </c:pt>
                <c:pt idx="731">
                  <c:v>1.4080000000000002E-3</c:v>
                </c:pt>
                <c:pt idx="732">
                  <c:v>1.4720000000000002E-3</c:v>
                </c:pt>
                <c:pt idx="733">
                  <c:v>1.3280000000000002E-3</c:v>
                </c:pt>
                <c:pt idx="734">
                  <c:v>1.304E-3</c:v>
                </c:pt>
                <c:pt idx="735">
                  <c:v>1.096E-3</c:v>
                </c:pt>
                <c:pt idx="736">
                  <c:v>8.0800000000000012E-4</c:v>
                </c:pt>
                <c:pt idx="737">
                  <c:v>5.3200000000000003E-4</c:v>
                </c:pt>
                <c:pt idx="738">
                  <c:v>8.3199999999999995E-4</c:v>
                </c:pt>
                <c:pt idx="739">
                  <c:v>1.0399999999999999E-3</c:v>
                </c:pt>
                <c:pt idx="740">
                  <c:v>8.4800000000000001E-4</c:v>
                </c:pt>
                <c:pt idx="741">
                  <c:v>3.5760000000000002E-4</c:v>
                </c:pt>
                <c:pt idx="742">
                  <c:v>4.2240000000000008E-4</c:v>
                </c:pt>
                <c:pt idx="743">
                  <c:v>8.0800000000000012E-4</c:v>
                </c:pt>
                <c:pt idx="744">
                  <c:v>1.24E-3</c:v>
                </c:pt>
                <c:pt idx="745">
                  <c:v>1.4239999999999999E-3</c:v>
                </c:pt>
                <c:pt idx="746">
                  <c:v>1.2640000000000001E-3</c:v>
                </c:pt>
                <c:pt idx="747">
                  <c:v>8.2400000000000008E-4</c:v>
                </c:pt>
                <c:pt idx="748">
                  <c:v>5.3200000000000003E-4</c:v>
                </c:pt>
                <c:pt idx="749">
                  <c:v>6.6560000000000002E-4</c:v>
                </c:pt>
                <c:pt idx="750">
                  <c:v>7.6480000000000005E-4</c:v>
                </c:pt>
                <c:pt idx="751">
                  <c:v>1.1360000000000001E-3</c:v>
                </c:pt>
                <c:pt idx="752">
                  <c:v>1.1280000000000001E-3</c:v>
                </c:pt>
                <c:pt idx="753">
                  <c:v>1.1039999999999999E-3</c:v>
                </c:pt>
                <c:pt idx="754">
                  <c:v>8.3199999999999995E-4</c:v>
                </c:pt>
                <c:pt idx="755">
                  <c:v>6.3440000000000002E-4</c:v>
                </c:pt>
                <c:pt idx="756">
                  <c:v>5.3919999999999999E-4</c:v>
                </c:pt>
                <c:pt idx="757">
                  <c:v>5.8719999999999996E-4</c:v>
                </c:pt>
                <c:pt idx="758">
                  <c:v>6.8240000000000011E-4</c:v>
                </c:pt>
                <c:pt idx="759">
                  <c:v>6.0320000000000003E-4</c:v>
                </c:pt>
                <c:pt idx="760">
                  <c:v>1.4480000000000001E-3</c:v>
                </c:pt>
                <c:pt idx="761">
                  <c:v>4.6480000000000002E-3</c:v>
                </c:pt>
                <c:pt idx="762">
                  <c:v>5.5520000000000005E-3</c:v>
                </c:pt>
                <c:pt idx="763">
                  <c:v>4.2639999999999996E-3</c:v>
                </c:pt>
                <c:pt idx="764">
                  <c:v>1.4400000000000001E-3</c:v>
                </c:pt>
                <c:pt idx="765">
                  <c:v>9.1200000000000005E-4</c:v>
                </c:pt>
                <c:pt idx="766">
                  <c:v>9.5200000000000016E-4</c:v>
                </c:pt>
                <c:pt idx="767">
                  <c:v>1.4000000000000002E-3</c:v>
                </c:pt>
                <c:pt idx="768">
                  <c:v>1.3680000000000001E-3</c:v>
                </c:pt>
                <c:pt idx="769">
                  <c:v>1.24E-3</c:v>
                </c:pt>
                <c:pt idx="770">
                  <c:v>1.0160000000000002E-3</c:v>
                </c:pt>
                <c:pt idx="771">
                  <c:v>8.2400000000000008E-4</c:v>
                </c:pt>
                <c:pt idx="772">
                  <c:v>7.9760000000000009E-4</c:v>
                </c:pt>
                <c:pt idx="773">
                  <c:v>9.0399999999999996E-4</c:v>
                </c:pt>
                <c:pt idx="774">
                  <c:v>1.2160000000000001E-3</c:v>
                </c:pt>
                <c:pt idx="775">
                  <c:v>1.2640000000000001E-3</c:v>
                </c:pt>
                <c:pt idx="776">
                  <c:v>9.7599999999999998E-4</c:v>
                </c:pt>
                <c:pt idx="777">
                  <c:v>6.4320000000000002E-4</c:v>
                </c:pt>
                <c:pt idx="778">
                  <c:v>3.9280000000000001E-4</c:v>
                </c:pt>
                <c:pt idx="779">
                  <c:v>2.7040000000000001E-4</c:v>
                </c:pt>
                <c:pt idx="780">
                  <c:v>3.9839999999999998E-4</c:v>
                </c:pt>
                <c:pt idx="781">
                  <c:v>9.7599999999999998E-4</c:v>
                </c:pt>
                <c:pt idx="782">
                  <c:v>1.072E-3</c:v>
                </c:pt>
                <c:pt idx="783">
                  <c:v>1.1440000000000001E-3</c:v>
                </c:pt>
                <c:pt idx="784">
                  <c:v>1.1039999999999999E-3</c:v>
                </c:pt>
                <c:pt idx="785">
                  <c:v>1.4239999999999999E-3</c:v>
                </c:pt>
                <c:pt idx="786">
                  <c:v>1.1200000000000001E-3</c:v>
                </c:pt>
                <c:pt idx="787">
                  <c:v>6.96E-4</c:v>
                </c:pt>
                <c:pt idx="788">
                  <c:v>2.3040000000000002E-4</c:v>
                </c:pt>
                <c:pt idx="789">
                  <c:v>2.296E-4</c:v>
                </c:pt>
                <c:pt idx="790">
                  <c:v>9.4400000000000004E-5</c:v>
                </c:pt>
                <c:pt idx="791">
                  <c:v>0</c:v>
                </c:pt>
                <c:pt idx="792">
                  <c:v>0</c:v>
                </c:pt>
                <c:pt idx="793">
                  <c:v>2.1920000000000002E-4</c:v>
                </c:pt>
                <c:pt idx="794">
                  <c:v>8.8800000000000012E-4</c:v>
                </c:pt>
                <c:pt idx="795">
                  <c:v>1.4000000000000002E-3</c:v>
                </c:pt>
                <c:pt idx="796">
                  <c:v>1.1920000000000001E-3</c:v>
                </c:pt>
                <c:pt idx="797">
                  <c:v>7.7680000000000002E-4</c:v>
                </c:pt>
                <c:pt idx="798">
                  <c:v>6.5040000000000009E-4</c:v>
                </c:pt>
                <c:pt idx="799">
                  <c:v>6.864000000000001E-4</c:v>
                </c:pt>
                <c:pt idx="800">
                  <c:v>7.3760000000000004E-4</c:v>
                </c:pt>
                <c:pt idx="801">
                  <c:v>5.7760000000000005E-4</c:v>
                </c:pt>
                <c:pt idx="802">
                  <c:v>2.6800000000000001E-4</c:v>
                </c:pt>
                <c:pt idx="803">
                  <c:v>7.8960000000000003E-5</c:v>
                </c:pt>
                <c:pt idx="804">
                  <c:v>1.4480000000000002E-4</c:v>
                </c:pt>
                <c:pt idx="805">
                  <c:v>5.0560000000000004E-4</c:v>
                </c:pt>
                <c:pt idx="806">
                  <c:v>8.8000000000000014E-4</c:v>
                </c:pt>
                <c:pt idx="807">
                  <c:v>1.248E-3</c:v>
                </c:pt>
                <c:pt idx="808">
                  <c:v>1.3360000000000002E-3</c:v>
                </c:pt>
                <c:pt idx="809">
                  <c:v>9.2800000000000001E-4</c:v>
                </c:pt>
                <c:pt idx="810">
                  <c:v>2.7599999999999999E-4</c:v>
                </c:pt>
                <c:pt idx="811">
                  <c:v>1.6800000000000002E-4</c:v>
                </c:pt>
                <c:pt idx="812">
                  <c:v>2.3680000000000001E-4</c:v>
                </c:pt>
                <c:pt idx="813">
                  <c:v>2.8400000000000002E-4</c:v>
                </c:pt>
                <c:pt idx="814">
                  <c:v>1.1360000000000001E-4</c:v>
                </c:pt>
                <c:pt idx="815">
                  <c:v>2.7920000000000001E-4</c:v>
                </c:pt>
                <c:pt idx="816">
                  <c:v>2.6480000000000004E-4</c:v>
                </c:pt>
                <c:pt idx="817">
                  <c:v>2.4000000000000001E-5</c:v>
                </c:pt>
                <c:pt idx="818">
                  <c:v>0</c:v>
                </c:pt>
                <c:pt idx="819">
                  <c:v>0</c:v>
                </c:pt>
                <c:pt idx="820">
                  <c:v>0</c:v>
                </c:pt>
                <c:pt idx="821">
                  <c:v>3.9839999999999998E-5</c:v>
                </c:pt>
                <c:pt idx="822">
                  <c:v>1.9120000000000001E-4</c:v>
                </c:pt>
                <c:pt idx="823">
                  <c:v>4.0640000000000001E-4</c:v>
                </c:pt>
                <c:pt idx="824">
                  <c:v>5.5920000000000004E-4</c:v>
                </c:pt>
                <c:pt idx="825">
                  <c:v>1.232E-3</c:v>
                </c:pt>
                <c:pt idx="826">
                  <c:v>1.9040000000000003E-3</c:v>
                </c:pt>
                <c:pt idx="827">
                  <c:v>2.2880000000000001E-3</c:v>
                </c:pt>
                <c:pt idx="828">
                  <c:v>1.392E-3</c:v>
                </c:pt>
                <c:pt idx="829">
                  <c:v>6.2319999999999997E-4</c:v>
                </c:pt>
                <c:pt idx="830">
                  <c:v>8.8800000000000004E-5</c:v>
                </c:pt>
                <c:pt idx="831">
                  <c:v>4.1440000000000003E-5</c:v>
                </c:pt>
                <c:pt idx="832">
                  <c:v>2.5999999999999998E-4</c:v>
                </c:pt>
                <c:pt idx="833">
                  <c:v>5.3600000000000002E-4</c:v>
                </c:pt>
                <c:pt idx="834">
                  <c:v>8.4000000000000003E-4</c:v>
                </c:pt>
                <c:pt idx="835">
                  <c:v>9.2800000000000001E-4</c:v>
                </c:pt>
                <c:pt idx="836">
                  <c:v>1.304E-3</c:v>
                </c:pt>
                <c:pt idx="837">
                  <c:v>1.464E-3</c:v>
                </c:pt>
                <c:pt idx="838">
                  <c:v>1.3760000000000001E-3</c:v>
                </c:pt>
                <c:pt idx="839">
                  <c:v>1.0640000000000001E-3</c:v>
                </c:pt>
                <c:pt idx="840">
                  <c:v>6.5040000000000009E-4</c:v>
                </c:pt>
                <c:pt idx="841">
                  <c:v>4.4480000000000008E-5</c:v>
                </c:pt>
                <c:pt idx="842">
                  <c:v>7.3520000000000001E-6</c:v>
                </c:pt>
                <c:pt idx="843">
                  <c:v>8.1600000000000005E-5</c:v>
                </c:pt>
                <c:pt idx="844">
                  <c:v>4.1360000000000002E-4</c:v>
                </c:pt>
                <c:pt idx="845">
                  <c:v>4.0480000000000008E-4</c:v>
                </c:pt>
                <c:pt idx="846">
                  <c:v>1.1520000000000001E-4</c:v>
                </c:pt>
                <c:pt idx="847">
                  <c:v>0</c:v>
                </c:pt>
                <c:pt idx="848">
                  <c:v>0</c:v>
                </c:pt>
                <c:pt idx="849">
                  <c:v>0</c:v>
                </c:pt>
                <c:pt idx="850">
                  <c:v>0</c:v>
                </c:pt>
                <c:pt idx="851">
                  <c:v>0</c:v>
                </c:pt>
                <c:pt idx="852">
                  <c:v>0</c:v>
                </c:pt>
                <c:pt idx="853">
                  <c:v>0</c:v>
                </c:pt>
                <c:pt idx="854">
                  <c:v>0</c:v>
                </c:pt>
                <c:pt idx="855">
                  <c:v>0</c:v>
                </c:pt>
                <c:pt idx="856">
                  <c:v>0</c:v>
                </c:pt>
                <c:pt idx="857">
                  <c:v>0</c:v>
                </c:pt>
                <c:pt idx="858">
                  <c:v>0</c:v>
                </c:pt>
                <c:pt idx="859">
                  <c:v>0</c:v>
                </c:pt>
                <c:pt idx="860">
                  <c:v>0</c:v>
                </c:pt>
                <c:pt idx="861">
                  <c:v>2.8719999999999999E-4</c:v>
                </c:pt>
                <c:pt idx="862">
                  <c:v>7.7200000000000012E-4</c:v>
                </c:pt>
                <c:pt idx="863">
                  <c:v>1.1920000000000001E-3</c:v>
                </c:pt>
                <c:pt idx="864">
                  <c:v>1.176E-3</c:v>
                </c:pt>
                <c:pt idx="865">
                  <c:v>9.3600000000000009E-4</c:v>
                </c:pt>
                <c:pt idx="866">
                  <c:v>4.528E-4</c:v>
                </c:pt>
                <c:pt idx="867">
                  <c:v>6.5199999999999999E-5</c:v>
                </c:pt>
                <c:pt idx="868">
                  <c:v>0</c:v>
                </c:pt>
                <c:pt idx="869">
                  <c:v>0</c:v>
                </c:pt>
                <c:pt idx="870">
                  <c:v>5.8240000000000006E-4</c:v>
                </c:pt>
                <c:pt idx="871">
                  <c:v>8.6400000000000008E-4</c:v>
                </c:pt>
                <c:pt idx="872">
                  <c:v>1.08E-3</c:v>
                </c:pt>
                <c:pt idx="873">
                  <c:v>7.984E-4</c:v>
                </c:pt>
                <c:pt idx="874">
                  <c:v>8.160000000000001E-4</c:v>
                </c:pt>
                <c:pt idx="875">
                  <c:v>7.000000000000001E-4</c:v>
                </c:pt>
                <c:pt idx="876">
                  <c:v>4.5199999999999998E-4</c:v>
                </c:pt>
                <c:pt idx="877">
                  <c:v>5.5679999999999998E-4</c:v>
                </c:pt>
                <c:pt idx="878">
                  <c:v>2.408E-4</c:v>
                </c:pt>
                <c:pt idx="879">
                  <c:v>1.9440000000000001E-4</c:v>
                </c:pt>
                <c:pt idx="880">
                  <c:v>2.3680000000000001E-4</c:v>
                </c:pt>
                <c:pt idx="881">
                  <c:v>4.1840000000000003E-4</c:v>
                </c:pt>
                <c:pt idx="882">
                  <c:v>2.1440000000000001E-4</c:v>
                </c:pt>
                <c:pt idx="883">
                  <c:v>4.7440000000000004E-4</c:v>
                </c:pt>
                <c:pt idx="884">
                  <c:v>7.1520000000000004E-4</c:v>
                </c:pt>
                <c:pt idx="885">
                  <c:v>5.4799999999999998E-4</c:v>
                </c:pt>
                <c:pt idx="886">
                  <c:v>2.6719999999999999E-4</c:v>
                </c:pt>
                <c:pt idx="887">
                  <c:v>5.9760000000000011E-4</c:v>
                </c:pt>
                <c:pt idx="888">
                  <c:v>1.008E-3</c:v>
                </c:pt>
                <c:pt idx="889">
                  <c:v>7.7760000000000004E-4</c:v>
                </c:pt>
                <c:pt idx="890">
                  <c:v>3.4640000000000002E-4</c:v>
                </c:pt>
                <c:pt idx="891">
                  <c:v>1E-4</c:v>
                </c:pt>
                <c:pt idx="892">
                  <c:v>0</c:v>
                </c:pt>
                <c:pt idx="893">
                  <c:v>0</c:v>
                </c:pt>
                <c:pt idx="894">
                  <c:v>0</c:v>
                </c:pt>
                <c:pt idx="895">
                  <c:v>3.5280000000000001E-4</c:v>
                </c:pt>
                <c:pt idx="896">
                  <c:v>8.0800000000000012E-4</c:v>
                </c:pt>
                <c:pt idx="897">
                  <c:v>1.6320000000000002E-3</c:v>
                </c:pt>
                <c:pt idx="898">
                  <c:v>1.792E-3</c:v>
                </c:pt>
                <c:pt idx="899">
                  <c:v>1.7520000000000001E-3</c:v>
                </c:pt>
                <c:pt idx="900">
                  <c:v>8.5599999999999999E-4</c:v>
                </c:pt>
                <c:pt idx="901">
                  <c:v>1.3760000000000001E-4</c:v>
                </c:pt>
                <c:pt idx="902">
                  <c:v>0</c:v>
                </c:pt>
                <c:pt idx="903">
                  <c:v>6.7840000000000001E-5</c:v>
                </c:pt>
                <c:pt idx="904">
                  <c:v>4.1599999999999997E-4</c:v>
                </c:pt>
                <c:pt idx="905">
                  <c:v>2.2480000000000002E-4</c:v>
                </c:pt>
                <c:pt idx="906">
                  <c:v>0</c:v>
                </c:pt>
                <c:pt idx="907">
                  <c:v>0</c:v>
                </c:pt>
                <c:pt idx="908">
                  <c:v>3.4480000000000003E-4</c:v>
                </c:pt>
                <c:pt idx="909">
                  <c:v>1.1440000000000001E-3</c:v>
                </c:pt>
                <c:pt idx="910">
                  <c:v>9.1200000000000005E-4</c:v>
                </c:pt>
                <c:pt idx="911">
                  <c:v>8.5599999999999999E-4</c:v>
                </c:pt>
                <c:pt idx="912">
                  <c:v>4.4479999999999997E-4</c:v>
                </c:pt>
                <c:pt idx="913">
                  <c:v>8.160000000000001E-4</c:v>
                </c:pt>
                <c:pt idx="914">
                  <c:v>9.7599999999999998E-4</c:v>
                </c:pt>
                <c:pt idx="915">
                  <c:v>1.08E-3</c:v>
                </c:pt>
                <c:pt idx="916">
                  <c:v>6.9760000000000004E-4</c:v>
                </c:pt>
                <c:pt idx="917">
                  <c:v>7.000000000000001E-4</c:v>
                </c:pt>
                <c:pt idx="918">
                  <c:v>4.3600000000000003E-4</c:v>
                </c:pt>
                <c:pt idx="919">
                  <c:v>4.5040000000000005E-4</c:v>
                </c:pt>
                <c:pt idx="920">
                  <c:v>5.2400000000000005E-4</c:v>
                </c:pt>
                <c:pt idx="921">
                  <c:v>1.3439999999999999E-4</c:v>
                </c:pt>
                <c:pt idx="922">
                  <c:v>0</c:v>
                </c:pt>
                <c:pt idx="923">
                  <c:v>2.3999999999999998E-4</c:v>
                </c:pt>
                <c:pt idx="924">
                  <c:v>1.0399999999999999E-3</c:v>
                </c:pt>
                <c:pt idx="925">
                  <c:v>1.0160000000000002E-3</c:v>
                </c:pt>
                <c:pt idx="926">
                  <c:v>4.1920000000000005E-4</c:v>
                </c:pt>
                <c:pt idx="927">
                  <c:v>0</c:v>
                </c:pt>
                <c:pt idx="928">
                  <c:v>7.7760000000000004E-4</c:v>
                </c:pt>
                <c:pt idx="929">
                  <c:v>2.1120000000000002E-3</c:v>
                </c:pt>
                <c:pt idx="930">
                  <c:v>2.088E-3</c:v>
                </c:pt>
                <c:pt idx="931">
                  <c:v>1.312E-3</c:v>
                </c:pt>
                <c:pt idx="932">
                  <c:v>8.3200000000000003E-5</c:v>
                </c:pt>
                <c:pt idx="933">
                  <c:v>8.4000000000000009E-5</c:v>
                </c:pt>
                <c:pt idx="934">
                  <c:v>4.7200000000000003E-4</c:v>
                </c:pt>
                <c:pt idx="935">
                  <c:v>7.8720000000000005E-4</c:v>
                </c:pt>
                <c:pt idx="936">
                  <c:v>1.08E-3</c:v>
                </c:pt>
                <c:pt idx="937">
                  <c:v>9.9200000000000004E-4</c:v>
                </c:pt>
                <c:pt idx="938">
                  <c:v>5.2400000000000005E-4</c:v>
                </c:pt>
                <c:pt idx="939">
                  <c:v>1.896E-4</c:v>
                </c:pt>
                <c:pt idx="940">
                  <c:v>5.9040000000000004E-4</c:v>
                </c:pt>
                <c:pt idx="941">
                  <c:v>1.1360000000000001E-3</c:v>
                </c:pt>
                <c:pt idx="942">
                  <c:v>1.3600000000000001E-3</c:v>
                </c:pt>
                <c:pt idx="943">
                  <c:v>1.1039999999999999E-3</c:v>
                </c:pt>
                <c:pt idx="944">
                  <c:v>6.5120000000000011E-4</c:v>
                </c:pt>
                <c:pt idx="945">
                  <c:v>2.1679999999999998E-4</c:v>
                </c:pt>
                <c:pt idx="946">
                  <c:v>2.0880000000000001E-4</c:v>
                </c:pt>
                <c:pt idx="947">
                  <c:v>0</c:v>
                </c:pt>
                <c:pt idx="948">
                  <c:v>0</c:v>
                </c:pt>
                <c:pt idx="949">
                  <c:v>0</c:v>
                </c:pt>
                <c:pt idx="950">
                  <c:v>1.1840000000000002E-3</c:v>
                </c:pt>
                <c:pt idx="951">
                  <c:v>2.4240000000000004E-3</c:v>
                </c:pt>
                <c:pt idx="952">
                  <c:v>2.5920000000000001E-3</c:v>
                </c:pt>
                <c:pt idx="953">
                  <c:v>1.2720000000000001E-3</c:v>
                </c:pt>
                <c:pt idx="954">
                  <c:v>8.4800000000000001E-4</c:v>
                </c:pt>
                <c:pt idx="955">
                  <c:v>1.2720000000000001E-3</c:v>
                </c:pt>
                <c:pt idx="956">
                  <c:v>1.5520000000000002E-3</c:v>
                </c:pt>
                <c:pt idx="957">
                  <c:v>6.1680000000000003E-4</c:v>
                </c:pt>
                <c:pt idx="958">
                  <c:v>1.6080000000000001E-4</c:v>
                </c:pt>
                <c:pt idx="959">
                  <c:v>2.304E-5</c:v>
                </c:pt>
                <c:pt idx="960">
                  <c:v>2.0000000000000001E-4</c:v>
                </c:pt>
                <c:pt idx="961">
                  <c:v>1.04E-5</c:v>
                </c:pt>
                <c:pt idx="962">
                  <c:v>0</c:v>
                </c:pt>
                <c:pt idx="963">
                  <c:v>0</c:v>
                </c:pt>
                <c:pt idx="964">
                  <c:v>0</c:v>
                </c:pt>
                <c:pt idx="965">
                  <c:v>0</c:v>
                </c:pt>
                <c:pt idx="966">
                  <c:v>4.7679999999999999E-4</c:v>
                </c:pt>
                <c:pt idx="967">
                  <c:v>4.7999999999999996E-4</c:v>
                </c:pt>
                <c:pt idx="968">
                  <c:v>6.1600000000000001E-4</c:v>
                </c:pt>
                <c:pt idx="969">
                  <c:v>6.1440000000000008E-4</c:v>
                </c:pt>
                <c:pt idx="970">
                  <c:v>8.4800000000000001E-4</c:v>
                </c:pt>
                <c:pt idx="971">
                  <c:v>1.3760000000000001E-3</c:v>
                </c:pt>
                <c:pt idx="972">
                  <c:v>1.6559999999999999E-3</c:v>
                </c:pt>
                <c:pt idx="973">
                  <c:v>4.4799999999999999E-4</c:v>
                </c:pt>
                <c:pt idx="974">
                  <c:v>0</c:v>
                </c:pt>
                <c:pt idx="975">
                  <c:v>0</c:v>
                </c:pt>
                <c:pt idx="976">
                  <c:v>4.7200000000000003E-4</c:v>
                </c:pt>
                <c:pt idx="977">
                  <c:v>1.7680000000000003E-3</c:v>
                </c:pt>
                <c:pt idx="978">
                  <c:v>2.0720000000000001E-3</c:v>
                </c:pt>
                <c:pt idx="979">
                  <c:v>1.6480000000000002E-3</c:v>
                </c:pt>
                <c:pt idx="980">
                  <c:v>1.1039999999999999E-3</c:v>
                </c:pt>
                <c:pt idx="981">
                  <c:v>9.0399999999999996E-4</c:v>
                </c:pt>
                <c:pt idx="982">
                  <c:v>2.0080000000000002E-3</c:v>
                </c:pt>
                <c:pt idx="983">
                  <c:v>2.5200000000000001E-3</c:v>
                </c:pt>
                <c:pt idx="984">
                  <c:v>2.248E-3</c:v>
                </c:pt>
                <c:pt idx="985">
                  <c:v>1.2880000000000001E-3</c:v>
                </c:pt>
                <c:pt idx="986">
                  <c:v>3.8240000000000003E-4</c:v>
                </c:pt>
                <c:pt idx="987">
                  <c:v>9.3600000000000009E-4</c:v>
                </c:pt>
                <c:pt idx="988">
                  <c:v>1.176E-3</c:v>
                </c:pt>
                <c:pt idx="989">
                  <c:v>1.4080000000000002E-3</c:v>
                </c:pt>
                <c:pt idx="990">
                  <c:v>1.9840000000000001E-3</c:v>
                </c:pt>
                <c:pt idx="991">
                  <c:v>3.2320000000000005E-3</c:v>
                </c:pt>
                <c:pt idx="992">
                  <c:v>2.8800000000000002E-3</c:v>
                </c:pt>
                <c:pt idx="993">
                  <c:v>2.1919999999999999E-3</c:v>
                </c:pt>
                <c:pt idx="994">
                  <c:v>2.784E-3</c:v>
                </c:pt>
                <c:pt idx="995">
                  <c:v>2.8160000000000004E-3</c:v>
                </c:pt>
                <c:pt idx="996">
                  <c:v>2.232E-3</c:v>
                </c:pt>
                <c:pt idx="997">
                  <c:v>2.1280000000000001E-3</c:v>
                </c:pt>
                <c:pt idx="998">
                  <c:v>1.8720000000000002E-3</c:v>
                </c:pt>
                <c:pt idx="999">
                  <c:v>2.9120000000000001E-3</c:v>
                </c:pt>
                <c:pt idx="1000">
                  <c:v>4.248E-3</c:v>
                </c:pt>
              </c:numCache>
            </c:numRef>
          </c:val>
          <c:smooth val="1"/>
          <c:extLst>
            <c:ext xmlns:c16="http://schemas.microsoft.com/office/drawing/2014/chart" uri="{C3380CC4-5D6E-409C-BE32-E72D297353CC}">
              <c16:uniqueId val="{00000000-6D05-0E48-9D51-931E127B31BC}"/>
            </c:ext>
          </c:extLst>
        </c:ser>
        <c:ser>
          <c:idx val="2"/>
          <c:order val="1"/>
          <c:tx>
            <c:strRef>
              <c:f>Sheet1!$C$1</c:f>
              <c:strCache>
                <c:ptCount val="1"/>
                <c:pt idx="0">
                  <c:v>HPS</c:v>
                </c:pt>
              </c:strCache>
            </c:strRef>
          </c:tx>
          <c:spPr>
            <a:ln w="25400" cap="rnd">
              <a:solidFill>
                <a:srgbClr val="FFB300"/>
              </a:solidFill>
              <a:round/>
            </a:ln>
            <a:effectLst/>
          </c:spPr>
          <c:marker>
            <c:symbol val="none"/>
          </c:marker>
          <c:cat>
            <c:numRef>
              <c:f>Sheet1!$A$212:$A$1212</c:f>
              <c:numCache>
                <c:formatCode>General</c:formatCode>
                <c:ptCount val="1001"/>
                <c:pt idx="0">
                  <c:v>350</c:v>
                </c:pt>
                <c:pt idx="1">
                  <c:v>350.5</c:v>
                </c:pt>
                <c:pt idx="2">
                  <c:v>351</c:v>
                </c:pt>
                <c:pt idx="3">
                  <c:v>351.5</c:v>
                </c:pt>
                <c:pt idx="4">
                  <c:v>352</c:v>
                </c:pt>
                <c:pt idx="5">
                  <c:v>352.5</c:v>
                </c:pt>
                <c:pt idx="6">
                  <c:v>353</c:v>
                </c:pt>
                <c:pt idx="7">
                  <c:v>353.5</c:v>
                </c:pt>
                <c:pt idx="8">
                  <c:v>354</c:v>
                </c:pt>
                <c:pt idx="9">
                  <c:v>354.5</c:v>
                </c:pt>
                <c:pt idx="10">
                  <c:v>355</c:v>
                </c:pt>
                <c:pt idx="11">
                  <c:v>355.5</c:v>
                </c:pt>
                <c:pt idx="12">
                  <c:v>356</c:v>
                </c:pt>
                <c:pt idx="13">
                  <c:v>356.5</c:v>
                </c:pt>
                <c:pt idx="14">
                  <c:v>357</c:v>
                </c:pt>
                <c:pt idx="15">
                  <c:v>357.5</c:v>
                </c:pt>
                <c:pt idx="16">
                  <c:v>358</c:v>
                </c:pt>
                <c:pt idx="17">
                  <c:v>358.5</c:v>
                </c:pt>
                <c:pt idx="18">
                  <c:v>359</c:v>
                </c:pt>
                <c:pt idx="19">
                  <c:v>359.5</c:v>
                </c:pt>
                <c:pt idx="20">
                  <c:v>360</c:v>
                </c:pt>
                <c:pt idx="21">
                  <c:v>360.5</c:v>
                </c:pt>
                <c:pt idx="22">
                  <c:v>361</c:v>
                </c:pt>
                <c:pt idx="23">
                  <c:v>361.5</c:v>
                </c:pt>
                <c:pt idx="24">
                  <c:v>362</c:v>
                </c:pt>
                <c:pt idx="25">
                  <c:v>362.5</c:v>
                </c:pt>
                <c:pt idx="26">
                  <c:v>363</c:v>
                </c:pt>
                <c:pt idx="27">
                  <c:v>363.5</c:v>
                </c:pt>
                <c:pt idx="28">
                  <c:v>364</c:v>
                </c:pt>
                <c:pt idx="29">
                  <c:v>364.5</c:v>
                </c:pt>
                <c:pt idx="30">
                  <c:v>365</c:v>
                </c:pt>
                <c:pt idx="31">
                  <c:v>365.5</c:v>
                </c:pt>
                <c:pt idx="32">
                  <c:v>366</c:v>
                </c:pt>
                <c:pt idx="33">
                  <c:v>366.5</c:v>
                </c:pt>
                <c:pt idx="34">
                  <c:v>367</c:v>
                </c:pt>
                <c:pt idx="35">
                  <c:v>367.5</c:v>
                </c:pt>
                <c:pt idx="36">
                  <c:v>368</c:v>
                </c:pt>
                <c:pt idx="37">
                  <c:v>368.5</c:v>
                </c:pt>
                <c:pt idx="38">
                  <c:v>369</c:v>
                </c:pt>
                <c:pt idx="39">
                  <c:v>369.5</c:v>
                </c:pt>
                <c:pt idx="40">
                  <c:v>370</c:v>
                </c:pt>
                <c:pt idx="41">
                  <c:v>370.5</c:v>
                </c:pt>
                <c:pt idx="42">
                  <c:v>371</c:v>
                </c:pt>
                <c:pt idx="43">
                  <c:v>371.5</c:v>
                </c:pt>
                <c:pt idx="44">
                  <c:v>372</c:v>
                </c:pt>
                <c:pt idx="45">
                  <c:v>372.5</c:v>
                </c:pt>
                <c:pt idx="46">
                  <c:v>373</c:v>
                </c:pt>
                <c:pt idx="47">
                  <c:v>373.5</c:v>
                </c:pt>
                <c:pt idx="48">
                  <c:v>374</c:v>
                </c:pt>
                <c:pt idx="49">
                  <c:v>374.5</c:v>
                </c:pt>
                <c:pt idx="50">
                  <c:v>375</c:v>
                </c:pt>
                <c:pt idx="51">
                  <c:v>375.5</c:v>
                </c:pt>
                <c:pt idx="52">
                  <c:v>376</c:v>
                </c:pt>
                <c:pt idx="53">
                  <c:v>376.5</c:v>
                </c:pt>
                <c:pt idx="54">
                  <c:v>377</c:v>
                </c:pt>
                <c:pt idx="55">
                  <c:v>377.5</c:v>
                </c:pt>
                <c:pt idx="56">
                  <c:v>378</c:v>
                </c:pt>
                <c:pt idx="57">
                  <c:v>378.5</c:v>
                </c:pt>
                <c:pt idx="58">
                  <c:v>379</c:v>
                </c:pt>
                <c:pt idx="59">
                  <c:v>379.5</c:v>
                </c:pt>
                <c:pt idx="60">
                  <c:v>380</c:v>
                </c:pt>
                <c:pt idx="61">
                  <c:v>380.5</c:v>
                </c:pt>
                <c:pt idx="62">
                  <c:v>381</c:v>
                </c:pt>
                <c:pt idx="63">
                  <c:v>381.5</c:v>
                </c:pt>
                <c:pt idx="64">
                  <c:v>382</c:v>
                </c:pt>
                <c:pt idx="65">
                  <c:v>382.5</c:v>
                </c:pt>
                <c:pt idx="66">
                  <c:v>383</c:v>
                </c:pt>
                <c:pt idx="67">
                  <c:v>383.5</c:v>
                </c:pt>
                <c:pt idx="68">
                  <c:v>384</c:v>
                </c:pt>
                <c:pt idx="69">
                  <c:v>384.5</c:v>
                </c:pt>
                <c:pt idx="70">
                  <c:v>385</c:v>
                </c:pt>
                <c:pt idx="71">
                  <c:v>385.5</c:v>
                </c:pt>
                <c:pt idx="72">
                  <c:v>386</c:v>
                </c:pt>
                <c:pt idx="73">
                  <c:v>386.5</c:v>
                </c:pt>
                <c:pt idx="74">
                  <c:v>387</c:v>
                </c:pt>
                <c:pt idx="75">
                  <c:v>387.5</c:v>
                </c:pt>
                <c:pt idx="76">
                  <c:v>388</c:v>
                </c:pt>
                <c:pt idx="77">
                  <c:v>388.5</c:v>
                </c:pt>
                <c:pt idx="78">
                  <c:v>389</c:v>
                </c:pt>
                <c:pt idx="79">
                  <c:v>389.5</c:v>
                </c:pt>
                <c:pt idx="80">
                  <c:v>390</c:v>
                </c:pt>
                <c:pt idx="81">
                  <c:v>390.5</c:v>
                </c:pt>
                <c:pt idx="82">
                  <c:v>391</c:v>
                </c:pt>
                <c:pt idx="83">
                  <c:v>391.5</c:v>
                </c:pt>
                <c:pt idx="84">
                  <c:v>392</c:v>
                </c:pt>
                <c:pt idx="85">
                  <c:v>392.5</c:v>
                </c:pt>
                <c:pt idx="86">
                  <c:v>393</c:v>
                </c:pt>
                <c:pt idx="87">
                  <c:v>393.5</c:v>
                </c:pt>
                <c:pt idx="88">
                  <c:v>394</c:v>
                </c:pt>
                <c:pt idx="89">
                  <c:v>394.5</c:v>
                </c:pt>
                <c:pt idx="90">
                  <c:v>395</c:v>
                </c:pt>
                <c:pt idx="91">
                  <c:v>395.5</c:v>
                </c:pt>
                <c:pt idx="92">
                  <c:v>396</c:v>
                </c:pt>
                <c:pt idx="93">
                  <c:v>396.5</c:v>
                </c:pt>
                <c:pt idx="94">
                  <c:v>397</c:v>
                </c:pt>
                <c:pt idx="95">
                  <c:v>397.5</c:v>
                </c:pt>
                <c:pt idx="96">
                  <c:v>398</c:v>
                </c:pt>
                <c:pt idx="97">
                  <c:v>398.5</c:v>
                </c:pt>
                <c:pt idx="98">
                  <c:v>399</c:v>
                </c:pt>
                <c:pt idx="99">
                  <c:v>399.5</c:v>
                </c:pt>
                <c:pt idx="100">
                  <c:v>400</c:v>
                </c:pt>
                <c:pt idx="101">
                  <c:v>400.5</c:v>
                </c:pt>
                <c:pt idx="102">
                  <c:v>401</c:v>
                </c:pt>
                <c:pt idx="103">
                  <c:v>401.5</c:v>
                </c:pt>
                <c:pt idx="104">
                  <c:v>402</c:v>
                </c:pt>
                <c:pt idx="105">
                  <c:v>402.5</c:v>
                </c:pt>
                <c:pt idx="106">
                  <c:v>403</c:v>
                </c:pt>
                <c:pt idx="107">
                  <c:v>403.5</c:v>
                </c:pt>
                <c:pt idx="108">
                  <c:v>404</c:v>
                </c:pt>
                <c:pt idx="109">
                  <c:v>404.5</c:v>
                </c:pt>
                <c:pt idx="110">
                  <c:v>405</c:v>
                </c:pt>
                <c:pt idx="111">
                  <c:v>405.5</c:v>
                </c:pt>
                <c:pt idx="112">
                  <c:v>406</c:v>
                </c:pt>
                <c:pt idx="113">
                  <c:v>406.5</c:v>
                </c:pt>
                <c:pt idx="114">
                  <c:v>407</c:v>
                </c:pt>
                <c:pt idx="115">
                  <c:v>407.5</c:v>
                </c:pt>
                <c:pt idx="116">
                  <c:v>408</c:v>
                </c:pt>
                <c:pt idx="117">
                  <c:v>408.5</c:v>
                </c:pt>
                <c:pt idx="118">
                  <c:v>409</c:v>
                </c:pt>
                <c:pt idx="119">
                  <c:v>409.5</c:v>
                </c:pt>
                <c:pt idx="120">
                  <c:v>410</c:v>
                </c:pt>
                <c:pt idx="121">
                  <c:v>410.5</c:v>
                </c:pt>
                <c:pt idx="122">
                  <c:v>411</c:v>
                </c:pt>
                <c:pt idx="123">
                  <c:v>411.5</c:v>
                </c:pt>
                <c:pt idx="124">
                  <c:v>412</c:v>
                </c:pt>
                <c:pt idx="125">
                  <c:v>412.5</c:v>
                </c:pt>
                <c:pt idx="126">
                  <c:v>413</c:v>
                </c:pt>
                <c:pt idx="127">
                  <c:v>413.5</c:v>
                </c:pt>
                <c:pt idx="128">
                  <c:v>414</c:v>
                </c:pt>
                <c:pt idx="129">
                  <c:v>414.5</c:v>
                </c:pt>
                <c:pt idx="130">
                  <c:v>415</c:v>
                </c:pt>
                <c:pt idx="131">
                  <c:v>415.5</c:v>
                </c:pt>
                <c:pt idx="132">
                  <c:v>416</c:v>
                </c:pt>
                <c:pt idx="133">
                  <c:v>416.5</c:v>
                </c:pt>
                <c:pt idx="134">
                  <c:v>417</c:v>
                </c:pt>
                <c:pt idx="135">
                  <c:v>417.5</c:v>
                </c:pt>
                <c:pt idx="136">
                  <c:v>418</c:v>
                </c:pt>
                <c:pt idx="137">
                  <c:v>418.5</c:v>
                </c:pt>
                <c:pt idx="138">
                  <c:v>419</c:v>
                </c:pt>
                <c:pt idx="139">
                  <c:v>419.5</c:v>
                </c:pt>
                <c:pt idx="140">
                  <c:v>420</c:v>
                </c:pt>
                <c:pt idx="141">
                  <c:v>420.5</c:v>
                </c:pt>
                <c:pt idx="142">
                  <c:v>421</c:v>
                </c:pt>
                <c:pt idx="143">
                  <c:v>421.5</c:v>
                </c:pt>
                <c:pt idx="144">
                  <c:v>422</c:v>
                </c:pt>
                <c:pt idx="145">
                  <c:v>422.5</c:v>
                </c:pt>
                <c:pt idx="146">
                  <c:v>423</c:v>
                </c:pt>
                <c:pt idx="147">
                  <c:v>423.5</c:v>
                </c:pt>
                <c:pt idx="148">
                  <c:v>424</c:v>
                </c:pt>
                <c:pt idx="149">
                  <c:v>424.5</c:v>
                </c:pt>
                <c:pt idx="150">
                  <c:v>425</c:v>
                </c:pt>
                <c:pt idx="151">
                  <c:v>425.5</c:v>
                </c:pt>
                <c:pt idx="152">
                  <c:v>426</c:v>
                </c:pt>
                <c:pt idx="153">
                  <c:v>426.5</c:v>
                </c:pt>
                <c:pt idx="154">
                  <c:v>427</c:v>
                </c:pt>
                <c:pt idx="155">
                  <c:v>427.5</c:v>
                </c:pt>
                <c:pt idx="156">
                  <c:v>428</c:v>
                </c:pt>
                <c:pt idx="157">
                  <c:v>428.5</c:v>
                </c:pt>
                <c:pt idx="158">
                  <c:v>429</c:v>
                </c:pt>
                <c:pt idx="159">
                  <c:v>429.5</c:v>
                </c:pt>
                <c:pt idx="160">
                  <c:v>430</c:v>
                </c:pt>
                <c:pt idx="161">
                  <c:v>430.5</c:v>
                </c:pt>
                <c:pt idx="162">
                  <c:v>431</c:v>
                </c:pt>
                <c:pt idx="163">
                  <c:v>431.5</c:v>
                </c:pt>
                <c:pt idx="164">
                  <c:v>432</c:v>
                </c:pt>
                <c:pt idx="165">
                  <c:v>432.5</c:v>
                </c:pt>
                <c:pt idx="166">
                  <c:v>433</c:v>
                </c:pt>
                <c:pt idx="167">
                  <c:v>433.5</c:v>
                </c:pt>
                <c:pt idx="168">
                  <c:v>434</c:v>
                </c:pt>
                <c:pt idx="169">
                  <c:v>434.5</c:v>
                </c:pt>
                <c:pt idx="170">
                  <c:v>435</c:v>
                </c:pt>
                <c:pt idx="171">
                  <c:v>435.5</c:v>
                </c:pt>
                <c:pt idx="172">
                  <c:v>436</c:v>
                </c:pt>
                <c:pt idx="173">
                  <c:v>436.5</c:v>
                </c:pt>
                <c:pt idx="174">
                  <c:v>437</c:v>
                </c:pt>
                <c:pt idx="175">
                  <c:v>437.5</c:v>
                </c:pt>
                <c:pt idx="176">
                  <c:v>438</c:v>
                </c:pt>
                <c:pt idx="177">
                  <c:v>438.5</c:v>
                </c:pt>
                <c:pt idx="178">
                  <c:v>439</c:v>
                </c:pt>
                <c:pt idx="179">
                  <c:v>439.5</c:v>
                </c:pt>
                <c:pt idx="180">
                  <c:v>440</c:v>
                </c:pt>
                <c:pt idx="181">
                  <c:v>440.5</c:v>
                </c:pt>
                <c:pt idx="182">
                  <c:v>441</c:v>
                </c:pt>
                <c:pt idx="183">
                  <c:v>441.5</c:v>
                </c:pt>
                <c:pt idx="184">
                  <c:v>442</c:v>
                </c:pt>
                <c:pt idx="185">
                  <c:v>442.5</c:v>
                </c:pt>
                <c:pt idx="186">
                  <c:v>443</c:v>
                </c:pt>
                <c:pt idx="187">
                  <c:v>443.5</c:v>
                </c:pt>
                <c:pt idx="188">
                  <c:v>444</c:v>
                </c:pt>
                <c:pt idx="189">
                  <c:v>444.5</c:v>
                </c:pt>
                <c:pt idx="190">
                  <c:v>445</c:v>
                </c:pt>
                <c:pt idx="191">
                  <c:v>445.5</c:v>
                </c:pt>
                <c:pt idx="192">
                  <c:v>446</c:v>
                </c:pt>
                <c:pt idx="193">
                  <c:v>446.5</c:v>
                </c:pt>
                <c:pt idx="194">
                  <c:v>447</c:v>
                </c:pt>
                <c:pt idx="195">
                  <c:v>447.5</c:v>
                </c:pt>
                <c:pt idx="196">
                  <c:v>448</c:v>
                </c:pt>
                <c:pt idx="197">
                  <c:v>448.5</c:v>
                </c:pt>
                <c:pt idx="198">
                  <c:v>449</c:v>
                </c:pt>
                <c:pt idx="199">
                  <c:v>449.5</c:v>
                </c:pt>
                <c:pt idx="200">
                  <c:v>450</c:v>
                </c:pt>
                <c:pt idx="201">
                  <c:v>450.5</c:v>
                </c:pt>
                <c:pt idx="202">
                  <c:v>451</c:v>
                </c:pt>
                <c:pt idx="203">
                  <c:v>451.5</c:v>
                </c:pt>
                <c:pt idx="204">
                  <c:v>452</c:v>
                </c:pt>
                <c:pt idx="205">
                  <c:v>452.5</c:v>
                </c:pt>
                <c:pt idx="206">
                  <c:v>453</c:v>
                </c:pt>
                <c:pt idx="207">
                  <c:v>453.5</c:v>
                </c:pt>
                <c:pt idx="208">
                  <c:v>454</c:v>
                </c:pt>
                <c:pt idx="209">
                  <c:v>454.5</c:v>
                </c:pt>
                <c:pt idx="210">
                  <c:v>455</c:v>
                </c:pt>
                <c:pt idx="211">
                  <c:v>455.5</c:v>
                </c:pt>
                <c:pt idx="212">
                  <c:v>456</c:v>
                </c:pt>
                <c:pt idx="213">
                  <c:v>456.5</c:v>
                </c:pt>
                <c:pt idx="214">
                  <c:v>457</c:v>
                </c:pt>
                <c:pt idx="215">
                  <c:v>457.5</c:v>
                </c:pt>
                <c:pt idx="216">
                  <c:v>458</c:v>
                </c:pt>
                <c:pt idx="217">
                  <c:v>458.5</c:v>
                </c:pt>
                <c:pt idx="218">
                  <c:v>459</c:v>
                </c:pt>
                <c:pt idx="219">
                  <c:v>459.5</c:v>
                </c:pt>
                <c:pt idx="220">
                  <c:v>460</c:v>
                </c:pt>
                <c:pt idx="221">
                  <c:v>460.5</c:v>
                </c:pt>
                <c:pt idx="222">
                  <c:v>461</c:v>
                </c:pt>
                <c:pt idx="223">
                  <c:v>461.5</c:v>
                </c:pt>
                <c:pt idx="224">
                  <c:v>462</c:v>
                </c:pt>
                <c:pt idx="225">
                  <c:v>462.5</c:v>
                </c:pt>
                <c:pt idx="226">
                  <c:v>463</c:v>
                </c:pt>
                <c:pt idx="227">
                  <c:v>463.5</c:v>
                </c:pt>
                <c:pt idx="228">
                  <c:v>464</c:v>
                </c:pt>
                <c:pt idx="229">
                  <c:v>464.5</c:v>
                </c:pt>
                <c:pt idx="230">
                  <c:v>465</c:v>
                </c:pt>
                <c:pt idx="231">
                  <c:v>465.5</c:v>
                </c:pt>
                <c:pt idx="232">
                  <c:v>466</c:v>
                </c:pt>
                <c:pt idx="233">
                  <c:v>466.5</c:v>
                </c:pt>
                <c:pt idx="234">
                  <c:v>467</c:v>
                </c:pt>
                <c:pt idx="235">
                  <c:v>467.5</c:v>
                </c:pt>
                <c:pt idx="236">
                  <c:v>468</c:v>
                </c:pt>
                <c:pt idx="237">
                  <c:v>468.5</c:v>
                </c:pt>
                <c:pt idx="238">
                  <c:v>469</c:v>
                </c:pt>
                <c:pt idx="239">
                  <c:v>469.5</c:v>
                </c:pt>
                <c:pt idx="240">
                  <c:v>470</c:v>
                </c:pt>
                <c:pt idx="241">
                  <c:v>470.5</c:v>
                </c:pt>
                <c:pt idx="242">
                  <c:v>471</c:v>
                </c:pt>
                <c:pt idx="243">
                  <c:v>471.5</c:v>
                </c:pt>
                <c:pt idx="244">
                  <c:v>472</c:v>
                </c:pt>
                <c:pt idx="245">
                  <c:v>472.5</c:v>
                </c:pt>
                <c:pt idx="246">
                  <c:v>473</c:v>
                </c:pt>
                <c:pt idx="247">
                  <c:v>473.5</c:v>
                </c:pt>
                <c:pt idx="248">
                  <c:v>474</c:v>
                </c:pt>
                <c:pt idx="249">
                  <c:v>474.5</c:v>
                </c:pt>
                <c:pt idx="250">
                  <c:v>475</c:v>
                </c:pt>
                <c:pt idx="251">
                  <c:v>475.5</c:v>
                </c:pt>
                <c:pt idx="252">
                  <c:v>476</c:v>
                </c:pt>
                <c:pt idx="253">
                  <c:v>476.5</c:v>
                </c:pt>
                <c:pt idx="254">
                  <c:v>477</c:v>
                </c:pt>
                <c:pt idx="255">
                  <c:v>477.5</c:v>
                </c:pt>
                <c:pt idx="256">
                  <c:v>478</c:v>
                </c:pt>
                <c:pt idx="257">
                  <c:v>478.5</c:v>
                </c:pt>
                <c:pt idx="258">
                  <c:v>479</c:v>
                </c:pt>
                <c:pt idx="259">
                  <c:v>479.5</c:v>
                </c:pt>
                <c:pt idx="260">
                  <c:v>480</c:v>
                </c:pt>
                <c:pt idx="261">
                  <c:v>480.5</c:v>
                </c:pt>
                <c:pt idx="262">
                  <c:v>481</c:v>
                </c:pt>
                <c:pt idx="263">
                  <c:v>481.5</c:v>
                </c:pt>
                <c:pt idx="264">
                  <c:v>482</c:v>
                </c:pt>
                <c:pt idx="265">
                  <c:v>482.5</c:v>
                </c:pt>
                <c:pt idx="266">
                  <c:v>483</c:v>
                </c:pt>
                <c:pt idx="267">
                  <c:v>483.5</c:v>
                </c:pt>
                <c:pt idx="268">
                  <c:v>484</c:v>
                </c:pt>
                <c:pt idx="269">
                  <c:v>484.5</c:v>
                </c:pt>
                <c:pt idx="270">
                  <c:v>485</c:v>
                </c:pt>
                <c:pt idx="271">
                  <c:v>485.5</c:v>
                </c:pt>
                <c:pt idx="272">
                  <c:v>486</c:v>
                </c:pt>
                <c:pt idx="273">
                  <c:v>486.5</c:v>
                </c:pt>
                <c:pt idx="274">
                  <c:v>487</c:v>
                </c:pt>
                <c:pt idx="275">
                  <c:v>487.5</c:v>
                </c:pt>
                <c:pt idx="276">
                  <c:v>488</c:v>
                </c:pt>
                <c:pt idx="277">
                  <c:v>488.5</c:v>
                </c:pt>
                <c:pt idx="278">
                  <c:v>489</c:v>
                </c:pt>
                <c:pt idx="279">
                  <c:v>489.5</c:v>
                </c:pt>
                <c:pt idx="280">
                  <c:v>490</c:v>
                </c:pt>
                <c:pt idx="281">
                  <c:v>490.5</c:v>
                </c:pt>
                <c:pt idx="282">
                  <c:v>491</c:v>
                </c:pt>
                <c:pt idx="283">
                  <c:v>491.5</c:v>
                </c:pt>
                <c:pt idx="284">
                  <c:v>492</c:v>
                </c:pt>
                <c:pt idx="285">
                  <c:v>492.5</c:v>
                </c:pt>
                <c:pt idx="286">
                  <c:v>493</c:v>
                </c:pt>
                <c:pt idx="287">
                  <c:v>493.5</c:v>
                </c:pt>
                <c:pt idx="288">
                  <c:v>494</c:v>
                </c:pt>
                <c:pt idx="289">
                  <c:v>494.5</c:v>
                </c:pt>
                <c:pt idx="290">
                  <c:v>495</c:v>
                </c:pt>
                <c:pt idx="291">
                  <c:v>495.5</c:v>
                </c:pt>
                <c:pt idx="292">
                  <c:v>496</c:v>
                </c:pt>
                <c:pt idx="293">
                  <c:v>496.5</c:v>
                </c:pt>
                <c:pt idx="294">
                  <c:v>497</c:v>
                </c:pt>
                <c:pt idx="295">
                  <c:v>497.5</c:v>
                </c:pt>
                <c:pt idx="296">
                  <c:v>498</c:v>
                </c:pt>
                <c:pt idx="297">
                  <c:v>498.5</c:v>
                </c:pt>
                <c:pt idx="298">
                  <c:v>499</c:v>
                </c:pt>
                <c:pt idx="299">
                  <c:v>499.5</c:v>
                </c:pt>
                <c:pt idx="300">
                  <c:v>500</c:v>
                </c:pt>
                <c:pt idx="301">
                  <c:v>500.5</c:v>
                </c:pt>
                <c:pt idx="302">
                  <c:v>501</c:v>
                </c:pt>
                <c:pt idx="303">
                  <c:v>501.5</c:v>
                </c:pt>
                <c:pt idx="304">
                  <c:v>502</c:v>
                </c:pt>
                <c:pt idx="305">
                  <c:v>502.5</c:v>
                </c:pt>
                <c:pt idx="306">
                  <c:v>503</c:v>
                </c:pt>
                <c:pt idx="307">
                  <c:v>503.5</c:v>
                </c:pt>
                <c:pt idx="308">
                  <c:v>504</c:v>
                </c:pt>
                <c:pt idx="309">
                  <c:v>504.5</c:v>
                </c:pt>
                <c:pt idx="310">
                  <c:v>505</c:v>
                </c:pt>
                <c:pt idx="311">
                  <c:v>505.5</c:v>
                </c:pt>
                <c:pt idx="312">
                  <c:v>506</c:v>
                </c:pt>
                <c:pt idx="313">
                  <c:v>506.5</c:v>
                </c:pt>
                <c:pt idx="314">
                  <c:v>507</c:v>
                </c:pt>
                <c:pt idx="315">
                  <c:v>507.5</c:v>
                </c:pt>
                <c:pt idx="316">
                  <c:v>508</c:v>
                </c:pt>
                <c:pt idx="317">
                  <c:v>508.5</c:v>
                </c:pt>
                <c:pt idx="318">
                  <c:v>509</c:v>
                </c:pt>
                <c:pt idx="319">
                  <c:v>509.5</c:v>
                </c:pt>
                <c:pt idx="320">
                  <c:v>510</c:v>
                </c:pt>
                <c:pt idx="321">
                  <c:v>510.5</c:v>
                </c:pt>
                <c:pt idx="322">
                  <c:v>511</c:v>
                </c:pt>
                <c:pt idx="323">
                  <c:v>511.5</c:v>
                </c:pt>
                <c:pt idx="324">
                  <c:v>512</c:v>
                </c:pt>
                <c:pt idx="325">
                  <c:v>512.5</c:v>
                </c:pt>
                <c:pt idx="326">
                  <c:v>513</c:v>
                </c:pt>
                <c:pt idx="327">
                  <c:v>513.5</c:v>
                </c:pt>
                <c:pt idx="328">
                  <c:v>514</c:v>
                </c:pt>
                <c:pt idx="329">
                  <c:v>514.5</c:v>
                </c:pt>
                <c:pt idx="330">
                  <c:v>515</c:v>
                </c:pt>
                <c:pt idx="331">
                  <c:v>515.5</c:v>
                </c:pt>
                <c:pt idx="332">
                  <c:v>516</c:v>
                </c:pt>
                <c:pt idx="333">
                  <c:v>516.5</c:v>
                </c:pt>
                <c:pt idx="334">
                  <c:v>517</c:v>
                </c:pt>
                <c:pt idx="335">
                  <c:v>517.5</c:v>
                </c:pt>
                <c:pt idx="336">
                  <c:v>518</c:v>
                </c:pt>
                <c:pt idx="337">
                  <c:v>518.5</c:v>
                </c:pt>
                <c:pt idx="338">
                  <c:v>519</c:v>
                </c:pt>
                <c:pt idx="339">
                  <c:v>519.5</c:v>
                </c:pt>
                <c:pt idx="340">
                  <c:v>520</c:v>
                </c:pt>
                <c:pt idx="341">
                  <c:v>520.5</c:v>
                </c:pt>
                <c:pt idx="342">
                  <c:v>521</c:v>
                </c:pt>
                <c:pt idx="343">
                  <c:v>521.5</c:v>
                </c:pt>
                <c:pt idx="344">
                  <c:v>522</c:v>
                </c:pt>
                <c:pt idx="345">
                  <c:v>522.5</c:v>
                </c:pt>
                <c:pt idx="346">
                  <c:v>523</c:v>
                </c:pt>
                <c:pt idx="347">
                  <c:v>523.5</c:v>
                </c:pt>
                <c:pt idx="348">
                  <c:v>524</c:v>
                </c:pt>
                <c:pt idx="349">
                  <c:v>524.5</c:v>
                </c:pt>
                <c:pt idx="350">
                  <c:v>525</c:v>
                </c:pt>
                <c:pt idx="351">
                  <c:v>525.5</c:v>
                </c:pt>
                <c:pt idx="352">
                  <c:v>526</c:v>
                </c:pt>
                <c:pt idx="353">
                  <c:v>526.5</c:v>
                </c:pt>
                <c:pt idx="354">
                  <c:v>527</c:v>
                </c:pt>
                <c:pt idx="355">
                  <c:v>527.5</c:v>
                </c:pt>
                <c:pt idx="356">
                  <c:v>528</c:v>
                </c:pt>
                <c:pt idx="357">
                  <c:v>528.5</c:v>
                </c:pt>
                <c:pt idx="358">
                  <c:v>529</c:v>
                </c:pt>
                <c:pt idx="359">
                  <c:v>529.5</c:v>
                </c:pt>
                <c:pt idx="360">
                  <c:v>530</c:v>
                </c:pt>
                <c:pt idx="361">
                  <c:v>530.5</c:v>
                </c:pt>
                <c:pt idx="362">
                  <c:v>531</c:v>
                </c:pt>
                <c:pt idx="363">
                  <c:v>531.5</c:v>
                </c:pt>
                <c:pt idx="364">
                  <c:v>532</c:v>
                </c:pt>
                <c:pt idx="365">
                  <c:v>532.5</c:v>
                </c:pt>
                <c:pt idx="366">
                  <c:v>533</c:v>
                </c:pt>
                <c:pt idx="367">
                  <c:v>533.5</c:v>
                </c:pt>
                <c:pt idx="368">
                  <c:v>534</c:v>
                </c:pt>
                <c:pt idx="369">
                  <c:v>534.5</c:v>
                </c:pt>
                <c:pt idx="370">
                  <c:v>535</c:v>
                </c:pt>
                <c:pt idx="371">
                  <c:v>535.5</c:v>
                </c:pt>
                <c:pt idx="372">
                  <c:v>536</c:v>
                </c:pt>
                <c:pt idx="373">
                  <c:v>536.5</c:v>
                </c:pt>
                <c:pt idx="374">
                  <c:v>537</c:v>
                </c:pt>
                <c:pt idx="375">
                  <c:v>537.5</c:v>
                </c:pt>
                <c:pt idx="376">
                  <c:v>538</c:v>
                </c:pt>
                <c:pt idx="377">
                  <c:v>538.5</c:v>
                </c:pt>
                <c:pt idx="378">
                  <c:v>539</c:v>
                </c:pt>
                <c:pt idx="379">
                  <c:v>539.5</c:v>
                </c:pt>
                <c:pt idx="380">
                  <c:v>540</c:v>
                </c:pt>
                <c:pt idx="381">
                  <c:v>540.5</c:v>
                </c:pt>
                <c:pt idx="382">
                  <c:v>541</c:v>
                </c:pt>
                <c:pt idx="383">
                  <c:v>541.5</c:v>
                </c:pt>
                <c:pt idx="384">
                  <c:v>542</c:v>
                </c:pt>
                <c:pt idx="385">
                  <c:v>542.5</c:v>
                </c:pt>
                <c:pt idx="386">
                  <c:v>543</c:v>
                </c:pt>
                <c:pt idx="387">
                  <c:v>543.5</c:v>
                </c:pt>
                <c:pt idx="388">
                  <c:v>544</c:v>
                </c:pt>
                <c:pt idx="389">
                  <c:v>544.5</c:v>
                </c:pt>
                <c:pt idx="390">
                  <c:v>545</c:v>
                </c:pt>
                <c:pt idx="391">
                  <c:v>545.5</c:v>
                </c:pt>
                <c:pt idx="392">
                  <c:v>546</c:v>
                </c:pt>
                <c:pt idx="393">
                  <c:v>546.5</c:v>
                </c:pt>
                <c:pt idx="394">
                  <c:v>547</c:v>
                </c:pt>
                <c:pt idx="395">
                  <c:v>547.5</c:v>
                </c:pt>
                <c:pt idx="396">
                  <c:v>548</c:v>
                </c:pt>
                <c:pt idx="397">
                  <c:v>548.5</c:v>
                </c:pt>
                <c:pt idx="398">
                  <c:v>549</c:v>
                </c:pt>
                <c:pt idx="399">
                  <c:v>549.5</c:v>
                </c:pt>
                <c:pt idx="400">
                  <c:v>550</c:v>
                </c:pt>
                <c:pt idx="401">
                  <c:v>550.5</c:v>
                </c:pt>
                <c:pt idx="402">
                  <c:v>551</c:v>
                </c:pt>
                <c:pt idx="403">
                  <c:v>551.5</c:v>
                </c:pt>
                <c:pt idx="404">
                  <c:v>552</c:v>
                </c:pt>
                <c:pt idx="405">
                  <c:v>552.5</c:v>
                </c:pt>
                <c:pt idx="406">
                  <c:v>553</c:v>
                </c:pt>
                <c:pt idx="407">
                  <c:v>553.5</c:v>
                </c:pt>
                <c:pt idx="408">
                  <c:v>554</c:v>
                </c:pt>
                <c:pt idx="409">
                  <c:v>554.5</c:v>
                </c:pt>
                <c:pt idx="410">
                  <c:v>555</c:v>
                </c:pt>
                <c:pt idx="411">
                  <c:v>555.5</c:v>
                </c:pt>
                <c:pt idx="412">
                  <c:v>556</c:v>
                </c:pt>
                <c:pt idx="413">
                  <c:v>556.5</c:v>
                </c:pt>
                <c:pt idx="414">
                  <c:v>557</c:v>
                </c:pt>
                <c:pt idx="415">
                  <c:v>557.5</c:v>
                </c:pt>
                <c:pt idx="416">
                  <c:v>558</c:v>
                </c:pt>
                <c:pt idx="417">
                  <c:v>558.5</c:v>
                </c:pt>
                <c:pt idx="418">
                  <c:v>559</c:v>
                </c:pt>
                <c:pt idx="419">
                  <c:v>559.5</c:v>
                </c:pt>
                <c:pt idx="420">
                  <c:v>560</c:v>
                </c:pt>
                <c:pt idx="421">
                  <c:v>560.5</c:v>
                </c:pt>
                <c:pt idx="422">
                  <c:v>561</c:v>
                </c:pt>
                <c:pt idx="423">
                  <c:v>561.5</c:v>
                </c:pt>
                <c:pt idx="424">
                  <c:v>562</c:v>
                </c:pt>
                <c:pt idx="425">
                  <c:v>562.5</c:v>
                </c:pt>
                <c:pt idx="426">
                  <c:v>563</c:v>
                </c:pt>
                <c:pt idx="427">
                  <c:v>563.5</c:v>
                </c:pt>
                <c:pt idx="428">
                  <c:v>564</c:v>
                </c:pt>
                <c:pt idx="429">
                  <c:v>564.5</c:v>
                </c:pt>
                <c:pt idx="430">
                  <c:v>565</c:v>
                </c:pt>
                <c:pt idx="431">
                  <c:v>565.5</c:v>
                </c:pt>
                <c:pt idx="432">
                  <c:v>566</c:v>
                </c:pt>
                <c:pt idx="433">
                  <c:v>566.5</c:v>
                </c:pt>
                <c:pt idx="434">
                  <c:v>567</c:v>
                </c:pt>
                <c:pt idx="435">
                  <c:v>567.5</c:v>
                </c:pt>
                <c:pt idx="436">
                  <c:v>568</c:v>
                </c:pt>
                <c:pt idx="437">
                  <c:v>568.5</c:v>
                </c:pt>
                <c:pt idx="438">
                  <c:v>569</c:v>
                </c:pt>
                <c:pt idx="439">
                  <c:v>569.5</c:v>
                </c:pt>
                <c:pt idx="440">
                  <c:v>570</c:v>
                </c:pt>
                <c:pt idx="441">
                  <c:v>570.5</c:v>
                </c:pt>
                <c:pt idx="442">
                  <c:v>571</c:v>
                </c:pt>
                <c:pt idx="443">
                  <c:v>571.5</c:v>
                </c:pt>
                <c:pt idx="444">
                  <c:v>572</c:v>
                </c:pt>
                <c:pt idx="445">
                  <c:v>572.5</c:v>
                </c:pt>
                <c:pt idx="446">
                  <c:v>573</c:v>
                </c:pt>
                <c:pt idx="447">
                  <c:v>573.5</c:v>
                </c:pt>
                <c:pt idx="448">
                  <c:v>574</c:v>
                </c:pt>
                <c:pt idx="449">
                  <c:v>574.5</c:v>
                </c:pt>
                <c:pt idx="450">
                  <c:v>575</c:v>
                </c:pt>
                <c:pt idx="451">
                  <c:v>575.5</c:v>
                </c:pt>
                <c:pt idx="452">
                  <c:v>576</c:v>
                </c:pt>
                <c:pt idx="453">
                  <c:v>576.5</c:v>
                </c:pt>
                <c:pt idx="454">
                  <c:v>577</c:v>
                </c:pt>
                <c:pt idx="455">
                  <c:v>577.5</c:v>
                </c:pt>
                <c:pt idx="456">
                  <c:v>578</c:v>
                </c:pt>
                <c:pt idx="457">
                  <c:v>578.5</c:v>
                </c:pt>
                <c:pt idx="458">
                  <c:v>579</c:v>
                </c:pt>
                <c:pt idx="459">
                  <c:v>579.5</c:v>
                </c:pt>
                <c:pt idx="460">
                  <c:v>580</c:v>
                </c:pt>
                <c:pt idx="461">
                  <c:v>580.5</c:v>
                </c:pt>
                <c:pt idx="462">
                  <c:v>581</c:v>
                </c:pt>
                <c:pt idx="463">
                  <c:v>581.5</c:v>
                </c:pt>
                <c:pt idx="464">
                  <c:v>582</c:v>
                </c:pt>
                <c:pt idx="465">
                  <c:v>582.5</c:v>
                </c:pt>
                <c:pt idx="466">
                  <c:v>583</c:v>
                </c:pt>
                <c:pt idx="467">
                  <c:v>583.5</c:v>
                </c:pt>
                <c:pt idx="468">
                  <c:v>584</c:v>
                </c:pt>
                <c:pt idx="469">
                  <c:v>584.5</c:v>
                </c:pt>
                <c:pt idx="470">
                  <c:v>585</c:v>
                </c:pt>
                <c:pt idx="471">
                  <c:v>585.5</c:v>
                </c:pt>
                <c:pt idx="472">
                  <c:v>586</c:v>
                </c:pt>
                <c:pt idx="473">
                  <c:v>586.5</c:v>
                </c:pt>
                <c:pt idx="474">
                  <c:v>587</c:v>
                </c:pt>
                <c:pt idx="475">
                  <c:v>587.5</c:v>
                </c:pt>
                <c:pt idx="476">
                  <c:v>588</c:v>
                </c:pt>
                <c:pt idx="477">
                  <c:v>588.5</c:v>
                </c:pt>
                <c:pt idx="478">
                  <c:v>589</c:v>
                </c:pt>
                <c:pt idx="479">
                  <c:v>589.5</c:v>
                </c:pt>
                <c:pt idx="480">
                  <c:v>590</c:v>
                </c:pt>
                <c:pt idx="481">
                  <c:v>590.5</c:v>
                </c:pt>
                <c:pt idx="482">
                  <c:v>591</c:v>
                </c:pt>
                <c:pt idx="483">
                  <c:v>591.5</c:v>
                </c:pt>
                <c:pt idx="484">
                  <c:v>592</c:v>
                </c:pt>
                <c:pt idx="485">
                  <c:v>592.5</c:v>
                </c:pt>
                <c:pt idx="486">
                  <c:v>593</c:v>
                </c:pt>
                <c:pt idx="487">
                  <c:v>593.5</c:v>
                </c:pt>
                <c:pt idx="488">
                  <c:v>594</c:v>
                </c:pt>
                <c:pt idx="489">
                  <c:v>594.5</c:v>
                </c:pt>
                <c:pt idx="490">
                  <c:v>595</c:v>
                </c:pt>
                <c:pt idx="491">
                  <c:v>595.5</c:v>
                </c:pt>
                <c:pt idx="492">
                  <c:v>596</c:v>
                </c:pt>
                <c:pt idx="493">
                  <c:v>596.5</c:v>
                </c:pt>
                <c:pt idx="494">
                  <c:v>597</c:v>
                </c:pt>
                <c:pt idx="495">
                  <c:v>597.5</c:v>
                </c:pt>
                <c:pt idx="496">
                  <c:v>598</c:v>
                </c:pt>
                <c:pt idx="497">
                  <c:v>598.5</c:v>
                </c:pt>
                <c:pt idx="498">
                  <c:v>599</c:v>
                </c:pt>
                <c:pt idx="499">
                  <c:v>599.5</c:v>
                </c:pt>
                <c:pt idx="500">
                  <c:v>600</c:v>
                </c:pt>
                <c:pt idx="501">
                  <c:v>600.5</c:v>
                </c:pt>
                <c:pt idx="502">
                  <c:v>601</c:v>
                </c:pt>
                <c:pt idx="503">
                  <c:v>601.5</c:v>
                </c:pt>
                <c:pt idx="504">
                  <c:v>602</c:v>
                </c:pt>
                <c:pt idx="505">
                  <c:v>602.5</c:v>
                </c:pt>
                <c:pt idx="506">
                  <c:v>603</c:v>
                </c:pt>
                <c:pt idx="507">
                  <c:v>603.5</c:v>
                </c:pt>
                <c:pt idx="508">
                  <c:v>604</c:v>
                </c:pt>
                <c:pt idx="509">
                  <c:v>604.5</c:v>
                </c:pt>
                <c:pt idx="510">
                  <c:v>605</c:v>
                </c:pt>
                <c:pt idx="511">
                  <c:v>605.5</c:v>
                </c:pt>
                <c:pt idx="512">
                  <c:v>606</c:v>
                </c:pt>
                <c:pt idx="513">
                  <c:v>606.5</c:v>
                </c:pt>
                <c:pt idx="514">
                  <c:v>607</c:v>
                </c:pt>
                <c:pt idx="515">
                  <c:v>607.5</c:v>
                </c:pt>
                <c:pt idx="516">
                  <c:v>608</c:v>
                </c:pt>
                <c:pt idx="517">
                  <c:v>608.5</c:v>
                </c:pt>
                <c:pt idx="518">
                  <c:v>609</c:v>
                </c:pt>
                <c:pt idx="519">
                  <c:v>609.5</c:v>
                </c:pt>
                <c:pt idx="520">
                  <c:v>610</c:v>
                </c:pt>
                <c:pt idx="521">
                  <c:v>610.5</c:v>
                </c:pt>
                <c:pt idx="522">
                  <c:v>611</c:v>
                </c:pt>
                <c:pt idx="523">
                  <c:v>611.5</c:v>
                </c:pt>
                <c:pt idx="524">
                  <c:v>612</c:v>
                </c:pt>
                <c:pt idx="525">
                  <c:v>612.5</c:v>
                </c:pt>
                <c:pt idx="526">
                  <c:v>613</c:v>
                </c:pt>
                <c:pt idx="527">
                  <c:v>613.5</c:v>
                </c:pt>
                <c:pt idx="528">
                  <c:v>614</c:v>
                </c:pt>
                <c:pt idx="529">
                  <c:v>614.5</c:v>
                </c:pt>
                <c:pt idx="530">
                  <c:v>615</c:v>
                </c:pt>
                <c:pt idx="531">
                  <c:v>615.5</c:v>
                </c:pt>
                <c:pt idx="532">
                  <c:v>616</c:v>
                </c:pt>
                <c:pt idx="533">
                  <c:v>616.5</c:v>
                </c:pt>
                <c:pt idx="534">
                  <c:v>617</c:v>
                </c:pt>
                <c:pt idx="535">
                  <c:v>617.5</c:v>
                </c:pt>
                <c:pt idx="536">
                  <c:v>618</c:v>
                </c:pt>
                <c:pt idx="537">
                  <c:v>618.5</c:v>
                </c:pt>
                <c:pt idx="538">
                  <c:v>619</c:v>
                </c:pt>
                <c:pt idx="539">
                  <c:v>619.5</c:v>
                </c:pt>
                <c:pt idx="540">
                  <c:v>620</c:v>
                </c:pt>
                <c:pt idx="541">
                  <c:v>620.5</c:v>
                </c:pt>
                <c:pt idx="542">
                  <c:v>621</c:v>
                </c:pt>
                <c:pt idx="543">
                  <c:v>621.5</c:v>
                </c:pt>
                <c:pt idx="544">
                  <c:v>622</c:v>
                </c:pt>
                <c:pt idx="545">
                  <c:v>622.5</c:v>
                </c:pt>
                <c:pt idx="546">
                  <c:v>623</c:v>
                </c:pt>
                <c:pt idx="547">
                  <c:v>623.5</c:v>
                </c:pt>
                <c:pt idx="548">
                  <c:v>624</c:v>
                </c:pt>
                <c:pt idx="549">
                  <c:v>624.5</c:v>
                </c:pt>
                <c:pt idx="550">
                  <c:v>625</c:v>
                </c:pt>
                <c:pt idx="551">
                  <c:v>625.5</c:v>
                </c:pt>
                <c:pt idx="552">
                  <c:v>626</c:v>
                </c:pt>
                <c:pt idx="553">
                  <c:v>626.5</c:v>
                </c:pt>
                <c:pt idx="554">
                  <c:v>627</c:v>
                </c:pt>
                <c:pt idx="555">
                  <c:v>627.5</c:v>
                </c:pt>
                <c:pt idx="556">
                  <c:v>628</c:v>
                </c:pt>
                <c:pt idx="557">
                  <c:v>628.5</c:v>
                </c:pt>
                <c:pt idx="558">
                  <c:v>629</c:v>
                </c:pt>
                <c:pt idx="559">
                  <c:v>629.5</c:v>
                </c:pt>
                <c:pt idx="560">
                  <c:v>630</c:v>
                </c:pt>
                <c:pt idx="561">
                  <c:v>630.5</c:v>
                </c:pt>
                <c:pt idx="562">
                  <c:v>631</c:v>
                </c:pt>
                <c:pt idx="563">
                  <c:v>631.5</c:v>
                </c:pt>
                <c:pt idx="564">
                  <c:v>632</c:v>
                </c:pt>
                <c:pt idx="565">
                  <c:v>632.5</c:v>
                </c:pt>
                <c:pt idx="566">
                  <c:v>633</c:v>
                </c:pt>
                <c:pt idx="567">
                  <c:v>633.5</c:v>
                </c:pt>
                <c:pt idx="568">
                  <c:v>634</c:v>
                </c:pt>
                <c:pt idx="569">
                  <c:v>634.5</c:v>
                </c:pt>
                <c:pt idx="570">
                  <c:v>635</c:v>
                </c:pt>
                <c:pt idx="571">
                  <c:v>635.5</c:v>
                </c:pt>
                <c:pt idx="572">
                  <c:v>636</c:v>
                </c:pt>
                <c:pt idx="573">
                  <c:v>636.5</c:v>
                </c:pt>
                <c:pt idx="574">
                  <c:v>637</c:v>
                </c:pt>
                <c:pt idx="575">
                  <c:v>637.5</c:v>
                </c:pt>
                <c:pt idx="576">
                  <c:v>638</c:v>
                </c:pt>
                <c:pt idx="577">
                  <c:v>638.5</c:v>
                </c:pt>
                <c:pt idx="578">
                  <c:v>639</c:v>
                </c:pt>
                <c:pt idx="579">
                  <c:v>639.5</c:v>
                </c:pt>
                <c:pt idx="580">
                  <c:v>640</c:v>
                </c:pt>
                <c:pt idx="581">
                  <c:v>640.5</c:v>
                </c:pt>
                <c:pt idx="582">
                  <c:v>641</c:v>
                </c:pt>
                <c:pt idx="583">
                  <c:v>641.5</c:v>
                </c:pt>
                <c:pt idx="584">
                  <c:v>642</c:v>
                </c:pt>
                <c:pt idx="585">
                  <c:v>642.5</c:v>
                </c:pt>
                <c:pt idx="586">
                  <c:v>643</c:v>
                </c:pt>
                <c:pt idx="587">
                  <c:v>643.5</c:v>
                </c:pt>
                <c:pt idx="588">
                  <c:v>644</c:v>
                </c:pt>
                <c:pt idx="589">
                  <c:v>644.5</c:v>
                </c:pt>
                <c:pt idx="590">
                  <c:v>645</c:v>
                </c:pt>
                <c:pt idx="591">
                  <c:v>645.5</c:v>
                </c:pt>
                <c:pt idx="592">
                  <c:v>646</c:v>
                </c:pt>
                <c:pt idx="593">
                  <c:v>646.5</c:v>
                </c:pt>
                <c:pt idx="594">
                  <c:v>647</c:v>
                </c:pt>
                <c:pt idx="595">
                  <c:v>647.5</c:v>
                </c:pt>
                <c:pt idx="596">
                  <c:v>648</c:v>
                </c:pt>
                <c:pt idx="597">
                  <c:v>648.5</c:v>
                </c:pt>
                <c:pt idx="598">
                  <c:v>649</c:v>
                </c:pt>
                <c:pt idx="599">
                  <c:v>649.5</c:v>
                </c:pt>
                <c:pt idx="600">
                  <c:v>650</c:v>
                </c:pt>
                <c:pt idx="601">
                  <c:v>650.5</c:v>
                </c:pt>
                <c:pt idx="602">
                  <c:v>651</c:v>
                </c:pt>
                <c:pt idx="603">
                  <c:v>651.5</c:v>
                </c:pt>
                <c:pt idx="604">
                  <c:v>652</c:v>
                </c:pt>
                <c:pt idx="605">
                  <c:v>652.5</c:v>
                </c:pt>
                <c:pt idx="606">
                  <c:v>653</c:v>
                </c:pt>
                <c:pt idx="607">
                  <c:v>653.5</c:v>
                </c:pt>
                <c:pt idx="608">
                  <c:v>654</c:v>
                </c:pt>
                <c:pt idx="609">
                  <c:v>654.5</c:v>
                </c:pt>
                <c:pt idx="610">
                  <c:v>655</c:v>
                </c:pt>
                <c:pt idx="611">
                  <c:v>655.5</c:v>
                </c:pt>
                <c:pt idx="612">
                  <c:v>656</c:v>
                </c:pt>
                <c:pt idx="613">
                  <c:v>656.5</c:v>
                </c:pt>
                <c:pt idx="614">
                  <c:v>657</c:v>
                </c:pt>
                <c:pt idx="615">
                  <c:v>657.5</c:v>
                </c:pt>
                <c:pt idx="616">
                  <c:v>658</c:v>
                </c:pt>
                <c:pt idx="617">
                  <c:v>658.5</c:v>
                </c:pt>
                <c:pt idx="618">
                  <c:v>659</c:v>
                </c:pt>
                <c:pt idx="619">
                  <c:v>659.5</c:v>
                </c:pt>
                <c:pt idx="620">
                  <c:v>660</c:v>
                </c:pt>
                <c:pt idx="621">
                  <c:v>660.5</c:v>
                </c:pt>
                <c:pt idx="622">
                  <c:v>661</c:v>
                </c:pt>
                <c:pt idx="623">
                  <c:v>661.5</c:v>
                </c:pt>
                <c:pt idx="624">
                  <c:v>662</c:v>
                </c:pt>
                <c:pt idx="625">
                  <c:v>662.5</c:v>
                </c:pt>
                <c:pt idx="626">
                  <c:v>663</c:v>
                </c:pt>
                <c:pt idx="627">
                  <c:v>663.5</c:v>
                </c:pt>
                <c:pt idx="628">
                  <c:v>664</c:v>
                </c:pt>
                <c:pt idx="629">
                  <c:v>664.5</c:v>
                </c:pt>
                <c:pt idx="630">
                  <c:v>665</c:v>
                </c:pt>
                <c:pt idx="631">
                  <c:v>665.5</c:v>
                </c:pt>
                <c:pt idx="632">
                  <c:v>666</c:v>
                </c:pt>
                <c:pt idx="633">
                  <c:v>666.5</c:v>
                </c:pt>
                <c:pt idx="634">
                  <c:v>667</c:v>
                </c:pt>
                <c:pt idx="635">
                  <c:v>667.5</c:v>
                </c:pt>
                <c:pt idx="636">
                  <c:v>668</c:v>
                </c:pt>
                <c:pt idx="637">
                  <c:v>668.5</c:v>
                </c:pt>
                <c:pt idx="638">
                  <c:v>669</c:v>
                </c:pt>
                <c:pt idx="639">
                  <c:v>669.5</c:v>
                </c:pt>
                <c:pt idx="640">
                  <c:v>670</c:v>
                </c:pt>
                <c:pt idx="641">
                  <c:v>670.5</c:v>
                </c:pt>
                <c:pt idx="642">
                  <c:v>671</c:v>
                </c:pt>
                <c:pt idx="643">
                  <c:v>671.5</c:v>
                </c:pt>
                <c:pt idx="644">
                  <c:v>672</c:v>
                </c:pt>
                <c:pt idx="645">
                  <c:v>672.5</c:v>
                </c:pt>
                <c:pt idx="646">
                  <c:v>673</c:v>
                </c:pt>
                <c:pt idx="647">
                  <c:v>673.5</c:v>
                </c:pt>
                <c:pt idx="648">
                  <c:v>674</c:v>
                </c:pt>
                <c:pt idx="649">
                  <c:v>674.5</c:v>
                </c:pt>
                <c:pt idx="650">
                  <c:v>675</c:v>
                </c:pt>
                <c:pt idx="651">
                  <c:v>675.5</c:v>
                </c:pt>
                <c:pt idx="652">
                  <c:v>676</c:v>
                </c:pt>
                <c:pt idx="653">
                  <c:v>676.5</c:v>
                </c:pt>
                <c:pt idx="654">
                  <c:v>677</c:v>
                </c:pt>
                <c:pt idx="655">
                  <c:v>677.5</c:v>
                </c:pt>
                <c:pt idx="656">
                  <c:v>678</c:v>
                </c:pt>
                <c:pt idx="657">
                  <c:v>678.5</c:v>
                </c:pt>
                <c:pt idx="658">
                  <c:v>679</c:v>
                </c:pt>
                <c:pt idx="659">
                  <c:v>679.5</c:v>
                </c:pt>
                <c:pt idx="660">
                  <c:v>680</c:v>
                </c:pt>
                <c:pt idx="661">
                  <c:v>680.5</c:v>
                </c:pt>
                <c:pt idx="662">
                  <c:v>681</c:v>
                </c:pt>
                <c:pt idx="663">
                  <c:v>681.5</c:v>
                </c:pt>
                <c:pt idx="664">
                  <c:v>682</c:v>
                </c:pt>
                <c:pt idx="665">
                  <c:v>682.5</c:v>
                </c:pt>
                <c:pt idx="666">
                  <c:v>683</c:v>
                </c:pt>
                <c:pt idx="667">
                  <c:v>683.5</c:v>
                </c:pt>
                <c:pt idx="668">
                  <c:v>684</c:v>
                </c:pt>
                <c:pt idx="669">
                  <c:v>684.5</c:v>
                </c:pt>
                <c:pt idx="670">
                  <c:v>685</c:v>
                </c:pt>
                <c:pt idx="671">
                  <c:v>685.5</c:v>
                </c:pt>
                <c:pt idx="672">
                  <c:v>686</c:v>
                </c:pt>
                <c:pt idx="673">
                  <c:v>686.5</c:v>
                </c:pt>
                <c:pt idx="674">
                  <c:v>687</c:v>
                </c:pt>
                <c:pt idx="675">
                  <c:v>687.5</c:v>
                </c:pt>
                <c:pt idx="676">
                  <c:v>688</c:v>
                </c:pt>
                <c:pt idx="677">
                  <c:v>688.5</c:v>
                </c:pt>
                <c:pt idx="678">
                  <c:v>689</c:v>
                </c:pt>
                <c:pt idx="679">
                  <c:v>689.5</c:v>
                </c:pt>
                <c:pt idx="680">
                  <c:v>690</c:v>
                </c:pt>
                <c:pt idx="681">
                  <c:v>690.5</c:v>
                </c:pt>
                <c:pt idx="682">
                  <c:v>691</c:v>
                </c:pt>
                <c:pt idx="683">
                  <c:v>691.5</c:v>
                </c:pt>
                <c:pt idx="684">
                  <c:v>692</c:v>
                </c:pt>
                <c:pt idx="685">
                  <c:v>692.5</c:v>
                </c:pt>
                <c:pt idx="686">
                  <c:v>693</c:v>
                </c:pt>
                <c:pt idx="687">
                  <c:v>693.5</c:v>
                </c:pt>
                <c:pt idx="688">
                  <c:v>694</c:v>
                </c:pt>
                <c:pt idx="689">
                  <c:v>694.5</c:v>
                </c:pt>
                <c:pt idx="690">
                  <c:v>695</c:v>
                </c:pt>
                <c:pt idx="691">
                  <c:v>695.5</c:v>
                </c:pt>
                <c:pt idx="692">
                  <c:v>696</c:v>
                </c:pt>
                <c:pt idx="693">
                  <c:v>696.5</c:v>
                </c:pt>
                <c:pt idx="694">
                  <c:v>697</c:v>
                </c:pt>
                <c:pt idx="695">
                  <c:v>697.5</c:v>
                </c:pt>
                <c:pt idx="696">
                  <c:v>698</c:v>
                </c:pt>
                <c:pt idx="697">
                  <c:v>698.5</c:v>
                </c:pt>
                <c:pt idx="698">
                  <c:v>699</c:v>
                </c:pt>
                <c:pt idx="699">
                  <c:v>699.5</c:v>
                </c:pt>
                <c:pt idx="700">
                  <c:v>700</c:v>
                </c:pt>
                <c:pt idx="701">
                  <c:v>700.5</c:v>
                </c:pt>
                <c:pt idx="702">
                  <c:v>701</c:v>
                </c:pt>
                <c:pt idx="703">
                  <c:v>701.5</c:v>
                </c:pt>
                <c:pt idx="704">
                  <c:v>702</c:v>
                </c:pt>
                <c:pt idx="705">
                  <c:v>702.5</c:v>
                </c:pt>
                <c:pt idx="706">
                  <c:v>703</c:v>
                </c:pt>
                <c:pt idx="707">
                  <c:v>703.5</c:v>
                </c:pt>
                <c:pt idx="708">
                  <c:v>704</c:v>
                </c:pt>
                <c:pt idx="709">
                  <c:v>704.5</c:v>
                </c:pt>
                <c:pt idx="710">
                  <c:v>705</c:v>
                </c:pt>
                <c:pt idx="711">
                  <c:v>705.5</c:v>
                </c:pt>
                <c:pt idx="712">
                  <c:v>706</c:v>
                </c:pt>
                <c:pt idx="713">
                  <c:v>706.5</c:v>
                </c:pt>
                <c:pt idx="714">
                  <c:v>707</c:v>
                </c:pt>
                <c:pt idx="715">
                  <c:v>707.5</c:v>
                </c:pt>
                <c:pt idx="716">
                  <c:v>708</c:v>
                </c:pt>
                <c:pt idx="717">
                  <c:v>708.5</c:v>
                </c:pt>
                <c:pt idx="718">
                  <c:v>709</c:v>
                </c:pt>
                <c:pt idx="719">
                  <c:v>709.5</c:v>
                </c:pt>
                <c:pt idx="720">
                  <c:v>710</c:v>
                </c:pt>
                <c:pt idx="721">
                  <c:v>710.5</c:v>
                </c:pt>
                <c:pt idx="722">
                  <c:v>711</c:v>
                </c:pt>
                <c:pt idx="723">
                  <c:v>711.5</c:v>
                </c:pt>
                <c:pt idx="724">
                  <c:v>712</c:v>
                </c:pt>
                <c:pt idx="725">
                  <c:v>712.5</c:v>
                </c:pt>
                <c:pt idx="726">
                  <c:v>713</c:v>
                </c:pt>
                <c:pt idx="727">
                  <c:v>713.5</c:v>
                </c:pt>
                <c:pt idx="728">
                  <c:v>714</c:v>
                </c:pt>
                <c:pt idx="729">
                  <c:v>714.5</c:v>
                </c:pt>
                <c:pt idx="730">
                  <c:v>715</c:v>
                </c:pt>
                <c:pt idx="731">
                  <c:v>715.5</c:v>
                </c:pt>
                <c:pt idx="732">
                  <c:v>716</c:v>
                </c:pt>
                <c:pt idx="733">
                  <c:v>716.5</c:v>
                </c:pt>
                <c:pt idx="734">
                  <c:v>717</c:v>
                </c:pt>
                <c:pt idx="735">
                  <c:v>717.5</c:v>
                </c:pt>
                <c:pt idx="736">
                  <c:v>718</c:v>
                </c:pt>
                <c:pt idx="737">
                  <c:v>718.5</c:v>
                </c:pt>
                <c:pt idx="738">
                  <c:v>719</c:v>
                </c:pt>
                <c:pt idx="739">
                  <c:v>719.5</c:v>
                </c:pt>
                <c:pt idx="740">
                  <c:v>720</c:v>
                </c:pt>
                <c:pt idx="741">
                  <c:v>720.5</c:v>
                </c:pt>
                <c:pt idx="742">
                  <c:v>721</c:v>
                </c:pt>
                <c:pt idx="743">
                  <c:v>721.5</c:v>
                </c:pt>
                <c:pt idx="744">
                  <c:v>722</c:v>
                </c:pt>
                <c:pt idx="745">
                  <c:v>722.5</c:v>
                </c:pt>
                <c:pt idx="746">
                  <c:v>723</c:v>
                </c:pt>
                <c:pt idx="747">
                  <c:v>723.5</c:v>
                </c:pt>
                <c:pt idx="748">
                  <c:v>724</c:v>
                </c:pt>
                <c:pt idx="749">
                  <c:v>724.5</c:v>
                </c:pt>
                <c:pt idx="750">
                  <c:v>725</c:v>
                </c:pt>
                <c:pt idx="751">
                  <c:v>725.5</c:v>
                </c:pt>
                <c:pt idx="752">
                  <c:v>726</c:v>
                </c:pt>
                <c:pt idx="753">
                  <c:v>726.5</c:v>
                </c:pt>
                <c:pt idx="754">
                  <c:v>727</c:v>
                </c:pt>
                <c:pt idx="755">
                  <c:v>727.5</c:v>
                </c:pt>
                <c:pt idx="756">
                  <c:v>728</c:v>
                </c:pt>
                <c:pt idx="757">
                  <c:v>728.5</c:v>
                </c:pt>
                <c:pt idx="758">
                  <c:v>729</c:v>
                </c:pt>
                <c:pt idx="759">
                  <c:v>729.5</c:v>
                </c:pt>
                <c:pt idx="760">
                  <c:v>730</c:v>
                </c:pt>
                <c:pt idx="761">
                  <c:v>730.5</c:v>
                </c:pt>
                <c:pt idx="762">
                  <c:v>731</c:v>
                </c:pt>
                <c:pt idx="763">
                  <c:v>731.5</c:v>
                </c:pt>
                <c:pt idx="764">
                  <c:v>732</c:v>
                </c:pt>
                <c:pt idx="765">
                  <c:v>732.5</c:v>
                </c:pt>
                <c:pt idx="766">
                  <c:v>733</c:v>
                </c:pt>
                <c:pt idx="767">
                  <c:v>733.5</c:v>
                </c:pt>
                <c:pt idx="768">
                  <c:v>734</c:v>
                </c:pt>
                <c:pt idx="769">
                  <c:v>734.5</c:v>
                </c:pt>
                <c:pt idx="770">
                  <c:v>735</c:v>
                </c:pt>
                <c:pt idx="771">
                  <c:v>735.5</c:v>
                </c:pt>
                <c:pt idx="772">
                  <c:v>736</c:v>
                </c:pt>
                <c:pt idx="773">
                  <c:v>736.5</c:v>
                </c:pt>
                <c:pt idx="774">
                  <c:v>737</c:v>
                </c:pt>
                <c:pt idx="775">
                  <c:v>737.5</c:v>
                </c:pt>
                <c:pt idx="776">
                  <c:v>738</c:v>
                </c:pt>
                <c:pt idx="777">
                  <c:v>738.5</c:v>
                </c:pt>
                <c:pt idx="778">
                  <c:v>739</c:v>
                </c:pt>
                <c:pt idx="779">
                  <c:v>739.5</c:v>
                </c:pt>
                <c:pt idx="780">
                  <c:v>740</c:v>
                </c:pt>
                <c:pt idx="781">
                  <c:v>740.5</c:v>
                </c:pt>
                <c:pt idx="782">
                  <c:v>741</c:v>
                </c:pt>
                <c:pt idx="783">
                  <c:v>741.5</c:v>
                </c:pt>
                <c:pt idx="784">
                  <c:v>742</c:v>
                </c:pt>
                <c:pt idx="785">
                  <c:v>742.5</c:v>
                </c:pt>
                <c:pt idx="786">
                  <c:v>743</c:v>
                </c:pt>
                <c:pt idx="787">
                  <c:v>743.5</c:v>
                </c:pt>
                <c:pt idx="788">
                  <c:v>744</c:v>
                </c:pt>
                <c:pt idx="789">
                  <c:v>744.5</c:v>
                </c:pt>
                <c:pt idx="790">
                  <c:v>745</c:v>
                </c:pt>
                <c:pt idx="791">
                  <c:v>745.5</c:v>
                </c:pt>
                <c:pt idx="792">
                  <c:v>746</c:v>
                </c:pt>
                <c:pt idx="793">
                  <c:v>746.5</c:v>
                </c:pt>
                <c:pt idx="794">
                  <c:v>747</c:v>
                </c:pt>
                <c:pt idx="795">
                  <c:v>747.5</c:v>
                </c:pt>
                <c:pt idx="796">
                  <c:v>748</c:v>
                </c:pt>
                <c:pt idx="797">
                  <c:v>748.5</c:v>
                </c:pt>
                <c:pt idx="798">
                  <c:v>749</c:v>
                </c:pt>
                <c:pt idx="799">
                  <c:v>749.5</c:v>
                </c:pt>
                <c:pt idx="800">
                  <c:v>750</c:v>
                </c:pt>
                <c:pt idx="801">
                  <c:v>750.5</c:v>
                </c:pt>
                <c:pt idx="802">
                  <c:v>751</c:v>
                </c:pt>
                <c:pt idx="803">
                  <c:v>751.5</c:v>
                </c:pt>
                <c:pt idx="804">
                  <c:v>752</c:v>
                </c:pt>
                <c:pt idx="805">
                  <c:v>752.5</c:v>
                </c:pt>
                <c:pt idx="806">
                  <c:v>753</c:v>
                </c:pt>
                <c:pt idx="807">
                  <c:v>753.5</c:v>
                </c:pt>
                <c:pt idx="808">
                  <c:v>754</c:v>
                </c:pt>
                <c:pt idx="809">
                  <c:v>754.5</c:v>
                </c:pt>
                <c:pt idx="810">
                  <c:v>755</c:v>
                </c:pt>
                <c:pt idx="811">
                  <c:v>755.5</c:v>
                </c:pt>
                <c:pt idx="812">
                  <c:v>756</c:v>
                </c:pt>
                <c:pt idx="813">
                  <c:v>756.5</c:v>
                </c:pt>
                <c:pt idx="814">
                  <c:v>757</c:v>
                </c:pt>
                <c:pt idx="815">
                  <c:v>757.5</c:v>
                </c:pt>
                <c:pt idx="816">
                  <c:v>758</c:v>
                </c:pt>
                <c:pt idx="817">
                  <c:v>758.5</c:v>
                </c:pt>
                <c:pt idx="818">
                  <c:v>759</c:v>
                </c:pt>
                <c:pt idx="819">
                  <c:v>759.5</c:v>
                </c:pt>
                <c:pt idx="820">
                  <c:v>760</c:v>
                </c:pt>
                <c:pt idx="821">
                  <c:v>760.5</c:v>
                </c:pt>
                <c:pt idx="822">
                  <c:v>761</c:v>
                </c:pt>
                <c:pt idx="823">
                  <c:v>761.5</c:v>
                </c:pt>
                <c:pt idx="824">
                  <c:v>762</c:v>
                </c:pt>
                <c:pt idx="825">
                  <c:v>762.5</c:v>
                </c:pt>
                <c:pt idx="826">
                  <c:v>763</c:v>
                </c:pt>
                <c:pt idx="827">
                  <c:v>763.5</c:v>
                </c:pt>
                <c:pt idx="828">
                  <c:v>764</c:v>
                </c:pt>
                <c:pt idx="829">
                  <c:v>764.5</c:v>
                </c:pt>
                <c:pt idx="830">
                  <c:v>765</c:v>
                </c:pt>
                <c:pt idx="831">
                  <c:v>765.5</c:v>
                </c:pt>
                <c:pt idx="832">
                  <c:v>766</c:v>
                </c:pt>
                <c:pt idx="833">
                  <c:v>766.5</c:v>
                </c:pt>
                <c:pt idx="834">
                  <c:v>767</c:v>
                </c:pt>
                <c:pt idx="835">
                  <c:v>767.5</c:v>
                </c:pt>
                <c:pt idx="836">
                  <c:v>768</c:v>
                </c:pt>
                <c:pt idx="837">
                  <c:v>768.5</c:v>
                </c:pt>
                <c:pt idx="838">
                  <c:v>769</c:v>
                </c:pt>
                <c:pt idx="839">
                  <c:v>769.5</c:v>
                </c:pt>
                <c:pt idx="840">
                  <c:v>770</c:v>
                </c:pt>
                <c:pt idx="841">
                  <c:v>770.5</c:v>
                </c:pt>
                <c:pt idx="842">
                  <c:v>771</c:v>
                </c:pt>
                <c:pt idx="843">
                  <c:v>771.5</c:v>
                </c:pt>
                <c:pt idx="844">
                  <c:v>772</c:v>
                </c:pt>
                <c:pt idx="845">
                  <c:v>772.5</c:v>
                </c:pt>
                <c:pt idx="846">
                  <c:v>773</c:v>
                </c:pt>
                <c:pt idx="847">
                  <c:v>773.5</c:v>
                </c:pt>
                <c:pt idx="848">
                  <c:v>774</c:v>
                </c:pt>
                <c:pt idx="849">
                  <c:v>774.5</c:v>
                </c:pt>
                <c:pt idx="850">
                  <c:v>775</c:v>
                </c:pt>
                <c:pt idx="851">
                  <c:v>775.5</c:v>
                </c:pt>
                <c:pt idx="852">
                  <c:v>776</c:v>
                </c:pt>
                <c:pt idx="853">
                  <c:v>776.5</c:v>
                </c:pt>
                <c:pt idx="854">
                  <c:v>777</c:v>
                </c:pt>
                <c:pt idx="855">
                  <c:v>777.5</c:v>
                </c:pt>
                <c:pt idx="856">
                  <c:v>778</c:v>
                </c:pt>
                <c:pt idx="857">
                  <c:v>778.5</c:v>
                </c:pt>
                <c:pt idx="858">
                  <c:v>779</c:v>
                </c:pt>
                <c:pt idx="859">
                  <c:v>779.5</c:v>
                </c:pt>
                <c:pt idx="860">
                  <c:v>780</c:v>
                </c:pt>
                <c:pt idx="861">
                  <c:v>780.5</c:v>
                </c:pt>
                <c:pt idx="862">
                  <c:v>781</c:v>
                </c:pt>
                <c:pt idx="863">
                  <c:v>781.5</c:v>
                </c:pt>
                <c:pt idx="864">
                  <c:v>782</c:v>
                </c:pt>
                <c:pt idx="865">
                  <c:v>782.5</c:v>
                </c:pt>
                <c:pt idx="866">
                  <c:v>783</c:v>
                </c:pt>
                <c:pt idx="867">
                  <c:v>783.5</c:v>
                </c:pt>
                <c:pt idx="868">
                  <c:v>784</c:v>
                </c:pt>
                <c:pt idx="869">
                  <c:v>784.5</c:v>
                </c:pt>
                <c:pt idx="870">
                  <c:v>785</c:v>
                </c:pt>
                <c:pt idx="871">
                  <c:v>785.5</c:v>
                </c:pt>
                <c:pt idx="872">
                  <c:v>786</c:v>
                </c:pt>
                <c:pt idx="873">
                  <c:v>786.5</c:v>
                </c:pt>
                <c:pt idx="874">
                  <c:v>787</c:v>
                </c:pt>
                <c:pt idx="875">
                  <c:v>787.5</c:v>
                </c:pt>
                <c:pt idx="876">
                  <c:v>788</c:v>
                </c:pt>
                <c:pt idx="877">
                  <c:v>788.5</c:v>
                </c:pt>
                <c:pt idx="878">
                  <c:v>789</c:v>
                </c:pt>
                <c:pt idx="879">
                  <c:v>789.5</c:v>
                </c:pt>
                <c:pt idx="880">
                  <c:v>790</c:v>
                </c:pt>
                <c:pt idx="881">
                  <c:v>790.5</c:v>
                </c:pt>
                <c:pt idx="882">
                  <c:v>791</c:v>
                </c:pt>
                <c:pt idx="883">
                  <c:v>791.5</c:v>
                </c:pt>
                <c:pt idx="884">
                  <c:v>792</c:v>
                </c:pt>
                <c:pt idx="885">
                  <c:v>792.5</c:v>
                </c:pt>
                <c:pt idx="886">
                  <c:v>793</c:v>
                </c:pt>
                <c:pt idx="887">
                  <c:v>793.5</c:v>
                </c:pt>
                <c:pt idx="888">
                  <c:v>794</c:v>
                </c:pt>
                <c:pt idx="889">
                  <c:v>794.5</c:v>
                </c:pt>
                <c:pt idx="890">
                  <c:v>795</c:v>
                </c:pt>
                <c:pt idx="891">
                  <c:v>795.5</c:v>
                </c:pt>
                <c:pt idx="892">
                  <c:v>796</c:v>
                </c:pt>
                <c:pt idx="893">
                  <c:v>796.5</c:v>
                </c:pt>
                <c:pt idx="894">
                  <c:v>797</c:v>
                </c:pt>
                <c:pt idx="895">
                  <c:v>797.5</c:v>
                </c:pt>
                <c:pt idx="896">
                  <c:v>798</c:v>
                </c:pt>
                <c:pt idx="897">
                  <c:v>798.5</c:v>
                </c:pt>
                <c:pt idx="898">
                  <c:v>799</c:v>
                </c:pt>
                <c:pt idx="899">
                  <c:v>799.5</c:v>
                </c:pt>
                <c:pt idx="900">
                  <c:v>800</c:v>
                </c:pt>
                <c:pt idx="901">
                  <c:v>800.5</c:v>
                </c:pt>
                <c:pt idx="902">
                  <c:v>801</c:v>
                </c:pt>
                <c:pt idx="903">
                  <c:v>801.5</c:v>
                </c:pt>
                <c:pt idx="904">
                  <c:v>802</c:v>
                </c:pt>
                <c:pt idx="905">
                  <c:v>802.5</c:v>
                </c:pt>
                <c:pt idx="906">
                  <c:v>803</c:v>
                </c:pt>
                <c:pt idx="907">
                  <c:v>803.5</c:v>
                </c:pt>
                <c:pt idx="908">
                  <c:v>804</c:v>
                </c:pt>
                <c:pt idx="909">
                  <c:v>804.5</c:v>
                </c:pt>
                <c:pt idx="910">
                  <c:v>805</c:v>
                </c:pt>
                <c:pt idx="911">
                  <c:v>805.5</c:v>
                </c:pt>
                <c:pt idx="912">
                  <c:v>806</c:v>
                </c:pt>
                <c:pt idx="913">
                  <c:v>806.5</c:v>
                </c:pt>
                <c:pt idx="914">
                  <c:v>807</c:v>
                </c:pt>
                <c:pt idx="915">
                  <c:v>807.5</c:v>
                </c:pt>
                <c:pt idx="916">
                  <c:v>808</c:v>
                </c:pt>
                <c:pt idx="917">
                  <c:v>808.5</c:v>
                </c:pt>
                <c:pt idx="918">
                  <c:v>809</c:v>
                </c:pt>
                <c:pt idx="919">
                  <c:v>809.5</c:v>
                </c:pt>
                <c:pt idx="920">
                  <c:v>810</c:v>
                </c:pt>
                <c:pt idx="921">
                  <c:v>810.5</c:v>
                </c:pt>
                <c:pt idx="922">
                  <c:v>811</c:v>
                </c:pt>
                <c:pt idx="923">
                  <c:v>811.5</c:v>
                </c:pt>
                <c:pt idx="924">
                  <c:v>812</c:v>
                </c:pt>
                <c:pt idx="925">
                  <c:v>812.5</c:v>
                </c:pt>
                <c:pt idx="926">
                  <c:v>813</c:v>
                </c:pt>
                <c:pt idx="927">
                  <c:v>813.5</c:v>
                </c:pt>
                <c:pt idx="928">
                  <c:v>814</c:v>
                </c:pt>
                <c:pt idx="929">
                  <c:v>814.5</c:v>
                </c:pt>
                <c:pt idx="930">
                  <c:v>815</c:v>
                </c:pt>
                <c:pt idx="931">
                  <c:v>815.5</c:v>
                </c:pt>
                <c:pt idx="932">
                  <c:v>816</c:v>
                </c:pt>
                <c:pt idx="933">
                  <c:v>816.5</c:v>
                </c:pt>
                <c:pt idx="934">
                  <c:v>817</c:v>
                </c:pt>
                <c:pt idx="935">
                  <c:v>817.5</c:v>
                </c:pt>
                <c:pt idx="936">
                  <c:v>818</c:v>
                </c:pt>
                <c:pt idx="937">
                  <c:v>818.5</c:v>
                </c:pt>
                <c:pt idx="938">
                  <c:v>819</c:v>
                </c:pt>
                <c:pt idx="939">
                  <c:v>819.5</c:v>
                </c:pt>
                <c:pt idx="940">
                  <c:v>820</c:v>
                </c:pt>
                <c:pt idx="941">
                  <c:v>820.5</c:v>
                </c:pt>
                <c:pt idx="942">
                  <c:v>821</c:v>
                </c:pt>
                <c:pt idx="943">
                  <c:v>821.5</c:v>
                </c:pt>
                <c:pt idx="944">
                  <c:v>822</c:v>
                </c:pt>
                <c:pt idx="945">
                  <c:v>822.5</c:v>
                </c:pt>
                <c:pt idx="946">
                  <c:v>823</c:v>
                </c:pt>
                <c:pt idx="947">
                  <c:v>823.5</c:v>
                </c:pt>
                <c:pt idx="948">
                  <c:v>824</c:v>
                </c:pt>
                <c:pt idx="949">
                  <c:v>824.5</c:v>
                </c:pt>
                <c:pt idx="950">
                  <c:v>825</c:v>
                </c:pt>
                <c:pt idx="951">
                  <c:v>825.5</c:v>
                </c:pt>
                <c:pt idx="952">
                  <c:v>826</c:v>
                </c:pt>
                <c:pt idx="953">
                  <c:v>826.5</c:v>
                </c:pt>
                <c:pt idx="954">
                  <c:v>827</c:v>
                </c:pt>
                <c:pt idx="955">
                  <c:v>827.5</c:v>
                </c:pt>
                <c:pt idx="956">
                  <c:v>828</c:v>
                </c:pt>
                <c:pt idx="957">
                  <c:v>828.5</c:v>
                </c:pt>
                <c:pt idx="958">
                  <c:v>829</c:v>
                </c:pt>
                <c:pt idx="959">
                  <c:v>829.5</c:v>
                </c:pt>
                <c:pt idx="960">
                  <c:v>830</c:v>
                </c:pt>
                <c:pt idx="961">
                  <c:v>830.5</c:v>
                </c:pt>
                <c:pt idx="962">
                  <c:v>831</c:v>
                </c:pt>
                <c:pt idx="963">
                  <c:v>831.5</c:v>
                </c:pt>
                <c:pt idx="964">
                  <c:v>832</c:v>
                </c:pt>
                <c:pt idx="965">
                  <c:v>832.5</c:v>
                </c:pt>
                <c:pt idx="966">
                  <c:v>833</c:v>
                </c:pt>
                <c:pt idx="967">
                  <c:v>833.5</c:v>
                </c:pt>
                <c:pt idx="968">
                  <c:v>834</c:v>
                </c:pt>
                <c:pt idx="969">
                  <c:v>834.5</c:v>
                </c:pt>
                <c:pt idx="970">
                  <c:v>835</c:v>
                </c:pt>
                <c:pt idx="971">
                  <c:v>835.5</c:v>
                </c:pt>
                <c:pt idx="972">
                  <c:v>836</c:v>
                </c:pt>
                <c:pt idx="973">
                  <c:v>836.5</c:v>
                </c:pt>
                <c:pt idx="974">
                  <c:v>837</c:v>
                </c:pt>
                <c:pt idx="975">
                  <c:v>837.5</c:v>
                </c:pt>
                <c:pt idx="976">
                  <c:v>838</c:v>
                </c:pt>
                <c:pt idx="977">
                  <c:v>838.5</c:v>
                </c:pt>
                <c:pt idx="978">
                  <c:v>839</c:v>
                </c:pt>
                <c:pt idx="979">
                  <c:v>839.5</c:v>
                </c:pt>
                <c:pt idx="980">
                  <c:v>840</c:v>
                </c:pt>
                <c:pt idx="981">
                  <c:v>840.5</c:v>
                </c:pt>
                <c:pt idx="982">
                  <c:v>841</c:v>
                </c:pt>
                <c:pt idx="983">
                  <c:v>841.5</c:v>
                </c:pt>
                <c:pt idx="984">
                  <c:v>842</c:v>
                </c:pt>
                <c:pt idx="985">
                  <c:v>842.5</c:v>
                </c:pt>
                <c:pt idx="986">
                  <c:v>843</c:v>
                </c:pt>
                <c:pt idx="987">
                  <c:v>843.5</c:v>
                </c:pt>
                <c:pt idx="988">
                  <c:v>844</c:v>
                </c:pt>
                <c:pt idx="989">
                  <c:v>844.5</c:v>
                </c:pt>
                <c:pt idx="990">
                  <c:v>845</c:v>
                </c:pt>
                <c:pt idx="991">
                  <c:v>845.5</c:v>
                </c:pt>
                <c:pt idx="992">
                  <c:v>846</c:v>
                </c:pt>
                <c:pt idx="993">
                  <c:v>846.5</c:v>
                </c:pt>
                <c:pt idx="994">
                  <c:v>847</c:v>
                </c:pt>
                <c:pt idx="995">
                  <c:v>847.5</c:v>
                </c:pt>
                <c:pt idx="996">
                  <c:v>848</c:v>
                </c:pt>
                <c:pt idx="997">
                  <c:v>848.5</c:v>
                </c:pt>
                <c:pt idx="998">
                  <c:v>849</c:v>
                </c:pt>
                <c:pt idx="999">
                  <c:v>849.5</c:v>
                </c:pt>
                <c:pt idx="1000">
                  <c:v>850</c:v>
                </c:pt>
              </c:numCache>
            </c:numRef>
          </c:cat>
          <c:val>
            <c:numRef>
              <c:f>Sheet1!$C$212:$C$1212</c:f>
              <c:numCache>
                <c:formatCode>0.00E+00</c:formatCode>
                <c:ptCount val="1001"/>
                <c:pt idx="0">
                  <c:v>4.4639999999999995E-4</c:v>
                </c:pt>
                <c:pt idx="1">
                  <c:v>5.2680000000000001E-4</c:v>
                </c:pt>
                <c:pt idx="2">
                  <c:v>4.7519999999999995E-4</c:v>
                </c:pt>
                <c:pt idx="3">
                  <c:v>3.0719999999999999E-4</c:v>
                </c:pt>
                <c:pt idx="4">
                  <c:v>1.6679999999999999E-4</c:v>
                </c:pt>
                <c:pt idx="5">
                  <c:v>8.1599999999999991E-5</c:v>
                </c:pt>
                <c:pt idx="6">
                  <c:v>1.6559999999999999E-4</c:v>
                </c:pt>
                <c:pt idx="7">
                  <c:v>2.5919999999999996E-4</c:v>
                </c:pt>
                <c:pt idx="8">
                  <c:v>3.9599999999999998E-4</c:v>
                </c:pt>
                <c:pt idx="9">
                  <c:v>5.9040000000000004E-4</c:v>
                </c:pt>
                <c:pt idx="10">
                  <c:v>6.288E-4</c:v>
                </c:pt>
                <c:pt idx="11">
                  <c:v>6.2519999999999991E-4</c:v>
                </c:pt>
                <c:pt idx="12">
                  <c:v>6.5039999999999987E-4</c:v>
                </c:pt>
                <c:pt idx="13">
                  <c:v>5.7359999999999996E-4</c:v>
                </c:pt>
                <c:pt idx="14">
                  <c:v>5.4839999999999999E-4</c:v>
                </c:pt>
                <c:pt idx="15">
                  <c:v>4.908E-4</c:v>
                </c:pt>
                <c:pt idx="16">
                  <c:v>3.5879999999999999E-4</c:v>
                </c:pt>
                <c:pt idx="17">
                  <c:v>4.2719999999999998E-4</c:v>
                </c:pt>
                <c:pt idx="18">
                  <c:v>5.1360000000000002E-4</c:v>
                </c:pt>
                <c:pt idx="19">
                  <c:v>5.2439999999999995E-4</c:v>
                </c:pt>
                <c:pt idx="20">
                  <c:v>5.9520000000000005E-4</c:v>
                </c:pt>
                <c:pt idx="21">
                  <c:v>6.8760000000000002E-4</c:v>
                </c:pt>
                <c:pt idx="22">
                  <c:v>8.0880000000000004E-4</c:v>
                </c:pt>
                <c:pt idx="23">
                  <c:v>9.1080000000000002E-4</c:v>
                </c:pt>
                <c:pt idx="24">
                  <c:v>8.3640000000000006E-4</c:v>
                </c:pt>
                <c:pt idx="25">
                  <c:v>7.0200000000000004E-4</c:v>
                </c:pt>
                <c:pt idx="26">
                  <c:v>6.4079999999999996E-4</c:v>
                </c:pt>
                <c:pt idx="27">
                  <c:v>7.7039999999999997E-4</c:v>
                </c:pt>
                <c:pt idx="28">
                  <c:v>1.0176E-3</c:v>
                </c:pt>
                <c:pt idx="29">
                  <c:v>1.152E-3</c:v>
                </c:pt>
                <c:pt idx="30">
                  <c:v>1.1868E-3</c:v>
                </c:pt>
                <c:pt idx="31">
                  <c:v>1.0836000000000001E-3</c:v>
                </c:pt>
                <c:pt idx="32">
                  <c:v>9.4319999999999994E-4</c:v>
                </c:pt>
                <c:pt idx="33">
                  <c:v>9.3599999999999998E-4</c:v>
                </c:pt>
                <c:pt idx="34">
                  <c:v>9.683999999999999E-4</c:v>
                </c:pt>
                <c:pt idx="35">
                  <c:v>9.9120000000000002E-4</c:v>
                </c:pt>
                <c:pt idx="36">
                  <c:v>9.4679999999999992E-4</c:v>
                </c:pt>
                <c:pt idx="37">
                  <c:v>8.5680000000000001E-4</c:v>
                </c:pt>
                <c:pt idx="38">
                  <c:v>7.8719999999999994E-4</c:v>
                </c:pt>
                <c:pt idx="39">
                  <c:v>7.7760000000000004E-4</c:v>
                </c:pt>
                <c:pt idx="40">
                  <c:v>8.0760000000000001E-4</c:v>
                </c:pt>
                <c:pt idx="41">
                  <c:v>8.7839999999999999E-4</c:v>
                </c:pt>
                <c:pt idx="42">
                  <c:v>9.7680000000000011E-4</c:v>
                </c:pt>
                <c:pt idx="43">
                  <c:v>1.1555999999999999E-3</c:v>
                </c:pt>
                <c:pt idx="44">
                  <c:v>1.3559999999999998E-3</c:v>
                </c:pt>
                <c:pt idx="45">
                  <c:v>1.4399999999999999E-3</c:v>
                </c:pt>
                <c:pt idx="46">
                  <c:v>1.428E-3</c:v>
                </c:pt>
                <c:pt idx="47">
                  <c:v>1.4519999999999999E-3</c:v>
                </c:pt>
                <c:pt idx="48">
                  <c:v>1.428E-3</c:v>
                </c:pt>
                <c:pt idx="49">
                  <c:v>1.524E-3</c:v>
                </c:pt>
                <c:pt idx="50">
                  <c:v>1.5E-3</c:v>
                </c:pt>
                <c:pt idx="51">
                  <c:v>1.4040000000000001E-3</c:v>
                </c:pt>
                <c:pt idx="52">
                  <c:v>1.3799999999999999E-3</c:v>
                </c:pt>
                <c:pt idx="53">
                  <c:v>1.3320000000000001E-3</c:v>
                </c:pt>
                <c:pt idx="54">
                  <c:v>1.428E-3</c:v>
                </c:pt>
                <c:pt idx="55">
                  <c:v>1.5E-3</c:v>
                </c:pt>
                <c:pt idx="56">
                  <c:v>1.5719999999999998E-3</c:v>
                </c:pt>
                <c:pt idx="57">
                  <c:v>1.596E-3</c:v>
                </c:pt>
                <c:pt idx="58">
                  <c:v>1.632E-3</c:v>
                </c:pt>
                <c:pt idx="59">
                  <c:v>1.632E-3</c:v>
                </c:pt>
                <c:pt idx="60">
                  <c:v>1.6080000000000001E-3</c:v>
                </c:pt>
                <c:pt idx="61">
                  <c:v>1.6559999999999999E-3</c:v>
                </c:pt>
                <c:pt idx="62">
                  <c:v>1.6799999999999999E-3</c:v>
                </c:pt>
                <c:pt idx="63">
                  <c:v>1.7519999999999999E-3</c:v>
                </c:pt>
                <c:pt idx="64">
                  <c:v>1.8959999999999999E-3</c:v>
                </c:pt>
                <c:pt idx="65">
                  <c:v>1.9559999999999998E-3</c:v>
                </c:pt>
                <c:pt idx="66">
                  <c:v>2.0399999999999997E-3</c:v>
                </c:pt>
                <c:pt idx="67">
                  <c:v>2.0639999999999999E-3</c:v>
                </c:pt>
                <c:pt idx="68">
                  <c:v>1.98E-3</c:v>
                </c:pt>
                <c:pt idx="69">
                  <c:v>1.9919999999999998E-3</c:v>
                </c:pt>
                <c:pt idx="70">
                  <c:v>2.0040000000000001E-3</c:v>
                </c:pt>
                <c:pt idx="71">
                  <c:v>2.088E-3</c:v>
                </c:pt>
                <c:pt idx="72">
                  <c:v>2.1359999999999999E-3</c:v>
                </c:pt>
                <c:pt idx="73">
                  <c:v>2.2079999999999999E-3</c:v>
                </c:pt>
                <c:pt idx="74">
                  <c:v>2.3399999999999996E-3</c:v>
                </c:pt>
                <c:pt idx="75">
                  <c:v>2.4239999999999999E-3</c:v>
                </c:pt>
                <c:pt idx="76">
                  <c:v>2.5920000000000001E-3</c:v>
                </c:pt>
                <c:pt idx="77">
                  <c:v>2.532E-3</c:v>
                </c:pt>
                <c:pt idx="78">
                  <c:v>2.4360000000000002E-3</c:v>
                </c:pt>
                <c:pt idx="79">
                  <c:v>2.3999999999999998E-3</c:v>
                </c:pt>
                <c:pt idx="80">
                  <c:v>2.3760000000000001E-3</c:v>
                </c:pt>
                <c:pt idx="81">
                  <c:v>2.4720000000000002E-3</c:v>
                </c:pt>
                <c:pt idx="82">
                  <c:v>2.5559999999999997E-3</c:v>
                </c:pt>
                <c:pt idx="83">
                  <c:v>2.6999999999999997E-3</c:v>
                </c:pt>
                <c:pt idx="84">
                  <c:v>2.9039999999999999E-3</c:v>
                </c:pt>
                <c:pt idx="85">
                  <c:v>3.0839999999999995E-3</c:v>
                </c:pt>
                <c:pt idx="86">
                  <c:v>3.228E-3</c:v>
                </c:pt>
                <c:pt idx="87">
                  <c:v>3.2400000000000003E-3</c:v>
                </c:pt>
                <c:pt idx="88">
                  <c:v>3.156E-3</c:v>
                </c:pt>
                <c:pt idx="89">
                  <c:v>3.1199999999999999E-3</c:v>
                </c:pt>
                <c:pt idx="90">
                  <c:v>3.0600000000000002E-3</c:v>
                </c:pt>
                <c:pt idx="91">
                  <c:v>3.2039999999999998E-3</c:v>
                </c:pt>
                <c:pt idx="92">
                  <c:v>3.408E-3</c:v>
                </c:pt>
                <c:pt idx="93">
                  <c:v>3.5039999999999997E-3</c:v>
                </c:pt>
                <c:pt idx="94">
                  <c:v>3.6119999999999998E-3</c:v>
                </c:pt>
                <c:pt idx="95">
                  <c:v>3.5279999999999999E-3</c:v>
                </c:pt>
                <c:pt idx="96">
                  <c:v>3.588E-3</c:v>
                </c:pt>
                <c:pt idx="97">
                  <c:v>3.6959999999999996E-3</c:v>
                </c:pt>
                <c:pt idx="98">
                  <c:v>3.7679999999999996E-3</c:v>
                </c:pt>
                <c:pt idx="99">
                  <c:v>3.9239999999999995E-3</c:v>
                </c:pt>
                <c:pt idx="100">
                  <c:v>3.9959999999999996E-3</c:v>
                </c:pt>
                <c:pt idx="101">
                  <c:v>4.0439999999999999E-3</c:v>
                </c:pt>
                <c:pt idx="102">
                  <c:v>4.1279999999999997E-3</c:v>
                </c:pt>
                <c:pt idx="103">
                  <c:v>4.2360000000000002E-3</c:v>
                </c:pt>
                <c:pt idx="104">
                  <c:v>4.4039999999999999E-3</c:v>
                </c:pt>
                <c:pt idx="105">
                  <c:v>4.7160000000000006E-3</c:v>
                </c:pt>
                <c:pt idx="106">
                  <c:v>5.2679999999999992E-3</c:v>
                </c:pt>
                <c:pt idx="107">
                  <c:v>5.9759999999999995E-3</c:v>
                </c:pt>
                <c:pt idx="108">
                  <c:v>6.5399999999999998E-3</c:v>
                </c:pt>
                <c:pt idx="109">
                  <c:v>6.5639999999999995E-3</c:v>
                </c:pt>
                <c:pt idx="110">
                  <c:v>6.084E-3</c:v>
                </c:pt>
                <c:pt idx="111">
                  <c:v>5.4600000000000004E-3</c:v>
                </c:pt>
                <c:pt idx="112">
                  <c:v>5.0759999999999998E-3</c:v>
                </c:pt>
                <c:pt idx="113">
                  <c:v>4.8960000000000002E-3</c:v>
                </c:pt>
                <c:pt idx="114">
                  <c:v>4.9440000000000005E-3</c:v>
                </c:pt>
                <c:pt idx="115">
                  <c:v>4.9800000000000001E-3</c:v>
                </c:pt>
                <c:pt idx="116">
                  <c:v>5.0159999999999996E-3</c:v>
                </c:pt>
                <c:pt idx="117">
                  <c:v>5.1000000000000004E-3</c:v>
                </c:pt>
                <c:pt idx="118">
                  <c:v>5.2679999999999992E-3</c:v>
                </c:pt>
                <c:pt idx="119">
                  <c:v>5.6279999999999993E-3</c:v>
                </c:pt>
                <c:pt idx="120">
                  <c:v>5.94E-3</c:v>
                </c:pt>
                <c:pt idx="121">
                  <c:v>6.1440000000000002E-3</c:v>
                </c:pt>
                <c:pt idx="122">
                  <c:v>6.1919999999999996E-3</c:v>
                </c:pt>
                <c:pt idx="123">
                  <c:v>6.167999999999999E-3</c:v>
                </c:pt>
                <c:pt idx="124">
                  <c:v>6.167999999999999E-3</c:v>
                </c:pt>
                <c:pt idx="125">
                  <c:v>6.3240000000000006E-3</c:v>
                </c:pt>
                <c:pt idx="126">
                  <c:v>6.5399999999999998E-3</c:v>
                </c:pt>
                <c:pt idx="127">
                  <c:v>6.6600000000000001E-3</c:v>
                </c:pt>
                <c:pt idx="128">
                  <c:v>6.744E-3</c:v>
                </c:pt>
                <c:pt idx="129">
                  <c:v>6.8399999999999997E-3</c:v>
                </c:pt>
                <c:pt idx="130">
                  <c:v>6.9599999999999992E-3</c:v>
                </c:pt>
                <c:pt idx="131">
                  <c:v>7.2480000000000001E-3</c:v>
                </c:pt>
                <c:pt idx="132">
                  <c:v>7.4879999999999999E-3</c:v>
                </c:pt>
                <c:pt idx="133">
                  <c:v>7.6199999999999992E-3</c:v>
                </c:pt>
                <c:pt idx="134">
                  <c:v>7.6679999999999995E-3</c:v>
                </c:pt>
                <c:pt idx="135">
                  <c:v>7.5839999999999996E-3</c:v>
                </c:pt>
                <c:pt idx="136">
                  <c:v>7.6679999999999995E-3</c:v>
                </c:pt>
                <c:pt idx="137">
                  <c:v>7.7879999999999998E-3</c:v>
                </c:pt>
                <c:pt idx="138">
                  <c:v>7.9679999999999994E-3</c:v>
                </c:pt>
                <c:pt idx="139">
                  <c:v>8.147999999999999E-3</c:v>
                </c:pt>
                <c:pt idx="140">
                  <c:v>8.2559999999999995E-3</c:v>
                </c:pt>
                <c:pt idx="141">
                  <c:v>8.3879999999999996E-3</c:v>
                </c:pt>
                <c:pt idx="142">
                  <c:v>8.5079999999999999E-3</c:v>
                </c:pt>
                <c:pt idx="143">
                  <c:v>8.5439999999999995E-3</c:v>
                </c:pt>
                <c:pt idx="144">
                  <c:v>8.6639999999999998E-3</c:v>
                </c:pt>
                <c:pt idx="145">
                  <c:v>8.8559999999999993E-3</c:v>
                </c:pt>
                <c:pt idx="146">
                  <c:v>9.0600000000000003E-3</c:v>
                </c:pt>
                <c:pt idx="147">
                  <c:v>9.2399999999999999E-3</c:v>
                </c:pt>
                <c:pt idx="148">
                  <c:v>9.2879999999999994E-3</c:v>
                </c:pt>
                <c:pt idx="149">
                  <c:v>9.2639999999999997E-3</c:v>
                </c:pt>
                <c:pt idx="150">
                  <c:v>9.323999999999999E-3</c:v>
                </c:pt>
                <c:pt idx="151">
                  <c:v>9.3959999999999998E-3</c:v>
                </c:pt>
                <c:pt idx="152">
                  <c:v>9.6839999999999999E-3</c:v>
                </c:pt>
                <c:pt idx="153">
                  <c:v>9.9359999999999987E-3</c:v>
                </c:pt>
                <c:pt idx="154">
                  <c:v>1.0128E-2</c:v>
                </c:pt>
                <c:pt idx="155">
                  <c:v>1.0331999999999999E-2</c:v>
                </c:pt>
                <c:pt idx="156">
                  <c:v>1.0487999999999999E-2</c:v>
                </c:pt>
                <c:pt idx="157">
                  <c:v>1.0584E-2</c:v>
                </c:pt>
                <c:pt idx="158">
                  <c:v>1.0716E-2</c:v>
                </c:pt>
                <c:pt idx="159">
                  <c:v>1.0955999999999999E-2</c:v>
                </c:pt>
                <c:pt idx="160">
                  <c:v>1.1268E-2</c:v>
                </c:pt>
                <c:pt idx="161">
                  <c:v>1.1819999999999999E-2</c:v>
                </c:pt>
                <c:pt idx="162">
                  <c:v>1.248E-2</c:v>
                </c:pt>
                <c:pt idx="163">
                  <c:v>1.308E-2</c:v>
                </c:pt>
                <c:pt idx="164">
                  <c:v>1.332E-2</c:v>
                </c:pt>
                <c:pt idx="165">
                  <c:v>1.3439999999999999E-2</c:v>
                </c:pt>
                <c:pt idx="166">
                  <c:v>1.332E-2</c:v>
                </c:pt>
                <c:pt idx="167">
                  <c:v>1.308E-2</c:v>
                </c:pt>
                <c:pt idx="168">
                  <c:v>1.2960000000000001E-2</c:v>
                </c:pt>
                <c:pt idx="169">
                  <c:v>1.3439999999999999E-2</c:v>
                </c:pt>
                <c:pt idx="170">
                  <c:v>1.4280000000000001E-2</c:v>
                </c:pt>
                <c:pt idx="171">
                  <c:v>1.512E-2</c:v>
                </c:pt>
                <c:pt idx="172">
                  <c:v>1.536E-2</c:v>
                </c:pt>
                <c:pt idx="173">
                  <c:v>1.536E-2</c:v>
                </c:pt>
                <c:pt idx="174">
                  <c:v>1.536E-2</c:v>
                </c:pt>
                <c:pt idx="175">
                  <c:v>1.584E-2</c:v>
                </c:pt>
                <c:pt idx="176">
                  <c:v>1.6919999999999998E-2</c:v>
                </c:pt>
                <c:pt idx="177">
                  <c:v>1.788E-2</c:v>
                </c:pt>
                <c:pt idx="178">
                  <c:v>1.8599999999999998E-2</c:v>
                </c:pt>
                <c:pt idx="179">
                  <c:v>1.8599999999999998E-2</c:v>
                </c:pt>
                <c:pt idx="180">
                  <c:v>1.8120000000000001E-2</c:v>
                </c:pt>
                <c:pt idx="181">
                  <c:v>1.7159999999999998E-2</c:v>
                </c:pt>
                <c:pt idx="182">
                  <c:v>1.6080000000000001E-2</c:v>
                </c:pt>
                <c:pt idx="183">
                  <c:v>1.5239999999999998E-2</c:v>
                </c:pt>
                <c:pt idx="184">
                  <c:v>1.4519999999999998E-2</c:v>
                </c:pt>
                <c:pt idx="185">
                  <c:v>1.38E-2</c:v>
                </c:pt>
                <c:pt idx="186">
                  <c:v>1.308E-2</c:v>
                </c:pt>
                <c:pt idx="187">
                  <c:v>1.248E-2</c:v>
                </c:pt>
                <c:pt idx="188">
                  <c:v>1.2240000000000001E-2</c:v>
                </c:pt>
                <c:pt idx="189">
                  <c:v>1.2359999999999999E-2</c:v>
                </c:pt>
                <c:pt idx="190">
                  <c:v>1.2960000000000001E-2</c:v>
                </c:pt>
                <c:pt idx="191">
                  <c:v>1.3919999999999998E-2</c:v>
                </c:pt>
                <c:pt idx="192">
                  <c:v>1.5239999999999998E-2</c:v>
                </c:pt>
                <c:pt idx="193">
                  <c:v>1.6679999999999997E-2</c:v>
                </c:pt>
                <c:pt idx="194">
                  <c:v>1.7999999999999999E-2</c:v>
                </c:pt>
                <c:pt idx="195">
                  <c:v>1.9800000000000002E-2</c:v>
                </c:pt>
                <c:pt idx="196">
                  <c:v>2.2319999999999996E-2</c:v>
                </c:pt>
                <c:pt idx="197">
                  <c:v>2.6040000000000001E-2</c:v>
                </c:pt>
                <c:pt idx="198">
                  <c:v>3.0359999999999998E-2</c:v>
                </c:pt>
                <c:pt idx="199">
                  <c:v>3.3599999999999998E-2</c:v>
                </c:pt>
                <c:pt idx="200">
                  <c:v>3.3839999999999995E-2</c:v>
                </c:pt>
                <c:pt idx="201">
                  <c:v>3.168E-2</c:v>
                </c:pt>
                <c:pt idx="202">
                  <c:v>2.7719999999999998E-2</c:v>
                </c:pt>
                <c:pt idx="203">
                  <c:v>2.376E-2</c:v>
                </c:pt>
                <c:pt idx="204">
                  <c:v>2.0879999999999999E-2</c:v>
                </c:pt>
                <c:pt idx="205">
                  <c:v>1.908E-2</c:v>
                </c:pt>
                <c:pt idx="206">
                  <c:v>1.848E-2</c:v>
                </c:pt>
                <c:pt idx="207">
                  <c:v>1.9199999999999998E-2</c:v>
                </c:pt>
                <c:pt idx="208">
                  <c:v>2.0159999999999997E-2</c:v>
                </c:pt>
                <c:pt idx="209">
                  <c:v>2.0039999999999999E-2</c:v>
                </c:pt>
                <c:pt idx="210">
                  <c:v>1.8599999999999998E-2</c:v>
                </c:pt>
                <c:pt idx="211">
                  <c:v>1.6319999999999998E-2</c:v>
                </c:pt>
                <c:pt idx="212">
                  <c:v>1.4159999999999999E-2</c:v>
                </c:pt>
                <c:pt idx="213">
                  <c:v>1.272E-2</c:v>
                </c:pt>
                <c:pt idx="214">
                  <c:v>1.1892E-2</c:v>
                </c:pt>
                <c:pt idx="215">
                  <c:v>1.1304E-2</c:v>
                </c:pt>
                <c:pt idx="216">
                  <c:v>1.1148E-2</c:v>
                </c:pt>
                <c:pt idx="217">
                  <c:v>1.1124E-2</c:v>
                </c:pt>
                <c:pt idx="218">
                  <c:v>1.1255999999999999E-2</c:v>
                </c:pt>
                <c:pt idx="219">
                  <c:v>1.1436E-2</c:v>
                </c:pt>
                <c:pt idx="220">
                  <c:v>1.1784000000000001E-2</c:v>
                </c:pt>
                <c:pt idx="221">
                  <c:v>1.2359999999999999E-2</c:v>
                </c:pt>
                <c:pt idx="222">
                  <c:v>1.308E-2</c:v>
                </c:pt>
                <c:pt idx="223">
                  <c:v>1.4280000000000001E-2</c:v>
                </c:pt>
                <c:pt idx="224">
                  <c:v>1.5720000000000001E-2</c:v>
                </c:pt>
                <c:pt idx="225">
                  <c:v>1.7159999999999998E-2</c:v>
                </c:pt>
                <c:pt idx="226">
                  <c:v>1.8719999999999997E-2</c:v>
                </c:pt>
                <c:pt idx="227">
                  <c:v>2.0039999999999999E-2</c:v>
                </c:pt>
                <c:pt idx="228">
                  <c:v>2.2079999999999999E-2</c:v>
                </c:pt>
                <c:pt idx="229">
                  <c:v>2.6520000000000002E-2</c:v>
                </c:pt>
                <c:pt idx="230">
                  <c:v>3.5639999999999998E-2</c:v>
                </c:pt>
                <c:pt idx="231">
                  <c:v>5.0040000000000001E-2</c:v>
                </c:pt>
                <c:pt idx="232">
                  <c:v>6.7319999999999991E-2</c:v>
                </c:pt>
                <c:pt idx="233">
                  <c:v>8.0520000000000008E-2</c:v>
                </c:pt>
                <c:pt idx="234">
                  <c:v>8.1839999999999996E-2</c:v>
                </c:pt>
                <c:pt idx="235">
                  <c:v>7.2359999999999994E-2</c:v>
                </c:pt>
                <c:pt idx="236">
                  <c:v>5.7120000000000004E-2</c:v>
                </c:pt>
                <c:pt idx="237">
                  <c:v>4.308E-2</c:v>
                </c:pt>
                <c:pt idx="238">
                  <c:v>3.3359999999999994E-2</c:v>
                </c:pt>
                <c:pt idx="239">
                  <c:v>2.7719999999999998E-2</c:v>
                </c:pt>
                <c:pt idx="240">
                  <c:v>2.4239999999999998E-2</c:v>
                </c:pt>
                <c:pt idx="241">
                  <c:v>2.196E-2</c:v>
                </c:pt>
                <c:pt idx="242">
                  <c:v>2.0039999999999999E-2</c:v>
                </c:pt>
                <c:pt idx="243">
                  <c:v>1.8239999999999999E-2</c:v>
                </c:pt>
                <c:pt idx="244">
                  <c:v>1.644E-2</c:v>
                </c:pt>
                <c:pt idx="245">
                  <c:v>1.512E-2</c:v>
                </c:pt>
                <c:pt idx="246">
                  <c:v>1.4280000000000001E-2</c:v>
                </c:pt>
                <c:pt idx="247">
                  <c:v>1.536E-2</c:v>
                </c:pt>
                <c:pt idx="248">
                  <c:v>1.968E-2</c:v>
                </c:pt>
                <c:pt idx="249">
                  <c:v>2.4839999999999997E-2</c:v>
                </c:pt>
                <c:pt idx="250">
                  <c:v>2.6879999999999998E-2</c:v>
                </c:pt>
                <c:pt idx="251">
                  <c:v>2.4119999999999999E-2</c:v>
                </c:pt>
                <c:pt idx="252">
                  <c:v>1.7639999999999999E-2</c:v>
                </c:pt>
                <c:pt idx="253">
                  <c:v>1.1867999999999998E-2</c:v>
                </c:pt>
                <c:pt idx="254">
                  <c:v>8.9519999999999999E-3</c:v>
                </c:pt>
                <c:pt idx="255">
                  <c:v>7.8239999999999994E-3</c:v>
                </c:pt>
                <c:pt idx="256">
                  <c:v>7.3559999999999997E-3</c:v>
                </c:pt>
                <c:pt idx="257">
                  <c:v>7.1279999999999998E-3</c:v>
                </c:pt>
                <c:pt idx="258">
                  <c:v>6.8640000000000003E-3</c:v>
                </c:pt>
                <c:pt idx="259">
                  <c:v>6.744E-3</c:v>
                </c:pt>
                <c:pt idx="260">
                  <c:v>6.6479999999999994E-3</c:v>
                </c:pt>
                <c:pt idx="261">
                  <c:v>6.5999999999999991E-3</c:v>
                </c:pt>
                <c:pt idx="262">
                  <c:v>6.5639999999999995E-3</c:v>
                </c:pt>
                <c:pt idx="263">
                  <c:v>6.4919999999999995E-3</c:v>
                </c:pt>
                <c:pt idx="264">
                  <c:v>6.4919999999999995E-3</c:v>
                </c:pt>
                <c:pt idx="265">
                  <c:v>6.5279999999999999E-3</c:v>
                </c:pt>
                <c:pt idx="266">
                  <c:v>6.6600000000000001E-3</c:v>
                </c:pt>
                <c:pt idx="267">
                  <c:v>6.8519999999999996E-3</c:v>
                </c:pt>
                <c:pt idx="268">
                  <c:v>7.0200000000000002E-3</c:v>
                </c:pt>
                <c:pt idx="269">
                  <c:v>7.1400000000000005E-3</c:v>
                </c:pt>
                <c:pt idx="270">
                  <c:v>7.1760000000000001E-3</c:v>
                </c:pt>
                <c:pt idx="271">
                  <c:v>7.3559999999999997E-3</c:v>
                </c:pt>
                <c:pt idx="272">
                  <c:v>7.6319999999999999E-3</c:v>
                </c:pt>
                <c:pt idx="273">
                  <c:v>7.9080000000000001E-3</c:v>
                </c:pt>
                <c:pt idx="274">
                  <c:v>8.0759999999999998E-3</c:v>
                </c:pt>
                <c:pt idx="275">
                  <c:v>8.2319999999999997E-3</c:v>
                </c:pt>
                <c:pt idx="276">
                  <c:v>8.5199999999999998E-3</c:v>
                </c:pt>
                <c:pt idx="277">
                  <c:v>8.9519999999999999E-3</c:v>
                </c:pt>
                <c:pt idx="278">
                  <c:v>9.5519999999999997E-3</c:v>
                </c:pt>
                <c:pt idx="279">
                  <c:v>1.0343999999999999E-2</c:v>
                </c:pt>
                <c:pt idx="280">
                  <c:v>1.1519999999999999E-2</c:v>
                </c:pt>
                <c:pt idx="281">
                  <c:v>1.2960000000000001E-2</c:v>
                </c:pt>
                <c:pt idx="282">
                  <c:v>1.3919999999999998E-2</c:v>
                </c:pt>
                <c:pt idx="283">
                  <c:v>1.4159999999999999E-2</c:v>
                </c:pt>
                <c:pt idx="284">
                  <c:v>1.38E-2</c:v>
                </c:pt>
                <c:pt idx="285">
                  <c:v>1.332E-2</c:v>
                </c:pt>
                <c:pt idx="286">
                  <c:v>1.3199999999999998E-2</c:v>
                </c:pt>
                <c:pt idx="287">
                  <c:v>1.404E-2</c:v>
                </c:pt>
                <c:pt idx="288">
                  <c:v>1.5599999999999999E-2</c:v>
                </c:pt>
                <c:pt idx="289">
                  <c:v>1.8719999999999997E-2</c:v>
                </c:pt>
                <c:pt idx="290">
                  <c:v>2.4E-2</c:v>
                </c:pt>
                <c:pt idx="291">
                  <c:v>3.492E-2</c:v>
                </c:pt>
                <c:pt idx="292">
                  <c:v>5.5920000000000004E-2</c:v>
                </c:pt>
                <c:pt idx="293">
                  <c:v>9.9600000000000008E-2</c:v>
                </c:pt>
                <c:pt idx="294">
                  <c:v>0.1668</c:v>
                </c:pt>
                <c:pt idx="295">
                  <c:v>0.2364</c:v>
                </c:pt>
                <c:pt idx="296">
                  <c:v>0.2712</c:v>
                </c:pt>
                <c:pt idx="297">
                  <c:v>0.24959999999999999</c:v>
                </c:pt>
                <c:pt idx="298">
                  <c:v>0.186</c:v>
                </c:pt>
                <c:pt idx="299">
                  <c:v>0.11807999999999999</c:v>
                </c:pt>
                <c:pt idx="300">
                  <c:v>7.0319999999999994E-2</c:v>
                </c:pt>
                <c:pt idx="301">
                  <c:v>4.3920000000000001E-2</c:v>
                </c:pt>
                <c:pt idx="302">
                  <c:v>3.0720000000000001E-2</c:v>
                </c:pt>
                <c:pt idx="303">
                  <c:v>2.3279999999999999E-2</c:v>
                </c:pt>
                <c:pt idx="304">
                  <c:v>1.9199999999999998E-2</c:v>
                </c:pt>
                <c:pt idx="305">
                  <c:v>1.644E-2</c:v>
                </c:pt>
                <c:pt idx="306">
                  <c:v>1.464E-2</c:v>
                </c:pt>
                <c:pt idx="307">
                  <c:v>1.332E-2</c:v>
                </c:pt>
                <c:pt idx="308">
                  <c:v>1.2359999999999999E-2</c:v>
                </c:pt>
                <c:pt idx="309">
                  <c:v>1.1688E-2</c:v>
                </c:pt>
                <c:pt idx="310">
                  <c:v>1.1207999999999999E-2</c:v>
                </c:pt>
                <c:pt idx="311">
                  <c:v>1.0799999999999999E-2</c:v>
                </c:pt>
                <c:pt idx="312">
                  <c:v>1.0524E-2</c:v>
                </c:pt>
                <c:pt idx="313">
                  <c:v>1.0296000000000001E-2</c:v>
                </c:pt>
                <c:pt idx="314">
                  <c:v>1.0163999999999999E-2</c:v>
                </c:pt>
                <c:pt idx="315">
                  <c:v>1.0104E-2</c:v>
                </c:pt>
                <c:pt idx="316">
                  <c:v>1.0044000000000001E-2</c:v>
                </c:pt>
                <c:pt idx="317">
                  <c:v>9.9480000000000002E-3</c:v>
                </c:pt>
                <c:pt idx="318">
                  <c:v>9.8399999999999998E-3</c:v>
                </c:pt>
                <c:pt idx="319">
                  <c:v>9.7079999999999996E-3</c:v>
                </c:pt>
                <c:pt idx="320">
                  <c:v>9.5639999999999996E-3</c:v>
                </c:pt>
                <c:pt idx="321">
                  <c:v>9.4559999999999991E-3</c:v>
                </c:pt>
                <c:pt idx="322">
                  <c:v>9.4079999999999997E-3</c:v>
                </c:pt>
                <c:pt idx="323">
                  <c:v>9.4439999999999993E-3</c:v>
                </c:pt>
                <c:pt idx="324">
                  <c:v>9.5759999999999994E-3</c:v>
                </c:pt>
                <c:pt idx="325">
                  <c:v>9.9119999999999989E-3</c:v>
                </c:pt>
                <c:pt idx="326">
                  <c:v>1.1856E-2</c:v>
                </c:pt>
                <c:pt idx="327">
                  <c:v>2.1479999999999999E-2</c:v>
                </c:pt>
                <c:pt idx="328">
                  <c:v>4.308E-2</c:v>
                </c:pt>
                <c:pt idx="329">
                  <c:v>6.7559999999999995E-2</c:v>
                </c:pt>
                <c:pt idx="330">
                  <c:v>7.823999999999999E-2</c:v>
                </c:pt>
                <c:pt idx="331">
                  <c:v>6.6000000000000003E-2</c:v>
                </c:pt>
                <c:pt idx="332">
                  <c:v>4.2359999999999995E-2</c:v>
                </c:pt>
                <c:pt idx="333">
                  <c:v>2.2799999999999997E-2</c:v>
                </c:pt>
                <c:pt idx="334">
                  <c:v>1.38E-2</c:v>
                </c:pt>
                <c:pt idx="335">
                  <c:v>1.1195999999999999E-2</c:v>
                </c:pt>
                <c:pt idx="336">
                  <c:v>1.0248E-2</c:v>
                </c:pt>
                <c:pt idx="337">
                  <c:v>9.8279999999999982E-3</c:v>
                </c:pt>
                <c:pt idx="338">
                  <c:v>9.4920000000000004E-3</c:v>
                </c:pt>
                <c:pt idx="339">
                  <c:v>9.1679999999999991E-3</c:v>
                </c:pt>
                <c:pt idx="340">
                  <c:v>8.9040000000000005E-3</c:v>
                </c:pt>
                <c:pt idx="341">
                  <c:v>8.7479999999999988E-3</c:v>
                </c:pt>
                <c:pt idx="342">
                  <c:v>8.6400000000000001E-3</c:v>
                </c:pt>
                <c:pt idx="343">
                  <c:v>8.6040000000000005E-3</c:v>
                </c:pt>
                <c:pt idx="344">
                  <c:v>8.6159999999999987E-3</c:v>
                </c:pt>
                <c:pt idx="345">
                  <c:v>8.7600000000000004E-3</c:v>
                </c:pt>
                <c:pt idx="346">
                  <c:v>8.8559999999999993E-3</c:v>
                </c:pt>
                <c:pt idx="347">
                  <c:v>8.9280000000000002E-3</c:v>
                </c:pt>
                <c:pt idx="348">
                  <c:v>8.9879999999999995E-3</c:v>
                </c:pt>
                <c:pt idx="349">
                  <c:v>8.9639999999999997E-3</c:v>
                </c:pt>
                <c:pt idx="350">
                  <c:v>8.9160000000000003E-3</c:v>
                </c:pt>
                <c:pt idx="351">
                  <c:v>8.8679999999999991E-3</c:v>
                </c:pt>
                <c:pt idx="352">
                  <c:v>8.8559999999999993E-3</c:v>
                </c:pt>
                <c:pt idx="353">
                  <c:v>8.9639999999999997E-3</c:v>
                </c:pt>
                <c:pt idx="354">
                  <c:v>9.0479999999999988E-3</c:v>
                </c:pt>
                <c:pt idx="355">
                  <c:v>9.1199999999999996E-3</c:v>
                </c:pt>
                <c:pt idx="356">
                  <c:v>9.1799999999999989E-3</c:v>
                </c:pt>
                <c:pt idx="357">
                  <c:v>9.2879999999999994E-3</c:v>
                </c:pt>
                <c:pt idx="358">
                  <c:v>9.384E-3</c:v>
                </c:pt>
                <c:pt idx="359">
                  <c:v>9.4920000000000004E-3</c:v>
                </c:pt>
                <c:pt idx="360">
                  <c:v>9.5999999999999992E-3</c:v>
                </c:pt>
                <c:pt idx="361">
                  <c:v>9.755999999999999E-3</c:v>
                </c:pt>
                <c:pt idx="362">
                  <c:v>9.888000000000001E-3</c:v>
                </c:pt>
                <c:pt idx="363">
                  <c:v>9.9480000000000002E-3</c:v>
                </c:pt>
                <c:pt idx="364">
                  <c:v>9.9239999999999988E-3</c:v>
                </c:pt>
                <c:pt idx="365">
                  <c:v>9.9000000000000008E-3</c:v>
                </c:pt>
                <c:pt idx="366">
                  <c:v>9.888000000000001E-3</c:v>
                </c:pt>
                <c:pt idx="367">
                  <c:v>9.9480000000000002E-3</c:v>
                </c:pt>
                <c:pt idx="368">
                  <c:v>1.0139999999999998E-2</c:v>
                </c:pt>
                <c:pt idx="369">
                  <c:v>1.0416E-2</c:v>
                </c:pt>
                <c:pt idx="370">
                  <c:v>1.0751999999999999E-2</c:v>
                </c:pt>
                <c:pt idx="371">
                  <c:v>1.0968E-2</c:v>
                </c:pt>
                <c:pt idx="372">
                  <c:v>1.1136E-2</c:v>
                </c:pt>
                <c:pt idx="373">
                  <c:v>1.1304E-2</c:v>
                </c:pt>
                <c:pt idx="374">
                  <c:v>1.1495999999999999E-2</c:v>
                </c:pt>
                <c:pt idx="375">
                  <c:v>1.1748E-2</c:v>
                </c:pt>
                <c:pt idx="376">
                  <c:v>1.188E-2</c:v>
                </c:pt>
                <c:pt idx="377">
                  <c:v>1.2E-2</c:v>
                </c:pt>
                <c:pt idx="378">
                  <c:v>1.2119999999999999E-2</c:v>
                </c:pt>
                <c:pt idx="379">
                  <c:v>1.2240000000000001E-2</c:v>
                </c:pt>
                <c:pt idx="380">
                  <c:v>1.26E-2</c:v>
                </c:pt>
                <c:pt idx="381">
                  <c:v>1.308E-2</c:v>
                </c:pt>
                <c:pt idx="382">
                  <c:v>1.3439999999999999E-2</c:v>
                </c:pt>
                <c:pt idx="383">
                  <c:v>1.3919999999999998E-2</c:v>
                </c:pt>
                <c:pt idx="384">
                  <c:v>1.44E-2</c:v>
                </c:pt>
                <c:pt idx="385">
                  <c:v>1.4879999999999999E-2</c:v>
                </c:pt>
                <c:pt idx="386">
                  <c:v>1.536E-2</c:v>
                </c:pt>
                <c:pt idx="387">
                  <c:v>1.584E-2</c:v>
                </c:pt>
                <c:pt idx="388">
                  <c:v>1.6679999999999997E-2</c:v>
                </c:pt>
                <c:pt idx="389">
                  <c:v>1.8599999999999998E-2</c:v>
                </c:pt>
                <c:pt idx="390">
                  <c:v>2.172E-2</c:v>
                </c:pt>
                <c:pt idx="391">
                  <c:v>2.46E-2</c:v>
                </c:pt>
                <c:pt idx="392">
                  <c:v>2.5799999999999997E-2</c:v>
                </c:pt>
                <c:pt idx="393">
                  <c:v>2.5799999999999997E-2</c:v>
                </c:pt>
                <c:pt idx="394">
                  <c:v>2.6159999999999999E-2</c:v>
                </c:pt>
                <c:pt idx="395">
                  <c:v>2.8080000000000001E-2</c:v>
                </c:pt>
                <c:pt idx="396">
                  <c:v>3.1559999999999998E-2</c:v>
                </c:pt>
                <c:pt idx="397">
                  <c:v>3.5999999999999997E-2</c:v>
                </c:pt>
                <c:pt idx="398">
                  <c:v>4.104E-2</c:v>
                </c:pt>
                <c:pt idx="399">
                  <c:v>4.632E-2</c:v>
                </c:pt>
                <c:pt idx="400">
                  <c:v>5.1359999999999996E-2</c:v>
                </c:pt>
                <c:pt idx="401">
                  <c:v>5.5199999999999999E-2</c:v>
                </c:pt>
                <c:pt idx="402">
                  <c:v>5.8200000000000002E-2</c:v>
                </c:pt>
                <c:pt idx="403">
                  <c:v>6.0479999999999999E-2</c:v>
                </c:pt>
                <c:pt idx="404">
                  <c:v>6.2280000000000002E-2</c:v>
                </c:pt>
                <c:pt idx="405">
                  <c:v>6.3119999999999996E-2</c:v>
                </c:pt>
                <c:pt idx="406">
                  <c:v>6.2880000000000005E-2</c:v>
                </c:pt>
                <c:pt idx="407">
                  <c:v>6.1679999999999999E-2</c:v>
                </c:pt>
                <c:pt idx="408">
                  <c:v>6.0839999999999998E-2</c:v>
                </c:pt>
                <c:pt idx="409">
                  <c:v>6.0839999999999998E-2</c:v>
                </c:pt>
                <c:pt idx="410">
                  <c:v>6.1559999999999997E-2</c:v>
                </c:pt>
                <c:pt idx="411">
                  <c:v>6.2640000000000001E-2</c:v>
                </c:pt>
                <c:pt idx="412">
                  <c:v>6.4199999999999993E-2</c:v>
                </c:pt>
                <c:pt idx="413">
                  <c:v>6.6000000000000003E-2</c:v>
                </c:pt>
                <c:pt idx="414">
                  <c:v>6.8040000000000003E-2</c:v>
                </c:pt>
                <c:pt idx="415">
                  <c:v>7.0319999999999994E-2</c:v>
                </c:pt>
                <c:pt idx="416">
                  <c:v>7.2599999999999998E-2</c:v>
                </c:pt>
                <c:pt idx="417">
                  <c:v>7.4999999999999997E-2</c:v>
                </c:pt>
                <c:pt idx="418">
                  <c:v>7.7399999999999997E-2</c:v>
                </c:pt>
                <c:pt idx="419">
                  <c:v>7.9920000000000005E-2</c:v>
                </c:pt>
                <c:pt idx="420">
                  <c:v>8.2200000000000009E-2</c:v>
                </c:pt>
                <c:pt idx="421">
                  <c:v>8.471999999999999E-2</c:v>
                </c:pt>
                <c:pt idx="422">
                  <c:v>8.7360000000000007E-2</c:v>
                </c:pt>
                <c:pt idx="423">
                  <c:v>9.0240000000000001E-2</c:v>
                </c:pt>
                <c:pt idx="424">
                  <c:v>9.3240000000000003E-2</c:v>
                </c:pt>
                <c:pt idx="425">
                  <c:v>9.6839999999999996E-2</c:v>
                </c:pt>
                <c:pt idx="426">
                  <c:v>0.1014</c:v>
                </c:pt>
                <c:pt idx="427">
                  <c:v>0.10751999999999999</c:v>
                </c:pt>
                <c:pt idx="428">
                  <c:v>0.11603999999999999</c:v>
                </c:pt>
                <c:pt idx="429">
                  <c:v>0.12959999999999999</c:v>
                </c:pt>
                <c:pt idx="430">
                  <c:v>0.15240000000000001</c:v>
                </c:pt>
                <c:pt idx="431">
                  <c:v>0.19439999999999999</c:v>
                </c:pt>
                <c:pt idx="432">
                  <c:v>0.25679999999999997</c:v>
                </c:pt>
                <c:pt idx="433">
                  <c:v>0.35759999999999997</c:v>
                </c:pt>
                <c:pt idx="434">
                  <c:v>0.48480000000000001</c:v>
                </c:pt>
                <c:pt idx="435">
                  <c:v>0.60839999999999994</c:v>
                </c:pt>
                <c:pt idx="436">
                  <c:v>0.69479999999999997</c:v>
                </c:pt>
                <c:pt idx="437">
                  <c:v>0.72239999999999993</c:v>
                </c:pt>
                <c:pt idx="438">
                  <c:v>0.67919999999999991</c:v>
                </c:pt>
                <c:pt idx="439">
                  <c:v>0.56519999999999992</c:v>
                </c:pt>
                <c:pt idx="440">
                  <c:v>0.42239999999999994</c:v>
                </c:pt>
                <c:pt idx="441">
                  <c:v>0.29399999999999998</c:v>
                </c:pt>
                <c:pt idx="442">
                  <c:v>0.23280000000000001</c:v>
                </c:pt>
                <c:pt idx="443">
                  <c:v>0.20520000000000002</c:v>
                </c:pt>
                <c:pt idx="444">
                  <c:v>0.19439999999999999</c:v>
                </c:pt>
                <c:pt idx="445">
                  <c:v>0.1908</c:v>
                </c:pt>
                <c:pt idx="446">
                  <c:v>0.192</c:v>
                </c:pt>
                <c:pt idx="447">
                  <c:v>0.1968</c:v>
                </c:pt>
                <c:pt idx="448">
                  <c:v>0.20280000000000001</c:v>
                </c:pt>
                <c:pt idx="449">
                  <c:v>0.21119999999999997</c:v>
                </c:pt>
                <c:pt idx="450">
                  <c:v>0.21959999999999999</c:v>
                </c:pt>
                <c:pt idx="451">
                  <c:v>0.2316</c:v>
                </c:pt>
                <c:pt idx="452">
                  <c:v>0.2424</c:v>
                </c:pt>
                <c:pt idx="453">
                  <c:v>0.25679999999999997</c:v>
                </c:pt>
                <c:pt idx="454">
                  <c:v>0.2712</c:v>
                </c:pt>
                <c:pt idx="455">
                  <c:v>0.28799999999999998</c:v>
                </c:pt>
                <c:pt idx="456">
                  <c:v>0.30719999999999997</c:v>
                </c:pt>
                <c:pt idx="457">
                  <c:v>0.3276</c:v>
                </c:pt>
                <c:pt idx="458">
                  <c:v>0.35159999999999997</c:v>
                </c:pt>
                <c:pt idx="459">
                  <c:v>0.37679999999999997</c:v>
                </c:pt>
                <c:pt idx="460">
                  <c:v>0.40560000000000002</c:v>
                </c:pt>
                <c:pt idx="461">
                  <c:v>0.438</c:v>
                </c:pt>
                <c:pt idx="462">
                  <c:v>0.47399999999999998</c:v>
                </c:pt>
                <c:pt idx="463">
                  <c:v>0.51239999999999997</c:v>
                </c:pt>
                <c:pt idx="464">
                  <c:v>0.55559999999999998</c:v>
                </c:pt>
                <c:pt idx="465">
                  <c:v>0.60239999999999994</c:v>
                </c:pt>
                <c:pt idx="466">
                  <c:v>0.65039999999999998</c:v>
                </c:pt>
                <c:pt idx="467">
                  <c:v>0.69359999999999988</c:v>
                </c:pt>
                <c:pt idx="468">
                  <c:v>0.73080000000000001</c:v>
                </c:pt>
                <c:pt idx="469">
                  <c:v>0.75719999999999998</c:v>
                </c:pt>
                <c:pt idx="470">
                  <c:v>0.77039999999999997</c:v>
                </c:pt>
                <c:pt idx="471">
                  <c:v>0.77039999999999997</c:v>
                </c:pt>
                <c:pt idx="472">
                  <c:v>0.72119999999999995</c:v>
                </c:pt>
                <c:pt idx="473">
                  <c:v>0.60239999999999994</c:v>
                </c:pt>
                <c:pt idx="474">
                  <c:v>0.42479999999999996</c:v>
                </c:pt>
                <c:pt idx="475">
                  <c:v>0.25439999999999996</c:v>
                </c:pt>
                <c:pt idx="476">
                  <c:v>0.1452</c:v>
                </c:pt>
                <c:pt idx="477">
                  <c:v>9.5879999999999993E-2</c:v>
                </c:pt>
                <c:pt idx="478">
                  <c:v>8.3879999999999996E-2</c:v>
                </c:pt>
                <c:pt idx="479">
                  <c:v>0.10200000000000001</c:v>
                </c:pt>
                <c:pt idx="480">
                  <c:v>0.15359999999999999</c:v>
                </c:pt>
                <c:pt idx="481">
                  <c:v>0.25559999999999999</c:v>
                </c:pt>
                <c:pt idx="482">
                  <c:v>0.39600000000000002</c:v>
                </c:pt>
                <c:pt idx="483">
                  <c:v>0.54959999999999998</c:v>
                </c:pt>
                <c:pt idx="484">
                  <c:v>0.67919999999999991</c:v>
                </c:pt>
                <c:pt idx="485">
                  <c:v>0.76319999999999999</c:v>
                </c:pt>
                <c:pt idx="486">
                  <c:v>0.80280000000000007</c:v>
                </c:pt>
                <c:pt idx="487">
                  <c:v>0.81840000000000002</c:v>
                </c:pt>
                <c:pt idx="488">
                  <c:v>0.82320000000000004</c:v>
                </c:pt>
                <c:pt idx="489">
                  <c:v>0.82440000000000002</c:v>
                </c:pt>
                <c:pt idx="490">
                  <c:v>0.82559999999999989</c:v>
                </c:pt>
                <c:pt idx="491">
                  <c:v>0.82200000000000006</c:v>
                </c:pt>
                <c:pt idx="492">
                  <c:v>0.80759999999999998</c:v>
                </c:pt>
                <c:pt idx="493">
                  <c:v>0.77880000000000005</c:v>
                </c:pt>
                <c:pt idx="494">
                  <c:v>0.74399999999999999</c:v>
                </c:pt>
                <c:pt idx="495">
                  <c:v>0.71279999999999999</c:v>
                </c:pt>
                <c:pt idx="496">
                  <c:v>0.68399999999999994</c:v>
                </c:pt>
                <c:pt idx="497">
                  <c:v>0.65760000000000007</c:v>
                </c:pt>
                <c:pt idx="498">
                  <c:v>0.63</c:v>
                </c:pt>
                <c:pt idx="499">
                  <c:v>0.60360000000000003</c:v>
                </c:pt>
                <c:pt idx="500">
                  <c:v>0.58079999999999998</c:v>
                </c:pt>
                <c:pt idx="501">
                  <c:v>0.55800000000000005</c:v>
                </c:pt>
                <c:pt idx="502">
                  <c:v>0.53759999999999997</c:v>
                </c:pt>
                <c:pt idx="503">
                  <c:v>0.51719999999999999</c:v>
                </c:pt>
                <c:pt idx="504">
                  <c:v>0.49799999999999994</c:v>
                </c:pt>
                <c:pt idx="505">
                  <c:v>0.4788</c:v>
                </c:pt>
                <c:pt idx="506">
                  <c:v>0.46199999999999997</c:v>
                </c:pt>
                <c:pt idx="507">
                  <c:v>0.44400000000000001</c:v>
                </c:pt>
                <c:pt idx="508">
                  <c:v>0.42839999999999995</c:v>
                </c:pt>
                <c:pt idx="509">
                  <c:v>0.41399999999999998</c:v>
                </c:pt>
                <c:pt idx="510">
                  <c:v>0.39960000000000001</c:v>
                </c:pt>
                <c:pt idx="511">
                  <c:v>0.38640000000000002</c:v>
                </c:pt>
                <c:pt idx="512">
                  <c:v>0.372</c:v>
                </c:pt>
                <c:pt idx="513">
                  <c:v>0.36</c:v>
                </c:pt>
                <c:pt idx="514">
                  <c:v>0.34919999999999995</c:v>
                </c:pt>
                <c:pt idx="515">
                  <c:v>0.3372</c:v>
                </c:pt>
                <c:pt idx="516">
                  <c:v>0.32640000000000002</c:v>
                </c:pt>
                <c:pt idx="517">
                  <c:v>0.31680000000000003</c:v>
                </c:pt>
                <c:pt idx="518">
                  <c:v>0.30719999999999997</c:v>
                </c:pt>
                <c:pt idx="519">
                  <c:v>0.29759999999999998</c:v>
                </c:pt>
                <c:pt idx="520">
                  <c:v>0.28919999999999996</c:v>
                </c:pt>
                <c:pt idx="521">
                  <c:v>0.28199999999999997</c:v>
                </c:pt>
                <c:pt idx="522">
                  <c:v>0.27360000000000001</c:v>
                </c:pt>
                <c:pt idx="523">
                  <c:v>0.26639999999999997</c:v>
                </c:pt>
                <c:pt idx="524">
                  <c:v>0.26039999999999996</c:v>
                </c:pt>
                <c:pt idx="525">
                  <c:v>0.25319999999999998</c:v>
                </c:pt>
                <c:pt idx="526">
                  <c:v>0.24839999999999998</c:v>
                </c:pt>
                <c:pt idx="527">
                  <c:v>0.25319999999999998</c:v>
                </c:pt>
                <c:pt idx="528">
                  <c:v>0.29399999999999998</c:v>
                </c:pt>
                <c:pt idx="529">
                  <c:v>0.38640000000000002</c:v>
                </c:pt>
                <c:pt idx="530">
                  <c:v>0.49559999999999993</c:v>
                </c:pt>
                <c:pt idx="531">
                  <c:v>0.53879999999999995</c:v>
                </c:pt>
                <c:pt idx="532">
                  <c:v>0.47639999999999999</c:v>
                </c:pt>
                <c:pt idx="533">
                  <c:v>0.35879999999999995</c:v>
                </c:pt>
                <c:pt idx="534">
                  <c:v>0.2616</c:v>
                </c:pt>
                <c:pt idx="535">
                  <c:v>0.21839999999999998</c:v>
                </c:pt>
                <c:pt idx="536">
                  <c:v>0.20280000000000001</c:v>
                </c:pt>
                <c:pt idx="537">
                  <c:v>0.19439999999999999</c:v>
                </c:pt>
                <c:pt idx="538">
                  <c:v>0.18959999999999999</c:v>
                </c:pt>
                <c:pt idx="539">
                  <c:v>0.18479999999999999</c:v>
                </c:pt>
                <c:pt idx="540">
                  <c:v>0.1812</c:v>
                </c:pt>
                <c:pt idx="541">
                  <c:v>0.17759999999999998</c:v>
                </c:pt>
                <c:pt idx="542">
                  <c:v>0.17399999999999999</c:v>
                </c:pt>
                <c:pt idx="543">
                  <c:v>0.17039999999999997</c:v>
                </c:pt>
                <c:pt idx="544">
                  <c:v>0.1668</c:v>
                </c:pt>
                <c:pt idx="545">
                  <c:v>0.16440000000000002</c:v>
                </c:pt>
                <c:pt idx="546">
                  <c:v>0.16200000000000001</c:v>
                </c:pt>
                <c:pt idx="547">
                  <c:v>0.15840000000000001</c:v>
                </c:pt>
                <c:pt idx="548">
                  <c:v>0.156</c:v>
                </c:pt>
                <c:pt idx="549">
                  <c:v>0.15359999999999999</c:v>
                </c:pt>
                <c:pt idx="550">
                  <c:v>0.1512</c:v>
                </c:pt>
                <c:pt idx="551">
                  <c:v>0.14879999999999999</c:v>
                </c:pt>
                <c:pt idx="552">
                  <c:v>0.1464</c:v>
                </c:pt>
                <c:pt idx="553">
                  <c:v>0.1452</c:v>
                </c:pt>
                <c:pt idx="554">
                  <c:v>0.14279999999999998</c:v>
                </c:pt>
                <c:pt idx="555">
                  <c:v>0.14159999999999998</c:v>
                </c:pt>
                <c:pt idx="556">
                  <c:v>0.13919999999999999</c:v>
                </c:pt>
                <c:pt idx="557">
                  <c:v>0.13800000000000001</c:v>
                </c:pt>
                <c:pt idx="558">
                  <c:v>0.1356</c:v>
                </c:pt>
                <c:pt idx="559">
                  <c:v>0.13319999999999999</c:v>
                </c:pt>
                <c:pt idx="560">
                  <c:v>0.13200000000000001</c:v>
                </c:pt>
                <c:pt idx="561">
                  <c:v>0.1308</c:v>
                </c:pt>
                <c:pt idx="562">
                  <c:v>0.12839999999999999</c:v>
                </c:pt>
                <c:pt idx="563">
                  <c:v>0.12719999999999998</c:v>
                </c:pt>
                <c:pt idx="564">
                  <c:v>0.126</c:v>
                </c:pt>
                <c:pt idx="565">
                  <c:v>0.12479999999999999</c:v>
                </c:pt>
                <c:pt idx="566">
                  <c:v>0.12359999999999999</c:v>
                </c:pt>
                <c:pt idx="567">
                  <c:v>0.12239999999999998</c:v>
                </c:pt>
                <c:pt idx="568">
                  <c:v>0.1212</c:v>
                </c:pt>
                <c:pt idx="569">
                  <c:v>0.12</c:v>
                </c:pt>
                <c:pt idx="570">
                  <c:v>0.11867999999999999</c:v>
                </c:pt>
                <c:pt idx="571">
                  <c:v>0.11712</c:v>
                </c:pt>
                <c:pt idx="572">
                  <c:v>0.1152</c:v>
                </c:pt>
                <c:pt idx="573">
                  <c:v>0.11364</c:v>
                </c:pt>
                <c:pt idx="574">
                  <c:v>0.11208</c:v>
                </c:pt>
                <c:pt idx="575">
                  <c:v>0.11051999999999999</c:v>
                </c:pt>
                <c:pt idx="576">
                  <c:v>0.10908</c:v>
                </c:pt>
                <c:pt idx="577">
                  <c:v>0.10776000000000001</c:v>
                </c:pt>
                <c:pt idx="578">
                  <c:v>0.10656</c:v>
                </c:pt>
                <c:pt idx="579">
                  <c:v>0.10536</c:v>
                </c:pt>
                <c:pt idx="580">
                  <c:v>0.10416</c:v>
                </c:pt>
                <c:pt idx="581">
                  <c:v>0.10271999999999999</c:v>
                </c:pt>
                <c:pt idx="582">
                  <c:v>0.10128</c:v>
                </c:pt>
                <c:pt idx="583">
                  <c:v>9.9959999999999993E-2</c:v>
                </c:pt>
                <c:pt idx="584">
                  <c:v>9.8639999999999992E-2</c:v>
                </c:pt>
                <c:pt idx="585">
                  <c:v>9.7320000000000004E-2</c:v>
                </c:pt>
                <c:pt idx="586">
                  <c:v>9.5879999999999993E-2</c:v>
                </c:pt>
                <c:pt idx="587">
                  <c:v>9.4559999999999991E-2</c:v>
                </c:pt>
                <c:pt idx="588">
                  <c:v>9.3719999999999998E-2</c:v>
                </c:pt>
                <c:pt idx="589">
                  <c:v>9.2759999999999995E-2</c:v>
                </c:pt>
                <c:pt idx="590">
                  <c:v>9.2039999999999997E-2</c:v>
                </c:pt>
                <c:pt idx="591">
                  <c:v>9.1079999999999994E-2</c:v>
                </c:pt>
                <c:pt idx="592">
                  <c:v>9.0479999999999991E-2</c:v>
                </c:pt>
                <c:pt idx="593">
                  <c:v>8.9760000000000006E-2</c:v>
                </c:pt>
                <c:pt idx="594">
                  <c:v>8.9039999999999994E-2</c:v>
                </c:pt>
                <c:pt idx="595">
                  <c:v>8.8080000000000006E-2</c:v>
                </c:pt>
                <c:pt idx="596">
                  <c:v>8.6760000000000004E-2</c:v>
                </c:pt>
                <c:pt idx="597">
                  <c:v>8.4959999999999994E-2</c:v>
                </c:pt>
                <c:pt idx="598">
                  <c:v>8.3159999999999998E-2</c:v>
                </c:pt>
                <c:pt idx="599">
                  <c:v>8.1119999999999984E-2</c:v>
                </c:pt>
                <c:pt idx="600">
                  <c:v>7.9920000000000005E-2</c:v>
                </c:pt>
                <c:pt idx="601">
                  <c:v>7.9200000000000007E-2</c:v>
                </c:pt>
                <c:pt idx="602">
                  <c:v>7.8479999999999994E-2</c:v>
                </c:pt>
                <c:pt idx="603">
                  <c:v>7.7879999999999991E-2</c:v>
                </c:pt>
                <c:pt idx="604">
                  <c:v>7.7399999999999997E-2</c:v>
                </c:pt>
                <c:pt idx="605">
                  <c:v>7.7399999999999997E-2</c:v>
                </c:pt>
                <c:pt idx="606">
                  <c:v>7.7520000000000006E-2</c:v>
                </c:pt>
                <c:pt idx="607">
                  <c:v>7.8120000000000009E-2</c:v>
                </c:pt>
                <c:pt idx="608">
                  <c:v>7.8839999999999993E-2</c:v>
                </c:pt>
                <c:pt idx="609">
                  <c:v>7.9320000000000002E-2</c:v>
                </c:pt>
                <c:pt idx="610">
                  <c:v>7.9320000000000002E-2</c:v>
                </c:pt>
                <c:pt idx="611">
                  <c:v>7.9200000000000007E-2</c:v>
                </c:pt>
                <c:pt idx="612">
                  <c:v>7.8719999999999998E-2</c:v>
                </c:pt>
                <c:pt idx="613">
                  <c:v>7.8120000000000009E-2</c:v>
                </c:pt>
                <c:pt idx="614">
                  <c:v>7.6920000000000002E-2</c:v>
                </c:pt>
                <c:pt idx="615">
                  <c:v>7.5719999999999996E-2</c:v>
                </c:pt>
                <c:pt idx="616">
                  <c:v>7.4639999999999998E-2</c:v>
                </c:pt>
                <c:pt idx="617">
                  <c:v>7.3439999999999991E-2</c:v>
                </c:pt>
                <c:pt idx="618">
                  <c:v>7.1999999999999995E-2</c:v>
                </c:pt>
                <c:pt idx="619">
                  <c:v>7.0440000000000003E-2</c:v>
                </c:pt>
                <c:pt idx="620">
                  <c:v>6.8759999999999988E-2</c:v>
                </c:pt>
                <c:pt idx="621">
                  <c:v>6.7559999999999995E-2</c:v>
                </c:pt>
                <c:pt idx="622">
                  <c:v>6.6599999999999993E-2</c:v>
                </c:pt>
                <c:pt idx="623">
                  <c:v>6.6000000000000003E-2</c:v>
                </c:pt>
                <c:pt idx="624">
                  <c:v>6.5279999999999991E-2</c:v>
                </c:pt>
                <c:pt idx="625">
                  <c:v>6.4799999999999996E-2</c:v>
                </c:pt>
                <c:pt idx="626">
                  <c:v>6.4439999999999997E-2</c:v>
                </c:pt>
                <c:pt idx="627">
                  <c:v>6.4559999999999992E-2</c:v>
                </c:pt>
                <c:pt idx="628">
                  <c:v>6.5040000000000001E-2</c:v>
                </c:pt>
                <c:pt idx="629">
                  <c:v>6.5759999999999999E-2</c:v>
                </c:pt>
                <c:pt idx="630">
                  <c:v>6.6479999999999997E-2</c:v>
                </c:pt>
                <c:pt idx="631">
                  <c:v>6.7319999999999991E-2</c:v>
                </c:pt>
                <c:pt idx="632">
                  <c:v>6.8159999999999998E-2</c:v>
                </c:pt>
                <c:pt idx="633">
                  <c:v>6.9000000000000006E-2</c:v>
                </c:pt>
                <c:pt idx="634">
                  <c:v>7.0199999999999999E-2</c:v>
                </c:pt>
                <c:pt idx="635">
                  <c:v>7.1279999999999996E-2</c:v>
                </c:pt>
                <c:pt idx="636">
                  <c:v>7.2239999999999999E-2</c:v>
                </c:pt>
                <c:pt idx="637">
                  <c:v>7.2719999999999993E-2</c:v>
                </c:pt>
                <c:pt idx="638">
                  <c:v>7.356E-2</c:v>
                </c:pt>
                <c:pt idx="639">
                  <c:v>7.5240000000000001E-2</c:v>
                </c:pt>
                <c:pt idx="640">
                  <c:v>7.6559999999999989E-2</c:v>
                </c:pt>
                <c:pt idx="641">
                  <c:v>7.7039999999999983E-2</c:v>
                </c:pt>
                <c:pt idx="642">
                  <c:v>7.6319999999999999E-2</c:v>
                </c:pt>
                <c:pt idx="643">
                  <c:v>7.5240000000000001E-2</c:v>
                </c:pt>
                <c:pt idx="644">
                  <c:v>7.4160000000000004E-2</c:v>
                </c:pt>
                <c:pt idx="645">
                  <c:v>7.3319999999999996E-2</c:v>
                </c:pt>
                <c:pt idx="646">
                  <c:v>7.2839999999999988E-2</c:v>
                </c:pt>
                <c:pt idx="647">
                  <c:v>7.1999999999999995E-2</c:v>
                </c:pt>
                <c:pt idx="648">
                  <c:v>7.0919999999999997E-2</c:v>
                </c:pt>
                <c:pt idx="649">
                  <c:v>7.0080000000000003E-2</c:v>
                </c:pt>
                <c:pt idx="650">
                  <c:v>6.9239999999999996E-2</c:v>
                </c:pt>
                <c:pt idx="651">
                  <c:v>6.8279999999999993E-2</c:v>
                </c:pt>
                <c:pt idx="652">
                  <c:v>6.6719999999999988E-2</c:v>
                </c:pt>
                <c:pt idx="653">
                  <c:v>6.5040000000000001E-2</c:v>
                </c:pt>
                <c:pt idx="654">
                  <c:v>6.3119999999999996E-2</c:v>
                </c:pt>
                <c:pt idx="655">
                  <c:v>6.132E-2</c:v>
                </c:pt>
                <c:pt idx="656">
                  <c:v>0.06</c:v>
                </c:pt>
                <c:pt idx="657">
                  <c:v>5.8560000000000001E-2</c:v>
                </c:pt>
                <c:pt idx="658">
                  <c:v>5.7239999999999999E-2</c:v>
                </c:pt>
                <c:pt idx="659">
                  <c:v>5.5799999999999995E-2</c:v>
                </c:pt>
                <c:pt idx="660">
                  <c:v>5.4719999999999998E-2</c:v>
                </c:pt>
                <c:pt idx="661">
                  <c:v>5.3159999999999999E-2</c:v>
                </c:pt>
                <c:pt idx="662">
                  <c:v>5.1240000000000001E-2</c:v>
                </c:pt>
                <c:pt idx="663">
                  <c:v>4.9439999999999998E-2</c:v>
                </c:pt>
                <c:pt idx="664">
                  <c:v>4.7879999999999999E-2</c:v>
                </c:pt>
                <c:pt idx="665">
                  <c:v>4.6679999999999992E-2</c:v>
                </c:pt>
                <c:pt idx="666">
                  <c:v>4.5599999999999995E-2</c:v>
                </c:pt>
                <c:pt idx="667">
                  <c:v>4.4399999999999995E-2</c:v>
                </c:pt>
                <c:pt idx="668">
                  <c:v>4.3439999999999999E-2</c:v>
                </c:pt>
                <c:pt idx="669">
                  <c:v>4.2359999999999995E-2</c:v>
                </c:pt>
                <c:pt idx="670">
                  <c:v>4.1399999999999999E-2</c:v>
                </c:pt>
                <c:pt idx="671">
                  <c:v>4.0439999999999997E-2</c:v>
                </c:pt>
                <c:pt idx="672">
                  <c:v>3.9719999999999998E-2</c:v>
                </c:pt>
                <c:pt idx="673">
                  <c:v>3.9E-2</c:v>
                </c:pt>
                <c:pt idx="674">
                  <c:v>3.8279999999999995E-2</c:v>
                </c:pt>
                <c:pt idx="675">
                  <c:v>3.78E-2</c:v>
                </c:pt>
                <c:pt idx="676">
                  <c:v>3.7080000000000002E-2</c:v>
                </c:pt>
                <c:pt idx="677">
                  <c:v>3.6240000000000001E-2</c:v>
                </c:pt>
                <c:pt idx="678">
                  <c:v>3.5279999999999999E-2</c:v>
                </c:pt>
                <c:pt idx="679">
                  <c:v>3.4679999999999996E-2</c:v>
                </c:pt>
                <c:pt idx="680">
                  <c:v>3.456E-2</c:v>
                </c:pt>
                <c:pt idx="681">
                  <c:v>3.4679999999999996E-2</c:v>
                </c:pt>
                <c:pt idx="682">
                  <c:v>3.456E-2</c:v>
                </c:pt>
                <c:pt idx="683">
                  <c:v>3.4439999999999998E-2</c:v>
                </c:pt>
                <c:pt idx="684">
                  <c:v>3.4200000000000001E-2</c:v>
                </c:pt>
                <c:pt idx="685">
                  <c:v>3.4200000000000001E-2</c:v>
                </c:pt>
                <c:pt idx="686">
                  <c:v>3.4439999999999998E-2</c:v>
                </c:pt>
                <c:pt idx="687">
                  <c:v>3.4439999999999998E-2</c:v>
                </c:pt>
                <c:pt idx="688">
                  <c:v>3.4200000000000001E-2</c:v>
                </c:pt>
                <c:pt idx="689">
                  <c:v>3.3599999999999998E-2</c:v>
                </c:pt>
                <c:pt idx="690">
                  <c:v>3.3000000000000002E-2</c:v>
                </c:pt>
                <c:pt idx="691">
                  <c:v>3.252E-2</c:v>
                </c:pt>
                <c:pt idx="692">
                  <c:v>3.2279999999999996E-2</c:v>
                </c:pt>
                <c:pt idx="693">
                  <c:v>3.2399999999999998E-2</c:v>
                </c:pt>
                <c:pt idx="694">
                  <c:v>3.2160000000000001E-2</c:v>
                </c:pt>
                <c:pt idx="695">
                  <c:v>3.1799999999999995E-2</c:v>
                </c:pt>
                <c:pt idx="696">
                  <c:v>3.1559999999999998E-2</c:v>
                </c:pt>
                <c:pt idx="697">
                  <c:v>3.1799999999999995E-2</c:v>
                </c:pt>
                <c:pt idx="698">
                  <c:v>3.2039999999999999E-2</c:v>
                </c:pt>
                <c:pt idx="699">
                  <c:v>3.2039999999999999E-2</c:v>
                </c:pt>
                <c:pt idx="700">
                  <c:v>3.168E-2</c:v>
                </c:pt>
                <c:pt idx="701">
                  <c:v>3.1559999999999998E-2</c:v>
                </c:pt>
                <c:pt idx="702">
                  <c:v>3.1440000000000003E-2</c:v>
                </c:pt>
                <c:pt idx="703">
                  <c:v>3.0959999999999998E-2</c:v>
                </c:pt>
                <c:pt idx="704">
                  <c:v>3.0359999999999998E-2</c:v>
                </c:pt>
                <c:pt idx="705">
                  <c:v>3.0359999999999998E-2</c:v>
                </c:pt>
                <c:pt idx="706">
                  <c:v>3.0839999999999999E-2</c:v>
                </c:pt>
                <c:pt idx="707">
                  <c:v>3.1320000000000001E-2</c:v>
                </c:pt>
                <c:pt idx="708">
                  <c:v>3.1199999999999999E-2</c:v>
                </c:pt>
                <c:pt idx="709">
                  <c:v>3.0959999999999998E-2</c:v>
                </c:pt>
                <c:pt idx="710">
                  <c:v>3.0720000000000001E-2</c:v>
                </c:pt>
                <c:pt idx="711">
                  <c:v>3.0479999999999997E-2</c:v>
                </c:pt>
                <c:pt idx="712">
                  <c:v>3.024E-2</c:v>
                </c:pt>
                <c:pt idx="713">
                  <c:v>3.0120000000000001E-2</c:v>
                </c:pt>
                <c:pt idx="714">
                  <c:v>3.024E-2</c:v>
                </c:pt>
                <c:pt idx="715">
                  <c:v>3.0120000000000001E-2</c:v>
                </c:pt>
                <c:pt idx="716">
                  <c:v>0.03</c:v>
                </c:pt>
                <c:pt idx="717">
                  <c:v>2.9519999999999998E-2</c:v>
                </c:pt>
                <c:pt idx="718">
                  <c:v>2.9399999999999999E-2</c:v>
                </c:pt>
                <c:pt idx="719">
                  <c:v>2.928E-2</c:v>
                </c:pt>
                <c:pt idx="720">
                  <c:v>2.964E-2</c:v>
                </c:pt>
                <c:pt idx="721">
                  <c:v>2.964E-2</c:v>
                </c:pt>
                <c:pt idx="722">
                  <c:v>2.964E-2</c:v>
                </c:pt>
                <c:pt idx="723">
                  <c:v>2.9159999999999998E-2</c:v>
                </c:pt>
                <c:pt idx="724">
                  <c:v>2.9039999999999996E-2</c:v>
                </c:pt>
                <c:pt idx="725">
                  <c:v>2.8799999999999999E-2</c:v>
                </c:pt>
                <c:pt idx="726">
                  <c:v>2.8799999999999999E-2</c:v>
                </c:pt>
                <c:pt idx="727">
                  <c:v>2.8919999999999998E-2</c:v>
                </c:pt>
                <c:pt idx="728">
                  <c:v>2.928E-2</c:v>
                </c:pt>
                <c:pt idx="729">
                  <c:v>2.9159999999999998E-2</c:v>
                </c:pt>
                <c:pt idx="730">
                  <c:v>2.8319999999999998E-2</c:v>
                </c:pt>
                <c:pt idx="731">
                  <c:v>2.8199999999999999E-2</c:v>
                </c:pt>
                <c:pt idx="732">
                  <c:v>2.8199999999999999E-2</c:v>
                </c:pt>
                <c:pt idx="733">
                  <c:v>2.8439999999999997E-2</c:v>
                </c:pt>
                <c:pt idx="734">
                  <c:v>2.8319999999999998E-2</c:v>
                </c:pt>
                <c:pt idx="735">
                  <c:v>2.8199999999999999E-2</c:v>
                </c:pt>
                <c:pt idx="736">
                  <c:v>2.8199999999999999E-2</c:v>
                </c:pt>
                <c:pt idx="737">
                  <c:v>2.7839999999999997E-2</c:v>
                </c:pt>
                <c:pt idx="738">
                  <c:v>2.7839999999999997E-2</c:v>
                </c:pt>
                <c:pt idx="739">
                  <c:v>2.7719999999999998E-2</c:v>
                </c:pt>
                <c:pt idx="740">
                  <c:v>2.7480000000000001E-2</c:v>
                </c:pt>
                <c:pt idx="741">
                  <c:v>2.7E-2</c:v>
                </c:pt>
                <c:pt idx="742">
                  <c:v>2.7119999999999998E-2</c:v>
                </c:pt>
                <c:pt idx="743">
                  <c:v>2.7719999999999998E-2</c:v>
                </c:pt>
                <c:pt idx="744">
                  <c:v>2.7960000000000002E-2</c:v>
                </c:pt>
                <c:pt idx="745">
                  <c:v>2.7839999999999997E-2</c:v>
                </c:pt>
                <c:pt idx="746">
                  <c:v>2.7359999999999999E-2</c:v>
                </c:pt>
                <c:pt idx="747">
                  <c:v>2.7E-2</c:v>
                </c:pt>
                <c:pt idx="748">
                  <c:v>2.6879999999999998E-2</c:v>
                </c:pt>
                <c:pt idx="749">
                  <c:v>2.7480000000000001E-2</c:v>
                </c:pt>
                <c:pt idx="750">
                  <c:v>2.7719999999999998E-2</c:v>
                </c:pt>
                <c:pt idx="751">
                  <c:v>2.7480000000000001E-2</c:v>
                </c:pt>
                <c:pt idx="752">
                  <c:v>2.7119999999999998E-2</c:v>
                </c:pt>
                <c:pt idx="753">
                  <c:v>2.6759999999999999E-2</c:v>
                </c:pt>
                <c:pt idx="754">
                  <c:v>2.6399999999999996E-2</c:v>
                </c:pt>
                <c:pt idx="755">
                  <c:v>2.6520000000000002E-2</c:v>
                </c:pt>
                <c:pt idx="756">
                  <c:v>2.664E-2</c:v>
                </c:pt>
                <c:pt idx="757">
                  <c:v>2.6520000000000002E-2</c:v>
                </c:pt>
                <c:pt idx="758">
                  <c:v>2.7E-2</c:v>
                </c:pt>
                <c:pt idx="759">
                  <c:v>2.7480000000000001E-2</c:v>
                </c:pt>
                <c:pt idx="760">
                  <c:v>2.7480000000000001E-2</c:v>
                </c:pt>
                <c:pt idx="761">
                  <c:v>2.5799999999999997E-2</c:v>
                </c:pt>
                <c:pt idx="762">
                  <c:v>2.5079999999999998E-2</c:v>
                </c:pt>
                <c:pt idx="763">
                  <c:v>2.5799999999999997E-2</c:v>
                </c:pt>
                <c:pt idx="764">
                  <c:v>2.7480000000000001E-2</c:v>
                </c:pt>
                <c:pt idx="765">
                  <c:v>2.76E-2</c:v>
                </c:pt>
                <c:pt idx="766">
                  <c:v>2.7E-2</c:v>
                </c:pt>
                <c:pt idx="767">
                  <c:v>2.664E-2</c:v>
                </c:pt>
                <c:pt idx="768">
                  <c:v>2.6520000000000002E-2</c:v>
                </c:pt>
                <c:pt idx="769">
                  <c:v>2.664E-2</c:v>
                </c:pt>
                <c:pt idx="770">
                  <c:v>2.7119999999999998E-2</c:v>
                </c:pt>
                <c:pt idx="771">
                  <c:v>2.7119999999999998E-2</c:v>
                </c:pt>
                <c:pt idx="772">
                  <c:v>2.7119999999999998E-2</c:v>
                </c:pt>
                <c:pt idx="773">
                  <c:v>2.7119999999999998E-2</c:v>
                </c:pt>
                <c:pt idx="774">
                  <c:v>2.724E-2</c:v>
                </c:pt>
                <c:pt idx="775">
                  <c:v>2.7119999999999998E-2</c:v>
                </c:pt>
                <c:pt idx="776">
                  <c:v>2.7359999999999999E-2</c:v>
                </c:pt>
                <c:pt idx="777">
                  <c:v>2.7359999999999999E-2</c:v>
                </c:pt>
                <c:pt idx="778">
                  <c:v>2.7359999999999999E-2</c:v>
                </c:pt>
                <c:pt idx="779">
                  <c:v>2.724E-2</c:v>
                </c:pt>
                <c:pt idx="780">
                  <c:v>2.7480000000000001E-2</c:v>
                </c:pt>
                <c:pt idx="781">
                  <c:v>2.7719999999999998E-2</c:v>
                </c:pt>
                <c:pt idx="782">
                  <c:v>2.7719999999999998E-2</c:v>
                </c:pt>
                <c:pt idx="783">
                  <c:v>2.6520000000000002E-2</c:v>
                </c:pt>
                <c:pt idx="784">
                  <c:v>2.5440000000000001E-2</c:v>
                </c:pt>
                <c:pt idx="785">
                  <c:v>2.5440000000000001E-2</c:v>
                </c:pt>
                <c:pt idx="786">
                  <c:v>2.6159999999999999E-2</c:v>
                </c:pt>
                <c:pt idx="787">
                  <c:v>2.6879999999999998E-2</c:v>
                </c:pt>
                <c:pt idx="788">
                  <c:v>2.6759999999999999E-2</c:v>
                </c:pt>
                <c:pt idx="789">
                  <c:v>2.7E-2</c:v>
                </c:pt>
                <c:pt idx="790">
                  <c:v>2.7119999999999998E-2</c:v>
                </c:pt>
                <c:pt idx="791">
                  <c:v>2.7480000000000001E-2</c:v>
                </c:pt>
                <c:pt idx="792">
                  <c:v>2.7839999999999997E-2</c:v>
                </c:pt>
                <c:pt idx="793">
                  <c:v>2.7960000000000002E-2</c:v>
                </c:pt>
                <c:pt idx="794">
                  <c:v>2.8199999999999999E-2</c:v>
                </c:pt>
                <c:pt idx="795">
                  <c:v>2.7960000000000002E-2</c:v>
                </c:pt>
                <c:pt idx="796">
                  <c:v>2.724E-2</c:v>
                </c:pt>
                <c:pt idx="797">
                  <c:v>2.7E-2</c:v>
                </c:pt>
                <c:pt idx="798">
                  <c:v>2.7359999999999999E-2</c:v>
                </c:pt>
                <c:pt idx="799">
                  <c:v>2.8439999999999997E-2</c:v>
                </c:pt>
                <c:pt idx="800">
                  <c:v>2.9519999999999998E-2</c:v>
                </c:pt>
                <c:pt idx="801">
                  <c:v>3.1199999999999999E-2</c:v>
                </c:pt>
                <c:pt idx="802">
                  <c:v>3.2279999999999996E-2</c:v>
                </c:pt>
                <c:pt idx="803">
                  <c:v>3.2039999999999999E-2</c:v>
                </c:pt>
                <c:pt idx="804">
                  <c:v>3.1199999999999999E-2</c:v>
                </c:pt>
                <c:pt idx="805">
                  <c:v>3.0120000000000001E-2</c:v>
                </c:pt>
                <c:pt idx="806">
                  <c:v>2.928E-2</c:v>
                </c:pt>
                <c:pt idx="807">
                  <c:v>2.8560000000000002E-2</c:v>
                </c:pt>
                <c:pt idx="808">
                  <c:v>2.8319999999999998E-2</c:v>
                </c:pt>
                <c:pt idx="809">
                  <c:v>2.8439999999999997E-2</c:v>
                </c:pt>
                <c:pt idx="810">
                  <c:v>2.7839999999999997E-2</c:v>
                </c:pt>
                <c:pt idx="811">
                  <c:v>2.7E-2</c:v>
                </c:pt>
                <c:pt idx="812">
                  <c:v>2.7359999999999999E-2</c:v>
                </c:pt>
                <c:pt idx="813">
                  <c:v>2.7839999999999997E-2</c:v>
                </c:pt>
                <c:pt idx="814">
                  <c:v>2.76E-2</c:v>
                </c:pt>
                <c:pt idx="815">
                  <c:v>2.664E-2</c:v>
                </c:pt>
                <c:pt idx="816">
                  <c:v>2.6040000000000001E-2</c:v>
                </c:pt>
                <c:pt idx="817">
                  <c:v>2.5920000000000002E-2</c:v>
                </c:pt>
                <c:pt idx="818">
                  <c:v>2.6759999999999999E-2</c:v>
                </c:pt>
                <c:pt idx="819">
                  <c:v>2.76E-2</c:v>
                </c:pt>
                <c:pt idx="820">
                  <c:v>2.7839999999999997E-2</c:v>
                </c:pt>
                <c:pt idx="821">
                  <c:v>2.7480000000000001E-2</c:v>
                </c:pt>
                <c:pt idx="822">
                  <c:v>2.6759999999999999E-2</c:v>
                </c:pt>
                <c:pt idx="823">
                  <c:v>2.7E-2</c:v>
                </c:pt>
                <c:pt idx="824">
                  <c:v>2.7480000000000001E-2</c:v>
                </c:pt>
                <c:pt idx="825">
                  <c:v>2.7480000000000001E-2</c:v>
                </c:pt>
                <c:pt idx="826">
                  <c:v>2.7E-2</c:v>
                </c:pt>
                <c:pt idx="827">
                  <c:v>2.7480000000000001E-2</c:v>
                </c:pt>
                <c:pt idx="828">
                  <c:v>2.9519999999999998E-2</c:v>
                </c:pt>
                <c:pt idx="829">
                  <c:v>3.7560000000000003E-2</c:v>
                </c:pt>
                <c:pt idx="830">
                  <c:v>7.2239999999999999E-2</c:v>
                </c:pt>
                <c:pt idx="831">
                  <c:v>0.15240000000000001</c:v>
                </c:pt>
                <c:pt idx="832">
                  <c:v>0.23880000000000001</c:v>
                </c:pt>
                <c:pt idx="833">
                  <c:v>0.25919999999999999</c:v>
                </c:pt>
                <c:pt idx="834">
                  <c:v>0.19439999999999999</c:v>
                </c:pt>
                <c:pt idx="835">
                  <c:v>0.11208</c:v>
                </c:pt>
                <c:pt idx="836">
                  <c:v>6.8879999999999997E-2</c:v>
                </c:pt>
                <c:pt idx="837">
                  <c:v>8.0759999999999998E-2</c:v>
                </c:pt>
                <c:pt idx="838">
                  <c:v>0.1356</c:v>
                </c:pt>
                <c:pt idx="839">
                  <c:v>0.18959999999999999</c:v>
                </c:pt>
                <c:pt idx="840">
                  <c:v>0.18959999999999999</c:v>
                </c:pt>
                <c:pt idx="841">
                  <c:v>0.13439999999999999</c:v>
                </c:pt>
                <c:pt idx="842">
                  <c:v>7.7039999999999983E-2</c:v>
                </c:pt>
                <c:pt idx="843">
                  <c:v>4.7039999999999998E-2</c:v>
                </c:pt>
                <c:pt idx="844">
                  <c:v>3.6719999999999996E-2</c:v>
                </c:pt>
                <c:pt idx="845">
                  <c:v>3.3239999999999999E-2</c:v>
                </c:pt>
                <c:pt idx="846">
                  <c:v>3.1799999999999995E-2</c:v>
                </c:pt>
                <c:pt idx="847">
                  <c:v>3.1199999999999999E-2</c:v>
                </c:pt>
                <c:pt idx="848">
                  <c:v>3.0959999999999998E-2</c:v>
                </c:pt>
                <c:pt idx="849">
                  <c:v>3.0359999999999998E-2</c:v>
                </c:pt>
                <c:pt idx="850">
                  <c:v>2.9159999999999998E-2</c:v>
                </c:pt>
                <c:pt idx="851">
                  <c:v>2.8560000000000002E-2</c:v>
                </c:pt>
                <c:pt idx="852">
                  <c:v>2.8319999999999998E-2</c:v>
                </c:pt>
                <c:pt idx="853">
                  <c:v>2.7839999999999997E-2</c:v>
                </c:pt>
                <c:pt idx="854">
                  <c:v>2.7719999999999998E-2</c:v>
                </c:pt>
                <c:pt idx="855">
                  <c:v>2.7719999999999998E-2</c:v>
                </c:pt>
                <c:pt idx="856">
                  <c:v>2.7480000000000001E-2</c:v>
                </c:pt>
                <c:pt idx="857">
                  <c:v>2.8319999999999998E-2</c:v>
                </c:pt>
                <c:pt idx="858">
                  <c:v>3.0120000000000001E-2</c:v>
                </c:pt>
                <c:pt idx="859">
                  <c:v>3.1440000000000003E-2</c:v>
                </c:pt>
                <c:pt idx="860">
                  <c:v>3.1919999999999997E-2</c:v>
                </c:pt>
                <c:pt idx="861">
                  <c:v>3.1079999999999997E-2</c:v>
                </c:pt>
                <c:pt idx="862">
                  <c:v>2.9879999999999997E-2</c:v>
                </c:pt>
                <c:pt idx="863">
                  <c:v>2.8680000000000001E-2</c:v>
                </c:pt>
                <c:pt idx="864">
                  <c:v>2.8560000000000002E-2</c:v>
                </c:pt>
                <c:pt idx="865">
                  <c:v>2.8199999999999999E-2</c:v>
                </c:pt>
                <c:pt idx="866">
                  <c:v>2.724E-2</c:v>
                </c:pt>
                <c:pt idx="867">
                  <c:v>2.6879999999999998E-2</c:v>
                </c:pt>
                <c:pt idx="868">
                  <c:v>2.7719999999999998E-2</c:v>
                </c:pt>
                <c:pt idx="869">
                  <c:v>2.8439999999999997E-2</c:v>
                </c:pt>
                <c:pt idx="870">
                  <c:v>2.9159999999999998E-2</c:v>
                </c:pt>
                <c:pt idx="871">
                  <c:v>2.9759999999999998E-2</c:v>
                </c:pt>
                <c:pt idx="872">
                  <c:v>3.0120000000000001E-2</c:v>
                </c:pt>
                <c:pt idx="873">
                  <c:v>3.0599999999999995E-2</c:v>
                </c:pt>
                <c:pt idx="874">
                  <c:v>3.0959999999999998E-2</c:v>
                </c:pt>
                <c:pt idx="875">
                  <c:v>3.0959999999999998E-2</c:v>
                </c:pt>
                <c:pt idx="876">
                  <c:v>3.0120000000000001E-2</c:v>
                </c:pt>
                <c:pt idx="877">
                  <c:v>3.0120000000000001E-2</c:v>
                </c:pt>
                <c:pt idx="878">
                  <c:v>3.0479999999999997E-2</c:v>
                </c:pt>
                <c:pt idx="879">
                  <c:v>3.0839999999999999E-2</c:v>
                </c:pt>
                <c:pt idx="880">
                  <c:v>3.0959999999999998E-2</c:v>
                </c:pt>
                <c:pt idx="881">
                  <c:v>3.0720000000000001E-2</c:v>
                </c:pt>
                <c:pt idx="882">
                  <c:v>3.0839999999999999E-2</c:v>
                </c:pt>
                <c:pt idx="883">
                  <c:v>3.1440000000000003E-2</c:v>
                </c:pt>
                <c:pt idx="884">
                  <c:v>3.2039999999999999E-2</c:v>
                </c:pt>
                <c:pt idx="885">
                  <c:v>3.2039999999999999E-2</c:v>
                </c:pt>
                <c:pt idx="886">
                  <c:v>3.2639999999999995E-2</c:v>
                </c:pt>
                <c:pt idx="887">
                  <c:v>3.3959999999999997E-2</c:v>
                </c:pt>
                <c:pt idx="888">
                  <c:v>3.4079999999999999E-2</c:v>
                </c:pt>
                <c:pt idx="889">
                  <c:v>3.4079999999999999E-2</c:v>
                </c:pt>
                <c:pt idx="890">
                  <c:v>3.492E-2</c:v>
                </c:pt>
                <c:pt idx="891">
                  <c:v>3.5520000000000003E-2</c:v>
                </c:pt>
                <c:pt idx="892">
                  <c:v>3.5159999999999997E-2</c:v>
                </c:pt>
                <c:pt idx="893">
                  <c:v>3.5040000000000002E-2</c:v>
                </c:pt>
                <c:pt idx="894">
                  <c:v>3.6240000000000001E-2</c:v>
                </c:pt>
                <c:pt idx="895">
                  <c:v>3.7920000000000002E-2</c:v>
                </c:pt>
                <c:pt idx="896">
                  <c:v>3.9600000000000003E-2</c:v>
                </c:pt>
                <c:pt idx="897">
                  <c:v>4.02E-2</c:v>
                </c:pt>
                <c:pt idx="898">
                  <c:v>3.9960000000000002E-2</c:v>
                </c:pt>
                <c:pt idx="899">
                  <c:v>3.9E-2</c:v>
                </c:pt>
                <c:pt idx="900">
                  <c:v>3.9359999999999999E-2</c:v>
                </c:pt>
                <c:pt idx="901">
                  <c:v>4.0319999999999995E-2</c:v>
                </c:pt>
                <c:pt idx="902">
                  <c:v>4.0919999999999998E-2</c:v>
                </c:pt>
                <c:pt idx="903">
                  <c:v>4.0919999999999998E-2</c:v>
                </c:pt>
                <c:pt idx="904">
                  <c:v>4.1640000000000003E-2</c:v>
                </c:pt>
                <c:pt idx="905">
                  <c:v>4.1399999999999999E-2</c:v>
                </c:pt>
                <c:pt idx="906">
                  <c:v>4.1399999999999999E-2</c:v>
                </c:pt>
                <c:pt idx="907">
                  <c:v>4.1880000000000001E-2</c:v>
                </c:pt>
                <c:pt idx="908">
                  <c:v>4.224E-2</c:v>
                </c:pt>
                <c:pt idx="909">
                  <c:v>4.2599999999999992E-2</c:v>
                </c:pt>
                <c:pt idx="910">
                  <c:v>4.3920000000000001E-2</c:v>
                </c:pt>
                <c:pt idx="911">
                  <c:v>4.5239999999999995E-2</c:v>
                </c:pt>
                <c:pt idx="912">
                  <c:v>4.5839999999999999E-2</c:v>
                </c:pt>
                <c:pt idx="913">
                  <c:v>4.6079999999999996E-2</c:v>
                </c:pt>
                <c:pt idx="914">
                  <c:v>4.6679999999999992E-2</c:v>
                </c:pt>
                <c:pt idx="915">
                  <c:v>4.6679999999999992E-2</c:v>
                </c:pt>
                <c:pt idx="916">
                  <c:v>4.7160000000000001E-2</c:v>
                </c:pt>
                <c:pt idx="917">
                  <c:v>4.8000000000000001E-2</c:v>
                </c:pt>
                <c:pt idx="918">
                  <c:v>4.9200000000000001E-2</c:v>
                </c:pt>
                <c:pt idx="919">
                  <c:v>5.0040000000000001E-2</c:v>
                </c:pt>
                <c:pt idx="920">
                  <c:v>5.1599999999999993E-2</c:v>
                </c:pt>
                <c:pt idx="921">
                  <c:v>5.4359999999999999E-2</c:v>
                </c:pt>
                <c:pt idx="922">
                  <c:v>5.8679999999999996E-2</c:v>
                </c:pt>
                <c:pt idx="923">
                  <c:v>6.2519999999999992E-2</c:v>
                </c:pt>
                <c:pt idx="924">
                  <c:v>6.7559999999999995E-2</c:v>
                </c:pt>
                <c:pt idx="925">
                  <c:v>7.4879999999999988E-2</c:v>
                </c:pt>
                <c:pt idx="926">
                  <c:v>8.4839999999999999E-2</c:v>
                </c:pt>
                <c:pt idx="927">
                  <c:v>9.7680000000000003E-2</c:v>
                </c:pt>
                <c:pt idx="928">
                  <c:v>0.11435999999999999</c:v>
                </c:pt>
                <c:pt idx="929">
                  <c:v>0.13800000000000001</c:v>
                </c:pt>
                <c:pt idx="930">
                  <c:v>0.17279999999999998</c:v>
                </c:pt>
                <c:pt idx="931">
                  <c:v>0.23039999999999999</c:v>
                </c:pt>
                <c:pt idx="932">
                  <c:v>0.33600000000000002</c:v>
                </c:pt>
                <c:pt idx="933">
                  <c:v>0.54959999999999998</c:v>
                </c:pt>
                <c:pt idx="934">
                  <c:v>0.93120000000000003</c:v>
                </c:pt>
                <c:pt idx="942">
                  <c:v>0.9516</c:v>
                </c:pt>
                <c:pt idx="943">
                  <c:v>0.63</c:v>
                </c:pt>
                <c:pt idx="944">
                  <c:v>0.43559999999999999</c:v>
                </c:pt>
                <c:pt idx="945">
                  <c:v>0.3216</c:v>
                </c:pt>
                <c:pt idx="946">
                  <c:v>0.25079999999999997</c:v>
                </c:pt>
                <c:pt idx="947">
                  <c:v>0.20400000000000001</c:v>
                </c:pt>
                <c:pt idx="948">
                  <c:v>0.17159999999999997</c:v>
                </c:pt>
                <c:pt idx="949">
                  <c:v>0.1464</c:v>
                </c:pt>
                <c:pt idx="950">
                  <c:v>0.12839999999999999</c:v>
                </c:pt>
                <c:pt idx="951">
                  <c:v>0.11364</c:v>
                </c:pt>
                <c:pt idx="952">
                  <c:v>0.10260000000000001</c:v>
                </c:pt>
                <c:pt idx="953">
                  <c:v>9.3600000000000003E-2</c:v>
                </c:pt>
                <c:pt idx="954">
                  <c:v>8.6760000000000004E-2</c:v>
                </c:pt>
                <c:pt idx="955">
                  <c:v>8.1119999999999984E-2</c:v>
                </c:pt>
                <c:pt idx="956">
                  <c:v>7.4039999999999995E-2</c:v>
                </c:pt>
                <c:pt idx="957">
                  <c:v>6.7080000000000001E-2</c:v>
                </c:pt>
                <c:pt idx="958">
                  <c:v>6.132E-2</c:v>
                </c:pt>
                <c:pt idx="959">
                  <c:v>5.9279999999999999E-2</c:v>
                </c:pt>
                <c:pt idx="960">
                  <c:v>5.7719999999999994E-2</c:v>
                </c:pt>
                <c:pt idx="961">
                  <c:v>5.6759999999999998E-2</c:v>
                </c:pt>
                <c:pt idx="962">
                  <c:v>5.3519999999999998E-2</c:v>
                </c:pt>
                <c:pt idx="963">
                  <c:v>5.0639999999999998E-2</c:v>
                </c:pt>
                <c:pt idx="964">
                  <c:v>4.7399999999999998E-2</c:v>
                </c:pt>
                <c:pt idx="965">
                  <c:v>4.5720000000000004E-2</c:v>
                </c:pt>
                <c:pt idx="966">
                  <c:v>4.3319999999999997E-2</c:v>
                </c:pt>
                <c:pt idx="967">
                  <c:v>4.2599999999999992E-2</c:v>
                </c:pt>
                <c:pt idx="968">
                  <c:v>4.1159999999999995E-2</c:v>
                </c:pt>
                <c:pt idx="969">
                  <c:v>3.9719999999999998E-2</c:v>
                </c:pt>
                <c:pt idx="970">
                  <c:v>3.7560000000000003E-2</c:v>
                </c:pt>
                <c:pt idx="971">
                  <c:v>3.5520000000000003E-2</c:v>
                </c:pt>
                <c:pt idx="972">
                  <c:v>3.456E-2</c:v>
                </c:pt>
                <c:pt idx="973">
                  <c:v>3.5399999999999994E-2</c:v>
                </c:pt>
                <c:pt idx="974">
                  <c:v>3.5040000000000002E-2</c:v>
                </c:pt>
                <c:pt idx="975">
                  <c:v>3.3000000000000002E-2</c:v>
                </c:pt>
                <c:pt idx="976">
                  <c:v>3.0120000000000001E-2</c:v>
                </c:pt>
                <c:pt idx="977">
                  <c:v>2.7480000000000001E-2</c:v>
                </c:pt>
                <c:pt idx="978">
                  <c:v>2.6759999999999999E-2</c:v>
                </c:pt>
                <c:pt idx="979">
                  <c:v>2.7E-2</c:v>
                </c:pt>
                <c:pt idx="980">
                  <c:v>2.8439999999999997E-2</c:v>
                </c:pt>
                <c:pt idx="981">
                  <c:v>2.8080000000000001E-2</c:v>
                </c:pt>
                <c:pt idx="982">
                  <c:v>2.7839999999999997E-2</c:v>
                </c:pt>
                <c:pt idx="983">
                  <c:v>2.7359999999999999E-2</c:v>
                </c:pt>
                <c:pt idx="984">
                  <c:v>2.6399999999999996E-2</c:v>
                </c:pt>
                <c:pt idx="985">
                  <c:v>2.6879999999999998E-2</c:v>
                </c:pt>
                <c:pt idx="986">
                  <c:v>2.7839999999999997E-2</c:v>
                </c:pt>
                <c:pt idx="987">
                  <c:v>2.6759999999999999E-2</c:v>
                </c:pt>
                <c:pt idx="988">
                  <c:v>2.5559999999999999E-2</c:v>
                </c:pt>
                <c:pt idx="989">
                  <c:v>2.3519999999999999E-2</c:v>
                </c:pt>
                <c:pt idx="990">
                  <c:v>2.2199999999999998E-2</c:v>
                </c:pt>
                <c:pt idx="991">
                  <c:v>2.3279999999999999E-2</c:v>
                </c:pt>
                <c:pt idx="992">
                  <c:v>2.3880000000000002E-2</c:v>
                </c:pt>
                <c:pt idx="993">
                  <c:v>2.376E-2</c:v>
                </c:pt>
                <c:pt idx="994">
                  <c:v>2.376E-2</c:v>
                </c:pt>
                <c:pt idx="995">
                  <c:v>2.46E-2</c:v>
                </c:pt>
                <c:pt idx="996">
                  <c:v>2.52E-2</c:v>
                </c:pt>
                <c:pt idx="997">
                  <c:v>2.376E-2</c:v>
                </c:pt>
                <c:pt idx="998">
                  <c:v>2.2440000000000002E-2</c:v>
                </c:pt>
                <c:pt idx="999">
                  <c:v>2.0279999999999996E-2</c:v>
                </c:pt>
                <c:pt idx="1000">
                  <c:v>2.052E-2</c:v>
                </c:pt>
              </c:numCache>
            </c:numRef>
          </c:val>
          <c:smooth val="1"/>
          <c:extLst>
            <c:ext xmlns:c16="http://schemas.microsoft.com/office/drawing/2014/chart" uri="{C3380CC4-5D6E-409C-BE32-E72D297353CC}">
              <c16:uniqueId val="{00000001-6D05-0E48-9D51-931E127B31BC}"/>
            </c:ext>
          </c:extLst>
        </c:ser>
        <c:ser>
          <c:idx val="4"/>
          <c:order val="2"/>
          <c:spPr>
            <a:ln w="25400" cap="rnd">
              <a:solidFill>
                <a:schemeClr val="tx1">
                  <a:lumMod val="75000"/>
                  <a:lumOff val="25000"/>
                </a:schemeClr>
              </a:solidFill>
              <a:round/>
            </a:ln>
            <a:effectLst/>
          </c:spPr>
          <c:marker>
            <c:symbol val="none"/>
          </c:marker>
          <c:cat>
            <c:numRef>
              <c:f>Sheet1!$A$212:$A$1212</c:f>
              <c:numCache>
                <c:formatCode>General</c:formatCode>
                <c:ptCount val="1001"/>
                <c:pt idx="0">
                  <c:v>350</c:v>
                </c:pt>
                <c:pt idx="1">
                  <c:v>350.5</c:v>
                </c:pt>
                <c:pt idx="2">
                  <c:v>351</c:v>
                </c:pt>
                <c:pt idx="3">
                  <c:v>351.5</c:v>
                </c:pt>
                <c:pt idx="4">
                  <c:v>352</c:v>
                </c:pt>
                <c:pt idx="5">
                  <c:v>352.5</c:v>
                </c:pt>
                <c:pt idx="6">
                  <c:v>353</c:v>
                </c:pt>
                <c:pt idx="7">
                  <c:v>353.5</c:v>
                </c:pt>
                <c:pt idx="8">
                  <c:v>354</c:v>
                </c:pt>
                <c:pt idx="9">
                  <c:v>354.5</c:v>
                </c:pt>
                <c:pt idx="10">
                  <c:v>355</c:v>
                </c:pt>
                <c:pt idx="11">
                  <c:v>355.5</c:v>
                </c:pt>
                <c:pt idx="12">
                  <c:v>356</c:v>
                </c:pt>
                <c:pt idx="13">
                  <c:v>356.5</c:v>
                </c:pt>
                <c:pt idx="14">
                  <c:v>357</c:v>
                </c:pt>
                <c:pt idx="15">
                  <c:v>357.5</c:v>
                </c:pt>
                <c:pt idx="16">
                  <c:v>358</c:v>
                </c:pt>
                <c:pt idx="17">
                  <c:v>358.5</c:v>
                </c:pt>
                <c:pt idx="18">
                  <c:v>359</c:v>
                </c:pt>
                <c:pt idx="19">
                  <c:v>359.5</c:v>
                </c:pt>
                <c:pt idx="20">
                  <c:v>360</c:v>
                </c:pt>
                <c:pt idx="21">
                  <c:v>360.5</c:v>
                </c:pt>
                <c:pt idx="22">
                  <c:v>361</c:v>
                </c:pt>
                <c:pt idx="23">
                  <c:v>361.5</c:v>
                </c:pt>
                <c:pt idx="24">
                  <c:v>362</c:v>
                </c:pt>
                <c:pt idx="25">
                  <c:v>362.5</c:v>
                </c:pt>
                <c:pt idx="26">
                  <c:v>363</c:v>
                </c:pt>
                <c:pt idx="27">
                  <c:v>363.5</c:v>
                </c:pt>
                <c:pt idx="28">
                  <c:v>364</c:v>
                </c:pt>
                <c:pt idx="29">
                  <c:v>364.5</c:v>
                </c:pt>
                <c:pt idx="30">
                  <c:v>365</c:v>
                </c:pt>
                <c:pt idx="31">
                  <c:v>365.5</c:v>
                </c:pt>
                <c:pt idx="32">
                  <c:v>366</c:v>
                </c:pt>
                <c:pt idx="33">
                  <c:v>366.5</c:v>
                </c:pt>
                <c:pt idx="34">
                  <c:v>367</c:v>
                </c:pt>
                <c:pt idx="35">
                  <c:v>367.5</c:v>
                </c:pt>
                <c:pt idx="36">
                  <c:v>368</c:v>
                </c:pt>
                <c:pt idx="37">
                  <c:v>368.5</c:v>
                </c:pt>
                <c:pt idx="38">
                  <c:v>369</c:v>
                </c:pt>
                <c:pt idx="39">
                  <c:v>369.5</c:v>
                </c:pt>
                <c:pt idx="40">
                  <c:v>370</c:v>
                </c:pt>
                <c:pt idx="41">
                  <c:v>370.5</c:v>
                </c:pt>
                <c:pt idx="42">
                  <c:v>371</c:v>
                </c:pt>
                <c:pt idx="43">
                  <c:v>371.5</c:v>
                </c:pt>
                <c:pt idx="44">
                  <c:v>372</c:v>
                </c:pt>
                <c:pt idx="45">
                  <c:v>372.5</c:v>
                </c:pt>
                <c:pt idx="46">
                  <c:v>373</c:v>
                </c:pt>
                <c:pt idx="47">
                  <c:v>373.5</c:v>
                </c:pt>
                <c:pt idx="48">
                  <c:v>374</c:v>
                </c:pt>
                <c:pt idx="49">
                  <c:v>374.5</c:v>
                </c:pt>
                <c:pt idx="50">
                  <c:v>375</c:v>
                </c:pt>
                <c:pt idx="51">
                  <c:v>375.5</c:v>
                </c:pt>
                <c:pt idx="52">
                  <c:v>376</c:v>
                </c:pt>
                <c:pt idx="53">
                  <c:v>376.5</c:v>
                </c:pt>
                <c:pt idx="54">
                  <c:v>377</c:v>
                </c:pt>
                <c:pt idx="55">
                  <c:v>377.5</c:v>
                </c:pt>
                <c:pt idx="56">
                  <c:v>378</c:v>
                </c:pt>
                <c:pt idx="57">
                  <c:v>378.5</c:v>
                </c:pt>
                <c:pt idx="58">
                  <c:v>379</c:v>
                </c:pt>
                <c:pt idx="59">
                  <c:v>379.5</c:v>
                </c:pt>
                <c:pt idx="60">
                  <c:v>380</c:v>
                </c:pt>
                <c:pt idx="61">
                  <c:v>380.5</c:v>
                </c:pt>
                <c:pt idx="62">
                  <c:v>381</c:v>
                </c:pt>
                <c:pt idx="63">
                  <c:v>381.5</c:v>
                </c:pt>
                <c:pt idx="64">
                  <c:v>382</c:v>
                </c:pt>
                <c:pt idx="65">
                  <c:v>382.5</c:v>
                </c:pt>
                <c:pt idx="66">
                  <c:v>383</c:v>
                </c:pt>
                <c:pt idx="67">
                  <c:v>383.5</c:v>
                </c:pt>
                <c:pt idx="68">
                  <c:v>384</c:v>
                </c:pt>
                <c:pt idx="69">
                  <c:v>384.5</c:v>
                </c:pt>
                <c:pt idx="70">
                  <c:v>385</c:v>
                </c:pt>
                <c:pt idx="71">
                  <c:v>385.5</c:v>
                </c:pt>
                <c:pt idx="72">
                  <c:v>386</c:v>
                </c:pt>
                <c:pt idx="73">
                  <c:v>386.5</c:v>
                </c:pt>
                <c:pt idx="74">
                  <c:v>387</c:v>
                </c:pt>
                <c:pt idx="75">
                  <c:v>387.5</c:v>
                </c:pt>
                <c:pt idx="76">
                  <c:v>388</c:v>
                </c:pt>
                <c:pt idx="77">
                  <c:v>388.5</c:v>
                </c:pt>
                <c:pt idx="78">
                  <c:v>389</c:v>
                </c:pt>
                <c:pt idx="79">
                  <c:v>389.5</c:v>
                </c:pt>
                <c:pt idx="80">
                  <c:v>390</c:v>
                </c:pt>
                <c:pt idx="81">
                  <c:v>390.5</c:v>
                </c:pt>
                <c:pt idx="82">
                  <c:v>391</c:v>
                </c:pt>
                <c:pt idx="83">
                  <c:v>391.5</c:v>
                </c:pt>
                <c:pt idx="84">
                  <c:v>392</c:v>
                </c:pt>
                <c:pt idx="85">
                  <c:v>392.5</c:v>
                </c:pt>
                <c:pt idx="86">
                  <c:v>393</c:v>
                </c:pt>
                <c:pt idx="87">
                  <c:v>393.5</c:v>
                </c:pt>
                <c:pt idx="88">
                  <c:v>394</c:v>
                </c:pt>
                <c:pt idx="89">
                  <c:v>394.5</c:v>
                </c:pt>
                <c:pt idx="90">
                  <c:v>395</c:v>
                </c:pt>
                <c:pt idx="91">
                  <c:v>395.5</c:v>
                </c:pt>
                <c:pt idx="92">
                  <c:v>396</c:v>
                </c:pt>
                <c:pt idx="93">
                  <c:v>396.5</c:v>
                </c:pt>
                <c:pt idx="94">
                  <c:v>397</c:v>
                </c:pt>
                <c:pt idx="95">
                  <c:v>397.5</c:v>
                </c:pt>
                <c:pt idx="96">
                  <c:v>398</c:v>
                </c:pt>
                <c:pt idx="97">
                  <c:v>398.5</c:v>
                </c:pt>
                <c:pt idx="98">
                  <c:v>399</c:v>
                </c:pt>
                <c:pt idx="99">
                  <c:v>399.5</c:v>
                </c:pt>
                <c:pt idx="100">
                  <c:v>400</c:v>
                </c:pt>
                <c:pt idx="101">
                  <c:v>400.5</c:v>
                </c:pt>
                <c:pt idx="102">
                  <c:v>401</c:v>
                </c:pt>
                <c:pt idx="103">
                  <c:v>401.5</c:v>
                </c:pt>
                <c:pt idx="104">
                  <c:v>402</c:v>
                </c:pt>
                <c:pt idx="105">
                  <c:v>402.5</c:v>
                </c:pt>
                <c:pt idx="106">
                  <c:v>403</c:v>
                </c:pt>
                <c:pt idx="107">
                  <c:v>403.5</c:v>
                </c:pt>
                <c:pt idx="108">
                  <c:v>404</c:v>
                </c:pt>
                <c:pt idx="109">
                  <c:v>404.5</c:v>
                </c:pt>
                <c:pt idx="110">
                  <c:v>405</c:v>
                </c:pt>
                <c:pt idx="111">
                  <c:v>405.5</c:v>
                </c:pt>
                <c:pt idx="112">
                  <c:v>406</c:v>
                </c:pt>
                <c:pt idx="113">
                  <c:v>406.5</c:v>
                </c:pt>
                <c:pt idx="114">
                  <c:v>407</c:v>
                </c:pt>
                <c:pt idx="115">
                  <c:v>407.5</c:v>
                </c:pt>
                <c:pt idx="116">
                  <c:v>408</c:v>
                </c:pt>
                <c:pt idx="117">
                  <c:v>408.5</c:v>
                </c:pt>
                <c:pt idx="118">
                  <c:v>409</c:v>
                </c:pt>
                <c:pt idx="119">
                  <c:v>409.5</c:v>
                </c:pt>
                <c:pt idx="120">
                  <c:v>410</c:v>
                </c:pt>
                <c:pt idx="121">
                  <c:v>410.5</c:v>
                </c:pt>
                <c:pt idx="122">
                  <c:v>411</c:v>
                </c:pt>
                <c:pt idx="123">
                  <c:v>411.5</c:v>
                </c:pt>
                <c:pt idx="124">
                  <c:v>412</c:v>
                </c:pt>
                <c:pt idx="125">
                  <c:v>412.5</c:v>
                </c:pt>
                <c:pt idx="126">
                  <c:v>413</c:v>
                </c:pt>
                <c:pt idx="127">
                  <c:v>413.5</c:v>
                </c:pt>
                <c:pt idx="128">
                  <c:v>414</c:v>
                </c:pt>
                <c:pt idx="129">
                  <c:v>414.5</c:v>
                </c:pt>
                <c:pt idx="130">
                  <c:v>415</c:v>
                </c:pt>
                <c:pt idx="131">
                  <c:v>415.5</c:v>
                </c:pt>
                <c:pt idx="132">
                  <c:v>416</c:v>
                </c:pt>
                <c:pt idx="133">
                  <c:v>416.5</c:v>
                </c:pt>
                <c:pt idx="134">
                  <c:v>417</c:v>
                </c:pt>
                <c:pt idx="135">
                  <c:v>417.5</c:v>
                </c:pt>
                <c:pt idx="136">
                  <c:v>418</c:v>
                </c:pt>
                <c:pt idx="137">
                  <c:v>418.5</c:v>
                </c:pt>
                <c:pt idx="138">
                  <c:v>419</c:v>
                </c:pt>
                <c:pt idx="139">
                  <c:v>419.5</c:v>
                </c:pt>
                <c:pt idx="140">
                  <c:v>420</c:v>
                </c:pt>
                <c:pt idx="141">
                  <c:v>420.5</c:v>
                </c:pt>
                <c:pt idx="142">
                  <c:v>421</c:v>
                </c:pt>
                <c:pt idx="143">
                  <c:v>421.5</c:v>
                </c:pt>
                <c:pt idx="144">
                  <c:v>422</c:v>
                </c:pt>
                <c:pt idx="145">
                  <c:v>422.5</c:v>
                </c:pt>
                <c:pt idx="146">
                  <c:v>423</c:v>
                </c:pt>
                <c:pt idx="147">
                  <c:v>423.5</c:v>
                </c:pt>
                <c:pt idx="148">
                  <c:v>424</c:v>
                </c:pt>
                <c:pt idx="149">
                  <c:v>424.5</c:v>
                </c:pt>
                <c:pt idx="150">
                  <c:v>425</c:v>
                </c:pt>
                <c:pt idx="151">
                  <c:v>425.5</c:v>
                </c:pt>
                <c:pt idx="152">
                  <c:v>426</c:v>
                </c:pt>
                <c:pt idx="153">
                  <c:v>426.5</c:v>
                </c:pt>
                <c:pt idx="154">
                  <c:v>427</c:v>
                </c:pt>
                <c:pt idx="155">
                  <c:v>427.5</c:v>
                </c:pt>
                <c:pt idx="156">
                  <c:v>428</c:v>
                </c:pt>
                <c:pt idx="157">
                  <c:v>428.5</c:v>
                </c:pt>
                <c:pt idx="158">
                  <c:v>429</c:v>
                </c:pt>
                <c:pt idx="159">
                  <c:v>429.5</c:v>
                </c:pt>
                <c:pt idx="160">
                  <c:v>430</c:v>
                </c:pt>
                <c:pt idx="161">
                  <c:v>430.5</c:v>
                </c:pt>
                <c:pt idx="162">
                  <c:v>431</c:v>
                </c:pt>
                <c:pt idx="163">
                  <c:v>431.5</c:v>
                </c:pt>
                <c:pt idx="164">
                  <c:v>432</c:v>
                </c:pt>
                <c:pt idx="165">
                  <c:v>432.5</c:v>
                </c:pt>
                <c:pt idx="166">
                  <c:v>433</c:v>
                </c:pt>
                <c:pt idx="167">
                  <c:v>433.5</c:v>
                </c:pt>
                <c:pt idx="168">
                  <c:v>434</c:v>
                </c:pt>
                <c:pt idx="169">
                  <c:v>434.5</c:v>
                </c:pt>
                <c:pt idx="170">
                  <c:v>435</c:v>
                </c:pt>
                <c:pt idx="171">
                  <c:v>435.5</c:v>
                </c:pt>
                <c:pt idx="172">
                  <c:v>436</c:v>
                </c:pt>
                <c:pt idx="173">
                  <c:v>436.5</c:v>
                </c:pt>
                <c:pt idx="174">
                  <c:v>437</c:v>
                </c:pt>
                <c:pt idx="175">
                  <c:v>437.5</c:v>
                </c:pt>
                <c:pt idx="176">
                  <c:v>438</c:v>
                </c:pt>
                <c:pt idx="177">
                  <c:v>438.5</c:v>
                </c:pt>
                <c:pt idx="178">
                  <c:v>439</c:v>
                </c:pt>
                <c:pt idx="179">
                  <c:v>439.5</c:v>
                </c:pt>
                <c:pt idx="180">
                  <c:v>440</c:v>
                </c:pt>
                <c:pt idx="181">
                  <c:v>440.5</c:v>
                </c:pt>
                <c:pt idx="182">
                  <c:v>441</c:v>
                </c:pt>
                <c:pt idx="183">
                  <c:v>441.5</c:v>
                </c:pt>
                <c:pt idx="184">
                  <c:v>442</c:v>
                </c:pt>
                <c:pt idx="185">
                  <c:v>442.5</c:v>
                </c:pt>
                <c:pt idx="186">
                  <c:v>443</c:v>
                </c:pt>
                <c:pt idx="187">
                  <c:v>443.5</c:v>
                </c:pt>
                <c:pt idx="188">
                  <c:v>444</c:v>
                </c:pt>
                <c:pt idx="189">
                  <c:v>444.5</c:v>
                </c:pt>
                <c:pt idx="190">
                  <c:v>445</c:v>
                </c:pt>
                <c:pt idx="191">
                  <c:v>445.5</c:v>
                </c:pt>
                <c:pt idx="192">
                  <c:v>446</c:v>
                </c:pt>
                <c:pt idx="193">
                  <c:v>446.5</c:v>
                </c:pt>
                <c:pt idx="194">
                  <c:v>447</c:v>
                </c:pt>
                <c:pt idx="195">
                  <c:v>447.5</c:v>
                </c:pt>
                <c:pt idx="196">
                  <c:v>448</c:v>
                </c:pt>
                <c:pt idx="197">
                  <c:v>448.5</c:v>
                </c:pt>
                <c:pt idx="198">
                  <c:v>449</c:v>
                </c:pt>
                <c:pt idx="199">
                  <c:v>449.5</c:v>
                </c:pt>
                <c:pt idx="200">
                  <c:v>450</c:v>
                </c:pt>
                <c:pt idx="201">
                  <c:v>450.5</c:v>
                </c:pt>
                <c:pt idx="202">
                  <c:v>451</c:v>
                </c:pt>
                <c:pt idx="203">
                  <c:v>451.5</c:v>
                </c:pt>
                <c:pt idx="204">
                  <c:v>452</c:v>
                </c:pt>
                <c:pt idx="205">
                  <c:v>452.5</c:v>
                </c:pt>
                <c:pt idx="206">
                  <c:v>453</c:v>
                </c:pt>
                <c:pt idx="207">
                  <c:v>453.5</c:v>
                </c:pt>
                <c:pt idx="208">
                  <c:v>454</c:v>
                </c:pt>
                <c:pt idx="209">
                  <c:v>454.5</c:v>
                </c:pt>
                <c:pt idx="210">
                  <c:v>455</c:v>
                </c:pt>
                <c:pt idx="211">
                  <c:v>455.5</c:v>
                </c:pt>
                <c:pt idx="212">
                  <c:v>456</c:v>
                </c:pt>
                <c:pt idx="213">
                  <c:v>456.5</c:v>
                </c:pt>
                <c:pt idx="214">
                  <c:v>457</c:v>
                </c:pt>
                <c:pt idx="215">
                  <c:v>457.5</c:v>
                </c:pt>
                <c:pt idx="216">
                  <c:v>458</c:v>
                </c:pt>
                <c:pt idx="217">
                  <c:v>458.5</c:v>
                </c:pt>
                <c:pt idx="218">
                  <c:v>459</c:v>
                </c:pt>
                <c:pt idx="219">
                  <c:v>459.5</c:v>
                </c:pt>
                <c:pt idx="220">
                  <c:v>460</c:v>
                </c:pt>
                <c:pt idx="221">
                  <c:v>460.5</c:v>
                </c:pt>
                <c:pt idx="222">
                  <c:v>461</c:v>
                </c:pt>
                <c:pt idx="223">
                  <c:v>461.5</c:v>
                </c:pt>
                <c:pt idx="224">
                  <c:v>462</c:v>
                </c:pt>
                <c:pt idx="225">
                  <c:v>462.5</c:v>
                </c:pt>
                <c:pt idx="226">
                  <c:v>463</c:v>
                </c:pt>
                <c:pt idx="227">
                  <c:v>463.5</c:v>
                </c:pt>
                <c:pt idx="228">
                  <c:v>464</c:v>
                </c:pt>
                <c:pt idx="229">
                  <c:v>464.5</c:v>
                </c:pt>
                <c:pt idx="230">
                  <c:v>465</c:v>
                </c:pt>
                <c:pt idx="231">
                  <c:v>465.5</c:v>
                </c:pt>
                <c:pt idx="232">
                  <c:v>466</c:v>
                </c:pt>
                <c:pt idx="233">
                  <c:v>466.5</c:v>
                </c:pt>
                <c:pt idx="234">
                  <c:v>467</c:v>
                </c:pt>
                <c:pt idx="235">
                  <c:v>467.5</c:v>
                </c:pt>
                <c:pt idx="236">
                  <c:v>468</c:v>
                </c:pt>
                <c:pt idx="237">
                  <c:v>468.5</c:v>
                </c:pt>
                <c:pt idx="238">
                  <c:v>469</c:v>
                </c:pt>
                <c:pt idx="239">
                  <c:v>469.5</c:v>
                </c:pt>
                <c:pt idx="240">
                  <c:v>470</c:v>
                </c:pt>
                <c:pt idx="241">
                  <c:v>470.5</c:v>
                </c:pt>
                <c:pt idx="242">
                  <c:v>471</c:v>
                </c:pt>
                <c:pt idx="243">
                  <c:v>471.5</c:v>
                </c:pt>
                <c:pt idx="244">
                  <c:v>472</c:v>
                </c:pt>
                <c:pt idx="245">
                  <c:v>472.5</c:v>
                </c:pt>
                <c:pt idx="246">
                  <c:v>473</c:v>
                </c:pt>
                <c:pt idx="247">
                  <c:v>473.5</c:v>
                </c:pt>
                <c:pt idx="248">
                  <c:v>474</c:v>
                </c:pt>
                <c:pt idx="249">
                  <c:v>474.5</c:v>
                </c:pt>
                <c:pt idx="250">
                  <c:v>475</c:v>
                </c:pt>
                <c:pt idx="251">
                  <c:v>475.5</c:v>
                </c:pt>
                <c:pt idx="252">
                  <c:v>476</c:v>
                </c:pt>
                <c:pt idx="253">
                  <c:v>476.5</c:v>
                </c:pt>
                <c:pt idx="254">
                  <c:v>477</c:v>
                </c:pt>
                <c:pt idx="255">
                  <c:v>477.5</c:v>
                </c:pt>
                <c:pt idx="256">
                  <c:v>478</c:v>
                </c:pt>
                <c:pt idx="257">
                  <c:v>478.5</c:v>
                </c:pt>
                <c:pt idx="258">
                  <c:v>479</c:v>
                </c:pt>
                <c:pt idx="259">
                  <c:v>479.5</c:v>
                </c:pt>
                <c:pt idx="260">
                  <c:v>480</c:v>
                </c:pt>
                <c:pt idx="261">
                  <c:v>480.5</c:v>
                </c:pt>
                <c:pt idx="262">
                  <c:v>481</c:v>
                </c:pt>
                <c:pt idx="263">
                  <c:v>481.5</c:v>
                </c:pt>
                <c:pt idx="264">
                  <c:v>482</c:v>
                </c:pt>
                <c:pt idx="265">
                  <c:v>482.5</c:v>
                </c:pt>
                <c:pt idx="266">
                  <c:v>483</c:v>
                </c:pt>
                <c:pt idx="267">
                  <c:v>483.5</c:v>
                </c:pt>
                <c:pt idx="268">
                  <c:v>484</c:v>
                </c:pt>
                <c:pt idx="269">
                  <c:v>484.5</c:v>
                </c:pt>
                <c:pt idx="270">
                  <c:v>485</c:v>
                </c:pt>
                <c:pt idx="271">
                  <c:v>485.5</c:v>
                </c:pt>
                <c:pt idx="272">
                  <c:v>486</c:v>
                </c:pt>
                <c:pt idx="273">
                  <c:v>486.5</c:v>
                </c:pt>
                <c:pt idx="274">
                  <c:v>487</c:v>
                </c:pt>
                <c:pt idx="275">
                  <c:v>487.5</c:v>
                </c:pt>
                <c:pt idx="276">
                  <c:v>488</c:v>
                </c:pt>
                <c:pt idx="277">
                  <c:v>488.5</c:v>
                </c:pt>
                <c:pt idx="278">
                  <c:v>489</c:v>
                </c:pt>
                <c:pt idx="279">
                  <c:v>489.5</c:v>
                </c:pt>
                <c:pt idx="280">
                  <c:v>490</c:v>
                </c:pt>
                <c:pt idx="281">
                  <c:v>490.5</c:v>
                </c:pt>
                <c:pt idx="282">
                  <c:v>491</c:v>
                </c:pt>
                <c:pt idx="283">
                  <c:v>491.5</c:v>
                </c:pt>
                <c:pt idx="284">
                  <c:v>492</c:v>
                </c:pt>
                <c:pt idx="285">
                  <c:v>492.5</c:v>
                </c:pt>
                <c:pt idx="286">
                  <c:v>493</c:v>
                </c:pt>
                <c:pt idx="287">
                  <c:v>493.5</c:v>
                </c:pt>
                <c:pt idx="288">
                  <c:v>494</c:v>
                </c:pt>
                <c:pt idx="289">
                  <c:v>494.5</c:v>
                </c:pt>
                <c:pt idx="290">
                  <c:v>495</c:v>
                </c:pt>
                <c:pt idx="291">
                  <c:v>495.5</c:v>
                </c:pt>
                <c:pt idx="292">
                  <c:v>496</c:v>
                </c:pt>
                <c:pt idx="293">
                  <c:v>496.5</c:v>
                </c:pt>
                <c:pt idx="294">
                  <c:v>497</c:v>
                </c:pt>
                <c:pt idx="295">
                  <c:v>497.5</c:v>
                </c:pt>
                <c:pt idx="296">
                  <c:v>498</c:v>
                </c:pt>
                <c:pt idx="297">
                  <c:v>498.5</c:v>
                </c:pt>
                <c:pt idx="298">
                  <c:v>499</c:v>
                </c:pt>
                <c:pt idx="299">
                  <c:v>499.5</c:v>
                </c:pt>
                <c:pt idx="300">
                  <c:v>500</c:v>
                </c:pt>
                <c:pt idx="301">
                  <c:v>500.5</c:v>
                </c:pt>
                <c:pt idx="302">
                  <c:v>501</c:v>
                </c:pt>
                <c:pt idx="303">
                  <c:v>501.5</c:v>
                </c:pt>
                <c:pt idx="304">
                  <c:v>502</c:v>
                </c:pt>
                <c:pt idx="305">
                  <c:v>502.5</c:v>
                </c:pt>
                <c:pt idx="306">
                  <c:v>503</c:v>
                </c:pt>
                <c:pt idx="307">
                  <c:v>503.5</c:v>
                </c:pt>
                <c:pt idx="308">
                  <c:v>504</c:v>
                </c:pt>
                <c:pt idx="309">
                  <c:v>504.5</c:v>
                </c:pt>
                <c:pt idx="310">
                  <c:v>505</c:v>
                </c:pt>
                <c:pt idx="311">
                  <c:v>505.5</c:v>
                </c:pt>
                <c:pt idx="312">
                  <c:v>506</c:v>
                </c:pt>
                <c:pt idx="313">
                  <c:v>506.5</c:v>
                </c:pt>
                <c:pt idx="314">
                  <c:v>507</c:v>
                </c:pt>
                <c:pt idx="315">
                  <c:v>507.5</c:v>
                </c:pt>
                <c:pt idx="316">
                  <c:v>508</c:v>
                </c:pt>
                <c:pt idx="317">
                  <c:v>508.5</c:v>
                </c:pt>
                <c:pt idx="318">
                  <c:v>509</c:v>
                </c:pt>
                <c:pt idx="319">
                  <c:v>509.5</c:v>
                </c:pt>
                <c:pt idx="320">
                  <c:v>510</c:v>
                </c:pt>
                <c:pt idx="321">
                  <c:v>510.5</c:v>
                </c:pt>
                <c:pt idx="322">
                  <c:v>511</c:v>
                </c:pt>
                <c:pt idx="323">
                  <c:v>511.5</c:v>
                </c:pt>
                <c:pt idx="324">
                  <c:v>512</c:v>
                </c:pt>
                <c:pt idx="325">
                  <c:v>512.5</c:v>
                </c:pt>
                <c:pt idx="326">
                  <c:v>513</c:v>
                </c:pt>
                <c:pt idx="327">
                  <c:v>513.5</c:v>
                </c:pt>
                <c:pt idx="328">
                  <c:v>514</c:v>
                </c:pt>
                <c:pt idx="329">
                  <c:v>514.5</c:v>
                </c:pt>
                <c:pt idx="330">
                  <c:v>515</c:v>
                </c:pt>
                <c:pt idx="331">
                  <c:v>515.5</c:v>
                </c:pt>
                <c:pt idx="332">
                  <c:v>516</c:v>
                </c:pt>
                <c:pt idx="333">
                  <c:v>516.5</c:v>
                </c:pt>
                <c:pt idx="334">
                  <c:v>517</c:v>
                </c:pt>
                <c:pt idx="335">
                  <c:v>517.5</c:v>
                </c:pt>
                <c:pt idx="336">
                  <c:v>518</c:v>
                </c:pt>
                <c:pt idx="337">
                  <c:v>518.5</c:v>
                </c:pt>
                <c:pt idx="338">
                  <c:v>519</c:v>
                </c:pt>
                <c:pt idx="339">
                  <c:v>519.5</c:v>
                </c:pt>
                <c:pt idx="340">
                  <c:v>520</c:v>
                </c:pt>
                <c:pt idx="341">
                  <c:v>520.5</c:v>
                </c:pt>
                <c:pt idx="342">
                  <c:v>521</c:v>
                </c:pt>
                <c:pt idx="343">
                  <c:v>521.5</c:v>
                </c:pt>
                <c:pt idx="344">
                  <c:v>522</c:v>
                </c:pt>
                <c:pt idx="345">
                  <c:v>522.5</c:v>
                </c:pt>
                <c:pt idx="346">
                  <c:v>523</c:v>
                </c:pt>
                <c:pt idx="347">
                  <c:v>523.5</c:v>
                </c:pt>
                <c:pt idx="348">
                  <c:v>524</c:v>
                </c:pt>
                <c:pt idx="349">
                  <c:v>524.5</c:v>
                </c:pt>
                <c:pt idx="350">
                  <c:v>525</c:v>
                </c:pt>
                <c:pt idx="351">
                  <c:v>525.5</c:v>
                </c:pt>
                <c:pt idx="352">
                  <c:v>526</c:v>
                </c:pt>
                <c:pt idx="353">
                  <c:v>526.5</c:v>
                </c:pt>
                <c:pt idx="354">
                  <c:v>527</c:v>
                </c:pt>
                <c:pt idx="355">
                  <c:v>527.5</c:v>
                </c:pt>
                <c:pt idx="356">
                  <c:v>528</c:v>
                </c:pt>
                <c:pt idx="357">
                  <c:v>528.5</c:v>
                </c:pt>
                <c:pt idx="358">
                  <c:v>529</c:v>
                </c:pt>
                <c:pt idx="359">
                  <c:v>529.5</c:v>
                </c:pt>
                <c:pt idx="360">
                  <c:v>530</c:v>
                </c:pt>
                <c:pt idx="361">
                  <c:v>530.5</c:v>
                </c:pt>
                <c:pt idx="362">
                  <c:v>531</c:v>
                </c:pt>
                <c:pt idx="363">
                  <c:v>531.5</c:v>
                </c:pt>
                <c:pt idx="364">
                  <c:v>532</c:v>
                </c:pt>
                <c:pt idx="365">
                  <c:v>532.5</c:v>
                </c:pt>
                <c:pt idx="366">
                  <c:v>533</c:v>
                </c:pt>
                <c:pt idx="367">
                  <c:v>533.5</c:v>
                </c:pt>
                <c:pt idx="368">
                  <c:v>534</c:v>
                </c:pt>
                <c:pt idx="369">
                  <c:v>534.5</c:v>
                </c:pt>
                <c:pt idx="370">
                  <c:v>535</c:v>
                </c:pt>
                <c:pt idx="371">
                  <c:v>535.5</c:v>
                </c:pt>
                <c:pt idx="372">
                  <c:v>536</c:v>
                </c:pt>
                <c:pt idx="373">
                  <c:v>536.5</c:v>
                </c:pt>
                <c:pt idx="374">
                  <c:v>537</c:v>
                </c:pt>
                <c:pt idx="375">
                  <c:v>537.5</c:v>
                </c:pt>
                <c:pt idx="376">
                  <c:v>538</c:v>
                </c:pt>
                <c:pt idx="377">
                  <c:v>538.5</c:v>
                </c:pt>
                <c:pt idx="378">
                  <c:v>539</c:v>
                </c:pt>
                <c:pt idx="379">
                  <c:v>539.5</c:v>
                </c:pt>
                <c:pt idx="380">
                  <c:v>540</c:v>
                </c:pt>
                <c:pt idx="381">
                  <c:v>540.5</c:v>
                </c:pt>
                <c:pt idx="382">
                  <c:v>541</c:v>
                </c:pt>
                <c:pt idx="383">
                  <c:v>541.5</c:v>
                </c:pt>
                <c:pt idx="384">
                  <c:v>542</c:v>
                </c:pt>
                <c:pt idx="385">
                  <c:v>542.5</c:v>
                </c:pt>
                <c:pt idx="386">
                  <c:v>543</c:v>
                </c:pt>
                <c:pt idx="387">
                  <c:v>543.5</c:v>
                </c:pt>
                <c:pt idx="388">
                  <c:v>544</c:v>
                </c:pt>
                <c:pt idx="389">
                  <c:v>544.5</c:v>
                </c:pt>
                <c:pt idx="390">
                  <c:v>545</c:v>
                </c:pt>
                <c:pt idx="391">
                  <c:v>545.5</c:v>
                </c:pt>
                <c:pt idx="392">
                  <c:v>546</c:v>
                </c:pt>
                <c:pt idx="393">
                  <c:v>546.5</c:v>
                </c:pt>
                <c:pt idx="394">
                  <c:v>547</c:v>
                </c:pt>
                <c:pt idx="395">
                  <c:v>547.5</c:v>
                </c:pt>
                <c:pt idx="396">
                  <c:v>548</c:v>
                </c:pt>
                <c:pt idx="397">
                  <c:v>548.5</c:v>
                </c:pt>
                <c:pt idx="398">
                  <c:v>549</c:v>
                </c:pt>
                <c:pt idx="399">
                  <c:v>549.5</c:v>
                </c:pt>
                <c:pt idx="400">
                  <c:v>550</c:v>
                </c:pt>
                <c:pt idx="401">
                  <c:v>550.5</c:v>
                </c:pt>
                <c:pt idx="402">
                  <c:v>551</c:v>
                </c:pt>
                <c:pt idx="403">
                  <c:v>551.5</c:v>
                </c:pt>
                <c:pt idx="404">
                  <c:v>552</c:v>
                </c:pt>
                <c:pt idx="405">
                  <c:v>552.5</c:v>
                </c:pt>
                <c:pt idx="406">
                  <c:v>553</c:v>
                </c:pt>
                <c:pt idx="407">
                  <c:v>553.5</c:v>
                </c:pt>
                <c:pt idx="408">
                  <c:v>554</c:v>
                </c:pt>
                <c:pt idx="409">
                  <c:v>554.5</c:v>
                </c:pt>
                <c:pt idx="410">
                  <c:v>555</c:v>
                </c:pt>
                <c:pt idx="411">
                  <c:v>555.5</c:v>
                </c:pt>
                <c:pt idx="412">
                  <c:v>556</c:v>
                </c:pt>
                <c:pt idx="413">
                  <c:v>556.5</c:v>
                </c:pt>
                <c:pt idx="414">
                  <c:v>557</c:v>
                </c:pt>
                <c:pt idx="415">
                  <c:v>557.5</c:v>
                </c:pt>
                <c:pt idx="416">
                  <c:v>558</c:v>
                </c:pt>
                <c:pt idx="417">
                  <c:v>558.5</c:v>
                </c:pt>
                <c:pt idx="418">
                  <c:v>559</c:v>
                </c:pt>
                <c:pt idx="419">
                  <c:v>559.5</c:v>
                </c:pt>
                <c:pt idx="420">
                  <c:v>560</c:v>
                </c:pt>
                <c:pt idx="421">
                  <c:v>560.5</c:v>
                </c:pt>
                <c:pt idx="422">
                  <c:v>561</c:v>
                </c:pt>
                <c:pt idx="423">
                  <c:v>561.5</c:v>
                </c:pt>
                <c:pt idx="424">
                  <c:v>562</c:v>
                </c:pt>
                <c:pt idx="425">
                  <c:v>562.5</c:v>
                </c:pt>
                <c:pt idx="426">
                  <c:v>563</c:v>
                </c:pt>
                <c:pt idx="427">
                  <c:v>563.5</c:v>
                </c:pt>
                <c:pt idx="428">
                  <c:v>564</c:v>
                </c:pt>
                <c:pt idx="429">
                  <c:v>564.5</c:v>
                </c:pt>
                <c:pt idx="430">
                  <c:v>565</c:v>
                </c:pt>
                <c:pt idx="431">
                  <c:v>565.5</c:v>
                </c:pt>
                <c:pt idx="432">
                  <c:v>566</c:v>
                </c:pt>
                <c:pt idx="433">
                  <c:v>566.5</c:v>
                </c:pt>
                <c:pt idx="434">
                  <c:v>567</c:v>
                </c:pt>
                <c:pt idx="435">
                  <c:v>567.5</c:v>
                </c:pt>
                <c:pt idx="436">
                  <c:v>568</c:v>
                </c:pt>
                <c:pt idx="437">
                  <c:v>568.5</c:v>
                </c:pt>
                <c:pt idx="438">
                  <c:v>569</c:v>
                </c:pt>
                <c:pt idx="439">
                  <c:v>569.5</c:v>
                </c:pt>
                <c:pt idx="440">
                  <c:v>570</c:v>
                </c:pt>
                <c:pt idx="441">
                  <c:v>570.5</c:v>
                </c:pt>
                <c:pt idx="442">
                  <c:v>571</c:v>
                </c:pt>
                <c:pt idx="443">
                  <c:v>571.5</c:v>
                </c:pt>
                <c:pt idx="444">
                  <c:v>572</c:v>
                </c:pt>
                <c:pt idx="445">
                  <c:v>572.5</c:v>
                </c:pt>
                <c:pt idx="446">
                  <c:v>573</c:v>
                </c:pt>
                <c:pt idx="447">
                  <c:v>573.5</c:v>
                </c:pt>
                <c:pt idx="448">
                  <c:v>574</c:v>
                </c:pt>
                <c:pt idx="449">
                  <c:v>574.5</c:v>
                </c:pt>
                <c:pt idx="450">
                  <c:v>575</c:v>
                </c:pt>
                <c:pt idx="451">
                  <c:v>575.5</c:v>
                </c:pt>
                <c:pt idx="452">
                  <c:v>576</c:v>
                </c:pt>
                <c:pt idx="453">
                  <c:v>576.5</c:v>
                </c:pt>
                <c:pt idx="454">
                  <c:v>577</c:v>
                </c:pt>
                <c:pt idx="455">
                  <c:v>577.5</c:v>
                </c:pt>
                <c:pt idx="456">
                  <c:v>578</c:v>
                </c:pt>
                <c:pt idx="457">
                  <c:v>578.5</c:v>
                </c:pt>
                <c:pt idx="458">
                  <c:v>579</c:v>
                </c:pt>
                <c:pt idx="459">
                  <c:v>579.5</c:v>
                </c:pt>
                <c:pt idx="460">
                  <c:v>580</c:v>
                </c:pt>
                <c:pt idx="461">
                  <c:v>580.5</c:v>
                </c:pt>
                <c:pt idx="462">
                  <c:v>581</c:v>
                </c:pt>
                <c:pt idx="463">
                  <c:v>581.5</c:v>
                </c:pt>
                <c:pt idx="464">
                  <c:v>582</c:v>
                </c:pt>
                <c:pt idx="465">
                  <c:v>582.5</c:v>
                </c:pt>
                <c:pt idx="466">
                  <c:v>583</c:v>
                </c:pt>
                <c:pt idx="467">
                  <c:v>583.5</c:v>
                </c:pt>
                <c:pt idx="468">
                  <c:v>584</c:v>
                </c:pt>
                <c:pt idx="469">
                  <c:v>584.5</c:v>
                </c:pt>
                <c:pt idx="470">
                  <c:v>585</c:v>
                </c:pt>
                <c:pt idx="471">
                  <c:v>585.5</c:v>
                </c:pt>
                <c:pt idx="472">
                  <c:v>586</c:v>
                </c:pt>
                <c:pt idx="473">
                  <c:v>586.5</c:v>
                </c:pt>
                <c:pt idx="474">
                  <c:v>587</c:v>
                </c:pt>
                <c:pt idx="475">
                  <c:v>587.5</c:v>
                </c:pt>
                <c:pt idx="476">
                  <c:v>588</c:v>
                </c:pt>
                <c:pt idx="477">
                  <c:v>588.5</c:v>
                </c:pt>
                <c:pt idx="478">
                  <c:v>589</c:v>
                </c:pt>
                <c:pt idx="479">
                  <c:v>589.5</c:v>
                </c:pt>
                <c:pt idx="480">
                  <c:v>590</c:v>
                </c:pt>
                <c:pt idx="481">
                  <c:v>590.5</c:v>
                </c:pt>
                <c:pt idx="482">
                  <c:v>591</c:v>
                </c:pt>
                <c:pt idx="483">
                  <c:v>591.5</c:v>
                </c:pt>
                <c:pt idx="484">
                  <c:v>592</c:v>
                </c:pt>
                <c:pt idx="485">
                  <c:v>592.5</c:v>
                </c:pt>
                <c:pt idx="486">
                  <c:v>593</c:v>
                </c:pt>
                <c:pt idx="487">
                  <c:v>593.5</c:v>
                </c:pt>
                <c:pt idx="488">
                  <c:v>594</c:v>
                </c:pt>
                <c:pt idx="489">
                  <c:v>594.5</c:v>
                </c:pt>
                <c:pt idx="490">
                  <c:v>595</c:v>
                </c:pt>
                <c:pt idx="491">
                  <c:v>595.5</c:v>
                </c:pt>
                <c:pt idx="492">
                  <c:v>596</c:v>
                </c:pt>
                <c:pt idx="493">
                  <c:v>596.5</c:v>
                </c:pt>
                <c:pt idx="494">
                  <c:v>597</c:v>
                </c:pt>
                <c:pt idx="495">
                  <c:v>597.5</c:v>
                </c:pt>
                <c:pt idx="496">
                  <c:v>598</c:v>
                </c:pt>
                <c:pt idx="497">
                  <c:v>598.5</c:v>
                </c:pt>
                <c:pt idx="498">
                  <c:v>599</c:v>
                </c:pt>
                <c:pt idx="499">
                  <c:v>599.5</c:v>
                </c:pt>
                <c:pt idx="500">
                  <c:v>600</c:v>
                </c:pt>
                <c:pt idx="501">
                  <c:v>600.5</c:v>
                </c:pt>
                <c:pt idx="502">
                  <c:v>601</c:v>
                </c:pt>
                <c:pt idx="503">
                  <c:v>601.5</c:v>
                </c:pt>
                <c:pt idx="504">
                  <c:v>602</c:v>
                </c:pt>
                <c:pt idx="505">
                  <c:v>602.5</c:v>
                </c:pt>
                <c:pt idx="506">
                  <c:v>603</c:v>
                </c:pt>
                <c:pt idx="507">
                  <c:v>603.5</c:v>
                </c:pt>
                <c:pt idx="508">
                  <c:v>604</c:v>
                </c:pt>
                <c:pt idx="509">
                  <c:v>604.5</c:v>
                </c:pt>
                <c:pt idx="510">
                  <c:v>605</c:v>
                </c:pt>
                <c:pt idx="511">
                  <c:v>605.5</c:v>
                </c:pt>
                <c:pt idx="512">
                  <c:v>606</c:v>
                </c:pt>
                <c:pt idx="513">
                  <c:v>606.5</c:v>
                </c:pt>
                <c:pt idx="514">
                  <c:v>607</c:v>
                </c:pt>
                <c:pt idx="515">
                  <c:v>607.5</c:v>
                </c:pt>
                <c:pt idx="516">
                  <c:v>608</c:v>
                </c:pt>
                <c:pt idx="517">
                  <c:v>608.5</c:v>
                </c:pt>
                <c:pt idx="518">
                  <c:v>609</c:v>
                </c:pt>
                <c:pt idx="519">
                  <c:v>609.5</c:v>
                </c:pt>
                <c:pt idx="520">
                  <c:v>610</c:v>
                </c:pt>
                <c:pt idx="521">
                  <c:v>610.5</c:v>
                </c:pt>
                <c:pt idx="522">
                  <c:v>611</c:v>
                </c:pt>
                <c:pt idx="523">
                  <c:v>611.5</c:v>
                </c:pt>
                <c:pt idx="524">
                  <c:v>612</c:v>
                </c:pt>
                <c:pt idx="525">
                  <c:v>612.5</c:v>
                </c:pt>
                <c:pt idx="526">
                  <c:v>613</c:v>
                </c:pt>
                <c:pt idx="527">
                  <c:v>613.5</c:v>
                </c:pt>
                <c:pt idx="528">
                  <c:v>614</c:v>
                </c:pt>
                <c:pt idx="529">
                  <c:v>614.5</c:v>
                </c:pt>
                <c:pt idx="530">
                  <c:v>615</c:v>
                </c:pt>
                <c:pt idx="531">
                  <c:v>615.5</c:v>
                </c:pt>
                <c:pt idx="532">
                  <c:v>616</c:v>
                </c:pt>
                <c:pt idx="533">
                  <c:v>616.5</c:v>
                </c:pt>
                <c:pt idx="534">
                  <c:v>617</c:v>
                </c:pt>
                <c:pt idx="535">
                  <c:v>617.5</c:v>
                </c:pt>
                <c:pt idx="536">
                  <c:v>618</c:v>
                </c:pt>
                <c:pt idx="537">
                  <c:v>618.5</c:v>
                </c:pt>
                <c:pt idx="538">
                  <c:v>619</c:v>
                </c:pt>
                <c:pt idx="539">
                  <c:v>619.5</c:v>
                </c:pt>
                <c:pt idx="540">
                  <c:v>620</c:v>
                </c:pt>
                <c:pt idx="541">
                  <c:v>620.5</c:v>
                </c:pt>
                <c:pt idx="542">
                  <c:v>621</c:v>
                </c:pt>
                <c:pt idx="543">
                  <c:v>621.5</c:v>
                </c:pt>
                <c:pt idx="544">
                  <c:v>622</c:v>
                </c:pt>
                <c:pt idx="545">
                  <c:v>622.5</c:v>
                </c:pt>
                <c:pt idx="546">
                  <c:v>623</c:v>
                </c:pt>
                <c:pt idx="547">
                  <c:v>623.5</c:v>
                </c:pt>
                <c:pt idx="548">
                  <c:v>624</c:v>
                </c:pt>
                <c:pt idx="549">
                  <c:v>624.5</c:v>
                </c:pt>
                <c:pt idx="550">
                  <c:v>625</c:v>
                </c:pt>
                <c:pt idx="551">
                  <c:v>625.5</c:v>
                </c:pt>
                <c:pt idx="552">
                  <c:v>626</c:v>
                </c:pt>
                <c:pt idx="553">
                  <c:v>626.5</c:v>
                </c:pt>
                <c:pt idx="554">
                  <c:v>627</c:v>
                </c:pt>
                <c:pt idx="555">
                  <c:v>627.5</c:v>
                </c:pt>
                <c:pt idx="556">
                  <c:v>628</c:v>
                </c:pt>
                <c:pt idx="557">
                  <c:v>628.5</c:v>
                </c:pt>
                <c:pt idx="558">
                  <c:v>629</c:v>
                </c:pt>
                <c:pt idx="559">
                  <c:v>629.5</c:v>
                </c:pt>
                <c:pt idx="560">
                  <c:v>630</c:v>
                </c:pt>
                <c:pt idx="561">
                  <c:v>630.5</c:v>
                </c:pt>
                <c:pt idx="562">
                  <c:v>631</c:v>
                </c:pt>
                <c:pt idx="563">
                  <c:v>631.5</c:v>
                </c:pt>
                <c:pt idx="564">
                  <c:v>632</c:v>
                </c:pt>
                <c:pt idx="565">
                  <c:v>632.5</c:v>
                </c:pt>
                <c:pt idx="566">
                  <c:v>633</c:v>
                </c:pt>
                <c:pt idx="567">
                  <c:v>633.5</c:v>
                </c:pt>
                <c:pt idx="568">
                  <c:v>634</c:v>
                </c:pt>
                <c:pt idx="569">
                  <c:v>634.5</c:v>
                </c:pt>
                <c:pt idx="570">
                  <c:v>635</c:v>
                </c:pt>
                <c:pt idx="571">
                  <c:v>635.5</c:v>
                </c:pt>
                <c:pt idx="572">
                  <c:v>636</c:v>
                </c:pt>
                <c:pt idx="573">
                  <c:v>636.5</c:v>
                </c:pt>
                <c:pt idx="574">
                  <c:v>637</c:v>
                </c:pt>
                <c:pt idx="575">
                  <c:v>637.5</c:v>
                </c:pt>
                <c:pt idx="576">
                  <c:v>638</c:v>
                </c:pt>
                <c:pt idx="577">
                  <c:v>638.5</c:v>
                </c:pt>
                <c:pt idx="578">
                  <c:v>639</c:v>
                </c:pt>
                <c:pt idx="579">
                  <c:v>639.5</c:v>
                </c:pt>
                <c:pt idx="580">
                  <c:v>640</c:v>
                </c:pt>
                <c:pt idx="581">
                  <c:v>640.5</c:v>
                </c:pt>
                <c:pt idx="582">
                  <c:v>641</c:v>
                </c:pt>
                <c:pt idx="583">
                  <c:v>641.5</c:v>
                </c:pt>
                <c:pt idx="584">
                  <c:v>642</c:v>
                </c:pt>
                <c:pt idx="585">
                  <c:v>642.5</c:v>
                </c:pt>
                <c:pt idx="586">
                  <c:v>643</c:v>
                </c:pt>
                <c:pt idx="587">
                  <c:v>643.5</c:v>
                </c:pt>
                <c:pt idx="588">
                  <c:v>644</c:v>
                </c:pt>
                <c:pt idx="589">
                  <c:v>644.5</c:v>
                </c:pt>
                <c:pt idx="590">
                  <c:v>645</c:v>
                </c:pt>
                <c:pt idx="591">
                  <c:v>645.5</c:v>
                </c:pt>
                <c:pt idx="592">
                  <c:v>646</c:v>
                </c:pt>
                <c:pt idx="593">
                  <c:v>646.5</c:v>
                </c:pt>
                <c:pt idx="594">
                  <c:v>647</c:v>
                </c:pt>
                <c:pt idx="595">
                  <c:v>647.5</c:v>
                </c:pt>
                <c:pt idx="596">
                  <c:v>648</c:v>
                </c:pt>
                <c:pt idx="597">
                  <c:v>648.5</c:v>
                </c:pt>
                <c:pt idx="598">
                  <c:v>649</c:v>
                </c:pt>
                <c:pt idx="599">
                  <c:v>649.5</c:v>
                </c:pt>
                <c:pt idx="600">
                  <c:v>650</c:v>
                </c:pt>
                <c:pt idx="601">
                  <c:v>650.5</c:v>
                </c:pt>
                <c:pt idx="602">
                  <c:v>651</c:v>
                </c:pt>
                <c:pt idx="603">
                  <c:v>651.5</c:v>
                </c:pt>
                <c:pt idx="604">
                  <c:v>652</c:v>
                </c:pt>
                <c:pt idx="605">
                  <c:v>652.5</c:v>
                </c:pt>
                <c:pt idx="606">
                  <c:v>653</c:v>
                </c:pt>
                <c:pt idx="607">
                  <c:v>653.5</c:v>
                </c:pt>
                <c:pt idx="608">
                  <c:v>654</c:v>
                </c:pt>
                <c:pt idx="609">
                  <c:v>654.5</c:v>
                </c:pt>
                <c:pt idx="610">
                  <c:v>655</c:v>
                </c:pt>
                <c:pt idx="611">
                  <c:v>655.5</c:v>
                </c:pt>
                <c:pt idx="612">
                  <c:v>656</c:v>
                </c:pt>
                <c:pt idx="613">
                  <c:v>656.5</c:v>
                </c:pt>
                <c:pt idx="614">
                  <c:v>657</c:v>
                </c:pt>
                <c:pt idx="615">
                  <c:v>657.5</c:v>
                </c:pt>
                <c:pt idx="616">
                  <c:v>658</c:v>
                </c:pt>
                <c:pt idx="617">
                  <c:v>658.5</c:v>
                </c:pt>
                <c:pt idx="618">
                  <c:v>659</c:v>
                </c:pt>
                <c:pt idx="619">
                  <c:v>659.5</c:v>
                </c:pt>
                <c:pt idx="620">
                  <c:v>660</c:v>
                </c:pt>
                <c:pt idx="621">
                  <c:v>660.5</c:v>
                </c:pt>
                <c:pt idx="622">
                  <c:v>661</c:v>
                </c:pt>
                <c:pt idx="623">
                  <c:v>661.5</c:v>
                </c:pt>
                <c:pt idx="624">
                  <c:v>662</c:v>
                </c:pt>
                <c:pt idx="625">
                  <c:v>662.5</c:v>
                </c:pt>
                <c:pt idx="626">
                  <c:v>663</c:v>
                </c:pt>
                <c:pt idx="627">
                  <c:v>663.5</c:v>
                </c:pt>
                <c:pt idx="628">
                  <c:v>664</c:v>
                </c:pt>
                <c:pt idx="629">
                  <c:v>664.5</c:v>
                </c:pt>
                <c:pt idx="630">
                  <c:v>665</c:v>
                </c:pt>
                <c:pt idx="631">
                  <c:v>665.5</c:v>
                </c:pt>
                <c:pt idx="632">
                  <c:v>666</c:v>
                </c:pt>
                <c:pt idx="633">
                  <c:v>666.5</c:v>
                </c:pt>
                <c:pt idx="634">
                  <c:v>667</c:v>
                </c:pt>
                <c:pt idx="635">
                  <c:v>667.5</c:v>
                </c:pt>
                <c:pt idx="636">
                  <c:v>668</c:v>
                </c:pt>
                <c:pt idx="637">
                  <c:v>668.5</c:v>
                </c:pt>
                <c:pt idx="638">
                  <c:v>669</c:v>
                </c:pt>
                <c:pt idx="639">
                  <c:v>669.5</c:v>
                </c:pt>
                <c:pt idx="640">
                  <c:v>670</c:v>
                </c:pt>
                <c:pt idx="641">
                  <c:v>670.5</c:v>
                </c:pt>
                <c:pt idx="642">
                  <c:v>671</c:v>
                </c:pt>
                <c:pt idx="643">
                  <c:v>671.5</c:v>
                </c:pt>
                <c:pt idx="644">
                  <c:v>672</c:v>
                </c:pt>
                <c:pt idx="645">
                  <c:v>672.5</c:v>
                </c:pt>
                <c:pt idx="646">
                  <c:v>673</c:v>
                </c:pt>
                <c:pt idx="647">
                  <c:v>673.5</c:v>
                </c:pt>
                <c:pt idx="648">
                  <c:v>674</c:v>
                </c:pt>
                <c:pt idx="649">
                  <c:v>674.5</c:v>
                </c:pt>
                <c:pt idx="650">
                  <c:v>675</c:v>
                </c:pt>
                <c:pt idx="651">
                  <c:v>675.5</c:v>
                </c:pt>
                <c:pt idx="652">
                  <c:v>676</c:v>
                </c:pt>
                <c:pt idx="653">
                  <c:v>676.5</c:v>
                </c:pt>
                <c:pt idx="654">
                  <c:v>677</c:v>
                </c:pt>
                <c:pt idx="655">
                  <c:v>677.5</c:v>
                </c:pt>
                <c:pt idx="656">
                  <c:v>678</c:v>
                </c:pt>
                <c:pt idx="657">
                  <c:v>678.5</c:v>
                </c:pt>
                <c:pt idx="658">
                  <c:v>679</c:v>
                </c:pt>
                <c:pt idx="659">
                  <c:v>679.5</c:v>
                </c:pt>
                <c:pt idx="660">
                  <c:v>680</c:v>
                </c:pt>
                <c:pt idx="661">
                  <c:v>680.5</c:v>
                </c:pt>
                <c:pt idx="662">
                  <c:v>681</c:v>
                </c:pt>
                <c:pt idx="663">
                  <c:v>681.5</c:v>
                </c:pt>
                <c:pt idx="664">
                  <c:v>682</c:v>
                </c:pt>
                <c:pt idx="665">
                  <c:v>682.5</c:v>
                </c:pt>
                <c:pt idx="666">
                  <c:v>683</c:v>
                </c:pt>
                <c:pt idx="667">
                  <c:v>683.5</c:v>
                </c:pt>
                <c:pt idx="668">
                  <c:v>684</c:v>
                </c:pt>
                <c:pt idx="669">
                  <c:v>684.5</c:v>
                </c:pt>
                <c:pt idx="670">
                  <c:v>685</c:v>
                </c:pt>
                <c:pt idx="671">
                  <c:v>685.5</c:v>
                </c:pt>
                <c:pt idx="672">
                  <c:v>686</c:v>
                </c:pt>
                <c:pt idx="673">
                  <c:v>686.5</c:v>
                </c:pt>
                <c:pt idx="674">
                  <c:v>687</c:v>
                </c:pt>
                <c:pt idx="675">
                  <c:v>687.5</c:v>
                </c:pt>
                <c:pt idx="676">
                  <c:v>688</c:v>
                </c:pt>
                <c:pt idx="677">
                  <c:v>688.5</c:v>
                </c:pt>
                <c:pt idx="678">
                  <c:v>689</c:v>
                </c:pt>
                <c:pt idx="679">
                  <c:v>689.5</c:v>
                </c:pt>
                <c:pt idx="680">
                  <c:v>690</c:v>
                </c:pt>
                <c:pt idx="681">
                  <c:v>690.5</c:v>
                </c:pt>
                <c:pt idx="682">
                  <c:v>691</c:v>
                </c:pt>
                <c:pt idx="683">
                  <c:v>691.5</c:v>
                </c:pt>
                <c:pt idx="684">
                  <c:v>692</c:v>
                </c:pt>
                <c:pt idx="685">
                  <c:v>692.5</c:v>
                </c:pt>
                <c:pt idx="686">
                  <c:v>693</c:v>
                </c:pt>
                <c:pt idx="687">
                  <c:v>693.5</c:v>
                </c:pt>
                <c:pt idx="688">
                  <c:v>694</c:v>
                </c:pt>
                <c:pt idx="689">
                  <c:v>694.5</c:v>
                </c:pt>
                <c:pt idx="690">
                  <c:v>695</c:v>
                </c:pt>
                <c:pt idx="691">
                  <c:v>695.5</c:v>
                </c:pt>
                <c:pt idx="692">
                  <c:v>696</c:v>
                </c:pt>
                <c:pt idx="693">
                  <c:v>696.5</c:v>
                </c:pt>
                <c:pt idx="694">
                  <c:v>697</c:v>
                </c:pt>
                <c:pt idx="695">
                  <c:v>697.5</c:v>
                </c:pt>
                <c:pt idx="696">
                  <c:v>698</c:v>
                </c:pt>
                <c:pt idx="697">
                  <c:v>698.5</c:v>
                </c:pt>
                <c:pt idx="698">
                  <c:v>699</c:v>
                </c:pt>
                <c:pt idx="699">
                  <c:v>699.5</c:v>
                </c:pt>
                <c:pt idx="700">
                  <c:v>700</c:v>
                </c:pt>
                <c:pt idx="701">
                  <c:v>700.5</c:v>
                </c:pt>
                <c:pt idx="702">
                  <c:v>701</c:v>
                </c:pt>
                <c:pt idx="703">
                  <c:v>701.5</c:v>
                </c:pt>
                <c:pt idx="704">
                  <c:v>702</c:v>
                </c:pt>
                <c:pt idx="705">
                  <c:v>702.5</c:v>
                </c:pt>
                <c:pt idx="706">
                  <c:v>703</c:v>
                </c:pt>
                <c:pt idx="707">
                  <c:v>703.5</c:v>
                </c:pt>
                <c:pt idx="708">
                  <c:v>704</c:v>
                </c:pt>
                <c:pt idx="709">
                  <c:v>704.5</c:v>
                </c:pt>
                <c:pt idx="710">
                  <c:v>705</c:v>
                </c:pt>
                <c:pt idx="711">
                  <c:v>705.5</c:v>
                </c:pt>
                <c:pt idx="712">
                  <c:v>706</c:v>
                </c:pt>
                <c:pt idx="713">
                  <c:v>706.5</c:v>
                </c:pt>
                <c:pt idx="714">
                  <c:v>707</c:v>
                </c:pt>
                <c:pt idx="715">
                  <c:v>707.5</c:v>
                </c:pt>
                <c:pt idx="716">
                  <c:v>708</c:v>
                </c:pt>
                <c:pt idx="717">
                  <c:v>708.5</c:v>
                </c:pt>
                <c:pt idx="718">
                  <c:v>709</c:v>
                </c:pt>
                <c:pt idx="719">
                  <c:v>709.5</c:v>
                </c:pt>
                <c:pt idx="720">
                  <c:v>710</c:v>
                </c:pt>
                <c:pt idx="721">
                  <c:v>710.5</c:v>
                </c:pt>
                <c:pt idx="722">
                  <c:v>711</c:v>
                </c:pt>
                <c:pt idx="723">
                  <c:v>711.5</c:v>
                </c:pt>
                <c:pt idx="724">
                  <c:v>712</c:v>
                </c:pt>
                <c:pt idx="725">
                  <c:v>712.5</c:v>
                </c:pt>
                <c:pt idx="726">
                  <c:v>713</c:v>
                </c:pt>
                <c:pt idx="727">
                  <c:v>713.5</c:v>
                </c:pt>
                <c:pt idx="728">
                  <c:v>714</c:v>
                </c:pt>
                <c:pt idx="729">
                  <c:v>714.5</c:v>
                </c:pt>
                <c:pt idx="730">
                  <c:v>715</c:v>
                </c:pt>
                <c:pt idx="731">
                  <c:v>715.5</c:v>
                </c:pt>
                <c:pt idx="732">
                  <c:v>716</c:v>
                </c:pt>
                <c:pt idx="733">
                  <c:v>716.5</c:v>
                </c:pt>
                <c:pt idx="734">
                  <c:v>717</c:v>
                </c:pt>
                <c:pt idx="735">
                  <c:v>717.5</c:v>
                </c:pt>
                <c:pt idx="736">
                  <c:v>718</c:v>
                </c:pt>
                <c:pt idx="737">
                  <c:v>718.5</c:v>
                </c:pt>
                <c:pt idx="738">
                  <c:v>719</c:v>
                </c:pt>
                <c:pt idx="739">
                  <c:v>719.5</c:v>
                </c:pt>
                <c:pt idx="740">
                  <c:v>720</c:v>
                </c:pt>
                <c:pt idx="741">
                  <c:v>720.5</c:v>
                </c:pt>
                <c:pt idx="742">
                  <c:v>721</c:v>
                </c:pt>
                <c:pt idx="743">
                  <c:v>721.5</c:v>
                </c:pt>
                <c:pt idx="744">
                  <c:v>722</c:v>
                </c:pt>
                <c:pt idx="745">
                  <c:v>722.5</c:v>
                </c:pt>
                <c:pt idx="746">
                  <c:v>723</c:v>
                </c:pt>
                <c:pt idx="747">
                  <c:v>723.5</c:v>
                </c:pt>
                <c:pt idx="748">
                  <c:v>724</c:v>
                </c:pt>
                <c:pt idx="749">
                  <c:v>724.5</c:v>
                </c:pt>
                <c:pt idx="750">
                  <c:v>725</c:v>
                </c:pt>
                <c:pt idx="751">
                  <c:v>725.5</c:v>
                </c:pt>
                <c:pt idx="752">
                  <c:v>726</c:v>
                </c:pt>
                <c:pt idx="753">
                  <c:v>726.5</c:v>
                </c:pt>
                <c:pt idx="754">
                  <c:v>727</c:v>
                </c:pt>
                <c:pt idx="755">
                  <c:v>727.5</c:v>
                </c:pt>
                <c:pt idx="756">
                  <c:v>728</c:v>
                </c:pt>
                <c:pt idx="757">
                  <c:v>728.5</c:v>
                </c:pt>
                <c:pt idx="758">
                  <c:v>729</c:v>
                </c:pt>
                <c:pt idx="759">
                  <c:v>729.5</c:v>
                </c:pt>
                <c:pt idx="760">
                  <c:v>730</c:v>
                </c:pt>
                <c:pt idx="761">
                  <c:v>730.5</c:v>
                </c:pt>
                <c:pt idx="762">
                  <c:v>731</c:v>
                </c:pt>
                <c:pt idx="763">
                  <c:v>731.5</c:v>
                </c:pt>
                <c:pt idx="764">
                  <c:v>732</c:v>
                </c:pt>
                <c:pt idx="765">
                  <c:v>732.5</c:v>
                </c:pt>
                <c:pt idx="766">
                  <c:v>733</c:v>
                </c:pt>
                <c:pt idx="767">
                  <c:v>733.5</c:v>
                </c:pt>
                <c:pt idx="768">
                  <c:v>734</c:v>
                </c:pt>
                <c:pt idx="769">
                  <c:v>734.5</c:v>
                </c:pt>
                <c:pt idx="770">
                  <c:v>735</c:v>
                </c:pt>
                <c:pt idx="771">
                  <c:v>735.5</c:v>
                </c:pt>
                <c:pt idx="772">
                  <c:v>736</c:v>
                </c:pt>
                <c:pt idx="773">
                  <c:v>736.5</c:v>
                </c:pt>
                <c:pt idx="774">
                  <c:v>737</c:v>
                </c:pt>
                <c:pt idx="775">
                  <c:v>737.5</c:v>
                </c:pt>
                <c:pt idx="776">
                  <c:v>738</c:v>
                </c:pt>
                <c:pt idx="777">
                  <c:v>738.5</c:v>
                </c:pt>
                <c:pt idx="778">
                  <c:v>739</c:v>
                </c:pt>
                <c:pt idx="779">
                  <c:v>739.5</c:v>
                </c:pt>
                <c:pt idx="780">
                  <c:v>740</c:v>
                </c:pt>
                <c:pt idx="781">
                  <c:v>740.5</c:v>
                </c:pt>
                <c:pt idx="782">
                  <c:v>741</c:v>
                </c:pt>
                <c:pt idx="783">
                  <c:v>741.5</c:v>
                </c:pt>
                <c:pt idx="784">
                  <c:v>742</c:v>
                </c:pt>
                <c:pt idx="785">
                  <c:v>742.5</c:v>
                </c:pt>
                <c:pt idx="786">
                  <c:v>743</c:v>
                </c:pt>
                <c:pt idx="787">
                  <c:v>743.5</c:v>
                </c:pt>
                <c:pt idx="788">
                  <c:v>744</c:v>
                </c:pt>
                <c:pt idx="789">
                  <c:v>744.5</c:v>
                </c:pt>
                <c:pt idx="790">
                  <c:v>745</c:v>
                </c:pt>
                <c:pt idx="791">
                  <c:v>745.5</c:v>
                </c:pt>
                <c:pt idx="792">
                  <c:v>746</c:v>
                </c:pt>
                <c:pt idx="793">
                  <c:v>746.5</c:v>
                </c:pt>
                <c:pt idx="794">
                  <c:v>747</c:v>
                </c:pt>
                <c:pt idx="795">
                  <c:v>747.5</c:v>
                </c:pt>
                <c:pt idx="796">
                  <c:v>748</c:v>
                </c:pt>
                <c:pt idx="797">
                  <c:v>748.5</c:v>
                </c:pt>
                <c:pt idx="798">
                  <c:v>749</c:v>
                </c:pt>
                <c:pt idx="799">
                  <c:v>749.5</c:v>
                </c:pt>
                <c:pt idx="800">
                  <c:v>750</c:v>
                </c:pt>
                <c:pt idx="801">
                  <c:v>750.5</c:v>
                </c:pt>
                <c:pt idx="802">
                  <c:v>751</c:v>
                </c:pt>
                <c:pt idx="803">
                  <c:v>751.5</c:v>
                </c:pt>
                <c:pt idx="804">
                  <c:v>752</c:v>
                </c:pt>
                <c:pt idx="805">
                  <c:v>752.5</c:v>
                </c:pt>
                <c:pt idx="806">
                  <c:v>753</c:v>
                </c:pt>
                <c:pt idx="807">
                  <c:v>753.5</c:v>
                </c:pt>
                <c:pt idx="808">
                  <c:v>754</c:v>
                </c:pt>
                <c:pt idx="809">
                  <c:v>754.5</c:v>
                </c:pt>
                <c:pt idx="810">
                  <c:v>755</c:v>
                </c:pt>
                <c:pt idx="811">
                  <c:v>755.5</c:v>
                </c:pt>
                <c:pt idx="812">
                  <c:v>756</c:v>
                </c:pt>
                <c:pt idx="813">
                  <c:v>756.5</c:v>
                </c:pt>
                <c:pt idx="814">
                  <c:v>757</c:v>
                </c:pt>
                <c:pt idx="815">
                  <c:v>757.5</c:v>
                </c:pt>
                <c:pt idx="816">
                  <c:v>758</c:v>
                </c:pt>
                <c:pt idx="817">
                  <c:v>758.5</c:v>
                </c:pt>
                <c:pt idx="818">
                  <c:v>759</c:v>
                </c:pt>
                <c:pt idx="819">
                  <c:v>759.5</c:v>
                </c:pt>
                <c:pt idx="820">
                  <c:v>760</c:v>
                </c:pt>
                <c:pt idx="821">
                  <c:v>760.5</c:v>
                </c:pt>
                <c:pt idx="822">
                  <c:v>761</c:v>
                </c:pt>
                <c:pt idx="823">
                  <c:v>761.5</c:v>
                </c:pt>
                <c:pt idx="824">
                  <c:v>762</c:v>
                </c:pt>
                <c:pt idx="825">
                  <c:v>762.5</c:v>
                </c:pt>
                <c:pt idx="826">
                  <c:v>763</c:v>
                </c:pt>
                <c:pt idx="827">
                  <c:v>763.5</c:v>
                </c:pt>
                <c:pt idx="828">
                  <c:v>764</c:v>
                </c:pt>
                <c:pt idx="829">
                  <c:v>764.5</c:v>
                </c:pt>
                <c:pt idx="830">
                  <c:v>765</c:v>
                </c:pt>
                <c:pt idx="831">
                  <c:v>765.5</c:v>
                </c:pt>
                <c:pt idx="832">
                  <c:v>766</c:v>
                </c:pt>
                <c:pt idx="833">
                  <c:v>766.5</c:v>
                </c:pt>
                <c:pt idx="834">
                  <c:v>767</c:v>
                </c:pt>
                <c:pt idx="835">
                  <c:v>767.5</c:v>
                </c:pt>
                <c:pt idx="836">
                  <c:v>768</c:v>
                </c:pt>
                <c:pt idx="837">
                  <c:v>768.5</c:v>
                </c:pt>
                <c:pt idx="838">
                  <c:v>769</c:v>
                </c:pt>
                <c:pt idx="839">
                  <c:v>769.5</c:v>
                </c:pt>
                <c:pt idx="840">
                  <c:v>770</c:v>
                </c:pt>
                <c:pt idx="841">
                  <c:v>770.5</c:v>
                </c:pt>
                <c:pt idx="842">
                  <c:v>771</c:v>
                </c:pt>
                <c:pt idx="843">
                  <c:v>771.5</c:v>
                </c:pt>
                <c:pt idx="844">
                  <c:v>772</c:v>
                </c:pt>
                <c:pt idx="845">
                  <c:v>772.5</c:v>
                </c:pt>
                <c:pt idx="846">
                  <c:v>773</c:v>
                </c:pt>
                <c:pt idx="847">
                  <c:v>773.5</c:v>
                </c:pt>
                <c:pt idx="848">
                  <c:v>774</c:v>
                </c:pt>
                <c:pt idx="849">
                  <c:v>774.5</c:v>
                </c:pt>
                <c:pt idx="850">
                  <c:v>775</c:v>
                </c:pt>
                <c:pt idx="851">
                  <c:v>775.5</c:v>
                </c:pt>
                <c:pt idx="852">
                  <c:v>776</c:v>
                </c:pt>
                <c:pt idx="853">
                  <c:v>776.5</c:v>
                </c:pt>
                <c:pt idx="854">
                  <c:v>777</c:v>
                </c:pt>
                <c:pt idx="855">
                  <c:v>777.5</c:v>
                </c:pt>
                <c:pt idx="856">
                  <c:v>778</c:v>
                </c:pt>
                <c:pt idx="857">
                  <c:v>778.5</c:v>
                </c:pt>
                <c:pt idx="858">
                  <c:v>779</c:v>
                </c:pt>
                <c:pt idx="859">
                  <c:v>779.5</c:v>
                </c:pt>
                <c:pt idx="860">
                  <c:v>780</c:v>
                </c:pt>
                <c:pt idx="861">
                  <c:v>780.5</c:v>
                </c:pt>
                <c:pt idx="862">
                  <c:v>781</c:v>
                </c:pt>
                <c:pt idx="863">
                  <c:v>781.5</c:v>
                </c:pt>
                <c:pt idx="864">
                  <c:v>782</c:v>
                </c:pt>
                <c:pt idx="865">
                  <c:v>782.5</c:v>
                </c:pt>
                <c:pt idx="866">
                  <c:v>783</c:v>
                </c:pt>
                <c:pt idx="867">
                  <c:v>783.5</c:v>
                </c:pt>
                <c:pt idx="868">
                  <c:v>784</c:v>
                </c:pt>
                <c:pt idx="869">
                  <c:v>784.5</c:v>
                </c:pt>
                <c:pt idx="870">
                  <c:v>785</c:v>
                </c:pt>
                <c:pt idx="871">
                  <c:v>785.5</c:v>
                </c:pt>
                <c:pt idx="872">
                  <c:v>786</c:v>
                </c:pt>
                <c:pt idx="873">
                  <c:v>786.5</c:v>
                </c:pt>
                <c:pt idx="874">
                  <c:v>787</c:v>
                </c:pt>
                <c:pt idx="875">
                  <c:v>787.5</c:v>
                </c:pt>
                <c:pt idx="876">
                  <c:v>788</c:v>
                </c:pt>
                <c:pt idx="877">
                  <c:v>788.5</c:v>
                </c:pt>
                <c:pt idx="878">
                  <c:v>789</c:v>
                </c:pt>
                <c:pt idx="879">
                  <c:v>789.5</c:v>
                </c:pt>
                <c:pt idx="880">
                  <c:v>790</c:v>
                </c:pt>
                <c:pt idx="881">
                  <c:v>790.5</c:v>
                </c:pt>
                <c:pt idx="882">
                  <c:v>791</c:v>
                </c:pt>
                <c:pt idx="883">
                  <c:v>791.5</c:v>
                </c:pt>
                <c:pt idx="884">
                  <c:v>792</c:v>
                </c:pt>
                <c:pt idx="885">
                  <c:v>792.5</c:v>
                </c:pt>
                <c:pt idx="886">
                  <c:v>793</c:v>
                </c:pt>
                <c:pt idx="887">
                  <c:v>793.5</c:v>
                </c:pt>
                <c:pt idx="888">
                  <c:v>794</c:v>
                </c:pt>
                <c:pt idx="889">
                  <c:v>794.5</c:v>
                </c:pt>
                <c:pt idx="890">
                  <c:v>795</c:v>
                </c:pt>
                <c:pt idx="891">
                  <c:v>795.5</c:v>
                </c:pt>
                <c:pt idx="892">
                  <c:v>796</c:v>
                </c:pt>
                <c:pt idx="893">
                  <c:v>796.5</c:v>
                </c:pt>
                <c:pt idx="894">
                  <c:v>797</c:v>
                </c:pt>
                <c:pt idx="895">
                  <c:v>797.5</c:v>
                </c:pt>
                <c:pt idx="896">
                  <c:v>798</c:v>
                </c:pt>
                <c:pt idx="897">
                  <c:v>798.5</c:v>
                </c:pt>
                <c:pt idx="898">
                  <c:v>799</c:v>
                </c:pt>
                <c:pt idx="899">
                  <c:v>799.5</c:v>
                </c:pt>
                <c:pt idx="900">
                  <c:v>800</c:v>
                </c:pt>
                <c:pt idx="901">
                  <c:v>800.5</c:v>
                </c:pt>
                <c:pt idx="902">
                  <c:v>801</c:v>
                </c:pt>
                <c:pt idx="903">
                  <c:v>801.5</c:v>
                </c:pt>
                <c:pt idx="904">
                  <c:v>802</c:v>
                </c:pt>
                <c:pt idx="905">
                  <c:v>802.5</c:v>
                </c:pt>
                <c:pt idx="906">
                  <c:v>803</c:v>
                </c:pt>
                <c:pt idx="907">
                  <c:v>803.5</c:v>
                </c:pt>
                <c:pt idx="908">
                  <c:v>804</c:v>
                </c:pt>
                <c:pt idx="909">
                  <c:v>804.5</c:v>
                </c:pt>
                <c:pt idx="910">
                  <c:v>805</c:v>
                </c:pt>
                <c:pt idx="911">
                  <c:v>805.5</c:v>
                </c:pt>
                <c:pt idx="912">
                  <c:v>806</c:v>
                </c:pt>
                <c:pt idx="913">
                  <c:v>806.5</c:v>
                </c:pt>
                <c:pt idx="914">
                  <c:v>807</c:v>
                </c:pt>
                <c:pt idx="915">
                  <c:v>807.5</c:v>
                </c:pt>
                <c:pt idx="916">
                  <c:v>808</c:v>
                </c:pt>
                <c:pt idx="917">
                  <c:v>808.5</c:v>
                </c:pt>
                <c:pt idx="918">
                  <c:v>809</c:v>
                </c:pt>
                <c:pt idx="919">
                  <c:v>809.5</c:v>
                </c:pt>
                <c:pt idx="920">
                  <c:v>810</c:v>
                </c:pt>
                <c:pt idx="921">
                  <c:v>810.5</c:v>
                </c:pt>
                <c:pt idx="922">
                  <c:v>811</c:v>
                </c:pt>
                <c:pt idx="923">
                  <c:v>811.5</c:v>
                </c:pt>
                <c:pt idx="924">
                  <c:v>812</c:v>
                </c:pt>
                <c:pt idx="925">
                  <c:v>812.5</c:v>
                </c:pt>
                <c:pt idx="926">
                  <c:v>813</c:v>
                </c:pt>
                <c:pt idx="927">
                  <c:v>813.5</c:v>
                </c:pt>
                <c:pt idx="928">
                  <c:v>814</c:v>
                </c:pt>
                <c:pt idx="929">
                  <c:v>814.5</c:v>
                </c:pt>
                <c:pt idx="930">
                  <c:v>815</c:v>
                </c:pt>
                <c:pt idx="931">
                  <c:v>815.5</c:v>
                </c:pt>
                <c:pt idx="932">
                  <c:v>816</c:v>
                </c:pt>
                <c:pt idx="933">
                  <c:v>816.5</c:v>
                </c:pt>
                <c:pt idx="934">
                  <c:v>817</c:v>
                </c:pt>
                <c:pt idx="935">
                  <c:v>817.5</c:v>
                </c:pt>
                <c:pt idx="936">
                  <c:v>818</c:v>
                </c:pt>
                <c:pt idx="937">
                  <c:v>818.5</c:v>
                </c:pt>
                <c:pt idx="938">
                  <c:v>819</c:v>
                </c:pt>
                <c:pt idx="939">
                  <c:v>819.5</c:v>
                </c:pt>
                <c:pt idx="940">
                  <c:v>820</c:v>
                </c:pt>
                <c:pt idx="941">
                  <c:v>820.5</c:v>
                </c:pt>
                <c:pt idx="942">
                  <c:v>821</c:v>
                </c:pt>
                <c:pt idx="943">
                  <c:v>821.5</c:v>
                </c:pt>
                <c:pt idx="944">
                  <c:v>822</c:v>
                </c:pt>
                <c:pt idx="945">
                  <c:v>822.5</c:v>
                </c:pt>
                <c:pt idx="946">
                  <c:v>823</c:v>
                </c:pt>
                <c:pt idx="947">
                  <c:v>823.5</c:v>
                </c:pt>
                <c:pt idx="948">
                  <c:v>824</c:v>
                </c:pt>
                <c:pt idx="949">
                  <c:v>824.5</c:v>
                </c:pt>
                <c:pt idx="950">
                  <c:v>825</c:v>
                </c:pt>
                <c:pt idx="951">
                  <c:v>825.5</c:v>
                </c:pt>
                <c:pt idx="952">
                  <c:v>826</c:v>
                </c:pt>
                <c:pt idx="953">
                  <c:v>826.5</c:v>
                </c:pt>
                <c:pt idx="954">
                  <c:v>827</c:v>
                </c:pt>
                <c:pt idx="955">
                  <c:v>827.5</c:v>
                </c:pt>
                <c:pt idx="956">
                  <c:v>828</c:v>
                </c:pt>
                <c:pt idx="957">
                  <c:v>828.5</c:v>
                </c:pt>
                <c:pt idx="958">
                  <c:v>829</c:v>
                </c:pt>
                <c:pt idx="959">
                  <c:v>829.5</c:v>
                </c:pt>
                <c:pt idx="960">
                  <c:v>830</c:v>
                </c:pt>
                <c:pt idx="961">
                  <c:v>830.5</c:v>
                </c:pt>
                <c:pt idx="962">
                  <c:v>831</c:v>
                </c:pt>
                <c:pt idx="963">
                  <c:v>831.5</c:v>
                </c:pt>
                <c:pt idx="964">
                  <c:v>832</c:v>
                </c:pt>
                <c:pt idx="965">
                  <c:v>832.5</c:v>
                </c:pt>
                <c:pt idx="966">
                  <c:v>833</c:v>
                </c:pt>
                <c:pt idx="967">
                  <c:v>833.5</c:v>
                </c:pt>
                <c:pt idx="968">
                  <c:v>834</c:v>
                </c:pt>
                <c:pt idx="969">
                  <c:v>834.5</c:v>
                </c:pt>
                <c:pt idx="970">
                  <c:v>835</c:v>
                </c:pt>
                <c:pt idx="971">
                  <c:v>835.5</c:v>
                </c:pt>
                <c:pt idx="972">
                  <c:v>836</c:v>
                </c:pt>
                <c:pt idx="973">
                  <c:v>836.5</c:v>
                </c:pt>
                <c:pt idx="974">
                  <c:v>837</c:v>
                </c:pt>
                <c:pt idx="975">
                  <c:v>837.5</c:v>
                </c:pt>
                <c:pt idx="976">
                  <c:v>838</c:v>
                </c:pt>
                <c:pt idx="977">
                  <c:v>838.5</c:v>
                </c:pt>
                <c:pt idx="978">
                  <c:v>839</c:v>
                </c:pt>
                <c:pt idx="979">
                  <c:v>839.5</c:v>
                </c:pt>
                <c:pt idx="980">
                  <c:v>840</c:v>
                </c:pt>
                <c:pt idx="981">
                  <c:v>840.5</c:v>
                </c:pt>
                <c:pt idx="982">
                  <c:v>841</c:v>
                </c:pt>
                <c:pt idx="983">
                  <c:v>841.5</c:v>
                </c:pt>
                <c:pt idx="984">
                  <c:v>842</c:v>
                </c:pt>
                <c:pt idx="985">
                  <c:v>842.5</c:v>
                </c:pt>
                <c:pt idx="986">
                  <c:v>843</c:v>
                </c:pt>
                <c:pt idx="987">
                  <c:v>843.5</c:v>
                </c:pt>
                <c:pt idx="988">
                  <c:v>844</c:v>
                </c:pt>
                <c:pt idx="989">
                  <c:v>844.5</c:v>
                </c:pt>
                <c:pt idx="990">
                  <c:v>845</c:v>
                </c:pt>
                <c:pt idx="991">
                  <c:v>845.5</c:v>
                </c:pt>
                <c:pt idx="992">
                  <c:v>846</c:v>
                </c:pt>
                <c:pt idx="993">
                  <c:v>846.5</c:v>
                </c:pt>
                <c:pt idx="994">
                  <c:v>847</c:v>
                </c:pt>
                <c:pt idx="995">
                  <c:v>847.5</c:v>
                </c:pt>
                <c:pt idx="996">
                  <c:v>848</c:v>
                </c:pt>
                <c:pt idx="997">
                  <c:v>848.5</c:v>
                </c:pt>
                <c:pt idx="998">
                  <c:v>849</c:v>
                </c:pt>
                <c:pt idx="999">
                  <c:v>849.5</c:v>
                </c:pt>
                <c:pt idx="1000">
                  <c:v>850</c:v>
                </c:pt>
              </c:numCache>
            </c:numRef>
          </c:cat>
          <c:val>
            <c:numRef>
              <c:f>Sheet1!$F$212:$F$1212</c:f>
              <c:numCache>
                <c:formatCode>0.00E+00</c:formatCode>
                <c:ptCount val="1001"/>
                <c:pt idx="0">
                  <c:v>1.7200000000000001E-4</c:v>
                </c:pt>
                <c:pt idx="1">
                  <c:v>2.8000000000000003E-4</c:v>
                </c:pt>
                <c:pt idx="2">
                  <c:v>3.2000000000000003E-4</c:v>
                </c:pt>
                <c:pt idx="3">
                  <c:v>4.0480000000000008E-4</c:v>
                </c:pt>
                <c:pt idx="4">
                  <c:v>4.4320000000000004E-4</c:v>
                </c:pt>
                <c:pt idx="5">
                  <c:v>4.9200000000000003E-4</c:v>
                </c:pt>
                <c:pt idx="6">
                  <c:v>4.7120000000000002E-4</c:v>
                </c:pt>
                <c:pt idx="7">
                  <c:v>4.7840000000000003E-4</c:v>
                </c:pt>
                <c:pt idx="8">
                  <c:v>4.8719999999999997E-4</c:v>
                </c:pt>
                <c:pt idx="9">
                  <c:v>4.7280000000000005E-4</c:v>
                </c:pt>
                <c:pt idx="10">
                  <c:v>4.4400000000000006E-4</c:v>
                </c:pt>
                <c:pt idx="11">
                  <c:v>4.1440000000000004E-4</c:v>
                </c:pt>
                <c:pt idx="12">
                  <c:v>4.0800000000000005E-4</c:v>
                </c:pt>
                <c:pt idx="13">
                  <c:v>4.104E-4</c:v>
                </c:pt>
                <c:pt idx="14">
                  <c:v>3.7120000000000002E-4</c:v>
                </c:pt>
                <c:pt idx="15">
                  <c:v>3.3600000000000004E-4</c:v>
                </c:pt>
                <c:pt idx="16">
                  <c:v>4.0080000000000004E-4</c:v>
                </c:pt>
                <c:pt idx="17">
                  <c:v>5.2079999999999997E-4</c:v>
                </c:pt>
                <c:pt idx="18">
                  <c:v>5.7200000000000003E-4</c:v>
                </c:pt>
                <c:pt idx="19">
                  <c:v>5.8480000000000001E-4</c:v>
                </c:pt>
                <c:pt idx="20">
                  <c:v>5.0480000000000002E-4</c:v>
                </c:pt>
                <c:pt idx="21">
                  <c:v>4.5680000000000004E-4</c:v>
                </c:pt>
                <c:pt idx="22">
                  <c:v>4.8560000000000004E-4</c:v>
                </c:pt>
                <c:pt idx="23">
                  <c:v>5.0560000000000004E-4</c:v>
                </c:pt>
                <c:pt idx="24">
                  <c:v>5.6720000000000002E-4</c:v>
                </c:pt>
                <c:pt idx="25">
                  <c:v>6.6720000000000006E-4</c:v>
                </c:pt>
                <c:pt idx="26">
                  <c:v>7.7040000000000008E-4</c:v>
                </c:pt>
                <c:pt idx="27">
                  <c:v>8.9599999999999999E-4</c:v>
                </c:pt>
                <c:pt idx="28">
                  <c:v>1E-3</c:v>
                </c:pt>
                <c:pt idx="29">
                  <c:v>1.08E-3</c:v>
                </c:pt>
                <c:pt idx="30">
                  <c:v>1.0480000000000001E-3</c:v>
                </c:pt>
                <c:pt idx="31">
                  <c:v>1.0160000000000002E-3</c:v>
                </c:pt>
                <c:pt idx="32">
                  <c:v>9.4400000000000007E-4</c:v>
                </c:pt>
                <c:pt idx="33">
                  <c:v>8.9599999999999999E-4</c:v>
                </c:pt>
                <c:pt idx="34">
                  <c:v>9.4400000000000007E-4</c:v>
                </c:pt>
                <c:pt idx="35">
                  <c:v>1.0240000000000002E-3</c:v>
                </c:pt>
                <c:pt idx="36">
                  <c:v>1.08E-3</c:v>
                </c:pt>
                <c:pt idx="37">
                  <c:v>1.168E-3</c:v>
                </c:pt>
                <c:pt idx="38">
                  <c:v>1.24E-3</c:v>
                </c:pt>
                <c:pt idx="39">
                  <c:v>1.304E-3</c:v>
                </c:pt>
                <c:pt idx="40">
                  <c:v>1.2800000000000001E-3</c:v>
                </c:pt>
                <c:pt idx="41">
                  <c:v>1.2080000000000001E-3</c:v>
                </c:pt>
                <c:pt idx="42">
                  <c:v>1.16E-3</c:v>
                </c:pt>
                <c:pt idx="43">
                  <c:v>1.176E-3</c:v>
                </c:pt>
                <c:pt idx="44">
                  <c:v>1.24E-3</c:v>
                </c:pt>
                <c:pt idx="45">
                  <c:v>1.24E-3</c:v>
                </c:pt>
                <c:pt idx="46">
                  <c:v>1.2080000000000001E-3</c:v>
                </c:pt>
                <c:pt idx="47">
                  <c:v>1.2720000000000001E-3</c:v>
                </c:pt>
                <c:pt idx="48">
                  <c:v>1.4480000000000001E-3</c:v>
                </c:pt>
                <c:pt idx="49">
                  <c:v>1.5440000000000002E-3</c:v>
                </c:pt>
                <c:pt idx="50">
                  <c:v>1.6160000000000002E-3</c:v>
                </c:pt>
                <c:pt idx="51">
                  <c:v>1.6000000000000001E-3</c:v>
                </c:pt>
                <c:pt idx="52">
                  <c:v>1.5440000000000002E-3</c:v>
                </c:pt>
                <c:pt idx="53">
                  <c:v>1.56E-3</c:v>
                </c:pt>
                <c:pt idx="54">
                  <c:v>1.5840000000000001E-3</c:v>
                </c:pt>
                <c:pt idx="55">
                  <c:v>1.6639999999999999E-3</c:v>
                </c:pt>
                <c:pt idx="56">
                  <c:v>1.8079999999999999E-3</c:v>
                </c:pt>
                <c:pt idx="57">
                  <c:v>1.9040000000000003E-3</c:v>
                </c:pt>
                <c:pt idx="58">
                  <c:v>1.928E-3</c:v>
                </c:pt>
                <c:pt idx="59">
                  <c:v>1.936E-3</c:v>
                </c:pt>
                <c:pt idx="60">
                  <c:v>1.9840000000000001E-3</c:v>
                </c:pt>
                <c:pt idx="61">
                  <c:v>2.0560000000000001E-3</c:v>
                </c:pt>
                <c:pt idx="62">
                  <c:v>2.1120000000000002E-3</c:v>
                </c:pt>
                <c:pt idx="63">
                  <c:v>2.16E-3</c:v>
                </c:pt>
                <c:pt idx="64">
                  <c:v>2.1360000000000003E-3</c:v>
                </c:pt>
                <c:pt idx="65">
                  <c:v>2.1919999999999999E-3</c:v>
                </c:pt>
                <c:pt idx="66">
                  <c:v>2.248E-3</c:v>
                </c:pt>
                <c:pt idx="67">
                  <c:v>2.3440000000000002E-3</c:v>
                </c:pt>
                <c:pt idx="68">
                  <c:v>2.4559999999999998E-3</c:v>
                </c:pt>
                <c:pt idx="69">
                  <c:v>2.5360000000000001E-3</c:v>
                </c:pt>
                <c:pt idx="70">
                  <c:v>2.5440000000000003E-3</c:v>
                </c:pt>
                <c:pt idx="71">
                  <c:v>2.5280000000000003E-3</c:v>
                </c:pt>
                <c:pt idx="72">
                  <c:v>2.48E-3</c:v>
                </c:pt>
                <c:pt idx="73">
                  <c:v>4.64E-3</c:v>
                </c:pt>
                <c:pt idx="74">
                  <c:v>4.9040000000000004E-3</c:v>
                </c:pt>
                <c:pt idx="75">
                  <c:v>5.1280000000000006E-3</c:v>
                </c:pt>
                <c:pt idx="76">
                  <c:v>5.352E-3</c:v>
                </c:pt>
                <c:pt idx="77">
                  <c:v>5.6080000000000001E-3</c:v>
                </c:pt>
                <c:pt idx="78">
                  <c:v>5.9120000000000006E-3</c:v>
                </c:pt>
                <c:pt idx="79">
                  <c:v>6.2240000000000004E-3</c:v>
                </c:pt>
                <c:pt idx="80">
                  <c:v>6.6080000000000002E-3</c:v>
                </c:pt>
                <c:pt idx="81">
                  <c:v>6.9680000000000011E-3</c:v>
                </c:pt>
                <c:pt idx="82">
                  <c:v>7.4000000000000003E-3</c:v>
                </c:pt>
                <c:pt idx="83">
                  <c:v>7.8880000000000009E-3</c:v>
                </c:pt>
                <c:pt idx="84">
                  <c:v>8.4000000000000012E-3</c:v>
                </c:pt>
                <c:pt idx="85">
                  <c:v>8.8000000000000005E-3</c:v>
                </c:pt>
                <c:pt idx="86">
                  <c:v>9.1200000000000014E-3</c:v>
                </c:pt>
                <c:pt idx="87">
                  <c:v>9.3600000000000003E-3</c:v>
                </c:pt>
                <c:pt idx="88">
                  <c:v>9.6800000000000011E-3</c:v>
                </c:pt>
                <c:pt idx="89">
                  <c:v>1.0240000000000001E-2</c:v>
                </c:pt>
                <c:pt idx="90">
                  <c:v>1.0960000000000001E-2</c:v>
                </c:pt>
                <c:pt idx="91">
                  <c:v>1.1520000000000001E-2</c:v>
                </c:pt>
                <c:pt idx="92">
                  <c:v>1.2E-2</c:v>
                </c:pt>
                <c:pt idx="93">
                  <c:v>1.256E-2</c:v>
                </c:pt>
                <c:pt idx="94">
                  <c:v>1.3440000000000001E-2</c:v>
                </c:pt>
                <c:pt idx="95">
                  <c:v>1.4240000000000001E-2</c:v>
                </c:pt>
                <c:pt idx="96">
                  <c:v>1.5040000000000001E-2</c:v>
                </c:pt>
                <c:pt idx="97">
                  <c:v>1.5840000000000003E-2</c:v>
                </c:pt>
                <c:pt idx="98">
                  <c:v>1.6719999999999999E-2</c:v>
                </c:pt>
                <c:pt idx="99">
                  <c:v>1.7520000000000001E-2</c:v>
                </c:pt>
                <c:pt idx="100">
                  <c:v>1.84E-2</c:v>
                </c:pt>
                <c:pt idx="101">
                  <c:v>1.9360000000000002E-2</c:v>
                </c:pt>
                <c:pt idx="102">
                  <c:v>2.0480000000000002E-2</c:v>
                </c:pt>
                <c:pt idx="103">
                  <c:v>2.1600000000000001E-2</c:v>
                </c:pt>
                <c:pt idx="104">
                  <c:v>2.2720000000000004E-2</c:v>
                </c:pt>
                <c:pt idx="105">
                  <c:v>2.4E-2</c:v>
                </c:pt>
                <c:pt idx="106">
                  <c:v>2.5280000000000004E-2</c:v>
                </c:pt>
                <c:pt idx="107">
                  <c:v>2.6640000000000004E-2</c:v>
                </c:pt>
                <c:pt idx="108">
                  <c:v>2.8000000000000004E-2</c:v>
                </c:pt>
                <c:pt idx="109">
                  <c:v>2.9360000000000004E-2</c:v>
                </c:pt>
                <c:pt idx="110">
                  <c:v>3.0960000000000001E-2</c:v>
                </c:pt>
                <c:pt idx="111">
                  <c:v>3.2719999999999999E-2</c:v>
                </c:pt>
                <c:pt idx="112">
                  <c:v>3.456E-2</c:v>
                </c:pt>
                <c:pt idx="113">
                  <c:v>3.6400000000000002E-2</c:v>
                </c:pt>
                <c:pt idx="114">
                  <c:v>3.8159999999999999E-2</c:v>
                </c:pt>
                <c:pt idx="115">
                  <c:v>4.0080000000000005E-2</c:v>
                </c:pt>
                <c:pt idx="116">
                  <c:v>4.2080000000000006E-2</c:v>
                </c:pt>
                <c:pt idx="117">
                  <c:v>4.4400000000000002E-2</c:v>
                </c:pt>
                <c:pt idx="118">
                  <c:v>4.6800000000000008E-2</c:v>
                </c:pt>
                <c:pt idx="119">
                  <c:v>4.9360000000000001E-2</c:v>
                </c:pt>
                <c:pt idx="120">
                  <c:v>5.1920000000000001E-2</c:v>
                </c:pt>
                <c:pt idx="121">
                  <c:v>5.4559999999999997E-2</c:v>
                </c:pt>
                <c:pt idx="122">
                  <c:v>5.7360000000000001E-2</c:v>
                </c:pt>
                <c:pt idx="123">
                  <c:v>6.0480000000000006E-2</c:v>
                </c:pt>
                <c:pt idx="124">
                  <c:v>6.3759999999999997E-2</c:v>
                </c:pt>
                <c:pt idx="125">
                  <c:v>6.720000000000001E-2</c:v>
                </c:pt>
                <c:pt idx="126">
                  <c:v>7.0879999999999999E-2</c:v>
                </c:pt>
                <c:pt idx="127">
                  <c:v>7.4639999999999998E-2</c:v>
                </c:pt>
                <c:pt idx="128">
                  <c:v>7.8640000000000002E-2</c:v>
                </c:pt>
                <c:pt idx="129">
                  <c:v>8.3199999999999996E-2</c:v>
                </c:pt>
                <c:pt idx="130">
                  <c:v>8.72E-2</c:v>
                </c:pt>
                <c:pt idx="131">
                  <c:v>9.2000000000000012E-2</c:v>
                </c:pt>
                <c:pt idx="132">
                  <c:v>9.6799999999999997E-2</c:v>
                </c:pt>
                <c:pt idx="133">
                  <c:v>0.1024</c:v>
                </c:pt>
                <c:pt idx="134">
                  <c:v>0.10720000000000002</c:v>
                </c:pt>
                <c:pt idx="135">
                  <c:v>0.11359999999999999</c:v>
                </c:pt>
                <c:pt idx="136">
                  <c:v>0.1192</c:v>
                </c:pt>
                <c:pt idx="137">
                  <c:v>0.12640000000000001</c:v>
                </c:pt>
                <c:pt idx="138">
                  <c:v>0.13360000000000002</c:v>
                </c:pt>
                <c:pt idx="139">
                  <c:v>0.13999999999999999</c:v>
                </c:pt>
                <c:pt idx="140">
                  <c:v>0.14799999999999999</c:v>
                </c:pt>
                <c:pt idx="141">
                  <c:v>0.1552</c:v>
                </c:pt>
                <c:pt idx="142">
                  <c:v>0.16320000000000001</c:v>
                </c:pt>
                <c:pt idx="143">
                  <c:v>0.17280000000000001</c:v>
                </c:pt>
                <c:pt idx="144">
                  <c:v>0.18160000000000001</c:v>
                </c:pt>
                <c:pt idx="145">
                  <c:v>0.192</c:v>
                </c:pt>
                <c:pt idx="146">
                  <c:v>0.20240000000000002</c:v>
                </c:pt>
                <c:pt idx="147">
                  <c:v>0.21280000000000002</c:v>
                </c:pt>
                <c:pt idx="148">
                  <c:v>0.22400000000000003</c:v>
                </c:pt>
                <c:pt idx="149">
                  <c:v>0.23680000000000001</c:v>
                </c:pt>
                <c:pt idx="150">
                  <c:v>0.24880000000000002</c:v>
                </c:pt>
                <c:pt idx="151">
                  <c:v>0.26240000000000002</c:v>
                </c:pt>
                <c:pt idx="152">
                  <c:v>0.27679999999999999</c:v>
                </c:pt>
                <c:pt idx="153">
                  <c:v>0.29199999999999998</c:v>
                </c:pt>
                <c:pt idx="154">
                  <c:v>0.30800000000000005</c:v>
                </c:pt>
                <c:pt idx="155">
                  <c:v>0.32400000000000007</c:v>
                </c:pt>
                <c:pt idx="156">
                  <c:v>0.34079999999999999</c:v>
                </c:pt>
                <c:pt idx="157">
                  <c:v>0.35760000000000003</c:v>
                </c:pt>
                <c:pt idx="158">
                  <c:v>0.376</c:v>
                </c:pt>
                <c:pt idx="159">
                  <c:v>0.3952</c:v>
                </c:pt>
                <c:pt idx="160">
                  <c:v>0.41440000000000005</c:v>
                </c:pt>
                <c:pt idx="161">
                  <c:v>0.43440000000000006</c:v>
                </c:pt>
                <c:pt idx="162">
                  <c:v>0.45599999999999996</c:v>
                </c:pt>
                <c:pt idx="163">
                  <c:v>0.47839999999999999</c:v>
                </c:pt>
                <c:pt idx="164">
                  <c:v>0.50160000000000005</c:v>
                </c:pt>
                <c:pt idx="165">
                  <c:v>0.52480000000000004</c:v>
                </c:pt>
                <c:pt idx="166">
                  <c:v>0.54800000000000004</c:v>
                </c:pt>
                <c:pt idx="167">
                  <c:v>0.57199999999999995</c:v>
                </c:pt>
                <c:pt idx="168">
                  <c:v>0.59599999999999997</c:v>
                </c:pt>
                <c:pt idx="169">
                  <c:v>0.61920000000000008</c:v>
                </c:pt>
                <c:pt idx="170">
                  <c:v>0.6432000000000001</c:v>
                </c:pt>
                <c:pt idx="171">
                  <c:v>0.66800000000000004</c:v>
                </c:pt>
                <c:pt idx="172">
                  <c:v>0.69440000000000002</c:v>
                </c:pt>
                <c:pt idx="173">
                  <c:v>0.72000000000000008</c:v>
                </c:pt>
                <c:pt idx="174">
                  <c:v>0.74560000000000004</c:v>
                </c:pt>
                <c:pt idx="175">
                  <c:v>0.7712</c:v>
                </c:pt>
                <c:pt idx="176">
                  <c:v>0.7984</c:v>
                </c:pt>
                <c:pt idx="177">
                  <c:v>0.82400000000000007</c:v>
                </c:pt>
                <c:pt idx="178">
                  <c:v>0.84000000000000008</c:v>
                </c:pt>
                <c:pt idx="179">
                  <c:v>0.84800000000000009</c:v>
                </c:pt>
                <c:pt idx="180">
                  <c:v>0.87200000000000011</c:v>
                </c:pt>
                <c:pt idx="181">
                  <c:v>0.88000000000000012</c:v>
                </c:pt>
                <c:pt idx="182">
                  <c:v>0.89600000000000013</c:v>
                </c:pt>
                <c:pt idx="183">
                  <c:v>0.90399999999999991</c:v>
                </c:pt>
                <c:pt idx="184">
                  <c:v>0.91199999999999992</c:v>
                </c:pt>
                <c:pt idx="185">
                  <c:v>0.91999999999999993</c:v>
                </c:pt>
                <c:pt idx="186">
                  <c:v>0.92799999999999994</c:v>
                </c:pt>
                <c:pt idx="187">
                  <c:v>0.93599999999999994</c:v>
                </c:pt>
                <c:pt idx="188">
                  <c:v>0.93599999999999994</c:v>
                </c:pt>
                <c:pt idx="189">
                  <c:v>0.94399999999999995</c:v>
                </c:pt>
                <c:pt idx="190">
                  <c:v>0.94399999999999995</c:v>
                </c:pt>
                <c:pt idx="191">
                  <c:v>0.95199999999999996</c:v>
                </c:pt>
                <c:pt idx="192">
                  <c:v>0.95199999999999996</c:v>
                </c:pt>
                <c:pt idx="193">
                  <c:v>0.95199999999999996</c:v>
                </c:pt>
                <c:pt idx="194">
                  <c:v>0.95199999999999996</c:v>
                </c:pt>
                <c:pt idx="195">
                  <c:v>0.94399999999999995</c:v>
                </c:pt>
                <c:pt idx="196">
                  <c:v>0.94399999999999995</c:v>
                </c:pt>
                <c:pt idx="197">
                  <c:v>0.93599999999999994</c:v>
                </c:pt>
                <c:pt idx="198">
                  <c:v>0.93599999999999994</c:v>
                </c:pt>
                <c:pt idx="199">
                  <c:v>0.92799999999999994</c:v>
                </c:pt>
                <c:pt idx="200">
                  <c:v>0.91999999999999993</c:v>
                </c:pt>
                <c:pt idx="201">
                  <c:v>0.91199999999999992</c:v>
                </c:pt>
                <c:pt idx="202">
                  <c:v>0.90399999999999991</c:v>
                </c:pt>
                <c:pt idx="203">
                  <c:v>0.89600000000000013</c:v>
                </c:pt>
                <c:pt idx="204">
                  <c:v>0.88000000000000012</c:v>
                </c:pt>
                <c:pt idx="205">
                  <c:v>0.87200000000000011</c:v>
                </c:pt>
                <c:pt idx="206">
                  <c:v>0.84800000000000009</c:v>
                </c:pt>
                <c:pt idx="207">
                  <c:v>0.84000000000000008</c:v>
                </c:pt>
                <c:pt idx="208">
                  <c:v>0.82400000000000007</c:v>
                </c:pt>
                <c:pt idx="209">
                  <c:v>0.8</c:v>
                </c:pt>
                <c:pt idx="210">
                  <c:v>0.76160000000000005</c:v>
                </c:pt>
                <c:pt idx="211">
                  <c:v>0.72160000000000002</c:v>
                </c:pt>
                <c:pt idx="212">
                  <c:v>0.68159999999999998</c:v>
                </c:pt>
                <c:pt idx="213">
                  <c:v>0.63840000000000008</c:v>
                </c:pt>
                <c:pt idx="261">
                  <c:v>0.2</c:v>
                </c:pt>
                <c:pt idx="282">
                  <c:v>0.25</c:v>
                </c:pt>
                <c:pt idx="300">
                  <c:v>0.4</c:v>
                </c:pt>
                <c:pt idx="321">
                  <c:v>0.45</c:v>
                </c:pt>
                <c:pt idx="340">
                  <c:v>0.55000000000000004</c:v>
                </c:pt>
                <c:pt idx="458">
                  <c:v>0.72</c:v>
                </c:pt>
                <c:pt idx="496">
                  <c:v>0.75</c:v>
                </c:pt>
                <c:pt idx="562">
                  <c:v>0.7</c:v>
                </c:pt>
                <c:pt idx="599">
                  <c:v>0.6</c:v>
                </c:pt>
                <c:pt idx="638">
                  <c:v>0.82</c:v>
                </c:pt>
                <c:pt idx="659">
                  <c:v>0.4</c:v>
                </c:pt>
                <c:pt idx="681">
                  <c:v>0.2</c:v>
                </c:pt>
                <c:pt idx="701">
                  <c:v>0.17</c:v>
                </c:pt>
                <c:pt idx="759">
                  <c:v>0.1</c:v>
                </c:pt>
                <c:pt idx="840">
                  <c:v>0.05</c:v>
                </c:pt>
                <c:pt idx="856">
                  <c:v>2.5000000000000001E-2</c:v>
                </c:pt>
                <c:pt idx="882">
                  <c:v>5.0000000000000001E-3</c:v>
                </c:pt>
                <c:pt idx="922">
                  <c:v>2.5000000000000001E-3</c:v>
                </c:pt>
              </c:numCache>
            </c:numRef>
          </c:val>
          <c:smooth val="1"/>
          <c:extLst>
            <c:ext xmlns:c16="http://schemas.microsoft.com/office/drawing/2014/chart" uri="{C3380CC4-5D6E-409C-BE32-E72D297353CC}">
              <c16:uniqueId val="{00000002-6D05-0E48-9D51-931E127B31BC}"/>
            </c:ext>
          </c:extLst>
        </c:ser>
        <c:dLbls>
          <c:showLegendKey val="0"/>
          <c:showVal val="0"/>
          <c:showCatName val="0"/>
          <c:showSerName val="0"/>
          <c:showPercent val="0"/>
          <c:showBubbleSize val="0"/>
        </c:dLbls>
        <c:smooth val="0"/>
        <c:axId val="645895503"/>
        <c:axId val="645722223"/>
      </c:lineChart>
      <c:catAx>
        <c:axId val="645895503"/>
        <c:scaling>
          <c:orientation val="minMax"/>
        </c:scaling>
        <c:delete val="0"/>
        <c:axPos val="b"/>
        <c:numFmt formatCode="General" sourceLinked="1"/>
        <c:majorTickMark val="none"/>
        <c:minorTickMark val="none"/>
        <c:tickLblPos val="nextTo"/>
        <c:spPr>
          <a:noFill/>
          <a:ln w="9525" cap="flat" cmpd="sng" algn="ctr">
            <a:solidFill>
              <a:schemeClr val="tx1"/>
            </a:solidFill>
            <a:round/>
          </a:ln>
          <a:effectLst/>
        </c:spPr>
        <c:txPr>
          <a:bodyPr rot="-60000000" spcFirstLastPara="1" vertOverflow="ellipsis" vert="horz" wrap="square" anchor="ctr" anchorCtr="1"/>
          <a:lstStyle/>
          <a:p>
            <a:pPr>
              <a:defRPr sz="1050" b="0" i="0" u="none" strike="noStrike" kern="1200" baseline="0">
                <a:solidFill>
                  <a:schemeClr val="tx1"/>
                </a:solidFill>
                <a:latin typeface="Arial" panose="020B0604020202020204" pitchFamily="34" charset="0"/>
                <a:ea typeface="+mn-ea"/>
                <a:cs typeface="Arial" panose="020B0604020202020204" pitchFamily="34" charset="0"/>
              </a:defRPr>
            </a:pPr>
            <a:endParaRPr lang="en-US"/>
          </a:p>
        </c:txPr>
        <c:crossAx val="645722223"/>
        <c:crosses val="autoZero"/>
        <c:auto val="1"/>
        <c:lblAlgn val="ctr"/>
        <c:lblOffset val="100"/>
        <c:tickLblSkip val="100"/>
        <c:noMultiLvlLbl val="0"/>
      </c:catAx>
      <c:valAx>
        <c:axId val="645722223"/>
        <c:scaling>
          <c:orientation val="minMax"/>
          <c:min val="0"/>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100" b="1" i="0" u="none" strike="noStrike" kern="1200" baseline="0">
                    <a:solidFill>
                      <a:schemeClr val="tx1"/>
                    </a:solidFill>
                    <a:latin typeface="Arial" panose="020B0604020202020204" pitchFamily="34" charset="0"/>
                    <a:ea typeface="+mn-ea"/>
                    <a:cs typeface="Arial" panose="020B0604020202020204" pitchFamily="34" charset="0"/>
                  </a:defRPr>
                </a:pPr>
                <a:r>
                  <a:rPr lang="en-US" sz="1100" b="1"/>
                  <a:t>Intensity (</a:t>
                </a:r>
                <a:r>
                  <a:rPr lang="el-GR" sz="1100" b="1"/>
                  <a:t>μ</a:t>
                </a:r>
                <a:r>
                  <a:rPr lang="en-US" sz="1100" b="1"/>
                  <a:t>mol</a:t>
                </a:r>
                <a:r>
                  <a:rPr lang="en-US" sz="1100" b="1" baseline="30000"/>
                  <a:t> . </a:t>
                </a:r>
                <a:r>
                  <a:rPr lang="en-US" sz="1100" b="1"/>
                  <a:t>m</a:t>
                </a:r>
                <a:r>
                  <a:rPr lang="en-US" sz="1100" b="1" baseline="30000"/>
                  <a:t>-2 . </a:t>
                </a:r>
                <a:r>
                  <a:rPr lang="en-US" sz="1100" b="1"/>
                  <a:t>s</a:t>
                </a:r>
                <a:r>
                  <a:rPr lang="en-US" sz="1100" b="1" baseline="30000"/>
                  <a:t>-1</a:t>
                </a:r>
                <a:r>
                  <a:rPr lang="en-US" sz="1100" b="1"/>
                  <a:t>) </a:t>
                </a:r>
              </a:p>
            </c:rich>
          </c:tx>
          <c:layout>
            <c:manualLayout>
              <c:xMode val="edge"/>
              <c:yMode val="edge"/>
              <c:x val="1.970585829745786E-2"/>
              <c:y val="0.2765365617934461"/>
            </c:manualLayout>
          </c:layout>
          <c:overlay val="0"/>
          <c:spPr>
            <a:noFill/>
            <a:ln>
              <a:noFill/>
            </a:ln>
            <a:effectLst/>
          </c:spPr>
          <c:txPr>
            <a:bodyPr rot="-5400000" spcFirstLastPara="1" vertOverflow="ellipsis" vert="horz" wrap="square" anchor="ctr" anchorCtr="1"/>
            <a:lstStyle/>
            <a:p>
              <a:pPr>
                <a:defRPr sz="1100" b="1" i="0" u="none" strike="noStrike" kern="1200" baseline="0">
                  <a:solidFill>
                    <a:schemeClr val="tx1"/>
                  </a:solidFill>
                  <a:latin typeface="Arial" panose="020B0604020202020204" pitchFamily="34" charset="0"/>
                  <a:ea typeface="+mn-ea"/>
                  <a:cs typeface="Arial" panose="020B0604020202020204" pitchFamily="34" charset="0"/>
                </a:defRPr>
              </a:pPr>
              <a:endParaRPr lang="en-US"/>
            </a:p>
          </c:txPr>
        </c:title>
        <c:numFmt formatCode="General" sourceLinked="0"/>
        <c:majorTickMark val="none"/>
        <c:minorTickMark val="none"/>
        <c:tickLblPos val="nextTo"/>
        <c:spPr>
          <a:noFill/>
          <a:ln cap="rnd">
            <a:solidFill>
              <a:schemeClr val="tx1"/>
            </a:solidFill>
          </a:ln>
          <a:effectLst/>
        </c:spPr>
        <c:txPr>
          <a:bodyPr rot="-60000000" spcFirstLastPara="1" vertOverflow="ellipsis" vert="horz" wrap="square" anchor="ctr" anchorCtr="1"/>
          <a:lstStyle/>
          <a:p>
            <a:pPr>
              <a:defRPr sz="1000" b="0" i="0" u="none" strike="noStrike" kern="1200" baseline="0">
                <a:solidFill>
                  <a:schemeClr val="tx1"/>
                </a:solidFill>
                <a:latin typeface="Arial" panose="020B0604020202020204" pitchFamily="34" charset="0"/>
                <a:ea typeface="+mn-ea"/>
                <a:cs typeface="Arial" panose="020B0604020202020204" pitchFamily="34" charset="0"/>
              </a:defRPr>
            </a:pPr>
            <a:endParaRPr lang="en-US"/>
          </a:p>
        </c:txPr>
        <c:crossAx val="645895503"/>
        <c:crosses val="autoZero"/>
        <c:crossBetween val="between"/>
      </c:valAx>
      <c:spPr>
        <a:noFill/>
        <a:ln>
          <a:noFill/>
        </a:ln>
        <a:effectLst/>
      </c:spPr>
    </c:plotArea>
    <c:plotVisOnly val="1"/>
    <c:dispBlanksAs val="span"/>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bg1"/>
      </a:solidFill>
      <a:round/>
    </a:ln>
    <a:effectLst/>
  </c:spPr>
  <c:txPr>
    <a:bodyPr/>
    <a:lstStyle/>
    <a:p>
      <a:pPr>
        <a:defRPr>
          <a:solidFill>
            <a:schemeClr val="tx1"/>
          </a:solidFill>
          <a:latin typeface="Arial" panose="020B0604020202020204" pitchFamily="34" charset="0"/>
          <a:cs typeface="Arial" panose="020B0604020202020204" pitchFamily="34" charset="0"/>
        </a:defRPr>
      </a:pPr>
      <a:endParaRPr lang="en-US"/>
    </a:p>
  </c:txPr>
  <c:externalData r:id="rId3">
    <c:autoUpdate val="0"/>
  </c:externalData>
  <c:userShapes r:id="rId4"/>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4.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5.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6.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7.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8.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9.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0.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2.xml><?xml version="1.0" encoding="utf-8"?>
<cs:colorStyle xmlns:cs="http://schemas.microsoft.com/office/drawing/2012/chartStyle" xmlns:a="http://schemas.openxmlformats.org/drawingml/2006/main" meth="cycle" id="12">
  <a:schemeClr val="accent2"/>
  <a:schemeClr val="accent4"/>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3.xml><?xml version="1.0" encoding="utf-8"?>
<cs:colorStyle xmlns:cs="http://schemas.microsoft.com/office/drawing/2012/chartStyle" xmlns:a="http://schemas.openxmlformats.org/drawingml/2006/main" meth="cycle" id="12">
  <a:schemeClr val="accent2"/>
  <a:schemeClr val="accent4"/>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4.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5.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2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solidFill>
        <a:schemeClr val="phClr"/>
      </a:solidFill>
    </cs:spPr>
  </cs:dataPoint>
  <cs:dataPoint3D>
    <cs:lnRef idx="0"/>
    <cs:fillRef idx="1">
      <cs:styleClr val="auto"/>
    </cs:fillRef>
    <cs:effectRef idx="0"/>
    <cs:fontRef idx="minor">
      <a:schemeClr val="tx1"/>
    </cs:fontRef>
    <cs:spPr>
      <a:solidFill>
        <a:schemeClr val="phClr"/>
      </a:solidFill>
    </cs:spPr>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solidFill>
        <a:schemeClr val="phClr"/>
      </a:solidFill>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22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solidFill>
        <a:schemeClr val="phClr"/>
      </a:solidFill>
    </cs:spPr>
  </cs:dataPoint>
  <cs:dataPoint3D>
    <cs:lnRef idx="0"/>
    <cs:fillRef idx="1">
      <cs:styleClr val="auto"/>
    </cs:fillRef>
    <cs:effectRef idx="0"/>
    <cs:fontRef idx="minor">
      <a:schemeClr val="tx1"/>
    </cs:fontRef>
    <cs:spPr>
      <a:solidFill>
        <a:schemeClr val="phClr"/>
      </a:solidFill>
    </cs:spPr>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solidFill>
        <a:schemeClr val="phClr"/>
      </a:solidFill>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3.xml><?xml version="1.0" encoding="utf-8"?>
<cs:chartStyle xmlns:cs="http://schemas.microsoft.com/office/drawing/2012/chartStyle" xmlns:a="http://schemas.openxmlformats.org/drawingml/2006/main" id="22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solidFill>
        <a:schemeClr val="phClr"/>
      </a:solidFill>
    </cs:spPr>
  </cs:dataPoint>
  <cs:dataPoint3D>
    <cs:lnRef idx="0"/>
    <cs:fillRef idx="1">
      <cs:styleClr val="auto"/>
    </cs:fillRef>
    <cs:effectRef idx="0"/>
    <cs:fontRef idx="minor">
      <a:schemeClr val="tx1"/>
    </cs:fontRef>
    <cs:spPr>
      <a:solidFill>
        <a:schemeClr val="phClr"/>
      </a:solidFill>
    </cs:spPr>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solidFill>
        <a:schemeClr val="phClr"/>
      </a:solidFill>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4.xml><?xml version="1.0" encoding="utf-8"?>
<cs:chartStyle xmlns:cs="http://schemas.microsoft.com/office/drawing/2012/chartStyle" xmlns:a="http://schemas.openxmlformats.org/drawingml/2006/main" id="22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solidFill>
        <a:schemeClr val="phClr"/>
      </a:solidFill>
    </cs:spPr>
  </cs:dataPoint>
  <cs:dataPoint3D>
    <cs:lnRef idx="0"/>
    <cs:fillRef idx="1">
      <cs:styleClr val="auto"/>
    </cs:fillRef>
    <cs:effectRef idx="0"/>
    <cs:fontRef idx="minor">
      <a:schemeClr val="tx1"/>
    </cs:fontRef>
    <cs:spPr>
      <a:solidFill>
        <a:schemeClr val="phClr"/>
      </a:solidFill>
    </cs:spPr>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solidFill>
        <a:schemeClr val="phClr"/>
      </a:solidFill>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5.xml><?xml version="1.0" encoding="utf-8"?>
<cs:chartStyle xmlns:cs="http://schemas.microsoft.com/office/drawing/2012/chartStyle" xmlns:a="http://schemas.openxmlformats.org/drawingml/2006/main" id="22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solidFill>
        <a:schemeClr val="phClr"/>
      </a:solidFill>
    </cs:spPr>
  </cs:dataPoint>
  <cs:dataPoint3D>
    <cs:lnRef idx="0"/>
    <cs:fillRef idx="1">
      <cs:styleClr val="auto"/>
    </cs:fillRef>
    <cs:effectRef idx="0"/>
    <cs:fontRef idx="minor">
      <a:schemeClr val="tx1"/>
    </cs:fontRef>
    <cs:spPr>
      <a:solidFill>
        <a:schemeClr val="phClr"/>
      </a:solidFill>
    </cs:spPr>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solidFill>
        <a:schemeClr val="phClr"/>
      </a:solidFill>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6.xml><?xml version="1.0" encoding="utf-8"?>
<cs:chartStyle xmlns:cs="http://schemas.microsoft.com/office/drawing/2012/chartStyle" xmlns:a="http://schemas.openxmlformats.org/drawingml/2006/main" id="22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solidFill>
        <a:schemeClr val="phClr"/>
      </a:solidFill>
    </cs:spPr>
  </cs:dataPoint>
  <cs:dataPoint3D>
    <cs:lnRef idx="0"/>
    <cs:fillRef idx="1">
      <cs:styleClr val="auto"/>
    </cs:fillRef>
    <cs:effectRef idx="0"/>
    <cs:fontRef idx="minor">
      <a:schemeClr val="tx1"/>
    </cs:fontRef>
    <cs:spPr>
      <a:solidFill>
        <a:schemeClr val="phClr"/>
      </a:solidFill>
    </cs:spPr>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solidFill>
        <a:schemeClr val="phClr"/>
      </a:solidFill>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7.xml><?xml version="1.0" encoding="utf-8"?>
<cs:chartStyle xmlns:cs="http://schemas.microsoft.com/office/drawing/2012/chartStyle" xmlns:a="http://schemas.openxmlformats.org/drawingml/2006/main" id="22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solidFill>
        <a:schemeClr val="phClr"/>
      </a:solidFill>
    </cs:spPr>
  </cs:dataPoint>
  <cs:dataPoint3D>
    <cs:lnRef idx="0"/>
    <cs:fillRef idx="1">
      <cs:styleClr val="auto"/>
    </cs:fillRef>
    <cs:effectRef idx="0"/>
    <cs:fontRef idx="minor">
      <a:schemeClr val="tx1"/>
    </cs:fontRef>
    <cs:spPr>
      <a:solidFill>
        <a:schemeClr val="phClr"/>
      </a:solidFill>
    </cs:spPr>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solidFill>
        <a:schemeClr val="phClr"/>
      </a:solidFill>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8.xml><?xml version="1.0" encoding="utf-8"?>
<cs:chartStyle xmlns:cs="http://schemas.microsoft.com/office/drawing/2012/chartStyle" xmlns:a="http://schemas.openxmlformats.org/drawingml/2006/main" id="22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solidFill>
        <a:schemeClr val="phClr"/>
      </a:solidFill>
    </cs:spPr>
  </cs:dataPoint>
  <cs:dataPoint3D>
    <cs:lnRef idx="0"/>
    <cs:fillRef idx="1">
      <cs:styleClr val="auto"/>
    </cs:fillRef>
    <cs:effectRef idx="0"/>
    <cs:fontRef idx="minor">
      <a:schemeClr val="tx1"/>
    </cs:fontRef>
    <cs:spPr>
      <a:solidFill>
        <a:schemeClr val="phClr"/>
      </a:solidFill>
    </cs:spPr>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solidFill>
        <a:schemeClr val="phClr"/>
      </a:solidFill>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9.xml><?xml version="1.0" encoding="utf-8"?>
<cs:chartStyle xmlns:cs="http://schemas.microsoft.com/office/drawing/2012/chartStyle" xmlns:a="http://schemas.openxmlformats.org/drawingml/2006/main" id="22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solidFill>
        <a:schemeClr val="phClr"/>
      </a:solidFill>
    </cs:spPr>
  </cs:dataPoint>
  <cs:dataPoint3D>
    <cs:lnRef idx="0"/>
    <cs:fillRef idx="1">
      <cs:styleClr val="auto"/>
    </cs:fillRef>
    <cs:effectRef idx="0"/>
    <cs:fontRef idx="minor">
      <a:schemeClr val="tx1"/>
    </cs:fontRef>
    <cs:spPr>
      <a:solidFill>
        <a:schemeClr val="phClr"/>
      </a:solidFill>
    </cs:spPr>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solidFill>
        <a:schemeClr val="phClr"/>
      </a:solidFill>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0.xml><?xml version="1.0" encoding="utf-8"?>
<cs:chartStyle xmlns:cs="http://schemas.microsoft.com/office/drawing/2012/chartStyle" xmlns:a="http://schemas.openxmlformats.org/drawingml/2006/main" id="22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solidFill>
        <a:schemeClr val="phClr"/>
      </a:solidFill>
    </cs:spPr>
  </cs:dataPoint>
  <cs:dataPoint3D>
    <cs:lnRef idx="0"/>
    <cs:fillRef idx="1">
      <cs:styleClr val="auto"/>
    </cs:fillRef>
    <cs:effectRef idx="0"/>
    <cs:fontRef idx="minor">
      <a:schemeClr val="tx1"/>
    </cs:fontRef>
    <cs:spPr>
      <a:solidFill>
        <a:schemeClr val="phClr"/>
      </a:solidFill>
    </cs:spPr>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solidFill>
        <a:schemeClr val="phClr"/>
      </a:solidFill>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1.xml><?xml version="1.0" encoding="utf-8"?>
<cs:chartStyle xmlns:cs="http://schemas.microsoft.com/office/drawing/2012/chartStyle" xmlns:a="http://schemas.openxmlformats.org/drawingml/2006/main" id="22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solidFill>
        <a:schemeClr val="phClr"/>
      </a:solidFill>
    </cs:spPr>
  </cs:dataPoint>
  <cs:dataPoint3D>
    <cs:lnRef idx="0"/>
    <cs:fillRef idx="1">
      <cs:styleClr val="auto"/>
    </cs:fillRef>
    <cs:effectRef idx="0"/>
    <cs:fontRef idx="minor">
      <a:schemeClr val="tx1"/>
    </cs:fontRef>
    <cs:spPr>
      <a:solidFill>
        <a:schemeClr val="phClr"/>
      </a:solidFill>
    </cs:spPr>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solidFill>
        <a:schemeClr val="phClr"/>
      </a:solidFill>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2.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3.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4.xml><?xml version="1.0" encoding="utf-8"?>
<cs:chartStyle xmlns:cs="http://schemas.microsoft.com/office/drawing/2012/chartStyle" xmlns:a="http://schemas.openxmlformats.org/drawingml/2006/main" id="22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solidFill>
        <a:schemeClr val="phClr"/>
      </a:solidFill>
    </cs:spPr>
  </cs:dataPoint>
  <cs:dataPoint3D>
    <cs:lnRef idx="0"/>
    <cs:fillRef idx="1">
      <cs:styleClr val="auto"/>
    </cs:fillRef>
    <cs:effectRef idx="0"/>
    <cs:fontRef idx="minor">
      <a:schemeClr val="tx1"/>
    </cs:fontRef>
    <cs:spPr>
      <a:solidFill>
        <a:schemeClr val="phClr"/>
      </a:solidFill>
    </cs:spPr>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solidFill>
        <a:schemeClr val="phClr"/>
      </a:solidFill>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5.xml><?xml version="1.0" encoding="utf-8"?>
<cs:chartStyle xmlns:cs="http://schemas.microsoft.com/office/drawing/2012/chartStyle" xmlns:a="http://schemas.openxmlformats.org/drawingml/2006/main" id="22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solidFill>
        <a:schemeClr val="phClr"/>
      </a:solidFill>
    </cs:spPr>
  </cs:dataPoint>
  <cs:dataPoint3D>
    <cs:lnRef idx="0"/>
    <cs:fillRef idx="1">
      <cs:styleClr val="auto"/>
    </cs:fillRef>
    <cs:effectRef idx="0"/>
    <cs:fontRef idx="minor">
      <a:schemeClr val="tx1"/>
    </cs:fontRef>
    <cs:spPr>
      <a:solidFill>
        <a:schemeClr val="phClr"/>
      </a:solidFill>
    </cs:spPr>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solidFill>
        <a:schemeClr val="phClr"/>
      </a:solidFill>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drawings/drawing1.xml><?xml version="1.0" encoding="utf-8"?>
<c:userShapes xmlns:c="http://schemas.openxmlformats.org/drawingml/2006/chart">
  <cdr:relSizeAnchor xmlns:cdr="http://schemas.openxmlformats.org/drawingml/2006/chartDrawing">
    <cdr:from>
      <cdr:x>0.1409</cdr:x>
      <cdr:y>0.91323</cdr:y>
    </cdr:from>
    <cdr:to>
      <cdr:x>0.96985</cdr:x>
      <cdr:y>1</cdr:y>
    </cdr:to>
    <cdr:sp macro="" textlink="">
      <cdr:nvSpPr>
        <cdr:cNvPr id="2" name="Text Box 1"/>
        <cdr:cNvSpPr txBox="1"/>
      </cdr:nvSpPr>
      <cdr:spPr>
        <a:xfrm xmlns:a="http://schemas.openxmlformats.org/drawingml/2006/main">
          <a:off x="828570" y="5525311"/>
          <a:ext cx="4874835" cy="524969"/>
        </a:xfrm>
        <a:prstGeom xmlns:a="http://schemas.openxmlformats.org/drawingml/2006/main" prst="rect">
          <a:avLst/>
        </a:prstGeom>
      </cdr:spPr>
      <cdr:txBody>
        <a:bodyPr xmlns:a="http://schemas.openxmlformats.org/drawingml/2006/main" vertOverflow="clip" wrap="square" rtlCol="0"/>
        <a:lstStyle xmlns:a="http://schemas.openxmlformats.org/drawingml/2006/main"/>
        <a:p xmlns:a="http://schemas.openxmlformats.org/drawingml/2006/main">
          <a:r>
            <a:rPr lang="en-US" sz="1300" b="1">
              <a:latin typeface="Times New Roman" panose="02020603050405020304" pitchFamily="18" charset="0"/>
              <a:cs typeface="Times New Roman" panose="02020603050405020304" pitchFamily="18" charset="0"/>
            </a:rPr>
            <a:t> A</a:t>
          </a:r>
          <a:r>
            <a:rPr lang="en-US" sz="1300" b="1" baseline="0">
              <a:latin typeface="Times New Roman" panose="02020603050405020304" pitchFamily="18" charset="0"/>
              <a:cs typeface="Times New Roman" panose="02020603050405020304" pitchFamily="18" charset="0"/>
            </a:rPr>
            <a:t>               B               B               B              </a:t>
          </a:r>
          <a:r>
            <a:rPr lang="en-US" sz="500" b="1" baseline="0">
              <a:latin typeface="Times New Roman" panose="02020603050405020304" pitchFamily="18" charset="0"/>
              <a:cs typeface="Times New Roman" panose="02020603050405020304" pitchFamily="18" charset="0"/>
            </a:rPr>
            <a:t> </a:t>
          </a:r>
          <a:r>
            <a:rPr lang="en-US" sz="1300" b="1" baseline="0">
              <a:latin typeface="Times New Roman" panose="02020603050405020304" pitchFamily="18" charset="0"/>
              <a:cs typeface="Times New Roman" panose="02020603050405020304" pitchFamily="18" charset="0"/>
            </a:rPr>
            <a:t>B               A              A </a:t>
          </a:r>
          <a:endParaRPr lang="en-US" sz="1300" b="1">
            <a:latin typeface="Times New Roman" panose="02020603050405020304" pitchFamily="18" charset="0"/>
            <a:cs typeface="Times New Roman" panose="02020603050405020304" pitchFamily="18" charset="0"/>
          </a:endParaRPr>
        </a:p>
      </cdr:txBody>
    </cdr:sp>
  </cdr:relSizeAnchor>
</c:userShapes>
</file>

<file path=word/drawings/drawing2.xml><?xml version="1.0" encoding="utf-8"?>
<c:userShapes xmlns:c="http://schemas.openxmlformats.org/drawingml/2006/chart">
  <cdr:relSizeAnchor xmlns:cdr="http://schemas.openxmlformats.org/drawingml/2006/chartDrawing">
    <cdr:from>
      <cdr:x>0.43704</cdr:x>
      <cdr:y>0.88634</cdr:y>
    </cdr:from>
    <cdr:to>
      <cdr:x>0.74473</cdr:x>
      <cdr:y>0.96775</cdr:y>
    </cdr:to>
    <cdr:sp macro="" textlink="">
      <cdr:nvSpPr>
        <cdr:cNvPr id="3" name="Text Box 3"/>
        <cdr:cNvSpPr txBox="1"/>
      </cdr:nvSpPr>
      <cdr:spPr>
        <a:xfrm xmlns:a="http://schemas.openxmlformats.org/drawingml/2006/main">
          <a:off x="2597592" y="3629660"/>
          <a:ext cx="1828800" cy="333375"/>
        </a:xfrm>
        <a:prstGeom xmlns:a="http://schemas.openxmlformats.org/drawingml/2006/main" prst="rect">
          <a:avLst/>
        </a:prstGeom>
        <a:noFill xmlns:a="http://schemas.openxmlformats.org/drawingml/2006/main"/>
        <a:ln xmlns:a="http://schemas.openxmlformats.org/drawingml/2006/main" w="6350">
          <a:noFill/>
        </a:ln>
      </cdr:spPr>
      <cdr:txBody>
        <a:bodyPr xmlns:a="http://schemas.openxmlformats.org/drawingml/2006/main" rot="0" spcFirstLastPara="0" vert="horz" wrap="square" lIns="91440" tIns="45720" rIns="91440" bIns="45720" numCol="1" spcCol="0" rtlCol="0" fromWordArt="0" anchor="t" anchorCtr="0" forceAA="0" compatLnSpc="1">
          <a:prstTxWarp prst="textNoShape">
            <a:avLst/>
          </a:prstTxWarp>
          <a:noAutofit/>
        </a:bodyPr>
        <a:lstStyle xmlns:a="http://schemas.openxmlformats.org/drawingml/2006/main">
          <a:lvl1pPr marL="0" indent="0">
            <a:defRPr sz="1100">
              <a:latin typeface="+mn-lt"/>
              <a:ea typeface="+mn-ea"/>
              <a:cs typeface="+mn-cs"/>
            </a:defRPr>
          </a:lvl1pPr>
          <a:lvl2pPr marL="457200" indent="0">
            <a:defRPr sz="1100">
              <a:latin typeface="+mn-lt"/>
              <a:ea typeface="+mn-ea"/>
              <a:cs typeface="+mn-cs"/>
            </a:defRPr>
          </a:lvl2pPr>
          <a:lvl3pPr marL="914400" indent="0">
            <a:defRPr sz="1100">
              <a:latin typeface="+mn-lt"/>
              <a:ea typeface="+mn-ea"/>
              <a:cs typeface="+mn-cs"/>
            </a:defRPr>
          </a:lvl3pPr>
          <a:lvl4pPr marL="1371600" indent="0">
            <a:defRPr sz="1100">
              <a:latin typeface="+mn-lt"/>
              <a:ea typeface="+mn-ea"/>
              <a:cs typeface="+mn-cs"/>
            </a:defRPr>
          </a:lvl4pPr>
          <a:lvl5pPr marL="1828800" indent="0">
            <a:defRPr sz="1100">
              <a:latin typeface="+mn-lt"/>
              <a:ea typeface="+mn-ea"/>
              <a:cs typeface="+mn-cs"/>
            </a:defRPr>
          </a:lvl5pPr>
          <a:lvl6pPr marL="2286000" indent="0">
            <a:defRPr sz="1100">
              <a:latin typeface="+mn-lt"/>
              <a:ea typeface="+mn-ea"/>
              <a:cs typeface="+mn-cs"/>
            </a:defRPr>
          </a:lvl6pPr>
          <a:lvl7pPr marL="2743200" indent="0">
            <a:defRPr sz="1100">
              <a:latin typeface="+mn-lt"/>
              <a:ea typeface="+mn-ea"/>
              <a:cs typeface="+mn-cs"/>
            </a:defRPr>
          </a:lvl7pPr>
          <a:lvl8pPr marL="3200400" indent="0">
            <a:defRPr sz="1100">
              <a:latin typeface="+mn-lt"/>
              <a:ea typeface="+mn-ea"/>
              <a:cs typeface="+mn-cs"/>
            </a:defRPr>
          </a:lvl8pPr>
          <a:lvl9pPr marL="3657600" indent="0">
            <a:defRPr sz="1100">
              <a:latin typeface="+mn-lt"/>
              <a:ea typeface="+mn-ea"/>
              <a:cs typeface="+mn-cs"/>
            </a:defRPr>
          </a:lvl9pPr>
        </a:lstStyle>
        <a:p xmlns:a="http://schemas.openxmlformats.org/drawingml/2006/main">
          <a:pPr marL="0" marR="0">
            <a:lnSpc>
              <a:spcPct val="200000"/>
            </a:lnSpc>
            <a:spcBef>
              <a:spcPts val="0"/>
            </a:spcBef>
            <a:spcAft>
              <a:spcPts val="0"/>
            </a:spcAft>
          </a:pPr>
          <a:r>
            <a:rPr lang="en-US" sz="1050">
              <a:effectLst/>
              <a:latin typeface="Arial" panose="020B0604020202020204" pitchFamily="34" charset="0"/>
              <a:ea typeface="Times New Roman" panose="02020603050405020304" pitchFamily="18" charset="0"/>
              <a:cs typeface="Times New Roman" panose="02020603050405020304" pitchFamily="18" charset="0"/>
            </a:rPr>
            <a:t>Wavelength (nm)</a:t>
          </a:r>
          <a:endParaRPr lang="en-US" sz="1200">
            <a:effectLst/>
            <a:latin typeface="Times New Roman" panose="02020603050405020304" pitchFamily="18" charset="0"/>
            <a:ea typeface="Times New Roman" panose="02020603050405020304" pitchFamily="18" charset="0"/>
            <a:cs typeface="Times New Roman" panose="02020603050405020304" pitchFamily="18" charset="0"/>
          </a:endParaRPr>
        </a:p>
      </cdr:txBody>
    </cdr:sp>
  </cdr:relSizeAnchor>
</c:userShapes>
</file>

<file path=word/drawings/drawing3.xml><?xml version="1.0" encoding="utf-8"?>
<c:userShapes xmlns:c="http://schemas.openxmlformats.org/drawingml/2006/chart">
  <cdr:relSizeAnchor xmlns:cdr="http://schemas.openxmlformats.org/drawingml/2006/chartDrawing">
    <cdr:from>
      <cdr:x>0.43704</cdr:x>
      <cdr:y>0.88634</cdr:y>
    </cdr:from>
    <cdr:to>
      <cdr:x>0.74473</cdr:x>
      <cdr:y>0.96775</cdr:y>
    </cdr:to>
    <cdr:sp macro="" textlink="">
      <cdr:nvSpPr>
        <cdr:cNvPr id="3" name="Text Box 3"/>
        <cdr:cNvSpPr txBox="1"/>
      </cdr:nvSpPr>
      <cdr:spPr>
        <a:xfrm xmlns:a="http://schemas.openxmlformats.org/drawingml/2006/main">
          <a:off x="2597592" y="3629660"/>
          <a:ext cx="1828800" cy="333375"/>
        </a:xfrm>
        <a:prstGeom xmlns:a="http://schemas.openxmlformats.org/drawingml/2006/main" prst="rect">
          <a:avLst/>
        </a:prstGeom>
        <a:noFill xmlns:a="http://schemas.openxmlformats.org/drawingml/2006/main"/>
        <a:ln xmlns:a="http://schemas.openxmlformats.org/drawingml/2006/main" w="6350">
          <a:noFill/>
        </a:ln>
      </cdr:spPr>
      <cdr:txBody>
        <a:bodyPr xmlns:a="http://schemas.openxmlformats.org/drawingml/2006/main" rot="0" spcFirstLastPara="0" vert="horz" wrap="square" lIns="91440" tIns="45720" rIns="91440" bIns="45720" numCol="1" spcCol="0" rtlCol="0" fromWordArt="0" anchor="t" anchorCtr="0" forceAA="0" compatLnSpc="1">
          <a:prstTxWarp prst="textNoShape">
            <a:avLst/>
          </a:prstTxWarp>
          <a:noAutofit/>
        </a:bodyPr>
        <a:lstStyle xmlns:a="http://schemas.openxmlformats.org/drawingml/2006/main">
          <a:lvl1pPr marL="0" indent="0">
            <a:defRPr sz="1100">
              <a:latin typeface="+mn-lt"/>
              <a:ea typeface="+mn-ea"/>
              <a:cs typeface="+mn-cs"/>
            </a:defRPr>
          </a:lvl1pPr>
          <a:lvl2pPr marL="457200" indent="0">
            <a:defRPr sz="1100">
              <a:latin typeface="+mn-lt"/>
              <a:ea typeface="+mn-ea"/>
              <a:cs typeface="+mn-cs"/>
            </a:defRPr>
          </a:lvl2pPr>
          <a:lvl3pPr marL="914400" indent="0">
            <a:defRPr sz="1100">
              <a:latin typeface="+mn-lt"/>
              <a:ea typeface="+mn-ea"/>
              <a:cs typeface="+mn-cs"/>
            </a:defRPr>
          </a:lvl3pPr>
          <a:lvl4pPr marL="1371600" indent="0">
            <a:defRPr sz="1100">
              <a:latin typeface="+mn-lt"/>
              <a:ea typeface="+mn-ea"/>
              <a:cs typeface="+mn-cs"/>
            </a:defRPr>
          </a:lvl4pPr>
          <a:lvl5pPr marL="1828800" indent="0">
            <a:defRPr sz="1100">
              <a:latin typeface="+mn-lt"/>
              <a:ea typeface="+mn-ea"/>
              <a:cs typeface="+mn-cs"/>
            </a:defRPr>
          </a:lvl5pPr>
          <a:lvl6pPr marL="2286000" indent="0">
            <a:defRPr sz="1100">
              <a:latin typeface="+mn-lt"/>
              <a:ea typeface="+mn-ea"/>
              <a:cs typeface="+mn-cs"/>
            </a:defRPr>
          </a:lvl6pPr>
          <a:lvl7pPr marL="2743200" indent="0">
            <a:defRPr sz="1100">
              <a:latin typeface="+mn-lt"/>
              <a:ea typeface="+mn-ea"/>
              <a:cs typeface="+mn-cs"/>
            </a:defRPr>
          </a:lvl7pPr>
          <a:lvl8pPr marL="3200400" indent="0">
            <a:defRPr sz="1100">
              <a:latin typeface="+mn-lt"/>
              <a:ea typeface="+mn-ea"/>
              <a:cs typeface="+mn-cs"/>
            </a:defRPr>
          </a:lvl8pPr>
          <a:lvl9pPr marL="3657600" indent="0">
            <a:defRPr sz="1100">
              <a:latin typeface="+mn-lt"/>
              <a:ea typeface="+mn-ea"/>
              <a:cs typeface="+mn-cs"/>
            </a:defRPr>
          </a:lvl9pPr>
        </a:lstStyle>
        <a:p xmlns:a="http://schemas.openxmlformats.org/drawingml/2006/main">
          <a:pPr marL="0" marR="0">
            <a:lnSpc>
              <a:spcPct val="200000"/>
            </a:lnSpc>
            <a:spcBef>
              <a:spcPts val="0"/>
            </a:spcBef>
            <a:spcAft>
              <a:spcPts val="0"/>
            </a:spcAft>
          </a:pPr>
          <a:r>
            <a:rPr lang="en-US" sz="1050">
              <a:effectLst/>
              <a:latin typeface="Arial" panose="020B0604020202020204" pitchFamily="34" charset="0"/>
              <a:ea typeface="Times New Roman" panose="02020603050405020304" pitchFamily="18" charset="0"/>
              <a:cs typeface="Times New Roman" panose="02020603050405020304" pitchFamily="18" charset="0"/>
            </a:rPr>
            <a:t>Wavelength (nm)</a:t>
          </a:r>
          <a:endParaRPr lang="en-US" sz="1200">
            <a:effectLst/>
            <a:latin typeface="Times New Roman" panose="02020603050405020304" pitchFamily="18" charset="0"/>
            <a:ea typeface="Times New Roman" panose="02020603050405020304" pitchFamily="18" charset="0"/>
            <a:cs typeface="Times New Roman" panose="02020603050405020304" pitchFamily="18" charset="0"/>
          </a:endParaRPr>
        </a:p>
      </cdr:txBody>
    </cdr:sp>
  </cdr:relSizeAnchor>
</c:userShapes>
</file>

<file path=word/drawings/drawing4.xml><?xml version="1.0" encoding="utf-8"?>
<c:userShapes xmlns:c="http://schemas.openxmlformats.org/drawingml/2006/chart">
  <cdr:relSizeAnchor xmlns:cdr="http://schemas.openxmlformats.org/drawingml/2006/chartDrawing">
    <cdr:from>
      <cdr:x>0.43704</cdr:x>
      <cdr:y>0.88634</cdr:y>
    </cdr:from>
    <cdr:to>
      <cdr:x>0.74473</cdr:x>
      <cdr:y>0.96775</cdr:y>
    </cdr:to>
    <cdr:sp macro="" textlink="">
      <cdr:nvSpPr>
        <cdr:cNvPr id="2" name="Text Box 3"/>
        <cdr:cNvSpPr txBox="1"/>
      </cdr:nvSpPr>
      <cdr:spPr>
        <a:xfrm xmlns:a="http://schemas.openxmlformats.org/drawingml/2006/main">
          <a:off x="2597592" y="3629660"/>
          <a:ext cx="1828800" cy="333375"/>
        </a:xfrm>
        <a:prstGeom xmlns:a="http://schemas.openxmlformats.org/drawingml/2006/main" prst="rect">
          <a:avLst/>
        </a:prstGeom>
        <a:noFill xmlns:a="http://schemas.openxmlformats.org/drawingml/2006/main"/>
        <a:ln xmlns:a="http://schemas.openxmlformats.org/drawingml/2006/main" w="6350">
          <a:noFill/>
        </a:ln>
      </cdr:spPr>
      <cdr:txBody>
        <a:bodyPr xmlns:a="http://schemas.openxmlformats.org/drawingml/2006/main" rot="0" spcFirstLastPara="0" vert="horz" wrap="square" lIns="91440" tIns="45720" rIns="91440" bIns="45720" numCol="1" spcCol="0" rtlCol="0" fromWordArt="0" anchor="t" anchorCtr="0" forceAA="0" compatLnSpc="1">
          <a:prstTxWarp prst="textNoShape">
            <a:avLst/>
          </a:prstTxWarp>
          <a:noAutofit/>
        </a:bodyPr>
        <a:lstStyle xmlns:a="http://schemas.openxmlformats.org/drawingml/2006/main">
          <a:lvl1pPr marL="0" indent="0">
            <a:defRPr sz="1100">
              <a:latin typeface="+mn-lt"/>
              <a:ea typeface="+mn-ea"/>
              <a:cs typeface="+mn-cs"/>
            </a:defRPr>
          </a:lvl1pPr>
          <a:lvl2pPr marL="457200" indent="0">
            <a:defRPr sz="1100">
              <a:latin typeface="+mn-lt"/>
              <a:ea typeface="+mn-ea"/>
              <a:cs typeface="+mn-cs"/>
            </a:defRPr>
          </a:lvl2pPr>
          <a:lvl3pPr marL="914400" indent="0">
            <a:defRPr sz="1100">
              <a:latin typeface="+mn-lt"/>
              <a:ea typeface="+mn-ea"/>
              <a:cs typeface="+mn-cs"/>
            </a:defRPr>
          </a:lvl3pPr>
          <a:lvl4pPr marL="1371600" indent="0">
            <a:defRPr sz="1100">
              <a:latin typeface="+mn-lt"/>
              <a:ea typeface="+mn-ea"/>
              <a:cs typeface="+mn-cs"/>
            </a:defRPr>
          </a:lvl4pPr>
          <a:lvl5pPr marL="1828800" indent="0">
            <a:defRPr sz="1100">
              <a:latin typeface="+mn-lt"/>
              <a:ea typeface="+mn-ea"/>
              <a:cs typeface="+mn-cs"/>
            </a:defRPr>
          </a:lvl5pPr>
          <a:lvl6pPr marL="2286000" indent="0">
            <a:defRPr sz="1100">
              <a:latin typeface="+mn-lt"/>
              <a:ea typeface="+mn-ea"/>
              <a:cs typeface="+mn-cs"/>
            </a:defRPr>
          </a:lvl6pPr>
          <a:lvl7pPr marL="2743200" indent="0">
            <a:defRPr sz="1100">
              <a:latin typeface="+mn-lt"/>
              <a:ea typeface="+mn-ea"/>
              <a:cs typeface="+mn-cs"/>
            </a:defRPr>
          </a:lvl7pPr>
          <a:lvl8pPr marL="3200400" indent="0">
            <a:defRPr sz="1100">
              <a:latin typeface="+mn-lt"/>
              <a:ea typeface="+mn-ea"/>
              <a:cs typeface="+mn-cs"/>
            </a:defRPr>
          </a:lvl8pPr>
          <a:lvl9pPr marL="3657600" indent="0">
            <a:defRPr sz="1100">
              <a:latin typeface="+mn-lt"/>
              <a:ea typeface="+mn-ea"/>
              <a:cs typeface="+mn-cs"/>
            </a:defRPr>
          </a:lvl9pPr>
        </a:lstStyle>
        <a:p xmlns:a="http://schemas.openxmlformats.org/drawingml/2006/main">
          <a:pPr marL="0" marR="0">
            <a:lnSpc>
              <a:spcPct val="200000"/>
            </a:lnSpc>
            <a:spcBef>
              <a:spcPts val="0"/>
            </a:spcBef>
            <a:spcAft>
              <a:spcPts val="0"/>
            </a:spcAft>
          </a:pPr>
          <a:r>
            <a:rPr lang="en-US" sz="1050">
              <a:effectLst/>
              <a:latin typeface="Arial" panose="020B0604020202020204" pitchFamily="34" charset="0"/>
              <a:ea typeface="Times New Roman" panose="02020603050405020304" pitchFamily="18" charset="0"/>
              <a:cs typeface="Times New Roman" panose="02020603050405020304" pitchFamily="18" charset="0"/>
            </a:rPr>
            <a:t>Wavelength (nm)</a:t>
          </a:r>
          <a:endParaRPr lang="en-US" sz="1200">
            <a:effectLst/>
            <a:latin typeface="Times New Roman" panose="02020603050405020304" pitchFamily="18" charset="0"/>
            <a:ea typeface="Times New Roman" panose="02020603050405020304" pitchFamily="18" charset="0"/>
            <a:cs typeface="Times New Roman" panose="02020603050405020304" pitchFamily="18" charset="0"/>
          </a:endParaRPr>
        </a:p>
      </cdr:txBody>
    </cdr:sp>
  </cdr:relSizeAnchor>
</c:userShapes>
</file>

<file path=word/drawings/drawing5.xml><?xml version="1.0" encoding="utf-8"?>
<c:userShapes xmlns:c="http://schemas.openxmlformats.org/drawingml/2006/chart">
  <cdr:relSizeAnchor xmlns:cdr="http://schemas.openxmlformats.org/drawingml/2006/chartDrawing">
    <cdr:from>
      <cdr:x>0.43704</cdr:x>
      <cdr:y>0.88634</cdr:y>
    </cdr:from>
    <cdr:to>
      <cdr:x>0.74473</cdr:x>
      <cdr:y>0.96775</cdr:y>
    </cdr:to>
    <cdr:sp macro="" textlink="">
      <cdr:nvSpPr>
        <cdr:cNvPr id="2" name="Text Box 3"/>
        <cdr:cNvSpPr txBox="1"/>
      </cdr:nvSpPr>
      <cdr:spPr>
        <a:xfrm xmlns:a="http://schemas.openxmlformats.org/drawingml/2006/main">
          <a:off x="2597592" y="3629660"/>
          <a:ext cx="1828800" cy="333375"/>
        </a:xfrm>
        <a:prstGeom xmlns:a="http://schemas.openxmlformats.org/drawingml/2006/main" prst="rect">
          <a:avLst/>
        </a:prstGeom>
        <a:noFill xmlns:a="http://schemas.openxmlformats.org/drawingml/2006/main"/>
        <a:ln xmlns:a="http://schemas.openxmlformats.org/drawingml/2006/main" w="6350">
          <a:noFill/>
        </a:ln>
      </cdr:spPr>
      <cdr:txBody>
        <a:bodyPr xmlns:a="http://schemas.openxmlformats.org/drawingml/2006/main" rot="0" spcFirstLastPara="0" vert="horz" wrap="square" lIns="91440" tIns="45720" rIns="91440" bIns="45720" numCol="1" spcCol="0" rtlCol="0" fromWordArt="0" anchor="t" anchorCtr="0" forceAA="0" compatLnSpc="1">
          <a:prstTxWarp prst="textNoShape">
            <a:avLst/>
          </a:prstTxWarp>
          <a:noAutofit/>
        </a:bodyPr>
        <a:lstStyle xmlns:a="http://schemas.openxmlformats.org/drawingml/2006/main">
          <a:lvl1pPr marL="0" indent="0">
            <a:defRPr sz="1100">
              <a:latin typeface="+mn-lt"/>
              <a:ea typeface="+mn-ea"/>
              <a:cs typeface="+mn-cs"/>
            </a:defRPr>
          </a:lvl1pPr>
          <a:lvl2pPr marL="457200" indent="0">
            <a:defRPr sz="1100">
              <a:latin typeface="+mn-lt"/>
              <a:ea typeface="+mn-ea"/>
              <a:cs typeface="+mn-cs"/>
            </a:defRPr>
          </a:lvl2pPr>
          <a:lvl3pPr marL="914400" indent="0">
            <a:defRPr sz="1100">
              <a:latin typeface="+mn-lt"/>
              <a:ea typeface="+mn-ea"/>
              <a:cs typeface="+mn-cs"/>
            </a:defRPr>
          </a:lvl3pPr>
          <a:lvl4pPr marL="1371600" indent="0">
            <a:defRPr sz="1100">
              <a:latin typeface="+mn-lt"/>
              <a:ea typeface="+mn-ea"/>
              <a:cs typeface="+mn-cs"/>
            </a:defRPr>
          </a:lvl4pPr>
          <a:lvl5pPr marL="1828800" indent="0">
            <a:defRPr sz="1100">
              <a:latin typeface="+mn-lt"/>
              <a:ea typeface="+mn-ea"/>
              <a:cs typeface="+mn-cs"/>
            </a:defRPr>
          </a:lvl5pPr>
          <a:lvl6pPr marL="2286000" indent="0">
            <a:defRPr sz="1100">
              <a:latin typeface="+mn-lt"/>
              <a:ea typeface="+mn-ea"/>
              <a:cs typeface="+mn-cs"/>
            </a:defRPr>
          </a:lvl6pPr>
          <a:lvl7pPr marL="2743200" indent="0">
            <a:defRPr sz="1100">
              <a:latin typeface="+mn-lt"/>
              <a:ea typeface="+mn-ea"/>
              <a:cs typeface="+mn-cs"/>
            </a:defRPr>
          </a:lvl7pPr>
          <a:lvl8pPr marL="3200400" indent="0">
            <a:defRPr sz="1100">
              <a:latin typeface="+mn-lt"/>
              <a:ea typeface="+mn-ea"/>
              <a:cs typeface="+mn-cs"/>
            </a:defRPr>
          </a:lvl8pPr>
          <a:lvl9pPr marL="3657600" indent="0">
            <a:defRPr sz="1100">
              <a:latin typeface="+mn-lt"/>
              <a:ea typeface="+mn-ea"/>
              <a:cs typeface="+mn-cs"/>
            </a:defRPr>
          </a:lvl9pPr>
        </a:lstStyle>
        <a:p xmlns:a="http://schemas.openxmlformats.org/drawingml/2006/main">
          <a:pPr marL="0" marR="0">
            <a:lnSpc>
              <a:spcPct val="200000"/>
            </a:lnSpc>
            <a:spcBef>
              <a:spcPts val="0"/>
            </a:spcBef>
            <a:spcAft>
              <a:spcPts val="0"/>
            </a:spcAft>
          </a:pPr>
          <a:r>
            <a:rPr lang="en-US" sz="1050">
              <a:effectLst/>
              <a:latin typeface="Arial" panose="020B0604020202020204" pitchFamily="34" charset="0"/>
              <a:ea typeface="Times New Roman" panose="02020603050405020304" pitchFamily="18" charset="0"/>
              <a:cs typeface="Times New Roman" panose="02020603050405020304" pitchFamily="18" charset="0"/>
            </a:rPr>
            <a:t>Wavelength (nm)</a:t>
          </a:r>
          <a:endParaRPr lang="en-US" sz="1200">
            <a:effectLst/>
            <a:latin typeface="Times New Roman" panose="02020603050405020304" pitchFamily="18" charset="0"/>
            <a:ea typeface="Times New Roman" panose="02020603050405020304" pitchFamily="18" charset="0"/>
            <a:cs typeface="Times New Roman" panose="02020603050405020304" pitchFamily="18" charset="0"/>
          </a:endParaRPr>
        </a:p>
      </cdr:txBody>
    </cdr:sp>
  </cdr:relSizeAnchor>
</c:userShapes>
</file>

<file path=word/drawings/drawing6.xml><?xml version="1.0" encoding="utf-8"?>
<c:userShapes xmlns:c="http://schemas.openxmlformats.org/drawingml/2006/chart">
  <cdr:relSizeAnchor xmlns:cdr="http://schemas.openxmlformats.org/drawingml/2006/chartDrawing">
    <cdr:from>
      <cdr:x>0.43704</cdr:x>
      <cdr:y>0.88634</cdr:y>
    </cdr:from>
    <cdr:to>
      <cdr:x>0.74473</cdr:x>
      <cdr:y>0.96775</cdr:y>
    </cdr:to>
    <cdr:sp macro="" textlink="">
      <cdr:nvSpPr>
        <cdr:cNvPr id="2" name="Text Box 3"/>
        <cdr:cNvSpPr txBox="1"/>
      </cdr:nvSpPr>
      <cdr:spPr>
        <a:xfrm xmlns:a="http://schemas.openxmlformats.org/drawingml/2006/main">
          <a:off x="2597592" y="3629660"/>
          <a:ext cx="1828800" cy="333375"/>
        </a:xfrm>
        <a:prstGeom xmlns:a="http://schemas.openxmlformats.org/drawingml/2006/main" prst="rect">
          <a:avLst/>
        </a:prstGeom>
        <a:noFill xmlns:a="http://schemas.openxmlformats.org/drawingml/2006/main"/>
        <a:ln xmlns:a="http://schemas.openxmlformats.org/drawingml/2006/main" w="6350">
          <a:noFill/>
        </a:ln>
      </cdr:spPr>
      <cdr:txBody>
        <a:bodyPr xmlns:a="http://schemas.openxmlformats.org/drawingml/2006/main" rot="0" spcFirstLastPara="0" vert="horz" wrap="square" lIns="91440" tIns="45720" rIns="91440" bIns="45720" numCol="1" spcCol="0" rtlCol="0" fromWordArt="0" anchor="t" anchorCtr="0" forceAA="0" compatLnSpc="1">
          <a:prstTxWarp prst="textNoShape">
            <a:avLst/>
          </a:prstTxWarp>
          <a:noAutofit/>
        </a:bodyPr>
        <a:lstStyle xmlns:a="http://schemas.openxmlformats.org/drawingml/2006/main">
          <a:lvl1pPr marL="0" indent="0">
            <a:defRPr sz="1100">
              <a:latin typeface="+mn-lt"/>
              <a:ea typeface="+mn-ea"/>
              <a:cs typeface="+mn-cs"/>
            </a:defRPr>
          </a:lvl1pPr>
          <a:lvl2pPr marL="457200" indent="0">
            <a:defRPr sz="1100">
              <a:latin typeface="+mn-lt"/>
              <a:ea typeface="+mn-ea"/>
              <a:cs typeface="+mn-cs"/>
            </a:defRPr>
          </a:lvl2pPr>
          <a:lvl3pPr marL="914400" indent="0">
            <a:defRPr sz="1100">
              <a:latin typeface="+mn-lt"/>
              <a:ea typeface="+mn-ea"/>
              <a:cs typeface="+mn-cs"/>
            </a:defRPr>
          </a:lvl3pPr>
          <a:lvl4pPr marL="1371600" indent="0">
            <a:defRPr sz="1100">
              <a:latin typeface="+mn-lt"/>
              <a:ea typeface="+mn-ea"/>
              <a:cs typeface="+mn-cs"/>
            </a:defRPr>
          </a:lvl4pPr>
          <a:lvl5pPr marL="1828800" indent="0">
            <a:defRPr sz="1100">
              <a:latin typeface="+mn-lt"/>
              <a:ea typeface="+mn-ea"/>
              <a:cs typeface="+mn-cs"/>
            </a:defRPr>
          </a:lvl5pPr>
          <a:lvl6pPr marL="2286000" indent="0">
            <a:defRPr sz="1100">
              <a:latin typeface="+mn-lt"/>
              <a:ea typeface="+mn-ea"/>
              <a:cs typeface="+mn-cs"/>
            </a:defRPr>
          </a:lvl6pPr>
          <a:lvl7pPr marL="2743200" indent="0">
            <a:defRPr sz="1100">
              <a:latin typeface="+mn-lt"/>
              <a:ea typeface="+mn-ea"/>
              <a:cs typeface="+mn-cs"/>
            </a:defRPr>
          </a:lvl7pPr>
          <a:lvl8pPr marL="3200400" indent="0">
            <a:defRPr sz="1100">
              <a:latin typeface="+mn-lt"/>
              <a:ea typeface="+mn-ea"/>
              <a:cs typeface="+mn-cs"/>
            </a:defRPr>
          </a:lvl8pPr>
          <a:lvl9pPr marL="3657600" indent="0">
            <a:defRPr sz="1100">
              <a:latin typeface="+mn-lt"/>
              <a:ea typeface="+mn-ea"/>
              <a:cs typeface="+mn-cs"/>
            </a:defRPr>
          </a:lvl9pPr>
        </a:lstStyle>
        <a:p xmlns:a="http://schemas.openxmlformats.org/drawingml/2006/main">
          <a:pPr marL="0" marR="0">
            <a:lnSpc>
              <a:spcPct val="200000"/>
            </a:lnSpc>
            <a:spcBef>
              <a:spcPts val="0"/>
            </a:spcBef>
            <a:spcAft>
              <a:spcPts val="0"/>
            </a:spcAft>
          </a:pPr>
          <a:r>
            <a:rPr lang="en-US" sz="1050">
              <a:effectLst/>
              <a:latin typeface="Arial" panose="020B0604020202020204" pitchFamily="34" charset="0"/>
              <a:ea typeface="Times New Roman" panose="02020603050405020304" pitchFamily="18" charset="0"/>
              <a:cs typeface="Times New Roman" panose="02020603050405020304" pitchFamily="18" charset="0"/>
            </a:rPr>
            <a:t>Wavelength (nm)</a:t>
          </a:r>
          <a:endParaRPr lang="en-US" sz="1200">
            <a:effectLst/>
            <a:latin typeface="Times New Roman" panose="02020603050405020304" pitchFamily="18" charset="0"/>
            <a:ea typeface="Times New Roman" panose="02020603050405020304" pitchFamily="18" charset="0"/>
            <a:cs typeface="Times New Roman" panose="02020603050405020304" pitchFamily="18" charset="0"/>
          </a:endParaRPr>
        </a:p>
      </cdr:txBody>
    </cdr:sp>
  </cdr:relSizeAnchor>
</c:userShapes>
</file>

<file path=word/drawings/drawing7.xml><?xml version="1.0" encoding="utf-8"?>
<c:userShapes xmlns:c="http://schemas.openxmlformats.org/drawingml/2006/chart">
  <cdr:relSizeAnchor xmlns:cdr="http://schemas.openxmlformats.org/drawingml/2006/chartDrawing">
    <cdr:from>
      <cdr:x>0.43704</cdr:x>
      <cdr:y>0.88634</cdr:y>
    </cdr:from>
    <cdr:to>
      <cdr:x>0.74473</cdr:x>
      <cdr:y>0.96775</cdr:y>
    </cdr:to>
    <cdr:sp macro="" textlink="">
      <cdr:nvSpPr>
        <cdr:cNvPr id="2" name="Text Box 3"/>
        <cdr:cNvSpPr txBox="1"/>
      </cdr:nvSpPr>
      <cdr:spPr>
        <a:xfrm xmlns:a="http://schemas.openxmlformats.org/drawingml/2006/main">
          <a:off x="2597592" y="3629660"/>
          <a:ext cx="1828800" cy="333375"/>
        </a:xfrm>
        <a:prstGeom xmlns:a="http://schemas.openxmlformats.org/drawingml/2006/main" prst="rect">
          <a:avLst/>
        </a:prstGeom>
        <a:noFill xmlns:a="http://schemas.openxmlformats.org/drawingml/2006/main"/>
        <a:ln xmlns:a="http://schemas.openxmlformats.org/drawingml/2006/main" w="6350">
          <a:noFill/>
        </a:ln>
      </cdr:spPr>
      <cdr:txBody>
        <a:bodyPr xmlns:a="http://schemas.openxmlformats.org/drawingml/2006/main" rot="0" spcFirstLastPara="0" vert="horz" wrap="square" lIns="91440" tIns="45720" rIns="91440" bIns="45720" numCol="1" spcCol="0" rtlCol="0" fromWordArt="0" anchor="t" anchorCtr="0" forceAA="0" compatLnSpc="1">
          <a:prstTxWarp prst="textNoShape">
            <a:avLst/>
          </a:prstTxWarp>
          <a:noAutofit/>
        </a:bodyPr>
        <a:lstStyle xmlns:a="http://schemas.openxmlformats.org/drawingml/2006/main">
          <a:lvl1pPr marL="0" indent="0">
            <a:defRPr sz="1100">
              <a:latin typeface="+mn-lt"/>
              <a:ea typeface="+mn-ea"/>
              <a:cs typeface="+mn-cs"/>
            </a:defRPr>
          </a:lvl1pPr>
          <a:lvl2pPr marL="457200" indent="0">
            <a:defRPr sz="1100">
              <a:latin typeface="+mn-lt"/>
              <a:ea typeface="+mn-ea"/>
              <a:cs typeface="+mn-cs"/>
            </a:defRPr>
          </a:lvl2pPr>
          <a:lvl3pPr marL="914400" indent="0">
            <a:defRPr sz="1100">
              <a:latin typeface="+mn-lt"/>
              <a:ea typeface="+mn-ea"/>
              <a:cs typeface="+mn-cs"/>
            </a:defRPr>
          </a:lvl3pPr>
          <a:lvl4pPr marL="1371600" indent="0">
            <a:defRPr sz="1100">
              <a:latin typeface="+mn-lt"/>
              <a:ea typeface="+mn-ea"/>
              <a:cs typeface="+mn-cs"/>
            </a:defRPr>
          </a:lvl4pPr>
          <a:lvl5pPr marL="1828800" indent="0">
            <a:defRPr sz="1100">
              <a:latin typeface="+mn-lt"/>
              <a:ea typeface="+mn-ea"/>
              <a:cs typeface="+mn-cs"/>
            </a:defRPr>
          </a:lvl5pPr>
          <a:lvl6pPr marL="2286000" indent="0">
            <a:defRPr sz="1100">
              <a:latin typeface="+mn-lt"/>
              <a:ea typeface="+mn-ea"/>
              <a:cs typeface="+mn-cs"/>
            </a:defRPr>
          </a:lvl6pPr>
          <a:lvl7pPr marL="2743200" indent="0">
            <a:defRPr sz="1100">
              <a:latin typeface="+mn-lt"/>
              <a:ea typeface="+mn-ea"/>
              <a:cs typeface="+mn-cs"/>
            </a:defRPr>
          </a:lvl7pPr>
          <a:lvl8pPr marL="3200400" indent="0">
            <a:defRPr sz="1100">
              <a:latin typeface="+mn-lt"/>
              <a:ea typeface="+mn-ea"/>
              <a:cs typeface="+mn-cs"/>
            </a:defRPr>
          </a:lvl8pPr>
          <a:lvl9pPr marL="3657600" indent="0">
            <a:defRPr sz="1100">
              <a:latin typeface="+mn-lt"/>
              <a:ea typeface="+mn-ea"/>
              <a:cs typeface="+mn-cs"/>
            </a:defRPr>
          </a:lvl9pPr>
        </a:lstStyle>
        <a:p xmlns:a="http://schemas.openxmlformats.org/drawingml/2006/main">
          <a:pPr marL="0" marR="0">
            <a:lnSpc>
              <a:spcPct val="200000"/>
            </a:lnSpc>
            <a:spcBef>
              <a:spcPts val="0"/>
            </a:spcBef>
            <a:spcAft>
              <a:spcPts val="0"/>
            </a:spcAft>
          </a:pPr>
          <a:r>
            <a:rPr lang="en-US" sz="1050">
              <a:effectLst/>
              <a:latin typeface="Arial" panose="020B0604020202020204" pitchFamily="34" charset="0"/>
              <a:ea typeface="Times New Roman" panose="02020603050405020304" pitchFamily="18" charset="0"/>
              <a:cs typeface="Times New Roman" panose="02020603050405020304" pitchFamily="18" charset="0"/>
            </a:rPr>
            <a:t>Wavelength (nm)</a:t>
          </a:r>
          <a:endParaRPr lang="en-US" sz="1200">
            <a:effectLst/>
            <a:latin typeface="Times New Roman" panose="02020603050405020304" pitchFamily="18" charset="0"/>
            <a:ea typeface="Times New Roman" panose="02020603050405020304" pitchFamily="18" charset="0"/>
            <a:cs typeface="Times New Roman" panose="02020603050405020304" pitchFamily="18" charset="0"/>
          </a:endParaRPr>
        </a:p>
      </cdr:txBody>
    </cdr:sp>
  </cdr:relSizeAnchor>
</c:userShapes>
</file>

<file path=word/drawings/drawing8.xml><?xml version="1.0" encoding="utf-8"?>
<c:userShapes xmlns:c="http://schemas.openxmlformats.org/drawingml/2006/chart">
  <cdr:relSizeAnchor xmlns:cdr="http://schemas.openxmlformats.org/drawingml/2006/chartDrawing">
    <cdr:from>
      <cdr:x>0.43704</cdr:x>
      <cdr:y>0.88634</cdr:y>
    </cdr:from>
    <cdr:to>
      <cdr:x>0.74473</cdr:x>
      <cdr:y>0.96775</cdr:y>
    </cdr:to>
    <cdr:sp macro="" textlink="">
      <cdr:nvSpPr>
        <cdr:cNvPr id="2" name="Text Box 3"/>
        <cdr:cNvSpPr txBox="1"/>
      </cdr:nvSpPr>
      <cdr:spPr>
        <a:xfrm xmlns:a="http://schemas.openxmlformats.org/drawingml/2006/main">
          <a:off x="2597592" y="3629660"/>
          <a:ext cx="1828800" cy="333375"/>
        </a:xfrm>
        <a:prstGeom xmlns:a="http://schemas.openxmlformats.org/drawingml/2006/main" prst="rect">
          <a:avLst/>
        </a:prstGeom>
        <a:noFill xmlns:a="http://schemas.openxmlformats.org/drawingml/2006/main"/>
        <a:ln xmlns:a="http://schemas.openxmlformats.org/drawingml/2006/main" w="6350">
          <a:noFill/>
        </a:ln>
      </cdr:spPr>
      <cdr:txBody>
        <a:bodyPr xmlns:a="http://schemas.openxmlformats.org/drawingml/2006/main" rot="0" spcFirstLastPara="0" vert="horz" wrap="square" lIns="91440" tIns="45720" rIns="91440" bIns="45720" numCol="1" spcCol="0" rtlCol="0" fromWordArt="0" anchor="t" anchorCtr="0" forceAA="0" compatLnSpc="1">
          <a:prstTxWarp prst="textNoShape">
            <a:avLst/>
          </a:prstTxWarp>
          <a:noAutofit/>
        </a:bodyPr>
        <a:lstStyle xmlns:a="http://schemas.openxmlformats.org/drawingml/2006/main">
          <a:lvl1pPr marL="0" indent="0">
            <a:defRPr sz="1100">
              <a:latin typeface="+mn-lt"/>
              <a:ea typeface="+mn-ea"/>
              <a:cs typeface="+mn-cs"/>
            </a:defRPr>
          </a:lvl1pPr>
          <a:lvl2pPr marL="457200" indent="0">
            <a:defRPr sz="1100">
              <a:latin typeface="+mn-lt"/>
              <a:ea typeface="+mn-ea"/>
              <a:cs typeface="+mn-cs"/>
            </a:defRPr>
          </a:lvl2pPr>
          <a:lvl3pPr marL="914400" indent="0">
            <a:defRPr sz="1100">
              <a:latin typeface="+mn-lt"/>
              <a:ea typeface="+mn-ea"/>
              <a:cs typeface="+mn-cs"/>
            </a:defRPr>
          </a:lvl3pPr>
          <a:lvl4pPr marL="1371600" indent="0">
            <a:defRPr sz="1100">
              <a:latin typeface="+mn-lt"/>
              <a:ea typeface="+mn-ea"/>
              <a:cs typeface="+mn-cs"/>
            </a:defRPr>
          </a:lvl4pPr>
          <a:lvl5pPr marL="1828800" indent="0">
            <a:defRPr sz="1100">
              <a:latin typeface="+mn-lt"/>
              <a:ea typeface="+mn-ea"/>
              <a:cs typeface="+mn-cs"/>
            </a:defRPr>
          </a:lvl5pPr>
          <a:lvl6pPr marL="2286000" indent="0">
            <a:defRPr sz="1100">
              <a:latin typeface="+mn-lt"/>
              <a:ea typeface="+mn-ea"/>
              <a:cs typeface="+mn-cs"/>
            </a:defRPr>
          </a:lvl6pPr>
          <a:lvl7pPr marL="2743200" indent="0">
            <a:defRPr sz="1100">
              <a:latin typeface="+mn-lt"/>
              <a:ea typeface="+mn-ea"/>
              <a:cs typeface="+mn-cs"/>
            </a:defRPr>
          </a:lvl7pPr>
          <a:lvl8pPr marL="3200400" indent="0">
            <a:defRPr sz="1100">
              <a:latin typeface="+mn-lt"/>
              <a:ea typeface="+mn-ea"/>
              <a:cs typeface="+mn-cs"/>
            </a:defRPr>
          </a:lvl8pPr>
          <a:lvl9pPr marL="3657600" indent="0">
            <a:defRPr sz="1100">
              <a:latin typeface="+mn-lt"/>
              <a:ea typeface="+mn-ea"/>
              <a:cs typeface="+mn-cs"/>
            </a:defRPr>
          </a:lvl9pPr>
        </a:lstStyle>
        <a:p xmlns:a="http://schemas.openxmlformats.org/drawingml/2006/main">
          <a:pPr marL="0" marR="0">
            <a:lnSpc>
              <a:spcPct val="200000"/>
            </a:lnSpc>
            <a:spcBef>
              <a:spcPts val="0"/>
            </a:spcBef>
            <a:spcAft>
              <a:spcPts val="0"/>
            </a:spcAft>
          </a:pPr>
          <a:r>
            <a:rPr lang="en-US" sz="1050">
              <a:effectLst/>
              <a:latin typeface="Arial" panose="020B0604020202020204" pitchFamily="34" charset="0"/>
              <a:ea typeface="Times New Roman" panose="02020603050405020304" pitchFamily="18" charset="0"/>
              <a:cs typeface="Times New Roman" panose="02020603050405020304" pitchFamily="18" charset="0"/>
            </a:rPr>
            <a:t>Wavelength (nm)</a:t>
          </a:r>
          <a:endParaRPr lang="en-US" sz="1200">
            <a:effectLst/>
            <a:latin typeface="Times New Roman" panose="02020603050405020304" pitchFamily="18" charset="0"/>
            <a:ea typeface="Times New Roman" panose="02020603050405020304" pitchFamily="18" charset="0"/>
            <a:cs typeface="Times New Roman" panose="02020603050405020304" pitchFamily="18" charset="0"/>
          </a:endParaRPr>
        </a:p>
      </cdr:txBody>
    </cdr:sp>
  </cdr:relSizeAnchor>
</c:userShapes>
</file>

<file path=word/drawings/drawing9.xml><?xml version="1.0" encoding="utf-8"?>
<c:userShapes xmlns:c="http://schemas.openxmlformats.org/drawingml/2006/chart">
  <cdr:relSizeAnchor xmlns:cdr="http://schemas.openxmlformats.org/drawingml/2006/chartDrawing">
    <cdr:from>
      <cdr:x>0.43704</cdr:x>
      <cdr:y>0.88634</cdr:y>
    </cdr:from>
    <cdr:to>
      <cdr:x>0.74473</cdr:x>
      <cdr:y>0.96775</cdr:y>
    </cdr:to>
    <cdr:sp macro="" textlink="">
      <cdr:nvSpPr>
        <cdr:cNvPr id="2" name="Text Box 3"/>
        <cdr:cNvSpPr txBox="1"/>
      </cdr:nvSpPr>
      <cdr:spPr>
        <a:xfrm xmlns:a="http://schemas.openxmlformats.org/drawingml/2006/main">
          <a:off x="2597592" y="3629660"/>
          <a:ext cx="1828800" cy="333375"/>
        </a:xfrm>
        <a:prstGeom xmlns:a="http://schemas.openxmlformats.org/drawingml/2006/main" prst="rect">
          <a:avLst/>
        </a:prstGeom>
        <a:noFill xmlns:a="http://schemas.openxmlformats.org/drawingml/2006/main"/>
        <a:ln xmlns:a="http://schemas.openxmlformats.org/drawingml/2006/main" w="6350">
          <a:noFill/>
        </a:ln>
      </cdr:spPr>
      <cdr:txBody>
        <a:bodyPr xmlns:a="http://schemas.openxmlformats.org/drawingml/2006/main" rot="0" spcFirstLastPara="0" vert="horz" wrap="square" lIns="91440" tIns="45720" rIns="91440" bIns="45720" numCol="1" spcCol="0" rtlCol="0" fromWordArt="0" anchor="t" anchorCtr="0" forceAA="0" compatLnSpc="1">
          <a:prstTxWarp prst="textNoShape">
            <a:avLst/>
          </a:prstTxWarp>
          <a:noAutofit/>
        </a:bodyPr>
        <a:lstStyle xmlns:a="http://schemas.openxmlformats.org/drawingml/2006/main">
          <a:lvl1pPr marL="0" indent="0">
            <a:defRPr sz="1100">
              <a:latin typeface="+mn-lt"/>
              <a:ea typeface="+mn-ea"/>
              <a:cs typeface="+mn-cs"/>
            </a:defRPr>
          </a:lvl1pPr>
          <a:lvl2pPr marL="457200" indent="0">
            <a:defRPr sz="1100">
              <a:latin typeface="+mn-lt"/>
              <a:ea typeface="+mn-ea"/>
              <a:cs typeface="+mn-cs"/>
            </a:defRPr>
          </a:lvl2pPr>
          <a:lvl3pPr marL="914400" indent="0">
            <a:defRPr sz="1100">
              <a:latin typeface="+mn-lt"/>
              <a:ea typeface="+mn-ea"/>
              <a:cs typeface="+mn-cs"/>
            </a:defRPr>
          </a:lvl3pPr>
          <a:lvl4pPr marL="1371600" indent="0">
            <a:defRPr sz="1100">
              <a:latin typeface="+mn-lt"/>
              <a:ea typeface="+mn-ea"/>
              <a:cs typeface="+mn-cs"/>
            </a:defRPr>
          </a:lvl4pPr>
          <a:lvl5pPr marL="1828800" indent="0">
            <a:defRPr sz="1100">
              <a:latin typeface="+mn-lt"/>
              <a:ea typeface="+mn-ea"/>
              <a:cs typeface="+mn-cs"/>
            </a:defRPr>
          </a:lvl5pPr>
          <a:lvl6pPr marL="2286000" indent="0">
            <a:defRPr sz="1100">
              <a:latin typeface="+mn-lt"/>
              <a:ea typeface="+mn-ea"/>
              <a:cs typeface="+mn-cs"/>
            </a:defRPr>
          </a:lvl6pPr>
          <a:lvl7pPr marL="2743200" indent="0">
            <a:defRPr sz="1100">
              <a:latin typeface="+mn-lt"/>
              <a:ea typeface="+mn-ea"/>
              <a:cs typeface="+mn-cs"/>
            </a:defRPr>
          </a:lvl7pPr>
          <a:lvl8pPr marL="3200400" indent="0">
            <a:defRPr sz="1100">
              <a:latin typeface="+mn-lt"/>
              <a:ea typeface="+mn-ea"/>
              <a:cs typeface="+mn-cs"/>
            </a:defRPr>
          </a:lvl8pPr>
          <a:lvl9pPr marL="3657600" indent="0">
            <a:defRPr sz="1100">
              <a:latin typeface="+mn-lt"/>
              <a:ea typeface="+mn-ea"/>
              <a:cs typeface="+mn-cs"/>
            </a:defRPr>
          </a:lvl9pPr>
        </a:lstStyle>
        <a:p xmlns:a="http://schemas.openxmlformats.org/drawingml/2006/main">
          <a:pPr marL="0" marR="0">
            <a:lnSpc>
              <a:spcPct val="200000"/>
            </a:lnSpc>
            <a:spcBef>
              <a:spcPts val="0"/>
            </a:spcBef>
            <a:spcAft>
              <a:spcPts val="0"/>
            </a:spcAft>
          </a:pPr>
          <a:r>
            <a:rPr lang="en-US" sz="1050">
              <a:effectLst/>
              <a:latin typeface="Arial" panose="020B0604020202020204" pitchFamily="34" charset="0"/>
              <a:ea typeface="Times New Roman" panose="02020603050405020304" pitchFamily="18" charset="0"/>
              <a:cs typeface="Times New Roman" panose="02020603050405020304" pitchFamily="18" charset="0"/>
            </a:rPr>
            <a:t>Wavelength (nm)</a:t>
          </a:r>
          <a:endParaRPr lang="en-US" sz="1200">
            <a:effectLst/>
            <a:latin typeface="Times New Roman" panose="02020603050405020304" pitchFamily="18" charset="0"/>
            <a:ea typeface="Times New Roman" panose="02020603050405020304" pitchFamily="18" charset="0"/>
            <a:cs typeface="Times New Roman" panose="02020603050405020304" pitchFamily="18" charset="0"/>
          </a:endParaRPr>
        </a:p>
      </cdr:txBody>
    </cdr:sp>
  </cdr:relSizeAnchor>
</c:userShapes>
</file>

<file path=word/drawings/drawing10.xml><?xml version="1.0" encoding="utf-8"?>
<c:userShapes xmlns:c="http://schemas.openxmlformats.org/drawingml/2006/chart">
  <cdr:relSizeAnchor xmlns:cdr="http://schemas.openxmlformats.org/drawingml/2006/chartDrawing">
    <cdr:from>
      <cdr:x>0.43704</cdr:x>
      <cdr:y>0.88634</cdr:y>
    </cdr:from>
    <cdr:to>
      <cdr:x>0.74473</cdr:x>
      <cdr:y>0.96775</cdr:y>
    </cdr:to>
    <cdr:sp macro="" textlink="">
      <cdr:nvSpPr>
        <cdr:cNvPr id="2" name="Text Box 3"/>
        <cdr:cNvSpPr txBox="1"/>
      </cdr:nvSpPr>
      <cdr:spPr>
        <a:xfrm xmlns:a="http://schemas.openxmlformats.org/drawingml/2006/main">
          <a:off x="2597592" y="3629660"/>
          <a:ext cx="1828800" cy="333375"/>
        </a:xfrm>
        <a:prstGeom xmlns:a="http://schemas.openxmlformats.org/drawingml/2006/main" prst="rect">
          <a:avLst/>
        </a:prstGeom>
        <a:noFill xmlns:a="http://schemas.openxmlformats.org/drawingml/2006/main"/>
        <a:ln xmlns:a="http://schemas.openxmlformats.org/drawingml/2006/main" w="6350">
          <a:noFill/>
        </a:ln>
      </cdr:spPr>
      <cdr:txBody>
        <a:bodyPr xmlns:a="http://schemas.openxmlformats.org/drawingml/2006/main" rot="0" spcFirstLastPara="0" vert="horz" wrap="square" lIns="91440" tIns="45720" rIns="91440" bIns="45720" numCol="1" spcCol="0" rtlCol="0" fromWordArt="0" anchor="t" anchorCtr="0" forceAA="0" compatLnSpc="1">
          <a:prstTxWarp prst="textNoShape">
            <a:avLst/>
          </a:prstTxWarp>
          <a:noAutofit/>
        </a:bodyPr>
        <a:lstStyle xmlns:a="http://schemas.openxmlformats.org/drawingml/2006/main">
          <a:lvl1pPr marL="0" indent="0">
            <a:defRPr sz="1100">
              <a:latin typeface="+mn-lt"/>
              <a:ea typeface="+mn-ea"/>
              <a:cs typeface="+mn-cs"/>
            </a:defRPr>
          </a:lvl1pPr>
          <a:lvl2pPr marL="457200" indent="0">
            <a:defRPr sz="1100">
              <a:latin typeface="+mn-lt"/>
              <a:ea typeface="+mn-ea"/>
              <a:cs typeface="+mn-cs"/>
            </a:defRPr>
          </a:lvl2pPr>
          <a:lvl3pPr marL="914400" indent="0">
            <a:defRPr sz="1100">
              <a:latin typeface="+mn-lt"/>
              <a:ea typeface="+mn-ea"/>
              <a:cs typeface="+mn-cs"/>
            </a:defRPr>
          </a:lvl3pPr>
          <a:lvl4pPr marL="1371600" indent="0">
            <a:defRPr sz="1100">
              <a:latin typeface="+mn-lt"/>
              <a:ea typeface="+mn-ea"/>
              <a:cs typeface="+mn-cs"/>
            </a:defRPr>
          </a:lvl4pPr>
          <a:lvl5pPr marL="1828800" indent="0">
            <a:defRPr sz="1100">
              <a:latin typeface="+mn-lt"/>
              <a:ea typeface="+mn-ea"/>
              <a:cs typeface="+mn-cs"/>
            </a:defRPr>
          </a:lvl5pPr>
          <a:lvl6pPr marL="2286000" indent="0">
            <a:defRPr sz="1100">
              <a:latin typeface="+mn-lt"/>
              <a:ea typeface="+mn-ea"/>
              <a:cs typeface="+mn-cs"/>
            </a:defRPr>
          </a:lvl6pPr>
          <a:lvl7pPr marL="2743200" indent="0">
            <a:defRPr sz="1100">
              <a:latin typeface="+mn-lt"/>
              <a:ea typeface="+mn-ea"/>
              <a:cs typeface="+mn-cs"/>
            </a:defRPr>
          </a:lvl7pPr>
          <a:lvl8pPr marL="3200400" indent="0">
            <a:defRPr sz="1100">
              <a:latin typeface="+mn-lt"/>
              <a:ea typeface="+mn-ea"/>
              <a:cs typeface="+mn-cs"/>
            </a:defRPr>
          </a:lvl8pPr>
          <a:lvl9pPr marL="3657600" indent="0">
            <a:defRPr sz="1100">
              <a:latin typeface="+mn-lt"/>
              <a:ea typeface="+mn-ea"/>
              <a:cs typeface="+mn-cs"/>
            </a:defRPr>
          </a:lvl9pPr>
        </a:lstStyle>
        <a:p xmlns:a="http://schemas.openxmlformats.org/drawingml/2006/main">
          <a:pPr marL="0" marR="0">
            <a:lnSpc>
              <a:spcPct val="200000"/>
            </a:lnSpc>
            <a:spcBef>
              <a:spcPts val="0"/>
            </a:spcBef>
            <a:spcAft>
              <a:spcPts val="0"/>
            </a:spcAft>
          </a:pPr>
          <a:r>
            <a:rPr lang="en-US" sz="1050">
              <a:effectLst/>
              <a:latin typeface="Arial" panose="020B0604020202020204" pitchFamily="34" charset="0"/>
              <a:ea typeface="Times New Roman" panose="02020603050405020304" pitchFamily="18" charset="0"/>
              <a:cs typeface="Times New Roman" panose="02020603050405020304" pitchFamily="18" charset="0"/>
            </a:rPr>
            <a:t>Wavelength (nm)</a:t>
          </a:r>
          <a:endParaRPr lang="en-US" sz="1200">
            <a:effectLst/>
            <a:latin typeface="Times New Roman" panose="02020603050405020304" pitchFamily="18" charset="0"/>
            <a:ea typeface="Times New Roman" panose="02020603050405020304" pitchFamily="18" charset="0"/>
            <a:cs typeface="Times New Roman" panose="02020603050405020304" pitchFamily="18" charset="0"/>
          </a:endParaRPr>
        </a:p>
      </cdr:txBody>
    </cdr:sp>
  </cdr:relSizeAnchor>
</c:userShapes>
</file>

<file path=word/drawings/drawing11.xml><?xml version="1.0" encoding="utf-8"?>
<c:userShapes xmlns:c="http://schemas.openxmlformats.org/drawingml/2006/chart">
  <cdr:relSizeAnchor xmlns:cdr="http://schemas.openxmlformats.org/drawingml/2006/chartDrawing">
    <cdr:from>
      <cdr:x>0.43709</cdr:x>
      <cdr:y>0.88634</cdr:y>
    </cdr:from>
    <cdr:to>
      <cdr:x>0.74481</cdr:x>
      <cdr:y>0.96775</cdr:y>
    </cdr:to>
    <cdr:sp macro="" textlink="">
      <cdr:nvSpPr>
        <cdr:cNvPr id="2" name="Text Box 3"/>
        <cdr:cNvSpPr txBox="1"/>
      </cdr:nvSpPr>
      <cdr:spPr>
        <a:xfrm xmlns:a="http://schemas.openxmlformats.org/drawingml/2006/main">
          <a:off x="2597592" y="3629660"/>
          <a:ext cx="1828800" cy="333375"/>
        </a:xfrm>
        <a:prstGeom xmlns:a="http://schemas.openxmlformats.org/drawingml/2006/main" prst="rect">
          <a:avLst/>
        </a:prstGeom>
        <a:noFill xmlns:a="http://schemas.openxmlformats.org/drawingml/2006/main"/>
        <a:ln xmlns:a="http://schemas.openxmlformats.org/drawingml/2006/main" w="6350">
          <a:noFill/>
        </a:ln>
      </cdr:spPr>
      <cdr:txBody>
        <a:bodyPr xmlns:a="http://schemas.openxmlformats.org/drawingml/2006/main" rot="0" spcFirstLastPara="0" vert="horz" wrap="square" lIns="91440" tIns="45720" rIns="91440" bIns="45720" numCol="1" spcCol="0" rtlCol="0" fromWordArt="0" anchor="t" anchorCtr="0" forceAA="0" compatLnSpc="1">
          <a:prstTxWarp prst="textNoShape">
            <a:avLst/>
          </a:prstTxWarp>
          <a:noAutofit/>
        </a:bodyPr>
        <a:lstStyle xmlns:a="http://schemas.openxmlformats.org/drawingml/2006/main">
          <a:lvl1pPr marL="0" indent="0">
            <a:defRPr sz="1100">
              <a:latin typeface="+mn-lt"/>
              <a:ea typeface="+mn-ea"/>
              <a:cs typeface="+mn-cs"/>
            </a:defRPr>
          </a:lvl1pPr>
          <a:lvl2pPr marL="457200" indent="0">
            <a:defRPr sz="1100">
              <a:latin typeface="+mn-lt"/>
              <a:ea typeface="+mn-ea"/>
              <a:cs typeface="+mn-cs"/>
            </a:defRPr>
          </a:lvl2pPr>
          <a:lvl3pPr marL="914400" indent="0">
            <a:defRPr sz="1100">
              <a:latin typeface="+mn-lt"/>
              <a:ea typeface="+mn-ea"/>
              <a:cs typeface="+mn-cs"/>
            </a:defRPr>
          </a:lvl3pPr>
          <a:lvl4pPr marL="1371600" indent="0">
            <a:defRPr sz="1100">
              <a:latin typeface="+mn-lt"/>
              <a:ea typeface="+mn-ea"/>
              <a:cs typeface="+mn-cs"/>
            </a:defRPr>
          </a:lvl4pPr>
          <a:lvl5pPr marL="1828800" indent="0">
            <a:defRPr sz="1100">
              <a:latin typeface="+mn-lt"/>
              <a:ea typeface="+mn-ea"/>
              <a:cs typeface="+mn-cs"/>
            </a:defRPr>
          </a:lvl5pPr>
          <a:lvl6pPr marL="2286000" indent="0">
            <a:defRPr sz="1100">
              <a:latin typeface="+mn-lt"/>
              <a:ea typeface="+mn-ea"/>
              <a:cs typeface="+mn-cs"/>
            </a:defRPr>
          </a:lvl6pPr>
          <a:lvl7pPr marL="2743200" indent="0">
            <a:defRPr sz="1100">
              <a:latin typeface="+mn-lt"/>
              <a:ea typeface="+mn-ea"/>
              <a:cs typeface="+mn-cs"/>
            </a:defRPr>
          </a:lvl7pPr>
          <a:lvl8pPr marL="3200400" indent="0">
            <a:defRPr sz="1100">
              <a:latin typeface="+mn-lt"/>
              <a:ea typeface="+mn-ea"/>
              <a:cs typeface="+mn-cs"/>
            </a:defRPr>
          </a:lvl8pPr>
          <a:lvl9pPr marL="3657600" indent="0">
            <a:defRPr sz="1100">
              <a:latin typeface="+mn-lt"/>
              <a:ea typeface="+mn-ea"/>
              <a:cs typeface="+mn-cs"/>
            </a:defRPr>
          </a:lvl9pPr>
        </a:lstStyle>
        <a:p xmlns:a="http://schemas.openxmlformats.org/drawingml/2006/main">
          <a:pPr marL="0" marR="0">
            <a:lnSpc>
              <a:spcPct val="200000"/>
            </a:lnSpc>
            <a:spcBef>
              <a:spcPts val="0"/>
            </a:spcBef>
            <a:spcAft>
              <a:spcPts val="0"/>
            </a:spcAft>
          </a:pPr>
          <a:r>
            <a:rPr lang="en-US" sz="1050">
              <a:effectLst/>
              <a:latin typeface="Arial" panose="020B0604020202020204" pitchFamily="34" charset="0"/>
              <a:ea typeface="Times New Roman" panose="02020603050405020304" pitchFamily="18" charset="0"/>
              <a:cs typeface="Times New Roman" panose="02020603050405020304" pitchFamily="18" charset="0"/>
            </a:rPr>
            <a:t>Wavelength (nm)</a:t>
          </a:r>
          <a:endParaRPr lang="en-US" sz="1200">
            <a:effectLst/>
            <a:latin typeface="Times New Roman" panose="02020603050405020304" pitchFamily="18" charset="0"/>
            <a:ea typeface="Times New Roman" panose="02020603050405020304" pitchFamily="18" charset="0"/>
            <a:cs typeface="Times New Roman" panose="02020603050405020304" pitchFamily="18" charset="0"/>
          </a:endParaRPr>
        </a:p>
      </cdr:txBody>
    </cdr:sp>
  </cdr:relSizeAnchor>
</c:userShapes>
</file>

<file path=word/drawings/drawing12.xml><?xml version="1.0" encoding="utf-8"?>
<c:userShapes xmlns:c="http://schemas.openxmlformats.org/drawingml/2006/chart">
  <cdr:relSizeAnchor xmlns:cdr="http://schemas.openxmlformats.org/drawingml/2006/chartDrawing">
    <cdr:from>
      <cdr:x>0.43704</cdr:x>
      <cdr:y>0.88634</cdr:y>
    </cdr:from>
    <cdr:to>
      <cdr:x>0.74473</cdr:x>
      <cdr:y>0.96775</cdr:y>
    </cdr:to>
    <cdr:sp macro="" textlink="">
      <cdr:nvSpPr>
        <cdr:cNvPr id="2" name="Text Box 3"/>
        <cdr:cNvSpPr txBox="1"/>
      </cdr:nvSpPr>
      <cdr:spPr>
        <a:xfrm xmlns:a="http://schemas.openxmlformats.org/drawingml/2006/main">
          <a:off x="2597592" y="3629660"/>
          <a:ext cx="1828800" cy="333375"/>
        </a:xfrm>
        <a:prstGeom xmlns:a="http://schemas.openxmlformats.org/drawingml/2006/main" prst="rect">
          <a:avLst/>
        </a:prstGeom>
        <a:noFill xmlns:a="http://schemas.openxmlformats.org/drawingml/2006/main"/>
        <a:ln xmlns:a="http://schemas.openxmlformats.org/drawingml/2006/main" w="6350">
          <a:noFill/>
        </a:ln>
      </cdr:spPr>
      <cdr:txBody>
        <a:bodyPr xmlns:a="http://schemas.openxmlformats.org/drawingml/2006/main" rot="0" spcFirstLastPara="0" vert="horz" wrap="square" lIns="91440" tIns="45720" rIns="91440" bIns="45720" numCol="1" spcCol="0" rtlCol="0" fromWordArt="0" anchor="t" anchorCtr="0" forceAA="0" compatLnSpc="1">
          <a:prstTxWarp prst="textNoShape">
            <a:avLst/>
          </a:prstTxWarp>
          <a:noAutofit/>
        </a:bodyPr>
        <a:lstStyle xmlns:a="http://schemas.openxmlformats.org/drawingml/2006/main">
          <a:lvl1pPr marL="0" indent="0">
            <a:defRPr sz="1100">
              <a:latin typeface="+mn-lt"/>
              <a:ea typeface="+mn-ea"/>
              <a:cs typeface="+mn-cs"/>
            </a:defRPr>
          </a:lvl1pPr>
          <a:lvl2pPr marL="457200" indent="0">
            <a:defRPr sz="1100">
              <a:latin typeface="+mn-lt"/>
              <a:ea typeface="+mn-ea"/>
              <a:cs typeface="+mn-cs"/>
            </a:defRPr>
          </a:lvl2pPr>
          <a:lvl3pPr marL="914400" indent="0">
            <a:defRPr sz="1100">
              <a:latin typeface="+mn-lt"/>
              <a:ea typeface="+mn-ea"/>
              <a:cs typeface="+mn-cs"/>
            </a:defRPr>
          </a:lvl3pPr>
          <a:lvl4pPr marL="1371600" indent="0">
            <a:defRPr sz="1100">
              <a:latin typeface="+mn-lt"/>
              <a:ea typeface="+mn-ea"/>
              <a:cs typeface="+mn-cs"/>
            </a:defRPr>
          </a:lvl4pPr>
          <a:lvl5pPr marL="1828800" indent="0">
            <a:defRPr sz="1100">
              <a:latin typeface="+mn-lt"/>
              <a:ea typeface="+mn-ea"/>
              <a:cs typeface="+mn-cs"/>
            </a:defRPr>
          </a:lvl5pPr>
          <a:lvl6pPr marL="2286000" indent="0">
            <a:defRPr sz="1100">
              <a:latin typeface="+mn-lt"/>
              <a:ea typeface="+mn-ea"/>
              <a:cs typeface="+mn-cs"/>
            </a:defRPr>
          </a:lvl6pPr>
          <a:lvl7pPr marL="2743200" indent="0">
            <a:defRPr sz="1100">
              <a:latin typeface="+mn-lt"/>
              <a:ea typeface="+mn-ea"/>
              <a:cs typeface="+mn-cs"/>
            </a:defRPr>
          </a:lvl7pPr>
          <a:lvl8pPr marL="3200400" indent="0">
            <a:defRPr sz="1100">
              <a:latin typeface="+mn-lt"/>
              <a:ea typeface="+mn-ea"/>
              <a:cs typeface="+mn-cs"/>
            </a:defRPr>
          </a:lvl8pPr>
          <a:lvl9pPr marL="3657600" indent="0">
            <a:defRPr sz="1100">
              <a:latin typeface="+mn-lt"/>
              <a:ea typeface="+mn-ea"/>
              <a:cs typeface="+mn-cs"/>
            </a:defRPr>
          </a:lvl9pPr>
        </a:lstStyle>
        <a:p xmlns:a="http://schemas.openxmlformats.org/drawingml/2006/main">
          <a:pPr marL="0" marR="0">
            <a:lnSpc>
              <a:spcPct val="200000"/>
            </a:lnSpc>
            <a:spcBef>
              <a:spcPts val="0"/>
            </a:spcBef>
            <a:spcAft>
              <a:spcPts val="0"/>
            </a:spcAft>
          </a:pPr>
          <a:r>
            <a:rPr lang="en-US" sz="1050">
              <a:effectLst/>
              <a:latin typeface="Arial" panose="020B0604020202020204" pitchFamily="34" charset="0"/>
              <a:ea typeface="Times New Roman" panose="02020603050405020304" pitchFamily="18" charset="0"/>
              <a:cs typeface="Times New Roman" panose="02020603050405020304" pitchFamily="18" charset="0"/>
            </a:rPr>
            <a:t>Wavelength (nm)</a:t>
          </a:r>
          <a:endParaRPr lang="en-US" sz="1200">
            <a:effectLst/>
            <a:latin typeface="Times New Roman" panose="02020603050405020304" pitchFamily="18" charset="0"/>
            <a:ea typeface="Times New Roman" panose="02020603050405020304" pitchFamily="18" charset="0"/>
            <a:cs typeface="Times New Roman" panose="02020603050405020304" pitchFamily="18" charset="0"/>
          </a:endParaRPr>
        </a:p>
      </cdr:txBody>
    </cdr:sp>
  </cdr:relSizeAnchor>
</c:userShapes>
</file>

<file path=word/drawings/drawing13.xml><?xml version="1.0" encoding="utf-8"?>
<c:userShapes xmlns:c="http://schemas.openxmlformats.org/drawingml/2006/chart">
  <cdr:relSizeAnchor xmlns:cdr="http://schemas.openxmlformats.org/drawingml/2006/chartDrawing">
    <cdr:from>
      <cdr:x>0.57426</cdr:x>
      <cdr:y>0.0366</cdr:y>
    </cdr:from>
    <cdr:to>
      <cdr:x>0.66108</cdr:x>
      <cdr:y>0.06536</cdr:y>
    </cdr:to>
    <cdr:sp macro="" textlink="">
      <cdr:nvSpPr>
        <cdr:cNvPr id="2" name="Text Box 1"/>
        <cdr:cNvSpPr txBox="1"/>
      </cdr:nvSpPr>
      <cdr:spPr>
        <a:xfrm xmlns:a="http://schemas.openxmlformats.org/drawingml/2006/main">
          <a:off x="3413156" y="253496"/>
          <a:ext cx="516047" cy="199176"/>
        </a:xfrm>
        <a:prstGeom xmlns:a="http://schemas.openxmlformats.org/drawingml/2006/main" prst="rect">
          <a:avLst/>
        </a:prstGeom>
      </cdr:spPr>
      <cdr:txBody>
        <a:bodyPr xmlns:a="http://schemas.openxmlformats.org/drawingml/2006/main" vertOverflow="clip" wrap="square" rtlCol="0"/>
        <a:lstStyle xmlns:a="http://schemas.openxmlformats.org/drawingml/2006/main"/>
        <a:p xmlns:a="http://schemas.openxmlformats.org/drawingml/2006/main">
          <a:r>
            <a:rPr lang="en-US" sz="1200" b="1">
              <a:latin typeface="Arial" panose="020B0604020202020204" pitchFamily="34" charset="0"/>
              <a:cs typeface="Arial" panose="020B0604020202020204" pitchFamily="34" charset="0"/>
            </a:rPr>
            <a:t>  cd</a:t>
          </a:r>
        </a:p>
      </cdr:txBody>
    </cdr:sp>
  </cdr:relSizeAnchor>
  <cdr:relSizeAnchor xmlns:cdr="http://schemas.openxmlformats.org/drawingml/2006/chartDrawing">
    <cdr:from>
      <cdr:x>0.63764</cdr:x>
      <cdr:y>0.79302</cdr:y>
    </cdr:from>
    <cdr:to>
      <cdr:x>0.72446</cdr:x>
      <cdr:y>0.82178</cdr:y>
    </cdr:to>
    <cdr:sp macro="" textlink="">
      <cdr:nvSpPr>
        <cdr:cNvPr id="3" name="Text Box 1"/>
        <cdr:cNvSpPr txBox="1"/>
      </cdr:nvSpPr>
      <cdr:spPr>
        <a:xfrm xmlns:a="http://schemas.openxmlformats.org/drawingml/2006/main">
          <a:off x="3789881" y="5491931"/>
          <a:ext cx="516047" cy="199176"/>
        </a:xfrm>
        <a:prstGeom xmlns:a="http://schemas.openxmlformats.org/drawingml/2006/main" prst="rect">
          <a:avLst/>
        </a:prstGeom>
      </cdr:spPr>
      <cdr:txBody>
        <a:bodyPr xmlns:a="http://schemas.openxmlformats.org/drawingml/2006/main" wrap="square" rtlCol="0"/>
        <a:lstStyle xmlns:a="http://schemas.openxmlformats.org/drawingml/2006/main">
          <a:lvl1pPr marL="0" indent="0">
            <a:defRPr sz="1100">
              <a:latin typeface="+mn-lt"/>
              <a:ea typeface="+mn-ea"/>
              <a:cs typeface="+mn-cs"/>
            </a:defRPr>
          </a:lvl1pPr>
          <a:lvl2pPr marL="457200" indent="0">
            <a:defRPr sz="1100">
              <a:latin typeface="+mn-lt"/>
              <a:ea typeface="+mn-ea"/>
              <a:cs typeface="+mn-cs"/>
            </a:defRPr>
          </a:lvl2pPr>
          <a:lvl3pPr marL="914400" indent="0">
            <a:defRPr sz="1100">
              <a:latin typeface="+mn-lt"/>
              <a:ea typeface="+mn-ea"/>
              <a:cs typeface="+mn-cs"/>
            </a:defRPr>
          </a:lvl3pPr>
          <a:lvl4pPr marL="1371600" indent="0">
            <a:defRPr sz="1100">
              <a:latin typeface="+mn-lt"/>
              <a:ea typeface="+mn-ea"/>
              <a:cs typeface="+mn-cs"/>
            </a:defRPr>
          </a:lvl4pPr>
          <a:lvl5pPr marL="1828800" indent="0">
            <a:defRPr sz="1100">
              <a:latin typeface="+mn-lt"/>
              <a:ea typeface="+mn-ea"/>
              <a:cs typeface="+mn-cs"/>
            </a:defRPr>
          </a:lvl5pPr>
          <a:lvl6pPr marL="2286000" indent="0">
            <a:defRPr sz="1100">
              <a:latin typeface="+mn-lt"/>
              <a:ea typeface="+mn-ea"/>
              <a:cs typeface="+mn-cs"/>
            </a:defRPr>
          </a:lvl6pPr>
          <a:lvl7pPr marL="2743200" indent="0">
            <a:defRPr sz="1100">
              <a:latin typeface="+mn-lt"/>
              <a:ea typeface="+mn-ea"/>
              <a:cs typeface="+mn-cs"/>
            </a:defRPr>
          </a:lvl7pPr>
          <a:lvl8pPr marL="3200400" indent="0">
            <a:defRPr sz="1100">
              <a:latin typeface="+mn-lt"/>
              <a:ea typeface="+mn-ea"/>
              <a:cs typeface="+mn-cs"/>
            </a:defRPr>
          </a:lvl8pPr>
          <a:lvl9pPr marL="3657600" indent="0">
            <a:defRPr sz="1100">
              <a:latin typeface="+mn-lt"/>
              <a:ea typeface="+mn-ea"/>
              <a:cs typeface="+mn-cs"/>
            </a:defRPr>
          </a:lvl9pPr>
        </a:lstStyle>
        <a:p xmlns:a="http://schemas.openxmlformats.org/drawingml/2006/main">
          <a:r>
            <a:rPr lang="en-US" sz="1200" b="1">
              <a:latin typeface="Arial" panose="020B0604020202020204" pitchFamily="34" charset="0"/>
              <a:cs typeface="Arial" panose="020B0604020202020204" pitchFamily="34" charset="0"/>
            </a:rPr>
            <a:t>     c</a:t>
          </a:r>
        </a:p>
      </cdr:txBody>
    </cdr:sp>
  </cdr:relSizeAnchor>
  <cdr:relSizeAnchor xmlns:cdr="http://schemas.openxmlformats.org/drawingml/2006/chartDrawing">
    <cdr:from>
      <cdr:x>0.56148</cdr:x>
      <cdr:y>0.72635</cdr:y>
    </cdr:from>
    <cdr:to>
      <cdr:x>0.73267</cdr:x>
      <cdr:y>0.75991</cdr:y>
    </cdr:to>
    <cdr:sp macro="" textlink="">
      <cdr:nvSpPr>
        <cdr:cNvPr id="4" name="Text Box 1"/>
        <cdr:cNvSpPr txBox="1"/>
      </cdr:nvSpPr>
      <cdr:spPr>
        <a:xfrm xmlns:a="http://schemas.openxmlformats.org/drawingml/2006/main">
          <a:off x="3337213" y="4871995"/>
          <a:ext cx="1017504" cy="225105"/>
        </a:xfrm>
        <a:prstGeom xmlns:a="http://schemas.openxmlformats.org/drawingml/2006/main" prst="rect">
          <a:avLst/>
        </a:prstGeom>
      </cdr:spPr>
      <cdr:txBody>
        <a:bodyPr xmlns:a="http://schemas.openxmlformats.org/drawingml/2006/main" wrap="square" rtlCol="0"/>
        <a:lstStyle xmlns:a="http://schemas.openxmlformats.org/drawingml/2006/main">
          <a:lvl1pPr marL="0" indent="0">
            <a:defRPr sz="1100">
              <a:latin typeface="+mn-lt"/>
              <a:ea typeface="+mn-ea"/>
              <a:cs typeface="+mn-cs"/>
            </a:defRPr>
          </a:lvl1pPr>
          <a:lvl2pPr marL="457200" indent="0">
            <a:defRPr sz="1100">
              <a:latin typeface="+mn-lt"/>
              <a:ea typeface="+mn-ea"/>
              <a:cs typeface="+mn-cs"/>
            </a:defRPr>
          </a:lvl2pPr>
          <a:lvl3pPr marL="914400" indent="0">
            <a:defRPr sz="1100">
              <a:latin typeface="+mn-lt"/>
              <a:ea typeface="+mn-ea"/>
              <a:cs typeface="+mn-cs"/>
            </a:defRPr>
          </a:lvl3pPr>
          <a:lvl4pPr marL="1371600" indent="0">
            <a:defRPr sz="1100">
              <a:latin typeface="+mn-lt"/>
              <a:ea typeface="+mn-ea"/>
              <a:cs typeface="+mn-cs"/>
            </a:defRPr>
          </a:lvl4pPr>
          <a:lvl5pPr marL="1828800" indent="0">
            <a:defRPr sz="1100">
              <a:latin typeface="+mn-lt"/>
              <a:ea typeface="+mn-ea"/>
              <a:cs typeface="+mn-cs"/>
            </a:defRPr>
          </a:lvl5pPr>
          <a:lvl6pPr marL="2286000" indent="0">
            <a:defRPr sz="1100">
              <a:latin typeface="+mn-lt"/>
              <a:ea typeface="+mn-ea"/>
              <a:cs typeface="+mn-cs"/>
            </a:defRPr>
          </a:lvl6pPr>
          <a:lvl7pPr marL="2743200" indent="0">
            <a:defRPr sz="1100">
              <a:latin typeface="+mn-lt"/>
              <a:ea typeface="+mn-ea"/>
              <a:cs typeface="+mn-cs"/>
            </a:defRPr>
          </a:lvl7pPr>
          <a:lvl8pPr marL="3200400" indent="0">
            <a:defRPr sz="1100">
              <a:latin typeface="+mn-lt"/>
              <a:ea typeface="+mn-ea"/>
              <a:cs typeface="+mn-cs"/>
            </a:defRPr>
          </a:lvl8pPr>
          <a:lvl9pPr marL="3657600" indent="0">
            <a:defRPr sz="1100">
              <a:latin typeface="+mn-lt"/>
              <a:ea typeface="+mn-ea"/>
              <a:cs typeface="+mn-cs"/>
            </a:defRPr>
          </a:lvl9pPr>
        </a:lstStyle>
        <a:p xmlns:a="http://schemas.openxmlformats.org/drawingml/2006/main">
          <a:r>
            <a:rPr lang="en-US" sz="1200" b="1">
              <a:latin typeface="Arial" panose="020B0604020202020204" pitchFamily="34" charset="0"/>
              <a:cs typeface="Arial" panose="020B0604020202020204" pitchFamily="34" charset="0"/>
            </a:rPr>
            <a:t>         d</a:t>
          </a:r>
        </a:p>
      </cdr:txBody>
    </cdr:sp>
  </cdr:relSizeAnchor>
  <cdr:relSizeAnchor xmlns:cdr="http://schemas.openxmlformats.org/drawingml/2006/chartDrawing">
    <cdr:from>
      <cdr:x>0.60565</cdr:x>
      <cdr:y>0.10408</cdr:y>
    </cdr:from>
    <cdr:to>
      <cdr:x>0.73267</cdr:x>
      <cdr:y>0.13497</cdr:y>
    </cdr:to>
    <cdr:sp macro="" textlink="">
      <cdr:nvSpPr>
        <cdr:cNvPr id="5" name="Text Box 1"/>
        <cdr:cNvSpPr txBox="1"/>
      </cdr:nvSpPr>
      <cdr:spPr>
        <a:xfrm xmlns:a="http://schemas.openxmlformats.org/drawingml/2006/main">
          <a:off x="3599741" y="698116"/>
          <a:ext cx="754976" cy="207229"/>
        </a:xfrm>
        <a:prstGeom xmlns:a="http://schemas.openxmlformats.org/drawingml/2006/main" prst="rect">
          <a:avLst/>
        </a:prstGeom>
      </cdr:spPr>
      <cdr:txBody>
        <a:bodyPr xmlns:a="http://schemas.openxmlformats.org/drawingml/2006/main" wrap="square" rtlCol="0"/>
        <a:lstStyle xmlns:a="http://schemas.openxmlformats.org/drawingml/2006/main">
          <a:lvl1pPr marL="0" indent="0">
            <a:defRPr sz="1100">
              <a:latin typeface="+mn-lt"/>
              <a:ea typeface="+mn-ea"/>
              <a:cs typeface="+mn-cs"/>
            </a:defRPr>
          </a:lvl1pPr>
          <a:lvl2pPr marL="457200" indent="0">
            <a:defRPr sz="1100">
              <a:latin typeface="+mn-lt"/>
              <a:ea typeface="+mn-ea"/>
              <a:cs typeface="+mn-cs"/>
            </a:defRPr>
          </a:lvl2pPr>
          <a:lvl3pPr marL="914400" indent="0">
            <a:defRPr sz="1100">
              <a:latin typeface="+mn-lt"/>
              <a:ea typeface="+mn-ea"/>
              <a:cs typeface="+mn-cs"/>
            </a:defRPr>
          </a:lvl3pPr>
          <a:lvl4pPr marL="1371600" indent="0">
            <a:defRPr sz="1100">
              <a:latin typeface="+mn-lt"/>
              <a:ea typeface="+mn-ea"/>
              <a:cs typeface="+mn-cs"/>
            </a:defRPr>
          </a:lvl4pPr>
          <a:lvl5pPr marL="1828800" indent="0">
            <a:defRPr sz="1100">
              <a:latin typeface="+mn-lt"/>
              <a:ea typeface="+mn-ea"/>
              <a:cs typeface="+mn-cs"/>
            </a:defRPr>
          </a:lvl5pPr>
          <a:lvl6pPr marL="2286000" indent="0">
            <a:defRPr sz="1100">
              <a:latin typeface="+mn-lt"/>
              <a:ea typeface="+mn-ea"/>
              <a:cs typeface="+mn-cs"/>
            </a:defRPr>
          </a:lvl6pPr>
          <a:lvl7pPr marL="2743200" indent="0">
            <a:defRPr sz="1100">
              <a:latin typeface="+mn-lt"/>
              <a:ea typeface="+mn-ea"/>
              <a:cs typeface="+mn-cs"/>
            </a:defRPr>
          </a:lvl7pPr>
          <a:lvl8pPr marL="3200400" indent="0">
            <a:defRPr sz="1100">
              <a:latin typeface="+mn-lt"/>
              <a:ea typeface="+mn-ea"/>
              <a:cs typeface="+mn-cs"/>
            </a:defRPr>
          </a:lvl8pPr>
          <a:lvl9pPr marL="3657600" indent="0">
            <a:defRPr sz="1100">
              <a:latin typeface="+mn-lt"/>
              <a:ea typeface="+mn-ea"/>
              <a:cs typeface="+mn-cs"/>
            </a:defRPr>
          </a:lvl9pPr>
        </a:lstStyle>
        <a:p xmlns:a="http://schemas.openxmlformats.org/drawingml/2006/main">
          <a:r>
            <a:rPr lang="en-US" sz="1200" b="1">
              <a:latin typeface="Arial" panose="020B0604020202020204" pitchFamily="34" charset="0"/>
              <a:cs typeface="Arial" panose="020B0604020202020204" pitchFamily="34" charset="0"/>
            </a:rPr>
            <a:t>     c</a:t>
          </a:r>
        </a:p>
      </cdr:txBody>
    </cdr:sp>
  </cdr:relSizeAnchor>
  <cdr:relSizeAnchor xmlns:cdr="http://schemas.openxmlformats.org/drawingml/2006/chartDrawing">
    <cdr:from>
      <cdr:x>0.5828</cdr:x>
      <cdr:y>0.17206</cdr:y>
    </cdr:from>
    <cdr:to>
      <cdr:x>1</cdr:x>
      <cdr:y>0.45352</cdr:y>
    </cdr:to>
    <cdr:sp macro="" textlink="">
      <cdr:nvSpPr>
        <cdr:cNvPr id="6" name="Text Box 1"/>
        <cdr:cNvSpPr txBox="1"/>
      </cdr:nvSpPr>
      <cdr:spPr>
        <a:xfrm xmlns:a="http://schemas.openxmlformats.org/drawingml/2006/main">
          <a:off x="3463930" y="1154092"/>
          <a:ext cx="2479670" cy="1887871"/>
        </a:xfrm>
        <a:prstGeom xmlns:a="http://schemas.openxmlformats.org/drawingml/2006/main" prst="rect">
          <a:avLst/>
        </a:prstGeom>
      </cdr:spPr>
      <cdr:txBody>
        <a:bodyPr xmlns:a="http://schemas.openxmlformats.org/drawingml/2006/main" wrap="square" rtlCol="0"/>
        <a:lstStyle xmlns:a="http://schemas.openxmlformats.org/drawingml/2006/main">
          <a:lvl1pPr marL="0" indent="0">
            <a:defRPr sz="1100">
              <a:latin typeface="+mn-lt"/>
              <a:ea typeface="+mn-ea"/>
              <a:cs typeface="+mn-cs"/>
            </a:defRPr>
          </a:lvl1pPr>
          <a:lvl2pPr marL="457200" indent="0">
            <a:defRPr sz="1100">
              <a:latin typeface="+mn-lt"/>
              <a:ea typeface="+mn-ea"/>
              <a:cs typeface="+mn-cs"/>
            </a:defRPr>
          </a:lvl2pPr>
          <a:lvl3pPr marL="914400" indent="0">
            <a:defRPr sz="1100">
              <a:latin typeface="+mn-lt"/>
              <a:ea typeface="+mn-ea"/>
              <a:cs typeface="+mn-cs"/>
            </a:defRPr>
          </a:lvl3pPr>
          <a:lvl4pPr marL="1371600" indent="0">
            <a:defRPr sz="1100">
              <a:latin typeface="+mn-lt"/>
              <a:ea typeface="+mn-ea"/>
              <a:cs typeface="+mn-cs"/>
            </a:defRPr>
          </a:lvl4pPr>
          <a:lvl5pPr marL="1828800" indent="0">
            <a:defRPr sz="1100">
              <a:latin typeface="+mn-lt"/>
              <a:ea typeface="+mn-ea"/>
              <a:cs typeface="+mn-cs"/>
            </a:defRPr>
          </a:lvl5pPr>
          <a:lvl6pPr marL="2286000" indent="0">
            <a:defRPr sz="1100">
              <a:latin typeface="+mn-lt"/>
              <a:ea typeface="+mn-ea"/>
              <a:cs typeface="+mn-cs"/>
            </a:defRPr>
          </a:lvl6pPr>
          <a:lvl7pPr marL="2743200" indent="0">
            <a:defRPr sz="1100">
              <a:latin typeface="+mn-lt"/>
              <a:ea typeface="+mn-ea"/>
              <a:cs typeface="+mn-cs"/>
            </a:defRPr>
          </a:lvl7pPr>
          <a:lvl8pPr marL="3200400" indent="0">
            <a:defRPr sz="1100">
              <a:latin typeface="+mn-lt"/>
              <a:ea typeface="+mn-ea"/>
              <a:cs typeface="+mn-cs"/>
            </a:defRPr>
          </a:lvl8pPr>
          <a:lvl9pPr marL="3657600" indent="0">
            <a:defRPr sz="1100">
              <a:latin typeface="+mn-lt"/>
              <a:ea typeface="+mn-ea"/>
              <a:cs typeface="+mn-cs"/>
            </a:defRPr>
          </a:lvl9pPr>
        </a:lstStyle>
        <a:p xmlns:a="http://schemas.openxmlformats.org/drawingml/2006/main">
          <a:r>
            <a:rPr lang="en-US" sz="1200" b="1">
              <a:latin typeface="Arial" panose="020B0604020202020204" pitchFamily="34" charset="0"/>
              <a:cs typeface="Arial" panose="020B0604020202020204" pitchFamily="34" charset="0"/>
            </a:rPr>
            <a:t>    </a:t>
          </a:r>
          <a:r>
            <a:rPr lang="en-US" sz="1200" b="1" baseline="0">
              <a:latin typeface="Arial" panose="020B0604020202020204" pitchFamily="34" charset="0"/>
              <a:cs typeface="Arial" panose="020B0604020202020204" pitchFamily="34" charset="0"/>
            </a:rPr>
            <a:t> </a:t>
          </a:r>
          <a:r>
            <a:rPr lang="en-US" sz="1200" b="1">
              <a:latin typeface="Arial" panose="020B0604020202020204" pitchFamily="34" charset="0"/>
              <a:cs typeface="Arial" panose="020B0604020202020204" pitchFamily="34" charset="0"/>
            </a:rPr>
            <a:t>cd</a:t>
          </a:r>
        </a:p>
      </cdr:txBody>
    </cdr:sp>
  </cdr:relSizeAnchor>
  <cdr:relSizeAnchor xmlns:cdr="http://schemas.openxmlformats.org/drawingml/2006/chartDrawing">
    <cdr:from>
      <cdr:x>0.76712</cdr:x>
      <cdr:y>0.24265</cdr:y>
    </cdr:from>
    <cdr:to>
      <cdr:x>0.94897</cdr:x>
      <cdr:y>0.2794</cdr:y>
    </cdr:to>
    <cdr:sp macro="" textlink="">
      <cdr:nvSpPr>
        <cdr:cNvPr id="7" name="Text Box 1"/>
        <cdr:cNvSpPr txBox="1"/>
      </cdr:nvSpPr>
      <cdr:spPr>
        <a:xfrm xmlns:a="http://schemas.openxmlformats.org/drawingml/2006/main">
          <a:off x="4559453" y="1627575"/>
          <a:ext cx="1080855" cy="246491"/>
        </a:xfrm>
        <a:prstGeom xmlns:a="http://schemas.openxmlformats.org/drawingml/2006/main" prst="rect">
          <a:avLst/>
        </a:prstGeom>
      </cdr:spPr>
      <cdr:txBody>
        <a:bodyPr xmlns:a="http://schemas.openxmlformats.org/drawingml/2006/main" wrap="square" rtlCol="0"/>
        <a:lstStyle xmlns:a="http://schemas.openxmlformats.org/drawingml/2006/main">
          <a:lvl1pPr marL="0" indent="0">
            <a:defRPr sz="1100">
              <a:latin typeface="+mn-lt"/>
              <a:ea typeface="+mn-ea"/>
              <a:cs typeface="+mn-cs"/>
            </a:defRPr>
          </a:lvl1pPr>
          <a:lvl2pPr marL="457200" indent="0">
            <a:defRPr sz="1100">
              <a:latin typeface="+mn-lt"/>
              <a:ea typeface="+mn-ea"/>
              <a:cs typeface="+mn-cs"/>
            </a:defRPr>
          </a:lvl2pPr>
          <a:lvl3pPr marL="914400" indent="0">
            <a:defRPr sz="1100">
              <a:latin typeface="+mn-lt"/>
              <a:ea typeface="+mn-ea"/>
              <a:cs typeface="+mn-cs"/>
            </a:defRPr>
          </a:lvl3pPr>
          <a:lvl4pPr marL="1371600" indent="0">
            <a:defRPr sz="1100">
              <a:latin typeface="+mn-lt"/>
              <a:ea typeface="+mn-ea"/>
              <a:cs typeface="+mn-cs"/>
            </a:defRPr>
          </a:lvl4pPr>
          <a:lvl5pPr marL="1828800" indent="0">
            <a:defRPr sz="1100">
              <a:latin typeface="+mn-lt"/>
              <a:ea typeface="+mn-ea"/>
              <a:cs typeface="+mn-cs"/>
            </a:defRPr>
          </a:lvl5pPr>
          <a:lvl6pPr marL="2286000" indent="0">
            <a:defRPr sz="1100">
              <a:latin typeface="+mn-lt"/>
              <a:ea typeface="+mn-ea"/>
              <a:cs typeface="+mn-cs"/>
            </a:defRPr>
          </a:lvl6pPr>
          <a:lvl7pPr marL="2743200" indent="0">
            <a:defRPr sz="1100">
              <a:latin typeface="+mn-lt"/>
              <a:ea typeface="+mn-ea"/>
              <a:cs typeface="+mn-cs"/>
            </a:defRPr>
          </a:lvl7pPr>
          <a:lvl8pPr marL="3200400" indent="0">
            <a:defRPr sz="1100">
              <a:latin typeface="+mn-lt"/>
              <a:ea typeface="+mn-ea"/>
              <a:cs typeface="+mn-cs"/>
            </a:defRPr>
          </a:lvl8pPr>
          <a:lvl9pPr marL="3657600" indent="0">
            <a:defRPr sz="1100">
              <a:latin typeface="+mn-lt"/>
              <a:ea typeface="+mn-ea"/>
              <a:cs typeface="+mn-cs"/>
            </a:defRPr>
          </a:lvl9pPr>
        </a:lstStyle>
        <a:p xmlns:a="http://schemas.openxmlformats.org/drawingml/2006/main">
          <a:r>
            <a:rPr lang="en-US" sz="1200" b="1">
              <a:latin typeface="Arial" panose="020B0604020202020204" pitchFamily="34" charset="0"/>
              <a:cs typeface="Arial" panose="020B0604020202020204" pitchFamily="34" charset="0"/>
            </a:rPr>
            <a:t>         </a:t>
          </a:r>
          <a:r>
            <a:rPr lang="en-US" sz="1200" b="1" baseline="0">
              <a:latin typeface="Arial" panose="020B0604020202020204" pitchFamily="34" charset="0"/>
              <a:cs typeface="Arial" panose="020B0604020202020204" pitchFamily="34" charset="0"/>
            </a:rPr>
            <a:t> </a:t>
          </a:r>
          <a:r>
            <a:rPr lang="en-US" sz="1200" b="1">
              <a:latin typeface="Arial" panose="020B0604020202020204" pitchFamily="34" charset="0"/>
              <a:cs typeface="Arial" panose="020B0604020202020204" pitchFamily="34" charset="0"/>
            </a:rPr>
            <a:t>ab</a:t>
          </a:r>
        </a:p>
      </cdr:txBody>
    </cdr:sp>
  </cdr:relSizeAnchor>
  <cdr:relSizeAnchor xmlns:cdr="http://schemas.openxmlformats.org/drawingml/2006/chartDrawing">
    <cdr:from>
      <cdr:x>0.84023</cdr:x>
      <cdr:y>0.31194</cdr:y>
    </cdr:from>
    <cdr:to>
      <cdr:x>0.97182</cdr:x>
      <cdr:y>0.35363</cdr:y>
    </cdr:to>
    <cdr:sp macro="" textlink="">
      <cdr:nvSpPr>
        <cdr:cNvPr id="8" name="Text Box 1"/>
        <cdr:cNvSpPr txBox="1"/>
      </cdr:nvSpPr>
      <cdr:spPr>
        <a:xfrm xmlns:a="http://schemas.openxmlformats.org/drawingml/2006/main">
          <a:off x="4993991" y="2092338"/>
          <a:ext cx="782120" cy="279669"/>
        </a:xfrm>
        <a:prstGeom xmlns:a="http://schemas.openxmlformats.org/drawingml/2006/main" prst="rect">
          <a:avLst/>
        </a:prstGeom>
      </cdr:spPr>
      <cdr:txBody>
        <a:bodyPr xmlns:a="http://schemas.openxmlformats.org/drawingml/2006/main" wrap="square" rtlCol="0"/>
        <a:lstStyle xmlns:a="http://schemas.openxmlformats.org/drawingml/2006/main">
          <a:lvl1pPr marL="0" indent="0">
            <a:defRPr sz="1100">
              <a:latin typeface="+mn-lt"/>
              <a:ea typeface="+mn-ea"/>
              <a:cs typeface="+mn-cs"/>
            </a:defRPr>
          </a:lvl1pPr>
          <a:lvl2pPr marL="457200" indent="0">
            <a:defRPr sz="1100">
              <a:latin typeface="+mn-lt"/>
              <a:ea typeface="+mn-ea"/>
              <a:cs typeface="+mn-cs"/>
            </a:defRPr>
          </a:lvl2pPr>
          <a:lvl3pPr marL="914400" indent="0">
            <a:defRPr sz="1100">
              <a:latin typeface="+mn-lt"/>
              <a:ea typeface="+mn-ea"/>
              <a:cs typeface="+mn-cs"/>
            </a:defRPr>
          </a:lvl3pPr>
          <a:lvl4pPr marL="1371600" indent="0">
            <a:defRPr sz="1100">
              <a:latin typeface="+mn-lt"/>
              <a:ea typeface="+mn-ea"/>
              <a:cs typeface="+mn-cs"/>
            </a:defRPr>
          </a:lvl4pPr>
          <a:lvl5pPr marL="1828800" indent="0">
            <a:defRPr sz="1100">
              <a:latin typeface="+mn-lt"/>
              <a:ea typeface="+mn-ea"/>
              <a:cs typeface="+mn-cs"/>
            </a:defRPr>
          </a:lvl5pPr>
          <a:lvl6pPr marL="2286000" indent="0">
            <a:defRPr sz="1100">
              <a:latin typeface="+mn-lt"/>
              <a:ea typeface="+mn-ea"/>
              <a:cs typeface="+mn-cs"/>
            </a:defRPr>
          </a:lvl6pPr>
          <a:lvl7pPr marL="2743200" indent="0">
            <a:defRPr sz="1100">
              <a:latin typeface="+mn-lt"/>
              <a:ea typeface="+mn-ea"/>
              <a:cs typeface="+mn-cs"/>
            </a:defRPr>
          </a:lvl7pPr>
          <a:lvl8pPr marL="3200400" indent="0">
            <a:defRPr sz="1100">
              <a:latin typeface="+mn-lt"/>
              <a:ea typeface="+mn-ea"/>
              <a:cs typeface="+mn-cs"/>
            </a:defRPr>
          </a:lvl8pPr>
          <a:lvl9pPr marL="3657600" indent="0">
            <a:defRPr sz="1100">
              <a:latin typeface="+mn-lt"/>
              <a:ea typeface="+mn-ea"/>
              <a:cs typeface="+mn-cs"/>
            </a:defRPr>
          </a:lvl9pPr>
        </a:lstStyle>
        <a:p xmlns:a="http://schemas.openxmlformats.org/drawingml/2006/main">
          <a:r>
            <a:rPr lang="en-US" sz="1200" b="1">
              <a:latin typeface="Arial" panose="020B0604020202020204" pitchFamily="34" charset="0"/>
              <a:cs typeface="Arial" panose="020B0604020202020204" pitchFamily="34" charset="0"/>
            </a:rPr>
            <a:t>        a</a:t>
          </a:r>
        </a:p>
      </cdr:txBody>
    </cdr:sp>
  </cdr:relSizeAnchor>
  <cdr:relSizeAnchor xmlns:cdr="http://schemas.openxmlformats.org/drawingml/2006/chartDrawing">
    <cdr:from>
      <cdr:x>0.77778</cdr:x>
      <cdr:y>0.37992</cdr:y>
    </cdr:from>
    <cdr:to>
      <cdr:x>1</cdr:x>
      <cdr:y>0.5372</cdr:y>
    </cdr:to>
    <cdr:sp macro="" textlink="">
      <cdr:nvSpPr>
        <cdr:cNvPr id="9" name="Text Box 1"/>
        <cdr:cNvSpPr txBox="1"/>
      </cdr:nvSpPr>
      <cdr:spPr>
        <a:xfrm xmlns:a="http://schemas.openxmlformats.org/drawingml/2006/main">
          <a:off x="4622812" y="2548315"/>
          <a:ext cx="1320788" cy="1054964"/>
        </a:xfrm>
        <a:prstGeom xmlns:a="http://schemas.openxmlformats.org/drawingml/2006/main" prst="rect">
          <a:avLst/>
        </a:prstGeom>
      </cdr:spPr>
      <cdr:txBody>
        <a:bodyPr xmlns:a="http://schemas.openxmlformats.org/drawingml/2006/main" wrap="square" rtlCol="0"/>
        <a:lstStyle xmlns:a="http://schemas.openxmlformats.org/drawingml/2006/main">
          <a:lvl1pPr marL="0" indent="0">
            <a:defRPr sz="1100">
              <a:latin typeface="+mn-lt"/>
              <a:ea typeface="+mn-ea"/>
              <a:cs typeface="+mn-cs"/>
            </a:defRPr>
          </a:lvl1pPr>
          <a:lvl2pPr marL="457200" indent="0">
            <a:defRPr sz="1100">
              <a:latin typeface="+mn-lt"/>
              <a:ea typeface="+mn-ea"/>
              <a:cs typeface="+mn-cs"/>
            </a:defRPr>
          </a:lvl2pPr>
          <a:lvl3pPr marL="914400" indent="0">
            <a:defRPr sz="1100">
              <a:latin typeface="+mn-lt"/>
              <a:ea typeface="+mn-ea"/>
              <a:cs typeface="+mn-cs"/>
            </a:defRPr>
          </a:lvl3pPr>
          <a:lvl4pPr marL="1371600" indent="0">
            <a:defRPr sz="1100">
              <a:latin typeface="+mn-lt"/>
              <a:ea typeface="+mn-ea"/>
              <a:cs typeface="+mn-cs"/>
            </a:defRPr>
          </a:lvl4pPr>
          <a:lvl5pPr marL="1828800" indent="0">
            <a:defRPr sz="1100">
              <a:latin typeface="+mn-lt"/>
              <a:ea typeface="+mn-ea"/>
              <a:cs typeface="+mn-cs"/>
            </a:defRPr>
          </a:lvl5pPr>
          <a:lvl6pPr marL="2286000" indent="0">
            <a:defRPr sz="1100">
              <a:latin typeface="+mn-lt"/>
              <a:ea typeface="+mn-ea"/>
              <a:cs typeface="+mn-cs"/>
            </a:defRPr>
          </a:lvl6pPr>
          <a:lvl7pPr marL="2743200" indent="0">
            <a:defRPr sz="1100">
              <a:latin typeface="+mn-lt"/>
              <a:ea typeface="+mn-ea"/>
              <a:cs typeface="+mn-cs"/>
            </a:defRPr>
          </a:lvl7pPr>
          <a:lvl8pPr marL="3200400" indent="0">
            <a:defRPr sz="1100">
              <a:latin typeface="+mn-lt"/>
              <a:ea typeface="+mn-ea"/>
              <a:cs typeface="+mn-cs"/>
            </a:defRPr>
          </a:lvl8pPr>
          <a:lvl9pPr marL="3657600" indent="0">
            <a:defRPr sz="1100">
              <a:latin typeface="+mn-lt"/>
              <a:ea typeface="+mn-ea"/>
              <a:cs typeface="+mn-cs"/>
            </a:defRPr>
          </a:lvl9pPr>
        </a:lstStyle>
        <a:p xmlns:a="http://schemas.openxmlformats.org/drawingml/2006/main">
          <a:r>
            <a:rPr lang="en-US" sz="1200" b="1">
              <a:latin typeface="Arial" panose="020B0604020202020204" pitchFamily="34" charset="0"/>
              <a:cs typeface="Arial" panose="020B0604020202020204" pitchFamily="34" charset="0"/>
            </a:rPr>
            <a:t>      ab</a:t>
          </a:r>
        </a:p>
      </cdr:txBody>
    </cdr:sp>
  </cdr:relSizeAnchor>
  <cdr:relSizeAnchor xmlns:cdr="http://schemas.openxmlformats.org/drawingml/2006/chartDrawing">
    <cdr:from>
      <cdr:x>0.66963</cdr:x>
      <cdr:y>0.4492</cdr:y>
    </cdr:from>
    <cdr:to>
      <cdr:x>0.81188</cdr:x>
      <cdr:y>0.48051</cdr:y>
    </cdr:to>
    <cdr:sp macro="" textlink="">
      <cdr:nvSpPr>
        <cdr:cNvPr id="10" name="Text Box 1"/>
        <cdr:cNvSpPr txBox="1"/>
      </cdr:nvSpPr>
      <cdr:spPr>
        <a:xfrm xmlns:a="http://schemas.openxmlformats.org/drawingml/2006/main">
          <a:off x="3980013" y="3013010"/>
          <a:ext cx="845484" cy="210023"/>
        </a:xfrm>
        <a:prstGeom xmlns:a="http://schemas.openxmlformats.org/drawingml/2006/main" prst="rect">
          <a:avLst/>
        </a:prstGeom>
      </cdr:spPr>
      <cdr:txBody>
        <a:bodyPr xmlns:a="http://schemas.openxmlformats.org/drawingml/2006/main" wrap="square" rtlCol="0"/>
        <a:lstStyle xmlns:a="http://schemas.openxmlformats.org/drawingml/2006/main">
          <a:lvl1pPr marL="0" indent="0">
            <a:defRPr sz="1100">
              <a:latin typeface="+mn-lt"/>
              <a:ea typeface="+mn-ea"/>
              <a:cs typeface="+mn-cs"/>
            </a:defRPr>
          </a:lvl1pPr>
          <a:lvl2pPr marL="457200" indent="0">
            <a:defRPr sz="1100">
              <a:latin typeface="+mn-lt"/>
              <a:ea typeface="+mn-ea"/>
              <a:cs typeface="+mn-cs"/>
            </a:defRPr>
          </a:lvl2pPr>
          <a:lvl3pPr marL="914400" indent="0">
            <a:defRPr sz="1100">
              <a:latin typeface="+mn-lt"/>
              <a:ea typeface="+mn-ea"/>
              <a:cs typeface="+mn-cs"/>
            </a:defRPr>
          </a:lvl3pPr>
          <a:lvl4pPr marL="1371600" indent="0">
            <a:defRPr sz="1100">
              <a:latin typeface="+mn-lt"/>
              <a:ea typeface="+mn-ea"/>
              <a:cs typeface="+mn-cs"/>
            </a:defRPr>
          </a:lvl4pPr>
          <a:lvl5pPr marL="1828800" indent="0">
            <a:defRPr sz="1100">
              <a:latin typeface="+mn-lt"/>
              <a:ea typeface="+mn-ea"/>
              <a:cs typeface="+mn-cs"/>
            </a:defRPr>
          </a:lvl5pPr>
          <a:lvl6pPr marL="2286000" indent="0">
            <a:defRPr sz="1100">
              <a:latin typeface="+mn-lt"/>
              <a:ea typeface="+mn-ea"/>
              <a:cs typeface="+mn-cs"/>
            </a:defRPr>
          </a:lvl6pPr>
          <a:lvl7pPr marL="2743200" indent="0">
            <a:defRPr sz="1100">
              <a:latin typeface="+mn-lt"/>
              <a:ea typeface="+mn-ea"/>
              <a:cs typeface="+mn-cs"/>
            </a:defRPr>
          </a:lvl7pPr>
          <a:lvl8pPr marL="3200400" indent="0">
            <a:defRPr sz="1100">
              <a:latin typeface="+mn-lt"/>
              <a:ea typeface="+mn-ea"/>
              <a:cs typeface="+mn-cs"/>
            </a:defRPr>
          </a:lvl8pPr>
          <a:lvl9pPr marL="3657600" indent="0">
            <a:defRPr sz="1100">
              <a:latin typeface="+mn-lt"/>
              <a:ea typeface="+mn-ea"/>
              <a:cs typeface="+mn-cs"/>
            </a:defRPr>
          </a:lvl9pPr>
        </a:lstStyle>
        <a:p xmlns:a="http://schemas.openxmlformats.org/drawingml/2006/main">
          <a:r>
            <a:rPr lang="en-US" sz="1200" b="1">
              <a:latin typeface="Arial" panose="020B0604020202020204" pitchFamily="34" charset="0"/>
              <a:cs typeface="Arial" panose="020B0604020202020204" pitchFamily="34" charset="0"/>
            </a:rPr>
            <a:t>     bc</a:t>
          </a:r>
        </a:p>
      </cdr:txBody>
    </cdr:sp>
  </cdr:relSizeAnchor>
  <cdr:relSizeAnchor xmlns:cdr="http://schemas.openxmlformats.org/drawingml/2006/chartDrawing">
    <cdr:from>
      <cdr:x>0.66506</cdr:x>
      <cdr:y>0.51849</cdr:y>
    </cdr:from>
    <cdr:to>
      <cdr:x>0.81493</cdr:x>
      <cdr:y>0.5534</cdr:y>
    </cdr:to>
    <cdr:sp macro="" textlink="">
      <cdr:nvSpPr>
        <cdr:cNvPr id="11" name="Text Box 1"/>
        <cdr:cNvSpPr txBox="1"/>
      </cdr:nvSpPr>
      <cdr:spPr>
        <a:xfrm xmlns:a="http://schemas.openxmlformats.org/drawingml/2006/main">
          <a:off x="3952851" y="3477773"/>
          <a:ext cx="890753" cy="234147"/>
        </a:xfrm>
        <a:prstGeom xmlns:a="http://schemas.openxmlformats.org/drawingml/2006/main" prst="rect">
          <a:avLst/>
        </a:prstGeom>
      </cdr:spPr>
      <cdr:txBody>
        <a:bodyPr xmlns:a="http://schemas.openxmlformats.org/drawingml/2006/main" wrap="square" rtlCol="0"/>
        <a:lstStyle xmlns:a="http://schemas.openxmlformats.org/drawingml/2006/main">
          <a:lvl1pPr marL="0" indent="0">
            <a:defRPr sz="1100">
              <a:latin typeface="+mn-lt"/>
              <a:ea typeface="+mn-ea"/>
              <a:cs typeface="+mn-cs"/>
            </a:defRPr>
          </a:lvl1pPr>
          <a:lvl2pPr marL="457200" indent="0">
            <a:defRPr sz="1100">
              <a:latin typeface="+mn-lt"/>
              <a:ea typeface="+mn-ea"/>
              <a:cs typeface="+mn-cs"/>
            </a:defRPr>
          </a:lvl2pPr>
          <a:lvl3pPr marL="914400" indent="0">
            <a:defRPr sz="1100">
              <a:latin typeface="+mn-lt"/>
              <a:ea typeface="+mn-ea"/>
              <a:cs typeface="+mn-cs"/>
            </a:defRPr>
          </a:lvl3pPr>
          <a:lvl4pPr marL="1371600" indent="0">
            <a:defRPr sz="1100">
              <a:latin typeface="+mn-lt"/>
              <a:ea typeface="+mn-ea"/>
              <a:cs typeface="+mn-cs"/>
            </a:defRPr>
          </a:lvl4pPr>
          <a:lvl5pPr marL="1828800" indent="0">
            <a:defRPr sz="1100">
              <a:latin typeface="+mn-lt"/>
              <a:ea typeface="+mn-ea"/>
              <a:cs typeface="+mn-cs"/>
            </a:defRPr>
          </a:lvl5pPr>
          <a:lvl6pPr marL="2286000" indent="0">
            <a:defRPr sz="1100">
              <a:latin typeface="+mn-lt"/>
              <a:ea typeface="+mn-ea"/>
              <a:cs typeface="+mn-cs"/>
            </a:defRPr>
          </a:lvl6pPr>
          <a:lvl7pPr marL="2743200" indent="0">
            <a:defRPr sz="1100">
              <a:latin typeface="+mn-lt"/>
              <a:ea typeface="+mn-ea"/>
              <a:cs typeface="+mn-cs"/>
            </a:defRPr>
          </a:lvl7pPr>
          <a:lvl8pPr marL="3200400" indent="0">
            <a:defRPr sz="1100">
              <a:latin typeface="+mn-lt"/>
              <a:ea typeface="+mn-ea"/>
              <a:cs typeface="+mn-cs"/>
            </a:defRPr>
          </a:lvl8pPr>
          <a:lvl9pPr marL="3657600" indent="0">
            <a:defRPr sz="1100">
              <a:latin typeface="+mn-lt"/>
              <a:ea typeface="+mn-ea"/>
              <a:cs typeface="+mn-cs"/>
            </a:defRPr>
          </a:lvl9pPr>
        </a:lstStyle>
        <a:p xmlns:a="http://schemas.openxmlformats.org/drawingml/2006/main">
          <a:r>
            <a:rPr lang="en-US" sz="1200" b="1">
              <a:latin typeface="Arial" panose="020B0604020202020204" pitchFamily="34" charset="0"/>
              <a:cs typeface="Arial" panose="020B0604020202020204" pitchFamily="34" charset="0"/>
            </a:rPr>
            <a:t>     bc</a:t>
          </a:r>
        </a:p>
      </cdr:txBody>
    </cdr:sp>
  </cdr:relSizeAnchor>
  <cdr:relSizeAnchor xmlns:cdr="http://schemas.openxmlformats.org/drawingml/2006/chartDrawing">
    <cdr:from>
      <cdr:x>0.72353</cdr:x>
      <cdr:y>0.58698</cdr:y>
    </cdr:from>
    <cdr:to>
      <cdr:x>0.86976</cdr:x>
      <cdr:y>0.6275</cdr:y>
    </cdr:to>
    <cdr:sp macro="" textlink="">
      <cdr:nvSpPr>
        <cdr:cNvPr id="14" name="Text Box 13"/>
        <cdr:cNvSpPr txBox="1"/>
      </cdr:nvSpPr>
      <cdr:spPr>
        <a:xfrm xmlns:a="http://schemas.openxmlformats.org/drawingml/2006/main">
          <a:off x="4300373" y="3937171"/>
          <a:ext cx="869156" cy="271788"/>
        </a:xfrm>
        <a:prstGeom xmlns:a="http://schemas.openxmlformats.org/drawingml/2006/main" prst="rect">
          <a:avLst/>
        </a:prstGeom>
      </cdr:spPr>
      <cdr:txBody>
        <a:bodyPr xmlns:a="http://schemas.openxmlformats.org/drawingml/2006/main" vertOverflow="clip" wrap="square" rtlCol="0"/>
        <a:lstStyle xmlns:a="http://schemas.openxmlformats.org/drawingml/2006/main"/>
        <a:p xmlns:a="http://schemas.openxmlformats.org/drawingml/2006/main">
          <a:r>
            <a:rPr lang="en-US" sz="1200" b="1">
              <a:latin typeface="Arial" panose="020B0604020202020204" pitchFamily="34" charset="0"/>
              <a:cs typeface="Arial" panose="020B0604020202020204" pitchFamily="34" charset="0"/>
            </a:rPr>
            <a:t>         b</a:t>
          </a:r>
        </a:p>
      </cdr:txBody>
    </cdr:sp>
  </cdr:relSizeAnchor>
  <cdr:relSizeAnchor xmlns:cdr="http://schemas.openxmlformats.org/drawingml/2006/chartDrawing">
    <cdr:from>
      <cdr:x>0.63671</cdr:x>
      <cdr:y>0.65627</cdr:y>
    </cdr:from>
    <cdr:to>
      <cdr:x>0.76771</cdr:x>
      <cdr:y>0.69156</cdr:y>
    </cdr:to>
    <cdr:sp macro="" textlink="">
      <cdr:nvSpPr>
        <cdr:cNvPr id="15" name="Text Box 14"/>
        <cdr:cNvSpPr txBox="1"/>
      </cdr:nvSpPr>
      <cdr:spPr>
        <a:xfrm xmlns:a="http://schemas.openxmlformats.org/drawingml/2006/main">
          <a:off x="3784349" y="4401934"/>
          <a:ext cx="778597" cy="236708"/>
        </a:xfrm>
        <a:prstGeom xmlns:a="http://schemas.openxmlformats.org/drawingml/2006/main" prst="rect">
          <a:avLst/>
        </a:prstGeom>
      </cdr:spPr>
      <cdr:txBody>
        <a:bodyPr xmlns:a="http://schemas.openxmlformats.org/drawingml/2006/main" vertOverflow="clip" wrap="square" rtlCol="0"/>
        <a:lstStyle xmlns:a="http://schemas.openxmlformats.org/drawingml/2006/main"/>
        <a:p xmlns:a="http://schemas.openxmlformats.org/drawingml/2006/main">
          <a:r>
            <a:rPr lang="en-US" sz="1200" b="1">
              <a:latin typeface="Arial" panose="020B0604020202020204" pitchFamily="34" charset="0"/>
              <a:cs typeface="Arial" panose="020B0604020202020204" pitchFamily="34" charset="0"/>
            </a:rPr>
            <a:t>     c</a:t>
          </a:r>
        </a:p>
      </cdr:txBody>
    </cdr:sp>
  </cdr:relSizeAnchor>
</c:userShapes>
</file>

<file path=word/drawings/drawing14.xml><?xml version="1.0" encoding="utf-8"?>
<c:userShapes xmlns:c="http://schemas.openxmlformats.org/drawingml/2006/chart">
  <cdr:relSizeAnchor xmlns:cdr="http://schemas.openxmlformats.org/drawingml/2006/chartDrawing">
    <cdr:from>
      <cdr:x>0.62698</cdr:x>
      <cdr:y>0.08637</cdr:y>
    </cdr:from>
    <cdr:to>
      <cdr:x>0.7138</cdr:x>
      <cdr:y>0.11367</cdr:y>
    </cdr:to>
    <cdr:sp macro="" textlink="">
      <cdr:nvSpPr>
        <cdr:cNvPr id="3" name="Text Box 1"/>
        <cdr:cNvSpPr txBox="1"/>
      </cdr:nvSpPr>
      <cdr:spPr>
        <a:xfrm xmlns:a="http://schemas.openxmlformats.org/drawingml/2006/main">
          <a:off x="3726507" y="630221"/>
          <a:ext cx="516047" cy="199176"/>
        </a:xfrm>
        <a:prstGeom xmlns:a="http://schemas.openxmlformats.org/drawingml/2006/main" prst="rect">
          <a:avLst/>
        </a:prstGeom>
      </cdr:spPr>
      <cdr:txBody>
        <a:bodyPr xmlns:a="http://schemas.openxmlformats.org/drawingml/2006/main" wrap="square" rtlCol="0"/>
        <a:lstStyle xmlns:a="http://schemas.openxmlformats.org/drawingml/2006/main">
          <a:lvl1pPr marL="0" indent="0">
            <a:defRPr sz="1100">
              <a:latin typeface="+mn-lt"/>
              <a:ea typeface="+mn-ea"/>
              <a:cs typeface="+mn-cs"/>
            </a:defRPr>
          </a:lvl1pPr>
          <a:lvl2pPr marL="457200" indent="0">
            <a:defRPr sz="1100">
              <a:latin typeface="+mn-lt"/>
              <a:ea typeface="+mn-ea"/>
              <a:cs typeface="+mn-cs"/>
            </a:defRPr>
          </a:lvl2pPr>
          <a:lvl3pPr marL="914400" indent="0">
            <a:defRPr sz="1100">
              <a:latin typeface="+mn-lt"/>
              <a:ea typeface="+mn-ea"/>
              <a:cs typeface="+mn-cs"/>
            </a:defRPr>
          </a:lvl3pPr>
          <a:lvl4pPr marL="1371600" indent="0">
            <a:defRPr sz="1100">
              <a:latin typeface="+mn-lt"/>
              <a:ea typeface="+mn-ea"/>
              <a:cs typeface="+mn-cs"/>
            </a:defRPr>
          </a:lvl4pPr>
          <a:lvl5pPr marL="1828800" indent="0">
            <a:defRPr sz="1100">
              <a:latin typeface="+mn-lt"/>
              <a:ea typeface="+mn-ea"/>
              <a:cs typeface="+mn-cs"/>
            </a:defRPr>
          </a:lvl5pPr>
          <a:lvl6pPr marL="2286000" indent="0">
            <a:defRPr sz="1100">
              <a:latin typeface="+mn-lt"/>
              <a:ea typeface="+mn-ea"/>
              <a:cs typeface="+mn-cs"/>
            </a:defRPr>
          </a:lvl6pPr>
          <a:lvl7pPr marL="2743200" indent="0">
            <a:defRPr sz="1100">
              <a:latin typeface="+mn-lt"/>
              <a:ea typeface="+mn-ea"/>
              <a:cs typeface="+mn-cs"/>
            </a:defRPr>
          </a:lvl7pPr>
          <a:lvl8pPr marL="3200400" indent="0">
            <a:defRPr sz="1100">
              <a:latin typeface="+mn-lt"/>
              <a:ea typeface="+mn-ea"/>
              <a:cs typeface="+mn-cs"/>
            </a:defRPr>
          </a:lvl8pPr>
          <a:lvl9pPr marL="3657600" indent="0">
            <a:defRPr sz="1100">
              <a:latin typeface="+mn-lt"/>
              <a:ea typeface="+mn-ea"/>
              <a:cs typeface="+mn-cs"/>
            </a:defRPr>
          </a:lvl9pPr>
        </a:lstStyle>
        <a:p xmlns:a="http://schemas.openxmlformats.org/drawingml/2006/main">
          <a:r>
            <a:rPr lang="en-US" sz="1200" b="1">
              <a:latin typeface="Arial" panose="020B0604020202020204" pitchFamily="34" charset="0"/>
              <a:cs typeface="Arial" panose="020B0604020202020204" pitchFamily="34" charset="0"/>
            </a:rPr>
            <a:t>a</a:t>
          </a:r>
        </a:p>
      </cdr:txBody>
    </cdr:sp>
  </cdr:relSizeAnchor>
  <cdr:relSizeAnchor xmlns:cdr="http://schemas.openxmlformats.org/drawingml/2006/chartDrawing">
    <cdr:from>
      <cdr:x>0.40916</cdr:x>
      <cdr:y>0.22161</cdr:y>
    </cdr:from>
    <cdr:to>
      <cdr:x>0.49598</cdr:x>
      <cdr:y>0.24891</cdr:y>
    </cdr:to>
    <cdr:sp macro="" textlink="">
      <cdr:nvSpPr>
        <cdr:cNvPr id="4" name="Text Box 1"/>
        <cdr:cNvSpPr txBox="1"/>
      </cdr:nvSpPr>
      <cdr:spPr>
        <a:xfrm xmlns:a="http://schemas.openxmlformats.org/drawingml/2006/main">
          <a:off x="2431860" y="1617048"/>
          <a:ext cx="516047" cy="199176"/>
        </a:xfrm>
        <a:prstGeom xmlns:a="http://schemas.openxmlformats.org/drawingml/2006/main" prst="rect">
          <a:avLst/>
        </a:prstGeom>
      </cdr:spPr>
      <cdr:txBody>
        <a:bodyPr xmlns:a="http://schemas.openxmlformats.org/drawingml/2006/main" wrap="square" rtlCol="0"/>
        <a:lstStyle xmlns:a="http://schemas.openxmlformats.org/drawingml/2006/main">
          <a:lvl1pPr marL="0" indent="0">
            <a:defRPr sz="1100">
              <a:latin typeface="+mn-lt"/>
              <a:ea typeface="+mn-ea"/>
              <a:cs typeface="+mn-cs"/>
            </a:defRPr>
          </a:lvl1pPr>
          <a:lvl2pPr marL="457200" indent="0">
            <a:defRPr sz="1100">
              <a:latin typeface="+mn-lt"/>
              <a:ea typeface="+mn-ea"/>
              <a:cs typeface="+mn-cs"/>
            </a:defRPr>
          </a:lvl2pPr>
          <a:lvl3pPr marL="914400" indent="0">
            <a:defRPr sz="1100">
              <a:latin typeface="+mn-lt"/>
              <a:ea typeface="+mn-ea"/>
              <a:cs typeface="+mn-cs"/>
            </a:defRPr>
          </a:lvl3pPr>
          <a:lvl4pPr marL="1371600" indent="0">
            <a:defRPr sz="1100">
              <a:latin typeface="+mn-lt"/>
              <a:ea typeface="+mn-ea"/>
              <a:cs typeface="+mn-cs"/>
            </a:defRPr>
          </a:lvl4pPr>
          <a:lvl5pPr marL="1828800" indent="0">
            <a:defRPr sz="1100">
              <a:latin typeface="+mn-lt"/>
              <a:ea typeface="+mn-ea"/>
              <a:cs typeface="+mn-cs"/>
            </a:defRPr>
          </a:lvl5pPr>
          <a:lvl6pPr marL="2286000" indent="0">
            <a:defRPr sz="1100">
              <a:latin typeface="+mn-lt"/>
              <a:ea typeface="+mn-ea"/>
              <a:cs typeface="+mn-cs"/>
            </a:defRPr>
          </a:lvl6pPr>
          <a:lvl7pPr marL="2743200" indent="0">
            <a:defRPr sz="1100">
              <a:latin typeface="+mn-lt"/>
              <a:ea typeface="+mn-ea"/>
              <a:cs typeface="+mn-cs"/>
            </a:defRPr>
          </a:lvl7pPr>
          <a:lvl8pPr marL="3200400" indent="0">
            <a:defRPr sz="1100">
              <a:latin typeface="+mn-lt"/>
              <a:ea typeface="+mn-ea"/>
              <a:cs typeface="+mn-cs"/>
            </a:defRPr>
          </a:lvl8pPr>
          <a:lvl9pPr marL="3657600" indent="0">
            <a:defRPr sz="1100">
              <a:latin typeface="+mn-lt"/>
              <a:ea typeface="+mn-ea"/>
              <a:cs typeface="+mn-cs"/>
            </a:defRPr>
          </a:lvl9pPr>
        </a:lstStyle>
        <a:p xmlns:a="http://schemas.openxmlformats.org/drawingml/2006/main">
          <a:r>
            <a:rPr lang="en-US" sz="1200" b="1">
              <a:latin typeface="Arial" panose="020B0604020202020204" pitchFamily="34" charset="0"/>
              <a:cs typeface="Arial" panose="020B0604020202020204" pitchFamily="34" charset="0"/>
            </a:rPr>
            <a:t>b</a:t>
          </a:r>
        </a:p>
      </cdr:txBody>
    </cdr:sp>
  </cdr:relSizeAnchor>
  <cdr:relSizeAnchor xmlns:cdr="http://schemas.openxmlformats.org/drawingml/2006/chartDrawing">
    <cdr:from>
      <cdr:x>0.19438</cdr:x>
      <cdr:y>0.35933</cdr:y>
    </cdr:from>
    <cdr:to>
      <cdr:x>0.2812</cdr:x>
      <cdr:y>0.38663</cdr:y>
    </cdr:to>
    <cdr:sp macro="" textlink="">
      <cdr:nvSpPr>
        <cdr:cNvPr id="5" name="Text Box 1"/>
        <cdr:cNvSpPr txBox="1"/>
      </cdr:nvSpPr>
      <cdr:spPr>
        <a:xfrm xmlns:a="http://schemas.openxmlformats.org/drawingml/2006/main">
          <a:off x="1155323" y="2621983"/>
          <a:ext cx="516047" cy="199176"/>
        </a:xfrm>
        <a:prstGeom xmlns:a="http://schemas.openxmlformats.org/drawingml/2006/main" prst="rect">
          <a:avLst/>
        </a:prstGeom>
      </cdr:spPr>
      <cdr:txBody>
        <a:bodyPr xmlns:a="http://schemas.openxmlformats.org/drawingml/2006/main" wrap="square" rtlCol="0"/>
        <a:lstStyle xmlns:a="http://schemas.openxmlformats.org/drawingml/2006/main">
          <a:lvl1pPr marL="0" indent="0">
            <a:defRPr sz="1100">
              <a:latin typeface="+mn-lt"/>
              <a:ea typeface="+mn-ea"/>
              <a:cs typeface="+mn-cs"/>
            </a:defRPr>
          </a:lvl1pPr>
          <a:lvl2pPr marL="457200" indent="0">
            <a:defRPr sz="1100">
              <a:latin typeface="+mn-lt"/>
              <a:ea typeface="+mn-ea"/>
              <a:cs typeface="+mn-cs"/>
            </a:defRPr>
          </a:lvl2pPr>
          <a:lvl3pPr marL="914400" indent="0">
            <a:defRPr sz="1100">
              <a:latin typeface="+mn-lt"/>
              <a:ea typeface="+mn-ea"/>
              <a:cs typeface="+mn-cs"/>
            </a:defRPr>
          </a:lvl3pPr>
          <a:lvl4pPr marL="1371600" indent="0">
            <a:defRPr sz="1100">
              <a:latin typeface="+mn-lt"/>
              <a:ea typeface="+mn-ea"/>
              <a:cs typeface="+mn-cs"/>
            </a:defRPr>
          </a:lvl4pPr>
          <a:lvl5pPr marL="1828800" indent="0">
            <a:defRPr sz="1100">
              <a:latin typeface="+mn-lt"/>
              <a:ea typeface="+mn-ea"/>
              <a:cs typeface="+mn-cs"/>
            </a:defRPr>
          </a:lvl5pPr>
          <a:lvl6pPr marL="2286000" indent="0">
            <a:defRPr sz="1100">
              <a:latin typeface="+mn-lt"/>
              <a:ea typeface="+mn-ea"/>
              <a:cs typeface="+mn-cs"/>
            </a:defRPr>
          </a:lvl6pPr>
          <a:lvl7pPr marL="2743200" indent="0">
            <a:defRPr sz="1100">
              <a:latin typeface="+mn-lt"/>
              <a:ea typeface="+mn-ea"/>
              <a:cs typeface="+mn-cs"/>
            </a:defRPr>
          </a:lvl7pPr>
          <a:lvl8pPr marL="3200400" indent="0">
            <a:defRPr sz="1100">
              <a:latin typeface="+mn-lt"/>
              <a:ea typeface="+mn-ea"/>
              <a:cs typeface="+mn-cs"/>
            </a:defRPr>
          </a:lvl8pPr>
          <a:lvl9pPr marL="3657600" indent="0">
            <a:defRPr sz="1100">
              <a:latin typeface="+mn-lt"/>
              <a:ea typeface="+mn-ea"/>
              <a:cs typeface="+mn-cs"/>
            </a:defRPr>
          </a:lvl9pPr>
        </a:lstStyle>
        <a:p xmlns:a="http://schemas.openxmlformats.org/drawingml/2006/main">
          <a:r>
            <a:rPr lang="en-US" sz="1200" b="1">
              <a:latin typeface="Arial" panose="020B0604020202020204" pitchFamily="34" charset="0"/>
              <a:cs typeface="Arial" panose="020B0604020202020204" pitchFamily="34" charset="0"/>
            </a:rPr>
            <a:t>c</a:t>
          </a:r>
        </a:p>
      </cdr:txBody>
    </cdr:sp>
  </cdr:relSizeAnchor>
  <cdr:relSizeAnchor xmlns:cdr="http://schemas.openxmlformats.org/drawingml/2006/chartDrawing">
    <cdr:from>
      <cdr:x>0.8448</cdr:x>
      <cdr:y>0.49209</cdr:y>
    </cdr:from>
    <cdr:to>
      <cdr:x>0.93162</cdr:x>
      <cdr:y>0.51939</cdr:y>
    </cdr:to>
    <cdr:sp macro="" textlink="">
      <cdr:nvSpPr>
        <cdr:cNvPr id="6" name="Text Box 1"/>
        <cdr:cNvSpPr txBox="1"/>
      </cdr:nvSpPr>
      <cdr:spPr>
        <a:xfrm xmlns:a="http://schemas.openxmlformats.org/drawingml/2006/main">
          <a:off x="5021152" y="3590704"/>
          <a:ext cx="516047" cy="199176"/>
        </a:xfrm>
        <a:prstGeom xmlns:a="http://schemas.openxmlformats.org/drawingml/2006/main" prst="rect">
          <a:avLst/>
        </a:prstGeom>
      </cdr:spPr>
      <cdr:txBody>
        <a:bodyPr xmlns:a="http://schemas.openxmlformats.org/drawingml/2006/main" wrap="square" rtlCol="0"/>
        <a:lstStyle xmlns:a="http://schemas.openxmlformats.org/drawingml/2006/main">
          <a:lvl1pPr marL="0" indent="0">
            <a:defRPr sz="1100">
              <a:latin typeface="+mn-lt"/>
              <a:ea typeface="+mn-ea"/>
              <a:cs typeface="+mn-cs"/>
            </a:defRPr>
          </a:lvl1pPr>
          <a:lvl2pPr marL="457200" indent="0">
            <a:defRPr sz="1100">
              <a:latin typeface="+mn-lt"/>
              <a:ea typeface="+mn-ea"/>
              <a:cs typeface="+mn-cs"/>
            </a:defRPr>
          </a:lvl2pPr>
          <a:lvl3pPr marL="914400" indent="0">
            <a:defRPr sz="1100">
              <a:latin typeface="+mn-lt"/>
              <a:ea typeface="+mn-ea"/>
              <a:cs typeface="+mn-cs"/>
            </a:defRPr>
          </a:lvl3pPr>
          <a:lvl4pPr marL="1371600" indent="0">
            <a:defRPr sz="1100">
              <a:latin typeface="+mn-lt"/>
              <a:ea typeface="+mn-ea"/>
              <a:cs typeface="+mn-cs"/>
            </a:defRPr>
          </a:lvl4pPr>
          <a:lvl5pPr marL="1828800" indent="0">
            <a:defRPr sz="1100">
              <a:latin typeface="+mn-lt"/>
              <a:ea typeface="+mn-ea"/>
              <a:cs typeface="+mn-cs"/>
            </a:defRPr>
          </a:lvl5pPr>
          <a:lvl6pPr marL="2286000" indent="0">
            <a:defRPr sz="1100">
              <a:latin typeface="+mn-lt"/>
              <a:ea typeface="+mn-ea"/>
              <a:cs typeface="+mn-cs"/>
            </a:defRPr>
          </a:lvl6pPr>
          <a:lvl7pPr marL="2743200" indent="0">
            <a:defRPr sz="1100">
              <a:latin typeface="+mn-lt"/>
              <a:ea typeface="+mn-ea"/>
              <a:cs typeface="+mn-cs"/>
            </a:defRPr>
          </a:lvl7pPr>
          <a:lvl8pPr marL="3200400" indent="0">
            <a:defRPr sz="1100">
              <a:latin typeface="+mn-lt"/>
              <a:ea typeface="+mn-ea"/>
              <a:cs typeface="+mn-cs"/>
            </a:defRPr>
          </a:lvl8pPr>
          <a:lvl9pPr marL="3657600" indent="0">
            <a:defRPr sz="1100">
              <a:latin typeface="+mn-lt"/>
              <a:ea typeface="+mn-ea"/>
              <a:cs typeface="+mn-cs"/>
            </a:defRPr>
          </a:lvl9pPr>
        </a:lstStyle>
        <a:p xmlns:a="http://schemas.openxmlformats.org/drawingml/2006/main">
          <a:r>
            <a:rPr lang="en-US" sz="1200" b="1">
              <a:latin typeface="Arial" panose="020B0604020202020204" pitchFamily="34" charset="0"/>
              <a:cs typeface="Arial" panose="020B0604020202020204" pitchFamily="34" charset="0"/>
            </a:rPr>
            <a:t>d</a:t>
          </a:r>
        </a:p>
      </cdr:txBody>
    </cdr:sp>
  </cdr:relSizeAnchor>
</c:userShapes>
</file>

<file path=word/drawings/drawing15.xml><?xml version="1.0" encoding="utf-8"?>
<c:userShapes xmlns:c="http://schemas.openxmlformats.org/drawingml/2006/chart">
  <cdr:relSizeAnchor xmlns:cdr="http://schemas.openxmlformats.org/drawingml/2006/chartDrawing">
    <cdr:from>
      <cdr:x>0.39501</cdr:x>
      <cdr:y>0.90559</cdr:y>
    </cdr:from>
    <cdr:to>
      <cdr:x>0.73495</cdr:x>
      <cdr:y>0.98399</cdr:y>
    </cdr:to>
    <cdr:sp macro="" textlink="">
      <cdr:nvSpPr>
        <cdr:cNvPr id="2" name="Text Box 3"/>
        <cdr:cNvSpPr txBox="1"/>
      </cdr:nvSpPr>
      <cdr:spPr>
        <a:xfrm xmlns:a="http://schemas.openxmlformats.org/drawingml/2006/main">
          <a:off x="2125034" y="3851127"/>
          <a:ext cx="1828800" cy="333375"/>
        </a:xfrm>
        <a:prstGeom xmlns:a="http://schemas.openxmlformats.org/drawingml/2006/main" prst="rect">
          <a:avLst/>
        </a:prstGeom>
        <a:noFill xmlns:a="http://schemas.openxmlformats.org/drawingml/2006/main"/>
        <a:ln xmlns:a="http://schemas.openxmlformats.org/drawingml/2006/main" w="6350">
          <a:noFill/>
        </a:ln>
      </cdr:spPr>
      <cdr:txBody>
        <a:bodyPr xmlns:a="http://schemas.openxmlformats.org/drawingml/2006/main" rot="0" spcFirstLastPara="0" vert="horz" wrap="square" lIns="91440" tIns="45720" rIns="91440" bIns="45720" numCol="1" spcCol="0" rtlCol="0" fromWordArt="0" anchor="t" anchorCtr="0" forceAA="0" compatLnSpc="1">
          <a:prstTxWarp prst="textNoShape">
            <a:avLst/>
          </a:prstTxWarp>
          <a:noAutofit/>
        </a:bodyPr>
        <a:lstStyle xmlns:a="http://schemas.openxmlformats.org/drawingml/2006/main"/>
        <a:p xmlns:a="http://schemas.openxmlformats.org/drawingml/2006/main">
          <a:pPr marL="0" marR="0">
            <a:lnSpc>
              <a:spcPct val="200000"/>
            </a:lnSpc>
            <a:spcBef>
              <a:spcPts val="0"/>
            </a:spcBef>
            <a:spcAft>
              <a:spcPts val="0"/>
            </a:spcAft>
          </a:pPr>
          <a:r>
            <a:rPr lang="en-US" sz="1050" b="1">
              <a:effectLst/>
              <a:latin typeface="Arial" panose="020B0604020202020204" pitchFamily="34" charset="0"/>
              <a:ea typeface="Times New Roman" panose="02020603050405020304" pitchFamily="18" charset="0"/>
              <a:cs typeface="Times New Roman" panose="02020603050405020304" pitchFamily="18" charset="0"/>
            </a:rPr>
            <a:t>Wavelength (nm)</a:t>
          </a:r>
          <a:endParaRPr lang="en-US" sz="1200" b="1">
            <a:effectLst/>
            <a:latin typeface="Times New Roman" panose="02020603050405020304" pitchFamily="18" charset="0"/>
            <a:ea typeface="Times New Roman" panose="02020603050405020304" pitchFamily="18" charset="0"/>
            <a:cs typeface="Times New Roman" panose="02020603050405020304" pitchFamily="18" charset="0"/>
          </a:endParaRPr>
        </a:p>
      </cdr:txBody>
    </cdr:sp>
  </cdr:relSizeAnchor>
</c:userShapes>
</file>

<file path=word/drawings/drawing16.xml><?xml version="1.0" encoding="utf-8"?>
<c:userShapes xmlns:c="http://schemas.openxmlformats.org/drawingml/2006/chart">
  <cdr:relSizeAnchor xmlns:cdr="http://schemas.openxmlformats.org/drawingml/2006/chartDrawing">
    <cdr:from>
      <cdr:x>0.39501</cdr:x>
      <cdr:y>0.90559</cdr:y>
    </cdr:from>
    <cdr:to>
      <cdr:x>0.73495</cdr:x>
      <cdr:y>0.98399</cdr:y>
    </cdr:to>
    <cdr:sp macro="" textlink="">
      <cdr:nvSpPr>
        <cdr:cNvPr id="2" name="Text Box 3"/>
        <cdr:cNvSpPr txBox="1"/>
      </cdr:nvSpPr>
      <cdr:spPr>
        <a:xfrm xmlns:a="http://schemas.openxmlformats.org/drawingml/2006/main">
          <a:off x="2125034" y="3851127"/>
          <a:ext cx="1828800" cy="333375"/>
        </a:xfrm>
        <a:prstGeom xmlns:a="http://schemas.openxmlformats.org/drawingml/2006/main" prst="rect">
          <a:avLst/>
        </a:prstGeom>
        <a:noFill xmlns:a="http://schemas.openxmlformats.org/drawingml/2006/main"/>
        <a:ln xmlns:a="http://schemas.openxmlformats.org/drawingml/2006/main" w="6350">
          <a:noFill/>
        </a:ln>
      </cdr:spPr>
      <cdr:txBody>
        <a:bodyPr xmlns:a="http://schemas.openxmlformats.org/drawingml/2006/main" rot="0" spcFirstLastPara="0" vert="horz" wrap="square" lIns="91440" tIns="45720" rIns="91440" bIns="45720" numCol="1" spcCol="0" rtlCol="0" fromWordArt="0" anchor="t" anchorCtr="0" forceAA="0" compatLnSpc="1">
          <a:prstTxWarp prst="textNoShape">
            <a:avLst/>
          </a:prstTxWarp>
          <a:noAutofit/>
        </a:bodyPr>
        <a:lstStyle xmlns:a="http://schemas.openxmlformats.org/drawingml/2006/main"/>
        <a:p xmlns:a="http://schemas.openxmlformats.org/drawingml/2006/main">
          <a:pPr marL="0" marR="0">
            <a:lnSpc>
              <a:spcPct val="200000"/>
            </a:lnSpc>
            <a:spcBef>
              <a:spcPts val="0"/>
            </a:spcBef>
            <a:spcAft>
              <a:spcPts val="0"/>
            </a:spcAft>
          </a:pPr>
          <a:r>
            <a:rPr lang="en-US" sz="1050" b="1">
              <a:effectLst/>
              <a:latin typeface="Arial" panose="020B0604020202020204" pitchFamily="34" charset="0"/>
              <a:ea typeface="Times New Roman" panose="02020603050405020304" pitchFamily="18" charset="0"/>
              <a:cs typeface="Times New Roman" panose="02020603050405020304" pitchFamily="18" charset="0"/>
            </a:rPr>
            <a:t>Wavelength (nm)</a:t>
          </a:r>
          <a:endParaRPr lang="en-US" sz="1200" b="1">
            <a:effectLst/>
            <a:latin typeface="Times New Roman" panose="02020603050405020304" pitchFamily="18" charset="0"/>
            <a:ea typeface="Times New Roman" panose="02020603050405020304" pitchFamily="18" charset="0"/>
            <a:cs typeface="Times New Roman" panose="02020603050405020304" pitchFamily="18" charset="0"/>
          </a:endParaRPr>
        </a:p>
      </cdr:txBody>
    </cdr:sp>
  </cdr:relSizeAnchor>
</c:userShape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350" row="0">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707A5F08-4163-534A-A0AB-85B36AF0DE27}">
  <we:reference id="f518cb36-c901-4d52-a9e7-4331342e485d" version="1.2.0.0" store="EXCatalog" storeType="EXCatalog"/>
  <we:alternateReferences>
    <we:reference id="WA200001011" version="1.2.0.0" store="en-US" storeType="OMEX"/>
  </we:alternateReferences>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3A84E84-37D0-4747-80FC-AABD1616682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204</TotalTime>
  <Pages>368</Pages>
  <Words>87505</Words>
  <Characters>498785</Characters>
  <Application>Microsoft Office Word</Application>
  <DocSecurity>0</DocSecurity>
  <Lines>4156</Lines>
  <Paragraphs>1170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585120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Hammock, Hunter Albright</dc:creator>
  <cp:keywords/>
  <dc:description/>
  <cp:lastModifiedBy>Hammock, Hunter Albright</cp:lastModifiedBy>
  <cp:revision>4</cp:revision>
  <dcterms:created xsi:type="dcterms:W3CDTF">2023-07-07T00:34:00Z</dcterms:created>
  <dcterms:modified xsi:type="dcterms:W3CDTF">2023-07-29T03:22:00Z</dcterms:modified>
</cp:coreProperties>
</file>